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DF0643" w14:textId="1846F654" w:rsidR="00C66F79" w:rsidRPr="006F409B" w:rsidRDefault="00E01E9B" w:rsidP="00E01E9B">
      <w:pPr>
        <w:pStyle w:val="Pagedecouverture"/>
        <w:rPr>
          <w:noProof/>
          <w:lang w:val="en-US"/>
        </w:rPr>
      </w:pPr>
      <w:bookmarkStart w:id="0" w:name="LW_BM_COVERPAGE"/>
      <w:r>
        <w:rPr>
          <w:noProof/>
          <w:lang w:val="en-US"/>
        </w:rPr>
        <w:pict w14:anchorId="797633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5512F467-F16F-4A15-8A0F-89C3287A4E6B" style="width:455.25pt;height:410.25pt">
            <v:imagedata r:id="rId16" o:title=""/>
          </v:shape>
        </w:pict>
      </w:r>
    </w:p>
    <w:bookmarkEnd w:id="0"/>
    <w:p w14:paraId="106986CF" w14:textId="77777777" w:rsidR="000C10CD" w:rsidRDefault="000C10CD" w:rsidP="000C10CD">
      <w:pPr>
        <w:rPr>
          <w:noProof/>
          <w:lang w:val="en-US"/>
        </w:rPr>
        <w:sectPr w:rsidR="000C10CD" w:rsidSect="00E01E9B">
          <w:headerReference w:type="even" r:id="rId17"/>
          <w:headerReference w:type="default" r:id="rId18"/>
          <w:footerReference w:type="even" r:id="rId19"/>
          <w:footerReference w:type="default" r:id="rId20"/>
          <w:headerReference w:type="first" r:id="rId21"/>
          <w:footerReference w:type="first" r:id="rId22"/>
          <w:pgSz w:w="11906" w:h="16838"/>
          <w:pgMar w:top="1134" w:right="1417" w:bottom="1134" w:left="1417" w:header="709" w:footer="709" w:gutter="0"/>
          <w:pgNumType w:start="0"/>
          <w:cols w:space="720"/>
          <w:docGrid w:linePitch="326"/>
        </w:sectPr>
      </w:pPr>
    </w:p>
    <w:p w14:paraId="0FC5DBBD" w14:textId="442FDD1E" w:rsidR="00FC1F14" w:rsidRPr="00CB5251" w:rsidRDefault="00FC1F14" w:rsidP="00FC1F14">
      <w:pPr>
        <w:pStyle w:val="amprT-AnnexesH1TITLE1"/>
        <w:rPr>
          <w:noProof/>
        </w:rPr>
      </w:pPr>
      <w:bookmarkStart w:id="1" w:name="_Toc103784777"/>
      <w:bookmarkStart w:id="2" w:name="_Toc103785001"/>
      <w:bookmarkStart w:id="3" w:name="_Toc103801693"/>
      <w:bookmarkStart w:id="4" w:name="_Toc98685248"/>
      <w:bookmarkStart w:id="5" w:name="_GoBack"/>
      <w:bookmarkEnd w:id="5"/>
      <w:r w:rsidRPr="00CB5251">
        <w:rPr>
          <w:noProof/>
        </w:rPr>
        <w:lastRenderedPageBreak/>
        <w:t xml:space="preserve">Annex </w:t>
      </w:r>
      <w:r>
        <w:rPr>
          <w:noProof/>
        </w:rPr>
        <w:t xml:space="preserve">4                                                      </w:t>
      </w:r>
      <w:r w:rsidRPr="00AC7CA7">
        <w:rPr>
          <w:noProof/>
        </w:rPr>
        <w:t>Programme performance overview</w:t>
      </w:r>
      <w:bookmarkEnd w:id="1"/>
      <w:bookmarkEnd w:id="2"/>
      <w:bookmarkEnd w:id="3"/>
    </w:p>
    <w:p w14:paraId="6FF1CAA9" w14:textId="77777777" w:rsidR="002B7756" w:rsidRDefault="002B7756" w:rsidP="002B7756">
      <w:pPr>
        <w:pStyle w:val="amprBodyText"/>
        <w:rPr>
          <w:noProof/>
        </w:rPr>
      </w:pPr>
      <w:r>
        <w:rPr>
          <w:noProof/>
        </w:rPr>
        <w:t>This annex contains a concise overview of the implementation and performance of each spending programme in the 2021</w:t>
      </w:r>
      <w:r>
        <w:rPr>
          <w:noProof/>
        </w:rPr>
        <w:noBreakHyphen/>
        <w:t>2027</w:t>
      </w:r>
      <w:r>
        <w:rPr>
          <w:rFonts w:ascii="Calibri" w:hAnsi="Calibri" w:cs="Calibri"/>
          <w:noProof/>
        </w:rPr>
        <w:t> </w:t>
      </w:r>
      <w:r>
        <w:rPr>
          <w:noProof/>
        </w:rPr>
        <w:t xml:space="preserve">MFF and of those programmes in the 2014-2020 MFF for which relevant payments continued to be implemented in 2021. It draws on the information contained in the programme statements attached to the 2023 draft budget. </w:t>
      </w:r>
    </w:p>
    <w:p w14:paraId="66417FD6" w14:textId="77777777" w:rsidR="002B7756" w:rsidRPr="00BC24C0" w:rsidRDefault="002B7756" w:rsidP="002B7756">
      <w:pPr>
        <w:keepNext/>
        <w:keepLines/>
        <w:suppressAutoHyphens/>
        <w:spacing w:before="240" w:line="264" w:lineRule="auto"/>
        <w:jc w:val="left"/>
        <w:outlineLvl w:val="5"/>
        <w:rPr>
          <w:rFonts w:eastAsia="EC Square Sans Pro"/>
          <w:b/>
          <w:noProof/>
          <w:color w:val="215E94"/>
          <w:szCs w:val="21"/>
          <w:lang w:eastAsia="zh-CN"/>
          <w14:textOutline w14:w="9525" w14:cap="rnd" w14:cmpd="sng" w14:algn="ctr">
            <w14:noFill/>
            <w14:prstDash w14:val="solid"/>
            <w14:bevel/>
          </w14:textOutline>
        </w:rPr>
      </w:pPr>
      <w:r w:rsidRPr="00BC24C0">
        <w:rPr>
          <w:rFonts w:eastAsia="EC Square Sans Pro"/>
          <w:b/>
          <w:noProof/>
          <w:color w:val="215E94"/>
          <w:szCs w:val="21"/>
          <w:lang w:eastAsia="zh-CN"/>
          <w14:textOutline w14:w="9525" w14:cap="rnd" w14:cmpd="sng" w14:algn="ctr">
            <w14:noFill/>
            <w14:prstDash w14:val="solid"/>
            <w14:bevel/>
          </w14:textOutline>
        </w:rPr>
        <w:t>Important: this annex is exclusively available online</w:t>
      </w:r>
    </w:p>
    <w:p w14:paraId="63E066B9" w14:textId="77777777" w:rsidR="002B7756" w:rsidRPr="002934C0" w:rsidRDefault="002B7756" w:rsidP="002B7756">
      <w:pPr>
        <w:pBdr>
          <w:top w:val="single" w:sz="12" w:space="8" w:color="215E94"/>
          <w:left w:val="single" w:sz="12" w:space="8" w:color="215E94"/>
          <w:bottom w:val="single" w:sz="12" w:space="8" w:color="215E94"/>
          <w:right w:val="single" w:sz="12" w:space="8" w:color="215E94"/>
        </w:pBdr>
        <w:shd w:val="clear" w:color="auto" w:fill="215E94"/>
        <w:spacing w:before="240" w:line="264" w:lineRule="auto"/>
        <w:rPr>
          <w:rFonts w:eastAsia="EC Square Sans Pro"/>
          <w:noProof/>
          <w:color w:val="FFFFFF"/>
          <w:sz w:val="20"/>
          <w:szCs w:val="21"/>
        </w:rPr>
      </w:pPr>
      <w:r w:rsidRPr="002934C0">
        <w:rPr>
          <w:rFonts w:eastAsia="EC Square Sans Pro"/>
          <w:noProof/>
          <w:color w:val="FFFFFF"/>
          <w:sz w:val="20"/>
          <w:szCs w:val="21"/>
        </w:rPr>
        <w:t>In line with the European Commission’s digital strategy, and with the objective of improving the accessibility of performance information and the user experience, this annex has been published exclusively on the Europa website.</w:t>
      </w:r>
    </w:p>
    <w:p w14:paraId="379F28ED" w14:textId="32D1AEC2" w:rsidR="002B7756" w:rsidRPr="002B7756" w:rsidRDefault="002B7756" w:rsidP="002B7756">
      <w:pPr>
        <w:keepNext/>
        <w:keepLines/>
        <w:suppressAutoHyphens/>
        <w:spacing w:before="240" w:line="264" w:lineRule="auto"/>
        <w:jc w:val="left"/>
        <w:outlineLvl w:val="5"/>
        <w:rPr>
          <w:rFonts w:eastAsia="EC Square Sans Pro"/>
          <w:b/>
          <w:noProof/>
          <w:color w:val="215E94"/>
          <w:szCs w:val="21"/>
          <w:lang w:eastAsia="zh-CN"/>
          <w14:textOutline w14:w="9525" w14:cap="rnd" w14:cmpd="sng" w14:algn="ctr">
            <w14:noFill/>
            <w14:prstDash w14:val="solid"/>
            <w14:bevel/>
          </w14:textOutline>
        </w:rPr>
      </w:pPr>
      <w:r w:rsidRPr="002B7756">
        <w:rPr>
          <w:rFonts w:eastAsia="EC Square Sans Pro"/>
          <w:b/>
          <w:noProof/>
          <w:color w:val="215E94"/>
          <w:szCs w:val="21"/>
          <w:lang w:eastAsia="zh-CN"/>
          <w14:textOutline w14:w="9525" w14:cap="rnd" w14:cmpd="sng" w14:algn="ctr">
            <w14:noFill/>
            <w14:prstDash w14:val="solid"/>
            <w14:bevel/>
          </w14:textOutline>
        </w:rPr>
        <w:t>Please visit the following website to access the information on the implementation and performance of the spending</w:t>
      </w:r>
    </w:p>
    <w:p w14:paraId="4DFE1693" w14:textId="0F728220" w:rsidR="002B7756" w:rsidRDefault="00E01E9B" w:rsidP="002B7756">
      <w:pPr>
        <w:pStyle w:val="amprBodyText"/>
        <w:rPr>
          <w:noProof/>
        </w:rPr>
      </w:pPr>
      <w:hyperlink r:id="rId23" w:history="1">
        <w:r w:rsidR="002B7756" w:rsidRPr="001E5A51">
          <w:rPr>
            <w:rStyle w:val="Hyperlink"/>
            <w:noProof/>
          </w:rPr>
          <w:t>https://ec.europa.eu/info/strategy/eu-budget/performance-and-reporting/programmes-performance_en</w:t>
        </w:r>
      </w:hyperlink>
    </w:p>
    <w:p w14:paraId="36F6CF6E" w14:textId="35808594" w:rsidR="002B7756" w:rsidRDefault="002B7756" w:rsidP="002B7756">
      <w:pPr>
        <w:pStyle w:val="amprBodyText"/>
        <w:rPr>
          <w:noProof/>
        </w:rPr>
      </w:pPr>
      <w:r w:rsidRPr="002F509F">
        <w:rPr>
          <w:noProof/>
          <w:lang w:eastAsia="en-GB"/>
        </w:rPr>
        <w:drawing>
          <wp:inline distT="0" distB="0" distL="0" distR="0" wp14:anchorId="1E9157B5" wp14:editId="48DE8588">
            <wp:extent cx="1403350" cy="1403350"/>
            <wp:effectExtent l="0" t="0" r="6350" b="6350"/>
            <wp:docPr id="16" name="Picture 16" descr="C:\Users\amaroma\AppData\Local\Microsoft\Windows\INetCache\Content.Outlook\XKIRZ5PZ\ProgrammesPerformance_web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roma\AppData\Local\Microsoft\Windows\INetCache\Content.Outlook\XKIRZ5PZ\ProgrammesPerformance_webpag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3350" cy="1403350"/>
                    </a:xfrm>
                    <a:prstGeom prst="rect">
                      <a:avLst/>
                    </a:prstGeom>
                    <a:noFill/>
                    <a:ln>
                      <a:noFill/>
                    </a:ln>
                  </pic:spPr>
                </pic:pic>
              </a:graphicData>
            </a:graphic>
          </wp:inline>
        </w:drawing>
      </w:r>
    </w:p>
    <w:p w14:paraId="6ED72332" w14:textId="77777777" w:rsidR="003F7A53" w:rsidRPr="00EE3663" w:rsidRDefault="003F7A53" w:rsidP="003F7A53">
      <w:pPr>
        <w:pStyle w:val="amprBodyText"/>
        <w:spacing w:before="120" w:after="120"/>
        <w:rPr>
          <w:noProof/>
        </w:rPr>
      </w:pPr>
      <w:r w:rsidRPr="00EE3663">
        <w:rPr>
          <w:noProof/>
        </w:rPr>
        <w:t xml:space="preserve">The present annex has been prepared in the current format with the sole objective </w:t>
      </w:r>
      <w:r>
        <w:rPr>
          <w:noProof/>
        </w:rPr>
        <w:t>of</w:t>
      </w:r>
      <w:r w:rsidRPr="00EE3663">
        <w:rPr>
          <w:noProof/>
        </w:rPr>
        <w:t xml:space="preserve"> allow</w:t>
      </w:r>
      <w:r>
        <w:rPr>
          <w:noProof/>
        </w:rPr>
        <w:t>ing</w:t>
      </w:r>
      <w:r w:rsidRPr="00EE3663">
        <w:rPr>
          <w:noProof/>
        </w:rPr>
        <w:t xml:space="preserve"> its adoption by the College of Commissioners and its publication in the </w:t>
      </w:r>
      <w:r w:rsidRPr="005051BA">
        <w:rPr>
          <w:i/>
          <w:iCs/>
          <w:noProof/>
        </w:rPr>
        <w:t>Official Journal of the European Union</w:t>
      </w:r>
      <w:r w:rsidRPr="00EE3663">
        <w:rPr>
          <w:noProof/>
        </w:rPr>
        <w:t>.</w:t>
      </w:r>
    </w:p>
    <w:p w14:paraId="64402704" w14:textId="77777777" w:rsidR="002B7756" w:rsidRDefault="002B7756" w:rsidP="002B7756">
      <w:pPr>
        <w:pStyle w:val="amprBodyText"/>
        <w:spacing w:before="120" w:after="120"/>
        <w:rPr>
          <w:noProof/>
        </w:rPr>
      </w:pPr>
    </w:p>
    <w:p w14:paraId="0C25B41A" w14:textId="77777777" w:rsidR="002B7756" w:rsidRDefault="002B7756" w:rsidP="002B7756">
      <w:pPr>
        <w:pStyle w:val="amprBodyText"/>
        <w:spacing w:before="120" w:after="120"/>
        <w:rPr>
          <w:noProof/>
        </w:rPr>
      </w:pPr>
      <w:r>
        <w:rPr>
          <w:noProof/>
        </w:rPr>
        <w:br w:type="page"/>
      </w:r>
    </w:p>
    <w:p w14:paraId="1D7AEF49" w14:textId="77777777" w:rsidR="002B7756" w:rsidRDefault="002B7756" w:rsidP="002B7756">
      <w:pPr>
        <w:pStyle w:val="amprBodyText"/>
        <w:spacing w:before="120" w:after="120"/>
        <w:rPr>
          <w:noProof/>
        </w:rPr>
      </w:pPr>
      <w:r>
        <w:rPr>
          <w:noProof/>
        </w:rPr>
        <w:t>The 2021-2027 spending programmes included in this annex are the following:</w:t>
      </w:r>
    </w:p>
    <w:p w14:paraId="103A92F2" w14:textId="77777777" w:rsidR="002B7756" w:rsidRDefault="002B7756" w:rsidP="002B7756">
      <w:pPr>
        <w:pStyle w:val="Style1"/>
        <w:rPr>
          <w:noProof/>
        </w:rPr>
      </w:pPr>
      <w:r>
        <w:rPr>
          <w:noProof/>
        </w:rPr>
        <w:t xml:space="preserve">Heading 1: </w:t>
      </w:r>
      <w:r w:rsidRPr="008D68AB">
        <w:rPr>
          <w:noProof/>
        </w:rPr>
        <w:t>Single Market, Innovation and Digital</w:t>
      </w:r>
      <w:r>
        <w:rPr>
          <w:noProof/>
        </w:rPr>
        <w:t xml:space="preserve"> </w:t>
      </w:r>
    </w:p>
    <w:p w14:paraId="32241612" w14:textId="77777777" w:rsidR="002B7756" w:rsidRPr="00BF74B0" w:rsidRDefault="00E01E9B" w:rsidP="002B7756">
      <w:pPr>
        <w:pStyle w:val="amprBodyText"/>
        <w:spacing w:before="120" w:after="120"/>
        <w:ind w:left="720"/>
        <w:rPr>
          <w:noProof/>
        </w:rPr>
      </w:pPr>
      <w:hyperlink r:id="rId25" w:history="1">
        <w:r w:rsidR="002B7756" w:rsidRPr="008D68AB">
          <w:rPr>
            <w:rStyle w:val="Hyperlink"/>
            <w:noProof/>
          </w:rPr>
          <w:t>Horizon Europe</w:t>
        </w:r>
      </w:hyperlink>
    </w:p>
    <w:p w14:paraId="2D6F874F" w14:textId="77777777" w:rsidR="002B7756" w:rsidRDefault="00E01E9B" w:rsidP="002B7756">
      <w:pPr>
        <w:pStyle w:val="amprBodyText"/>
        <w:spacing w:before="120" w:after="120"/>
        <w:ind w:left="720"/>
        <w:rPr>
          <w:noProof/>
        </w:rPr>
      </w:pPr>
      <w:hyperlink r:id="rId26" w:history="1">
        <w:r w:rsidR="002B7756" w:rsidRPr="008D68AB">
          <w:rPr>
            <w:rStyle w:val="Hyperlink"/>
            <w:noProof/>
          </w:rPr>
          <w:t>Euratom Research and Training Programme</w:t>
        </w:r>
      </w:hyperlink>
    </w:p>
    <w:p w14:paraId="2AA6A237" w14:textId="77777777" w:rsidR="002B7756" w:rsidRPr="00BF74B0" w:rsidRDefault="00E01E9B" w:rsidP="002B7756">
      <w:pPr>
        <w:pStyle w:val="amprBodyText"/>
        <w:spacing w:before="120" w:after="120"/>
        <w:ind w:left="720"/>
        <w:rPr>
          <w:noProof/>
        </w:rPr>
      </w:pPr>
      <w:hyperlink r:id="rId27" w:history="1">
        <w:r w:rsidR="002B7756" w:rsidRPr="008D68AB">
          <w:rPr>
            <w:rStyle w:val="Hyperlink"/>
            <w:noProof/>
          </w:rPr>
          <w:t>ITER</w:t>
        </w:r>
      </w:hyperlink>
    </w:p>
    <w:p w14:paraId="55A9DA84" w14:textId="77777777" w:rsidR="002B7756" w:rsidRPr="00BF74B0" w:rsidRDefault="00E01E9B" w:rsidP="002B7756">
      <w:pPr>
        <w:pStyle w:val="amprBodyText"/>
        <w:spacing w:before="120" w:after="120"/>
        <w:ind w:left="720"/>
        <w:rPr>
          <w:noProof/>
        </w:rPr>
      </w:pPr>
      <w:hyperlink r:id="rId28" w:history="1">
        <w:r w:rsidR="002B7756" w:rsidRPr="008D68AB">
          <w:rPr>
            <w:rStyle w:val="Hyperlink"/>
            <w:noProof/>
          </w:rPr>
          <w:t>InvestEU</w:t>
        </w:r>
      </w:hyperlink>
    </w:p>
    <w:p w14:paraId="7030DF2E" w14:textId="77777777" w:rsidR="002B7756" w:rsidRDefault="00E01E9B" w:rsidP="002B7756">
      <w:pPr>
        <w:pStyle w:val="amprBodyText"/>
        <w:spacing w:before="120" w:after="120"/>
        <w:ind w:left="720"/>
        <w:rPr>
          <w:noProof/>
        </w:rPr>
      </w:pPr>
      <w:hyperlink r:id="rId29" w:history="1">
        <w:r w:rsidR="002B7756" w:rsidRPr="00C04F65">
          <w:rPr>
            <w:rStyle w:val="Hyperlink"/>
            <w:noProof/>
          </w:rPr>
          <w:t>Connecting Europe Facility (CEF)</w:t>
        </w:r>
      </w:hyperlink>
    </w:p>
    <w:p w14:paraId="7C5BA173" w14:textId="0F71DDF2" w:rsidR="00F273D9" w:rsidRPr="00AC48DF" w:rsidRDefault="00873C81" w:rsidP="00F273D9">
      <w:pPr>
        <w:pStyle w:val="amprBodyText"/>
        <w:spacing w:before="120" w:after="120"/>
        <w:ind w:left="720"/>
        <w:rPr>
          <w:noProof/>
          <w:lang w:val="fr-BE"/>
        </w:rPr>
      </w:pPr>
      <w:hyperlink r:id="rId30" w:history="1">
        <w:r w:rsidR="00F273D9" w:rsidRPr="00AC48DF">
          <w:rPr>
            <w:rStyle w:val="Hyperlink"/>
            <w:noProof/>
            <w:lang w:val="fr-BE"/>
          </w:rPr>
          <w:t>Digital Europe Programme</w:t>
        </w:r>
      </w:hyperlink>
    </w:p>
    <w:p w14:paraId="6DCB95CA" w14:textId="21F52CAB" w:rsidR="002B7756" w:rsidRPr="00AC48DF" w:rsidRDefault="00654C7E" w:rsidP="002B7756">
      <w:pPr>
        <w:pStyle w:val="amprBodyText"/>
        <w:spacing w:before="120" w:after="120"/>
        <w:ind w:left="720"/>
        <w:rPr>
          <w:noProof/>
          <w:lang w:val="fr-BE"/>
        </w:rPr>
      </w:pPr>
      <w:hyperlink r:id="rId31" w:history="1">
        <w:r w:rsidR="002B7756" w:rsidRPr="00AC48DF">
          <w:rPr>
            <w:rStyle w:val="Hyperlink"/>
            <w:noProof/>
            <w:lang w:val="fr-BE"/>
          </w:rPr>
          <w:t>Single Market Programme</w:t>
        </w:r>
      </w:hyperlink>
    </w:p>
    <w:p w14:paraId="363E5521" w14:textId="77777777" w:rsidR="002B7756" w:rsidRPr="00AC48DF" w:rsidRDefault="00654C7E" w:rsidP="002B7756">
      <w:pPr>
        <w:pStyle w:val="amprBodyText"/>
        <w:spacing w:before="120" w:after="120"/>
        <w:ind w:left="720"/>
        <w:rPr>
          <w:noProof/>
          <w:lang w:val="fr-BE"/>
        </w:rPr>
      </w:pPr>
      <w:hyperlink r:id="rId32" w:history="1">
        <w:r w:rsidR="002B7756" w:rsidRPr="00AC48DF">
          <w:rPr>
            <w:rStyle w:val="Hyperlink"/>
            <w:noProof/>
            <w:lang w:val="fr-BE"/>
          </w:rPr>
          <w:t>EU Anti-Fraud Programme</w:t>
        </w:r>
      </w:hyperlink>
    </w:p>
    <w:p w14:paraId="10549873" w14:textId="77777777" w:rsidR="002B7756" w:rsidRDefault="00E01E9B" w:rsidP="002B7756">
      <w:pPr>
        <w:pStyle w:val="amprBodyText"/>
        <w:spacing w:before="120" w:after="120"/>
        <w:ind w:left="720"/>
        <w:rPr>
          <w:noProof/>
        </w:rPr>
      </w:pPr>
      <w:hyperlink r:id="rId33" w:history="1">
        <w:r w:rsidR="002B7756" w:rsidRPr="00C04F65">
          <w:rPr>
            <w:rStyle w:val="Hyperlink"/>
            <w:noProof/>
          </w:rPr>
          <w:t>Cooperation in the field of taxation (FISCALIS)</w:t>
        </w:r>
      </w:hyperlink>
    </w:p>
    <w:p w14:paraId="186935DE" w14:textId="77777777" w:rsidR="002B7756" w:rsidRDefault="00E01E9B" w:rsidP="002B7756">
      <w:pPr>
        <w:pStyle w:val="amprBodyText"/>
        <w:spacing w:before="120" w:after="120"/>
        <w:ind w:left="720"/>
        <w:rPr>
          <w:noProof/>
        </w:rPr>
      </w:pPr>
      <w:hyperlink r:id="rId34" w:history="1">
        <w:r w:rsidR="002B7756" w:rsidRPr="00C04F65">
          <w:rPr>
            <w:rStyle w:val="Hyperlink"/>
            <w:noProof/>
          </w:rPr>
          <w:t>Cooperation in the field of customs (CUSTOMS)</w:t>
        </w:r>
      </w:hyperlink>
    </w:p>
    <w:p w14:paraId="17444112" w14:textId="77777777" w:rsidR="002B7756" w:rsidRDefault="00E01E9B" w:rsidP="002B7756">
      <w:pPr>
        <w:pStyle w:val="amprBodyText"/>
        <w:spacing w:before="120" w:after="120"/>
        <w:ind w:left="720"/>
        <w:rPr>
          <w:noProof/>
        </w:rPr>
      </w:pPr>
      <w:hyperlink r:id="rId35" w:history="1">
        <w:r w:rsidR="002B7756" w:rsidRPr="00C04F65">
          <w:rPr>
            <w:rStyle w:val="Hyperlink"/>
            <w:noProof/>
          </w:rPr>
          <w:t>European Space Programme</w:t>
        </w:r>
      </w:hyperlink>
    </w:p>
    <w:p w14:paraId="30810497" w14:textId="77777777" w:rsidR="002B7756" w:rsidRDefault="002B7756" w:rsidP="002B7756">
      <w:pPr>
        <w:pStyle w:val="Style1"/>
        <w:rPr>
          <w:noProof/>
        </w:rPr>
      </w:pPr>
      <w:r>
        <w:rPr>
          <w:noProof/>
        </w:rPr>
        <w:t xml:space="preserve">Heading 2: </w:t>
      </w:r>
      <w:r w:rsidRPr="008D68AB">
        <w:rPr>
          <w:noProof/>
        </w:rPr>
        <w:t>Cohesion and Values</w:t>
      </w:r>
    </w:p>
    <w:p w14:paraId="6099DF68" w14:textId="77777777" w:rsidR="002B7756" w:rsidRDefault="00E01E9B" w:rsidP="002B7756">
      <w:pPr>
        <w:pStyle w:val="amprBodyText"/>
        <w:spacing w:before="120" w:after="120"/>
        <w:ind w:left="720"/>
        <w:rPr>
          <w:noProof/>
        </w:rPr>
      </w:pPr>
      <w:hyperlink r:id="rId36" w:history="1">
        <w:r w:rsidR="002B7756" w:rsidRPr="00C04F65">
          <w:rPr>
            <w:rStyle w:val="Hyperlink"/>
            <w:noProof/>
          </w:rPr>
          <w:t>Regional Policy</w:t>
        </w:r>
      </w:hyperlink>
    </w:p>
    <w:p w14:paraId="0A1C8EB9" w14:textId="77777777" w:rsidR="002B7756" w:rsidRDefault="00E01E9B" w:rsidP="002B7756">
      <w:pPr>
        <w:pStyle w:val="amprBodyText"/>
        <w:spacing w:before="120" w:after="120"/>
        <w:ind w:left="720"/>
        <w:rPr>
          <w:noProof/>
        </w:rPr>
      </w:pPr>
      <w:hyperlink r:id="rId37" w:history="1">
        <w:r w:rsidR="002B7756" w:rsidRPr="00C04F65">
          <w:rPr>
            <w:rStyle w:val="Hyperlink"/>
            <w:noProof/>
          </w:rPr>
          <w:t>Support to the Turkish Cypriot community</w:t>
        </w:r>
      </w:hyperlink>
    </w:p>
    <w:p w14:paraId="049BFEF1" w14:textId="77777777" w:rsidR="002B7756" w:rsidRDefault="00E01E9B" w:rsidP="002B7756">
      <w:pPr>
        <w:pStyle w:val="amprBodyText"/>
        <w:spacing w:before="120" w:after="120"/>
        <w:ind w:left="720"/>
        <w:rPr>
          <w:noProof/>
        </w:rPr>
      </w:pPr>
      <w:hyperlink r:id="rId38" w:history="1">
        <w:r w:rsidR="002B7756" w:rsidRPr="00C04F65">
          <w:rPr>
            <w:rStyle w:val="Hyperlink"/>
            <w:noProof/>
          </w:rPr>
          <w:t>Recovery and Resilience Facility</w:t>
        </w:r>
      </w:hyperlink>
    </w:p>
    <w:p w14:paraId="6F900BB6" w14:textId="77777777" w:rsidR="002B7756" w:rsidRDefault="00E01E9B" w:rsidP="002B7756">
      <w:pPr>
        <w:pStyle w:val="amprBodyText"/>
        <w:spacing w:before="120" w:after="120"/>
        <w:ind w:left="720"/>
        <w:rPr>
          <w:noProof/>
        </w:rPr>
      </w:pPr>
      <w:hyperlink r:id="rId39" w:history="1">
        <w:r w:rsidR="002B7756" w:rsidRPr="00C04F65">
          <w:rPr>
            <w:rStyle w:val="Hyperlink"/>
            <w:noProof/>
          </w:rPr>
          <w:t>Technical Support Instrument</w:t>
        </w:r>
      </w:hyperlink>
    </w:p>
    <w:p w14:paraId="041E2CBF" w14:textId="77777777" w:rsidR="002B7756" w:rsidRDefault="00E01E9B" w:rsidP="002B7756">
      <w:pPr>
        <w:pStyle w:val="amprBodyText"/>
        <w:spacing w:before="120" w:after="120"/>
        <w:ind w:left="720"/>
        <w:rPr>
          <w:noProof/>
        </w:rPr>
      </w:pPr>
      <w:hyperlink r:id="rId40" w:history="1">
        <w:r w:rsidR="002B7756" w:rsidRPr="00C04F65">
          <w:rPr>
            <w:rStyle w:val="Hyperlink"/>
            <w:noProof/>
          </w:rPr>
          <w:t>Protection of the Euro Against Counterfeiting (Pericles IV)</w:t>
        </w:r>
      </w:hyperlink>
    </w:p>
    <w:p w14:paraId="14A756F5" w14:textId="77777777" w:rsidR="002B7756" w:rsidRDefault="00E01E9B" w:rsidP="002B7756">
      <w:pPr>
        <w:pStyle w:val="amprBodyText"/>
        <w:spacing w:before="120" w:after="120"/>
        <w:ind w:left="720"/>
        <w:rPr>
          <w:noProof/>
        </w:rPr>
      </w:pPr>
      <w:hyperlink r:id="rId41" w:history="1">
        <w:r w:rsidR="002B7756" w:rsidRPr="001B3680">
          <w:rPr>
            <w:rStyle w:val="Hyperlink"/>
            <w:noProof/>
          </w:rPr>
          <w:t>Union Civil Protection Mechanism (rescEU)</w:t>
        </w:r>
      </w:hyperlink>
    </w:p>
    <w:p w14:paraId="72BFB7FD" w14:textId="77777777" w:rsidR="002B7756" w:rsidRDefault="00E01E9B" w:rsidP="002B7756">
      <w:pPr>
        <w:pStyle w:val="amprBodyText"/>
        <w:spacing w:before="120" w:after="120"/>
        <w:ind w:left="720"/>
        <w:rPr>
          <w:noProof/>
        </w:rPr>
      </w:pPr>
      <w:hyperlink r:id="rId42" w:history="1">
        <w:r w:rsidR="002B7756" w:rsidRPr="001B3680">
          <w:rPr>
            <w:rStyle w:val="Hyperlink"/>
            <w:noProof/>
          </w:rPr>
          <w:t>EU4Health</w:t>
        </w:r>
      </w:hyperlink>
    </w:p>
    <w:p w14:paraId="40024D96" w14:textId="77777777" w:rsidR="002B7756" w:rsidRDefault="00E01E9B" w:rsidP="002B7756">
      <w:pPr>
        <w:pStyle w:val="amprBodyText"/>
        <w:spacing w:before="120" w:after="120"/>
        <w:ind w:left="720"/>
        <w:rPr>
          <w:noProof/>
        </w:rPr>
      </w:pPr>
      <w:hyperlink r:id="rId43" w:history="1">
        <w:r w:rsidR="002B7756" w:rsidRPr="001B3680">
          <w:rPr>
            <w:rStyle w:val="Hyperlink"/>
            <w:noProof/>
          </w:rPr>
          <w:t>Emergency Support within the Union</w:t>
        </w:r>
      </w:hyperlink>
    </w:p>
    <w:p w14:paraId="336743E4" w14:textId="77777777" w:rsidR="002B7756" w:rsidRDefault="00E01E9B" w:rsidP="002B7756">
      <w:pPr>
        <w:pStyle w:val="amprBodyText"/>
        <w:spacing w:before="120" w:after="120"/>
        <w:ind w:left="720"/>
        <w:rPr>
          <w:noProof/>
        </w:rPr>
      </w:pPr>
      <w:hyperlink r:id="rId44" w:history="1">
        <w:r w:rsidR="002B7756" w:rsidRPr="001B3680">
          <w:rPr>
            <w:rStyle w:val="Hyperlink"/>
            <w:noProof/>
          </w:rPr>
          <w:t>European Social Fund+</w:t>
        </w:r>
      </w:hyperlink>
    </w:p>
    <w:p w14:paraId="1BA457D9" w14:textId="77777777" w:rsidR="002B7756" w:rsidRDefault="00E01E9B" w:rsidP="002B7756">
      <w:pPr>
        <w:pStyle w:val="amprBodyText"/>
        <w:spacing w:before="120" w:after="120"/>
        <w:ind w:left="720"/>
        <w:rPr>
          <w:noProof/>
        </w:rPr>
      </w:pPr>
      <w:hyperlink r:id="rId45" w:history="1">
        <w:r w:rsidR="002B7756" w:rsidRPr="001B3680">
          <w:rPr>
            <w:rStyle w:val="Hyperlink"/>
            <w:noProof/>
          </w:rPr>
          <w:t>Erasmus+</w:t>
        </w:r>
      </w:hyperlink>
    </w:p>
    <w:p w14:paraId="0ACAE764" w14:textId="77777777" w:rsidR="002B7756" w:rsidRDefault="00E01E9B" w:rsidP="002B7756">
      <w:pPr>
        <w:pStyle w:val="amprBodyText"/>
        <w:spacing w:before="120" w:after="120"/>
        <w:ind w:left="720"/>
        <w:rPr>
          <w:noProof/>
        </w:rPr>
      </w:pPr>
      <w:hyperlink r:id="rId46" w:history="1">
        <w:r w:rsidR="002B7756" w:rsidRPr="001B3680">
          <w:rPr>
            <w:rStyle w:val="Hyperlink"/>
            <w:noProof/>
          </w:rPr>
          <w:t>European Solidarity Corps</w:t>
        </w:r>
      </w:hyperlink>
    </w:p>
    <w:p w14:paraId="251BACB7" w14:textId="77777777" w:rsidR="002B7756" w:rsidRDefault="00E01E9B" w:rsidP="002B7756">
      <w:pPr>
        <w:pStyle w:val="amprBodyText"/>
        <w:spacing w:before="120" w:after="120"/>
        <w:ind w:left="720"/>
        <w:rPr>
          <w:noProof/>
        </w:rPr>
      </w:pPr>
      <w:hyperlink r:id="rId47" w:history="1">
        <w:r w:rsidR="002B7756" w:rsidRPr="001B3680">
          <w:rPr>
            <w:rStyle w:val="Hyperlink"/>
            <w:noProof/>
          </w:rPr>
          <w:t>Justice Programme</w:t>
        </w:r>
      </w:hyperlink>
    </w:p>
    <w:p w14:paraId="31BDA39A" w14:textId="77777777" w:rsidR="002B7756" w:rsidRDefault="00E01E9B" w:rsidP="002B7756">
      <w:pPr>
        <w:pStyle w:val="amprBodyText"/>
        <w:spacing w:before="120" w:after="120"/>
        <w:ind w:left="720"/>
        <w:rPr>
          <w:noProof/>
        </w:rPr>
      </w:pPr>
      <w:hyperlink r:id="rId48" w:history="1">
        <w:r w:rsidR="002B7756" w:rsidRPr="001B3680">
          <w:rPr>
            <w:rStyle w:val="Hyperlink"/>
            <w:noProof/>
          </w:rPr>
          <w:t>Citizens, Equality, Rights and Values programme</w:t>
        </w:r>
      </w:hyperlink>
    </w:p>
    <w:p w14:paraId="533A0A7C" w14:textId="77777777" w:rsidR="002B7756" w:rsidRDefault="00E01E9B" w:rsidP="002B7756">
      <w:pPr>
        <w:pStyle w:val="amprBodyText"/>
        <w:spacing w:before="120" w:after="120"/>
        <w:ind w:left="720"/>
        <w:rPr>
          <w:noProof/>
        </w:rPr>
      </w:pPr>
      <w:hyperlink r:id="rId49" w:history="1">
        <w:r w:rsidR="002B7756" w:rsidRPr="001B3680">
          <w:rPr>
            <w:rStyle w:val="Hyperlink"/>
            <w:noProof/>
          </w:rPr>
          <w:t>Creative Europe</w:t>
        </w:r>
      </w:hyperlink>
    </w:p>
    <w:p w14:paraId="74B11215" w14:textId="77777777" w:rsidR="002B7756" w:rsidRDefault="00E01E9B" w:rsidP="002B7756">
      <w:pPr>
        <w:pStyle w:val="amprBodyText"/>
        <w:spacing w:before="120" w:after="120"/>
        <w:ind w:left="720"/>
        <w:rPr>
          <w:noProof/>
        </w:rPr>
      </w:pPr>
      <w:hyperlink r:id="rId50" w:history="1">
        <w:r w:rsidR="002B7756" w:rsidRPr="001B3680">
          <w:rPr>
            <w:rStyle w:val="Hyperlink"/>
            <w:noProof/>
          </w:rPr>
          <w:t>Communication</w:t>
        </w:r>
      </w:hyperlink>
    </w:p>
    <w:p w14:paraId="480FA411" w14:textId="77777777" w:rsidR="002B7756" w:rsidRPr="00BC24C0" w:rsidRDefault="00E01E9B" w:rsidP="002B7756">
      <w:pPr>
        <w:pStyle w:val="amprBodyText"/>
        <w:spacing w:before="120" w:after="120"/>
        <w:ind w:left="720"/>
        <w:rPr>
          <w:noProof/>
          <w:color w:val="007ACC" w:themeColor="hyperlink"/>
          <w:u w:val="single"/>
        </w:rPr>
      </w:pPr>
      <w:hyperlink r:id="rId51" w:history="1">
        <w:r w:rsidR="002B7756" w:rsidRPr="0051664E">
          <w:rPr>
            <w:rStyle w:val="Hyperlink"/>
            <w:noProof/>
          </w:rPr>
          <w:t>Brexit Adjustment Reserve</w:t>
        </w:r>
      </w:hyperlink>
    </w:p>
    <w:p w14:paraId="1B160482" w14:textId="77777777" w:rsidR="002B7756" w:rsidRDefault="002B7756" w:rsidP="002B7756">
      <w:pPr>
        <w:pStyle w:val="Style1"/>
        <w:rPr>
          <w:noProof/>
        </w:rPr>
      </w:pPr>
      <w:r>
        <w:rPr>
          <w:noProof/>
        </w:rPr>
        <w:t xml:space="preserve">Heading 3: </w:t>
      </w:r>
      <w:r w:rsidRPr="008D68AB">
        <w:rPr>
          <w:noProof/>
        </w:rPr>
        <w:t>Natural Resources &amp; Environment</w:t>
      </w:r>
    </w:p>
    <w:p w14:paraId="36B7AB05" w14:textId="77777777" w:rsidR="002B7756" w:rsidRDefault="00E01E9B" w:rsidP="002B7756">
      <w:pPr>
        <w:pStyle w:val="amprBodyText"/>
        <w:spacing w:before="120" w:after="120"/>
        <w:ind w:left="720"/>
        <w:rPr>
          <w:noProof/>
        </w:rPr>
      </w:pPr>
      <w:hyperlink r:id="rId52" w:history="1">
        <w:r w:rsidR="002B7756" w:rsidRPr="001B3680">
          <w:rPr>
            <w:rStyle w:val="Hyperlink"/>
            <w:noProof/>
          </w:rPr>
          <w:t>Common Agricultural Policy</w:t>
        </w:r>
      </w:hyperlink>
    </w:p>
    <w:p w14:paraId="3F28B6B5" w14:textId="77777777" w:rsidR="002B7756" w:rsidRDefault="00E01E9B" w:rsidP="002B7756">
      <w:pPr>
        <w:pStyle w:val="amprBodyText"/>
        <w:spacing w:before="120" w:after="120"/>
        <w:ind w:left="720"/>
        <w:rPr>
          <w:noProof/>
        </w:rPr>
      </w:pPr>
      <w:hyperlink r:id="rId53" w:history="1">
        <w:r w:rsidR="002B7756" w:rsidRPr="001B3680">
          <w:rPr>
            <w:rStyle w:val="Hyperlink"/>
            <w:noProof/>
          </w:rPr>
          <w:t>European Maritime, Fisheries and Aquaculture Fund</w:t>
        </w:r>
      </w:hyperlink>
    </w:p>
    <w:p w14:paraId="17F61A11" w14:textId="77777777" w:rsidR="002B7756" w:rsidRDefault="00E01E9B" w:rsidP="002B7756">
      <w:pPr>
        <w:pStyle w:val="amprBodyText"/>
        <w:spacing w:before="120" w:after="120"/>
        <w:ind w:left="720"/>
        <w:rPr>
          <w:noProof/>
        </w:rPr>
      </w:pPr>
      <w:hyperlink r:id="rId54" w:history="1">
        <w:r w:rsidR="002B7756" w:rsidRPr="001B3680">
          <w:rPr>
            <w:rStyle w:val="Hyperlink"/>
            <w:noProof/>
          </w:rPr>
          <w:t>Fisheries organisations and agreements</w:t>
        </w:r>
      </w:hyperlink>
    </w:p>
    <w:p w14:paraId="5752CF9F" w14:textId="77777777" w:rsidR="002B7756" w:rsidRDefault="00E01E9B" w:rsidP="002B7756">
      <w:pPr>
        <w:pStyle w:val="amprBodyText"/>
        <w:spacing w:before="120" w:after="120"/>
        <w:ind w:left="720"/>
        <w:rPr>
          <w:noProof/>
        </w:rPr>
      </w:pPr>
      <w:hyperlink r:id="rId55" w:history="1">
        <w:r w:rsidR="002B7756" w:rsidRPr="001B3680">
          <w:rPr>
            <w:rStyle w:val="Hyperlink"/>
            <w:noProof/>
          </w:rPr>
          <w:t>Programme for Environment and Climate Action (LIFE)</w:t>
        </w:r>
      </w:hyperlink>
    </w:p>
    <w:p w14:paraId="1EF3F19D" w14:textId="77777777" w:rsidR="002B7756" w:rsidRDefault="00E01E9B" w:rsidP="002B7756">
      <w:pPr>
        <w:pStyle w:val="amprBodyText"/>
        <w:spacing w:before="120" w:after="120"/>
        <w:ind w:left="720"/>
        <w:rPr>
          <w:noProof/>
        </w:rPr>
      </w:pPr>
      <w:hyperlink r:id="rId56" w:history="1">
        <w:r w:rsidR="002B7756" w:rsidRPr="0059040E">
          <w:rPr>
            <w:rStyle w:val="Hyperlink"/>
            <w:noProof/>
          </w:rPr>
          <w:t>Just Transition Mechanism</w:t>
        </w:r>
      </w:hyperlink>
    </w:p>
    <w:p w14:paraId="0F88C843" w14:textId="77777777" w:rsidR="002B7756" w:rsidRDefault="002B7756" w:rsidP="002B7756">
      <w:pPr>
        <w:pStyle w:val="Style1"/>
        <w:rPr>
          <w:noProof/>
        </w:rPr>
      </w:pPr>
      <w:r w:rsidRPr="008D68AB">
        <w:rPr>
          <w:noProof/>
        </w:rPr>
        <w:t>Heading 4: Migration &amp; Border Management</w:t>
      </w:r>
    </w:p>
    <w:p w14:paraId="0D777CF9" w14:textId="77777777" w:rsidR="002B7756" w:rsidRDefault="00E01E9B" w:rsidP="002B7756">
      <w:pPr>
        <w:pStyle w:val="amprBodyText"/>
        <w:spacing w:before="120" w:after="120"/>
        <w:ind w:left="720"/>
        <w:rPr>
          <w:noProof/>
        </w:rPr>
      </w:pPr>
      <w:hyperlink r:id="rId57" w:history="1">
        <w:r w:rsidR="002B7756" w:rsidRPr="0059040E">
          <w:rPr>
            <w:rStyle w:val="Hyperlink"/>
            <w:noProof/>
          </w:rPr>
          <w:t>Asylum, Migration and Integration Fund</w:t>
        </w:r>
      </w:hyperlink>
    </w:p>
    <w:p w14:paraId="3C020CA3" w14:textId="77777777" w:rsidR="002B7756" w:rsidRDefault="00E01E9B" w:rsidP="002B7756">
      <w:pPr>
        <w:pStyle w:val="amprBodyText"/>
        <w:spacing w:before="120" w:after="120"/>
        <w:ind w:left="720"/>
        <w:rPr>
          <w:noProof/>
        </w:rPr>
      </w:pPr>
      <w:hyperlink r:id="rId58" w:history="1">
        <w:r w:rsidR="002B7756" w:rsidRPr="0059040E">
          <w:rPr>
            <w:rStyle w:val="Hyperlink"/>
            <w:noProof/>
          </w:rPr>
          <w:t>Integrated Border Management Fund</w:t>
        </w:r>
      </w:hyperlink>
    </w:p>
    <w:p w14:paraId="35AB9B30" w14:textId="77777777" w:rsidR="002B7756" w:rsidRDefault="002B7756" w:rsidP="002B7756">
      <w:pPr>
        <w:pStyle w:val="Style1"/>
        <w:rPr>
          <w:noProof/>
        </w:rPr>
      </w:pPr>
      <w:r w:rsidRPr="008D68AB">
        <w:rPr>
          <w:noProof/>
        </w:rPr>
        <w:t>Heading 5: Security &amp; Defence</w:t>
      </w:r>
    </w:p>
    <w:p w14:paraId="136D4F57" w14:textId="77777777" w:rsidR="002B7756" w:rsidRDefault="00E01E9B" w:rsidP="002B7756">
      <w:pPr>
        <w:pStyle w:val="amprBodyText"/>
        <w:spacing w:before="120" w:after="120"/>
        <w:ind w:left="720"/>
        <w:rPr>
          <w:noProof/>
        </w:rPr>
      </w:pPr>
      <w:hyperlink r:id="rId59" w:history="1">
        <w:r w:rsidR="002B7756" w:rsidRPr="0059040E">
          <w:rPr>
            <w:rStyle w:val="Hyperlink"/>
            <w:noProof/>
          </w:rPr>
          <w:t>Internal Security Fund</w:t>
        </w:r>
      </w:hyperlink>
    </w:p>
    <w:p w14:paraId="63897A58" w14:textId="77777777" w:rsidR="002B7756" w:rsidRDefault="00E01E9B" w:rsidP="002B7756">
      <w:pPr>
        <w:pStyle w:val="amprBodyText"/>
        <w:spacing w:before="120" w:after="120"/>
        <w:ind w:left="720"/>
        <w:rPr>
          <w:noProof/>
        </w:rPr>
      </w:pPr>
      <w:hyperlink r:id="rId60" w:history="1">
        <w:r w:rsidR="002B7756" w:rsidRPr="0059040E">
          <w:rPr>
            <w:rStyle w:val="Hyperlink"/>
            <w:noProof/>
          </w:rPr>
          <w:t>Nuclear Decommissioning (Lithuania)</w:t>
        </w:r>
      </w:hyperlink>
    </w:p>
    <w:p w14:paraId="2C277596" w14:textId="77777777" w:rsidR="002B7756" w:rsidRDefault="00E01E9B" w:rsidP="002B7756">
      <w:pPr>
        <w:pStyle w:val="amprBodyText"/>
        <w:spacing w:before="120" w:after="120"/>
        <w:ind w:left="720"/>
        <w:rPr>
          <w:noProof/>
        </w:rPr>
      </w:pPr>
      <w:hyperlink r:id="rId61" w:history="1">
        <w:r w:rsidR="002B7756" w:rsidRPr="0059040E">
          <w:rPr>
            <w:rStyle w:val="Hyperlink"/>
            <w:noProof/>
          </w:rPr>
          <w:t>Nuclear Safety and Decommissioning</w:t>
        </w:r>
      </w:hyperlink>
    </w:p>
    <w:p w14:paraId="00D6B963" w14:textId="77777777" w:rsidR="002B7756" w:rsidRDefault="00E01E9B" w:rsidP="002B7756">
      <w:pPr>
        <w:pStyle w:val="amprBodyText"/>
        <w:spacing w:before="120" w:after="120"/>
        <w:ind w:left="720"/>
        <w:rPr>
          <w:noProof/>
        </w:rPr>
      </w:pPr>
      <w:hyperlink r:id="rId62" w:history="1">
        <w:r w:rsidR="002B7756" w:rsidRPr="0059040E">
          <w:rPr>
            <w:rStyle w:val="Hyperlink"/>
            <w:noProof/>
          </w:rPr>
          <w:t>European Defence Fund</w:t>
        </w:r>
      </w:hyperlink>
    </w:p>
    <w:p w14:paraId="4892BFCA" w14:textId="77777777" w:rsidR="002B7756" w:rsidRDefault="002B7756" w:rsidP="002B7756">
      <w:pPr>
        <w:pStyle w:val="Style1"/>
        <w:rPr>
          <w:noProof/>
        </w:rPr>
      </w:pPr>
      <w:r w:rsidRPr="008D68AB">
        <w:rPr>
          <w:noProof/>
        </w:rPr>
        <w:t>Heading 6: Neighbourhood &amp; the World</w:t>
      </w:r>
    </w:p>
    <w:p w14:paraId="40D48465" w14:textId="77777777" w:rsidR="002B7756" w:rsidRDefault="00E01E9B" w:rsidP="002B7756">
      <w:pPr>
        <w:pStyle w:val="amprBodyText"/>
        <w:spacing w:before="120" w:after="120"/>
        <w:ind w:left="720"/>
        <w:rPr>
          <w:noProof/>
        </w:rPr>
      </w:pPr>
      <w:hyperlink r:id="rId63" w:history="1">
        <w:r w:rsidR="002B7756" w:rsidRPr="0059040E">
          <w:rPr>
            <w:rStyle w:val="Hyperlink"/>
            <w:noProof/>
          </w:rPr>
          <w:t>Global Europe: Neighbourhood, Development and International Cooperation Instrument</w:t>
        </w:r>
      </w:hyperlink>
    </w:p>
    <w:p w14:paraId="33E7FE18" w14:textId="77777777" w:rsidR="002B7756" w:rsidRDefault="00E01E9B" w:rsidP="002B7756">
      <w:pPr>
        <w:pStyle w:val="amprBodyText"/>
        <w:spacing w:before="120" w:after="120"/>
        <w:ind w:left="720"/>
        <w:rPr>
          <w:noProof/>
        </w:rPr>
      </w:pPr>
      <w:hyperlink r:id="rId64" w:history="1">
        <w:r w:rsidR="002B7756" w:rsidRPr="0059040E">
          <w:rPr>
            <w:rStyle w:val="Hyperlink"/>
            <w:noProof/>
          </w:rPr>
          <w:t>European Instrument for International Nuclear Safety Cooperation</w:t>
        </w:r>
      </w:hyperlink>
    </w:p>
    <w:p w14:paraId="660BABAB" w14:textId="77777777" w:rsidR="002B7756" w:rsidRDefault="00E01E9B" w:rsidP="002B7756">
      <w:pPr>
        <w:pStyle w:val="amprBodyText"/>
        <w:spacing w:before="120" w:after="120"/>
        <w:ind w:left="720"/>
        <w:rPr>
          <w:noProof/>
        </w:rPr>
      </w:pPr>
      <w:hyperlink r:id="rId65" w:history="1">
        <w:r w:rsidR="002B7756" w:rsidRPr="0059040E">
          <w:rPr>
            <w:rStyle w:val="Hyperlink"/>
            <w:noProof/>
          </w:rPr>
          <w:t>Humanitarian Aid</w:t>
        </w:r>
      </w:hyperlink>
    </w:p>
    <w:p w14:paraId="68C5ADDD" w14:textId="77777777" w:rsidR="002B7756" w:rsidRDefault="00E01E9B" w:rsidP="002B7756">
      <w:pPr>
        <w:pStyle w:val="amprBodyText"/>
        <w:spacing w:before="120" w:after="120"/>
        <w:ind w:left="720"/>
        <w:rPr>
          <w:noProof/>
        </w:rPr>
      </w:pPr>
      <w:hyperlink r:id="rId66" w:history="1">
        <w:r w:rsidR="002B7756" w:rsidRPr="0059040E">
          <w:rPr>
            <w:rStyle w:val="Hyperlink"/>
            <w:noProof/>
          </w:rPr>
          <w:t>Common Foreign and Security Policy</w:t>
        </w:r>
      </w:hyperlink>
    </w:p>
    <w:p w14:paraId="02ABE2F6" w14:textId="77777777" w:rsidR="002B7756" w:rsidRDefault="00E01E9B" w:rsidP="002B7756">
      <w:pPr>
        <w:pStyle w:val="amprBodyText"/>
        <w:spacing w:before="120" w:after="120"/>
        <w:ind w:left="720"/>
        <w:rPr>
          <w:noProof/>
        </w:rPr>
      </w:pPr>
      <w:hyperlink r:id="rId67" w:history="1">
        <w:r w:rsidR="002B7756" w:rsidRPr="0059040E">
          <w:rPr>
            <w:rStyle w:val="Hyperlink"/>
            <w:noProof/>
          </w:rPr>
          <w:t>Overseas Countries and Territories</w:t>
        </w:r>
      </w:hyperlink>
    </w:p>
    <w:p w14:paraId="172EAB85" w14:textId="77777777" w:rsidR="002B7756" w:rsidRDefault="00E01E9B" w:rsidP="002B7756">
      <w:pPr>
        <w:pStyle w:val="amprBodyText"/>
        <w:spacing w:before="120" w:after="120"/>
        <w:ind w:left="720"/>
        <w:rPr>
          <w:noProof/>
        </w:rPr>
      </w:pPr>
      <w:hyperlink r:id="rId68" w:history="1">
        <w:r w:rsidR="002B7756" w:rsidRPr="0059040E">
          <w:rPr>
            <w:rStyle w:val="Hyperlink"/>
            <w:noProof/>
          </w:rPr>
          <w:t>Macro-Financial Assistance (MFA)</w:t>
        </w:r>
      </w:hyperlink>
    </w:p>
    <w:p w14:paraId="7476D0FA" w14:textId="77777777" w:rsidR="002B7756" w:rsidRDefault="00E01E9B" w:rsidP="002B7756">
      <w:pPr>
        <w:pStyle w:val="amprBodyText"/>
        <w:spacing w:before="120" w:after="120"/>
        <w:ind w:left="720"/>
        <w:rPr>
          <w:noProof/>
        </w:rPr>
      </w:pPr>
      <w:hyperlink r:id="rId69" w:history="1">
        <w:r w:rsidR="002B7756" w:rsidRPr="0059040E">
          <w:rPr>
            <w:rStyle w:val="Hyperlink"/>
            <w:noProof/>
          </w:rPr>
          <w:t>Pre-Accession Assistance</w:t>
        </w:r>
      </w:hyperlink>
    </w:p>
    <w:p w14:paraId="0D3BF87D" w14:textId="77777777" w:rsidR="002B7756" w:rsidRDefault="002B7756" w:rsidP="002B7756">
      <w:pPr>
        <w:pStyle w:val="Style1"/>
        <w:rPr>
          <w:noProof/>
        </w:rPr>
      </w:pPr>
      <w:r w:rsidRPr="008D68AB">
        <w:rPr>
          <w:noProof/>
        </w:rPr>
        <w:t>Special instruments and outside the MFF</w:t>
      </w:r>
    </w:p>
    <w:p w14:paraId="50B89C04" w14:textId="77777777" w:rsidR="002B7756" w:rsidRDefault="00E01E9B" w:rsidP="002B7756">
      <w:pPr>
        <w:pStyle w:val="amprBodyText"/>
        <w:spacing w:before="120" w:after="120"/>
        <w:ind w:left="720"/>
        <w:rPr>
          <w:noProof/>
        </w:rPr>
      </w:pPr>
      <w:hyperlink r:id="rId70" w:history="1">
        <w:r w:rsidR="002B7756" w:rsidRPr="0059040E">
          <w:rPr>
            <w:rStyle w:val="Hyperlink"/>
            <w:noProof/>
          </w:rPr>
          <w:t>European Globalisation Adjustment Fund for Displaced Workers</w:t>
        </w:r>
      </w:hyperlink>
    </w:p>
    <w:p w14:paraId="55461FAA" w14:textId="77777777" w:rsidR="002B7756" w:rsidRDefault="00E01E9B" w:rsidP="002B7756">
      <w:pPr>
        <w:pStyle w:val="amprBodyText"/>
        <w:spacing w:before="120" w:after="120"/>
        <w:ind w:left="720"/>
        <w:rPr>
          <w:noProof/>
        </w:rPr>
      </w:pPr>
      <w:hyperlink r:id="rId71" w:history="1">
        <w:r w:rsidR="002B7756" w:rsidRPr="0059040E">
          <w:rPr>
            <w:rStyle w:val="Hyperlink"/>
            <w:noProof/>
          </w:rPr>
          <w:t>European Union Solidarity Fund</w:t>
        </w:r>
      </w:hyperlink>
    </w:p>
    <w:p w14:paraId="6148AED4" w14:textId="77BA0318" w:rsidR="00D26688" w:rsidRPr="003F7A53" w:rsidRDefault="00E01E9B" w:rsidP="003F7A53">
      <w:pPr>
        <w:pStyle w:val="amprBodyText"/>
        <w:spacing w:before="120" w:after="120"/>
        <w:ind w:left="720"/>
        <w:rPr>
          <w:noProof/>
          <w:highlight w:val="yellow"/>
        </w:rPr>
      </w:pPr>
      <w:hyperlink r:id="rId72" w:history="1">
        <w:r w:rsidR="002B7756" w:rsidRPr="0059040E">
          <w:rPr>
            <w:rStyle w:val="Hyperlink"/>
            <w:noProof/>
          </w:rPr>
          <w:t>Innovation Fund</w:t>
        </w:r>
      </w:hyperlink>
      <w:r w:rsidR="00D26688" w:rsidRPr="00EE3663">
        <w:rPr>
          <w:noProof/>
        </w:rPr>
        <w:br w:type="page"/>
      </w:r>
    </w:p>
    <w:p w14:paraId="3C67E677" w14:textId="77777777" w:rsidR="00D26688" w:rsidRPr="00EE3663" w:rsidRDefault="00D26688" w:rsidP="001130BD">
      <w:pPr>
        <w:pStyle w:val="amprH2TITLE1-Numbered-1"/>
        <w:rPr>
          <w:noProof/>
        </w:rPr>
      </w:pPr>
      <w:bookmarkStart w:id="6" w:name="_Toc102086327"/>
      <w:r w:rsidRPr="00EE3663">
        <w:rPr>
          <w:noProof/>
        </w:rPr>
        <w:t>Introduction</w:t>
      </w:r>
      <w:bookmarkEnd w:id="6"/>
    </w:p>
    <w:p w14:paraId="790128D6" w14:textId="2B299C08" w:rsidR="00D26688" w:rsidRPr="00EE3663" w:rsidRDefault="00D26688" w:rsidP="006A09DC">
      <w:pPr>
        <w:pStyle w:val="amprBodyText"/>
        <w:rPr>
          <w:noProof/>
        </w:rPr>
      </w:pPr>
      <w:r w:rsidRPr="00EE3663">
        <w:rPr>
          <w:noProof/>
        </w:rPr>
        <w:t xml:space="preserve">The Commission is committed to presenting accurate, reliable and understandable performance information relating to </w:t>
      </w:r>
      <w:r w:rsidR="00510677">
        <w:rPr>
          <w:noProof/>
        </w:rPr>
        <w:t>EU</w:t>
      </w:r>
      <w:r w:rsidRPr="00EE3663">
        <w:rPr>
          <w:noProof/>
        </w:rPr>
        <w:t xml:space="preserve"> spending programmes. This annex to the </w:t>
      </w:r>
      <w:r>
        <w:rPr>
          <w:noProof/>
        </w:rPr>
        <w:t>a</w:t>
      </w:r>
      <w:r w:rsidRPr="00EE3663">
        <w:rPr>
          <w:noProof/>
        </w:rPr>
        <w:t xml:space="preserve">nnual </w:t>
      </w:r>
      <w:r>
        <w:rPr>
          <w:noProof/>
        </w:rPr>
        <w:t>m</w:t>
      </w:r>
      <w:r w:rsidRPr="00EE3663">
        <w:rPr>
          <w:noProof/>
        </w:rPr>
        <w:t xml:space="preserve">anagement and </w:t>
      </w:r>
      <w:r>
        <w:rPr>
          <w:noProof/>
        </w:rPr>
        <w:t>p</w:t>
      </w:r>
      <w:r w:rsidRPr="00EE3663">
        <w:rPr>
          <w:noProof/>
        </w:rPr>
        <w:t xml:space="preserve">erformance </w:t>
      </w:r>
      <w:r>
        <w:rPr>
          <w:noProof/>
        </w:rPr>
        <w:t>r</w:t>
      </w:r>
      <w:r w:rsidRPr="00EE3663">
        <w:rPr>
          <w:noProof/>
        </w:rPr>
        <w:t xml:space="preserve">eport contains the </w:t>
      </w:r>
      <w:r>
        <w:rPr>
          <w:noProof/>
        </w:rPr>
        <w:t>p</w:t>
      </w:r>
      <w:r w:rsidRPr="00EE3663">
        <w:rPr>
          <w:noProof/>
        </w:rPr>
        <w:t xml:space="preserve">rogramme </w:t>
      </w:r>
      <w:r>
        <w:rPr>
          <w:noProof/>
        </w:rPr>
        <w:t>p</w:t>
      </w:r>
      <w:r w:rsidRPr="00EE3663">
        <w:rPr>
          <w:noProof/>
        </w:rPr>
        <w:t xml:space="preserve">erformance </w:t>
      </w:r>
      <w:r>
        <w:rPr>
          <w:noProof/>
        </w:rPr>
        <w:t>o</w:t>
      </w:r>
      <w:r w:rsidRPr="00EE3663">
        <w:rPr>
          <w:noProof/>
        </w:rPr>
        <w:t xml:space="preserve">verview, which is drawn from the programme statements attached to the 2023 draft budget. This overview presents all </w:t>
      </w:r>
      <w:r>
        <w:rPr>
          <w:noProof/>
        </w:rPr>
        <w:t xml:space="preserve">of the </w:t>
      </w:r>
      <w:r w:rsidRPr="00EE3663">
        <w:rPr>
          <w:noProof/>
        </w:rPr>
        <w:t>EU spending programmes for the 2021</w:t>
      </w:r>
      <w:r>
        <w:rPr>
          <w:noProof/>
        </w:rPr>
        <w:t>-</w:t>
      </w:r>
      <w:r w:rsidRPr="00EE3663">
        <w:rPr>
          <w:noProof/>
        </w:rPr>
        <w:t xml:space="preserve">2027 period in a concise and uniform format. In addition, </w:t>
      </w:r>
      <w:r>
        <w:rPr>
          <w:noProof/>
        </w:rPr>
        <w:t>it</w:t>
      </w:r>
      <w:r w:rsidRPr="00EE3663">
        <w:rPr>
          <w:noProof/>
        </w:rPr>
        <w:t xml:space="preserve"> presents the implementation and the performance of the programmes for the 2014-2020 period for which relevant payments were still </w:t>
      </w:r>
      <w:r>
        <w:rPr>
          <w:noProof/>
        </w:rPr>
        <w:t xml:space="preserve">being </w:t>
      </w:r>
      <w:r w:rsidRPr="00EE3663">
        <w:rPr>
          <w:noProof/>
        </w:rPr>
        <w:t>implemented in 2021.</w:t>
      </w:r>
    </w:p>
    <w:p w14:paraId="3C889021" w14:textId="77777777" w:rsidR="00D26688" w:rsidRPr="00EE3663" w:rsidRDefault="00D26688" w:rsidP="006A09DC">
      <w:pPr>
        <w:pStyle w:val="amprBodyText"/>
        <w:rPr>
          <w:noProof/>
        </w:rPr>
      </w:pPr>
      <w:r w:rsidRPr="00EE3663">
        <w:rPr>
          <w:noProof/>
        </w:rPr>
        <w:t xml:space="preserve">For each programme, the overview contains a </w:t>
      </w:r>
      <w:r>
        <w:rPr>
          <w:noProof/>
        </w:rPr>
        <w:t>file</w:t>
      </w:r>
      <w:r w:rsidRPr="00EE3663">
        <w:rPr>
          <w:noProof/>
        </w:rPr>
        <w:t xml:space="preserve"> with </w:t>
      </w:r>
      <w:r>
        <w:rPr>
          <w:noProof/>
        </w:rPr>
        <w:t xml:space="preserve">the following </w:t>
      </w:r>
      <w:r w:rsidRPr="00EE3663">
        <w:rPr>
          <w:noProof/>
        </w:rPr>
        <w:t>information</w:t>
      </w:r>
      <w:r>
        <w:rPr>
          <w:noProof/>
        </w:rPr>
        <w:t>.</w:t>
      </w:r>
    </w:p>
    <w:p w14:paraId="5E0E1B87" w14:textId="77777777" w:rsidR="00D26688" w:rsidRPr="00EE3663" w:rsidRDefault="00D26688" w:rsidP="006A09DC">
      <w:pPr>
        <w:pStyle w:val="amprLISTgreenbullets-L1"/>
        <w:rPr>
          <w:noProof/>
        </w:rPr>
      </w:pPr>
      <w:r w:rsidRPr="00EE3663">
        <w:rPr>
          <w:noProof/>
        </w:rPr>
        <w:t xml:space="preserve">Concrete examples of </w:t>
      </w:r>
      <w:r>
        <w:rPr>
          <w:noProof/>
        </w:rPr>
        <w:t xml:space="preserve">the </w:t>
      </w:r>
      <w:r w:rsidRPr="00EE3663">
        <w:rPr>
          <w:noProof/>
        </w:rPr>
        <w:t>main achievements of both the 2021-2027 and 2014-2020 programmes.</w:t>
      </w:r>
    </w:p>
    <w:p w14:paraId="5E42E634" w14:textId="77777777" w:rsidR="00D26688" w:rsidRPr="00EE3663" w:rsidRDefault="00D26688" w:rsidP="006A09DC">
      <w:pPr>
        <w:pStyle w:val="amprLISTgreenbullets-L1"/>
        <w:rPr>
          <w:noProof/>
        </w:rPr>
      </w:pPr>
      <w:r w:rsidRPr="00EE3663">
        <w:rPr>
          <w:noProof/>
        </w:rPr>
        <w:t>For each 2021-2027 programme:</w:t>
      </w:r>
    </w:p>
    <w:p w14:paraId="478642C4" w14:textId="77777777" w:rsidR="00D26688" w:rsidRPr="00EE3663" w:rsidRDefault="00D26688" w:rsidP="006A09DC">
      <w:pPr>
        <w:pStyle w:val="amprLISTgreenbullets-L2"/>
        <w:rPr>
          <w:noProof/>
        </w:rPr>
      </w:pPr>
      <w:r>
        <w:rPr>
          <w:noProof/>
        </w:rPr>
        <w:t xml:space="preserve">the </w:t>
      </w:r>
      <w:r w:rsidRPr="00EE3663">
        <w:rPr>
          <w:noProof/>
        </w:rPr>
        <w:t>2021-2027</w:t>
      </w:r>
      <w:r w:rsidRPr="003E4450">
        <w:rPr>
          <w:noProof/>
        </w:rPr>
        <w:t xml:space="preserve"> </w:t>
      </w:r>
      <w:r>
        <w:rPr>
          <w:noProof/>
        </w:rPr>
        <w:t>b</w:t>
      </w:r>
      <w:r w:rsidRPr="00EE3663">
        <w:rPr>
          <w:noProof/>
        </w:rPr>
        <w:t>udget;</w:t>
      </w:r>
    </w:p>
    <w:p w14:paraId="04BC25EF" w14:textId="77777777" w:rsidR="00D26688" w:rsidRPr="00EE3663" w:rsidRDefault="00D26688" w:rsidP="006A09DC">
      <w:pPr>
        <w:pStyle w:val="amprLISTgreenbullets-L2"/>
        <w:rPr>
          <w:noProof/>
        </w:rPr>
      </w:pPr>
      <w:r>
        <w:rPr>
          <w:noProof/>
        </w:rPr>
        <w:t>the r</w:t>
      </w:r>
      <w:r w:rsidRPr="00EE3663">
        <w:rPr>
          <w:noProof/>
        </w:rPr>
        <w:t>ationale and design of the programme;</w:t>
      </w:r>
    </w:p>
    <w:p w14:paraId="4107F54D" w14:textId="77777777" w:rsidR="00D26688" w:rsidRPr="00EE3663" w:rsidRDefault="00D26688" w:rsidP="006A09DC">
      <w:pPr>
        <w:pStyle w:val="amprLISTgreenbullets-L2"/>
        <w:rPr>
          <w:noProof/>
        </w:rPr>
      </w:pPr>
      <w:r>
        <w:rPr>
          <w:noProof/>
        </w:rPr>
        <w:t>the l</w:t>
      </w:r>
      <w:r w:rsidRPr="00EE3663">
        <w:rPr>
          <w:noProof/>
        </w:rPr>
        <w:t>egal bas</w:t>
      </w:r>
      <w:r>
        <w:rPr>
          <w:noProof/>
        </w:rPr>
        <w:t>is</w:t>
      </w:r>
      <w:r w:rsidRPr="00EE3663">
        <w:rPr>
          <w:noProof/>
        </w:rPr>
        <w:t>;</w:t>
      </w:r>
    </w:p>
    <w:p w14:paraId="695A5CA4" w14:textId="77777777" w:rsidR="00D26688" w:rsidRPr="00EE3663" w:rsidRDefault="00D26688" w:rsidP="006A09DC">
      <w:pPr>
        <w:pStyle w:val="amprLISTgreenbullets-L2"/>
        <w:rPr>
          <w:noProof/>
        </w:rPr>
      </w:pPr>
      <w:r>
        <w:rPr>
          <w:noProof/>
        </w:rPr>
        <w:t>the b</w:t>
      </w:r>
      <w:r w:rsidRPr="00EE3663">
        <w:rPr>
          <w:noProof/>
        </w:rPr>
        <w:t>udget implementation;</w:t>
      </w:r>
    </w:p>
    <w:p w14:paraId="4AA0FF55" w14:textId="77777777" w:rsidR="00D26688" w:rsidRPr="00EE3663" w:rsidRDefault="00D26688" w:rsidP="006A09DC">
      <w:pPr>
        <w:pStyle w:val="amprLISTgreenbullets-L2"/>
        <w:rPr>
          <w:noProof/>
        </w:rPr>
      </w:pPr>
      <w:r>
        <w:rPr>
          <w:noProof/>
        </w:rPr>
        <w:t>the c</w:t>
      </w:r>
      <w:r w:rsidRPr="00EE3663">
        <w:rPr>
          <w:noProof/>
        </w:rPr>
        <w:t>ontribution to horizontal priorities (climate, biodiversity and gender);</w:t>
      </w:r>
    </w:p>
    <w:p w14:paraId="1D702E1B" w14:textId="77777777" w:rsidR="00D26688" w:rsidRPr="00EE3663" w:rsidRDefault="00D26688" w:rsidP="006A09DC">
      <w:pPr>
        <w:pStyle w:val="amprLISTgreenbullets-L2"/>
        <w:rPr>
          <w:noProof/>
        </w:rPr>
      </w:pPr>
      <w:r>
        <w:rPr>
          <w:noProof/>
        </w:rPr>
        <w:t>a</w:t>
      </w:r>
      <w:r w:rsidRPr="00EE3663">
        <w:rPr>
          <w:noProof/>
        </w:rPr>
        <w:t>n assessment of the performance of the programme based on currently available information.</w:t>
      </w:r>
    </w:p>
    <w:p w14:paraId="73A58D8F" w14:textId="77777777" w:rsidR="00D26688" w:rsidRPr="00EE3663" w:rsidRDefault="00D26688" w:rsidP="006A09DC">
      <w:pPr>
        <w:pStyle w:val="amprLISTgreenbullets-L1"/>
        <w:rPr>
          <w:noProof/>
        </w:rPr>
      </w:pPr>
      <w:r w:rsidRPr="00EE3663">
        <w:rPr>
          <w:noProof/>
        </w:rPr>
        <w:t>For each 2014-2020 predecessor programme (if applicable):</w:t>
      </w:r>
    </w:p>
    <w:p w14:paraId="3134994B" w14:textId="77777777" w:rsidR="00D26688" w:rsidRPr="00EE3663" w:rsidRDefault="00D26688" w:rsidP="006A09DC">
      <w:pPr>
        <w:pStyle w:val="amprLISTgreenbullets-L2"/>
        <w:rPr>
          <w:noProof/>
        </w:rPr>
      </w:pPr>
      <w:r>
        <w:rPr>
          <w:noProof/>
        </w:rPr>
        <w:t>the b</w:t>
      </w:r>
      <w:r w:rsidRPr="00EE3663">
        <w:rPr>
          <w:noProof/>
        </w:rPr>
        <w:t>udget implementation;</w:t>
      </w:r>
    </w:p>
    <w:p w14:paraId="49E98CEA" w14:textId="77777777" w:rsidR="00D26688" w:rsidRPr="00EE3663" w:rsidRDefault="00D26688" w:rsidP="006A09DC">
      <w:pPr>
        <w:pStyle w:val="amprLISTgreenbullets-L2"/>
        <w:rPr>
          <w:noProof/>
        </w:rPr>
      </w:pPr>
      <w:r>
        <w:rPr>
          <w:noProof/>
        </w:rPr>
        <w:t>a</w:t>
      </w:r>
      <w:r w:rsidRPr="00EE3663">
        <w:rPr>
          <w:noProof/>
        </w:rPr>
        <w:t>n assessment of the performance of the programme based on currently available information.</w:t>
      </w:r>
    </w:p>
    <w:p w14:paraId="1FCFCF77" w14:textId="77777777" w:rsidR="00D26688" w:rsidRPr="00EE3663" w:rsidRDefault="00D26688" w:rsidP="006A09DC">
      <w:pPr>
        <w:pStyle w:val="amprBodyText"/>
        <w:rPr>
          <w:noProof/>
        </w:rPr>
      </w:pPr>
      <w:r w:rsidRPr="00EE3663">
        <w:rPr>
          <w:noProof/>
        </w:rPr>
        <w:t>The ‘Performance assessment’ section presents a summary of the overall progress towards achieving the programme objectives. In addition, the ‘Key performance indicators’ section includes an assessment of whether the indicators are on track to reach their targets.</w:t>
      </w:r>
    </w:p>
    <w:p w14:paraId="0256D5A3" w14:textId="35C458BB" w:rsidR="00D26688" w:rsidRPr="00EE3663" w:rsidRDefault="00D26688" w:rsidP="006A09DC">
      <w:pPr>
        <w:pStyle w:val="amprBodyText"/>
        <w:rPr>
          <w:noProof/>
        </w:rPr>
      </w:pPr>
      <w:r w:rsidRPr="00EE3663">
        <w:rPr>
          <w:noProof/>
        </w:rPr>
        <w:t xml:space="preserve">It </w:t>
      </w:r>
      <w:r>
        <w:rPr>
          <w:noProof/>
        </w:rPr>
        <w:t xml:space="preserve">should be </w:t>
      </w:r>
      <w:r w:rsidR="00510677">
        <w:rPr>
          <w:noProof/>
        </w:rPr>
        <w:t>kept in mind</w:t>
      </w:r>
      <w:r w:rsidR="00510677" w:rsidRPr="00EE3663">
        <w:rPr>
          <w:noProof/>
        </w:rPr>
        <w:t xml:space="preserve"> </w:t>
      </w:r>
      <w:r w:rsidRPr="00EE3663">
        <w:rPr>
          <w:noProof/>
        </w:rPr>
        <w:t>that, with most of the 2021-2027 programmes having barely been launched in 2021, in most cases little implementation data, if any</w:t>
      </w:r>
      <w:r>
        <w:rPr>
          <w:noProof/>
        </w:rPr>
        <w:t xml:space="preserve">, is yet </w:t>
      </w:r>
      <w:r w:rsidRPr="00EE3663">
        <w:rPr>
          <w:noProof/>
        </w:rPr>
        <w:t xml:space="preserve">available. Moreover, given the multiannual life cycle of EU spending programmes, information on actual results may only become available a number of years after the start of programme implementation. This applies, in particular, to the European Structural and Investment Funds </w:t>
      </w:r>
      <w:r>
        <w:rPr>
          <w:noProof/>
        </w:rPr>
        <w:t xml:space="preserve">and </w:t>
      </w:r>
      <w:r w:rsidRPr="00EE3663">
        <w:rPr>
          <w:noProof/>
        </w:rPr>
        <w:t>other long-term investment programmes. On the other hand, the implementation of certain programmes from the 2014-2020 programming period is</w:t>
      </w:r>
      <w:r w:rsidR="00F015BB">
        <w:rPr>
          <w:noProof/>
        </w:rPr>
        <w:t xml:space="preserve"> still</w:t>
      </w:r>
      <w:r w:rsidRPr="00EE3663">
        <w:rPr>
          <w:noProof/>
        </w:rPr>
        <w:t xml:space="preserve"> </w:t>
      </w:r>
      <w:r>
        <w:rPr>
          <w:noProof/>
        </w:rPr>
        <w:t>ongo</w:t>
      </w:r>
      <w:r w:rsidRPr="00EE3663">
        <w:rPr>
          <w:noProof/>
        </w:rPr>
        <w:t>ing</w:t>
      </w:r>
      <w:r>
        <w:rPr>
          <w:noProof/>
        </w:rPr>
        <w:t>,</w:t>
      </w:r>
      <w:r w:rsidRPr="00EE3663">
        <w:rPr>
          <w:noProof/>
        </w:rPr>
        <w:t xml:space="preserve"> and will continue for a number of years, as provided for in their </w:t>
      </w:r>
      <w:r w:rsidR="00F015BB">
        <w:rPr>
          <w:noProof/>
        </w:rPr>
        <w:t xml:space="preserve">respective </w:t>
      </w:r>
      <w:r w:rsidRPr="00EE3663">
        <w:rPr>
          <w:noProof/>
        </w:rPr>
        <w:t>legal bases. A novel feature of this reporting exercise is that we also report on the results of such ongoing 2014-2020 programmes.</w:t>
      </w:r>
    </w:p>
    <w:p w14:paraId="584E73AE" w14:textId="665ED252" w:rsidR="00D26688" w:rsidRPr="00EE3663" w:rsidRDefault="00D26688" w:rsidP="006A09DC">
      <w:pPr>
        <w:pStyle w:val="amprBodyText"/>
        <w:rPr>
          <w:noProof/>
        </w:rPr>
      </w:pPr>
      <w:r w:rsidRPr="00EE3663">
        <w:rPr>
          <w:noProof/>
        </w:rPr>
        <w:t>The information summarised and presented in this overview for each individual programme does not replace the full set of data and performance information as required by Article</w:t>
      </w:r>
      <w:r>
        <w:rPr>
          <w:rFonts w:ascii="Calibri" w:hAnsi="Calibri" w:cs="Calibri"/>
          <w:noProof/>
        </w:rPr>
        <w:t> </w:t>
      </w:r>
      <w:r w:rsidRPr="00EE3663">
        <w:rPr>
          <w:noProof/>
        </w:rPr>
        <w:t>41(3)(h) of the financial regulation</w:t>
      </w:r>
      <w:r>
        <w:rPr>
          <w:rFonts w:ascii="Calibri" w:hAnsi="Calibri" w:cs="Calibri"/>
          <w:noProof/>
        </w:rPr>
        <w:t> </w:t>
      </w:r>
      <w:r w:rsidRPr="00EE3663">
        <w:rPr>
          <w:noProof/>
        </w:rPr>
        <w:t>(</w:t>
      </w:r>
      <w:r w:rsidRPr="005051BA">
        <w:rPr>
          <w:rStyle w:val="FootnoteReference"/>
          <w:noProof/>
        </w:rPr>
        <w:footnoteReference w:id="2"/>
      </w:r>
      <w:r w:rsidRPr="00EE3663">
        <w:rPr>
          <w:noProof/>
        </w:rPr>
        <w:t>)</w:t>
      </w:r>
      <w:r w:rsidR="00F015BB">
        <w:rPr>
          <w:noProof/>
        </w:rPr>
        <w:t xml:space="preserve"> </w:t>
      </w:r>
      <w:r w:rsidR="00F015BB">
        <w:rPr>
          <w:rFonts w:ascii="Calibri" w:hAnsi="Calibri" w:cs="Calibri"/>
          <w:noProof/>
        </w:rPr>
        <w:t>when the Commission presents the proposed draft budget</w:t>
      </w:r>
      <w:r w:rsidRPr="00EE3663">
        <w:rPr>
          <w:noProof/>
        </w:rPr>
        <w:t xml:space="preserve">. A complete overview of all 48 EU spending programmes is presented in the </w:t>
      </w:r>
      <w:r w:rsidRPr="005051BA">
        <w:rPr>
          <w:i/>
          <w:iCs/>
          <w:noProof/>
        </w:rPr>
        <w:t>Working Document Part</w:t>
      </w:r>
      <w:r w:rsidRPr="005051BA">
        <w:rPr>
          <w:rFonts w:ascii="Calibri" w:hAnsi="Calibri" w:cs="Calibri"/>
          <w:i/>
          <w:iCs/>
          <w:noProof/>
        </w:rPr>
        <w:t> </w:t>
      </w:r>
      <w:r w:rsidRPr="005051BA">
        <w:rPr>
          <w:i/>
          <w:iCs/>
          <w:noProof/>
        </w:rPr>
        <w:t>I</w:t>
      </w:r>
      <w:r w:rsidRPr="005051BA">
        <w:rPr>
          <w:rFonts w:ascii="Calibri" w:hAnsi="Calibri" w:cs="Calibri"/>
          <w:i/>
          <w:iCs/>
          <w:noProof/>
        </w:rPr>
        <w:t> </w:t>
      </w:r>
      <w:r w:rsidRPr="005051BA">
        <w:rPr>
          <w:i/>
          <w:iCs/>
          <w:noProof/>
        </w:rPr>
        <w:t>– Programme statements of operational expenditure of the 2023 draft budget</w:t>
      </w:r>
      <w:r w:rsidRPr="00EE3663">
        <w:rPr>
          <w:noProof/>
        </w:rPr>
        <w:t>.</w:t>
      </w:r>
    </w:p>
    <w:p w14:paraId="309EEE70" w14:textId="77777777" w:rsidR="00D26688" w:rsidRPr="00EE3663" w:rsidRDefault="00D26688" w:rsidP="001130BD">
      <w:pPr>
        <w:pStyle w:val="amprH2TITLE1-Numbered-1"/>
        <w:rPr>
          <w:noProof/>
        </w:rPr>
      </w:pPr>
      <w:bookmarkStart w:id="7" w:name="_Toc102086328"/>
      <w:r w:rsidRPr="00EE3663">
        <w:rPr>
          <w:noProof/>
        </w:rPr>
        <w:t>Financial information: methodology</w:t>
      </w:r>
      <w:bookmarkEnd w:id="7"/>
    </w:p>
    <w:p w14:paraId="5126D0BF" w14:textId="794635FE" w:rsidR="009065E5" w:rsidRPr="00EE3663" w:rsidRDefault="009065E5" w:rsidP="009065E5">
      <w:pPr>
        <w:pStyle w:val="amprBodyText"/>
        <w:rPr>
          <w:noProof/>
        </w:rPr>
      </w:pPr>
      <w:r w:rsidRPr="00EE3663">
        <w:rPr>
          <w:noProof/>
        </w:rPr>
        <w:t>The purpose of the financial information presented in the programme performance overview is to enable the reader to make the link between the funds made available for a specific topic and the results achieved through these funds.</w:t>
      </w:r>
    </w:p>
    <w:p w14:paraId="59231DC1" w14:textId="159258D2" w:rsidR="009065E5" w:rsidRPr="00EE3663" w:rsidRDefault="009065E5" w:rsidP="009065E5">
      <w:pPr>
        <w:pStyle w:val="amprBodyText"/>
        <w:rPr>
          <w:noProof/>
        </w:rPr>
      </w:pPr>
      <w:r w:rsidRPr="00EE3663">
        <w:rPr>
          <w:noProof/>
        </w:rPr>
        <w:t>The methodology takes into account the fact that the EU budget uses different categories of expenditure (or ‘fund sources’), and it is important to include all of them to present a full picture of the financial efforts made to achiev</w:t>
      </w:r>
      <w:r>
        <w:rPr>
          <w:noProof/>
        </w:rPr>
        <w:t>e</w:t>
      </w:r>
      <w:r w:rsidRPr="00EE3663">
        <w:rPr>
          <w:noProof/>
        </w:rPr>
        <w:t xml:space="preserve"> the objectives. Each programme </w:t>
      </w:r>
      <w:r>
        <w:rPr>
          <w:noProof/>
        </w:rPr>
        <w:t>file</w:t>
      </w:r>
      <w:r w:rsidRPr="00EE3663">
        <w:rPr>
          <w:noProof/>
        </w:rPr>
        <w:t xml:space="preserve"> presents financial information on both the 2021-</w:t>
      </w:r>
      <w:r>
        <w:rPr>
          <w:noProof/>
        </w:rPr>
        <w:t>20</w:t>
      </w:r>
      <w:r w:rsidRPr="00EE3663">
        <w:rPr>
          <w:noProof/>
        </w:rPr>
        <w:t>27 programme and its predecessor programme(s)</w:t>
      </w:r>
      <w:r>
        <w:rPr>
          <w:noProof/>
        </w:rPr>
        <w:t>,</w:t>
      </w:r>
      <w:r w:rsidRPr="00EE3663">
        <w:rPr>
          <w:noProof/>
        </w:rPr>
        <w:t xml:space="preserve"> </w:t>
      </w:r>
      <w:r w:rsidR="00F015BB">
        <w:rPr>
          <w:noProof/>
        </w:rPr>
        <w:t>insofar as</w:t>
      </w:r>
      <w:r w:rsidRPr="00EE3663">
        <w:rPr>
          <w:noProof/>
        </w:rPr>
        <w:t xml:space="preserve"> they remain relevant. Due to the evolving nature of the EU budget, additional fund sources have been included in the financial information on the 2021-</w:t>
      </w:r>
      <w:r>
        <w:rPr>
          <w:noProof/>
        </w:rPr>
        <w:t>20</w:t>
      </w:r>
      <w:r w:rsidRPr="00EE3663">
        <w:rPr>
          <w:noProof/>
        </w:rPr>
        <w:t xml:space="preserve">27 programme. For this reason, the methodology varies between the two </w:t>
      </w:r>
      <w:r>
        <w:rPr>
          <w:noProof/>
        </w:rPr>
        <w:t>multiannual financial framework</w:t>
      </w:r>
      <w:r w:rsidRPr="00EE3663">
        <w:rPr>
          <w:noProof/>
        </w:rPr>
        <w:t>s.</w:t>
      </w:r>
    </w:p>
    <w:p w14:paraId="0C8C6BEF" w14:textId="77777777" w:rsidR="00D26688" w:rsidRPr="00EE3663" w:rsidRDefault="00D26688" w:rsidP="006A09DC">
      <w:pPr>
        <w:pStyle w:val="amprBodyText"/>
        <w:rPr>
          <w:b/>
          <w:noProof/>
        </w:rPr>
      </w:pPr>
      <w:r w:rsidRPr="005051BA">
        <w:rPr>
          <w:bCs/>
          <w:noProof/>
        </w:rPr>
        <w:t>With respect to the 2014-2020 programmes</w:t>
      </w:r>
      <w:r w:rsidRPr="00073084">
        <w:rPr>
          <w:noProof/>
        </w:rPr>
        <w:t>, the following should be noted.</w:t>
      </w:r>
    </w:p>
    <w:p w14:paraId="02155BA9" w14:textId="77777777" w:rsidR="00D26688" w:rsidRPr="00EE3663" w:rsidRDefault="00D26688" w:rsidP="006A09DC">
      <w:pPr>
        <w:pStyle w:val="amprLISTgreenbullets-L1"/>
        <w:rPr>
          <w:noProof/>
        </w:rPr>
      </w:pPr>
      <w:r w:rsidRPr="00EE3663">
        <w:rPr>
          <w:noProof/>
        </w:rPr>
        <w:t xml:space="preserve">The total budget of a programme principally includes the commitment appropriations authorised on an annual basis by the European Parliament and the Council, i.e. the </w:t>
      </w:r>
      <w:r w:rsidRPr="005051BA">
        <w:rPr>
          <w:iCs/>
          <w:noProof/>
        </w:rPr>
        <w:t>voted budget</w:t>
      </w:r>
      <w:r w:rsidRPr="00EE3663">
        <w:rPr>
          <w:noProof/>
        </w:rPr>
        <w:t>. In addition, this year’s report contains the implementation made on the basis of two additional sources, as follows</w:t>
      </w:r>
      <w:r>
        <w:rPr>
          <w:noProof/>
        </w:rPr>
        <w:t>.</w:t>
      </w:r>
    </w:p>
    <w:p w14:paraId="086A1FD7" w14:textId="77777777" w:rsidR="00D26688" w:rsidRPr="00EE3663" w:rsidRDefault="00D26688" w:rsidP="009065E5">
      <w:pPr>
        <w:pStyle w:val="amprLISTMixed-L1"/>
        <w:ind w:left="1134" w:hanging="425"/>
        <w:rPr>
          <w:noProof/>
        </w:rPr>
      </w:pPr>
      <w:r w:rsidRPr="00EE3663">
        <w:rPr>
          <w:noProof/>
        </w:rPr>
        <w:t>Expenditure relat</w:t>
      </w:r>
      <w:r>
        <w:rPr>
          <w:noProof/>
        </w:rPr>
        <w:t>ing</w:t>
      </w:r>
      <w:r w:rsidRPr="00EE3663">
        <w:rPr>
          <w:noProof/>
        </w:rPr>
        <w:t xml:space="preserve"> to amounts carried over from the previous year.</w:t>
      </w:r>
    </w:p>
    <w:p w14:paraId="6A542C7C" w14:textId="77777777" w:rsidR="00D26688" w:rsidRPr="00EE3663" w:rsidRDefault="00D26688" w:rsidP="009065E5">
      <w:pPr>
        <w:pStyle w:val="amprLISTMixed-L1"/>
        <w:ind w:left="1134" w:hanging="425"/>
        <w:rPr>
          <w:noProof/>
        </w:rPr>
      </w:pPr>
      <w:r w:rsidRPr="00EE3663">
        <w:rPr>
          <w:noProof/>
        </w:rPr>
        <w:t>Payments made on the basis of recoveries and repaid advances for the programmes that the Commission implements in cooperation with the Member States: the European Regional Development Fund, the Cohesion Fund, the European Social Fund, the Fund for European Aid to the Most Deprived, the European Globalisation Adjustment Fund, the European Agricultural Guarantee Fund, the European Agricultural Fund for Rural Development, the Asylum, Migration and Integration Fund, the Internal Security Fund and the European Maritime and Fisheries Fund.</w:t>
      </w:r>
    </w:p>
    <w:p w14:paraId="3A3B766B" w14:textId="77777777" w:rsidR="00D26688" w:rsidRPr="00EE3663" w:rsidRDefault="00D26688" w:rsidP="006A09DC">
      <w:pPr>
        <w:pStyle w:val="amprLISTgreenbullets-L1"/>
        <w:rPr>
          <w:noProof/>
        </w:rPr>
      </w:pPr>
      <w:r w:rsidRPr="00EE3663">
        <w:rPr>
          <w:noProof/>
        </w:rPr>
        <w:t>Payments made in the 2014-2020 period on the outstanding commitments from the 2007-2013 period are not included in the calculations</w:t>
      </w:r>
      <w:r>
        <w:rPr>
          <w:noProof/>
        </w:rPr>
        <w:t xml:space="preserve"> so as</w:t>
      </w:r>
      <w:r w:rsidRPr="00EE3663">
        <w:rPr>
          <w:noProof/>
        </w:rPr>
        <w:t xml:space="preserve"> to focus only on the implementation of the 2014-2020 programmes and the related achievements.</w:t>
      </w:r>
    </w:p>
    <w:p w14:paraId="163AA836" w14:textId="77777777" w:rsidR="00D26688" w:rsidRPr="00EE3663" w:rsidRDefault="00D26688" w:rsidP="006A09DC">
      <w:pPr>
        <w:pStyle w:val="amprLISTgreenbullets-L1"/>
        <w:rPr>
          <w:noProof/>
        </w:rPr>
      </w:pPr>
      <w:r w:rsidRPr="00EE3663">
        <w:rPr>
          <w:noProof/>
        </w:rPr>
        <w:t xml:space="preserve">Any exceptions to the above methodology are specified in a footnote in the programme </w:t>
      </w:r>
      <w:r>
        <w:rPr>
          <w:noProof/>
        </w:rPr>
        <w:t>file</w:t>
      </w:r>
      <w:r w:rsidRPr="00EE3663">
        <w:rPr>
          <w:noProof/>
        </w:rPr>
        <w:t>s concerned.</w:t>
      </w:r>
    </w:p>
    <w:p w14:paraId="6353E214" w14:textId="77777777" w:rsidR="00D26688" w:rsidRPr="00EE3663" w:rsidRDefault="00D26688" w:rsidP="006A09DC">
      <w:pPr>
        <w:pStyle w:val="amprBodyText"/>
        <w:rPr>
          <w:noProof/>
        </w:rPr>
      </w:pPr>
      <w:r w:rsidRPr="005051BA">
        <w:rPr>
          <w:noProof/>
        </w:rPr>
        <w:t>With respect to the 2021-2027 programmes,</w:t>
      </w:r>
      <w:r w:rsidRPr="00073084">
        <w:rPr>
          <w:noProof/>
        </w:rPr>
        <w:t xml:space="preserve"> the following should be noted.</w:t>
      </w:r>
    </w:p>
    <w:p w14:paraId="2414F787" w14:textId="77777777" w:rsidR="00D26688" w:rsidRPr="00EE3663" w:rsidRDefault="00D26688" w:rsidP="006A09DC">
      <w:pPr>
        <w:pStyle w:val="amprLISTgreenbullets-L1"/>
        <w:rPr>
          <w:noProof/>
        </w:rPr>
      </w:pPr>
      <w:r w:rsidRPr="00EE3663">
        <w:rPr>
          <w:noProof/>
        </w:rPr>
        <w:t>The total budget includes commitment appropriations arising:</w:t>
      </w:r>
    </w:p>
    <w:p w14:paraId="5368BCD9" w14:textId="198D6BE3" w:rsidR="00D26688" w:rsidRDefault="00D26688" w:rsidP="006A09DC">
      <w:pPr>
        <w:pStyle w:val="amprLISTgreenbullets-L2"/>
        <w:rPr>
          <w:noProof/>
        </w:rPr>
      </w:pPr>
      <w:r w:rsidRPr="00EE3663">
        <w:rPr>
          <w:noProof/>
        </w:rPr>
        <w:t xml:space="preserve">from </w:t>
      </w:r>
      <w:r>
        <w:rPr>
          <w:noProof/>
        </w:rPr>
        <w:t>t</w:t>
      </w:r>
      <w:r w:rsidRPr="00EE3663">
        <w:rPr>
          <w:noProof/>
        </w:rPr>
        <w:t>he voted budget, i.e. authorised on an annual basis by the European</w:t>
      </w:r>
      <w:r>
        <w:rPr>
          <w:noProof/>
        </w:rPr>
        <w:t xml:space="preserve"> </w:t>
      </w:r>
      <w:r w:rsidRPr="00EE3663">
        <w:rPr>
          <w:noProof/>
        </w:rPr>
        <w:t>Parliament and the Council</w:t>
      </w:r>
      <w:r>
        <w:rPr>
          <w:noProof/>
        </w:rPr>
        <w:t>;</w:t>
      </w:r>
    </w:p>
    <w:p w14:paraId="28F2F27D" w14:textId="726A7C03" w:rsidR="009065E5" w:rsidRDefault="009065E5" w:rsidP="009065E5">
      <w:pPr>
        <w:pStyle w:val="amprLISTgreenbullets-L2"/>
        <w:rPr>
          <w:rFonts w:cs="EC Square Sans Pro"/>
          <w:noProof/>
        </w:rPr>
      </w:pPr>
      <w:r>
        <w:rPr>
          <w:noProof/>
        </w:rPr>
        <w:t xml:space="preserve">from the amounts of fines pursuant to Article 5 of the </w:t>
      </w:r>
      <w:r w:rsidR="0083342B">
        <w:rPr>
          <w:noProof/>
        </w:rPr>
        <w:t>MFF R</w:t>
      </w:r>
      <w:r>
        <w:rPr>
          <w:noProof/>
        </w:rPr>
        <w:t>egulation (</w:t>
      </w:r>
      <w:r w:rsidR="009A67A1">
        <w:rPr>
          <w:noProof/>
        </w:rPr>
        <w:t xml:space="preserve">this source is used only </w:t>
      </w:r>
      <w:r>
        <w:rPr>
          <w:noProof/>
        </w:rPr>
        <w:t>for 2022 and 2023).</w:t>
      </w:r>
    </w:p>
    <w:p w14:paraId="7421C39F" w14:textId="77777777" w:rsidR="00D26688" w:rsidRPr="00EE3663" w:rsidRDefault="00D26688" w:rsidP="006A09DC">
      <w:pPr>
        <w:pStyle w:val="amprLISTgreenbullets-L2"/>
        <w:rPr>
          <w:noProof/>
        </w:rPr>
      </w:pPr>
      <w:r w:rsidRPr="00EE3663">
        <w:rPr>
          <w:noProof/>
        </w:rPr>
        <w:t>from NextGenerationEU;</w:t>
      </w:r>
    </w:p>
    <w:p w14:paraId="4E5A8F17" w14:textId="5BA30885" w:rsidR="00D26688" w:rsidRPr="00EE3663" w:rsidRDefault="009A67A1" w:rsidP="006A09DC">
      <w:pPr>
        <w:pStyle w:val="amprLISTgreenbullets-L2"/>
        <w:rPr>
          <w:noProof/>
        </w:rPr>
      </w:pPr>
      <w:r>
        <w:rPr>
          <w:noProof/>
        </w:rPr>
        <w:t xml:space="preserve">from decommitments made available again for research programmes, </w:t>
      </w:r>
      <w:r w:rsidR="00D26688">
        <w:rPr>
          <w:noProof/>
        </w:rPr>
        <w:t>p</w:t>
      </w:r>
      <w:r w:rsidR="00D26688" w:rsidRPr="00EE3663">
        <w:rPr>
          <w:noProof/>
        </w:rPr>
        <w:t>ursuant to Article</w:t>
      </w:r>
      <w:r w:rsidR="00D26688">
        <w:rPr>
          <w:rFonts w:ascii="Calibri" w:hAnsi="Calibri" w:cs="Calibri"/>
          <w:noProof/>
        </w:rPr>
        <w:t> </w:t>
      </w:r>
      <w:r w:rsidR="00D26688" w:rsidRPr="00EE3663">
        <w:rPr>
          <w:noProof/>
        </w:rPr>
        <w:t>15</w:t>
      </w:r>
      <w:r w:rsidR="00D26688">
        <w:rPr>
          <w:noProof/>
        </w:rPr>
        <w:t>(</w:t>
      </w:r>
      <w:r w:rsidR="00D26688" w:rsidRPr="00EE3663">
        <w:rPr>
          <w:noProof/>
        </w:rPr>
        <w:t>3</w:t>
      </w:r>
      <w:r w:rsidR="00D26688">
        <w:rPr>
          <w:noProof/>
        </w:rPr>
        <w:t>) of the</w:t>
      </w:r>
      <w:r w:rsidR="00D26688" w:rsidRPr="00EE3663">
        <w:rPr>
          <w:noProof/>
        </w:rPr>
        <w:t xml:space="preserve"> </w:t>
      </w:r>
      <w:r w:rsidR="00D26688">
        <w:rPr>
          <w:noProof/>
        </w:rPr>
        <w:t>f</w:t>
      </w:r>
      <w:r w:rsidR="00D26688" w:rsidRPr="00EE3663">
        <w:rPr>
          <w:noProof/>
        </w:rPr>
        <w:t xml:space="preserve">inancial </w:t>
      </w:r>
      <w:r w:rsidR="00D26688">
        <w:rPr>
          <w:noProof/>
        </w:rPr>
        <w:t>r</w:t>
      </w:r>
      <w:r w:rsidR="00D26688" w:rsidRPr="00EE3663">
        <w:rPr>
          <w:noProof/>
        </w:rPr>
        <w:t>egulation</w:t>
      </w:r>
      <w:r w:rsidR="00D26688">
        <w:rPr>
          <w:noProof/>
        </w:rPr>
        <w:t>;</w:t>
      </w:r>
      <w:r w:rsidR="00D26688" w:rsidRPr="00EE3663">
        <w:rPr>
          <w:noProof/>
        </w:rPr>
        <w:t xml:space="preserve"> and</w:t>
      </w:r>
    </w:p>
    <w:p w14:paraId="03304797" w14:textId="77777777" w:rsidR="00D26688" w:rsidRPr="00EE3663" w:rsidRDefault="00D26688" w:rsidP="006A09DC">
      <w:pPr>
        <w:pStyle w:val="amprLISTgreenbullets-L2"/>
        <w:rPr>
          <w:noProof/>
        </w:rPr>
      </w:pPr>
      <w:r w:rsidRPr="00EE3663">
        <w:rPr>
          <w:noProof/>
        </w:rPr>
        <w:t xml:space="preserve">from </w:t>
      </w:r>
      <w:r>
        <w:rPr>
          <w:noProof/>
        </w:rPr>
        <w:t>a</w:t>
      </w:r>
      <w:r w:rsidRPr="00EE3663">
        <w:rPr>
          <w:noProof/>
        </w:rPr>
        <w:t xml:space="preserve">ssigned revenue resulting from the participation of </w:t>
      </w:r>
      <w:r>
        <w:rPr>
          <w:noProof/>
        </w:rPr>
        <w:t>European Free Trade Association</w:t>
      </w:r>
      <w:r w:rsidRPr="00EE3663">
        <w:rPr>
          <w:noProof/>
        </w:rPr>
        <w:t xml:space="preserve"> </w:t>
      </w:r>
      <w:r>
        <w:rPr>
          <w:noProof/>
        </w:rPr>
        <w:t>s</w:t>
      </w:r>
      <w:r w:rsidRPr="00EE3663">
        <w:rPr>
          <w:noProof/>
        </w:rPr>
        <w:t xml:space="preserve">tates and other countries and entities in certain </w:t>
      </w:r>
      <w:r>
        <w:rPr>
          <w:noProof/>
        </w:rPr>
        <w:t>EU</w:t>
      </w:r>
      <w:r w:rsidRPr="00EE3663">
        <w:rPr>
          <w:noProof/>
        </w:rPr>
        <w:t xml:space="preserve"> programmes.</w:t>
      </w:r>
    </w:p>
    <w:p w14:paraId="6E372459" w14:textId="77777777" w:rsidR="00D26688" w:rsidRPr="00EE3663" w:rsidRDefault="00D26688" w:rsidP="006A09DC">
      <w:pPr>
        <w:pStyle w:val="amprLISTgreenbullets-L1"/>
        <w:rPr>
          <w:noProof/>
        </w:rPr>
      </w:pPr>
      <w:r w:rsidRPr="00EE3663">
        <w:rPr>
          <w:noProof/>
        </w:rPr>
        <w:t xml:space="preserve">2021 being the first year of the new </w:t>
      </w:r>
      <w:r>
        <w:rPr>
          <w:noProof/>
        </w:rPr>
        <w:t>m</w:t>
      </w:r>
      <w:r w:rsidRPr="00EE3663">
        <w:rPr>
          <w:noProof/>
        </w:rPr>
        <w:t xml:space="preserve">ultiannual financial framework, no carried-over amounts or recoveries and repaid advances are included in the total amounts (these </w:t>
      </w:r>
      <w:r>
        <w:rPr>
          <w:noProof/>
        </w:rPr>
        <w:t>wi</w:t>
      </w:r>
      <w:r w:rsidRPr="00EE3663">
        <w:rPr>
          <w:noProof/>
        </w:rPr>
        <w:t>ll be included in the programme performance overview from next year on</w:t>
      </w:r>
      <w:r>
        <w:rPr>
          <w:noProof/>
        </w:rPr>
        <w:t>wards</w:t>
      </w:r>
      <w:r w:rsidRPr="00EE3663">
        <w:rPr>
          <w:noProof/>
        </w:rPr>
        <w:t>).</w:t>
      </w:r>
    </w:p>
    <w:p w14:paraId="547A68E3" w14:textId="7164E5E2" w:rsidR="00D26688" w:rsidRPr="00EE3663" w:rsidRDefault="00D26688" w:rsidP="006A09DC">
      <w:pPr>
        <w:pStyle w:val="amprLISTgreenbullets-L1"/>
        <w:rPr>
          <w:noProof/>
        </w:rPr>
      </w:pPr>
      <w:r w:rsidRPr="00EE3663">
        <w:rPr>
          <w:noProof/>
        </w:rPr>
        <w:t>Payments made in the 2021-2027 period on the outstanding commitments from the 2014-2020 period are not included in the calculations, in accordance with the approach used for the 2014-</w:t>
      </w:r>
      <w:r w:rsidR="009A67A1">
        <w:rPr>
          <w:noProof/>
        </w:rPr>
        <w:t>20</w:t>
      </w:r>
      <w:r w:rsidRPr="00EE3663">
        <w:rPr>
          <w:noProof/>
        </w:rPr>
        <w:t>20 programmes (see above).</w:t>
      </w:r>
    </w:p>
    <w:p w14:paraId="08BA11F6" w14:textId="77777777" w:rsidR="009065E5" w:rsidRDefault="009065E5" w:rsidP="009065E5">
      <w:pPr>
        <w:pStyle w:val="amprLISTgreenbullets-L1"/>
        <w:rPr>
          <w:rFonts w:cs="EC Square Sans Pro"/>
          <w:noProof/>
        </w:rPr>
      </w:pPr>
      <w:r>
        <w:rPr>
          <w:noProof/>
        </w:rPr>
        <w:t>Some programmes (e.g. ESF+) can pursue their objectives by making financial contributions to other programmes, which then use them to fund their own activities. In such cases, these transferred amounts are included within the financial information of the recipient programme(s) and excluded from the financial information of the contributing programme. This convention ensures no double-counting of resources.</w:t>
      </w:r>
    </w:p>
    <w:p w14:paraId="7716B549" w14:textId="00AA6E7C" w:rsidR="00D26688" w:rsidRPr="00EE3663" w:rsidRDefault="00D26688" w:rsidP="006A09DC">
      <w:pPr>
        <w:pStyle w:val="amprLISTgreenbullets-L1"/>
        <w:rPr>
          <w:noProof/>
        </w:rPr>
      </w:pPr>
      <w:r w:rsidRPr="00EE3663">
        <w:rPr>
          <w:noProof/>
        </w:rPr>
        <w:t xml:space="preserve">Any exceptions to the above methodology are specified in a footnote in the programme </w:t>
      </w:r>
      <w:r>
        <w:rPr>
          <w:noProof/>
        </w:rPr>
        <w:t>file</w:t>
      </w:r>
      <w:r w:rsidRPr="00EE3663">
        <w:rPr>
          <w:noProof/>
        </w:rPr>
        <w:t>s concerned.</w:t>
      </w:r>
    </w:p>
    <w:p w14:paraId="3D35B625" w14:textId="77777777" w:rsidR="00D26688" w:rsidRPr="001130BD" w:rsidRDefault="00D26688" w:rsidP="001130BD">
      <w:pPr>
        <w:pStyle w:val="amprH3Title2-Numbered-11"/>
        <w:rPr>
          <w:noProof/>
        </w:rPr>
      </w:pPr>
      <w:r w:rsidRPr="001130BD">
        <w:rPr>
          <w:noProof/>
        </w:rPr>
        <w:t xml:space="preserve"> </w:t>
      </w:r>
      <w:bookmarkStart w:id="8" w:name="_Toc102086329"/>
      <w:r w:rsidRPr="001130BD">
        <w:rPr>
          <w:noProof/>
        </w:rPr>
        <w:t>Key performance indicators: methodology</w:t>
      </w:r>
      <w:bookmarkEnd w:id="8"/>
    </w:p>
    <w:p w14:paraId="50997066" w14:textId="77777777" w:rsidR="00D26688" w:rsidRPr="00EE3663" w:rsidRDefault="00D26688" w:rsidP="001130BD">
      <w:pPr>
        <w:pStyle w:val="amprH4Subhead1"/>
        <w:rPr>
          <w:noProof/>
        </w:rPr>
      </w:pPr>
      <w:bookmarkStart w:id="9" w:name="_Toc94522847"/>
      <w:bookmarkEnd w:id="9"/>
      <w:r w:rsidRPr="00EE3663">
        <w:rPr>
          <w:noProof/>
        </w:rPr>
        <w:t>SELECTION OF INDICATORS</w:t>
      </w:r>
    </w:p>
    <w:p w14:paraId="2979D36B" w14:textId="188AC896" w:rsidR="00D26688" w:rsidRPr="00EE3663" w:rsidRDefault="00D26688" w:rsidP="006A09DC">
      <w:pPr>
        <w:pStyle w:val="amprBodyText"/>
        <w:rPr>
          <w:noProof/>
        </w:rPr>
      </w:pPr>
      <w:r w:rsidRPr="00EE3663">
        <w:rPr>
          <w:noProof/>
        </w:rPr>
        <w:t xml:space="preserve">The performance framework for the 2021-2027 </w:t>
      </w:r>
      <w:r w:rsidR="009A67A1">
        <w:rPr>
          <w:noProof/>
        </w:rPr>
        <w:t xml:space="preserve">EU </w:t>
      </w:r>
      <w:r w:rsidRPr="00EE3663">
        <w:rPr>
          <w:noProof/>
        </w:rPr>
        <w:t xml:space="preserve">spending programmes includes more than 750 indicators measuring performance against more than 170 specific objectives. These indicators are included in the respective </w:t>
      </w:r>
      <w:r w:rsidR="009A67A1">
        <w:rPr>
          <w:noProof/>
        </w:rPr>
        <w:t>legal bases</w:t>
      </w:r>
      <w:r w:rsidRPr="00EE3663">
        <w:rPr>
          <w:noProof/>
        </w:rPr>
        <w:t xml:space="preserve">, typically </w:t>
      </w:r>
      <w:r>
        <w:rPr>
          <w:noProof/>
        </w:rPr>
        <w:t>following</w:t>
      </w:r>
      <w:r w:rsidRPr="00EE3663">
        <w:rPr>
          <w:noProof/>
        </w:rPr>
        <w:t xml:space="preserve"> a proposal </w:t>
      </w:r>
      <w:r>
        <w:rPr>
          <w:noProof/>
        </w:rPr>
        <w:t>by</w:t>
      </w:r>
      <w:r w:rsidRPr="00EE3663">
        <w:rPr>
          <w:noProof/>
        </w:rPr>
        <w:t xml:space="preserve"> the Commission and after negotiations between the co-legislators.</w:t>
      </w:r>
    </w:p>
    <w:p w14:paraId="41B08BF5" w14:textId="77777777" w:rsidR="00D26688" w:rsidRPr="00EE3663" w:rsidRDefault="00D26688" w:rsidP="006A09DC">
      <w:pPr>
        <w:pStyle w:val="amprBodyText"/>
        <w:rPr>
          <w:noProof/>
        </w:rPr>
      </w:pPr>
      <w:r w:rsidRPr="00EE3663">
        <w:rPr>
          <w:noProof/>
        </w:rPr>
        <w:t>The programme performance overview presents the most relevant indicators from the programme statements. For the 2021-2027 spending programmes, the selection of indicators for the programme performance overview was made based on the following criteria, aiming to present a balanced and representative picture of programme performance</w:t>
      </w:r>
      <w:r>
        <w:rPr>
          <w:noProof/>
        </w:rPr>
        <w:t>:</w:t>
      </w:r>
    </w:p>
    <w:p w14:paraId="2CF618E9" w14:textId="77777777" w:rsidR="00D26688" w:rsidRPr="00EE3663" w:rsidRDefault="00D26688" w:rsidP="006A09DC">
      <w:pPr>
        <w:pStyle w:val="amprLISTgreenbullets-L1"/>
        <w:rPr>
          <w:noProof/>
        </w:rPr>
      </w:pPr>
      <w:r>
        <w:rPr>
          <w:noProof/>
        </w:rPr>
        <w:t>a m</w:t>
      </w:r>
      <w:r w:rsidRPr="00EE3663">
        <w:rPr>
          <w:noProof/>
        </w:rPr>
        <w:t xml:space="preserve">aximum of </w:t>
      </w:r>
      <w:r>
        <w:rPr>
          <w:noProof/>
        </w:rPr>
        <w:t>nine</w:t>
      </w:r>
      <w:r w:rsidRPr="00EE3663">
        <w:rPr>
          <w:noProof/>
        </w:rPr>
        <w:t xml:space="preserve"> indicators per programme;</w:t>
      </w:r>
    </w:p>
    <w:p w14:paraId="7826737D" w14:textId="77777777" w:rsidR="00D26688" w:rsidRPr="00EE3663" w:rsidRDefault="00D26688" w:rsidP="006A09DC">
      <w:pPr>
        <w:pStyle w:val="amprLISTgreenbullets-L1"/>
        <w:rPr>
          <w:noProof/>
        </w:rPr>
      </w:pPr>
      <w:r>
        <w:rPr>
          <w:noProof/>
        </w:rPr>
        <w:t>c</w:t>
      </w:r>
      <w:r w:rsidRPr="00EE3663">
        <w:rPr>
          <w:noProof/>
        </w:rPr>
        <w:t>overage of specific objectives;</w:t>
      </w:r>
    </w:p>
    <w:p w14:paraId="7629823C" w14:textId="77777777" w:rsidR="00D26688" w:rsidRPr="00EE3663" w:rsidRDefault="00D26688" w:rsidP="006A09DC">
      <w:pPr>
        <w:pStyle w:val="amprLISTgreenbullets-L1"/>
        <w:rPr>
          <w:noProof/>
        </w:rPr>
      </w:pPr>
      <w:r>
        <w:rPr>
          <w:noProof/>
        </w:rPr>
        <w:t>a f</w:t>
      </w:r>
      <w:r w:rsidRPr="00EE3663">
        <w:rPr>
          <w:noProof/>
        </w:rPr>
        <w:t>ocus on choosing the most representative indicator for the specific objective;</w:t>
      </w:r>
    </w:p>
    <w:p w14:paraId="31763381" w14:textId="404079A6" w:rsidR="00D26688" w:rsidRPr="00EE3663" w:rsidRDefault="00D26688" w:rsidP="006A09DC">
      <w:pPr>
        <w:pStyle w:val="amprLISTgreenbullets-L1"/>
        <w:rPr>
          <w:noProof/>
        </w:rPr>
      </w:pPr>
      <w:r>
        <w:rPr>
          <w:noProof/>
        </w:rPr>
        <w:t>a f</w:t>
      </w:r>
      <w:r w:rsidRPr="00EE3663">
        <w:rPr>
          <w:noProof/>
        </w:rPr>
        <w:t xml:space="preserve">ocus on output and result indicators, rather than on impact indicators, in </w:t>
      </w:r>
      <w:r>
        <w:rPr>
          <w:noProof/>
        </w:rPr>
        <w:t xml:space="preserve">the </w:t>
      </w:r>
      <w:r w:rsidRPr="00EE3663">
        <w:rPr>
          <w:noProof/>
        </w:rPr>
        <w:t xml:space="preserve">light of </w:t>
      </w:r>
      <w:r w:rsidR="009A67A1">
        <w:rPr>
          <w:noProof/>
        </w:rPr>
        <w:t xml:space="preserve">the early stage of implementation and of the </w:t>
      </w:r>
      <w:r w:rsidRPr="00EE3663">
        <w:rPr>
          <w:noProof/>
        </w:rPr>
        <w:t xml:space="preserve">expected </w:t>
      </w:r>
      <w:r w:rsidR="009A67A1">
        <w:rPr>
          <w:noProof/>
        </w:rPr>
        <w:t>lag with which</w:t>
      </w:r>
      <w:r w:rsidRPr="00EE3663">
        <w:rPr>
          <w:noProof/>
        </w:rPr>
        <w:t xml:space="preserve"> impact indicators </w:t>
      </w:r>
      <w:r w:rsidR="009A67A1">
        <w:rPr>
          <w:noProof/>
        </w:rPr>
        <w:t xml:space="preserve">will </w:t>
      </w:r>
      <w:r w:rsidRPr="00EE3663">
        <w:rPr>
          <w:noProof/>
        </w:rPr>
        <w:t>show effects;</w:t>
      </w:r>
    </w:p>
    <w:p w14:paraId="1EA2B182" w14:textId="77777777" w:rsidR="00D26688" w:rsidRPr="00EE3663" w:rsidRDefault="00D26688" w:rsidP="006A09DC">
      <w:pPr>
        <w:pStyle w:val="amprLISTgreenbullets-L1"/>
        <w:rPr>
          <w:noProof/>
        </w:rPr>
      </w:pPr>
      <w:r>
        <w:rPr>
          <w:noProof/>
        </w:rPr>
        <w:t>i</w:t>
      </w:r>
      <w:r w:rsidRPr="00EE3663">
        <w:rPr>
          <w:noProof/>
        </w:rPr>
        <w:t>ndicators with targets (or indicators for which targets will be defined), in order to estimate the progress towards the target.</w:t>
      </w:r>
    </w:p>
    <w:p w14:paraId="6280934E" w14:textId="77777777" w:rsidR="00D26688" w:rsidRPr="00EE3663" w:rsidRDefault="00D26688" w:rsidP="006A09DC">
      <w:pPr>
        <w:pStyle w:val="amprLISTgreenbullets-L1"/>
        <w:rPr>
          <w:noProof/>
        </w:rPr>
      </w:pPr>
      <w:r>
        <w:rPr>
          <w:noProof/>
        </w:rPr>
        <w:t>a p</w:t>
      </w:r>
      <w:r w:rsidRPr="00EE3663">
        <w:rPr>
          <w:noProof/>
        </w:rPr>
        <w:t xml:space="preserve">reference for indicators that can be understood by </w:t>
      </w:r>
      <w:r w:rsidRPr="00073084">
        <w:rPr>
          <w:noProof/>
        </w:rPr>
        <w:t>non-</w:t>
      </w:r>
      <w:r>
        <w:rPr>
          <w:noProof/>
        </w:rPr>
        <w:t>specialist</w:t>
      </w:r>
      <w:r w:rsidRPr="00EE3663">
        <w:rPr>
          <w:noProof/>
        </w:rPr>
        <w:t xml:space="preserve"> readers.</w:t>
      </w:r>
    </w:p>
    <w:p w14:paraId="799FF152" w14:textId="77777777" w:rsidR="00D26688" w:rsidRPr="00EE3663" w:rsidRDefault="00D26688" w:rsidP="006A09DC">
      <w:pPr>
        <w:pStyle w:val="amprBodyText"/>
        <w:rPr>
          <w:noProof/>
        </w:rPr>
      </w:pPr>
      <w:r w:rsidRPr="00EE3663">
        <w:rPr>
          <w:noProof/>
        </w:rPr>
        <w:t>In the case of the 2014-2020 spending programmes, the chosen indicators are those that were already included in the programme performance overview from last year and on which reporting has continued in this year’s programme statements. This year’s programme statements have continued to report on 2014-2020 indicators for programmes with relevant payments still being implemented, except for indicators that:</w:t>
      </w:r>
    </w:p>
    <w:p w14:paraId="07F9DCC4" w14:textId="77777777" w:rsidR="00D26688" w:rsidRPr="00EE3663" w:rsidRDefault="00D26688" w:rsidP="006A09DC">
      <w:pPr>
        <w:pStyle w:val="amprLISTgreenbullets-L1"/>
        <w:rPr>
          <w:noProof/>
        </w:rPr>
      </w:pPr>
      <w:r w:rsidRPr="00EE3663">
        <w:rPr>
          <w:noProof/>
        </w:rPr>
        <w:t>have been discontinued;</w:t>
      </w:r>
    </w:p>
    <w:p w14:paraId="1796F5FD" w14:textId="14C29F90" w:rsidR="00D26688" w:rsidRPr="00EE3663" w:rsidRDefault="00D26688" w:rsidP="009A67A1">
      <w:pPr>
        <w:pStyle w:val="amprLISTgreenbullets-L1"/>
        <w:rPr>
          <w:noProof/>
        </w:rPr>
      </w:pPr>
      <w:r w:rsidRPr="00EE3663">
        <w:rPr>
          <w:noProof/>
        </w:rPr>
        <w:t xml:space="preserve">show </w:t>
      </w:r>
      <w:r>
        <w:rPr>
          <w:noProof/>
        </w:rPr>
        <w:t xml:space="preserve">a </w:t>
      </w:r>
      <w:r w:rsidRPr="00EE3663">
        <w:rPr>
          <w:noProof/>
        </w:rPr>
        <w:t>very limited change in results compared to the previous year</w:t>
      </w:r>
      <w:r w:rsidR="009A67A1">
        <w:rPr>
          <w:noProof/>
        </w:rPr>
        <w:t xml:space="preserve"> </w:t>
      </w:r>
      <w:r w:rsidR="009A67A1" w:rsidRPr="009A67A1">
        <w:rPr>
          <w:noProof/>
        </w:rPr>
        <w:t>(one such circumstance is when the target had already been reached i</w:t>
      </w:r>
      <w:r w:rsidR="009A67A1">
        <w:rPr>
          <w:noProof/>
        </w:rPr>
        <w:t>n a previous year)</w:t>
      </w:r>
      <w:r w:rsidRPr="00EE3663">
        <w:rPr>
          <w:noProof/>
        </w:rPr>
        <w:t>;</w:t>
      </w:r>
    </w:p>
    <w:p w14:paraId="1567B9E3" w14:textId="77777777" w:rsidR="00D26688" w:rsidRPr="00EE3663" w:rsidRDefault="00D26688" w:rsidP="006A09DC">
      <w:pPr>
        <w:pStyle w:val="amprLISTgreenbullets-L1"/>
        <w:rPr>
          <w:noProof/>
        </w:rPr>
      </w:pPr>
      <w:r w:rsidRPr="00EE3663">
        <w:rPr>
          <w:noProof/>
        </w:rPr>
        <w:t xml:space="preserve">provide limited value </w:t>
      </w:r>
      <w:r>
        <w:rPr>
          <w:noProof/>
        </w:rPr>
        <w:t xml:space="preserve">in </w:t>
      </w:r>
      <w:r w:rsidRPr="00EE3663">
        <w:rPr>
          <w:noProof/>
        </w:rPr>
        <w:t>assess</w:t>
      </w:r>
      <w:r>
        <w:rPr>
          <w:noProof/>
        </w:rPr>
        <w:t>ing</w:t>
      </w:r>
      <w:r w:rsidRPr="00EE3663">
        <w:rPr>
          <w:noProof/>
        </w:rPr>
        <w:t xml:space="preserve"> the performance of the 2014-2020 programmes at this stage of the life cycle (e.g. input and output indicators for some programmes are more relevant during the first years of implementation, while result and impact indicators are more relevant at a later stage).</w:t>
      </w:r>
    </w:p>
    <w:p w14:paraId="4752FE2D" w14:textId="77777777" w:rsidR="00D26688" w:rsidRPr="00EE3663" w:rsidRDefault="00D26688" w:rsidP="006A09DC">
      <w:pPr>
        <w:pStyle w:val="amprBodyText"/>
        <w:rPr>
          <w:noProof/>
        </w:rPr>
      </w:pPr>
      <w:r w:rsidRPr="00EE3663">
        <w:rPr>
          <w:noProof/>
        </w:rPr>
        <w:t>It is crucial to bear in mind that the information contained in the indicators can only provide an indication of the overall performance and achievements of each specific programme. It is only possible to make comprehensive statements about the ultimate performance of programmes by taking into account the specific implementation context, including qualitative as well as quantitative elements. The Commission does this in the context of regular evaluations of its spending programmes.</w:t>
      </w:r>
    </w:p>
    <w:p w14:paraId="55EDCD7A" w14:textId="77777777" w:rsidR="00D26688" w:rsidRPr="00EE3663" w:rsidRDefault="00D26688" w:rsidP="001130BD">
      <w:pPr>
        <w:pStyle w:val="amprH4Subhead1"/>
        <w:rPr>
          <w:noProof/>
        </w:rPr>
      </w:pPr>
      <w:r w:rsidRPr="00EE3663">
        <w:rPr>
          <w:noProof/>
        </w:rPr>
        <w:t>DEFINITION OF TARGETS</w:t>
      </w:r>
    </w:p>
    <w:p w14:paraId="1EF0A5F4" w14:textId="17CC2C16" w:rsidR="00D26688" w:rsidRPr="00EE3663" w:rsidRDefault="00D26688" w:rsidP="006A09DC">
      <w:pPr>
        <w:pStyle w:val="amprBodyText"/>
        <w:rPr>
          <w:noProof/>
        </w:rPr>
      </w:pPr>
      <w:r w:rsidRPr="00EE3663">
        <w:rPr>
          <w:noProof/>
        </w:rPr>
        <w:t>Targets are defined at the beginning of the programme implementation period and come in various forms (e.g. quotas, benchmarks, numerical goals). The methodology</w:t>
      </w:r>
      <w:r>
        <w:rPr>
          <w:noProof/>
        </w:rPr>
        <w:t xml:space="preserve"> used</w:t>
      </w:r>
      <w:r w:rsidRPr="00EE3663">
        <w:rPr>
          <w:noProof/>
        </w:rPr>
        <w:t xml:space="preserve"> to </w:t>
      </w:r>
      <w:r w:rsidR="009A67A1">
        <w:rPr>
          <w:noProof/>
        </w:rPr>
        <w:t>set</w:t>
      </w:r>
      <w:r w:rsidR="009A67A1" w:rsidRPr="00EE3663">
        <w:rPr>
          <w:noProof/>
        </w:rPr>
        <w:t xml:space="preserve"> </w:t>
      </w:r>
      <w:r w:rsidRPr="00EE3663">
        <w:rPr>
          <w:noProof/>
        </w:rPr>
        <w:t xml:space="preserve">the target for each indicator can be found in the indicator metadata </w:t>
      </w:r>
      <w:r w:rsidRPr="00972E8C">
        <w:rPr>
          <w:noProof/>
        </w:rPr>
        <w:t xml:space="preserve">Excel file </w:t>
      </w:r>
      <w:r w:rsidR="00972E8C">
        <w:rPr>
          <w:noProof/>
        </w:rPr>
        <w:t>(</w:t>
      </w:r>
      <w:hyperlink r:id="rId73" w:history="1">
        <w:r w:rsidR="00972E8C" w:rsidRPr="00972E8C">
          <w:rPr>
            <w:rStyle w:val="Hyperlink"/>
            <w:noProof/>
            <w:lang w:val="en-US"/>
          </w:rPr>
          <w:t>https://ec.europa.eu/info/files/2021-2027-indicator-metadata-set_en</w:t>
        </w:r>
      </w:hyperlink>
      <w:r w:rsidRPr="00972E8C">
        <w:rPr>
          <w:noProof/>
        </w:rPr>
        <w:t>).</w:t>
      </w:r>
    </w:p>
    <w:p w14:paraId="111B32F2" w14:textId="22BB40BF" w:rsidR="00D26688" w:rsidRPr="00EE3663" w:rsidRDefault="00D26688" w:rsidP="006A09DC">
      <w:pPr>
        <w:pStyle w:val="amprBodyText"/>
        <w:rPr>
          <w:noProof/>
        </w:rPr>
      </w:pPr>
      <w:r w:rsidRPr="00EE3663">
        <w:rPr>
          <w:noProof/>
        </w:rPr>
        <w:t>For some programmes, the definition of the targets require</w:t>
      </w:r>
      <w:r>
        <w:rPr>
          <w:noProof/>
        </w:rPr>
        <w:t>s</w:t>
      </w:r>
      <w:r w:rsidRPr="00EE3663">
        <w:rPr>
          <w:noProof/>
        </w:rPr>
        <w:t xml:space="preserve"> the prior approval of implementation arrangements. This is the case</w:t>
      </w:r>
      <w:r>
        <w:rPr>
          <w:noProof/>
        </w:rPr>
        <w:t>,</w:t>
      </w:r>
      <w:r w:rsidRPr="00EE3663">
        <w:rPr>
          <w:noProof/>
        </w:rPr>
        <w:t xml:space="preserve"> for example</w:t>
      </w:r>
      <w:r>
        <w:rPr>
          <w:noProof/>
        </w:rPr>
        <w:t>,</w:t>
      </w:r>
      <w:r w:rsidRPr="00EE3663">
        <w:rPr>
          <w:noProof/>
        </w:rPr>
        <w:t xml:space="preserve"> </w:t>
      </w:r>
      <w:r>
        <w:rPr>
          <w:noProof/>
        </w:rPr>
        <w:t>for</w:t>
      </w:r>
      <w:r w:rsidRPr="00EE3663">
        <w:rPr>
          <w:noProof/>
        </w:rPr>
        <w:t xml:space="preserve"> the programmes for the European Structural and Investment Funds and the InvestEU programme. For th</w:t>
      </w:r>
      <w:r>
        <w:rPr>
          <w:noProof/>
        </w:rPr>
        <w:t>ose</w:t>
      </w:r>
      <w:r w:rsidRPr="00EE3663">
        <w:rPr>
          <w:noProof/>
        </w:rPr>
        <w:t xml:space="preserve"> programmes with implementation arrangements still being finalised in 2022, the targets will be published in the programme statements for the draft budget 2024.</w:t>
      </w:r>
    </w:p>
    <w:p w14:paraId="5B7E3552" w14:textId="7D01B2A5" w:rsidR="00D26688" w:rsidRPr="00EE3663" w:rsidRDefault="00D26688" w:rsidP="006A09DC">
      <w:pPr>
        <w:pStyle w:val="amprBodyText"/>
        <w:rPr>
          <w:noProof/>
        </w:rPr>
      </w:pPr>
      <w:r w:rsidRPr="00EE3663">
        <w:rPr>
          <w:noProof/>
        </w:rPr>
        <w:t>In some cases, the final target is set for 2027, the end of the programming period. However, account should be taken of the specific nature of the shared management programmes, which are characterised by a long start-up phase (e.g. planning, programming, project selection, authorisations) followed by a long implementation cycle. As such, the appropriations for the European Structural and Investment Funds can still be implemented in the 3</w:t>
      </w:r>
      <w:r>
        <w:rPr>
          <w:rFonts w:ascii="Calibri" w:hAnsi="Calibri" w:cs="Calibri"/>
          <w:noProof/>
        </w:rPr>
        <w:t> </w:t>
      </w:r>
      <w:r w:rsidRPr="00EE3663">
        <w:rPr>
          <w:noProof/>
        </w:rPr>
        <w:t>years following the commitment of the funding</w:t>
      </w:r>
      <w:r w:rsidR="009A67A1" w:rsidRPr="009A67A1">
        <w:rPr>
          <w:noProof/>
        </w:rPr>
        <w:t xml:space="preserve"> </w:t>
      </w:r>
      <w:r w:rsidR="009A67A1">
        <w:rPr>
          <w:noProof/>
        </w:rPr>
        <w:t>(the so-called ‘</w:t>
      </w:r>
      <w:r w:rsidR="009A67A1">
        <w:rPr>
          <w:i/>
          <w:iCs/>
          <w:noProof/>
        </w:rPr>
        <w:t>n</w:t>
      </w:r>
      <w:r w:rsidR="009A67A1">
        <w:rPr>
          <w:rFonts w:ascii="Calibri" w:hAnsi="Calibri" w:cs="Calibri"/>
          <w:noProof/>
        </w:rPr>
        <w:t> </w:t>
      </w:r>
      <w:r w:rsidR="009A67A1">
        <w:rPr>
          <w:noProof/>
        </w:rPr>
        <w:t>+</w:t>
      </w:r>
      <w:r w:rsidR="009A67A1">
        <w:rPr>
          <w:rFonts w:ascii="Calibri" w:hAnsi="Calibri" w:cs="Calibri"/>
          <w:noProof/>
        </w:rPr>
        <w:t> </w:t>
      </w:r>
      <w:r w:rsidR="009A67A1">
        <w:rPr>
          <w:noProof/>
        </w:rPr>
        <w:t>3’ rule), therefore the final target is typically set for 2030.</w:t>
      </w:r>
    </w:p>
    <w:p w14:paraId="13D0689A" w14:textId="77777777" w:rsidR="00D26688" w:rsidRPr="00EE3663" w:rsidRDefault="00D26688" w:rsidP="001130BD">
      <w:pPr>
        <w:pStyle w:val="amprH4Subhead1"/>
        <w:rPr>
          <w:noProof/>
        </w:rPr>
      </w:pPr>
      <w:r w:rsidRPr="00EE3663">
        <w:rPr>
          <w:noProof/>
        </w:rPr>
        <w:t>DEFINITION OF BASELINES</w:t>
      </w:r>
    </w:p>
    <w:p w14:paraId="3D499F4E" w14:textId="6CFA9685" w:rsidR="00D26688" w:rsidRPr="00EE3663" w:rsidRDefault="00D26688" w:rsidP="006A09DC">
      <w:pPr>
        <w:pStyle w:val="amprBodyText"/>
        <w:rPr>
          <w:noProof/>
        </w:rPr>
      </w:pPr>
      <w:r w:rsidRPr="00EE3663">
        <w:rPr>
          <w:noProof/>
        </w:rPr>
        <w:t xml:space="preserve">A baseline is a measurement taken prior to a specific intervention, which allows the results before and after (i.e. with and without) the intervention to be compared. In the context of the EU budget, the baseline is the measurement of the indicator before the start of EU budget funding for the current programming period. The methodology </w:t>
      </w:r>
      <w:r>
        <w:rPr>
          <w:noProof/>
        </w:rPr>
        <w:t>used</w:t>
      </w:r>
      <w:r w:rsidRPr="00EE3663">
        <w:rPr>
          <w:noProof/>
        </w:rPr>
        <w:t xml:space="preserve"> to estimate the baseline for each indicator can be found in the indicator metadata Excel file </w:t>
      </w:r>
      <w:r w:rsidRPr="00972E8C">
        <w:rPr>
          <w:noProof/>
        </w:rPr>
        <w:t>(</w:t>
      </w:r>
      <w:hyperlink r:id="rId74" w:history="1">
        <w:r w:rsidR="00972E8C" w:rsidRPr="00972E8C">
          <w:rPr>
            <w:rStyle w:val="Hyperlink"/>
            <w:noProof/>
            <w:lang w:val="en-US"/>
          </w:rPr>
          <w:t>https://ec.europa.eu/info/files/2021-2027-indicator-metadata-set_en</w:t>
        </w:r>
      </w:hyperlink>
      <w:r w:rsidRPr="00972E8C">
        <w:rPr>
          <w:noProof/>
        </w:rPr>
        <w:t>).</w:t>
      </w:r>
    </w:p>
    <w:p w14:paraId="4C71587D" w14:textId="77777777" w:rsidR="00D26688" w:rsidRPr="00EE3663" w:rsidRDefault="00D26688" w:rsidP="006A09DC">
      <w:pPr>
        <w:pStyle w:val="amprBodyText"/>
        <w:rPr>
          <w:noProof/>
        </w:rPr>
      </w:pPr>
      <w:r w:rsidRPr="00EE3663">
        <w:rPr>
          <w:noProof/>
        </w:rPr>
        <w:t>Because of its nature, a baseline is not always available for all the indicators, whereas in other cases the baseline should be considered to be zero. This is the case, for example, for the ‘output indicators’ relating to the specific deliverables of the intervention, such as the number of projects funded by the EU budget.</w:t>
      </w:r>
    </w:p>
    <w:p w14:paraId="335C957E" w14:textId="77777777" w:rsidR="00D26688" w:rsidRPr="00EE3663" w:rsidRDefault="00D26688" w:rsidP="006A09DC">
      <w:pPr>
        <w:pStyle w:val="amprBodyText"/>
        <w:rPr>
          <w:noProof/>
        </w:rPr>
      </w:pPr>
      <w:r w:rsidRPr="00EE3663">
        <w:rPr>
          <w:noProof/>
        </w:rPr>
        <w:t>It is important to make a distinction between a baseline and a historic</w:t>
      </w:r>
      <w:r>
        <w:rPr>
          <w:noProof/>
        </w:rPr>
        <w:t>al</w:t>
      </w:r>
      <w:r w:rsidRPr="00EE3663">
        <w:rPr>
          <w:noProof/>
        </w:rPr>
        <w:t xml:space="preserve"> benchmark or reference. The measurement of an indicator before the 2021-2027 period should not automatically be considered as a baseline, since its measurement could have been influenced by the EU budget actions from the previous period (2014-2020).</w:t>
      </w:r>
    </w:p>
    <w:p w14:paraId="01DFD3B3" w14:textId="77777777" w:rsidR="00D26688" w:rsidRPr="00EE3663" w:rsidRDefault="00D26688" w:rsidP="006A09DC">
      <w:pPr>
        <w:pStyle w:val="amprBodyText"/>
        <w:rPr>
          <w:noProof/>
        </w:rPr>
      </w:pPr>
      <w:r w:rsidRPr="00EE3663">
        <w:rPr>
          <w:noProof/>
        </w:rPr>
        <w:t>The baseline of an indicator is used when the indicator meets the following three conditions.</w:t>
      </w:r>
    </w:p>
    <w:p w14:paraId="02C9341A" w14:textId="77777777" w:rsidR="00D26688" w:rsidRPr="00EE3663" w:rsidRDefault="00D26688" w:rsidP="006A09DC">
      <w:pPr>
        <w:pStyle w:val="amprLISTgreenbullets-L1"/>
        <w:rPr>
          <w:noProof/>
        </w:rPr>
      </w:pPr>
      <w:r w:rsidRPr="00EE3663">
        <w:rPr>
          <w:noProof/>
        </w:rPr>
        <w:t>A quantitative baseline is available in the programme statements.</w:t>
      </w:r>
    </w:p>
    <w:p w14:paraId="7BE07427" w14:textId="77777777" w:rsidR="00D26688" w:rsidRPr="00EE3663" w:rsidRDefault="00D26688" w:rsidP="006A09DC">
      <w:pPr>
        <w:pStyle w:val="amprLISTgreenbullets-L1"/>
        <w:rPr>
          <w:noProof/>
        </w:rPr>
      </w:pPr>
      <w:r w:rsidRPr="00EE3663">
        <w:rPr>
          <w:noProof/>
        </w:rPr>
        <w:t>The baseline meets the definition of measurement before EU budget intervention.</w:t>
      </w:r>
    </w:p>
    <w:p w14:paraId="6CD50189" w14:textId="77777777" w:rsidR="00D26688" w:rsidRPr="00EE3663" w:rsidRDefault="00D26688" w:rsidP="006A09DC">
      <w:pPr>
        <w:pStyle w:val="amprLISTgreenbullets-L1"/>
        <w:rPr>
          <w:noProof/>
        </w:rPr>
      </w:pPr>
      <w:r w:rsidRPr="00EE3663">
        <w:rPr>
          <w:noProof/>
        </w:rPr>
        <w:t>The target represents an improvement (i.e. a better result) compared to the baseline</w:t>
      </w:r>
      <w:r>
        <w:rPr>
          <w:rFonts w:ascii="Calibri" w:hAnsi="Calibri" w:cs="Calibri"/>
          <w:noProof/>
        </w:rPr>
        <w:t> </w:t>
      </w:r>
      <w:r w:rsidRPr="00EE3663">
        <w:rPr>
          <w:noProof/>
        </w:rPr>
        <w:t>– otherwise the progress could not be calculated. Depending on the indicator, an improvement can be an increase or a decrease compared to the baseline.</w:t>
      </w:r>
    </w:p>
    <w:p w14:paraId="42A8C367" w14:textId="77777777" w:rsidR="00D26688" w:rsidRPr="00EE3663" w:rsidRDefault="00D26688" w:rsidP="001130BD">
      <w:pPr>
        <w:pStyle w:val="amprH4Subhead1"/>
        <w:rPr>
          <w:noProof/>
        </w:rPr>
      </w:pPr>
      <w:r w:rsidRPr="00EE3663">
        <w:rPr>
          <w:noProof/>
        </w:rPr>
        <w:t>DEFINITION OF ‘PROGRESS’</w:t>
      </w:r>
    </w:p>
    <w:p w14:paraId="5F5D3024" w14:textId="77777777" w:rsidR="00D26688" w:rsidRPr="00EE3663" w:rsidRDefault="00D26688" w:rsidP="006A09DC">
      <w:pPr>
        <w:pStyle w:val="amprBodyText"/>
        <w:rPr>
          <w:noProof/>
        </w:rPr>
      </w:pPr>
      <w:r w:rsidRPr="00EE3663">
        <w:rPr>
          <w:noProof/>
        </w:rPr>
        <w:t xml:space="preserve">The ‘progress’ of an indicator provides a consistent presentation across programmes of the evolution of the indicator from the baseline (if applicable) to the target. In the </w:t>
      </w:r>
      <w:r>
        <w:rPr>
          <w:noProof/>
        </w:rPr>
        <w:t>p</w:t>
      </w:r>
      <w:r w:rsidRPr="00EE3663">
        <w:rPr>
          <w:noProof/>
        </w:rPr>
        <w:t xml:space="preserve">rogramme </w:t>
      </w:r>
      <w:r>
        <w:rPr>
          <w:noProof/>
        </w:rPr>
        <w:t>p</w:t>
      </w:r>
      <w:r w:rsidRPr="00EE3663">
        <w:rPr>
          <w:noProof/>
        </w:rPr>
        <w:t xml:space="preserve">erformance </w:t>
      </w:r>
      <w:r>
        <w:rPr>
          <w:noProof/>
        </w:rPr>
        <w:t>o</w:t>
      </w:r>
      <w:r w:rsidRPr="00EE3663">
        <w:rPr>
          <w:noProof/>
        </w:rPr>
        <w:t xml:space="preserve">verview website(s) the progress is shown </w:t>
      </w:r>
      <w:r>
        <w:rPr>
          <w:noProof/>
        </w:rPr>
        <w:t>using</w:t>
      </w:r>
      <w:r w:rsidRPr="00EE3663">
        <w:rPr>
          <w:noProof/>
        </w:rPr>
        <w:t xml:space="preserve"> bar charts for the selected indicators.</w:t>
      </w:r>
    </w:p>
    <w:p w14:paraId="150CBA3C" w14:textId="77777777" w:rsidR="00D26688" w:rsidRPr="00EE3663" w:rsidRDefault="00D26688" w:rsidP="006A09DC">
      <w:pPr>
        <w:pStyle w:val="amprH6Subhead3"/>
        <w:rPr>
          <w:noProof/>
        </w:rPr>
      </w:pPr>
      <w:r w:rsidRPr="00EE3663">
        <w:rPr>
          <w:noProof/>
        </w:rPr>
        <w:t>General formula</w:t>
      </w:r>
    </w:p>
    <w:p w14:paraId="24514B84" w14:textId="77777777" w:rsidR="00D26688" w:rsidRPr="00EE3663" w:rsidRDefault="00D26688" w:rsidP="006A09DC">
      <w:pPr>
        <w:pStyle w:val="amprBodyText"/>
        <w:rPr>
          <w:noProof/>
        </w:rPr>
      </w:pPr>
      <w:r w:rsidRPr="00EE3663">
        <w:rPr>
          <w:noProof/>
        </w:rPr>
        <w:t xml:space="preserve">The general formula </w:t>
      </w:r>
      <w:r>
        <w:rPr>
          <w:noProof/>
        </w:rPr>
        <w:t xml:space="preserve">used </w:t>
      </w:r>
      <w:r w:rsidRPr="00EE3663">
        <w:rPr>
          <w:noProof/>
        </w:rPr>
        <w:t>to calculate the ‘progress towards the target’ percentage is as follows:</w:t>
      </w:r>
    </w:p>
    <w:p w14:paraId="5DCAD7E0" w14:textId="77777777" w:rsidR="00D26688" w:rsidRPr="00EE3663" w:rsidRDefault="00D26688" w:rsidP="006A09DC">
      <w:pPr>
        <w:pStyle w:val="amprBodyText"/>
        <w:jc w:val="center"/>
        <w:rPr>
          <w:noProof/>
        </w:rPr>
      </w:pPr>
      <w:r w:rsidRPr="00EE3663">
        <w:rPr>
          <w:noProof/>
        </w:rPr>
        <w:t>Progress % = (last year result – baseline) / (target – baseline)</w:t>
      </w:r>
    </w:p>
    <w:p w14:paraId="49C88CCF" w14:textId="77777777" w:rsidR="00D26688" w:rsidRPr="00EE3663" w:rsidRDefault="00D26688" w:rsidP="006A09DC">
      <w:pPr>
        <w:pStyle w:val="amprH6Subhead3"/>
        <w:rPr>
          <w:noProof/>
        </w:rPr>
      </w:pPr>
      <w:r w:rsidRPr="00BE4982">
        <w:rPr>
          <w:noProof/>
        </w:rPr>
        <w:t>Example</w:t>
      </w:r>
    </w:p>
    <w:p w14:paraId="2DCEB246" w14:textId="77777777" w:rsidR="00D26688" w:rsidRPr="005051BA" w:rsidRDefault="00D26688" w:rsidP="00D26688">
      <w:pPr>
        <w:pStyle w:val="BodyText1spaceafter"/>
        <w:rPr>
          <w:color w:val="auto"/>
        </w:rPr>
      </w:pPr>
      <w:r w:rsidRPr="005051BA">
        <w:rPr>
          <w:color w:val="auto"/>
        </w:rPr>
        <w:t>Programme: Implementation and exploration of European satellite navigation systems (Galileo and EGNOS)</w:t>
      </w:r>
    </w:p>
    <w:tbl>
      <w:tblPr>
        <w:tblStyle w:val="AMPR2021"/>
        <w:tblW w:w="0" w:type="auto"/>
        <w:tblLook w:val="04A0" w:firstRow="1" w:lastRow="0" w:firstColumn="1" w:lastColumn="0" w:noHBand="0" w:noVBand="1"/>
      </w:tblPr>
      <w:tblGrid>
        <w:gridCol w:w="813"/>
        <w:gridCol w:w="199"/>
        <w:gridCol w:w="896"/>
        <w:gridCol w:w="894"/>
        <w:gridCol w:w="892"/>
        <w:gridCol w:w="892"/>
        <w:gridCol w:w="895"/>
        <w:gridCol w:w="893"/>
        <w:gridCol w:w="906"/>
        <w:gridCol w:w="750"/>
        <w:gridCol w:w="804"/>
      </w:tblGrid>
      <w:tr w:rsidR="00D26688" w:rsidRPr="00EE3663" w14:paraId="5CB40B12" w14:textId="77777777" w:rsidTr="006A09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6D99EF6F" w14:textId="77777777" w:rsidR="00D26688" w:rsidRPr="001130BD" w:rsidRDefault="00D26688" w:rsidP="00D26688">
            <w:pPr>
              <w:rPr>
                <w:b w:val="0"/>
                <w:noProof/>
              </w:rPr>
            </w:pPr>
          </w:p>
        </w:tc>
        <w:tc>
          <w:tcPr>
            <w:tcW w:w="8931" w:type="dxa"/>
            <w:gridSpan w:val="10"/>
          </w:tcPr>
          <w:p w14:paraId="45836485" w14:textId="77777777" w:rsidR="00D26688" w:rsidRPr="001130BD" w:rsidRDefault="00D26688" w:rsidP="00D26688">
            <w:pPr>
              <w:cnfStyle w:val="100000000000" w:firstRow="1" w:lastRow="0" w:firstColumn="0" w:lastColumn="0" w:oddVBand="0" w:evenVBand="0" w:oddHBand="0" w:evenHBand="0" w:firstRowFirstColumn="0" w:firstRowLastColumn="0" w:lastRowFirstColumn="0" w:lastRowLastColumn="0"/>
              <w:rPr>
                <w:noProof/>
              </w:rPr>
            </w:pPr>
            <w:r w:rsidRPr="001130BD">
              <w:rPr>
                <w:b w:val="0"/>
                <w:noProof/>
              </w:rPr>
              <w:t>Specific objective 1:</w:t>
            </w:r>
            <w:r w:rsidRPr="001130BD">
              <w:rPr>
                <w:noProof/>
              </w:rPr>
              <w:t xml:space="preserve"> To develop and provide global satellite-based radio navigation infrastructures and services (Galileo) by 2020</w:t>
            </w:r>
          </w:p>
        </w:tc>
      </w:tr>
      <w:tr w:rsidR="00D26688" w:rsidRPr="00EE3663" w14:paraId="00B19A28" w14:textId="77777777" w:rsidTr="006A0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21999B2" w14:textId="77777777" w:rsidR="00D26688" w:rsidRPr="001130BD" w:rsidRDefault="00D26688" w:rsidP="00D26688">
            <w:pPr>
              <w:rPr>
                <w:b w:val="0"/>
                <w:noProof/>
              </w:rPr>
            </w:pPr>
          </w:p>
        </w:tc>
        <w:tc>
          <w:tcPr>
            <w:tcW w:w="8931" w:type="dxa"/>
            <w:gridSpan w:val="10"/>
          </w:tcPr>
          <w:p w14:paraId="2B29E136" w14:textId="77777777" w:rsidR="00D26688" w:rsidRPr="001130BD" w:rsidRDefault="00D26688" w:rsidP="00D26688">
            <w:pPr>
              <w:cnfStyle w:val="000000100000" w:firstRow="0" w:lastRow="0" w:firstColumn="0" w:lastColumn="0" w:oddVBand="0" w:evenVBand="0" w:oddHBand="1" w:evenHBand="0" w:firstRowFirstColumn="0" w:firstRowLastColumn="0" w:lastRowFirstColumn="0" w:lastRowLastColumn="0"/>
              <w:rPr>
                <w:noProof/>
              </w:rPr>
            </w:pPr>
            <w:r w:rsidRPr="001130BD">
              <w:rPr>
                <w:b/>
                <w:noProof/>
              </w:rPr>
              <w:t>Indicator 1:</w:t>
            </w:r>
            <w:r w:rsidRPr="001130BD">
              <w:rPr>
                <w:noProof/>
                <w:color w:val="01470D" w:themeColor="accent1" w:themeShade="80"/>
              </w:rPr>
              <w:t xml:space="preserve"> </w:t>
            </w:r>
            <w:r w:rsidRPr="001130BD">
              <w:rPr>
                <w:noProof/>
              </w:rPr>
              <w:t>Galileo infrastructure – cumulative number of operational satellites</w:t>
            </w:r>
          </w:p>
        </w:tc>
      </w:tr>
      <w:tr w:rsidR="00D26688" w:rsidRPr="00EE3663" w14:paraId="7D351F3A" w14:textId="77777777" w:rsidTr="006A09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gridSpan w:val="2"/>
            <w:vMerge w:val="restart"/>
            <w:shd w:val="clear" w:color="auto" w:fill="auto"/>
          </w:tcPr>
          <w:p w14:paraId="3873AA3A" w14:textId="77777777" w:rsidR="00D26688" w:rsidRPr="00EE3663" w:rsidRDefault="00D26688" w:rsidP="00D26688">
            <w:pPr>
              <w:rPr>
                <w:noProof/>
              </w:rPr>
            </w:pPr>
            <w:r w:rsidRPr="00EE3663">
              <w:rPr>
                <w:noProof/>
              </w:rPr>
              <w:t xml:space="preserve">Baseline </w:t>
            </w:r>
          </w:p>
        </w:tc>
        <w:tc>
          <w:tcPr>
            <w:tcW w:w="7100" w:type="dxa"/>
            <w:gridSpan w:val="7"/>
            <w:shd w:val="clear" w:color="auto" w:fill="auto"/>
          </w:tcPr>
          <w:p w14:paraId="485647AA" w14:textId="77777777" w:rsidR="00D26688" w:rsidRPr="00EE3663" w:rsidRDefault="00D26688" w:rsidP="00D26688">
            <w:pPr>
              <w:jc w:val="center"/>
              <w:cnfStyle w:val="000000010000" w:firstRow="0" w:lastRow="0" w:firstColumn="0" w:lastColumn="0" w:oddVBand="0" w:evenVBand="0" w:oddHBand="0" w:evenHBand="1" w:firstRowFirstColumn="0" w:firstRowLastColumn="0" w:lastRowFirstColumn="0" w:lastRowLastColumn="0"/>
              <w:rPr>
                <w:noProof/>
              </w:rPr>
            </w:pPr>
            <w:r w:rsidRPr="00EE3663">
              <w:rPr>
                <w:noProof/>
              </w:rPr>
              <w:t>Actual results</w:t>
            </w:r>
          </w:p>
        </w:tc>
        <w:tc>
          <w:tcPr>
            <w:tcW w:w="812" w:type="dxa"/>
            <w:shd w:val="clear" w:color="auto" w:fill="auto"/>
          </w:tcPr>
          <w:p w14:paraId="31082CD6" w14:textId="77777777" w:rsidR="00D26688" w:rsidRPr="00EE3663" w:rsidRDefault="00D26688" w:rsidP="00D26688">
            <w:pPr>
              <w:cnfStyle w:val="000000010000" w:firstRow="0" w:lastRow="0" w:firstColumn="0" w:lastColumn="0" w:oddVBand="0" w:evenVBand="0" w:oddHBand="0" w:evenHBand="1" w:firstRowFirstColumn="0" w:firstRowLastColumn="0" w:lastRowFirstColumn="0" w:lastRowLastColumn="0"/>
              <w:rPr>
                <w:noProof/>
              </w:rPr>
            </w:pPr>
          </w:p>
        </w:tc>
        <w:tc>
          <w:tcPr>
            <w:tcW w:w="812" w:type="dxa"/>
            <w:vMerge w:val="restart"/>
            <w:shd w:val="clear" w:color="auto" w:fill="auto"/>
          </w:tcPr>
          <w:p w14:paraId="21ACCCAF" w14:textId="77777777" w:rsidR="00D26688" w:rsidRPr="00EE3663" w:rsidRDefault="00D26688" w:rsidP="00D26688">
            <w:pPr>
              <w:cnfStyle w:val="000000010000" w:firstRow="0" w:lastRow="0" w:firstColumn="0" w:lastColumn="0" w:oddVBand="0" w:evenVBand="0" w:oddHBand="0" w:evenHBand="1" w:firstRowFirstColumn="0" w:firstRowLastColumn="0" w:lastRowFirstColumn="0" w:lastRowLastColumn="0"/>
              <w:rPr>
                <w:noProof/>
              </w:rPr>
            </w:pPr>
            <w:r w:rsidRPr="00EE3663">
              <w:rPr>
                <w:noProof/>
              </w:rPr>
              <w:t xml:space="preserve">Target </w:t>
            </w:r>
          </w:p>
        </w:tc>
      </w:tr>
      <w:tr w:rsidR="00D26688" w:rsidRPr="00EE3663" w14:paraId="622187FB" w14:textId="77777777" w:rsidTr="006A0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gridSpan w:val="2"/>
            <w:vMerge/>
          </w:tcPr>
          <w:p w14:paraId="79FBE31C" w14:textId="77777777" w:rsidR="00D26688" w:rsidRPr="00EE3663" w:rsidRDefault="00D26688" w:rsidP="00D26688">
            <w:pPr>
              <w:rPr>
                <w:noProof/>
              </w:rPr>
            </w:pPr>
          </w:p>
        </w:tc>
        <w:tc>
          <w:tcPr>
            <w:tcW w:w="1014" w:type="dxa"/>
          </w:tcPr>
          <w:p w14:paraId="4F44B0DE" w14:textId="77777777" w:rsidR="00D26688" w:rsidRPr="00EE3663" w:rsidRDefault="00D26688" w:rsidP="00D26688">
            <w:pPr>
              <w:jc w:val="center"/>
              <w:cnfStyle w:val="000000100000" w:firstRow="0" w:lastRow="0" w:firstColumn="0" w:lastColumn="0" w:oddVBand="0" w:evenVBand="0" w:oddHBand="1" w:evenHBand="0" w:firstRowFirstColumn="0" w:firstRowLastColumn="0" w:lastRowFirstColumn="0" w:lastRowLastColumn="0"/>
              <w:rPr>
                <w:noProof/>
              </w:rPr>
            </w:pPr>
            <w:r w:rsidRPr="00EE3663">
              <w:rPr>
                <w:noProof/>
              </w:rPr>
              <w:t>2014</w:t>
            </w:r>
          </w:p>
        </w:tc>
        <w:tc>
          <w:tcPr>
            <w:tcW w:w="1014" w:type="dxa"/>
          </w:tcPr>
          <w:p w14:paraId="19420CB1" w14:textId="77777777" w:rsidR="00D26688" w:rsidRPr="00EE3663" w:rsidRDefault="00D26688" w:rsidP="00D26688">
            <w:pPr>
              <w:jc w:val="center"/>
              <w:cnfStyle w:val="000000100000" w:firstRow="0" w:lastRow="0" w:firstColumn="0" w:lastColumn="0" w:oddVBand="0" w:evenVBand="0" w:oddHBand="1" w:evenHBand="0" w:firstRowFirstColumn="0" w:firstRowLastColumn="0" w:lastRowFirstColumn="0" w:lastRowLastColumn="0"/>
              <w:rPr>
                <w:noProof/>
              </w:rPr>
            </w:pPr>
            <w:r w:rsidRPr="00EE3663">
              <w:rPr>
                <w:noProof/>
              </w:rPr>
              <w:t>2015</w:t>
            </w:r>
          </w:p>
        </w:tc>
        <w:tc>
          <w:tcPr>
            <w:tcW w:w="1014" w:type="dxa"/>
          </w:tcPr>
          <w:p w14:paraId="15EDA630" w14:textId="77777777" w:rsidR="00D26688" w:rsidRPr="00EE3663" w:rsidRDefault="00D26688" w:rsidP="00D26688">
            <w:pPr>
              <w:jc w:val="center"/>
              <w:cnfStyle w:val="000000100000" w:firstRow="0" w:lastRow="0" w:firstColumn="0" w:lastColumn="0" w:oddVBand="0" w:evenVBand="0" w:oddHBand="1" w:evenHBand="0" w:firstRowFirstColumn="0" w:firstRowLastColumn="0" w:lastRowFirstColumn="0" w:lastRowLastColumn="0"/>
              <w:rPr>
                <w:noProof/>
              </w:rPr>
            </w:pPr>
            <w:r w:rsidRPr="00EE3663">
              <w:rPr>
                <w:noProof/>
              </w:rPr>
              <w:t>2016</w:t>
            </w:r>
          </w:p>
        </w:tc>
        <w:tc>
          <w:tcPr>
            <w:tcW w:w="1014" w:type="dxa"/>
          </w:tcPr>
          <w:p w14:paraId="590D48A4" w14:textId="77777777" w:rsidR="00D26688" w:rsidRPr="00EE3663" w:rsidRDefault="00D26688" w:rsidP="00D26688">
            <w:pPr>
              <w:jc w:val="center"/>
              <w:cnfStyle w:val="000000100000" w:firstRow="0" w:lastRow="0" w:firstColumn="0" w:lastColumn="0" w:oddVBand="0" w:evenVBand="0" w:oddHBand="1" w:evenHBand="0" w:firstRowFirstColumn="0" w:firstRowLastColumn="0" w:lastRowFirstColumn="0" w:lastRowLastColumn="0"/>
              <w:rPr>
                <w:noProof/>
              </w:rPr>
            </w:pPr>
            <w:r w:rsidRPr="00EE3663">
              <w:rPr>
                <w:noProof/>
              </w:rPr>
              <w:t>2017</w:t>
            </w:r>
          </w:p>
        </w:tc>
        <w:tc>
          <w:tcPr>
            <w:tcW w:w="1014" w:type="dxa"/>
          </w:tcPr>
          <w:p w14:paraId="6DA8A72C" w14:textId="77777777" w:rsidR="00D26688" w:rsidRPr="00EE3663" w:rsidRDefault="00D26688" w:rsidP="00D26688">
            <w:pPr>
              <w:jc w:val="center"/>
              <w:cnfStyle w:val="000000100000" w:firstRow="0" w:lastRow="0" w:firstColumn="0" w:lastColumn="0" w:oddVBand="0" w:evenVBand="0" w:oddHBand="1" w:evenHBand="0" w:firstRowFirstColumn="0" w:firstRowLastColumn="0" w:lastRowFirstColumn="0" w:lastRowLastColumn="0"/>
              <w:rPr>
                <w:noProof/>
              </w:rPr>
            </w:pPr>
            <w:r w:rsidRPr="00EE3663">
              <w:rPr>
                <w:noProof/>
              </w:rPr>
              <w:t>2018</w:t>
            </w:r>
          </w:p>
        </w:tc>
        <w:tc>
          <w:tcPr>
            <w:tcW w:w="1015" w:type="dxa"/>
          </w:tcPr>
          <w:p w14:paraId="7A223CE4" w14:textId="77777777" w:rsidR="00D26688" w:rsidRPr="00EE3663" w:rsidRDefault="00D26688" w:rsidP="00D26688">
            <w:pPr>
              <w:jc w:val="center"/>
              <w:cnfStyle w:val="000000100000" w:firstRow="0" w:lastRow="0" w:firstColumn="0" w:lastColumn="0" w:oddVBand="0" w:evenVBand="0" w:oddHBand="1" w:evenHBand="0" w:firstRowFirstColumn="0" w:firstRowLastColumn="0" w:lastRowFirstColumn="0" w:lastRowLastColumn="0"/>
              <w:rPr>
                <w:noProof/>
              </w:rPr>
            </w:pPr>
            <w:r w:rsidRPr="00EE3663">
              <w:rPr>
                <w:noProof/>
              </w:rPr>
              <w:t>2019</w:t>
            </w:r>
          </w:p>
        </w:tc>
        <w:tc>
          <w:tcPr>
            <w:tcW w:w="1015" w:type="dxa"/>
          </w:tcPr>
          <w:p w14:paraId="0E86E50D" w14:textId="77777777" w:rsidR="00D26688" w:rsidRPr="00EE3663" w:rsidRDefault="00D26688" w:rsidP="00D26688">
            <w:pPr>
              <w:jc w:val="center"/>
              <w:cnfStyle w:val="000000100000" w:firstRow="0" w:lastRow="0" w:firstColumn="0" w:lastColumn="0" w:oddVBand="0" w:evenVBand="0" w:oddHBand="1" w:evenHBand="0" w:firstRowFirstColumn="0" w:firstRowLastColumn="0" w:lastRowFirstColumn="0" w:lastRowLastColumn="0"/>
              <w:rPr>
                <w:noProof/>
              </w:rPr>
            </w:pPr>
            <w:r w:rsidRPr="00EE3663">
              <w:rPr>
                <w:noProof/>
              </w:rPr>
              <w:t>2020</w:t>
            </w:r>
          </w:p>
        </w:tc>
        <w:tc>
          <w:tcPr>
            <w:tcW w:w="812" w:type="dxa"/>
          </w:tcPr>
          <w:p w14:paraId="680DDEB0" w14:textId="77777777" w:rsidR="00D26688" w:rsidRPr="00EE3663" w:rsidRDefault="00D26688" w:rsidP="00D26688">
            <w:pPr>
              <w:cnfStyle w:val="000000100000" w:firstRow="0" w:lastRow="0" w:firstColumn="0" w:lastColumn="0" w:oddVBand="0" w:evenVBand="0" w:oddHBand="1" w:evenHBand="0" w:firstRowFirstColumn="0" w:firstRowLastColumn="0" w:lastRowFirstColumn="0" w:lastRowLastColumn="0"/>
              <w:rPr>
                <w:noProof/>
              </w:rPr>
            </w:pPr>
            <w:r w:rsidRPr="00EE3663">
              <w:rPr>
                <w:noProof/>
              </w:rPr>
              <w:t>2021</w:t>
            </w:r>
          </w:p>
        </w:tc>
        <w:tc>
          <w:tcPr>
            <w:tcW w:w="812" w:type="dxa"/>
            <w:vMerge/>
          </w:tcPr>
          <w:p w14:paraId="77250443" w14:textId="77777777" w:rsidR="00D26688" w:rsidRPr="00EE3663" w:rsidRDefault="00D26688" w:rsidP="00D26688">
            <w:pPr>
              <w:cnfStyle w:val="000000100000" w:firstRow="0" w:lastRow="0" w:firstColumn="0" w:lastColumn="0" w:oddVBand="0" w:evenVBand="0" w:oddHBand="1" w:evenHBand="0" w:firstRowFirstColumn="0" w:firstRowLastColumn="0" w:lastRowFirstColumn="0" w:lastRowLastColumn="0"/>
              <w:rPr>
                <w:noProof/>
              </w:rPr>
            </w:pPr>
          </w:p>
        </w:tc>
      </w:tr>
      <w:tr w:rsidR="00D26688" w:rsidRPr="00EE3663" w14:paraId="4DB49D6C" w14:textId="77777777" w:rsidTr="006A09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gridSpan w:val="2"/>
          </w:tcPr>
          <w:p w14:paraId="3B6A9BF3" w14:textId="77777777" w:rsidR="00D26688" w:rsidRPr="00EE3663" w:rsidRDefault="00D26688" w:rsidP="00D26688">
            <w:pPr>
              <w:jc w:val="center"/>
              <w:rPr>
                <w:noProof/>
              </w:rPr>
            </w:pPr>
            <w:r w:rsidRPr="00EE3663">
              <w:rPr>
                <w:noProof/>
              </w:rPr>
              <w:t>4</w:t>
            </w:r>
          </w:p>
        </w:tc>
        <w:tc>
          <w:tcPr>
            <w:tcW w:w="1014" w:type="dxa"/>
          </w:tcPr>
          <w:p w14:paraId="03ED851C" w14:textId="77777777" w:rsidR="00D26688" w:rsidRPr="00EE3663" w:rsidRDefault="00D26688" w:rsidP="00D26688">
            <w:pPr>
              <w:jc w:val="center"/>
              <w:cnfStyle w:val="000000010000" w:firstRow="0" w:lastRow="0" w:firstColumn="0" w:lastColumn="0" w:oddVBand="0" w:evenVBand="0" w:oddHBand="0" w:evenHBand="1" w:firstRowFirstColumn="0" w:firstRowLastColumn="0" w:lastRowFirstColumn="0" w:lastRowLastColumn="0"/>
              <w:rPr>
                <w:noProof/>
              </w:rPr>
            </w:pPr>
            <w:r w:rsidRPr="00EE3663">
              <w:rPr>
                <w:noProof/>
              </w:rPr>
              <w:t>3</w:t>
            </w:r>
          </w:p>
        </w:tc>
        <w:tc>
          <w:tcPr>
            <w:tcW w:w="1014" w:type="dxa"/>
          </w:tcPr>
          <w:p w14:paraId="4A182FC1" w14:textId="77777777" w:rsidR="00D26688" w:rsidRPr="00EE3663" w:rsidRDefault="00D26688" w:rsidP="00D26688">
            <w:pPr>
              <w:jc w:val="center"/>
              <w:cnfStyle w:val="000000010000" w:firstRow="0" w:lastRow="0" w:firstColumn="0" w:lastColumn="0" w:oddVBand="0" w:evenVBand="0" w:oddHBand="0" w:evenHBand="1" w:firstRowFirstColumn="0" w:firstRowLastColumn="0" w:lastRowFirstColumn="0" w:lastRowLastColumn="0"/>
              <w:rPr>
                <w:noProof/>
              </w:rPr>
            </w:pPr>
            <w:r w:rsidRPr="00EE3663">
              <w:rPr>
                <w:noProof/>
              </w:rPr>
              <w:t>9</w:t>
            </w:r>
          </w:p>
        </w:tc>
        <w:tc>
          <w:tcPr>
            <w:tcW w:w="1014" w:type="dxa"/>
          </w:tcPr>
          <w:p w14:paraId="1CECDBE1" w14:textId="77777777" w:rsidR="00D26688" w:rsidRPr="00EE3663" w:rsidRDefault="00D26688" w:rsidP="00D26688">
            <w:pPr>
              <w:jc w:val="center"/>
              <w:cnfStyle w:val="000000010000" w:firstRow="0" w:lastRow="0" w:firstColumn="0" w:lastColumn="0" w:oddVBand="0" w:evenVBand="0" w:oddHBand="0" w:evenHBand="1" w:firstRowFirstColumn="0" w:firstRowLastColumn="0" w:lastRowFirstColumn="0" w:lastRowLastColumn="0"/>
              <w:rPr>
                <w:noProof/>
              </w:rPr>
            </w:pPr>
            <w:r w:rsidRPr="00EE3663">
              <w:rPr>
                <w:noProof/>
              </w:rPr>
              <w:t>18</w:t>
            </w:r>
          </w:p>
        </w:tc>
        <w:tc>
          <w:tcPr>
            <w:tcW w:w="1014" w:type="dxa"/>
          </w:tcPr>
          <w:p w14:paraId="45BBF545" w14:textId="77777777" w:rsidR="00D26688" w:rsidRPr="00EE3663" w:rsidRDefault="00D26688" w:rsidP="00D26688">
            <w:pPr>
              <w:jc w:val="center"/>
              <w:cnfStyle w:val="000000010000" w:firstRow="0" w:lastRow="0" w:firstColumn="0" w:lastColumn="0" w:oddVBand="0" w:evenVBand="0" w:oddHBand="0" w:evenHBand="1" w:firstRowFirstColumn="0" w:firstRowLastColumn="0" w:lastRowFirstColumn="0" w:lastRowLastColumn="0"/>
              <w:rPr>
                <w:noProof/>
              </w:rPr>
            </w:pPr>
            <w:r w:rsidRPr="00EE3663">
              <w:rPr>
                <w:noProof/>
              </w:rPr>
              <w:t>22</w:t>
            </w:r>
          </w:p>
        </w:tc>
        <w:tc>
          <w:tcPr>
            <w:tcW w:w="1014" w:type="dxa"/>
          </w:tcPr>
          <w:p w14:paraId="56BD2A30" w14:textId="77777777" w:rsidR="00D26688" w:rsidRPr="00EE3663" w:rsidRDefault="00D26688" w:rsidP="00D26688">
            <w:pPr>
              <w:jc w:val="center"/>
              <w:cnfStyle w:val="000000010000" w:firstRow="0" w:lastRow="0" w:firstColumn="0" w:lastColumn="0" w:oddVBand="0" w:evenVBand="0" w:oddHBand="0" w:evenHBand="1" w:firstRowFirstColumn="0" w:firstRowLastColumn="0" w:lastRowFirstColumn="0" w:lastRowLastColumn="0"/>
              <w:rPr>
                <w:noProof/>
              </w:rPr>
            </w:pPr>
            <w:r w:rsidRPr="00EE3663">
              <w:rPr>
                <w:noProof/>
              </w:rPr>
              <w:t>26</w:t>
            </w:r>
          </w:p>
        </w:tc>
        <w:tc>
          <w:tcPr>
            <w:tcW w:w="1015" w:type="dxa"/>
          </w:tcPr>
          <w:p w14:paraId="32085046" w14:textId="77777777" w:rsidR="00D26688" w:rsidRPr="00EE3663" w:rsidRDefault="00D26688" w:rsidP="00D26688">
            <w:pPr>
              <w:jc w:val="center"/>
              <w:cnfStyle w:val="000000010000" w:firstRow="0" w:lastRow="0" w:firstColumn="0" w:lastColumn="0" w:oddVBand="0" w:evenVBand="0" w:oddHBand="0" w:evenHBand="1" w:firstRowFirstColumn="0" w:firstRowLastColumn="0" w:lastRowFirstColumn="0" w:lastRowLastColumn="0"/>
              <w:rPr>
                <w:noProof/>
              </w:rPr>
            </w:pPr>
            <w:r w:rsidRPr="00EE3663">
              <w:rPr>
                <w:noProof/>
              </w:rPr>
              <w:t>26</w:t>
            </w:r>
          </w:p>
        </w:tc>
        <w:tc>
          <w:tcPr>
            <w:tcW w:w="1015" w:type="dxa"/>
          </w:tcPr>
          <w:p w14:paraId="03FC694C" w14:textId="77777777" w:rsidR="00D26688" w:rsidRPr="00EE3663" w:rsidRDefault="00D26688" w:rsidP="00D26688">
            <w:pPr>
              <w:jc w:val="center"/>
              <w:cnfStyle w:val="000000010000" w:firstRow="0" w:lastRow="0" w:firstColumn="0" w:lastColumn="0" w:oddVBand="0" w:evenVBand="0" w:oddHBand="0" w:evenHBand="1" w:firstRowFirstColumn="0" w:firstRowLastColumn="0" w:lastRowFirstColumn="0" w:lastRowLastColumn="0"/>
              <w:rPr>
                <w:noProof/>
              </w:rPr>
            </w:pPr>
            <w:r w:rsidRPr="00EE3663">
              <w:rPr>
                <w:noProof/>
              </w:rPr>
              <w:t>26</w:t>
            </w:r>
          </w:p>
        </w:tc>
        <w:tc>
          <w:tcPr>
            <w:tcW w:w="812" w:type="dxa"/>
          </w:tcPr>
          <w:p w14:paraId="05603040" w14:textId="77777777" w:rsidR="00D26688" w:rsidRPr="00EE3663" w:rsidRDefault="00D26688" w:rsidP="00D26688">
            <w:pPr>
              <w:jc w:val="center"/>
              <w:cnfStyle w:val="000000010000" w:firstRow="0" w:lastRow="0" w:firstColumn="0" w:lastColumn="0" w:oddVBand="0" w:evenVBand="0" w:oddHBand="0" w:evenHBand="1" w:firstRowFirstColumn="0" w:firstRowLastColumn="0" w:lastRowFirstColumn="0" w:lastRowLastColumn="0"/>
              <w:rPr>
                <w:noProof/>
              </w:rPr>
            </w:pPr>
            <w:r w:rsidRPr="00EE3663">
              <w:rPr>
                <w:noProof/>
              </w:rPr>
              <w:t>28</w:t>
            </w:r>
          </w:p>
        </w:tc>
        <w:tc>
          <w:tcPr>
            <w:tcW w:w="812" w:type="dxa"/>
          </w:tcPr>
          <w:p w14:paraId="5627BE19" w14:textId="77777777" w:rsidR="00D26688" w:rsidRPr="00EE3663" w:rsidRDefault="00D26688" w:rsidP="00D26688">
            <w:pPr>
              <w:jc w:val="center"/>
              <w:cnfStyle w:val="000000010000" w:firstRow="0" w:lastRow="0" w:firstColumn="0" w:lastColumn="0" w:oddVBand="0" w:evenVBand="0" w:oddHBand="0" w:evenHBand="1" w:firstRowFirstColumn="0" w:firstRowLastColumn="0" w:lastRowFirstColumn="0" w:lastRowLastColumn="0"/>
              <w:rPr>
                <w:noProof/>
              </w:rPr>
            </w:pPr>
            <w:r w:rsidRPr="00EE3663">
              <w:rPr>
                <w:noProof/>
              </w:rPr>
              <w:t>30</w:t>
            </w:r>
          </w:p>
        </w:tc>
      </w:tr>
    </w:tbl>
    <w:p w14:paraId="250817FF" w14:textId="77777777" w:rsidR="00D26688" w:rsidRPr="005051BA" w:rsidRDefault="00D26688" w:rsidP="006A09DC">
      <w:pPr>
        <w:pStyle w:val="FootnoteText"/>
        <w:spacing w:before="120"/>
        <w:ind w:left="360" w:hanging="360"/>
        <w:rPr>
          <w:noProof/>
        </w:rPr>
      </w:pPr>
      <w:r w:rsidRPr="005051BA">
        <w:rPr>
          <w:noProof/>
        </w:rPr>
        <w:t xml:space="preserve">2021 </w:t>
      </w:r>
      <w:r>
        <w:rPr>
          <w:noProof/>
        </w:rPr>
        <w:t>p</w:t>
      </w:r>
      <w:r w:rsidRPr="005051BA">
        <w:rPr>
          <w:noProof/>
        </w:rPr>
        <w:t>rogress % = (28 – 4) / (30 – 4) = 92%</w:t>
      </w:r>
    </w:p>
    <w:p w14:paraId="428D4A5C" w14:textId="77777777" w:rsidR="00D26688" w:rsidRPr="00EE3663" w:rsidRDefault="00D26688" w:rsidP="006A09DC">
      <w:pPr>
        <w:pStyle w:val="amprH6Subhead3"/>
        <w:rPr>
          <w:noProof/>
        </w:rPr>
      </w:pPr>
      <w:r w:rsidRPr="00EE3663">
        <w:rPr>
          <w:noProof/>
        </w:rPr>
        <w:t>Adaptations</w:t>
      </w:r>
    </w:p>
    <w:p w14:paraId="416A7228" w14:textId="77777777" w:rsidR="00D26688" w:rsidRPr="00EE3663" w:rsidRDefault="00D26688" w:rsidP="006A09DC">
      <w:pPr>
        <w:pStyle w:val="amprBodyText"/>
        <w:rPr>
          <w:noProof/>
        </w:rPr>
      </w:pPr>
      <w:r w:rsidRPr="00EE3663">
        <w:rPr>
          <w:noProof/>
        </w:rPr>
        <w:t>Specific adaptions, if any, are noted in the footnotes at the bottom of the respective figures. Examples of such adaptations are as follows</w:t>
      </w:r>
      <w:r>
        <w:rPr>
          <w:noProof/>
        </w:rPr>
        <w:t>.</w:t>
      </w:r>
    </w:p>
    <w:p w14:paraId="2BAA2DFE" w14:textId="77777777" w:rsidR="00D26688" w:rsidRPr="00EE3663" w:rsidRDefault="00D26688" w:rsidP="006A09DC">
      <w:pPr>
        <w:pStyle w:val="amprLISTMixed-L2"/>
        <w:rPr>
          <w:noProof/>
        </w:rPr>
      </w:pPr>
      <w:r w:rsidRPr="00EE3663">
        <w:rPr>
          <w:noProof/>
        </w:rPr>
        <w:t>In cases where the target and results are annual values:</w:t>
      </w:r>
    </w:p>
    <w:p w14:paraId="3AB32B5C" w14:textId="77777777" w:rsidR="00D26688" w:rsidRPr="00EE3663" w:rsidRDefault="00D26688" w:rsidP="006A09DC">
      <w:pPr>
        <w:pStyle w:val="amprBodyText"/>
        <w:jc w:val="center"/>
        <w:rPr>
          <w:noProof/>
        </w:rPr>
      </w:pPr>
      <w:r w:rsidRPr="00EE3663">
        <w:rPr>
          <w:noProof/>
        </w:rPr>
        <w:t xml:space="preserve">Progress % = </w:t>
      </w:r>
      <w:r w:rsidRPr="00EE3663">
        <w:rPr>
          <w:noProof/>
        </w:rPr>
        <w:tab/>
        <w:t xml:space="preserve">number of years with results above the target </w:t>
      </w:r>
      <w:r>
        <w:rPr>
          <w:noProof/>
        </w:rPr>
        <w:br/>
      </w:r>
      <w:r w:rsidRPr="00EE3663">
        <w:rPr>
          <w:noProof/>
        </w:rPr>
        <w:t>(or annual milestones) / total number of years</w:t>
      </w:r>
    </w:p>
    <w:p w14:paraId="06934A35" w14:textId="77777777" w:rsidR="00D26688" w:rsidRPr="00EE3663" w:rsidRDefault="00D26688" w:rsidP="006A09DC">
      <w:pPr>
        <w:pStyle w:val="amprLISTMixed-L2"/>
        <w:rPr>
          <w:noProof/>
        </w:rPr>
      </w:pPr>
      <w:r w:rsidRPr="00EE3663">
        <w:rPr>
          <w:noProof/>
        </w:rPr>
        <w:t>In cases where the progress should be expressed in a cumulative way from the beginning of the 2014-2020 period, and the annual results are not cumulative:</w:t>
      </w:r>
    </w:p>
    <w:p w14:paraId="5B92884D" w14:textId="77777777" w:rsidR="00D26688" w:rsidRPr="00EE3663" w:rsidRDefault="00D26688" w:rsidP="006A09DC">
      <w:pPr>
        <w:pStyle w:val="amprBodyText"/>
        <w:jc w:val="center"/>
        <w:rPr>
          <w:noProof/>
        </w:rPr>
      </w:pPr>
      <w:r w:rsidRPr="00EE3663">
        <w:rPr>
          <w:noProof/>
        </w:rPr>
        <w:t>Progress % = (sum (annual results) – baseline) / (target – baseline)</w:t>
      </w:r>
    </w:p>
    <w:p w14:paraId="1F83E2E4" w14:textId="77777777" w:rsidR="00D26688" w:rsidRPr="00EE3663" w:rsidRDefault="00D26688" w:rsidP="006A09DC">
      <w:pPr>
        <w:pStyle w:val="amprLISTMixed-L2"/>
        <w:rPr>
          <w:noProof/>
        </w:rPr>
      </w:pPr>
      <w:r w:rsidRPr="00EE3663">
        <w:rPr>
          <w:noProof/>
        </w:rPr>
        <w:t>In cases where the progress cannot be expressed in a cumulative way, and the ‘last year result’ does not reflect the progress of the programme during the period as a whole, then the ‘last year result’ is replaced in the formula by the ‘average of the annual results from the beginning of the period’:</w:t>
      </w:r>
    </w:p>
    <w:p w14:paraId="21A41467" w14:textId="77777777" w:rsidR="00D26688" w:rsidRPr="00EE3663" w:rsidRDefault="00D26688" w:rsidP="006A09DC">
      <w:pPr>
        <w:pStyle w:val="amprBodyText"/>
        <w:jc w:val="center"/>
        <w:rPr>
          <w:noProof/>
        </w:rPr>
      </w:pPr>
      <w:r w:rsidRPr="00EE3663">
        <w:rPr>
          <w:noProof/>
        </w:rPr>
        <w:t>Progress % = (average (results 2014:2020) – baseline) / (target – baseline)</w:t>
      </w:r>
    </w:p>
    <w:p w14:paraId="2EAF8983" w14:textId="77777777" w:rsidR="00D26688" w:rsidRPr="00EE3663" w:rsidRDefault="00D26688" w:rsidP="006A09DC">
      <w:pPr>
        <w:pStyle w:val="amprBodyText"/>
        <w:rPr>
          <w:noProof/>
        </w:rPr>
      </w:pPr>
      <w:r w:rsidRPr="00EE3663">
        <w:rPr>
          <w:noProof/>
        </w:rPr>
        <w:t>In cases where annual milestones are available and the progress of the programme is better reflected comparing the results to the annual milestones, then targets are replaced in the formula by annual milestones.</w:t>
      </w:r>
    </w:p>
    <w:p w14:paraId="1F3B351E" w14:textId="77777777" w:rsidR="00D26688" w:rsidRPr="00EE3663" w:rsidRDefault="00D26688" w:rsidP="001130BD">
      <w:pPr>
        <w:pStyle w:val="amprH4Subhead1"/>
        <w:rPr>
          <w:noProof/>
        </w:rPr>
      </w:pPr>
      <w:r w:rsidRPr="00EE3663">
        <w:rPr>
          <w:noProof/>
        </w:rPr>
        <w:t>INDICATOR ASSESSMENT</w:t>
      </w:r>
    </w:p>
    <w:p w14:paraId="3D718129" w14:textId="77777777" w:rsidR="00D26688" w:rsidRPr="00EE3663" w:rsidRDefault="00D26688" w:rsidP="006A09DC">
      <w:pPr>
        <w:pStyle w:val="amprBodyText"/>
        <w:rPr>
          <w:noProof/>
        </w:rPr>
      </w:pPr>
      <w:r w:rsidRPr="00EE3663">
        <w:rPr>
          <w:noProof/>
        </w:rPr>
        <w:t>The results of the indicators are assessed using the following definitions</w:t>
      </w:r>
      <w:r>
        <w:rPr>
          <w:noProof/>
        </w:rPr>
        <w:t>.</w:t>
      </w:r>
    </w:p>
    <w:p w14:paraId="4674E3C0" w14:textId="3DC7B8C5" w:rsidR="00D26688" w:rsidRPr="00EE3663" w:rsidRDefault="00D26688" w:rsidP="006A09DC">
      <w:pPr>
        <w:pStyle w:val="amprLISTgreenbullets-L1"/>
        <w:rPr>
          <w:noProof/>
        </w:rPr>
      </w:pPr>
      <w:r w:rsidRPr="00EE3663">
        <w:rPr>
          <w:noProof/>
        </w:rPr>
        <w:t>‘</w:t>
      </w:r>
      <w:r w:rsidRPr="003F5169">
        <w:rPr>
          <w:noProof/>
        </w:rPr>
        <w:t>Achieved</w:t>
      </w:r>
      <w:r w:rsidRPr="00EE3663">
        <w:rPr>
          <w:noProof/>
        </w:rPr>
        <w:t>’</w:t>
      </w:r>
      <w:r>
        <w:rPr>
          <w:noProof/>
        </w:rPr>
        <w:t>:</w:t>
      </w:r>
      <w:r w:rsidRPr="00EE3663">
        <w:rPr>
          <w:noProof/>
        </w:rPr>
        <w:t xml:space="preserve"> if the indicator has achieved </w:t>
      </w:r>
      <w:r w:rsidR="001A57A0">
        <w:rPr>
          <w:noProof/>
        </w:rPr>
        <w:t>at least 95% of the</w:t>
      </w:r>
      <w:r w:rsidR="001A57A0" w:rsidRPr="00EE3663">
        <w:rPr>
          <w:noProof/>
        </w:rPr>
        <w:t xml:space="preserve"> </w:t>
      </w:r>
      <w:r w:rsidRPr="00EE3663">
        <w:rPr>
          <w:noProof/>
        </w:rPr>
        <w:t xml:space="preserve">target and there is no possibility that </w:t>
      </w:r>
      <w:r>
        <w:rPr>
          <w:noProof/>
        </w:rPr>
        <w:t>the</w:t>
      </w:r>
      <w:r w:rsidRPr="00EE3663">
        <w:rPr>
          <w:noProof/>
        </w:rPr>
        <w:t xml:space="preserve"> achievement </w:t>
      </w:r>
      <w:r>
        <w:rPr>
          <w:noProof/>
        </w:rPr>
        <w:t xml:space="preserve">could </w:t>
      </w:r>
      <w:r w:rsidRPr="00EE3663">
        <w:rPr>
          <w:noProof/>
        </w:rPr>
        <w:t>be reversed/jeopardi</w:t>
      </w:r>
      <w:r>
        <w:rPr>
          <w:noProof/>
        </w:rPr>
        <w:t>s</w:t>
      </w:r>
      <w:r w:rsidRPr="00EE3663">
        <w:rPr>
          <w:noProof/>
        </w:rPr>
        <w:t>ed before the target year.</w:t>
      </w:r>
    </w:p>
    <w:p w14:paraId="0D521F22" w14:textId="320823ED" w:rsidR="00D26688" w:rsidRPr="00EE3663" w:rsidRDefault="00D26688" w:rsidP="006A09DC">
      <w:pPr>
        <w:pStyle w:val="amprLISTgreenbullets-L1"/>
        <w:rPr>
          <w:noProof/>
        </w:rPr>
      </w:pPr>
      <w:r w:rsidRPr="00EE3663">
        <w:rPr>
          <w:noProof/>
        </w:rPr>
        <w:t>‘</w:t>
      </w:r>
      <w:r w:rsidRPr="003F5169">
        <w:rPr>
          <w:noProof/>
        </w:rPr>
        <w:t>On track’</w:t>
      </w:r>
      <w:r w:rsidRPr="00EE3663">
        <w:rPr>
          <w:noProof/>
        </w:rPr>
        <w:t xml:space="preserve">: </w:t>
      </w:r>
      <w:r w:rsidRPr="00EE3663">
        <w:rPr>
          <w:noProof/>
          <w:lang w:eastAsia="en-GB"/>
        </w:rPr>
        <w:t xml:space="preserve">if the indicator is expected to reach </w:t>
      </w:r>
      <w:r w:rsidR="001A57A0">
        <w:rPr>
          <w:noProof/>
          <w:lang w:eastAsia="en-GB"/>
        </w:rPr>
        <w:t xml:space="preserve">at least 95% of the </w:t>
      </w:r>
      <w:r w:rsidRPr="00EE3663">
        <w:rPr>
          <w:noProof/>
          <w:lang w:eastAsia="en-GB"/>
        </w:rPr>
        <w:t>target based on the evolution of the results and the ongoing actions.</w:t>
      </w:r>
    </w:p>
    <w:p w14:paraId="228121C9" w14:textId="77777777" w:rsidR="00D26688" w:rsidRPr="00EE3663" w:rsidRDefault="00D26688" w:rsidP="006A09DC">
      <w:pPr>
        <w:pStyle w:val="amprLISTgreenbullets-L1"/>
        <w:rPr>
          <w:noProof/>
        </w:rPr>
      </w:pPr>
      <w:r w:rsidRPr="00EE3663">
        <w:rPr>
          <w:noProof/>
        </w:rPr>
        <w:t>‘</w:t>
      </w:r>
      <w:r w:rsidRPr="003F5169">
        <w:rPr>
          <w:noProof/>
        </w:rPr>
        <w:t>Moderate progress’:</w:t>
      </w:r>
      <w:r w:rsidRPr="00EE3663">
        <w:rPr>
          <w:noProof/>
          <w:lang w:eastAsia="en-GB"/>
        </w:rPr>
        <w:t xml:space="preserve"> if the indicator shows a positive evolution but the results so far do not allow </w:t>
      </w:r>
      <w:r>
        <w:rPr>
          <w:noProof/>
          <w:lang w:eastAsia="en-GB"/>
        </w:rPr>
        <w:t xml:space="preserve">a conclusion to be drawn on </w:t>
      </w:r>
      <w:r w:rsidRPr="00EE3663">
        <w:rPr>
          <w:noProof/>
          <w:lang w:eastAsia="en-GB"/>
        </w:rPr>
        <w:t>whether the indicator is on track to reach its target.</w:t>
      </w:r>
    </w:p>
    <w:p w14:paraId="4EF9EBF8" w14:textId="77777777" w:rsidR="00D26688" w:rsidRPr="00EE3663" w:rsidRDefault="00D26688" w:rsidP="006A09DC">
      <w:pPr>
        <w:pStyle w:val="amprLISTgreenbullets-L1"/>
        <w:rPr>
          <w:noProof/>
        </w:rPr>
      </w:pPr>
      <w:r w:rsidRPr="00EE3663">
        <w:rPr>
          <w:noProof/>
        </w:rPr>
        <w:t>‘</w:t>
      </w:r>
      <w:r w:rsidRPr="003F5169">
        <w:rPr>
          <w:noProof/>
        </w:rPr>
        <w:t>Deserves attention’</w:t>
      </w:r>
      <w:r w:rsidRPr="00EE3663">
        <w:rPr>
          <w:noProof/>
        </w:rPr>
        <w:t>:</w:t>
      </w:r>
      <w:r w:rsidRPr="00EE3663">
        <w:rPr>
          <w:noProof/>
          <w:lang w:eastAsia="en-GB"/>
        </w:rPr>
        <w:t xml:space="preserve"> if there is a risk that the indicator </w:t>
      </w:r>
      <w:r>
        <w:rPr>
          <w:noProof/>
          <w:lang w:eastAsia="en-GB"/>
        </w:rPr>
        <w:t>will</w:t>
      </w:r>
      <w:r w:rsidRPr="00EE3663">
        <w:rPr>
          <w:noProof/>
          <w:lang w:eastAsia="en-GB"/>
        </w:rPr>
        <w:t xml:space="preserve"> not reach the target unless significant changes are implemented.</w:t>
      </w:r>
    </w:p>
    <w:p w14:paraId="64DE5BAA" w14:textId="77777777" w:rsidR="00D26688" w:rsidRPr="00EE3663" w:rsidRDefault="00D26688" w:rsidP="006A09DC">
      <w:pPr>
        <w:pStyle w:val="amprLISTgreenbullets-L1"/>
        <w:rPr>
          <w:noProof/>
        </w:rPr>
      </w:pPr>
      <w:r w:rsidRPr="00EE3663">
        <w:rPr>
          <w:noProof/>
        </w:rPr>
        <w:t>‘</w:t>
      </w:r>
      <w:r w:rsidRPr="003F5169">
        <w:rPr>
          <w:noProof/>
        </w:rPr>
        <w:t>No data’</w:t>
      </w:r>
      <w:r w:rsidRPr="00EE3663">
        <w:rPr>
          <w:noProof/>
        </w:rPr>
        <w:t xml:space="preserve">: </w:t>
      </w:r>
      <w:r w:rsidRPr="00EE3663">
        <w:rPr>
          <w:noProof/>
          <w:lang w:eastAsia="en-GB"/>
        </w:rPr>
        <w:t>the data available is not enough to assess the progress of the indicator towards the target</w:t>
      </w:r>
      <w:r>
        <w:rPr>
          <w:noProof/>
          <w:lang w:eastAsia="en-GB"/>
        </w:rPr>
        <w:t>,</w:t>
      </w:r>
      <w:r w:rsidRPr="00EE3663">
        <w:rPr>
          <w:noProof/>
          <w:lang w:eastAsia="en-GB"/>
        </w:rPr>
        <w:t xml:space="preserve"> </w:t>
      </w:r>
      <w:r>
        <w:rPr>
          <w:noProof/>
          <w:lang w:eastAsia="en-GB"/>
        </w:rPr>
        <w:t>for example</w:t>
      </w:r>
      <w:r w:rsidRPr="00EE3663">
        <w:rPr>
          <w:noProof/>
          <w:lang w:eastAsia="en-GB"/>
        </w:rPr>
        <w:t xml:space="preserve"> there is no target or no recent results.</w:t>
      </w:r>
    </w:p>
    <w:p w14:paraId="416F690A" w14:textId="77777777" w:rsidR="00D26688" w:rsidRPr="00EE3663" w:rsidRDefault="00D26688" w:rsidP="001130BD">
      <w:pPr>
        <w:pStyle w:val="amprH4Subhead1"/>
        <w:rPr>
          <w:noProof/>
        </w:rPr>
      </w:pPr>
      <w:r w:rsidRPr="00EE3663">
        <w:rPr>
          <w:noProof/>
        </w:rPr>
        <w:t xml:space="preserve">CUT-OFF DATE </w:t>
      </w:r>
      <w:r>
        <w:rPr>
          <w:noProof/>
        </w:rPr>
        <w:t>FOR</w:t>
      </w:r>
      <w:r w:rsidRPr="00EE3663">
        <w:rPr>
          <w:noProof/>
        </w:rPr>
        <w:t xml:space="preserve"> PERFORMANCE INFORMATION</w:t>
      </w:r>
    </w:p>
    <w:p w14:paraId="6A1D8E21" w14:textId="77777777" w:rsidR="00D26688" w:rsidRDefault="00D26688" w:rsidP="006A09DC">
      <w:pPr>
        <w:pStyle w:val="amprBodyText"/>
        <w:rPr>
          <w:noProof/>
        </w:rPr>
      </w:pPr>
      <w:r w:rsidRPr="00EE3663">
        <w:rPr>
          <w:noProof/>
        </w:rPr>
        <w:t>The most recent available performance information is used. For th</w:t>
      </w:r>
      <w:r>
        <w:rPr>
          <w:noProof/>
        </w:rPr>
        <w:t>ose</w:t>
      </w:r>
      <w:r w:rsidRPr="00EE3663">
        <w:rPr>
          <w:noProof/>
        </w:rPr>
        <w:t xml:space="preserve"> programmes that are directly managed by the Commission, this mostly concerns reported achievements measured at the end of 2021. The programmes under shared management present values recorded and reported by Member States of the situation as at the end of 2020. The programmes under indirect management present a mixed picture: some have achievements reported up to 2021, while others depend on data sources provided by the international organisations that implement the actions (e.g. the </w:t>
      </w:r>
      <w:r>
        <w:rPr>
          <w:noProof/>
        </w:rPr>
        <w:t>United Nations</w:t>
      </w:r>
      <w:r w:rsidRPr="00EE3663">
        <w:rPr>
          <w:noProof/>
        </w:rPr>
        <w:t xml:space="preserve"> family), and may therefore be reported with a lag.</w:t>
      </w:r>
    </w:p>
    <w:p w14:paraId="72DD5D97" w14:textId="77777777" w:rsidR="006A09DC" w:rsidRDefault="006A09DC" w:rsidP="006A09DC">
      <w:pPr>
        <w:pStyle w:val="amprBodyText"/>
        <w:rPr>
          <w:noProof/>
        </w:rPr>
        <w:sectPr w:rsidR="006A09DC" w:rsidSect="00E52B72">
          <w:headerReference w:type="even" r:id="rId75"/>
          <w:headerReference w:type="default" r:id="rId76"/>
          <w:footerReference w:type="even" r:id="rId77"/>
          <w:footerReference w:type="default" r:id="rId78"/>
          <w:headerReference w:type="first" r:id="rId79"/>
          <w:footerReference w:type="first" r:id="rId80"/>
          <w:pgSz w:w="11906" w:h="16838"/>
          <w:pgMar w:top="1020" w:right="1701" w:bottom="1020" w:left="1587" w:header="601" w:footer="1077" w:gutter="0"/>
          <w:cols w:space="720"/>
          <w:titlePg/>
          <w:docGrid w:linePitch="326"/>
        </w:sectPr>
      </w:pPr>
    </w:p>
    <w:sdt>
      <w:sdtPr>
        <w:rPr>
          <w:rFonts w:eastAsia="Times New Roman"/>
          <w:b/>
          <w:caps/>
          <w:noProof/>
          <w:color w:val="auto"/>
          <w:sz w:val="24"/>
          <w:szCs w:val="20"/>
          <w:lang w:eastAsia="fr-BE"/>
        </w:rPr>
        <w:id w:val="-669636215"/>
        <w:docPartObj>
          <w:docPartGallery w:val="Table of Contents"/>
          <w:docPartUnique/>
        </w:docPartObj>
      </w:sdtPr>
      <w:sdtEndPr>
        <w:rPr>
          <w:b w:val="0"/>
          <w:bCs/>
          <w:caps w:val="0"/>
        </w:rPr>
      </w:sdtEndPr>
      <w:sdtContent>
        <w:p w14:paraId="315C63EA" w14:textId="77777777" w:rsidR="006A09DC" w:rsidRDefault="006A09DC" w:rsidP="00A66CCA">
          <w:pPr>
            <w:pStyle w:val="amprH2TITLE1-Numbered-1"/>
            <w:numPr>
              <w:ilvl w:val="0"/>
              <w:numId w:val="0"/>
            </w:numPr>
            <w:spacing w:after="480"/>
            <w:rPr>
              <w:noProof/>
            </w:rPr>
          </w:pPr>
          <w:r>
            <w:rPr>
              <w:noProof/>
            </w:rPr>
            <w:t>Contents</w:t>
          </w:r>
        </w:p>
        <w:p w14:paraId="24CEDA1A" w14:textId="5D28CED7" w:rsidR="009F2266" w:rsidRDefault="006A09DC" w:rsidP="00A66CCA">
          <w:pPr>
            <w:pStyle w:val="TOC2"/>
            <w:ind w:left="0" w:firstLine="3"/>
            <w:rPr>
              <w:rFonts w:asciiTheme="minorHAnsi" w:eastAsiaTheme="minorEastAsia" w:hAnsiTheme="minorHAnsi" w:cstheme="minorBidi"/>
              <w:sz w:val="22"/>
              <w:szCs w:val="22"/>
              <w:lang w:eastAsia="en-GB"/>
            </w:rPr>
          </w:pPr>
          <w:r>
            <w:fldChar w:fldCharType="begin"/>
          </w:r>
          <w:r>
            <w:instrText xml:space="preserve"> TOC \o "1-3" \h \z \u </w:instrText>
          </w:r>
          <w:r>
            <w:fldChar w:fldCharType="separate"/>
          </w:r>
          <w:hyperlink w:anchor="_Toc102086330" w:history="1">
            <w:r w:rsidR="009F2266" w:rsidRPr="00182051">
              <w:rPr>
                <w:rStyle w:val="Hyperlink"/>
              </w:rPr>
              <w:t>HORIZON EUROPE</w:t>
            </w:r>
            <w:r w:rsidR="009F2266">
              <w:rPr>
                <w:webHidden/>
              </w:rPr>
              <w:tab/>
            </w:r>
            <w:r w:rsidR="009F2266">
              <w:rPr>
                <w:webHidden/>
              </w:rPr>
              <w:fldChar w:fldCharType="begin"/>
            </w:r>
            <w:r w:rsidR="009F2266">
              <w:rPr>
                <w:webHidden/>
              </w:rPr>
              <w:instrText xml:space="preserve"> PAGEREF _Toc102086330 \h </w:instrText>
            </w:r>
            <w:r w:rsidR="009F2266">
              <w:rPr>
                <w:webHidden/>
              </w:rPr>
            </w:r>
            <w:r w:rsidR="009F2266">
              <w:rPr>
                <w:webHidden/>
              </w:rPr>
              <w:fldChar w:fldCharType="separate"/>
            </w:r>
            <w:r w:rsidR="00B76EFA">
              <w:rPr>
                <w:webHidden/>
              </w:rPr>
              <w:t>15</w:t>
            </w:r>
            <w:r w:rsidR="009F2266">
              <w:rPr>
                <w:webHidden/>
              </w:rPr>
              <w:fldChar w:fldCharType="end"/>
            </w:r>
          </w:hyperlink>
        </w:p>
        <w:p w14:paraId="2E91EE5D" w14:textId="47456B15"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31" w:history="1">
            <w:r w:rsidR="009F2266" w:rsidRPr="00182051">
              <w:rPr>
                <w:rStyle w:val="Hyperlink"/>
                <w:noProof/>
                <w:lang w:val="en-IE"/>
              </w:rPr>
              <w:t>EURATOM RESEARCH AND TRAINING</w:t>
            </w:r>
            <w:r w:rsidR="009F2266">
              <w:rPr>
                <w:noProof/>
                <w:webHidden/>
              </w:rPr>
              <w:tab/>
            </w:r>
            <w:r w:rsidR="009F2266">
              <w:rPr>
                <w:noProof/>
                <w:webHidden/>
              </w:rPr>
              <w:fldChar w:fldCharType="begin"/>
            </w:r>
            <w:r w:rsidR="009F2266">
              <w:rPr>
                <w:noProof/>
                <w:webHidden/>
              </w:rPr>
              <w:instrText xml:space="preserve"> PAGEREF _Toc102086331 \h </w:instrText>
            </w:r>
            <w:r w:rsidR="009F2266">
              <w:rPr>
                <w:noProof/>
                <w:webHidden/>
              </w:rPr>
            </w:r>
            <w:r w:rsidR="009F2266">
              <w:rPr>
                <w:noProof/>
                <w:webHidden/>
              </w:rPr>
              <w:fldChar w:fldCharType="separate"/>
            </w:r>
            <w:r w:rsidR="00B76EFA">
              <w:rPr>
                <w:noProof/>
                <w:webHidden/>
              </w:rPr>
              <w:t>28</w:t>
            </w:r>
            <w:r w:rsidR="009F2266">
              <w:rPr>
                <w:noProof/>
                <w:webHidden/>
              </w:rPr>
              <w:fldChar w:fldCharType="end"/>
            </w:r>
          </w:hyperlink>
        </w:p>
        <w:p w14:paraId="2F72343D" w14:textId="0128DE43"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32" w:history="1">
            <w:r w:rsidR="009F2266" w:rsidRPr="00182051">
              <w:rPr>
                <w:rStyle w:val="Hyperlink"/>
                <w:noProof/>
              </w:rPr>
              <w:t>ITER</w:t>
            </w:r>
            <w:r w:rsidR="009F2266">
              <w:rPr>
                <w:noProof/>
                <w:webHidden/>
              </w:rPr>
              <w:tab/>
            </w:r>
            <w:r w:rsidR="009F2266">
              <w:rPr>
                <w:noProof/>
                <w:webHidden/>
              </w:rPr>
              <w:fldChar w:fldCharType="begin"/>
            </w:r>
            <w:r w:rsidR="009F2266">
              <w:rPr>
                <w:noProof/>
                <w:webHidden/>
              </w:rPr>
              <w:instrText xml:space="preserve"> PAGEREF _Toc102086332 \h </w:instrText>
            </w:r>
            <w:r w:rsidR="009F2266">
              <w:rPr>
                <w:noProof/>
                <w:webHidden/>
              </w:rPr>
            </w:r>
            <w:r w:rsidR="009F2266">
              <w:rPr>
                <w:noProof/>
                <w:webHidden/>
              </w:rPr>
              <w:fldChar w:fldCharType="separate"/>
            </w:r>
            <w:r w:rsidR="00B76EFA">
              <w:rPr>
                <w:noProof/>
                <w:webHidden/>
              </w:rPr>
              <w:t>38</w:t>
            </w:r>
            <w:r w:rsidR="009F2266">
              <w:rPr>
                <w:noProof/>
                <w:webHidden/>
              </w:rPr>
              <w:fldChar w:fldCharType="end"/>
            </w:r>
          </w:hyperlink>
        </w:p>
        <w:p w14:paraId="4B4AC274" w14:textId="1BC3DCED"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33" w:history="1">
            <w:r w:rsidR="009F2266" w:rsidRPr="00182051">
              <w:rPr>
                <w:rStyle w:val="Hyperlink"/>
                <w:noProof/>
                <w:lang w:val="en-IE"/>
              </w:rPr>
              <w:t>INVESTEU</w:t>
            </w:r>
            <w:r w:rsidR="009F2266">
              <w:rPr>
                <w:noProof/>
                <w:webHidden/>
              </w:rPr>
              <w:tab/>
            </w:r>
            <w:r w:rsidR="009F2266">
              <w:rPr>
                <w:noProof/>
                <w:webHidden/>
              </w:rPr>
              <w:fldChar w:fldCharType="begin"/>
            </w:r>
            <w:r w:rsidR="009F2266">
              <w:rPr>
                <w:noProof/>
                <w:webHidden/>
              </w:rPr>
              <w:instrText xml:space="preserve"> PAGEREF _Toc102086333 \h </w:instrText>
            </w:r>
            <w:r w:rsidR="009F2266">
              <w:rPr>
                <w:noProof/>
                <w:webHidden/>
              </w:rPr>
            </w:r>
            <w:r w:rsidR="009F2266">
              <w:rPr>
                <w:noProof/>
                <w:webHidden/>
              </w:rPr>
              <w:fldChar w:fldCharType="separate"/>
            </w:r>
            <w:r w:rsidR="00B76EFA">
              <w:rPr>
                <w:noProof/>
                <w:webHidden/>
              </w:rPr>
              <w:t>47</w:t>
            </w:r>
            <w:r w:rsidR="009F2266">
              <w:rPr>
                <w:noProof/>
                <w:webHidden/>
              </w:rPr>
              <w:fldChar w:fldCharType="end"/>
            </w:r>
          </w:hyperlink>
        </w:p>
        <w:p w14:paraId="0E12C21F" w14:textId="6BEB8519"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34" w:history="1">
            <w:r w:rsidR="009F2266" w:rsidRPr="00182051">
              <w:rPr>
                <w:rStyle w:val="Hyperlink"/>
                <w:noProof/>
              </w:rPr>
              <w:t>CEF</w:t>
            </w:r>
            <w:r w:rsidR="009F2266">
              <w:rPr>
                <w:noProof/>
                <w:webHidden/>
              </w:rPr>
              <w:tab/>
            </w:r>
            <w:r w:rsidR="009F2266">
              <w:rPr>
                <w:noProof/>
                <w:webHidden/>
              </w:rPr>
              <w:fldChar w:fldCharType="begin"/>
            </w:r>
            <w:r w:rsidR="009F2266">
              <w:rPr>
                <w:noProof/>
                <w:webHidden/>
              </w:rPr>
              <w:instrText xml:space="preserve"> PAGEREF _Toc102086334 \h </w:instrText>
            </w:r>
            <w:r w:rsidR="009F2266">
              <w:rPr>
                <w:noProof/>
                <w:webHidden/>
              </w:rPr>
            </w:r>
            <w:r w:rsidR="009F2266">
              <w:rPr>
                <w:noProof/>
                <w:webHidden/>
              </w:rPr>
              <w:fldChar w:fldCharType="separate"/>
            </w:r>
            <w:r w:rsidR="00B76EFA">
              <w:rPr>
                <w:noProof/>
                <w:webHidden/>
              </w:rPr>
              <w:t>58</w:t>
            </w:r>
            <w:r w:rsidR="009F2266">
              <w:rPr>
                <w:noProof/>
                <w:webHidden/>
              </w:rPr>
              <w:fldChar w:fldCharType="end"/>
            </w:r>
          </w:hyperlink>
        </w:p>
        <w:p w14:paraId="00ADDAE9" w14:textId="40D2DC46"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35" w:history="1">
            <w:r w:rsidR="009F2266" w:rsidRPr="00182051">
              <w:rPr>
                <w:rStyle w:val="Hyperlink"/>
                <w:noProof/>
              </w:rPr>
              <w:t>DEP</w:t>
            </w:r>
            <w:r w:rsidR="009F2266">
              <w:rPr>
                <w:noProof/>
                <w:webHidden/>
              </w:rPr>
              <w:tab/>
            </w:r>
            <w:r w:rsidR="009F2266">
              <w:rPr>
                <w:noProof/>
                <w:webHidden/>
              </w:rPr>
              <w:fldChar w:fldCharType="begin"/>
            </w:r>
            <w:r w:rsidR="009F2266">
              <w:rPr>
                <w:noProof/>
                <w:webHidden/>
              </w:rPr>
              <w:instrText xml:space="preserve"> PAGEREF _Toc102086335 \h </w:instrText>
            </w:r>
            <w:r w:rsidR="009F2266">
              <w:rPr>
                <w:noProof/>
                <w:webHidden/>
              </w:rPr>
            </w:r>
            <w:r w:rsidR="009F2266">
              <w:rPr>
                <w:noProof/>
                <w:webHidden/>
              </w:rPr>
              <w:fldChar w:fldCharType="separate"/>
            </w:r>
            <w:r w:rsidR="00B76EFA">
              <w:rPr>
                <w:noProof/>
                <w:webHidden/>
              </w:rPr>
              <w:t>71</w:t>
            </w:r>
            <w:r w:rsidR="009F2266">
              <w:rPr>
                <w:noProof/>
                <w:webHidden/>
              </w:rPr>
              <w:fldChar w:fldCharType="end"/>
            </w:r>
          </w:hyperlink>
        </w:p>
        <w:p w14:paraId="28B3C03D" w14:textId="6D26C841"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36" w:history="1">
            <w:r w:rsidR="009F2266" w:rsidRPr="00182051">
              <w:rPr>
                <w:rStyle w:val="Hyperlink"/>
                <w:noProof/>
              </w:rPr>
              <w:t>SINGLE MARKET PROGRAMME</w:t>
            </w:r>
            <w:r w:rsidR="009F2266">
              <w:rPr>
                <w:noProof/>
                <w:webHidden/>
              </w:rPr>
              <w:tab/>
            </w:r>
            <w:r w:rsidR="009F2266">
              <w:rPr>
                <w:noProof/>
                <w:webHidden/>
              </w:rPr>
              <w:fldChar w:fldCharType="begin"/>
            </w:r>
            <w:r w:rsidR="009F2266">
              <w:rPr>
                <w:noProof/>
                <w:webHidden/>
              </w:rPr>
              <w:instrText xml:space="preserve"> PAGEREF _Toc102086336 \h </w:instrText>
            </w:r>
            <w:r w:rsidR="009F2266">
              <w:rPr>
                <w:noProof/>
                <w:webHidden/>
              </w:rPr>
            </w:r>
            <w:r w:rsidR="009F2266">
              <w:rPr>
                <w:noProof/>
                <w:webHidden/>
              </w:rPr>
              <w:fldChar w:fldCharType="separate"/>
            </w:r>
            <w:r w:rsidR="00B76EFA">
              <w:rPr>
                <w:noProof/>
                <w:webHidden/>
              </w:rPr>
              <w:t>84</w:t>
            </w:r>
            <w:r w:rsidR="009F2266">
              <w:rPr>
                <w:noProof/>
                <w:webHidden/>
              </w:rPr>
              <w:fldChar w:fldCharType="end"/>
            </w:r>
          </w:hyperlink>
        </w:p>
        <w:p w14:paraId="12E2A25B" w14:textId="479982A0"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37" w:history="1">
            <w:r w:rsidR="009F2266" w:rsidRPr="00182051">
              <w:rPr>
                <w:rStyle w:val="Hyperlink"/>
                <w:noProof/>
                <w:lang w:val="en-US"/>
              </w:rPr>
              <w:t>ANTI-FRAUD</w:t>
            </w:r>
            <w:r w:rsidR="009F2266">
              <w:rPr>
                <w:noProof/>
                <w:webHidden/>
              </w:rPr>
              <w:tab/>
            </w:r>
            <w:r w:rsidR="009F2266">
              <w:rPr>
                <w:noProof/>
                <w:webHidden/>
              </w:rPr>
              <w:fldChar w:fldCharType="begin"/>
            </w:r>
            <w:r w:rsidR="009F2266">
              <w:rPr>
                <w:noProof/>
                <w:webHidden/>
              </w:rPr>
              <w:instrText xml:space="preserve"> PAGEREF _Toc102086337 \h </w:instrText>
            </w:r>
            <w:r w:rsidR="009F2266">
              <w:rPr>
                <w:noProof/>
                <w:webHidden/>
              </w:rPr>
            </w:r>
            <w:r w:rsidR="009F2266">
              <w:rPr>
                <w:noProof/>
                <w:webHidden/>
              </w:rPr>
              <w:fldChar w:fldCharType="separate"/>
            </w:r>
            <w:r w:rsidR="00B76EFA">
              <w:rPr>
                <w:noProof/>
                <w:webHidden/>
              </w:rPr>
              <w:t>105</w:t>
            </w:r>
            <w:r w:rsidR="009F2266">
              <w:rPr>
                <w:noProof/>
                <w:webHidden/>
              </w:rPr>
              <w:fldChar w:fldCharType="end"/>
            </w:r>
          </w:hyperlink>
        </w:p>
        <w:p w14:paraId="1B7B32E6" w14:textId="53BC7167"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38" w:history="1">
            <w:r w:rsidR="009F2266" w:rsidRPr="00182051">
              <w:rPr>
                <w:rStyle w:val="Hyperlink"/>
                <w:noProof/>
              </w:rPr>
              <w:t>FISCALIS</w:t>
            </w:r>
            <w:r w:rsidR="009F2266">
              <w:rPr>
                <w:noProof/>
                <w:webHidden/>
              </w:rPr>
              <w:tab/>
            </w:r>
            <w:r w:rsidR="009F2266">
              <w:rPr>
                <w:noProof/>
                <w:webHidden/>
              </w:rPr>
              <w:fldChar w:fldCharType="begin"/>
            </w:r>
            <w:r w:rsidR="009F2266">
              <w:rPr>
                <w:noProof/>
                <w:webHidden/>
              </w:rPr>
              <w:instrText xml:space="preserve"> PAGEREF _Toc102086338 \h </w:instrText>
            </w:r>
            <w:r w:rsidR="009F2266">
              <w:rPr>
                <w:noProof/>
                <w:webHidden/>
              </w:rPr>
            </w:r>
            <w:r w:rsidR="009F2266">
              <w:rPr>
                <w:noProof/>
                <w:webHidden/>
              </w:rPr>
              <w:fldChar w:fldCharType="separate"/>
            </w:r>
            <w:r w:rsidR="00B76EFA">
              <w:rPr>
                <w:noProof/>
                <w:webHidden/>
              </w:rPr>
              <w:t>116</w:t>
            </w:r>
            <w:r w:rsidR="009F2266">
              <w:rPr>
                <w:noProof/>
                <w:webHidden/>
              </w:rPr>
              <w:fldChar w:fldCharType="end"/>
            </w:r>
          </w:hyperlink>
        </w:p>
        <w:p w14:paraId="605C555E" w14:textId="553E2AAB"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39" w:history="1">
            <w:r w:rsidR="009F2266" w:rsidRPr="00182051">
              <w:rPr>
                <w:rStyle w:val="Hyperlink"/>
                <w:noProof/>
                <w:lang w:val="en-IE"/>
              </w:rPr>
              <w:t>CUSTOMS</w:t>
            </w:r>
            <w:r w:rsidR="009F2266">
              <w:rPr>
                <w:noProof/>
                <w:webHidden/>
              </w:rPr>
              <w:tab/>
            </w:r>
            <w:r w:rsidR="009F2266">
              <w:rPr>
                <w:noProof/>
                <w:webHidden/>
              </w:rPr>
              <w:fldChar w:fldCharType="begin"/>
            </w:r>
            <w:r w:rsidR="009F2266">
              <w:rPr>
                <w:noProof/>
                <w:webHidden/>
              </w:rPr>
              <w:instrText xml:space="preserve"> PAGEREF _Toc102086339 \h </w:instrText>
            </w:r>
            <w:r w:rsidR="009F2266">
              <w:rPr>
                <w:noProof/>
                <w:webHidden/>
              </w:rPr>
            </w:r>
            <w:r w:rsidR="009F2266">
              <w:rPr>
                <w:noProof/>
                <w:webHidden/>
              </w:rPr>
              <w:fldChar w:fldCharType="separate"/>
            </w:r>
            <w:r w:rsidR="00B76EFA">
              <w:rPr>
                <w:noProof/>
                <w:webHidden/>
              </w:rPr>
              <w:t>125</w:t>
            </w:r>
            <w:r w:rsidR="009F2266">
              <w:rPr>
                <w:noProof/>
                <w:webHidden/>
              </w:rPr>
              <w:fldChar w:fldCharType="end"/>
            </w:r>
          </w:hyperlink>
        </w:p>
        <w:p w14:paraId="5143D4FF" w14:textId="5C440AB0"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40" w:history="1">
            <w:r w:rsidR="009F2266" w:rsidRPr="00182051">
              <w:rPr>
                <w:rStyle w:val="Hyperlink"/>
                <w:noProof/>
              </w:rPr>
              <w:t>EU SPACE</w:t>
            </w:r>
            <w:r w:rsidR="009F2266">
              <w:rPr>
                <w:noProof/>
                <w:webHidden/>
              </w:rPr>
              <w:tab/>
            </w:r>
            <w:r w:rsidR="009F2266">
              <w:rPr>
                <w:noProof/>
                <w:webHidden/>
              </w:rPr>
              <w:fldChar w:fldCharType="begin"/>
            </w:r>
            <w:r w:rsidR="009F2266">
              <w:rPr>
                <w:noProof/>
                <w:webHidden/>
              </w:rPr>
              <w:instrText xml:space="preserve"> PAGEREF _Toc102086340 \h </w:instrText>
            </w:r>
            <w:r w:rsidR="009F2266">
              <w:rPr>
                <w:noProof/>
                <w:webHidden/>
              </w:rPr>
            </w:r>
            <w:r w:rsidR="009F2266">
              <w:rPr>
                <w:noProof/>
                <w:webHidden/>
              </w:rPr>
              <w:fldChar w:fldCharType="separate"/>
            </w:r>
            <w:r w:rsidR="00B76EFA">
              <w:rPr>
                <w:noProof/>
                <w:webHidden/>
              </w:rPr>
              <w:t>135</w:t>
            </w:r>
            <w:r w:rsidR="009F2266">
              <w:rPr>
                <w:noProof/>
                <w:webHidden/>
              </w:rPr>
              <w:fldChar w:fldCharType="end"/>
            </w:r>
          </w:hyperlink>
        </w:p>
        <w:p w14:paraId="324F14B4" w14:textId="6A02F471"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41" w:history="1">
            <w:r w:rsidR="009F2266" w:rsidRPr="00182051">
              <w:rPr>
                <w:rStyle w:val="Hyperlink"/>
                <w:noProof/>
                <w:lang w:val="en-IE"/>
              </w:rPr>
              <w:t>REGIONAL POLICY</w:t>
            </w:r>
            <w:r w:rsidR="009F2266">
              <w:rPr>
                <w:noProof/>
                <w:webHidden/>
              </w:rPr>
              <w:tab/>
            </w:r>
            <w:r w:rsidR="009F2266">
              <w:rPr>
                <w:noProof/>
                <w:webHidden/>
              </w:rPr>
              <w:fldChar w:fldCharType="begin"/>
            </w:r>
            <w:r w:rsidR="009F2266">
              <w:rPr>
                <w:noProof/>
                <w:webHidden/>
              </w:rPr>
              <w:instrText xml:space="preserve"> PAGEREF _Toc102086341 \h </w:instrText>
            </w:r>
            <w:r w:rsidR="009F2266">
              <w:rPr>
                <w:noProof/>
                <w:webHidden/>
              </w:rPr>
            </w:r>
            <w:r w:rsidR="009F2266">
              <w:rPr>
                <w:noProof/>
                <w:webHidden/>
              </w:rPr>
              <w:fldChar w:fldCharType="separate"/>
            </w:r>
            <w:r w:rsidR="00B76EFA">
              <w:rPr>
                <w:noProof/>
                <w:webHidden/>
              </w:rPr>
              <w:t>148</w:t>
            </w:r>
            <w:r w:rsidR="009F2266">
              <w:rPr>
                <w:noProof/>
                <w:webHidden/>
              </w:rPr>
              <w:fldChar w:fldCharType="end"/>
            </w:r>
          </w:hyperlink>
        </w:p>
        <w:p w14:paraId="1ED9FD9B" w14:textId="07DFBF4D"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42" w:history="1">
            <w:r w:rsidR="009F2266" w:rsidRPr="00182051">
              <w:rPr>
                <w:rStyle w:val="Hyperlink"/>
                <w:noProof/>
                <w:lang w:val="en-IE"/>
              </w:rPr>
              <w:t>TURKISH CYPRIOT COMMUNITY</w:t>
            </w:r>
            <w:r w:rsidR="009F2266">
              <w:rPr>
                <w:noProof/>
                <w:webHidden/>
              </w:rPr>
              <w:tab/>
            </w:r>
            <w:r w:rsidR="009F2266">
              <w:rPr>
                <w:noProof/>
                <w:webHidden/>
              </w:rPr>
              <w:fldChar w:fldCharType="begin"/>
            </w:r>
            <w:r w:rsidR="009F2266">
              <w:rPr>
                <w:noProof/>
                <w:webHidden/>
              </w:rPr>
              <w:instrText xml:space="preserve"> PAGEREF _Toc102086342 \h </w:instrText>
            </w:r>
            <w:r w:rsidR="009F2266">
              <w:rPr>
                <w:noProof/>
                <w:webHidden/>
              </w:rPr>
            </w:r>
            <w:r w:rsidR="009F2266">
              <w:rPr>
                <w:noProof/>
                <w:webHidden/>
              </w:rPr>
              <w:fldChar w:fldCharType="separate"/>
            </w:r>
            <w:r w:rsidR="00B76EFA">
              <w:rPr>
                <w:noProof/>
                <w:webHidden/>
              </w:rPr>
              <w:t>161</w:t>
            </w:r>
            <w:r w:rsidR="009F2266">
              <w:rPr>
                <w:noProof/>
                <w:webHidden/>
              </w:rPr>
              <w:fldChar w:fldCharType="end"/>
            </w:r>
          </w:hyperlink>
        </w:p>
        <w:p w14:paraId="2BE2F056" w14:textId="2BBF2E28"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43" w:history="1">
            <w:r w:rsidR="009F2266" w:rsidRPr="00182051">
              <w:rPr>
                <w:rStyle w:val="Hyperlink"/>
                <w:noProof/>
              </w:rPr>
              <w:t>RRF</w:t>
            </w:r>
            <w:r w:rsidR="009F2266">
              <w:rPr>
                <w:noProof/>
                <w:webHidden/>
              </w:rPr>
              <w:tab/>
            </w:r>
            <w:r w:rsidR="009F2266">
              <w:rPr>
                <w:noProof/>
                <w:webHidden/>
              </w:rPr>
              <w:fldChar w:fldCharType="begin"/>
            </w:r>
            <w:r w:rsidR="009F2266">
              <w:rPr>
                <w:noProof/>
                <w:webHidden/>
              </w:rPr>
              <w:instrText xml:space="preserve"> PAGEREF _Toc102086343 \h </w:instrText>
            </w:r>
            <w:r w:rsidR="009F2266">
              <w:rPr>
                <w:noProof/>
                <w:webHidden/>
              </w:rPr>
            </w:r>
            <w:r w:rsidR="009F2266">
              <w:rPr>
                <w:noProof/>
                <w:webHidden/>
              </w:rPr>
              <w:fldChar w:fldCharType="separate"/>
            </w:r>
            <w:r w:rsidR="00B76EFA">
              <w:rPr>
                <w:noProof/>
                <w:webHidden/>
              </w:rPr>
              <w:t>171</w:t>
            </w:r>
            <w:r w:rsidR="009F2266">
              <w:rPr>
                <w:noProof/>
                <w:webHidden/>
              </w:rPr>
              <w:fldChar w:fldCharType="end"/>
            </w:r>
          </w:hyperlink>
        </w:p>
        <w:p w14:paraId="3C2AE298" w14:textId="10195354"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44" w:history="1">
            <w:r w:rsidR="009F2266" w:rsidRPr="00182051">
              <w:rPr>
                <w:rStyle w:val="Hyperlink"/>
                <w:noProof/>
                <w:lang w:val="en-IE"/>
              </w:rPr>
              <w:t>TSI</w:t>
            </w:r>
            <w:r w:rsidR="009F2266">
              <w:rPr>
                <w:noProof/>
                <w:webHidden/>
              </w:rPr>
              <w:tab/>
            </w:r>
            <w:r w:rsidR="009F2266">
              <w:rPr>
                <w:noProof/>
                <w:webHidden/>
              </w:rPr>
              <w:fldChar w:fldCharType="begin"/>
            </w:r>
            <w:r w:rsidR="009F2266">
              <w:rPr>
                <w:noProof/>
                <w:webHidden/>
              </w:rPr>
              <w:instrText xml:space="preserve"> PAGEREF _Toc102086344 \h </w:instrText>
            </w:r>
            <w:r w:rsidR="009F2266">
              <w:rPr>
                <w:noProof/>
                <w:webHidden/>
              </w:rPr>
            </w:r>
            <w:r w:rsidR="009F2266">
              <w:rPr>
                <w:noProof/>
                <w:webHidden/>
              </w:rPr>
              <w:fldChar w:fldCharType="separate"/>
            </w:r>
            <w:r w:rsidR="00B76EFA">
              <w:rPr>
                <w:noProof/>
                <w:webHidden/>
              </w:rPr>
              <w:t>178</w:t>
            </w:r>
            <w:r w:rsidR="009F2266">
              <w:rPr>
                <w:noProof/>
                <w:webHidden/>
              </w:rPr>
              <w:fldChar w:fldCharType="end"/>
            </w:r>
          </w:hyperlink>
        </w:p>
        <w:p w14:paraId="5443A268" w14:textId="18BB13A2"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45" w:history="1">
            <w:r w:rsidR="009F2266" w:rsidRPr="00182051">
              <w:rPr>
                <w:rStyle w:val="Hyperlink"/>
                <w:noProof/>
              </w:rPr>
              <w:t>PERICLES</w:t>
            </w:r>
            <w:r w:rsidR="009F2266" w:rsidRPr="00182051">
              <w:rPr>
                <w:rStyle w:val="Hyperlink"/>
                <w:rFonts w:ascii="Calibri" w:hAnsi="Calibri" w:cs="Calibri"/>
                <w:noProof/>
              </w:rPr>
              <w:t> </w:t>
            </w:r>
            <w:r w:rsidR="009F2266" w:rsidRPr="00182051">
              <w:rPr>
                <w:rStyle w:val="Hyperlink"/>
                <w:noProof/>
              </w:rPr>
              <w:t>IV</w:t>
            </w:r>
            <w:r w:rsidR="009F2266">
              <w:rPr>
                <w:noProof/>
                <w:webHidden/>
              </w:rPr>
              <w:tab/>
            </w:r>
            <w:r w:rsidR="009F2266">
              <w:rPr>
                <w:noProof/>
                <w:webHidden/>
              </w:rPr>
              <w:fldChar w:fldCharType="begin"/>
            </w:r>
            <w:r w:rsidR="009F2266">
              <w:rPr>
                <w:noProof/>
                <w:webHidden/>
              </w:rPr>
              <w:instrText xml:space="preserve"> PAGEREF _Toc102086345 \h </w:instrText>
            </w:r>
            <w:r w:rsidR="009F2266">
              <w:rPr>
                <w:noProof/>
                <w:webHidden/>
              </w:rPr>
            </w:r>
            <w:r w:rsidR="009F2266">
              <w:rPr>
                <w:noProof/>
                <w:webHidden/>
              </w:rPr>
              <w:fldChar w:fldCharType="separate"/>
            </w:r>
            <w:r w:rsidR="00B76EFA">
              <w:rPr>
                <w:noProof/>
                <w:webHidden/>
              </w:rPr>
              <w:t>186</w:t>
            </w:r>
            <w:r w:rsidR="009F2266">
              <w:rPr>
                <w:noProof/>
                <w:webHidden/>
              </w:rPr>
              <w:fldChar w:fldCharType="end"/>
            </w:r>
          </w:hyperlink>
        </w:p>
        <w:p w14:paraId="41BA4AAB" w14:textId="7D726933"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46" w:history="1">
            <w:r w:rsidR="009F2266" w:rsidRPr="00182051">
              <w:rPr>
                <w:rStyle w:val="Hyperlink"/>
                <w:noProof/>
              </w:rPr>
              <w:t>CIVIL PROTECTION</w:t>
            </w:r>
            <w:r w:rsidR="009F2266">
              <w:rPr>
                <w:noProof/>
                <w:webHidden/>
              </w:rPr>
              <w:tab/>
            </w:r>
            <w:r w:rsidR="009F2266">
              <w:rPr>
                <w:noProof/>
                <w:webHidden/>
              </w:rPr>
              <w:fldChar w:fldCharType="begin"/>
            </w:r>
            <w:r w:rsidR="009F2266">
              <w:rPr>
                <w:noProof/>
                <w:webHidden/>
              </w:rPr>
              <w:instrText xml:space="preserve"> PAGEREF _Toc102086346 \h </w:instrText>
            </w:r>
            <w:r w:rsidR="009F2266">
              <w:rPr>
                <w:noProof/>
                <w:webHidden/>
              </w:rPr>
            </w:r>
            <w:r w:rsidR="009F2266">
              <w:rPr>
                <w:noProof/>
                <w:webHidden/>
              </w:rPr>
              <w:fldChar w:fldCharType="separate"/>
            </w:r>
            <w:r w:rsidR="00B76EFA">
              <w:rPr>
                <w:noProof/>
                <w:webHidden/>
              </w:rPr>
              <w:t>194</w:t>
            </w:r>
            <w:r w:rsidR="009F2266">
              <w:rPr>
                <w:noProof/>
                <w:webHidden/>
              </w:rPr>
              <w:fldChar w:fldCharType="end"/>
            </w:r>
          </w:hyperlink>
        </w:p>
        <w:p w14:paraId="22CF68A0" w14:textId="31D08587"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47" w:history="1">
            <w:r w:rsidR="009F2266" w:rsidRPr="00182051">
              <w:rPr>
                <w:rStyle w:val="Hyperlink"/>
                <w:noProof/>
              </w:rPr>
              <w:t>EU4HEALTH</w:t>
            </w:r>
            <w:r w:rsidR="009F2266">
              <w:rPr>
                <w:noProof/>
                <w:webHidden/>
              </w:rPr>
              <w:tab/>
            </w:r>
            <w:r w:rsidR="009F2266">
              <w:rPr>
                <w:noProof/>
                <w:webHidden/>
              </w:rPr>
              <w:fldChar w:fldCharType="begin"/>
            </w:r>
            <w:r w:rsidR="009F2266">
              <w:rPr>
                <w:noProof/>
                <w:webHidden/>
              </w:rPr>
              <w:instrText xml:space="preserve"> PAGEREF _Toc102086347 \h </w:instrText>
            </w:r>
            <w:r w:rsidR="009F2266">
              <w:rPr>
                <w:noProof/>
                <w:webHidden/>
              </w:rPr>
            </w:r>
            <w:r w:rsidR="009F2266">
              <w:rPr>
                <w:noProof/>
                <w:webHidden/>
              </w:rPr>
              <w:fldChar w:fldCharType="separate"/>
            </w:r>
            <w:r w:rsidR="00B76EFA">
              <w:rPr>
                <w:noProof/>
                <w:webHidden/>
              </w:rPr>
              <w:t>206</w:t>
            </w:r>
            <w:r w:rsidR="009F2266">
              <w:rPr>
                <w:noProof/>
                <w:webHidden/>
              </w:rPr>
              <w:fldChar w:fldCharType="end"/>
            </w:r>
          </w:hyperlink>
        </w:p>
        <w:p w14:paraId="09ED8830" w14:textId="670CE566"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48" w:history="1">
            <w:r w:rsidR="009F2266" w:rsidRPr="00182051">
              <w:rPr>
                <w:rStyle w:val="Hyperlink"/>
                <w:noProof/>
                <w:lang w:val="en-IE"/>
              </w:rPr>
              <w:t>ESI</w:t>
            </w:r>
            <w:r w:rsidR="009F2266">
              <w:rPr>
                <w:noProof/>
                <w:webHidden/>
              </w:rPr>
              <w:tab/>
            </w:r>
            <w:r w:rsidR="009F2266">
              <w:rPr>
                <w:noProof/>
                <w:webHidden/>
              </w:rPr>
              <w:fldChar w:fldCharType="begin"/>
            </w:r>
            <w:r w:rsidR="009F2266">
              <w:rPr>
                <w:noProof/>
                <w:webHidden/>
              </w:rPr>
              <w:instrText xml:space="preserve"> PAGEREF _Toc102086348 \h </w:instrText>
            </w:r>
            <w:r w:rsidR="009F2266">
              <w:rPr>
                <w:noProof/>
                <w:webHidden/>
              </w:rPr>
            </w:r>
            <w:r w:rsidR="009F2266">
              <w:rPr>
                <w:noProof/>
                <w:webHidden/>
              </w:rPr>
              <w:fldChar w:fldCharType="separate"/>
            </w:r>
            <w:r w:rsidR="00B76EFA">
              <w:rPr>
                <w:noProof/>
                <w:webHidden/>
              </w:rPr>
              <w:t>217</w:t>
            </w:r>
            <w:r w:rsidR="009F2266">
              <w:rPr>
                <w:noProof/>
                <w:webHidden/>
              </w:rPr>
              <w:fldChar w:fldCharType="end"/>
            </w:r>
          </w:hyperlink>
        </w:p>
        <w:p w14:paraId="788E468B" w14:textId="6889002E"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49" w:history="1">
            <w:r w:rsidR="009F2266" w:rsidRPr="00182051">
              <w:rPr>
                <w:rStyle w:val="Hyperlink"/>
                <w:noProof/>
              </w:rPr>
              <w:t>ESF+</w:t>
            </w:r>
            <w:r w:rsidR="009F2266">
              <w:rPr>
                <w:noProof/>
                <w:webHidden/>
              </w:rPr>
              <w:tab/>
            </w:r>
            <w:r w:rsidR="009F2266">
              <w:rPr>
                <w:noProof/>
                <w:webHidden/>
              </w:rPr>
              <w:fldChar w:fldCharType="begin"/>
            </w:r>
            <w:r w:rsidR="009F2266">
              <w:rPr>
                <w:noProof/>
                <w:webHidden/>
              </w:rPr>
              <w:instrText xml:space="preserve"> PAGEREF _Toc102086349 \h </w:instrText>
            </w:r>
            <w:r w:rsidR="009F2266">
              <w:rPr>
                <w:noProof/>
                <w:webHidden/>
              </w:rPr>
            </w:r>
            <w:r w:rsidR="009F2266">
              <w:rPr>
                <w:noProof/>
                <w:webHidden/>
              </w:rPr>
              <w:fldChar w:fldCharType="separate"/>
            </w:r>
            <w:r w:rsidR="00B76EFA">
              <w:rPr>
                <w:noProof/>
                <w:webHidden/>
              </w:rPr>
              <w:t>225</w:t>
            </w:r>
            <w:r w:rsidR="009F2266">
              <w:rPr>
                <w:noProof/>
                <w:webHidden/>
              </w:rPr>
              <w:fldChar w:fldCharType="end"/>
            </w:r>
          </w:hyperlink>
        </w:p>
        <w:p w14:paraId="053529AD" w14:textId="2AA5085E"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50" w:history="1">
            <w:r w:rsidR="009F2266" w:rsidRPr="00182051">
              <w:rPr>
                <w:rStyle w:val="Hyperlink"/>
                <w:noProof/>
              </w:rPr>
              <w:t>ERASMUS+</w:t>
            </w:r>
            <w:r w:rsidR="009F2266">
              <w:rPr>
                <w:noProof/>
                <w:webHidden/>
              </w:rPr>
              <w:tab/>
            </w:r>
            <w:r w:rsidR="009F2266">
              <w:rPr>
                <w:noProof/>
                <w:webHidden/>
              </w:rPr>
              <w:fldChar w:fldCharType="begin"/>
            </w:r>
            <w:r w:rsidR="009F2266">
              <w:rPr>
                <w:noProof/>
                <w:webHidden/>
              </w:rPr>
              <w:instrText xml:space="preserve"> PAGEREF _Toc102086350 \h </w:instrText>
            </w:r>
            <w:r w:rsidR="009F2266">
              <w:rPr>
                <w:noProof/>
                <w:webHidden/>
              </w:rPr>
            </w:r>
            <w:r w:rsidR="009F2266">
              <w:rPr>
                <w:noProof/>
                <w:webHidden/>
              </w:rPr>
              <w:fldChar w:fldCharType="separate"/>
            </w:r>
            <w:r w:rsidR="00B76EFA">
              <w:rPr>
                <w:noProof/>
                <w:webHidden/>
              </w:rPr>
              <w:t>246</w:t>
            </w:r>
            <w:r w:rsidR="009F2266">
              <w:rPr>
                <w:noProof/>
                <w:webHidden/>
              </w:rPr>
              <w:fldChar w:fldCharType="end"/>
            </w:r>
          </w:hyperlink>
        </w:p>
        <w:p w14:paraId="638C89F8" w14:textId="08B7E361"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51" w:history="1">
            <w:r w:rsidR="009F2266" w:rsidRPr="00182051">
              <w:rPr>
                <w:rStyle w:val="Hyperlink"/>
                <w:noProof/>
              </w:rPr>
              <w:t>EUROPEAN SOLIDARITY CORPS</w:t>
            </w:r>
            <w:r w:rsidR="009F2266">
              <w:rPr>
                <w:noProof/>
                <w:webHidden/>
              </w:rPr>
              <w:tab/>
            </w:r>
            <w:r w:rsidR="009F2266">
              <w:rPr>
                <w:noProof/>
                <w:webHidden/>
              </w:rPr>
              <w:fldChar w:fldCharType="begin"/>
            </w:r>
            <w:r w:rsidR="009F2266">
              <w:rPr>
                <w:noProof/>
                <w:webHidden/>
              </w:rPr>
              <w:instrText xml:space="preserve"> PAGEREF _Toc102086351 \h </w:instrText>
            </w:r>
            <w:r w:rsidR="009F2266">
              <w:rPr>
                <w:noProof/>
                <w:webHidden/>
              </w:rPr>
            </w:r>
            <w:r w:rsidR="009F2266">
              <w:rPr>
                <w:noProof/>
                <w:webHidden/>
              </w:rPr>
              <w:fldChar w:fldCharType="separate"/>
            </w:r>
            <w:r w:rsidR="00B76EFA">
              <w:rPr>
                <w:noProof/>
                <w:webHidden/>
              </w:rPr>
              <w:t>257</w:t>
            </w:r>
            <w:r w:rsidR="009F2266">
              <w:rPr>
                <w:noProof/>
                <w:webHidden/>
              </w:rPr>
              <w:fldChar w:fldCharType="end"/>
            </w:r>
          </w:hyperlink>
        </w:p>
        <w:p w14:paraId="2195CACF" w14:textId="325344D2"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52" w:history="1">
            <w:r w:rsidR="009F2266" w:rsidRPr="00182051">
              <w:rPr>
                <w:rStyle w:val="Hyperlink"/>
                <w:noProof/>
              </w:rPr>
              <w:t>JUSTICE PROGRAMME</w:t>
            </w:r>
            <w:r w:rsidR="009F2266">
              <w:rPr>
                <w:noProof/>
                <w:webHidden/>
              </w:rPr>
              <w:tab/>
            </w:r>
            <w:r w:rsidR="009F2266">
              <w:rPr>
                <w:noProof/>
                <w:webHidden/>
              </w:rPr>
              <w:fldChar w:fldCharType="begin"/>
            </w:r>
            <w:r w:rsidR="009F2266">
              <w:rPr>
                <w:noProof/>
                <w:webHidden/>
              </w:rPr>
              <w:instrText xml:space="preserve"> PAGEREF _Toc102086352 \h </w:instrText>
            </w:r>
            <w:r w:rsidR="009F2266">
              <w:rPr>
                <w:noProof/>
                <w:webHidden/>
              </w:rPr>
            </w:r>
            <w:r w:rsidR="009F2266">
              <w:rPr>
                <w:noProof/>
                <w:webHidden/>
              </w:rPr>
              <w:fldChar w:fldCharType="separate"/>
            </w:r>
            <w:r w:rsidR="00B76EFA">
              <w:rPr>
                <w:noProof/>
                <w:webHidden/>
              </w:rPr>
              <w:t>269</w:t>
            </w:r>
            <w:r w:rsidR="009F2266">
              <w:rPr>
                <w:noProof/>
                <w:webHidden/>
              </w:rPr>
              <w:fldChar w:fldCharType="end"/>
            </w:r>
          </w:hyperlink>
        </w:p>
        <w:p w14:paraId="0A922744" w14:textId="3DDE39DE"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53" w:history="1">
            <w:r w:rsidR="009F2266" w:rsidRPr="00182051">
              <w:rPr>
                <w:rStyle w:val="Hyperlink"/>
                <w:noProof/>
              </w:rPr>
              <w:t>CERV</w:t>
            </w:r>
            <w:r w:rsidR="009F2266">
              <w:rPr>
                <w:noProof/>
                <w:webHidden/>
              </w:rPr>
              <w:tab/>
            </w:r>
            <w:r w:rsidR="009F2266">
              <w:rPr>
                <w:noProof/>
                <w:webHidden/>
              </w:rPr>
              <w:fldChar w:fldCharType="begin"/>
            </w:r>
            <w:r w:rsidR="009F2266">
              <w:rPr>
                <w:noProof/>
                <w:webHidden/>
              </w:rPr>
              <w:instrText xml:space="preserve"> PAGEREF _Toc102086353 \h </w:instrText>
            </w:r>
            <w:r w:rsidR="009F2266">
              <w:rPr>
                <w:noProof/>
                <w:webHidden/>
              </w:rPr>
            </w:r>
            <w:r w:rsidR="009F2266">
              <w:rPr>
                <w:noProof/>
                <w:webHidden/>
              </w:rPr>
              <w:fldChar w:fldCharType="separate"/>
            </w:r>
            <w:r w:rsidR="00B76EFA">
              <w:rPr>
                <w:noProof/>
                <w:webHidden/>
              </w:rPr>
              <w:t>279</w:t>
            </w:r>
            <w:r w:rsidR="009F2266">
              <w:rPr>
                <w:noProof/>
                <w:webHidden/>
              </w:rPr>
              <w:fldChar w:fldCharType="end"/>
            </w:r>
          </w:hyperlink>
        </w:p>
        <w:p w14:paraId="23F91ACB" w14:textId="56B19E6E"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54" w:history="1">
            <w:r w:rsidR="009F2266" w:rsidRPr="00182051">
              <w:rPr>
                <w:rStyle w:val="Hyperlink"/>
                <w:noProof/>
              </w:rPr>
              <w:t>CREATIVE EUROPE</w:t>
            </w:r>
            <w:r w:rsidR="009F2266">
              <w:rPr>
                <w:noProof/>
                <w:webHidden/>
              </w:rPr>
              <w:tab/>
            </w:r>
            <w:r w:rsidR="009F2266">
              <w:rPr>
                <w:noProof/>
                <w:webHidden/>
              </w:rPr>
              <w:fldChar w:fldCharType="begin"/>
            </w:r>
            <w:r w:rsidR="009F2266">
              <w:rPr>
                <w:noProof/>
                <w:webHidden/>
              </w:rPr>
              <w:instrText xml:space="preserve"> PAGEREF _Toc102086354 \h </w:instrText>
            </w:r>
            <w:r w:rsidR="009F2266">
              <w:rPr>
                <w:noProof/>
                <w:webHidden/>
              </w:rPr>
            </w:r>
            <w:r w:rsidR="009F2266">
              <w:rPr>
                <w:noProof/>
                <w:webHidden/>
              </w:rPr>
              <w:fldChar w:fldCharType="separate"/>
            </w:r>
            <w:r w:rsidR="00B76EFA">
              <w:rPr>
                <w:noProof/>
                <w:webHidden/>
              </w:rPr>
              <w:t>291</w:t>
            </w:r>
            <w:r w:rsidR="009F2266">
              <w:rPr>
                <w:noProof/>
                <w:webHidden/>
              </w:rPr>
              <w:fldChar w:fldCharType="end"/>
            </w:r>
          </w:hyperlink>
        </w:p>
        <w:p w14:paraId="2685B557" w14:textId="7DF73E0B"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55" w:history="1">
            <w:r w:rsidR="009F2266" w:rsidRPr="00182051">
              <w:rPr>
                <w:rStyle w:val="Hyperlink"/>
                <w:noProof/>
              </w:rPr>
              <w:t>COMMUNICATION</w:t>
            </w:r>
            <w:r w:rsidR="009F2266">
              <w:rPr>
                <w:noProof/>
                <w:webHidden/>
              </w:rPr>
              <w:tab/>
            </w:r>
            <w:r w:rsidR="009F2266">
              <w:rPr>
                <w:noProof/>
                <w:webHidden/>
              </w:rPr>
              <w:fldChar w:fldCharType="begin"/>
            </w:r>
            <w:r w:rsidR="009F2266">
              <w:rPr>
                <w:noProof/>
                <w:webHidden/>
              </w:rPr>
              <w:instrText xml:space="preserve"> PAGEREF _Toc102086355 \h </w:instrText>
            </w:r>
            <w:r w:rsidR="009F2266">
              <w:rPr>
                <w:noProof/>
                <w:webHidden/>
              </w:rPr>
            </w:r>
            <w:r w:rsidR="009F2266">
              <w:rPr>
                <w:noProof/>
                <w:webHidden/>
              </w:rPr>
              <w:fldChar w:fldCharType="separate"/>
            </w:r>
            <w:r w:rsidR="00B76EFA">
              <w:rPr>
                <w:noProof/>
                <w:webHidden/>
              </w:rPr>
              <w:t>302</w:t>
            </w:r>
            <w:r w:rsidR="009F2266">
              <w:rPr>
                <w:noProof/>
                <w:webHidden/>
              </w:rPr>
              <w:fldChar w:fldCharType="end"/>
            </w:r>
          </w:hyperlink>
        </w:p>
        <w:p w14:paraId="728A8B0B" w14:textId="73952691"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56" w:history="1">
            <w:r w:rsidR="009F2266" w:rsidRPr="00182051">
              <w:rPr>
                <w:rStyle w:val="Hyperlink"/>
                <w:noProof/>
              </w:rPr>
              <w:t>CAP</w:t>
            </w:r>
            <w:r w:rsidR="009F2266">
              <w:rPr>
                <w:noProof/>
                <w:webHidden/>
              </w:rPr>
              <w:tab/>
            </w:r>
            <w:r w:rsidR="009F2266">
              <w:rPr>
                <w:noProof/>
                <w:webHidden/>
              </w:rPr>
              <w:fldChar w:fldCharType="begin"/>
            </w:r>
            <w:r w:rsidR="009F2266">
              <w:rPr>
                <w:noProof/>
                <w:webHidden/>
              </w:rPr>
              <w:instrText xml:space="preserve"> PAGEREF _Toc102086356 \h </w:instrText>
            </w:r>
            <w:r w:rsidR="009F2266">
              <w:rPr>
                <w:noProof/>
                <w:webHidden/>
              </w:rPr>
            </w:r>
            <w:r w:rsidR="009F2266">
              <w:rPr>
                <w:noProof/>
                <w:webHidden/>
              </w:rPr>
              <w:fldChar w:fldCharType="separate"/>
            </w:r>
            <w:r w:rsidR="00B76EFA">
              <w:rPr>
                <w:noProof/>
                <w:webHidden/>
              </w:rPr>
              <w:t>309</w:t>
            </w:r>
            <w:r w:rsidR="009F2266">
              <w:rPr>
                <w:noProof/>
                <w:webHidden/>
              </w:rPr>
              <w:fldChar w:fldCharType="end"/>
            </w:r>
          </w:hyperlink>
        </w:p>
        <w:p w14:paraId="480506ED" w14:textId="683037FD"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57" w:history="1">
            <w:r w:rsidR="009F2266" w:rsidRPr="00182051">
              <w:rPr>
                <w:rStyle w:val="Hyperlink"/>
                <w:noProof/>
              </w:rPr>
              <w:t>EMFAF</w:t>
            </w:r>
            <w:r w:rsidR="009F2266">
              <w:rPr>
                <w:noProof/>
                <w:webHidden/>
              </w:rPr>
              <w:tab/>
            </w:r>
            <w:r w:rsidR="009F2266">
              <w:rPr>
                <w:noProof/>
                <w:webHidden/>
              </w:rPr>
              <w:fldChar w:fldCharType="begin"/>
            </w:r>
            <w:r w:rsidR="009F2266">
              <w:rPr>
                <w:noProof/>
                <w:webHidden/>
              </w:rPr>
              <w:instrText xml:space="preserve"> PAGEREF _Toc102086357 \h </w:instrText>
            </w:r>
            <w:r w:rsidR="009F2266">
              <w:rPr>
                <w:noProof/>
                <w:webHidden/>
              </w:rPr>
            </w:r>
            <w:r w:rsidR="009F2266">
              <w:rPr>
                <w:noProof/>
                <w:webHidden/>
              </w:rPr>
              <w:fldChar w:fldCharType="separate"/>
            </w:r>
            <w:r w:rsidR="00B76EFA">
              <w:rPr>
                <w:noProof/>
                <w:webHidden/>
              </w:rPr>
              <w:t>319</w:t>
            </w:r>
            <w:r w:rsidR="009F2266">
              <w:rPr>
                <w:noProof/>
                <w:webHidden/>
              </w:rPr>
              <w:fldChar w:fldCharType="end"/>
            </w:r>
          </w:hyperlink>
        </w:p>
        <w:p w14:paraId="03E79B87" w14:textId="33469892"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58" w:history="1">
            <w:r w:rsidR="009F2266" w:rsidRPr="00182051">
              <w:rPr>
                <w:rStyle w:val="Hyperlink"/>
                <w:noProof/>
              </w:rPr>
              <w:t>RFMOs/SFPAs</w:t>
            </w:r>
            <w:r w:rsidR="009F2266">
              <w:rPr>
                <w:noProof/>
                <w:webHidden/>
              </w:rPr>
              <w:tab/>
            </w:r>
            <w:r w:rsidR="009F2266">
              <w:rPr>
                <w:noProof/>
                <w:webHidden/>
              </w:rPr>
              <w:fldChar w:fldCharType="begin"/>
            </w:r>
            <w:r w:rsidR="009F2266">
              <w:rPr>
                <w:noProof/>
                <w:webHidden/>
              </w:rPr>
              <w:instrText xml:space="preserve"> PAGEREF _Toc102086358 \h </w:instrText>
            </w:r>
            <w:r w:rsidR="009F2266">
              <w:rPr>
                <w:noProof/>
                <w:webHidden/>
              </w:rPr>
            </w:r>
            <w:r w:rsidR="009F2266">
              <w:rPr>
                <w:noProof/>
                <w:webHidden/>
              </w:rPr>
              <w:fldChar w:fldCharType="separate"/>
            </w:r>
            <w:r w:rsidR="00B76EFA">
              <w:rPr>
                <w:noProof/>
                <w:webHidden/>
              </w:rPr>
              <w:t>330</w:t>
            </w:r>
            <w:r w:rsidR="009F2266">
              <w:rPr>
                <w:noProof/>
                <w:webHidden/>
              </w:rPr>
              <w:fldChar w:fldCharType="end"/>
            </w:r>
          </w:hyperlink>
        </w:p>
        <w:p w14:paraId="67462CF5" w14:textId="1898BC0E"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59" w:history="1">
            <w:r w:rsidR="009F2266" w:rsidRPr="00182051">
              <w:rPr>
                <w:rStyle w:val="Hyperlink"/>
                <w:noProof/>
                <w:lang w:val="en-IE"/>
              </w:rPr>
              <w:t>LIFE</w:t>
            </w:r>
            <w:r w:rsidR="009F2266">
              <w:rPr>
                <w:noProof/>
                <w:webHidden/>
              </w:rPr>
              <w:tab/>
            </w:r>
            <w:r w:rsidR="009F2266">
              <w:rPr>
                <w:noProof/>
                <w:webHidden/>
              </w:rPr>
              <w:fldChar w:fldCharType="begin"/>
            </w:r>
            <w:r w:rsidR="009F2266">
              <w:rPr>
                <w:noProof/>
                <w:webHidden/>
              </w:rPr>
              <w:instrText xml:space="preserve"> PAGEREF _Toc102086359 \h </w:instrText>
            </w:r>
            <w:r w:rsidR="009F2266">
              <w:rPr>
                <w:noProof/>
                <w:webHidden/>
              </w:rPr>
            </w:r>
            <w:r w:rsidR="009F2266">
              <w:rPr>
                <w:noProof/>
                <w:webHidden/>
              </w:rPr>
              <w:fldChar w:fldCharType="separate"/>
            </w:r>
            <w:r w:rsidR="00B76EFA">
              <w:rPr>
                <w:noProof/>
                <w:webHidden/>
              </w:rPr>
              <w:t>337</w:t>
            </w:r>
            <w:r w:rsidR="009F2266">
              <w:rPr>
                <w:noProof/>
                <w:webHidden/>
              </w:rPr>
              <w:fldChar w:fldCharType="end"/>
            </w:r>
          </w:hyperlink>
        </w:p>
        <w:p w14:paraId="0A37A593" w14:textId="6A17068A"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60" w:history="1">
            <w:r w:rsidR="009F2266" w:rsidRPr="00182051">
              <w:rPr>
                <w:rStyle w:val="Hyperlink"/>
                <w:noProof/>
              </w:rPr>
              <w:t>JTM</w:t>
            </w:r>
            <w:r w:rsidR="009F2266">
              <w:rPr>
                <w:noProof/>
                <w:webHidden/>
              </w:rPr>
              <w:tab/>
            </w:r>
            <w:r w:rsidR="009F2266">
              <w:rPr>
                <w:noProof/>
                <w:webHidden/>
              </w:rPr>
              <w:fldChar w:fldCharType="begin"/>
            </w:r>
            <w:r w:rsidR="009F2266">
              <w:rPr>
                <w:noProof/>
                <w:webHidden/>
              </w:rPr>
              <w:instrText xml:space="preserve"> PAGEREF _Toc102086360 \h </w:instrText>
            </w:r>
            <w:r w:rsidR="009F2266">
              <w:rPr>
                <w:noProof/>
                <w:webHidden/>
              </w:rPr>
            </w:r>
            <w:r w:rsidR="009F2266">
              <w:rPr>
                <w:noProof/>
                <w:webHidden/>
              </w:rPr>
              <w:fldChar w:fldCharType="separate"/>
            </w:r>
            <w:r w:rsidR="00B76EFA">
              <w:rPr>
                <w:noProof/>
                <w:webHidden/>
              </w:rPr>
              <w:t>347</w:t>
            </w:r>
            <w:r w:rsidR="009F2266">
              <w:rPr>
                <w:noProof/>
                <w:webHidden/>
              </w:rPr>
              <w:fldChar w:fldCharType="end"/>
            </w:r>
          </w:hyperlink>
        </w:p>
        <w:p w14:paraId="13D7A177" w14:textId="1F141865"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61" w:history="1">
            <w:r w:rsidR="009F2266" w:rsidRPr="00182051">
              <w:rPr>
                <w:rStyle w:val="Hyperlink"/>
                <w:noProof/>
              </w:rPr>
              <w:t>AMIF</w:t>
            </w:r>
            <w:r w:rsidR="009F2266">
              <w:rPr>
                <w:noProof/>
                <w:webHidden/>
              </w:rPr>
              <w:tab/>
            </w:r>
            <w:r w:rsidR="009F2266">
              <w:rPr>
                <w:noProof/>
                <w:webHidden/>
              </w:rPr>
              <w:fldChar w:fldCharType="begin"/>
            </w:r>
            <w:r w:rsidR="009F2266">
              <w:rPr>
                <w:noProof/>
                <w:webHidden/>
              </w:rPr>
              <w:instrText xml:space="preserve"> PAGEREF _Toc102086361 \h </w:instrText>
            </w:r>
            <w:r w:rsidR="009F2266">
              <w:rPr>
                <w:noProof/>
                <w:webHidden/>
              </w:rPr>
            </w:r>
            <w:r w:rsidR="009F2266">
              <w:rPr>
                <w:noProof/>
                <w:webHidden/>
              </w:rPr>
              <w:fldChar w:fldCharType="separate"/>
            </w:r>
            <w:r w:rsidR="00B76EFA">
              <w:rPr>
                <w:noProof/>
                <w:webHidden/>
              </w:rPr>
              <w:t>353</w:t>
            </w:r>
            <w:r w:rsidR="009F2266">
              <w:rPr>
                <w:noProof/>
                <w:webHidden/>
              </w:rPr>
              <w:fldChar w:fldCharType="end"/>
            </w:r>
          </w:hyperlink>
        </w:p>
        <w:p w14:paraId="525A1A63" w14:textId="0803A49A"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62" w:history="1">
            <w:r w:rsidR="009F2266" w:rsidRPr="00182051">
              <w:rPr>
                <w:rStyle w:val="Hyperlink"/>
                <w:noProof/>
                <w:lang w:val="en-IE"/>
              </w:rPr>
              <w:t>IBMF</w:t>
            </w:r>
            <w:r w:rsidR="009F2266">
              <w:rPr>
                <w:noProof/>
                <w:webHidden/>
              </w:rPr>
              <w:tab/>
            </w:r>
            <w:r w:rsidR="009F2266">
              <w:rPr>
                <w:noProof/>
                <w:webHidden/>
              </w:rPr>
              <w:fldChar w:fldCharType="begin"/>
            </w:r>
            <w:r w:rsidR="009F2266">
              <w:rPr>
                <w:noProof/>
                <w:webHidden/>
              </w:rPr>
              <w:instrText xml:space="preserve"> PAGEREF _Toc102086362 \h </w:instrText>
            </w:r>
            <w:r w:rsidR="009F2266">
              <w:rPr>
                <w:noProof/>
                <w:webHidden/>
              </w:rPr>
            </w:r>
            <w:r w:rsidR="009F2266">
              <w:rPr>
                <w:noProof/>
                <w:webHidden/>
              </w:rPr>
              <w:fldChar w:fldCharType="separate"/>
            </w:r>
            <w:r w:rsidR="00B76EFA">
              <w:rPr>
                <w:noProof/>
                <w:webHidden/>
              </w:rPr>
              <w:t>364</w:t>
            </w:r>
            <w:r w:rsidR="009F2266">
              <w:rPr>
                <w:noProof/>
                <w:webHidden/>
              </w:rPr>
              <w:fldChar w:fldCharType="end"/>
            </w:r>
          </w:hyperlink>
        </w:p>
        <w:p w14:paraId="65B31EBB" w14:textId="7B930063"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63" w:history="1">
            <w:r w:rsidR="009F2266" w:rsidRPr="00182051">
              <w:rPr>
                <w:rStyle w:val="Hyperlink"/>
                <w:noProof/>
              </w:rPr>
              <w:t>ISF</w:t>
            </w:r>
            <w:r w:rsidR="009F2266">
              <w:rPr>
                <w:noProof/>
                <w:webHidden/>
              </w:rPr>
              <w:tab/>
            </w:r>
            <w:r w:rsidR="009F2266">
              <w:rPr>
                <w:noProof/>
                <w:webHidden/>
              </w:rPr>
              <w:fldChar w:fldCharType="begin"/>
            </w:r>
            <w:r w:rsidR="009F2266">
              <w:rPr>
                <w:noProof/>
                <w:webHidden/>
              </w:rPr>
              <w:instrText xml:space="preserve"> PAGEREF _Toc102086363 \h </w:instrText>
            </w:r>
            <w:r w:rsidR="009F2266">
              <w:rPr>
                <w:noProof/>
                <w:webHidden/>
              </w:rPr>
            </w:r>
            <w:r w:rsidR="009F2266">
              <w:rPr>
                <w:noProof/>
                <w:webHidden/>
              </w:rPr>
              <w:fldChar w:fldCharType="separate"/>
            </w:r>
            <w:r w:rsidR="00B76EFA">
              <w:rPr>
                <w:noProof/>
                <w:webHidden/>
              </w:rPr>
              <w:t>375</w:t>
            </w:r>
            <w:r w:rsidR="009F2266">
              <w:rPr>
                <w:noProof/>
                <w:webHidden/>
              </w:rPr>
              <w:fldChar w:fldCharType="end"/>
            </w:r>
          </w:hyperlink>
        </w:p>
        <w:p w14:paraId="23AED2D0" w14:textId="0F62C4EA"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64" w:history="1">
            <w:r w:rsidR="009F2266" w:rsidRPr="00182051">
              <w:rPr>
                <w:rStyle w:val="Hyperlink"/>
                <w:noProof/>
                <w:lang w:val="en-IE"/>
              </w:rPr>
              <w:t>NUCLEAR DECOMMISSIONING (LITHUANIA)</w:t>
            </w:r>
            <w:r w:rsidR="009F2266">
              <w:rPr>
                <w:noProof/>
                <w:webHidden/>
              </w:rPr>
              <w:tab/>
            </w:r>
            <w:r w:rsidR="009F2266">
              <w:rPr>
                <w:noProof/>
                <w:webHidden/>
              </w:rPr>
              <w:fldChar w:fldCharType="begin"/>
            </w:r>
            <w:r w:rsidR="009F2266">
              <w:rPr>
                <w:noProof/>
                <w:webHidden/>
              </w:rPr>
              <w:instrText xml:space="preserve"> PAGEREF _Toc102086364 \h </w:instrText>
            </w:r>
            <w:r w:rsidR="009F2266">
              <w:rPr>
                <w:noProof/>
                <w:webHidden/>
              </w:rPr>
            </w:r>
            <w:r w:rsidR="009F2266">
              <w:rPr>
                <w:noProof/>
                <w:webHidden/>
              </w:rPr>
              <w:fldChar w:fldCharType="separate"/>
            </w:r>
            <w:r w:rsidR="00B76EFA">
              <w:rPr>
                <w:noProof/>
                <w:webHidden/>
              </w:rPr>
              <w:t>384</w:t>
            </w:r>
            <w:r w:rsidR="009F2266">
              <w:rPr>
                <w:noProof/>
                <w:webHidden/>
              </w:rPr>
              <w:fldChar w:fldCharType="end"/>
            </w:r>
          </w:hyperlink>
        </w:p>
        <w:p w14:paraId="04DA381A" w14:textId="086C8CF6"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65" w:history="1">
            <w:r w:rsidR="009F2266" w:rsidRPr="00182051">
              <w:rPr>
                <w:rStyle w:val="Hyperlink"/>
                <w:noProof/>
                <w:lang w:val="en-IE"/>
              </w:rPr>
              <w:t>NUCLEAR DECOMMISSIONING</w:t>
            </w:r>
            <w:r w:rsidR="009F2266">
              <w:rPr>
                <w:noProof/>
                <w:webHidden/>
              </w:rPr>
              <w:tab/>
            </w:r>
            <w:r w:rsidR="009F2266">
              <w:rPr>
                <w:noProof/>
                <w:webHidden/>
              </w:rPr>
              <w:fldChar w:fldCharType="begin"/>
            </w:r>
            <w:r w:rsidR="009F2266">
              <w:rPr>
                <w:noProof/>
                <w:webHidden/>
              </w:rPr>
              <w:instrText xml:space="preserve"> PAGEREF _Toc102086365 \h </w:instrText>
            </w:r>
            <w:r w:rsidR="009F2266">
              <w:rPr>
                <w:noProof/>
                <w:webHidden/>
              </w:rPr>
            </w:r>
            <w:r w:rsidR="009F2266">
              <w:rPr>
                <w:noProof/>
                <w:webHidden/>
              </w:rPr>
              <w:fldChar w:fldCharType="separate"/>
            </w:r>
            <w:r w:rsidR="00B76EFA">
              <w:rPr>
                <w:noProof/>
                <w:webHidden/>
              </w:rPr>
              <w:t>393</w:t>
            </w:r>
            <w:r w:rsidR="009F2266">
              <w:rPr>
                <w:noProof/>
                <w:webHidden/>
              </w:rPr>
              <w:fldChar w:fldCharType="end"/>
            </w:r>
          </w:hyperlink>
        </w:p>
        <w:p w14:paraId="42A6FC4F" w14:textId="682A5B04"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66" w:history="1">
            <w:r w:rsidR="009F2266" w:rsidRPr="00182051">
              <w:rPr>
                <w:rStyle w:val="Hyperlink"/>
                <w:noProof/>
              </w:rPr>
              <w:t>EDF</w:t>
            </w:r>
            <w:r w:rsidR="009F2266">
              <w:rPr>
                <w:noProof/>
                <w:webHidden/>
              </w:rPr>
              <w:tab/>
            </w:r>
            <w:r w:rsidR="009F2266">
              <w:rPr>
                <w:noProof/>
                <w:webHidden/>
              </w:rPr>
              <w:fldChar w:fldCharType="begin"/>
            </w:r>
            <w:r w:rsidR="009F2266">
              <w:rPr>
                <w:noProof/>
                <w:webHidden/>
              </w:rPr>
              <w:instrText xml:space="preserve"> PAGEREF _Toc102086366 \h </w:instrText>
            </w:r>
            <w:r w:rsidR="009F2266">
              <w:rPr>
                <w:noProof/>
                <w:webHidden/>
              </w:rPr>
            </w:r>
            <w:r w:rsidR="009F2266">
              <w:rPr>
                <w:noProof/>
                <w:webHidden/>
              </w:rPr>
              <w:fldChar w:fldCharType="separate"/>
            </w:r>
            <w:r w:rsidR="00B76EFA">
              <w:rPr>
                <w:noProof/>
                <w:webHidden/>
              </w:rPr>
              <w:t>404</w:t>
            </w:r>
            <w:r w:rsidR="009F2266">
              <w:rPr>
                <w:noProof/>
                <w:webHidden/>
              </w:rPr>
              <w:fldChar w:fldCharType="end"/>
            </w:r>
          </w:hyperlink>
        </w:p>
        <w:p w14:paraId="1B2A4BC0" w14:textId="44E97E77"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67" w:history="1">
            <w:r w:rsidR="009F2266" w:rsidRPr="00182051">
              <w:rPr>
                <w:rStyle w:val="Hyperlink"/>
                <w:noProof/>
              </w:rPr>
              <w:t>NDICI–GLOBAL EUROPE</w:t>
            </w:r>
            <w:r w:rsidR="009F2266">
              <w:rPr>
                <w:noProof/>
                <w:webHidden/>
              </w:rPr>
              <w:tab/>
            </w:r>
            <w:r w:rsidR="009F2266">
              <w:rPr>
                <w:noProof/>
                <w:webHidden/>
              </w:rPr>
              <w:fldChar w:fldCharType="begin"/>
            </w:r>
            <w:r w:rsidR="009F2266">
              <w:rPr>
                <w:noProof/>
                <w:webHidden/>
              </w:rPr>
              <w:instrText xml:space="preserve"> PAGEREF _Toc102086367 \h </w:instrText>
            </w:r>
            <w:r w:rsidR="009F2266">
              <w:rPr>
                <w:noProof/>
                <w:webHidden/>
              </w:rPr>
            </w:r>
            <w:r w:rsidR="009F2266">
              <w:rPr>
                <w:noProof/>
                <w:webHidden/>
              </w:rPr>
              <w:fldChar w:fldCharType="separate"/>
            </w:r>
            <w:r w:rsidR="00B76EFA">
              <w:rPr>
                <w:noProof/>
                <w:webHidden/>
              </w:rPr>
              <w:t>415</w:t>
            </w:r>
            <w:r w:rsidR="009F2266">
              <w:rPr>
                <w:noProof/>
                <w:webHidden/>
              </w:rPr>
              <w:fldChar w:fldCharType="end"/>
            </w:r>
          </w:hyperlink>
        </w:p>
        <w:p w14:paraId="40A8D18D" w14:textId="2647E167"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68" w:history="1">
            <w:r w:rsidR="009F2266" w:rsidRPr="00182051">
              <w:rPr>
                <w:rStyle w:val="Hyperlink"/>
                <w:noProof/>
              </w:rPr>
              <w:t>INSC</w:t>
            </w:r>
            <w:r w:rsidR="009F2266">
              <w:rPr>
                <w:noProof/>
                <w:webHidden/>
              </w:rPr>
              <w:tab/>
            </w:r>
            <w:r w:rsidR="009F2266">
              <w:rPr>
                <w:noProof/>
                <w:webHidden/>
              </w:rPr>
              <w:fldChar w:fldCharType="begin"/>
            </w:r>
            <w:r w:rsidR="009F2266">
              <w:rPr>
                <w:noProof/>
                <w:webHidden/>
              </w:rPr>
              <w:instrText xml:space="preserve"> PAGEREF _Toc102086368 \h </w:instrText>
            </w:r>
            <w:r w:rsidR="009F2266">
              <w:rPr>
                <w:noProof/>
                <w:webHidden/>
              </w:rPr>
            </w:r>
            <w:r w:rsidR="009F2266">
              <w:rPr>
                <w:noProof/>
                <w:webHidden/>
              </w:rPr>
              <w:fldChar w:fldCharType="separate"/>
            </w:r>
            <w:r w:rsidR="00B76EFA">
              <w:rPr>
                <w:noProof/>
                <w:webHidden/>
              </w:rPr>
              <w:t>437</w:t>
            </w:r>
            <w:r w:rsidR="009F2266">
              <w:rPr>
                <w:noProof/>
                <w:webHidden/>
              </w:rPr>
              <w:fldChar w:fldCharType="end"/>
            </w:r>
          </w:hyperlink>
        </w:p>
        <w:p w14:paraId="277BEF08" w14:textId="677DE897"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69" w:history="1">
            <w:r w:rsidR="009F2266" w:rsidRPr="00182051">
              <w:rPr>
                <w:rStyle w:val="Hyperlink"/>
                <w:noProof/>
              </w:rPr>
              <w:t>HUMA</w:t>
            </w:r>
            <w:r w:rsidR="009F2266">
              <w:rPr>
                <w:noProof/>
                <w:webHidden/>
              </w:rPr>
              <w:tab/>
            </w:r>
            <w:r w:rsidR="009F2266">
              <w:rPr>
                <w:noProof/>
                <w:webHidden/>
              </w:rPr>
              <w:fldChar w:fldCharType="begin"/>
            </w:r>
            <w:r w:rsidR="009F2266">
              <w:rPr>
                <w:noProof/>
                <w:webHidden/>
              </w:rPr>
              <w:instrText xml:space="preserve"> PAGEREF _Toc102086369 \h </w:instrText>
            </w:r>
            <w:r w:rsidR="009F2266">
              <w:rPr>
                <w:noProof/>
                <w:webHidden/>
              </w:rPr>
            </w:r>
            <w:r w:rsidR="009F2266">
              <w:rPr>
                <w:noProof/>
                <w:webHidden/>
              </w:rPr>
              <w:fldChar w:fldCharType="separate"/>
            </w:r>
            <w:r w:rsidR="00B76EFA">
              <w:rPr>
                <w:noProof/>
                <w:webHidden/>
              </w:rPr>
              <w:t>446</w:t>
            </w:r>
            <w:r w:rsidR="009F2266">
              <w:rPr>
                <w:noProof/>
                <w:webHidden/>
              </w:rPr>
              <w:fldChar w:fldCharType="end"/>
            </w:r>
          </w:hyperlink>
        </w:p>
        <w:p w14:paraId="588DD375" w14:textId="5955A722"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70" w:history="1">
            <w:r w:rsidR="009F2266" w:rsidRPr="00182051">
              <w:rPr>
                <w:rStyle w:val="Hyperlink"/>
                <w:noProof/>
              </w:rPr>
              <w:t>CFSP</w:t>
            </w:r>
            <w:r w:rsidR="009F2266">
              <w:rPr>
                <w:noProof/>
                <w:webHidden/>
              </w:rPr>
              <w:tab/>
            </w:r>
            <w:r w:rsidR="009F2266">
              <w:rPr>
                <w:noProof/>
                <w:webHidden/>
              </w:rPr>
              <w:fldChar w:fldCharType="begin"/>
            </w:r>
            <w:r w:rsidR="009F2266">
              <w:rPr>
                <w:noProof/>
                <w:webHidden/>
              </w:rPr>
              <w:instrText xml:space="preserve"> PAGEREF _Toc102086370 \h </w:instrText>
            </w:r>
            <w:r w:rsidR="009F2266">
              <w:rPr>
                <w:noProof/>
                <w:webHidden/>
              </w:rPr>
            </w:r>
            <w:r w:rsidR="009F2266">
              <w:rPr>
                <w:noProof/>
                <w:webHidden/>
              </w:rPr>
              <w:fldChar w:fldCharType="separate"/>
            </w:r>
            <w:r w:rsidR="00B76EFA">
              <w:rPr>
                <w:noProof/>
                <w:webHidden/>
              </w:rPr>
              <w:t>454</w:t>
            </w:r>
            <w:r w:rsidR="009F2266">
              <w:rPr>
                <w:noProof/>
                <w:webHidden/>
              </w:rPr>
              <w:fldChar w:fldCharType="end"/>
            </w:r>
          </w:hyperlink>
        </w:p>
        <w:p w14:paraId="53F60944" w14:textId="463C04BA"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71" w:history="1">
            <w:r w:rsidR="009F2266" w:rsidRPr="00182051">
              <w:rPr>
                <w:rStyle w:val="Hyperlink"/>
                <w:noProof/>
              </w:rPr>
              <w:t>DOAG</w:t>
            </w:r>
            <w:r w:rsidR="009F2266">
              <w:rPr>
                <w:noProof/>
                <w:webHidden/>
              </w:rPr>
              <w:tab/>
            </w:r>
            <w:r w:rsidR="009F2266">
              <w:rPr>
                <w:noProof/>
                <w:webHidden/>
              </w:rPr>
              <w:fldChar w:fldCharType="begin"/>
            </w:r>
            <w:r w:rsidR="009F2266">
              <w:rPr>
                <w:noProof/>
                <w:webHidden/>
              </w:rPr>
              <w:instrText xml:space="preserve"> PAGEREF _Toc102086371 \h </w:instrText>
            </w:r>
            <w:r w:rsidR="009F2266">
              <w:rPr>
                <w:noProof/>
                <w:webHidden/>
              </w:rPr>
            </w:r>
            <w:r w:rsidR="009F2266">
              <w:rPr>
                <w:noProof/>
                <w:webHidden/>
              </w:rPr>
              <w:fldChar w:fldCharType="separate"/>
            </w:r>
            <w:r w:rsidR="00B76EFA">
              <w:rPr>
                <w:noProof/>
                <w:webHidden/>
              </w:rPr>
              <w:t>462</w:t>
            </w:r>
            <w:r w:rsidR="009F2266">
              <w:rPr>
                <w:noProof/>
                <w:webHidden/>
              </w:rPr>
              <w:fldChar w:fldCharType="end"/>
            </w:r>
          </w:hyperlink>
        </w:p>
        <w:p w14:paraId="20CE66C6" w14:textId="39E83126"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72" w:history="1">
            <w:r w:rsidR="009F2266" w:rsidRPr="00182051">
              <w:rPr>
                <w:rStyle w:val="Hyperlink"/>
                <w:noProof/>
              </w:rPr>
              <w:t>MFA</w:t>
            </w:r>
            <w:r w:rsidR="009F2266">
              <w:rPr>
                <w:noProof/>
                <w:webHidden/>
              </w:rPr>
              <w:tab/>
            </w:r>
            <w:r w:rsidR="009F2266">
              <w:rPr>
                <w:noProof/>
                <w:webHidden/>
              </w:rPr>
              <w:fldChar w:fldCharType="begin"/>
            </w:r>
            <w:r w:rsidR="009F2266">
              <w:rPr>
                <w:noProof/>
                <w:webHidden/>
              </w:rPr>
              <w:instrText xml:space="preserve"> PAGEREF _Toc102086372 \h </w:instrText>
            </w:r>
            <w:r w:rsidR="009F2266">
              <w:rPr>
                <w:noProof/>
                <w:webHidden/>
              </w:rPr>
            </w:r>
            <w:r w:rsidR="009F2266">
              <w:rPr>
                <w:noProof/>
                <w:webHidden/>
              </w:rPr>
              <w:fldChar w:fldCharType="separate"/>
            </w:r>
            <w:r w:rsidR="00B76EFA">
              <w:rPr>
                <w:noProof/>
                <w:webHidden/>
              </w:rPr>
              <w:t>469</w:t>
            </w:r>
            <w:r w:rsidR="009F2266">
              <w:rPr>
                <w:noProof/>
                <w:webHidden/>
              </w:rPr>
              <w:fldChar w:fldCharType="end"/>
            </w:r>
          </w:hyperlink>
        </w:p>
        <w:p w14:paraId="29497114" w14:textId="75663D4A"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73" w:history="1">
            <w:r w:rsidR="009F2266" w:rsidRPr="00182051">
              <w:rPr>
                <w:rStyle w:val="Hyperlink"/>
                <w:noProof/>
              </w:rPr>
              <w:t>IPA III</w:t>
            </w:r>
            <w:r w:rsidR="009F2266">
              <w:rPr>
                <w:noProof/>
                <w:webHidden/>
              </w:rPr>
              <w:tab/>
            </w:r>
            <w:r w:rsidR="009F2266">
              <w:rPr>
                <w:noProof/>
                <w:webHidden/>
              </w:rPr>
              <w:fldChar w:fldCharType="begin"/>
            </w:r>
            <w:r w:rsidR="009F2266">
              <w:rPr>
                <w:noProof/>
                <w:webHidden/>
              </w:rPr>
              <w:instrText xml:space="preserve"> PAGEREF _Toc102086373 \h </w:instrText>
            </w:r>
            <w:r w:rsidR="009F2266">
              <w:rPr>
                <w:noProof/>
                <w:webHidden/>
              </w:rPr>
            </w:r>
            <w:r w:rsidR="009F2266">
              <w:rPr>
                <w:noProof/>
                <w:webHidden/>
              </w:rPr>
              <w:fldChar w:fldCharType="separate"/>
            </w:r>
            <w:r w:rsidR="00B76EFA">
              <w:rPr>
                <w:noProof/>
                <w:webHidden/>
              </w:rPr>
              <w:t>476</w:t>
            </w:r>
            <w:r w:rsidR="009F2266">
              <w:rPr>
                <w:noProof/>
                <w:webHidden/>
              </w:rPr>
              <w:fldChar w:fldCharType="end"/>
            </w:r>
          </w:hyperlink>
        </w:p>
        <w:p w14:paraId="0183DA1F" w14:textId="0FD2EC8C"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74" w:history="1">
            <w:r w:rsidR="009F2266" w:rsidRPr="00182051">
              <w:rPr>
                <w:rStyle w:val="Hyperlink"/>
                <w:noProof/>
              </w:rPr>
              <w:t>EGF</w:t>
            </w:r>
            <w:r w:rsidR="009F2266">
              <w:rPr>
                <w:noProof/>
                <w:webHidden/>
              </w:rPr>
              <w:tab/>
            </w:r>
            <w:r w:rsidR="009F2266">
              <w:rPr>
                <w:noProof/>
                <w:webHidden/>
              </w:rPr>
              <w:fldChar w:fldCharType="begin"/>
            </w:r>
            <w:r w:rsidR="009F2266">
              <w:rPr>
                <w:noProof/>
                <w:webHidden/>
              </w:rPr>
              <w:instrText xml:space="preserve"> PAGEREF _Toc102086374 \h </w:instrText>
            </w:r>
            <w:r w:rsidR="009F2266">
              <w:rPr>
                <w:noProof/>
                <w:webHidden/>
              </w:rPr>
            </w:r>
            <w:r w:rsidR="009F2266">
              <w:rPr>
                <w:noProof/>
                <w:webHidden/>
              </w:rPr>
              <w:fldChar w:fldCharType="separate"/>
            </w:r>
            <w:r w:rsidR="00B76EFA">
              <w:rPr>
                <w:noProof/>
                <w:webHidden/>
              </w:rPr>
              <w:t>487</w:t>
            </w:r>
            <w:r w:rsidR="009F2266">
              <w:rPr>
                <w:noProof/>
                <w:webHidden/>
              </w:rPr>
              <w:fldChar w:fldCharType="end"/>
            </w:r>
          </w:hyperlink>
        </w:p>
        <w:p w14:paraId="3A53802C" w14:textId="1B1584D5"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75" w:history="1">
            <w:r w:rsidR="009F2266" w:rsidRPr="00182051">
              <w:rPr>
                <w:rStyle w:val="Hyperlink"/>
                <w:noProof/>
              </w:rPr>
              <w:t>EUSF</w:t>
            </w:r>
            <w:r w:rsidR="009F2266">
              <w:rPr>
                <w:noProof/>
                <w:webHidden/>
              </w:rPr>
              <w:tab/>
            </w:r>
            <w:r w:rsidR="009F2266">
              <w:rPr>
                <w:noProof/>
                <w:webHidden/>
              </w:rPr>
              <w:fldChar w:fldCharType="begin"/>
            </w:r>
            <w:r w:rsidR="009F2266">
              <w:rPr>
                <w:noProof/>
                <w:webHidden/>
              </w:rPr>
              <w:instrText xml:space="preserve"> PAGEREF _Toc102086375 \h </w:instrText>
            </w:r>
            <w:r w:rsidR="009F2266">
              <w:rPr>
                <w:noProof/>
                <w:webHidden/>
              </w:rPr>
            </w:r>
            <w:r w:rsidR="009F2266">
              <w:rPr>
                <w:noProof/>
                <w:webHidden/>
              </w:rPr>
              <w:fldChar w:fldCharType="separate"/>
            </w:r>
            <w:r w:rsidR="00B76EFA">
              <w:rPr>
                <w:noProof/>
                <w:webHidden/>
              </w:rPr>
              <w:t>494</w:t>
            </w:r>
            <w:r w:rsidR="009F2266">
              <w:rPr>
                <w:noProof/>
                <w:webHidden/>
              </w:rPr>
              <w:fldChar w:fldCharType="end"/>
            </w:r>
          </w:hyperlink>
        </w:p>
        <w:p w14:paraId="3068F892" w14:textId="6600CAE6"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76" w:history="1">
            <w:r w:rsidR="009F2266" w:rsidRPr="00182051">
              <w:rPr>
                <w:rStyle w:val="Hyperlink"/>
                <w:noProof/>
                <w:lang w:val="en-IE"/>
              </w:rPr>
              <w:t>INNOVATION FUND</w:t>
            </w:r>
            <w:r w:rsidR="009F2266">
              <w:rPr>
                <w:noProof/>
                <w:webHidden/>
              </w:rPr>
              <w:tab/>
            </w:r>
            <w:r w:rsidR="009F2266">
              <w:rPr>
                <w:noProof/>
                <w:webHidden/>
              </w:rPr>
              <w:fldChar w:fldCharType="begin"/>
            </w:r>
            <w:r w:rsidR="009F2266">
              <w:rPr>
                <w:noProof/>
                <w:webHidden/>
              </w:rPr>
              <w:instrText xml:space="preserve"> PAGEREF _Toc102086376 \h </w:instrText>
            </w:r>
            <w:r w:rsidR="009F2266">
              <w:rPr>
                <w:noProof/>
                <w:webHidden/>
              </w:rPr>
            </w:r>
            <w:r w:rsidR="009F2266">
              <w:rPr>
                <w:noProof/>
                <w:webHidden/>
              </w:rPr>
              <w:fldChar w:fldCharType="separate"/>
            </w:r>
            <w:r w:rsidR="00B76EFA">
              <w:rPr>
                <w:noProof/>
                <w:webHidden/>
              </w:rPr>
              <w:t>501</w:t>
            </w:r>
            <w:r w:rsidR="009F2266">
              <w:rPr>
                <w:noProof/>
                <w:webHidden/>
              </w:rPr>
              <w:fldChar w:fldCharType="end"/>
            </w:r>
          </w:hyperlink>
        </w:p>
        <w:p w14:paraId="4614BD26" w14:textId="40BCC872" w:rsidR="009F2266" w:rsidRDefault="00E01E9B" w:rsidP="00A66CCA">
          <w:pPr>
            <w:pStyle w:val="TOC3"/>
            <w:ind w:left="0" w:firstLine="3"/>
            <w:rPr>
              <w:rFonts w:asciiTheme="minorHAnsi" w:eastAsiaTheme="minorEastAsia" w:hAnsiTheme="minorHAnsi" w:cstheme="minorBidi"/>
              <w:noProof/>
              <w:sz w:val="22"/>
              <w:szCs w:val="22"/>
              <w:lang w:eastAsia="en-GB"/>
            </w:rPr>
          </w:pPr>
          <w:hyperlink w:anchor="_Toc102086377" w:history="1">
            <w:r w:rsidR="009F2266" w:rsidRPr="00182051">
              <w:rPr>
                <w:rStyle w:val="Hyperlink"/>
                <w:noProof/>
              </w:rPr>
              <w:t>BAR</w:t>
            </w:r>
            <w:r w:rsidR="009F2266">
              <w:rPr>
                <w:noProof/>
                <w:webHidden/>
              </w:rPr>
              <w:tab/>
            </w:r>
            <w:r w:rsidR="009F2266">
              <w:rPr>
                <w:noProof/>
                <w:webHidden/>
              </w:rPr>
              <w:fldChar w:fldCharType="begin"/>
            </w:r>
            <w:r w:rsidR="009F2266">
              <w:rPr>
                <w:noProof/>
                <w:webHidden/>
              </w:rPr>
              <w:instrText xml:space="preserve"> PAGEREF _Toc102086377 \h </w:instrText>
            </w:r>
            <w:r w:rsidR="009F2266">
              <w:rPr>
                <w:noProof/>
                <w:webHidden/>
              </w:rPr>
            </w:r>
            <w:r w:rsidR="009F2266">
              <w:rPr>
                <w:noProof/>
                <w:webHidden/>
              </w:rPr>
              <w:fldChar w:fldCharType="separate"/>
            </w:r>
            <w:r w:rsidR="00B76EFA">
              <w:rPr>
                <w:noProof/>
                <w:webHidden/>
              </w:rPr>
              <w:t>508</w:t>
            </w:r>
            <w:r w:rsidR="009F2266">
              <w:rPr>
                <w:noProof/>
                <w:webHidden/>
              </w:rPr>
              <w:fldChar w:fldCharType="end"/>
            </w:r>
          </w:hyperlink>
        </w:p>
        <w:p w14:paraId="28E171E1" w14:textId="701CB699" w:rsidR="006A09DC" w:rsidRDefault="006A09DC" w:rsidP="00A66CCA">
          <w:pPr>
            <w:ind w:firstLine="3"/>
            <w:rPr>
              <w:noProof/>
            </w:rPr>
          </w:pPr>
          <w:r>
            <w:rPr>
              <w:b/>
              <w:bCs/>
              <w:noProof/>
            </w:rPr>
            <w:fldChar w:fldCharType="end"/>
          </w:r>
        </w:p>
      </w:sdtContent>
    </w:sdt>
    <w:bookmarkEnd w:id="4"/>
    <w:p w14:paraId="6BDA93B6" w14:textId="77777777" w:rsidR="006A09DC" w:rsidRDefault="006A09DC" w:rsidP="006A09DC">
      <w:pPr>
        <w:pStyle w:val="amprBodyText"/>
        <w:rPr>
          <w:noProof/>
        </w:rPr>
        <w:sectPr w:rsidR="006A09DC" w:rsidSect="00E52B72">
          <w:headerReference w:type="even" r:id="rId81"/>
          <w:headerReference w:type="default" r:id="rId82"/>
          <w:footerReference w:type="even" r:id="rId83"/>
          <w:footerReference w:type="default" r:id="rId84"/>
          <w:headerReference w:type="first" r:id="rId85"/>
          <w:footerReference w:type="first" r:id="rId86"/>
          <w:pgSz w:w="11906" w:h="16838"/>
          <w:pgMar w:top="1020" w:right="1701" w:bottom="1020" w:left="1587" w:header="601" w:footer="1077" w:gutter="0"/>
          <w:cols w:space="720"/>
          <w:titlePg/>
          <w:docGrid w:linePitch="326"/>
        </w:sectPr>
      </w:pPr>
    </w:p>
    <w:p w14:paraId="47C30938" w14:textId="77777777" w:rsidR="00C016C5" w:rsidRPr="005D691E" w:rsidRDefault="00C016C5" w:rsidP="00C016C5">
      <w:pPr>
        <w:pStyle w:val="StyleppoHeading3WhiteLeft0cm"/>
        <w:rPr>
          <w:noProof/>
          <w:sz w:val="40"/>
          <w:szCs w:val="40"/>
        </w:rPr>
      </w:pPr>
      <w:bookmarkStart w:id="10" w:name="_Toc39583701"/>
      <w:bookmarkStart w:id="11" w:name="_Toc69861355"/>
      <w:bookmarkStart w:id="12" w:name="_Toc94522841"/>
      <w:bookmarkEnd w:id="10"/>
      <w:bookmarkEnd w:id="11"/>
      <w:bookmarkEnd w:id="12"/>
    </w:p>
    <w:p w14:paraId="20457BEB" w14:textId="77777777" w:rsidR="00C016C5" w:rsidRPr="00885241" w:rsidRDefault="00C016C5" w:rsidP="00C016C5">
      <w:pPr>
        <w:pStyle w:val="StyleppoHeading3WhiteLeft0cm"/>
        <w:rPr>
          <w:noProof/>
          <w:sz w:val="60"/>
          <w:szCs w:val="60"/>
        </w:rPr>
      </w:pPr>
      <w:bookmarkStart w:id="13" w:name="_Toc102086330"/>
      <w:r w:rsidRPr="00885241">
        <w:rPr>
          <w:noProof/>
          <w:sz w:val="60"/>
          <w:szCs w:val="60"/>
        </w:rPr>
        <w:t>HORIZON EUROPE</w:t>
      </w:r>
      <w:bookmarkEnd w:id="13"/>
    </w:p>
    <w:p w14:paraId="24AFA04B" w14:textId="77777777" w:rsidR="00C016C5" w:rsidRPr="00885241" w:rsidRDefault="00C016C5" w:rsidP="00C016C5">
      <w:pPr>
        <w:pStyle w:val="StyleppoProgrammenameWhiteLeft01cm"/>
        <w:rPr>
          <w:noProof/>
        </w:rPr>
      </w:pPr>
      <w:r w:rsidRPr="00885241">
        <w:rPr>
          <w:noProof/>
        </w:rPr>
        <w:t>PROGRAMME FOR RESEARCH AND INNOVATION</w:t>
      </w:r>
    </w:p>
    <w:p w14:paraId="00A52063" w14:textId="77777777" w:rsidR="00C016C5" w:rsidRPr="00885241" w:rsidRDefault="00C016C5" w:rsidP="00C016C5">
      <w:pPr>
        <w:pStyle w:val="ppoHeading4Orange"/>
        <w:rPr>
          <w:noProof/>
        </w:rPr>
      </w:pPr>
      <w:r w:rsidRPr="00885241">
        <w:rPr>
          <w:noProof/>
        </w:rPr>
        <w:t>Programme in a nutshell</w:t>
      </w:r>
    </w:p>
    <w:p w14:paraId="534AB647" w14:textId="77777777" w:rsidR="00C016C5" w:rsidRPr="00885241" w:rsidRDefault="00C016C5" w:rsidP="00C016C5">
      <w:pPr>
        <w:pStyle w:val="ppoHeading5"/>
        <w:rPr>
          <w:noProof/>
        </w:rPr>
      </w:pPr>
      <w:r w:rsidRPr="00885241">
        <w:rPr>
          <w:noProof/>
        </w:rPr>
        <w:t>Concrete examples of achievements</w:t>
      </w:r>
      <w:r w:rsidRPr="00885241">
        <w:rPr>
          <w:rFonts w:ascii="Calibri" w:hAnsi="Calibri" w:cs="Calibri"/>
          <w:noProof/>
        </w:rPr>
        <w:t> </w:t>
      </w:r>
      <w:r w:rsidRPr="00885241">
        <w:rPr>
          <w:noProof/>
        </w:rPr>
        <w:t>(*)</w:t>
      </w:r>
    </w:p>
    <w:tbl>
      <w:tblPr>
        <w:tblStyle w:val="PPO2021"/>
        <w:tblW w:w="9639" w:type="dxa"/>
        <w:tblInd w:w="0" w:type="dxa"/>
        <w:tblLook w:val="0200" w:firstRow="0" w:lastRow="0" w:firstColumn="0" w:lastColumn="0" w:noHBand="1" w:noVBand="0"/>
      </w:tblPr>
      <w:tblGrid>
        <w:gridCol w:w="2410"/>
        <w:gridCol w:w="2409"/>
        <w:gridCol w:w="2410"/>
        <w:gridCol w:w="2410"/>
      </w:tblGrid>
      <w:tr w:rsidR="00C016C5" w:rsidRPr="00885241" w14:paraId="3A65AF93" w14:textId="77777777" w:rsidTr="00E94931">
        <w:tc>
          <w:tcPr>
            <w:tcW w:w="2410" w:type="dxa"/>
            <w:tcBorders>
              <w:bottom w:val="single" w:sz="4" w:space="0" w:color="8C8C8C"/>
            </w:tcBorders>
          </w:tcPr>
          <w:p w14:paraId="743F9D0E" w14:textId="77777777" w:rsidR="00C016C5" w:rsidRPr="00885241" w:rsidRDefault="00C016C5" w:rsidP="00DD2984">
            <w:pPr>
              <w:pStyle w:val="ppoTableacheivementvalue"/>
              <w:rPr>
                <w:noProof/>
              </w:rPr>
            </w:pPr>
            <w:r w:rsidRPr="00885241">
              <w:rPr>
                <w:noProof/>
              </w:rPr>
              <w:t>58</w:t>
            </w:r>
            <w:r w:rsidRPr="00885241">
              <w:rPr>
                <w:rFonts w:ascii="Calibri" w:hAnsi="Calibri" w:cs="Calibri"/>
                <w:noProof/>
              </w:rPr>
              <w:t> </w:t>
            </w:r>
            <w:r w:rsidRPr="00885241">
              <w:rPr>
                <w:noProof/>
              </w:rPr>
              <w:t>328</w:t>
            </w:r>
          </w:p>
          <w:p w14:paraId="47790511" w14:textId="77777777" w:rsidR="00C016C5" w:rsidRPr="00885241" w:rsidRDefault="00C016C5" w:rsidP="00DD2984">
            <w:pPr>
              <w:jc w:val="left"/>
              <w:rPr>
                <w:noProof/>
              </w:rPr>
            </w:pPr>
            <w:r w:rsidRPr="00885241">
              <w:rPr>
                <w:noProof/>
              </w:rPr>
              <w:t>papers were published in high-impact, peer-reviewed journals between 2014 and 2021.</w:t>
            </w:r>
          </w:p>
        </w:tc>
        <w:tc>
          <w:tcPr>
            <w:cnfStyle w:val="000001000000" w:firstRow="0" w:lastRow="0" w:firstColumn="0" w:lastColumn="0" w:oddVBand="0" w:evenVBand="1" w:oddHBand="0" w:evenHBand="0" w:firstRowFirstColumn="0" w:firstRowLastColumn="0" w:lastRowFirstColumn="0" w:lastRowLastColumn="0"/>
            <w:tcW w:w="2409" w:type="dxa"/>
          </w:tcPr>
          <w:p w14:paraId="08C43512" w14:textId="77777777" w:rsidR="00C016C5" w:rsidRPr="00885241" w:rsidRDefault="00C016C5" w:rsidP="00DD2984">
            <w:pPr>
              <w:pStyle w:val="ppoTableacheivementvalue"/>
              <w:rPr>
                <w:noProof/>
              </w:rPr>
            </w:pPr>
            <w:r w:rsidRPr="00885241">
              <w:rPr>
                <w:noProof/>
              </w:rPr>
              <w:t>31</w:t>
            </w:r>
            <w:r w:rsidRPr="00885241">
              <w:rPr>
                <w:rFonts w:ascii="Calibri" w:hAnsi="Calibri" w:cs="Calibri"/>
                <w:noProof/>
              </w:rPr>
              <w:t> </w:t>
            </w:r>
            <w:r w:rsidRPr="00885241">
              <w:rPr>
                <w:noProof/>
              </w:rPr>
              <w:t>339</w:t>
            </w:r>
          </w:p>
          <w:p w14:paraId="6A34A97C" w14:textId="77777777" w:rsidR="00C016C5" w:rsidRPr="00885241" w:rsidRDefault="00C016C5" w:rsidP="00DD2984">
            <w:pPr>
              <w:jc w:val="left"/>
              <w:rPr>
                <w:noProof/>
              </w:rPr>
            </w:pPr>
            <w:r w:rsidRPr="00885241">
              <w:rPr>
                <w:noProof/>
              </w:rPr>
              <w:t>joint public–private papers were published in peer-reviewed journals between 2014 and 2021.</w:t>
            </w:r>
          </w:p>
        </w:tc>
        <w:tc>
          <w:tcPr>
            <w:tcW w:w="2410" w:type="dxa"/>
            <w:tcBorders>
              <w:bottom w:val="single" w:sz="4" w:space="0" w:color="8C8C8C"/>
            </w:tcBorders>
          </w:tcPr>
          <w:p w14:paraId="0156F1DD" w14:textId="77777777" w:rsidR="00C016C5" w:rsidRPr="00885241" w:rsidRDefault="00C016C5" w:rsidP="00DD2984">
            <w:pPr>
              <w:pStyle w:val="ppoTableacheivementvalue"/>
              <w:cnfStyle w:val="000000000000" w:firstRow="0" w:lastRow="0" w:firstColumn="0" w:lastColumn="0" w:oddVBand="0" w:evenVBand="0" w:oddHBand="0" w:evenHBand="0" w:firstRowFirstColumn="0" w:firstRowLastColumn="0" w:lastRowFirstColumn="0" w:lastRowLastColumn="0"/>
              <w:rPr>
                <w:noProof/>
              </w:rPr>
            </w:pPr>
            <w:r w:rsidRPr="00885241">
              <w:rPr>
                <w:noProof/>
              </w:rPr>
              <w:t>3</w:t>
            </w:r>
            <w:r w:rsidRPr="00885241">
              <w:rPr>
                <w:rFonts w:ascii="Calibri" w:hAnsi="Calibri" w:cs="Calibri"/>
                <w:noProof/>
              </w:rPr>
              <w:t> </w:t>
            </w:r>
            <w:r w:rsidRPr="00885241">
              <w:rPr>
                <w:noProof/>
              </w:rPr>
              <w:t>089</w:t>
            </w:r>
          </w:p>
          <w:p w14:paraId="7F894967" w14:textId="77777777" w:rsidR="00C016C5" w:rsidRPr="00885241" w:rsidRDefault="00C016C5" w:rsidP="00DD2984">
            <w:pPr>
              <w:jc w:val="left"/>
              <w:cnfStyle w:val="000000000000" w:firstRow="0" w:lastRow="0" w:firstColumn="0" w:lastColumn="0" w:oddVBand="0" w:evenVBand="0" w:oddHBand="0" w:evenHBand="0" w:firstRowFirstColumn="0" w:firstRowLastColumn="0" w:lastRowFirstColumn="0" w:lastRowLastColumn="0"/>
              <w:rPr>
                <w:noProof/>
              </w:rPr>
            </w:pPr>
            <w:r w:rsidRPr="00885241">
              <w:rPr>
                <w:noProof/>
              </w:rPr>
              <w:t>patent applications were made between 2014 and 2021.</w:t>
            </w:r>
          </w:p>
        </w:tc>
        <w:tc>
          <w:tcPr>
            <w:cnfStyle w:val="000001000000" w:firstRow="0" w:lastRow="0" w:firstColumn="0" w:lastColumn="0" w:oddVBand="0" w:evenVBand="1" w:oddHBand="0" w:evenHBand="0" w:firstRowFirstColumn="0" w:firstRowLastColumn="0" w:lastRowFirstColumn="0" w:lastRowLastColumn="0"/>
            <w:tcW w:w="2410" w:type="dxa"/>
          </w:tcPr>
          <w:p w14:paraId="50D1F55F" w14:textId="77777777" w:rsidR="00C016C5" w:rsidRPr="00885241" w:rsidRDefault="00C016C5" w:rsidP="00DD2984">
            <w:pPr>
              <w:pStyle w:val="ppoTableacheivementvalue"/>
              <w:rPr>
                <w:noProof/>
              </w:rPr>
            </w:pPr>
            <w:bookmarkStart w:id="14" w:name="_Hlk101279255"/>
            <w:r w:rsidRPr="00885241">
              <w:rPr>
                <w:noProof/>
              </w:rPr>
              <w:t>69</w:t>
            </w:r>
            <w:r w:rsidRPr="00885241">
              <w:rPr>
                <w:rFonts w:ascii="Calibri" w:hAnsi="Calibri" w:cs="Calibri"/>
                <w:noProof/>
              </w:rPr>
              <w:t> </w:t>
            </w:r>
            <w:r w:rsidRPr="00885241">
              <w:rPr>
                <w:noProof/>
              </w:rPr>
              <w:t>000</w:t>
            </w:r>
          </w:p>
          <w:p w14:paraId="21BF13C2" w14:textId="77777777" w:rsidR="00C016C5" w:rsidRPr="00885241" w:rsidRDefault="00C016C5" w:rsidP="00DD2984">
            <w:pPr>
              <w:jc w:val="left"/>
              <w:rPr>
                <w:noProof/>
              </w:rPr>
            </w:pPr>
            <w:r w:rsidRPr="00885241">
              <w:rPr>
                <w:noProof/>
              </w:rPr>
              <w:t xml:space="preserve">researchers, including </w:t>
            </w:r>
            <w:r w:rsidRPr="00A21051">
              <w:rPr>
                <w:rFonts w:eastAsiaTheme="minorEastAsia"/>
                <w:noProof/>
                <w:lang w:val="en-IE"/>
              </w:rPr>
              <w:t>PhDs</w:t>
            </w:r>
            <w:bookmarkEnd w:id="14"/>
            <w:r w:rsidRPr="00885241">
              <w:rPr>
                <w:noProof/>
              </w:rPr>
              <w:t>, moved either internationally or between sectors in the 2014-2021 period.</w:t>
            </w:r>
          </w:p>
        </w:tc>
      </w:tr>
      <w:tr w:rsidR="00C016C5" w:rsidRPr="00885241" w14:paraId="7371E32F" w14:textId="77777777" w:rsidTr="00E94931">
        <w:tc>
          <w:tcPr>
            <w:tcW w:w="2410" w:type="dxa"/>
            <w:tcBorders>
              <w:bottom w:val="single" w:sz="4" w:space="0" w:color="8C8C8C"/>
            </w:tcBorders>
          </w:tcPr>
          <w:p w14:paraId="6A0D79C9" w14:textId="77777777" w:rsidR="00C016C5" w:rsidRPr="00885241" w:rsidRDefault="00C016C5" w:rsidP="00DD2984">
            <w:pPr>
              <w:pStyle w:val="ppoTableacheivementvalue"/>
              <w:rPr>
                <w:noProof/>
              </w:rPr>
            </w:pPr>
            <w:r w:rsidRPr="00885241">
              <w:rPr>
                <w:noProof/>
              </w:rPr>
              <w:t>186</w:t>
            </w:r>
            <w:r w:rsidRPr="00885241">
              <w:rPr>
                <w:rFonts w:ascii="Calibri" w:hAnsi="Calibri" w:cs="Calibri"/>
                <w:noProof/>
              </w:rPr>
              <w:t> </w:t>
            </w:r>
            <w:r w:rsidRPr="00885241">
              <w:rPr>
                <w:noProof/>
              </w:rPr>
              <w:t>510</w:t>
            </w:r>
          </w:p>
          <w:p w14:paraId="2205F6A1" w14:textId="77777777" w:rsidR="00C016C5" w:rsidRPr="00885241" w:rsidRDefault="00C016C5" w:rsidP="00DD2984">
            <w:pPr>
              <w:jc w:val="left"/>
              <w:rPr>
                <w:noProof/>
              </w:rPr>
            </w:pPr>
            <w:r w:rsidRPr="00885241">
              <w:rPr>
                <w:noProof/>
              </w:rPr>
              <w:t>innovations were produced between 2014 and 2021.</w:t>
            </w:r>
          </w:p>
        </w:tc>
        <w:tc>
          <w:tcPr>
            <w:cnfStyle w:val="000001000000" w:firstRow="0" w:lastRow="0" w:firstColumn="0" w:lastColumn="0" w:oddVBand="0" w:evenVBand="1" w:oddHBand="0" w:evenHBand="0" w:firstRowFirstColumn="0" w:firstRowLastColumn="0" w:lastRowFirstColumn="0" w:lastRowLastColumn="0"/>
            <w:tcW w:w="2409" w:type="dxa"/>
            <w:shd w:val="clear" w:color="auto" w:fill="F2F2F2"/>
          </w:tcPr>
          <w:p w14:paraId="59D33376" w14:textId="77777777" w:rsidR="00C016C5" w:rsidRPr="00885241" w:rsidRDefault="00C016C5" w:rsidP="00DD2984">
            <w:pPr>
              <w:pStyle w:val="ppoTableacheivementvalue"/>
              <w:rPr>
                <w:noProof/>
              </w:rPr>
            </w:pPr>
            <w:r w:rsidRPr="00885241">
              <w:rPr>
                <w:noProof/>
              </w:rPr>
              <w:t>3 800</w:t>
            </w:r>
          </w:p>
          <w:p w14:paraId="166A1FD2" w14:textId="77777777" w:rsidR="00C016C5" w:rsidRPr="00885241" w:rsidRDefault="00C016C5" w:rsidP="00DD2984">
            <w:pPr>
              <w:jc w:val="left"/>
              <w:rPr>
                <w:noProof/>
              </w:rPr>
            </w:pPr>
            <w:bookmarkStart w:id="15" w:name="_Hlk101267133"/>
            <w:r w:rsidRPr="00885241">
              <w:rPr>
                <w:noProof/>
              </w:rPr>
              <w:t xml:space="preserve">start-ups and scale-ups were supported </w:t>
            </w:r>
            <w:r>
              <w:rPr>
                <w:noProof/>
              </w:rPr>
              <w:t>by</w:t>
            </w:r>
            <w:r w:rsidRPr="00885241">
              <w:rPr>
                <w:noProof/>
              </w:rPr>
              <w:t xml:space="preserve"> </w:t>
            </w:r>
            <w:bookmarkEnd w:id="15"/>
            <w:r>
              <w:rPr>
                <w:noProof/>
              </w:rPr>
              <w:t xml:space="preserve">the </w:t>
            </w:r>
            <w:r w:rsidRPr="00D33920">
              <w:rPr>
                <w:noProof/>
              </w:rPr>
              <w:t>European Institute of Innovation and Technology</w:t>
            </w:r>
            <w:r w:rsidRPr="00885241">
              <w:rPr>
                <w:noProof/>
              </w:rPr>
              <w:t xml:space="preserve"> between 2014 and 2021.</w:t>
            </w:r>
          </w:p>
        </w:tc>
        <w:tc>
          <w:tcPr>
            <w:tcW w:w="2410" w:type="dxa"/>
            <w:tcBorders>
              <w:bottom w:val="single" w:sz="4" w:space="0" w:color="8C8C8C"/>
            </w:tcBorders>
            <w:shd w:val="clear" w:color="auto" w:fill="FFFFFF" w:themeFill="background1"/>
          </w:tcPr>
          <w:p w14:paraId="005368A0" w14:textId="77777777" w:rsidR="00C016C5" w:rsidRPr="00885241" w:rsidRDefault="00C016C5" w:rsidP="00DD2984">
            <w:pPr>
              <w:pStyle w:val="ppoTableacheivementvalue"/>
              <w:cnfStyle w:val="000000000000" w:firstRow="0" w:lastRow="0" w:firstColumn="0" w:lastColumn="0" w:oddVBand="0" w:evenVBand="0" w:oddHBand="0" w:evenHBand="0" w:firstRowFirstColumn="0" w:firstRowLastColumn="0" w:lastRowFirstColumn="0" w:lastRowLastColumn="0"/>
              <w:rPr>
                <w:noProof/>
              </w:rPr>
            </w:pPr>
            <w:r w:rsidRPr="00885241">
              <w:rPr>
                <w:noProof/>
              </w:rPr>
              <w:t>9</w:t>
            </w:r>
          </w:p>
          <w:p w14:paraId="1AE1717B" w14:textId="77777777" w:rsidR="00C016C5" w:rsidRPr="00885241" w:rsidRDefault="00C016C5" w:rsidP="00DD2984">
            <w:pPr>
              <w:jc w:val="left"/>
              <w:cnfStyle w:val="000000000000" w:firstRow="0" w:lastRow="0" w:firstColumn="0" w:lastColumn="0" w:oddVBand="0" w:evenVBand="0" w:oddHBand="0" w:evenHBand="0" w:firstRowFirstColumn="0" w:firstRowLastColumn="0" w:lastRowFirstColumn="0" w:lastRowLastColumn="0"/>
              <w:rPr>
                <w:noProof/>
              </w:rPr>
            </w:pPr>
            <w:r w:rsidRPr="00885241">
              <w:rPr>
                <w:noProof/>
              </w:rPr>
              <w:t>Nobel Prize winners were supported through European Research Council grants or Marie Skłodowska-Curie actions between 2010 and 2021.</w:t>
            </w:r>
          </w:p>
        </w:tc>
        <w:tc>
          <w:tcPr>
            <w:cnfStyle w:val="000001000000" w:firstRow="0" w:lastRow="0" w:firstColumn="0" w:lastColumn="0" w:oddVBand="0" w:evenVBand="1" w:oddHBand="0" w:evenHBand="0" w:firstRowFirstColumn="0" w:firstRowLastColumn="0" w:lastRowFirstColumn="0" w:lastRowLastColumn="0"/>
            <w:tcW w:w="2410" w:type="dxa"/>
            <w:tcBorders>
              <w:bottom w:val="nil"/>
            </w:tcBorders>
            <w:shd w:val="clear" w:color="auto" w:fill="FFFFFF" w:themeFill="background1"/>
          </w:tcPr>
          <w:p w14:paraId="55CB4DBB" w14:textId="77777777" w:rsidR="00C016C5" w:rsidRPr="00885241" w:rsidRDefault="00C016C5" w:rsidP="00DD2984">
            <w:pPr>
              <w:jc w:val="left"/>
              <w:rPr>
                <w:noProof/>
              </w:rPr>
            </w:pPr>
          </w:p>
        </w:tc>
      </w:tr>
    </w:tbl>
    <w:p w14:paraId="7325839F" w14:textId="77777777" w:rsidR="00C016C5" w:rsidRPr="00885241" w:rsidRDefault="00C016C5" w:rsidP="00C016C5">
      <w:pPr>
        <w:pStyle w:val="FootnoteText"/>
        <w:rPr>
          <w:rFonts w:eastAsiaTheme="minorEastAsia"/>
          <w:noProof/>
        </w:rPr>
      </w:pPr>
      <w:r w:rsidRPr="00885241">
        <w:rPr>
          <w:rFonts w:eastAsiaTheme="minorEastAsia"/>
          <w:noProof/>
        </w:rPr>
        <w:t>(*)</w:t>
      </w:r>
      <w:r w:rsidRPr="00885241">
        <w:rPr>
          <w:rFonts w:eastAsiaTheme="minorEastAsia"/>
          <w:noProof/>
        </w:rPr>
        <w:tab/>
        <w:t>Key achievements in the table state which period they relate to. Many come from the implementation of the predecessor programmes under the 2014-2020 multiannual financial framework. This is expected and due to the multiannual life cycle of EU programmes and the projects they finance, where results often follow only after completion of the programmes.</w:t>
      </w:r>
    </w:p>
    <w:p w14:paraId="2549D635" w14:textId="77777777" w:rsidR="00305969" w:rsidRDefault="00305969" w:rsidP="00C016C5">
      <w:pPr>
        <w:pStyle w:val="ppoHeading5"/>
        <w:rPr>
          <w:noProof/>
        </w:rPr>
      </w:pPr>
    </w:p>
    <w:p w14:paraId="01376D37" w14:textId="559A8E16" w:rsidR="00C016C5" w:rsidRPr="00885241" w:rsidRDefault="00C016C5" w:rsidP="00C016C5">
      <w:pPr>
        <w:pStyle w:val="ppoHeading5"/>
        <w:rPr>
          <w:noProof/>
        </w:rPr>
      </w:pPr>
      <w:r w:rsidRPr="00885241">
        <w:rPr>
          <w:noProof/>
        </w:rPr>
        <w:t>Budget for 2021-2027</w:t>
      </w:r>
    </w:p>
    <w:p w14:paraId="46659399" w14:textId="77777777" w:rsidR="00C016C5" w:rsidRPr="00885241" w:rsidRDefault="00C016C5" w:rsidP="00C016C5">
      <w:pPr>
        <w:pStyle w:val="ppoTableTabletitle"/>
        <w:ind w:left="284"/>
        <w:rPr>
          <w:noProof/>
        </w:rPr>
      </w:pPr>
      <w:r w:rsidRPr="00885241">
        <w:rPr>
          <w:noProof/>
        </w:rPr>
        <w:t>(million EUR)</w:t>
      </w:r>
    </w:p>
    <w:tbl>
      <w:tblPr>
        <w:tblStyle w:val="PlainTable2"/>
        <w:tblW w:w="0" w:type="auto"/>
        <w:tblInd w:w="288" w:type="dxa"/>
        <w:tblLook w:val="04A0" w:firstRow="1" w:lastRow="0" w:firstColumn="1" w:lastColumn="0" w:noHBand="0" w:noVBand="1"/>
      </w:tblPr>
      <w:tblGrid>
        <w:gridCol w:w="4788"/>
        <w:gridCol w:w="2610"/>
      </w:tblGrid>
      <w:tr w:rsidR="00D71B83" w:rsidRPr="00885241" w14:paraId="05CB5783" w14:textId="77777777" w:rsidTr="00813D25">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41DC2C66" w14:textId="77777777" w:rsidR="00D71B83" w:rsidRPr="00885241" w:rsidRDefault="00D71B83" w:rsidP="00D71B83">
            <w:pPr>
              <w:spacing w:before="120" w:after="120"/>
              <w:rPr>
                <w:noProof/>
              </w:rPr>
            </w:pPr>
            <w:r w:rsidRPr="00885241">
              <w:rPr>
                <w:rFonts w:cs="Calibri"/>
                <w:noProof/>
                <w:color w:val="000000"/>
              </w:rPr>
              <w:t>Financial programming</w:t>
            </w:r>
          </w:p>
        </w:tc>
        <w:tc>
          <w:tcPr>
            <w:tcW w:w="2610" w:type="dxa"/>
            <w:shd w:val="clear" w:color="auto" w:fill="auto"/>
            <w:vAlign w:val="bottom"/>
          </w:tcPr>
          <w:p w14:paraId="0B002599" w14:textId="77777777" w:rsidR="0017533F" w:rsidRDefault="0017533F" w:rsidP="0017533F">
            <w:pPr>
              <w:spacing w:after="0"/>
              <w:jc w:val="right"/>
              <w:cnfStyle w:val="100000000000" w:firstRow="1"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86 698.0</w:t>
            </w:r>
          </w:p>
          <w:p w14:paraId="38D95CD6" w14:textId="29F5B2C9" w:rsidR="00D71B83" w:rsidRPr="00885241" w:rsidRDefault="00D71B83" w:rsidP="008C44D2">
            <w:pPr>
              <w:jc w:val="right"/>
              <w:cnfStyle w:val="100000000000" w:firstRow="1" w:lastRow="0" w:firstColumn="0" w:lastColumn="0" w:oddVBand="0" w:evenVBand="0" w:oddHBand="0" w:evenHBand="0" w:firstRowFirstColumn="0" w:firstRowLastColumn="0" w:lastRowFirstColumn="0" w:lastRowLastColumn="0"/>
              <w:rPr>
                <w:b w:val="0"/>
                <w:noProof/>
              </w:rPr>
            </w:pPr>
          </w:p>
        </w:tc>
      </w:tr>
      <w:tr w:rsidR="00D71B83" w:rsidRPr="00885241" w14:paraId="5A12EAF9" w14:textId="77777777" w:rsidTr="00813D2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64E8E0EE" w14:textId="3BA287DD" w:rsidR="00D71B83" w:rsidRPr="00885241" w:rsidRDefault="008C44D2" w:rsidP="00D71B83">
            <w:pPr>
              <w:spacing w:before="120" w:after="120"/>
              <w:rPr>
                <w:b w:val="0"/>
                <w:noProof/>
              </w:rPr>
            </w:pPr>
            <w:r>
              <w:rPr>
                <w:rFonts w:cs="Calibri"/>
                <w:noProof/>
                <w:color w:val="000000"/>
              </w:rPr>
              <w:t>N</w:t>
            </w:r>
            <w:r w:rsidR="00D71B83" w:rsidRPr="00885241">
              <w:rPr>
                <w:rFonts w:cs="Calibri"/>
                <w:noProof/>
                <w:color w:val="000000"/>
              </w:rPr>
              <w:t>extGenerationEU</w:t>
            </w:r>
          </w:p>
        </w:tc>
        <w:tc>
          <w:tcPr>
            <w:tcW w:w="2610" w:type="dxa"/>
            <w:vAlign w:val="bottom"/>
          </w:tcPr>
          <w:p w14:paraId="7815094E" w14:textId="202FCEBB" w:rsidR="00D71B83" w:rsidRPr="00885241" w:rsidRDefault="008C44D2" w:rsidP="008C44D2">
            <w:pPr>
              <w:jc w:val="right"/>
              <w:cnfStyle w:val="000000100000" w:firstRow="0" w:lastRow="0" w:firstColumn="0" w:lastColumn="0" w:oddVBand="0" w:evenVBand="0" w:oddHBand="1" w:evenHBand="0" w:firstRowFirstColumn="0" w:firstRowLastColumn="0" w:lastRowFirstColumn="0" w:lastRowLastColumn="0"/>
              <w:rPr>
                <w:noProof/>
              </w:rPr>
            </w:pPr>
            <w:r>
              <w:rPr>
                <w:rFonts w:ascii="Calibri" w:hAnsi="Calibri"/>
                <w:noProof/>
                <w:color w:val="000000"/>
              </w:rPr>
              <w:t>5 412.0</w:t>
            </w:r>
          </w:p>
        </w:tc>
      </w:tr>
      <w:tr w:rsidR="00C016C5" w:rsidRPr="00885241" w14:paraId="4CA27E7C" w14:textId="77777777" w:rsidTr="00813D25">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22CD3331" w14:textId="77777777" w:rsidR="00C016C5" w:rsidRPr="00885241" w:rsidRDefault="00C016C5" w:rsidP="00813D25">
            <w:pPr>
              <w:spacing w:before="120" w:after="120"/>
              <w:rPr>
                <w:b w:val="0"/>
                <w:noProof/>
              </w:rPr>
            </w:pPr>
            <w:r w:rsidRPr="00885241">
              <w:rPr>
                <w:noProof/>
              </w:rPr>
              <w:t>Decommitments made available again</w:t>
            </w:r>
            <w:r w:rsidRPr="00885241">
              <w:rPr>
                <w:rFonts w:cs="Calibri"/>
                <w:noProof/>
                <w:color w:val="000000"/>
              </w:rPr>
              <w:t xml:space="preserve"> (*)</w:t>
            </w:r>
          </w:p>
        </w:tc>
        <w:tc>
          <w:tcPr>
            <w:tcW w:w="2610" w:type="dxa"/>
            <w:vAlign w:val="bottom"/>
          </w:tcPr>
          <w:p w14:paraId="3531A562" w14:textId="77777777" w:rsidR="00C016C5" w:rsidRPr="00885241" w:rsidRDefault="00C016C5" w:rsidP="00813D25">
            <w:pPr>
              <w:spacing w:before="120" w:after="120"/>
              <w:jc w:val="right"/>
              <w:cnfStyle w:val="000000000000" w:firstRow="0" w:lastRow="0" w:firstColumn="0" w:lastColumn="0" w:oddVBand="0" w:evenVBand="0" w:oddHBand="0" w:evenHBand="0" w:firstRowFirstColumn="0" w:firstRowLastColumn="0" w:lastRowFirstColumn="0" w:lastRowLastColumn="0"/>
              <w:rPr>
                <w:noProof/>
              </w:rPr>
            </w:pPr>
            <w:r>
              <w:rPr>
                <w:rFonts w:cs="Calibri"/>
                <w:noProof/>
                <w:color w:val="000000"/>
              </w:rPr>
              <w:t>2</w:t>
            </w:r>
            <w:r w:rsidRPr="00885241">
              <w:rPr>
                <w:rFonts w:cs="Calibri"/>
                <w:noProof/>
                <w:color w:val="000000"/>
              </w:rPr>
              <w:t>0.0</w:t>
            </w:r>
          </w:p>
        </w:tc>
      </w:tr>
      <w:tr w:rsidR="00C016C5" w:rsidRPr="00885241" w14:paraId="2E3DD2C2" w14:textId="77777777" w:rsidTr="00813D2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10DB4BBE" w14:textId="77777777" w:rsidR="00C016C5" w:rsidRPr="00885241" w:rsidRDefault="00C016C5" w:rsidP="00813D25">
            <w:pPr>
              <w:spacing w:before="120" w:after="120"/>
              <w:rPr>
                <w:noProof/>
              </w:rPr>
            </w:pPr>
            <w:r w:rsidRPr="00885241">
              <w:rPr>
                <w:rFonts w:cs="Calibri"/>
                <w:noProof/>
                <w:color w:val="000000"/>
              </w:rPr>
              <w:t>Contributions from other countries and entities</w:t>
            </w:r>
          </w:p>
        </w:tc>
        <w:tc>
          <w:tcPr>
            <w:tcW w:w="2610" w:type="dxa"/>
            <w:vAlign w:val="bottom"/>
          </w:tcPr>
          <w:p w14:paraId="47F572B1" w14:textId="77777777" w:rsidR="00C016C5" w:rsidRPr="00885241" w:rsidRDefault="00C016C5" w:rsidP="00813D25">
            <w:pPr>
              <w:spacing w:before="120" w:after="120"/>
              <w:jc w:val="right"/>
              <w:cnfStyle w:val="000000100000" w:firstRow="0" w:lastRow="0" w:firstColumn="0" w:lastColumn="0" w:oddVBand="0" w:evenVBand="0" w:oddHBand="1" w:evenHBand="0" w:firstRowFirstColumn="0" w:firstRowLastColumn="0" w:lastRowFirstColumn="0" w:lastRowLastColumn="0"/>
              <w:rPr>
                <w:noProof/>
              </w:rPr>
            </w:pPr>
            <w:r w:rsidRPr="00885241">
              <w:rPr>
                <w:rFonts w:cs="Calibri"/>
                <w:noProof/>
                <w:color w:val="000000"/>
              </w:rPr>
              <w:t>842.0</w:t>
            </w:r>
          </w:p>
        </w:tc>
      </w:tr>
      <w:tr w:rsidR="00C016C5" w:rsidRPr="00885241" w14:paraId="6DDB9185" w14:textId="77777777" w:rsidTr="00813D25">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2F2F2" w:themeFill="background1" w:themeFillShade="F2"/>
            <w:vAlign w:val="bottom"/>
          </w:tcPr>
          <w:p w14:paraId="14CB29E1" w14:textId="77777777" w:rsidR="00C016C5" w:rsidRPr="00885241" w:rsidRDefault="00C016C5" w:rsidP="00813D25">
            <w:pPr>
              <w:spacing w:before="120" w:after="120"/>
              <w:rPr>
                <w:noProof/>
              </w:rPr>
            </w:pPr>
            <w:r w:rsidRPr="00885241">
              <w:rPr>
                <w:rFonts w:cs="Calibri"/>
                <w:noProof/>
                <w:color w:val="000000"/>
              </w:rPr>
              <w:t>Total budget for 2021-2027</w:t>
            </w:r>
          </w:p>
        </w:tc>
        <w:tc>
          <w:tcPr>
            <w:tcW w:w="2610" w:type="dxa"/>
            <w:shd w:val="clear" w:color="auto" w:fill="F2F2F2" w:themeFill="background1" w:themeFillShade="F2"/>
            <w:vAlign w:val="bottom"/>
          </w:tcPr>
          <w:p w14:paraId="56763CE1" w14:textId="5AFF73C2" w:rsidR="0017533F" w:rsidRDefault="0017533F" w:rsidP="0017533F">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92 972.1</w:t>
            </w:r>
          </w:p>
          <w:p w14:paraId="4A42559F" w14:textId="51D8997E" w:rsidR="00C016C5" w:rsidRPr="00885241" w:rsidRDefault="00C016C5" w:rsidP="008C44D2">
            <w:pPr>
              <w:jc w:val="right"/>
              <w:cnfStyle w:val="000000000000" w:firstRow="0" w:lastRow="0" w:firstColumn="0" w:lastColumn="0" w:oddVBand="0" w:evenVBand="0" w:oddHBand="0" w:evenHBand="0" w:firstRowFirstColumn="0" w:firstRowLastColumn="0" w:lastRowFirstColumn="0" w:lastRowLastColumn="0"/>
              <w:rPr>
                <w:b/>
                <w:noProof/>
              </w:rPr>
            </w:pPr>
          </w:p>
        </w:tc>
      </w:tr>
    </w:tbl>
    <w:p w14:paraId="1B6A9693" w14:textId="77777777" w:rsidR="00C016C5" w:rsidRPr="00885241" w:rsidRDefault="00C016C5" w:rsidP="00C016C5">
      <w:pPr>
        <w:jc w:val="center"/>
        <w:rPr>
          <w:rFonts w:eastAsiaTheme="minorEastAsia"/>
          <w:noProof/>
        </w:rPr>
      </w:pPr>
    </w:p>
    <w:p w14:paraId="631F5799" w14:textId="77777777" w:rsidR="00C016C5" w:rsidRPr="00885241" w:rsidRDefault="00C016C5" w:rsidP="00C016C5">
      <w:pPr>
        <w:tabs>
          <w:tab w:val="left" w:pos="6793"/>
        </w:tabs>
        <w:rPr>
          <w:noProof/>
          <w:sz w:val="18"/>
          <w:szCs w:val="18"/>
        </w:rPr>
      </w:pPr>
      <w:r w:rsidRPr="00885241">
        <w:rPr>
          <w:noProof/>
          <w:sz w:val="18"/>
          <w:szCs w:val="18"/>
        </w:rPr>
        <w:t xml:space="preserve">(*) </w:t>
      </w:r>
      <w:r w:rsidRPr="001F400D">
        <w:rPr>
          <w:noProof/>
          <w:sz w:val="18"/>
          <w:szCs w:val="18"/>
        </w:rPr>
        <w:t>Only Article</w:t>
      </w:r>
      <w:r>
        <w:rPr>
          <w:rFonts w:ascii="Calibri" w:hAnsi="Calibri" w:cs="Calibri"/>
          <w:noProof/>
          <w:sz w:val="18"/>
          <w:szCs w:val="18"/>
        </w:rPr>
        <w:t> </w:t>
      </w:r>
      <w:r w:rsidRPr="001F400D">
        <w:rPr>
          <w:noProof/>
          <w:sz w:val="18"/>
          <w:szCs w:val="18"/>
        </w:rPr>
        <w:t>15(3) of the financial regulation.</w:t>
      </w:r>
    </w:p>
    <w:p w14:paraId="44706C63" w14:textId="77777777" w:rsidR="00C016C5" w:rsidRPr="00885241" w:rsidRDefault="00C016C5" w:rsidP="00C016C5">
      <w:pPr>
        <w:pStyle w:val="ppoHeading5"/>
        <w:rPr>
          <w:noProof/>
        </w:rPr>
      </w:pPr>
      <w:r w:rsidRPr="00885241">
        <w:rPr>
          <w:noProof/>
        </w:rPr>
        <w:t>Rationale and design of the programme</w:t>
      </w:r>
    </w:p>
    <w:p w14:paraId="27FAE9B5" w14:textId="77777777" w:rsidR="00C016C5" w:rsidRPr="00885241" w:rsidRDefault="00C016C5" w:rsidP="00C016C5">
      <w:pPr>
        <w:rPr>
          <w:rFonts w:eastAsiaTheme="minorEastAsia"/>
          <w:noProof/>
        </w:rPr>
      </w:pPr>
      <w:bookmarkStart w:id="16" w:name="_Hlk101272515"/>
      <w:r w:rsidRPr="000851B7">
        <w:rPr>
          <w:noProof/>
        </w:rPr>
        <w:t>Horizon Europe is</w:t>
      </w:r>
      <w:r w:rsidRPr="00885241">
        <w:rPr>
          <w:noProof/>
        </w:rPr>
        <w:t xml:space="preserve"> the EU’s </w:t>
      </w:r>
      <w:r>
        <w:rPr>
          <w:noProof/>
        </w:rPr>
        <w:t>7</w:t>
      </w:r>
      <w:r w:rsidRPr="00885241">
        <w:rPr>
          <w:noProof/>
        </w:rPr>
        <w:t xml:space="preserve">-year research and innovation programme, running from 2021 to 2027. The programme </w:t>
      </w:r>
      <w:r w:rsidRPr="000851B7">
        <w:rPr>
          <w:noProof/>
        </w:rPr>
        <w:t>is designed</w:t>
      </w:r>
      <w:r w:rsidRPr="00885241">
        <w:rPr>
          <w:noProof/>
        </w:rPr>
        <w:t xml:space="preserve"> to serve all the political priorities of the European Union.</w:t>
      </w:r>
      <w:bookmarkEnd w:id="16"/>
    </w:p>
    <w:p w14:paraId="5FE49321" w14:textId="77777777" w:rsidR="00C016C5" w:rsidRPr="00885241" w:rsidRDefault="00C016C5" w:rsidP="00C016C5">
      <w:pPr>
        <w:pStyle w:val="ppoHeading6"/>
        <w:rPr>
          <w:noProof/>
        </w:rPr>
      </w:pPr>
      <w:r w:rsidRPr="00885241">
        <w:rPr>
          <w:noProof/>
        </w:rPr>
        <w:t>Challenge</w:t>
      </w:r>
    </w:p>
    <w:p w14:paraId="5EED32AD" w14:textId="77777777" w:rsidR="00C016C5" w:rsidRPr="00885241" w:rsidRDefault="00C016C5" w:rsidP="00C016C5">
      <w:pPr>
        <w:rPr>
          <w:noProof/>
        </w:rPr>
      </w:pPr>
      <w:r w:rsidRPr="00885241">
        <w:rPr>
          <w:noProof/>
        </w:rPr>
        <w:t>Research and innovation (</w:t>
      </w:r>
      <w:r>
        <w:rPr>
          <w:noProof/>
        </w:rPr>
        <w:t>R</w:t>
      </w:r>
      <w:r>
        <w:rPr>
          <w:rFonts w:ascii="Calibri" w:hAnsi="Calibri" w:cs="Calibri"/>
          <w:noProof/>
        </w:rPr>
        <w:t> </w:t>
      </w:r>
      <w:r>
        <w:rPr>
          <w:noProof/>
        </w:rPr>
        <w:t>&amp;</w:t>
      </w:r>
      <w:r>
        <w:rPr>
          <w:rFonts w:ascii="Calibri" w:hAnsi="Calibri" w:cs="Calibri"/>
          <w:noProof/>
        </w:rPr>
        <w:t> </w:t>
      </w:r>
      <w:r>
        <w:rPr>
          <w:noProof/>
        </w:rPr>
        <w:t>I</w:t>
      </w:r>
      <w:r w:rsidRPr="00885241">
        <w:rPr>
          <w:noProof/>
        </w:rPr>
        <w:t xml:space="preserve">) contribute to improving people’s lives (e.g. through better healthcare) and work (through better digital services), and </w:t>
      </w:r>
      <w:r>
        <w:rPr>
          <w:noProof/>
        </w:rPr>
        <w:t xml:space="preserve">to </w:t>
      </w:r>
      <w:r w:rsidRPr="00885241">
        <w:rPr>
          <w:noProof/>
        </w:rPr>
        <w:t xml:space="preserve">enhancing productivity, competitiveness and job-rich growth. They are also crucial for providing solutions to today’s and tomorrow’s challenges, </w:t>
      </w:r>
      <w:r>
        <w:rPr>
          <w:noProof/>
        </w:rPr>
        <w:t>for example</w:t>
      </w:r>
      <w:r w:rsidRPr="00885241">
        <w:rPr>
          <w:noProof/>
        </w:rPr>
        <w:t xml:space="preserve"> in terms of </w:t>
      </w:r>
      <w:r>
        <w:rPr>
          <w:noProof/>
        </w:rPr>
        <w:t xml:space="preserve">the </w:t>
      </w:r>
      <w:r w:rsidRPr="00885241">
        <w:rPr>
          <w:noProof/>
        </w:rPr>
        <w:t xml:space="preserve">environment and </w:t>
      </w:r>
      <w:r>
        <w:rPr>
          <w:noProof/>
        </w:rPr>
        <w:t xml:space="preserve">the </w:t>
      </w:r>
      <w:r w:rsidRPr="00885241">
        <w:rPr>
          <w:noProof/>
        </w:rPr>
        <w:t>climate.</w:t>
      </w:r>
    </w:p>
    <w:p w14:paraId="4CBE00F2" w14:textId="77777777" w:rsidR="00C016C5" w:rsidRPr="00885241" w:rsidRDefault="00C016C5" w:rsidP="00C016C5">
      <w:pPr>
        <w:rPr>
          <w:noProof/>
        </w:rPr>
      </w:pPr>
      <w:r w:rsidRPr="00885241">
        <w:rPr>
          <w:noProof/>
        </w:rPr>
        <w:t>It is important, therefore, to further improve</w:t>
      </w:r>
      <w:r>
        <w:rPr>
          <w:noProof/>
        </w:rPr>
        <w:t xml:space="preserve"> the</w:t>
      </w:r>
      <w:r w:rsidRPr="00885241">
        <w:rPr>
          <w:noProof/>
        </w:rPr>
        <w:t xml:space="preserve"> creation and diffusion of high-quality new knowledge and innovation in Europe, reinforce the impact of </w:t>
      </w:r>
      <w:r>
        <w:rPr>
          <w:noProof/>
        </w:rPr>
        <w:t>R</w:t>
      </w:r>
      <w:r>
        <w:rPr>
          <w:rFonts w:ascii="Calibri" w:hAnsi="Calibri" w:cs="Calibri"/>
          <w:noProof/>
        </w:rPr>
        <w:t> </w:t>
      </w:r>
      <w:r>
        <w:rPr>
          <w:noProof/>
        </w:rPr>
        <w:t>&amp;</w:t>
      </w:r>
      <w:r>
        <w:rPr>
          <w:rFonts w:ascii="Calibri" w:hAnsi="Calibri" w:cs="Calibri"/>
          <w:noProof/>
        </w:rPr>
        <w:t> </w:t>
      </w:r>
      <w:r>
        <w:rPr>
          <w:noProof/>
        </w:rPr>
        <w:t>I</w:t>
      </w:r>
      <w:r w:rsidRPr="00885241">
        <w:rPr>
          <w:noProof/>
        </w:rPr>
        <w:t xml:space="preserve"> in </w:t>
      </w:r>
      <w:r>
        <w:rPr>
          <w:noProof/>
        </w:rPr>
        <w:t xml:space="preserve">the </w:t>
      </w:r>
      <w:r w:rsidRPr="00885241">
        <w:rPr>
          <w:noProof/>
        </w:rPr>
        <w:t xml:space="preserve">addressing EU’s priorities, ensure </w:t>
      </w:r>
      <w:r>
        <w:rPr>
          <w:noProof/>
        </w:rPr>
        <w:t>the</w:t>
      </w:r>
      <w:r w:rsidRPr="00885241">
        <w:rPr>
          <w:noProof/>
        </w:rPr>
        <w:t xml:space="preserve"> more rapid uptake of innovative solutions and</w:t>
      </w:r>
      <w:r>
        <w:rPr>
          <w:noProof/>
        </w:rPr>
        <w:t>,</w:t>
      </w:r>
      <w:r w:rsidRPr="00885241">
        <w:rPr>
          <w:noProof/>
        </w:rPr>
        <w:t xml:space="preserve"> more generally</w:t>
      </w:r>
      <w:r>
        <w:rPr>
          <w:noProof/>
        </w:rPr>
        <w:t>,</w:t>
      </w:r>
      <w:r w:rsidRPr="00885241">
        <w:rPr>
          <w:noProof/>
        </w:rPr>
        <w:t xml:space="preserve"> strengthen the European </w:t>
      </w:r>
      <w:r>
        <w:rPr>
          <w:noProof/>
        </w:rPr>
        <w:t>r</w:t>
      </w:r>
      <w:r w:rsidRPr="00885241">
        <w:rPr>
          <w:noProof/>
        </w:rPr>
        <w:t xml:space="preserve">esearch </w:t>
      </w:r>
      <w:r>
        <w:rPr>
          <w:noProof/>
        </w:rPr>
        <w:t>a</w:t>
      </w:r>
      <w:r w:rsidRPr="00885241">
        <w:rPr>
          <w:noProof/>
        </w:rPr>
        <w:t>rea.</w:t>
      </w:r>
    </w:p>
    <w:p w14:paraId="3037258C" w14:textId="77777777" w:rsidR="00C016C5" w:rsidRPr="00885241" w:rsidRDefault="00C016C5" w:rsidP="00C016C5">
      <w:pPr>
        <w:rPr>
          <w:noProof/>
        </w:rPr>
      </w:pPr>
      <w:r w:rsidRPr="00885241">
        <w:rPr>
          <w:noProof/>
        </w:rPr>
        <w:t>Gearing research to</w:t>
      </w:r>
      <w:r>
        <w:rPr>
          <w:noProof/>
        </w:rPr>
        <w:t>wards</w:t>
      </w:r>
      <w:r w:rsidRPr="00885241">
        <w:rPr>
          <w:noProof/>
        </w:rPr>
        <w:t xml:space="preserve"> advanc</w:t>
      </w:r>
      <w:r>
        <w:rPr>
          <w:noProof/>
        </w:rPr>
        <w:t>ing</w:t>
      </w:r>
      <w:r w:rsidRPr="00885241">
        <w:rPr>
          <w:noProof/>
        </w:rPr>
        <w:t xml:space="preserve"> common EU (and indeed global) goals produces social benefits that exceed </w:t>
      </w:r>
      <w:r>
        <w:rPr>
          <w:noProof/>
        </w:rPr>
        <w:t xml:space="preserve">any </w:t>
      </w:r>
      <w:r w:rsidRPr="00885241">
        <w:rPr>
          <w:noProof/>
        </w:rPr>
        <w:t xml:space="preserve">private </w:t>
      </w:r>
      <w:r>
        <w:rPr>
          <w:noProof/>
        </w:rPr>
        <w:t xml:space="preserve">benefits, </w:t>
      </w:r>
      <w:r w:rsidRPr="00885241">
        <w:rPr>
          <w:noProof/>
        </w:rPr>
        <w:t>and indeed even those that flow to any individual Member State that support</w:t>
      </w:r>
      <w:r>
        <w:rPr>
          <w:noProof/>
        </w:rPr>
        <w:t>s</w:t>
      </w:r>
      <w:r w:rsidRPr="00885241">
        <w:rPr>
          <w:noProof/>
        </w:rPr>
        <w:t xml:space="preserve"> such efforts within its borders or by its researchers. Thus, if left to the individual Member States, such research would be carried out at a suboptimal level. Only through action at the EU level can all the positive spillovers be fully realised. Conversely, in order to maximise EU added</w:t>
      </w:r>
      <w:r w:rsidRPr="000851B7">
        <w:rPr>
          <w:noProof/>
        </w:rPr>
        <w:t xml:space="preserve"> </w:t>
      </w:r>
      <w:r w:rsidRPr="00885241">
        <w:rPr>
          <w:noProof/>
        </w:rPr>
        <w:t>value, it is important that EU action in this area be squarely focused on objectives and activities that cannot be effectively implemented by Member States acting alone, but only through their cooperation.</w:t>
      </w:r>
    </w:p>
    <w:p w14:paraId="4EA83956" w14:textId="77777777" w:rsidR="00C016C5" w:rsidRPr="00885241" w:rsidRDefault="00C016C5" w:rsidP="00C016C5">
      <w:pPr>
        <w:pStyle w:val="ppoHeading6"/>
        <w:rPr>
          <w:noProof/>
        </w:rPr>
      </w:pPr>
      <w:r w:rsidRPr="00885241">
        <w:rPr>
          <w:noProof/>
        </w:rPr>
        <w:t>Mission</w:t>
      </w:r>
    </w:p>
    <w:p w14:paraId="26AC6B0A" w14:textId="77777777" w:rsidR="00C016C5" w:rsidRPr="00885241" w:rsidRDefault="00C016C5" w:rsidP="00C016C5">
      <w:pPr>
        <w:rPr>
          <w:noProof/>
        </w:rPr>
      </w:pPr>
      <w:bookmarkStart w:id="17" w:name="_Hlk101272469"/>
      <w:bookmarkStart w:id="18" w:name="_Hlk101272550"/>
      <w:r w:rsidRPr="000851B7">
        <w:rPr>
          <w:noProof/>
        </w:rPr>
        <w:t>Horizon Europe aims to promote</w:t>
      </w:r>
      <w:r w:rsidRPr="00885241">
        <w:rPr>
          <w:noProof/>
        </w:rPr>
        <w:t xml:space="preserve"> </w:t>
      </w:r>
      <w:bookmarkEnd w:id="17"/>
      <w:r w:rsidRPr="00885241">
        <w:rPr>
          <w:noProof/>
        </w:rPr>
        <w:t xml:space="preserve">scientific excellence </w:t>
      </w:r>
      <w:bookmarkEnd w:id="18"/>
      <w:r w:rsidRPr="00885241">
        <w:rPr>
          <w:noProof/>
        </w:rPr>
        <w:t xml:space="preserve">and generate new knowledge and technologies, thus contributing to advancing the EU’s objectives and policies (in particular in terms of boosting sustainable growth and job creation), tackling global challenges and strengthening the European </w:t>
      </w:r>
      <w:r>
        <w:rPr>
          <w:noProof/>
        </w:rPr>
        <w:t>r</w:t>
      </w:r>
      <w:r w:rsidRPr="00885241">
        <w:rPr>
          <w:noProof/>
        </w:rPr>
        <w:t xml:space="preserve">esearch </w:t>
      </w:r>
      <w:r>
        <w:rPr>
          <w:noProof/>
        </w:rPr>
        <w:t>a</w:t>
      </w:r>
      <w:r w:rsidRPr="00885241">
        <w:rPr>
          <w:noProof/>
        </w:rPr>
        <w:t>rea.</w:t>
      </w:r>
    </w:p>
    <w:p w14:paraId="3F932D75" w14:textId="77777777" w:rsidR="00C016C5" w:rsidRPr="00885241" w:rsidRDefault="00C016C5" w:rsidP="00C016C5">
      <w:pPr>
        <w:rPr>
          <w:noProof/>
        </w:rPr>
      </w:pPr>
      <w:bookmarkStart w:id="19" w:name="_Hlk101272559"/>
      <w:r w:rsidRPr="000851B7">
        <w:rPr>
          <w:noProof/>
        </w:rPr>
        <w:t xml:space="preserve">Horizon Europe </w:t>
      </w:r>
      <w:r>
        <w:rPr>
          <w:noProof/>
        </w:rPr>
        <w:t>has</w:t>
      </w:r>
      <w:r w:rsidRPr="000851B7">
        <w:rPr>
          <w:noProof/>
        </w:rPr>
        <w:t xml:space="preserve"> a budget of around EUR</w:t>
      </w:r>
      <w:r w:rsidRPr="000851B7">
        <w:rPr>
          <w:rFonts w:ascii="Calibri" w:hAnsi="Calibri" w:cs="Calibri"/>
          <w:noProof/>
        </w:rPr>
        <w:t> </w:t>
      </w:r>
      <w:r w:rsidRPr="000851B7">
        <w:rPr>
          <w:noProof/>
        </w:rPr>
        <w:t>95.5</w:t>
      </w:r>
      <w:r w:rsidRPr="000851B7">
        <w:rPr>
          <w:rFonts w:ascii="Calibri" w:hAnsi="Calibri" w:cs="Calibri"/>
          <w:noProof/>
        </w:rPr>
        <w:t> </w:t>
      </w:r>
      <w:r w:rsidRPr="000851B7">
        <w:rPr>
          <w:noProof/>
        </w:rPr>
        <w:t>billion</w:t>
      </w:r>
      <w:bookmarkEnd w:id="19"/>
      <w:r w:rsidRPr="00885241">
        <w:rPr>
          <w:noProof/>
        </w:rPr>
        <w:t xml:space="preserve">. </w:t>
      </w:r>
      <w:bookmarkStart w:id="20" w:name="_Hlk101272777"/>
      <w:r w:rsidRPr="00885241">
        <w:rPr>
          <w:noProof/>
        </w:rPr>
        <w:t xml:space="preserve">This includes EUR 5.41 billion from NextGenerationEU to </w:t>
      </w:r>
      <w:r w:rsidRPr="00AE5F5B">
        <w:rPr>
          <w:noProof/>
        </w:rPr>
        <w:t xml:space="preserve">boost the </w:t>
      </w:r>
      <w:r>
        <w:rPr>
          <w:noProof/>
        </w:rPr>
        <w:t xml:space="preserve">economic </w:t>
      </w:r>
      <w:r w:rsidRPr="00AE5F5B">
        <w:rPr>
          <w:noProof/>
        </w:rPr>
        <w:t>recovery</w:t>
      </w:r>
      <w:bookmarkEnd w:id="20"/>
      <w:r w:rsidRPr="00885241">
        <w:rPr>
          <w:noProof/>
        </w:rPr>
        <w:t xml:space="preserve"> and make the EU more resilient </w:t>
      </w:r>
      <w:r>
        <w:rPr>
          <w:noProof/>
        </w:rPr>
        <w:t>in</w:t>
      </w:r>
      <w:r w:rsidRPr="00885241">
        <w:rPr>
          <w:noProof/>
        </w:rPr>
        <w:t xml:space="preserve"> the future. </w:t>
      </w:r>
      <w:bookmarkStart w:id="21" w:name="_Hlk101272640"/>
      <w:r w:rsidRPr="00885241">
        <w:rPr>
          <w:noProof/>
        </w:rPr>
        <w:t xml:space="preserve">The Horizon Europe </w:t>
      </w:r>
      <w:r>
        <w:rPr>
          <w:noProof/>
        </w:rPr>
        <w:t>f</w:t>
      </w:r>
      <w:r w:rsidRPr="00885241">
        <w:rPr>
          <w:noProof/>
        </w:rPr>
        <w:t xml:space="preserve">ramework </w:t>
      </w:r>
      <w:r>
        <w:rPr>
          <w:noProof/>
        </w:rPr>
        <w:t>p</w:t>
      </w:r>
      <w:r w:rsidRPr="00885241">
        <w:rPr>
          <w:noProof/>
        </w:rPr>
        <w:t>rogramme will also be implemented</w:t>
      </w:r>
      <w:bookmarkEnd w:id="21"/>
      <w:r w:rsidRPr="00885241">
        <w:rPr>
          <w:noProof/>
        </w:rPr>
        <w:t xml:space="preserve"> through the European Defence Fund (for its research strand) and complemented by the Euratom </w:t>
      </w:r>
      <w:r>
        <w:rPr>
          <w:noProof/>
        </w:rPr>
        <w:t>r</w:t>
      </w:r>
      <w:r w:rsidRPr="00885241">
        <w:rPr>
          <w:noProof/>
        </w:rPr>
        <w:t xml:space="preserve">esearch and </w:t>
      </w:r>
      <w:r>
        <w:rPr>
          <w:noProof/>
        </w:rPr>
        <w:t>t</w:t>
      </w:r>
      <w:r w:rsidRPr="00885241">
        <w:rPr>
          <w:noProof/>
        </w:rPr>
        <w:t xml:space="preserve">raining </w:t>
      </w:r>
      <w:r>
        <w:rPr>
          <w:noProof/>
        </w:rPr>
        <w:t>p</w:t>
      </w:r>
      <w:r w:rsidRPr="00885241">
        <w:rPr>
          <w:noProof/>
        </w:rPr>
        <w:t>rogramme.</w:t>
      </w:r>
    </w:p>
    <w:p w14:paraId="0C43BEA5" w14:textId="77777777" w:rsidR="00C016C5" w:rsidRPr="00885241" w:rsidRDefault="00C016C5" w:rsidP="00C016C5">
      <w:pPr>
        <w:pStyle w:val="ppoHeading6"/>
        <w:rPr>
          <w:noProof/>
        </w:rPr>
      </w:pPr>
      <w:r w:rsidRPr="00885241">
        <w:rPr>
          <w:noProof/>
        </w:rPr>
        <w:t>OBJECTIVES</w:t>
      </w:r>
    </w:p>
    <w:p w14:paraId="1DF56AF4" w14:textId="77777777" w:rsidR="00C016C5" w:rsidRPr="00885241" w:rsidRDefault="00C016C5" w:rsidP="00C016C5">
      <w:pPr>
        <w:rPr>
          <w:noProof/>
        </w:rPr>
      </w:pPr>
      <w:r w:rsidRPr="00885241">
        <w:rPr>
          <w:noProof/>
        </w:rPr>
        <w:t xml:space="preserve">Horizon Europe seeks to deliver </w:t>
      </w:r>
      <w:r>
        <w:rPr>
          <w:noProof/>
        </w:rPr>
        <w:t>R</w:t>
      </w:r>
      <w:r>
        <w:rPr>
          <w:rFonts w:ascii="Calibri" w:hAnsi="Calibri" w:cs="Calibri"/>
          <w:noProof/>
        </w:rPr>
        <w:t> </w:t>
      </w:r>
      <w:r>
        <w:rPr>
          <w:noProof/>
        </w:rPr>
        <w:t>&amp;</w:t>
      </w:r>
      <w:r>
        <w:rPr>
          <w:rFonts w:ascii="Calibri" w:hAnsi="Calibri" w:cs="Calibri"/>
          <w:noProof/>
        </w:rPr>
        <w:t> </w:t>
      </w:r>
      <w:r>
        <w:rPr>
          <w:noProof/>
        </w:rPr>
        <w:t>I</w:t>
      </w:r>
      <w:r w:rsidRPr="00885241">
        <w:rPr>
          <w:noProof/>
        </w:rPr>
        <w:t xml:space="preserve"> with maximum impact along </w:t>
      </w:r>
      <w:r>
        <w:rPr>
          <w:noProof/>
        </w:rPr>
        <w:t xml:space="preserve">the following </w:t>
      </w:r>
      <w:r w:rsidRPr="00885241">
        <w:rPr>
          <w:noProof/>
        </w:rPr>
        <w:t>three dimensions</w:t>
      </w:r>
      <w:r>
        <w:rPr>
          <w:noProof/>
        </w:rPr>
        <w:t>.</w:t>
      </w:r>
    </w:p>
    <w:p w14:paraId="6B14D028" w14:textId="77777777" w:rsidR="00C016C5" w:rsidRPr="00885241" w:rsidRDefault="00C016C5" w:rsidP="00C016C5">
      <w:pPr>
        <w:pStyle w:val="ppoListHyphened-L1"/>
        <w:rPr>
          <w:noProof/>
        </w:rPr>
      </w:pPr>
      <w:r w:rsidRPr="00904FF7">
        <w:rPr>
          <w:b/>
          <w:bCs/>
          <w:noProof/>
        </w:rPr>
        <w:t>Scientific impact</w:t>
      </w:r>
      <w:r>
        <w:rPr>
          <w:b/>
          <w:bCs/>
          <w:noProof/>
        </w:rPr>
        <w:t>.</w:t>
      </w:r>
      <w:r w:rsidRPr="00885241">
        <w:rPr>
          <w:noProof/>
        </w:rPr>
        <w:t xml:space="preserve"> </w:t>
      </w:r>
      <w:r>
        <w:rPr>
          <w:noProof/>
        </w:rPr>
        <w:t>C</w:t>
      </w:r>
      <w:r w:rsidRPr="00885241">
        <w:rPr>
          <w:noProof/>
        </w:rPr>
        <w:t xml:space="preserve">reating high-quality new knowledge, strengthening human capital in </w:t>
      </w:r>
      <w:r>
        <w:rPr>
          <w:noProof/>
        </w:rPr>
        <w:t>R</w:t>
      </w:r>
      <w:r>
        <w:rPr>
          <w:rFonts w:ascii="Calibri" w:hAnsi="Calibri" w:cs="Calibri"/>
          <w:noProof/>
        </w:rPr>
        <w:t> </w:t>
      </w:r>
      <w:r>
        <w:rPr>
          <w:noProof/>
        </w:rPr>
        <w:t>&amp;</w:t>
      </w:r>
      <w:r>
        <w:rPr>
          <w:rFonts w:ascii="Calibri" w:hAnsi="Calibri" w:cs="Calibri"/>
          <w:noProof/>
        </w:rPr>
        <w:t> </w:t>
      </w:r>
      <w:r>
        <w:rPr>
          <w:noProof/>
        </w:rPr>
        <w:t>I</w:t>
      </w:r>
      <w:r w:rsidRPr="00885241">
        <w:rPr>
          <w:noProof/>
        </w:rPr>
        <w:t xml:space="preserve"> and fostering </w:t>
      </w:r>
      <w:r>
        <w:rPr>
          <w:noProof/>
        </w:rPr>
        <w:t xml:space="preserve">the </w:t>
      </w:r>
      <w:r w:rsidRPr="00885241">
        <w:rPr>
          <w:noProof/>
        </w:rPr>
        <w:t xml:space="preserve">diffusion of knowledge and </w:t>
      </w:r>
      <w:r>
        <w:rPr>
          <w:noProof/>
        </w:rPr>
        <w:t>o</w:t>
      </w:r>
      <w:r w:rsidRPr="00885241">
        <w:rPr>
          <w:noProof/>
        </w:rPr>
        <w:t xml:space="preserve">pen </w:t>
      </w:r>
      <w:r>
        <w:rPr>
          <w:noProof/>
        </w:rPr>
        <w:t>s</w:t>
      </w:r>
      <w:r w:rsidRPr="00885241">
        <w:rPr>
          <w:noProof/>
        </w:rPr>
        <w:t>cience</w:t>
      </w:r>
      <w:r>
        <w:rPr>
          <w:noProof/>
        </w:rPr>
        <w:t>.</w:t>
      </w:r>
    </w:p>
    <w:p w14:paraId="18826D3E" w14:textId="77777777" w:rsidR="00C016C5" w:rsidRPr="00885241" w:rsidRDefault="00C016C5" w:rsidP="00C016C5">
      <w:pPr>
        <w:pStyle w:val="ppoListHyphened-L1"/>
        <w:rPr>
          <w:noProof/>
        </w:rPr>
      </w:pPr>
      <w:r w:rsidRPr="00904FF7">
        <w:rPr>
          <w:b/>
          <w:bCs/>
          <w:noProof/>
        </w:rPr>
        <w:t>Technological/economic impact</w:t>
      </w:r>
      <w:r>
        <w:rPr>
          <w:b/>
          <w:bCs/>
          <w:noProof/>
        </w:rPr>
        <w:t>.</w:t>
      </w:r>
      <w:r w:rsidRPr="00885241">
        <w:rPr>
          <w:noProof/>
        </w:rPr>
        <w:t xml:space="preserve"> </w:t>
      </w:r>
      <w:r>
        <w:rPr>
          <w:noProof/>
        </w:rPr>
        <w:t>I</w:t>
      </w:r>
      <w:r w:rsidRPr="00885241">
        <w:rPr>
          <w:noProof/>
        </w:rPr>
        <w:t xml:space="preserve">nfluencing the creation and growth of companies within the EU, especially </w:t>
      </w:r>
      <w:r w:rsidRPr="00BA5660">
        <w:rPr>
          <w:noProof/>
        </w:rPr>
        <w:t>small and medium-sized enterprises</w:t>
      </w:r>
      <w:r w:rsidRPr="00885241">
        <w:rPr>
          <w:noProof/>
        </w:rPr>
        <w:t xml:space="preserve"> </w:t>
      </w:r>
      <w:r>
        <w:rPr>
          <w:noProof/>
        </w:rPr>
        <w:t>(</w:t>
      </w:r>
      <w:r w:rsidRPr="00885241">
        <w:rPr>
          <w:noProof/>
        </w:rPr>
        <w:t>including start-ups</w:t>
      </w:r>
      <w:r>
        <w:rPr>
          <w:noProof/>
        </w:rPr>
        <w:t>);</w:t>
      </w:r>
      <w:r w:rsidRPr="00885241">
        <w:rPr>
          <w:noProof/>
        </w:rPr>
        <w:t xml:space="preserve"> creating direct and indirect jobs</w:t>
      </w:r>
      <w:r>
        <w:rPr>
          <w:noProof/>
        </w:rPr>
        <w:t>,</w:t>
      </w:r>
      <w:r w:rsidRPr="00885241">
        <w:rPr>
          <w:noProof/>
        </w:rPr>
        <w:t xml:space="preserve"> especially within the EU</w:t>
      </w:r>
      <w:r>
        <w:rPr>
          <w:noProof/>
        </w:rPr>
        <w:t>;</w:t>
      </w:r>
      <w:r w:rsidRPr="00885241">
        <w:rPr>
          <w:noProof/>
        </w:rPr>
        <w:t xml:space="preserve"> and leveraging investment for </w:t>
      </w:r>
      <w:r>
        <w:rPr>
          <w:noProof/>
        </w:rPr>
        <w:t>R</w:t>
      </w:r>
      <w:r>
        <w:rPr>
          <w:rFonts w:ascii="Calibri" w:hAnsi="Calibri" w:cs="Calibri"/>
          <w:noProof/>
        </w:rPr>
        <w:t> </w:t>
      </w:r>
      <w:r>
        <w:rPr>
          <w:noProof/>
        </w:rPr>
        <w:t>&amp;</w:t>
      </w:r>
      <w:r>
        <w:rPr>
          <w:rFonts w:ascii="Calibri" w:hAnsi="Calibri" w:cs="Calibri"/>
          <w:noProof/>
        </w:rPr>
        <w:t> </w:t>
      </w:r>
      <w:r>
        <w:rPr>
          <w:noProof/>
        </w:rPr>
        <w:t>I</w:t>
      </w:r>
      <w:r w:rsidRPr="00885241">
        <w:rPr>
          <w:noProof/>
        </w:rPr>
        <w:t>.</w:t>
      </w:r>
    </w:p>
    <w:p w14:paraId="5EA5ADC7" w14:textId="77777777" w:rsidR="00C016C5" w:rsidRPr="00885241" w:rsidRDefault="00C016C5" w:rsidP="00C016C5">
      <w:pPr>
        <w:pStyle w:val="ppoListHyphened-L1"/>
        <w:rPr>
          <w:noProof/>
        </w:rPr>
      </w:pPr>
      <w:r w:rsidRPr="00904FF7">
        <w:rPr>
          <w:b/>
          <w:bCs/>
          <w:noProof/>
        </w:rPr>
        <w:t>Societal impact</w:t>
      </w:r>
      <w:r>
        <w:rPr>
          <w:b/>
          <w:bCs/>
          <w:noProof/>
        </w:rPr>
        <w:t>.</w:t>
      </w:r>
      <w:r w:rsidRPr="00885241">
        <w:rPr>
          <w:noProof/>
        </w:rPr>
        <w:t xml:space="preserve"> </w:t>
      </w:r>
      <w:r>
        <w:rPr>
          <w:noProof/>
        </w:rPr>
        <w:t>A</w:t>
      </w:r>
      <w:r w:rsidRPr="00885241">
        <w:rPr>
          <w:noProof/>
        </w:rPr>
        <w:t>ddressing the EU</w:t>
      </w:r>
      <w:r>
        <w:rPr>
          <w:noProof/>
        </w:rPr>
        <w:t>’s</w:t>
      </w:r>
      <w:r w:rsidRPr="00885241">
        <w:rPr>
          <w:noProof/>
        </w:rPr>
        <w:t xml:space="preserve"> policy priorities and global challenges</w:t>
      </w:r>
      <w:r>
        <w:rPr>
          <w:rFonts w:ascii="Calibri" w:hAnsi="Calibri" w:cs="Calibri"/>
          <w:noProof/>
        </w:rPr>
        <w:t> </w:t>
      </w:r>
      <w:r>
        <w:rPr>
          <w:noProof/>
        </w:rPr>
        <w:t>–</w:t>
      </w:r>
      <w:r w:rsidRPr="00885241">
        <w:rPr>
          <w:noProof/>
        </w:rPr>
        <w:t xml:space="preserve"> including the UN</w:t>
      </w:r>
      <w:r>
        <w:rPr>
          <w:rFonts w:ascii="Calibri" w:hAnsi="Calibri" w:cs="Calibri"/>
          <w:noProof/>
        </w:rPr>
        <w:t xml:space="preserve"> </w:t>
      </w:r>
      <w:r>
        <w:rPr>
          <w:noProof/>
        </w:rPr>
        <w:t>s</w:t>
      </w:r>
      <w:r w:rsidRPr="00885241">
        <w:rPr>
          <w:noProof/>
        </w:rPr>
        <w:t>ustainable</w:t>
      </w:r>
      <w:r>
        <w:rPr>
          <w:rFonts w:ascii="Calibri" w:hAnsi="Calibri" w:cs="Calibri"/>
          <w:noProof/>
        </w:rPr>
        <w:t xml:space="preserve"> </w:t>
      </w:r>
      <w:r>
        <w:rPr>
          <w:noProof/>
        </w:rPr>
        <w:t>d</w:t>
      </w:r>
      <w:r w:rsidRPr="00885241">
        <w:rPr>
          <w:noProof/>
        </w:rPr>
        <w:t>evelopment</w:t>
      </w:r>
      <w:r>
        <w:rPr>
          <w:rFonts w:ascii="Calibri" w:hAnsi="Calibri" w:cs="Calibri"/>
          <w:noProof/>
        </w:rPr>
        <w:t xml:space="preserve"> </w:t>
      </w:r>
      <w:r>
        <w:rPr>
          <w:noProof/>
        </w:rPr>
        <w:t>g</w:t>
      </w:r>
      <w:r w:rsidRPr="00885241">
        <w:rPr>
          <w:noProof/>
        </w:rPr>
        <w:t>oals</w:t>
      </w:r>
      <w:r>
        <w:rPr>
          <w:rFonts w:ascii="Calibri" w:hAnsi="Calibri" w:cs="Calibri"/>
          <w:noProof/>
        </w:rPr>
        <w:t> </w:t>
      </w:r>
      <w:r>
        <w:rPr>
          <w:noProof/>
        </w:rPr>
        <w:t>–</w:t>
      </w:r>
      <w:r w:rsidRPr="00885241">
        <w:rPr>
          <w:noProof/>
        </w:rPr>
        <w:t xml:space="preserve"> following the principles of </w:t>
      </w:r>
      <w:r>
        <w:rPr>
          <w:noProof/>
        </w:rPr>
        <w:t xml:space="preserve">the United Nations’ </w:t>
      </w:r>
      <w:r w:rsidRPr="00885241">
        <w:rPr>
          <w:noProof/>
        </w:rPr>
        <w:t xml:space="preserve">2030 </w:t>
      </w:r>
      <w:r>
        <w:rPr>
          <w:noProof/>
        </w:rPr>
        <w:t>a</w:t>
      </w:r>
      <w:r w:rsidRPr="00885241">
        <w:rPr>
          <w:noProof/>
        </w:rPr>
        <w:t xml:space="preserve">genda </w:t>
      </w:r>
      <w:r>
        <w:rPr>
          <w:noProof/>
        </w:rPr>
        <w:t xml:space="preserve">for sustainable development </w:t>
      </w:r>
      <w:r w:rsidRPr="00885241">
        <w:rPr>
          <w:noProof/>
        </w:rPr>
        <w:t xml:space="preserve">and the goals of the Paris Agreement, through </w:t>
      </w:r>
      <w:r>
        <w:rPr>
          <w:noProof/>
        </w:rPr>
        <w:t>R</w:t>
      </w:r>
      <w:r>
        <w:rPr>
          <w:rFonts w:ascii="Calibri" w:hAnsi="Calibri" w:cs="Calibri"/>
          <w:noProof/>
        </w:rPr>
        <w:t> </w:t>
      </w:r>
      <w:r>
        <w:rPr>
          <w:noProof/>
        </w:rPr>
        <w:t>&amp;</w:t>
      </w:r>
      <w:r>
        <w:rPr>
          <w:rFonts w:ascii="Calibri" w:hAnsi="Calibri" w:cs="Calibri"/>
          <w:noProof/>
        </w:rPr>
        <w:t> </w:t>
      </w:r>
      <w:r>
        <w:rPr>
          <w:noProof/>
        </w:rPr>
        <w:t>I;</w:t>
      </w:r>
      <w:r w:rsidRPr="00885241">
        <w:rPr>
          <w:noProof/>
        </w:rPr>
        <w:t xml:space="preserve"> delivering benefits and impact through </w:t>
      </w:r>
      <w:r>
        <w:rPr>
          <w:noProof/>
        </w:rPr>
        <w:t>R</w:t>
      </w:r>
      <w:r>
        <w:rPr>
          <w:rFonts w:ascii="Calibri" w:hAnsi="Calibri" w:cs="Calibri"/>
          <w:noProof/>
        </w:rPr>
        <w:t> </w:t>
      </w:r>
      <w:r>
        <w:rPr>
          <w:noProof/>
        </w:rPr>
        <w:t>&amp;</w:t>
      </w:r>
      <w:r>
        <w:rPr>
          <w:rFonts w:ascii="Calibri" w:hAnsi="Calibri" w:cs="Calibri"/>
          <w:noProof/>
        </w:rPr>
        <w:t> </w:t>
      </w:r>
      <w:r>
        <w:rPr>
          <w:noProof/>
        </w:rPr>
        <w:t>I</w:t>
      </w:r>
      <w:r w:rsidRPr="00885241">
        <w:rPr>
          <w:noProof/>
        </w:rPr>
        <w:t xml:space="preserve"> missions and European </w:t>
      </w:r>
      <w:r>
        <w:rPr>
          <w:noProof/>
        </w:rPr>
        <w:t>p</w:t>
      </w:r>
      <w:r w:rsidRPr="00885241">
        <w:rPr>
          <w:noProof/>
        </w:rPr>
        <w:t>artnerships</w:t>
      </w:r>
      <w:r>
        <w:rPr>
          <w:noProof/>
        </w:rPr>
        <w:t>;</w:t>
      </w:r>
      <w:r w:rsidRPr="00885241">
        <w:rPr>
          <w:noProof/>
        </w:rPr>
        <w:t xml:space="preserve"> and strengthening the uptake of innovation in society</w:t>
      </w:r>
      <w:r>
        <w:rPr>
          <w:noProof/>
        </w:rPr>
        <w:t>,</w:t>
      </w:r>
      <w:r w:rsidRPr="00885241">
        <w:rPr>
          <w:noProof/>
        </w:rPr>
        <w:t xml:space="preserve"> ultimately contributing to people’s well-being.</w:t>
      </w:r>
    </w:p>
    <w:p w14:paraId="1508855C" w14:textId="77777777" w:rsidR="00C016C5" w:rsidRPr="00885241" w:rsidRDefault="00C016C5" w:rsidP="00C016C5">
      <w:pPr>
        <w:rPr>
          <w:noProof/>
        </w:rPr>
      </w:pPr>
      <w:r w:rsidRPr="00885241">
        <w:rPr>
          <w:noProof/>
        </w:rPr>
        <w:t xml:space="preserve">Moreover, Horizon Europe is designed to optimise delivery to strengthen the impact and attractiveness of the European </w:t>
      </w:r>
      <w:r>
        <w:rPr>
          <w:noProof/>
        </w:rPr>
        <w:t>r</w:t>
      </w:r>
      <w:r w:rsidRPr="00885241">
        <w:rPr>
          <w:noProof/>
        </w:rPr>
        <w:t xml:space="preserve">esearch </w:t>
      </w:r>
      <w:r>
        <w:rPr>
          <w:noProof/>
        </w:rPr>
        <w:t>a</w:t>
      </w:r>
      <w:r w:rsidRPr="00885241">
        <w:rPr>
          <w:noProof/>
        </w:rPr>
        <w:t xml:space="preserve">rea, to foster excellence-based participation from all Member States, including </w:t>
      </w:r>
      <w:r>
        <w:rPr>
          <w:noProof/>
        </w:rPr>
        <w:t xml:space="preserve">those </w:t>
      </w:r>
      <w:r w:rsidRPr="00885241">
        <w:rPr>
          <w:noProof/>
        </w:rPr>
        <w:t>performing</w:t>
      </w:r>
      <w:r>
        <w:rPr>
          <w:noProof/>
        </w:rPr>
        <w:t xml:space="preserve"> poorly on R</w:t>
      </w:r>
      <w:r>
        <w:rPr>
          <w:rFonts w:ascii="Calibri" w:hAnsi="Calibri" w:cs="Calibri"/>
          <w:noProof/>
        </w:rPr>
        <w:t> </w:t>
      </w:r>
      <w:r>
        <w:rPr>
          <w:noProof/>
        </w:rPr>
        <w:t>&amp;</w:t>
      </w:r>
      <w:r>
        <w:rPr>
          <w:rFonts w:ascii="Calibri" w:hAnsi="Calibri" w:cs="Calibri"/>
          <w:noProof/>
        </w:rPr>
        <w:t> </w:t>
      </w:r>
      <w:r>
        <w:rPr>
          <w:noProof/>
        </w:rPr>
        <w:t>I</w:t>
      </w:r>
      <w:r w:rsidRPr="00885241">
        <w:rPr>
          <w:noProof/>
        </w:rPr>
        <w:t xml:space="preserve">, and to facilitate collaborative links in European </w:t>
      </w:r>
      <w:r>
        <w:rPr>
          <w:noProof/>
        </w:rPr>
        <w:t>R</w:t>
      </w:r>
      <w:r>
        <w:rPr>
          <w:rFonts w:ascii="Calibri" w:hAnsi="Calibri" w:cs="Calibri"/>
          <w:noProof/>
        </w:rPr>
        <w:t> </w:t>
      </w:r>
      <w:r>
        <w:rPr>
          <w:noProof/>
        </w:rPr>
        <w:t>&amp;</w:t>
      </w:r>
      <w:r>
        <w:rPr>
          <w:rFonts w:ascii="Calibri" w:hAnsi="Calibri" w:cs="Calibri"/>
          <w:noProof/>
        </w:rPr>
        <w:t> </w:t>
      </w:r>
      <w:r>
        <w:rPr>
          <w:noProof/>
        </w:rPr>
        <w:t>I</w:t>
      </w:r>
      <w:r w:rsidRPr="00885241">
        <w:rPr>
          <w:noProof/>
        </w:rPr>
        <w:t>.</w:t>
      </w:r>
    </w:p>
    <w:p w14:paraId="02F0DAA4" w14:textId="77777777" w:rsidR="00C016C5" w:rsidRPr="00885241" w:rsidRDefault="00C016C5" w:rsidP="00C016C5">
      <w:pPr>
        <w:pStyle w:val="ppoHeading6"/>
        <w:rPr>
          <w:noProof/>
        </w:rPr>
      </w:pPr>
      <w:r w:rsidRPr="00885241">
        <w:rPr>
          <w:noProof/>
        </w:rPr>
        <w:t>Actions</w:t>
      </w:r>
    </w:p>
    <w:p w14:paraId="6D006C3D" w14:textId="77777777" w:rsidR="00C016C5" w:rsidRPr="00885241" w:rsidRDefault="00C016C5" w:rsidP="00C016C5">
      <w:pPr>
        <w:rPr>
          <w:noProof/>
        </w:rPr>
      </w:pPr>
      <w:r w:rsidRPr="00885241">
        <w:rPr>
          <w:noProof/>
        </w:rPr>
        <w:t>Horizon Europe activities include: fuel</w:t>
      </w:r>
      <w:r>
        <w:rPr>
          <w:noProof/>
        </w:rPr>
        <w:t>ling</w:t>
      </w:r>
      <w:r w:rsidRPr="00885241">
        <w:rPr>
          <w:noProof/>
        </w:rPr>
        <w:t xml:space="preserve"> </w:t>
      </w:r>
      <w:r>
        <w:rPr>
          <w:noProof/>
        </w:rPr>
        <w:t xml:space="preserve">the </w:t>
      </w:r>
      <w:r w:rsidRPr="00885241">
        <w:rPr>
          <w:noProof/>
        </w:rPr>
        <w:t xml:space="preserve">EU’s scientific and technological excellence through </w:t>
      </w:r>
      <w:r>
        <w:rPr>
          <w:noProof/>
        </w:rPr>
        <w:t xml:space="preserve">the </w:t>
      </w:r>
      <w:r w:rsidRPr="00885241">
        <w:rPr>
          <w:noProof/>
        </w:rPr>
        <w:t>European Research Council; funding fellowships and researchers’ mobility; invest</w:t>
      </w:r>
      <w:r>
        <w:rPr>
          <w:noProof/>
        </w:rPr>
        <w:t>ing</w:t>
      </w:r>
      <w:r w:rsidRPr="00885241">
        <w:rPr>
          <w:noProof/>
        </w:rPr>
        <w:t xml:space="preserve"> in world-class research infrastructure; tackling our biggest societal challenges, including </w:t>
      </w:r>
      <w:r>
        <w:rPr>
          <w:noProof/>
        </w:rPr>
        <w:t xml:space="preserve">the </w:t>
      </w:r>
      <w:r w:rsidRPr="00885241">
        <w:rPr>
          <w:noProof/>
        </w:rPr>
        <w:t xml:space="preserve">green and digital transitions and </w:t>
      </w:r>
      <w:r>
        <w:rPr>
          <w:noProof/>
        </w:rPr>
        <w:t>the s</w:t>
      </w:r>
      <w:r w:rsidRPr="00885241">
        <w:rPr>
          <w:noProof/>
        </w:rPr>
        <w:t xml:space="preserve">ustainable </w:t>
      </w:r>
      <w:r>
        <w:rPr>
          <w:noProof/>
        </w:rPr>
        <w:t>d</w:t>
      </w:r>
      <w:r w:rsidRPr="00885241">
        <w:rPr>
          <w:noProof/>
        </w:rPr>
        <w:t xml:space="preserve">evelopment </w:t>
      </w:r>
      <w:r>
        <w:rPr>
          <w:noProof/>
        </w:rPr>
        <w:t>g</w:t>
      </w:r>
      <w:r w:rsidRPr="00885241">
        <w:rPr>
          <w:noProof/>
        </w:rPr>
        <w:t>oals</w:t>
      </w:r>
      <w:r w:rsidRPr="00904FF7">
        <w:rPr>
          <w:noProof/>
        </w:rPr>
        <w:t>;</w:t>
      </w:r>
      <w:r w:rsidRPr="00885241">
        <w:rPr>
          <w:noProof/>
        </w:rPr>
        <w:t xml:space="preserve"> supporting policymaking with independent scientific evidence and technical support</w:t>
      </w:r>
      <w:r>
        <w:rPr>
          <w:noProof/>
        </w:rPr>
        <w:t>;</w:t>
      </w:r>
      <w:r w:rsidRPr="00885241">
        <w:rPr>
          <w:noProof/>
        </w:rPr>
        <w:t xml:space="preserve"> and boost</w:t>
      </w:r>
      <w:r>
        <w:rPr>
          <w:noProof/>
        </w:rPr>
        <w:t>ing</w:t>
      </w:r>
      <w:r w:rsidRPr="00885241">
        <w:rPr>
          <w:noProof/>
        </w:rPr>
        <w:t xml:space="preserve"> </w:t>
      </w:r>
      <w:r>
        <w:rPr>
          <w:noProof/>
        </w:rPr>
        <w:t>the EU</w:t>
      </w:r>
      <w:r w:rsidRPr="00A14B93">
        <w:rPr>
          <w:noProof/>
        </w:rPr>
        <w:t xml:space="preserve">'s </w:t>
      </w:r>
      <w:r w:rsidRPr="00885241">
        <w:rPr>
          <w:noProof/>
        </w:rPr>
        <w:t>innovation uptake, competitiveness and jobs through the European Innovation Council.</w:t>
      </w:r>
    </w:p>
    <w:p w14:paraId="444555E0" w14:textId="77777777" w:rsidR="00C016C5" w:rsidRPr="00885241" w:rsidRDefault="00C016C5" w:rsidP="00C016C5">
      <w:pPr>
        <w:pStyle w:val="ppoHeading6"/>
        <w:rPr>
          <w:noProof/>
        </w:rPr>
      </w:pPr>
      <w:r w:rsidRPr="00885241">
        <w:rPr>
          <w:noProof/>
        </w:rPr>
        <w:t>Delivery mode</w:t>
      </w:r>
    </w:p>
    <w:p w14:paraId="32FC4A91" w14:textId="7D8553C2" w:rsidR="00C016C5" w:rsidRPr="00885241" w:rsidRDefault="00C016C5" w:rsidP="00C016C5">
      <w:pPr>
        <w:rPr>
          <w:noProof/>
        </w:rPr>
      </w:pPr>
      <w:r w:rsidRPr="00885241">
        <w:rPr>
          <w:noProof/>
        </w:rPr>
        <w:t xml:space="preserve">Horizon Europe is implemented directly by the </w:t>
      </w:r>
      <w:r>
        <w:rPr>
          <w:noProof/>
        </w:rPr>
        <w:t xml:space="preserve">European </w:t>
      </w:r>
      <w:r w:rsidRPr="00885241">
        <w:rPr>
          <w:noProof/>
        </w:rPr>
        <w:t xml:space="preserve">Commission or via designated funding bodies. </w:t>
      </w:r>
      <w:r>
        <w:rPr>
          <w:noProof/>
        </w:rPr>
        <w:t>The programme</w:t>
      </w:r>
      <w:r w:rsidRPr="00885241">
        <w:rPr>
          <w:noProof/>
        </w:rPr>
        <w:t xml:space="preserve"> provides funding </w:t>
      </w:r>
      <w:r>
        <w:rPr>
          <w:noProof/>
        </w:rPr>
        <w:t>for</w:t>
      </w:r>
      <w:r w:rsidRPr="00885241">
        <w:rPr>
          <w:noProof/>
        </w:rPr>
        <w:t xml:space="preserve"> indirect action in any of the forms laid down in the </w:t>
      </w:r>
      <w:r>
        <w:rPr>
          <w:noProof/>
        </w:rPr>
        <w:t>f</w:t>
      </w:r>
      <w:r w:rsidRPr="00885241">
        <w:rPr>
          <w:noProof/>
        </w:rPr>
        <w:t xml:space="preserve">inancial </w:t>
      </w:r>
      <w:r>
        <w:rPr>
          <w:noProof/>
        </w:rPr>
        <w:t>r</w:t>
      </w:r>
      <w:r w:rsidRPr="00885241">
        <w:rPr>
          <w:noProof/>
        </w:rPr>
        <w:t xml:space="preserve">egulation, in particular grants (including operating grants), prizes and procurements. It also supports direct action undertaken by the </w:t>
      </w:r>
      <w:r>
        <w:rPr>
          <w:noProof/>
        </w:rPr>
        <w:t xml:space="preserve">Joint Research </w:t>
      </w:r>
      <w:r w:rsidR="00D13965">
        <w:rPr>
          <w:noProof/>
        </w:rPr>
        <w:t>Centre</w:t>
      </w:r>
      <w:r w:rsidRPr="00885241">
        <w:rPr>
          <w:noProof/>
        </w:rPr>
        <w:t>.</w:t>
      </w:r>
    </w:p>
    <w:p w14:paraId="13C56E80" w14:textId="77777777" w:rsidR="00C016C5" w:rsidRPr="00885241" w:rsidRDefault="00C016C5" w:rsidP="00C016C5">
      <w:pPr>
        <w:pStyle w:val="ppoHeading6"/>
        <w:rPr>
          <w:noProof/>
        </w:rPr>
      </w:pPr>
      <w:r w:rsidRPr="00885241">
        <w:rPr>
          <w:noProof/>
        </w:rPr>
        <w:t>LINK TO THE 2014-2020 multiannual financial framework</w:t>
      </w:r>
    </w:p>
    <w:p w14:paraId="182CE577" w14:textId="77777777" w:rsidR="00C016C5" w:rsidRPr="00885241" w:rsidRDefault="00C016C5" w:rsidP="00C016C5">
      <w:pPr>
        <w:rPr>
          <w:noProof/>
        </w:rPr>
      </w:pPr>
      <w:r w:rsidRPr="00885241">
        <w:rPr>
          <w:noProof/>
        </w:rPr>
        <w:t>Horizon Europe builds on the positive results of its predecessor, Horizon 2020. As a result of the interim evaluation of the Horizon 2020 programme, some changes were made that have been maintained under Horizon Europe, for example the European Innovation Council pilot</w:t>
      </w:r>
      <w:r>
        <w:rPr>
          <w:noProof/>
        </w:rPr>
        <w:t xml:space="preserve"> project</w:t>
      </w:r>
      <w:r w:rsidRPr="00885241">
        <w:rPr>
          <w:noProof/>
        </w:rPr>
        <w:t xml:space="preserve"> launched in 2017 to support breakthrough innovation. In addition, novelties have been introduced in Horizon Europe, notably:</w:t>
      </w:r>
    </w:p>
    <w:p w14:paraId="0D6BCC38" w14:textId="77777777" w:rsidR="00C016C5" w:rsidRPr="00885241" w:rsidRDefault="00C016C5" w:rsidP="00C016C5">
      <w:pPr>
        <w:pStyle w:val="ppoListHyphened-L1"/>
        <w:rPr>
          <w:noProof/>
        </w:rPr>
      </w:pPr>
      <w:r w:rsidRPr="00885241">
        <w:rPr>
          <w:noProof/>
        </w:rPr>
        <w:t>EU missions, to deliver targeted solutions to societal challenges together with citizens;</w:t>
      </w:r>
    </w:p>
    <w:p w14:paraId="7B86267B" w14:textId="77777777" w:rsidR="00C016C5" w:rsidRPr="00885241" w:rsidRDefault="00C016C5" w:rsidP="00C016C5">
      <w:pPr>
        <w:pStyle w:val="ppoListHyphened-L1"/>
        <w:rPr>
          <w:noProof/>
        </w:rPr>
      </w:pPr>
      <w:r>
        <w:rPr>
          <w:noProof/>
        </w:rPr>
        <w:t>a</w:t>
      </w:r>
      <w:r w:rsidRPr="00885241">
        <w:rPr>
          <w:noProof/>
        </w:rPr>
        <w:t xml:space="preserve"> streamlined approach to European </w:t>
      </w:r>
      <w:r>
        <w:rPr>
          <w:noProof/>
        </w:rPr>
        <w:t>p</w:t>
      </w:r>
      <w:r w:rsidRPr="00885241">
        <w:rPr>
          <w:noProof/>
        </w:rPr>
        <w:t>artnerships, to rationalise the funding landscape;</w:t>
      </w:r>
    </w:p>
    <w:p w14:paraId="647F27FB" w14:textId="77777777" w:rsidR="00C016C5" w:rsidRPr="00885241" w:rsidRDefault="00C016C5" w:rsidP="00C016C5">
      <w:pPr>
        <w:pStyle w:val="ppoListHyphened-L1"/>
        <w:rPr>
          <w:noProof/>
        </w:rPr>
      </w:pPr>
      <w:r>
        <w:rPr>
          <w:noProof/>
        </w:rPr>
        <w:t>e</w:t>
      </w:r>
      <w:r w:rsidRPr="00885241">
        <w:rPr>
          <w:noProof/>
        </w:rPr>
        <w:t>xtended association possibilities, to strengthen international cooperation;</w:t>
      </w:r>
    </w:p>
    <w:p w14:paraId="7D2DA637" w14:textId="77777777" w:rsidR="00C016C5" w:rsidRPr="00885241" w:rsidRDefault="00C016C5" w:rsidP="00C016C5">
      <w:pPr>
        <w:pStyle w:val="ppoListHyphened-L1"/>
        <w:rPr>
          <w:noProof/>
        </w:rPr>
      </w:pPr>
      <w:r>
        <w:rPr>
          <w:noProof/>
        </w:rPr>
        <w:t>the o</w:t>
      </w:r>
      <w:r w:rsidRPr="00885241">
        <w:rPr>
          <w:noProof/>
        </w:rPr>
        <w:t xml:space="preserve">pen </w:t>
      </w:r>
      <w:r>
        <w:rPr>
          <w:noProof/>
        </w:rPr>
        <w:t>s</w:t>
      </w:r>
      <w:r w:rsidRPr="00885241">
        <w:rPr>
          <w:noProof/>
        </w:rPr>
        <w:t>cience policy, to reinforce openness;</w:t>
      </w:r>
    </w:p>
    <w:p w14:paraId="5B4E8A9C" w14:textId="77777777" w:rsidR="00C016C5" w:rsidRPr="00885241" w:rsidRDefault="00C016C5" w:rsidP="00C016C5">
      <w:pPr>
        <w:pStyle w:val="ppoListHyphened-L1"/>
        <w:rPr>
          <w:noProof/>
        </w:rPr>
      </w:pPr>
      <w:bookmarkStart w:id="22" w:name="_Hlk101273854"/>
      <w:r>
        <w:rPr>
          <w:noProof/>
        </w:rPr>
        <w:t>w</w:t>
      </w:r>
      <w:r w:rsidRPr="00885241">
        <w:rPr>
          <w:noProof/>
        </w:rPr>
        <w:t xml:space="preserve">idening participation and spreading excellence, to decrease the </w:t>
      </w:r>
      <w:r>
        <w:rPr>
          <w:noProof/>
        </w:rPr>
        <w:t>R</w:t>
      </w:r>
      <w:r>
        <w:rPr>
          <w:rFonts w:ascii="Calibri" w:hAnsi="Calibri" w:cs="Calibri"/>
          <w:noProof/>
        </w:rPr>
        <w:t> </w:t>
      </w:r>
      <w:r>
        <w:rPr>
          <w:noProof/>
        </w:rPr>
        <w:t>&amp;</w:t>
      </w:r>
      <w:r>
        <w:rPr>
          <w:rFonts w:ascii="Calibri" w:hAnsi="Calibri" w:cs="Calibri"/>
          <w:noProof/>
        </w:rPr>
        <w:t> </w:t>
      </w:r>
      <w:r>
        <w:rPr>
          <w:noProof/>
        </w:rPr>
        <w:t>I</w:t>
      </w:r>
      <w:r w:rsidRPr="00885241">
        <w:rPr>
          <w:noProof/>
        </w:rPr>
        <w:t xml:space="preserve"> gap in </w:t>
      </w:r>
      <w:r>
        <w:rPr>
          <w:noProof/>
        </w:rPr>
        <w:t>the EU</w:t>
      </w:r>
      <w:bookmarkEnd w:id="22"/>
      <w:r w:rsidRPr="00885241">
        <w:rPr>
          <w:noProof/>
        </w:rPr>
        <w:t>;</w:t>
      </w:r>
    </w:p>
    <w:p w14:paraId="6F285B9C" w14:textId="77777777" w:rsidR="00C016C5" w:rsidRPr="00885241" w:rsidRDefault="00C016C5" w:rsidP="00C016C5">
      <w:pPr>
        <w:pStyle w:val="ppoListHyphened-L1"/>
        <w:rPr>
          <w:noProof/>
        </w:rPr>
      </w:pPr>
      <w:r>
        <w:rPr>
          <w:noProof/>
        </w:rPr>
        <w:t>s</w:t>
      </w:r>
      <w:r w:rsidRPr="00885241">
        <w:rPr>
          <w:noProof/>
        </w:rPr>
        <w:t xml:space="preserve">ynergies with other EU programmes and policies, to increase the </w:t>
      </w:r>
      <w:r>
        <w:rPr>
          <w:noProof/>
        </w:rPr>
        <w:t>R</w:t>
      </w:r>
      <w:r>
        <w:rPr>
          <w:rFonts w:ascii="Calibri" w:hAnsi="Calibri" w:cs="Calibri"/>
          <w:noProof/>
        </w:rPr>
        <w:t> </w:t>
      </w:r>
      <w:r>
        <w:rPr>
          <w:noProof/>
        </w:rPr>
        <w:t>&amp;</w:t>
      </w:r>
      <w:r>
        <w:rPr>
          <w:rFonts w:ascii="Calibri" w:hAnsi="Calibri" w:cs="Calibri"/>
          <w:noProof/>
        </w:rPr>
        <w:t> </w:t>
      </w:r>
      <w:r>
        <w:rPr>
          <w:noProof/>
        </w:rPr>
        <w:t>I</w:t>
      </w:r>
      <w:r w:rsidRPr="00885241">
        <w:rPr>
          <w:noProof/>
        </w:rPr>
        <w:t xml:space="preserve"> impact;</w:t>
      </w:r>
    </w:p>
    <w:p w14:paraId="7A4F60CF" w14:textId="77777777" w:rsidR="00C016C5" w:rsidRPr="00885241" w:rsidRDefault="00C016C5" w:rsidP="00C016C5">
      <w:pPr>
        <w:pStyle w:val="ppoListHyphened-L1"/>
        <w:rPr>
          <w:noProof/>
        </w:rPr>
      </w:pPr>
      <w:r>
        <w:rPr>
          <w:noProof/>
        </w:rPr>
        <w:t>s</w:t>
      </w:r>
      <w:r w:rsidRPr="00885241">
        <w:rPr>
          <w:noProof/>
        </w:rPr>
        <w:t>impler rules, to reduce administrative burden</w:t>
      </w:r>
      <w:r>
        <w:rPr>
          <w:noProof/>
        </w:rPr>
        <w:t>s</w:t>
      </w:r>
      <w:r w:rsidRPr="00885241">
        <w:rPr>
          <w:noProof/>
        </w:rPr>
        <w:t>.</w:t>
      </w:r>
    </w:p>
    <w:p w14:paraId="5241F031" w14:textId="77777777" w:rsidR="00C016C5" w:rsidRPr="00885241" w:rsidRDefault="00C016C5" w:rsidP="00C016C5">
      <w:pPr>
        <w:pStyle w:val="ppoHeading6"/>
        <w:rPr>
          <w:noProof/>
        </w:rPr>
      </w:pPr>
      <w:r w:rsidRPr="00885241">
        <w:rPr>
          <w:noProof/>
        </w:rPr>
        <w:t>Impact assessment</w:t>
      </w:r>
    </w:p>
    <w:p w14:paraId="46A85F8B" w14:textId="77777777" w:rsidR="00C016C5" w:rsidRPr="00885241" w:rsidRDefault="00C016C5" w:rsidP="00C016C5">
      <w:pPr>
        <w:rPr>
          <w:noProof/>
        </w:rPr>
      </w:pPr>
      <w:r w:rsidRPr="00885241">
        <w:rPr>
          <w:noProof/>
        </w:rPr>
        <w:t>The impact assessment of Horizon Europe was carried out in 2018.</w:t>
      </w:r>
    </w:p>
    <w:p w14:paraId="446625DF" w14:textId="77777777" w:rsidR="00C016C5" w:rsidRPr="00885241" w:rsidRDefault="00C016C5" w:rsidP="00C016C5">
      <w:pPr>
        <w:rPr>
          <w:noProof/>
        </w:rPr>
      </w:pPr>
      <w:r w:rsidRPr="00885241">
        <w:rPr>
          <w:noProof/>
        </w:rPr>
        <w:t xml:space="preserve">For further information please consult: </w:t>
      </w:r>
      <w:hyperlink r:id="rId87" w:history="1">
        <w:r w:rsidRPr="00885241">
          <w:rPr>
            <w:rStyle w:val="Hyperlink"/>
            <w:noProof/>
          </w:rPr>
          <w:t>https://europa.eu/!Px33mc</w:t>
        </w:r>
      </w:hyperlink>
    </w:p>
    <w:p w14:paraId="1DC7B5B4" w14:textId="77777777" w:rsidR="00C016C5" w:rsidRPr="00885241" w:rsidRDefault="00C016C5" w:rsidP="00C016C5">
      <w:pPr>
        <w:pStyle w:val="ppoHeading6"/>
        <w:rPr>
          <w:noProof/>
        </w:rPr>
      </w:pPr>
      <w:r w:rsidRPr="00885241">
        <w:rPr>
          <w:noProof/>
        </w:rPr>
        <w:t>WEBSITE FOR more information</w:t>
      </w:r>
    </w:p>
    <w:p w14:paraId="11927E21" w14:textId="77777777" w:rsidR="00C016C5" w:rsidRPr="00885241" w:rsidRDefault="00E01E9B" w:rsidP="00C016C5">
      <w:pPr>
        <w:rPr>
          <w:noProof/>
        </w:rPr>
      </w:pPr>
      <w:hyperlink r:id="rId88" w:history="1">
        <w:r w:rsidR="00C016C5" w:rsidRPr="00885241">
          <w:rPr>
            <w:rStyle w:val="Hyperlink"/>
            <w:noProof/>
          </w:rPr>
          <w:t>https://europa.eu/!kY78ur</w:t>
        </w:r>
      </w:hyperlink>
    </w:p>
    <w:p w14:paraId="3BFD7342" w14:textId="77777777" w:rsidR="00C016C5" w:rsidRPr="00885241" w:rsidRDefault="00C016C5" w:rsidP="00C016C5">
      <w:pPr>
        <w:pStyle w:val="ppoHeading5"/>
        <w:rPr>
          <w:noProof/>
        </w:rPr>
      </w:pPr>
      <w:r w:rsidRPr="00885241">
        <w:rPr>
          <w:rFonts w:eastAsiaTheme="minorEastAsia"/>
          <w:noProof/>
        </w:rPr>
        <w:t xml:space="preserve">Legal </w:t>
      </w:r>
      <w:r>
        <w:rPr>
          <w:rFonts w:eastAsiaTheme="minorEastAsia"/>
          <w:noProof/>
        </w:rPr>
        <w:t>b</w:t>
      </w:r>
      <w:r w:rsidRPr="00885241">
        <w:rPr>
          <w:rFonts w:eastAsiaTheme="minorEastAsia"/>
          <w:noProof/>
        </w:rPr>
        <w:t>as</w:t>
      </w:r>
      <w:r>
        <w:rPr>
          <w:rFonts w:eastAsiaTheme="minorEastAsia"/>
          <w:noProof/>
        </w:rPr>
        <w:t>is</w:t>
      </w:r>
    </w:p>
    <w:p w14:paraId="053B7875" w14:textId="77777777" w:rsidR="00C016C5" w:rsidRPr="00885241" w:rsidRDefault="00C016C5" w:rsidP="00C016C5">
      <w:pPr>
        <w:rPr>
          <w:noProof/>
        </w:rPr>
      </w:pPr>
      <w:r w:rsidRPr="00885241">
        <w:rPr>
          <w:noProof/>
        </w:rPr>
        <w:t>Regulation (EU) 2021/</w:t>
      </w:r>
      <w:r>
        <w:rPr>
          <w:noProof/>
        </w:rPr>
        <w:t xml:space="preserve">695 </w:t>
      </w:r>
      <w:r w:rsidRPr="00885241">
        <w:rPr>
          <w:noProof/>
        </w:rPr>
        <w:t>of the European Parliament and of the Council</w:t>
      </w:r>
      <w:r>
        <w:rPr>
          <w:noProof/>
        </w:rPr>
        <w:t>.</w:t>
      </w:r>
    </w:p>
    <w:p w14:paraId="5588CCEF" w14:textId="77777777" w:rsidR="00C016C5" w:rsidRPr="00885241" w:rsidRDefault="00C016C5" w:rsidP="00C016C5">
      <w:pPr>
        <w:pStyle w:val="ppoHeading4Orange"/>
        <w:rPr>
          <w:caps/>
          <w:noProof/>
        </w:rPr>
      </w:pPr>
      <w:r w:rsidRPr="00885241">
        <w:rPr>
          <w:noProof/>
        </w:rPr>
        <w:t>Implementation and performance</w:t>
      </w:r>
    </w:p>
    <w:p w14:paraId="7C2AE202" w14:textId="77777777" w:rsidR="00C016C5" w:rsidRPr="00885241" w:rsidRDefault="00C016C5" w:rsidP="00C016C5">
      <w:pPr>
        <w:pStyle w:val="ppoHeading5"/>
        <w:rPr>
          <w:noProof/>
        </w:rPr>
      </w:pPr>
      <w:r w:rsidRPr="00885241">
        <w:rPr>
          <w:noProof/>
        </w:rPr>
        <w:t>Budget</w:t>
      </w:r>
    </w:p>
    <w:p w14:paraId="142D6A3B" w14:textId="77777777" w:rsidR="00C016C5" w:rsidRPr="00885241" w:rsidRDefault="00C016C5" w:rsidP="00C016C5">
      <w:pPr>
        <w:pStyle w:val="ppoTableTabletitle"/>
        <w:rPr>
          <w:noProof/>
        </w:rPr>
      </w:pPr>
      <w:r w:rsidRPr="00885241">
        <w:rPr>
          <w:noProof/>
        </w:rPr>
        <w:t>Budget programming (million EUR):</w:t>
      </w:r>
    </w:p>
    <w:tbl>
      <w:tblPr>
        <w:tblStyle w:val="PPO20211"/>
        <w:tblW w:w="9639"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C016C5" w:rsidRPr="00885241" w14:paraId="5BF58533" w14:textId="77777777" w:rsidTr="00813D25">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2D510485" w14:textId="77777777" w:rsidR="00C016C5" w:rsidRPr="00885241" w:rsidRDefault="00C016C5" w:rsidP="00813D25">
            <w:pPr>
              <w:rPr>
                <w:noProof/>
              </w:rPr>
            </w:pPr>
          </w:p>
        </w:tc>
        <w:tc>
          <w:tcPr>
            <w:tcW w:w="943" w:type="dxa"/>
            <w:noWrap/>
            <w:hideMark/>
          </w:tcPr>
          <w:p w14:paraId="182726CE" w14:textId="77777777" w:rsidR="00C016C5" w:rsidRPr="00885241" w:rsidRDefault="00C016C5" w:rsidP="00813D25">
            <w:pPr>
              <w:rPr>
                <w:noProof/>
              </w:rPr>
            </w:pPr>
            <w:r w:rsidRPr="00885241">
              <w:rPr>
                <w:noProof/>
              </w:rPr>
              <w:t>2021</w:t>
            </w:r>
          </w:p>
        </w:tc>
        <w:tc>
          <w:tcPr>
            <w:tcW w:w="944" w:type="dxa"/>
            <w:noWrap/>
            <w:hideMark/>
          </w:tcPr>
          <w:p w14:paraId="31086110" w14:textId="77777777" w:rsidR="00C016C5" w:rsidRPr="00885241" w:rsidRDefault="00C016C5" w:rsidP="00813D25">
            <w:pPr>
              <w:rPr>
                <w:noProof/>
              </w:rPr>
            </w:pPr>
            <w:r w:rsidRPr="00885241">
              <w:rPr>
                <w:noProof/>
              </w:rPr>
              <w:t>2022</w:t>
            </w:r>
          </w:p>
        </w:tc>
        <w:tc>
          <w:tcPr>
            <w:tcW w:w="943" w:type="dxa"/>
            <w:noWrap/>
            <w:hideMark/>
          </w:tcPr>
          <w:p w14:paraId="29806D71" w14:textId="77777777" w:rsidR="00C016C5" w:rsidRPr="00885241" w:rsidRDefault="00C016C5" w:rsidP="00813D25">
            <w:pPr>
              <w:rPr>
                <w:noProof/>
              </w:rPr>
            </w:pPr>
            <w:r w:rsidRPr="00885241">
              <w:rPr>
                <w:noProof/>
              </w:rPr>
              <w:t>2023</w:t>
            </w:r>
          </w:p>
        </w:tc>
        <w:tc>
          <w:tcPr>
            <w:tcW w:w="944" w:type="dxa"/>
            <w:noWrap/>
            <w:hideMark/>
          </w:tcPr>
          <w:p w14:paraId="3EF35E98" w14:textId="77777777" w:rsidR="00C016C5" w:rsidRPr="00885241" w:rsidRDefault="00C016C5" w:rsidP="00813D25">
            <w:pPr>
              <w:rPr>
                <w:noProof/>
              </w:rPr>
            </w:pPr>
            <w:r w:rsidRPr="00885241">
              <w:rPr>
                <w:noProof/>
              </w:rPr>
              <w:t>2024</w:t>
            </w:r>
          </w:p>
        </w:tc>
        <w:tc>
          <w:tcPr>
            <w:tcW w:w="944" w:type="dxa"/>
            <w:noWrap/>
            <w:hideMark/>
          </w:tcPr>
          <w:p w14:paraId="1980BF31" w14:textId="77777777" w:rsidR="00C016C5" w:rsidRPr="00885241" w:rsidRDefault="00C016C5" w:rsidP="00813D25">
            <w:pPr>
              <w:rPr>
                <w:noProof/>
              </w:rPr>
            </w:pPr>
            <w:r w:rsidRPr="00885241">
              <w:rPr>
                <w:noProof/>
              </w:rPr>
              <w:t>2025</w:t>
            </w:r>
          </w:p>
        </w:tc>
        <w:tc>
          <w:tcPr>
            <w:tcW w:w="943" w:type="dxa"/>
            <w:noWrap/>
            <w:hideMark/>
          </w:tcPr>
          <w:p w14:paraId="7B3389B2" w14:textId="77777777" w:rsidR="00C016C5" w:rsidRPr="00885241" w:rsidRDefault="00C016C5" w:rsidP="00813D25">
            <w:pPr>
              <w:rPr>
                <w:noProof/>
              </w:rPr>
            </w:pPr>
            <w:r w:rsidRPr="00885241">
              <w:rPr>
                <w:noProof/>
              </w:rPr>
              <w:t>2026</w:t>
            </w:r>
          </w:p>
        </w:tc>
        <w:tc>
          <w:tcPr>
            <w:tcW w:w="944" w:type="dxa"/>
            <w:noWrap/>
            <w:hideMark/>
          </w:tcPr>
          <w:p w14:paraId="03367C23" w14:textId="77777777" w:rsidR="00C016C5" w:rsidRPr="00885241" w:rsidRDefault="00C016C5" w:rsidP="00813D25">
            <w:pPr>
              <w:rPr>
                <w:noProof/>
              </w:rPr>
            </w:pPr>
            <w:r w:rsidRPr="00885241">
              <w:rPr>
                <w:noProof/>
              </w:rPr>
              <w:t>2027</w:t>
            </w:r>
          </w:p>
        </w:tc>
        <w:tc>
          <w:tcPr>
            <w:tcW w:w="944" w:type="dxa"/>
            <w:noWrap/>
            <w:hideMark/>
          </w:tcPr>
          <w:p w14:paraId="5C44F19A" w14:textId="77777777" w:rsidR="00C016C5" w:rsidRPr="00885241" w:rsidRDefault="00C016C5" w:rsidP="00813D25">
            <w:pPr>
              <w:rPr>
                <w:noProof/>
              </w:rPr>
            </w:pPr>
            <w:r w:rsidRPr="00885241">
              <w:rPr>
                <w:noProof/>
              </w:rPr>
              <w:t>Total</w:t>
            </w:r>
          </w:p>
        </w:tc>
      </w:tr>
      <w:tr w:rsidR="0017533F" w:rsidRPr="00885241" w14:paraId="42BEA915" w14:textId="77777777" w:rsidTr="00813D25">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7503E7B7" w14:textId="16912BBB" w:rsidR="0017533F" w:rsidRPr="00885241" w:rsidRDefault="0017533F" w:rsidP="0017533F">
            <w:pPr>
              <w:rPr>
                <w:noProof/>
              </w:rPr>
            </w:pPr>
            <w:r w:rsidRPr="00885241">
              <w:rPr>
                <w:noProof/>
              </w:rPr>
              <w:t>Financial programming</w:t>
            </w:r>
          </w:p>
        </w:tc>
        <w:tc>
          <w:tcPr>
            <w:tcW w:w="943" w:type="dxa"/>
            <w:noWrap/>
            <w:vAlign w:val="bottom"/>
            <w:hideMark/>
          </w:tcPr>
          <w:p w14:paraId="31DD50CA" w14:textId="5975DD8E" w:rsidR="0017533F" w:rsidRPr="00885241" w:rsidRDefault="0017533F" w:rsidP="0017533F">
            <w:pPr>
              <w:jc w:val="right"/>
              <w:rPr>
                <w:noProof/>
                <w:sz w:val="18"/>
                <w:szCs w:val="18"/>
              </w:rPr>
            </w:pPr>
            <w:r>
              <w:rPr>
                <w:rFonts w:ascii="Calibri" w:hAnsi="Calibri" w:cs="Calibri"/>
                <w:noProof/>
                <w:color w:val="000000"/>
              </w:rPr>
              <w:t>11 527.6</w:t>
            </w:r>
          </w:p>
        </w:tc>
        <w:tc>
          <w:tcPr>
            <w:tcW w:w="944" w:type="dxa"/>
            <w:noWrap/>
            <w:vAlign w:val="bottom"/>
            <w:hideMark/>
          </w:tcPr>
          <w:p w14:paraId="12713239" w14:textId="1153FCF4" w:rsidR="0017533F" w:rsidRPr="00885241" w:rsidRDefault="0017533F" w:rsidP="0017533F">
            <w:pPr>
              <w:jc w:val="right"/>
              <w:rPr>
                <w:noProof/>
                <w:sz w:val="18"/>
                <w:szCs w:val="18"/>
              </w:rPr>
            </w:pPr>
            <w:r>
              <w:rPr>
                <w:rFonts w:ascii="Calibri" w:hAnsi="Calibri" w:cs="Calibri"/>
                <w:noProof/>
                <w:color w:val="000000"/>
              </w:rPr>
              <w:t>12 239.2</w:t>
            </w:r>
          </w:p>
        </w:tc>
        <w:tc>
          <w:tcPr>
            <w:tcW w:w="943" w:type="dxa"/>
            <w:noWrap/>
            <w:vAlign w:val="bottom"/>
            <w:hideMark/>
          </w:tcPr>
          <w:p w14:paraId="1BA06A35" w14:textId="7EEB2346" w:rsidR="0017533F" w:rsidRPr="00885241" w:rsidRDefault="0017533F" w:rsidP="0017533F">
            <w:pPr>
              <w:jc w:val="right"/>
              <w:rPr>
                <w:noProof/>
                <w:sz w:val="18"/>
                <w:szCs w:val="18"/>
              </w:rPr>
            </w:pPr>
            <w:r>
              <w:rPr>
                <w:rFonts w:ascii="Calibri" w:hAnsi="Calibri" w:cs="Calibri"/>
                <w:noProof/>
                <w:color w:val="000000"/>
              </w:rPr>
              <w:t>12 342.9</w:t>
            </w:r>
          </w:p>
        </w:tc>
        <w:tc>
          <w:tcPr>
            <w:tcW w:w="944" w:type="dxa"/>
            <w:noWrap/>
            <w:vAlign w:val="bottom"/>
            <w:hideMark/>
          </w:tcPr>
          <w:p w14:paraId="74174140" w14:textId="1DB5208E" w:rsidR="0017533F" w:rsidRPr="00885241" w:rsidRDefault="0017533F" w:rsidP="0017533F">
            <w:pPr>
              <w:jc w:val="right"/>
              <w:rPr>
                <w:noProof/>
                <w:sz w:val="18"/>
                <w:szCs w:val="18"/>
              </w:rPr>
            </w:pPr>
            <w:r>
              <w:rPr>
                <w:rFonts w:ascii="Calibri" w:hAnsi="Calibri" w:cs="Calibri"/>
                <w:noProof/>
                <w:color w:val="000000"/>
              </w:rPr>
              <w:t>12 271.6</w:t>
            </w:r>
          </w:p>
        </w:tc>
        <w:tc>
          <w:tcPr>
            <w:tcW w:w="944" w:type="dxa"/>
            <w:noWrap/>
            <w:vAlign w:val="bottom"/>
            <w:hideMark/>
          </w:tcPr>
          <w:p w14:paraId="3B2F37D3" w14:textId="48AE9F42" w:rsidR="0017533F" w:rsidRPr="00885241" w:rsidRDefault="0017533F" w:rsidP="0017533F">
            <w:pPr>
              <w:jc w:val="right"/>
              <w:rPr>
                <w:noProof/>
                <w:sz w:val="18"/>
                <w:szCs w:val="18"/>
              </w:rPr>
            </w:pPr>
            <w:r>
              <w:rPr>
                <w:rFonts w:ascii="Calibri" w:hAnsi="Calibri" w:cs="Calibri"/>
                <w:noProof/>
                <w:color w:val="000000"/>
              </w:rPr>
              <w:t>12 513.6</w:t>
            </w:r>
          </w:p>
        </w:tc>
        <w:tc>
          <w:tcPr>
            <w:tcW w:w="943" w:type="dxa"/>
            <w:noWrap/>
            <w:vAlign w:val="bottom"/>
            <w:hideMark/>
          </w:tcPr>
          <w:p w14:paraId="1D7D71FF" w14:textId="6E207F3D" w:rsidR="0017533F" w:rsidRPr="00885241" w:rsidRDefault="0017533F" w:rsidP="0017533F">
            <w:pPr>
              <w:jc w:val="right"/>
              <w:rPr>
                <w:noProof/>
                <w:sz w:val="18"/>
                <w:szCs w:val="18"/>
              </w:rPr>
            </w:pPr>
            <w:r>
              <w:rPr>
                <w:rFonts w:ascii="Calibri" w:hAnsi="Calibri" w:cs="Calibri"/>
                <w:noProof/>
                <w:color w:val="000000"/>
              </w:rPr>
              <w:t>12 775.6</w:t>
            </w:r>
          </w:p>
        </w:tc>
        <w:tc>
          <w:tcPr>
            <w:tcW w:w="944" w:type="dxa"/>
            <w:noWrap/>
            <w:vAlign w:val="bottom"/>
            <w:hideMark/>
          </w:tcPr>
          <w:p w14:paraId="708AFD07" w14:textId="6FBE4650" w:rsidR="0017533F" w:rsidRPr="00885241" w:rsidRDefault="0017533F" w:rsidP="0017533F">
            <w:pPr>
              <w:jc w:val="right"/>
              <w:rPr>
                <w:noProof/>
                <w:sz w:val="18"/>
                <w:szCs w:val="18"/>
              </w:rPr>
            </w:pPr>
            <w:r>
              <w:rPr>
                <w:rFonts w:ascii="Calibri" w:hAnsi="Calibri" w:cs="Calibri"/>
                <w:noProof/>
                <w:color w:val="000000"/>
              </w:rPr>
              <w:t>13 027.6</w:t>
            </w:r>
          </w:p>
        </w:tc>
        <w:tc>
          <w:tcPr>
            <w:tcW w:w="944" w:type="dxa"/>
            <w:noWrap/>
            <w:vAlign w:val="bottom"/>
            <w:hideMark/>
          </w:tcPr>
          <w:p w14:paraId="1F19FAFE" w14:textId="719C4E57" w:rsidR="0017533F" w:rsidRPr="00885241" w:rsidRDefault="0017533F" w:rsidP="0017533F">
            <w:pPr>
              <w:jc w:val="right"/>
              <w:rPr>
                <w:noProof/>
                <w:sz w:val="18"/>
                <w:szCs w:val="18"/>
              </w:rPr>
            </w:pPr>
            <w:r>
              <w:rPr>
                <w:rFonts w:ascii="Calibri" w:hAnsi="Calibri" w:cs="Calibri"/>
                <w:noProof/>
                <w:color w:val="000000"/>
              </w:rPr>
              <w:t>86 698.0</w:t>
            </w:r>
          </w:p>
        </w:tc>
      </w:tr>
      <w:tr w:rsidR="0017533F" w:rsidRPr="00885241" w14:paraId="50B3AA2C" w14:textId="77777777" w:rsidTr="006F409B">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2769570F" w14:textId="72312C29" w:rsidR="0017533F" w:rsidRPr="00885241" w:rsidRDefault="0017533F" w:rsidP="0017533F">
            <w:pPr>
              <w:rPr>
                <w:noProof/>
              </w:rPr>
            </w:pPr>
            <w:r w:rsidRPr="00885241">
              <w:rPr>
                <w:noProof/>
              </w:rPr>
              <w:t>NextGenerationEU</w:t>
            </w:r>
          </w:p>
        </w:tc>
        <w:tc>
          <w:tcPr>
            <w:tcW w:w="943" w:type="dxa"/>
            <w:noWrap/>
            <w:hideMark/>
          </w:tcPr>
          <w:p w14:paraId="0F3D986B" w14:textId="12B74C8A" w:rsidR="0017533F" w:rsidRPr="00885241" w:rsidRDefault="0017533F" w:rsidP="0017533F">
            <w:pPr>
              <w:jc w:val="right"/>
              <w:rPr>
                <w:noProof/>
                <w:sz w:val="18"/>
                <w:szCs w:val="18"/>
              </w:rPr>
            </w:pPr>
            <w:r w:rsidRPr="00885241">
              <w:rPr>
                <w:noProof/>
                <w:sz w:val="18"/>
                <w:szCs w:val="18"/>
              </w:rPr>
              <w:t>1</w:t>
            </w:r>
            <w:r>
              <w:rPr>
                <w:rFonts w:ascii="Calibri" w:hAnsi="Calibri" w:cs="Calibri"/>
                <w:noProof/>
                <w:sz w:val="18"/>
                <w:szCs w:val="18"/>
              </w:rPr>
              <w:t> </w:t>
            </w:r>
            <w:r w:rsidRPr="00885241">
              <w:rPr>
                <w:noProof/>
                <w:sz w:val="18"/>
                <w:szCs w:val="18"/>
              </w:rPr>
              <w:t>772.0</w:t>
            </w:r>
          </w:p>
        </w:tc>
        <w:tc>
          <w:tcPr>
            <w:tcW w:w="944" w:type="dxa"/>
            <w:noWrap/>
            <w:hideMark/>
          </w:tcPr>
          <w:p w14:paraId="490CFCAA" w14:textId="243DF502" w:rsidR="0017533F" w:rsidRPr="00885241" w:rsidRDefault="0017533F" w:rsidP="0017533F">
            <w:pPr>
              <w:jc w:val="right"/>
              <w:rPr>
                <w:noProof/>
                <w:sz w:val="18"/>
                <w:szCs w:val="18"/>
              </w:rPr>
            </w:pPr>
            <w:r w:rsidRPr="00885241">
              <w:rPr>
                <w:noProof/>
                <w:sz w:val="18"/>
                <w:szCs w:val="18"/>
              </w:rPr>
              <w:t>1</w:t>
            </w:r>
            <w:r>
              <w:rPr>
                <w:rFonts w:ascii="Calibri" w:hAnsi="Calibri" w:cs="Calibri"/>
                <w:noProof/>
                <w:sz w:val="18"/>
                <w:szCs w:val="18"/>
              </w:rPr>
              <w:t> </w:t>
            </w:r>
            <w:r w:rsidRPr="00885241">
              <w:rPr>
                <w:noProof/>
                <w:sz w:val="18"/>
                <w:szCs w:val="18"/>
              </w:rPr>
              <w:t>776.8</w:t>
            </w:r>
          </w:p>
        </w:tc>
        <w:tc>
          <w:tcPr>
            <w:tcW w:w="943" w:type="dxa"/>
            <w:noWrap/>
            <w:vAlign w:val="bottom"/>
            <w:hideMark/>
          </w:tcPr>
          <w:p w14:paraId="1245DDA7" w14:textId="504CCF6C" w:rsidR="0017533F" w:rsidRPr="00885241" w:rsidRDefault="0017533F" w:rsidP="0017533F">
            <w:pPr>
              <w:jc w:val="right"/>
              <w:rPr>
                <w:noProof/>
                <w:sz w:val="18"/>
                <w:szCs w:val="18"/>
              </w:rPr>
            </w:pPr>
            <w:r>
              <w:rPr>
                <w:rFonts w:ascii="Calibri" w:hAnsi="Calibri" w:cs="Calibri"/>
                <w:noProof/>
                <w:color w:val="000000"/>
              </w:rPr>
              <w:t>1 828.3</w:t>
            </w:r>
          </w:p>
        </w:tc>
        <w:tc>
          <w:tcPr>
            <w:tcW w:w="944" w:type="dxa"/>
            <w:noWrap/>
            <w:vAlign w:val="bottom"/>
            <w:hideMark/>
          </w:tcPr>
          <w:p w14:paraId="1D55059E" w14:textId="2DBE3AE0" w:rsidR="0017533F" w:rsidRPr="00885241" w:rsidRDefault="0017533F" w:rsidP="0017533F">
            <w:pPr>
              <w:jc w:val="right"/>
              <w:rPr>
                <w:noProof/>
                <w:sz w:val="18"/>
                <w:szCs w:val="18"/>
              </w:rPr>
            </w:pPr>
            <w:r>
              <w:rPr>
                <w:rFonts w:ascii="Calibri" w:hAnsi="Calibri" w:cs="Calibri"/>
                <w:noProof/>
                <w:color w:val="000000"/>
              </w:rPr>
              <w:t>13.1</w:t>
            </w:r>
          </w:p>
        </w:tc>
        <w:tc>
          <w:tcPr>
            <w:tcW w:w="944" w:type="dxa"/>
            <w:noWrap/>
            <w:vAlign w:val="bottom"/>
            <w:hideMark/>
          </w:tcPr>
          <w:p w14:paraId="61C54FD8" w14:textId="75E578A4" w:rsidR="0017533F" w:rsidRPr="00885241" w:rsidRDefault="0017533F" w:rsidP="0017533F">
            <w:pPr>
              <w:jc w:val="right"/>
              <w:rPr>
                <w:noProof/>
                <w:sz w:val="18"/>
                <w:szCs w:val="18"/>
              </w:rPr>
            </w:pPr>
            <w:r>
              <w:rPr>
                <w:rFonts w:ascii="Calibri" w:hAnsi="Calibri" w:cs="Calibri"/>
                <w:noProof/>
                <w:color w:val="000000"/>
              </w:rPr>
              <w:t>9.6</w:t>
            </w:r>
          </w:p>
        </w:tc>
        <w:tc>
          <w:tcPr>
            <w:tcW w:w="943" w:type="dxa"/>
            <w:noWrap/>
            <w:vAlign w:val="bottom"/>
            <w:hideMark/>
          </w:tcPr>
          <w:p w14:paraId="6994FC50" w14:textId="7F52208A" w:rsidR="0017533F" w:rsidRPr="00885241" w:rsidRDefault="0017533F" w:rsidP="0017533F">
            <w:pPr>
              <w:jc w:val="right"/>
              <w:rPr>
                <w:noProof/>
                <w:sz w:val="18"/>
                <w:szCs w:val="18"/>
              </w:rPr>
            </w:pPr>
            <w:r>
              <w:rPr>
                <w:rFonts w:ascii="Calibri" w:hAnsi="Calibri" w:cs="Calibri"/>
                <w:noProof/>
                <w:color w:val="000000"/>
              </w:rPr>
              <w:t>7.3</w:t>
            </w:r>
          </w:p>
        </w:tc>
        <w:tc>
          <w:tcPr>
            <w:tcW w:w="944" w:type="dxa"/>
            <w:noWrap/>
            <w:vAlign w:val="bottom"/>
            <w:hideMark/>
          </w:tcPr>
          <w:p w14:paraId="13A08A04" w14:textId="0CB73CCE" w:rsidR="0017533F" w:rsidRPr="00885241" w:rsidRDefault="0017533F" w:rsidP="0017533F">
            <w:pPr>
              <w:jc w:val="right"/>
              <w:rPr>
                <w:noProof/>
                <w:sz w:val="18"/>
                <w:szCs w:val="18"/>
              </w:rPr>
            </w:pPr>
            <w:r>
              <w:rPr>
                <w:rFonts w:ascii="Calibri" w:hAnsi="Calibri" w:cs="Calibri"/>
                <w:noProof/>
                <w:color w:val="000000"/>
              </w:rPr>
              <w:t>4.9</w:t>
            </w:r>
          </w:p>
        </w:tc>
        <w:tc>
          <w:tcPr>
            <w:tcW w:w="944" w:type="dxa"/>
            <w:noWrap/>
            <w:hideMark/>
          </w:tcPr>
          <w:p w14:paraId="10DB8616" w14:textId="62DD010C" w:rsidR="0017533F" w:rsidRPr="00885241" w:rsidRDefault="0017533F" w:rsidP="0017533F">
            <w:pPr>
              <w:jc w:val="right"/>
              <w:rPr>
                <w:noProof/>
                <w:sz w:val="18"/>
                <w:szCs w:val="18"/>
              </w:rPr>
            </w:pPr>
            <w:r w:rsidRPr="00885241">
              <w:rPr>
                <w:noProof/>
                <w:sz w:val="18"/>
                <w:szCs w:val="18"/>
              </w:rPr>
              <w:t>5</w:t>
            </w:r>
            <w:r>
              <w:rPr>
                <w:rFonts w:ascii="Calibri" w:hAnsi="Calibri" w:cs="Calibri"/>
                <w:noProof/>
                <w:sz w:val="18"/>
                <w:szCs w:val="18"/>
              </w:rPr>
              <w:t> </w:t>
            </w:r>
            <w:r w:rsidRPr="00885241">
              <w:rPr>
                <w:noProof/>
                <w:sz w:val="18"/>
                <w:szCs w:val="18"/>
              </w:rPr>
              <w:t>412.0</w:t>
            </w:r>
          </w:p>
        </w:tc>
      </w:tr>
      <w:tr w:rsidR="008C44D2" w:rsidRPr="00885241" w14:paraId="11B75D11" w14:textId="77777777" w:rsidTr="00813D25">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17942BF5" w14:textId="265E7568" w:rsidR="008C44D2" w:rsidRPr="00885241" w:rsidRDefault="008C44D2" w:rsidP="008C44D2">
            <w:pPr>
              <w:rPr>
                <w:noProof/>
              </w:rPr>
            </w:pPr>
            <w:r w:rsidRPr="00885241">
              <w:rPr>
                <w:noProof/>
              </w:rPr>
              <w:t>Decommitments made available again</w:t>
            </w:r>
            <w:r>
              <w:rPr>
                <w:rFonts w:ascii="Calibri" w:hAnsi="Calibri" w:cs="Calibri"/>
                <w:noProof/>
              </w:rPr>
              <w:t> (</w:t>
            </w:r>
            <w:r w:rsidRPr="00885241">
              <w:rPr>
                <w:noProof/>
              </w:rPr>
              <w:t>*</w:t>
            </w:r>
            <w:r>
              <w:rPr>
                <w:noProof/>
              </w:rPr>
              <w:t>)</w:t>
            </w:r>
          </w:p>
        </w:tc>
        <w:tc>
          <w:tcPr>
            <w:tcW w:w="943" w:type="dxa"/>
            <w:noWrap/>
            <w:hideMark/>
          </w:tcPr>
          <w:p w14:paraId="2A6724E8" w14:textId="5005C8E8" w:rsidR="008C44D2" w:rsidRPr="00885241" w:rsidRDefault="008C44D2" w:rsidP="008C44D2">
            <w:pPr>
              <w:jc w:val="right"/>
              <w:rPr>
                <w:noProof/>
                <w:sz w:val="18"/>
                <w:szCs w:val="18"/>
              </w:rPr>
            </w:pPr>
            <w:r w:rsidRPr="00885241">
              <w:rPr>
                <w:noProof/>
                <w:sz w:val="18"/>
                <w:szCs w:val="18"/>
              </w:rPr>
              <w:t>20.0</w:t>
            </w:r>
          </w:p>
        </w:tc>
        <w:tc>
          <w:tcPr>
            <w:tcW w:w="944" w:type="dxa"/>
            <w:noWrap/>
          </w:tcPr>
          <w:p w14:paraId="51FF9605" w14:textId="77777777" w:rsidR="008C44D2" w:rsidRPr="00885241" w:rsidRDefault="008C44D2" w:rsidP="008C44D2">
            <w:pPr>
              <w:jc w:val="right"/>
              <w:rPr>
                <w:noProof/>
                <w:sz w:val="18"/>
                <w:szCs w:val="18"/>
              </w:rPr>
            </w:pPr>
          </w:p>
        </w:tc>
        <w:tc>
          <w:tcPr>
            <w:tcW w:w="943" w:type="dxa"/>
            <w:noWrap/>
          </w:tcPr>
          <w:p w14:paraId="552B316E" w14:textId="77777777" w:rsidR="008C44D2" w:rsidRPr="00885241" w:rsidRDefault="008C44D2" w:rsidP="008C44D2">
            <w:pPr>
              <w:jc w:val="right"/>
              <w:rPr>
                <w:noProof/>
                <w:sz w:val="18"/>
                <w:szCs w:val="18"/>
              </w:rPr>
            </w:pPr>
          </w:p>
        </w:tc>
        <w:tc>
          <w:tcPr>
            <w:tcW w:w="944" w:type="dxa"/>
            <w:noWrap/>
            <w:hideMark/>
          </w:tcPr>
          <w:p w14:paraId="75142D36" w14:textId="77777777" w:rsidR="008C44D2" w:rsidRPr="00885241" w:rsidRDefault="008C44D2" w:rsidP="008C44D2">
            <w:pPr>
              <w:jc w:val="right"/>
              <w:rPr>
                <w:noProof/>
                <w:sz w:val="18"/>
                <w:szCs w:val="18"/>
              </w:rPr>
            </w:pPr>
          </w:p>
        </w:tc>
        <w:tc>
          <w:tcPr>
            <w:tcW w:w="944" w:type="dxa"/>
            <w:noWrap/>
            <w:hideMark/>
          </w:tcPr>
          <w:p w14:paraId="2217722C" w14:textId="77777777" w:rsidR="008C44D2" w:rsidRPr="00885241" w:rsidRDefault="008C44D2" w:rsidP="008C44D2">
            <w:pPr>
              <w:jc w:val="right"/>
              <w:rPr>
                <w:noProof/>
                <w:sz w:val="18"/>
                <w:szCs w:val="18"/>
              </w:rPr>
            </w:pPr>
          </w:p>
        </w:tc>
        <w:tc>
          <w:tcPr>
            <w:tcW w:w="943" w:type="dxa"/>
            <w:noWrap/>
            <w:hideMark/>
          </w:tcPr>
          <w:p w14:paraId="7883B7B4" w14:textId="77777777" w:rsidR="008C44D2" w:rsidRPr="00885241" w:rsidRDefault="008C44D2" w:rsidP="008C44D2">
            <w:pPr>
              <w:jc w:val="right"/>
              <w:rPr>
                <w:noProof/>
                <w:sz w:val="18"/>
                <w:szCs w:val="18"/>
              </w:rPr>
            </w:pPr>
          </w:p>
        </w:tc>
        <w:tc>
          <w:tcPr>
            <w:tcW w:w="944" w:type="dxa"/>
            <w:noWrap/>
            <w:hideMark/>
          </w:tcPr>
          <w:p w14:paraId="702B7DA8" w14:textId="77777777" w:rsidR="008C44D2" w:rsidRPr="00885241" w:rsidRDefault="008C44D2" w:rsidP="008C44D2">
            <w:pPr>
              <w:jc w:val="right"/>
              <w:rPr>
                <w:noProof/>
                <w:sz w:val="18"/>
                <w:szCs w:val="18"/>
              </w:rPr>
            </w:pPr>
          </w:p>
        </w:tc>
        <w:tc>
          <w:tcPr>
            <w:tcW w:w="944" w:type="dxa"/>
            <w:noWrap/>
            <w:hideMark/>
          </w:tcPr>
          <w:p w14:paraId="4F808D3E" w14:textId="5C887601" w:rsidR="008C44D2" w:rsidRPr="00885241" w:rsidRDefault="008C44D2" w:rsidP="008C44D2">
            <w:pPr>
              <w:jc w:val="right"/>
              <w:rPr>
                <w:noProof/>
                <w:sz w:val="18"/>
                <w:szCs w:val="18"/>
              </w:rPr>
            </w:pPr>
            <w:r>
              <w:rPr>
                <w:noProof/>
                <w:sz w:val="18"/>
                <w:szCs w:val="18"/>
              </w:rPr>
              <w:t>20.0</w:t>
            </w:r>
          </w:p>
        </w:tc>
      </w:tr>
      <w:tr w:rsidR="008C44D2" w:rsidRPr="00885241" w14:paraId="7BE278F4" w14:textId="77777777" w:rsidTr="00813D25">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427A0AF9" w14:textId="4E077771" w:rsidR="008C44D2" w:rsidRPr="00885241" w:rsidRDefault="008C44D2" w:rsidP="008C44D2">
            <w:pPr>
              <w:rPr>
                <w:noProof/>
              </w:rPr>
            </w:pPr>
            <w:r w:rsidRPr="00885241">
              <w:rPr>
                <w:noProof/>
              </w:rPr>
              <w:t>Contributions from other countries and entities</w:t>
            </w:r>
          </w:p>
        </w:tc>
        <w:tc>
          <w:tcPr>
            <w:tcW w:w="943" w:type="dxa"/>
            <w:noWrap/>
            <w:hideMark/>
          </w:tcPr>
          <w:p w14:paraId="5F03DC54" w14:textId="6EF8240D" w:rsidR="008C44D2" w:rsidRPr="00885241" w:rsidRDefault="008C44D2" w:rsidP="008C44D2">
            <w:pPr>
              <w:jc w:val="right"/>
              <w:rPr>
                <w:noProof/>
                <w:sz w:val="18"/>
                <w:szCs w:val="18"/>
              </w:rPr>
            </w:pPr>
            <w:r w:rsidRPr="00885241">
              <w:rPr>
                <w:noProof/>
                <w:sz w:val="18"/>
                <w:szCs w:val="18"/>
              </w:rPr>
              <w:t>842.0</w:t>
            </w:r>
          </w:p>
        </w:tc>
        <w:tc>
          <w:tcPr>
            <w:tcW w:w="944" w:type="dxa"/>
            <w:noWrap/>
            <w:hideMark/>
          </w:tcPr>
          <w:p w14:paraId="3228759B" w14:textId="5571552C" w:rsidR="008C44D2" w:rsidRPr="00885241" w:rsidRDefault="008C44D2" w:rsidP="008C44D2">
            <w:pPr>
              <w:jc w:val="right"/>
              <w:rPr>
                <w:noProof/>
                <w:sz w:val="18"/>
                <w:szCs w:val="18"/>
              </w:rPr>
            </w:pPr>
            <w:r>
              <w:rPr>
                <w:noProof/>
                <w:sz w:val="18"/>
                <w:szCs w:val="18"/>
              </w:rPr>
              <w:t>p.m.</w:t>
            </w:r>
          </w:p>
        </w:tc>
        <w:tc>
          <w:tcPr>
            <w:tcW w:w="943" w:type="dxa"/>
            <w:noWrap/>
            <w:hideMark/>
          </w:tcPr>
          <w:p w14:paraId="55349526" w14:textId="03FDF4F4" w:rsidR="008C44D2" w:rsidRPr="00885241" w:rsidRDefault="008C44D2" w:rsidP="008C44D2">
            <w:pPr>
              <w:jc w:val="right"/>
              <w:rPr>
                <w:noProof/>
                <w:sz w:val="18"/>
                <w:szCs w:val="18"/>
              </w:rPr>
            </w:pPr>
            <w:r>
              <w:rPr>
                <w:noProof/>
                <w:sz w:val="18"/>
                <w:szCs w:val="18"/>
              </w:rPr>
              <w:t>p.m.</w:t>
            </w:r>
          </w:p>
        </w:tc>
        <w:tc>
          <w:tcPr>
            <w:tcW w:w="944" w:type="dxa"/>
            <w:noWrap/>
            <w:hideMark/>
          </w:tcPr>
          <w:p w14:paraId="5D4AA47A" w14:textId="77471C30" w:rsidR="008C44D2" w:rsidRPr="00885241" w:rsidRDefault="008C44D2" w:rsidP="008C44D2">
            <w:pPr>
              <w:jc w:val="right"/>
              <w:rPr>
                <w:noProof/>
                <w:sz w:val="18"/>
                <w:szCs w:val="18"/>
              </w:rPr>
            </w:pPr>
            <w:r>
              <w:rPr>
                <w:noProof/>
                <w:sz w:val="18"/>
                <w:szCs w:val="18"/>
              </w:rPr>
              <w:t>p.m.</w:t>
            </w:r>
          </w:p>
        </w:tc>
        <w:tc>
          <w:tcPr>
            <w:tcW w:w="944" w:type="dxa"/>
            <w:noWrap/>
            <w:hideMark/>
          </w:tcPr>
          <w:p w14:paraId="1394B5B6" w14:textId="7B3C6E95" w:rsidR="008C44D2" w:rsidRPr="00885241" w:rsidRDefault="008C44D2" w:rsidP="008C44D2">
            <w:pPr>
              <w:jc w:val="right"/>
              <w:rPr>
                <w:noProof/>
                <w:sz w:val="18"/>
                <w:szCs w:val="18"/>
              </w:rPr>
            </w:pPr>
            <w:r>
              <w:rPr>
                <w:noProof/>
                <w:sz w:val="18"/>
                <w:szCs w:val="18"/>
              </w:rPr>
              <w:t>p.m.</w:t>
            </w:r>
          </w:p>
        </w:tc>
        <w:tc>
          <w:tcPr>
            <w:tcW w:w="943" w:type="dxa"/>
            <w:noWrap/>
            <w:hideMark/>
          </w:tcPr>
          <w:p w14:paraId="4B0BD558" w14:textId="2388D93C" w:rsidR="008C44D2" w:rsidRPr="00885241" w:rsidRDefault="008C44D2" w:rsidP="008C44D2">
            <w:pPr>
              <w:jc w:val="right"/>
              <w:rPr>
                <w:noProof/>
                <w:sz w:val="18"/>
                <w:szCs w:val="18"/>
              </w:rPr>
            </w:pPr>
            <w:r>
              <w:rPr>
                <w:noProof/>
                <w:sz w:val="18"/>
                <w:szCs w:val="18"/>
              </w:rPr>
              <w:t>p.m.</w:t>
            </w:r>
          </w:p>
        </w:tc>
        <w:tc>
          <w:tcPr>
            <w:tcW w:w="944" w:type="dxa"/>
            <w:noWrap/>
            <w:hideMark/>
          </w:tcPr>
          <w:p w14:paraId="20045CB9" w14:textId="0513217C" w:rsidR="008C44D2" w:rsidRPr="00885241" w:rsidRDefault="008C44D2" w:rsidP="008C44D2">
            <w:pPr>
              <w:jc w:val="right"/>
              <w:rPr>
                <w:noProof/>
                <w:sz w:val="18"/>
                <w:szCs w:val="18"/>
              </w:rPr>
            </w:pPr>
            <w:r>
              <w:rPr>
                <w:noProof/>
                <w:sz w:val="18"/>
                <w:szCs w:val="18"/>
              </w:rPr>
              <w:t>p.m.</w:t>
            </w:r>
          </w:p>
        </w:tc>
        <w:tc>
          <w:tcPr>
            <w:tcW w:w="944" w:type="dxa"/>
            <w:noWrap/>
            <w:hideMark/>
          </w:tcPr>
          <w:p w14:paraId="6265F12F" w14:textId="573EF871" w:rsidR="008C44D2" w:rsidRPr="00885241" w:rsidRDefault="008C44D2" w:rsidP="008C44D2">
            <w:pPr>
              <w:jc w:val="right"/>
              <w:rPr>
                <w:noProof/>
                <w:sz w:val="18"/>
                <w:szCs w:val="18"/>
              </w:rPr>
            </w:pPr>
            <w:r w:rsidRPr="00885241">
              <w:rPr>
                <w:noProof/>
                <w:sz w:val="18"/>
                <w:szCs w:val="18"/>
              </w:rPr>
              <w:t>842.0</w:t>
            </w:r>
          </w:p>
        </w:tc>
      </w:tr>
      <w:tr w:rsidR="0017533F" w:rsidRPr="00885241" w14:paraId="6C6FD063" w14:textId="77777777" w:rsidTr="00813D25">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3A472386" w14:textId="680827AD" w:rsidR="0017533F" w:rsidRPr="00885241" w:rsidRDefault="0017533F" w:rsidP="0017533F">
            <w:pPr>
              <w:rPr>
                <w:noProof/>
              </w:rPr>
            </w:pPr>
            <w:r w:rsidRPr="00885241">
              <w:rPr>
                <w:noProof/>
              </w:rPr>
              <w:t>Total</w:t>
            </w:r>
          </w:p>
        </w:tc>
        <w:tc>
          <w:tcPr>
            <w:tcW w:w="943" w:type="dxa"/>
            <w:noWrap/>
            <w:vAlign w:val="bottom"/>
            <w:hideMark/>
          </w:tcPr>
          <w:p w14:paraId="562AA152" w14:textId="6CA46940" w:rsidR="0017533F" w:rsidRPr="00885241" w:rsidRDefault="0017533F" w:rsidP="0017533F">
            <w:pPr>
              <w:jc w:val="right"/>
              <w:rPr>
                <w:noProof/>
                <w:sz w:val="18"/>
                <w:szCs w:val="18"/>
              </w:rPr>
            </w:pPr>
            <w:r>
              <w:rPr>
                <w:rFonts w:ascii="Calibri" w:hAnsi="Calibri" w:cs="Calibri"/>
                <w:noProof/>
                <w:color w:val="000000"/>
              </w:rPr>
              <w:t>14 161.6</w:t>
            </w:r>
          </w:p>
        </w:tc>
        <w:tc>
          <w:tcPr>
            <w:tcW w:w="944" w:type="dxa"/>
            <w:noWrap/>
            <w:vAlign w:val="bottom"/>
            <w:hideMark/>
          </w:tcPr>
          <w:p w14:paraId="3C7BB83B" w14:textId="7A66A1D9" w:rsidR="0017533F" w:rsidRPr="00885241" w:rsidRDefault="0017533F" w:rsidP="0017533F">
            <w:pPr>
              <w:jc w:val="right"/>
              <w:rPr>
                <w:noProof/>
                <w:sz w:val="18"/>
                <w:szCs w:val="18"/>
              </w:rPr>
            </w:pPr>
            <w:r>
              <w:rPr>
                <w:rFonts w:ascii="Calibri" w:hAnsi="Calibri" w:cs="Calibri"/>
                <w:noProof/>
                <w:color w:val="000000"/>
              </w:rPr>
              <w:t>14 015.9</w:t>
            </w:r>
          </w:p>
        </w:tc>
        <w:tc>
          <w:tcPr>
            <w:tcW w:w="943" w:type="dxa"/>
            <w:noWrap/>
            <w:vAlign w:val="bottom"/>
            <w:hideMark/>
          </w:tcPr>
          <w:p w14:paraId="7157896B" w14:textId="4E5C0DB9" w:rsidR="0017533F" w:rsidRPr="00885241" w:rsidRDefault="0017533F" w:rsidP="0017533F">
            <w:pPr>
              <w:jc w:val="right"/>
              <w:rPr>
                <w:noProof/>
                <w:sz w:val="18"/>
                <w:szCs w:val="18"/>
              </w:rPr>
            </w:pPr>
            <w:r>
              <w:rPr>
                <w:rFonts w:ascii="Calibri" w:hAnsi="Calibri" w:cs="Calibri"/>
                <w:noProof/>
                <w:color w:val="000000"/>
              </w:rPr>
              <w:t>14 171.2</w:t>
            </w:r>
          </w:p>
        </w:tc>
        <w:tc>
          <w:tcPr>
            <w:tcW w:w="944" w:type="dxa"/>
            <w:noWrap/>
            <w:vAlign w:val="bottom"/>
            <w:hideMark/>
          </w:tcPr>
          <w:p w14:paraId="463FD3D8" w14:textId="3C8750D8" w:rsidR="0017533F" w:rsidRPr="00885241" w:rsidRDefault="0017533F" w:rsidP="0017533F">
            <w:pPr>
              <w:jc w:val="right"/>
              <w:rPr>
                <w:noProof/>
                <w:sz w:val="18"/>
                <w:szCs w:val="18"/>
              </w:rPr>
            </w:pPr>
            <w:r>
              <w:rPr>
                <w:rFonts w:ascii="Calibri" w:hAnsi="Calibri" w:cs="Calibri"/>
                <w:noProof/>
                <w:color w:val="000000"/>
              </w:rPr>
              <w:t>12 284.7</w:t>
            </w:r>
          </w:p>
        </w:tc>
        <w:tc>
          <w:tcPr>
            <w:tcW w:w="944" w:type="dxa"/>
            <w:noWrap/>
            <w:vAlign w:val="bottom"/>
            <w:hideMark/>
          </w:tcPr>
          <w:p w14:paraId="19AED69E" w14:textId="2E3531C1" w:rsidR="0017533F" w:rsidRPr="00885241" w:rsidRDefault="0017533F" w:rsidP="0017533F">
            <w:pPr>
              <w:jc w:val="right"/>
              <w:rPr>
                <w:noProof/>
                <w:sz w:val="18"/>
                <w:szCs w:val="18"/>
              </w:rPr>
            </w:pPr>
            <w:r>
              <w:rPr>
                <w:rFonts w:ascii="Calibri" w:hAnsi="Calibri" w:cs="Calibri"/>
                <w:noProof/>
                <w:color w:val="000000"/>
              </w:rPr>
              <w:t>12 523.3</w:t>
            </w:r>
          </w:p>
        </w:tc>
        <w:tc>
          <w:tcPr>
            <w:tcW w:w="943" w:type="dxa"/>
            <w:noWrap/>
            <w:vAlign w:val="bottom"/>
            <w:hideMark/>
          </w:tcPr>
          <w:p w14:paraId="636C3A5F" w14:textId="49C2974C" w:rsidR="0017533F" w:rsidRPr="00885241" w:rsidRDefault="0017533F" w:rsidP="0017533F">
            <w:pPr>
              <w:jc w:val="right"/>
              <w:rPr>
                <w:noProof/>
                <w:sz w:val="18"/>
                <w:szCs w:val="18"/>
              </w:rPr>
            </w:pPr>
            <w:r>
              <w:rPr>
                <w:rFonts w:ascii="Calibri" w:hAnsi="Calibri" w:cs="Calibri"/>
                <w:noProof/>
                <w:color w:val="000000"/>
              </w:rPr>
              <w:t>12 782.9</w:t>
            </w:r>
          </w:p>
        </w:tc>
        <w:tc>
          <w:tcPr>
            <w:tcW w:w="944" w:type="dxa"/>
            <w:noWrap/>
            <w:vAlign w:val="bottom"/>
            <w:hideMark/>
          </w:tcPr>
          <w:p w14:paraId="4A083995" w14:textId="493324D0" w:rsidR="0017533F" w:rsidRPr="00885241" w:rsidRDefault="0017533F" w:rsidP="0017533F">
            <w:pPr>
              <w:jc w:val="right"/>
              <w:rPr>
                <w:noProof/>
                <w:sz w:val="18"/>
                <w:szCs w:val="18"/>
              </w:rPr>
            </w:pPr>
            <w:r>
              <w:rPr>
                <w:rFonts w:ascii="Calibri" w:hAnsi="Calibri" w:cs="Calibri"/>
                <w:noProof/>
                <w:color w:val="000000"/>
              </w:rPr>
              <w:t>13 032.5</w:t>
            </w:r>
          </w:p>
        </w:tc>
        <w:tc>
          <w:tcPr>
            <w:tcW w:w="944" w:type="dxa"/>
            <w:noWrap/>
            <w:vAlign w:val="bottom"/>
            <w:hideMark/>
          </w:tcPr>
          <w:p w14:paraId="3895F89F" w14:textId="4A18101C" w:rsidR="0017533F" w:rsidRPr="00885241" w:rsidRDefault="0017533F" w:rsidP="0017533F">
            <w:pPr>
              <w:jc w:val="right"/>
              <w:rPr>
                <w:noProof/>
                <w:sz w:val="18"/>
                <w:szCs w:val="18"/>
              </w:rPr>
            </w:pPr>
            <w:r>
              <w:rPr>
                <w:rFonts w:ascii="Calibri" w:hAnsi="Calibri" w:cs="Calibri"/>
                <w:noProof/>
                <w:color w:val="000000"/>
              </w:rPr>
              <w:t>92 972.1</w:t>
            </w:r>
          </w:p>
        </w:tc>
      </w:tr>
    </w:tbl>
    <w:p w14:paraId="189A63FF" w14:textId="77777777" w:rsidR="00C016C5" w:rsidRPr="00885241" w:rsidRDefault="00C016C5" w:rsidP="00C016C5">
      <w:pPr>
        <w:tabs>
          <w:tab w:val="left" w:pos="6793"/>
        </w:tabs>
        <w:rPr>
          <w:noProof/>
          <w:sz w:val="18"/>
          <w:szCs w:val="18"/>
        </w:rPr>
      </w:pPr>
      <w:r w:rsidRPr="0543EA6B">
        <w:rPr>
          <w:noProof/>
          <w:sz w:val="18"/>
          <w:szCs w:val="18"/>
        </w:rPr>
        <w:t>(*) Only Article</w:t>
      </w:r>
      <w:r w:rsidRPr="0543EA6B">
        <w:rPr>
          <w:rFonts w:ascii="Calibri" w:hAnsi="Calibri" w:cs="Calibri"/>
          <w:noProof/>
          <w:sz w:val="18"/>
          <w:szCs w:val="18"/>
        </w:rPr>
        <w:t> </w:t>
      </w:r>
      <w:r w:rsidRPr="0543EA6B">
        <w:rPr>
          <w:noProof/>
          <w:sz w:val="18"/>
          <w:szCs w:val="18"/>
        </w:rPr>
        <w:t>15(3) of the financial regulation.</w:t>
      </w:r>
    </w:p>
    <w:p w14:paraId="7273E82B" w14:textId="182EE621" w:rsidR="008C44D2" w:rsidRPr="00885241" w:rsidRDefault="008C44D2" w:rsidP="00304A2B">
      <w:pPr>
        <w:pStyle w:val="ppoTableTabletitle"/>
        <w:jc w:val="center"/>
        <w:rPr>
          <w:noProof/>
        </w:rPr>
      </w:pPr>
      <w:r w:rsidRPr="00304A2B">
        <w:rPr>
          <w:rFonts w:ascii="Calibri" w:eastAsia="Calibri" w:hAnsi="Calibri" w:cs="Calibri"/>
          <w:noProof/>
          <w:lang w:val="en-US"/>
        </w:rPr>
        <w:t>Financial programming</w:t>
      </w:r>
      <w:r w:rsidR="00717772">
        <w:rPr>
          <w:rFonts w:ascii="Calibri" w:eastAsia="Calibri" w:hAnsi="Calibri" w:cs="Calibri"/>
          <w:noProof/>
          <w:lang w:val="en-US"/>
        </w:rPr>
        <w:t>:</w:t>
      </w:r>
      <w:r w:rsidRPr="00304A2B">
        <w:rPr>
          <w:rFonts w:ascii="Calibri" w:eastAsia="Calibri" w:hAnsi="Calibri" w:cs="Calibri"/>
          <w:noProof/>
          <w:lang w:val="en-US"/>
        </w:rPr>
        <w:t xml:space="preserve"> </w:t>
      </w:r>
      <w:r w:rsidRPr="0543EA6B">
        <w:rPr>
          <w:rStyle w:val="ppocharOrangetext24pt"/>
          <w:noProof/>
        </w:rPr>
        <w:t>-</w:t>
      </w:r>
      <w:r w:rsidRPr="0543EA6B">
        <w:rPr>
          <w:rStyle w:val="ppocharOrangetext24pt"/>
          <w:rFonts w:ascii="Calibri" w:hAnsi="Calibri" w:cs="Calibri"/>
          <w:noProof/>
        </w:rPr>
        <w:t> </w:t>
      </w:r>
      <w:r w:rsidRPr="0543EA6B">
        <w:rPr>
          <w:rStyle w:val="ppocharOrangetext24pt"/>
          <w:noProof/>
        </w:rPr>
        <w:t xml:space="preserve">EUR </w:t>
      </w:r>
      <w:r w:rsidR="00A63481" w:rsidRPr="00A63481">
        <w:rPr>
          <w:rStyle w:val="ppocharOrangetext24pt"/>
          <w:noProof/>
        </w:rPr>
        <w:t>-319.0</w:t>
      </w:r>
      <w:r w:rsidR="00A63481" w:rsidRPr="00A63481" w:rsidDel="00A63481">
        <w:rPr>
          <w:rStyle w:val="ppocharOrangetext24pt"/>
          <w:noProof/>
        </w:rPr>
        <w:t xml:space="preserve"> </w:t>
      </w:r>
      <w:r w:rsidRPr="0543EA6B">
        <w:rPr>
          <w:rStyle w:val="ppocharOrangetext24pt"/>
          <w:noProof/>
        </w:rPr>
        <w:t xml:space="preserve">million (- 0%) </w:t>
      </w:r>
      <w:r>
        <w:rPr>
          <w:noProof/>
        </w:rPr>
        <w:t>compared to the legal basis.*</w:t>
      </w:r>
    </w:p>
    <w:p w14:paraId="639EB22E" w14:textId="524C6885" w:rsidR="008C44D2" w:rsidRDefault="008C44D2" w:rsidP="00304A2B">
      <w:pPr>
        <w:rPr>
          <w:noProof/>
          <w:sz w:val="18"/>
          <w:szCs w:val="18"/>
        </w:rPr>
      </w:pPr>
      <w:r w:rsidRPr="00304A2B">
        <w:rPr>
          <w:noProof/>
          <w:sz w:val="18"/>
          <w:szCs w:val="18"/>
        </w:rPr>
        <w:t xml:space="preserve">* </w:t>
      </w:r>
      <w:r w:rsidR="00427FAC">
        <w:rPr>
          <w:noProof/>
          <w:sz w:val="18"/>
          <w:szCs w:val="18"/>
        </w:rPr>
        <w:t>Top-ups pursuant to Art. 5 MFF Regulation</w:t>
      </w:r>
      <w:r w:rsidRPr="00304A2B">
        <w:rPr>
          <w:noProof/>
          <w:sz w:val="18"/>
          <w:szCs w:val="18"/>
        </w:rPr>
        <w:t xml:space="preserve"> are excluded from financial programming in this comparison</w:t>
      </w:r>
      <w:r w:rsidR="00F273D9">
        <w:rPr>
          <w:noProof/>
          <w:sz w:val="18"/>
          <w:szCs w:val="18"/>
        </w:rPr>
        <w:t>.</w:t>
      </w:r>
    </w:p>
    <w:p w14:paraId="3FB959A6" w14:textId="77777777" w:rsidR="008C44D2" w:rsidRDefault="008C44D2" w:rsidP="00C016C5">
      <w:pPr>
        <w:rPr>
          <w:noProof/>
          <w:sz w:val="18"/>
          <w:szCs w:val="18"/>
        </w:rPr>
      </w:pPr>
    </w:p>
    <w:p w14:paraId="275B907E" w14:textId="77777777" w:rsidR="00C016C5" w:rsidRDefault="00C016C5" w:rsidP="00C016C5">
      <w:pPr>
        <w:rPr>
          <w:noProof/>
        </w:rPr>
      </w:pPr>
    </w:p>
    <w:p w14:paraId="7EC2FF3F" w14:textId="77777777" w:rsidR="00C016C5" w:rsidRPr="00885241" w:rsidRDefault="00C016C5" w:rsidP="00C016C5">
      <w:pPr>
        <w:pStyle w:val="ppoTableTabletitle"/>
        <w:rPr>
          <w:b/>
          <w:noProof/>
        </w:rPr>
      </w:pPr>
      <w:r w:rsidRPr="00885241">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C016C5" w:rsidRPr="00885241" w14:paraId="0F8E3212" w14:textId="77777777" w:rsidTr="00813D25">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19C70D0C" w14:textId="77777777" w:rsidR="00C016C5" w:rsidRPr="00885241" w:rsidRDefault="00C016C5" w:rsidP="00813D25">
            <w:pPr>
              <w:rPr>
                <w:noProof/>
              </w:rPr>
            </w:pPr>
          </w:p>
        </w:tc>
        <w:tc>
          <w:tcPr>
            <w:tcW w:w="2410" w:type="dxa"/>
          </w:tcPr>
          <w:p w14:paraId="044C5443" w14:textId="77777777" w:rsidR="00C016C5" w:rsidRPr="00885241" w:rsidRDefault="00C016C5" w:rsidP="00813D25">
            <w:pPr>
              <w:cnfStyle w:val="100000000000" w:firstRow="1" w:lastRow="0" w:firstColumn="0" w:lastColumn="0" w:oddVBand="0" w:evenVBand="0" w:oddHBand="0" w:evenHBand="0" w:firstRowFirstColumn="0" w:firstRowLastColumn="0" w:lastRowFirstColumn="0" w:lastRowLastColumn="0"/>
              <w:rPr>
                <w:noProof/>
              </w:rPr>
            </w:pPr>
            <w:r w:rsidRPr="00885241">
              <w:rPr>
                <w:noProof/>
              </w:rPr>
              <w:t>Implementation</w:t>
            </w:r>
          </w:p>
        </w:tc>
        <w:tc>
          <w:tcPr>
            <w:tcW w:w="2410" w:type="dxa"/>
          </w:tcPr>
          <w:p w14:paraId="7F494C14" w14:textId="2D232F5B" w:rsidR="00C016C5" w:rsidRPr="00885241" w:rsidRDefault="001F4CBC" w:rsidP="00813D25">
            <w:pPr>
              <w:cnfStyle w:val="100000000000" w:firstRow="1" w:lastRow="0" w:firstColumn="0" w:lastColumn="0" w:oddVBand="0" w:evenVBand="0" w:oddHBand="0" w:evenHBand="0" w:firstRowFirstColumn="0" w:firstRowLastColumn="0" w:lastRowFirstColumn="0" w:lastRowLastColumn="0"/>
              <w:rPr>
                <w:noProof/>
              </w:rPr>
            </w:pPr>
            <w:r>
              <w:rPr>
                <w:noProof/>
              </w:rPr>
              <w:t xml:space="preserve">2021-2027 </w:t>
            </w:r>
            <w:r w:rsidR="00C016C5" w:rsidRPr="00885241">
              <w:rPr>
                <w:noProof/>
              </w:rPr>
              <w:t>Budget</w:t>
            </w:r>
          </w:p>
        </w:tc>
        <w:tc>
          <w:tcPr>
            <w:tcW w:w="2410" w:type="dxa"/>
          </w:tcPr>
          <w:p w14:paraId="39F88EE1" w14:textId="77777777" w:rsidR="00C016C5" w:rsidRPr="00885241" w:rsidRDefault="00C016C5" w:rsidP="00813D25">
            <w:pPr>
              <w:cnfStyle w:val="100000000000" w:firstRow="1" w:lastRow="0" w:firstColumn="0" w:lastColumn="0" w:oddVBand="0" w:evenVBand="0" w:oddHBand="0" w:evenHBand="0" w:firstRowFirstColumn="0" w:firstRowLastColumn="0" w:lastRowFirstColumn="0" w:lastRowLastColumn="0"/>
              <w:rPr>
                <w:noProof/>
              </w:rPr>
            </w:pPr>
            <w:r w:rsidRPr="00885241">
              <w:rPr>
                <w:noProof/>
              </w:rPr>
              <w:t>Implementation rate</w:t>
            </w:r>
          </w:p>
        </w:tc>
      </w:tr>
      <w:tr w:rsidR="004C3C26" w:rsidRPr="00885241" w14:paraId="5007F983" w14:textId="77777777" w:rsidTr="00813D25">
        <w:tc>
          <w:tcPr>
            <w:cnfStyle w:val="001000000000" w:firstRow="0" w:lastRow="0" w:firstColumn="1" w:lastColumn="0" w:oddVBand="0" w:evenVBand="0" w:oddHBand="0" w:evenHBand="0" w:firstRowFirstColumn="0" w:firstRowLastColumn="0" w:lastRowFirstColumn="0" w:lastRowLastColumn="0"/>
            <w:tcW w:w="2409" w:type="dxa"/>
          </w:tcPr>
          <w:p w14:paraId="5D239855" w14:textId="2285115E" w:rsidR="004C3C26" w:rsidRPr="00885241" w:rsidRDefault="004C3C26" w:rsidP="004C3C26">
            <w:pPr>
              <w:jc w:val="center"/>
              <w:rPr>
                <w:noProof/>
              </w:rPr>
            </w:pPr>
            <w:r w:rsidRPr="00885241">
              <w:rPr>
                <w:noProof/>
              </w:rPr>
              <w:t>Commitments</w:t>
            </w:r>
          </w:p>
        </w:tc>
        <w:tc>
          <w:tcPr>
            <w:tcW w:w="2410" w:type="dxa"/>
          </w:tcPr>
          <w:tbl>
            <w:tblPr>
              <w:tblStyle w:val="TableGrid"/>
              <w:tblW w:w="0" w:type="auto"/>
              <w:tblLook w:val="06A0" w:firstRow="1" w:lastRow="0" w:firstColumn="1" w:lastColumn="0" w:noHBand="1" w:noVBand="1"/>
            </w:tblPr>
            <w:tblGrid>
              <w:gridCol w:w="2194"/>
            </w:tblGrid>
            <w:tr w:rsidR="004C3C26" w:rsidRPr="00885241" w14:paraId="761EB9E3" w14:textId="77777777" w:rsidTr="00E02B38">
              <w:trPr>
                <w:trHeight w:val="285"/>
              </w:trPr>
              <w:tc>
                <w:tcPr>
                  <w:tcW w:w="2290" w:type="dxa"/>
                  <w:tcBorders>
                    <w:top w:val="nil"/>
                    <w:left w:val="nil"/>
                    <w:bottom w:val="nil"/>
                    <w:right w:val="nil"/>
                  </w:tcBorders>
                  <w:vAlign w:val="bottom"/>
                </w:tcPr>
                <w:p w14:paraId="65F7FFD7" w14:textId="77777777" w:rsidR="004C3C26" w:rsidRPr="00885241" w:rsidRDefault="004C3C26" w:rsidP="004C3C26">
                  <w:pPr>
                    <w:jc w:val="right"/>
                    <w:rPr>
                      <w:noProof/>
                    </w:rPr>
                  </w:pPr>
                  <w:r w:rsidRPr="00885241">
                    <w:rPr>
                      <w:rFonts w:ascii="Calibri" w:hAnsi="Calibri" w:cs="Calibri"/>
                      <w:noProof/>
                      <w:color w:val="000000"/>
                    </w:rPr>
                    <w:t>13</w:t>
                  </w:r>
                  <w:r>
                    <w:rPr>
                      <w:rFonts w:ascii="Calibri" w:hAnsi="Calibri" w:cs="Calibri"/>
                      <w:noProof/>
                      <w:color w:val="000000"/>
                    </w:rPr>
                    <w:t> </w:t>
                  </w:r>
                  <w:r w:rsidRPr="00885241">
                    <w:rPr>
                      <w:rFonts w:ascii="Calibri" w:hAnsi="Calibri" w:cs="Calibri"/>
                      <w:noProof/>
                      <w:color w:val="000000"/>
                    </w:rPr>
                    <w:t>586.4</w:t>
                  </w:r>
                </w:p>
              </w:tc>
            </w:tr>
          </w:tbl>
          <w:p w14:paraId="41C4F230" w14:textId="77777777" w:rsidR="004C3C26" w:rsidRPr="00885241" w:rsidRDefault="004C3C26" w:rsidP="004C3C26">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4C3C26" w:rsidRPr="00885241" w14:paraId="3CEDBDF2" w14:textId="77777777" w:rsidTr="00E02B38">
              <w:trPr>
                <w:trHeight w:val="285"/>
              </w:trPr>
              <w:tc>
                <w:tcPr>
                  <w:tcW w:w="2290" w:type="dxa"/>
                  <w:tcBorders>
                    <w:top w:val="nil"/>
                    <w:left w:val="nil"/>
                    <w:bottom w:val="nil"/>
                    <w:right w:val="nil"/>
                  </w:tcBorders>
                  <w:vAlign w:val="bottom"/>
                </w:tcPr>
                <w:tbl>
                  <w:tblPr>
                    <w:tblStyle w:val="TableGrid"/>
                    <w:tblW w:w="0" w:type="auto"/>
                    <w:tblLook w:val="06A0" w:firstRow="1" w:lastRow="0" w:firstColumn="1" w:lastColumn="0" w:noHBand="1" w:noVBand="1"/>
                  </w:tblPr>
                  <w:tblGrid>
                    <w:gridCol w:w="1978"/>
                  </w:tblGrid>
                  <w:tr w:rsidR="004C3C26" w14:paraId="66EAEC9F" w14:textId="77777777" w:rsidTr="004C3C26">
                    <w:trPr>
                      <w:trHeight w:val="300"/>
                    </w:trPr>
                    <w:tc>
                      <w:tcPr>
                        <w:tcW w:w="1978" w:type="dxa"/>
                        <w:tcBorders>
                          <w:top w:val="nil"/>
                          <w:left w:val="nil"/>
                          <w:bottom w:val="nil"/>
                          <w:right w:val="nil"/>
                        </w:tcBorders>
                        <w:vAlign w:val="bottom"/>
                      </w:tcPr>
                      <w:p w14:paraId="774681B5" w14:textId="5A3F3F4D" w:rsidR="004C3C26" w:rsidRDefault="001C09F6" w:rsidP="004C3C26">
                        <w:pPr>
                          <w:jc w:val="right"/>
                          <w:rPr>
                            <w:noProof/>
                          </w:rPr>
                        </w:pPr>
                        <w:r>
                          <w:rPr>
                            <w:rFonts w:ascii="Calibri" w:hAnsi="Calibri" w:cs="Calibri"/>
                            <w:noProof/>
                            <w:color w:val="000000"/>
                          </w:rPr>
                          <w:t>92 972.1</w:t>
                        </w:r>
                      </w:p>
                    </w:tc>
                  </w:tr>
                </w:tbl>
                <w:p w14:paraId="5D8470F1" w14:textId="77777777" w:rsidR="004C3C26" w:rsidRPr="00885241" w:rsidRDefault="004C3C26" w:rsidP="004C3C26">
                  <w:pPr>
                    <w:jc w:val="right"/>
                    <w:rPr>
                      <w:rFonts w:ascii="Calibri" w:hAnsi="Calibri" w:cs="Calibri"/>
                      <w:noProof/>
                      <w:color w:val="000000"/>
                    </w:rPr>
                  </w:pPr>
                </w:p>
              </w:tc>
            </w:tr>
          </w:tbl>
          <w:p w14:paraId="5697B9EA" w14:textId="77777777" w:rsidR="004C3C26" w:rsidRPr="00885241" w:rsidRDefault="004C3C26" w:rsidP="004C3C26">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4C3C26" w:rsidRPr="00885241" w14:paraId="21684F7B" w14:textId="77777777" w:rsidTr="00E02B38">
              <w:trPr>
                <w:trHeight w:val="285"/>
              </w:trPr>
              <w:tc>
                <w:tcPr>
                  <w:tcW w:w="2290" w:type="dxa"/>
                  <w:tcBorders>
                    <w:top w:val="nil"/>
                    <w:left w:val="nil"/>
                    <w:bottom w:val="nil"/>
                    <w:right w:val="nil"/>
                  </w:tcBorders>
                  <w:vAlign w:val="bottom"/>
                </w:tcPr>
                <w:p w14:paraId="079CB214" w14:textId="70896AED" w:rsidR="004C3C26" w:rsidRPr="00885241" w:rsidRDefault="004C3C26" w:rsidP="004C3C26">
                  <w:pPr>
                    <w:jc w:val="right"/>
                    <w:rPr>
                      <w:noProof/>
                    </w:rPr>
                  </w:pPr>
                  <w:r w:rsidRPr="00885241">
                    <w:rPr>
                      <w:rFonts w:ascii="Calibri" w:hAnsi="Calibri" w:cs="Calibri"/>
                      <w:noProof/>
                      <w:color w:val="000000"/>
                    </w:rPr>
                    <w:t>1</w:t>
                  </w:r>
                  <w:r>
                    <w:rPr>
                      <w:rFonts w:ascii="Calibri" w:hAnsi="Calibri" w:cs="Calibri"/>
                      <w:noProof/>
                      <w:color w:val="000000"/>
                    </w:rPr>
                    <w:t>5</w:t>
                  </w:r>
                  <w:r w:rsidRPr="00885241">
                    <w:rPr>
                      <w:rFonts w:ascii="Calibri" w:hAnsi="Calibri" w:cs="Calibri"/>
                      <w:noProof/>
                      <w:color w:val="000000"/>
                    </w:rPr>
                    <w:t>%</w:t>
                  </w:r>
                </w:p>
              </w:tc>
            </w:tr>
          </w:tbl>
          <w:p w14:paraId="6794BC48" w14:textId="77777777" w:rsidR="004C3C26" w:rsidRPr="00885241" w:rsidRDefault="004C3C26" w:rsidP="004C3C26">
            <w:pPr>
              <w:jc w:val="center"/>
              <w:cnfStyle w:val="000000000000" w:firstRow="0" w:lastRow="0" w:firstColumn="0" w:lastColumn="0" w:oddVBand="0" w:evenVBand="0" w:oddHBand="0" w:evenHBand="0" w:firstRowFirstColumn="0" w:firstRowLastColumn="0" w:lastRowFirstColumn="0" w:lastRowLastColumn="0"/>
              <w:rPr>
                <w:noProof/>
              </w:rPr>
            </w:pPr>
          </w:p>
        </w:tc>
      </w:tr>
      <w:tr w:rsidR="004C3C26" w:rsidRPr="00885241" w14:paraId="65FF0B4D" w14:textId="77777777" w:rsidTr="00813D25">
        <w:tc>
          <w:tcPr>
            <w:cnfStyle w:val="001000000000" w:firstRow="0" w:lastRow="0" w:firstColumn="1" w:lastColumn="0" w:oddVBand="0" w:evenVBand="0" w:oddHBand="0" w:evenHBand="0" w:firstRowFirstColumn="0" w:firstRowLastColumn="0" w:lastRowFirstColumn="0" w:lastRowLastColumn="0"/>
            <w:tcW w:w="2409" w:type="dxa"/>
          </w:tcPr>
          <w:p w14:paraId="5CFBEAE2" w14:textId="46506D68" w:rsidR="004C3C26" w:rsidRPr="00885241" w:rsidRDefault="004C3C26" w:rsidP="004C3C26">
            <w:pPr>
              <w:jc w:val="center"/>
              <w:rPr>
                <w:noProof/>
              </w:rPr>
            </w:pPr>
            <w:r w:rsidRPr="00885241">
              <w:rPr>
                <w:noProof/>
              </w:rPr>
              <w:t>Payments</w:t>
            </w:r>
          </w:p>
        </w:tc>
        <w:tc>
          <w:tcPr>
            <w:tcW w:w="2410" w:type="dxa"/>
          </w:tcPr>
          <w:tbl>
            <w:tblPr>
              <w:tblStyle w:val="TableGrid"/>
              <w:tblW w:w="0" w:type="auto"/>
              <w:tblLook w:val="06A0" w:firstRow="1" w:lastRow="0" w:firstColumn="1" w:lastColumn="0" w:noHBand="1" w:noVBand="1"/>
            </w:tblPr>
            <w:tblGrid>
              <w:gridCol w:w="2194"/>
            </w:tblGrid>
            <w:tr w:rsidR="004C3C26" w:rsidRPr="00885241" w14:paraId="15638F81" w14:textId="77777777" w:rsidTr="00E02B38">
              <w:trPr>
                <w:trHeight w:val="285"/>
              </w:trPr>
              <w:tc>
                <w:tcPr>
                  <w:tcW w:w="2290" w:type="dxa"/>
                  <w:tcBorders>
                    <w:top w:val="nil"/>
                    <w:left w:val="nil"/>
                    <w:bottom w:val="nil"/>
                    <w:right w:val="nil"/>
                  </w:tcBorders>
                  <w:vAlign w:val="bottom"/>
                </w:tcPr>
                <w:p w14:paraId="1682076D" w14:textId="77777777" w:rsidR="004C3C26" w:rsidRPr="00885241" w:rsidRDefault="004C3C26" w:rsidP="004C3C26">
                  <w:pPr>
                    <w:jc w:val="right"/>
                    <w:rPr>
                      <w:noProof/>
                    </w:rPr>
                  </w:pPr>
                  <w:r w:rsidRPr="00885241">
                    <w:rPr>
                      <w:rFonts w:ascii="Calibri" w:hAnsi="Calibri" w:cs="Calibri"/>
                      <w:noProof/>
                      <w:color w:val="000000"/>
                    </w:rPr>
                    <w:t>1</w:t>
                  </w:r>
                  <w:r>
                    <w:rPr>
                      <w:rFonts w:ascii="Calibri" w:hAnsi="Calibri" w:cs="Calibri"/>
                      <w:noProof/>
                      <w:color w:val="000000"/>
                    </w:rPr>
                    <w:t> </w:t>
                  </w:r>
                  <w:r w:rsidRPr="00885241">
                    <w:rPr>
                      <w:rFonts w:ascii="Calibri" w:hAnsi="Calibri" w:cs="Calibri"/>
                      <w:noProof/>
                      <w:color w:val="000000"/>
                    </w:rPr>
                    <w:t>203.7</w:t>
                  </w:r>
                </w:p>
              </w:tc>
            </w:tr>
          </w:tbl>
          <w:p w14:paraId="5989AEBE" w14:textId="77777777" w:rsidR="004C3C26" w:rsidRPr="00885241" w:rsidRDefault="004C3C26" w:rsidP="004C3C26">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1201995A" w14:textId="77777777" w:rsidR="004C3C26" w:rsidRPr="00885241" w:rsidRDefault="004C3C26" w:rsidP="004C3C26">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4C3C26" w:rsidRPr="00885241" w14:paraId="37BB9B76" w14:textId="77777777" w:rsidTr="00E02B38">
              <w:trPr>
                <w:trHeight w:val="285"/>
              </w:trPr>
              <w:tc>
                <w:tcPr>
                  <w:tcW w:w="2235" w:type="dxa"/>
                  <w:tcBorders>
                    <w:top w:val="nil"/>
                    <w:left w:val="nil"/>
                    <w:bottom w:val="nil"/>
                    <w:right w:val="nil"/>
                  </w:tcBorders>
                  <w:vAlign w:val="bottom"/>
                </w:tcPr>
                <w:p w14:paraId="27851677" w14:textId="77777777" w:rsidR="004C3C26" w:rsidRPr="00885241" w:rsidRDefault="004C3C26" w:rsidP="004C3C26">
                  <w:pPr>
                    <w:jc w:val="right"/>
                    <w:rPr>
                      <w:noProof/>
                    </w:rPr>
                  </w:pPr>
                  <w:r w:rsidRPr="00885241">
                    <w:rPr>
                      <w:rFonts w:ascii="Calibri" w:hAnsi="Calibri" w:cs="Calibri"/>
                      <w:noProof/>
                      <w:color w:val="000000"/>
                    </w:rPr>
                    <w:t>1%</w:t>
                  </w:r>
                </w:p>
              </w:tc>
            </w:tr>
          </w:tbl>
          <w:p w14:paraId="62DD7C86" w14:textId="77777777" w:rsidR="004C3C26" w:rsidRPr="00885241" w:rsidRDefault="004C3C26" w:rsidP="004C3C26">
            <w:pPr>
              <w:jc w:val="center"/>
              <w:cnfStyle w:val="000000000000" w:firstRow="0" w:lastRow="0" w:firstColumn="0" w:lastColumn="0" w:oddVBand="0" w:evenVBand="0" w:oddHBand="0" w:evenHBand="0" w:firstRowFirstColumn="0" w:firstRowLastColumn="0" w:lastRowFirstColumn="0" w:lastRowLastColumn="0"/>
              <w:rPr>
                <w:noProof/>
              </w:rPr>
            </w:pPr>
          </w:p>
        </w:tc>
      </w:tr>
    </w:tbl>
    <w:p w14:paraId="04617506" w14:textId="77777777" w:rsidR="00C016C5" w:rsidRPr="00885241" w:rsidRDefault="00C016C5" w:rsidP="00C016C5">
      <w:pPr>
        <w:pStyle w:val="ppoTableTabletitle"/>
        <w:rPr>
          <w:b/>
          <w:noProof/>
        </w:rPr>
      </w:pPr>
      <w:r w:rsidRPr="00885241">
        <w:rPr>
          <w:noProof/>
        </w:rPr>
        <w:t>Voted budget implementation in 2021 (million EUR):</w:t>
      </w:r>
    </w:p>
    <w:tbl>
      <w:tblPr>
        <w:tblStyle w:val="PPO2021"/>
        <w:tblW w:w="3683" w:type="pct"/>
        <w:tblInd w:w="79" w:type="dxa"/>
        <w:tblLook w:val="04A0" w:firstRow="1" w:lastRow="0" w:firstColumn="1" w:lastColumn="0" w:noHBand="0" w:noVBand="1"/>
      </w:tblPr>
      <w:tblGrid>
        <w:gridCol w:w="2381"/>
        <w:gridCol w:w="2388"/>
        <w:gridCol w:w="2351"/>
      </w:tblGrid>
      <w:tr w:rsidR="00C016C5" w:rsidRPr="00885241" w14:paraId="6F44192C" w14:textId="77777777" w:rsidTr="00813D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29D317CF" w14:textId="77777777" w:rsidR="00C016C5" w:rsidRPr="00885241" w:rsidRDefault="00C016C5" w:rsidP="00813D25">
            <w:pPr>
              <w:rPr>
                <w:noProof/>
              </w:rPr>
            </w:pPr>
          </w:p>
        </w:tc>
        <w:tc>
          <w:tcPr>
            <w:tcW w:w="2419" w:type="dxa"/>
          </w:tcPr>
          <w:p w14:paraId="2245359F" w14:textId="77777777" w:rsidR="00C016C5" w:rsidRPr="00885241" w:rsidRDefault="00C016C5" w:rsidP="00813D25">
            <w:pPr>
              <w:cnfStyle w:val="100000000000" w:firstRow="1" w:lastRow="0" w:firstColumn="0" w:lastColumn="0" w:oddVBand="0" w:evenVBand="0" w:oddHBand="0" w:evenHBand="0" w:firstRowFirstColumn="0" w:firstRowLastColumn="0" w:lastRowFirstColumn="0" w:lastRowLastColumn="0"/>
              <w:rPr>
                <w:noProof/>
              </w:rPr>
            </w:pPr>
            <w:r w:rsidRPr="00885241">
              <w:rPr>
                <w:noProof/>
              </w:rPr>
              <w:t>Voted budget implementation</w:t>
            </w:r>
          </w:p>
        </w:tc>
        <w:tc>
          <w:tcPr>
            <w:tcW w:w="2420" w:type="dxa"/>
          </w:tcPr>
          <w:p w14:paraId="5426CAEF" w14:textId="77777777" w:rsidR="00C016C5" w:rsidRPr="00885241" w:rsidRDefault="00C016C5" w:rsidP="00813D25">
            <w:pPr>
              <w:cnfStyle w:val="100000000000" w:firstRow="1" w:lastRow="0" w:firstColumn="0" w:lastColumn="0" w:oddVBand="0" w:evenVBand="0" w:oddHBand="0" w:evenHBand="0" w:firstRowFirstColumn="0" w:firstRowLastColumn="0" w:lastRowFirstColumn="0" w:lastRowLastColumn="0"/>
              <w:rPr>
                <w:noProof/>
              </w:rPr>
            </w:pPr>
            <w:r w:rsidRPr="00885241">
              <w:rPr>
                <w:noProof/>
              </w:rPr>
              <w:t>Initial voted budget</w:t>
            </w:r>
          </w:p>
        </w:tc>
      </w:tr>
      <w:tr w:rsidR="00C016C5" w:rsidRPr="00885241" w14:paraId="736DF3FF" w14:textId="77777777" w:rsidTr="00813D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2286B1D6" w14:textId="77777777" w:rsidR="00C016C5" w:rsidRPr="00885241" w:rsidRDefault="00C016C5" w:rsidP="00813D25">
            <w:pPr>
              <w:jc w:val="center"/>
              <w:rPr>
                <w:noProof/>
              </w:rPr>
            </w:pPr>
            <w:r w:rsidRPr="00885241">
              <w:rPr>
                <w:noProof/>
              </w:rPr>
              <w:t>Commitments</w:t>
            </w:r>
          </w:p>
        </w:tc>
        <w:tc>
          <w:tcPr>
            <w:tcW w:w="2419" w:type="dxa"/>
          </w:tcPr>
          <w:p w14:paraId="2461142B" w14:textId="77777777" w:rsidR="00C016C5" w:rsidRPr="00885241" w:rsidRDefault="00C016C5" w:rsidP="00813D25">
            <w:pPr>
              <w:jc w:val="right"/>
              <w:cnfStyle w:val="000000100000" w:firstRow="0" w:lastRow="0" w:firstColumn="0" w:lastColumn="0" w:oddVBand="0" w:evenVBand="0" w:oddHBand="1" w:evenHBand="0" w:firstRowFirstColumn="0" w:firstRowLastColumn="0" w:lastRowFirstColumn="0" w:lastRowLastColumn="0"/>
              <w:rPr>
                <w:noProof/>
              </w:rPr>
            </w:pPr>
            <w:r w:rsidRPr="00885241">
              <w:rPr>
                <w:noProof/>
              </w:rPr>
              <w:t>11</w:t>
            </w:r>
            <w:r>
              <w:rPr>
                <w:rFonts w:ascii="Calibri" w:hAnsi="Calibri" w:cs="Calibri"/>
                <w:noProof/>
              </w:rPr>
              <w:t> </w:t>
            </w:r>
            <w:r w:rsidRPr="00885241">
              <w:rPr>
                <w:noProof/>
              </w:rPr>
              <w:t>393.6</w:t>
            </w:r>
          </w:p>
        </w:tc>
        <w:tc>
          <w:tcPr>
            <w:tcW w:w="2420" w:type="dxa"/>
          </w:tcPr>
          <w:p w14:paraId="3B4F7CA7" w14:textId="77777777" w:rsidR="00C016C5" w:rsidRPr="00885241" w:rsidRDefault="00C016C5" w:rsidP="00813D25">
            <w:pPr>
              <w:jc w:val="right"/>
              <w:cnfStyle w:val="000000100000" w:firstRow="0" w:lastRow="0" w:firstColumn="0" w:lastColumn="0" w:oddVBand="0" w:evenVBand="0" w:oddHBand="1" w:evenHBand="0" w:firstRowFirstColumn="0" w:firstRowLastColumn="0" w:lastRowFirstColumn="0" w:lastRowLastColumn="0"/>
              <w:rPr>
                <w:noProof/>
              </w:rPr>
            </w:pPr>
            <w:r w:rsidRPr="00885241">
              <w:rPr>
                <w:noProof/>
              </w:rPr>
              <w:t>11</w:t>
            </w:r>
            <w:r>
              <w:rPr>
                <w:rFonts w:ascii="Calibri" w:hAnsi="Calibri" w:cs="Calibri"/>
                <w:noProof/>
              </w:rPr>
              <w:t> </w:t>
            </w:r>
            <w:r w:rsidRPr="00885241">
              <w:rPr>
                <w:noProof/>
              </w:rPr>
              <w:t>506.5</w:t>
            </w:r>
          </w:p>
        </w:tc>
      </w:tr>
      <w:tr w:rsidR="00C016C5" w:rsidRPr="00885241" w14:paraId="0BDBA784" w14:textId="77777777" w:rsidTr="00813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5C367BF7" w14:textId="77777777" w:rsidR="00C016C5" w:rsidRPr="00885241" w:rsidRDefault="00C016C5" w:rsidP="00813D25">
            <w:pPr>
              <w:jc w:val="center"/>
              <w:rPr>
                <w:noProof/>
              </w:rPr>
            </w:pPr>
            <w:r w:rsidRPr="00885241">
              <w:rPr>
                <w:noProof/>
              </w:rPr>
              <w:t>Payments</w:t>
            </w:r>
          </w:p>
        </w:tc>
        <w:tc>
          <w:tcPr>
            <w:tcW w:w="2419" w:type="dxa"/>
          </w:tcPr>
          <w:p w14:paraId="313E9629" w14:textId="77777777" w:rsidR="00C016C5" w:rsidRPr="00885241" w:rsidRDefault="00C016C5" w:rsidP="00813D25">
            <w:pPr>
              <w:jc w:val="right"/>
              <w:cnfStyle w:val="000000010000" w:firstRow="0" w:lastRow="0" w:firstColumn="0" w:lastColumn="0" w:oddVBand="0" w:evenVBand="0" w:oddHBand="0" w:evenHBand="1" w:firstRowFirstColumn="0" w:firstRowLastColumn="0" w:lastRowFirstColumn="0" w:lastRowLastColumn="0"/>
              <w:rPr>
                <w:noProof/>
              </w:rPr>
            </w:pPr>
            <w:r w:rsidRPr="00885241">
              <w:rPr>
                <w:noProof/>
              </w:rPr>
              <w:t>1</w:t>
            </w:r>
            <w:r>
              <w:rPr>
                <w:rFonts w:ascii="Calibri" w:hAnsi="Calibri" w:cs="Calibri"/>
                <w:noProof/>
              </w:rPr>
              <w:t> </w:t>
            </w:r>
            <w:r w:rsidRPr="00885241">
              <w:rPr>
                <w:noProof/>
              </w:rPr>
              <w:t>138.1</w:t>
            </w:r>
          </w:p>
        </w:tc>
        <w:tc>
          <w:tcPr>
            <w:tcW w:w="2420" w:type="dxa"/>
          </w:tcPr>
          <w:p w14:paraId="49137E28" w14:textId="77777777" w:rsidR="00C016C5" w:rsidRPr="00885241" w:rsidRDefault="00C016C5" w:rsidP="00813D25">
            <w:pPr>
              <w:jc w:val="right"/>
              <w:cnfStyle w:val="000000010000" w:firstRow="0" w:lastRow="0" w:firstColumn="0" w:lastColumn="0" w:oddVBand="0" w:evenVBand="0" w:oddHBand="0" w:evenHBand="1" w:firstRowFirstColumn="0" w:firstRowLastColumn="0" w:lastRowFirstColumn="0" w:lastRowLastColumn="0"/>
              <w:rPr>
                <w:noProof/>
              </w:rPr>
            </w:pPr>
            <w:r w:rsidRPr="00885241">
              <w:rPr>
                <w:noProof/>
              </w:rPr>
              <w:t>1</w:t>
            </w:r>
            <w:r>
              <w:rPr>
                <w:rFonts w:ascii="Calibri" w:hAnsi="Calibri" w:cs="Calibri"/>
                <w:noProof/>
              </w:rPr>
              <w:t> </w:t>
            </w:r>
            <w:r w:rsidRPr="00885241">
              <w:rPr>
                <w:noProof/>
              </w:rPr>
              <w:t>828.7</w:t>
            </w:r>
          </w:p>
        </w:tc>
      </w:tr>
    </w:tbl>
    <w:p w14:paraId="04B62469" w14:textId="77777777" w:rsidR="00C016C5" w:rsidRPr="00885241" w:rsidRDefault="00C016C5" w:rsidP="00C016C5">
      <w:pPr>
        <w:pStyle w:val="ppoListHyphened-L1"/>
        <w:spacing w:before="360"/>
        <w:rPr>
          <w:noProof/>
        </w:rPr>
      </w:pPr>
      <w:r w:rsidRPr="00885241">
        <w:rPr>
          <w:noProof/>
        </w:rPr>
        <w:t>2021 was the first year of implementation for Horizon Europe. The late adoption of the legal bas</w:t>
      </w:r>
      <w:r>
        <w:rPr>
          <w:noProof/>
        </w:rPr>
        <w:t>is</w:t>
      </w:r>
      <w:r w:rsidRPr="00885241">
        <w:rPr>
          <w:noProof/>
        </w:rPr>
        <w:t xml:space="preserve"> led to the adoption of the 2021-2022 work programmes and the launching of calls for proposals</w:t>
      </w:r>
      <w:r>
        <w:rPr>
          <w:noProof/>
        </w:rPr>
        <w:t xml:space="preserve"> being </w:t>
      </w:r>
      <w:r w:rsidRPr="00885241">
        <w:rPr>
          <w:noProof/>
        </w:rPr>
        <w:t>postpon</w:t>
      </w:r>
      <w:r>
        <w:rPr>
          <w:noProof/>
        </w:rPr>
        <w:t>ed</w:t>
      </w:r>
      <w:r w:rsidRPr="00885241">
        <w:rPr>
          <w:noProof/>
        </w:rPr>
        <w:t>.</w:t>
      </w:r>
    </w:p>
    <w:p w14:paraId="5A9F7F20" w14:textId="77777777" w:rsidR="00C016C5" w:rsidRPr="00885241" w:rsidRDefault="00C016C5" w:rsidP="00C016C5">
      <w:pPr>
        <w:pStyle w:val="ppoListHyphened-L1"/>
        <w:rPr>
          <w:noProof/>
        </w:rPr>
      </w:pPr>
      <w:r w:rsidRPr="00885241">
        <w:rPr>
          <w:noProof/>
        </w:rPr>
        <w:t xml:space="preserve">85 of the </w:t>
      </w:r>
      <w:r>
        <w:rPr>
          <w:noProof/>
        </w:rPr>
        <w:t>more than</w:t>
      </w:r>
      <w:r w:rsidRPr="00885241">
        <w:rPr>
          <w:noProof/>
        </w:rPr>
        <w:t xml:space="preserve"> 100 calls for proposals launched in 2021 were closed and fully evaluated by the end of the year.</w:t>
      </w:r>
    </w:p>
    <w:p w14:paraId="33DCC432" w14:textId="77777777" w:rsidR="00C016C5" w:rsidRPr="00885241" w:rsidRDefault="00C016C5" w:rsidP="00C016C5">
      <w:pPr>
        <w:pStyle w:val="ppoListHyphened-L1"/>
        <w:rPr>
          <w:noProof/>
        </w:rPr>
      </w:pPr>
      <w:r w:rsidRPr="00885241">
        <w:rPr>
          <w:noProof/>
        </w:rPr>
        <w:t>20</w:t>
      </w:r>
      <w:r>
        <w:rPr>
          <w:rFonts w:ascii="Calibri" w:hAnsi="Calibri" w:cs="Calibri"/>
          <w:noProof/>
        </w:rPr>
        <w:t> </w:t>
      </w:r>
      <w:r w:rsidRPr="00885241">
        <w:rPr>
          <w:noProof/>
        </w:rPr>
        <w:t>892 eligible proposals were submitted under those calls. Although two third</w:t>
      </w:r>
      <w:r>
        <w:rPr>
          <w:noProof/>
        </w:rPr>
        <w:t>s</w:t>
      </w:r>
      <w:r w:rsidRPr="00885241">
        <w:rPr>
          <w:noProof/>
        </w:rPr>
        <w:t xml:space="preserve"> (66%) of the eligible proposals were above the quality threshold, only 3</w:t>
      </w:r>
      <w:r>
        <w:rPr>
          <w:rFonts w:ascii="Calibri" w:hAnsi="Calibri" w:cs="Calibri"/>
          <w:noProof/>
        </w:rPr>
        <w:t> </w:t>
      </w:r>
      <w:r w:rsidRPr="00885241">
        <w:rPr>
          <w:noProof/>
        </w:rPr>
        <w:t>110 could be retained due to budgetary constraints, bringing the overall success rate of eligible proposals to 14.9% for the first year of the programme.</w:t>
      </w:r>
    </w:p>
    <w:p w14:paraId="375F7646" w14:textId="77777777" w:rsidR="00C016C5" w:rsidRPr="00885241" w:rsidRDefault="00C016C5" w:rsidP="00C016C5">
      <w:pPr>
        <w:pStyle w:val="ppoListHyphened-L1"/>
        <w:rPr>
          <w:noProof/>
        </w:rPr>
      </w:pPr>
      <w:r w:rsidRPr="00885241">
        <w:rPr>
          <w:noProof/>
        </w:rPr>
        <w:t xml:space="preserve">By end of 2021, 19 grant agreements and </w:t>
      </w:r>
      <w:r>
        <w:rPr>
          <w:noProof/>
        </w:rPr>
        <w:t>one</w:t>
      </w:r>
      <w:r w:rsidRPr="00885241">
        <w:rPr>
          <w:noProof/>
        </w:rPr>
        <w:t xml:space="preserve"> </w:t>
      </w:r>
      <w:r>
        <w:rPr>
          <w:noProof/>
        </w:rPr>
        <w:t>f</w:t>
      </w:r>
      <w:r w:rsidRPr="00885241">
        <w:rPr>
          <w:noProof/>
        </w:rPr>
        <w:t xml:space="preserve">ramework </w:t>
      </w:r>
      <w:r>
        <w:rPr>
          <w:noProof/>
        </w:rPr>
        <w:t>p</w:t>
      </w:r>
      <w:r w:rsidRPr="00885241">
        <w:rPr>
          <w:noProof/>
        </w:rPr>
        <w:t xml:space="preserve">artnership </w:t>
      </w:r>
      <w:r>
        <w:rPr>
          <w:noProof/>
        </w:rPr>
        <w:t>a</w:t>
      </w:r>
      <w:r w:rsidRPr="00885241">
        <w:rPr>
          <w:noProof/>
        </w:rPr>
        <w:t xml:space="preserve">greement </w:t>
      </w:r>
      <w:r>
        <w:rPr>
          <w:noProof/>
        </w:rPr>
        <w:t>had been</w:t>
      </w:r>
      <w:r w:rsidRPr="00885241">
        <w:rPr>
          <w:noProof/>
        </w:rPr>
        <w:t xml:space="preserve"> signed for a total EU contribution of EUR</w:t>
      </w:r>
      <w:r>
        <w:rPr>
          <w:rFonts w:ascii="Calibri" w:hAnsi="Calibri" w:cs="Calibri"/>
          <w:noProof/>
        </w:rPr>
        <w:t> </w:t>
      </w:r>
      <w:r w:rsidRPr="00885241">
        <w:rPr>
          <w:noProof/>
        </w:rPr>
        <w:t>244.0</w:t>
      </w:r>
      <w:r>
        <w:rPr>
          <w:rFonts w:ascii="Calibri" w:hAnsi="Calibri" w:cs="Calibri"/>
          <w:noProof/>
        </w:rPr>
        <w:t> </w:t>
      </w:r>
      <w:r w:rsidRPr="00885241">
        <w:rPr>
          <w:noProof/>
        </w:rPr>
        <w:t>million shared across various thematic areas.</w:t>
      </w:r>
    </w:p>
    <w:p w14:paraId="6449398A" w14:textId="77777777" w:rsidR="00C016C5" w:rsidRPr="00885241" w:rsidRDefault="00C016C5" w:rsidP="00C016C5">
      <w:pPr>
        <w:pStyle w:val="ppoListHyphened-L1"/>
        <w:rPr>
          <w:noProof/>
        </w:rPr>
      </w:pPr>
      <w:r w:rsidRPr="00885241">
        <w:rPr>
          <w:noProof/>
        </w:rPr>
        <w:t xml:space="preserve">Despite the late adoption (at </w:t>
      </w:r>
      <w:r>
        <w:rPr>
          <w:noProof/>
        </w:rPr>
        <w:t xml:space="preserve">the </w:t>
      </w:r>
      <w:r w:rsidRPr="00885241">
        <w:rPr>
          <w:noProof/>
        </w:rPr>
        <w:t xml:space="preserve">end </w:t>
      </w:r>
      <w:r>
        <w:rPr>
          <w:noProof/>
        </w:rPr>
        <w:t xml:space="preserve">of </w:t>
      </w:r>
      <w:r w:rsidRPr="00885241">
        <w:rPr>
          <w:noProof/>
        </w:rPr>
        <w:t xml:space="preserve">November 2021) of the </w:t>
      </w:r>
      <w:r>
        <w:rPr>
          <w:noProof/>
        </w:rPr>
        <w:t>r</w:t>
      </w:r>
      <w:r w:rsidRPr="00885241">
        <w:rPr>
          <w:noProof/>
        </w:rPr>
        <w:t xml:space="preserve">egulation for the establishment of </w:t>
      </w:r>
      <w:r>
        <w:rPr>
          <w:noProof/>
        </w:rPr>
        <w:t>j</w:t>
      </w:r>
      <w:r w:rsidRPr="00885241">
        <w:rPr>
          <w:noProof/>
        </w:rPr>
        <w:t xml:space="preserve">oint </w:t>
      </w:r>
      <w:r>
        <w:rPr>
          <w:noProof/>
        </w:rPr>
        <w:t>u</w:t>
      </w:r>
      <w:r w:rsidRPr="00885241">
        <w:rPr>
          <w:noProof/>
        </w:rPr>
        <w:t xml:space="preserve">ndertakings under Horizon Europe, the Commission was able to make the commitments for seven </w:t>
      </w:r>
      <w:r>
        <w:rPr>
          <w:noProof/>
        </w:rPr>
        <w:t>j</w:t>
      </w:r>
      <w:r w:rsidRPr="00885241">
        <w:rPr>
          <w:noProof/>
        </w:rPr>
        <w:t xml:space="preserve">oint </w:t>
      </w:r>
      <w:r>
        <w:rPr>
          <w:noProof/>
        </w:rPr>
        <w:t>u</w:t>
      </w:r>
      <w:r w:rsidRPr="00885241">
        <w:rPr>
          <w:noProof/>
        </w:rPr>
        <w:t xml:space="preserve">ndertakings before the end of the year. A carry-over of the 2021 appropriations (commitment and payment) </w:t>
      </w:r>
      <w:r>
        <w:rPr>
          <w:noProof/>
        </w:rPr>
        <w:t>w</w:t>
      </w:r>
      <w:r w:rsidRPr="00885241">
        <w:rPr>
          <w:noProof/>
        </w:rPr>
        <w:t>as only requested for the EU</w:t>
      </w:r>
      <w:r>
        <w:rPr>
          <w:noProof/>
        </w:rPr>
        <w:t>’s</w:t>
      </w:r>
      <w:r w:rsidRPr="00885241">
        <w:rPr>
          <w:noProof/>
        </w:rPr>
        <w:t xml:space="preserve"> 2021 financial contribution to Europe’s Rail </w:t>
      </w:r>
      <w:r>
        <w:rPr>
          <w:noProof/>
        </w:rPr>
        <w:t>J</w:t>
      </w:r>
      <w:r w:rsidRPr="00885241">
        <w:rPr>
          <w:noProof/>
        </w:rPr>
        <w:t xml:space="preserve">oint </w:t>
      </w:r>
      <w:r>
        <w:rPr>
          <w:noProof/>
        </w:rPr>
        <w:t>U</w:t>
      </w:r>
      <w:r w:rsidRPr="00885241">
        <w:rPr>
          <w:noProof/>
        </w:rPr>
        <w:t xml:space="preserve">ndertaking and to </w:t>
      </w:r>
      <w:r>
        <w:rPr>
          <w:noProof/>
        </w:rPr>
        <w:t xml:space="preserve">the </w:t>
      </w:r>
      <w:r w:rsidRPr="00885241">
        <w:rPr>
          <w:noProof/>
        </w:rPr>
        <w:t xml:space="preserve">Single European Sky ATM Research 3 </w:t>
      </w:r>
      <w:r>
        <w:rPr>
          <w:noProof/>
        </w:rPr>
        <w:t>J</w:t>
      </w:r>
      <w:r w:rsidRPr="00885241">
        <w:rPr>
          <w:noProof/>
        </w:rPr>
        <w:t xml:space="preserve">oint </w:t>
      </w:r>
      <w:r>
        <w:rPr>
          <w:noProof/>
        </w:rPr>
        <w:t>U</w:t>
      </w:r>
      <w:r w:rsidRPr="00885241">
        <w:rPr>
          <w:noProof/>
        </w:rPr>
        <w:t>ndertaking.</w:t>
      </w:r>
    </w:p>
    <w:p w14:paraId="6831425D" w14:textId="77777777" w:rsidR="00C016C5" w:rsidRPr="00885241" w:rsidRDefault="00C016C5" w:rsidP="00C016C5">
      <w:pPr>
        <w:pStyle w:val="ppoHeading5"/>
        <w:rPr>
          <w:noProof/>
        </w:rPr>
      </w:pPr>
      <w:r w:rsidRPr="00885241">
        <w:rPr>
          <w:noProof/>
        </w:rPr>
        <w:t>Contribution to horizontal priorities</w:t>
      </w:r>
    </w:p>
    <w:p w14:paraId="44CBE4D1" w14:textId="77777777" w:rsidR="00C016C5" w:rsidRPr="00885241" w:rsidRDefault="00C016C5" w:rsidP="00C016C5">
      <w:pPr>
        <w:pStyle w:val="ppoTableTabletitle"/>
        <w:rPr>
          <w:noProof/>
        </w:rPr>
      </w:pPr>
      <w:r w:rsidRPr="00885241">
        <w:rPr>
          <w:noProof/>
        </w:rPr>
        <w:t>EU budget contribution in 2021 (million EUR):</w:t>
      </w:r>
    </w:p>
    <w:tbl>
      <w:tblPr>
        <w:tblStyle w:val="PPO2021"/>
        <w:tblW w:w="9639" w:type="dxa"/>
        <w:tblInd w:w="0" w:type="dxa"/>
        <w:tblLook w:val="0420" w:firstRow="1" w:lastRow="0" w:firstColumn="0" w:lastColumn="0" w:noHBand="0" w:noVBand="1"/>
      </w:tblPr>
      <w:tblGrid>
        <w:gridCol w:w="3213"/>
        <w:gridCol w:w="3213"/>
        <w:gridCol w:w="3213"/>
      </w:tblGrid>
      <w:tr w:rsidR="00C016C5" w:rsidRPr="00885241" w14:paraId="02B914CB" w14:textId="77777777" w:rsidTr="00813D25">
        <w:trPr>
          <w:cnfStyle w:val="100000000000" w:firstRow="1" w:lastRow="0" w:firstColumn="0" w:lastColumn="0" w:oddVBand="0" w:evenVBand="0" w:oddHBand="0" w:evenHBand="0" w:firstRowFirstColumn="0" w:firstRowLastColumn="0" w:lastRowFirstColumn="0" w:lastRowLastColumn="0"/>
          <w:tblHeader/>
        </w:trPr>
        <w:tc>
          <w:tcPr>
            <w:tcW w:w="3213" w:type="dxa"/>
          </w:tcPr>
          <w:p w14:paraId="5D160981" w14:textId="77777777" w:rsidR="00C016C5" w:rsidRPr="00885241" w:rsidRDefault="00C016C5" w:rsidP="00304A2B">
            <w:pPr>
              <w:jc w:val="center"/>
              <w:rPr>
                <w:noProof/>
              </w:rPr>
            </w:pPr>
            <w:r w:rsidRPr="00885241">
              <w:rPr>
                <w:noProof/>
              </w:rPr>
              <w:t>Climate</w:t>
            </w:r>
          </w:p>
        </w:tc>
        <w:tc>
          <w:tcPr>
            <w:tcW w:w="3213" w:type="dxa"/>
          </w:tcPr>
          <w:p w14:paraId="31778310" w14:textId="77777777" w:rsidR="00C016C5" w:rsidRPr="00885241" w:rsidRDefault="00C016C5" w:rsidP="00304A2B">
            <w:pPr>
              <w:jc w:val="center"/>
              <w:rPr>
                <w:noProof/>
              </w:rPr>
            </w:pPr>
            <w:r w:rsidRPr="00885241">
              <w:rPr>
                <w:noProof/>
              </w:rPr>
              <w:t>Biodiversity</w:t>
            </w:r>
          </w:p>
        </w:tc>
        <w:tc>
          <w:tcPr>
            <w:tcW w:w="3213" w:type="dxa"/>
          </w:tcPr>
          <w:p w14:paraId="50EBD78D" w14:textId="77777777" w:rsidR="00C016C5" w:rsidRPr="00885241" w:rsidRDefault="00C016C5" w:rsidP="00304A2B">
            <w:pPr>
              <w:jc w:val="center"/>
              <w:rPr>
                <w:noProof/>
              </w:rPr>
            </w:pPr>
            <w:r w:rsidRPr="00885241">
              <w:rPr>
                <w:noProof/>
              </w:rPr>
              <w:t>Gender equality</w:t>
            </w:r>
            <w:r>
              <w:rPr>
                <w:rFonts w:ascii="Calibri" w:hAnsi="Calibri" w:cs="Calibri"/>
                <w:noProof/>
              </w:rPr>
              <w:t> (</w:t>
            </w:r>
            <w:r w:rsidRPr="00885241">
              <w:rPr>
                <w:noProof/>
              </w:rPr>
              <w:t>*</w:t>
            </w:r>
            <w:r>
              <w:rPr>
                <w:noProof/>
              </w:rPr>
              <w:t>)</w:t>
            </w:r>
          </w:p>
        </w:tc>
      </w:tr>
      <w:tr w:rsidR="00C016C5" w:rsidRPr="00885241" w14:paraId="2E9175D3" w14:textId="77777777" w:rsidTr="00813D25">
        <w:trPr>
          <w:cnfStyle w:val="000000100000" w:firstRow="0" w:lastRow="0" w:firstColumn="0" w:lastColumn="0" w:oddVBand="0" w:evenVBand="0" w:oddHBand="1" w:evenHBand="0" w:firstRowFirstColumn="0" w:firstRowLastColumn="0" w:lastRowFirstColumn="0" w:lastRowLastColumn="0"/>
        </w:trPr>
        <w:tc>
          <w:tcPr>
            <w:tcW w:w="3213" w:type="dxa"/>
          </w:tcPr>
          <w:tbl>
            <w:tblPr>
              <w:tblStyle w:val="TableGrid"/>
              <w:tblW w:w="0" w:type="auto"/>
              <w:tblLook w:val="06A0" w:firstRow="1" w:lastRow="0" w:firstColumn="1" w:lastColumn="0" w:noHBand="1" w:noVBand="1"/>
            </w:tblPr>
            <w:tblGrid>
              <w:gridCol w:w="1935"/>
            </w:tblGrid>
            <w:tr w:rsidR="00C016C5" w:rsidRPr="00152A25" w14:paraId="11B3A74D" w14:textId="77777777" w:rsidTr="00813D25">
              <w:trPr>
                <w:trHeight w:val="285"/>
              </w:trPr>
              <w:tc>
                <w:tcPr>
                  <w:tcW w:w="1935" w:type="dxa"/>
                  <w:tcBorders>
                    <w:top w:val="nil"/>
                    <w:left w:val="nil"/>
                    <w:bottom w:val="nil"/>
                    <w:right w:val="nil"/>
                  </w:tcBorders>
                  <w:vAlign w:val="bottom"/>
                </w:tcPr>
                <w:p w14:paraId="115F57B0" w14:textId="34D3AD9C" w:rsidR="00C016C5" w:rsidRPr="00885241" w:rsidRDefault="00194625" w:rsidP="00304A2B">
                  <w:pPr>
                    <w:spacing w:before="100"/>
                    <w:jc w:val="center"/>
                    <w:rPr>
                      <w:noProof/>
                    </w:rPr>
                  </w:pPr>
                  <w:r>
                    <w:rPr>
                      <w:rFonts w:cstheme="minorBidi"/>
                      <w:noProof/>
                    </w:rPr>
                    <w:t>4 750.4</w:t>
                  </w:r>
                </w:p>
              </w:tc>
            </w:tr>
          </w:tbl>
          <w:p w14:paraId="3425ED78" w14:textId="77777777" w:rsidR="00C016C5" w:rsidRPr="00885241" w:rsidRDefault="00C016C5">
            <w:pPr>
              <w:jc w:val="center"/>
              <w:rPr>
                <w:noProof/>
              </w:rPr>
            </w:pPr>
          </w:p>
        </w:tc>
        <w:tc>
          <w:tcPr>
            <w:tcW w:w="3213" w:type="dxa"/>
          </w:tcPr>
          <w:p w14:paraId="2E13ECC9" w14:textId="77777777" w:rsidR="00C016C5" w:rsidRPr="00885241" w:rsidRDefault="00C016C5">
            <w:pPr>
              <w:jc w:val="center"/>
              <w:rPr>
                <w:noProof/>
              </w:rPr>
            </w:pPr>
            <w:r w:rsidRPr="00885241">
              <w:rPr>
                <w:noProof/>
              </w:rPr>
              <w:t>1</w:t>
            </w:r>
            <w:r w:rsidRPr="00152A25">
              <w:rPr>
                <w:rFonts w:ascii="Calibri" w:hAnsi="Calibri" w:cs="Calibri"/>
                <w:noProof/>
              </w:rPr>
              <w:t> </w:t>
            </w:r>
            <w:r w:rsidRPr="00885241">
              <w:rPr>
                <w:noProof/>
              </w:rPr>
              <w:t>068.0</w:t>
            </w:r>
          </w:p>
          <w:p w14:paraId="4D6FACD7" w14:textId="77777777" w:rsidR="00C016C5" w:rsidRPr="00885241" w:rsidRDefault="00C016C5">
            <w:pPr>
              <w:jc w:val="center"/>
              <w:rPr>
                <w:noProof/>
              </w:rPr>
            </w:pPr>
          </w:p>
        </w:tc>
        <w:tc>
          <w:tcPr>
            <w:tcW w:w="3213" w:type="dxa"/>
          </w:tcPr>
          <w:p w14:paraId="50469B6E" w14:textId="77777777" w:rsidR="00C016C5" w:rsidRPr="00885241" w:rsidRDefault="00C016C5">
            <w:pPr>
              <w:jc w:val="center"/>
              <w:rPr>
                <w:noProof/>
              </w:rPr>
            </w:pPr>
            <w:r w:rsidRPr="00885241">
              <w:rPr>
                <w:noProof/>
              </w:rPr>
              <w:t>Score 2: 36.9</w:t>
            </w:r>
          </w:p>
          <w:p w14:paraId="3FC5B74F" w14:textId="77777777" w:rsidR="00C016C5" w:rsidRPr="00885241" w:rsidRDefault="00C016C5">
            <w:pPr>
              <w:jc w:val="center"/>
              <w:rPr>
                <w:noProof/>
              </w:rPr>
            </w:pPr>
            <w:r w:rsidRPr="00885241">
              <w:rPr>
                <w:noProof/>
              </w:rPr>
              <w:t>Score 1: 160.0</w:t>
            </w:r>
          </w:p>
          <w:p w14:paraId="1F161E34" w14:textId="77777777" w:rsidR="00C016C5" w:rsidRPr="00885241" w:rsidRDefault="00C016C5">
            <w:pPr>
              <w:jc w:val="center"/>
              <w:rPr>
                <w:noProof/>
              </w:rPr>
            </w:pPr>
            <w:r w:rsidRPr="00885241">
              <w:rPr>
                <w:noProof/>
              </w:rPr>
              <w:t>Score 0*: 11</w:t>
            </w:r>
            <w:r w:rsidRPr="00152A25">
              <w:rPr>
                <w:rFonts w:ascii="Calibri" w:hAnsi="Calibri" w:cs="Calibri"/>
                <w:noProof/>
              </w:rPr>
              <w:t> </w:t>
            </w:r>
            <w:r w:rsidRPr="00885241">
              <w:rPr>
                <w:noProof/>
              </w:rPr>
              <w:t>196.7</w:t>
            </w:r>
          </w:p>
        </w:tc>
      </w:tr>
    </w:tbl>
    <w:p w14:paraId="1D61FDB1" w14:textId="77777777" w:rsidR="00C016C5" w:rsidRPr="00885241" w:rsidRDefault="00C016C5" w:rsidP="00C016C5">
      <w:pPr>
        <w:pStyle w:val="FootnoteText"/>
        <w:rPr>
          <w:noProof/>
        </w:rPr>
      </w:pPr>
      <w:r>
        <w:rPr>
          <w:noProof/>
        </w:rPr>
        <w:t>(</w:t>
      </w:r>
      <w:r w:rsidRPr="00885241">
        <w:rPr>
          <w:noProof/>
        </w:rPr>
        <w:t>*</w:t>
      </w:r>
      <w:r>
        <w:rPr>
          <w:noProof/>
        </w:rPr>
        <w:t>)</w:t>
      </w:r>
      <w:r>
        <w:rPr>
          <w:noProof/>
        </w:rPr>
        <w:tab/>
      </w:r>
      <w:r w:rsidRPr="00885241">
        <w:rPr>
          <w:noProof/>
        </w:rPr>
        <w:t>Based on the applied gender contribution methodology, the following scores are attributed at the most granular level of intervention possible:</w:t>
      </w:r>
    </w:p>
    <w:p w14:paraId="534E2134" w14:textId="77777777" w:rsidR="00C016C5" w:rsidRPr="00885241" w:rsidRDefault="00C016C5" w:rsidP="00476903">
      <w:pPr>
        <w:pStyle w:val="FootnoteText"/>
        <w:numPr>
          <w:ilvl w:val="0"/>
          <w:numId w:val="38"/>
        </w:numPr>
        <w:spacing w:after="60" w:line="264" w:lineRule="auto"/>
        <w:jc w:val="left"/>
        <w:rPr>
          <w:noProof/>
        </w:rPr>
      </w:pPr>
      <w:r w:rsidRPr="00885241">
        <w:rPr>
          <w:noProof/>
        </w:rPr>
        <w:t xml:space="preserve">2: </w:t>
      </w:r>
      <w:r>
        <w:rPr>
          <w:noProof/>
        </w:rPr>
        <w:t>i</w:t>
      </w:r>
      <w:r w:rsidRPr="00885241">
        <w:rPr>
          <w:noProof/>
        </w:rPr>
        <w:t xml:space="preserve">nterventions </w:t>
      </w:r>
      <w:r>
        <w:rPr>
          <w:noProof/>
        </w:rPr>
        <w:t xml:space="preserve">the </w:t>
      </w:r>
      <w:r w:rsidRPr="00885241">
        <w:rPr>
          <w:noProof/>
        </w:rPr>
        <w:t xml:space="preserve">principal objective </w:t>
      </w:r>
      <w:r>
        <w:rPr>
          <w:noProof/>
        </w:rPr>
        <w:t xml:space="preserve">of which </w:t>
      </w:r>
      <w:r w:rsidRPr="00885241">
        <w:rPr>
          <w:noProof/>
        </w:rPr>
        <w:t>is to improve gender equality;</w:t>
      </w:r>
    </w:p>
    <w:p w14:paraId="775CA0AD" w14:textId="77777777" w:rsidR="00C016C5" w:rsidRPr="00885241" w:rsidRDefault="00C016C5" w:rsidP="00476903">
      <w:pPr>
        <w:pStyle w:val="FootnoteText"/>
        <w:numPr>
          <w:ilvl w:val="0"/>
          <w:numId w:val="38"/>
        </w:numPr>
        <w:spacing w:after="60" w:line="264" w:lineRule="auto"/>
        <w:jc w:val="left"/>
        <w:rPr>
          <w:noProof/>
        </w:rPr>
      </w:pPr>
      <w:r w:rsidRPr="00885241">
        <w:rPr>
          <w:noProof/>
        </w:rPr>
        <w:t xml:space="preserve">1: </w:t>
      </w:r>
      <w:r>
        <w:rPr>
          <w:noProof/>
        </w:rPr>
        <w:t>i</w:t>
      </w:r>
      <w:r w:rsidRPr="00885241">
        <w:rPr>
          <w:noProof/>
        </w:rPr>
        <w:t xml:space="preserve">nterventions </w:t>
      </w:r>
      <w:r>
        <w:rPr>
          <w:noProof/>
        </w:rPr>
        <w:t xml:space="preserve">that </w:t>
      </w:r>
      <w:r w:rsidRPr="00885241">
        <w:rPr>
          <w:noProof/>
        </w:rPr>
        <w:t>hav</w:t>
      </w:r>
      <w:r>
        <w:rPr>
          <w:noProof/>
        </w:rPr>
        <w:t>e</w:t>
      </w:r>
      <w:r w:rsidRPr="00885241">
        <w:rPr>
          <w:noProof/>
        </w:rPr>
        <w:t xml:space="preserve"> gender equality as an important and deliberate objective but not as the main reason for the intervention;</w:t>
      </w:r>
    </w:p>
    <w:p w14:paraId="378D166B" w14:textId="77777777" w:rsidR="00C016C5" w:rsidRPr="00885241" w:rsidRDefault="00C016C5" w:rsidP="00476903">
      <w:pPr>
        <w:pStyle w:val="FootnoteText"/>
        <w:numPr>
          <w:ilvl w:val="0"/>
          <w:numId w:val="38"/>
        </w:numPr>
        <w:spacing w:after="60" w:line="264" w:lineRule="auto"/>
        <w:jc w:val="left"/>
        <w:rPr>
          <w:noProof/>
        </w:rPr>
      </w:pPr>
      <w:r w:rsidRPr="00885241">
        <w:rPr>
          <w:noProof/>
        </w:rPr>
        <w:t xml:space="preserve">0: </w:t>
      </w:r>
      <w:r>
        <w:rPr>
          <w:noProof/>
        </w:rPr>
        <w:t>non-</w:t>
      </w:r>
      <w:r w:rsidRPr="00885241">
        <w:rPr>
          <w:noProof/>
        </w:rPr>
        <w:t>targeted interventions</w:t>
      </w:r>
      <w:r>
        <w:rPr>
          <w:noProof/>
        </w:rPr>
        <w:t>;</w:t>
      </w:r>
    </w:p>
    <w:p w14:paraId="3AA1CD3B" w14:textId="77777777" w:rsidR="00C016C5" w:rsidRPr="00885241" w:rsidRDefault="00C016C5" w:rsidP="00476903">
      <w:pPr>
        <w:pStyle w:val="FootnoteText"/>
        <w:numPr>
          <w:ilvl w:val="0"/>
          <w:numId w:val="38"/>
        </w:numPr>
        <w:spacing w:after="60" w:line="264" w:lineRule="auto"/>
        <w:jc w:val="left"/>
        <w:rPr>
          <w:noProof/>
        </w:rPr>
      </w:pPr>
      <w:r w:rsidRPr="00885241">
        <w:rPr>
          <w:noProof/>
        </w:rPr>
        <w:t xml:space="preserve">0*: </w:t>
      </w:r>
      <w:r>
        <w:rPr>
          <w:noProof/>
        </w:rPr>
        <w:t>s</w:t>
      </w:r>
      <w:r w:rsidRPr="00885241">
        <w:rPr>
          <w:noProof/>
        </w:rPr>
        <w:t xml:space="preserve">core to be assigned to interventions with </w:t>
      </w:r>
      <w:r>
        <w:rPr>
          <w:noProof/>
        </w:rPr>
        <w:t xml:space="preserve">a </w:t>
      </w:r>
      <w:r w:rsidRPr="00885241">
        <w:rPr>
          <w:noProof/>
        </w:rPr>
        <w:t>likely but not yet clear positive impact on gender equality.</w:t>
      </w:r>
    </w:p>
    <w:p w14:paraId="6C4B1969" w14:textId="77777777" w:rsidR="00C016C5" w:rsidRPr="00885241" w:rsidRDefault="00C016C5" w:rsidP="00C016C5">
      <w:pPr>
        <w:pStyle w:val="ppoHeading5"/>
        <w:rPr>
          <w:noProof/>
        </w:rPr>
      </w:pPr>
      <w:r w:rsidRPr="00885241">
        <w:rPr>
          <w:noProof/>
        </w:rPr>
        <w:t>Performance assessment</w:t>
      </w:r>
    </w:p>
    <w:p w14:paraId="181ACE34" w14:textId="77777777" w:rsidR="00C016C5" w:rsidRPr="00885241" w:rsidRDefault="00C016C5" w:rsidP="00C016C5">
      <w:pPr>
        <w:pStyle w:val="ppoHeading6"/>
        <w:rPr>
          <w:noProof/>
        </w:rPr>
      </w:pPr>
      <w:r w:rsidRPr="00885241">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C016C5" w:rsidRPr="00885241" w14:paraId="32C03218" w14:textId="77777777" w:rsidTr="00813D25">
        <w:trPr>
          <w:cnfStyle w:val="100000000000" w:firstRow="1" w:lastRow="0" w:firstColumn="0" w:lastColumn="0" w:oddVBand="0" w:evenVBand="0" w:oddHBand="0" w:evenHBand="0" w:firstRowFirstColumn="0" w:firstRowLastColumn="0" w:lastRowFirstColumn="0" w:lastRowLastColumn="0"/>
        </w:trPr>
        <w:tc>
          <w:tcPr>
            <w:tcW w:w="2330" w:type="dxa"/>
          </w:tcPr>
          <w:p w14:paraId="57655A82" w14:textId="77777777" w:rsidR="00C016C5" w:rsidRPr="00885241" w:rsidRDefault="00C016C5" w:rsidP="00813D25">
            <w:pPr>
              <w:rPr>
                <w:noProof/>
              </w:rPr>
            </w:pPr>
          </w:p>
        </w:tc>
        <w:tc>
          <w:tcPr>
            <w:tcW w:w="1100" w:type="dxa"/>
          </w:tcPr>
          <w:p w14:paraId="664E2137" w14:textId="77777777" w:rsidR="00C016C5" w:rsidRPr="00885241" w:rsidRDefault="00C016C5" w:rsidP="00813D25">
            <w:pPr>
              <w:rPr>
                <w:noProof/>
              </w:rPr>
            </w:pPr>
            <w:r w:rsidRPr="00885241">
              <w:rPr>
                <w:noProof/>
              </w:rPr>
              <w:t>Baseline</w:t>
            </w:r>
          </w:p>
        </w:tc>
        <w:tc>
          <w:tcPr>
            <w:tcW w:w="1526" w:type="dxa"/>
          </w:tcPr>
          <w:p w14:paraId="5E5D1BB6" w14:textId="77777777" w:rsidR="00C016C5" w:rsidRPr="00885241" w:rsidRDefault="00C016C5" w:rsidP="00813D25">
            <w:pPr>
              <w:rPr>
                <w:noProof/>
              </w:rPr>
            </w:pPr>
            <w:r w:rsidRPr="00885241">
              <w:rPr>
                <w:noProof/>
              </w:rPr>
              <w:t>Progress (*)</w:t>
            </w:r>
          </w:p>
        </w:tc>
        <w:tc>
          <w:tcPr>
            <w:tcW w:w="1532" w:type="dxa"/>
          </w:tcPr>
          <w:p w14:paraId="34FD0210" w14:textId="77777777" w:rsidR="00C016C5" w:rsidRPr="00885241" w:rsidRDefault="00C016C5" w:rsidP="00813D25">
            <w:pPr>
              <w:rPr>
                <w:noProof/>
              </w:rPr>
            </w:pPr>
            <w:r w:rsidRPr="00885241">
              <w:rPr>
                <w:noProof/>
              </w:rPr>
              <w:t>Target</w:t>
            </w:r>
          </w:p>
        </w:tc>
        <w:tc>
          <w:tcPr>
            <w:tcW w:w="1572" w:type="dxa"/>
          </w:tcPr>
          <w:p w14:paraId="6944FDB2" w14:textId="77777777" w:rsidR="00C016C5" w:rsidRPr="00885241" w:rsidRDefault="00C016C5" w:rsidP="00813D25">
            <w:pPr>
              <w:rPr>
                <w:noProof/>
              </w:rPr>
            </w:pPr>
            <w:r w:rsidRPr="00885241">
              <w:rPr>
                <w:noProof/>
              </w:rPr>
              <w:t>Results</w:t>
            </w:r>
          </w:p>
        </w:tc>
        <w:tc>
          <w:tcPr>
            <w:tcW w:w="1579" w:type="dxa"/>
          </w:tcPr>
          <w:p w14:paraId="16C5865C" w14:textId="77777777" w:rsidR="00C016C5" w:rsidRPr="00885241" w:rsidRDefault="00C016C5" w:rsidP="00813D25">
            <w:pPr>
              <w:rPr>
                <w:noProof/>
              </w:rPr>
            </w:pPr>
            <w:r w:rsidRPr="00885241">
              <w:rPr>
                <w:noProof/>
              </w:rPr>
              <w:t>Assessment</w:t>
            </w:r>
          </w:p>
        </w:tc>
      </w:tr>
      <w:tr w:rsidR="00C016C5" w:rsidRPr="00885241" w14:paraId="3FD184E4" w14:textId="77777777" w:rsidTr="00813D25">
        <w:trPr>
          <w:cnfStyle w:val="000000100000" w:firstRow="0" w:lastRow="0" w:firstColumn="0" w:lastColumn="0" w:oddVBand="0" w:evenVBand="0" w:oddHBand="1" w:evenHBand="0" w:firstRowFirstColumn="0" w:firstRowLastColumn="0" w:lastRowFirstColumn="0" w:lastRowLastColumn="0"/>
        </w:trPr>
        <w:tc>
          <w:tcPr>
            <w:tcW w:w="2330" w:type="dxa"/>
          </w:tcPr>
          <w:p w14:paraId="124E7ED0" w14:textId="77777777" w:rsidR="00C016C5" w:rsidRPr="00885241" w:rsidRDefault="00C016C5" w:rsidP="00813D25">
            <w:pPr>
              <w:rPr>
                <w:noProof/>
              </w:rPr>
            </w:pPr>
            <w:bookmarkStart w:id="23" w:name="_Hlk101275417"/>
            <w:r w:rsidRPr="00A14B93">
              <w:rPr>
                <w:noProof/>
              </w:rPr>
              <w:t>H</w:t>
            </w:r>
            <w:r>
              <w:rPr>
                <w:noProof/>
              </w:rPr>
              <w:t xml:space="preserve">orizon </w:t>
            </w:r>
            <w:r w:rsidRPr="00A14B93">
              <w:rPr>
                <w:noProof/>
              </w:rPr>
              <w:t>E</w:t>
            </w:r>
            <w:r>
              <w:rPr>
                <w:noProof/>
              </w:rPr>
              <w:t>urope</w:t>
            </w:r>
            <w:r w:rsidRPr="00885241">
              <w:rPr>
                <w:noProof/>
              </w:rPr>
              <w:t xml:space="preserve"> peer</w:t>
            </w:r>
            <w:r>
              <w:rPr>
                <w:noProof/>
              </w:rPr>
              <w:t>-</w:t>
            </w:r>
            <w:r w:rsidRPr="00885241">
              <w:rPr>
                <w:noProof/>
              </w:rPr>
              <w:t>reviewed scientific publications</w:t>
            </w:r>
            <w:bookmarkEnd w:id="23"/>
          </w:p>
        </w:tc>
        <w:tc>
          <w:tcPr>
            <w:tcW w:w="1100" w:type="dxa"/>
          </w:tcPr>
          <w:p w14:paraId="6863BEF6" w14:textId="77777777" w:rsidR="00C016C5" w:rsidRPr="00885241" w:rsidRDefault="00C016C5" w:rsidP="00813D25">
            <w:pPr>
              <w:jc w:val="center"/>
              <w:rPr>
                <w:noProof/>
              </w:rPr>
            </w:pPr>
            <w:r w:rsidRPr="00885241">
              <w:rPr>
                <w:noProof/>
              </w:rPr>
              <w:t>0</w:t>
            </w:r>
          </w:p>
        </w:tc>
        <w:tc>
          <w:tcPr>
            <w:tcW w:w="1526" w:type="dxa"/>
          </w:tcPr>
          <w:p w14:paraId="55A1D58F" w14:textId="77777777" w:rsidR="00C016C5" w:rsidRPr="00B81928" w:rsidRDefault="00C016C5" w:rsidP="00813D25">
            <w:pPr>
              <w:jc w:val="center"/>
              <w:rPr>
                <w:b/>
                <w:noProof/>
              </w:rPr>
            </w:pPr>
            <w:r w:rsidRPr="00B81928">
              <w:rPr>
                <w:b/>
                <w:noProof/>
              </w:rPr>
              <w:t>0%</w:t>
            </w:r>
          </w:p>
        </w:tc>
        <w:tc>
          <w:tcPr>
            <w:tcW w:w="1532" w:type="dxa"/>
          </w:tcPr>
          <w:p w14:paraId="3C8AA1E5" w14:textId="77777777" w:rsidR="00C016C5" w:rsidRPr="00885241" w:rsidRDefault="00C016C5" w:rsidP="00813D25">
            <w:pPr>
              <w:jc w:val="center"/>
              <w:rPr>
                <w:noProof/>
              </w:rPr>
            </w:pPr>
            <w:r w:rsidRPr="00885241">
              <w:rPr>
                <w:noProof/>
              </w:rPr>
              <w:t>150</w:t>
            </w:r>
            <w:r>
              <w:rPr>
                <w:rFonts w:ascii="Calibri" w:hAnsi="Calibri" w:cs="Calibri"/>
                <w:noProof/>
              </w:rPr>
              <w:t> </w:t>
            </w:r>
            <w:r w:rsidRPr="00885241">
              <w:rPr>
                <w:noProof/>
              </w:rPr>
              <w:t>000 in 2027</w:t>
            </w:r>
          </w:p>
        </w:tc>
        <w:tc>
          <w:tcPr>
            <w:tcW w:w="1572" w:type="dxa"/>
          </w:tcPr>
          <w:p w14:paraId="2D71AAF4" w14:textId="77777777" w:rsidR="00C016C5" w:rsidRPr="00885241" w:rsidRDefault="00C016C5" w:rsidP="00813D25">
            <w:pPr>
              <w:jc w:val="center"/>
              <w:rPr>
                <w:noProof/>
              </w:rPr>
            </w:pPr>
            <w:r w:rsidRPr="00885241">
              <w:rPr>
                <w:noProof/>
              </w:rPr>
              <w:t>952 compared to a target of 900 in 2021</w:t>
            </w:r>
          </w:p>
        </w:tc>
        <w:tc>
          <w:tcPr>
            <w:tcW w:w="1579" w:type="dxa"/>
          </w:tcPr>
          <w:p w14:paraId="7CB82788" w14:textId="77777777" w:rsidR="00C016C5" w:rsidRPr="00885241" w:rsidRDefault="00C016C5" w:rsidP="00813D25">
            <w:pPr>
              <w:jc w:val="center"/>
              <w:rPr>
                <w:noProof/>
              </w:rPr>
            </w:pPr>
            <w:r w:rsidRPr="00885241">
              <w:rPr>
                <w:noProof/>
              </w:rPr>
              <w:t>On track</w:t>
            </w:r>
          </w:p>
        </w:tc>
      </w:tr>
      <w:tr w:rsidR="00C016C5" w:rsidRPr="00885241" w14:paraId="5736471F" w14:textId="77777777" w:rsidTr="00813D25">
        <w:trPr>
          <w:cnfStyle w:val="000000010000" w:firstRow="0" w:lastRow="0" w:firstColumn="0" w:lastColumn="0" w:oddVBand="0" w:evenVBand="0" w:oddHBand="0" w:evenHBand="1" w:firstRowFirstColumn="0" w:firstRowLastColumn="0" w:lastRowFirstColumn="0" w:lastRowLastColumn="0"/>
        </w:trPr>
        <w:tc>
          <w:tcPr>
            <w:tcW w:w="2330" w:type="dxa"/>
          </w:tcPr>
          <w:p w14:paraId="63E3FBAA" w14:textId="77777777" w:rsidR="00C016C5" w:rsidRPr="00885241" w:rsidRDefault="00C016C5" w:rsidP="00813D25">
            <w:pPr>
              <w:tabs>
                <w:tab w:val="center" w:pos="1057"/>
              </w:tabs>
              <w:rPr>
                <w:noProof/>
              </w:rPr>
            </w:pPr>
            <w:r w:rsidRPr="00885241">
              <w:rPr>
                <w:noProof/>
              </w:rPr>
              <w:t xml:space="preserve">Researchers involved in upskilling (training, mentoring/coaching, mobility and access to </w:t>
            </w:r>
            <w:r>
              <w:rPr>
                <w:noProof/>
              </w:rPr>
              <w:t>R</w:t>
            </w:r>
            <w:r>
              <w:rPr>
                <w:rFonts w:ascii="Calibri" w:hAnsi="Calibri" w:cs="Calibri"/>
                <w:noProof/>
              </w:rPr>
              <w:t> </w:t>
            </w:r>
            <w:r>
              <w:rPr>
                <w:noProof/>
              </w:rPr>
              <w:t>&amp;</w:t>
            </w:r>
            <w:r>
              <w:rPr>
                <w:rFonts w:ascii="Calibri" w:hAnsi="Calibri" w:cs="Calibri"/>
                <w:noProof/>
              </w:rPr>
              <w:t> </w:t>
            </w:r>
            <w:r>
              <w:rPr>
                <w:noProof/>
              </w:rPr>
              <w:t>I</w:t>
            </w:r>
            <w:r w:rsidRPr="00885241">
              <w:rPr>
                <w:noProof/>
              </w:rPr>
              <w:t xml:space="preserve"> infrastructures) activities in FP projects</w:t>
            </w:r>
          </w:p>
        </w:tc>
        <w:tc>
          <w:tcPr>
            <w:tcW w:w="1100" w:type="dxa"/>
          </w:tcPr>
          <w:p w14:paraId="3C3A849F" w14:textId="77777777" w:rsidR="00C016C5" w:rsidRPr="00885241" w:rsidRDefault="00C016C5" w:rsidP="00813D25">
            <w:pPr>
              <w:jc w:val="center"/>
              <w:rPr>
                <w:noProof/>
              </w:rPr>
            </w:pPr>
            <w:r w:rsidRPr="00885241">
              <w:rPr>
                <w:noProof/>
              </w:rPr>
              <w:t>0</w:t>
            </w:r>
          </w:p>
        </w:tc>
        <w:tc>
          <w:tcPr>
            <w:tcW w:w="1526" w:type="dxa"/>
          </w:tcPr>
          <w:p w14:paraId="2BFE95C3" w14:textId="77777777" w:rsidR="00C016C5" w:rsidRPr="00B81928" w:rsidRDefault="00C016C5" w:rsidP="00813D25">
            <w:pPr>
              <w:jc w:val="center"/>
              <w:rPr>
                <w:b/>
                <w:noProof/>
              </w:rPr>
            </w:pPr>
            <w:r w:rsidRPr="00B81928">
              <w:rPr>
                <w:b/>
                <w:noProof/>
              </w:rPr>
              <w:t>2%</w:t>
            </w:r>
          </w:p>
        </w:tc>
        <w:tc>
          <w:tcPr>
            <w:tcW w:w="1532" w:type="dxa"/>
          </w:tcPr>
          <w:p w14:paraId="60C4370D" w14:textId="77777777" w:rsidR="00C016C5" w:rsidRPr="00885241" w:rsidRDefault="00C016C5" w:rsidP="00813D25">
            <w:pPr>
              <w:jc w:val="center"/>
              <w:rPr>
                <w:noProof/>
              </w:rPr>
            </w:pPr>
            <w:r w:rsidRPr="00885241">
              <w:rPr>
                <w:noProof/>
              </w:rPr>
              <w:t>72</w:t>
            </w:r>
            <w:r>
              <w:rPr>
                <w:rFonts w:ascii="Calibri" w:hAnsi="Calibri" w:cs="Calibri"/>
                <w:noProof/>
              </w:rPr>
              <w:t> </w:t>
            </w:r>
            <w:r w:rsidRPr="00885241">
              <w:rPr>
                <w:noProof/>
              </w:rPr>
              <w:t>000 in 2027</w:t>
            </w:r>
          </w:p>
        </w:tc>
        <w:tc>
          <w:tcPr>
            <w:tcW w:w="1572" w:type="dxa"/>
          </w:tcPr>
          <w:p w14:paraId="6280C610" w14:textId="77777777" w:rsidR="00C016C5" w:rsidRPr="00885241" w:rsidRDefault="00C016C5" w:rsidP="00813D25">
            <w:pPr>
              <w:jc w:val="center"/>
              <w:rPr>
                <w:noProof/>
              </w:rPr>
            </w:pPr>
            <w:r w:rsidRPr="00885241">
              <w:rPr>
                <w:noProof/>
              </w:rPr>
              <w:t>1</w:t>
            </w:r>
            <w:r>
              <w:rPr>
                <w:rFonts w:ascii="Calibri" w:hAnsi="Calibri" w:cs="Calibri"/>
                <w:noProof/>
              </w:rPr>
              <w:t> </w:t>
            </w:r>
            <w:r w:rsidRPr="00885241">
              <w:rPr>
                <w:noProof/>
              </w:rPr>
              <w:t>104 compared to a target of</w:t>
            </w:r>
            <w:r>
              <w:rPr>
                <w:noProof/>
              </w:rPr>
              <w:t xml:space="preserve"> </w:t>
            </w:r>
            <w:r w:rsidRPr="00885241">
              <w:rPr>
                <w:noProof/>
              </w:rPr>
              <w:t>1</w:t>
            </w:r>
            <w:r>
              <w:rPr>
                <w:rFonts w:ascii="Calibri" w:hAnsi="Calibri" w:cs="Calibri"/>
                <w:noProof/>
              </w:rPr>
              <w:t> </w:t>
            </w:r>
            <w:r w:rsidRPr="00885241">
              <w:rPr>
                <w:noProof/>
              </w:rPr>
              <w:t>000 in 2021</w:t>
            </w:r>
          </w:p>
        </w:tc>
        <w:tc>
          <w:tcPr>
            <w:tcW w:w="1579" w:type="dxa"/>
          </w:tcPr>
          <w:p w14:paraId="013B3393" w14:textId="77777777" w:rsidR="00C016C5" w:rsidRPr="00885241" w:rsidRDefault="00C016C5" w:rsidP="00813D25">
            <w:pPr>
              <w:jc w:val="center"/>
              <w:rPr>
                <w:noProof/>
              </w:rPr>
            </w:pPr>
            <w:r w:rsidRPr="00885241">
              <w:rPr>
                <w:noProof/>
              </w:rPr>
              <w:t>On track</w:t>
            </w:r>
          </w:p>
        </w:tc>
      </w:tr>
      <w:tr w:rsidR="00C016C5" w:rsidRPr="00885241" w14:paraId="049F492B" w14:textId="77777777" w:rsidTr="00813D25">
        <w:trPr>
          <w:cnfStyle w:val="000000100000" w:firstRow="0" w:lastRow="0" w:firstColumn="0" w:lastColumn="0" w:oddVBand="0" w:evenVBand="0" w:oddHBand="1" w:evenHBand="0" w:firstRowFirstColumn="0" w:firstRowLastColumn="0" w:lastRowFirstColumn="0" w:lastRowLastColumn="0"/>
        </w:trPr>
        <w:tc>
          <w:tcPr>
            <w:tcW w:w="2330" w:type="dxa"/>
          </w:tcPr>
          <w:p w14:paraId="58535D5B" w14:textId="77777777" w:rsidR="00C016C5" w:rsidRPr="00885241" w:rsidRDefault="00C016C5" w:rsidP="00813D25">
            <w:pPr>
              <w:rPr>
                <w:noProof/>
              </w:rPr>
            </w:pPr>
            <w:r w:rsidRPr="00885241">
              <w:rPr>
                <w:noProof/>
              </w:rPr>
              <w:t>Research outputs (open data</w:t>
            </w:r>
            <w:r>
              <w:rPr>
                <w:noProof/>
              </w:rPr>
              <w:t xml:space="preserve">, </w:t>
            </w:r>
            <w:r w:rsidRPr="00885241">
              <w:rPr>
                <w:noProof/>
              </w:rPr>
              <w:t>publication</w:t>
            </w:r>
            <w:r>
              <w:rPr>
                <w:noProof/>
              </w:rPr>
              <w:t>,</w:t>
            </w:r>
            <w:r w:rsidRPr="00885241">
              <w:rPr>
                <w:noProof/>
              </w:rPr>
              <w:t xml:space="preserve"> software</w:t>
            </w:r>
            <w:r>
              <w:rPr>
                <w:noProof/>
              </w:rPr>
              <w:t>,</w:t>
            </w:r>
            <w:r w:rsidRPr="00885241">
              <w:rPr>
                <w:noProof/>
              </w:rPr>
              <w:t xml:space="preserve"> etc.) shared through open knowledge infrastructure</w:t>
            </w:r>
          </w:p>
        </w:tc>
        <w:tc>
          <w:tcPr>
            <w:tcW w:w="1100" w:type="dxa"/>
          </w:tcPr>
          <w:p w14:paraId="11316359" w14:textId="77777777" w:rsidR="00C016C5" w:rsidRPr="00885241" w:rsidRDefault="00C016C5" w:rsidP="00813D25">
            <w:pPr>
              <w:jc w:val="center"/>
              <w:rPr>
                <w:noProof/>
              </w:rPr>
            </w:pPr>
            <w:r w:rsidRPr="00885241">
              <w:rPr>
                <w:noProof/>
              </w:rPr>
              <w:t>0</w:t>
            </w:r>
          </w:p>
        </w:tc>
        <w:tc>
          <w:tcPr>
            <w:tcW w:w="1526" w:type="dxa"/>
          </w:tcPr>
          <w:p w14:paraId="2EBD0767" w14:textId="77777777" w:rsidR="00C016C5" w:rsidRPr="00B81928" w:rsidRDefault="00C016C5" w:rsidP="00813D25">
            <w:pPr>
              <w:jc w:val="center"/>
              <w:rPr>
                <w:b/>
                <w:noProof/>
              </w:rPr>
            </w:pPr>
            <w:r w:rsidRPr="00B81928">
              <w:rPr>
                <w:b/>
                <w:noProof/>
              </w:rPr>
              <w:t>86%</w:t>
            </w:r>
          </w:p>
        </w:tc>
        <w:tc>
          <w:tcPr>
            <w:tcW w:w="1532" w:type="dxa"/>
          </w:tcPr>
          <w:p w14:paraId="24D1CB7E" w14:textId="77777777" w:rsidR="00C016C5" w:rsidRPr="00885241" w:rsidRDefault="00C016C5" w:rsidP="00813D25">
            <w:pPr>
              <w:jc w:val="center"/>
              <w:rPr>
                <w:noProof/>
              </w:rPr>
            </w:pPr>
            <w:r w:rsidRPr="00885241">
              <w:rPr>
                <w:noProof/>
              </w:rPr>
              <w:t xml:space="preserve">95% in 2027 </w:t>
            </w:r>
          </w:p>
        </w:tc>
        <w:tc>
          <w:tcPr>
            <w:tcW w:w="1572" w:type="dxa"/>
          </w:tcPr>
          <w:p w14:paraId="1F7868C8" w14:textId="77777777" w:rsidR="00C016C5" w:rsidRPr="00885241" w:rsidRDefault="00C016C5" w:rsidP="00813D25">
            <w:pPr>
              <w:jc w:val="center"/>
              <w:rPr>
                <w:noProof/>
              </w:rPr>
            </w:pPr>
            <w:r w:rsidRPr="00885241">
              <w:rPr>
                <w:noProof/>
              </w:rPr>
              <w:t xml:space="preserve">82% </w:t>
            </w:r>
          </w:p>
        </w:tc>
        <w:tc>
          <w:tcPr>
            <w:tcW w:w="1579" w:type="dxa"/>
          </w:tcPr>
          <w:p w14:paraId="6958897C" w14:textId="77777777" w:rsidR="00C016C5" w:rsidRPr="00885241" w:rsidRDefault="00C016C5" w:rsidP="00813D25">
            <w:pPr>
              <w:jc w:val="center"/>
              <w:rPr>
                <w:noProof/>
              </w:rPr>
            </w:pPr>
            <w:r w:rsidRPr="00885241">
              <w:rPr>
                <w:noProof/>
              </w:rPr>
              <w:t xml:space="preserve">On track </w:t>
            </w:r>
          </w:p>
        </w:tc>
      </w:tr>
      <w:tr w:rsidR="00C016C5" w:rsidRPr="00885241" w14:paraId="77D379C2" w14:textId="77777777" w:rsidTr="00813D25">
        <w:trPr>
          <w:cnfStyle w:val="000000010000" w:firstRow="0" w:lastRow="0" w:firstColumn="0" w:lastColumn="0" w:oddVBand="0" w:evenVBand="0" w:oddHBand="0" w:evenHBand="1" w:firstRowFirstColumn="0" w:firstRowLastColumn="0" w:lastRowFirstColumn="0" w:lastRowLastColumn="0"/>
        </w:trPr>
        <w:tc>
          <w:tcPr>
            <w:tcW w:w="2330" w:type="dxa"/>
          </w:tcPr>
          <w:p w14:paraId="6DC6B868" w14:textId="77777777" w:rsidR="00C016C5" w:rsidRPr="00885241" w:rsidRDefault="00C016C5" w:rsidP="00813D25">
            <w:pPr>
              <w:rPr>
                <w:noProof/>
              </w:rPr>
            </w:pPr>
            <w:bookmarkStart w:id="24" w:name="_Hlk101275542"/>
            <w:r w:rsidRPr="00885241">
              <w:rPr>
                <w:noProof/>
              </w:rPr>
              <w:t xml:space="preserve">Innovative products, processes or methods from </w:t>
            </w:r>
            <w:bookmarkEnd w:id="24"/>
            <w:r>
              <w:rPr>
                <w:noProof/>
              </w:rPr>
              <w:t>framework programme</w:t>
            </w:r>
            <w:r w:rsidRPr="00885241">
              <w:rPr>
                <w:noProof/>
              </w:rPr>
              <w:t xml:space="preserve"> (by type of innovation) </w:t>
            </w:r>
            <w:r>
              <w:rPr>
                <w:noProof/>
              </w:rPr>
              <w:t>and</w:t>
            </w:r>
            <w:r w:rsidRPr="00885241">
              <w:rPr>
                <w:noProof/>
              </w:rPr>
              <w:t xml:space="preserve"> </w:t>
            </w:r>
            <w:r>
              <w:rPr>
                <w:noProof/>
              </w:rPr>
              <w:t>i</w:t>
            </w:r>
            <w:r w:rsidRPr="00885241">
              <w:rPr>
                <w:noProof/>
              </w:rPr>
              <w:t xml:space="preserve">ntellectual </w:t>
            </w:r>
            <w:r>
              <w:rPr>
                <w:noProof/>
              </w:rPr>
              <w:t>p</w:t>
            </w:r>
            <w:r w:rsidRPr="00885241">
              <w:rPr>
                <w:noProof/>
              </w:rPr>
              <w:t xml:space="preserve">roperty </w:t>
            </w:r>
            <w:r>
              <w:rPr>
                <w:noProof/>
              </w:rPr>
              <w:t>r</w:t>
            </w:r>
            <w:r w:rsidRPr="00885241">
              <w:rPr>
                <w:noProof/>
              </w:rPr>
              <w:t>ights applications</w:t>
            </w:r>
          </w:p>
        </w:tc>
        <w:tc>
          <w:tcPr>
            <w:tcW w:w="1100" w:type="dxa"/>
          </w:tcPr>
          <w:p w14:paraId="7B9D5A0D" w14:textId="77777777" w:rsidR="00C016C5" w:rsidRPr="00885241" w:rsidRDefault="00C016C5" w:rsidP="00813D25">
            <w:pPr>
              <w:jc w:val="center"/>
              <w:rPr>
                <w:noProof/>
              </w:rPr>
            </w:pPr>
            <w:r w:rsidRPr="00885241">
              <w:rPr>
                <w:noProof/>
              </w:rPr>
              <w:t>0</w:t>
            </w:r>
          </w:p>
        </w:tc>
        <w:tc>
          <w:tcPr>
            <w:tcW w:w="1526" w:type="dxa"/>
          </w:tcPr>
          <w:p w14:paraId="5E9490B1" w14:textId="77777777" w:rsidR="00C016C5" w:rsidRPr="00B81928" w:rsidRDefault="00C016C5" w:rsidP="00813D25">
            <w:pPr>
              <w:jc w:val="center"/>
              <w:rPr>
                <w:b/>
                <w:noProof/>
              </w:rPr>
            </w:pPr>
            <w:r w:rsidRPr="00B81928">
              <w:rPr>
                <w:b/>
                <w:noProof/>
              </w:rPr>
              <w:t>0%</w:t>
            </w:r>
          </w:p>
        </w:tc>
        <w:tc>
          <w:tcPr>
            <w:tcW w:w="1532" w:type="dxa"/>
          </w:tcPr>
          <w:p w14:paraId="047FCCC4" w14:textId="77777777" w:rsidR="00C016C5" w:rsidRPr="00885241" w:rsidRDefault="00C016C5" w:rsidP="00813D25">
            <w:pPr>
              <w:jc w:val="center"/>
              <w:rPr>
                <w:noProof/>
              </w:rPr>
            </w:pPr>
            <w:r w:rsidRPr="00885241">
              <w:rPr>
                <w:noProof/>
              </w:rPr>
              <w:t>255</w:t>
            </w:r>
            <w:r>
              <w:rPr>
                <w:rFonts w:ascii="Calibri" w:hAnsi="Calibri" w:cs="Calibri"/>
                <w:noProof/>
              </w:rPr>
              <w:t> </w:t>
            </w:r>
            <w:r w:rsidRPr="00885241">
              <w:rPr>
                <w:noProof/>
              </w:rPr>
              <w:t>000 in 2027</w:t>
            </w:r>
          </w:p>
        </w:tc>
        <w:tc>
          <w:tcPr>
            <w:tcW w:w="1572" w:type="dxa"/>
          </w:tcPr>
          <w:p w14:paraId="35DF3559" w14:textId="77777777" w:rsidR="00C016C5" w:rsidRPr="00885241" w:rsidRDefault="00C016C5" w:rsidP="00813D25">
            <w:pPr>
              <w:jc w:val="center"/>
              <w:rPr>
                <w:noProof/>
              </w:rPr>
            </w:pPr>
            <w:r w:rsidRPr="00885241">
              <w:rPr>
                <w:noProof/>
              </w:rPr>
              <w:t>164</w:t>
            </w:r>
          </w:p>
        </w:tc>
        <w:tc>
          <w:tcPr>
            <w:tcW w:w="1579" w:type="dxa"/>
          </w:tcPr>
          <w:p w14:paraId="4F0E6F5F" w14:textId="77777777" w:rsidR="00C016C5" w:rsidRPr="00885241" w:rsidRDefault="00C016C5" w:rsidP="00813D25">
            <w:pPr>
              <w:jc w:val="center"/>
              <w:rPr>
                <w:noProof/>
              </w:rPr>
            </w:pPr>
            <w:r w:rsidRPr="00885241">
              <w:rPr>
                <w:noProof/>
              </w:rPr>
              <w:t>On track</w:t>
            </w:r>
          </w:p>
        </w:tc>
      </w:tr>
      <w:tr w:rsidR="00C016C5" w:rsidRPr="00885241" w14:paraId="0199C8EF" w14:textId="77777777" w:rsidTr="00813D25">
        <w:trPr>
          <w:cnfStyle w:val="000000100000" w:firstRow="0" w:lastRow="0" w:firstColumn="0" w:lastColumn="0" w:oddVBand="0" w:evenVBand="0" w:oddHBand="1" w:evenHBand="0" w:firstRowFirstColumn="0" w:firstRowLastColumn="0" w:lastRowFirstColumn="0" w:lastRowLastColumn="0"/>
        </w:trPr>
        <w:tc>
          <w:tcPr>
            <w:tcW w:w="2330" w:type="dxa"/>
          </w:tcPr>
          <w:p w14:paraId="06F2F70C" w14:textId="77777777" w:rsidR="00C016C5" w:rsidRPr="00885241" w:rsidRDefault="00C016C5" w:rsidP="00813D25">
            <w:pPr>
              <w:rPr>
                <w:noProof/>
              </w:rPr>
            </w:pPr>
            <w:r>
              <w:rPr>
                <w:noProof/>
              </w:rPr>
              <w:t>Full-time equivalent</w:t>
            </w:r>
            <w:r w:rsidRPr="00885241">
              <w:rPr>
                <w:noProof/>
              </w:rPr>
              <w:t xml:space="preserve"> jobs created, and jobs maintained in </w:t>
            </w:r>
            <w:bookmarkStart w:id="25" w:name="_Hlk101275620"/>
            <w:r w:rsidRPr="00885241">
              <w:rPr>
                <w:noProof/>
              </w:rPr>
              <w:t xml:space="preserve">beneficiary entities for the </w:t>
            </w:r>
            <w:r>
              <w:rPr>
                <w:noProof/>
              </w:rPr>
              <w:t>framework programme</w:t>
            </w:r>
            <w:r w:rsidRPr="00885241">
              <w:rPr>
                <w:noProof/>
              </w:rPr>
              <w:t xml:space="preserve"> project </w:t>
            </w:r>
            <w:bookmarkEnd w:id="25"/>
            <w:r w:rsidRPr="00885241">
              <w:rPr>
                <w:noProof/>
              </w:rPr>
              <w:t>(by type of job)</w:t>
            </w:r>
          </w:p>
        </w:tc>
        <w:tc>
          <w:tcPr>
            <w:tcW w:w="1100" w:type="dxa"/>
          </w:tcPr>
          <w:p w14:paraId="31FC4CAB" w14:textId="77777777" w:rsidR="00C016C5" w:rsidRPr="00885241" w:rsidRDefault="00C016C5" w:rsidP="00813D25">
            <w:pPr>
              <w:jc w:val="center"/>
              <w:rPr>
                <w:noProof/>
              </w:rPr>
            </w:pPr>
            <w:r w:rsidRPr="00885241">
              <w:rPr>
                <w:noProof/>
              </w:rPr>
              <w:t>0</w:t>
            </w:r>
          </w:p>
        </w:tc>
        <w:tc>
          <w:tcPr>
            <w:tcW w:w="1526" w:type="dxa"/>
          </w:tcPr>
          <w:p w14:paraId="371616A3" w14:textId="77777777" w:rsidR="00C016C5" w:rsidRPr="00B81928" w:rsidRDefault="00C016C5" w:rsidP="00813D25">
            <w:pPr>
              <w:jc w:val="center"/>
              <w:rPr>
                <w:b/>
                <w:noProof/>
              </w:rPr>
            </w:pPr>
          </w:p>
        </w:tc>
        <w:tc>
          <w:tcPr>
            <w:tcW w:w="1532" w:type="dxa"/>
          </w:tcPr>
          <w:p w14:paraId="656F2EE0" w14:textId="77777777" w:rsidR="00C016C5" w:rsidRPr="00885241" w:rsidRDefault="00C016C5" w:rsidP="00813D25">
            <w:pPr>
              <w:jc w:val="center"/>
              <w:rPr>
                <w:noProof/>
              </w:rPr>
            </w:pPr>
            <w:r w:rsidRPr="00885241">
              <w:rPr>
                <w:noProof/>
              </w:rPr>
              <w:t>450</w:t>
            </w:r>
            <w:r>
              <w:rPr>
                <w:rFonts w:ascii="Calibri" w:hAnsi="Calibri" w:cs="Calibri"/>
                <w:noProof/>
              </w:rPr>
              <w:t> </w:t>
            </w:r>
            <w:r w:rsidRPr="00885241">
              <w:rPr>
                <w:noProof/>
              </w:rPr>
              <w:t>000 in 2027</w:t>
            </w:r>
          </w:p>
        </w:tc>
        <w:tc>
          <w:tcPr>
            <w:tcW w:w="1572" w:type="dxa"/>
          </w:tcPr>
          <w:p w14:paraId="75662209" w14:textId="77777777" w:rsidR="00C016C5" w:rsidRPr="00885241" w:rsidRDefault="00C016C5" w:rsidP="00813D25">
            <w:pPr>
              <w:jc w:val="center"/>
              <w:rPr>
                <w:noProof/>
              </w:rPr>
            </w:pPr>
            <w:r w:rsidRPr="00885241">
              <w:rPr>
                <w:noProof/>
              </w:rPr>
              <w:t>No results</w:t>
            </w:r>
          </w:p>
        </w:tc>
        <w:tc>
          <w:tcPr>
            <w:tcW w:w="1579" w:type="dxa"/>
          </w:tcPr>
          <w:p w14:paraId="6A34AB3A" w14:textId="77777777" w:rsidR="00C016C5" w:rsidRPr="00885241" w:rsidRDefault="00C016C5" w:rsidP="00813D25">
            <w:pPr>
              <w:jc w:val="center"/>
              <w:rPr>
                <w:noProof/>
              </w:rPr>
            </w:pPr>
            <w:r w:rsidRPr="00885241">
              <w:rPr>
                <w:noProof/>
              </w:rPr>
              <w:t>No data</w:t>
            </w:r>
          </w:p>
        </w:tc>
      </w:tr>
      <w:tr w:rsidR="00C016C5" w:rsidRPr="00885241" w14:paraId="575FA645" w14:textId="77777777" w:rsidTr="00813D25">
        <w:trPr>
          <w:cnfStyle w:val="000000010000" w:firstRow="0" w:lastRow="0" w:firstColumn="0" w:lastColumn="0" w:oddVBand="0" w:evenVBand="0" w:oddHBand="0" w:evenHBand="1" w:firstRowFirstColumn="0" w:firstRowLastColumn="0" w:lastRowFirstColumn="0" w:lastRowLastColumn="0"/>
        </w:trPr>
        <w:tc>
          <w:tcPr>
            <w:tcW w:w="2330" w:type="dxa"/>
          </w:tcPr>
          <w:p w14:paraId="03BE2BC8" w14:textId="77777777" w:rsidR="00C016C5" w:rsidRPr="00885241" w:rsidRDefault="00C016C5" w:rsidP="00813D25">
            <w:pPr>
              <w:rPr>
                <w:noProof/>
              </w:rPr>
            </w:pPr>
            <w:bookmarkStart w:id="26" w:name="_Hlk101275552"/>
            <w:r w:rsidRPr="00885241">
              <w:rPr>
                <w:noProof/>
              </w:rPr>
              <w:t xml:space="preserve">Public </w:t>
            </w:r>
            <w:r>
              <w:rPr>
                <w:noProof/>
              </w:rPr>
              <w:t>and</w:t>
            </w:r>
            <w:r w:rsidRPr="00885241">
              <w:rPr>
                <w:noProof/>
              </w:rPr>
              <w:t xml:space="preserve"> private investment mobilised with the initial </w:t>
            </w:r>
            <w:r>
              <w:rPr>
                <w:noProof/>
              </w:rPr>
              <w:t>framework programme</w:t>
            </w:r>
            <w:r w:rsidRPr="00885241">
              <w:rPr>
                <w:noProof/>
              </w:rPr>
              <w:t xml:space="preserve"> investment </w:t>
            </w:r>
            <w:bookmarkEnd w:id="26"/>
            <w:r w:rsidRPr="00885241">
              <w:rPr>
                <w:noProof/>
              </w:rPr>
              <w:t>(EUR billion)</w:t>
            </w:r>
          </w:p>
        </w:tc>
        <w:tc>
          <w:tcPr>
            <w:tcW w:w="1100" w:type="dxa"/>
          </w:tcPr>
          <w:p w14:paraId="31A2388D" w14:textId="77777777" w:rsidR="00C016C5" w:rsidRPr="00885241" w:rsidRDefault="00C016C5" w:rsidP="00813D25">
            <w:pPr>
              <w:jc w:val="center"/>
              <w:rPr>
                <w:noProof/>
              </w:rPr>
            </w:pPr>
            <w:r w:rsidRPr="00885241">
              <w:rPr>
                <w:noProof/>
              </w:rPr>
              <w:t>0</w:t>
            </w:r>
          </w:p>
        </w:tc>
        <w:tc>
          <w:tcPr>
            <w:tcW w:w="1526" w:type="dxa"/>
          </w:tcPr>
          <w:p w14:paraId="37605498" w14:textId="37B7F8C3" w:rsidR="00C016C5" w:rsidRPr="00B81928" w:rsidRDefault="00C016C5" w:rsidP="00813D25">
            <w:pPr>
              <w:jc w:val="center"/>
              <w:rPr>
                <w:b/>
                <w:noProof/>
              </w:rPr>
            </w:pPr>
          </w:p>
        </w:tc>
        <w:tc>
          <w:tcPr>
            <w:tcW w:w="1532" w:type="dxa"/>
          </w:tcPr>
          <w:p w14:paraId="059A1DD5" w14:textId="27CF286F" w:rsidR="00C016C5" w:rsidRPr="00885241" w:rsidRDefault="00C016C5" w:rsidP="00813D25">
            <w:pPr>
              <w:jc w:val="center"/>
              <w:rPr>
                <w:noProof/>
              </w:rPr>
            </w:pPr>
            <w:r w:rsidRPr="00885241">
              <w:rPr>
                <w:noProof/>
              </w:rPr>
              <w:t>20.</w:t>
            </w:r>
            <w:r w:rsidR="00305969">
              <w:rPr>
                <w:noProof/>
              </w:rPr>
              <w:t>0</w:t>
            </w:r>
            <w:r w:rsidRPr="00885241">
              <w:rPr>
                <w:noProof/>
              </w:rPr>
              <w:t xml:space="preserve"> in 2027</w:t>
            </w:r>
          </w:p>
        </w:tc>
        <w:tc>
          <w:tcPr>
            <w:tcW w:w="1572" w:type="dxa"/>
          </w:tcPr>
          <w:p w14:paraId="04771EA4" w14:textId="514EEAC3" w:rsidR="00C016C5" w:rsidRPr="00885241" w:rsidRDefault="00305969" w:rsidP="00813D25">
            <w:pPr>
              <w:jc w:val="center"/>
              <w:rPr>
                <w:noProof/>
              </w:rPr>
            </w:pPr>
            <w:r w:rsidRPr="00885241">
              <w:rPr>
                <w:noProof/>
              </w:rPr>
              <w:t>No results</w:t>
            </w:r>
          </w:p>
        </w:tc>
        <w:tc>
          <w:tcPr>
            <w:tcW w:w="1579" w:type="dxa"/>
          </w:tcPr>
          <w:p w14:paraId="68DF3E23" w14:textId="5B911CC5" w:rsidR="00C016C5" w:rsidRPr="00885241" w:rsidRDefault="00305969" w:rsidP="00813D25">
            <w:pPr>
              <w:jc w:val="center"/>
              <w:rPr>
                <w:noProof/>
              </w:rPr>
            </w:pPr>
            <w:r>
              <w:rPr>
                <w:noProof/>
              </w:rPr>
              <w:t>No data</w:t>
            </w:r>
          </w:p>
        </w:tc>
      </w:tr>
      <w:tr w:rsidR="00C016C5" w:rsidRPr="00885241" w14:paraId="4250EFF3" w14:textId="77777777" w:rsidTr="00813D25">
        <w:trPr>
          <w:cnfStyle w:val="000000100000" w:firstRow="0" w:lastRow="0" w:firstColumn="0" w:lastColumn="0" w:oddVBand="0" w:evenVBand="0" w:oddHBand="1" w:evenHBand="0" w:firstRowFirstColumn="0" w:firstRowLastColumn="0" w:lastRowFirstColumn="0" w:lastRowLastColumn="0"/>
        </w:trPr>
        <w:tc>
          <w:tcPr>
            <w:tcW w:w="2330" w:type="dxa"/>
          </w:tcPr>
          <w:p w14:paraId="0B7A91F1" w14:textId="77777777" w:rsidR="00C016C5" w:rsidRPr="00885241" w:rsidRDefault="00C016C5" w:rsidP="00813D25">
            <w:pPr>
              <w:rPr>
                <w:noProof/>
              </w:rPr>
            </w:pPr>
            <w:r w:rsidRPr="00885241">
              <w:rPr>
                <w:noProof/>
              </w:rPr>
              <w:t xml:space="preserve">Outputs aimed at addressing identified EU policy priorities and global challenges (including </w:t>
            </w:r>
            <w:r>
              <w:rPr>
                <w:noProof/>
              </w:rPr>
              <w:t>sustainable development goals</w:t>
            </w:r>
            <w:r w:rsidRPr="00885241">
              <w:rPr>
                <w:noProof/>
              </w:rPr>
              <w:t>) (multidimensional: for each identified priority)</w:t>
            </w:r>
          </w:p>
        </w:tc>
        <w:tc>
          <w:tcPr>
            <w:tcW w:w="1100" w:type="dxa"/>
          </w:tcPr>
          <w:p w14:paraId="783D7B1A" w14:textId="77777777" w:rsidR="00C016C5" w:rsidRPr="00885241" w:rsidRDefault="00C016C5" w:rsidP="00813D25">
            <w:pPr>
              <w:jc w:val="center"/>
              <w:rPr>
                <w:noProof/>
              </w:rPr>
            </w:pPr>
            <w:r w:rsidRPr="00885241">
              <w:rPr>
                <w:noProof/>
              </w:rPr>
              <w:t>0</w:t>
            </w:r>
          </w:p>
        </w:tc>
        <w:tc>
          <w:tcPr>
            <w:tcW w:w="1526" w:type="dxa"/>
          </w:tcPr>
          <w:p w14:paraId="69A88942" w14:textId="5696BDB7" w:rsidR="00C016C5" w:rsidRPr="00B81928" w:rsidRDefault="00C016C5" w:rsidP="00813D25">
            <w:pPr>
              <w:jc w:val="center"/>
              <w:rPr>
                <w:b/>
                <w:noProof/>
              </w:rPr>
            </w:pPr>
            <w:r w:rsidRPr="00B81928">
              <w:rPr>
                <w:b/>
                <w:noProof/>
              </w:rPr>
              <w:t>14%</w:t>
            </w:r>
            <w:r w:rsidR="001C739A">
              <w:rPr>
                <w:b/>
                <w:noProof/>
              </w:rPr>
              <w:t xml:space="preserve"> (**)</w:t>
            </w:r>
          </w:p>
        </w:tc>
        <w:tc>
          <w:tcPr>
            <w:tcW w:w="1532" w:type="dxa"/>
          </w:tcPr>
          <w:p w14:paraId="01A689B7" w14:textId="69099AEA" w:rsidR="00C016C5" w:rsidRPr="00885241" w:rsidRDefault="00C016C5" w:rsidP="001C739A">
            <w:pPr>
              <w:jc w:val="center"/>
              <w:rPr>
                <w:noProof/>
              </w:rPr>
            </w:pPr>
            <w:r w:rsidRPr="00885241">
              <w:rPr>
                <w:noProof/>
              </w:rPr>
              <w:t>100% annually</w:t>
            </w:r>
          </w:p>
        </w:tc>
        <w:tc>
          <w:tcPr>
            <w:tcW w:w="1572" w:type="dxa"/>
          </w:tcPr>
          <w:p w14:paraId="6CFDD1B2" w14:textId="3088EBAF" w:rsidR="00C016C5" w:rsidRPr="00885241" w:rsidRDefault="001C739A" w:rsidP="009746F6">
            <w:pPr>
              <w:jc w:val="center"/>
              <w:rPr>
                <w:noProof/>
              </w:rPr>
            </w:pPr>
            <w:r>
              <w:rPr>
                <w:noProof/>
              </w:rPr>
              <w:t xml:space="preserve">Target achieved in 2021. </w:t>
            </w:r>
            <w:r w:rsidR="00C016C5" w:rsidRPr="00885241">
              <w:rPr>
                <w:noProof/>
              </w:rPr>
              <w:t xml:space="preserve">100% </w:t>
            </w:r>
            <w:r>
              <w:rPr>
                <w:noProof/>
              </w:rPr>
              <w:t xml:space="preserve">compared to a target of 100%. </w:t>
            </w:r>
          </w:p>
        </w:tc>
        <w:tc>
          <w:tcPr>
            <w:tcW w:w="1579" w:type="dxa"/>
          </w:tcPr>
          <w:p w14:paraId="60629DE9" w14:textId="77777777" w:rsidR="00C016C5" w:rsidRPr="00885241" w:rsidRDefault="00C016C5" w:rsidP="00813D25">
            <w:pPr>
              <w:jc w:val="center"/>
              <w:rPr>
                <w:noProof/>
              </w:rPr>
            </w:pPr>
            <w:r w:rsidRPr="00885241">
              <w:rPr>
                <w:noProof/>
              </w:rPr>
              <w:t>On track</w:t>
            </w:r>
          </w:p>
        </w:tc>
      </w:tr>
      <w:tr w:rsidR="00C016C5" w:rsidRPr="00885241" w14:paraId="34250535" w14:textId="77777777" w:rsidTr="00813D25">
        <w:trPr>
          <w:cnfStyle w:val="000000010000" w:firstRow="0" w:lastRow="0" w:firstColumn="0" w:lastColumn="0" w:oddVBand="0" w:evenVBand="0" w:oddHBand="0" w:evenHBand="1" w:firstRowFirstColumn="0" w:firstRowLastColumn="0" w:lastRowFirstColumn="0" w:lastRowLastColumn="0"/>
        </w:trPr>
        <w:tc>
          <w:tcPr>
            <w:tcW w:w="2330" w:type="dxa"/>
          </w:tcPr>
          <w:p w14:paraId="3612243B" w14:textId="77777777" w:rsidR="00C016C5" w:rsidRPr="00885241" w:rsidRDefault="00C016C5" w:rsidP="00813D25">
            <w:pPr>
              <w:rPr>
                <w:noProof/>
              </w:rPr>
            </w:pPr>
            <w:r w:rsidRPr="00885241">
              <w:rPr>
                <w:noProof/>
              </w:rPr>
              <w:t xml:space="preserve">Outputs in specific </w:t>
            </w:r>
            <w:r>
              <w:rPr>
                <w:noProof/>
              </w:rPr>
              <w:t>R</w:t>
            </w:r>
            <w:r>
              <w:rPr>
                <w:rFonts w:ascii="Calibri" w:hAnsi="Calibri" w:cs="Calibri"/>
                <w:noProof/>
              </w:rPr>
              <w:t> </w:t>
            </w:r>
            <w:r>
              <w:rPr>
                <w:noProof/>
              </w:rPr>
              <w:t>&amp;</w:t>
            </w:r>
            <w:r>
              <w:rPr>
                <w:rFonts w:ascii="Calibri" w:hAnsi="Calibri" w:cs="Calibri"/>
                <w:noProof/>
              </w:rPr>
              <w:t> </w:t>
            </w:r>
            <w:r>
              <w:rPr>
                <w:noProof/>
              </w:rPr>
              <w:t>I</w:t>
            </w:r>
            <w:r w:rsidRPr="00885241">
              <w:rPr>
                <w:noProof/>
              </w:rPr>
              <w:t xml:space="preserve"> </w:t>
            </w:r>
            <w:r>
              <w:rPr>
                <w:noProof/>
              </w:rPr>
              <w:t>m</w:t>
            </w:r>
            <w:r w:rsidRPr="00885241">
              <w:rPr>
                <w:noProof/>
              </w:rPr>
              <w:t>issions (multidimensional: for each identified mission)</w:t>
            </w:r>
          </w:p>
        </w:tc>
        <w:tc>
          <w:tcPr>
            <w:tcW w:w="1100" w:type="dxa"/>
          </w:tcPr>
          <w:p w14:paraId="7104B4F0" w14:textId="77777777" w:rsidR="00C016C5" w:rsidRPr="00885241" w:rsidRDefault="00C016C5" w:rsidP="00813D25">
            <w:pPr>
              <w:jc w:val="center"/>
              <w:rPr>
                <w:noProof/>
              </w:rPr>
            </w:pPr>
            <w:r w:rsidRPr="00885241">
              <w:rPr>
                <w:noProof/>
              </w:rPr>
              <w:t>0</w:t>
            </w:r>
          </w:p>
        </w:tc>
        <w:tc>
          <w:tcPr>
            <w:tcW w:w="1526" w:type="dxa"/>
          </w:tcPr>
          <w:p w14:paraId="5C9E3C4B" w14:textId="77777777" w:rsidR="00C016C5" w:rsidRPr="00B81928" w:rsidRDefault="00C016C5" w:rsidP="00813D25">
            <w:pPr>
              <w:jc w:val="center"/>
              <w:rPr>
                <w:b/>
                <w:noProof/>
              </w:rPr>
            </w:pPr>
          </w:p>
        </w:tc>
        <w:tc>
          <w:tcPr>
            <w:tcW w:w="1532" w:type="dxa"/>
          </w:tcPr>
          <w:p w14:paraId="3D7BF2AC" w14:textId="77777777" w:rsidR="00C016C5" w:rsidRPr="00885241" w:rsidRDefault="00C016C5" w:rsidP="00813D25">
            <w:pPr>
              <w:jc w:val="center"/>
              <w:rPr>
                <w:noProof/>
              </w:rPr>
            </w:pPr>
            <w:r w:rsidRPr="00885241">
              <w:rPr>
                <w:noProof/>
              </w:rPr>
              <w:t>Under development</w:t>
            </w:r>
          </w:p>
        </w:tc>
        <w:tc>
          <w:tcPr>
            <w:tcW w:w="1572" w:type="dxa"/>
          </w:tcPr>
          <w:p w14:paraId="571979C3" w14:textId="77777777" w:rsidR="00C016C5" w:rsidRPr="00885241" w:rsidRDefault="00C016C5" w:rsidP="00813D25">
            <w:pPr>
              <w:jc w:val="center"/>
              <w:rPr>
                <w:noProof/>
              </w:rPr>
            </w:pPr>
            <w:r w:rsidRPr="00885241">
              <w:rPr>
                <w:noProof/>
              </w:rPr>
              <w:t>No results</w:t>
            </w:r>
          </w:p>
        </w:tc>
        <w:tc>
          <w:tcPr>
            <w:tcW w:w="1579" w:type="dxa"/>
          </w:tcPr>
          <w:p w14:paraId="07612069" w14:textId="77777777" w:rsidR="00C016C5" w:rsidRPr="00885241" w:rsidRDefault="00C016C5" w:rsidP="00813D25">
            <w:pPr>
              <w:jc w:val="center"/>
              <w:rPr>
                <w:noProof/>
              </w:rPr>
            </w:pPr>
            <w:r w:rsidRPr="00885241">
              <w:rPr>
                <w:noProof/>
              </w:rPr>
              <w:t>No data</w:t>
            </w:r>
          </w:p>
        </w:tc>
      </w:tr>
      <w:tr w:rsidR="00C016C5" w:rsidRPr="00885241" w14:paraId="15C9A224" w14:textId="77777777" w:rsidTr="00813D25">
        <w:trPr>
          <w:cnfStyle w:val="000000100000" w:firstRow="0" w:lastRow="0" w:firstColumn="0" w:lastColumn="0" w:oddVBand="0" w:evenVBand="0" w:oddHBand="1" w:evenHBand="0" w:firstRowFirstColumn="0" w:firstRowLastColumn="0" w:lastRowFirstColumn="0" w:lastRowLastColumn="0"/>
        </w:trPr>
        <w:tc>
          <w:tcPr>
            <w:tcW w:w="2330" w:type="dxa"/>
          </w:tcPr>
          <w:p w14:paraId="0B458A6A" w14:textId="77777777" w:rsidR="00C016C5" w:rsidRPr="00885241" w:rsidRDefault="00C016C5" w:rsidP="00813D25">
            <w:pPr>
              <w:rPr>
                <w:noProof/>
              </w:rPr>
            </w:pPr>
            <w:r>
              <w:rPr>
                <w:noProof/>
              </w:rPr>
              <w:t>Framework programme</w:t>
            </w:r>
            <w:r w:rsidRPr="00885241">
              <w:rPr>
                <w:noProof/>
              </w:rPr>
              <w:t xml:space="preserve"> projects where EU citizens and end</w:t>
            </w:r>
            <w:r>
              <w:rPr>
                <w:noProof/>
              </w:rPr>
              <w:t xml:space="preserve"> </w:t>
            </w:r>
            <w:r w:rsidRPr="00885241">
              <w:rPr>
                <w:noProof/>
              </w:rPr>
              <w:t>users contribute to the co</w:t>
            </w:r>
            <w:r>
              <w:rPr>
                <w:noProof/>
              </w:rPr>
              <w:t>-</w:t>
            </w:r>
            <w:r w:rsidRPr="00885241">
              <w:rPr>
                <w:noProof/>
              </w:rPr>
              <w:t xml:space="preserve">creation of </w:t>
            </w:r>
            <w:r>
              <w:rPr>
                <w:noProof/>
              </w:rPr>
              <w:t>R</w:t>
            </w:r>
            <w:r>
              <w:rPr>
                <w:rFonts w:ascii="Calibri" w:hAnsi="Calibri" w:cs="Calibri"/>
                <w:noProof/>
              </w:rPr>
              <w:t> </w:t>
            </w:r>
            <w:r>
              <w:rPr>
                <w:noProof/>
              </w:rPr>
              <w:t>&amp;</w:t>
            </w:r>
            <w:r>
              <w:rPr>
                <w:rFonts w:ascii="Calibri" w:hAnsi="Calibri" w:cs="Calibri"/>
                <w:noProof/>
              </w:rPr>
              <w:t> </w:t>
            </w:r>
            <w:r>
              <w:rPr>
                <w:noProof/>
              </w:rPr>
              <w:t>I</w:t>
            </w:r>
            <w:r w:rsidRPr="00885241">
              <w:rPr>
                <w:noProof/>
              </w:rPr>
              <w:t xml:space="preserve"> content</w:t>
            </w:r>
          </w:p>
        </w:tc>
        <w:tc>
          <w:tcPr>
            <w:tcW w:w="1100" w:type="dxa"/>
          </w:tcPr>
          <w:p w14:paraId="05DBB4EA" w14:textId="77777777" w:rsidR="00C016C5" w:rsidRPr="00885241" w:rsidRDefault="00C016C5" w:rsidP="00813D25">
            <w:pPr>
              <w:jc w:val="center"/>
              <w:rPr>
                <w:noProof/>
              </w:rPr>
            </w:pPr>
            <w:r w:rsidRPr="00885241">
              <w:rPr>
                <w:noProof/>
              </w:rPr>
              <w:t>0</w:t>
            </w:r>
          </w:p>
        </w:tc>
        <w:tc>
          <w:tcPr>
            <w:tcW w:w="1526" w:type="dxa"/>
          </w:tcPr>
          <w:p w14:paraId="58B83585" w14:textId="77777777" w:rsidR="00C016C5" w:rsidRPr="00B81928" w:rsidRDefault="00C016C5" w:rsidP="00813D25">
            <w:pPr>
              <w:jc w:val="center"/>
              <w:rPr>
                <w:b/>
                <w:noProof/>
              </w:rPr>
            </w:pPr>
          </w:p>
        </w:tc>
        <w:tc>
          <w:tcPr>
            <w:tcW w:w="1532" w:type="dxa"/>
          </w:tcPr>
          <w:p w14:paraId="2DEA1838" w14:textId="77777777" w:rsidR="00C016C5" w:rsidRPr="00885241" w:rsidRDefault="00C016C5" w:rsidP="00813D25">
            <w:pPr>
              <w:jc w:val="center"/>
              <w:rPr>
                <w:noProof/>
              </w:rPr>
            </w:pPr>
            <w:r w:rsidRPr="00885241">
              <w:rPr>
                <w:noProof/>
              </w:rPr>
              <w:t>2% in 2027</w:t>
            </w:r>
          </w:p>
        </w:tc>
        <w:tc>
          <w:tcPr>
            <w:tcW w:w="1572" w:type="dxa"/>
          </w:tcPr>
          <w:p w14:paraId="08AFDB36" w14:textId="77777777" w:rsidR="00C016C5" w:rsidRPr="00885241" w:rsidRDefault="00C016C5" w:rsidP="00813D25">
            <w:pPr>
              <w:jc w:val="center"/>
              <w:rPr>
                <w:noProof/>
              </w:rPr>
            </w:pPr>
            <w:r w:rsidRPr="00885241">
              <w:rPr>
                <w:noProof/>
              </w:rPr>
              <w:t>No results</w:t>
            </w:r>
          </w:p>
        </w:tc>
        <w:tc>
          <w:tcPr>
            <w:tcW w:w="1579" w:type="dxa"/>
          </w:tcPr>
          <w:p w14:paraId="5D79694D" w14:textId="77777777" w:rsidR="00C016C5" w:rsidRPr="00885241" w:rsidRDefault="00C016C5" w:rsidP="00813D25">
            <w:pPr>
              <w:jc w:val="center"/>
              <w:rPr>
                <w:noProof/>
              </w:rPr>
            </w:pPr>
            <w:r w:rsidRPr="00885241">
              <w:rPr>
                <w:noProof/>
              </w:rPr>
              <w:t>No data</w:t>
            </w:r>
          </w:p>
        </w:tc>
      </w:tr>
    </w:tbl>
    <w:p w14:paraId="735DF985" w14:textId="107505EE" w:rsidR="00C016C5" w:rsidRDefault="00C016C5" w:rsidP="00C016C5">
      <w:pPr>
        <w:pStyle w:val="FootnoteText"/>
        <w:spacing w:before="120"/>
        <w:rPr>
          <w:noProof/>
        </w:rPr>
      </w:pPr>
      <w:r w:rsidRPr="00885241">
        <w:rPr>
          <w:noProof/>
        </w:rPr>
        <w:t>(*) % of target achieved by the end of 2021</w:t>
      </w:r>
      <w:r>
        <w:rPr>
          <w:noProof/>
        </w:rPr>
        <w:t>.</w:t>
      </w:r>
    </w:p>
    <w:p w14:paraId="36A617A9" w14:textId="7880D798" w:rsidR="001462EF" w:rsidRDefault="001C739A" w:rsidP="001462EF">
      <w:pPr>
        <w:pStyle w:val="FootnoteText"/>
        <w:spacing w:before="120"/>
        <w:rPr>
          <w:noProof/>
        </w:rPr>
      </w:pPr>
      <w:r>
        <w:rPr>
          <w:noProof/>
        </w:rPr>
        <w:t>(**)</w:t>
      </w:r>
      <w:r w:rsidR="001462EF">
        <w:rPr>
          <w:noProof/>
        </w:rPr>
        <w:t xml:space="preserve"> % of years for which the milestones or target have been achieved during the 2021</w:t>
      </w:r>
      <w:r w:rsidR="001462EF" w:rsidDel="00A77FE0">
        <w:rPr>
          <w:noProof/>
        </w:rPr>
        <w:t>-</w:t>
      </w:r>
      <w:r w:rsidR="001462EF">
        <w:rPr>
          <w:noProof/>
        </w:rPr>
        <w:t>2027 period.</w:t>
      </w:r>
    </w:p>
    <w:p w14:paraId="747147E3" w14:textId="657D8050" w:rsidR="001C739A" w:rsidRPr="00885241" w:rsidRDefault="001C739A" w:rsidP="00C016C5">
      <w:pPr>
        <w:pStyle w:val="FootnoteText"/>
        <w:spacing w:before="120"/>
        <w:rPr>
          <w:noProof/>
        </w:rPr>
      </w:pPr>
    </w:p>
    <w:p w14:paraId="773A573A" w14:textId="77777777" w:rsidR="00C016C5" w:rsidRPr="00885241" w:rsidRDefault="00C016C5" w:rsidP="00C016C5">
      <w:pPr>
        <w:pStyle w:val="ppoListHyphened-L1"/>
        <w:rPr>
          <w:noProof/>
        </w:rPr>
      </w:pPr>
      <w:r w:rsidRPr="00885241">
        <w:rPr>
          <w:noProof/>
        </w:rPr>
        <w:t xml:space="preserve">The first main work programme for Horizon Europe for 2021-2022 aimed at boosting the European green and digital transitions and at contributing to sustainable recovery from the </w:t>
      </w:r>
      <w:r>
        <w:rPr>
          <w:noProof/>
        </w:rPr>
        <w:t>COVID-19</w:t>
      </w:r>
      <w:r w:rsidRPr="00885241">
        <w:rPr>
          <w:noProof/>
        </w:rPr>
        <w:t xml:space="preserve"> pandemic and EU resilience against future crises. It also provided support to researchers at all stages of their career </w:t>
      </w:r>
      <w:r>
        <w:rPr>
          <w:noProof/>
        </w:rPr>
        <w:t>for</w:t>
      </w:r>
      <w:r w:rsidRPr="00885241">
        <w:rPr>
          <w:noProof/>
        </w:rPr>
        <w:t xml:space="preserve"> acquiring new knowledge and skills. Additionally, it targeted the creation of </w:t>
      </w:r>
      <w:r>
        <w:rPr>
          <w:noProof/>
        </w:rPr>
        <w:t>better-</w:t>
      </w:r>
      <w:r w:rsidRPr="00885241">
        <w:rPr>
          <w:noProof/>
        </w:rPr>
        <w:t xml:space="preserve">connected and </w:t>
      </w:r>
      <w:r>
        <w:rPr>
          <w:noProof/>
        </w:rPr>
        <w:t xml:space="preserve">more </w:t>
      </w:r>
      <w:r w:rsidRPr="00885241">
        <w:rPr>
          <w:noProof/>
        </w:rPr>
        <w:t>efficient innovation ecosystems and world-class research infrastructures. Finally, calls also encouraged participation across Europe and from around the world, while at the same time helping to strengthen the</w:t>
      </w:r>
      <w:r>
        <w:rPr>
          <w:noProof/>
        </w:rPr>
        <w:t xml:space="preserve"> </w:t>
      </w:r>
      <w:hyperlink r:id="rId89">
        <w:r w:rsidRPr="008F05B0">
          <w:rPr>
            <w:rStyle w:val="Hyperlink"/>
            <w:noProof/>
          </w:rPr>
          <w:t>European research area</w:t>
        </w:r>
      </w:hyperlink>
      <w:r w:rsidRPr="00885241">
        <w:rPr>
          <w:noProof/>
        </w:rPr>
        <w:t>. 2021 also saw the launch of the European Innovation Council</w:t>
      </w:r>
      <w:r>
        <w:rPr>
          <w:noProof/>
        </w:rPr>
        <w:t>’s</w:t>
      </w:r>
      <w:r w:rsidRPr="00885241">
        <w:rPr>
          <w:noProof/>
        </w:rPr>
        <w:t xml:space="preserve"> first work programme.</w:t>
      </w:r>
    </w:p>
    <w:p w14:paraId="14314C47" w14:textId="77777777" w:rsidR="00C016C5" w:rsidRPr="00885241" w:rsidRDefault="00C016C5" w:rsidP="00C016C5">
      <w:pPr>
        <w:pStyle w:val="ppoListHyphened-L1"/>
        <w:rPr>
          <w:noProof/>
        </w:rPr>
      </w:pPr>
      <w:r w:rsidRPr="00885241">
        <w:rPr>
          <w:noProof/>
        </w:rPr>
        <w:t>Regarding non</w:t>
      </w:r>
      <w:r>
        <w:rPr>
          <w:noProof/>
        </w:rPr>
        <w:t>-</w:t>
      </w:r>
      <w:r w:rsidRPr="00885241">
        <w:rPr>
          <w:noProof/>
        </w:rPr>
        <w:t>EU</w:t>
      </w:r>
      <w:r>
        <w:rPr>
          <w:noProof/>
        </w:rPr>
        <w:t xml:space="preserve"> </w:t>
      </w:r>
      <w:r w:rsidRPr="00885241">
        <w:rPr>
          <w:noProof/>
        </w:rPr>
        <w:t>countries</w:t>
      </w:r>
      <w:r>
        <w:rPr>
          <w:noProof/>
        </w:rPr>
        <w:t>’</w:t>
      </w:r>
      <w:r w:rsidRPr="00885241">
        <w:rPr>
          <w:noProof/>
        </w:rPr>
        <w:t xml:space="preserve"> association </w:t>
      </w:r>
      <w:r>
        <w:rPr>
          <w:noProof/>
        </w:rPr>
        <w:t xml:space="preserve">with </w:t>
      </w:r>
      <w:r w:rsidRPr="00885241">
        <w:rPr>
          <w:noProof/>
        </w:rPr>
        <w:t>Horizon Europe, as of December 2021, Georgia, Iceland, Israel, Moldova, Montenegro, North Macedonia, Norway, Serbia and Turkey ha</w:t>
      </w:r>
      <w:r>
        <w:rPr>
          <w:noProof/>
        </w:rPr>
        <w:t>d</w:t>
      </w:r>
      <w:r w:rsidRPr="00885241">
        <w:rPr>
          <w:noProof/>
        </w:rPr>
        <w:t xml:space="preserve"> applicable association agreements in place. National ratification procedures are expected to enter into force for the association agreements signed with Armenia, Bosnia and Herzegovina, Kosovo</w:t>
      </w:r>
      <w:r>
        <w:rPr>
          <w:rFonts w:ascii="Calibri" w:hAnsi="Calibri" w:cs="Calibri"/>
          <w:noProof/>
        </w:rPr>
        <w:t> (</w:t>
      </w:r>
      <w:r w:rsidRPr="008F05B0">
        <w:rPr>
          <w:rStyle w:val="FootnoteReference"/>
          <w:noProof/>
        </w:rPr>
        <w:footnoteReference w:id="3"/>
      </w:r>
      <w:r>
        <w:rPr>
          <w:rFonts w:ascii="Calibri" w:hAnsi="Calibri" w:cs="Calibri"/>
          <w:noProof/>
        </w:rPr>
        <w:t>)</w:t>
      </w:r>
      <w:r w:rsidRPr="00885241">
        <w:rPr>
          <w:noProof/>
        </w:rPr>
        <w:t xml:space="preserve"> and Ukraine. As long as the ratification of the agreement by Ukraine is suspended, Ukraine is eligible for EU funding under Horizon Europe as a low</w:t>
      </w:r>
      <w:r>
        <w:rPr>
          <w:noProof/>
        </w:rPr>
        <w:t xml:space="preserve">- </w:t>
      </w:r>
      <w:r w:rsidRPr="00885241">
        <w:rPr>
          <w:noProof/>
        </w:rPr>
        <w:t>to</w:t>
      </w:r>
      <w:r>
        <w:rPr>
          <w:noProof/>
        </w:rPr>
        <w:t xml:space="preserve"> </w:t>
      </w:r>
      <w:r w:rsidRPr="00885241">
        <w:rPr>
          <w:noProof/>
        </w:rPr>
        <w:t>middle</w:t>
      </w:r>
      <w:r>
        <w:rPr>
          <w:noProof/>
        </w:rPr>
        <w:t>-</w:t>
      </w:r>
      <w:r w:rsidRPr="00885241">
        <w:rPr>
          <w:noProof/>
        </w:rPr>
        <w:t>income country. The association agreements are yet to be signed with Albania, the Faroe</w:t>
      </w:r>
      <w:r>
        <w:rPr>
          <w:noProof/>
        </w:rPr>
        <w:t>s</w:t>
      </w:r>
      <w:r w:rsidRPr="00885241">
        <w:rPr>
          <w:noProof/>
        </w:rPr>
        <w:t xml:space="preserve"> and Tunisia.</w:t>
      </w:r>
    </w:p>
    <w:p w14:paraId="4247EB2D" w14:textId="77777777" w:rsidR="00C016C5" w:rsidRPr="00885241" w:rsidRDefault="00C016C5" w:rsidP="00C016C5">
      <w:pPr>
        <w:pStyle w:val="ppoListHyphened-L1"/>
        <w:rPr>
          <w:noProof/>
        </w:rPr>
      </w:pPr>
      <w:r w:rsidRPr="00885241">
        <w:rPr>
          <w:noProof/>
        </w:rPr>
        <w:t xml:space="preserve">A performance framework using </w:t>
      </w:r>
      <w:r>
        <w:rPr>
          <w:noProof/>
        </w:rPr>
        <w:t>k</w:t>
      </w:r>
      <w:r w:rsidRPr="00885241">
        <w:rPr>
          <w:noProof/>
        </w:rPr>
        <w:t xml:space="preserve">ey </w:t>
      </w:r>
      <w:r>
        <w:rPr>
          <w:noProof/>
        </w:rPr>
        <w:t>i</w:t>
      </w:r>
      <w:r w:rsidRPr="00885241">
        <w:rPr>
          <w:noProof/>
        </w:rPr>
        <w:t xml:space="preserve">mpact </w:t>
      </w:r>
      <w:r>
        <w:rPr>
          <w:noProof/>
        </w:rPr>
        <w:t>p</w:t>
      </w:r>
      <w:r w:rsidRPr="00885241">
        <w:rPr>
          <w:noProof/>
        </w:rPr>
        <w:t xml:space="preserve">athways has been designed to monitor the programme’s </w:t>
      </w:r>
      <w:r>
        <w:rPr>
          <w:noProof/>
        </w:rPr>
        <w:t>progress</w:t>
      </w:r>
      <w:r w:rsidRPr="00885241">
        <w:rPr>
          <w:noProof/>
        </w:rPr>
        <w:t xml:space="preserve"> towards reaching its general objective. It covers the whole life cycle of a funded </w:t>
      </w:r>
      <w:r>
        <w:rPr>
          <w:noProof/>
        </w:rPr>
        <w:t>R</w:t>
      </w:r>
      <w:r>
        <w:rPr>
          <w:rFonts w:ascii="Calibri" w:hAnsi="Calibri" w:cs="Calibri"/>
          <w:noProof/>
        </w:rPr>
        <w:t> </w:t>
      </w:r>
      <w:r w:rsidRPr="00885241">
        <w:rPr>
          <w:noProof/>
        </w:rPr>
        <w:t>&amp;</w:t>
      </w:r>
      <w:r>
        <w:rPr>
          <w:rFonts w:ascii="Calibri" w:hAnsi="Calibri" w:cs="Calibri"/>
          <w:noProof/>
        </w:rPr>
        <w:t> I</w:t>
      </w:r>
      <w:r w:rsidRPr="00885241">
        <w:rPr>
          <w:noProof/>
        </w:rPr>
        <w:t xml:space="preserve"> activity, from outputs to impacts, </w:t>
      </w:r>
      <w:r>
        <w:rPr>
          <w:noProof/>
        </w:rPr>
        <w:t>depending on</w:t>
      </w:r>
      <w:r w:rsidRPr="00885241">
        <w:rPr>
          <w:noProof/>
        </w:rPr>
        <w:t xml:space="preserve"> the period of time to which indicators are assigned (short, medium </w:t>
      </w:r>
      <w:r>
        <w:rPr>
          <w:noProof/>
        </w:rPr>
        <w:t>or</w:t>
      </w:r>
      <w:r w:rsidRPr="00885241">
        <w:rPr>
          <w:noProof/>
        </w:rPr>
        <w:t xml:space="preserve"> long</w:t>
      </w:r>
      <w:r>
        <w:rPr>
          <w:noProof/>
        </w:rPr>
        <w:t xml:space="preserve"> </w:t>
      </w:r>
      <w:r w:rsidRPr="00885241">
        <w:rPr>
          <w:noProof/>
        </w:rPr>
        <w:t xml:space="preserve">term). </w:t>
      </w:r>
      <w:r>
        <w:rPr>
          <w:noProof/>
        </w:rPr>
        <w:t>To</w:t>
      </w:r>
      <w:r w:rsidRPr="00885241">
        <w:rPr>
          <w:noProof/>
        </w:rPr>
        <w:t xml:space="preserve"> measur</w:t>
      </w:r>
      <w:r>
        <w:rPr>
          <w:noProof/>
        </w:rPr>
        <w:t>e</w:t>
      </w:r>
      <w:r w:rsidRPr="00885241">
        <w:rPr>
          <w:noProof/>
        </w:rPr>
        <w:t xml:space="preserve"> the performance in the first phase of the programme’s life</w:t>
      </w:r>
      <w:r>
        <w:rPr>
          <w:noProof/>
        </w:rPr>
        <w:t xml:space="preserve"> </w:t>
      </w:r>
      <w:r w:rsidRPr="00885241">
        <w:rPr>
          <w:noProof/>
        </w:rPr>
        <w:t>cycle, the reporting will concentrate on output indicators.</w:t>
      </w:r>
    </w:p>
    <w:p w14:paraId="5C15FDB4" w14:textId="476C5978" w:rsidR="00C016C5" w:rsidRPr="00885241" w:rsidRDefault="00C016C5" w:rsidP="00C016C5">
      <w:pPr>
        <w:pStyle w:val="ppoListHyphened-L1"/>
        <w:rPr>
          <w:noProof/>
        </w:rPr>
      </w:pPr>
      <w:r w:rsidRPr="00885241">
        <w:rPr>
          <w:noProof/>
        </w:rPr>
        <w:t xml:space="preserve">After </w:t>
      </w:r>
      <w:r>
        <w:rPr>
          <w:noProof/>
        </w:rPr>
        <w:t>1</w:t>
      </w:r>
      <w:r>
        <w:rPr>
          <w:rFonts w:ascii="Calibri" w:hAnsi="Calibri" w:cs="Calibri"/>
          <w:noProof/>
        </w:rPr>
        <w:t> </w:t>
      </w:r>
      <w:r w:rsidRPr="00885241">
        <w:rPr>
          <w:noProof/>
        </w:rPr>
        <w:t>year of programme</w:t>
      </w:r>
      <w:r w:rsidRPr="00900822">
        <w:rPr>
          <w:noProof/>
        </w:rPr>
        <w:t xml:space="preserve"> </w:t>
      </w:r>
      <w:r w:rsidRPr="00885241">
        <w:rPr>
          <w:noProof/>
        </w:rPr>
        <w:t xml:space="preserve">implementation, results are mainly available from direct actions carried out by the </w:t>
      </w:r>
      <w:r>
        <w:rPr>
          <w:noProof/>
        </w:rPr>
        <w:t xml:space="preserve">Joint Research </w:t>
      </w:r>
      <w:r w:rsidR="00D13965">
        <w:rPr>
          <w:noProof/>
        </w:rPr>
        <w:t>Centre</w:t>
      </w:r>
      <w:r w:rsidRPr="00885241">
        <w:rPr>
          <w:noProof/>
        </w:rPr>
        <w:t>.</w:t>
      </w:r>
    </w:p>
    <w:p w14:paraId="52B2D2DB" w14:textId="77777777" w:rsidR="00C016C5" w:rsidRPr="00885241" w:rsidRDefault="00C016C5" w:rsidP="00C016C5">
      <w:pPr>
        <w:pStyle w:val="ppoListHyphened-L1"/>
        <w:rPr>
          <w:noProof/>
        </w:rPr>
      </w:pPr>
      <w:r w:rsidRPr="00885241">
        <w:rPr>
          <w:noProof/>
        </w:rPr>
        <w:t xml:space="preserve">In addition, in response to the </w:t>
      </w:r>
      <w:r>
        <w:rPr>
          <w:noProof/>
        </w:rPr>
        <w:t>five</w:t>
      </w:r>
      <w:r w:rsidRPr="00885241">
        <w:rPr>
          <w:noProof/>
        </w:rPr>
        <w:t xml:space="preserve"> calls for proposals </w:t>
      </w:r>
      <w:r>
        <w:rPr>
          <w:noProof/>
        </w:rPr>
        <w:t xml:space="preserve">relating to the </w:t>
      </w:r>
      <w:r w:rsidRPr="00885241">
        <w:rPr>
          <w:noProof/>
        </w:rPr>
        <w:t xml:space="preserve">2021 Marie Skłodowska-Curie </w:t>
      </w:r>
      <w:r>
        <w:rPr>
          <w:noProof/>
        </w:rPr>
        <w:t>a</w:t>
      </w:r>
      <w:r w:rsidRPr="00885241">
        <w:rPr>
          <w:noProof/>
        </w:rPr>
        <w:t>ctions, 9</w:t>
      </w:r>
      <w:r>
        <w:rPr>
          <w:rFonts w:ascii="Calibri" w:hAnsi="Calibri" w:cs="Calibri"/>
          <w:noProof/>
        </w:rPr>
        <w:t> </w:t>
      </w:r>
      <w:r w:rsidRPr="00885241">
        <w:rPr>
          <w:noProof/>
        </w:rPr>
        <w:t>660 applicants have applied</w:t>
      </w:r>
      <w:r>
        <w:rPr>
          <w:noProof/>
        </w:rPr>
        <w:t>,</w:t>
      </w:r>
      <w:r w:rsidRPr="00885241">
        <w:rPr>
          <w:noProof/>
        </w:rPr>
        <w:t xml:space="preserve"> showing </w:t>
      </w:r>
      <w:r>
        <w:rPr>
          <w:noProof/>
        </w:rPr>
        <w:t xml:space="preserve">that </w:t>
      </w:r>
      <w:r w:rsidRPr="00885241">
        <w:rPr>
          <w:noProof/>
        </w:rPr>
        <w:t>the scheme</w:t>
      </w:r>
      <w:r>
        <w:rPr>
          <w:noProof/>
        </w:rPr>
        <w:t xml:space="preserve"> has garnered a large amount of </w:t>
      </w:r>
      <w:r w:rsidRPr="00885241">
        <w:rPr>
          <w:noProof/>
        </w:rPr>
        <w:t>interest. The selection results will be announced in 2022.</w:t>
      </w:r>
    </w:p>
    <w:p w14:paraId="31500E0D" w14:textId="77777777" w:rsidR="00C016C5" w:rsidRPr="00885241" w:rsidRDefault="00C016C5" w:rsidP="00C016C5">
      <w:pPr>
        <w:pStyle w:val="ppoListHyphened-L1"/>
        <w:rPr>
          <w:noProof/>
        </w:rPr>
      </w:pPr>
      <w:r w:rsidRPr="00885241">
        <w:rPr>
          <w:noProof/>
        </w:rPr>
        <w:t xml:space="preserve">The first EU missions were launched </w:t>
      </w:r>
      <w:r w:rsidRPr="00913382">
        <w:rPr>
          <w:noProof/>
        </w:rPr>
        <w:t>in May</w:t>
      </w:r>
      <w:r w:rsidRPr="001F2164">
        <w:rPr>
          <w:noProof/>
        </w:rPr>
        <w:t xml:space="preserve"> 2021</w:t>
      </w:r>
      <w:r w:rsidRPr="00913382">
        <w:rPr>
          <w:rFonts w:ascii="Calibri" w:hAnsi="Calibri" w:cs="Calibri"/>
          <w:noProof/>
        </w:rPr>
        <w:t> </w:t>
      </w:r>
      <w:r w:rsidRPr="008F05B0">
        <w:rPr>
          <w:rFonts w:cs="Calibri"/>
          <w:noProof/>
        </w:rPr>
        <w:t>(</w:t>
      </w:r>
      <w:r w:rsidRPr="008F05B0">
        <w:rPr>
          <w:rStyle w:val="FootnoteReference"/>
          <w:iCs/>
          <w:noProof/>
          <w:color w:val="404040"/>
        </w:rPr>
        <w:footnoteReference w:id="4"/>
      </w:r>
      <w:r w:rsidRPr="008F05B0">
        <w:rPr>
          <w:rFonts w:cs="Calibri"/>
          <w:noProof/>
        </w:rPr>
        <w:t>)</w:t>
      </w:r>
      <w:r w:rsidRPr="00913382">
        <w:rPr>
          <w:noProof/>
        </w:rPr>
        <w:t xml:space="preserve"> to deliver</w:t>
      </w:r>
      <w:r w:rsidRPr="00885241">
        <w:rPr>
          <w:noProof/>
        </w:rPr>
        <w:t xml:space="preserve"> solutions in five cross-sectoral areas where there is an urgent need: </w:t>
      </w:r>
      <w:r>
        <w:rPr>
          <w:noProof/>
        </w:rPr>
        <w:t>a</w:t>
      </w:r>
      <w:r w:rsidRPr="00885241">
        <w:rPr>
          <w:noProof/>
        </w:rPr>
        <w:t xml:space="preserve">daptation to </w:t>
      </w:r>
      <w:r>
        <w:rPr>
          <w:noProof/>
        </w:rPr>
        <w:t>c</w:t>
      </w:r>
      <w:r w:rsidRPr="00885241">
        <w:rPr>
          <w:noProof/>
        </w:rPr>
        <w:t xml:space="preserve">limate </w:t>
      </w:r>
      <w:r>
        <w:rPr>
          <w:noProof/>
        </w:rPr>
        <w:t>c</w:t>
      </w:r>
      <w:r w:rsidRPr="00885241">
        <w:rPr>
          <w:noProof/>
        </w:rPr>
        <w:t xml:space="preserve">hange; </w:t>
      </w:r>
      <w:r>
        <w:rPr>
          <w:noProof/>
        </w:rPr>
        <w:t>c</w:t>
      </w:r>
      <w:r w:rsidRPr="00885241">
        <w:rPr>
          <w:noProof/>
        </w:rPr>
        <w:t xml:space="preserve">ancer; </w:t>
      </w:r>
      <w:r>
        <w:rPr>
          <w:noProof/>
        </w:rPr>
        <w:t>c</w:t>
      </w:r>
      <w:r w:rsidRPr="00885241">
        <w:rPr>
          <w:noProof/>
        </w:rPr>
        <w:t>limate-</w:t>
      </w:r>
      <w:r>
        <w:rPr>
          <w:noProof/>
        </w:rPr>
        <w:t>n</w:t>
      </w:r>
      <w:r w:rsidRPr="00885241">
        <w:rPr>
          <w:noProof/>
        </w:rPr>
        <w:t xml:space="preserve">eutral and </w:t>
      </w:r>
      <w:r>
        <w:rPr>
          <w:noProof/>
        </w:rPr>
        <w:t>s</w:t>
      </w:r>
      <w:r w:rsidRPr="00885241">
        <w:rPr>
          <w:noProof/>
        </w:rPr>
        <w:t xml:space="preserve">mart </w:t>
      </w:r>
      <w:r>
        <w:rPr>
          <w:noProof/>
        </w:rPr>
        <w:t>c</w:t>
      </w:r>
      <w:r w:rsidRPr="00885241">
        <w:rPr>
          <w:noProof/>
        </w:rPr>
        <w:t xml:space="preserve">ities; </w:t>
      </w:r>
      <w:r>
        <w:rPr>
          <w:noProof/>
        </w:rPr>
        <w:t>o</w:t>
      </w:r>
      <w:r w:rsidRPr="00885241">
        <w:rPr>
          <w:noProof/>
        </w:rPr>
        <w:t>cean</w:t>
      </w:r>
      <w:r>
        <w:rPr>
          <w:noProof/>
        </w:rPr>
        <w:t>s</w:t>
      </w:r>
      <w:r w:rsidRPr="00885241">
        <w:rPr>
          <w:noProof/>
        </w:rPr>
        <w:t xml:space="preserve">, </w:t>
      </w:r>
      <w:r>
        <w:rPr>
          <w:noProof/>
        </w:rPr>
        <w:t>s</w:t>
      </w:r>
      <w:r w:rsidRPr="00885241">
        <w:rPr>
          <w:noProof/>
        </w:rPr>
        <w:t xml:space="preserve">eas and </w:t>
      </w:r>
      <w:r>
        <w:rPr>
          <w:noProof/>
        </w:rPr>
        <w:t>w</w:t>
      </w:r>
      <w:r w:rsidRPr="00885241">
        <w:rPr>
          <w:noProof/>
        </w:rPr>
        <w:t xml:space="preserve">aters; </w:t>
      </w:r>
      <w:r>
        <w:rPr>
          <w:noProof/>
        </w:rPr>
        <w:t>and s</w:t>
      </w:r>
      <w:r w:rsidRPr="00885241">
        <w:rPr>
          <w:noProof/>
        </w:rPr>
        <w:t xml:space="preserve">oil </w:t>
      </w:r>
      <w:r>
        <w:rPr>
          <w:noProof/>
        </w:rPr>
        <w:t>h</w:t>
      </w:r>
      <w:r w:rsidRPr="00885241">
        <w:rPr>
          <w:noProof/>
        </w:rPr>
        <w:t xml:space="preserve">ealth and </w:t>
      </w:r>
      <w:r>
        <w:rPr>
          <w:noProof/>
        </w:rPr>
        <w:t>f</w:t>
      </w:r>
      <w:r w:rsidRPr="00885241">
        <w:rPr>
          <w:noProof/>
        </w:rPr>
        <w:t>ood.</w:t>
      </w:r>
    </w:p>
    <w:p w14:paraId="6737D12D" w14:textId="77777777" w:rsidR="00C016C5" w:rsidRPr="00885241" w:rsidRDefault="00C016C5" w:rsidP="00C016C5">
      <w:pPr>
        <w:pStyle w:val="ppoListHyphened-L1"/>
        <w:rPr>
          <w:noProof/>
        </w:rPr>
      </w:pPr>
      <w:r w:rsidRPr="00885241">
        <w:rPr>
          <w:noProof/>
          <w:color w:val="000000"/>
        </w:rPr>
        <w:t>The EU provided nearly</w:t>
      </w:r>
      <w:r w:rsidRPr="00885241">
        <w:rPr>
          <w:rFonts w:ascii="Calibri" w:hAnsi="Calibri" w:cs="Calibri"/>
          <w:noProof/>
          <w:color w:val="000000"/>
        </w:rPr>
        <w:t xml:space="preserve"> </w:t>
      </w:r>
      <w:r w:rsidRPr="00885241">
        <w:rPr>
          <w:rFonts w:cs="EC Square Sans Pro"/>
          <w:noProof/>
          <w:color w:val="000000"/>
        </w:rPr>
        <w:t>EUR</w:t>
      </w:r>
      <w:r w:rsidRPr="00885241">
        <w:rPr>
          <w:rFonts w:ascii="Calibri" w:hAnsi="Calibri" w:cs="Calibri"/>
          <w:noProof/>
          <w:color w:val="000000"/>
        </w:rPr>
        <w:t> </w:t>
      </w:r>
      <w:r w:rsidRPr="00885241">
        <w:rPr>
          <w:noProof/>
          <w:color w:val="000000"/>
        </w:rPr>
        <w:t>10</w:t>
      </w:r>
      <w:r w:rsidRPr="00885241">
        <w:rPr>
          <w:rFonts w:ascii="Calibri" w:hAnsi="Calibri" w:cs="Calibri"/>
          <w:noProof/>
          <w:color w:val="000000"/>
        </w:rPr>
        <w:t> </w:t>
      </w:r>
      <w:r w:rsidRPr="00885241">
        <w:rPr>
          <w:noProof/>
          <w:color w:val="000000"/>
        </w:rPr>
        <w:t xml:space="preserve">billion of funding to the 10 new </w:t>
      </w:r>
      <w:hyperlink r:id="rId90" w:history="1">
        <w:r>
          <w:rPr>
            <w:rStyle w:val="Hyperlink"/>
            <w:noProof/>
          </w:rPr>
          <w:t>institutionalised partnerships</w:t>
        </w:r>
      </w:hyperlink>
      <w:r w:rsidRPr="00885241">
        <w:rPr>
          <w:noProof/>
          <w:color w:val="000000"/>
        </w:rPr>
        <w:t xml:space="preserve"> established in November 2021 between the European Union, Member States and/or industry. The partners will match the EU funding with at least an equivalent amount of investment. This combined contribution is expected to mobilise additional investment in support of the </w:t>
      </w:r>
      <w:r>
        <w:rPr>
          <w:noProof/>
          <w:color w:val="000000"/>
        </w:rPr>
        <w:t xml:space="preserve">green and digital </w:t>
      </w:r>
      <w:r w:rsidRPr="00885241">
        <w:rPr>
          <w:noProof/>
          <w:color w:val="000000"/>
        </w:rPr>
        <w:t xml:space="preserve">transitions and </w:t>
      </w:r>
      <w:r>
        <w:rPr>
          <w:noProof/>
          <w:color w:val="000000"/>
        </w:rPr>
        <w:t xml:space="preserve">to </w:t>
      </w:r>
      <w:r w:rsidRPr="00885241">
        <w:rPr>
          <w:noProof/>
          <w:color w:val="000000"/>
        </w:rPr>
        <w:t>create long-term positive impacts on employment, the environment and society.</w:t>
      </w:r>
    </w:p>
    <w:p w14:paraId="63609DFC" w14:textId="77777777" w:rsidR="00C016C5" w:rsidRPr="00885241" w:rsidRDefault="00C016C5" w:rsidP="00C016C5">
      <w:pPr>
        <w:pStyle w:val="ppoListHyphened-L1"/>
        <w:rPr>
          <w:noProof/>
        </w:rPr>
      </w:pPr>
      <w:r>
        <w:rPr>
          <w:noProof/>
        </w:rPr>
        <w:t>I</w:t>
      </w:r>
      <w:r w:rsidRPr="00885241">
        <w:rPr>
          <w:noProof/>
        </w:rPr>
        <w:t xml:space="preserve">n June 2021, </w:t>
      </w:r>
      <w:r>
        <w:rPr>
          <w:noProof/>
        </w:rPr>
        <w:t>t</w:t>
      </w:r>
      <w:r w:rsidRPr="00885241">
        <w:rPr>
          <w:noProof/>
        </w:rPr>
        <w:t>he Commission also launched 11 new co-programmed partnerships</w:t>
      </w:r>
      <w:r>
        <w:rPr>
          <w:noProof/>
        </w:rPr>
        <w:t>,</w:t>
      </w:r>
      <w:r w:rsidRPr="00885241">
        <w:rPr>
          <w:noProof/>
        </w:rPr>
        <w:t xml:space="preserve"> mostly together with </w:t>
      </w:r>
      <w:r>
        <w:rPr>
          <w:noProof/>
        </w:rPr>
        <w:t xml:space="preserve">the </w:t>
      </w:r>
      <w:r w:rsidRPr="00885241">
        <w:rPr>
          <w:noProof/>
        </w:rPr>
        <w:t xml:space="preserve">private sector, to deliver solutions to major societal challenges. In addition, a call for proposals for co-funded partnerships involving public authorities </w:t>
      </w:r>
      <w:r>
        <w:rPr>
          <w:noProof/>
        </w:rPr>
        <w:t>w</w:t>
      </w:r>
      <w:r w:rsidRPr="00885241">
        <w:rPr>
          <w:noProof/>
        </w:rPr>
        <w:t>as published in the 2021-2022 work programme.</w:t>
      </w:r>
    </w:p>
    <w:p w14:paraId="02CC7960" w14:textId="5DA3D644" w:rsidR="00C016C5" w:rsidRPr="00C016C5" w:rsidRDefault="00C016C5" w:rsidP="00C016C5">
      <w:pPr>
        <w:pStyle w:val="ppoListHyphened-L1"/>
        <w:rPr>
          <w:noProof/>
        </w:rPr>
      </w:pPr>
      <w:bookmarkStart w:id="27" w:name="_Hlk101267187"/>
      <w:r w:rsidRPr="00885241">
        <w:rPr>
          <w:noProof/>
        </w:rPr>
        <w:t>In</w:t>
      </w:r>
      <w:r>
        <w:rPr>
          <w:noProof/>
        </w:rPr>
        <w:t xml:space="preserve"> </w:t>
      </w:r>
      <w:r w:rsidRPr="00885241">
        <w:rPr>
          <w:noProof/>
        </w:rPr>
        <w:t>2021</w:t>
      </w:r>
      <w:r>
        <w:rPr>
          <w:noProof/>
        </w:rPr>
        <w:t>,</w:t>
      </w:r>
      <w:r w:rsidRPr="00885241">
        <w:rPr>
          <w:noProof/>
        </w:rPr>
        <w:t xml:space="preserve"> </w:t>
      </w:r>
      <w:r>
        <w:rPr>
          <w:noProof/>
        </w:rPr>
        <w:t>t</w:t>
      </w:r>
      <w:r w:rsidRPr="00885241">
        <w:rPr>
          <w:noProof/>
        </w:rPr>
        <w:t xml:space="preserve">he </w:t>
      </w:r>
      <w:r w:rsidRPr="00D33920">
        <w:rPr>
          <w:noProof/>
        </w:rPr>
        <w:t>European Institute of Innovation and Technology</w:t>
      </w:r>
      <w:r w:rsidRPr="00D33920" w:rsidDel="00D33920">
        <w:rPr>
          <w:noProof/>
        </w:rPr>
        <w:t xml:space="preserve"> </w:t>
      </w:r>
      <w:r w:rsidRPr="00885241">
        <w:rPr>
          <w:noProof/>
        </w:rPr>
        <w:t xml:space="preserve">launched the first </w:t>
      </w:r>
      <w:bookmarkEnd w:id="27"/>
      <w:r w:rsidRPr="00885241">
        <w:rPr>
          <w:noProof/>
        </w:rPr>
        <w:t xml:space="preserve">‘EIT </w:t>
      </w:r>
      <w:r>
        <w:rPr>
          <w:noProof/>
        </w:rPr>
        <w:t>c</w:t>
      </w:r>
      <w:r w:rsidRPr="00885241">
        <w:rPr>
          <w:noProof/>
        </w:rPr>
        <w:t xml:space="preserve">ommunity </w:t>
      </w:r>
      <w:r>
        <w:rPr>
          <w:noProof/>
        </w:rPr>
        <w:t>b</w:t>
      </w:r>
      <w:r w:rsidRPr="00885241">
        <w:rPr>
          <w:noProof/>
        </w:rPr>
        <w:t>ooster</w:t>
      </w:r>
      <w:r>
        <w:rPr>
          <w:rFonts w:ascii="Calibri" w:hAnsi="Calibri" w:cs="Calibri"/>
          <w:noProof/>
        </w:rPr>
        <w:t> </w:t>
      </w:r>
      <w:r w:rsidRPr="00885241">
        <w:rPr>
          <w:noProof/>
        </w:rPr>
        <w:t xml:space="preserve">– Scaling New European Bauhaus </w:t>
      </w:r>
      <w:r>
        <w:rPr>
          <w:noProof/>
        </w:rPr>
        <w:t>v</w:t>
      </w:r>
      <w:r w:rsidRPr="00885241">
        <w:rPr>
          <w:noProof/>
        </w:rPr>
        <w:t>entures</w:t>
      </w:r>
      <w:r>
        <w:rPr>
          <w:noProof/>
        </w:rPr>
        <w:t>’</w:t>
      </w:r>
      <w:r w:rsidRPr="001F2164">
        <w:rPr>
          <w:noProof/>
        </w:rPr>
        <w:t xml:space="preserve"> </w:t>
      </w:r>
      <w:r w:rsidRPr="00885241">
        <w:rPr>
          <w:noProof/>
        </w:rPr>
        <w:t xml:space="preserve">call to support the New European Bauhaus initiative </w:t>
      </w:r>
      <w:r>
        <w:rPr>
          <w:noProof/>
        </w:rPr>
        <w:t>in</w:t>
      </w:r>
      <w:r w:rsidRPr="00885241">
        <w:rPr>
          <w:noProof/>
        </w:rPr>
        <w:t xml:space="preserve"> accelerat</w:t>
      </w:r>
      <w:r>
        <w:rPr>
          <w:noProof/>
        </w:rPr>
        <w:t>ing</w:t>
      </w:r>
      <w:r w:rsidRPr="00885241">
        <w:rPr>
          <w:noProof/>
        </w:rPr>
        <w:t xml:space="preserve"> solutions integrating sustainability (from climate goals to circularity, zero pollution and biodiversity), aesthetics (quality of experience and style, beyond functionality) and inclusion (including diversity first, securing accessibility and affordability). A pilot phase launched </w:t>
      </w:r>
      <w:r>
        <w:rPr>
          <w:noProof/>
        </w:rPr>
        <w:t xml:space="preserve">for </w:t>
      </w:r>
      <w:r w:rsidRPr="00885241">
        <w:rPr>
          <w:noProof/>
        </w:rPr>
        <w:t xml:space="preserve">this </w:t>
      </w:r>
      <w:r>
        <w:rPr>
          <w:noProof/>
        </w:rPr>
        <w:t>c</w:t>
      </w:r>
      <w:r w:rsidRPr="00885241">
        <w:rPr>
          <w:noProof/>
        </w:rPr>
        <w:t xml:space="preserve">ommunity </w:t>
      </w:r>
      <w:r>
        <w:rPr>
          <w:noProof/>
        </w:rPr>
        <w:t>b</w:t>
      </w:r>
      <w:r w:rsidRPr="00885241">
        <w:rPr>
          <w:noProof/>
        </w:rPr>
        <w:t>ooster has already supported 13 ventures with a total of EUR</w:t>
      </w:r>
      <w:r w:rsidRPr="00885241">
        <w:rPr>
          <w:rFonts w:ascii="Calibri" w:hAnsi="Calibri" w:cs="Calibri"/>
          <w:noProof/>
        </w:rPr>
        <w:t> </w:t>
      </w:r>
      <w:r w:rsidRPr="00885241">
        <w:rPr>
          <w:noProof/>
        </w:rPr>
        <w:t>650</w:t>
      </w:r>
      <w:r>
        <w:rPr>
          <w:rFonts w:ascii="Calibri" w:hAnsi="Calibri" w:cs="Calibri"/>
          <w:noProof/>
        </w:rPr>
        <w:t> </w:t>
      </w:r>
      <w:r w:rsidRPr="00885241">
        <w:rPr>
          <w:noProof/>
        </w:rPr>
        <w:t>000.</w:t>
      </w:r>
      <w:r w:rsidRPr="00885241">
        <w:rPr>
          <w:noProof/>
        </w:rPr>
        <w:br w:type="page"/>
      </w:r>
    </w:p>
    <w:p w14:paraId="795908A6" w14:textId="77777777" w:rsidR="00C016C5" w:rsidRPr="00885241" w:rsidRDefault="00C016C5" w:rsidP="00C016C5">
      <w:pPr>
        <w:pStyle w:val="ppoHeading4Orange"/>
        <w:rPr>
          <w:noProof/>
        </w:rPr>
      </w:pPr>
      <w:r w:rsidRPr="00885241">
        <w:rPr>
          <w:noProof/>
        </w:rPr>
        <w:t>2014-2020 multiannual financial framework</w:t>
      </w:r>
      <w:r>
        <w:rPr>
          <w:rFonts w:ascii="Calibri" w:hAnsi="Calibri" w:cs="Calibri"/>
          <w:noProof/>
        </w:rPr>
        <w:t> </w:t>
      </w:r>
      <w:r w:rsidRPr="00885241">
        <w:rPr>
          <w:noProof/>
        </w:rPr>
        <w:t>– Horizon 2020</w:t>
      </w:r>
    </w:p>
    <w:p w14:paraId="67ADD206" w14:textId="77777777" w:rsidR="00C016C5" w:rsidRPr="00885241" w:rsidRDefault="00C016C5" w:rsidP="00C016C5">
      <w:pPr>
        <w:rPr>
          <w:noProof/>
        </w:rPr>
      </w:pPr>
      <w:r w:rsidRPr="00885241">
        <w:rPr>
          <w:noProof/>
        </w:rPr>
        <w:t>Horizon 2020</w:t>
      </w:r>
      <w:r>
        <w:rPr>
          <w:rFonts w:ascii="Calibri" w:hAnsi="Calibri" w:cs="Calibri"/>
          <w:noProof/>
        </w:rPr>
        <w:t> </w:t>
      </w:r>
      <w:r>
        <w:rPr>
          <w:noProof/>
        </w:rPr>
        <w:t xml:space="preserve">– </w:t>
      </w:r>
      <w:r w:rsidRPr="00885241">
        <w:rPr>
          <w:noProof/>
        </w:rPr>
        <w:t>the eighth framework programme funding research, technological development and innovation</w:t>
      </w:r>
      <w:r>
        <w:rPr>
          <w:rFonts w:ascii="Calibri" w:hAnsi="Calibri" w:cs="Calibri"/>
          <w:noProof/>
        </w:rPr>
        <w:t> </w:t>
      </w:r>
      <w:r>
        <w:rPr>
          <w:noProof/>
        </w:rPr>
        <w:t xml:space="preserve">– </w:t>
      </w:r>
      <w:r w:rsidRPr="00885241">
        <w:rPr>
          <w:noProof/>
        </w:rPr>
        <w:t xml:space="preserve">was established as a means of putting </w:t>
      </w:r>
      <w:r>
        <w:rPr>
          <w:noProof/>
        </w:rPr>
        <w:t>the EU</w:t>
      </w:r>
      <w:r w:rsidRPr="00885241">
        <w:rPr>
          <w:noProof/>
        </w:rPr>
        <w:t xml:space="preserve"> at the heart of world-class science and innovation, making it more competitive</w:t>
      </w:r>
      <w:r>
        <w:rPr>
          <w:noProof/>
        </w:rPr>
        <w:t xml:space="preserve"> and</w:t>
      </w:r>
      <w:r w:rsidRPr="00885241">
        <w:rPr>
          <w:noProof/>
        </w:rPr>
        <w:t xml:space="preserve"> creating economic growth and new jobs.</w:t>
      </w:r>
    </w:p>
    <w:p w14:paraId="125F1B8E" w14:textId="77777777" w:rsidR="00C016C5" w:rsidRPr="00885241" w:rsidRDefault="00C016C5" w:rsidP="00C016C5">
      <w:pPr>
        <w:pStyle w:val="ppoHeading5"/>
        <w:rPr>
          <w:noProof/>
        </w:rPr>
      </w:pPr>
      <w:r w:rsidRPr="00885241">
        <w:rPr>
          <w:noProof/>
        </w:rPr>
        <w:t>Budget</w:t>
      </w:r>
    </w:p>
    <w:p w14:paraId="65B0D539" w14:textId="77777777" w:rsidR="00C016C5" w:rsidRPr="00885241" w:rsidRDefault="00C016C5" w:rsidP="00C016C5">
      <w:pPr>
        <w:pStyle w:val="ppoTableTabletitle"/>
        <w:rPr>
          <w:noProof/>
        </w:rPr>
      </w:pPr>
      <w:r w:rsidRPr="00885241">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C016C5" w:rsidRPr="00885241" w14:paraId="60D296BF" w14:textId="77777777" w:rsidTr="00813D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4BF0E637" w14:textId="77777777" w:rsidR="00C016C5" w:rsidRPr="00885241" w:rsidRDefault="00C016C5" w:rsidP="00813D25">
            <w:pPr>
              <w:rPr>
                <w:noProof/>
              </w:rPr>
            </w:pPr>
          </w:p>
        </w:tc>
        <w:tc>
          <w:tcPr>
            <w:tcW w:w="2410" w:type="dxa"/>
          </w:tcPr>
          <w:p w14:paraId="73BCA524" w14:textId="77777777" w:rsidR="00C016C5" w:rsidRPr="00885241" w:rsidRDefault="00C016C5" w:rsidP="00813D25">
            <w:pPr>
              <w:cnfStyle w:val="100000000000" w:firstRow="1" w:lastRow="0" w:firstColumn="0" w:lastColumn="0" w:oddVBand="0" w:evenVBand="0" w:oddHBand="0" w:evenHBand="0" w:firstRowFirstColumn="0" w:firstRowLastColumn="0" w:lastRowFirstColumn="0" w:lastRowLastColumn="0"/>
              <w:rPr>
                <w:noProof/>
              </w:rPr>
            </w:pPr>
            <w:r w:rsidRPr="00885241">
              <w:rPr>
                <w:noProof/>
              </w:rPr>
              <w:t>Implementation</w:t>
            </w:r>
          </w:p>
        </w:tc>
        <w:tc>
          <w:tcPr>
            <w:tcW w:w="2410" w:type="dxa"/>
          </w:tcPr>
          <w:p w14:paraId="27185C20" w14:textId="62D7FA89" w:rsidR="00C016C5" w:rsidRPr="00885241" w:rsidRDefault="001F4CBC" w:rsidP="00813D25">
            <w:pPr>
              <w:cnfStyle w:val="100000000000" w:firstRow="1" w:lastRow="0" w:firstColumn="0" w:lastColumn="0" w:oddVBand="0" w:evenVBand="0" w:oddHBand="0" w:evenHBand="0" w:firstRowFirstColumn="0" w:firstRowLastColumn="0" w:lastRowFirstColumn="0" w:lastRowLastColumn="0"/>
              <w:rPr>
                <w:noProof/>
              </w:rPr>
            </w:pPr>
            <w:r>
              <w:rPr>
                <w:noProof/>
              </w:rPr>
              <w:t xml:space="preserve">2014-2020 </w:t>
            </w:r>
            <w:r w:rsidRPr="00885241">
              <w:rPr>
                <w:noProof/>
              </w:rPr>
              <w:t>Budget</w:t>
            </w:r>
          </w:p>
        </w:tc>
        <w:tc>
          <w:tcPr>
            <w:tcW w:w="2410" w:type="dxa"/>
          </w:tcPr>
          <w:p w14:paraId="6C930FD0" w14:textId="77777777" w:rsidR="00C016C5" w:rsidRPr="00885241" w:rsidRDefault="00C016C5" w:rsidP="00813D25">
            <w:pPr>
              <w:cnfStyle w:val="100000000000" w:firstRow="1" w:lastRow="0" w:firstColumn="0" w:lastColumn="0" w:oddVBand="0" w:evenVBand="0" w:oddHBand="0" w:evenHBand="0" w:firstRowFirstColumn="0" w:firstRowLastColumn="0" w:lastRowFirstColumn="0" w:lastRowLastColumn="0"/>
              <w:rPr>
                <w:noProof/>
              </w:rPr>
            </w:pPr>
            <w:r w:rsidRPr="00885241">
              <w:rPr>
                <w:noProof/>
              </w:rPr>
              <w:t>Implementation rate</w:t>
            </w:r>
          </w:p>
        </w:tc>
      </w:tr>
      <w:tr w:rsidR="00C016C5" w:rsidRPr="00885241" w14:paraId="24C0A4F0" w14:textId="77777777" w:rsidTr="00813D25">
        <w:tc>
          <w:tcPr>
            <w:cnfStyle w:val="001000000000" w:firstRow="0" w:lastRow="0" w:firstColumn="1" w:lastColumn="0" w:oddVBand="0" w:evenVBand="0" w:oddHBand="0" w:evenHBand="0" w:firstRowFirstColumn="0" w:firstRowLastColumn="0" w:lastRowFirstColumn="0" w:lastRowLastColumn="0"/>
            <w:tcW w:w="2409" w:type="dxa"/>
          </w:tcPr>
          <w:p w14:paraId="09EE04B7" w14:textId="77777777" w:rsidR="00C016C5" w:rsidRPr="00885241" w:rsidRDefault="00C016C5" w:rsidP="00813D25">
            <w:pPr>
              <w:jc w:val="center"/>
              <w:rPr>
                <w:noProof/>
              </w:rPr>
            </w:pPr>
            <w:r w:rsidRPr="00885241">
              <w:rPr>
                <w:noProof/>
              </w:rPr>
              <w:t>Commitments</w:t>
            </w:r>
          </w:p>
        </w:tc>
        <w:tc>
          <w:tcPr>
            <w:tcW w:w="2410" w:type="dxa"/>
          </w:tcPr>
          <w:tbl>
            <w:tblPr>
              <w:tblStyle w:val="TableGrid"/>
              <w:tblW w:w="0" w:type="auto"/>
              <w:tblLook w:val="06A0" w:firstRow="1" w:lastRow="0" w:firstColumn="1" w:lastColumn="0" w:noHBand="1" w:noVBand="1"/>
            </w:tblPr>
            <w:tblGrid>
              <w:gridCol w:w="2194"/>
            </w:tblGrid>
            <w:tr w:rsidR="00C016C5" w:rsidRPr="00885241" w14:paraId="70F9EFBB" w14:textId="77777777" w:rsidTr="00813D25">
              <w:trPr>
                <w:trHeight w:val="285"/>
              </w:trPr>
              <w:tc>
                <w:tcPr>
                  <w:tcW w:w="2290" w:type="dxa"/>
                  <w:tcBorders>
                    <w:top w:val="nil"/>
                    <w:left w:val="nil"/>
                    <w:bottom w:val="nil"/>
                    <w:right w:val="nil"/>
                  </w:tcBorders>
                  <w:vAlign w:val="bottom"/>
                </w:tcPr>
                <w:p w14:paraId="0B37A678" w14:textId="77777777" w:rsidR="00C016C5" w:rsidRPr="00885241" w:rsidRDefault="00C016C5" w:rsidP="00813D25">
                  <w:pPr>
                    <w:jc w:val="right"/>
                    <w:rPr>
                      <w:noProof/>
                    </w:rPr>
                  </w:pPr>
                  <w:r w:rsidRPr="00885241">
                    <w:rPr>
                      <w:rFonts w:ascii="Calibri" w:hAnsi="Calibri" w:cs="Calibri"/>
                      <w:noProof/>
                      <w:color w:val="000000"/>
                    </w:rPr>
                    <w:t>75</w:t>
                  </w:r>
                  <w:r>
                    <w:rPr>
                      <w:rFonts w:ascii="Calibri" w:hAnsi="Calibri" w:cs="Calibri"/>
                      <w:noProof/>
                      <w:color w:val="000000"/>
                    </w:rPr>
                    <w:t> </w:t>
                  </w:r>
                  <w:r w:rsidRPr="00885241">
                    <w:rPr>
                      <w:rFonts w:ascii="Calibri" w:hAnsi="Calibri" w:cs="Calibri"/>
                      <w:noProof/>
                      <w:color w:val="000000"/>
                    </w:rPr>
                    <w:t>616.3</w:t>
                  </w:r>
                </w:p>
              </w:tc>
            </w:tr>
          </w:tbl>
          <w:p w14:paraId="3F6EC43B" w14:textId="77777777" w:rsidR="00C016C5" w:rsidRPr="00885241" w:rsidRDefault="00C016C5" w:rsidP="00813D25">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C016C5" w:rsidRPr="00885241" w14:paraId="7B8B78DB" w14:textId="77777777" w:rsidTr="00813D25">
              <w:trPr>
                <w:trHeight w:val="285"/>
              </w:trPr>
              <w:tc>
                <w:tcPr>
                  <w:tcW w:w="2290" w:type="dxa"/>
                  <w:tcBorders>
                    <w:top w:val="nil"/>
                    <w:left w:val="nil"/>
                    <w:bottom w:val="nil"/>
                    <w:right w:val="nil"/>
                  </w:tcBorders>
                  <w:vAlign w:val="bottom"/>
                </w:tcPr>
                <w:p w14:paraId="176AE979" w14:textId="77777777" w:rsidR="00C016C5" w:rsidRPr="00885241" w:rsidRDefault="00C016C5" w:rsidP="00813D25">
                  <w:pPr>
                    <w:jc w:val="right"/>
                    <w:rPr>
                      <w:noProof/>
                    </w:rPr>
                  </w:pPr>
                  <w:r w:rsidRPr="00885241">
                    <w:rPr>
                      <w:rFonts w:ascii="Calibri" w:hAnsi="Calibri" w:cs="Calibri"/>
                      <w:noProof/>
                      <w:color w:val="000000"/>
                    </w:rPr>
                    <w:t>75</w:t>
                  </w:r>
                  <w:r>
                    <w:rPr>
                      <w:rFonts w:ascii="Calibri" w:hAnsi="Calibri" w:cs="Calibri"/>
                      <w:noProof/>
                      <w:color w:val="000000"/>
                    </w:rPr>
                    <w:t> </w:t>
                  </w:r>
                  <w:r w:rsidRPr="00885241">
                    <w:rPr>
                      <w:rFonts w:ascii="Calibri" w:hAnsi="Calibri" w:cs="Calibri"/>
                      <w:noProof/>
                      <w:color w:val="000000"/>
                    </w:rPr>
                    <w:t>623.6</w:t>
                  </w:r>
                </w:p>
              </w:tc>
            </w:tr>
          </w:tbl>
          <w:p w14:paraId="30A868B7" w14:textId="77777777" w:rsidR="00C016C5" w:rsidRPr="00885241" w:rsidRDefault="00C016C5" w:rsidP="00813D25">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C016C5" w:rsidRPr="00885241" w14:paraId="0FCAA362" w14:textId="77777777" w:rsidTr="00813D25">
              <w:trPr>
                <w:trHeight w:val="285"/>
              </w:trPr>
              <w:tc>
                <w:tcPr>
                  <w:tcW w:w="2290" w:type="dxa"/>
                  <w:tcBorders>
                    <w:top w:val="nil"/>
                    <w:left w:val="nil"/>
                    <w:bottom w:val="nil"/>
                    <w:right w:val="nil"/>
                  </w:tcBorders>
                  <w:vAlign w:val="bottom"/>
                </w:tcPr>
                <w:p w14:paraId="47C5F166" w14:textId="77777777" w:rsidR="00C016C5" w:rsidRPr="00885241" w:rsidRDefault="00C016C5" w:rsidP="00813D25">
                  <w:pPr>
                    <w:jc w:val="right"/>
                    <w:rPr>
                      <w:noProof/>
                    </w:rPr>
                  </w:pPr>
                  <w:r w:rsidRPr="00885241">
                    <w:rPr>
                      <w:rFonts w:ascii="Calibri" w:hAnsi="Calibri" w:cs="Calibri"/>
                      <w:noProof/>
                      <w:color w:val="000000"/>
                    </w:rPr>
                    <w:t>100%</w:t>
                  </w:r>
                </w:p>
              </w:tc>
            </w:tr>
          </w:tbl>
          <w:p w14:paraId="6BEAAB75" w14:textId="77777777" w:rsidR="00C016C5" w:rsidRPr="00885241" w:rsidRDefault="00C016C5" w:rsidP="00813D25">
            <w:pPr>
              <w:jc w:val="center"/>
              <w:cnfStyle w:val="000000000000" w:firstRow="0" w:lastRow="0" w:firstColumn="0" w:lastColumn="0" w:oddVBand="0" w:evenVBand="0" w:oddHBand="0" w:evenHBand="0" w:firstRowFirstColumn="0" w:firstRowLastColumn="0" w:lastRowFirstColumn="0" w:lastRowLastColumn="0"/>
              <w:rPr>
                <w:noProof/>
              </w:rPr>
            </w:pPr>
          </w:p>
        </w:tc>
      </w:tr>
      <w:tr w:rsidR="00C016C5" w:rsidRPr="00885241" w14:paraId="5291FE01" w14:textId="77777777" w:rsidTr="00813D25">
        <w:tc>
          <w:tcPr>
            <w:cnfStyle w:val="001000000000" w:firstRow="0" w:lastRow="0" w:firstColumn="1" w:lastColumn="0" w:oddVBand="0" w:evenVBand="0" w:oddHBand="0" w:evenHBand="0" w:firstRowFirstColumn="0" w:firstRowLastColumn="0" w:lastRowFirstColumn="0" w:lastRowLastColumn="0"/>
            <w:tcW w:w="2409" w:type="dxa"/>
          </w:tcPr>
          <w:p w14:paraId="0D84415D" w14:textId="77777777" w:rsidR="00C016C5" w:rsidRPr="00885241" w:rsidRDefault="00C016C5" w:rsidP="00813D25">
            <w:pPr>
              <w:jc w:val="center"/>
              <w:rPr>
                <w:noProof/>
              </w:rPr>
            </w:pPr>
            <w:r w:rsidRPr="00885241">
              <w:rPr>
                <w:noProof/>
              </w:rPr>
              <w:t>Payments</w:t>
            </w:r>
          </w:p>
        </w:tc>
        <w:tc>
          <w:tcPr>
            <w:tcW w:w="2410" w:type="dxa"/>
          </w:tcPr>
          <w:tbl>
            <w:tblPr>
              <w:tblStyle w:val="TableGrid"/>
              <w:tblW w:w="0" w:type="auto"/>
              <w:tblLook w:val="06A0" w:firstRow="1" w:lastRow="0" w:firstColumn="1" w:lastColumn="0" w:noHBand="1" w:noVBand="1"/>
            </w:tblPr>
            <w:tblGrid>
              <w:gridCol w:w="2194"/>
            </w:tblGrid>
            <w:tr w:rsidR="00C016C5" w:rsidRPr="00885241" w14:paraId="29AA266A" w14:textId="77777777" w:rsidTr="00813D25">
              <w:trPr>
                <w:trHeight w:val="285"/>
              </w:trPr>
              <w:tc>
                <w:tcPr>
                  <w:tcW w:w="2290" w:type="dxa"/>
                  <w:tcBorders>
                    <w:top w:val="nil"/>
                    <w:left w:val="nil"/>
                    <w:bottom w:val="nil"/>
                    <w:right w:val="nil"/>
                  </w:tcBorders>
                  <w:vAlign w:val="bottom"/>
                </w:tcPr>
                <w:p w14:paraId="25CC4CC7" w14:textId="77777777" w:rsidR="00C016C5" w:rsidRPr="00885241" w:rsidRDefault="00C016C5" w:rsidP="00813D25">
                  <w:pPr>
                    <w:jc w:val="right"/>
                    <w:rPr>
                      <w:noProof/>
                    </w:rPr>
                  </w:pPr>
                  <w:r w:rsidRPr="00885241">
                    <w:rPr>
                      <w:rFonts w:ascii="Calibri" w:hAnsi="Calibri" w:cs="Calibri"/>
                      <w:noProof/>
                      <w:color w:val="000000"/>
                    </w:rPr>
                    <w:t>61</w:t>
                  </w:r>
                  <w:r>
                    <w:rPr>
                      <w:rFonts w:ascii="Calibri" w:hAnsi="Calibri" w:cs="Calibri"/>
                      <w:noProof/>
                      <w:color w:val="000000"/>
                    </w:rPr>
                    <w:t> </w:t>
                  </w:r>
                  <w:r w:rsidRPr="00885241">
                    <w:rPr>
                      <w:rFonts w:ascii="Calibri" w:hAnsi="Calibri" w:cs="Calibri"/>
                      <w:noProof/>
                      <w:color w:val="000000"/>
                    </w:rPr>
                    <w:t>946.2</w:t>
                  </w:r>
                </w:p>
              </w:tc>
            </w:tr>
          </w:tbl>
          <w:p w14:paraId="7F908C37" w14:textId="77777777" w:rsidR="00C016C5" w:rsidRPr="00885241" w:rsidRDefault="00C016C5" w:rsidP="00813D25">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676026C5" w14:textId="77777777" w:rsidR="00C016C5" w:rsidRPr="00885241" w:rsidRDefault="00C016C5" w:rsidP="00813D25">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C016C5" w:rsidRPr="00885241" w14:paraId="45E72C47" w14:textId="77777777" w:rsidTr="00813D25">
              <w:trPr>
                <w:trHeight w:val="285"/>
              </w:trPr>
              <w:tc>
                <w:tcPr>
                  <w:tcW w:w="2235" w:type="dxa"/>
                  <w:tcBorders>
                    <w:top w:val="nil"/>
                    <w:left w:val="nil"/>
                    <w:bottom w:val="nil"/>
                    <w:right w:val="nil"/>
                  </w:tcBorders>
                  <w:vAlign w:val="bottom"/>
                </w:tcPr>
                <w:p w14:paraId="6EBC3917" w14:textId="77777777" w:rsidR="00C016C5" w:rsidRPr="00885241" w:rsidRDefault="00C016C5" w:rsidP="00813D25">
                  <w:pPr>
                    <w:jc w:val="right"/>
                    <w:rPr>
                      <w:noProof/>
                    </w:rPr>
                  </w:pPr>
                  <w:r w:rsidRPr="00885241">
                    <w:rPr>
                      <w:rFonts w:ascii="Calibri" w:hAnsi="Calibri" w:cs="Calibri"/>
                      <w:noProof/>
                      <w:color w:val="000000"/>
                    </w:rPr>
                    <w:t>82%</w:t>
                  </w:r>
                </w:p>
              </w:tc>
            </w:tr>
          </w:tbl>
          <w:p w14:paraId="509A829F" w14:textId="77777777" w:rsidR="00C016C5" w:rsidRPr="00885241" w:rsidRDefault="00C016C5" w:rsidP="00813D25">
            <w:pPr>
              <w:jc w:val="center"/>
              <w:cnfStyle w:val="000000000000" w:firstRow="0" w:lastRow="0" w:firstColumn="0" w:lastColumn="0" w:oddVBand="0" w:evenVBand="0" w:oddHBand="0" w:evenHBand="0" w:firstRowFirstColumn="0" w:firstRowLastColumn="0" w:lastRowFirstColumn="0" w:lastRowLastColumn="0"/>
              <w:rPr>
                <w:noProof/>
              </w:rPr>
            </w:pPr>
          </w:p>
        </w:tc>
      </w:tr>
    </w:tbl>
    <w:p w14:paraId="45CA49F3" w14:textId="77777777" w:rsidR="00C016C5" w:rsidRPr="00885241" w:rsidRDefault="00C016C5" w:rsidP="00C016C5">
      <w:pPr>
        <w:pStyle w:val="ppoListHyphened-L1"/>
        <w:rPr>
          <w:noProof/>
        </w:rPr>
      </w:pPr>
      <w:r w:rsidRPr="00885241">
        <w:rPr>
          <w:noProof/>
        </w:rPr>
        <w:t xml:space="preserve">As regards the payment appropriations implemented in 2021, the available appropriations </w:t>
      </w:r>
      <w:r>
        <w:rPr>
          <w:noProof/>
        </w:rPr>
        <w:t>were</w:t>
      </w:r>
      <w:r w:rsidRPr="00885241">
        <w:rPr>
          <w:noProof/>
        </w:rPr>
        <w:t xml:space="preserve"> mainly used to cover </w:t>
      </w:r>
      <w:r>
        <w:rPr>
          <w:noProof/>
        </w:rPr>
        <w:t xml:space="preserve">the </w:t>
      </w:r>
      <w:r w:rsidRPr="00885241">
        <w:rPr>
          <w:noProof/>
        </w:rPr>
        <w:t xml:space="preserve">legal obligations of </w:t>
      </w:r>
      <w:r>
        <w:rPr>
          <w:noProof/>
        </w:rPr>
        <w:t>initiatives</w:t>
      </w:r>
      <w:r w:rsidRPr="00885241" w:rsidDel="00BA5660">
        <w:rPr>
          <w:noProof/>
        </w:rPr>
        <w:t xml:space="preserve"> </w:t>
      </w:r>
      <w:r w:rsidRPr="00885241">
        <w:rPr>
          <w:noProof/>
        </w:rPr>
        <w:t xml:space="preserve">selected </w:t>
      </w:r>
      <w:r>
        <w:rPr>
          <w:noProof/>
        </w:rPr>
        <w:t>in</w:t>
      </w:r>
      <w:r w:rsidRPr="00885241">
        <w:rPr>
          <w:noProof/>
        </w:rPr>
        <w:t xml:space="preserve"> 2014-2020, including 2</w:t>
      </w:r>
      <w:r>
        <w:rPr>
          <w:rFonts w:ascii="Calibri" w:hAnsi="Calibri" w:cs="Calibri"/>
          <w:noProof/>
        </w:rPr>
        <w:t> </w:t>
      </w:r>
      <w:r w:rsidRPr="00885241">
        <w:rPr>
          <w:noProof/>
        </w:rPr>
        <w:t>971 final payments allowing the level of payment appropriations still to be implemented</w:t>
      </w:r>
      <w:r w:rsidRPr="00D33920">
        <w:rPr>
          <w:noProof/>
        </w:rPr>
        <w:t xml:space="preserve"> </w:t>
      </w:r>
      <w:r w:rsidRPr="00885241">
        <w:rPr>
          <w:noProof/>
        </w:rPr>
        <w:t xml:space="preserve">to </w:t>
      </w:r>
      <w:r>
        <w:rPr>
          <w:noProof/>
        </w:rPr>
        <w:t xml:space="preserve">be </w:t>
      </w:r>
      <w:r w:rsidRPr="00885241">
        <w:rPr>
          <w:noProof/>
        </w:rPr>
        <w:t>decrease</w:t>
      </w:r>
      <w:r>
        <w:rPr>
          <w:noProof/>
        </w:rPr>
        <w:t>d</w:t>
      </w:r>
      <w:r w:rsidRPr="00885241">
        <w:rPr>
          <w:noProof/>
        </w:rPr>
        <w:t>.</w:t>
      </w:r>
    </w:p>
    <w:p w14:paraId="7C83C418" w14:textId="77777777" w:rsidR="00C016C5" w:rsidRPr="00885241" w:rsidRDefault="00C016C5" w:rsidP="00C016C5">
      <w:pPr>
        <w:pStyle w:val="ppoListHyphened-L1"/>
        <w:rPr>
          <w:noProof/>
        </w:rPr>
      </w:pPr>
      <w:r w:rsidRPr="00885241">
        <w:rPr>
          <w:noProof/>
        </w:rPr>
        <w:t xml:space="preserve">In order to mitigate the risk of </w:t>
      </w:r>
      <w:r>
        <w:rPr>
          <w:noProof/>
        </w:rPr>
        <w:t xml:space="preserve">the </w:t>
      </w:r>
      <w:r w:rsidRPr="00885241">
        <w:rPr>
          <w:noProof/>
        </w:rPr>
        <w:t xml:space="preserve">under-implementation of </w:t>
      </w:r>
      <w:r>
        <w:rPr>
          <w:noProof/>
        </w:rPr>
        <w:t>R</w:t>
      </w:r>
      <w:r>
        <w:rPr>
          <w:rFonts w:ascii="Calibri" w:hAnsi="Calibri" w:cs="Calibri"/>
          <w:noProof/>
        </w:rPr>
        <w:t> </w:t>
      </w:r>
      <w:r>
        <w:rPr>
          <w:noProof/>
        </w:rPr>
        <w:t>&amp;</w:t>
      </w:r>
      <w:r>
        <w:rPr>
          <w:rFonts w:ascii="Calibri" w:hAnsi="Calibri" w:cs="Calibri"/>
          <w:noProof/>
        </w:rPr>
        <w:t> </w:t>
      </w:r>
      <w:r>
        <w:rPr>
          <w:noProof/>
        </w:rPr>
        <w:t>I</w:t>
      </w:r>
      <w:r w:rsidRPr="00885241">
        <w:rPr>
          <w:noProof/>
        </w:rPr>
        <w:t xml:space="preserve"> projects due to the COVID-19 pandemic, the Commission has continued to allow maximum flexibility in relation to the implementation</w:t>
      </w:r>
      <w:r>
        <w:rPr>
          <w:noProof/>
        </w:rPr>
        <w:t xml:space="preserve"> of initiatives</w:t>
      </w:r>
      <w:r w:rsidRPr="00885241">
        <w:rPr>
          <w:noProof/>
        </w:rPr>
        <w:t xml:space="preserve">. This was the case </w:t>
      </w:r>
      <w:r>
        <w:rPr>
          <w:noProof/>
        </w:rPr>
        <w:t xml:space="preserve">in particular in relation to </w:t>
      </w:r>
      <w:r w:rsidRPr="00885241">
        <w:rPr>
          <w:noProof/>
        </w:rPr>
        <w:t>accepting</w:t>
      </w:r>
      <w:r>
        <w:rPr>
          <w:noProof/>
        </w:rPr>
        <w:t>,</w:t>
      </w:r>
      <w:r w:rsidRPr="00885241">
        <w:rPr>
          <w:noProof/>
        </w:rPr>
        <w:t xml:space="preserve"> as eligible costs, the costs of hours worked for Horizon 2020 </w:t>
      </w:r>
      <w:r>
        <w:rPr>
          <w:noProof/>
        </w:rPr>
        <w:t>initiatives</w:t>
      </w:r>
      <w:r w:rsidRPr="00885241" w:rsidDel="00BA5660">
        <w:rPr>
          <w:noProof/>
        </w:rPr>
        <w:t xml:space="preserve"> </w:t>
      </w:r>
      <w:r w:rsidRPr="00885241">
        <w:rPr>
          <w:noProof/>
        </w:rPr>
        <w:t>via teleworking during the pandemic</w:t>
      </w:r>
      <w:r>
        <w:rPr>
          <w:noProof/>
        </w:rPr>
        <w:t>,</w:t>
      </w:r>
      <w:r w:rsidRPr="00885241">
        <w:rPr>
          <w:noProof/>
        </w:rPr>
        <w:t xml:space="preserve"> even where it was not the usual practice of beneficiaries. In addition, the Commission continued </w:t>
      </w:r>
      <w:r>
        <w:rPr>
          <w:noProof/>
        </w:rPr>
        <w:t xml:space="preserve">to </w:t>
      </w:r>
      <w:r w:rsidRPr="00885241">
        <w:rPr>
          <w:noProof/>
        </w:rPr>
        <w:t>accept extension</w:t>
      </w:r>
      <w:r>
        <w:rPr>
          <w:noProof/>
        </w:rPr>
        <w:t>s to the</w:t>
      </w:r>
      <w:r w:rsidRPr="00885241">
        <w:rPr>
          <w:noProof/>
        </w:rPr>
        <w:t xml:space="preserve"> duration of research projects. This also means that the full implementation of payment appropriations will take longer </w:t>
      </w:r>
      <w:r>
        <w:rPr>
          <w:noProof/>
        </w:rPr>
        <w:t>following</w:t>
      </w:r>
      <w:r w:rsidRPr="00885241">
        <w:rPr>
          <w:noProof/>
        </w:rPr>
        <w:t xml:space="preserve"> the end of the programme.</w:t>
      </w:r>
    </w:p>
    <w:p w14:paraId="6606BE3C" w14:textId="77777777" w:rsidR="00C016C5" w:rsidRPr="00885241" w:rsidRDefault="00C016C5" w:rsidP="00C016C5">
      <w:pPr>
        <w:pStyle w:val="ppoHeading5"/>
        <w:rPr>
          <w:noProof/>
        </w:rPr>
      </w:pPr>
      <w:r w:rsidRPr="00885241">
        <w:rPr>
          <w:noProof/>
        </w:rPr>
        <w:t>Performance assessment</w:t>
      </w:r>
    </w:p>
    <w:p w14:paraId="2BBCE4D5" w14:textId="77777777" w:rsidR="00C016C5" w:rsidRPr="00885241" w:rsidRDefault="00C016C5" w:rsidP="00C016C5">
      <w:pPr>
        <w:pStyle w:val="ppoHeading6"/>
        <w:rPr>
          <w:noProof/>
        </w:rPr>
      </w:pPr>
      <w:r w:rsidRPr="00885241">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C016C5" w:rsidRPr="00885241" w14:paraId="09A57DD5" w14:textId="77777777" w:rsidTr="004C3C26">
        <w:trPr>
          <w:cnfStyle w:val="100000000000" w:firstRow="1" w:lastRow="0" w:firstColumn="0" w:lastColumn="0" w:oddVBand="0" w:evenVBand="0" w:oddHBand="0" w:evenHBand="0" w:firstRowFirstColumn="0" w:firstRowLastColumn="0" w:lastRowFirstColumn="0" w:lastRowLastColumn="0"/>
        </w:trPr>
        <w:tc>
          <w:tcPr>
            <w:tcW w:w="2330" w:type="dxa"/>
          </w:tcPr>
          <w:p w14:paraId="08A37B7A" w14:textId="77777777" w:rsidR="00C016C5" w:rsidRPr="00885241" w:rsidRDefault="00C016C5" w:rsidP="00813D25">
            <w:pPr>
              <w:rPr>
                <w:noProof/>
              </w:rPr>
            </w:pPr>
          </w:p>
        </w:tc>
        <w:tc>
          <w:tcPr>
            <w:tcW w:w="1100" w:type="dxa"/>
          </w:tcPr>
          <w:p w14:paraId="02C49E5D" w14:textId="77777777" w:rsidR="00C016C5" w:rsidRPr="00885241" w:rsidRDefault="00C016C5" w:rsidP="00813D25">
            <w:pPr>
              <w:rPr>
                <w:noProof/>
              </w:rPr>
            </w:pPr>
            <w:r w:rsidRPr="00885241">
              <w:rPr>
                <w:noProof/>
              </w:rPr>
              <w:t>Baseline</w:t>
            </w:r>
          </w:p>
        </w:tc>
        <w:tc>
          <w:tcPr>
            <w:tcW w:w="1526" w:type="dxa"/>
          </w:tcPr>
          <w:p w14:paraId="4BFBFB40" w14:textId="77777777" w:rsidR="00C016C5" w:rsidRPr="00885241" w:rsidRDefault="00C016C5" w:rsidP="00813D25">
            <w:pPr>
              <w:rPr>
                <w:noProof/>
              </w:rPr>
            </w:pPr>
            <w:r w:rsidRPr="00885241">
              <w:rPr>
                <w:noProof/>
              </w:rPr>
              <w:t>Progress (*)</w:t>
            </w:r>
          </w:p>
        </w:tc>
        <w:tc>
          <w:tcPr>
            <w:tcW w:w="1532" w:type="dxa"/>
          </w:tcPr>
          <w:p w14:paraId="1CE29933" w14:textId="77777777" w:rsidR="00C016C5" w:rsidRPr="00885241" w:rsidRDefault="00C016C5" w:rsidP="00813D25">
            <w:pPr>
              <w:rPr>
                <w:noProof/>
              </w:rPr>
            </w:pPr>
            <w:r w:rsidRPr="00885241">
              <w:rPr>
                <w:noProof/>
              </w:rPr>
              <w:t>Target</w:t>
            </w:r>
            <w:r>
              <w:rPr>
                <w:noProof/>
              </w:rPr>
              <w:t xml:space="preserve"> (**)</w:t>
            </w:r>
          </w:p>
        </w:tc>
        <w:tc>
          <w:tcPr>
            <w:tcW w:w="1572" w:type="dxa"/>
          </w:tcPr>
          <w:p w14:paraId="3C1C06EE" w14:textId="77777777" w:rsidR="00C016C5" w:rsidRPr="00885241" w:rsidRDefault="00C016C5" w:rsidP="00813D25">
            <w:pPr>
              <w:rPr>
                <w:noProof/>
              </w:rPr>
            </w:pPr>
            <w:r w:rsidRPr="00885241">
              <w:rPr>
                <w:noProof/>
              </w:rPr>
              <w:t>Results</w:t>
            </w:r>
          </w:p>
        </w:tc>
        <w:tc>
          <w:tcPr>
            <w:tcW w:w="1579" w:type="dxa"/>
          </w:tcPr>
          <w:p w14:paraId="1A42A44A" w14:textId="77777777" w:rsidR="00C016C5" w:rsidRPr="00885241" w:rsidRDefault="00C016C5" w:rsidP="00813D25">
            <w:pPr>
              <w:rPr>
                <w:noProof/>
              </w:rPr>
            </w:pPr>
            <w:r w:rsidRPr="00885241">
              <w:rPr>
                <w:noProof/>
              </w:rPr>
              <w:t>Assessment</w:t>
            </w:r>
          </w:p>
        </w:tc>
      </w:tr>
      <w:tr w:rsidR="004C3C26" w:rsidRPr="00885241" w14:paraId="3C5719A8" w14:textId="77777777" w:rsidTr="004C3C26">
        <w:trPr>
          <w:cnfStyle w:val="000000100000" w:firstRow="0" w:lastRow="0" w:firstColumn="0" w:lastColumn="0" w:oddVBand="0" w:evenVBand="0" w:oddHBand="1" w:evenHBand="0" w:firstRowFirstColumn="0" w:firstRowLastColumn="0" w:lastRowFirstColumn="0" w:lastRowLastColumn="0"/>
        </w:trPr>
        <w:tc>
          <w:tcPr>
            <w:tcW w:w="2330" w:type="dxa"/>
          </w:tcPr>
          <w:p w14:paraId="2CD90AC7" w14:textId="77777777" w:rsidR="004C3C26" w:rsidRPr="00885241" w:rsidRDefault="004C3C26" w:rsidP="004C3C26">
            <w:pPr>
              <w:rPr>
                <w:noProof/>
              </w:rPr>
            </w:pPr>
            <w:r w:rsidRPr="00885241">
              <w:rPr>
                <w:noProof/>
              </w:rPr>
              <w:t>Publications in peer-reviewed high</w:t>
            </w:r>
            <w:r>
              <w:rPr>
                <w:noProof/>
              </w:rPr>
              <w:t>-</w:t>
            </w:r>
            <w:r w:rsidRPr="00885241">
              <w:rPr>
                <w:noProof/>
              </w:rPr>
              <w:t>impact journals per EUR</w:t>
            </w:r>
            <w:r>
              <w:rPr>
                <w:rFonts w:ascii="Calibri" w:hAnsi="Calibri" w:cs="Calibri"/>
                <w:noProof/>
              </w:rPr>
              <w:t> </w:t>
            </w:r>
            <w:r w:rsidRPr="00885241">
              <w:rPr>
                <w:noProof/>
              </w:rPr>
              <w:t>10</w:t>
            </w:r>
            <w:r>
              <w:rPr>
                <w:rFonts w:ascii="Calibri" w:hAnsi="Calibri" w:cs="Calibri"/>
                <w:noProof/>
              </w:rPr>
              <w:t> </w:t>
            </w:r>
            <w:r w:rsidRPr="00885241">
              <w:rPr>
                <w:noProof/>
              </w:rPr>
              <w:t xml:space="preserve">million </w:t>
            </w:r>
            <w:r>
              <w:rPr>
                <w:noProof/>
              </w:rPr>
              <w:t xml:space="preserve">of </w:t>
            </w:r>
            <w:r w:rsidRPr="00885241">
              <w:rPr>
                <w:noProof/>
              </w:rPr>
              <w:t xml:space="preserve">funding for </w:t>
            </w:r>
            <w:r>
              <w:rPr>
                <w:noProof/>
              </w:rPr>
              <w:t>f</w:t>
            </w:r>
            <w:r w:rsidRPr="00885241">
              <w:rPr>
                <w:noProof/>
              </w:rPr>
              <w:t xml:space="preserve">uture and </w:t>
            </w:r>
            <w:r>
              <w:rPr>
                <w:noProof/>
              </w:rPr>
              <w:t>e</w:t>
            </w:r>
            <w:r w:rsidRPr="00885241">
              <w:rPr>
                <w:noProof/>
              </w:rPr>
              <w:t xml:space="preserve">merging </w:t>
            </w:r>
            <w:r>
              <w:rPr>
                <w:noProof/>
              </w:rPr>
              <w:t>t</w:t>
            </w:r>
            <w:r w:rsidRPr="00885241">
              <w:rPr>
                <w:noProof/>
              </w:rPr>
              <w:t>echnologies</w:t>
            </w:r>
          </w:p>
        </w:tc>
        <w:tc>
          <w:tcPr>
            <w:tcW w:w="1100" w:type="dxa"/>
          </w:tcPr>
          <w:p w14:paraId="1D7F4930" w14:textId="77777777" w:rsidR="004C3C26" w:rsidRPr="00885241" w:rsidRDefault="004C3C26" w:rsidP="004C3C26">
            <w:pPr>
              <w:jc w:val="center"/>
              <w:rPr>
                <w:noProof/>
              </w:rPr>
            </w:pPr>
            <w:r w:rsidRPr="00885241">
              <w:rPr>
                <w:noProof/>
              </w:rPr>
              <w:t>0</w:t>
            </w:r>
          </w:p>
        </w:tc>
        <w:tc>
          <w:tcPr>
            <w:tcW w:w="1526" w:type="dxa"/>
          </w:tcPr>
          <w:p w14:paraId="3727888F" w14:textId="77777777" w:rsidR="004C3C26" w:rsidRPr="00885241" w:rsidRDefault="004C3C26" w:rsidP="004C3C26">
            <w:pPr>
              <w:jc w:val="center"/>
              <w:rPr>
                <w:b/>
                <w:noProof/>
              </w:rPr>
            </w:pPr>
            <w:r w:rsidRPr="00885241">
              <w:rPr>
                <w:b/>
                <w:noProof/>
              </w:rPr>
              <w:t>81%</w:t>
            </w:r>
          </w:p>
        </w:tc>
        <w:tc>
          <w:tcPr>
            <w:tcW w:w="1532" w:type="dxa"/>
          </w:tcPr>
          <w:p w14:paraId="02AEB2CA" w14:textId="12B33E1A" w:rsidR="004C3C26" w:rsidRPr="00885241" w:rsidRDefault="004C3C26" w:rsidP="004C3C26">
            <w:pPr>
              <w:jc w:val="center"/>
              <w:rPr>
                <w:noProof/>
              </w:rPr>
            </w:pPr>
            <w:r w:rsidRPr="00885241">
              <w:rPr>
                <w:noProof/>
              </w:rPr>
              <w:t>25</w:t>
            </w:r>
            <w:r>
              <w:rPr>
                <w:noProof/>
              </w:rPr>
              <w:t xml:space="preserve"> in 2025</w:t>
            </w:r>
          </w:p>
        </w:tc>
        <w:tc>
          <w:tcPr>
            <w:tcW w:w="1572" w:type="dxa"/>
          </w:tcPr>
          <w:p w14:paraId="030DA4E3" w14:textId="77777777" w:rsidR="004C3C26" w:rsidRPr="00885241" w:rsidRDefault="004C3C26" w:rsidP="004C3C26">
            <w:pPr>
              <w:jc w:val="center"/>
              <w:rPr>
                <w:noProof/>
              </w:rPr>
            </w:pPr>
            <w:r w:rsidRPr="00885241">
              <w:rPr>
                <w:noProof/>
              </w:rPr>
              <w:t>20.2 out of 25 publications</w:t>
            </w:r>
          </w:p>
        </w:tc>
        <w:tc>
          <w:tcPr>
            <w:tcW w:w="1579" w:type="dxa"/>
          </w:tcPr>
          <w:p w14:paraId="3D7B401B" w14:textId="77777777" w:rsidR="004C3C26" w:rsidRPr="00885241" w:rsidRDefault="004C3C26" w:rsidP="004C3C26">
            <w:pPr>
              <w:jc w:val="center"/>
              <w:rPr>
                <w:noProof/>
              </w:rPr>
            </w:pPr>
            <w:r w:rsidRPr="00885241">
              <w:rPr>
                <w:noProof/>
              </w:rPr>
              <w:t>On track</w:t>
            </w:r>
          </w:p>
        </w:tc>
      </w:tr>
      <w:tr w:rsidR="004C3C26" w:rsidRPr="00885241" w14:paraId="071672CF" w14:textId="77777777" w:rsidTr="004C3C26">
        <w:trPr>
          <w:cnfStyle w:val="000000010000" w:firstRow="0" w:lastRow="0" w:firstColumn="0" w:lastColumn="0" w:oddVBand="0" w:evenVBand="0" w:oddHBand="0" w:evenHBand="1" w:firstRowFirstColumn="0" w:firstRowLastColumn="0" w:lastRowFirstColumn="0" w:lastRowLastColumn="0"/>
        </w:trPr>
        <w:tc>
          <w:tcPr>
            <w:tcW w:w="2330" w:type="dxa"/>
          </w:tcPr>
          <w:p w14:paraId="748009A9" w14:textId="77777777" w:rsidR="004C3C26" w:rsidRPr="00885241" w:rsidRDefault="004C3C26" w:rsidP="004C3C26">
            <w:pPr>
              <w:rPr>
                <w:noProof/>
              </w:rPr>
            </w:pPr>
            <w:r w:rsidRPr="00885241">
              <w:rPr>
                <w:noProof/>
              </w:rPr>
              <w:t>Patent applications in the different enabling and industrial technologies per EUR</w:t>
            </w:r>
            <w:r>
              <w:rPr>
                <w:rFonts w:ascii="Calibri" w:hAnsi="Calibri" w:cs="Calibri"/>
                <w:noProof/>
              </w:rPr>
              <w:t> </w:t>
            </w:r>
            <w:r w:rsidRPr="00885241">
              <w:rPr>
                <w:noProof/>
              </w:rPr>
              <w:t>10</w:t>
            </w:r>
            <w:r>
              <w:rPr>
                <w:rFonts w:ascii="Calibri" w:hAnsi="Calibri" w:cs="Calibri"/>
                <w:noProof/>
              </w:rPr>
              <w:t> </w:t>
            </w:r>
            <w:r w:rsidRPr="00885241">
              <w:rPr>
                <w:noProof/>
              </w:rPr>
              <w:t xml:space="preserve">million </w:t>
            </w:r>
            <w:r>
              <w:rPr>
                <w:noProof/>
              </w:rPr>
              <w:t xml:space="preserve">of </w:t>
            </w:r>
            <w:r w:rsidRPr="00885241">
              <w:rPr>
                <w:noProof/>
              </w:rPr>
              <w:t>funding</w:t>
            </w:r>
          </w:p>
        </w:tc>
        <w:tc>
          <w:tcPr>
            <w:tcW w:w="1100" w:type="dxa"/>
          </w:tcPr>
          <w:p w14:paraId="6EFF8B1B" w14:textId="77777777" w:rsidR="004C3C26" w:rsidRPr="00885241" w:rsidRDefault="004C3C26" w:rsidP="004C3C26">
            <w:pPr>
              <w:jc w:val="center"/>
              <w:rPr>
                <w:noProof/>
              </w:rPr>
            </w:pPr>
            <w:r w:rsidRPr="00885241">
              <w:rPr>
                <w:noProof/>
              </w:rPr>
              <w:t>0</w:t>
            </w:r>
          </w:p>
        </w:tc>
        <w:tc>
          <w:tcPr>
            <w:tcW w:w="1526" w:type="dxa"/>
          </w:tcPr>
          <w:p w14:paraId="5C888E9B" w14:textId="77777777" w:rsidR="004C3C26" w:rsidRPr="00885241" w:rsidRDefault="004C3C26" w:rsidP="004C3C26">
            <w:pPr>
              <w:jc w:val="center"/>
              <w:rPr>
                <w:b/>
                <w:noProof/>
              </w:rPr>
            </w:pPr>
            <w:r w:rsidRPr="00885241">
              <w:rPr>
                <w:b/>
                <w:noProof/>
              </w:rPr>
              <w:t>28%</w:t>
            </w:r>
          </w:p>
        </w:tc>
        <w:tc>
          <w:tcPr>
            <w:tcW w:w="1532" w:type="dxa"/>
          </w:tcPr>
          <w:p w14:paraId="7DD3BDA0" w14:textId="0162273E" w:rsidR="004C3C26" w:rsidRPr="00885241" w:rsidRDefault="004C3C26" w:rsidP="004C3C26">
            <w:pPr>
              <w:jc w:val="center"/>
              <w:rPr>
                <w:noProof/>
              </w:rPr>
            </w:pPr>
            <w:r w:rsidRPr="00885241">
              <w:rPr>
                <w:noProof/>
              </w:rPr>
              <w:t>3</w:t>
            </w:r>
            <w:r>
              <w:rPr>
                <w:noProof/>
              </w:rPr>
              <w:t xml:space="preserve"> in 2025</w:t>
            </w:r>
          </w:p>
        </w:tc>
        <w:tc>
          <w:tcPr>
            <w:tcW w:w="1572" w:type="dxa"/>
          </w:tcPr>
          <w:p w14:paraId="3F1EA3DA" w14:textId="77777777" w:rsidR="004C3C26" w:rsidRPr="00885241" w:rsidRDefault="004C3C26" w:rsidP="004C3C26">
            <w:pPr>
              <w:jc w:val="center"/>
              <w:rPr>
                <w:noProof/>
              </w:rPr>
            </w:pPr>
            <w:r w:rsidRPr="00885241">
              <w:rPr>
                <w:noProof/>
              </w:rPr>
              <w:t>0.85 out of 3 patent applications</w:t>
            </w:r>
          </w:p>
        </w:tc>
        <w:tc>
          <w:tcPr>
            <w:tcW w:w="1579" w:type="dxa"/>
          </w:tcPr>
          <w:p w14:paraId="1580BE6F" w14:textId="77777777" w:rsidR="004C3C26" w:rsidRPr="00885241" w:rsidRDefault="004C3C26" w:rsidP="004C3C26">
            <w:pPr>
              <w:jc w:val="center"/>
              <w:rPr>
                <w:noProof/>
              </w:rPr>
            </w:pPr>
            <w:r w:rsidRPr="00885241">
              <w:rPr>
                <w:noProof/>
              </w:rPr>
              <w:t>Moderate progress</w:t>
            </w:r>
          </w:p>
        </w:tc>
      </w:tr>
      <w:tr w:rsidR="004C3C26" w:rsidRPr="00885241" w14:paraId="281E52B7" w14:textId="77777777" w:rsidTr="004C3C26">
        <w:trPr>
          <w:cnfStyle w:val="000000100000" w:firstRow="0" w:lastRow="0" w:firstColumn="0" w:lastColumn="0" w:oddVBand="0" w:evenVBand="0" w:oddHBand="1" w:evenHBand="0" w:firstRowFirstColumn="0" w:firstRowLastColumn="0" w:lastRowFirstColumn="0" w:lastRowLastColumn="0"/>
        </w:trPr>
        <w:tc>
          <w:tcPr>
            <w:tcW w:w="2330" w:type="dxa"/>
          </w:tcPr>
          <w:p w14:paraId="033F1172" w14:textId="77777777" w:rsidR="004C3C26" w:rsidRPr="00885241" w:rsidRDefault="004C3C26" w:rsidP="004C3C26">
            <w:pPr>
              <w:tabs>
                <w:tab w:val="center" w:pos="1057"/>
              </w:tabs>
              <w:rPr>
                <w:noProof/>
              </w:rPr>
            </w:pPr>
            <w:r w:rsidRPr="00885241">
              <w:rPr>
                <w:noProof/>
              </w:rPr>
              <w:t xml:space="preserve">Share of participating </w:t>
            </w:r>
            <w:r w:rsidRPr="00BA5660">
              <w:rPr>
                <w:noProof/>
              </w:rPr>
              <w:t>small and medium-sized enterprises</w:t>
            </w:r>
            <w:r w:rsidRPr="00885241">
              <w:rPr>
                <w:noProof/>
              </w:rPr>
              <w:t xml:space="preserve"> introducing innovations new to the company or the market (covering the period of the project plus </w:t>
            </w:r>
            <w:r>
              <w:rPr>
                <w:noProof/>
              </w:rPr>
              <w:t>3</w:t>
            </w:r>
            <w:r>
              <w:rPr>
                <w:rFonts w:ascii="Calibri" w:hAnsi="Calibri" w:cs="Calibri"/>
                <w:noProof/>
              </w:rPr>
              <w:t> </w:t>
            </w:r>
            <w:r w:rsidRPr="00885241">
              <w:rPr>
                <w:noProof/>
              </w:rPr>
              <w:t>years)</w:t>
            </w:r>
          </w:p>
        </w:tc>
        <w:tc>
          <w:tcPr>
            <w:tcW w:w="1100" w:type="dxa"/>
          </w:tcPr>
          <w:p w14:paraId="258CF644" w14:textId="43B6F3D3" w:rsidR="004C3C26" w:rsidRPr="00885241" w:rsidRDefault="004C3C26" w:rsidP="004C3C26">
            <w:pPr>
              <w:jc w:val="center"/>
              <w:rPr>
                <w:noProof/>
              </w:rPr>
            </w:pPr>
            <w:r w:rsidRPr="00885241">
              <w:rPr>
                <w:noProof/>
              </w:rPr>
              <w:t>0</w:t>
            </w:r>
            <w:r w:rsidR="006C7D00">
              <w:rPr>
                <w:noProof/>
              </w:rPr>
              <w:t>%</w:t>
            </w:r>
          </w:p>
        </w:tc>
        <w:tc>
          <w:tcPr>
            <w:tcW w:w="1526" w:type="dxa"/>
          </w:tcPr>
          <w:p w14:paraId="2BD05CDB" w14:textId="77777777" w:rsidR="004C3C26" w:rsidRPr="00885241" w:rsidRDefault="004C3C26" w:rsidP="004C3C26">
            <w:pPr>
              <w:jc w:val="center"/>
              <w:rPr>
                <w:b/>
                <w:noProof/>
              </w:rPr>
            </w:pPr>
            <w:r w:rsidRPr="00885241">
              <w:rPr>
                <w:b/>
                <w:noProof/>
              </w:rPr>
              <w:t>214%</w:t>
            </w:r>
          </w:p>
        </w:tc>
        <w:tc>
          <w:tcPr>
            <w:tcW w:w="1532" w:type="dxa"/>
          </w:tcPr>
          <w:p w14:paraId="73871958" w14:textId="2D88270D" w:rsidR="004C3C26" w:rsidRPr="00885241" w:rsidRDefault="004C3C26" w:rsidP="004C3C26">
            <w:pPr>
              <w:jc w:val="center"/>
              <w:rPr>
                <w:noProof/>
              </w:rPr>
            </w:pPr>
            <w:r w:rsidRPr="00885241">
              <w:rPr>
                <w:noProof/>
              </w:rPr>
              <w:t>50%</w:t>
            </w:r>
            <w:r>
              <w:rPr>
                <w:noProof/>
              </w:rPr>
              <w:t xml:space="preserve"> in 2025</w:t>
            </w:r>
          </w:p>
        </w:tc>
        <w:tc>
          <w:tcPr>
            <w:tcW w:w="1572" w:type="dxa"/>
          </w:tcPr>
          <w:p w14:paraId="20E4325E" w14:textId="77777777" w:rsidR="004C3C26" w:rsidRPr="00885241" w:rsidRDefault="004C3C26" w:rsidP="004C3C26">
            <w:pPr>
              <w:jc w:val="center"/>
              <w:rPr>
                <w:noProof/>
              </w:rPr>
            </w:pPr>
            <w:r w:rsidRPr="00885241">
              <w:rPr>
                <w:noProof/>
              </w:rPr>
              <w:t>107%</w:t>
            </w:r>
            <w:r>
              <w:rPr>
                <w:noProof/>
              </w:rPr>
              <w:t xml:space="preserve"> compared to 50% share</w:t>
            </w:r>
          </w:p>
        </w:tc>
        <w:tc>
          <w:tcPr>
            <w:tcW w:w="1579" w:type="dxa"/>
          </w:tcPr>
          <w:p w14:paraId="6D6CFB1D" w14:textId="77777777" w:rsidR="004C3C26" w:rsidRPr="00885241" w:rsidRDefault="004C3C26" w:rsidP="004C3C26">
            <w:pPr>
              <w:jc w:val="center"/>
              <w:rPr>
                <w:noProof/>
              </w:rPr>
            </w:pPr>
            <w:r w:rsidRPr="00885241">
              <w:rPr>
                <w:noProof/>
              </w:rPr>
              <w:t>Achieved</w:t>
            </w:r>
          </w:p>
          <w:p w14:paraId="08EA85DE" w14:textId="77777777" w:rsidR="004C3C26" w:rsidRPr="00885241" w:rsidRDefault="004C3C26" w:rsidP="004C3C26">
            <w:pPr>
              <w:jc w:val="center"/>
              <w:rPr>
                <w:noProof/>
              </w:rPr>
            </w:pPr>
          </w:p>
        </w:tc>
      </w:tr>
      <w:tr w:rsidR="004C3C26" w:rsidRPr="00885241" w14:paraId="34D38330" w14:textId="77777777" w:rsidTr="004C3C26">
        <w:trPr>
          <w:cnfStyle w:val="000000010000" w:firstRow="0" w:lastRow="0" w:firstColumn="0" w:lastColumn="0" w:oddVBand="0" w:evenVBand="0" w:oddHBand="0" w:evenHBand="1" w:firstRowFirstColumn="0" w:firstRowLastColumn="0" w:lastRowFirstColumn="0" w:lastRowLastColumn="0"/>
        </w:trPr>
        <w:tc>
          <w:tcPr>
            <w:tcW w:w="2330" w:type="dxa"/>
          </w:tcPr>
          <w:p w14:paraId="2E5811BF" w14:textId="77777777" w:rsidR="004C3C26" w:rsidRPr="00885241" w:rsidRDefault="004C3C26" w:rsidP="004C3C26">
            <w:pPr>
              <w:rPr>
                <w:noProof/>
              </w:rPr>
            </w:pPr>
            <w:r w:rsidRPr="00885241">
              <w:rPr>
                <w:noProof/>
              </w:rPr>
              <w:t>Publications in peer-reviewed high</w:t>
            </w:r>
            <w:r>
              <w:rPr>
                <w:noProof/>
              </w:rPr>
              <w:t>-</w:t>
            </w:r>
            <w:r w:rsidRPr="00885241">
              <w:rPr>
                <w:noProof/>
              </w:rPr>
              <w:t>impact journals for all societal challenges</w:t>
            </w:r>
          </w:p>
        </w:tc>
        <w:tc>
          <w:tcPr>
            <w:tcW w:w="1100" w:type="dxa"/>
          </w:tcPr>
          <w:p w14:paraId="03AD8902" w14:textId="77777777" w:rsidR="004C3C26" w:rsidRPr="00885241" w:rsidRDefault="004C3C26" w:rsidP="004C3C26">
            <w:pPr>
              <w:jc w:val="center"/>
              <w:rPr>
                <w:noProof/>
              </w:rPr>
            </w:pPr>
            <w:r w:rsidRPr="00885241">
              <w:rPr>
                <w:noProof/>
              </w:rPr>
              <w:t>0</w:t>
            </w:r>
          </w:p>
        </w:tc>
        <w:tc>
          <w:tcPr>
            <w:tcW w:w="1526" w:type="dxa"/>
          </w:tcPr>
          <w:p w14:paraId="336DC32E" w14:textId="77777777" w:rsidR="004C3C26" w:rsidRPr="00885241" w:rsidRDefault="004C3C26" w:rsidP="004C3C26">
            <w:pPr>
              <w:jc w:val="center"/>
              <w:rPr>
                <w:b/>
                <w:noProof/>
              </w:rPr>
            </w:pPr>
            <w:r w:rsidRPr="00885241">
              <w:rPr>
                <w:b/>
                <w:noProof/>
              </w:rPr>
              <w:t>25%</w:t>
            </w:r>
          </w:p>
        </w:tc>
        <w:tc>
          <w:tcPr>
            <w:tcW w:w="1532" w:type="dxa"/>
          </w:tcPr>
          <w:p w14:paraId="14E5910F" w14:textId="5B4EFA09" w:rsidR="004C3C26" w:rsidRPr="00885241" w:rsidRDefault="004C3C26" w:rsidP="004C3C26">
            <w:pPr>
              <w:jc w:val="center"/>
              <w:rPr>
                <w:noProof/>
              </w:rPr>
            </w:pPr>
            <w:r w:rsidRPr="00885241">
              <w:rPr>
                <w:noProof/>
              </w:rPr>
              <w:t>20</w:t>
            </w:r>
            <w:r>
              <w:rPr>
                <w:noProof/>
              </w:rPr>
              <w:t xml:space="preserve"> in 2025</w:t>
            </w:r>
          </w:p>
        </w:tc>
        <w:tc>
          <w:tcPr>
            <w:tcW w:w="1572" w:type="dxa"/>
          </w:tcPr>
          <w:p w14:paraId="45FA9BA7" w14:textId="77777777" w:rsidR="004C3C26" w:rsidRPr="00885241" w:rsidRDefault="004C3C26" w:rsidP="004C3C26">
            <w:pPr>
              <w:jc w:val="center"/>
              <w:rPr>
                <w:noProof/>
              </w:rPr>
            </w:pPr>
            <w:r w:rsidRPr="00885241">
              <w:rPr>
                <w:noProof/>
              </w:rPr>
              <w:t>5 out of 20 publications</w:t>
            </w:r>
          </w:p>
        </w:tc>
        <w:tc>
          <w:tcPr>
            <w:tcW w:w="1579" w:type="dxa"/>
          </w:tcPr>
          <w:p w14:paraId="3A324024" w14:textId="77777777" w:rsidR="004C3C26" w:rsidRPr="00885241" w:rsidRDefault="004C3C26" w:rsidP="004C3C26">
            <w:pPr>
              <w:jc w:val="center"/>
              <w:rPr>
                <w:noProof/>
              </w:rPr>
            </w:pPr>
            <w:r w:rsidRPr="00885241">
              <w:rPr>
                <w:noProof/>
              </w:rPr>
              <w:t>Moderate progress</w:t>
            </w:r>
          </w:p>
        </w:tc>
      </w:tr>
      <w:tr w:rsidR="004C3C26" w:rsidRPr="00885241" w14:paraId="42719C4D" w14:textId="77777777" w:rsidTr="004C3C26">
        <w:trPr>
          <w:cnfStyle w:val="000000100000" w:firstRow="0" w:lastRow="0" w:firstColumn="0" w:lastColumn="0" w:oddVBand="0" w:evenVBand="0" w:oddHBand="1" w:evenHBand="0" w:firstRowFirstColumn="0" w:firstRowLastColumn="0" w:lastRowFirstColumn="0" w:lastRowLastColumn="0"/>
        </w:trPr>
        <w:tc>
          <w:tcPr>
            <w:tcW w:w="2330" w:type="dxa"/>
          </w:tcPr>
          <w:p w14:paraId="315CA7AC" w14:textId="77777777" w:rsidR="004C3C26" w:rsidRPr="00885241" w:rsidRDefault="004C3C26" w:rsidP="004C3C26">
            <w:pPr>
              <w:rPr>
                <w:noProof/>
              </w:rPr>
            </w:pPr>
            <w:r w:rsidRPr="00885241">
              <w:rPr>
                <w:noProof/>
              </w:rPr>
              <w:t>Patent applications and patents awarded for all societal challenges</w:t>
            </w:r>
          </w:p>
        </w:tc>
        <w:tc>
          <w:tcPr>
            <w:tcW w:w="1100" w:type="dxa"/>
          </w:tcPr>
          <w:p w14:paraId="4A994627" w14:textId="77777777" w:rsidR="004C3C26" w:rsidRPr="00885241" w:rsidRDefault="004C3C26" w:rsidP="004C3C26">
            <w:pPr>
              <w:jc w:val="center"/>
              <w:rPr>
                <w:noProof/>
              </w:rPr>
            </w:pPr>
            <w:r w:rsidRPr="00885241">
              <w:rPr>
                <w:noProof/>
              </w:rPr>
              <w:t>0</w:t>
            </w:r>
          </w:p>
        </w:tc>
        <w:tc>
          <w:tcPr>
            <w:tcW w:w="1526" w:type="dxa"/>
          </w:tcPr>
          <w:p w14:paraId="752529BF" w14:textId="77777777" w:rsidR="004C3C26" w:rsidRPr="00885241" w:rsidRDefault="004C3C26" w:rsidP="004C3C26">
            <w:pPr>
              <w:jc w:val="center"/>
              <w:rPr>
                <w:b/>
                <w:noProof/>
              </w:rPr>
            </w:pPr>
            <w:r w:rsidRPr="00885241">
              <w:rPr>
                <w:b/>
                <w:noProof/>
              </w:rPr>
              <w:t>17%</w:t>
            </w:r>
          </w:p>
        </w:tc>
        <w:tc>
          <w:tcPr>
            <w:tcW w:w="1532" w:type="dxa"/>
          </w:tcPr>
          <w:p w14:paraId="2DBF6D96" w14:textId="7FDB0837" w:rsidR="004C3C26" w:rsidRPr="00885241" w:rsidRDefault="004C3C26" w:rsidP="004C3C26">
            <w:pPr>
              <w:jc w:val="center"/>
              <w:rPr>
                <w:noProof/>
              </w:rPr>
            </w:pPr>
            <w:r w:rsidRPr="00885241">
              <w:rPr>
                <w:noProof/>
              </w:rPr>
              <w:t>3</w:t>
            </w:r>
            <w:r>
              <w:rPr>
                <w:noProof/>
              </w:rPr>
              <w:t xml:space="preserve"> in 2025</w:t>
            </w:r>
          </w:p>
        </w:tc>
        <w:tc>
          <w:tcPr>
            <w:tcW w:w="1572" w:type="dxa"/>
          </w:tcPr>
          <w:p w14:paraId="23DBEE3B" w14:textId="77777777" w:rsidR="004C3C26" w:rsidRPr="00885241" w:rsidRDefault="004C3C26" w:rsidP="004C3C26">
            <w:pPr>
              <w:jc w:val="center"/>
              <w:rPr>
                <w:noProof/>
              </w:rPr>
            </w:pPr>
            <w:r w:rsidRPr="00885241">
              <w:rPr>
                <w:noProof/>
              </w:rPr>
              <w:t>0.5 out of 3 patent applications</w:t>
            </w:r>
          </w:p>
        </w:tc>
        <w:tc>
          <w:tcPr>
            <w:tcW w:w="1579" w:type="dxa"/>
          </w:tcPr>
          <w:p w14:paraId="474F2600" w14:textId="77777777" w:rsidR="004C3C26" w:rsidRPr="00885241" w:rsidRDefault="004C3C26" w:rsidP="004C3C26">
            <w:pPr>
              <w:tabs>
                <w:tab w:val="left" w:pos="456"/>
                <w:tab w:val="center" w:pos="681"/>
              </w:tabs>
              <w:jc w:val="center"/>
              <w:rPr>
                <w:noProof/>
              </w:rPr>
            </w:pPr>
            <w:r w:rsidRPr="00885241">
              <w:rPr>
                <w:noProof/>
              </w:rPr>
              <w:t>Moderate progress</w:t>
            </w:r>
          </w:p>
        </w:tc>
      </w:tr>
      <w:tr w:rsidR="004C3C26" w:rsidRPr="00885241" w14:paraId="792F8D0F" w14:textId="77777777" w:rsidTr="004C3C26">
        <w:trPr>
          <w:cnfStyle w:val="000000010000" w:firstRow="0" w:lastRow="0" w:firstColumn="0" w:lastColumn="0" w:oddVBand="0" w:evenVBand="0" w:oddHBand="0" w:evenHBand="1" w:firstRowFirstColumn="0" w:firstRowLastColumn="0" w:lastRowFirstColumn="0" w:lastRowLastColumn="0"/>
        </w:trPr>
        <w:tc>
          <w:tcPr>
            <w:tcW w:w="2330" w:type="dxa"/>
          </w:tcPr>
          <w:p w14:paraId="1B8608B2" w14:textId="77777777" w:rsidR="004C3C26" w:rsidRPr="00885241" w:rsidRDefault="004C3C26" w:rsidP="004C3C26">
            <w:pPr>
              <w:rPr>
                <w:noProof/>
              </w:rPr>
            </w:pPr>
            <w:r w:rsidRPr="00885241">
              <w:rPr>
                <w:noProof/>
              </w:rPr>
              <w:t xml:space="preserve">Number of start-up and spin-off companies launched in relation to </w:t>
            </w:r>
            <w:r w:rsidRPr="00A14B93">
              <w:rPr>
                <w:noProof/>
              </w:rPr>
              <w:t>European Institute of Innovation and Technology</w:t>
            </w:r>
            <w:r w:rsidRPr="00885241">
              <w:rPr>
                <w:noProof/>
              </w:rPr>
              <w:t xml:space="preserve"> activities</w:t>
            </w:r>
          </w:p>
        </w:tc>
        <w:tc>
          <w:tcPr>
            <w:tcW w:w="1100" w:type="dxa"/>
          </w:tcPr>
          <w:p w14:paraId="00085C86" w14:textId="77777777" w:rsidR="004C3C26" w:rsidRPr="00885241" w:rsidRDefault="004C3C26" w:rsidP="004C3C26">
            <w:pPr>
              <w:jc w:val="center"/>
              <w:rPr>
                <w:noProof/>
              </w:rPr>
            </w:pPr>
            <w:r w:rsidRPr="00885241">
              <w:rPr>
                <w:noProof/>
              </w:rPr>
              <w:t>0</w:t>
            </w:r>
          </w:p>
        </w:tc>
        <w:tc>
          <w:tcPr>
            <w:tcW w:w="1526" w:type="dxa"/>
          </w:tcPr>
          <w:p w14:paraId="5BD23B92" w14:textId="77777777" w:rsidR="004C3C26" w:rsidRPr="00885241" w:rsidRDefault="004C3C26" w:rsidP="004C3C26">
            <w:pPr>
              <w:jc w:val="center"/>
              <w:rPr>
                <w:b/>
                <w:noProof/>
              </w:rPr>
            </w:pPr>
            <w:r w:rsidRPr="00885241">
              <w:rPr>
                <w:b/>
                <w:noProof/>
              </w:rPr>
              <w:t>78%</w:t>
            </w:r>
          </w:p>
        </w:tc>
        <w:tc>
          <w:tcPr>
            <w:tcW w:w="1532" w:type="dxa"/>
          </w:tcPr>
          <w:p w14:paraId="2B444767" w14:textId="10D71F84" w:rsidR="004C3C26" w:rsidRPr="00885241" w:rsidRDefault="004C3C26" w:rsidP="004C3C26">
            <w:pPr>
              <w:jc w:val="center"/>
              <w:rPr>
                <w:noProof/>
              </w:rPr>
            </w:pPr>
            <w:r w:rsidRPr="00885241">
              <w:rPr>
                <w:noProof/>
              </w:rPr>
              <w:t>600</w:t>
            </w:r>
            <w:r>
              <w:rPr>
                <w:noProof/>
              </w:rPr>
              <w:t xml:space="preserve"> in 2025</w:t>
            </w:r>
          </w:p>
        </w:tc>
        <w:tc>
          <w:tcPr>
            <w:tcW w:w="1572" w:type="dxa"/>
          </w:tcPr>
          <w:p w14:paraId="75740917" w14:textId="77777777" w:rsidR="004C3C26" w:rsidRPr="00885241" w:rsidRDefault="004C3C26" w:rsidP="004C3C26">
            <w:pPr>
              <w:jc w:val="center"/>
              <w:rPr>
                <w:noProof/>
              </w:rPr>
            </w:pPr>
            <w:r w:rsidRPr="00885241">
              <w:rPr>
                <w:noProof/>
              </w:rPr>
              <w:t>466 out of 600 start-ups and spin-offs</w:t>
            </w:r>
          </w:p>
        </w:tc>
        <w:tc>
          <w:tcPr>
            <w:tcW w:w="1579" w:type="dxa"/>
          </w:tcPr>
          <w:p w14:paraId="7F8DACEA" w14:textId="77777777" w:rsidR="004C3C26" w:rsidRPr="00885241" w:rsidRDefault="004C3C26" w:rsidP="004C3C26">
            <w:pPr>
              <w:jc w:val="center"/>
              <w:rPr>
                <w:noProof/>
              </w:rPr>
            </w:pPr>
            <w:r w:rsidRPr="00885241">
              <w:rPr>
                <w:noProof/>
              </w:rPr>
              <w:t>On track</w:t>
            </w:r>
          </w:p>
        </w:tc>
      </w:tr>
    </w:tbl>
    <w:p w14:paraId="304362A0" w14:textId="77777777" w:rsidR="00C016C5" w:rsidRDefault="00C016C5" w:rsidP="00C016C5">
      <w:pPr>
        <w:pStyle w:val="FootnoteText"/>
        <w:rPr>
          <w:noProof/>
        </w:rPr>
      </w:pPr>
      <w:r w:rsidRPr="00885241">
        <w:rPr>
          <w:noProof/>
        </w:rPr>
        <w:t>(*) % of target achieved by the end of 2021</w:t>
      </w:r>
      <w:r>
        <w:rPr>
          <w:noProof/>
        </w:rPr>
        <w:t>.</w:t>
      </w:r>
    </w:p>
    <w:p w14:paraId="242B5670" w14:textId="1F2314CB" w:rsidR="00C016C5" w:rsidRPr="00885241" w:rsidRDefault="00C016C5" w:rsidP="00C016C5">
      <w:pPr>
        <w:pStyle w:val="FootnoteText"/>
        <w:rPr>
          <w:noProof/>
        </w:rPr>
      </w:pPr>
      <w:r>
        <w:rPr>
          <w:noProof/>
        </w:rPr>
        <w:t xml:space="preserve">(**) </w:t>
      </w:r>
      <w:r w:rsidR="004C3C26">
        <w:rPr>
          <w:noProof/>
          <w:lang w:val="en-US"/>
        </w:rPr>
        <w:t>The target is set for the year when the last actions financed under Horizon 2020 will be finished. The final figures will be collected after all of the projects are closed and results reported i.e. several years after the formal end of the programme in 2020</w:t>
      </w:r>
      <w:r w:rsidR="004C3C26" w:rsidRPr="00D5193E">
        <w:rPr>
          <w:noProof/>
        </w:rPr>
        <w:t>.</w:t>
      </w:r>
    </w:p>
    <w:p w14:paraId="2D9FD703" w14:textId="77777777" w:rsidR="00C016C5" w:rsidRPr="00885241" w:rsidRDefault="00C016C5" w:rsidP="00C016C5">
      <w:pPr>
        <w:pStyle w:val="ppoListHyphened-L1"/>
        <w:rPr>
          <w:rStyle w:val="ms-rtethemefontface-1"/>
          <w:noProof/>
        </w:rPr>
      </w:pPr>
      <w:r w:rsidRPr="00885241">
        <w:rPr>
          <w:rStyle w:val="ms-rtethemefontface-1"/>
          <w:noProof/>
        </w:rPr>
        <w:t>Many H</w:t>
      </w:r>
      <w:r>
        <w:rPr>
          <w:rStyle w:val="ms-rtethemefontface-1"/>
          <w:noProof/>
        </w:rPr>
        <w:t xml:space="preserve">orizon </w:t>
      </w:r>
      <w:r w:rsidRPr="00885241">
        <w:rPr>
          <w:rStyle w:val="ms-rtethemefontface-1"/>
          <w:noProof/>
        </w:rPr>
        <w:t>2020 projects are still ongoing, as reflected by the payment rate (82%)</w:t>
      </w:r>
      <w:r>
        <w:rPr>
          <w:rStyle w:val="ms-rtethemefontface-1"/>
          <w:noProof/>
        </w:rPr>
        <w:t>,</w:t>
      </w:r>
      <w:r w:rsidRPr="00885241">
        <w:rPr>
          <w:rStyle w:val="ms-rtethemefontface-1"/>
          <w:noProof/>
        </w:rPr>
        <w:t xml:space="preserve"> which explains why some targets have a deadline after 2020. The Horizon 2020 performance will be measured until </w:t>
      </w:r>
      <w:r w:rsidRPr="00885241">
        <w:rPr>
          <w:noProof/>
        </w:rPr>
        <w:t xml:space="preserve">the last </w:t>
      </w:r>
      <w:r>
        <w:rPr>
          <w:noProof/>
        </w:rPr>
        <w:t>initiatives</w:t>
      </w:r>
      <w:r w:rsidRPr="00885241">
        <w:rPr>
          <w:noProof/>
        </w:rPr>
        <w:t xml:space="preserve"> financed under Horizon 2020 </w:t>
      </w:r>
      <w:r>
        <w:rPr>
          <w:noProof/>
        </w:rPr>
        <w:t>are</w:t>
      </w:r>
      <w:r w:rsidRPr="00885241">
        <w:rPr>
          <w:noProof/>
        </w:rPr>
        <w:t xml:space="preserve"> finished</w:t>
      </w:r>
      <w:r>
        <w:rPr>
          <w:noProof/>
        </w:rPr>
        <w:t>,</w:t>
      </w:r>
      <w:r w:rsidRPr="00885241">
        <w:rPr>
          <w:rStyle w:val="ms-rtethemefontface-1"/>
          <w:noProof/>
        </w:rPr>
        <w:t xml:space="preserve"> i.e. several years after the formal end of the programme in 2020</w:t>
      </w:r>
      <w:r w:rsidRPr="00885241">
        <w:rPr>
          <w:noProof/>
        </w:rPr>
        <w:t xml:space="preserve">. </w:t>
      </w:r>
      <w:r w:rsidRPr="00885241">
        <w:rPr>
          <w:rStyle w:val="ms-rtethemefontface-1"/>
          <w:noProof/>
        </w:rPr>
        <w:t xml:space="preserve">Overall, Horizon 2020 has made good progress towards achieving scientific impacts </w:t>
      </w:r>
      <w:r>
        <w:rPr>
          <w:rStyle w:val="ms-rtethemefontface-1"/>
          <w:noProof/>
        </w:rPr>
        <w:t>by</w:t>
      </w:r>
      <w:r w:rsidRPr="00885241">
        <w:rPr>
          <w:rStyle w:val="ms-rtethemefontface-1"/>
          <w:noProof/>
        </w:rPr>
        <w:t xml:space="preserve"> </w:t>
      </w:r>
      <w:r>
        <w:rPr>
          <w:rStyle w:val="ms-rtethemefontface-1"/>
          <w:noProof/>
        </w:rPr>
        <w:t>improving</w:t>
      </w:r>
      <w:r w:rsidRPr="00885241">
        <w:rPr>
          <w:rStyle w:val="ms-rtethemefontface-1"/>
          <w:noProof/>
        </w:rPr>
        <w:t xml:space="preserve"> </w:t>
      </w:r>
      <w:r>
        <w:rPr>
          <w:rStyle w:val="ms-rtethemefontface-1"/>
          <w:noProof/>
        </w:rPr>
        <w:t>R</w:t>
      </w:r>
      <w:r>
        <w:rPr>
          <w:rStyle w:val="ms-rtethemefontface-1"/>
          <w:rFonts w:ascii="Calibri" w:hAnsi="Calibri" w:cs="Calibri"/>
          <w:noProof/>
        </w:rPr>
        <w:t> </w:t>
      </w:r>
      <w:r>
        <w:rPr>
          <w:rStyle w:val="ms-rtethemefontface-1"/>
          <w:noProof/>
        </w:rPr>
        <w:t>&amp;</w:t>
      </w:r>
      <w:r>
        <w:rPr>
          <w:rStyle w:val="ms-rtethemefontface-1"/>
          <w:rFonts w:ascii="Calibri" w:hAnsi="Calibri" w:cs="Calibri"/>
          <w:noProof/>
        </w:rPr>
        <w:t> </w:t>
      </w:r>
      <w:r>
        <w:rPr>
          <w:rStyle w:val="ms-rtethemefontface-1"/>
          <w:noProof/>
        </w:rPr>
        <w:t>I</w:t>
      </w:r>
      <w:r w:rsidRPr="00885241">
        <w:rPr>
          <w:rStyle w:val="ms-rtethemefontface-1"/>
          <w:noProof/>
        </w:rPr>
        <w:t xml:space="preserve"> capacity, scientific excellence and reputation and </w:t>
      </w:r>
      <w:r>
        <w:rPr>
          <w:rStyle w:val="ms-rtethemefontface-1"/>
          <w:noProof/>
        </w:rPr>
        <w:t>by</w:t>
      </w:r>
      <w:r w:rsidRPr="00885241">
        <w:rPr>
          <w:rStyle w:val="ms-rtethemefontface-1"/>
          <w:noProof/>
        </w:rPr>
        <w:t xml:space="preserve"> integrati</w:t>
      </w:r>
      <w:r>
        <w:rPr>
          <w:rStyle w:val="ms-rtethemefontface-1"/>
          <w:noProof/>
        </w:rPr>
        <w:t>ng</w:t>
      </w:r>
      <w:r w:rsidRPr="00885241">
        <w:rPr>
          <w:rStyle w:val="ms-rtethemefontface-1"/>
          <w:noProof/>
        </w:rPr>
        <w:t xml:space="preserve"> </w:t>
      </w:r>
      <w:r>
        <w:rPr>
          <w:rStyle w:val="ms-rtethemefontface-1"/>
          <w:noProof/>
        </w:rPr>
        <w:t>R</w:t>
      </w:r>
      <w:r>
        <w:rPr>
          <w:rStyle w:val="ms-rtethemefontface-1"/>
          <w:rFonts w:ascii="Calibri" w:hAnsi="Calibri" w:cs="Calibri"/>
          <w:noProof/>
        </w:rPr>
        <w:t> </w:t>
      </w:r>
      <w:r>
        <w:rPr>
          <w:rStyle w:val="ms-rtethemefontface-1"/>
          <w:noProof/>
        </w:rPr>
        <w:t>&amp;</w:t>
      </w:r>
      <w:r>
        <w:rPr>
          <w:rStyle w:val="ms-rtethemefontface-1"/>
          <w:rFonts w:ascii="Calibri" w:hAnsi="Calibri" w:cs="Calibri"/>
          <w:noProof/>
        </w:rPr>
        <w:t> </w:t>
      </w:r>
      <w:r>
        <w:rPr>
          <w:rStyle w:val="ms-rtethemefontface-1"/>
          <w:noProof/>
        </w:rPr>
        <w:t>I</w:t>
      </w:r>
      <w:r w:rsidRPr="00885241">
        <w:rPr>
          <w:rStyle w:val="ms-rtethemefontface-1"/>
          <w:noProof/>
        </w:rPr>
        <w:t xml:space="preserve"> efforts. The results indicate that</w:t>
      </w:r>
      <w:r>
        <w:rPr>
          <w:rStyle w:val="ms-rtethemefontface-1"/>
          <w:noProof/>
        </w:rPr>
        <w:t>,</w:t>
      </w:r>
      <w:r w:rsidRPr="00885241">
        <w:rPr>
          <w:rStyle w:val="ms-rtethemefontface-1"/>
          <w:noProof/>
        </w:rPr>
        <w:t xml:space="preserve"> in most areas</w:t>
      </w:r>
      <w:r>
        <w:rPr>
          <w:rStyle w:val="ms-rtethemefontface-1"/>
          <w:noProof/>
        </w:rPr>
        <w:t>,</w:t>
      </w:r>
      <w:r w:rsidRPr="00885241">
        <w:rPr>
          <w:rStyle w:val="ms-rtethemefontface-1"/>
          <w:noProof/>
        </w:rPr>
        <w:t xml:space="preserve"> Horizon 2020 has achieved its targets</w:t>
      </w:r>
      <w:r>
        <w:rPr>
          <w:rStyle w:val="ms-rtethemefontface-1"/>
          <w:noProof/>
        </w:rPr>
        <w:t>,</w:t>
      </w:r>
      <w:r w:rsidRPr="00885241">
        <w:rPr>
          <w:rStyle w:val="ms-rtethemefontface-1"/>
          <w:noProof/>
        </w:rPr>
        <w:t xml:space="preserve"> and </w:t>
      </w:r>
      <w:r>
        <w:rPr>
          <w:rStyle w:val="ms-rtethemefontface-1"/>
          <w:noProof/>
        </w:rPr>
        <w:t>even exceeded them</w:t>
      </w:r>
      <w:r w:rsidRPr="00885241">
        <w:rPr>
          <w:rStyle w:val="ms-rtethemefontface-1"/>
          <w:noProof/>
        </w:rPr>
        <w:t>. No indicator deserves attention.</w:t>
      </w:r>
    </w:p>
    <w:p w14:paraId="68085D23" w14:textId="77777777" w:rsidR="00C016C5" w:rsidRPr="000513B8" w:rsidRDefault="00C016C5" w:rsidP="00C016C5">
      <w:pPr>
        <w:pStyle w:val="ppoListHyphened-L1"/>
        <w:rPr>
          <w:noProof/>
        </w:rPr>
      </w:pPr>
      <w:r w:rsidRPr="000513B8">
        <w:rPr>
          <w:noProof/>
        </w:rPr>
        <w:t>The initiatives</w:t>
      </w:r>
      <w:r w:rsidRPr="000513B8" w:rsidDel="00BA5660">
        <w:rPr>
          <w:noProof/>
        </w:rPr>
        <w:t xml:space="preserve"> </w:t>
      </w:r>
      <w:r w:rsidRPr="000513B8">
        <w:rPr>
          <w:noProof/>
        </w:rPr>
        <w:t>under the programme as far as the ‘Excellent science’ pillar is concerned are very satisfactory. Since 2014, the share of publications from European Research Council-funded projects among the top 1% most cited has remained high, at about 7</w:t>
      </w:r>
      <w:r w:rsidRPr="000513B8">
        <w:rPr>
          <w:rFonts w:ascii="Calibri" w:hAnsi="Calibri" w:cs="Calibri"/>
          <w:noProof/>
        </w:rPr>
        <w:t> </w:t>
      </w:r>
      <w:r w:rsidRPr="000513B8">
        <w:rPr>
          <w:noProof/>
        </w:rPr>
        <w:t>%, considerably exceeding the target of 1.8</w:t>
      </w:r>
      <w:r w:rsidRPr="000513B8">
        <w:rPr>
          <w:rFonts w:ascii="Calibri" w:hAnsi="Calibri" w:cs="Calibri"/>
          <w:noProof/>
        </w:rPr>
        <w:t> </w:t>
      </w:r>
      <w:r w:rsidRPr="000513B8">
        <w:rPr>
          <w:noProof/>
        </w:rPr>
        <w:t>%. Future and emerging technologies have already generated more than 20.2 publications in peer-reviewed journals per EUR</w:t>
      </w:r>
      <w:r w:rsidRPr="000513B8">
        <w:rPr>
          <w:rFonts w:ascii="Calibri" w:hAnsi="Calibri" w:cs="Calibri"/>
          <w:noProof/>
        </w:rPr>
        <w:t> </w:t>
      </w:r>
      <w:r w:rsidRPr="000513B8">
        <w:rPr>
          <w:noProof/>
        </w:rPr>
        <w:t>10</w:t>
      </w:r>
      <w:r w:rsidRPr="000513B8">
        <w:rPr>
          <w:rFonts w:ascii="Calibri" w:hAnsi="Calibri" w:cs="Calibri"/>
          <w:noProof/>
        </w:rPr>
        <w:t> </w:t>
      </w:r>
      <w:r w:rsidRPr="000513B8">
        <w:rPr>
          <w:noProof/>
        </w:rPr>
        <w:t xml:space="preserve">million of funding, and about </w:t>
      </w:r>
      <w:r w:rsidRPr="005705DB">
        <w:rPr>
          <w:rFonts w:cs="Calibri"/>
          <w:noProof/>
        </w:rPr>
        <w:t xml:space="preserve">one </w:t>
      </w:r>
      <w:r w:rsidRPr="000513B8">
        <w:rPr>
          <w:noProof/>
        </w:rPr>
        <w:t>patent per EUR</w:t>
      </w:r>
      <w:r w:rsidRPr="000513B8">
        <w:rPr>
          <w:rFonts w:ascii="Calibri" w:hAnsi="Calibri" w:cs="Calibri"/>
          <w:noProof/>
        </w:rPr>
        <w:t> </w:t>
      </w:r>
      <w:r w:rsidRPr="000513B8">
        <w:rPr>
          <w:noProof/>
        </w:rPr>
        <w:t>10</w:t>
      </w:r>
      <w:r w:rsidRPr="000513B8">
        <w:rPr>
          <w:rFonts w:ascii="Calibri" w:hAnsi="Calibri" w:cs="Calibri"/>
          <w:noProof/>
        </w:rPr>
        <w:t> </w:t>
      </w:r>
      <w:r w:rsidRPr="000513B8">
        <w:rPr>
          <w:noProof/>
        </w:rPr>
        <w:t xml:space="preserve">million of funding, thus approaching the targets. The Marie Skłodowska-Curie actions scheme </w:t>
      </w:r>
      <w:r w:rsidRPr="000513B8">
        <w:rPr>
          <w:rStyle w:val="ms-rtethemefontface-1"/>
          <w:noProof/>
        </w:rPr>
        <w:t xml:space="preserve">has exceeded its target of </w:t>
      </w:r>
      <w:bookmarkStart w:id="28" w:name="_Hlk101279277"/>
      <w:r w:rsidRPr="00A14B93">
        <w:rPr>
          <w:rStyle w:val="ms-rtethemefontface-1"/>
          <w:noProof/>
        </w:rPr>
        <w:t>65</w:t>
      </w:r>
      <w:r w:rsidRPr="00A14B93">
        <w:rPr>
          <w:rStyle w:val="ms-rtethemefontface-1"/>
          <w:rFonts w:ascii="Calibri" w:hAnsi="Calibri" w:cs="Calibri"/>
          <w:noProof/>
        </w:rPr>
        <w:t> </w:t>
      </w:r>
      <w:r w:rsidRPr="00A14B93">
        <w:rPr>
          <w:rStyle w:val="ms-rtethemefontface-1"/>
          <w:noProof/>
        </w:rPr>
        <w:t>000 researchers, including 25</w:t>
      </w:r>
      <w:r w:rsidRPr="00A14B93">
        <w:rPr>
          <w:rStyle w:val="ms-rtethemefontface-1"/>
          <w:rFonts w:ascii="Calibri" w:hAnsi="Calibri" w:cs="Calibri"/>
          <w:noProof/>
        </w:rPr>
        <w:t> </w:t>
      </w:r>
      <w:r w:rsidRPr="00A14B93">
        <w:rPr>
          <w:rStyle w:val="ms-rtethemefontface-1"/>
          <w:noProof/>
        </w:rPr>
        <w:t xml:space="preserve">000 </w:t>
      </w:r>
      <w:r w:rsidRPr="00A21051">
        <w:rPr>
          <w:rFonts w:eastAsiaTheme="minorEastAsia"/>
          <w:noProof/>
          <w:lang w:val="en-IE"/>
        </w:rPr>
        <w:t>PhDs</w:t>
      </w:r>
      <w:bookmarkEnd w:id="28"/>
      <w:r w:rsidRPr="000513B8">
        <w:rPr>
          <w:rStyle w:val="ms-rtethemefontface-1"/>
          <w:noProof/>
        </w:rPr>
        <w:t>. Since 2014, 115</w:t>
      </w:r>
      <w:r w:rsidRPr="000513B8">
        <w:rPr>
          <w:rStyle w:val="ms-rtethemefontface-1"/>
          <w:rFonts w:ascii="Calibri" w:hAnsi="Calibri" w:cs="Calibri"/>
          <w:noProof/>
        </w:rPr>
        <w:t> </w:t>
      </w:r>
      <w:r w:rsidRPr="000513B8">
        <w:rPr>
          <w:rStyle w:val="ms-rtethemefontface-1"/>
          <w:noProof/>
        </w:rPr>
        <w:t>053 supported researchers have had access to research infrastructure</w:t>
      </w:r>
      <w:r>
        <w:rPr>
          <w:rStyle w:val="ms-rtethemefontface-1"/>
          <w:noProof/>
        </w:rPr>
        <w:t>s</w:t>
      </w:r>
      <w:r w:rsidRPr="000513B8">
        <w:rPr>
          <w:rStyle w:val="ms-rtethemefontface-1"/>
          <w:noProof/>
        </w:rPr>
        <w:t>, including e-infrastructure</w:t>
      </w:r>
      <w:r>
        <w:rPr>
          <w:rStyle w:val="ms-rtethemefontface-1"/>
          <w:noProof/>
        </w:rPr>
        <w:t>s</w:t>
      </w:r>
      <w:r w:rsidRPr="000513B8">
        <w:rPr>
          <w:rStyle w:val="ms-rtethemefontface-1"/>
          <w:noProof/>
        </w:rPr>
        <w:t>, both remotely and physically, thus far exceeding the target.</w:t>
      </w:r>
    </w:p>
    <w:p w14:paraId="23E9F9C2" w14:textId="77777777" w:rsidR="00C016C5" w:rsidRPr="00885241" w:rsidRDefault="00C016C5" w:rsidP="00C016C5">
      <w:pPr>
        <w:pStyle w:val="ppoListHyphened-L1"/>
        <w:rPr>
          <w:noProof/>
        </w:rPr>
      </w:pPr>
      <w:r w:rsidRPr="00885241">
        <w:rPr>
          <w:noProof/>
        </w:rPr>
        <w:t xml:space="preserve">The </w:t>
      </w:r>
      <w:r>
        <w:rPr>
          <w:noProof/>
        </w:rPr>
        <w:t>initiatives</w:t>
      </w:r>
      <w:r w:rsidRPr="00885241" w:rsidDel="00BA5660">
        <w:rPr>
          <w:noProof/>
        </w:rPr>
        <w:t xml:space="preserve"> </w:t>
      </w:r>
      <w:r>
        <w:rPr>
          <w:noProof/>
        </w:rPr>
        <w:t xml:space="preserve">under </w:t>
      </w:r>
      <w:r w:rsidRPr="00885241">
        <w:rPr>
          <w:noProof/>
        </w:rPr>
        <w:t xml:space="preserve">the ‘Industrial leadership’ pillar have progressed well. In this respect, </w:t>
      </w:r>
      <w:bookmarkStart w:id="29" w:name="_Hlk101267259"/>
      <w:r w:rsidRPr="00885241">
        <w:rPr>
          <w:noProof/>
        </w:rPr>
        <w:t xml:space="preserve">projects </w:t>
      </w:r>
      <w:r>
        <w:rPr>
          <w:noProof/>
        </w:rPr>
        <w:t>on l</w:t>
      </w:r>
      <w:r w:rsidRPr="00885241">
        <w:rPr>
          <w:noProof/>
        </w:rPr>
        <w:t xml:space="preserve">eadership in enabling and industrial technologies </w:t>
      </w:r>
      <w:bookmarkEnd w:id="29"/>
      <w:r w:rsidRPr="00885241">
        <w:rPr>
          <w:noProof/>
        </w:rPr>
        <w:t>have produced more than 9</w:t>
      </w:r>
      <w:r>
        <w:rPr>
          <w:rFonts w:ascii="Calibri" w:hAnsi="Calibri" w:cs="Calibri"/>
          <w:noProof/>
        </w:rPr>
        <w:t> </w:t>
      </w:r>
      <w:r w:rsidRPr="00885241">
        <w:rPr>
          <w:noProof/>
        </w:rPr>
        <w:t>000 public</w:t>
      </w:r>
      <w:r>
        <w:rPr>
          <w:noProof/>
        </w:rPr>
        <w:t>–</w:t>
      </w:r>
      <w:r w:rsidRPr="00885241">
        <w:rPr>
          <w:noProof/>
        </w:rPr>
        <w:t xml:space="preserve">private publications. 197% of participating firms have introduced innovations </w:t>
      </w:r>
      <w:r>
        <w:rPr>
          <w:noProof/>
        </w:rPr>
        <w:t>‘</w:t>
      </w:r>
      <w:r w:rsidRPr="00885241">
        <w:rPr>
          <w:noProof/>
        </w:rPr>
        <w:t>new to the company or the market</w:t>
      </w:r>
      <w:r>
        <w:rPr>
          <w:noProof/>
        </w:rPr>
        <w:t>’</w:t>
      </w:r>
      <w:r w:rsidRPr="00885241">
        <w:rPr>
          <w:noProof/>
        </w:rPr>
        <w:t xml:space="preserve"> with the potential to generate scientific breakthroughs, which almost meet</w:t>
      </w:r>
      <w:r>
        <w:rPr>
          <w:noProof/>
        </w:rPr>
        <w:t>s</w:t>
      </w:r>
      <w:r w:rsidRPr="00885241">
        <w:rPr>
          <w:noProof/>
        </w:rPr>
        <w:t xml:space="preserve"> the target of 200% (including private companies beyond the beneficiaries involved in the project). As regards patents, the result of 0.85</w:t>
      </w:r>
      <w:r>
        <w:rPr>
          <w:rFonts w:ascii="Calibri" w:hAnsi="Calibri" w:cs="Calibri"/>
          <w:noProof/>
        </w:rPr>
        <w:t xml:space="preserve"> </w:t>
      </w:r>
      <w:r w:rsidRPr="00885241">
        <w:rPr>
          <w:noProof/>
        </w:rPr>
        <w:t>patent application per EUR</w:t>
      </w:r>
      <w:r w:rsidRPr="00885241">
        <w:rPr>
          <w:rFonts w:ascii="Calibri" w:hAnsi="Calibri" w:cs="Calibri"/>
          <w:noProof/>
        </w:rPr>
        <w:t> </w:t>
      </w:r>
      <w:r w:rsidRPr="00885241">
        <w:rPr>
          <w:noProof/>
        </w:rPr>
        <w:t>10</w:t>
      </w:r>
      <w:r>
        <w:rPr>
          <w:rFonts w:ascii="Calibri" w:hAnsi="Calibri" w:cs="Calibri"/>
          <w:noProof/>
        </w:rPr>
        <w:t> </w:t>
      </w:r>
      <w:r w:rsidRPr="00885241">
        <w:rPr>
          <w:noProof/>
        </w:rPr>
        <w:t xml:space="preserve">million </w:t>
      </w:r>
      <w:r>
        <w:rPr>
          <w:noProof/>
        </w:rPr>
        <w:t xml:space="preserve">of funding </w:t>
      </w:r>
      <w:r w:rsidRPr="00885241">
        <w:rPr>
          <w:noProof/>
        </w:rPr>
        <w:t>shows that it is progressing slowly to</w:t>
      </w:r>
      <w:r>
        <w:rPr>
          <w:noProof/>
        </w:rPr>
        <w:t>wards</w:t>
      </w:r>
      <w:r w:rsidRPr="00885241">
        <w:rPr>
          <w:noProof/>
        </w:rPr>
        <w:t xml:space="preserve"> the target of 3. This is normal, since patents are generally filed at the end of projects. Under the </w:t>
      </w:r>
      <w:r>
        <w:rPr>
          <w:noProof/>
        </w:rPr>
        <w:t>‘</w:t>
      </w:r>
      <w:r w:rsidRPr="00885241">
        <w:rPr>
          <w:noProof/>
        </w:rPr>
        <w:t>access to risk finance</w:t>
      </w:r>
      <w:r>
        <w:rPr>
          <w:noProof/>
        </w:rPr>
        <w:t>’</w:t>
      </w:r>
      <w:r w:rsidRPr="00885241">
        <w:rPr>
          <w:noProof/>
        </w:rPr>
        <w:t xml:space="preserve"> activities, more than 32</w:t>
      </w:r>
      <w:r>
        <w:rPr>
          <w:rFonts w:ascii="Calibri" w:hAnsi="Calibri" w:cs="Calibri"/>
          <w:noProof/>
        </w:rPr>
        <w:t> </w:t>
      </w:r>
      <w:r w:rsidRPr="00885241">
        <w:rPr>
          <w:noProof/>
        </w:rPr>
        <w:t>000 organisations have been funded</w:t>
      </w:r>
      <w:r>
        <w:rPr>
          <w:noProof/>
        </w:rPr>
        <w:t>,</w:t>
      </w:r>
      <w:r w:rsidRPr="00885241">
        <w:rPr>
          <w:noProof/>
        </w:rPr>
        <w:t xml:space="preserve"> and </w:t>
      </w:r>
      <w:r>
        <w:rPr>
          <w:noProof/>
        </w:rPr>
        <w:t xml:space="preserve">the </w:t>
      </w:r>
      <w:r w:rsidRPr="00885241">
        <w:rPr>
          <w:noProof/>
        </w:rPr>
        <w:t>total investment mobilised via debt</w:t>
      </w:r>
      <w:r w:rsidRPr="005705DB">
        <w:rPr>
          <w:noProof/>
        </w:rPr>
        <w:t xml:space="preserve"> </w:t>
      </w:r>
      <w:r w:rsidRPr="00885241">
        <w:rPr>
          <w:noProof/>
        </w:rPr>
        <w:t>financing and venture capital investments is EUR</w:t>
      </w:r>
      <w:r>
        <w:rPr>
          <w:rFonts w:ascii="Calibri" w:hAnsi="Calibri" w:cs="Calibri"/>
          <w:noProof/>
        </w:rPr>
        <w:t> </w:t>
      </w:r>
      <w:r w:rsidRPr="00885241">
        <w:rPr>
          <w:noProof/>
        </w:rPr>
        <w:t>71</w:t>
      </w:r>
      <w:r>
        <w:rPr>
          <w:rFonts w:ascii="Calibri" w:hAnsi="Calibri" w:cs="Calibri"/>
          <w:noProof/>
        </w:rPr>
        <w:t> </w:t>
      </w:r>
      <w:r w:rsidRPr="00885241">
        <w:rPr>
          <w:noProof/>
        </w:rPr>
        <w:t xml:space="preserve">billion, exceeding the targets. The instruments </w:t>
      </w:r>
      <w:r>
        <w:rPr>
          <w:noProof/>
        </w:rPr>
        <w:t xml:space="preserve">for small and medium-sized enterprises </w:t>
      </w:r>
      <w:r w:rsidRPr="00885241">
        <w:rPr>
          <w:noProof/>
        </w:rPr>
        <w:t>have generated around 2</w:t>
      </w:r>
      <w:r>
        <w:rPr>
          <w:rFonts w:ascii="Calibri" w:hAnsi="Calibri" w:cs="Calibri"/>
          <w:noProof/>
        </w:rPr>
        <w:t> </w:t>
      </w:r>
      <w:r w:rsidRPr="00885241">
        <w:rPr>
          <w:noProof/>
        </w:rPr>
        <w:t>545 jobs.</w:t>
      </w:r>
    </w:p>
    <w:p w14:paraId="621F4C7C" w14:textId="77777777" w:rsidR="00C016C5" w:rsidRPr="000513B8" w:rsidRDefault="00C016C5" w:rsidP="00C016C5">
      <w:pPr>
        <w:pStyle w:val="ppoListHyphened-L1"/>
        <w:rPr>
          <w:noProof/>
        </w:rPr>
      </w:pPr>
      <w:r w:rsidRPr="000513B8">
        <w:rPr>
          <w:noProof/>
        </w:rPr>
        <w:t>On the other hand, the ‘Societal challenges’ pillar shows moderate progress. So far, the initiatives under this pillar have generated about 9</w:t>
      </w:r>
      <w:r w:rsidRPr="000513B8">
        <w:rPr>
          <w:rFonts w:ascii="Calibri" w:hAnsi="Calibri" w:cs="Calibri"/>
          <w:noProof/>
        </w:rPr>
        <w:t> </w:t>
      </w:r>
      <w:r w:rsidRPr="000513B8">
        <w:rPr>
          <w:noProof/>
        </w:rPr>
        <w:t>910 public–private publications and 83</w:t>
      </w:r>
      <w:r w:rsidRPr="000513B8">
        <w:rPr>
          <w:rFonts w:ascii="Calibri" w:hAnsi="Calibri" w:cs="Calibri"/>
          <w:noProof/>
        </w:rPr>
        <w:t> </w:t>
      </w:r>
      <w:r w:rsidRPr="000513B8">
        <w:rPr>
          <w:noProof/>
        </w:rPr>
        <w:t>900 innovations, including prototypes and testing activities. However, the number of peer-reviewed publications in high-impact journals per EUR</w:t>
      </w:r>
      <w:r w:rsidRPr="000513B8">
        <w:rPr>
          <w:rFonts w:ascii="Calibri" w:hAnsi="Calibri" w:cs="Calibri"/>
          <w:noProof/>
        </w:rPr>
        <w:t> </w:t>
      </w:r>
      <w:r w:rsidRPr="000513B8">
        <w:rPr>
          <w:noProof/>
        </w:rPr>
        <w:t>10</w:t>
      </w:r>
      <w:r w:rsidRPr="000513B8">
        <w:rPr>
          <w:rFonts w:ascii="Calibri" w:hAnsi="Calibri" w:cs="Calibri"/>
          <w:noProof/>
        </w:rPr>
        <w:t> </w:t>
      </w:r>
      <w:r w:rsidRPr="005705DB">
        <w:rPr>
          <w:rFonts w:cs="Calibri"/>
          <w:noProof/>
        </w:rPr>
        <w:t>million</w:t>
      </w:r>
      <w:r w:rsidRPr="000513B8">
        <w:rPr>
          <w:noProof/>
        </w:rPr>
        <w:t xml:space="preserve"> of funding and the number of patent applications per EUR</w:t>
      </w:r>
      <w:r w:rsidRPr="005705DB">
        <w:rPr>
          <w:rFonts w:ascii="Calibri" w:hAnsi="Calibri" w:cs="Calibri"/>
          <w:noProof/>
        </w:rPr>
        <w:t> </w:t>
      </w:r>
      <w:r w:rsidRPr="000513B8">
        <w:rPr>
          <w:noProof/>
        </w:rPr>
        <w:t>10</w:t>
      </w:r>
      <w:r w:rsidRPr="000513B8">
        <w:rPr>
          <w:rFonts w:ascii="Calibri" w:hAnsi="Calibri" w:cs="Calibri"/>
          <w:noProof/>
        </w:rPr>
        <w:t> </w:t>
      </w:r>
      <w:r w:rsidRPr="005705DB">
        <w:rPr>
          <w:rFonts w:cs="Calibri"/>
          <w:noProof/>
        </w:rPr>
        <w:t xml:space="preserve">million </w:t>
      </w:r>
      <w:r w:rsidRPr="000513B8">
        <w:rPr>
          <w:noProof/>
        </w:rPr>
        <w:t>of funding are lower than the respective targets. Nevertheless, we expect to see better performance results following the end of the projects, when publications and patents generally start to be produced.</w:t>
      </w:r>
    </w:p>
    <w:p w14:paraId="588DCB96" w14:textId="77777777" w:rsidR="00C016C5" w:rsidRDefault="00C016C5" w:rsidP="004B627A">
      <w:pPr>
        <w:pStyle w:val="StyleppoHeading3WhiteLeft0cm"/>
        <w:rPr>
          <w:noProof/>
          <w:sz w:val="40"/>
          <w:szCs w:val="40"/>
          <w:lang w:val="en-IE"/>
        </w:rPr>
        <w:sectPr w:rsidR="00C016C5" w:rsidSect="004B627A">
          <w:headerReference w:type="even" r:id="rId91"/>
          <w:headerReference w:type="default" r:id="rId92"/>
          <w:footerReference w:type="even" r:id="rId93"/>
          <w:footerReference w:type="default" r:id="rId94"/>
          <w:headerReference w:type="first" r:id="rId95"/>
          <w:footerReference w:type="first" r:id="rId96"/>
          <w:pgSz w:w="11906" w:h="16838"/>
          <w:pgMar w:top="1020" w:right="1106" w:bottom="1020" w:left="1350" w:header="601" w:footer="1077" w:gutter="0"/>
          <w:cols w:space="720"/>
          <w:titlePg/>
          <w:docGrid w:linePitch="326"/>
        </w:sectPr>
      </w:pPr>
    </w:p>
    <w:p w14:paraId="554C03F9" w14:textId="77777777" w:rsidR="00C016C5" w:rsidRPr="00A21051" w:rsidRDefault="00C016C5" w:rsidP="00C016C5">
      <w:pPr>
        <w:pStyle w:val="StyleppoHeading3WhiteLeft0cm"/>
        <w:rPr>
          <w:noProof/>
          <w:sz w:val="20"/>
          <w:lang w:val="en-IE"/>
        </w:rPr>
      </w:pPr>
    </w:p>
    <w:p w14:paraId="60415048" w14:textId="77777777" w:rsidR="00C016C5" w:rsidRPr="00A21051" w:rsidRDefault="00C016C5" w:rsidP="00C016C5">
      <w:pPr>
        <w:pStyle w:val="StyleppoHeading3WhiteLeft0cm"/>
        <w:rPr>
          <w:noProof/>
          <w:sz w:val="58"/>
          <w:szCs w:val="58"/>
          <w:lang w:val="en-IE"/>
        </w:rPr>
      </w:pPr>
      <w:bookmarkStart w:id="30" w:name="_Toc102086331"/>
      <w:r w:rsidRPr="00A21051">
        <w:rPr>
          <w:noProof/>
          <w:sz w:val="58"/>
          <w:szCs w:val="58"/>
          <w:lang w:val="en-IE"/>
        </w:rPr>
        <w:t>EURATOM RESEARCH AND TRAINING</w:t>
      </w:r>
      <w:bookmarkEnd w:id="30"/>
    </w:p>
    <w:p w14:paraId="44B1B86B" w14:textId="77777777" w:rsidR="00C016C5" w:rsidRPr="00A21051" w:rsidRDefault="00C016C5" w:rsidP="00C016C5">
      <w:pPr>
        <w:pStyle w:val="StyleppoProgrammenameWhiteLeft01cm"/>
        <w:rPr>
          <w:noProof/>
          <w:lang w:val="en-IE"/>
        </w:rPr>
      </w:pPr>
      <w:r w:rsidRPr="00A21051">
        <w:rPr>
          <w:noProof/>
          <w:lang w:val="en-IE"/>
        </w:rPr>
        <w:t>RESEARCH AND TRAINING PROGRAMME OF THE EUROPEAN ATOMIC ENERGY COMMUNITY</w:t>
      </w:r>
    </w:p>
    <w:p w14:paraId="70FCA7AD" w14:textId="77777777" w:rsidR="00C016C5" w:rsidRPr="00A21051" w:rsidRDefault="00C016C5" w:rsidP="00C016C5">
      <w:pPr>
        <w:pStyle w:val="ppoHeading4Orange"/>
        <w:rPr>
          <w:noProof/>
          <w:lang w:val="en-IE"/>
        </w:rPr>
      </w:pPr>
      <w:r w:rsidRPr="00A21051">
        <w:rPr>
          <w:noProof/>
          <w:lang w:val="en-IE"/>
        </w:rPr>
        <w:t>Programme in a nutshell</w:t>
      </w:r>
    </w:p>
    <w:p w14:paraId="1408738C" w14:textId="77777777" w:rsidR="00C016C5" w:rsidRPr="00A21051" w:rsidRDefault="00C016C5" w:rsidP="00C016C5">
      <w:pPr>
        <w:pStyle w:val="ppoHeading5"/>
        <w:rPr>
          <w:noProof/>
          <w:lang w:val="en-IE"/>
        </w:rPr>
      </w:pPr>
      <w:r w:rsidRPr="00A21051">
        <w:rPr>
          <w:noProof/>
          <w:lang w:val="en-IE"/>
        </w:rPr>
        <w:t>Concrete examples of achievements</w:t>
      </w:r>
      <w:r w:rsidRPr="00A21051">
        <w:rPr>
          <w:rFonts w:ascii="Calibri" w:hAnsi="Calibri" w:cs="Calibri"/>
          <w:noProof/>
          <w:lang w:val="en-IE"/>
        </w:rPr>
        <w:t> </w:t>
      </w:r>
      <w:r w:rsidRPr="00A21051">
        <w:rPr>
          <w:noProof/>
          <w:lang w:val="en-IE"/>
        </w:rPr>
        <w:t>(*)</w:t>
      </w:r>
    </w:p>
    <w:tbl>
      <w:tblPr>
        <w:tblStyle w:val="PPO2021"/>
        <w:tblW w:w="9639" w:type="dxa"/>
        <w:tblInd w:w="0" w:type="dxa"/>
        <w:tblLook w:val="0200" w:firstRow="0" w:lastRow="0" w:firstColumn="0" w:lastColumn="0" w:noHBand="1" w:noVBand="0"/>
      </w:tblPr>
      <w:tblGrid>
        <w:gridCol w:w="2410"/>
        <w:gridCol w:w="2409"/>
        <w:gridCol w:w="2410"/>
        <w:gridCol w:w="2410"/>
      </w:tblGrid>
      <w:tr w:rsidR="00C016C5" w:rsidRPr="00A21051" w14:paraId="03806EF1" w14:textId="77777777" w:rsidTr="00813D25">
        <w:tc>
          <w:tcPr>
            <w:tcW w:w="2410" w:type="dxa"/>
          </w:tcPr>
          <w:p w14:paraId="23457DA7" w14:textId="77777777" w:rsidR="00C016C5" w:rsidRPr="00A21051" w:rsidRDefault="00C016C5" w:rsidP="00962E3C">
            <w:pPr>
              <w:pStyle w:val="ppoTableacheivementvalue"/>
              <w:rPr>
                <w:noProof/>
                <w:lang w:val="en-IE"/>
              </w:rPr>
            </w:pPr>
            <w:r w:rsidRPr="00A21051">
              <w:rPr>
                <w:noProof/>
                <w:lang w:val="en-IE"/>
              </w:rPr>
              <w:t>221</w:t>
            </w:r>
          </w:p>
          <w:p w14:paraId="3BF2478F" w14:textId="77777777" w:rsidR="00C016C5" w:rsidRPr="00A21051" w:rsidRDefault="00C016C5" w:rsidP="00962E3C">
            <w:pPr>
              <w:jc w:val="left"/>
              <w:rPr>
                <w:noProof/>
                <w:lang w:val="en-IE"/>
              </w:rPr>
            </w:pPr>
            <w:r w:rsidRPr="00A21051">
              <w:rPr>
                <w:noProof/>
                <w:lang w:val="en-IE"/>
              </w:rPr>
              <w:t>training courses for students and professionals from Member States and Commission services have been provided by the Joint Research Centre since 2014.</w:t>
            </w:r>
          </w:p>
        </w:tc>
        <w:tc>
          <w:tcPr>
            <w:cnfStyle w:val="000001000000" w:firstRow="0" w:lastRow="0" w:firstColumn="0" w:lastColumn="0" w:oddVBand="0" w:evenVBand="1" w:oddHBand="0" w:evenHBand="0" w:firstRowFirstColumn="0" w:firstRowLastColumn="0" w:lastRowFirstColumn="0" w:lastRowLastColumn="0"/>
            <w:tcW w:w="2409" w:type="dxa"/>
          </w:tcPr>
          <w:p w14:paraId="58B01542" w14:textId="77777777" w:rsidR="00C016C5" w:rsidRPr="00A21051" w:rsidRDefault="00C016C5" w:rsidP="00962E3C">
            <w:pPr>
              <w:pStyle w:val="ppoTableacheivementvalue"/>
              <w:rPr>
                <w:noProof/>
                <w:lang w:val="en-IE"/>
              </w:rPr>
            </w:pPr>
            <w:r w:rsidRPr="00A21051">
              <w:rPr>
                <w:noProof/>
                <w:lang w:val="en-IE"/>
              </w:rPr>
              <w:t>1</w:t>
            </w:r>
            <w:r w:rsidRPr="00A21051">
              <w:rPr>
                <w:rFonts w:ascii="Calibri" w:hAnsi="Calibri" w:cs="Calibri"/>
                <w:noProof/>
                <w:lang w:val="en-IE"/>
              </w:rPr>
              <w:t> </w:t>
            </w:r>
            <w:r w:rsidRPr="00A21051">
              <w:rPr>
                <w:noProof/>
                <w:lang w:val="en-IE"/>
              </w:rPr>
              <w:t>392</w:t>
            </w:r>
          </w:p>
          <w:p w14:paraId="762C7CC9" w14:textId="77777777" w:rsidR="00C016C5" w:rsidRPr="00A21051" w:rsidRDefault="00C016C5" w:rsidP="00962E3C">
            <w:pPr>
              <w:jc w:val="left"/>
              <w:rPr>
                <w:noProof/>
                <w:lang w:val="en-IE"/>
              </w:rPr>
            </w:pPr>
            <w:r w:rsidRPr="00A21051">
              <w:rPr>
                <w:rFonts w:eastAsiaTheme="minorEastAsia"/>
                <w:noProof/>
                <w:lang w:val="en-IE"/>
              </w:rPr>
              <w:t>PhDs have been funded since 2014, including 750 PhDs in fusion physics and technology</w:t>
            </w:r>
            <w:r w:rsidRPr="00A21051">
              <w:rPr>
                <w:noProof/>
                <w:lang w:val="en-IE"/>
              </w:rPr>
              <w:t>.</w:t>
            </w:r>
          </w:p>
        </w:tc>
        <w:tc>
          <w:tcPr>
            <w:tcW w:w="2410" w:type="dxa"/>
            <w:tcBorders>
              <w:bottom w:val="single" w:sz="4" w:space="0" w:color="8C8C8C"/>
            </w:tcBorders>
          </w:tcPr>
          <w:p w14:paraId="23BC15DF" w14:textId="77777777" w:rsidR="00C016C5" w:rsidRPr="00A21051" w:rsidRDefault="00C016C5" w:rsidP="00962E3C">
            <w:pPr>
              <w:pStyle w:val="ppoTableacheivementvalue"/>
              <w:cnfStyle w:val="000000000000" w:firstRow="0" w:lastRow="0" w:firstColumn="0" w:lastColumn="0" w:oddVBand="0" w:evenVBand="0" w:oddHBand="0" w:evenHBand="0" w:firstRowFirstColumn="0" w:firstRowLastColumn="0" w:lastRowFirstColumn="0" w:lastRowLastColumn="0"/>
              <w:rPr>
                <w:noProof/>
                <w:lang w:val="en-IE"/>
              </w:rPr>
            </w:pPr>
            <w:r w:rsidRPr="00A21051">
              <w:rPr>
                <w:noProof/>
                <w:lang w:val="en-IE"/>
              </w:rPr>
              <w:t>8</w:t>
            </w:r>
            <w:r w:rsidRPr="00A21051">
              <w:rPr>
                <w:rFonts w:ascii="Calibri" w:hAnsi="Calibri" w:cs="Calibri"/>
                <w:noProof/>
                <w:lang w:val="en-IE"/>
              </w:rPr>
              <w:t> </w:t>
            </w:r>
            <w:r w:rsidRPr="00A21051">
              <w:rPr>
                <w:noProof/>
                <w:lang w:val="en-IE"/>
              </w:rPr>
              <w:t>300</w:t>
            </w:r>
          </w:p>
          <w:p w14:paraId="019FC064" w14:textId="77777777" w:rsidR="00C016C5" w:rsidRPr="00A21051" w:rsidRDefault="00C016C5" w:rsidP="00962E3C">
            <w:pPr>
              <w:jc w:val="left"/>
              <w:cnfStyle w:val="000000000000" w:firstRow="0" w:lastRow="0" w:firstColumn="0" w:lastColumn="0" w:oddVBand="0" w:evenVBand="0" w:oddHBand="0" w:evenHBand="0" w:firstRowFirstColumn="0" w:firstRowLastColumn="0" w:lastRowFirstColumn="0" w:lastRowLastColumn="0"/>
              <w:rPr>
                <w:noProof/>
                <w:lang w:val="en-IE"/>
              </w:rPr>
            </w:pPr>
            <w:r w:rsidRPr="00A21051">
              <w:rPr>
                <w:noProof/>
                <w:lang w:val="en-IE"/>
              </w:rPr>
              <w:t>r</w:t>
            </w:r>
            <w:r w:rsidRPr="00A21051">
              <w:rPr>
                <w:bCs/>
                <w:noProof/>
                <w:lang w:val="en-IE"/>
              </w:rPr>
              <w:t>esearchers have had access to advanced research infrastructures</w:t>
            </w:r>
            <w:r w:rsidRPr="00A21051">
              <w:rPr>
                <w:rFonts w:eastAsiaTheme="minorEastAsia"/>
                <w:noProof/>
                <w:lang w:val="en-IE"/>
              </w:rPr>
              <w:t xml:space="preserve"> through Eurofusion since 2014</w:t>
            </w:r>
            <w:r w:rsidRPr="00A21051">
              <w:rPr>
                <w:noProof/>
                <w:lang w:val="en-IE"/>
              </w:rPr>
              <w:t>.</w:t>
            </w:r>
          </w:p>
        </w:tc>
        <w:tc>
          <w:tcPr>
            <w:cnfStyle w:val="000001000000" w:firstRow="0" w:lastRow="0" w:firstColumn="0" w:lastColumn="0" w:oddVBand="0" w:evenVBand="1" w:oddHBand="0" w:evenHBand="0" w:firstRowFirstColumn="0" w:firstRowLastColumn="0" w:lastRowFirstColumn="0" w:lastRowLastColumn="0"/>
            <w:tcW w:w="2410" w:type="dxa"/>
          </w:tcPr>
          <w:p w14:paraId="68A46E87" w14:textId="77777777" w:rsidR="00C016C5" w:rsidRPr="00A21051" w:rsidRDefault="00C016C5" w:rsidP="00962E3C">
            <w:pPr>
              <w:pStyle w:val="ppoTableacheivementvalue"/>
              <w:rPr>
                <w:noProof/>
                <w:lang w:val="en-IE"/>
              </w:rPr>
            </w:pPr>
            <w:r w:rsidRPr="00A21051">
              <w:rPr>
                <w:noProof/>
                <w:lang w:val="en-IE"/>
              </w:rPr>
              <w:t>5</w:t>
            </w:r>
            <w:r w:rsidRPr="00A21051">
              <w:rPr>
                <w:rFonts w:ascii="Calibri" w:hAnsi="Calibri" w:cs="Calibri"/>
                <w:noProof/>
                <w:lang w:val="en-IE"/>
              </w:rPr>
              <w:t> </w:t>
            </w:r>
            <w:r w:rsidRPr="00A21051">
              <w:rPr>
                <w:noProof/>
                <w:lang w:val="en-IE"/>
              </w:rPr>
              <w:t>976</w:t>
            </w:r>
          </w:p>
          <w:p w14:paraId="073125B6" w14:textId="77777777" w:rsidR="00C016C5" w:rsidRPr="00A21051" w:rsidRDefault="00C016C5" w:rsidP="00962E3C">
            <w:pPr>
              <w:jc w:val="left"/>
              <w:rPr>
                <w:noProof/>
                <w:lang w:val="en-IE"/>
              </w:rPr>
            </w:pPr>
            <w:r w:rsidRPr="00A21051">
              <w:rPr>
                <w:rFonts w:eastAsiaTheme="minorEastAsia"/>
                <w:noProof/>
                <w:lang w:val="en-IE"/>
              </w:rPr>
              <w:t>scientific publications</w:t>
            </w:r>
            <w:r w:rsidRPr="00A21051">
              <w:rPr>
                <w:noProof/>
                <w:lang w:val="en-IE"/>
              </w:rPr>
              <w:t xml:space="preserve"> have been published in peer-reviewed journals since 2014.</w:t>
            </w:r>
          </w:p>
        </w:tc>
      </w:tr>
    </w:tbl>
    <w:p w14:paraId="712CD363" w14:textId="77777777" w:rsidR="00C016C5" w:rsidRPr="00A21051" w:rsidRDefault="00C016C5" w:rsidP="00C016C5">
      <w:pPr>
        <w:pStyle w:val="FootnoteText"/>
        <w:rPr>
          <w:rFonts w:eastAsiaTheme="minorEastAsia"/>
          <w:noProof/>
          <w:lang w:val="en-IE"/>
        </w:rPr>
      </w:pPr>
      <w:r w:rsidRPr="00A21051">
        <w:rPr>
          <w:rFonts w:eastAsiaTheme="minorEastAsia"/>
          <w:noProof/>
          <w:lang w:val="en-IE"/>
        </w:rPr>
        <w:t>(*)</w:t>
      </w:r>
      <w:r w:rsidRPr="00A21051">
        <w:rPr>
          <w:rFonts w:eastAsiaTheme="minorEastAsia"/>
          <w:noProof/>
          <w:lang w:val="en-IE"/>
        </w:rPr>
        <w:tab/>
        <w:t>Key achievements in the table state to which period they relate to. Many come from the implementation of the predecessor programmes under the 2014-2020 multiannual financial framework. This is expected and is due to the multiannual lifecycle of EU programmes and the projects they finance, where results often materialise only after completion of the programmes.</w:t>
      </w:r>
    </w:p>
    <w:p w14:paraId="5FB673E0" w14:textId="77777777" w:rsidR="00C016C5" w:rsidRPr="00A21051" w:rsidRDefault="00C016C5" w:rsidP="00C016C5">
      <w:pPr>
        <w:pStyle w:val="ppoHeading5"/>
        <w:rPr>
          <w:noProof/>
          <w:lang w:val="en-IE"/>
        </w:rPr>
      </w:pPr>
      <w:r w:rsidRPr="00A21051">
        <w:rPr>
          <w:noProof/>
          <w:lang w:val="en-IE"/>
        </w:rPr>
        <w:t>Budget for 2021-2027</w:t>
      </w:r>
    </w:p>
    <w:p w14:paraId="75883C67" w14:textId="77777777" w:rsidR="00C016C5" w:rsidRPr="00A21051" w:rsidRDefault="00C016C5" w:rsidP="00C016C5">
      <w:pPr>
        <w:pStyle w:val="ppoTableTabletitle"/>
        <w:ind w:left="284"/>
        <w:rPr>
          <w:noProof/>
          <w:lang w:val="en-IE"/>
        </w:rPr>
      </w:pPr>
      <w:r w:rsidRPr="00A21051">
        <w:rPr>
          <w:noProof/>
          <w:lang w:val="en-IE"/>
        </w:rPr>
        <w:t>(million EUR)</w:t>
      </w:r>
    </w:p>
    <w:tbl>
      <w:tblPr>
        <w:tblStyle w:val="PlainTable2"/>
        <w:tblW w:w="0" w:type="auto"/>
        <w:tblInd w:w="288" w:type="dxa"/>
        <w:tblLook w:val="04A0" w:firstRow="1" w:lastRow="0" w:firstColumn="1" w:lastColumn="0" w:noHBand="0" w:noVBand="1"/>
      </w:tblPr>
      <w:tblGrid>
        <w:gridCol w:w="4788"/>
        <w:gridCol w:w="2610"/>
      </w:tblGrid>
      <w:tr w:rsidR="00C016C5" w:rsidRPr="00A21051" w14:paraId="40F689FE" w14:textId="77777777" w:rsidTr="00813D25">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06822811" w14:textId="77777777" w:rsidR="00C016C5" w:rsidRPr="00A21051" w:rsidRDefault="00C016C5" w:rsidP="00813D25">
            <w:pPr>
              <w:spacing w:before="120" w:after="120"/>
              <w:rPr>
                <w:noProof/>
                <w:lang w:val="en-IE"/>
              </w:rPr>
            </w:pPr>
            <w:r w:rsidRPr="00A21051">
              <w:rPr>
                <w:rFonts w:cs="Calibri"/>
                <w:noProof/>
                <w:color w:val="000000"/>
                <w:lang w:val="en-IE"/>
              </w:rPr>
              <w:t>Financial programming</w:t>
            </w:r>
          </w:p>
        </w:tc>
        <w:tc>
          <w:tcPr>
            <w:tcW w:w="2610" w:type="dxa"/>
            <w:shd w:val="clear" w:color="auto" w:fill="auto"/>
            <w:vAlign w:val="bottom"/>
          </w:tcPr>
          <w:p w14:paraId="4A47D656" w14:textId="77777777" w:rsidR="00C016C5" w:rsidRPr="00A21051" w:rsidRDefault="00C016C5" w:rsidP="00813D25">
            <w:pPr>
              <w:spacing w:before="120" w:after="120"/>
              <w:jc w:val="right"/>
              <w:cnfStyle w:val="100000000000" w:firstRow="1" w:lastRow="0" w:firstColumn="0" w:lastColumn="0" w:oddVBand="0" w:evenVBand="0" w:oddHBand="0" w:evenHBand="0" w:firstRowFirstColumn="0" w:firstRowLastColumn="0" w:lastRowFirstColumn="0" w:lastRowLastColumn="0"/>
              <w:rPr>
                <w:b w:val="0"/>
                <w:noProof/>
                <w:lang w:val="en-IE"/>
              </w:rPr>
            </w:pPr>
            <w:r w:rsidRPr="00A21051">
              <w:rPr>
                <w:rFonts w:cs="Calibri"/>
                <w:b w:val="0"/>
                <w:noProof/>
                <w:color w:val="000000"/>
                <w:lang w:val="en-IE"/>
              </w:rPr>
              <w:t>1</w:t>
            </w:r>
            <w:r w:rsidRPr="00A21051">
              <w:rPr>
                <w:rFonts w:ascii="Calibri" w:hAnsi="Calibri" w:cs="Calibri"/>
                <w:b w:val="0"/>
                <w:noProof/>
                <w:color w:val="000000"/>
                <w:lang w:val="en-IE"/>
              </w:rPr>
              <w:t> </w:t>
            </w:r>
            <w:r w:rsidRPr="00A21051">
              <w:rPr>
                <w:rFonts w:cs="Calibri"/>
                <w:b w:val="0"/>
                <w:noProof/>
                <w:color w:val="000000"/>
                <w:lang w:val="en-IE"/>
              </w:rPr>
              <w:t>979.3</w:t>
            </w:r>
          </w:p>
        </w:tc>
      </w:tr>
      <w:tr w:rsidR="00C016C5" w:rsidRPr="00A21051" w14:paraId="29C7635D" w14:textId="77777777" w:rsidTr="00813D2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4D18AC90" w14:textId="77777777" w:rsidR="00C016C5" w:rsidRPr="00A21051" w:rsidRDefault="00C016C5" w:rsidP="00813D25">
            <w:pPr>
              <w:spacing w:before="120" w:after="120"/>
              <w:rPr>
                <w:b w:val="0"/>
                <w:noProof/>
                <w:lang w:val="en-IE"/>
              </w:rPr>
            </w:pPr>
            <w:r w:rsidRPr="00A21051">
              <w:rPr>
                <w:rFonts w:cs="Calibri"/>
                <w:noProof/>
                <w:color w:val="000000"/>
                <w:lang w:val="en-IE"/>
              </w:rPr>
              <w:t>NextGenerationEU</w:t>
            </w:r>
          </w:p>
        </w:tc>
        <w:tc>
          <w:tcPr>
            <w:tcW w:w="2610" w:type="dxa"/>
            <w:vAlign w:val="bottom"/>
          </w:tcPr>
          <w:p w14:paraId="46A1019B" w14:textId="77777777" w:rsidR="00C016C5" w:rsidRPr="00A21051" w:rsidRDefault="00C016C5" w:rsidP="00813D25">
            <w:pPr>
              <w:spacing w:before="120" w:after="120"/>
              <w:jc w:val="center"/>
              <w:cnfStyle w:val="000000100000" w:firstRow="0" w:lastRow="0" w:firstColumn="0" w:lastColumn="0" w:oddVBand="0" w:evenVBand="0" w:oddHBand="1" w:evenHBand="0" w:firstRowFirstColumn="0" w:firstRowLastColumn="0" w:lastRowFirstColumn="0" w:lastRowLastColumn="0"/>
              <w:rPr>
                <w:noProof/>
                <w:lang w:val="en-IE"/>
              </w:rPr>
            </w:pPr>
          </w:p>
        </w:tc>
      </w:tr>
      <w:tr w:rsidR="00EC47B9" w:rsidRPr="00A21051" w14:paraId="22F07C09" w14:textId="77777777" w:rsidTr="00813D25">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613BA845" w14:textId="29968E6B" w:rsidR="00EC47B9" w:rsidRPr="00A21051" w:rsidRDefault="00EC47B9" w:rsidP="00EC47B9">
            <w:pPr>
              <w:spacing w:before="120" w:after="120"/>
              <w:rPr>
                <w:b w:val="0"/>
                <w:noProof/>
                <w:lang w:val="en-IE"/>
              </w:rPr>
            </w:pPr>
            <w:r w:rsidRPr="00A21051">
              <w:rPr>
                <w:rFonts w:cs="Calibri"/>
                <w:noProof/>
                <w:color w:val="000000"/>
                <w:lang w:val="en-IE"/>
              </w:rPr>
              <w:t>Decommitments made available again</w:t>
            </w:r>
            <w:r w:rsidRPr="00A21051">
              <w:rPr>
                <w:rFonts w:ascii="Calibri" w:hAnsi="Calibri" w:cs="Calibri"/>
                <w:noProof/>
                <w:color w:val="000000"/>
                <w:lang w:val="en-IE"/>
              </w:rPr>
              <w:t> </w:t>
            </w:r>
            <w:r w:rsidRPr="00A21051">
              <w:rPr>
                <w:rFonts w:cs="Calibri"/>
                <w:noProof/>
                <w:color w:val="000000"/>
                <w:lang w:val="en-IE"/>
              </w:rPr>
              <w:t>(*)</w:t>
            </w:r>
          </w:p>
        </w:tc>
        <w:tc>
          <w:tcPr>
            <w:tcW w:w="2610" w:type="dxa"/>
            <w:vAlign w:val="bottom"/>
          </w:tcPr>
          <w:p w14:paraId="48B355D4" w14:textId="7A91BA13" w:rsidR="00EC47B9" w:rsidRPr="00A21051" w:rsidRDefault="00EC47B9" w:rsidP="00EC47B9">
            <w:pPr>
              <w:spacing w:before="120" w:after="120"/>
              <w:jc w:val="right"/>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0.0</w:t>
            </w:r>
          </w:p>
        </w:tc>
      </w:tr>
      <w:tr w:rsidR="00C016C5" w:rsidRPr="00A21051" w14:paraId="660FD8AF" w14:textId="77777777" w:rsidTr="00813D2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7ED32CD3" w14:textId="77777777" w:rsidR="00C016C5" w:rsidRPr="00A21051" w:rsidRDefault="00C016C5" w:rsidP="00813D25">
            <w:pPr>
              <w:spacing w:before="120" w:after="120"/>
              <w:rPr>
                <w:noProof/>
                <w:lang w:val="en-IE"/>
              </w:rPr>
            </w:pPr>
            <w:r w:rsidRPr="00A21051">
              <w:rPr>
                <w:rFonts w:cs="Calibri"/>
                <w:noProof/>
                <w:color w:val="000000"/>
                <w:lang w:val="en-IE"/>
              </w:rPr>
              <w:t>Contributions from other countries and entities</w:t>
            </w:r>
          </w:p>
        </w:tc>
        <w:tc>
          <w:tcPr>
            <w:tcW w:w="2610" w:type="dxa"/>
            <w:vAlign w:val="bottom"/>
          </w:tcPr>
          <w:p w14:paraId="066B8667" w14:textId="77777777" w:rsidR="00C016C5" w:rsidRPr="00A21051" w:rsidRDefault="00C016C5" w:rsidP="00813D25">
            <w:pPr>
              <w:spacing w:before="120" w:after="120"/>
              <w:jc w:val="right"/>
              <w:cnfStyle w:val="000000100000" w:firstRow="0" w:lastRow="0" w:firstColumn="0" w:lastColumn="0" w:oddVBand="0" w:evenVBand="0" w:oddHBand="1" w:evenHBand="0" w:firstRowFirstColumn="0" w:firstRowLastColumn="0" w:lastRowFirstColumn="0" w:lastRowLastColumn="0"/>
              <w:rPr>
                <w:noProof/>
                <w:lang w:val="en-IE"/>
              </w:rPr>
            </w:pPr>
            <w:r w:rsidRPr="00A21051">
              <w:rPr>
                <w:rFonts w:cs="Calibri"/>
                <w:noProof/>
                <w:color w:val="000000"/>
                <w:lang w:val="en-IE"/>
              </w:rPr>
              <w:t>15.1</w:t>
            </w:r>
          </w:p>
        </w:tc>
      </w:tr>
      <w:tr w:rsidR="00C016C5" w:rsidRPr="00A21051" w14:paraId="6F6ECD28" w14:textId="77777777" w:rsidTr="00813D25">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2F2F2" w:themeFill="background1" w:themeFillShade="F2"/>
            <w:vAlign w:val="bottom"/>
          </w:tcPr>
          <w:p w14:paraId="08F8A56B" w14:textId="77777777" w:rsidR="00C016C5" w:rsidRPr="00A21051" w:rsidRDefault="00C016C5" w:rsidP="00813D25">
            <w:pPr>
              <w:spacing w:before="120" w:after="120"/>
              <w:rPr>
                <w:noProof/>
                <w:lang w:val="en-IE"/>
              </w:rPr>
            </w:pPr>
            <w:r w:rsidRPr="00A21051">
              <w:rPr>
                <w:rFonts w:cs="Calibri"/>
                <w:noProof/>
                <w:color w:val="000000"/>
                <w:lang w:val="en-IE"/>
              </w:rPr>
              <w:t>Total budget for 2021-2027</w:t>
            </w:r>
          </w:p>
        </w:tc>
        <w:tc>
          <w:tcPr>
            <w:tcW w:w="2610" w:type="dxa"/>
            <w:shd w:val="clear" w:color="auto" w:fill="F2F2F2" w:themeFill="background1" w:themeFillShade="F2"/>
            <w:vAlign w:val="bottom"/>
          </w:tcPr>
          <w:p w14:paraId="45EEA64E" w14:textId="77777777" w:rsidR="00C016C5" w:rsidRPr="00A21051" w:rsidRDefault="00C016C5" w:rsidP="00813D25">
            <w:pPr>
              <w:spacing w:before="120" w:after="120"/>
              <w:jc w:val="right"/>
              <w:cnfStyle w:val="000000000000" w:firstRow="0" w:lastRow="0" w:firstColumn="0" w:lastColumn="0" w:oddVBand="0" w:evenVBand="0" w:oddHBand="0" w:evenHBand="0" w:firstRowFirstColumn="0" w:firstRowLastColumn="0" w:lastRowFirstColumn="0" w:lastRowLastColumn="0"/>
              <w:rPr>
                <w:b/>
                <w:noProof/>
                <w:lang w:val="en-IE"/>
              </w:rPr>
            </w:pPr>
            <w:r w:rsidRPr="00A21051">
              <w:rPr>
                <w:rFonts w:cs="Calibri"/>
                <w:b/>
                <w:noProof/>
                <w:color w:val="000000"/>
                <w:lang w:val="en-IE"/>
              </w:rPr>
              <w:t>1</w:t>
            </w:r>
            <w:r w:rsidRPr="00A21051">
              <w:rPr>
                <w:rFonts w:ascii="Calibri" w:hAnsi="Calibri" w:cs="Calibri"/>
                <w:b/>
                <w:noProof/>
                <w:color w:val="000000"/>
                <w:lang w:val="en-IE"/>
              </w:rPr>
              <w:t> </w:t>
            </w:r>
            <w:r w:rsidRPr="00A21051">
              <w:rPr>
                <w:rFonts w:cs="Calibri"/>
                <w:b/>
                <w:noProof/>
                <w:color w:val="000000"/>
                <w:lang w:val="en-IE"/>
              </w:rPr>
              <w:t>994.4</w:t>
            </w:r>
          </w:p>
        </w:tc>
      </w:tr>
    </w:tbl>
    <w:p w14:paraId="08C17B09" w14:textId="77777777" w:rsidR="00C016C5" w:rsidRPr="00A21051" w:rsidRDefault="00C016C5" w:rsidP="00C016C5">
      <w:pPr>
        <w:tabs>
          <w:tab w:val="left" w:pos="6793"/>
        </w:tabs>
        <w:rPr>
          <w:noProof/>
          <w:sz w:val="18"/>
          <w:szCs w:val="18"/>
          <w:lang w:val="en-IE"/>
        </w:rPr>
      </w:pPr>
    </w:p>
    <w:p w14:paraId="0199B35C" w14:textId="77777777" w:rsidR="00C016C5" w:rsidRPr="00A21051" w:rsidRDefault="00C016C5" w:rsidP="00C016C5">
      <w:pPr>
        <w:tabs>
          <w:tab w:val="left" w:pos="6793"/>
        </w:tabs>
        <w:rPr>
          <w:noProof/>
          <w:sz w:val="18"/>
          <w:szCs w:val="18"/>
          <w:lang w:val="en-IE"/>
        </w:rPr>
      </w:pPr>
      <w:r w:rsidRPr="00A21051">
        <w:rPr>
          <w:noProof/>
          <w:sz w:val="18"/>
          <w:szCs w:val="18"/>
          <w:lang w:val="en-IE"/>
        </w:rPr>
        <w:t>(*) Only Article</w:t>
      </w:r>
      <w:r w:rsidRPr="00A21051">
        <w:rPr>
          <w:rFonts w:ascii="Calibri" w:hAnsi="Calibri" w:cs="Calibri"/>
          <w:noProof/>
          <w:sz w:val="18"/>
          <w:szCs w:val="18"/>
          <w:lang w:val="en-IE"/>
        </w:rPr>
        <w:t> </w:t>
      </w:r>
      <w:r w:rsidRPr="00A21051">
        <w:rPr>
          <w:noProof/>
          <w:sz w:val="18"/>
          <w:szCs w:val="18"/>
          <w:lang w:val="en-IE"/>
        </w:rPr>
        <w:t>15(3) of the financial regulation.</w:t>
      </w:r>
    </w:p>
    <w:p w14:paraId="00826E8C" w14:textId="77777777" w:rsidR="00C016C5" w:rsidRPr="00A21051" w:rsidRDefault="00C016C5" w:rsidP="00C016C5">
      <w:pPr>
        <w:pStyle w:val="ppoHeading5"/>
        <w:rPr>
          <w:noProof/>
          <w:lang w:val="en-IE"/>
        </w:rPr>
      </w:pPr>
      <w:r w:rsidRPr="00A21051">
        <w:rPr>
          <w:noProof/>
          <w:lang w:val="en-IE"/>
        </w:rPr>
        <w:t>Rationale and design of the programme</w:t>
      </w:r>
    </w:p>
    <w:p w14:paraId="26D7A516" w14:textId="77777777" w:rsidR="00C016C5" w:rsidRPr="00A21051" w:rsidRDefault="00C016C5" w:rsidP="00C016C5">
      <w:pPr>
        <w:rPr>
          <w:rFonts w:eastAsiaTheme="minorEastAsia"/>
          <w:noProof/>
          <w:lang w:val="en-IE"/>
        </w:rPr>
      </w:pPr>
      <w:r w:rsidRPr="00A21051">
        <w:rPr>
          <w:noProof/>
          <w:shd w:val="clear" w:color="auto" w:fill="FFFFFF"/>
          <w:lang w:val="en-IE"/>
        </w:rPr>
        <w:t>The Euratom Research and Training Programme (2021-2025) is a nuclear research and training programme with an emphasis on the continuous improvement of nuclear safety, security and radiation protection. It complements the achievement of Horizon Europe’s objectives, including in the context of the energy transition as well as contributing to the implementation of the European fusion roadmap.</w:t>
      </w:r>
    </w:p>
    <w:p w14:paraId="39E5131F" w14:textId="77777777" w:rsidR="00C016C5" w:rsidRPr="00A21051" w:rsidRDefault="00C016C5" w:rsidP="00C016C5">
      <w:pPr>
        <w:pStyle w:val="ppoHeading6"/>
        <w:rPr>
          <w:noProof/>
          <w:lang w:val="en-IE"/>
        </w:rPr>
      </w:pPr>
      <w:r w:rsidRPr="00A21051">
        <w:rPr>
          <w:noProof/>
          <w:lang w:val="en-IE"/>
        </w:rPr>
        <w:t>Challenge</w:t>
      </w:r>
    </w:p>
    <w:p w14:paraId="241B5A74" w14:textId="77777777" w:rsidR="00C016C5" w:rsidRPr="00A21051" w:rsidRDefault="00C016C5" w:rsidP="00C016C5">
      <w:pPr>
        <w:rPr>
          <w:noProof/>
          <w:lang w:val="en-IE"/>
        </w:rPr>
      </w:pPr>
      <w:r w:rsidRPr="00A21051">
        <w:rPr>
          <w:noProof/>
          <w:lang w:val="en-IE"/>
        </w:rPr>
        <w:t xml:space="preserve">Nuclear research contributes to social well-being and economic prosperity by improving nuclear safety, security and radiation protection. Research and innovation in the nuclear field play a key role in maintaining the highest safety standards and </w:t>
      </w:r>
      <w:r w:rsidRPr="0024603D">
        <w:rPr>
          <w:noProof/>
        </w:rPr>
        <w:t>E</w:t>
      </w:r>
      <w:r>
        <w:rPr>
          <w:noProof/>
        </w:rPr>
        <w:t>U</w:t>
      </w:r>
      <w:r w:rsidRPr="00A21051">
        <w:rPr>
          <w:noProof/>
          <w:lang w:val="en-IE"/>
        </w:rPr>
        <w:t xml:space="preserve"> competences in the nuclear domain. Radiation protection research leads to improvements in medical technologies as well as in other sectors (such as industry, agriculture and the environment), from which many citizens benefit. Nuclear research also supports the EU’s efforts in the transition to a climate-neutral energy system. </w:t>
      </w:r>
    </w:p>
    <w:p w14:paraId="4869C931" w14:textId="77777777" w:rsidR="00C016C5" w:rsidRPr="00A21051" w:rsidRDefault="00C016C5" w:rsidP="00C016C5">
      <w:pPr>
        <w:rPr>
          <w:noProof/>
          <w:lang w:val="en-IE"/>
        </w:rPr>
      </w:pPr>
      <w:r w:rsidRPr="00A21051">
        <w:rPr>
          <w:noProof/>
          <w:lang w:val="en-IE"/>
        </w:rPr>
        <w:t>Public and private research at the national level has a significant role to play in this effort. Euratom’s task is to complement Member States’ contributions by means of an EU-based research and training programme.</w:t>
      </w:r>
    </w:p>
    <w:p w14:paraId="1D58275B" w14:textId="77777777" w:rsidR="00C016C5" w:rsidRPr="00A21051" w:rsidRDefault="00C016C5" w:rsidP="00C016C5">
      <w:pPr>
        <w:pStyle w:val="ppoHeading6"/>
        <w:rPr>
          <w:noProof/>
          <w:lang w:val="en-IE"/>
        </w:rPr>
      </w:pPr>
      <w:r w:rsidRPr="00A21051">
        <w:rPr>
          <w:noProof/>
          <w:lang w:val="en-IE"/>
        </w:rPr>
        <w:t>Mission</w:t>
      </w:r>
    </w:p>
    <w:p w14:paraId="59EA9DA2" w14:textId="22B12B09" w:rsidR="00C016C5" w:rsidRPr="00A21051" w:rsidRDefault="00C016C5" w:rsidP="00C016C5">
      <w:pPr>
        <w:rPr>
          <w:noProof/>
          <w:lang w:val="en-IE"/>
        </w:rPr>
      </w:pPr>
      <w:r w:rsidRPr="00A21051">
        <w:rPr>
          <w:noProof/>
          <w:lang w:val="en-IE"/>
        </w:rPr>
        <w:t>Euratom supports nuclear research and training activities. The programme aims at enhancing nuclear safety, security and protection from ionising radiation, including through safe waste management and decommissioning activities. The programme also focuses on the development of fusion energy</w:t>
      </w:r>
      <w:r w:rsidRPr="00A21051">
        <w:rPr>
          <w:rFonts w:ascii="Calibri" w:hAnsi="Calibri" w:cs="Calibri"/>
          <w:noProof/>
          <w:lang w:val="en-IE"/>
        </w:rPr>
        <w:t> –</w:t>
      </w:r>
      <w:r w:rsidRPr="00A21051">
        <w:rPr>
          <w:noProof/>
          <w:lang w:val="en-IE"/>
        </w:rPr>
        <w:t xml:space="preserve"> a long</w:t>
      </w:r>
      <w:r w:rsidRPr="00A21051">
        <w:rPr>
          <w:noProof/>
          <w:lang w:val="en-IE"/>
        </w:rPr>
        <w:noBreakHyphen/>
        <w:t>term option for large-scale, low-carbon electricity production</w:t>
      </w:r>
      <w:r w:rsidRPr="00A21051">
        <w:rPr>
          <w:rFonts w:ascii="Calibri" w:hAnsi="Calibri" w:cs="Calibri"/>
          <w:noProof/>
          <w:lang w:val="en-IE"/>
        </w:rPr>
        <w:t> –</w:t>
      </w:r>
      <w:r w:rsidRPr="00A21051">
        <w:rPr>
          <w:noProof/>
          <w:lang w:val="en-IE"/>
        </w:rPr>
        <w:t xml:space="preserve"> which could help address a growing energy demand beyond 2050. The programme provides, through the Joint Research Centre, important independent scientific advice in support of the implementation of </w:t>
      </w:r>
      <w:r w:rsidRPr="0024603D">
        <w:rPr>
          <w:noProof/>
        </w:rPr>
        <w:t>E</w:t>
      </w:r>
      <w:r>
        <w:rPr>
          <w:noProof/>
        </w:rPr>
        <w:t>U</w:t>
      </w:r>
      <w:r w:rsidRPr="00A21051">
        <w:rPr>
          <w:noProof/>
          <w:lang w:val="en-IE"/>
        </w:rPr>
        <w:t xml:space="preserve"> policies in the nuclear field. The programme also seeks to strengthen the EU’s nuclear competences and knowledge management, while expanding our knowledge base of fusion energy, and pursues improvements in the areas of education, training and access to research infrastructure. </w:t>
      </w:r>
    </w:p>
    <w:p w14:paraId="18AE25F2" w14:textId="77777777" w:rsidR="00C016C5" w:rsidRPr="00A21051" w:rsidRDefault="00C016C5" w:rsidP="00C016C5">
      <w:pPr>
        <w:pStyle w:val="ppoHeading6"/>
        <w:rPr>
          <w:noProof/>
          <w:lang w:val="en-IE"/>
        </w:rPr>
      </w:pPr>
      <w:r w:rsidRPr="00A21051">
        <w:rPr>
          <w:noProof/>
          <w:lang w:val="en-IE"/>
        </w:rPr>
        <w:t>OBJECTIVES</w:t>
      </w:r>
    </w:p>
    <w:p w14:paraId="6BF28370" w14:textId="77777777" w:rsidR="00C016C5" w:rsidRPr="00A21051" w:rsidRDefault="00C016C5" w:rsidP="00C016C5">
      <w:pPr>
        <w:rPr>
          <w:noProof/>
          <w:lang w:val="en-IE"/>
        </w:rPr>
      </w:pPr>
      <w:r w:rsidRPr="00A21051">
        <w:rPr>
          <w:noProof/>
          <w:lang w:val="en-IE"/>
        </w:rPr>
        <w:t>Euratom pursues the following specific objectives:</w:t>
      </w:r>
    </w:p>
    <w:p w14:paraId="51A94750" w14:textId="77777777" w:rsidR="00C016C5" w:rsidRPr="00A21051" w:rsidRDefault="00C016C5" w:rsidP="00C016C5">
      <w:pPr>
        <w:pStyle w:val="ppoListHyphened-L1"/>
        <w:rPr>
          <w:noProof/>
          <w:lang w:val="en-IE"/>
        </w:rPr>
      </w:pPr>
      <w:r w:rsidRPr="00A21051">
        <w:rPr>
          <w:noProof/>
          <w:lang w:val="en-IE"/>
        </w:rPr>
        <w:t>to improve and support nuclear safety, security, safeguards, radiation protection, safe spent fuel and radioactive waste management and decommissioning, including the safe and secure use of nuclear power and of non-power applications of ioni</w:t>
      </w:r>
      <w:r>
        <w:rPr>
          <w:noProof/>
          <w:lang w:val="en-IE"/>
        </w:rPr>
        <w:t>s</w:t>
      </w:r>
      <w:r w:rsidRPr="00A21051">
        <w:rPr>
          <w:noProof/>
          <w:lang w:val="en-IE"/>
        </w:rPr>
        <w:t>ing radiation;</w:t>
      </w:r>
    </w:p>
    <w:p w14:paraId="6621A9FE" w14:textId="77777777" w:rsidR="00C016C5" w:rsidRPr="00A21051" w:rsidRDefault="00C016C5" w:rsidP="00C016C5">
      <w:pPr>
        <w:pStyle w:val="ppoListHyphened-L1"/>
        <w:rPr>
          <w:noProof/>
          <w:lang w:val="en-IE"/>
        </w:rPr>
      </w:pPr>
      <w:r w:rsidRPr="00A21051">
        <w:rPr>
          <w:noProof/>
          <w:lang w:val="en-IE"/>
        </w:rPr>
        <w:t>to maintain and further develop expertise and competence in the nuclear field within the EU;</w:t>
      </w:r>
    </w:p>
    <w:p w14:paraId="34835EA0" w14:textId="77777777" w:rsidR="00C016C5" w:rsidRPr="00A21051" w:rsidRDefault="00C016C5" w:rsidP="00C016C5">
      <w:pPr>
        <w:pStyle w:val="ppoListHyphened-L1"/>
        <w:rPr>
          <w:noProof/>
          <w:lang w:val="en-IE"/>
        </w:rPr>
      </w:pPr>
      <w:r w:rsidRPr="00A21051">
        <w:rPr>
          <w:noProof/>
          <w:lang w:val="en-IE"/>
        </w:rPr>
        <w:t>to foster the development of fusion energy as a potential future energy source for electricity production and contribute to the implementation of the European fusion roadmap;</w:t>
      </w:r>
    </w:p>
    <w:p w14:paraId="2ED1E270" w14:textId="77777777" w:rsidR="00C016C5" w:rsidRPr="00A21051" w:rsidRDefault="00C016C5" w:rsidP="00C016C5">
      <w:pPr>
        <w:pStyle w:val="ppoListHyphened-L1"/>
        <w:rPr>
          <w:noProof/>
          <w:lang w:val="en-IE"/>
        </w:rPr>
      </w:pPr>
      <w:r w:rsidRPr="00A21051">
        <w:rPr>
          <w:noProof/>
          <w:lang w:val="en-IE"/>
        </w:rPr>
        <w:t xml:space="preserve">to support the </w:t>
      </w:r>
      <w:r>
        <w:rPr>
          <w:noProof/>
          <w:lang w:val="en-IE"/>
        </w:rPr>
        <w:t xml:space="preserve">EU </w:t>
      </w:r>
      <w:r w:rsidRPr="00A21051">
        <w:rPr>
          <w:noProof/>
          <w:lang w:val="en-IE"/>
        </w:rPr>
        <w:t>policy on continuous improvement of nuclear safety, safeguards and security.</w:t>
      </w:r>
    </w:p>
    <w:p w14:paraId="44E8B303" w14:textId="77777777" w:rsidR="00C016C5" w:rsidRPr="00A21051" w:rsidRDefault="00C016C5" w:rsidP="00C016C5">
      <w:pPr>
        <w:pStyle w:val="ppoHeading6"/>
        <w:rPr>
          <w:noProof/>
          <w:lang w:val="en-IE"/>
        </w:rPr>
      </w:pPr>
      <w:r w:rsidRPr="00A21051">
        <w:rPr>
          <w:noProof/>
          <w:lang w:val="en-IE"/>
        </w:rPr>
        <w:t>Actions</w:t>
      </w:r>
    </w:p>
    <w:p w14:paraId="2E284924" w14:textId="77777777" w:rsidR="00C016C5" w:rsidRPr="00A21051" w:rsidRDefault="00C016C5" w:rsidP="00C016C5">
      <w:pPr>
        <w:rPr>
          <w:noProof/>
          <w:lang w:val="en-IE"/>
        </w:rPr>
      </w:pPr>
      <w:r w:rsidRPr="00A21051">
        <w:rPr>
          <w:noProof/>
          <w:lang w:val="en-IE"/>
        </w:rPr>
        <w:t xml:space="preserve">In the 2021-2025 period, Euratom will continue to give top priority to direct and indirect actions for maintaining nuclear expertise and for supporting research for nuclear safety, with particular emphasis on ageing nuclear plants, long-term operation strategies and accident management. The additional safety requirements introduced by the nuclear safety directive require increased efforts in developing an understanding of degradation mechanisms of safety-relevant components and the impact on safety overall. This would support a science-based assessment of the safety margins and allow for timely implementation of safety improvements. The predictive tools and assessment methods developed by the programme would benefit the periodic safety reviews of existing nuclear installations. They would also help regulators in assessing new designs. </w:t>
      </w:r>
    </w:p>
    <w:p w14:paraId="5A8AB5C1" w14:textId="01CCB4F7" w:rsidR="00C016C5" w:rsidRPr="00A21051" w:rsidRDefault="00696376" w:rsidP="00C016C5">
      <w:pPr>
        <w:rPr>
          <w:noProof/>
          <w:lang w:val="en-IE"/>
        </w:rPr>
      </w:pPr>
      <w:r>
        <w:rPr>
          <w:noProof/>
          <w:lang w:val="en-IE"/>
        </w:rPr>
        <w:t>Besides research in nuclear fields, d</w:t>
      </w:r>
      <w:r w:rsidR="00C016C5" w:rsidRPr="00A21051">
        <w:rPr>
          <w:noProof/>
          <w:lang w:val="en-IE"/>
        </w:rPr>
        <w:t>irect actions, implemented by the Joint Research Centre, will also focus on nuclear security and nuclear safeguards by developing techniques and methods aiming at reducing nuclear security risks and supporting nuclear non</w:t>
      </w:r>
      <w:r w:rsidR="00C016C5" w:rsidRPr="00A21051">
        <w:rPr>
          <w:noProof/>
          <w:lang w:val="en-IE"/>
        </w:rPr>
        <w:noBreakHyphen/>
        <w:t xml:space="preserve">proliferation efforts. In addition, the Joint Research Centre will develop nuclear standards and support the implementation of Euratom policies in these areas. </w:t>
      </w:r>
    </w:p>
    <w:p w14:paraId="166B987D" w14:textId="77777777" w:rsidR="00C016C5" w:rsidRPr="00A21051" w:rsidRDefault="00C016C5" w:rsidP="00C016C5">
      <w:pPr>
        <w:rPr>
          <w:noProof/>
          <w:lang w:val="en-IE"/>
        </w:rPr>
      </w:pPr>
      <w:r w:rsidRPr="00A21051">
        <w:rPr>
          <w:noProof/>
          <w:lang w:val="en-IE"/>
        </w:rPr>
        <w:t xml:space="preserve">For the development of fusion energy during 2021-2025, the co-funded European partnership in fusion research will build on the progress made by the EUROfusion consortium (2014-2020), providing support for the efficient commencement of the </w:t>
      </w:r>
      <w:r w:rsidRPr="0056157B">
        <w:rPr>
          <w:noProof/>
          <w:lang w:val="en-IE"/>
        </w:rPr>
        <w:t>international thermonuclear experimental reactor</w:t>
      </w:r>
      <w:r w:rsidRPr="00A21051">
        <w:rPr>
          <w:noProof/>
          <w:lang w:val="en-IE"/>
        </w:rPr>
        <w:t>’s operations and, working hand in hand with industry, to increase the efforts on the conceptual design of a fusion power plant.</w:t>
      </w:r>
    </w:p>
    <w:p w14:paraId="38C5B20D" w14:textId="77777777" w:rsidR="00C016C5" w:rsidRPr="00A21051" w:rsidRDefault="00C016C5" w:rsidP="00C016C5">
      <w:pPr>
        <w:pStyle w:val="ppoHeading6"/>
        <w:rPr>
          <w:noProof/>
          <w:lang w:val="en-IE"/>
        </w:rPr>
      </w:pPr>
      <w:r w:rsidRPr="00A21051">
        <w:rPr>
          <w:noProof/>
          <w:lang w:val="en-IE"/>
        </w:rPr>
        <w:t>Delivery mode</w:t>
      </w:r>
    </w:p>
    <w:p w14:paraId="134C70DF" w14:textId="77777777" w:rsidR="00C016C5" w:rsidRPr="00A21051" w:rsidRDefault="00C016C5" w:rsidP="00C016C5">
      <w:pPr>
        <w:rPr>
          <w:noProof/>
          <w:lang w:val="en-IE"/>
        </w:rPr>
      </w:pPr>
      <w:r w:rsidRPr="00A21051">
        <w:rPr>
          <w:noProof/>
          <w:lang w:val="en-IE"/>
        </w:rPr>
        <w:t>The indirect actions (grants for research labs and universities) are implemented under the lead of DG Research and Innovation. The programme also supports direct actions undertaken by the Joint Research Centre.</w:t>
      </w:r>
    </w:p>
    <w:p w14:paraId="7692CDCF" w14:textId="77777777" w:rsidR="00C016C5" w:rsidRPr="00A21051" w:rsidRDefault="00C016C5" w:rsidP="00C016C5">
      <w:pPr>
        <w:pStyle w:val="ppoHeading6"/>
        <w:rPr>
          <w:noProof/>
          <w:lang w:val="en-IE"/>
        </w:rPr>
      </w:pPr>
      <w:r w:rsidRPr="00A21051">
        <w:rPr>
          <w:noProof/>
          <w:lang w:val="en-IE"/>
        </w:rPr>
        <w:t>LINK TO THE 2014-2020 MULTIANNUAL FINANCIAL FRAMEWORK</w:t>
      </w:r>
    </w:p>
    <w:p w14:paraId="78EE843E" w14:textId="77777777" w:rsidR="00C016C5" w:rsidRPr="00A21051" w:rsidRDefault="00C016C5" w:rsidP="00C016C5">
      <w:pPr>
        <w:rPr>
          <w:noProof/>
          <w:lang w:val="en-IE"/>
        </w:rPr>
      </w:pPr>
      <w:r w:rsidRPr="00A21051">
        <w:rPr>
          <w:noProof/>
          <w:lang w:val="en-IE"/>
        </w:rPr>
        <w:t>The 2021-2025 programme builds on its predecessor, the 2014-2020 Euratom Programme. Compared to its predecessor, the new programme has a single set of objectives for both direct and indirect actions, seeking to enhance synergies with Horizon Europe in particular in medical applications of radiation. It reinforces the education and training actions in the nuclear field and opens Marie Skłodowska-Curie Actions to nuclear researchers.</w:t>
      </w:r>
    </w:p>
    <w:p w14:paraId="71543D13" w14:textId="77777777" w:rsidR="00C016C5" w:rsidRPr="00A21051" w:rsidRDefault="00C016C5" w:rsidP="00C016C5">
      <w:pPr>
        <w:pStyle w:val="ppoHeading6"/>
        <w:rPr>
          <w:noProof/>
          <w:lang w:val="en-IE"/>
        </w:rPr>
      </w:pPr>
      <w:r w:rsidRPr="00A21051">
        <w:rPr>
          <w:noProof/>
          <w:lang w:val="en-IE"/>
        </w:rPr>
        <w:t>Impact assessment</w:t>
      </w:r>
    </w:p>
    <w:p w14:paraId="47B7FA2A" w14:textId="77777777" w:rsidR="00C016C5" w:rsidRPr="00A21051" w:rsidRDefault="00C016C5" w:rsidP="00C016C5">
      <w:pPr>
        <w:rPr>
          <w:noProof/>
          <w:lang w:val="en-IE"/>
        </w:rPr>
      </w:pPr>
      <w:r w:rsidRPr="00A21051">
        <w:rPr>
          <w:noProof/>
          <w:lang w:val="en-IE"/>
        </w:rPr>
        <w:t>Commission Staff Working Document SWD(2018)</w:t>
      </w:r>
      <w:r w:rsidRPr="00A21051">
        <w:rPr>
          <w:rFonts w:ascii="Calibri" w:hAnsi="Calibri" w:cs="Calibri"/>
          <w:noProof/>
          <w:lang w:val="en-IE"/>
        </w:rPr>
        <w:t> </w:t>
      </w:r>
      <w:r w:rsidRPr="00A21051">
        <w:rPr>
          <w:noProof/>
          <w:lang w:val="en-IE"/>
        </w:rPr>
        <w:t xml:space="preserve">307 final, see </w:t>
      </w:r>
      <w:hyperlink r:id="rId97" w:history="1">
        <w:r w:rsidRPr="00A21051">
          <w:rPr>
            <w:rStyle w:val="Hyperlink"/>
            <w:noProof/>
            <w:lang w:val="en-IE"/>
          </w:rPr>
          <w:t>https://europa.eu/!hv87Cf</w:t>
        </w:r>
      </w:hyperlink>
    </w:p>
    <w:p w14:paraId="7804E543" w14:textId="77777777" w:rsidR="00C016C5" w:rsidRPr="00A21051" w:rsidRDefault="00C016C5" w:rsidP="00C016C5">
      <w:pPr>
        <w:pStyle w:val="ppoHeading6"/>
        <w:rPr>
          <w:noProof/>
          <w:lang w:val="en-IE"/>
        </w:rPr>
      </w:pPr>
      <w:r w:rsidRPr="00A21051">
        <w:rPr>
          <w:noProof/>
          <w:lang w:val="en-IE"/>
        </w:rPr>
        <w:t>WEBSITE FOR more information</w:t>
      </w:r>
    </w:p>
    <w:p w14:paraId="6EDC2A88" w14:textId="77777777" w:rsidR="00C016C5" w:rsidRPr="00A21051" w:rsidRDefault="00E01E9B" w:rsidP="00C016C5">
      <w:pPr>
        <w:rPr>
          <w:noProof/>
          <w:lang w:val="en-IE"/>
        </w:rPr>
      </w:pPr>
      <w:hyperlink r:id="rId98" w:history="1">
        <w:r w:rsidR="00C016C5" w:rsidRPr="00A21051">
          <w:rPr>
            <w:rStyle w:val="Hyperlink"/>
            <w:noProof/>
            <w:lang w:val="en-IE"/>
          </w:rPr>
          <w:t>https://ec.europa.eu/programmes/horizon2020/en/h2020</w:t>
        </w:r>
        <w:r w:rsidR="00C016C5" w:rsidRPr="00A21051">
          <w:rPr>
            <w:rStyle w:val="Hyperlink"/>
            <w:rFonts w:ascii="Cambria Math" w:hAnsi="Cambria Math" w:cs="Cambria Math"/>
            <w:noProof/>
            <w:lang w:val="en-IE"/>
          </w:rPr>
          <w:t>‐</w:t>
        </w:r>
        <w:r w:rsidR="00C016C5" w:rsidRPr="00A21051">
          <w:rPr>
            <w:rStyle w:val="Hyperlink"/>
            <w:noProof/>
            <w:lang w:val="en-IE"/>
          </w:rPr>
          <w:t>section/euratom</w:t>
        </w:r>
      </w:hyperlink>
    </w:p>
    <w:p w14:paraId="0F589287" w14:textId="77777777" w:rsidR="00C016C5" w:rsidRPr="00A21051" w:rsidRDefault="00C016C5" w:rsidP="00C016C5">
      <w:pPr>
        <w:pStyle w:val="ppoHeading5"/>
        <w:rPr>
          <w:noProof/>
          <w:lang w:val="en-IE"/>
        </w:rPr>
      </w:pPr>
      <w:r w:rsidRPr="00A21051">
        <w:rPr>
          <w:rFonts w:eastAsiaTheme="minorEastAsia"/>
          <w:noProof/>
          <w:lang w:val="en-IE"/>
        </w:rPr>
        <w:t>Legal basis</w:t>
      </w:r>
    </w:p>
    <w:p w14:paraId="53FA06E7" w14:textId="77777777" w:rsidR="00C016C5" w:rsidRPr="00A21051" w:rsidRDefault="00C016C5" w:rsidP="00C016C5">
      <w:pPr>
        <w:rPr>
          <w:noProof/>
          <w:lang w:val="en-IE"/>
        </w:rPr>
      </w:pPr>
      <w:r w:rsidRPr="00A21051">
        <w:rPr>
          <w:noProof/>
          <w:lang w:val="en-IE"/>
        </w:rPr>
        <w:t>Regulation (EU)</w:t>
      </w:r>
      <w:r w:rsidRPr="00A21051">
        <w:rPr>
          <w:rFonts w:ascii="Calibri" w:hAnsi="Calibri" w:cs="Calibri"/>
          <w:noProof/>
          <w:lang w:val="en-IE"/>
        </w:rPr>
        <w:t> </w:t>
      </w:r>
      <w:r w:rsidRPr="00A21051">
        <w:rPr>
          <w:noProof/>
          <w:lang w:val="en-IE"/>
        </w:rPr>
        <w:t>2021/765 of the European Parliament and of the Council.</w:t>
      </w:r>
    </w:p>
    <w:p w14:paraId="39E7BF29" w14:textId="77777777" w:rsidR="00C016C5" w:rsidRPr="00A21051" w:rsidRDefault="00C016C5" w:rsidP="00C016C5">
      <w:pPr>
        <w:pStyle w:val="ppoHeading4Orange"/>
        <w:rPr>
          <w:caps/>
          <w:noProof/>
          <w:lang w:val="en-IE"/>
        </w:rPr>
      </w:pPr>
      <w:r w:rsidRPr="00A21051">
        <w:rPr>
          <w:noProof/>
          <w:lang w:val="en-IE"/>
        </w:rPr>
        <w:t xml:space="preserve">Implementation and performance </w:t>
      </w:r>
    </w:p>
    <w:p w14:paraId="0A9D494F" w14:textId="77777777" w:rsidR="00C016C5" w:rsidRPr="00A21051" w:rsidRDefault="00C016C5" w:rsidP="00C016C5">
      <w:pPr>
        <w:pStyle w:val="ppoHeading5"/>
        <w:rPr>
          <w:noProof/>
          <w:lang w:val="en-IE"/>
        </w:rPr>
      </w:pPr>
      <w:r w:rsidRPr="00A21051">
        <w:rPr>
          <w:noProof/>
          <w:lang w:val="en-IE"/>
        </w:rPr>
        <w:t>Budget implementation</w:t>
      </w:r>
    </w:p>
    <w:p w14:paraId="4F122521" w14:textId="77777777" w:rsidR="00C016C5" w:rsidRPr="00A21051" w:rsidRDefault="00C016C5" w:rsidP="00C016C5">
      <w:pPr>
        <w:pStyle w:val="ppoTableTabletitle"/>
        <w:rPr>
          <w:noProof/>
          <w:lang w:val="en-IE"/>
        </w:rPr>
      </w:pPr>
      <w:r w:rsidRPr="00A21051">
        <w:rPr>
          <w:noProof/>
          <w:lang w:val="en-IE"/>
        </w:rPr>
        <w:t>Budget programming (million 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EC47B9" w:rsidRPr="00A21051" w14:paraId="56417B83" w14:textId="77777777" w:rsidTr="00E02B38">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19AF6809" w14:textId="77777777" w:rsidR="00EC47B9" w:rsidRPr="00A21051" w:rsidRDefault="00EC47B9" w:rsidP="00E02B38">
            <w:pPr>
              <w:rPr>
                <w:noProof/>
                <w:lang w:val="en-IE"/>
              </w:rPr>
            </w:pPr>
          </w:p>
        </w:tc>
        <w:tc>
          <w:tcPr>
            <w:tcW w:w="943" w:type="dxa"/>
            <w:noWrap/>
            <w:hideMark/>
          </w:tcPr>
          <w:p w14:paraId="7936D318" w14:textId="77777777" w:rsidR="00EC47B9" w:rsidRPr="00A21051" w:rsidRDefault="00EC47B9" w:rsidP="00E02B38">
            <w:pPr>
              <w:rPr>
                <w:noProof/>
                <w:lang w:val="en-IE"/>
              </w:rPr>
            </w:pPr>
            <w:r w:rsidRPr="00A21051">
              <w:rPr>
                <w:noProof/>
                <w:lang w:val="en-IE"/>
              </w:rPr>
              <w:t>2021</w:t>
            </w:r>
          </w:p>
        </w:tc>
        <w:tc>
          <w:tcPr>
            <w:tcW w:w="944" w:type="dxa"/>
            <w:noWrap/>
            <w:hideMark/>
          </w:tcPr>
          <w:p w14:paraId="474D37E7" w14:textId="77777777" w:rsidR="00EC47B9" w:rsidRPr="00A21051" w:rsidRDefault="00EC47B9" w:rsidP="00E02B38">
            <w:pPr>
              <w:rPr>
                <w:noProof/>
                <w:lang w:val="en-IE"/>
              </w:rPr>
            </w:pPr>
            <w:r w:rsidRPr="00A21051">
              <w:rPr>
                <w:noProof/>
                <w:lang w:val="en-IE"/>
              </w:rPr>
              <w:t>2022</w:t>
            </w:r>
          </w:p>
        </w:tc>
        <w:tc>
          <w:tcPr>
            <w:tcW w:w="943" w:type="dxa"/>
            <w:noWrap/>
            <w:hideMark/>
          </w:tcPr>
          <w:p w14:paraId="7866803E" w14:textId="77777777" w:rsidR="00EC47B9" w:rsidRPr="00A21051" w:rsidRDefault="00EC47B9" w:rsidP="00E02B38">
            <w:pPr>
              <w:rPr>
                <w:noProof/>
                <w:lang w:val="en-IE"/>
              </w:rPr>
            </w:pPr>
            <w:r w:rsidRPr="00A21051">
              <w:rPr>
                <w:noProof/>
                <w:lang w:val="en-IE"/>
              </w:rPr>
              <w:t>2023</w:t>
            </w:r>
          </w:p>
        </w:tc>
        <w:tc>
          <w:tcPr>
            <w:tcW w:w="944" w:type="dxa"/>
            <w:noWrap/>
            <w:hideMark/>
          </w:tcPr>
          <w:p w14:paraId="0F52B6E0" w14:textId="77777777" w:rsidR="00EC47B9" w:rsidRPr="00A21051" w:rsidRDefault="00EC47B9" w:rsidP="00E02B38">
            <w:pPr>
              <w:rPr>
                <w:noProof/>
                <w:lang w:val="en-IE"/>
              </w:rPr>
            </w:pPr>
            <w:r w:rsidRPr="00A21051">
              <w:rPr>
                <w:noProof/>
                <w:lang w:val="en-IE"/>
              </w:rPr>
              <w:t>2024</w:t>
            </w:r>
          </w:p>
        </w:tc>
        <w:tc>
          <w:tcPr>
            <w:tcW w:w="944" w:type="dxa"/>
            <w:noWrap/>
            <w:hideMark/>
          </w:tcPr>
          <w:p w14:paraId="733E55A9" w14:textId="77777777" w:rsidR="00EC47B9" w:rsidRPr="00A21051" w:rsidRDefault="00EC47B9" w:rsidP="00E02B38">
            <w:pPr>
              <w:rPr>
                <w:noProof/>
                <w:lang w:val="en-IE"/>
              </w:rPr>
            </w:pPr>
            <w:r w:rsidRPr="00A21051">
              <w:rPr>
                <w:noProof/>
                <w:lang w:val="en-IE"/>
              </w:rPr>
              <w:t>2025</w:t>
            </w:r>
          </w:p>
        </w:tc>
        <w:tc>
          <w:tcPr>
            <w:tcW w:w="943" w:type="dxa"/>
            <w:noWrap/>
            <w:hideMark/>
          </w:tcPr>
          <w:p w14:paraId="39692DA1" w14:textId="77777777" w:rsidR="00EC47B9" w:rsidRPr="00A21051" w:rsidRDefault="00EC47B9" w:rsidP="00E02B38">
            <w:pPr>
              <w:rPr>
                <w:noProof/>
                <w:lang w:val="en-IE"/>
              </w:rPr>
            </w:pPr>
            <w:r w:rsidRPr="00A21051">
              <w:rPr>
                <w:noProof/>
                <w:lang w:val="en-IE"/>
              </w:rPr>
              <w:t>2026</w:t>
            </w:r>
          </w:p>
        </w:tc>
        <w:tc>
          <w:tcPr>
            <w:tcW w:w="944" w:type="dxa"/>
            <w:noWrap/>
            <w:hideMark/>
          </w:tcPr>
          <w:p w14:paraId="13084F6F" w14:textId="77777777" w:rsidR="00EC47B9" w:rsidRPr="00A21051" w:rsidRDefault="00EC47B9" w:rsidP="00E02B38">
            <w:pPr>
              <w:rPr>
                <w:noProof/>
                <w:lang w:val="en-IE"/>
              </w:rPr>
            </w:pPr>
            <w:r w:rsidRPr="00A21051">
              <w:rPr>
                <w:noProof/>
                <w:lang w:val="en-IE"/>
              </w:rPr>
              <w:t>2027</w:t>
            </w:r>
          </w:p>
        </w:tc>
        <w:tc>
          <w:tcPr>
            <w:tcW w:w="944" w:type="dxa"/>
            <w:noWrap/>
            <w:hideMark/>
          </w:tcPr>
          <w:p w14:paraId="40DC15EA" w14:textId="77777777" w:rsidR="00EC47B9" w:rsidRPr="00A21051" w:rsidRDefault="00EC47B9" w:rsidP="00E02B38">
            <w:pPr>
              <w:rPr>
                <w:noProof/>
                <w:lang w:val="en-IE"/>
              </w:rPr>
            </w:pPr>
            <w:r w:rsidRPr="00A21051">
              <w:rPr>
                <w:noProof/>
                <w:lang w:val="en-IE"/>
              </w:rPr>
              <w:t>Total</w:t>
            </w:r>
          </w:p>
        </w:tc>
      </w:tr>
      <w:tr w:rsidR="00EC47B9" w:rsidRPr="00A21051" w14:paraId="3B62D681" w14:textId="77777777" w:rsidTr="00E02B38">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292C31B3" w14:textId="77777777" w:rsidR="00EC47B9" w:rsidRPr="00A21051" w:rsidRDefault="00EC47B9" w:rsidP="00E02B38">
            <w:pPr>
              <w:rPr>
                <w:noProof/>
                <w:lang w:val="en-IE"/>
              </w:rPr>
            </w:pPr>
            <w:r w:rsidRPr="00A21051">
              <w:rPr>
                <w:noProof/>
                <w:lang w:val="en-IE"/>
              </w:rPr>
              <w:t>Financial programming</w:t>
            </w:r>
          </w:p>
        </w:tc>
        <w:tc>
          <w:tcPr>
            <w:tcW w:w="943" w:type="dxa"/>
            <w:noWrap/>
            <w:hideMark/>
          </w:tcPr>
          <w:p w14:paraId="1F7B6317" w14:textId="77777777" w:rsidR="00EC47B9" w:rsidRPr="00A21051" w:rsidRDefault="00EC47B9" w:rsidP="00E02B38">
            <w:pPr>
              <w:jc w:val="center"/>
              <w:rPr>
                <w:noProof/>
                <w:lang w:val="en-IE"/>
              </w:rPr>
            </w:pPr>
            <w:r w:rsidRPr="00A21051">
              <w:rPr>
                <w:noProof/>
                <w:lang w:val="en-IE"/>
              </w:rPr>
              <w:t>264.7</w:t>
            </w:r>
          </w:p>
        </w:tc>
        <w:tc>
          <w:tcPr>
            <w:tcW w:w="944" w:type="dxa"/>
            <w:noWrap/>
            <w:hideMark/>
          </w:tcPr>
          <w:p w14:paraId="5B9532A2" w14:textId="77777777" w:rsidR="00EC47B9" w:rsidRPr="00A21051" w:rsidRDefault="00EC47B9" w:rsidP="00E02B38">
            <w:pPr>
              <w:jc w:val="center"/>
              <w:rPr>
                <w:noProof/>
                <w:lang w:val="en-IE"/>
              </w:rPr>
            </w:pPr>
            <w:r w:rsidRPr="00A21051">
              <w:rPr>
                <w:noProof/>
                <w:lang w:val="en-IE"/>
              </w:rPr>
              <w:t>270.7</w:t>
            </w:r>
          </w:p>
        </w:tc>
        <w:tc>
          <w:tcPr>
            <w:tcW w:w="943" w:type="dxa"/>
            <w:noWrap/>
            <w:hideMark/>
          </w:tcPr>
          <w:p w14:paraId="05C4636C" w14:textId="77777777" w:rsidR="00EC47B9" w:rsidRPr="00A21051" w:rsidRDefault="00EC47B9" w:rsidP="00E02B38">
            <w:pPr>
              <w:jc w:val="center"/>
              <w:rPr>
                <w:noProof/>
                <w:lang w:val="en-IE"/>
              </w:rPr>
            </w:pPr>
            <w:r w:rsidRPr="00A21051">
              <w:rPr>
                <w:noProof/>
                <w:lang w:val="en-IE"/>
              </w:rPr>
              <w:t>276.5</w:t>
            </w:r>
          </w:p>
        </w:tc>
        <w:tc>
          <w:tcPr>
            <w:tcW w:w="944" w:type="dxa"/>
            <w:noWrap/>
            <w:hideMark/>
          </w:tcPr>
          <w:p w14:paraId="5A26CF4B" w14:textId="77777777" w:rsidR="00EC47B9" w:rsidRPr="00A21051" w:rsidRDefault="00EC47B9" w:rsidP="00E02B38">
            <w:pPr>
              <w:jc w:val="center"/>
              <w:rPr>
                <w:noProof/>
                <w:lang w:val="en-IE"/>
              </w:rPr>
            </w:pPr>
            <w:r w:rsidRPr="00A21051">
              <w:rPr>
                <w:noProof/>
                <w:lang w:val="en-IE"/>
              </w:rPr>
              <w:t>281.2</w:t>
            </w:r>
          </w:p>
        </w:tc>
        <w:tc>
          <w:tcPr>
            <w:tcW w:w="944" w:type="dxa"/>
            <w:noWrap/>
            <w:hideMark/>
          </w:tcPr>
          <w:p w14:paraId="1DEB5EC5" w14:textId="77777777" w:rsidR="00EC47B9" w:rsidRPr="00A21051" w:rsidRDefault="00EC47B9" w:rsidP="00E02B38">
            <w:pPr>
              <w:jc w:val="center"/>
              <w:rPr>
                <w:noProof/>
                <w:lang w:val="en-IE"/>
              </w:rPr>
            </w:pPr>
            <w:r w:rsidRPr="00A21051">
              <w:rPr>
                <w:noProof/>
                <w:lang w:val="en-IE"/>
              </w:rPr>
              <w:t>287.8</w:t>
            </w:r>
          </w:p>
        </w:tc>
        <w:tc>
          <w:tcPr>
            <w:tcW w:w="943" w:type="dxa"/>
            <w:noWrap/>
            <w:hideMark/>
          </w:tcPr>
          <w:p w14:paraId="699F5BF8" w14:textId="77777777" w:rsidR="00EC47B9" w:rsidRPr="00A21051" w:rsidRDefault="00EC47B9" w:rsidP="00E02B38">
            <w:pPr>
              <w:jc w:val="center"/>
              <w:rPr>
                <w:noProof/>
                <w:lang w:val="en-IE"/>
              </w:rPr>
            </w:pPr>
            <w:r w:rsidRPr="00A21051">
              <w:rPr>
                <w:noProof/>
                <w:lang w:val="en-IE"/>
              </w:rPr>
              <w:t>293.8</w:t>
            </w:r>
          </w:p>
        </w:tc>
        <w:tc>
          <w:tcPr>
            <w:tcW w:w="944" w:type="dxa"/>
            <w:noWrap/>
            <w:hideMark/>
          </w:tcPr>
          <w:p w14:paraId="21981FF9" w14:textId="77777777" w:rsidR="00EC47B9" w:rsidRPr="00A21051" w:rsidRDefault="00EC47B9" w:rsidP="00E02B38">
            <w:pPr>
              <w:jc w:val="center"/>
              <w:rPr>
                <w:noProof/>
                <w:lang w:val="en-IE"/>
              </w:rPr>
            </w:pPr>
            <w:r w:rsidRPr="00A21051">
              <w:rPr>
                <w:noProof/>
                <w:lang w:val="en-IE"/>
              </w:rPr>
              <w:t>304.5</w:t>
            </w:r>
          </w:p>
        </w:tc>
        <w:tc>
          <w:tcPr>
            <w:tcW w:w="944" w:type="dxa"/>
            <w:noWrap/>
            <w:hideMark/>
          </w:tcPr>
          <w:p w14:paraId="640F55FE" w14:textId="77777777" w:rsidR="00EC47B9" w:rsidRPr="00A21051" w:rsidRDefault="00EC47B9" w:rsidP="00E02B38">
            <w:pPr>
              <w:jc w:val="center"/>
              <w:rPr>
                <w:noProof/>
                <w:lang w:val="en-IE"/>
              </w:rPr>
            </w:pPr>
            <w:r w:rsidRPr="00A21051">
              <w:rPr>
                <w:noProof/>
                <w:lang w:val="en-IE"/>
              </w:rPr>
              <w:t>1</w:t>
            </w:r>
            <w:r w:rsidRPr="00A21051">
              <w:rPr>
                <w:rFonts w:ascii="Calibri" w:hAnsi="Calibri" w:cs="Calibri"/>
                <w:noProof/>
                <w:lang w:val="en-IE"/>
              </w:rPr>
              <w:t> </w:t>
            </w:r>
            <w:r w:rsidRPr="00A21051">
              <w:rPr>
                <w:noProof/>
                <w:lang w:val="en-IE"/>
              </w:rPr>
              <w:t>979.3</w:t>
            </w:r>
          </w:p>
        </w:tc>
      </w:tr>
      <w:tr w:rsidR="00EC47B9" w:rsidRPr="00A21051" w14:paraId="037B5C0F" w14:textId="77777777" w:rsidTr="00E02B38">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59CBD58C" w14:textId="77777777" w:rsidR="00EC47B9" w:rsidRPr="00A21051" w:rsidRDefault="00EC47B9" w:rsidP="00E02B38">
            <w:pPr>
              <w:rPr>
                <w:noProof/>
                <w:lang w:val="en-IE"/>
              </w:rPr>
            </w:pPr>
            <w:r w:rsidRPr="00A21051">
              <w:rPr>
                <w:noProof/>
                <w:lang w:val="en-IE"/>
              </w:rPr>
              <w:t>NextGenerationEU</w:t>
            </w:r>
          </w:p>
        </w:tc>
        <w:tc>
          <w:tcPr>
            <w:tcW w:w="943" w:type="dxa"/>
            <w:noWrap/>
            <w:hideMark/>
          </w:tcPr>
          <w:p w14:paraId="7BCC4F05" w14:textId="77777777" w:rsidR="00EC47B9" w:rsidRPr="00A21051" w:rsidRDefault="00EC47B9" w:rsidP="00E02B38">
            <w:pPr>
              <w:jc w:val="center"/>
              <w:rPr>
                <w:noProof/>
                <w:lang w:val="en-IE"/>
              </w:rPr>
            </w:pPr>
          </w:p>
        </w:tc>
        <w:tc>
          <w:tcPr>
            <w:tcW w:w="944" w:type="dxa"/>
            <w:noWrap/>
            <w:hideMark/>
          </w:tcPr>
          <w:p w14:paraId="680079FC" w14:textId="77777777" w:rsidR="00EC47B9" w:rsidRPr="00A21051" w:rsidRDefault="00EC47B9" w:rsidP="00E02B38">
            <w:pPr>
              <w:jc w:val="center"/>
              <w:rPr>
                <w:noProof/>
                <w:lang w:val="en-IE"/>
              </w:rPr>
            </w:pPr>
          </w:p>
        </w:tc>
        <w:tc>
          <w:tcPr>
            <w:tcW w:w="943" w:type="dxa"/>
            <w:noWrap/>
            <w:hideMark/>
          </w:tcPr>
          <w:p w14:paraId="7554AC75" w14:textId="77777777" w:rsidR="00EC47B9" w:rsidRPr="00A21051" w:rsidRDefault="00EC47B9" w:rsidP="00E02B38">
            <w:pPr>
              <w:jc w:val="center"/>
              <w:rPr>
                <w:noProof/>
                <w:lang w:val="en-IE"/>
              </w:rPr>
            </w:pPr>
          </w:p>
        </w:tc>
        <w:tc>
          <w:tcPr>
            <w:tcW w:w="944" w:type="dxa"/>
            <w:noWrap/>
            <w:hideMark/>
          </w:tcPr>
          <w:p w14:paraId="4C6904A2" w14:textId="77777777" w:rsidR="00EC47B9" w:rsidRPr="00A21051" w:rsidRDefault="00EC47B9" w:rsidP="00E02B38">
            <w:pPr>
              <w:jc w:val="center"/>
              <w:rPr>
                <w:noProof/>
                <w:lang w:val="en-IE"/>
              </w:rPr>
            </w:pPr>
          </w:p>
        </w:tc>
        <w:tc>
          <w:tcPr>
            <w:tcW w:w="944" w:type="dxa"/>
            <w:noWrap/>
            <w:hideMark/>
          </w:tcPr>
          <w:p w14:paraId="73E385B4" w14:textId="77777777" w:rsidR="00EC47B9" w:rsidRPr="00A21051" w:rsidRDefault="00EC47B9" w:rsidP="00E02B38">
            <w:pPr>
              <w:jc w:val="center"/>
              <w:rPr>
                <w:noProof/>
                <w:lang w:val="en-IE"/>
              </w:rPr>
            </w:pPr>
          </w:p>
        </w:tc>
        <w:tc>
          <w:tcPr>
            <w:tcW w:w="943" w:type="dxa"/>
            <w:noWrap/>
            <w:hideMark/>
          </w:tcPr>
          <w:p w14:paraId="7A8D35D6" w14:textId="77777777" w:rsidR="00EC47B9" w:rsidRPr="00A21051" w:rsidRDefault="00EC47B9" w:rsidP="00E02B38">
            <w:pPr>
              <w:jc w:val="center"/>
              <w:rPr>
                <w:noProof/>
                <w:lang w:val="en-IE"/>
              </w:rPr>
            </w:pPr>
          </w:p>
        </w:tc>
        <w:tc>
          <w:tcPr>
            <w:tcW w:w="944" w:type="dxa"/>
            <w:noWrap/>
            <w:hideMark/>
          </w:tcPr>
          <w:p w14:paraId="16573EDE" w14:textId="77777777" w:rsidR="00EC47B9" w:rsidRPr="00A21051" w:rsidRDefault="00EC47B9" w:rsidP="00E02B38">
            <w:pPr>
              <w:jc w:val="center"/>
              <w:rPr>
                <w:noProof/>
                <w:lang w:val="en-IE"/>
              </w:rPr>
            </w:pPr>
          </w:p>
        </w:tc>
        <w:tc>
          <w:tcPr>
            <w:tcW w:w="944" w:type="dxa"/>
            <w:noWrap/>
            <w:hideMark/>
          </w:tcPr>
          <w:p w14:paraId="2C138252" w14:textId="77777777" w:rsidR="00EC47B9" w:rsidRPr="00A21051" w:rsidRDefault="00EC47B9" w:rsidP="00E02B38">
            <w:pPr>
              <w:jc w:val="center"/>
              <w:rPr>
                <w:noProof/>
                <w:lang w:val="en-IE"/>
              </w:rPr>
            </w:pPr>
          </w:p>
        </w:tc>
      </w:tr>
      <w:tr w:rsidR="00EC47B9" w:rsidRPr="00A21051" w14:paraId="5B7E37BE" w14:textId="77777777" w:rsidTr="00E02B38">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2E875DE1" w14:textId="77777777" w:rsidR="00EC47B9" w:rsidRPr="00A21051" w:rsidRDefault="00EC47B9" w:rsidP="00E02B38">
            <w:pPr>
              <w:rPr>
                <w:noProof/>
                <w:lang w:val="en-IE"/>
              </w:rPr>
            </w:pPr>
            <w:r w:rsidRPr="00A21051">
              <w:rPr>
                <w:noProof/>
                <w:lang w:val="en-IE"/>
              </w:rPr>
              <w:t>Decommitments made available again</w:t>
            </w:r>
            <w:r w:rsidRPr="00A21051">
              <w:rPr>
                <w:rFonts w:ascii="Calibri" w:hAnsi="Calibri" w:cs="Calibri"/>
                <w:noProof/>
                <w:lang w:val="en-IE"/>
              </w:rPr>
              <w:t> (</w:t>
            </w:r>
            <w:r w:rsidRPr="00A21051">
              <w:rPr>
                <w:noProof/>
                <w:lang w:val="en-IE"/>
              </w:rPr>
              <w:t>*)</w:t>
            </w:r>
          </w:p>
        </w:tc>
        <w:tc>
          <w:tcPr>
            <w:tcW w:w="943" w:type="dxa"/>
            <w:noWrap/>
            <w:hideMark/>
          </w:tcPr>
          <w:p w14:paraId="1A293D95" w14:textId="77777777" w:rsidR="00EC47B9" w:rsidRPr="00A21051" w:rsidRDefault="00EC47B9" w:rsidP="00E02B38">
            <w:pPr>
              <w:jc w:val="center"/>
              <w:rPr>
                <w:noProof/>
                <w:lang w:val="en-IE"/>
              </w:rPr>
            </w:pPr>
            <w:r>
              <w:rPr>
                <w:noProof/>
                <w:lang w:val="en-IE"/>
              </w:rPr>
              <w:t>0.0</w:t>
            </w:r>
          </w:p>
        </w:tc>
        <w:tc>
          <w:tcPr>
            <w:tcW w:w="944" w:type="dxa"/>
            <w:noWrap/>
            <w:hideMark/>
          </w:tcPr>
          <w:p w14:paraId="3B2C437D" w14:textId="77777777" w:rsidR="00EC47B9" w:rsidRPr="00A21051" w:rsidRDefault="00EC47B9" w:rsidP="00E02B38">
            <w:pPr>
              <w:jc w:val="center"/>
              <w:rPr>
                <w:noProof/>
                <w:lang w:val="en-IE"/>
              </w:rPr>
            </w:pPr>
          </w:p>
        </w:tc>
        <w:tc>
          <w:tcPr>
            <w:tcW w:w="943" w:type="dxa"/>
            <w:noWrap/>
            <w:hideMark/>
          </w:tcPr>
          <w:p w14:paraId="2C25DB64" w14:textId="77777777" w:rsidR="00EC47B9" w:rsidRPr="00A21051" w:rsidRDefault="00EC47B9" w:rsidP="00E02B38">
            <w:pPr>
              <w:jc w:val="center"/>
              <w:rPr>
                <w:noProof/>
                <w:lang w:val="en-IE"/>
              </w:rPr>
            </w:pPr>
          </w:p>
        </w:tc>
        <w:tc>
          <w:tcPr>
            <w:tcW w:w="944" w:type="dxa"/>
            <w:noWrap/>
            <w:hideMark/>
          </w:tcPr>
          <w:p w14:paraId="435E6205" w14:textId="77777777" w:rsidR="00EC47B9" w:rsidRPr="00A21051" w:rsidRDefault="00EC47B9" w:rsidP="00E02B38">
            <w:pPr>
              <w:jc w:val="center"/>
              <w:rPr>
                <w:noProof/>
                <w:lang w:val="en-IE"/>
              </w:rPr>
            </w:pPr>
          </w:p>
        </w:tc>
        <w:tc>
          <w:tcPr>
            <w:tcW w:w="944" w:type="dxa"/>
            <w:noWrap/>
            <w:hideMark/>
          </w:tcPr>
          <w:p w14:paraId="16E339BA" w14:textId="77777777" w:rsidR="00EC47B9" w:rsidRPr="00A21051" w:rsidRDefault="00EC47B9" w:rsidP="00E02B38">
            <w:pPr>
              <w:jc w:val="center"/>
              <w:rPr>
                <w:noProof/>
                <w:lang w:val="en-IE"/>
              </w:rPr>
            </w:pPr>
          </w:p>
        </w:tc>
        <w:tc>
          <w:tcPr>
            <w:tcW w:w="943" w:type="dxa"/>
            <w:noWrap/>
            <w:hideMark/>
          </w:tcPr>
          <w:p w14:paraId="262A5B3B" w14:textId="77777777" w:rsidR="00EC47B9" w:rsidRPr="00A21051" w:rsidRDefault="00EC47B9" w:rsidP="00E02B38">
            <w:pPr>
              <w:jc w:val="center"/>
              <w:rPr>
                <w:noProof/>
                <w:lang w:val="en-IE"/>
              </w:rPr>
            </w:pPr>
          </w:p>
        </w:tc>
        <w:tc>
          <w:tcPr>
            <w:tcW w:w="944" w:type="dxa"/>
            <w:noWrap/>
            <w:hideMark/>
          </w:tcPr>
          <w:p w14:paraId="41FAA4ED" w14:textId="77777777" w:rsidR="00EC47B9" w:rsidRPr="00A21051" w:rsidRDefault="00EC47B9" w:rsidP="00E02B38">
            <w:pPr>
              <w:jc w:val="center"/>
              <w:rPr>
                <w:noProof/>
                <w:lang w:val="en-IE"/>
              </w:rPr>
            </w:pPr>
          </w:p>
        </w:tc>
        <w:tc>
          <w:tcPr>
            <w:tcW w:w="944" w:type="dxa"/>
            <w:noWrap/>
            <w:hideMark/>
          </w:tcPr>
          <w:p w14:paraId="4795DE4E" w14:textId="77777777" w:rsidR="00EC47B9" w:rsidRPr="00A21051" w:rsidRDefault="00EC47B9" w:rsidP="00E02B38">
            <w:pPr>
              <w:jc w:val="center"/>
              <w:rPr>
                <w:noProof/>
                <w:lang w:val="en-IE"/>
              </w:rPr>
            </w:pPr>
            <w:r>
              <w:rPr>
                <w:noProof/>
                <w:lang w:val="en-IE"/>
              </w:rPr>
              <w:t>0.0</w:t>
            </w:r>
          </w:p>
        </w:tc>
      </w:tr>
      <w:tr w:rsidR="00EC47B9" w:rsidRPr="00A21051" w14:paraId="6EB28251" w14:textId="77777777" w:rsidTr="00E02B38">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142D52F6" w14:textId="77777777" w:rsidR="00EC47B9" w:rsidRPr="00A21051" w:rsidRDefault="00EC47B9" w:rsidP="00E02B38">
            <w:pPr>
              <w:rPr>
                <w:noProof/>
                <w:lang w:val="en-IE"/>
              </w:rPr>
            </w:pPr>
            <w:r w:rsidRPr="00A21051">
              <w:rPr>
                <w:noProof/>
                <w:lang w:val="en-IE"/>
              </w:rPr>
              <w:t>Contributions from other countries and entities</w:t>
            </w:r>
          </w:p>
        </w:tc>
        <w:tc>
          <w:tcPr>
            <w:tcW w:w="943" w:type="dxa"/>
            <w:noWrap/>
            <w:hideMark/>
          </w:tcPr>
          <w:p w14:paraId="29D4602A" w14:textId="77777777" w:rsidR="00EC47B9" w:rsidRPr="00A21051" w:rsidRDefault="00EC47B9" w:rsidP="00E02B38">
            <w:pPr>
              <w:jc w:val="center"/>
              <w:rPr>
                <w:noProof/>
                <w:lang w:val="en-IE"/>
              </w:rPr>
            </w:pPr>
            <w:r w:rsidRPr="00A21051">
              <w:rPr>
                <w:noProof/>
                <w:lang w:val="en-IE"/>
              </w:rPr>
              <w:t>15.1</w:t>
            </w:r>
          </w:p>
        </w:tc>
        <w:tc>
          <w:tcPr>
            <w:tcW w:w="944" w:type="dxa"/>
            <w:noWrap/>
            <w:hideMark/>
          </w:tcPr>
          <w:p w14:paraId="5379F8F5" w14:textId="77777777" w:rsidR="00EC47B9" w:rsidRPr="00A21051" w:rsidRDefault="00EC47B9" w:rsidP="00E02B38">
            <w:pPr>
              <w:jc w:val="center"/>
              <w:rPr>
                <w:noProof/>
                <w:lang w:val="en-IE"/>
              </w:rPr>
            </w:pPr>
            <w:r>
              <w:rPr>
                <w:noProof/>
                <w:lang w:val="en-IE"/>
              </w:rPr>
              <w:t>p.m.</w:t>
            </w:r>
          </w:p>
        </w:tc>
        <w:tc>
          <w:tcPr>
            <w:tcW w:w="943" w:type="dxa"/>
            <w:noWrap/>
            <w:hideMark/>
          </w:tcPr>
          <w:p w14:paraId="0950B6B5" w14:textId="77777777" w:rsidR="00EC47B9" w:rsidRPr="00A21051" w:rsidRDefault="00EC47B9" w:rsidP="00E02B38">
            <w:pPr>
              <w:jc w:val="center"/>
              <w:rPr>
                <w:noProof/>
                <w:lang w:val="en-IE"/>
              </w:rPr>
            </w:pPr>
            <w:r>
              <w:rPr>
                <w:noProof/>
                <w:lang w:val="en-IE"/>
              </w:rPr>
              <w:t>p.m.</w:t>
            </w:r>
          </w:p>
        </w:tc>
        <w:tc>
          <w:tcPr>
            <w:tcW w:w="944" w:type="dxa"/>
            <w:noWrap/>
            <w:hideMark/>
          </w:tcPr>
          <w:p w14:paraId="787E0036" w14:textId="77777777" w:rsidR="00EC47B9" w:rsidRPr="00A21051" w:rsidRDefault="00EC47B9" w:rsidP="00E02B38">
            <w:pPr>
              <w:jc w:val="center"/>
              <w:rPr>
                <w:noProof/>
                <w:lang w:val="en-IE"/>
              </w:rPr>
            </w:pPr>
            <w:r>
              <w:rPr>
                <w:noProof/>
                <w:lang w:val="en-IE"/>
              </w:rPr>
              <w:t>p.m.</w:t>
            </w:r>
          </w:p>
        </w:tc>
        <w:tc>
          <w:tcPr>
            <w:tcW w:w="944" w:type="dxa"/>
            <w:noWrap/>
            <w:hideMark/>
          </w:tcPr>
          <w:p w14:paraId="14DB1C3E" w14:textId="77777777" w:rsidR="00EC47B9" w:rsidRPr="00A21051" w:rsidRDefault="00EC47B9" w:rsidP="00E02B38">
            <w:pPr>
              <w:jc w:val="center"/>
              <w:rPr>
                <w:noProof/>
                <w:lang w:val="en-IE"/>
              </w:rPr>
            </w:pPr>
            <w:r>
              <w:rPr>
                <w:noProof/>
                <w:lang w:val="en-IE"/>
              </w:rPr>
              <w:t>p.m.</w:t>
            </w:r>
          </w:p>
        </w:tc>
        <w:tc>
          <w:tcPr>
            <w:tcW w:w="943" w:type="dxa"/>
            <w:noWrap/>
            <w:hideMark/>
          </w:tcPr>
          <w:p w14:paraId="34D73D7B" w14:textId="77777777" w:rsidR="00EC47B9" w:rsidRPr="00A21051" w:rsidRDefault="00EC47B9" w:rsidP="00E02B38">
            <w:pPr>
              <w:jc w:val="center"/>
              <w:rPr>
                <w:noProof/>
                <w:lang w:val="en-IE"/>
              </w:rPr>
            </w:pPr>
            <w:r>
              <w:rPr>
                <w:noProof/>
                <w:lang w:val="en-IE"/>
              </w:rPr>
              <w:t>p.m.</w:t>
            </w:r>
          </w:p>
        </w:tc>
        <w:tc>
          <w:tcPr>
            <w:tcW w:w="944" w:type="dxa"/>
            <w:noWrap/>
            <w:hideMark/>
          </w:tcPr>
          <w:p w14:paraId="405E720C" w14:textId="77777777" w:rsidR="00EC47B9" w:rsidRPr="00A21051" w:rsidRDefault="00EC47B9" w:rsidP="00E02B38">
            <w:pPr>
              <w:jc w:val="center"/>
              <w:rPr>
                <w:noProof/>
                <w:lang w:val="en-IE"/>
              </w:rPr>
            </w:pPr>
            <w:r>
              <w:rPr>
                <w:noProof/>
                <w:lang w:val="en-IE"/>
              </w:rPr>
              <w:t>p.m.</w:t>
            </w:r>
          </w:p>
        </w:tc>
        <w:tc>
          <w:tcPr>
            <w:tcW w:w="944" w:type="dxa"/>
            <w:noWrap/>
            <w:hideMark/>
          </w:tcPr>
          <w:p w14:paraId="024A1273" w14:textId="77777777" w:rsidR="00EC47B9" w:rsidRPr="00A21051" w:rsidRDefault="00EC47B9" w:rsidP="00E02B38">
            <w:pPr>
              <w:jc w:val="center"/>
              <w:rPr>
                <w:noProof/>
                <w:lang w:val="en-IE"/>
              </w:rPr>
            </w:pPr>
            <w:r w:rsidRPr="00A21051">
              <w:rPr>
                <w:noProof/>
                <w:lang w:val="en-IE"/>
              </w:rPr>
              <w:t>15.1</w:t>
            </w:r>
          </w:p>
        </w:tc>
      </w:tr>
    </w:tbl>
    <w:tbl>
      <w:tblPr>
        <w:tblW w:w="95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1035"/>
        <w:gridCol w:w="930"/>
        <w:gridCol w:w="930"/>
        <w:gridCol w:w="930"/>
        <w:gridCol w:w="930"/>
        <w:gridCol w:w="930"/>
        <w:gridCol w:w="930"/>
        <w:gridCol w:w="930"/>
      </w:tblGrid>
      <w:tr w:rsidR="00EC47B9" w:rsidRPr="00A21051" w14:paraId="11AFEB5B" w14:textId="77777777" w:rsidTr="00E02B38">
        <w:trPr>
          <w:trHeight w:val="600"/>
        </w:trPr>
        <w:tc>
          <w:tcPr>
            <w:tcW w:w="1980" w:type="dxa"/>
            <w:tcBorders>
              <w:top w:val="single" w:sz="6" w:space="0" w:color="8C8C8C"/>
              <w:left w:val="nil"/>
              <w:bottom w:val="single" w:sz="6" w:space="0" w:color="8C8C8C"/>
              <w:right w:val="nil"/>
            </w:tcBorders>
            <w:shd w:val="clear" w:color="auto" w:fill="auto"/>
            <w:hideMark/>
          </w:tcPr>
          <w:p w14:paraId="513E54A3" w14:textId="77777777" w:rsidR="00EC47B9" w:rsidRPr="00A21051" w:rsidRDefault="00EC47B9" w:rsidP="00E02B38">
            <w:pPr>
              <w:spacing w:after="0"/>
              <w:textAlignment w:val="baseline"/>
              <w:rPr>
                <w:rFonts w:ascii="Times New Roman" w:hAnsi="Times New Roman"/>
                <w:noProof/>
                <w:szCs w:val="24"/>
                <w:lang w:val="en-IE"/>
              </w:rPr>
            </w:pPr>
            <w:r w:rsidRPr="00A21051">
              <w:rPr>
                <w:b/>
                <w:bCs/>
                <w:noProof/>
                <w:lang w:val="en-IE"/>
              </w:rPr>
              <w:t>Total</w:t>
            </w:r>
            <w:r w:rsidRPr="00A21051">
              <w:rPr>
                <w:rFonts w:ascii="Calibri" w:hAnsi="Calibri" w:cs="Calibri"/>
                <w:noProof/>
                <w:lang w:val="en-IE"/>
              </w:rPr>
              <w:t> </w:t>
            </w:r>
          </w:p>
        </w:tc>
        <w:tc>
          <w:tcPr>
            <w:tcW w:w="1035" w:type="dxa"/>
            <w:tcBorders>
              <w:top w:val="single" w:sz="6" w:space="0" w:color="8C8C8C"/>
              <w:left w:val="nil"/>
              <w:bottom w:val="single" w:sz="6" w:space="0" w:color="8C8C8C"/>
              <w:right w:val="nil"/>
            </w:tcBorders>
            <w:shd w:val="clear" w:color="auto" w:fill="auto"/>
            <w:hideMark/>
          </w:tcPr>
          <w:p w14:paraId="5F41E1AE" w14:textId="77777777" w:rsidR="00EC47B9" w:rsidRPr="00A21051" w:rsidRDefault="00EC47B9" w:rsidP="00E02B38">
            <w:pPr>
              <w:spacing w:after="0"/>
              <w:jc w:val="center"/>
              <w:textAlignment w:val="baseline"/>
              <w:rPr>
                <w:rFonts w:ascii="Times New Roman" w:hAnsi="Times New Roman"/>
                <w:b/>
                <w:noProof/>
                <w:szCs w:val="24"/>
                <w:lang w:val="en-IE"/>
              </w:rPr>
            </w:pPr>
            <w:r w:rsidRPr="00A21051">
              <w:rPr>
                <w:b/>
                <w:noProof/>
                <w:lang w:val="en-IE"/>
              </w:rPr>
              <w:t>279.8</w:t>
            </w:r>
          </w:p>
        </w:tc>
        <w:tc>
          <w:tcPr>
            <w:tcW w:w="930" w:type="dxa"/>
            <w:tcBorders>
              <w:top w:val="single" w:sz="6" w:space="0" w:color="8C8C8C"/>
              <w:left w:val="nil"/>
              <w:bottom w:val="single" w:sz="6" w:space="0" w:color="8C8C8C"/>
              <w:right w:val="nil"/>
            </w:tcBorders>
            <w:shd w:val="clear" w:color="auto" w:fill="auto"/>
            <w:hideMark/>
          </w:tcPr>
          <w:p w14:paraId="7D7BC2B3" w14:textId="77777777" w:rsidR="00EC47B9" w:rsidRPr="00A21051" w:rsidRDefault="00EC47B9" w:rsidP="00E02B38">
            <w:pPr>
              <w:spacing w:after="0"/>
              <w:jc w:val="center"/>
              <w:textAlignment w:val="baseline"/>
              <w:rPr>
                <w:rFonts w:ascii="Times New Roman" w:hAnsi="Times New Roman"/>
                <w:b/>
                <w:noProof/>
                <w:szCs w:val="24"/>
                <w:lang w:val="en-IE"/>
              </w:rPr>
            </w:pPr>
            <w:r w:rsidRPr="00A21051">
              <w:rPr>
                <w:b/>
                <w:noProof/>
                <w:lang w:val="en-IE"/>
              </w:rPr>
              <w:t>270.7</w:t>
            </w:r>
          </w:p>
        </w:tc>
        <w:tc>
          <w:tcPr>
            <w:tcW w:w="930" w:type="dxa"/>
            <w:tcBorders>
              <w:top w:val="single" w:sz="6" w:space="0" w:color="8C8C8C"/>
              <w:left w:val="nil"/>
              <w:bottom w:val="single" w:sz="6" w:space="0" w:color="8C8C8C"/>
              <w:right w:val="nil"/>
            </w:tcBorders>
            <w:shd w:val="clear" w:color="auto" w:fill="auto"/>
            <w:hideMark/>
          </w:tcPr>
          <w:p w14:paraId="0FE93BD9" w14:textId="77777777" w:rsidR="00EC47B9" w:rsidRPr="00A21051" w:rsidRDefault="00EC47B9" w:rsidP="00E02B38">
            <w:pPr>
              <w:spacing w:after="0"/>
              <w:jc w:val="center"/>
              <w:textAlignment w:val="baseline"/>
              <w:rPr>
                <w:rFonts w:ascii="Times New Roman" w:hAnsi="Times New Roman"/>
                <w:b/>
                <w:noProof/>
                <w:szCs w:val="24"/>
                <w:lang w:val="en-IE"/>
              </w:rPr>
            </w:pPr>
            <w:r w:rsidRPr="00A21051">
              <w:rPr>
                <w:b/>
                <w:noProof/>
                <w:lang w:val="en-IE"/>
              </w:rPr>
              <w:t>276.5</w:t>
            </w:r>
          </w:p>
        </w:tc>
        <w:tc>
          <w:tcPr>
            <w:tcW w:w="930" w:type="dxa"/>
            <w:tcBorders>
              <w:top w:val="single" w:sz="6" w:space="0" w:color="8C8C8C"/>
              <w:left w:val="nil"/>
              <w:bottom w:val="single" w:sz="6" w:space="0" w:color="8C8C8C"/>
              <w:right w:val="nil"/>
            </w:tcBorders>
            <w:shd w:val="clear" w:color="auto" w:fill="auto"/>
            <w:hideMark/>
          </w:tcPr>
          <w:p w14:paraId="01A9C030" w14:textId="77777777" w:rsidR="00EC47B9" w:rsidRPr="00A21051" w:rsidRDefault="00EC47B9" w:rsidP="00E02B38">
            <w:pPr>
              <w:spacing w:after="0"/>
              <w:jc w:val="center"/>
              <w:textAlignment w:val="baseline"/>
              <w:rPr>
                <w:rFonts w:ascii="Times New Roman" w:hAnsi="Times New Roman"/>
                <w:b/>
                <w:noProof/>
                <w:szCs w:val="24"/>
                <w:lang w:val="en-IE"/>
              </w:rPr>
            </w:pPr>
            <w:r w:rsidRPr="00A21051">
              <w:rPr>
                <w:b/>
                <w:noProof/>
                <w:lang w:val="en-IE"/>
              </w:rPr>
              <w:t>281.2</w:t>
            </w:r>
          </w:p>
        </w:tc>
        <w:tc>
          <w:tcPr>
            <w:tcW w:w="930" w:type="dxa"/>
            <w:tcBorders>
              <w:top w:val="single" w:sz="6" w:space="0" w:color="8C8C8C"/>
              <w:left w:val="nil"/>
              <w:bottom w:val="single" w:sz="6" w:space="0" w:color="8C8C8C"/>
              <w:right w:val="nil"/>
            </w:tcBorders>
            <w:shd w:val="clear" w:color="auto" w:fill="auto"/>
            <w:hideMark/>
          </w:tcPr>
          <w:p w14:paraId="683EA86F" w14:textId="77777777" w:rsidR="00EC47B9" w:rsidRPr="00A21051" w:rsidRDefault="00EC47B9" w:rsidP="00E02B38">
            <w:pPr>
              <w:spacing w:after="0"/>
              <w:jc w:val="center"/>
              <w:textAlignment w:val="baseline"/>
              <w:rPr>
                <w:rFonts w:ascii="Times New Roman" w:hAnsi="Times New Roman"/>
                <w:b/>
                <w:noProof/>
                <w:szCs w:val="24"/>
                <w:lang w:val="en-IE"/>
              </w:rPr>
            </w:pPr>
            <w:r w:rsidRPr="00A21051">
              <w:rPr>
                <w:b/>
                <w:noProof/>
                <w:lang w:val="en-IE"/>
              </w:rPr>
              <w:t>287.8</w:t>
            </w:r>
          </w:p>
        </w:tc>
        <w:tc>
          <w:tcPr>
            <w:tcW w:w="930" w:type="dxa"/>
            <w:tcBorders>
              <w:top w:val="single" w:sz="6" w:space="0" w:color="8C8C8C"/>
              <w:left w:val="nil"/>
              <w:bottom w:val="single" w:sz="6" w:space="0" w:color="8C8C8C"/>
              <w:right w:val="nil"/>
            </w:tcBorders>
            <w:shd w:val="clear" w:color="auto" w:fill="auto"/>
            <w:hideMark/>
          </w:tcPr>
          <w:p w14:paraId="46D0909A" w14:textId="77777777" w:rsidR="00EC47B9" w:rsidRPr="00A21051" w:rsidRDefault="00EC47B9" w:rsidP="00E02B38">
            <w:pPr>
              <w:spacing w:after="0"/>
              <w:jc w:val="center"/>
              <w:textAlignment w:val="baseline"/>
              <w:rPr>
                <w:rFonts w:ascii="Times New Roman" w:hAnsi="Times New Roman"/>
                <w:b/>
                <w:noProof/>
                <w:szCs w:val="24"/>
                <w:lang w:val="en-IE"/>
              </w:rPr>
            </w:pPr>
            <w:r w:rsidRPr="00A21051">
              <w:rPr>
                <w:b/>
                <w:noProof/>
                <w:lang w:val="en-IE"/>
              </w:rPr>
              <w:t>293.8</w:t>
            </w:r>
          </w:p>
        </w:tc>
        <w:tc>
          <w:tcPr>
            <w:tcW w:w="930" w:type="dxa"/>
            <w:tcBorders>
              <w:top w:val="single" w:sz="6" w:space="0" w:color="8C8C8C"/>
              <w:left w:val="nil"/>
              <w:bottom w:val="single" w:sz="6" w:space="0" w:color="8C8C8C"/>
              <w:right w:val="nil"/>
            </w:tcBorders>
            <w:shd w:val="clear" w:color="auto" w:fill="auto"/>
            <w:hideMark/>
          </w:tcPr>
          <w:p w14:paraId="4A4846ED" w14:textId="77777777" w:rsidR="00EC47B9" w:rsidRPr="00A21051" w:rsidRDefault="00EC47B9" w:rsidP="00E02B38">
            <w:pPr>
              <w:spacing w:after="0"/>
              <w:jc w:val="center"/>
              <w:textAlignment w:val="baseline"/>
              <w:rPr>
                <w:rFonts w:ascii="Times New Roman" w:hAnsi="Times New Roman"/>
                <w:b/>
                <w:noProof/>
                <w:szCs w:val="24"/>
                <w:lang w:val="en-IE"/>
              </w:rPr>
            </w:pPr>
            <w:r w:rsidRPr="00A21051">
              <w:rPr>
                <w:b/>
                <w:noProof/>
                <w:lang w:val="en-IE"/>
              </w:rPr>
              <w:t>304.5</w:t>
            </w:r>
          </w:p>
        </w:tc>
        <w:tc>
          <w:tcPr>
            <w:tcW w:w="930" w:type="dxa"/>
            <w:tcBorders>
              <w:top w:val="single" w:sz="6" w:space="0" w:color="8C8C8C"/>
              <w:left w:val="nil"/>
              <w:bottom w:val="single" w:sz="6" w:space="0" w:color="8C8C8C"/>
              <w:right w:val="nil"/>
            </w:tcBorders>
            <w:shd w:val="clear" w:color="auto" w:fill="auto"/>
            <w:hideMark/>
          </w:tcPr>
          <w:p w14:paraId="51D5C9EA" w14:textId="77777777" w:rsidR="00EC47B9" w:rsidRPr="00A21051" w:rsidRDefault="00EC47B9" w:rsidP="00E02B38">
            <w:pPr>
              <w:spacing w:after="0"/>
              <w:jc w:val="center"/>
              <w:textAlignment w:val="baseline"/>
              <w:rPr>
                <w:rFonts w:ascii="Times New Roman" w:hAnsi="Times New Roman"/>
                <w:b/>
                <w:noProof/>
                <w:szCs w:val="24"/>
                <w:lang w:val="en-IE"/>
              </w:rPr>
            </w:pPr>
            <w:r w:rsidRPr="00A21051">
              <w:rPr>
                <w:b/>
                <w:noProof/>
                <w:lang w:val="en-IE"/>
              </w:rPr>
              <w:t>1</w:t>
            </w:r>
            <w:r w:rsidRPr="00A21051">
              <w:rPr>
                <w:rFonts w:ascii="Calibri" w:hAnsi="Calibri" w:cs="Calibri"/>
                <w:b/>
                <w:noProof/>
                <w:lang w:val="en-IE"/>
              </w:rPr>
              <w:t> </w:t>
            </w:r>
            <w:r w:rsidRPr="00A21051">
              <w:rPr>
                <w:b/>
                <w:noProof/>
                <w:lang w:val="en-IE"/>
              </w:rPr>
              <w:t>994.4</w:t>
            </w:r>
          </w:p>
        </w:tc>
      </w:tr>
    </w:tbl>
    <w:p w14:paraId="54CC5BBC" w14:textId="5C1FFB49" w:rsidR="00C016C5" w:rsidRDefault="00EC47B9" w:rsidP="00C016C5">
      <w:pPr>
        <w:spacing w:after="0"/>
        <w:rPr>
          <w:noProof/>
          <w:sz w:val="18"/>
          <w:szCs w:val="18"/>
          <w:lang w:val="en-IE"/>
        </w:rPr>
      </w:pPr>
      <w:r w:rsidRPr="523A318F">
        <w:rPr>
          <w:noProof/>
          <w:sz w:val="18"/>
          <w:szCs w:val="18"/>
          <w:lang w:val="en-IE"/>
        </w:rPr>
        <w:t xml:space="preserve"> </w:t>
      </w:r>
      <w:r w:rsidR="00C016C5" w:rsidRPr="523A318F">
        <w:rPr>
          <w:noProof/>
          <w:sz w:val="18"/>
          <w:szCs w:val="18"/>
          <w:lang w:val="en-IE"/>
        </w:rPr>
        <w:t>(*) Only Article</w:t>
      </w:r>
      <w:r w:rsidR="00C016C5" w:rsidRPr="523A318F">
        <w:rPr>
          <w:rFonts w:ascii="Calibri" w:hAnsi="Calibri" w:cs="Calibri"/>
          <w:noProof/>
          <w:sz w:val="18"/>
          <w:szCs w:val="18"/>
          <w:lang w:val="en-IE"/>
        </w:rPr>
        <w:t> </w:t>
      </w:r>
      <w:r w:rsidR="00C016C5" w:rsidRPr="523A318F">
        <w:rPr>
          <w:noProof/>
          <w:sz w:val="18"/>
          <w:szCs w:val="18"/>
          <w:lang w:val="en-IE"/>
        </w:rPr>
        <w:t>15(3) of the financial regulation.</w:t>
      </w:r>
    </w:p>
    <w:p w14:paraId="51F7FD67" w14:textId="77777777" w:rsidR="00EC47B9" w:rsidRPr="00A21051" w:rsidRDefault="00EC47B9" w:rsidP="00C016C5">
      <w:pPr>
        <w:spacing w:after="0"/>
        <w:rPr>
          <w:rFonts w:ascii="Segoe UI" w:hAnsi="Segoe UI" w:cs="Segoe UI"/>
          <w:noProof/>
          <w:sz w:val="18"/>
          <w:szCs w:val="18"/>
          <w:lang w:val="en-IE"/>
        </w:rPr>
      </w:pPr>
    </w:p>
    <w:p w14:paraId="148E1CEA" w14:textId="64FAF8AC" w:rsidR="00EC47B9" w:rsidRDefault="00EC47B9" w:rsidP="00EC47B9">
      <w:pPr>
        <w:pStyle w:val="ppoTableTabletitle"/>
        <w:jc w:val="center"/>
        <w:rPr>
          <w:noProof/>
          <w:lang w:val="en-IE"/>
        </w:rPr>
      </w:pPr>
      <w:r w:rsidRPr="523A318F">
        <w:rPr>
          <w:noProof/>
          <w:lang w:val="en-IE"/>
        </w:rPr>
        <w:t>Financial programming</w:t>
      </w:r>
      <w:r w:rsidR="00CE3841">
        <w:rPr>
          <w:noProof/>
          <w:lang w:val="en-IE"/>
        </w:rPr>
        <w:t xml:space="preserve">: </w:t>
      </w:r>
      <w:r w:rsidRPr="523A318F">
        <w:rPr>
          <w:noProof/>
          <w:lang w:val="en-IE"/>
        </w:rPr>
        <w:t xml:space="preserve"> </w:t>
      </w:r>
      <w:r w:rsidRPr="523A318F">
        <w:rPr>
          <w:rStyle w:val="ppocharOrangetext24pt"/>
          <w:noProof/>
          <w:lang w:val="en-IE"/>
        </w:rPr>
        <w:t>–</w:t>
      </w:r>
      <w:r w:rsidRPr="523A318F">
        <w:rPr>
          <w:rStyle w:val="ppocharOrangetext24pt"/>
          <w:rFonts w:ascii="Calibri" w:hAnsi="Calibri" w:cs="Calibri"/>
          <w:noProof/>
          <w:lang w:val="en-IE"/>
        </w:rPr>
        <w:t> </w:t>
      </w:r>
      <w:r w:rsidRPr="523A318F">
        <w:rPr>
          <w:rStyle w:val="ppocharOrangetext24pt"/>
          <w:noProof/>
          <w:lang w:val="en-IE"/>
        </w:rPr>
        <w:t>EUR</w:t>
      </w:r>
      <w:r w:rsidRPr="523A318F">
        <w:rPr>
          <w:rStyle w:val="ppocharOrangetext24pt"/>
          <w:rFonts w:ascii="Calibri" w:hAnsi="Calibri" w:cs="Calibri"/>
          <w:noProof/>
          <w:lang w:val="en-IE"/>
        </w:rPr>
        <w:t> </w:t>
      </w:r>
      <w:r w:rsidRPr="523A318F">
        <w:rPr>
          <w:rStyle w:val="ppocharOrangetext24pt"/>
          <w:noProof/>
          <w:lang w:val="en-IE"/>
        </w:rPr>
        <w:t>1.0</w:t>
      </w:r>
      <w:r w:rsidRPr="523A318F">
        <w:rPr>
          <w:rStyle w:val="ppocharOrangetext24pt"/>
          <w:rFonts w:ascii="Calibri" w:hAnsi="Calibri" w:cs="Calibri"/>
          <w:noProof/>
          <w:lang w:val="en-IE"/>
        </w:rPr>
        <w:t> </w:t>
      </w:r>
      <w:r w:rsidRPr="523A318F">
        <w:rPr>
          <w:rStyle w:val="ppocharOrangetext24pt"/>
          <w:noProof/>
          <w:lang w:val="en-IE"/>
        </w:rPr>
        <w:t>million (–</w:t>
      </w:r>
      <w:r w:rsidRPr="523A318F">
        <w:rPr>
          <w:rStyle w:val="ppocharOrangetext24pt"/>
          <w:rFonts w:ascii="Calibri" w:hAnsi="Calibri" w:cs="Calibri"/>
          <w:noProof/>
          <w:lang w:val="en-IE"/>
        </w:rPr>
        <w:t> </w:t>
      </w:r>
      <w:r w:rsidRPr="523A318F">
        <w:rPr>
          <w:rStyle w:val="ppocharOrangetext24pt"/>
          <w:noProof/>
          <w:lang w:val="en-IE"/>
        </w:rPr>
        <w:t xml:space="preserve">0%) </w:t>
      </w:r>
      <w:r w:rsidRPr="523A318F">
        <w:rPr>
          <w:noProof/>
          <w:lang w:val="en-IE"/>
        </w:rPr>
        <w:t xml:space="preserve"> compared to the legal basis</w:t>
      </w:r>
      <w:r w:rsidR="00A53B8C">
        <w:rPr>
          <w:noProof/>
          <w:lang w:val="en-IE"/>
        </w:rPr>
        <w:t>.</w:t>
      </w:r>
    </w:p>
    <w:p w14:paraId="6AA1D8D0" w14:textId="11A57BE1" w:rsidR="00C016C5" w:rsidRPr="00A21051" w:rsidRDefault="00C016C5" w:rsidP="00C016C5">
      <w:pPr>
        <w:pStyle w:val="ppoTableTabletitle"/>
        <w:rPr>
          <w:b/>
          <w:noProof/>
          <w:lang w:val="en-IE"/>
        </w:rPr>
      </w:pPr>
      <w:r w:rsidRPr="00A21051">
        <w:rPr>
          <w:noProof/>
          <w:lang w:val="en-IE"/>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C016C5" w:rsidRPr="00A21051" w14:paraId="1A3F2603" w14:textId="77777777" w:rsidTr="00813D25">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5E079394" w14:textId="77777777" w:rsidR="00C016C5" w:rsidRPr="00A21051" w:rsidRDefault="00C016C5" w:rsidP="00813D25">
            <w:pPr>
              <w:rPr>
                <w:noProof/>
                <w:lang w:val="en-IE"/>
              </w:rPr>
            </w:pPr>
          </w:p>
        </w:tc>
        <w:tc>
          <w:tcPr>
            <w:tcW w:w="2410" w:type="dxa"/>
          </w:tcPr>
          <w:p w14:paraId="63B583CF" w14:textId="77777777" w:rsidR="00C016C5" w:rsidRPr="00A21051" w:rsidRDefault="00C016C5" w:rsidP="00813D25">
            <w:pPr>
              <w:cnfStyle w:val="100000000000" w:firstRow="1" w:lastRow="0" w:firstColumn="0" w:lastColumn="0" w:oddVBand="0" w:evenVBand="0" w:oddHBand="0" w:evenHBand="0" w:firstRowFirstColumn="0" w:firstRowLastColumn="0" w:lastRowFirstColumn="0" w:lastRowLastColumn="0"/>
              <w:rPr>
                <w:noProof/>
                <w:lang w:val="en-IE"/>
              </w:rPr>
            </w:pPr>
            <w:r w:rsidRPr="00A21051">
              <w:rPr>
                <w:noProof/>
                <w:lang w:val="en-IE"/>
              </w:rPr>
              <w:t>Implementation</w:t>
            </w:r>
          </w:p>
        </w:tc>
        <w:tc>
          <w:tcPr>
            <w:tcW w:w="2410" w:type="dxa"/>
          </w:tcPr>
          <w:p w14:paraId="458E7D62" w14:textId="0B22BED9" w:rsidR="00C016C5" w:rsidRPr="00A21051" w:rsidRDefault="001F4CBC" w:rsidP="00813D25">
            <w:pPr>
              <w:cnfStyle w:val="100000000000" w:firstRow="1" w:lastRow="0" w:firstColumn="0" w:lastColumn="0" w:oddVBand="0" w:evenVBand="0" w:oddHBand="0" w:evenHBand="0" w:firstRowFirstColumn="0" w:firstRowLastColumn="0" w:lastRowFirstColumn="0" w:lastRowLastColumn="0"/>
              <w:rPr>
                <w:noProof/>
                <w:lang w:val="en-IE"/>
              </w:rPr>
            </w:pPr>
            <w:r>
              <w:rPr>
                <w:noProof/>
              </w:rPr>
              <w:t xml:space="preserve">2021-2027 </w:t>
            </w:r>
            <w:r w:rsidRPr="00885241">
              <w:rPr>
                <w:noProof/>
              </w:rPr>
              <w:t>Budget</w:t>
            </w:r>
          </w:p>
        </w:tc>
        <w:tc>
          <w:tcPr>
            <w:tcW w:w="2410" w:type="dxa"/>
          </w:tcPr>
          <w:p w14:paraId="066CE2A2" w14:textId="77777777" w:rsidR="00C016C5" w:rsidRPr="00A21051" w:rsidRDefault="00C016C5" w:rsidP="00813D25">
            <w:pPr>
              <w:cnfStyle w:val="100000000000" w:firstRow="1" w:lastRow="0" w:firstColumn="0" w:lastColumn="0" w:oddVBand="0" w:evenVBand="0" w:oddHBand="0" w:evenHBand="0" w:firstRowFirstColumn="0" w:firstRowLastColumn="0" w:lastRowFirstColumn="0" w:lastRowLastColumn="0"/>
              <w:rPr>
                <w:noProof/>
                <w:lang w:val="en-IE"/>
              </w:rPr>
            </w:pPr>
            <w:r w:rsidRPr="00A21051">
              <w:rPr>
                <w:noProof/>
                <w:lang w:val="en-IE"/>
              </w:rPr>
              <w:t>Implementation rate</w:t>
            </w:r>
          </w:p>
        </w:tc>
      </w:tr>
      <w:tr w:rsidR="00C016C5" w:rsidRPr="00A21051" w14:paraId="3E7FB65E" w14:textId="77777777" w:rsidTr="00813D25">
        <w:tc>
          <w:tcPr>
            <w:cnfStyle w:val="001000000000" w:firstRow="0" w:lastRow="0" w:firstColumn="1" w:lastColumn="0" w:oddVBand="0" w:evenVBand="0" w:oddHBand="0" w:evenHBand="0" w:firstRowFirstColumn="0" w:firstRowLastColumn="0" w:lastRowFirstColumn="0" w:lastRowLastColumn="0"/>
            <w:tcW w:w="2409" w:type="dxa"/>
          </w:tcPr>
          <w:p w14:paraId="03A20DAC" w14:textId="77777777" w:rsidR="00C016C5" w:rsidRPr="00A21051" w:rsidRDefault="00C016C5" w:rsidP="00813D25">
            <w:pPr>
              <w:jc w:val="center"/>
              <w:rPr>
                <w:noProof/>
                <w:lang w:val="en-IE"/>
              </w:rPr>
            </w:pPr>
            <w:r w:rsidRPr="00A21051">
              <w:rPr>
                <w:noProof/>
                <w:lang w:val="en-IE"/>
              </w:rPr>
              <w:t>Commitment</w:t>
            </w:r>
          </w:p>
        </w:tc>
        <w:tc>
          <w:tcPr>
            <w:tcW w:w="2410" w:type="dxa"/>
          </w:tcPr>
          <w:tbl>
            <w:tblPr>
              <w:tblStyle w:val="TableGrid"/>
              <w:tblW w:w="0" w:type="auto"/>
              <w:tblLook w:val="06A0" w:firstRow="1" w:lastRow="0" w:firstColumn="1" w:lastColumn="0" w:noHBand="1" w:noVBand="1"/>
            </w:tblPr>
            <w:tblGrid>
              <w:gridCol w:w="2194"/>
            </w:tblGrid>
            <w:tr w:rsidR="00C016C5" w:rsidRPr="00A21051" w14:paraId="5CE03118" w14:textId="77777777" w:rsidTr="00813D25">
              <w:trPr>
                <w:trHeight w:val="285"/>
              </w:trPr>
              <w:tc>
                <w:tcPr>
                  <w:tcW w:w="2290" w:type="dxa"/>
                  <w:tcBorders>
                    <w:top w:val="nil"/>
                    <w:left w:val="nil"/>
                    <w:bottom w:val="nil"/>
                    <w:right w:val="nil"/>
                  </w:tcBorders>
                  <w:vAlign w:val="bottom"/>
                </w:tcPr>
                <w:p w14:paraId="7AF32505" w14:textId="77777777" w:rsidR="00C016C5" w:rsidRPr="00A21051" w:rsidRDefault="00C016C5" w:rsidP="00813D25">
                  <w:pPr>
                    <w:jc w:val="right"/>
                    <w:rPr>
                      <w:noProof/>
                      <w:lang w:val="en-IE"/>
                    </w:rPr>
                  </w:pPr>
                  <w:r w:rsidRPr="00A21051">
                    <w:rPr>
                      <w:rFonts w:ascii="Calibri" w:hAnsi="Calibri" w:cs="Calibri"/>
                      <w:noProof/>
                      <w:color w:val="000000"/>
                      <w:lang w:val="en-IE"/>
                    </w:rPr>
                    <w:t>269.5</w:t>
                  </w:r>
                </w:p>
              </w:tc>
            </w:tr>
          </w:tbl>
          <w:p w14:paraId="1FC83E5C" w14:textId="77777777" w:rsidR="00C016C5" w:rsidRPr="00A21051" w:rsidRDefault="00C016C5" w:rsidP="00813D25">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C016C5" w:rsidRPr="00A21051" w14:paraId="734568E6" w14:textId="77777777" w:rsidTr="00813D25">
              <w:trPr>
                <w:trHeight w:val="285"/>
              </w:trPr>
              <w:tc>
                <w:tcPr>
                  <w:tcW w:w="2290" w:type="dxa"/>
                  <w:tcBorders>
                    <w:top w:val="nil"/>
                    <w:left w:val="nil"/>
                    <w:bottom w:val="nil"/>
                    <w:right w:val="nil"/>
                  </w:tcBorders>
                  <w:vAlign w:val="bottom"/>
                </w:tcPr>
                <w:p w14:paraId="600D24B0" w14:textId="77777777" w:rsidR="00C016C5" w:rsidRPr="00A21051" w:rsidRDefault="00C016C5" w:rsidP="00813D25">
                  <w:pPr>
                    <w:jc w:val="right"/>
                    <w:rPr>
                      <w:noProof/>
                      <w:lang w:val="en-IE"/>
                    </w:rPr>
                  </w:pPr>
                  <w:r w:rsidRPr="00A21051">
                    <w:rPr>
                      <w:rFonts w:ascii="Calibri" w:hAnsi="Calibri" w:cs="Calibri"/>
                      <w:noProof/>
                      <w:color w:val="000000"/>
                      <w:lang w:val="en-IE"/>
                    </w:rPr>
                    <w:t>1 994.4</w:t>
                  </w:r>
                </w:p>
              </w:tc>
            </w:tr>
          </w:tbl>
          <w:p w14:paraId="48D62E26" w14:textId="77777777" w:rsidR="00C016C5" w:rsidRPr="00A21051" w:rsidRDefault="00C016C5" w:rsidP="00813D25">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C016C5" w:rsidRPr="00A21051" w14:paraId="5439A1E3" w14:textId="77777777" w:rsidTr="00813D25">
              <w:trPr>
                <w:trHeight w:val="285"/>
              </w:trPr>
              <w:tc>
                <w:tcPr>
                  <w:tcW w:w="2290" w:type="dxa"/>
                  <w:tcBorders>
                    <w:top w:val="nil"/>
                    <w:left w:val="nil"/>
                    <w:bottom w:val="nil"/>
                    <w:right w:val="nil"/>
                  </w:tcBorders>
                  <w:vAlign w:val="bottom"/>
                </w:tcPr>
                <w:p w14:paraId="5BB5458A" w14:textId="77777777" w:rsidR="00C016C5" w:rsidRPr="00A21051" w:rsidRDefault="00C016C5" w:rsidP="00813D25">
                  <w:pPr>
                    <w:jc w:val="right"/>
                    <w:rPr>
                      <w:noProof/>
                      <w:lang w:val="en-IE"/>
                    </w:rPr>
                  </w:pPr>
                  <w:r w:rsidRPr="00A21051">
                    <w:rPr>
                      <w:rFonts w:ascii="Calibri" w:hAnsi="Calibri" w:cs="Calibri"/>
                      <w:noProof/>
                      <w:color w:val="000000"/>
                      <w:lang w:val="en-IE"/>
                    </w:rPr>
                    <w:t>14%</w:t>
                  </w:r>
                </w:p>
              </w:tc>
            </w:tr>
          </w:tbl>
          <w:p w14:paraId="42046ABD" w14:textId="77777777" w:rsidR="00C016C5" w:rsidRPr="00A21051" w:rsidRDefault="00C016C5" w:rsidP="00813D25">
            <w:pPr>
              <w:jc w:val="center"/>
              <w:cnfStyle w:val="000000000000" w:firstRow="0" w:lastRow="0" w:firstColumn="0" w:lastColumn="0" w:oddVBand="0" w:evenVBand="0" w:oddHBand="0" w:evenHBand="0" w:firstRowFirstColumn="0" w:firstRowLastColumn="0" w:lastRowFirstColumn="0" w:lastRowLastColumn="0"/>
              <w:rPr>
                <w:noProof/>
                <w:lang w:val="en-IE"/>
              </w:rPr>
            </w:pPr>
          </w:p>
        </w:tc>
      </w:tr>
      <w:tr w:rsidR="00C016C5" w:rsidRPr="00A21051" w14:paraId="16B96719" w14:textId="77777777" w:rsidTr="00813D25">
        <w:tc>
          <w:tcPr>
            <w:cnfStyle w:val="001000000000" w:firstRow="0" w:lastRow="0" w:firstColumn="1" w:lastColumn="0" w:oddVBand="0" w:evenVBand="0" w:oddHBand="0" w:evenHBand="0" w:firstRowFirstColumn="0" w:firstRowLastColumn="0" w:lastRowFirstColumn="0" w:lastRowLastColumn="0"/>
            <w:tcW w:w="2409" w:type="dxa"/>
          </w:tcPr>
          <w:p w14:paraId="44840898" w14:textId="77777777" w:rsidR="00C016C5" w:rsidRPr="00A21051" w:rsidRDefault="00C016C5" w:rsidP="00813D25">
            <w:pPr>
              <w:jc w:val="center"/>
              <w:rPr>
                <w:noProof/>
                <w:lang w:val="en-IE"/>
              </w:rPr>
            </w:pPr>
            <w:r w:rsidRPr="00A21051">
              <w:rPr>
                <w:noProof/>
                <w:lang w:val="en-IE"/>
              </w:rPr>
              <w:t>Payments</w:t>
            </w:r>
          </w:p>
        </w:tc>
        <w:tc>
          <w:tcPr>
            <w:tcW w:w="2410" w:type="dxa"/>
          </w:tcPr>
          <w:tbl>
            <w:tblPr>
              <w:tblStyle w:val="TableGrid"/>
              <w:tblW w:w="0" w:type="auto"/>
              <w:tblLook w:val="06A0" w:firstRow="1" w:lastRow="0" w:firstColumn="1" w:lastColumn="0" w:noHBand="1" w:noVBand="1"/>
            </w:tblPr>
            <w:tblGrid>
              <w:gridCol w:w="2194"/>
            </w:tblGrid>
            <w:tr w:rsidR="00C016C5" w:rsidRPr="00A21051" w14:paraId="7CCC8963" w14:textId="77777777" w:rsidTr="00813D25">
              <w:trPr>
                <w:trHeight w:val="285"/>
              </w:trPr>
              <w:tc>
                <w:tcPr>
                  <w:tcW w:w="2290" w:type="dxa"/>
                  <w:tcBorders>
                    <w:top w:val="nil"/>
                    <w:left w:val="nil"/>
                    <w:bottom w:val="nil"/>
                    <w:right w:val="nil"/>
                  </w:tcBorders>
                  <w:vAlign w:val="bottom"/>
                </w:tcPr>
                <w:p w14:paraId="184A7DE5" w14:textId="77777777" w:rsidR="00C016C5" w:rsidRPr="00A21051" w:rsidRDefault="00C016C5" w:rsidP="00813D25">
                  <w:pPr>
                    <w:jc w:val="right"/>
                    <w:rPr>
                      <w:noProof/>
                      <w:lang w:val="en-IE"/>
                    </w:rPr>
                  </w:pPr>
                  <w:r w:rsidRPr="00A21051">
                    <w:rPr>
                      <w:rFonts w:ascii="Calibri" w:hAnsi="Calibri" w:cs="Calibri"/>
                      <w:noProof/>
                      <w:color w:val="000000"/>
                      <w:lang w:val="en-IE"/>
                    </w:rPr>
                    <w:t>196.4</w:t>
                  </w:r>
                </w:p>
              </w:tc>
            </w:tr>
          </w:tbl>
          <w:p w14:paraId="4DBF9AF1" w14:textId="77777777" w:rsidR="00C016C5" w:rsidRPr="00A21051" w:rsidRDefault="00C016C5" w:rsidP="00813D25">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p w14:paraId="4AA7F2AE" w14:textId="77777777" w:rsidR="00C016C5" w:rsidRPr="00A21051" w:rsidRDefault="00C016C5" w:rsidP="00813D25">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C016C5" w:rsidRPr="00A21051" w14:paraId="6AB0EAD4" w14:textId="77777777" w:rsidTr="00813D25">
              <w:trPr>
                <w:trHeight w:val="285"/>
              </w:trPr>
              <w:tc>
                <w:tcPr>
                  <w:tcW w:w="2235" w:type="dxa"/>
                  <w:tcBorders>
                    <w:top w:val="nil"/>
                    <w:left w:val="nil"/>
                    <w:bottom w:val="nil"/>
                    <w:right w:val="nil"/>
                  </w:tcBorders>
                  <w:vAlign w:val="bottom"/>
                </w:tcPr>
                <w:p w14:paraId="2815E2F7" w14:textId="77777777" w:rsidR="00C016C5" w:rsidRPr="00A21051" w:rsidRDefault="00C016C5" w:rsidP="00813D25">
                  <w:pPr>
                    <w:jc w:val="right"/>
                    <w:rPr>
                      <w:noProof/>
                      <w:lang w:val="en-IE"/>
                    </w:rPr>
                  </w:pPr>
                  <w:r w:rsidRPr="00A21051">
                    <w:rPr>
                      <w:rFonts w:ascii="Calibri" w:hAnsi="Calibri" w:cs="Calibri"/>
                      <w:noProof/>
                      <w:color w:val="000000"/>
                      <w:lang w:val="en-IE"/>
                    </w:rPr>
                    <w:t>10%</w:t>
                  </w:r>
                </w:p>
              </w:tc>
            </w:tr>
          </w:tbl>
          <w:p w14:paraId="202DC3B3" w14:textId="77777777" w:rsidR="00C016C5" w:rsidRPr="00A21051" w:rsidRDefault="00C016C5" w:rsidP="00813D25">
            <w:pPr>
              <w:jc w:val="center"/>
              <w:cnfStyle w:val="000000000000" w:firstRow="0" w:lastRow="0" w:firstColumn="0" w:lastColumn="0" w:oddVBand="0" w:evenVBand="0" w:oddHBand="0" w:evenHBand="0" w:firstRowFirstColumn="0" w:firstRowLastColumn="0" w:lastRowFirstColumn="0" w:lastRowLastColumn="0"/>
              <w:rPr>
                <w:noProof/>
                <w:lang w:val="en-IE"/>
              </w:rPr>
            </w:pPr>
          </w:p>
        </w:tc>
      </w:tr>
    </w:tbl>
    <w:p w14:paraId="61B4DEFB" w14:textId="77777777" w:rsidR="00C016C5" w:rsidRPr="00A21051" w:rsidRDefault="00C016C5" w:rsidP="00C016C5">
      <w:pPr>
        <w:pStyle w:val="ppoTableTabletitle"/>
        <w:rPr>
          <w:b/>
          <w:noProof/>
          <w:lang w:val="en-IE"/>
        </w:rPr>
      </w:pPr>
      <w:r w:rsidRPr="00A21051">
        <w:rPr>
          <w:noProof/>
          <w:lang w:val="en-IE"/>
        </w:rPr>
        <w:t>Voted budget implementation in 2021 (million EUR):</w:t>
      </w:r>
    </w:p>
    <w:tbl>
      <w:tblPr>
        <w:tblStyle w:val="PPO2021"/>
        <w:tblW w:w="3683" w:type="pct"/>
        <w:tblInd w:w="79" w:type="dxa"/>
        <w:tblLook w:val="04A0" w:firstRow="1" w:lastRow="0" w:firstColumn="1" w:lastColumn="0" w:noHBand="0" w:noVBand="1"/>
      </w:tblPr>
      <w:tblGrid>
        <w:gridCol w:w="2381"/>
        <w:gridCol w:w="2390"/>
        <w:gridCol w:w="2349"/>
      </w:tblGrid>
      <w:tr w:rsidR="00C016C5" w:rsidRPr="00A21051" w14:paraId="0971B575" w14:textId="77777777" w:rsidTr="00EC47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1" w:type="dxa"/>
          </w:tcPr>
          <w:p w14:paraId="72DB2629" w14:textId="77777777" w:rsidR="00C016C5" w:rsidRPr="00A21051" w:rsidRDefault="00C016C5" w:rsidP="00813D25">
            <w:pPr>
              <w:rPr>
                <w:noProof/>
                <w:lang w:val="en-IE"/>
              </w:rPr>
            </w:pPr>
          </w:p>
        </w:tc>
        <w:tc>
          <w:tcPr>
            <w:tcW w:w="2390" w:type="dxa"/>
          </w:tcPr>
          <w:p w14:paraId="5C53F113" w14:textId="77777777" w:rsidR="00C016C5" w:rsidRPr="00A21051" w:rsidRDefault="00C016C5" w:rsidP="00813D25">
            <w:pPr>
              <w:cnfStyle w:val="100000000000" w:firstRow="1" w:lastRow="0" w:firstColumn="0" w:lastColumn="0" w:oddVBand="0" w:evenVBand="0" w:oddHBand="0" w:evenHBand="0" w:firstRowFirstColumn="0" w:firstRowLastColumn="0" w:lastRowFirstColumn="0" w:lastRowLastColumn="0"/>
              <w:rPr>
                <w:noProof/>
                <w:lang w:val="en-IE"/>
              </w:rPr>
            </w:pPr>
            <w:r w:rsidRPr="00A21051">
              <w:rPr>
                <w:noProof/>
                <w:lang w:val="en-IE"/>
              </w:rPr>
              <w:t>Voted budget implementation</w:t>
            </w:r>
          </w:p>
        </w:tc>
        <w:tc>
          <w:tcPr>
            <w:tcW w:w="2349" w:type="dxa"/>
          </w:tcPr>
          <w:p w14:paraId="1B543B40" w14:textId="77777777" w:rsidR="00C016C5" w:rsidRPr="00A21051" w:rsidRDefault="00C016C5" w:rsidP="00813D25">
            <w:pPr>
              <w:cnfStyle w:val="100000000000" w:firstRow="1" w:lastRow="0" w:firstColumn="0" w:lastColumn="0" w:oddVBand="0" w:evenVBand="0" w:oddHBand="0" w:evenHBand="0" w:firstRowFirstColumn="0" w:firstRowLastColumn="0" w:lastRowFirstColumn="0" w:lastRowLastColumn="0"/>
              <w:rPr>
                <w:noProof/>
                <w:lang w:val="en-IE"/>
              </w:rPr>
            </w:pPr>
            <w:r w:rsidRPr="00A21051">
              <w:rPr>
                <w:noProof/>
                <w:lang w:val="en-IE"/>
              </w:rPr>
              <w:t>Initial voted budget</w:t>
            </w:r>
          </w:p>
        </w:tc>
      </w:tr>
      <w:tr w:rsidR="00EC47B9" w:rsidRPr="00A21051" w14:paraId="2256D185" w14:textId="77777777" w:rsidTr="00EC4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6A4B0D9D" w14:textId="5CF35424" w:rsidR="00EC47B9" w:rsidRPr="00A21051" w:rsidRDefault="00EC47B9" w:rsidP="00EC47B9">
            <w:pPr>
              <w:jc w:val="center"/>
              <w:rPr>
                <w:noProof/>
                <w:lang w:val="en-IE"/>
              </w:rPr>
            </w:pPr>
            <w:r w:rsidRPr="00A21051">
              <w:rPr>
                <w:noProof/>
                <w:lang w:val="en-IE"/>
              </w:rPr>
              <w:t>Commitments</w:t>
            </w:r>
          </w:p>
        </w:tc>
        <w:tc>
          <w:tcPr>
            <w:tcW w:w="2390" w:type="dxa"/>
          </w:tcPr>
          <w:p w14:paraId="5C561E25" w14:textId="4F002E92" w:rsidR="00EC47B9" w:rsidRPr="00A21051" w:rsidRDefault="00EC47B9" w:rsidP="00EC47B9">
            <w:pPr>
              <w:jc w:val="center"/>
              <w:cnfStyle w:val="000000100000" w:firstRow="0" w:lastRow="0" w:firstColumn="0" w:lastColumn="0" w:oddVBand="0" w:evenVBand="0" w:oddHBand="1" w:evenHBand="0" w:firstRowFirstColumn="0" w:firstRowLastColumn="0" w:lastRowFirstColumn="0" w:lastRowLastColumn="0"/>
              <w:rPr>
                <w:noProof/>
                <w:lang w:val="en-IE"/>
              </w:rPr>
            </w:pPr>
            <w:r w:rsidRPr="13B6CE1D">
              <w:rPr>
                <w:noProof/>
                <w:lang w:val="en-IE"/>
              </w:rPr>
              <w:t>264.7</w:t>
            </w:r>
          </w:p>
        </w:tc>
        <w:tc>
          <w:tcPr>
            <w:tcW w:w="2349" w:type="dxa"/>
          </w:tcPr>
          <w:p w14:paraId="6ECF50AC" w14:textId="55078987" w:rsidR="00EC47B9" w:rsidRPr="00A21051" w:rsidRDefault="00EC47B9" w:rsidP="00EC47B9">
            <w:pPr>
              <w:jc w:val="center"/>
              <w:cnfStyle w:val="000000100000" w:firstRow="0" w:lastRow="0" w:firstColumn="0" w:lastColumn="0" w:oddVBand="0" w:evenVBand="0" w:oddHBand="1" w:evenHBand="0" w:firstRowFirstColumn="0" w:firstRowLastColumn="0" w:lastRowFirstColumn="0" w:lastRowLastColumn="0"/>
              <w:rPr>
                <w:noProof/>
                <w:lang w:val="en-IE"/>
              </w:rPr>
            </w:pPr>
            <w:r w:rsidRPr="13B6CE1D">
              <w:rPr>
                <w:noProof/>
                <w:lang w:val="en-IE"/>
              </w:rPr>
              <w:t>265.7</w:t>
            </w:r>
          </w:p>
        </w:tc>
      </w:tr>
      <w:tr w:rsidR="00EC47B9" w:rsidRPr="00A21051" w14:paraId="04DEB813" w14:textId="77777777" w:rsidTr="00EC4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77B098AE" w14:textId="5C96A963" w:rsidR="00EC47B9" w:rsidRPr="00A21051" w:rsidRDefault="00EC47B9" w:rsidP="00EC47B9">
            <w:pPr>
              <w:jc w:val="center"/>
              <w:rPr>
                <w:noProof/>
                <w:lang w:val="en-IE"/>
              </w:rPr>
            </w:pPr>
            <w:r w:rsidRPr="00A21051">
              <w:rPr>
                <w:noProof/>
                <w:lang w:val="en-IE"/>
              </w:rPr>
              <w:t>Payments</w:t>
            </w:r>
          </w:p>
        </w:tc>
        <w:tc>
          <w:tcPr>
            <w:tcW w:w="2390" w:type="dxa"/>
          </w:tcPr>
          <w:p w14:paraId="4CDE4259" w14:textId="1D33EEDD" w:rsidR="00EC47B9" w:rsidRPr="00A21051" w:rsidRDefault="00EC47B9" w:rsidP="00EC47B9">
            <w:pPr>
              <w:jc w:val="center"/>
              <w:cnfStyle w:val="000000010000" w:firstRow="0" w:lastRow="0" w:firstColumn="0" w:lastColumn="0" w:oddVBand="0" w:evenVBand="0" w:oddHBand="0" w:evenHBand="1" w:firstRowFirstColumn="0" w:firstRowLastColumn="0" w:lastRowFirstColumn="0" w:lastRowLastColumn="0"/>
              <w:rPr>
                <w:noProof/>
                <w:lang w:val="en-IE"/>
              </w:rPr>
            </w:pPr>
            <w:r w:rsidRPr="13B6CE1D">
              <w:rPr>
                <w:noProof/>
                <w:lang w:val="en-IE"/>
              </w:rPr>
              <w:t>193.0</w:t>
            </w:r>
          </w:p>
        </w:tc>
        <w:tc>
          <w:tcPr>
            <w:tcW w:w="2349" w:type="dxa"/>
          </w:tcPr>
          <w:p w14:paraId="05A422FB" w14:textId="6C5F608F" w:rsidR="00EC47B9" w:rsidRPr="00A21051" w:rsidRDefault="00EC47B9" w:rsidP="00EC47B9">
            <w:pPr>
              <w:jc w:val="center"/>
              <w:cnfStyle w:val="000000010000" w:firstRow="0" w:lastRow="0" w:firstColumn="0" w:lastColumn="0" w:oddVBand="0" w:evenVBand="0" w:oddHBand="0" w:evenHBand="1" w:firstRowFirstColumn="0" w:firstRowLastColumn="0" w:lastRowFirstColumn="0" w:lastRowLastColumn="0"/>
              <w:rPr>
                <w:noProof/>
                <w:lang w:val="en-IE"/>
              </w:rPr>
            </w:pPr>
            <w:r w:rsidRPr="13B6CE1D">
              <w:rPr>
                <w:noProof/>
                <w:lang w:val="en-IE"/>
              </w:rPr>
              <w:t>207.9</w:t>
            </w:r>
          </w:p>
        </w:tc>
      </w:tr>
    </w:tbl>
    <w:p w14:paraId="6F486FEA" w14:textId="77777777" w:rsidR="00C016C5" w:rsidRPr="00A21051" w:rsidRDefault="00C016C5" w:rsidP="00C016C5">
      <w:pPr>
        <w:pStyle w:val="ppoListHyphened-L1"/>
        <w:rPr>
          <w:noProof/>
          <w:lang w:val="en-IE"/>
        </w:rPr>
      </w:pPr>
      <w:r w:rsidRPr="00A21051">
        <w:rPr>
          <w:noProof/>
          <w:lang w:val="en-IE"/>
        </w:rPr>
        <w:t>The financial year 2021 was the first year of implementation of the Euratom Programme 2021-2025. The late adoption of the regulation (in May 2021 instead of the beginning of the year) delayed the start of the Programme’s implementation.</w:t>
      </w:r>
    </w:p>
    <w:p w14:paraId="48FA5AFE" w14:textId="77777777" w:rsidR="00C016C5" w:rsidRPr="00A21051" w:rsidRDefault="00C016C5" w:rsidP="00C016C5">
      <w:pPr>
        <w:pStyle w:val="ppoListHyphened-L1"/>
        <w:rPr>
          <w:noProof/>
          <w:lang w:val="en-IE"/>
        </w:rPr>
      </w:pPr>
      <w:r w:rsidRPr="00A21051">
        <w:rPr>
          <w:noProof/>
          <w:lang w:val="en-IE"/>
        </w:rPr>
        <w:t xml:space="preserve">The Euratom Work Programme 2021-2022 for indirect actions could only be adopted in July 2021. As a result, the 2021 call deadline was postponed to end-2021, delaying the starting date of most of the projects and the related pre-financing to 2022 instead of 2021. </w:t>
      </w:r>
    </w:p>
    <w:p w14:paraId="4781AD32" w14:textId="77777777" w:rsidR="00C016C5" w:rsidRPr="00A21051" w:rsidRDefault="00C016C5" w:rsidP="00C016C5">
      <w:pPr>
        <w:pStyle w:val="ppoListHyphened-L1"/>
        <w:rPr>
          <w:noProof/>
          <w:lang w:val="en-IE"/>
        </w:rPr>
      </w:pPr>
      <w:r w:rsidRPr="00A21051">
        <w:rPr>
          <w:noProof/>
          <w:lang w:val="en-IE"/>
        </w:rPr>
        <w:t>However, the work programme allowed for the EUROfusion consortium to receive funding for a co-funded European partnership to implement the European fusion research roadmap over the years 2021-2025. The grant was signed in December.</w:t>
      </w:r>
    </w:p>
    <w:p w14:paraId="54DE38B8" w14:textId="77777777" w:rsidR="00C016C5" w:rsidRPr="00A21051" w:rsidRDefault="00C016C5" w:rsidP="00C016C5">
      <w:pPr>
        <w:pStyle w:val="ppoListHyphened-L1"/>
        <w:rPr>
          <w:noProof/>
          <w:lang w:val="en-IE"/>
        </w:rPr>
      </w:pPr>
      <w:r w:rsidRPr="00A21051">
        <w:rPr>
          <w:noProof/>
          <w:lang w:val="en-IE"/>
        </w:rPr>
        <w:t>The separate Joint Research Centre 2021-2022 Work Programme for the direct actions was adopted in June 2021 and covers the main specific objectives of the programme, including nuclear security, safeguards, non-proliferation and policy support. In 2021, approximately 33% of direct actions were dedicated to nuclear safety research (including waste management, decommissioning and environmental radioprotection); 32% to research on nuclear safeguards, non-proliferation of nuclear weapons and security; 16% to research for establishing the foundations of nuclear science for standardisation and for non-energy applications of ionising radiation; 11% to knowledge management</w:t>
      </w:r>
      <w:r>
        <w:rPr>
          <w:noProof/>
          <w:lang w:val="en-IE"/>
        </w:rPr>
        <w:t>,</w:t>
      </w:r>
      <w:r w:rsidRPr="00A21051">
        <w:rPr>
          <w:noProof/>
          <w:lang w:val="en-IE"/>
        </w:rPr>
        <w:t xml:space="preserve"> education and training activities; and 8% to support provided to Euratom policies.</w:t>
      </w:r>
    </w:p>
    <w:p w14:paraId="6C32D7B6" w14:textId="77777777" w:rsidR="00C016C5" w:rsidRPr="00A21051" w:rsidRDefault="00C016C5" w:rsidP="00C016C5">
      <w:pPr>
        <w:pStyle w:val="ppoHeading5"/>
        <w:rPr>
          <w:noProof/>
          <w:lang w:val="en-IE"/>
        </w:rPr>
      </w:pPr>
      <w:r w:rsidRPr="00A21051">
        <w:rPr>
          <w:noProof/>
          <w:lang w:val="en-IE"/>
        </w:rPr>
        <w:t>Contribution to horizontal priorities</w:t>
      </w:r>
    </w:p>
    <w:p w14:paraId="758A5E65" w14:textId="77777777" w:rsidR="00C016C5" w:rsidRPr="00A21051" w:rsidRDefault="00C016C5" w:rsidP="00C016C5">
      <w:pPr>
        <w:pStyle w:val="ppoTableTabletitle"/>
        <w:rPr>
          <w:noProof/>
          <w:lang w:val="en-IE"/>
        </w:rPr>
      </w:pPr>
      <w:r w:rsidRPr="00A21051">
        <w:rPr>
          <w:noProof/>
          <w:lang w:val="en-IE"/>
        </w:rPr>
        <w:t>EU budget contribution in 2021 (million EUR):</w:t>
      </w:r>
    </w:p>
    <w:tbl>
      <w:tblPr>
        <w:tblStyle w:val="PPO2021"/>
        <w:tblW w:w="9639" w:type="dxa"/>
        <w:tblInd w:w="0" w:type="dxa"/>
        <w:tblLook w:val="0420" w:firstRow="1" w:lastRow="0" w:firstColumn="0" w:lastColumn="0" w:noHBand="0" w:noVBand="1"/>
      </w:tblPr>
      <w:tblGrid>
        <w:gridCol w:w="3213"/>
        <w:gridCol w:w="3213"/>
        <w:gridCol w:w="3213"/>
      </w:tblGrid>
      <w:tr w:rsidR="00C016C5" w:rsidRPr="00A21051" w14:paraId="327B5B25" w14:textId="77777777" w:rsidTr="00813D25">
        <w:trPr>
          <w:cnfStyle w:val="100000000000" w:firstRow="1" w:lastRow="0" w:firstColumn="0" w:lastColumn="0" w:oddVBand="0" w:evenVBand="0" w:oddHBand="0" w:evenHBand="0" w:firstRowFirstColumn="0" w:firstRowLastColumn="0" w:lastRowFirstColumn="0" w:lastRowLastColumn="0"/>
          <w:tblHeader/>
        </w:trPr>
        <w:tc>
          <w:tcPr>
            <w:tcW w:w="3213" w:type="dxa"/>
          </w:tcPr>
          <w:p w14:paraId="58543D81" w14:textId="77777777" w:rsidR="00C016C5" w:rsidRPr="00A21051" w:rsidRDefault="00C016C5" w:rsidP="00813D25">
            <w:pPr>
              <w:rPr>
                <w:noProof/>
                <w:lang w:val="en-IE"/>
              </w:rPr>
            </w:pPr>
            <w:r w:rsidRPr="00A21051">
              <w:rPr>
                <w:noProof/>
                <w:lang w:val="en-IE"/>
              </w:rPr>
              <w:t>Climate</w:t>
            </w:r>
          </w:p>
        </w:tc>
        <w:tc>
          <w:tcPr>
            <w:tcW w:w="3213" w:type="dxa"/>
          </w:tcPr>
          <w:p w14:paraId="32C85E99" w14:textId="77777777" w:rsidR="00C016C5" w:rsidRPr="00A21051" w:rsidRDefault="00C016C5" w:rsidP="00813D25">
            <w:pPr>
              <w:rPr>
                <w:noProof/>
                <w:lang w:val="en-IE"/>
              </w:rPr>
            </w:pPr>
            <w:r w:rsidRPr="00A21051">
              <w:rPr>
                <w:noProof/>
                <w:lang w:val="en-IE"/>
              </w:rPr>
              <w:t>Biodiversity</w:t>
            </w:r>
          </w:p>
        </w:tc>
        <w:tc>
          <w:tcPr>
            <w:tcW w:w="3213" w:type="dxa"/>
          </w:tcPr>
          <w:p w14:paraId="4BE1DA2A" w14:textId="77777777" w:rsidR="00C016C5" w:rsidRPr="00A21051" w:rsidRDefault="00C016C5" w:rsidP="00813D25">
            <w:pPr>
              <w:rPr>
                <w:noProof/>
                <w:lang w:val="en-IE"/>
              </w:rPr>
            </w:pPr>
            <w:r w:rsidRPr="00A21051">
              <w:rPr>
                <w:noProof/>
                <w:lang w:val="en-IE"/>
              </w:rPr>
              <w:t>Gender equality</w:t>
            </w:r>
            <w:r w:rsidRPr="00A21051">
              <w:rPr>
                <w:rFonts w:ascii="Calibri" w:hAnsi="Calibri" w:cs="Calibri"/>
                <w:noProof/>
                <w:lang w:val="en-IE"/>
              </w:rPr>
              <w:t> </w:t>
            </w:r>
            <w:r w:rsidRPr="00A21051">
              <w:rPr>
                <w:noProof/>
                <w:lang w:val="en-IE"/>
              </w:rPr>
              <w:t>(*)</w:t>
            </w:r>
          </w:p>
        </w:tc>
      </w:tr>
      <w:tr w:rsidR="00C016C5" w:rsidRPr="00A21051" w14:paraId="73006206" w14:textId="77777777" w:rsidTr="00813D25">
        <w:trPr>
          <w:cnfStyle w:val="000000100000" w:firstRow="0" w:lastRow="0" w:firstColumn="0" w:lastColumn="0" w:oddVBand="0" w:evenVBand="0" w:oddHBand="1" w:evenHBand="0" w:firstRowFirstColumn="0" w:firstRowLastColumn="0" w:lastRowFirstColumn="0" w:lastRowLastColumn="0"/>
        </w:trPr>
        <w:tc>
          <w:tcPr>
            <w:tcW w:w="3213" w:type="dxa"/>
          </w:tcPr>
          <w:tbl>
            <w:tblPr>
              <w:tblStyle w:val="TableGrid"/>
              <w:tblW w:w="0" w:type="auto"/>
              <w:tblLook w:val="06A0" w:firstRow="1" w:lastRow="0" w:firstColumn="1" w:lastColumn="0" w:noHBand="1" w:noVBand="1"/>
            </w:tblPr>
            <w:tblGrid>
              <w:gridCol w:w="1935"/>
            </w:tblGrid>
            <w:tr w:rsidR="00C016C5" w:rsidRPr="00A21051" w14:paraId="437ABA99" w14:textId="77777777" w:rsidTr="00813D25">
              <w:trPr>
                <w:trHeight w:val="285"/>
              </w:trPr>
              <w:tc>
                <w:tcPr>
                  <w:tcW w:w="1935" w:type="dxa"/>
                  <w:tcBorders>
                    <w:top w:val="nil"/>
                    <w:left w:val="nil"/>
                    <w:bottom w:val="nil"/>
                    <w:right w:val="nil"/>
                  </w:tcBorders>
                  <w:vAlign w:val="bottom"/>
                </w:tcPr>
                <w:p w14:paraId="416464C5" w14:textId="77777777" w:rsidR="00C016C5" w:rsidRPr="00A21051" w:rsidRDefault="00C016C5" w:rsidP="00813D25">
                  <w:pPr>
                    <w:jc w:val="right"/>
                    <w:rPr>
                      <w:noProof/>
                      <w:lang w:val="en-IE"/>
                    </w:rPr>
                  </w:pPr>
                  <w:r w:rsidRPr="00A21051">
                    <w:rPr>
                      <w:rFonts w:ascii="Calibri" w:hAnsi="Calibri" w:cs="Calibri"/>
                      <w:noProof/>
                      <w:color w:val="000000"/>
                      <w:lang w:val="en-IE"/>
                    </w:rPr>
                    <w:t>149.5</w:t>
                  </w:r>
                </w:p>
              </w:tc>
            </w:tr>
          </w:tbl>
          <w:p w14:paraId="56556209" w14:textId="77777777" w:rsidR="00C016C5" w:rsidRPr="00A21051" w:rsidRDefault="00C016C5" w:rsidP="00813D25">
            <w:pPr>
              <w:jc w:val="center"/>
              <w:rPr>
                <w:noProof/>
                <w:lang w:val="en-IE"/>
              </w:rPr>
            </w:pPr>
          </w:p>
        </w:tc>
        <w:tc>
          <w:tcPr>
            <w:tcW w:w="3213" w:type="dxa"/>
          </w:tcPr>
          <w:p w14:paraId="249EE709" w14:textId="77777777" w:rsidR="00C016C5" w:rsidRPr="00A21051" w:rsidRDefault="00C016C5" w:rsidP="00813D25">
            <w:pPr>
              <w:jc w:val="center"/>
              <w:rPr>
                <w:noProof/>
                <w:lang w:val="en-IE"/>
              </w:rPr>
            </w:pPr>
            <w:r w:rsidRPr="00A21051">
              <w:rPr>
                <w:noProof/>
                <w:lang w:val="en-IE"/>
              </w:rPr>
              <w:t>0</w:t>
            </w:r>
          </w:p>
        </w:tc>
        <w:tc>
          <w:tcPr>
            <w:tcW w:w="3213" w:type="dxa"/>
          </w:tcPr>
          <w:p w14:paraId="7F121018" w14:textId="77777777" w:rsidR="00C016C5" w:rsidRPr="00A21051" w:rsidRDefault="00C016C5" w:rsidP="00813D25">
            <w:pPr>
              <w:jc w:val="center"/>
              <w:rPr>
                <w:noProof/>
                <w:lang w:val="en-IE"/>
              </w:rPr>
            </w:pPr>
            <w:r w:rsidRPr="00A21051">
              <w:rPr>
                <w:noProof/>
                <w:lang w:val="en-IE"/>
              </w:rPr>
              <w:t>Score</w:t>
            </w:r>
            <w:r w:rsidRPr="00A21051">
              <w:rPr>
                <w:rFonts w:ascii="Calibri" w:hAnsi="Calibri" w:cs="Calibri"/>
                <w:noProof/>
                <w:lang w:val="en-IE"/>
              </w:rPr>
              <w:t> </w:t>
            </w:r>
            <w:r w:rsidRPr="00A21051">
              <w:rPr>
                <w:noProof/>
                <w:lang w:val="en-IE"/>
              </w:rPr>
              <w:t>0*: 265</w:t>
            </w:r>
          </w:p>
        </w:tc>
      </w:tr>
    </w:tbl>
    <w:p w14:paraId="70BD8360" w14:textId="77777777" w:rsidR="00C016C5" w:rsidRPr="00A21051" w:rsidRDefault="00C016C5" w:rsidP="00C016C5">
      <w:pPr>
        <w:pStyle w:val="FootnoteText"/>
        <w:rPr>
          <w:noProof/>
          <w:lang w:val="en-IE"/>
        </w:rPr>
      </w:pPr>
      <w:r w:rsidRPr="00A21051">
        <w:rPr>
          <w:noProof/>
          <w:lang w:val="en-IE"/>
        </w:rPr>
        <w:t xml:space="preserve">(*) Based on the applied gender contribution methodology, the following scores are attributed at the most granular level of intervention possible: </w:t>
      </w:r>
    </w:p>
    <w:p w14:paraId="3165FC2D" w14:textId="77777777" w:rsidR="00C016C5" w:rsidRPr="00A21051" w:rsidRDefault="00C016C5" w:rsidP="00476903">
      <w:pPr>
        <w:pStyle w:val="FootnoteText"/>
        <w:numPr>
          <w:ilvl w:val="0"/>
          <w:numId w:val="38"/>
        </w:numPr>
        <w:spacing w:after="60" w:line="264" w:lineRule="auto"/>
        <w:jc w:val="left"/>
        <w:rPr>
          <w:noProof/>
          <w:lang w:val="en-IE"/>
        </w:rPr>
      </w:pPr>
      <w:r w:rsidRPr="00A21051">
        <w:rPr>
          <w:noProof/>
          <w:lang w:val="en-IE"/>
        </w:rPr>
        <w:t>2: interventions the principal objective of which is to improve gender equality;</w:t>
      </w:r>
    </w:p>
    <w:p w14:paraId="30881F64" w14:textId="77777777" w:rsidR="00C016C5" w:rsidRPr="00A21051" w:rsidRDefault="00C016C5" w:rsidP="00476903">
      <w:pPr>
        <w:pStyle w:val="FootnoteText"/>
        <w:numPr>
          <w:ilvl w:val="0"/>
          <w:numId w:val="38"/>
        </w:numPr>
        <w:spacing w:after="60" w:line="264" w:lineRule="auto"/>
        <w:jc w:val="left"/>
        <w:rPr>
          <w:noProof/>
          <w:lang w:val="en-IE"/>
        </w:rPr>
      </w:pPr>
      <w:r w:rsidRPr="00A21051">
        <w:rPr>
          <w:noProof/>
          <w:lang w:val="en-IE"/>
        </w:rPr>
        <w:t>1: interventions that have gender equality as an important and deliberate objective but not as the main reason for the intervention;</w:t>
      </w:r>
    </w:p>
    <w:p w14:paraId="71291F62" w14:textId="77777777" w:rsidR="00C016C5" w:rsidRPr="00A21051" w:rsidRDefault="00C016C5" w:rsidP="00476903">
      <w:pPr>
        <w:pStyle w:val="FootnoteText"/>
        <w:numPr>
          <w:ilvl w:val="0"/>
          <w:numId w:val="38"/>
        </w:numPr>
        <w:spacing w:after="60" w:line="264" w:lineRule="auto"/>
        <w:jc w:val="left"/>
        <w:rPr>
          <w:noProof/>
          <w:lang w:val="en-IE"/>
        </w:rPr>
      </w:pPr>
      <w:r w:rsidRPr="00A21051">
        <w:rPr>
          <w:noProof/>
          <w:lang w:val="en-IE"/>
        </w:rPr>
        <w:t>0: non-targeted interventions;</w:t>
      </w:r>
    </w:p>
    <w:p w14:paraId="51A5ED8F" w14:textId="77777777" w:rsidR="00C016C5" w:rsidRPr="00A21051" w:rsidRDefault="00C016C5" w:rsidP="00476903">
      <w:pPr>
        <w:pStyle w:val="FootnoteText"/>
        <w:numPr>
          <w:ilvl w:val="0"/>
          <w:numId w:val="38"/>
        </w:numPr>
        <w:spacing w:after="60" w:line="264" w:lineRule="auto"/>
        <w:jc w:val="left"/>
        <w:rPr>
          <w:noProof/>
          <w:lang w:val="en-IE"/>
        </w:rPr>
      </w:pPr>
      <w:r w:rsidRPr="00A21051">
        <w:rPr>
          <w:noProof/>
          <w:lang w:val="en-IE"/>
        </w:rPr>
        <w:t>0*: score to be assigned to interventions with a likely but not yet clear positive impact on gender equality.</w:t>
      </w:r>
    </w:p>
    <w:p w14:paraId="659763A2" w14:textId="77777777" w:rsidR="00C016C5" w:rsidRPr="00A21051" w:rsidRDefault="00C016C5" w:rsidP="00C016C5">
      <w:pPr>
        <w:pStyle w:val="ppoHeading5"/>
        <w:rPr>
          <w:noProof/>
          <w:lang w:val="en-IE"/>
        </w:rPr>
      </w:pPr>
      <w:r w:rsidRPr="00A21051">
        <w:rPr>
          <w:noProof/>
          <w:lang w:val="en-IE"/>
        </w:rPr>
        <w:t>Performance assessment</w:t>
      </w:r>
    </w:p>
    <w:p w14:paraId="7BD63223" w14:textId="77777777" w:rsidR="00C016C5" w:rsidRPr="00A21051" w:rsidRDefault="00C016C5" w:rsidP="00C016C5">
      <w:pPr>
        <w:pStyle w:val="ppoHeading6"/>
        <w:rPr>
          <w:noProof/>
          <w:lang w:val="en-IE"/>
        </w:rPr>
      </w:pPr>
      <w:r w:rsidRPr="00A21051">
        <w:rPr>
          <w:noProof/>
          <w:lang w:val="en-IE"/>
        </w:rPr>
        <w:t>Key performance indicators</w:t>
      </w:r>
    </w:p>
    <w:tbl>
      <w:tblPr>
        <w:tblStyle w:val="PPO2021"/>
        <w:tblW w:w="9746" w:type="dxa"/>
        <w:tblInd w:w="0" w:type="dxa"/>
        <w:tblLook w:val="0420" w:firstRow="1" w:lastRow="0" w:firstColumn="0" w:lastColumn="0" w:noHBand="0" w:noVBand="1"/>
      </w:tblPr>
      <w:tblGrid>
        <w:gridCol w:w="2375"/>
        <w:gridCol w:w="1098"/>
        <w:gridCol w:w="1516"/>
        <w:gridCol w:w="1653"/>
        <w:gridCol w:w="1537"/>
        <w:gridCol w:w="1567"/>
      </w:tblGrid>
      <w:tr w:rsidR="00C016C5" w:rsidRPr="00A21051" w14:paraId="0E5372B1" w14:textId="77777777" w:rsidTr="00813D25">
        <w:trPr>
          <w:cnfStyle w:val="100000000000" w:firstRow="1" w:lastRow="0" w:firstColumn="0" w:lastColumn="0" w:oddVBand="0" w:evenVBand="0" w:oddHBand="0" w:evenHBand="0" w:firstRowFirstColumn="0" w:firstRowLastColumn="0" w:lastRowFirstColumn="0" w:lastRowLastColumn="0"/>
        </w:trPr>
        <w:tc>
          <w:tcPr>
            <w:tcW w:w="2437" w:type="dxa"/>
          </w:tcPr>
          <w:p w14:paraId="634E6552" w14:textId="77777777" w:rsidR="00C016C5" w:rsidRPr="00A21051" w:rsidRDefault="00C016C5" w:rsidP="00813D25">
            <w:pPr>
              <w:rPr>
                <w:noProof/>
                <w:lang w:val="en-IE"/>
              </w:rPr>
            </w:pPr>
          </w:p>
        </w:tc>
        <w:tc>
          <w:tcPr>
            <w:tcW w:w="1100" w:type="dxa"/>
          </w:tcPr>
          <w:p w14:paraId="5191D753" w14:textId="77777777" w:rsidR="00C016C5" w:rsidRPr="00A21051" w:rsidRDefault="00C016C5" w:rsidP="00813D25">
            <w:pPr>
              <w:rPr>
                <w:noProof/>
                <w:lang w:val="en-IE"/>
              </w:rPr>
            </w:pPr>
            <w:r w:rsidRPr="00A21051">
              <w:rPr>
                <w:noProof/>
                <w:lang w:val="en-IE"/>
              </w:rPr>
              <w:t>Baseline</w:t>
            </w:r>
          </w:p>
        </w:tc>
        <w:tc>
          <w:tcPr>
            <w:tcW w:w="1526" w:type="dxa"/>
          </w:tcPr>
          <w:p w14:paraId="62FE7181" w14:textId="77777777" w:rsidR="00C016C5" w:rsidRPr="00A21051" w:rsidRDefault="00C016C5" w:rsidP="00813D25">
            <w:pPr>
              <w:rPr>
                <w:noProof/>
                <w:lang w:val="en-IE"/>
              </w:rPr>
            </w:pPr>
            <w:r w:rsidRPr="00A21051">
              <w:rPr>
                <w:noProof/>
                <w:lang w:val="en-IE"/>
              </w:rPr>
              <w:t>Progress</w:t>
            </w:r>
            <w:r w:rsidRPr="00A21051">
              <w:rPr>
                <w:rFonts w:ascii="Calibri" w:hAnsi="Calibri" w:cs="Calibri"/>
                <w:noProof/>
                <w:lang w:val="en-IE"/>
              </w:rPr>
              <w:t> </w:t>
            </w:r>
            <w:r w:rsidRPr="00A21051">
              <w:rPr>
                <w:noProof/>
                <w:lang w:val="en-IE"/>
              </w:rPr>
              <w:t>(*)</w:t>
            </w:r>
          </w:p>
        </w:tc>
        <w:tc>
          <w:tcPr>
            <w:tcW w:w="1532" w:type="dxa"/>
          </w:tcPr>
          <w:p w14:paraId="56554059" w14:textId="77777777" w:rsidR="00C016C5" w:rsidRPr="00A21051" w:rsidRDefault="00C016C5" w:rsidP="00813D25">
            <w:pPr>
              <w:rPr>
                <w:noProof/>
                <w:lang w:val="en-IE"/>
              </w:rPr>
            </w:pPr>
            <w:r w:rsidRPr="00A21051">
              <w:rPr>
                <w:noProof/>
                <w:lang w:val="en-IE"/>
              </w:rPr>
              <w:t>Target</w:t>
            </w:r>
          </w:p>
        </w:tc>
        <w:tc>
          <w:tcPr>
            <w:tcW w:w="1572" w:type="dxa"/>
          </w:tcPr>
          <w:p w14:paraId="1F92720C" w14:textId="77777777" w:rsidR="00C016C5" w:rsidRPr="00A21051" w:rsidRDefault="00C016C5" w:rsidP="00813D25">
            <w:pPr>
              <w:rPr>
                <w:noProof/>
                <w:lang w:val="en-IE"/>
              </w:rPr>
            </w:pPr>
            <w:r w:rsidRPr="00A21051">
              <w:rPr>
                <w:noProof/>
                <w:lang w:val="en-IE"/>
              </w:rPr>
              <w:t>Results</w:t>
            </w:r>
          </w:p>
        </w:tc>
        <w:tc>
          <w:tcPr>
            <w:tcW w:w="1579" w:type="dxa"/>
          </w:tcPr>
          <w:p w14:paraId="502DF66C" w14:textId="77777777" w:rsidR="00C016C5" w:rsidRPr="00A21051" w:rsidRDefault="00C016C5" w:rsidP="00813D25">
            <w:pPr>
              <w:rPr>
                <w:noProof/>
                <w:lang w:val="en-IE"/>
              </w:rPr>
            </w:pPr>
            <w:r w:rsidRPr="00A21051">
              <w:rPr>
                <w:noProof/>
                <w:lang w:val="en-IE"/>
              </w:rPr>
              <w:t>Assessment</w:t>
            </w:r>
          </w:p>
        </w:tc>
      </w:tr>
      <w:tr w:rsidR="00C016C5" w:rsidRPr="00A21051" w14:paraId="4A94320C" w14:textId="77777777" w:rsidTr="00813D25">
        <w:trPr>
          <w:cnfStyle w:val="000000100000" w:firstRow="0" w:lastRow="0" w:firstColumn="0" w:lastColumn="0" w:oddVBand="0" w:evenVBand="0" w:oddHBand="1" w:evenHBand="0" w:firstRowFirstColumn="0" w:firstRowLastColumn="0" w:lastRowFirstColumn="0" w:lastRowLastColumn="0"/>
        </w:trPr>
        <w:tc>
          <w:tcPr>
            <w:tcW w:w="2437" w:type="dxa"/>
          </w:tcPr>
          <w:p w14:paraId="3263A188" w14:textId="77777777" w:rsidR="00C016C5" w:rsidRPr="00A21051" w:rsidRDefault="00C016C5" w:rsidP="00813D25">
            <w:pPr>
              <w:rPr>
                <w:noProof/>
                <w:lang w:val="en-IE"/>
              </w:rPr>
            </w:pPr>
            <w:r w:rsidRPr="00A21051">
              <w:rPr>
                <w:noProof/>
                <w:lang w:val="en-IE"/>
              </w:rPr>
              <w:t>Number of Euratom- funded peer-reviewed scientific publications</w:t>
            </w:r>
          </w:p>
        </w:tc>
        <w:tc>
          <w:tcPr>
            <w:tcW w:w="1100" w:type="dxa"/>
          </w:tcPr>
          <w:p w14:paraId="33389ED8" w14:textId="77777777" w:rsidR="00C016C5" w:rsidRPr="00A21051" w:rsidRDefault="00C016C5" w:rsidP="00813D25">
            <w:pPr>
              <w:jc w:val="center"/>
              <w:rPr>
                <w:noProof/>
                <w:lang w:val="en-IE"/>
              </w:rPr>
            </w:pPr>
            <w:r w:rsidRPr="00A21051">
              <w:rPr>
                <w:noProof/>
                <w:lang w:val="en-IE"/>
              </w:rPr>
              <w:t>0</w:t>
            </w:r>
          </w:p>
        </w:tc>
        <w:tc>
          <w:tcPr>
            <w:tcW w:w="1526" w:type="dxa"/>
          </w:tcPr>
          <w:p w14:paraId="1E32A667" w14:textId="278D4A32" w:rsidR="00C016C5" w:rsidRPr="00A21051" w:rsidRDefault="00305969" w:rsidP="00813D25">
            <w:pPr>
              <w:jc w:val="center"/>
              <w:rPr>
                <w:b/>
                <w:noProof/>
                <w:lang w:val="en-IE"/>
              </w:rPr>
            </w:pPr>
            <w:r>
              <w:rPr>
                <w:b/>
                <w:noProof/>
                <w:lang w:val="en-IE"/>
              </w:rPr>
              <w:t>0%</w:t>
            </w:r>
          </w:p>
        </w:tc>
        <w:tc>
          <w:tcPr>
            <w:tcW w:w="1532" w:type="dxa"/>
          </w:tcPr>
          <w:p w14:paraId="18268068" w14:textId="77777777" w:rsidR="00C016C5" w:rsidRPr="00A21051" w:rsidRDefault="00C016C5" w:rsidP="00813D25">
            <w:pPr>
              <w:jc w:val="center"/>
              <w:rPr>
                <w:noProof/>
                <w:lang w:val="en-IE"/>
              </w:rPr>
            </w:pPr>
            <w:r w:rsidRPr="00A21051">
              <w:rPr>
                <w:noProof/>
                <w:lang w:val="en-IE"/>
              </w:rPr>
              <w:t>4</w:t>
            </w:r>
            <w:r w:rsidRPr="00A21051">
              <w:rPr>
                <w:rFonts w:ascii="Calibri" w:hAnsi="Calibri" w:cs="Calibri"/>
                <w:noProof/>
                <w:lang w:val="en-IE"/>
              </w:rPr>
              <w:t> </w:t>
            </w:r>
            <w:r w:rsidRPr="00A21051">
              <w:rPr>
                <w:noProof/>
                <w:lang w:val="en-IE"/>
              </w:rPr>
              <w:t>000</w:t>
            </w:r>
            <w:r>
              <w:rPr>
                <w:noProof/>
                <w:lang w:val="en-IE"/>
              </w:rPr>
              <w:t xml:space="preserve"> in 2025</w:t>
            </w:r>
          </w:p>
        </w:tc>
        <w:tc>
          <w:tcPr>
            <w:tcW w:w="1572" w:type="dxa"/>
          </w:tcPr>
          <w:p w14:paraId="1818D818" w14:textId="0FC668E7" w:rsidR="00C016C5" w:rsidRPr="00A21051" w:rsidRDefault="00305969" w:rsidP="00813D25">
            <w:pPr>
              <w:jc w:val="center"/>
              <w:rPr>
                <w:noProof/>
                <w:lang w:val="en-IE"/>
              </w:rPr>
            </w:pPr>
            <w:r>
              <w:rPr>
                <w:noProof/>
                <w:lang w:val="en-IE"/>
              </w:rPr>
              <w:t>0</w:t>
            </w:r>
          </w:p>
        </w:tc>
        <w:tc>
          <w:tcPr>
            <w:tcW w:w="1579" w:type="dxa"/>
          </w:tcPr>
          <w:p w14:paraId="0C26E10C" w14:textId="49B30E9B" w:rsidR="00C016C5" w:rsidRPr="00A21051" w:rsidRDefault="00305969" w:rsidP="00813D25">
            <w:pPr>
              <w:jc w:val="center"/>
              <w:rPr>
                <w:noProof/>
                <w:lang w:val="en-IE"/>
              </w:rPr>
            </w:pPr>
            <w:r>
              <w:rPr>
                <w:noProof/>
                <w:lang w:val="en-IE"/>
              </w:rPr>
              <w:t>On track</w:t>
            </w:r>
          </w:p>
        </w:tc>
      </w:tr>
      <w:tr w:rsidR="00C016C5" w:rsidRPr="00A21051" w14:paraId="4B7D1C9F" w14:textId="77777777" w:rsidTr="00813D25">
        <w:trPr>
          <w:cnfStyle w:val="000000010000" w:firstRow="0" w:lastRow="0" w:firstColumn="0" w:lastColumn="0" w:oddVBand="0" w:evenVBand="0" w:oddHBand="0" w:evenHBand="1" w:firstRowFirstColumn="0" w:firstRowLastColumn="0" w:lastRowFirstColumn="0" w:lastRowLastColumn="0"/>
        </w:trPr>
        <w:tc>
          <w:tcPr>
            <w:tcW w:w="2437" w:type="dxa"/>
          </w:tcPr>
          <w:p w14:paraId="3250C20A" w14:textId="77777777" w:rsidR="00C016C5" w:rsidRPr="00A21051" w:rsidRDefault="00C016C5" w:rsidP="00813D25">
            <w:pPr>
              <w:rPr>
                <w:noProof/>
                <w:lang w:val="en-IE"/>
              </w:rPr>
            </w:pPr>
            <w:r w:rsidRPr="00A21051">
              <w:rPr>
                <w:noProof/>
                <w:lang w:val="en-IE"/>
              </w:rPr>
              <w:t>Reference materials delivered and reference data incorporated to a library</w:t>
            </w:r>
          </w:p>
        </w:tc>
        <w:tc>
          <w:tcPr>
            <w:tcW w:w="1100" w:type="dxa"/>
          </w:tcPr>
          <w:p w14:paraId="5F30BEA4" w14:textId="77777777" w:rsidR="00C016C5" w:rsidRPr="00A21051" w:rsidRDefault="00C016C5" w:rsidP="00813D25">
            <w:pPr>
              <w:jc w:val="center"/>
              <w:rPr>
                <w:noProof/>
                <w:lang w:val="en-IE"/>
              </w:rPr>
            </w:pPr>
            <w:r w:rsidRPr="00A21051">
              <w:rPr>
                <w:noProof/>
                <w:lang w:val="en-IE"/>
              </w:rPr>
              <w:t>0</w:t>
            </w:r>
          </w:p>
        </w:tc>
        <w:tc>
          <w:tcPr>
            <w:tcW w:w="1526" w:type="dxa"/>
          </w:tcPr>
          <w:p w14:paraId="6C0E7E94" w14:textId="77777777" w:rsidR="00C016C5" w:rsidRPr="00A21051" w:rsidRDefault="00C016C5" w:rsidP="00813D25">
            <w:pPr>
              <w:jc w:val="center"/>
              <w:rPr>
                <w:b/>
                <w:noProof/>
                <w:lang w:val="en-IE"/>
              </w:rPr>
            </w:pPr>
            <w:r w:rsidRPr="00A21051">
              <w:rPr>
                <w:b/>
                <w:noProof/>
                <w:lang w:val="en-IE"/>
              </w:rPr>
              <w:t>31%</w:t>
            </w:r>
          </w:p>
        </w:tc>
        <w:tc>
          <w:tcPr>
            <w:tcW w:w="1532" w:type="dxa"/>
          </w:tcPr>
          <w:p w14:paraId="031AEE47" w14:textId="77777777" w:rsidR="00C016C5" w:rsidRPr="00A21051" w:rsidRDefault="00C016C5" w:rsidP="00813D25">
            <w:pPr>
              <w:jc w:val="center"/>
              <w:rPr>
                <w:noProof/>
                <w:lang w:val="en-IE"/>
              </w:rPr>
            </w:pPr>
            <w:r w:rsidRPr="00A21051">
              <w:rPr>
                <w:noProof/>
                <w:lang w:val="en-IE"/>
              </w:rPr>
              <w:t>42 in 2025</w:t>
            </w:r>
          </w:p>
        </w:tc>
        <w:tc>
          <w:tcPr>
            <w:tcW w:w="1572" w:type="dxa"/>
          </w:tcPr>
          <w:p w14:paraId="3B33CCAB" w14:textId="77777777" w:rsidR="00C016C5" w:rsidRPr="00A21051" w:rsidRDefault="00C016C5" w:rsidP="00813D25">
            <w:pPr>
              <w:jc w:val="center"/>
              <w:rPr>
                <w:noProof/>
                <w:lang w:val="en-IE"/>
              </w:rPr>
            </w:pPr>
            <w:r w:rsidRPr="00A21051">
              <w:rPr>
                <w:noProof/>
                <w:lang w:val="en-IE"/>
              </w:rPr>
              <w:t>13 out of 42 reference materials</w:t>
            </w:r>
          </w:p>
        </w:tc>
        <w:tc>
          <w:tcPr>
            <w:tcW w:w="1579" w:type="dxa"/>
          </w:tcPr>
          <w:p w14:paraId="1D5470EE" w14:textId="77777777" w:rsidR="00C016C5" w:rsidRPr="00A21051" w:rsidRDefault="00C016C5" w:rsidP="00813D25">
            <w:pPr>
              <w:jc w:val="center"/>
              <w:rPr>
                <w:noProof/>
                <w:lang w:val="en-IE"/>
              </w:rPr>
            </w:pPr>
            <w:r w:rsidRPr="00A21051">
              <w:rPr>
                <w:noProof/>
                <w:lang w:val="en-IE"/>
              </w:rPr>
              <w:t>On track</w:t>
            </w:r>
          </w:p>
        </w:tc>
      </w:tr>
      <w:tr w:rsidR="00C016C5" w:rsidRPr="00A21051" w14:paraId="027FC71A" w14:textId="77777777" w:rsidTr="00813D25">
        <w:trPr>
          <w:cnfStyle w:val="000000100000" w:firstRow="0" w:lastRow="0" w:firstColumn="0" w:lastColumn="0" w:oddVBand="0" w:evenVBand="0" w:oddHBand="1" w:evenHBand="0" w:firstRowFirstColumn="0" w:firstRowLastColumn="0" w:lastRowFirstColumn="0" w:lastRowLastColumn="0"/>
        </w:trPr>
        <w:tc>
          <w:tcPr>
            <w:tcW w:w="2437" w:type="dxa"/>
          </w:tcPr>
          <w:p w14:paraId="19BFE884" w14:textId="77777777" w:rsidR="00C016C5" w:rsidRPr="00A21051" w:rsidRDefault="00C016C5" w:rsidP="00813D25">
            <w:pPr>
              <w:rPr>
                <w:noProof/>
                <w:lang w:val="en-IE"/>
              </w:rPr>
            </w:pPr>
            <w:r w:rsidRPr="00A21051">
              <w:rPr>
                <w:noProof/>
                <w:lang w:val="en-IE"/>
              </w:rPr>
              <w:t>Number of outputs contributing to the modification of international standards</w:t>
            </w:r>
          </w:p>
        </w:tc>
        <w:tc>
          <w:tcPr>
            <w:tcW w:w="1100" w:type="dxa"/>
          </w:tcPr>
          <w:p w14:paraId="7247C0E1" w14:textId="77777777" w:rsidR="00C016C5" w:rsidRPr="00A21051" w:rsidRDefault="00C016C5" w:rsidP="00813D25">
            <w:pPr>
              <w:jc w:val="center"/>
              <w:rPr>
                <w:noProof/>
                <w:lang w:val="en-IE"/>
              </w:rPr>
            </w:pPr>
            <w:r w:rsidRPr="00A21051">
              <w:rPr>
                <w:noProof/>
                <w:lang w:val="en-IE"/>
              </w:rPr>
              <w:t>0</w:t>
            </w:r>
          </w:p>
        </w:tc>
        <w:tc>
          <w:tcPr>
            <w:tcW w:w="1526" w:type="dxa"/>
          </w:tcPr>
          <w:p w14:paraId="45BF6908" w14:textId="77777777" w:rsidR="00C016C5" w:rsidRPr="00A21051" w:rsidRDefault="00C016C5" w:rsidP="00813D25">
            <w:pPr>
              <w:jc w:val="center"/>
              <w:rPr>
                <w:b/>
                <w:noProof/>
                <w:lang w:val="en-IE"/>
              </w:rPr>
            </w:pPr>
            <w:r w:rsidRPr="00A21051">
              <w:rPr>
                <w:b/>
                <w:noProof/>
                <w:lang w:val="en-IE"/>
              </w:rPr>
              <w:t>0%</w:t>
            </w:r>
          </w:p>
        </w:tc>
        <w:tc>
          <w:tcPr>
            <w:tcW w:w="1532" w:type="dxa"/>
          </w:tcPr>
          <w:p w14:paraId="5B2D23F5" w14:textId="77777777" w:rsidR="00C016C5" w:rsidRPr="00A21051" w:rsidRDefault="00C016C5" w:rsidP="00813D25">
            <w:pPr>
              <w:jc w:val="center"/>
              <w:rPr>
                <w:noProof/>
                <w:lang w:val="en-IE"/>
              </w:rPr>
            </w:pPr>
            <w:r w:rsidRPr="00A21051">
              <w:rPr>
                <w:noProof/>
                <w:lang w:val="en-IE"/>
              </w:rPr>
              <w:t>18 in 2025</w:t>
            </w:r>
          </w:p>
        </w:tc>
        <w:tc>
          <w:tcPr>
            <w:tcW w:w="1572" w:type="dxa"/>
          </w:tcPr>
          <w:p w14:paraId="6DC955DA" w14:textId="77777777" w:rsidR="00C016C5" w:rsidRPr="00A21051" w:rsidRDefault="00C016C5" w:rsidP="00813D25">
            <w:pPr>
              <w:jc w:val="center"/>
              <w:rPr>
                <w:noProof/>
                <w:lang w:val="en-IE"/>
              </w:rPr>
            </w:pPr>
            <w:r w:rsidRPr="00A21051">
              <w:rPr>
                <w:noProof/>
                <w:lang w:val="en-IE"/>
              </w:rPr>
              <w:t>0</w:t>
            </w:r>
          </w:p>
        </w:tc>
        <w:tc>
          <w:tcPr>
            <w:tcW w:w="1579" w:type="dxa"/>
          </w:tcPr>
          <w:p w14:paraId="5FEF82F4" w14:textId="77777777" w:rsidR="00C016C5" w:rsidRPr="00A21051" w:rsidRDefault="00C016C5" w:rsidP="00813D25">
            <w:pPr>
              <w:jc w:val="center"/>
              <w:rPr>
                <w:noProof/>
                <w:lang w:val="en-IE"/>
              </w:rPr>
            </w:pPr>
            <w:r w:rsidRPr="00A21051">
              <w:rPr>
                <w:noProof/>
                <w:lang w:val="en-IE"/>
              </w:rPr>
              <w:t>On track</w:t>
            </w:r>
          </w:p>
        </w:tc>
      </w:tr>
      <w:tr w:rsidR="00C016C5" w:rsidRPr="00A21051" w14:paraId="4BD6F940" w14:textId="77777777" w:rsidTr="00813D25">
        <w:trPr>
          <w:cnfStyle w:val="000000010000" w:firstRow="0" w:lastRow="0" w:firstColumn="0" w:lastColumn="0" w:oddVBand="0" w:evenVBand="0" w:oddHBand="0" w:evenHBand="1" w:firstRowFirstColumn="0" w:firstRowLastColumn="0" w:lastRowFirstColumn="0" w:lastRowLastColumn="0"/>
        </w:trPr>
        <w:tc>
          <w:tcPr>
            <w:tcW w:w="2437" w:type="dxa"/>
          </w:tcPr>
          <w:p w14:paraId="7B05D89B" w14:textId="77777777" w:rsidR="00C016C5" w:rsidRPr="00A21051" w:rsidRDefault="00C016C5" w:rsidP="00813D25">
            <w:pPr>
              <w:tabs>
                <w:tab w:val="center" w:pos="1057"/>
              </w:tabs>
              <w:rPr>
                <w:noProof/>
                <w:lang w:val="en-IE"/>
              </w:rPr>
            </w:pPr>
            <w:r w:rsidRPr="00A21051">
              <w:rPr>
                <w:noProof/>
                <w:lang w:val="en-IE"/>
              </w:rPr>
              <w:t>Number of technical systems provided and in use</w:t>
            </w:r>
          </w:p>
        </w:tc>
        <w:tc>
          <w:tcPr>
            <w:tcW w:w="1100" w:type="dxa"/>
          </w:tcPr>
          <w:p w14:paraId="2A5399F0" w14:textId="77777777" w:rsidR="00C016C5" w:rsidRPr="00A21051" w:rsidRDefault="00C016C5" w:rsidP="00813D25">
            <w:pPr>
              <w:jc w:val="center"/>
              <w:rPr>
                <w:noProof/>
                <w:lang w:val="en-IE"/>
              </w:rPr>
            </w:pPr>
            <w:r w:rsidRPr="00A21051">
              <w:rPr>
                <w:noProof/>
                <w:lang w:val="en-IE"/>
              </w:rPr>
              <w:t>0</w:t>
            </w:r>
          </w:p>
        </w:tc>
        <w:tc>
          <w:tcPr>
            <w:tcW w:w="1526" w:type="dxa"/>
          </w:tcPr>
          <w:p w14:paraId="64455EAF" w14:textId="77777777" w:rsidR="00C016C5" w:rsidRPr="00A21051" w:rsidRDefault="00C016C5" w:rsidP="00813D25">
            <w:pPr>
              <w:jc w:val="center"/>
              <w:rPr>
                <w:b/>
                <w:noProof/>
                <w:lang w:val="en-IE"/>
              </w:rPr>
            </w:pPr>
            <w:r w:rsidRPr="00A21051">
              <w:rPr>
                <w:b/>
                <w:noProof/>
                <w:lang w:val="en-IE"/>
              </w:rPr>
              <w:t>25%</w:t>
            </w:r>
          </w:p>
        </w:tc>
        <w:tc>
          <w:tcPr>
            <w:tcW w:w="1532" w:type="dxa"/>
          </w:tcPr>
          <w:p w14:paraId="544E38E3" w14:textId="77777777" w:rsidR="00C016C5" w:rsidRPr="00A21051" w:rsidRDefault="00C016C5" w:rsidP="00813D25">
            <w:pPr>
              <w:jc w:val="center"/>
              <w:rPr>
                <w:noProof/>
                <w:lang w:val="en-IE"/>
              </w:rPr>
            </w:pPr>
            <w:r w:rsidRPr="00A21051">
              <w:rPr>
                <w:noProof/>
                <w:lang w:val="en-IE"/>
              </w:rPr>
              <w:t>65 in 2025</w:t>
            </w:r>
          </w:p>
        </w:tc>
        <w:tc>
          <w:tcPr>
            <w:tcW w:w="1572" w:type="dxa"/>
          </w:tcPr>
          <w:p w14:paraId="57E94A15" w14:textId="77777777" w:rsidR="00C016C5" w:rsidRPr="00A21051" w:rsidRDefault="00C016C5" w:rsidP="00813D25">
            <w:pPr>
              <w:jc w:val="center"/>
              <w:rPr>
                <w:noProof/>
                <w:lang w:val="en-IE"/>
              </w:rPr>
            </w:pPr>
            <w:r w:rsidRPr="00A21051">
              <w:rPr>
                <w:noProof/>
                <w:lang w:val="en-IE"/>
              </w:rPr>
              <w:t>16 out of 65 technical systems</w:t>
            </w:r>
          </w:p>
        </w:tc>
        <w:tc>
          <w:tcPr>
            <w:tcW w:w="1579" w:type="dxa"/>
          </w:tcPr>
          <w:p w14:paraId="2BCBFDDE" w14:textId="77777777" w:rsidR="00C016C5" w:rsidRPr="00A21051" w:rsidRDefault="00C016C5" w:rsidP="00813D25">
            <w:pPr>
              <w:jc w:val="center"/>
              <w:rPr>
                <w:noProof/>
                <w:lang w:val="en-IE"/>
              </w:rPr>
            </w:pPr>
            <w:r w:rsidRPr="00A21051">
              <w:rPr>
                <w:noProof/>
                <w:lang w:val="en-IE"/>
              </w:rPr>
              <w:t>On track</w:t>
            </w:r>
          </w:p>
        </w:tc>
      </w:tr>
      <w:tr w:rsidR="00C016C5" w:rsidRPr="00A21051" w14:paraId="7BC10644" w14:textId="77777777" w:rsidTr="00813D25">
        <w:trPr>
          <w:cnfStyle w:val="000000100000" w:firstRow="0" w:lastRow="0" w:firstColumn="0" w:lastColumn="0" w:oddVBand="0" w:evenVBand="0" w:oddHBand="1" w:evenHBand="0" w:firstRowFirstColumn="0" w:firstRowLastColumn="0" w:lastRowFirstColumn="0" w:lastRowLastColumn="0"/>
        </w:trPr>
        <w:tc>
          <w:tcPr>
            <w:tcW w:w="2437" w:type="dxa"/>
          </w:tcPr>
          <w:p w14:paraId="1124F0A8" w14:textId="77777777" w:rsidR="00C016C5" w:rsidRPr="00A21051" w:rsidRDefault="00C016C5" w:rsidP="00813D25">
            <w:pPr>
              <w:rPr>
                <w:noProof/>
                <w:lang w:val="en-IE"/>
              </w:rPr>
            </w:pPr>
            <w:r w:rsidRPr="00A21051">
              <w:rPr>
                <w:noProof/>
                <w:lang w:val="en-IE"/>
              </w:rPr>
              <w:t>Public and private investment mobilised with the initial Euratom investment</w:t>
            </w:r>
          </w:p>
        </w:tc>
        <w:tc>
          <w:tcPr>
            <w:tcW w:w="1100" w:type="dxa"/>
          </w:tcPr>
          <w:p w14:paraId="51311FCB" w14:textId="77777777" w:rsidR="00C016C5" w:rsidRPr="00A21051" w:rsidRDefault="00C016C5" w:rsidP="00813D25">
            <w:pPr>
              <w:jc w:val="center"/>
              <w:rPr>
                <w:noProof/>
                <w:lang w:val="en-IE"/>
              </w:rPr>
            </w:pPr>
            <w:r w:rsidRPr="00A21051">
              <w:rPr>
                <w:noProof/>
                <w:lang w:val="en-IE"/>
              </w:rPr>
              <w:t>0</w:t>
            </w:r>
          </w:p>
        </w:tc>
        <w:tc>
          <w:tcPr>
            <w:tcW w:w="1526" w:type="dxa"/>
          </w:tcPr>
          <w:p w14:paraId="649D8284" w14:textId="77777777" w:rsidR="00C016C5" w:rsidRPr="00A21051" w:rsidRDefault="00C016C5" w:rsidP="00813D25">
            <w:pPr>
              <w:jc w:val="center"/>
              <w:rPr>
                <w:b/>
                <w:noProof/>
                <w:lang w:val="en-IE"/>
              </w:rPr>
            </w:pPr>
          </w:p>
        </w:tc>
        <w:tc>
          <w:tcPr>
            <w:tcW w:w="1532" w:type="dxa"/>
          </w:tcPr>
          <w:p w14:paraId="09A4DEA5" w14:textId="77777777" w:rsidR="00C016C5" w:rsidRPr="00A21051" w:rsidRDefault="00C016C5" w:rsidP="00813D25">
            <w:pPr>
              <w:jc w:val="center"/>
              <w:rPr>
                <w:noProof/>
                <w:lang w:val="en-IE"/>
              </w:rPr>
            </w:pPr>
            <w:r w:rsidRPr="00A21051">
              <w:rPr>
                <w:noProof/>
                <w:lang w:val="en-IE"/>
              </w:rPr>
              <w:t>EUR</w:t>
            </w:r>
            <w:r w:rsidRPr="00A21051">
              <w:rPr>
                <w:rFonts w:ascii="Calibri" w:hAnsi="Calibri" w:cs="Calibri"/>
                <w:noProof/>
                <w:lang w:val="en-IE"/>
              </w:rPr>
              <w:t> </w:t>
            </w:r>
            <w:r w:rsidRPr="00A21051">
              <w:rPr>
                <w:noProof/>
                <w:lang w:val="en-IE"/>
              </w:rPr>
              <w:t>500</w:t>
            </w:r>
            <w:r w:rsidRPr="00A21051">
              <w:rPr>
                <w:rFonts w:ascii="Calibri" w:hAnsi="Calibri" w:cs="Calibri"/>
                <w:noProof/>
                <w:lang w:val="en-IE"/>
              </w:rPr>
              <w:t xml:space="preserve"> million </w:t>
            </w:r>
            <w:r w:rsidRPr="00A21051">
              <w:rPr>
                <w:noProof/>
                <w:lang w:val="en-IE"/>
              </w:rPr>
              <w:t>in 2025</w:t>
            </w:r>
          </w:p>
        </w:tc>
        <w:tc>
          <w:tcPr>
            <w:tcW w:w="1572" w:type="dxa"/>
          </w:tcPr>
          <w:p w14:paraId="14FE0782" w14:textId="77777777" w:rsidR="00C016C5" w:rsidRPr="00A21051" w:rsidRDefault="00C016C5" w:rsidP="00813D25">
            <w:pPr>
              <w:jc w:val="center"/>
              <w:rPr>
                <w:noProof/>
                <w:lang w:val="en-IE"/>
              </w:rPr>
            </w:pPr>
            <w:r w:rsidRPr="00A21051">
              <w:rPr>
                <w:noProof/>
                <w:lang w:val="en-IE"/>
              </w:rPr>
              <w:t xml:space="preserve">No results </w:t>
            </w:r>
          </w:p>
        </w:tc>
        <w:tc>
          <w:tcPr>
            <w:tcW w:w="1579" w:type="dxa"/>
          </w:tcPr>
          <w:p w14:paraId="7072B61A" w14:textId="77777777" w:rsidR="00C016C5" w:rsidRPr="00A21051" w:rsidRDefault="00C016C5" w:rsidP="00813D25">
            <w:pPr>
              <w:jc w:val="center"/>
              <w:rPr>
                <w:noProof/>
                <w:lang w:val="en-IE"/>
              </w:rPr>
            </w:pPr>
            <w:r w:rsidRPr="00A21051">
              <w:rPr>
                <w:noProof/>
                <w:lang w:val="en-IE"/>
              </w:rPr>
              <w:t>No data</w:t>
            </w:r>
          </w:p>
        </w:tc>
      </w:tr>
      <w:tr w:rsidR="00C016C5" w:rsidRPr="00A21051" w14:paraId="7B9A1B8B" w14:textId="77777777" w:rsidTr="00813D25">
        <w:trPr>
          <w:cnfStyle w:val="000000010000" w:firstRow="0" w:lastRow="0" w:firstColumn="0" w:lastColumn="0" w:oddVBand="0" w:evenVBand="0" w:oddHBand="0" w:evenHBand="1" w:firstRowFirstColumn="0" w:firstRowLastColumn="0" w:lastRowFirstColumn="0" w:lastRowLastColumn="0"/>
        </w:trPr>
        <w:tc>
          <w:tcPr>
            <w:tcW w:w="2437" w:type="dxa"/>
          </w:tcPr>
          <w:p w14:paraId="371A649A" w14:textId="77777777" w:rsidR="00C016C5" w:rsidRPr="00A21051" w:rsidRDefault="00C016C5" w:rsidP="00813D25">
            <w:pPr>
              <w:rPr>
                <w:noProof/>
                <w:lang w:val="en-IE"/>
              </w:rPr>
            </w:pPr>
            <w:r w:rsidRPr="00A21051">
              <w:rPr>
                <w:noProof/>
                <w:lang w:val="en-IE"/>
              </w:rPr>
              <w:t>Number of persons having benefited from upskilling activities of the Euratom programme (through training, mobility and access to infrastructure)</w:t>
            </w:r>
          </w:p>
        </w:tc>
        <w:tc>
          <w:tcPr>
            <w:tcW w:w="1100" w:type="dxa"/>
          </w:tcPr>
          <w:p w14:paraId="0A923234" w14:textId="77777777" w:rsidR="00C016C5" w:rsidRPr="00A21051" w:rsidRDefault="00C016C5" w:rsidP="00813D25">
            <w:pPr>
              <w:jc w:val="center"/>
              <w:rPr>
                <w:noProof/>
                <w:lang w:val="en-IE"/>
              </w:rPr>
            </w:pPr>
            <w:r w:rsidRPr="00A21051">
              <w:rPr>
                <w:noProof/>
                <w:lang w:val="en-IE"/>
              </w:rPr>
              <w:t>0</w:t>
            </w:r>
          </w:p>
        </w:tc>
        <w:tc>
          <w:tcPr>
            <w:tcW w:w="1526" w:type="dxa"/>
          </w:tcPr>
          <w:p w14:paraId="259CA898" w14:textId="332AA48E" w:rsidR="00C016C5" w:rsidRPr="00A21051" w:rsidRDefault="00305969" w:rsidP="00813D25">
            <w:pPr>
              <w:jc w:val="center"/>
              <w:rPr>
                <w:b/>
                <w:noProof/>
                <w:lang w:val="en-IE"/>
              </w:rPr>
            </w:pPr>
            <w:r>
              <w:rPr>
                <w:b/>
                <w:noProof/>
                <w:lang w:val="en-IE"/>
              </w:rPr>
              <w:t>0%</w:t>
            </w:r>
          </w:p>
        </w:tc>
        <w:tc>
          <w:tcPr>
            <w:tcW w:w="1532" w:type="dxa"/>
          </w:tcPr>
          <w:p w14:paraId="05FC8F70" w14:textId="77777777" w:rsidR="00C016C5" w:rsidRPr="00A21051" w:rsidRDefault="00C016C5" w:rsidP="00813D25">
            <w:pPr>
              <w:jc w:val="center"/>
              <w:rPr>
                <w:noProof/>
                <w:lang w:val="en-IE"/>
              </w:rPr>
            </w:pPr>
            <w:r w:rsidRPr="00A21051">
              <w:rPr>
                <w:noProof/>
                <w:lang w:val="en-IE"/>
              </w:rPr>
              <w:t>6</w:t>
            </w:r>
            <w:r w:rsidRPr="00A21051">
              <w:rPr>
                <w:rFonts w:ascii="Calibri" w:hAnsi="Calibri" w:cs="Calibri"/>
                <w:noProof/>
                <w:lang w:val="en-IE"/>
              </w:rPr>
              <w:t> </w:t>
            </w:r>
            <w:r w:rsidRPr="00A21051">
              <w:rPr>
                <w:noProof/>
                <w:lang w:val="en-IE"/>
              </w:rPr>
              <w:t>000 in 2025</w:t>
            </w:r>
          </w:p>
        </w:tc>
        <w:tc>
          <w:tcPr>
            <w:tcW w:w="1572" w:type="dxa"/>
          </w:tcPr>
          <w:p w14:paraId="4517625A" w14:textId="75441BFC" w:rsidR="00C016C5" w:rsidRPr="00A21051" w:rsidRDefault="00305969" w:rsidP="00813D25">
            <w:pPr>
              <w:jc w:val="center"/>
              <w:rPr>
                <w:noProof/>
                <w:lang w:val="en-IE"/>
              </w:rPr>
            </w:pPr>
            <w:r>
              <w:rPr>
                <w:noProof/>
                <w:lang w:val="en-IE"/>
              </w:rPr>
              <w:t>0</w:t>
            </w:r>
          </w:p>
        </w:tc>
        <w:tc>
          <w:tcPr>
            <w:tcW w:w="1579" w:type="dxa"/>
          </w:tcPr>
          <w:p w14:paraId="2D24E60C" w14:textId="50F27DEB" w:rsidR="00C016C5" w:rsidRPr="00A21051" w:rsidRDefault="00305969" w:rsidP="00813D25">
            <w:pPr>
              <w:jc w:val="center"/>
              <w:rPr>
                <w:noProof/>
                <w:lang w:val="en-IE"/>
              </w:rPr>
            </w:pPr>
            <w:r>
              <w:rPr>
                <w:noProof/>
                <w:lang w:val="en-IE"/>
              </w:rPr>
              <w:t>On track</w:t>
            </w:r>
          </w:p>
        </w:tc>
      </w:tr>
      <w:tr w:rsidR="00C016C5" w:rsidRPr="00A21051" w14:paraId="447FED0A" w14:textId="77777777" w:rsidTr="00813D25">
        <w:trPr>
          <w:cnfStyle w:val="000000100000" w:firstRow="0" w:lastRow="0" w:firstColumn="0" w:lastColumn="0" w:oddVBand="0" w:evenVBand="0" w:oddHBand="1" w:evenHBand="0" w:firstRowFirstColumn="0" w:firstRowLastColumn="0" w:lastRowFirstColumn="0" w:lastRowLastColumn="0"/>
        </w:trPr>
        <w:tc>
          <w:tcPr>
            <w:tcW w:w="2437" w:type="dxa"/>
          </w:tcPr>
          <w:p w14:paraId="621FA4BF" w14:textId="77777777" w:rsidR="00C016C5" w:rsidRPr="00A21051" w:rsidRDefault="00C016C5" w:rsidP="00813D25">
            <w:pPr>
              <w:rPr>
                <w:noProof/>
                <w:lang w:val="en-IE"/>
              </w:rPr>
            </w:pPr>
            <w:r w:rsidRPr="00A21051">
              <w:rPr>
                <w:noProof/>
                <w:lang w:val="en-IE"/>
              </w:rPr>
              <w:t>Progress in the implementation of the fusion roadmap</w:t>
            </w:r>
          </w:p>
        </w:tc>
        <w:tc>
          <w:tcPr>
            <w:tcW w:w="1100" w:type="dxa"/>
          </w:tcPr>
          <w:p w14:paraId="730019F6" w14:textId="77777777" w:rsidR="00C016C5" w:rsidRPr="00A21051" w:rsidRDefault="00C016C5" w:rsidP="00813D25">
            <w:pPr>
              <w:jc w:val="center"/>
              <w:rPr>
                <w:noProof/>
                <w:lang w:val="en-IE"/>
              </w:rPr>
            </w:pPr>
            <w:r w:rsidRPr="00A21051">
              <w:rPr>
                <w:noProof/>
                <w:lang w:val="en-IE"/>
              </w:rPr>
              <w:t>0</w:t>
            </w:r>
          </w:p>
        </w:tc>
        <w:tc>
          <w:tcPr>
            <w:tcW w:w="1526" w:type="dxa"/>
          </w:tcPr>
          <w:p w14:paraId="65F0E5C1" w14:textId="77777777" w:rsidR="00C016C5" w:rsidRPr="00A21051" w:rsidRDefault="00C016C5" w:rsidP="00813D25">
            <w:pPr>
              <w:jc w:val="center"/>
              <w:rPr>
                <w:b/>
                <w:noProof/>
                <w:lang w:val="en-IE"/>
              </w:rPr>
            </w:pPr>
          </w:p>
        </w:tc>
        <w:tc>
          <w:tcPr>
            <w:tcW w:w="1532" w:type="dxa"/>
          </w:tcPr>
          <w:p w14:paraId="65AB12D3" w14:textId="77777777" w:rsidR="00C016C5" w:rsidRPr="00A21051" w:rsidRDefault="00C016C5" w:rsidP="00813D25">
            <w:pPr>
              <w:jc w:val="center"/>
              <w:rPr>
                <w:noProof/>
                <w:lang w:val="en-IE"/>
              </w:rPr>
            </w:pPr>
            <w:r w:rsidRPr="00A21051">
              <w:rPr>
                <w:noProof/>
                <w:lang w:val="en-IE"/>
              </w:rPr>
              <w:t>90% in 2025</w:t>
            </w:r>
          </w:p>
        </w:tc>
        <w:tc>
          <w:tcPr>
            <w:tcW w:w="1572" w:type="dxa"/>
          </w:tcPr>
          <w:p w14:paraId="6EFE1033" w14:textId="77777777" w:rsidR="00C016C5" w:rsidRPr="00A21051" w:rsidRDefault="00C016C5" w:rsidP="00813D25">
            <w:pPr>
              <w:jc w:val="center"/>
              <w:rPr>
                <w:noProof/>
                <w:lang w:val="en-IE"/>
              </w:rPr>
            </w:pPr>
            <w:r w:rsidRPr="00A21051">
              <w:rPr>
                <w:noProof/>
                <w:lang w:val="en-IE"/>
              </w:rPr>
              <w:t>No results</w:t>
            </w:r>
          </w:p>
          <w:p w14:paraId="23C075C8" w14:textId="77777777" w:rsidR="00C016C5" w:rsidRPr="00A21051" w:rsidRDefault="00C016C5" w:rsidP="00813D25">
            <w:pPr>
              <w:jc w:val="center"/>
              <w:rPr>
                <w:noProof/>
                <w:lang w:val="en-IE"/>
              </w:rPr>
            </w:pPr>
          </w:p>
        </w:tc>
        <w:tc>
          <w:tcPr>
            <w:tcW w:w="1579" w:type="dxa"/>
          </w:tcPr>
          <w:p w14:paraId="297339DF" w14:textId="77777777" w:rsidR="00C016C5" w:rsidRPr="00A21051" w:rsidRDefault="00C016C5" w:rsidP="00813D25">
            <w:pPr>
              <w:jc w:val="center"/>
              <w:rPr>
                <w:noProof/>
                <w:lang w:val="en-IE"/>
              </w:rPr>
            </w:pPr>
            <w:r w:rsidRPr="00A21051">
              <w:rPr>
                <w:noProof/>
                <w:lang w:val="en-IE"/>
              </w:rPr>
              <w:t xml:space="preserve">No data </w:t>
            </w:r>
          </w:p>
        </w:tc>
      </w:tr>
      <w:tr w:rsidR="00C016C5" w:rsidRPr="00A21051" w14:paraId="0ADFDCEA" w14:textId="77777777" w:rsidTr="00813D25">
        <w:trPr>
          <w:cnfStyle w:val="000000010000" w:firstRow="0" w:lastRow="0" w:firstColumn="0" w:lastColumn="0" w:oddVBand="0" w:evenVBand="0" w:oddHBand="0" w:evenHBand="1" w:firstRowFirstColumn="0" w:firstRowLastColumn="0" w:lastRowFirstColumn="0" w:lastRowLastColumn="0"/>
        </w:trPr>
        <w:tc>
          <w:tcPr>
            <w:tcW w:w="2437" w:type="dxa"/>
          </w:tcPr>
          <w:p w14:paraId="7AB567FB" w14:textId="77777777" w:rsidR="00C016C5" w:rsidRPr="00A21051" w:rsidRDefault="00C016C5" w:rsidP="00813D25">
            <w:pPr>
              <w:tabs>
                <w:tab w:val="center" w:pos="1057"/>
              </w:tabs>
              <w:rPr>
                <w:noProof/>
                <w:lang w:val="en-IE"/>
              </w:rPr>
            </w:pPr>
            <w:r w:rsidRPr="00A21051">
              <w:rPr>
                <w:noProof/>
                <w:lang w:val="en-IE"/>
              </w:rPr>
              <w:t xml:space="preserve">Number of </w:t>
            </w:r>
            <w:r w:rsidRPr="007C2FCF">
              <w:rPr>
                <w:noProof/>
                <w:lang w:val="en-IE"/>
              </w:rPr>
              <w:t>full-time equivalent</w:t>
            </w:r>
            <w:r w:rsidRPr="00A21051">
              <w:rPr>
                <w:noProof/>
                <w:lang w:val="en-IE"/>
              </w:rPr>
              <w:t xml:space="preserve"> jobs created, and jobs maintained in beneficiary entities for the Euratom project (by type of job)</w:t>
            </w:r>
          </w:p>
        </w:tc>
        <w:tc>
          <w:tcPr>
            <w:tcW w:w="1100" w:type="dxa"/>
          </w:tcPr>
          <w:p w14:paraId="1C62EFBD" w14:textId="77777777" w:rsidR="00C016C5" w:rsidRPr="00A21051" w:rsidRDefault="00C016C5" w:rsidP="00813D25">
            <w:pPr>
              <w:jc w:val="center"/>
              <w:rPr>
                <w:noProof/>
                <w:lang w:val="en-IE"/>
              </w:rPr>
            </w:pPr>
            <w:r w:rsidRPr="00A21051">
              <w:rPr>
                <w:noProof/>
                <w:lang w:val="en-IE"/>
              </w:rPr>
              <w:t>0</w:t>
            </w:r>
          </w:p>
        </w:tc>
        <w:tc>
          <w:tcPr>
            <w:tcW w:w="1526" w:type="dxa"/>
          </w:tcPr>
          <w:p w14:paraId="1A93DA56" w14:textId="77777777" w:rsidR="00C016C5" w:rsidRPr="00A21051" w:rsidRDefault="00C016C5" w:rsidP="00813D25">
            <w:pPr>
              <w:jc w:val="center"/>
              <w:rPr>
                <w:b/>
                <w:noProof/>
                <w:lang w:val="en-IE"/>
              </w:rPr>
            </w:pPr>
          </w:p>
          <w:p w14:paraId="352BE352" w14:textId="77777777" w:rsidR="00C016C5" w:rsidRPr="00A21051" w:rsidRDefault="00C016C5" w:rsidP="00813D25">
            <w:pPr>
              <w:jc w:val="center"/>
              <w:rPr>
                <w:b/>
                <w:noProof/>
                <w:lang w:val="en-IE"/>
              </w:rPr>
            </w:pPr>
          </w:p>
        </w:tc>
        <w:tc>
          <w:tcPr>
            <w:tcW w:w="1532" w:type="dxa"/>
          </w:tcPr>
          <w:p w14:paraId="6FBC7E9A" w14:textId="77777777" w:rsidR="00C016C5" w:rsidRPr="00A21051" w:rsidRDefault="00C016C5" w:rsidP="00813D25">
            <w:pPr>
              <w:jc w:val="center"/>
              <w:rPr>
                <w:noProof/>
                <w:lang w:val="en-IE"/>
              </w:rPr>
            </w:pPr>
            <w:r w:rsidRPr="00A21051">
              <w:rPr>
                <w:noProof/>
                <w:lang w:val="en-IE"/>
              </w:rPr>
              <w:t>11</w:t>
            </w:r>
            <w:r w:rsidRPr="00A21051">
              <w:rPr>
                <w:rFonts w:ascii="Calibri" w:hAnsi="Calibri" w:cs="Calibri"/>
                <w:noProof/>
                <w:lang w:val="en-IE"/>
              </w:rPr>
              <w:t> </w:t>
            </w:r>
            <w:r w:rsidRPr="00A21051">
              <w:rPr>
                <w:noProof/>
                <w:lang w:val="en-IE"/>
              </w:rPr>
              <w:t>000</w:t>
            </w:r>
          </w:p>
        </w:tc>
        <w:tc>
          <w:tcPr>
            <w:tcW w:w="1572" w:type="dxa"/>
          </w:tcPr>
          <w:p w14:paraId="2D51D488" w14:textId="77777777" w:rsidR="00C016C5" w:rsidRPr="00A21051" w:rsidRDefault="00C016C5" w:rsidP="00813D25">
            <w:pPr>
              <w:jc w:val="center"/>
              <w:rPr>
                <w:noProof/>
                <w:lang w:val="en-IE"/>
              </w:rPr>
            </w:pPr>
            <w:r w:rsidRPr="00A21051">
              <w:rPr>
                <w:noProof/>
                <w:lang w:val="en-IE"/>
              </w:rPr>
              <w:t>No results</w:t>
            </w:r>
          </w:p>
        </w:tc>
        <w:tc>
          <w:tcPr>
            <w:tcW w:w="1579" w:type="dxa"/>
          </w:tcPr>
          <w:p w14:paraId="37531F2D" w14:textId="01D58574" w:rsidR="00C016C5" w:rsidRPr="00A21051" w:rsidRDefault="00305969" w:rsidP="00813D25">
            <w:pPr>
              <w:jc w:val="center"/>
              <w:rPr>
                <w:noProof/>
                <w:lang w:val="en-IE"/>
              </w:rPr>
            </w:pPr>
            <w:r>
              <w:rPr>
                <w:noProof/>
                <w:lang w:val="en-IE"/>
              </w:rPr>
              <w:t>On track</w:t>
            </w:r>
          </w:p>
        </w:tc>
      </w:tr>
      <w:tr w:rsidR="00C016C5" w:rsidRPr="00A21051" w14:paraId="59598193" w14:textId="77777777" w:rsidTr="00813D25">
        <w:trPr>
          <w:cnfStyle w:val="000000100000" w:firstRow="0" w:lastRow="0" w:firstColumn="0" w:lastColumn="0" w:oddVBand="0" w:evenVBand="0" w:oddHBand="1" w:evenHBand="0" w:firstRowFirstColumn="0" w:firstRowLastColumn="0" w:lastRowFirstColumn="0" w:lastRowLastColumn="0"/>
        </w:trPr>
        <w:tc>
          <w:tcPr>
            <w:tcW w:w="2437" w:type="dxa"/>
          </w:tcPr>
          <w:p w14:paraId="492AAF22" w14:textId="77777777" w:rsidR="00C016C5" w:rsidRPr="00A21051" w:rsidRDefault="00C016C5" w:rsidP="00813D25">
            <w:pPr>
              <w:tabs>
                <w:tab w:val="center" w:pos="1057"/>
              </w:tabs>
              <w:rPr>
                <w:noProof/>
                <w:lang w:val="en-IE"/>
              </w:rPr>
            </w:pPr>
            <w:r w:rsidRPr="00A21051">
              <w:rPr>
                <w:noProof/>
                <w:lang w:val="en-IE"/>
              </w:rPr>
              <w:t>Number and share of Euratom projects producing policy-relevant findings</w:t>
            </w:r>
          </w:p>
        </w:tc>
        <w:tc>
          <w:tcPr>
            <w:tcW w:w="1100" w:type="dxa"/>
          </w:tcPr>
          <w:p w14:paraId="058D990D" w14:textId="77777777" w:rsidR="00C016C5" w:rsidRPr="00A21051" w:rsidRDefault="00C016C5" w:rsidP="00813D25">
            <w:pPr>
              <w:jc w:val="center"/>
              <w:rPr>
                <w:noProof/>
                <w:lang w:val="en-IE"/>
              </w:rPr>
            </w:pPr>
            <w:r w:rsidRPr="00A21051">
              <w:rPr>
                <w:noProof/>
                <w:lang w:val="en-IE"/>
              </w:rPr>
              <w:t>0</w:t>
            </w:r>
            <w:r>
              <w:rPr>
                <w:noProof/>
                <w:lang w:val="en-IE"/>
              </w:rPr>
              <w:t>%</w:t>
            </w:r>
          </w:p>
        </w:tc>
        <w:tc>
          <w:tcPr>
            <w:tcW w:w="1526" w:type="dxa"/>
          </w:tcPr>
          <w:p w14:paraId="24353834" w14:textId="77777777" w:rsidR="00C016C5" w:rsidRPr="00A21051" w:rsidRDefault="00C016C5" w:rsidP="00813D25">
            <w:pPr>
              <w:jc w:val="center"/>
              <w:rPr>
                <w:b/>
                <w:noProof/>
                <w:lang w:val="en-IE"/>
              </w:rPr>
            </w:pPr>
            <w:r w:rsidRPr="00A21051">
              <w:rPr>
                <w:b/>
                <w:noProof/>
                <w:lang w:val="en-IE"/>
              </w:rPr>
              <w:t>82%</w:t>
            </w:r>
          </w:p>
        </w:tc>
        <w:tc>
          <w:tcPr>
            <w:tcW w:w="1532" w:type="dxa"/>
          </w:tcPr>
          <w:p w14:paraId="28B9EA60" w14:textId="77777777" w:rsidR="00C016C5" w:rsidRPr="00A21051" w:rsidRDefault="00C016C5" w:rsidP="00813D25">
            <w:pPr>
              <w:jc w:val="center"/>
              <w:rPr>
                <w:noProof/>
                <w:lang w:val="en-IE"/>
              </w:rPr>
            </w:pPr>
            <w:r w:rsidRPr="00A21051">
              <w:rPr>
                <w:noProof/>
                <w:lang w:val="en-IE"/>
              </w:rPr>
              <w:t>50% in 2025</w:t>
            </w:r>
          </w:p>
        </w:tc>
        <w:tc>
          <w:tcPr>
            <w:tcW w:w="1572" w:type="dxa"/>
          </w:tcPr>
          <w:p w14:paraId="7F612349" w14:textId="77777777" w:rsidR="00C016C5" w:rsidRPr="00A21051" w:rsidRDefault="00C016C5" w:rsidP="00813D25">
            <w:pPr>
              <w:jc w:val="center"/>
              <w:rPr>
                <w:noProof/>
                <w:lang w:val="en-IE"/>
              </w:rPr>
            </w:pPr>
            <w:r w:rsidRPr="00A21051">
              <w:rPr>
                <w:noProof/>
                <w:lang w:val="en-IE"/>
              </w:rPr>
              <w:t>41% compared to 50% share</w:t>
            </w:r>
          </w:p>
        </w:tc>
        <w:tc>
          <w:tcPr>
            <w:tcW w:w="1579" w:type="dxa"/>
          </w:tcPr>
          <w:p w14:paraId="4C93B37C" w14:textId="77777777" w:rsidR="00C016C5" w:rsidRPr="00A21051" w:rsidRDefault="00C016C5" w:rsidP="00813D25">
            <w:pPr>
              <w:tabs>
                <w:tab w:val="center" w:pos="681"/>
                <w:tab w:val="left" w:pos="1066"/>
              </w:tabs>
              <w:rPr>
                <w:noProof/>
                <w:lang w:val="en-IE"/>
              </w:rPr>
            </w:pPr>
            <w:r w:rsidRPr="00A21051">
              <w:rPr>
                <w:noProof/>
                <w:lang w:val="en-IE"/>
              </w:rPr>
              <w:tab/>
              <w:t>On track</w:t>
            </w:r>
          </w:p>
        </w:tc>
      </w:tr>
    </w:tbl>
    <w:p w14:paraId="59CCC2F6" w14:textId="77777777" w:rsidR="00C016C5" w:rsidRPr="00A21051" w:rsidRDefault="00C016C5" w:rsidP="00C016C5">
      <w:pPr>
        <w:pStyle w:val="FootnoteText"/>
        <w:spacing w:before="120"/>
        <w:rPr>
          <w:noProof/>
          <w:lang w:val="en-IE"/>
        </w:rPr>
      </w:pPr>
      <w:r w:rsidRPr="00A21051">
        <w:rPr>
          <w:noProof/>
          <w:lang w:val="en-IE"/>
        </w:rPr>
        <w:t>(*) % of target achieved by the end of 2021</w:t>
      </w:r>
    </w:p>
    <w:p w14:paraId="1F603A0D" w14:textId="77777777" w:rsidR="00C016C5" w:rsidRPr="00A21051" w:rsidRDefault="00C016C5" w:rsidP="00C016C5">
      <w:pPr>
        <w:pStyle w:val="ppoListHyphened-L1"/>
        <w:rPr>
          <w:rFonts w:eastAsia="EC Square Sans Pro" w:cs="EC Square Sans Pro"/>
          <w:noProof/>
          <w:lang w:val="en-IE"/>
        </w:rPr>
      </w:pPr>
      <w:r w:rsidRPr="00A21051">
        <w:rPr>
          <w:noProof/>
          <w:lang w:val="en-IE"/>
        </w:rPr>
        <w:t>As regards the indirect actions on fission, the 2021 call had a focus on ensuring the highest standards of nuclear safety of power plants, research reactors, materials and fuels including radioactive waste management and decommissioning. The call evaluation took place in November. Out of the 51 proposals submitted in the 16 topics of the call, 28 proposals were selected on the main list and five are on the reserve list. All projects selected will be finalised and launched during spring 2022.</w:t>
      </w:r>
    </w:p>
    <w:p w14:paraId="499FC0AA" w14:textId="77777777" w:rsidR="00C016C5" w:rsidRPr="00A21051" w:rsidRDefault="00C016C5" w:rsidP="00C016C5">
      <w:pPr>
        <w:pStyle w:val="ppoListHyphened-L1"/>
        <w:rPr>
          <w:noProof/>
          <w:lang w:val="en-IE"/>
        </w:rPr>
      </w:pPr>
      <w:r w:rsidRPr="00A21051">
        <w:rPr>
          <w:noProof/>
          <w:lang w:val="en-IE"/>
        </w:rPr>
        <w:t>In education and training, the 2021 call resulted in a selection of proposals for long-term actions in nuclear and radiological education and training and access to infrastructures, offering support to students and researchers.</w:t>
      </w:r>
    </w:p>
    <w:p w14:paraId="10AF1F97" w14:textId="77777777" w:rsidR="00C016C5" w:rsidRPr="00A21051" w:rsidRDefault="00C016C5" w:rsidP="00C016C5">
      <w:pPr>
        <w:pStyle w:val="ppoListHyphened-L1"/>
        <w:rPr>
          <w:noProof/>
          <w:lang w:val="en-IE"/>
        </w:rPr>
      </w:pPr>
      <w:r w:rsidRPr="00A21051">
        <w:rPr>
          <w:noProof/>
          <w:lang w:val="en-IE"/>
        </w:rPr>
        <w:t>In 2021, the direct actions of the programme resulted in the publication of 104 scientific articles in peer-reviewed journals and of 19 scientific articles in other periodicals. The technical outputs delivered include 11 sets of reference materials and two validated methods, which contributed to the modification of international standards, as well as 16 technical systems for safeguards and six scientific datasets and databases.</w:t>
      </w:r>
      <w:r w:rsidRPr="00A21051">
        <w:rPr>
          <w:noProof/>
          <w:lang w:val="en-IE"/>
        </w:rPr>
        <w:br w:type="page"/>
      </w:r>
    </w:p>
    <w:p w14:paraId="295B9190" w14:textId="77777777" w:rsidR="00C016C5" w:rsidRPr="00A21051" w:rsidRDefault="00C016C5" w:rsidP="00C016C5">
      <w:pPr>
        <w:pStyle w:val="ppoHeading4Orange"/>
        <w:rPr>
          <w:noProof/>
          <w:lang w:val="en-IE"/>
        </w:rPr>
      </w:pPr>
      <w:r w:rsidRPr="00A21051">
        <w:rPr>
          <w:noProof/>
          <w:lang w:val="en-IE"/>
        </w:rPr>
        <w:t>MULTIANNUAL FINANCIAL FRAMEWORK 2014-2020</w:t>
      </w:r>
      <w:r w:rsidRPr="00A21051">
        <w:rPr>
          <w:rFonts w:ascii="Calibri" w:hAnsi="Calibri" w:cs="Calibri"/>
          <w:noProof/>
          <w:lang w:val="en-IE"/>
        </w:rPr>
        <w:t> –</w:t>
      </w:r>
      <w:r w:rsidRPr="00A21051">
        <w:rPr>
          <w:noProof/>
          <w:lang w:val="en-IE"/>
        </w:rPr>
        <w:t xml:space="preserve"> EURATOM RESEARCH AND TRAINING</w:t>
      </w:r>
    </w:p>
    <w:p w14:paraId="38EC1382" w14:textId="77777777" w:rsidR="00C016C5" w:rsidRPr="00A21051" w:rsidRDefault="00C016C5" w:rsidP="00C016C5">
      <w:pPr>
        <w:rPr>
          <w:rFonts w:eastAsiaTheme="minorEastAsia"/>
          <w:noProof/>
          <w:lang w:val="en-IE"/>
        </w:rPr>
      </w:pPr>
      <w:r w:rsidRPr="00A21051">
        <w:rPr>
          <w:noProof/>
          <w:lang w:val="en-IE"/>
        </w:rPr>
        <w:t>Research and Training Programme of the European Atomic Energy Community for the period from 1</w:t>
      </w:r>
      <w:r w:rsidRPr="00A21051">
        <w:rPr>
          <w:rFonts w:ascii="Calibri" w:hAnsi="Calibri" w:cs="Calibri"/>
          <w:noProof/>
          <w:lang w:val="en-IE"/>
        </w:rPr>
        <w:t> </w:t>
      </w:r>
      <w:r w:rsidRPr="00A21051">
        <w:rPr>
          <w:noProof/>
          <w:lang w:val="en-IE"/>
        </w:rPr>
        <w:t>January 2014 to 31</w:t>
      </w:r>
      <w:r w:rsidRPr="00A21051">
        <w:rPr>
          <w:rFonts w:ascii="Calibri" w:hAnsi="Calibri" w:cs="Calibri"/>
          <w:noProof/>
          <w:lang w:val="en-IE"/>
        </w:rPr>
        <w:t> </w:t>
      </w:r>
      <w:r w:rsidRPr="00A21051">
        <w:rPr>
          <w:noProof/>
          <w:lang w:val="en-IE"/>
        </w:rPr>
        <w:t>December 2020.</w:t>
      </w:r>
    </w:p>
    <w:p w14:paraId="53B54608" w14:textId="77777777" w:rsidR="00C016C5" w:rsidRPr="00A21051" w:rsidRDefault="00C016C5" w:rsidP="00C016C5">
      <w:pPr>
        <w:pStyle w:val="ppoHeading5"/>
        <w:rPr>
          <w:noProof/>
          <w:lang w:val="en-IE"/>
        </w:rPr>
      </w:pPr>
      <w:r w:rsidRPr="00A21051">
        <w:rPr>
          <w:noProof/>
          <w:lang w:val="en-IE"/>
        </w:rPr>
        <w:t>Budget implementation</w:t>
      </w:r>
    </w:p>
    <w:p w14:paraId="6C4C78A5" w14:textId="77777777" w:rsidR="00C016C5" w:rsidRPr="00A21051" w:rsidRDefault="00C016C5" w:rsidP="00C016C5">
      <w:pPr>
        <w:pStyle w:val="ppoTableTabletitle"/>
        <w:rPr>
          <w:noProof/>
          <w:lang w:val="en-IE"/>
        </w:rPr>
      </w:pPr>
      <w:r w:rsidRPr="00A21051">
        <w:rPr>
          <w:noProof/>
          <w:lang w:val="en-IE"/>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C016C5" w:rsidRPr="00A21051" w14:paraId="52892AEE" w14:textId="77777777" w:rsidTr="00813D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4CBD46AE" w14:textId="77777777" w:rsidR="00C016C5" w:rsidRPr="00A21051" w:rsidRDefault="00C016C5" w:rsidP="00813D25">
            <w:pPr>
              <w:rPr>
                <w:noProof/>
                <w:lang w:val="en-IE"/>
              </w:rPr>
            </w:pPr>
          </w:p>
        </w:tc>
        <w:tc>
          <w:tcPr>
            <w:tcW w:w="2410" w:type="dxa"/>
          </w:tcPr>
          <w:p w14:paraId="144D5B0E" w14:textId="77777777" w:rsidR="00C016C5" w:rsidRPr="00A21051" w:rsidRDefault="00C016C5" w:rsidP="00813D25">
            <w:pPr>
              <w:cnfStyle w:val="100000000000" w:firstRow="1" w:lastRow="0" w:firstColumn="0" w:lastColumn="0" w:oddVBand="0" w:evenVBand="0" w:oddHBand="0" w:evenHBand="0" w:firstRowFirstColumn="0" w:firstRowLastColumn="0" w:lastRowFirstColumn="0" w:lastRowLastColumn="0"/>
              <w:rPr>
                <w:noProof/>
                <w:lang w:val="en-IE"/>
              </w:rPr>
            </w:pPr>
            <w:r w:rsidRPr="00A21051">
              <w:rPr>
                <w:noProof/>
                <w:lang w:val="en-IE"/>
              </w:rPr>
              <w:t>Implementation</w:t>
            </w:r>
          </w:p>
        </w:tc>
        <w:tc>
          <w:tcPr>
            <w:tcW w:w="2410" w:type="dxa"/>
          </w:tcPr>
          <w:p w14:paraId="76AAD364" w14:textId="22084AB5" w:rsidR="00C016C5" w:rsidRPr="00A21051" w:rsidRDefault="001F4CBC" w:rsidP="00813D25">
            <w:pPr>
              <w:cnfStyle w:val="100000000000" w:firstRow="1" w:lastRow="0" w:firstColumn="0" w:lastColumn="0" w:oddVBand="0" w:evenVBand="0" w:oddHBand="0" w:evenHBand="0" w:firstRowFirstColumn="0" w:firstRowLastColumn="0" w:lastRowFirstColumn="0" w:lastRowLastColumn="0"/>
              <w:rPr>
                <w:noProof/>
                <w:lang w:val="en-IE"/>
              </w:rPr>
            </w:pPr>
            <w:r>
              <w:rPr>
                <w:noProof/>
              </w:rPr>
              <w:t xml:space="preserve">2014-2020 </w:t>
            </w:r>
            <w:r w:rsidRPr="00885241">
              <w:rPr>
                <w:noProof/>
              </w:rPr>
              <w:t>Budget</w:t>
            </w:r>
          </w:p>
        </w:tc>
        <w:tc>
          <w:tcPr>
            <w:tcW w:w="2410" w:type="dxa"/>
          </w:tcPr>
          <w:p w14:paraId="127CA315" w14:textId="77777777" w:rsidR="00C016C5" w:rsidRPr="00A21051" w:rsidRDefault="00C016C5" w:rsidP="00813D25">
            <w:pPr>
              <w:cnfStyle w:val="100000000000" w:firstRow="1" w:lastRow="0" w:firstColumn="0" w:lastColumn="0" w:oddVBand="0" w:evenVBand="0" w:oddHBand="0" w:evenHBand="0" w:firstRowFirstColumn="0" w:firstRowLastColumn="0" w:lastRowFirstColumn="0" w:lastRowLastColumn="0"/>
              <w:rPr>
                <w:noProof/>
                <w:lang w:val="en-IE"/>
              </w:rPr>
            </w:pPr>
            <w:r w:rsidRPr="00A21051">
              <w:rPr>
                <w:noProof/>
                <w:lang w:val="en-IE"/>
              </w:rPr>
              <w:t>Implementation rate</w:t>
            </w:r>
          </w:p>
        </w:tc>
      </w:tr>
      <w:tr w:rsidR="00EC47B9" w:rsidRPr="00A21051" w14:paraId="737695A1" w14:textId="77777777" w:rsidTr="00813D25">
        <w:tc>
          <w:tcPr>
            <w:cnfStyle w:val="001000000000" w:firstRow="0" w:lastRow="0" w:firstColumn="1" w:lastColumn="0" w:oddVBand="0" w:evenVBand="0" w:oddHBand="0" w:evenHBand="0" w:firstRowFirstColumn="0" w:firstRowLastColumn="0" w:lastRowFirstColumn="0" w:lastRowLastColumn="0"/>
            <w:tcW w:w="2409" w:type="dxa"/>
          </w:tcPr>
          <w:p w14:paraId="7340BF2E" w14:textId="6C61C521" w:rsidR="00EC47B9" w:rsidRPr="00A21051" w:rsidRDefault="00EC47B9" w:rsidP="00EC47B9">
            <w:pPr>
              <w:jc w:val="center"/>
              <w:rPr>
                <w:noProof/>
                <w:lang w:val="en-IE"/>
              </w:rPr>
            </w:pPr>
            <w:r w:rsidRPr="00A21051">
              <w:rPr>
                <w:noProof/>
                <w:lang w:val="en-IE"/>
              </w:rPr>
              <w:t>Commitment</w:t>
            </w:r>
          </w:p>
        </w:tc>
        <w:tc>
          <w:tcPr>
            <w:tcW w:w="2410" w:type="dxa"/>
          </w:tcPr>
          <w:tbl>
            <w:tblPr>
              <w:tblStyle w:val="TableGrid"/>
              <w:tblW w:w="0" w:type="auto"/>
              <w:tblLook w:val="06A0" w:firstRow="1" w:lastRow="0" w:firstColumn="1" w:lastColumn="0" w:noHBand="1" w:noVBand="1"/>
            </w:tblPr>
            <w:tblGrid>
              <w:gridCol w:w="2194"/>
            </w:tblGrid>
            <w:tr w:rsidR="00EC47B9" w:rsidRPr="00A21051" w14:paraId="5CED7E38" w14:textId="77777777" w:rsidTr="00E02B38">
              <w:trPr>
                <w:trHeight w:val="285"/>
              </w:trPr>
              <w:tc>
                <w:tcPr>
                  <w:tcW w:w="2290" w:type="dxa"/>
                  <w:tcBorders>
                    <w:top w:val="nil"/>
                    <w:left w:val="nil"/>
                    <w:bottom w:val="nil"/>
                    <w:right w:val="nil"/>
                  </w:tcBorders>
                  <w:vAlign w:val="bottom"/>
                </w:tcPr>
                <w:p w14:paraId="7DD48489" w14:textId="71818D64" w:rsidR="00EC47B9" w:rsidRPr="00A21051" w:rsidRDefault="00EC47B9" w:rsidP="00EC47B9">
                  <w:pPr>
                    <w:jc w:val="right"/>
                    <w:rPr>
                      <w:noProof/>
                      <w:lang w:val="en-IE"/>
                    </w:rPr>
                  </w:pPr>
                  <w:r w:rsidRPr="13B6CE1D">
                    <w:rPr>
                      <w:rFonts w:ascii="Calibri" w:hAnsi="Calibri" w:cs="Calibri"/>
                      <w:noProof/>
                      <w:color w:val="000000"/>
                      <w:lang w:val="en-IE"/>
                    </w:rPr>
                    <w:t>2 357.0</w:t>
                  </w:r>
                </w:p>
              </w:tc>
            </w:tr>
          </w:tbl>
          <w:p w14:paraId="05855FB7" w14:textId="77777777" w:rsidR="00EC47B9" w:rsidRPr="00A21051" w:rsidRDefault="00EC47B9" w:rsidP="00EC47B9">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EC47B9" w:rsidRPr="00A21051" w14:paraId="68DC00F7" w14:textId="77777777" w:rsidTr="00E02B38">
              <w:trPr>
                <w:trHeight w:val="285"/>
              </w:trPr>
              <w:tc>
                <w:tcPr>
                  <w:tcW w:w="2290" w:type="dxa"/>
                  <w:tcBorders>
                    <w:top w:val="nil"/>
                    <w:left w:val="nil"/>
                    <w:bottom w:val="nil"/>
                    <w:right w:val="nil"/>
                  </w:tcBorders>
                  <w:vAlign w:val="bottom"/>
                </w:tcPr>
                <w:p w14:paraId="1E100D54" w14:textId="77777777" w:rsidR="00EC47B9" w:rsidRPr="00A21051" w:rsidRDefault="00EC47B9" w:rsidP="00EC47B9">
                  <w:pPr>
                    <w:jc w:val="right"/>
                    <w:rPr>
                      <w:noProof/>
                      <w:lang w:val="en-IE"/>
                    </w:rPr>
                  </w:pPr>
                  <w:r w:rsidRPr="00A21051">
                    <w:rPr>
                      <w:rFonts w:ascii="Calibri" w:hAnsi="Calibri" w:cs="Calibri"/>
                      <w:noProof/>
                      <w:color w:val="000000"/>
                      <w:lang w:val="en-IE"/>
                    </w:rPr>
                    <w:t>2 368.9</w:t>
                  </w:r>
                </w:p>
              </w:tc>
            </w:tr>
          </w:tbl>
          <w:p w14:paraId="4A337E76" w14:textId="77777777" w:rsidR="00EC47B9" w:rsidRPr="00A21051" w:rsidRDefault="00EC47B9" w:rsidP="00EC47B9">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EC47B9" w:rsidRPr="00A21051" w14:paraId="28DD4142" w14:textId="77777777" w:rsidTr="00E02B38">
              <w:trPr>
                <w:trHeight w:val="285"/>
              </w:trPr>
              <w:tc>
                <w:tcPr>
                  <w:tcW w:w="2290" w:type="dxa"/>
                  <w:tcBorders>
                    <w:top w:val="nil"/>
                    <w:left w:val="nil"/>
                    <w:bottom w:val="nil"/>
                    <w:right w:val="nil"/>
                  </w:tcBorders>
                  <w:vAlign w:val="bottom"/>
                </w:tcPr>
                <w:p w14:paraId="5B1DFF70" w14:textId="77777777" w:rsidR="00EC47B9" w:rsidRPr="00A21051" w:rsidRDefault="00EC47B9" w:rsidP="00EC47B9">
                  <w:pPr>
                    <w:jc w:val="right"/>
                    <w:rPr>
                      <w:noProof/>
                      <w:lang w:val="en-IE"/>
                    </w:rPr>
                  </w:pPr>
                  <w:r w:rsidRPr="00A21051">
                    <w:rPr>
                      <w:rFonts w:ascii="Calibri" w:hAnsi="Calibri" w:cs="Calibri"/>
                      <w:noProof/>
                      <w:color w:val="000000"/>
                      <w:lang w:val="en-IE"/>
                    </w:rPr>
                    <w:t>99%</w:t>
                  </w:r>
                </w:p>
              </w:tc>
            </w:tr>
          </w:tbl>
          <w:p w14:paraId="4B0AAC08" w14:textId="77777777" w:rsidR="00EC47B9" w:rsidRPr="00A21051" w:rsidRDefault="00EC47B9" w:rsidP="00EC47B9">
            <w:pPr>
              <w:jc w:val="center"/>
              <w:cnfStyle w:val="000000000000" w:firstRow="0" w:lastRow="0" w:firstColumn="0" w:lastColumn="0" w:oddVBand="0" w:evenVBand="0" w:oddHBand="0" w:evenHBand="0" w:firstRowFirstColumn="0" w:firstRowLastColumn="0" w:lastRowFirstColumn="0" w:lastRowLastColumn="0"/>
              <w:rPr>
                <w:noProof/>
                <w:lang w:val="en-IE"/>
              </w:rPr>
            </w:pPr>
          </w:p>
        </w:tc>
      </w:tr>
      <w:tr w:rsidR="00C016C5" w:rsidRPr="00A21051" w14:paraId="14723D8F" w14:textId="77777777" w:rsidTr="00813D25">
        <w:tc>
          <w:tcPr>
            <w:cnfStyle w:val="001000000000" w:firstRow="0" w:lastRow="0" w:firstColumn="1" w:lastColumn="0" w:oddVBand="0" w:evenVBand="0" w:oddHBand="0" w:evenHBand="0" w:firstRowFirstColumn="0" w:firstRowLastColumn="0" w:lastRowFirstColumn="0" w:lastRowLastColumn="0"/>
            <w:tcW w:w="2409" w:type="dxa"/>
          </w:tcPr>
          <w:p w14:paraId="275742D1" w14:textId="77777777" w:rsidR="00C016C5" w:rsidRPr="00A21051" w:rsidRDefault="00C016C5" w:rsidP="00813D25">
            <w:pPr>
              <w:jc w:val="center"/>
              <w:rPr>
                <w:noProof/>
                <w:lang w:val="en-IE"/>
              </w:rPr>
            </w:pPr>
            <w:r w:rsidRPr="00A21051">
              <w:rPr>
                <w:noProof/>
                <w:lang w:val="en-IE"/>
              </w:rPr>
              <w:t>Payments</w:t>
            </w:r>
          </w:p>
        </w:tc>
        <w:tc>
          <w:tcPr>
            <w:tcW w:w="2410" w:type="dxa"/>
          </w:tcPr>
          <w:tbl>
            <w:tblPr>
              <w:tblStyle w:val="TableGrid"/>
              <w:tblW w:w="0" w:type="auto"/>
              <w:tblLook w:val="06A0" w:firstRow="1" w:lastRow="0" w:firstColumn="1" w:lastColumn="0" w:noHBand="1" w:noVBand="1"/>
            </w:tblPr>
            <w:tblGrid>
              <w:gridCol w:w="2194"/>
            </w:tblGrid>
            <w:tr w:rsidR="00C016C5" w:rsidRPr="00A21051" w14:paraId="130BC1F3" w14:textId="77777777" w:rsidTr="00813D25">
              <w:trPr>
                <w:trHeight w:val="285"/>
              </w:trPr>
              <w:tc>
                <w:tcPr>
                  <w:tcW w:w="2290" w:type="dxa"/>
                  <w:tcBorders>
                    <w:top w:val="nil"/>
                    <w:left w:val="nil"/>
                    <w:bottom w:val="nil"/>
                    <w:right w:val="nil"/>
                  </w:tcBorders>
                  <w:vAlign w:val="bottom"/>
                </w:tcPr>
                <w:p w14:paraId="59AB132E" w14:textId="77777777" w:rsidR="00C016C5" w:rsidRPr="00A21051" w:rsidRDefault="00C016C5" w:rsidP="00813D25">
                  <w:pPr>
                    <w:jc w:val="right"/>
                    <w:rPr>
                      <w:noProof/>
                      <w:lang w:val="en-IE"/>
                    </w:rPr>
                  </w:pPr>
                  <w:r w:rsidRPr="00A21051">
                    <w:rPr>
                      <w:rFonts w:ascii="Calibri" w:hAnsi="Calibri" w:cs="Calibri"/>
                      <w:noProof/>
                      <w:color w:val="000000"/>
                      <w:lang w:val="en-IE"/>
                    </w:rPr>
                    <w:t>2 116.9</w:t>
                  </w:r>
                </w:p>
              </w:tc>
            </w:tr>
          </w:tbl>
          <w:p w14:paraId="451C52E1" w14:textId="77777777" w:rsidR="00C016C5" w:rsidRPr="00A21051" w:rsidRDefault="00C016C5" w:rsidP="00813D25">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p w14:paraId="6AA46624" w14:textId="77777777" w:rsidR="00C016C5" w:rsidRPr="00A21051" w:rsidRDefault="00C016C5" w:rsidP="00813D25">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C016C5" w:rsidRPr="00A21051" w14:paraId="5CB10AA9" w14:textId="77777777" w:rsidTr="00813D25">
              <w:trPr>
                <w:trHeight w:val="285"/>
              </w:trPr>
              <w:tc>
                <w:tcPr>
                  <w:tcW w:w="2235" w:type="dxa"/>
                  <w:tcBorders>
                    <w:top w:val="nil"/>
                    <w:left w:val="nil"/>
                    <w:bottom w:val="nil"/>
                    <w:right w:val="nil"/>
                  </w:tcBorders>
                  <w:vAlign w:val="bottom"/>
                </w:tcPr>
                <w:p w14:paraId="3FEF5C34" w14:textId="77777777" w:rsidR="00C016C5" w:rsidRPr="00A21051" w:rsidRDefault="00C016C5" w:rsidP="00813D25">
                  <w:pPr>
                    <w:jc w:val="right"/>
                    <w:rPr>
                      <w:noProof/>
                      <w:lang w:val="en-IE"/>
                    </w:rPr>
                  </w:pPr>
                  <w:r w:rsidRPr="00A21051">
                    <w:rPr>
                      <w:rFonts w:ascii="Calibri" w:hAnsi="Calibri" w:cs="Calibri"/>
                      <w:noProof/>
                      <w:color w:val="000000"/>
                      <w:lang w:val="en-IE"/>
                    </w:rPr>
                    <w:t>89%</w:t>
                  </w:r>
                </w:p>
              </w:tc>
            </w:tr>
          </w:tbl>
          <w:p w14:paraId="0EF2D216" w14:textId="77777777" w:rsidR="00C016C5" w:rsidRPr="00A21051" w:rsidRDefault="00C016C5" w:rsidP="00813D25">
            <w:pPr>
              <w:jc w:val="center"/>
              <w:cnfStyle w:val="000000000000" w:firstRow="0" w:lastRow="0" w:firstColumn="0" w:lastColumn="0" w:oddVBand="0" w:evenVBand="0" w:oddHBand="0" w:evenHBand="0" w:firstRowFirstColumn="0" w:firstRowLastColumn="0" w:lastRowFirstColumn="0" w:lastRowLastColumn="0"/>
              <w:rPr>
                <w:noProof/>
                <w:lang w:val="en-IE"/>
              </w:rPr>
            </w:pPr>
          </w:p>
        </w:tc>
      </w:tr>
    </w:tbl>
    <w:p w14:paraId="7DB046D3" w14:textId="77777777" w:rsidR="00C016C5" w:rsidRPr="00A21051" w:rsidRDefault="00C016C5" w:rsidP="00C016C5">
      <w:pPr>
        <w:pStyle w:val="ppoListHyphened-L1"/>
        <w:spacing w:before="360"/>
        <w:rPr>
          <w:noProof/>
          <w:lang w:val="en-IE"/>
        </w:rPr>
      </w:pPr>
      <w:r w:rsidRPr="00A21051">
        <w:rPr>
          <w:noProof/>
          <w:lang w:val="en-IE"/>
        </w:rPr>
        <w:t>All of the 2021 available payment appropriations have been used, mainly to cover legal obligations of ongoing projects.</w:t>
      </w:r>
    </w:p>
    <w:p w14:paraId="6E9A0F7A" w14:textId="77777777" w:rsidR="00C016C5" w:rsidRPr="00A21051" w:rsidRDefault="00C016C5" w:rsidP="00C016C5">
      <w:pPr>
        <w:pStyle w:val="ppoListHyphened-L1"/>
        <w:rPr>
          <w:noProof/>
          <w:lang w:val="en-IE"/>
        </w:rPr>
      </w:pPr>
      <w:r w:rsidRPr="00A21051">
        <w:rPr>
          <w:noProof/>
          <w:lang w:val="en-IE"/>
        </w:rPr>
        <w:t>The COVID-19 pandemic continued to have an impact on the implementation of projects. During 2021, beneficiaries requested extensions of ongoing projects and submitted lower cost claims.</w:t>
      </w:r>
    </w:p>
    <w:p w14:paraId="27509ADB" w14:textId="77777777" w:rsidR="00C016C5" w:rsidRPr="00A21051" w:rsidRDefault="00C016C5" w:rsidP="00C016C5">
      <w:pPr>
        <w:pStyle w:val="ppoHeading5"/>
        <w:rPr>
          <w:noProof/>
          <w:lang w:val="en-IE"/>
        </w:rPr>
      </w:pPr>
      <w:r w:rsidRPr="00A21051">
        <w:rPr>
          <w:noProof/>
          <w:lang w:val="en-IE"/>
        </w:rPr>
        <w:t>Performance assessment</w:t>
      </w:r>
    </w:p>
    <w:p w14:paraId="5A518DD0" w14:textId="77777777" w:rsidR="00C016C5" w:rsidRPr="00A21051" w:rsidRDefault="00C016C5" w:rsidP="00C016C5">
      <w:pPr>
        <w:pStyle w:val="ppoHeading6"/>
        <w:rPr>
          <w:noProof/>
          <w:lang w:val="en-IE"/>
        </w:rPr>
      </w:pPr>
      <w:r w:rsidRPr="00A21051">
        <w:rPr>
          <w:noProof/>
          <w:lang w:val="en-IE"/>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C016C5" w:rsidRPr="00A21051" w14:paraId="7E7810D7" w14:textId="77777777" w:rsidTr="00813D25">
        <w:trPr>
          <w:cnfStyle w:val="100000000000" w:firstRow="1" w:lastRow="0" w:firstColumn="0" w:lastColumn="0" w:oddVBand="0" w:evenVBand="0" w:oddHBand="0" w:evenHBand="0" w:firstRowFirstColumn="0" w:firstRowLastColumn="0" w:lastRowFirstColumn="0" w:lastRowLastColumn="0"/>
        </w:trPr>
        <w:tc>
          <w:tcPr>
            <w:tcW w:w="2330" w:type="dxa"/>
          </w:tcPr>
          <w:p w14:paraId="05BA3EA1" w14:textId="77777777" w:rsidR="00C016C5" w:rsidRPr="00A21051" w:rsidRDefault="00C016C5" w:rsidP="00813D25">
            <w:pPr>
              <w:rPr>
                <w:noProof/>
                <w:lang w:val="en-IE"/>
              </w:rPr>
            </w:pPr>
          </w:p>
        </w:tc>
        <w:tc>
          <w:tcPr>
            <w:tcW w:w="1100" w:type="dxa"/>
          </w:tcPr>
          <w:p w14:paraId="550166B3" w14:textId="77777777" w:rsidR="00C016C5" w:rsidRPr="00A21051" w:rsidRDefault="00C016C5" w:rsidP="00813D25">
            <w:pPr>
              <w:rPr>
                <w:noProof/>
                <w:lang w:val="en-IE"/>
              </w:rPr>
            </w:pPr>
            <w:r w:rsidRPr="00A21051">
              <w:rPr>
                <w:noProof/>
                <w:lang w:val="en-IE"/>
              </w:rPr>
              <w:t>Baseline</w:t>
            </w:r>
          </w:p>
        </w:tc>
        <w:tc>
          <w:tcPr>
            <w:tcW w:w="1526" w:type="dxa"/>
          </w:tcPr>
          <w:p w14:paraId="31CDD46B" w14:textId="77777777" w:rsidR="00C016C5" w:rsidRPr="00A21051" w:rsidRDefault="00C016C5" w:rsidP="00813D25">
            <w:pPr>
              <w:rPr>
                <w:noProof/>
                <w:lang w:val="en-IE"/>
              </w:rPr>
            </w:pPr>
            <w:r w:rsidRPr="00A21051">
              <w:rPr>
                <w:noProof/>
                <w:lang w:val="en-IE"/>
              </w:rPr>
              <w:t>Progress</w:t>
            </w:r>
            <w:r w:rsidRPr="00A21051">
              <w:rPr>
                <w:rFonts w:ascii="Calibri" w:hAnsi="Calibri" w:cs="Calibri"/>
                <w:noProof/>
                <w:lang w:val="en-IE"/>
              </w:rPr>
              <w:t> </w:t>
            </w:r>
            <w:r w:rsidRPr="00A21051">
              <w:rPr>
                <w:noProof/>
                <w:lang w:val="en-IE"/>
              </w:rPr>
              <w:t>(*)</w:t>
            </w:r>
          </w:p>
        </w:tc>
        <w:tc>
          <w:tcPr>
            <w:tcW w:w="1532" w:type="dxa"/>
          </w:tcPr>
          <w:p w14:paraId="405ADC38" w14:textId="77777777" w:rsidR="00C016C5" w:rsidRPr="00A21051" w:rsidRDefault="00C016C5" w:rsidP="00813D25">
            <w:pPr>
              <w:rPr>
                <w:noProof/>
                <w:lang w:val="en-IE"/>
              </w:rPr>
            </w:pPr>
            <w:r w:rsidRPr="00A21051">
              <w:rPr>
                <w:noProof/>
                <w:lang w:val="en-IE"/>
              </w:rPr>
              <w:t>Target</w:t>
            </w:r>
          </w:p>
        </w:tc>
        <w:tc>
          <w:tcPr>
            <w:tcW w:w="1572" w:type="dxa"/>
          </w:tcPr>
          <w:p w14:paraId="78BF37E4" w14:textId="77777777" w:rsidR="00C016C5" w:rsidRPr="00A21051" w:rsidRDefault="00C016C5" w:rsidP="00813D25">
            <w:pPr>
              <w:rPr>
                <w:noProof/>
                <w:lang w:val="en-IE"/>
              </w:rPr>
            </w:pPr>
            <w:r w:rsidRPr="00A21051">
              <w:rPr>
                <w:noProof/>
                <w:lang w:val="en-IE"/>
              </w:rPr>
              <w:t>Results</w:t>
            </w:r>
          </w:p>
        </w:tc>
        <w:tc>
          <w:tcPr>
            <w:tcW w:w="1579" w:type="dxa"/>
          </w:tcPr>
          <w:p w14:paraId="5AD02714" w14:textId="77777777" w:rsidR="00C016C5" w:rsidRPr="00A21051" w:rsidRDefault="00C016C5" w:rsidP="00813D25">
            <w:pPr>
              <w:rPr>
                <w:noProof/>
                <w:lang w:val="en-IE"/>
              </w:rPr>
            </w:pPr>
            <w:r w:rsidRPr="00A21051">
              <w:rPr>
                <w:noProof/>
                <w:lang w:val="en-IE"/>
              </w:rPr>
              <w:t>Assessment</w:t>
            </w:r>
          </w:p>
        </w:tc>
      </w:tr>
      <w:tr w:rsidR="00C016C5" w:rsidRPr="00A21051" w14:paraId="7BF5AD8B" w14:textId="77777777" w:rsidTr="00813D25">
        <w:trPr>
          <w:cnfStyle w:val="000000100000" w:firstRow="0" w:lastRow="0" w:firstColumn="0" w:lastColumn="0" w:oddVBand="0" w:evenVBand="0" w:oddHBand="1" w:evenHBand="0" w:firstRowFirstColumn="0" w:firstRowLastColumn="0" w:lastRowFirstColumn="0" w:lastRowLastColumn="0"/>
        </w:trPr>
        <w:tc>
          <w:tcPr>
            <w:tcW w:w="2330" w:type="dxa"/>
          </w:tcPr>
          <w:p w14:paraId="5F2AFB7E" w14:textId="77777777" w:rsidR="00C016C5" w:rsidRPr="00A21051" w:rsidRDefault="00C016C5" w:rsidP="00813D25">
            <w:pPr>
              <w:rPr>
                <w:noProof/>
                <w:lang w:val="en-IE"/>
              </w:rPr>
            </w:pPr>
            <w:r w:rsidRPr="00A21051">
              <w:rPr>
                <w:noProof/>
                <w:lang w:val="en-IE"/>
              </w:rPr>
              <w:t>Publications in peer-reviewed high-impact journals</w:t>
            </w:r>
          </w:p>
        </w:tc>
        <w:tc>
          <w:tcPr>
            <w:tcW w:w="1100" w:type="dxa"/>
          </w:tcPr>
          <w:p w14:paraId="0EFF067D" w14:textId="77777777" w:rsidR="00C016C5" w:rsidRPr="00A21051" w:rsidRDefault="00C016C5" w:rsidP="00813D25">
            <w:pPr>
              <w:jc w:val="center"/>
              <w:rPr>
                <w:noProof/>
                <w:lang w:val="en-IE"/>
              </w:rPr>
            </w:pPr>
            <w:r w:rsidRPr="00A21051">
              <w:rPr>
                <w:noProof/>
                <w:lang w:val="en-IE"/>
              </w:rPr>
              <w:t>0</w:t>
            </w:r>
          </w:p>
        </w:tc>
        <w:tc>
          <w:tcPr>
            <w:tcW w:w="1526" w:type="dxa"/>
          </w:tcPr>
          <w:p w14:paraId="68A8AA98" w14:textId="77777777" w:rsidR="00C016C5" w:rsidRPr="00A21051" w:rsidRDefault="00C016C5" w:rsidP="00813D25">
            <w:pPr>
              <w:jc w:val="center"/>
              <w:rPr>
                <w:b/>
                <w:noProof/>
                <w:lang w:val="en-IE"/>
              </w:rPr>
            </w:pPr>
            <w:r w:rsidRPr="00A21051">
              <w:rPr>
                <w:noProof/>
                <w:lang w:val="en-IE"/>
              </w:rPr>
              <w:t>&gt;</w:t>
            </w:r>
            <w:r w:rsidRPr="00A21051">
              <w:rPr>
                <w:rFonts w:ascii="Calibri" w:hAnsi="Calibri" w:cs="Calibri"/>
                <w:noProof/>
                <w:lang w:val="en-IE"/>
              </w:rPr>
              <w:t> </w:t>
            </w:r>
            <w:r w:rsidRPr="00A21051">
              <w:rPr>
                <w:noProof/>
                <w:lang w:val="en-IE"/>
              </w:rPr>
              <w:t>100%</w:t>
            </w:r>
          </w:p>
        </w:tc>
        <w:tc>
          <w:tcPr>
            <w:tcW w:w="1532" w:type="dxa"/>
          </w:tcPr>
          <w:p w14:paraId="29A58A79" w14:textId="77777777" w:rsidR="00C016C5" w:rsidRPr="00A21051" w:rsidRDefault="00C016C5" w:rsidP="00813D25">
            <w:pPr>
              <w:jc w:val="center"/>
              <w:rPr>
                <w:noProof/>
                <w:lang w:val="en-IE"/>
              </w:rPr>
            </w:pPr>
            <w:r w:rsidRPr="00A21051">
              <w:rPr>
                <w:noProof/>
                <w:lang w:val="en-IE"/>
              </w:rPr>
              <w:t>800</w:t>
            </w:r>
            <w:r>
              <w:rPr>
                <w:noProof/>
                <w:lang w:val="en-IE"/>
              </w:rPr>
              <w:t xml:space="preserve"> in 2020</w:t>
            </w:r>
          </w:p>
        </w:tc>
        <w:tc>
          <w:tcPr>
            <w:tcW w:w="1572" w:type="dxa"/>
          </w:tcPr>
          <w:p w14:paraId="4EBE0418" w14:textId="77777777" w:rsidR="00C016C5" w:rsidRPr="00A21051" w:rsidRDefault="00C016C5" w:rsidP="00813D25">
            <w:pPr>
              <w:jc w:val="center"/>
              <w:rPr>
                <w:noProof/>
                <w:lang w:val="en-IE"/>
              </w:rPr>
            </w:pPr>
            <w:r w:rsidRPr="00B04E0D">
              <w:rPr>
                <w:noProof/>
                <w:lang w:val="en-IE"/>
              </w:rPr>
              <w:t>822 publications compared to a target of 800</w:t>
            </w:r>
          </w:p>
        </w:tc>
        <w:tc>
          <w:tcPr>
            <w:tcW w:w="1579" w:type="dxa"/>
          </w:tcPr>
          <w:p w14:paraId="6AAFF923" w14:textId="77777777" w:rsidR="00C016C5" w:rsidRPr="00A21051" w:rsidRDefault="00C016C5" w:rsidP="00813D25">
            <w:pPr>
              <w:jc w:val="center"/>
              <w:rPr>
                <w:noProof/>
                <w:lang w:val="en-IE"/>
              </w:rPr>
            </w:pPr>
            <w:r w:rsidRPr="00A21051">
              <w:rPr>
                <w:noProof/>
                <w:lang w:val="en-IE"/>
              </w:rPr>
              <w:t>Achieved</w:t>
            </w:r>
          </w:p>
        </w:tc>
      </w:tr>
      <w:tr w:rsidR="00C016C5" w:rsidRPr="00A21051" w14:paraId="3A95B72B" w14:textId="77777777" w:rsidTr="00813D25">
        <w:trPr>
          <w:cnfStyle w:val="000000010000" w:firstRow="0" w:lastRow="0" w:firstColumn="0" w:lastColumn="0" w:oddVBand="0" w:evenVBand="0" w:oddHBand="0" w:evenHBand="1" w:firstRowFirstColumn="0" w:firstRowLastColumn="0" w:lastRowFirstColumn="0" w:lastRowLastColumn="0"/>
        </w:trPr>
        <w:tc>
          <w:tcPr>
            <w:tcW w:w="2330" w:type="dxa"/>
          </w:tcPr>
          <w:p w14:paraId="1B0FBB0A" w14:textId="77777777" w:rsidR="00C016C5" w:rsidRPr="00A21051" w:rsidRDefault="00C016C5" w:rsidP="00813D25">
            <w:pPr>
              <w:rPr>
                <w:noProof/>
                <w:lang w:val="en-IE"/>
              </w:rPr>
            </w:pPr>
            <w:r w:rsidRPr="00A21051">
              <w:rPr>
                <w:noProof/>
                <w:lang w:val="en-IE"/>
              </w:rPr>
              <w:t>The number of spin-offs from the fusion research under the programme</w:t>
            </w:r>
          </w:p>
        </w:tc>
        <w:tc>
          <w:tcPr>
            <w:tcW w:w="1100" w:type="dxa"/>
          </w:tcPr>
          <w:p w14:paraId="458726C1" w14:textId="77777777" w:rsidR="00C016C5" w:rsidRPr="00A21051" w:rsidRDefault="00C016C5" w:rsidP="00813D25">
            <w:pPr>
              <w:jc w:val="center"/>
              <w:rPr>
                <w:noProof/>
                <w:lang w:val="en-IE"/>
              </w:rPr>
            </w:pPr>
            <w:r w:rsidRPr="00A21051">
              <w:rPr>
                <w:noProof/>
                <w:lang w:val="en-IE"/>
              </w:rPr>
              <w:t>0</w:t>
            </w:r>
          </w:p>
        </w:tc>
        <w:tc>
          <w:tcPr>
            <w:tcW w:w="1526" w:type="dxa"/>
          </w:tcPr>
          <w:p w14:paraId="6CE695D3" w14:textId="77777777" w:rsidR="00C016C5" w:rsidRPr="00A21051" w:rsidRDefault="00C016C5" w:rsidP="00813D25">
            <w:pPr>
              <w:jc w:val="center"/>
              <w:rPr>
                <w:b/>
                <w:noProof/>
                <w:lang w:val="en-IE"/>
              </w:rPr>
            </w:pPr>
            <w:r w:rsidRPr="00A21051">
              <w:rPr>
                <w:noProof/>
                <w:lang w:val="en-IE"/>
              </w:rPr>
              <w:t>100%</w:t>
            </w:r>
          </w:p>
        </w:tc>
        <w:tc>
          <w:tcPr>
            <w:tcW w:w="1532" w:type="dxa"/>
          </w:tcPr>
          <w:p w14:paraId="650EA614" w14:textId="77777777" w:rsidR="00C016C5" w:rsidRPr="00A21051" w:rsidRDefault="00C016C5" w:rsidP="00813D25">
            <w:pPr>
              <w:jc w:val="center"/>
              <w:rPr>
                <w:noProof/>
                <w:lang w:val="en-IE"/>
              </w:rPr>
            </w:pPr>
            <w:r w:rsidRPr="00A21051">
              <w:rPr>
                <w:noProof/>
                <w:lang w:val="en-IE"/>
              </w:rPr>
              <w:t>6</w:t>
            </w:r>
            <w:r>
              <w:rPr>
                <w:noProof/>
                <w:lang w:val="en-IE"/>
              </w:rPr>
              <w:t xml:space="preserve"> in 2020</w:t>
            </w:r>
          </w:p>
        </w:tc>
        <w:tc>
          <w:tcPr>
            <w:tcW w:w="1572" w:type="dxa"/>
          </w:tcPr>
          <w:p w14:paraId="7E0632CA" w14:textId="77777777" w:rsidR="00C016C5" w:rsidRPr="00A21051" w:rsidRDefault="00C016C5" w:rsidP="00813D25">
            <w:pPr>
              <w:jc w:val="center"/>
              <w:rPr>
                <w:noProof/>
                <w:lang w:val="en-IE"/>
              </w:rPr>
            </w:pPr>
            <w:r w:rsidRPr="00A21051">
              <w:rPr>
                <w:noProof/>
                <w:lang w:val="en-IE"/>
              </w:rPr>
              <w:t xml:space="preserve">6 spin-offs compared to a target of 6 </w:t>
            </w:r>
          </w:p>
        </w:tc>
        <w:tc>
          <w:tcPr>
            <w:tcW w:w="1579" w:type="dxa"/>
          </w:tcPr>
          <w:p w14:paraId="4ED7744E" w14:textId="77777777" w:rsidR="00C016C5" w:rsidRPr="00A21051" w:rsidRDefault="00C016C5" w:rsidP="00813D25">
            <w:pPr>
              <w:jc w:val="center"/>
              <w:rPr>
                <w:noProof/>
                <w:lang w:val="en-IE"/>
              </w:rPr>
            </w:pPr>
            <w:r w:rsidRPr="00A21051">
              <w:rPr>
                <w:noProof/>
                <w:lang w:val="en-IE"/>
              </w:rPr>
              <w:t>Achieved</w:t>
            </w:r>
          </w:p>
        </w:tc>
      </w:tr>
      <w:tr w:rsidR="00C016C5" w:rsidRPr="00A21051" w14:paraId="53D068DE" w14:textId="77777777" w:rsidTr="00813D25">
        <w:trPr>
          <w:cnfStyle w:val="000000100000" w:firstRow="0" w:lastRow="0" w:firstColumn="0" w:lastColumn="0" w:oddVBand="0" w:evenVBand="0" w:oddHBand="1" w:evenHBand="0" w:firstRowFirstColumn="0" w:firstRowLastColumn="0" w:lastRowFirstColumn="0" w:lastRowLastColumn="0"/>
        </w:trPr>
        <w:tc>
          <w:tcPr>
            <w:tcW w:w="2330" w:type="dxa"/>
          </w:tcPr>
          <w:p w14:paraId="1CA0B681" w14:textId="77777777" w:rsidR="00C016C5" w:rsidRPr="00A21051" w:rsidRDefault="00C016C5" w:rsidP="00813D25">
            <w:pPr>
              <w:rPr>
                <w:noProof/>
                <w:lang w:val="en-IE"/>
              </w:rPr>
            </w:pPr>
            <w:r w:rsidRPr="00A21051">
              <w:rPr>
                <w:noProof/>
                <w:lang w:val="en-IE"/>
              </w:rPr>
              <w:t>The patent applications generated and patents awarded</w:t>
            </w:r>
            <w:r>
              <w:rPr>
                <w:noProof/>
                <w:lang w:val="en-IE"/>
              </w:rPr>
              <w:t xml:space="preserve"> (**)</w:t>
            </w:r>
          </w:p>
        </w:tc>
        <w:tc>
          <w:tcPr>
            <w:tcW w:w="1100" w:type="dxa"/>
          </w:tcPr>
          <w:p w14:paraId="5C862A16" w14:textId="77777777" w:rsidR="00C016C5" w:rsidRPr="00A21051" w:rsidRDefault="00C016C5" w:rsidP="00813D25">
            <w:pPr>
              <w:jc w:val="center"/>
              <w:rPr>
                <w:noProof/>
                <w:lang w:val="en-IE"/>
              </w:rPr>
            </w:pPr>
            <w:r>
              <w:rPr>
                <w:noProof/>
                <w:lang w:val="en-IE"/>
              </w:rPr>
              <w:t>0</w:t>
            </w:r>
          </w:p>
        </w:tc>
        <w:tc>
          <w:tcPr>
            <w:tcW w:w="1526" w:type="dxa"/>
          </w:tcPr>
          <w:p w14:paraId="220962D0" w14:textId="77777777" w:rsidR="00C016C5" w:rsidRPr="00C94782" w:rsidRDefault="00C016C5" w:rsidP="00813D25">
            <w:pPr>
              <w:jc w:val="center"/>
              <w:rPr>
                <w:rFonts w:ascii="Calibri" w:hAnsi="Calibri" w:cs="Calibri"/>
                <w:b/>
                <w:noProof/>
                <w:lang w:val="en-IE"/>
              </w:rPr>
            </w:pPr>
            <w:r w:rsidRPr="00A21051">
              <w:rPr>
                <w:noProof/>
                <w:lang w:val="en-IE"/>
              </w:rPr>
              <w:t>&gt;</w:t>
            </w:r>
            <w:r w:rsidRPr="00A21051">
              <w:rPr>
                <w:rFonts w:ascii="Calibri" w:hAnsi="Calibri" w:cs="Calibri"/>
                <w:noProof/>
                <w:lang w:val="en-IE"/>
              </w:rPr>
              <w:t> </w:t>
            </w:r>
            <w:r w:rsidRPr="00A21051">
              <w:rPr>
                <w:noProof/>
                <w:lang w:val="en-IE"/>
              </w:rPr>
              <w:t>100%</w:t>
            </w:r>
            <w:r w:rsidRPr="00A21051">
              <w:rPr>
                <w:rFonts w:ascii="Calibri" w:hAnsi="Calibri" w:cs="Calibri"/>
                <w:b/>
                <w:noProof/>
                <w:lang w:val="en-IE"/>
              </w:rPr>
              <w:t> </w:t>
            </w:r>
            <w:r w:rsidRPr="00C94782">
              <w:rPr>
                <w:rFonts w:cs="Calibri"/>
                <w:bCs/>
                <w:noProof/>
                <w:lang w:val="en-IE"/>
              </w:rPr>
              <w:t>(</w:t>
            </w:r>
            <w:r>
              <w:rPr>
                <w:rFonts w:cs="Calibri"/>
                <w:bCs/>
                <w:noProof/>
                <w:lang w:val="en-IE"/>
              </w:rPr>
              <w:t>**</w:t>
            </w:r>
            <w:r w:rsidRPr="00C94782">
              <w:rPr>
                <w:rFonts w:cs="Calibri"/>
                <w:bCs/>
                <w:noProof/>
                <w:lang w:val="en-IE"/>
              </w:rPr>
              <w:t>)</w:t>
            </w:r>
          </w:p>
        </w:tc>
        <w:tc>
          <w:tcPr>
            <w:tcW w:w="1532" w:type="dxa"/>
          </w:tcPr>
          <w:p w14:paraId="5D2090B7" w14:textId="77777777" w:rsidR="00C016C5" w:rsidRPr="00A21051" w:rsidRDefault="00C016C5" w:rsidP="00813D25">
            <w:pPr>
              <w:jc w:val="center"/>
              <w:rPr>
                <w:noProof/>
                <w:lang w:val="en-IE"/>
              </w:rPr>
            </w:pPr>
            <w:r w:rsidRPr="00A21051">
              <w:rPr>
                <w:noProof/>
                <w:lang w:val="en-IE"/>
              </w:rPr>
              <w:t>4</w:t>
            </w:r>
            <w:r>
              <w:rPr>
                <w:noProof/>
                <w:lang w:val="en-IE"/>
              </w:rPr>
              <w:t xml:space="preserve"> in 2020</w:t>
            </w:r>
          </w:p>
        </w:tc>
        <w:tc>
          <w:tcPr>
            <w:tcW w:w="1572" w:type="dxa"/>
          </w:tcPr>
          <w:p w14:paraId="455C9D70" w14:textId="77777777" w:rsidR="00C016C5" w:rsidRPr="00A21051" w:rsidRDefault="00C016C5" w:rsidP="00813D25">
            <w:pPr>
              <w:jc w:val="center"/>
              <w:rPr>
                <w:noProof/>
                <w:lang w:val="en-IE"/>
              </w:rPr>
            </w:pPr>
            <w:r w:rsidRPr="00A21051">
              <w:rPr>
                <w:noProof/>
                <w:lang w:val="en-IE"/>
              </w:rPr>
              <w:t>7 patent applications compared to a target of 4</w:t>
            </w:r>
          </w:p>
        </w:tc>
        <w:tc>
          <w:tcPr>
            <w:tcW w:w="1579" w:type="dxa"/>
          </w:tcPr>
          <w:p w14:paraId="0D10AD2E" w14:textId="77777777" w:rsidR="00C016C5" w:rsidRPr="00A21051" w:rsidRDefault="00C016C5" w:rsidP="00813D25">
            <w:pPr>
              <w:jc w:val="center"/>
              <w:rPr>
                <w:noProof/>
                <w:lang w:val="en-IE"/>
              </w:rPr>
            </w:pPr>
            <w:r w:rsidRPr="00A21051">
              <w:rPr>
                <w:noProof/>
                <w:lang w:val="en-IE"/>
              </w:rPr>
              <w:t>Achieved</w:t>
            </w:r>
          </w:p>
        </w:tc>
      </w:tr>
    </w:tbl>
    <w:p w14:paraId="7D53FE76" w14:textId="77777777" w:rsidR="00C016C5" w:rsidRPr="00A21051" w:rsidRDefault="00C016C5" w:rsidP="00C016C5">
      <w:pPr>
        <w:pStyle w:val="FootnoteText"/>
        <w:rPr>
          <w:noProof/>
          <w:color w:val="BBB931"/>
          <w:lang w:val="en-IE"/>
        </w:rPr>
      </w:pPr>
      <w:r w:rsidRPr="00A21051">
        <w:rPr>
          <w:noProof/>
          <w:lang w:val="en-IE"/>
        </w:rPr>
        <w:t xml:space="preserve">(*) </w:t>
      </w:r>
      <w:r w:rsidRPr="00A21051">
        <w:rPr>
          <w:noProof/>
          <w:lang w:val="en-IE"/>
        </w:rPr>
        <w:tab/>
        <w:t>% of ta</w:t>
      </w:r>
      <w:r>
        <w:rPr>
          <w:noProof/>
          <w:lang w:val="en-IE"/>
        </w:rPr>
        <w:t>rget achieved by the end of 2020</w:t>
      </w:r>
      <w:r w:rsidRPr="00A21051">
        <w:rPr>
          <w:noProof/>
          <w:lang w:val="en-IE"/>
        </w:rPr>
        <w:t>.</w:t>
      </w:r>
    </w:p>
    <w:p w14:paraId="1A55F1B3" w14:textId="77777777" w:rsidR="00C016C5" w:rsidRPr="00A21051" w:rsidRDefault="00C016C5" w:rsidP="00C016C5">
      <w:pPr>
        <w:pStyle w:val="FootnoteText"/>
        <w:rPr>
          <w:noProof/>
          <w:lang w:val="en-IE"/>
        </w:rPr>
      </w:pPr>
      <w:r w:rsidRPr="00A21051">
        <w:rPr>
          <w:noProof/>
          <w:lang w:val="en-IE"/>
        </w:rPr>
        <w:t>(</w:t>
      </w:r>
      <w:r>
        <w:rPr>
          <w:noProof/>
          <w:lang w:val="en-IE"/>
        </w:rPr>
        <w:t>**</w:t>
      </w:r>
      <w:r w:rsidRPr="00A21051">
        <w:rPr>
          <w:noProof/>
          <w:lang w:val="en-IE"/>
        </w:rPr>
        <w:t xml:space="preserve">) </w:t>
      </w:r>
      <w:r w:rsidRPr="00A21051">
        <w:rPr>
          <w:noProof/>
          <w:lang w:val="en-IE"/>
        </w:rPr>
        <w:tab/>
        <w:t>% of target achieved by the end of 2021.</w:t>
      </w:r>
    </w:p>
    <w:p w14:paraId="6E262B2E" w14:textId="77777777" w:rsidR="00C016C5" w:rsidRPr="00A21051" w:rsidRDefault="00C016C5" w:rsidP="00C016C5">
      <w:pPr>
        <w:pStyle w:val="ppoListHyphened-L1"/>
        <w:spacing w:before="360"/>
        <w:rPr>
          <w:noProof/>
          <w:lang w:val="en-IE"/>
        </w:rPr>
      </w:pPr>
      <w:r w:rsidRPr="00A21051">
        <w:rPr>
          <w:noProof/>
          <w:lang w:val="en-IE"/>
        </w:rPr>
        <w:t>The programme is on track as regards the 2014-2020 activities, the implementation of which will continue during 2022.</w:t>
      </w:r>
    </w:p>
    <w:p w14:paraId="495364AB" w14:textId="77777777" w:rsidR="00C016C5" w:rsidRPr="00A21051" w:rsidRDefault="00C016C5" w:rsidP="00C016C5">
      <w:pPr>
        <w:pStyle w:val="ppoListHyphened-L1"/>
        <w:rPr>
          <w:noProof/>
          <w:lang w:val="en-IE"/>
        </w:rPr>
      </w:pPr>
      <w:r w:rsidRPr="00A21051">
        <w:rPr>
          <w:noProof/>
          <w:lang w:val="en-IE"/>
        </w:rPr>
        <w:t>Despite the pandemic, indirect actions achieved very good results. Several measures have been introduced to mitigate the risk of delays in the implementation of ongoing projects, such as acceptance of extensions and teleworking during the transitional period after confinement.</w:t>
      </w:r>
    </w:p>
    <w:p w14:paraId="1F49CFC3" w14:textId="77777777" w:rsidR="00C016C5" w:rsidRPr="00A21051" w:rsidRDefault="00C016C5" w:rsidP="00C016C5">
      <w:pPr>
        <w:pStyle w:val="ppoListHyphened-L1"/>
        <w:rPr>
          <w:noProof/>
          <w:lang w:val="en-IE"/>
        </w:rPr>
      </w:pPr>
      <w:r w:rsidRPr="00A21051">
        <w:rPr>
          <w:rStyle w:val="ms-rtethemefontface-1"/>
          <w:noProof/>
          <w:lang w:val="en-IE"/>
        </w:rPr>
        <w:t>Eighteen indicators out of 20 were recorded as on track (18 have reached their target). Only two indicators show moderate progress. No indicator is so clearly off-track as to deserve attention.</w:t>
      </w:r>
    </w:p>
    <w:p w14:paraId="6DB424EF" w14:textId="77777777" w:rsidR="00C016C5" w:rsidRPr="00A21051" w:rsidRDefault="00C016C5" w:rsidP="00C016C5">
      <w:pPr>
        <w:pStyle w:val="ppoListHyphened-L1"/>
        <w:rPr>
          <w:noProof/>
          <w:lang w:val="en-IE"/>
        </w:rPr>
      </w:pPr>
      <w:r w:rsidRPr="00A21051">
        <w:rPr>
          <w:noProof/>
          <w:lang w:val="en-IE"/>
        </w:rPr>
        <w:t>By the end of 2021, several projects were completed and the programme has performed solidly in several respects</w:t>
      </w:r>
      <w:r w:rsidRPr="00A21051">
        <w:rPr>
          <w:rFonts w:ascii="Calibri" w:hAnsi="Calibri" w:cs="Calibri"/>
          <w:noProof/>
          <w:lang w:val="en-IE"/>
        </w:rPr>
        <w:t> –</w:t>
      </w:r>
      <w:r w:rsidRPr="00A21051">
        <w:rPr>
          <w:noProof/>
          <w:lang w:val="en-IE"/>
        </w:rPr>
        <w:t xml:space="preserve"> and notably </w:t>
      </w:r>
      <w:r w:rsidRPr="00A21051">
        <w:rPr>
          <w:rStyle w:val="Aucun"/>
          <w:noProof/>
          <w:lang w:val="en-IE"/>
        </w:rPr>
        <w:t>i</w:t>
      </w:r>
      <w:r w:rsidRPr="00A21051">
        <w:rPr>
          <w:noProof/>
          <w:lang w:val="en-IE"/>
        </w:rPr>
        <w:t>n fusion research: the EUROfusion consortium has achieved 90% of the milestones established during 2014-2020.</w:t>
      </w:r>
    </w:p>
    <w:p w14:paraId="32F9CE66" w14:textId="77777777" w:rsidR="00C016C5" w:rsidRPr="00A21051" w:rsidRDefault="00C016C5" w:rsidP="00C016C5">
      <w:pPr>
        <w:pStyle w:val="ppoListHyphened-L1"/>
        <w:rPr>
          <w:rFonts w:eastAsia="EC Square Sans Pro" w:cs="EC Square Sans Pro"/>
          <w:noProof/>
          <w:lang w:val="en-IE"/>
        </w:rPr>
      </w:pPr>
      <w:bookmarkStart w:id="31" w:name="_Hlk101426604"/>
      <w:r w:rsidRPr="0024603D">
        <w:rPr>
          <w:noProof/>
          <w:lang w:val="en-IE"/>
        </w:rPr>
        <w:t>The fission projects involved an estimated workforce of around 8</w:t>
      </w:r>
      <w:r w:rsidRPr="0024603D">
        <w:rPr>
          <w:rFonts w:ascii="Calibri" w:hAnsi="Calibri" w:cs="Calibri"/>
          <w:noProof/>
          <w:lang w:val="en-IE"/>
        </w:rPr>
        <w:t> </w:t>
      </w:r>
      <w:r w:rsidRPr="0024603D">
        <w:rPr>
          <w:noProof/>
          <w:lang w:val="en-IE"/>
        </w:rPr>
        <w:t>000 people</w:t>
      </w:r>
      <w:r>
        <w:rPr>
          <w:noProof/>
          <w:lang w:val="en-IE"/>
        </w:rPr>
        <w:t>,</w:t>
      </w:r>
      <w:r w:rsidRPr="0024603D">
        <w:rPr>
          <w:noProof/>
          <w:lang w:val="en-IE"/>
        </w:rPr>
        <w:t xml:space="preserve"> </w:t>
      </w:r>
      <w:r>
        <w:rPr>
          <w:noProof/>
          <w:lang w:val="en-IE"/>
        </w:rPr>
        <w:t xml:space="preserve">including </w:t>
      </w:r>
      <w:r w:rsidRPr="0024603D">
        <w:rPr>
          <w:noProof/>
          <w:lang w:val="en-IE"/>
        </w:rPr>
        <w:t xml:space="preserve">scientific managers, experienced researchers, additional </w:t>
      </w:r>
      <w:r>
        <w:rPr>
          <w:noProof/>
          <w:lang w:val="en-IE"/>
        </w:rPr>
        <w:t xml:space="preserve">specialist </w:t>
      </w:r>
      <w:r w:rsidRPr="0024603D">
        <w:rPr>
          <w:noProof/>
          <w:lang w:val="en-IE"/>
        </w:rPr>
        <w:t xml:space="preserve">researchers </w:t>
      </w:r>
      <w:r>
        <w:rPr>
          <w:noProof/>
          <w:lang w:val="en-IE"/>
        </w:rPr>
        <w:t>and</w:t>
      </w:r>
      <w:r w:rsidRPr="0024603D">
        <w:rPr>
          <w:noProof/>
          <w:lang w:val="en-IE"/>
        </w:rPr>
        <w:t xml:space="preserve"> PhD </w:t>
      </w:r>
      <w:r>
        <w:rPr>
          <w:noProof/>
          <w:lang w:val="en-IE"/>
        </w:rPr>
        <w:t xml:space="preserve">students working on a </w:t>
      </w:r>
      <w:r w:rsidRPr="0024603D">
        <w:rPr>
          <w:noProof/>
          <w:lang w:val="en-IE"/>
        </w:rPr>
        <w:t>part</w:t>
      </w:r>
      <w:r>
        <w:rPr>
          <w:noProof/>
          <w:lang w:val="en-IE"/>
        </w:rPr>
        <w:t>-</w:t>
      </w:r>
      <w:r w:rsidRPr="0024603D">
        <w:rPr>
          <w:noProof/>
          <w:lang w:val="en-IE"/>
        </w:rPr>
        <w:t xml:space="preserve"> or full-time </w:t>
      </w:r>
      <w:r>
        <w:rPr>
          <w:noProof/>
          <w:lang w:val="en-IE"/>
        </w:rPr>
        <w:t xml:space="preserve">basis </w:t>
      </w:r>
      <w:r w:rsidRPr="0024603D">
        <w:rPr>
          <w:noProof/>
          <w:lang w:val="en-IE"/>
        </w:rPr>
        <w:t xml:space="preserve">in </w:t>
      </w:r>
      <w:r>
        <w:rPr>
          <w:noProof/>
          <w:lang w:val="en-IE"/>
        </w:rPr>
        <w:t>the</w:t>
      </w:r>
      <w:r w:rsidRPr="0024603D">
        <w:rPr>
          <w:noProof/>
          <w:lang w:val="en-IE"/>
        </w:rPr>
        <w:t xml:space="preserve"> project</w:t>
      </w:r>
      <w:r>
        <w:rPr>
          <w:noProof/>
          <w:lang w:val="en-IE"/>
        </w:rPr>
        <w:t>s. They are</w:t>
      </w:r>
      <w:r w:rsidRPr="0024603D">
        <w:rPr>
          <w:noProof/>
          <w:lang w:val="en-IE"/>
        </w:rPr>
        <w:t xml:space="preserve"> mainly </w:t>
      </w:r>
      <w:r>
        <w:rPr>
          <w:noProof/>
          <w:lang w:val="en-IE"/>
        </w:rPr>
        <w:t>employed by</w:t>
      </w:r>
      <w:r w:rsidRPr="0024603D">
        <w:rPr>
          <w:noProof/>
          <w:lang w:val="en-IE"/>
        </w:rPr>
        <w:t xml:space="preserve"> research organisations, private entities and higher or secondary education establishments.</w:t>
      </w:r>
      <w:r w:rsidRPr="00A21051">
        <w:rPr>
          <w:noProof/>
          <w:lang w:val="en-IE"/>
        </w:rPr>
        <w:t xml:space="preserve"> </w:t>
      </w:r>
      <w:bookmarkEnd w:id="31"/>
      <w:r w:rsidRPr="00A21051">
        <w:rPr>
          <w:noProof/>
          <w:lang w:val="en-IE"/>
        </w:rPr>
        <w:t>This illustrates the positive and high impact achieved between Member State institutes, research centres, academia, industry and Euratom, by closely collaborating at the EU level towards common broad scientific and technological research challenges and opportunities, innovation, development and demonstration goals.</w:t>
      </w:r>
    </w:p>
    <w:p w14:paraId="346FF659" w14:textId="77777777" w:rsidR="00C016C5" w:rsidRPr="00A21051" w:rsidRDefault="00C016C5" w:rsidP="00C016C5">
      <w:pPr>
        <w:pStyle w:val="ppoListHyphened-L1"/>
        <w:rPr>
          <w:rStyle w:val="ms-rtethemefontface-1"/>
          <w:noProof/>
          <w:lang w:val="en-IE"/>
        </w:rPr>
      </w:pPr>
      <w:r w:rsidRPr="00A21051">
        <w:rPr>
          <w:noProof/>
          <w:lang w:val="en-IE"/>
        </w:rPr>
        <w:t>For example, t</w:t>
      </w:r>
      <w:r w:rsidRPr="00A21051">
        <w:rPr>
          <w:rStyle w:val="Aucun"/>
          <w:noProof/>
          <w:lang w:val="en-IE"/>
        </w:rPr>
        <w:t>he European joint programme on radioactive waste management supported the implementation of the nuclear waste directive in the Euratom Member States with EUR</w:t>
      </w:r>
      <w:r w:rsidRPr="00A21051">
        <w:rPr>
          <w:rStyle w:val="Aucun"/>
          <w:rFonts w:ascii="Calibri" w:hAnsi="Calibri" w:cs="Calibri"/>
          <w:noProof/>
          <w:lang w:val="en-IE"/>
        </w:rPr>
        <w:t> </w:t>
      </w:r>
      <w:r w:rsidRPr="00A21051">
        <w:rPr>
          <w:rStyle w:val="Aucun"/>
          <w:noProof/>
          <w:lang w:val="en-IE"/>
        </w:rPr>
        <w:t>32.5</w:t>
      </w:r>
      <w:r w:rsidRPr="00A21051">
        <w:rPr>
          <w:rStyle w:val="Aucun"/>
          <w:rFonts w:ascii="Calibri" w:hAnsi="Calibri" w:cs="Calibri"/>
          <w:noProof/>
          <w:lang w:val="en-IE"/>
        </w:rPr>
        <w:t> </w:t>
      </w:r>
      <w:r w:rsidRPr="00A21051">
        <w:rPr>
          <w:rStyle w:val="Aucun"/>
          <w:noProof/>
          <w:lang w:val="en-IE"/>
        </w:rPr>
        <w:t>million of Euratom funding</w:t>
      </w:r>
      <w:r w:rsidRPr="00A21051">
        <w:rPr>
          <w:rStyle w:val="ms-rtethemefontface-1"/>
          <w:noProof/>
          <w:lang w:val="en-IE"/>
        </w:rPr>
        <w:t>.</w:t>
      </w:r>
    </w:p>
    <w:p w14:paraId="464A7F43" w14:textId="77777777" w:rsidR="00C016C5" w:rsidRPr="00A21051" w:rsidRDefault="00C016C5" w:rsidP="00C016C5">
      <w:pPr>
        <w:pStyle w:val="ppoListHyphened-L1"/>
        <w:rPr>
          <w:rFonts w:eastAsia="EC Square Sans Pro" w:cs="EC Square Sans Pro"/>
          <w:noProof/>
          <w:lang w:val="en-IE"/>
        </w:rPr>
      </w:pPr>
      <w:r w:rsidRPr="00A21051">
        <w:rPr>
          <w:noProof/>
          <w:lang w:val="en-IE"/>
        </w:rPr>
        <w:t xml:space="preserve">Under the direct actions, the operation of the European clearinghouse initiative on nuclear power plants operational experience feedback performed 12 topical studies, including analysis of causes, consequences, safety impact and corrective actions on incidents that occurred in nuclear power plants and 26 reviews of Member State event reports to the </w:t>
      </w:r>
      <w:r w:rsidRPr="00C94782">
        <w:rPr>
          <w:noProof/>
          <w:lang w:val="en-IE"/>
        </w:rPr>
        <w:t>International Atomic Energy Agency</w:t>
      </w:r>
      <w:r w:rsidRPr="00A21051">
        <w:rPr>
          <w:noProof/>
          <w:lang w:val="en-IE"/>
        </w:rPr>
        <w:t>.</w:t>
      </w:r>
    </w:p>
    <w:p w14:paraId="3300F965" w14:textId="77777777" w:rsidR="00C016C5" w:rsidRPr="00A21051" w:rsidRDefault="00C016C5" w:rsidP="00C016C5">
      <w:pPr>
        <w:pStyle w:val="ppoListHyphened-L1"/>
        <w:rPr>
          <w:noProof/>
          <w:lang w:val="en-IE"/>
        </w:rPr>
      </w:pPr>
      <w:r w:rsidRPr="00A21051">
        <w:rPr>
          <w:noProof/>
          <w:lang w:val="en-IE"/>
        </w:rPr>
        <w:t>In addition, direct actions allowed the training of staff from 180 regulatory bodies and the clearinghouse initiative contributed to drafting two International Atomic Energy Agency nuclear safety technical documents and two standards in nuclear safety.</w:t>
      </w:r>
    </w:p>
    <w:p w14:paraId="372455BF" w14:textId="644A6389" w:rsidR="00C016C5" w:rsidRPr="00E02B38" w:rsidRDefault="00C016C5" w:rsidP="004B627A">
      <w:pPr>
        <w:pStyle w:val="ppoListHyphened-L1"/>
        <w:rPr>
          <w:rFonts w:eastAsia="EC Square Sans Pro" w:cs="EC Square Sans Pro"/>
          <w:noProof/>
          <w:lang w:val="en-IE"/>
        </w:rPr>
        <w:sectPr w:rsidR="00C016C5" w:rsidRPr="00E02B38" w:rsidSect="004B627A">
          <w:headerReference w:type="even" r:id="rId99"/>
          <w:headerReference w:type="default" r:id="rId100"/>
          <w:footerReference w:type="even" r:id="rId101"/>
          <w:footerReference w:type="default" r:id="rId102"/>
          <w:headerReference w:type="first" r:id="rId103"/>
          <w:footerReference w:type="first" r:id="rId104"/>
          <w:pgSz w:w="11906" w:h="16838"/>
          <w:pgMar w:top="1020" w:right="1106" w:bottom="1020" w:left="1350" w:header="601" w:footer="1077" w:gutter="0"/>
          <w:cols w:space="720"/>
          <w:titlePg/>
          <w:docGrid w:linePitch="326"/>
        </w:sectPr>
      </w:pPr>
      <w:r w:rsidRPr="00A21051">
        <w:rPr>
          <w:noProof/>
          <w:lang w:val="en-IE"/>
        </w:rPr>
        <w:t xml:space="preserve">In 2014-2020, the Joint Research Centre provided access to its nuclear research infrastructures to 158 projects, resulting in 140 research articles, with the participation of 64 PhD and Master’s students. </w:t>
      </w:r>
    </w:p>
    <w:p w14:paraId="15923DAA" w14:textId="77777777" w:rsidR="00492B87" w:rsidRPr="00EC146F" w:rsidRDefault="00492B87" w:rsidP="00492B87">
      <w:pPr>
        <w:pStyle w:val="StyleppoHeading3WhiteLeft0cm"/>
        <w:rPr>
          <w:noProof/>
          <w:sz w:val="40"/>
          <w:szCs w:val="40"/>
        </w:rPr>
      </w:pPr>
    </w:p>
    <w:p w14:paraId="265462F9" w14:textId="77777777" w:rsidR="00492B87" w:rsidRPr="00182811" w:rsidRDefault="00492B87" w:rsidP="00492B87">
      <w:pPr>
        <w:pStyle w:val="StyleppoHeading3WhiteLeft0cm"/>
        <w:rPr>
          <w:noProof/>
          <w:sz w:val="60"/>
          <w:szCs w:val="60"/>
        </w:rPr>
      </w:pPr>
      <w:bookmarkStart w:id="32" w:name="_Toc102086332"/>
      <w:r w:rsidRPr="00182811">
        <w:rPr>
          <w:noProof/>
          <w:sz w:val="60"/>
          <w:szCs w:val="60"/>
        </w:rPr>
        <w:t>ITER</w:t>
      </w:r>
      <w:bookmarkEnd w:id="32"/>
    </w:p>
    <w:p w14:paraId="0E65B77D" w14:textId="77777777" w:rsidR="00492B87" w:rsidRPr="00040D99" w:rsidRDefault="00492B87" w:rsidP="00492B87">
      <w:pPr>
        <w:pStyle w:val="StyleppoProgrammenameWhiteLeft01cm"/>
        <w:rPr>
          <w:noProof/>
        </w:rPr>
      </w:pPr>
      <w:r>
        <w:rPr>
          <w:noProof/>
        </w:rPr>
        <w:t>EUROPEAN JOINT UNDERTAKING FOR ITER AND THE DEVELOPMENT OF FUSION ENERGY</w:t>
      </w:r>
    </w:p>
    <w:p w14:paraId="6F3CDF65" w14:textId="77777777" w:rsidR="00492B87" w:rsidRPr="00351CB7" w:rsidRDefault="00492B87" w:rsidP="00492B87">
      <w:pPr>
        <w:pStyle w:val="ppoHeading4Orange"/>
        <w:rPr>
          <w:noProof/>
        </w:rPr>
      </w:pPr>
      <w:r w:rsidRPr="00351CB7">
        <w:rPr>
          <w:noProof/>
        </w:rPr>
        <w:t>Programme in a nutshell</w:t>
      </w:r>
    </w:p>
    <w:p w14:paraId="462FDE90" w14:textId="77777777" w:rsidR="00492B87" w:rsidRPr="00040D99" w:rsidRDefault="00492B87" w:rsidP="00492B87">
      <w:pPr>
        <w:pStyle w:val="ppoHeading5"/>
        <w:rPr>
          <w:noProof/>
        </w:rPr>
      </w:pPr>
      <w:bookmarkStart w:id="33" w:name="_Toc94522843"/>
      <w:r>
        <w:rPr>
          <w:noProof/>
        </w:rPr>
        <w:t>Concrete examples of achievements</w:t>
      </w:r>
      <w:bookmarkEnd w:id="33"/>
      <w:r>
        <w:rPr>
          <w:rFonts w:ascii="Calibri" w:hAnsi="Calibri" w:cs="Calibri"/>
          <w:noProof/>
        </w:rPr>
        <w:t> (</w:t>
      </w:r>
      <w:r>
        <w:rPr>
          <w:noProof/>
        </w:rPr>
        <w:t>*)</w:t>
      </w:r>
    </w:p>
    <w:tbl>
      <w:tblPr>
        <w:tblStyle w:val="PPO2021"/>
        <w:tblW w:w="9639" w:type="dxa"/>
        <w:tblInd w:w="0" w:type="dxa"/>
        <w:tblLook w:val="0200" w:firstRow="0" w:lastRow="0" w:firstColumn="0" w:lastColumn="0" w:noHBand="1" w:noVBand="0"/>
      </w:tblPr>
      <w:tblGrid>
        <w:gridCol w:w="2410"/>
        <w:gridCol w:w="2409"/>
        <w:gridCol w:w="2410"/>
        <w:gridCol w:w="2410"/>
      </w:tblGrid>
      <w:tr w:rsidR="00492B87" w:rsidRPr="00040D99" w14:paraId="5A686AB1" w14:textId="77777777" w:rsidTr="00BB20EB">
        <w:tc>
          <w:tcPr>
            <w:tcW w:w="2410" w:type="dxa"/>
          </w:tcPr>
          <w:p w14:paraId="357A0864" w14:textId="77777777" w:rsidR="00492B87" w:rsidRPr="0076270C" w:rsidRDefault="00492B87" w:rsidP="00BB20EB">
            <w:pPr>
              <w:pStyle w:val="ppoTableacheivementvalue"/>
              <w:rPr>
                <w:noProof/>
              </w:rPr>
            </w:pPr>
            <w:r>
              <w:rPr>
                <w:noProof/>
              </w:rPr>
              <w:t>29</w:t>
            </w:r>
            <w:r>
              <w:rPr>
                <w:rFonts w:ascii="Calibri" w:hAnsi="Calibri" w:cs="Calibri"/>
                <w:noProof/>
              </w:rPr>
              <w:t> </w:t>
            </w:r>
            <w:r>
              <w:rPr>
                <w:noProof/>
              </w:rPr>
              <w:t>500</w:t>
            </w:r>
          </w:p>
          <w:p w14:paraId="25A0A225" w14:textId="77777777" w:rsidR="00492B87" w:rsidRPr="0076270C" w:rsidRDefault="00492B87" w:rsidP="00962E3C">
            <w:pPr>
              <w:jc w:val="left"/>
              <w:rPr>
                <w:noProof/>
              </w:rPr>
            </w:pPr>
            <w:r>
              <w:rPr>
                <w:noProof/>
              </w:rPr>
              <w:t xml:space="preserve">annual </w:t>
            </w:r>
            <w:r w:rsidRPr="00125DC8">
              <w:rPr>
                <w:noProof/>
              </w:rPr>
              <w:t>jobs</w:t>
            </w:r>
            <w:r>
              <w:rPr>
                <w:noProof/>
              </w:rPr>
              <w:t xml:space="preserve"> were</w:t>
            </w:r>
            <w:r w:rsidRPr="00125DC8">
              <w:rPr>
                <w:noProof/>
              </w:rPr>
              <w:t xml:space="preserve"> directly or indirectly created by ITER between 2007 and 2019.</w:t>
            </w:r>
          </w:p>
        </w:tc>
        <w:tc>
          <w:tcPr>
            <w:cnfStyle w:val="000001000000" w:firstRow="0" w:lastRow="0" w:firstColumn="0" w:lastColumn="0" w:oddVBand="0" w:evenVBand="1" w:oddHBand="0" w:evenHBand="0" w:firstRowFirstColumn="0" w:firstRowLastColumn="0" w:lastRowFirstColumn="0" w:lastRowLastColumn="0"/>
            <w:tcW w:w="2409" w:type="dxa"/>
          </w:tcPr>
          <w:p w14:paraId="1E7939AA" w14:textId="77777777" w:rsidR="00492B87" w:rsidRPr="0076270C" w:rsidRDefault="00492B87" w:rsidP="00BB20EB">
            <w:pPr>
              <w:pStyle w:val="ppoTableacheivementvalue"/>
              <w:rPr>
                <w:noProof/>
              </w:rPr>
            </w:pPr>
            <w:r>
              <w:rPr>
                <w:noProof/>
              </w:rPr>
              <w:t>614</w:t>
            </w:r>
          </w:p>
          <w:p w14:paraId="2BA5E887" w14:textId="77777777" w:rsidR="00492B87" w:rsidRPr="0076270C" w:rsidRDefault="00492B87" w:rsidP="00962E3C">
            <w:pPr>
              <w:jc w:val="left"/>
              <w:rPr>
                <w:noProof/>
              </w:rPr>
            </w:pPr>
            <w:r>
              <w:rPr>
                <w:noProof/>
              </w:rPr>
              <w:t>contracts were signed by the Fusion for Energy Joint Undertaking between 2007 and 2020</w:t>
            </w:r>
            <w:r w:rsidRPr="0076270C">
              <w:rPr>
                <w:noProof/>
              </w:rPr>
              <w:t>.</w:t>
            </w:r>
          </w:p>
        </w:tc>
        <w:tc>
          <w:tcPr>
            <w:tcW w:w="2410" w:type="dxa"/>
            <w:tcBorders>
              <w:bottom w:val="single" w:sz="4" w:space="0" w:color="8C8C8C"/>
            </w:tcBorders>
          </w:tcPr>
          <w:p w14:paraId="16D65E9C" w14:textId="77777777" w:rsidR="00492B87" w:rsidRDefault="00492B87" w:rsidP="00962E3C">
            <w:pPr>
              <w:jc w:val="center"/>
              <w:cnfStyle w:val="000000000000" w:firstRow="0" w:lastRow="0" w:firstColumn="0" w:lastColumn="0" w:oddVBand="0" w:evenVBand="0" w:oddHBand="0" w:evenHBand="0" w:firstRowFirstColumn="0" w:firstRowLastColumn="0" w:lastRowFirstColumn="0" w:lastRowLastColumn="0"/>
              <w:rPr>
                <w:noProof/>
                <w:sz w:val="28"/>
                <w:szCs w:val="28"/>
              </w:rPr>
            </w:pPr>
            <w:r w:rsidRPr="00125DC8">
              <w:rPr>
                <w:noProof/>
                <w:sz w:val="28"/>
                <w:szCs w:val="28"/>
              </w:rPr>
              <w:t>EUR</w:t>
            </w:r>
            <w:r>
              <w:rPr>
                <w:rFonts w:ascii="Calibri" w:hAnsi="Calibri" w:cs="Calibri"/>
                <w:noProof/>
                <w:sz w:val="28"/>
                <w:szCs w:val="28"/>
              </w:rPr>
              <w:t> </w:t>
            </w:r>
            <w:r w:rsidRPr="00125DC8">
              <w:rPr>
                <w:noProof/>
                <w:sz w:val="28"/>
                <w:szCs w:val="28"/>
              </w:rPr>
              <w:t>4</w:t>
            </w:r>
            <w:r>
              <w:rPr>
                <w:rFonts w:ascii="Calibri" w:hAnsi="Calibri" w:cs="Calibri"/>
                <w:noProof/>
                <w:sz w:val="28"/>
                <w:szCs w:val="28"/>
              </w:rPr>
              <w:t> </w:t>
            </w:r>
            <w:r w:rsidRPr="00125DC8">
              <w:rPr>
                <w:noProof/>
                <w:sz w:val="28"/>
                <w:szCs w:val="28"/>
              </w:rPr>
              <w:t xml:space="preserve">824 </w:t>
            </w:r>
            <w:r>
              <w:rPr>
                <w:noProof/>
                <w:sz w:val="28"/>
                <w:szCs w:val="28"/>
              </w:rPr>
              <w:t>million</w:t>
            </w:r>
          </w:p>
          <w:p w14:paraId="38F838CD" w14:textId="77777777" w:rsidR="00492B87" w:rsidRPr="0076270C" w:rsidRDefault="00492B87" w:rsidP="00962E3C">
            <w:pPr>
              <w:jc w:val="left"/>
              <w:cnfStyle w:val="000000000000" w:firstRow="0" w:lastRow="0" w:firstColumn="0" w:lastColumn="0" w:oddVBand="0" w:evenVBand="0" w:oddHBand="0" w:evenHBand="0" w:firstRowFirstColumn="0" w:firstRowLastColumn="0" w:lastRowFirstColumn="0" w:lastRowLastColumn="0"/>
              <w:rPr>
                <w:noProof/>
              </w:rPr>
            </w:pPr>
            <w:r>
              <w:rPr>
                <w:noProof/>
              </w:rPr>
              <w:t>w</w:t>
            </w:r>
            <w:r w:rsidRPr="00663750">
              <w:rPr>
                <w:noProof/>
              </w:rPr>
              <w:t>as</w:t>
            </w:r>
            <w:r>
              <w:rPr>
                <w:noProof/>
                <w:sz w:val="28"/>
                <w:szCs w:val="28"/>
              </w:rPr>
              <w:t xml:space="preserve"> </w:t>
            </w:r>
            <w:r w:rsidRPr="00125DC8">
              <w:rPr>
                <w:noProof/>
              </w:rPr>
              <w:t xml:space="preserve">paid to European companies involved in </w:t>
            </w:r>
            <w:r w:rsidRPr="00407F12">
              <w:rPr>
                <w:noProof/>
              </w:rPr>
              <w:t>ITER</w:t>
            </w:r>
            <w:r w:rsidRPr="00125DC8">
              <w:rPr>
                <w:noProof/>
              </w:rPr>
              <w:t xml:space="preserve"> between 2007 and 2019</w:t>
            </w:r>
            <w:r w:rsidRPr="0076270C">
              <w:rPr>
                <w:noProof/>
              </w:rPr>
              <w:t>.</w:t>
            </w:r>
          </w:p>
        </w:tc>
        <w:tc>
          <w:tcPr>
            <w:cnfStyle w:val="000001000000" w:firstRow="0" w:lastRow="0" w:firstColumn="0" w:lastColumn="0" w:oddVBand="0" w:evenVBand="1" w:oddHBand="0" w:evenHBand="0" w:firstRowFirstColumn="0" w:firstRowLastColumn="0" w:lastRowFirstColumn="0" w:lastRowLastColumn="0"/>
            <w:tcW w:w="2410" w:type="dxa"/>
          </w:tcPr>
          <w:p w14:paraId="25A7D7CE" w14:textId="77777777" w:rsidR="00492B87" w:rsidRPr="00670228" w:rsidRDefault="00492B87" w:rsidP="00BB20EB">
            <w:pPr>
              <w:jc w:val="center"/>
              <w:rPr>
                <w:noProof/>
                <w:sz w:val="28"/>
                <w:szCs w:val="28"/>
              </w:rPr>
            </w:pPr>
            <w:r w:rsidRPr="00670228">
              <w:rPr>
                <w:noProof/>
                <w:sz w:val="28"/>
                <w:szCs w:val="28"/>
              </w:rPr>
              <w:t>75.8%</w:t>
            </w:r>
          </w:p>
          <w:p w14:paraId="330ED0AE" w14:textId="77777777" w:rsidR="00492B87" w:rsidRPr="0076270C" w:rsidRDefault="00492B87" w:rsidP="00962E3C">
            <w:pPr>
              <w:jc w:val="left"/>
              <w:rPr>
                <w:noProof/>
              </w:rPr>
            </w:pPr>
            <w:r>
              <w:rPr>
                <w:noProof/>
              </w:rPr>
              <w:t>p</w:t>
            </w:r>
            <w:r w:rsidRPr="00670228">
              <w:rPr>
                <w:noProof/>
              </w:rPr>
              <w:t>roject</w:t>
            </w:r>
            <w:r>
              <w:rPr>
                <w:noProof/>
              </w:rPr>
              <w:t xml:space="preserve"> execution</w:t>
            </w:r>
            <w:r w:rsidRPr="00670228">
              <w:rPr>
                <w:noProof/>
              </w:rPr>
              <w:t xml:space="preserve"> to</w:t>
            </w:r>
            <w:r>
              <w:rPr>
                <w:noProof/>
              </w:rPr>
              <w:t>wards</w:t>
            </w:r>
            <w:r w:rsidRPr="00670228">
              <w:rPr>
                <w:noProof/>
              </w:rPr>
              <w:t xml:space="preserve"> achiev</w:t>
            </w:r>
            <w:r>
              <w:rPr>
                <w:noProof/>
              </w:rPr>
              <w:t>ing</w:t>
            </w:r>
            <w:r w:rsidRPr="00670228">
              <w:rPr>
                <w:noProof/>
              </w:rPr>
              <w:t xml:space="preserve"> </w:t>
            </w:r>
            <w:r w:rsidRPr="00E60D97">
              <w:rPr>
                <w:noProof/>
              </w:rPr>
              <w:t>f</w:t>
            </w:r>
            <w:r w:rsidRPr="00407F12">
              <w:rPr>
                <w:noProof/>
              </w:rPr>
              <w:t xml:space="preserve">irst </w:t>
            </w:r>
            <w:r w:rsidRPr="00E60D97">
              <w:rPr>
                <w:noProof/>
              </w:rPr>
              <w:t>p</w:t>
            </w:r>
            <w:r w:rsidRPr="00407F12">
              <w:rPr>
                <w:noProof/>
              </w:rPr>
              <w:t>lasma</w:t>
            </w:r>
            <w:r w:rsidRPr="00E60D97">
              <w:rPr>
                <w:noProof/>
              </w:rPr>
              <w:t xml:space="preserve"> was </w:t>
            </w:r>
            <w:r>
              <w:rPr>
                <w:noProof/>
              </w:rPr>
              <w:t>reached</w:t>
            </w:r>
            <w:r w:rsidRPr="00E60D97">
              <w:rPr>
                <w:noProof/>
              </w:rPr>
              <w:t xml:space="preserve"> in 2021.</w:t>
            </w:r>
          </w:p>
        </w:tc>
      </w:tr>
    </w:tbl>
    <w:p w14:paraId="72D1ED14" w14:textId="77777777" w:rsidR="00492B87" w:rsidRPr="00040D99" w:rsidRDefault="00492B87" w:rsidP="00492B87">
      <w:pPr>
        <w:pStyle w:val="FootnoteText"/>
        <w:rPr>
          <w:rFonts w:eastAsiaTheme="minorEastAsia"/>
          <w:noProof/>
        </w:rPr>
      </w:pPr>
      <w:bookmarkStart w:id="34" w:name="_Toc94522844"/>
      <w:r>
        <w:rPr>
          <w:rFonts w:eastAsiaTheme="minorEastAsia"/>
          <w:noProof/>
        </w:rPr>
        <w:t>(*)</w:t>
      </w:r>
      <w:r>
        <w:rPr>
          <w:rFonts w:eastAsiaTheme="minorEastAsia"/>
          <w:noProof/>
        </w:rPr>
        <w:tab/>
      </w:r>
      <w:r w:rsidRPr="00CA5FD3">
        <w:rPr>
          <w:rFonts w:eastAsiaTheme="minorEastAsia"/>
          <w:noProof/>
        </w:rPr>
        <w:t xml:space="preserve">Key achievements in the table state which period they relate to. Many come from the implementation of the predecessor programmes under the 2014-2020 </w:t>
      </w:r>
      <w:r>
        <w:rPr>
          <w:rFonts w:eastAsiaTheme="minorEastAsia"/>
          <w:noProof/>
        </w:rPr>
        <w:t>multiannual financial framework</w:t>
      </w:r>
      <w:r w:rsidRPr="00CA5FD3">
        <w:rPr>
          <w:rFonts w:eastAsiaTheme="minorEastAsia"/>
          <w:noProof/>
        </w:rPr>
        <w:t xml:space="preserve">. This is expected and </w:t>
      </w:r>
      <w:r>
        <w:rPr>
          <w:rFonts w:eastAsiaTheme="minorEastAsia"/>
          <w:noProof/>
        </w:rPr>
        <w:t xml:space="preserve">is </w:t>
      </w:r>
      <w:r w:rsidRPr="00CA5FD3">
        <w:rPr>
          <w:rFonts w:eastAsiaTheme="minorEastAsia"/>
          <w:noProof/>
        </w:rPr>
        <w:t>due to the multiannual life</w:t>
      </w:r>
      <w:r>
        <w:rPr>
          <w:rFonts w:eastAsiaTheme="minorEastAsia"/>
          <w:noProof/>
        </w:rPr>
        <w:t xml:space="preserve"> </w:t>
      </w:r>
      <w:r w:rsidRPr="00CA5FD3">
        <w:rPr>
          <w:rFonts w:eastAsiaTheme="minorEastAsia"/>
          <w:noProof/>
        </w:rPr>
        <w:t>cycle of EU programmes and the projects they finan</w:t>
      </w:r>
      <w:r>
        <w:rPr>
          <w:rFonts w:eastAsiaTheme="minorEastAsia"/>
          <w:noProof/>
        </w:rPr>
        <w:t>ce,</w:t>
      </w:r>
      <w:r w:rsidRPr="00CA5FD3">
        <w:rPr>
          <w:rFonts w:eastAsiaTheme="minorEastAsia"/>
          <w:noProof/>
        </w:rPr>
        <w:t xml:space="preserve"> where results often follow only after completion of the programmes.</w:t>
      </w:r>
    </w:p>
    <w:p w14:paraId="7A80FDDD" w14:textId="77777777" w:rsidR="00492B87" w:rsidRDefault="00492B87" w:rsidP="00492B87">
      <w:pPr>
        <w:pStyle w:val="ppoHeading5"/>
        <w:rPr>
          <w:noProof/>
        </w:rPr>
      </w:pPr>
      <w:r w:rsidRPr="00040D99">
        <w:rPr>
          <w:noProof/>
        </w:rPr>
        <w:t xml:space="preserve">Budget </w:t>
      </w:r>
      <w:r>
        <w:rPr>
          <w:noProof/>
        </w:rPr>
        <w:t xml:space="preserve">for </w:t>
      </w:r>
      <w:r w:rsidRPr="00040D99">
        <w:rPr>
          <w:noProof/>
        </w:rPr>
        <w:t>2021-2027</w:t>
      </w:r>
      <w:bookmarkEnd w:id="34"/>
    </w:p>
    <w:p w14:paraId="4198132D" w14:textId="77777777" w:rsidR="00492B87" w:rsidRPr="009359FF" w:rsidRDefault="00492B87" w:rsidP="00492B87">
      <w:pPr>
        <w:pStyle w:val="ppoTableTabletitle"/>
        <w:ind w:left="284"/>
        <w:rPr>
          <w:noProof/>
        </w:rPr>
      </w:pPr>
      <w:r>
        <w:rPr>
          <w:noProof/>
        </w:rPr>
        <w:t>(million</w:t>
      </w:r>
      <w:r w:rsidRPr="007D2ED3">
        <w:rPr>
          <w:noProof/>
        </w:rPr>
        <w:t xml:space="preserve"> </w:t>
      </w:r>
      <w:r>
        <w:rPr>
          <w:noProof/>
        </w:rPr>
        <w:t>EUR)</w:t>
      </w:r>
    </w:p>
    <w:tbl>
      <w:tblPr>
        <w:tblStyle w:val="PlainTable2"/>
        <w:tblW w:w="0" w:type="auto"/>
        <w:tblInd w:w="288" w:type="dxa"/>
        <w:tblLook w:val="04A0" w:firstRow="1" w:lastRow="0" w:firstColumn="1" w:lastColumn="0" w:noHBand="0" w:noVBand="1"/>
      </w:tblPr>
      <w:tblGrid>
        <w:gridCol w:w="4788"/>
        <w:gridCol w:w="2610"/>
      </w:tblGrid>
      <w:tr w:rsidR="00492B87" w:rsidRPr="00214876" w14:paraId="5CCD5291" w14:textId="77777777" w:rsidTr="00BB20EB">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022483FC" w14:textId="77777777" w:rsidR="00492B87" w:rsidRPr="00214876" w:rsidRDefault="00492B87" w:rsidP="00BB20EB">
            <w:pPr>
              <w:spacing w:before="120" w:after="120"/>
              <w:rPr>
                <w:noProof/>
              </w:rPr>
            </w:pPr>
            <w:r w:rsidRPr="00214876">
              <w:rPr>
                <w:rFonts w:cs="Calibri"/>
                <w:noProof/>
                <w:color w:val="000000"/>
              </w:rPr>
              <w:t>Financial programming</w:t>
            </w:r>
          </w:p>
        </w:tc>
        <w:tc>
          <w:tcPr>
            <w:tcW w:w="2610" w:type="dxa"/>
            <w:shd w:val="clear" w:color="auto" w:fill="auto"/>
            <w:vAlign w:val="bottom"/>
          </w:tcPr>
          <w:p w14:paraId="4DE81DD5" w14:textId="121A3AEE" w:rsidR="00492B87" w:rsidRPr="00214876" w:rsidRDefault="00492B87" w:rsidP="00BB20EB">
            <w:pPr>
              <w:spacing w:before="120" w:after="120"/>
              <w:jc w:val="center"/>
              <w:cnfStyle w:val="100000000000" w:firstRow="1" w:lastRow="0" w:firstColumn="0" w:lastColumn="0" w:oddVBand="0" w:evenVBand="0" w:oddHBand="0" w:evenHBand="0" w:firstRowFirstColumn="0" w:firstRowLastColumn="0" w:lastRowFirstColumn="0" w:lastRowLastColumn="0"/>
              <w:rPr>
                <w:b w:val="0"/>
                <w:noProof/>
              </w:rPr>
            </w:pPr>
            <w:r w:rsidRPr="00B93143">
              <w:rPr>
                <w:rFonts w:cs="Calibri"/>
                <w:b w:val="0"/>
                <w:noProof/>
                <w:color w:val="000000"/>
              </w:rPr>
              <w:t>5</w:t>
            </w:r>
            <w:r>
              <w:rPr>
                <w:rFonts w:ascii="Calibri" w:hAnsi="Calibri" w:cs="Calibri"/>
                <w:b w:val="0"/>
                <w:noProof/>
                <w:color w:val="000000"/>
              </w:rPr>
              <w:t> </w:t>
            </w:r>
            <w:r w:rsidRPr="00B93143">
              <w:rPr>
                <w:rFonts w:cs="Calibri"/>
                <w:b w:val="0"/>
                <w:noProof/>
                <w:color w:val="000000"/>
              </w:rPr>
              <w:t>614</w:t>
            </w:r>
            <w:r>
              <w:rPr>
                <w:rFonts w:cs="Calibri"/>
                <w:b w:val="0"/>
                <w:noProof/>
                <w:color w:val="000000"/>
              </w:rPr>
              <w:t>.</w:t>
            </w:r>
            <w:r w:rsidRPr="00B93143">
              <w:rPr>
                <w:rFonts w:cs="Calibri"/>
                <w:b w:val="0"/>
                <w:noProof/>
                <w:color w:val="000000"/>
              </w:rPr>
              <w:t>0</w:t>
            </w:r>
          </w:p>
        </w:tc>
      </w:tr>
      <w:tr w:rsidR="00492B87" w:rsidRPr="00214876" w14:paraId="212EAAE4" w14:textId="77777777" w:rsidTr="00BB20E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4BE55B84" w14:textId="77777777" w:rsidR="00492B87" w:rsidRPr="00214876" w:rsidRDefault="00492B87" w:rsidP="00BB20EB">
            <w:pPr>
              <w:spacing w:before="120" w:after="120"/>
              <w:rPr>
                <w:b w:val="0"/>
                <w:noProof/>
              </w:rPr>
            </w:pPr>
            <w:r w:rsidRPr="00214876">
              <w:rPr>
                <w:rFonts w:cs="Calibri"/>
                <w:noProof/>
                <w:color w:val="000000"/>
              </w:rPr>
              <w:t>NextGenerationEU</w:t>
            </w:r>
          </w:p>
        </w:tc>
        <w:tc>
          <w:tcPr>
            <w:tcW w:w="2610" w:type="dxa"/>
            <w:vAlign w:val="bottom"/>
          </w:tcPr>
          <w:p w14:paraId="38F4C4CC" w14:textId="13536AD8" w:rsidR="00492B87" w:rsidRPr="00214876" w:rsidRDefault="00492B87" w:rsidP="00BB20EB">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B93143">
              <w:rPr>
                <w:rFonts w:cs="Calibri"/>
                <w:noProof/>
                <w:color w:val="000000"/>
              </w:rPr>
              <w:t>0</w:t>
            </w:r>
          </w:p>
        </w:tc>
      </w:tr>
      <w:tr w:rsidR="00492B87" w:rsidRPr="00214876" w14:paraId="03DAF0F4" w14:textId="77777777" w:rsidTr="00BB20EB">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165EAC12" w14:textId="77777777" w:rsidR="00492B87" w:rsidRPr="00214876" w:rsidRDefault="00492B87" w:rsidP="00BB20EB">
            <w:pPr>
              <w:spacing w:before="120" w:after="120"/>
              <w:rPr>
                <w:b w:val="0"/>
                <w:noProof/>
              </w:rPr>
            </w:pPr>
            <w:r w:rsidRPr="00807AC3">
              <w:rPr>
                <w:noProof/>
              </w:rPr>
              <w:t>Decommitments made available again</w:t>
            </w:r>
            <w:r>
              <w:rPr>
                <w:rFonts w:ascii="Calibri" w:hAnsi="Calibri" w:cs="Calibri"/>
                <w:noProof/>
                <w:color w:val="000000"/>
              </w:rPr>
              <w:t> (</w:t>
            </w:r>
            <w:r w:rsidRPr="00214876">
              <w:rPr>
                <w:rFonts w:cs="Calibri"/>
                <w:noProof/>
                <w:color w:val="000000"/>
              </w:rPr>
              <w:t>*</w:t>
            </w:r>
            <w:r>
              <w:rPr>
                <w:rFonts w:cs="Calibri"/>
                <w:noProof/>
                <w:color w:val="000000"/>
              </w:rPr>
              <w:t>)</w:t>
            </w:r>
          </w:p>
        </w:tc>
        <w:tc>
          <w:tcPr>
            <w:tcW w:w="2610" w:type="dxa"/>
            <w:vAlign w:val="bottom"/>
          </w:tcPr>
          <w:p w14:paraId="48FBEDB4" w14:textId="0236A4A8" w:rsidR="00492B87" w:rsidRPr="00214876" w:rsidRDefault="00492B87" w:rsidP="00BB20EB">
            <w:pPr>
              <w:spacing w:before="120" w:after="120"/>
              <w:jc w:val="center"/>
              <w:cnfStyle w:val="000000000000" w:firstRow="0" w:lastRow="0" w:firstColumn="0" w:lastColumn="0" w:oddVBand="0" w:evenVBand="0" w:oddHBand="0" w:evenHBand="0" w:firstRowFirstColumn="0" w:firstRowLastColumn="0" w:lastRowFirstColumn="0" w:lastRowLastColumn="0"/>
              <w:rPr>
                <w:noProof/>
              </w:rPr>
            </w:pPr>
            <w:r w:rsidRPr="00B93143">
              <w:rPr>
                <w:rFonts w:cs="Calibri"/>
                <w:noProof/>
                <w:color w:val="000000"/>
              </w:rPr>
              <w:t>0</w:t>
            </w:r>
          </w:p>
        </w:tc>
      </w:tr>
      <w:tr w:rsidR="00492B87" w:rsidRPr="00214876" w14:paraId="3A6AAD87" w14:textId="77777777" w:rsidTr="00BB20E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015A7CF6" w14:textId="77777777" w:rsidR="00492B87" w:rsidRPr="00214876" w:rsidRDefault="00492B87" w:rsidP="00BB20EB">
            <w:pPr>
              <w:spacing w:before="120" w:after="120"/>
              <w:rPr>
                <w:noProof/>
              </w:rPr>
            </w:pPr>
            <w:r w:rsidRPr="00214876">
              <w:rPr>
                <w:rFonts w:cs="Calibri"/>
                <w:noProof/>
                <w:color w:val="000000"/>
              </w:rPr>
              <w:t>Contributions from other countries and entities</w:t>
            </w:r>
          </w:p>
        </w:tc>
        <w:tc>
          <w:tcPr>
            <w:tcW w:w="2610" w:type="dxa"/>
            <w:vAlign w:val="bottom"/>
          </w:tcPr>
          <w:p w14:paraId="0778A550" w14:textId="05577FC0" w:rsidR="00492B87" w:rsidRPr="00214876" w:rsidRDefault="00492B87" w:rsidP="00BB20EB">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B93143">
              <w:rPr>
                <w:rFonts w:cs="Calibri"/>
                <w:noProof/>
                <w:color w:val="000000"/>
              </w:rPr>
              <w:t>0</w:t>
            </w:r>
            <w:r>
              <w:rPr>
                <w:rFonts w:cs="Calibri"/>
                <w:noProof/>
                <w:color w:val="000000"/>
              </w:rPr>
              <w:t>.</w:t>
            </w:r>
            <w:r w:rsidRPr="00B93143">
              <w:rPr>
                <w:rFonts w:cs="Calibri"/>
                <w:noProof/>
                <w:color w:val="000000"/>
              </w:rPr>
              <w:t>6</w:t>
            </w:r>
          </w:p>
        </w:tc>
      </w:tr>
      <w:tr w:rsidR="00492B87" w:rsidRPr="00214876" w14:paraId="141D6206" w14:textId="77777777" w:rsidTr="00BB20EB">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CFCFC" w:themeFill="background2" w:themeFillTint="33"/>
            <w:vAlign w:val="bottom"/>
          </w:tcPr>
          <w:p w14:paraId="298FF39E" w14:textId="77777777" w:rsidR="00492B87" w:rsidRPr="00214876" w:rsidRDefault="00492B87" w:rsidP="00BB20EB">
            <w:pPr>
              <w:spacing w:before="120" w:after="120"/>
              <w:rPr>
                <w:noProof/>
              </w:rPr>
            </w:pPr>
            <w:r>
              <w:rPr>
                <w:rFonts w:cs="Calibri"/>
                <w:noProof/>
                <w:color w:val="000000"/>
              </w:rPr>
              <w:t>T</w:t>
            </w:r>
            <w:r w:rsidRPr="00214876">
              <w:rPr>
                <w:rFonts w:cs="Calibri"/>
                <w:noProof/>
                <w:color w:val="000000"/>
              </w:rPr>
              <w:t>otal budget</w:t>
            </w:r>
            <w:r>
              <w:rPr>
                <w:rFonts w:cs="Calibri"/>
                <w:noProof/>
                <w:color w:val="000000"/>
              </w:rPr>
              <w:t xml:space="preserve"> for</w:t>
            </w:r>
            <w:r w:rsidRPr="00214876">
              <w:rPr>
                <w:rFonts w:cs="Calibri"/>
                <w:noProof/>
                <w:color w:val="000000"/>
              </w:rPr>
              <w:t xml:space="preserve"> 2021-2027</w:t>
            </w:r>
          </w:p>
        </w:tc>
        <w:tc>
          <w:tcPr>
            <w:tcW w:w="2610" w:type="dxa"/>
            <w:shd w:val="clear" w:color="auto" w:fill="FCFCFC" w:themeFill="background2" w:themeFillTint="33"/>
            <w:vAlign w:val="bottom"/>
          </w:tcPr>
          <w:p w14:paraId="1281AED8" w14:textId="77777777" w:rsidR="00492B87" w:rsidRPr="00214876" w:rsidRDefault="00492B87" w:rsidP="00BB20EB">
            <w:pPr>
              <w:spacing w:before="120" w:after="120"/>
              <w:jc w:val="center"/>
              <w:cnfStyle w:val="000000000000" w:firstRow="0" w:lastRow="0" w:firstColumn="0" w:lastColumn="0" w:oddVBand="0" w:evenVBand="0" w:oddHBand="0" w:evenHBand="0" w:firstRowFirstColumn="0" w:firstRowLastColumn="0" w:lastRowFirstColumn="0" w:lastRowLastColumn="0"/>
              <w:rPr>
                <w:b/>
                <w:bCs/>
                <w:noProof/>
              </w:rPr>
            </w:pPr>
            <w:r w:rsidRPr="7B9159CC">
              <w:rPr>
                <w:rFonts w:cs="Calibri"/>
                <w:b/>
                <w:bCs/>
                <w:noProof/>
                <w:color w:val="000000"/>
              </w:rPr>
              <w:t>5</w:t>
            </w:r>
            <w:r>
              <w:rPr>
                <w:rFonts w:ascii="Calibri" w:hAnsi="Calibri" w:cs="Calibri"/>
                <w:b/>
                <w:bCs/>
                <w:noProof/>
                <w:color w:val="000000"/>
              </w:rPr>
              <w:t> </w:t>
            </w:r>
            <w:r w:rsidRPr="7B9159CC">
              <w:rPr>
                <w:rFonts w:cs="Calibri"/>
                <w:b/>
                <w:bCs/>
                <w:noProof/>
                <w:color w:val="000000"/>
              </w:rPr>
              <w:t>614.6</w:t>
            </w:r>
          </w:p>
        </w:tc>
      </w:tr>
    </w:tbl>
    <w:p w14:paraId="46463395" w14:textId="77777777" w:rsidR="00492B87" w:rsidRPr="00663750" w:rsidRDefault="00492B87" w:rsidP="00492B87">
      <w:pPr>
        <w:tabs>
          <w:tab w:val="left" w:pos="6793"/>
        </w:tabs>
        <w:rPr>
          <w:noProof/>
          <w:sz w:val="18"/>
          <w:szCs w:val="18"/>
          <w:lang w:val="en-IE"/>
        </w:rPr>
      </w:pPr>
      <w:r w:rsidRPr="00663750">
        <w:rPr>
          <w:noProof/>
          <w:sz w:val="18"/>
          <w:szCs w:val="18"/>
          <w:lang w:val="en-IE"/>
        </w:rPr>
        <w:t>(*) Only Article 15(3) of the financial regulation.</w:t>
      </w:r>
    </w:p>
    <w:p w14:paraId="0E35A5D6" w14:textId="77777777" w:rsidR="00492B87" w:rsidRPr="00040D99" w:rsidRDefault="00492B87" w:rsidP="00492B87">
      <w:pPr>
        <w:pStyle w:val="FootnoteText"/>
        <w:rPr>
          <w:noProof/>
        </w:rPr>
      </w:pPr>
    </w:p>
    <w:p w14:paraId="03C297DD" w14:textId="77777777" w:rsidR="00755628" w:rsidRPr="00A21051" w:rsidRDefault="00755628" w:rsidP="00755628">
      <w:pPr>
        <w:pStyle w:val="ppoHeading5"/>
        <w:rPr>
          <w:noProof/>
          <w:lang w:val="en-IE"/>
        </w:rPr>
      </w:pPr>
      <w:r w:rsidRPr="00A21051">
        <w:rPr>
          <w:noProof/>
          <w:lang w:val="en-IE"/>
        </w:rPr>
        <w:t>Rationale and design of the programme</w:t>
      </w:r>
    </w:p>
    <w:p w14:paraId="3B27B9E4" w14:textId="26C80132" w:rsidR="00492B87" w:rsidRDefault="00492B87" w:rsidP="00492B87">
      <w:pPr>
        <w:spacing w:after="120"/>
        <w:rPr>
          <w:rFonts w:eastAsiaTheme="minorEastAsia"/>
          <w:noProof/>
        </w:rPr>
      </w:pPr>
      <w:r>
        <w:rPr>
          <w:rFonts w:eastAsiaTheme="minorEastAsia"/>
          <w:noProof/>
        </w:rPr>
        <w:t>The ITER-related EU action supports the construction and assembly of ITER, which will be the first experimental device to test the feasibility of fusion as a future source of energy.</w:t>
      </w:r>
    </w:p>
    <w:p w14:paraId="7E132DAD" w14:textId="77777777" w:rsidR="00492B87" w:rsidRPr="00040D99" w:rsidRDefault="00492B87" w:rsidP="00492B87">
      <w:pPr>
        <w:pStyle w:val="ppoHeading6"/>
        <w:rPr>
          <w:noProof/>
        </w:rPr>
      </w:pPr>
      <w:bookmarkStart w:id="35" w:name="_Toc94522846"/>
      <w:r w:rsidRPr="00040D99">
        <w:rPr>
          <w:noProof/>
        </w:rPr>
        <w:t>Challenge</w:t>
      </w:r>
      <w:bookmarkEnd w:id="35"/>
    </w:p>
    <w:p w14:paraId="40CC3B7C" w14:textId="77777777" w:rsidR="00492B87" w:rsidRDefault="00492B87" w:rsidP="00492B87">
      <w:pPr>
        <w:rPr>
          <w:noProof/>
        </w:rPr>
      </w:pPr>
      <w:r>
        <w:rPr>
          <w:noProof/>
        </w:rPr>
        <w:t>ITER is being built in Saint-Paul-lès-Durance (France) to prove the scientific and technological feasibility of fusion as a future source of sustainable energy, which would be a major contribution to the EU’s long-term goal of decarbonising the energy system.</w:t>
      </w:r>
    </w:p>
    <w:p w14:paraId="7612E4C7" w14:textId="77777777" w:rsidR="00492B87" w:rsidRDefault="00492B87" w:rsidP="00492B87">
      <w:pPr>
        <w:rPr>
          <w:noProof/>
        </w:rPr>
      </w:pPr>
      <w:r>
        <w:rPr>
          <w:noProof/>
        </w:rPr>
        <w:t>The risk, costs, and long-term nature of a large research project such as ITER put it beyond the reach of individual EU Member States and call for action at the EU level and beyond. A global framework has been established among seven international partners (Euratom, China, India, Japan, South Korea, Russia and the United Stated</w:t>
      </w:r>
      <w:r>
        <w:rPr>
          <w:rFonts w:ascii="Calibri" w:hAnsi="Calibri" w:cs="Calibri"/>
          <w:noProof/>
        </w:rPr>
        <w:t> </w:t>
      </w:r>
      <w:r>
        <w:rPr>
          <w:noProof/>
        </w:rPr>
        <w:t>– representing more than half of the world’s population) to support ITER’s construction, which started in 2007. Euratom provides 45.45% of all components and cash contributions to the ITER Organization through the European Joint Undertaking for ITER and the Development of Fusion Energy.</w:t>
      </w:r>
    </w:p>
    <w:p w14:paraId="4DDF933D" w14:textId="77777777" w:rsidR="00492B87" w:rsidRPr="00040D99" w:rsidRDefault="00492B87" w:rsidP="00492B87">
      <w:pPr>
        <w:pStyle w:val="ppoHeading6"/>
        <w:jc w:val="both"/>
        <w:rPr>
          <w:noProof/>
        </w:rPr>
      </w:pPr>
      <w:r w:rsidRPr="00040D99">
        <w:rPr>
          <w:noProof/>
        </w:rPr>
        <w:t>Mission</w:t>
      </w:r>
    </w:p>
    <w:p w14:paraId="15206933" w14:textId="77777777" w:rsidR="00492B87" w:rsidRDefault="00492B87" w:rsidP="00492B87">
      <w:pPr>
        <w:rPr>
          <w:noProof/>
        </w:rPr>
      </w:pPr>
      <w:r>
        <w:rPr>
          <w:noProof/>
        </w:rPr>
        <w:t>The general objective of the ITER-related EU action in the 2021-2027 multiannual financial framework is to fully support the continuation of ITER’s construction to reach the first experimental operations and to continue further installations and upgrades laying grounds for successful full-power operation by 2035.</w:t>
      </w:r>
    </w:p>
    <w:p w14:paraId="17707B6F" w14:textId="77777777" w:rsidR="00492B87" w:rsidRDefault="00492B87" w:rsidP="00492B87">
      <w:pPr>
        <w:rPr>
          <w:noProof/>
        </w:rPr>
      </w:pPr>
      <w:r>
        <w:rPr>
          <w:noProof/>
        </w:rPr>
        <w:t>Europe’s support to ITER and to other activities related to ITER, such as the ‘broader approach’ activities with Japan, contributes to the strategic agenda of the EU for clean and secure energy. ITER is stimulating the European industrial investment in new advanced technologies for the components of the facility and in advanced civil engineering for its construction.</w:t>
      </w:r>
    </w:p>
    <w:p w14:paraId="513C03C0" w14:textId="77777777" w:rsidR="00492B87" w:rsidRDefault="00492B87" w:rsidP="00492B87">
      <w:pPr>
        <w:pStyle w:val="ppoHeading6"/>
        <w:jc w:val="both"/>
        <w:rPr>
          <w:noProof/>
        </w:rPr>
      </w:pPr>
      <w:bookmarkStart w:id="36" w:name="_Toc94522849"/>
      <w:r>
        <w:rPr>
          <w:noProof/>
        </w:rPr>
        <w:t>OBJECTIVES</w:t>
      </w:r>
    </w:p>
    <w:p w14:paraId="0668BFF5" w14:textId="77777777" w:rsidR="00492B87" w:rsidRDefault="00492B87" w:rsidP="00492B87">
      <w:pPr>
        <w:rPr>
          <w:noProof/>
        </w:rPr>
      </w:pPr>
      <w:r>
        <w:rPr>
          <w:noProof/>
        </w:rPr>
        <w:t>The EU’s participation to ITER pursues five specific objectives:</w:t>
      </w:r>
    </w:p>
    <w:p w14:paraId="7B98E05C" w14:textId="77777777" w:rsidR="00492B87" w:rsidRPr="00DD260F" w:rsidRDefault="00492B87" w:rsidP="00492B87">
      <w:pPr>
        <w:pStyle w:val="ppoListHyphened-L1"/>
        <w:jc w:val="both"/>
        <w:rPr>
          <w:noProof/>
        </w:rPr>
      </w:pPr>
      <w:r>
        <w:rPr>
          <w:noProof/>
        </w:rPr>
        <w:t>to p</w:t>
      </w:r>
      <w:r w:rsidRPr="00DD260F">
        <w:rPr>
          <w:noProof/>
        </w:rPr>
        <w:t xml:space="preserve">rovide sufficient performance-based funding to </w:t>
      </w:r>
      <w:r>
        <w:rPr>
          <w:noProof/>
        </w:rPr>
        <w:t xml:space="preserve">the </w:t>
      </w:r>
      <w:r w:rsidRPr="00DD260F">
        <w:rPr>
          <w:noProof/>
        </w:rPr>
        <w:t>ITER Organi</w:t>
      </w:r>
      <w:r>
        <w:rPr>
          <w:noProof/>
        </w:rPr>
        <w:t>z</w:t>
      </w:r>
      <w:r w:rsidRPr="00DD260F">
        <w:rPr>
          <w:noProof/>
        </w:rPr>
        <w:t>ation for its operations, particularly the assembly of the installation from the components arriving from individual ITER members</w:t>
      </w:r>
      <w:r>
        <w:rPr>
          <w:noProof/>
        </w:rPr>
        <w:t>;</w:t>
      </w:r>
    </w:p>
    <w:p w14:paraId="32E418C4" w14:textId="77777777" w:rsidR="00492B87" w:rsidRPr="00DD260F" w:rsidRDefault="00492B87" w:rsidP="00492B87">
      <w:pPr>
        <w:pStyle w:val="ppoListHyphened-L1"/>
        <w:jc w:val="both"/>
        <w:rPr>
          <w:noProof/>
        </w:rPr>
      </w:pPr>
      <w:r>
        <w:rPr>
          <w:noProof/>
        </w:rPr>
        <w:t>To e</w:t>
      </w:r>
      <w:r w:rsidRPr="00DD260F">
        <w:rPr>
          <w:noProof/>
        </w:rPr>
        <w:t xml:space="preserve">nsure </w:t>
      </w:r>
      <w:r>
        <w:rPr>
          <w:noProof/>
        </w:rPr>
        <w:t xml:space="preserve">the </w:t>
      </w:r>
      <w:r w:rsidRPr="00DD260F">
        <w:rPr>
          <w:noProof/>
        </w:rPr>
        <w:t>delivery of EU components by</w:t>
      </w:r>
      <w:r>
        <w:rPr>
          <w:noProof/>
        </w:rPr>
        <w:t xml:space="preserve"> the</w:t>
      </w:r>
      <w:r w:rsidRPr="00DD260F">
        <w:rPr>
          <w:noProof/>
        </w:rPr>
        <w:t xml:space="preserve"> </w:t>
      </w:r>
      <w:r>
        <w:rPr>
          <w:noProof/>
        </w:rPr>
        <w:t xml:space="preserve">Fusion for Energy Joint Undertaking </w:t>
      </w:r>
      <w:r w:rsidRPr="00DD260F">
        <w:rPr>
          <w:noProof/>
        </w:rPr>
        <w:t>in line with the project</w:t>
      </w:r>
      <w:r>
        <w:rPr>
          <w:noProof/>
        </w:rPr>
        <w:t>’s</w:t>
      </w:r>
      <w:r w:rsidRPr="00DD260F">
        <w:rPr>
          <w:noProof/>
        </w:rPr>
        <w:t xml:space="preserve"> schedule and strategies, in particular its construction and assembly strategies</w:t>
      </w:r>
      <w:r>
        <w:rPr>
          <w:noProof/>
        </w:rPr>
        <w:t>;</w:t>
      </w:r>
    </w:p>
    <w:p w14:paraId="7396EE0B" w14:textId="77777777" w:rsidR="00492B87" w:rsidRPr="00DD260F" w:rsidRDefault="00492B87" w:rsidP="00492B87">
      <w:pPr>
        <w:pStyle w:val="ppoListHyphened-L1"/>
        <w:jc w:val="both"/>
        <w:rPr>
          <w:noProof/>
        </w:rPr>
      </w:pPr>
      <w:r>
        <w:rPr>
          <w:noProof/>
        </w:rPr>
        <w:t>to o</w:t>
      </w:r>
      <w:r w:rsidRPr="00DD260F">
        <w:rPr>
          <w:noProof/>
        </w:rPr>
        <w:t xml:space="preserve">ffer European high-tech industries and </w:t>
      </w:r>
      <w:r>
        <w:rPr>
          <w:noProof/>
        </w:rPr>
        <w:t>small and medium-sized enterprises</w:t>
      </w:r>
      <w:r w:rsidRPr="00DD260F">
        <w:rPr>
          <w:noProof/>
        </w:rPr>
        <w:t xml:space="preserve"> a valuable opportunity to innovate and develop </w:t>
      </w:r>
      <w:r>
        <w:rPr>
          <w:noProof/>
        </w:rPr>
        <w:t>‘</w:t>
      </w:r>
      <w:r w:rsidRPr="00DD260F">
        <w:rPr>
          <w:noProof/>
        </w:rPr>
        <w:t>spin</w:t>
      </w:r>
      <w:r>
        <w:rPr>
          <w:rFonts w:ascii="Calibri" w:hAnsi="Calibri" w:cs="Calibri"/>
          <w:noProof/>
        </w:rPr>
        <w:t>-</w:t>
      </w:r>
      <w:r w:rsidRPr="00DD260F">
        <w:rPr>
          <w:noProof/>
        </w:rPr>
        <w:t>off</w:t>
      </w:r>
      <w:r>
        <w:rPr>
          <w:noProof/>
        </w:rPr>
        <w:t>’</w:t>
      </w:r>
      <w:r w:rsidRPr="00DD260F">
        <w:rPr>
          <w:noProof/>
        </w:rPr>
        <w:t xml:space="preserve"> products for exploitation outside fusion</w:t>
      </w:r>
      <w:r>
        <w:rPr>
          <w:noProof/>
        </w:rPr>
        <w:t>;</w:t>
      </w:r>
    </w:p>
    <w:p w14:paraId="003709D8" w14:textId="77777777" w:rsidR="00492B87" w:rsidRDefault="00492B87" w:rsidP="00492B87">
      <w:pPr>
        <w:pStyle w:val="ppoListHyphened-L1"/>
        <w:jc w:val="both"/>
        <w:rPr>
          <w:noProof/>
        </w:rPr>
      </w:pPr>
      <w:r>
        <w:rPr>
          <w:noProof/>
        </w:rPr>
        <w:t>to s</w:t>
      </w:r>
      <w:r w:rsidRPr="00DD260F">
        <w:rPr>
          <w:noProof/>
        </w:rPr>
        <w:t xml:space="preserve">ecure continued EU leadership </w:t>
      </w:r>
      <w:r>
        <w:rPr>
          <w:noProof/>
        </w:rPr>
        <w:t>in the project by ensuring the timely delivery of EU components and active participation in ITER governance processes;</w:t>
      </w:r>
    </w:p>
    <w:p w14:paraId="5A816208" w14:textId="77777777" w:rsidR="00492B87" w:rsidRPr="00025F27" w:rsidRDefault="00492B87" w:rsidP="00492B87">
      <w:pPr>
        <w:pStyle w:val="ppoListHyphened-L1"/>
        <w:jc w:val="both"/>
        <w:rPr>
          <w:noProof/>
        </w:rPr>
      </w:pPr>
      <w:r>
        <w:rPr>
          <w:noProof/>
        </w:rPr>
        <w:t>to c</w:t>
      </w:r>
      <w:r w:rsidRPr="004B763A">
        <w:rPr>
          <w:noProof/>
        </w:rPr>
        <w:t>ontinue activities with Japan (</w:t>
      </w:r>
      <w:r>
        <w:rPr>
          <w:noProof/>
        </w:rPr>
        <w:t>‘broader approach’</w:t>
      </w:r>
      <w:r w:rsidRPr="004B763A">
        <w:rPr>
          <w:noProof/>
        </w:rPr>
        <w:t>) on the satellite tokamak JT</w:t>
      </w:r>
      <w:r>
        <w:rPr>
          <w:noProof/>
        </w:rPr>
        <w:noBreakHyphen/>
      </w:r>
      <w:r w:rsidRPr="004B763A">
        <w:rPr>
          <w:noProof/>
        </w:rPr>
        <w:t>60SA</w:t>
      </w:r>
      <w:r>
        <w:rPr>
          <w:noProof/>
        </w:rPr>
        <w:t xml:space="preserve"> operation</w:t>
      </w:r>
      <w:r w:rsidRPr="004B763A">
        <w:rPr>
          <w:noProof/>
        </w:rPr>
        <w:t xml:space="preserve"> and on the development of a full-scale material testing facility (</w:t>
      </w:r>
      <w:r w:rsidRPr="00663750">
        <w:rPr>
          <w:noProof/>
        </w:rPr>
        <w:t>International Fusion Materials Irradiation Facility</w:t>
      </w:r>
      <w:r w:rsidRPr="00663750">
        <w:rPr>
          <w:rFonts w:ascii="Calibri" w:hAnsi="Calibri" w:cs="Calibri"/>
          <w:noProof/>
        </w:rPr>
        <w:t> </w:t>
      </w:r>
      <w:r w:rsidRPr="00663750">
        <w:rPr>
          <w:noProof/>
        </w:rPr>
        <w:t>/</w:t>
      </w:r>
      <w:r w:rsidRPr="00663750">
        <w:rPr>
          <w:rFonts w:ascii="Calibri" w:hAnsi="Calibri" w:cs="Calibri"/>
          <w:noProof/>
        </w:rPr>
        <w:t> </w:t>
      </w:r>
      <w:r w:rsidRPr="00663750">
        <w:rPr>
          <w:noProof/>
        </w:rPr>
        <w:t>DEMO Oriented Neutron Source.</w:t>
      </w:r>
      <w:r w:rsidRPr="004B763A">
        <w:rPr>
          <w:noProof/>
        </w:rPr>
        <w:t>) to ensure that all technical and scientific elements needed for the design of a fusion-based power generation device for demonstration are in place</w:t>
      </w:r>
      <w:r>
        <w:rPr>
          <w:noProof/>
        </w:rPr>
        <w:t>.</w:t>
      </w:r>
    </w:p>
    <w:p w14:paraId="309AC073" w14:textId="77777777" w:rsidR="00492B87" w:rsidRDefault="00492B87" w:rsidP="00492B87">
      <w:pPr>
        <w:pStyle w:val="ppoListHyphened-L1"/>
        <w:numPr>
          <w:ilvl w:val="0"/>
          <w:numId w:val="0"/>
        </w:numPr>
        <w:ind w:left="357" w:hanging="357"/>
        <w:jc w:val="both"/>
        <w:rPr>
          <w:noProof/>
        </w:rPr>
      </w:pPr>
    </w:p>
    <w:p w14:paraId="3BD5C116" w14:textId="77777777" w:rsidR="00492B87" w:rsidRPr="00040D99" w:rsidRDefault="00492B87" w:rsidP="00492B87">
      <w:pPr>
        <w:pStyle w:val="ppoHeading6"/>
        <w:jc w:val="both"/>
        <w:rPr>
          <w:noProof/>
        </w:rPr>
      </w:pPr>
      <w:r w:rsidRPr="00040D99">
        <w:rPr>
          <w:noProof/>
        </w:rPr>
        <w:t>Actions</w:t>
      </w:r>
      <w:bookmarkEnd w:id="36"/>
    </w:p>
    <w:p w14:paraId="125D4382" w14:textId="77777777" w:rsidR="00492B87" w:rsidRDefault="00492B87" w:rsidP="00492B87">
      <w:pPr>
        <w:rPr>
          <w:noProof/>
        </w:rPr>
      </w:pPr>
      <w:r>
        <w:rPr>
          <w:noProof/>
        </w:rPr>
        <w:t>The programme covers the EU’s contribution to the ITER Organization, both in cash and in kind, for the construction of the ITER facility, which includes the procurement of equipment, installation, general, technical and administrative support for the construction phase and participation in commissioning and operations.</w:t>
      </w:r>
    </w:p>
    <w:p w14:paraId="1EF395E4" w14:textId="77777777" w:rsidR="00492B87" w:rsidRDefault="00492B87" w:rsidP="00492B87">
      <w:pPr>
        <w:rPr>
          <w:noProof/>
        </w:rPr>
      </w:pPr>
      <w:r>
        <w:rPr>
          <w:noProof/>
        </w:rPr>
        <w:t>The programme also covers other ITER-related activities, such as the ‘broader approach’ activities with Japan.</w:t>
      </w:r>
    </w:p>
    <w:p w14:paraId="01CA0022" w14:textId="77777777" w:rsidR="00492B87" w:rsidRDefault="00492B87" w:rsidP="00492B87">
      <w:pPr>
        <w:rPr>
          <w:noProof/>
        </w:rPr>
      </w:pPr>
      <w:r>
        <w:rPr>
          <w:noProof/>
        </w:rPr>
        <w:t>These contributions are delivered through the Fusion for Energy Joint Undertaking, the European domestic agency for ITER, located in Barcelona (Spain).</w:t>
      </w:r>
    </w:p>
    <w:p w14:paraId="3D73C396" w14:textId="77777777" w:rsidR="00492B87" w:rsidRPr="00040D99" w:rsidRDefault="00492B87" w:rsidP="00492B87">
      <w:pPr>
        <w:pStyle w:val="ppoHeading6"/>
        <w:jc w:val="both"/>
        <w:rPr>
          <w:noProof/>
        </w:rPr>
      </w:pPr>
      <w:bookmarkStart w:id="37" w:name="_Toc94522850"/>
      <w:r w:rsidRPr="00040D99">
        <w:rPr>
          <w:noProof/>
        </w:rPr>
        <w:t>Delivery mode</w:t>
      </w:r>
      <w:bookmarkEnd w:id="37"/>
    </w:p>
    <w:p w14:paraId="1D2323EB" w14:textId="77777777" w:rsidR="00492B87" w:rsidRDefault="00492B87" w:rsidP="00492B87">
      <w:pPr>
        <w:rPr>
          <w:noProof/>
        </w:rPr>
      </w:pPr>
      <w:r>
        <w:rPr>
          <w:noProof/>
        </w:rPr>
        <w:t>Indirect management is entrusted to the Joint Undertaking for ITER and the Development of Fusion for Energy.</w:t>
      </w:r>
    </w:p>
    <w:p w14:paraId="6825B15B" w14:textId="77777777" w:rsidR="00492B87" w:rsidRPr="00040D99" w:rsidRDefault="00492B87" w:rsidP="00492B87">
      <w:pPr>
        <w:pStyle w:val="ppoHeading6"/>
        <w:jc w:val="both"/>
        <w:rPr>
          <w:noProof/>
        </w:rPr>
      </w:pPr>
      <w:bookmarkStart w:id="38" w:name="_Toc94522852"/>
      <w:r>
        <w:rPr>
          <w:noProof/>
        </w:rPr>
        <w:t>LINK TO THE 2014-2020 Multiannual financial framework</w:t>
      </w:r>
    </w:p>
    <w:p w14:paraId="0911D8BD" w14:textId="77777777" w:rsidR="00492B87" w:rsidRDefault="00492B87" w:rsidP="00492B87">
      <w:pPr>
        <w:rPr>
          <w:noProof/>
        </w:rPr>
      </w:pPr>
      <w:r>
        <w:rPr>
          <w:noProof/>
        </w:rPr>
        <w:t>The programme is a continuation of its 2014-2020 multiannual financial framework predecessor. The budget of the programme has almost doubled.</w:t>
      </w:r>
    </w:p>
    <w:p w14:paraId="0CB474A0" w14:textId="77777777" w:rsidR="00492B87" w:rsidRPr="00040D99" w:rsidRDefault="00492B87" w:rsidP="00492B87">
      <w:pPr>
        <w:pStyle w:val="ppoHeading6"/>
        <w:rPr>
          <w:noProof/>
        </w:rPr>
      </w:pPr>
      <w:r w:rsidRPr="00040D99">
        <w:rPr>
          <w:noProof/>
        </w:rPr>
        <w:t>Impact assessment</w:t>
      </w:r>
    </w:p>
    <w:p w14:paraId="01EAC6D1" w14:textId="77777777" w:rsidR="00492B87" w:rsidRDefault="00492B87" w:rsidP="00492B87">
      <w:pPr>
        <w:rPr>
          <w:noProof/>
        </w:rPr>
      </w:pPr>
      <w:r>
        <w:rPr>
          <w:noProof/>
        </w:rPr>
        <w:t xml:space="preserve">The </w:t>
      </w:r>
      <w:r w:rsidRPr="00663750">
        <w:rPr>
          <w:i/>
          <w:iCs/>
          <w:noProof/>
        </w:rPr>
        <w:t>ex</w:t>
      </w:r>
      <w:r>
        <w:rPr>
          <w:rFonts w:ascii="Cambria Math" w:hAnsi="Cambria Math" w:cs="Cambria Math"/>
          <w:i/>
          <w:iCs/>
          <w:noProof/>
        </w:rPr>
        <w:t xml:space="preserve"> </w:t>
      </w:r>
      <w:r w:rsidRPr="00663750">
        <w:rPr>
          <w:i/>
          <w:iCs/>
          <w:noProof/>
        </w:rPr>
        <w:t>ante</w:t>
      </w:r>
      <w:r>
        <w:rPr>
          <w:noProof/>
        </w:rPr>
        <w:t xml:space="preserve"> evaluation of ITER was adopted on 7</w:t>
      </w:r>
      <w:r>
        <w:rPr>
          <w:rFonts w:ascii="Calibri" w:hAnsi="Calibri" w:cs="Calibri"/>
          <w:noProof/>
        </w:rPr>
        <w:t> </w:t>
      </w:r>
      <w:r>
        <w:rPr>
          <w:noProof/>
        </w:rPr>
        <w:t>June 2018: SWD(2018) 325.</w:t>
      </w:r>
    </w:p>
    <w:p w14:paraId="26D9E53E" w14:textId="77777777" w:rsidR="00492B87" w:rsidRDefault="00492B87" w:rsidP="00492B87">
      <w:pPr>
        <w:pStyle w:val="ppoHeading6"/>
        <w:jc w:val="both"/>
        <w:rPr>
          <w:noProof/>
        </w:rPr>
      </w:pPr>
      <w:r>
        <w:rPr>
          <w:noProof/>
        </w:rPr>
        <w:t>WEBSITE FOR more information</w:t>
      </w:r>
    </w:p>
    <w:p w14:paraId="103C408A" w14:textId="77777777" w:rsidR="00492B87" w:rsidRDefault="00E01E9B" w:rsidP="00492B87">
      <w:pPr>
        <w:rPr>
          <w:noProof/>
        </w:rPr>
      </w:pPr>
      <w:hyperlink r:id="rId105" w:history="1">
        <w:r w:rsidR="00492B87" w:rsidRPr="00066651">
          <w:rPr>
            <w:rStyle w:val="Hyperlink"/>
            <w:noProof/>
          </w:rPr>
          <w:t>http://fusionforenergy.europa.eu/</w:t>
        </w:r>
      </w:hyperlink>
    </w:p>
    <w:p w14:paraId="72849D69" w14:textId="77777777" w:rsidR="00492B87" w:rsidRPr="006E1215" w:rsidRDefault="00E01E9B" w:rsidP="00492B87">
      <w:pPr>
        <w:rPr>
          <w:noProof/>
          <w:lang w:val="it-IT"/>
        </w:rPr>
      </w:pPr>
      <w:hyperlink r:id="rId106" w:history="1">
        <w:r w:rsidR="00492B87" w:rsidRPr="00066651">
          <w:rPr>
            <w:rStyle w:val="Hyperlink"/>
            <w:noProof/>
            <w:lang w:val="it-IT"/>
          </w:rPr>
          <w:t>https://www.iter.org/</w:t>
        </w:r>
      </w:hyperlink>
    </w:p>
    <w:p w14:paraId="6497B696" w14:textId="77777777" w:rsidR="00492B87" w:rsidRPr="006E1215" w:rsidRDefault="00492B87" w:rsidP="00492B87">
      <w:pPr>
        <w:pStyle w:val="ppoHeading5"/>
        <w:jc w:val="both"/>
        <w:rPr>
          <w:noProof/>
          <w:lang w:val="it-IT"/>
        </w:rPr>
      </w:pPr>
      <w:r w:rsidRPr="006E1215">
        <w:rPr>
          <w:rFonts w:eastAsiaTheme="minorEastAsia"/>
          <w:noProof/>
          <w:lang w:val="it-IT"/>
        </w:rPr>
        <w:t xml:space="preserve">Legal </w:t>
      </w:r>
      <w:r>
        <w:rPr>
          <w:rFonts w:eastAsiaTheme="minorEastAsia"/>
          <w:noProof/>
          <w:lang w:val="it-IT"/>
        </w:rPr>
        <w:t>b</w:t>
      </w:r>
      <w:r w:rsidRPr="006E1215">
        <w:rPr>
          <w:rFonts w:eastAsiaTheme="minorEastAsia"/>
          <w:noProof/>
          <w:lang w:val="it-IT"/>
        </w:rPr>
        <w:t>as</w:t>
      </w:r>
      <w:r>
        <w:rPr>
          <w:rFonts w:eastAsiaTheme="minorEastAsia"/>
          <w:noProof/>
          <w:lang w:val="it-IT"/>
        </w:rPr>
        <w:t>is</w:t>
      </w:r>
      <w:bookmarkEnd w:id="38"/>
    </w:p>
    <w:p w14:paraId="2B4472A2" w14:textId="77777777" w:rsidR="00492B87" w:rsidRDefault="00492B87" w:rsidP="00492B87">
      <w:pPr>
        <w:rPr>
          <w:noProof/>
        </w:rPr>
      </w:pPr>
      <w:r w:rsidRPr="00C20217">
        <w:rPr>
          <w:noProof/>
        </w:rPr>
        <w:t>Council Decision (Euratom) 2021/281 of 22</w:t>
      </w:r>
      <w:r>
        <w:rPr>
          <w:rFonts w:ascii="Calibri" w:hAnsi="Calibri" w:cs="Calibri"/>
          <w:noProof/>
        </w:rPr>
        <w:t> </w:t>
      </w:r>
      <w:r w:rsidRPr="00C20217">
        <w:rPr>
          <w:noProof/>
        </w:rPr>
        <w:t>February 2021</w:t>
      </w:r>
      <w:r>
        <w:rPr>
          <w:noProof/>
        </w:rPr>
        <w:t>.</w:t>
      </w:r>
    </w:p>
    <w:p w14:paraId="7BEE7808" w14:textId="77777777" w:rsidR="00492B87" w:rsidRPr="00040D99" w:rsidRDefault="00492B87" w:rsidP="00492B87">
      <w:pPr>
        <w:pStyle w:val="ppoHeading4Orange"/>
        <w:rPr>
          <w:caps/>
          <w:noProof/>
        </w:rPr>
      </w:pPr>
      <w:bookmarkStart w:id="39" w:name="_Toc94522853"/>
      <w:r w:rsidRPr="00040D99">
        <w:rPr>
          <w:noProof/>
        </w:rPr>
        <w:t>Implementation and performance</w:t>
      </w:r>
      <w:bookmarkEnd w:id="39"/>
    </w:p>
    <w:p w14:paraId="067FBA2E" w14:textId="77777777" w:rsidR="00492B87" w:rsidRPr="00040D99" w:rsidRDefault="00492B87" w:rsidP="00492B87">
      <w:pPr>
        <w:pStyle w:val="ppoHeading5"/>
        <w:rPr>
          <w:noProof/>
        </w:rPr>
      </w:pPr>
      <w:bookmarkStart w:id="40" w:name="_Toc94522854"/>
      <w:r w:rsidRPr="00040D99">
        <w:rPr>
          <w:noProof/>
        </w:rPr>
        <w:t>Budget</w:t>
      </w:r>
      <w:bookmarkEnd w:id="40"/>
    </w:p>
    <w:p w14:paraId="6D162025" w14:textId="77777777" w:rsidR="00492B87" w:rsidRPr="00040D99" w:rsidRDefault="00492B87" w:rsidP="00492B87">
      <w:pPr>
        <w:pStyle w:val="ppoTableTabletitle"/>
        <w:rPr>
          <w:noProof/>
        </w:rPr>
      </w:pPr>
      <w:r w:rsidRPr="00807AC3">
        <w:rPr>
          <w:noProof/>
        </w:rPr>
        <w:t>Budget programming</w:t>
      </w:r>
      <w:r>
        <w:rPr>
          <w:noProof/>
        </w:rPr>
        <w:t xml:space="preserve"> (million</w:t>
      </w:r>
      <w:r w:rsidRPr="007D2ED3">
        <w:rPr>
          <w:noProof/>
        </w:rPr>
        <w:t xml:space="preserve"> </w:t>
      </w:r>
      <w:r>
        <w:rPr>
          <w:noProof/>
        </w:rPr>
        <w:t>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492B87" w:rsidRPr="00040D99" w14:paraId="54CF5CB3" w14:textId="77777777" w:rsidTr="00BB20EB">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04DC1671" w14:textId="77777777" w:rsidR="00492B87" w:rsidRPr="00807AC3" w:rsidRDefault="00492B87" w:rsidP="00BB20EB">
            <w:pPr>
              <w:rPr>
                <w:noProof/>
              </w:rPr>
            </w:pPr>
          </w:p>
        </w:tc>
        <w:tc>
          <w:tcPr>
            <w:tcW w:w="943" w:type="dxa"/>
            <w:noWrap/>
            <w:hideMark/>
          </w:tcPr>
          <w:p w14:paraId="0A55AF37" w14:textId="77777777" w:rsidR="00492B87" w:rsidRPr="00807AC3" w:rsidRDefault="00492B87" w:rsidP="00BB20EB">
            <w:pPr>
              <w:rPr>
                <w:noProof/>
              </w:rPr>
            </w:pPr>
            <w:r w:rsidRPr="00807AC3">
              <w:rPr>
                <w:noProof/>
              </w:rPr>
              <w:t>2021</w:t>
            </w:r>
          </w:p>
        </w:tc>
        <w:tc>
          <w:tcPr>
            <w:tcW w:w="944" w:type="dxa"/>
            <w:noWrap/>
            <w:hideMark/>
          </w:tcPr>
          <w:p w14:paraId="142F935F" w14:textId="77777777" w:rsidR="00492B87" w:rsidRPr="00807AC3" w:rsidRDefault="00492B87" w:rsidP="00BB20EB">
            <w:pPr>
              <w:rPr>
                <w:noProof/>
              </w:rPr>
            </w:pPr>
            <w:r w:rsidRPr="00807AC3">
              <w:rPr>
                <w:noProof/>
              </w:rPr>
              <w:t>2022</w:t>
            </w:r>
          </w:p>
        </w:tc>
        <w:tc>
          <w:tcPr>
            <w:tcW w:w="943" w:type="dxa"/>
            <w:noWrap/>
            <w:hideMark/>
          </w:tcPr>
          <w:p w14:paraId="00355472" w14:textId="77777777" w:rsidR="00492B87" w:rsidRPr="00807AC3" w:rsidRDefault="00492B87" w:rsidP="00BB20EB">
            <w:pPr>
              <w:rPr>
                <w:noProof/>
              </w:rPr>
            </w:pPr>
            <w:r w:rsidRPr="00807AC3">
              <w:rPr>
                <w:noProof/>
              </w:rPr>
              <w:t>2023</w:t>
            </w:r>
          </w:p>
        </w:tc>
        <w:tc>
          <w:tcPr>
            <w:tcW w:w="944" w:type="dxa"/>
            <w:noWrap/>
            <w:hideMark/>
          </w:tcPr>
          <w:p w14:paraId="18F53DFB" w14:textId="77777777" w:rsidR="00492B87" w:rsidRPr="00807AC3" w:rsidRDefault="00492B87" w:rsidP="00BB20EB">
            <w:pPr>
              <w:rPr>
                <w:noProof/>
              </w:rPr>
            </w:pPr>
            <w:r w:rsidRPr="00807AC3">
              <w:rPr>
                <w:noProof/>
              </w:rPr>
              <w:t>2024</w:t>
            </w:r>
          </w:p>
        </w:tc>
        <w:tc>
          <w:tcPr>
            <w:tcW w:w="944" w:type="dxa"/>
            <w:noWrap/>
            <w:hideMark/>
          </w:tcPr>
          <w:p w14:paraId="1357923E" w14:textId="77777777" w:rsidR="00492B87" w:rsidRPr="00807AC3" w:rsidRDefault="00492B87" w:rsidP="00BB20EB">
            <w:pPr>
              <w:rPr>
                <w:noProof/>
              </w:rPr>
            </w:pPr>
            <w:r w:rsidRPr="00807AC3">
              <w:rPr>
                <w:noProof/>
              </w:rPr>
              <w:t>2025</w:t>
            </w:r>
          </w:p>
        </w:tc>
        <w:tc>
          <w:tcPr>
            <w:tcW w:w="943" w:type="dxa"/>
            <w:noWrap/>
            <w:hideMark/>
          </w:tcPr>
          <w:p w14:paraId="2191FE04" w14:textId="77777777" w:rsidR="00492B87" w:rsidRPr="00807AC3" w:rsidRDefault="00492B87" w:rsidP="00BB20EB">
            <w:pPr>
              <w:rPr>
                <w:noProof/>
              </w:rPr>
            </w:pPr>
            <w:r w:rsidRPr="00807AC3">
              <w:rPr>
                <w:noProof/>
              </w:rPr>
              <w:t>2026</w:t>
            </w:r>
          </w:p>
        </w:tc>
        <w:tc>
          <w:tcPr>
            <w:tcW w:w="944" w:type="dxa"/>
            <w:noWrap/>
            <w:hideMark/>
          </w:tcPr>
          <w:p w14:paraId="78CAB2E7" w14:textId="77777777" w:rsidR="00492B87" w:rsidRPr="00807AC3" w:rsidRDefault="00492B87" w:rsidP="00BB20EB">
            <w:pPr>
              <w:rPr>
                <w:noProof/>
              </w:rPr>
            </w:pPr>
            <w:r w:rsidRPr="00807AC3">
              <w:rPr>
                <w:noProof/>
              </w:rPr>
              <w:t>2027</w:t>
            </w:r>
          </w:p>
        </w:tc>
        <w:tc>
          <w:tcPr>
            <w:tcW w:w="944" w:type="dxa"/>
            <w:noWrap/>
            <w:hideMark/>
          </w:tcPr>
          <w:p w14:paraId="133E36F7" w14:textId="77777777" w:rsidR="00492B87" w:rsidRPr="00807AC3" w:rsidRDefault="00492B87" w:rsidP="00BB20EB">
            <w:pPr>
              <w:rPr>
                <w:noProof/>
              </w:rPr>
            </w:pPr>
            <w:r w:rsidRPr="00807AC3">
              <w:rPr>
                <w:noProof/>
              </w:rPr>
              <w:t>Total</w:t>
            </w:r>
          </w:p>
        </w:tc>
      </w:tr>
      <w:tr w:rsidR="00492B87" w:rsidRPr="00040D99" w14:paraId="74C1FDFC" w14:textId="77777777" w:rsidTr="00BB20EB">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322416FF" w14:textId="77777777" w:rsidR="00492B87" w:rsidRPr="00807AC3" w:rsidRDefault="00492B87" w:rsidP="00BB20EB">
            <w:pPr>
              <w:rPr>
                <w:noProof/>
              </w:rPr>
            </w:pPr>
            <w:r w:rsidRPr="00807AC3">
              <w:rPr>
                <w:noProof/>
              </w:rPr>
              <w:t>Financial programming</w:t>
            </w:r>
          </w:p>
        </w:tc>
        <w:tc>
          <w:tcPr>
            <w:tcW w:w="943" w:type="dxa"/>
            <w:noWrap/>
            <w:hideMark/>
          </w:tcPr>
          <w:p w14:paraId="2D92F18E" w14:textId="77777777" w:rsidR="00492B87" w:rsidRPr="00807AC3" w:rsidRDefault="00492B87" w:rsidP="00BB20EB">
            <w:pPr>
              <w:jc w:val="center"/>
              <w:rPr>
                <w:noProof/>
              </w:rPr>
            </w:pPr>
            <w:r w:rsidRPr="00E728CF">
              <w:rPr>
                <w:noProof/>
              </w:rPr>
              <w:t>864</w:t>
            </w:r>
            <w:r>
              <w:rPr>
                <w:noProof/>
              </w:rPr>
              <w:t>.</w:t>
            </w:r>
            <w:r w:rsidRPr="00E728CF">
              <w:rPr>
                <w:noProof/>
              </w:rPr>
              <w:t>0</w:t>
            </w:r>
          </w:p>
        </w:tc>
        <w:tc>
          <w:tcPr>
            <w:tcW w:w="944" w:type="dxa"/>
            <w:noWrap/>
            <w:hideMark/>
          </w:tcPr>
          <w:p w14:paraId="7949A1E9" w14:textId="77777777" w:rsidR="00492B87" w:rsidRPr="00807AC3" w:rsidRDefault="00492B87" w:rsidP="00BB20EB">
            <w:pPr>
              <w:jc w:val="center"/>
              <w:rPr>
                <w:noProof/>
              </w:rPr>
            </w:pPr>
            <w:r w:rsidRPr="00E728CF">
              <w:rPr>
                <w:noProof/>
              </w:rPr>
              <w:t>710</w:t>
            </w:r>
            <w:r>
              <w:rPr>
                <w:noProof/>
              </w:rPr>
              <w:t>.</w:t>
            </w:r>
            <w:r w:rsidRPr="00E728CF">
              <w:rPr>
                <w:noProof/>
              </w:rPr>
              <w:t>1</w:t>
            </w:r>
          </w:p>
        </w:tc>
        <w:tc>
          <w:tcPr>
            <w:tcW w:w="943" w:type="dxa"/>
            <w:noWrap/>
            <w:hideMark/>
          </w:tcPr>
          <w:p w14:paraId="18D552DF" w14:textId="77777777" w:rsidR="00492B87" w:rsidRPr="00807AC3" w:rsidRDefault="00492B87" w:rsidP="00BB20EB">
            <w:pPr>
              <w:jc w:val="center"/>
              <w:rPr>
                <w:noProof/>
              </w:rPr>
            </w:pPr>
            <w:r w:rsidRPr="00E728CF">
              <w:rPr>
                <w:noProof/>
              </w:rPr>
              <w:t>1</w:t>
            </w:r>
            <w:r>
              <w:rPr>
                <w:rFonts w:ascii="Calibri" w:hAnsi="Calibri" w:cs="Calibri"/>
                <w:noProof/>
              </w:rPr>
              <w:t> </w:t>
            </w:r>
            <w:r w:rsidRPr="00E728CF">
              <w:rPr>
                <w:noProof/>
              </w:rPr>
              <w:t>019</w:t>
            </w:r>
            <w:r>
              <w:rPr>
                <w:noProof/>
              </w:rPr>
              <w:t>.</w:t>
            </w:r>
            <w:r w:rsidRPr="00E728CF">
              <w:rPr>
                <w:noProof/>
              </w:rPr>
              <w:t>8</w:t>
            </w:r>
          </w:p>
        </w:tc>
        <w:tc>
          <w:tcPr>
            <w:tcW w:w="944" w:type="dxa"/>
            <w:noWrap/>
            <w:hideMark/>
          </w:tcPr>
          <w:p w14:paraId="4AD8E5CA" w14:textId="77777777" w:rsidR="00492B87" w:rsidRPr="00807AC3" w:rsidRDefault="00492B87" w:rsidP="00BB20EB">
            <w:pPr>
              <w:jc w:val="center"/>
              <w:rPr>
                <w:noProof/>
              </w:rPr>
            </w:pPr>
            <w:r w:rsidRPr="00E728CF">
              <w:rPr>
                <w:noProof/>
              </w:rPr>
              <w:t>806</w:t>
            </w:r>
            <w:r>
              <w:rPr>
                <w:noProof/>
              </w:rPr>
              <w:t>.</w:t>
            </w:r>
            <w:r w:rsidRPr="00E728CF">
              <w:rPr>
                <w:noProof/>
              </w:rPr>
              <w:t>3</w:t>
            </w:r>
          </w:p>
        </w:tc>
        <w:tc>
          <w:tcPr>
            <w:tcW w:w="944" w:type="dxa"/>
            <w:noWrap/>
            <w:hideMark/>
          </w:tcPr>
          <w:p w14:paraId="7DF459BC" w14:textId="77777777" w:rsidR="00492B87" w:rsidRPr="00807AC3" w:rsidRDefault="00492B87" w:rsidP="00BB20EB">
            <w:pPr>
              <w:jc w:val="center"/>
              <w:rPr>
                <w:noProof/>
              </w:rPr>
            </w:pPr>
            <w:r w:rsidRPr="00E728CF">
              <w:rPr>
                <w:noProof/>
              </w:rPr>
              <w:t>690</w:t>
            </w:r>
            <w:r>
              <w:rPr>
                <w:noProof/>
              </w:rPr>
              <w:t>.</w:t>
            </w:r>
            <w:r w:rsidRPr="00E728CF">
              <w:rPr>
                <w:noProof/>
              </w:rPr>
              <w:t>1</w:t>
            </w:r>
          </w:p>
        </w:tc>
        <w:tc>
          <w:tcPr>
            <w:tcW w:w="943" w:type="dxa"/>
            <w:noWrap/>
            <w:hideMark/>
          </w:tcPr>
          <w:p w14:paraId="22237BF5" w14:textId="77777777" w:rsidR="00492B87" w:rsidRPr="00807AC3" w:rsidRDefault="00492B87" w:rsidP="00BB20EB">
            <w:pPr>
              <w:jc w:val="center"/>
              <w:rPr>
                <w:noProof/>
              </w:rPr>
            </w:pPr>
            <w:r w:rsidRPr="00E728CF">
              <w:rPr>
                <w:noProof/>
              </w:rPr>
              <w:t>856</w:t>
            </w:r>
            <w:r>
              <w:rPr>
                <w:noProof/>
              </w:rPr>
              <w:t>.</w:t>
            </w:r>
            <w:r w:rsidRPr="00E728CF">
              <w:rPr>
                <w:noProof/>
              </w:rPr>
              <w:t>3</w:t>
            </w:r>
          </w:p>
        </w:tc>
        <w:tc>
          <w:tcPr>
            <w:tcW w:w="944" w:type="dxa"/>
            <w:noWrap/>
            <w:hideMark/>
          </w:tcPr>
          <w:p w14:paraId="465726D1" w14:textId="77777777" w:rsidR="00492B87" w:rsidRPr="00807AC3" w:rsidRDefault="00492B87" w:rsidP="00BB20EB">
            <w:pPr>
              <w:jc w:val="center"/>
              <w:rPr>
                <w:noProof/>
              </w:rPr>
            </w:pPr>
            <w:r w:rsidRPr="00E728CF">
              <w:rPr>
                <w:noProof/>
              </w:rPr>
              <w:t>667</w:t>
            </w:r>
            <w:r>
              <w:rPr>
                <w:noProof/>
              </w:rPr>
              <w:t>.</w:t>
            </w:r>
            <w:r w:rsidRPr="00E728CF">
              <w:rPr>
                <w:noProof/>
              </w:rPr>
              <w:t>3</w:t>
            </w:r>
          </w:p>
        </w:tc>
        <w:tc>
          <w:tcPr>
            <w:tcW w:w="944" w:type="dxa"/>
            <w:noWrap/>
            <w:hideMark/>
          </w:tcPr>
          <w:p w14:paraId="1878FE57" w14:textId="77777777" w:rsidR="00492B87" w:rsidRPr="00807AC3" w:rsidRDefault="00492B87" w:rsidP="00BB20EB">
            <w:pPr>
              <w:jc w:val="center"/>
              <w:rPr>
                <w:noProof/>
              </w:rPr>
            </w:pPr>
            <w:r w:rsidRPr="00E728CF">
              <w:rPr>
                <w:noProof/>
              </w:rPr>
              <w:t>5</w:t>
            </w:r>
            <w:r>
              <w:rPr>
                <w:rFonts w:ascii="Calibri" w:hAnsi="Calibri" w:cs="Calibri"/>
                <w:noProof/>
              </w:rPr>
              <w:t> </w:t>
            </w:r>
            <w:r w:rsidRPr="00E728CF">
              <w:rPr>
                <w:noProof/>
              </w:rPr>
              <w:t>614</w:t>
            </w:r>
            <w:r>
              <w:rPr>
                <w:noProof/>
              </w:rPr>
              <w:t>.</w:t>
            </w:r>
            <w:r w:rsidRPr="00E728CF">
              <w:rPr>
                <w:noProof/>
              </w:rPr>
              <w:t>0</w:t>
            </w:r>
          </w:p>
        </w:tc>
      </w:tr>
      <w:tr w:rsidR="00492B87" w:rsidRPr="00040D99" w14:paraId="0AD086D0" w14:textId="77777777" w:rsidTr="00BB20EB">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51399718" w14:textId="77777777" w:rsidR="00492B87" w:rsidRPr="00807AC3" w:rsidRDefault="00492B87" w:rsidP="00BB20EB">
            <w:pPr>
              <w:rPr>
                <w:noProof/>
              </w:rPr>
            </w:pPr>
            <w:r w:rsidRPr="00807AC3">
              <w:rPr>
                <w:noProof/>
              </w:rPr>
              <w:t>NextGenerationEU</w:t>
            </w:r>
          </w:p>
        </w:tc>
        <w:tc>
          <w:tcPr>
            <w:tcW w:w="943" w:type="dxa"/>
            <w:noWrap/>
          </w:tcPr>
          <w:p w14:paraId="296658F3" w14:textId="77777777" w:rsidR="00492B87" w:rsidRPr="00807AC3" w:rsidRDefault="00492B87" w:rsidP="00BB20EB">
            <w:pPr>
              <w:jc w:val="center"/>
              <w:rPr>
                <w:noProof/>
              </w:rPr>
            </w:pPr>
          </w:p>
        </w:tc>
        <w:tc>
          <w:tcPr>
            <w:tcW w:w="944" w:type="dxa"/>
            <w:noWrap/>
          </w:tcPr>
          <w:p w14:paraId="566F24F6" w14:textId="77777777" w:rsidR="00492B87" w:rsidRPr="00807AC3" w:rsidRDefault="00492B87" w:rsidP="00BB20EB">
            <w:pPr>
              <w:jc w:val="center"/>
              <w:rPr>
                <w:noProof/>
              </w:rPr>
            </w:pPr>
          </w:p>
        </w:tc>
        <w:tc>
          <w:tcPr>
            <w:tcW w:w="943" w:type="dxa"/>
            <w:noWrap/>
          </w:tcPr>
          <w:p w14:paraId="00E9E489" w14:textId="77777777" w:rsidR="00492B87" w:rsidRPr="00807AC3" w:rsidRDefault="00492B87" w:rsidP="00BB20EB">
            <w:pPr>
              <w:jc w:val="center"/>
              <w:rPr>
                <w:noProof/>
              </w:rPr>
            </w:pPr>
          </w:p>
        </w:tc>
        <w:tc>
          <w:tcPr>
            <w:tcW w:w="944" w:type="dxa"/>
            <w:noWrap/>
          </w:tcPr>
          <w:p w14:paraId="27F11637" w14:textId="77777777" w:rsidR="00492B87" w:rsidRPr="00807AC3" w:rsidRDefault="00492B87" w:rsidP="00BB20EB">
            <w:pPr>
              <w:jc w:val="center"/>
              <w:rPr>
                <w:noProof/>
              </w:rPr>
            </w:pPr>
          </w:p>
        </w:tc>
        <w:tc>
          <w:tcPr>
            <w:tcW w:w="944" w:type="dxa"/>
            <w:noWrap/>
          </w:tcPr>
          <w:p w14:paraId="66EE0988" w14:textId="77777777" w:rsidR="00492B87" w:rsidRPr="00807AC3" w:rsidRDefault="00492B87" w:rsidP="00BB20EB">
            <w:pPr>
              <w:jc w:val="center"/>
              <w:rPr>
                <w:noProof/>
              </w:rPr>
            </w:pPr>
          </w:p>
        </w:tc>
        <w:tc>
          <w:tcPr>
            <w:tcW w:w="943" w:type="dxa"/>
            <w:noWrap/>
          </w:tcPr>
          <w:p w14:paraId="54F08BAC" w14:textId="77777777" w:rsidR="00492B87" w:rsidRPr="00807AC3" w:rsidRDefault="00492B87" w:rsidP="00BB20EB">
            <w:pPr>
              <w:jc w:val="center"/>
              <w:rPr>
                <w:noProof/>
              </w:rPr>
            </w:pPr>
          </w:p>
        </w:tc>
        <w:tc>
          <w:tcPr>
            <w:tcW w:w="944" w:type="dxa"/>
            <w:noWrap/>
          </w:tcPr>
          <w:p w14:paraId="2B2B1ECD" w14:textId="77777777" w:rsidR="00492B87" w:rsidRPr="00807AC3" w:rsidRDefault="00492B87" w:rsidP="00BB20EB">
            <w:pPr>
              <w:jc w:val="center"/>
              <w:rPr>
                <w:noProof/>
              </w:rPr>
            </w:pPr>
          </w:p>
        </w:tc>
        <w:tc>
          <w:tcPr>
            <w:tcW w:w="944" w:type="dxa"/>
            <w:noWrap/>
          </w:tcPr>
          <w:p w14:paraId="304965BB" w14:textId="77777777" w:rsidR="00492B87" w:rsidRPr="00807AC3" w:rsidRDefault="00492B87" w:rsidP="00BB20EB">
            <w:pPr>
              <w:jc w:val="center"/>
              <w:rPr>
                <w:noProof/>
              </w:rPr>
            </w:pPr>
          </w:p>
        </w:tc>
      </w:tr>
      <w:tr w:rsidR="00492B87" w:rsidRPr="00040D99" w14:paraId="6E1E3799" w14:textId="77777777" w:rsidTr="00BB20EB">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7CD07ECC" w14:textId="77777777" w:rsidR="00492B87" w:rsidRPr="00807AC3" w:rsidRDefault="00492B87" w:rsidP="00BB20EB">
            <w:pPr>
              <w:rPr>
                <w:noProof/>
              </w:rPr>
            </w:pPr>
            <w:r w:rsidRPr="00807AC3">
              <w:rPr>
                <w:noProof/>
              </w:rPr>
              <w:t>Decommitments made available again*</w:t>
            </w:r>
          </w:p>
        </w:tc>
        <w:tc>
          <w:tcPr>
            <w:tcW w:w="943" w:type="dxa"/>
            <w:noWrap/>
            <w:hideMark/>
          </w:tcPr>
          <w:p w14:paraId="659D62E0" w14:textId="08CC9D81" w:rsidR="00492B87" w:rsidRPr="00807AC3" w:rsidRDefault="00492B87" w:rsidP="00BB20EB">
            <w:pPr>
              <w:jc w:val="center"/>
              <w:rPr>
                <w:noProof/>
              </w:rPr>
            </w:pPr>
            <w:r>
              <w:rPr>
                <w:noProof/>
              </w:rPr>
              <w:t>0.0</w:t>
            </w:r>
          </w:p>
        </w:tc>
        <w:tc>
          <w:tcPr>
            <w:tcW w:w="944" w:type="dxa"/>
            <w:noWrap/>
            <w:hideMark/>
          </w:tcPr>
          <w:p w14:paraId="61E7147F" w14:textId="77777777" w:rsidR="00492B87" w:rsidRPr="00807AC3" w:rsidRDefault="00492B87" w:rsidP="00BB20EB">
            <w:pPr>
              <w:jc w:val="center"/>
              <w:rPr>
                <w:noProof/>
              </w:rPr>
            </w:pPr>
          </w:p>
        </w:tc>
        <w:tc>
          <w:tcPr>
            <w:tcW w:w="943" w:type="dxa"/>
            <w:noWrap/>
            <w:hideMark/>
          </w:tcPr>
          <w:p w14:paraId="790A4644" w14:textId="77777777" w:rsidR="00492B87" w:rsidRPr="00807AC3" w:rsidRDefault="00492B87" w:rsidP="00BB20EB">
            <w:pPr>
              <w:jc w:val="center"/>
              <w:rPr>
                <w:noProof/>
              </w:rPr>
            </w:pPr>
          </w:p>
        </w:tc>
        <w:tc>
          <w:tcPr>
            <w:tcW w:w="944" w:type="dxa"/>
            <w:noWrap/>
            <w:hideMark/>
          </w:tcPr>
          <w:p w14:paraId="1A36A1C1" w14:textId="77777777" w:rsidR="00492B87" w:rsidRPr="00807AC3" w:rsidRDefault="00492B87" w:rsidP="00BB20EB">
            <w:pPr>
              <w:jc w:val="center"/>
              <w:rPr>
                <w:noProof/>
              </w:rPr>
            </w:pPr>
          </w:p>
        </w:tc>
        <w:tc>
          <w:tcPr>
            <w:tcW w:w="944" w:type="dxa"/>
            <w:noWrap/>
            <w:hideMark/>
          </w:tcPr>
          <w:p w14:paraId="3CE8371D" w14:textId="77777777" w:rsidR="00492B87" w:rsidRPr="00807AC3" w:rsidRDefault="00492B87" w:rsidP="00BB20EB">
            <w:pPr>
              <w:jc w:val="center"/>
              <w:rPr>
                <w:noProof/>
              </w:rPr>
            </w:pPr>
          </w:p>
        </w:tc>
        <w:tc>
          <w:tcPr>
            <w:tcW w:w="943" w:type="dxa"/>
            <w:noWrap/>
            <w:hideMark/>
          </w:tcPr>
          <w:p w14:paraId="339730BF" w14:textId="77777777" w:rsidR="00492B87" w:rsidRPr="00807AC3" w:rsidRDefault="00492B87" w:rsidP="00BB20EB">
            <w:pPr>
              <w:jc w:val="center"/>
              <w:rPr>
                <w:noProof/>
              </w:rPr>
            </w:pPr>
          </w:p>
        </w:tc>
        <w:tc>
          <w:tcPr>
            <w:tcW w:w="944" w:type="dxa"/>
            <w:noWrap/>
            <w:hideMark/>
          </w:tcPr>
          <w:p w14:paraId="4A35E7BA" w14:textId="77777777" w:rsidR="00492B87" w:rsidRPr="00807AC3" w:rsidRDefault="00492B87" w:rsidP="00BB20EB">
            <w:pPr>
              <w:jc w:val="center"/>
              <w:rPr>
                <w:noProof/>
              </w:rPr>
            </w:pPr>
          </w:p>
        </w:tc>
        <w:tc>
          <w:tcPr>
            <w:tcW w:w="944" w:type="dxa"/>
            <w:noWrap/>
            <w:hideMark/>
          </w:tcPr>
          <w:p w14:paraId="1107AA55" w14:textId="2CC3238A" w:rsidR="00492B87" w:rsidRPr="00807AC3" w:rsidRDefault="00492B87" w:rsidP="00BB20EB">
            <w:pPr>
              <w:jc w:val="center"/>
              <w:rPr>
                <w:noProof/>
              </w:rPr>
            </w:pPr>
            <w:r>
              <w:rPr>
                <w:noProof/>
              </w:rPr>
              <w:t>0.0</w:t>
            </w:r>
          </w:p>
        </w:tc>
      </w:tr>
      <w:tr w:rsidR="00492B87" w:rsidRPr="00040D99" w14:paraId="5BE78976" w14:textId="77777777" w:rsidTr="00BB20EB">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1847D5AE" w14:textId="77777777" w:rsidR="00492B87" w:rsidRPr="00807AC3" w:rsidRDefault="00492B87" w:rsidP="00BB20EB">
            <w:pPr>
              <w:rPr>
                <w:noProof/>
              </w:rPr>
            </w:pPr>
            <w:r w:rsidRPr="00807AC3">
              <w:rPr>
                <w:noProof/>
              </w:rPr>
              <w:t>Contributions from other countries and entities</w:t>
            </w:r>
          </w:p>
        </w:tc>
        <w:tc>
          <w:tcPr>
            <w:tcW w:w="943" w:type="dxa"/>
            <w:noWrap/>
            <w:hideMark/>
          </w:tcPr>
          <w:p w14:paraId="16DD39AC" w14:textId="77777777" w:rsidR="00492B87" w:rsidRPr="00807AC3" w:rsidRDefault="00492B87" w:rsidP="00BB20EB">
            <w:pPr>
              <w:jc w:val="center"/>
              <w:rPr>
                <w:noProof/>
              </w:rPr>
            </w:pPr>
            <w:r w:rsidRPr="00974297">
              <w:rPr>
                <w:noProof/>
              </w:rPr>
              <w:t>0</w:t>
            </w:r>
            <w:r>
              <w:rPr>
                <w:noProof/>
              </w:rPr>
              <w:t>.</w:t>
            </w:r>
            <w:r w:rsidRPr="00974297">
              <w:rPr>
                <w:noProof/>
              </w:rPr>
              <w:t>6</w:t>
            </w:r>
          </w:p>
        </w:tc>
        <w:tc>
          <w:tcPr>
            <w:tcW w:w="944" w:type="dxa"/>
            <w:noWrap/>
            <w:hideMark/>
          </w:tcPr>
          <w:p w14:paraId="3FFA3D92" w14:textId="77777777" w:rsidR="00492B87" w:rsidRPr="00807AC3" w:rsidRDefault="00492B87" w:rsidP="00BB20EB">
            <w:pPr>
              <w:jc w:val="center"/>
              <w:rPr>
                <w:noProof/>
              </w:rPr>
            </w:pPr>
            <w:r>
              <w:rPr>
                <w:noProof/>
              </w:rPr>
              <w:t>p.m.</w:t>
            </w:r>
          </w:p>
        </w:tc>
        <w:tc>
          <w:tcPr>
            <w:tcW w:w="943" w:type="dxa"/>
            <w:noWrap/>
            <w:hideMark/>
          </w:tcPr>
          <w:p w14:paraId="7E18EBD1" w14:textId="77777777" w:rsidR="00492B87" w:rsidRPr="00807AC3" w:rsidRDefault="00492B87" w:rsidP="00BB20EB">
            <w:pPr>
              <w:jc w:val="center"/>
              <w:rPr>
                <w:noProof/>
              </w:rPr>
            </w:pPr>
            <w:r>
              <w:rPr>
                <w:noProof/>
              </w:rPr>
              <w:t>p.m.</w:t>
            </w:r>
          </w:p>
        </w:tc>
        <w:tc>
          <w:tcPr>
            <w:tcW w:w="944" w:type="dxa"/>
            <w:noWrap/>
            <w:hideMark/>
          </w:tcPr>
          <w:p w14:paraId="1D1BB2B4" w14:textId="77777777" w:rsidR="00492B87" w:rsidRPr="00807AC3" w:rsidRDefault="00492B87" w:rsidP="00BB20EB">
            <w:pPr>
              <w:jc w:val="center"/>
              <w:rPr>
                <w:noProof/>
              </w:rPr>
            </w:pPr>
            <w:r>
              <w:rPr>
                <w:noProof/>
              </w:rPr>
              <w:t>p.m.</w:t>
            </w:r>
          </w:p>
        </w:tc>
        <w:tc>
          <w:tcPr>
            <w:tcW w:w="944" w:type="dxa"/>
            <w:noWrap/>
            <w:hideMark/>
          </w:tcPr>
          <w:p w14:paraId="4AA36DF2" w14:textId="77777777" w:rsidR="00492B87" w:rsidRPr="00807AC3" w:rsidRDefault="00492B87" w:rsidP="00BB20EB">
            <w:pPr>
              <w:jc w:val="center"/>
              <w:rPr>
                <w:noProof/>
              </w:rPr>
            </w:pPr>
            <w:r>
              <w:rPr>
                <w:noProof/>
              </w:rPr>
              <w:t>p.m.</w:t>
            </w:r>
          </w:p>
        </w:tc>
        <w:tc>
          <w:tcPr>
            <w:tcW w:w="943" w:type="dxa"/>
            <w:noWrap/>
            <w:hideMark/>
          </w:tcPr>
          <w:p w14:paraId="7ABDAC7C" w14:textId="77777777" w:rsidR="00492B87" w:rsidRPr="00807AC3" w:rsidRDefault="00492B87" w:rsidP="00BB20EB">
            <w:pPr>
              <w:jc w:val="center"/>
              <w:rPr>
                <w:noProof/>
              </w:rPr>
            </w:pPr>
            <w:r>
              <w:rPr>
                <w:noProof/>
              </w:rPr>
              <w:t>p.m.</w:t>
            </w:r>
          </w:p>
        </w:tc>
        <w:tc>
          <w:tcPr>
            <w:tcW w:w="944" w:type="dxa"/>
            <w:noWrap/>
            <w:hideMark/>
          </w:tcPr>
          <w:p w14:paraId="598F0D80" w14:textId="77777777" w:rsidR="00492B87" w:rsidRPr="00807AC3" w:rsidRDefault="00492B87" w:rsidP="00BB20EB">
            <w:pPr>
              <w:jc w:val="center"/>
              <w:rPr>
                <w:noProof/>
              </w:rPr>
            </w:pPr>
            <w:r>
              <w:rPr>
                <w:noProof/>
              </w:rPr>
              <w:t>p.m.</w:t>
            </w:r>
          </w:p>
        </w:tc>
        <w:tc>
          <w:tcPr>
            <w:tcW w:w="944" w:type="dxa"/>
            <w:noWrap/>
            <w:hideMark/>
          </w:tcPr>
          <w:p w14:paraId="6005DC76" w14:textId="77777777" w:rsidR="00492B87" w:rsidRPr="00807AC3" w:rsidRDefault="00492B87" w:rsidP="00BB20EB">
            <w:pPr>
              <w:jc w:val="center"/>
              <w:rPr>
                <w:noProof/>
              </w:rPr>
            </w:pPr>
            <w:r w:rsidRPr="00974297">
              <w:rPr>
                <w:noProof/>
              </w:rPr>
              <w:t>0</w:t>
            </w:r>
            <w:r>
              <w:rPr>
                <w:noProof/>
              </w:rPr>
              <w:t>.</w:t>
            </w:r>
            <w:r w:rsidRPr="00974297">
              <w:rPr>
                <w:noProof/>
              </w:rPr>
              <w:t>6</w:t>
            </w:r>
          </w:p>
        </w:tc>
      </w:tr>
      <w:tr w:rsidR="00492B87" w:rsidRPr="00807AC3" w14:paraId="5B6146C6" w14:textId="77777777" w:rsidTr="00BB20EB">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5C91519A" w14:textId="77777777" w:rsidR="00492B87" w:rsidRPr="00807AC3" w:rsidRDefault="00492B87" w:rsidP="00BB20EB">
            <w:pPr>
              <w:rPr>
                <w:noProof/>
              </w:rPr>
            </w:pPr>
            <w:r w:rsidRPr="000924A9">
              <w:rPr>
                <w:noProof/>
              </w:rPr>
              <w:t>Total</w:t>
            </w:r>
          </w:p>
        </w:tc>
        <w:tc>
          <w:tcPr>
            <w:tcW w:w="943" w:type="dxa"/>
            <w:noWrap/>
            <w:hideMark/>
          </w:tcPr>
          <w:p w14:paraId="4DF463B3" w14:textId="77777777" w:rsidR="00492B87" w:rsidRPr="00807AC3" w:rsidRDefault="00492B87" w:rsidP="00BB20EB">
            <w:pPr>
              <w:jc w:val="center"/>
              <w:rPr>
                <w:noProof/>
              </w:rPr>
            </w:pPr>
            <w:r w:rsidRPr="000924A9">
              <w:rPr>
                <w:noProof/>
              </w:rPr>
              <w:t>864</w:t>
            </w:r>
            <w:r>
              <w:rPr>
                <w:noProof/>
              </w:rPr>
              <w:t>.</w:t>
            </w:r>
            <w:r w:rsidRPr="000924A9">
              <w:rPr>
                <w:noProof/>
              </w:rPr>
              <w:t>6</w:t>
            </w:r>
          </w:p>
        </w:tc>
        <w:tc>
          <w:tcPr>
            <w:tcW w:w="944" w:type="dxa"/>
            <w:noWrap/>
            <w:hideMark/>
          </w:tcPr>
          <w:p w14:paraId="33A1B34D" w14:textId="77777777" w:rsidR="00492B87" w:rsidRPr="00807AC3" w:rsidRDefault="00492B87" w:rsidP="00BB20EB">
            <w:pPr>
              <w:jc w:val="center"/>
              <w:rPr>
                <w:noProof/>
              </w:rPr>
            </w:pPr>
            <w:r w:rsidRPr="000924A9">
              <w:rPr>
                <w:noProof/>
              </w:rPr>
              <w:t>710</w:t>
            </w:r>
            <w:r>
              <w:rPr>
                <w:noProof/>
              </w:rPr>
              <w:t>.</w:t>
            </w:r>
            <w:r w:rsidRPr="000924A9">
              <w:rPr>
                <w:noProof/>
              </w:rPr>
              <w:t>1</w:t>
            </w:r>
          </w:p>
        </w:tc>
        <w:tc>
          <w:tcPr>
            <w:tcW w:w="943" w:type="dxa"/>
            <w:noWrap/>
            <w:hideMark/>
          </w:tcPr>
          <w:p w14:paraId="5D6872AD" w14:textId="77777777" w:rsidR="00492B87" w:rsidRPr="00807AC3" w:rsidRDefault="00492B87" w:rsidP="00BB20EB">
            <w:pPr>
              <w:jc w:val="center"/>
              <w:rPr>
                <w:noProof/>
              </w:rPr>
            </w:pPr>
            <w:r w:rsidRPr="000924A9">
              <w:rPr>
                <w:noProof/>
              </w:rPr>
              <w:t>1</w:t>
            </w:r>
            <w:r>
              <w:rPr>
                <w:rFonts w:ascii="Calibri" w:hAnsi="Calibri" w:cs="Calibri"/>
                <w:noProof/>
              </w:rPr>
              <w:t> </w:t>
            </w:r>
            <w:r w:rsidRPr="000924A9">
              <w:rPr>
                <w:noProof/>
              </w:rPr>
              <w:t>019</w:t>
            </w:r>
            <w:r>
              <w:rPr>
                <w:noProof/>
              </w:rPr>
              <w:t>.</w:t>
            </w:r>
            <w:r w:rsidRPr="000924A9">
              <w:rPr>
                <w:noProof/>
              </w:rPr>
              <w:t>8</w:t>
            </w:r>
          </w:p>
        </w:tc>
        <w:tc>
          <w:tcPr>
            <w:tcW w:w="944" w:type="dxa"/>
            <w:noWrap/>
            <w:hideMark/>
          </w:tcPr>
          <w:p w14:paraId="0B0451A9" w14:textId="77777777" w:rsidR="00492B87" w:rsidRPr="00807AC3" w:rsidRDefault="00492B87" w:rsidP="00BB20EB">
            <w:pPr>
              <w:jc w:val="center"/>
              <w:rPr>
                <w:noProof/>
              </w:rPr>
            </w:pPr>
            <w:r w:rsidRPr="000924A9">
              <w:rPr>
                <w:noProof/>
              </w:rPr>
              <w:t>806</w:t>
            </w:r>
            <w:r>
              <w:rPr>
                <w:noProof/>
              </w:rPr>
              <w:t>.</w:t>
            </w:r>
            <w:r w:rsidRPr="000924A9">
              <w:rPr>
                <w:noProof/>
              </w:rPr>
              <w:t>3</w:t>
            </w:r>
          </w:p>
        </w:tc>
        <w:tc>
          <w:tcPr>
            <w:tcW w:w="944" w:type="dxa"/>
            <w:noWrap/>
            <w:hideMark/>
          </w:tcPr>
          <w:p w14:paraId="3FBD68B5" w14:textId="77777777" w:rsidR="00492B87" w:rsidRPr="00807AC3" w:rsidRDefault="00492B87" w:rsidP="00BB20EB">
            <w:pPr>
              <w:jc w:val="center"/>
              <w:rPr>
                <w:noProof/>
              </w:rPr>
            </w:pPr>
            <w:r w:rsidRPr="000924A9">
              <w:rPr>
                <w:noProof/>
              </w:rPr>
              <w:t>690</w:t>
            </w:r>
            <w:r>
              <w:rPr>
                <w:noProof/>
              </w:rPr>
              <w:t>.</w:t>
            </w:r>
            <w:r w:rsidRPr="000924A9">
              <w:rPr>
                <w:noProof/>
              </w:rPr>
              <w:t>1</w:t>
            </w:r>
          </w:p>
        </w:tc>
        <w:tc>
          <w:tcPr>
            <w:tcW w:w="943" w:type="dxa"/>
            <w:noWrap/>
            <w:hideMark/>
          </w:tcPr>
          <w:p w14:paraId="6066B6F4" w14:textId="77777777" w:rsidR="00492B87" w:rsidRPr="00807AC3" w:rsidRDefault="00492B87" w:rsidP="00BB20EB">
            <w:pPr>
              <w:jc w:val="center"/>
              <w:rPr>
                <w:noProof/>
              </w:rPr>
            </w:pPr>
            <w:r w:rsidRPr="000924A9">
              <w:rPr>
                <w:noProof/>
              </w:rPr>
              <w:t>856</w:t>
            </w:r>
            <w:r>
              <w:rPr>
                <w:noProof/>
              </w:rPr>
              <w:t>.</w:t>
            </w:r>
            <w:r w:rsidRPr="000924A9">
              <w:rPr>
                <w:noProof/>
              </w:rPr>
              <w:t>3</w:t>
            </w:r>
          </w:p>
        </w:tc>
        <w:tc>
          <w:tcPr>
            <w:tcW w:w="944" w:type="dxa"/>
            <w:noWrap/>
            <w:hideMark/>
          </w:tcPr>
          <w:p w14:paraId="5F858841" w14:textId="77777777" w:rsidR="00492B87" w:rsidRPr="00807AC3" w:rsidRDefault="00492B87" w:rsidP="00BB20EB">
            <w:pPr>
              <w:jc w:val="center"/>
              <w:rPr>
                <w:noProof/>
              </w:rPr>
            </w:pPr>
            <w:r w:rsidRPr="000924A9">
              <w:rPr>
                <w:noProof/>
              </w:rPr>
              <w:t>667</w:t>
            </w:r>
            <w:r>
              <w:rPr>
                <w:noProof/>
              </w:rPr>
              <w:t>.</w:t>
            </w:r>
            <w:r w:rsidRPr="000924A9">
              <w:rPr>
                <w:noProof/>
              </w:rPr>
              <w:t>3</w:t>
            </w:r>
          </w:p>
        </w:tc>
        <w:tc>
          <w:tcPr>
            <w:tcW w:w="944" w:type="dxa"/>
            <w:noWrap/>
            <w:hideMark/>
          </w:tcPr>
          <w:p w14:paraId="20C908BF" w14:textId="77777777" w:rsidR="00492B87" w:rsidRPr="00807AC3" w:rsidRDefault="00492B87" w:rsidP="00BB20EB">
            <w:pPr>
              <w:jc w:val="center"/>
              <w:rPr>
                <w:noProof/>
              </w:rPr>
            </w:pPr>
            <w:r w:rsidRPr="000924A9">
              <w:rPr>
                <w:noProof/>
              </w:rPr>
              <w:t>5</w:t>
            </w:r>
            <w:r>
              <w:rPr>
                <w:rFonts w:ascii="Calibri" w:hAnsi="Calibri" w:cs="Calibri"/>
                <w:noProof/>
              </w:rPr>
              <w:t> </w:t>
            </w:r>
            <w:r w:rsidRPr="000924A9">
              <w:rPr>
                <w:noProof/>
              </w:rPr>
              <w:t>614</w:t>
            </w:r>
            <w:r>
              <w:rPr>
                <w:noProof/>
              </w:rPr>
              <w:t>.</w:t>
            </w:r>
            <w:r w:rsidRPr="000924A9">
              <w:rPr>
                <w:noProof/>
              </w:rPr>
              <w:t>6</w:t>
            </w:r>
          </w:p>
        </w:tc>
      </w:tr>
    </w:tbl>
    <w:p w14:paraId="3DE50D65" w14:textId="77777777" w:rsidR="00492B87" w:rsidRPr="00663750" w:rsidRDefault="00492B87" w:rsidP="00492B87">
      <w:pPr>
        <w:tabs>
          <w:tab w:val="left" w:pos="6793"/>
        </w:tabs>
        <w:rPr>
          <w:noProof/>
          <w:sz w:val="18"/>
          <w:szCs w:val="18"/>
          <w:lang w:val="en-IE"/>
        </w:rPr>
      </w:pPr>
      <w:r w:rsidRPr="6FA3FF7A">
        <w:rPr>
          <w:noProof/>
          <w:sz w:val="18"/>
          <w:szCs w:val="18"/>
          <w:lang w:val="en-IE"/>
        </w:rPr>
        <w:t>(*) Only Article</w:t>
      </w:r>
      <w:r w:rsidRPr="6FA3FF7A">
        <w:rPr>
          <w:rFonts w:ascii="Calibri" w:hAnsi="Calibri" w:cs="Calibri"/>
          <w:noProof/>
          <w:sz w:val="18"/>
          <w:szCs w:val="18"/>
          <w:lang w:val="en-IE"/>
        </w:rPr>
        <w:t> </w:t>
      </w:r>
      <w:r w:rsidRPr="6FA3FF7A">
        <w:rPr>
          <w:noProof/>
          <w:sz w:val="18"/>
          <w:szCs w:val="18"/>
          <w:lang w:val="en-IE"/>
        </w:rPr>
        <w:t>15(3) of the financial regulation.</w:t>
      </w:r>
    </w:p>
    <w:p w14:paraId="173FB203" w14:textId="4C694A13" w:rsidR="00492B87" w:rsidRDefault="00492B87" w:rsidP="00304A2B">
      <w:pPr>
        <w:pStyle w:val="ppoTableTabletitle"/>
        <w:jc w:val="center"/>
        <w:rPr>
          <w:noProof/>
          <w:lang w:val="en-IE"/>
        </w:rPr>
      </w:pPr>
      <w:r w:rsidRPr="00304A2B">
        <w:rPr>
          <w:noProof/>
          <w:lang w:val="en-IE"/>
        </w:rPr>
        <w:t>Financial programming</w:t>
      </w:r>
      <w:r w:rsidR="004C4764">
        <w:rPr>
          <w:noProof/>
          <w:lang w:val="en-IE"/>
        </w:rPr>
        <w:t>:</w:t>
      </w:r>
      <w:r w:rsidRPr="6FA3FF7A">
        <w:rPr>
          <w:noProof/>
          <w:color w:val="0078D4"/>
          <w:lang w:val="en-IE"/>
        </w:rPr>
        <w:t xml:space="preserve"> </w:t>
      </w:r>
      <w:r w:rsidRPr="6FA3FF7A">
        <w:rPr>
          <w:rStyle w:val="ppocharOrangetext24pt"/>
          <w:noProof/>
        </w:rPr>
        <w:t>+ EUR</w:t>
      </w:r>
      <w:r w:rsidRPr="6FA3FF7A">
        <w:rPr>
          <w:rStyle w:val="ppocharOrangetext24pt"/>
          <w:rFonts w:ascii="Calibri" w:hAnsi="Calibri" w:cs="Calibri"/>
          <w:noProof/>
        </w:rPr>
        <w:t> </w:t>
      </w:r>
      <w:r w:rsidRPr="6FA3FF7A">
        <w:rPr>
          <w:rStyle w:val="ppocharOrangetext24pt"/>
          <w:noProof/>
        </w:rPr>
        <w:t>0.0</w:t>
      </w:r>
      <w:r w:rsidRPr="6FA3FF7A">
        <w:rPr>
          <w:rStyle w:val="ppocharOrangetext24pt"/>
          <w:rFonts w:ascii="Calibri" w:hAnsi="Calibri" w:cs="Calibri"/>
          <w:noProof/>
        </w:rPr>
        <w:t> </w:t>
      </w:r>
      <w:r w:rsidRPr="6FA3FF7A">
        <w:rPr>
          <w:rStyle w:val="ppocharOrangetext24pt"/>
          <w:noProof/>
        </w:rPr>
        <w:t xml:space="preserve">million (+ 0%) </w:t>
      </w:r>
      <w:r w:rsidRPr="6FA3FF7A">
        <w:rPr>
          <w:noProof/>
          <w:lang w:val="en-IE"/>
        </w:rPr>
        <w:t>compared to the legal basis.</w:t>
      </w:r>
    </w:p>
    <w:p w14:paraId="019CDA29" w14:textId="77777777" w:rsidR="00492B87" w:rsidRPr="00040D99" w:rsidRDefault="00492B87" w:rsidP="00492B87">
      <w:pPr>
        <w:pStyle w:val="ppoTableTabletitle"/>
        <w:rPr>
          <w:b/>
          <w:noProof/>
        </w:rPr>
      </w:pPr>
      <w:r w:rsidRPr="00040D99">
        <w:rPr>
          <w:noProof/>
        </w:rPr>
        <w:t>Cumulative implementation rate at the end of 2021</w:t>
      </w:r>
      <w:r>
        <w:rPr>
          <w:noProof/>
        </w:rPr>
        <w:t xml:space="preserve"> (million</w:t>
      </w:r>
      <w:r w:rsidRPr="007D2ED3">
        <w:rPr>
          <w:noProof/>
        </w:rPr>
        <w:t xml:space="preserve"> </w:t>
      </w:r>
      <w:r>
        <w:rPr>
          <w:noProof/>
        </w:rPr>
        <w:t>EUR):</w:t>
      </w:r>
    </w:p>
    <w:tbl>
      <w:tblPr>
        <w:tblStyle w:val="PPO2021"/>
        <w:tblW w:w="9639" w:type="dxa"/>
        <w:tblInd w:w="0" w:type="dxa"/>
        <w:tblLook w:val="06A0" w:firstRow="1" w:lastRow="0" w:firstColumn="1" w:lastColumn="0" w:noHBand="1" w:noVBand="1"/>
      </w:tblPr>
      <w:tblGrid>
        <w:gridCol w:w="2409"/>
        <w:gridCol w:w="2410"/>
        <w:gridCol w:w="2410"/>
        <w:gridCol w:w="2410"/>
      </w:tblGrid>
      <w:tr w:rsidR="00492B87" w:rsidRPr="00040D99" w14:paraId="1007F832" w14:textId="77777777" w:rsidTr="00BB20EB">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796A0BCA" w14:textId="77777777" w:rsidR="00492B87" w:rsidRPr="00807AC3" w:rsidRDefault="00492B87" w:rsidP="00BB20EB">
            <w:pPr>
              <w:rPr>
                <w:noProof/>
              </w:rPr>
            </w:pPr>
          </w:p>
        </w:tc>
        <w:tc>
          <w:tcPr>
            <w:tcW w:w="2410" w:type="dxa"/>
          </w:tcPr>
          <w:p w14:paraId="74534DBA" w14:textId="77777777" w:rsidR="00492B87" w:rsidRPr="00807AC3" w:rsidRDefault="00492B87" w:rsidP="00BB20EB">
            <w:pPr>
              <w:cnfStyle w:val="100000000000" w:firstRow="1" w:lastRow="0" w:firstColumn="0" w:lastColumn="0" w:oddVBand="0" w:evenVBand="0" w:oddHBand="0" w:evenHBand="0" w:firstRowFirstColumn="0" w:firstRowLastColumn="0" w:lastRowFirstColumn="0" w:lastRowLastColumn="0"/>
              <w:rPr>
                <w:noProof/>
              </w:rPr>
            </w:pPr>
            <w:r w:rsidRPr="00807AC3">
              <w:rPr>
                <w:noProof/>
              </w:rPr>
              <w:t>Implementation</w:t>
            </w:r>
          </w:p>
        </w:tc>
        <w:tc>
          <w:tcPr>
            <w:tcW w:w="2410" w:type="dxa"/>
          </w:tcPr>
          <w:p w14:paraId="3AD9BC00" w14:textId="55372CDE" w:rsidR="00492B87" w:rsidRPr="00807AC3" w:rsidRDefault="001F4CBC" w:rsidP="00BB20EB">
            <w:pPr>
              <w:cnfStyle w:val="100000000000" w:firstRow="1" w:lastRow="0" w:firstColumn="0" w:lastColumn="0" w:oddVBand="0" w:evenVBand="0" w:oddHBand="0" w:evenHBand="0" w:firstRowFirstColumn="0" w:firstRowLastColumn="0" w:lastRowFirstColumn="0" w:lastRowLastColumn="0"/>
              <w:rPr>
                <w:noProof/>
              </w:rPr>
            </w:pPr>
            <w:r>
              <w:rPr>
                <w:noProof/>
              </w:rPr>
              <w:t xml:space="preserve">2021-2027 </w:t>
            </w:r>
            <w:r w:rsidRPr="00885241">
              <w:rPr>
                <w:noProof/>
              </w:rPr>
              <w:t>Budget</w:t>
            </w:r>
          </w:p>
        </w:tc>
        <w:tc>
          <w:tcPr>
            <w:tcW w:w="2410" w:type="dxa"/>
          </w:tcPr>
          <w:p w14:paraId="4E0E2756" w14:textId="77777777" w:rsidR="00492B87" w:rsidRPr="00807AC3" w:rsidRDefault="00492B87" w:rsidP="00BB20EB">
            <w:pPr>
              <w:cnfStyle w:val="100000000000" w:firstRow="1" w:lastRow="0" w:firstColumn="0" w:lastColumn="0" w:oddVBand="0" w:evenVBand="0" w:oddHBand="0" w:evenHBand="0" w:firstRowFirstColumn="0" w:firstRowLastColumn="0" w:lastRowFirstColumn="0" w:lastRowLastColumn="0"/>
              <w:rPr>
                <w:noProof/>
              </w:rPr>
            </w:pPr>
            <w:r w:rsidRPr="00807AC3">
              <w:rPr>
                <w:noProof/>
              </w:rPr>
              <w:t>Implementation rate</w:t>
            </w:r>
          </w:p>
        </w:tc>
      </w:tr>
      <w:tr w:rsidR="00492B87" w:rsidRPr="00040D99" w14:paraId="7EE2DB55" w14:textId="77777777" w:rsidTr="00BB20EB">
        <w:tc>
          <w:tcPr>
            <w:cnfStyle w:val="001000000000" w:firstRow="0" w:lastRow="0" w:firstColumn="1" w:lastColumn="0" w:oddVBand="0" w:evenVBand="0" w:oddHBand="0" w:evenHBand="0" w:firstRowFirstColumn="0" w:firstRowLastColumn="0" w:lastRowFirstColumn="0" w:lastRowLastColumn="0"/>
            <w:tcW w:w="2409" w:type="dxa"/>
          </w:tcPr>
          <w:p w14:paraId="1CC94380" w14:textId="77777777" w:rsidR="00492B87" w:rsidRPr="00807AC3" w:rsidRDefault="00492B87" w:rsidP="00BB20EB">
            <w:pPr>
              <w:jc w:val="center"/>
              <w:rPr>
                <w:noProof/>
              </w:rPr>
            </w:pPr>
            <w:r>
              <w:rPr>
                <w:noProof/>
              </w:rPr>
              <w:t>Commitments</w:t>
            </w:r>
          </w:p>
        </w:tc>
        <w:tc>
          <w:tcPr>
            <w:tcW w:w="2410" w:type="dxa"/>
          </w:tcPr>
          <w:tbl>
            <w:tblPr>
              <w:tblStyle w:val="TableGrid"/>
              <w:tblW w:w="0" w:type="auto"/>
              <w:tblLook w:val="06A0" w:firstRow="1" w:lastRow="0" w:firstColumn="1" w:lastColumn="0" w:noHBand="1" w:noVBand="1"/>
            </w:tblPr>
            <w:tblGrid>
              <w:gridCol w:w="2194"/>
            </w:tblGrid>
            <w:tr w:rsidR="00492B87" w14:paraId="5E0B879B" w14:textId="77777777" w:rsidTr="00BB20EB">
              <w:trPr>
                <w:trHeight w:val="285"/>
              </w:trPr>
              <w:tc>
                <w:tcPr>
                  <w:tcW w:w="2290" w:type="dxa"/>
                  <w:tcBorders>
                    <w:top w:val="nil"/>
                    <w:left w:val="nil"/>
                    <w:bottom w:val="nil"/>
                    <w:right w:val="nil"/>
                  </w:tcBorders>
                  <w:vAlign w:val="bottom"/>
                </w:tcPr>
                <w:p w14:paraId="702F34DA" w14:textId="77777777" w:rsidR="00492B87" w:rsidRDefault="00492B87" w:rsidP="00BB20EB">
                  <w:pPr>
                    <w:jc w:val="center"/>
                    <w:rPr>
                      <w:noProof/>
                    </w:rPr>
                  </w:pPr>
                  <w:r>
                    <w:rPr>
                      <w:rFonts w:ascii="Calibri" w:hAnsi="Calibri" w:cs="Calibri"/>
                      <w:noProof/>
                      <w:color w:val="000000"/>
                    </w:rPr>
                    <w:t>864.0</w:t>
                  </w:r>
                </w:p>
              </w:tc>
            </w:tr>
          </w:tbl>
          <w:p w14:paraId="7B5E1B40" w14:textId="77777777" w:rsidR="00492B87" w:rsidRPr="00807AC3" w:rsidRDefault="00492B87"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492B87" w14:paraId="44C68D8C" w14:textId="77777777" w:rsidTr="00BB20EB">
              <w:trPr>
                <w:trHeight w:val="285"/>
              </w:trPr>
              <w:tc>
                <w:tcPr>
                  <w:tcW w:w="2290" w:type="dxa"/>
                  <w:tcBorders>
                    <w:top w:val="nil"/>
                    <w:left w:val="nil"/>
                    <w:bottom w:val="nil"/>
                    <w:right w:val="nil"/>
                  </w:tcBorders>
                  <w:vAlign w:val="bottom"/>
                </w:tcPr>
                <w:p w14:paraId="64484D33" w14:textId="77777777" w:rsidR="00492B87" w:rsidRDefault="00492B87" w:rsidP="00BB20EB">
                  <w:pPr>
                    <w:jc w:val="center"/>
                    <w:rPr>
                      <w:noProof/>
                    </w:rPr>
                  </w:pPr>
                  <w:r w:rsidRPr="6DC4680D">
                    <w:rPr>
                      <w:rFonts w:ascii="Calibri" w:hAnsi="Calibri" w:cs="Calibri"/>
                      <w:noProof/>
                      <w:color w:val="000000"/>
                    </w:rPr>
                    <w:t>5</w:t>
                  </w:r>
                  <w:r>
                    <w:rPr>
                      <w:rFonts w:ascii="Calibri" w:hAnsi="Calibri" w:cs="Calibri"/>
                      <w:noProof/>
                      <w:color w:val="000000"/>
                    </w:rPr>
                    <w:t> </w:t>
                  </w:r>
                  <w:r w:rsidRPr="6DC4680D">
                    <w:rPr>
                      <w:rFonts w:ascii="Calibri" w:hAnsi="Calibri" w:cs="Calibri"/>
                      <w:noProof/>
                      <w:color w:val="000000"/>
                    </w:rPr>
                    <w:t>614</w:t>
                  </w:r>
                  <w:r>
                    <w:rPr>
                      <w:rFonts w:ascii="Calibri" w:hAnsi="Calibri" w:cs="Calibri"/>
                      <w:noProof/>
                      <w:color w:val="000000"/>
                    </w:rPr>
                    <w:t>.6</w:t>
                  </w:r>
                </w:p>
              </w:tc>
            </w:tr>
          </w:tbl>
          <w:p w14:paraId="1030FC8B" w14:textId="77777777" w:rsidR="00492B87" w:rsidRPr="00807AC3" w:rsidRDefault="00492B87"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492B87" w14:paraId="5605BC74" w14:textId="77777777" w:rsidTr="00BB20EB">
              <w:trPr>
                <w:trHeight w:val="285"/>
              </w:trPr>
              <w:tc>
                <w:tcPr>
                  <w:tcW w:w="2290" w:type="dxa"/>
                  <w:tcBorders>
                    <w:top w:val="nil"/>
                    <w:left w:val="nil"/>
                    <w:bottom w:val="nil"/>
                    <w:right w:val="nil"/>
                  </w:tcBorders>
                  <w:vAlign w:val="bottom"/>
                </w:tcPr>
                <w:p w14:paraId="42551B51" w14:textId="77777777" w:rsidR="00492B87" w:rsidRDefault="00492B87" w:rsidP="00BB20EB">
                  <w:pPr>
                    <w:jc w:val="center"/>
                    <w:rPr>
                      <w:noProof/>
                    </w:rPr>
                  </w:pPr>
                  <w:r>
                    <w:rPr>
                      <w:rFonts w:ascii="Calibri" w:hAnsi="Calibri" w:cs="Calibri"/>
                      <w:noProof/>
                      <w:color w:val="000000"/>
                    </w:rPr>
                    <w:t>15</w:t>
                  </w:r>
                  <w:r w:rsidRPr="6DC4680D">
                    <w:rPr>
                      <w:rFonts w:ascii="Calibri" w:hAnsi="Calibri" w:cs="Calibri"/>
                      <w:noProof/>
                      <w:color w:val="000000"/>
                    </w:rPr>
                    <w:t>%</w:t>
                  </w:r>
                </w:p>
              </w:tc>
            </w:tr>
          </w:tbl>
          <w:p w14:paraId="351B99AA" w14:textId="77777777" w:rsidR="00492B87" w:rsidRPr="00807AC3" w:rsidRDefault="00492B87" w:rsidP="00BB20EB">
            <w:pPr>
              <w:jc w:val="center"/>
              <w:cnfStyle w:val="000000000000" w:firstRow="0" w:lastRow="0" w:firstColumn="0" w:lastColumn="0" w:oddVBand="0" w:evenVBand="0" w:oddHBand="0" w:evenHBand="0" w:firstRowFirstColumn="0" w:firstRowLastColumn="0" w:lastRowFirstColumn="0" w:lastRowLastColumn="0"/>
              <w:rPr>
                <w:noProof/>
              </w:rPr>
            </w:pPr>
          </w:p>
        </w:tc>
      </w:tr>
      <w:tr w:rsidR="00492B87" w:rsidRPr="00040D99" w14:paraId="5F6F0C3B" w14:textId="77777777" w:rsidTr="00BB20EB">
        <w:tc>
          <w:tcPr>
            <w:cnfStyle w:val="001000000000" w:firstRow="0" w:lastRow="0" w:firstColumn="1" w:lastColumn="0" w:oddVBand="0" w:evenVBand="0" w:oddHBand="0" w:evenHBand="0" w:firstRowFirstColumn="0" w:firstRowLastColumn="0" w:lastRowFirstColumn="0" w:lastRowLastColumn="0"/>
            <w:tcW w:w="2409" w:type="dxa"/>
          </w:tcPr>
          <w:p w14:paraId="60053E25" w14:textId="77777777" w:rsidR="00492B87" w:rsidRPr="00807AC3" w:rsidRDefault="00492B87" w:rsidP="00BB20EB">
            <w:pPr>
              <w:jc w:val="center"/>
              <w:rPr>
                <w:noProof/>
              </w:rPr>
            </w:pPr>
            <w:r w:rsidRPr="00807AC3">
              <w:rPr>
                <w:noProof/>
              </w:rPr>
              <w:t>Payments</w:t>
            </w:r>
          </w:p>
        </w:tc>
        <w:tc>
          <w:tcPr>
            <w:tcW w:w="2410" w:type="dxa"/>
          </w:tcPr>
          <w:tbl>
            <w:tblPr>
              <w:tblStyle w:val="TableGrid"/>
              <w:tblW w:w="0" w:type="auto"/>
              <w:tblLook w:val="06A0" w:firstRow="1" w:lastRow="0" w:firstColumn="1" w:lastColumn="0" w:noHBand="1" w:noVBand="1"/>
            </w:tblPr>
            <w:tblGrid>
              <w:gridCol w:w="2194"/>
            </w:tblGrid>
            <w:tr w:rsidR="00492B87" w14:paraId="30ADBA92" w14:textId="77777777" w:rsidTr="00BB20EB">
              <w:trPr>
                <w:trHeight w:val="285"/>
              </w:trPr>
              <w:tc>
                <w:tcPr>
                  <w:tcW w:w="2290" w:type="dxa"/>
                  <w:tcBorders>
                    <w:top w:val="nil"/>
                    <w:left w:val="nil"/>
                    <w:bottom w:val="nil"/>
                    <w:right w:val="nil"/>
                  </w:tcBorders>
                  <w:vAlign w:val="bottom"/>
                </w:tcPr>
                <w:p w14:paraId="442DEB6E" w14:textId="77777777" w:rsidR="00492B87" w:rsidRDefault="00492B87" w:rsidP="00BB20EB">
                  <w:pPr>
                    <w:jc w:val="center"/>
                    <w:rPr>
                      <w:noProof/>
                    </w:rPr>
                  </w:pPr>
                  <w:r w:rsidRPr="6DC4680D">
                    <w:rPr>
                      <w:rFonts w:ascii="Calibri" w:hAnsi="Calibri" w:cs="Calibri"/>
                      <w:noProof/>
                      <w:color w:val="000000"/>
                    </w:rPr>
                    <w:t>262</w:t>
                  </w:r>
                  <w:r>
                    <w:rPr>
                      <w:rFonts w:ascii="Calibri" w:hAnsi="Calibri" w:cs="Calibri"/>
                      <w:noProof/>
                      <w:color w:val="000000"/>
                    </w:rPr>
                    <w:t>.6</w:t>
                  </w:r>
                </w:p>
              </w:tc>
            </w:tr>
          </w:tbl>
          <w:p w14:paraId="13DB4430" w14:textId="77777777" w:rsidR="00492B87" w:rsidRPr="00807AC3" w:rsidRDefault="00492B87"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5DD3B469" w14:textId="77777777" w:rsidR="00492B87" w:rsidRPr="00807AC3" w:rsidRDefault="00492B87"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492B87" w14:paraId="78642C78" w14:textId="77777777" w:rsidTr="00BB20EB">
              <w:trPr>
                <w:trHeight w:val="285"/>
              </w:trPr>
              <w:tc>
                <w:tcPr>
                  <w:tcW w:w="2235" w:type="dxa"/>
                  <w:tcBorders>
                    <w:top w:val="nil"/>
                    <w:left w:val="nil"/>
                    <w:bottom w:val="nil"/>
                    <w:right w:val="nil"/>
                  </w:tcBorders>
                  <w:vAlign w:val="bottom"/>
                </w:tcPr>
                <w:p w14:paraId="1DBD0B38" w14:textId="77777777" w:rsidR="00492B87" w:rsidRDefault="00492B87" w:rsidP="00BB20EB">
                  <w:pPr>
                    <w:jc w:val="center"/>
                    <w:rPr>
                      <w:noProof/>
                    </w:rPr>
                  </w:pPr>
                  <w:r>
                    <w:rPr>
                      <w:rFonts w:ascii="Calibri" w:hAnsi="Calibri" w:cs="Calibri"/>
                      <w:noProof/>
                      <w:color w:val="000000"/>
                    </w:rPr>
                    <w:t>5</w:t>
                  </w:r>
                  <w:r w:rsidRPr="6DC4680D">
                    <w:rPr>
                      <w:rFonts w:ascii="Calibri" w:hAnsi="Calibri" w:cs="Calibri"/>
                      <w:noProof/>
                      <w:color w:val="000000"/>
                    </w:rPr>
                    <w:t>%</w:t>
                  </w:r>
                </w:p>
              </w:tc>
            </w:tr>
          </w:tbl>
          <w:p w14:paraId="360B0296" w14:textId="77777777" w:rsidR="00492B87" w:rsidRPr="00807AC3" w:rsidRDefault="00492B87" w:rsidP="00BB20EB">
            <w:pPr>
              <w:jc w:val="center"/>
              <w:cnfStyle w:val="000000000000" w:firstRow="0" w:lastRow="0" w:firstColumn="0" w:lastColumn="0" w:oddVBand="0" w:evenVBand="0" w:oddHBand="0" w:evenHBand="0" w:firstRowFirstColumn="0" w:firstRowLastColumn="0" w:lastRowFirstColumn="0" w:lastRowLastColumn="0"/>
              <w:rPr>
                <w:noProof/>
              </w:rPr>
            </w:pPr>
          </w:p>
        </w:tc>
      </w:tr>
    </w:tbl>
    <w:p w14:paraId="4235282C" w14:textId="77777777" w:rsidR="00492B87" w:rsidRPr="00040D99" w:rsidRDefault="00492B87" w:rsidP="00492B87">
      <w:pPr>
        <w:pStyle w:val="ppoTableTabletitle"/>
        <w:rPr>
          <w:b/>
          <w:noProof/>
        </w:rPr>
      </w:pPr>
      <w:r w:rsidRPr="00040D99">
        <w:rPr>
          <w:noProof/>
        </w:rPr>
        <w:t>Voted budget implementation in 2021</w:t>
      </w:r>
      <w:r>
        <w:rPr>
          <w:noProof/>
        </w:rPr>
        <w:t xml:space="preserve"> (million</w:t>
      </w:r>
      <w:r w:rsidRPr="007D2ED3">
        <w:rPr>
          <w:noProof/>
        </w:rPr>
        <w:t xml:space="preserve"> </w:t>
      </w:r>
      <w:r>
        <w:rPr>
          <w:noProof/>
        </w:rPr>
        <w:t>EUR):</w:t>
      </w:r>
    </w:p>
    <w:tbl>
      <w:tblPr>
        <w:tblStyle w:val="PPO2021"/>
        <w:tblW w:w="3683" w:type="pct"/>
        <w:tblInd w:w="79" w:type="dxa"/>
        <w:tblLook w:val="04A0" w:firstRow="1" w:lastRow="0" w:firstColumn="1" w:lastColumn="0" w:noHBand="0" w:noVBand="1"/>
      </w:tblPr>
      <w:tblGrid>
        <w:gridCol w:w="2381"/>
        <w:gridCol w:w="2390"/>
        <w:gridCol w:w="2349"/>
      </w:tblGrid>
      <w:tr w:rsidR="00492B87" w:rsidRPr="00637176" w14:paraId="2D495451" w14:textId="77777777" w:rsidTr="00BB20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0C52F9AD" w14:textId="77777777" w:rsidR="00492B87" w:rsidRPr="0017374C" w:rsidRDefault="00492B87" w:rsidP="00BB20EB">
            <w:pPr>
              <w:rPr>
                <w:noProof/>
              </w:rPr>
            </w:pPr>
          </w:p>
        </w:tc>
        <w:tc>
          <w:tcPr>
            <w:tcW w:w="2419" w:type="dxa"/>
          </w:tcPr>
          <w:p w14:paraId="66412595" w14:textId="77777777" w:rsidR="00492B87" w:rsidRPr="0017374C" w:rsidRDefault="00492B87" w:rsidP="00BB20EB">
            <w:pPr>
              <w:cnfStyle w:val="100000000000" w:firstRow="1" w:lastRow="0" w:firstColumn="0" w:lastColumn="0" w:oddVBand="0" w:evenVBand="0" w:oddHBand="0" w:evenHBand="0" w:firstRowFirstColumn="0" w:firstRowLastColumn="0" w:lastRowFirstColumn="0" w:lastRowLastColumn="0"/>
              <w:rPr>
                <w:noProof/>
              </w:rPr>
            </w:pPr>
            <w:r w:rsidRPr="0017374C">
              <w:rPr>
                <w:noProof/>
              </w:rPr>
              <w:t>Voted budget implementation</w:t>
            </w:r>
          </w:p>
        </w:tc>
        <w:tc>
          <w:tcPr>
            <w:tcW w:w="2420" w:type="dxa"/>
          </w:tcPr>
          <w:p w14:paraId="6C4BA6C2" w14:textId="77777777" w:rsidR="00492B87" w:rsidRPr="0017374C" w:rsidRDefault="00492B87" w:rsidP="00BB20EB">
            <w:pPr>
              <w:cnfStyle w:val="100000000000" w:firstRow="1" w:lastRow="0" w:firstColumn="0" w:lastColumn="0" w:oddVBand="0" w:evenVBand="0" w:oddHBand="0" w:evenHBand="0" w:firstRowFirstColumn="0" w:firstRowLastColumn="0" w:lastRowFirstColumn="0" w:lastRowLastColumn="0"/>
              <w:rPr>
                <w:noProof/>
              </w:rPr>
            </w:pPr>
            <w:r w:rsidRPr="0017374C">
              <w:rPr>
                <w:noProof/>
              </w:rPr>
              <w:t>Initial voted budget</w:t>
            </w:r>
          </w:p>
        </w:tc>
      </w:tr>
      <w:tr w:rsidR="00492B87" w:rsidRPr="00040D99" w14:paraId="1CD5CF04" w14:textId="77777777" w:rsidTr="00BB2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71347A5E" w14:textId="77777777" w:rsidR="00492B87" w:rsidRPr="0017374C" w:rsidRDefault="00492B87" w:rsidP="00BB20EB">
            <w:pPr>
              <w:jc w:val="center"/>
              <w:rPr>
                <w:noProof/>
              </w:rPr>
            </w:pPr>
            <w:r w:rsidRPr="0017374C">
              <w:rPr>
                <w:noProof/>
              </w:rPr>
              <w:t>Commitments</w:t>
            </w:r>
          </w:p>
        </w:tc>
        <w:tc>
          <w:tcPr>
            <w:tcW w:w="2419" w:type="dxa"/>
          </w:tcPr>
          <w:p w14:paraId="05476B47" w14:textId="77777777" w:rsidR="00492B87" w:rsidRPr="0017374C" w:rsidRDefault="00492B87" w:rsidP="00BB20EB">
            <w:pPr>
              <w:jc w:val="center"/>
              <w:cnfStyle w:val="000000100000" w:firstRow="0" w:lastRow="0" w:firstColumn="0" w:lastColumn="0" w:oddVBand="0" w:evenVBand="0" w:oddHBand="1" w:evenHBand="0" w:firstRowFirstColumn="0" w:firstRowLastColumn="0" w:lastRowFirstColumn="0" w:lastRowLastColumn="0"/>
              <w:rPr>
                <w:noProof/>
              </w:rPr>
            </w:pPr>
            <w:r w:rsidRPr="00122925">
              <w:rPr>
                <w:noProof/>
              </w:rPr>
              <w:t>864</w:t>
            </w:r>
            <w:r>
              <w:rPr>
                <w:noProof/>
              </w:rPr>
              <w:t>.</w:t>
            </w:r>
            <w:r w:rsidRPr="00122925">
              <w:rPr>
                <w:noProof/>
              </w:rPr>
              <w:t>0</w:t>
            </w:r>
          </w:p>
        </w:tc>
        <w:tc>
          <w:tcPr>
            <w:tcW w:w="2420" w:type="dxa"/>
          </w:tcPr>
          <w:p w14:paraId="1FEB317A" w14:textId="77777777" w:rsidR="00492B87" w:rsidRPr="0017374C" w:rsidRDefault="00492B87" w:rsidP="00BB20EB">
            <w:pPr>
              <w:jc w:val="center"/>
              <w:cnfStyle w:val="000000100000" w:firstRow="0" w:lastRow="0" w:firstColumn="0" w:lastColumn="0" w:oddVBand="0" w:evenVBand="0" w:oddHBand="1" w:evenHBand="0" w:firstRowFirstColumn="0" w:firstRowLastColumn="0" w:lastRowFirstColumn="0" w:lastRowLastColumn="0"/>
              <w:rPr>
                <w:noProof/>
              </w:rPr>
            </w:pPr>
            <w:r w:rsidRPr="00122925">
              <w:rPr>
                <w:noProof/>
              </w:rPr>
              <w:t>864</w:t>
            </w:r>
            <w:r>
              <w:rPr>
                <w:noProof/>
              </w:rPr>
              <w:t>.</w:t>
            </w:r>
            <w:r w:rsidRPr="00122925">
              <w:rPr>
                <w:noProof/>
              </w:rPr>
              <w:t>0</w:t>
            </w:r>
          </w:p>
        </w:tc>
      </w:tr>
      <w:tr w:rsidR="00492B87" w:rsidRPr="00040D99" w14:paraId="744D24DE" w14:textId="77777777" w:rsidTr="00BB20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5173A10C" w14:textId="77777777" w:rsidR="00492B87" w:rsidRPr="0017374C" w:rsidRDefault="00492B87" w:rsidP="00BB20EB">
            <w:pPr>
              <w:jc w:val="center"/>
              <w:rPr>
                <w:noProof/>
              </w:rPr>
            </w:pPr>
            <w:r w:rsidRPr="0017374C">
              <w:rPr>
                <w:noProof/>
              </w:rPr>
              <w:t>Payments</w:t>
            </w:r>
          </w:p>
        </w:tc>
        <w:tc>
          <w:tcPr>
            <w:tcW w:w="2419" w:type="dxa"/>
          </w:tcPr>
          <w:p w14:paraId="5BF625F8" w14:textId="77777777" w:rsidR="00492B87" w:rsidRPr="0017374C" w:rsidRDefault="00492B87" w:rsidP="00BB20EB">
            <w:pPr>
              <w:jc w:val="center"/>
              <w:cnfStyle w:val="000000010000" w:firstRow="0" w:lastRow="0" w:firstColumn="0" w:lastColumn="0" w:oddVBand="0" w:evenVBand="0" w:oddHBand="0" w:evenHBand="1" w:firstRowFirstColumn="0" w:firstRowLastColumn="0" w:lastRowFirstColumn="0" w:lastRowLastColumn="0"/>
              <w:rPr>
                <w:noProof/>
              </w:rPr>
            </w:pPr>
            <w:r w:rsidRPr="008F4DD8">
              <w:rPr>
                <w:noProof/>
              </w:rPr>
              <w:t>262</w:t>
            </w:r>
            <w:r>
              <w:rPr>
                <w:noProof/>
              </w:rPr>
              <w:t>.</w:t>
            </w:r>
            <w:r w:rsidRPr="008F4DD8">
              <w:rPr>
                <w:noProof/>
              </w:rPr>
              <w:t>6</w:t>
            </w:r>
          </w:p>
        </w:tc>
        <w:tc>
          <w:tcPr>
            <w:tcW w:w="2420" w:type="dxa"/>
          </w:tcPr>
          <w:p w14:paraId="0D1B886B" w14:textId="77777777" w:rsidR="00492B87" w:rsidRPr="0017374C" w:rsidRDefault="00492B87" w:rsidP="00BB20EB">
            <w:pPr>
              <w:jc w:val="center"/>
              <w:cnfStyle w:val="000000010000" w:firstRow="0" w:lastRow="0" w:firstColumn="0" w:lastColumn="0" w:oddVBand="0" w:evenVBand="0" w:oddHBand="0" w:evenHBand="1" w:firstRowFirstColumn="0" w:firstRowLastColumn="0" w:lastRowFirstColumn="0" w:lastRowLastColumn="0"/>
              <w:rPr>
                <w:noProof/>
              </w:rPr>
            </w:pPr>
            <w:r w:rsidRPr="008F4DD8">
              <w:rPr>
                <w:noProof/>
              </w:rPr>
              <w:t>263</w:t>
            </w:r>
            <w:r>
              <w:rPr>
                <w:noProof/>
              </w:rPr>
              <w:t>.</w:t>
            </w:r>
            <w:r w:rsidRPr="008F4DD8">
              <w:rPr>
                <w:noProof/>
              </w:rPr>
              <w:t>9</w:t>
            </w:r>
          </w:p>
        </w:tc>
      </w:tr>
    </w:tbl>
    <w:p w14:paraId="4E8C5B19" w14:textId="77777777" w:rsidR="00492B87" w:rsidRDefault="00492B87" w:rsidP="00492B87">
      <w:pPr>
        <w:pStyle w:val="ppoListHyphened-L1"/>
        <w:numPr>
          <w:ilvl w:val="0"/>
          <w:numId w:val="0"/>
        </w:numPr>
        <w:ind w:left="357"/>
        <w:rPr>
          <w:noProof/>
        </w:rPr>
      </w:pPr>
    </w:p>
    <w:p w14:paraId="798FB10F" w14:textId="77777777" w:rsidR="00492B87" w:rsidRDefault="00492B87" w:rsidP="00492B87">
      <w:pPr>
        <w:pStyle w:val="ppoListHyphened-L1"/>
        <w:jc w:val="both"/>
        <w:rPr>
          <w:noProof/>
        </w:rPr>
      </w:pPr>
      <w:r>
        <w:rPr>
          <w:noProof/>
        </w:rPr>
        <w:t>The ITER Organization and the ITER domestic agencies have continued the implementation of the revised construction strategy.</w:t>
      </w:r>
    </w:p>
    <w:p w14:paraId="18888AA2" w14:textId="77777777" w:rsidR="00492B87" w:rsidRDefault="00492B87" w:rsidP="00492B87">
      <w:pPr>
        <w:pStyle w:val="ppoListHyphened-L1"/>
        <w:jc w:val="both"/>
        <w:rPr>
          <w:noProof/>
        </w:rPr>
      </w:pPr>
      <w:r>
        <w:rPr>
          <w:noProof/>
        </w:rPr>
        <w:t>92.7% of the total budget has been allocated to operational lines in 2021, the remainder being allocated to support expenditure.</w:t>
      </w:r>
    </w:p>
    <w:p w14:paraId="493B17D5" w14:textId="77777777" w:rsidR="00492B87" w:rsidRDefault="00492B87" w:rsidP="00492B87">
      <w:pPr>
        <w:pStyle w:val="ppoListHyphened-L1"/>
        <w:jc w:val="both"/>
        <w:rPr>
          <w:noProof/>
        </w:rPr>
      </w:pPr>
      <w:r w:rsidRPr="00A630AF">
        <w:rPr>
          <w:noProof/>
        </w:rPr>
        <w:t>The main actions focused on pr</w:t>
      </w:r>
      <w:r>
        <w:rPr>
          <w:noProof/>
        </w:rPr>
        <w:t xml:space="preserve">ocurement activities included in the work programme for 2021 adopted </w:t>
      </w:r>
      <w:r w:rsidRPr="00A630AF">
        <w:rPr>
          <w:noProof/>
        </w:rPr>
        <w:t xml:space="preserve">in December 2020 and </w:t>
      </w:r>
      <w:r>
        <w:rPr>
          <w:noProof/>
        </w:rPr>
        <w:t xml:space="preserve">lastly </w:t>
      </w:r>
      <w:r w:rsidRPr="00A630AF">
        <w:rPr>
          <w:noProof/>
        </w:rPr>
        <w:t>amended in November 2021.</w:t>
      </w:r>
    </w:p>
    <w:p w14:paraId="7B0E1BF2" w14:textId="77777777" w:rsidR="00492B87" w:rsidRDefault="00492B87" w:rsidP="00492B87">
      <w:pPr>
        <w:pStyle w:val="ppoListHyphened-L1"/>
        <w:jc w:val="both"/>
        <w:rPr>
          <w:noProof/>
        </w:rPr>
      </w:pPr>
      <w:r w:rsidRPr="00A630AF">
        <w:rPr>
          <w:noProof/>
        </w:rPr>
        <w:t xml:space="preserve">Due to delays in the implementation of some actions at the end of </w:t>
      </w:r>
      <w:r>
        <w:rPr>
          <w:noProof/>
        </w:rPr>
        <w:t>2021</w:t>
      </w:r>
      <w:r w:rsidRPr="00A630AF">
        <w:rPr>
          <w:noProof/>
        </w:rPr>
        <w:t>, the signature of three procurement procedures with a total value of EUR</w:t>
      </w:r>
      <w:r>
        <w:rPr>
          <w:rFonts w:ascii="Calibri" w:hAnsi="Calibri" w:cs="Calibri"/>
          <w:noProof/>
        </w:rPr>
        <w:t> </w:t>
      </w:r>
      <w:r w:rsidRPr="00A630AF">
        <w:rPr>
          <w:noProof/>
        </w:rPr>
        <w:t>123.7</w:t>
      </w:r>
      <w:r>
        <w:rPr>
          <w:rFonts w:ascii="Calibri" w:hAnsi="Calibri" w:cs="Calibri"/>
          <w:noProof/>
        </w:rPr>
        <w:t> </w:t>
      </w:r>
      <w:r w:rsidRPr="00A630AF">
        <w:rPr>
          <w:noProof/>
        </w:rPr>
        <w:t>million will occur in the beginning of 2022.</w:t>
      </w:r>
    </w:p>
    <w:p w14:paraId="6752FD63" w14:textId="77777777" w:rsidR="00492B87" w:rsidRPr="00A630AF" w:rsidRDefault="00492B87" w:rsidP="00492B87">
      <w:pPr>
        <w:pStyle w:val="ppoListHyphened-L1"/>
        <w:jc w:val="both"/>
        <w:rPr>
          <w:noProof/>
        </w:rPr>
      </w:pPr>
      <w:r>
        <w:rPr>
          <w:noProof/>
        </w:rPr>
        <w:t>The impact of</w:t>
      </w:r>
      <w:r w:rsidRPr="00666CA4">
        <w:rPr>
          <w:noProof/>
        </w:rPr>
        <w:t xml:space="preserve"> </w:t>
      </w:r>
      <w:r w:rsidRPr="00A630AF">
        <w:rPr>
          <w:noProof/>
        </w:rPr>
        <w:t>COVID</w:t>
      </w:r>
      <w:r>
        <w:rPr>
          <w:noProof/>
        </w:rPr>
        <w:noBreakHyphen/>
      </w:r>
      <w:r w:rsidRPr="00A630AF">
        <w:rPr>
          <w:noProof/>
        </w:rPr>
        <w:t xml:space="preserve">19 </w:t>
      </w:r>
      <w:r>
        <w:rPr>
          <w:noProof/>
        </w:rPr>
        <w:t xml:space="preserve">has been estimated </w:t>
      </w:r>
      <w:r w:rsidRPr="007051D3">
        <w:rPr>
          <w:noProof/>
        </w:rPr>
        <w:t>to be a delay</w:t>
      </w:r>
      <w:r w:rsidRPr="00666CA4">
        <w:rPr>
          <w:noProof/>
        </w:rPr>
        <w:t xml:space="preserve"> of up to 4</w:t>
      </w:r>
      <w:r>
        <w:rPr>
          <w:rFonts w:ascii="Calibri" w:hAnsi="Calibri" w:cs="Calibri"/>
          <w:noProof/>
        </w:rPr>
        <w:t> </w:t>
      </w:r>
      <w:r w:rsidRPr="00666CA4">
        <w:rPr>
          <w:noProof/>
        </w:rPr>
        <w:t>months, depending on the component</w:t>
      </w:r>
      <w:r>
        <w:rPr>
          <w:noProof/>
        </w:rPr>
        <w:t xml:space="preserve">. There is also a </w:t>
      </w:r>
      <w:r w:rsidRPr="00A630AF">
        <w:rPr>
          <w:noProof/>
        </w:rPr>
        <w:t>financial impact linked mainly to the additional sanitary measures that increase costs.</w:t>
      </w:r>
    </w:p>
    <w:p w14:paraId="75CF9D26" w14:textId="77777777" w:rsidR="00492B87" w:rsidRPr="00040D99" w:rsidRDefault="00492B87" w:rsidP="00492B87">
      <w:pPr>
        <w:pStyle w:val="ppoListHyphened-L1"/>
        <w:numPr>
          <w:ilvl w:val="0"/>
          <w:numId w:val="0"/>
        </w:numPr>
        <w:ind w:left="357"/>
        <w:rPr>
          <w:noProof/>
        </w:rPr>
      </w:pPr>
    </w:p>
    <w:p w14:paraId="38CCA102" w14:textId="77777777" w:rsidR="00492B87" w:rsidRPr="00040D99" w:rsidRDefault="00492B87" w:rsidP="00492B87">
      <w:pPr>
        <w:pStyle w:val="ppoHeading5"/>
        <w:rPr>
          <w:noProof/>
        </w:rPr>
      </w:pPr>
      <w:bookmarkStart w:id="41" w:name="_Toc94522856"/>
      <w:r w:rsidRPr="00040D99">
        <w:rPr>
          <w:noProof/>
        </w:rPr>
        <w:t>Contribution to horizontal priorities</w:t>
      </w:r>
      <w:bookmarkEnd w:id="41"/>
    </w:p>
    <w:p w14:paraId="1D499A47" w14:textId="77777777" w:rsidR="00492B87" w:rsidRPr="00040D99" w:rsidRDefault="00492B87" w:rsidP="00492B87">
      <w:pPr>
        <w:pStyle w:val="ppoTableTabletitle"/>
        <w:rPr>
          <w:noProof/>
        </w:rPr>
      </w:pPr>
      <w:r w:rsidRPr="00040D99">
        <w:rPr>
          <w:noProof/>
        </w:rPr>
        <w:t>EU budget contribution in 2021</w:t>
      </w:r>
      <w:r>
        <w:rPr>
          <w:noProof/>
        </w:rPr>
        <w:t xml:space="preserve"> (million</w:t>
      </w:r>
      <w:r w:rsidRPr="007D2ED3">
        <w:rPr>
          <w:noProof/>
        </w:rPr>
        <w:t xml:space="preserve"> </w:t>
      </w:r>
      <w:r>
        <w:rPr>
          <w:noProof/>
        </w:rPr>
        <w:t>EUR):</w:t>
      </w:r>
    </w:p>
    <w:tbl>
      <w:tblPr>
        <w:tblStyle w:val="PPO2021"/>
        <w:tblW w:w="9639" w:type="dxa"/>
        <w:tblInd w:w="0" w:type="dxa"/>
        <w:tblLook w:val="0420" w:firstRow="1" w:lastRow="0" w:firstColumn="0" w:lastColumn="0" w:noHBand="0" w:noVBand="1"/>
      </w:tblPr>
      <w:tblGrid>
        <w:gridCol w:w="3213"/>
        <w:gridCol w:w="3213"/>
        <w:gridCol w:w="3213"/>
      </w:tblGrid>
      <w:tr w:rsidR="00492B87" w:rsidRPr="00040D99" w14:paraId="46F9DD52" w14:textId="77777777" w:rsidTr="00BB20EB">
        <w:trPr>
          <w:cnfStyle w:val="100000000000" w:firstRow="1" w:lastRow="0" w:firstColumn="0" w:lastColumn="0" w:oddVBand="0" w:evenVBand="0" w:oddHBand="0" w:evenHBand="0" w:firstRowFirstColumn="0" w:firstRowLastColumn="0" w:lastRowFirstColumn="0" w:lastRowLastColumn="0"/>
          <w:tblHeader/>
        </w:trPr>
        <w:tc>
          <w:tcPr>
            <w:tcW w:w="3213" w:type="dxa"/>
          </w:tcPr>
          <w:p w14:paraId="2BB05363" w14:textId="77777777" w:rsidR="00492B87" w:rsidRPr="00BD731A" w:rsidRDefault="00492B87" w:rsidP="00BB20EB">
            <w:pPr>
              <w:rPr>
                <w:noProof/>
              </w:rPr>
            </w:pPr>
            <w:r w:rsidRPr="00BD731A">
              <w:rPr>
                <w:noProof/>
              </w:rPr>
              <w:t>Climate</w:t>
            </w:r>
          </w:p>
        </w:tc>
        <w:tc>
          <w:tcPr>
            <w:tcW w:w="3213" w:type="dxa"/>
          </w:tcPr>
          <w:p w14:paraId="267BBC48" w14:textId="77777777" w:rsidR="00492B87" w:rsidRPr="00BD731A" w:rsidRDefault="00492B87" w:rsidP="00BB20EB">
            <w:pPr>
              <w:rPr>
                <w:noProof/>
              </w:rPr>
            </w:pPr>
            <w:r w:rsidRPr="00BD731A">
              <w:rPr>
                <w:noProof/>
              </w:rPr>
              <w:t>Biodiversity</w:t>
            </w:r>
          </w:p>
        </w:tc>
        <w:tc>
          <w:tcPr>
            <w:tcW w:w="3213" w:type="dxa"/>
          </w:tcPr>
          <w:p w14:paraId="73F2DC49" w14:textId="77777777" w:rsidR="00492B87" w:rsidRPr="00BD731A" w:rsidRDefault="00492B87" w:rsidP="00BB20EB">
            <w:pPr>
              <w:rPr>
                <w:noProof/>
              </w:rPr>
            </w:pPr>
            <w:r w:rsidRPr="00BD731A">
              <w:rPr>
                <w:noProof/>
              </w:rPr>
              <w:t>Gender equality</w:t>
            </w:r>
            <w:r>
              <w:rPr>
                <w:rFonts w:ascii="Calibri" w:hAnsi="Calibri" w:cs="Calibri"/>
                <w:noProof/>
              </w:rPr>
              <w:t> (</w:t>
            </w:r>
            <w:r>
              <w:rPr>
                <w:noProof/>
              </w:rPr>
              <w:t>*)</w:t>
            </w:r>
          </w:p>
        </w:tc>
      </w:tr>
      <w:tr w:rsidR="00492B87" w:rsidRPr="00040D99" w14:paraId="5D51CADC" w14:textId="77777777" w:rsidTr="00BB20EB">
        <w:trPr>
          <w:cnfStyle w:val="000000100000" w:firstRow="0" w:lastRow="0" w:firstColumn="0" w:lastColumn="0" w:oddVBand="0" w:evenVBand="0" w:oddHBand="1" w:evenHBand="0" w:firstRowFirstColumn="0" w:firstRowLastColumn="0" w:lastRowFirstColumn="0" w:lastRowLastColumn="0"/>
        </w:trPr>
        <w:tc>
          <w:tcPr>
            <w:tcW w:w="3213" w:type="dxa"/>
          </w:tcPr>
          <w:tbl>
            <w:tblPr>
              <w:tblStyle w:val="TableGrid"/>
              <w:tblW w:w="0" w:type="auto"/>
              <w:tblLook w:val="06A0" w:firstRow="1" w:lastRow="0" w:firstColumn="1" w:lastColumn="0" w:noHBand="1" w:noVBand="1"/>
            </w:tblPr>
            <w:tblGrid>
              <w:gridCol w:w="1935"/>
            </w:tblGrid>
            <w:tr w:rsidR="00492B87" w14:paraId="45349E20" w14:textId="77777777" w:rsidTr="00BB20EB">
              <w:trPr>
                <w:trHeight w:val="285"/>
              </w:trPr>
              <w:tc>
                <w:tcPr>
                  <w:tcW w:w="1935" w:type="dxa"/>
                  <w:tcBorders>
                    <w:top w:val="nil"/>
                    <w:left w:val="nil"/>
                    <w:bottom w:val="nil"/>
                    <w:right w:val="nil"/>
                  </w:tcBorders>
                  <w:vAlign w:val="bottom"/>
                </w:tcPr>
                <w:p w14:paraId="7AAC75EA" w14:textId="77777777" w:rsidR="00492B87" w:rsidRDefault="00492B87" w:rsidP="00BB20EB">
                  <w:pPr>
                    <w:jc w:val="right"/>
                    <w:rPr>
                      <w:noProof/>
                    </w:rPr>
                  </w:pPr>
                  <w:r w:rsidRPr="6DC4680D">
                    <w:rPr>
                      <w:rFonts w:ascii="Calibri" w:hAnsi="Calibri" w:cs="Calibri"/>
                      <w:noProof/>
                      <w:color w:val="000000"/>
                    </w:rPr>
                    <w:t>857</w:t>
                  </w:r>
                  <w:r>
                    <w:rPr>
                      <w:rFonts w:ascii="Calibri" w:hAnsi="Calibri" w:cs="Calibri"/>
                      <w:noProof/>
                      <w:color w:val="000000"/>
                    </w:rPr>
                    <w:t>.1</w:t>
                  </w:r>
                </w:p>
              </w:tc>
            </w:tr>
          </w:tbl>
          <w:p w14:paraId="0EA2FEE1" w14:textId="77777777" w:rsidR="00492B87" w:rsidRPr="00BD731A" w:rsidRDefault="00492B87" w:rsidP="00BB20EB">
            <w:pPr>
              <w:jc w:val="center"/>
              <w:rPr>
                <w:noProof/>
              </w:rPr>
            </w:pPr>
          </w:p>
        </w:tc>
        <w:tc>
          <w:tcPr>
            <w:tcW w:w="3213" w:type="dxa"/>
          </w:tcPr>
          <w:p w14:paraId="1E18BBA2" w14:textId="77777777" w:rsidR="00492B87" w:rsidRPr="00BD731A" w:rsidRDefault="00492B87" w:rsidP="00BB20EB">
            <w:pPr>
              <w:jc w:val="center"/>
              <w:rPr>
                <w:noProof/>
              </w:rPr>
            </w:pPr>
            <w:r>
              <w:rPr>
                <w:noProof/>
              </w:rPr>
              <w:t>0</w:t>
            </w:r>
          </w:p>
        </w:tc>
        <w:tc>
          <w:tcPr>
            <w:tcW w:w="3213" w:type="dxa"/>
          </w:tcPr>
          <w:p w14:paraId="35E2EAAD" w14:textId="77777777" w:rsidR="00492B87" w:rsidRPr="00BD731A" w:rsidRDefault="00492B87" w:rsidP="00BB20EB">
            <w:pPr>
              <w:jc w:val="center"/>
              <w:rPr>
                <w:noProof/>
              </w:rPr>
            </w:pPr>
            <w:r>
              <w:rPr>
                <w:noProof/>
              </w:rPr>
              <w:t>Score 0: 864</w:t>
            </w:r>
          </w:p>
        </w:tc>
      </w:tr>
    </w:tbl>
    <w:p w14:paraId="25E035DC" w14:textId="77777777" w:rsidR="00492B87" w:rsidRPr="00982726" w:rsidRDefault="00492B87" w:rsidP="00492B87">
      <w:pPr>
        <w:pStyle w:val="FootnoteText"/>
        <w:rPr>
          <w:noProof/>
        </w:rPr>
      </w:pPr>
      <w:bookmarkStart w:id="42" w:name="_Toc94522857"/>
      <w:r>
        <w:rPr>
          <w:noProof/>
        </w:rPr>
        <w:t>(*)</w:t>
      </w:r>
      <w:r>
        <w:rPr>
          <w:noProof/>
        </w:rPr>
        <w:tab/>
      </w:r>
      <w:r w:rsidRPr="00982726">
        <w:rPr>
          <w:noProof/>
        </w:rPr>
        <w:t xml:space="preserve">Based on the </w:t>
      </w:r>
      <w:r>
        <w:rPr>
          <w:noProof/>
        </w:rPr>
        <w:t xml:space="preserve">applied gender contribution </w:t>
      </w:r>
      <w:r w:rsidRPr="00982726">
        <w:rPr>
          <w:noProof/>
        </w:rPr>
        <w:t>methodology</w:t>
      </w:r>
      <w:r>
        <w:rPr>
          <w:noProof/>
        </w:rPr>
        <w:t>,</w:t>
      </w:r>
      <w:r w:rsidRPr="00982726">
        <w:rPr>
          <w:noProof/>
        </w:rPr>
        <w:t xml:space="preserve"> the following scores are attributed at the most granular level of intervention possible:</w:t>
      </w:r>
    </w:p>
    <w:p w14:paraId="257F0DE4" w14:textId="77777777" w:rsidR="00492B87" w:rsidRPr="00982726" w:rsidRDefault="00492B87" w:rsidP="00476903">
      <w:pPr>
        <w:pStyle w:val="FootnoteText"/>
        <w:numPr>
          <w:ilvl w:val="0"/>
          <w:numId w:val="38"/>
        </w:numPr>
        <w:spacing w:after="60" w:line="264" w:lineRule="auto"/>
        <w:jc w:val="left"/>
        <w:rPr>
          <w:noProof/>
        </w:rPr>
      </w:pPr>
      <w:r>
        <w:rPr>
          <w:noProof/>
        </w:rPr>
        <w:t>2:</w:t>
      </w:r>
      <w:r w:rsidRPr="00982726">
        <w:rPr>
          <w:noProof/>
        </w:rPr>
        <w:t xml:space="preserve"> </w:t>
      </w:r>
      <w:r>
        <w:rPr>
          <w:noProof/>
        </w:rPr>
        <w:t>i</w:t>
      </w:r>
      <w:r w:rsidRPr="00982726">
        <w:rPr>
          <w:noProof/>
        </w:rPr>
        <w:t xml:space="preserve">nterventions </w:t>
      </w:r>
      <w:r>
        <w:rPr>
          <w:noProof/>
        </w:rPr>
        <w:t>the</w:t>
      </w:r>
      <w:r w:rsidRPr="00982726">
        <w:rPr>
          <w:noProof/>
        </w:rPr>
        <w:t xml:space="preserve"> principal objective </w:t>
      </w:r>
      <w:r>
        <w:rPr>
          <w:noProof/>
        </w:rPr>
        <w:t xml:space="preserve">of which </w:t>
      </w:r>
      <w:r w:rsidRPr="00982726">
        <w:rPr>
          <w:noProof/>
        </w:rPr>
        <w:t>is to improve gender equality;</w:t>
      </w:r>
    </w:p>
    <w:p w14:paraId="1644BCEC" w14:textId="77777777" w:rsidR="00492B87" w:rsidRPr="00982726" w:rsidRDefault="00492B87" w:rsidP="00476903">
      <w:pPr>
        <w:pStyle w:val="FootnoteText"/>
        <w:numPr>
          <w:ilvl w:val="0"/>
          <w:numId w:val="38"/>
        </w:numPr>
        <w:spacing w:after="60" w:line="264" w:lineRule="auto"/>
        <w:jc w:val="left"/>
        <w:rPr>
          <w:noProof/>
        </w:rPr>
      </w:pPr>
      <w:r>
        <w:rPr>
          <w:noProof/>
        </w:rPr>
        <w:t>1:</w:t>
      </w:r>
      <w:r w:rsidRPr="00982726">
        <w:rPr>
          <w:noProof/>
        </w:rPr>
        <w:t xml:space="preserve"> </w:t>
      </w:r>
      <w:r>
        <w:rPr>
          <w:noProof/>
        </w:rPr>
        <w:t>i</w:t>
      </w:r>
      <w:r w:rsidRPr="00982726">
        <w:rPr>
          <w:noProof/>
        </w:rPr>
        <w:t xml:space="preserve">nterventions </w:t>
      </w:r>
      <w:r>
        <w:rPr>
          <w:noProof/>
        </w:rPr>
        <w:t>that have</w:t>
      </w:r>
      <w:r w:rsidRPr="00982726">
        <w:rPr>
          <w:noProof/>
        </w:rPr>
        <w:t xml:space="preserve"> gender equality as an important and deliberate objective but not as the main reason for the intervention;</w:t>
      </w:r>
    </w:p>
    <w:p w14:paraId="66105C16" w14:textId="77777777" w:rsidR="00492B87" w:rsidRPr="00982726" w:rsidRDefault="00492B87" w:rsidP="00476903">
      <w:pPr>
        <w:pStyle w:val="FootnoteText"/>
        <w:numPr>
          <w:ilvl w:val="0"/>
          <w:numId w:val="38"/>
        </w:numPr>
        <w:spacing w:after="60" w:line="264" w:lineRule="auto"/>
        <w:jc w:val="left"/>
        <w:rPr>
          <w:noProof/>
        </w:rPr>
      </w:pPr>
      <w:r>
        <w:rPr>
          <w:noProof/>
        </w:rPr>
        <w:t>0:</w:t>
      </w:r>
      <w:r w:rsidRPr="00982726">
        <w:rPr>
          <w:noProof/>
        </w:rPr>
        <w:t xml:space="preserve"> </w:t>
      </w:r>
      <w:r>
        <w:rPr>
          <w:noProof/>
        </w:rPr>
        <w:t>n</w:t>
      </w:r>
      <w:r w:rsidRPr="00982726">
        <w:rPr>
          <w:noProof/>
        </w:rPr>
        <w:t>o</w:t>
      </w:r>
      <w:r>
        <w:rPr>
          <w:noProof/>
        </w:rPr>
        <w:t>n-</w:t>
      </w:r>
      <w:r w:rsidRPr="00982726">
        <w:rPr>
          <w:noProof/>
        </w:rPr>
        <w:t>targeted interventions</w:t>
      </w:r>
      <w:r>
        <w:rPr>
          <w:noProof/>
        </w:rPr>
        <w:t>;</w:t>
      </w:r>
    </w:p>
    <w:p w14:paraId="1CA9943B" w14:textId="77777777" w:rsidR="00492B87" w:rsidRPr="00982726" w:rsidRDefault="00492B87" w:rsidP="00476903">
      <w:pPr>
        <w:pStyle w:val="FootnoteText"/>
        <w:numPr>
          <w:ilvl w:val="0"/>
          <w:numId w:val="38"/>
        </w:numPr>
        <w:spacing w:after="60" w:line="264" w:lineRule="auto"/>
        <w:jc w:val="left"/>
        <w:rPr>
          <w:noProof/>
        </w:rPr>
      </w:pPr>
      <w:r>
        <w:rPr>
          <w:noProof/>
        </w:rPr>
        <w:t>0*:</w:t>
      </w:r>
      <w:r w:rsidRPr="00982726">
        <w:rPr>
          <w:noProof/>
        </w:rPr>
        <w:t xml:space="preserve"> </w:t>
      </w:r>
      <w:r>
        <w:rPr>
          <w:noProof/>
        </w:rPr>
        <w:t>s</w:t>
      </w:r>
      <w:r w:rsidRPr="00982726">
        <w:rPr>
          <w:noProof/>
        </w:rPr>
        <w:t xml:space="preserve">core to be assigned to interventions with </w:t>
      </w:r>
      <w:r>
        <w:rPr>
          <w:noProof/>
        </w:rPr>
        <w:t xml:space="preserve">a </w:t>
      </w:r>
      <w:r w:rsidRPr="00982726">
        <w:rPr>
          <w:noProof/>
        </w:rPr>
        <w:t>likely but not yet clear positive impact on gender equality.</w:t>
      </w:r>
    </w:p>
    <w:p w14:paraId="30A865EA" w14:textId="77777777" w:rsidR="00492B87" w:rsidRPr="00040D99" w:rsidRDefault="00492B87" w:rsidP="00492B87">
      <w:pPr>
        <w:pStyle w:val="ppoHeading5"/>
        <w:rPr>
          <w:noProof/>
        </w:rPr>
      </w:pPr>
      <w:r w:rsidRPr="00040D99">
        <w:rPr>
          <w:noProof/>
        </w:rPr>
        <w:t>Performance assessment</w:t>
      </w:r>
      <w:bookmarkEnd w:id="42"/>
    </w:p>
    <w:p w14:paraId="475A8A9D" w14:textId="77777777" w:rsidR="00492B87" w:rsidRPr="00040D99" w:rsidRDefault="00492B87" w:rsidP="00492B87">
      <w:pPr>
        <w:pStyle w:val="ppoHeading6"/>
        <w:rPr>
          <w:noProof/>
        </w:rPr>
      </w:pPr>
      <w:bookmarkStart w:id="43" w:name="_Toc94522858"/>
      <w:r w:rsidRPr="00040D99">
        <w:rPr>
          <w:noProof/>
        </w:rPr>
        <w:t>Key performance indicators</w:t>
      </w:r>
      <w:bookmarkEnd w:id="43"/>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492B87" w:rsidRPr="00AC11E4" w14:paraId="6E826842" w14:textId="77777777" w:rsidTr="00BB20EB">
        <w:trPr>
          <w:cnfStyle w:val="100000000000" w:firstRow="1" w:lastRow="0" w:firstColumn="0" w:lastColumn="0" w:oddVBand="0" w:evenVBand="0" w:oddHBand="0" w:evenHBand="0" w:firstRowFirstColumn="0" w:firstRowLastColumn="0" w:lastRowFirstColumn="0" w:lastRowLastColumn="0"/>
        </w:trPr>
        <w:tc>
          <w:tcPr>
            <w:tcW w:w="2330" w:type="dxa"/>
          </w:tcPr>
          <w:p w14:paraId="7784833F" w14:textId="77777777" w:rsidR="00492B87" w:rsidRPr="00884C9A" w:rsidRDefault="00492B87" w:rsidP="00BB20EB">
            <w:pPr>
              <w:rPr>
                <w:noProof/>
              </w:rPr>
            </w:pPr>
          </w:p>
        </w:tc>
        <w:tc>
          <w:tcPr>
            <w:tcW w:w="1100" w:type="dxa"/>
          </w:tcPr>
          <w:p w14:paraId="31ABFC67" w14:textId="77777777" w:rsidR="00492B87" w:rsidRPr="00884C9A" w:rsidRDefault="00492B87" w:rsidP="00BB20EB">
            <w:pPr>
              <w:rPr>
                <w:noProof/>
              </w:rPr>
            </w:pPr>
            <w:r w:rsidRPr="00884C9A">
              <w:rPr>
                <w:noProof/>
              </w:rPr>
              <w:t>Baseline</w:t>
            </w:r>
          </w:p>
        </w:tc>
        <w:tc>
          <w:tcPr>
            <w:tcW w:w="1526" w:type="dxa"/>
          </w:tcPr>
          <w:p w14:paraId="2DFEC047" w14:textId="77777777" w:rsidR="00492B87" w:rsidRPr="00663750" w:rsidRDefault="00492B87" w:rsidP="00BB20EB">
            <w:pPr>
              <w:rPr>
                <w:rFonts w:ascii="Calibri" w:hAnsi="Calibri" w:cs="Calibri"/>
                <w:noProof/>
              </w:rPr>
            </w:pPr>
            <w:r w:rsidRPr="00884C9A">
              <w:rPr>
                <w:noProof/>
              </w:rPr>
              <w:t>Progress</w:t>
            </w:r>
            <w:r>
              <w:rPr>
                <w:rFonts w:ascii="Calibri" w:hAnsi="Calibri" w:cs="Calibri"/>
                <w:noProof/>
              </w:rPr>
              <w:t> (*)</w:t>
            </w:r>
          </w:p>
        </w:tc>
        <w:tc>
          <w:tcPr>
            <w:tcW w:w="1532" w:type="dxa"/>
          </w:tcPr>
          <w:p w14:paraId="21233ADD" w14:textId="77777777" w:rsidR="00492B87" w:rsidRPr="00884C9A" w:rsidRDefault="00492B87" w:rsidP="00BB20EB">
            <w:pPr>
              <w:rPr>
                <w:noProof/>
              </w:rPr>
            </w:pPr>
            <w:r w:rsidRPr="00884C9A">
              <w:rPr>
                <w:noProof/>
              </w:rPr>
              <w:t>Target</w:t>
            </w:r>
          </w:p>
        </w:tc>
        <w:tc>
          <w:tcPr>
            <w:tcW w:w="1572" w:type="dxa"/>
          </w:tcPr>
          <w:p w14:paraId="5F95E64F" w14:textId="77777777" w:rsidR="00492B87" w:rsidRPr="00884C9A" w:rsidRDefault="00492B87" w:rsidP="00BB20EB">
            <w:pPr>
              <w:rPr>
                <w:noProof/>
              </w:rPr>
            </w:pPr>
            <w:r w:rsidRPr="00884C9A">
              <w:rPr>
                <w:noProof/>
              </w:rPr>
              <w:t>Results</w:t>
            </w:r>
          </w:p>
        </w:tc>
        <w:tc>
          <w:tcPr>
            <w:tcW w:w="1579" w:type="dxa"/>
          </w:tcPr>
          <w:p w14:paraId="14B13D1E" w14:textId="77777777" w:rsidR="00492B87" w:rsidRPr="00884C9A" w:rsidRDefault="00492B87" w:rsidP="00BB20EB">
            <w:pPr>
              <w:rPr>
                <w:noProof/>
              </w:rPr>
            </w:pPr>
            <w:r w:rsidRPr="00884C9A">
              <w:rPr>
                <w:noProof/>
              </w:rPr>
              <w:t>Assessment</w:t>
            </w:r>
          </w:p>
        </w:tc>
      </w:tr>
      <w:tr w:rsidR="00492B87" w:rsidRPr="00AC11E4" w14:paraId="3AC1A146" w14:textId="77777777" w:rsidTr="00BB20EB">
        <w:trPr>
          <w:cnfStyle w:val="000000100000" w:firstRow="0" w:lastRow="0" w:firstColumn="0" w:lastColumn="0" w:oddVBand="0" w:evenVBand="0" w:oddHBand="1" w:evenHBand="0" w:firstRowFirstColumn="0" w:firstRowLastColumn="0" w:lastRowFirstColumn="0" w:lastRowLastColumn="0"/>
        </w:trPr>
        <w:tc>
          <w:tcPr>
            <w:tcW w:w="2330" w:type="dxa"/>
          </w:tcPr>
          <w:p w14:paraId="1BE6AD4E" w14:textId="77777777" w:rsidR="00492B87" w:rsidRPr="00884C9A" w:rsidRDefault="00492B87" w:rsidP="00BB20EB">
            <w:pPr>
              <w:rPr>
                <w:noProof/>
              </w:rPr>
            </w:pPr>
            <w:r>
              <w:rPr>
                <w:noProof/>
              </w:rPr>
              <w:t>Percentage of completion of the obligations of all partners to the ITER construction</w:t>
            </w:r>
          </w:p>
        </w:tc>
        <w:tc>
          <w:tcPr>
            <w:tcW w:w="1100" w:type="dxa"/>
          </w:tcPr>
          <w:p w14:paraId="7B935097" w14:textId="77777777" w:rsidR="00492B87" w:rsidRPr="00884C9A" w:rsidRDefault="00492B87" w:rsidP="00BB20EB">
            <w:pPr>
              <w:jc w:val="center"/>
              <w:rPr>
                <w:noProof/>
              </w:rPr>
            </w:pPr>
            <w:r>
              <w:rPr>
                <w:noProof/>
              </w:rPr>
              <w:t>48.81%</w:t>
            </w:r>
          </w:p>
        </w:tc>
        <w:tc>
          <w:tcPr>
            <w:tcW w:w="1526" w:type="dxa"/>
          </w:tcPr>
          <w:p w14:paraId="5D87A717" w14:textId="77777777" w:rsidR="00492B87" w:rsidRPr="006138EB" w:rsidRDefault="00492B87" w:rsidP="00BB20EB">
            <w:pPr>
              <w:jc w:val="center"/>
              <w:rPr>
                <w:noProof/>
              </w:rPr>
            </w:pPr>
            <w:r>
              <w:rPr>
                <w:noProof/>
              </w:rPr>
              <w:t>8%</w:t>
            </w:r>
          </w:p>
        </w:tc>
        <w:tc>
          <w:tcPr>
            <w:tcW w:w="1532" w:type="dxa"/>
          </w:tcPr>
          <w:p w14:paraId="38220F79" w14:textId="77777777" w:rsidR="00492B87" w:rsidRPr="006138EB" w:rsidRDefault="00492B87" w:rsidP="00BB20EB">
            <w:pPr>
              <w:jc w:val="center"/>
              <w:rPr>
                <w:noProof/>
              </w:rPr>
            </w:pPr>
            <w:r>
              <w:rPr>
                <w:noProof/>
              </w:rPr>
              <w:t>100% in 2029</w:t>
            </w:r>
          </w:p>
        </w:tc>
        <w:tc>
          <w:tcPr>
            <w:tcW w:w="1572" w:type="dxa"/>
          </w:tcPr>
          <w:p w14:paraId="0DB860F0" w14:textId="77777777" w:rsidR="00492B87" w:rsidRPr="006138EB" w:rsidRDefault="00492B87" w:rsidP="00BB20EB">
            <w:pPr>
              <w:jc w:val="center"/>
              <w:rPr>
                <w:noProof/>
              </w:rPr>
            </w:pPr>
            <w:r>
              <w:rPr>
                <w:noProof/>
              </w:rPr>
              <w:t>53.16%</w:t>
            </w:r>
          </w:p>
        </w:tc>
        <w:tc>
          <w:tcPr>
            <w:tcW w:w="1579" w:type="dxa"/>
          </w:tcPr>
          <w:p w14:paraId="756B91B4" w14:textId="77777777" w:rsidR="00492B87" w:rsidRPr="00884C9A" w:rsidRDefault="00492B87" w:rsidP="00BB20EB">
            <w:pPr>
              <w:jc w:val="center"/>
              <w:rPr>
                <w:noProof/>
              </w:rPr>
            </w:pPr>
            <w:r>
              <w:rPr>
                <w:noProof/>
              </w:rPr>
              <w:t>Deserves attention</w:t>
            </w:r>
          </w:p>
        </w:tc>
      </w:tr>
      <w:tr w:rsidR="00492B87" w:rsidRPr="00AC11E4" w14:paraId="40E2CA56" w14:textId="77777777" w:rsidTr="00BB20EB">
        <w:trPr>
          <w:cnfStyle w:val="000000010000" w:firstRow="0" w:lastRow="0" w:firstColumn="0" w:lastColumn="0" w:oddVBand="0" w:evenVBand="0" w:oddHBand="0" w:evenHBand="1" w:firstRowFirstColumn="0" w:firstRowLastColumn="0" w:lastRowFirstColumn="0" w:lastRowLastColumn="0"/>
        </w:trPr>
        <w:tc>
          <w:tcPr>
            <w:tcW w:w="2330" w:type="dxa"/>
          </w:tcPr>
          <w:p w14:paraId="3154D013" w14:textId="77777777" w:rsidR="00492B87" w:rsidRPr="00884C9A" w:rsidRDefault="00492B87" w:rsidP="00BB20EB">
            <w:pPr>
              <w:rPr>
                <w:noProof/>
              </w:rPr>
            </w:pPr>
            <w:r>
              <w:rPr>
                <w:noProof/>
              </w:rPr>
              <w:t>Percentage of completion of the EU obligations to the ITER construction</w:t>
            </w:r>
          </w:p>
        </w:tc>
        <w:tc>
          <w:tcPr>
            <w:tcW w:w="1100" w:type="dxa"/>
          </w:tcPr>
          <w:p w14:paraId="1DBF33FC" w14:textId="77777777" w:rsidR="00492B87" w:rsidRPr="00884C9A" w:rsidRDefault="00492B87" w:rsidP="00BB20EB">
            <w:pPr>
              <w:jc w:val="center"/>
              <w:rPr>
                <w:noProof/>
              </w:rPr>
            </w:pPr>
            <w:r>
              <w:rPr>
                <w:noProof/>
              </w:rPr>
              <w:t>43.20%</w:t>
            </w:r>
          </w:p>
        </w:tc>
        <w:tc>
          <w:tcPr>
            <w:tcW w:w="1526" w:type="dxa"/>
          </w:tcPr>
          <w:p w14:paraId="4B39FE2C" w14:textId="77777777" w:rsidR="00492B87" w:rsidRPr="006138EB" w:rsidRDefault="00492B87" w:rsidP="00BB20EB">
            <w:pPr>
              <w:jc w:val="center"/>
              <w:rPr>
                <w:noProof/>
              </w:rPr>
            </w:pPr>
            <w:r>
              <w:rPr>
                <w:noProof/>
              </w:rPr>
              <w:t>5%</w:t>
            </w:r>
          </w:p>
        </w:tc>
        <w:tc>
          <w:tcPr>
            <w:tcW w:w="1532" w:type="dxa"/>
          </w:tcPr>
          <w:p w14:paraId="0AD8BD99" w14:textId="77777777" w:rsidR="00492B87" w:rsidRPr="006138EB" w:rsidRDefault="00492B87" w:rsidP="00BB20EB">
            <w:pPr>
              <w:jc w:val="center"/>
              <w:rPr>
                <w:noProof/>
              </w:rPr>
            </w:pPr>
            <w:r>
              <w:rPr>
                <w:noProof/>
              </w:rPr>
              <w:t>100% in 2029</w:t>
            </w:r>
          </w:p>
        </w:tc>
        <w:tc>
          <w:tcPr>
            <w:tcW w:w="1572" w:type="dxa"/>
          </w:tcPr>
          <w:p w14:paraId="37EE415E" w14:textId="77777777" w:rsidR="00492B87" w:rsidRPr="006138EB" w:rsidRDefault="00492B87" w:rsidP="00BB20EB">
            <w:pPr>
              <w:jc w:val="center"/>
              <w:rPr>
                <w:noProof/>
              </w:rPr>
            </w:pPr>
            <w:r>
              <w:rPr>
                <w:noProof/>
              </w:rPr>
              <w:t>46.26%</w:t>
            </w:r>
          </w:p>
        </w:tc>
        <w:tc>
          <w:tcPr>
            <w:tcW w:w="1579" w:type="dxa"/>
          </w:tcPr>
          <w:p w14:paraId="4A4E821F" w14:textId="77777777" w:rsidR="00492B87" w:rsidRPr="00884C9A" w:rsidRDefault="00492B87" w:rsidP="00BB20EB">
            <w:pPr>
              <w:jc w:val="center"/>
              <w:rPr>
                <w:noProof/>
              </w:rPr>
            </w:pPr>
            <w:r>
              <w:rPr>
                <w:noProof/>
              </w:rPr>
              <w:t>Deserves attention</w:t>
            </w:r>
          </w:p>
        </w:tc>
      </w:tr>
    </w:tbl>
    <w:p w14:paraId="57790E5F" w14:textId="77777777" w:rsidR="00492B87" w:rsidRPr="00040D99" w:rsidRDefault="00492B87" w:rsidP="00492B87">
      <w:pPr>
        <w:pStyle w:val="FootnoteText"/>
        <w:spacing w:before="120"/>
        <w:rPr>
          <w:noProof/>
          <w:color w:val="BBB931"/>
        </w:rPr>
      </w:pPr>
      <w:r>
        <w:rPr>
          <w:noProof/>
        </w:rPr>
        <w:t xml:space="preserve">(*) </w:t>
      </w:r>
      <w:r w:rsidRPr="00040D99">
        <w:rPr>
          <w:noProof/>
        </w:rPr>
        <w:t>% of ta</w:t>
      </w:r>
      <w:r>
        <w:rPr>
          <w:noProof/>
        </w:rPr>
        <w:t>rget achieved by the end of 2021</w:t>
      </w:r>
    </w:p>
    <w:p w14:paraId="5A293724" w14:textId="77777777" w:rsidR="00492B87" w:rsidRDefault="00492B87" w:rsidP="00492B87">
      <w:pPr>
        <w:pStyle w:val="ppoListHyphened-L1"/>
        <w:numPr>
          <w:ilvl w:val="0"/>
          <w:numId w:val="0"/>
        </w:numPr>
        <w:ind w:left="357"/>
        <w:rPr>
          <w:noProof/>
        </w:rPr>
      </w:pPr>
      <w:bookmarkStart w:id="44" w:name="_Toc94522859"/>
    </w:p>
    <w:p w14:paraId="7A3537BE" w14:textId="77777777" w:rsidR="00492B87" w:rsidRDefault="00492B87" w:rsidP="00492B87">
      <w:pPr>
        <w:pStyle w:val="ppoListHyphened-L1"/>
        <w:jc w:val="both"/>
        <w:rPr>
          <w:noProof/>
        </w:rPr>
      </w:pPr>
      <w:r>
        <w:rPr>
          <w:noProof/>
        </w:rPr>
        <w:t>In 2021, the ITER project saw further progress. The manufacturing of the main components progressed well overall, with some notable exceptions (e.g. delays in the manufacturing and pre-assembly of vacuum vessel sectors). The construction of the main buildings was completed and the assembly of the experimental device has started.</w:t>
      </w:r>
    </w:p>
    <w:p w14:paraId="66A861CB" w14:textId="77777777" w:rsidR="00492B87" w:rsidRPr="00FF4FE1" w:rsidRDefault="00492B87" w:rsidP="00492B87">
      <w:pPr>
        <w:pStyle w:val="ppoListHyphened-L1"/>
        <w:jc w:val="both"/>
        <w:rPr>
          <w:noProof/>
          <w:lang w:val="en-US"/>
        </w:rPr>
      </w:pPr>
      <w:r>
        <w:rPr>
          <w:noProof/>
        </w:rPr>
        <w:t>At the same time, the construction and assembly of ITER faced challenges due to COVID</w:t>
      </w:r>
      <w:r>
        <w:rPr>
          <w:noProof/>
        </w:rPr>
        <w:noBreakHyphen/>
        <w:t>19-related restrictions, the delays in the delivery of certain components by ITER parties, the first-of-kind nature of the components to be delivered and the unparalleled complexity of assembly activities.</w:t>
      </w:r>
    </w:p>
    <w:p w14:paraId="64BC86A1" w14:textId="77777777" w:rsidR="00492B87" w:rsidRPr="00FF4FE1" w:rsidRDefault="00492B87" w:rsidP="00492B87">
      <w:pPr>
        <w:pStyle w:val="ppoListHyphened-L1"/>
        <w:jc w:val="both"/>
        <w:rPr>
          <w:noProof/>
          <w:lang w:val="en-US"/>
        </w:rPr>
      </w:pPr>
      <w:r>
        <w:rPr>
          <w:noProof/>
        </w:rPr>
        <w:t>Work towards achieving first plasma continues to advance, with the project execution at 75.8%. However, this is below the planned rate of 83.1%. A</w:t>
      </w:r>
      <w:r w:rsidRPr="3B8224FB">
        <w:rPr>
          <w:noProof/>
          <w:lang w:val="en-US"/>
        </w:rPr>
        <w:t>s a result</w:t>
      </w:r>
      <w:r>
        <w:rPr>
          <w:noProof/>
          <w:lang w:val="en-US"/>
        </w:rPr>
        <w:t>,</w:t>
      </w:r>
      <w:r w:rsidRPr="3B8224FB">
        <w:rPr>
          <w:noProof/>
          <w:lang w:val="en-US"/>
        </w:rPr>
        <w:t xml:space="preserve"> it has become clear that the first plasma milestone </w:t>
      </w:r>
      <w:r>
        <w:rPr>
          <w:noProof/>
          <w:lang w:val="en-US"/>
        </w:rPr>
        <w:t>set for</w:t>
      </w:r>
      <w:r w:rsidRPr="3B8224FB">
        <w:rPr>
          <w:noProof/>
          <w:lang w:val="en-US"/>
        </w:rPr>
        <w:t xml:space="preserve"> 2025 can no longer </w:t>
      </w:r>
      <w:r>
        <w:rPr>
          <w:noProof/>
          <w:lang w:val="en-US"/>
        </w:rPr>
        <w:t xml:space="preserve">be </w:t>
      </w:r>
      <w:r w:rsidRPr="3B8224FB">
        <w:rPr>
          <w:noProof/>
          <w:lang w:val="en-US"/>
        </w:rPr>
        <w:t>achieved.</w:t>
      </w:r>
    </w:p>
    <w:p w14:paraId="2F85BF2F" w14:textId="77777777" w:rsidR="00492B87" w:rsidRDefault="00492B87" w:rsidP="00492B87">
      <w:pPr>
        <w:pStyle w:val="ppoListHyphened-L1"/>
        <w:jc w:val="both"/>
        <w:rPr>
          <w:noProof/>
        </w:rPr>
      </w:pPr>
      <w:r>
        <w:rPr>
          <w:noProof/>
        </w:rPr>
        <w:t>Both the completion of ITER construction (53.2%) and Euratom’s in-kind contribution (46.3%) were below their 2021 targets (75,7% and 72.0% respectively). While some catch up can be expected, the project will have to be rescheduled to establish a more realistic planning. The preparation of the baseline revision exercise has been accordingly started by the ITER Organization.</w:t>
      </w:r>
    </w:p>
    <w:p w14:paraId="390428BE" w14:textId="77777777" w:rsidR="00492B87" w:rsidRDefault="00492B87" w:rsidP="00492B87">
      <w:pPr>
        <w:pStyle w:val="ppoListHyphened-L1"/>
        <w:jc w:val="both"/>
        <w:rPr>
          <w:noProof/>
        </w:rPr>
      </w:pPr>
      <w:r>
        <w:rPr>
          <w:noProof/>
        </w:rPr>
        <w:t>Due its international nature, whereby Russia is one of the project partners, the ITER project will be impacted by the war in Ukraine. The question of the continuation of Russia’s participation is likely to be put on the table due to the expected difficulties for Russia to honour its commitments and the reputational risk for the project.</w:t>
      </w:r>
    </w:p>
    <w:p w14:paraId="6F9BE37A" w14:textId="77777777" w:rsidR="00492B87" w:rsidRDefault="00492B87" w:rsidP="00492B87">
      <w:pPr>
        <w:pStyle w:val="ppoListHyphened-L1"/>
        <w:jc w:val="both"/>
        <w:rPr>
          <w:noProof/>
        </w:rPr>
      </w:pPr>
      <w:r>
        <w:rPr>
          <w:noProof/>
        </w:rPr>
        <w:t>Fusion can be a clean and virtually limitless energy source. The general potential of fusion is nowadays more widely recognised thanks to the strong advancement of fusion science in recent years: ITER is the biggest and most intensive fusion project of the EU, China, India, Japan, Russia, South Korea and the United States, and there are more than a dozen additional fusion research initiatives underway (e.g. a collaboration between the Massachusetts Institute of Technology and the start-up Commonwealth Fusion Systems, and other initiatives in Canada and the United Kingdom).</w:t>
      </w:r>
    </w:p>
    <w:p w14:paraId="4A72B316" w14:textId="77777777" w:rsidR="00492B87" w:rsidRPr="00040D99" w:rsidRDefault="00492B87" w:rsidP="00492B87">
      <w:pPr>
        <w:pStyle w:val="ppoListHyphened-L1"/>
        <w:numPr>
          <w:ilvl w:val="0"/>
          <w:numId w:val="0"/>
        </w:numPr>
        <w:ind w:left="357"/>
        <w:jc w:val="both"/>
        <w:rPr>
          <w:rFonts w:eastAsiaTheme="majorEastAsia" w:cstheme="majorBidi"/>
          <w:noProof/>
          <w:color w:val="016A13" w:themeColor="accent1" w:themeShade="BF"/>
          <w:sz w:val="48"/>
          <w:szCs w:val="32"/>
        </w:rPr>
      </w:pPr>
      <w:r>
        <w:rPr>
          <w:noProof/>
        </w:rPr>
        <w:t>The European Commission will count ITER expenditure as 100% relevant to the achievement of the 30% climate spending target of the 2021-2027 multiannual financial framework. The climate contribution from the 2021 commitments was EUR</w:t>
      </w:r>
      <w:r>
        <w:rPr>
          <w:rFonts w:ascii="Calibri" w:hAnsi="Calibri" w:cs="Calibri"/>
          <w:noProof/>
        </w:rPr>
        <w:t> </w:t>
      </w:r>
      <w:r>
        <w:rPr>
          <w:noProof/>
        </w:rPr>
        <w:t>857.1</w:t>
      </w:r>
      <w:r>
        <w:rPr>
          <w:rFonts w:ascii="Calibri" w:hAnsi="Calibri" w:cs="Calibri"/>
          <w:noProof/>
        </w:rPr>
        <w:t> </w:t>
      </w:r>
      <w:r>
        <w:rPr>
          <w:noProof/>
        </w:rPr>
        <w:t>million.</w:t>
      </w:r>
      <w:r w:rsidRPr="00040D99">
        <w:rPr>
          <w:noProof/>
        </w:rPr>
        <w:br w:type="page"/>
      </w:r>
    </w:p>
    <w:p w14:paraId="2D4D1EE5" w14:textId="77777777" w:rsidR="00492B87" w:rsidRPr="00040D99" w:rsidRDefault="00492B87" w:rsidP="00492B87">
      <w:pPr>
        <w:pStyle w:val="ppoHeading4Orange"/>
        <w:jc w:val="both"/>
        <w:rPr>
          <w:noProof/>
        </w:rPr>
      </w:pPr>
      <w:r w:rsidRPr="00040D99">
        <w:rPr>
          <w:noProof/>
        </w:rPr>
        <w:t>2014-2020</w:t>
      </w:r>
      <w:r>
        <w:rPr>
          <w:noProof/>
        </w:rPr>
        <w:t xml:space="preserve"> MULTIANNUAL FINANCIAL FRAMEWORK</w:t>
      </w:r>
      <w:r>
        <w:rPr>
          <w:rFonts w:ascii="Calibri" w:hAnsi="Calibri" w:cs="Calibri"/>
          <w:noProof/>
        </w:rPr>
        <w:t> </w:t>
      </w:r>
      <w:r w:rsidRPr="00040D99">
        <w:rPr>
          <w:noProof/>
        </w:rPr>
        <w:t xml:space="preserve">– </w:t>
      </w:r>
      <w:bookmarkEnd w:id="44"/>
      <w:r>
        <w:rPr>
          <w:noProof/>
        </w:rPr>
        <w:t>ITER</w:t>
      </w:r>
    </w:p>
    <w:p w14:paraId="02A7111C" w14:textId="77777777" w:rsidR="00492B87" w:rsidRDefault="00492B87" w:rsidP="00492B87">
      <w:pPr>
        <w:spacing w:after="120"/>
        <w:rPr>
          <w:rFonts w:eastAsiaTheme="minorEastAsia"/>
          <w:noProof/>
        </w:rPr>
      </w:pPr>
      <w:r>
        <w:rPr>
          <w:rFonts w:eastAsiaTheme="minorEastAsia"/>
          <w:noProof/>
        </w:rPr>
        <w:t>The ITER-related EU action supports the construction and assembly of ITER, which will be the first experimental device to test the feasibility of fusion as a future source of energy.</w:t>
      </w:r>
    </w:p>
    <w:p w14:paraId="5E481172" w14:textId="77777777" w:rsidR="00492B87" w:rsidRPr="00040D99" w:rsidRDefault="00492B87" w:rsidP="00492B87">
      <w:pPr>
        <w:pStyle w:val="ppoHeading5"/>
        <w:rPr>
          <w:noProof/>
        </w:rPr>
      </w:pPr>
      <w:bookmarkStart w:id="45" w:name="_Toc94522860"/>
      <w:r w:rsidRPr="00040D99">
        <w:rPr>
          <w:noProof/>
        </w:rPr>
        <w:t>Budget</w:t>
      </w:r>
      <w:bookmarkEnd w:id="45"/>
    </w:p>
    <w:p w14:paraId="0DD23E0D" w14:textId="77777777" w:rsidR="00492B87" w:rsidRPr="00040D99" w:rsidRDefault="00492B87" w:rsidP="00492B87">
      <w:pPr>
        <w:pStyle w:val="ppoTableTabletitle"/>
        <w:rPr>
          <w:noProof/>
        </w:rPr>
      </w:pPr>
      <w:r w:rsidRPr="00040D99">
        <w:rPr>
          <w:noProof/>
        </w:rPr>
        <w:t>Cumulative implementation rate at the end of 2021</w:t>
      </w:r>
      <w:r>
        <w:rPr>
          <w:noProof/>
        </w:rPr>
        <w:t xml:space="preserve"> (million</w:t>
      </w:r>
      <w:r w:rsidRPr="00CB6AE6">
        <w:rPr>
          <w:noProof/>
        </w:rPr>
        <w:t xml:space="preserve"> </w:t>
      </w:r>
      <w:r>
        <w:rPr>
          <w:noProof/>
        </w:rPr>
        <w:t>EUR):</w:t>
      </w:r>
    </w:p>
    <w:tbl>
      <w:tblPr>
        <w:tblStyle w:val="PPO2021"/>
        <w:tblW w:w="9639" w:type="dxa"/>
        <w:tblInd w:w="0" w:type="dxa"/>
        <w:tblLook w:val="06A0" w:firstRow="1" w:lastRow="0" w:firstColumn="1" w:lastColumn="0" w:noHBand="1" w:noVBand="1"/>
      </w:tblPr>
      <w:tblGrid>
        <w:gridCol w:w="2409"/>
        <w:gridCol w:w="2410"/>
        <w:gridCol w:w="2410"/>
        <w:gridCol w:w="2410"/>
      </w:tblGrid>
      <w:tr w:rsidR="00492B87" w:rsidRPr="00040D99" w14:paraId="29DDBE03" w14:textId="77777777" w:rsidTr="00BB2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55A337F6" w14:textId="77777777" w:rsidR="00492B87" w:rsidRPr="00724FDD" w:rsidRDefault="00492B87" w:rsidP="00BB20EB">
            <w:pPr>
              <w:rPr>
                <w:noProof/>
              </w:rPr>
            </w:pPr>
          </w:p>
        </w:tc>
        <w:tc>
          <w:tcPr>
            <w:tcW w:w="2410" w:type="dxa"/>
          </w:tcPr>
          <w:p w14:paraId="71A6BDE4" w14:textId="77777777" w:rsidR="00492B87" w:rsidRPr="00724FDD" w:rsidRDefault="00492B87" w:rsidP="00BB20EB">
            <w:pPr>
              <w:cnfStyle w:val="100000000000" w:firstRow="1" w:lastRow="0" w:firstColumn="0" w:lastColumn="0" w:oddVBand="0" w:evenVBand="0" w:oddHBand="0" w:evenHBand="0" w:firstRowFirstColumn="0" w:firstRowLastColumn="0" w:lastRowFirstColumn="0" w:lastRowLastColumn="0"/>
              <w:rPr>
                <w:noProof/>
              </w:rPr>
            </w:pPr>
            <w:r w:rsidRPr="00724FDD">
              <w:rPr>
                <w:noProof/>
              </w:rPr>
              <w:t>Implementation</w:t>
            </w:r>
          </w:p>
        </w:tc>
        <w:tc>
          <w:tcPr>
            <w:tcW w:w="2410" w:type="dxa"/>
          </w:tcPr>
          <w:p w14:paraId="24CFD8C1" w14:textId="40C11B63" w:rsidR="00492B87" w:rsidRPr="00724FDD" w:rsidRDefault="001F4CBC" w:rsidP="00BB20EB">
            <w:pPr>
              <w:cnfStyle w:val="100000000000" w:firstRow="1" w:lastRow="0" w:firstColumn="0" w:lastColumn="0" w:oddVBand="0" w:evenVBand="0" w:oddHBand="0" w:evenHBand="0" w:firstRowFirstColumn="0" w:firstRowLastColumn="0" w:lastRowFirstColumn="0" w:lastRowLastColumn="0"/>
              <w:rPr>
                <w:noProof/>
              </w:rPr>
            </w:pPr>
            <w:r>
              <w:rPr>
                <w:noProof/>
              </w:rPr>
              <w:t xml:space="preserve">2014-2020 </w:t>
            </w:r>
            <w:r w:rsidRPr="00885241">
              <w:rPr>
                <w:noProof/>
              </w:rPr>
              <w:t>Budget</w:t>
            </w:r>
          </w:p>
        </w:tc>
        <w:tc>
          <w:tcPr>
            <w:tcW w:w="2410" w:type="dxa"/>
          </w:tcPr>
          <w:p w14:paraId="54BB2094" w14:textId="77777777" w:rsidR="00492B87" w:rsidRPr="00724FDD" w:rsidRDefault="00492B87" w:rsidP="00BB20EB">
            <w:pPr>
              <w:cnfStyle w:val="100000000000" w:firstRow="1" w:lastRow="0" w:firstColumn="0" w:lastColumn="0" w:oddVBand="0" w:evenVBand="0" w:oddHBand="0" w:evenHBand="0" w:firstRowFirstColumn="0" w:firstRowLastColumn="0" w:lastRowFirstColumn="0" w:lastRowLastColumn="0"/>
              <w:rPr>
                <w:noProof/>
              </w:rPr>
            </w:pPr>
            <w:r w:rsidRPr="00724FDD">
              <w:rPr>
                <w:noProof/>
              </w:rPr>
              <w:t>Implementation rate</w:t>
            </w:r>
          </w:p>
        </w:tc>
      </w:tr>
      <w:tr w:rsidR="00492B87" w:rsidRPr="00040D99" w14:paraId="44966B66" w14:textId="77777777" w:rsidTr="00BB20EB">
        <w:tc>
          <w:tcPr>
            <w:cnfStyle w:val="001000000000" w:firstRow="0" w:lastRow="0" w:firstColumn="1" w:lastColumn="0" w:oddVBand="0" w:evenVBand="0" w:oddHBand="0" w:evenHBand="0" w:firstRowFirstColumn="0" w:firstRowLastColumn="0" w:lastRowFirstColumn="0" w:lastRowLastColumn="0"/>
            <w:tcW w:w="2409" w:type="dxa"/>
          </w:tcPr>
          <w:p w14:paraId="3ACF3050" w14:textId="77777777" w:rsidR="00492B87" w:rsidRPr="00724FDD" w:rsidRDefault="00492B87" w:rsidP="00BB20EB">
            <w:pPr>
              <w:jc w:val="center"/>
              <w:rPr>
                <w:noProof/>
              </w:rPr>
            </w:pPr>
            <w:r>
              <w:rPr>
                <w:noProof/>
              </w:rPr>
              <w:t>Commitments</w:t>
            </w:r>
          </w:p>
        </w:tc>
        <w:tc>
          <w:tcPr>
            <w:tcW w:w="2410" w:type="dxa"/>
          </w:tcPr>
          <w:tbl>
            <w:tblPr>
              <w:tblStyle w:val="TableGrid"/>
              <w:tblW w:w="0" w:type="auto"/>
              <w:tblLook w:val="06A0" w:firstRow="1" w:lastRow="0" w:firstColumn="1" w:lastColumn="0" w:noHBand="1" w:noVBand="1"/>
            </w:tblPr>
            <w:tblGrid>
              <w:gridCol w:w="2194"/>
            </w:tblGrid>
            <w:tr w:rsidR="00492B87" w14:paraId="15554642" w14:textId="77777777" w:rsidTr="00BB20EB">
              <w:trPr>
                <w:trHeight w:val="285"/>
              </w:trPr>
              <w:tc>
                <w:tcPr>
                  <w:tcW w:w="2290" w:type="dxa"/>
                  <w:tcBorders>
                    <w:top w:val="nil"/>
                    <w:left w:val="nil"/>
                    <w:bottom w:val="nil"/>
                    <w:right w:val="nil"/>
                  </w:tcBorders>
                  <w:vAlign w:val="bottom"/>
                </w:tcPr>
                <w:p w14:paraId="397D41E2" w14:textId="77777777" w:rsidR="00492B87" w:rsidRDefault="00492B87" w:rsidP="00BB20EB">
                  <w:pPr>
                    <w:jc w:val="center"/>
                    <w:rPr>
                      <w:noProof/>
                    </w:rPr>
                  </w:pPr>
                  <w:r w:rsidRPr="6DC4680D">
                    <w:rPr>
                      <w:rFonts w:ascii="Calibri" w:hAnsi="Calibri" w:cs="Calibri"/>
                      <w:noProof/>
                      <w:color w:val="000000"/>
                    </w:rPr>
                    <w:t>2</w:t>
                  </w:r>
                  <w:r>
                    <w:rPr>
                      <w:rFonts w:ascii="Calibri" w:hAnsi="Calibri" w:cs="Calibri"/>
                      <w:noProof/>
                      <w:color w:val="000000"/>
                    </w:rPr>
                    <w:t> </w:t>
                  </w:r>
                  <w:r w:rsidRPr="6DC4680D">
                    <w:rPr>
                      <w:rFonts w:ascii="Calibri" w:hAnsi="Calibri" w:cs="Calibri"/>
                      <w:noProof/>
                      <w:color w:val="000000"/>
                    </w:rPr>
                    <w:t>924</w:t>
                  </w:r>
                  <w:r>
                    <w:rPr>
                      <w:rFonts w:ascii="Calibri" w:hAnsi="Calibri" w:cs="Calibri"/>
                      <w:noProof/>
                      <w:color w:val="000000"/>
                    </w:rPr>
                    <w:t>.6</w:t>
                  </w:r>
                </w:p>
              </w:tc>
            </w:tr>
          </w:tbl>
          <w:p w14:paraId="03750C93" w14:textId="77777777" w:rsidR="00492B87" w:rsidRPr="00724FDD" w:rsidRDefault="00492B87"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492B87" w14:paraId="3369C491" w14:textId="77777777" w:rsidTr="00BB20EB">
              <w:trPr>
                <w:trHeight w:val="285"/>
              </w:trPr>
              <w:tc>
                <w:tcPr>
                  <w:tcW w:w="2290" w:type="dxa"/>
                  <w:tcBorders>
                    <w:top w:val="nil"/>
                    <w:left w:val="nil"/>
                    <w:bottom w:val="nil"/>
                    <w:right w:val="nil"/>
                  </w:tcBorders>
                  <w:vAlign w:val="bottom"/>
                </w:tcPr>
                <w:p w14:paraId="3C701887" w14:textId="77777777" w:rsidR="00492B87" w:rsidRDefault="00492B87" w:rsidP="00BB20EB">
                  <w:pPr>
                    <w:jc w:val="center"/>
                    <w:rPr>
                      <w:noProof/>
                    </w:rPr>
                  </w:pPr>
                  <w:r w:rsidRPr="6DC4680D">
                    <w:rPr>
                      <w:rFonts w:ascii="Calibri" w:hAnsi="Calibri" w:cs="Calibri"/>
                      <w:noProof/>
                      <w:color w:val="000000"/>
                    </w:rPr>
                    <w:t>2</w:t>
                  </w:r>
                  <w:r>
                    <w:rPr>
                      <w:rFonts w:ascii="Calibri" w:hAnsi="Calibri" w:cs="Calibri"/>
                      <w:noProof/>
                      <w:color w:val="000000"/>
                    </w:rPr>
                    <w:t> </w:t>
                  </w:r>
                  <w:r w:rsidRPr="6DC4680D">
                    <w:rPr>
                      <w:rFonts w:ascii="Calibri" w:hAnsi="Calibri" w:cs="Calibri"/>
                      <w:noProof/>
                      <w:color w:val="000000"/>
                    </w:rPr>
                    <w:t>926</w:t>
                  </w:r>
                  <w:r>
                    <w:rPr>
                      <w:rFonts w:ascii="Calibri" w:hAnsi="Calibri" w:cs="Calibri"/>
                      <w:noProof/>
                      <w:color w:val="000000"/>
                    </w:rPr>
                    <w:t>.4</w:t>
                  </w:r>
                </w:p>
              </w:tc>
            </w:tr>
          </w:tbl>
          <w:p w14:paraId="7BA6BA20" w14:textId="77777777" w:rsidR="00492B87" w:rsidRPr="00724FDD" w:rsidRDefault="00492B87"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492B87" w14:paraId="077E05A9" w14:textId="77777777" w:rsidTr="00BB20EB">
              <w:trPr>
                <w:trHeight w:val="285"/>
              </w:trPr>
              <w:tc>
                <w:tcPr>
                  <w:tcW w:w="2290" w:type="dxa"/>
                  <w:tcBorders>
                    <w:top w:val="nil"/>
                    <w:left w:val="nil"/>
                    <w:bottom w:val="nil"/>
                    <w:right w:val="nil"/>
                  </w:tcBorders>
                  <w:vAlign w:val="bottom"/>
                </w:tcPr>
                <w:p w14:paraId="463F5A75" w14:textId="77777777" w:rsidR="00492B87" w:rsidRDefault="00492B87" w:rsidP="00BB20EB">
                  <w:pPr>
                    <w:jc w:val="center"/>
                    <w:rPr>
                      <w:noProof/>
                    </w:rPr>
                  </w:pPr>
                  <w:r>
                    <w:rPr>
                      <w:rFonts w:ascii="Calibri" w:hAnsi="Calibri" w:cs="Calibri"/>
                      <w:noProof/>
                      <w:color w:val="000000"/>
                    </w:rPr>
                    <w:t>100</w:t>
                  </w:r>
                  <w:r w:rsidRPr="6DC4680D">
                    <w:rPr>
                      <w:rFonts w:ascii="Calibri" w:hAnsi="Calibri" w:cs="Calibri"/>
                      <w:noProof/>
                      <w:color w:val="000000"/>
                    </w:rPr>
                    <w:t>%</w:t>
                  </w:r>
                </w:p>
              </w:tc>
            </w:tr>
          </w:tbl>
          <w:p w14:paraId="08ABDEFE" w14:textId="77777777" w:rsidR="00492B87" w:rsidRPr="00724FDD" w:rsidRDefault="00492B87" w:rsidP="00BB20EB">
            <w:pPr>
              <w:jc w:val="center"/>
              <w:cnfStyle w:val="000000000000" w:firstRow="0" w:lastRow="0" w:firstColumn="0" w:lastColumn="0" w:oddVBand="0" w:evenVBand="0" w:oddHBand="0" w:evenHBand="0" w:firstRowFirstColumn="0" w:firstRowLastColumn="0" w:lastRowFirstColumn="0" w:lastRowLastColumn="0"/>
              <w:rPr>
                <w:noProof/>
              </w:rPr>
            </w:pPr>
          </w:p>
        </w:tc>
      </w:tr>
      <w:tr w:rsidR="00492B87" w:rsidRPr="00040D99" w14:paraId="1D4642F9" w14:textId="77777777" w:rsidTr="00BB20EB">
        <w:tc>
          <w:tcPr>
            <w:cnfStyle w:val="001000000000" w:firstRow="0" w:lastRow="0" w:firstColumn="1" w:lastColumn="0" w:oddVBand="0" w:evenVBand="0" w:oddHBand="0" w:evenHBand="0" w:firstRowFirstColumn="0" w:firstRowLastColumn="0" w:lastRowFirstColumn="0" w:lastRowLastColumn="0"/>
            <w:tcW w:w="2409" w:type="dxa"/>
          </w:tcPr>
          <w:p w14:paraId="59A2F993" w14:textId="77777777" w:rsidR="00492B87" w:rsidRPr="00724FDD" w:rsidRDefault="00492B87" w:rsidP="00BB20EB">
            <w:pPr>
              <w:jc w:val="center"/>
              <w:rPr>
                <w:noProof/>
              </w:rPr>
            </w:pPr>
            <w:r w:rsidRPr="00724FDD">
              <w:rPr>
                <w:noProof/>
              </w:rPr>
              <w:t>Payments</w:t>
            </w:r>
          </w:p>
        </w:tc>
        <w:tc>
          <w:tcPr>
            <w:tcW w:w="2410" w:type="dxa"/>
          </w:tcPr>
          <w:tbl>
            <w:tblPr>
              <w:tblStyle w:val="TableGrid"/>
              <w:tblW w:w="0" w:type="auto"/>
              <w:tblLook w:val="06A0" w:firstRow="1" w:lastRow="0" w:firstColumn="1" w:lastColumn="0" w:noHBand="1" w:noVBand="1"/>
            </w:tblPr>
            <w:tblGrid>
              <w:gridCol w:w="2194"/>
            </w:tblGrid>
            <w:tr w:rsidR="00492B87" w14:paraId="218A30D0" w14:textId="77777777" w:rsidTr="00BB20EB">
              <w:trPr>
                <w:trHeight w:val="285"/>
              </w:trPr>
              <w:tc>
                <w:tcPr>
                  <w:tcW w:w="2290" w:type="dxa"/>
                  <w:tcBorders>
                    <w:top w:val="nil"/>
                    <w:left w:val="nil"/>
                    <w:bottom w:val="nil"/>
                    <w:right w:val="nil"/>
                  </w:tcBorders>
                  <w:vAlign w:val="bottom"/>
                </w:tcPr>
                <w:p w14:paraId="5C4D6E38" w14:textId="77777777" w:rsidR="00492B87" w:rsidRDefault="00492B87" w:rsidP="00BB20EB">
                  <w:pPr>
                    <w:jc w:val="center"/>
                    <w:rPr>
                      <w:noProof/>
                    </w:rPr>
                  </w:pPr>
                  <w:r w:rsidRPr="6DC4680D">
                    <w:rPr>
                      <w:rFonts w:ascii="Calibri" w:hAnsi="Calibri" w:cs="Calibri"/>
                      <w:noProof/>
                      <w:color w:val="000000"/>
                    </w:rPr>
                    <w:t>2</w:t>
                  </w:r>
                  <w:r>
                    <w:rPr>
                      <w:rFonts w:ascii="Calibri" w:hAnsi="Calibri" w:cs="Calibri"/>
                      <w:noProof/>
                      <w:color w:val="000000"/>
                    </w:rPr>
                    <w:t> </w:t>
                  </w:r>
                  <w:r w:rsidRPr="6DC4680D">
                    <w:rPr>
                      <w:rFonts w:ascii="Calibri" w:hAnsi="Calibri" w:cs="Calibri"/>
                      <w:noProof/>
                      <w:color w:val="000000"/>
                    </w:rPr>
                    <w:t>392</w:t>
                  </w:r>
                  <w:r>
                    <w:rPr>
                      <w:rFonts w:ascii="Calibri" w:hAnsi="Calibri" w:cs="Calibri"/>
                      <w:noProof/>
                      <w:color w:val="000000"/>
                    </w:rPr>
                    <w:t>.7</w:t>
                  </w:r>
                </w:p>
              </w:tc>
            </w:tr>
          </w:tbl>
          <w:p w14:paraId="4D7F6691" w14:textId="77777777" w:rsidR="00492B87" w:rsidRPr="00724FDD" w:rsidRDefault="00492B87"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2B8E9BB3" w14:textId="77777777" w:rsidR="00492B87" w:rsidRPr="00724FDD" w:rsidRDefault="00492B87"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492B87" w14:paraId="7841F676" w14:textId="77777777" w:rsidTr="00BB20EB">
              <w:trPr>
                <w:trHeight w:val="285"/>
              </w:trPr>
              <w:tc>
                <w:tcPr>
                  <w:tcW w:w="2235" w:type="dxa"/>
                  <w:tcBorders>
                    <w:top w:val="nil"/>
                    <w:left w:val="nil"/>
                    <w:bottom w:val="nil"/>
                    <w:right w:val="nil"/>
                  </w:tcBorders>
                  <w:vAlign w:val="bottom"/>
                </w:tcPr>
                <w:p w14:paraId="18F7DF65" w14:textId="77777777" w:rsidR="00492B87" w:rsidRDefault="00492B87" w:rsidP="00BB20EB">
                  <w:pPr>
                    <w:jc w:val="center"/>
                    <w:rPr>
                      <w:noProof/>
                    </w:rPr>
                  </w:pPr>
                  <w:r>
                    <w:rPr>
                      <w:rFonts w:ascii="Calibri" w:hAnsi="Calibri" w:cs="Calibri"/>
                      <w:noProof/>
                      <w:color w:val="000000"/>
                    </w:rPr>
                    <w:t>82</w:t>
                  </w:r>
                  <w:r w:rsidRPr="6DC4680D">
                    <w:rPr>
                      <w:rFonts w:ascii="Calibri" w:hAnsi="Calibri" w:cs="Calibri"/>
                      <w:noProof/>
                      <w:color w:val="000000"/>
                    </w:rPr>
                    <w:t>%</w:t>
                  </w:r>
                </w:p>
              </w:tc>
            </w:tr>
            <w:tr w:rsidR="00492B87" w14:paraId="2A7D89F6" w14:textId="77777777" w:rsidTr="00BB20EB">
              <w:trPr>
                <w:trHeight w:val="285"/>
              </w:trPr>
              <w:tc>
                <w:tcPr>
                  <w:tcW w:w="2194" w:type="dxa"/>
                  <w:tcBorders>
                    <w:top w:val="nil"/>
                    <w:left w:val="nil"/>
                    <w:bottom w:val="nil"/>
                    <w:right w:val="nil"/>
                  </w:tcBorders>
                  <w:vAlign w:val="bottom"/>
                </w:tcPr>
                <w:p w14:paraId="159905BB" w14:textId="77777777" w:rsidR="00492B87" w:rsidRDefault="00492B87" w:rsidP="00BB20EB">
                  <w:pPr>
                    <w:jc w:val="center"/>
                    <w:rPr>
                      <w:rFonts w:ascii="Calibri" w:hAnsi="Calibri" w:cs="Calibri"/>
                      <w:noProof/>
                      <w:color w:val="000000"/>
                    </w:rPr>
                  </w:pPr>
                </w:p>
              </w:tc>
            </w:tr>
          </w:tbl>
          <w:p w14:paraId="2D227098" w14:textId="77777777" w:rsidR="00492B87" w:rsidRPr="00724FDD" w:rsidRDefault="00492B87" w:rsidP="00BB20EB">
            <w:pPr>
              <w:jc w:val="center"/>
              <w:cnfStyle w:val="000000000000" w:firstRow="0" w:lastRow="0" w:firstColumn="0" w:lastColumn="0" w:oddVBand="0" w:evenVBand="0" w:oddHBand="0" w:evenHBand="0" w:firstRowFirstColumn="0" w:firstRowLastColumn="0" w:lastRowFirstColumn="0" w:lastRowLastColumn="0"/>
              <w:rPr>
                <w:noProof/>
              </w:rPr>
            </w:pPr>
          </w:p>
        </w:tc>
      </w:tr>
    </w:tbl>
    <w:p w14:paraId="2B841670" w14:textId="77777777" w:rsidR="00492B87" w:rsidRDefault="00492B87" w:rsidP="00492B87">
      <w:pPr>
        <w:pStyle w:val="ppoListHyphened-L1"/>
        <w:numPr>
          <w:ilvl w:val="0"/>
          <w:numId w:val="0"/>
        </w:numPr>
        <w:ind w:left="357"/>
        <w:rPr>
          <w:noProof/>
        </w:rPr>
      </w:pPr>
      <w:bookmarkStart w:id="46" w:name="_Toc94522861"/>
    </w:p>
    <w:p w14:paraId="055D8136" w14:textId="77777777" w:rsidR="00492B87" w:rsidRPr="00B83AD1" w:rsidRDefault="00492B87" w:rsidP="00492B87">
      <w:pPr>
        <w:pStyle w:val="ppoListHyphened-L1"/>
        <w:jc w:val="both"/>
        <w:rPr>
          <w:noProof/>
        </w:rPr>
      </w:pPr>
      <w:r w:rsidRPr="009478C8">
        <w:rPr>
          <w:noProof/>
        </w:rPr>
        <w:t>The EU budget f</w:t>
      </w:r>
      <w:r>
        <w:rPr>
          <w:noProof/>
        </w:rPr>
        <w:t>or the 2014-2020 period was</w:t>
      </w:r>
      <w:r w:rsidRPr="009478C8">
        <w:rPr>
          <w:noProof/>
        </w:rPr>
        <w:t xml:space="preserve"> fully implemented in commitments at the end of 2020. The payment plan for </w:t>
      </w:r>
      <w:r>
        <w:rPr>
          <w:noProof/>
        </w:rPr>
        <w:t>the</w:t>
      </w:r>
      <w:r w:rsidRPr="009478C8">
        <w:rPr>
          <w:noProof/>
        </w:rPr>
        <w:t xml:space="preserve"> outstandi</w:t>
      </w:r>
      <w:r>
        <w:rPr>
          <w:noProof/>
        </w:rPr>
        <w:t xml:space="preserve">ng commitments </w:t>
      </w:r>
      <w:r w:rsidRPr="009478C8">
        <w:rPr>
          <w:noProof/>
        </w:rPr>
        <w:t xml:space="preserve">is </w:t>
      </w:r>
      <w:r>
        <w:rPr>
          <w:noProof/>
        </w:rPr>
        <w:t>aligned with</w:t>
      </w:r>
      <w:r w:rsidRPr="009478C8">
        <w:rPr>
          <w:noProof/>
        </w:rPr>
        <w:t xml:space="preserve"> the delivery plan: EUR</w:t>
      </w:r>
      <w:r>
        <w:rPr>
          <w:rFonts w:ascii="Calibri" w:hAnsi="Calibri" w:cs="Calibri"/>
          <w:noProof/>
        </w:rPr>
        <w:t> </w:t>
      </w:r>
      <w:r w:rsidRPr="009478C8">
        <w:rPr>
          <w:noProof/>
        </w:rPr>
        <w:t>232.2</w:t>
      </w:r>
      <w:r>
        <w:rPr>
          <w:rFonts w:ascii="Calibri" w:hAnsi="Calibri" w:cs="Calibri"/>
          <w:noProof/>
        </w:rPr>
        <w:t> </w:t>
      </w:r>
      <w:r w:rsidRPr="009478C8">
        <w:rPr>
          <w:noProof/>
        </w:rPr>
        <w:t>m</w:t>
      </w:r>
      <w:r>
        <w:rPr>
          <w:noProof/>
        </w:rPr>
        <w:t>illion for 2022 and EUR</w:t>
      </w:r>
      <w:r>
        <w:rPr>
          <w:rFonts w:ascii="Calibri" w:hAnsi="Calibri" w:cs="Calibri"/>
          <w:noProof/>
        </w:rPr>
        <w:t> </w:t>
      </w:r>
      <w:r>
        <w:rPr>
          <w:noProof/>
        </w:rPr>
        <w:t>150</w:t>
      </w:r>
      <w:r>
        <w:rPr>
          <w:rFonts w:ascii="Calibri" w:hAnsi="Calibri" w:cs="Calibri"/>
          <w:noProof/>
        </w:rPr>
        <w:t> </w:t>
      </w:r>
      <w:r w:rsidRPr="009478C8">
        <w:rPr>
          <w:noProof/>
        </w:rPr>
        <w:t xml:space="preserve">million for 2023. The </w:t>
      </w:r>
      <w:r>
        <w:rPr>
          <w:noProof/>
        </w:rPr>
        <w:t xml:space="preserve">other remaining </w:t>
      </w:r>
      <w:r w:rsidRPr="009478C8">
        <w:rPr>
          <w:noProof/>
        </w:rPr>
        <w:t>payments will materiali</w:t>
      </w:r>
      <w:r>
        <w:rPr>
          <w:noProof/>
        </w:rPr>
        <w:t>s</w:t>
      </w:r>
      <w:r w:rsidRPr="009478C8">
        <w:rPr>
          <w:noProof/>
        </w:rPr>
        <w:t xml:space="preserve">e in the </w:t>
      </w:r>
      <w:r>
        <w:rPr>
          <w:noProof/>
        </w:rPr>
        <w:t xml:space="preserve">following </w:t>
      </w:r>
      <w:r w:rsidRPr="009478C8">
        <w:rPr>
          <w:noProof/>
        </w:rPr>
        <w:t>years.</w:t>
      </w:r>
      <w:bookmarkEnd w:id="46"/>
    </w:p>
    <w:p w14:paraId="6F32A2C5" w14:textId="77777777" w:rsidR="00492B87" w:rsidRPr="00040D99" w:rsidRDefault="00492B87" w:rsidP="00492B87">
      <w:pPr>
        <w:pStyle w:val="ppoHeading5"/>
        <w:rPr>
          <w:noProof/>
        </w:rPr>
      </w:pPr>
      <w:r w:rsidRPr="00040D99">
        <w:rPr>
          <w:noProof/>
        </w:rPr>
        <w:t>Performance assessment</w:t>
      </w:r>
    </w:p>
    <w:p w14:paraId="049B5B94" w14:textId="77777777" w:rsidR="00492B87" w:rsidRPr="00A539F1" w:rsidRDefault="00492B87" w:rsidP="00492B87">
      <w:pPr>
        <w:pStyle w:val="ppoListHyphened-L1"/>
        <w:jc w:val="both"/>
        <w:rPr>
          <w:noProof/>
          <w:lang w:val="en-US"/>
        </w:rPr>
      </w:pPr>
      <w:r>
        <w:rPr>
          <w:noProof/>
        </w:rPr>
        <w:t>The ITER project has seen significant progress. The</w:t>
      </w:r>
      <w:r w:rsidRPr="3B8224FB">
        <w:rPr>
          <w:noProof/>
          <w:lang w:val="en-US"/>
        </w:rPr>
        <w:t xml:space="preserve"> </w:t>
      </w:r>
      <w:r>
        <w:rPr>
          <w:noProof/>
        </w:rPr>
        <w:t xml:space="preserve">project advanced to the device’s assembly phase, and </w:t>
      </w:r>
      <w:r w:rsidRPr="3B8224FB">
        <w:rPr>
          <w:noProof/>
          <w:lang w:val="en-US"/>
        </w:rPr>
        <w:t xml:space="preserve">progress in </w:t>
      </w:r>
      <w:r>
        <w:rPr>
          <w:noProof/>
          <w:lang w:val="en-US"/>
        </w:rPr>
        <w:t xml:space="preserve">the </w:t>
      </w:r>
      <w:r w:rsidRPr="3B8224FB">
        <w:rPr>
          <w:noProof/>
          <w:lang w:val="en-US"/>
        </w:rPr>
        <w:t>installation activities on the ITER site is noticeable. Uncertainties of the project have been reduced as the manufacturing of the important and technically complex first-of-kind components (</w:t>
      </w:r>
      <w:r>
        <w:rPr>
          <w:noProof/>
          <w:lang w:val="en-US"/>
        </w:rPr>
        <w:t>c</w:t>
      </w:r>
      <w:r w:rsidRPr="00DE5E90">
        <w:rPr>
          <w:noProof/>
          <w:lang w:val="en-US"/>
        </w:rPr>
        <w:t xml:space="preserve">ryostat and </w:t>
      </w:r>
      <w:r>
        <w:rPr>
          <w:noProof/>
          <w:lang w:val="en-US"/>
        </w:rPr>
        <w:t>t</w:t>
      </w:r>
      <w:r w:rsidRPr="00DE5E90">
        <w:rPr>
          <w:noProof/>
          <w:lang w:val="en-US"/>
        </w:rPr>
        <w:t xml:space="preserve">oroidal and </w:t>
      </w:r>
      <w:r>
        <w:rPr>
          <w:noProof/>
          <w:lang w:val="en-US"/>
        </w:rPr>
        <w:t>p</w:t>
      </w:r>
      <w:r w:rsidRPr="00DE5E90">
        <w:rPr>
          <w:noProof/>
          <w:lang w:val="en-US"/>
        </w:rPr>
        <w:t xml:space="preserve">oloidal </w:t>
      </w:r>
      <w:r>
        <w:rPr>
          <w:noProof/>
          <w:lang w:val="en-US"/>
        </w:rPr>
        <w:t>f</w:t>
      </w:r>
      <w:r w:rsidRPr="00DE5E90">
        <w:rPr>
          <w:noProof/>
          <w:lang w:val="en-US"/>
        </w:rPr>
        <w:t xml:space="preserve">ield </w:t>
      </w:r>
      <w:r>
        <w:rPr>
          <w:noProof/>
          <w:lang w:val="en-US"/>
        </w:rPr>
        <w:t>c</w:t>
      </w:r>
      <w:r w:rsidRPr="00DE5E90">
        <w:rPr>
          <w:noProof/>
          <w:lang w:val="en-US"/>
        </w:rPr>
        <w:t>oils</w:t>
      </w:r>
      <w:r w:rsidRPr="3B8224FB">
        <w:rPr>
          <w:noProof/>
          <w:lang w:val="en-US"/>
        </w:rPr>
        <w:t>) proved to be feasible.</w:t>
      </w:r>
    </w:p>
    <w:p w14:paraId="5714E18E" w14:textId="77777777" w:rsidR="00492B87" w:rsidRPr="00AA01A3" w:rsidRDefault="00492B87" w:rsidP="00492B87">
      <w:pPr>
        <w:pStyle w:val="ppoListHyphened-L1"/>
        <w:jc w:val="both"/>
        <w:rPr>
          <w:noProof/>
          <w:lang w:val="en-US"/>
        </w:rPr>
      </w:pPr>
      <w:r>
        <w:rPr>
          <w:noProof/>
        </w:rPr>
        <w:t>The deficiencies identified at the beginning of the 2014-2020 period, such as the immaturity of the design, project management issues, and a lack of cooperation between the parties involved, were addressed in a major overhaul of the project and organisation in 2015.</w:t>
      </w:r>
    </w:p>
    <w:p w14:paraId="571DE58B" w14:textId="77777777" w:rsidR="00492B87" w:rsidRDefault="00492B87" w:rsidP="00492B87">
      <w:pPr>
        <w:pStyle w:val="ppoListHyphened-L1"/>
        <w:jc w:val="both"/>
        <w:rPr>
          <w:noProof/>
          <w:lang w:val="en-US"/>
        </w:rPr>
      </w:pPr>
      <w:r>
        <w:rPr>
          <w:noProof/>
        </w:rPr>
        <w:t>This overhaul improved the overall effectiveness of the project. A new schedule was approved in November 2016, stabilising the project and providing a realistic basis for its progress.</w:t>
      </w:r>
      <w:r w:rsidRPr="00AA01A3">
        <w:rPr>
          <w:noProof/>
          <w:lang w:val="en-US"/>
        </w:rPr>
        <w:t xml:space="preserve"> </w:t>
      </w:r>
      <w:r>
        <w:rPr>
          <w:noProof/>
          <w:lang w:val="en-US"/>
        </w:rPr>
        <w:t>However, t</w:t>
      </w:r>
      <w:r w:rsidRPr="3B8224FB">
        <w:rPr>
          <w:noProof/>
          <w:lang w:val="en-US"/>
        </w:rPr>
        <w:t>he management and administration of this m</w:t>
      </w:r>
      <w:r>
        <w:rPr>
          <w:noProof/>
          <w:lang w:val="en-US"/>
        </w:rPr>
        <w:t>ultinational project still</w:t>
      </w:r>
      <w:r w:rsidRPr="3B8224FB">
        <w:rPr>
          <w:noProof/>
          <w:lang w:val="en-US"/>
        </w:rPr>
        <w:t xml:space="preserve"> poses significant challenges.</w:t>
      </w:r>
    </w:p>
    <w:p w14:paraId="30FBE0FC" w14:textId="77777777" w:rsidR="00492B87" w:rsidRDefault="00492B87" w:rsidP="00492B87">
      <w:pPr>
        <w:pStyle w:val="ppoListHyphened-L1"/>
        <w:jc w:val="both"/>
        <w:rPr>
          <w:noProof/>
          <w:lang w:val="en-US"/>
        </w:rPr>
      </w:pPr>
      <w:r w:rsidRPr="3B8224FB">
        <w:rPr>
          <w:noProof/>
          <w:lang w:val="en-US"/>
        </w:rPr>
        <w:t xml:space="preserve">On the other hand, due to the technical complexity of </w:t>
      </w:r>
      <w:r>
        <w:rPr>
          <w:noProof/>
          <w:lang w:val="en-US"/>
        </w:rPr>
        <w:t>some</w:t>
      </w:r>
      <w:r w:rsidRPr="3B8224FB">
        <w:rPr>
          <w:noProof/>
          <w:lang w:val="en-US"/>
        </w:rPr>
        <w:t xml:space="preserve"> components, the</w:t>
      </w:r>
      <w:r>
        <w:rPr>
          <w:noProof/>
          <w:lang w:val="en-US"/>
        </w:rPr>
        <w:t>ir</w:t>
      </w:r>
      <w:r w:rsidRPr="3B8224FB">
        <w:rPr>
          <w:noProof/>
          <w:lang w:val="en-US"/>
        </w:rPr>
        <w:t xml:space="preserve"> design, prototyping and final manufacturing will take longer than expected</w:t>
      </w:r>
      <w:r>
        <w:rPr>
          <w:noProof/>
          <w:lang w:val="en-US"/>
        </w:rPr>
        <w:t>.</w:t>
      </w:r>
      <w:r w:rsidRPr="3B8224FB">
        <w:rPr>
          <w:noProof/>
          <w:lang w:val="en-US"/>
        </w:rPr>
        <w:t xml:space="preserve"> </w:t>
      </w:r>
      <w:r>
        <w:rPr>
          <w:noProof/>
          <w:lang w:val="en-US"/>
        </w:rPr>
        <w:t>This is especially the case for vacuum vessel</w:t>
      </w:r>
      <w:r w:rsidRPr="3B8224FB">
        <w:rPr>
          <w:noProof/>
          <w:lang w:val="en-US"/>
        </w:rPr>
        <w:t xml:space="preserve"> sectors</w:t>
      </w:r>
      <w:r>
        <w:rPr>
          <w:noProof/>
          <w:lang w:val="en-US"/>
        </w:rPr>
        <w:t>, most of which are to be delivered by the EU</w:t>
      </w:r>
      <w:r w:rsidRPr="3B8224FB">
        <w:rPr>
          <w:noProof/>
          <w:lang w:val="en-US"/>
        </w:rPr>
        <w:t>. The assembly work of the components fac</w:t>
      </w:r>
      <w:r>
        <w:rPr>
          <w:noProof/>
          <w:lang w:val="en-US"/>
        </w:rPr>
        <w:t>ed</w:t>
      </w:r>
      <w:r w:rsidRPr="3B8224FB">
        <w:rPr>
          <w:noProof/>
          <w:lang w:val="en-US"/>
        </w:rPr>
        <w:t xml:space="preserve"> unexpected </w:t>
      </w:r>
      <w:r>
        <w:rPr>
          <w:noProof/>
          <w:lang w:val="en-US"/>
        </w:rPr>
        <w:t xml:space="preserve">welding </w:t>
      </w:r>
      <w:r w:rsidRPr="3B8224FB">
        <w:rPr>
          <w:noProof/>
          <w:lang w:val="en-US"/>
        </w:rPr>
        <w:t>issues that affect</w:t>
      </w:r>
      <w:r>
        <w:rPr>
          <w:noProof/>
          <w:lang w:val="en-US"/>
        </w:rPr>
        <w:t>ed</w:t>
      </w:r>
      <w:r w:rsidRPr="3B8224FB">
        <w:rPr>
          <w:noProof/>
          <w:lang w:val="en-US"/>
        </w:rPr>
        <w:t xml:space="preserve"> the schedule.</w:t>
      </w:r>
    </w:p>
    <w:p w14:paraId="49F2F512" w14:textId="77777777" w:rsidR="00492B87" w:rsidRDefault="00492B87" w:rsidP="00492B87">
      <w:pPr>
        <w:pStyle w:val="ppoListHyphened-L1"/>
        <w:jc w:val="both"/>
        <w:rPr>
          <w:noProof/>
          <w:lang w:val="en-US"/>
        </w:rPr>
      </w:pPr>
      <w:r>
        <w:rPr>
          <w:noProof/>
        </w:rPr>
        <w:t>In addition, the progress of the project has been impacted by the COVID</w:t>
      </w:r>
      <w:r>
        <w:rPr>
          <w:noProof/>
        </w:rPr>
        <w:noBreakHyphen/>
        <w:t>19 pandemic. In December 2020 the governing board of the Fusion for Energy Joint Undertaking presented an estimated delay due to the pandemic of up to 4 months, depending on the component, which is further exacerbated by delays stemming from the complexity of the current assembly works and of the first-of-the-kind nature of many components. The combined effect of these factors results in delays to the expected start of operations (‘first plasma’), the extent of which is currently under assessment.</w:t>
      </w:r>
    </w:p>
    <w:p w14:paraId="08B07EFF" w14:textId="77777777" w:rsidR="00492B87" w:rsidRPr="00FF4FE1" w:rsidRDefault="00492B87" w:rsidP="00492B87">
      <w:pPr>
        <w:pStyle w:val="ppoListHyphened-L1"/>
        <w:jc w:val="both"/>
        <w:rPr>
          <w:noProof/>
          <w:lang w:val="en-US"/>
        </w:rPr>
      </w:pPr>
      <w:r>
        <w:rPr>
          <w:noProof/>
        </w:rPr>
        <w:t>ITER’s investment in technologies and discoveries for the future have the potential to ripple throughout the economy by supporting cutting-edge technologies in critical industries, creating new business and jobs, and attracting more students to science while laying the foundation for the generation of commercial electricity from fusion energy.</w:t>
      </w:r>
    </w:p>
    <w:p w14:paraId="7604ACBD" w14:textId="77777777" w:rsidR="00492B87" w:rsidRPr="00FF4FE1" w:rsidRDefault="00492B87" w:rsidP="00492B87">
      <w:pPr>
        <w:pStyle w:val="ppoListHyphened-L1"/>
        <w:jc w:val="both"/>
        <w:rPr>
          <w:noProof/>
          <w:lang w:val="en-US"/>
        </w:rPr>
      </w:pPr>
      <w:r>
        <w:rPr>
          <w:noProof/>
        </w:rPr>
        <w:t>A recent study estimated that the impact of ITER on the EU economy in gross added value was EUR</w:t>
      </w:r>
      <w:r>
        <w:rPr>
          <w:rFonts w:ascii="Calibri" w:hAnsi="Calibri" w:cs="Calibri"/>
          <w:noProof/>
          <w:sz w:val="20"/>
        </w:rPr>
        <w:t> </w:t>
      </w:r>
      <w:r>
        <w:rPr>
          <w:noProof/>
        </w:rPr>
        <w:t>1.7</w:t>
      </w:r>
      <w:r>
        <w:rPr>
          <w:rFonts w:ascii="Calibri" w:hAnsi="Calibri" w:cs="Calibri"/>
          <w:noProof/>
        </w:rPr>
        <w:t> </w:t>
      </w:r>
      <w:r>
        <w:rPr>
          <w:noProof/>
        </w:rPr>
        <w:t>billion for the 2008-2019</w:t>
      </w:r>
      <w:r w:rsidRPr="00F60077">
        <w:rPr>
          <w:noProof/>
        </w:rPr>
        <w:t xml:space="preserve"> </w:t>
      </w:r>
      <w:r>
        <w:rPr>
          <w:noProof/>
        </w:rPr>
        <w:t>period. Additionally, the total number of annual jobs directly or indirectly created by ITER reached nearly 29</w:t>
      </w:r>
      <w:r>
        <w:rPr>
          <w:rFonts w:ascii="Calibri" w:hAnsi="Calibri" w:cs="Calibri"/>
          <w:noProof/>
        </w:rPr>
        <w:t> </w:t>
      </w:r>
      <w:r>
        <w:rPr>
          <w:noProof/>
        </w:rPr>
        <w:t>500.</w:t>
      </w:r>
    </w:p>
    <w:p w14:paraId="6F345EF8" w14:textId="77777777" w:rsidR="00E02B38" w:rsidRPr="00E02B38" w:rsidRDefault="00E02B38" w:rsidP="004B627A">
      <w:pPr>
        <w:pStyle w:val="StyleppoHeading3WhiteLeft0cm"/>
        <w:rPr>
          <w:noProof/>
          <w:sz w:val="40"/>
          <w:szCs w:val="40"/>
          <w:lang w:val="en-US"/>
        </w:rPr>
        <w:sectPr w:rsidR="00E02B38" w:rsidRPr="00E02B38" w:rsidSect="004B627A">
          <w:headerReference w:type="even" r:id="rId107"/>
          <w:headerReference w:type="default" r:id="rId108"/>
          <w:footerReference w:type="even" r:id="rId109"/>
          <w:footerReference w:type="default" r:id="rId110"/>
          <w:headerReference w:type="first" r:id="rId111"/>
          <w:footerReference w:type="first" r:id="rId112"/>
          <w:pgSz w:w="11906" w:h="16838"/>
          <w:pgMar w:top="1020" w:right="1106" w:bottom="1020" w:left="1350" w:header="601" w:footer="1077" w:gutter="0"/>
          <w:cols w:space="720"/>
          <w:titlePg/>
          <w:docGrid w:linePitch="326"/>
        </w:sectPr>
      </w:pPr>
    </w:p>
    <w:p w14:paraId="18FD8157" w14:textId="77777777" w:rsidR="00BD6673" w:rsidRPr="00ED7CA4" w:rsidRDefault="00BD6673" w:rsidP="00BD6673">
      <w:pPr>
        <w:pStyle w:val="StyleppoHeading3WhiteLeft0cm"/>
        <w:rPr>
          <w:noProof/>
          <w:sz w:val="40"/>
          <w:szCs w:val="40"/>
          <w:lang w:val="en-IE"/>
        </w:rPr>
      </w:pPr>
    </w:p>
    <w:p w14:paraId="5057A70B" w14:textId="77777777" w:rsidR="00BD6673" w:rsidRPr="00045449" w:rsidRDefault="00BD6673" w:rsidP="00BD6673">
      <w:pPr>
        <w:pStyle w:val="StyleppoHeading3WhiteLeft0cm"/>
        <w:rPr>
          <w:noProof/>
          <w:sz w:val="60"/>
          <w:szCs w:val="60"/>
          <w:lang w:val="en-IE"/>
        </w:rPr>
      </w:pPr>
      <w:bookmarkStart w:id="47" w:name="_Toc102086333"/>
      <w:r w:rsidRPr="00045449">
        <w:rPr>
          <w:noProof/>
          <w:sz w:val="60"/>
          <w:szCs w:val="60"/>
          <w:lang w:val="en-IE"/>
        </w:rPr>
        <w:t>INVESTEU</w:t>
      </w:r>
      <w:bookmarkEnd w:id="47"/>
    </w:p>
    <w:p w14:paraId="4DB032ED" w14:textId="77777777" w:rsidR="00BD6673" w:rsidRPr="00045449" w:rsidRDefault="00BD6673" w:rsidP="00BD6673">
      <w:pPr>
        <w:pStyle w:val="StyleppoProgrammenameWhiteLeft01cm"/>
        <w:rPr>
          <w:noProof/>
          <w:lang w:val="en-IE"/>
        </w:rPr>
      </w:pPr>
      <w:r w:rsidRPr="00045449">
        <w:rPr>
          <w:noProof/>
          <w:lang w:val="en-IE"/>
        </w:rPr>
        <w:t>INVESTEU PROGRAMME</w:t>
      </w:r>
    </w:p>
    <w:p w14:paraId="7B9E9772" w14:textId="77777777" w:rsidR="00BD6673" w:rsidRPr="00045449" w:rsidRDefault="00BD6673" w:rsidP="00BD6673">
      <w:pPr>
        <w:pStyle w:val="ppoHeading4Orange"/>
        <w:rPr>
          <w:noProof/>
          <w:lang w:val="en-IE"/>
        </w:rPr>
      </w:pPr>
      <w:r w:rsidRPr="00045449">
        <w:rPr>
          <w:noProof/>
          <w:lang w:val="en-IE"/>
        </w:rPr>
        <w:t>Programme in a nutshell</w:t>
      </w:r>
    </w:p>
    <w:p w14:paraId="0E24D918" w14:textId="77777777" w:rsidR="00BD6673" w:rsidRPr="00045449" w:rsidRDefault="00BD6673" w:rsidP="00BD6673">
      <w:pPr>
        <w:spacing w:after="480"/>
        <w:rPr>
          <w:rFonts w:eastAsiaTheme="minorEastAsia"/>
          <w:noProof/>
          <w:color w:val="FFFFFF" w:themeColor="background1"/>
          <w:sz w:val="32"/>
          <w:lang w:val="en-IE"/>
        </w:rPr>
        <w:sectPr w:rsidR="00BD6673" w:rsidRPr="00045449" w:rsidSect="00BB20EB">
          <w:headerReference w:type="even" r:id="rId113"/>
          <w:headerReference w:type="default" r:id="rId114"/>
          <w:footerReference w:type="even" r:id="rId115"/>
          <w:footerReference w:type="default" r:id="rId116"/>
          <w:headerReference w:type="first" r:id="rId117"/>
          <w:footerReference w:type="first" r:id="rId118"/>
          <w:pgSz w:w="11906" w:h="16838" w:code="9"/>
          <w:pgMar w:top="1134" w:right="1134" w:bottom="964" w:left="1134" w:header="431" w:footer="431" w:gutter="0"/>
          <w:cols w:space="720"/>
          <w:docGrid w:linePitch="360"/>
        </w:sectPr>
      </w:pPr>
    </w:p>
    <w:p w14:paraId="36A917C1" w14:textId="77777777" w:rsidR="00BD6673" w:rsidRPr="00045449" w:rsidRDefault="00BD6673" w:rsidP="00BD6673">
      <w:pPr>
        <w:pStyle w:val="ppoHeading5"/>
        <w:rPr>
          <w:noProof/>
          <w:lang w:val="en-IE"/>
        </w:rPr>
      </w:pPr>
      <w:r w:rsidRPr="00045449">
        <w:rPr>
          <w:noProof/>
          <w:lang w:val="en-IE"/>
        </w:rPr>
        <w:t>Concrete examples of achievements</w:t>
      </w:r>
      <w:r w:rsidRPr="00045449">
        <w:rPr>
          <w:rFonts w:ascii="Calibri" w:hAnsi="Calibri" w:cs="Calibri"/>
          <w:noProof/>
          <w:lang w:val="en-IE"/>
        </w:rPr>
        <w:t> </w:t>
      </w:r>
      <w:r w:rsidRPr="00045449">
        <w:rPr>
          <w:noProof/>
          <w:lang w:val="en-IE"/>
        </w:rPr>
        <w:t>(*)</w:t>
      </w:r>
    </w:p>
    <w:tbl>
      <w:tblPr>
        <w:tblStyle w:val="PPO2021"/>
        <w:tblW w:w="9639" w:type="dxa"/>
        <w:tblInd w:w="0" w:type="dxa"/>
        <w:tblLook w:val="0200" w:firstRow="0" w:lastRow="0" w:firstColumn="0" w:lastColumn="0" w:noHBand="1" w:noVBand="0"/>
      </w:tblPr>
      <w:tblGrid>
        <w:gridCol w:w="2409"/>
        <w:gridCol w:w="2410"/>
        <w:gridCol w:w="2410"/>
        <w:gridCol w:w="2410"/>
      </w:tblGrid>
      <w:tr w:rsidR="00BD6673" w:rsidRPr="00045449" w14:paraId="18E655EF" w14:textId="77777777" w:rsidTr="00BB20EB">
        <w:tc>
          <w:tcPr>
            <w:tcW w:w="2409" w:type="dxa"/>
          </w:tcPr>
          <w:p w14:paraId="10011D22" w14:textId="77777777" w:rsidR="00BD6673" w:rsidRPr="00045449" w:rsidRDefault="00BD6673" w:rsidP="00BB20EB">
            <w:pPr>
              <w:pStyle w:val="ppoTableacheivementvalue"/>
              <w:rPr>
                <w:noProof/>
                <w:sz w:val="24"/>
                <w:lang w:val="en-IE"/>
              </w:rPr>
            </w:pPr>
            <w:r w:rsidRPr="00045449">
              <w:rPr>
                <w:noProof/>
                <w:sz w:val="24"/>
                <w:lang w:val="en-IE"/>
              </w:rPr>
              <w:t>1.5 million</w:t>
            </w:r>
          </w:p>
          <w:p w14:paraId="15C768E9" w14:textId="4B447D88" w:rsidR="00BD6673" w:rsidRPr="00045449" w:rsidRDefault="00BD6673" w:rsidP="00962E3C">
            <w:pPr>
              <w:jc w:val="left"/>
              <w:rPr>
                <w:noProof/>
                <w:sz w:val="24"/>
                <w:lang w:val="en-IE"/>
              </w:rPr>
            </w:pPr>
            <w:r w:rsidRPr="00045449">
              <w:rPr>
                <w:noProof/>
                <w:sz w:val="24"/>
                <w:lang w:val="en-IE"/>
              </w:rPr>
              <w:t xml:space="preserve">small and medium-sized enterprises were supported </w:t>
            </w:r>
            <w:r w:rsidR="008D7CB5">
              <w:rPr>
                <w:noProof/>
                <w:sz w:val="24"/>
                <w:lang w:val="en-IE"/>
              </w:rPr>
              <w:t xml:space="preserve">between 2015 and </w:t>
            </w:r>
            <w:r w:rsidRPr="00045449">
              <w:rPr>
                <w:noProof/>
                <w:sz w:val="24"/>
                <w:lang w:val="en-IE"/>
              </w:rPr>
              <w:t>2021.</w:t>
            </w:r>
          </w:p>
        </w:tc>
        <w:tc>
          <w:tcPr>
            <w:cnfStyle w:val="000001000000" w:firstRow="0" w:lastRow="0" w:firstColumn="0" w:lastColumn="0" w:oddVBand="0" w:evenVBand="1" w:oddHBand="0" w:evenHBand="0" w:firstRowFirstColumn="0" w:firstRowLastColumn="0" w:lastRowFirstColumn="0" w:lastRowLastColumn="0"/>
            <w:tcW w:w="2410" w:type="dxa"/>
          </w:tcPr>
          <w:p w14:paraId="1E107808" w14:textId="77777777" w:rsidR="00BD6673" w:rsidRPr="00045449" w:rsidRDefault="00BD6673" w:rsidP="00BB20EB">
            <w:pPr>
              <w:pStyle w:val="ppoTableacheivementvalue"/>
              <w:rPr>
                <w:noProof/>
                <w:sz w:val="24"/>
                <w:lang w:val="en-IE"/>
              </w:rPr>
            </w:pPr>
            <w:r w:rsidRPr="00045449">
              <w:rPr>
                <w:noProof/>
                <w:sz w:val="24"/>
                <w:lang w:val="en-IE"/>
              </w:rPr>
              <w:t>12.7 million</w:t>
            </w:r>
          </w:p>
          <w:p w14:paraId="78D98606" w14:textId="1D9098B5" w:rsidR="00BD6673" w:rsidRPr="00045449" w:rsidRDefault="00BD6673" w:rsidP="00962E3C">
            <w:pPr>
              <w:jc w:val="left"/>
              <w:rPr>
                <w:noProof/>
                <w:sz w:val="24"/>
                <w:lang w:val="en-IE"/>
              </w:rPr>
            </w:pPr>
            <w:r w:rsidRPr="00045449">
              <w:rPr>
                <w:noProof/>
                <w:sz w:val="24"/>
                <w:lang w:val="en-IE"/>
              </w:rPr>
              <w:t xml:space="preserve">jobs were sustained and supported </w:t>
            </w:r>
            <w:r w:rsidR="008D7CB5">
              <w:rPr>
                <w:noProof/>
                <w:sz w:val="24"/>
                <w:lang w:val="en-IE"/>
              </w:rPr>
              <w:t xml:space="preserve">between 2015 and </w:t>
            </w:r>
            <w:r w:rsidR="008D7CB5" w:rsidRPr="00045449">
              <w:rPr>
                <w:noProof/>
                <w:sz w:val="24"/>
                <w:lang w:val="en-IE"/>
              </w:rPr>
              <w:t>2021</w:t>
            </w:r>
            <w:r w:rsidRPr="00045449">
              <w:rPr>
                <w:noProof/>
                <w:sz w:val="24"/>
                <w:lang w:val="en-IE"/>
              </w:rPr>
              <w:t>.</w:t>
            </w:r>
          </w:p>
        </w:tc>
        <w:tc>
          <w:tcPr>
            <w:tcW w:w="2410" w:type="dxa"/>
            <w:tcBorders>
              <w:bottom w:val="single" w:sz="4" w:space="0" w:color="8C8C8C"/>
            </w:tcBorders>
          </w:tcPr>
          <w:p w14:paraId="4BF77A15" w14:textId="77777777" w:rsidR="00BD6673" w:rsidRPr="00045449" w:rsidRDefault="00BD6673" w:rsidP="00BB20EB">
            <w:pPr>
              <w:pStyle w:val="ppoTableacheivementvalue"/>
              <w:cnfStyle w:val="000000000000" w:firstRow="0" w:lastRow="0" w:firstColumn="0" w:lastColumn="0" w:oddVBand="0" w:evenVBand="0" w:oddHBand="0" w:evenHBand="0" w:firstRowFirstColumn="0" w:firstRowLastColumn="0" w:lastRowFirstColumn="0" w:lastRowLastColumn="0"/>
              <w:rPr>
                <w:noProof/>
                <w:sz w:val="22"/>
                <w:lang w:val="en-IE"/>
              </w:rPr>
            </w:pPr>
            <w:r w:rsidRPr="00045449">
              <w:rPr>
                <w:noProof/>
                <w:sz w:val="22"/>
                <w:lang w:val="en-IE"/>
              </w:rPr>
              <w:t>0.5 million</w:t>
            </w:r>
          </w:p>
          <w:p w14:paraId="701352AA" w14:textId="4256699B" w:rsidR="00BD6673" w:rsidRPr="00045449" w:rsidRDefault="00BD6673" w:rsidP="00962E3C">
            <w:pPr>
              <w:jc w:val="left"/>
              <w:cnfStyle w:val="000000000000" w:firstRow="0" w:lastRow="0" w:firstColumn="0" w:lastColumn="0" w:oddVBand="0" w:evenVBand="0" w:oddHBand="0" w:evenHBand="0" w:firstRowFirstColumn="0" w:firstRowLastColumn="0" w:lastRowFirstColumn="0" w:lastRowLastColumn="0"/>
              <w:rPr>
                <w:noProof/>
                <w:lang w:val="en-IE"/>
              </w:rPr>
            </w:pPr>
            <w:r w:rsidRPr="00045449">
              <w:rPr>
                <w:noProof/>
                <w:lang w:val="en-IE"/>
              </w:rPr>
              <w:t xml:space="preserve">affordable flats were built or renovated </w:t>
            </w:r>
            <w:r w:rsidR="008D7CB5">
              <w:rPr>
                <w:noProof/>
                <w:sz w:val="24"/>
                <w:lang w:val="en-IE"/>
              </w:rPr>
              <w:t xml:space="preserve">between 2015 and </w:t>
            </w:r>
            <w:r w:rsidR="008D7CB5" w:rsidRPr="00045449">
              <w:rPr>
                <w:noProof/>
                <w:sz w:val="24"/>
                <w:lang w:val="en-IE"/>
              </w:rPr>
              <w:t>202</w:t>
            </w:r>
            <w:r w:rsidR="008D7CB5">
              <w:rPr>
                <w:noProof/>
                <w:sz w:val="24"/>
                <w:lang w:val="en-IE"/>
              </w:rPr>
              <w:t>1</w:t>
            </w:r>
            <w:r w:rsidRPr="00045449">
              <w:rPr>
                <w:noProof/>
                <w:lang w:val="en-IE"/>
              </w:rPr>
              <w:t xml:space="preserve">. </w:t>
            </w:r>
          </w:p>
        </w:tc>
        <w:tc>
          <w:tcPr>
            <w:cnfStyle w:val="000001000000" w:firstRow="0" w:lastRow="0" w:firstColumn="0" w:lastColumn="0" w:oddVBand="0" w:evenVBand="1" w:oddHBand="0" w:evenHBand="0" w:firstRowFirstColumn="0" w:firstRowLastColumn="0" w:lastRowFirstColumn="0" w:lastRowLastColumn="0"/>
            <w:tcW w:w="2410" w:type="dxa"/>
          </w:tcPr>
          <w:p w14:paraId="30573833" w14:textId="081E304F" w:rsidR="00BD6673" w:rsidRPr="00045449" w:rsidRDefault="00BD6673" w:rsidP="00BB20EB">
            <w:pPr>
              <w:pStyle w:val="ppoTableacheivementvalue"/>
              <w:rPr>
                <w:noProof/>
                <w:sz w:val="22"/>
                <w:lang w:val="en-IE"/>
              </w:rPr>
            </w:pPr>
            <w:r w:rsidRPr="00045449">
              <w:rPr>
                <w:noProof/>
                <w:sz w:val="22"/>
                <w:lang w:val="en-IE"/>
              </w:rPr>
              <w:t>1</w:t>
            </w:r>
            <w:r>
              <w:rPr>
                <w:noProof/>
                <w:sz w:val="22"/>
                <w:lang w:val="en-IE"/>
              </w:rPr>
              <w:t>7.9</w:t>
            </w:r>
            <w:r w:rsidRPr="00045449">
              <w:rPr>
                <w:noProof/>
                <w:sz w:val="22"/>
                <w:lang w:val="en-IE"/>
              </w:rPr>
              <w:t xml:space="preserve"> million</w:t>
            </w:r>
          </w:p>
          <w:p w14:paraId="1D13BA7F" w14:textId="12A5AA9D" w:rsidR="00BD6673" w:rsidRPr="00045449" w:rsidRDefault="00BD6673" w:rsidP="00962E3C">
            <w:pPr>
              <w:jc w:val="left"/>
              <w:rPr>
                <w:noProof/>
                <w:lang w:val="en-IE"/>
              </w:rPr>
            </w:pPr>
            <w:r w:rsidRPr="00045449">
              <w:rPr>
                <w:noProof/>
                <w:lang w:val="en-IE"/>
              </w:rPr>
              <w:t xml:space="preserve">additional households were powered by renewable energy through investments in energy generation </w:t>
            </w:r>
            <w:r w:rsidR="008D7CB5">
              <w:rPr>
                <w:noProof/>
                <w:sz w:val="24"/>
                <w:lang w:val="en-IE"/>
              </w:rPr>
              <w:t>between 2015 and 2021</w:t>
            </w:r>
            <w:r w:rsidRPr="00045449">
              <w:rPr>
                <w:noProof/>
                <w:lang w:val="en-IE"/>
              </w:rPr>
              <w:t>.</w:t>
            </w:r>
          </w:p>
        </w:tc>
      </w:tr>
      <w:tr w:rsidR="00BD6673" w:rsidRPr="00045449" w14:paraId="15F8496F" w14:textId="77777777" w:rsidTr="00BB20EB">
        <w:tc>
          <w:tcPr>
            <w:tcW w:w="2409" w:type="dxa"/>
          </w:tcPr>
          <w:p w14:paraId="577B635A" w14:textId="7947F804" w:rsidR="00BD6673" w:rsidRPr="00045449" w:rsidRDefault="00BD6673" w:rsidP="00BB20EB">
            <w:pPr>
              <w:pStyle w:val="ppoTableacheivementvalue"/>
              <w:rPr>
                <w:noProof/>
                <w:sz w:val="24"/>
                <w:lang w:val="en-IE"/>
              </w:rPr>
            </w:pPr>
            <w:r w:rsidRPr="00045449">
              <w:rPr>
                <w:noProof/>
                <w:sz w:val="24"/>
                <w:lang w:val="en-IE"/>
              </w:rPr>
              <w:t>3</w:t>
            </w:r>
            <w:r>
              <w:rPr>
                <w:noProof/>
                <w:sz w:val="24"/>
                <w:lang w:val="en-IE"/>
              </w:rPr>
              <w:t>9</w:t>
            </w:r>
            <w:r w:rsidR="002D0AB8">
              <w:rPr>
                <w:noProof/>
                <w:sz w:val="24"/>
                <w:lang w:val="en-IE"/>
              </w:rPr>
              <w:t>.5</w:t>
            </w:r>
            <w:r w:rsidRPr="00045449">
              <w:rPr>
                <w:noProof/>
                <w:sz w:val="24"/>
                <w:lang w:val="en-IE"/>
              </w:rPr>
              <w:t xml:space="preserve"> million</w:t>
            </w:r>
          </w:p>
          <w:p w14:paraId="339F5002" w14:textId="25472027" w:rsidR="00BD6673" w:rsidRPr="00045449" w:rsidRDefault="00BD6673" w:rsidP="00962E3C">
            <w:pPr>
              <w:pStyle w:val="ppoTableacheivementvalue"/>
              <w:jc w:val="left"/>
              <w:rPr>
                <w:noProof/>
                <w:sz w:val="24"/>
                <w:lang w:val="en-IE"/>
              </w:rPr>
            </w:pPr>
            <w:r w:rsidRPr="00045449">
              <w:rPr>
                <w:noProof/>
                <w:sz w:val="24"/>
                <w:lang w:val="en-IE"/>
              </w:rPr>
              <w:t xml:space="preserve">people benefited </w:t>
            </w:r>
            <w:r w:rsidRPr="002A4508">
              <w:rPr>
                <w:noProof/>
                <w:sz w:val="24"/>
                <w:lang w:val="en-IE"/>
              </w:rPr>
              <w:t>from better waste treatment</w:t>
            </w:r>
            <w:r w:rsidRPr="009638F0">
              <w:rPr>
                <w:noProof/>
                <w:sz w:val="24"/>
                <w:lang w:val="en-IE"/>
              </w:rPr>
              <w:t xml:space="preserve"> </w:t>
            </w:r>
            <w:r w:rsidR="008D7CB5">
              <w:rPr>
                <w:noProof/>
                <w:sz w:val="24"/>
                <w:lang w:val="en-IE"/>
              </w:rPr>
              <w:t xml:space="preserve">between 2015 and </w:t>
            </w:r>
            <w:r w:rsidR="008D7CB5" w:rsidRPr="00045449">
              <w:rPr>
                <w:noProof/>
                <w:sz w:val="24"/>
                <w:lang w:val="en-IE"/>
              </w:rPr>
              <w:t>202</w:t>
            </w:r>
            <w:r w:rsidR="004B37B2">
              <w:rPr>
                <w:noProof/>
                <w:sz w:val="24"/>
                <w:lang w:val="en-IE"/>
              </w:rPr>
              <w:t>1</w:t>
            </w:r>
            <w:r w:rsidRPr="002A4508">
              <w:rPr>
                <w:noProof/>
                <w:sz w:val="24"/>
                <w:lang w:val="en-IE"/>
              </w:rPr>
              <w:t>.</w:t>
            </w:r>
          </w:p>
        </w:tc>
        <w:tc>
          <w:tcPr>
            <w:cnfStyle w:val="000001000000" w:firstRow="0" w:lastRow="0" w:firstColumn="0" w:lastColumn="0" w:oddVBand="0" w:evenVBand="1" w:oddHBand="0" w:evenHBand="0" w:firstRowFirstColumn="0" w:firstRowLastColumn="0" w:lastRowFirstColumn="0" w:lastRowLastColumn="0"/>
            <w:tcW w:w="2410" w:type="dxa"/>
          </w:tcPr>
          <w:p w14:paraId="01CD2E2E" w14:textId="77777777" w:rsidR="00BD6673" w:rsidRPr="00045449" w:rsidRDefault="00BD6673" w:rsidP="00BB20EB">
            <w:pPr>
              <w:pStyle w:val="ppoTableacheivementvalue"/>
              <w:rPr>
                <w:noProof/>
                <w:sz w:val="24"/>
                <w:lang w:val="en-IE"/>
              </w:rPr>
            </w:pPr>
            <w:r w:rsidRPr="00045449">
              <w:rPr>
                <w:noProof/>
                <w:sz w:val="24"/>
                <w:lang w:val="en-IE"/>
              </w:rPr>
              <w:t>20 million</w:t>
            </w:r>
          </w:p>
          <w:p w14:paraId="377138D5" w14:textId="34A94965" w:rsidR="00BD6673" w:rsidRPr="00045449" w:rsidRDefault="00BD6673" w:rsidP="00962E3C">
            <w:pPr>
              <w:pStyle w:val="ppoTableacheivementvalue"/>
              <w:jc w:val="left"/>
              <w:rPr>
                <w:noProof/>
                <w:sz w:val="24"/>
                <w:lang w:val="en-IE"/>
              </w:rPr>
            </w:pPr>
            <w:r w:rsidRPr="00045449">
              <w:rPr>
                <w:noProof/>
                <w:sz w:val="24"/>
                <w:szCs w:val="22"/>
                <w:lang w:val="en-IE"/>
              </w:rPr>
              <w:t xml:space="preserve">additional households had access to high-speed internet </w:t>
            </w:r>
            <w:r w:rsidR="008D7CB5">
              <w:rPr>
                <w:noProof/>
                <w:sz w:val="24"/>
                <w:lang w:val="en-IE"/>
              </w:rPr>
              <w:t xml:space="preserve">between 2015 and </w:t>
            </w:r>
            <w:r w:rsidR="008D7CB5" w:rsidRPr="00045449">
              <w:rPr>
                <w:noProof/>
                <w:sz w:val="24"/>
                <w:lang w:val="en-IE"/>
              </w:rPr>
              <w:t>202</w:t>
            </w:r>
            <w:r w:rsidR="004B37B2">
              <w:rPr>
                <w:noProof/>
                <w:sz w:val="24"/>
                <w:lang w:val="en-IE"/>
              </w:rPr>
              <w:t>1</w:t>
            </w:r>
            <w:r w:rsidRPr="00045449">
              <w:rPr>
                <w:noProof/>
                <w:lang w:val="en-IE"/>
              </w:rPr>
              <w:t>.</w:t>
            </w:r>
          </w:p>
        </w:tc>
        <w:tc>
          <w:tcPr>
            <w:tcW w:w="2410" w:type="dxa"/>
            <w:tcBorders>
              <w:bottom w:val="single" w:sz="4" w:space="0" w:color="8C8C8C"/>
            </w:tcBorders>
          </w:tcPr>
          <w:p w14:paraId="0D9E1DF9" w14:textId="561A4C7D" w:rsidR="00BD6673" w:rsidRPr="00045449" w:rsidRDefault="00BD6673" w:rsidP="00BB20EB">
            <w:pPr>
              <w:pStyle w:val="ppoTableacheivementvalue"/>
              <w:cnfStyle w:val="000000000000" w:firstRow="0" w:lastRow="0" w:firstColumn="0" w:lastColumn="0" w:oddVBand="0" w:evenVBand="0" w:oddHBand="0" w:evenHBand="0" w:firstRowFirstColumn="0" w:firstRowLastColumn="0" w:lastRowFirstColumn="0" w:lastRowLastColumn="0"/>
              <w:rPr>
                <w:noProof/>
                <w:sz w:val="24"/>
                <w:lang w:val="en-IE"/>
              </w:rPr>
            </w:pPr>
            <w:r w:rsidRPr="00045449">
              <w:rPr>
                <w:noProof/>
                <w:sz w:val="24"/>
                <w:lang w:val="en-IE"/>
              </w:rPr>
              <w:t>2</w:t>
            </w:r>
            <w:r>
              <w:rPr>
                <w:noProof/>
                <w:sz w:val="24"/>
                <w:lang w:val="en-IE"/>
              </w:rPr>
              <w:t>3</w:t>
            </w:r>
            <w:r w:rsidRPr="00045449">
              <w:rPr>
                <w:noProof/>
                <w:sz w:val="24"/>
                <w:lang w:val="en-IE"/>
              </w:rPr>
              <w:t xml:space="preserve"> million</w:t>
            </w:r>
          </w:p>
          <w:p w14:paraId="05F094BB" w14:textId="5D716E46" w:rsidR="00BD6673" w:rsidRPr="00045449" w:rsidRDefault="00BD6673" w:rsidP="00962E3C">
            <w:pPr>
              <w:pStyle w:val="ppoTableacheivementvalue"/>
              <w:jc w:val="left"/>
              <w:cnfStyle w:val="000000000000" w:firstRow="0" w:lastRow="0" w:firstColumn="0" w:lastColumn="0" w:oddVBand="0" w:evenVBand="0" w:oddHBand="0" w:evenHBand="0" w:firstRowFirstColumn="0" w:firstRowLastColumn="0" w:lastRowFirstColumn="0" w:lastRowLastColumn="0"/>
              <w:rPr>
                <w:noProof/>
                <w:sz w:val="22"/>
                <w:lang w:val="en-IE"/>
              </w:rPr>
            </w:pPr>
            <w:r w:rsidRPr="00045449">
              <w:rPr>
                <w:noProof/>
                <w:sz w:val="24"/>
                <w:szCs w:val="22"/>
                <w:lang w:val="en-IE"/>
              </w:rPr>
              <w:t xml:space="preserve">people were covered by improved healthcare services </w:t>
            </w:r>
            <w:r w:rsidR="008D7CB5">
              <w:rPr>
                <w:noProof/>
                <w:sz w:val="24"/>
                <w:lang w:val="en-IE"/>
              </w:rPr>
              <w:t xml:space="preserve">between 2015 and </w:t>
            </w:r>
            <w:r w:rsidR="008D7CB5" w:rsidRPr="00045449">
              <w:rPr>
                <w:noProof/>
                <w:sz w:val="24"/>
                <w:lang w:val="en-IE"/>
              </w:rPr>
              <w:t>202</w:t>
            </w:r>
            <w:r w:rsidR="004B37B2">
              <w:rPr>
                <w:noProof/>
                <w:sz w:val="24"/>
                <w:lang w:val="en-IE"/>
              </w:rPr>
              <w:t>1</w:t>
            </w:r>
            <w:r w:rsidRPr="00045449">
              <w:rPr>
                <w:noProof/>
                <w:lang w:val="en-IE"/>
              </w:rPr>
              <w:t>.</w:t>
            </w:r>
          </w:p>
        </w:tc>
        <w:tc>
          <w:tcPr>
            <w:cnfStyle w:val="000001000000" w:firstRow="0" w:lastRow="0" w:firstColumn="0" w:lastColumn="0" w:oddVBand="0" w:evenVBand="1" w:oddHBand="0" w:evenHBand="0" w:firstRowFirstColumn="0" w:firstRowLastColumn="0" w:lastRowFirstColumn="0" w:lastRowLastColumn="0"/>
            <w:tcW w:w="2410" w:type="dxa"/>
          </w:tcPr>
          <w:p w14:paraId="7986710B" w14:textId="63A05150" w:rsidR="00BD6673" w:rsidRPr="00045449" w:rsidRDefault="004B37B2" w:rsidP="00BB20EB">
            <w:pPr>
              <w:pStyle w:val="ppoTableacheivementvalue"/>
              <w:rPr>
                <w:noProof/>
                <w:sz w:val="24"/>
                <w:szCs w:val="22"/>
                <w:lang w:val="en-IE"/>
              </w:rPr>
            </w:pPr>
            <w:r>
              <w:rPr>
                <w:noProof/>
                <w:sz w:val="24"/>
                <w:szCs w:val="22"/>
                <w:lang w:val="en-IE"/>
              </w:rPr>
              <w:t>478</w:t>
            </w:r>
            <w:r w:rsidRPr="00045449">
              <w:rPr>
                <w:noProof/>
                <w:sz w:val="24"/>
                <w:szCs w:val="22"/>
                <w:lang w:val="en-IE"/>
              </w:rPr>
              <w:t xml:space="preserve"> </w:t>
            </w:r>
            <w:r w:rsidR="00BD6673" w:rsidRPr="00045449">
              <w:rPr>
                <w:noProof/>
                <w:sz w:val="24"/>
                <w:szCs w:val="22"/>
                <w:lang w:val="en-IE"/>
              </w:rPr>
              <w:t>million</w:t>
            </w:r>
          </w:p>
          <w:p w14:paraId="35ABAC28" w14:textId="1E5794F5" w:rsidR="00BD6673" w:rsidRPr="00045449" w:rsidRDefault="00BD6673" w:rsidP="00962E3C">
            <w:pPr>
              <w:pStyle w:val="ppoTableacheivementvalue"/>
              <w:jc w:val="left"/>
              <w:rPr>
                <w:noProof/>
                <w:sz w:val="24"/>
                <w:szCs w:val="22"/>
                <w:lang w:val="en-IE"/>
              </w:rPr>
            </w:pPr>
            <w:r w:rsidRPr="00045449">
              <w:rPr>
                <w:noProof/>
                <w:sz w:val="24"/>
                <w:szCs w:val="22"/>
                <w:lang w:val="en-IE"/>
              </w:rPr>
              <w:t>passenger</w:t>
            </w:r>
            <w:r w:rsidR="004B37B2">
              <w:rPr>
                <w:noProof/>
                <w:sz w:val="24"/>
                <w:szCs w:val="22"/>
                <w:lang w:val="en-IE"/>
              </w:rPr>
              <w:t xml:space="preserve"> trips</w:t>
            </w:r>
            <w:r w:rsidRPr="00045449">
              <w:rPr>
                <w:noProof/>
                <w:sz w:val="24"/>
                <w:szCs w:val="22"/>
                <w:lang w:val="en-IE"/>
              </w:rPr>
              <w:t xml:space="preserve"> benefited from </w:t>
            </w:r>
            <w:r w:rsidR="004B37B2">
              <w:rPr>
                <w:noProof/>
                <w:sz w:val="24"/>
                <w:szCs w:val="22"/>
                <w:lang w:val="en-IE"/>
              </w:rPr>
              <w:t xml:space="preserve">new or </w:t>
            </w:r>
            <w:r w:rsidRPr="00045449">
              <w:rPr>
                <w:noProof/>
                <w:sz w:val="24"/>
                <w:szCs w:val="22"/>
                <w:lang w:val="en-IE"/>
              </w:rPr>
              <w:t xml:space="preserve">improved transport infrastructure </w:t>
            </w:r>
            <w:r w:rsidR="008D7CB5">
              <w:rPr>
                <w:noProof/>
                <w:sz w:val="24"/>
                <w:lang w:val="en-IE"/>
              </w:rPr>
              <w:t xml:space="preserve">between 2015 and </w:t>
            </w:r>
            <w:r w:rsidR="008D7CB5" w:rsidRPr="00045449">
              <w:rPr>
                <w:noProof/>
                <w:sz w:val="24"/>
                <w:lang w:val="en-IE"/>
              </w:rPr>
              <w:t>202</w:t>
            </w:r>
            <w:r w:rsidR="004B37B2">
              <w:rPr>
                <w:noProof/>
                <w:sz w:val="24"/>
                <w:lang w:val="en-IE"/>
              </w:rPr>
              <w:t>1</w:t>
            </w:r>
            <w:r w:rsidRPr="00045449">
              <w:rPr>
                <w:noProof/>
                <w:lang w:val="en-IE"/>
              </w:rPr>
              <w:t>.</w:t>
            </w:r>
          </w:p>
        </w:tc>
      </w:tr>
    </w:tbl>
    <w:p w14:paraId="7125E510" w14:textId="77777777" w:rsidR="00BD6673" w:rsidRPr="00045449" w:rsidRDefault="00BD6673" w:rsidP="00BD6673">
      <w:pPr>
        <w:pStyle w:val="FootnoteText"/>
        <w:rPr>
          <w:rFonts w:eastAsiaTheme="minorEastAsia"/>
          <w:noProof/>
          <w:lang w:val="en-IE"/>
        </w:rPr>
      </w:pPr>
      <w:r w:rsidRPr="00045449">
        <w:rPr>
          <w:rFonts w:eastAsiaTheme="minorEastAsia"/>
          <w:noProof/>
          <w:lang w:val="en-IE"/>
        </w:rPr>
        <w:t>(*) Key achievements in the table state which period they relate to. Many come from the implementation of the predecessor programmes under the 2014-2020 multiannual financial framework. This is expected and is due to the multiannual life cycle of EU programmes and the projects they finance, where results often follow only after completion of the programmes.</w:t>
      </w:r>
    </w:p>
    <w:p w14:paraId="732EA2F5" w14:textId="77777777" w:rsidR="00BD6673" w:rsidRDefault="00BD6673">
      <w:pPr>
        <w:spacing w:after="0"/>
        <w:jc w:val="left"/>
        <w:rPr>
          <w:rFonts w:ascii="EC Square Sans Pro Medium" w:eastAsiaTheme="majorEastAsia" w:hAnsi="EC Square Sans Pro Medium" w:cstheme="majorBidi"/>
          <w:noProof/>
          <w:sz w:val="40"/>
          <w:szCs w:val="26"/>
          <w:lang w:val="en-IE" w:eastAsia="en-GB"/>
        </w:rPr>
      </w:pPr>
      <w:r>
        <w:rPr>
          <w:noProof/>
          <w:lang w:val="en-IE"/>
        </w:rPr>
        <w:br w:type="page"/>
      </w:r>
    </w:p>
    <w:p w14:paraId="62B85BED" w14:textId="32654C58" w:rsidR="00BD6673" w:rsidRPr="00045449" w:rsidRDefault="00BD6673" w:rsidP="00BD6673">
      <w:pPr>
        <w:pStyle w:val="ppoHeading5"/>
        <w:rPr>
          <w:noProof/>
          <w:lang w:val="en-IE"/>
        </w:rPr>
      </w:pPr>
      <w:r w:rsidRPr="00045449">
        <w:rPr>
          <w:noProof/>
          <w:lang w:val="en-IE"/>
        </w:rPr>
        <w:t>Budget for 2021-2027</w:t>
      </w:r>
    </w:p>
    <w:p w14:paraId="55AB7541" w14:textId="77777777" w:rsidR="00BD6673" w:rsidRPr="00045449" w:rsidRDefault="00BD6673" w:rsidP="00BD6673">
      <w:pPr>
        <w:pStyle w:val="ppoTableTabletitle"/>
        <w:ind w:left="284"/>
        <w:rPr>
          <w:noProof/>
          <w:lang w:val="en-IE"/>
        </w:rPr>
      </w:pPr>
      <w:r w:rsidRPr="00045449">
        <w:rPr>
          <w:noProof/>
          <w:lang w:val="en-IE"/>
        </w:rPr>
        <w:t>(million EUR)</w:t>
      </w:r>
    </w:p>
    <w:tbl>
      <w:tblPr>
        <w:tblStyle w:val="PlainTable2"/>
        <w:tblW w:w="0" w:type="auto"/>
        <w:tblInd w:w="288" w:type="dxa"/>
        <w:tblLook w:val="04A0" w:firstRow="1" w:lastRow="0" w:firstColumn="1" w:lastColumn="0" w:noHBand="0" w:noVBand="1"/>
      </w:tblPr>
      <w:tblGrid>
        <w:gridCol w:w="4788"/>
        <w:gridCol w:w="2610"/>
      </w:tblGrid>
      <w:tr w:rsidR="00BD6673" w:rsidRPr="00045449" w14:paraId="7FDA30AA" w14:textId="77777777" w:rsidTr="00BB20EB">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2DBE1681" w14:textId="77777777" w:rsidR="00BD6673" w:rsidRPr="00045449" w:rsidRDefault="00BD6673" w:rsidP="00BB20EB">
            <w:pPr>
              <w:spacing w:before="120" w:after="120"/>
              <w:rPr>
                <w:noProof/>
                <w:lang w:val="en-IE"/>
              </w:rPr>
            </w:pPr>
            <w:r w:rsidRPr="00045449">
              <w:rPr>
                <w:rFonts w:cs="Calibri"/>
                <w:noProof/>
                <w:color w:val="000000"/>
                <w:lang w:val="en-IE"/>
              </w:rPr>
              <w:t>Financial programming</w:t>
            </w:r>
          </w:p>
        </w:tc>
        <w:tc>
          <w:tcPr>
            <w:tcW w:w="2610" w:type="dxa"/>
            <w:shd w:val="clear" w:color="auto" w:fill="auto"/>
            <w:vAlign w:val="bottom"/>
          </w:tcPr>
          <w:p w14:paraId="70722F2C" w14:textId="77777777" w:rsidR="00BD6673" w:rsidRDefault="00BD6673" w:rsidP="00BB20EB">
            <w:pPr>
              <w:jc w:val="right"/>
              <w:cnfStyle w:val="100000000000" w:firstRow="1"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2 992.7</w:t>
            </w:r>
          </w:p>
          <w:p w14:paraId="6788A2CB" w14:textId="3859EE34" w:rsidR="00BD6673" w:rsidRPr="00045449" w:rsidRDefault="00BD6673" w:rsidP="00BB20EB">
            <w:pPr>
              <w:spacing w:before="120" w:after="120"/>
              <w:jc w:val="right"/>
              <w:cnfStyle w:val="100000000000" w:firstRow="1" w:lastRow="0" w:firstColumn="0" w:lastColumn="0" w:oddVBand="0" w:evenVBand="0" w:oddHBand="0" w:evenHBand="0" w:firstRowFirstColumn="0" w:firstRowLastColumn="0" w:lastRowFirstColumn="0" w:lastRowLastColumn="0"/>
              <w:rPr>
                <w:b w:val="0"/>
                <w:noProof/>
                <w:lang w:val="en-IE"/>
              </w:rPr>
            </w:pPr>
          </w:p>
        </w:tc>
      </w:tr>
      <w:tr w:rsidR="00BD6673" w:rsidRPr="00045449" w14:paraId="55ACF604" w14:textId="77777777" w:rsidTr="00BB20E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7089F1AD" w14:textId="77777777" w:rsidR="00BD6673" w:rsidRPr="00045449" w:rsidRDefault="00BD6673" w:rsidP="00BB20EB">
            <w:pPr>
              <w:spacing w:before="120" w:after="120"/>
              <w:rPr>
                <w:b w:val="0"/>
                <w:noProof/>
                <w:lang w:val="en-IE"/>
              </w:rPr>
            </w:pPr>
            <w:r w:rsidRPr="00045449">
              <w:rPr>
                <w:rFonts w:cs="Calibri"/>
                <w:noProof/>
                <w:color w:val="000000"/>
                <w:lang w:val="en-IE"/>
              </w:rPr>
              <w:t>NextGenerationEU</w:t>
            </w:r>
          </w:p>
        </w:tc>
        <w:tc>
          <w:tcPr>
            <w:tcW w:w="2610" w:type="dxa"/>
            <w:vAlign w:val="bottom"/>
          </w:tcPr>
          <w:p w14:paraId="770966DE" w14:textId="77777777" w:rsidR="00BD6673" w:rsidRDefault="00BD6673" w:rsidP="00BB20E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rPr>
            </w:pPr>
            <w:r>
              <w:rPr>
                <w:rFonts w:ascii="Calibri" w:hAnsi="Calibri" w:cs="Calibri"/>
                <w:noProof/>
                <w:color w:val="000000"/>
              </w:rPr>
              <w:t>6 074.0</w:t>
            </w:r>
          </w:p>
          <w:p w14:paraId="3EBC3794" w14:textId="2BD20ABB" w:rsidR="00BD6673" w:rsidRPr="00045449" w:rsidRDefault="00BD6673" w:rsidP="00BB20EB">
            <w:pPr>
              <w:spacing w:before="120" w:after="120"/>
              <w:jc w:val="right"/>
              <w:cnfStyle w:val="000000100000" w:firstRow="0" w:lastRow="0" w:firstColumn="0" w:lastColumn="0" w:oddVBand="0" w:evenVBand="0" w:oddHBand="1" w:evenHBand="0" w:firstRowFirstColumn="0" w:firstRowLastColumn="0" w:lastRowFirstColumn="0" w:lastRowLastColumn="0"/>
              <w:rPr>
                <w:noProof/>
                <w:lang w:val="en-IE"/>
              </w:rPr>
            </w:pPr>
          </w:p>
        </w:tc>
      </w:tr>
      <w:tr w:rsidR="00BD6673" w:rsidRPr="00045449" w14:paraId="6C43BE8F" w14:textId="77777777" w:rsidTr="00BB20EB">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6766DBB5" w14:textId="77777777" w:rsidR="00BD6673" w:rsidRPr="00045449" w:rsidRDefault="00BD6673" w:rsidP="00BB20EB">
            <w:pPr>
              <w:spacing w:before="120" w:after="120"/>
              <w:rPr>
                <w:b w:val="0"/>
                <w:noProof/>
                <w:lang w:val="en-IE"/>
              </w:rPr>
            </w:pPr>
            <w:r w:rsidRPr="00045449">
              <w:rPr>
                <w:rFonts w:cs="Calibri"/>
                <w:noProof/>
                <w:color w:val="000000"/>
                <w:lang w:val="en-IE"/>
              </w:rPr>
              <w:t>Decommitments made available again</w:t>
            </w:r>
            <w:r w:rsidRPr="00045449">
              <w:rPr>
                <w:rFonts w:ascii="Calibri" w:hAnsi="Calibri" w:cs="Calibri"/>
                <w:noProof/>
                <w:color w:val="000000"/>
                <w:lang w:val="en-IE"/>
              </w:rPr>
              <w:t> </w:t>
            </w:r>
            <w:r w:rsidRPr="00045449">
              <w:rPr>
                <w:rFonts w:cs="Calibri"/>
                <w:noProof/>
                <w:color w:val="000000"/>
                <w:lang w:val="en-IE"/>
              </w:rPr>
              <w:t>(*)</w:t>
            </w:r>
          </w:p>
        </w:tc>
        <w:tc>
          <w:tcPr>
            <w:tcW w:w="2610" w:type="dxa"/>
            <w:vAlign w:val="bottom"/>
          </w:tcPr>
          <w:p w14:paraId="700789F0" w14:textId="77777777" w:rsidR="00BD6673" w:rsidRPr="00045449" w:rsidRDefault="00BD6673" w:rsidP="00BB20EB">
            <w:pPr>
              <w:spacing w:before="120" w:after="120"/>
              <w:jc w:val="center"/>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N/A</w:t>
            </w:r>
          </w:p>
        </w:tc>
      </w:tr>
      <w:tr w:rsidR="00BD6673" w:rsidRPr="00045449" w14:paraId="34C1FF61" w14:textId="77777777" w:rsidTr="00BB20E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7DF2763F" w14:textId="77777777" w:rsidR="00BD6673" w:rsidRPr="00045449" w:rsidRDefault="00BD6673" w:rsidP="00BB20EB">
            <w:pPr>
              <w:spacing w:before="120" w:after="120"/>
              <w:rPr>
                <w:noProof/>
                <w:lang w:val="en-IE"/>
              </w:rPr>
            </w:pPr>
            <w:r w:rsidRPr="00045449">
              <w:rPr>
                <w:rFonts w:cs="Calibri"/>
                <w:noProof/>
                <w:color w:val="000000"/>
                <w:lang w:val="en-IE"/>
              </w:rPr>
              <w:t>Contributions from other countries and entities</w:t>
            </w:r>
          </w:p>
        </w:tc>
        <w:tc>
          <w:tcPr>
            <w:tcW w:w="2610" w:type="dxa"/>
            <w:vAlign w:val="bottom"/>
          </w:tcPr>
          <w:p w14:paraId="59AF4A4B" w14:textId="77777777" w:rsidR="00BD6673" w:rsidRPr="00045449" w:rsidRDefault="00BD6673" w:rsidP="00BB20EB">
            <w:pPr>
              <w:spacing w:before="120" w:after="120"/>
              <w:jc w:val="center"/>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0.0</w:t>
            </w:r>
          </w:p>
        </w:tc>
      </w:tr>
      <w:tr w:rsidR="00BD6673" w:rsidRPr="00045449" w14:paraId="286F2EA8" w14:textId="77777777" w:rsidTr="00BB20EB">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2F2F2" w:themeFill="background1" w:themeFillShade="F2"/>
            <w:vAlign w:val="bottom"/>
          </w:tcPr>
          <w:p w14:paraId="116F07CE" w14:textId="77777777" w:rsidR="00BD6673" w:rsidRPr="00045449" w:rsidRDefault="00BD6673" w:rsidP="00BB20EB">
            <w:pPr>
              <w:spacing w:before="120" w:after="120"/>
              <w:rPr>
                <w:noProof/>
                <w:lang w:val="en-IE"/>
              </w:rPr>
            </w:pPr>
            <w:r w:rsidRPr="00045449">
              <w:rPr>
                <w:rFonts w:cs="Calibri"/>
                <w:noProof/>
                <w:color w:val="000000"/>
                <w:lang w:val="en-IE"/>
              </w:rPr>
              <w:t>Total budget for 2021-2027</w:t>
            </w:r>
          </w:p>
        </w:tc>
        <w:tc>
          <w:tcPr>
            <w:tcW w:w="2610" w:type="dxa"/>
            <w:shd w:val="clear" w:color="auto" w:fill="F2F2F2" w:themeFill="background1" w:themeFillShade="F2"/>
            <w:vAlign w:val="bottom"/>
          </w:tcPr>
          <w:p w14:paraId="6B8B1BF6" w14:textId="77777777" w:rsidR="00BD6673" w:rsidRDefault="00BD6673" w:rsidP="00BB20E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noProof/>
                <w:color w:val="000000"/>
              </w:rPr>
            </w:pPr>
            <w:r>
              <w:rPr>
                <w:rFonts w:ascii="Calibri" w:hAnsi="Calibri" w:cs="Calibri"/>
                <w:b/>
                <w:bCs/>
                <w:noProof/>
                <w:color w:val="000000"/>
              </w:rPr>
              <w:t>9 066.7</w:t>
            </w:r>
          </w:p>
          <w:p w14:paraId="52BC9A10" w14:textId="59E4BC71" w:rsidR="00BD6673" w:rsidRPr="00045449" w:rsidRDefault="00BD6673" w:rsidP="00BB20EB">
            <w:pPr>
              <w:spacing w:before="120" w:after="120"/>
              <w:jc w:val="right"/>
              <w:cnfStyle w:val="000000000000" w:firstRow="0" w:lastRow="0" w:firstColumn="0" w:lastColumn="0" w:oddVBand="0" w:evenVBand="0" w:oddHBand="0" w:evenHBand="0" w:firstRowFirstColumn="0" w:firstRowLastColumn="0" w:lastRowFirstColumn="0" w:lastRowLastColumn="0"/>
              <w:rPr>
                <w:b/>
                <w:noProof/>
                <w:lang w:val="en-IE"/>
              </w:rPr>
            </w:pPr>
          </w:p>
        </w:tc>
      </w:tr>
    </w:tbl>
    <w:p w14:paraId="4C5DAA83" w14:textId="77777777" w:rsidR="00BD6673" w:rsidRPr="00045449" w:rsidRDefault="00BD6673" w:rsidP="00BD6673">
      <w:pPr>
        <w:jc w:val="center"/>
        <w:rPr>
          <w:rFonts w:eastAsiaTheme="minorEastAsia"/>
          <w:noProof/>
          <w:lang w:val="en-IE"/>
        </w:rPr>
      </w:pPr>
    </w:p>
    <w:p w14:paraId="4063485E" w14:textId="77777777" w:rsidR="00BD6673" w:rsidRPr="002A4508" w:rsidRDefault="00BD6673" w:rsidP="00BD6673">
      <w:pPr>
        <w:tabs>
          <w:tab w:val="left" w:pos="6793"/>
        </w:tabs>
        <w:rPr>
          <w:noProof/>
          <w:sz w:val="18"/>
          <w:szCs w:val="18"/>
          <w:lang w:val="en-IE"/>
        </w:rPr>
      </w:pPr>
      <w:bookmarkStart w:id="48" w:name="_Toc94522845"/>
      <w:r w:rsidRPr="002A4508">
        <w:rPr>
          <w:noProof/>
          <w:sz w:val="18"/>
          <w:szCs w:val="18"/>
          <w:lang w:val="en-IE"/>
        </w:rPr>
        <w:t>* Only Article</w:t>
      </w:r>
      <w:r w:rsidRPr="002A4508">
        <w:rPr>
          <w:rFonts w:ascii="Calibri" w:hAnsi="Calibri" w:cs="Calibri"/>
          <w:noProof/>
          <w:sz w:val="18"/>
          <w:szCs w:val="18"/>
          <w:lang w:val="en-IE"/>
        </w:rPr>
        <w:t> </w:t>
      </w:r>
      <w:r w:rsidRPr="002A4508">
        <w:rPr>
          <w:noProof/>
          <w:sz w:val="18"/>
          <w:szCs w:val="18"/>
          <w:lang w:val="en-IE"/>
        </w:rPr>
        <w:t xml:space="preserve">15(3) of the financial </w:t>
      </w:r>
      <w:r w:rsidRPr="00045449">
        <w:rPr>
          <w:noProof/>
          <w:sz w:val="18"/>
          <w:szCs w:val="18"/>
          <w:lang w:val="en-IE"/>
        </w:rPr>
        <w:t>r</w:t>
      </w:r>
      <w:r w:rsidRPr="002A4508">
        <w:rPr>
          <w:noProof/>
          <w:sz w:val="18"/>
          <w:szCs w:val="18"/>
          <w:lang w:val="en-IE"/>
        </w:rPr>
        <w:t>egulation</w:t>
      </w:r>
      <w:r w:rsidRPr="00045449">
        <w:rPr>
          <w:noProof/>
          <w:sz w:val="18"/>
          <w:szCs w:val="18"/>
          <w:lang w:val="en-IE"/>
        </w:rPr>
        <w:t>.</w:t>
      </w:r>
    </w:p>
    <w:p w14:paraId="3BDC23C0" w14:textId="77777777" w:rsidR="00BD6673" w:rsidRPr="00045449" w:rsidRDefault="00BD6673" w:rsidP="00BD6673">
      <w:pPr>
        <w:pStyle w:val="ppoHeading5"/>
        <w:rPr>
          <w:noProof/>
          <w:lang w:val="en-IE"/>
        </w:rPr>
      </w:pPr>
      <w:r w:rsidRPr="00045449">
        <w:rPr>
          <w:noProof/>
          <w:lang w:val="en-IE"/>
        </w:rPr>
        <w:t>Rationale and design of the programme</w:t>
      </w:r>
      <w:bookmarkEnd w:id="48"/>
    </w:p>
    <w:p w14:paraId="07546248" w14:textId="77777777" w:rsidR="00BD6673" w:rsidRPr="00045449" w:rsidRDefault="00BD6673" w:rsidP="00BD6673">
      <w:pPr>
        <w:rPr>
          <w:rFonts w:eastAsiaTheme="minorEastAsia"/>
          <w:noProof/>
          <w:lang w:val="en-IE"/>
        </w:rPr>
      </w:pPr>
      <w:r w:rsidRPr="00045449">
        <w:rPr>
          <w:rFonts w:eastAsiaTheme="minorEastAsia"/>
          <w:noProof/>
          <w:lang w:val="en-IE"/>
        </w:rPr>
        <w:t xml:space="preserve">The InvestEU </w:t>
      </w:r>
      <w:r>
        <w:rPr>
          <w:rFonts w:eastAsiaTheme="minorEastAsia"/>
          <w:noProof/>
          <w:lang w:val="en-IE"/>
        </w:rPr>
        <w:t>p</w:t>
      </w:r>
      <w:r w:rsidRPr="00045449">
        <w:rPr>
          <w:rFonts w:eastAsiaTheme="minorEastAsia"/>
          <w:noProof/>
          <w:lang w:val="en-IE"/>
        </w:rPr>
        <w:t xml:space="preserve">rogramme aims to ensure an additional boost to investments fostering recovery, resilience, green growth and employment </w:t>
      </w:r>
      <w:r w:rsidRPr="002A4508">
        <w:rPr>
          <w:rFonts w:eastAsiaTheme="minorEastAsia"/>
          <w:noProof/>
          <w:lang w:val="en-IE"/>
        </w:rPr>
        <w:t xml:space="preserve">in </w:t>
      </w:r>
      <w:r w:rsidRPr="00F271EA">
        <w:rPr>
          <w:rFonts w:eastAsiaTheme="minorEastAsia"/>
          <w:noProof/>
          <w:lang w:val="en-IE"/>
        </w:rPr>
        <w:t xml:space="preserve">the </w:t>
      </w:r>
      <w:r w:rsidRPr="002A4508">
        <w:rPr>
          <w:rFonts w:eastAsiaTheme="minorEastAsia"/>
          <w:noProof/>
          <w:lang w:val="en-IE"/>
        </w:rPr>
        <w:t>E</w:t>
      </w:r>
      <w:r w:rsidRPr="006941BA">
        <w:rPr>
          <w:rFonts w:eastAsiaTheme="minorEastAsia"/>
          <w:noProof/>
          <w:lang w:val="en-IE"/>
        </w:rPr>
        <w:t>U</w:t>
      </w:r>
      <w:r w:rsidRPr="00045449">
        <w:rPr>
          <w:rFonts w:eastAsiaTheme="minorEastAsia"/>
          <w:noProof/>
          <w:lang w:val="en-IE"/>
        </w:rPr>
        <w:t xml:space="preserve"> over the 2021-2027 period. This goal will be achieved by mobilising public and private financing sources, in order to provide long-term funding and support to companies and projects in line with the EU priorities in the current economic and social crisis. </w:t>
      </w:r>
    </w:p>
    <w:p w14:paraId="4B4B1C5A" w14:textId="77777777" w:rsidR="00BD6673" w:rsidRPr="00045449" w:rsidRDefault="00BD6673" w:rsidP="00BD6673">
      <w:pPr>
        <w:rPr>
          <w:rFonts w:eastAsiaTheme="minorEastAsia"/>
          <w:noProof/>
          <w:lang w:val="en-IE"/>
        </w:rPr>
      </w:pPr>
    </w:p>
    <w:p w14:paraId="1B8B8B61" w14:textId="77777777" w:rsidR="00BD6673" w:rsidRPr="00045449" w:rsidRDefault="00BD6673" w:rsidP="00BD6673">
      <w:pPr>
        <w:pStyle w:val="ppoHeading6"/>
        <w:rPr>
          <w:noProof/>
          <w:lang w:val="en-IE"/>
        </w:rPr>
      </w:pPr>
      <w:r w:rsidRPr="00045449">
        <w:rPr>
          <w:noProof/>
          <w:lang w:val="en-IE"/>
        </w:rPr>
        <w:t>Challenge</w:t>
      </w:r>
    </w:p>
    <w:p w14:paraId="536EC42E" w14:textId="77777777" w:rsidR="00BD6673" w:rsidRPr="00045449" w:rsidRDefault="00BD6673" w:rsidP="00BD6673">
      <w:pPr>
        <w:rPr>
          <w:noProof/>
          <w:lang w:val="en-IE"/>
        </w:rPr>
      </w:pPr>
      <w:r w:rsidRPr="00045449">
        <w:rPr>
          <w:noProof/>
          <w:lang w:val="en-IE"/>
        </w:rPr>
        <w:t>The unprecedented domestic and global challenges that the world is currently facing have a significant impact on the EU economy. In order to pave the way to sustained and inclusive growth</w:t>
      </w:r>
      <w:r w:rsidRPr="00045449">
        <w:rPr>
          <w:rFonts w:ascii="Calibri" w:hAnsi="Calibri" w:cs="Calibri"/>
          <w:noProof/>
          <w:lang w:val="en-IE"/>
        </w:rPr>
        <w:t> –</w:t>
      </w:r>
      <w:r w:rsidRPr="00045449">
        <w:rPr>
          <w:noProof/>
          <w:lang w:val="en-IE"/>
        </w:rPr>
        <w:t xml:space="preserve"> while raising our global competitiveness, enhancing socioeconomic convergence and the cohesion of the EU, and advancing the digital and green transitions</w:t>
      </w:r>
      <w:r w:rsidRPr="00045449">
        <w:rPr>
          <w:rFonts w:ascii="Calibri" w:hAnsi="Calibri" w:cs="Calibri"/>
          <w:noProof/>
          <w:lang w:val="en-IE"/>
        </w:rPr>
        <w:t> –</w:t>
      </w:r>
      <w:r w:rsidRPr="00045449">
        <w:rPr>
          <w:noProof/>
          <w:lang w:val="en-IE"/>
        </w:rPr>
        <w:t xml:space="preserve"> the EU needs increased investment, including in innovation, digitisation, the efficient use of resources and upgrading of skills and infrastructure. This, in turn, will require expanding the supply and diversifying the sources of external funding for EU businesses. </w:t>
      </w:r>
    </w:p>
    <w:p w14:paraId="5B68FE8A" w14:textId="77777777" w:rsidR="00BD6673" w:rsidRPr="00045449" w:rsidRDefault="00BD6673" w:rsidP="00BD6673">
      <w:pPr>
        <w:rPr>
          <w:noProof/>
          <w:lang w:val="en-IE"/>
        </w:rPr>
      </w:pPr>
      <w:r w:rsidRPr="00045449">
        <w:rPr>
          <w:noProof/>
          <w:lang w:val="en-IE"/>
        </w:rPr>
        <w:t xml:space="preserve">EU intervention can add value by addressing market failures or sub-optimal investment situations </w:t>
      </w:r>
      <w:r w:rsidRPr="00BA7FCD">
        <w:rPr>
          <w:noProof/>
        </w:rPr>
        <w:t>(e.g. when, because of its public good nature, the full benefits of given investments cannot be captured by private agents, or the investment produces additional advantages beyond those flowing to the investing company or operator)</w:t>
      </w:r>
      <w:r w:rsidRPr="00045449">
        <w:rPr>
          <w:noProof/>
          <w:lang w:val="en-IE"/>
        </w:rPr>
        <w:t>. Intervention can also help to reduce the investment gap in targeted sectors (e.g. in investments with a significant cross-border dimension or in sectors, countries, or regions where risk exceeds levels that private financial actors are able or willing to accept). Finally, EU-level intervention can ensure that a critical mass of resources can be leveraged to maximise the impact of investment on the ground.</w:t>
      </w:r>
    </w:p>
    <w:p w14:paraId="65F9C833" w14:textId="77777777" w:rsidR="00BD6673" w:rsidRPr="00045449" w:rsidRDefault="00BD6673" w:rsidP="00BD6673">
      <w:pPr>
        <w:rPr>
          <w:noProof/>
          <w:lang w:val="en-IE"/>
        </w:rPr>
      </w:pPr>
      <w:r w:rsidRPr="00045449">
        <w:rPr>
          <w:noProof/>
          <w:lang w:val="en-IE"/>
        </w:rPr>
        <w:t>By supporting projects that provide EU added value, InvestEU is complementary to Member State investments. In addition, InvestEU provides for economies of scale in the use of innovative financial products by catalysing private investment across the EU.</w:t>
      </w:r>
    </w:p>
    <w:p w14:paraId="3A824516" w14:textId="77777777" w:rsidR="00BD6673" w:rsidRPr="00045449" w:rsidRDefault="00BD6673" w:rsidP="00BD6673">
      <w:pPr>
        <w:rPr>
          <w:noProof/>
          <w:lang w:val="en-IE"/>
        </w:rPr>
      </w:pPr>
      <w:r w:rsidRPr="00045449">
        <w:rPr>
          <w:noProof/>
          <w:lang w:val="en-IE"/>
        </w:rPr>
        <w:t>.</w:t>
      </w:r>
    </w:p>
    <w:p w14:paraId="32A140CC" w14:textId="77777777" w:rsidR="00BD6673" w:rsidRPr="00045449" w:rsidRDefault="00BD6673" w:rsidP="00BD6673">
      <w:pPr>
        <w:pStyle w:val="ppoHeading6"/>
        <w:rPr>
          <w:noProof/>
          <w:lang w:val="en-IE"/>
        </w:rPr>
      </w:pPr>
      <w:r w:rsidRPr="00045449">
        <w:rPr>
          <w:noProof/>
          <w:lang w:val="en-IE"/>
        </w:rPr>
        <w:t>Mission</w:t>
      </w:r>
    </w:p>
    <w:p w14:paraId="6F3FA9D9" w14:textId="77777777" w:rsidR="00BD6673" w:rsidRPr="00045449" w:rsidRDefault="00BD6673" w:rsidP="00BD6673">
      <w:pPr>
        <w:rPr>
          <w:noProof/>
          <w:lang w:val="en-IE"/>
        </w:rPr>
      </w:pPr>
      <w:r w:rsidRPr="00045449">
        <w:rPr>
          <w:noProof/>
          <w:lang w:val="en-IE"/>
        </w:rPr>
        <w:t>The mission of InvestEU is to support the EU’s policy objectives through financing and investment operations that contribute to:</w:t>
      </w:r>
    </w:p>
    <w:p w14:paraId="7863DE91" w14:textId="77777777" w:rsidR="00BD6673" w:rsidRPr="00045449" w:rsidRDefault="00BD6673" w:rsidP="00BD6673">
      <w:pPr>
        <w:pStyle w:val="ppoListHyphened-L1"/>
        <w:rPr>
          <w:noProof/>
          <w:lang w:val="en-IE"/>
        </w:rPr>
      </w:pPr>
      <w:bookmarkStart w:id="49" w:name="_Toc94522848"/>
      <w:r w:rsidRPr="00045449">
        <w:rPr>
          <w:noProof/>
          <w:lang w:val="en-IE"/>
        </w:rPr>
        <w:t xml:space="preserve">competitiveness, including research, innovation and digitisation; </w:t>
      </w:r>
    </w:p>
    <w:p w14:paraId="2A5E60E1" w14:textId="77777777" w:rsidR="00BD6673" w:rsidRPr="00045449" w:rsidRDefault="00BD6673" w:rsidP="00BD6673">
      <w:pPr>
        <w:pStyle w:val="ppoListHyphened-L1"/>
        <w:rPr>
          <w:noProof/>
          <w:lang w:val="en-IE"/>
        </w:rPr>
      </w:pPr>
      <w:r w:rsidRPr="00045449">
        <w:rPr>
          <w:noProof/>
          <w:lang w:val="en-IE"/>
        </w:rPr>
        <w:t xml:space="preserve">employment and growth, its sustainability and its environmental and climate dimension </w:t>
      </w:r>
      <w:bookmarkStart w:id="50" w:name="_Hlk100743539"/>
      <w:r w:rsidRPr="00045449">
        <w:rPr>
          <w:noProof/>
          <w:lang w:val="en-IE"/>
        </w:rPr>
        <w:t xml:space="preserve">contributing to the achievement of the </w:t>
      </w:r>
      <w:r>
        <w:rPr>
          <w:noProof/>
          <w:lang w:val="en-IE"/>
        </w:rPr>
        <w:t>United Nations sustainable development goals</w:t>
      </w:r>
      <w:r w:rsidRPr="00045449">
        <w:rPr>
          <w:noProof/>
          <w:lang w:val="en-IE"/>
        </w:rPr>
        <w:t xml:space="preserve">, the objectives </w:t>
      </w:r>
      <w:bookmarkEnd w:id="50"/>
      <w:r w:rsidRPr="00045449">
        <w:rPr>
          <w:noProof/>
          <w:lang w:val="en-IE"/>
        </w:rPr>
        <w:t xml:space="preserve">of the Paris climate agreement and the creation of high-quality jobs; </w:t>
      </w:r>
    </w:p>
    <w:p w14:paraId="01B7697D" w14:textId="77777777" w:rsidR="00BD6673" w:rsidRPr="00045449" w:rsidRDefault="00BD6673" w:rsidP="00BD6673">
      <w:pPr>
        <w:pStyle w:val="ppoListHyphened-L1"/>
        <w:rPr>
          <w:noProof/>
          <w:lang w:val="en-IE"/>
        </w:rPr>
      </w:pPr>
      <w:r w:rsidRPr="00045449">
        <w:rPr>
          <w:noProof/>
          <w:lang w:val="en-IE"/>
        </w:rPr>
        <w:t>social resilience, inclusiveness and innovation;</w:t>
      </w:r>
    </w:p>
    <w:p w14:paraId="74569A67" w14:textId="77777777" w:rsidR="00BD6673" w:rsidRPr="00045449" w:rsidRDefault="00BD6673" w:rsidP="00BD6673">
      <w:pPr>
        <w:pStyle w:val="ppoListHyphened-L1"/>
        <w:rPr>
          <w:noProof/>
          <w:lang w:val="en-IE"/>
        </w:rPr>
      </w:pPr>
      <w:r w:rsidRPr="00045449">
        <w:rPr>
          <w:noProof/>
          <w:lang w:val="en-IE"/>
        </w:rPr>
        <w:t xml:space="preserve">the promotion of scientific and technological advances in culture, education and training; </w:t>
      </w:r>
    </w:p>
    <w:p w14:paraId="396E51E3" w14:textId="77777777" w:rsidR="00BD6673" w:rsidRPr="00045449" w:rsidRDefault="00BD6673" w:rsidP="00BD6673">
      <w:pPr>
        <w:pStyle w:val="ppoListHyphened-L1"/>
        <w:rPr>
          <w:noProof/>
          <w:lang w:val="en-IE"/>
        </w:rPr>
      </w:pPr>
      <w:r w:rsidRPr="00045449">
        <w:rPr>
          <w:noProof/>
          <w:lang w:val="en-IE"/>
        </w:rPr>
        <w:t xml:space="preserve">the integration of the EU’s capital markets and the strengthening of the single market, including solutions addressing capital market fragmentation, diversifying sources of financing for EU enterprises and promoting sustainable finance; </w:t>
      </w:r>
    </w:p>
    <w:p w14:paraId="58485498" w14:textId="77777777" w:rsidR="00BD6673" w:rsidRPr="00045449" w:rsidRDefault="00BD6673" w:rsidP="00BD6673">
      <w:pPr>
        <w:pStyle w:val="ppoListHyphened-L1"/>
        <w:rPr>
          <w:noProof/>
          <w:lang w:val="en-IE"/>
        </w:rPr>
      </w:pPr>
      <w:r w:rsidRPr="00045449">
        <w:rPr>
          <w:noProof/>
          <w:lang w:val="en-IE"/>
        </w:rPr>
        <w:t>the promotion of economic, social and territorial cohesion;</w:t>
      </w:r>
    </w:p>
    <w:p w14:paraId="69E230F8" w14:textId="77777777" w:rsidR="00BD6673" w:rsidRPr="00045449" w:rsidRDefault="00BD6673" w:rsidP="00BD6673">
      <w:pPr>
        <w:pStyle w:val="ppoListHyphened-L1"/>
        <w:rPr>
          <w:noProof/>
          <w:lang w:val="en-IE"/>
        </w:rPr>
      </w:pPr>
      <w:r w:rsidRPr="00045449">
        <w:rPr>
          <w:noProof/>
          <w:lang w:val="en-IE"/>
        </w:rPr>
        <w:t>a sustainable and inclusive recovery after the crisis caused by the COVID-19 pandemic, upholding and strengthening the EU’s strategic value chains and maintaining and reinforcing activities of strategic importance to the EU.</w:t>
      </w:r>
      <w:bookmarkEnd w:id="49"/>
    </w:p>
    <w:p w14:paraId="257D8D8F" w14:textId="77777777" w:rsidR="00BD6673" w:rsidRPr="00045449" w:rsidRDefault="00BD6673" w:rsidP="00BD6673">
      <w:pPr>
        <w:pStyle w:val="ppoHeading6"/>
        <w:rPr>
          <w:noProof/>
          <w:lang w:val="en-IE"/>
        </w:rPr>
      </w:pPr>
      <w:r w:rsidRPr="00045449">
        <w:rPr>
          <w:noProof/>
          <w:lang w:val="en-IE"/>
        </w:rPr>
        <w:t>OBJECTIVES</w:t>
      </w:r>
    </w:p>
    <w:p w14:paraId="5CAC7D44" w14:textId="77777777" w:rsidR="00BD6673" w:rsidRPr="00045449" w:rsidRDefault="00BD6673" w:rsidP="00BD6673">
      <w:pPr>
        <w:rPr>
          <w:noProof/>
          <w:lang w:val="en-IE"/>
        </w:rPr>
      </w:pPr>
      <w:r w:rsidRPr="00045449">
        <w:rPr>
          <w:noProof/>
          <w:lang w:val="en-IE"/>
        </w:rPr>
        <w:t>InvestEU has the following specific objectives:</w:t>
      </w:r>
    </w:p>
    <w:p w14:paraId="604E7D22" w14:textId="77777777" w:rsidR="00BD6673" w:rsidRPr="00045449" w:rsidRDefault="00BD6673" w:rsidP="00476903">
      <w:pPr>
        <w:pStyle w:val="ppoListArabic1aiii-L1"/>
        <w:numPr>
          <w:ilvl w:val="0"/>
          <w:numId w:val="40"/>
        </w:numPr>
        <w:rPr>
          <w:noProof/>
          <w:lang w:val="en-IE"/>
        </w:rPr>
      </w:pPr>
      <w:r w:rsidRPr="00045449">
        <w:rPr>
          <w:noProof/>
          <w:lang w:val="en-IE"/>
        </w:rPr>
        <w:t xml:space="preserve">supporting financing and investment operations related to sustainable infrastructure; </w:t>
      </w:r>
    </w:p>
    <w:p w14:paraId="3E235C9D" w14:textId="77777777" w:rsidR="00BD6673" w:rsidRPr="00045449" w:rsidRDefault="00BD6673" w:rsidP="00476903">
      <w:pPr>
        <w:pStyle w:val="ppoListArabic1aiii-L1"/>
        <w:numPr>
          <w:ilvl w:val="0"/>
          <w:numId w:val="40"/>
        </w:numPr>
        <w:rPr>
          <w:noProof/>
          <w:lang w:val="en-IE"/>
        </w:rPr>
      </w:pPr>
      <w:r w:rsidRPr="00045449">
        <w:rPr>
          <w:noProof/>
          <w:lang w:val="en-IE"/>
        </w:rPr>
        <w:t xml:space="preserve">supporting financing and investment operations related to research, innovation and digitisation; </w:t>
      </w:r>
    </w:p>
    <w:p w14:paraId="6DA4D603" w14:textId="77777777" w:rsidR="00BD6673" w:rsidRPr="00045449" w:rsidRDefault="00BD6673" w:rsidP="00476903">
      <w:pPr>
        <w:pStyle w:val="ppoListArabic1aiii-L1"/>
        <w:numPr>
          <w:ilvl w:val="0"/>
          <w:numId w:val="40"/>
        </w:numPr>
        <w:rPr>
          <w:noProof/>
          <w:lang w:val="en-IE"/>
        </w:rPr>
      </w:pPr>
      <w:r w:rsidRPr="00045449">
        <w:rPr>
          <w:noProof/>
          <w:lang w:val="en-IE"/>
        </w:rPr>
        <w:t xml:space="preserve">increasing access to and the availability of finance for small and medium-sized enterprises and for small mid-cap companies and enhancing their global competitiveness; </w:t>
      </w:r>
    </w:p>
    <w:p w14:paraId="67B32F44" w14:textId="77777777" w:rsidR="00BD6673" w:rsidRPr="00045449" w:rsidRDefault="00BD6673" w:rsidP="00476903">
      <w:pPr>
        <w:pStyle w:val="ppoListArabic1aiii-L1"/>
        <w:numPr>
          <w:ilvl w:val="0"/>
          <w:numId w:val="40"/>
        </w:numPr>
        <w:rPr>
          <w:noProof/>
          <w:lang w:val="en-IE" w:eastAsia="en-GB"/>
        </w:rPr>
      </w:pPr>
      <w:r w:rsidRPr="00045449">
        <w:rPr>
          <w:noProof/>
          <w:lang w:val="en-IE"/>
        </w:rPr>
        <w:t xml:space="preserve">increasing access to and the availability of microfinance and finance for social enterprises, to support financing and investment operations related to social investment, competences and skills, and to develop and consolidate social investment markets. </w:t>
      </w:r>
    </w:p>
    <w:p w14:paraId="60293F68" w14:textId="77777777" w:rsidR="00BD6673" w:rsidRPr="00045449" w:rsidRDefault="00BD6673" w:rsidP="00BD6673">
      <w:pPr>
        <w:pStyle w:val="ppoHeading6"/>
        <w:rPr>
          <w:noProof/>
          <w:lang w:val="en-IE"/>
        </w:rPr>
      </w:pPr>
      <w:r w:rsidRPr="00045449">
        <w:rPr>
          <w:noProof/>
          <w:lang w:val="en-IE"/>
        </w:rPr>
        <w:t>Actions</w:t>
      </w:r>
    </w:p>
    <w:p w14:paraId="297274B7" w14:textId="77777777" w:rsidR="00BD6673" w:rsidRPr="00045449" w:rsidRDefault="00BD6673" w:rsidP="00BD6673">
      <w:pPr>
        <w:rPr>
          <w:noProof/>
          <w:lang w:val="en-IE"/>
        </w:rPr>
      </w:pPr>
      <w:r w:rsidRPr="00045449">
        <w:rPr>
          <w:noProof/>
          <w:lang w:val="en-IE"/>
        </w:rPr>
        <w:t xml:space="preserve">InvestEU provides EU guarantees to support eligible financing and investment operations carried out by the implementing partners. In addition, through the advisory </w:t>
      </w:r>
      <w:r w:rsidRPr="006941BA">
        <w:rPr>
          <w:noProof/>
          <w:lang w:val="en-IE"/>
        </w:rPr>
        <w:t>h</w:t>
      </w:r>
      <w:r w:rsidRPr="00045449">
        <w:rPr>
          <w:noProof/>
          <w:lang w:val="en-IE"/>
        </w:rPr>
        <w:t>ub, InvestEU provides advisory support for the development of viable projects and access to financing and related capacity-building assistance Moreover, the InvestEU portal increases the visibility of investment projects to a large network of investors worldwide.</w:t>
      </w:r>
    </w:p>
    <w:p w14:paraId="26F45498" w14:textId="77777777" w:rsidR="00BD6673" w:rsidRPr="00045449" w:rsidRDefault="00BD6673" w:rsidP="00BD6673">
      <w:pPr>
        <w:pStyle w:val="ppoHeading6"/>
        <w:rPr>
          <w:noProof/>
          <w:lang w:val="en-IE"/>
        </w:rPr>
      </w:pPr>
      <w:r w:rsidRPr="00045449">
        <w:rPr>
          <w:noProof/>
          <w:lang w:val="en-IE"/>
        </w:rPr>
        <w:t>Delivery mode</w:t>
      </w:r>
    </w:p>
    <w:p w14:paraId="065E02F8" w14:textId="77777777" w:rsidR="00BD6673" w:rsidRPr="00045449" w:rsidRDefault="00BD6673" w:rsidP="00BD6673">
      <w:pPr>
        <w:rPr>
          <w:noProof/>
          <w:lang w:val="en-IE"/>
        </w:rPr>
      </w:pPr>
      <w:r w:rsidRPr="00045449">
        <w:rPr>
          <w:noProof/>
          <w:lang w:val="en-IE"/>
        </w:rPr>
        <w:t xml:space="preserve">InvestEU is implemented in indirect management through the European Investment Bank Group and other implementing and advisory partners. </w:t>
      </w:r>
      <w:r w:rsidRPr="002A4508">
        <w:rPr>
          <w:noProof/>
          <w:lang w:val="en-IE"/>
        </w:rPr>
        <w:t>DG Economic and Financial Affairs</w:t>
      </w:r>
      <w:r w:rsidRPr="00045449" w:rsidDel="003D30C9">
        <w:rPr>
          <w:noProof/>
          <w:lang w:val="en-IE"/>
        </w:rPr>
        <w:t xml:space="preserve"> </w:t>
      </w:r>
      <w:r w:rsidRPr="00045449">
        <w:rPr>
          <w:noProof/>
          <w:lang w:val="en-IE"/>
        </w:rPr>
        <w:t>is in the lead for the Commission.</w:t>
      </w:r>
    </w:p>
    <w:p w14:paraId="5FA49CF6" w14:textId="77777777" w:rsidR="00BD6673" w:rsidRPr="00045449" w:rsidRDefault="00BD6673" w:rsidP="00BD6673">
      <w:pPr>
        <w:pStyle w:val="ppoHeading6"/>
        <w:rPr>
          <w:noProof/>
          <w:lang w:val="en-IE"/>
        </w:rPr>
      </w:pPr>
      <w:r w:rsidRPr="00045449">
        <w:rPr>
          <w:noProof/>
          <w:lang w:val="en-IE"/>
        </w:rPr>
        <w:t>LINK TO THE 2014-2020 MULTIANNUAL FINANCIAL FRAMEWORK</w:t>
      </w:r>
    </w:p>
    <w:p w14:paraId="49268466" w14:textId="77777777" w:rsidR="00BD6673" w:rsidRPr="00045449" w:rsidRDefault="00BD6673" w:rsidP="00BD6673">
      <w:pPr>
        <w:rPr>
          <w:noProof/>
          <w:lang w:val="en-IE"/>
        </w:rPr>
      </w:pPr>
      <w:r w:rsidRPr="00045449">
        <w:rPr>
          <w:noProof/>
          <w:lang w:val="en-IE"/>
        </w:rPr>
        <w:t>InvestEU is the successor of the Investment Plan for Europe. It consolidates nearly 30 financial instruments, budgetary guarantees and advisory initiatives under the 2014-2020 multiannual financial framework in various policy areas, in particular in infrastructure, research and innovation, small and medium-sized enterprises and social policy.</w:t>
      </w:r>
    </w:p>
    <w:p w14:paraId="65B220A2" w14:textId="77777777" w:rsidR="00BD6673" w:rsidRPr="00045449" w:rsidRDefault="00BD6673" w:rsidP="00BD6673">
      <w:pPr>
        <w:pStyle w:val="ppoHeading6"/>
        <w:rPr>
          <w:noProof/>
          <w:lang w:val="en-IE"/>
        </w:rPr>
      </w:pPr>
      <w:r w:rsidRPr="00045449">
        <w:rPr>
          <w:noProof/>
          <w:lang w:val="en-IE"/>
        </w:rPr>
        <w:t>Impact assessment</w:t>
      </w:r>
    </w:p>
    <w:p w14:paraId="7D9AD00C" w14:textId="77777777" w:rsidR="00BD6673" w:rsidRPr="00045449" w:rsidRDefault="00BD6673" w:rsidP="00BD6673">
      <w:pPr>
        <w:rPr>
          <w:noProof/>
          <w:lang w:val="en-IE"/>
        </w:rPr>
      </w:pPr>
      <w:r w:rsidRPr="00045449">
        <w:rPr>
          <w:noProof/>
          <w:lang w:val="en-IE"/>
        </w:rPr>
        <w:t>The impact assessment accompanying the proposal for a regulation of the European Parliament and of the Council establishing the InvestEU is publicly available.</w:t>
      </w:r>
    </w:p>
    <w:p w14:paraId="372C5D76" w14:textId="20FA46D5" w:rsidR="00BD6673" w:rsidRPr="00045449" w:rsidRDefault="00BD6673" w:rsidP="00BD6673">
      <w:pPr>
        <w:rPr>
          <w:noProof/>
          <w:lang w:val="en-IE"/>
        </w:rPr>
      </w:pPr>
      <w:r w:rsidRPr="00045449">
        <w:rPr>
          <w:noProof/>
          <w:lang w:val="en-IE"/>
        </w:rPr>
        <w:t xml:space="preserve">For further information please consult: </w:t>
      </w:r>
      <w:r w:rsidR="002D0AB8" w:rsidRPr="006F409B">
        <w:rPr>
          <w:rStyle w:val="Hyperlink"/>
          <w:noProof/>
          <w:lang w:val="en-IE"/>
        </w:rPr>
        <w:t>https://europa.eu/!jV77BQ</w:t>
      </w:r>
    </w:p>
    <w:p w14:paraId="3C0A5082" w14:textId="77777777" w:rsidR="00BD6673" w:rsidRPr="00045449" w:rsidRDefault="00BD6673" w:rsidP="00BD6673">
      <w:pPr>
        <w:pStyle w:val="ppoHeading6"/>
        <w:rPr>
          <w:noProof/>
          <w:lang w:val="en-IE"/>
        </w:rPr>
      </w:pPr>
      <w:r w:rsidRPr="00045449">
        <w:rPr>
          <w:noProof/>
          <w:lang w:val="en-IE"/>
        </w:rPr>
        <w:t>WEBSITE FOR more information</w:t>
      </w:r>
    </w:p>
    <w:p w14:paraId="72BF607E" w14:textId="77777777" w:rsidR="00BD6673" w:rsidRPr="00045449" w:rsidRDefault="00E01E9B" w:rsidP="00BD6673">
      <w:pPr>
        <w:rPr>
          <w:noProof/>
          <w:lang w:val="en-IE"/>
        </w:rPr>
      </w:pPr>
      <w:hyperlink r:id="rId119" w:history="1">
        <w:r w:rsidR="00BD6673" w:rsidRPr="00045449">
          <w:rPr>
            <w:rStyle w:val="Hyperlink"/>
            <w:noProof/>
            <w:lang w:val="en-IE"/>
          </w:rPr>
          <w:t>https://europa.eu/investeu</w:t>
        </w:r>
      </w:hyperlink>
      <w:r w:rsidR="00BD6673" w:rsidRPr="00045449">
        <w:rPr>
          <w:noProof/>
          <w:lang w:val="en-IE"/>
        </w:rPr>
        <w:t xml:space="preserve"> </w:t>
      </w:r>
    </w:p>
    <w:p w14:paraId="32E5B6BD" w14:textId="77777777" w:rsidR="00BD6673" w:rsidRPr="00045449" w:rsidRDefault="00BD6673" w:rsidP="00BD6673">
      <w:pPr>
        <w:pStyle w:val="ppoHeading5"/>
        <w:rPr>
          <w:noProof/>
          <w:lang w:val="en-IE"/>
        </w:rPr>
      </w:pPr>
      <w:r w:rsidRPr="00045449">
        <w:rPr>
          <w:rFonts w:eastAsiaTheme="minorEastAsia"/>
          <w:noProof/>
          <w:lang w:val="en-IE"/>
        </w:rPr>
        <w:t>Legal basis</w:t>
      </w:r>
    </w:p>
    <w:p w14:paraId="31A038F8" w14:textId="77777777" w:rsidR="00BD6673" w:rsidRPr="00045449" w:rsidRDefault="00BD6673" w:rsidP="00BD6673">
      <w:pPr>
        <w:rPr>
          <w:noProof/>
          <w:lang w:val="en-IE"/>
        </w:rPr>
      </w:pPr>
      <w:r w:rsidRPr="00045449">
        <w:rPr>
          <w:noProof/>
          <w:lang w:val="en-IE"/>
        </w:rPr>
        <w:t>Regulation (EU) No 2021/523 of the European Parliament and of the Council.</w:t>
      </w:r>
    </w:p>
    <w:p w14:paraId="6AB6406F" w14:textId="77777777" w:rsidR="00BD6673" w:rsidRPr="00045449" w:rsidRDefault="00BD6673" w:rsidP="00BD6673">
      <w:pPr>
        <w:pStyle w:val="ppoHeading4Orange"/>
        <w:rPr>
          <w:caps/>
          <w:noProof/>
          <w:lang w:val="en-IE"/>
        </w:rPr>
      </w:pPr>
      <w:r w:rsidRPr="00045449">
        <w:rPr>
          <w:noProof/>
          <w:lang w:val="en-IE"/>
        </w:rPr>
        <w:t xml:space="preserve">Implementation and performance </w:t>
      </w:r>
    </w:p>
    <w:p w14:paraId="6CD2C0F5" w14:textId="77777777" w:rsidR="00BD6673" w:rsidRPr="00045449" w:rsidRDefault="00BD6673" w:rsidP="00BD6673">
      <w:pPr>
        <w:pStyle w:val="ppoHeading5"/>
        <w:rPr>
          <w:noProof/>
          <w:lang w:val="en-IE"/>
        </w:rPr>
      </w:pPr>
      <w:r w:rsidRPr="00045449">
        <w:rPr>
          <w:noProof/>
          <w:lang w:val="en-IE"/>
        </w:rPr>
        <w:t xml:space="preserve">Budget </w:t>
      </w:r>
    </w:p>
    <w:p w14:paraId="6C4160A7" w14:textId="77777777" w:rsidR="00BD6673" w:rsidRPr="00045449" w:rsidRDefault="00BD6673" w:rsidP="00BD6673">
      <w:pPr>
        <w:pStyle w:val="ppoTableTabletitle"/>
        <w:rPr>
          <w:noProof/>
          <w:lang w:val="en-IE"/>
        </w:rPr>
      </w:pPr>
      <w:r w:rsidRPr="00045449">
        <w:rPr>
          <w:noProof/>
          <w:lang w:val="en-IE"/>
        </w:rPr>
        <w:t>Budget programming (million EUR):</w:t>
      </w:r>
    </w:p>
    <w:tbl>
      <w:tblPr>
        <w:tblStyle w:val="PPO2021"/>
        <w:tblW w:w="9782"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1087"/>
      </w:tblGrid>
      <w:tr w:rsidR="00BD6673" w:rsidRPr="00045449" w14:paraId="5E3C8585" w14:textId="77777777" w:rsidTr="00BB20EB">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2325C501" w14:textId="77777777" w:rsidR="00BD6673" w:rsidRPr="00045449" w:rsidRDefault="00BD6673" w:rsidP="00BB20EB">
            <w:pPr>
              <w:rPr>
                <w:noProof/>
                <w:lang w:val="en-IE"/>
              </w:rPr>
            </w:pPr>
          </w:p>
        </w:tc>
        <w:tc>
          <w:tcPr>
            <w:tcW w:w="943" w:type="dxa"/>
            <w:noWrap/>
            <w:hideMark/>
          </w:tcPr>
          <w:p w14:paraId="7B038536" w14:textId="77777777" w:rsidR="00BD6673" w:rsidRPr="00045449" w:rsidRDefault="00BD6673" w:rsidP="00BB20EB">
            <w:pPr>
              <w:rPr>
                <w:noProof/>
                <w:lang w:val="en-IE"/>
              </w:rPr>
            </w:pPr>
            <w:r w:rsidRPr="00045449">
              <w:rPr>
                <w:noProof/>
                <w:lang w:val="en-IE"/>
              </w:rPr>
              <w:t>2021</w:t>
            </w:r>
          </w:p>
        </w:tc>
        <w:tc>
          <w:tcPr>
            <w:tcW w:w="944" w:type="dxa"/>
            <w:noWrap/>
            <w:hideMark/>
          </w:tcPr>
          <w:p w14:paraId="511A5E41" w14:textId="77777777" w:rsidR="00BD6673" w:rsidRPr="00045449" w:rsidRDefault="00BD6673" w:rsidP="00BB20EB">
            <w:pPr>
              <w:rPr>
                <w:noProof/>
                <w:lang w:val="en-IE"/>
              </w:rPr>
            </w:pPr>
            <w:r w:rsidRPr="00045449">
              <w:rPr>
                <w:noProof/>
                <w:lang w:val="en-IE"/>
              </w:rPr>
              <w:t>2022</w:t>
            </w:r>
          </w:p>
        </w:tc>
        <w:tc>
          <w:tcPr>
            <w:tcW w:w="943" w:type="dxa"/>
            <w:noWrap/>
            <w:hideMark/>
          </w:tcPr>
          <w:p w14:paraId="7B9EC458" w14:textId="77777777" w:rsidR="00BD6673" w:rsidRPr="00045449" w:rsidRDefault="00BD6673" w:rsidP="00BB20EB">
            <w:pPr>
              <w:rPr>
                <w:noProof/>
                <w:lang w:val="en-IE"/>
              </w:rPr>
            </w:pPr>
            <w:r w:rsidRPr="00045449">
              <w:rPr>
                <w:noProof/>
                <w:lang w:val="en-IE"/>
              </w:rPr>
              <w:t>2023</w:t>
            </w:r>
          </w:p>
        </w:tc>
        <w:tc>
          <w:tcPr>
            <w:tcW w:w="944" w:type="dxa"/>
            <w:noWrap/>
            <w:hideMark/>
          </w:tcPr>
          <w:p w14:paraId="14DF50EB" w14:textId="77777777" w:rsidR="00BD6673" w:rsidRPr="00045449" w:rsidRDefault="00BD6673" w:rsidP="00BB20EB">
            <w:pPr>
              <w:rPr>
                <w:noProof/>
                <w:lang w:val="en-IE"/>
              </w:rPr>
            </w:pPr>
            <w:r w:rsidRPr="00045449">
              <w:rPr>
                <w:noProof/>
                <w:lang w:val="en-IE"/>
              </w:rPr>
              <w:t>2024</w:t>
            </w:r>
          </w:p>
        </w:tc>
        <w:tc>
          <w:tcPr>
            <w:tcW w:w="944" w:type="dxa"/>
            <w:noWrap/>
            <w:hideMark/>
          </w:tcPr>
          <w:p w14:paraId="562FFF0B" w14:textId="77777777" w:rsidR="00BD6673" w:rsidRPr="00045449" w:rsidRDefault="00BD6673" w:rsidP="00BB20EB">
            <w:pPr>
              <w:rPr>
                <w:noProof/>
                <w:lang w:val="en-IE"/>
              </w:rPr>
            </w:pPr>
            <w:r w:rsidRPr="00045449">
              <w:rPr>
                <w:noProof/>
                <w:lang w:val="en-IE"/>
              </w:rPr>
              <w:t>2025</w:t>
            </w:r>
          </w:p>
        </w:tc>
        <w:tc>
          <w:tcPr>
            <w:tcW w:w="943" w:type="dxa"/>
            <w:noWrap/>
            <w:hideMark/>
          </w:tcPr>
          <w:p w14:paraId="0A582144" w14:textId="77777777" w:rsidR="00BD6673" w:rsidRPr="00045449" w:rsidRDefault="00BD6673" w:rsidP="00BB20EB">
            <w:pPr>
              <w:rPr>
                <w:noProof/>
                <w:lang w:val="en-IE"/>
              </w:rPr>
            </w:pPr>
            <w:r w:rsidRPr="00045449">
              <w:rPr>
                <w:noProof/>
                <w:lang w:val="en-IE"/>
              </w:rPr>
              <w:t>2026</w:t>
            </w:r>
          </w:p>
        </w:tc>
        <w:tc>
          <w:tcPr>
            <w:tcW w:w="944" w:type="dxa"/>
            <w:noWrap/>
            <w:hideMark/>
          </w:tcPr>
          <w:p w14:paraId="7200E021" w14:textId="77777777" w:rsidR="00BD6673" w:rsidRPr="00045449" w:rsidRDefault="00BD6673" w:rsidP="00BB20EB">
            <w:pPr>
              <w:rPr>
                <w:noProof/>
                <w:lang w:val="en-IE"/>
              </w:rPr>
            </w:pPr>
            <w:r w:rsidRPr="00045449">
              <w:rPr>
                <w:noProof/>
                <w:lang w:val="en-IE"/>
              </w:rPr>
              <w:t>2027</w:t>
            </w:r>
          </w:p>
        </w:tc>
        <w:tc>
          <w:tcPr>
            <w:tcW w:w="1087" w:type="dxa"/>
            <w:noWrap/>
            <w:hideMark/>
          </w:tcPr>
          <w:p w14:paraId="26A33532" w14:textId="77777777" w:rsidR="00BD6673" w:rsidRPr="00045449" w:rsidRDefault="00BD6673" w:rsidP="00BB20EB">
            <w:pPr>
              <w:rPr>
                <w:noProof/>
                <w:lang w:val="en-IE"/>
              </w:rPr>
            </w:pPr>
            <w:r w:rsidRPr="00045449">
              <w:rPr>
                <w:noProof/>
                <w:lang w:val="en-IE"/>
              </w:rPr>
              <w:t>Total</w:t>
            </w:r>
          </w:p>
        </w:tc>
      </w:tr>
      <w:tr w:rsidR="00C1134D" w:rsidRPr="00045449" w14:paraId="556D4863" w14:textId="77777777" w:rsidTr="00304A2B">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52DB2EA9" w14:textId="77777777" w:rsidR="00C1134D" w:rsidRPr="00045449" w:rsidRDefault="00C1134D" w:rsidP="00C1134D">
            <w:pPr>
              <w:rPr>
                <w:noProof/>
                <w:lang w:val="en-IE"/>
              </w:rPr>
            </w:pPr>
            <w:r w:rsidRPr="00045449">
              <w:rPr>
                <w:noProof/>
                <w:lang w:val="en-IE"/>
              </w:rPr>
              <w:t>Financial programming</w:t>
            </w:r>
          </w:p>
        </w:tc>
        <w:tc>
          <w:tcPr>
            <w:tcW w:w="943" w:type="dxa"/>
            <w:noWrap/>
            <w:vAlign w:val="bottom"/>
            <w:hideMark/>
          </w:tcPr>
          <w:p w14:paraId="3D99E016" w14:textId="3C7C2C53" w:rsidR="00C1134D" w:rsidRPr="00045449" w:rsidRDefault="00C1134D" w:rsidP="00C1134D">
            <w:pPr>
              <w:jc w:val="center"/>
              <w:rPr>
                <w:noProof/>
                <w:lang w:val="en-IE"/>
              </w:rPr>
            </w:pPr>
            <w:r>
              <w:rPr>
                <w:rFonts w:ascii="Calibri" w:hAnsi="Calibri" w:cs="Calibri"/>
                <w:noProof/>
                <w:color w:val="000000"/>
              </w:rPr>
              <w:t>656.7</w:t>
            </w:r>
          </w:p>
        </w:tc>
        <w:tc>
          <w:tcPr>
            <w:tcW w:w="944" w:type="dxa"/>
            <w:noWrap/>
            <w:vAlign w:val="bottom"/>
            <w:hideMark/>
          </w:tcPr>
          <w:p w14:paraId="53368BE6" w14:textId="02BD48EB" w:rsidR="00C1134D" w:rsidRPr="00045449" w:rsidRDefault="00C1134D" w:rsidP="00C1134D">
            <w:pPr>
              <w:jc w:val="center"/>
              <w:rPr>
                <w:noProof/>
                <w:lang w:val="en-IE"/>
              </w:rPr>
            </w:pPr>
            <w:r>
              <w:rPr>
                <w:rFonts w:ascii="Calibri" w:hAnsi="Calibri" w:cs="Calibri"/>
                <w:noProof/>
                <w:color w:val="000000"/>
              </w:rPr>
              <w:t>1 196.6</w:t>
            </w:r>
          </w:p>
        </w:tc>
        <w:tc>
          <w:tcPr>
            <w:tcW w:w="943" w:type="dxa"/>
            <w:noWrap/>
            <w:vAlign w:val="bottom"/>
            <w:hideMark/>
          </w:tcPr>
          <w:p w14:paraId="6EA1E393" w14:textId="32A30DE7" w:rsidR="00C1134D" w:rsidRPr="00045449" w:rsidRDefault="00C1134D" w:rsidP="00C1134D">
            <w:pPr>
              <w:jc w:val="center"/>
              <w:rPr>
                <w:noProof/>
                <w:lang w:val="en-IE"/>
              </w:rPr>
            </w:pPr>
            <w:r>
              <w:rPr>
                <w:rFonts w:ascii="Calibri" w:hAnsi="Calibri" w:cs="Calibri"/>
                <w:noProof/>
                <w:color w:val="000000"/>
              </w:rPr>
              <w:t>340.7</w:t>
            </w:r>
          </w:p>
        </w:tc>
        <w:tc>
          <w:tcPr>
            <w:tcW w:w="944" w:type="dxa"/>
            <w:noWrap/>
            <w:vAlign w:val="bottom"/>
            <w:hideMark/>
          </w:tcPr>
          <w:p w14:paraId="53A46341" w14:textId="3459290B" w:rsidR="00C1134D" w:rsidRPr="00045449" w:rsidRDefault="00C1134D" w:rsidP="00C1134D">
            <w:pPr>
              <w:jc w:val="center"/>
              <w:rPr>
                <w:noProof/>
                <w:lang w:val="en-IE"/>
              </w:rPr>
            </w:pPr>
            <w:r>
              <w:rPr>
                <w:rFonts w:ascii="Calibri" w:hAnsi="Calibri" w:cs="Calibri"/>
                <w:noProof/>
                <w:color w:val="000000"/>
              </w:rPr>
              <w:t>194.0</w:t>
            </w:r>
          </w:p>
        </w:tc>
        <w:tc>
          <w:tcPr>
            <w:tcW w:w="944" w:type="dxa"/>
            <w:noWrap/>
            <w:vAlign w:val="bottom"/>
            <w:hideMark/>
          </w:tcPr>
          <w:p w14:paraId="6480A155" w14:textId="5B885878" w:rsidR="00C1134D" w:rsidRPr="00045449" w:rsidRDefault="00C1134D" w:rsidP="00C1134D">
            <w:pPr>
              <w:jc w:val="center"/>
              <w:rPr>
                <w:noProof/>
                <w:lang w:val="en-IE"/>
              </w:rPr>
            </w:pPr>
            <w:r>
              <w:rPr>
                <w:rFonts w:ascii="Calibri" w:hAnsi="Calibri" w:cs="Calibri"/>
                <w:noProof/>
                <w:color w:val="000000"/>
              </w:rPr>
              <w:t>197.9</w:t>
            </w:r>
          </w:p>
        </w:tc>
        <w:tc>
          <w:tcPr>
            <w:tcW w:w="943" w:type="dxa"/>
            <w:noWrap/>
            <w:vAlign w:val="bottom"/>
            <w:hideMark/>
          </w:tcPr>
          <w:p w14:paraId="35BA2939" w14:textId="18B6ECC1" w:rsidR="00C1134D" w:rsidRPr="00045449" w:rsidRDefault="00C1134D" w:rsidP="00C1134D">
            <w:pPr>
              <w:jc w:val="center"/>
              <w:rPr>
                <w:noProof/>
                <w:lang w:val="en-IE"/>
              </w:rPr>
            </w:pPr>
            <w:r>
              <w:rPr>
                <w:rFonts w:ascii="Calibri" w:hAnsi="Calibri" w:cs="Calibri"/>
                <w:noProof/>
                <w:color w:val="000000"/>
              </w:rPr>
              <w:t>201.9</w:t>
            </w:r>
          </w:p>
        </w:tc>
        <w:tc>
          <w:tcPr>
            <w:tcW w:w="944" w:type="dxa"/>
            <w:noWrap/>
            <w:vAlign w:val="bottom"/>
            <w:hideMark/>
          </w:tcPr>
          <w:p w14:paraId="41CC4666" w14:textId="3CA576F0" w:rsidR="00C1134D" w:rsidRPr="00045449" w:rsidRDefault="00C1134D" w:rsidP="00C1134D">
            <w:pPr>
              <w:jc w:val="center"/>
              <w:rPr>
                <w:noProof/>
                <w:lang w:val="en-IE"/>
              </w:rPr>
            </w:pPr>
            <w:r>
              <w:rPr>
                <w:rFonts w:ascii="Calibri" w:hAnsi="Calibri" w:cs="Calibri"/>
                <w:noProof/>
                <w:color w:val="000000"/>
              </w:rPr>
              <w:t>204.8</w:t>
            </w:r>
          </w:p>
        </w:tc>
        <w:tc>
          <w:tcPr>
            <w:tcW w:w="1087" w:type="dxa"/>
            <w:noWrap/>
            <w:vAlign w:val="bottom"/>
            <w:hideMark/>
          </w:tcPr>
          <w:p w14:paraId="54B596F6" w14:textId="32D0B253" w:rsidR="00C1134D" w:rsidRPr="00045449" w:rsidRDefault="00C1134D" w:rsidP="00C1134D">
            <w:pPr>
              <w:jc w:val="center"/>
              <w:rPr>
                <w:noProof/>
                <w:lang w:val="en-IE"/>
              </w:rPr>
            </w:pPr>
            <w:r>
              <w:rPr>
                <w:rFonts w:ascii="Calibri" w:hAnsi="Calibri" w:cs="Calibri"/>
                <w:noProof/>
                <w:color w:val="000000"/>
              </w:rPr>
              <w:t>2 992.7</w:t>
            </w:r>
          </w:p>
        </w:tc>
      </w:tr>
      <w:tr w:rsidR="00BD6673" w:rsidRPr="00045449" w14:paraId="0626B10F" w14:textId="77777777" w:rsidTr="00BB20EB">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5C7EE2D1" w14:textId="77777777" w:rsidR="00BD6673" w:rsidRPr="00045449" w:rsidRDefault="00BD6673" w:rsidP="00BB20EB">
            <w:pPr>
              <w:rPr>
                <w:noProof/>
                <w:lang w:val="en-IE"/>
              </w:rPr>
            </w:pPr>
            <w:r w:rsidRPr="00045449">
              <w:rPr>
                <w:noProof/>
                <w:lang w:val="en-IE"/>
              </w:rPr>
              <w:t>NextGenerationEU</w:t>
            </w:r>
          </w:p>
        </w:tc>
        <w:tc>
          <w:tcPr>
            <w:tcW w:w="943" w:type="dxa"/>
            <w:noWrap/>
            <w:hideMark/>
          </w:tcPr>
          <w:p w14:paraId="0AD05880" w14:textId="77777777" w:rsidR="00BD6673" w:rsidRPr="00045449" w:rsidRDefault="00BD6673" w:rsidP="00BB20EB">
            <w:pPr>
              <w:jc w:val="center"/>
              <w:rPr>
                <w:noProof/>
                <w:lang w:val="en-IE"/>
              </w:rPr>
            </w:pPr>
            <w:r w:rsidRPr="00045449">
              <w:rPr>
                <w:noProof/>
                <w:lang w:val="en-IE"/>
              </w:rPr>
              <w:t>1</w:t>
            </w:r>
            <w:r w:rsidRPr="00045449">
              <w:rPr>
                <w:rFonts w:ascii="Calibri" w:hAnsi="Calibri" w:cs="Calibri"/>
                <w:noProof/>
                <w:lang w:val="en-IE"/>
              </w:rPr>
              <w:t> </w:t>
            </w:r>
            <w:r w:rsidRPr="00045449">
              <w:rPr>
                <w:noProof/>
                <w:lang w:val="en-IE"/>
              </w:rPr>
              <w:t>783.0</w:t>
            </w:r>
          </w:p>
        </w:tc>
        <w:tc>
          <w:tcPr>
            <w:tcW w:w="944" w:type="dxa"/>
            <w:noWrap/>
            <w:hideMark/>
          </w:tcPr>
          <w:p w14:paraId="75DFE18A" w14:textId="77777777" w:rsidR="00BD6673" w:rsidRPr="00045449" w:rsidRDefault="00BD6673" w:rsidP="00BB20EB">
            <w:pPr>
              <w:jc w:val="center"/>
              <w:rPr>
                <w:noProof/>
                <w:lang w:val="en-IE"/>
              </w:rPr>
            </w:pPr>
            <w:r w:rsidRPr="00045449">
              <w:rPr>
                <w:noProof/>
                <w:lang w:val="en-IE"/>
              </w:rPr>
              <w:t>1</w:t>
            </w:r>
            <w:r w:rsidRPr="00045449">
              <w:rPr>
                <w:rFonts w:ascii="Calibri" w:hAnsi="Calibri" w:cs="Calibri"/>
                <w:noProof/>
                <w:lang w:val="en-IE"/>
              </w:rPr>
              <w:t> </w:t>
            </w:r>
            <w:r w:rsidRPr="00045449">
              <w:rPr>
                <w:noProof/>
                <w:lang w:val="en-IE"/>
              </w:rPr>
              <w:t>818.0</w:t>
            </w:r>
          </w:p>
        </w:tc>
        <w:tc>
          <w:tcPr>
            <w:tcW w:w="943" w:type="dxa"/>
            <w:noWrap/>
            <w:hideMark/>
          </w:tcPr>
          <w:p w14:paraId="28DC706F" w14:textId="77777777" w:rsidR="00BD6673" w:rsidRPr="00045449" w:rsidRDefault="00BD6673" w:rsidP="00BB20EB">
            <w:pPr>
              <w:jc w:val="center"/>
              <w:rPr>
                <w:noProof/>
                <w:lang w:val="en-IE"/>
              </w:rPr>
            </w:pPr>
            <w:r w:rsidRPr="00045449">
              <w:rPr>
                <w:noProof/>
                <w:lang w:val="en-IE"/>
              </w:rPr>
              <w:t>2</w:t>
            </w:r>
            <w:r w:rsidRPr="00045449">
              <w:rPr>
                <w:rFonts w:ascii="Calibri" w:hAnsi="Calibri" w:cs="Calibri"/>
                <w:noProof/>
                <w:lang w:val="en-IE"/>
              </w:rPr>
              <w:t> </w:t>
            </w:r>
            <w:r w:rsidRPr="00045449">
              <w:rPr>
                <w:noProof/>
                <w:lang w:val="en-IE"/>
              </w:rPr>
              <w:t>471.0</w:t>
            </w:r>
          </w:p>
        </w:tc>
        <w:tc>
          <w:tcPr>
            <w:tcW w:w="944" w:type="dxa"/>
            <w:noWrap/>
            <w:hideMark/>
          </w:tcPr>
          <w:p w14:paraId="2BD20B32" w14:textId="77777777" w:rsidR="00BD6673" w:rsidRPr="00045449" w:rsidRDefault="00BD6673" w:rsidP="00BB20EB">
            <w:pPr>
              <w:jc w:val="center"/>
              <w:rPr>
                <w:noProof/>
                <w:lang w:val="en-IE"/>
              </w:rPr>
            </w:pPr>
            <w:r w:rsidRPr="00045449">
              <w:rPr>
                <w:noProof/>
                <w:lang w:val="en-IE"/>
              </w:rPr>
              <w:t>0.5</w:t>
            </w:r>
          </w:p>
        </w:tc>
        <w:tc>
          <w:tcPr>
            <w:tcW w:w="944" w:type="dxa"/>
            <w:noWrap/>
            <w:hideMark/>
          </w:tcPr>
          <w:p w14:paraId="340451D6" w14:textId="77777777" w:rsidR="00BD6673" w:rsidRPr="00045449" w:rsidRDefault="00BD6673" w:rsidP="00BB20EB">
            <w:pPr>
              <w:jc w:val="center"/>
              <w:rPr>
                <w:noProof/>
                <w:lang w:val="en-IE"/>
              </w:rPr>
            </w:pPr>
            <w:r w:rsidRPr="00045449">
              <w:rPr>
                <w:noProof/>
                <w:lang w:val="en-IE"/>
              </w:rPr>
              <w:t>0.5</w:t>
            </w:r>
          </w:p>
        </w:tc>
        <w:tc>
          <w:tcPr>
            <w:tcW w:w="943" w:type="dxa"/>
            <w:noWrap/>
            <w:hideMark/>
          </w:tcPr>
          <w:p w14:paraId="24C43BF6" w14:textId="77777777" w:rsidR="00BD6673" w:rsidRPr="00045449" w:rsidRDefault="00BD6673" w:rsidP="00BB20EB">
            <w:pPr>
              <w:jc w:val="center"/>
              <w:rPr>
                <w:noProof/>
                <w:lang w:val="en-IE"/>
              </w:rPr>
            </w:pPr>
            <w:r w:rsidRPr="00045449">
              <w:rPr>
                <w:noProof/>
                <w:lang w:val="en-IE"/>
              </w:rPr>
              <w:t>0.5</w:t>
            </w:r>
          </w:p>
        </w:tc>
        <w:tc>
          <w:tcPr>
            <w:tcW w:w="944" w:type="dxa"/>
            <w:noWrap/>
            <w:hideMark/>
          </w:tcPr>
          <w:p w14:paraId="173D0F35" w14:textId="77777777" w:rsidR="00BD6673" w:rsidRPr="00045449" w:rsidRDefault="00BD6673" w:rsidP="00BB20EB">
            <w:pPr>
              <w:jc w:val="center"/>
              <w:rPr>
                <w:noProof/>
                <w:lang w:val="en-IE"/>
              </w:rPr>
            </w:pPr>
            <w:r w:rsidRPr="00045449">
              <w:rPr>
                <w:noProof/>
                <w:lang w:val="en-IE"/>
              </w:rPr>
              <w:t>0.5</w:t>
            </w:r>
          </w:p>
        </w:tc>
        <w:tc>
          <w:tcPr>
            <w:tcW w:w="1087" w:type="dxa"/>
            <w:noWrap/>
            <w:hideMark/>
          </w:tcPr>
          <w:p w14:paraId="1C7D18A2" w14:textId="77777777" w:rsidR="00BD6673" w:rsidRPr="00045449" w:rsidRDefault="00BD6673" w:rsidP="00BB20EB">
            <w:pPr>
              <w:jc w:val="center"/>
              <w:rPr>
                <w:noProof/>
                <w:lang w:val="en-IE"/>
              </w:rPr>
            </w:pPr>
            <w:r w:rsidRPr="00045449">
              <w:rPr>
                <w:noProof/>
                <w:lang w:val="en-IE"/>
              </w:rPr>
              <w:t>6</w:t>
            </w:r>
            <w:r w:rsidRPr="00045449">
              <w:rPr>
                <w:rFonts w:ascii="Calibri" w:hAnsi="Calibri" w:cs="Calibri"/>
                <w:noProof/>
                <w:lang w:val="en-IE"/>
              </w:rPr>
              <w:t> </w:t>
            </w:r>
            <w:r w:rsidRPr="00045449">
              <w:rPr>
                <w:noProof/>
                <w:lang w:val="en-IE"/>
              </w:rPr>
              <w:t>074</w:t>
            </w:r>
          </w:p>
        </w:tc>
      </w:tr>
      <w:tr w:rsidR="00BD6673" w:rsidRPr="00045449" w14:paraId="71450200" w14:textId="77777777" w:rsidTr="00BB20EB">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15633464" w14:textId="77777777" w:rsidR="00BD6673" w:rsidRPr="00045449" w:rsidRDefault="00BD6673" w:rsidP="00BB20EB">
            <w:pPr>
              <w:rPr>
                <w:noProof/>
                <w:lang w:val="en-IE"/>
              </w:rPr>
            </w:pPr>
            <w:r w:rsidRPr="00045449">
              <w:rPr>
                <w:noProof/>
                <w:lang w:val="en-IE"/>
              </w:rPr>
              <w:t>Decommitments made available again</w:t>
            </w:r>
            <w:r w:rsidRPr="00045449">
              <w:rPr>
                <w:rFonts w:ascii="Calibri" w:hAnsi="Calibri" w:cs="Calibri"/>
                <w:noProof/>
                <w:lang w:val="en-IE"/>
              </w:rPr>
              <w:t> (</w:t>
            </w:r>
            <w:r w:rsidRPr="00045449">
              <w:rPr>
                <w:noProof/>
                <w:lang w:val="en-IE"/>
              </w:rPr>
              <w:t>*)</w:t>
            </w:r>
          </w:p>
        </w:tc>
        <w:tc>
          <w:tcPr>
            <w:tcW w:w="943" w:type="dxa"/>
            <w:noWrap/>
            <w:hideMark/>
          </w:tcPr>
          <w:p w14:paraId="19DD8CB0" w14:textId="77777777" w:rsidR="00BD6673" w:rsidRPr="00045449" w:rsidRDefault="00BD6673" w:rsidP="00BB20EB">
            <w:pPr>
              <w:jc w:val="center"/>
              <w:rPr>
                <w:noProof/>
                <w:lang w:val="en-IE"/>
              </w:rPr>
            </w:pPr>
            <w:r>
              <w:rPr>
                <w:noProof/>
                <w:lang w:val="en-IE"/>
              </w:rPr>
              <w:t>N/A</w:t>
            </w:r>
          </w:p>
        </w:tc>
        <w:tc>
          <w:tcPr>
            <w:tcW w:w="944" w:type="dxa"/>
            <w:noWrap/>
            <w:hideMark/>
          </w:tcPr>
          <w:p w14:paraId="636B03CB" w14:textId="77777777" w:rsidR="00BD6673" w:rsidRPr="00045449" w:rsidRDefault="00BD6673" w:rsidP="00BB20EB">
            <w:pPr>
              <w:jc w:val="center"/>
              <w:rPr>
                <w:noProof/>
                <w:lang w:val="en-IE"/>
              </w:rPr>
            </w:pPr>
          </w:p>
        </w:tc>
        <w:tc>
          <w:tcPr>
            <w:tcW w:w="943" w:type="dxa"/>
            <w:noWrap/>
            <w:hideMark/>
          </w:tcPr>
          <w:p w14:paraId="1B7D6401" w14:textId="77777777" w:rsidR="00BD6673" w:rsidRPr="00045449" w:rsidRDefault="00BD6673" w:rsidP="00BB20EB">
            <w:pPr>
              <w:jc w:val="center"/>
              <w:rPr>
                <w:noProof/>
                <w:lang w:val="en-IE"/>
              </w:rPr>
            </w:pPr>
          </w:p>
        </w:tc>
        <w:tc>
          <w:tcPr>
            <w:tcW w:w="944" w:type="dxa"/>
            <w:noWrap/>
            <w:hideMark/>
          </w:tcPr>
          <w:p w14:paraId="34724B5D" w14:textId="77777777" w:rsidR="00BD6673" w:rsidRPr="00045449" w:rsidRDefault="00BD6673" w:rsidP="00BB20EB">
            <w:pPr>
              <w:jc w:val="center"/>
              <w:rPr>
                <w:noProof/>
                <w:lang w:val="en-IE"/>
              </w:rPr>
            </w:pPr>
          </w:p>
        </w:tc>
        <w:tc>
          <w:tcPr>
            <w:tcW w:w="944" w:type="dxa"/>
            <w:noWrap/>
            <w:hideMark/>
          </w:tcPr>
          <w:p w14:paraId="1FC1EFD3" w14:textId="77777777" w:rsidR="00BD6673" w:rsidRPr="00045449" w:rsidRDefault="00BD6673" w:rsidP="00BB20EB">
            <w:pPr>
              <w:jc w:val="center"/>
              <w:rPr>
                <w:noProof/>
                <w:lang w:val="en-IE"/>
              </w:rPr>
            </w:pPr>
          </w:p>
        </w:tc>
        <w:tc>
          <w:tcPr>
            <w:tcW w:w="943" w:type="dxa"/>
            <w:noWrap/>
            <w:hideMark/>
          </w:tcPr>
          <w:p w14:paraId="6E1A3E9A" w14:textId="77777777" w:rsidR="00BD6673" w:rsidRPr="00045449" w:rsidRDefault="00BD6673" w:rsidP="00BB20EB">
            <w:pPr>
              <w:jc w:val="center"/>
              <w:rPr>
                <w:noProof/>
                <w:lang w:val="en-IE"/>
              </w:rPr>
            </w:pPr>
          </w:p>
        </w:tc>
        <w:tc>
          <w:tcPr>
            <w:tcW w:w="944" w:type="dxa"/>
            <w:noWrap/>
            <w:hideMark/>
          </w:tcPr>
          <w:p w14:paraId="7FE088B0" w14:textId="77777777" w:rsidR="00BD6673" w:rsidRPr="00045449" w:rsidRDefault="00BD6673" w:rsidP="00BB20EB">
            <w:pPr>
              <w:jc w:val="center"/>
              <w:rPr>
                <w:noProof/>
                <w:lang w:val="en-IE"/>
              </w:rPr>
            </w:pPr>
          </w:p>
        </w:tc>
        <w:tc>
          <w:tcPr>
            <w:tcW w:w="1087" w:type="dxa"/>
            <w:noWrap/>
            <w:hideMark/>
          </w:tcPr>
          <w:p w14:paraId="63E8B3C2" w14:textId="77777777" w:rsidR="00BD6673" w:rsidRPr="00045449" w:rsidRDefault="00BD6673" w:rsidP="00BB20EB">
            <w:pPr>
              <w:jc w:val="center"/>
              <w:rPr>
                <w:noProof/>
                <w:lang w:val="en-IE"/>
              </w:rPr>
            </w:pPr>
            <w:r>
              <w:rPr>
                <w:noProof/>
                <w:lang w:val="en-IE"/>
              </w:rPr>
              <w:t>N/A</w:t>
            </w:r>
          </w:p>
        </w:tc>
      </w:tr>
      <w:tr w:rsidR="00BD6673" w:rsidRPr="00045449" w14:paraId="2D25E773" w14:textId="77777777" w:rsidTr="00BB20EB">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7F6AA2BF" w14:textId="77777777" w:rsidR="00BD6673" w:rsidRPr="00045449" w:rsidRDefault="00BD6673" w:rsidP="00BB20EB">
            <w:pPr>
              <w:rPr>
                <w:noProof/>
                <w:lang w:val="en-IE"/>
              </w:rPr>
            </w:pPr>
            <w:r w:rsidRPr="00045449">
              <w:rPr>
                <w:noProof/>
                <w:lang w:val="en-IE"/>
              </w:rPr>
              <w:t>Contributions from other countries and entities</w:t>
            </w:r>
          </w:p>
        </w:tc>
        <w:tc>
          <w:tcPr>
            <w:tcW w:w="943" w:type="dxa"/>
            <w:noWrap/>
            <w:hideMark/>
          </w:tcPr>
          <w:p w14:paraId="38F27731" w14:textId="77777777" w:rsidR="00BD6673" w:rsidRPr="00045449" w:rsidRDefault="00BD6673" w:rsidP="00BB20EB">
            <w:pPr>
              <w:jc w:val="center"/>
              <w:rPr>
                <w:noProof/>
                <w:lang w:val="en-IE"/>
              </w:rPr>
            </w:pPr>
            <w:r>
              <w:rPr>
                <w:noProof/>
                <w:lang w:val="en-IE"/>
              </w:rPr>
              <w:t>0.0</w:t>
            </w:r>
          </w:p>
        </w:tc>
        <w:tc>
          <w:tcPr>
            <w:tcW w:w="944" w:type="dxa"/>
            <w:noWrap/>
            <w:hideMark/>
          </w:tcPr>
          <w:p w14:paraId="48D36BBE" w14:textId="77777777" w:rsidR="00BD6673" w:rsidRPr="00045449" w:rsidRDefault="00BD6673" w:rsidP="00BB20EB">
            <w:pPr>
              <w:jc w:val="center"/>
              <w:rPr>
                <w:noProof/>
                <w:lang w:val="en-IE"/>
              </w:rPr>
            </w:pPr>
            <w:r>
              <w:rPr>
                <w:noProof/>
                <w:lang w:val="en-IE"/>
              </w:rPr>
              <w:t>p.m.</w:t>
            </w:r>
          </w:p>
        </w:tc>
        <w:tc>
          <w:tcPr>
            <w:tcW w:w="943" w:type="dxa"/>
            <w:noWrap/>
            <w:hideMark/>
          </w:tcPr>
          <w:p w14:paraId="71D922CD" w14:textId="77777777" w:rsidR="00BD6673" w:rsidRPr="00045449" w:rsidRDefault="00BD6673" w:rsidP="00BB20EB">
            <w:pPr>
              <w:jc w:val="center"/>
              <w:rPr>
                <w:noProof/>
                <w:lang w:val="en-IE"/>
              </w:rPr>
            </w:pPr>
            <w:r>
              <w:rPr>
                <w:noProof/>
                <w:lang w:val="en-IE"/>
              </w:rPr>
              <w:t>p.m.</w:t>
            </w:r>
          </w:p>
        </w:tc>
        <w:tc>
          <w:tcPr>
            <w:tcW w:w="944" w:type="dxa"/>
            <w:noWrap/>
            <w:hideMark/>
          </w:tcPr>
          <w:p w14:paraId="3218F6F4" w14:textId="77777777" w:rsidR="00BD6673" w:rsidRPr="00045449" w:rsidRDefault="00BD6673" w:rsidP="00BB20EB">
            <w:pPr>
              <w:jc w:val="center"/>
              <w:rPr>
                <w:noProof/>
                <w:lang w:val="en-IE"/>
              </w:rPr>
            </w:pPr>
            <w:r>
              <w:rPr>
                <w:noProof/>
                <w:lang w:val="en-IE"/>
              </w:rPr>
              <w:t>p.m.</w:t>
            </w:r>
          </w:p>
        </w:tc>
        <w:tc>
          <w:tcPr>
            <w:tcW w:w="944" w:type="dxa"/>
            <w:noWrap/>
            <w:hideMark/>
          </w:tcPr>
          <w:p w14:paraId="02C6B873" w14:textId="77777777" w:rsidR="00BD6673" w:rsidRPr="00045449" w:rsidRDefault="00BD6673" w:rsidP="00BB20EB">
            <w:pPr>
              <w:jc w:val="center"/>
              <w:rPr>
                <w:noProof/>
                <w:lang w:val="en-IE"/>
              </w:rPr>
            </w:pPr>
            <w:r>
              <w:rPr>
                <w:noProof/>
                <w:lang w:val="en-IE"/>
              </w:rPr>
              <w:t>p.m.</w:t>
            </w:r>
          </w:p>
        </w:tc>
        <w:tc>
          <w:tcPr>
            <w:tcW w:w="943" w:type="dxa"/>
            <w:noWrap/>
            <w:hideMark/>
          </w:tcPr>
          <w:p w14:paraId="1C9EC409" w14:textId="77777777" w:rsidR="00BD6673" w:rsidRPr="00045449" w:rsidRDefault="00BD6673" w:rsidP="00BB20EB">
            <w:pPr>
              <w:jc w:val="center"/>
              <w:rPr>
                <w:noProof/>
                <w:lang w:val="en-IE"/>
              </w:rPr>
            </w:pPr>
            <w:r>
              <w:rPr>
                <w:noProof/>
                <w:lang w:val="en-IE"/>
              </w:rPr>
              <w:t>p.m.</w:t>
            </w:r>
          </w:p>
        </w:tc>
        <w:tc>
          <w:tcPr>
            <w:tcW w:w="944" w:type="dxa"/>
            <w:noWrap/>
            <w:hideMark/>
          </w:tcPr>
          <w:p w14:paraId="11D33FDA" w14:textId="77777777" w:rsidR="00BD6673" w:rsidRPr="00045449" w:rsidRDefault="00BD6673" w:rsidP="00BB20EB">
            <w:pPr>
              <w:jc w:val="center"/>
              <w:rPr>
                <w:noProof/>
                <w:lang w:val="en-IE"/>
              </w:rPr>
            </w:pPr>
            <w:r>
              <w:rPr>
                <w:noProof/>
                <w:lang w:val="en-IE"/>
              </w:rPr>
              <w:t>p.m.</w:t>
            </w:r>
          </w:p>
        </w:tc>
        <w:tc>
          <w:tcPr>
            <w:tcW w:w="1087" w:type="dxa"/>
            <w:noWrap/>
            <w:hideMark/>
          </w:tcPr>
          <w:p w14:paraId="7045499C" w14:textId="77777777" w:rsidR="00BD6673" w:rsidRPr="00045449" w:rsidRDefault="00BD6673" w:rsidP="00BB20EB">
            <w:pPr>
              <w:jc w:val="center"/>
              <w:rPr>
                <w:noProof/>
                <w:lang w:val="en-IE"/>
              </w:rPr>
            </w:pPr>
            <w:r>
              <w:rPr>
                <w:noProof/>
                <w:lang w:val="en-IE"/>
              </w:rPr>
              <w:t>0.0</w:t>
            </w:r>
          </w:p>
        </w:tc>
      </w:tr>
      <w:tr w:rsidR="00BD6673" w:rsidRPr="00045449" w14:paraId="35395836" w14:textId="77777777" w:rsidTr="00BB20EB">
        <w:trPr>
          <w:cnfStyle w:val="000000100000" w:firstRow="0" w:lastRow="0" w:firstColumn="0" w:lastColumn="0" w:oddVBand="0" w:evenVBand="0" w:oddHBand="1" w:evenHBand="0" w:firstRowFirstColumn="0" w:firstRowLastColumn="0" w:lastRowFirstColumn="0" w:lastRowLastColumn="0"/>
          <w:trHeight w:val="290"/>
        </w:trPr>
        <w:tc>
          <w:tcPr>
            <w:tcW w:w="2090" w:type="dxa"/>
            <w:shd w:val="clear" w:color="auto" w:fill="FFFFFF" w:themeFill="background1"/>
            <w:noWrap/>
            <w:hideMark/>
          </w:tcPr>
          <w:p w14:paraId="222CF155" w14:textId="77777777" w:rsidR="00BD6673" w:rsidRPr="00045449" w:rsidRDefault="00BD6673" w:rsidP="00BB20EB">
            <w:pPr>
              <w:rPr>
                <w:noProof/>
                <w:lang w:val="en-IE"/>
              </w:rPr>
            </w:pPr>
            <w:r w:rsidRPr="00045449">
              <w:rPr>
                <w:noProof/>
                <w:lang w:val="en-IE"/>
              </w:rPr>
              <w:t>Total</w:t>
            </w:r>
          </w:p>
        </w:tc>
        <w:tc>
          <w:tcPr>
            <w:tcW w:w="943" w:type="dxa"/>
            <w:shd w:val="clear" w:color="auto" w:fill="FFFFFF" w:themeFill="background1"/>
            <w:noWrap/>
            <w:vAlign w:val="bottom"/>
            <w:hideMark/>
          </w:tcPr>
          <w:p w14:paraId="31331974" w14:textId="3190F1F7" w:rsidR="00BD6673" w:rsidRPr="00045449" w:rsidRDefault="00BD6673" w:rsidP="00BB20EB">
            <w:pPr>
              <w:jc w:val="center"/>
              <w:rPr>
                <w:noProof/>
                <w:lang w:val="en-IE"/>
              </w:rPr>
            </w:pPr>
            <w:r>
              <w:rPr>
                <w:rFonts w:ascii="Calibri" w:hAnsi="Calibri" w:cs="Calibri"/>
                <w:b/>
                <w:bCs/>
                <w:noProof/>
                <w:color w:val="000000"/>
              </w:rPr>
              <w:t>2 439.7</w:t>
            </w:r>
          </w:p>
        </w:tc>
        <w:tc>
          <w:tcPr>
            <w:tcW w:w="944" w:type="dxa"/>
            <w:shd w:val="clear" w:color="auto" w:fill="FFFFFF" w:themeFill="background1"/>
            <w:noWrap/>
            <w:vAlign w:val="bottom"/>
            <w:hideMark/>
          </w:tcPr>
          <w:p w14:paraId="10644D3D" w14:textId="5EA44BB7" w:rsidR="00BD6673" w:rsidRPr="00045449" w:rsidRDefault="00BD6673" w:rsidP="00BB20EB">
            <w:pPr>
              <w:jc w:val="center"/>
              <w:rPr>
                <w:noProof/>
                <w:lang w:val="en-IE"/>
              </w:rPr>
            </w:pPr>
            <w:r>
              <w:rPr>
                <w:rFonts w:ascii="Calibri" w:hAnsi="Calibri" w:cs="Calibri"/>
                <w:b/>
                <w:bCs/>
                <w:noProof/>
                <w:color w:val="000000"/>
              </w:rPr>
              <w:t>3 014.6</w:t>
            </w:r>
          </w:p>
        </w:tc>
        <w:tc>
          <w:tcPr>
            <w:tcW w:w="943" w:type="dxa"/>
            <w:shd w:val="clear" w:color="auto" w:fill="FFFFFF" w:themeFill="background1"/>
            <w:noWrap/>
            <w:vAlign w:val="bottom"/>
            <w:hideMark/>
          </w:tcPr>
          <w:p w14:paraId="72F3C552" w14:textId="2D61684F" w:rsidR="00BD6673" w:rsidRPr="00045449" w:rsidRDefault="00BD6673" w:rsidP="00BB20EB">
            <w:pPr>
              <w:jc w:val="center"/>
              <w:rPr>
                <w:noProof/>
                <w:lang w:val="en-IE"/>
              </w:rPr>
            </w:pPr>
            <w:r>
              <w:rPr>
                <w:rFonts w:ascii="Calibri" w:hAnsi="Calibri" w:cs="Calibri"/>
                <w:b/>
                <w:bCs/>
                <w:noProof/>
                <w:color w:val="000000"/>
              </w:rPr>
              <w:t>2 811.7</w:t>
            </w:r>
          </w:p>
        </w:tc>
        <w:tc>
          <w:tcPr>
            <w:tcW w:w="944" w:type="dxa"/>
            <w:shd w:val="clear" w:color="auto" w:fill="FFFFFF" w:themeFill="background1"/>
            <w:noWrap/>
            <w:vAlign w:val="bottom"/>
            <w:hideMark/>
          </w:tcPr>
          <w:p w14:paraId="0CE5C26B" w14:textId="0CEB68A8" w:rsidR="00BD6673" w:rsidRPr="00045449" w:rsidRDefault="00BD6673" w:rsidP="00BB20EB">
            <w:pPr>
              <w:jc w:val="center"/>
              <w:rPr>
                <w:noProof/>
                <w:lang w:val="en-IE"/>
              </w:rPr>
            </w:pPr>
            <w:r>
              <w:rPr>
                <w:rFonts w:ascii="Calibri" w:hAnsi="Calibri" w:cs="Calibri"/>
                <w:b/>
                <w:bCs/>
                <w:noProof/>
                <w:color w:val="000000"/>
              </w:rPr>
              <w:t>194.5</w:t>
            </w:r>
          </w:p>
        </w:tc>
        <w:tc>
          <w:tcPr>
            <w:tcW w:w="944" w:type="dxa"/>
            <w:shd w:val="clear" w:color="auto" w:fill="FFFFFF" w:themeFill="background1"/>
            <w:noWrap/>
            <w:vAlign w:val="bottom"/>
            <w:hideMark/>
          </w:tcPr>
          <w:p w14:paraId="65603E70" w14:textId="3E1AB339" w:rsidR="00BD6673" w:rsidRPr="00045449" w:rsidRDefault="00BD6673" w:rsidP="00BB20EB">
            <w:pPr>
              <w:jc w:val="center"/>
              <w:rPr>
                <w:noProof/>
                <w:lang w:val="en-IE"/>
              </w:rPr>
            </w:pPr>
            <w:r>
              <w:rPr>
                <w:rFonts w:ascii="Calibri" w:hAnsi="Calibri" w:cs="Calibri"/>
                <w:b/>
                <w:bCs/>
                <w:noProof/>
                <w:color w:val="000000"/>
              </w:rPr>
              <w:t>198.4</w:t>
            </w:r>
          </w:p>
        </w:tc>
        <w:tc>
          <w:tcPr>
            <w:tcW w:w="943" w:type="dxa"/>
            <w:shd w:val="clear" w:color="auto" w:fill="FFFFFF" w:themeFill="background1"/>
            <w:noWrap/>
            <w:vAlign w:val="bottom"/>
            <w:hideMark/>
          </w:tcPr>
          <w:p w14:paraId="3848380A" w14:textId="215A6268" w:rsidR="00BD6673" w:rsidRPr="00045449" w:rsidRDefault="00BD6673" w:rsidP="00BB20EB">
            <w:pPr>
              <w:jc w:val="center"/>
              <w:rPr>
                <w:noProof/>
                <w:lang w:val="en-IE"/>
              </w:rPr>
            </w:pPr>
            <w:r>
              <w:rPr>
                <w:rFonts w:ascii="Calibri" w:hAnsi="Calibri" w:cs="Calibri"/>
                <w:b/>
                <w:bCs/>
                <w:noProof/>
                <w:color w:val="000000"/>
              </w:rPr>
              <w:t>202.4</w:t>
            </w:r>
          </w:p>
        </w:tc>
        <w:tc>
          <w:tcPr>
            <w:tcW w:w="944" w:type="dxa"/>
            <w:shd w:val="clear" w:color="auto" w:fill="FFFFFF" w:themeFill="background1"/>
            <w:noWrap/>
            <w:vAlign w:val="bottom"/>
            <w:hideMark/>
          </w:tcPr>
          <w:p w14:paraId="459A99F2" w14:textId="237DFB50" w:rsidR="00BD6673" w:rsidRPr="00045449" w:rsidRDefault="00BD6673" w:rsidP="00BB20EB">
            <w:pPr>
              <w:jc w:val="center"/>
              <w:rPr>
                <w:noProof/>
                <w:lang w:val="en-IE"/>
              </w:rPr>
            </w:pPr>
            <w:r>
              <w:rPr>
                <w:rFonts w:ascii="Calibri" w:hAnsi="Calibri" w:cs="Calibri"/>
                <w:b/>
                <w:bCs/>
                <w:noProof/>
                <w:color w:val="000000"/>
              </w:rPr>
              <w:t>205.3</w:t>
            </w:r>
          </w:p>
        </w:tc>
        <w:tc>
          <w:tcPr>
            <w:tcW w:w="1087" w:type="dxa"/>
            <w:shd w:val="clear" w:color="auto" w:fill="FFFFFF" w:themeFill="background1"/>
            <w:noWrap/>
            <w:vAlign w:val="bottom"/>
            <w:hideMark/>
          </w:tcPr>
          <w:p w14:paraId="5710A93C" w14:textId="6B44CCFA" w:rsidR="00BD6673" w:rsidRPr="00045449" w:rsidRDefault="00BD6673" w:rsidP="00BB20EB">
            <w:pPr>
              <w:jc w:val="center"/>
              <w:rPr>
                <w:noProof/>
                <w:lang w:val="en-IE"/>
              </w:rPr>
            </w:pPr>
            <w:r>
              <w:rPr>
                <w:rFonts w:ascii="Calibri" w:hAnsi="Calibri" w:cs="Calibri"/>
                <w:b/>
                <w:bCs/>
                <w:noProof/>
                <w:color w:val="000000"/>
              </w:rPr>
              <w:t>9 066.7</w:t>
            </w:r>
          </w:p>
        </w:tc>
      </w:tr>
    </w:tbl>
    <w:p w14:paraId="73F9DB4B" w14:textId="77777777" w:rsidR="00BD6673" w:rsidRPr="002A4508" w:rsidRDefault="00BD6673" w:rsidP="00BD6673">
      <w:pPr>
        <w:tabs>
          <w:tab w:val="left" w:pos="6793"/>
        </w:tabs>
        <w:rPr>
          <w:noProof/>
          <w:sz w:val="18"/>
          <w:szCs w:val="18"/>
          <w:lang w:val="en-IE"/>
        </w:rPr>
      </w:pPr>
      <w:r w:rsidRPr="1573DF04">
        <w:rPr>
          <w:noProof/>
          <w:sz w:val="18"/>
          <w:szCs w:val="18"/>
          <w:lang w:val="en-IE"/>
        </w:rPr>
        <w:t>(*) Only Article</w:t>
      </w:r>
      <w:r w:rsidRPr="1573DF04">
        <w:rPr>
          <w:rFonts w:ascii="Calibri" w:hAnsi="Calibri" w:cs="Calibri"/>
          <w:noProof/>
          <w:sz w:val="18"/>
          <w:szCs w:val="18"/>
          <w:lang w:val="en-IE"/>
        </w:rPr>
        <w:t> </w:t>
      </w:r>
      <w:r w:rsidRPr="1573DF04">
        <w:rPr>
          <w:noProof/>
          <w:sz w:val="18"/>
          <w:szCs w:val="18"/>
          <w:lang w:val="en-IE"/>
        </w:rPr>
        <w:t>15(3) of the financial regulation.</w:t>
      </w:r>
    </w:p>
    <w:p w14:paraId="535EB79E" w14:textId="776D67E3" w:rsidR="00BD6673" w:rsidRPr="00045449" w:rsidRDefault="00BD6673" w:rsidP="00BD6673">
      <w:pPr>
        <w:pStyle w:val="ppoTableTabletitle"/>
        <w:ind w:left="360"/>
        <w:jc w:val="center"/>
        <w:rPr>
          <w:noProof/>
          <w:lang w:val="en-IE"/>
        </w:rPr>
      </w:pPr>
      <w:r w:rsidRPr="1573DF04">
        <w:rPr>
          <w:noProof/>
          <w:lang w:val="en-IE"/>
        </w:rPr>
        <w:t>Financial programming</w:t>
      </w:r>
      <w:r w:rsidR="00FE148C">
        <w:rPr>
          <w:noProof/>
          <w:lang w:val="en-IE"/>
        </w:rPr>
        <w:t xml:space="preserve">: </w:t>
      </w:r>
      <w:r w:rsidRPr="1573DF04">
        <w:rPr>
          <w:rStyle w:val="ppocharOrangetext24pt"/>
          <w:noProof/>
          <w:lang w:val="en-IE"/>
        </w:rPr>
        <w:t xml:space="preserve"> –</w:t>
      </w:r>
      <w:r w:rsidRPr="1573DF04">
        <w:rPr>
          <w:rStyle w:val="ppocharOrangetext24pt"/>
          <w:rFonts w:ascii="Calibri" w:hAnsi="Calibri" w:cs="Calibri"/>
          <w:noProof/>
          <w:lang w:val="en-IE"/>
        </w:rPr>
        <w:t> </w:t>
      </w:r>
      <w:r w:rsidR="00FD3458" w:rsidRPr="00FD3458">
        <w:rPr>
          <w:rStyle w:val="ppocharOrangetext24pt"/>
          <w:noProof/>
          <w:lang w:val="en-IE"/>
        </w:rPr>
        <w:t xml:space="preserve">1.1 million (- 0%) </w:t>
      </w:r>
      <w:r w:rsidRPr="1573DF04">
        <w:rPr>
          <w:rStyle w:val="ppocharOrangetext24pt"/>
          <w:noProof/>
          <w:lang w:val="en-IE"/>
        </w:rPr>
        <w:t xml:space="preserve"> </w:t>
      </w:r>
      <w:r w:rsidRPr="1573DF04">
        <w:rPr>
          <w:noProof/>
          <w:lang w:val="en-IE"/>
        </w:rPr>
        <w:t xml:space="preserve">  compared to the legal basis.*</w:t>
      </w:r>
    </w:p>
    <w:p w14:paraId="73B70D79" w14:textId="34420AE3" w:rsidR="00BD6673" w:rsidRDefault="00BD6673" w:rsidP="00304A2B">
      <w:pPr>
        <w:rPr>
          <w:noProof/>
          <w:sz w:val="18"/>
          <w:szCs w:val="18"/>
          <w:lang w:val="en-IE"/>
        </w:rPr>
      </w:pPr>
      <w:r w:rsidRPr="00304A2B">
        <w:rPr>
          <w:noProof/>
          <w:sz w:val="18"/>
          <w:szCs w:val="18"/>
          <w:lang w:val="en-IE"/>
        </w:rPr>
        <w:t xml:space="preserve">* </w:t>
      </w:r>
      <w:r w:rsidR="00427FAC">
        <w:rPr>
          <w:noProof/>
          <w:sz w:val="18"/>
          <w:szCs w:val="18"/>
          <w:lang w:val="en-IE"/>
        </w:rPr>
        <w:t>Top-ups pursuant to Art. 5 MFF Regulation</w:t>
      </w:r>
      <w:r w:rsidRPr="00304A2B">
        <w:rPr>
          <w:noProof/>
          <w:sz w:val="18"/>
          <w:szCs w:val="18"/>
          <w:lang w:val="en-IE"/>
        </w:rPr>
        <w:t xml:space="preserve"> are excluded from financial programming in this comparison</w:t>
      </w:r>
      <w:r w:rsidRPr="1573DF04">
        <w:rPr>
          <w:noProof/>
          <w:sz w:val="18"/>
          <w:szCs w:val="18"/>
          <w:lang w:val="en-IE"/>
        </w:rPr>
        <w:t>.</w:t>
      </w:r>
    </w:p>
    <w:p w14:paraId="508CDC6F" w14:textId="77777777" w:rsidR="00BD6673" w:rsidRDefault="00BD6673" w:rsidP="00BD6673">
      <w:pPr>
        <w:rPr>
          <w:noProof/>
          <w:lang w:val="en-IE"/>
        </w:rPr>
      </w:pPr>
    </w:p>
    <w:p w14:paraId="46F1635E" w14:textId="77777777" w:rsidR="00BD6673" w:rsidRPr="00045449" w:rsidRDefault="00BD6673" w:rsidP="00BD6673">
      <w:pPr>
        <w:pStyle w:val="ppoTableTabletitle"/>
        <w:rPr>
          <w:b/>
          <w:noProof/>
          <w:lang w:val="en-IE"/>
        </w:rPr>
      </w:pPr>
      <w:r w:rsidRPr="00045449">
        <w:rPr>
          <w:noProof/>
          <w:lang w:val="en-IE"/>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BD6673" w:rsidRPr="00045449" w14:paraId="305381E0" w14:textId="77777777" w:rsidTr="00BB20EB">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357DED35" w14:textId="77777777" w:rsidR="00BD6673" w:rsidRPr="00045449" w:rsidRDefault="00BD6673" w:rsidP="00BB20EB">
            <w:pPr>
              <w:rPr>
                <w:noProof/>
                <w:lang w:val="en-IE"/>
              </w:rPr>
            </w:pPr>
          </w:p>
        </w:tc>
        <w:tc>
          <w:tcPr>
            <w:tcW w:w="2410" w:type="dxa"/>
          </w:tcPr>
          <w:p w14:paraId="3B01DED9" w14:textId="77777777" w:rsidR="00BD6673" w:rsidRPr="00045449" w:rsidRDefault="00BD6673" w:rsidP="00BB20EB">
            <w:pPr>
              <w:cnfStyle w:val="100000000000" w:firstRow="1" w:lastRow="0" w:firstColumn="0" w:lastColumn="0" w:oddVBand="0" w:evenVBand="0" w:oddHBand="0" w:evenHBand="0" w:firstRowFirstColumn="0" w:firstRowLastColumn="0" w:lastRowFirstColumn="0" w:lastRowLastColumn="0"/>
              <w:rPr>
                <w:noProof/>
                <w:lang w:val="en-IE"/>
              </w:rPr>
            </w:pPr>
            <w:r w:rsidRPr="00045449">
              <w:rPr>
                <w:noProof/>
                <w:lang w:val="en-IE"/>
              </w:rPr>
              <w:t>Implementation</w:t>
            </w:r>
          </w:p>
        </w:tc>
        <w:tc>
          <w:tcPr>
            <w:tcW w:w="2410" w:type="dxa"/>
          </w:tcPr>
          <w:p w14:paraId="51CF0771" w14:textId="0464860A" w:rsidR="00BD6673" w:rsidRPr="00045449" w:rsidRDefault="001F4CBC" w:rsidP="00BB20EB">
            <w:pPr>
              <w:cnfStyle w:val="100000000000" w:firstRow="1" w:lastRow="0" w:firstColumn="0" w:lastColumn="0" w:oddVBand="0" w:evenVBand="0" w:oddHBand="0" w:evenHBand="0" w:firstRowFirstColumn="0" w:firstRowLastColumn="0" w:lastRowFirstColumn="0" w:lastRowLastColumn="0"/>
              <w:rPr>
                <w:noProof/>
                <w:lang w:val="en-IE"/>
              </w:rPr>
            </w:pPr>
            <w:r>
              <w:rPr>
                <w:noProof/>
              </w:rPr>
              <w:t xml:space="preserve">2021-2027 </w:t>
            </w:r>
            <w:r w:rsidRPr="00885241">
              <w:rPr>
                <w:noProof/>
              </w:rPr>
              <w:t>Budget</w:t>
            </w:r>
          </w:p>
        </w:tc>
        <w:tc>
          <w:tcPr>
            <w:tcW w:w="2410" w:type="dxa"/>
          </w:tcPr>
          <w:p w14:paraId="0E5D6760" w14:textId="77777777" w:rsidR="00BD6673" w:rsidRPr="00045449" w:rsidRDefault="00BD6673" w:rsidP="00BB20EB">
            <w:pPr>
              <w:cnfStyle w:val="100000000000" w:firstRow="1" w:lastRow="0" w:firstColumn="0" w:lastColumn="0" w:oddVBand="0" w:evenVBand="0" w:oddHBand="0" w:evenHBand="0" w:firstRowFirstColumn="0" w:firstRowLastColumn="0" w:lastRowFirstColumn="0" w:lastRowLastColumn="0"/>
              <w:rPr>
                <w:noProof/>
                <w:lang w:val="en-IE"/>
              </w:rPr>
            </w:pPr>
            <w:r w:rsidRPr="00045449">
              <w:rPr>
                <w:noProof/>
                <w:lang w:val="en-IE"/>
              </w:rPr>
              <w:t>Implementation rate</w:t>
            </w:r>
          </w:p>
        </w:tc>
      </w:tr>
      <w:tr w:rsidR="00BD6673" w:rsidRPr="00045449" w14:paraId="42DD0CE4" w14:textId="77777777" w:rsidTr="00BB20EB">
        <w:tc>
          <w:tcPr>
            <w:cnfStyle w:val="001000000000" w:firstRow="0" w:lastRow="0" w:firstColumn="1" w:lastColumn="0" w:oddVBand="0" w:evenVBand="0" w:oddHBand="0" w:evenHBand="0" w:firstRowFirstColumn="0" w:firstRowLastColumn="0" w:lastRowFirstColumn="0" w:lastRowLastColumn="0"/>
            <w:tcW w:w="2409" w:type="dxa"/>
          </w:tcPr>
          <w:p w14:paraId="0EAA4A77" w14:textId="77777777" w:rsidR="00BD6673" w:rsidRPr="00045449" w:rsidRDefault="00BD6673" w:rsidP="00BB20EB">
            <w:pPr>
              <w:jc w:val="center"/>
              <w:rPr>
                <w:noProof/>
                <w:lang w:val="en-IE"/>
              </w:rPr>
            </w:pPr>
            <w:r w:rsidRPr="00045449">
              <w:rPr>
                <w:noProof/>
                <w:lang w:val="en-IE"/>
              </w:rPr>
              <w:t>Commitments</w:t>
            </w:r>
          </w:p>
        </w:tc>
        <w:tc>
          <w:tcPr>
            <w:tcW w:w="2410" w:type="dxa"/>
          </w:tcPr>
          <w:tbl>
            <w:tblPr>
              <w:tblStyle w:val="TableGrid"/>
              <w:tblW w:w="0" w:type="auto"/>
              <w:tblLook w:val="06A0" w:firstRow="1" w:lastRow="0" w:firstColumn="1" w:lastColumn="0" w:noHBand="1" w:noVBand="1"/>
            </w:tblPr>
            <w:tblGrid>
              <w:gridCol w:w="2194"/>
            </w:tblGrid>
            <w:tr w:rsidR="00BD6673" w:rsidRPr="00045449" w14:paraId="712143C6" w14:textId="77777777" w:rsidTr="00BB20EB">
              <w:trPr>
                <w:trHeight w:val="285"/>
              </w:trPr>
              <w:tc>
                <w:tcPr>
                  <w:tcW w:w="2290" w:type="dxa"/>
                  <w:tcBorders>
                    <w:top w:val="nil"/>
                    <w:left w:val="nil"/>
                    <w:bottom w:val="nil"/>
                    <w:right w:val="nil"/>
                  </w:tcBorders>
                  <w:vAlign w:val="bottom"/>
                </w:tcPr>
                <w:p w14:paraId="35F773C6" w14:textId="77777777" w:rsidR="00BD6673" w:rsidRPr="00045449" w:rsidRDefault="00BD6673" w:rsidP="00BB20EB">
                  <w:pPr>
                    <w:jc w:val="right"/>
                    <w:rPr>
                      <w:noProof/>
                      <w:lang w:val="en-IE"/>
                    </w:rPr>
                  </w:pPr>
                  <w:r w:rsidRPr="00045449">
                    <w:rPr>
                      <w:rFonts w:ascii="Calibri" w:hAnsi="Calibri" w:cs="Calibri"/>
                      <w:noProof/>
                      <w:color w:val="000000"/>
                      <w:lang w:val="en-IE"/>
                    </w:rPr>
                    <w:t>2 401.8</w:t>
                  </w:r>
                </w:p>
              </w:tc>
            </w:tr>
          </w:tbl>
          <w:p w14:paraId="243202C2" w14:textId="77777777" w:rsidR="00BD6673" w:rsidRPr="00045449" w:rsidRDefault="00BD6673" w:rsidP="00BB20EB">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089"/>
            </w:tblGrid>
            <w:tr w:rsidR="00BD6673" w:rsidRPr="00045449" w14:paraId="066CCADC" w14:textId="77777777" w:rsidTr="00304A2B">
              <w:trPr>
                <w:trHeight w:val="285"/>
              </w:trPr>
              <w:tc>
                <w:tcPr>
                  <w:tcW w:w="2089" w:type="dxa"/>
                  <w:tcBorders>
                    <w:top w:val="nil"/>
                    <w:left w:val="nil"/>
                    <w:bottom w:val="nil"/>
                    <w:right w:val="nil"/>
                  </w:tcBorders>
                  <w:vAlign w:val="bottom"/>
                </w:tcPr>
                <w:p w14:paraId="2DA0A1D2" w14:textId="5C0DA8BB" w:rsidR="00BD6673" w:rsidRPr="00045449" w:rsidRDefault="00BD6673" w:rsidP="00BB20EB">
                  <w:pPr>
                    <w:jc w:val="right"/>
                    <w:rPr>
                      <w:noProof/>
                      <w:lang w:val="en-IE"/>
                    </w:rPr>
                  </w:pPr>
                  <w:r>
                    <w:rPr>
                      <w:rFonts w:ascii="Calibri" w:hAnsi="Calibri" w:cs="Calibri"/>
                      <w:b/>
                      <w:bCs/>
                      <w:noProof/>
                      <w:color w:val="000000"/>
                    </w:rPr>
                    <w:t>9 066.7</w:t>
                  </w:r>
                </w:p>
              </w:tc>
            </w:tr>
          </w:tbl>
          <w:p w14:paraId="16AF1E09" w14:textId="77777777" w:rsidR="00BD6673" w:rsidRPr="00045449" w:rsidRDefault="00BD6673" w:rsidP="00BB20EB">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BD6673" w:rsidRPr="00045449" w14:paraId="005433B1" w14:textId="77777777" w:rsidTr="00BB20EB">
              <w:trPr>
                <w:trHeight w:val="285"/>
              </w:trPr>
              <w:tc>
                <w:tcPr>
                  <w:tcW w:w="2290" w:type="dxa"/>
                  <w:tcBorders>
                    <w:top w:val="nil"/>
                    <w:left w:val="nil"/>
                    <w:bottom w:val="nil"/>
                    <w:right w:val="nil"/>
                  </w:tcBorders>
                  <w:vAlign w:val="bottom"/>
                </w:tcPr>
                <w:p w14:paraId="571FF704" w14:textId="130EFF87" w:rsidR="00BD6673" w:rsidRPr="00045449" w:rsidRDefault="00BD6673" w:rsidP="00BB20EB">
                  <w:pPr>
                    <w:jc w:val="right"/>
                    <w:rPr>
                      <w:noProof/>
                      <w:lang w:val="en-IE"/>
                    </w:rPr>
                  </w:pPr>
                  <w:r>
                    <w:rPr>
                      <w:rFonts w:ascii="Calibri" w:hAnsi="Calibri" w:cs="Calibri"/>
                      <w:noProof/>
                      <w:color w:val="000000"/>
                      <w:lang w:val="en-IE"/>
                    </w:rPr>
                    <w:t>26</w:t>
                  </w:r>
                  <w:r w:rsidRPr="00045449">
                    <w:rPr>
                      <w:rFonts w:ascii="Calibri" w:hAnsi="Calibri" w:cs="Calibri"/>
                      <w:noProof/>
                      <w:color w:val="000000"/>
                      <w:lang w:val="en-IE"/>
                    </w:rPr>
                    <w:t>%</w:t>
                  </w:r>
                </w:p>
              </w:tc>
            </w:tr>
          </w:tbl>
          <w:p w14:paraId="394FBB9B" w14:textId="77777777" w:rsidR="00BD6673" w:rsidRPr="00045449" w:rsidRDefault="00BD6673" w:rsidP="00BB20EB">
            <w:pPr>
              <w:jc w:val="center"/>
              <w:cnfStyle w:val="000000000000" w:firstRow="0" w:lastRow="0" w:firstColumn="0" w:lastColumn="0" w:oddVBand="0" w:evenVBand="0" w:oddHBand="0" w:evenHBand="0" w:firstRowFirstColumn="0" w:firstRowLastColumn="0" w:lastRowFirstColumn="0" w:lastRowLastColumn="0"/>
              <w:rPr>
                <w:noProof/>
                <w:lang w:val="en-IE"/>
              </w:rPr>
            </w:pPr>
          </w:p>
        </w:tc>
      </w:tr>
      <w:tr w:rsidR="00BD6673" w:rsidRPr="00045449" w14:paraId="3CC77986" w14:textId="77777777" w:rsidTr="00BB20EB">
        <w:tc>
          <w:tcPr>
            <w:cnfStyle w:val="001000000000" w:firstRow="0" w:lastRow="0" w:firstColumn="1" w:lastColumn="0" w:oddVBand="0" w:evenVBand="0" w:oddHBand="0" w:evenHBand="0" w:firstRowFirstColumn="0" w:firstRowLastColumn="0" w:lastRowFirstColumn="0" w:lastRowLastColumn="0"/>
            <w:tcW w:w="2409" w:type="dxa"/>
          </w:tcPr>
          <w:p w14:paraId="3544580D" w14:textId="77777777" w:rsidR="00BD6673" w:rsidRPr="00045449" w:rsidRDefault="00BD6673" w:rsidP="00BB20EB">
            <w:pPr>
              <w:jc w:val="center"/>
              <w:rPr>
                <w:noProof/>
                <w:lang w:val="en-IE"/>
              </w:rPr>
            </w:pPr>
            <w:r w:rsidRPr="00045449">
              <w:rPr>
                <w:noProof/>
                <w:lang w:val="en-IE"/>
              </w:rPr>
              <w:t>Payments</w:t>
            </w:r>
          </w:p>
        </w:tc>
        <w:tc>
          <w:tcPr>
            <w:tcW w:w="2410" w:type="dxa"/>
          </w:tcPr>
          <w:tbl>
            <w:tblPr>
              <w:tblStyle w:val="TableGrid"/>
              <w:tblW w:w="0" w:type="auto"/>
              <w:tblLook w:val="06A0" w:firstRow="1" w:lastRow="0" w:firstColumn="1" w:lastColumn="0" w:noHBand="1" w:noVBand="1"/>
            </w:tblPr>
            <w:tblGrid>
              <w:gridCol w:w="2194"/>
            </w:tblGrid>
            <w:tr w:rsidR="00BD6673" w:rsidRPr="00045449" w14:paraId="10D620B6" w14:textId="77777777" w:rsidTr="00BB20EB">
              <w:trPr>
                <w:trHeight w:val="285"/>
              </w:trPr>
              <w:tc>
                <w:tcPr>
                  <w:tcW w:w="2290" w:type="dxa"/>
                  <w:tcBorders>
                    <w:top w:val="nil"/>
                    <w:left w:val="nil"/>
                    <w:bottom w:val="nil"/>
                    <w:right w:val="nil"/>
                  </w:tcBorders>
                  <w:vAlign w:val="bottom"/>
                </w:tcPr>
                <w:p w14:paraId="19F2C0AB" w14:textId="77777777" w:rsidR="00BD6673" w:rsidRPr="00045449" w:rsidRDefault="00BD6673" w:rsidP="00BB20EB">
                  <w:pPr>
                    <w:jc w:val="right"/>
                    <w:rPr>
                      <w:noProof/>
                      <w:lang w:val="en-IE"/>
                    </w:rPr>
                  </w:pPr>
                  <w:r w:rsidRPr="00045449">
                    <w:rPr>
                      <w:rFonts w:ascii="Calibri" w:hAnsi="Calibri" w:cs="Calibri"/>
                      <w:noProof/>
                      <w:color w:val="000000"/>
                      <w:lang w:val="en-IE"/>
                    </w:rPr>
                    <w:t>265.2</w:t>
                  </w:r>
                </w:p>
              </w:tc>
            </w:tr>
          </w:tbl>
          <w:p w14:paraId="01B1AFA0" w14:textId="77777777" w:rsidR="00BD6673" w:rsidRPr="00045449" w:rsidRDefault="00BD6673" w:rsidP="00BB20EB">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p w14:paraId="18AB47DF" w14:textId="77777777" w:rsidR="00BD6673" w:rsidRPr="00045449" w:rsidRDefault="00BD6673" w:rsidP="00BB20EB">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BD6673" w:rsidRPr="00045449" w14:paraId="20902E30" w14:textId="77777777" w:rsidTr="00BB20EB">
              <w:trPr>
                <w:trHeight w:val="285"/>
              </w:trPr>
              <w:tc>
                <w:tcPr>
                  <w:tcW w:w="2235" w:type="dxa"/>
                  <w:tcBorders>
                    <w:top w:val="nil"/>
                    <w:left w:val="nil"/>
                    <w:bottom w:val="nil"/>
                    <w:right w:val="nil"/>
                  </w:tcBorders>
                  <w:vAlign w:val="bottom"/>
                </w:tcPr>
                <w:p w14:paraId="7DF0F912" w14:textId="416D9F9B" w:rsidR="00BD6673" w:rsidRPr="00045449" w:rsidRDefault="00BD6673" w:rsidP="00BB20EB">
                  <w:pPr>
                    <w:jc w:val="right"/>
                    <w:rPr>
                      <w:noProof/>
                      <w:lang w:val="en-IE"/>
                    </w:rPr>
                  </w:pPr>
                  <w:r>
                    <w:rPr>
                      <w:rFonts w:ascii="Calibri" w:hAnsi="Calibri" w:cs="Calibri"/>
                      <w:noProof/>
                      <w:color w:val="000000"/>
                      <w:lang w:val="en-IE"/>
                    </w:rPr>
                    <w:t>3</w:t>
                  </w:r>
                  <w:r w:rsidRPr="00045449">
                    <w:rPr>
                      <w:rFonts w:ascii="Calibri" w:hAnsi="Calibri" w:cs="Calibri"/>
                      <w:noProof/>
                      <w:color w:val="000000"/>
                      <w:lang w:val="en-IE"/>
                    </w:rPr>
                    <w:t>%</w:t>
                  </w:r>
                </w:p>
              </w:tc>
            </w:tr>
          </w:tbl>
          <w:p w14:paraId="5648AAA6" w14:textId="77777777" w:rsidR="00BD6673" w:rsidRPr="00045449" w:rsidRDefault="00BD6673" w:rsidP="00BB20EB">
            <w:pPr>
              <w:jc w:val="center"/>
              <w:cnfStyle w:val="000000000000" w:firstRow="0" w:lastRow="0" w:firstColumn="0" w:lastColumn="0" w:oddVBand="0" w:evenVBand="0" w:oddHBand="0" w:evenHBand="0" w:firstRowFirstColumn="0" w:firstRowLastColumn="0" w:lastRowFirstColumn="0" w:lastRowLastColumn="0"/>
              <w:rPr>
                <w:noProof/>
                <w:lang w:val="en-IE"/>
              </w:rPr>
            </w:pPr>
          </w:p>
        </w:tc>
      </w:tr>
    </w:tbl>
    <w:p w14:paraId="4B8DCDA4" w14:textId="77777777" w:rsidR="00BD6673" w:rsidRPr="00045449" w:rsidRDefault="00BD6673" w:rsidP="00BD6673">
      <w:pPr>
        <w:pStyle w:val="ppoTableTabletitle"/>
        <w:rPr>
          <w:b/>
          <w:noProof/>
          <w:lang w:val="en-IE"/>
        </w:rPr>
      </w:pPr>
      <w:r w:rsidRPr="00045449">
        <w:rPr>
          <w:noProof/>
          <w:lang w:val="en-IE"/>
        </w:rPr>
        <w:t>Voted budget implementation in 2021 (million EUR):</w:t>
      </w:r>
    </w:p>
    <w:tbl>
      <w:tblPr>
        <w:tblStyle w:val="PPO2021"/>
        <w:tblW w:w="3683" w:type="pct"/>
        <w:tblInd w:w="79" w:type="dxa"/>
        <w:tblLook w:val="04A0" w:firstRow="1" w:lastRow="0" w:firstColumn="1" w:lastColumn="0" w:noHBand="0" w:noVBand="1"/>
      </w:tblPr>
      <w:tblGrid>
        <w:gridCol w:w="2419"/>
        <w:gridCol w:w="2419"/>
        <w:gridCol w:w="2420"/>
      </w:tblGrid>
      <w:tr w:rsidR="00BD6673" w:rsidRPr="00045449" w14:paraId="015FE98A" w14:textId="77777777" w:rsidTr="00BB20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1A16DCC1" w14:textId="77777777" w:rsidR="00BD6673" w:rsidRPr="00045449" w:rsidRDefault="00BD6673" w:rsidP="00BB20EB">
            <w:pPr>
              <w:rPr>
                <w:noProof/>
                <w:lang w:val="en-IE"/>
              </w:rPr>
            </w:pPr>
          </w:p>
        </w:tc>
        <w:tc>
          <w:tcPr>
            <w:tcW w:w="2419" w:type="dxa"/>
          </w:tcPr>
          <w:p w14:paraId="7A1F9939" w14:textId="77777777" w:rsidR="00BD6673" w:rsidRPr="00045449" w:rsidRDefault="00BD6673" w:rsidP="00BB20EB">
            <w:pPr>
              <w:cnfStyle w:val="100000000000" w:firstRow="1" w:lastRow="0" w:firstColumn="0" w:lastColumn="0" w:oddVBand="0" w:evenVBand="0" w:oddHBand="0" w:evenHBand="0" w:firstRowFirstColumn="0" w:firstRowLastColumn="0" w:lastRowFirstColumn="0" w:lastRowLastColumn="0"/>
              <w:rPr>
                <w:noProof/>
                <w:lang w:val="en-IE"/>
              </w:rPr>
            </w:pPr>
            <w:r w:rsidRPr="00045449">
              <w:rPr>
                <w:noProof/>
                <w:lang w:val="en-IE"/>
              </w:rPr>
              <w:t>Voted budget implementation</w:t>
            </w:r>
          </w:p>
        </w:tc>
        <w:tc>
          <w:tcPr>
            <w:tcW w:w="2420" w:type="dxa"/>
          </w:tcPr>
          <w:p w14:paraId="294619FE" w14:textId="77777777" w:rsidR="00BD6673" w:rsidRPr="00045449" w:rsidRDefault="00BD6673" w:rsidP="00BB20EB">
            <w:pPr>
              <w:cnfStyle w:val="100000000000" w:firstRow="1" w:lastRow="0" w:firstColumn="0" w:lastColumn="0" w:oddVBand="0" w:evenVBand="0" w:oddHBand="0" w:evenHBand="0" w:firstRowFirstColumn="0" w:firstRowLastColumn="0" w:lastRowFirstColumn="0" w:lastRowLastColumn="0"/>
              <w:rPr>
                <w:noProof/>
                <w:lang w:val="en-IE"/>
              </w:rPr>
            </w:pPr>
            <w:r w:rsidRPr="00045449">
              <w:rPr>
                <w:noProof/>
                <w:lang w:val="en-IE"/>
              </w:rPr>
              <w:t>Initial voted budget</w:t>
            </w:r>
          </w:p>
        </w:tc>
      </w:tr>
      <w:tr w:rsidR="00BD6673" w:rsidRPr="00045449" w14:paraId="163DC252" w14:textId="77777777" w:rsidTr="00BB2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578EF274" w14:textId="77777777" w:rsidR="00BD6673" w:rsidRPr="00045449" w:rsidRDefault="00BD6673" w:rsidP="00BB20EB">
            <w:pPr>
              <w:jc w:val="center"/>
              <w:rPr>
                <w:noProof/>
                <w:lang w:val="en-IE"/>
              </w:rPr>
            </w:pPr>
            <w:r w:rsidRPr="00045449">
              <w:rPr>
                <w:noProof/>
                <w:lang w:val="en-IE"/>
              </w:rPr>
              <w:t>Commitments</w:t>
            </w:r>
          </w:p>
        </w:tc>
        <w:tc>
          <w:tcPr>
            <w:tcW w:w="2419" w:type="dxa"/>
          </w:tcPr>
          <w:p w14:paraId="21F82323" w14:textId="77777777" w:rsidR="00BD6673" w:rsidRPr="00045449" w:rsidRDefault="00BD6673" w:rsidP="00BB20EB">
            <w:pPr>
              <w:jc w:val="center"/>
              <w:cnfStyle w:val="000000100000" w:firstRow="0" w:lastRow="0" w:firstColumn="0" w:lastColumn="0" w:oddVBand="0" w:evenVBand="0" w:oddHBand="1" w:evenHBand="0" w:firstRowFirstColumn="0" w:firstRowLastColumn="0" w:lastRowFirstColumn="0" w:lastRowLastColumn="0"/>
              <w:rPr>
                <w:noProof/>
                <w:lang w:val="en-IE"/>
              </w:rPr>
            </w:pPr>
            <w:r w:rsidRPr="00045449">
              <w:rPr>
                <w:noProof/>
                <w:lang w:val="en-IE"/>
              </w:rPr>
              <w:t>656.7</w:t>
            </w:r>
          </w:p>
        </w:tc>
        <w:tc>
          <w:tcPr>
            <w:tcW w:w="2420" w:type="dxa"/>
          </w:tcPr>
          <w:p w14:paraId="4768B03C" w14:textId="77777777" w:rsidR="00BD6673" w:rsidRPr="00045449" w:rsidRDefault="00BD6673" w:rsidP="00BB20EB">
            <w:pPr>
              <w:jc w:val="center"/>
              <w:cnfStyle w:val="000000100000" w:firstRow="0" w:lastRow="0" w:firstColumn="0" w:lastColumn="0" w:oddVBand="0" w:evenVBand="0" w:oddHBand="1" w:evenHBand="0" w:firstRowFirstColumn="0" w:firstRowLastColumn="0" w:lastRowFirstColumn="0" w:lastRowLastColumn="0"/>
              <w:rPr>
                <w:noProof/>
                <w:lang w:val="en-IE"/>
              </w:rPr>
            </w:pPr>
            <w:r w:rsidRPr="00045449">
              <w:rPr>
                <w:noProof/>
                <w:lang w:val="en-IE"/>
              </w:rPr>
              <w:t>653.6</w:t>
            </w:r>
          </w:p>
        </w:tc>
      </w:tr>
      <w:tr w:rsidR="00BD6673" w:rsidRPr="00045449" w14:paraId="5B5B24A6" w14:textId="77777777" w:rsidTr="00BB20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5A547311" w14:textId="77777777" w:rsidR="00BD6673" w:rsidRPr="00045449" w:rsidRDefault="00BD6673" w:rsidP="00BB20EB">
            <w:pPr>
              <w:jc w:val="center"/>
              <w:rPr>
                <w:noProof/>
                <w:lang w:val="en-IE"/>
              </w:rPr>
            </w:pPr>
            <w:r w:rsidRPr="00045449">
              <w:rPr>
                <w:noProof/>
                <w:lang w:val="en-IE"/>
              </w:rPr>
              <w:t>Payments</w:t>
            </w:r>
          </w:p>
        </w:tc>
        <w:tc>
          <w:tcPr>
            <w:tcW w:w="2419" w:type="dxa"/>
          </w:tcPr>
          <w:p w14:paraId="74CF449D" w14:textId="77777777" w:rsidR="00BD6673" w:rsidRPr="00045449" w:rsidRDefault="00BD6673" w:rsidP="00BB20EB">
            <w:pPr>
              <w:jc w:val="center"/>
              <w:cnfStyle w:val="000000010000" w:firstRow="0" w:lastRow="0" w:firstColumn="0" w:lastColumn="0" w:oddVBand="0" w:evenVBand="0" w:oddHBand="0" w:evenHBand="1" w:firstRowFirstColumn="0" w:firstRowLastColumn="0" w:lastRowFirstColumn="0" w:lastRowLastColumn="0"/>
              <w:rPr>
                <w:noProof/>
                <w:lang w:val="en-IE"/>
              </w:rPr>
            </w:pPr>
            <w:r w:rsidRPr="00045449">
              <w:rPr>
                <w:noProof/>
                <w:lang w:val="en-IE"/>
              </w:rPr>
              <w:t>114.1</w:t>
            </w:r>
          </w:p>
        </w:tc>
        <w:tc>
          <w:tcPr>
            <w:tcW w:w="2420" w:type="dxa"/>
          </w:tcPr>
          <w:p w14:paraId="4E883B63" w14:textId="77777777" w:rsidR="00BD6673" w:rsidRPr="00045449" w:rsidRDefault="00BD6673" w:rsidP="00BB20EB">
            <w:pPr>
              <w:jc w:val="center"/>
              <w:cnfStyle w:val="000000010000" w:firstRow="0" w:lastRow="0" w:firstColumn="0" w:lastColumn="0" w:oddVBand="0" w:evenVBand="0" w:oddHBand="0" w:evenHBand="1" w:firstRowFirstColumn="0" w:firstRowLastColumn="0" w:lastRowFirstColumn="0" w:lastRowLastColumn="0"/>
              <w:rPr>
                <w:noProof/>
                <w:lang w:val="en-IE"/>
              </w:rPr>
            </w:pPr>
            <w:r w:rsidRPr="00045449">
              <w:rPr>
                <w:noProof/>
                <w:lang w:val="en-IE"/>
              </w:rPr>
              <w:t>107.0</w:t>
            </w:r>
          </w:p>
        </w:tc>
      </w:tr>
    </w:tbl>
    <w:p w14:paraId="5299CC6B" w14:textId="77777777" w:rsidR="00BD6673" w:rsidRPr="00045449" w:rsidRDefault="00BD6673" w:rsidP="00BD6673">
      <w:pPr>
        <w:pStyle w:val="ppoListHyphened-L1"/>
        <w:spacing w:before="360"/>
        <w:rPr>
          <w:noProof/>
          <w:lang w:val="en-IE"/>
        </w:rPr>
      </w:pPr>
      <w:r w:rsidRPr="00045449">
        <w:rPr>
          <w:noProof/>
          <w:lang w:val="en-IE"/>
        </w:rPr>
        <w:t>The regulation establishing the InvestEU programme was adopted on 24</w:t>
      </w:r>
      <w:r w:rsidRPr="00045449">
        <w:rPr>
          <w:rFonts w:ascii="Calibri" w:hAnsi="Calibri" w:cs="Calibri"/>
          <w:noProof/>
          <w:lang w:val="en-IE"/>
        </w:rPr>
        <w:t> </w:t>
      </w:r>
      <w:r w:rsidRPr="00045449">
        <w:rPr>
          <w:noProof/>
          <w:lang w:val="en-IE"/>
        </w:rPr>
        <w:t>March 2021.</w:t>
      </w:r>
    </w:p>
    <w:p w14:paraId="71441616" w14:textId="77777777" w:rsidR="00BD6673" w:rsidRPr="00045449" w:rsidRDefault="00BD6673" w:rsidP="00BD6673">
      <w:pPr>
        <w:pStyle w:val="ppoListHyphened-L1"/>
        <w:rPr>
          <w:noProof/>
          <w:lang w:val="en-IE"/>
        </w:rPr>
      </w:pPr>
      <w:r w:rsidRPr="00045449">
        <w:rPr>
          <w:noProof/>
          <w:lang w:val="en-IE"/>
        </w:rPr>
        <w:t>Under InvestEU, the EU provides funding support through an EU budget guarantee of EUR</w:t>
      </w:r>
      <w:r w:rsidRPr="00045449">
        <w:rPr>
          <w:rFonts w:ascii="Calibri" w:hAnsi="Calibri" w:cs="Calibri"/>
          <w:noProof/>
          <w:lang w:val="en-IE"/>
        </w:rPr>
        <w:t> </w:t>
      </w:r>
      <w:r w:rsidRPr="00045449">
        <w:rPr>
          <w:noProof/>
          <w:lang w:val="en-IE"/>
        </w:rPr>
        <w:t>26.2</w:t>
      </w:r>
      <w:r w:rsidRPr="00045449">
        <w:rPr>
          <w:rFonts w:ascii="Calibri" w:hAnsi="Calibri" w:cs="Calibri"/>
          <w:noProof/>
          <w:lang w:val="en-IE"/>
        </w:rPr>
        <w:t> </w:t>
      </w:r>
      <w:r w:rsidRPr="00045449">
        <w:rPr>
          <w:noProof/>
          <w:lang w:val="en-IE"/>
        </w:rPr>
        <w:t xml:space="preserve">billion covering potential losses to the implementation partners. </w:t>
      </w:r>
    </w:p>
    <w:p w14:paraId="5C103570" w14:textId="77777777" w:rsidR="00BD6673" w:rsidRPr="00045449" w:rsidRDefault="00BD6673" w:rsidP="00BD6673">
      <w:pPr>
        <w:pStyle w:val="ppoListHyphened-L1"/>
        <w:rPr>
          <w:noProof/>
          <w:lang w:val="en-IE"/>
        </w:rPr>
      </w:pPr>
      <w:r w:rsidRPr="00045449">
        <w:rPr>
          <w:noProof/>
          <w:lang w:val="en-IE"/>
        </w:rPr>
        <w:t>The budget guarantee is underpinned by an EU budget of EUR</w:t>
      </w:r>
      <w:r w:rsidRPr="00045449">
        <w:rPr>
          <w:rFonts w:ascii="Calibri" w:hAnsi="Calibri" w:cs="Calibri"/>
          <w:noProof/>
          <w:lang w:val="en-IE"/>
        </w:rPr>
        <w:t> </w:t>
      </w:r>
      <w:r w:rsidRPr="00045449">
        <w:rPr>
          <w:noProof/>
          <w:lang w:val="en-IE"/>
        </w:rPr>
        <w:t>10.46</w:t>
      </w:r>
      <w:r w:rsidRPr="00045449">
        <w:rPr>
          <w:rFonts w:ascii="Calibri" w:hAnsi="Calibri" w:cs="Calibri"/>
          <w:noProof/>
          <w:lang w:val="en-IE"/>
        </w:rPr>
        <w:t> </w:t>
      </w:r>
      <w:r w:rsidRPr="00045449">
        <w:rPr>
          <w:noProof/>
          <w:lang w:val="en-IE"/>
        </w:rPr>
        <w:t>billion, applying a guarantee provisioning rate of 40%.</w:t>
      </w:r>
    </w:p>
    <w:p w14:paraId="74DEF5CE" w14:textId="77777777" w:rsidR="00BD6673" w:rsidRPr="00045449" w:rsidRDefault="00BD6673" w:rsidP="00BD6673">
      <w:pPr>
        <w:pStyle w:val="ppoListHyphened-L1"/>
        <w:rPr>
          <w:noProof/>
          <w:lang w:val="en-IE"/>
        </w:rPr>
      </w:pPr>
      <w:r w:rsidRPr="00045449">
        <w:rPr>
          <w:noProof/>
          <w:lang w:val="en-IE"/>
        </w:rPr>
        <w:t>The guarantee agreement with the European Investment Bank Group (representing a 75% share of the EU budget guarantee) was signed in March 2022. The agreements with the other implementing partners are expected to be signed by the end of 2022.</w:t>
      </w:r>
    </w:p>
    <w:p w14:paraId="2888E429" w14:textId="77777777" w:rsidR="00BD6673" w:rsidRPr="00045449" w:rsidRDefault="00BD6673" w:rsidP="00BD6673">
      <w:pPr>
        <w:pStyle w:val="ppoListHyphened-L1"/>
        <w:rPr>
          <w:noProof/>
          <w:lang w:val="en-IE"/>
        </w:rPr>
      </w:pPr>
      <w:r w:rsidRPr="00045449">
        <w:rPr>
          <w:noProof/>
          <w:bdr w:val="none" w:sz="0" w:space="0" w:color="auto" w:frame="1"/>
          <w:lang w:val="en-IE"/>
        </w:rPr>
        <w:t>Negotiations with various Member States concerning contributions to the Member State compartment of InvestEU are ongoing.</w:t>
      </w:r>
    </w:p>
    <w:p w14:paraId="26A5CA58" w14:textId="77777777" w:rsidR="00BD6673" w:rsidRPr="00045449" w:rsidRDefault="00BD6673" w:rsidP="00BD6673">
      <w:pPr>
        <w:pStyle w:val="ppoListHyphened-L1"/>
        <w:rPr>
          <w:noProof/>
          <w:lang w:val="en-IE"/>
        </w:rPr>
      </w:pPr>
      <w:r w:rsidRPr="00045449">
        <w:rPr>
          <w:noProof/>
          <w:lang w:val="en-IE"/>
        </w:rPr>
        <w:t>In 2021 the commitments included the provisioning of the Common Provisioning Fund (EUR</w:t>
      </w:r>
      <w:r w:rsidRPr="00045449">
        <w:rPr>
          <w:rFonts w:ascii="Calibri" w:hAnsi="Calibri" w:cs="Calibri"/>
          <w:noProof/>
          <w:lang w:val="en-IE"/>
        </w:rPr>
        <w:t> </w:t>
      </w:r>
      <w:r w:rsidRPr="00045449">
        <w:rPr>
          <w:noProof/>
          <w:lang w:val="en-IE"/>
        </w:rPr>
        <w:t>2.4</w:t>
      </w:r>
      <w:r w:rsidRPr="00045449">
        <w:rPr>
          <w:rFonts w:ascii="Calibri" w:hAnsi="Calibri" w:cs="Calibri"/>
          <w:noProof/>
          <w:lang w:val="en-IE"/>
        </w:rPr>
        <w:t> </w:t>
      </w:r>
      <w:r w:rsidRPr="00045449">
        <w:rPr>
          <w:noProof/>
          <w:lang w:val="en-IE"/>
        </w:rPr>
        <w:t>billion), from which future calls on the EU guarantee are to be paid. This amount includes EUR</w:t>
      </w:r>
      <w:r w:rsidRPr="00045449">
        <w:rPr>
          <w:rFonts w:ascii="Calibri" w:hAnsi="Calibri" w:cs="Calibri"/>
          <w:noProof/>
          <w:lang w:val="en-IE"/>
        </w:rPr>
        <w:t> </w:t>
      </w:r>
      <w:r w:rsidRPr="00045449">
        <w:rPr>
          <w:noProof/>
          <w:lang w:val="en-IE"/>
        </w:rPr>
        <w:t>637.6</w:t>
      </w:r>
      <w:r w:rsidRPr="00045449">
        <w:rPr>
          <w:rFonts w:ascii="Calibri" w:hAnsi="Calibri" w:cs="Calibri"/>
          <w:noProof/>
          <w:lang w:val="en-IE"/>
        </w:rPr>
        <w:t> </w:t>
      </w:r>
      <w:r w:rsidRPr="00045449">
        <w:rPr>
          <w:noProof/>
          <w:lang w:val="en-IE"/>
        </w:rPr>
        <w:t>million from the general budget, EUR</w:t>
      </w:r>
      <w:r w:rsidRPr="00045449">
        <w:rPr>
          <w:rFonts w:ascii="Calibri" w:hAnsi="Calibri" w:cs="Calibri"/>
          <w:noProof/>
          <w:lang w:val="en-IE"/>
        </w:rPr>
        <w:t> </w:t>
      </w:r>
      <w:r w:rsidRPr="00045449">
        <w:rPr>
          <w:noProof/>
          <w:lang w:val="en-IE"/>
        </w:rPr>
        <w:t>1.7</w:t>
      </w:r>
      <w:r w:rsidRPr="00045449">
        <w:rPr>
          <w:rFonts w:ascii="Calibri" w:hAnsi="Calibri" w:cs="Calibri"/>
          <w:noProof/>
          <w:lang w:val="en-IE"/>
        </w:rPr>
        <w:t> </w:t>
      </w:r>
      <w:r w:rsidRPr="00045449">
        <w:rPr>
          <w:noProof/>
          <w:lang w:val="en-IE"/>
        </w:rPr>
        <w:t>billion from N</w:t>
      </w:r>
      <w:r w:rsidRPr="006941BA">
        <w:rPr>
          <w:noProof/>
          <w:lang w:val="en-IE"/>
        </w:rPr>
        <w:t>ext</w:t>
      </w:r>
      <w:r w:rsidRPr="00045449">
        <w:rPr>
          <w:noProof/>
          <w:lang w:val="en-IE"/>
        </w:rPr>
        <w:t xml:space="preserve"> G</w:t>
      </w:r>
      <w:r w:rsidRPr="006941BA">
        <w:rPr>
          <w:noProof/>
          <w:lang w:val="en-IE"/>
        </w:rPr>
        <w:t>eneration</w:t>
      </w:r>
      <w:r w:rsidRPr="00045449">
        <w:rPr>
          <w:noProof/>
          <w:lang w:val="en-IE"/>
        </w:rPr>
        <w:t xml:space="preserve"> EU and EUR</w:t>
      </w:r>
      <w:r w:rsidRPr="00045449">
        <w:rPr>
          <w:rFonts w:ascii="Calibri" w:hAnsi="Calibri" w:cs="Calibri"/>
          <w:noProof/>
          <w:lang w:val="en-IE"/>
        </w:rPr>
        <w:t> </w:t>
      </w:r>
      <w:r w:rsidRPr="00045449">
        <w:rPr>
          <w:noProof/>
          <w:lang w:val="en-IE"/>
        </w:rPr>
        <w:t>36.3</w:t>
      </w:r>
      <w:r w:rsidRPr="00045449">
        <w:rPr>
          <w:rFonts w:ascii="Calibri" w:hAnsi="Calibri" w:cs="Calibri"/>
          <w:noProof/>
          <w:lang w:val="en-IE"/>
        </w:rPr>
        <w:t> </w:t>
      </w:r>
      <w:r w:rsidRPr="00045449">
        <w:rPr>
          <w:noProof/>
          <w:lang w:val="en-IE"/>
        </w:rPr>
        <w:t>million from predecessor financial instruments.</w:t>
      </w:r>
    </w:p>
    <w:p w14:paraId="41505674" w14:textId="77777777" w:rsidR="00BD6673" w:rsidRPr="00045449" w:rsidRDefault="00BD6673" w:rsidP="00BD6673">
      <w:pPr>
        <w:pStyle w:val="ppoListHyphened-L1"/>
        <w:rPr>
          <w:noProof/>
          <w:lang w:val="en-IE"/>
        </w:rPr>
      </w:pPr>
      <w:r w:rsidRPr="00045449">
        <w:rPr>
          <w:noProof/>
          <w:lang w:val="en-IE"/>
        </w:rPr>
        <w:t>In addition, in 2021 the following commitments were made: capital increase subscription of the European Investment Fund (EUR</w:t>
      </w:r>
      <w:r w:rsidRPr="00045449">
        <w:rPr>
          <w:rFonts w:ascii="Calibri" w:hAnsi="Calibri" w:cs="Calibri"/>
          <w:noProof/>
          <w:lang w:val="en-IE"/>
        </w:rPr>
        <w:t> </w:t>
      </w:r>
      <w:r w:rsidRPr="00045449">
        <w:rPr>
          <w:noProof/>
          <w:lang w:val="en-IE"/>
        </w:rPr>
        <w:t>372</w:t>
      </w:r>
      <w:r w:rsidRPr="00045449">
        <w:rPr>
          <w:rFonts w:ascii="Calibri" w:hAnsi="Calibri" w:cs="Calibri"/>
          <w:noProof/>
          <w:lang w:val="en-IE"/>
        </w:rPr>
        <w:t> </w:t>
      </w:r>
      <w:r w:rsidRPr="00045449">
        <w:rPr>
          <w:noProof/>
          <w:lang w:val="en-IE"/>
        </w:rPr>
        <w:t>million); costs related to the InvestEU portal, advisory hub and accompanying measures (EUR</w:t>
      </w:r>
      <w:r w:rsidRPr="00045449">
        <w:rPr>
          <w:rFonts w:ascii="Calibri" w:hAnsi="Calibri" w:cs="Calibri"/>
          <w:noProof/>
          <w:lang w:val="en-IE"/>
        </w:rPr>
        <w:t> </w:t>
      </w:r>
      <w:r w:rsidRPr="00045449">
        <w:rPr>
          <w:noProof/>
          <w:lang w:val="en-IE"/>
        </w:rPr>
        <w:t>18.1</w:t>
      </w:r>
      <w:r w:rsidRPr="00045449">
        <w:rPr>
          <w:rFonts w:ascii="Calibri" w:hAnsi="Calibri" w:cs="Calibri"/>
          <w:noProof/>
          <w:lang w:val="en-IE"/>
        </w:rPr>
        <w:t> </w:t>
      </w:r>
      <w:r w:rsidRPr="00045449">
        <w:rPr>
          <w:noProof/>
          <w:lang w:val="en-IE"/>
        </w:rPr>
        <w:t>million); and support expenditure (EUR</w:t>
      </w:r>
      <w:r w:rsidRPr="00045449">
        <w:rPr>
          <w:rFonts w:ascii="Calibri" w:hAnsi="Calibri" w:cs="Calibri"/>
          <w:noProof/>
          <w:lang w:val="en-IE"/>
        </w:rPr>
        <w:t> </w:t>
      </w:r>
      <w:r w:rsidRPr="00045449">
        <w:rPr>
          <w:noProof/>
          <w:lang w:val="en-IE"/>
        </w:rPr>
        <w:t>1.1</w:t>
      </w:r>
      <w:r w:rsidRPr="00045449">
        <w:rPr>
          <w:rFonts w:ascii="Calibri" w:hAnsi="Calibri" w:cs="Calibri"/>
          <w:noProof/>
          <w:lang w:val="en-IE"/>
        </w:rPr>
        <w:t> </w:t>
      </w:r>
      <w:r w:rsidRPr="00045449">
        <w:rPr>
          <w:noProof/>
          <w:lang w:val="en-IE"/>
        </w:rPr>
        <w:t>million).</w:t>
      </w:r>
    </w:p>
    <w:p w14:paraId="42117ABB" w14:textId="77777777" w:rsidR="00BD6673" w:rsidRPr="00045449" w:rsidRDefault="00BD6673" w:rsidP="00BD6673">
      <w:pPr>
        <w:pStyle w:val="ppoHeading5"/>
        <w:rPr>
          <w:noProof/>
          <w:lang w:val="en-IE"/>
        </w:rPr>
      </w:pPr>
      <w:r w:rsidRPr="00045449">
        <w:rPr>
          <w:noProof/>
          <w:lang w:val="en-IE"/>
        </w:rPr>
        <w:t>Contribution to horizontal priorities</w:t>
      </w:r>
    </w:p>
    <w:p w14:paraId="339E2290" w14:textId="77777777" w:rsidR="00BD6673" w:rsidRPr="00045449" w:rsidRDefault="00BD6673" w:rsidP="00BD6673">
      <w:pPr>
        <w:pStyle w:val="ppoTableTabletitle"/>
        <w:rPr>
          <w:noProof/>
          <w:lang w:val="en-IE"/>
        </w:rPr>
      </w:pPr>
      <w:r w:rsidRPr="00045449">
        <w:rPr>
          <w:noProof/>
          <w:lang w:val="en-IE"/>
        </w:rPr>
        <w:t>EU budget contribution in 2021 (million EUR):</w:t>
      </w:r>
    </w:p>
    <w:tbl>
      <w:tblPr>
        <w:tblStyle w:val="PPO2021"/>
        <w:tblW w:w="9639" w:type="dxa"/>
        <w:tblInd w:w="0" w:type="dxa"/>
        <w:tblLook w:val="0420" w:firstRow="1" w:lastRow="0" w:firstColumn="0" w:lastColumn="0" w:noHBand="0" w:noVBand="1"/>
      </w:tblPr>
      <w:tblGrid>
        <w:gridCol w:w="3213"/>
        <w:gridCol w:w="3213"/>
        <w:gridCol w:w="3213"/>
      </w:tblGrid>
      <w:tr w:rsidR="00BD6673" w:rsidRPr="00045449" w14:paraId="54B6D370" w14:textId="77777777" w:rsidTr="00BB20EB">
        <w:trPr>
          <w:cnfStyle w:val="100000000000" w:firstRow="1" w:lastRow="0" w:firstColumn="0" w:lastColumn="0" w:oddVBand="0" w:evenVBand="0" w:oddHBand="0" w:evenHBand="0" w:firstRowFirstColumn="0" w:firstRowLastColumn="0" w:lastRowFirstColumn="0" w:lastRowLastColumn="0"/>
          <w:tblHeader/>
        </w:trPr>
        <w:tc>
          <w:tcPr>
            <w:tcW w:w="3213" w:type="dxa"/>
          </w:tcPr>
          <w:p w14:paraId="54A0C4DB" w14:textId="77777777" w:rsidR="00BD6673" w:rsidRPr="00045449" w:rsidRDefault="00BD6673" w:rsidP="00BB20EB">
            <w:pPr>
              <w:rPr>
                <w:noProof/>
                <w:lang w:val="en-IE"/>
              </w:rPr>
            </w:pPr>
            <w:r w:rsidRPr="00045449">
              <w:rPr>
                <w:noProof/>
                <w:lang w:val="en-IE"/>
              </w:rPr>
              <w:t>Climate</w:t>
            </w:r>
          </w:p>
        </w:tc>
        <w:tc>
          <w:tcPr>
            <w:tcW w:w="3213" w:type="dxa"/>
          </w:tcPr>
          <w:p w14:paraId="36ACD788" w14:textId="77777777" w:rsidR="00BD6673" w:rsidRPr="00045449" w:rsidRDefault="00BD6673" w:rsidP="00BB20EB">
            <w:pPr>
              <w:rPr>
                <w:noProof/>
                <w:lang w:val="en-IE"/>
              </w:rPr>
            </w:pPr>
            <w:r w:rsidRPr="00045449">
              <w:rPr>
                <w:noProof/>
                <w:lang w:val="en-IE"/>
              </w:rPr>
              <w:t>Biodiversity</w:t>
            </w:r>
          </w:p>
        </w:tc>
        <w:tc>
          <w:tcPr>
            <w:tcW w:w="3213" w:type="dxa"/>
          </w:tcPr>
          <w:p w14:paraId="1FD54B4F" w14:textId="77777777" w:rsidR="00BD6673" w:rsidRPr="00045449" w:rsidRDefault="00BD6673" w:rsidP="00BB20EB">
            <w:pPr>
              <w:rPr>
                <w:noProof/>
                <w:lang w:val="en-IE"/>
              </w:rPr>
            </w:pPr>
            <w:r w:rsidRPr="00045449">
              <w:rPr>
                <w:noProof/>
                <w:lang w:val="en-IE"/>
              </w:rPr>
              <w:t>Gender equality</w:t>
            </w:r>
            <w:r w:rsidRPr="00045449">
              <w:rPr>
                <w:rFonts w:ascii="Calibri" w:hAnsi="Calibri" w:cs="Calibri"/>
                <w:noProof/>
                <w:lang w:val="en-IE"/>
              </w:rPr>
              <w:t> </w:t>
            </w:r>
            <w:r w:rsidRPr="00045449">
              <w:rPr>
                <w:noProof/>
                <w:lang w:val="en-IE"/>
              </w:rPr>
              <w:t>(*)</w:t>
            </w:r>
          </w:p>
        </w:tc>
      </w:tr>
      <w:tr w:rsidR="00BD6673" w:rsidRPr="00045449" w14:paraId="339D12CD" w14:textId="77777777" w:rsidTr="00BB20EB">
        <w:trPr>
          <w:cnfStyle w:val="000000100000" w:firstRow="0" w:lastRow="0" w:firstColumn="0" w:lastColumn="0" w:oddVBand="0" w:evenVBand="0" w:oddHBand="1" w:evenHBand="0" w:firstRowFirstColumn="0" w:firstRowLastColumn="0" w:lastRowFirstColumn="0" w:lastRowLastColumn="0"/>
        </w:trPr>
        <w:tc>
          <w:tcPr>
            <w:tcW w:w="3213" w:type="dxa"/>
          </w:tcPr>
          <w:tbl>
            <w:tblPr>
              <w:tblStyle w:val="TableGrid"/>
              <w:tblW w:w="0" w:type="auto"/>
              <w:tblLook w:val="06A0" w:firstRow="1" w:lastRow="0" w:firstColumn="1" w:lastColumn="0" w:noHBand="1" w:noVBand="1"/>
            </w:tblPr>
            <w:tblGrid>
              <w:gridCol w:w="1935"/>
            </w:tblGrid>
            <w:tr w:rsidR="00BD6673" w:rsidRPr="00644D03" w14:paraId="4920653A" w14:textId="77777777" w:rsidTr="00BB20EB">
              <w:trPr>
                <w:trHeight w:val="285"/>
              </w:trPr>
              <w:tc>
                <w:tcPr>
                  <w:tcW w:w="1935" w:type="dxa"/>
                  <w:tcBorders>
                    <w:top w:val="nil"/>
                    <w:left w:val="nil"/>
                    <w:bottom w:val="nil"/>
                    <w:right w:val="nil"/>
                  </w:tcBorders>
                  <w:vAlign w:val="bottom"/>
                </w:tcPr>
                <w:p w14:paraId="04DA634E" w14:textId="2E2B68C1" w:rsidR="00BD6673" w:rsidRPr="00045449" w:rsidRDefault="00BD6673" w:rsidP="00304A2B">
                  <w:pPr>
                    <w:spacing w:before="100"/>
                    <w:jc w:val="center"/>
                    <w:rPr>
                      <w:noProof/>
                      <w:lang w:val="en-IE"/>
                    </w:rPr>
                  </w:pPr>
                  <w:r w:rsidRPr="00304A2B">
                    <w:rPr>
                      <w:rFonts w:cstheme="minorBidi"/>
                      <w:noProof/>
                      <w:lang w:val="en-IE"/>
                    </w:rPr>
                    <w:t>7</w:t>
                  </w:r>
                  <w:r w:rsidR="00966580">
                    <w:rPr>
                      <w:rFonts w:cstheme="minorBidi"/>
                      <w:noProof/>
                      <w:lang w:val="en-IE"/>
                    </w:rPr>
                    <w:t>22</w:t>
                  </w:r>
                  <w:r w:rsidR="00644D03" w:rsidRPr="00304A2B">
                    <w:rPr>
                      <w:rFonts w:cstheme="minorBidi"/>
                      <w:noProof/>
                      <w:lang w:val="en-IE"/>
                    </w:rPr>
                    <w:t>.</w:t>
                  </w:r>
                  <w:r w:rsidR="007716C9">
                    <w:rPr>
                      <w:rFonts w:cstheme="minorBidi"/>
                      <w:noProof/>
                      <w:lang w:val="en-IE"/>
                    </w:rPr>
                    <w:t>1</w:t>
                  </w:r>
                </w:p>
              </w:tc>
            </w:tr>
          </w:tbl>
          <w:p w14:paraId="7AD83D41" w14:textId="77777777" w:rsidR="00BD6673" w:rsidRPr="00045449" w:rsidRDefault="00BD6673">
            <w:pPr>
              <w:jc w:val="center"/>
              <w:rPr>
                <w:noProof/>
                <w:lang w:val="en-IE"/>
              </w:rPr>
            </w:pPr>
          </w:p>
        </w:tc>
        <w:tc>
          <w:tcPr>
            <w:tcW w:w="3213" w:type="dxa"/>
          </w:tcPr>
          <w:p w14:paraId="54B2E8FD" w14:textId="77777777" w:rsidR="00BD6673" w:rsidRPr="00045449" w:rsidRDefault="00BD6673">
            <w:pPr>
              <w:jc w:val="center"/>
              <w:rPr>
                <w:noProof/>
                <w:lang w:val="en-IE"/>
              </w:rPr>
            </w:pPr>
            <w:r w:rsidRPr="00045449">
              <w:rPr>
                <w:noProof/>
                <w:lang w:val="en-IE"/>
              </w:rPr>
              <w:t>0</w:t>
            </w:r>
          </w:p>
        </w:tc>
        <w:tc>
          <w:tcPr>
            <w:tcW w:w="3213" w:type="dxa"/>
          </w:tcPr>
          <w:p w14:paraId="5C4DCC31" w14:textId="4EA2AAF1" w:rsidR="00294D3C" w:rsidRDefault="00294D3C">
            <w:pPr>
              <w:jc w:val="center"/>
              <w:rPr>
                <w:noProof/>
                <w:lang w:val="en-IE"/>
              </w:rPr>
            </w:pPr>
            <w:r>
              <w:rPr>
                <w:noProof/>
                <w:lang w:val="en-IE"/>
              </w:rPr>
              <w:t>Score 0*: 655.7</w:t>
            </w:r>
          </w:p>
          <w:p w14:paraId="6EA10DD8" w14:textId="7A39578E" w:rsidR="00BD6673" w:rsidRPr="00045449" w:rsidRDefault="00BD6673" w:rsidP="00202796">
            <w:pPr>
              <w:jc w:val="center"/>
              <w:rPr>
                <w:noProof/>
                <w:lang w:val="en-IE"/>
              </w:rPr>
            </w:pPr>
            <w:r w:rsidRPr="00045449">
              <w:rPr>
                <w:noProof/>
                <w:lang w:val="en-IE"/>
              </w:rPr>
              <w:t xml:space="preserve">Score 0: </w:t>
            </w:r>
            <w:r w:rsidR="00294D3C">
              <w:rPr>
                <w:noProof/>
                <w:lang w:val="en-IE"/>
              </w:rPr>
              <w:t>1.0</w:t>
            </w:r>
          </w:p>
        </w:tc>
      </w:tr>
    </w:tbl>
    <w:p w14:paraId="2BE71BB7" w14:textId="77777777" w:rsidR="00BD6673" w:rsidRPr="00045449" w:rsidRDefault="00BD6673" w:rsidP="00BD6673">
      <w:pPr>
        <w:pStyle w:val="FootnoteText"/>
        <w:rPr>
          <w:noProof/>
          <w:lang w:val="en-IE"/>
        </w:rPr>
      </w:pPr>
      <w:r w:rsidRPr="00045449">
        <w:rPr>
          <w:noProof/>
          <w:lang w:val="en-IE"/>
        </w:rPr>
        <w:t xml:space="preserve">(*) Based on the applied gender contribution methodology, the following scores are attributed at the most granular level of intervention possible: </w:t>
      </w:r>
    </w:p>
    <w:p w14:paraId="5C1EFBC4" w14:textId="77777777" w:rsidR="00BD6673" w:rsidRPr="00045449" w:rsidRDefault="00BD6673" w:rsidP="00476903">
      <w:pPr>
        <w:pStyle w:val="FootnoteText"/>
        <w:numPr>
          <w:ilvl w:val="0"/>
          <w:numId w:val="38"/>
        </w:numPr>
        <w:spacing w:after="60" w:line="264" w:lineRule="auto"/>
        <w:jc w:val="left"/>
        <w:rPr>
          <w:noProof/>
          <w:lang w:val="en-IE"/>
        </w:rPr>
      </w:pPr>
      <w:r w:rsidRPr="00045449">
        <w:rPr>
          <w:noProof/>
          <w:lang w:val="en-IE"/>
        </w:rPr>
        <w:t>2: interventions the principal objective of which is to improve gender equality;</w:t>
      </w:r>
    </w:p>
    <w:p w14:paraId="2BAD8890" w14:textId="77777777" w:rsidR="00BD6673" w:rsidRPr="00045449" w:rsidRDefault="00BD6673" w:rsidP="00476903">
      <w:pPr>
        <w:pStyle w:val="FootnoteText"/>
        <w:numPr>
          <w:ilvl w:val="0"/>
          <w:numId w:val="38"/>
        </w:numPr>
        <w:spacing w:after="60" w:line="264" w:lineRule="auto"/>
        <w:jc w:val="left"/>
        <w:rPr>
          <w:noProof/>
          <w:lang w:val="en-IE"/>
        </w:rPr>
      </w:pPr>
      <w:r w:rsidRPr="00045449">
        <w:rPr>
          <w:noProof/>
          <w:lang w:val="en-IE"/>
        </w:rPr>
        <w:t>1: interventions that have gender equality as an important and deliberate objective but not as the main reason for the intervention;</w:t>
      </w:r>
    </w:p>
    <w:p w14:paraId="3B5CC78B" w14:textId="77777777" w:rsidR="00BD6673" w:rsidRPr="00045449" w:rsidRDefault="00BD6673" w:rsidP="00476903">
      <w:pPr>
        <w:pStyle w:val="FootnoteText"/>
        <w:numPr>
          <w:ilvl w:val="0"/>
          <w:numId w:val="38"/>
        </w:numPr>
        <w:spacing w:after="60" w:line="264" w:lineRule="auto"/>
        <w:jc w:val="left"/>
        <w:rPr>
          <w:noProof/>
          <w:lang w:val="en-IE"/>
        </w:rPr>
      </w:pPr>
      <w:r w:rsidRPr="00045449">
        <w:rPr>
          <w:noProof/>
          <w:lang w:val="en-IE"/>
        </w:rPr>
        <w:t xml:space="preserve">0: non-targeted interventions; </w:t>
      </w:r>
    </w:p>
    <w:p w14:paraId="715FE10E" w14:textId="77777777" w:rsidR="00BD6673" w:rsidRPr="00045449" w:rsidRDefault="00BD6673" w:rsidP="00476903">
      <w:pPr>
        <w:pStyle w:val="FootnoteText"/>
        <w:numPr>
          <w:ilvl w:val="0"/>
          <w:numId w:val="38"/>
        </w:numPr>
        <w:spacing w:after="60" w:line="264" w:lineRule="auto"/>
        <w:jc w:val="left"/>
        <w:rPr>
          <w:noProof/>
          <w:lang w:val="en-IE"/>
        </w:rPr>
      </w:pPr>
      <w:r w:rsidRPr="00045449">
        <w:rPr>
          <w:noProof/>
          <w:lang w:val="en-IE"/>
        </w:rPr>
        <w:t>0*: score to be assigned to interventions with a likely but not yet clear positive impact on gender equality.</w:t>
      </w:r>
    </w:p>
    <w:p w14:paraId="0649D3D2" w14:textId="77777777" w:rsidR="00BD6673" w:rsidRPr="00045449" w:rsidRDefault="00BD6673" w:rsidP="00BD6673">
      <w:pPr>
        <w:pStyle w:val="ppoHeading5"/>
        <w:rPr>
          <w:noProof/>
          <w:lang w:val="en-IE"/>
        </w:rPr>
      </w:pPr>
      <w:r w:rsidRPr="00045449">
        <w:rPr>
          <w:noProof/>
          <w:lang w:val="en-IE"/>
        </w:rPr>
        <w:t>Performance assessment</w:t>
      </w:r>
    </w:p>
    <w:p w14:paraId="594FCAF9" w14:textId="77777777" w:rsidR="00BD6673" w:rsidRPr="00045449" w:rsidRDefault="00BD6673" w:rsidP="00BD6673">
      <w:pPr>
        <w:pStyle w:val="ppoHeading6"/>
        <w:rPr>
          <w:noProof/>
          <w:lang w:val="en-IE"/>
        </w:rPr>
      </w:pPr>
      <w:r w:rsidRPr="00045449">
        <w:rPr>
          <w:noProof/>
          <w:lang w:val="en-IE"/>
        </w:rPr>
        <w:t>Key performance indicators</w:t>
      </w:r>
    </w:p>
    <w:tbl>
      <w:tblPr>
        <w:tblStyle w:val="PPO2021"/>
        <w:tblW w:w="9639" w:type="dxa"/>
        <w:tblInd w:w="0" w:type="dxa"/>
        <w:tblLook w:val="0420" w:firstRow="1" w:lastRow="0" w:firstColumn="0" w:lastColumn="0" w:noHBand="0" w:noVBand="1"/>
      </w:tblPr>
      <w:tblGrid>
        <w:gridCol w:w="2308"/>
        <w:gridCol w:w="1099"/>
        <w:gridCol w:w="1522"/>
        <w:gridCol w:w="1579"/>
        <w:gridCol w:w="1556"/>
        <w:gridCol w:w="1575"/>
      </w:tblGrid>
      <w:tr w:rsidR="00BD6673" w:rsidRPr="00045449" w14:paraId="1A9B2BC8" w14:textId="77777777" w:rsidTr="00BB20EB">
        <w:trPr>
          <w:cnfStyle w:val="100000000000" w:firstRow="1" w:lastRow="0" w:firstColumn="0" w:lastColumn="0" w:oddVBand="0" w:evenVBand="0" w:oddHBand="0" w:evenHBand="0" w:firstRowFirstColumn="0" w:firstRowLastColumn="0" w:lastRowFirstColumn="0" w:lastRowLastColumn="0"/>
        </w:trPr>
        <w:tc>
          <w:tcPr>
            <w:tcW w:w="2330" w:type="dxa"/>
          </w:tcPr>
          <w:p w14:paraId="652A8853" w14:textId="77777777" w:rsidR="00BD6673" w:rsidRPr="00045449" w:rsidRDefault="00BD6673" w:rsidP="00BB20EB">
            <w:pPr>
              <w:rPr>
                <w:noProof/>
                <w:lang w:val="en-IE"/>
              </w:rPr>
            </w:pPr>
          </w:p>
        </w:tc>
        <w:tc>
          <w:tcPr>
            <w:tcW w:w="1100" w:type="dxa"/>
          </w:tcPr>
          <w:p w14:paraId="2BBCB823" w14:textId="77777777" w:rsidR="00BD6673" w:rsidRPr="00045449" w:rsidRDefault="00BD6673" w:rsidP="00BB20EB">
            <w:pPr>
              <w:rPr>
                <w:noProof/>
                <w:lang w:val="en-IE"/>
              </w:rPr>
            </w:pPr>
            <w:r w:rsidRPr="00045449">
              <w:rPr>
                <w:noProof/>
                <w:lang w:val="en-IE"/>
              </w:rPr>
              <w:t>Baseline</w:t>
            </w:r>
          </w:p>
        </w:tc>
        <w:tc>
          <w:tcPr>
            <w:tcW w:w="1526" w:type="dxa"/>
          </w:tcPr>
          <w:p w14:paraId="01F0E458" w14:textId="77777777" w:rsidR="00BD6673" w:rsidRPr="002A4508" w:rsidRDefault="00BD6673" w:rsidP="00BB20EB">
            <w:pPr>
              <w:rPr>
                <w:rFonts w:ascii="Calibri" w:hAnsi="Calibri" w:cs="Calibri"/>
                <w:noProof/>
                <w:lang w:val="en-IE"/>
              </w:rPr>
            </w:pPr>
            <w:r w:rsidRPr="00045449">
              <w:rPr>
                <w:noProof/>
                <w:lang w:val="en-IE"/>
              </w:rPr>
              <w:t>Progress</w:t>
            </w:r>
            <w:r w:rsidRPr="006941BA">
              <w:rPr>
                <w:rFonts w:ascii="Calibri" w:hAnsi="Calibri" w:cs="Calibri"/>
                <w:noProof/>
                <w:lang w:val="en-IE"/>
              </w:rPr>
              <w:t> </w:t>
            </w:r>
            <w:r w:rsidRPr="002A4508">
              <w:rPr>
                <w:rFonts w:cs="Calibri"/>
                <w:noProof/>
                <w:lang w:val="en-IE"/>
              </w:rPr>
              <w:t>(*)</w:t>
            </w:r>
          </w:p>
        </w:tc>
        <w:tc>
          <w:tcPr>
            <w:tcW w:w="1532" w:type="dxa"/>
          </w:tcPr>
          <w:p w14:paraId="1174BE57" w14:textId="77777777" w:rsidR="00BD6673" w:rsidRPr="00045449" w:rsidRDefault="00BD6673" w:rsidP="00BB20EB">
            <w:pPr>
              <w:rPr>
                <w:noProof/>
                <w:lang w:val="en-IE"/>
              </w:rPr>
            </w:pPr>
            <w:r w:rsidRPr="00045449">
              <w:rPr>
                <w:noProof/>
                <w:lang w:val="en-IE"/>
              </w:rPr>
              <w:t>Target</w:t>
            </w:r>
          </w:p>
        </w:tc>
        <w:tc>
          <w:tcPr>
            <w:tcW w:w="1572" w:type="dxa"/>
          </w:tcPr>
          <w:p w14:paraId="46B6D631" w14:textId="77777777" w:rsidR="00BD6673" w:rsidRPr="00045449" w:rsidRDefault="00BD6673" w:rsidP="00BB20EB">
            <w:pPr>
              <w:rPr>
                <w:noProof/>
                <w:lang w:val="en-IE"/>
              </w:rPr>
            </w:pPr>
            <w:r w:rsidRPr="00045449">
              <w:rPr>
                <w:noProof/>
                <w:lang w:val="en-IE"/>
              </w:rPr>
              <w:t>Results</w:t>
            </w:r>
          </w:p>
        </w:tc>
        <w:tc>
          <w:tcPr>
            <w:tcW w:w="1579" w:type="dxa"/>
          </w:tcPr>
          <w:p w14:paraId="6F43E453" w14:textId="77777777" w:rsidR="00BD6673" w:rsidRPr="00045449" w:rsidRDefault="00BD6673" w:rsidP="00BB20EB">
            <w:pPr>
              <w:rPr>
                <w:noProof/>
                <w:lang w:val="en-IE"/>
              </w:rPr>
            </w:pPr>
            <w:r w:rsidRPr="00045449">
              <w:rPr>
                <w:noProof/>
                <w:lang w:val="en-IE"/>
              </w:rPr>
              <w:t>Assessment</w:t>
            </w:r>
          </w:p>
        </w:tc>
      </w:tr>
      <w:tr w:rsidR="00BD6673" w:rsidRPr="00045449" w14:paraId="02440F40" w14:textId="77777777" w:rsidTr="00BB20EB">
        <w:trPr>
          <w:cnfStyle w:val="000000100000" w:firstRow="0" w:lastRow="0" w:firstColumn="0" w:lastColumn="0" w:oddVBand="0" w:evenVBand="0" w:oddHBand="1" w:evenHBand="0" w:firstRowFirstColumn="0" w:firstRowLastColumn="0" w:lastRowFirstColumn="0" w:lastRowLastColumn="0"/>
        </w:trPr>
        <w:tc>
          <w:tcPr>
            <w:tcW w:w="2330" w:type="dxa"/>
          </w:tcPr>
          <w:p w14:paraId="4DEB5339" w14:textId="77777777" w:rsidR="00BD6673" w:rsidRPr="00045449" w:rsidRDefault="00BD6673" w:rsidP="00BB20EB">
            <w:pPr>
              <w:rPr>
                <w:noProof/>
                <w:lang w:val="en-IE"/>
              </w:rPr>
            </w:pPr>
            <w:r w:rsidRPr="00045449">
              <w:rPr>
                <w:noProof/>
                <w:lang w:val="en-IE"/>
              </w:rPr>
              <w:t>Investment mobilised</w:t>
            </w:r>
          </w:p>
        </w:tc>
        <w:tc>
          <w:tcPr>
            <w:tcW w:w="1100" w:type="dxa"/>
          </w:tcPr>
          <w:p w14:paraId="57E49B0E" w14:textId="77777777" w:rsidR="00BD6673" w:rsidRPr="00045449" w:rsidRDefault="00BD6673" w:rsidP="00BB20EB">
            <w:pPr>
              <w:jc w:val="center"/>
              <w:rPr>
                <w:noProof/>
                <w:lang w:val="en-IE"/>
              </w:rPr>
            </w:pPr>
            <w:r w:rsidRPr="00045449">
              <w:rPr>
                <w:noProof/>
                <w:lang w:val="en-IE"/>
              </w:rPr>
              <w:t>0</w:t>
            </w:r>
          </w:p>
        </w:tc>
        <w:tc>
          <w:tcPr>
            <w:tcW w:w="1526" w:type="dxa"/>
          </w:tcPr>
          <w:p w14:paraId="781D50C2" w14:textId="77777777" w:rsidR="00BD6673" w:rsidRPr="00045449" w:rsidRDefault="00BD6673" w:rsidP="00BB20EB">
            <w:pPr>
              <w:jc w:val="center"/>
              <w:rPr>
                <w:b/>
                <w:noProof/>
                <w:lang w:val="en-IE"/>
              </w:rPr>
            </w:pPr>
            <w:r w:rsidRPr="00045449">
              <w:rPr>
                <w:noProof/>
                <w:lang w:val="en-IE"/>
              </w:rPr>
              <w:t>0%</w:t>
            </w:r>
          </w:p>
        </w:tc>
        <w:tc>
          <w:tcPr>
            <w:tcW w:w="1532" w:type="dxa"/>
          </w:tcPr>
          <w:p w14:paraId="17B0192A" w14:textId="77777777" w:rsidR="00BD6673" w:rsidRPr="00045449" w:rsidRDefault="00BD6673" w:rsidP="00BB20EB">
            <w:pPr>
              <w:jc w:val="center"/>
              <w:rPr>
                <w:noProof/>
                <w:lang w:val="en-IE"/>
              </w:rPr>
            </w:pPr>
            <w:r w:rsidRPr="00045449">
              <w:rPr>
                <w:noProof/>
                <w:lang w:val="en-IE"/>
              </w:rPr>
              <w:t>EUR</w:t>
            </w:r>
            <w:r w:rsidRPr="00045449">
              <w:rPr>
                <w:rFonts w:ascii="Calibri" w:hAnsi="Calibri" w:cs="Calibri"/>
                <w:noProof/>
                <w:lang w:val="en-IE"/>
              </w:rPr>
              <w:t> </w:t>
            </w:r>
            <w:r w:rsidRPr="00045449">
              <w:rPr>
                <w:noProof/>
                <w:lang w:val="en-IE"/>
              </w:rPr>
              <w:t>372</w:t>
            </w:r>
            <w:r w:rsidRPr="00045449">
              <w:rPr>
                <w:rFonts w:ascii="Calibri" w:hAnsi="Calibri" w:cs="Calibri"/>
                <w:noProof/>
                <w:lang w:val="en-IE"/>
              </w:rPr>
              <w:t> </w:t>
            </w:r>
            <w:r w:rsidRPr="00045449">
              <w:rPr>
                <w:noProof/>
                <w:lang w:val="en-IE"/>
              </w:rPr>
              <w:t>billion in 2027</w:t>
            </w:r>
          </w:p>
        </w:tc>
        <w:tc>
          <w:tcPr>
            <w:tcW w:w="1572" w:type="dxa"/>
          </w:tcPr>
          <w:p w14:paraId="59C22F4E" w14:textId="77777777" w:rsidR="00BD6673" w:rsidRPr="00045449" w:rsidRDefault="00BD6673" w:rsidP="00BB20EB">
            <w:pPr>
              <w:jc w:val="center"/>
              <w:rPr>
                <w:noProof/>
                <w:lang w:val="en-IE"/>
              </w:rPr>
            </w:pPr>
            <w:r w:rsidRPr="00045449">
              <w:rPr>
                <w:noProof/>
                <w:lang w:val="en-IE"/>
              </w:rPr>
              <w:t>No results</w:t>
            </w:r>
          </w:p>
        </w:tc>
        <w:tc>
          <w:tcPr>
            <w:tcW w:w="1579" w:type="dxa"/>
          </w:tcPr>
          <w:p w14:paraId="099DB561" w14:textId="77777777" w:rsidR="00BD6673" w:rsidRPr="00045449" w:rsidRDefault="00BD6673" w:rsidP="00BB20EB">
            <w:pPr>
              <w:jc w:val="center"/>
              <w:rPr>
                <w:noProof/>
                <w:lang w:val="en-IE"/>
              </w:rPr>
            </w:pPr>
            <w:r w:rsidRPr="00045449">
              <w:rPr>
                <w:noProof/>
                <w:lang w:val="en-IE"/>
              </w:rPr>
              <w:t>No data</w:t>
            </w:r>
          </w:p>
        </w:tc>
      </w:tr>
      <w:tr w:rsidR="00BD6673" w:rsidRPr="00045449" w14:paraId="6FC163E9" w14:textId="77777777" w:rsidTr="00BB20EB">
        <w:trPr>
          <w:cnfStyle w:val="000000010000" w:firstRow="0" w:lastRow="0" w:firstColumn="0" w:lastColumn="0" w:oddVBand="0" w:evenVBand="0" w:oddHBand="0" w:evenHBand="1" w:firstRowFirstColumn="0" w:firstRowLastColumn="0" w:lastRowFirstColumn="0" w:lastRowLastColumn="0"/>
        </w:trPr>
        <w:tc>
          <w:tcPr>
            <w:tcW w:w="2330" w:type="dxa"/>
          </w:tcPr>
          <w:p w14:paraId="0809C8E5" w14:textId="77777777" w:rsidR="00BD6673" w:rsidRPr="00045449" w:rsidRDefault="00BD6673" w:rsidP="00BB20EB">
            <w:pPr>
              <w:rPr>
                <w:noProof/>
                <w:lang w:val="en-IE"/>
              </w:rPr>
            </w:pPr>
            <w:r w:rsidRPr="00045449">
              <w:rPr>
                <w:noProof/>
                <w:lang w:val="en-IE"/>
              </w:rPr>
              <w:t>Multiplier effect achieved</w:t>
            </w:r>
          </w:p>
        </w:tc>
        <w:tc>
          <w:tcPr>
            <w:tcW w:w="1100" w:type="dxa"/>
          </w:tcPr>
          <w:p w14:paraId="7A6CA6F9" w14:textId="77777777" w:rsidR="00BD6673" w:rsidRPr="00045449" w:rsidRDefault="00BD6673" w:rsidP="00BB20EB">
            <w:pPr>
              <w:jc w:val="center"/>
              <w:rPr>
                <w:noProof/>
                <w:lang w:val="en-IE"/>
              </w:rPr>
            </w:pPr>
            <w:r w:rsidRPr="00045449">
              <w:rPr>
                <w:noProof/>
                <w:lang w:val="en-IE"/>
              </w:rPr>
              <w:t>0</w:t>
            </w:r>
          </w:p>
        </w:tc>
        <w:tc>
          <w:tcPr>
            <w:tcW w:w="1526" w:type="dxa"/>
          </w:tcPr>
          <w:p w14:paraId="354E8E9E" w14:textId="77777777" w:rsidR="00BD6673" w:rsidRPr="00045449" w:rsidRDefault="00BD6673" w:rsidP="00BB20EB">
            <w:pPr>
              <w:jc w:val="center"/>
              <w:rPr>
                <w:b/>
                <w:noProof/>
                <w:lang w:val="en-IE"/>
              </w:rPr>
            </w:pPr>
            <w:r w:rsidRPr="00045449">
              <w:rPr>
                <w:noProof/>
                <w:lang w:val="en-IE"/>
              </w:rPr>
              <w:t>0%</w:t>
            </w:r>
          </w:p>
        </w:tc>
        <w:tc>
          <w:tcPr>
            <w:tcW w:w="1532" w:type="dxa"/>
          </w:tcPr>
          <w:p w14:paraId="21C20ACF" w14:textId="77777777" w:rsidR="00BD6673" w:rsidRPr="00045449" w:rsidRDefault="00BD6673" w:rsidP="00BB20EB">
            <w:pPr>
              <w:jc w:val="center"/>
              <w:rPr>
                <w:noProof/>
                <w:lang w:val="en-IE"/>
              </w:rPr>
            </w:pPr>
            <w:r w:rsidRPr="00045449">
              <w:rPr>
                <w:noProof/>
                <w:lang w:val="en-IE"/>
              </w:rPr>
              <w:t>14 in 2027</w:t>
            </w:r>
          </w:p>
        </w:tc>
        <w:tc>
          <w:tcPr>
            <w:tcW w:w="1572" w:type="dxa"/>
          </w:tcPr>
          <w:p w14:paraId="2C255EA6" w14:textId="77777777" w:rsidR="00BD6673" w:rsidRPr="00045449" w:rsidRDefault="00BD6673" w:rsidP="00BB20EB">
            <w:pPr>
              <w:jc w:val="center"/>
              <w:rPr>
                <w:noProof/>
                <w:lang w:val="en-IE"/>
              </w:rPr>
            </w:pPr>
            <w:r w:rsidRPr="00045449">
              <w:rPr>
                <w:noProof/>
                <w:lang w:val="en-IE"/>
              </w:rPr>
              <w:t>No results</w:t>
            </w:r>
          </w:p>
        </w:tc>
        <w:tc>
          <w:tcPr>
            <w:tcW w:w="1579" w:type="dxa"/>
          </w:tcPr>
          <w:p w14:paraId="30ACC9AB" w14:textId="77777777" w:rsidR="00BD6673" w:rsidRPr="00045449" w:rsidRDefault="00BD6673" w:rsidP="00BB20EB">
            <w:pPr>
              <w:jc w:val="center"/>
              <w:rPr>
                <w:noProof/>
                <w:lang w:val="en-IE"/>
              </w:rPr>
            </w:pPr>
            <w:r w:rsidRPr="00045449">
              <w:rPr>
                <w:noProof/>
                <w:lang w:val="en-IE"/>
              </w:rPr>
              <w:t>No data</w:t>
            </w:r>
          </w:p>
        </w:tc>
      </w:tr>
      <w:tr w:rsidR="00BD6673" w:rsidRPr="00045449" w14:paraId="0B48EB41" w14:textId="77777777" w:rsidTr="00BB20EB">
        <w:trPr>
          <w:cnfStyle w:val="000000100000" w:firstRow="0" w:lastRow="0" w:firstColumn="0" w:lastColumn="0" w:oddVBand="0" w:evenVBand="0" w:oddHBand="1" w:evenHBand="0" w:firstRowFirstColumn="0" w:firstRowLastColumn="0" w:lastRowFirstColumn="0" w:lastRowLastColumn="0"/>
        </w:trPr>
        <w:tc>
          <w:tcPr>
            <w:tcW w:w="2330" w:type="dxa"/>
          </w:tcPr>
          <w:p w14:paraId="6922C3B9" w14:textId="77777777" w:rsidR="00BD6673" w:rsidRPr="00045449" w:rsidRDefault="00BD6673" w:rsidP="00BB20EB">
            <w:pPr>
              <w:rPr>
                <w:noProof/>
                <w:lang w:val="en-IE"/>
              </w:rPr>
            </w:pPr>
            <w:r w:rsidRPr="00045449">
              <w:rPr>
                <w:noProof/>
                <w:lang w:val="en-IE"/>
              </w:rPr>
              <w:t>Investment supporting climate objectives</w:t>
            </w:r>
          </w:p>
        </w:tc>
        <w:tc>
          <w:tcPr>
            <w:tcW w:w="1100" w:type="dxa"/>
          </w:tcPr>
          <w:p w14:paraId="75BB8791" w14:textId="77777777" w:rsidR="00BD6673" w:rsidRPr="00045449" w:rsidRDefault="00BD6673" w:rsidP="00BB20EB">
            <w:pPr>
              <w:jc w:val="center"/>
              <w:rPr>
                <w:noProof/>
                <w:lang w:val="en-IE"/>
              </w:rPr>
            </w:pPr>
            <w:r w:rsidRPr="00045449">
              <w:rPr>
                <w:noProof/>
                <w:lang w:val="en-IE"/>
              </w:rPr>
              <w:t>0%</w:t>
            </w:r>
          </w:p>
        </w:tc>
        <w:tc>
          <w:tcPr>
            <w:tcW w:w="1526" w:type="dxa"/>
          </w:tcPr>
          <w:p w14:paraId="364CAD14" w14:textId="77777777" w:rsidR="00BD6673" w:rsidRPr="00045449" w:rsidRDefault="00BD6673" w:rsidP="00BB20EB">
            <w:pPr>
              <w:jc w:val="center"/>
              <w:rPr>
                <w:b/>
                <w:noProof/>
                <w:lang w:val="en-IE"/>
              </w:rPr>
            </w:pPr>
            <w:r w:rsidRPr="00045449">
              <w:rPr>
                <w:noProof/>
                <w:lang w:val="en-IE"/>
              </w:rPr>
              <w:t>0%</w:t>
            </w:r>
          </w:p>
        </w:tc>
        <w:tc>
          <w:tcPr>
            <w:tcW w:w="1532" w:type="dxa"/>
          </w:tcPr>
          <w:p w14:paraId="3698A538" w14:textId="77777777" w:rsidR="00BD6673" w:rsidRPr="00045449" w:rsidRDefault="00BD6673" w:rsidP="00BB20EB">
            <w:pPr>
              <w:jc w:val="center"/>
              <w:rPr>
                <w:noProof/>
                <w:lang w:val="en-IE"/>
              </w:rPr>
            </w:pPr>
            <w:r w:rsidRPr="00045449">
              <w:rPr>
                <w:noProof/>
                <w:lang w:val="en-IE"/>
              </w:rPr>
              <w:t>30% in 2027</w:t>
            </w:r>
          </w:p>
        </w:tc>
        <w:tc>
          <w:tcPr>
            <w:tcW w:w="1572" w:type="dxa"/>
          </w:tcPr>
          <w:p w14:paraId="19071DBA" w14:textId="77777777" w:rsidR="00BD6673" w:rsidRPr="00045449" w:rsidRDefault="00BD6673" w:rsidP="00BB20EB">
            <w:pPr>
              <w:jc w:val="center"/>
              <w:rPr>
                <w:noProof/>
                <w:lang w:val="en-IE"/>
              </w:rPr>
            </w:pPr>
            <w:r w:rsidRPr="00045449">
              <w:rPr>
                <w:noProof/>
                <w:lang w:val="en-IE"/>
              </w:rPr>
              <w:t>No results</w:t>
            </w:r>
          </w:p>
        </w:tc>
        <w:tc>
          <w:tcPr>
            <w:tcW w:w="1579" w:type="dxa"/>
          </w:tcPr>
          <w:p w14:paraId="410C2DE1" w14:textId="77777777" w:rsidR="00BD6673" w:rsidRPr="00045449" w:rsidRDefault="00BD6673" w:rsidP="00BB20EB">
            <w:pPr>
              <w:jc w:val="center"/>
              <w:rPr>
                <w:noProof/>
                <w:lang w:val="en-IE"/>
              </w:rPr>
            </w:pPr>
            <w:r w:rsidRPr="00045449">
              <w:rPr>
                <w:noProof/>
                <w:lang w:val="en-IE"/>
              </w:rPr>
              <w:t>No data</w:t>
            </w:r>
          </w:p>
        </w:tc>
      </w:tr>
      <w:tr w:rsidR="00BD6673" w:rsidRPr="00045449" w14:paraId="68DC2C01" w14:textId="77777777" w:rsidTr="00BB20EB">
        <w:trPr>
          <w:cnfStyle w:val="000000010000" w:firstRow="0" w:lastRow="0" w:firstColumn="0" w:lastColumn="0" w:oddVBand="0" w:evenVBand="0" w:oddHBand="0" w:evenHBand="1" w:firstRowFirstColumn="0" w:firstRowLastColumn="0" w:lastRowFirstColumn="0" w:lastRowLastColumn="0"/>
        </w:trPr>
        <w:tc>
          <w:tcPr>
            <w:tcW w:w="2330" w:type="dxa"/>
          </w:tcPr>
          <w:p w14:paraId="0775E047" w14:textId="77777777" w:rsidR="00BD6673" w:rsidRPr="00045449" w:rsidRDefault="00BD6673" w:rsidP="00BB20EB">
            <w:pPr>
              <w:rPr>
                <w:noProof/>
                <w:lang w:val="en-IE"/>
              </w:rPr>
            </w:pPr>
            <w:r w:rsidRPr="00045449">
              <w:rPr>
                <w:noProof/>
                <w:lang w:val="en-IE"/>
              </w:rPr>
              <w:t>Number of households and public and commercial premises with an improved energy consumption classification</w:t>
            </w:r>
          </w:p>
        </w:tc>
        <w:tc>
          <w:tcPr>
            <w:tcW w:w="1100" w:type="dxa"/>
          </w:tcPr>
          <w:p w14:paraId="5029B818" w14:textId="77777777" w:rsidR="00BD6673" w:rsidRPr="00045449" w:rsidRDefault="00BD6673" w:rsidP="00BB20EB">
            <w:pPr>
              <w:jc w:val="center"/>
              <w:rPr>
                <w:noProof/>
                <w:lang w:val="en-IE"/>
              </w:rPr>
            </w:pPr>
            <w:r w:rsidRPr="00045449">
              <w:rPr>
                <w:noProof/>
                <w:lang w:val="en-IE"/>
              </w:rPr>
              <w:t>0</w:t>
            </w:r>
          </w:p>
        </w:tc>
        <w:tc>
          <w:tcPr>
            <w:tcW w:w="1526" w:type="dxa"/>
          </w:tcPr>
          <w:p w14:paraId="6B884250" w14:textId="77777777" w:rsidR="00BD6673" w:rsidRPr="00045449" w:rsidRDefault="00BD6673" w:rsidP="00BB20EB">
            <w:pPr>
              <w:jc w:val="center"/>
              <w:rPr>
                <w:b/>
                <w:noProof/>
                <w:lang w:val="en-IE"/>
              </w:rPr>
            </w:pPr>
            <w:r w:rsidRPr="00045449">
              <w:rPr>
                <w:noProof/>
                <w:lang w:val="en-IE"/>
              </w:rPr>
              <w:t>0%</w:t>
            </w:r>
          </w:p>
        </w:tc>
        <w:tc>
          <w:tcPr>
            <w:tcW w:w="1532" w:type="dxa"/>
          </w:tcPr>
          <w:p w14:paraId="6564EFD8" w14:textId="77777777" w:rsidR="00BD6673" w:rsidRPr="00045449" w:rsidRDefault="00BD6673" w:rsidP="00BB20EB">
            <w:pPr>
              <w:jc w:val="center"/>
              <w:rPr>
                <w:noProof/>
                <w:lang w:val="en-IE"/>
              </w:rPr>
            </w:pPr>
          </w:p>
        </w:tc>
        <w:tc>
          <w:tcPr>
            <w:tcW w:w="1572" w:type="dxa"/>
          </w:tcPr>
          <w:p w14:paraId="6C522A2D" w14:textId="77777777" w:rsidR="00BD6673" w:rsidRPr="00045449" w:rsidRDefault="00BD6673" w:rsidP="00BB20EB">
            <w:pPr>
              <w:jc w:val="center"/>
              <w:rPr>
                <w:noProof/>
                <w:lang w:val="en-IE"/>
              </w:rPr>
            </w:pPr>
            <w:r w:rsidRPr="00045449">
              <w:rPr>
                <w:noProof/>
                <w:lang w:val="en-IE"/>
              </w:rPr>
              <w:t>No results</w:t>
            </w:r>
          </w:p>
        </w:tc>
        <w:tc>
          <w:tcPr>
            <w:tcW w:w="1579" w:type="dxa"/>
          </w:tcPr>
          <w:p w14:paraId="2728F217" w14:textId="77777777" w:rsidR="00BD6673" w:rsidRPr="00045449" w:rsidRDefault="00BD6673" w:rsidP="00BB20EB">
            <w:pPr>
              <w:jc w:val="center"/>
              <w:rPr>
                <w:noProof/>
                <w:lang w:val="en-IE"/>
              </w:rPr>
            </w:pPr>
            <w:r w:rsidRPr="00045449">
              <w:rPr>
                <w:noProof/>
                <w:lang w:val="en-IE"/>
              </w:rPr>
              <w:t>No data</w:t>
            </w:r>
          </w:p>
        </w:tc>
      </w:tr>
      <w:tr w:rsidR="00BD6673" w:rsidRPr="00045449" w14:paraId="23662FF8" w14:textId="77777777" w:rsidTr="00BB20EB">
        <w:trPr>
          <w:cnfStyle w:val="000000100000" w:firstRow="0" w:lastRow="0" w:firstColumn="0" w:lastColumn="0" w:oddVBand="0" w:evenVBand="0" w:oddHBand="1" w:evenHBand="0" w:firstRowFirstColumn="0" w:firstRowLastColumn="0" w:lastRowFirstColumn="0" w:lastRowLastColumn="0"/>
        </w:trPr>
        <w:tc>
          <w:tcPr>
            <w:tcW w:w="2330" w:type="dxa"/>
          </w:tcPr>
          <w:p w14:paraId="6190FF6C" w14:textId="77777777" w:rsidR="00BD6673" w:rsidRPr="00045449" w:rsidRDefault="00BD6673" w:rsidP="00BB20EB">
            <w:pPr>
              <w:rPr>
                <w:noProof/>
                <w:lang w:val="en-IE"/>
              </w:rPr>
            </w:pPr>
            <w:r w:rsidRPr="00045449">
              <w:rPr>
                <w:noProof/>
                <w:lang w:val="en-IE"/>
              </w:rPr>
              <w:t>Additional households, enterprises or public buildings with broadband access of at least 100</w:t>
            </w:r>
            <w:r w:rsidRPr="00045449">
              <w:rPr>
                <w:rFonts w:ascii="Calibri" w:hAnsi="Calibri" w:cs="Calibri"/>
                <w:noProof/>
                <w:lang w:val="en-IE"/>
              </w:rPr>
              <w:t> m</w:t>
            </w:r>
            <w:r w:rsidRPr="006941BA">
              <w:rPr>
                <w:noProof/>
                <w:lang w:val="en-IE"/>
              </w:rPr>
              <w:t>egabits per second</w:t>
            </w:r>
            <w:r w:rsidRPr="00045449">
              <w:rPr>
                <w:noProof/>
                <w:lang w:val="en-IE"/>
              </w:rPr>
              <w:t xml:space="preserve"> upgradeable to gigabit speed, or the number of W</w:t>
            </w:r>
            <w:r w:rsidRPr="006941BA">
              <w:rPr>
                <w:noProof/>
                <w:lang w:val="en-IE"/>
              </w:rPr>
              <w:t>i-</w:t>
            </w:r>
            <w:r w:rsidRPr="00045449">
              <w:rPr>
                <w:noProof/>
                <w:lang w:val="en-IE"/>
              </w:rPr>
              <w:t>F</w:t>
            </w:r>
            <w:r w:rsidRPr="006941BA">
              <w:rPr>
                <w:noProof/>
                <w:lang w:val="en-IE"/>
              </w:rPr>
              <w:t xml:space="preserve">i </w:t>
            </w:r>
            <w:r w:rsidRPr="00045449">
              <w:rPr>
                <w:noProof/>
                <w:lang w:val="en-IE"/>
              </w:rPr>
              <w:t>hotspots created</w:t>
            </w:r>
          </w:p>
        </w:tc>
        <w:tc>
          <w:tcPr>
            <w:tcW w:w="1100" w:type="dxa"/>
          </w:tcPr>
          <w:p w14:paraId="12A3C301" w14:textId="77777777" w:rsidR="00BD6673" w:rsidRPr="00045449" w:rsidRDefault="00BD6673" w:rsidP="00BB20EB">
            <w:pPr>
              <w:jc w:val="center"/>
              <w:rPr>
                <w:noProof/>
                <w:lang w:val="en-IE"/>
              </w:rPr>
            </w:pPr>
            <w:r w:rsidRPr="00045449">
              <w:rPr>
                <w:noProof/>
                <w:lang w:val="en-IE"/>
              </w:rPr>
              <w:t>0</w:t>
            </w:r>
          </w:p>
        </w:tc>
        <w:tc>
          <w:tcPr>
            <w:tcW w:w="1526" w:type="dxa"/>
          </w:tcPr>
          <w:p w14:paraId="2F7CBF00" w14:textId="77777777" w:rsidR="00BD6673" w:rsidRPr="00045449" w:rsidRDefault="00BD6673" w:rsidP="00BB20EB">
            <w:pPr>
              <w:jc w:val="center"/>
              <w:rPr>
                <w:b/>
                <w:noProof/>
                <w:lang w:val="en-IE"/>
              </w:rPr>
            </w:pPr>
            <w:r w:rsidRPr="00045449">
              <w:rPr>
                <w:noProof/>
                <w:lang w:val="en-IE"/>
              </w:rPr>
              <w:t>0%</w:t>
            </w:r>
          </w:p>
        </w:tc>
        <w:tc>
          <w:tcPr>
            <w:tcW w:w="1532" w:type="dxa"/>
          </w:tcPr>
          <w:p w14:paraId="5FB84155" w14:textId="77777777" w:rsidR="00BD6673" w:rsidRPr="00045449" w:rsidRDefault="00BD6673" w:rsidP="00BB20EB">
            <w:pPr>
              <w:jc w:val="center"/>
              <w:rPr>
                <w:noProof/>
                <w:lang w:val="en-IE"/>
              </w:rPr>
            </w:pPr>
          </w:p>
        </w:tc>
        <w:tc>
          <w:tcPr>
            <w:tcW w:w="1572" w:type="dxa"/>
          </w:tcPr>
          <w:p w14:paraId="3AAF4E05" w14:textId="77777777" w:rsidR="00BD6673" w:rsidRPr="00045449" w:rsidRDefault="00BD6673" w:rsidP="00BB20EB">
            <w:pPr>
              <w:jc w:val="center"/>
              <w:rPr>
                <w:noProof/>
                <w:lang w:val="en-IE"/>
              </w:rPr>
            </w:pPr>
            <w:r w:rsidRPr="00045449">
              <w:rPr>
                <w:noProof/>
                <w:lang w:val="en-IE"/>
              </w:rPr>
              <w:t>No results</w:t>
            </w:r>
          </w:p>
        </w:tc>
        <w:tc>
          <w:tcPr>
            <w:tcW w:w="1579" w:type="dxa"/>
          </w:tcPr>
          <w:p w14:paraId="7250DE1F" w14:textId="77777777" w:rsidR="00BD6673" w:rsidRPr="00045449" w:rsidRDefault="00BD6673" w:rsidP="00BB20EB">
            <w:pPr>
              <w:jc w:val="center"/>
              <w:rPr>
                <w:noProof/>
                <w:lang w:val="en-IE"/>
              </w:rPr>
            </w:pPr>
            <w:r w:rsidRPr="00045449">
              <w:rPr>
                <w:noProof/>
                <w:lang w:val="en-IE"/>
              </w:rPr>
              <w:t>No data</w:t>
            </w:r>
          </w:p>
        </w:tc>
      </w:tr>
      <w:tr w:rsidR="00BD6673" w:rsidRPr="00045449" w14:paraId="01A53BEF" w14:textId="77777777" w:rsidTr="00BB20EB">
        <w:trPr>
          <w:cnfStyle w:val="000000010000" w:firstRow="0" w:lastRow="0" w:firstColumn="0" w:lastColumn="0" w:oddVBand="0" w:evenVBand="0" w:oddHBand="0" w:evenHBand="1" w:firstRowFirstColumn="0" w:firstRowLastColumn="0" w:lastRowFirstColumn="0" w:lastRowLastColumn="0"/>
        </w:trPr>
        <w:tc>
          <w:tcPr>
            <w:tcW w:w="2330" w:type="dxa"/>
          </w:tcPr>
          <w:p w14:paraId="224AF55E" w14:textId="77777777" w:rsidR="00BD6673" w:rsidRPr="00045449" w:rsidRDefault="00BD6673" w:rsidP="00BB20EB">
            <w:pPr>
              <w:rPr>
                <w:noProof/>
                <w:lang w:val="en-IE"/>
              </w:rPr>
            </w:pPr>
            <w:r w:rsidRPr="00045449">
              <w:rPr>
                <w:noProof/>
                <w:lang w:val="en-IE"/>
              </w:rPr>
              <w:t>Number of small and medium-sized enterprises supported</w:t>
            </w:r>
          </w:p>
        </w:tc>
        <w:tc>
          <w:tcPr>
            <w:tcW w:w="1100" w:type="dxa"/>
          </w:tcPr>
          <w:p w14:paraId="30B3DA6F" w14:textId="77777777" w:rsidR="00BD6673" w:rsidRPr="00045449" w:rsidRDefault="00BD6673" w:rsidP="00BB20EB">
            <w:pPr>
              <w:jc w:val="center"/>
              <w:rPr>
                <w:noProof/>
                <w:lang w:val="en-IE"/>
              </w:rPr>
            </w:pPr>
            <w:r w:rsidRPr="00045449">
              <w:rPr>
                <w:noProof/>
                <w:lang w:val="en-IE"/>
              </w:rPr>
              <w:t>0</w:t>
            </w:r>
          </w:p>
        </w:tc>
        <w:tc>
          <w:tcPr>
            <w:tcW w:w="1526" w:type="dxa"/>
          </w:tcPr>
          <w:p w14:paraId="7ECFB281" w14:textId="77777777" w:rsidR="00BD6673" w:rsidRPr="00045449" w:rsidRDefault="00BD6673" w:rsidP="00BB20EB">
            <w:pPr>
              <w:jc w:val="center"/>
              <w:rPr>
                <w:b/>
                <w:noProof/>
                <w:lang w:val="en-IE"/>
              </w:rPr>
            </w:pPr>
            <w:r w:rsidRPr="00045449">
              <w:rPr>
                <w:noProof/>
                <w:lang w:val="en-IE"/>
              </w:rPr>
              <w:t>0%</w:t>
            </w:r>
          </w:p>
        </w:tc>
        <w:tc>
          <w:tcPr>
            <w:tcW w:w="1532" w:type="dxa"/>
          </w:tcPr>
          <w:p w14:paraId="01000B6F" w14:textId="77777777" w:rsidR="00BD6673" w:rsidRPr="00045449" w:rsidRDefault="00BD6673" w:rsidP="00BB20EB">
            <w:pPr>
              <w:jc w:val="center"/>
              <w:rPr>
                <w:noProof/>
                <w:lang w:val="en-IE"/>
              </w:rPr>
            </w:pPr>
          </w:p>
        </w:tc>
        <w:tc>
          <w:tcPr>
            <w:tcW w:w="1572" w:type="dxa"/>
          </w:tcPr>
          <w:p w14:paraId="79C34B81" w14:textId="77777777" w:rsidR="00BD6673" w:rsidRPr="00045449" w:rsidRDefault="00BD6673" w:rsidP="00BB20EB">
            <w:pPr>
              <w:jc w:val="center"/>
              <w:rPr>
                <w:noProof/>
                <w:lang w:val="en-IE"/>
              </w:rPr>
            </w:pPr>
            <w:r w:rsidRPr="00045449">
              <w:rPr>
                <w:noProof/>
                <w:lang w:val="en-IE"/>
              </w:rPr>
              <w:t>No results</w:t>
            </w:r>
          </w:p>
        </w:tc>
        <w:tc>
          <w:tcPr>
            <w:tcW w:w="1579" w:type="dxa"/>
          </w:tcPr>
          <w:p w14:paraId="54349E2E" w14:textId="77777777" w:rsidR="00BD6673" w:rsidRPr="00045449" w:rsidRDefault="00BD6673" w:rsidP="00BB20EB">
            <w:pPr>
              <w:jc w:val="center"/>
              <w:rPr>
                <w:noProof/>
                <w:lang w:val="en-IE"/>
              </w:rPr>
            </w:pPr>
            <w:r w:rsidRPr="00045449">
              <w:rPr>
                <w:noProof/>
                <w:lang w:val="en-IE"/>
              </w:rPr>
              <w:t>No data</w:t>
            </w:r>
          </w:p>
        </w:tc>
      </w:tr>
      <w:tr w:rsidR="00BD6673" w:rsidRPr="00045449" w14:paraId="42CB77B7" w14:textId="77777777" w:rsidTr="00BB20EB">
        <w:trPr>
          <w:cnfStyle w:val="000000100000" w:firstRow="0" w:lastRow="0" w:firstColumn="0" w:lastColumn="0" w:oddVBand="0" w:evenVBand="0" w:oddHBand="1" w:evenHBand="0" w:firstRowFirstColumn="0" w:firstRowLastColumn="0" w:lastRowFirstColumn="0" w:lastRowLastColumn="0"/>
        </w:trPr>
        <w:tc>
          <w:tcPr>
            <w:tcW w:w="2330" w:type="dxa"/>
          </w:tcPr>
          <w:p w14:paraId="3AF8DE8C" w14:textId="77777777" w:rsidR="00BD6673" w:rsidRPr="00045449" w:rsidRDefault="00BD6673" w:rsidP="00BB20EB">
            <w:pPr>
              <w:rPr>
                <w:noProof/>
                <w:lang w:val="en-IE"/>
              </w:rPr>
            </w:pPr>
            <w:r w:rsidRPr="00045449">
              <w:rPr>
                <w:noProof/>
                <w:lang w:val="en-IE"/>
              </w:rPr>
              <w:t xml:space="preserve">Number of engagements of the InvestEU advisory </w:t>
            </w:r>
            <w:r w:rsidRPr="006941BA">
              <w:rPr>
                <w:noProof/>
                <w:lang w:val="en-IE"/>
              </w:rPr>
              <w:t>h</w:t>
            </w:r>
            <w:r w:rsidRPr="00045449">
              <w:rPr>
                <w:noProof/>
                <w:lang w:val="en-IE"/>
              </w:rPr>
              <w:t>ub</w:t>
            </w:r>
          </w:p>
        </w:tc>
        <w:tc>
          <w:tcPr>
            <w:tcW w:w="1100" w:type="dxa"/>
          </w:tcPr>
          <w:p w14:paraId="787E6677" w14:textId="77777777" w:rsidR="00BD6673" w:rsidRPr="00045449" w:rsidRDefault="00BD6673" w:rsidP="00BB20EB">
            <w:pPr>
              <w:jc w:val="center"/>
              <w:rPr>
                <w:noProof/>
                <w:lang w:val="en-IE"/>
              </w:rPr>
            </w:pPr>
            <w:r w:rsidRPr="00045449">
              <w:rPr>
                <w:noProof/>
                <w:lang w:val="en-IE"/>
              </w:rPr>
              <w:t>0</w:t>
            </w:r>
          </w:p>
        </w:tc>
        <w:tc>
          <w:tcPr>
            <w:tcW w:w="1526" w:type="dxa"/>
          </w:tcPr>
          <w:p w14:paraId="242DE515" w14:textId="77777777" w:rsidR="00BD6673" w:rsidRPr="00045449" w:rsidRDefault="00BD6673" w:rsidP="00BB20EB">
            <w:pPr>
              <w:jc w:val="center"/>
              <w:rPr>
                <w:b/>
                <w:noProof/>
                <w:lang w:val="en-IE"/>
              </w:rPr>
            </w:pPr>
            <w:r w:rsidRPr="00045449">
              <w:rPr>
                <w:noProof/>
                <w:lang w:val="en-IE"/>
              </w:rPr>
              <w:t>0%</w:t>
            </w:r>
          </w:p>
        </w:tc>
        <w:tc>
          <w:tcPr>
            <w:tcW w:w="1532" w:type="dxa"/>
          </w:tcPr>
          <w:p w14:paraId="0FBA283B" w14:textId="77777777" w:rsidR="00BD6673" w:rsidRPr="00045449" w:rsidRDefault="00BD6673" w:rsidP="00BB20EB">
            <w:pPr>
              <w:jc w:val="center"/>
              <w:rPr>
                <w:noProof/>
                <w:lang w:val="en-IE"/>
              </w:rPr>
            </w:pPr>
          </w:p>
        </w:tc>
        <w:tc>
          <w:tcPr>
            <w:tcW w:w="1572" w:type="dxa"/>
          </w:tcPr>
          <w:p w14:paraId="73A60B7D" w14:textId="77777777" w:rsidR="00BD6673" w:rsidRPr="00045449" w:rsidRDefault="00BD6673" w:rsidP="00BB20EB">
            <w:pPr>
              <w:jc w:val="center"/>
              <w:rPr>
                <w:noProof/>
                <w:lang w:val="en-IE"/>
              </w:rPr>
            </w:pPr>
            <w:r w:rsidRPr="00045449">
              <w:rPr>
                <w:noProof/>
                <w:lang w:val="en-IE"/>
              </w:rPr>
              <w:t>No results</w:t>
            </w:r>
          </w:p>
        </w:tc>
        <w:tc>
          <w:tcPr>
            <w:tcW w:w="1579" w:type="dxa"/>
          </w:tcPr>
          <w:p w14:paraId="4413B31F" w14:textId="77777777" w:rsidR="00BD6673" w:rsidRPr="00045449" w:rsidRDefault="00BD6673" w:rsidP="00BB20EB">
            <w:pPr>
              <w:jc w:val="center"/>
              <w:rPr>
                <w:noProof/>
                <w:lang w:val="en-IE"/>
              </w:rPr>
            </w:pPr>
            <w:r w:rsidRPr="00045449">
              <w:rPr>
                <w:noProof/>
                <w:lang w:val="en-IE"/>
              </w:rPr>
              <w:t>No data</w:t>
            </w:r>
          </w:p>
        </w:tc>
      </w:tr>
      <w:tr w:rsidR="00BD6673" w:rsidRPr="00045449" w14:paraId="7C88EC31" w14:textId="77777777" w:rsidTr="00BB20EB">
        <w:trPr>
          <w:cnfStyle w:val="000000010000" w:firstRow="0" w:lastRow="0" w:firstColumn="0" w:lastColumn="0" w:oddVBand="0" w:evenVBand="0" w:oddHBand="0" w:evenHBand="1" w:firstRowFirstColumn="0" w:firstRowLastColumn="0" w:lastRowFirstColumn="0" w:lastRowLastColumn="0"/>
        </w:trPr>
        <w:tc>
          <w:tcPr>
            <w:tcW w:w="2330" w:type="dxa"/>
          </w:tcPr>
          <w:p w14:paraId="12BC7DF3" w14:textId="77777777" w:rsidR="00BD6673" w:rsidRPr="00045449" w:rsidRDefault="00BD6673" w:rsidP="00BB20EB">
            <w:pPr>
              <w:rPr>
                <w:noProof/>
                <w:lang w:val="en-IE"/>
              </w:rPr>
            </w:pPr>
            <w:r w:rsidRPr="00045449">
              <w:rPr>
                <w:noProof/>
                <w:lang w:val="en-IE"/>
              </w:rPr>
              <w:t>Number of projects published on the InvestEU portal</w:t>
            </w:r>
          </w:p>
        </w:tc>
        <w:tc>
          <w:tcPr>
            <w:tcW w:w="1100" w:type="dxa"/>
          </w:tcPr>
          <w:p w14:paraId="64389E47" w14:textId="77777777" w:rsidR="00BD6673" w:rsidRPr="00045449" w:rsidRDefault="00BD6673" w:rsidP="00BB20EB">
            <w:pPr>
              <w:jc w:val="center"/>
              <w:rPr>
                <w:noProof/>
                <w:lang w:val="en-IE"/>
              </w:rPr>
            </w:pPr>
            <w:r w:rsidRPr="00045449">
              <w:rPr>
                <w:noProof/>
                <w:lang w:val="en-IE"/>
              </w:rPr>
              <w:t>0</w:t>
            </w:r>
          </w:p>
        </w:tc>
        <w:tc>
          <w:tcPr>
            <w:tcW w:w="1526" w:type="dxa"/>
          </w:tcPr>
          <w:p w14:paraId="6B1D032D" w14:textId="77777777" w:rsidR="00BD6673" w:rsidRPr="00045449" w:rsidRDefault="00BD6673" w:rsidP="00BB20EB">
            <w:pPr>
              <w:jc w:val="center"/>
              <w:rPr>
                <w:b/>
                <w:noProof/>
                <w:lang w:val="en-IE"/>
              </w:rPr>
            </w:pPr>
            <w:r w:rsidRPr="00045449">
              <w:rPr>
                <w:noProof/>
                <w:lang w:val="en-IE"/>
              </w:rPr>
              <w:t>21%</w:t>
            </w:r>
          </w:p>
        </w:tc>
        <w:tc>
          <w:tcPr>
            <w:tcW w:w="1532" w:type="dxa"/>
          </w:tcPr>
          <w:p w14:paraId="530FB914" w14:textId="77777777" w:rsidR="00BD6673" w:rsidRPr="00045449" w:rsidRDefault="00BD6673" w:rsidP="00BB20EB">
            <w:pPr>
              <w:jc w:val="center"/>
              <w:rPr>
                <w:noProof/>
                <w:lang w:val="en-IE"/>
              </w:rPr>
            </w:pPr>
            <w:r w:rsidRPr="00045449">
              <w:rPr>
                <w:noProof/>
                <w:lang w:val="en-IE"/>
              </w:rPr>
              <w:t>1</w:t>
            </w:r>
            <w:r w:rsidRPr="00045449">
              <w:rPr>
                <w:rFonts w:ascii="Calibri" w:hAnsi="Calibri" w:cs="Calibri"/>
                <w:noProof/>
                <w:lang w:val="en-IE"/>
              </w:rPr>
              <w:t> </w:t>
            </w:r>
            <w:r w:rsidRPr="00045449">
              <w:rPr>
                <w:noProof/>
                <w:lang w:val="en-IE"/>
              </w:rPr>
              <w:t>000 in 2027</w:t>
            </w:r>
          </w:p>
        </w:tc>
        <w:tc>
          <w:tcPr>
            <w:tcW w:w="1572" w:type="dxa"/>
          </w:tcPr>
          <w:p w14:paraId="1D3C051E" w14:textId="77777777" w:rsidR="00BD6673" w:rsidRPr="00045449" w:rsidRDefault="00BD6673" w:rsidP="00BB20EB">
            <w:pPr>
              <w:jc w:val="center"/>
              <w:rPr>
                <w:noProof/>
                <w:lang w:val="en-IE"/>
              </w:rPr>
            </w:pPr>
            <w:r w:rsidRPr="00045449">
              <w:rPr>
                <w:noProof/>
                <w:lang w:val="en-IE"/>
              </w:rPr>
              <w:t>205 out of 1</w:t>
            </w:r>
            <w:r w:rsidRPr="00045449">
              <w:rPr>
                <w:rFonts w:ascii="Calibri" w:hAnsi="Calibri" w:cs="Calibri"/>
                <w:noProof/>
                <w:lang w:val="en-IE"/>
              </w:rPr>
              <w:t> </w:t>
            </w:r>
            <w:r w:rsidRPr="00045449">
              <w:rPr>
                <w:noProof/>
                <w:lang w:val="en-IE"/>
              </w:rPr>
              <w:t>000</w:t>
            </w:r>
          </w:p>
        </w:tc>
        <w:tc>
          <w:tcPr>
            <w:tcW w:w="1579" w:type="dxa"/>
          </w:tcPr>
          <w:p w14:paraId="229D0300" w14:textId="77777777" w:rsidR="00BD6673" w:rsidRPr="00045449" w:rsidRDefault="00BD6673" w:rsidP="00BB20EB">
            <w:pPr>
              <w:jc w:val="center"/>
              <w:rPr>
                <w:noProof/>
                <w:lang w:val="en-IE"/>
              </w:rPr>
            </w:pPr>
            <w:r w:rsidRPr="00045449">
              <w:rPr>
                <w:noProof/>
                <w:lang w:val="en-IE"/>
              </w:rPr>
              <w:t>On track</w:t>
            </w:r>
          </w:p>
        </w:tc>
      </w:tr>
    </w:tbl>
    <w:p w14:paraId="2BDA01CC" w14:textId="77777777" w:rsidR="00BD6673" w:rsidRPr="00045449" w:rsidRDefault="00BD6673" w:rsidP="00BD6673">
      <w:pPr>
        <w:pStyle w:val="FootnoteText"/>
        <w:spacing w:before="120"/>
        <w:ind w:left="0" w:firstLine="0"/>
        <w:rPr>
          <w:noProof/>
          <w:color w:val="BBB931"/>
          <w:lang w:val="en-IE"/>
        </w:rPr>
      </w:pPr>
      <w:r w:rsidRPr="00045449">
        <w:rPr>
          <w:noProof/>
          <w:lang w:val="en-IE"/>
        </w:rPr>
        <w:t>(*) % of target achieved by the end of 2021.</w:t>
      </w:r>
    </w:p>
    <w:p w14:paraId="6583BB76" w14:textId="77777777" w:rsidR="00BD6673" w:rsidRPr="00045449" w:rsidRDefault="00BD6673" w:rsidP="00BD6673">
      <w:pPr>
        <w:pStyle w:val="ppoListHyphened-L1"/>
        <w:spacing w:before="360"/>
        <w:rPr>
          <w:noProof/>
          <w:lang w:val="en-IE"/>
        </w:rPr>
      </w:pPr>
      <w:r w:rsidRPr="00045449">
        <w:rPr>
          <w:noProof/>
          <w:lang w:val="en-IE"/>
        </w:rPr>
        <w:t>The guarantee agreement with the European Investment Bank Group was signed in March 2022 and the guarantee agreements with other InvestEU implementing partners are to be signed at a later stage, therefore there is no information available yet on the performance of the InvestEU Fund for 2021.</w:t>
      </w:r>
    </w:p>
    <w:p w14:paraId="09BB7B3B" w14:textId="77777777" w:rsidR="00BD6673" w:rsidRPr="00045449" w:rsidRDefault="00BD6673" w:rsidP="00BD6673">
      <w:pPr>
        <w:pStyle w:val="ppoListHyphened-L1"/>
        <w:rPr>
          <w:noProof/>
          <w:lang w:val="en-IE"/>
        </w:rPr>
      </w:pPr>
      <w:r w:rsidRPr="00045449">
        <w:rPr>
          <w:noProof/>
          <w:lang w:val="en-IE"/>
        </w:rPr>
        <w:t xml:space="preserve">Measures have been taken to accelerate the financing of investments by implementing partners. These include the ‘warehousing’ of eligible financing and investment operations signed by the European Investment Bank Group before the signature of the guarantee agreement, along with the use of framework operations for projects that have similar characteristics. The same measures are available for the other implementing partners. </w:t>
      </w:r>
    </w:p>
    <w:p w14:paraId="78734658" w14:textId="77777777" w:rsidR="00BD6673" w:rsidRPr="00045449" w:rsidRDefault="00BD6673" w:rsidP="00BD6673">
      <w:pPr>
        <w:pStyle w:val="ppoListHyphened-L1"/>
        <w:rPr>
          <w:noProof/>
          <w:lang w:val="en-IE"/>
        </w:rPr>
      </w:pPr>
      <w:r w:rsidRPr="00045449">
        <w:rPr>
          <w:noProof/>
          <w:lang w:val="en-IE"/>
        </w:rPr>
        <w:t xml:space="preserve">Concerning the InvestEU advisory hub, the advisory agreement with the European Investment Bank was signed in March 2022. The negotiations with other advisory partners are ongoing and agreements are expected to be signed during 2022. </w:t>
      </w:r>
    </w:p>
    <w:p w14:paraId="795E9BD8" w14:textId="77777777" w:rsidR="00BD6673" w:rsidRPr="00045449" w:rsidRDefault="00BD6673" w:rsidP="00BD6673">
      <w:pPr>
        <w:pStyle w:val="ppoListHyphened-L1"/>
        <w:rPr>
          <w:noProof/>
          <w:lang w:val="en-IE"/>
        </w:rPr>
      </w:pPr>
      <w:r w:rsidRPr="00045449">
        <w:rPr>
          <w:noProof/>
          <w:lang w:val="en-IE"/>
        </w:rPr>
        <w:t>The InvestEU portal website was launched on 21</w:t>
      </w:r>
      <w:r w:rsidRPr="00045449">
        <w:rPr>
          <w:rFonts w:ascii="Calibri" w:hAnsi="Calibri" w:cs="Calibri"/>
          <w:noProof/>
          <w:lang w:val="en-IE"/>
        </w:rPr>
        <w:t> </w:t>
      </w:r>
      <w:r w:rsidRPr="00045449">
        <w:rPr>
          <w:noProof/>
          <w:lang w:val="en-IE"/>
        </w:rPr>
        <w:t xml:space="preserve">April 2021. In 2021, 358 projects were received and 205 projects were published. </w:t>
      </w:r>
    </w:p>
    <w:p w14:paraId="3D8DB3AA" w14:textId="77777777" w:rsidR="00BD6673" w:rsidRPr="00045449" w:rsidRDefault="00BD6673" w:rsidP="00BD6673">
      <w:pPr>
        <w:pStyle w:val="ppoListHyphened-L1"/>
        <w:rPr>
          <w:noProof/>
          <w:lang w:val="en-IE"/>
        </w:rPr>
      </w:pPr>
      <w:r w:rsidRPr="00045449">
        <w:rPr>
          <w:noProof/>
          <w:lang w:val="en-IE"/>
        </w:rPr>
        <w:t>In 2021, the InvestEU portal effectively collaborated with its partners and co-organised and participated in several events, including the European Angel Investment Summit, and a</w:t>
      </w:r>
      <w:r w:rsidRPr="00045449">
        <w:rPr>
          <w:noProof/>
          <w:sz w:val="20"/>
          <w:lang w:val="en-IE"/>
        </w:rPr>
        <w:t xml:space="preserve"> </w:t>
      </w:r>
      <w:r w:rsidRPr="00045449">
        <w:rPr>
          <w:noProof/>
          <w:lang w:val="en-IE"/>
        </w:rPr>
        <w:t>joint virtual e-pitching event on women</w:t>
      </w:r>
      <w:r w:rsidRPr="006941BA">
        <w:rPr>
          <w:noProof/>
          <w:lang w:val="en-IE"/>
        </w:rPr>
        <w:t xml:space="preserve"> </w:t>
      </w:r>
      <w:r w:rsidRPr="00045449">
        <w:rPr>
          <w:noProof/>
          <w:lang w:val="en-IE"/>
        </w:rPr>
        <w:t>entrepreneurship.</w:t>
      </w:r>
    </w:p>
    <w:p w14:paraId="003266E4" w14:textId="77777777" w:rsidR="00BD6673" w:rsidRPr="00045449" w:rsidRDefault="00BD6673" w:rsidP="00BD6673">
      <w:pPr>
        <w:pStyle w:val="ppoListHyphened-L1"/>
        <w:rPr>
          <w:noProof/>
          <w:lang w:val="en-IE"/>
        </w:rPr>
      </w:pPr>
      <w:r w:rsidRPr="00045449">
        <w:rPr>
          <w:noProof/>
          <w:lang w:val="en-IE"/>
        </w:rPr>
        <w:t xml:space="preserve">Nonetheless, there are ongoing challenges of receiving new </w:t>
      </w:r>
      <w:r w:rsidRPr="006941BA">
        <w:rPr>
          <w:noProof/>
          <w:lang w:val="en-IE"/>
        </w:rPr>
        <w:t>relevant</w:t>
      </w:r>
      <w:r w:rsidRPr="00045449">
        <w:rPr>
          <w:noProof/>
          <w:lang w:val="en-IE"/>
        </w:rPr>
        <w:t xml:space="preserve"> projects for publication a</w:t>
      </w:r>
      <w:r w:rsidRPr="006941BA">
        <w:rPr>
          <w:noProof/>
          <w:lang w:val="en-IE"/>
        </w:rPr>
        <w:t>nd</w:t>
      </w:r>
      <w:r w:rsidRPr="00045449">
        <w:rPr>
          <w:noProof/>
          <w:lang w:val="en-IE"/>
        </w:rPr>
        <w:t xml:space="preserve"> new quality investor registrations</w:t>
      </w:r>
      <w:r w:rsidRPr="006941BA">
        <w:rPr>
          <w:noProof/>
          <w:lang w:val="en-IE"/>
        </w:rPr>
        <w:t xml:space="preserve"> on an ongoing basis</w:t>
      </w:r>
      <w:r w:rsidRPr="00045449">
        <w:rPr>
          <w:noProof/>
          <w:lang w:val="en-IE"/>
        </w:rPr>
        <w:t>. Further communication and promotional activities (e.g. participation in conferences/events and social media campaigns) are planned to achieve higher visibility of the InvestEU portal.</w:t>
      </w:r>
    </w:p>
    <w:p w14:paraId="28A1DC0C" w14:textId="77777777" w:rsidR="00BD6673" w:rsidRPr="00045449" w:rsidRDefault="00BD6673" w:rsidP="00BD6673">
      <w:pPr>
        <w:spacing w:after="160" w:line="259" w:lineRule="auto"/>
        <w:rPr>
          <w:rFonts w:eastAsiaTheme="majorEastAsia" w:cstheme="majorBidi"/>
          <w:noProof/>
          <w:color w:val="016A13" w:themeColor="accent1" w:themeShade="BF"/>
          <w:sz w:val="48"/>
          <w:szCs w:val="32"/>
          <w:lang w:val="en-IE"/>
        </w:rPr>
      </w:pPr>
      <w:r w:rsidRPr="00045449">
        <w:rPr>
          <w:noProof/>
          <w:lang w:val="en-IE"/>
        </w:rPr>
        <w:br w:type="page"/>
      </w:r>
    </w:p>
    <w:p w14:paraId="64837A12" w14:textId="77777777" w:rsidR="00BD6673" w:rsidRPr="00045449" w:rsidRDefault="00BD6673" w:rsidP="00BD6673">
      <w:pPr>
        <w:pStyle w:val="ppoHeading4Orange"/>
        <w:rPr>
          <w:noProof/>
          <w:lang w:val="en-IE"/>
        </w:rPr>
      </w:pPr>
      <w:r w:rsidRPr="00045449">
        <w:rPr>
          <w:noProof/>
          <w:lang w:val="en-IE"/>
        </w:rPr>
        <w:t>2014-2020 MULTIANNUAL FINANCIAL FRAMEWORK</w:t>
      </w:r>
      <w:r w:rsidRPr="00045449">
        <w:rPr>
          <w:rFonts w:ascii="Calibri" w:hAnsi="Calibri" w:cs="Calibri"/>
          <w:noProof/>
          <w:lang w:val="en-IE"/>
        </w:rPr>
        <w:t> –</w:t>
      </w:r>
      <w:r w:rsidRPr="00045449">
        <w:rPr>
          <w:noProof/>
          <w:lang w:val="en-IE"/>
        </w:rPr>
        <w:t xml:space="preserve"> EUROPEAN FUND FOR STRATEGIC INVESTMENTS</w:t>
      </w:r>
    </w:p>
    <w:p w14:paraId="22EEF83B" w14:textId="77777777" w:rsidR="00BD6673" w:rsidRPr="00045449" w:rsidRDefault="00BD6673" w:rsidP="00BD6673">
      <w:pPr>
        <w:rPr>
          <w:noProof/>
          <w:lang w:val="en-IE"/>
        </w:rPr>
      </w:pPr>
      <w:r w:rsidRPr="00045449">
        <w:rPr>
          <w:noProof/>
          <w:lang w:val="en-IE"/>
        </w:rPr>
        <w:t>The European Fund for Strategic Investments (EFSI), which is the predecessor of InvestEU, aimed at improving long-term economic growth and competitiveness in the EU by supporting strategic investments in key areas such as infrastructure, energy efficiency and renewable energy, research and innovation, environment, agriculture, digital technology, education, health and social projects. It also helped small businesses to start up, to grow and to expand by providing financing opportunities to economically viable projects.</w:t>
      </w:r>
    </w:p>
    <w:p w14:paraId="44B5B44B" w14:textId="77777777" w:rsidR="00BD6673" w:rsidRPr="00045449" w:rsidRDefault="00BD6673" w:rsidP="00BD6673">
      <w:pPr>
        <w:pStyle w:val="ppoHeading5"/>
        <w:rPr>
          <w:noProof/>
          <w:lang w:val="en-IE"/>
        </w:rPr>
      </w:pPr>
      <w:r w:rsidRPr="00045449">
        <w:rPr>
          <w:noProof/>
          <w:lang w:val="en-IE"/>
        </w:rPr>
        <w:t>Budget Implementation</w:t>
      </w:r>
    </w:p>
    <w:p w14:paraId="09D27851" w14:textId="77777777" w:rsidR="00BD6673" w:rsidRPr="00045449" w:rsidRDefault="00BD6673" w:rsidP="00BD6673">
      <w:pPr>
        <w:pStyle w:val="ppoTableTabletitle"/>
        <w:rPr>
          <w:noProof/>
          <w:lang w:val="en-IE"/>
        </w:rPr>
      </w:pPr>
      <w:r w:rsidRPr="00045449">
        <w:rPr>
          <w:noProof/>
          <w:lang w:val="en-IE"/>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BD6673" w:rsidRPr="00045449" w14:paraId="4FC864FC" w14:textId="77777777" w:rsidTr="00BB2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6A5E7172" w14:textId="77777777" w:rsidR="00BD6673" w:rsidRPr="00045449" w:rsidRDefault="00BD6673" w:rsidP="00BB20EB">
            <w:pPr>
              <w:rPr>
                <w:noProof/>
                <w:lang w:val="en-IE"/>
              </w:rPr>
            </w:pPr>
          </w:p>
        </w:tc>
        <w:tc>
          <w:tcPr>
            <w:tcW w:w="2410" w:type="dxa"/>
          </w:tcPr>
          <w:p w14:paraId="44332131" w14:textId="77777777" w:rsidR="00BD6673" w:rsidRPr="00045449" w:rsidRDefault="00BD6673" w:rsidP="00BB20EB">
            <w:pPr>
              <w:cnfStyle w:val="100000000000" w:firstRow="1" w:lastRow="0" w:firstColumn="0" w:lastColumn="0" w:oddVBand="0" w:evenVBand="0" w:oddHBand="0" w:evenHBand="0" w:firstRowFirstColumn="0" w:firstRowLastColumn="0" w:lastRowFirstColumn="0" w:lastRowLastColumn="0"/>
              <w:rPr>
                <w:noProof/>
                <w:lang w:val="en-IE"/>
              </w:rPr>
            </w:pPr>
            <w:r w:rsidRPr="00045449">
              <w:rPr>
                <w:noProof/>
                <w:lang w:val="en-IE"/>
              </w:rPr>
              <w:t>Implementation</w:t>
            </w:r>
          </w:p>
        </w:tc>
        <w:tc>
          <w:tcPr>
            <w:tcW w:w="2410" w:type="dxa"/>
          </w:tcPr>
          <w:p w14:paraId="788D3B86" w14:textId="403BC2BF" w:rsidR="00BD6673" w:rsidRPr="00045449" w:rsidRDefault="001F4CBC" w:rsidP="00BB20EB">
            <w:pPr>
              <w:cnfStyle w:val="100000000000" w:firstRow="1" w:lastRow="0" w:firstColumn="0" w:lastColumn="0" w:oddVBand="0" w:evenVBand="0" w:oddHBand="0" w:evenHBand="0" w:firstRowFirstColumn="0" w:firstRowLastColumn="0" w:lastRowFirstColumn="0" w:lastRowLastColumn="0"/>
              <w:rPr>
                <w:noProof/>
                <w:lang w:val="en-IE"/>
              </w:rPr>
            </w:pPr>
            <w:r>
              <w:rPr>
                <w:noProof/>
              </w:rPr>
              <w:t xml:space="preserve">2014-2020 </w:t>
            </w:r>
            <w:r w:rsidRPr="00885241">
              <w:rPr>
                <w:noProof/>
              </w:rPr>
              <w:t>Budget</w:t>
            </w:r>
          </w:p>
        </w:tc>
        <w:tc>
          <w:tcPr>
            <w:tcW w:w="2410" w:type="dxa"/>
          </w:tcPr>
          <w:p w14:paraId="5D318501" w14:textId="77777777" w:rsidR="00BD6673" w:rsidRPr="00045449" w:rsidRDefault="00BD6673" w:rsidP="00BB20EB">
            <w:pPr>
              <w:cnfStyle w:val="100000000000" w:firstRow="1" w:lastRow="0" w:firstColumn="0" w:lastColumn="0" w:oddVBand="0" w:evenVBand="0" w:oddHBand="0" w:evenHBand="0" w:firstRowFirstColumn="0" w:firstRowLastColumn="0" w:lastRowFirstColumn="0" w:lastRowLastColumn="0"/>
              <w:rPr>
                <w:noProof/>
                <w:lang w:val="en-IE"/>
              </w:rPr>
            </w:pPr>
            <w:r w:rsidRPr="00045449">
              <w:rPr>
                <w:noProof/>
                <w:lang w:val="en-IE"/>
              </w:rPr>
              <w:t>Implementation rate</w:t>
            </w:r>
          </w:p>
        </w:tc>
      </w:tr>
      <w:tr w:rsidR="00BD6673" w:rsidRPr="00045449" w14:paraId="530807A0" w14:textId="77777777" w:rsidTr="00BB20EB">
        <w:tc>
          <w:tcPr>
            <w:cnfStyle w:val="001000000000" w:firstRow="0" w:lastRow="0" w:firstColumn="1" w:lastColumn="0" w:oddVBand="0" w:evenVBand="0" w:oddHBand="0" w:evenHBand="0" w:firstRowFirstColumn="0" w:firstRowLastColumn="0" w:lastRowFirstColumn="0" w:lastRowLastColumn="0"/>
            <w:tcW w:w="2409" w:type="dxa"/>
          </w:tcPr>
          <w:p w14:paraId="55D6E76B" w14:textId="77777777" w:rsidR="00BD6673" w:rsidRPr="00045449" w:rsidRDefault="00BD6673" w:rsidP="00BB20EB">
            <w:pPr>
              <w:jc w:val="center"/>
              <w:rPr>
                <w:noProof/>
                <w:lang w:val="en-IE"/>
              </w:rPr>
            </w:pPr>
            <w:r w:rsidRPr="00045449">
              <w:rPr>
                <w:noProof/>
                <w:lang w:val="en-IE"/>
              </w:rPr>
              <w:t>Commitment</w:t>
            </w:r>
          </w:p>
        </w:tc>
        <w:tc>
          <w:tcPr>
            <w:tcW w:w="2410" w:type="dxa"/>
          </w:tcPr>
          <w:tbl>
            <w:tblPr>
              <w:tblStyle w:val="TableGrid"/>
              <w:tblW w:w="0" w:type="auto"/>
              <w:tblLook w:val="06A0" w:firstRow="1" w:lastRow="0" w:firstColumn="1" w:lastColumn="0" w:noHBand="1" w:noVBand="1"/>
            </w:tblPr>
            <w:tblGrid>
              <w:gridCol w:w="2194"/>
            </w:tblGrid>
            <w:tr w:rsidR="00BD6673" w:rsidRPr="00045449" w14:paraId="29162726" w14:textId="77777777" w:rsidTr="00BB20EB">
              <w:trPr>
                <w:trHeight w:val="285"/>
              </w:trPr>
              <w:tc>
                <w:tcPr>
                  <w:tcW w:w="2290" w:type="dxa"/>
                  <w:tcBorders>
                    <w:top w:val="nil"/>
                    <w:left w:val="nil"/>
                    <w:bottom w:val="nil"/>
                    <w:right w:val="nil"/>
                  </w:tcBorders>
                  <w:vAlign w:val="bottom"/>
                </w:tcPr>
                <w:p w14:paraId="3078E5D7" w14:textId="77777777" w:rsidR="00BD6673" w:rsidRPr="00045449" w:rsidRDefault="00BD6673" w:rsidP="00BB20EB">
                  <w:pPr>
                    <w:jc w:val="right"/>
                    <w:rPr>
                      <w:noProof/>
                      <w:lang w:val="en-IE"/>
                    </w:rPr>
                  </w:pPr>
                  <w:r w:rsidRPr="00045449">
                    <w:rPr>
                      <w:rFonts w:ascii="Calibri" w:hAnsi="Calibri" w:cs="Calibri"/>
                      <w:noProof/>
                      <w:color w:val="000000"/>
                      <w:lang w:val="en-IE"/>
                    </w:rPr>
                    <w:t xml:space="preserve">8 548.4 </w:t>
                  </w:r>
                </w:p>
              </w:tc>
            </w:tr>
          </w:tbl>
          <w:p w14:paraId="51E89F91" w14:textId="77777777" w:rsidR="00BD6673" w:rsidRPr="00045449" w:rsidRDefault="00BD6673" w:rsidP="00BB20EB">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BD6673" w:rsidRPr="00045449" w14:paraId="45C75F1A" w14:textId="77777777" w:rsidTr="00BB20EB">
              <w:trPr>
                <w:trHeight w:val="285"/>
              </w:trPr>
              <w:tc>
                <w:tcPr>
                  <w:tcW w:w="2290" w:type="dxa"/>
                  <w:tcBorders>
                    <w:top w:val="nil"/>
                    <w:left w:val="nil"/>
                    <w:bottom w:val="nil"/>
                    <w:right w:val="nil"/>
                  </w:tcBorders>
                  <w:vAlign w:val="bottom"/>
                </w:tcPr>
                <w:p w14:paraId="643E5172" w14:textId="77777777" w:rsidR="00BD6673" w:rsidRPr="00045449" w:rsidRDefault="00BD6673" w:rsidP="00BB20EB">
                  <w:pPr>
                    <w:jc w:val="right"/>
                    <w:rPr>
                      <w:noProof/>
                      <w:lang w:val="en-IE"/>
                    </w:rPr>
                  </w:pPr>
                  <w:r w:rsidRPr="00045449">
                    <w:rPr>
                      <w:rFonts w:ascii="Calibri" w:hAnsi="Calibri" w:cs="Calibri"/>
                      <w:noProof/>
                      <w:color w:val="000000"/>
                      <w:lang w:val="en-IE"/>
                    </w:rPr>
                    <w:t xml:space="preserve">8 548.5 </w:t>
                  </w:r>
                </w:p>
              </w:tc>
            </w:tr>
          </w:tbl>
          <w:p w14:paraId="0C983660" w14:textId="77777777" w:rsidR="00BD6673" w:rsidRPr="00045449" w:rsidRDefault="00BD6673" w:rsidP="00BB20EB">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BD6673" w:rsidRPr="00045449" w14:paraId="060BB894" w14:textId="77777777" w:rsidTr="00BB20EB">
              <w:trPr>
                <w:trHeight w:val="285"/>
              </w:trPr>
              <w:tc>
                <w:tcPr>
                  <w:tcW w:w="2290" w:type="dxa"/>
                  <w:tcBorders>
                    <w:top w:val="nil"/>
                    <w:left w:val="nil"/>
                    <w:bottom w:val="nil"/>
                    <w:right w:val="nil"/>
                  </w:tcBorders>
                  <w:vAlign w:val="bottom"/>
                </w:tcPr>
                <w:p w14:paraId="466AB0C1" w14:textId="77777777" w:rsidR="00BD6673" w:rsidRPr="00045449" w:rsidRDefault="00BD6673" w:rsidP="00BB20EB">
                  <w:pPr>
                    <w:jc w:val="right"/>
                    <w:rPr>
                      <w:noProof/>
                      <w:lang w:val="en-IE"/>
                    </w:rPr>
                  </w:pPr>
                  <w:r w:rsidRPr="00045449">
                    <w:rPr>
                      <w:rFonts w:ascii="Calibri" w:hAnsi="Calibri" w:cs="Calibri"/>
                      <w:noProof/>
                      <w:color w:val="000000"/>
                      <w:lang w:val="en-IE"/>
                    </w:rPr>
                    <w:t>100%</w:t>
                  </w:r>
                </w:p>
              </w:tc>
            </w:tr>
          </w:tbl>
          <w:p w14:paraId="0AB4BECA" w14:textId="77777777" w:rsidR="00BD6673" w:rsidRPr="00045449" w:rsidRDefault="00BD6673" w:rsidP="00BB20EB">
            <w:pPr>
              <w:jc w:val="center"/>
              <w:cnfStyle w:val="000000000000" w:firstRow="0" w:lastRow="0" w:firstColumn="0" w:lastColumn="0" w:oddVBand="0" w:evenVBand="0" w:oddHBand="0" w:evenHBand="0" w:firstRowFirstColumn="0" w:firstRowLastColumn="0" w:lastRowFirstColumn="0" w:lastRowLastColumn="0"/>
              <w:rPr>
                <w:noProof/>
                <w:lang w:val="en-IE"/>
              </w:rPr>
            </w:pPr>
          </w:p>
        </w:tc>
      </w:tr>
      <w:tr w:rsidR="00BD6673" w:rsidRPr="00045449" w14:paraId="666A5A07" w14:textId="77777777" w:rsidTr="00BB20EB">
        <w:tc>
          <w:tcPr>
            <w:cnfStyle w:val="001000000000" w:firstRow="0" w:lastRow="0" w:firstColumn="1" w:lastColumn="0" w:oddVBand="0" w:evenVBand="0" w:oddHBand="0" w:evenHBand="0" w:firstRowFirstColumn="0" w:firstRowLastColumn="0" w:lastRowFirstColumn="0" w:lastRowLastColumn="0"/>
            <w:tcW w:w="2409" w:type="dxa"/>
          </w:tcPr>
          <w:p w14:paraId="76196076" w14:textId="77777777" w:rsidR="00BD6673" w:rsidRPr="00045449" w:rsidRDefault="00BD6673" w:rsidP="00BB20EB">
            <w:pPr>
              <w:jc w:val="center"/>
              <w:rPr>
                <w:noProof/>
                <w:lang w:val="en-IE"/>
              </w:rPr>
            </w:pPr>
            <w:r w:rsidRPr="00045449">
              <w:rPr>
                <w:noProof/>
                <w:lang w:val="en-IE"/>
              </w:rPr>
              <w:t>Payments</w:t>
            </w:r>
          </w:p>
        </w:tc>
        <w:tc>
          <w:tcPr>
            <w:tcW w:w="2410" w:type="dxa"/>
          </w:tcPr>
          <w:tbl>
            <w:tblPr>
              <w:tblStyle w:val="TableGrid"/>
              <w:tblW w:w="0" w:type="auto"/>
              <w:tblLook w:val="06A0" w:firstRow="1" w:lastRow="0" w:firstColumn="1" w:lastColumn="0" w:noHBand="1" w:noVBand="1"/>
            </w:tblPr>
            <w:tblGrid>
              <w:gridCol w:w="2194"/>
            </w:tblGrid>
            <w:tr w:rsidR="00BD6673" w:rsidRPr="00045449" w14:paraId="15A5BDC6" w14:textId="77777777" w:rsidTr="00BB20EB">
              <w:trPr>
                <w:trHeight w:val="285"/>
              </w:trPr>
              <w:tc>
                <w:tcPr>
                  <w:tcW w:w="2290" w:type="dxa"/>
                  <w:tcBorders>
                    <w:top w:val="nil"/>
                    <w:left w:val="nil"/>
                    <w:bottom w:val="nil"/>
                    <w:right w:val="nil"/>
                  </w:tcBorders>
                  <w:vAlign w:val="bottom"/>
                </w:tcPr>
                <w:p w14:paraId="469678D1" w14:textId="77777777" w:rsidR="00BD6673" w:rsidRPr="00045449" w:rsidRDefault="00BD6673" w:rsidP="00BB20EB">
                  <w:pPr>
                    <w:jc w:val="right"/>
                    <w:rPr>
                      <w:noProof/>
                      <w:lang w:val="en-IE"/>
                    </w:rPr>
                  </w:pPr>
                  <w:r w:rsidRPr="00045449">
                    <w:rPr>
                      <w:rFonts w:ascii="Calibri" w:hAnsi="Calibri" w:cs="Calibri"/>
                      <w:noProof/>
                      <w:color w:val="000000"/>
                      <w:lang w:val="en-IE"/>
                    </w:rPr>
                    <w:t xml:space="preserve">8 137.7 </w:t>
                  </w:r>
                </w:p>
              </w:tc>
            </w:tr>
          </w:tbl>
          <w:p w14:paraId="126E1239" w14:textId="77777777" w:rsidR="00BD6673" w:rsidRPr="00045449" w:rsidRDefault="00BD6673" w:rsidP="00BB20EB">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p w14:paraId="23BDDE83" w14:textId="77777777" w:rsidR="00BD6673" w:rsidRPr="00045449" w:rsidRDefault="00BD6673" w:rsidP="00BB20EB">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BD6673" w:rsidRPr="00045449" w14:paraId="26A9B032" w14:textId="77777777" w:rsidTr="00BB20EB">
              <w:trPr>
                <w:trHeight w:val="285"/>
              </w:trPr>
              <w:tc>
                <w:tcPr>
                  <w:tcW w:w="2235" w:type="dxa"/>
                  <w:tcBorders>
                    <w:top w:val="nil"/>
                    <w:left w:val="nil"/>
                    <w:bottom w:val="nil"/>
                    <w:right w:val="nil"/>
                  </w:tcBorders>
                  <w:vAlign w:val="bottom"/>
                </w:tcPr>
                <w:p w14:paraId="460E1E35" w14:textId="77777777" w:rsidR="00BD6673" w:rsidRPr="00045449" w:rsidRDefault="00BD6673" w:rsidP="00BB20EB">
                  <w:pPr>
                    <w:jc w:val="right"/>
                    <w:rPr>
                      <w:noProof/>
                      <w:lang w:val="en-IE"/>
                    </w:rPr>
                  </w:pPr>
                  <w:r w:rsidRPr="00045449">
                    <w:rPr>
                      <w:rFonts w:ascii="Calibri" w:hAnsi="Calibri" w:cs="Calibri"/>
                      <w:noProof/>
                      <w:color w:val="000000"/>
                      <w:lang w:val="en-IE"/>
                    </w:rPr>
                    <w:t>95%</w:t>
                  </w:r>
                </w:p>
              </w:tc>
            </w:tr>
          </w:tbl>
          <w:p w14:paraId="56D938F1" w14:textId="77777777" w:rsidR="00BD6673" w:rsidRPr="00045449" w:rsidRDefault="00BD6673" w:rsidP="00BB20EB">
            <w:pPr>
              <w:jc w:val="center"/>
              <w:cnfStyle w:val="000000000000" w:firstRow="0" w:lastRow="0" w:firstColumn="0" w:lastColumn="0" w:oddVBand="0" w:evenVBand="0" w:oddHBand="0" w:evenHBand="0" w:firstRowFirstColumn="0" w:firstRowLastColumn="0" w:lastRowFirstColumn="0" w:lastRowLastColumn="0"/>
              <w:rPr>
                <w:noProof/>
                <w:lang w:val="en-IE"/>
              </w:rPr>
            </w:pPr>
          </w:p>
        </w:tc>
      </w:tr>
    </w:tbl>
    <w:p w14:paraId="190CAEA3" w14:textId="021EE844" w:rsidR="00BD6673" w:rsidRPr="00045449" w:rsidRDefault="00BD6673" w:rsidP="00BD6673">
      <w:pPr>
        <w:pStyle w:val="ppoListHyphened-L1"/>
        <w:spacing w:before="360"/>
        <w:rPr>
          <w:noProof/>
          <w:lang w:val="en-IE"/>
        </w:rPr>
      </w:pPr>
      <w:r w:rsidRPr="00045449">
        <w:rPr>
          <w:noProof/>
          <w:lang w:val="en-IE"/>
        </w:rPr>
        <w:t>Under the EFSI, the EU provides funding support through an EU guarantee of EUR</w:t>
      </w:r>
      <w:r w:rsidRPr="00045449">
        <w:rPr>
          <w:rFonts w:ascii="Calibri" w:hAnsi="Calibri" w:cs="Calibri"/>
          <w:noProof/>
          <w:lang w:val="en-IE"/>
        </w:rPr>
        <w:t> </w:t>
      </w:r>
      <w:r w:rsidRPr="00045449">
        <w:rPr>
          <w:noProof/>
          <w:lang w:val="en-IE"/>
        </w:rPr>
        <w:t>26 billion covering potential losses to the European Investment Bank. Cumulative provisioning amounted to EUR</w:t>
      </w:r>
      <w:r w:rsidRPr="00045449">
        <w:rPr>
          <w:rFonts w:ascii="Calibri" w:hAnsi="Calibri" w:cs="Calibri"/>
          <w:noProof/>
          <w:lang w:val="en-IE"/>
        </w:rPr>
        <w:t> </w:t>
      </w:r>
      <w:r w:rsidRPr="00045449">
        <w:rPr>
          <w:noProof/>
          <w:lang w:val="en-IE"/>
        </w:rPr>
        <w:t>9.3</w:t>
      </w:r>
      <w:r w:rsidRPr="00045449">
        <w:rPr>
          <w:rFonts w:ascii="Calibri" w:hAnsi="Calibri" w:cs="Calibri"/>
          <w:noProof/>
          <w:lang w:val="en-IE"/>
        </w:rPr>
        <w:t> </w:t>
      </w:r>
      <w:r w:rsidRPr="00045449">
        <w:rPr>
          <w:noProof/>
          <w:lang w:val="en-IE"/>
        </w:rPr>
        <w:t>billion</w:t>
      </w:r>
      <w:r w:rsidRPr="00045449">
        <w:rPr>
          <w:rFonts w:ascii="Calibri" w:hAnsi="Calibri" w:cs="Calibri"/>
          <w:noProof/>
          <w:lang w:val="en-IE"/>
        </w:rPr>
        <w:t xml:space="preserve"> </w:t>
      </w:r>
      <w:r w:rsidRPr="00045449">
        <w:rPr>
          <w:noProof/>
          <w:lang w:val="en-IE"/>
        </w:rPr>
        <w:t>in commitments at the end of 2021. It comprises contributions from the EU budget and assigned revenues</w:t>
      </w:r>
      <w:r w:rsidR="001C075E">
        <w:rPr>
          <w:noProof/>
          <w:lang w:val="en-IE"/>
        </w:rPr>
        <w:t>.</w:t>
      </w:r>
    </w:p>
    <w:p w14:paraId="169472DE" w14:textId="77777777" w:rsidR="00BD6673" w:rsidRPr="00045449" w:rsidRDefault="00BD6673" w:rsidP="00BD6673">
      <w:pPr>
        <w:pStyle w:val="ppoListHyphened-L1"/>
        <w:rPr>
          <w:noProof/>
          <w:lang w:val="en-IE"/>
        </w:rPr>
      </w:pPr>
      <w:r w:rsidRPr="00045449">
        <w:rPr>
          <w:noProof/>
          <w:lang w:val="en-IE"/>
        </w:rPr>
        <w:t>As EFSI is a completion programme, no commitments from the general budget have been made since 2021. However, EUR</w:t>
      </w:r>
      <w:r w:rsidRPr="00045449">
        <w:rPr>
          <w:rFonts w:ascii="Calibri" w:hAnsi="Calibri" w:cs="Calibri"/>
          <w:noProof/>
          <w:lang w:val="en-IE"/>
        </w:rPr>
        <w:t> </w:t>
      </w:r>
      <w:r w:rsidRPr="00045449">
        <w:rPr>
          <w:noProof/>
          <w:lang w:val="en-IE"/>
        </w:rPr>
        <w:t>394.9</w:t>
      </w:r>
      <w:r w:rsidRPr="00045449">
        <w:rPr>
          <w:rFonts w:ascii="Calibri" w:hAnsi="Calibri" w:cs="Calibri"/>
          <w:noProof/>
          <w:lang w:val="en-IE"/>
        </w:rPr>
        <w:t> </w:t>
      </w:r>
      <w:r w:rsidRPr="00045449">
        <w:rPr>
          <w:noProof/>
          <w:lang w:val="en-IE"/>
        </w:rPr>
        <w:t>million was committed in 2021 stemming from assigned revenues from the EFSI programme and other financial instruments.</w:t>
      </w:r>
    </w:p>
    <w:p w14:paraId="58076558" w14:textId="77777777" w:rsidR="00BD6673" w:rsidRPr="00045449" w:rsidRDefault="00BD6673" w:rsidP="00BD6673">
      <w:pPr>
        <w:pStyle w:val="ppoListHyphened-L1"/>
        <w:rPr>
          <w:noProof/>
          <w:lang w:val="en-IE"/>
        </w:rPr>
      </w:pPr>
      <w:r w:rsidRPr="00045449">
        <w:rPr>
          <w:noProof/>
          <w:lang w:val="en-IE"/>
        </w:rPr>
        <w:t>The EFSI investment period for approvals of operations ended on 31</w:t>
      </w:r>
      <w:r w:rsidRPr="00045449">
        <w:rPr>
          <w:rFonts w:ascii="Calibri" w:hAnsi="Calibri" w:cs="Calibri"/>
          <w:noProof/>
          <w:lang w:val="en-IE"/>
        </w:rPr>
        <w:t> </w:t>
      </w:r>
      <w:r w:rsidRPr="00045449">
        <w:rPr>
          <w:noProof/>
          <w:lang w:val="en-IE"/>
        </w:rPr>
        <w:t>December 2020. Currently, the focus is on signing approved operations before the 31</w:t>
      </w:r>
      <w:r w:rsidRPr="00045449">
        <w:rPr>
          <w:rFonts w:ascii="Calibri" w:hAnsi="Calibri" w:cs="Calibri"/>
          <w:noProof/>
          <w:lang w:val="en-IE"/>
        </w:rPr>
        <w:t> </w:t>
      </w:r>
      <w:r w:rsidRPr="00045449">
        <w:rPr>
          <w:noProof/>
          <w:lang w:val="en-IE"/>
        </w:rPr>
        <w:t xml:space="preserve">December 2022 deadline for signatures. </w:t>
      </w:r>
    </w:p>
    <w:p w14:paraId="2EC7D1BD" w14:textId="6DFEF8E8" w:rsidR="00BD6673" w:rsidRPr="00045449" w:rsidRDefault="00BD6673" w:rsidP="00BD6673">
      <w:pPr>
        <w:pStyle w:val="ppoListHyphened-L1"/>
        <w:rPr>
          <w:noProof/>
          <w:lang w:val="en-IE"/>
        </w:rPr>
      </w:pPr>
      <w:r w:rsidRPr="00045449">
        <w:rPr>
          <w:noProof/>
          <w:lang w:val="en-IE"/>
        </w:rPr>
        <w:t>A total of EUR</w:t>
      </w:r>
      <w:r w:rsidRPr="00045449">
        <w:rPr>
          <w:rFonts w:ascii="Calibri" w:hAnsi="Calibri" w:cs="Calibri"/>
          <w:noProof/>
          <w:lang w:val="en-IE"/>
        </w:rPr>
        <w:t> </w:t>
      </w:r>
      <w:r w:rsidRPr="00045449">
        <w:rPr>
          <w:noProof/>
          <w:lang w:val="en-IE"/>
        </w:rPr>
        <w:t>2</w:t>
      </w:r>
      <w:r w:rsidR="001C075E">
        <w:rPr>
          <w:noProof/>
          <w:lang w:val="en-IE"/>
        </w:rPr>
        <w:t>34</w:t>
      </w:r>
      <w:r w:rsidRPr="00045449">
        <w:rPr>
          <w:noProof/>
          <w:lang w:val="en-IE"/>
        </w:rPr>
        <w:t>.</w:t>
      </w:r>
      <w:r w:rsidR="001C075E">
        <w:rPr>
          <w:noProof/>
          <w:lang w:val="en-IE"/>
        </w:rPr>
        <w:t>5</w:t>
      </w:r>
      <w:r w:rsidRPr="00045449">
        <w:rPr>
          <w:rFonts w:ascii="Calibri" w:hAnsi="Calibri" w:cs="Calibri"/>
          <w:noProof/>
          <w:lang w:val="en-IE"/>
        </w:rPr>
        <w:t> </w:t>
      </w:r>
      <w:r w:rsidRPr="00045449">
        <w:rPr>
          <w:noProof/>
          <w:lang w:val="en-IE"/>
        </w:rPr>
        <w:t>million was called from the EU guarantee as at the end of 2021. However, due to the current economic situation and the implications of the pandemic and the Ukrainian crisis, an increase in the number and volume of future guarantee calls can be expected. EU guarantee coverage and operational monitoring will continue until the repayment of all supported financing and investment operations is complete.</w:t>
      </w:r>
    </w:p>
    <w:p w14:paraId="42C6014C" w14:textId="77777777" w:rsidR="00BD6673" w:rsidRPr="00045449" w:rsidRDefault="00BD6673" w:rsidP="00BD6673">
      <w:pPr>
        <w:pStyle w:val="ppoListHyphened-L1"/>
        <w:rPr>
          <w:noProof/>
          <w:lang w:val="en-IE"/>
        </w:rPr>
      </w:pPr>
      <w:r w:rsidRPr="00045449">
        <w:rPr>
          <w:noProof/>
          <w:lang w:val="en-IE"/>
        </w:rPr>
        <w:t xml:space="preserve">For the implementation of the </w:t>
      </w:r>
      <w:r w:rsidRPr="007E3DFD">
        <w:rPr>
          <w:noProof/>
        </w:rPr>
        <w:t>European Investment Advisory Hub</w:t>
      </w:r>
      <w:r w:rsidRPr="00045449">
        <w:rPr>
          <w:noProof/>
          <w:lang w:val="en-IE"/>
        </w:rPr>
        <w:t>, annual specific grants agreements are being signed with the European Investment Bank to provide technical assistance to final beneficiaries aiming at developing a pipeline of investment projects. The 2020 specific grants agreement, signed in 2020 and amended in 2021, has an n</w:t>
      </w:r>
      <w:r w:rsidRPr="00045449">
        <w:rPr>
          <w:rFonts w:ascii="Calibri" w:hAnsi="Calibri" w:cs="Calibri"/>
          <w:noProof/>
          <w:lang w:val="en-IE"/>
        </w:rPr>
        <w:t> </w:t>
      </w:r>
      <w:r w:rsidRPr="00045449">
        <w:rPr>
          <w:noProof/>
          <w:lang w:val="en-IE"/>
        </w:rPr>
        <w:t>+</w:t>
      </w:r>
      <w:r w:rsidRPr="00045449">
        <w:rPr>
          <w:rFonts w:ascii="Calibri" w:hAnsi="Calibri" w:cs="Calibri"/>
          <w:noProof/>
          <w:lang w:val="en-IE"/>
        </w:rPr>
        <w:t> </w:t>
      </w:r>
      <w:r w:rsidRPr="00045449">
        <w:rPr>
          <w:noProof/>
          <w:lang w:val="en-IE"/>
        </w:rPr>
        <w:t xml:space="preserve">3 implementation period. </w:t>
      </w:r>
    </w:p>
    <w:p w14:paraId="412C9EF2" w14:textId="77777777" w:rsidR="00BD6673" w:rsidRPr="00045449" w:rsidRDefault="00BD6673" w:rsidP="00BD6673">
      <w:pPr>
        <w:pStyle w:val="ppoListHyphened-L1"/>
        <w:rPr>
          <w:noProof/>
          <w:lang w:val="en-IE"/>
        </w:rPr>
      </w:pPr>
      <w:r w:rsidRPr="00045449">
        <w:rPr>
          <w:noProof/>
          <w:lang w:val="en-IE"/>
        </w:rPr>
        <w:t xml:space="preserve">As regards the </w:t>
      </w:r>
      <w:r w:rsidRPr="007E3DFD">
        <w:rPr>
          <w:noProof/>
        </w:rPr>
        <w:t>European Investment Project Portal</w:t>
      </w:r>
      <w:r w:rsidRPr="00045449">
        <w:rPr>
          <w:noProof/>
          <w:lang w:val="en-IE"/>
        </w:rPr>
        <w:t>, the EU’s online matchmaking platform, until the launch of the InvestEU portal on 21</w:t>
      </w:r>
      <w:r w:rsidRPr="00045449">
        <w:rPr>
          <w:rFonts w:ascii="Calibri" w:hAnsi="Calibri" w:cs="Calibri"/>
          <w:noProof/>
          <w:lang w:val="en-IE"/>
        </w:rPr>
        <w:t> </w:t>
      </w:r>
      <w:r w:rsidRPr="00045449">
        <w:rPr>
          <w:noProof/>
          <w:lang w:val="en-IE"/>
        </w:rPr>
        <w:t>April 2021, it continued to provide visibility to EU-based projects enabling investors to easily find investment opportunities in Europe.</w:t>
      </w:r>
    </w:p>
    <w:p w14:paraId="67DA77B0" w14:textId="77777777" w:rsidR="00BD6673" w:rsidRPr="00045449" w:rsidRDefault="00BD6673" w:rsidP="00BD6673">
      <w:pPr>
        <w:pStyle w:val="ppoHeading5"/>
        <w:rPr>
          <w:noProof/>
          <w:lang w:val="en-IE"/>
        </w:rPr>
      </w:pPr>
      <w:r w:rsidRPr="00045449">
        <w:rPr>
          <w:noProof/>
          <w:lang w:val="en-IE"/>
        </w:rPr>
        <w:t>Performance assessment</w:t>
      </w:r>
    </w:p>
    <w:p w14:paraId="432E899B" w14:textId="77777777" w:rsidR="00BD6673" w:rsidRPr="00045449" w:rsidRDefault="00BD6673" w:rsidP="00BD6673">
      <w:pPr>
        <w:pStyle w:val="ppoHeading6"/>
        <w:rPr>
          <w:noProof/>
          <w:lang w:val="en-IE"/>
        </w:rPr>
      </w:pPr>
      <w:bookmarkStart w:id="51" w:name="_Toc94522862"/>
      <w:r w:rsidRPr="00045449">
        <w:rPr>
          <w:noProof/>
          <w:lang w:val="en-IE"/>
        </w:rPr>
        <w:t>Key performance indicators</w:t>
      </w:r>
      <w:bookmarkEnd w:id="51"/>
    </w:p>
    <w:tbl>
      <w:tblPr>
        <w:tblStyle w:val="PPO2021"/>
        <w:tblW w:w="9639" w:type="dxa"/>
        <w:tblInd w:w="0" w:type="dxa"/>
        <w:tblLook w:val="0420" w:firstRow="1" w:lastRow="0" w:firstColumn="0" w:lastColumn="0" w:noHBand="0" w:noVBand="1"/>
      </w:tblPr>
      <w:tblGrid>
        <w:gridCol w:w="2317"/>
        <w:gridCol w:w="1095"/>
        <w:gridCol w:w="1518"/>
        <w:gridCol w:w="1524"/>
        <w:gridCol w:w="1614"/>
        <w:gridCol w:w="1571"/>
      </w:tblGrid>
      <w:tr w:rsidR="00BD6673" w:rsidRPr="00045449" w14:paraId="7EEFD638" w14:textId="77777777" w:rsidTr="00BB20EB">
        <w:trPr>
          <w:cnfStyle w:val="100000000000" w:firstRow="1" w:lastRow="0" w:firstColumn="0" w:lastColumn="0" w:oddVBand="0" w:evenVBand="0" w:oddHBand="0" w:evenHBand="0" w:firstRowFirstColumn="0" w:firstRowLastColumn="0" w:lastRowFirstColumn="0" w:lastRowLastColumn="0"/>
        </w:trPr>
        <w:tc>
          <w:tcPr>
            <w:tcW w:w="2268" w:type="dxa"/>
          </w:tcPr>
          <w:p w14:paraId="6B61E403" w14:textId="77777777" w:rsidR="00BD6673" w:rsidRPr="00045449" w:rsidRDefault="00BD6673" w:rsidP="00BB20EB">
            <w:pPr>
              <w:rPr>
                <w:noProof/>
                <w:lang w:val="en-IE"/>
              </w:rPr>
            </w:pPr>
          </w:p>
        </w:tc>
        <w:tc>
          <w:tcPr>
            <w:tcW w:w="931" w:type="dxa"/>
          </w:tcPr>
          <w:p w14:paraId="257525BA" w14:textId="77777777" w:rsidR="00BD6673" w:rsidRPr="00045449" w:rsidRDefault="00BD6673" w:rsidP="00BB20EB">
            <w:pPr>
              <w:rPr>
                <w:noProof/>
                <w:lang w:val="en-IE"/>
              </w:rPr>
            </w:pPr>
            <w:r w:rsidRPr="00045449">
              <w:rPr>
                <w:noProof/>
                <w:lang w:val="en-IE"/>
              </w:rPr>
              <w:t>Baseline</w:t>
            </w:r>
          </w:p>
        </w:tc>
        <w:tc>
          <w:tcPr>
            <w:tcW w:w="1485" w:type="dxa"/>
          </w:tcPr>
          <w:p w14:paraId="1A3513EF" w14:textId="77777777" w:rsidR="00BD6673" w:rsidRPr="002A4508" w:rsidRDefault="00BD6673" w:rsidP="00BB20EB">
            <w:pPr>
              <w:rPr>
                <w:rFonts w:ascii="Calibri" w:hAnsi="Calibri" w:cs="Calibri"/>
                <w:noProof/>
                <w:lang w:val="en-IE"/>
              </w:rPr>
            </w:pPr>
            <w:r w:rsidRPr="00045449">
              <w:rPr>
                <w:noProof/>
                <w:lang w:val="en-IE"/>
              </w:rPr>
              <w:t>Progress</w:t>
            </w:r>
            <w:r>
              <w:rPr>
                <w:rFonts w:ascii="Calibri" w:hAnsi="Calibri" w:cs="Calibri"/>
                <w:noProof/>
                <w:lang w:val="en-IE"/>
              </w:rPr>
              <w:t> (*)</w:t>
            </w:r>
          </w:p>
        </w:tc>
        <w:tc>
          <w:tcPr>
            <w:tcW w:w="1491" w:type="dxa"/>
          </w:tcPr>
          <w:p w14:paraId="014A769E" w14:textId="77777777" w:rsidR="00BD6673" w:rsidRPr="00045449" w:rsidRDefault="00BD6673" w:rsidP="00BB20EB">
            <w:pPr>
              <w:rPr>
                <w:noProof/>
                <w:lang w:val="en-IE"/>
              </w:rPr>
            </w:pPr>
            <w:r w:rsidRPr="00045449">
              <w:rPr>
                <w:noProof/>
                <w:lang w:val="en-IE"/>
              </w:rPr>
              <w:t>Target</w:t>
            </w:r>
          </w:p>
        </w:tc>
        <w:tc>
          <w:tcPr>
            <w:tcW w:w="1530" w:type="dxa"/>
          </w:tcPr>
          <w:p w14:paraId="20B5471E" w14:textId="77777777" w:rsidR="00BD6673" w:rsidRPr="00045449" w:rsidRDefault="00BD6673" w:rsidP="00BB20EB">
            <w:pPr>
              <w:rPr>
                <w:noProof/>
                <w:lang w:val="en-IE"/>
              </w:rPr>
            </w:pPr>
            <w:r w:rsidRPr="00045449">
              <w:rPr>
                <w:noProof/>
                <w:lang w:val="en-IE"/>
              </w:rPr>
              <w:t>Results</w:t>
            </w:r>
          </w:p>
        </w:tc>
        <w:tc>
          <w:tcPr>
            <w:tcW w:w="1537" w:type="dxa"/>
          </w:tcPr>
          <w:p w14:paraId="65761AD2" w14:textId="77777777" w:rsidR="00BD6673" w:rsidRPr="00045449" w:rsidRDefault="00BD6673" w:rsidP="00BB20EB">
            <w:pPr>
              <w:rPr>
                <w:noProof/>
                <w:lang w:val="en-IE"/>
              </w:rPr>
            </w:pPr>
            <w:r w:rsidRPr="00045449">
              <w:rPr>
                <w:noProof/>
                <w:lang w:val="en-IE"/>
              </w:rPr>
              <w:t>Assessment</w:t>
            </w:r>
          </w:p>
        </w:tc>
      </w:tr>
      <w:tr w:rsidR="00BD6673" w:rsidRPr="00045449" w14:paraId="7841FA01" w14:textId="77777777" w:rsidTr="00BB20EB">
        <w:trPr>
          <w:cnfStyle w:val="000000100000" w:firstRow="0" w:lastRow="0" w:firstColumn="0" w:lastColumn="0" w:oddVBand="0" w:evenVBand="0" w:oddHBand="1" w:evenHBand="0" w:firstRowFirstColumn="0" w:firstRowLastColumn="0" w:lastRowFirstColumn="0" w:lastRowLastColumn="0"/>
        </w:trPr>
        <w:tc>
          <w:tcPr>
            <w:tcW w:w="2268" w:type="dxa"/>
          </w:tcPr>
          <w:p w14:paraId="51FA2877" w14:textId="77777777" w:rsidR="00BD6673" w:rsidRPr="00045449" w:rsidRDefault="00BD6673" w:rsidP="00BB20EB">
            <w:pPr>
              <w:rPr>
                <w:noProof/>
                <w:lang w:val="en-IE"/>
              </w:rPr>
            </w:pPr>
            <w:r w:rsidRPr="00045449">
              <w:rPr>
                <w:noProof/>
                <w:lang w:val="en-IE"/>
              </w:rPr>
              <w:t>Cumulative volume of investment mobilised under the EFSI (in billion</w:t>
            </w:r>
            <w:r w:rsidRPr="00045449">
              <w:rPr>
                <w:rFonts w:ascii="Calibri" w:hAnsi="Calibri" w:cs="Calibri"/>
                <w:noProof/>
                <w:lang w:val="en-IE"/>
              </w:rPr>
              <w:t> </w:t>
            </w:r>
            <w:r w:rsidRPr="00045449">
              <w:rPr>
                <w:noProof/>
                <w:lang w:val="en-IE"/>
              </w:rPr>
              <w:t>EUR)</w:t>
            </w:r>
          </w:p>
        </w:tc>
        <w:tc>
          <w:tcPr>
            <w:tcW w:w="931" w:type="dxa"/>
          </w:tcPr>
          <w:p w14:paraId="04EF3C78" w14:textId="77777777" w:rsidR="00BD6673" w:rsidRPr="00045449" w:rsidRDefault="00BD6673" w:rsidP="00BB20EB">
            <w:pPr>
              <w:jc w:val="center"/>
              <w:rPr>
                <w:noProof/>
                <w:lang w:val="en-IE"/>
              </w:rPr>
            </w:pPr>
            <w:r w:rsidRPr="00045449">
              <w:rPr>
                <w:noProof/>
                <w:lang w:val="en-IE"/>
              </w:rPr>
              <w:t>0</w:t>
            </w:r>
          </w:p>
        </w:tc>
        <w:tc>
          <w:tcPr>
            <w:tcW w:w="1485" w:type="dxa"/>
          </w:tcPr>
          <w:p w14:paraId="68EF75E6" w14:textId="77777777" w:rsidR="00BD6673" w:rsidRPr="00045449" w:rsidRDefault="00BD6673" w:rsidP="00BB20EB">
            <w:pPr>
              <w:jc w:val="center"/>
              <w:rPr>
                <w:b/>
                <w:noProof/>
                <w:lang w:val="en-IE"/>
              </w:rPr>
            </w:pPr>
            <w:r w:rsidRPr="00045449">
              <w:rPr>
                <w:noProof/>
                <w:lang w:val="en-IE"/>
              </w:rPr>
              <w:t>&gt;</w:t>
            </w:r>
            <w:r w:rsidRPr="00045449">
              <w:rPr>
                <w:rFonts w:ascii="Calibri" w:hAnsi="Calibri" w:cs="Calibri"/>
                <w:noProof/>
                <w:lang w:val="en-IE"/>
              </w:rPr>
              <w:t> </w:t>
            </w:r>
            <w:r w:rsidRPr="00045449">
              <w:rPr>
                <w:noProof/>
                <w:lang w:val="en-IE"/>
              </w:rPr>
              <w:t>100%</w:t>
            </w:r>
          </w:p>
        </w:tc>
        <w:tc>
          <w:tcPr>
            <w:tcW w:w="1491" w:type="dxa"/>
          </w:tcPr>
          <w:p w14:paraId="458ADC22" w14:textId="77777777" w:rsidR="00BD6673" w:rsidRPr="00045449" w:rsidRDefault="00BD6673" w:rsidP="00BB20EB">
            <w:pPr>
              <w:jc w:val="center"/>
              <w:rPr>
                <w:noProof/>
                <w:lang w:val="en-IE"/>
              </w:rPr>
            </w:pPr>
            <w:r w:rsidRPr="00045449">
              <w:rPr>
                <w:noProof/>
                <w:lang w:val="en-IE"/>
              </w:rPr>
              <w:t>500 in 2020</w:t>
            </w:r>
          </w:p>
        </w:tc>
        <w:tc>
          <w:tcPr>
            <w:tcW w:w="1530" w:type="dxa"/>
          </w:tcPr>
          <w:p w14:paraId="7B2BED8C" w14:textId="77777777" w:rsidR="00BD6673" w:rsidRPr="00045449" w:rsidRDefault="00BD6673" w:rsidP="00BB20EB">
            <w:pPr>
              <w:jc w:val="center"/>
              <w:rPr>
                <w:noProof/>
                <w:lang w:val="en-IE"/>
              </w:rPr>
            </w:pPr>
            <w:r w:rsidRPr="00045449">
              <w:rPr>
                <w:noProof/>
                <w:lang w:val="en-IE"/>
              </w:rPr>
              <w:t>EUR</w:t>
            </w:r>
            <w:r w:rsidRPr="00045449">
              <w:rPr>
                <w:rFonts w:ascii="Calibri" w:hAnsi="Calibri" w:cs="Calibri"/>
                <w:noProof/>
                <w:lang w:val="en-IE"/>
              </w:rPr>
              <w:t> </w:t>
            </w:r>
            <w:r w:rsidRPr="00045449">
              <w:rPr>
                <w:noProof/>
                <w:lang w:val="en-IE"/>
              </w:rPr>
              <w:t>524</w:t>
            </w:r>
            <w:r w:rsidRPr="00045449">
              <w:rPr>
                <w:rFonts w:ascii="Calibri" w:hAnsi="Calibri" w:cs="Calibri"/>
                <w:noProof/>
                <w:lang w:val="en-IE"/>
              </w:rPr>
              <w:t> </w:t>
            </w:r>
            <w:r w:rsidRPr="00045449">
              <w:rPr>
                <w:noProof/>
                <w:lang w:val="en-IE"/>
              </w:rPr>
              <w:t>billion compared to a target of EUR</w:t>
            </w:r>
            <w:r w:rsidRPr="00045449">
              <w:rPr>
                <w:rFonts w:ascii="Calibri" w:hAnsi="Calibri" w:cs="Calibri"/>
                <w:noProof/>
                <w:lang w:val="en-IE"/>
              </w:rPr>
              <w:t> </w:t>
            </w:r>
            <w:r w:rsidRPr="00045449">
              <w:rPr>
                <w:noProof/>
                <w:lang w:val="en-IE"/>
              </w:rPr>
              <w:t>500</w:t>
            </w:r>
            <w:r w:rsidRPr="00045449">
              <w:rPr>
                <w:rFonts w:ascii="Calibri" w:hAnsi="Calibri" w:cs="Calibri"/>
                <w:noProof/>
                <w:lang w:val="en-IE"/>
              </w:rPr>
              <w:t> </w:t>
            </w:r>
            <w:r w:rsidRPr="00045449">
              <w:rPr>
                <w:noProof/>
                <w:lang w:val="en-IE"/>
              </w:rPr>
              <w:t>billion</w:t>
            </w:r>
          </w:p>
        </w:tc>
        <w:tc>
          <w:tcPr>
            <w:tcW w:w="1537" w:type="dxa"/>
          </w:tcPr>
          <w:p w14:paraId="5F4514F6" w14:textId="77777777" w:rsidR="00BD6673" w:rsidRPr="00045449" w:rsidRDefault="00BD6673" w:rsidP="00BB20EB">
            <w:pPr>
              <w:jc w:val="center"/>
              <w:rPr>
                <w:noProof/>
                <w:lang w:val="en-IE"/>
              </w:rPr>
            </w:pPr>
            <w:r w:rsidRPr="00045449">
              <w:rPr>
                <w:noProof/>
                <w:lang w:val="en-IE"/>
              </w:rPr>
              <w:t>Achieved</w:t>
            </w:r>
          </w:p>
        </w:tc>
      </w:tr>
      <w:tr w:rsidR="00BD6673" w:rsidRPr="00045449" w14:paraId="0B30DACD" w14:textId="77777777" w:rsidTr="00BB20EB">
        <w:trPr>
          <w:cnfStyle w:val="000000010000" w:firstRow="0" w:lastRow="0" w:firstColumn="0" w:lastColumn="0" w:oddVBand="0" w:evenVBand="0" w:oddHBand="0" w:evenHBand="1" w:firstRowFirstColumn="0" w:firstRowLastColumn="0" w:lastRowFirstColumn="0" w:lastRowLastColumn="0"/>
        </w:trPr>
        <w:tc>
          <w:tcPr>
            <w:tcW w:w="2268" w:type="dxa"/>
          </w:tcPr>
          <w:p w14:paraId="1620F3FF" w14:textId="77777777" w:rsidR="00BD6673" w:rsidRPr="00045449" w:rsidRDefault="00BD6673" w:rsidP="00BB20EB">
            <w:pPr>
              <w:rPr>
                <w:noProof/>
                <w:lang w:val="en-IE"/>
              </w:rPr>
            </w:pPr>
            <w:r w:rsidRPr="00045449">
              <w:rPr>
                <w:noProof/>
                <w:lang w:val="en-IE"/>
              </w:rPr>
              <w:t>Multiplier effect</w:t>
            </w:r>
          </w:p>
        </w:tc>
        <w:tc>
          <w:tcPr>
            <w:tcW w:w="931" w:type="dxa"/>
          </w:tcPr>
          <w:p w14:paraId="093D4C64" w14:textId="77777777" w:rsidR="00BD6673" w:rsidRPr="00045449" w:rsidRDefault="00BD6673" w:rsidP="00BB20EB">
            <w:pPr>
              <w:jc w:val="center"/>
              <w:rPr>
                <w:noProof/>
                <w:lang w:val="en-IE"/>
              </w:rPr>
            </w:pPr>
            <w:r w:rsidRPr="00045449">
              <w:rPr>
                <w:noProof/>
                <w:lang w:val="en-IE"/>
              </w:rPr>
              <w:t>0</w:t>
            </w:r>
          </w:p>
        </w:tc>
        <w:tc>
          <w:tcPr>
            <w:tcW w:w="1485" w:type="dxa"/>
          </w:tcPr>
          <w:p w14:paraId="0FA84823" w14:textId="77777777" w:rsidR="00BD6673" w:rsidRPr="00045449" w:rsidRDefault="00BD6673" w:rsidP="00BB20EB">
            <w:pPr>
              <w:jc w:val="center"/>
              <w:rPr>
                <w:b/>
                <w:noProof/>
                <w:lang w:val="en-IE"/>
              </w:rPr>
            </w:pPr>
            <w:r w:rsidRPr="00045449">
              <w:rPr>
                <w:noProof/>
                <w:lang w:val="en-IE"/>
              </w:rPr>
              <w:t>&gt;</w:t>
            </w:r>
            <w:r w:rsidRPr="00045449">
              <w:rPr>
                <w:rFonts w:ascii="Calibri" w:hAnsi="Calibri" w:cs="Calibri"/>
                <w:noProof/>
                <w:lang w:val="en-IE"/>
              </w:rPr>
              <w:t> </w:t>
            </w:r>
            <w:r w:rsidRPr="00045449">
              <w:rPr>
                <w:noProof/>
                <w:lang w:val="en-IE"/>
              </w:rPr>
              <w:t>100%</w:t>
            </w:r>
          </w:p>
        </w:tc>
        <w:tc>
          <w:tcPr>
            <w:tcW w:w="1491" w:type="dxa"/>
          </w:tcPr>
          <w:p w14:paraId="45E415D8" w14:textId="77777777" w:rsidR="00BD6673" w:rsidRPr="00045449" w:rsidRDefault="00BD6673" w:rsidP="00BB20EB">
            <w:pPr>
              <w:jc w:val="center"/>
              <w:rPr>
                <w:noProof/>
                <w:lang w:val="en-IE"/>
              </w:rPr>
            </w:pPr>
            <w:r w:rsidRPr="00045449">
              <w:rPr>
                <w:noProof/>
                <w:lang w:val="en-IE"/>
              </w:rPr>
              <w:t>15 in 2020</w:t>
            </w:r>
          </w:p>
        </w:tc>
        <w:tc>
          <w:tcPr>
            <w:tcW w:w="1530" w:type="dxa"/>
          </w:tcPr>
          <w:p w14:paraId="5A26E2F9" w14:textId="77777777" w:rsidR="00BD6673" w:rsidRPr="00045449" w:rsidRDefault="00BD6673" w:rsidP="00BB20EB">
            <w:pPr>
              <w:jc w:val="center"/>
              <w:rPr>
                <w:noProof/>
                <w:lang w:val="en-IE"/>
              </w:rPr>
            </w:pPr>
            <w:r w:rsidRPr="00045449">
              <w:rPr>
                <w:noProof/>
                <w:lang w:val="en-IE"/>
              </w:rPr>
              <w:t>15.7 compared to a target of 15.0</w:t>
            </w:r>
          </w:p>
        </w:tc>
        <w:tc>
          <w:tcPr>
            <w:tcW w:w="1537" w:type="dxa"/>
          </w:tcPr>
          <w:p w14:paraId="20DE4CB1" w14:textId="77777777" w:rsidR="00BD6673" w:rsidRPr="00045449" w:rsidRDefault="00BD6673" w:rsidP="00BB20EB">
            <w:pPr>
              <w:jc w:val="center"/>
              <w:rPr>
                <w:noProof/>
                <w:lang w:val="en-IE"/>
              </w:rPr>
            </w:pPr>
            <w:r w:rsidRPr="00045449">
              <w:rPr>
                <w:noProof/>
                <w:lang w:val="en-IE"/>
              </w:rPr>
              <w:t>Achieved</w:t>
            </w:r>
          </w:p>
        </w:tc>
      </w:tr>
      <w:tr w:rsidR="00BD6673" w:rsidRPr="00045449" w14:paraId="41D0B1C8" w14:textId="77777777" w:rsidTr="00BB20EB">
        <w:trPr>
          <w:cnfStyle w:val="000000100000" w:firstRow="0" w:lastRow="0" w:firstColumn="0" w:lastColumn="0" w:oddVBand="0" w:evenVBand="0" w:oddHBand="1" w:evenHBand="0" w:firstRowFirstColumn="0" w:firstRowLastColumn="0" w:lastRowFirstColumn="0" w:lastRowLastColumn="0"/>
        </w:trPr>
        <w:tc>
          <w:tcPr>
            <w:tcW w:w="2268" w:type="dxa"/>
          </w:tcPr>
          <w:p w14:paraId="6C469C4C" w14:textId="77777777" w:rsidR="00BD6673" w:rsidRPr="00045449" w:rsidRDefault="00BD6673" w:rsidP="00BB20EB">
            <w:pPr>
              <w:rPr>
                <w:noProof/>
                <w:lang w:val="en-IE"/>
              </w:rPr>
            </w:pPr>
            <w:r w:rsidRPr="00045449">
              <w:rPr>
                <w:noProof/>
                <w:lang w:val="en-IE"/>
              </w:rPr>
              <w:t>Share of EFSI financing under the infrastructure and innovation window (project components that contribute to climate action)</w:t>
            </w:r>
          </w:p>
        </w:tc>
        <w:tc>
          <w:tcPr>
            <w:tcW w:w="931" w:type="dxa"/>
          </w:tcPr>
          <w:p w14:paraId="6BE707CB" w14:textId="77777777" w:rsidR="00BD6673" w:rsidRPr="00045449" w:rsidRDefault="00BD6673" w:rsidP="00BB20EB">
            <w:pPr>
              <w:jc w:val="center"/>
              <w:rPr>
                <w:noProof/>
                <w:lang w:val="en-IE"/>
              </w:rPr>
            </w:pPr>
            <w:r w:rsidRPr="00045449">
              <w:rPr>
                <w:noProof/>
                <w:lang w:val="en-IE"/>
              </w:rPr>
              <w:t>0</w:t>
            </w:r>
          </w:p>
        </w:tc>
        <w:tc>
          <w:tcPr>
            <w:tcW w:w="1485" w:type="dxa"/>
          </w:tcPr>
          <w:p w14:paraId="1922DE13" w14:textId="77777777" w:rsidR="00BD6673" w:rsidRPr="00045449" w:rsidRDefault="00BD6673" w:rsidP="00BB20EB">
            <w:pPr>
              <w:jc w:val="center"/>
              <w:rPr>
                <w:b/>
                <w:noProof/>
                <w:lang w:val="en-IE"/>
              </w:rPr>
            </w:pPr>
            <w:r w:rsidRPr="00045449">
              <w:rPr>
                <w:noProof/>
                <w:lang w:val="en-IE"/>
              </w:rPr>
              <w:t>&gt;</w:t>
            </w:r>
            <w:r w:rsidRPr="00045449">
              <w:rPr>
                <w:rFonts w:ascii="Calibri" w:hAnsi="Calibri" w:cs="Calibri"/>
                <w:noProof/>
                <w:lang w:val="en-IE"/>
              </w:rPr>
              <w:t> </w:t>
            </w:r>
            <w:r w:rsidRPr="00045449">
              <w:rPr>
                <w:noProof/>
                <w:lang w:val="en-IE"/>
              </w:rPr>
              <w:t>100%</w:t>
            </w:r>
          </w:p>
        </w:tc>
        <w:tc>
          <w:tcPr>
            <w:tcW w:w="1491" w:type="dxa"/>
          </w:tcPr>
          <w:p w14:paraId="69AE44F5" w14:textId="77777777" w:rsidR="00BD6673" w:rsidRPr="00045449" w:rsidRDefault="00BD6673" w:rsidP="00BB20EB">
            <w:pPr>
              <w:jc w:val="center"/>
              <w:rPr>
                <w:noProof/>
                <w:lang w:val="en-IE"/>
              </w:rPr>
            </w:pPr>
            <w:r w:rsidRPr="00045449">
              <w:rPr>
                <w:noProof/>
                <w:lang w:val="en-IE"/>
              </w:rPr>
              <w:t>40% in 2020</w:t>
            </w:r>
          </w:p>
        </w:tc>
        <w:tc>
          <w:tcPr>
            <w:tcW w:w="1530" w:type="dxa"/>
          </w:tcPr>
          <w:p w14:paraId="5D9864D6" w14:textId="77777777" w:rsidR="00BD6673" w:rsidRPr="00045449" w:rsidRDefault="00BD6673" w:rsidP="00BB20EB">
            <w:pPr>
              <w:jc w:val="center"/>
              <w:rPr>
                <w:noProof/>
                <w:lang w:val="en-IE"/>
              </w:rPr>
            </w:pPr>
            <w:r w:rsidRPr="00045449">
              <w:rPr>
                <w:noProof/>
                <w:lang w:val="en-IE"/>
              </w:rPr>
              <w:t>43% compared to a target of 40%</w:t>
            </w:r>
          </w:p>
        </w:tc>
        <w:tc>
          <w:tcPr>
            <w:tcW w:w="1537" w:type="dxa"/>
          </w:tcPr>
          <w:p w14:paraId="3A614CEB" w14:textId="77777777" w:rsidR="00BD6673" w:rsidRPr="00045449" w:rsidRDefault="00BD6673" w:rsidP="00BB20EB">
            <w:pPr>
              <w:jc w:val="center"/>
              <w:rPr>
                <w:noProof/>
                <w:lang w:val="en-IE"/>
              </w:rPr>
            </w:pPr>
            <w:r w:rsidRPr="00045449">
              <w:rPr>
                <w:noProof/>
                <w:lang w:val="en-IE"/>
              </w:rPr>
              <w:t>Achieved</w:t>
            </w:r>
          </w:p>
        </w:tc>
      </w:tr>
      <w:tr w:rsidR="00BD6673" w:rsidRPr="00045449" w14:paraId="567FEFE2" w14:textId="77777777" w:rsidTr="00BB20EB">
        <w:trPr>
          <w:cnfStyle w:val="000000010000" w:firstRow="0" w:lastRow="0" w:firstColumn="0" w:lastColumn="0" w:oddVBand="0" w:evenVBand="0" w:oddHBand="0" w:evenHBand="1" w:firstRowFirstColumn="0" w:firstRowLastColumn="0" w:lastRowFirstColumn="0" w:lastRowLastColumn="0"/>
        </w:trPr>
        <w:tc>
          <w:tcPr>
            <w:tcW w:w="2268" w:type="dxa"/>
          </w:tcPr>
          <w:p w14:paraId="7E411A66" w14:textId="77777777" w:rsidR="00BD6673" w:rsidRPr="00045449" w:rsidRDefault="00BD6673" w:rsidP="00BB20EB">
            <w:pPr>
              <w:rPr>
                <w:noProof/>
                <w:lang w:val="en-IE"/>
              </w:rPr>
            </w:pPr>
            <w:r w:rsidRPr="00045449">
              <w:rPr>
                <w:noProof/>
                <w:lang w:val="en-IE"/>
              </w:rPr>
              <w:t>Projects for which European Investment Advisory Hub support has been requested</w:t>
            </w:r>
          </w:p>
        </w:tc>
        <w:tc>
          <w:tcPr>
            <w:tcW w:w="931" w:type="dxa"/>
          </w:tcPr>
          <w:p w14:paraId="229EA59B" w14:textId="77777777" w:rsidR="00BD6673" w:rsidRPr="00045449" w:rsidRDefault="00BD6673" w:rsidP="00BB20EB">
            <w:pPr>
              <w:jc w:val="center"/>
              <w:rPr>
                <w:noProof/>
                <w:lang w:val="en-IE"/>
              </w:rPr>
            </w:pPr>
            <w:r w:rsidRPr="00045449">
              <w:rPr>
                <w:noProof/>
                <w:lang w:val="en-IE"/>
              </w:rPr>
              <w:t>0</w:t>
            </w:r>
          </w:p>
        </w:tc>
        <w:tc>
          <w:tcPr>
            <w:tcW w:w="1485" w:type="dxa"/>
          </w:tcPr>
          <w:p w14:paraId="3B43EA2D" w14:textId="77777777" w:rsidR="00BD6673" w:rsidRPr="00045449" w:rsidRDefault="00BD6673" w:rsidP="00BB20EB">
            <w:pPr>
              <w:jc w:val="center"/>
              <w:rPr>
                <w:b/>
                <w:noProof/>
                <w:lang w:val="en-IE"/>
              </w:rPr>
            </w:pPr>
            <w:r w:rsidRPr="00045449">
              <w:rPr>
                <w:noProof/>
                <w:lang w:val="en-IE"/>
              </w:rPr>
              <w:t>&gt;</w:t>
            </w:r>
            <w:r w:rsidRPr="00045449">
              <w:rPr>
                <w:rFonts w:ascii="Calibri" w:hAnsi="Calibri" w:cs="Calibri"/>
                <w:noProof/>
                <w:lang w:val="en-IE"/>
              </w:rPr>
              <w:t> </w:t>
            </w:r>
            <w:r w:rsidRPr="00045449">
              <w:rPr>
                <w:noProof/>
                <w:lang w:val="en-IE"/>
              </w:rPr>
              <w:t>100%</w:t>
            </w:r>
          </w:p>
        </w:tc>
        <w:tc>
          <w:tcPr>
            <w:tcW w:w="1491" w:type="dxa"/>
          </w:tcPr>
          <w:p w14:paraId="377B8309" w14:textId="77777777" w:rsidR="00BD6673" w:rsidRPr="00045449" w:rsidRDefault="00BD6673" w:rsidP="00BB20EB">
            <w:pPr>
              <w:jc w:val="center"/>
              <w:rPr>
                <w:noProof/>
                <w:lang w:val="en-IE"/>
              </w:rPr>
            </w:pPr>
            <w:r w:rsidRPr="00045449">
              <w:rPr>
                <w:noProof/>
                <w:lang w:val="en-IE"/>
              </w:rPr>
              <w:t>200 in 2020</w:t>
            </w:r>
          </w:p>
        </w:tc>
        <w:tc>
          <w:tcPr>
            <w:tcW w:w="1530" w:type="dxa"/>
          </w:tcPr>
          <w:p w14:paraId="185EBD13" w14:textId="77777777" w:rsidR="00BD6673" w:rsidRPr="00045449" w:rsidRDefault="00BD6673" w:rsidP="00BB20EB">
            <w:pPr>
              <w:jc w:val="center"/>
              <w:rPr>
                <w:noProof/>
                <w:lang w:val="en-IE"/>
              </w:rPr>
            </w:pPr>
            <w:r w:rsidRPr="00045449">
              <w:rPr>
                <w:noProof/>
                <w:lang w:val="en-IE"/>
              </w:rPr>
              <w:t>433 projects compared to a target of 200</w:t>
            </w:r>
          </w:p>
        </w:tc>
        <w:tc>
          <w:tcPr>
            <w:tcW w:w="1537" w:type="dxa"/>
          </w:tcPr>
          <w:p w14:paraId="05883C5A" w14:textId="77777777" w:rsidR="00BD6673" w:rsidRPr="00045449" w:rsidRDefault="00BD6673" w:rsidP="00BB20EB">
            <w:pPr>
              <w:jc w:val="center"/>
              <w:rPr>
                <w:noProof/>
                <w:lang w:val="en-IE"/>
              </w:rPr>
            </w:pPr>
            <w:r w:rsidRPr="00045449">
              <w:rPr>
                <w:noProof/>
                <w:lang w:val="en-IE"/>
              </w:rPr>
              <w:t>Achieved</w:t>
            </w:r>
          </w:p>
        </w:tc>
      </w:tr>
      <w:tr w:rsidR="00BD6673" w:rsidRPr="00045449" w14:paraId="7D36A99F" w14:textId="77777777" w:rsidTr="00BB20EB">
        <w:trPr>
          <w:cnfStyle w:val="000000100000" w:firstRow="0" w:lastRow="0" w:firstColumn="0" w:lastColumn="0" w:oddVBand="0" w:evenVBand="0" w:oddHBand="1" w:evenHBand="0" w:firstRowFirstColumn="0" w:firstRowLastColumn="0" w:lastRowFirstColumn="0" w:lastRowLastColumn="0"/>
        </w:trPr>
        <w:tc>
          <w:tcPr>
            <w:tcW w:w="2268" w:type="dxa"/>
          </w:tcPr>
          <w:p w14:paraId="05228ADF" w14:textId="77777777" w:rsidR="00BD6673" w:rsidRPr="00045449" w:rsidRDefault="00BD6673" w:rsidP="00BB20EB">
            <w:pPr>
              <w:rPr>
                <w:noProof/>
                <w:lang w:val="en-IE"/>
              </w:rPr>
            </w:pPr>
            <w:r w:rsidRPr="00045449">
              <w:rPr>
                <w:noProof/>
                <w:lang w:val="en-IE"/>
              </w:rPr>
              <w:t xml:space="preserve">Number of projects published on the European Investment Project </w:t>
            </w:r>
            <w:r>
              <w:rPr>
                <w:noProof/>
                <w:lang w:val="en-IE"/>
              </w:rPr>
              <w:t>p</w:t>
            </w:r>
            <w:r w:rsidRPr="00045449">
              <w:rPr>
                <w:noProof/>
                <w:lang w:val="en-IE"/>
              </w:rPr>
              <w:t>ortal</w:t>
            </w:r>
          </w:p>
        </w:tc>
        <w:tc>
          <w:tcPr>
            <w:tcW w:w="931" w:type="dxa"/>
          </w:tcPr>
          <w:p w14:paraId="1936315B" w14:textId="77777777" w:rsidR="00BD6673" w:rsidRPr="00045449" w:rsidRDefault="00BD6673" w:rsidP="00BB20EB">
            <w:pPr>
              <w:jc w:val="center"/>
              <w:rPr>
                <w:noProof/>
                <w:lang w:val="en-IE"/>
              </w:rPr>
            </w:pPr>
            <w:r w:rsidRPr="00045449">
              <w:rPr>
                <w:noProof/>
                <w:lang w:val="en-IE"/>
              </w:rPr>
              <w:t>0</w:t>
            </w:r>
          </w:p>
        </w:tc>
        <w:tc>
          <w:tcPr>
            <w:tcW w:w="1485" w:type="dxa"/>
          </w:tcPr>
          <w:p w14:paraId="4F102735" w14:textId="77777777" w:rsidR="00BD6673" w:rsidRPr="00045449" w:rsidRDefault="00BD6673" w:rsidP="00BB20EB">
            <w:pPr>
              <w:jc w:val="center"/>
              <w:rPr>
                <w:b/>
                <w:noProof/>
                <w:lang w:val="en-IE"/>
              </w:rPr>
            </w:pPr>
            <w:r w:rsidRPr="00045449">
              <w:rPr>
                <w:noProof/>
                <w:lang w:val="en-IE"/>
              </w:rPr>
              <w:t>&gt;</w:t>
            </w:r>
            <w:r w:rsidRPr="00045449">
              <w:rPr>
                <w:rFonts w:ascii="Calibri" w:hAnsi="Calibri" w:cs="Calibri"/>
                <w:noProof/>
                <w:lang w:val="en-IE"/>
              </w:rPr>
              <w:t> </w:t>
            </w:r>
            <w:r w:rsidRPr="00045449">
              <w:rPr>
                <w:noProof/>
                <w:lang w:val="en-IE"/>
              </w:rPr>
              <w:t>100%</w:t>
            </w:r>
          </w:p>
        </w:tc>
        <w:tc>
          <w:tcPr>
            <w:tcW w:w="1491" w:type="dxa"/>
          </w:tcPr>
          <w:p w14:paraId="39BCEA1B" w14:textId="77777777" w:rsidR="00BD6673" w:rsidRPr="00045449" w:rsidRDefault="00BD6673" w:rsidP="00BB20EB">
            <w:pPr>
              <w:jc w:val="center"/>
              <w:rPr>
                <w:noProof/>
                <w:lang w:val="en-IE"/>
              </w:rPr>
            </w:pPr>
            <w:r w:rsidRPr="00045449">
              <w:rPr>
                <w:noProof/>
                <w:lang w:val="en-IE"/>
              </w:rPr>
              <w:t>500 in 2020</w:t>
            </w:r>
          </w:p>
        </w:tc>
        <w:tc>
          <w:tcPr>
            <w:tcW w:w="1530" w:type="dxa"/>
          </w:tcPr>
          <w:p w14:paraId="1F6DDD16" w14:textId="77777777" w:rsidR="00BD6673" w:rsidRPr="00045449" w:rsidRDefault="00BD6673" w:rsidP="00BB20EB">
            <w:pPr>
              <w:jc w:val="center"/>
              <w:rPr>
                <w:noProof/>
                <w:lang w:val="en-IE"/>
              </w:rPr>
            </w:pPr>
            <w:r w:rsidRPr="00045449">
              <w:rPr>
                <w:noProof/>
                <w:lang w:val="en-IE"/>
              </w:rPr>
              <w:t>1</w:t>
            </w:r>
            <w:r w:rsidRPr="00045449">
              <w:rPr>
                <w:rFonts w:ascii="Calibri" w:hAnsi="Calibri" w:cs="Calibri"/>
                <w:noProof/>
                <w:lang w:val="en-IE"/>
              </w:rPr>
              <w:t> </w:t>
            </w:r>
            <w:r w:rsidRPr="00045449">
              <w:rPr>
                <w:noProof/>
                <w:lang w:val="en-IE"/>
              </w:rPr>
              <w:t>112 projects compared to a target of 500</w:t>
            </w:r>
          </w:p>
        </w:tc>
        <w:tc>
          <w:tcPr>
            <w:tcW w:w="1537" w:type="dxa"/>
          </w:tcPr>
          <w:p w14:paraId="54C74F36" w14:textId="77777777" w:rsidR="00BD6673" w:rsidRPr="00045449" w:rsidRDefault="00BD6673" w:rsidP="00BB20EB">
            <w:pPr>
              <w:jc w:val="center"/>
              <w:rPr>
                <w:noProof/>
                <w:lang w:val="en-IE"/>
              </w:rPr>
            </w:pPr>
            <w:r w:rsidRPr="00045449">
              <w:rPr>
                <w:noProof/>
                <w:lang w:val="en-IE"/>
              </w:rPr>
              <w:t>Achieved</w:t>
            </w:r>
          </w:p>
        </w:tc>
      </w:tr>
    </w:tbl>
    <w:p w14:paraId="35164541" w14:textId="77777777" w:rsidR="00BD6673" w:rsidRPr="00045449" w:rsidRDefault="00BD6673" w:rsidP="00BD6673">
      <w:pPr>
        <w:pStyle w:val="FootnoteText"/>
        <w:rPr>
          <w:noProof/>
          <w:lang w:val="en-IE"/>
        </w:rPr>
      </w:pPr>
    </w:p>
    <w:p w14:paraId="326B9845" w14:textId="77777777" w:rsidR="00BD6673" w:rsidRPr="00045449" w:rsidRDefault="00BD6673" w:rsidP="00BD6673">
      <w:pPr>
        <w:pStyle w:val="FootnoteText"/>
        <w:rPr>
          <w:noProof/>
          <w:color w:val="BBB931"/>
          <w:lang w:val="en-IE"/>
        </w:rPr>
      </w:pPr>
      <w:r>
        <w:rPr>
          <w:noProof/>
          <w:lang w:val="en-IE"/>
        </w:rPr>
        <w:t xml:space="preserve">(*) </w:t>
      </w:r>
      <w:r w:rsidRPr="00045449">
        <w:rPr>
          <w:noProof/>
          <w:lang w:val="en-IE"/>
        </w:rPr>
        <w:t>% of target achieved by the end of 2021.</w:t>
      </w:r>
    </w:p>
    <w:p w14:paraId="64BD57BF" w14:textId="77777777" w:rsidR="00BD6673" w:rsidRPr="00045449" w:rsidRDefault="00BD6673" w:rsidP="00BD6673">
      <w:pPr>
        <w:pStyle w:val="ppoListHyphened-L1"/>
        <w:numPr>
          <w:ilvl w:val="0"/>
          <w:numId w:val="0"/>
        </w:numPr>
        <w:ind w:left="357"/>
        <w:rPr>
          <w:noProof/>
          <w:lang w:val="en-IE"/>
        </w:rPr>
      </w:pPr>
    </w:p>
    <w:p w14:paraId="4EDC1B91" w14:textId="77777777" w:rsidR="00BD6673" w:rsidRPr="00045449" w:rsidRDefault="00BD6673" w:rsidP="00BD6673">
      <w:pPr>
        <w:pStyle w:val="ppoListHyphened-L1"/>
        <w:rPr>
          <w:noProof/>
          <w:lang w:val="en-IE"/>
        </w:rPr>
      </w:pPr>
      <w:r w:rsidRPr="00045449">
        <w:rPr>
          <w:noProof/>
          <w:lang w:val="en-IE"/>
        </w:rPr>
        <w:t>The EFSI is achieving its objectives as set in the regulation. It has supported investments by providing additional risk-bearing capacity to increase the volume of European Investment Bank Group financing and investment operations in priority areas. The EFSI has exceeded its target of unlocking EUR</w:t>
      </w:r>
      <w:r w:rsidRPr="00045449">
        <w:rPr>
          <w:rFonts w:ascii="Calibri" w:hAnsi="Calibri" w:cs="Calibri"/>
          <w:noProof/>
          <w:lang w:val="en-IE"/>
        </w:rPr>
        <w:t> </w:t>
      </w:r>
      <w:r w:rsidRPr="00045449">
        <w:rPr>
          <w:noProof/>
          <w:lang w:val="en-IE"/>
        </w:rPr>
        <w:t>500</w:t>
      </w:r>
      <w:r w:rsidRPr="00045449">
        <w:rPr>
          <w:rFonts w:ascii="Calibri" w:hAnsi="Calibri" w:cs="Calibri"/>
          <w:noProof/>
          <w:lang w:val="en-IE"/>
        </w:rPr>
        <w:t> </w:t>
      </w:r>
      <w:r w:rsidRPr="00045449">
        <w:rPr>
          <w:noProof/>
          <w:lang w:val="en-IE"/>
        </w:rPr>
        <w:t>billion in additional investment, and about 1.5</w:t>
      </w:r>
      <w:r>
        <w:rPr>
          <w:rFonts w:ascii="Calibri" w:hAnsi="Calibri" w:cs="Calibri"/>
          <w:noProof/>
          <w:lang w:val="en-IE"/>
        </w:rPr>
        <w:t> </w:t>
      </w:r>
      <w:r w:rsidRPr="00045449">
        <w:rPr>
          <w:noProof/>
          <w:lang w:val="en-IE"/>
        </w:rPr>
        <w:t>million small and medium-sized enterprises are expected to benefit from it.</w:t>
      </w:r>
    </w:p>
    <w:p w14:paraId="6D1A7A11" w14:textId="77777777" w:rsidR="00BD6673" w:rsidRPr="00045449" w:rsidRDefault="00BD6673" w:rsidP="00BD6673">
      <w:pPr>
        <w:pStyle w:val="ppoListHyphened-L1"/>
        <w:rPr>
          <w:noProof/>
          <w:lang w:val="en-IE"/>
        </w:rPr>
      </w:pPr>
      <w:r w:rsidRPr="00045449">
        <w:rPr>
          <w:noProof/>
          <w:lang w:val="en-IE"/>
        </w:rPr>
        <w:t>The EFSI provides EU added value by addressing market failures and by supporting riskier operations that could not otherwise have been carried out, or not to the same extent, by the European Investment Bank or under existing EU financial instruments.</w:t>
      </w:r>
    </w:p>
    <w:p w14:paraId="2BC9C9B3" w14:textId="77777777" w:rsidR="00BD6673" w:rsidRPr="00045449" w:rsidRDefault="00BD6673" w:rsidP="00BD6673">
      <w:pPr>
        <w:pStyle w:val="ppoListHyphened-L1"/>
        <w:rPr>
          <w:noProof/>
          <w:lang w:val="en-IE"/>
        </w:rPr>
      </w:pPr>
      <w:r w:rsidRPr="00045449">
        <w:rPr>
          <w:noProof/>
          <w:lang w:val="en-IE"/>
        </w:rPr>
        <w:t>Following the outbreak of the COVID-19 pandemic the EFSI provided guarantees to unlock EUR</w:t>
      </w:r>
      <w:r w:rsidRPr="00045449">
        <w:rPr>
          <w:rFonts w:ascii="Calibri" w:hAnsi="Calibri" w:cs="Calibri"/>
          <w:noProof/>
          <w:lang w:val="en-IE"/>
        </w:rPr>
        <w:t> </w:t>
      </w:r>
      <w:r w:rsidRPr="00045449">
        <w:rPr>
          <w:noProof/>
          <w:lang w:val="en-IE"/>
        </w:rPr>
        <w:t>8</w:t>
      </w:r>
      <w:r w:rsidRPr="00045449">
        <w:rPr>
          <w:rFonts w:ascii="Calibri" w:hAnsi="Calibri" w:cs="Calibri"/>
          <w:noProof/>
          <w:lang w:val="en-IE"/>
        </w:rPr>
        <w:t> </w:t>
      </w:r>
      <w:r w:rsidRPr="00045449">
        <w:rPr>
          <w:noProof/>
          <w:lang w:val="en-IE"/>
        </w:rPr>
        <w:t>billion in available financing for businesses. Furthermore, the EFSI supported the German company BioNTech</w:t>
      </w:r>
      <w:r w:rsidRPr="00045449">
        <w:rPr>
          <w:rFonts w:ascii="Calibri" w:hAnsi="Calibri" w:cs="Calibri"/>
          <w:noProof/>
          <w:lang w:val="en-IE"/>
        </w:rPr>
        <w:t> </w:t>
      </w:r>
      <w:r w:rsidRPr="00045449">
        <w:rPr>
          <w:noProof/>
          <w:lang w:val="en-IE"/>
        </w:rPr>
        <w:t>SE with EUR</w:t>
      </w:r>
      <w:r w:rsidRPr="00045449">
        <w:rPr>
          <w:rFonts w:ascii="Calibri" w:hAnsi="Calibri" w:cs="Calibri"/>
          <w:noProof/>
          <w:lang w:val="en-IE"/>
        </w:rPr>
        <w:t> </w:t>
      </w:r>
      <w:r w:rsidRPr="00045449">
        <w:rPr>
          <w:noProof/>
          <w:lang w:val="en-IE"/>
        </w:rPr>
        <w:t>100</w:t>
      </w:r>
      <w:r w:rsidRPr="00045449">
        <w:rPr>
          <w:rFonts w:ascii="Calibri" w:hAnsi="Calibri" w:cs="Calibri"/>
          <w:noProof/>
          <w:lang w:val="en-IE"/>
        </w:rPr>
        <w:t> </w:t>
      </w:r>
      <w:r w:rsidRPr="00045449">
        <w:rPr>
          <w:noProof/>
          <w:lang w:val="en-IE"/>
        </w:rPr>
        <w:t>million in debt financing for the development and manufacturing of its COVID-19 vaccine.</w:t>
      </w:r>
    </w:p>
    <w:p w14:paraId="774BA4AD" w14:textId="77777777" w:rsidR="00BD6673" w:rsidRPr="00045449" w:rsidRDefault="00BD6673" w:rsidP="00BD6673">
      <w:pPr>
        <w:pStyle w:val="ppoListHyphened-L1"/>
        <w:rPr>
          <w:noProof/>
          <w:lang w:val="en-IE"/>
        </w:rPr>
      </w:pPr>
      <w:r w:rsidRPr="00045449">
        <w:rPr>
          <w:noProof/>
          <w:lang w:val="en-IE"/>
        </w:rPr>
        <w:t>The EFSI is on track to achieve the target of a total multiplier effect of investments worth 15 times the EU contribution.</w:t>
      </w:r>
    </w:p>
    <w:p w14:paraId="2BF97A15" w14:textId="77777777" w:rsidR="00BD6673" w:rsidRPr="00045449" w:rsidRDefault="00BD6673" w:rsidP="00BD6673">
      <w:pPr>
        <w:pStyle w:val="ppoListHyphened-L1"/>
        <w:rPr>
          <w:noProof/>
          <w:lang w:val="en-IE"/>
        </w:rPr>
      </w:pPr>
      <w:r w:rsidRPr="00045449">
        <w:rPr>
          <w:noProof/>
          <w:lang w:val="en-IE"/>
        </w:rPr>
        <w:t>The European Investment Bank estimated that until 31</w:t>
      </w:r>
      <w:r w:rsidRPr="00045449">
        <w:rPr>
          <w:rFonts w:ascii="Calibri" w:hAnsi="Calibri" w:cs="Calibri"/>
          <w:noProof/>
          <w:lang w:val="en-IE"/>
        </w:rPr>
        <w:t> </w:t>
      </w:r>
      <w:r w:rsidRPr="00045449">
        <w:rPr>
          <w:noProof/>
          <w:lang w:val="en-IE"/>
        </w:rPr>
        <w:t xml:space="preserve">December 2021, the </w:t>
      </w:r>
      <w:r w:rsidRPr="006941BA">
        <w:rPr>
          <w:noProof/>
        </w:rPr>
        <w:t xml:space="preserve">EFSI </w:t>
      </w:r>
      <w:r w:rsidRPr="00045449">
        <w:rPr>
          <w:noProof/>
          <w:lang w:val="en-IE"/>
        </w:rPr>
        <w:t>i</w:t>
      </w:r>
      <w:r w:rsidRPr="002A4508">
        <w:rPr>
          <w:noProof/>
          <w:lang w:val="en-IE"/>
        </w:rPr>
        <w:t>nfrastructure and innovation window</w:t>
      </w:r>
      <w:r w:rsidRPr="006941BA">
        <w:rPr>
          <w:noProof/>
          <w:lang w:val="en-IE"/>
        </w:rPr>
        <w:t xml:space="preserve"> </w:t>
      </w:r>
      <w:r w:rsidRPr="00045449">
        <w:rPr>
          <w:noProof/>
          <w:lang w:val="en-IE"/>
        </w:rPr>
        <w:t>operations helped to sustain and support about 12.7</w:t>
      </w:r>
      <w:r>
        <w:rPr>
          <w:rFonts w:ascii="Calibri" w:hAnsi="Calibri" w:cs="Calibri"/>
          <w:noProof/>
          <w:lang w:val="en-IE"/>
        </w:rPr>
        <w:t> </w:t>
      </w:r>
      <w:r w:rsidRPr="00045449">
        <w:rPr>
          <w:noProof/>
          <w:lang w:val="en-IE"/>
        </w:rPr>
        <w:t>million jobs.</w:t>
      </w:r>
    </w:p>
    <w:p w14:paraId="1CCD4D93" w14:textId="77777777" w:rsidR="00BD6673" w:rsidRPr="00045449" w:rsidRDefault="00BD6673" w:rsidP="00BD6673">
      <w:pPr>
        <w:pStyle w:val="ppoListHyphened-L1"/>
        <w:rPr>
          <w:noProof/>
          <w:lang w:val="en-IE"/>
        </w:rPr>
      </w:pPr>
      <w:r w:rsidRPr="00045449">
        <w:rPr>
          <w:noProof/>
          <w:lang w:val="en-IE"/>
        </w:rPr>
        <w:t>As of the end of 2021, 43.6% of operations signed under the infrastructure and innovation window contributed to climate action</w:t>
      </w:r>
      <w:r w:rsidRPr="00045449">
        <w:rPr>
          <w:rFonts w:ascii="Calibri" w:hAnsi="Calibri" w:cs="Calibri"/>
          <w:noProof/>
          <w:lang w:val="en-IE"/>
        </w:rPr>
        <w:t> –</w:t>
      </w:r>
      <w:r w:rsidRPr="00045449">
        <w:rPr>
          <w:noProof/>
          <w:lang w:val="en-IE"/>
        </w:rPr>
        <w:t xml:space="preserve"> slightly surpassing the 40% objective</w:t>
      </w:r>
      <w:r w:rsidRPr="00045449">
        <w:rPr>
          <w:rFonts w:ascii="Calibri" w:hAnsi="Calibri" w:cs="Calibri"/>
          <w:noProof/>
          <w:lang w:val="en-IE"/>
        </w:rPr>
        <w:t> –</w:t>
      </w:r>
      <w:r w:rsidRPr="00045449">
        <w:rPr>
          <w:noProof/>
          <w:lang w:val="en-IE"/>
        </w:rPr>
        <w:t xml:space="preserve"> providing focused support for climate-related projects such as renewable energy and energy efficiency.</w:t>
      </w:r>
    </w:p>
    <w:p w14:paraId="0B25C0FE" w14:textId="77777777" w:rsidR="00BD6673" w:rsidRPr="00045449" w:rsidRDefault="00BD6673" w:rsidP="00BD6673">
      <w:pPr>
        <w:pStyle w:val="ppoListHyphened-L1"/>
        <w:rPr>
          <w:noProof/>
          <w:lang w:val="en-IE"/>
        </w:rPr>
      </w:pPr>
      <w:r w:rsidRPr="00045449">
        <w:rPr>
          <w:noProof/>
          <w:lang w:val="en-IE"/>
        </w:rPr>
        <w:t>In terms of geographical spread, all EU Member States have received financing supported by the EFSI. At the end of 2021, the share of the top three Member States (France, Italy and Spain) accounted for 49.4% of the signed EFSI financing and for 45.02% of investment mobilised by signatures under the infrastructure and innovation window. Both metrics are slightly above the indicative limit of 45%. It is expected that at end of the signature period (31</w:t>
      </w:r>
      <w:r w:rsidRPr="00045449">
        <w:rPr>
          <w:rFonts w:ascii="Calibri" w:hAnsi="Calibri" w:cs="Calibri"/>
          <w:noProof/>
          <w:lang w:val="en-IE"/>
        </w:rPr>
        <w:t> </w:t>
      </w:r>
      <w:r w:rsidRPr="00045449">
        <w:rPr>
          <w:noProof/>
          <w:lang w:val="en-IE"/>
        </w:rPr>
        <w:t>December 2022) the actual share will be close to 45%.</w:t>
      </w:r>
    </w:p>
    <w:p w14:paraId="426999C7" w14:textId="77777777" w:rsidR="00BD6673" w:rsidRPr="00045449" w:rsidRDefault="00BD6673" w:rsidP="00BD6673">
      <w:pPr>
        <w:pStyle w:val="ppoListHyphened-L1"/>
        <w:rPr>
          <w:noProof/>
          <w:lang w:val="en-IE"/>
        </w:rPr>
      </w:pPr>
      <w:r w:rsidRPr="00045449">
        <w:rPr>
          <w:noProof/>
          <w:lang w:val="en-IE"/>
        </w:rPr>
        <w:t xml:space="preserve">After a ramp-up phase, the </w:t>
      </w:r>
      <w:r w:rsidRPr="00901493">
        <w:rPr>
          <w:noProof/>
        </w:rPr>
        <w:t>European Investment Advisory Hub</w:t>
      </w:r>
      <w:r w:rsidRPr="00045449">
        <w:rPr>
          <w:noProof/>
          <w:lang w:val="en-IE"/>
        </w:rPr>
        <w:t xml:space="preserve"> provided essential advisory support for EU project promoters and the national promotional banks and institutions. As of the end of 2021, 1</w:t>
      </w:r>
      <w:r w:rsidRPr="00045449">
        <w:rPr>
          <w:rFonts w:ascii="Calibri" w:hAnsi="Calibri" w:cs="Calibri"/>
          <w:noProof/>
          <w:lang w:val="en-IE"/>
        </w:rPr>
        <w:t> </w:t>
      </w:r>
      <w:r w:rsidRPr="00045449">
        <w:rPr>
          <w:noProof/>
          <w:lang w:val="en-IE"/>
        </w:rPr>
        <w:t>044 requests were allocated for support from the hub, and 120 of the assignments could potentially benefit from the EFSI guarantee (representing an estimate of investment of more than EUR</w:t>
      </w:r>
      <w:r w:rsidRPr="00045449">
        <w:rPr>
          <w:rFonts w:ascii="Calibri" w:hAnsi="Calibri" w:cs="Calibri"/>
          <w:noProof/>
          <w:lang w:val="en-IE"/>
        </w:rPr>
        <w:t> </w:t>
      </w:r>
      <w:r w:rsidRPr="00045449">
        <w:rPr>
          <w:noProof/>
          <w:lang w:val="en-IE"/>
        </w:rPr>
        <w:t>15 billion under EFSI).</w:t>
      </w:r>
    </w:p>
    <w:p w14:paraId="0B978AD0" w14:textId="77777777" w:rsidR="00592734" w:rsidRDefault="00BD6673" w:rsidP="00BD6673">
      <w:pPr>
        <w:pStyle w:val="ppoListHyphened-L1"/>
        <w:rPr>
          <w:noProof/>
          <w:lang w:val="en-IE"/>
        </w:rPr>
        <w:sectPr w:rsidR="00592734" w:rsidSect="00BB20EB">
          <w:headerReference w:type="even" r:id="rId120"/>
          <w:headerReference w:type="default" r:id="rId121"/>
          <w:footerReference w:type="even" r:id="rId122"/>
          <w:footerReference w:type="default" r:id="rId123"/>
          <w:headerReference w:type="first" r:id="rId124"/>
          <w:footerReference w:type="first" r:id="rId125"/>
          <w:type w:val="continuous"/>
          <w:pgSz w:w="11906" w:h="16838" w:code="9"/>
          <w:pgMar w:top="1134" w:right="1134" w:bottom="964" w:left="1134" w:header="431" w:footer="431" w:gutter="0"/>
          <w:cols w:space="720"/>
          <w:titlePg/>
          <w:docGrid w:linePitch="360"/>
        </w:sectPr>
      </w:pPr>
      <w:r w:rsidRPr="00045449">
        <w:rPr>
          <w:noProof/>
          <w:lang w:val="en-IE"/>
        </w:rPr>
        <w:t xml:space="preserve">Concerning the European Investment Project </w:t>
      </w:r>
      <w:r w:rsidRPr="006941BA">
        <w:rPr>
          <w:noProof/>
          <w:lang w:val="en-IE"/>
        </w:rPr>
        <w:t>p</w:t>
      </w:r>
      <w:r w:rsidRPr="00045449">
        <w:rPr>
          <w:noProof/>
          <w:lang w:val="en-IE"/>
        </w:rPr>
        <w:t>ortal, as of 20</w:t>
      </w:r>
      <w:r w:rsidRPr="00045449">
        <w:rPr>
          <w:rFonts w:ascii="Calibri" w:hAnsi="Calibri" w:cs="Calibri"/>
          <w:noProof/>
          <w:lang w:val="en-IE"/>
        </w:rPr>
        <w:t> </w:t>
      </w:r>
      <w:r w:rsidRPr="00045449">
        <w:rPr>
          <w:noProof/>
          <w:lang w:val="en-IE"/>
        </w:rPr>
        <w:t>April 2021 (until the launch of its successor, the InvestEU portal), it provided 1</w:t>
      </w:r>
      <w:r w:rsidRPr="00045449">
        <w:rPr>
          <w:rFonts w:ascii="Calibri" w:hAnsi="Calibri" w:cs="Calibri"/>
          <w:noProof/>
          <w:lang w:val="en-IE"/>
        </w:rPr>
        <w:t> </w:t>
      </w:r>
      <w:r w:rsidRPr="00045449">
        <w:rPr>
          <w:noProof/>
          <w:lang w:val="en-IE"/>
        </w:rPr>
        <w:t xml:space="preserve">112 investment opportunities and more than 80 projects have received financing after being published on the </w:t>
      </w:r>
      <w:r w:rsidRPr="00901493">
        <w:rPr>
          <w:noProof/>
          <w:lang w:val="en-IE"/>
        </w:rPr>
        <w:t>portal.</w:t>
      </w:r>
    </w:p>
    <w:p w14:paraId="41EC55A6" w14:textId="77777777" w:rsidR="00592734" w:rsidRPr="0009318A" w:rsidRDefault="00592734" w:rsidP="00592734">
      <w:pPr>
        <w:pStyle w:val="StyleppoHeading3WhiteLeft0cm"/>
        <w:rPr>
          <w:noProof/>
          <w:sz w:val="40"/>
          <w:szCs w:val="40"/>
        </w:rPr>
      </w:pPr>
    </w:p>
    <w:p w14:paraId="229EA39D" w14:textId="77777777" w:rsidR="00592734" w:rsidRPr="0009318A" w:rsidRDefault="00592734" w:rsidP="00592734">
      <w:pPr>
        <w:pStyle w:val="StyleppoHeading3WhiteLeft0cm"/>
        <w:rPr>
          <w:noProof/>
          <w:sz w:val="60"/>
          <w:szCs w:val="60"/>
        </w:rPr>
      </w:pPr>
      <w:bookmarkStart w:id="52" w:name="_Toc102086334"/>
      <w:r w:rsidRPr="0009318A">
        <w:rPr>
          <w:noProof/>
          <w:sz w:val="60"/>
          <w:szCs w:val="60"/>
        </w:rPr>
        <w:t>CEF</w:t>
      </w:r>
      <w:bookmarkEnd w:id="52"/>
    </w:p>
    <w:p w14:paraId="3AF77D80" w14:textId="77777777" w:rsidR="00592734" w:rsidRPr="00040D99" w:rsidRDefault="00592734" w:rsidP="00592734">
      <w:pPr>
        <w:pStyle w:val="StyleppoProgrammenameWhiteLeft01cm"/>
        <w:rPr>
          <w:noProof/>
        </w:rPr>
      </w:pPr>
      <w:r>
        <w:rPr>
          <w:noProof/>
        </w:rPr>
        <w:t>CONNECTING EUROPE FACILITY</w:t>
      </w:r>
    </w:p>
    <w:p w14:paraId="43966B92" w14:textId="77777777" w:rsidR="00592734" w:rsidRPr="00351CB7" w:rsidRDefault="00592734" w:rsidP="00592734">
      <w:pPr>
        <w:pStyle w:val="ppoHeading4Orange"/>
        <w:rPr>
          <w:noProof/>
        </w:rPr>
      </w:pPr>
      <w:r w:rsidRPr="00351CB7">
        <w:rPr>
          <w:noProof/>
        </w:rPr>
        <w:t>Programme in a nutshell</w:t>
      </w:r>
    </w:p>
    <w:p w14:paraId="105BEB9B" w14:textId="77777777" w:rsidR="00592734" w:rsidRPr="00040D99" w:rsidRDefault="00592734" w:rsidP="00592734">
      <w:pPr>
        <w:pStyle w:val="ppoHeading5"/>
        <w:rPr>
          <w:noProof/>
        </w:rPr>
      </w:pPr>
      <w:r w:rsidRPr="00040D99">
        <w:rPr>
          <w:noProof/>
        </w:rPr>
        <w:t>Concrete examples of achievements</w:t>
      </w:r>
      <w:r>
        <w:rPr>
          <w:rFonts w:ascii="Calibri" w:hAnsi="Calibri" w:cs="Calibri"/>
          <w:noProof/>
        </w:rPr>
        <w:t> </w:t>
      </w:r>
      <w:r>
        <w:rPr>
          <w:noProof/>
        </w:rPr>
        <w:t>(*)</w:t>
      </w:r>
    </w:p>
    <w:tbl>
      <w:tblPr>
        <w:tblStyle w:val="PPO2021"/>
        <w:tblW w:w="9639" w:type="dxa"/>
        <w:tblInd w:w="0" w:type="dxa"/>
        <w:tblLook w:val="0200" w:firstRow="0" w:lastRow="0" w:firstColumn="0" w:lastColumn="0" w:noHBand="1" w:noVBand="0"/>
      </w:tblPr>
      <w:tblGrid>
        <w:gridCol w:w="2410"/>
        <w:gridCol w:w="2409"/>
        <w:gridCol w:w="2410"/>
        <w:gridCol w:w="2410"/>
      </w:tblGrid>
      <w:tr w:rsidR="00592734" w:rsidRPr="00040D99" w14:paraId="11696472" w14:textId="77777777" w:rsidTr="00C46CC7">
        <w:tc>
          <w:tcPr>
            <w:tcW w:w="2410" w:type="dxa"/>
          </w:tcPr>
          <w:p w14:paraId="316A4AB0" w14:textId="77777777" w:rsidR="00592734" w:rsidRPr="0076270C" w:rsidRDefault="00592734" w:rsidP="00BB20EB">
            <w:pPr>
              <w:pStyle w:val="ppoTableacheivementvalue"/>
              <w:rPr>
                <w:noProof/>
              </w:rPr>
            </w:pPr>
            <w:bookmarkStart w:id="53" w:name="_Hlk101444993"/>
            <w:r>
              <w:rPr>
                <w:noProof/>
              </w:rPr>
              <w:t>143</w:t>
            </w:r>
          </w:p>
          <w:p w14:paraId="55C01050" w14:textId="77777777" w:rsidR="00592734" w:rsidRPr="0076270C" w:rsidRDefault="00592734" w:rsidP="00962E3C">
            <w:pPr>
              <w:jc w:val="left"/>
              <w:rPr>
                <w:noProof/>
              </w:rPr>
            </w:pPr>
            <w:r>
              <w:rPr>
                <w:noProof/>
              </w:rPr>
              <w:t>u</w:t>
            </w:r>
            <w:r w:rsidRPr="005626CE">
              <w:rPr>
                <w:noProof/>
              </w:rPr>
              <w:t>ltra-fast, fast and standard charging stations</w:t>
            </w:r>
            <w:r>
              <w:rPr>
                <w:noProof/>
              </w:rPr>
              <w:t xml:space="preserve"> were</w:t>
            </w:r>
            <w:r w:rsidRPr="005626CE">
              <w:rPr>
                <w:noProof/>
              </w:rPr>
              <w:t xml:space="preserve"> deployed across the Netherlands, Belgium, Germany, Austria, Poland</w:t>
            </w:r>
            <w:r>
              <w:rPr>
                <w:noProof/>
              </w:rPr>
              <w:t xml:space="preserve"> and </w:t>
            </w:r>
            <w:r w:rsidRPr="005626CE">
              <w:rPr>
                <w:noProof/>
              </w:rPr>
              <w:t xml:space="preserve">Slovakia </w:t>
            </w:r>
            <w:r>
              <w:rPr>
                <w:noProof/>
              </w:rPr>
              <w:t>by the end of 2021</w:t>
            </w:r>
            <w:r w:rsidRPr="0076270C">
              <w:rPr>
                <w:noProof/>
              </w:rPr>
              <w:t>.</w:t>
            </w:r>
            <w:bookmarkEnd w:id="53"/>
          </w:p>
        </w:tc>
        <w:tc>
          <w:tcPr>
            <w:cnfStyle w:val="000001000000" w:firstRow="0" w:lastRow="0" w:firstColumn="0" w:lastColumn="0" w:oddVBand="0" w:evenVBand="1" w:oddHBand="0" w:evenHBand="0" w:firstRowFirstColumn="0" w:firstRowLastColumn="0" w:lastRowFirstColumn="0" w:lastRowLastColumn="0"/>
            <w:tcW w:w="0" w:type="auto"/>
          </w:tcPr>
          <w:p w14:paraId="443EA6C0" w14:textId="77777777" w:rsidR="00592734" w:rsidRPr="001350BE" w:rsidRDefault="00592734" w:rsidP="00BB20EB">
            <w:pPr>
              <w:pStyle w:val="ppoTableacheivementvalue"/>
              <w:rPr>
                <w:rFonts w:ascii="Calibri" w:hAnsi="Calibri" w:cs="Calibri"/>
                <w:noProof/>
              </w:rPr>
            </w:pPr>
            <w:bookmarkStart w:id="54" w:name="_Hlk101445042"/>
            <w:r>
              <w:rPr>
                <w:noProof/>
              </w:rPr>
              <w:t>204</w:t>
            </w:r>
            <w:r>
              <w:rPr>
                <w:rFonts w:ascii="Calibri" w:hAnsi="Calibri" w:cs="Calibri"/>
                <w:noProof/>
              </w:rPr>
              <w:t> km</w:t>
            </w:r>
          </w:p>
          <w:p w14:paraId="328FFDD9" w14:textId="77777777" w:rsidR="00592734" w:rsidRPr="0076270C" w:rsidRDefault="00592734" w:rsidP="00962E3C">
            <w:pPr>
              <w:jc w:val="left"/>
              <w:rPr>
                <w:noProof/>
              </w:rPr>
            </w:pPr>
            <w:r w:rsidRPr="00B72AB7">
              <w:rPr>
                <w:noProof/>
              </w:rPr>
              <w:t>of double</w:t>
            </w:r>
            <w:r>
              <w:rPr>
                <w:noProof/>
              </w:rPr>
              <w:noBreakHyphen/>
            </w:r>
            <w:r w:rsidRPr="00B72AB7">
              <w:rPr>
                <w:noProof/>
              </w:rPr>
              <w:t xml:space="preserve">track railway line </w:t>
            </w:r>
            <w:r>
              <w:rPr>
                <w:noProof/>
              </w:rPr>
              <w:t xml:space="preserve">was </w:t>
            </w:r>
            <w:r w:rsidRPr="00B72AB7">
              <w:rPr>
                <w:noProof/>
              </w:rPr>
              <w:t xml:space="preserve">equipped with </w:t>
            </w:r>
            <w:r>
              <w:rPr>
                <w:noProof/>
              </w:rPr>
              <w:t xml:space="preserve">the </w:t>
            </w:r>
            <w:r w:rsidRPr="00EB0374">
              <w:rPr>
                <w:noProof/>
              </w:rPr>
              <w:t xml:space="preserve">European </w:t>
            </w:r>
            <w:r>
              <w:rPr>
                <w:noProof/>
              </w:rPr>
              <w:t>r</w:t>
            </w:r>
            <w:r w:rsidRPr="00EB0374">
              <w:rPr>
                <w:noProof/>
              </w:rPr>
              <w:t xml:space="preserve">ail </w:t>
            </w:r>
            <w:r>
              <w:rPr>
                <w:noProof/>
              </w:rPr>
              <w:t>t</w:t>
            </w:r>
            <w:r w:rsidRPr="00EB0374">
              <w:rPr>
                <w:noProof/>
              </w:rPr>
              <w:t xml:space="preserve">raffic </w:t>
            </w:r>
            <w:r>
              <w:rPr>
                <w:noProof/>
              </w:rPr>
              <w:t>m</w:t>
            </w:r>
            <w:r w:rsidRPr="00EB0374">
              <w:rPr>
                <w:noProof/>
              </w:rPr>
              <w:t xml:space="preserve">anagement </w:t>
            </w:r>
            <w:r>
              <w:rPr>
                <w:noProof/>
              </w:rPr>
              <w:t>s</w:t>
            </w:r>
            <w:r w:rsidRPr="00EB0374">
              <w:rPr>
                <w:noProof/>
              </w:rPr>
              <w:t>ystem</w:t>
            </w:r>
            <w:r w:rsidRPr="00B72AB7">
              <w:rPr>
                <w:noProof/>
              </w:rPr>
              <w:t xml:space="preserve"> in Czech</w:t>
            </w:r>
            <w:r>
              <w:rPr>
                <w:noProof/>
              </w:rPr>
              <w:t>ia</w:t>
            </w:r>
            <w:r w:rsidRPr="00B72AB7">
              <w:rPr>
                <w:noProof/>
              </w:rPr>
              <w:t xml:space="preserve"> </w:t>
            </w:r>
            <w:r>
              <w:rPr>
                <w:noProof/>
              </w:rPr>
              <w:t>by the end of 2021</w:t>
            </w:r>
            <w:r w:rsidRPr="00B72AB7">
              <w:rPr>
                <w:noProof/>
              </w:rPr>
              <w:t xml:space="preserve">, improving safety and allowing for enhanced interoperability along the Baltic-Adriatic </w:t>
            </w:r>
            <w:r>
              <w:rPr>
                <w:noProof/>
              </w:rPr>
              <w:t>c</w:t>
            </w:r>
            <w:r w:rsidRPr="00B72AB7">
              <w:rPr>
                <w:noProof/>
              </w:rPr>
              <w:t xml:space="preserve">ore </w:t>
            </w:r>
            <w:r>
              <w:rPr>
                <w:noProof/>
              </w:rPr>
              <w:t>n</w:t>
            </w:r>
            <w:r w:rsidRPr="00B72AB7">
              <w:rPr>
                <w:noProof/>
              </w:rPr>
              <w:t xml:space="preserve">etwork </w:t>
            </w:r>
            <w:r>
              <w:rPr>
                <w:noProof/>
              </w:rPr>
              <w:t>c</w:t>
            </w:r>
            <w:r w:rsidRPr="00B72AB7">
              <w:rPr>
                <w:noProof/>
              </w:rPr>
              <w:t>orridor</w:t>
            </w:r>
            <w:r w:rsidRPr="0076270C">
              <w:rPr>
                <w:noProof/>
              </w:rPr>
              <w:t>.</w:t>
            </w:r>
            <w:bookmarkEnd w:id="54"/>
          </w:p>
        </w:tc>
        <w:tc>
          <w:tcPr>
            <w:tcW w:w="2410" w:type="dxa"/>
            <w:tcBorders>
              <w:bottom w:val="single" w:sz="4" w:space="0" w:color="8C8C8C"/>
            </w:tcBorders>
          </w:tcPr>
          <w:p w14:paraId="590A4F76" w14:textId="77777777" w:rsidR="00592734" w:rsidRDefault="00592734" w:rsidP="00BB20EB">
            <w:pPr>
              <w:pStyle w:val="ppoTableacheivementvalue"/>
              <w:cnfStyle w:val="000000000000" w:firstRow="0" w:lastRow="0" w:firstColumn="0" w:lastColumn="0" w:oddVBand="0" w:evenVBand="0" w:oddHBand="0" w:evenHBand="0" w:firstRowFirstColumn="0" w:firstRowLastColumn="0" w:lastRowFirstColumn="0" w:lastRowLastColumn="0"/>
              <w:rPr>
                <w:noProof/>
              </w:rPr>
            </w:pPr>
            <w:bookmarkStart w:id="55" w:name="_Hlk101445114"/>
            <w:r>
              <w:rPr>
                <w:noProof/>
              </w:rPr>
              <w:t>4</w:t>
            </w:r>
            <w:r>
              <w:rPr>
                <w:rFonts w:ascii="Calibri" w:hAnsi="Calibri" w:cs="Calibri"/>
                <w:noProof/>
              </w:rPr>
              <w:t> </w:t>
            </w:r>
            <w:r>
              <w:rPr>
                <w:noProof/>
              </w:rPr>
              <w:t>200</w:t>
            </w:r>
            <w:r>
              <w:rPr>
                <w:rFonts w:ascii="Calibri" w:hAnsi="Calibri" w:cs="Calibri"/>
                <w:noProof/>
              </w:rPr>
              <w:t> </w:t>
            </w:r>
            <w:r>
              <w:rPr>
                <w:noProof/>
              </w:rPr>
              <w:t>k</w:t>
            </w:r>
            <w:r w:rsidRPr="005626CE">
              <w:rPr>
                <w:noProof/>
              </w:rPr>
              <w:t>m</w:t>
            </w:r>
          </w:p>
          <w:p w14:paraId="7B9755B4" w14:textId="77777777" w:rsidR="00592734" w:rsidRPr="0076270C" w:rsidRDefault="00592734" w:rsidP="00962E3C">
            <w:pPr>
              <w:pStyle w:val="ppoTableacheivementvalue"/>
              <w:jc w:val="left"/>
              <w:cnfStyle w:val="000000000000" w:firstRow="0" w:lastRow="0" w:firstColumn="0" w:lastColumn="0" w:oddVBand="0" w:evenVBand="0" w:oddHBand="0" w:evenHBand="0" w:firstRowFirstColumn="0" w:firstRowLastColumn="0" w:lastRowFirstColumn="0" w:lastRowLastColumn="0"/>
              <w:rPr>
                <w:noProof/>
              </w:rPr>
            </w:pPr>
            <w:r w:rsidRPr="00AE210A">
              <w:rPr>
                <w:noProof/>
                <w:sz w:val="22"/>
                <w:szCs w:val="22"/>
              </w:rPr>
              <w:t xml:space="preserve">of </w:t>
            </w:r>
            <w:r>
              <w:rPr>
                <w:noProof/>
                <w:sz w:val="22"/>
                <w:szCs w:val="22"/>
              </w:rPr>
              <w:t>trans-European transport network</w:t>
            </w:r>
            <w:r w:rsidRPr="00AE210A">
              <w:rPr>
                <w:noProof/>
                <w:sz w:val="22"/>
                <w:szCs w:val="22"/>
              </w:rPr>
              <w:t xml:space="preserve"> road </w:t>
            </w:r>
            <w:r>
              <w:rPr>
                <w:noProof/>
                <w:sz w:val="22"/>
                <w:szCs w:val="22"/>
              </w:rPr>
              <w:t xml:space="preserve">were provided with </w:t>
            </w:r>
            <w:r w:rsidRPr="00AE210A">
              <w:rPr>
                <w:noProof/>
                <w:sz w:val="22"/>
                <w:szCs w:val="22"/>
              </w:rPr>
              <w:t>harmonised and synchroni</w:t>
            </w:r>
            <w:r>
              <w:rPr>
                <w:noProof/>
                <w:sz w:val="22"/>
                <w:szCs w:val="22"/>
              </w:rPr>
              <w:t>s</w:t>
            </w:r>
            <w:r w:rsidRPr="00AE210A">
              <w:rPr>
                <w:noProof/>
                <w:sz w:val="22"/>
                <w:szCs w:val="22"/>
              </w:rPr>
              <w:t xml:space="preserve">ed </w:t>
            </w:r>
            <w:r>
              <w:rPr>
                <w:noProof/>
                <w:sz w:val="22"/>
                <w:szCs w:val="22"/>
              </w:rPr>
              <w:t>intelligent transport systems</w:t>
            </w:r>
            <w:r w:rsidRPr="00AE210A">
              <w:rPr>
                <w:noProof/>
                <w:sz w:val="22"/>
                <w:szCs w:val="22"/>
              </w:rPr>
              <w:t xml:space="preserve"> services</w:t>
            </w:r>
            <w:r>
              <w:rPr>
                <w:noProof/>
                <w:sz w:val="22"/>
                <w:szCs w:val="22"/>
              </w:rPr>
              <w:t xml:space="preserve"> by the end of 2021</w:t>
            </w:r>
            <w:r w:rsidRPr="00AE210A">
              <w:rPr>
                <w:noProof/>
                <w:sz w:val="22"/>
                <w:szCs w:val="22"/>
              </w:rPr>
              <w:t>.</w:t>
            </w:r>
            <w:bookmarkEnd w:id="55"/>
          </w:p>
        </w:tc>
        <w:tc>
          <w:tcPr>
            <w:cnfStyle w:val="000001000000" w:firstRow="0" w:lastRow="0" w:firstColumn="0" w:lastColumn="0" w:oddVBand="0" w:evenVBand="1" w:oddHBand="0" w:evenHBand="0" w:firstRowFirstColumn="0" w:firstRowLastColumn="0" w:lastRowFirstColumn="0" w:lastRowLastColumn="0"/>
            <w:tcW w:w="0" w:type="auto"/>
          </w:tcPr>
          <w:p w14:paraId="77BFD38C" w14:textId="77777777" w:rsidR="00592734" w:rsidRDefault="00592734" w:rsidP="00BB20EB">
            <w:pPr>
              <w:pStyle w:val="ppoTableacheivementvalue"/>
              <w:rPr>
                <w:noProof/>
              </w:rPr>
            </w:pPr>
            <w:bookmarkStart w:id="56" w:name="_Hlk101445084"/>
            <w:r>
              <w:rPr>
                <w:noProof/>
              </w:rPr>
              <w:t>12</w:t>
            </w:r>
            <w:r>
              <w:rPr>
                <w:rFonts w:ascii="Calibri" w:hAnsi="Calibri" w:cs="Calibri"/>
                <w:noProof/>
              </w:rPr>
              <w:t> </w:t>
            </w:r>
            <w:r>
              <w:rPr>
                <w:noProof/>
              </w:rPr>
              <w:t>430</w:t>
            </w:r>
            <w:r>
              <w:rPr>
                <w:rFonts w:ascii="Calibri" w:hAnsi="Calibri" w:cs="Calibri"/>
                <w:noProof/>
              </w:rPr>
              <w:t> </w:t>
            </w:r>
            <w:r>
              <w:rPr>
                <w:noProof/>
              </w:rPr>
              <w:t>MW</w:t>
            </w:r>
          </w:p>
          <w:p w14:paraId="15239720" w14:textId="77777777" w:rsidR="00592734" w:rsidRPr="0076270C" w:rsidRDefault="00592734" w:rsidP="00BB20EB">
            <w:pPr>
              <w:pStyle w:val="ppoTableacheivementvalue"/>
              <w:rPr>
                <w:noProof/>
              </w:rPr>
            </w:pPr>
            <w:r w:rsidRPr="00AE210A">
              <w:rPr>
                <w:noProof/>
                <w:sz w:val="22"/>
                <w:szCs w:val="22"/>
              </w:rPr>
              <w:t xml:space="preserve">of electricity transmission capacity </w:t>
            </w:r>
            <w:r>
              <w:rPr>
                <w:noProof/>
                <w:sz w:val="22"/>
                <w:szCs w:val="22"/>
              </w:rPr>
              <w:t xml:space="preserve">was added in 2021 </w:t>
            </w:r>
            <w:r w:rsidRPr="00AE210A">
              <w:rPr>
                <w:noProof/>
                <w:sz w:val="22"/>
                <w:szCs w:val="22"/>
              </w:rPr>
              <w:t>through lines installed in Bulgaria</w:t>
            </w:r>
            <w:r>
              <w:rPr>
                <w:noProof/>
                <w:sz w:val="22"/>
                <w:szCs w:val="22"/>
              </w:rPr>
              <w:t xml:space="preserve">, Estonia, </w:t>
            </w:r>
            <w:r w:rsidRPr="00AE210A">
              <w:rPr>
                <w:noProof/>
                <w:sz w:val="22"/>
                <w:szCs w:val="22"/>
              </w:rPr>
              <w:t>France</w:t>
            </w:r>
            <w:r>
              <w:rPr>
                <w:noProof/>
                <w:sz w:val="22"/>
                <w:szCs w:val="22"/>
              </w:rPr>
              <w:t xml:space="preserve">, </w:t>
            </w:r>
            <w:r w:rsidRPr="00AE210A">
              <w:rPr>
                <w:noProof/>
                <w:sz w:val="22"/>
                <w:szCs w:val="22"/>
              </w:rPr>
              <w:t>Hungary, Slovakia, Norway and the United Kingdo</w:t>
            </w:r>
            <w:r>
              <w:rPr>
                <w:noProof/>
                <w:sz w:val="22"/>
                <w:szCs w:val="22"/>
              </w:rPr>
              <w:t>m</w:t>
            </w:r>
            <w:r w:rsidRPr="00AE210A">
              <w:rPr>
                <w:noProof/>
                <w:sz w:val="22"/>
                <w:szCs w:val="22"/>
              </w:rPr>
              <w:t>.</w:t>
            </w:r>
            <w:bookmarkEnd w:id="56"/>
          </w:p>
        </w:tc>
      </w:tr>
      <w:tr w:rsidR="00592734" w:rsidRPr="00040D99" w14:paraId="7E6E6F54" w14:textId="77777777" w:rsidTr="00C46CC7">
        <w:tc>
          <w:tcPr>
            <w:tcW w:w="2410" w:type="dxa"/>
          </w:tcPr>
          <w:p w14:paraId="133F1746" w14:textId="77777777" w:rsidR="00592734" w:rsidRDefault="00592734" w:rsidP="00BB20EB">
            <w:pPr>
              <w:pStyle w:val="ppoTableacheivementvalue"/>
              <w:rPr>
                <w:noProof/>
              </w:rPr>
            </w:pPr>
            <w:bookmarkStart w:id="57" w:name="_Hlk101444948"/>
            <w:r>
              <w:rPr>
                <w:noProof/>
              </w:rPr>
              <w:t>5.4</w:t>
            </w:r>
            <w:r>
              <w:rPr>
                <w:rFonts w:ascii="Calibri" w:hAnsi="Calibri" w:cs="Calibri"/>
                <w:noProof/>
              </w:rPr>
              <w:t> billion m</w:t>
            </w:r>
            <w:r w:rsidRPr="001350BE">
              <w:rPr>
                <w:rFonts w:ascii="Calibri" w:hAnsi="Calibri" w:cs="Calibri"/>
                <w:noProof/>
                <w:vertAlign w:val="superscript"/>
              </w:rPr>
              <w:t>3</w:t>
            </w:r>
          </w:p>
          <w:p w14:paraId="766C9232" w14:textId="77777777" w:rsidR="00592734" w:rsidRPr="0076270C" w:rsidRDefault="00592734" w:rsidP="00962E3C">
            <w:pPr>
              <w:pStyle w:val="ppoTableacheivementvalue"/>
              <w:jc w:val="left"/>
              <w:rPr>
                <w:noProof/>
              </w:rPr>
            </w:pPr>
            <w:r w:rsidRPr="00AE210A">
              <w:rPr>
                <w:noProof/>
                <w:sz w:val="22"/>
                <w:szCs w:val="22"/>
              </w:rPr>
              <w:t>per year of additional transmission capacity through gas pipelines</w:t>
            </w:r>
            <w:r>
              <w:rPr>
                <w:noProof/>
                <w:sz w:val="22"/>
                <w:szCs w:val="22"/>
              </w:rPr>
              <w:t xml:space="preserve"> was</w:t>
            </w:r>
            <w:r w:rsidRPr="00AE210A">
              <w:rPr>
                <w:noProof/>
                <w:sz w:val="22"/>
                <w:szCs w:val="22"/>
              </w:rPr>
              <w:t xml:space="preserve"> installed in Estonia</w:t>
            </w:r>
            <w:r>
              <w:rPr>
                <w:noProof/>
                <w:sz w:val="22"/>
                <w:szCs w:val="22"/>
              </w:rPr>
              <w:t xml:space="preserve">, </w:t>
            </w:r>
            <w:r w:rsidRPr="00AE210A">
              <w:rPr>
                <w:noProof/>
                <w:sz w:val="22"/>
                <w:szCs w:val="22"/>
              </w:rPr>
              <w:t>Croatia</w:t>
            </w:r>
            <w:r>
              <w:rPr>
                <w:noProof/>
                <w:sz w:val="22"/>
                <w:szCs w:val="22"/>
              </w:rPr>
              <w:t>,</w:t>
            </w:r>
            <w:r w:rsidRPr="00AE210A">
              <w:rPr>
                <w:noProof/>
                <w:sz w:val="22"/>
                <w:szCs w:val="22"/>
              </w:rPr>
              <w:t xml:space="preserve"> Latvia</w:t>
            </w:r>
            <w:r>
              <w:rPr>
                <w:noProof/>
                <w:sz w:val="22"/>
                <w:szCs w:val="22"/>
              </w:rPr>
              <w:t>,</w:t>
            </w:r>
            <w:r w:rsidRPr="00AE210A">
              <w:rPr>
                <w:noProof/>
                <w:sz w:val="22"/>
                <w:szCs w:val="22"/>
              </w:rPr>
              <w:t xml:space="preserve"> Hungary</w:t>
            </w:r>
            <w:r>
              <w:rPr>
                <w:noProof/>
                <w:sz w:val="22"/>
                <w:szCs w:val="22"/>
              </w:rPr>
              <w:t xml:space="preserve"> and </w:t>
            </w:r>
            <w:r w:rsidRPr="00AE210A">
              <w:rPr>
                <w:noProof/>
                <w:sz w:val="22"/>
                <w:szCs w:val="22"/>
              </w:rPr>
              <w:t>Romania</w:t>
            </w:r>
            <w:r>
              <w:rPr>
                <w:noProof/>
                <w:sz w:val="22"/>
                <w:szCs w:val="22"/>
              </w:rPr>
              <w:t xml:space="preserve"> by the end of 2021</w:t>
            </w:r>
            <w:r w:rsidRPr="00AE210A">
              <w:rPr>
                <w:noProof/>
                <w:sz w:val="22"/>
                <w:szCs w:val="22"/>
              </w:rPr>
              <w:t>.</w:t>
            </w:r>
            <w:bookmarkEnd w:id="57"/>
          </w:p>
        </w:tc>
        <w:tc>
          <w:tcPr>
            <w:cnfStyle w:val="000001000000" w:firstRow="0" w:lastRow="0" w:firstColumn="0" w:lastColumn="0" w:oddVBand="0" w:evenVBand="1" w:oddHBand="0" w:evenHBand="0" w:firstRowFirstColumn="0" w:firstRowLastColumn="0" w:lastRowFirstColumn="0" w:lastRowLastColumn="0"/>
            <w:tcW w:w="2409" w:type="dxa"/>
            <w:shd w:val="clear" w:color="auto" w:fill="F2F2F2"/>
          </w:tcPr>
          <w:p w14:paraId="3E318A17" w14:textId="77777777" w:rsidR="00592734" w:rsidRDefault="00592734" w:rsidP="00BB20EB">
            <w:pPr>
              <w:pStyle w:val="ppoTableacheivementvalue"/>
              <w:rPr>
                <w:noProof/>
              </w:rPr>
            </w:pPr>
            <w:bookmarkStart w:id="58" w:name="_Hlk101444970"/>
            <w:r>
              <w:rPr>
                <w:noProof/>
              </w:rPr>
              <w:t>76</w:t>
            </w:r>
            <w:r>
              <w:rPr>
                <w:rFonts w:ascii="Calibri" w:hAnsi="Calibri" w:cs="Calibri"/>
                <w:noProof/>
              </w:rPr>
              <w:t> </w:t>
            </w:r>
            <w:r>
              <w:rPr>
                <w:noProof/>
              </w:rPr>
              <w:t>178</w:t>
            </w:r>
          </w:p>
          <w:p w14:paraId="0D8B6D00" w14:textId="77777777" w:rsidR="00592734" w:rsidRPr="00B72AB7" w:rsidRDefault="00592734" w:rsidP="00962E3C">
            <w:pPr>
              <w:jc w:val="left"/>
              <w:rPr>
                <w:noProof/>
              </w:rPr>
            </w:pPr>
            <w:r>
              <w:rPr>
                <w:noProof/>
              </w:rPr>
              <w:t>Wifi4EU access points were made available to European citizens through networks deployed by municipalities by the end of 2021.</w:t>
            </w:r>
            <w:bookmarkEnd w:id="58"/>
          </w:p>
        </w:tc>
        <w:tc>
          <w:tcPr>
            <w:tcW w:w="2410" w:type="dxa"/>
            <w:tcBorders>
              <w:bottom w:val="nil"/>
            </w:tcBorders>
            <w:shd w:val="clear" w:color="auto" w:fill="FFFFFF" w:themeFill="background1"/>
          </w:tcPr>
          <w:p w14:paraId="38E147E8" w14:textId="77777777" w:rsidR="00592734" w:rsidRPr="0076270C" w:rsidRDefault="00592734" w:rsidP="00BB20EB">
            <w:pPr>
              <w:cnfStyle w:val="000000000000" w:firstRow="0" w:lastRow="0" w:firstColumn="0" w:lastColumn="0" w:oddVBand="0" w:evenVBand="0" w:oddHBand="0" w:evenHBand="0" w:firstRowFirstColumn="0" w:firstRowLastColumn="0" w:lastRowFirstColumn="0" w:lastRowLastColumn="0"/>
              <w:rPr>
                <w:noProof/>
              </w:rPr>
            </w:pPr>
          </w:p>
        </w:tc>
        <w:tc>
          <w:tcPr>
            <w:cnfStyle w:val="000001000000" w:firstRow="0" w:lastRow="0" w:firstColumn="0" w:lastColumn="0" w:oddVBand="0" w:evenVBand="1" w:oddHBand="0" w:evenHBand="0" w:firstRowFirstColumn="0" w:firstRowLastColumn="0" w:lastRowFirstColumn="0" w:lastRowLastColumn="0"/>
            <w:tcW w:w="2410" w:type="dxa"/>
            <w:tcBorders>
              <w:bottom w:val="nil"/>
            </w:tcBorders>
            <w:shd w:val="clear" w:color="auto" w:fill="FFFFFF" w:themeFill="background1"/>
          </w:tcPr>
          <w:p w14:paraId="35905DE2" w14:textId="77777777" w:rsidR="00592734" w:rsidRPr="0076270C" w:rsidRDefault="00592734" w:rsidP="00BB20EB">
            <w:pPr>
              <w:rPr>
                <w:noProof/>
              </w:rPr>
            </w:pPr>
          </w:p>
        </w:tc>
      </w:tr>
    </w:tbl>
    <w:p w14:paraId="6DB1ED9D" w14:textId="77777777" w:rsidR="00592734" w:rsidRPr="00040D99" w:rsidRDefault="00592734" w:rsidP="00592734">
      <w:pPr>
        <w:pStyle w:val="FootnoteText"/>
        <w:rPr>
          <w:rFonts w:eastAsiaTheme="minorEastAsia"/>
          <w:noProof/>
        </w:rPr>
      </w:pPr>
      <w:r>
        <w:rPr>
          <w:rFonts w:eastAsiaTheme="minorEastAsia"/>
          <w:noProof/>
        </w:rPr>
        <w:t>(*)</w:t>
      </w:r>
      <w:r>
        <w:rPr>
          <w:rFonts w:eastAsiaTheme="minorEastAsia"/>
          <w:noProof/>
        </w:rPr>
        <w:tab/>
      </w:r>
      <w:r w:rsidRPr="00CA5FD3">
        <w:rPr>
          <w:rFonts w:eastAsiaTheme="minorEastAsia"/>
          <w:noProof/>
        </w:rPr>
        <w:t xml:space="preserve">Key achievements in the table state which period they relate to. Many come from the implementation of the predecessor programmes under the 2014-2020 </w:t>
      </w:r>
      <w:r>
        <w:rPr>
          <w:rFonts w:eastAsiaTheme="minorEastAsia"/>
          <w:noProof/>
        </w:rPr>
        <w:t>multiannual financial framework</w:t>
      </w:r>
      <w:r w:rsidRPr="00CA5FD3">
        <w:rPr>
          <w:rFonts w:eastAsiaTheme="minorEastAsia"/>
          <w:noProof/>
        </w:rPr>
        <w:t xml:space="preserve">. This is expected and </w:t>
      </w:r>
      <w:r>
        <w:rPr>
          <w:rFonts w:eastAsiaTheme="minorEastAsia"/>
          <w:noProof/>
        </w:rPr>
        <w:t xml:space="preserve">is </w:t>
      </w:r>
      <w:r w:rsidRPr="00CA5FD3">
        <w:rPr>
          <w:rFonts w:eastAsiaTheme="minorEastAsia"/>
          <w:noProof/>
        </w:rPr>
        <w:t>due to the multiannual life</w:t>
      </w:r>
      <w:r>
        <w:rPr>
          <w:rFonts w:eastAsiaTheme="minorEastAsia"/>
          <w:noProof/>
        </w:rPr>
        <w:t xml:space="preserve"> </w:t>
      </w:r>
      <w:r w:rsidRPr="00CA5FD3">
        <w:rPr>
          <w:rFonts w:eastAsiaTheme="minorEastAsia"/>
          <w:noProof/>
        </w:rPr>
        <w:t>cycle of EU programmes and the projects they finan</w:t>
      </w:r>
      <w:r>
        <w:rPr>
          <w:rFonts w:eastAsiaTheme="minorEastAsia"/>
          <w:noProof/>
        </w:rPr>
        <w:t>ce,</w:t>
      </w:r>
      <w:r w:rsidRPr="00CA5FD3">
        <w:rPr>
          <w:rFonts w:eastAsiaTheme="minorEastAsia"/>
          <w:noProof/>
        </w:rPr>
        <w:t xml:space="preserve"> where results often follow only after completion of the programmes.</w:t>
      </w:r>
    </w:p>
    <w:p w14:paraId="5DF582DD" w14:textId="77777777" w:rsidR="00592734" w:rsidRDefault="00592734" w:rsidP="00592734">
      <w:pPr>
        <w:pStyle w:val="ppoHeading5"/>
        <w:rPr>
          <w:noProof/>
        </w:rPr>
      </w:pPr>
      <w:r w:rsidRPr="00040D99">
        <w:rPr>
          <w:noProof/>
        </w:rPr>
        <w:t xml:space="preserve">Budget </w:t>
      </w:r>
      <w:r>
        <w:rPr>
          <w:noProof/>
        </w:rPr>
        <w:t xml:space="preserve">for </w:t>
      </w:r>
      <w:r w:rsidRPr="00040D99">
        <w:rPr>
          <w:noProof/>
        </w:rPr>
        <w:t>2021-2027</w:t>
      </w:r>
    </w:p>
    <w:p w14:paraId="2EAA489B" w14:textId="77777777" w:rsidR="00592734" w:rsidRPr="009359FF" w:rsidRDefault="00592734" w:rsidP="00592734">
      <w:pPr>
        <w:pStyle w:val="ppoTableTabletitle"/>
        <w:ind w:left="284"/>
        <w:rPr>
          <w:noProof/>
        </w:rPr>
      </w:pPr>
      <w:r>
        <w:rPr>
          <w:noProof/>
        </w:rPr>
        <w:t>(million</w:t>
      </w:r>
      <w:r w:rsidRPr="009A3787">
        <w:rPr>
          <w:noProof/>
        </w:rPr>
        <w:t xml:space="preserve"> </w:t>
      </w:r>
      <w:r>
        <w:rPr>
          <w:noProof/>
        </w:rPr>
        <w:t>EUR)</w:t>
      </w:r>
    </w:p>
    <w:tbl>
      <w:tblPr>
        <w:tblStyle w:val="PlainTable2"/>
        <w:tblW w:w="0" w:type="auto"/>
        <w:tblInd w:w="288" w:type="dxa"/>
        <w:tblLook w:val="04A0" w:firstRow="1" w:lastRow="0" w:firstColumn="1" w:lastColumn="0" w:noHBand="0" w:noVBand="1"/>
      </w:tblPr>
      <w:tblGrid>
        <w:gridCol w:w="4788"/>
        <w:gridCol w:w="2610"/>
      </w:tblGrid>
      <w:tr w:rsidR="00592734" w:rsidRPr="00214876" w14:paraId="4BEE7D85" w14:textId="77777777" w:rsidTr="00BB2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tcPr>
          <w:p w14:paraId="55B02080" w14:textId="77777777" w:rsidR="00592734" w:rsidRPr="00214876" w:rsidRDefault="00592734" w:rsidP="00BB20EB">
            <w:pPr>
              <w:spacing w:before="120" w:after="120"/>
              <w:rPr>
                <w:noProof/>
              </w:rPr>
            </w:pPr>
            <w:r w:rsidRPr="00214876">
              <w:rPr>
                <w:rFonts w:cs="Calibri"/>
                <w:noProof/>
                <w:color w:val="000000"/>
              </w:rPr>
              <w:t>Financial programming</w:t>
            </w:r>
          </w:p>
        </w:tc>
        <w:tc>
          <w:tcPr>
            <w:tcW w:w="2610" w:type="dxa"/>
            <w:shd w:val="clear" w:color="auto" w:fill="auto"/>
          </w:tcPr>
          <w:p w14:paraId="60DB9F32" w14:textId="432408A6" w:rsidR="00592734" w:rsidRDefault="00592734" w:rsidP="00BB20E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 xml:space="preserve">33 </w:t>
            </w:r>
            <w:r w:rsidR="00F332E4">
              <w:rPr>
                <w:rFonts w:ascii="Calibri" w:hAnsi="Calibri" w:cs="Calibri"/>
                <w:noProof/>
                <w:color w:val="000000"/>
              </w:rPr>
              <w:t>108</w:t>
            </w:r>
            <w:r>
              <w:rPr>
                <w:rFonts w:ascii="Calibri" w:hAnsi="Calibri" w:cs="Calibri"/>
                <w:noProof/>
                <w:color w:val="000000"/>
              </w:rPr>
              <w:t>.</w:t>
            </w:r>
            <w:r w:rsidR="00F332E4">
              <w:rPr>
                <w:rFonts w:ascii="Calibri" w:hAnsi="Calibri" w:cs="Calibri"/>
                <w:noProof/>
                <w:color w:val="000000"/>
              </w:rPr>
              <w:t>8</w:t>
            </w:r>
          </w:p>
          <w:p w14:paraId="6477330E" w14:textId="36D825DC" w:rsidR="00592734" w:rsidRPr="00214876" w:rsidRDefault="00592734" w:rsidP="00BB20EB">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noProof/>
              </w:rPr>
            </w:pPr>
          </w:p>
        </w:tc>
      </w:tr>
      <w:tr w:rsidR="00592734" w:rsidRPr="00214876" w14:paraId="59BCCEF6" w14:textId="77777777" w:rsidTr="00BB2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17524491" w14:textId="77777777" w:rsidR="00592734" w:rsidRPr="00214876" w:rsidRDefault="00592734" w:rsidP="00BB20EB">
            <w:pPr>
              <w:spacing w:before="120" w:after="120"/>
              <w:rPr>
                <w:b w:val="0"/>
                <w:bCs w:val="0"/>
                <w:noProof/>
              </w:rPr>
            </w:pPr>
            <w:r w:rsidRPr="00214876">
              <w:rPr>
                <w:rFonts w:cs="Calibri"/>
                <w:noProof/>
                <w:color w:val="000000"/>
              </w:rPr>
              <w:t>NextGenerationEU</w:t>
            </w:r>
          </w:p>
        </w:tc>
        <w:tc>
          <w:tcPr>
            <w:tcW w:w="2610" w:type="dxa"/>
          </w:tcPr>
          <w:p w14:paraId="4A1D1BB5" w14:textId="77777777" w:rsidR="00592734" w:rsidRPr="00214876" w:rsidRDefault="00592734" w:rsidP="00BB20EB">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Pr>
                <w:rFonts w:cs="Calibri"/>
                <w:noProof/>
                <w:color w:val="000000"/>
              </w:rPr>
              <w:t>0</w:t>
            </w:r>
          </w:p>
        </w:tc>
      </w:tr>
      <w:tr w:rsidR="00592734" w:rsidRPr="00214876" w14:paraId="213287CE" w14:textId="77777777" w:rsidTr="00BB20EB">
        <w:tc>
          <w:tcPr>
            <w:cnfStyle w:val="001000000000" w:firstRow="0" w:lastRow="0" w:firstColumn="1" w:lastColumn="0" w:oddVBand="0" w:evenVBand="0" w:oddHBand="0" w:evenHBand="0" w:firstRowFirstColumn="0" w:firstRowLastColumn="0" w:lastRowFirstColumn="0" w:lastRowLastColumn="0"/>
            <w:tcW w:w="4788" w:type="dxa"/>
          </w:tcPr>
          <w:p w14:paraId="3B5C95E6" w14:textId="77777777" w:rsidR="00592734" w:rsidRPr="00214876" w:rsidRDefault="00592734" w:rsidP="00BB20EB">
            <w:pPr>
              <w:spacing w:before="120" w:after="120"/>
              <w:rPr>
                <w:b w:val="0"/>
                <w:bCs w:val="0"/>
                <w:noProof/>
              </w:rPr>
            </w:pPr>
            <w:r w:rsidRPr="00807AC3">
              <w:rPr>
                <w:noProof/>
              </w:rPr>
              <w:t>Decommitments made available again</w:t>
            </w:r>
            <w:r>
              <w:rPr>
                <w:rFonts w:ascii="Calibri" w:hAnsi="Calibri" w:cs="Calibri"/>
                <w:noProof/>
              </w:rPr>
              <w:t> (</w:t>
            </w:r>
            <w:r>
              <w:rPr>
                <w:noProof/>
              </w:rPr>
              <w:t>*)</w:t>
            </w:r>
          </w:p>
        </w:tc>
        <w:tc>
          <w:tcPr>
            <w:tcW w:w="2610" w:type="dxa"/>
          </w:tcPr>
          <w:p w14:paraId="69EF6CEC" w14:textId="1D314310" w:rsidR="00592734" w:rsidRPr="00214876" w:rsidRDefault="00592734" w:rsidP="00BB20EB">
            <w:pPr>
              <w:spacing w:before="120" w:after="120"/>
              <w:jc w:val="center"/>
              <w:cnfStyle w:val="000000000000" w:firstRow="0" w:lastRow="0" w:firstColumn="0" w:lastColumn="0" w:oddVBand="0" w:evenVBand="0" w:oddHBand="0" w:evenHBand="0" w:firstRowFirstColumn="0" w:firstRowLastColumn="0" w:lastRowFirstColumn="0" w:lastRowLastColumn="0"/>
              <w:rPr>
                <w:noProof/>
              </w:rPr>
            </w:pPr>
            <w:r>
              <w:rPr>
                <w:rFonts w:cs="Calibri"/>
                <w:noProof/>
                <w:color w:val="000000"/>
              </w:rPr>
              <w:t>N/A</w:t>
            </w:r>
          </w:p>
        </w:tc>
      </w:tr>
      <w:tr w:rsidR="00592734" w:rsidRPr="00214876" w14:paraId="0719EC39" w14:textId="77777777" w:rsidTr="00BB2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2A90BD28" w14:textId="77777777" w:rsidR="00592734" w:rsidRPr="00214876" w:rsidRDefault="00592734" w:rsidP="00BB20EB">
            <w:pPr>
              <w:spacing w:before="120" w:after="120"/>
              <w:rPr>
                <w:noProof/>
              </w:rPr>
            </w:pPr>
            <w:r w:rsidRPr="00214876">
              <w:rPr>
                <w:rFonts w:cs="Calibri"/>
                <w:noProof/>
                <w:color w:val="000000"/>
              </w:rPr>
              <w:t>Contributions from other countries and entities</w:t>
            </w:r>
          </w:p>
        </w:tc>
        <w:tc>
          <w:tcPr>
            <w:tcW w:w="2610" w:type="dxa"/>
          </w:tcPr>
          <w:p w14:paraId="0DB580C6" w14:textId="77777777" w:rsidR="00592734" w:rsidRPr="00214876" w:rsidRDefault="00592734" w:rsidP="00BB20EB">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Pr>
                <w:rFonts w:cs="Calibri"/>
                <w:noProof/>
                <w:color w:val="000000"/>
              </w:rPr>
              <w:t>0</w:t>
            </w:r>
          </w:p>
        </w:tc>
      </w:tr>
      <w:tr w:rsidR="00592734" w:rsidRPr="00214876" w14:paraId="23C666B4" w14:textId="77777777" w:rsidTr="00BB20EB">
        <w:tc>
          <w:tcPr>
            <w:cnfStyle w:val="001000000000" w:firstRow="0" w:lastRow="0" w:firstColumn="1" w:lastColumn="0" w:oddVBand="0" w:evenVBand="0" w:oddHBand="0" w:evenHBand="0" w:firstRowFirstColumn="0" w:firstRowLastColumn="0" w:lastRowFirstColumn="0" w:lastRowLastColumn="0"/>
            <w:tcW w:w="4788" w:type="dxa"/>
            <w:shd w:val="clear" w:color="auto" w:fill="F2F2F2" w:themeFill="background1" w:themeFillShade="F2"/>
          </w:tcPr>
          <w:p w14:paraId="0887F458" w14:textId="77777777" w:rsidR="00592734" w:rsidRPr="00214876" w:rsidRDefault="00592734" w:rsidP="00BB20EB">
            <w:pPr>
              <w:spacing w:before="120" w:after="120"/>
              <w:rPr>
                <w:noProof/>
              </w:rPr>
            </w:pPr>
            <w:r>
              <w:rPr>
                <w:rFonts w:cs="Calibri"/>
                <w:noProof/>
                <w:color w:val="000000"/>
              </w:rPr>
              <w:t>T</w:t>
            </w:r>
            <w:r w:rsidRPr="00214876">
              <w:rPr>
                <w:rFonts w:cs="Calibri"/>
                <w:noProof/>
                <w:color w:val="000000"/>
              </w:rPr>
              <w:t>otal budget</w:t>
            </w:r>
            <w:r>
              <w:rPr>
                <w:rFonts w:cs="Calibri"/>
                <w:noProof/>
                <w:color w:val="000000"/>
              </w:rPr>
              <w:t xml:space="preserve"> for</w:t>
            </w:r>
            <w:r w:rsidRPr="00214876">
              <w:rPr>
                <w:rFonts w:cs="Calibri"/>
                <w:noProof/>
                <w:color w:val="000000"/>
              </w:rPr>
              <w:t xml:space="preserve"> 2021-2027</w:t>
            </w:r>
          </w:p>
        </w:tc>
        <w:tc>
          <w:tcPr>
            <w:tcW w:w="2610" w:type="dxa"/>
            <w:shd w:val="clear" w:color="auto" w:fill="F2F2F2" w:themeFill="background1" w:themeFillShade="F2"/>
          </w:tcPr>
          <w:p w14:paraId="62B578D5" w14:textId="586CA25E" w:rsidR="00592734" w:rsidRDefault="00592734" w:rsidP="00BB20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 xml:space="preserve">33 </w:t>
            </w:r>
            <w:r w:rsidR="00F332E4">
              <w:rPr>
                <w:rFonts w:ascii="Calibri" w:hAnsi="Calibri" w:cs="Calibri"/>
                <w:noProof/>
                <w:color w:val="000000"/>
              </w:rPr>
              <w:t>108.8</w:t>
            </w:r>
          </w:p>
          <w:p w14:paraId="66E96B4D" w14:textId="1C362239" w:rsidR="00592734" w:rsidRPr="007C187F" w:rsidRDefault="00592734" w:rsidP="00BB20EB">
            <w:pPr>
              <w:spacing w:before="120" w:after="120"/>
              <w:jc w:val="center"/>
              <w:cnfStyle w:val="000000000000" w:firstRow="0" w:lastRow="0" w:firstColumn="0" w:lastColumn="0" w:oddVBand="0" w:evenVBand="0" w:oddHBand="0" w:evenHBand="0" w:firstRowFirstColumn="0" w:firstRowLastColumn="0" w:lastRowFirstColumn="0" w:lastRowLastColumn="0"/>
              <w:rPr>
                <w:b/>
                <w:bCs/>
                <w:noProof/>
              </w:rPr>
            </w:pPr>
          </w:p>
        </w:tc>
      </w:tr>
    </w:tbl>
    <w:p w14:paraId="0D5ED94A" w14:textId="77777777" w:rsidR="00592734" w:rsidRPr="00040D99" w:rsidRDefault="00592734" w:rsidP="00592734">
      <w:pPr>
        <w:jc w:val="center"/>
        <w:rPr>
          <w:rFonts w:eastAsiaTheme="minorEastAsia"/>
          <w:noProof/>
        </w:rPr>
      </w:pPr>
    </w:p>
    <w:p w14:paraId="0AC2B3D1" w14:textId="77777777" w:rsidR="00592734" w:rsidRPr="00543AAA" w:rsidRDefault="00592734" w:rsidP="00592734">
      <w:pPr>
        <w:tabs>
          <w:tab w:val="left" w:pos="6793"/>
        </w:tabs>
        <w:rPr>
          <w:noProof/>
          <w:sz w:val="18"/>
          <w:szCs w:val="18"/>
          <w:lang w:val="en-US"/>
        </w:rPr>
      </w:pPr>
      <w:r>
        <w:rPr>
          <w:noProof/>
          <w:sz w:val="18"/>
          <w:szCs w:val="18"/>
          <w:lang w:val="en-US"/>
        </w:rPr>
        <w:t>(</w:t>
      </w:r>
      <w:r w:rsidRPr="00543AAA">
        <w:rPr>
          <w:noProof/>
          <w:sz w:val="18"/>
          <w:szCs w:val="18"/>
          <w:lang w:val="en-US"/>
        </w:rPr>
        <w:t>*</w:t>
      </w:r>
      <w:r>
        <w:rPr>
          <w:noProof/>
          <w:sz w:val="18"/>
          <w:szCs w:val="18"/>
          <w:lang w:val="en-US"/>
        </w:rPr>
        <w:t>)</w:t>
      </w:r>
      <w:r w:rsidRPr="00543AAA">
        <w:rPr>
          <w:noProof/>
          <w:sz w:val="18"/>
          <w:szCs w:val="18"/>
          <w:lang w:val="en-US"/>
        </w:rPr>
        <w:t xml:space="preserve"> Only Art</w:t>
      </w:r>
      <w:r>
        <w:rPr>
          <w:noProof/>
          <w:sz w:val="18"/>
          <w:szCs w:val="18"/>
          <w:lang w:val="en-US"/>
        </w:rPr>
        <w:t>icle</w:t>
      </w:r>
      <w:r>
        <w:rPr>
          <w:rFonts w:ascii="Calibri" w:hAnsi="Calibri" w:cs="Calibri"/>
          <w:noProof/>
          <w:sz w:val="18"/>
          <w:szCs w:val="18"/>
          <w:lang w:val="en-US"/>
        </w:rPr>
        <w:t> </w:t>
      </w:r>
      <w:r w:rsidRPr="00543AAA">
        <w:rPr>
          <w:noProof/>
          <w:sz w:val="18"/>
          <w:szCs w:val="18"/>
          <w:lang w:val="en-US"/>
        </w:rPr>
        <w:t xml:space="preserve"> 15</w:t>
      </w:r>
      <w:r>
        <w:rPr>
          <w:noProof/>
          <w:sz w:val="18"/>
          <w:szCs w:val="18"/>
          <w:lang w:val="en-US"/>
        </w:rPr>
        <w:t>(</w:t>
      </w:r>
      <w:r w:rsidRPr="00543AAA">
        <w:rPr>
          <w:noProof/>
          <w:sz w:val="18"/>
          <w:szCs w:val="18"/>
          <w:lang w:val="en-US"/>
        </w:rPr>
        <w:t>3</w:t>
      </w:r>
      <w:r>
        <w:rPr>
          <w:noProof/>
          <w:sz w:val="18"/>
          <w:szCs w:val="18"/>
          <w:lang w:val="en-US"/>
        </w:rPr>
        <w:t>) of the</w:t>
      </w:r>
      <w:r w:rsidRPr="00543AAA">
        <w:rPr>
          <w:noProof/>
          <w:sz w:val="18"/>
          <w:szCs w:val="18"/>
          <w:lang w:val="en-US"/>
        </w:rPr>
        <w:t xml:space="preserve"> </w:t>
      </w:r>
      <w:r>
        <w:rPr>
          <w:noProof/>
          <w:sz w:val="18"/>
          <w:szCs w:val="18"/>
          <w:lang w:val="en-US"/>
        </w:rPr>
        <w:t>f</w:t>
      </w:r>
      <w:r w:rsidRPr="00543AAA">
        <w:rPr>
          <w:noProof/>
          <w:sz w:val="18"/>
          <w:szCs w:val="18"/>
          <w:lang w:val="en-US"/>
        </w:rPr>
        <w:t xml:space="preserve">inancial </w:t>
      </w:r>
      <w:r>
        <w:rPr>
          <w:noProof/>
          <w:sz w:val="18"/>
          <w:szCs w:val="18"/>
          <w:lang w:val="en-US"/>
        </w:rPr>
        <w:t>r</w:t>
      </w:r>
      <w:r w:rsidRPr="00543AAA">
        <w:rPr>
          <w:noProof/>
          <w:sz w:val="18"/>
          <w:szCs w:val="18"/>
          <w:lang w:val="en-US"/>
        </w:rPr>
        <w:t>egulation</w:t>
      </w:r>
      <w:r>
        <w:rPr>
          <w:noProof/>
          <w:sz w:val="18"/>
          <w:szCs w:val="18"/>
          <w:lang w:val="en-US"/>
        </w:rPr>
        <w:t>.</w:t>
      </w:r>
    </w:p>
    <w:p w14:paraId="6A791AC9" w14:textId="77777777" w:rsidR="00592734" w:rsidRPr="00040D99" w:rsidRDefault="00592734" w:rsidP="00592734">
      <w:pPr>
        <w:pStyle w:val="ppoHeading5"/>
        <w:rPr>
          <w:noProof/>
        </w:rPr>
      </w:pPr>
      <w:r w:rsidRPr="00040D99">
        <w:rPr>
          <w:noProof/>
        </w:rPr>
        <w:t>Rationale and design of the programme</w:t>
      </w:r>
    </w:p>
    <w:p w14:paraId="43058442" w14:textId="77777777" w:rsidR="00592734" w:rsidRPr="00040D99" w:rsidRDefault="00592734" w:rsidP="00592734">
      <w:pPr>
        <w:rPr>
          <w:noProof/>
        </w:rPr>
      </w:pPr>
      <w:r w:rsidRPr="00F00CB3">
        <w:rPr>
          <w:noProof/>
        </w:rPr>
        <w:t xml:space="preserve">The Connecting Europe Facility </w:t>
      </w:r>
      <w:r>
        <w:rPr>
          <w:noProof/>
        </w:rPr>
        <w:t xml:space="preserve">(CEF) </w:t>
      </w:r>
      <w:r w:rsidRPr="00F00CB3">
        <w:rPr>
          <w:noProof/>
        </w:rPr>
        <w:t>is a key EU funding instrument</w:t>
      </w:r>
      <w:r w:rsidRPr="5D073E9B">
        <w:rPr>
          <w:noProof/>
        </w:rPr>
        <w:t xml:space="preserve"> </w:t>
      </w:r>
      <w:r>
        <w:rPr>
          <w:noProof/>
        </w:rPr>
        <w:t>for</w:t>
      </w:r>
      <w:r w:rsidRPr="5D073E9B">
        <w:rPr>
          <w:noProof/>
        </w:rPr>
        <w:t xml:space="preserve"> </w:t>
      </w:r>
      <w:r>
        <w:rPr>
          <w:noProof/>
        </w:rPr>
        <w:t>boosting</w:t>
      </w:r>
      <w:r w:rsidRPr="5D073E9B">
        <w:rPr>
          <w:noProof/>
        </w:rPr>
        <w:t xml:space="preserve"> </w:t>
      </w:r>
      <w:r w:rsidRPr="00173ED1">
        <w:rPr>
          <w:noProof/>
        </w:rPr>
        <w:t xml:space="preserve">investments across the </w:t>
      </w:r>
      <w:r>
        <w:rPr>
          <w:noProof/>
        </w:rPr>
        <w:t>EU</w:t>
      </w:r>
      <w:r w:rsidRPr="5D073E9B">
        <w:rPr>
          <w:noProof/>
        </w:rPr>
        <w:t xml:space="preserve"> </w:t>
      </w:r>
      <w:r w:rsidRPr="00173ED1">
        <w:rPr>
          <w:noProof/>
        </w:rPr>
        <w:t xml:space="preserve">in transport, energy and digital </w:t>
      </w:r>
      <w:r>
        <w:rPr>
          <w:noProof/>
        </w:rPr>
        <w:t xml:space="preserve">infrastructure </w:t>
      </w:r>
      <w:r w:rsidRPr="00173ED1">
        <w:rPr>
          <w:noProof/>
        </w:rPr>
        <w:t xml:space="preserve">projects </w:t>
      </w:r>
      <w:r>
        <w:rPr>
          <w:noProof/>
        </w:rPr>
        <w:t>aiming</w:t>
      </w:r>
      <w:r w:rsidRPr="00173ED1">
        <w:rPr>
          <w:noProof/>
        </w:rPr>
        <w:t xml:space="preserve"> at a greater connectivity between</w:t>
      </w:r>
      <w:r>
        <w:rPr>
          <w:rFonts w:ascii="Arial" w:hAnsi="Arial" w:cs="Arial"/>
          <w:noProof/>
          <w:color w:val="202122"/>
          <w:sz w:val="21"/>
          <w:szCs w:val="21"/>
          <w:shd w:val="clear" w:color="auto" w:fill="FFFFFF"/>
        </w:rPr>
        <w:t xml:space="preserve"> EU </w:t>
      </w:r>
      <w:hyperlink r:id="rId126" w:tooltip="Member state of the European Union" w:history="1">
        <w:r>
          <w:rPr>
            <w:noProof/>
          </w:rPr>
          <w:t>M</w:t>
        </w:r>
        <w:r w:rsidRPr="00F00CB3">
          <w:rPr>
            <w:noProof/>
          </w:rPr>
          <w:t xml:space="preserve">ember </w:t>
        </w:r>
        <w:r>
          <w:rPr>
            <w:noProof/>
          </w:rPr>
          <w:t>S</w:t>
        </w:r>
        <w:r w:rsidRPr="00F00CB3">
          <w:rPr>
            <w:noProof/>
          </w:rPr>
          <w:t>tates</w:t>
        </w:r>
      </w:hyperlink>
      <w:r w:rsidRPr="5D073E9B">
        <w:rPr>
          <w:noProof/>
        </w:rPr>
        <w:t>.</w:t>
      </w:r>
    </w:p>
    <w:p w14:paraId="45AFBFC1" w14:textId="77777777" w:rsidR="00592734" w:rsidRPr="00040D99" w:rsidRDefault="00592734" w:rsidP="00592734">
      <w:pPr>
        <w:pStyle w:val="ppoHeading6"/>
        <w:rPr>
          <w:noProof/>
        </w:rPr>
      </w:pPr>
      <w:r w:rsidRPr="00040D99">
        <w:rPr>
          <w:noProof/>
        </w:rPr>
        <w:t>Challenge</w:t>
      </w:r>
    </w:p>
    <w:p w14:paraId="025C188C" w14:textId="77777777" w:rsidR="00592734" w:rsidRDefault="00592734" w:rsidP="00592734">
      <w:pPr>
        <w:rPr>
          <w:noProof/>
        </w:rPr>
      </w:pPr>
      <w:r>
        <w:rPr>
          <w:noProof/>
        </w:rPr>
        <w:t>To achieve smart, sustainable and inclusive growth, stimulate job creation and respect its long-term decarbonisation commitments, the EU needs to build an up-to-date, multimodal high-performance infrastructure to help connect and integrate the EU and all its regions in the transport, energy, and digital sectors. In order to complete the trans-European networks, support is needed</w:t>
      </w:r>
      <w:r>
        <w:rPr>
          <w:rFonts w:ascii="Calibri" w:hAnsi="Calibri" w:cs="Calibri"/>
          <w:noProof/>
        </w:rPr>
        <w:t> </w:t>
      </w:r>
      <w:r>
        <w:rPr>
          <w:noProof/>
        </w:rPr>
        <w:t>– in particular to facilitate cross-border connections.</w:t>
      </w:r>
    </w:p>
    <w:p w14:paraId="222666A3" w14:textId="77777777" w:rsidR="00592734" w:rsidRPr="00040D99" w:rsidRDefault="00592734" w:rsidP="00592734">
      <w:pPr>
        <w:pStyle w:val="ppoHeading6"/>
        <w:rPr>
          <w:noProof/>
        </w:rPr>
      </w:pPr>
      <w:r w:rsidRPr="00040D99">
        <w:rPr>
          <w:noProof/>
        </w:rPr>
        <w:t>Mission</w:t>
      </w:r>
    </w:p>
    <w:p w14:paraId="363C4266" w14:textId="77777777" w:rsidR="00592734" w:rsidRDefault="00592734" w:rsidP="00592734">
      <w:pPr>
        <w:rPr>
          <w:noProof/>
        </w:rPr>
      </w:pPr>
      <w:r>
        <w:rPr>
          <w:noProof/>
        </w:rPr>
        <w:t>The acceleration of these investments benefits not only the countries directly affected, but the entire EU, as it enhances the single market as a whole and brings the whole EU closer to its sustainability objectives. For this reason, action at the EU level is warranted and can provide significant added value.</w:t>
      </w:r>
    </w:p>
    <w:p w14:paraId="40CC22F7" w14:textId="77777777" w:rsidR="00592734" w:rsidRDefault="00592734" w:rsidP="00592734">
      <w:pPr>
        <w:pStyle w:val="ppoHeading6"/>
        <w:rPr>
          <w:noProof/>
        </w:rPr>
      </w:pPr>
      <w:r>
        <w:rPr>
          <w:noProof/>
        </w:rPr>
        <w:t>OBJECTIVES</w:t>
      </w:r>
    </w:p>
    <w:p w14:paraId="72662463" w14:textId="77777777" w:rsidR="00592734" w:rsidRDefault="00592734" w:rsidP="00592734">
      <w:pPr>
        <w:rPr>
          <w:noProof/>
        </w:rPr>
      </w:pPr>
      <w:r>
        <w:rPr>
          <w:noProof/>
        </w:rPr>
        <w:t>The CEF has the following specific objectives.</w:t>
      </w:r>
    </w:p>
    <w:p w14:paraId="538ECED1" w14:textId="77777777" w:rsidR="00592734" w:rsidRDefault="00592734" w:rsidP="00592734">
      <w:pPr>
        <w:rPr>
          <w:noProof/>
        </w:rPr>
      </w:pPr>
      <w:r>
        <w:rPr>
          <w:noProof/>
        </w:rPr>
        <w:t>In the transport sector:</w:t>
      </w:r>
    </w:p>
    <w:p w14:paraId="28A114A6" w14:textId="77777777" w:rsidR="00592734" w:rsidRDefault="00592734" w:rsidP="00592734">
      <w:pPr>
        <w:pStyle w:val="ppoListHyphened-L1"/>
        <w:rPr>
          <w:noProof/>
        </w:rPr>
      </w:pPr>
      <w:r>
        <w:rPr>
          <w:noProof/>
        </w:rPr>
        <w:t>to contribute to the development of an efficient, interconnected and multimodal trans-European transport network and of infrastructure for smart, interoperable, sustainable, inclusive, accessible, safe and secure mobility;</w:t>
      </w:r>
    </w:p>
    <w:p w14:paraId="46A1ED49" w14:textId="77777777" w:rsidR="00592734" w:rsidRDefault="00592734" w:rsidP="00592734">
      <w:pPr>
        <w:pStyle w:val="ppoListHyphened-L1"/>
        <w:rPr>
          <w:noProof/>
        </w:rPr>
      </w:pPr>
      <w:r>
        <w:rPr>
          <w:noProof/>
        </w:rPr>
        <w:t>to adapt parts of the trans-European transport network infrastructure for dual use, improving both civilian and military mobility.</w:t>
      </w:r>
    </w:p>
    <w:p w14:paraId="4D18E036" w14:textId="77777777" w:rsidR="00592734" w:rsidRDefault="00592734" w:rsidP="00592734">
      <w:pPr>
        <w:rPr>
          <w:noProof/>
        </w:rPr>
      </w:pPr>
      <w:r>
        <w:rPr>
          <w:noProof/>
        </w:rPr>
        <w:t>In the energy sector:</w:t>
      </w:r>
    </w:p>
    <w:p w14:paraId="4E5E5786" w14:textId="77777777" w:rsidR="00592734" w:rsidRDefault="00592734" w:rsidP="00592734">
      <w:pPr>
        <w:pStyle w:val="ppoListHyphened-L1"/>
        <w:rPr>
          <w:noProof/>
        </w:rPr>
      </w:pPr>
      <w:r>
        <w:rPr>
          <w:noProof/>
        </w:rPr>
        <w:t>to contribute to the further integration of an efficient and competitive internal energy market;</w:t>
      </w:r>
    </w:p>
    <w:p w14:paraId="14509CB4" w14:textId="77777777" w:rsidR="00592734" w:rsidRDefault="00592734" w:rsidP="00592734">
      <w:pPr>
        <w:pStyle w:val="ppoListHyphened-L1"/>
        <w:rPr>
          <w:noProof/>
        </w:rPr>
      </w:pPr>
      <w:r>
        <w:rPr>
          <w:noProof/>
        </w:rPr>
        <w:t>to support the interoperability of networks across borders and sectors, and cross-border cooperation;</w:t>
      </w:r>
    </w:p>
    <w:p w14:paraId="739863E1" w14:textId="77777777" w:rsidR="00592734" w:rsidRDefault="00592734" w:rsidP="00592734">
      <w:pPr>
        <w:pStyle w:val="ppoListHyphened-L1"/>
        <w:rPr>
          <w:noProof/>
        </w:rPr>
      </w:pPr>
      <w:r>
        <w:rPr>
          <w:noProof/>
        </w:rPr>
        <w:t>to facilitate the decarbonisation of the economy by promoting energy efficiency and ensuring security of supply; and</w:t>
      </w:r>
    </w:p>
    <w:p w14:paraId="383C9B4F" w14:textId="77777777" w:rsidR="00592734" w:rsidRDefault="00592734" w:rsidP="00592734">
      <w:pPr>
        <w:pStyle w:val="ppoListHyphened-L1"/>
        <w:rPr>
          <w:noProof/>
        </w:rPr>
      </w:pPr>
      <w:r>
        <w:rPr>
          <w:noProof/>
        </w:rPr>
        <w:t>to facilitate cross-border cooperation in the area of renewable energy.</w:t>
      </w:r>
    </w:p>
    <w:p w14:paraId="081F072F" w14:textId="77777777" w:rsidR="00592734" w:rsidRDefault="00592734" w:rsidP="00592734">
      <w:pPr>
        <w:rPr>
          <w:noProof/>
        </w:rPr>
      </w:pPr>
      <w:r>
        <w:rPr>
          <w:noProof/>
        </w:rPr>
        <w:t>In the digital sector:</w:t>
      </w:r>
    </w:p>
    <w:p w14:paraId="2963559D" w14:textId="77777777" w:rsidR="00592734" w:rsidRDefault="00592734" w:rsidP="00592734">
      <w:pPr>
        <w:pStyle w:val="ppoListHyphened-L1"/>
        <w:rPr>
          <w:noProof/>
        </w:rPr>
      </w:pPr>
      <w:r>
        <w:rPr>
          <w:noProof/>
        </w:rPr>
        <w:t>to contribute to the deployment of safe and secure very high capacity digital networks and 5G systems;</w:t>
      </w:r>
    </w:p>
    <w:p w14:paraId="62D84312" w14:textId="77777777" w:rsidR="00592734" w:rsidRDefault="00592734" w:rsidP="00592734">
      <w:pPr>
        <w:pStyle w:val="ppoListHyphened-L1"/>
        <w:rPr>
          <w:noProof/>
        </w:rPr>
      </w:pPr>
      <w:r>
        <w:rPr>
          <w:noProof/>
        </w:rPr>
        <w:t>to support an increased resilience and capacity of the digital backbone networks on EU territories by linking them to neighbouring territories; and</w:t>
      </w:r>
    </w:p>
    <w:p w14:paraId="1D91FDFB" w14:textId="77777777" w:rsidR="00592734" w:rsidRDefault="00592734" w:rsidP="00592734">
      <w:pPr>
        <w:pStyle w:val="ppoListHyphened-L1"/>
        <w:rPr>
          <w:noProof/>
        </w:rPr>
      </w:pPr>
      <w:r>
        <w:rPr>
          <w:noProof/>
        </w:rPr>
        <w:t>to foster the digitalisation of transport and energy networks.</w:t>
      </w:r>
    </w:p>
    <w:p w14:paraId="04C94401" w14:textId="77777777" w:rsidR="00592734" w:rsidRPr="00040D99" w:rsidRDefault="00592734" w:rsidP="00592734">
      <w:pPr>
        <w:pStyle w:val="ppoHeading6"/>
        <w:rPr>
          <w:noProof/>
        </w:rPr>
      </w:pPr>
      <w:r w:rsidRPr="00040D99">
        <w:rPr>
          <w:noProof/>
        </w:rPr>
        <w:t>Actions</w:t>
      </w:r>
    </w:p>
    <w:p w14:paraId="38428838" w14:textId="77777777" w:rsidR="00592734" w:rsidRDefault="00592734" w:rsidP="00592734">
      <w:pPr>
        <w:rPr>
          <w:noProof/>
        </w:rPr>
      </w:pPr>
      <w:r>
        <w:rPr>
          <w:noProof/>
        </w:rPr>
        <w:t>The CEF has the general objective to build, develop, modernise and complete the trans-European networks, to contribute to the achievement of the 2030 climate and energy targets and to fulfil the EU’s long-term decarbonisation commitments on the European Green Deal, and thus contribute to smart, sustainable and inclusive growth and enhance territorial, social and economic cohesion.</w:t>
      </w:r>
    </w:p>
    <w:p w14:paraId="6B70AC79" w14:textId="77777777" w:rsidR="00592734" w:rsidRDefault="00592734" w:rsidP="00592734">
      <w:pPr>
        <w:rPr>
          <w:noProof/>
        </w:rPr>
      </w:pPr>
      <w:r>
        <w:rPr>
          <w:noProof/>
        </w:rPr>
        <w:t>For the transport sector, it plays a part in the development of projects of common interest relating to the completion of the trans-European transport network and its modernisation. It contributes to the sustainability of the transport sector through the creation of new and the upgrade of existing infrastructure, including telematics application, new technologies and innovation (namely alternative fuels), interoperability, road safety, infrastructure resilience, accessibility and security of transport., thus reflecting the priorities set in the s</w:t>
      </w:r>
      <w:r w:rsidRPr="00072CCD">
        <w:rPr>
          <w:noProof/>
        </w:rPr>
        <w:t xml:space="preserve">ustainable and </w:t>
      </w:r>
      <w:r>
        <w:rPr>
          <w:noProof/>
        </w:rPr>
        <w:t>s</w:t>
      </w:r>
      <w:r w:rsidRPr="00072CCD">
        <w:rPr>
          <w:noProof/>
        </w:rPr>
        <w:t xml:space="preserve">mart </w:t>
      </w:r>
      <w:r>
        <w:rPr>
          <w:noProof/>
        </w:rPr>
        <w:t>m</w:t>
      </w:r>
      <w:r w:rsidRPr="00072CCD">
        <w:rPr>
          <w:noProof/>
        </w:rPr>
        <w:t xml:space="preserve">obility </w:t>
      </w:r>
      <w:r>
        <w:rPr>
          <w:noProof/>
        </w:rPr>
        <w:t>s</w:t>
      </w:r>
      <w:r w:rsidRPr="00072CCD">
        <w:rPr>
          <w:noProof/>
        </w:rPr>
        <w:t>trategy</w:t>
      </w:r>
      <w:r>
        <w:rPr>
          <w:noProof/>
        </w:rPr>
        <w:t>.</w:t>
      </w:r>
    </w:p>
    <w:p w14:paraId="5C959FE2" w14:textId="77777777" w:rsidR="00592734" w:rsidRDefault="00592734" w:rsidP="00592734">
      <w:pPr>
        <w:rPr>
          <w:noProof/>
        </w:rPr>
      </w:pPr>
      <w:r>
        <w:rPr>
          <w:noProof/>
        </w:rPr>
        <w:t>For the energy sector, the CEF contributes to the implementation of projects of common interest, highlighting the enabling role of cross-border energy infrastructure in the transition to climate neutrality, the integration of European energy markets and the interoperability of networks. Furthermore, the new category of cross-border projects in the field of renewable energy specifically contributes to a cost-effective target achievement for renewables by 2030 and is an integral element of the enabling framework for cooperation on renewables.</w:t>
      </w:r>
    </w:p>
    <w:p w14:paraId="732379BD" w14:textId="77777777" w:rsidR="00592734" w:rsidRDefault="00592734" w:rsidP="00592734">
      <w:pPr>
        <w:rPr>
          <w:noProof/>
        </w:rPr>
      </w:pPr>
      <w:r>
        <w:rPr>
          <w:noProof/>
        </w:rPr>
        <w:t>For the digital sector, CEF focuses on ensuring uninterrupted coverage with 5G systems along major transport paths, the deployment of new or significant upgrade of existing communication backbone networks, and the deployment of and access to very high capacity networks, including 5G.</w:t>
      </w:r>
    </w:p>
    <w:p w14:paraId="3302434B" w14:textId="77777777" w:rsidR="00592734" w:rsidRPr="00040D99" w:rsidRDefault="00592734" w:rsidP="00592734">
      <w:pPr>
        <w:pStyle w:val="ppoHeading6"/>
        <w:rPr>
          <w:noProof/>
        </w:rPr>
      </w:pPr>
      <w:r w:rsidRPr="00040D99">
        <w:rPr>
          <w:noProof/>
        </w:rPr>
        <w:t>Delivery mode</w:t>
      </w:r>
    </w:p>
    <w:p w14:paraId="78DC62FE" w14:textId="77777777" w:rsidR="00592734" w:rsidRDefault="00592734" w:rsidP="00592734">
      <w:pPr>
        <w:rPr>
          <w:noProof/>
        </w:rPr>
      </w:pPr>
      <w:r>
        <w:rPr>
          <w:noProof/>
        </w:rPr>
        <w:t>The CEF is implemented through direct management by the European Commission (</w:t>
      </w:r>
      <w:r w:rsidRPr="001350BE">
        <w:rPr>
          <w:noProof/>
        </w:rPr>
        <w:t>the Directorate-General for Mobility and Transport</w:t>
      </w:r>
      <w:r w:rsidRPr="00A90405">
        <w:rPr>
          <w:noProof/>
        </w:rPr>
        <w:t xml:space="preserve">, </w:t>
      </w:r>
      <w:r>
        <w:rPr>
          <w:noProof/>
        </w:rPr>
        <w:t>the D</w:t>
      </w:r>
      <w:r w:rsidRPr="001350BE">
        <w:rPr>
          <w:noProof/>
        </w:rPr>
        <w:t>irectorate-General for Energy</w:t>
      </w:r>
      <w:r w:rsidRPr="00A90405">
        <w:rPr>
          <w:noProof/>
        </w:rPr>
        <w:t xml:space="preserve"> and </w:t>
      </w:r>
      <w:r>
        <w:rPr>
          <w:noProof/>
        </w:rPr>
        <w:t>t</w:t>
      </w:r>
      <w:r w:rsidRPr="001350BE">
        <w:rPr>
          <w:noProof/>
        </w:rPr>
        <w:t>he Directorate</w:t>
      </w:r>
      <w:r w:rsidRPr="001350BE">
        <w:rPr>
          <w:noProof/>
        </w:rPr>
        <w:noBreakHyphen/>
        <w:t>General for Communications</w:t>
      </w:r>
      <w:r>
        <w:rPr>
          <w:noProof/>
        </w:rPr>
        <w:t>,</w:t>
      </w:r>
      <w:r w:rsidRPr="001350BE">
        <w:rPr>
          <w:noProof/>
        </w:rPr>
        <w:t xml:space="preserve"> Networks, Content and Technology</w:t>
      </w:r>
      <w:r w:rsidRPr="001350BE" w:rsidDel="00A576D0">
        <w:rPr>
          <w:noProof/>
        </w:rPr>
        <w:t xml:space="preserve"> </w:t>
      </w:r>
      <w:r>
        <w:rPr>
          <w:noProof/>
        </w:rPr>
        <w:t>are jointly in the lead). On an ad hoc basis and if justified, specific actions may be implemented through indirect management.</w:t>
      </w:r>
    </w:p>
    <w:p w14:paraId="39CEA6CE" w14:textId="77777777" w:rsidR="00592734" w:rsidRDefault="00592734" w:rsidP="00592734">
      <w:pPr>
        <w:rPr>
          <w:noProof/>
        </w:rPr>
      </w:pPr>
      <w:r>
        <w:rPr>
          <w:noProof/>
        </w:rPr>
        <w:t xml:space="preserve">The programme is mostly implemented through executive agencies. The transport and energy strands are implemented by the European Climate, Infrastructure and Environment Executive Agency. The CEF digital programme is implemented through the Health and Digital Executive Agency. A small portion of the programme is delegated to external bodies such as the </w:t>
      </w:r>
      <w:r w:rsidRPr="001350BE">
        <w:rPr>
          <w:noProof/>
        </w:rPr>
        <w:t xml:space="preserve">European High Performance Computing </w:t>
      </w:r>
      <w:r>
        <w:rPr>
          <w:noProof/>
        </w:rPr>
        <w:t>Joint Undertaking or the European Space Agency.</w:t>
      </w:r>
    </w:p>
    <w:p w14:paraId="47E2027B" w14:textId="77777777" w:rsidR="00592734" w:rsidRPr="00040D99" w:rsidRDefault="00592734" w:rsidP="00592734">
      <w:pPr>
        <w:pStyle w:val="ppoHeading6"/>
        <w:rPr>
          <w:noProof/>
        </w:rPr>
      </w:pPr>
      <w:r>
        <w:rPr>
          <w:noProof/>
        </w:rPr>
        <w:t>LINK TO THE 2014-2020 multiannual financial framework</w:t>
      </w:r>
    </w:p>
    <w:p w14:paraId="4485F3C3" w14:textId="77777777" w:rsidR="00592734" w:rsidRDefault="00592734" w:rsidP="00592734">
      <w:pPr>
        <w:rPr>
          <w:noProof/>
        </w:rPr>
      </w:pPr>
      <w:r>
        <w:rPr>
          <w:noProof/>
        </w:rPr>
        <w:t>For the transport and energy sectors, the CEF continues the successful work of its 2014-2020 multiannual financial framework predecessor, with a focus on new priority actions. For the digital strand, the CEF departs from the 2014-2020 CEF Telecom by being fully dedicated to supporting the deployment of high-</w:t>
      </w:r>
      <w:r w:rsidRPr="001350BE">
        <w:rPr>
          <w:noProof/>
        </w:rPr>
        <w:t>performance digital communication</w:t>
      </w:r>
      <w:r>
        <w:rPr>
          <w:noProof/>
        </w:rPr>
        <w:t xml:space="preserve"> infrastructures. While building on the experience gained with the previous programme, CEF Digital represents a step forward in terms of the scope, volume and intensity of the proposed EU support.</w:t>
      </w:r>
    </w:p>
    <w:p w14:paraId="61E559D4" w14:textId="77777777" w:rsidR="00592734" w:rsidRPr="00040D99" w:rsidRDefault="00592734" w:rsidP="00592734">
      <w:pPr>
        <w:pStyle w:val="ppoHeading6"/>
        <w:rPr>
          <w:noProof/>
        </w:rPr>
      </w:pPr>
      <w:r w:rsidRPr="00040D99">
        <w:rPr>
          <w:noProof/>
        </w:rPr>
        <w:t>Impact assessment</w:t>
      </w:r>
    </w:p>
    <w:p w14:paraId="36B3F9A0" w14:textId="77777777" w:rsidR="00592734" w:rsidRPr="001350BE" w:rsidRDefault="00592734" w:rsidP="00592734">
      <w:pPr>
        <w:rPr>
          <w:noProof/>
          <w:lang w:eastAsia="en-GB"/>
        </w:rPr>
      </w:pPr>
      <w:r>
        <w:rPr>
          <w:noProof/>
        </w:rPr>
        <w:t>The CEF impact assessment was carried out on 6</w:t>
      </w:r>
      <w:r>
        <w:rPr>
          <w:rFonts w:ascii="Calibri" w:hAnsi="Calibri" w:cs="Calibri"/>
          <w:noProof/>
        </w:rPr>
        <w:t xml:space="preserve"> June 2018: </w:t>
      </w:r>
      <w:hyperlink r:id="rId127" w:history="1">
        <w:r w:rsidRPr="009A3787">
          <w:rPr>
            <w:rStyle w:val="Hyperlink"/>
            <w:noProof/>
          </w:rPr>
          <w:t>SWD(2018) 312</w:t>
        </w:r>
      </w:hyperlink>
      <w:r>
        <w:rPr>
          <w:noProof/>
        </w:rPr>
        <w:t>.</w:t>
      </w:r>
    </w:p>
    <w:p w14:paraId="317C4046" w14:textId="77777777" w:rsidR="00592734" w:rsidRDefault="00592734" w:rsidP="00592734">
      <w:pPr>
        <w:pStyle w:val="ppoHeading6"/>
        <w:rPr>
          <w:noProof/>
        </w:rPr>
      </w:pPr>
      <w:r>
        <w:rPr>
          <w:noProof/>
        </w:rPr>
        <w:t>WEBSITE FOR more information</w:t>
      </w:r>
    </w:p>
    <w:p w14:paraId="06BA8C68" w14:textId="77777777" w:rsidR="00592734" w:rsidRDefault="00E01E9B" w:rsidP="00592734">
      <w:pPr>
        <w:rPr>
          <w:noProof/>
          <w:lang w:val="it-IT"/>
        </w:rPr>
      </w:pPr>
      <w:hyperlink r:id="rId128" w:history="1">
        <w:r w:rsidR="00592734" w:rsidRPr="00066651">
          <w:rPr>
            <w:rStyle w:val="Hyperlink"/>
            <w:noProof/>
            <w:lang w:val="it-IT"/>
          </w:rPr>
          <w:t>https://europa.eu/!Px98ju</w:t>
        </w:r>
      </w:hyperlink>
    </w:p>
    <w:p w14:paraId="3DA9367E" w14:textId="77777777" w:rsidR="00592734" w:rsidRPr="002F5F8D" w:rsidRDefault="00592734" w:rsidP="00592734">
      <w:pPr>
        <w:rPr>
          <w:noProof/>
          <w:lang w:val="it-IT"/>
        </w:rPr>
      </w:pPr>
    </w:p>
    <w:p w14:paraId="1F9C48E8" w14:textId="77777777" w:rsidR="00592734" w:rsidRPr="002F5F8D" w:rsidRDefault="00592734" w:rsidP="00592734">
      <w:pPr>
        <w:pStyle w:val="ppoHeading5"/>
        <w:rPr>
          <w:noProof/>
          <w:lang w:val="it-IT"/>
        </w:rPr>
      </w:pPr>
      <w:r w:rsidRPr="002F5F8D">
        <w:rPr>
          <w:rFonts w:eastAsiaTheme="minorEastAsia"/>
          <w:noProof/>
          <w:lang w:val="it-IT"/>
        </w:rPr>
        <w:t xml:space="preserve">Legal </w:t>
      </w:r>
      <w:r>
        <w:rPr>
          <w:rFonts w:eastAsiaTheme="minorEastAsia"/>
          <w:noProof/>
          <w:lang w:val="it-IT"/>
        </w:rPr>
        <w:t>b</w:t>
      </w:r>
      <w:r w:rsidRPr="002F5F8D">
        <w:rPr>
          <w:rFonts w:eastAsiaTheme="minorEastAsia"/>
          <w:noProof/>
          <w:lang w:val="it-IT"/>
        </w:rPr>
        <w:t>as</w:t>
      </w:r>
      <w:r>
        <w:rPr>
          <w:rFonts w:eastAsiaTheme="minorEastAsia"/>
          <w:noProof/>
          <w:lang w:val="it-IT"/>
        </w:rPr>
        <w:t>is</w:t>
      </w:r>
    </w:p>
    <w:p w14:paraId="49A5AA8C" w14:textId="77777777" w:rsidR="00592734" w:rsidRDefault="00592734" w:rsidP="00592734">
      <w:pPr>
        <w:rPr>
          <w:noProof/>
        </w:rPr>
      </w:pPr>
      <w:r w:rsidRPr="00040D99">
        <w:rPr>
          <w:noProof/>
        </w:rPr>
        <w:t xml:space="preserve">Regulation (EU) No </w:t>
      </w:r>
      <w:r>
        <w:rPr>
          <w:noProof/>
        </w:rPr>
        <w:t xml:space="preserve">2021/1153 </w:t>
      </w:r>
      <w:r w:rsidRPr="00040D99">
        <w:rPr>
          <w:noProof/>
        </w:rPr>
        <w:t>of the European Parliament and of the Council</w:t>
      </w:r>
      <w:r>
        <w:rPr>
          <w:noProof/>
        </w:rPr>
        <w:t>.</w:t>
      </w:r>
    </w:p>
    <w:p w14:paraId="738C9486" w14:textId="77777777" w:rsidR="00592734" w:rsidRPr="00040D99" w:rsidRDefault="00592734" w:rsidP="00592734">
      <w:pPr>
        <w:pStyle w:val="ppoHeading4Orange"/>
        <w:rPr>
          <w:caps/>
          <w:noProof/>
        </w:rPr>
      </w:pPr>
      <w:r w:rsidRPr="00040D99">
        <w:rPr>
          <w:noProof/>
        </w:rPr>
        <w:t>Implementation and performance</w:t>
      </w:r>
    </w:p>
    <w:p w14:paraId="732AC672" w14:textId="77777777" w:rsidR="00592734" w:rsidRPr="00040D99" w:rsidRDefault="00592734" w:rsidP="00592734">
      <w:pPr>
        <w:pStyle w:val="ppoHeading5"/>
        <w:rPr>
          <w:noProof/>
        </w:rPr>
      </w:pPr>
      <w:r w:rsidRPr="00040D99">
        <w:rPr>
          <w:noProof/>
        </w:rPr>
        <w:t>Budget</w:t>
      </w:r>
    </w:p>
    <w:p w14:paraId="4B0C07AA" w14:textId="77777777" w:rsidR="00592734" w:rsidRPr="00040D99" w:rsidRDefault="00592734" w:rsidP="00592734">
      <w:pPr>
        <w:pStyle w:val="ppoTableTabletitle"/>
        <w:rPr>
          <w:noProof/>
        </w:rPr>
      </w:pPr>
      <w:r w:rsidRPr="00807AC3">
        <w:rPr>
          <w:noProof/>
        </w:rPr>
        <w:t>Budget programming</w:t>
      </w:r>
      <w:r>
        <w:rPr>
          <w:noProof/>
        </w:rPr>
        <w:t xml:space="preserve"> (million</w:t>
      </w:r>
      <w:r w:rsidRPr="009A3787">
        <w:rPr>
          <w:noProof/>
        </w:rPr>
        <w:t xml:space="preserve"> </w:t>
      </w:r>
      <w:r>
        <w:rPr>
          <w:noProof/>
        </w:rPr>
        <w:t>EUR):</w:t>
      </w:r>
    </w:p>
    <w:tbl>
      <w:tblPr>
        <w:tblStyle w:val="PPO2021"/>
        <w:tblW w:w="9782"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1087"/>
      </w:tblGrid>
      <w:tr w:rsidR="00592734" w:rsidRPr="00040D99" w14:paraId="0C805374" w14:textId="77777777" w:rsidTr="00BB20EB">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278ECF2A" w14:textId="77777777" w:rsidR="00592734" w:rsidRPr="00807AC3" w:rsidRDefault="00592734" w:rsidP="00BB20EB">
            <w:pPr>
              <w:rPr>
                <w:noProof/>
              </w:rPr>
            </w:pPr>
          </w:p>
        </w:tc>
        <w:tc>
          <w:tcPr>
            <w:tcW w:w="943" w:type="dxa"/>
            <w:noWrap/>
            <w:hideMark/>
          </w:tcPr>
          <w:p w14:paraId="2CAE3FE6" w14:textId="77777777" w:rsidR="00592734" w:rsidRPr="00807AC3" w:rsidRDefault="00592734" w:rsidP="00BB20EB">
            <w:pPr>
              <w:rPr>
                <w:noProof/>
              </w:rPr>
            </w:pPr>
            <w:r w:rsidRPr="00807AC3">
              <w:rPr>
                <w:noProof/>
              </w:rPr>
              <w:t>2021</w:t>
            </w:r>
          </w:p>
        </w:tc>
        <w:tc>
          <w:tcPr>
            <w:tcW w:w="944" w:type="dxa"/>
            <w:noWrap/>
            <w:hideMark/>
          </w:tcPr>
          <w:p w14:paraId="33D61287" w14:textId="77777777" w:rsidR="00592734" w:rsidRPr="00807AC3" w:rsidRDefault="00592734" w:rsidP="00BB20EB">
            <w:pPr>
              <w:rPr>
                <w:noProof/>
              </w:rPr>
            </w:pPr>
            <w:r w:rsidRPr="00807AC3">
              <w:rPr>
                <w:noProof/>
              </w:rPr>
              <w:t>2022</w:t>
            </w:r>
          </w:p>
        </w:tc>
        <w:tc>
          <w:tcPr>
            <w:tcW w:w="943" w:type="dxa"/>
            <w:noWrap/>
            <w:hideMark/>
          </w:tcPr>
          <w:p w14:paraId="369192D2" w14:textId="77777777" w:rsidR="00592734" w:rsidRPr="00807AC3" w:rsidRDefault="00592734" w:rsidP="00BB20EB">
            <w:pPr>
              <w:rPr>
                <w:noProof/>
              </w:rPr>
            </w:pPr>
            <w:r w:rsidRPr="00807AC3">
              <w:rPr>
                <w:noProof/>
              </w:rPr>
              <w:t>2023</w:t>
            </w:r>
          </w:p>
        </w:tc>
        <w:tc>
          <w:tcPr>
            <w:tcW w:w="944" w:type="dxa"/>
            <w:noWrap/>
            <w:hideMark/>
          </w:tcPr>
          <w:p w14:paraId="09BA4A99" w14:textId="77777777" w:rsidR="00592734" w:rsidRPr="00807AC3" w:rsidRDefault="00592734" w:rsidP="00BB20EB">
            <w:pPr>
              <w:rPr>
                <w:noProof/>
              </w:rPr>
            </w:pPr>
            <w:r w:rsidRPr="00807AC3">
              <w:rPr>
                <w:noProof/>
              </w:rPr>
              <w:t>2024</w:t>
            </w:r>
          </w:p>
        </w:tc>
        <w:tc>
          <w:tcPr>
            <w:tcW w:w="944" w:type="dxa"/>
            <w:noWrap/>
            <w:hideMark/>
          </w:tcPr>
          <w:p w14:paraId="4ACC8DEC" w14:textId="77777777" w:rsidR="00592734" w:rsidRPr="00807AC3" w:rsidRDefault="00592734" w:rsidP="00BB20EB">
            <w:pPr>
              <w:rPr>
                <w:noProof/>
              </w:rPr>
            </w:pPr>
            <w:r w:rsidRPr="00807AC3">
              <w:rPr>
                <w:noProof/>
              </w:rPr>
              <w:t>2025</w:t>
            </w:r>
          </w:p>
        </w:tc>
        <w:tc>
          <w:tcPr>
            <w:tcW w:w="943" w:type="dxa"/>
            <w:noWrap/>
            <w:hideMark/>
          </w:tcPr>
          <w:p w14:paraId="246D755F" w14:textId="77777777" w:rsidR="00592734" w:rsidRPr="00807AC3" w:rsidRDefault="00592734" w:rsidP="00BB20EB">
            <w:pPr>
              <w:rPr>
                <w:noProof/>
              </w:rPr>
            </w:pPr>
            <w:r w:rsidRPr="00807AC3">
              <w:rPr>
                <w:noProof/>
              </w:rPr>
              <w:t>2026</w:t>
            </w:r>
          </w:p>
        </w:tc>
        <w:tc>
          <w:tcPr>
            <w:tcW w:w="944" w:type="dxa"/>
            <w:noWrap/>
            <w:hideMark/>
          </w:tcPr>
          <w:p w14:paraId="163C80CD" w14:textId="77777777" w:rsidR="00592734" w:rsidRPr="00807AC3" w:rsidRDefault="00592734" w:rsidP="00BB20EB">
            <w:pPr>
              <w:rPr>
                <w:noProof/>
              </w:rPr>
            </w:pPr>
            <w:r w:rsidRPr="00807AC3">
              <w:rPr>
                <w:noProof/>
              </w:rPr>
              <w:t>2027</w:t>
            </w:r>
          </w:p>
        </w:tc>
        <w:tc>
          <w:tcPr>
            <w:tcW w:w="1087" w:type="dxa"/>
            <w:noWrap/>
            <w:hideMark/>
          </w:tcPr>
          <w:p w14:paraId="2A25F04C" w14:textId="77777777" w:rsidR="00592734" w:rsidRPr="00807AC3" w:rsidRDefault="00592734" w:rsidP="00BB20EB">
            <w:pPr>
              <w:rPr>
                <w:noProof/>
              </w:rPr>
            </w:pPr>
            <w:r w:rsidRPr="00807AC3">
              <w:rPr>
                <w:noProof/>
              </w:rPr>
              <w:t>Total</w:t>
            </w:r>
          </w:p>
        </w:tc>
      </w:tr>
      <w:tr w:rsidR="00F332E4" w:rsidRPr="00040D99" w14:paraId="73E2B2DF" w14:textId="77777777" w:rsidTr="006F409B">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320E3354" w14:textId="77777777" w:rsidR="00F332E4" w:rsidRPr="00807AC3" w:rsidRDefault="00F332E4" w:rsidP="00F332E4">
            <w:pPr>
              <w:rPr>
                <w:noProof/>
              </w:rPr>
            </w:pPr>
            <w:r w:rsidRPr="00807AC3">
              <w:rPr>
                <w:noProof/>
              </w:rPr>
              <w:t>Financial programming</w:t>
            </w:r>
          </w:p>
        </w:tc>
        <w:tc>
          <w:tcPr>
            <w:tcW w:w="943" w:type="dxa"/>
            <w:noWrap/>
            <w:vAlign w:val="center"/>
            <w:hideMark/>
          </w:tcPr>
          <w:p w14:paraId="65D3DB1B" w14:textId="77777777" w:rsidR="00F332E4" w:rsidRPr="006F409B" w:rsidRDefault="00F332E4" w:rsidP="00F332E4">
            <w:pPr>
              <w:jc w:val="center"/>
              <w:rPr>
                <w:rFonts w:ascii="Calibri" w:hAnsi="Calibri" w:cs="Calibri"/>
                <w:noProof/>
                <w:color w:val="000000"/>
              </w:rPr>
            </w:pPr>
            <w:r w:rsidRPr="006F409B">
              <w:rPr>
                <w:rFonts w:ascii="Calibri" w:hAnsi="Calibri" w:cs="Calibri"/>
                <w:noProof/>
                <w:color w:val="000000"/>
              </w:rPr>
              <w:t>4 511.0</w:t>
            </w:r>
          </w:p>
        </w:tc>
        <w:tc>
          <w:tcPr>
            <w:tcW w:w="944" w:type="dxa"/>
            <w:noWrap/>
            <w:vAlign w:val="bottom"/>
            <w:hideMark/>
          </w:tcPr>
          <w:p w14:paraId="0B89807D" w14:textId="595D3EEE" w:rsidR="00F332E4" w:rsidRPr="006F409B" w:rsidRDefault="00F332E4" w:rsidP="00F332E4">
            <w:pPr>
              <w:jc w:val="center"/>
              <w:rPr>
                <w:rFonts w:ascii="Calibri" w:hAnsi="Calibri" w:cs="Calibri"/>
                <w:noProof/>
                <w:color w:val="000000"/>
              </w:rPr>
            </w:pPr>
            <w:r>
              <w:rPr>
                <w:rFonts w:ascii="Calibri" w:hAnsi="Calibri" w:cs="Calibri"/>
                <w:noProof/>
                <w:color w:val="000000"/>
              </w:rPr>
              <w:t>4 561.1</w:t>
            </w:r>
          </w:p>
        </w:tc>
        <w:tc>
          <w:tcPr>
            <w:tcW w:w="943" w:type="dxa"/>
            <w:noWrap/>
            <w:vAlign w:val="bottom"/>
            <w:hideMark/>
          </w:tcPr>
          <w:p w14:paraId="3513018B" w14:textId="69441816" w:rsidR="00F332E4" w:rsidRPr="006F409B" w:rsidRDefault="00F332E4" w:rsidP="00F332E4">
            <w:pPr>
              <w:jc w:val="center"/>
              <w:rPr>
                <w:rFonts w:ascii="Calibri" w:hAnsi="Calibri" w:cs="Calibri"/>
                <w:noProof/>
                <w:color w:val="000000"/>
              </w:rPr>
            </w:pPr>
            <w:r>
              <w:rPr>
                <w:rFonts w:ascii="Calibri" w:hAnsi="Calibri" w:cs="Calibri"/>
                <w:noProof/>
                <w:color w:val="000000"/>
              </w:rPr>
              <w:t>4 675.4</w:t>
            </w:r>
          </w:p>
        </w:tc>
        <w:tc>
          <w:tcPr>
            <w:tcW w:w="944" w:type="dxa"/>
            <w:noWrap/>
            <w:vAlign w:val="bottom"/>
            <w:hideMark/>
          </w:tcPr>
          <w:p w14:paraId="352F0BEF" w14:textId="745CE5D8" w:rsidR="00F332E4" w:rsidRPr="006F409B" w:rsidRDefault="00F332E4" w:rsidP="00F332E4">
            <w:pPr>
              <w:jc w:val="center"/>
              <w:rPr>
                <w:rFonts w:ascii="Calibri" w:hAnsi="Calibri" w:cs="Calibri"/>
                <w:noProof/>
                <w:color w:val="000000"/>
              </w:rPr>
            </w:pPr>
            <w:r>
              <w:rPr>
                <w:rFonts w:ascii="Calibri" w:hAnsi="Calibri" w:cs="Calibri"/>
                <w:noProof/>
                <w:color w:val="000000"/>
              </w:rPr>
              <w:t>4 595.4</w:t>
            </w:r>
          </w:p>
        </w:tc>
        <w:tc>
          <w:tcPr>
            <w:tcW w:w="944" w:type="dxa"/>
            <w:noWrap/>
            <w:vAlign w:val="bottom"/>
            <w:hideMark/>
          </w:tcPr>
          <w:p w14:paraId="68E9B2E1" w14:textId="2AEA9837" w:rsidR="00F332E4" w:rsidRPr="006F409B" w:rsidRDefault="00F332E4" w:rsidP="00F332E4">
            <w:pPr>
              <w:jc w:val="center"/>
              <w:rPr>
                <w:rFonts w:ascii="Calibri" w:hAnsi="Calibri" w:cs="Calibri"/>
                <w:noProof/>
                <w:color w:val="000000"/>
              </w:rPr>
            </w:pPr>
            <w:r>
              <w:rPr>
                <w:rFonts w:ascii="Calibri" w:hAnsi="Calibri" w:cs="Calibri"/>
                <w:noProof/>
                <w:color w:val="000000"/>
              </w:rPr>
              <w:t>4 737.7</w:t>
            </w:r>
          </w:p>
        </w:tc>
        <w:tc>
          <w:tcPr>
            <w:tcW w:w="943" w:type="dxa"/>
            <w:noWrap/>
            <w:vAlign w:val="bottom"/>
            <w:hideMark/>
          </w:tcPr>
          <w:p w14:paraId="68804085" w14:textId="04DE3C7E" w:rsidR="00F332E4" w:rsidRPr="00807AC3" w:rsidRDefault="00F332E4" w:rsidP="00F332E4">
            <w:pPr>
              <w:jc w:val="center"/>
              <w:rPr>
                <w:noProof/>
              </w:rPr>
            </w:pPr>
            <w:r>
              <w:rPr>
                <w:rFonts w:ascii="Calibri" w:hAnsi="Calibri" w:cs="Calibri"/>
                <w:noProof/>
                <w:color w:val="000000"/>
              </w:rPr>
              <w:t>4 947.7</w:t>
            </w:r>
          </w:p>
        </w:tc>
        <w:tc>
          <w:tcPr>
            <w:tcW w:w="944" w:type="dxa"/>
            <w:noWrap/>
            <w:vAlign w:val="bottom"/>
            <w:hideMark/>
          </w:tcPr>
          <w:p w14:paraId="1B3825E8" w14:textId="5CC35E53" w:rsidR="00F332E4" w:rsidRPr="00807AC3" w:rsidRDefault="00F332E4" w:rsidP="00F332E4">
            <w:pPr>
              <w:jc w:val="center"/>
              <w:rPr>
                <w:noProof/>
              </w:rPr>
            </w:pPr>
            <w:r>
              <w:rPr>
                <w:rFonts w:ascii="Calibri" w:hAnsi="Calibri" w:cs="Calibri"/>
                <w:noProof/>
                <w:color w:val="000000"/>
              </w:rPr>
              <w:t>5 080.4</w:t>
            </w:r>
          </w:p>
        </w:tc>
        <w:tc>
          <w:tcPr>
            <w:tcW w:w="1087" w:type="dxa"/>
            <w:noWrap/>
            <w:vAlign w:val="bottom"/>
            <w:hideMark/>
          </w:tcPr>
          <w:p w14:paraId="5412E4DC" w14:textId="4E068AF7" w:rsidR="00F332E4" w:rsidRPr="00807AC3" w:rsidRDefault="00F332E4" w:rsidP="00F332E4">
            <w:pPr>
              <w:jc w:val="center"/>
              <w:rPr>
                <w:noProof/>
              </w:rPr>
            </w:pPr>
            <w:r>
              <w:rPr>
                <w:rFonts w:ascii="Calibri" w:hAnsi="Calibri" w:cs="Calibri"/>
                <w:noProof/>
                <w:color w:val="000000"/>
              </w:rPr>
              <w:t>33 108.8</w:t>
            </w:r>
          </w:p>
        </w:tc>
      </w:tr>
      <w:tr w:rsidR="00592734" w:rsidRPr="00040D99" w14:paraId="3D302A3B" w14:textId="77777777" w:rsidTr="00BB20EB">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5AF504E1" w14:textId="77777777" w:rsidR="00592734" w:rsidRPr="00807AC3" w:rsidRDefault="00592734" w:rsidP="00BB20EB">
            <w:pPr>
              <w:rPr>
                <w:noProof/>
              </w:rPr>
            </w:pPr>
            <w:r w:rsidRPr="00807AC3">
              <w:rPr>
                <w:noProof/>
              </w:rPr>
              <w:t>NextGenerationEU</w:t>
            </w:r>
          </w:p>
        </w:tc>
        <w:tc>
          <w:tcPr>
            <w:tcW w:w="943" w:type="dxa"/>
            <w:noWrap/>
            <w:hideMark/>
          </w:tcPr>
          <w:p w14:paraId="04C90CED" w14:textId="77777777" w:rsidR="00592734" w:rsidRPr="00807AC3" w:rsidRDefault="00592734" w:rsidP="00BB20EB">
            <w:pPr>
              <w:jc w:val="center"/>
              <w:rPr>
                <w:noProof/>
              </w:rPr>
            </w:pPr>
          </w:p>
        </w:tc>
        <w:tc>
          <w:tcPr>
            <w:tcW w:w="944" w:type="dxa"/>
            <w:noWrap/>
            <w:hideMark/>
          </w:tcPr>
          <w:p w14:paraId="300183C4" w14:textId="77777777" w:rsidR="00592734" w:rsidRPr="00807AC3" w:rsidRDefault="00592734" w:rsidP="00BB20EB">
            <w:pPr>
              <w:jc w:val="center"/>
              <w:rPr>
                <w:noProof/>
              </w:rPr>
            </w:pPr>
          </w:p>
        </w:tc>
        <w:tc>
          <w:tcPr>
            <w:tcW w:w="943" w:type="dxa"/>
            <w:noWrap/>
            <w:hideMark/>
          </w:tcPr>
          <w:p w14:paraId="4528BB5D" w14:textId="77777777" w:rsidR="00592734" w:rsidRPr="00807AC3" w:rsidRDefault="00592734" w:rsidP="00BB20EB">
            <w:pPr>
              <w:jc w:val="center"/>
              <w:rPr>
                <w:noProof/>
              </w:rPr>
            </w:pPr>
          </w:p>
        </w:tc>
        <w:tc>
          <w:tcPr>
            <w:tcW w:w="944" w:type="dxa"/>
            <w:noWrap/>
            <w:hideMark/>
          </w:tcPr>
          <w:p w14:paraId="46A8AB5D" w14:textId="77777777" w:rsidR="00592734" w:rsidRPr="00807AC3" w:rsidRDefault="00592734" w:rsidP="00BB20EB">
            <w:pPr>
              <w:jc w:val="center"/>
              <w:rPr>
                <w:noProof/>
              </w:rPr>
            </w:pPr>
          </w:p>
        </w:tc>
        <w:tc>
          <w:tcPr>
            <w:tcW w:w="944" w:type="dxa"/>
            <w:noWrap/>
            <w:hideMark/>
          </w:tcPr>
          <w:p w14:paraId="4FC2DAB0" w14:textId="77777777" w:rsidR="00592734" w:rsidRPr="00807AC3" w:rsidRDefault="00592734" w:rsidP="00BB20EB">
            <w:pPr>
              <w:jc w:val="center"/>
              <w:rPr>
                <w:noProof/>
              </w:rPr>
            </w:pPr>
          </w:p>
        </w:tc>
        <w:tc>
          <w:tcPr>
            <w:tcW w:w="943" w:type="dxa"/>
            <w:noWrap/>
            <w:hideMark/>
          </w:tcPr>
          <w:p w14:paraId="014C6BDB" w14:textId="77777777" w:rsidR="00592734" w:rsidRPr="00807AC3" w:rsidRDefault="00592734" w:rsidP="00BB20EB">
            <w:pPr>
              <w:jc w:val="center"/>
              <w:rPr>
                <w:noProof/>
              </w:rPr>
            </w:pPr>
          </w:p>
        </w:tc>
        <w:tc>
          <w:tcPr>
            <w:tcW w:w="944" w:type="dxa"/>
            <w:noWrap/>
            <w:hideMark/>
          </w:tcPr>
          <w:p w14:paraId="6BD262D5" w14:textId="77777777" w:rsidR="00592734" w:rsidRPr="00807AC3" w:rsidRDefault="00592734" w:rsidP="00BB20EB">
            <w:pPr>
              <w:jc w:val="center"/>
              <w:rPr>
                <w:noProof/>
              </w:rPr>
            </w:pPr>
          </w:p>
        </w:tc>
        <w:tc>
          <w:tcPr>
            <w:tcW w:w="1087" w:type="dxa"/>
            <w:noWrap/>
            <w:hideMark/>
          </w:tcPr>
          <w:p w14:paraId="01268104" w14:textId="77777777" w:rsidR="00592734" w:rsidRPr="00807AC3" w:rsidRDefault="00592734" w:rsidP="00BB20EB">
            <w:pPr>
              <w:jc w:val="center"/>
              <w:rPr>
                <w:noProof/>
              </w:rPr>
            </w:pPr>
          </w:p>
        </w:tc>
      </w:tr>
      <w:tr w:rsidR="00592734" w:rsidRPr="00040D99" w14:paraId="0E60D994" w14:textId="77777777" w:rsidTr="00BB20EB">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7BD0E09D" w14:textId="77777777" w:rsidR="00592734" w:rsidRPr="00807AC3" w:rsidRDefault="00592734" w:rsidP="00BB20EB">
            <w:pPr>
              <w:rPr>
                <w:noProof/>
              </w:rPr>
            </w:pPr>
            <w:r w:rsidRPr="00807AC3">
              <w:rPr>
                <w:noProof/>
              </w:rPr>
              <w:t>Decommitments made available again</w:t>
            </w:r>
            <w:r>
              <w:rPr>
                <w:rFonts w:ascii="Calibri" w:hAnsi="Calibri" w:cs="Calibri"/>
                <w:noProof/>
              </w:rPr>
              <w:t> (</w:t>
            </w:r>
            <w:r w:rsidRPr="00807AC3">
              <w:rPr>
                <w:noProof/>
              </w:rPr>
              <w:t>*</w:t>
            </w:r>
            <w:r>
              <w:rPr>
                <w:noProof/>
              </w:rPr>
              <w:t>)</w:t>
            </w:r>
          </w:p>
        </w:tc>
        <w:tc>
          <w:tcPr>
            <w:tcW w:w="943" w:type="dxa"/>
            <w:noWrap/>
            <w:hideMark/>
          </w:tcPr>
          <w:p w14:paraId="1745E1C5" w14:textId="77777777" w:rsidR="00592734" w:rsidRPr="00807AC3" w:rsidRDefault="00592734" w:rsidP="00BB20EB">
            <w:pPr>
              <w:jc w:val="center"/>
              <w:rPr>
                <w:noProof/>
              </w:rPr>
            </w:pPr>
            <w:r>
              <w:rPr>
                <w:noProof/>
              </w:rPr>
              <w:t>N/A</w:t>
            </w:r>
          </w:p>
        </w:tc>
        <w:tc>
          <w:tcPr>
            <w:tcW w:w="944" w:type="dxa"/>
            <w:noWrap/>
            <w:hideMark/>
          </w:tcPr>
          <w:p w14:paraId="6EF30A6C" w14:textId="77777777" w:rsidR="00592734" w:rsidRPr="00807AC3" w:rsidRDefault="00592734" w:rsidP="00BB20EB">
            <w:pPr>
              <w:jc w:val="center"/>
              <w:rPr>
                <w:noProof/>
              </w:rPr>
            </w:pPr>
          </w:p>
        </w:tc>
        <w:tc>
          <w:tcPr>
            <w:tcW w:w="943" w:type="dxa"/>
            <w:noWrap/>
            <w:hideMark/>
          </w:tcPr>
          <w:p w14:paraId="7CE3B27D" w14:textId="77777777" w:rsidR="00592734" w:rsidRPr="00807AC3" w:rsidRDefault="00592734" w:rsidP="00BB20EB">
            <w:pPr>
              <w:jc w:val="center"/>
              <w:rPr>
                <w:noProof/>
              </w:rPr>
            </w:pPr>
          </w:p>
        </w:tc>
        <w:tc>
          <w:tcPr>
            <w:tcW w:w="944" w:type="dxa"/>
            <w:noWrap/>
            <w:hideMark/>
          </w:tcPr>
          <w:p w14:paraId="46435CEC" w14:textId="77777777" w:rsidR="00592734" w:rsidRPr="00807AC3" w:rsidRDefault="00592734" w:rsidP="00BB20EB">
            <w:pPr>
              <w:jc w:val="center"/>
              <w:rPr>
                <w:noProof/>
              </w:rPr>
            </w:pPr>
          </w:p>
        </w:tc>
        <w:tc>
          <w:tcPr>
            <w:tcW w:w="944" w:type="dxa"/>
            <w:noWrap/>
            <w:hideMark/>
          </w:tcPr>
          <w:p w14:paraId="215098C9" w14:textId="77777777" w:rsidR="00592734" w:rsidRPr="00807AC3" w:rsidRDefault="00592734" w:rsidP="00BB20EB">
            <w:pPr>
              <w:jc w:val="center"/>
              <w:rPr>
                <w:noProof/>
              </w:rPr>
            </w:pPr>
          </w:p>
        </w:tc>
        <w:tc>
          <w:tcPr>
            <w:tcW w:w="943" w:type="dxa"/>
            <w:noWrap/>
            <w:hideMark/>
          </w:tcPr>
          <w:p w14:paraId="2C0222B3" w14:textId="77777777" w:rsidR="00592734" w:rsidRPr="00807AC3" w:rsidRDefault="00592734" w:rsidP="00BB20EB">
            <w:pPr>
              <w:jc w:val="center"/>
              <w:rPr>
                <w:noProof/>
              </w:rPr>
            </w:pPr>
          </w:p>
        </w:tc>
        <w:tc>
          <w:tcPr>
            <w:tcW w:w="944" w:type="dxa"/>
            <w:noWrap/>
            <w:hideMark/>
          </w:tcPr>
          <w:p w14:paraId="68F9F209" w14:textId="77777777" w:rsidR="00592734" w:rsidRPr="00807AC3" w:rsidRDefault="00592734" w:rsidP="00BB20EB">
            <w:pPr>
              <w:jc w:val="center"/>
              <w:rPr>
                <w:noProof/>
              </w:rPr>
            </w:pPr>
          </w:p>
        </w:tc>
        <w:tc>
          <w:tcPr>
            <w:tcW w:w="1087" w:type="dxa"/>
            <w:noWrap/>
            <w:hideMark/>
          </w:tcPr>
          <w:p w14:paraId="57C72846" w14:textId="77777777" w:rsidR="00592734" w:rsidRPr="00807AC3" w:rsidRDefault="00592734" w:rsidP="00BB20EB">
            <w:pPr>
              <w:jc w:val="center"/>
              <w:rPr>
                <w:noProof/>
              </w:rPr>
            </w:pPr>
            <w:r>
              <w:rPr>
                <w:noProof/>
              </w:rPr>
              <w:t>N/A</w:t>
            </w:r>
          </w:p>
        </w:tc>
      </w:tr>
      <w:tr w:rsidR="00592734" w:rsidRPr="00040D99" w14:paraId="7706F0D1" w14:textId="77777777" w:rsidTr="00BB20EB">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3487B591" w14:textId="77777777" w:rsidR="00592734" w:rsidRPr="00807AC3" w:rsidRDefault="00592734" w:rsidP="00BB20EB">
            <w:pPr>
              <w:rPr>
                <w:noProof/>
              </w:rPr>
            </w:pPr>
            <w:r w:rsidRPr="00807AC3">
              <w:rPr>
                <w:noProof/>
              </w:rPr>
              <w:t>Contributions from other countries and entities</w:t>
            </w:r>
          </w:p>
        </w:tc>
        <w:tc>
          <w:tcPr>
            <w:tcW w:w="943" w:type="dxa"/>
            <w:noWrap/>
            <w:hideMark/>
          </w:tcPr>
          <w:p w14:paraId="554D5B5C" w14:textId="77777777" w:rsidR="00592734" w:rsidRPr="00807AC3" w:rsidRDefault="00592734" w:rsidP="00BB20EB">
            <w:pPr>
              <w:jc w:val="center"/>
              <w:rPr>
                <w:noProof/>
              </w:rPr>
            </w:pPr>
            <w:r>
              <w:rPr>
                <w:noProof/>
              </w:rPr>
              <w:t>0.0</w:t>
            </w:r>
          </w:p>
        </w:tc>
        <w:tc>
          <w:tcPr>
            <w:tcW w:w="944" w:type="dxa"/>
            <w:noWrap/>
            <w:hideMark/>
          </w:tcPr>
          <w:p w14:paraId="13B6B08A" w14:textId="77777777" w:rsidR="00592734" w:rsidRPr="00807AC3" w:rsidRDefault="00592734" w:rsidP="00BB20EB">
            <w:pPr>
              <w:jc w:val="center"/>
              <w:rPr>
                <w:noProof/>
              </w:rPr>
            </w:pPr>
            <w:r>
              <w:rPr>
                <w:noProof/>
              </w:rPr>
              <w:t>p.m.</w:t>
            </w:r>
          </w:p>
        </w:tc>
        <w:tc>
          <w:tcPr>
            <w:tcW w:w="943" w:type="dxa"/>
            <w:noWrap/>
            <w:hideMark/>
          </w:tcPr>
          <w:p w14:paraId="629F68FC" w14:textId="77777777" w:rsidR="00592734" w:rsidRPr="00807AC3" w:rsidRDefault="00592734" w:rsidP="00BB20EB">
            <w:pPr>
              <w:jc w:val="center"/>
              <w:rPr>
                <w:noProof/>
              </w:rPr>
            </w:pPr>
            <w:r>
              <w:rPr>
                <w:noProof/>
              </w:rPr>
              <w:t>p.m.</w:t>
            </w:r>
          </w:p>
        </w:tc>
        <w:tc>
          <w:tcPr>
            <w:tcW w:w="944" w:type="dxa"/>
            <w:noWrap/>
            <w:hideMark/>
          </w:tcPr>
          <w:p w14:paraId="188B76FF" w14:textId="77777777" w:rsidR="00592734" w:rsidRPr="00807AC3" w:rsidRDefault="00592734" w:rsidP="00BB20EB">
            <w:pPr>
              <w:jc w:val="center"/>
              <w:rPr>
                <w:noProof/>
              </w:rPr>
            </w:pPr>
            <w:r>
              <w:rPr>
                <w:noProof/>
              </w:rPr>
              <w:t>p.m.</w:t>
            </w:r>
          </w:p>
        </w:tc>
        <w:tc>
          <w:tcPr>
            <w:tcW w:w="944" w:type="dxa"/>
            <w:noWrap/>
            <w:hideMark/>
          </w:tcPr>
          <w:p w14:paraId="3960DA3F" w14:textId="77777777" w:rsidR="00592734" w:rsidRPr="00807AC3" w:rsidRDefault="00592734" w:rsidP="00BB20EB">
            <w:pPr>
              <w:jc w:val="center"/>
              <w:rPr>
                <w:noProof/>
              </w:rPr>
            </w:pPr>
            <w:r>
              <w:rPr>
                <w:noProof/>
              </w:rPr>
              <w:t>p.m.</w:t>
            </w:r>
          </w:p>
        </w:tc>
        <w:tc>
          <w:tcPr>
            <w:tcW w:w="943" w:type="dxa"/>
            <w:noWrap/>
            <w:hideMark/>
          </w:tcPr>
          <w:p w14:paraId="53A172E9" w14:textId="77777777" w:rsidR="00592734" w:rsidRPr="00807AC3" w:rsidRDefault="00592734" w:rsidP="00BB20EB">
            <w:pPr>
              <w:jc w:val="center"/>
              <w:rPr>
                <w:noProof/>
              </w:rPr>
            </w:pPr>
            <w:r>
              <w:rPr>
                <w:noProof/>
              </w:rPr>
              <w:t>p.m.</w:t>
            </w:r>
          </w:p>
        </w:tc>
        <w:tc>
          <w:tcPr>
            <w:tcW w:w="944" w:type="dxa"/>
            <w:noWrap/>
            <w:hideMark/>
          </w:tcPr>
          <w:p w14:paraId="73C22E2E" w14:textId="77777777" w:rsidR="00592734" w:rsidRPr="00807AC3" w:rsidRDefault="00592734" w:rsidP="00BB20EB">
            <w:pPr>
              <w:jc w:val="center"/>
              <w:rPr>
                <w:noProof/>
              </w:rPr>
            </w:pPr>
            <w:r>
              <w:rPr>
                <w:noProof/>
              </w:rPr>
              <w:t>p.m.</w:t>
            </w:r>
          </w:p>
        </w:tc>
        <w:tc>
          <w:tcPr>
            <w:tcW w:w="1087" w:type="dxa"/>
            <w:noWrap/>
            <w:hideMark/>
          </w:tcPr>
          <w:p w14:paraId="7B729D3C" w14:textId="77777777" w:rsidR="00592734" w:rsidRPr="00807AC3" w:rsidRDefault="00592734" w:rsidP="00BB20EB">
            <w:pPr>
              <w:jc w:val="center"/>
              <w:rPr>
                <w:noProof/>
              </w:rPr>
            </w:pPr>
            <w:r>
              <w:rPr>
                <w:noProof/>
              </w:rPr>
              <w:t>0.0</w:t>
            </w:r>
          </w:p>
        </w:tc>
      </w:tr>
    </w:tbl>
    <w:p w14:paraId="60518307" w14:textId="77777777" w:rsidR="00592734" w:rsidRPr="009A3787" w:rsidRDefault="00592734" w:rsidP="00592734">
      <w:pPr>
        <w:tabs>
          <w:tab w:val="left" w:pos="6793"/>
        </w:tabs>
        <w:rPr>
          <w:noProof/>
          <w:sz w:val="18"/>
          <w:szCs w:val="18"/>
          <w:lang w:val="en-IE"/>
        </w:rPr>
      </w:pPr>
      <w:r>
        <w:rPr>
          <w:noProof/>
          <w:sz w:val="18"/>
          <w:szCs w:val="18"/>
          <w:lang w:val="en-IE"/>
        </w:rPr>
        <w:t>(</w:t>
      </w:r>
      <w:r w:rsidRPr="009A3787">
        <w:rPr>
          <w:noProof/>
          <w:sz w:val="18"/>
          <w:szCs w:val="18"/>
          <w:lang w:val="en-IE"/>
        </w:rPr>
        <w:t>*</w:t>
      </w:r>
      <w:r>
        <w:rPr>
          <w:noProof/>
          <w:sz w:val="18"/>
          <w:szCs w:val="18"/>
          <w:lang w:val="en-IE"/>
        </w:rPr>
        <w:t>)</w:t>
      </w:r>
      <w:r w:rsidRPr="009A3787">
        <w:rPr>
          <w:noProof/>
          <w:sz w:val="18"/>
          <w:szCs w:val="18"/>
          <w:lang w:val="en-IE"/>
        </w:rPr>
        <w:t xml:space="preserve"> Only Art</w:t>
      </w:r>
      <w:r>
        <w:rPr>
          <w:noProof/>
          <w:sz w:val="18"/>
          <w:szCs w:val="18"/>
          <w:lang w:val="en-IE"/>
        </w:rPr>
        <w:t>icle</w:t>
      </w:r>
      <w:r>
        <w:rPr>
          <w:rFonts w:ascii="Calibri" w:hAnsi="Calibri" w:cs="Calibri"/>
          <w:noProof/>
          <w:sz w:val="18"/>
          <w:szCs w:val="18"/>
          <w:lang w:val="en-IE"/>
        </w:rPr>
        <w:t> </w:t>
      </w:r>
      <w:r w:rsidRPr="009A3787">
        <w:rPr>
          <w:noProof/>
          <w:sz w:val="18"/>
          <w:szCs w:val="18"/>
          <w:lang w:val="en-IE"/>
        </w:rPr>
        <w:t>15</w:t>
      </w:r>
      <w:r>
        <w:rPr>
          <w:noProof/>
          <w:sz w:val="18"/>
          <w:szCs w:val="18"/>
          <w:lang w:val="en-IE"/>
        </w:rPr>
        <w:t>(</w:t>
      </w:r>
      <w:r w:rsidRPr="009A3787">
        <w:rPr>
          <w:noProof/>
          <w:sz w:val="18"/>
          <w:szCs w:val="18"/>
          <w:lang w:val="en-IE"/>
        </w:rPr>
        <w:t>3</w:t>
      </w:r>
      <w:r>
        <w:rPr>
          <w:noProof/>
          <w:sz w:val="18"/>
          <w:szCs w:val="18"/>
          <w:lang w:val="en-IE"/>
        </w:rPr>
        <w:t>) of the</w:t>
      </w:r>
      <w:r w:rsidRPr="009A3787">
        <w:rPr>
          <w:noProof/>
          <w:sz w:val="18"/>
          <w:szCs w:val="18"/>
          <w:lang w:val="en-IE"/>
        </w:rPr>
        <w:t xml:space="preserve"> </w:t>
      </w:r>
      <w:r>
        <w:rPr>
          <w:noProof/>
          <w:sz w:val="18"/>
          <w:szCs w:val="18"/>
          <w:lang w:val="en-IE"/>
        </w:rPr>
        <w:t>f</w:t>
      </w:r>
      <w:r w:rsidRPr="009A3787">
        <w:rPr>
          <w:noProof/>
          <w:sz w:val="18"/>
          <w:szCs w:val="18"/>
          <w:lang w:val="en-IE"/>
        </w:rPr>
        <w:t xml:space="preserve">inancial </w:t>
      </w:r>
      <w:r>
        <w:rPr>
          <w:noProof/>
          <w:sz w:val="18"/>
          <w:szCs w:val="18"/>
          <w:lang w:val="en-IE"/>
        </w:rPr>
        <w:t>r</w:t>
      </w:r>
      <w:r w:rsidRPr="009A3787">
        <w:rPr>
          <w:noProof/>
          <w:sz w:val="18"/>
          <w:szCs w:val="18"/>
          <w:lang w:val="en-IE"/>
        </w:rPr>
        <w:t>egulation</w:t>
      </w:r>
      <w:r>
        <w:rPr>
          <w:noProof/>
          <w:sz w:val="18"/>
          <w:szCs w:val="18"/>
          <w:lang w:val="en-IE"/>
        </w:rPr>
        <w:t>.</w:t>
      </w:r>
    </w:p>
    <w:p w14:paraId="321C7C2F" w14:textId="77777777" w:rsidR="00592734" w:rsidRPr="003026CC" w:rsidRDefault="00592734" w:rsidP="00592734">
      <w:pPr>
        <w:tabs>
          <w:tab w:val="left" w:pos="6793"/>
        </w:tabs>
        <w:rPr>
          <w:noProof/>
          <w:sz w:val="18"/>
          <w:szCs w:val="18"/>
          <w:lang w:val="en-US"/>
        </w:rPr>
      </w:pPr>
    </w:p>
    <w:p w14:paraId="09D4EC59" w14:textId="77777777" w:rsidR="00592734" w:rsidRPr="00040D99" w:rsidRDefault="00592734" w:rsidP="00592734">
      <w:pPr>
        <w:pStyle w:val="ppoTableTabletitle"/>
        <w:rPr>
          <w:noProof/>
        </w:rPr>
      </w:pPr>
      <w:r w:rsidRPr="00040D99">
        <w:rPr>
          <w:noProof/>
        </w:rPr>
        <w:t>Cumulative impleme</w:t>
      </w:r>
      <w:r>
        <w:rPr>
          <w:noProof/>
        </w:rPr>
        <w:t>ntation rate at the end of 2021 (million</w:t>
      </w:r>
      <w:r w:rsidRPr="009A3787">
        <w:rPr>
          <w:noProof/>
        </w:rPr>
        <w:t xml:space="preserve"> </w:t>
      </w:r>
      <w:r>
        <w:rPr>
          <w:noProof/>
        </w:rPr>
        <w:t>EUR):</w:t>
      </w:r>
    </w:p>
    <w:tbl>
      <w:tblPr>
        <w:tblStyle w:val="PPO2021"/>
        <w:tblW w:w="9639" w:type="dxa"/>
        <w:tblInd w:w="0" w:type="dxa"/>
        <w:tblLook w:val="06A0" w:firstRow="1" w:lastRow="0" w:firstColumn="1" w:lastColumn="0" w:noHBand="1" w:noVBand="1"/>
      </w:tblPr>
      <w:tblGrid>
        <w:gridCol w:w="2409"/>
        <w:gridCol w:w="2410"/>
        <w:gridCol w:w="2410"/>
        <w:gridCol w:w="2410"/>
      </w:tblGrid>
      <w:tr w:rsidR="00592734" w:rsidRPr="00040D99" w14:paraId="4118E458" w14:textId="77777777" w:rsidTr="00BB2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7BBA91" w14:textId="77777777" w:rsidR="00592734" w:rsidRPr="00807AC3" w:rsidRDefault="00592734" w:rsidP="00BB20EB">
            <w:pPr>
              <w:rPr>
                <w:noProof/>
              </w:rPr>
            </w:pPr>
          </w:p>
        </w:tc>
        <w:tc>
          <w:tcPr>
            <w:tcW w:w="2410" w:type="dxa"/>
          </w:tcPr>
          <w:p w14:paraId="4DB13B45" w14:textId="77777777" w:rsidR="00592734" w:rsidRPr="00807AC3" w:rsidRDefault="00592734" w:rsidP="00BB20EB">
            <w:pPr>
              <w:cnfStyle w:val="100000000000" w:firstRow="1" w:lastRow="0" w:firstColumn="0" w:lastColumn="0" w:oddVBand="0" w:evenVBand="0" w:oddHBand="0" w:evenHBand="0" w:firstRowFirstColumn="0" w:firstRowLastColumn="0" w:lastRowFirstColumn="0" w:lastRowLastColumn="0"/>
              <w:rPr>
                <w:noProof/>
              </w:rPr>
            </w:pPr>
            <w:r w:rsidRPr="00807AC3">
              <w:rPr>
                <w:noProof/>
              </w:rPr>
              <w:t>Implementation</w:t>
            </w:r>
          </w:p>
        </w:tc>
        <w:tc>
          <w:tcPr>
            <w:tcW w:w="2410" w:type="dxa"/>
          </w:tcPr>
          <w:p w14:paraId="233BA3CE" w14:textId="1231C622" w:rsidR="00592734" w:rsidRPr="00807AC3" w:rsidRDefault="001F4CBC" w:rsidP="00BB20EB">
            <w:pPr>
              <w:cnfStyle w:val="100000000000" w:firstRow="1" w:lastRow="0" w:firstColumn="0" w:lastColumn="0" w:oddVBand="0" w:evenVBand="0" w:oddHBand="0" w:evenHBand="0" w:firstRowFirstColumn="0" w:firstRowLastColumn="0" w:lastRowFirstColumn="0" w:lastRowLastColumn="0"/>
              <w:rPr>
                <w:noProof/>
              </w:rPr>
            </w:pPr>
            <w:r>
              <w:rPr>
                <w:noProof/>
              </w:rPr>
              <w:t xml:space="preserve">2021-2027 </w:t>
            </w:r>
            <w:r w:rsidRPr="00885241">
              <w:rPr>
                <w:noProof/>
              </w:rPr>
              <w:t>Budget</w:t>
            </w:r>
          </w:p>
        </w:tc>
        <w:tc>
          <w:tcPr>
            <w:tcW w:w="2410" w:type="dxa"/>
          </w:tcPr>
          <w:p w14:paraId="4207D23A" w14:textId="77777777" w:rsidR="00592734" w:rsidRPr="00807AC3" w:rsidRDefault="00592734" w:rsidP="00BB20EB">
            <w:pPr>
              <w:cnfStyle w:val="100000000000" w:firstRow="1" w:lastRow="0" w:firstColumn="0" w:lastColumn="0" w:oddVBand="0" w:evenVBand="0" w:oddHBand="0" w:evenHBand="0" w:firstRowFirstColumn="0" w:firstRowLastColumn="0" w:lastRowFirstColumn="0" w:lastRowLastColumn="0"/>
              <w:rPr>
                <w:noProof/>
              </w:rPr>
            </w:pPr>
            <w:r w:rsidRPr="00807AC3">
              <w:rPr>
                <w:noProof/>
              </w:rPr>
              <w:t>Implementation rate</w:t>
            </w:r>
          </w:p>
        </w:tc>
      </w:tr>
      <w:tr w:rsidR="00592734" w:rsidRPr="00040D99" w14:paraId="267E2C55" w14:textId="77777777" w:rsidTr="00BB20EB">
        <w:tc>
          <w:tcPr>
            <w:cnfStyle w:val="001000000000" w:firstRow="0" w:lastRow="0" w:firstColumn="1" w:lastColumn="0" w:oddVBand="0" w:evenVBand="0" w:oddHBand="0" w:evenHBand="0" w:firstRowFirstColumn="0" w:firstRowLastColumn="0" w:lastRowFirstColumn="0" w:lastRowLastColumn="0"/>
            <w:tcW w:w="0" w:type="auto"/>
          </w:tcPr>
          <w:p w14:paraId="72FCE5AC" w14:textId="77777777" w:rsidR="00592734" w:rsidRPr="00807AC3" w:rsidRDefault="00592734" w:rsidP="00BB20EB">
            <w:pPr>
              <w:jc w:val="center"/>
              <w:rPr>
                <w:noProof/>
              </w:rPr>
            </w:pPr>
            <w:r>
              <w:rPr>
                <w:noProof/>
              </w:rPr>
              <w:t>Commitments</w:t>
            </w:r>
          </w:p>
        </w:tc>
        <w:tc>
          <w:tcPr>
            <w:tcW w:w="2410" w:type="dxa"/>
          </w:tcPr>
          <w:tbl>
            <w:tblPr>
              <w:tblStyle w:val="TableGrid"/>
              <w:tblW w:w="0" w:type="auto"/>
              <w:tblLook w:val="06A0" w:firstRow="1" w:lastRow="0" w:firstColumn="1" w:lastColumn="0" w:noHBand="1" w:noVBand="1"/>
            </w:tblPr>
            <w:tblGrid>
              <w:gridCol w:w="2194"/>
            </w:tblGrid>
            <w:tr w:rsidR="00592734" w14:paraId="1172F600" w14:textId="77777777" w:rsidTr="00BB20EB">
              <w:trPr>
                <w:trHeight w:val="285"/>
              </w:trPr>
              <w:tc>
                <w:tcPr>
                  <w:tcW w:w="2290" w:type="dxa"/>
                  <w:tcBorders>
                    <w:top w:val="nil"/>
                    <w:left w:val="nil"/>
                    <w:bottom w:val="nil"/>
                    <w:right w:val="nil"/>
                  </w:tcBorders>
                  <w:vAlign w:val="bottom"/>
                </w:tcPr>
                <w:p w14:paraId="6B03F24A" w14:textId="77777777" w:rsidR="00592734" w:rsidRDefault="00592734" w:rsidP="00BB20EB">
                  <w:pPr>
                    <w:jc w:val="center"/>
                    <w:rPr>
                      <w:noProof/>
                    </w:rPr>
                  </w:pPr>
                  <w:r w:rsidRPr="0212A971">
                    <w:rPr>
                      <w:rFonts w:ascii="Calibri" w:hAnsi="Calibri" w:cs="Calibri"/>
                      <w:noProof/>
                      <w:color w:val="000000"/>
                    </w:rPr>
                    <w:t>4</w:t>
                  </w:r>
                  <w:r>
                    <w:rPr>
                      <w:rFonts w:ascii="Calibri" w:hAnsi="Calibri" w:cs="Calibri"/>
                      <w:noProof/>
                      <w:color w:val="000000"/>
                    </w:rPr>
                    <w:t> </w:t>
                  </w:r>
                  <w:r w:rsidRPr="0212A971">
                    <w:rPr>
                      <w:rFonts w:ascii="Calibri" w:hAnsi="Calibri" w:cs="Calibri"/>
                      <w:noProof/>
                      <w:color w:val="000000"/>
                    </w:rPr>
                    <w:t>510</w:t>
                  </w:r>
                  <w:r>
                    <w:rPr>
                      <w:rFonts w:ascii="Calibri" w:hAnsi="Calibri" w:cs="Calibri"/>
                      <w:noProof/>
                      <w:color w:val="000000"/>
                    </w:rPr>
                    <w:t>.1</w:t>
                  </w:r>
                </w:p>
              </w:tc>
            </w:tr>
          </w:tbl>
          <w:p w14:paraId="02540DE2" w14:textId="77777777" w:rsidR="00592734" w:rsidRPr="00807AC3" w:rsidRDefault="00592734"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592734" w14:paraId="798F7CE9" w14:textId="77777777" w:rsidTr="00BB20EB">
              <w:trPr>
                <w:trHeight w:val="285"/>
              </w:trPr>
              <w:tc>
                <w:tcPr>
                  <w:tcW w:w="2290" w:type="dxa"/>
                  <w:tcBorders>
                    <w:top w:val="nil"/>
                    <w:left w:val="nil"/>
                    <w:bottom w:val="nil"/>
                    <w:right w:val="nil"/>
                  </w:tcBorders>
                  <w:vAlign w:val="bottom"/>
                </w:tcPr>
                <w:p w14:paraId="610BD165" w14:textId="77777777" w:rsidR="00F332E4" w:rsidRDefault="00F332E4" w:rsidP="00F332E4">
                  <w:pPr>
                    <w:spacing w:after="0"/>
                    <w:jc w:val="center"/>
                    <w:rPr>
                      <w:rFonts w:ascii="Calibri" w:hAnsi="Calibri" w:cs="Calibri"/>
                      <w:b/>
                      <w:bCs/>
                      <w:noProof/>
                      <w:color w:val="000000"/>
                      <w:sz w:val="22"/>
                      <w:szCs w:val="22"/>
                    </w:rPr>
                  </w:pPr>
                  <w:r>
                    <w:rPr>
                      <w:rFonts w:ascii="Calibri" w:hAnsi="Calibri" w:cs="Calibri"/>
                      <w:b/>
                      <w:bCs/>
                      <w:noProof/>
                      <w:color w:val="000000"/>
                      <w:sz w:val="22"/>
                      <w:szCs w:val="22"/>
                    </w:rPr>
                    <w:t>33 108.8</w:t>
                  </w:r>
                </w:p>
                <w:p w14:paraId="6DA54D33" w14:textId="6C0E0663" w:rsidR="00592734" w:rsidRDefault="00592734" w:rsidP="00BB20EB">
                  <w:pPr>
                    <w:jc w:val="center"/>
                    <w:rPr>
                      <w:rFonts w:ascii="Calibri" w:hAnsi="Calibri" w:cs="Calibri"/>
                      <w:noProof/>
                      <w:color w:val="000000"/>
                    </w:rPr>
                  </w:pPr>
                </w:p>
              </w:tc>
            </w:tr>
          </w:tbl>
          <w:p w14:paraId="10B7F042" w14:textId="77777777" w:rsidR="00592734" w:rsidRPr="00807AC3" w:rsidRDefault="00592734"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592734" w14:paraId="48390BBF" w14:textId="77777777" w:rsidTr="00BB20EB">
              <w:trPr>
                <w:trHeight w:val="285"/>
              </w:trPr>
              <w:tc>
                <w:tcPr>
                  <w:tcW w:w="2290" w:type="dxa"/>
                  <w:tcBorders>
                    <w:top w:val="nil"/>
                    <w:left w:val="nil"/>
                    <w:bottom w:val="nil"/>
                    <w:right w:val="nil"/>
                  </w:tcBorders>
                  <w:vAlign w:val="bottom"/>
                </w:tcPr>
                <w:p w14:paraId="7B88BFF5" w14:textId="6051A541" w:rsidR="00592734" w:rsidRDefault="00592734" w:rsidP="00BB20EB">
                  <w:pPr>
                    <w:jc w:val="right"/>
                    <w:rPr>
                      <w:noProof/>
                    </w:rPr>
                  </w:pPr>
                  <w:r w:rsidRPr="70E0FB0E">
                    <w:rPr>
                      <w:rFonts w:ascii="Calibri" w:hAnsi="Calibri" w:cs="Calibri"/>
                      <w:noProof/>
                      <w:color w:val="000000"/>
                    </w:rPr>
                    <w:t>14%</w:t>
                  </w:r>
                </w:p>
              </w:tc>
            </w:tr>
          </w:tbl>
          <w:p w14:paraId="4F846E09" w14:textId="77777777" w:rsidR="00592734" w:rsidRPr="00807AC3" w:rsidRDefault="00592734" w:rsidP="00BB20EB">
            <w:pPr>
              <w:jc w:val="center"/>
              <w:cnfStyle w:val="000000000000" w:firstRow="0" w:lastRow="0" w:firstColumn="0" w:lastColumn="0" w:oddVBand="0" w:evenVBand="0" w:oddHBand="0" w:evenHBand="0" w:firstRowFirstColumn="0" w:firstRowLastColumn="0" w:lastRowFirstColumn="0" w:lastRowLastColumn="0"/>
              <w:rPr>
                <w:noProof/>
              </w:rPr>
            </w:pPr>
          </w:p>
        </w:tc>
      </w:tr>
      <w:tr w:rsidR="00592734" w:rsidRPr="00040D99" w14:paraId="05A6A2B3" w14:textId="77777777" w:rsidTr="00BB20EB">
        <w:tc>
          <w:tcPr>
            <w:cnfStyle w:val="001000000000" w:firstRow="0" w:lastRow="0" w:firstColumn="1" w:lastColumn="0" w:oddVBand="0" w:evenVBand="0" w:oddHBand="0" w:evenHBand="0" w:firstRowFirstColumn="0" w:firstRowLastColumn="0" w:lastRowFirstColumn="0" w:lastRowLastColumn="0"/>
            <w:tcW w:w="0" w:type="auto"/>
          </w:tcPr>
          <w:p w14:paraId="51778348" w14:textId="77777777" w:rsidR="00592734" w:rsidRPr="00807AC3" w:rsidRDefault="00592734" w:rsidP="00BB20EB">
            <w:pPr>
              <w:jc w:val="center"/>
              <w:rPr>
                <w:noProof/>
              </w:rPr>
            </w:pPr>
            <w:r w:rsidRPr="00807AC3">
              <w:rPr>
                <w:noProof/>
              </w:rPr>
              <w:t>Payments</w:t>
            </w:r>
          </w:p>
        </w:tc>
        <w:tc>
          <w:tcPr>
            <w:tcW w:w="2410" w:type="dxa"/>
          </w:tcPr>
          <w:tbl>
            <w:tblPr>
              <w:tblStyle w:val="TableGrid"/>
              <w:tblW w:w="0" w:type="auto"/>
              <w:tblLook w:val="06A0" w:firstRow="1" w:lastRow="0" w:firstColumn="1" w:lastColumn="0" w:noHBand="1" w:noVBand="1"/>
            </w:tblPr>
            <w:tblGrid>
              <w:gridCol w:w="2194"/>
            </w:tblGrid>
            <w:tr w:rsidR="00592734" w14:paraId="66A761DD" w14:textId="77777777" w:rsidTr="00BB20EB">
              <w:trPr>
                <w:trHeight w:val="285"/>
              </w:trPr>
              <w:tc>
                <w:tcPr>
                  <w:tcW w:w="2290" w:type="dxa"/>
                  <w:tcBorders>
                    <w:top w:val="nil"/>
                    <w:left w:val="nil"/>
                    <w:bottom w:val="nil"/>
                    <w:right w:val="nil"/>
                  </w:tcBorders>
                  <w:vAlign w:val="bottom"/>
                </w:tcPr>
                <w:p w14:paraId="70F44927" w14:textId="77777777" w:rsidR="00592734" w:rsidRDefault="00592734" w:rsidP="00BB20EB">
                  <w:pPr>
                    <w:jc w:val="center"/>
                    <w:rPr>
                      <w:noProof/>
                    </w:rPr>
                  </w:pPr>
                  <w:r w:rsidRPr="0212A971">
                    <w:rPr>
                      <w:rFonts w:ascii="Calibri" w:hAnsi="Calibri" w:cs="Calibri"/>
                      <w:noProof/>
                      <w:color w:val="000000"/>
                    </w:rPr>
                    <w:t>18</w:t>
                  </w:r>
                  <w:r>
                    <w:rPr>
                      <w:rFonts w:ascii="Calibri" w:hAnsi="Calibri" w:cs="Calibri"/>
                      <w:noProof/>
                      <w:color w:val="000000"/>
                    </w:rPr>
                    <w:t>.5</w:t>
                  </w:r>
                </w:p>
              </w:tc>
            </w:tr>
          </w:tbl>
          <w:p w14:paraId="3E624F80" w14:textId="77777777" w:rsidR="00592734" w:rsidRPr="00807AC3" w:rsidRDefault="00592734"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5C90B0C6" w14:textId="77777777" w:rsidR="00592734" w:rsidRPr="00807AC3" w:rsidRDefault="00592734"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592734" w14:paraId="19E78C9A" w14:textId="77777777" w:rsidTr="00BB20EB">
              <w:trPr>
                <w:trHeight w:val="285"/>
              </w:trPr>
              <w:tc>
                <w:tcPr>
                  <w:tcW w:w="2235" w:type="dxa"/>
                  <w:tcBorders>
                    <w:top w:val="nil"/>
                    <w:left w:val="nil"/>
                    <w:bottom w:val="nil"/>
                    <w:right w:val="nil"/>
                  </w:tcBorders>
                  <w:vAlign w:val="bottom"/>
                </w:tcPr>
                <w:p w14:paraId="35DA7C83" w14:textId="77777777" w:rsidR="00592734" w:rsidRDefault="00592734" w:rsidP="00BB20EB">
                  <w:pPr>
                    <w:jc w:val="right"/>
                    <w:rPr>
                      <w:noProof/>
                    </w:rPr>
                  </w:pPr>
                  <w:r w:rsidRPr="0212A971">
                    <w:rPr>
                      <w:rFonts w:ascii="Calibri" w:hAnsi="Calibri" w:cs="Calibri"/>
                      <w:noProof/>
                      <w:color w:val="000000"/>
                    </w:rPr>
                    <w:t>0%</w:t>
                  </w:r>
                </w:p>
              </w:tc>
            </w:tr>
          </w:tbl>
          <w:p w14:paraId="6309AFB5" w14:textId="77777777" w:rsidR="00592734" w:rsidRPr="00807AC3" w:rsidRDefault="00592734" w:rsidP="00BB20EB">
            <w:pPr>
              <w:jc w:val="center"/>
              <w:cnfStyle w:val="000000000000" w:firstRow="0" w:lastRow="0" w:firstColumn="0" w:lastColumn="0" w:oddVBand="0" w:evenVBand="0" w:oddHBand="0" w:evenHBand="0" w:firstRowFirstColumn="0" w:firstRowLastColumn="0" w:lastRowFirstColumn="0" w:lastRowLastColumn="0"/>
              <w:rPr>
                <w:noProof/>
              </w:rPr>
            </w:pPr>
          </w:p>
        </w:tc>
      </w:tr>
    </w:tbl>
    <w:p w14:paraId="64BC6EBD" w14:textId="77777777" w:rsidR="00592734" w:rsidRPr="00040D99" w:rsidRDefault="00592734" w:rsidP="00592734">
      <w:pPr>
        <w:pStyle w:val="ppoTableTabletitle"/>
        <w:rPr>
          <w:noProof/>
        </w:rPr>
      </w:pPr>
      <w:r w:rsidRPr="00040D99">
        <w:rPr>
          <w:noProof/>
        </w:rPr>
        <w:t>Voted budget implementation in 2021</w:t>
      </w:r>
      <w:r>
        <w:rPr>
          <w:noProof/>
        </w:rPr>
        <w:t xml:space="preserve"> (million</w:t>
      </w:r>
      <w:r w:rsidRPr="009A3787">
        <w:rPr>
          <w:noProof/>
        </w:rPr>
        <w:t xml:space="preserve"> </w:t>
      </w:r>
      <w:r>
        <w:rPr>
          <w:noProof/>
        </w:rPr>
        <w:t>EUR):</w:t>
      </w:r>
    </w:p>
    <w:tbl>
      <w:tblPr>
        <w:tblStyle w:val="PPO2021"/>
        <w:tblW w:w="3683" w:type="pct"/>
        <w:tblInd w:w="79" w:type="dxa"/>
        <w:tblLook w:val="04A0" w:firstRow="1" w:lastRow="0" w:firstColumn="1" w:lastColumn="0" w:noHBand="0" w:noVBand="1"/>
      </w:tblPr>
      <w:tblGrid>
        <w:gridCol w:w="2419"/>
        <w:gridCol w:w="2419"/>
        <w:gridCol w:w="2420"/>
      </w:tblGrid>
      <w:tr w:rsidR="00592734" w:rsidRPr="00040D99" w14:paraId="7CF2D71F" w14:textId="77777777" w:rsidTr="00BB2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F12DF7" w14:textId="77777777" w:rsidR="00592734" w:rsidRPr="0017374C" w:rsidRDefault="00592734" w:rsidP="00BB20EB">
            <w:pPr>
              <w:rPr>
                <w:noProof/>
              </w:rPr>
            </w:pPr>
          </w:p>
        </w:tc>
        <w:tc>
          <w:tcPr>
            <w:tcW w:w="2419" w:type="dxa"/>
          </w:tcPr>
          <w:p w14:paraId="5E7D2662" w14:textId="77777777" w:rsidR="00592734" w:rsidRPr="0017374C" w:rsidRDefault="00592734" w:rsidP="00BB20EB">
            <w:pPr>
              <w:cnfStyle w:val="100000000000" w:firstRow="1" w:lastRow="0" w:firstColumn="0" w:lastColumn="0" w:oddVBand="0" w:evenVBand="0" w:oddHBand="0" w:evenHBand="0" w:firstRowFirstColumn="0" w:firstRowLastColumn="0" w:lastRowFirstColumn="0" w:lastRowLastColumn="0"/>
              <w:rPr>
                <w:noProof/>
              </w:rPr>
            </w:pPr>
            <w:r w:rsidRPr="0017374C">
              <w:rPr>
                <w:noProof/>
              </w:rPr>
              <w:t>Voted budget implementation</w:t>
            </w:r>
          </w:p>
        </w:tc>
        <w:tc>
          <w:tcPr>
            <w:tcW w:w="2420" w:type="dxa"/>
          </w:tcPr>
          <w:p w14:paraId="02366CA6" w14:textId="77777777" w:rsidR="00592734" w:rsidRPr="0017374C" w:rsidRDefault="00592734" w:rsidP="00BB20EB">
            <w:pPr>
              <w:cnfStyle w:val="100000000000" w:firstRow="1" w:lastRow="0" w:firstColumn="0" w:lastColumn="0" w:oddVBand="0" w:evenVBand="0" w:oddHBand="0" w:evenHBand="0" w:firstRowFirstColumn="0" w:firstRowLastColumn="0" w:lastRowFirstColumn="0" w:lastRowLastColumn="0"/>
              <w:rPr>
                <w:noProof/>
              </w:rPr>
            </w:pPr>
            <w:r w:rsidRPr="0017374C">
              <w:rPr>
                <w:noProof/>
              </w:rPr>
              <w:t>Initial voted budget</w:t>
            </w:r>
          </w:p>
        </w:tc>
      </w:tr>
      <w:tr w:rsidR="00592734" w:rsidRPr="00040D99" w14:paraId="27734177" w14:textId="77777777" w:rsidTr="00BB2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33B0A9" w14:textId="77777777" w:rsidR="00592734" w:rsidRPr="0017374C" w:rsidRDefault="00592734" w:rsidP="00BB20EB">
            <w:pPr>
              <w:jc w:val="center"/>
              <w:rPr>
                <w:noProof/>
              </w:rPr>
            </w:pPr>
            <w:r w:rsidRPr="0017374C">
              <w:rPr>
                <w:noProof/>
              </w:rPr>
              <w:t>Commitments</w:t>
            </w:r>
          </w:p>
        </w:tc>
        <w:tc>
          <w:tcPr>
            <w:tcW w:w="2419" w:type="dxa"/>
          </w:tcPr>
          <w:p w14:paraId="590CF944" w14:textId="77777777" w:rsidR="00592734" w:rsidRPr="0017374C" w:rsidRDefault="00592734" w:rsidP="00BB20EB">
            <w:pPr>
              <w:jc w:val="center"/>
              <w:cnfStyle w:val="000000100000" w:firstRow="0" w:lastRow="0" w:firstColumn="0" w:lastColumn="0" w:oddVBand="0" w:evenVBand="0" w:oddHBand="1" w:evenHBand="0" w:firstRowFirstColumn="0" w:firstRowLastColumn="0" w:lastRowFirstColumn="0" w:lastRowLastColumn="0"/>
              <w:rPr>
                <w:noProof/>
              </w:rPr>
            </w:pPr>
            <w:r w:rsidRPr="005B3CB2">
              <w:rPr>
                <w:noProof/>
              </w:rPr>
              <w:t>4</w:t>
            </w:r>
            <w:r>
              <w:rPr>
                <w:rFonts w:ascii="Calibri" w:hAnsi="Calibri" w:cs="Calibri"/>
                <w:noProof/>
              </w:rPr>
              <w:t> </w:t>
            </w:r>
            <w:r w:rsidRPr="005B3CB2">
              <w:rPr>
                <w:noProof/>
              </w:rPr>
              <w:t>510</w:t>
            </w:r>
            <w:r>
              <w:rPr>
                <w:noProof/>
              </w:rPr>
              <w:t>.</w:t>
            </w:r>
            <w:r w:rsidRPr="005B3CB2">
              <w:rPr>
                <w:noProof/>
              </w:rPr>
              <w:t>1</w:t>
            </w:r>
          </w:p>
        </w:tc>
        <w:tc>
          <w:tcPr>
            <w:tcW w:w="2420" w:type="dxa"/>
          </w:tcPr>
          <w:p w14:paraId="61C3968B" w14:textId="77777777" w:rsidR="00592734" w:rsidRPr="0017374C" w:rsidRDefault="00592734" w:rsidP="00BB20EB">
            <w:pPr>
              <w:jc w:val="center"/>
              <w:cnfStyle w:val="000000100000" w:firstRow="0" w:lastRow="0" w:firstColumn="0" w:lastColumn="0" w:oddVBand="0" w:evenVBand="0" w:oddHBand="1" w:evenHBand="0" w:firstRowFirstColumn="0" w:firstRowLastColumn="0" w:lastRowFirstColumn="0" w:lastRowLastColumn="0"/>
              <w:rPr>
                <w:noProof/>
              </w:rPr>
            </w:pPr>
            <w:r w:rsidRPr="005B3CB2">
              <w:rPr>
                <w:noProof/>
              </w:rPr>
              <w:t>4</w:t>
            </w:r>
            <w:r>
              <w:rPr>
                <w:rFonts w:ascii="Calibri" w:hAnsi="Calibri" w:cs="Calibri"/>
                <w:noProof/>
              </w:rPr>
              <w:t> </w:t>
            </w:r>
            <w:r w:rsidRPr="005B3CB2">
              <w:rPr>
                <w:noProof/>
              </w:rPr>
              <w:t>510</w:t>
            </w:r>
            <w:r>
              <w:rPr>
                <w:noProof/>
              </w:rPr>
              <w:t>.</w:t>
            </w:r>
            <w:r w:rsidRPr="005B3CB2">
              <w:rPr>
                <w:noProof/>
              </w:rPr>
              <w:t>7</w:t>
            </w:r>
          </w:p>
        </w:tc>
      </w:tr>
      <w:tr w:rsidR="00592734" w:rsidRPr="00040D99" w14:paraId="3F1F58F7" w14:textId="77777777" w:rsidTr="00BB20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A34C73" w14:textId="77777777" w:rsidR="00592734" w:rsidRPr="0017374C" w:rsidRDefault="00592734" w:rsidP="00BB20EB">
            <w:pPr>
              <w:jc w:val="center"/>
              <w:rPr>
                <w:noProof/>
              </w:rPr>
            </w:pPr>
            <w:r w:rsidRPr="0017374C">
              <w:rPr>
                <w:noProof/>
              </w:rPr>
              <w:t>Payments</w:t>
            </w:r>
          </w:p>
        </w:tc>
        <w:tc>
          <w:tcPr>
            <w:tcW w:w="2419" w:type="dxa"/>
          </w:tcPr>
          <w:p w14:paraId="12B87F91" w14:textId="77777777" w:rsidR="00592734" w:rsidRPr="0017374C" w:rsidRDefault="00592734" w:rsidP="00BB20EB">
            <w:pPr>
              <w:jc w:val="center"/>
              <w:cnfStyle w:val="000000010000" w:firstRow="0" w:lastRow="0" w:firstColumn="0" w:lastColumn="0" w:oddVBand="0" w:evenVBand="0" w:oddHBand="0" w:evenHBand="1" w:firstRowFirstColumn="0" w:firstRowLastColumn="0" w:lastRowFirstColumn="0" w:lastRowLastColumn="0"/>
              <w:rPr>
                <w:noProof/>
              </w:rPr>
            </w:pPr>
            <w:r w:rsidRPr="00713BA2">
              <w:rPr>
                <w:noProof/>
              </w:rPr>
              <w:t>18</w:t>
            </w:r>
            <w:r>
              <w:rPr>
                <w:noProof/>
              </w:rPr>
              <w:t>.</w:t>
            </w:r>
            <w:r w:rsidRPr="00713BA2">
              <w:rPr>
                <w:noProof/>
              </w:rPr>
              <w:t>5</w:t>
            </w:r>
          </w:p>
        </w:tc>
        <w:tc>
          <w:tcPr>
            <w:tcW w:w="2420" w:type="dxa"/>
          </w:tcPr>
          <w:p w14:paraId="4B02A276" w14:textId="77777777" w:rsidR="00592734" w:rsidRPr="0017374C" w:rsidRDefault="00592734" w:rsidP="00BB20EB">
            <w:pPr>
              <w:jc w:val="center"/>
              <w:cnfStyle w:val="000000010000" w:firstRow="0" w:lastRow="0" w:firstColumn="0" w:lastColumn="0" w:oddVBand="0" w:evenVBand="0" w:oddHBand="0" w:evenHBand="1" w:firstRowFirstColumn="0" w:firstRowLastColumn="0" w:lastRowFirstColumn="0" w:lastRowLastColumn="0"/>
              <w:rPr>
                <w:noProof/>
              </w:rPr>
            </w:pPr>
            <w:r w:rsidRPr="00713BA2">
              <w:rPr>
                <w:noProof/>
              </w:rPr>
              <w:t>182</w:t>
            </w:r>
            <w:r>
              <w:rPr>
                <w:noProof/>
              </w:rPr>
              <w:t>.</w:t>
            </w:r>
            <w:r w:rsidRPr="00713BA2">
              <w:rPr>
                <w:noProof/>
              </w:rPr>
              <w:t>7</w:t>
            </w:r>
          </w:p>
        </w:tc>
      </w:tr>
    </w:tbl>
    <w:p w14:paraId="30A4DC3D" w14:textId="77777777" w:rsidR="00592734" w:rsidRPr="00040D99" w:rsidRDefault="00592734" w:rsidP="00592734">
      <w:pPr>
        <w:pStyle w:val="ppoListHyphened-L1"/>
        <w:spacing w:before="360"/>
        <w:rPr>
          <w:noProof/>
        </w:rPr>
      </w:pPr>
      <w:bookmarkStart w:id="59" w:name="_Hlk101451892"/>
      <w:bookmarkStart w:id="60" w:name="_Hlk101515267"/>
      <w:bookmarkStart w:id="61" w:name="_Hlk101447935"/>
      <w:r>
        <w:rPr>
          <w:noProof/>
        </w:rPr>
        <w:t>Following the</w:t>
      </w:r>
      <w:r w:rsidRPr="005626CE">
        <w:rPr>
          <w:noProof/>
        </w:rPr>
        <w:t xml:space="preserve"> adoption of the </w:t>
      </w:r>
      <w:r>
        <w:rPr>
          <w:noProof/>
        </w:rPr>
        <w:t xml:space="preserve">first </w:t>
      </w:r>
      <w:r w:rsidRPr="008641C9">
        <w:rPr>
          <w:noProof/>
        </w:rPr>
        <w:t>CEF</w:t>
      </w:r>
      <w:r>
        <w:rPr>
          <w:noProof/>
        </w:rPr>
        <w:t xml:space="preserve"> </w:t>
      </w:r>
      <w:r w:rsidRPr="008641C9">
        <w:rPr>
          <w:noProof/>
        </w:rPr>
        <w:t>Transport and CEF Energy</w:t>
      </w:r>
      <w:r w:rsidRPr="005626CE">
        <w:rPr>
          <w:noProof/>
        </w:rPr>
        <w:t xml:space="preserve"> </w:t>
      </w:r>
      <w:r>
        <w:rPr>
          <w:noProof/>
        </w:rPr>
        <w:t xml:space="preserve">multi-annual work programmes </w:t>
      </w:r>
      <w:r w:rsidRPr="005626CE">
        <w:rPr>
          <w:noProof/>
        </w:rPr>
        <w:t>(referring to the 2021-2023</w:t>
      </w:r>
      <w:r w:rsidRPr="00145292">
        <w:rPr>
          <w:noProof/>
        </w:rPr>
        <w:t xml:space="preserve"> </w:t>
      </w:r>
      <w:r w:rsidRPr="005626CE">
        <w:rPr>
          <w:noProof/>
        </w:rPr>
        <w:t>period</w:t>
      </w:r>
      <w:bookmarkEnd w:id="59"/>
      <w:r w:rsidRPr="005626CE">
        <w:rPr>
          <w:noProof/>
        </w:rPr>
        <w:t xml:space="preserve">) </w:t>
      </w:r>
      <w:bookmarkStart w:id="62" w:name="_Hlk101517813"/>
      <w:bookmarkEnd w:id="60"/>
      <w:r w:rsidRPr="005626CE">
        <w:rPr>
          <w:noProof/>
        </w:rPr>
        <w:t xml:space="preserve">and the adoption of the first CEF </w:t>
      </w:r>
      <w:r>
        <w:rPr>
          <w:noProof/>
        </w:rPr>
        <w:t>d</w:t>
      </w:r>
      <w:r w:rsidRPr="005626CE">
        <w:rPr>
          <w:noProof/>
        </w:rPr>
        <w:t xml:space="preserve">igital </w:t>
      </w:r>
      <w:r>
        <w:rPr>
          <w:noProof/>
        </w:rPr>
        <w:t>multiannual work programme</w:t>
      </w:r>
      <w:r w:rsidRPr="005626CE">
        <w:rPr>
          <w:noProof/>
        </w:rPr>
        <w:t xml:space="preserve"> (referring to the 2021-2025</w:t>
      </w:r>
      <w:r w:rsidRPr="00145292">
        <w:rPr>
          <w:noProof/>
        </w:rPr>
        <w:t xml:space="preserve"> </w:t>
      </w:r>
      <w:r w:rsidRPr="005626CE">
        <w:rPr>
          <w:noProof/>
        </w:rPr>
        <w:t>period</w:t>
      </w:r>
      <w:r>
        <w:rPr>
          <w:noProof/>
        </w:rPr>
        <w:t>)</w:t>
      </w:r>
      <w:bookmarkEnd w:id="62"/>
      <w:r>
        <w:rPr>
          <w:noProof/>
        </w:rPr>
        <w:t>,</w:t>
      </w:r>
      <w:r w:rsidRPr="005626CE">
        <w:rPr>
          <w:noProof/>
        </w:rPr>
        <w:t xml:space="preserve"> the first call</w:t>
      </w:r>
      <w:r>
        <w:rPr>
          <w:noProof/>
        </w:rPr>
        <w:t>s</w:t>
      </w:r>
      <w:r w:rsidRPr="005626CE">
        <w:rPr>
          <w:noProof/>
        </w:rPr>
        <w:t xml:space="preserve"> for proposals under the CEF programme (</w:t>
      </w:r>
      <w:r>
        <w:rPr>
          <w:noProof/>
        </w:rPr>
        <w:t>t</w:t>
      </w:r>
      <w:r w:rsidRPr="005626CE">
        <w:rPr>
          <w:noProof/>
        </w:rPr>
        <w:t xml:space="preserve">ransport and </w:t>
      </w:r>
      <w:r>
        <w:rPr>
          <w:noProof/>
        </w:rPr>
        <w:t>e</w:t>
      </w:r>
      <w:r w:rsidRPr="005626CE">
        <w:rPr>
          <w:noProof/>
        </w:rPr>
        <w:t xml:space="preserve">nergy) </w:t>
      </w:r>
      <w:r>
        <w:rPr>
          <w:noProof/>
        </w:rPr>
        <w:t>were</w:t>
      </w:r>
      <w:r w:rsidRPr="005626CE">
        <w:rPr>
          <w:noProof/>
        </w:rPr>
        <w:t xml:space="preserve"> launched in September 2021</w:t>
      </w:r>
      <w:bookmarkEnd w:id="61"/>
      <w:r>
        <w:rPr>
          <w:noProof/>
        </w:rPr>
        <w:t xml:space="preserve">. No calls were launched </w:t>
      </w:r>
      <w:r w:rsidRPr="005626CE">
        <w:rPr>
          <w:noProof/>
        </w:rPr>
        <w:t xml:space="preserve">for the </w:t>
      </w:r>
      <w:r>
        <w:rPr>
          <w:noProof/>
        </w:rPr>
        <w:t>d</w:t>
      </w:r>
      <w:r w:rsidRPr="005626CE">
        <w:rPr>
          <w:noProof/>
        </w:rPr>
        <w:t xml:space="preserve">igital sector </w:t>
      </w:r>
      <w:r>
        <w:rPr>
          <w:noProof/>
        </w:rPr>
        <w:t>in 2021 (first call in January 2022)</w:t>
      </w:r>
      <w:r w:rsidRPr="00040D99">
        <w:rPr>
          <w:noProof/>
        </w:rPr>
        <w:t>.</w:t>
      </w:r>
    </w:p>
    <w:p w14:paraId="3FA1E834" w14:textId="77777777" w:rsidR="00592734" w:rsidRPr="00040D99" w:rsidRDefault="00592734" w:rsidP="00592734">
      <w:pPr>
        <w:pStyle w:val="ppoListHyphened-L1"/>
        <w:rPr>
          <w:noProof/>
        </w:rPr>
      </w:pPr>
      <w:r>
        <w:rPr>
          <w:noProof/>
        </w:rPr>
        <w:t>For the transport sector,</w:t>
      </w:r>
      <w:r w:rsidRPr="00040D99">
        <w:rPr>
          <w:noProof/>
        </w:rPr>
        <w:t xml:space="preserve"> </w:t>
      </w:r>
      <w:r>
        <w:rPr>
          <w:noProof/>
        </w:rPr>
        <w:t xml:space="preserve">the 2021 commitment appropriations were allocated to the first set of 13 calls for proposals. </w:t>
      </w:r>
      <w:r w:rsidRPr="005626CE">
        <w:rPr>
          <w:noProof/>
        </w:rPr>
        <w:t xml:space="preserve">The calls </w:t>
      </w:r>
      <w:r>
        <w:rPr>
          <w:noProof/>
        </w:rPr>
        <w:t>were</w:t>
      </w:r>
      <w:r w:rsidRPr="005626CE">
        <w:rPr>
          <w:noProof/>
        </w:rPr>
        <w:t xml:space="preserve"> very well received by the stakeholders, with more than 400 proposals submitted</w:t>
      </w:r>
      <w:r>
        <w:rPr>
          <w:noProof/>
        </w:rPr>
        <w:t xml:space="preserve">. </w:t>
      </w:r>
      <w:r w:rsidRPr="00040D99">
        <w:rPr>
          <w:noProof/>
        </w:rPr>
        <w:t xml:space="preserve">The evaluation of </w:t>
      </w:r>
      <w:r>
        <w:rPr>
          <w:noProof/>
        </w:rPr>
        <w:t xml:space="preserve">these </w:t>
      </w:r>
      <w:r w:rsidRPr="00040D99">
        <w:rPr>
          <w:noProof/>
        </w:rPr>
        <w:t>proposals is currently ongoing.</w:t>
      </w:r>
      <w:r>
        <w:rPr>
          <w:noProof/>
        </w:rPr>
        <w:t xml:space="preserve"> As a consequence, no payment appropriations were used in 2021 in relation to calls.</w:t>
      </w:r>
    </w:p>
    <w:p w14:paraId="4155D6C7" w14:textId="77777777" w:rsidR="00592734" w:rsidRPr="004B2C3A" w:rsidRDefault="00592734" w:rsidP="00592734">
      <w:pPr>
        <w:pStyle w:val="ppoListHyphened-L1"/>
        <w:rPr>
          <w:noProof/>
        </w:rPr>
      </w:pPr>
      <w:r w:rsidRPr="004B2C3A">
        <w:rPr>
          <w:noProof/>
        </w:rPr>
        <w:t>For the energy sector, two calls for proposals were launched using the 2021 commitment appropriations. For actions related to projects of common interest</w:t>
      </w:r>
      <w:r>
        <w:rPr>
          <w:noProof/>
        </w:rPr>
        <w:t>,</w:t>
      </w:r>
      <w:r w:rsidRPr="004B2C3A">
        <w:rPr>
          <w:noProof/>
        </w:rPr>
        <w:t xml:space="preserve"> a total of EUR</w:t>
      </w:r>
      <w:r>
        <w:rPr>
          <w:rFonts w:ascii="Calibri" w:hAnsi="Calibri" w:cs="Calibri"/>
          <w:noProof/>
        </w:rPr>
        <w:t> </w:t>
      </w:r>
      <w:r w:rsidRPr="004B2C3A">
        <w:rPr>
          <w:noProof/>
        </w:rPr>
        <w:t>1.037</w:t>
      </w:r>
      <w:r>
        <w:rPr>
          <w:rFonts w:ascii="Calibri" w:hAnsi="Calibri" w:cs="Calibri"/>
          <w:noProof/>
        </w:rPr>
        <w:t> </w:t>
      </w:r>
      <w:r w:rsidRPr="004B2C3A">
        <w:rPr>
          <w:noProof/>
        </w:rPr>
        <w:t xml:space="preserve">billion was allocated to </w:t>
      </w:r>
      <w:r>
        <w:rPr>
          <w:noProof/>
        </w:rPr>
        <w:t>five</w:t>
      </w:r>
      <w:r w:rsidRPr="004B2C3A">
        <w:rPr>
          <w:noProof/>
        </w:rPr>
        <w:t xml:space="preserve"> actions: </w:t>
      </w:r>
      <w:r>
        <w:rPr>
          <w:noProof/>
        </w:rPr>
        <w:t>three</w:t>
      </w:r>
      <w:r w:rsidRPr="004B2C3A">
        <w:rPr>
          <w:noProof/>
        </w:rPr>
        <w:t xml:space="preserve"> on electricity transmission (construction works), </w:t>
      </w:r>
      <w:r>
        <w:rPr>
          <w:noProof/>
        </w:rPr>
        <w:t>one</w:t>
      </w:r>
      <w:r w:rsidRPr="004B2C3A">
        <w:rPr>
          <w:noProof/>
        </w:rPr>
        <w:t xml:space="preserve"> </w:t>
      </w:r>
      <w:r>
        <w:rPr>
          <w:noProof/>
        </w:rPr>
        <w:t>on</w:t>
      </w:r>
      <w:r w:rsidRPr="004B2C3A">
        <w:rPr>
          <w:noProof/>
        </w:rPr>
        <w:t xml:space="preserve"> gas storage (construction works), and a study on CO</w:t>
      </w:r>
      <w:r w:rsidRPr="001350BE">
        <w:rPr>
          <w:noProof/>
          <w:vertAlign w:val="subscript"/>
        </w:rPr>
        <w:t>2</w:t>
      </w:r>
      <w:r w:rsidRPr="004B2C3A">
        <w:rPr>
          <w:noProof/>
        </w:rPr>
        <w:t xml:space="preserve"> transport. For actions related to cross-border cooperation on renewable energy, </w:t>
      </w:r>
      <w:r>
        <w:rPr>
          <w:noProof/>
        </w:rPr>
        <w:t>three</w:t>
      </w:r>
      <w:r w:rsidRPr="004B2C3A">
        <w:rPr>
          <w:noProof/>
        </w:rPr>
        <w:t xml:space="preserve"> proposals were submitted </w:t>
      </w:r>
      <w:r>
        <w:rPr>
          <w:noProof/>
        </w:rPr>
        <w:t>that</w:t>
      </w:r>
      <w:r w:rsidRPr="004B2C3A">
        <w:rPr>
          <w:noProof/>
        </w:rPr>
        <w:t xml:space="preserve"> are currently under evaluation. No payment appropriations were used</w:t>
      </w:r>
      <w:r>
        <w:rPr>
          <w:noProof/>
        </w:rPr>
        <w:t xml:space="preserve"> in relation to calls</w:t>
      </w:r>
      <w:r w:rsidRPr="004B2C3A">
        <w:rPr>
          <w:noProof/>
        </w:rPr>
        <w:t>.</w:t>
      </w:r>
    </w:p>
    <w:p w14:paraId="151D5980" w14:textId="77777777" w:rsidR="00592734" w:rsidRPr="00040D99" w:rsidRDefault="00592734" w:rsidP="00592734">
      <w:pPr>
        <w:pStyle w:val="ppoListHyphened-L1"/>
        <w:rPr>
          <w:noProof/>
        </w:rPr>
      </w:pPr>
      <w:r w:rsidRPr="00DA2F54">
        <w:rPr>
          <w:noProof/>
        </w:rPr>
        <w:t>As the CEF digital multiannual</w:t>
      </w:r>
      <w:r>
        <w:rPr>
          <w:rFonts w:ascii="Calibri" w:hAnsi="Calibri" w:cs="Calibri"/>
          <w:noProof/>
        </w:rPr>
        <w:t xml:space="preserve"> </w:t>
      </w:r>
      <w:r w:rsidRPr="00DA2F54">
        <w:rPr>
          <w:noProof/>
        </w:rPr>
        <w:t>work</w:t>
      </w:r>
      <w:r>
        <w:rPr>
          <w:noProof/>
        </w:rPr>
        <w:t xml:space="preserve"> </w:t>
      </w:r>
      <w:r w:rsidRPr="00DA2F54">
        <w:rPr>
          <w:noProof/>
        </w:rPr>
        <w:t>programme</w:t>
      </w:r>
      <w:r>
        <w:rPr>
          <w:rFonts w:ascii="Calibri" w:hAnsi="Calibri" w:cs="Calibri"/>
          <w:noProof/>
        </w:rPr>
        <w:t xml:space="preserve"> </w:t>
      </w:r>
      <w:r w:rsidRPr="00DA2F54">
        <w:rPr>
          <w:noProof/>
        </w:rPr>
        <w:t xml:space="preserve">was adopted </w:t>
      </w:r>
      <w:r>
        <w:rPr>
          <w:noProof/>
        </w:rPr>
        <w:t xml:space="preserve">late </w:t>
      </w:r>
      <w:r w:rsidRPr="00DA2F54">
        <w:rPr>
          <w:noProof/>
        </w:rPr>
        <w:t xml:space="preserve">in December 2021, the 2021 budget appropriations </w:t>
      </w:r>
      <w:r>
        <w:rPr>
          <w:noProof/>
        </w:rPr>
        <w:t>were globally committed and will be individualised in 2022</w:t>
      </w:r>
      <w:r w:rsidRPr="00E047C5">
        <w:rPr>
          <w:noProof/>
        </w:rPr>
        <w:t>.</w:t>
      </w:r>
      <w:r>
        <w:rPr>
          <w:noProof/>
        </w:rPr>
        <w:t xml:space="preserve"> As a consequence, no payment appropriations were used in 2021 in relation to calls.</w:t>
      </w:r>
    </w:p>
    <w:p w14:paraId="21FF48BC" w14:textId="77777777" w:rsidR="00592734" w:rsidRPr="00040D99" w:rsidRDefault="00592734" w:rsidP="00592734">
      <w:pPr>
        <w:pStyle w:val="ppoHeading5"/>
        <w:rPr>
          <w:noProof/>
        </w:rPr>
      </w:pPr>
      <w:r w:rsidRPr="00040D99">
        <w:rPr>
          <w:noProof/>
        </w:rPr>
        <w:t>Contribution to horizontal priorities</w:t>
      </w:r>
    </w:p>
    <w:p w14:paraId="599627D7" w14:textId="77777777" w:rsidR="00592734" w:rsidRPr="00040D99" w:rsidRDefault="00592734" w:rsidP="00592734">
      <w:pPr>
        <w:pStyle w:val="ppoTableTabletitle"/>
        <w:rPr>
          <w:noProof/>
        </w:rPr>
      </w:pPr>
      <w:r w:rsidRPr="00040D99">
        <w:rPr>
          <w:noProof/>
        </w:rPr>
        <w:t>EU budget contribution in 2021</w:t>
      </w:r>
      <w:r>
        <w:rPr>
          <w:noProof/>
        </w:rPr>
        <w:t xml:space="preserve"> (million</w:t>
      </w:r>
      <w:r w:rsidRPr="009A3787">
        <w:rPr>
          <w:noProof/>
        </w:rPr>
        <w:t xml:space="preserve"> </w:t>
      </w:r>
      <w:r>
        <w:rPr>
          <w:noProof/>
        </w:rPr>
        <w:t>EUR):</w:t>
      </w:r>
    </w:p>
    <w:tbl>
      <w:tblPr>
        <w:tblStyle w:val="PPO2021"/>
        <w:tblW w:w="9639" w:type="dxa"/>
        <w:tblInd w:w="0" w:type="dxa"/>
        <w:tblLook w:val="0420" w:firstRow="1" w:lastRow="0" w:firstColumn="0" w:lastColumn="0" w:noHBand="0" w:noVBand="1"/>
      </w:tblPr>
      <w:tblGrid>
        <w:gridCol w:w="3213"/>
        <w:gridCol w:w="3213"/>
        <w:gridCol w:w="3213"/>
      </w:tblGrid>
      <w:tr w:rsidR="00592734" w:rsidRPr="00040D99" w14:paraId="219C4339" w14:textId="77777777" w:rsidTr="00BB20EB">
        <w:trPr>
          <w:cnfStyle w:val="100000000000" w:firstRow="1" w:lastRow="0" w:firstColumn="0" w:lastColumn="0" w:oddVBand="0" w:evenVBand="0" w:oddHBand="0" w:evenHBand="0" w:firstRowFirstColumn="0" w:firstRowLastColumn="0" w:lastRowFirstColumn="0" w:lastRowLastColumn="0"/>
        </w:trPr>
        <w:tc>
          <w:tcPr>
            <w:tcW w:w="3213" w:type="dxa"/>
          </w:tcPr>
          <w:p w14:paraId="7083513F" w14:textId="77777777" w:rsidR="00592734" w:rsidRPr="00BD731A" w:rsidRDefault="00592734" w:rsidP="00BB20EB">
            <w:pPr>
              <w:rPr>
                <w:noProof/>
              </w:rPr>
            </w:pPr>
            <w:r w:rsidRPr="00BD731A">
              <w:rPr>
                <w:noProof/>
              </w:rPr>
              <w:t>Climate</w:t>
            </w:r>
          </w:p>
        </w:tc>
        <w:tc>
          <w:tcPr>
            <w:tcW w:w="3213" w:type="dxa"/>
          </w:tcPr>
          <w:p w14:paraId="78D0DE89" w14:textId="77777777" w:rsidR="00592734" w:rsidRPr="00BD731A" w:rsidRDefault="00592734" w:rsidP="00BB20EB">
            <w:pPr>
              <w:rPr>
                <w:noProof/>
              </w:rPr>
            </w:pPr>
            <w:r w:rsidRPr="00BD731A">
              <w:rPr>
                <w:noProof/>
              </w:rPr>
              <w:t>Biodiversity</w:t>
            </w:r>
          </w:p>
        </w:tc>
        <w:tc>
          <w:tcPr>
            <w:tcW w:w="3213" w:type="dxa"/>
          </w:tcPr>
          <w:p w14:paraId="7FF62953" w14:textId="77777777" w:rsidR="00592734" w:rsidRPr="00BD731A" w:rsidRDefault="00592734" w:rsidP="00BB20EB">
            <w:pPr>
              <w:rPr>
                <w:noProof/>
              </w:rPr>
            </w:pPr>
            <w:r w:rsidRPr="00BD731A">
              <w:rPr>
                <w:noProof/>
              </w:rPr>
              <w:t>Gender equality</w:t>
            </w:r>
            <w:r>
              <w:rPr>
                <w:rFonts w:ascii="Calibri" w:hAnsi="Calibri" w:cs="Calibri"/>
                <w:noProof/>
              </w:rPr>
              <w:t> (</w:t>
            </w:r>
            <w:r>
              <w:rPr>
                <w:noProof/>
              </w:rPr>
              <w:t>*)</w:t>
            </w:r>
          </w:p>
        </w:tc>
      </w:tr>
      <w:tr w:rsidR="00592734" w:rsidRPr="00040D99" w14:paraId="02F1E819" w14:textId="77777777" w:rsidTr="00BB20EB">
        <w:trPr>
          <w:cnfStyle w:val="000000100000" w:firstRow="0" w:lastRow="0" w:firstColumn="0" w:lastColumn="0" w:oddVBand="0" w:evenVBand="0" w:oddHBand="1" w:evenHBand="0" w:firstRowFirstColumn="0" w:firstRowLastColumn="0" w:lastRowFirstColumn="0" w:lastRowLastColumn="0"/>
        </w:trPr>
        <w:tc>
          <w:tcPr>
            <w:tcW w:w="3213" w:type="dxa"/>
          </w:tcPr>
          <w:tbl>
            <w:tblPr>
              <w:tblStyle w:val="TableGrid"/>
              <w:tblW w:w="0" w:type="auto"/>
              <w:tblLook w:val="06A0" w:firstRow="1" w:lastRow="0" w:firstColumn="1" w:lastColumn="0" w:noHBand="1" w:noVBand="1"/>
            </w:tblPr>
            <w:tblGrid>
              <w:gridCol w:w="1935"/>
            </w:tblGrid>
            <w:tr w:rsidR="00592734" w:rsidRPr="000F4D5F" w14:paraId="5BEF86A7" w14:textId="77777777" w:rsidTr="00BB20EB">
              <w:trPr>
                <w:trHeight w:val="285"/>
              </w:trPr>
              <w:tc>
                <w:tcPr>
                  <w:tcW w:w="1935" w:type="dxa"/>
                  <w:tcBorders>
                    <w:top w:val="nil"/>
                    <w:left w:val="nil"/>
                    <w:bottom w:val="nil"/>
                    <w:right w:val="nil"/>
                  </w:tcBorders>
                  <w:vAlign w:val="bottom"/>
                </w:tcPr>
                <w:p w14:paraId="02CBB51B" w14:textId="77777777" w:rsidR="00592734" w:rsidRDefault="00592734" w:rsidP="00304A2B">
                  <w:pPr>
                    <w:spacing w:before="100"/>
                    <w:jc w:val="center"/>
                    <w:rPr>
                      <w:rFonts w:ascii="Calibri" w:hAnsi="Calibri" w:cs="Calibri"/>
                      <w:noProof/>
                      <w:color w:val="000000"/>
                    </w:rPr>
                  </w:pPr>
                  <w:r w:rsidRPr="11D9E679">
                    <w:rPr>
                      <w:rFonts w:ascii="Calibri" w:hAnsi="Calibri" w:cs="Calibri"/>
                      <w:noProof/>
                      <w:color w:val="000000"/>
                    </w:rPr>
                    <w:t>4</w:t>
                  </w:r>
                  <w:r>
                    <w:rPr>
                      <w:rFonts w:ascii="Calibri" w:hAnsi="Calibri" w:cs="Calibri"/>
                      <w:noProof/>
                      <w:color w:val="000000"/>
                    </w:rPr>
                    <w:t> </w:t>
                  </w:r>
                  <w:r w:rsidRPr="11D9E679">
                    <w:rPr>
                      <w:rFonts w:ascii="Calibri" w:hAnsi="Calibri" w:cs="Calibri"/>
                      <w:noProof/>
                      <w:color w:val="000000"/>
                    </w:rPr>
                    <w:t>193.8</w:t>
                  </w:r>
                </w:p>
              </w:tc>
            </w:tr>
          </w:tbl>
          <w:p w14:paraId="0F0D9734" w14:textId="77777777" w:rsidR="00592734" w:rsidRPr="00304A2B" w:rsidRDefault="00592734" w:rsidP="001223CC">
            <w:pPr>
              <w:jc w:val="center"/>
              <w:rPr>
                <w:rFonts w:ascii="Calibri" w:hAnsi="Calibri" w:cs="Calibri"/>
                <w:noProof/>
                <w:color w:val="000000"/>
              </w:rPr>
            </w:pPr>
          </w:p>
        </w:tc>
        <w:tc>
          <w:tcPr>
            <w:tcW w:w="3213" w:type="dxa"/>
          </w:tcPr>
          <w:p w14:paraId="176E6AE7" w14:textId="77777777" w:rsidR="00592734" w:rsidRPr="00304A2B" w:rsidRDefault="00592734">
            <w:pPr>
              <w:jc w:val="center"/>
              <w:rPr>
                <w:rFonts w:ascii="Calibri" w:hAnsi="Calibri" w:cs="Calibri"/>
                <w:noProof/>
                <w:color w:val="000000"/>
              </w:rPr>
            </w:pPr>
            <w:r w:rsidRPr="00304A2B">
              <w:rPr>
                <w:rFonts w:ascii="Calibri" w:hAnsi="Calibri" w:cs="Calibri"/>
                <w:noProof/>
                <w:color w:val="000000"/>
              </w:rPr>
              <w:t>0</w:t>
            </w:r>
          </w:p>
        </w:tc>
        <w:tc>
          <w:tcPr>
            <w:tcW w:w="3213" w:type="dxa"/>
          </w:tcPr>
          <w:p w14:paraId="0207DE90" w14:textId="0373C839" w:rsidR="00592734" w:rsidRPr="00304A2B" w:rsidRDefault="00592734">
            <w:pPr>
              <w:jc w:val="center"/>
              <w:rPr>
                <w:rFonts w:ascii="Calibri" w:hAnsi="Calibri" w:cs="Calibri"/>
                <w:noProof/>
                <w:color w:val="000000"/>
              </w:rPr>
            </w:pPr>
            <w:r w:rsidRPr="00304A2B">
              <w:rPr>
                <w:rFonts w:ascii="Calibri" w:hAnsi="Calibri" w:cs="Calibri"/>
                <w:noProof/>
                <w:color w:val="000000"/>
              </w:rPr>
              <w:t xml:space="preserve">Score 0*: </w:t>
            </w:r>
            <w:r w:rsidR="000F4D5F" w:rsidRPr="0212A971">
              <w:rPr>
                <w:rFonts w:ascii="Calibri" w:hAnsi="Calibri" w:cs="Calibri"/>
                <w:noProof/>
                <w:color w:val="000000"/>
              </w:rPr>
              <w:t>4</w:t>
            </w:r>
            <w:r w:rsidR="000F4D5F">
              <w:rPr>
                <w:rFonts w:ascii="Calibri" w:hAnsi="Calibri" w:cs="Calibri"/>
                <w:noProof/>
                <w:color w:val="000000"/>
              </w:rPr>
              <w:t> </w:t>
            </w:r>
            <w:r w:rsidR="000F4D5F" w:rsidRPr="0212A971">
              <w:rPr>
                <w:rFonts w:ascii="Calibri" w:hAnsi="Calibri" w:cs="Calibri"/>
                <w:noProof/>
                <w:color w:val="000000"/>
              </w:rPr>
              <w:t>510</w:t>
            </w:r>
            <w:r w:rsidR="000F4D5F">
              <w:rPr>
                <w:rFonts w:ascii="Calibri" w:hAnsi="Calibri" w:cs="Calibri"/>
                <w:noProof/>
                <w:color w:val="000000"/>
              </w:rPr>
              <w:t>.1</w:t>
            </w:r>
          </w:p>
        </w:tc>
      </w:tr>
    </w:tbl>
    <w:p w14:paraId="1561B9E4" w14:textId="77777777" w:rsidR="00592734" w:rsidRPr="00982726" w:rsidRDefault="00592734" w:rsidP="00592734">
      <w:pPr>
        <w:pStyle w:val="FootnoteText"/>
        <w:rPr>
          <w:noProof/>
        </w:rPr>
      </w:pPr>
      <w:r>
        <w:rPr>
          <w:noProof/>
        </w:rPr>
        <w:t xml:space="preserve">(*) </w:t>
      </w:r>
      <w:r w:rsidRPr="00982726">
        <w:rPr>
          <w:noProof/>
        </w:rPr>
        <w:t xml:space="preserve">Based on the </w:t>
      </w:r>
      <w:r>
        <w:rPr>
          <w:noProof/>
        </w:rPr>
        <w:t xml:space="preserve">applied gender contribution </w:t>
      </w:r>
      <w:r w:rsidRPr="00982726">
        <w:rPr>
          <w:noProof/>
        </w:rPr>
        <w:t>methodology</w:t>
      </w:r>
      <w:r>
        <w:rPr>
          <w:noProof/>
        </w:rPr>
        <w:t>,</w:t>
      </w:r>
      <w:r w:rsidRPr="00982726">
        <w:rPr>
          <w:noProof/>
        </w:rPr>
        <w:t xml:space="preserve"> the following scores are attributed at the most granular level of intervention possible: </w:t>
      </w:r>
    </w:p>
    <w:p w14:paraId="612509C8" w14:textId="77777777" w:rsidR="00592734" w:rsidRPr="00982726" w:rsidRDefault="00592734" w:rsidP="00476903">
      <w:pPr>
        <w:pStyle w:val="FootnoteText"/>
        <w:numPr>
          <w:ilvl w:val="0"/>
          <w:numId w:val="38"/>
        </w:numPr>
        <w:spacing w:after="60" w:line="264" w:lineRule="auto"/>
        <w:jc w:val="left"/>
        <w:rPr>
          <w:noProof/>
        </w:rPr>
      </w:pPr>
      <w:r>
        <w:rPr>
          <w:noProof/>
        </w:rPr>
        <w:t>2:</w:t>
      </w:r>
      <w:r w:rsidRPr="00982726">
        <w:rPr>
          <w:noProof/>
        </w:rPr>
        <w:t xml:space="preserve"> </w:t>
      </w:r>
      <w:r>
        <w:rPr>
          <w:noProof/>
        </w:rPr>
        <w:t>i</w:t>
      </w:r>
      <w:r w:rsidRPr="00982726">
        <w:rPr>
          <w:noProof/>
        </w:rPr>
        <w:t xml:space="preserve">nterventions </w:t>
      </w:r>
      <w:r>
        <w:rPr>
          <w:noProof/>
        </w:rPr>
        <w:t>the</w:t>
      </w:r>
      <w:r w:rsidRPr="00982726">
        <w:rPr>
          <w:noProof/>
        </w:rPr>
        <w:t xml:space="preserve"> principal objective</w:t>
      </w:r>
      <w:r>
        <w:rPr>
          <w:noProof/>
        </w:rPr>
        <w:t xml:space="preserve"> of which</w:t>
      </w:r>
      <w:r w:rsidRPr="00982726">
        <w:rPr>
          <w:noProof/>
        </w:rPr>
        <w:t xml:space="preserve"> is to improve gender equality;</w:t>
      </w:r>
    </w:p>
    <w:p w14:paraId="64F52B71" w14:textId="77777777" w:rsidR="00592734" w:rsidRPr="00982726" w:rsidRDefault="00592734" w:rsidP="00476903">
      <w:pPr>
        <w:pStyle w:val="FootnoteText"/>
        <w:numPr>
          <w:ilvl w:val="0"/>
          <w:numId w:val="38"/>
        </w:numPr>
        <w:spacing w:after="60" w:line="264" w:lineRule="auto"/>
        <w:jc w:val="left"/>
        <w:rPr>
          <w:noProof/>
        </w:rPr>
      </w:pPr>
      <w:r>
        <w:rPr>
          <w:noProof/>
        </w:rPr>
        <w:t>1:</w:t>
      </w:r>
      <w:r w:rsidRPr="00982726">
        <w:rPr>
          <w:noProof/>
        </w:rPr>
        <w:t xml:space="preserve"> </w:t>
      </w:r>
      <w:r>
        <w:rPr>
          <w:noProof/>
        </w:rPr>
        <w:t>i</w:t>
      </w:r>
      <w:r w:rsidRPr="00982726">
        <w:rPr>
          <w:noProof/>
        </w:rPr>
        <w:t xml:space="preserve">nterventions </w:t>
      </w:r>
      <w:r>
        <w:rPr>
          <w:noProof/>
        </w:rPr>
        <w:t>that have</w:t>
      </w:r>
      <w:r w:rsidRPr="00982726">
        <w:rPr>
          <w:noProof/>
        </w:rPr>
        <w:t xml:space="preserve"> gender equality as an important and deliberate objective but not as the main reason for the intervention;</w:t>
      </w:r>
    </w:p>
    <w:p w14:paraId="2C908A5C" w14:textId="77777777" w:rsidR="00592734" w:rsidRPr="00982726" w:rsidRDefault="00592734" w:rsidP="00476903">
      <w:pPr>
        <w:pStyle w:val="FootnoteText"/>
        <w:numPr>
          <w:ilvl w:val="0"/>
          <w:numId w:val="38"/>
        </w:numPr>
        <w:spacing w:after="60" w:line="264" w:lineRule="auto"/>
        <w:jc w:val="left"/>
        <w:rPr>
          <w:noProof/>
        </w:rPr>
      </w:pPr>
      <w:r>
        <w:rPr>
          <w:noProof/>
        </w:rPr>
        <w:t>0:</w:t>
      </w:r>
      <w:r w:rsidRPr="00982726">
        <w:rPr>
          <w:noProof/>
        </w:rPr>
        <w:t xml:space="preserve"> </w:t>
      </w:r>
      <w:r>
        <w:rPr>
          <w:noProof/>
        </w:rPr>
        <w:t>n</w:t>
      </w:r>
      <w:r w:rsidRPr="00982726">
        <w:rPr>
          <w:noProof/>
        </w:rPr>
        <w:t>o</w:t>
      </w:r>
      <w:r>
        <w:rPr>
          <w:noProof/>
        </w:rPr>
        <w:t>n-</w:t>
      </w:r>
      <w:r w:rsidRPr="00982726">
        <w:rPr>
          <w:noProof/>
        </w:rPr>
        <w:t>targeted interventions</w:t>
      </w:r>
      <w:r>
        <w:rPr>
          <w:noProof/>
        </w:rPr>
        <w:t>;</w:t>
      </w:r>
    </w:p>
    <w:p w14:paraId="4018AC03" w14:textId="77777777" w:rsidR="00592734" w:rsidRPr="00982726" w:rsidRDefault="00592734" w:rsidP="00476903">
      <w:pPr>
        <w:pStyle w:val="FootnoteText"/>
        <w:numPr>
          <w:ilvl w:val="0"/>
          <w:numId w:val="38"/>
        </w:numPr>
        <w:spacing w:after="60" w:line="264" w:lineRule="auto"/>
        <w:jc w:val="left"/>
        <w:rPr>
          <w:noProof/>
        </w:rPr>
      </w:pPr>
      <w:r>
        <w:rPr>
          <w:noProof/>
        </w:rPr>
        <w:t>0*:</w:t>
      </w:r>
      <w:r w:rsidRPr="00982726">
        <w:rPr>
          <w:noProof/>
        </w:rPr>
        <w:t xml:space="preserve"> </w:t>
      </w:r>
      <w:r>
        <w:rPr>
          <w:noProof/>
        </w:rPr>
        <w:t>s</w:t>
      </w:r>
      <w:r w:rsidRPr="00982726">
        <w:rPr>
          <w:noProof/>
        </w:rPr>
        <w:t>core to be assigned to interventions with</w:t>
      </w:r>
      <w:r>
        <w:rPr>
          <w:noProof/>
        </w:rPr>
        <w:t xml:space="preserve"> a</w:t>
      </w:r>
      <w:r w:rsidRPr="00982726">
        <w:rPr>
          <w:noProof/>
        </w:rPr>
        <w:t xml:space="preserve"> likely but not yet clear positive impact on gender equality.</w:t>
      </w:r>
    </w:p>
    <w:p w14:paraId="0D8BB899" w14:textId="77777777" w:rsidR="00592734" w:rsidRPr="00040D99" w:rsidRDefault="00592734" w:rsidP="00592734">
      <w:pPr>
        <w:pStyle w:val="ppoHeading5"/>
        <w:rPr>
          <w:noProof/>
        </w:rPr>
      </w:pPr>
      <w:r w:rsidRPr="00040D99">
        <w:rPr>
          <w:noProof/>
        </w:rPr>
        <w:t>Performance assessment</w:t>
      </w:r>
    </w:p>
    <w:p w14:paraId="44358053" w14:textId="77777777" w:rsidR="00592734" w:rsidRPr="00040D99" w:rsidRDefault="00592734" w:rsidP="00592734">
      <w:pPr>
        <w:pStyle w:val="ppoHeading6"/>
        <w:rPr>
          <w:noProof/>
        </w:rPr>
      </w:pPr>
      <w:r w:rsidRPr="00040D99">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592734" w:rsidRPr="00AC11E4" w14:paraId="521F422D" w14:textId="77777777" w:rsidTr="00BB20EB">
        <w:trPr>
          <w:cnfStyle w:val="100000000000" w:firstRow="1" w:lastRow="0" w:firstColumn="0" w:lastColumn="0" w:oddVBand="0" w:evenVBand="0" w:oddHBand="0" w:evenHBand="0" w:firstRowFirstColumn="0" w:firstRowLastColumn="0" w:lastRowFirstColumn="0" w:lastRowLastColumn="0"/>
        </w:trPr>
        <w:tc>
          <w:tcPr>
            <w:tcW w:w="2268" w:type="dxa"/>
          </w:tcPr>
          <w:p w14:paraId="5388D993" w14:textId="77777777" w:rsidR="00592734" w:rsidRPr="00884C9A" w:rsidRDefault="00592734" w:rsidP="00BB20EB">
            <w:pPr>
              <w:rPr>
                <w:noProof/>
              </w:rPr>
            </w:pPr>
          </w:p>
        </w:tc>
        <w:tc>
          <w:tcPr>
            <w:tcW w:w="931" w:type="dxa"/>
          </w:tcPr>
          <w:p w14:paraId="440FCC0C" w14:textId="77777777" w:rsidR="00592734" w:rsidRPr="00884C9A" w:rsidRDefault="00592734" w:rsidP="00BB20EB">
            <w:pPr>
              <w:rPr>
                <w:noProof/>
              </w:rPr>
            </w:pPr>
            <w:r w:rsidRPr="00884C9A">
              <w:rPr>
                <w:noProof/>
              </w:rPr>
              <w:t>Baseline</w:t>
            </w:r>
          </w:p>
        </w:tc>
        <w:tc>
          <w:tcPr>
            <w:tcW w:w="1485" w:type="dxa"/>
          </w:tcPr>
          <w:p w14:paraId="2D13B490" w14:textId="77777777" w:rsidR="00592734" w:rsidRPr="006F165E" w:rsidRDefault="00592734" w:rsidP="00BB20EB">
            <w:pPr>
              <w:rPr>
                <w:rFonts w:ascii="Calibri" w:hAnsi="Calibri" w:cs="Calibri"/>
                <w:noProof/>
              </w:rPr>
            </w:pPr>
            <w:r w:rsidRPr="00884C9A">
              <w:rPr>
                <w:noProof/>
              </w:rPr>
              <w:t>Progress</w:t>
            </w:r>
            <w:r>
              <w:rPr>
                <w:rFonts w:ascii="Calibri" w:hAnsi="Calibri" w:cs="Calibri"/>
                <w:noProof/>
              </w:rPr>
              <w:t> (*)</w:t>
            </w:r>
          </w:p>
        </w:tc>
        <w:tc>
          <w:tcPr>
            <w:tcW w:w="1491" w:type="dxa"/>
          </w:tcPr>
          <w:p w14:paraId="6802C7BC" w14:textId="77777777" w:rsidR="00592734" w:rsidRPr="00884C9A" w:rsidRDefault="00592734" w:rsidP="00BB20EB">
            <w:pPr>
              <w:rPr>
                <w:noProof/>
              </w:rPr>
            </w:pPr>
            <w:r w:rsidRPr="00884C9A">
              <w:rPr>
                <w:noProof/>
              </w:rPr>
              <w:t>Target</w:t>
            </w:r>
          </w:p>
        </w:tc>
        <w:tc>
          <w:tcPr>
            <w:tcW w:w="1530" w:type="dxa"/>
          </w:tcPr>
          <w:p w14:paraId="4DB565D1" w14:textId="77777777" w:rsidR="00592734" w:rsidRPr="00884C9A" w:rsidRDefault="00592734" w:rsidP="00BB20EB">
            <w:pPr>
              <w:rPr>
                <w:noProof/>
              </w:rPr>
            </w:pPr>
            <w:r w:rsidRPr="00884C9A">
              <w:rPr>
                <w:noProof/>
              </w:rPr>
              <w:t>Results</w:t>
            </w:r>
          </w:p>
        </w:tc>
        <w:tc>
          <w:tcPr>
            <w:tcW w:w="1537" w:type="dxa"/>
          </w:tcPr>
          <w:p w14:paraId="430FD9B1" w14:textId="77777777" w:rsidR="00592734" w:rsidRPr="00884C9A" w:rsidRDefault="00592734" w:rsidP="00BB20EB">
            <w:pPr>
              <w:rPr>
                <w:noProof/>
              </w:rPr>
            </w:pPr>
            <w:r w:rsidRPr="00884C9A">
              <w:rPr>
                <w:noProof/>
              </w:rPr>
              <w:t>Assessment</w:t>
            </w:r>
          </w:p>
        </w:tc>
      </w:tr>
      <w:tr w:rsidR="00592734" w:rsidRPr="00AC11E4" w14:paraId="128D2DFB" w14:textId="77777777" w:rsidTr="00BB20EB">
        <w:trPr>
          <w:cnfStyle w:val="000000100000" w:firstRow="0" w:lastRow="0" w:firstColumn="0" w:lastColumn="0" w:oddVBand="0" w:evenVBand="0" w:oddHBand="1" w:evenHBand="0" w:firstRowFirstColumn="0" w:firstRowLastColumn="0" w:lastRowFirstColumn="0" w:lastRowLastColumn="0"/>
        </w:trPr>
        <w:tc>
          <w:tcPr>
            <w:tcW w:w="2268" w:type="dxa"/>
          </w:tcPr>
          <w:p w14:paraId="143AA140" w14:textId="77777777" w:rsidR="00592734" w:rsidRPr="00884C9A" w:rsidRDefault="00592734" w:rsidP="00BB20EB">
            <w:pPr>
              <w:rPr>
                <w:noProof/>
              </w:rPr>
            </w:pPr>
            <w:r>
              <w:rPr>
                <w:noProof/>
              </w:rPr>
              <w:t>Number of cross-border and missing links addressed with the support of the CEF</w:t>
            </w:r>
          </w:p>
        </w:tc>
        <w:tc>
          <w:tcPr>
            <w:tcW w:w="931" w:type="dxa"/>
          </w:tcPr>
          <w:p w14:paraId="2848D31E" w14:textId="77777777" w:rsidR="00592734" w:rsidRPr="00884C9A" w:rsidRDefault="00592734" w:rsidP="00BB20EB">
            <w:pPr>
              <w:jc w:val="center"/>
              <w:rPr>
                <w:noProof/>
              </w:rPr>
            </w:pPr>
            <w:r w:rsidRPr="00A6578D">
              <w:rPr>
                <w:noProof/>
              </w:rPr>
              <w:t>0</w:t>
            </w:r>
          </w:p>
        </w:tc>
        <w:tc>
          <w:tcPr>
            <w:tcW w:w="1485" w:type="dxa"/>
          </w:tcPr>
          <w:p w14:paraId="0CD7E897" w14:textId="77777777" w:rsidR="00592734" w:rsidRPr="00243122" w:rsidRDefault="00592734" w:rsidP="00BB20EB">
            <w:pPr>
              <w:jc w:val="center"/>
              <w:rPr>
                <w:b/>
                <w:noProof/>
              </w:rPr>
            </w:pPr>
            <w:r w:rsidRPr="00243122">
              <w:rPr>
                <w:b/>
                <w:noProof/>
              </w:rPr>
              <w:t>0%</w:t>
            </w:r>
          </w:p>
        </w:tc>
        <w:tc>
          <w:tcPr>
            <w:tcW w:w="1491" w:type="dxa"/>
          </w:tcPr>
          <w:p w14:paraId="52028F4B" w14:textId="77777777" w:rsidR="00592734" w:rsidRPr="00884C9A" w:rsidRDefault="00592734" w:rsidP="00BB20EB">
            <w:pPr>
              <w:jc w:val="center"/>
              <w:rPr>
                <w:noProof/>
              </w:rPr>
            </w:pPr>
            <w:r>
              <w:rPr>
                <w:noProof/>
              </w:rPr>
              <w:t>77</w:t>
            </w:r>
          </w:p>
        </w:tc>
        <w:tc>
          <w:tcPr>
            <w:tcW w:w="1530" w:type="dxa"/>
          </w:tcPr>
          <w:p w14:paraId="4740110E" w14:textId="77777777" w:rsidR="00592734" w:rsidRPr="00884C9A" w:rsidRDefault="00592734" w:rsidP="00BB20EB">
            <w:pPr>
              <w:jc w:val="center"/>
              <w:rPr>
                <w:noProof/>
              </w:rPr>
            </w:pPr>
            <w:r>
              <w:rPr>
                <w:noProof/>
              </w:rPr>
              <w:t>0 cross-border and missing links out of 77</w:t>
            </w:r>
          </w:p>
        </w:tc>
        <w:tc>
          <w:tcPr>
            <w:tcW w:w="1537" w:type="dxa"/>
          </w:tcPr>
          <w:p w14:paraId="7FDB13A2" w14:textId="77777777" w:rsidR="00592734" w:rsidRPr="00884C9A" w:rsidRDefault="00592734" w:rsidP="00BB20EB">
            <w:pPr>
              <w:jc w:val="center"/>
              <w:rPr>
                <w:noProof/>
              </w:rPr>
            </w:pPr>
            <w:r>
              <w:rPr>
                <w:noProof/>
              </w:rPr>
              <w:t>On track</w:t>
            </w:r>
          </w:p>
        </w:tc>
      </w:tr>
      <w:tr w:rsidR="00592734" w:rsidRPr="00AC11E4" w14:paraId="60D519F0" w14:textId="77777777" w:rsidTr="00BB20EB">
        <w:trPr>
          <w:cnfStyle w:val="000000010000" w:firstRow="0" w:lastRow="0" w:firstColumn="0" w:lastColumn="0" w:oddVBand="0" w:evenVBand="0" w:oddHBand="0" w:evenHBand="1" w:firstRowFirstColumn="0" w:firstRowLastColumn="0" w:lastRowFirstColumn="0" w:lastRowLastColumn="0"/>
        </w:trPr>
        <w:tc>
          <w:tcPr>
            <w:tcW w:w="2268" w:type="dxa"/>
          </w:tcPr>
          <w:p w14:paraId="4D29C109" w14:textId="77777777" w:rsidR="00592734" w:rsidRPr="00884C9A" w:rsidRDefault="00592734" w:rsidP="00BB20EB">
            <w:pPr>
              <w:rPr>
                <w:noProof/>
              </w:rPr>
            </w:pPr>
            <w:r>
              <w:rPr>
                <w:noProof/>
              </w:rPr>
              <w:t xml:space="preserve">Number of CEF-supported actions contributing to the digitalisation of transport, in particular through the deployment of the </w:t>
            </w:r>
            <w:r w:rsidRPr="001350BE">
              <w:rPr>
                <w:noProof/>
              </w:rPr>
              <w:t xml:space="preserve">European </w:t>
            </w:r>
            <w:r>
              <w:rPr>
                <w:noProof/>
              </w:rPr>
              <w:t>r</w:t>
            </w:r>
            <w:r w:rsidRPr="001350BE">
              <w:rPr>
                <w:noProof/>
              </w:rPr>
              <w:t xml:space="preserve">ail </w:t>
            </w:r>
            <w:r>
              <w:rPr>
                <w:noProof/>
              </w:rPr>
              <w:t>t</w:t>
            </w:r>
            <w:r w:rsidRPr="001350BE">
              <w:rPr>
                <w:noProof/>
              </w:rPr>
              <w:t xml:space="preserve">raffic </w:t>
            </w:r>
            <w:r>
              <w:rPr>
                <w:noProof/>
              </w:rPr>
              <w:t>m</w:t>
            </w:r>
            <w:r w:rsidRPr="001350BE">
              <w:rPr>
                <w:noProof/>
              </w:rPr>
              <w:t xml:space="preserve">anagement </w:t>
            </w:r>
            <w:r>
              <w:rPr>
                <w:noProof/>
              </w:rPr>
              <w:t>s</w:t>
            </w:r>
            <w:r w:rsidRPr="001350BE">
              <w:rPr>
                <w:noProof/>
              </w:rPr>
              <w:t>ystem</w:t>
            </w:r>
            <w:r>
              <w:rPr>
                <w:noProof/>
              </w:rPr>
              <w:t xml:space="preserve">, the </w:t>
            </w:r>
            <w:r w:rsidRPr="001350BE">
              <w:rPr>
                <w:noProof/>
              </w:rPr>
              <w:t>river information services</w:t>
            </w:r>
            <w:r w:rsidRPr="008641C9">
              <w:rPr>
                <w:noProof/>
              </w:rPr>
              <w:t>,</w:t>
            </w:r>
            <w:r>
              <w:rPr>
                <w:noProof/>
              </w:rPr>
              <w:t xml:space="preserve"> the</w:t>
            </w:r>
            <w:r w:rsidRPr="008641C9">
              <w:rPr>
                <w:noProof/>
              </w:rPr>
              <w:t xml:space="preserve"> </w:t>
            </w:r>
            <w:r>
              <w:rPr>
                <w:noProof/>
              </w:rPr>
              <w:t xml:space="preserve">intelligent transport </w:t>
            </w:r>
            <w:r w:rsidRPr="00072CCD">
              <w:rPr>
                <w:noProof/>
              </w:rPr>
              <w:t xml:space="preserve">systems, </w:t>
            </w:r>
            <w:r>
              <w:rPr>
                <w:noProof/>
              </w:rPr>
              <w:t xml:space="preserve">the </w:t>
            </w:r>
            <w:r w:rsidRPr="001350BE">
              <w:rPr>
                <w:noProof/>
              </w:rPr>
              <w:t>vessel traffic management information system</w:t>
            </w:r>
            <w:r w:rsidRPr="00072CCD">
              <w:rPr>
                <w:noProof/>
              </w:rPr>
              <w:t xml:space="preserve">/e-maritime services and </w:t>
            </w:r>
            <w:r>
              <w:rPr>
                <w:noProof/>
              </w:rPr>
              <w:t>the s</w:t>
            </w:r>
            <w:r w:rsidRPr="001350BE">
              <w:rPr>
                <w:noProof/>
              </w:rPr>
              <w:t xml:space="preserve">ingle European </w:t>
            </w:r>
            <w:r>
              <w:rPr>
                <w:noProof/>
              </w:rPr>
              <w:t>s</w:t>
            </w:r>
            <w:r w:rsidRPr="001350BE">
              <w:rPr>
                <w:noProof/>
              </w:rPr>
              <w:t xml:space="preserve">ky ATM </w:t>
            </w:r>
            <w:r>
              <w:rPr>
                <w:noProof/>
              </w:rPr>
              <w:t>r</w:t>
            </w:r>
            <w:r w:rsidRPr="001350BE">
              <w:rPr>
                <w:noProof/>
              </w:rPr>
              <w:t>esearch</w:t>
            </w:r>
            <w:r>
              <w:rPr>
                <w:noProof/>
              </w:rPr>
              <w:t xml:space="preserve"> p</w:t>
            </w:r>
            <w:r w:rsidRPr="001350BE">
              <w:rPr>
                <w:noProof/>
              </w:rPr>
              <w:t>rogramme</w:t>
            </w:r>
          </w:p>
        </w:tc>
        <w:tc>
          <w:tcPr>
            <w:tcW w:w="931" w:type="dxa"/>
          </w:tcPr>
          <w:p w14:paraId="55DF61B7" w14:textId="77777777" w:rsidR="00592734" w:rsidRPr="00884C9A" w:rsidRDefault="00592734" w:rsidP="00BB20EB">
            <w:pPr>
              <w:jc w:val="center"/>
              <w:rPr>
                <w:noProof/>
              </w:rPr>
            </w:pPr>
            <w:r>
              <w:rPr>
                <w:noProof/>
              </w:rPr>
              <w:t>0</w:t>
            </w:r>
          </w:p>
        </w:tc>
        <w:tc>
          <w:tcPr>
            <w:tcW w:w="1485" w:type="dxa"/>
          </w:tcPr>
          <w:p w14:paraId="75B49573" w14:textId="77777777" w:rsidR="00592734" w:rsidRPr="00243122" w:rsidRDefault="00592734" w:rsidP="00BB20EB">
            <w:pPr>
              <w:jc w:val="center"/>
              <w:rPr>
                <w:b/>
                <w:noProof/>
              </w:rPr>
            </w:pPr>
            <w:r w:rsidRPr="00243122">
              <w:rPr>
                <w:b/>
                <w:noProof/>
              </w:rPr>
              <w:t>0%</w:t>
            </w:r>
          </w:p>
        </w:tc>
        <w:tc>
          <w:tcPr>
            <w:tcW w:w="1491" w:type="dxa"/>
          </w:tcPr>
          <w:p w14:paraId="2BD6532A" w14:textId="77777777" w:rsidR="00592734" w:rsidRPr="00884C9A" w:rsidRDefault="00592734" w:rsidP="00BB20EB">
            <w:pPr>
              <w:jc w:val="center"/>
              <w:rPr>
                <w:noProof/>
              </w:rPr>
            </w:pPr>
            <w:r>
              <w:rPr>
                <w:noProof/>
              </w:rPr>
              <w:t>200</w:t>
            </w:r>
          </w:p>
        </w:tc>
        <w:tc>
          <w:tcPr>
            <w:tcW w:w="1530" w:type="dxa"/>
          </w:tcPr>
          <w:p w14:paraId="58414BCC" w14:textId="77777777" w:rsidR="00592734" w:rsidRPr="00884C9A" w:rsidRDefault="00592734" w:rsidP="00BB20EB">
            <w:pPr>
              <w:jc w:val="center"/>
              <w:rPr>
                <w:noProof/>
              </w:rPr>
            </w:pPr>
            <w:r>
              <w:rPr>
                <w:noProof/>
              </w:rPr>
              <w:t>0 actions out of 200</w:t>
            </w:r>
          </w:p>
        </w:tc>
        <w:tc>
          <w:tcPr>
            <w:tcW w:w="1537" w:type="dxa"/>
          </w:tcPr>
          <w:p w14:paraId="5C05AD45" w14:textId="77777777" w:rsidR="00592734" w:rsidRPr="00884C9A" w:rsidRDefault="00592734" w:rsidP="00BB20EB">
            <w:pPr>
              <w:jc w:val="center"/>
              <w:rPr>
                <w:noProof/>
              </w:rPr>
            </w:pPr>
            <w:r>
              <w:rPr>
                <w:noProof/>
              </w:rPr>
              <w:t>On track</w:t>
            </w:r>
          </w:p>
        </w:tc>
      </w:tr>
      <w:tr w:rsidR="00592734" w:rsidRPr="00AC11E4" w14:paraId="52D98CDF" w14:textId="77777777" w:rsidTr="00BB20EB">
        <w:trPr>
          <w:cnfStyle w:val="000000100000" w:firstRow="0" w:lastRow="0" w:firstColumn="0" w:lastColumn="0" w:oddVBand="0" w:evenVBand="0" w:oddHBand="1" w:evenHBand="0" w:firstRowFirstColumn="0" w:firstRowLastColumn="0" w:lastRowFirstColumn="0" w:lastRowLastColumn="0"/>
        </w:trPr>
        <w:tc>
          <w:tcPr>
            <w:tcW w:w="2268" w:type="dxa"/>
          </w:tcPr>
          <w:p w14:paraId="6A50FF46" w14:textId="77777777" w:rsidR="00592734" w:rsidRPr="00884C9A" w:rsidRDefault="00592734" w:rsidP="00BB20EB">
            <w:pPr>
              <w:rPr>
                <w:noProof/>
              </w:rPr>
            </w:pPr>
            <w:r>
              <w:rPr>
                <w:noProof/>
              </w:rPr>
              <w:t>Number of alternative fuel supply points built or upgraded with the support of the CEF</w:t>
            </w:r>
          </w:p>
        </w:tc>
        <w:tc>
          <w:tcPr>
            <w:tcW w:w="931" w:type="dxa"/>
          </w:tcPr>
          <w:p w14:paraId="405E20A2" w14:textId="77777777" w:rsidR="00592734" w:rsidRPr="00884C9A" w:rsidRDefault="00592734" w:rsidP="00BB20EB">
            <w:pPr>
              <w:jc w:val="center"/>
              <w:rPr>
                <w:noProof/>
              </w:rPr>
            </w:pPr>
            <w:r>
              <w:rPr>
                <w:noProof/>
              </w:rPr>
              <w:t>0</w:t>
            </w:r>
          </w:p>
        </w:tc>
        <w:tc>
          <w:tcPr>
            <w:tcW w:w="1485" w:type="dxa"/>
          </w:tcPr>
          <w:p w14:paraId="7616B885" w14:textId="77777777" w:rsidR="00592734" w:rsidRPr="00243122" w:rsidRDefault="00592734" w:rsidP="00BB20EB">
            <w:pPr>
              <w:jc w:val="center"/>
              <w:rPr>
                <w:b/>
                <w:noProof/>
              </w:rPr>
            </w:pPr>
            <w:r w:rsidRPr="00243122">
              <w:rPr>
                <w:b/>
                <w:noProof/>
              </w:rPr>
              <w:t>0%</w:t>
            </w:r>
          </w:p>
        </w:tc>
        <w:tc>
          <w:tcPr>
            <w:tcW w:w="1491" w:type="dxa"/>
          </w:tcPr>
          <w:p w14:paraId="60B1C611" w14:textId="77777777" w:rsidR="00592734" w:rsidRPr="00884C9A" w:rsidRDefault="00592734" w:rsidP="00BB20EB">
            <w:pPr>
              <w:jc w:val="center"/>
              <w:rPr>
                <w:noProof/>
              </w:rPr>
            </w:pPr>
            <w:r>
              <w:rPr>
                <w:noProof/>
              </w:rPr>
              <w:t>38</w:t>
            </w:r>
            <w:r>
              <w:rPr>
                <w:rFonts w:ascii="Calibri" w:hAnsi="Calibri" w:cs="Calibri"/>
                <w:noProof/>
              </w:rPr>
              <w:t> </w:t>
            </w:r>
            <w:r>
              <w:rPr>
                <w:noProof/>
              </w:rPr>
              <w:t>000</w:t>
            </w:r>
          </w:p>
        </w:tc>
        <w:tc>
          <w:tcPr>
            <w:tcW w:w="1530" w:type="dxa"/>
          </w:tcPr>
          <w:p w14:paraId="1F086ED7" w14:textId="77777777" w:rsidR="00592734" w:rsidRPr="00884C9A" w:rsidRDefault="00592734" w:rsidP="00BB20EB">
            <w:pPr>
              <w:jc w:val="center"/>
              <w:rPr>
                <w:noProof/>
              </w:rPr>
            </w:pPr>
            <w:r>
              <w:rPr>
                <w:noProof/>
              </w:rPr>
              <w:t>0 alternative fuel supply points out of 38</w:t>
            </w:r>
            <w:r>
              <w:rPr>
                <w:rFonts w:ascii="Calibri" w:hAnsi="Calibri" w:cs="Calibri"/>
                <w:noProof/>
              </w:rPr>
              <w:t> </w:t>
            </w:r>
            <w:r>
              <w:rPr>
                <w:noProof/>
              </w:rPr>
              <w:t>000</w:t>
            </w:r>
          </w:p>
        </w:tc>
        <w:tc>
          <w:tcPr>
            <w:tcW w:w="1537" w:type="dxa"/>
          </w:tcPr>
          <w:p w14:paraId="219100D4" w14:textId="77777777" w:rsidR="00592734" w:rsidRPr="00884C9A" w:rsidRDefault="00592734" w:rsidP="00BB20EB">
            <w:pPr>
              <w:jc w:val="center"/>
              <w:rPr>
                <w:noProof/>
              </w:rPr>
            </w:pPr>
            <w:r>
              <w:rPr>
                <w:noProof/>
              </w:rPr>
              <w:t>On track</w:t>
            </w:r>
          </w:p>
        </w:tc>
      </w:tr>
      <w:tr w:rsidR="00592734" w:rsidRPr="00AC11E4" w14:paraId="798AD465" w14:textId="77777777" w:rsidTr="00BB20EB">
        <w:trPr>
          <w:cnfStyle w:val="000000010000" w:firstRow="0" w:lastRow="0" w:firstColumn="0" w:lastColumn="0" w:oddVBand="0" w:evenVBand="0" w:oddHBand="0" w:evenHBand="1" w:firstRowFirstColumn="0" w:firstRowLastColumn="0" w:lastRowFirstColumn="0" w:lastRowLastColumn="0"/>
        </w:trPr>
        <w:tc>
          <w:tcPr>
            <w:tcW w:w="2268" w:type="dxa"/>
          </w:tcPr>
          <w:p w14:paraId="7EFE2844" w14:textId="77777777" w:rsidR="00592734" w:rsidRPr="00724FDD" w:rsidRDefault="00592734" w:rsidP="00BB20EB">
            <w:pPr>
              <w:rPr>
                <w:noProof/>
              </w:rPr>
            </w:pPr>
            <w:r>
              <w:rPr>
                <w:noProof/>
              </w:rPr>
              <w:t>Number of transport infrastructure components adapted to civilian—military dual-use requirements</w:t>
            </w:r>
          </w:p>
        </w:tc>
        <w:tc>
          <w:tcPr>
            <w:tcW w:w="931" w:type="dxa"/>
          </w:tcPr>
          <w:p w14:paraId="775BB010" w14:textId="77777777" w:rsidR="00592734" w:rsidRPr="00884C9A" w:rsidRDefault="00592734" w:rsidP="00BB20EB">
            <w:pPr>
              <w:jc w:val="center"/>
              <w:rPr>
                <w:noProof/>
              </w:rPr>
            </w:pPr>
            <w:r>
              <w:rPr>
                <w:noProof/>
              </w:rPr>
              <w:t>0</w:t>
            </w:r>
          </w:p>
        </w:tc>
        <w:tc>
          <w:tcPr>
            <w:tcW w:w="1485" w:type="dxa"/>
          </w:tcPr>
          <w:p w14:paraId="137E3D4B" w14:textId="77777777" w:rsidR="00592734" w:rsidRPr="00243122" w:rsidRDefault="00592734" w:rsidP="00BB20EB">
            <w:pPr>
              <w:jc w:val="center"/>
              <w:rPr>
                <w:b/>
                <w:noProof/>
              </w:rPr>
            </w:pPr>
            <w:r w:rsidRPr="00243122">
              <w:rPr>
                <w:b/>
                <w:noProof/>
              </w:rPr>
              <w:t>0%</w:t>
            </w:r>
          </w:p>
        </w:tc>
        <w:tc>
          <w:tcPr>
            <w:tcW w:w="1491" w:type="dxa"/>
          </w:tcPr>
          <w:p w14:paraId="6D0213E0" w14:textId="77777777" w:rsidR="00592734" w:rsidRPr="00884C9A" w:rsidRDefault="00592734" w:rsidP="00BB20EB">
            <w:pPr>
              <w:jc w:val="center"/>
              <w:rPr>
                <w:noProof/>
              </w:rPr>
            </w:pPr>
            <w:r>
              <w:rPr>
                <w:noProof/>
              </w:rPr>
              <w:t>140</w:t>
            </w:r>
          </w:p>
        </w:tc>
        <w:tc>
          <w:tcPr>
            <w:tcW w:w="1530" w:type="dxa"/>
          </w:tcPr>
          <w:p w14:paraId="03C169F8" w14:textId="77777777" w:rsidR="00592734" w:rsidRPr="00884C9A" w:rsidRDefault="00592734" w:rsidP="00BB20EB">
            <w:pPr>
              <w:jc w:val="center"/>
              <w:rPr>
                <w:noProof/>
              </w:rPr>
            </w:pPr>
            <w:r w:rsidRPr="00A6578D">
              <w:rPr>
                <w:noProof/>
              </w:rPr>
              <w:t>0 components out of 140</w:t>
            </w:r>
          </w:p>
        </w:tc>
        <w:tc>
          <w:tcPr>
            <w:tcW w:w="1537" w:type="dxa"/>
          </w:tcPr>
          <w:p w14:paraId="2E0B10A8" w14:textId="77777777" w:rsidR="00592734" w:rsidRPr="00884C9A" w:rsidRDefault="00592734" w:rsidP="00BB20EB">
            <w:pPr>
              <w:jc w:val="center"/>
              <w:rPr>
                <w:noProof/>
              </w:rPr>
            </w:pPr>
            <w:r>
              <w:rPr>
                <w:noProof/>
              </w:rPr>
              <w:t>On track</w:t>
            </w:r>
          </w:p>
        </w:tc>
      </w:tr>
      <w:tr w:rsidR="00592734" w:rsidRPr="00AC11E4" w14:paraId="6C8956E2" w14:textId="77777777" w:rsidTr="00BB20EB">
        <w:trPr>
          <w:cnfStyle w:val="000000100000" w:firstRow="0" w:lastRow="0" w:firstColumn="0" w:lastColumn="0" w:oddVBand="0" w:evenVBand="0" w:oddHBand="1" w:evenHBand="0" w:firstRowFirstColumn="0" w:firstRowLastColumn="0" w:lastRowFirstColumn="0" w:lastRowLastColumn="0"/>
        </w:trPr>
        <w:tc>
          <w:tcPr>
            <w:tcW w:w="2268" w:type="dxa"/>
          </w:tcPr>
          <w:p w14:paraId="5E031EF3" w14:textId="77777777" w:rsidR="00592734" w:rsidRPr="00884C9A" w:rsidRDefault="00592734" w:rsidP="00BB20EB">
            <w:pPr>
              <w:rPr>
                <w:noProof/>
              </w:rPr>
            </w:pPr>
            <w:r>
              <w:rPr>
                <w:noProof/>
              </w:rPr>
              <w:t>Number of CEF actions contributing to projects interconnecting Member State networks and removing internal constraints</w:t>
            </w:r>
          </w:p>
        </w:tc>
        <w:tc>
          <w:tcPr>
            <w:tcW w:w="931" w:type="dxa"/>
          </w:tcPr>
          <w:p w14:paraId="38C73EA6" w14:textId="77777777" w:rsidR="00592734" w:rsidRPr="00884C9A" w:rsidRDefault="00592734" w:rsidP="00BB20EB">
            <w:pPr>
              <w:jc w:val="center"/>
              <w:rPr>
                <w:noProof/>
              </w:rPr>
            </w:pPr>
            <w:r>
              <w:rPr>
                <w:noProof/>
              </w:rPr>
              <w:t>0</w:t>
            </w:r>
          </w:p>
        </w:tc>
        <w:tc>
          <w:tcPr>
            <w:tcW w:w="1485" w:type="dxa"/>
          </w:tcPr>
          <w:p w14:paraId="4EBB2F22" w14:textId="77777777" w:rsidR="00592734" w:rsidRPr="00243122" w:rsidRDefault="00592734" w:rsidP="00BB20EB">
            <w:pPr>
              <w:jc w:val="center"/>
              <w:rPr>
                <w:b/>
                <w:noProof/>
              </w:rPr>
            </w:pPr>
            <w:r w:rsidRPr="00243122">
              <w:rPr>
                <w:b/>
                <w:noProof/>
              </w:rPr>
              <w:t>0%</w:t>
            </w:r>
          </w:p>
        </w:tc>
        <w:tc>
          <w:tcPr>
            <w:tcW w:w="1491" w:type="dxa"/>
          </w:tcPr>
          <w:p w14:paraId="7E0C1A77" w14:textId="77777777" w:rsidR="00592734" w:rsidRPr="00884C9A" w:rsidRDefault="00592734" w:rsidP="00BB20EB">
            <w:pPr>
              <w:jc w:val="center"/>
              <w:rPr>
                <w:noProof/>
              </w:rPr>
            </w:pPr>
            <w:r>
              <w:rPr>
                <w:noProof/>
              </w:rPr>
              <w:t>95</w:t>
            </w:r>
          </w:p>
        </w:tc>
        <w:tc>
          <w:tcPr>
            <w:tcW w:w="1530" w:type="dxa"/>
          </w:tcPr>
          <w:p w14:paraId="316055BF" w14:textId="77777777" w:rsidR="00592734" w:rsidRPr="00884C9A" w:rsidRDefault="00592734" w:rsidP="00BB20EB">
            <w:pPr>
              <w:jc w:val="center"/>
              <w:rPr>
                <w:noProof/>
              </w:rPr>
            </w:pPr>
            <w:r>
              <w:rPr>
                <w:noProof/>
              </w:rPr>
              <w:t>0 actions out of 95</w:t>
            </w:r>
          </w:p>
        </w:tc>
        <w:tc>
          <w:tcPr>
            <w:tcW w:w="1537" w:type="dxa"/>
          </w:tcPr>
          <w:p w14:paraId="57C64672" w14:textId="77777777" w:rsidR="00592734" w:rsidRPr="00884C9A" w:rsidRDefault="00592734" w:rsidP="00BB20EB">
            <w:pPr>
              <w:jc w:val="center"/>
              <w:rPr>
                <w:noProof/>
              </w:rPr>
            </w:pPr>
            <w:r>
              <w:rPr>
                <w:noProof/>
              </w:rPr>
              <w:t>On track</w:t>
            </w:r>
          </w:p>
        </w:tc>
      </w:tr>
      <w:tr w:rsidR="00592734" w:rsidRPr="00AC11E4" w14:paraId="114E928D" w14:textId="77777777" w:rsidTr="00BB20EB">
        <w:trPr>
          <w:cnfStyle w:val="000000010000" w:firstRow="0" w:lastRow="0" w:firstColumn="0" w:lastColumn="0" w:oddVBand="0" w:evenVBand="0" w:oddHBand="0" w:evenHBand="1" w:firstRowFirstColumn="0" w:firstRowLastColumn="0" w:lastRowFirstColumn="0" w:lastRowLastColumn="0"/>
        </w:trPr>
        <w:tc>
          <w:tcPr>
            <w:tcW w:w="2268" w:type="dxa"/>
          </w:tcPr>
          <w:p w14:paraId="6BD70347" w14:textId="77777777" w:rsidR="00592734" w:rsidRPr="00884C9A" w:rsidRDefault="00592734" w:rsidP="00BB20EB">
            <w:pPr>
              <w:rPr>
                <w:noProof/>
              </w:rPr>
            </w:pPr>
            <w:r>
              <w:rPr>
                <w:noProof/>
              </w:rPr>
              <w:t>Number of CEF actions contributing to the improvement and digitalisation of grids and increasing energy storage capacity</w:t>
            </w:r>
          </w:p>
        </w:tc>
        <w:tc>
          <w:tcPr>
            <w:tcW w:w="931" w:type="dxa"/>
          </w:tcPr>
          <w:p w14:paraId="32A59947" w14:textId="77777777" w:rsidR="00592734" w:rsidRPr="00884C9A" w:rsidRDefault="00592734" w:rsidP="00BB20EB">
            <w:pPr>
              <w:jc w:val="center"/>
              <w:rPr>
                <w:noProof/>
              </w:rPr>
            </w:pPr>
            <w:r>
              <w:rPr>
                <w:noProof/>
              </w:rPr>
              <w:t>0</w:t>
            </w:r>
          </w:p>
        </w:tc>
        <w:tc>
          <w:tcPr>
            <w:tcW w:w="1485" w:type="dxa"/>
          </w:tcPr>
          <w:p w14:paraId="15F61495" w14:textId="77777777" w:rsidR="00592734" w:rsidRPr="00243122" w:rsidRDefault="00592734" w:rsidP="00BB20EB">
            <w:pPr>
              <w:jc w:val="center"/>
              <w:rPr>
                <w:b/>
                <w:noProof/>
              </w:rPr>
            </w:pPr>
            <w:r w:rsidRPr="00243122">
              <w:rPr>
                <w:b/>
                <w:noProof/>
              </w:rPr>
              <w:t>0%</w:t>
            </w:r>
          </w:p>
        </w:tc>
        <w:tc>
          <w:tcPr>
            <w:tcW w:w="1491" w:type="dxa"/>
          </w:tcPr>
          <w:p w14:paraId="1C805F2A" w14:textId="77777777" w:rsidR="00592734" w:rsidRPr="00884C9A" w:rsidRDefault="00592734" w:rsidP="00BB20EB">
            <w:pPr>
              <w:jc w:val="center"/>
              <w:rPr>
                <w:noProof/>
              </w:rPr>
            </w:pPr>
            <w:r>
              <w:rPr>
                <w:noProof/>
              </w:rPr>
              <w:t>25</w:t>
            </w:r>
          </w:p>
        </w:tc>
        <w:tc>
          <w:tcPr>
            <w:tcW w:w="1530" w:type="dxa"/>
          </w:tcPr>
          <w:p w14:paraId="03CF893B" w14:textId="77777777" w:rsidR="00592734" w:rsidRPr="00884C9A" w:rsidRDefault="00592734" w:rsidP="00BB20EB">
            <w:pPr>
              <w:jc w:val="center"/>
              <w:rPr>
                <w:noProof/>
              </w:rPr>
            </w:pPr>
            <w:r>
              <w:rPr>
                <w:noProof/>
              </w:rPr>
              <w:t>0 actions out of 25</w:t>
            </w:r>
          </w:p>
        </w:tc>
        <w:tc>
          <w:tcPr>
            <w:tcW w:w="1537" w:type="dxa"/>
          </w:tcPr>
          <w:p w14:paraId="4BD04E09" w14:textId="77777777" w:rsidR="00592734" w:rsidRPr="00884C9A" w:rsidRDefault="00592734" w:rsidP="00BB20EB">
            <w:pPr>
              <w:jc w:val="center"/>
              <w:rPr>
                <w:noProof/>
              </w:rPr>
            </w:pPr>
            <w:r>
              <w:rPr>
                <w:noProof/>
              </w:rPr>
              <w:t>On track</w:t>
            </w:r>
          </w:p>
        </w:tc>
      </w:tr>
      <w:tr w:rsidR="00592734" w:rsidRPr="00AC11E4" w14:paraId="6BB176D9" w14:textId="77777777" w:rsidTr="00BB20EB">
        <w:trPr>
          <w:cnfStyle w:val="000000100000" w:firstRow="0" w:lastRow="0" w:firstColumn="0" w:lastColumn="0" w:oddVBand="0" w:evenVBand="0" w:oddHBand="1" w:evenHBand="0" w:firstRowFirstColumn="0" w:firstRowLastColumn="0" w:lastRowFirstColumn="0" w:lastRowLastColumn="0"/>
        </w:trPr>
        <w:tc>
          <w:tcPr>
            <w:tcW w:w="2268" w:type="dxa"/>
          </w:tcPr>
          <w:p w14:paraId="0E58F88D" w14:textId="77777777" w:rsidR="00592734" w:rsidRPr="00884C9A" w:rsidRDefault="00592734" w:rsidP="00BB20EB">
            <w:pPr>
              <w:rPr>
                <w:noProof/>
              </w:rPr>
            </w:pPr>
            <w:bookmarkStart w:id="63" w:name="_Hlk101448117"/>
            <w:r>
              <w:rPr>
                <w:noProof/>
              </w:rPr>
              <w:t>Number of CEF actions contributing to the cost-efficient reaching of the target for EU-shared renewable energy sources on the basis of cross-border cooperation in the area of renewables</w:t>
            </w:r>
            <w:bookmarkEnd w:id="63"/>
          </w:p>
        </w:tc>
        <w:tc>
          <w:tcPr>
            <w:tcW w:w="931" w:type="dxa"/>
          </w:tcPr>
          <w:p w14:paraId="0643FE16" w14:textId="77777777" w:rsidR="00592734" w:rsidRPr="00884C9A" w:rsidRDefault="00592734" w:rsidP="00BB20EB">
            <w:pPr>
              <w:jc w:val="center"/>
              <w:rPr>
                <w:noProof/>
              </w:rPr>
            </w:pPr>
            <w:r>
              <w:rPr>
                <w:noProof/>
              </w:rPr>
              <w:t>0</w:t>
            </w:r>
          </w:p>
        </w:tc>
        <w:tc>
          <w:tcPr>
            <w:tcW w:w="1485" w:type="dxa"/>
          </w:tcPr>
          <w:p w14:paraId="797742B1" w14:textId="77777777" w:rsidR="00592734" w:rsidRPr="00243122" w:rsidRDefault="00592734" w:rsidP="00BB20EB">
            <w:pPr>
              <w:jc w:val="center"/>
              <w:rPr>
                <w:b/>
                <w:noProof/>
              </w:rPr>
            </w:pPr>
            <w:r w:rsidRPr="00243122">
              <w:rPr>
                <w:b/>
                <w:noProof/>
              </w:rPr>
              <w:t>0%</w:t>
            </w:r>
          </w:p>
        </w:tc>
        <w:tc>
          <w:tcPr>
            <w:tcW w:w="1491" w:type="dxa"/>
          </w:tcPr>
          <w:p w14:paraId="6F46830C" w14:textId="77777777" w:rsidR="00592734" w:rsidRPr="00884C9A" w:rsidRDefault="00592734" w:rsidP="00BB20EB">
            <w:pPr>
              <w:jc w:val="center"/>
              <w:rPr>
                <w:noProof/>
              </w:rPr>
            </w:pPr>
            <w:r>
              <w:rPr>
                <w:noProof/>
              </w:rPr>
              <w:t xml:space="preserve">48 </w:t>
            </w:r>
          </w:p>
        </w:tc>
        <w:tc>
          <w:tcPr>
            <w:tcW w:w="1530" w:type="dxa"/>
          </w:tcPr>
          <w:p w14:paraId="7F1E6236" w14:textId="77777777" w:rsidR="00592734" w:rsidRPr="00884C9A" w:rsidRDefault="00592734" w:rsidP="00BB20EB">
            <w:pPr>
              <w:jc w:val="center"/>
              <w:rPr>
                <w:noProof/>
              </w:rPr>
            </w:pPr>
            <w:r>
              <w:rPr>
                <w:noProof/>
              </w:rPr>
              <w:t>0 actions out of 48</w:t>
            </w:r>
          </w:p>
        </w:tc>
        <w:tc>
          <w:tcPr>
            <w:tcW w:w="1537" w:type="dxa"/>
          </w:tcPr>
          <w:p w14:paraId="4BAA9F63" w14:textId="77777777" w:rsidR="00592734" w:rsidRPr="00884C9A" w:rsidRDefault="00592734" w:rsidP="00BB20EB">
            <w:pPr>
              <w:jc w:val="center"/>
              <w:rPr>
                <w:noProof/>
              </w:rPr>
            </w:pPr>
            <w:r>
              <w:rPr>
                <w:noProof/>
              </w:rPr>
              <w:t>On track</w:t>
            </w:r>
          </w:p>
        </w:tc>
      </w:tr>
      <w:tr w:rsidR="00592734" w:rsidRPr="00AC11E4" w14:paraId="2C3AA43A" w14:textId="77777777" w:rsidTr="00BB20EB">
        <w:trPr>
          <w:cnfStyle w:val="000000010000" w:firstRow="0" w:lastRow="0" w:firstColumn="0" w:lastColumn="0" w:oddVBand="0" w:evenVBand="0" w:oddHBand="0" w:evenHBand="1" w:firstRowFirstColumn="0" w:firstRowLastColumn="0" w:lastRowFirstColumn="0" w:lastRowLastColumn="0"/>
        </w:trPr>
        <w:tc>
          <w:tcPr>
            <w:tcW w:w="2268" w:type="dxa"/>
          </w:tcPr>
          <w:p w14:paraId="12295387" w14:textId="77777777" w:rsidR="00592734" w:rsidRPr="00884C9A" w:rsidRDefault="00592734" w:rsidP="00BB20EB">
            <w:pPr>
              <w:rPr>
                <w:noProof/>
              </w:rPr>
            </w:pPr>
            <w:r>
              <w:rPr>
                <w:noProof/>
              </w:rPr>
              <w:t>Number of CEF actions enabling 5G connectivity along transport paths</w:t>
            </w:r>
          </w:p>
        </w:tc>
        <w:tc>
          <w:tcPr>
            <w:tcW w:w="931" w:type="dxa"/>
          </w:tcPr>
          <w:p w14:paraId="56761CB6" w14:textId="77777777" w:rsidR="00592734" w:rsidRPr="00884C9A" w:rsidRDefault="00592734" w:rsidP="00BB20EB">
            <w:pPr>
              <w:jc w:val="center"/>
              <w:rPr>
                <w:noProof/>
              </w:rPr>
            </w:pPr>
            <w:r>
              <w:rPr>
                <w:noProof/>
              </w:rPr>
              <w:t>0</w:t>
            </w:r>
          </w:p>
        </w:tc>
        <w:tc>
          <w:tcPr>
            <w:tcW w:w="1485" w:type="dxa"/>
          </w:tcPr>
          <w:p w14:paraId="0C385494" w14:textId="77777777" w:rsidR="00592734" w:rsidRPr="00243122" w:rsidRDefault="00592734" w:rsidP="00BB20EB">
            <w:pPr>
              <w:jc w:val="center"/>
              <w:rPr>
                <w:b/>
                <w:noProof/>
              </w:rPr>
            </w:pPr>
            <w:r w:rsidRPr="00243122">
              <w:rPr>
                <w:b/>
                <w:noProof/>
              </w:rPr>
              <w:t>0%</w:t>
            </w:r>
          </w:p>
        </w:tc>
        <w:tc>
          <w:tcPr>
            <w:tcW w:w="1491" w:type="dxa"/>
          </w:tcPr>
          <w:p w14:paraId="681158CD" w14:textId="77777777" w:rsidR="00592734" w:rsidRPr="00884C9A" w:rsidRDefault="00592734" w:rsidP="00BB20EB">
            <w:pPr>
              <w:jc w:val="center"/>
              <w:rPr>
                <w:noProof/>
              </w:rPr>
            </w:pPr>
            <w:r>
              <w:rPr>
                <w:noProof/>
              </w:rPr>
              <w:t>46</w:t>
            </w:r>
          </w:p>
        </w:tc>
        <w:tc>
          <w:tcPr>
            <w:tcW w:w="1530" w:type="dxa"/>
          </w:tcPr>
          <w:p w14:paraId="7C88A2A9" w14:textId="77777777" w:rsidR="00592734" w:rsidRPr="00884C9A" w:rsidRDefault="00592734" w:rsidP="00BB20EB">
            <w:pPr>
              <w:jc w:val="center"/>
              <w:rPr>
                <w:noProof/>
              </w:rPr>
            </w:pPr>
            <w:r>
              <w:rPr>
                <w:noProof/>
              </w:rPr>
              <w:t>0 actions out of 46</w:t>
            </w:r>
          </w:p>
        </w:tc>
        <w:tc>
          <w:tcPr>
            <w:tcW w:w="1537" w:type="dxa"/>
          </w:tcPr>
          <w:p w14:paraId="20D526B5" w14:textId="77777777" w:rsidR="00592734" w:rsidRPr="00884C9A" w:rsidRDefault="00592734" w:rsidP="00BB20EB">
            <w:pPr>
              <w:jc w:val="center"/>
              <w:rPr>
                <w:noProof/>
              </w:rPr>
            </w:pPr>
            <w:r>
              <w:rPr>
                <w:noProof/>
              </w:rPr>
              <w:t>On track</w:t>
            </w:r>
          </w:p>
        </w:tc>
      </w:tr>
      <w:tr w:rsidR="00592734" w:rsidRPr="00AC11E4" w14:paraId="5D73A12B" w14:textId="77777777" w:rsidTr="00BB20EB">
        <w:trPr>
          <w:cnfStyle w:val="000000100000" w:firstRow="0" w:lastRow="0" w:firstColumn="0" w:lastColumn="0" w:oddVBand="0" w:evenVBand="0" w:oddHBand="1" w:evenHBand="0" w:firstRowFirstColumn="0" w:firstRowLastColumn="0" w:lastRowFirstColumn="0" w:lastRowLastColumn="0"/>
        </w:trPr>
        <w:tc>
          <w:tcPr>
            <w:tcW w:w="2268" w:type="dxa"/>
          </w:tcPr>
          <w:p w14:paraId="60BB20EE" w14:textId="77777777" w:rsidR="00592734" w:rsidRPr="00884C9A" w:rsidRDefault="00592734" w:rsidP="00BB20EB">
            <w:pPr>
              <w:rPr>
                <w:noProof/>
              </w:rPr>
            </w:pPr>
            <w:r>
              <w:rPr>
                <w:noProof/>
              </w:rPr>
              <w:t>Number of actions enabling new connections to very high capacity networks</w:t>
            </w:r>
          </w:p>
        </w:tc>
        <w:tc>
          <w:tcPr>
            <w:tcW w:w="931" w:type="dxa"/>
          </w:tcPr>
          <w:p w14:paraId="05EB3ED4" w14:textId="77777777" w:rsidR="00592734" w:rsidRPr="00884C9A" w:rsidRDefault="00592734" w:rsidP="00BB20EB">
            <w:pPr>
              <w:jc w:val="center"/>
              <w:rPr>
                <w:noProof/>
              </w:rPr>
            </w:pPr>
            <w:r>
              <w:rPr>
                <w:noProof/>
              </w:rPr>
              <w:t>0</w:t>
            </w:r>
          </w:p>
        </w:tc>
        <w:tc>
          <w:tcPr>
            <w:tcW w:w="1485" w:type="dxa"/>
          </w:tcPr>
          <w:p w14:paraId="2CD601DD" w14:textId="77777777" w:rsidR="00592734" w:rsidRPr="00243122" w:rsidRDefault="00592734" w:rsidP="00BB20EB">
            <w:pPr>
              <w:jc w:val="center"/>
              <w:rPr>
                <w:b/>
                <w:noProof/>
              </w:rPr>
            </w:pPr>
            <w:r w:rsidRPr="00243122">
              <w:rPr>
                <w:b/>
                <w:noProof/>
              </w:rPr>
              <w:t>0%</w:t>
            </w:r>
          </w:p>
        </w:tc>
        <w:tc>
          <w:tcPr>
            <w:tcW w:w="1491" w:type="dxa"/>
          </w:tcPr>
          <w:p w14:paraId="291253A1" w14:textId="77777777" w:rsidR="00592734" w:rsidRPr="00884C9A" w:rsidRDefault="00592734" w:rsidP="00BB20EB">
            <w:pPr>
              <w:jc w:val="center"/>
              <w:rPr>
                <w:noProof/>
              </w:rPr>
            </w:pPr>
            <w:r>
              <w:rPr>
                <w:noProof/>
              </w:rPr>
              <w:t>50</w:t>
            </w:r>
          </w:p>
        </w:tc>
        <w:tc>
          <w:tcPr>
            <w:tcW w:w="1530" w:type="dxa"/>
          </w:tcPr>
          <w:p w14:paraId="3F1F00E2" w14:textId="77777777" w:rsidR="00592734" w:rsidRPr="00884C9A" w:rsidRDefault="00592734" w:rsidP="00BB20EB">
            <w:pPr>
              <w:jc w:val="center"/>
              <w:rPr>
                <w:noProof/>
              </w:rPr>
            </w:pPr>
            <w:r>
              <w:rPr>
                <w:noProof/>
              </w:rPr>
              <w:t>0 actions out of 50</w:t>
            </w:r>
          </w:p>
        </w:tc>
        <w:tc>
          <w:tcPr>
            <w:tcW w:w="1537" w:type="dxa"/>
          </w:tcPr>
          <w:p w14:paraId="2371BD30" w14:textId="77777777" w:rsidR="00592734" w:rsidRPr="00884C9A" w:rsidRDefault="00592734" w:rsidP="00BB20EB">
            <w:pPr>
              <w:jc w:val="center"/>
              <w:rPr>
                <w:noProof/>
              </w:rPr>
            </w:pPr>
            <w:r>
              <w:rPr>
                <w:noProof/>
              </w:rPr>
              <w:t>On track</w:t>
            </w:r>
          </w:p>
        </w:tc>
      </w:tr>
    </w:tbl>
    <w:p w14:paraId="37FADA72" w14:textId="77777777" w:rsidR="00592734" w:rsidRPr="00291B98" w:rsidRDefault="00592734" w:rsidP="00592734">
      <w:pPr>
        <w:pStyle w:val="FootnoteText"/>
        <w:spacing w:before="120"/>
        <w:rPr>
          <w:noProof/>
        </w:rPr>
      </w:pPr>
      <w:r>
        <w:rPr>
          <w:noProof/>
        </w:rPr>
        <w:t xml:space="preserve">(*) </w:t>
      </w:r>
      <w:r w:rsidRPr="006F165E">
        <w:rPr>
          <w:noProof/>
        </w:rPr>
        <w:t>% of target achieved by the end of 2021</w:t>
      </w:r>
      <w:r>
        <w:rPr>
          <w:noProof/>
        </w:rPr>
        <w:t>.</w:t>
      </w:r>
    </w:p>
    <w:p w14:paraId="2D9B0981" w14:textId="77777777" w:rsidR="00592734" w:rsidRPr="00D220F2" w:rsidRDefault="00592734" w:rsidP="00592734">
      <w:pPr>
        <w:pStyle w:val="ppoListHyphened-L1"/>
        <w:rPr>
          <w:noProof/>
        </w:rPr>
      </w:pPr>
      <w:r>
        <w:rPr>
          <w:noProof/>
        </w:rPr>
        <w:t>The CEF 2021-2027 legal basis was adopted on 7</w:t>
      </w:r>
      <w:r>
        <w:rPr>
          <w:rFonts w:ascii="Calibri" w:hAnsi="Calibri" w:cs="Calibri"/>
          <w:noProof/>
        </w:rPr>
        <w:t> </w:t>
      </w:r>
      <w:r>
        <w:rPr>
          <w:noProof/>
        </w:rPr>
        <w:t xml:space="preserve">July 2021, later than expected. Despite the </w:t>
      </w:r>
      <w:r w:rsidRPr="00D220F2">
        <w:rPr>
          <w:noProof/>
        </w:rPr>
        <w:t>preparatory work initiated by the CEF</w:t>
      </w:r>
      <w:r>
        <w:rPr>
          <w:noProof/>
        </w:rPr>
        <w:t>’s</w:t>
      </w:r>
      <w:r w:rsidRPr="00D220F2">
        <w:rPr>
          <w:noProof/>
        </w:rPr>
        <w:t xml:space="preserve"> parent DGs, the first </w:t>
      </w:r>
      <w:r>
        <w:rPr>
          <w:noProof/>
        </w:rPr>
        <w:t>m</w:t>
      </w:r>
      <w:r w:rsidRPr="00D220F2">
        <w:rPr>
          <w:noProof/>
        </w:rPr>
        <w:t>ulti</w:t>
      </w:r>
      <w:r>
        <w:rPr>
          <w:noProof/>
        </w:rPr>
        <w:t>a</w:t>
      </w:r>
      <w:r w:rsidRPr="00D220F2">
        <w:rPr>
          <w:noProof/>
        </w:rPr>
        <w:t xml:space="preserve">nnual </w:t>
      </w:r>
      <w:r>
        <w:rPr>
          <w:noProof/>
        </w:rPr>
        <w:t>w</w:t>
      </w:r>
      <w:r w:rsidRPr="00D220F2">
        <w:rPr>
          <w:noProof/>
        </w:rPr>
        <w:t xml:space="preserve">ork </w:t>
      </w:r>
      <w:r>
        <w:rPr>
          <w:noProof/>
        </w:rPr>
        <w:t>p</w:t>
      </w:r>
      <w:r w:rsidRPr="00D220F2">
        <w:rPr>
          <w:noProof/>
        </w:rPr>
        <w:t xml:space="preserve">rogrammes could </w:t>
      </w:r>
      <w:r>
        <w:rPr>
          <w:noProof/>
        </w:rPr>
        <w:t xml:space="preserve">only </w:t>
      </w:r>
      <w:r w:rsidRPr="00D220F2">
        <w:rPr>
          <w:noProof/>
        </w:rPr>
        <w:t>be adopted in August 2021</w:t>
      </w:r>
      <w:r>
        <w:rPr>
          <w:noProof/>
        </w:rPr>
        <w:t>,</w:t>
      </w:r>
      <w:r w:rsidRPr="00D220F2">
        <w:rPr>
          <w:noProof/>
        </w:rPr>
        <w:t xml:space="preserve"> and the 2021 call for proposal</w:t>
      </w:r>
      <w:r>
        <w:rPr>
          <w:noProof/>
        </w:rPr>
        <w:t>s</w:t>
      </w:r>
      <w:r w:rsidRPr="00D220F2">
        <w:rPr>
          <w:noProof/>
        </w:rPr>
        <w:t xml:space="preserve"> (for the transport and energy sectors)</w:t>
      </w:r>
      <w:r>
        <w:rPr>
          <w:noProof/>
        </w:rPr>
        <w:t xml:space="preserve"> was only </w:t>
      </w:r>
      <w:r w:rsidRPr="00D220F2">
        <w:rPr>
          <w:noProof/>
        </w:rPr>
        <w:t>launched in September 2021.</w:t>
      </w:r>
    </w:p>
    <w:p w14:paraId="2FC85548" w14:textId="77777777" w:rsidR="00592734" w:rsidRPr="00040D99" w:rsidRDefault="00592734" w:rsidP="00592734">
      <w:pPr>
        <w:pStyle w:val="ppoListHyphened-L1"/>
        <w:rPr>
          <w:noProof/>
        </w:rPr>
      </w:pPr>
      <w:r w:rsidRPr="00D220F2">
        <w:rPr>
          <w:noProof/>
        </w:rPr>
        <w:t>Considering the delayed adoption of the CEF 2021-2027 legal basis and the consequent delayed decisions</w:t>
      </w:r>
      <w:r>
        <w:rPr>
          <w:noProof/>
        </w:rPr>
        <w:t xml:space="preserve"> on the respective multiannual work programmes and first calls for proposals, performance</w:t>
      </w:r>
      <w:r>
        <w:rPr>
          <w:noProof/>
        </w:rPr>
        <w:noBreakHyphen/>
        <w:t>related information mostly covers the calls’ setup and, in some cases, some preliminary information about the ongoing evaluation procedures</w:t>
      </w:r>
      <w:r w:rsidRPr="00040D99">
        <w:rPr>
          <w:noProof/>
        </w:rPr>
        <w:t>.</w:t>
      </w:r>
      <w:r>
        <w:rPr>
          <w:noProof/>
        </w:rPr>
        <w:t xml:space="preserve"> First actions will be selected and begin to be implemented in 2022; they will show progress on each indicator fairly quickly.</w:t>
      </w:r>
    </w:p>
    <w:p w14:paraId="4B435998" w14:textId="0BD4D6FA" w:rsidR="00592734" w:rsidRDefault="00592734" w:rsidP="00304A2B">
      <w:pPr>
        <w:pStyle w:val="ppoListHyphened-L1"/>
        <w:numPr>
          <w:ilvl w:val="0"/>
          <w:numId w:val="0"/>
        </w:numPr>
        <w:ind w:left="357"/>
        <w:jc w:val="both"/>
        <w:rPr>
          <w:noProof/>
        </w:rPr>
      </w:pPr>
      <w:r>
        <w:rPr>
          <w:noProof/>
        </w:rPr>
        <w:t>Nevertheless, lessons learned from the previous programming period, for all three strands, regarding efficiency, transparency and effectiveness when implementing the programme, led to (1) an improvement of the predictability of the calls with the inclusion of an indicative timetable of calls and topics over a period of 3</w:t>
      </w:r>
      <w:r w:rsidRPr="00BB20EB">
        <w:rPr>
          <w:rFonts w:ascii="Calibri" w:hAnsi="Calibri" w:cs="Calibri"/>
          <w:noProof/>
        </w:rPr>
        <w:t> </w:t>
      </w:r>
      <w:r>
        <w:rPr>
          <w:noProof/>
        </w:rPr>
        <w:t>years in the first work programmes; (2) a streamlined evaluation procedure with a common interpretation of the award criteria; (3) the use of corporate IT solutions for the management of the entire project life cycle through the newly adopted regulation and through inter-DG initiatives.</w:t>
      </w:r>
    </w:p>
    <w:p w14:paraId="71D0EBCA" w14:textId="77777777" w:rsidR="00592734" w:rsidRPr="00555443" w:rsidRDefault="00592734" w:rsidP="00592734">
      <w:pPr>
        <w:pStyle w:val="ppoListHyphened-L1"/>
        <w:rPr>
          <w:noProof/>
        </w:rPr>
      </w:pPr>
      <w:r w:rsidRPr="00555443">
        <w:rPr>
          <w:noProof/>
        </w:rPr>
        <w:br w:type="page"/>
      </w:r>
    </w:p>
    <w:p w14:paraId="76F2A0D6" w14:textId="77777777" w:rsidR="00592734" w:rsidRPr="00040D99" w:rsidRDefault="00592734" w:rsidP="00592734">
      <w:pPr>
        <w:pStyle w:val="ppoHeading4Orange"/>
        <w:rPr>
          <w:noProof/>
        </w:rPr>
      </w:pPr>
      <w:r w:rsidRPr="00040D99">
        <w:rPr>
          <w:noProof/>
        </w:rPr>
        <w:t>2014-2020</w:t>
      </w:r>
      <w:r>
        <w:rPr>
          <w:noProof/>
        </w:rPr>
        <w:t xml:space="preserve"> MULTIANNUAL FINANCIAL FRAMEWORK</w:t>
      </w:r>
      <w:r>
        <w:rPr>
          <w:rFonts w:ascii="Calibri" w:hAnsi="Calibri" w:cs="Calibri"/>
          <w:noProof/>
        </w:rPr>
        <w:t> </w:t>
      </w:r>
      <w:r w:rsidRPr="00040D99">
        <w:rPr>
          <w:noProof/>
        </w:rPr>
        <w:t xml:space="preserve">– </w:t>
      </w:r>
      <w:r>
        <w:rPr>
          <w:noProof/>
        </w:rPr>
        <w:t>CEF</w:t>
      </w:r>
    </w:p>
    <w:p w14:paraId="551126B4" w14:textId="77777777" w:rsidR="00592734" w:rsidRPr="00D220F2" w:rsidRDefault="00592734" w:rsidP="00592734">
      <w:pPr>
        <w:rPr>
          <w:noProof/>
        </w:rPr>
      </w:pPr>
      <w:r>
        <w:rPr>
          <w:noProof/>
        </w:rPr>
        <w:t>The CEF is a key EU funding instrument to promote jobs, growth and competitiveness through targeted infrastructure investment at the EU level. It supports the development of high-performance, sustainable and efficiently interconnected trans-European networks in the fields of transport, energy and digital services.</w:t>
      </w:r>
    </w:p>
    <w:p w14:paraId="0E06B610" w14:textId="77777777" w:rsidR="00592734" w:rsidRPr="00040D99" w:rsidRDefault="00592734" w:rsidP="00592734">
      <w:pPr>
        <w:pStyle w:val="ppoHeading5"/>
        <w:rPr>
          <w:noProof/>
        </w:rPr>
      </w:pPr>
      <w:r w:rsidRPr="00040D99">
        <w:rPr>
          <w:noProof/>
        </w:rPr>
        <w:t>Budget</w:t>
      </w:r>
    </w:p>
    <w:p w14:paraId="32834227" w14:textId="77777777" w:rsidR="00592734" w:rsidRPr="00040D99" w:rsidRDefault="00592734" w:rsidP="00592734">
      <w:pPr>
        <w:pStyle w:val="ppoTableTabletitle"/>
        <w:rPr>
          <w:noProof/>
        </w:rPr>
      </w:pPr>
      <w:r w:rsidRPr="00040D99">
        <w:rPr>
          <w:noProof/>
        </w:rPr>
        <w:t xml:space="preserve">Cumulative </w:t>
      </w:r>
      <w:r w:rsidRPr="00B3579B">
        <w:rPr>
          <w:noProof/>
        </w:rPr>
        <w:t>implementation r</w:t>
      </w:r>
      <w:r w:rsidRPr="00040D99">
        <w:rPr>
          <w:noProof/>
        </w:rPr>
        <w:t>ate at the end of 2021</w:t>
      </w:r>
      <w:r>
        <w:rPr>
          <w:noProof/>
        </w:rPr>
        <w:t xml:space="preserve"> (million</w:t>
      </w:r>
      <w:r w:rsidRPr="003A5D8B">
        <w:rPr>
          <w:noProof/>
        </w:rPr>
        <w:t xml:space="preserve"> </w:t>
      </w:r>
      <w:r>
        <w:rPr>
          <w:noProof/>
        </w:rPr>
        <w:t>EUR):</w:t>
      </w:r>
    </w:p>
    <w:tbl>
      <w:tblPr>
        <w:tblStyle w:val="PPO2021"/>
        <w:tblW w:w="9639" w:type="dxa"/>
        <w:tblInd w:w="0" w:type="dxa"/>
        <w:tblLook w:val="06A0" w:firstRow="1" w:lastRow="0" w:firstColumn="1" w:lastColumn="0" w:noHBand="1" w:noVBand="1"/>
      </w:tblPr>
      <w:tblGrid>
        <w:gridCol w:w="2409"/>
        <w:gridCol w:w="2410"/>
        <w:gridCol w:w="2410"/>
        <w:gridCol w:w="2410"/>
      </w:tblGrid>
      <w:tr w:rsidR="00592734" w:rsidRPr="00040D99" w14:paraId="3A3535BA" w14:textId="77777777" w:rsidTr="00BB2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8DB0CD" w14:textId="77777777" w:rsidR="00592734" w:rsidRPr="00724FDD" w:rsidRDefault="00592734" w:rsidP="00BB20EB">
            <w:pPr>
              <w:rPr>
                <w:noProof/>
              </w:rPr>
            </w:pPr>
          </w:p>
        </w:tc>
        <w:tc>
          <w:tcPr>
            <w:tcW w:w="2410" w:type="dxa"/>
          </w:tcPr>
          <w:p w14:paraId="06C49220" w14:textId="77777777" w:rsidR="00592734" w:rsidRPr="00724FDD" w:rsidRDefault="00592734" w:rsidP="00BB20EB">
            <w:pPr>
              <w:cnfStyle w:val="100000000000" w:firstRow="1" w:lastRow="0" w:firstColumn="0" w:lastColumn="0" w:oddVBand="0" w:evenVBand="0" w:oddHBand="0" w:evenHBand="0" w:firstRowFirstColumn="0" w:firstRowLastColumn="0" w:lastRowFirstColumn="0" w:lastRowLastColumn="0"/>
              <w:rPr>
                <w:noProof/>
              </w:rPr>
            </w:pPr>
            <w:r w:rsidRPr="00724FDD">
              <w:rPr>
                <w:noProof/>
              </w:rPr>
              <w:t>Implementation</w:t>
            </w:r>
          </w:p>
        </w:tc>
        <w:tc>
          <w:tcPr>
            <w:tcW w:w="2410" w:type="dxa"/>
          </w:tcPr>
          <w:p w14:paraId="3E268D99" w14:textId="7F47E4FF" w:rsidR="00592734" w:rsidRPr="00724FDD" w:rsidRDefault="001F4CBC" w:rsidP="00BB20EB">
            <w:pPr>
              <w:cnfStyle w:val="100000000000" w:firstRow="1" w:lastRow="0" w:firstColumn="0" w:lastColumn="0" w:oddVBand="0" w:evenVBand="0" w:oddHBand="0" w:evenHBand="0" w:firstRowFirstColumn="0" w:firstRowLastColumn="0" w:lastRowFirstColumn="0" w:lastRowLastColumn="0"/>
              <w:rPr>
                <w:noProof/>
              </w:rPr>
            </w:pPr>
            <w:r>
              <w:rPr>
                <w:noProof/>
              </w:rPr>
              <w:t xml:space="preserve">2014-2020 </w:t>
            </w:r>
            <w:r w:rsidRPr="00885241">
              <w:rPr>
                <w:noProof/>
              </w:rPr>
              <w:t>Budget</w:t>
            </w:r>
          </w:p>
        </w:tc>
        <w:tc>
          <w:tcPr>
            <w:tcW w:w="2410" w:type="dxa"/>
          </w:tcPr>
          <w:p w14:paraId="6812F45B" w14:textId="77777777" w:rsidR="00592734" w:rsidRPr="00724FDD" w:rsidRDefault="00592734" w:rsidP="00BB20EB">
            <w:pPr>
              <w:cnfStyle w:val="100000000000" w:firstRow="1" w:lastRow="0" w:firstColumn="0" w:lastColumn="0" w:oddVBand="0" w:evenVBand="0" w:oddHBand="0" w:evenHBand="0" w:firstRowFirstColumn="0" w:firstRowLastColumn="0" w:lastRowFirstColumn="0" w:lastRowLastColumn="0"/>
              <w:rPr>
                <w:noProof/>
              </w:rPr>
            </w:pPr>
            <w:r w:rsidRPr="00724FDD">
              <w:rPr>
                <w:noProof/>
              </w:rPr>
              <w:t>Implementation rate</w:t>
            </w:r>
          </w:p>
        </w:tc>
      </w:tr>
      <w:tr w:rsidR="00592734" w:rsidRPr="00040D99" w14:paraId="6027D4F2" w14:textId="77777777" w:rsidTr="00BB20EB">
        <w:tc>
          <w:tcPr>
            <w:cnfStyle w:val="001000000000" w:firstRow="0" w:lastRow="0" w:firstColumn="1" w:lastColumn="0" w:oddVBand="0" w:evenVBand="0" w:oddHBand="0" w:evenHBand="0" w:firstRowFirstColumn="0" w:firstRowLastColumn="0" w:lastRowFirstColumn="0" w:lastRowLastColumn="0"/>
            <w:tcW w:w="0" w:type="auto"/>
          </w:tcPr>
          <w:p w14:paraId="265B0547" w14:textId="77777777" w:rsidR="00592734" w:rsidRPr="00724FDD" w:rsidRDefault="00592734" w:rsidP="00BB20EB">
            <w:pPr>
              <w:jc w:val="center"/>
              <w:rPr>
                <w:noProof/>
              </w:rPr>
            </w:pPr>
            <w:r w:rsidRPr="00724FDD">
              <w:rPr>
                <w:noProof/>
              </w:rPr>
              <w:t>Commitment</w:t>
            </w:r>
            <w:r>
              <w:rPr>
                <w:noProof/>
              </w:rPr>
              <w:t>s</w:t>
            </w:r>
          </w:p>
        </w:tc>
        <w:tc>
          <w:tcPr>
            <w:tcW w:w="2410" w:type="dxa"/>
          </w:tcPr>
          <w:tbl>
            <w:tblPr>
              <w:tblStyle w:val="TableGrid"/>
              <w:tblW w:w="0" w:type="auto"/>
              <w:tblLook w:val="06A0" w:firstRow="1" w:lastRow="0" w:firstColumn="1" w:lastColumn="0" w:noHBand="1" w:noVBand="1"/>
            </w:tblPr>
            <w:tblGrid>
              <w:gridCol w:w="2194"/>
            </w:tblGrid>
            <w:tr w:rsidR="00592734" w14:paraId="755BA875" w14:textId="77777777" w:rsidTr="00BB20EB">
              <w:trPr>
                <w:trHeight w:val="285"/>
              </w:trPr>
              <w:tc>
                <w:tcPr>
                  <w:tcW w:w="2290" w:type="dxa"/>
                  <w:tcBorders>
                    <w:top w:val="nil"/>
                    <w:left w:val="nil"/>
                    <w:bottom w:val="nil"/>
                    <w:right w:val="nil"/>
                  </w:tcBorders>
                  <w:vAlign w:val="bottom"/>
                </w:tcPr>
                <w:p w14:paraId="0CE62D11" w14:textId="77777777" w:rsidR="00592734" w:rsidRDefault="00592734" w:rsidP="00BB20EB">
                  <w:pPr>
                    <w:jc w:val="right"/>
                    <w:rPr>
                      <w:noProof/>
                    </w:rPr>
                  </w:pPr>
                  <w:r w:rsidRPr="0212A971">
                    <w:rPr>
                      <w:rFonts w:ascii="Calibri" w:hAnsi="Calibri" w:cs="Calibri"/>
                      <w:noProof/>
                      <w:color w:val="000000"/>
                    </w:rPr>
                    <w:t>29</w:t>
                  </w:r>
                  <w:r>
                    <w:rPr>
                      <w:rFonts w:ascii="Calibri" w:hAnsi="Calibri" w:cs="Calibri"/>
                      <w:noProof/>
                      <w:color w:val="000000"/>
                    </w:rPr>
                    <w:t> </w:t>
                  </w:r>
                  <w:r w:rsidRPr="0212A971">
                    <w:rPr>
                      <w:rFonts w:ascii="Calibri" w:hAnsi="Calibri" w:cs="Calibri"/>
                      <w:noProof/>
                      <w:color w:val="000000"/>
                    </w:rPr>
                    <w:t>860</w:t>
                  </w:r>
                  <w:r>
                    <w:rPr>
                      <w:rFonts w:ascii="Calibri" w:hAnsi="Calibri" w:cs="Calibri"/>
                      <w:noProof/>
                      <w:color w:val="000000"/>
                    </w:rPr>
                    <w:t>.5</w:t>
                  </w:r>
                </w:p>
              </w:tc>
            </w:tr>
          </w:tbl>
          <w:p w14:paraId="585A950D" w14:textId="77777777" w:rsidR="00592734" w:rsidRPr="00724FDD" w:rsidRDefault="00592734"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592734" w14:paraId="0DC7A985" w14:textId="77777777" w:rsidTr="00BB20EB">
              <w:trPr>
                <w:trHeight w:val="285"/>
              </w:trPr>
              <w:tc>
                <w:tcPr>
                  <w:tcW w:w="2290" w:type="dxa"/>
                  <w:tcBorders>
                    <w:top w:val="nil"/>
                    <w:left w:val="nil"/>
                    <w:bottom w:val="nil"/>
                    <w:right w:val="nil"/>
                  </w:tcBorders>
                  <w:vAlign w:val="bottom"/>
                </w:tcPr>
                <w:p w14:paraId="2614FA00" w14:textId="77777777" w:rsidR="00592734" w:rsidRDefault="00592734" w:rsidP="00BB20EB">
                  <w:pPr>
                    <w:jc w:val="right"/>
                    <w:rPr>
                      <w:noProof/>
                    </w:rPr>
                  </w:pPr>
                  <w:r w:rsidRPr="0212A971">
                    <w:rPr>
                      <w:rFonts w:ascii="Calibri" w:hAnsi="Calibri" w:cs="Calibri"/>
                      <w:noProof/>
                      <w:color w:val="000000"/>
                    </w:rPr>
                    <w:t>29</w:t>
                  </w:r>
                  <w:r>
                    <w:rPr>
                      <w:rFonts w:ascii="Calibri" w:hAnsi="Calibri" w:cs="Calibri"/>
                      <w:noProof/>
                      <w:color w:val="000000"/>
                    </w:rPr>
                    <w:t> </w:t>
                  </w:r>
                  <w:r w:rsidRPr="0212A971">
                    <w:rPr>
                      <w:rFonts w:ascii="Calibri" w:hAnsi="Calibri" w:cs="Calibri"/>
                      <w:noProof/>
                      <w:color w:val="000000"/>
                    </w:rPr>
                    <w:t>875</w:t>
                  </w:r>
                  <w:r>
                    <w:rPr>
                      <w:rFonts w:ascii="Calibri" w:hAnsi="Calibri" w:cs="Calibri"/>
                      <w:noProof/>
                      <w:color w:val="000000"/>
                    </w:rPr>
                    <w:t>.9</w:t>
                  </w:r>
                </w:p>
              </w:tc>
            </w:tr>
          </w:tbl>
          <w:p w14:paraId="3FBF0CC9" w14:textId="77777777" w:rsidR="00592734" w:rsidRPr="00724FDD" w:rsidRDefault="00592734"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592734" w14:paraId="694AD883" w14:textId="77777777" w:rsidTr="00BB20EB">
              <w:trPr>
                <w:trHeight w:val="285"/>
              </w:trPr>
              <w:tc>
                <w:tcPr>
                  <w:tcW w:w="2290" w:type="dxa"/>
                  <w:tcBorders>
                    <w:top w:val="nil"/>
                    <w:left w:val="nil"/>
                    <w:bottom w:val="nil"/>
                    <w:right w:val="nil"/>
                  </w:tcBorders>
                  <w:vAlign w:val="bottom"/>
                </w:tcPr>
                <w:p w14:paraId="1F5A6113" w14:textId="77777777" w:rsidR="00592734" w:rsidRDefault="00592734" w:rsidP="00BB20EB">
                  <w:pPr>
                    <w:jc w:val="right"/>
                    <w:rPr>
                      <w:noProof/>
                    </w:rPr>
                  </w:pPr>
                  <w:r>
                    <w:rPr>
                      <w:rFonts w:ascii="Calibri" w:hAnsi="Calibri" w:cs="Calibri"/>
                      <w:noProof/>
                      <w:color w:val="000000"/>
                    </w:rPr>
                    <w:t>100</w:t>
                  </w:r>
                  <w:r w:rsidRPr="0212A971">
                    <w:rPr>
                      <w:rFonts w:ascii="Calibri" w:hAnsi="Calibri" w:cs="Calibri"/>
                      <w:noProof/>
                      <w:color w:val="000000"/>
                    </w:rPr>
                    <w:t>%</w:t>
                  </w:r>
                </w:p>
              </w:tc>
            </w:tr>
          </w:tbl>
          <w:p w14:paraId="776105C9" w14:textId="77777777" w:rsidR="00592734" w:rsidRPr="00724FDD" w:rsidRDefault="00592734" w:rsidP="00BB20EB">
            <w:pPr>
              <w:jc w:val="center"/>
              <w:cnfStyle w:val="000000000000" w:firstRow="0" w:lastRow="0" w:firstColumn="0" w:lastColumn="0" w:oddVBand="0" w:evenVBand="0" w:oddHBand="0" w:evenHBand="0" w:firstRowFirstColumn="0" w:firstRowLastColumn="0" w:lastRowFirstColumn="0" w:lastRowLastColumn="0"/>
              <w:rPr>
                <w:noProof/>
              </w:rPr>
            </w:pPr>
          </w:p>
        </w:tc>
      </w:tr>
      <w:tr w:rsidR="00592734" w:rsidRPr="00040D99" w14:paraId="18732191" w14:textId="77777777" w:rsidTr="00BB20EB">
        <w:tc>
          <w:tcPr>
            <w:cnfStyle w:val="001000000000" w:firstRow="0" w:lastRow="0" w:firstColumn="1" w:lastColumn="0" w:oddVBand="0" w:evenVBand="0" w:oddHBand="0" w:evenHBand="0" w:firstRowFirstColumn="0" w:firstRowLastColumn="0" w:lastRowFirstColumn="0" w:lastRowLastColumn="0"/>
            <w:tcW w:w="0" w:type="auto"/>
          </w:tcPr>
          <w:p w14:paraId="73213B87" w14:textId="77777777" w:rsidR="00592734" w:rsidRPr="00724FDD" w:rsidRDefault="00592734" w:rsidP="00BB20EB">
            <w:pPr>
              <w:jc w:val="center"/>
              <w:rPr>
                <w:noProof/>
              </w:rPr>
            </w:pPr>
            <w:r w:rsidRPr="00724FDD">
              <w:rPr>
                <w:noProof/>
              </w:rPr>
              <w:t>Payments</w:t>
            </w:r>
          </w:p>
        </w:tc>
        <w:tc>
          <w:tcPr>
            <w:tcW w:w="2410" w:type="dxa"/>
          </w:tcPr>
          <w:tbl>
            <w:tblPr>
              <w:tblStyle w:val="TableGrid"/>
              <w:tblW w:w="0" w:type="auto"/>
              <w:tblLook w:val="06A0" w:firstRow="1" w:lastRow="0" w:firstColumn="1" w:lastColumn="0" w:noHBand="1" w:noVBand="1"/>
            </w:tblPr>
            <w:tblGrid>
              <w:gridCol w:w="2194"/>
            </w:tblGrid>
            <w:tr w:rsidR="00592734" w14:paraId="5360D4F2" w14:textId="77777777" w:rsidTr="00BB20EB">
              <w:trPr>
                <w:trHeight w:val="285"/>
              </w:trPr>
              <w:tc>
                <w:tcPr>
                  <w:tcW w:w="2290" w:type="dxa"/>
                  <w:tcBorders>
                    <w:top w:val="nil"/>
                    <w:left w:val="nil"/>
                    <w:bottom w:val="nil"/>
                    <w:right w:val="nil"/>
                  </w:tcBorders>
                  <w:vAlign w:val="bottom"/>
                </w:tcPr>
                <w:p w14:paraId="5CF58E4C" w14:textId="77777777" w:rsidR="00592734" w:rsidRDefault="00592734" w:rsidP="00BB20EB">
                  <w:pPr>
                    <w:jc w:val="right"/>
                    <w:rPr>
                      <w:noProof/>
                    </w:rPr>
                  </w:pPr>
                  <w:r w:rsidRPr="0212A971">
                    <w:rPr>
                      <w:rFonts w:ascii="Calibri" w:hAnsi="Calibri" w:cs="Calibri"/>
                      <w:noProof/>
                      <w:color w:val="000000"/>
                    </w:rPr>
                    <w:t>15</w:t>
                  </w:r>
                  <w:r>
                    <w:rPr>
                      <w:rFonts w:ascii="Calibri" w:hAnsi="Calibri" w:cs="Calibri"/>
                      <w:noProof/>
                      <w:color w:val="000000"/>
                    </w:rPr>
                    <w:t> </w:t>
                  </w:r>
                  <w:r w:rsidRPr="0212A971">
                    <w:rPr>
                      <w:rFonts w:ascii="Calibri" w:hAnsi="Calibri" w:cs="Calibri"/>
                      <w:noProof/>
                      <w:color w:val="000000"/>
                    </w:rPr>
                    <w:t>225</w:t>
                  </w:r>
                  <w:r>
                    <w:rPr>
                      <w:rFonts w:ascii="Calibri" w:hAnsi="Calibri" w:cs="Calibri"/>
                      <w:noProof/>
                      <w:color w:val="000000"/>
                    </w:rPr>
                    <w:t>.1</w:t>
                  </w:r>
                </w:p>
              </w:tc>
            </w:tr>
          </w:tbl>
          <w:p w14:paraId="44D631DD" w14:textId="77777777" w:rsidR="00592734" w:rsidRPr="00724FDD" w:rsidRDefault="00592734"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6843BEFA" w14:textId="77777777" w:rsidR="00592734" w:rsidRPr="00724FDD" w:rsidRDefault="00592734"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592734" w14:paraId="1BE507F8" w14:textId="77777777" w:rsidTr="00BB20EB">
              <w:trPr>
                <w:trHeight w:val="285"/>
              </w:trPr>
              <w:tc>
                <w:tcPr>
                  <w:tcW w:w="2235" w:type="dxa"/>
                  <w:tcBorders>
                    <w:top w:val="nil"/>
                    <w:left w:val="nil"/>
                    <w:bottom w:val="nil"/>
                    <w:right w:val="nil"/>
                  </w:tcBorders>
                  <w:vAlign w:val="bottom"/>
                </w:tcPr>
                <w:p w14:paraId="0A0278E8" w14:textId="77777777" w:rsidR="00592734" w:rsidRDefault="00592734" w:rsidP="00BB20EB">
                  <w:pPr>
                    <w:jc w:val="right"/>
                    <w:rPr>
                      <w:noProof/>
                    </w:rPr>
                  </w:pPr>
                  <w:r>
                    <w:rPr>
                      <w:rFonts w:ascii="Calibri" w:hAnsi="Calibri" w:cs="Calibri"/>
                      <w:noProof/>
                      <w:color w:val="000000"/>
                    </w:rPr>
                    <w:t>51</w:t>
                  </w:r>
                  <w:r w:rsidRPr="0212A971">
                    <w:rPr>
                      <w:rFonts w:ascii="Calibri" w:hAnsi="Calibri" w:cs="Calibri"/>
                      <w:noProof/>
                      <w:color w:val="000000"/>
                    </w:rPr>
                    <w:t>%</w:t>
                  </w:r>
                </w:p>
              </w:tc>
            </w:tr>
          </w:tbl>
          <w:p w14:paraId="3C6F6499" w14:textId="77777777" w:rsidR="00592734" w:rsidRPr="00724FDD" w:rsidRDefault="00592734" w:rsidP="00BB20EB">
            <w:pPr>
              <w:jc w:val="center"/>
              <w:cnfStyle w:val="000000000000" w:firstRow="0" w:lastRow="0" w:firstColumn="0" w:lastColumn="0" w:oddVBand="0" w:evenVBand="0" w:oddHBand="0" w:evenHBand="0" w:firstRowFirstColumn="0" w:firstRowLastColumn="0" w:lastRowFirstColumn="0" w:lastRowLastColumn="0"/>
              <w:rPr>
                <w:noProof/>
              </w:rPr>
            </w:pPr>
          </w:p>
        </w:tc>
      </w:tr>
    </w:tbl>
    <w:p w14:paraId="13DB854E" w14:textId="77777777" w:rsidR="00592734" w:rsidRDefault="00592734" w:rsidP="00592734">
      <w:pPr>
        <w:pStyle w:val="ppoListHyphened-L1"/>
        <w:spacing w:before="360"/>
        <w:rPr>
          <w:noProof/>
        </w:rPr>
      </w:pPr>
      <w:r w:rsidRPr="005626CE">
        <w:rPr>
          <w:noProof/>
        </w:rPr>
        <w:t xml:space="preserve">The </w:t>
      </w:r>
      <w:r>
        <w:rPr>
          <w:noProof/>
        </w:rPr>
        <w:t xml:space="preserve">overall </w:t>
      </w:r>
      <w:r w:rsidRPr="005626CE">
        <w:rPr>
          <w:noProof/>
        </w:rPr>
        <w:t xml:space="preserve">cumulative implementation rate </w:t>
      </w:r>
      <w:r>
        <w:rPr>
          <w:noProof/>
        </w:rPr>
        <w:t xml:space="preserve">in payment appropriations </w:t>
      </w:r>
      <w:r w:rsidRPr="005626CE">
        <w:rPr>
          <w:noProof/>
        </w:rPr>
        <w:t>(51%) mirrors the specificity of the programme, where investments are mainly channelled to</w:t>
      </w:r>
      <w:r>
        <w:rPr>
          <w:noProof/>
        </w:rPr>
        <w:t>wards</w:t>
      </w:r>
      <w:r w:rsidRPr="005626CE">
        <w:rPr>
          <w:noProof/>
        </w:rPr>
        <w:t xml:space="preserve"> complex infrastructure projects implemented over a considerably long time</w:t>
      </w:r>
      <w:r w:rsidRPr="00546ECA">
        <w:rPr>
          <w:noProof/>
        </w:rPr>
        <w:t>.</w:t>
      </w:r>
    </w:p>
    <w:p w14:paraId="6795BBB4" w14:textId="77777777" w:rsidR="00592734" w:rsidRPr="00546ECA" w:rsidRDefault="00592734" w:rsidP="00592734">
      <w:pPr>
        <w:pStyle w:val="ppoTableTabletitle"/>
        <w:rPr>
          <w:noProof/>
        </w:rPr>
      </w:pPr>
      <w:r>
        <w:rPr>
          <w:noProof/>
        </w:rPr>
        <w:t>Transport:</w:t>
      </w:r>
    </w:p>
    <w:p w14:paraId="764ED555" w14:textId="77777777" w:rsidR="00592734" w:rsidRDefault="00592734" w:rsidP="00592734">
      <w:pPr>
        <w:pStyle w:val="ppoListHyphened-L1"/>
        <w:rPr>
          <w:noProof/>
        </w:rPr>
      </w:pPr>
      <w:r>
        <w:rPr>
          <w:noProof/>
        </w:rPr>
        <w:t>Regarding the transport sector, the overall reported financial progress by the end of 2021 is around 52% (compared to the expected 59% as specified in the latest grant agreements in force) and is the result of delays experienced during the projects’ implementation. Under the three specific objectives supported through the transport strand, the following issues were identified: public procurement issues, legal and environmental issues, technical and technological issues, project coordination issues and interdependency with other CEF or EU-funded projects. Furthermore, based on exchanges with the project promoters in 2021, COVID</w:t>
      </w:r>
      <w:r>
        <w:rPr>
          <w:noProof/>
        </w:rPr>
        <w:noBreakHyphen/>
        <w:t>19 has further affected the implementation of some CEF-supported actions.</w:t>
      </w:r>
    </w:p>
    <w:p w14:paraId="495B2221" w14:textId="77777777" w:rsidR="00592734" w:rsidRPr="00546ECA" w:rsidRDefault="00592734" w:rsidP="00592734">
      <w:pPr>
        <w:pStyle w:val="ppoListHyphened-L1"/>
        <w:rPr>
          <w:noProof/>
        </w:rPr>
      </w:pPr>
      <w:r>
        <w:rPr>
          <w:noProof/>
        </w:rPr>
        <w:t>In addition, the related actions are usually characterised by long implementation periods, as they mostly refer to works for large and technically complex transport infrastructure projects. In this framework, and to reduce risks, payments are disbursed during the entire project life cycle and only upon acceptance of eligible costs incurred by the beneficiaries during the project’s reporting period.</w:t>
      </w:r>
    </w:p>
    <w:p w14:paraId="48391664" w14:textId="77777777" w:rsidR="00592734" w:rsidRDefault="00592734" w:rsidP="00592734">
      <w:pPr>
        <w:pStyle w:val="ppoListHyphened-L1"/>
        <w:rPr>
          <w:noProof/>
        </w:rPr>
      </w:pPr>
      <w:r>
        <w:rPr>
          <w:noProof/>
        </w:rPr>
        <w:t xml:space="preserve">In order to mitigate the impact of these issues, the Commission, in strong cooperation with </w:t>
      </w:r>
      <w:r w:rsidRPr="005626CE">
        <w:rPr>
          <w:noProof/>
        </w:rPr>
        <w:t>the European Climate, Infrastructure and Environment Executive Agency</w:t>
      </w:r>
      <w:r>
        <w:rPr>
          <w:noProof/>
        </w:rPr>
        <w:t>, has taken a series of measures. These include a close monitoring of CEF actions, providing for an optimal use of EU-funding. In particular, the agreement reached with beneficiaries for the inclusion of specific monitoring milestones for the grant agreements that still include tasks within the critical path of the project has allowed to re-allocate unused funds to other mature projects as a result of the last CEF Transport call for proposals in 2021.</w:t>
      </w:r>
    </w:p>
    <w:p w14:paraId="511CE254" w14:textId="77777777" w:rsidR="00592734" w:rsidRPr="00546ECA" w:rsidRDefault="00592734" w:rsidP="00592734">
      <w:pPr>
        <w:pStyle w:val="ppoListHyphened-L1"/>
        <w:rPr>
          <w:noProof/>
        </w:rPr>
      </w:pPr>
      <w:r>
        <w:rPr>
          <w:noProof/>
        </w:rPr>
        <w:t xml:space="preserve">Furthermore, the </w:t>
      </w:r>
      <w:r w:rsidRPr="005626CE">
        <w:rPr>
          <w:noProof/>
        </w:rPr>
        <w:t>European Climate, Infrastructure and Environment Executive Agency</w:t>
      </w:r>
      <w:r>
        <w:rPr>
          <w:noProof/>
        </w:rPr>
        <w:t xml:space="preserve"> continues to implement its monitoring tools through the assessment of reports, site visits and follow-up meetings with CEF beneficiaries, ensuring a thorough assessment and identifying the actions for which amendments are needed</w:t>
      </w:r>
      <w:r w:rsidRPr="00546ECA">
        <w:rPr>
          <w:noProof/>
        </w:rPr>
        <w:t>.</w:t>
      </w:r>
    </w:p>
    <w:p w14:paraId="5C238ED9" w14:textId="77777777" w:rsidR="00592734" w:rsidRDefault="00592734" w:rsidP="00592734">
      <w:pPr>
        <w:pStyle w:val="ppoListHyphened-L1"/>
        <w:rPr>
          <w:noProof/>
        </w:rPr>
      </w:pPr>
      <w:bookmarkStart w:id="64" w:name="_Hlk101448384"/>
      <w:r w:rsidRPr="00752F82">
        <w:rPr>
          <w:noProof/>
        </w:rPr>
        <w:t xml:space="preserve">Regarding CEF Financial instruments, in the </w:t>
      </w:r>
      <w:r>
        <w:rPr>
          <w:noProof/>
        </w:rPr>
        <w:t>t</w:t>
      </w:r>
      <w:r w:rsidRPr="00752F82">
        <w:rPr>
          <w:noProof/>
        </w:rPr>
        <w:t>ransport sector, despite the delays in investment decisions due to COVID</w:t>
      </w:r>
      <w:r>
        <w:rPr>
          <w:noProof/>
        </w:rPr>
        <w:noBreakHyphen/>
      </w:r>
      <w:r w:rsidRPr="00752F82">
        <w:rPr>
          <w:noProof/>
        </w:rPr>
        <w:t>19, two new operations were signed</w:t>
      </w:r>
      <w:r>
        <w:rPr>
          <w:noProof/>
        </w:rPr>
        <w:t xml:space="preserve"> in 2021</w:t>
      </w:r>
      <w:r w:rsidRPr="00752F82">
        <w:rPr>
          <w:noProof/>
        </w:rPr>
        <w:t xml:space="preserve">, leveraging total investments of </w:t>
      </w:r>
      <w:r>
        <w:rPr>
          <w:noProof/>
        </w:rPr>
        <w:t xml:space="preserve">around </w:t>
      </w:r>
      <w:r w:rsidRPr="00752F82">
        <w:rPr>
          <w:noProof/>
        </w:rPr>
        <w:t>EUR</w:t>
      </w:r>
      <w:r>
        <w:rPr>
          <w:rFonts w:ascii="Calibri" w:hAnsi="Calibri" w:cs="Calibri"/>
          <w:noProof/>
        </w:rPr>
        <w:t> </w:t>
      </w:r>
      <w:r w:rsidRPr="00752F82">
        <w:rPr>
          <w:noProof/>
        </w:rPr>
        <w:t xml:space="preserve">670 million. </w:t>
      </w:r>
      <w:bookmarkEnd w:id="64"/>
      <w:r w:rsidRPr="00752F82">
        <w:rPr>
          <w:noProof/>
        </w:rPr>
        <w:t>These operations consist of the deployment of battery trains and the greening of airport infrastructure.</w:t>
      </w:r>
    </w:p>
    <w:p w14:paraId="5B2C0EF8" w14:textId="77777777" w:rsidR="00592734" w:rsidRPr="00752F82" w:rsidRDefault="00592734" w:rsidP="00592734">
      <w:pPr>
        <w:pStyle w:val="ppoTableTabletitle"/>
        <w:rPr>
          <w:noProof/>
        </w:rPr>
      </w:pPr>
      <w:r>
        <w:rPr>
          <w:noProof/>
        </w:rPr>
        <w:t>Energy:</w:t>
      </w:r>
    </w:p>
    <w:p w14:paraId="44472EC3" w14:textId="77777777" w:rsidR="00592734" w:rsidRDefault="00592734" w:rsidP="00592734">
      <w:pPr>
        <w:pStyle w:val="ppoListHyphened-L1"/>
        <w:rPr>
          <w:noProof/>
        </w:rPr>
      </w:pPr>
      <w:r>
        <w:rPr>
          <w:noProof/>
        </w:rPr>
        <w:t>The implementation rate of 34% for CEF Energy is lower compared to the overall CEF implementation. This is due to several large multiannual actions with long lead times due to their very complex nature and delays linked notably to the need to secure sufficient co-funding (national or other sources), public procurement issues (e.g. complaints/appeals during tender procedures) and legal and environmental issues (e.g. permitting, spatial planning, other authorisations and land acquisition). The COVID</w:t>
      </w:r>
      <w:r>
        <w:rPr>
          <w:noProof/>
        </w:rPr>
        <w:noBreakHyphen/>
        <w:t>19 sanitary crisis has also led to additional delays for some actions, for example the need to reschedule public consultations resulting in permitting procedures that are longer than expected. Some of these projects may only be completed by 2025.</w:t>
      </w:r>
    </w:p>
    <w:p w14:paraId="79D9D38A" w14:textId="77777777" w:rsidR="00592734" w:rsidRPr="00546ECA" w:rsidRDefault="00592734" w:rsidP="00592734">
      <w:pPr>
        <w:pStyle w:val="ppoListHyphened-L1"/>
        <w:rPr>
          <w:noProof/>
        </w:rPr>
      </w:pPr>
      <w:r>
        <w:rPr>
          <w:noProof/>
        </w:rPr>
        <w:t>The total payments consist of around 76% of interim and final payments, and 24% of first and further pre-financings.</w:t>
      </w:r>
    </w:p>
    <w:p w14:paraId="34955A22" w14:textId="77777777" w:rsidR="00592734" w:rsidRDefault="00592734" w:rsidP="00592734">
      <w:pPr>
        <w:pStyle w:val="ppoListHyphened-L1"/>
        <w:rPr>
          <w:noProof/>
        </w:rPr>
      </w:pPr>
      <w:r>
        <w:rPr>
          <w:noProof/>
        </w:rPr>
        <w:t>The</w:t>
      </w:r>
      <w:r w:rsidRPr="000447DE">
        <w:rPr>
          <w:noProof/>
        </w:rPr>
        <w:t xml:space="preserve"> Commission </w:t>
      </w:r>
      <w:r>
        <w:rPr>
          <w:noProof/>
        </w:rPr>
        <w:t xml:space="preserve">can closely </w:t>
      </w:r>
      <w:r w:rsidRPr="000447DE">
        <w:rPr>
          <w:noProof/>
        </w:rPr>
        <w:t xml:space="preserve">monitor the </w:t>
      </w:r>
      <w:r>
        <w:rPr>
          <w:noProof/>
        </w:rPr>
        <w:t>progress of the projects of common interest</w:t>
      </w:r>
      <w:r w:rsidRPr="000447DE">
        <w:rPr>
          <w:noProof/>
        </w:rPr>
        <w:t xml:space="preserve"> and the implementation of the </w:t>
      </w:r>
      <w:r>
        <w:rPr>
          <w:noProof/>
        </w:rPr>
        <w:t>projects of common interest, first through a</w:t>
      </w:r>
      <w:r w:rsidRPr="000447DE">
        <w:rPr>
          <w:noProof/>
        </w:rPr>
        <w:t xml:space="preserve"> provision in the grant agreements </w:t>
      </w:r>
      <w:r>
        <w:rPr>
          <w:noProof/>
        </w:rPr>
        <w:t xml:space="preserve">that </w:t>
      </w:r>
      <w:r w:rsidRPr="000447DE">
        <w:rPr>
          <w:noProof/>
        </w:rPr>
        <w:t xml:space="preserve">requires project promoters to regularly submit an </w:t>
      </w:r>
      <w:r>
        <w:rPr>
          <w:noProof/>
        </w:rPr>
        <w:t>a</w:t>
      </w:r>
      <w:r w:rsidRPr="000447DE">
        <w:rPr>
          <w:noProof/>
        </w:rPr>
        <w:t xml:space="preserve">ction </w:t>
      </w:r>
      <w:r>
        <w:rPr>
          <w:noProof/>
        </w:rPr>
        <w:t>s</w:t>
      </w:r>
      <w:r w:rsidRPr="000447DE">
        <w:rPr>
          <w:noProof/>
        </w:rPr>
        <w:t xml:space="preserve">tatus </w:t>
      </w:r>
      <w:r>
        <w:rPr>
          <w:noProof/>
        </w:rPr>
        <w:t>r</w:t>
      </w:r>
      <w:r w:rsidRPr="000447DE">
        <w:rPr>
          <w:noProof/>
        </w:rPr>
        <w:t xml:space="preserve">eport to </w:t>
      </w:r>
      <w:r>
        <w:rPr>
          <w:noProof/>
        </w:rPr>
        <w:t>the European Climate, Infrastructure and Environment Executive Agency</w:t>
      </w:r>
      <w:r w:rsidRPr="000447DE">
        <w:rPr>
          <w:noProof/>
        </w:rPr>
        <w:t xml:space="preserve">. </w:t>
      </w:r>
      <w:r>
        <w:rPr>
          <w:noProof/>
        </w:rPr>
        <w:t>These action status reports</w:t>
      </w:r>
      <w:r w:rsidRPr="000447DE">
        <w:rPr>
          <w:noProof/>
        </w:rPr>
        <w:t xml:space="preserve"> provide an overview o</w:t>
      </w:r>
      <w:r>
        <w:rPr>
          <w:noProof/>
        </w:rPr>
        <w:t>f</w:t>
      </w:r>
      <w:r w:rsidRPr="000447DE">
        <w:rPr>
          <w:noProof/>
        </w:rPr>
        <w:t xml:space="preserve"> the technical and financial progress of the </w:t>
      </w:r>
      <w:r>
        <w:rPr>
          <w:noProof/>
        </w:rPr>
        <w:t>a</w:t>
      </w:r>
      <w:r w:rsidRPr="000447DE">
        <w:rPr>
          <w:noProof/>
        </w:rPr>
        <w:t xml:space="preserve">ction. In addition, </w:t>
      </w:r>
      <w:r>
        <w:rPr>
          <w:noProof/>
        </w:rPr>
        <w:t>projects of common interest</w:t>
      </w:r>
      <w:r w:rsidRPr="000447DE">
        <w:rPr>
          <w:noProof/>
        </w:rPr>
        <w:t xml:space="preserve"> are subject to yearly monitoring by national competent authorities and the Agency for the Cooperation of Energy Regulators pursuant to Art</w:t>
      </w:r>
      <w:r>
        <w:rPr>
          <w:noProof/>
        </w:rPr>
        <w:t>icle</w:t>
      </w:r>
      <w:r>
        <w:rPr>
          <w:rFonts w:ascii="Calibri" w:hAnsi="Calibri" w:cs="Calibri"/>
          <w:noProof/>
        </w:rPr>
        <w:t> </w:t>
      </w:r>
      <w:r w:rsidRPr="000447DE">
        <w:rPr>
          <w:noProof/>
        </w:rPr>
        <w:t xml:space="preserve">5 of the </w:t>
      </w:r>
      <w:r>
        <w:rPr>
          <w:noProof/>
        </w:rPr>
        <w:t>trans-European networks for energy</w:t>
      </w:r>
      <w:r w:rsidRPr="000447DE">
        <w:rPr>
          <w:noProof/>
        </w:rPr>
        <w:t xml:space="preserve"> </w:t>
      </w:r>
      <w:r>
        <w:rPr>
          <w:noProof/>
        </w:rPr>
        <w:t>r</w:t>
      </w:r>
      <w:r w:rsidRPr="000447DE">
        <w:rPr>
          <w:noProof/>
        </w:rPr>
        <w:t>egulation.</w:t>
      </w:r>
    </w:p>
    <w:p w14:paraId="60AF8DB6" w14:textId="77777777" w:rsidR="00592734" w:rsidRDefault="00592734" w:rsidP="00592734">
      <w:pPr>
        <w:pStyle w:val="ppoTableTabletitle"/>
        <w:rPr>
          <w:noProof/>
        </w:rPr>
      </w:pPr>
      <w:r>
        <w:rPr>
          <w:noProof/>
        </w:rPr>
        <w:t>Telecom:</w:t>
      </w:r>
    </w:p>
    <w:p w14:paraId="49DC6445" w14:textId="77777777" w:rsidR="00592734" w:rsidRDefault="00592734" w:rsidP="00592734">
      <w:pPr>
        <w:pStyle w:val="ppoListHyphened-L1"/>
        <w:rPr>
          <w:noProof/>
        </w:rPr>
      </w:pPr>
      <w:r>
        <w:rPr>
          <w:noProof/>
        </w:rPr>
        <w:t>Regarding CEF Telecom, the implementation rate of 73% is above the average of the overall CEF implementation.</w:t>
      </w:r>
    </w:p>
    <w:p w14:paraId="26FF8D26" w14:textId="77777777" w:rsidR="00592734" w:rsidRDefault="00592734" w:rsidP="00592734">
      <w:pPr>
        <w:pStyle w:val="ppoListHyphened-L1"/>
        <w:rPr>
          <w:noProof/>
        </w:rPr>
      </w:pPr>
      <w:r>
        <w:rPr>
          <w:noProof/>
        </w:rPr>
        <w:t>Also in 2021, through the CEF debt instrument, the European Investment Bank signed a loan agreement with a project promoter for fibre rollout for a total amount of EUR</w:t>
      </w:r>
      <w:r>
        <w:rPr>
          <w:rFonts w:ascii="Calibri" w:hAnsi="Calibri" w:cs="Calibri"/>
          <w:noProof/>
        </w:rPr>
        <w:t> </w:t>
      </w:r>
      <w:r>
        <w:rPr>
          <w:noProof/>
        </w:rPr>
        <w:t>100</w:t>
      </w:r>
      <w:r>
        <w:rPr>
          <w:rFonts w:ascii="Calibri" w:hAnsi="Calibri" w:cs="Calibri"/>
          <w:noProof/>
        </w:rPr>
        <w:t> </w:t>
      </w:r>
      <w:r>
        <w:rPr>
          <w:noProof/>
        </w:rPr>
        <w:t>million, of which EUR</w:t>
      </w:r>
      <w:r>
        <w:rPr>
          <w:rFonts w:ascii="Calibri" w:hAnsi="Calibri" w:cs="Calibri"/>
          <w:noProof/>
        </w:rPr>
        <w:t> </w:t>
      </w:r>
      <w:r>
        <w:rPr>
          <w:noProof/>
        </w:rPr>
        <w:t>70</w:t>
      </w:r>
      <w:r>
        <w:rPr>
          <w:rFonts w:ascii="Calibri" w:hAnsi="Calibri" w:cs="Calibri"/>
          <w:noProof/>
        </w:rPr>
        <w:t> </w:t>
      </w:r>
      <w:r>
        <w:rPr>
          <w:noProof/>
        </w:rPr>
        <w:t>million is guaranteed by the Commission. The project costs are estimated at EUR</w:t>
      </w:r>
      <w:r>
        <w:rPr>
          <w:rFonts w:ascii="Calibri" w:hAnsi="Calibri" w:cs="Calibri"/>
          <w:noProof/>
        </w:rPr>
        <w:t> </w:t>
      </w:r>
      <w:r>
        <w:rPr>
          <w:noProof/>
        </w:rPr>
        <w:t>241</w:t>
      </w:r>
      <w:r>
        <w:rPr>
          <w:rFonts w:ascii="Calibri" w:hAnsi="Calibri" w:cs="Calibri"/>
          <w:noProof/>
        </w:rPr>
        <w:t> </w:t>
      </w:r>
      <w:r>
        <w:rPr>
          <w:noProof/>
        </w:rPr>
        <w:t>million and the European Investment Bank has estimated that, upon completion of the project in Slovenia in 2023, an additional 225</w:t>
      </w:r>
      <w:r>
        <w:rPr>
          <w:rFonts w:ascii="Calibri" w:hAnsi="Calibri" w:cs="Calibri"/>
          <w:noProof/>
        </w:rPr>
        <w:t> </w:t>
      </w:r>
      <w:r>
        <w:rPr>
          <w:noProof/>
        </w:rPr>
        <w:t>000 households (about 25% of the country) will have access to very high capacity networks.</w:t>
      </w:r>
    </w:p>
    <w:p w14:paraId="34D6BBBA" w14:textId="17993876" w:rsidR="00592734" w:rsidRDefault="00592734" w:rsidP="00592734">
      <w:pPr>
        <w:pStyle w:val="ppoListHyphened-L1"/>
        <w:rPr>
          <w:noProof/>
        </w:rPr>
      </w:pPr>
      <w:r>
        <w:rPr>
          <w:noProof/>
        </w:rPr>
        <w:t>CEF Telecom also invested in the equity financial instrument Connecting Europe Broadband Fund, together with the European Investment Bank, three national promotional and institutional banks and private investors. In June 2021, the fund has attracted EUR</w:t>
      </w:r>
      <w:r>
        <w:rPr>
          <w:rFonts w:ascii="Calibri" w:hAnsi="Calibri" w:cs="Calibri"/>
          <w:noProof/>
        </w:rPr>
        <w:t> </w:t>
      </w:r>
      <w:r>
        <w:rPr>
          <w:noProof/>
        </w:rPr>
        <w:t>165</w:t>
      </w:r>
      <w:r>
        <w:rPr>
          <w:rFonts w:ascii="Calibri" w:hAnsi="Calibri" w:cs="Calibri"/>
          <w:noProof/>
        </w:rPr>
        <w:t> </w:t>
      </w:r>
      <w:r>
        <w:rPr>
          <w:noProof/>
          <w:lang w:val="en-IE"/>
        </w:rPr>
        <w:t>million</w:t>
      </w:r>
      <w:r>
        <w:rPr>
          <w:noProof/>
        </w:rPr>
        <w:t xml:space="preserve"> private equity investments, for a total fundraising of EUR</w:t>
      </w:r>
      <w:r>
        <w:rPr>
          <w:rFonts w:ascii="Calibri" w:hAnsi="Calibri" w:cs="Calibri"/>
          <w:noProof/>
        </w:rPr>
        <w:t> </w:t>
      </w:r>
      <w:r>
        <w:rPr>
          <w:noProof/>
        </w:rPr>
        <w:t>555</w:t>
      </w:r>
      <w:r>
        <w:rPr>
          <w:rFonts w:ascii="Calibri" w:hAnsi="Calibri" w:cs="Calibri"/>
          <w:noProof/>
        </w:rPr>
        <w:t> </w:t>
      </w:r>
      <w:r w:rsidRPr="00D141A4">
        <w:rPr>
          <w:noProof/>
        </w:rPr>
        <w:t>million</w:t>
      </w:r>
      <w:r>
        <w:rPr>
          <w:noProof/>
        </w:rPr>
        <w:t>, well above the minimum capital of EUR</w:t>
      </w:r>
      <w:r>
        <w:rPr>
          <w:rFonts w:ascii="Calibri" w:hAnsi="Calibri" w:cs="Calibri"/>
          <w:noProof/>
        </w:rPr>
        <w:t> </w:t>
      </w:r>
      <w:r>
        <w:rPr>
          <w:noProof/>
        </w:rPr>
        <w:t>500</w:t>
      </w:r>
      <w:r>
        <w:rPr>
          <w:rFonts w:ascii="Calibri" w:hAnsi="Calibri" w:cs="Calibri"/>
          <w:noProof/>
        </w:rPr>
        <w:t> </w:t>
      </w:r>
      <w:r w:rsidRPr="00D141A4">
        <w:rPr>
          <w:noProof/>
        </w:rPr>
        <w:t>million</w:t>
      </w:r>
      <w:r>
        <w:rPr>
          <w:noProof/>
        </w:rPr>
        <w:t xml:space="preserve"> set at creation time for the fund.</w:t>
      </w:r>
    </w:p>
    <w:p w14:paraId="7E030F62" w14:textId="0DA2A038" w:rsidR="003C2685" w:rsidRPr="00017ED7" w:rsidRDefault="003C2685" w:rsidP="003C2685">
      <w:pPr>
        <w:pStyle w:val="ppoListHyphened-L1"/>
        <w:rPr>
          <w:noProof/>
        </w:rPr>
      </w:pPr>
      <w:r w:rsidRPr="00017ED7">
        <w:rPr>
          <w:noProof/>
        </w:rPr>
        <w:t>From 2014 to 2020, CEF Telecom supported the deployment of an ecosystem of trusted cross-border digital service infrastructures</w:t>
      </w:r>
      <w:r>
        <w:rPr>
          <w:rFonts w:ascii="Calibri" w:hAnsi="Calibri" w:cs="Calibri"/>
          <w:noProof/>
        </w:rPr>
        <w:t xml:space="preserve"> </w:t>
      </w:r>
      <w:r w:rsidRPr="003C2685">
        <w:rPr>
          <w:rFonts w:ascii="Calibri" w:hAnsi="Calibri" w:cs="Calibri"/>
          <w:noProof/>
          <w:lang w:eastAsia="en-GB"/>
        </w:rPr>
        <w:t xml:space="preserve">(*) </w:t>
      </w:r>
      <w:r w:rsidRPr="00017ED7">
        <w:rPr>
          <w:noProof/>
        </w:rPr>
        <w:t>that are essential to triggering the digital transformation of public sector services in the Member States, all for the benefit of citizens and businesses.</w:t>
      </w:r>
    </w:p>
    <w:p w14:paraId="6C17B758" w14:textId="73487142" w:rsidR="003C2685" w:rsidRDefault="003C2685" w:rsidP="003C2685">
      <w:pPr>
        <w:pStyle w:val="ppoListHyphened-L1"/>
        <w:rPr>
          <w:noProof/>
          <w:lang w:eastAsia="en-GB"/>
        </w:rPr>
      </w:pPr>
      <w:r w:rsidRPr="00017ED7">
        <w:rPr>
          <w:noProof/>
          <w:lang w:eastAsia="en-GB"/>
        </w:rPr>
        <w:t>With an overall investment of just under EUR 280 million in the core service platforms, the Commission enabled the EU-wide interoperability of specific digital services such as eHealth, public open data, e identification and cybersecurity. With an EU contribution of almost EUR 365 million in generic services and an overall leveraged amount of more than EUR 528 million, the uptake of these services with CEF support reached a portfolio of 735 projects in the Member States and participating countries in the European Economic Area by the end of 2021. The last grant agreements under CEF Telecom were signed in 2021. Nearly half of the total portfolio of projects are under implementation due to the duration of the actions funded by the programme, which go up to 4 years. CEF digital services support EU citizens, businesses and public administrations in interconnecting and adapting their systems to become interoperable across borders.</w:t>
      </w:r>
    </w:p>
    <w:p w14:paraId="074BE7D0" w14:textId="5A8ED081" w:rsidR="003C2685" w:rsidRPr="00017ED7" w:rsidRDefault="003C2685" w:rsidP="0047174A">
      <w:pPr>
        <w:pStyle w:val="ppoListHyphened-L1"/>
        <w:numPr>
          <w:ilvl w:val="0"/>
          <w:numId w:val="0"/>
        </w:numPr>
        <w:rPr>
          <w:noProof/>
          <w:sz w:val="24"/>
          <w:szCs w:val="24"/>
        </w:rPr>
      </w:pPr>
      <w:r>
        <w:rPr>
          <w:noProof/>
          <w:vertAlign w:val="superscript"/>
        </w:rPr>
        <w:t>(*</w:t>
      </w:r>
      <w:r w:rsidRPr="00017ED7">
        <w:rPr>
          <w:noProof/>
          <w:vertAlign w:val="superscript"/>
        </w:rPr>
        <w:t>) Europeana, e-identification, e-signature, e-delivery, e-invoicing, e-archiving, public open data, automated translation, cybersecurity, eProcurement, business registers interconnection system, eHealth, electronic exchange of social security information, the European e-Justice portal, European digital media observatory, European platform on digital skills and jobs, online dispute resolution, safer internet, EU student e-card and blockchain.</w:t>
      </w:r>
    </w:p>
    <w:p w14:paraId="3D2DEDA9" w14:textId="77777777" w:rsidR="003C2685" w:rsidRPr="00546ECA" w:rsidRDefault="003C2685" w:rsidP="0047174A">
      <w:pPr>
        <w:pStyle w:val="ppoListHyphened-L1"/>
        <w:numPr>
          <w:ilvl w:val="0"/>
          <w:numId w:val="0"/>
        </w:numPr>
        <w:ind w:left="357"/>
        <w:rPr>
          <w:noProof/>
          <w:lang w:eastAsia="en-GB"/>
        </w:rPr>
      </w:pPr>
    </w:p>
    <w:p w14:paraId="2CECAF01" w14:textId="77777777" w:rsidR="00592734" w:rsidRPr="00040D99" w:rsidRDefault="00592734" w:rsidP="00592734">
      <w:pPr>
        <w:pStyle w:val="ppoHeading5"/>
        <w:rPr>
          <w:noProof/>
        </w:rPr>
      </w:pPr>
      <w:r w:rsidRPr="00040D99">
        <w:rPr>
          <w:noProof/>
        </w:rPr>
        <w:t>Performance assessment</w:t>
      </w:r>
    </w:p>
    <w:p w14:paraId="0F028A70" w14:textId="77777777" w:rsidR="00592734" w:rsidRPr="00040D99" w:rsidRDefault="00592734" w:rsidP="00592734">
      <w:pPr>
        <w:pStyle w:val="ppoHeading6"/>
        <w:rPr>
          <w:noProof/>
        </w:rPr>
      </w:pPr>
      <w:r w:rsidRPr="00040D99">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592734" w:rsidRPr="00040D99" w14:paraId="03B594E0" w14:textId="77777777" w:rsidTr="00BB20EB">
        <w:trPr>
          <w:cnfStyle w:val="100000000000" w:firstRow="1" w:lastRow="0" w:firstColumn="0" w:lastColumn="0" w:oddVBand="0" w:evenVBand="0" w:oddHBand="0" w:evenHBand="0" w:firstRowFirstColumn="0" w:firstRowLastColumn="0" w:lastRowFirstColumn="0" w:lastRowLastColumn="0"/>
        </w:trPr>
        <w:tc>
          <w:tcPr>
            <w:tcW w:w="2330" w:type="dxa"/>
          </w:tcPr>
          <w:p w14:paraId="6F85B2B1" w14:textId="77777777" w:rsidR="00592734" w:rsidRPr="00724FDD" w:rsidRDefault="00592734" w:rsidP="00BB20EB">
            <w:pPr>
              <w:rPr>
                <w:noProof/>
              </w:rPr>
            </w:pPr>
          </w:p>
        </w:tc>
        <w:tc>
          <w:tcPr>
            <w:tcW w:w="1100" w:type="dxa"/>
          </w:tcPr>
          <w:p w14:paraId="77251F7E" w14:textId="77777777" w:rsidR="00592734" w:rsidRPr="00724FDD" w:rsidRDefault="00592734" w:rsidP="00BB20EB">
            <w:pPr>
              <w:rPr>
                <w:noProof/>
              </w:rPr>
            </w:pPr>
            <w:r w:rsidRPr="00724FDD">
              <w:rPr>
                <w:noProof/>
              </w:rPr>
              <w:t>Baseline</w:t>
            </w:r>
          </w:p>
        </w:tc>
        <w:tc>
          <w:tcPr>
            <w:tcW w:w="1526" w:type="dxa"/>
          </w:tcPr>
          <w:p w14:paraId="663613E4" w14:textId="77777777" w:rsidR="00592734" w:rsidRPr="00724FDD" w:rsidRDefault="00592734" w:rsidP="00BB20EB">
            <w:pPr>
              <w:rPr>
                <w:noProof/>
              </w:rPr>
            </w:pPr>
            <w:r w:rsidRPr="00724FDD">
              <w:rPr>
                <w:noProof/>
              </w:rPr>
              <w:t>Progress</w:t>
            </w:r>
            <w:r>
              <w:rPr>
                <w:noProof/>
              </w:rPr>
              <w:t xml:space="preserve"> (*)</w:t>
            </w:r>
          </w:p>
        </w:tc>
        <w:tc>
          <w:tcPr>
            <w:tcW w:w="1532" w:type="dxa"/>
          </w:tcPr>
          <w:p w14:paraId="43A5FA0E" w14:textId="77777777" w:rsidR="00592734" w:rsidRPr="00724FDD" w:rsidRDefault="00592734" w:rsidP="00BB20EB">
            <w:pPr>
              <w:rPr>
                <w:noProof/>
              </w:rPr>
            </w:pPr>
            <w:r w:rsidRPr="00724FDD">
              <w:rPr>
                <w:noProof/>
              </w:rPr>
              <w:t>Target</w:t>
            </w:r>
          </w:p>
        </w:tc>
        <w:tc>
          <w:tcPr>
            <w:tcW w:w="1572" w:type="dxa"/>
          </w:tcPr>
          <w:p w14:paraId="5176B7F6" w14:textId="77777777" w:rsidR="00592734" w:rsidRPr="00724FDD" w:rsidRDefault="00592734" w:rsidP="00BB20EB">
            <w:pPr>
              <w:rPr>
                <w:noProof/>
              </w:rPr>
            </w:pPr>
            <w:r w:rsidRPr="00724FDD">
              <w:rPr>
                <w:noProof/>
              </w:rPr>
              <w:t>Results</w:t>
            </w:r>
          </w:p>
        </w:tc>
        <w:tc>
          <w:tcPr>
            <w:tcW w:w="1579" w:type="dxa"/>
          </w:tcPr>
          <w:p w14:paraId="527C4024" w14:textId="77777777" w:rsidR="00592734" w:rsidRPr="00724FDD" w:rsidRDefault="00592734" w:rsidP="00BB20EB">
            <w:pPr>
              <w:rPr>
                <w:noProof/>
              </w:rPr>
            </w:pPr>
            <w:r w:rsidRPr="00724FDD">
              <w:rPr>
                <w:noProof/>
              </w:rPr>
              <w:t>Assessment</w:t>
            </w:r>
          </w:p>
        </w:tc>
      </w:tr>
      <w:tr w:rsidR="00592734" w:rsidRPr="00040D99" w14:paraId="5D4BE0FB" w14:textId="77777777" w:rsidTr="00BB20EB">
        <w:trPr>
          <w:cnfStyle w:val="000000100000" w:firstRow="0" w:lastRow="0" w:firstColumn="0" w:lastColumn="0" w:oddVBand="0" w:evenVBand="0" w:oddHBand="1" w:evenHBand="0" w:firstRowFirstColumn="0" w:firstRowLastColumn="0" w:lastRowFirstColumn="0" w:lastRowLastColumn="0"/>
        </w:trPr>
        <w:tc>
          <w:tcPr>
            <w:tcW w:w="2330" w:type="dxa"/>
          </w:tcPr>
          <w:p w14:paraId="681D0926" w14:textId="77777777" w:rsidR="00592734" w:rsidRPr="00724FDD" w:rsidRDefault="00592734" w:rsidP="00BB20EB">
            <w:pPr>
              <w:rPr>
                <w:noProof/>
              </w:rPr>
            </w:pPr>
            <w:r>
              <w:rPr>
                <w:noProof/>
              </w:rPr>
              <w:t>CEF Transport</w:t>
            </w:r>
            <w:r>
              <w:rPr>
                <w:rFonts w:ascii="Calibri" w:hAnsi="Calibri" w:cs="Calibri"/>
                <w:noProof/>
              </w:rPr>
              <w:t> </w:t>
            </w:r>
            <w:r>
              <w:rPr>
                <w:noProof/>
              </w:rPr>
              <w:t xml:space="preserve">– lines in service equipped with the </w:t>
            </w:r>
            <w:r w:rsidRPr="00145292">
              <w:rPr>
                <w:noProof/>
              </w:rPr>
              <w:t xml:space="preserve">European </w:t>
            </w:r>
            <w:r>
              <w:rPr>
                <w:noProof/>
              </w:rPr>
              <w:t>r</w:t>
            </w:r>
            <w:r w:rsidRPr="00145292">
              <w:rPr>
                <w:noProof/>
              </w:rPr>
              <w:t xml:space="preserve">ailway </w:t>
            </w:r>
            <w:r>
              <w:rPr>
                <w:noProof/>
              </w:rPr>
              <w:t>t</w:t>
            </w:r>
            <w:r w:rsidRPr="00145292">
              <w:rPr>
                <w:noProof/>
              </w:rPr>
              <w:t xml:space="preserve">raffic </w:t>
            </w:r>
            <w:r>
              <w:rPr>
                <w:noProof/>
              </w:rPr>
              <w:t>m</w:t>
            </w:r>
            <w:r w:rsidRPr="00145292">
              <w:rPr>
                <w:noProof/>
              </w:rPr>
              <w:t xml:space="preserve">anagement </w:t>
            </w:r>
            <w:r>
              <w:rPr>
                <w:noProof/>
              </w:rPr>
              <w:t>s</w:t>
            </w:r>
            <w:r w:rsidRPr="00145292">
              <w:rPr>
                <w:noProof/>
              </w:rPr>
              <w:t>ystem</w:t>
            </w:r>
          </w:p>
        </w:tc>
        <w:tc>
          <w:tcPr>
            <w:tcW w:w="1100" w:type="dxa"/>
          </w:tcPr>
          <w:p w14:paraId="3CF4E45A" w14:textId="77777777" w:rsidR="00592734" w:rsidRPr="00724FDD" w:rsidRDefault="00592734" w:rsidP="00BB20EB">
            <w:pPr>
              <w:jc w:val="center"/>
              <w:rPr>
                <w:noProof/>
              </w:rPr>
            </w:pPr>
            <w:r>
              <w:rPr>
                <w:noProof/>
              </w:rPr>
              <w:t>0</w:t>
            </w:r>
          </w:p>
        </w:tc>
        <w:tc>
          <w:tcPr>
            <w:tcW w:w="1526" w:type="dxa"/>
          </w:tcPr>
          <w:p w14:paraId="19E9199A" w14:textId="77777777" w:rsidR="00592734" w:rsidRPr="0065036D" w:rsidRDefault="00592734" w:rsidP="00BB20EB">
            <w:pPr>
              <w:rPr>
                <w:b/>
                <w:bCs/>
                <w:noProof/>
              </w:rPr>
            </w:pPr>
            <w:r w:rsidRPr="00670AE8">
              <w:rPr>
                <w:b/>
                <w:bCs/>
                <w:noProof/>
              </w:rPr>
              <w:t xml:space="preserve">Progress from actual results: 4% </w:t>
            </w:r>
          </w:p>
          <w:p w14:paraId="1E87F8AC" w14:textId="77777777" w:rsidR="00592734" w:rsidRPr="00724FDD" w:rsidRDefault="00592734" w:rsidP="00BB20EB">
            <w:pPr>
              <w:rPr>
                <w:b/>
                <w:noProof/>
              </w:rPr>
            </w:pPr>
            <w:r w:rsidRPr="00670AE8">
              <w:rPr>
                <w:b/>
                <w:bCs/>
                <w:noProof/>
              </w:rPr>
              <w:t>Progress from estimated values: 6%</w:t>
            </w:r>
          </w:p>
        </w:tc>
        <w:tc>
          <w:tcPr>
            <w:tcW w:w="1532" w:type="dxa"/>
          </w:tcPr>
          <w:p w14:paraId="615B9C26" w14:textId="77777777" w:rsidR="00592734" w:rsidRPr="00724FDD" w:rsidRDefault="00592734" w:rsidP="00BB20EB">
            <w:pPr>
              <w:jc w:val="center"/>
              <w:rPr>
                <w:noProof/>
              </w:rPr>
            </w:pPr>
            <w:r>
              <w:rPr>
                <w:noProof/>
              </w:rPr>
              <w:t>5</w:t>
            </w:r>
            <w:r>
              <w:rPr>
                <w:rFonts w:ascii="Calibri" w:hAnsi="Calibri" w:cs="Calibri"/>
                <w:noProof/>
              </w:rPr>
              <w:t> </w:t>
            </w:r>
            <w:r>
              <w:rPr>
                <w:noProof/>
              </w:rPr>
              <w:t>971 in 2024</w:t>
            </w:r>
          </w:p>
        </w:tc>
        <w:tc>
          <w:tcPr>
            <w:tcW w:w="1572" w:type="dxa"/>
          </w:tcPr>
          <w:p w14:paraId="12824A74" w14:textId="77777777" w:rsidR="00592734" w:rsidRPr="00724FDD" w:rsidRDefault="00592734" w:rsidP="00BB20EB">
            <w:pPr>
              <w:jc w:val="center"/>
              <w:rPr>
                <w:noProof/>
              </w:rPr>
            </w:pPr>
            <w:r>
              <w:rPr>
                <w:noProof/>
              </w:rPr>
              <w:t>234</w:t>
            </w:r>
            <w:r>
              <w:rPr>
                <w:rFonts w:ascii="Calibri" w:hAnsi="Calibri" w:cs="Calibri"/>
                <w:noProof/>
              </w:rPr>
              <w:t> </w:t>
            </w:r>
            <w:r>
              <w:rPr>
                <w:noProof/>
              </w:rPr>
              <w:t>km (estimated value: 331</w:t>
            </w:r>
            <w:r>
              <w:rPr>
                <w:rFonts w:ascii="Calibri" w:hAnsi="Calibri" w:cs="Calibri"/>
                <w:noProof/>
              </w:rPr>
              <w:t> </w:t>
            </w:r>
            <w:r>
              <w:rPr>
                <w:noProof/>
              </w:rPr>
              <w:t>km) out of 5</w:t>
            </w:r>
            <w:r>
              <w:rPr>
                <w:rFonts w:ascii="Calibri" w:hAnsi="Calibri" w:cs="Calibri"/>
                <w:noProof/>
              </w:rPr>
              <w:t> </w:t>
            </w:r>
            <w:r>
              <w:rPr>
                <w:noProof/>
              </w:rPr>
              <w:t>861</w:t>
            </w:r>
            <w:r>
              <w:rPr>
                <w:rFonts w:ascii="Calibri" w:hAnsi="Calibri" w:cs="Calibri"/>
                <w:noProof/>
              </w:rPr>
              <w:t> </w:t>
            </w:r>
            <w:r>
              <w:rPr>
                <w:noProof/>
              </w:rPr>
              <w:t>km</w:t>
            </w:r>
          </w:p>
        </w:tc>
        <w:tc>
          <w:tcPr>
            <w:tcW w:w="1579" w:type="dxa"/>
          </w:tcPr>
          <w:p w14:paraId="2B6F0627" w14:textId="77777777" w:rsidR="00592734" w:rsidRPr="00724FDD" w:rsidRDefault="00592734" w:rsidP="00BB20EB">
            <w:pPr>
              <w:jc w:val="center"/>
              <w:rPr>
                <w:noProof/>
              </w:rPr>
            </w:pPr>
            <w:r>
              <w:rPr>
                <w:noProof/>
              </w:rPr>
              <w:t>Moderate progress</w:t>
            </w:r>
          </w:p>
        </w:tc>
      </w:tr>
      <w:tr w:rsidR="00592734" w:rsidRPr="00040D99" w14:paraId="7B2E010D" w14:textId="77777777" w:rsidTr="00BB20EB">
        <w:trPr>
          <w:cnfStyle w:val="000000010000" w:firstRow="0" w:lastRow="0" w:firstColumn="0" w:lastColumn="0" w:oddVBand="0" w:evenVBand="0" w:oddHBand="0" w:evenHBand="1" w:firstRowFirstColumn="0" w:firstRowLastColumn="0" w:lastRowFirstColumn="0" w:lastRowLastColumn="0"/>
        </w:trPr>
        <w:tc>
          <w:tcPr>
            <w:tcW w:w="2330" w:type="dxa"/>
          </w:tcPr>
          <w:p w14:paraId="4302DCB8" w14:textId="77777777" w:rsidR="00592734" w:rsidRPr="00724FDD" w:rsidRDefault="00592734" w:rsidP="00BB20EB">
            <w:pPr>
              <w:rPr>
                <w:noProof/>
              </w:rPr>
            </w:pPr>
            <w:r>
              <w:rPr>
                <w:noProof/>
              </w:rPr>
              <w:t>CEF Transport</w:t>
            </w:r>
            <w:r>
              <w:rPr>
                <w:rFonts w:ascii="Calibri" w:hAnsi="Calibri" w:cs="Calibri"/>
                <w:noProof/>
              </w:rPr>
              <w:t> </w:t>
            </w:r>
            <w:r>
              <w:rPr>
                <w:noProof/>
              </w:rPr>
              <w:t>– number of supply points for alternative fuels</w:t>
            </w:r>
          </w:p>
        </w:tc>
        <w:tc>
          <w:tcPr>
            <w:tcW w:w="1100" w:type="dxa"/>
          </w:tcPr>
          <w:p w14:paraId="5FDA4905" w14:textId="77777777" w:rsidR="00592734" w:rsidRPr="00724FDD" w:rsidRDefault="00592734" w:rsidP="00BB20EB">
            <w:pPr>
              <w:jc w:val="center"/>
              <w:rPr>
                <w:noProof/>
              </w:rPr>
            </w:pPr>
            <w:r>
              <w:rPr>
                <w:noProof/>
              </w:rPr>
              <w:t>0</w:t>
            </w:r>
          </w:p>
        </w:tc>
        <w:tc>
          <w:tcPr>
            <w:tcW w:w="1526" w:type="dxa"/>
          </w:tcPr>
          <w:p w14:paraId="54303E46" w14:textId="77777777" w:rsidR="00592734" w:rsidRPr="0065036D" w:rsidRDefault="00592734" w:rsidP="00BB20EB">
            <w:pPr>
              <w:rPr>
                <w:noProof/>
              </w:rPr>
            </w:pPr>
            <w:r w:rsidRPr="00670AE8">
              <w:rPr>
                <w:b/>
                <w:bCs/>
                <w:noProof/>
              </w:rPr>
              <w:t xml:space="preserve">Progress from actual results: 6% </w:t>
            </w:r>
          </w:p>
          <w:p w14:paraId="59D1EE20" w14:textId="77777777" w:rsidR="00592734" w:rsidRPr="0065036D" w:rsidRDefault="00592734" w:rsidP="00BB20EB">
            <w:pPr>
              <w:rPr>
                <w:noProof/>
              </w:rPr>
            </w:pPr>
            <w:r w:rsidRPr="00670AE8">
              <w:rPr>
                <w:b/>
                <w:bCs/>
                <w:noProof/>
              </w:rPr>
              <w:t>Progress from estimated values: 8%</w:t>
            </w:r>
          </w:p>
        </w:tc>
        <w:tc>
          <w:tcPr>
            <w:tcW w:w="1532" w:type="dxa"/>
          </w:tcPr>
          <w:p w14:paraId="65A934A3" w14:textId="77777777" w:rsidR="00592734" w:rsidRPr="00724FDD" w:rsidRDefault="00592734" w:rsidP="00BB20EB">
            <w:pPr>
              <w:jc w:val="center"/>
              <w:rPr>
                <w:noProof/>
              </w:rPr>
            </w:pPr>
            <w:r>
              <w:rPr>
                <w:noProof/>
              </w:rPr>
              <w:t>20</w:t>
            </w:r>
            <w:r>
              <w:rPr>
                <w:rFonts w:ascii="Calibri" w:hAnsi="Calibri" w:cs="Calibri"/>
                <w:noProof/>
              </w:rPr>
              <w:t> </w:t>
            </w:r>
            <w:r>
              <w:rPr>
                <w:noProof/>
              </w:rPr>
              <w:t>757 in 2024</w:t>
            </w:r>
          </w:p>
        </w:tc>
        <w:tc>
          <w:tcPr>
            <w:tcW w:w="1572" w:type="dxa"/>
          </w:tcPr>
          <w:p w14:paraId="27554A73" w14:textId="77777777" w:rsidR="00592734" w:rsidRPr="00724FDD" w:rsidRDefault="00592734" w:rsidP="00BB20EB">
            <w:pPr>
              <w:jc w:val="center"/>
              <w:rPr>
                <w:noProof/>
              </w:rPr>
            </w:pPr>
            <w:r>
              <w:rPr>
                <w:noProof/>
              </w:rPr>
              <w:t>1</w:t>
            </w:r>
            <w:r>
              <w:rPr>
                <w:rFonts w:ascii="Calibri" w:hAnsi="Calibri" w:cs="Calibri"/>
                <w:noProof/>
              </w:rPr>
              <w:t> </w:t>
            </w:r>
            <w:r>
              <w:rPr>
                <w:noProof/>
              </w:rPr>
              <w:t>259 (estimated value: 1</w:t>
            </w:r>
            <w:r>
              <w:rPr>
                <w:rFonts w:ascii="Calibri" w:hAnsi="Calibri" w:cs="Calibri"/>
                <w:noProof/>
              </w:rPr>
              <w:t> </w:t>
            </w:r>
            <w:r>
              <w:rPr>
                <w:noProof/>
              </w:rPr>
              <w:t>718) out of 20</w:t>
            </w:r>
            <w:r>
              <w:rPr>
                <w:rFonts w:ascii="Calibri" w:hAnsi="Calibri" w:cs="Calibri"/>
                <w:noProof/>
              </w:rPr>
              <w:t> </w:t>
            </w:r>
            <w:r>
              <w:rPr>
                <w:noProof/>
              </w:rPr>
              <w:t>969</w:t>
            </w:r>
          </w:p>
        </w:tc>
        <w:tc>
          <w:tcPr>
            <w:tcW w:w="1579" w:type="dxa"/>
          </w:tcPr>
          <w:p w14:paraId="0E15F393" w14:textId="77777777" w:rsidR="00592734" w:rsidRPr="00724FDD" w:rsidRDefault="00592734" w:rsidP="00BB20EB">
            <w:pPr>
              <w:jc w:val="center"/>
              <w:rPr>
                <w:noProof/>
              </w:rPr>
            </w:pPr>
            <w:r>
              <w:rPr>
                <w:noProof/>
              </w:rPr>
              <w:t>Moderate progress</w:t>
            </w:r>
          </w:p>
        </w:tc>
      </w:tr>
      <w:tr w:rsidR="00592734" w:rsidRPr="00040D99" w14:paraId="2F8498B1" w14:textId="77777777" w:rsidTr="00BB20EB">
        <w:trPr>
          <w:cnfStyle w:val="000000100000" w:firstRow="0" w:lastRow="0" w:firstColumn="0" w:lastColumn="0" w:oddVBand="0" w:evenVBand="0" w:oddHBand="1" w:evenHBand="0" w:firstRowFirstColumn="0" w:firstRowLastColumn="0" w:lastRowFirstColumn="0" w:lastRowLastColumn="0"/>
        </w:trPr>
        <w:tc>
          <w:tcPr>
            <w:tcW w:w="2330" w:type="dxa"/>
          </w:tcPr>
          <w:p w14:paraId="2EEB47D6" w14:textId="77777777" w:rsidR="00592734" w:rsidRPr="00724FDD" w:rsidRDefault="00592734" w:rsidP="00BB20EB">
            <w:pPr>
              <w:rPr>
                <w:noProof/>
              </w:rPr>
            </w:pPr>
            <w:r>
              <w:rPr>
                <w:noProof/>
              </w:rPr>
              <w:t>CEF Energy</w:t>
            </w:r>
            <w:r>
              <w:rPr>
                <w:rFonts w:ascii="Calibri" w:hAnsi="Calibri" w:cs="Calibri"/>
                <w:noProof/>
              </w:rPr>
              <w:t> </w:t>
            </w:r>
            <w:r>
              <w:rPr>
                <w:noProof/>
              </w:rPr>
              <w:t>– system resilience</w:t>
            </w:r>
            <w:r>
              <w:rPr>
                <w:rFonts w:ascii="Calibri" w:hAnsi="Calibri" w:cs="Calibri"/>
                <w:noProof/>
              </w:rPr>
              <w:t> </w:t>
            </w:r>
            <w:r>
              <w:rPr>
                <w:noProof/>
              </w:rPr>
              <w:t>– number of Member States</w:t>
            </w:r>
          </w:p>
        </w:tc>
        <w:tc>
          <w:tcPr>
            <w:tcW w:w="1100" w:type="dxa"/>
          </w:tcPr>
          <w:p w14:paraId="132F96D1" w14:textId="77777777" w:rsidR="00592734" w:rsidRPr="00724FDD" w:rsidRDefault="00592734" w:rsidP="00BB20EB">
            <w:pPr>
              <w:jc w:val="center"/>
              <w:rPr>
                <w:noProof/>
              </w:rPr>
            </w:pPr>
            <w:r>
              <w:rPr>
                <w:noProof/>
              </w:rPr>
              <w:t>3</w:t>
            </w:r>
          </w:p>
        </w:tc>
        <w:tc>
          <w:tcPr>
            <w:tcW w:w="1526" w:type="dxa"/>
          </w:tcPr>
          <w:p w14:paraId="23B97AA3" w14:textId="77777777" w:rsidR="00592734" w:rsidRPr="0065036D" w:rsidRDefault="00592734" w:rsidP="00BB20EB">
            <w:pPr>
              <w:jc w:val="center"/>
              <w:rPr>
                <w:noProof/>
              </w:rPr>
            </w:pPr>
            <w:r w:rsidRPr="00F238F7">
              <w:rPr>
                <w:b/>
                <w:noProof/>
              </w:rPr>
              <w:t>89%</w:t>
            </w:r>
          </w:p>
        </w:tc>
        <w:tc>
          <w:tcPr>
            <w:tcW w:w="1532" w:type="dxa"/>
          </w:tcPr>
          <w:p w14:paraId="1DA28739" w14:textId="77777777" w:rsidR="00592734" w:rsidRPr="00724FDD" w:rsidRDefault="00592734" w:rsidP="00BB20EB">
            <w:pPr>
              <w:jc w:val="center"/>
              <w:rPr>
                <w:noProof/>
              </w:rPr>
            </w:pPr>
            <w:r>
              <w:rPr>
                <w:noProof/>
              </w:rPr>
              <w:t>22 in 2020</w:t>
            </w:r>
          </w:p>
        </w:tc>
        <w:tc>
          <w:tcPr>
            <w:tcW w:w="1572" w:type="dxa"/>
          </w:tcPr>
          <w:p w14:paraId="7F2A5E89" w14:textId="77777777" w:rsidR="00592734" w:rsidRPr="00724FDD" w:rsidRDefault="00592734" w:rsidP="00BB20EB">
            <w:pPr>
              <w:jc w:val="center"/>
              <w:rPr>
                <w:noProof/>
              </w:rPr>
            </w:pPr>
            <w:r>
              <w:rPr>
                <w:noProof/>
              </w:rPr>
              <w:t>20 out of 22</w:t>
            </w:r>
          </w:p>
        </w:tc>
        <w:tc>
          <w:tcPr>
            <w:tcW w:w="1579" w:type="dxa"/>
          </w:tcPr>
          <w:p w14:paraId="17799CE4" w14:textId="77777777" w:rsidR="00592734" w:rsidRPr="00724FDD" w:rsidRDefault="00592734" w:rsidP="00BB20EB">
            <w:pPr>
              <w:jc w:val="center"/>
              <w:rPr>
                <w:noProof/>
              </w:rPr>
            </w:pPr>
            <w:r>
              <w:rPr>
                <w:noProof/>
              </w:rPr>
              <w:t>On track</w:t>
            </w:r>
          </w:p>
        </w:tc>
      </w:tr>
      <w:tr w:rsidR="00592734" w:rsidRPr="00040D99" w14:paraId="058892CE" w14:textId="77777777" w:rsidTr="00BB20EB">
        <w:trPr>
          <w:cnfStyle w:val="000000010000" w:firstRow="0" w:lastRow="0" w:firstColumn="0" w:lastColumn="0" w:oddVBand="0" w:evenVBand="0" w:oddHBand="0" w:evenHBand="1" w:firstRowFirstColumn="0" w:firstRowLastColumn="0" w:lastRowFirstColumn="0" w:lastRowLastColumn="0"/>
        </w:trPr>
        <w:tc>
          <w:tcPr>
            <w:tcW w:w="2330" w:type="dxa"/>
          </w:tcPr>
          <w:p w14:paraId="0CE28B2E" w14:textId="77777777" w:rsidR="00592734" w:rsidRDefault="00592734" w:rsidP="00BB20EB">
            <w:pPr>
              <w:rPr>
                <w:noProof/>
              </w:rPr>
            </w:pPr>
            <w:r>
              <w:rPr>
                <w:noProof/>
              </w:rPr>
              <w:t>Number of operational free Wi-Fi access points supported by CEF</w:t>
            </w:r>
          </w:p>
        </w:tc>
        <w:tc>
          <w:tcPr>
            <w:tcW w:w="1100" w:type="dxa"/>
          </w:tcPr>
          <w:p w14:paraId="6A02251F" w14:textId="77777777" w:rsidR="00592734" w:rsidRDefault="00592734" w:rsidP="00BB20EB">
            <w:pPr>
              <w:jc w:val="center"/>
              <w:rPr>
                <w:noProof/>
              </w:rPr>
            </w:pPr>
            <w:r>
              <w:rPr>
                <w:noProof/>
              </w:rPr>
              <w:t>0</w:t>
            </w:r>
          </w:p>
        </w:tc>
        <w:tc>
          <w:tcPr>
            <w:tcW w:w="1526" w:type="dxa"/>
          </w:tcPr>
          <w:p w14:paraId="6F57060D" w14:textId="77777777" w:rsidR="00592734" w:rsidRPr="00340EAD" w:rsidRDefault="00592734" w:rsidP="00BB20EB">
            <w:pPr>
              <w:jc w:val="center"/>
              <w:rPr>
                <w:b/>
                <w:noProof/>
              </w:rPr>
            </w:pPr>
            <w:r w:rsidRPr="00340EAD">
              <w:rPr>
                <w:b/>
                <w:noProof/>
              </w:rPr>
              <w:t>80%</w:t>
            </w:r>
          </w:p>
        </w:tc>
        <w:tc>
          <w:tcPr>
            <w:tcW w:w="1532" w:type="dxa"/>
          </w:tcPr>
          <w:p w14:paraId="78902139" w14:textId="77777777" w:rsidR="00592734" w:rsidRDefault="00592734" w:rsidP="00BB20EB">
            <w:pPr>
              <w:jc w:val="center"/>
              <w:rPr>
                <w:noProof/>
              </w:rPr>
            </w:pPr>
            <w:r>
              <w:rPr>
                <w:noProof/>
              </w:rPr>
              <w:t>90</w:t>
            </w:r>
            <w:r>
              <w:rPr>
                <w:rFonts w:ascii="Calibri" w:hAnsi="Calibri" w:cs="Calibri"/>
                <w:noProof/>
              </w:rPr>
              <w:t> </w:t>
            </w:r>
            <w:r>
              <w:rPr>
                <w:noProof/>
              </w:rPr>
              <w:t>000 in 2023</w:t>
            </w:r>
          </w:p>
        </w:tc>
        <w:tc>
          <w:tcPr>
            <w:tcW w:w="1572" w:type="dxa"/>
          </w:tcPr>
          <w:p w14:paraId="4C577554" w14:textId="77777777" w:rsidR="00592734" w:rsidRDefault="00592734" w:rsidP="00BB20EB">
            <w:pPr>
              <w:jc w:val="center"/>
              <w:rPr>
                <w:noProof/>
              </w:rPr>
            </w:pPr>
            <w:r>
              <w:rPr>
                <w:noProof/>
              </w:rPr>
              <w:t>71</w:t>
            </w:r>
            <w:r>
              <w:rPr>
                <w:rFonts w:ascii="Calibri" w:hAnsi="Calibri" w:cs="Calibri"/>
                <w:noProof/>
              </w:rPr>
              <w:t> </w:t>
            </w:r>
            <w:r>
              <w:rPr>
                <w:noProof/>
              </w:rPr>
              <w:t>800 out of 90</w:t>
            </w:r>
            <w:r>
              <w:rPr>
                <w:rFonts w:ascii="Calibri" w:hAnsi="Calibri" w:cs="Calibri"/>
                <w:noProof/>
              </w:rPr>
              <w:t> </w:t>
            </w:r>
            <w:r>
              <w:rPr>
                <w:noProof/>
              </w:rPr>
              <w:t>000</w:t>
            </w:r>
          </w:p>
        </w:tc>
        <w:tc>
          <w:tcPr>
            <w:tcW w:w="1579" w:type="dxa"/>
          </w:tcPr>
          <w:p w14:paraId="523CE777" w14:textId="77777777" w:rsidR="00592734" w:rsidRDefault="00592734" w:rsidP="00BB20EB">
            <w:pPr>
              <w:jc w:val="center"/>
              <w:rPr>
                <w:noProof/>
              </w:rPr>
            </w:pPr>
            <w:r>
              <w:rPr>
                <w:noProof/>
              </w:rPr>
              <w:t>On track</w:t>
            </w:r>
          </w:p>
        </w:tc>
      </w:tr>
    </w:tbl>
    <w:p w14:paraId="6374A2C1" w14:textId="77777777" w:rsidR="00592734" w:rsidRPr="00040D99" w:rsidRDefault="00592734" w:rsidP="00592734">
      <w:pPr>
        <w:pStyle w:val="FootnoteText"/>
        <w:rPr>
          <w:noProof/>
        </w:rPr>
      </w:pPr>
      <w:r>
        <w:rPr>
          <w:noProof/>
        </w:rPr>
        <w:t>(*) 2021</w:t>
      </w:r>
      <w:r w:rsidRPr="00E2211A">
        <w:rPr>
          <w:noProof/>
        </w:rPr>
        <w:t xml:space="preserve"> actual results, as a % of the target</w:t>
      </w:r>
      <w:r>
        <w:rPr>
          <w:noProof/>
        </w:rPr>
        <w:t>.</w:t>
      </w:r>
    </w:p>
    <w:p w14:paraId="0C94AF9E" w14:textId="77777777" w:rsidR="00592734" w:rsidRDefault="00592734" w:rsidP="00592734">
      <w:pPr>
        <w:pStyle w:val="FootnoteText"/>
        <w:rPr>
          <w:noProof/>
        </w:rPr>
      </w:pPr>
      <w:r w:rsidRPr="00040D99">
        <w:rPr>
          <w:noProof/>
        </w:rPr>
        <w:t xml:space="preserve">NB: </w:t>
      </w:r>
      <w:r w:rsidRPr="00E2211A">
        <w:rPr>
          <w:noProof/>
        </w:rPr>
        <w:t>Estimated values represent project results to be completed by 2020 based on the contractual delivery dates in the signed grant agreement</w:t>
      </w:r>
      <w:r>
        <w:rPr>
          <w:rFonts w:ascii="Calibri" w:hAnsi="Calibri" w:cs="Calibri"/>
          <w:noProof/>
        </w:rPr>
        <w:t> </w:t>
      </w:r>
      <w:r w:rsidRPr="00E2211A">
        <w:rPr>
          <w:noProof/>
        </w:rPr>
        <w:t>– see explanation below under ‘Performance assessment</w:t>
      </w:r>
      <w:r>
        <w:rPr>
          <w:noProof/>
        </w:rPr>
        <w:t>’.</w:t>
      </w:r>
    </w:p>
    <w:p w14:paraId="3F21EA49" w14:textId="77777777" w:rsidR="00592734" w:rsidRDefault="00592734" w:rsidP="00592734">
      <w:pPr>
        <w:pStyle w:val="ppoTableTabletitle"/>
        <w:rPr>
          <w:noProof/>
        </w:rPr>
      </w:pPr>
      <w:r>
        <w:rPr>
          <w:noProof/>
        </w:rPr>
        <w:t>Transport:</w:t>
      </w:r>
    </w:p>
    <w:p w14:paraId="1325BA9B" w14:textId="77777777" w:rsidR="00592734" w:rsidRDefault="00592734" w:rsidP="00592734">
      <w:pPr>
        <w:pStyle w:val="ppoListHyphened-L1"/>
        <w:rPr>
          <w:noProof/>
        </w:rPr>
      </w:pPr>
      <w:r w:rsidRPr="005626CE">
        <w:rPr>
          <w:noProof/>
        </w:rPr>
        <w:t>The 1</w:t>
      </w:r>
      <w:r>
        <w:rPr>
          <w:rFonts w:ascii="Calibri" w:hAnsi="Calibri" w:cs="Calibri"/>
          <w:noProof/>
        </w:rPr>
        <w:t> </w:t>
      </w:r>
      <w:r w:rsidRPr="005626CE">
        <w:rPr>
          <w:noProof/>
        </w:rPr>
        <w:t xml:space="preserve">036 actions signed within the CEF transport 2014-2020 </w:t>
      </w:r>
      <w:r>
        <w:rPr>
          <w:noProof/>
        </w:rPr>
        <w:t xml:space="preserve">received </w:t>
      </w:r>
      <w:r w:rsidRPr="005626CE">
        <w:rPr>
          <w:noProof/>
        </w:rPr>
        <w:t xml:space="preserve">more than </w:t>
      </w:r>
      <w:r>
        <w:rPr>
          <w:noProof/>
        </w:rPr>
        <w:t>EUR</w:t>
      </w:r>
      <w:r>
        <w:rPr>
          <w:rFonts w:ascii="Calibri" w:hAnsi="Calibri" w:cs="Calibri"/>
          <w:noProof/>
        </w:rPr>
        <w:t> </w:t>
      </w:r>
      <w:r w:rsidRPr="005626CE">
        <w:rPr>
          <w:noProof/>
        </w:rPr>
        <w:t>23</w:t>
      </w:r>
      <w:r>
        <w:rPr>
          <w:rFonts w:ascii="Calibri" w:hAnsi="Calibri" w:cs="Calibri"/>
          <w:noProof/>
        </w:rPr>
        <w:t> </w:t>
      </w:r>
      <w:r w:rsidRPr="005626CE">
        <w:rPr>
          <w:noProof/>
        </w:rPr>
        <w:t>billion and trigger</w:t>
      </w:r>
      <w:r>
        <w:rPr>
          <w:noProof/>
        </w:rPr>
        <w:t>ed</w:t>
      </w:r>
      <w:r w:rsidRPr="005626CE">
        <w:rPr>
          <w:noProof/>
        </w:rPr>
        <w:t xml:space="preserve"> more than </w:t>
      </w:r>
      <w:r>
        <w:rPr>
          <w:noProof/>
        </w:rPr>
        <w:t>EUR</w:t>
      </w:r>
      <w:r>
        <w:rPr>
          <w:rFonts w:ascii="Calibri" w:hAnsi="Calibri" w:cs="Calibri"/>
          <w:noProof/>
        </w:rPr>
        <w:t> </w:t>
      </w:r>
      <w:r w:rsidRPr="005626CE">
        <w:rPr>
          <w:noProof/>
        </w:rPr>
        <w:t>50</w:t>
      </w:r>
      <w:r>
        <w:rPr>
          <w:rFonts w:ascii="Calibri" w:hAnsi="Calibri" w:cs="Calibri"/>
          <w:noProof/>
        </w:rPr>
        <w:t> </w:t>
      </w:r>
      <w:r w:rsidRPr="005626CE">
        <w:rPr>
          <w:noProof/>
        </w:rPr>
        <w:t xml:space="preserve">billion of private and public investments. These have strongly </w:t>
      </w:r>
      <w:r w:rsidRPr="008F1BD6">
        <w:rPr>
          <w:noProof/>
        </w:rPr>
        <w:t>contributed to paving the way</w:t>
      </w:r>
      <w:r w:rsidRPr="005626CE">
        <w:rPr>
          <w:noProof/>
        </w:rPr>
        <w:t xml:space="preserve"> for the achievement of the key </w:t>
      </w:r>
      <w:r>
        <w:rPr>
          <w:noProof/>
        </w:rPr>
        <w:t>trans-European transport network</w:t>
      </w:r>
      <w:r w:rsidRPr="005626CE">
        <w:rPr>
          <w:noProof/>
        </w:rPr>
        <w:t xml:space="preserve"> and wide</w:t>
      </w:r>
      <w:r>
        <w:rPr>
          <w:noProof/>
        </w:rPr>
        <w:t>r</w:t>
      </w:r>
      <w:r w:rsidRPr="005626CE">
        <w:rPr>
          <w:noProof/>
        </w:rPr>
        <w:t xml:space="preserve"> EU policy objectives</w:t>
      </w:r>
      <w:r>
        <w:rPr>
          <w:noProof/>
        </w:rPr>
        <w:t xml:space="preserve"> </w:t>
      </w:r>
      <w:r w:rsidRPr="005626CE">
        <w:rPr>
          <w:noProof/>
        </w:rPr>
        <w:t>addressing the removal of bottlenecks and enhancing interoperability, ensuring sustainable and efficient transport systems</w:t>
      </w:r>
      <w:r>
        <w:rPr>
          <w:noProof/>
        </w:rPr>
        <w:t>,</w:t>
      </w:r>
      <w:r w:rsidRPr="005626CE">
        <w:rPr>
          <w:noProof/>
        </w:rPr>
        <w:t xml:space="preserve"> and optimising the integration and interconnection of transport modes.</w:t>
      </w:r>
    </w:p>
    <w:p w14:paraId="297475BF" w14:textId="77777777" w:rsidR="00592734" w:rsidRPr="00040D99" w:rsidRDefault="00592734" w:rsidP="00592734">
      <w:pPr>
        <w:pStyle w:val="ppoListHyphened-L1"/>
        <w:rPr>
          <w:noProof/>
        </w:rPr>
      </w:pPr>
      <w:r w:rsidRPr="005626CE">
        <w:rPr>
          <w:noProof/>
        </w:rPr>
        <w:t>In particular, CEF has been one of the front</w:t>
      </w:r>
      <w:r>
        <w:rPr>
          <w:noProof/>
        </w:rPr>
        <w:t>-</w:t>
      </w:r>
      <w:r w:rsidRPr="005626CE">
        <w:rPr>
          <w:noProof/>
        </w:rPr>
        <w:t>running EU spending programmes supporting</w:t>
      </w:r>
      <w:r>
        <w:rPr>
          <w:noProof/>
        </w:rPr>
        <w:t xml:space="preserve"> the</w:t>
      </w:r>
      <w:r w:rsidRPr="005626CE">
        <w:rPr>
          <w:noProof/>
        </w:rPr>
        <w:t xml:space="preserve"> sustainable and digital transition</w:t>
      </w:r>
      <w:r>
        <w:rPr>
          <w:noProof/>
        </w:rPr>
        <w:t>s</w:t>
      </w:r>
      <w:r w:rsidRPr="005626CE">
        <w:rPr>
          <w:noProof/>
        </w:rPr>
        <w:t xml:space="preserve">. In line with the European Green Deal, transport investments for infrastructures strongly contributed to climate objectives, feeding the EU long-term decarbonisation commitments. Around 80% of the CEF support has been </w:t>
      </w:r>
      <w:r w:rsidRPr="00555443">
        <w:rPr>
          <w:noProof/>
        </w:rPr>
        <w:t>allocated to t</w:t>
      </w:r>
      <w:r w:rsidRPr="005626CE">
        <w:rPr>
          <w:noProof/>
        </w:rPr>
        <w:t xml:space="preserve">he rail and inland waterways sectors and to the acceleration of the deployment of alternative fuels </w:t>
      </w:r>
      <w:r>
        <w:rPr>
          <w:noProof/>
        </w:rPr>
        <w:t>infrastructure</w:t>
      </w:r>
      <w:r w:rsidRPr="005626CE">
        <w:rPr>
          <w:noProof/>
        </w:rPr>
        <w:t>, fo</w:t>
      </w:r>
      <w:r>
        <w:rPr>
          <w:noProof/>
        </w:rPr>
        <w:t xml:space="preserve">stering a new mobility paradigm. </w:t>
      </w:r>
      <w:r w:rsidRPr="005626CE">
        <w:rPr>
          <w:noProof/>
        </w:rPr>
        <w:t>Moreover, data and digital infrastructure have received targeted support, enhancing the deployment of digital solutions for all transport modes</w:t>
      </w:r>
      <w:r>
        <w:rPr>
          <w:noProof/>
        </w:rPr>
        <w:t xml:space="preserve"> and</w:t>
      </w:r>
      <w:r w:rsidRPr="005626CE">
        <w:rPr>
          <w:noProof/>
        </w:rPr>
        <w:t xml:space="preserve"> backing the ecological transition for all sectors, including for transport</w:t>
      </w:r>
      <w:r>
        <w:rPr>
          <w:noProof/>
        </w:rPr>
        <w:t>.</w:t>
      </w:r>
    </w:p>
    <w:p w14:paraId="73D5E505" w14:textId="77777777" w:rsidR="00592734" w:rsidRDefault="00592734" w:rsidP="00592734">
      <w:pPr>
        <w:pStyle w:val="ppoListHyphened-L1"/>
        <w:rPr>
          <w:noProof/>
        </w:rPr>
      </w:pPr>
      <w:r w:rsidRPr="00555443">
        <w:rPr>
          <w:noProof/>
        </w:rPr>
        <w:t xml:space="preserve">Regarding </w:t>
      </w:r>
      <w:r>
        <w:rPr>
          <w:noProof/>
        </w:rPr>
        <w:t>the</w:t>
      </w:r>
      <w:r w:rsidRPr="00555443">
        <w:rPr>
          <w:noProof/>
        </w:rPr>
        <w:t xml:space="preserve"> performance</w:t>
      </w:r>
      <w:r>
        <w:rPr>
          <w:noProof/>
        </w:rPr>
        <w:t xml:space="preserve"> of </w:t>
      </w:r>
      <w:r w:rsidRPr="00555443">
        <w:rPr>
          <w:noProof/>
        </w:rPr>
        <w:t xml:space="preserve">CEF </w:t>
      </w:r>
      <w:r>
        <w:rPr>
          <w:noProof/>
        </w:rPr>
        <w:t>T</w:t>
      </w:r>
      <w:r w:rsidRPr="00555443">
        <w:rPr>
          <w:noProof/>
        </w:rPr>
        <w:t xml:space="preserve">ransport, it is important to </w:t>
      </w:r>
      <w:r>
        <w:rPr>
          <w:noProof/>
        </w:rPr>
        <w:t>recall</w:t>
      </w:r>
      <w:r w:rsidRPr="00555443">
        <w:rPr>
          <w:noProof/>
        </w:rPr>
        <w:t xml:space="preserve"> that there is a time lag of approximately </w:t>
      </w:r>
      <w:r>
        <w:rPr>
          <w:noProof/>
        </w:rPr>
        <w:t>1.5</w:t>
      </w:r>
      <w:r>
        <w:rPr>
          <w:rFonts w:ascii="Calibri" w:hAnsi="Calibri" w:cs="Calibri"/>
          <w:noProof/>
        </w:rPr>
        <w:t> </w:t>
      </w:r>
      <w:r w:rsidRPr="00555443">
        <w:rPr>
          <w:noProof/>
        </w:rPr>
        <w:t xml:space="preserve">year between the actual completion of a project and </w:t>
      </w:r>
      <w:r>
        <w:rPr>
          <w:noProof/>
        </w:rPr>
        <w:t xml:space="preserve">the </w:t>
      </w:r>
      <w:r w:rsidRPr="00555443">
        <w:rPr>
          <w:noProof/>
        </w:rPr>
        <w:t>registration of results, corresponding to the time required to close the projects. In addition, external factors such as the COVID</w:t>
      </w:r>
      <w:r>
        <w:rPr>
          <w:noProof/>
        </w:rPr>
        <w:noBreakHyphen/>
        <w:t>19</w:t>
      </w:r>
      <w:r w:rsidRPr="00555443">
        <w:rPr>
          <w:noProof/>
        </w:rPr>
        <w:t xml:space="preserve"> pandemic have delayed the implementation of the projects generating a situation</w:t>
      </w:r>
      <w:r>
        <w:rPr>
          <w:noProof/>
        </w:rPr>
        <w:t xml:space="preserve"> where</w:t>
      </w:r>
      <w:r w:rsidRPr="00555443">
        <w:rPr>
          <w:noProof/>
        </w:rPr>
        <w:t xml:space="preserve"> the majority of the CEF Transport actions </w:t>
      </w:r>
      <w:r>
        <w:rPr>
          <w:noProof/>
        </w:rPr>
        <w:t>from</w:t>
      </w:r>
      <w:r w:rsidRPr="00555443">
        <w:rPr>
          <w:noProof/>
        </w:rPr>
        <w:t xml:space="preserve"> past </w:t>
      </w:r>
      <w:r>
        <w:rPr>
          <w:noProof/>
        </w:rPr>
        <w:t xml:space="preserve">2014-2020 </w:t>
      </w:r>
      <w:r w:rsidRPr="00555443">
        <w:rPr>
          <w:noProof/>
        </w:rPr>
        <w:t xml:space="preserve">calls for proposals are still ongoing and </w:t>
      </w:r>
      <w:r>
        <w:rPr>
          <w:noProof/>
        </w:rPr>
        <w:t>will run until end of 2024. T</w:t>
      </w:r>
      <w:r w:rsidRPr="00555443">
        <w:rPr>
          <w:noProof/>
        </w:rPr>
        <w:t>heir results (outputs</w:t>
      </w:r>
      <w:r>
        <w:rPr>
          <w:noProof/>
        </w:rPr>
        <w:t xml:space="preserve"> triggering performance data</w:t>
      </w:r>
      <w:r w:rsidRPr="00555443">
        <w:rPr>
          <w:noProof/>
        </w:rPr>
        <w:t xml:space="preserve">) </w:t>
      </w:r>
      <w:r>
        <w:rPr>
          <w:noProof/>
        </w:rPr>
        <w:t>can</w:t>
      </w:r>
      <w:r w:rsidRPr="00555443">
        <w:rPr>
          <w:noProof/>
        </w:rPr>
        <w:t xml:space="preserve"> be achieved up to end of 2024</w:t>
      </w:r>
      <w:r>
        <w:rPr>
          <w:noProof/>
        </w:rPr>
        <w:t xml:space="preserve"> and related information for financial closure </w:t>
      </w:r>
      <w:r w:rsidRPr="0065036D">
        <w:rPr>
          <w:noProof/>
        </w:rPr>
        <w:t>can be received until mid</w:t>
      </w:r>
      <w:r>
        <w:rPr>
          <w:noProof/>
        </w:rPr>
        <w:t>-</w:t>
      </w:r>
      <w:r w:rsidRPr="0065036D">
        <w:rPr>
          <w:noProof/>
        </w:rPr>
        <w:t>2026. In this framework it is considered that the potential for the achievement of the indicated targets is still there.</w:t>
      </w:r>
    </w:p>
    <w:p w14:paraId="6FBFD957" w14:textId="77777777" w:rsidR="00592734" w:rsidRDefault="00592734" w:rsidP="00592734">
      <w:pPr>
        <w:pStyle w:val="ppoTableTabletitle"/>
        <w:rPr>
          <w:noProof/>
        </w:rPr>
      </w:pPr>
      <w:r>
        <w:rPr>
          <w:noProof/>
        </w:rPr>
        <w:t>Energy:</w:t>
      </w:r>
    </w:p>
    <w:p w14:paraId="2E01C76E" w14:textId="77777777" w:rsidR="00592734" w:rsidRDefault="00592734" w:rsidP="00592734">
      <w:pPr>
        <w:pStyle w:val="ppoListHyphened-L1"/>
        <w:rPr>
          <w:noProof/>
        </w:rPr>
      </w:pPr>
      <w:r>
        <w:rPr>
          <w:noProof/>
        </w:rPr>
        <w:t>During the 2014-2021</w:t>
      </w:r>
      <w:r w:rsidRPr="0051060C">
        <w:rPr>
          <w:noProof/>
        </w:rPr>
        <w:t xml:space="preserve"> </w:t>
      </w:r>
      <w:r>
        <w:rPr>
          <w:noProof/>
        </w:rPr>
        <w:t>period</w:t>
      </w:r>
      <w:r w:rsidRPr="005626CE">
        <w:rPr>
          <w:noProof/>
        </w:rPr>
        <w:t xml:space="preserve">, CEF Energy co-funding of a total of </w:t>
      </w:r>
      <w:r>
        <w:rPr>
          <w:noProof/>
        </w:rPr>
        <w:t>EUR</w:t>
      </w:r>
      <w:r>
        <w:rPr>
          <w:rFonts w:ascii="Calibri" w:hAnsi="Calibri" w:cs="Calibri"/>
          <w:noProof/>
        </w:rPr>
        <w:t> </w:t>
      </w:r>
      <w:r>
        <w:rPr>
          <w:noProof/>
        </w:rPr>
        <w:t>4.672</w:t>
      </w:r>
      <w:r>
        <w:rPr>
          <w:rFonts w:ascii="Calibri" w:hAnsi="Calibri" w:cs="Calibri"/>
          <w:noProof/>
        </w:rPr>
        <w:t> </w:t>
      </w:r>
      <w:r w:rsidRPr="005626CE">
        <w:rPr>
          <w:noProof/>
        </w:rPr>
        <w:t>billion</w:t>
      </w:r>
      <w:r w:rsidRPr="002E41A7">
        <w:rPr>
          <w:noProof/>
        </w:rPr>
        <w:t xml:space="preserve"> </w:t>
      </w:r>
      <w:r w:rsidRPr="005626CE">
        <w:rPr>
          <w:noProof/>
        </w:rPr>
        <w:t>was allocated to 149 actions contributing to 10</w:t>
      </w:r>
      <w:r>
        <w:rPr>
          <w:noProof/>
        </w:rPr>
        <w:t>7</w:t>
      </w:r>
      <w:r w:rsidRPr="005626CE">
        <w:rPr>
          <w:noProof/>
        </w:rPr>
        <w:t xml:space="preserve"> </w:t>
      </w:r>
      <w:r>
        <w:rPr>
          <w:noProof/>
        </w:rPr>
        <w:t>projects of common interest</w:t>
      </w:r>
      <w:r w:rsidRPr="005626CE">
        <w:rPr>
          <w:noProof/>
        </w:rPr>
        <w:t>. By the end of 2021</w:t>
      </w:r>
      <w:r>
        <w:rPr>
          <w:noProof/>
        </w:rPr>
        <w:t>, 93 actions that received CEF support were completed in total, i.e. 46 on electricity and storage, 45 on gas, one on smart grids and one on CO</w:t>
      </w:r>
      <w:r w:rsidRPr="001350BE">
        <w:rPr>
          <w:noProof/>
          <w:vertAlign w:val="subscript"/>
        </w:rPr>
        <w:t>2</w:t>
      </w:r>
      <w:r>
        <w:rPr>
          <w:noProof/>
        </w:rPr>
        <w:t>, of which 85 were studies and 8 works.</w:t>
      </w:r>
    </w:p>
    <w:p w14:paraId="154CA54C" w14:textId="77777777" w:rsidR="00592734" w:rsidRDefault="00592734" w:rsidP="00592734">
      <w:pPr>
        <w:pStyle w:val="ppoListHyphened-L1"/>
        <w:rPr>
          <w:noProof/>
        </w:rPr>
      </w:pPr>
      <w:r>
        <w:rPr>
          <w:noProof/>
        </w:rPr>
        <w:t>The success of the numerous actions of the projects of common interest and their contribution to the policy objectives of the trans-European networks for energy strategy is not yet fully reflected in the indicators due to the long implementation time of the grants for large and technically complex energy infrastructure projects. In addition, delays have occurred because of external factors such as the COVID</w:t>
      </w:r>
      <w:r>
        <w:rPr>
          <w:noProof/>
        </w:rPr>
        <w:noBreakHyphen/>
        <w:t>19 sanitary crisis, the need to secure sufficient co-funding (national or other sources), public procurement issues (e.g. complaints/appeals during tender procedures) and legal and environmental issues (e.g. permitting, spatial planning, other authorisations and land acquisition).</w:t>
      </w:r>
    </w:p>
    <w:p w14:paraId="386E2263" w14:textId="77777777" w:rsidR="00592734" w:rsidRDefault="00592734" w:rsidP="00592734">
      <w:pPr>
        <w:pStyle w:val="ppoListHyphened-L1"/>
        <w:rPr>
          <w:noProof/>
        </w:rPr>
      </w:pPr>
      <w:r>
        <w:rPr>
          <w:noProof/>
        </w:rPr>
        <w:t xml:space="preserve">Nevertheless, </w:t>
      </w:r>
      <w:r w:rsidRPr="005626CE">
        <w:rPr>
          <w:noProof/>
        </w:rPr>
        <w:t>CEF Energy</w:t>
      </w:r>
      <w:r>
        <w:rPr>
          <w:noProof/>
        </w:rPr>
        <w:t>-</w:t>
      </w:r>
      <w:r w:rsidRPr="005626CE">
        <w:rPr>
          <w:noProof/>
        </w:rPr>
        <w:t xml:space="preserve">funded actions have </w:t>
      </w:r>
      <w:r w:rsidRPr="00F21990">
        <w:rPr>
          <w:noProof/>
        </w:rPr>
        <w:t>significantly contributed to the integration of the EU</w:t>
      </w:r>
      <w:r>
        <w:rPr>
          <w:rFonts w:ascii="Calibri" w:hAnsi="Calibri" w:cs="Calibri"/>
          <w:noProof/>
        </w:rPr>
        <w:t xml:space="preserve"> </w:t>
      </w:r>
      <w:r w:rsidRPr="00F21990">
        <w:rPr>
          <w:noProof/>
        </w:rPr>
        <w:t xml:space="preserve">energy market through </w:t>
      </w:r>
      <w:r>
        <w:rPr>
          <w:noProof/>
        </w:rPr>
        <w:t xml:space="preserve">the </w:t>
      </w:r>
      <w:r w:rsidRPr="00F21990">
        <w:rPr>
          <w:noProof/>
        </w:rPr>
        <w:t>strengthening</w:t>
      </w:r>
      <w:r>
        <w:rPr>
          <w:noProof/>
        </w:rPr>
        <w:t xml:space="preserve"> of</w:t>
      </w:r>
      <w:r w:rsidRPr="00F21990">
        <w:rPr>
          <w:noProof/>
        </w:rPr>
        <w:t xml:space="preserve"> </w:t>
      </w:r>
      <w:r w:rsidRPr="005626CE">
        <w:rPr>
          <w:noProof/>
        </w:rPr>
        <w:t xml:space="preserve">cross-border connections aiming to end energy isolation and eliminate bottlenecks. CEF Energy also supports projects </w:t>
      </w:r>
      <w:r>
        <w:rPr>
          <w:noProof/>
        </w:rPr>
        <w:t>that increase</w:t>
      </w:r>
      <w:r w:rsidRPr="005626CE">
        <w:rPr>
          <w:noProof/>
        </w:rPr>
        <w:t xml:space="preserve"> security of supply in Member States where this issue is most pressing</w:t>
      </w:r>
      <w:r>
        <w:rPr>
          <w:noProof/>
        </w:rPr>
        <w:t>.</w:t>
      </w:r>
    </w:p>
    <w:p w14:paraId="7429F845" w14:textId="77777777" w:rsidR="00592734" w:rsidRDefault="00592734" w:rsidP="00592734">
      <w:pPr>
        <w:pStyle w:val="ppoTableTabletitle"/>
        <w:rPr>
          <w:noProof/>
        </w:rPr>
      </w:pPr>
      <w:r>
        <w:rPr>
          <w:noProof/>
        </w:rPr>
        <w:t>Telecom:</w:t>
      </w:r>
    </w:p>
    <w:p w14:paraId="092653C6" w14:textId="77777777" w:rsidR="00592734" w:rsidRDefault="00592734" w:rsidP="00592734">
      <w:pPr>
        <w:pStyle w:val="ppoListHyphened-L1"/>
        <w:rPr>
          <w:noProof/>
        </w:rPr>
      </w:pPr>
      <w:r>
        <w:rPr>
          <w:noProof/>
        </w:rPr>
        <w:t>To date, t</w:t>
      </w:r>
      <w:r w:rsidRPr="006D13CF">
        <w:rPr>
          <w:noProof/>
        </w:rPr>
        <w:t xml:space="preserve">he </w:t>
      </w:r>
      <w:r w:rsidRPr="00F21990">
        <w:rPr>
          <w:noProof/>
        </w:rPr>
        <w:t>Connecting Europe Broadband Fund</w:t>
      </w:r>
      <w:r>
        <w:rPr>
          <w:noProof/>
        </w:rPr>
        <w:t xml:space="preserve"> </w:t>
      </w:r>
      <w:r w:rsidRPr="006D13CF">
        <w:rPr>
          <w:noProof/>
        </w:rPr>
        <w:t xml:space="preserve">has invested in </w:t>
      </w:r>
      <w:r>
        <w:rPr>
          <w:noProof/>
        </w:rPr>
        <w:t>eight</w:t>
      </w:r>
      <w:r w:rsidRPr="006D13CF">
        <w:rPr>
          <w:noProof/>
        </w:rPr>
        <w:t xml:space="preserve"> companies across Europe and raise</w:t>
      </w:r>
      <w:r>
        <w:rPr>
          <w:noProof/>
        </w:rPr>
        <w:t>d the</w:t>
      </w:r>
      <w:r w:rsidRPr="006D13CF">
        <w:rPr>
          <w:noProof/>
        </w:rPr>
        <w:t xml:space="preserve"> targeted funds from private investors to </w:t>
      </w:r>
      <w:r>
        <w:rPr>
          <w:noProof/>
        </w:rPr>
        <w:t>EUR</w:t>
      </w:r>
      <w:r>
        <w:rPr>
          <w:rFonts w:ascii="Calibri" w:hAnsi="Calibri" w:cs="Calibri"/>
          <w:noProof/>
        </w:rPr>
        <w:t> </w:t>
      </w:r>
      <w:r w:rsidRPr="006D13CF">
        <w:rPr>
          <w:noProof/>
        </w:rPr>
        <w:t>55</w:t>
      </w:r>
      <w:r>
        <w:rPr>
          <w:noProof/>
        </w:rPr>
        <w:t>5</w:t>
      </w:r>
      <w:r>
        <w:rPr>
          <w:rFonts w:ascii="Calibri" w:hAnsi="Calibri" w:cs="Calibri"/>
          <w:noProof/>
        </w:rPr>
        <w:t> </w:t>
      </w:r>
      <w:r w:rsidRPr="006D13CF">
        <w:rPr>
          <w:noProof/>
        </w:rPr>
        <w:t>million</w:t>
      </w:r>
      <w:r>
        <w:rPr>
          <w:noProof/>
        </w:rPr>
        <w:t xml:space="preserve"> by </w:t>
      </w:r>
      <w:r w:rsidRPr="006D13CF">
        <w:rPr>
          <w:noProof/>
        </w:rPr>
        <w:t>June 2021</w:t>
      </w:r>
      <w:r>
        <w:rPr>
          <w:noProof/>
        </w:rPr>
        <w:t>.</w:t>
      </w:r>
    </w:p>
    <w:p w14:paraId="1E688B34" w14:textId="77777777" w:rsidR="00592734" w:rsidRPr="00040D99" w:rsidRDefault="00592734" w:rsidP="00592734">
      <w:pPr>
        <w:pStyle w:val="ppoListHyphened-L1"/>
        <w:rPr>
          <w:noProof/>
        </w:rPr>
      </w:pPr>
      <w:r w:rsidRPr="006D13CF">
        <w:rPr>
          <w:noProof/>
          <w:lang w:val="en-US"/>
        </w:rPr>
        <w:t>Regarding WiFi4EU f</w:t>
      </w:r>
      <w:r w:rsidRPr="006D13CF">
        <w:rPr>
          <w:noProof/>
        </w:rPr>
        <w:t xml:space="preserve">or the </w:t>
      </w:r>
      <w:r>
        <w:rPr>
          <w:noProof/>
        </w:rPr>
        <w:t>2018-2020 period, more than 8</w:t>
      </w:r>
      <w:r>
        <w:rPr>
          <w:rFonts w:ascii="Calibri" w:hAnsi="Calibri" w:cs="Calibri"/>
          <w:noProof/>
        </w:rPr>
        <w:t> </w:t>
      </w:r>
      <w:r w:rsidRPr="006D13CF">
        <w:rPr>
          <w:noProof/>
        </w:rPr>
        <w:t xml:space="preserve">800 vouchers </w:t>
      </w:r>
      <w:r>
        <w:rPr>
          <w:noProof/>
        </w:rPr>
        <w:t>were awarded through the programme</w:t>
      </w:r>
      <w:r w:rsidRPr="006D13CF">
        <w:rPr>
          <w:noProof/>
        </w:rPr>
        <w:t>. Despite the pandemic, the network installations are steadil</w:t>
      </w:r>
      <w:r>
        <w:rPr>
          <w:noProof/>
        </w:rPr>
        <w:t xml:space="preserve">y increasing, and </w:t>
      </w:r>
      <w:r w:rsidRPr="006D13CF">
        <w:rPr>
          <w:noProof/>
        </w:rPr>
        <w:t>exceed</w:t>
      </w:r>
      <w:r>
        <w:rPr>
          <w:noProof/>
        </w:rPr>
        <w:t>ed</w:t>
      </w:r>
      <w:r w:rsidRPr="006D13CF">
        <w:rPr>
          <w:noProof/>
        </w:rPr>
        <w:t xml:space="preserve"> expectations</w:t>
      </w:r>
      <w:r>
        <w:rPr>
          <w:noProof/>
        </w:rPr>
        <w:t xml:space="preserve"> by reaching more than 7</w:t>
      </w:r>
      <w:r>
        <w:rPr>
          <w:rFonts w:ascii="Calibri" w:hAnsi="Calibri" w:cs="Calibri"/>
          <w:noProof/>
        </w:rPr>
        <w:t> </w:t>
      </w:r>
      <w:r w:rsidRPr="006D13CF">
        <w:rPr>
          <w:noProof/>
        </w:rPr>
        <w:t xml:space="preserve">000 in the </w:t>
      </w:r>
      <w:r>
        <w:rPr>
          <w:noProof/>
        </w:rPr>
        <w:t>last</w:t>
      </w:r>
      <w:r w:rsidRPr="006D13CF">
        <w:rPr>
          <w:noProof/>
        </w:rPr>
        <w:t xml:space="preserve"> quarter of 2021</w:t>
      </w:r>
      <w:r>
        <w:rPr>
          <w:noProof/>
        </w:rPr>
        <w:t>.</w:t>
      </w:r>
    </w:p>
    <w:p w14:paraId="632244B0" w14:textId="77777777" w:rsidR="00592734" w:rsidRDefault="00592734" w:rsidP="00592734">
      <w:pPr>
        <w:pStyle w:val="ppoListHyphened-L1"/>
        <w:numPr>
          <w:ilvl w:val="0"/>
          <w:numId w:val="0"/>
        </w:numPr>
        <w:ind w:left="357"/>
        <w:rPr>
          <w:noProof/>
        </w:rPr>
        <w:sectPr w:rsidR="00592734" w:rsidSect="00592734">
          <w:headerReference w:type="even" r:id="rId129"/>
          <w:headerReference w:type="default" r:id="rId130"/>
          <w:footerReference w:type="even" r:id="rId131"/>
          <w:footerReference w:type="default" r:id="rId132"/>
          <w:headerReference w:type="first" r:id="rId133"/>
          <w:footerReference w:type="first" r:id="rId134"/>
          <w:pgSz w:w="11906" w:h="16838" w:code="9"/>
          <w:pgMar w:top="1134" w:right="1134" w:bottom="964" w:left="1134" w:header="431" w:footer="431" w:gutter="0"/>
          <w:cols w:space="720"/>
          <w:titlePg/>
          <w:docGrid w:linePitch="360"/>
        </w:sectPr>
      </w:pPr>
    </w:p>
    <w:p w14:paraId="4553FA26" w14:textId="77777777" w:rsidR="001A33B7" w:rsidRPr="00DD060F" w:rsidRDefault="001A33B7" w:rsidP="001A33B7">
      <w:pPr>
        <w:pStyle w:val="StyleppoHeading3WhiteLeft0cm"/>
        <w:rPr>
          <w:noProof/>
          <w:sz w:val="40"/>
          <w:szCs w:val="40"/>
        </w:rPr>
      </w:pPr>
    </w:p>
    <w:p w14:paraId="41B058A0" w14:textId="77777777" w:rsidR="001A33B7" w:rsidRPr="00DD060F" w:rsidRDefault="001A33B7" w:rsidP="001A33B7">
      <w:pPr>
        <w:pStyle w:val="StyleppoHeading3WhiteLeft0cm"/>
        <w:rPr>
          <w:noProof/>
          <w:sz w:val="60"/>
          <w:szCs w:val="60"/>
        </w:rPr>
      </w:pPr>
      <w:bookmarkStart w:id="65" w:name="_Toc102086335"/>
      <w:r w:rsidRPr="00DD060F">
        <w:rPr>
          <w:noProof/>
          <w:sz w:val="60"/>
          <w:szCs w:val="60"/>
        </w:rPr>
        <w:t>DEP</w:t>
      </w:r>
      <w:bookmarkEnd w:id="65"/>
    </w:p>
    <w:p w14:paraId="2544BD48" w14:textId="77777777" w:rsidR="001A33B7" w:rsidRPr="00040D99" w:rsidRDefault="001A33B7" w:rsidP="001A33B7">
      <w:pPr>
        <w:pStyle w:val="StyleppoProgrammenameWhiteLeft01cm"/>
        <w:rPr>
          <w:noProof/>
        </w:rPr>
      </w:pPr>
      <w:r>
        <w:rPr>
          <w:noProof/>
        </w:rPr>
        <w:t>DIGITAL EUROPE PROGRAMME</w:t>
      </w:r>
    </w:p>
    <w:p w14:paraId="591E2DC0" w14:textId="77777777" w:rsidR="001A33B7" w:rsidRPr="00351CB7" w:rsidRDefault="001A33B7" w:rsidP="001A33B7">
      <w:pPr>
        <w:pStyle w:val="ppoHeading4Orange"/>
        <w:rPr>
          <w:noProof/>
        </w:rPr>
      </w:pPr>
      <w:r w:rsidRPr="00351CB7">
        <w:rPr>
          <w:noProof/>
        </w:rPr>
        <w:t>Programme in a nutshell</w:t>
      </w:r>
    </w:p>
    <w:p w14:paraId="7A05C7AE" w14:textId="77777777" w:rsidR="001A33B7" w:rsidRPr="00040D99" w:rsidRDefault="001A33B7" w:rsidP="001A33B7">
      <w:pPr>
        <w:pStyle w:val="ppoHeading5"/>
        <w:rPr>
          <w:noProof/>
        </w:rPr>
      </w:pPr>
      <w:r w:rsidRPr="00040D99">
        <w:rPr>
          <w:noProof/>
        </w:rPr>
        <w:t>Concrete examples of achievements</w:t>
      </w:r>
      <w:r>
        <w:rPr>
          <w:rFonts w:ascii="Calibri" w:hAnsi="Calibri" w:cs="Calibri"/>
          <w:noProof/>
        </w:rPr>
        <w:t> </w:t>
      </w:r>
      <w:r>
        <w:rPr>
          <w:noProof/>
        </w:rPr>
        <w:t>(*)</w:t>
      </w:r>
    </w:p>
    <w:tbl>
      <w:tblPr>
        <w:tblStyle w:val="PPO2021"/>
        <w:tblW w:w="9910" w:type="dxa"/>
        <w:tblInd w:w="0" w:type="dxa"/>
        <w:tblLook w:val="0200" w:firstRow="0" w:lastRow="0" w:firstColumn="0" w:lastColumn="0" w:noHBand="1" w:noVBand="0"/>
      </w:tblPr>
      <w:tblGrid>
        <w:gridCol w:w="2296"/>
        <w:gridCol w:w="2700"/>
        <w:gridCol w:w="2610"/>
        <w:gridCol w:w="2304"/>
      </w:tblGrid>
      <w:tr w:rsidR="001A33B7" w:rsidRPr="00040D99" w14:paraId="068EE8F5" w14:textId="77777777" w:rsidTr="00C46CC7">
        <w:tc>
          <w:tcPr>
            <w:tcW w:w="2296" w:type="dxa"/>
          </w:tcPr>
          <w:p w14:paraId="4ACA5007" w14:textId="77777777" w:rsidR="001A33B7" w:rsidRPr="0076270C" w:rsidRDefault="001A33B7" w:rsidP="00BB20EB">
            <w:pPr>
              <w:pStyle w:val="ppoTableacheivementvalue"/>
              <w:rPr>
                <w:noProof/>
              </w:rPr>
            </w:pPr>
            <w:r>
              <w:rPr>
                <w:noProof/>
              </w:rPr>
              <w:t>54</w:t>
            </w:r>
          </w:p>
          <w:p w14:paraId="4E6CF316" w14:textId="77777777" w:rsidR="001A33B7" w:rsidRPr="0076270C" w:rsidRDefault="001A33B7" w:rsidP="00962E3C">
            <w:pPr>
              <w:jc w:val="left"/>
              <w:rPr>
                <w:noProof/>
              </w:rPr>
            </w:pPr>
            <w:r>
              <w:rPr>
                <w:noProof/>
              </w:rPr>
              <w:t>actions that focus on developing digital solutions in the interoperability area were supported under the 2016-2020 ISA</w:t>
            </w:r>
            <w:r w:rsidRPr="00776FEE">
              <w:rPr>
                <w:noProof/>
                <w:vertAlign w:val="superscript"/>
              </w:rPr>
              <w:t>2</w:t>
            </w:r>
            <w:r>
              <w:rPr>
                <w:noProof/>
              </w:rPr>
              <w:t xml:space="preserve"> programme.</w:t>
            </w:r>
          </w:p>
        </w:tc>
        <w:tc>
          <w:tcPr>
            <w:cnfStyle w:val="000001000000" w:firstRow="0" w:lastRow="0" w:firstColumn="0" w:lastColumn="0" w:oddVBand="0" w:evenVBand="1" w:oddHBand="0" w:evenHBand="0" w:firstRowFirstColumn="0" w:firstRowLastColumn="0" w:lastRowFirstColumn="0" w:lastRowLastColumn="0"/>
            <w:tcW w:w="2700" w:type="dxa"/>
          </w:tcPr>
          <w:p w14:paraId="44B664F7" w14:textId="77777777" w:rsidR="001A33B7" w:rsidRPr="0076270C" w:rsidRDefault="001A33B7" w:rsidP="00BB20EB">
            <w:pPr>
              <w:pStyle w:val="ppoTableacheivementvalue"/>
              <w:rPr>
                <w:noProof/>
              </w:rPr>
            </w:pPr>
            <w:r>
              <w:rPr>
                <w:noProof/>
              </w:rPr>
              <w:t>2</w:t>
            </w:r>
          </w:p>
          <w:p w14:paraId="244C26A2" w14:textId="77777777" w:rsidR="001A33B7" w:rsidRPr="0076270C" w:rsidRDefault="001A33B7" w:rsidP="00962E3C">
            <w:pPr>
              <w:jc w:val="left"/>
              <w:rPr>
                <w:noProof/>
              </w:rPr>
            </w:pPr>
            <w:r>
              <w:rPr>
                <w:noProof/>
              </w:rPr>
              <w:t>EU-wide initiatives supported by the 2016-2020 ISA</w:t>
            </w:r>
            <w:r w:rsidRPr="00495B0C">
              <w:rPr>
                <w:noProof/>
                <w:vertAlign w:val="superscript"/>
              </w:rPr>
              <w:t>2</w:t>
            </w:r>
            <w:r>
              <w:rPr>
                <w:noProof/>
              </w:rPr>
              <w:t xml:space="preserve"> programme aim at an integrated interoperability approach in the EU (i.e. the European interoperability framework and digital public administration).</w:t>
            </w:r>
          </w:p>
        </w:tc>
        <w:tc>
          <w:tcPr>
            <w:tcW w:w="2610" w:type="dxa"/>
            <w:tcBorders>
              <w:bottom w:val="single" w:sz="4" w:space="0" w:color="8C8C8C"/>
            </w:tcBorders>
          </w:tcPr>
          <w:p w14:paraId="1872D298" w14:textId="77777777" w:rsidR="001A33B7" w:rsidRPr="0076270C" w:rsidRDefault="001A33B7" w:rsidP="00BB20EB">
            <w:pPr>
              <w:pStyle w:val="ppoTableacheivementvalue"/>
              <w:cnfStyle w:val="000000000000" w:firstRow="0" w:lastRow="0" w:firstColumn="0" w:lastColumn="0" w:oddVBand="0" w:evenVBand="0" w:oddHBand="0" w:evenHBand="0" w:firstRowFirstColumn="0" w:firstRowLastColumn="0" w:lastRowFirstColumn="0" w:lastRowLastColumn="0"/>
              <w:rPr>
                <w:noProof/>
              </w:rPr>
            </w:pPr>
            <w:r>
              <w:rPr>
                <w:noProof/>
              </w:rPr>
              <w:t>1344</w:t>
            </w:r>
          </w:p>
          <w:p w14:paraId="0805DE79" w14:textId="77777777" w:rsidR="001A33B7" w:rsidRDefault="001A33B7" w:rsidP="00962E3C">
            <w:pPr>
              <w:jc w:val="left"/>
              <w:cnfStyle w:val="000000000000" w:firstRow="0" w:lastRow="0" w:firstColumn="0" w:lastColumn="0" w:oddVBand="0" w:evenVBand="0" w:oddHBand="0" w:evenHBand="0" w:firstRowFirstColumn="0" w:firstRowLastColumn="0" w:lastRowFirstColumn="0" w:lastRowLastColumn="0"/>
              <w:rPr>
                <w:noProof/>
              </w:rPr>
            </w:pPr>
            <w:r>
              <w:rPr>
                <w:noProof/>
              </w:rPr>
              <w:t>EU initiatives were screened between 2016 and 2021 for potential information and communications technology and interoperability impact using the legal interoperability screening methodology under the 2016-2020 ISA</w:t>
            </w:r>
            <w:r w:rsidRPr="00495B0C">
              <w:rPr>
                <w:noProof/>
                <w:vertAlign w:val="superscript"/>
              </w:rPr>
              <w:t>2</w:t>
            </w:r>
            <w:r>
              <w:rPr>
                <w:noProof/>
              </w:rPr>
              <w:t xml:space="preserve"> programme.</w:t>
            </w:r>
          </w:p>
          <w:p w14:paraId="643485D9" w14:textId="77777777" w:rsidR="001A33B7" w:rsidRPr="0076270C" w:rsidRDefault="001A33B7" w:rsidP="00BB20EB">
            <w:pPr>
              <w:cnfStyle w:val="000000000000" w:firstRow="0" w:lastRow="0" w:firstColumn="0" w:lastColumn="0" w:oddVBand="0" w:evenVBand="0" w:oddHBand="0" w:evenHBand="0" w:firstRowFirstColumn="0" w:firstRowLastColumn="0" w:lastRowFirstColumn="0" w:lastRowLastColumn="0"/>
              <w:rPr>
                <w:noProof/>
              </w:rPr>
            </w:pPr>
          </w:p>
        </w:tc>
        <w:tc>
          <w:tcPr>
            <w:cnfStyle w:val="000001000000" w:firstRow="0" w:lastRow="0" w:firstColumn="0" w:lastColumn="0" w:oddVBand="0" w:evenVBand="1" w:oddHBand="0" w:evenHBand="0" w:firstRowFirstColumn="0" w:firstRowLastColumn="0" w:lastRowFirstColumn="0" w:lastRowLastColumn="0"/>
            <w:tcW w:w="2304" w:type="dxa"/>
          </w:tcPr>
          <w:p w14:paraId="4DFFB105" w14:textId="77777777" w:rsidR="001A33B7" w:rsidRPr="0076270C" w:rsidRDefault="001A33B7" w:rsidP="00BB20EB">
            <w:pPr>
              <w:pStyle w:val="ppoTableacheivementvalue"/>
              <w:rPr>
                <w:noProof/>
              </w:rPr>
            </w:pPr>
            <w:bookmarkStart w:id="66" w:name="_Hlk101971889"/>
            <w:r>
              <w:rPr>
                <w:noProof/>
              </w:rPr>
              <w:t>508</w:t>
            </w:r>
          </w:p>
          <w:p w14:paraId="6536E8D4" w14:textId="77777777" w:rsidR="001A33B7" w:rsidRPr="0076270C" w:rsidRDefault="001A33B7" w:rsidP="00962E3C">
            <w:pPr>
              <w:jc w:val="left"/>
              <w:rPr>
                <w:noProof/>
              </w:rPr>
            </w:pPr>
            <w:r>
              <w:rPr>
                <w:noProof/>
              </w:rPr>
              <w:t>events were organised or participated in by the 2016-2020 ISA² programme to increase its outreach (by 2021).</w:t>
            </w:r>
            <w:bookmarkEnd w:id="66"/>
          </w:p>
        </w:tc>
      </w:tr>
      <w:tr w:rsidR="001A33B7" w:rsidRPr="00040D99" w14:paraId="42A5F9BD" w14:textId="77777777" w:rsidTr="00C46CC7">
        <w:tc>
          <w:tcPr>
            <w:tcW w:w="2296" w:type="dxa"/>
          </w:tcPr>
          <w:p w14:paraId="338BAD9C" w14:textId="77777777" w:rsidR="001A33B7" w:rsidRPr="0076270C" w:rsidRDefault="001A33B7" w:rsidP="00BB20EB">
            <w:pPr>
              <w:pStyle w:val="ppoTableacheivementvalue"/>
              <w:rPr>
                <w:noProof/>
              </w:rPr>
            </w:pPr>
            <w:r>
              <w:rPr>
                <w:noProof/>
              </w:rPr>
              <w:t>20</w:t>
            </w:r>
          </w:p>
          <w:p w14:paraId="109012C4" w14:textId="77777777" w:rsidR="001A33B7" w:rsidRDefault="001A33B7" w:rsidP="00962E3C">
            <w:pPr>
              <w:jc w:val="left"/>
              <w:rPr>
                <w:noProof/>
              </w:rPr>
            </w:pPr>
            <w:r>
              <w:rPr>
                <w:noProof/>
              </w:rPr>
              <w:t>t</w:t>
            </w:r>
            <w:r w:rsidRPr="00841FAF">
              <w:rPr>
                <w:noProof/>
              </w:rPr>
              <w:t xml:space="preserve">rusted cross-border digital service infrastructures </w:t>
            </w:r>
            <w:r>
              <w:rPr>
                <w:noProof/>
              </w:rPr>
              <w:t xml:space="preserve">were </w:t>
            </w:r>
            <w:r w:rsidRPr="00841FAF">
              <w:rPr>
                <w:noProof/>
              </w:rPr>
              <w:t>deployed</w:t>
            </w:r>
            <w:r>
              <w:rPr>
                <w:noProof/>
              </w:rPr>
              <w:t xml:space="preserve"> under the 2014-2020 CEF Telecom. These were </w:t>
            </w:r>
            <w:r w:rsidRPr="00841FAF">
              <w:rPr>
                <w:noProof/>
              </w:rPr>
              <w:t>essential to trigger the digital transformation of public sector services in the Member States</w:t>
            </w:r>
            <w:r>
              <w:rPr>
                <w:noProof/>
              </w:rPr>
              <w:t>.</w:t>
            </w:r>
          </w:p>
        </w:tc>
        <w:tc>
          <w:tcPr>
            <w:cnfStyle w:val="000001000000" w:firstRow="0" w:lastRow="0" w:firstColumn="0" w:lastColumn="0" w:oddVBand="0" w:evenVBand="1" w:oddHBand="0" w:evenHBand="0" w:firstRowFirstColumn="0" w:firstRowLastColumn="0" w:lastRowFirstColumn="0" w:lastRowLastColumn="0"/>
            <w:tcW w:w="2700" w:type="dxa"/>
          </w:tcPr>
          <w:p w14:paraId="022C9B8F" w14:textId="77777777" w:rsidR="001A33B7" w:rsidRDefault="001A33B7" w:rsidP="00BB20EB">
            <w:pPr>
              <w:pStyle w:val="ppoTableacheivementvalue"/>
              <w:rPr>
                <w:noProof/>
              </w:rPr>
            </w:pPr>
            <w:r w:rsidRPr="00841FAF">
              <w:rPr>
                <w:noProof/>
              </w:rPr>
              <w:t>80</w:t>
            </w:r>
          </w:p>
          <w:p w14:paraId="045872D4" w14:textId="77777777" w:rsidR="001A33B7" w:rsidRPr="00841FAF" w:rsidRDefault="001A33B7" w:rsidP="00962E3C">
            <w:pPr>
              <w:jc w:val="left"/>
              <w:rPr>
                <w:noProof/>
              </w:rPr>
            </w:pPr>
            <w:r>
              <w:rPr>
                <w:noProof/>
              </w:rPr>
              <w:t>c</w:t>
            </w:r>
            <w:r w:rsidRPr="00841FAF">
              <w:rPr>
                <w:noProof/>
              </w:rPr>
              <w:t xml:space="preserve">alls for grants </w:t>
            </w:r>
            <w:r>
              <w:rPr>
                <w:noProof/>
              </w:rPr>
              <w:t>were</w:t>
            </w:r>
            <w:r w:rsidRPr="00841FAF">
              <w:rPr>
                <w:noProof/>
              </w:rPr>
              <w:t xml:space="preserve"> launched</w:t>
            </w:r>
            <w:r>
              <w:rPr>
                <w:noProof/>
              </w:rPr>
              <w:t xml:space="preserve"> under the 2014-2020 CEF Telecom</w:t>
            </w:r>
            <w:r w:rsidRPr="00841FAF">
              <w:rPr>
                <w:noProof/>
              </w:rPr>
              <w:t xml:space="preserve">, mobilising stakeholders in all Member States and </w:t>
            </w:r>
            <w:r>
              <w:rPr>
                <w:noProof/>
              </w:rPr>
              <w:t>countries associated with the European Free Trade Association</w:t>
            </w:r>
            <w:r w:rsidRPr="00841FAF">
              <w:rPr>
                <w:noProof/>
              </w:rPr>
              <w:t xml:space="preserve"> for the deployment of </w:t>
            </w:r>
            <w:r>
              <w:rPr>
                <w:noProof/>
              </w:rPr>
              <w:t>d</w:t>
            </w:r>
            <w:r w:rsidRPr="00841FAF">
              <w:rPr>
                <w:noProof/>
              </w:rPr>
              <w:t>igital service infrastructures</w:t>
            </w:r>
            <w:r>
              <w:rPr>
                <w:noProof/>
              </w:rPr>
              <w:t>.</w:t>
            </w:r>
          </w:p>
        </w:tc>
        <w:tc>
          <w:tcPr>
            <w:tcW w:w="2610" w:type="dxa"/>
            <w:tcBorders>
              <w:bottom w:val="single" w:sz="4" w:space="0" w:color="8C8C8C"/>
            </w:tcBorders>
          </w:tcPr>
          <w:p w14:paraId="5039D322" w14:textId="77777777" w:rsidR="001A33B7" w:rsidRDefault="001A33B7" w:rsidP="00BB20EB">
            <w:pPr>
              <w:pStyle w:val="ppoTableacheivementvalue"/>
              <w:cnfStyle w:val="000000000000" w:firstRow="0" w:lastRow="0" w:firstColumn="0" w:lastColumn="0" w:oddVBand="0" w:evenVBand="0" w:oddHBand="0" w:evenHBand="0" w:firstRowFirstColumn="0" w:firstRowLastColumn="0" w:lastRowFirstColumn="0" w:lastRowLastColumn="0"/>
              <w:rPr>
                <w:noProof/>
              </w:rPr>
            </w:pPr>
            <w:r w:rsidRPr="00841FAF">
              <w:rPr>
                <w:noProof/>
              </w:rPr>
              <w:t>735</w:t>
            </w:r>
          </w:p>
          <w:p w14:paraId="55659EF3" w14:textId="77777777" w:rsidR="001A33B7" w:rsidRPr="00841FAF" w:rsidRDefault="001A33B7" w:rsidP="00962E3C">
            <w:pPr>
              <w:jc w:val="left"/>
              <w:cnfStyle w:val="000000000000" w:firstRow="0" w:lastRow="0" w:firstColumn="0" w:lastColumn="0" w:oddVBand="0" w:evenVBand="0" w:oddHBand="0" w:evenHBand="0" w:firstRowFirstColumn="0" w:firstRowLastColumn="0" w:lastRowFirstColumn="0" w:lastRowLastColumn="0"/>
              <w:rPr>
                <w:noProof/>
              </w:rPr>
            </w:pPr>
            <w:r>
              <w:rPr>
                <w:noProof/>
              </w:rPr>
              <w:t>a</w:t>
            </w:r>
            <w:r w:rsidRPr="00841FAF">
              <w:rPr>
                <w:noProof/>
              </w:rPr>
              <w:t xml:space="preserve">ctions </w:t>
            </w:r>
            <w:r>
              <w:rPr>
                <w:noProof/>
              </w:rPr>
              <w:t>were</w:t>
            </w:r>
            <w:r w:rsidRPr="00841FAF">
              <w:rPr>
                <w:noProof/>
              </w:rPr>
              <w:t xml:space="preserve"> funded</w:t>
            </w:r>
            <w:r>
              <w:rPr>
                <w:noProof/>
              </w:rPr>
              <w:t xml:space="preserve"> under the 2014-2020 CEF Telecom</w:t>
            </w:r>
            <w:r w:rsidRPr="00841FAF">
              <w:rPr>
                <w:noProof/>
              </w:rPr>
              <w:t xml:space="preserve"> to promote the uptake of an ecosystem of 20 </w:t>
            </w:r>
            <w:r>
              <w:rPr>
                <w:noProof/>
              </w:rPr>
              <w:t>d</w:t>
            </w:r>
            <w:r w:rsidRPr="00841FAF">
              <w:rPr>
                <w:noProof/>
              </w:rPr>
              <w:t xml:space="preserve">igital </w:t>
            </w:r>
            <w:r>
              <w:rPr>
                <w:noProof/>
              </w:rPr>
              <w:t>s</w:t>
            </w:r>
            <w:r w:rsidRPr="00841FAF">
              <w:rPr>
                <w:noProof/>
              </w:rPr>
              <w:t xml:space="preserve">ervice </w:t>
            </w:r>
            <w:r>
              <w:rPr>
                <w:noProof/>
              </w:rPr>
              <w:t>i</w:t>
            </w:r>
            <w:r w:rsidRPr="00841FAF">
              <w:rPr>
                <w:noProof/>
              </w:rPr>
              <w:t>nfrastructures</w:t>
            </w:r>
            <w:r>
              <w:rPr>
                <w:noProof/>
              </w:rPr>
              <w:t xml:space="preserve"> that are</w:t>
            </w:r>
            <w:r w:rsidRPr="00841FAF">
              <w:rPr>
                <w:noProof/>
              </w:rPr>
              <w:t xml:space="preserve"> fully interoperable across the EU for citizens, businesses and public administrations.</w:t>
            </w:r>
          </w:p>
        </w:tc>
        <w:tc>
          <w:tcPr>
            <w:cnfStyle w:val="000001000000" w:firstRow="0" w:lastRow="0" w:firstColumn="0" w:lastColumn="0" w:oddVBand="0" w:evenVBand="1" w:oddHBand="0" w:evenHBand="0" w:firstRowFirstColumn="0" w:firstRowLastColumn="0" w:lastRowFirstColumn="0" w:lastRowLastColumn="0"/>
            <w:tcW w:w="2304" w:type="dxa"/>
            <w:tcBorders>
              <w:bottom w:val="nil"/>
            </w:tcBorders>
            <w:shd w:val="clear" w:color="auto" w:fill="FFFFFF" w:themeFill="background1"/>
          </w:tcPr>
          <w:p w14:paraId="368FB881" w14:textId="77777777" w:rsidR="001A33B7" w:rsidRDefault="001A33B7" w:rsidP="00BB20EB">
            <w:pPr>
              <w:pStyle w:val="ppoTableacheivementvalue"/>
              <w:rPr>
                <w:noProof/>
              </w:rPr>
            </w:pPr>
          </w:p>
        </w:tc>
      </w:tr>
    </w:tbl>
    <w:p w14:paraId="746AAF6F" w14:textId="77777777" w:rsidR="001A33B7" w:rsidRPr="00045449" w:rsidRDefault="001A33B7" w:rsidP="001A33B7">
      <w:pPr>
        <w:pStyle w:val="FootnoteText"/>
        <w:rPr>
          <w:rFonts w:eastAsiaTheme="minorEastAsia"/>
          <w:noProof/>
          <w:lang w:val="en-IE"/>
        </w:rPr>
      </w:pPr>
      <w:r w:rsidRPr="00045449">
        <w:rPr>
          <w:rFonts w:eastAsiaTheme="minorEastAsia"/>
          <w:noProof/>
          <w:lang w:val="en-IE"/>
        </w:rPr>
        <w:t>(*)</w:t>
      </w:r>
      <w:r>
        <w:rPr>
          <w:rFonts w:eastAsiaTheme="minorEastAsia"/>
          <w:noProof/>
          <w:lang w:val="en-IE"/>
        </w:rPr>
        <w:tab/>
      </w:r>
      <w:r w:rsidRPr="00045449">
        <w:rPr>
          <w:rFonts w:eastAsiaTheme="minorEastAsia"/>
          <w:noProof/>
          <w:lang w:val="en-IE"/>
        </w:rPr>
        <w:t>Key achievements in the table state which period they relate to. Many come from the implementation of the predecessor programmes under the 2014-2020 multiannual financial framework. This is expected and is due to the multiannual life cycle of EU programmes and the projects they finance, where results often follow only after completion of the programmes.</w:t>
      </w:r>
    </w:p>
    <w:p w14:paraId="3BD9251E" w14:textId="77777777" w:rsidR="001A33B7" w:rsidRPr="00EB79E5" w:rsidRDefault="001A33B7" w:rsidP="001A33B7">
      <w:pPr>
        <w:pStyle w:val="FootnoteText"/>
        <w:rPr>
          <w:rFonts w:eastAsiaTheme="minorEastAsia"/>
          <w:noProof/>
          <w:lang w:val="en-IE"/>
        </w:rPr>
      </w:pPr>
    </w:p>
    <w:p w14:paraId="1471CA0A" w14:textId="77777777" w:rsidR="001A33B7" w:rsidRDefault="001A33B7" w:rsidP="001A33B7">
      <w:pPr>
        <w:pStyle w:val="ppoHeading5"/>
        <w:rPr>
          <w:noProof/>
        </w:rPr>
      </w:pPr>
      <w:r w:rsidRPr="00040D99">
        <w:rPr>
          <w:noProof/>
        </w:rPr>
        <w:t xml:space="preserve">Budget </w:t>
      </w:r>
      <w:r>
        <w:rPr>
          <w:noProof/>
        </w:rPr>
        <w:t xml:space="preserve">for </w:t>
      </w:r>
      <w:r w:rsidRPr="00040D99">
        <w:rPr>
          <w:noProof/>
        </w:rPr>
        <w:t>2021-2027</w:t>
      </w:r>
    </w:p>
    <w:p w14:paraId="6C60A8D0" w14:textId="77777777" w:rsidR="001A33B7" w:rsidRPr="009359FF" w:rsidRDefault="001A33B7" w:rsidP="001A33B7">
      <w:pPr>
        <w:pStyle w:val="ppoTableTabletitle"/>
        <w:ind w:left="284"/>
        <w:rPr>
          <w:noProof/>
        </w:rPr>
      </w:pPr>
      <w:r>
        <w:rPr>
          <w:noProof/>
        </w:rPr>
        <w:t>(million EUR)</w:t>
      </w:r>
    </w:p>
    <w:tbl>
      <w:tblPr>
        <w:tblStyle w:val="PlainTable2"/>
        <w:tblW w:w="0" w:type="auto"/>
        <w:tblInd w:w="288" w:type="dxa"/>
        <w:tblLook w:val="04A0" w:firstRow="1" w:lastRow="0" w:firstColumn="1" w:lastColumn="0" w:noHBand="0" w:noVBand="1"/>
      </w:tblPr>
      <w:tblGrid>
        <w:gridCol w:w="4788"/>
        <w:gridCol w:w="2610"/>
      </w:tblGrid>
      <w:tr w:rsidR="001A33B7" w:rsidRPr="00214876" w14:paraId="020B4A59" w14:textId="77777777" w:rsidTr="00BB20EB">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533922D5" w14:textId="77777777" w:rsidR="001A33B7" w:rsidRPr="00214876" w:rsidRDefault="001A33B7" w:rsidP="00BB20EB">
            <w:pPr>
              <w:spacing w:before="120" w:after="120"/>
              <w:rPr>
                <w:noProof/>
              </w:rPr>
            </w:pPr>
            <w:r w:rsidRPr="00214876">
              <w:rPr>
                <w:rFonts w:cs="Calibri"/>
                <w:noProof/>
                <w:color w:val="000000"/>
              </w:rPr>
              <w:t>Financial programming</w:t>
            </w:r>
          </w:p>
        </w:tc>
        <w:tc>
          <w:tcPr>
            <w:tcW w:w="2610" w:type="dxa"/>
            <w:shd w:val="clear" w:color="auto" w:fill="auto"/>
            <w:vAlign w:val="bottom"/>
          </w:tcPr>
          <w:p w14:paraId="51FA152D" w14:textId="77777777" w:rsidR="001A33B7" w:rsidRPr="00214876" w:rsidRDefault="001A33B7" w:rsidP="00BB20EB">
            <w:pPr>
              <w:spacing w:before="120" w:after="120"/>
              <w:jc w:val="center"/>
              <w:cnfStyle w:val="100000000000" w:firstRow="1" w:lastRow="0" w:firstColumn="0" w:lastColumn="0" w:oddVBand="0" w:evenVBand="0" w:oddHBand="0" w:evenHBand="0" w:firstRowFirstColumn="0" w:firstRowLastColumn="0" w:lastRowFirstColumn="0" w:lastRowLastColumn="0"/>
              <w:rPr>
                <w:b w:val="0"/>
                <w:noProof/>
              </w:rPr>
            </w:pPr>
            <w:r w:rsidRPr="001E3CE3">
              <w:rPr>
                <w:rFonts w:cs="Calibri"/>
                <w:b w:val="0"/>
                <w:noProof/>
                <w:color w:val="000000"/>
              </w:rPr>
              <w:t>6 577.3</w:t>
            </w:r>
          </w:p>
        </w:tc>
      </w:tr>
      <w:tr w:rsidR="001A33B7" w:rsidRPr="00214876" w14:paraId="7AE6AEF6" w14:textId="77777777" w:rsidTr="00BB20E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062FFA7F" w14:textId="77777777" w:rsidR="001A33B7" w:rsidRPr="00214876" w:rsidRDefault="001A33B7" w:rsidP="00BB20EB">
            <w:pPr>
              <w:spacing w:before="120" w:after="120"/>
              <w:rPr>
                <w:b w:val="0"/>
                <w:noProof/>
              </w:rPr>
            </w:pPr>
            <w:r w:rsidRPr="00214876">
              <w:rPr>
                <w:rFonts w:cs="Calibri"/>
                <w:noProof/>
                <w:color w:val="000000"/>
              </w:rPr>
              <w:t>NextGenerationEU</w:t>
            </w:r>
          </w:p>
        </w:tc>
        <w:tc>
          <w:tcPr>
            <w:tcW w:w="2610" w:type="dxa"/>
            <w:vAlign w:val="bottom"/>
          </w:tcPr>
          <w:p w14:paraId="79A99C86" w14:textId="77777777" w:rsidR="001A33B7" w:rsidRPr="00214876" w:rsidRDefault="001A33B7" w:rsidP="00BB20EB">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Pr>
                <w:rFonts w:cs="Calibri"/>
                <w:noProof/>
                <w:color w:val="000000"/>
              </w:rPr>
              <w:t>0</w:t>
            </w:r>
          </w:p>
        </w:tc>
      </w:tr>
      <w:tr w:rsidR="001A33B7" w:rsidRPr="00214876" w14:paraId="6432718B" w14:textId="77777777" w:rsidTr="00BB20EB">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7ED312D1" w14:textId="77777777" w:rsidR="001A33B7" w:rsidRPr="00214876" w:rsidRDefault="001A33B7" w:rsidP="00BB20EB">
            <w:pPr>
              <w:spacing w:before="120" w:after="120"/>
              <w:rPr>
                <w:b w:val="0"/>
                <w:noProof/>
              </w:rPr>
            </w:pPr>
            <w:r w:rsidRPr="00807AC3">
              <w:rPr>
                <w:noProof/>
              </w:rPr>
              <w:t>Decommitments made available again</w:t>
            </w:r>
            <w:r>
              <w:rPr>
                <w:noProof/>
              </w:rPr>
              <w:t xml:space="preserve"> (</w:t>
            </w:r>
            <w:r w:rsidRPr="00807AC3">
              <w:rPr>
                <w:noProof/>
              </w:rPr>
              <w:t>*</w:t>
            </w:r>
            <w:r>
              <w:rPr>
                <w:noProof/>
              </w:rPr>
              <w:t>)</w:t>
            </w:r>
          </w:p>
        </w:tc>
        <w:tc>
          <w:tcPr>
            <w:tcW w:w="2610" w:type="dxa"/>
            <w:vAlign w:val="bottom"/>
          </w:tcPr>
          <w:p w14:paraId="0285DB15" w14:textId="77777777" w:rsidR="001A33B7" w:rsidRPr="00214876" w:rsidRDefault="001A33B7" w:rsidP="00BB20EB">
            <w:pPr>
              <w:spacing w:before="120" w:after="120"/>
              <w:jc w:val="center"/>
              <w:cnfStyle w:val="000000000000" w:firstRow="0" w:lastRow="0" w:firstColumn="0" w:lastColumn="0" w:oddVBand="0" w:evenVBand="0" w:oddHBand="0" w:evenHBand="0" w:firstRowFirstColumn="0" w:firstRowLastColumn="0" w:lastRowFirstColumn="0" w:lastRowLastColumn="0"/>
              <w:rPr>
                <w:noProof/>
              </w:rPr>
            </w:pPr>
            <w:r>
              <w:rPr>
                <w:noProof/>
              </w:rPr>
              <w:t>N/A</w:t>
            </w:r>
          </w:p>
        </w:tc>
      </w:tr>
      <w:tr w:rsidR="001A33B7" w:rsidRPr="00214876" w14:paraId="61C14E1F" w14:textId="77777777" w:rsidTr="00BB20E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7E3AD52F" w14:textId="77777777" w:rsidR="001A33B7" w:rsidRPr="00214876" w:rsidRDefault="001A33B7" w:rsidP="00BB20EB">
            <w:pPr>
              <w:spacing w:before="120" w:after="120"/>
              <w:rPr>
                <w:noProof/>
              </w:rPr>
            </w:pPr>
            <w:r w:rsidRPr="00214876">
              <w:rPr>
                <w:rFonts w:cs="Calibri"/>
                <w:noProof/>
                <w:color w:val="000000"/>
              </w:rPr>
              <w:t>Contributions from other countries and entities</w:t>
            </w:r>
          </w:p>
        </w:tc>
        <w:tc>
          <w:tcPr>
            <w:tcW w:w="2610" w:type="dxa"/>
            <w:vAlign w:val="bottom"/>
          </w:tcPr>
          <w:p w14:paraId="32116E4D" w14:textId="77777777" w:rsidR="001A33B7" w:rsidRPr="00214876" w:rsidRDefault="001A33B7" w:rsidP="00BB20EB">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Pr>
                <w:rFonts w:cs="Calibri"/>
                <w:noProof/>
                <w:color w:val="000000"/>
              </w:rPr>
              <w:t>30.5</w:t>
            </w:r>
          </w:p>
        </w:tc>
      </w:tr>
      <w:tr w:rsidR="001A33B7" w:rsidRPr="00214876" w14:paraId="110D9D09" w14:textId="77777777" w:rsidTr="00BB20EB">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2F2F2" w:themeFill="background1" w:themeFillShade="F2"/>
            <w:vAlign w:val="bottom"/>
          </w:tcPr>
          <w:p w14:paraId="4FDEE669" w14:textId="77777777" w:rsidR="001A33B7" w:rsidRPr="00214876" w:rsidRDefault="001A33B7" w:rsidP="00BB20EB">
            <w:pPr>
              <w:spacing w:before="120" w:after="120"/>
              <w:rPr>
                <w:noProof/>
              </w:rPr>
            </w:pPr>
            <w:r>
              <w:rPr>
                <w:rFonts w:cs="Calibri"/>
                <w:noProof/>
                <w:color w:val="000000"/>
              </w:rPr>
              <w:t>T</w:t>
            </w:r>
            <w:r w:rsidRPr="00214876">
              <w:rPr>
                <w:rFonts w:cs="Calibri"/>
                <w:noProof/>
                <w:color w:val="000000"/>
              </w:rPr>
              <w:t xml:space="preserve">otal budget </w:t>
            </w:r>
            <w:r>
              <w:rPr>
                <w:rFonts w:cs="Calibri"/>
                <w:noProof/>
                <w:color w:val="000000"/>
              </w:rPr>
              <w:t xml:space="preserve">for </w:t>
            </w:r>
            <w:r w:rsidRPr="00214876">
              <w:rPr>
                <w:rFonts w:cs="Calibri"/>
                <w:noProof/>
                <w:color w:val="000000"/>
              </w:rPr>
              <w:t>2021-2027</w:t>
            </w:r>
          </w:p>
        </w:tc>
        <w:tc>
          <w:tcPr>
            <w:tcW w:w="2610" w:type="dxa"/>
            <w:shd w:val="clear" w:color="auto" w:fill="F2F2F2" w:themeFill="background1" w:themeFillShade="F2"/>
            <w:vAlign w:val="bottom"/>
          </w:tcPr>
          <w:p w14:paraId="353A1A3E" w14:textId="77777777" w:rsidR="001A33B7" w:rsidRPr="00214876" w:rsidRDefault="001A33B7" w:rsidP="00BB20EB">
            <w:pPr>
              <w:spacing w:before="120" w:after="120"/>
              <w:jc w:val="center"/>
              <w:cnfStyle w:val="000000000000" w:firstRow="0" w:lastRow="0" w:firstColumn="0" w:lastColumn="0" w:oddVBand="0" w:evenVBand="0" w:oddHBand="0" w:evenHBand="0" w:firstRowFirstColumn="0" w:firstRowLastColumn="0" w:lastRowFirstColumn="0" w:lastRowLastColumn="0"/>
              <w:rPr>
                <w:b/>
                <w:noProof/>
              </w:rPr>
            </w:pPr>
            <w:r w:rsidRPr="001E3CE3">
              <w:rPr>
                <w:rFonts w:cs="Calibri"/>
                <w:b/>
                <w:noProof/>
                <w:color w:val="000000"/>
              </w:rPr>
              <w:t>6 607.8</w:t>
            </w:r>
          </w:p>
        </w:tc>
      </w:tr>
    </w:tbl>
    <w:p w14:paraId="524E13F2" w14:textId="77777777" w:rsidR="001A33B7" w:rsidRPr="002A4508" w:rsidRDefault="001A33B7" w:rsidP="001A33B7">
      <w:pPr>
        <w:tabs>
          <w:tab w:val="left" w:pos="6793"/>
        </w:tabs>
        <w:rPr>
          <w:noProof/>
          <w:sz w:val="18"/>
          <w:szCs w:val="18"/>
          <w:lang w:val="en-IE"/>
        </w:rPr>
      </w:pPr>
      <w:r>
        <w:rPr>
          <w:noProof/>
          <w:sz w:val="18"/>
          <w:szCs w:val="18"/>
          <w:lang w:val="en-IE"/>
        </w:rPr>
        <w:t>(</w:t>
      </w:r>
      <w:r w:rsidRPr="002A4508">
        <w:rPr>
          <w:noProof/>
          <w:sz w:val="18"/>
          <w:szCs w:val="18"/>
          <w:lang w:val="en-IE"/>
        </w:rPr>
        <w:t>*</w:t>
      </w:r>
      <w:r>
        <w:rPr>
          <w:noProof/>
          <w:sz w:val="18"/>
          <w:szCs w:val="18"/>
          <w:lang w:val="en-IE"/>
        </w:rPr>
        <w:t>)</w:t>
      </w:r>
      <w:r w:rsidRPr="002A4508">
        <w:rPr>
          <w:noProof/>
          <w:sz w:val="18"/>
          <w:szCs w:val="18"/>
          <w:lang w:val="en-IE"/>
        </w:rPr>
        <w:t xml:space="preserve"> Only Article</w:t>
      </w:r>
      <w:r w:rsidRPr="002A4508">
        <w:rPr>
          <w:rFonts w:ascii="Calibri" w:hAnsi="Calibri" w:cs="Calibri"/>
          <w:noProof/>
          <w:sz w:val="18"/>
          <w:szCs w:val="18"/>
          <w:lang w:val="en-IE"/>
        </w:rPr>
        <w:t> </w:t>
      </w:r>
      <w:r w:rsidRPr="002A4508">
        <w:rPr>
          <w:noProof/>
          <w:sz w:val="18"/>
          <w:szCs w:val="18"/>
          <w:lang w:val="en-IE"/>
        </w:rPr>
        <w:t xml:space="preserve">15(3) of the financial </w:t>
      </w:r>
      <w:r w:rsidRPr="00045449">
        <w:rPr>
          <w:noProof/>
          <w:sz w:val="18"/>
          <w:szCs w:val="18"/>
          <w:lang w:val="en-IE"/>
        </w:rPr>
        <w:t>r</w:t>
      </w:r>
      <w:r w:rsidRPr="002A4508">
        <w:rPr>
          <w:noProof/>
          <w:sz w:val="18"/>
          <w:szCs w:val="18"/>
          <w:lang w:val="en-IE"/>
        </w:rPr>
        <w:t>egulation</w:t>
      </w:r>
      <w:r w:rsidRPr="00045449">
        <w:rPr>
          <w:noProof/>
          <w:sz w:val="18"/>
          <w:szCs w:val="18"/>
          <w:lang w:val="en-IE"/>
        </w:rPr>
        <w:t>.</w:t>
      </w:r>
    </w:p>
    <w:p w14:paraId="1860152A" w14:textId="77777777" w:rsidR="001A33B7" w:rsidRPr="00040D99" w:rsidRDefault="001A33B7" w:rsidP="001A33B7">
      <w:pPr>
        <w:pStyle w:val="ppoHeading5"/>
        <w:rPr>
          <w:noProof/>
        </w:rPr>
      </w:pPr>
      <w:r w:rsidRPr="00040D99">
        <w:rPr>
          <w:noProof/>
        </w:rPr>
        <w:t>Rationale and design of the programme</w:t>
      </w:r>
    </w:p>
    <w:p w14:paraId="3918B577" w14:textId="77777777" w:rsidR="001A33B7" w:rsidRPr="00040D99" w:rsidRDefault="001A33B7" w:rsidP="001A33B7">
      <w:pPr>
        <w:rPr>
          <w:rFonts w:eastAsiaTheme="minorEastAsia"/>
          <w:noProof/>
        </w:rPr>
      </w:pPr>
      <w:r>
        <w:rPr>
          <w:rFonts w:eastAsiaTheme="minorEastAsia"/>
          <w:noProof/>
        </w:rPr>
        <w:t>The Digital Europe Programme</w:t>
      </w:r>
      <w:r w:rsidRPr="00D6226C">
        <w:rPr>
          <w:rFonts w:eastAsiaTheme="minorEastAsia"/>
          <w:noProof/>
        </w:rPr>
        <w:t xml:space="preserve"> is a new EU funding programme focused on bringing digital technology to businesses, citizens and public administrations. </w:t>
      </w:r>
      <w:r>
        <w:rPr>
          <w:rFonts w:eastAsiaTheme="minorEastAsia"/>
          <w:noProof/>
        </w:rPr>
        <w:t>It</w:t>
      </w:r>
      <w:r w:rsidRPr="00D6226C">
        <w:rPr>
          <w:rFonts w:eastAsiaTheme="minorEastAsia"/>
          <w:noProof/>
        </w:rPr>
        <w:t xml:space="preserve"> will provide strategic funding to </w:t>
      </w:r>
      <w:r>
        <w:rPr>
          <w:rFonts w:eastAsiaTheme="minorEastAsia"/>
          <w:noProof/>
        </w:rPr>
        <w:t>face</w:t>
      </w:r>
      <w:r w:rsidRPr="00D6226C">
        <w:rPr>
          <w:rFonts w:eastAsiaTheme="minorEastAsia"/>
          <w:noProof/>
        </w:rPr>
        <w:t xml:space="preserve"> </w:t>
      </w:r>
      <w:r>
        <w:rPr>
          <w:rFonts w:eastAsiaTheme="minorEastAsia"/>
          <w:noProof/>
        </w:rPr>
        <w:t>challenges in the area of digital technology and infrastructure, supporting projects in five</w:t>
      </w:r>
      <w:r w:rsidRPr="00D6226C">
        <w:rPr>
          <w:rFonts w:eastAsiaTheme="minorEastAsia"/>
          <w:noProof/>
        </w:rPr>
        <w:t xml:space="preserve"> key capacity areas: supercomputing, artificial intelligence, cybersecurity, advanced digital skills and </w:t>
      </w:r>
      <w:r>
        <w:rPr>
          <w:rFonts w:eastAsiaTheme="minorEastAsia"/>
          <w:noProof/>
        </w:rPr>
        <w:t>the</w:t>
      </w:r>
      <w:r w:rsidRPr="00D6226C">
        <w:rPr>
          <w:rFonts w:eastAsiaTheme="minorEastAsia"/>
          <w:noProof/>
        </w:rPr>
        <w:t xml:space="preserve"> wide use of digital technologies across the economy and society, including through </w:t>
      </w:r>
      <w:r>
        <w:rPr>
          <w:rFonts w:eastAsiaTheme="minorEastAsia"/>
          <w:noProof/>
        </w:rPr>
        <w:t>d</w:t>
      </w:r>
      <w:r w:rsidRPr="00D6226C">
        <w:rPr>
          <w:rFonts w:eastAsiaTheme="minorEastAsia"/>
          <w:noProof/>
        </w:rPr>
        <w:t xml:space="preserve">igital </w:t>
      </w:r>
      <w:r>
        <w:rPr>
          <w:rFonts w:eastAsiaTheme="minorEastAsia"/>
          <w:noProof/>
        </w:rPr>
        <w:t>i</w:t>
      </w:r>
      <w:r w:rsidRPr="00D6226C">
        <w:rPr>
          <w:rFonts w:eastAsiaTheme="minorEastAsia"/>
          <w:noProof/>
        </w:rPr>
        <w:t xml:space="preserve">nnovation </w:t>
      </w:r>
      <w:r>
        <w:rPr>
          <w:rFonts w:eastAsiaTheme="minorEastAsia"/>
          <w:noProof/>
        </w:rPr>
        <w:t>h</w:t>
      </w:r>
      <w:r w:rsidRPr="00D6226C">
        <w:rPr>
          <w:rFonts w:eastAsiaTheme="minorEastAsia"/>
          <w:noProof/>
        </w:rPr>
        <w:t>ubs.</w:t>
      </w:r>
    </w:p>
    <w:p w14:paraId="03F65B78" w14:textId="77777777" w:rsidR="001A33B7" w:rsidRPr="00040D99" w:rsidRDefault="001A33B7" w:rsidP="001A33B7">
      <w:pPr>
        <w:pStyle w:val="ppoHeading6"/>
        <w:rPr>
          <w:noProof/>
        </w:rPr>
      </w:pPr>
      <w:r w:rsidRPr="00040D99">
        <w:rPr>
          <w:noProof/>
        </w:rPr>
        <w:t>Challenge</w:t>
      </w:r>
      <w:r>
        <w:rPr>
          <w:noProof/>
        </w:rPr>
        <w:t>s</w:t>
      </w:r>
    </w:p>
    <w:p w14:paraId="1D1FB7C7" w14:textId="77777777" w:rsidR="001A33B7" w:rsidRDefault="001A33B7" w:rsidP="001A33B7">
      <w:pPr>
        <w:pStyle w:val="ListParagraph"/>
        <w:numPr>
          <w:ilvl w:val="0"/>
          <w:numId w:val="55"/>
        </w:numPr>
        <w:rPr>
          <w:noProof/>
        </w:rPr>
      </w:pPr>
      <w:r>
        <w:rPr>
          <w:noProof/>
        </w:rPr>
        <w:t>The global competition to control digital technologies forces the European businesses, public sector and researchers to access the computing, data or artificial intelligence resources they need outside the EU.</w:t>
      </w:r>
    </w:p>
    <w:p w14:paraId="64DA1513" w14:textId="77777777" w:rsidR="001A33B7" w:rsidRDefault="001A33B7" w:rsidP="001A33B7">
      <w:pPr>
        <w:pStyle w:val="ListParagraph"/>
        <w:numPr>
          <w:ilvl w:val="0"/>
          <w:numId w:val="55"/>
        </w:numPr>
        <w:rPr>
          <w:noProof/>
        </w:rPr>
      </w:pPr>
      <w:r>
        <w:rPr>
          <w:noProof/>
        </w:rPr>
        <w:t>Meanwhile, hundreds of thousands of jobs in crucial digital areas go unfilled, hampering investment and innovation. Moreover, unless the EU improves its cybersecurity capabilities, its vital infrastructure and data are at risk.</w:t>
      </w:r>
    </w:p>
    <w:p w14:paraId="1D675432" w14:textId="62517FBC" w:rsidR="001A33B7" w:rsidRDefault="001A33B7" w:rsidP="001A33B7">
      <w:pPr>
        <w:pStyle w:val="ListParagraph"/>
        <w:numPr>
          <w:ilvl w:val="0"/>
          <w:numId w:val="55"/>
        </w:numPr>
        <w:rPr>
          <w:noProof/>
        </w:rPr>
      </w:pPr>
      <w:r>
        <w:rPr>
          <w:noProof/>
        </w:rPr>
        <w:t xml:space="preserve">The uptake of digital technologies by European businesses, small and medium-sized enterprises and public administrations is very uneven. Unless the EU develops key digital capabilities, industries and skills, its </w:t>
      </w:r>
      <w:r w:rsidR="00A349ED">
        <w:rPr>
          <w:noProof/>
        </w:rPr>
        <w:t xml:space="preserve">open </w:t>
      </w:r>
      <w:r>
        <w:rPr>
          <w:noProof/>
        </w:rPr>
        <w:t>strategic autonomy and competitiveness are at stake.</w:t>
      </w:r>
    </w:p>
    <w:p w14:paraId="2015B0EC" w14:textId="77777777" w:rsidR="001A33B7" w:rsidRDefault="001A33B7" w:rsidP="001A33B7">
      <w:pPr>
        <w:pStyle w:val="ListParagraph"/>
        <w:ind w:left="0" w:firstLine="0"/>
        <w:rPr>
          <w:noProof/>
        </w:rPr>
      </w:pPr>
      <w:r>
        <w:rPr>
          <w:noProof/>
        </w:rPr>
        <w:t>Given the network effects of digitalisation (e.g. the need to promote EU</w:t>
      </w:r>
      <w:r w:rsidRPr="0078122C">
        <w:rPr>
          <w:rFonts w:ascii="Calibri" w:hAnsi="Calibri" w:cs="Calibri"/>
          <w:noProof/>
        </w:rPr>
        <w:t> </w:t>
      </w:r>
      <w:r>
        <w:rPr>
          <w:noProof/>
        </w:rPr>
        <w:t>interoperability and to reach critical mass in building state-of-the-art capacities), decisive action at the EU level is needed, with co-investments from Member States and the private sector.</w:t>
      </w:r>
    </w:p>
    <w:p w14:paraId="7B310E65" w14:textId="77777777" w:rsidR="001A33B7" w:rsidRPr="00040D99" w:rsidRDefault="001A33B7" w:rsidP="001A33B7">
      <w:pPr>
        <w:pStyle w:val="ppoHeading6"/>
        <w:rPr>
          <w:noProof/>
        </w:rPr>
      </w:pPr>
      <w:r w:rsidRPr="00040D99">
        <w:rPr>
          <w:noProof/>
        </w:rPr>
        <w:t>Mission</w:t>
      </w:r>
    </w:p>
    <w:p w14:paraId="24022F88" w14:textId="77777777" w:rsidR="001A33B7" w:rsidRDefault="001A33B7" w:rsidP="001A33B7">
      <w:pPr>
        <w:rPr>
          <w:noProof/>
        </w:rPr>
      </w:pPr>
      <w:r>
        <w:rPr>
          <w:noProof/>
        </w:rPr>
        <w:t>To support the digital transformation of the European economy and society, focusing on:</w:t>
      </w:r>
    </w:p>
    <w:p w14:paraId="02E62B2F" w14:textId="1B5E4E13" w:rsidR="001A33B7" w:rsidRDefault="001A33B7" w:rsidP="001A33B7">
      <w:pPr>
        <w:pStyle w:val="ppoListHyphened-L1"/>
        <w:rPr>
          <w:noProof/>
        </w:rPr>
      </w:pPr>
      <w:r>
        <w:rPr>
          <w:noProof/>
        </w:rPr>
        <w:t xml:space="preserve">building essential capacities and advanced skills in key digital technologies, contributing to the EU’s </w:t>
      </w:r>
      <w:r w:rsidR="00A349ED">
        <w:rPr>
          <w:noProof/>
        </w:rPr>
        <w:t xml:space="preserve">open </w:t>
      </w:r>
      <w:r>
        <w:rPr>
          <w:noProof/>
        </w:rPr>
        <w:t>strategic autonomy;</w:t>
      </w:r>
    </w:p>
    <w:p w14:paraId="53135515" w14:textId="77777777" w:rsidR="001A33B7" w:rsidRDefault="001A33B7" w:rsidP="001A33B7">
      <w:pPr>
        <w:pStyle w:val="ppoListHyphened-L1"/>
        <w:rPr>
          <w:noProof/>
        </w:rPr>
      </w:pPr>
      <w:r>
        <w:rPr>
          <w:noProof/>
        </w:rPr>
        <w:t>accelerating their deployment and making the best use of them in areas of public interest and the private sector.</w:t>
      </w:r>
    </w:p>
    <w:p w14:paraId="27B3EA83" w14:textId="77777777" w:rsidR="001A33B7" w:rsidRDefault="001A33B7" w:rsidP="001A33B7">
      <w:pPr>
        <w:pStyle w:val="ppoHeading6"/>
        <w:rPr>
          <w:noProof/>
        </w:rPr>
      </w:pPr>
      <w:r>
        <w:rPr>
          <w:noProof/>
        </w:rPr>
        <w:t>OBJECTIVES</w:t>
      </w:r>
    </w:p>
    <w:p w14:paraId="136FFEF5" w14:textId="77777777" w:rsidR="00F30137" w:rsidRDefault="00F30137" w:rsidP="00F30137">
      <w:pPr>
        <w:pStyle w:val="ppoListHyphened-L1"/>
        <w:rPr>
          <w:noProof/>
        </w:rPr>
      </w:pPr>
      <w:r>
        <w:rPr>
          <w:noProof/>
        </w:rPr>
        <w:t>To make the EU a world leader in high-performance computing, which will contribute to raising its scientific potential and industrial competitiveness.</w:t>
      </w:r>
    </w:p>
    <w:p w14:paraId="4A94C9E1" w14:textId="77777777" w:rsidR="00F30137" w:rsidRDefault="00F30137" w:rsidP="00F30137">
      <w:pPr>
        <w:pStyle w:val="ppoListHyphened-L1"/>
        <w:rPr>
          <w:noProof/>
        </w:rPr>
      </w:pPr>
      <w:bookmarkStart w:id="67" w:name="_Hlk99378331"/>
      <w:r>
        <w:rPr>
          <w:noProof/>
        </w:rPr>
        <w:t xml:space="preserve">To </w:t>
      </w:r>
      <w:r w:rsidRPr="00A50DD3">
        <w:rPr>
          <w:noProof/>
        </w:rPr>
        <w:t>b</w:t>
      </w:r>
      <w:r w:rsidRPr="00EC792F">
        <w:rPr>
          <w:noProof/>
        </w:rPr>
        <w:t>uild federated</w:t>
      </w:r>
      <w:r w:rsidRPr="001E3CE3">
        <w:rPr>
          <w:noProof/>
        </w:rPr>
        <w:t>,</w:t>
      </w:r>
      <w:r w:rsidRPr="00A50DD3">
        <w:rPr>
          <w:noProof/>
        </w:rPr>
        <w:t xml:space="preserve"> trusted</w:t>
      </w:r>
      <w:r>
        <w:rPr>
          <w:noProof/>
        </w:rPr>
        <w:t xml:space="preserve"> European cloud-to-edge infrastructure and services, which, together with the deployment of an ecosystem of European data spaces, will boost the deployment of artificial intelligence-based solutions in critical areas like climate change and health.</w:t>
      </w:r>
    </w:p>
    <w:bookmarkEnd w:id="67"/>
    <w:p w14:paraId="4911A484" w14:textId="77777777" w:rsidR="00F30137" w:rsidRDefault="00F30137" w:rsidP="00F30137">
      <w:pPr>
        <w:pStyle w:val="ppoListHyphened-L1"/>
        <w:rPr>
          <w:noProof/>
        </w:rPr>
      </w:pPr>
      <w:r>
        <w:rPr>
          <w:noProof/>
        </w:rPr>
        <w:t>To invest in cybersecurity to ensure the resilience, integrity and trustworthiness of EU critical networks, infrastructures and services.</w:t>
      </w:r>
    </w:p>
    <w:p w14:paraId="44E12562" w14:textId="77777777" w:rsidR="00F30137" w:rsidRDefault="00F30137" w:rsidP="00F30137">
      <w:pPr>
        <w:pStyle w:val="ppoListHyphened-L1"/>
        <w:rPr>
          <w:noProof/>
        </w:rPr>
      </w:pPr>
      <w:r>
        <w:rPr>
          <w:noProof/>
        </w:rPr>
        <w:t>To foster advanced digital skills in key technologies supported by the programme.</w:t>
      </w:r>
    </w:p>
    <w:p w14:paraId="0C63FABE" w14:textId="77777777" w:rsidR="00F30137" w:rsidRDefault="00F30137" w:rsidP="00F30137">
      <w:pPr>
        <w:pStyle w:val="ppoListHyphened-L1"/>
        <w:rPr>
          <w:noProof/>
        </w:rPr>
      </w:pPr>
      <w:r>
        <w:rPr>
          <w:noProof/>
        </w:rPr>
        <w:t xml:space="preserve">To widen the adoption and best use of key digital technologies </w:t>
      </w:r>
      <w:r w:rsidRPr="00841FAF">
        <w:rPr>
          <w:noProof/>
        </w:rPr>
        <w:t>and interoperability solutions</w:t>
      </w:r>
      <w:r>
        <w:rPr>
          <w:noProof/>
        </w:rPr>
        <w:t xml:space="preserve"> to make the EU more competitive and address major societal challenges.</w:t>
      </w:r>
    </w:p>
    <w:p w14:paraId="309C44F1" w14:textId="72971234" w:rsidR="001A33B7" w:rsidRPr="00040D99" w:rsidRDefault="00F30137" w:rsidP="00F30137">
      <w:pPr>
        <w:pStyle w:val="ppoHeading6"/>
        <w:rPr>
          <w:noProof/>
        </w:rPr>
      </w:pPr>
      <w:r w:rsidRPr="00040D99">
        <w:rPr>
          <w:noProof/>
        </w:rPr>
        <w:t xml:space="preserve"> </w:t>
      </w:r>
      <w:r w:rsidR="001A33B7" w:rsidRPr="00040D99">
        <w:rPr>
          <w:noProof/>
        </w:rPr>
        <w:t>Actions</w:t>
      </w:r>
    </w:p>
    <w:p w14:paraId="00E13770" w14:textId="77777777" w:rsidR="00F30137" w:rsidRDefault="00F30137" w:rsidP="00F30137">
      <w:pPr>
        <w:pStyle w:val="ListParagraph"/>
        <w:numPr>
          <w:ilvl w:val="0"/>
          <w:numId w:val="61"/>
        </w:numPr>
        <w:rPr>
          <w:noProof/>
        </w:rPr>
      </w:pPr>
      <w:r w:rsidRPr="001E3CE3">
        <w:rPr>
          <w:b/>
          <w:bCs/>
          <w:noProof/>
        </w:rPr>
        <w:t>High-performance computing</w:t>
      </w:r>
      <w:r>
        <w:rPr>
          <w:b/>
          <w:bCs/>
          <w:noProof/>
        </w:rPr>
        <w:t>.</w:t>
      </w:r>
      <w:r w:rsidRPr="001E3CE3">
        <w:rPr>
          <w:b/>
          <w:bCs/>
          <w:noProof/>
        </w:rPr>
        <w:t xml:space="preserve"> </w:t>
      </w:r>
      <w:r>
        <w:rPr>
          <w:noProof/>
        </w:rPr>
        <w:t>Deploying world-class exascale, post-exascale supercomputing and quantum computing capacities to ensure the widest access to and use of these capacities.</w:t>
      </w:r>
    </w:p>
    <w:p w14:paraId="5B188613" w14:textId="77777777" w:rsidR="00F30137" w:rsidRDefault="00F30137" w:rsidP="00F30137">
      <w:pPr>
        <w:pStyle w:val="ListParagraph"/>
        <w:numPr>
          <w:ilvl w:val="0"/>
          <w:numId w:val="61"/>
        </w:numPr>
        <w:rPr>
          <w:noProof/>
        </w:rPr>
      </w:pPr>
      <w:r w:rsidRPr="001E3CE3">
        <w:rPr>
          <w:b/>
          <w:bCs/>
          <w:noProof/>
        </w:rPr>
        <w:t xml:space="preserve">Artificial </w:t>
      </w:r>
      <w:r w:rsidRPr="00897B0E">
        <w:rPr>
          <w:b/>
          <w:bCs/>
          <w:noProof/>
        </w:rPr>
        <w:t>i</w:t>
      </w:r>
      <w:r w:rsidRPr="001E3CE3">
        <w:rPr>
          <w:b/>
          <w:bCs/>
          <w:noProof/>
        </w:rPr>
        <w:t>ntelligence</w:t>
      </w:r>
      <w:r>
        <w:rPr>
          <w:noProof/>
        </w:rPr>
        <w:t>. Deploying EU-wide common data spaces based on a cloud-to-edge federated infrastructure and promoting the testing and adoption of artificial intelligence-based solutions.</w:t>
      </w:r>
    </w:p>
    <w:p w14:paraId="56DC5E32" w14:textId="77777777" w:rsidR="00F30137" w:rsidRDefault="00F30137" w:rsidP="00F30137">
      <w:pPr>
        <w:pStyle w:val="ListParagraph"/>
        <w:numPr>
          <w:ilvl w:val="0"/>
          <w:numId w:val="61"/>
        </w:numPr>
        <w:rPr>
          <w:noProof/>
        </w:rPr>
      </w:pPr>
      <w:r w:rsidRPr="001E3CE3">
        <w:rPr>
          <w:b/>
          <w:bCs/>
          <w:noProof/>
        </w:rPr>
        <w:t>Cybersecurity</w:t>
      </w:r>
      <w:r>
        <w:rPr>
          <w:b/>
          <w:bCs/>
          <w:noProof/>
        </w:rPr>
        <w:t>.</w:t>
      </w:r>
      <w:r>
        <w:rPr>
          <w:noProof/>
        </w:rPr>
        <w:t xml:space="preserve"> Building up advanced cybersecurity capabilities (including a quantum secure communication infrastructure for Europe), promoting the sharing of best practices and </w:t>
      </w:r>
      <w:bookmarkStart w:id="68" w:name="_Hlk101950627"/>
      <w:r>
        <w:rPr>
          <w:noProof/>
        </w:rPr>
        <w:t>ensuring a wide deployment of the state-of-the-art cybersecurity solutions across the European economy</w:t>
      </w:r>
      <w:bookmarkEnd w:id="68"/>
      <w:r>
        <w:rPr>
          <w:noProof/>
        </w:rPr>
        <w:t>.</w:t>
      </w:r>
    </w:p>
    <w:p w14:paraId="5F167A8E" w14:textId="77777777" w:rsidR="00F30137" w:rsidRDefault="00F30137" w:rsidP="00F30137">
      <w:pPr>
        <w:pStyle w:val="ListParagraph"/>
        <w:numPr>
          <w:ilvl w:val="0"/>
          <w:numId w:val="61"/>
        </w:numPr>
        <w:rPr>
          <w:noProof/>
        </w:rPr>
      </w:pPr>
      <w:r w:rsidRPr="001E3CE3">
        <w:rPr>
          <w:b/>
          <w:bCs/>
          <w:noProof/>
        </w:rPr>
        <w:t>Advanced digital skills</w:t>
      </w:r>
      <w:r>
        <w:rPr>
          <w:b/>
          <w:bCs/>
          <w:noProof/>
        </w:rPr>
        <w:t>.</w:t>
      </w:r>
      <w:r>
        <w:rPr>
          <w:noProof/>
        </w:rPr>
        <w:t xml:space="preserve"> Boosting academic excellence by increasing the education and training offer in key digital technologies, such as high-performance computing, cybersecurity and artificial intelligence.</w:t>
      </w:r>
    </w:p>
    <w:p w14:paraId="7C6883FB" w14:textId="77777777" w:rsidR="00F30137" w:rsidRDefault="00F30137" w:rsidP="00F30137">
      <w:pPr>
        <w:pStyle w:val="ListParagraph"/>
        <w:numPr>
          <w:ilvl w:val="0"/>
          <w:numId w:val="61"/>
        </w:numPr>
        <w:rPr>
          <w:noProof/>
        </w:rPr>
      </w:pPr>
      <w:r w:rsidRPr="001E3CE3">
        <w:rPr>
          <w:b/>
          <w:bCs/>
          <w:noProof/>
        </w:rPr>
        <w:t>Adoption and best use of key digital technologies</w:t>
      </w:r>
      <w:r>
        <w:rPr>
          <w:b/>
          <w:bCs/>
          <w:noProof/>
        </w:rPr>
        <w:t>.</w:t>
      </w:r>
      <w:r>
        <w:rPr>
          <w:noProof/>
        </w:rPr>
        <w:t xml:space="preserve"> Deploying a network of European digital innovation hubs supporting the digital transformation of European public and private organisations, addressing key societal challenges (e.g. environment and climate change) via high-impact deployments and reinforcing the European blockchain capacities and the digital transformation of public administrations and services through </w:t>
      </w:r>
      <w:r w:rsidRPr="00841FAF">
        <w:rPr>
          <w:noProof/>
        </w:rPr>
        <w:t>interoperability solutions</w:t>
      </w:r>
      <w:r>
        <w:rPr>
          <w:noProof/>
        </w:rPr>
        <w:t xml:space="preserve"> while promoting an inclusive and trustworthy digital space.</w:t>
      </w:r>
    </w:p>
    <w:p w14:paraId="21E03E21" w14:textId="509C31B0" w:rsidR="001A33B7" w:rsidRPr="00040D99" w:rsidRDefault="00F30137" w:rsidP="00F30137">
      <w:pPr>
        <w:pStyle w:val="ppoHeading6"/>
        <w:rPr>
          <w:noProof/>
        </w:rPr>
      </w:pPr>
      <w:r w:rsidRPr="00040D99">
        <w:rPr>
          <w:noProof/>
        </w:rPr>
        <w:t xml:space="preserve"> </w:t>
      </w:r>
      <w:r w:rsidR="001A33B7" w:rsidRPr="00040D99">
        <w:rPr>
          <w:noProof/>
        </w:rPr>
        <w:t>Delivery mode</w:t>
      </w:r>
    </w:p>
    <w:p w14:paraId="05D04016" w14:textId="77777777" w:rsidR="00F30137" w:rsidRDefault="00F30137" w:rsidP="00F30137">
      <w:pPr>
        <w:rPr>
          <w:noProof/>
        </w:rPr>
      </w:pPr>
      <w:r>
        <w:rPr>
          <w:noProof/>
        </w:rPr>
        <w:t>Actions focused on the cloud, data, artificial intelligence, quantum communication infrastructure, advanced digital skills and spreading the best use of digital technologies (including the network of digital innovation hHubs) are directly managed by the European Commission with the support in some of these areas from the Executive Agency for Health and Digitalisation (</w:t>
      </w:r>
      <w:r w:rsidRPr="00976A58">
        <w:rPr>
          <w:noProof/>
        </w:rPr>
        <w:t>HaDEA</w:t>
      </w:r>
      <w:r>
        <w:rPr>
          <w:noProof/>
        </w:rPr>
        <w:t>). The HPC actions are implemented primarily through the EuroHPC joint undertaking. Cybersecurity actions are implemented primarily through the European Cybersecurity Industrial, Technology and Research Competence Centre and the Cybersecurity Competence Network. The lead DG is DG CNECT.</w:t>
      </w:r>
    </w:p>
    <w:p w14:paraId="7D03AA8A" w14:textId="213750EE" w:rsidR="001A33B7" w:rsidRPr="00040D99" w:rsidRDefault="00F30137" w:rsidP="00F30137">
      <w:pPr>
        <w:pStyle w:val="ppoHeading6"/>
        <w:rPr>
          <w:noProof/>
        </w:rPr>
      </w:pPr>
      <w:r>
        <w:rPr>
          <w:noProof/>
        </w:rPr>
        <w:t xml:space="preserve"> </w:t>
      </w:r>
      <w:r w:rsidR="001A33B7">
        <w:rPr>
          <w:noProof/>
        </w:rPr>
        <w:t>LINK TO THE 2014-2020 MFF</w:t>
      </w:r>
    </w:p>
    <w:p w14:paraId="10B26420" w14:textId="77777777" w:rsidR="001A33B7" w:rsidRDefault="001A33B7" w:rsidP="001A33B7">
      <w:pPr>
        <w:rPr>
          <w:noProof/>
        </w:rPr>
      </w:pPr>
      <w:r>
        <w:rPr>
          <w:noProof/>
        </w:rPr>
        <w:t>Although Digital Europe is a new programme, some of its activities build on the achievements of selected actions deployed in the previous Multiannual Financial Framework under CEF Telecom and ISA</w:t>
      </w:r>
      <w:r w:rsidRPr="00897D6F">
        <w:rPr>
          <w:noProof/>
          <w:vertAlign w:val="superscript"/>
        </w:rPr>
        <w:t>2</w:t>
      </w:r>
      <w:r>
        <w:rPr>
          <w:noProof/>
        </w:rPr>
        <w:t xml:space="preserve"> (supporting the interoperability of the European public administrations). The programme also builds on results from the Horizon 2020 programme, making it possible to move technologies such as HPC and Artificial Intelligence into large-scale deployments.</w:t>
      </w:r>
    </w:p>
    <w:p w14:paraId="26B7D9FF" w14:textId="77777777" w:rsidR="001A33B7" w:rsidRPr="00040D99" w:rsidRDefault="001A33B7" w:rsidP="001A33B7">
      <w:pPr>
        <w:pStyle w:val="ppoHeading6"/>
        <w:rPr>
          <w:noProof/>
        </w:rPr>
      </w:pPr>
      <w:r w:rsidRPr="00040D99">
        <w:rPr>
          <w:noProof/>
        </w:rPr>
        <w:t>Impact assessment</w:t>
      </w:r>
    </w:p>
    <w:p w14:paraId="7632D237" w14:textId="77777777" w:rsidR="001A33B7" w:rsidRDefault="001A33B7" w:rsidP="001A33B7">
      <w:pPr>
        <w:rPr>
          <w:rFonts w:ascii="Calibri" w:hAnsi="Calibri" w:cs="Calibri"/>
          <w:noProof/>
        </w:rPr>
      </w:pPr>
      <w:r>
        <w:rPr>
          <w:noProof/>
        </w:rPr>
        <w:t>The impact assessment for the Digital Europe Programme was carried out in 2018.</w:t>
      </w:r>
      <w:r>
        <w:rPr>
          <w:rFonts w:ascii="Calibri" w:hAnsi="Calibri" w:cs="Calibri"/>
          <w:noProof/>
        </w:rPr>
        <w:t>  </w:t>
      </w:r>
    </w:p>
    <w:p w14:paraId="16B78C3B" w14:textId="27057633" w:rsidR="001A33B7" w:rsidRDefault="001A33B7" w:rsidP="001A33B7">
      <w:pPr>
        <w:rPr>
          <w:noProof/>
        </w:rPr>
      </w:pPr>
      <w:r>
        <w:rPr>
          <w:noProof/>
        </w:rPr>
        <w:t xml:space="preserve">For further information please consult: </w:t>
      </w:r>
      <w:r w:rsidR="00CC6C43">
        <w:rPr>
          <w:noProof/>
        </w:rPr>
        <w:t>https://europa.eu/!BJ66th</w:t>
      </w:r>
    </w:p>
    <w:p w14:paraId="1A8B7DD7" w14:textId="77777777" w:rsidR="001A33B7" w:rsidRDefault="001A33B7" w:rsidP="001A33B7">
      <w:pPr>
        <w:pStyle w:val="ppoHeading6"/>
        <w:rPr>
          <w:noProof/>
        </w:rPr>
      </w:pPr>
      <w:r>
        <w:rPr>
          <w:noProof/>
        </w:rPr>
        <w:t>WEBSITE FOR more information</w:t>
      </w:r>
    </w:p>
    <w:p w14:paraId="746762BD" w14:textId="77777777" w:rsidR="001A33B7" w:rsidRDefault="00E01E9B" w:rsidP="001A33B7">
      <w:pPr>
        <w:rPr>
          <w:noProof/>
        </w:rPr>
      </w:pPr>
      <w:hyperlink r:id="rId135" w:history="1">
        <w:r w:rsidR="001A33B7" w:rsidRPr="00ED7EA4">
          <w:rPr>
            <w:rStyle w:val="Hyperlink"/>
            <w:noProof/>
          </w:rPr>
          <w:t>https://europa.eu/!pQ93Fc</w:t>
        </w:r>
      </w:hyperlink>
    </w:p>
    <w:p w14:paraId="3D43F15C" w14:textId="77777777" w:rsidR="001A33B7" w:rsidRPr="00040D99" w:rsidRDefault="001A33B7" w:rsidP="001A33B7">
      <w:pPr>
        <w:pStyle w:val="ppoHeading5"/>
        <w:rPr>
          <w:noProof/>
        </w:rPr>
      </w:pPr>
      <w:r w:rsidRPr="00040D99">
        <w:rPr>
          <w:rFonts w:eastAsiaTheme="minorEastAsia"/>
          <w:noProof/>
        </w:rPr>
        <w:t>Legal Bas</w:t>
      </w:r>
      <w:r>
        <w:rPr>
          <w:rFonts w:eastAsiaTheme="minorEastAsia"/>
          <w:noProof/>
        </w:rPr>
        <w:t>is</w:t>
      </w:r>
    </w:p>
    <w:p w14:paraId="5207FDEE" w14:textId="77777777" w:rsidR="00F30137" w:rsidRDefault="00F30137" w:rsidP="00F30137">
      <w:pPr>
        <w:rPr>
          <w:noProof/>
        </w:rPr>
      </w:pPr>
      <w:r w:rsidRPr="001E3CE3">
        <w:rPr>
          <w:noProof/>
        </w:rPr>
        <w:t>Regulation (EU) 2021/694 of the European Parliament and of the Council</w:t>
      </w:r>
      <w:r>
        <w:rPr>
          <w:noProof/>
        </w:rPr>
        <w:t>.</w:t>
      </w:r>
    </w:p>
    <w:p w14:paraId="786F60B3" w14:textId="17A563F0" w:rsidR="001A33B7" w:rsidRPr="00040D99" w:rsidRDefault="00F30137" w:rsidP="00F30137">
      <w:pPr>
        <w:pStyle w:val="ppoHeading4Orange"/>
        <w:rPr>
          <w:caps/>
          <w:noProof/>
        </w:rPr>
      </w:pPr>
      <w:r w:rsidRPr="00040D99">
        <w:rPr>
          <w:noProof/>
        </w:rPr>
        <w:t xml:space="preserve"> </w:t>
      </w:r>
      <w:r w:rsidR="001A33B7" w:rsidRPr="00040D99">
        <w:rPr>
          <w:noProof/>
        </w:rPr>
        <w:t>Implementation and performance</w:t>
      </w:r>
    </w:p>
    <w:p w14:paraId="63DDBA1F" w14:textId="77777777" w:rsidR="001A33B7" w:rsidRPr="00040D99" w:rsidRDefault="001A33B7" w:rsidP="001A33B7">
      <w:pPr>
        <w:pStyle w:val="ppoHeading5"/>
        <w:rPr>
          <w:noProof/>
        </w:rPr>
      </w:pPr>
      <w:r w:rsidRPr="00040D99">
        <w:rPr>
          <w:noProof/>
        </w:rPr>
        <w:t>Budget</w:t>
      </w:r>
    </w:p>
    <w:p w14:paraId="4C3A2448" w14:textId="77777777" w:rsidR="001A33B7" w:rsidRPr="00040D99" w:rsidRDefault="001A33B7" w:rsidP="001A33B7">
      <w:pPr>
        <w:pStyle w:val="ppoTableTabletitle"/>
        <w:rPr>
          <w:noProof/>
        </w:rPr>
      </w:pPr>
      <w:r w:rsidRPr="00807AC3">
        <w:rPr>
          <w:noProof/>
        </w:rPr>
        <w:t>Budget programming</w:t>
      </w:r>
      <w:r>
        <w:rPr>
          <w:noProof/>
        </w:rPr>
        <w:t xml:space="preserve"> (million 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1A33B7" w:rsidRPr="00040D99" w14:paraId="5DB65625" w14:textId="77777777" w:rsidTr="00BB20EB">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6D8EC302" w14:textId="77777777" w:rsidR="001A33B7" w:rsidRPr="00807AC3" w:rsidRDefault="001A33B7" w:rsidP="00BB20EB">
            <w:pPr>
              <w:rPr>
                <w:noProof/>
              </w:rPr>
            </w:pPr>
          </w:p>
        </w:tc>
        <w:tc>
          <w:tcPr>
            <w:tcW w:w="943" w:type="dxa"/>
            <w:noWrap/>
            <w:hideMark/>
          </w:tcPr>
          <w:p w14:paraId="18DC104D" w14:textId="77777777" w:rsidR="001A33B7" w:rsidRPr="00807AC3" w:rsidRDefault="001A33B7" w:rsidP="00BB20EB">
            <w:pPr>
              <w:rPr>
                <w:noProof/>
              </w:rPr>
            </w:pPr>
            <w:r w:rsidRPr="00807AC3">
              <w:rPr>
                <w:noProof/>
              </w:rPr>
              <w:t>2021</w:t>
            </w:r>
          </w:p>
        </w:tc>
        <w:tc>
          <w:tcPr>
            <w:tcW w:w="944" w:type="dxa"/>
            <w:noWrap/>
            <w:hideMark/>
          </w:tcPr>
          <w:p w14:paraId="4D6A1517" w14:textId="77777777" w:rsidR="001A33B7" w:rsidRPr="00807AC3" w:rsidRDefault="001A33B7" w:rsidP="00BB20EB">
            <w:pPr>
              <w:rPr>
                <w:noProof/>
              </w:rPr>
            </w:pPr>
            <w:r w:rsidRPr="00807AC3">
              <w:rPr>
                <w:noProof/>
              </w:rPr>
              <w:t>2022</w:t>
            </w:r>
          </w:p>
        </w:tc>
        <w:tc>
          <w:tcPr>
            <w:tcW w:w="943" w:type="dxa"/>
            <w:noWrap/>
            <w:hideMark/>
          </w:tcPr>
          <w:p w14:paraId="79B7F941" w14:textId="77777777" w:rsidR="001A33B7" w:rsidRPr="00807AC3" w:rsidRDefault="001A33B7" w:rsidP="00BB20EB">
            <w:pPr>
              <w:rPr>
                <w:noProof/>
              </w:rPr>
            </w:pPr>
            <w:r w:rsidRPr="00807AC3">
              <w:rPr>
                <w:noProof/>
              </w:rPr>
              <w:t>2023</w:t>
            </w:r>
          </w:p>
        </w:tc>
        <w:tc>
          <w:tcPr>
            <w:tcW w:w="944" w:type="dxa"/>
            <w:noWrap/>
            <w:hideMark/>
          </w:tcPr>
          <w:p w14:paraId="21E23404" w14:textId="77777777" w:rsidR="001A33B7" w:rsidRPr="00807AC3" w:rsidRDefault="001A33B7" w:rsidP="00BB20EB">
            <w:pPr>
              <w:rPr>
                <w:noProof/>
              </w:rPr>
            </w:pPr>
            <w:r w:rsidRPr="00807AC3">
              <w:rPr>
                <w:noProof/>
              </w:rPr>
              <w:t>2024</w:t>
            </w:r>
          </w:p>
        </w:tc>
        <w:tc>
          <w:tcPr>
            <w:tcW w:w="944" w:type="dxa"/>
            <w:noWrap/>
            <w:hideMark/>
          </w:tcPr>
          <w:p w14:paraId="7DF24B9A" w14:textId="77777777" w:rsidR="001A33B7" w:rsidRPr="00807AC3" w:rsidRDefault="001A33B7" w:rsidP="00BB20EB">
            <w:pPr>
              <w:rPr>
                <w:noProof/>
              </w:rPr>
            </w:pPr>
            <w:r w:rsidRPr="00807AC3">
              <w:rPr>
                <w:noProof/>
              </w:rPr>
              <w:t>2025</w:t>
            </w:r>
          </w:p>
        </w:tc>
        <w:tc>
          <w:tcPr>
            <w:tcW w:w="943" w:type="dxa"/>
            <w:noWrap/>
            <w:hideMark/>
          </w:tcPr>
          <w:p w14:paraId="534B3E18" w14:textId="77777777" w:rsidR="001A33B7" w:rsidRPr="00807AC3" w:rsidRDefault="001A33B7" w:rsidP="00BB20EB">
            <w:pPr>
              <w:rPr>
                <w:noProof/>
              </w:rPr>
            </w:pPr>
            <w:r w:rsidRPr="00807AC3">
              <w:rPr>
                <w:noProof/>
              </w:rPr>
              <w:t>2026</w:t>
            </w:r>
          </w:p>
        </w:tc>
        <w:tc>
          <w:tcPr>
            <w:tcW w:w="944" w:type="dxa"/>
            <w:noWrap/>
            <w:hideMark/>
          </w:tcPr>
          <w:p w14:paraId="0899EEF8" w14:textId="77777777" w:rsidR="001A33B7" w:rsidRPr="00807AC3" w:rsidRDefault="001A33B7" w:rsidP="00BB20EB">
            <w:pPr>
              <w:rPr>
                <w:noProof/>
              </w:rPr>
            </w:pPr>
            <w:r w:rsidRPr="00807AC3">
              <w:rPr>
                <w:noProof/>
              </w:rPr>
              <w:t>2027</w:t>
            </w:r>
          </w:p>
        </w:tc>
        <w:tc>
          <w:tcPr>
            <w:tcW w:w="944" w:type="dxa"/>
            <w:noWrap/>
            <w:hideMark/>
          </w:tcPr>
          <w:p w14:paraId="1471682E" w14:textId="77777777" w:rsidR="001A33B7" w:rsidRPr="00807AC3" w:rsidRDefault="001A33B7" w:rsidP="00BB20EB">
            <w:pPr>
              <w:rPr>
                <w:noProof/>
              </w:rPr>
            </w:pPr>
            <w:r w:rsidRPr="00807AC3">
              <w:rPr>
                <w:noProof/>
              </w:rPr>
              <w:t>Total</w:t>
            </w:r>
          </w:p>
        </w:tc>
      </w:tr>
      <w:tr w:rsidR="001A33B7" w:rsidRPr="00040D99" w14:paraId="19C3FA9C" w14:textId="77777777" w:rsidTr="00BB20EB">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3713B471" w14:textId="77777777" w:rsidR="001A33B7" w:rsidRPr="00807AC3" w:rsidRDefault="001A33B7" w:rsidP="00BB20EB">
            <w:pPr>
              <w:rPr>
                <w:noProof/>
              </w:rPr>
            </w:pPr>
            <w:r w:rsidRPr="00807AC3">
              <w:rPr>
                <w:noProof/>
              </w:rPr>
              <w:t>Financial programming</w:t>
            </w:r>
          </w:p>
        </w:tc>
        <w:tc>
          <w:tcPr>
            <w:tcW w:w="943" w:type="dxa"/>
            <w:noWrap/>
            <w:hideMark/>
          </w:tcPr>
          <w:p w14:paraId="09FE1537" w14:textId="77777777" w:rsidR="001A33B7" w:rsidRPr="00807AC3" w:rsidRDefault="001A33B7" w:rsidP="00BB20EB">
            <w:pPr>
              <w:jc w:val="center"/>
              <w:rPr>
                <w:noProof/>
              </w:rPr>
            </w:pPr>
            <w:r w:rsidRPr="00FD4ED0">
              <w:rPr>
                <w:noProof/>
              </w:rPr>
              <w:t>1</w:t>
            </w:r>
            <w:r>
              <w:rPr>
                <w:rFonts w:ascii="Calibri" w:hAnsi="Calibri" w:cs="Calibri"/>
                <w:noProof/>
              </w:rPr>
              <w:t> </w:t>
            </w:r>
            <w:r w:rsidRPr="00FD4ED0">
              <w:rPr>
                <w:noProof/>
              </w:rPr>
              <w:t>130</w:t>
            </w:r>
            <w:r>
              <w:rPr>
                <w:noProof/>
              </w:rPr>
              <w:t>.</w:t>
            </w:r>
            <w:r w:rsidRPr="00FD4ED0">
              <w:rPr>
                <w:noProof/>
              </w:rPr>
              <w:t>5</w:t>
            </w:r>
          </w:p>
        </w:tc>
        <w:tc>
          <w:tcPr>
            <w:tcW w:w="944" w:type="dxa"/>
            <w:noWrap/>
            <w:hideMark/>
          </w:tcPr>
          <w:p w14:paraId="7380A15D" w14:textId="77777777" w:rsidR="001A33B7" w:rsidRPr="00807AC3" w:rsidRDefault="001A33B7" w:rsidP="00BB20EB">
            <w:pPr>
              <w:jc w:val="center"/>
              <w:rPr>
                <w:noProof/>
              </w:rPr>
            </w:pPr>
            <w:r w:rsidRPr="00FD4ED0">
              <w:rPr>
                <w:noProof/>
              </w:rPr>
              <w:t>1</w:t>
            </w:r>
            <w:r>
              <w:rPr>
                <w:rFonts w:ascii="Calibri" w:hAnsi="Calibri" w:cs="Calibri"/>
                <w:noProof/>
              </w:rPr>
              <w:t> </w:t>
            </w:r>
            <w:r w:rsidRPr="00FD4ED0">
              <w:rPr>
                <w:noProof/>
              </w:rPr>
              <w:t>247</w:t>
            </w:r>
            <w:r>
              <w:rPr>
                <w:noProof/>
              </w:rPr>
              <w:t>.</w:t>
            </w:r>
            <w:r w:rsidRPr="00FD4ED0">
              <w:rPr>
                <w:noProof/>
              </w:rPr>
              <w:t>8</w:t>
            </w:r>
          </w:p>
        </w:tc>
        <w:tc>
          <w:tcPr>
            <w:tcW w:w="943" w:type="dxa"/>
            <w:noWrap/>
            <w:hideMark/>
          </w:tcPr>
          <w:p w14:paraId="28BB6A71" w14:textId="77777777" w:rsidR="001A33B7" w:rsidRPr="00807AC3" w:rsidRDefault="001A33B7" w:rsidP="00BB20EB">
            <w:pPr>
              <w:jc w:val="center"/>
              <w:rPr>
                <w:noProof/>
              </w:rPr>
            </w:pPr>
            <w:r w:rsidRPr="0023481F">
              <w:rPr>
                <w:noProof/>
              </w:rPr>
              <w:t>1 023.6</w:t>
            </w:r>
          </w:p>
        </w:tc>
        <w:tc>
          <w:tcPr>
            <w:tcW w:w="944" w:type="dxa"/>
            <w:noWrap/>
            <w:hideMark/>
          </w:tcPr>
          <w:p w14:paraId="38EF3C0E" w14:textId="77777777" w:rsidR="001A33B7" w:rsidRPr="00807AC3" w:rsidRDefault="001A33B7" w:rsidP="00BB20EB">
            <w:pPr>
              <w:jc w:val="center"/>
              <w:rPr>
                <w:noProof/>
              </w:rPr>
            </w:pPr>
            <w:r w:rsidRPr="0023481F">
              <w:rPr>
                <w:noProof/>
              </w:rPr>
              <w:t>684.7</w:t>
            </w:r>
          </w:p>
        </w:tc>
        <w:tc>
          <w:tcPr>
            <w:tcW w:w="944" w:type="dxa"/>
            <w:noWrap/>
            <w:hideMark/>
          </w:tcPr>
          <w:p w14:paraId="4CDFB81B" w14:textId="77777777" w:rsidR="001A33B7" w:rsidRPr="00807AC3" w:rsidRDefault="001A33B7" w:rsidP="00BB20EB">
            <w:pPr>
              <w:jc w:val="center"/>
              <w:rPr>
                <w:noProof/>
              </w:rPr>
            </w:pPr>
            <w:r w:rsidRPr="0023481F">
              <w:rPr>
                <w:noProof/>
              </w:rPr>
              <w:t>727.8</w:t>
            </w:r>
          </w:p>
        </w:tc>
        <w:tc>
          <w:tcPr>
            <w:tcW w:w="943" w:type="dxa"/>
            <w:noWrap/>
            <w:hideMark/>
          </w:tcPr>
          <w:p w14:paraId="3DA6C78A" w14:textId="77777777" w:rsidR="001A33B7" w:rsidRPr="00807AC3" w:rsidRDefault="001A33B7" w:rsidP="00BB20EB">
            <w:pPr>
              <w:jc w:val="center"/>
              <w:rPr>
                <w:noProof/>
              </w:rPr>
            </w:pPr>
            <w:r w:rsidRPr="0023481F">
              <w:rPr>
                <w:noProof/>
              </w:rPr>
              <w:t>871.6</w:t>
            </w:r>
          </w:p>
        </w:tc>
        <w:tc>
          <w:tcPr>
            <w:tcW w:w="944" w:type="dxa"/>
            <w:noWrap/>
            <w:hideMark/>
          </w:tcPr>
          <w:p w14:paraId="4241C9E8" w14:textId="77777777" w:rsidR="001A33B7" w:rsidRPr="00807AC3" w:rsidRDefault="001A33B7" w:rsidP="00BB20EB">
            <w:pPr>
              <w:jc w:val="center"/>
              <w:rPr>
                <w:noProof/>
              </w:rPr>
            </w:pPr>
            <w:r w:rsidRPr="0023481F">
              <w:rPr>
                <w:noProof/>
              </w:rPr>
              <w:t>891.4</w:t>
            </w:r>
          </w:p>
        </w:tc>
        <w:tc>
          <w:tcPr>
            <w:tcW w:w="944" w:type="dxa"/>
            <w:noWrap/>
            <w:hideMark/>
          </w:tcPr>
          <w:p w14:paraId="70EB9BC6" w14:textId="77777777" w:rsidR="001A33B7" w:rsidRPr="00807AC3" w:rsidRDefault="001A33B7" w:rsidP="00BB20EB">
            <w:pPr>
              <w:jc w:val="center"/>
              <w:rPr>
                <w:noProof/>
              </w:rPr>
            </w:pPr>
            <w:r w:rsidRPr="0023481F">
              <w:rPr>
                <w:noProof/>
              </w:rPr>
              <w:t>6 577.3</w:t>
            </w:r>
          </w:p>
        </w:tc>
      </w:tr>
      <w:tr w:rsidR="001A33B7" w:rsidRPr="00040D99" w14:paraId="571C4A4F" w14:textId="77777777" w:rsidTr="00BB20EB">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0E71F9EF" w14:textId="77777777" w:rsidR="001A33B7" w:rsidRPr="00807AC3" w:rsidRDefault="001A33B7" w:rsidP="00BB20EB">
            <w:pPr>
              <w:rPr>
                <w:noProof/>
              </w:rPr>
            </w:pPr>
            <w:r w:rsidRPr="00807AC3">
              <w:rPr>
                <w:noProof/>
              </w:rPr>
              <w:t>NextGenerationEU</w:t>
            </w:r>
          </w:p>
        </w:tc>
        <w:tc>
          <w:tcPr>
            <w:tcW w:w="943" w:type="dxa"/>
            <w:noWrap/>
            <w:hideMark/>
          </w:tcPr>
          <w:p w14:paraId="458DEF56" w14:textId="77777777" w:rsidR="001A33B7" w:rsidRPr="00807AC3" w:rsidRDefault="001A33B7" w:rsidP="00BB20EB">
            <w:pPr>
              <w:jc w:val="center"/>
              <w:rPr>
                <w:noProof/>
              </w:rPr>
            </w:pPr>
          </w:p>
        </w:tc>
        <w:tc>
          <w:tcPr>
            <w:tcW w:w="944" w:type="dxa"/>
            <w:noWrap/>
            <w:hideMark/>
          </w:tcPr>
          <w:p w14:paraId="712381D8" w14:textId="77777777" w:rsidR="001A33B7" w:rsidRPr="00807AC3" w:rsidRDefault="001A33B7" w:rsidP="00BB20EB">
            <w:pPr>
              <w:jc w:val="center"/>
              <w:rPr>
                <w:noProof/>
              </w:rPr>
            </w:pPr>
          </w:p>
        </w:tc>
        <w:tc>
          <w:tcPr>
            <w:tcW w:w="943" w:type="dxa"/>
            <w:noWrap/>
            <w:hideMark/>
          </w:tcPr>
          <w:p w14:paraId="7A391FDF" w14:textId="77777777" w:rsidR="001A33B7" w:rsidRPr="00807AC3" w:rsidRDefault="001A33B7" w:rsidP="00BB20EB">
            <w:pPr>
              <w:jc w:val="center"/>
              <w:rPr>
                <w:noProof/>
              </w:rPr>
            </w:pPr>
          </w:p>
        </w:tc>
        <w:tc>
          <w:tcPr>
            <w:tcW w:w="944" w:type="dxa"/>
            <w:noWrap/>
            <w:hideMark/>
          </w:tcPr>
          <w:p w14:paraId="7C889722" w14:textId="77777777" w:rsidR="001A33B7" w:rsidRPr="00807AC3" w:rsidRDefault="001A33B7" w:rsidP="00BB20EB">
            <w:pPr>
              <w:jc w:val="center"/>
              <w:rPr>
                <w:noProof/>
              </w:rPr>
            </w:pPr>
          </w:p>
        </w:tc>
        <w:tc>
          <w:tcPr>
            <w:tcW w:w="944" w:type="dxa"/>
            <w:noWrap/>
            <w:hideMark/>
          </w:tcPr>
          <w:p w14:paraId="1F1AED90" w14:textId="77777777" w:rsidR="001A33B7" w:rsidRPr="00807AC3" w:rsidRDefault="001A33B7" w:rsidP="00BB20EB">
            <w:pPr>
              <w:jc w:val="center"/>
              <w:rPr>
                <w:noProof/>
              </w:rPr>
            </w:pPr>
          </w:p>
        </w:tc>
        <w:tc>
          <w:tcPr>
            <w:tcW w:w="943" w:type="dxa"/>
            <w:noWrap/>
            <w:hideMark/>
          </w:tcPr>
          <w:p w14:paraId="67186AAD" w14:textId="77777777" w:rsidR="001A33B7" w:rsidRPr="00807AC3" w:rsidRDefault="001A33B7" w:rsidP="00BB20EB">
            <w:pPr>
              <w:jc w:val="center"/>
              <w:rPr>
                <w:noProof/>
              </w:rPr>
            </w:pPr>
          </w:p>
        </w:tc>
        <w:tc>
          <w:tcPr>
            <w:tcW w:w="944" w:type="dxa"/>
            <w:noWrap/>
            <w:hideMark/>
          </w:tcPr>
          <w:p w14:paraId="2EC165FC" w14:textId="77777777" w:rsidR="001A33B7" w:rsidRPr="00807AC3" w:rsidRDefault="001A33B7" w:rsidP="00BB20EB">
            <w:pPr>
              <w:jc w:val="center"/>
              <w:rPr>
                <w:noProof/>
              </w:rPr>
            </w:pPr>
          </w:p>
        </w:tc>
        <w:tc>
          <w:tcPr>
            <w:tcW w:w="944" w:type="dxa"/>
            <w:noWrap/>
            <w:hideMark/>
          </w:tcPr>
          <w:p w14:paraId="4C72470B" w14:textId="77777777" w:rsidR="001A33B7" w:rsidRPr="00807AC3" w:rsidRDefault="001A33B7" w:rsidP="00BB20EB">
            <w:pPr>
              <w:jc w:val="center"/>
              <w:rPr>
                <w:noProof/>
              </w:rPr>
            </w:pPr>
          </w:p>
        </w:tc>
      </w:tr>
      <w:tr w:rsidR="001A33B7" w:rsidRPr="00040D99" w14:paraId="5F14C927" w14:textId="77777777" w:rsidTr="00BB20EB">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735BA651" w14:textId="77777777" w:rsidR="001A33B7" w:rsidRPr="00807AC3" w:rsidRDefault="001A33B7" w:rsidP="00BB20EB">
            <w:pPr>
              <w:rPr>
                <w:noProof/>
              </w:rPr>
            </w:pPr>
            <w:r w:rsidRPr="00807AC3">
              <w:rPr>
                <w:noProof/>
              </w:rPr>
              <w:t>Decommitments made available again</w:t>
            </w:r>
            <w:r>
              <w:rPr>
                <w:rFonts w:ascii="Calibri" w:hAnsi="Calibri" w:cs="Calibri"/>
                <w:noProof/>
              </w:rPr>
              <w:t> </w:t>
            </w:r>
            <w:r>
              <w:rPr>
                <w:noProof/>
              </w:rPr>
              <w:t>(</w:t>
            </w:r>
            <w:r w:rsidRPr="00807AC3">
              <w:rPr>
                <w:noProof/>
              </w:rPr>
              <w:t>*</w:t>
            </w:r>
            <w:r>
              <w:rPr>
                <w:noProof/>
              </w:rPr>
              <w:t>)</w:t>
            </w:r>
          </w:p>
        </w:tc>
        <w:tc>
          <w:tcPr>
            <w:tcW w:w="943" w:type="dxa"/>
            <w:noWrap/>
            <w:hideMark/>
          </w:tcPr>
          <w:p w14:paraId="1E0867AA" w14:textId="77777777" w:rsidR="001A33B7" w:rsidRPr="00807AC3" w:rsidRDefault="001A33B7" w:rsidP="00BB20EB">
            <w:pPr>
              <w:jc w:val="center"/>
              <w:rPr>
                <w:noProof/>
              </w:rPr>
            </w:pPr>
            <w:r>
              <w:rPr>
                <w:noProof/>
              </w:rPr>
              <w:t>N/A</w:t>
            </w:r>
          </w:p>
        </w:tc>
        <w:tc>
          <w:tcPr>
            <w:tcW w:w="944" w:type="dxa"/>
            <w:noWrap/>
            <w:hideMark/>
          </w:tcPr>
          <w:p w14:paraId="437DB083" w14:textId="77777777" w:rsidR="001A33B7" w:rsidRPr="00807AC3" w:rsidRDefault="001A33B7" w:rsidP="00BB20EB">
            <w:pPr>
              <w:jc w:val="center"/>
              <w:rPr>
                <w:noProof/>
              </w:rPr>
            </w:pPr>
          </w:p>
        </w:tc>
        <w:tc>
          <w:tcPr>
            <w:tcW w:w="943" w:type="dxa"/>
            <w:noWrap/>
            <w:hideMark/>
          </w:tcPr>
          <w:p w14:paraId="47E95D91" w14:textId="77777777" w:rsidR="001A33B7" w:rsidRPr="00807AC3" w:rsidRDefault="001A33B7" w:rsidP="00BB20EB">
            <w:pPr>
              <w:jc w:val="center"/>
              <w:rPr>
                <w:noProof/>
              </w:rPr>
            </w:pPr>
          </w:p>
        </w:tc>
        <w:tc>
          <w:tcPr>
            <w:tcW w:w="944" w:type="dxa"/>
            <w:noWrap/>
            <w:hideMark/>
          </w:tcPr>
          <w:p w14:paraId="5EB7648E" w14:textId="77777777" w:rsidR="001A33B7" w:rsidRPr="00807AC3" w:rsidRDefault="001A33B7" w:rsidP="00BB20EB">
            <w:pPr>
              <w:jc w:val="center"/>
              <w:rPr>
                <w:noProof/>
              </w:rPr>
            </w:pPr>
          </w:p>
        </w:tc>
        <w:tc>
          <w:tcPr>
            <w:tcW w:w="944" w:type="dxa"/>
            <w:noWrap/>
            <w:hideMark/>
          </w:tcPr>
          <w:p w14:paraId="3C999678" w14:textId="77777777" w:rsidR="001A33B7" w:rsidRPr="00807AC3" w:rsidRDefault="001A33B7" w:rsidP="00BB20EB">
            <w:pPr>
              <w:jc w:val="center"/>
              <w:rPr>
                <w:noProof/>
              </w:rPr>
            </w:pPr>
          </w:p>
        </w:tc>
        <w:tc>
          <w:tcPr>
            <w:tcW w:w="943" w:type="dxa"/>
            <w:noWrap/>
            <w:hideMark/>
          </w:tcPr>
          <w:p w14:paraId="6B2E4F3C" w14:textId="77777777" w:rsidR="001A33B7" w:rsidRPr="00807AC3" w:rsidRDefault="001A33B7" w:rsidP="00BB20EB">
            <w:pPr>
              <w:jc w:val="center"/>
              <w:rPr>
                <w:noProof/>
              </w:rPr>
            </w:pPr>
          </w:p>
        </w:tc>
        <w:tc>
          <w:tcPr>
            <w:tcW w:w="944" w:type="dxa"/>
            <w:noWrap/>
            <w:hideMark/>
          </w:tcPr>
          <w:p w14:paraId="6AA2A23C" w14:textId="77777777" w:rsidR="001A33B7" w:rsidRPr="00807AC3" w:rsidRDefault="001A33B7" w:rsidP="00BB20EB">
            <w:pPr>
              <w:jc w:val="center"/>
              <w:rPr>
                <w:noProof/>
              </w:rPr>
            </w:pPr>
          </w:p>
        </w:tc>
        <w:tc>
          <w:tcPr>
            <w:tcW w:w="944" w:type="dxa"/>
            <w:noWrap/>
            <w:hideMark/>
          </w:tcPr>
          <w:p w14:paraId="7C36D84C" w14:textId="77777777" w:rsidR="001A33B7" w:rsidRPr="00807AC3" w:rsidRDefault="001A33B7" w:rsidP="00BB20EB">
            <w:pPr>
              <w:jc w:val="center"/>
              <w:rPr>
                <w:noProof/>
              </w:rPr>
            </w:pPr>
            <w:r>
              <w:rPr>
                <w:noProof/>
              </w:rPr>
              <w:t>N/A</w:t>
            </w:r>
          </w:p>
        </w:tc>
      </w:tr>
      <w:tr w:rsidR="001A33B7" w:rsidRPr="00040D99" w14:paraId="031DE993" w14:textId="77777777" w:rsidTr="00BB20EB">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3B75CC96" w14:textId="77777777" w:rsidR="001A33B7" w:rsidRPr="00807AC3" w:rsidRDefault="001A33B7" w:rsidP="00BB20EB">
            <w:pPr>
              <w:rPr>
                <w:noProof/>
              </w:rPr>
            </w:pPr>
            <w:r w:rsidRPr="00807AC3">
              <w:rPr>
                <w:noProof/>
              </w:rPr>
              <w:t>Contributions from other countries and entities</w:t>
            </w:r>
          </w:p>
        </w:tc>
        <w:tc>
          <w:tcPr>
            <w:tcW w:w="943" w:type="dxa"/>
            <w:noWrap/>
            <w:hideMark/>
          </w:tcPr>
          <w:p w14:paraId="31367427" w14:textId="77777777" w:rsidR="001A33B7" w:rsidRPr="00807AC3" w:rsidRDefault="001A33B7" w:rsidP="00BB20EB">
            <w:pPr>
              <w:jc w:val="center"/>
              <w:rPr>
                <w:noProof/>
              </w:rPr>
            </w:pPr>
            <w:r>
              <w:rPr>
                <w:noProof/>
              </w:rPr>
              <w:t>30.5</w:t>
            </w:r>
          </w:p>
        </w:tc>
        <w:tc>
          <w:tcPr>
            <w:tcW w:w="944" w:type="dxa"/>
            <w:noWrap/>
            <w:hideMark/>
          </w:tcPr>
          <w:p w14:paraId="1112D7F5" w14:textId="77777777" w:rsidR="001A33B7" w:rsidRPr="00807AC3" w:rsidRDefault="001A33B7" w:rsidP="00BB20EB">
            <w:pPr>
              <w:jc w:val="center"/>
              <w:rPr>
                <w:noProof/>
              </w:rPr>
            </w:pPr>
            <w:r>
              <w:rPr>
                <w:noProof/>
              </w:rPr>
              <w:t>p.m.</w:t>
            </w:r>
          </w:p>
        </w:tc>
        <w:tc>
          <w:tcPr>
            <w:tcW w:w="943" w:type="dxa"/>
            <w:noWrap/>
            <w:hideMark/>
          </w:tcPr>
          <w:p w14:paraId="1AF3990A" w14:textId="77777777" w:rsidR="001A33B7" w:rsidRPr="00807AC3" w:rsidRDefault="001A33B7" w:rsidP="00BB20EB">
            <w:pPr>
              <w:jc w:val="center"/>
              <w:rPr>
                <w:noProof/>
              </w:rPr>
            </w:pPr>
            <w:r>
              <w:rPr>
                <w:noProof/>
              </w:rPr>
              <w:t>p.m.</w:t>
            </w:r>
          </w:p>
        </w:tc>
        <w:tc>
          <w:tcPr>
            <w:tcW w:w="944" w:type="dxa"/>
            <w:noWrap/>
            <w:hideMark/>
          </w:tcPr>
          <w:p w14:paraId="0E42CF9B" w14:textId="77777777" w:rsidR="001A33B7" w:rsidRPr="00807AC3" w:rsidRDefault="001A33B7" w:rsidP="00BB20EB">
            <w:pPr>
              <w:jc w:val="center"/>
              <w:rPr>
                <w:noProof/>
              </w:rPr>
            </w:pPr>
            <w:r>
              <w:rPr>
                <w:noProof/>
              </w:rPr>
              <w:t>p.m.</w:t>
            </w:r>
          </w:p>
        </w:tc>
        <w:tc>
          <w:tcPr>
            <w:tcW w:w="944" w:type="dxa"/>
            <w:noWrap/>
            <w:hideMark/>
          </w:tcPr>
          <w:p w14:paraId="34231EEA" w14:textId="77777777" w:rsidR="001A33B7" w:rsidRPr="00807AC3" w:rsidRDefault="001A33B7" w:rsidP="00BB20EB">
            <w:pPr>
              <w:jc w:val="center"/>
              <w:rPr>
                <w:noProof/>
              </w:rPr>
            </w:pPr>
            <w:r>
              <w:rPr>
                <w:noProof/>
              </w:rPr>
              <w:t>p.m.</w:t>
            </w:r>
          </w:p>
        </w:tc>
        <w:tc>
          <w:tcPr>
            <w:tcW w:w="943" w:type="dxa"/>
            <w:noWrap/>
            <w:hideMark/>
          </w:tcPr>
          <w:p w14:paraId="4265B3ED" w14:textId="77777777" w:rsidR="001A33B7" w:rsidRPr="00807AC3" w:rsidRDefault="001A33B7" w:rsidP="00BB20EB">
            <w:pPr>
              <w:jc w:val="center"/>
              <w:rPr>
                <w:noProof/>
              </w:rPr>
            </w:pPr>
            <w:r>
              <w:rPr>
                <w:noProof/>
              </w:rPr>
              <w:t>p.m.</w:t>
            </w:r>
          </w:p>
        </w:tc>
        <w:tc>
          <w:tcPr>
            <w:tcW w:w="944" w:type="dxa"/>
            <w:noWrap/>
            <w:hideMark/>
          </w:tcPr>
          <w:p w14:paraId="52B4586C" w14:textId="77777777" w:rsidR="001A33B7" w:rsidRPr="00807AC3" w:rsidRDefault="001A33B7" w:rsidP="00BB20EB">
            <w:pPr>
              <w:jc w:val="center"/>
              <w:rPr>
                <w:noProof/>
              </w:rPr>
            </w:pPr>
            <w:r>
              <w:rPr>
                <w:noProof/>
              </w:rPr>
              <w:t>p.m.</w:t>
            </w:r>
          </w:p>
        </w:tc>
        <w:tc>
          <w:tcPr>
            <w:tcW w:w="944" w:type="dxa"/>
            <w:noWrap/>
            <w:hideMark/>
          </w:tcPr>
          <w:p w14:paraId="6BB11274" w14:textId="77777777" w:rsidR="001A33B7" w:rsidRPr="00807AC3" w:rsidRDefault="001A33B7" w:rsidP="00BB20EB">
            <w:pPr>
              <w:jc w:val="center"/>
              <w:rPr>
                <w:noProof/>
              </w:rPr>
            </w:pPr>
            <w:r>
              <w:rPr>
                <w:noProof/>
              </w:rPr>
              <w:t>30.5</w:t>
            </w:r>
          </w:p>
        </w:tc>
      </w:tr>
      <w:tr w:rsidR="001A33B7" w:rsidRPr="00807AC3" w14:paraId="6898DE0B" w14:textId="77777777" w:rsidTr="00BB20EB">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2D966294" w14:textId="77777777" w:rsidR="001A33B7" w:rsidRPr="00807AC3" w:rsidRDefault="001A33B7" w:rsidP="00BB20EB">
            <w:pPr>
              <w:rPr>
                <w:noProof/>
              </w:rPr>
            </w:pPr>
            <w:r>
              <w:rPr>
                <w:noProof/>
              </w:rPr>
              <w:t>Total</w:t>
            </w:r>
          </w:p>
        </w:tc>
        <w:tc>
          <w:tcPr>
            <w:tcW w:w="943" w:type="dxa"/>
            <w:noWrap/>
            <w:hideMark/>
          </w:tcPr>
          <w:p w14:paraId="7D5087C1" w14:textId="77777777" w:rsidR="001A33B7" w:rsidRPr="00807AC3" w:rsidRDefault="001A33B7" w:rsidP="00BB20EB">
            <w:pPr>
              <w:jc w:val="center"/>
              <w:rPr>
                <w:noProof/>
              </w:rPr>
            </w:pPr>
            <w:r w:rsidRPr="00160789">
              <w:rPr>
                <w:noProof/>
              </w:rPr>
              <w:t>1</w:t>
            </w:r>
            <w:r>
              <w:rPr>
                <w:rFonts w:ascii="Calibri" w:hAnsi="Calibri" w:cs="Calibri"/>
                <w:noProof/>
              </w:rPr>
              <w:t> </w:t>
            </w:r>
            <w:r w:rsidRPr="00160789">
              <w:rPr>
                <w:noProof/>
              </w:rPr>
              <w:t>161</w:t>
            </w:r>
            <w:r>
              <w:rPr>
                <w:noProof/>
              </w:rPr>
              <w:t>.</w:t>
            </w:r>
            <w:r w:rsidRPr="00160789">
              <w:rPr>
                <w:noProof/>
              </w:rPr>
              <w:t>0</w:t>
            </w:r>
          </w:p>
        </w:tc>
        <w:tc>
          <w:tcPr>
            <w:tcW w:w="944" w:type="dxa"/>
            <w:noWrap/>
            <w:hideMark/>
          </w:tcPr>
          <w:p w14:paraId="1574EC9B" w14:textId="77777777" w:rsidR="001A33B7" w:rsidRPr="00807AC3" w:rsidRDefault="001A33B7" w:rsidP="00BB20EB">
            <w:pPr>
              <w:jc w:val="center"/>
              <w:rPr>
                <w:noProof/>
              </w:rPr>
            </w:pPr>
            <w:r w:rsidRPr="00160789">
              <w:rPr>
                <w:noProof/>
              </w:rPr>
              <w:t>1</w:t>
            </w:r>
            <w:r>
              <w:rPr>
                <w:rFonts w:ascii="Calibri" w:hAnsi="Calibri" w:cs="Calibri"/>
                <w:noProof/>
              </w:rPr>
              <w:t> </w:t>
            </w:r>
            <w:r w:rsidRPr="00160789">
              <w:rPr>
                <w:noProof/>
              </w:rPr>
              <w:t>247</w:t>
            </w:r>
            <w:r>
              <w:rPr>
                <w:noProof/>
              </w:rPr>
              <w:t>.</w:t>
            </w:r>
            <w:r w:rsidRPr="00160789">
              <w:rPr>
                <w:noProof/>
              </w:rPr>
              <w:t>8</w:t>
            </w:r>
          </w:p>
        </w:tc>
        <w:tc>
          <w:tcPr>
            <w:tcW w:w="943" w:type="dxa"/>
            <w:noWrap/>
            <w:hideMark/>
          </w:tcPr>
          <w:p w14:paraId="41A5A297" w14:textId="77777777" w:rsidR="001A33B7" w:rsidRPr="00807AC3" w:rsidRDefault="001A33B7" w:rsidP="00BB20EB">
            <w:pPr>
              <w:jc w:val="center"/>
              <w:rPr>
                <w:noProof/>
              </w:rPr>
            </w:pPr>
            <w:r w:rsidRPr="003E2186">
              <w:rPr>
                <w:noProof/>
              </w:rPr>
              <w:t>1 023.6</w:t>
            </w:r>
          </w:p>
        </w:tc>
        <w:tc>
          <w:tcPr>
            <w:tcW w:w="944" w:type="dxa"/>
            <w:noWrap/>
            <w:hideMark/>
          </w:tcPr>
          <w:p w14:paraId="0A5B621C" w14:textId="77777777" w:rsidR="001A33B7" w:rsidRPr="00807AC3" w:rsidRDefault="001A33B7" w:rsidP="00BB20EB">
            <w:pPr>
              <w:jc w:val="center"/>
              <w:rPr>
                <w:noProof/>
              </w:rPr>
            </w:pPr>
            <w:r w:rsidRPr="003E2186">
              <w:rPr>
                <w:noProof/>
              </w:rPr>
              <w:t>684.7</w:t>
            </w:r>
          </w:p>
        </w:tc>
        <w:tc>
          <w:tcPr>
            <w:tcW w:w="944" w:type="dxa"/>
            <w:noWrap/>
            <w:hideMark/>
          </w:tcPr>
          <w:p w14:paraId="6ECF8B2F" w14:textId="77777777" w:rsidR="001A33B7" w:rsidRPr="00807AC3" w:rsidRDefault="001A33B7" w:rsidP="00BB20EB">
            <w:pPr>
              <w:jc w:val="center"/>
              <w:rPr>
                <w:noProof/>
              </w:rPr>
            </w:pPr>
            <w:r w:rsidRPr="003E2186">
              <w:rPr>
                <w:noProof/>
              </w:rPr>
              <w:t>727.8</w:t>
            </w:r>
          </w:p>
        </w:tc>
        <w:tc>
          <w:tcPr>
            <w:tcW w:w="943" w:type="dxa"/>
            <w:noWrap/>
            <w:hideMark/>
          </w:tcPr>
          <w:p w14:paraId="2B1B8110" w14:textId="77777777" w:rsidR="001A33B7" w:rsidRPr="00807AC3" w:rsidRDefault="001A33B7" w:rsidP="00BB20EB">
            <w:pPr>
              <w:jc w:val="center"/>
              <w:rPr>
                <w:noProof/>
              </w:rPr>
            </w:pPr>
            <w:r w:rsidRPr="003E2186">
              <w:rPr>
                <w:noProof/>
              </w:rPr>
              <w:t>871.6</w:t>
            </w:r>
          </w:p>
        </w:tc>
        <w:tc>
          <w:tcPr>
            <w:tcW w:w="944" w:type="dxa"/>
            <w:noWrap/>
            <w:hideMark/>
          </w:tcPr>
          <w:p w14:paraId="5933075F" w14:textId="77777777" w:rsidR="001A33B7" w:rsidRPr="00807AC3" w:rsidRDefault="001A33B7" w:rsidP="00BB20EB">
            <w:pPr>
              <w:jc w:val="center"/>
              <w:rPr>
                <w:noProof/>
              </w:rPr>
            </w:pPr>
            <w:r w:rsidRPr="003E2186">
              <w:rPr>
                <w:noProof/>
              </w:rPr>
              <w:t>891.4</w:t>
            </w:r>
          </w:p>
        </w:tc>
        <w:tc>
          <w:tcPr>
            <w:tcW w:w="944" w:type="dxa"/>
            <w:noWrap/>
            <w:hideMark/>
          </w:tcPr>
          <w:p w14:paraId="15AEA912" w14:textId="77777777" w:rsidR="001A33B7" w:rsidRPr="00807AC3" w:rsidRDefault="001A33B7" w:rsidP="00BB20EB">
            <w:pPr>
              <w:jc w:val="center"/>
              <w:rPr>
                <w:noProof/>
              </w:rPr>
            </w:pPr>
            <w:r w:rsidRPr="003E2186">
              <w:rPr>
                <w:noProof/>
              </w:rPr>
              <w:t>6 607.8</w:t>
            </w:r>
          </w:p>
        </w:tc>
      </w:tr>
    </w:tbl>
    <w:p w14:paraId="4B8B4947" w14:textId="77777777" w:rsidR="001A33B7" w:rsidRPr="002A4508" w:rsidRDefault="001A33B7" w:rsidP="001A33B7">
      <w:pPr>
        <w:tabs>
          <w:tab w:val="left" w:pos="6793"/>
        </w:tabs>
        <w:rPr>
          <w:noProof/>
          <w:sz w:val="18"/>
          <w:szCs w:val="18"/>
          <w:lang w:val="en-IE"/>
        </w:rPr>
      </w:pPr>
      <w:r>
        <w:rPr>
          <w:noProof/>
          <w:sz w:val="18"/>
          <w:szCs w:val="18"/>
          <w:lang w:val="en-IE"/>
        </w:rPr>
        <w:t>(</w:t>
      </w:r>
      <w:r w:rsidRPr="002A4508">
        <w:rPr>
          <w:noProof/>
          <w:sz w:val="18"/>
          <w:szCs w:val="18"/>
          <w:lang w:val="en-IE"/>
        </w:rPr>
        <w:t>*</w:t>
      </w:r>
      <w:r>
        <w:rPr>
          <w:noProof/>
          <w:sz w:val="18"/>
          <w:szCs w:val="18"/>
          <w:lang w:val="en-IE"/>
        </w:rPr>
        <w:t>)</w:t>
      </w:r>
      <w:r w:rsidRPr="002A4508">
        <w:rPr>
          <w:noProof/>
          <w:sz w:val="18"/>
          <w:szCs w:val="18"/>
          <w:lang w:val="en-IE"/>
        </w:rPr>
        <w:t xml:space="preserve"> Only Article</w:t>
      </w:r>
      <w:r w:rsidRPr="002A4508">
        <w:rPr>
          <w:rFonts w:ascii="Calibri" w:hAnsi="Calibri" w:cs="Calibri"/>
          <w:noProof/>
          <w:sz w:val="18"/>
          <w:szCs w:val="18"/>
          <w:lang w:val="en-IE"/>
        </w:rPr>
        <w:t> </w:t>
      </w:r>
      <w:r w:rsidRPr="002A4508">
        <w:rPr>
          <w:noProof/>
          <w:sz w:val="18"/>
          <w:szCs w:val="18"/>
          <w:lang w:val="en-IE"/>
        </w:rPr>
        <w:t xml:space="preserve">15(3) of the financial </w:t>
      </w:r>
      <w:r w:rsidRPr="00045449">
        <w:rPr>
          <w:noProof/>
          <w:sz w:val="18"/>
          <w:szCs w:val="18"/>
          <w:lang w:val="en-IE"/>
        </w:rPr>
        <w:t>r</w:t>
      </w:r>
      <w:r w:rsidRPr="002A4508">
        <w:rPr>
          <w:noProof/>
          <w:sz w:val="18"/>
          <w:szCs w:val="18"/>
          <w:lang w:val="en-IE"/>
        </w:rPr>
        <w:t>egulation</w:t>
      </w:r>
      <w:r w:rsidRPr="00045449">
        <w:rPr>
          <w:noProof/>
          <w:sz w:val="18"/>
          <w:szCs w:val="18"/>
          <w:lang w:val="en-IE"/>
        </w:rPr>
        <w:t>.</w:t>
      </w:r>
    </w:p>
    <w:p w14:paraId="3986F73E" w14:textId="08EAB3CB" w:rsidR="001A33B7" w:rsidRDefault="001A33B7" w:rsidP="001A33B7">
      <w:pPr>
        <w:pStyle w:val="ppoTableTabletitle"/>
        <w:jc w:val="center"/>
        <w:rPr>
          <w:noProof/>
        </w:rPr>
      </w:pPr>
      <w:r w:rsidRPr="73A010A6">
        <w:rPr>
          <w:noProof/>
          <w:lang w:val="en-IE"/>
        </w:rPr>
        <w:t>Financial programming</w:t>
      </w:r>
      <w:r w:rsidR="004C4764">
        <w:rPr>
          <w:noProof/>
          <w:lang w:val="en-IE"/>
        </w:rPr>
        <w:t>:</w:t>
      </w:r>
      <w:r w:rsidRPr="73A010A6">
        <w:rPr>
          <w:rStyle w:val="ppocharOrangetext24pt"/>
          <w:noProof/>
        </w:rPr>
        <w:t xml:space="preserve"> -</w:t>
      </w:r>
      <w:r w:rsidRPr="73A010A6">
        <w:rPr>
          <w:rStyle w:val="ppocharOrangetext24pt"/>
          <w:rFonts w:ascii="Calibri" w:hAnsi="Calibri" w:cs="Calibri"/>
          <w:noProof/>
        </w:rPr>
        <w:t> </w:t>
      </w:r>
      <w:r w:rsidRPr="73A010A6">
        <w:rPr>
          <w:rStyle w:val="ppocharOrangetext24pt"/>
          <w:noProof/>
        </w:rPr>
        <w:t>EUR</w:t>
      </w:r>
      <w:r w:rsidRPr="73A010A6">
        <w:rPr>
          <w:rStyle w:val="ppocharOrangetext24pt"/>
          <w:rFonts w:ascii="Calibri" w:hAnsi="Calibri" w:cs="Calibri"/>
          <w:noProof/>
        </w:rPr>
        <w:t> </w:t>
      </w:r>
      <w:r>
        <w:rPr>
          <w:rStyle w:val="ppocharOrangetext24pt"/>
          <w:rFonts w:ascii="Calibri" w:hAnsi="Calibri" w:cs="Calibri"/>
          <w:noProof/>
        </w:rPr>
        <w:t xml:space="preserve">1 </w:t>
      </w:r>
      <w:r w:rsidRPr="73A010A6">
        <w:rPr>
          <w:rStyle w:val="ppocharOrangetext24pt"/>
          <w:rFonts w:ascii="Calibri" w:hAnsi="Calibri" w:cs="Calibri"/>
          <w:noProof/>
        </w:rPr>
        <w:t>010.7</w:t>
      </w:r>
      <w:r w:rsidRPr="73A010A6">
        <w:rPr>
          <w:rStyle w:val="ppocharOrangetext24pt"/>
          <w:noProof/>
        </w:rPr>
        <w:t xml:space="preserve"> million (- 13%) </w:t>
      </w:r>
      <w:r w:rsidRPr="73A010A6">
        <w:rPr>
          <w:noProof/>
          <w:lang w:val="en-IE"/>
        </w:rPr>
        <w:t>compared to the legal basis.</w:t>
      </w:r>
    </w:p>
    <w:p w14:paraId="09C7E62F" w14:textId="77777777" w:rsidR="001A33B7" w:rsidRPr="00040D99" w:rsidRDefault="001A33B7" w:rsidP="001A33B7">
      <w:pPr>
        <w:pStyle w:val="ppoTableTabletitle"/>
        <w:rPr>
          <w:b/>
          <w:noProof/>
        </w:rPr>
      </w:pPr>
      <w:r w:rsidRPr="00040D99">
        <w:rPr>
          <w:noProof/>
        </w:rPr>
        <w:t>Cumulative implementation rate at the end of 2021</w:t>
      </w:r>
      <w:r>
        <w:rPr>
          <w:noProof/>
        </w:rPr>
        <w:t xml:space="preserve">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1A33B7" w:rsidRPr="00040D99" w14:paraId="5DFDD296" w14:textId="77777777" w:rsidTr="00BB20EB">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54D658B0" w14:textId="77777777" w:rsidR="001A33B7" w:rsidRPr="00807AC3" w:rsidRDefault="001A33B7" w:rsidP="00BB20EB">
            <w:pPr>
              <w:rPr>
                <w:noProof/>
              </w:rPr>
            </w:pPr>
          </w:p>
        </w:tc>
        <w:tc>
          <w:tcPr>
            <w:tcW w:w="2410" w:type="dxa"/>
          </w:tcPr>
          <w:p w14:paraId="3E1539F2" w14:textId="77777777" w:rsidR="001A33B7" w:rsidRPr="00807AC3" w:rsidRDefault="001A33B7" w:rsidP="00BB20EB">
            <w:pPr>
              <w:cnfStyle w:val="100000000000" w:firstRow="1" w:lastRow="0" w:firstColumn="0" w:lastColumn="0" w:oddVBand="0" w:evenVBand="0" w:oddHBand="0" w:evenHBand="0" w:firstRowFirstColumn="0" w:firstRowLastColumn="0" w:lastRowFirstColumn="0" w:lastRowLastColumn="0"/>
              <w:rPr>
                <w:noProof/>
              </w:rPr>
            </w:pPr>
            <w:r w:rsidRPr="00807AC3">
              <w:rPr>
                <w:noProof/>
              </w:rPr>
              <w:t>Implementation</w:t>
            </w:r>
          </w:p>
        </w:tc>
        <w:tc>
          <w:tcPr>
            <w:tcW w:w="2410" w:type="dxa"/>
          </w:tcPr>
          <w:p w14:paraId="4F5CC2DE" w14:textId="042902FA" w:rsidR="001A33B7" w:rsidRPr="00807AC3" w:rsidRDefault="001F4CBC" w:rsidP="00BB20EB">
            <w:pPr>
              <w:cnfStyle w:val="100000000000" w:firstRow="1" w:lastRow="0" w:firstColumn="0" w:lastColumn="0" w:oddVBand="0" w:evenVBand="0" w:oddHBand="0" w:evenHBand="0" w:firstRowFirstColumn="0" w:firstRowLastColumn="0" w:lastRowFirstColumn="0" w:lastRowLastColumn="0"/>
              <w:rPr>
                <w:noProof/>
              </w:rPr>
            </w:pPr>
            <w:r>
              <w:rPr>
                <w:noProof/>
              </w:rPr>
              <w:t xml:space="preserve">2021-2027 </w:t>
            </w:r>
            <w:r w:rsidRPr="00885241">
              <w:rPr>
                <w:noProof/>
              </w:rPr>
              <w:t>Budget</w:t>
            </w:r>
          </w:p>
        </w:tc>
        <w:tc>
          <w:tcPr>
            <w:tcW w:w="2410" w:type="dxa"/>
          </w:tcPr>
          <w:p w14:paraId="34ACA334" w14:textId="77777777" w:rsidR="001A33B7" w:rsidRPr="00807AC3" w:rsidRDefault="001A33B7" w:rsidP="00BB20EB">
            <w:pPr>
              <w:cnfStyle w:val="100000000000" w:firstRow="1" w:lastRow="0" w:firstColumn="0" w:lastColumn="0" w:oddVBand="0" w:evenVBand="0" w:oddHBand="0" w:evenHBand="0" w:firstRowFirstColumn="0" w:firstRowLastColumn="0" w:lastRowFirstColumn="0" w:lastRowLastColumn="0"/>
              <w:rPr>
                <w:noProof/>
              </w:rPr>
            </w:pPr>
            <w:r w:rsidRPr="00807AC3">
              <w:rPr>
                <w:noProof/>
              </w:rPr>
              <w:t>Implementation rate</w:t>
            </w:r>
          </w:p>
        </w:tc>
      </w:tr>
      <w:tr w:rsidR="001A33B7" w:rsidRPr="00040D99" w14:paraId="0C1A1F20" w14:textId="77777777" w:rsidTr="00BB20EB">
        <w:tc>
          <w:tcPr>
            <w:cnfStyle w:val="001000000000" w:firstRow="0" w:lastRow="0" w:firstColumn="1" w:lastColumn="0" w:oddVBand="0" w:evenVBand="0" w:oddHBand="0" w:evenHBand="0" w:firstRowFirstColumn="0" w:firstRowLastColumn="0" w:lastRowFirstColumn="0" w:lastRowLastColumn="0"/>
            <w:tcW w:w="2409" w:type="dxa"/>
          </w:tcPr>
          <w:p w14:paraId="6D84B661" w14:textId="77777777" w:rsidR="001A33B7" w:rsidRPr="00807AC3" w:rsidRDefault="001A33B7" w:rsidP="00BB20EB">
            <w:pPr>
              <w:jc w:val="center"/>
              <w:rPr>
                <w:noProof/>
              </w:rPr>
            </w:pPr>
            <w:r w:rsidRPr="00807AC3">
              <w:rPr>
                <w:noProof/>
              </w:rPr>
              <w:t>Commitment</w:t>
            </w:r>
            <w:r>
              <w:rPr>
                <w:noProof/>
              </w:rPr>
              <w:t>s</w:t>
            </w:r>
          </w:p>
        </w:tc>
        <w:tc>
          <w:tcPr>
            <w:tcW w:w="2410" w:type="dxa"/>
          </w:tcPr>
          <w:tbl>
            <w:tblPr>
              <w:tblStyle w:val="TableGrid"/>
              <w:tblW w:w="0" w:type="auto"/>
              <w:tblLook w:val="06A0" w:firstRow="1" w:lastRow="0" w:firstColumn="1" w:lastColumn="0" w:noHBand="1" w:noVBand="1"/>
            </w:tblPr>
            <w:tblGrid>
              <w:gridCol w:w="2194"/>
            </w:tblGrid>
            <w:tr w:rsidR="001A33B7" w14:paraId="4C8F6597" w14:textId="77777777" w:rsidTr="00BB20EB">
              <w:trPr>
                <w:trHeight w:val="285"/>
              </w:trPr>
              <w:tc>
                <w:tcPr>
                  <w:tcW w:w="2290" w:type="dxa"/>
                  <w:tcBorders>
                    <w:top w:val="nil"/>
                    <w:left w:val="nil"/>
                    <w:bottom w:val="nil"/>
                    <w:right w:val="nil"/>
                  </w:tcBorders>
                  <w:vAlign w:val="bottom"/>
                </w:tcPr>
                <w:p w14:paraId="1755AB0A" w14:textId="77777777" w:rsidR="001A33B7" w:rsidRDefault="001A33B7" w:rsidP="00BB20EB">
                  <w:pPr>
                    <w:spacing w:before="100" w:after="100"/>
                    <w:jc w:val="center"/>
                    <w:rPr>
                      <w:noProof/>
                    </w:rPr>
                  </w:pPr>
                  <w:r w:rsidRPr="00EF614A">
                    <w:rPr>
                      <w:noProof/>
                    </w:rPr>
                    <w:t>1</w:t>
                  </w:r>
                  <w:r>
                    <w:rPr>
                      <w:rFonts w:ascii="Calibri" w:hAnsi="Calibri" w:cs="Calibri"/>
                      <w:noProof/>
                    </w:rPr>
                    <w:t> </w:t>
                  </w:r>
                  <w:r w:rsidRPr="00EF614A">
                    <w:rPr>
                      <w:noProof/>
                    </w:rPr>
                    <w:t>159.6</w:t>
                  </w:r>
                </w:p>
              </w:tc>
            </w:tr>
          </w:tbl>
          <w:p w14:paraId="34392C38" w14:textId="77777777" w:rsidR="001A33B7" w:rsidRPr="00807AC3" w:rsidRDefault="001A33B7"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1A33B7" w14:paraId="23B52ADE" w14:textId="77777777" w:rsidTr="00BB20EB">
              <w:trPr>
                <w:trHeight w:val="285"/>
              </w:trPr>
              <w:tc>
                <w:tcPr>
                  <w:tcW w:w="2290" w:type="dxa"/>
                  <w:tcBorders>
                    <w:top w:val="nil"/>
                    <w:left w:val="nil"/>
                    <w:bottom w:val="nil"/>
                    <w:right w:val="nil"/>
                  </w:tcBorders>
                  <w:vAlign w:val="bottom"/>
                </w:tcPr>
                <w:p w14:paraId="10623C6F" w14:textId="77777777" w:rsidR="001A33B7" w:rsidRDefault="001A33B7" w:rsidP="00BB20EB">
                  <w:pPr>
                    <w:spacing w:before="100" w:after="100"/>
                    <w:jc w:val="center"/>
                    <w:rPr>
                      <w:rFonts w:eastAsia="EC Square Sans Pro" w:cs="EC Square Sans Pro"/>
                      <w:noProof/>
                    </w:rPr>
                  </w:pPr>
                  <w:r>
                    <w:rPr>
                      <w:noProof/>
                    </w:rPr>
                    <w:t>6 607.8</w:t>
                  </w:r>
                </w:p>
              </w:tc>
            </w:tr>
          </w:tbl>
          <w:p w14:paraId="783A577E" w14:textId="77777777" w:rsidR="001A33B7" w:rsidRPr="00807AC3" w:rsidRDefault="001A33B7"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1A33B7" w14:paraId="1227F54B" w14:textId="77777777" w:rsidTr="00BB20EB">
              <w:trPr>
                <w:trHeight w:val="285"/>
              </w:trPr>
              <w:tc>
                <w:tcPr>
                  <w:tcW w:w="2290" w:type="dxa"/>
                  <w:tcBorders>
                    <w:top w:val="nil"/>
                    <w:left w:val="nil"/>
                    <w:bottom w:val="nil"/>
                    <w:right w:val="nil"/>
                  </w:tcBorders>
                  <w:vAlign w:val="bottom"/>
                </w:tcPr>
                <w:p w14:paraId="713B7C99" w14:textId="77777777" w:rsidR="001A33B7" w:rsidRDefault="001A33B7" w:rsidP="00BB20EB">
                  <w:pPr>
                    <w:spacing w:before="100" w:after="100"/>
                    <w:jc w:val="center"/>
                    <w:rPr>
                      <w:noProof/>
                    </w:rPr>
                  </w:pPr>
                  <w:r>
                    <w:rPr>
                      <w:noProof/>
                    </w:rPr>
                    <w:t>18%</w:t>
                  </w:r>
                </w:p>
              </w:tc>
            </w:tr>
          </w:tbl>
          <w:p w14:paraId="21F9ED87" w14:textId="77777777" w:rsidR="001A33B7" w:rsidRPr="00807AC3" w:rsidRDefault="001A33B7" w:rsidP="00BB20EB">
            <w:pPr>
              <w:jc w:val="center"/>
              <w:cnfStyle w:val="000000000000" w:firstRow="0" w:lastRow="0" w:firstColumn="0" w:lastColumn="0" w:oddVBand="0" w:evenVBand="0" w:oddHBand="0" w:evenHBand="0" w:firstRowFirstColumn="0" w:firstRowLastColumn="0" w:lastRowFirstColumn="0" w:lastRowLastColumn="0"/>
              <w:rPr>
                <w:noProof/>
              </w:rPr>
            </w:pPr>
          </w:p>
        </w:tc>
      </w:tr>
      <w:tr w:rsidR="001A33B7" w:rsidRPr="00040D99" w14:paraId="069CD548" w14:textId="77777777" w:rsidTr="00BB20EB">
        <w:tc>
          <w:tcPr>
            <w:cnfStyle w:val="001000000000" w:firstRow="0" w:lastRow="0" w:firstColumn="1" w:lastColumn="0" w:oddVBand="0" w:evenVBand="0" w:oddHBand="0" w:evenHBand="0" w:firstRowFirstColumn="0" w:firstRowLastColumn="0" w:lastRowFirstColumn="0" w:lastRowLastColumn="0"/>
            <w:tcW w:w="2409" w:type="dxa"/>
          </w:tcPr>
          <w:p w14:paraId="6128C240" w14:textId="77777777" w:rsidR="001A33B7" w:rsidRPr="00807AC3" w:rsidRDefault="001A33B7" w:rsidP="00BB20EB">
            <w:pPr>
              <w:jc w:val="center"/>
              <w:rPr>
                <w:noProof/>
              </w:rPr>
            </w:pPr>
            <w:r w:rsidRPr="00807AC3">
              <w:rPr>
                <w:noProof/>
              </w:rPr>
              <w:t>Payments</w:t>
            </w:r>
          </w:p>
        </w:tc>
        <w:tc>
          <w:tcPr>
            <w:tcW w:w="2410" w:type="dxa"/>
          </w:tcPr>
          <w:tbl>
            <w:tblPr>
              <w:tblStyle w:val="TableGrid"/>
              <w:tblW w:w="0" w:type="auto"/>
              <w:tblLook w:val="06A0" w:firstRow="1" w:lastRow="0" w:firstColumn="1" w:lastColumn="0" w:noHBand="1" w:noVBand="1"/>
            </w:tblPr>
            <w:tblGrid>
              <w:gridCol w:w="2194"/>
            </w:tblGrid>
            <w:tr w:rsidR="001A33B7" w14:paraId="6614F911" w14:textId="77777777" w:rsidTr="00BB20EB">
              <w:trPr>
                <w:trHeight w:val="285"/>
              </w:trPr>
              <w:tc>
                <w:tcPr>
                  <w:tcW w:w="2290" w:type="dxa"/>
                  <w:tcBorders>
                    <w:top w:val="nil"/>
                    <w:left w:val="nil"/>
                    <w:bottom w:val="nil"/>
                    <w:right w:val="nil"/>
                  </w:tcBorders>
                  <w:vAlign w:val="bottom"/>
                </w:tcPr>
                <w:p w14:paraId="73B0F0DB" w14:textId="77777777" w:rsidR="001A33B7" w:rsidRDefault="001A33B7" w:rsidP="00BB20EB">
                  <w:pPr>
                    <w:spacing w:before="100" w:after="100"/>
                    <w:jc w:val="center"/>
                    <w:rPr>
                      <w:noProof/>
                    </w:rPr>
                  </w:pPr>
                  <w:r w:rsidRPr="00EF614A">
                    <w:rPr>
                      <w:noProof/>
                    </w:rPr>
                    <w:t>26.1</w:t>
                  </w:r>
                </w:p>
              </w:tc>
            </w:tr>
          </w:tbl>
          <w:p w14:paraId="4DA3F697" w14:textId="77777777" w:rsidR="001A33B7" w:rsidRPr="00807AC3" w:rsidRDefault="001A33B7"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2637CA89" w14:textId="77777777" w:rsidR="001A33B7" w:rsidRPr="00807AC3" w:rsidRDefault="001A33B7"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1A33B7" w14:paraId="4F7AED4C" w14:textId="77777777" w:rsidTr="00BB20EB">
              <w:trPr>
                <w:trHeight w:val="285"/>
              </w:trPr>
              <w:tc>
                <w:tcPr>
                  <w:tcW w:w="2235" w:type="dxa"/>
                  <w:tcBorders>
                    <w:top w:val="nil"/>
                    <w:left w:val="nil"/>
                    <w:bottom w:val="nil"/>
                    <w:right w:val="nil"/>
                  </w:tcBorders>
                  <w:vAlign w:val="bottom"/>
                </w:tcPr>
                <w:p w14:paraId="4561AEC7" w14:textId="77777777" w:rsidR="001A33B7" w:rsidRDefault="001A33B7" w:rsidP="00BB20EB">
                  <w:pPr>
                    <w:spacing w:before="100" w:after="100"/>
                    <w:jc w:val="center"/>
                    <w:rPr>
                      <w:noProof/>
                    </w:rPr>
                  </w:pPr>
                  <w:r w:rsidRPr="00EF614A">
                    <w:rPr>
                      <w:noProof/>
                    </w:rPr>
                    <w:t>0%</w:t>
                  </w:r>
                </w:p>
              </w:tc>
            </w:tr>
          </w:tbl>
          <w:p w14:paraId="39EE50C1" w14:textId="77777777" w:rsidR="001A33B7" w:rsidRPr="00807AC3" w:rsidRDefault="001A33B7" w:rsidP="00BB20EB">
            <w:pPr>
              <w:jc w:val="center"/>
              <w:cnfStyle w:val="000000000000" w:firstRow="0" w:lastRow="0" w:firstColumn="0" w:lastColumn="0" w:oddVBand="0" w:evenVBand="0" w:oddHBand="0" w:evenHBand="0" w:firstRowFirstColumn="0" w:firstRowLastColumn="0" w:lastRowFirstColumn="0" w:lastRowLastColumn="0"/>
              <w:rPr>
                <w:noProof/>
              </w:rPr>
            </w:pPr>
          </w:p>
        </w:tc>
      </w:tr>
    </w:tbl>
    <w:p w14:paraId="49AEE47A" w14:textId="77777777" w:rsidR="001A33B7" w:rsidRPr="00040D99" w:rsidRDefault="001A33B7" w:rsidP="001A33B7">
      <w:pPr>
        <w:pStyle w:val="ppoTableTabletitle"/>
        <w:rPr>
          <w:b/>
          <w:noProof/>
        </w:rPr>
      </w:pPr>
      <w:r w:rsidRPr="00040D99">
        <w:rPr>
          <w:noProof/>
        </w:rPr>
        <w:t>Voted budget implementation in 2021</w:t>
      </w:r>
      <w:r>
        <w:rPr>
          <w:noProof/>
        </w:rPr>
        <w:t xml:space="preserve"> (million EUR)</w:t>
      </w:r>
      <w:r w:rsidRPr="00040D99">
        <w:rPr>
          <w:noProof/>
        </w:rPr>
        <w:t>:</w:t>
      </w:r>
    </w:p>
    <w:tbl>
      <w:tblPr>
        <w:tblStyle w:val="PPO2021"/>
        <w:tblW w:w="3683" w:type="pct"/>
        <w:tblInd w:w="79" w:type="dxa"/>
        <w:tblLook w:val="04A0" w:firstRow="1" w:lastRow="0" w:firstColumn="1" w:lastColumn="0" w:noHBand="0" w:noVBand="1"/>
      </w:tblPr>
      <w:tblGrid>
        <w:gridCol w:w="2419"/>
        <w:gridCol w:w="2419"/>
        <w:gridCol w:w="2420"/>
      </w:tblGrid>
      <w:tr w:rsidR="001A33B7" w:rsidRPr="00040D99" w14:paraId="7DECDDBC" w14:textId="77777777" w:rsidTr="00BB20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557FF46F" w14:textId="77777777" w:rsidR="001A33B7" w:rsidRPr="0017374C" w:rsidRDefault="001A33B7" w:rsidP="00BB20EB">
            <w:pPr>
              <w:rPr>
                <w:noProof/>
              </w:rPr>
            </w:pPr>
          </w:p>
        </w:tc>
        <w:tc>
          <w:tcPr>
            <w:tcW w:w="2419" w:type="dxa"/>
          </w:tcPr>
          <w:p w14:paraId="28D1378B" w14:textId="77777777" w:rsidR="001A33B7" w:rsidRPr="0017374C" w:rsidRDefault="001A33B7" w:rsidP="00BB20EB">
            <w:pPr>
              <w:cnfStyle w:val="100000000000" w:firstRow="1" w:lastRow="0" w:firstColumn="0" w:lastColumn="0" w:oddVBand="0" w:evenVBand="0" w:oddHBand="0" w:evenHBand="0" w:firstRowFirstColumn="0" w:firstRowLastColumn="0" w:lastRowFirstColumn="0" w:lastRowLastColumn="0"/>
              <w:rPr>
                <w:noProof/>
              </w:rPr>
            </w:pPr>
            <w:r w:rsidRPr="0017374C">
              <w:rPr>
                <w:noProof/>
              </w:rPr>
              <w:t>Voted budget implementation</w:t>
            </w:r>
          </w:p>
        </w:tc>
        <w:tc>
          <w:tcPr>
            <w:tcW w:w="2420" w:type="dxa"/>
          </w:tcPr>
          <w:p w14:paraId="7D4C9494" w14:textId="77777777" w:rsidR="001A33B7" w:rsidRPr="0017374C" w:rsidRDefault="001A33B7" w:rsidP="00BB20EB">
            <w:pPr>
              <w:cnfStyle w:val="100000000000" w:firstRow="1" w:lastRow="0" w:firstColumn="0" w:lastColumn="0" w:oddVBand="0" w:evenVBand="0" w:oddHBand="0" w:evenHBand="0" w:firstRowFirstColumn="0" w:firstRowLastColumn="0" w:lastRowFirstColumn="0" w:lastRowLastColumn="0"/>
              <w:rPr>
                <w:noProof/>
              </w:rPr>
            </w:pPr>
            <w:r w:rsidRPr="0017374C">
              <w:rPr>
                <w:noProof/>
              </w:rPr>
              <w:t>Initial voted budget</w:t>
            </w:r>
          </w:p>
        </w:tc>
      </w:tr>
      <w:tr w:rsidR="001A33B7" w:rsidRPr="00040D99" w14:paraId="33104DA3" w14:textId="77777777" w:rsidTr="00BB2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03036BC3" w14:textId="77777777" w:rsidR="001A33B7" w:rsidRPr="0017374C" w:rsidRDefault="001A33B7" w:rsidP="00BB20EB">
            <w:pPr>
              <w:jc w:val="center"/>
              <w:rPr>
                <w:noProof/>
              </w:rPr>
            </w:pPr>
            <w:r w:rsidRPr="0017374C">
              <w:rPr>
                <w:noProof/>
              </w:rPr>
              <w:t>Commitments</w:t>
            </w:r>
          </w:p>
        </w:tc>
        <w:tc>
          <w:tcPr>
            <w:tcW w:w="2419" w:type="dxa"/>
          </w:tcPr>
          <w:p w14:paraId="3549D20F" w14:textId="77777777" w:rsidR="001A33B7" w:rsidRPr="0017374C" w:rsidRDefault="001A33B7" w:rsidP="00BB20EB">
            <w:pPr>
              <w:jc w:val="center"/>
              <w:cnfStyle w:val="000000100000" w:firstRow="0" w:lastRow="0" w:firstColumn="0" w:lastColumn="0" w:oddVBand="0" w:evenVBand="0" w:oddHBand="1" w:evenHBand="0" w:firstRowFirstColumn="0" w:firstRowLastColumn="0" w:lastRowFirstColumn="0" w:lastRowLastColumn="0"/>
              <w:rPr>
                <w:noProof/>
              </w:rPr>
            </w:pPr>
            <w:r w:rsidRPr="005B1B5E">
              <w:rPr>
                <w:noProof/>
              </w:rPr>
              <w:t>1</w:t>
            </w:r>
            <w:r>
              <w:rPr>
                <w:rFonts w:ascii="Calibri" w:hAnsi="Calibri" w:cs="Calibri"/>
                <w:noProof/>
              </w:rPr>
              <w:t> </w:t>
            </w:r>
            <w:r w:rsidRPr="005B1B5E">
              <w:rPr>
                <w:noProof/>
              </w:rPr>
              <w:t>129</w:t>
            </w:r>
            <w:r>
              <w:rPr>
                <w:noProof/>
              </w:rPr>
              <w:t>.</w:t>
            </w:r>
            <w:r w:rsidRPr="005B1B5E">
              <w:rPr>
                <w:noProof/>
              </w:rPr>
              <w:t>1</w:t>
            </w:r>
          </w:p>
        </w:tc>
        <w:tc>
          <w:tcPr>
            <w:tcW w:w="2420" w:type="dxa"/>
          </w:tcPr>
          <w:p w14:paraId="6C0C6875" w14:textId="77777777" w:rsidR="001A33B7" w:rsidRPr="0017374C" w:rsidRDefault="001A33B7" w:rsidP="00BB20EB">
            <w:pPr>
              <w:jc w:val="center"/>
              <w:cnfStyle w:val="000000100000" w:firstRow="0" w:lastRow="0" w:firstColumn="0" w:lastColumn="0" w:oddVBand="0" w:evenVBand="0" w:oddHBand="1" w:evenHBand="0" w:firstRowFirstColumn="0" w:firstRowLastColumn="0" w:lastRowFirstColumn="0" w:lastRowLastColumn="0"/>
              <w:rPr>
                <w:noProof/>
              </w:rPr>
            </w:pPr>
            <w:r w:rsidRPr="005B1B5E">
              <w:rPr>
                <w:noProof/>
              </w:rPr>
              <w:t>1</w:t>
            </w:r>
            <w:r>
              <w:rPr>
                <w:rFonts w:ascii="Calibri" w:hAnsi="Calibri" w:cs="Calibri"/>
                <w:noProof/>
              </w:rPr>
              <w:t> </w:t>
            </w:r>
            <w:r w:rsidRPr="005B1B5E">
              <w:rPr>
                <w:noProof/>
              </w:rPr>
              <w:t>129</w:t>
            </w:r>
            <w:r>
              <w:rPr>
                <w:noProof/>
              </w:rPr>
              <w:t>.</w:t>
            </w:r>
            <w:r w:rsidRPr="005B1B5E">
              <w:rPr>
                <w:noProof/>
              </w:rPr>
              <w:t>6</w:t>
            </w:r>
          </w:p>
        </w:tc>
      </w:tr>
      <w:tr w:rsidR="001A33B7" w:rsidRPr="00040D99" w14:paraId="411527BF" w14:textId="77777777" w:rsidTr="00BB20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137F26E2" w14:textId="77777777" w:rsidR="001A33B7" w:rsidRPr="0017374C" w:rsidRDefault="001A33B7" w:rsidP="00BB20EB">
            <w:pPr>
              <w:jc w:val="center"/>
              <w:rPr>
                <w:noProof/>
              </w:rPr>
            </w:pPr>
            <w:r w:rsidRPr="0017374C">
              <w:rPr>
                <w:noProof/>
              </w:rPr>
              <w:t>Payments</w:t>
            </w:r>
          </w:p>
        </w:tc>
        <w:tc>
          <w:tcPr>
            <w:tcW w:w="2419" w:type="dxa"/>
          </w:tcPr>
          <w:p w14:paraId="10035637" w14:textId="77777777" w:rsidR="001A33B7" w:rsidRPr="0017374C" w:rsidRDefault="001A33B7" w:rsidP="00BB20EB">
            <w:pPr>
              <w:jc w:val="center"/>
              <w:cnfStyle w:val="000000010000" w:firstRow="0" w:lastRow="0" w:firstColumn="0" w:lastColumn="0" w:oddVBand="0" w:evenVBand="0" w:oddHBand="0" w:evenHBand="1" w:firstRowFirstColumn="0" w:firstRowLastColumn="0" w:lastRowFirstColumn="0" w:lastRowLastColumn="0"/>
              <w:rPr>
                <w:noProof/>
              </w:rPr>
            </w:pPr>
            <w:r w:rsidRPr="00890CF1">
              <w:rPr>
                <w:noProof/>
              </w:rPr>
              <w:t>23</w:t>
            </w:r>
            <w:r>
              <w:rPr>
                <w:noProof/>
              </w:rPr>
              <w:t>.</w:t>
            </w:r>
            <w:r w:rsidRPr="00890CF1">
              <w:rPr>
                <w:noProof/>
              </w:rPr>
              <w:t>8</w:t>
            </w:r>
          </w:p>
        </w:tc>
        <w:tc>
          <w:tcPr>
            <w:tcW w:w="2420" w:type="dxa"/>
          </w:tcPr>
          <w:p w14:paraId="6B0F329A" w14:textId="77777777" w:rsidR="001A33B7" w:rsidRPr="0017374C" w:rsidRDefault="001A33B7" w:rsidP="00BB20EB">
            <w:pPr>
              <w:jc w:val="center"/>
              <w:cnfStyle w:val="000000010000" w:firstRow="0" w:lastRow="0" w:firstColumn="0" w:lastColumn="0" w:oddVBand="0" w:evenVBand="0" w:oddHBand="0" w:evenHBand="1" w:firstRowFirstColumn="0" w:firstRowLastColumn="0" w:lastRowFirstColumn="0" w:lastRowLastColumn="0"/>
              <w:rPr>
                <w:noProof/>
              </w:rPr>
            </w:pPr>
            <w:r w:rsidRPr="00890CF1">
              <w:rPr>
                <w:noProof/>
              </w:rPr>
              <w:t>104</w:t>
            </w:r>
            <w:r>
              <w:rPr>
                <w:noProof/>
              </w:rPr>
              <w:t>.</w:t>
            </w:r>
            <w:r w:rsidRPr="00890CF1">
              <w:rPr>
                <w:noProof/>
              </w:rPr>
              <w:t>8</w:t>
            </w:r>
          </w:p>
        </w:tc>
      </w:tr>
    </w:tbl>
    <w:p w14:paraId="63A29025" w14:textId="77777777" w:rsidR="001A33B7" w:rsidRDefault="001A33B7" w:rsidP="001A33B7">
      <w:pPr>
        <w:pStyle w:val="ppoListHyphened-L1"/>
        <w:spacing w:before="240" w:after="0" w:line="240" w:lineRule="auto"/>
        <w:ind w:left="360" w:hanging="360"/>
        <w:rPr>
          <w:noProof/>
        </w:rPr>
      </w:pPr>
      <w:r>
        <w:rPr>
          <w:noProof/>
        </w:rPr>
        <w:t>The first work programme of the Digital Europe Programme was adopted in November 2021. The programme consumed an important share of the available commitment appropriations. However, given the very short window left in 2021, the cumulative implementation rate in terms of payments was very low (about 0.3%).</w:t>
      </w:r>
    </w:p>
    <w:p w14:paraId="78ACD6C3" w14:textId="77777777" w:rsidR="00F30137" w:rsidRDefault="00F30137" w:rsidP="00F30137">
      <w:pPr>
        <w:pStyle w:val="ppoListHyphened-L1"/>
        <w:spacing w:before="240" w:after="0" w:line="240" w:lineRule="auto"/>
        <w:ind w:left="360" w:hanging="360"/>
        <w:rPr>
          <w:noProof/>
        </w:rPr>
      </w:pPr>
      <w:r>
        <w:rPr>
          <w:noProof/>
        </w:rPr>
        <w:t>The first set of calls for proposals was published soon after the adoption of the first work programme, in November 2021. A second call was launched in February 2022, using both 2021 and 2022 appropriations. Both calls covered topics in all work strands of the programme. These include the first steps towards the deployment of</w:t>
      </w:r>
      <w:r w:rsidRPr="00152A91">
        <w:rPr>
          <w:noProof/>
        </w:rPr>
        <w:t xml:space="preserve"> common data spaces</w:t>
      </w:r>
      <w:r>
        <w:rPr>
          <w:noProof/>
        </w:rPr>
        <w:t xml:space="preserve"> built on innovative, </w:t>
      </w:r>
      <w:r w:rsidRPr="00152A91">
        <w:rPr>
          <w:noProof/>
        </w:rPr>
        <w:t>secure and energy efficient cloud</w:t>
      </w:r>
      <w:r>
        <w:rPr>
          <w:noProof/>
        </w:rPr>
        <w:t>-</w:t>
      </w:r>
      <w:r w:rsidRPr="00152A91">
        <w:rPr>
          <w:noProof/>
        </w:rPr>
        <w:t>to</w:t>
      </w:r>
      <w:r>
        <w:rPr>
          <w:noProof/>
        </w:rPr>
        <w:t>-</w:t>
      </w:r>
      <w:r w:rsidRPr="00152A91">
        <w:rPr>
          <w:noProof/>
        </w:rPr>
        <w:t xml:space="preserve">edge capabilities, and </w:t>
      </w:r>
      <w:r>
        <w:rPr>
          <w:noProof/>
        </w:rPr>
        <w:t xml:space="preserve">the </w:t>
      </w:r>
      <w:r w:rsidRPr="00152A91">
        <w:rPr>
          <w:noProof/>
        </w:rPr>
        <w:t>promoti</w:t>
      </w:r>
      <w:r>
        <w:rPr>
          <w:noProof/>
        </w:rPr>
        <w:t xml:space="preserve">on of </w:t>
      </w:r>
      <w:r w:rsidRPr="00152A91">
        <w:rPr>
          <w:noProof/>
        </w:rPr>
        <w:t xml:space="preserve">testing and </w:t>
      </w:r>
      <w:r>
        <w:rPr>
          <w:noProof/>
        </w:rPr>
        <w:t xml:space="preserve">the </w:t>
      </w:r>
      <w:r w:rsidRPr="00152A91">
        <w:rPr>
          <w:noProof/>
        </w:rPr>
        <w:t>adoption of trustful artificial intelligence technologies</w:t>
      </w:r>
      <w:r>
        <w:rPr>
          <w:noProof/>
        </w:rPr>
        <w:t xml:space="preserve"> with world-class testing and experimentation facilities. Investments in the area of cybersecurity cover the deployment of a secure quantum communication infrastructure (EuroQCI), a network of national coordination centres with Member States fostering cross-border cooperation and support for cybersecurity in the health sector. The calls launched also aim to provide education and training opportunities for the future experts in key capacity areas deployed by the programme.</w:t>
      </w:r>
    </w:p>
    <w:p w14:paraId="19B7EA28" w14:textId="77777777" w:rsidR="00F30137" w:rsidRPr="006D6209" w:rsidRDefault="00F30137" w:rsidP="00F30137">
      <w:pPr>
        <w:pStyle w:val="ppoListHyphened-L1"/>
        <w:rPr>
          <w:noProof/>
          <w:sz w:val="24"/>
          <w:szCs w:val="24"/>
          <w:lang w:val="en-US"/>
        </w:rPr>
      </w:pPr>
      <w:r w:rsidRPr="008544B5">
        <w:rPr>
          <w:noProof/>
        </w:rPr>
        <w:t>Additional investments covered by these calls also target the</w:t>
      </w:r>
      <w:r>
        <w:rPr>
          <w:noProof/>
        </w:rPr>
        <w:t xml:space="preserve"> establishment of the network of digital innovation hubs, the</w:t>
      </w:r>
      <w:r w:rsidRPr="008544B5">
        <w:rPr>
          <w:noProof/>
        </w:rPr>
        <w:t xml:space="preserve"> deployment of the European </w:t>
      </w:r>
      <w:r>
        <w:rPr>
          <w:noProof/>
        </w:rPr>
        <w:t>b</w:t>
      </w:r>
      <w:r w:rsidRPr="008544B5">
        <w:rPr>
          <w:noProof/>
        </w:rPr>
        <w:t xml:space="preserve">lockchain </w:t>
      </w:r>
      <w:r>
        <w:rPr>
          <w:noProof/>
        </w:rPr>
        <w:t>s</w:t>
      </w:r>
      <w:r w:rsidRPr="008544B5">
        <w:rPr>
          <w:noProof/>
        </w:rPr>
        <w:t xml:space="preserve">ervice </w:t>
      </w:r>
      <w:r>
        <w:rPr>
          <w:noProof/>
        </w:rPr>
        <w:t>i</w:t>
      </w:r>
      <w:r w:rsidRPr="008544B5">
        <w:rPr>
          <w:noProof/>
        </w:rPr>
        <w:t xml:space="preserve">nfrastructure, support to the implementation of the European </w:t>
      </w:r>
      <w:r>
        <w:rPr>
          <w:noProof/>
        </w:rPr>
        <w:t>d</w:t>
      </w:r>
      <w:r w:rsidRPr="008544B5">
        <w:rPr>
          <w:noProof/>
        </w:rPr>
        <w:t xml:space="preserve">igital </w:t>
      </w:r>
      <w:r>
        <w:rPr>
          <w:noProof/>
        </w:rPr>
        <w:t>i</w:t>
      </w:r>
      <w:r w:rsidRPr="008544B5">
        <w:rPr>
          <w:noProof/>
        </w:rPr>
        <w:t xml:space="preserve">dentity </w:t>
      </w:r>
      <w:r>
        <w:rPr>
          <w:noProof/>
        </w:rPr>
        <w:t>f</w:t>
      </w:r>
      <w:r w:rsidRPr="008544B5">
        <w:rPr>
          <w:noProof/>
        </w:rPr>
        <w:t>ramework, the continuation of the investments in the previous financial framework</w:t>
      </w:r>
      <w:r w:rsidRPr="00004729">
        <w:rPr>
          <w:noProof/>
        </w:rPr>
        <w:t xml:space="preserve"> for the </w:t>
      </w:r>
      <w:r>
        <w:rPr>
          <w:noProof/>
        </w:rPr>
        <w:t>s</w:t>
      </w:r>
      <w:r w:rsidRPr="00004729">
        <w:rPr>
          <w:noProof/>
        </w:rPr>
        <w:t xml:space="preserve">afer </w:t>
      </w:r>
      <w:r>
        <w:rPr>
          <w:noProof/>
        </w:rPr>
        <w:t>i</w:t>
      </w:r>
      <w:r w:rsidRPr="00004729">
        <w:rPr>
          <w:noProof/>
        </w:rPr>
        <w:t>nternet network</w:t>
      </w:r>
      <w:r>
        <w:rPr>
          <w:noProof/>
        </w:rPr>
        <w:t xml:space="preserve"> and the </w:t>
      </w:r>
      <w:r w:rsidRPr="00004729">
        <w:rPr>
          <w:noProof/>
        </w:rPr>
        <w:t xml:space="preserve">European </w:t>
      </w:r>
      <w:r>
        <w:rPr>
          <w:noProof/>
        </w:rPr>
        <w:t>d</w:t>
      </w:r>
      <w:r w:rsidRPr="00004729">
        <w:rPr>
          <w:noProof/>
        </w:rPr>
        <w:t xml:space="preserve">igital </w:t>
      </w:r>
      <w:r>
        <w:rPr>
          <w:noProof/>
        </w:rPr>
        <w:t>m</w:t>
      </w:r>
      <w:r w:rsidRPr="00004729">
        <w:rPr>
          <w:noProof/>
        </w:rPr>
        <w:t xml:space="preserve">edia </w:t>
      </w:r>
      <w:r>
        <w:rPr>
          <w:noProof/>
        </w:rPr>
        <w:t>o</w:t>
      </w:r>
      <w:r w:rsidRPr="00004729">
        <w:rPr>
          <w:noProof/>
        </w:rPr>
        <w:t>bservatory and its network of hubs.</w:t>
      </w:r>
    </w:p>
    <w:p w14:paraId="3F9EC8FD" w14:textId="77777777" w:rsidR="00F30137" w:rsidRPr="006D6209" w:rsidRDefault="00F30137" w:rsidP="00F30137">
      <w:pPr>
        <w:pStyle w:val="ppoListHyphened-L1"/>
        <w:rPr>
          <w:noProof/>
          <w:lang w:val="en-US"/>
        </w:rPr>
      </w:pPr>
      <w:r w:rsidRPr="00416508">
        <w:rPr>
          <w:noProof/>
          <w:lang w:val="en-US"/>
        </w:rPr>
        <w:t>Following the</w:t>
      </w:r>
      <w:r>
        <w:rPr>
          <w:noProof/>
          <w:lang w:val="en-US"/>
        </w:rPr>
        <w:t xml:space="preserve"> signature of contribution</w:t>
      </w:r>
      <w:r w:rsidRPr="00416508">
        <w:rPr>
          <w:noProof/>
          <w:lang w:val="en-US"/>
        </w:rPr>
        <w:t xml:space="preserve"> agreement</w:t>
      </w:r>
      <w:r>
        <w:rPr>
          <w:noProof/>
        </w:rPr>
        <w:t>s</w:t>
      </w:r>
      <w:r w:rsidRPr="00416508">
        <w:rPr>
          <w:noProof/>
          <w:lang w:val="en-US"/>
        </w:rPr>
        <w:t xml:space="preserve"> on the implementation framework for the </w:t>
      </w:r>
      <w:r>
        <w:rPr>
          <w:noProof/>
          <w:lang w:val="en-US"/>
        </w:rPr>
        <w:t>‘d</w:t>
      </w:r>
      <w:r w:rsidRPr="00416508">
        <w:rPr>
          <w:noProof/>
          <w:lang w:val="en-US"/>
        </w:rPr>
        <w:t>estination Earth</w:t>
      </w:r>
      <w:r>
        <w:rPr>
          <w:noProof/>
          <w:lang w:val="en-US"/>
        </w:rPr>
        <w:t>’</w:t>
      </w:r>
      <w:r w:rsidRPr="00416508">
        <w:rPr>
          <w:noProof/>
          <w:lang w:val="en-US"/>
        </w:rPr>
        <w:t xml:space="preserve"> </w:t>
      </w:r>
      <w:r>
        <w:rPr>
          <w:noProof/>
          <w:lang w:val="en-US"/>
        </w:rPr>
        <w:t>i</w:t>
      </w:r>
      <w:r w:rsidRPr="00416508">
        <w:rPr>
          <w:noProof/>
          <w:lang w:val="en-US"/>
        </w:rPr>
        <w:t>nitiative, the</w:t>
      </w:r>
      <w:r>
        <w:rPr>
          <w:noProof/>
          <w:lang w:val="en-US"/>
        </w:rPr>
        <w:t xml:space="preserve"> actions to deploy</w:t>
      </w:r>
      <w:r w:rsidRPr="00416508">
        <w:rPr>
          <w:noProof/>
          <w:lang w:val="en-US"/>
        </w:rPr>
        <w:t xml:space="preserve"> the</w:t>
      </w:r>
      <w:r>
        <w:rPr>
          <w:noProof/>
          <w:lang w:val="en-US"/>
        </w:rPr>
        <w:t xml:space="preserve"> open core</w:t>
      </w:r>
      <w:r w:rsidRPr="00416508">
        <w:rPr>
          <w:noProof/>
          <w:lang w:val="en-US"/>
        </w:rPr>
        <w:t xml:space="preserve"> platform and</w:t>
      </w:r>
      <w:r>
        <w:rPr>
          <w:noProof/>
          <w:lang w:val="en-US"/>
        </w:rPr>
        <w:t xml:space="preserve"> first</w:t>
      </w:r>
      <w:r w:rsidRPr="00416508">
        <w:rPr>
          <w:noProof/>
          <w:lang w:val="en-US"/>
        </w:rPr>
        <w:t xml:space="preserve"> </w:t>
      </w:r>
      <w:r>
        <w:rPr>
          <w:noProof/>
          <w:lang w:val="en-US"/>
        </w:rPr>
        <w:t>d</w:t>
      </w:r>
      <w:r w:rsidRPr="00DC7ABB">
        <w:rPr>
          <w:noProof/>
          <w:lang w:val="en-US"/>
        </w:rPr>
        <w:t xml:space="preserve">igital </w:t>
      </w:r>
      <w:r>
        <w:rPr>
          <w:noProof/>
          <w:lang w:val="en-US"/>
        </w:rPr>
        <w:t>t</w:t>
      </w:r>
      <w:r w:rsidRPr="00DC7ABB">
        <w:rPr>
          <w:noProof/>
          <w:lang w:val="en-US"/>
        </w:rPr>
        <w:t>wins</w:t>
      </w:r>
      <w:r w:rsidRPr="00416508">
        <w:rPr>
          <w:noProof/>
          <w:lang w:val="en-US"/>
        </w:rPr>
        <w:t xml:space="preserve"> </w:t>
      </w:r>
      <w:r>
        <w:rPr>
          <w:noProof/>
          <w:lang w:val="en-US"/>
        </w:rPr>
        <w:t xml:space="preserve">will also start </w:t>
      </w:r>
      <w:r w:rsidRPr="00416508">
        <w:rPr>
          <w:noProof/>
          <w:lang w:val="en-US"/>
        </w:rPr>
        <w:t>in 2022.</w:t>
      </w:r>
    </w:p>
    <w:p w14:paraId="49915E30" w14:textId="77777777" w:rsidR="00F30137" w:rsidRDefault="00F30137" w:rsidP="00F30137">
      <w:pPr>
        <w:pStyle w:val="ppoListHyphened-L1"/>
        <w:spacing w:before="240" w:after="0" w:line="240" w:lineRule="auto"/>
        <w:ind w:left="360" w:hanging="360"/>
        <w:jc w:val="both"/>
        <w:rPr>
          <w:noProof/>
        </w:rPr>
      </w:pPr>
      <w:r w:rsidRPr="00152A91">
        <w:rPr>
          <w:noProof/>
        </w:rPr>
        <w:t>Various procurement actions have started implementation in contin</w:t>
      </w:r>
      <w:r>
        <w:rPr>
          <w:noProof/>
        </w:rPr>
        <w:t>uity</w:t>
      </w:r>
      <w:r w:rsidRPr="00152A91">
        <w:rPr>
          <w:noProof/>
        </w:rPr>
        <w:t xml:space="preserve"> with the previous multiannual financial framewor</w:t>
      </w:r>
      <w:r>
        <w:rPr>
          <w:noProof/>
        </w:rPr>
        <w:t>k, especially in the area of e-g</w:t>
      </w:r>
      <w:r w:rsidRPr="00152A91">
        <w:rPr>
          <w:noProof/>
        </w:rPr>
        <w:t>overnment</w:t>
      </w:r>
      <w:r>
        <w:rPr>
          <w:noProof/>
        </w:rPr>
        <w:t xml:space="preserve"> </w:t>
      </w:r>
      <w:r w:rsidRPr="00841FAF">
        <w:rPr>
          <w:noProof/>
        </w:rPr>
        <w:t>and interoperability</w:t>
      </w:r>
      <w:r>
        <w:rPr>
          <w:noProof/>
        </w:rPr>
        <w:t>.</w:t>
      </w:r>
      <w:r w:rsidRPr="00152A91">
        <w:rPr>
          <w:noProof/>
        </w:rPr>
        <w:t xml:space="preserve"> For instance, the </w:t>
      </w:r>
      <w:r>
        <w:rPr>
          <w:noProof/>
        </w:rPr>
        <w:t xml:space="preserve">implementation of the </w:t>
      </w:r>
      <w:r w:rsidRPr="00152A91">
        <w:rPr>
          <w:noProof/>
        </w:rPr>
        <w:t xml:space="preserve">first contracts focusing on interoperability-related operational objectives </w:t>
      </w:r>
      <w:r>
        <w:rPr>
          <w:noProof/>
        </w:rPr>
        <w:t>is ongoing. A</w:t>
      </w:r>
      <w:r w:rsidRPr="00152A91">
        <w:rPr>
          <w:noProof/>
        </w:rPr>
        <w:t xml:space="preserve">s the interoperability package for 2021 and 2022 </w:t>
      </w:r>
      <w:r>
        <w:rPr>
          <w:noProof/>
        </w:rPr>
        <w:t>builds on the work carried out</w:t>
      </w:r>
      <w:r w:rsidRPr="00152A91">
        <w:rPr>
          <w:noProof/>
        </w:rPr>
        <w:t xml:space="preserve"> under the predecessor programmes ISA</w:t>
      </w:r>
      <w:r w:rsidRPr="00897D6F">
        <w:rPr>
          <w:noProof/>
          <w:vertAlign w:val="superscript"/>
        </w:rPr>
        <w:t>2</w:t>
      </w:r>
      <w:r w:rsidRPr="00152A91">
        <w:rPr>
          <w:noProof/>
        </w:rPr>
        <w:t xml:space="preserve"> and CEF Telecom</w:t>
      </w:r>
      <w:r>
        <w:rPr>
          <w:noProof/>
        </w:rPr>
        <w:t xml:space="preserve">, </w:t>
      </w:r>
      <w:r w:rsidRPr="00152A91">
        <w:rPr>
          <w:noProof/>
        </w:rPr>
        <w:t>priority was given to the projects/actions tha</w:t>
      </w:r>
      <w:r>
        <w:rPr>
          <w:noProof/>
        </w:rPr>
        <w:t>t require business continuity.</w:t>
      </w:r>
    </w:p>
    <w:p w14:paraId="082CF5AB" w14:textId="68D72DD4" w:rsidR="001A33B7" w:rsidRPr="00040D99" w:rsidRDefault="00F30137" w:rsidP="00F30137">
      <w:pPr>
        <w:pStyle w:val="ppoHeading5"/>
        <w:rPr>
          <w:noProof/>
        </w:rPr>
      </w:pPr>
      <w:r w:rsidRPr="00040D99">
        <w:rPr>
          <w:noProof/>
        </w:rPr>
        <w:t xml:space="preserve"> </w:t>
      </w:r>
      <w:r w:rsidR="001A33B7" w:rsidRPr="00040D99">
        <w:rPr>
          <w:noProof/>
        </w:rPr>
        <w:t>Contribution to horizontal priorities</w:t>
      </w:r>
    </w:p>
    <w:p w14:paraId="3FD958B8" w14:textId="77777777" w:rsidR="001A33B7" w:rsidRPr="00040D99" w:rsidRDefault="001A33B7" w:rsidP="001A33B7">
      <w:pPr>
        <w:pStyle w:val="ppoTableTabletitle"/>
        <w:rPr>
          <w:noProof/>
        </w:rPr>
      </w:pPr>
      <w:r w:rsidRPr="00040D99">
        <w:rPr>
          <w:noProof/>
        </w:rPr>
        <w:t>EU budget contribution in 2021</w:t>
      </w:r>
      <w:r>
        <w:rPr>
          <w:noProof/>
        </w:rPr>
        <w:t xml:space="preserve"> (million EUR):</w:t>
      </w:r>
    </w:p>
    <w:tbl>
      <w:tblPr>
        <w:tblStyle w:val="PPO2021"/>
        <w:tblW w:w="9639" w:type="dxa"/>
        <w:tblInd w:w="0" w:type="dxa"/>
        <w:tblLook w:val="0420" w:firstRow="1" w:lastRow="0" w:firstColumn="0" w:lastColumn="0" w:noHBand="0" w:noVBand="1"/>
      </w:tblPr>
      <w:tblGrid>
        <w:gridCol w:w="3213"/>
        <w:gridCol w:w="3213"/>
        <w:gridCol w:w="3213"/>
      </w:tblGrid>
      <w:tr w:rsidR="001A33B7" w:rsidRPr="00040D99" w14:paraId="55FA33E7" w14:textId="77777777" w:rsidTr="00BB20EB">
        <w:trPr>
          <w:cnfStyle w:val="100000000000" w:firstRow="1" w:lastRow="0" w:firstColumn="0" w:lastColumn="0" w:oddVBand="0" w:evenVBand="0" w:oddHBand="0" w:evenHBand="0" w:firstRowFirstColumn="0" w:firstRowLastColumn="0" w:lastRowFirstColumn="0" w:lastRowLastColumn="0"/>
          <w:tblHeader/>
        </w:trPr>
        <w:tc>
          <w:tcPr>
            <w:tcW w:w="3213" w:type="dxa"/>
          </w:tcPr>
          <w:p w14:paraId="102D5C25" w14:textId="77777777" w:rsidR="001A33B7" w:rsidRPr="00BD731A" w:rsidRDefault="001A33B7" w:rsidP="00BB20EB">
            <w:pPr>
              <w:rPr>
                <w:noProof/>
              </w:rPr>
            </w:pPr>
            <w:r w:rsidRPr="00BD731A">
              <w:rPr>
                <w:noProof/>
              </w:rPr>
              <w:t>Climate</w:t>
            </w:r>
          </w:p>
        </w:tc>
        <w:tc>
          <w:tcPr>
            <w:tcW w:w="3213" w:type="dxa"/>
          </w:tcPr>
          <w:p w14:paraId="3734ADFD" w14:textId="77777777" w:rsidR="001A33B7" w:rsidRPr="00BD731A" w:rsidRDefault="001A33B7" w:rsidP="00BB20EB">
            <w:pPr>
              <w:rPr>
                <w:noProof/>
              </w:rPr>
            </w:pPr>
            <w:r w:rsidRPr="00BD731A">
              <w:rPr>
                <w:noProof/>
              </w:rPr>
              <w:t>Biodiversity</w:t>
            </w:r>
          </w:p>
        </w:tc>
        <w:tc>
          <w:tcPr>
            <w:tcW w:w="3213" w:type="dxa"/>
          </w:tcPr>
          <w:p w14:paraId="7B03A5BD" w14:textId="77777777" w:rsidR="001A33B7" w:rsidRPr="00BD731A" w:rsidRDefault="001A33B7" w:rsidP="00BB20EB">
            <w:pPr>
              <w:rPr>
                <w:noProof/>
              </w:rPr>
            </w:pPr>
            <w:r w:rsidRPr="00BD731A">
              <w:rPr>
                <w:noProof/>
              </w:rPr>
              <w:t>Gender equality</w:t>
            </w:r>
            <w:r>
              <w:rPr>
                <w:rFonts w:ascii="Calibri" w:hAnsi="Calibri" w:cs="Calibri"/>
                <w:noProof/>
              </w:rPr>
              <w:t> (</w:t>
            </w:r>
            <w:r>
              <w:rPr>
                <w:noProof/>
              </w:rPr>
              <w:t>*)</w:t>
            </w:r>
          </w:p>
        </w:tc>
      </w:tr>
      <w:tr w:rsidR="001A33B7" w:rsidRPr="00040D99" w14:paraId="755F3DE3" w14:textId="77777777" w:rsidTr="00BB20EB">
        <w:trPr>
          <w:cnfStyle w:val="000000100000" w:firstRow="0" w:lastRow="0" w:firstColumn="0" w:lastColumn="0" w:oddVBand="0" w:evenVBand="0" w:oddHBand="1" w:evenHBand="0" w:firstRowFirstColumn="0" w:firstRowLastColumn="0" w:lastRowFirstColumn="0" w:lastRowLastColumn="0"/>
        </w:trPr>
        <w:tc>
          <w:tcPr>
            <w:tcW w:w="3213" w:type="dxa"/>
          </w:tcPr>
          <w:tbl>
            <w:tblPr>
              <w:tblStyle w:val="TableGrid"/>
              <w:tblW w:w="0" w:type="auto"/>
              <w:tblLook w:val="06A0" w:firstRow="1" w:lastRow="0" w:firstColumn="1" w:lastColumn="0" w:noHBand="1" w:noVBand="1"/>
            </w:tblPr>
            <w:tblGrid>
              <w:gridCol w:w="1935"/>
            </w:tblGrid>
            <w:tr w:rsidR="001A33B7" w14:paraId="4DC0A36C" w14:textId="77777777" w:rsidTr="00BB20EB">
              <w:trPr>
                <w:trHeight w:val="285"/>
              </w:trPr>
              <w:tc>
                <w:tcPr>
                  <w:tcW w:w="1935" w:type="dxa"/>
                  <w:tcBorders>
                    <w:top w:val="nil"/>
                    <w:left w:val="nil"/>
                    <w:bottom w:val="nil"/>
                    <w:right w:val="nil"/>
                  </w:tcBorders>
                  <w:vAlign w:val="bottom"/>
                </w:tcPr>
                <w:p w14:paraId="7AA602A6" w14:textId="3B376AE0" w:rsidR="001A33B7" w:rsidRDefault="001A33B7" w:rsidP="00BB20EB">
                  <w:pPr>
                    <w:spacing w:before="100" w:after="100"/>
                    <w:jc w:val="center"/>
                    <w:rPr>
                      <w:noProof/>
                    </w:rPr>
                  </w:pPr>
                  <w:r w:rsidRPr="00EF614A">
                    <w:rPr>
                      <w:noProof/>
                    </w:rPr>
                    <w:t>3</w:t>
                  </w:r>
                  <w:r w:rsidR="00194625">
                    <w:rPr>
                      <w:noProof/>
                    </w:rPr>
                    <w:t>5.96</w:t>
                  </w:r>
                </w:p>
              </w:tc>
            </w:tr>
          </w:tbl>
          <w:p w14:paraId="724A4FA8" w14:textId="77777777" w:rsidR="001A33B7" w:rsidRPr="00BD731A" w:rsidRDefault="001A33B7" w:rsidP="00BB20EB">
            <w:pPr>
              <w:jc w:val="center"/>
              <w:rPr>
                <w:noProof/>
              </w:rPr>
            </w:pPr>
          </w:p>
        </w:tc>
        <w:tc>
          <w:tcPr>
            <w:tcW w:w="3213" w:type="dxa"/>
          </w:tcPr>
          <w:p w14:paraId="27DECFAD" w14:textId="77777777" w:rsidR="001A33B7" w:rsidRPr="00BD731A" w:rsidRDefault="001A33B7" w:rsidP="00BB20EB">
            <w:pPr>
              <w:jc w:val="center"/>
              <w:rPr>
                <w:noProof/>
              </w:rPr>
            </w:pPr>
            <w:r>
              <w:rPr>
                <w:noProof/>
              </w:rPr>
              <w:t>0</w:t>
            </w:r>
          </w:p>
        </w:tc>
        <w:tc>
          <w:tcPr>
            <w:tcW w:w="3213" w:type="dxa"/>
          </w:tcPr>
          <w:p w14:paraId="29D1EC34" w14:textId="1405A1FD" w:rsidR="001A33B7" w:rsidRPr="00BD731A" w:rsidRDefault="001A33B7" w:rsidP="00BB20EB">
            <w:pPr>
              <w:jc w:val="center"/>
              <w:rPr>
                <w:noProof/>
              </w:rPr>
            </w:pPr>
            <w:r w:rsidRPr="00A12D46">
              <w:rPr>
                <w:noProof/>
              </w:rPr>
              <w:t>Score 0</w:t>
            </w:r>
            <w:r w:rsidR="00F95175">
              <w:rPr>
                <w:noProof/>
              </w:rPr>
              <w:t>*</w:t>
            </w:r>
            <w:r w:rsidRPr="00A12D46">
              <w:rPr>
                <w:noProof/>
              </w:rPr>
              <w:t>: 1</w:t>
            </w:r>
            <w:r>
              <w:rPr>
                <w:rFonts w:ascii="Calibri" w:hAnsi="Calibri" w:cs="Calibri"/>
                <w:noProof/>
              </w:rPr>
              <w:t> </w:t>
            </w:r>
            <w:r w:rsidRPr="00A12D46">
              <w:rPr>
                <w:noProof/>
              </w:rPr>
              <w:t>130</w:t>
            </w:r>
          </w:p>
        </w:tc>
      </w:tr>
    </w:tbl>
    <w:p w14:paraId="61D613BD" w14:textId="77777777" w:rsidR="001A33B7" w:rsidRPr="00982726" w:rsidRDefault="001A33B7" w:rsidP="001A33B7">
      <w:pPr>
        <w:pStyle w:val="FootnoteText"/>
        <w:rPr>
          <w:noProof/>
        </w:rPr>
      </w:pPr>
      <w:r>
        <w:rPr>
          <w:noProof/>
        </w:rPr>
        <w:t>(*)</w:t>
      </w:r>
      <w:r>
        <w:rPr>
          <w:noProof/>
        </w:rPr>
        <w:tab/>
      </w:r>
      <w:r w:rsidRPr="00982726">
        <w:rPr>
          <w:noProof/>
        </w:rPr>
        <w:t xml:space="preserve">Based on the </w:t>
      </w:r>
      <w:r>
        <w:rPr>
          <w:noProof/>
        </w:rPr>
        <w:t xml:space="preserve">applied gender contribution </w:t>
      </w:r>
      <w:r w:rsidRPr="00982726">
        <w:rPr>
          <w:noProof/>
        </w:rPr>
        <w:t>methodology</w:t>
      </w:r>
      <w:r>
        <w:rPr>
          <w:noProof/>
        </w:rPr>
        <w:t>,</w:t>
      </w:r>
      <w:r w:rsidRPr="00982726">
        <w:rPr>
          <w:noProof/>
        </w:rPr>
        <w:t xml:space="preserve"> the following scores are attributed at the most granular level of intervention possible:</w:t>
      </w:r>
    </w:p>
    <w:p w14:paraId="6CC0379D" w14:textId="77777777" w:rsidR="001A33B7" w:rsidRPr="00982726" w:rsidRDefault="001A33B7" w:rsidP="001A33B7">
      <w:pPr>
        <w:pStyle w:val="FootnoteText"/>
        <w:numPr>
          <w:ilvl w:val="0"/>
          <w:numId w:val="38"/>
        </w:numPr>
        <w:spacing w:after="60" w:line="264" w:lineRule="auto"/>
        <w:jc w:val="left"/>
        <w:rPr>
          <w:noProof/>
        </w:rPr>
      </w:pPr>
      <w:r>
        <w:rPr>
          <w:noProof/>
        </w:rPr>
        <w:t>2:</w:t>
      </w:r>
      <w:r w:rsidRPr="00982726">
        <w:rPr>
          <w:noProof/>
        </w:rPr>
        <w:t xml:space="preserve"> </w:t>
      </w:r>
      <w:r>
        <w:rPr>
          <w:noProof/>
        </w:rPr>
        <w:t>i</w:t>
      </w:r>
      <w:r w:rsidRPr="00982726">
        <w:rPr>
          <w:noProof/>
        </w:rPr>
        <w:t xml:space="preserve">nterventions </w:t>
      </w:r>
      <w:r>
        <w:rPr>
          <w:noProof/>
        </w:rPr>
        <w:t>the</w:t>
      </w:r>
      <w:r w:rsidRPr="00982726">
        <w:rPr>
          <w:noProof/>
        </w:rPr>
        <w:t xml:space="preserve"> principal objective </w:t>
      </w:r>
      <w:r>
        <w:rPr>
          <w:noProof/>
        </w:rPr>
        <w:t xml:space="preserve">of which </w:t>
      </w:r>
      <w:r w:rsidRPr="00982726">
        <w:rPr>
          <w:noProof/>
        </w:rPr>
        <w:t>is to improve gender equality;</w:t>
      </w:r>
    </w:p>
    <w:p w14:paraId="252268D7" w14:textId="77777777" w:rsidR="001A33B7" w:rsidRPr="00982726" w:rsidRDefault="001A33B7" w:rsidP="001A33B7">
      <w:pPr>
        <w:pStyle w:val="FootnoteText"/>
        <w:numPr>
          <w:ilvl w:val="0"/>
          <w:numId w:val="38"/>
        </w:numPr>
        <w:spacing w:after="60" w:line="264" w:lineRule="auto"/>
        <w:jc w:val="left"/>
        <w:rPr>
          <w:noProof/>
        </w:rPr>
      </w:pPr>
      <w:r>
        <w:rPr>
          <w:noProof/>
        </w:rPr>
        <w:t>1:</w:t>
      </w:r>
      <w:r w:rsidRPr="00982726">
        <w:rPr>
          <w:noProof/>
        </w:rPr>
        <w:t xml:space="preserve"> </w:t>
      </w:r>
      <w:r>
        <w:rPr>
          <w:noProof/>
        </w:rPr>
        <w:t>i</w:t>
      </w:r>
      <w:r w:rsidRPr="00982726">
        <w:rPr>
          <w:noProof/>
        </w:rPr>
        <w:t xml:space="preserve">nterventions </w:t>
      </w:r>
      <w:r>
        <w:rPr>
          <w:noProof/>
        </w:rPr>
        <w:t>that have</w:t>
      </w:r>
      <w:r w:rsidRPr="00982726">
        <w:rPr>
          <w:noProof/>
        </w:rPr>
        <w:t xml:space="preserve"> gender equality as an important and deliberate objective but not as the main reason for the intervention;</w:t>
      </w:r>
    </w:p>
    <w:p w14:paraId="341CBBAD" w14:textId="77777777" w:rsidR="001A33B7" w:rsidRPr="00982726" w:rsidRDefault="001A33B7" w:rsidP="001A33B7">
      <w:pPr>
        <w:pStyle w:val="FootnoteText"/>
        <w:numPr>
          <w:ilvl w:val="0"/>
          <w:numId w:val="38"/>
        </w:numPr>
        <w:spacing w:after="60" w:line="264" w:lineRule="auto"/>
        <w:jc w:val="left"/>
        <w:rPr>
          <w:noProof/>
        </w:rPr>
      </w:pPr>
      <w:r>
        <w:rPr>
          <w:noProof/>
        </w:rPr>
        <w:t>0:</w:t>
      </w:r>
      <w:r w:rsidRPr="00982726">
        <w:rPr>
          <w:noProof/>
        </w:rPr>
        <w:t xml:space="preserve"> </w:t>
      </w:r>
      <w:r>
        <w:rPr>
          <w:noProof/>
        </w:rPr>
        <w:t>n</w:t>
      </w:r>
      <w:r w:rsidRPr="00982726">
        <w:rPr>
          <w:noProof/>
        </w:rPr>
        <w:t>o</w:t>
      </w:r>
      <w:r>
        <w:rPr>
          <w:noProof/>
        </w:rPr>
        <w:t>n-</w:t>
      </w:r>
      <w:r w:rsidRPr="00982726">
        <w:rPr>
          <w:noProof/>
        </w:rPr>
        <w:t>targeted interventions</w:t>
      </w:r>
      <w:r>
        <w:rPr>
          <w:noProof/>
        </w:rPr>
        <w:t>;</w:t>
      </w:r>
    </w:p>
    <w:p w14:paraId="4D589ED5" w14:textId="77777777" w:rsidR="001A33B7" w:rsidRPr="00982726" w:rsidRDefault="001A33B7" w:rsidP="001A33B7">
      <w:pPr>
        <w:pStyle w:val="FootnoteText"/>
        <w:numPr>
          <w:ilvl w:val="0"/>
          <w:numId w:val="38"/>
        </w:numPr>
        <w:spacing w:after="60" w:line="264" w:lineRule="auto"/>
        <w:jc w:val="left"/>
        <w:rPr>
          <w:noProof/>
        </w:rPr>
      </w:pPr>
      <w:r>
        <w:rPr>
          <w:noProof/>
        </w:rPr>
        <w:t>0*:</w:t>
      </w:r>
      <w:r w:rsidRPr="00982726">
        <w:rPr>
          <w:noProof/>
        </w:rPr>
        <w:t xml:space="preserve"> </w:t>
      </w:r>
      <w:r>
        <w:rPr>
          <w:noProof/>
        </w:rPr>
        <w:t>s</w:t>
      </w:r>
      <w:r w:rsidRPr="00982726">
        <w:rPr>
          <w:noProof/>
        </w:rPr>
        <w:t>core to be assigned to interventions with</w:t>
      </w:r>
      <w:r>
        <w:rPr>
          <w:noProof/>
        </w:rPr>
        <w:t xml:space="preserve"> a</w:t>
      </w:r>
      <w:r w:rsidRPr="00982726">
        <w:rPr>
          <w:noProof/>
        </w:rPr>
        <w:t xml:space="preserve"> likely but not yet clear positive impact on gender equality.</w:t>
      </w:r>
    </w:p>
    <w:p w14:paraId="5BD23A0D" w14:textId="77777777" w:rsidR="001A33B7" w:rsidRPr="00040D99" w:rsidRDefault="001A33B7" w:rsidP="001A33B7">
      <w:pPr>
        <w:pStyle w:val="ppoHeading5"/>
        <w:rPr>
          <w:noProof/>
        </w:rPr>
      </w:pPr>
      <w:r w:rsidRPr="00040D99">
        <w:rPr>
          <w:noProof/>
        </w:rPr>
        <w:t>Performance assessment</w:t>
      </w:r>
    </w:p>
    <w:p w14:paraId="2B09FB69" w14:textId="77777777" w:rsidR="001A33B7" w:rsidRPr="00040D99" w:rsidRDefault="001A33B7" w:rsidP="001A33B7">
      <w:pPr>
        <w:pStyle w:val="ppoHeading6"/>
        <w:rPr>
          <w:noProof/>
        </w:rPr>
      </w:pPr>
      <w:r w:rsidRPr="00040D99">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1A33B7" w:rsidRPr="00AC11E4" w14:paraId="2800EE9D" w14:textId="77777777" w:rsidTr="00BB20EB">
        <w:trPr>
          <w:cnfStyle w:val="100000000000" w:firstRow="1" w:lastRow="0" w:firstColumn="0" w:lastColumn="0" w:oddVBand="0" w:evenVBand="0" w:oddHBand="0" w:evenHBand="0" w:firstRowFirstColumn="0" w:firstRowLastColumn="0" w:lastRowFirstColumn="0" w:lastRowLastColumn="0"/>
        </w:trPr>
        <w:tc>
          <w:tcPr>
            <w:tcW w:w="2330" w:type="dxa"/>
          </w:tcPr>
          <w:p w14:paraId="38FEBA32" w14:textId="77777777" w:rsidR="001A33B7" w:rsidRPr="00884C9A" w:rsidRDefault="001A33B7" w:rsidP="00BB20EB">
            <w:pPr>
              <w:rPr>
                <w:noProof/>
              </w:rPr>
            </w:pPr>
          </w:p>
        </w:tc>
        <w:tc>
          <w:tcPr>
            <w:tcW w:w="1100" w:type="dxa"/>
          </w:tcPr>
          <w:p w14:paraId="1F39DBD8" w14:textId="77777777" w:rsidR="001A33B7" w:rsidRPr="00884C9A" w:rsidRDefault="001A33B7" w:rsidP="00BB20EB">
            <w:pPr>
              <w:rPr>
                <w:noProof/>
              </w:rPr>
            </w:pPr>
            <w:r w:rsidRPr="00884C9A">
              <w:rPr>
                <w:noProof/>
              </w:rPr>
              <w:t>Baseline</w:t>
            </w:r>
          </w:p>
        </w:tc>
        <w:tc>
          <w:tcPr>
            <w:tcW w:w="1526" w:type="dxa"/>
          </w:tcPr>
          <w:p w14:paraId="09B3B27B" w14:textId="77777777" w:rsidR="001A33B7" w:rsidRPr="00884C9A" w:rsidRDefault="001A33B7" w:rsidP="00BB20EB">
            <w:pPr>
              <w:rPr>
                <w:noProof/>
              </w:rPr>
            </w:pPr>
            <w:r w:rsidRPr="00884C9A">
              <w:rPr>
                <w:noProof/>
              </w:rPr>
              <w:t>Progress</w:t>
            </w:r>
            <w:r>
              <w:rPr>
                <w:noProof/>
              </w:rPr>
              <w:t xml:space="preserve"> (*)</w:t>
            </w:r>
          </w:p>
        </w:tc>
        <w:tc>
          <w:tcPr>
            <w:tcW w:w="1532" w:type="dxa"/>
          </w:tcPr>
          <w:p w14:paraId="4DD2D753" w14:textId="77777777" w:rsidR="001A33B7" w:rsidRPr="00884C9A" w:rsidRDefault="001A33B7" w:rsidP="00BB20EB">
            <w:pPr>
              <w:rPr>
                <w:noProof/>
              </w:rPr>
            </w:pPr>
            <w:r w:rsidRPr="00884C9A">
              <w:rPr>
                <w:noProof/>
              </w:rPr>
              <w:t>Target</w:t>
            </w:r>
          </w:p>
        </w:tc>
        <w:tc>
          <w:tcPr>
            <w:tcW w:w="1572" w:type="dxa"/>
          </w:tcPr>
          <w:p w14:paraId="2C9B5F4C" w14:textId="77777777" w:rsidR="001A33B7" w:rsidRPr="00884C9A" w:rsidRDefault="001A33B7" w:rsidP="00BB20EB">
            <w:pPr>
              <w:rPr>
                <w:noProof/>
              </w:rPr>
            </w:pPr>
            <w:r w:rsidRPr="00884C9A">
              <w:rPr>
                <w:noProof/>
              </w:rPr>
              <w:t>Results</w:t>
            </w:r>
          </w:p>
        </w:tc>
        <w:tc>
          <w:tcPr>
            <w:tcW w:w="1579" w:type="dxa"/>
          </w:tcPr>
          <w:p w14:paraId="5FA3BFC6" w14:textId="77777777" w:rsidR="001A33B7" w:rsidRPr="00884C9A" w:rsidRDefault="001A33B7" w:rsidP="00BB20EB">
            <w:pPr>
              <w:rPr>
                <w:noProof/>
              </w:rPr>
            </w:pPr>
            <w:r w:rsidRPr="00884C9A">
              <w:rPr>
                <w:noProof/>
              </w:rPr>
              <w:t>Assessment</w:t>
            </w:r>
          </w:p>
        </w:tc>
      </w:tr>
      <w:tr w:rsidR="001A33B7" w:rsidRPr="00AC11E4" w14:paraId="26652A76" w14:textId="77777777" w:rsidTr="00BB20EB">
        <w:trPr>
          <w:cnfStyle w:val="000000100000" w:firstRow="0" w:lastRow="0" w:firstColumn="0" w:lastColumn="0" w:oddVBand="0" w:evenVBand="0" w:oddHBand="1" w:evenHBand="0" w:firstRowFirstColumn="0" w:firstRowLastColumn="0" w:lastRowFirstColumn="0" w:lastRowLastColumn="0"/>
        </w:trPr>
        <w:tc>
          <w:tcPr>
            <w:tcW w:w="2330" w:type="dxa"/>
          </w:tcPr>
          <w:p w14:paraId="46CED527" w14:textId="77777777" w:rsidR="001A33B7" w:rsidRPr="000D5BD8" w:rsidRDefault="001A33B7" w:rsidP="00BB20EB">
            <w:pPr>
              <w:rPr>
                <w:noProof/>
              </w:rPr>
            </w:pPr>
            <w:r>
              <w:rPr>
                <w:noProof/>
              </w:rPr>
              <w:t>High-performance computing</w:t>
            </w:r>
            <w:r w:rsidRPr="000D5BD8">
              <w:rPr>
                <w:noProof/>
              </w:rPr>
              <w:t xml:space="preserve"> infrastructures jointly procured</w:t>
            </w:r>
          </w:p>
        </w:tc>
        <w:tc>
          <w:tcPr>
            <w:tcW w:w="1100" w:type="dxa"/>
          </w:tcPr>
          <w:p w14:paraId="07D40406" w14:textId="77777777" w:rsidR="001A33B7" w:rsidRPr="000D5BD8" w:rsidRDefault="001A33B7" w:rsidP="00BB20EB">
            <w:pPr>
              <w:jc w:val="center"/>
              <w:rPr>
                <w:noProof/>
              </w:rPr>
            </w:pPr>
            <w:r>
              <w:rPr>
                <w:noProof/>
              </w:rPr>
              <w:t>7</w:t>
            </w:r>
          </w:p>
        </w:tc>
        <w:tc>
          <w:tcPr>
            <w:tcW w:w="1526" w:type="dxa"/>
          </w:tcPr>
          <w:p w14:paraId="6BAB1F43" w14:textId="1EA7BEAC" w:rsidR="001A33B7" w:rsidRPr="00806B22" w:rsidRDefault="008B554D" w:rsidP="00BB20EB">
            <w:pPr>
              <w:jc w:val="center"/>
              <w:rPr>
                <w:b/>
                <w:noProof/>
              </w:rPr>
            </w:pPr>
            <w:r>
              <w:rPr>
                <w:b/>
                <w:noProof/>
              </w:rPr>
              <w:t>0%</w:t>
            </w:r>
          </w:p>
        </w:tc>
        <w:tc>
          <w:tcPr>
            <w:tcW w:w="1532" w:type="dxa"/>
          </w:tcPr>
          <w:p w14:paraId="1EDB3950" w14:textId="77777777" w:rsidR="001A33B7" w:rsidRPr="000D5BD8" w:rsidRDefault="001A33B7" w:rsidP="00BB20EB">
            <w:pPr>
              <w:jc w:val="center"/>
              <w:rPr>
                <w:noProof/>
              </w:rPr>
            </w:pPr>
            <w:r w:rsidRPr="000D5BD8">
              <w:rPr>
                <w:noProof/>
              </w:rPr>
              <w:t>12 in 2022</w:t>
            </w:r>
          </w:p>
        </w:tc>
        <w:tc>
          <w:tcPr>
            <w:tcW w:w="1572" w:type="dxa"/>
          </w:tcPr>
          <w:p w14:paraId="5B328229" w14:textId="62168CCC" w:rsidR="001A33B7" w:rsidRPr="000D5BD8" w:rsidRDefault="001A33B7" w:rsidP="00BB20EB">
            <w:pPr>
              <w:jc w:val="center"/>
              <w:rPr>
                <w:noProof/>
              </w:rPr>
            </w:pPr>
            <w:r>
              <w:rPr>
                <w:noProof/>
              </w:rPr>
              <w:t>7</w:t>
            </w:r>
            <w:r w:rsidR="008B554D">
              <w:rPr>
                <w:noProof/>
              </w:rPr>
              <w:t xml:space="preserve"> compared to a target of 12</w:t>
            </w:r>
          </w:p>
        </w:tc>
        <w:tc>
          <w:tcPr>
            <w:tcW w:w="1579" w:type="dxa"/>
          </w:tcPr>
          <w:p w14:paraId="3BB83F67" w14:textId="77777777" w:rsidR="001A33B7" w:rsidRPr="000D5BD8" w:rsidRDefault="001A33B7" w:rsidP="00BB20EB">
            <w:pPr>
              <w:jc w:val="center"/>
              <w:rPr>
                <w:noProof/>
              </w:rPr>
            </w:pPr>
            <w:r w:rsidRPr="000D5BD8">
              <w:rPr>
                <w:noProof/>
              </w:rPr>
              <w:t>On track</w:t>
            </w:r>
          </w:p>
        </w:tc>
      </w:tr>
      <w:tr w:rsidR="001A33B7" w:rsidRPr="00AC11E4" w14:paraId="626CF6AA" w14:textId="77777777" w:rsidTr="00BB20EB">
        <w:trPr>
          <w:cnfStyle w:val="000000010000" w:firstRow="0" w:lastRow="0" w:firstColumn="0" w:lastColumn="0" w:oddVBand="0" w:evenVBand="0" w:oddHBand="0" w:evenHBand="1" w:firstRowFirstColumn="0" w:firstRowLastColumn="0" w:lastRowFirstColumn="0" w:lastRowLastColumn="0"/>
        </w:trPr>
        <w:tc>
          <w:tcPr>
            <w:tcW w:w="2330" w:type="dxa"/>
          </w:tcPr>
          <w:p w14:paraId="121AB4C1" w14:textId="77777777" w:rsidR="001A33B7" w:rsidRPr="000D5BD8" w:rsidRDefault="001A33B7" w:rsidP="00BB20EB">
            <w:pPr>
              <w:rPr>
                <w:noProof/>
              </w:rPr>
            </w:pPr>
            <w:r w:rsidRPr="000D5BD8">
              <w:rPr>
                <w:noProof/>
              </w:rPr>
              <w:t>Co-investment in sites for experimentation and testing</w:t>
            </w:r>
          </w:p>
        </w:tc>
        <w:tc>
          <w:tcPr>
            <w:tcW w:w="1100" w:type="dxa"/>
          </w:tcPr>
          <w:p w14:paraId="25951952" w14:textId="77777777" w:rsidR="001A33B7" w:rsidRPr="000D5BD8" w:rsidRDefault="001A33B7" w:rsidP="00BB20EB">
            <w:pPr>
              <w:jc w:val="center"/>
              <w:rPr>
                <w:noProof/>
              </w:rPr>
            </w:pPr>
            <w:r>
              <w:rPr>
                <w:noProof/>
              </w:rPr>
              <w:t>0</w:t>
            </w:r>
          </w:p>
        </w:tc>
        <w:tc>
          <w:tcPr>
            <w:tcW w:w="1526" w:type="dxa"/>
          </w:tcPr>
          <w:p w14:paraId="63F92405" w14:textId="77777777" w:rsidR="001A33B7" w:rsidRPr="00806B22" w:rsidRDefault="001A33B7" w:rsidP="00BB20EB">
            <w:pPr>
              <w:jc w:val="center"/>
              <w:rPr>
                <w:b/>
                <w:noProof/>
              </w:rPr>
            </w:pPr>
            <w:r w:rsidRPr="00806B22">
              <w:rPr>
                <w:b/>
                <w:noProof/>
              </w:rPr>
              <w:t>0%</w:t>
            </w:r>
          </w:p>
        </w:tc>
        <w:tc>
          <w:tcPr>
            <w:tcW w:w="1532" w:type="dxa"/>
          </w:tcPr>
          <w:p w14:paraId="67E7CDB9" w14:textId="3463D982" w:rsidR="001A33B7" w:rsidRPr="000D5BD8" w:rsidRDefault="001A33B7" w:rsidP="00BB20EB">
            <w:pPr>
              <w:jc w:val="center"/>
              <w:rPr>
                <w:noProof/>
              </w:rPr>
            </w:pPr>
            <w:r w:rsidRPr="000D5BD8">
              <w:rPr>
                <w:noProof/>
              </w:rPr>
              <w:t>275 million in 202</w:t>
            </w:r>
            <w:r w:rsidR="008B554D">
              <w:rPr>
                <w:noProof/>
              </w:rPr>
              <w:t>7</w:t>
            </w:r>
          </w:p>
        </w:tc>
        <w:tc>
          <w:tcPr>
            <w:tcW w:w="1572" w:type="dxa"/>
          </w:tcPr>
          <w:p w14:paraId="42CC205A" w14:textId="75E13803" w:rsidR="001A33B7" w:rsidRPr="000D5BD8" w:rsidRDefault="001A33B7" w:rsidP="00BB20EB">
            <w:pPr>
              <w:jc w:val="center"/>
              <w:rPr>
                <w:noProof/>
              </w:rPr>
            </w:pPr>
            <w:r>
              <w:rPr>
                <w:noProof/>
              </w:rPr>
              <w:t>0</w:t>
            </w:r>
            <w:r w:rsidR="008B554D">
              <w:rPr>
                <w:noProof/>
              </w:rPr>
              <w:t xml:space="preserve"> compared to a target of 275 million</w:t>
            </w:r>
          </w:p>
        </w:tc>
        <w:tc>
          <w:tcPr>
            <w:tcW w:w="1579" w:type="dxa"/>
          </w:tcPr>
          <w:p w14:paraId="2C01F6FC" w14:textId="77777777" w:rsidR="001A33B7" w:rsidRPr="000D5BD8" w:rsidRDefault="001A33B7" w:rsidP="00BB20EB">
            <w:pPr>
              <w:jc w:val="center"/>
              <w:rPr>
                <w:noProof/>
              </w:rPr>
            </w:pPr>
            <w:r w:rsidRPr="000D5BD8">
              <w:rPr>
                <w:noProof/>
              </w:rPr>
              <w:t>On track</w:t>
            </w:r>
          </w:p>
        </w:tc>
      </w:tr>
      <w:tr w:rsidR="001A33B7" w:rsidRPr="00AC11E4" w14:paraId="13AB8578" w14:textId="77777777" w:rsidTr="00BB20EB">
        <w:trPr>
          <w:cnfStyle w:val="000000100000" w:firstRow="0" w:lastRow="0" w:firstColumn="0" w:lastColumn="0" w:oddVBand="0" w:evenVBand="0" w:oddHBand="1" w:evenHBand="0" w:firstRowFirstColumn="0" w:firstRowLastColumn="0" w:lastRowFirstColumn="0" w:lastRowLastColumn="0"/>
        </w:trPr>
        <w:tc>
          <w:tcPr>
            <w:tcW w:w="2330" w:type="dxa"/>
          </w:tcPr>
          <w:p w14:paraId="093FBECA" w14:textId="77777777" w:rsidR="001A33B7" w:rsidRPr="00884C9A" w:rsidRDefault="001A33B7" w:rsidP="00BB20EB">
            <w:pPr>
              <w:rPr>
                <w:noProof/>
              </w:rPr>
            </w:pPr>
            <w:r>
              <w:rPr>
                <w:noProof/>
              </w:rPr>
              <w:t>Usage of common European libraries or interfaces to libraries of algorithms, usage of common European data spaces and usage of sites for experimentation and testing related to activities under this regulation</w:t>
            </w:r>
          </w:p>
        </w:tc>
        <w:tc>
          <w:tcPr>
            <w:tcW w:w="1100" w:type="dxa"/>
          </w:tcPr>
          <w:p w14:paraId="6D86F57D" w14:textId="77777777" w:rsidR="001A33B7" w:rsidRPr="00884C9A" w:rsidRDefault="001A33B7" w:rsidP="00BB20EB">
            <w:pPr>
              <w:jc w:val="center"/>
              <w:rPr>
                <w:noProof/>
              </w:rPr>
            </w:pPr>
            <w:r>
              <w:rPr>
                <w:noProof/>
              </w:rPr>
              <w:t>0</w:t>
            </w:r>
          </w:p>
        </w:tc>
        <w:tc>
          <w:tcPr>
            <w:tcW w:w="1526" w:type="dxa"/>
          </w:tcPr>
          <w:p w14:paraId="6D84BFC2" w14:textId="77777777" w:rsidR="001A33B7" w:rsidRPr="00806B22" w:rsidRDefault="001A33B7" w:rsidP="00BB20EB">
            <w:pPr>
              <w:jc w:val="center"/>
              <w:rPr>
                <w:b/>
                <w:noProof/>
              </w:rPr>
            </w:pPr>
            <w:r w:rsidRPr="00806B22">
              <w:rPr>
                <w:b/>
                <w:noProof/>
              </w:rPr>
              <w:t>0%</w:t>
            </w:r>
          </w:p>
        </w:tc>
        <w:tc>
          <w:tcPr>
            <w:tcW w:w="1532" w:type="dxa"/>
          </w:tcPr>
          <w:p w14:paraId="18BD5F5A" w14:textId="77777777" w:rsidR="001A33B7" w:rsidRPr="00884C9A" w:rsidRDefault="001A33B7" w:rsidP="00BB20EB">
            <w:pPr>
              <w:jc w:val="center"/>
              <w:rPr>
                <w:noProof/>
              </w:rPr>
            </w:pPr>
            <w:r>
              <w:rPr>
                <w:noProof/>
              </w:rPr>
              <w:t>700 in 2030</w:t>
            </w:r>
          </w:p>
        </w:tc>
        <w:tc>
          <w:tcPr>
            <w:tcW w:w="1572" w:type="dxa"/>
          </w:tcPr>
          <w:p w14:paraId="33FFCC7F" w14:textId="6B223415" w:rsidR="001A33B7" w:rsidRPr="00884C9A" w:rsidRDefault="001A33B7" w:rsidP="00BB20EB">
            <w:pPr>
              <w:jc w:val="center"/>
              <w:rPr>
                <w:noProof/>
              </w:rPr>
            </w:pPr>
            <w:r>
              <w:rPr>
                <w:noProof/>
              </w:rPr>
              <w:t>0</w:t>
            </w:r>
            <w:r w:rsidR="008B554D">
              <w:rPr>
                <w:noProof/>
              </w:rPr>
              <w:t xml:space="preserve"> compared to a target of 700</w:t>
            </w:r>
          </w:p>
        </w:tc>
        <w:tc>
          <w:tcPr>
            <w:tcW w:w="1579" w:type="dxa"/>
          </w:tcPr>
          <w:p w14:paraId="775504F1" w14:textId="77777777" w:rsidR="001A33B7" w:rsidRPr="00884C9A" w:rsidRDefault="001A33B7" w:rsidP="00BB20EB">
            <w:pPr>
              <w:jc w:val="center"/>
              <w:rPr>
                <w:noProof/>
              </w:rPr>
            </w:pPr>
            <w:r>
              <w:rPr>
                <w:noProof/>
              </w:rPr>
              <w:t>On track</w:t>
            </w:r>
          </w:p>
        </w:tc>
      </w:tr>
      <w:tr w:rsidR="001A33B7" w:rsidRPr="00AC11E4" w14:paraId="1787AA02" w14:textId="77777777" w:rsidTr="00BB20EB">
        <w:trPr>
          <w:cnfStyle w:val="000000010000" w:firstRow="0" w:lastRow="0" w:firstColumn="0" w:lastColumn="0" w:oddVBand="0" w:evenVBand="0" w:oddHBand="0" w:evenHBand="1" w:firstRowFirstColumn="0" w:firstRowLastColumn="0" w:lastRowFirstColumn="0" w:lastRowLastColumn="0"/>
        </w:trPr>
        <w:tc>
          <w:tcPr>
            <w:tcW w:w="2330" w:type="dxa"/>
          </w:tcPr>
          <w:p w14:paraId="362C0012" w14:textId="77777777" w:rsidR="001A33B7" w:rsidRPr="00724FDD" w:rsidRDefault="001A33B7" w:rsidP="00BB20EB">
            <w:pPr>
              <w:rPr>
                <w:noProof/>
              </w:rPr>
            </w:pPr>
            <w:r>
              <w:rPr>
                <w:noProof/>
              </w:rPr>
              <w:t>Users and communities getting access to European cybersecurity facilities</w:t>
            </w:r>
          </w:p>
        </w:tc>
        <w:tc>
          <w:tcPr>
            <w:tcW w:w="1100" w:type="dxa"/>
          </w:tcPr>
          <w:p w14:paraId="510B8436" w14:textId="77777777" w:rsidR="001A33B7" w:rsidRPr="00884C9A" w:rsidRDefault="001A33B7" w:rsidP="00BB20EB">
            <w:pPr>
              <w:jc w:val="center"/>
              <w:rPr>
                <w:noProof/>
              </w:rPr>
            </w:pPr>
            <w:r>
              <w:rPr>
                <w:noProof/>
              </w:rPr>
              <w:t>0</w:t>
            </w:r>
          </w:p>
        </w:tc>
        <w:tc>
          <w:tcPr>
            <w:tcW w:w="1526" w:type="dxa"/>
          </w:tcPr>
          <w:p w14:paraId="41DBE502" w14:textId="77777777" w:rsidR="001A33B7" w:rsidRPr="00806B22" w:rsidRDefault="001A33B7" w:rsidP="00BB20EB">
            <w:pPr>
              <w:jc w:val="center"/>
              <w:rPr>
                <w:b/>
                <w:noProof/>
              </w:rPr>
            </w:pPr>
            <w:r w:rsidRPr="00806B22">
              <w:rPr>
                <w:b/>
                <w:noProof/>
              </w:rPr>
              <w:t>0%</w:t>
            </w:r>
          </w:p>
        </w:tc>
        <w:tc>
          <w:tcPr>
            <w:tcW w:w="1532" w:type="dxa"/>
          </w:tcPr>
          <w:p w14:paraId="2BED4BF4" w14:textId="77777777" w:rsidR="001A33B7" w:rsidRPr="00884C9A" w:rsidRDefault="001A33B7" w:rsidP="00BB20EB">
            <w:pPr>
              <w:rPr>
                <w:noProof/>
              </w:rPr>
            </w:pPr>
            <w:r>
              <w:rPr>
                <w:noProof/>
              </w:rPr>
              <w:t>300 in 2028</w:t>
            </w:r>
          </w:p>
        </w:tc>
        <w:tc>
          <w:tcPr>
            <w:tcW w:w="1572" w:type="dxa"/>
          </w:tcPr>
          <w:p w14:paraId="49879B65" w14:textId="7C0A0901" w:rsidR="001A33B7" w:rsidRPr="00884C9A" w:rsidRDefault="001A33B7" w:rsidP="00BB20EB">
            <w:pPr>
              <w:jc w:val="center"/>
              <w:rPr>
                <w:noProof/>
              </w:rPr>
            </w:pPr>
            <w:r>
              <w:rPr>
                <w:noProof/>
              </w:rPr>
              <w:t>0</w:t>
            </w:r>
            <w:r w:rsidR="008B554D">
              <w:rPr>
                <w:noProof/>
              </w:rPr>
              <w:t xml:space="preserve"> compared to target of 300</w:t>
            </w:r>
          </w:p>
        </w:tc>
        <w:tc>
          <w:tcPr>
            <w:tcW w:w="1579" w:type="dxa"/>
          </w:tcPr>
          <w:p w14:paraId="72613DAA" w14:textId="77777777" w:rsidR="001A33B7" w:rsidRPr="00884C9A" w:rsidRDefault="001A33B7" w:rsidP="00BB20EB">
            <w:pPr>
              <w:jc w:val="center"/>
              <w:rPr>
                <w:noProof/>
              </w:rPr>
            </w:pPr>
            <w:r>
              <w:rPr>
                <w:noProof/>
              </w:rPr>
              <w:t>On track</w:t>
            </w:r>
          </w:p>
        </w:tc>
      </w:tr>
      <w:tr w:rsidR="001A33B7" w:rsidRPr="00AC11E4" w14:paraId="0F30B484" w14:textId="77777777" w:rsidTr="00BB20EB">
        <w:trPr>
          <w:cnfStyle w:val="000000100000" w:firstRow="0" w:lastRow="0" w:firstColumn="0" w:lastColumn="0" w:oddVBand="0" w:evenVBand="0" w:oddHBand="1" w:evenHBand="0" w:firstRowFirstColumn="0" w:firstRowLastColumn="0" w:lastRowFirstColumn="0" w:lastRowLastColumn="0"/>
        </w:trPr>
        <w:tc>
          <w:tcPr>
            <w:tcW w:w="2330" w:type="dxa"/>
          </w:tcPr>
          <w:p w14:paraId="4A91BCF5" w14:textId="77777777" w:rsidR="001A33B7" w:rsidRPr="000D5BD8" w:rsidRDefault="001A33B7" w:rsidP="00BB20EB">
            <w:pPr>
              <w:rPr>
                <w:noProof/>
              </w:rPr>
            </w:pPr>
            <w:r w:rsidRPr="000D5BD8">
              <w:rPr>
                <w:noProof/>
              </w:rPr>
              <w:t>Persons who have received training to acquire advanced digital skills</w:t>
            </w:r>
          </w:p>
        </w:tc>
        <w:tc>
          <w:tcPr>
            <w:tcW w:w="1100" w:type="dxa"/>
          </w:tcPr>
          <w:p w14:paraId="540ADF9D" w14:textId="77777777" w:rsidR="001A33B7" w:rsidRPr="000D5BD8" w:rsidRDefault="001A33B7" w:rsidP="00BB20EB">
            <w:pPr>
              <w:jc w:val="center"/>
              <w:rPr>
                <w:noProof/>
              </w:rPr>
            </w:pPr>
            <w:r>
              <w:rPr>
                <w:noProof/>
              </w:rPr>
              <w:t>0</w:t>
            </w:r>
          </w:p>
        </w:tc>
        <w:tc>
          <w:tcPr>
            <w:tcW w:w="1526" w:type="dxa"/>
          </w:tcPr>
          <w:p w14:paraId="4031775B" w14:textId="77777777" w:rsidR="001A33B7" w:rsidRPr="00806B22" w:rsidRDefault="001A33B7" w:rsidP="00BB20EB">
            <w:pPr>
              <w:jc w:val="center"/>
              <w:rPr>
                <w:b/>
                <w:noProof/>
              </w:rPr>
            </w:pPr>
            <w:r w:rsidRPr="00806B22">
              <w:rPr>
                <w:b/>
                <w:noProof/>
              </w:rPr>
              <w:t>0%</w:t>
            </w:r>
          </w:p>
        </w:tc>
        <w:tc>
          <w:tcPr>
            <w:tcW w:w="1532" w:type="dxa"/>
          </w:tcPr>
          <w:p w14:paraId="44BCB86C" w14:textId="77777777" w:rsidR="001A33B7" w:rsidRPr="000D5BD8" w:rsidRDefault="001A33B7" w:rsidP="00BB20EB">
            <w:pPr>
              <w:jc w:val="center"/>
              <w:rPr>
                <w:noProof/>
              </w:rPr>
            </w:pPr>
            <w:r w:rsidRPr="000D5BD8">
              <w:rPr>
                <w:noProof/>
              </w:rPr>
              <w:t>133</w:t>
            </w:r>
            <w:r>
              <w:rPr>
                <w:rFonts w:ascii="Calibri" w:hAnsi="Calibri" w:cs="Calibri"/>
                <w:noProof/>
              </w:rPr>
              <w:t> </w:t>
            </w:r>
            <w:r w:rsidRPr="000D5BD8">
              <w:rPr>
                <w:noProof/>
              </w:rPr>
              <w:t>600 in 2027</w:t>
            </w:r>
          </w:p>
        </w:tc>
        <w:tc>
          <w:tcPr>
            <w:tcW w:w="1572" w:type="dxa"/>
          </w:tcPr>
          <w:p w14:paraId="16FBE353" w14:textId="60EAF196" w:rsidR="001A33B7" w:rsidRPr="000D5BD8" w:rsidRDefault="001A33B7" w:rsidP="00BB20EB">
            <w:pPr>
              <w:jc w:val="center"/>
              <w:rPr>
                <w:noProof/>
              </w:rPr>
            </w:pPr>
            <w:r w:rsidRPr="000D5BD8">
              <w:rPr>
                <w:noProof/>
              </w:rPr>
              <w:t>0</w:t>
            </w:r>
            <w:r w:rsidR="008B554D">
              <w:rPr>
                <w:noProof/>
              </w:rPr>
              <w:t xml:space="preserve"> compared to a target of 133 600</w:t>
            </w:r>
          </w:p>
        </w:tc>
        <w:tc>
          <w:tcPr>
            <w:tcW w:w="1579" w:type="dxa"/>
          </w:tcPr>
          <w:p w14:paraId="584CA3B1" w14:textId="77777777" w:rsidR="001A33B7" w:rsidRPr="000D5BD8" w:rsidRDefault="001A33B7" w:rsidP="00BB20EB">
            <w:pPr>
              <w:jc w:val="center"/>
              <w:rPr>
                <w:noProof/>
              </w:rPr>
            </w:pPr>
            <w:r w:rsidRPr="000D5BD8">
              <w:rPr>
                <w:noProof/>
              </w:rPr>
              <w:t>On track</w:t>
            </w:r>
          </w:p>
        </w:tc>
      </w:tr>
      <w:tr w:rsidR="001A33B7" w:rsidRPr="00AC11E4" w14:paraId="5D917937" w14:textId="77777777" w:rsidTr="00BB20EB">
        <w:trPr>
          <w:cnfStyle w:val="000000010000" w:firstRow="0" w:lastRow="0" w:firstColumn="0" w:lastColumn="0" w:oddVBand="0" w:evenVBand="0" w:oddHBand="0" w:evenHBand="1" w:firstRowFirstColumn="0" w:firstRowLastColumn="0" w:lastRowFirstColumn="0" w:lastRowLastColumn="0"/>
        </w:trPr>
        <w:tc>
          <w:tcPr>
            <w:tcW w:w="2330" w:type="dxa"/>
          </w:tcPr>
          <w:p w14:paraId="5A89DF0E" w14:textId="77777777" w:rsidR="001A33B7" w:rsidRDefault="001A33B7" w:rsidP="00BB20EB">
            <w:pPr>
              <w:rPr>
                <w:noProof/>
              </w:rPr>
            </w:pPr>
            <w:r>
              <w:rPr>
                <w:noProof/>
              </w:rPr>
              <w:t>People reporting an improved employment situation after the end of the training supported by the programme</w:t>
            </w:r>
          </w:p>
        </w:tc>
        <w:tc>
          <w:tcPr>
            <w:tcW w:w="1100" w:type="dxa"/>
          </w:tcPr>
          <w:p w14:paraId="763EF147" w14:textId="77777777" w:rsidR="001A33B7" w:rsidRPr="00884C9A" w:rsidRDefault="001A33B7" w:rsidP="00BB20EB">
            <w:pPr>
              <w:jc w:val="center"/>
              <w:rPr>
                <w:noProof/>
              </w:rPr>
            </w:pPr>
            <w:r>
              <w:rPr>
                <w:noProof/>
              </w:rPr>
              <w:t>0</w:t>
            </w:r>
          </w:p>
        </w:tc>
        <w:tc>
          <w:tcPr>
            <w:tcW w:w="1526" w:type="dxa"/>
          </w:tcPr>
          <w:p w14:paraId="67BB1EC9" w14:textId="77777777" w:rsidR="001A33B7" w:rsidRPr="00806B22" w:rsidRDefault="001A33B7" w:rsidP="00BB20EB">
            <w:pPr>
              <w:jc w:val="center"/>
              <w:rPr>
                <w:b/>
                <w:noProof/>
              </w:rPr>
            </w:pPr>
            <w:r w:rsidRPr="00806B22">
              <w:rPr>
                <w:b/>
                <w:noProof/>
              </w:rPr>
              <w:t>0%</w:t>
            </w:r>
          </w:p>
        </w:tc>
        <w:tc>
          <w:tcPr>
            <w:tcW w:w="1532" w:type="dxa"/>
          </w:tcPr>
          <w:p w14:paraId="1098F7BD" w14:textId="77777777" w:rsidR="001A33B7" w:rsidRPr="00884C9A" w:rsidRDefault="001A33B7" w:rsidP="00BB20EB">
            <w:pPr>
              <w:jc w:val="center"/>
              <w:rPr>
                <w:noProof/>
              </w:rPr>
            </w:pPr>
            <w:r>
              <w:rPr>
                <w:noProof/>
              </w:rPr>
              <w:t>66</w:t>
            </w:r>
            <w:r>
              <w:rPr>
                <w:rFonts w:ascii="Calibri" w:hAnsi="Calibri" w:cs="Calibri"/>
                <w:noProof/>
              </w:rPr>
              <w:t> </w:t>
            </w:r>
            <w:r>
              <w:rPr>
                <w:noProof/>
              </w:rPr>
              <w:t>800 in 2027</w:t>
            </w:r>
          </w:p>
        </w:tc>
        <w:tc>
          <w:tcPr>
            <w:tcW w:w="1572" w:type="dxa"/>
          </w:tcPr>
          <w:p w14:paraId="5764C4A8" w14:textId="37A7A2E9" w:rsidR="001A33B7" w:rsidRPr="00884C9A" w:rsidRDefault="001A33B7" w:rsidP="00BB20EB">
            <w:pPr>
              <w:jc w:val="center"/>
              <w:rPr>
                <w:noProof/>
              </w:rPr>
            </w:pPr>
            <w:r>
              <w:rPr>
                <w:noProof/>
              </w:rPr>
              <w:t>0</w:t>
            </w:r>
            <w:r w:rsidR="008B554D">
              <w:rPr>
                <w:noProof/>
              </w:rPr>
              <w:t xml:space="preserve"> compared to a target of 66 800</w:t>
            </w:r>
          </w:p>
        </w:tc>
        <w:tc>
          <w:tcPr>
            <w:tcW w:w="1579" w:type="dxa"/>
          </w:tcPr>
          <w:p w14:paraId="4FD9474F" w14:textId="77777777" w:rsidR="001A33B7" w:rsidRDefault="001A33B7" w:rsidP="00BB20EB">
            <w:pPr>
              <w:jc w:val="center"/>
              <w:rPr>
                <w:noProof/>
              </w:rPr>
            </w:pPr>
            <w:r>
              <w:rPr>
                <w:noProof/>
              </w:rPr>
              <w:t>On track</w:t>
            </w:r>
          </w:p>
        </w:tc>
      </w:tr>
      <w:tr w:rsidR="001A33B7" w:rsidRPr="00AC11E4" w14:paraId="3418F51C" w14:textId="77777777" w:rsidTr="00BB20EB">
        <w:trPr>
          <w:cnfStyle w:val="000000100000" w:firstRow="0" w:lastRow="0" w:firstColumn="0" w:lastColumn="0" w:oddVBand="0" w:evenVBand="0" w:oddHBand="1" w:evenHBand="0" w:firstRowFirstColumn="0" w:firstRowLastColumn="0" w:lastRowFirstColumn="0" w:lastRowLastColumn="0"/>
        </w:trPr>
        <w:tc>
          <w:tcPr>
            <w:tcW w:w="2330" w:type="dxa"/>
          </w:tcPr>
          <w:p w14:paraId="30E412D1" w14:textId="77777777" w:rsidR="001A33B7" w:rsidRDefault="001A33B7" w:rsidP="00BB20EB">
            <w:pPr>
              <w:rPr>
                <w:noProof/>
              </w:rPr>
            </w:pPr>
            <w:r>
              <w:rPr>
                <w:noProof/>
              </w:rPr>
              <w:t>Extent of alignment of the national interoperability framework with the European interoperability framework</w:t>
            </w:r>
          </w:p>
        </w:tc>
        <w:tc>
          <w:tcPr>
            <w:tcW w:w="1100" w:type="dxa"/>
          </w:tcPr>
          <w:p w14:paraId="38B29B9E" w14:textId="525E7500" w:rsidR="001A33B7" w:rsidRPr="00884C9A" w:rsidRDefault="001A33B7" w:rsidP="00BB20EB">
            <w:pPr>
              <w:jc w:val="center"/>
              <w:rPr>
                <w:noProof/>
              </w:rPr>
            </w:pPr>
            <w:r>
              <w:rPr>
                <w:noProof/>
              </w:rPr>
              <w:t>3</w:t>
            </w:r>
            <w:r w:rsidR="0071202C">
              <w:rPr>
                <w:noProof/>
              </w:rPr>
              <w:t>.</w:t>
            </w:r>
            <w:r>
              <w:rPr>
                <w:noProof/>
              </w:rPr>
              <w:t>750</w:t>
            </w:r>
          </w:p>
        </w:tc>
        <w:tc>
          <w:tcPr>
            <w:tcW w:w="1526" w:type="dxa"/>
          </w:tcPr>
          <w:p w14:paraId="3708BF03" w14:textId="14D45AB0" w:rsidR="001A33B7" w:rsidRPr="00806B22" w:rsidRDefault="008B554D" w:rsidP="00BB20EB">
            <w:pPr>
              <w:jc w:val="center"/>
              <w:rPr>
                <w:b/>
                <w:noProof/>
              </w:rPr>
            </w:pPr>
            <w:r>
              <w:rPr>
                <w:b/>
                <w:noProof/>
              </w:rPr>
              <w:t>0%</w:t>
            </w:r>
          </w:p>
        </w:tc>
        <w:tc>
          <w:tcPr>
            <w:tcW w:w="1532" w:type="dxa"/>
          </w:tcPr>
          <w:p w14:paraId="65949BEC" w14:textId="0CBB6662" w:rsidR="001A33B7" w:rsidRPr="00884C9A" w:rsidRDefault="001A33B7" w:rsidP="00BB20EB">
            <w:pPr>
              <w:jc w:val="center"/>
              <w:rPr>
                <w:noProof/>
              </w:rPr>
            </w:pPr>
            <w:r>
              <w:rPr>
                <w:noProof/>
              </w:rPr>
              <w:t>3</w:t>
            </w:r>
            <w:r w:rsidR="0071202C">
              <w:rPr>
                <w:rFonts w:ascii="Calibri" w:hAnsi="Calibri" w:cs="Calibri"/>
                <w:noProof/>
              </w:rPr>
              <w:t>.</w:t>
            </w:r>
            <w:r>
              <w:rPr>
                <w:noProof/>
              </w:rPr>
              <w:t>775 in 2025</w:t>
            </w:r>
          </w:p>
        </w:tc>
        <w:tc>
          <w:tcPr>
            <w:tcW w:w="1572" w:type="dxa"/>
          </w:tcPr>
          <w:p w14:paraId="112E91AA" w14:textId="76C44DD7" w:rsidR="001A33B7" w:rsidRPr="00884C9A" w:rsidRDefault="001A33B7" w:rsidP="00697B5E">
            <w:pPr>
              <w:jc w:val="center"/>
              <w:rPr>
                <w:noProof/>
              </w:rPr>
            </w:pPr>
            <w:r>
              <w:rPr>
                <w:noProof/>
              </w:rPr>
              <w:t>3</w:t>
            </w:r>
            <w:r w:rsidR="0071202C">
              <w:rPr>
                <w:rFonts w:ascii="Calibri" w:hAnsi="Calibri" w:cs="Calibri"/>
                <w:noProof/>
              </w:rPr>
              <w:t>.</w:t>
            </w:r>
            <w:r>
              <w:rPr>
                <w:noProof/>
              </w:rPr>
              <w:t>750</w:t>
            </w:r>
            <w:r w:rsidR="008B554D">
              <w:rPr>
                <w:noProof/>
              </w:rPr>
              <w:t xml:space="preserve"> compared to a target of 3</w:t>
            </w:r>
            <w:r w:rsidR="0071202C">
              <w:rPr>
                <w:noProof/>
              </w:rPr>
              <w:t>.</w:t>
            </w:r>
            <w:r w:rsidR="008B554D">
              <w:rPr>
                <w:noProof/>
              </w:rPr>
              <w:t>775</w:t>
            </w:r>
          </w:p>
        </w:tc>
        <w:tc>
          <w:tcPr>
            <w:tcW w:w="1579" w:type="dxa"/>
          </w:tcPr>
          <w:p w14:paraId="4296F3EF" w14:textId="77777777" w:rsidR="001A33B7" w:rsidRDefault="001A33B7" w:rsidP="00BB20EB">
            <w:pPr>
              <w:jc w:val="center"/>
              <w:rPr>
                <w:noProof/>
              </w:rPr>
            </w:pPr>
            <w:r>
              <w:rPr>
                <w:noProof/>
              </w:rPr>
              <w:t>Moderate progress</w:t>
            </w:r>
          </w:p>
        </w:tc>
      </w:tr>
      <w:tr w:rsidR="001A33B7" w:rsidRPr="00AC11E4" w14:paraId="5E6088D0" w14:textId="77777777" w:rsidTr="00BB20EB">
        <w:trPr>
          <w:cnfStyle w:val="000000010000" w:firstRow="0" w:lastRow="0" w:firstColumn="0" w:lastColumn="0" w:oddVBand="0" w:evenVBand="0" w:oddHBand="0" w:evenHBand="1" w:firstRowFirstColumn="0" w:firstRowLastColumn="0" w:lastRowFirstColumn="0" w:lastRowLastColumn="0"/>
        </w:trPr>
        <w:tc>
          <w:tcPr>
            <w:tcW w:w="2330" w:type="dxa"/>
          </w:tcPr>
          <w:p w14:paraId="3C80127B" w14:textId="77777777" w:rsidR="001A33B7" w:rsidRDefault="001A33B7" w:rsidP="00BB20EB">
            <w:pPr>
              <w:rPr>
                <w:noProof/>
              </w:rPr>
            </w:pPr>
            <w:r>
              <w:rPr>
                <w:noProof/>
              </w:rPr>
              <w:t>Businesses and public sector entities that have used the European digital innovation hubs’ services</w:t>
            </w:r>
          </w:p>
        </w:tc>
        <w:tc>
          <w:tcPr>
            <w:tcW w:w="1100" w:type="dxa"/>
          </w:tcPr>
          <w:p w14:paraId="1851D453" w14:textId="77777777" w:rsidR="001A33B7" w:rsidRPr="00884C9A" w:rsidRDefault="001A33B7" w:rsidP="00BB20EB">
            <w:pPr>
              <w:jc w:val="center"/>
              <w:rPr>
                <w:noProof/>
              </w:rPr>
            </w:pPr>
            <w:r>
              <w:rPr>
                <w:noProof/>
              </w:rPr>
              <w:t>0</w:t>
            </w:r>
          </w:p>
        </w:tc>
        <w:tc>
          <w:tcPr>
            <w:tcW w:w="1526" w:type="dxa"/>
          </w:tcPr>
          <w:p w14:paraId="164B2D40" w14:textId="77777777" w:rsidR="001A33B7" w:rsidRPr="00806B22" w:rsidRDefault="001A33B7" w:rsidP="00BB20EB">
            <w:pPr>
              <w:jc w:val="center"/>
              <w:rPr>
                <w:b/>
                <w:noProof/>
              </w:rPr>
            </w:pPr>
            <w:r w:rsidRPr="00806B22">
              <w:rPr>
                <w:b/>
                <w:noProof/>
              </w:rPr>
              <w:t>0%</w:t>
            </w:r>
          </w:p>
        </w:tc>
        <w:tc>
          <w:tcPr>
            <w:tcW w:w="1532" w:type="dxa"/>
          </w:tcPr>
          <w:p w14:paraId="5D13B376" w14:textId="77777777" w:rsidR="001A33B7" w:rsidRPr="00884C9A" w:rsidRDefault="001A33B7" w:rsidP="00BB20EB">
            <w:pPr>
              <w:jc w:val="center"/>
              <w:rPr>
                <w:noProof/>
              </w:rPr>
            </w:pPr>
            <w:r>
              <w:rPr>
                <w:noProof/>
              </w:rPr>
              <w:t>57</w:t>
            </w:r>
            <w:r>
              <w:rPr>
                <w:rFonts w:ascii="Calibri" w:hAnsi="Calibri" w:cs="Calibri"/>
                <w:noProof/>
              </w:rPr>
              <w:t> </w:t>
            </w:r>
            <w:r>
              <w:rPr>
                <w:noProof/>
              </w:rPr>
              <w:t>600 in 2027</w:t>
            </w:r>
          </w:p>
        </w:tc>
        <w:tc>
          <w:tcPr>
            <w:tcW w:w="1572" w:type="dxa"/>
          </w:tcPr>
          <w:p w14:paraId="57D88D15" w14:textId="1565242D" w:rsidR="001A33B7" w:rsidRPr="00884C9A" w:rsidRDefault="001A33B7" w:rsidP="00BB20EB">
            <w:pPr>
              <w:jc w:val="center"/>
              <w:rPr>
                <w:noProof/>
              </w:rPr>
            </w:pPr>
            <w:r>
              <w:rPr>
                <w:noProof/>
              </w:rPr>
              <w:t>0</w:t>
            </w:r>
            <w:r w:rsidR="008B554D">
              <w:rPr>
                <w:noProof/>
              </w:rPr>
              <w:t xml:space="preserve"> compared to a target of 57 600</w:t>
            </w:r>
          </w:p>
        </w:tc>
        <w:tc>
          <w:tcPr>
            <w:tcW w:w="1579" w:type="dxa"/>
          </w:tcPr>
          <w:p w14:paraId="29A948F4" w14:textId="77777777" w:rsidR="001A33B7" w:rsidRDefault="001A33B7" w:rsidP="00BB20EB">
            <w:pPr>
              <w:jc w:val="center"/>
              <w:rPr>
                <w:noProof/>
              </w:rPr>
            </w:pPr>
            <w:r>
              <w:rPr>
                <w:noProof/>
              </w:rPr>
              <w:t>On track</w:t>
            </w:r>
          </w:p>
        </w:tc>
      </w:tr>
    </w:tbl>
    <w:p w14:paraId="386D7B0A" w14:textId="759C1BE7" w:rsidR="001A33B7" w:rsidRPr="00040D99" w:rsidRDefault="001A33B7" w:rsidP="001A33B7">
      <w:pPr>
        <w:pStyle w:val="FootnoteText"/>
        <w:spacing w:before="120"/>
        <w:rPr>
          <w:noProof/>
        </w:rPr>
      </w:pPr>
      <w:r w:rsidRPr="00040D99">
        <w:rPr>
          <w:noProof/>
        </w:rPr>
        <w:t>(</w:t>
      </w:r>
      <w:r>
        <w:rPr>
          <w:noProof/>
        </w:rPr>
        <w:t>*</w:t>
      </w:r>
      <w:r w:rsidRPr="00040D99">
        <w:rPr>
          <w:noProof/>
        </w:rPr>
        <w:t>) % of target achieved by the end of 202</w:t>
      </w:r>
      <w:r w:rsidR="008B554D">
        <w:rPr>
          <w:noProof/>
        </w:rPr>
        <w:t>1</w:t>
      </w:r>
      <w:r>
        <w:rPr>
          <w:noProof/>
        </w:rPr>
        <w:t>.</w:t>
      </w:r>
    </w:p>
    <w:p w14:paraId="5B16028D" w14:textId="77777777" w:rsidR="001A33B7" w:rsidRPr="00730ECF" w:rsidRDefault="001A33B7" w:rsidP="001A33B7">
      <w:pPr>
        <w:pStyle w:val="ppoListHyphened-L1"/>
        <w:numPr>
          <w:ilvl w:val="0"/>
          <w:numId w:val="60"/>
        </w:numPr>
        <w:spacing w:before="360" w:after="160" w:line="259" w:lineRule="auto"/>
        <w:rPr>
          <w:rFonts w:eastAsiaTheme="majorEastAsia" w:cstheme="majorBidi"/>
          <w:noProof/>
          <w:color w:val="016A13" w:themeColor="accent1" w:themeShade="BF"/>
          <w:sz w:val="48"/>
          <w:szCs w:val="32"/>
        </w:rPr>
      </w:pPr>
      <w:r>
        <w:rPr>
          <w:noProof/>
        </w:rPr>
        <w:t>As the work programme was only adopted in November 2021 and the actions are only starting to be implemented, it is too early to carry out a performance assessment for the programme.</w:t>
      </w:r>
      <w:r w:rsidRPr="00040D99">
        <w:rPr>
          <w:noProof/>
        </w:rPr>
        <w:br w:type="page"/>
      </w:r>
    </w:p>
    <w:p w14:paraId="766CC5D8" w14:textId="77777777" w:rsidR="001A33B7" w:rsidRPr="00040D99" w:rsidRDefault="001A33B7" w:rsidP="001A33B7">
      <w:pPr>
        <w:pStyle w:val="ppoHeading4Orange"/>
        <w:rPr>
          <w:noProof/>
        </w:rPr>
      </w:pPr>
      <w:r w:rsidRPr="00040D99">
        <w:rPr>
          <w:noProof/>
        </w:rPr>
        <w:t>2014-2020</w:t>
      </w:r>
      <w:r>
        <w:rPr>
          <w:noProof/>
        </w:rPr>
        <w:t xml:space="preserve"> MULTIANNUAL FINANCIAL FRAMEWORK</w:t>
      </w:r>
      <w:r>
        <w:rPr>
          <w:rFonts w:ascii="Calibri" w:hAnsi="Calibri" w:cs="Calibri"/>
          <w:noProof/>
        </w:rPr>
        <w:t> </w:t>
      </w:r>
      <w:r>
        <w:rPr>
          <w:noProof/>
        </w:rPr>
        <w:t>–</w:t>
      </w:r>
      <w:r w:rsidRPr="00040D99">
        <w:rPr>
          <w:noProof/>
        </w:rPr>
        <w:t xml:space="preserve"> </w:t>
      </w:r>
      <w:r>
        <w:rPr>
          <w:noProof/>
        </w:rPr>
        <w:t>ISA</w:t>
      </w:r>
      <w:r w:rsidRPr="00D000B9">
        <w:rPr>
          <w:noProof/>
          <w:vertAlign w:val="superscript"/>
        </w:rPr>
        <w:t>2</w:t>
      </w:r>
    </w:p>
    <w:p w14:paraId="45EEDB84" w14:textId="77777777" w:rsidR="001A33B7" w:rsidRPr="00040D99" w:rsidRDefault="001A33B7" w:rsidP="001A33B7">
      <w:pPr>
        <w:rPr>
          <w:rFonts w:eastAsiaTheme="minorEastAsia"/>
          <w:noProof/>
        </w:rPr>
      </w:pPr>
      <w:r>
        <w:rPr>
          <w:rFonts w:eastAsiaTheme="minorEastAsia"/>
          <w:noProof/>
        </w:rPr>
        <w:t>The ISA² programme supported</w:t>
      </w:r>
      <w:r w:rsidRPr="00D6226C">
        <w:rPr>
          <w:rFonts w:eastAsiaTheme="minorEastAsia"/>
          <w:noProof/>
        </w:rPr>
        <w:t xml:space="preserve"> the development of digital solutions that enable public administrations, businesses and citizens in Europe to benefit from interoperable cross-border and cross-sector public services.</w:t>
      </w:r>
    </w:p>
    <w:p w14:paraId="77682E17" w14:textId="77777777" w:rsidR="001A33B7" w:rsidRPr="00040D99" w:rsidRDefault="001A33B7" w:rsidP="001A33B7">
      <w:pPr>
        <w:pStyle w:val="ppoHeading5"/>
        <w:rPr>
          <w:noProof/>
        </w:rPr>
      </w:pPr>
      <w:r w:rsidRPr="00040D99">
        <w:rPr>
          <w:noProof/>
        </w:rPr>
        <w:t>Budget</w:t>
      </w:r>
    </w:p>
    <w:p w14:paraId="72BD3212" w14:textId="77777777" w:rsidR="001A33B7" w:rsidRPr="00040D99" w:rsidRDefault="001A33B7" w:rsidP="001A33B7">
      <w:pPr>
        <w:pStyle w:val="ppoTableTabletitle"/>
        <w:rPr>
          <w:noProof/>
        </w:rPr>
      </w:pPr>
      <w:r w:rsidRPr="00040D99">
        <w:rPr>
          <w:noProof/>
        </w:rPr>
        <w:t>Cumulative implementation rate at the end of 2021</w:t>
      </w:r>
      <w:r>
        <w:rPr>
          <w:noProof/>
        </w:rPr>
        <w:t xml:space="preserve">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1A33B7" w:rsidRPr="00040D99" w14:paraId="5BBEB586" w14:textId="77777777" w:rsidTr="00BB2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5F36D758" w14:textId="77777777" w:rsidR="001A33B7" w:rsidRPr="00724FDD" w:rsidRDefault="001A33B7" w:rsidP="00BB20EB">
            <w:pPr>
              <w:rPr>
                <w:noProof/>
              </w:rPr>
            </w:pPr>
          </w:p>
        </w:tc>
        <w:tc>
          <w:tcPr>
            <w:tcW w:w="2410" w:type="dxa"/>
          </w:tcPr>
          <w:p w14:paraId="55F04015" w14:textId="77777777" w:rsidR="001A33B7" w:rsidRPr="00724FDD" w:rsidRDefault="001A33B7" w:rsidP="00BB20EB">
            <w:pPr>
              <w:cnfStyle w:val="100000000000" w:firstRow="1" w:lastRow="0" w:firstColumn="0" w:lastColumn="0" w:oddVBand="0" w:evenVBand="0" w:oddHBand="0" w:evenHBand="0" w:firstRowFirstColumn="0" w:firstRowLastColumn="0" w:lastRowFirstColumn="0" w:lastRowLastColumn="0"/>
              <w:rPr>
                <w:noProof/>
              </w:rPr>
            </w:pPr>
            <w:r w:rsidRPr="00724FDD">
              <w:rPr>
                <w:noProof/>
              </w:rPr>
              <w:t>Implementation</w:t>
            </w:r>
          </w:p>
        </w:tc>
        <w:tc>
          <w:tcPr>
            <w:tcW w:w="2410" w:type="dxa"/>
          </w:tcPr>
          <w:p w14:paraId="7CD73BCB" w14:textId="00E7584B" w:rsidR="001A33B7" w:rsidRPr="00724FDD" w:rsidRDefault="001F4CBC" w:rsidP="00BB20EB">
            <w:pPr>
              <w:cnfStyle w:val="100000000000" w:firstRow="1" w:lastRow="0" w:firstColumn="0" w:lastColumn="0" w:oddVBand="0" w:evenVBand="0" w:oddHBand="0" w:evenHBand="0" w:firstRowFirstColumn="0" w:firstRowLastColumn="0" w:lastRowFirstColumn="0" w:lastRowLastColumn="0"/>
              <w:rPr>
                <w:noProof/>
              </w:rPr>
            </w:pPr>
            <w:r>
              <w:rPr>
                <w:noProof/>
              </w:rPr>
              <w:t xml:space="preserve">2014-2020 </w:t>
            </w:r>
            <w:r w:rsidRPr="00885241">
              <w:rPr>
                <w:noProof/>
              </w:rPr>
              <w:t>Budget</w:t>
            </w:r>
          </w:p>
        </w:tc>
        <w:tc>
          <w:tcPr>
            <w:tcW w:w="2410" w:type="dxa"/>
          </w:tcPr>
          <w:p w14:paraId="681DD69A" w14:textId="77777777" w:rsidR="001A33B7" w:rsidRPr="00724FDD" w:rsidRDefault="001A33B7" w:rsidP="00BB20EB">
            <w:pPr>
              <w:cnfStyle w:val="100000000000" w:firstRow="1" w:lastRow="0" w:firstColumn="0" w:lastColumn="0" w:oddVBand="0" w:evenVBand="0" w:oddHBand="0" w:evenHBand="0" w:firstRowFirstColumn="0" w:firstRowLastColumn="0" w:lastRowFirstColumn="0" w:lastRowLastColumn="0"/>
              <w:rPr>
                <w:noProof/>
              </w:rPr>
            </w:pPr>
            <w:r w:rsidRPr="00724FDD">
              <w:rPr>
                <w:noProof/>
              </w:rPr>
              <w:t>Implementation rate</w:t>
            </w:r>
          </w:p>
        </w:tc>
      </w:tr>
      <w:tr w:rsidR="001A33B7" w:rsidRPr="00040D99" w14:paraId="2334B7D1" w14:textId="77777777" w:rsidTr="00BB20EB">
        <w:tc>
          <w:tcPr>
            <w:cnfStyle w:val="001000000000" w:firstRow="0" w:lastRow="0" w:firstColumn="1" w:lastColumn="0" w:oddVBand="0" w:evenVBand="0" w:oddHBand="0" w:evenHBand="0" w:firstRowFirstColumn="0" w:firstRowLastColumn="0" w:lastRowFirstColumn="0" w:lastRowLastColumn="0"/>
            <w:tcW w:w="2409" w:type="dxa"/>
          </w:tcPr>
          <w:p w14:paraId="3E46BEE1" w14:textId="77777777" w:rsidR="001A33B7" w:rsidRPr="00724FDD" w:rsidRDefault="001A33B7" w:rsidP="00BB20EB">
            <w:pPr>
              <w:jc w:val="center"/>
              <w:rPr>
                <w:noProof/>
              </w:rPr>
            </w:pPr>
            <w:r w:rsidRPr="00724FDD">
              <w:rPr>
                <w:noProof/>
              </w:rPr>
              <w:t>Commitment</w:t>
            </w:r>
            <w:r>
              <w:rPr>
                <w:noProof/>
              </w:rPr>
              <w:t>s</w:t>
            </w:r>
          </w:p>
        </w:tc>
        <w:tc>
          <w:tcPr>
            <w:tcW w:w="2410" w:type="dxa"/>
          </w:tcPr>
          <w:tbl>
            <w:tblPr>
              <w:tblStyle w:val="TableGrid"/>
              <w:tblW w:w="0" w:type="auto"/>
              <w:tblLook w:val="06A0" w:firstRow="1" w:lastRow="0" w:firstColumn="1" w:lastColumn="0" w:noHBand="1" w:noVBand="1"/>
            </w:tblPr>
            <w:tblGrid>
              <w:gridCol w:w="2194"/>
            </w:tblGrid>
            <w:tr w:rsidR="001A33B7" w14:paraId="468758E3" w14:textId="77777777" w:rsidTr="00BB20EB">
              <w:trPr>
                <w:trHeight w:val="285"/>
              </w:trPr>
              <w:tc>
                <w:tcPr>
                  <w:tcW w:w="2290" w:type="dxa"/>
                  <w:tcBorders>
                    <w:top w:val="nil"/>
                    <w:left w:val="nil"/>
                    <w:bottom w:val="nil"/>
                    <w:right w:val="nil"/>
                  </w:tcBorders>
                  <w:vAlign w:val="bottom"/>
                </w:tcPr>
                <w:p w14:paraId="3B15987A" w14:textId="77777777" w:rsidR="001A33B7" w:rsidRDefault="001A33B7" w:rsidP="00BB20EB">
                  <w:pPr>
                    <w:spacing w:before="100" w:after="100"/>
                    <w:jc w:val="center"/>
                    <w:rPr>
                      <w:noProof/>
                    </w:rPr>
                  </w:pPr>
                  <w:r w:rsidRPr="00EF614A">
                    <w:rPr>
                      <w:noProof/>
                    </w:rPr>
                    <w:t>131.2</w:t>
                  </w:r>
                </w:p>
              </w:tc>
            </w:tr>
          </w:tbl>
          <w:p w14:paraId="5169CAC4" w14:textId="77777777" w:rsidR="001A33B7" w:rsidRPr="00724FDD" w:rsidRDefault="001A33B7"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1A33B7" w14:paraId="78FBB2F3" w14:textId="77777777" w:rsidTr="00BB20EB">
              <w:trPr>
                <w:trHeight w:val="285"/>
              </w:trPr>
              <w:tc>
                <w:tcPr>
                  <w:tcW w:w="2290" w:type="dxa"/>
                  <w:tcBorders>
                    <w:top w:val="nil"/>
                    <w:left w:val="nil"/>
                    <w:bottom w:val="nil"/>
                    <w:right w:val="nil"/>
                  </w:tcBorders>
                  <w:vAlign w:val="bottom"/>
                </w:tcPr>
                <w:p w14:paraId="629493EC" w14:textId="77777777" w:rsidR="001A33B7" w:rsidRDefault="001A33B7" w:rsidP="00BB20EB">
                  <w:pPr>
                    <w:spacing w:before="100" w:after="100"/>
                    <w:jc w:val="center"/>
                    <w:rPr>
                      <w:noProof/>
                    </w:rPr>
                  </w:pPr>
                  <w:r w:rsidRPr="00EF614A">
                    <w:rPr>
                      <w:noProof/>
                    </w:rPr>
                    <w:t>131.2</w:t>
                  </w:r>
                </w:p>
              </w:tc>
            </w:tr>
          </w:tbl>
          <w:p w14:paraId="6B0D1BE5" w14:textId="77777777" w:rsidR="001A33B7" w:rsidRPr="00724FDD" w:rsidRDefault="001A33B7"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1A33B7" w14:paraId="5F3E2370" w14:textId="77777777" w:rsidTr="00BB20EB">
              <w:trPr>
                <w:trHeight w:val="285"/>
              </w:trPr>
              <w:tc>
                <w:tcPr>
                  <w:tcW w:w="2290" w:type="dxa"/>
                  <w:tcBorders>
                    <w:top w:val="nil"/>
                    <w:left w:val="nil"/>
                    <w:bottom w:val="nil"/>
                    <w:right w:val="nil"/>
                  </w:tcBorders>
                  <w:vAlign w:val="bottom"/>
                </w:tcPr>
                <w:p w14:paraId="70F417B3" w14:textId="77777777" w:rsidR="001A33B7" w:rsidRDefault="001A33B7" w:rsidP="00BB20EB">
                  <w:pPr>
                    <w:spacing w:before="100" w:after="100"/>
                    <w:jc w:val="center"/>
                    <w:rPr>
                      <w:noProof/>
                    </w:rPr>
                  </w:pPr>
                  <w:r w:rsidRPr="00EF614A">
                    <w:rPr>
                      <w:noProof/>
                    </w:rPr>
                    <w:t>100%</w:t>
                  </w:r>
                </w:p>
              </w:tc>
            </w:tr>
          </w:tbl>
          <w:p w14:paraId="6DE271CD" w14:textId="77777777" w:rsidR="001A33B7" w:rsidRPr="00724FDD" w:rsidRDefault="001A33B7" w:rsidP="00BB20EB">
            <w:pPr>
              <w:jc w:val="center"/>
              <w:cnfStyle w:val="000000000000" w:firstRow="0" w:lastRow="0" w:firstColumn="0" w:lastColumn="0" w:oddVBand="0" w:evenVBand="0" w:oddHBand="0" w:evenHBand="0" w:firstRowFirstColumn="0" w:firstRowLastColumn="0" w:lastRowFirstColumn="0" w:lastRowLastColumn="0"/>
              <w:rPr>
                <w:noProof/>
              </w:rPr>
            </w:pPr>
          </w:p>
        </w:tc>
      </w:tr>
      <w:tr w:rsidR="001A33B7" w:rsidRPr="00040D99" w14:paraId="405399CB" w14:textId="77777777" w:rsidTr="00BB20EB">
        <w:tc>
          <w:tcPr>
            <w:cnfStyle w:val="001000000000" w:firstRow="0" w:lastRow="0" w:firstColumn="1" w:lastColumn="0" w:oddVBand="0" w:evenVBand="0" w:oddHBand="0" w:evenHBand="0" w:firstRowFirstColumn="0" w:firstRowLastColumn="0" w:lastRowFirstColumn="0" w:lastRowLastColumn="0"/>
            <w:tcW w:w="2409" w:type="dxa"/>
          </w:tcPr>
          <w:p w14:paraId="387C8798" w14:textId="77777777" w:rsidR="001A33B7" w:rsidRPr="00724FDD" w:rsidRDefault="001A33B7" w:rsidP="00BB20EB">
            <w:pPr>
              <w:jc w:val="center"/>
              <w:rPr>
                <w:noProof/>
              </w:rPr>
            </w:pPr>
            <w:r w:rsidRPr="00724FDD">
              <w:rPr>
                <w:noProof/>
              </w:rPr>
              <w:t>Payments</w:t>
            </w:r>
          </w:p>
        </w:tc>
        <w:tc>
          <w:tcPr>
            <w:tcW w:w="2410" w:type="dxa"/>
          </w:tcPr>
          <w:tbl>
            <w:tblPr>
              <w:tblStyle w:val="TableGrid"/>
              <w:tblW w:w="0" w:type="auto"/>
              <w:tblLook w:val="06A0" w:firstRow="1" w:lastRow="0" w:firstColumn="1" w:lastColumn="0" w:noHBand="1" w:noVBand="1"/>
            </w:tblPr>
            <w:tblGrid>
              <w:gridCol w:w="2194"/>
            </w:tblGrid>
            <w:tr w:rsidR="001A33B7" w14:paraId="44A21E40" w14:textId="77777777" w:rsidTr="00BB20EB">
              <w:trPr>
                <w:trHeight w:val="285"/>
              </w:trPr>
              <w:tc>
                <w:tcPr>
                  <w:tcW w:w="2290" w:type="dxa"/>
                  <w:tcBorders>
                    <w:top w:val="nil"/>
                    <w:left w:val="nil"/>
                    <w:bottom w:val="nil"/>
                    <w:right w:val="nil"/>
                  </w:tcBorders>
                  <w:vAlign w:val="bottom"/>
                </w:tcPr>
                <w:p w14:paraId="1C6AB4AD" w14:textId="77777777" w:rsidR="001A33B7" w:rsidRDefault="001A33B7" w:rsidP="00BB20EB">
                  <w:pPr>
                    <w:spacing w:before="100" w:after="100"/>
                    <w:jc w:val="center"/>
                    <w:rPr>
                      <w:noProof/>
                    </w:rPr>
                  </w:pPr>
                  <w:r w:rsidRPr="00EF614A">
                    <w:rPr>
                      <w:noProof/>
                    </w:rPr>
                    <w:t>123.5</w:t>
                  </w:r>
                </w:p>
              </w:tc>
            </w:tr>
          </w:tbl>
          <w:p w14:paraId="1A6F4914" w14:textId="77777777" w:rsidR="001A33B7" w:rsidRPr="00724FDD" w:rsidRDefault="001A33B7"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3A535736" w14:textId="77777777" w:rsidR="001A33B7" w:rsidRPr="00724FDD" w:rsidRDefault="001A33B7"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1A33B7" w14:paraId="499A5122" w14:textId="77777777" w:rsidTr="00BB20EB">
              <w:trPr>
                <w:trHeight w:val="285"/>
              </w:trPr>
              <w:tc>
                <w:tcPr>
                  <w:tcW w:w="2235" w:type="dxa"/>
                  <w:tcBorders>
                    <w:top w:val="nil"/>
                    <w:left w:val="nil"/>
                    <w:bottom w:val="nil"/>
                    <w:right w:val="nil"/>
                  </w:tcBorders>
                  <w:vAlign w:val="bottom"/>
                </w:tcPr>
                <w:p w14:paraId="2A458F61" w14:textId="77777777" w:rsidR="001A33B7" w:rsidRDefault="001A33B7" w:rsidP="00BB20EB">
                  <w:pPr>
                    <w:spacing w:before="100" w:after="100"/>
                    <w:jc w:val="center"/>
                    <w:rPr>
                      <w:noProof/>
                    </w:rPr>
                  </w:pPr>
                  <w:r w:rsidRPr="00EF614A">
                    <w:rPr>
                      <w:noProof/>
                    </w:rPr>
                    <w:t>94%</w:t>
                  </w:r>
                </w:p>
              </w:tc>
            </w:tr>
          </w:tbl>
          <w:p w14:paraId="40275779" w14:textId="77777777" w:rsidR="001A33B7" w:rsidRPr="00724FDD" w:rsidRDefault="001A33B7" w:rsidP="00BB20EB">
            <w:pPr>
              <w:jc w:val="center"/>
              <w:cnfStyle w:val="000000000000" w:firstRow="0" w:lastRow="0" w:firstColumn="0" w:lastColumn="0" w:oddVBand="0" w:evenVBand="0" w:oddHBand="0" w:evenHBand="0" w:firstRowFirstColumn="0" w:firstRowLastColumn="0" w:lastRowFirstColumn="0" w:lastRowLastColumn="0"/>
              <w:rPr>
                <w:noProof/>
              </w:rPr>
            </w:pPr>
          </w:p>
        </w:tc>
      </w:tr>
    </w:tbl>
    <w:p w14:paraId="623FDC9B" w14:textId="77777777" w:rsidR="001A33B7" w:rsidRPr="00C50FB5" w:rsidRDefault="001A33B7" w:rsidP="001A33B7">
      <w:pPr>
        <w:pStyle w:val="ppoListHyphened-L1"/>
        <w:spacing w:before="360"/>
        <w:jc w:val="both"/>
        <w:rPr>
          <w:noProof/>
        </w:rPr>
      </w:pPr>
      <w:r>
        <w:rPr>
          <w:noProof/>
        </w:rPr>
        <w:t>The</w:t>
      </w:r>
      <w:r w:rsidRPr="00C50FB5">
        <w:rPr>
          <w:rFonts w:ascii="Calibri" w:hAnsi="Calibri" w:cs="Calibri"/>
          <w:noProof/>
        </w:rPr>
        <w:t> </w:t>
      </w:r>
      <w:r>
        <w:rPr>
          <w:noProof/>
        </w:rPr>
        <w:t>implementation of some actions funded by the</w:t>
      </w:r>
      <w:r>
        <w:rPr>
          <w:rFonts w:ascii="Calibri" w:hAnsi="Calibri" w:cs="Calibri"/>
          <w:noProof/>
        </w:rPr>
        <w:t xml:space="preserve"> </w:t>
      </w:r>
      <w:r>
        <w:rPr>
          <w:noProof/>
        </w:rPr>
        <w:t>2016-2020</w:t>
      </w:r>
      <w:r>
        <w:rPr>
          <w:rFonts w:ascii="Calibri" w:hAnsi="Calibri" w:cs="Calibri"/>
          <w:noProof/>
        </w:rPr>
        <w:t xml:space="preserve"> </w:t>
      </w:r>
      <w:r>
        <w:rPr>
          <w:noProof/>
        </w:rPr>
        <w:t>ISA</w:t>
      </w:r>
      <w:r w:rsidRPr="00C50FB5">
        <w:rPr>
          <w:noProof/>
          <w:vertAlign w:val="superscript"/>
        </w:rPr>
        <w:t>2</w:t>
      </w:r>
      <w:r>
        <w:rPr>
          <w:noProof/>
          <w:vertAlign w:val="superscript"/>
        </w:rPr>
        <w:t xml:space="preserve"> </w:t>
      </w:r>
      <w:r>
        <w:rPr>
          <w:noProof/>
        </w:rPr>
        <w:t>programme</w:t>
      </w:r>
      <w:r>
        <w:rPr>
          <w:rFonts w:ascii="Calibri" w:hAnsi="Calibri" w:cs="Calibri"/>
          <w:noProof/>
        </w:rPr>
        <w:t xml:space="preserve"> </w:t>
      </w:r>
      <w:r>
        <w:rPr>
          <w:noProof/>
        </w:rPr>
        <w:t>carried</w:t>
      </w:r>
      <w:r>
        <w:rPr>
          <w:rFonts w:ascii="Calibri" w:hAnsi="Calibri" w:cs="Calibri"/>
          <w:noProof/>
        </w:rPr>
        <w:t xml:space="preserve"> </w:t>
      </w:r>
      <w:r>
        <w:rPr>
          <w:noProof/>
        </w:rPr>
        <w:t>into 2021</w:t>
      </w:r>
      <w:r>
        <w:rPr>
          <w:rFonts w:ascii="Calibri" w:hAnsi="Calibri" w:cs="Calibri"/>
          <w:noProof/>
        </w:rPr>
        <w:t>,</w:t>
      </w:r>
      <w:r>
        <w:rPr>
          <w:noProof/>
        </w:rPr>
        <w:t xml:space="preserve"> focusing on the transition to</w:t>
      </w:r>
      <w:r>
        <w:rPr>
          <w:rFonts w:ascii="Calibri" w:hAnsi="Calibri" w:cs="Calibri"/>
          <w:noProof/>
        </w:rPr>
        <w:t xml:space="preserve"> </w:t>
      </w:r>
      <w:r w:rsidRPr="001E3CE3">
        <w:rPr>
          <w:noProof/>
        </w:rPr>
        <w:t>the</w:t>
      </w:r>
      <w:r w:rsidRPr="00C50FB5">
        <w:rPr>
          <w:rFonts w:ascii="Calibri" w:hAnsi="Calibri" w:cs="Calibri"/>
          <w:noProof/>
        </w:rPr>
        <w:t> </w:t>
      </w:r>
      <w:r>
        <w:rPr>
          <w:noProof/>
        </w:rPr>
        <w:t>Digital Europe Programme</w:t>
      </w:r>
      <w:r>
        <w:rPr>
          <w:rFonts w:ascii="Calibri" w:hAnsi="Calibri" w:cs="Calibri"/>
          <w:noProof/>
        </w:rPr>
        <w:t xml:space="preserve"> </w:t>
      </w:r>
      <w:r>
        <w:rPr>
          <w:noProof/>
        </w:rPr>
        <w:t>and on sustaining existing operations due to the late adoption of the Digital Europe 2021-2022 working programme in November 2021.</w:t>
      </w:r>
    </w:p>
    <w:p w14:paraId="46FF1AAC" w14:textId="51EE834F" w:rsidR="001A33B7" w:rsidRDefault="001A33B7" w:rsidP="001A33B7">
      <w:pPr>
        <w:pStyle w:val="ppoListHyphened-L1"/>
        <w:spacing w:before="360"/>
        <w:jc w:val="both"/>
        <w:rPr>
          <w:noProof/>
        </w:rPr>
      </w:pPr>
      <w:r>
        <w:rPr>
          <w:noProof/>
        </w:rPr>
        <w:t>As for the 2021 payments (just under EUR</w:t>
      </w:r>
      <w:r>
        <w:rPr>
          <w:rFonts w:ascii="Calibri" w:hAnsi="Calibri" w:cs="Calibri"/>
          <w:noProof/>
          <w:lang w:val="en-IE"/>
        </w:rPr>
        <w:t> </w:t>
      </w:r>
      <w:r>
        <w:rPr>
          <w:noProof/>
        </w:rPr>
        <w:t>25</w:t>
      </w:r>
      <w:r>
        <w:rPr>
          <w:rFonts w:ascii="Calibri" w:hAnsi="Calibri" w:cs="Calibri"/>
          <w:noProof/>
        </w:rPr>
        <w:t> </w:t>
      </w:r>
      <w:r>
        <w:rPr>
          <w:noProof/>
        </w:rPr>
        <w:t>million), they were used to cover the payments for all the actions under the 2020 work programme, with a notable portion spent on the development of key and generic interoperability enablers, support of instruments fo</w:t>
      </w:r>
      <w:r w:rsidR="00CC6C43">
        <w:rPr>
          <w:noProof/>
        </w:rPr>
        <w:t xml:space="preserve">r public administrations and </w:t>
      </w:r>
      <w:r>
        <w:rPr>
          <w:noProof/>
        </w:rPr>
        <w:t>EU policies.</w:t>
      </w:r>
    </w:p>
    <w:p w14:paraId="43AF15B2" w14:textId="6974A15E" w:rsidR="001A33B7" w:rsidRDefault="001A33B7" w:rsidP="001A33B7">
      <w:pPr>
        <w:pStyle w:val="ppoListHyphened-L1"/>
        <w:spacing w:before="360"/>
        <w:jc w:val="both"/>
        <w:rPr>
          <w:noProof/>
        </w:rPr>
      </w:pPr>
      <w:r>
        <w:rPr>
          <w:noProof/>
        </w:rPr>
        <w:t xml:space="preserve">The implementation of the programme was efficient, consuming 100% of its available commitment appropriations and 94% of the available payment appropriations. The outstanding payments will be executed mainly in 2022, with the final payments </w:t>
      </w:r>
      <w:r w:rsidR="00CC6C43">
        <w:rPr>
          <w:noProof/>
        </w:rPr>
        <w:t>done</w:t>
      </w:r>
      <w:r>
        <w:rPr>
          <w:noProof/>
        </w:rPr>
        <w:t xml:space="preserve"> in 2023.</w:t>
      </w:r>
    </w:p>
    <w:p w14:paraId="2EE02602" w14:textId="77777777" w:rsidR="001A33B7" w:rsidRPr="00156B4C" w:rsidRDefault="001A33B7" w:rsidP="001A33B7">
      <w:pPr>
        <w:pStyle w:val="ppoHeading5"/>
        <w:rPr>
          <w:noProof/>
        </w:rPr>
      </w:pPr>
      <w:r w:rsidRPr="00040D99">
        <w:rPr>
          <w:noProof/>
        </w:rPr>
        <w:t>Performance assessment</w:t>
      </w:r>
    </w:p>
    <w:p w14:paraId="681ED41F" w14:textId="77777777" w:rsidR="001A33B7" w:rsidRPr="00040D99" w:rsidRDefault="001A33B7" w:rsidP="001A33B7">
      <w:pPr>
        <w:pStyle w:val="ppoHeading6"/>
        <w:rPr>
          <w:noProof/>
        </w:rPr>
      </w:pPr>
      <w:r w:rsidRPr="00040D99">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1A33B7" w:rsidRPr="00040D99" w14:paraId="7273AED8" w14:textId="77777777" w:rsidTr="00BB20EB">
        <w:trPr>
          <w:cnfStyle w:val="100000000000" w:firstRow="1" w:lastRow="0" w:firstColumn="0" w:lastColumn="0" w:oddVBand="0" w:evenVBand="0" w:oddHBand="0" w:evenHBand="0" w:firstRowFirstColumn="0" w:firstRowLastColumn="0" w:lastRowFirstColumn="0" w:lastRowLastColumn="0"/>
        </w:trPr>
        <w:tc>
          <w:tcPr>
            <w:tcW w:w="2330" w:type="dxa"/>
          </w:tcPr>
          <w:p w14:paraId="01BC885A" w14:textId="77777777" w:rsidR="001A33B7" w:rsidRPr="00724FDD" w:rsidRDefault="001A33B7" w:rsidP="00BB20EB">
            <w:pPr>
              <w:rPr>
                <w:noProof/>
              </w:rPr>
            </w:pPr>
          </w:p>
        </w:tc>
        <w:tc>
          <w:tcPr>
            <w:tcW w:w="1100" w:type="dxa"/>
          </w:tcPr>
          <w:p w14:paraId="38C78511" w14:textId="77777777" w:rsidR="001A33B7" w:rsidRPr="00724FDD" w:rsidRDefault="001A33B7" w:rsidP="00BB20EB">
            <w:pPr>
              <w:rPr>
                <w:noProof/>
              </w:rPr>
            </w:pPr>
            <w:r w:rsidRPr="00724FDD">
              <w:rPr>
                <w:noProof/>
              </w:rPr>
              <w:t>Baseline</w:t>
            </w:r>
          </w:p>
        </w:tc>
        <w:tc>
          <w:tcPr>
            <w:tcW w:w="1526" w:type="dxa"/>
          </w:tcPr>
          <w:p w14:paraId="5948A2A3" w14:textId="77777777" w:rsidR="001A33B7" w:rsidRPr="00724FDD" w:rsidRDefault="001A33B7" w:rsidP="00BB20EB">
            <w:pPr>
              <w:rPr>
                <w:noProof/>
              </w:rPr>
            </w:pPr>
            <w:r w:rsidRPr="00724FDD">
              <w:rPr>
                <w:noProof/>
              </w:rPr>
              <w:t>Progress</w:t>
            </w:r>
            <w:r>
              <w:rPr>
                <w:rFonts w:ascii="Calibri" w:hAnsi="Calibri" w:cs="Calibri"/>
                <w:noProof/>
              </w:rPr>
              <w:t> </w:t>
            </w:r>
            <w:r>
              <w:rPr>
                <w:noProof/>
              </w:rPr>
              <w:t>(*)</w:t>
            </w:r>
          </w:p>
        </w:tc>
        <w:tc>
          <w:tcPr>
            <w:tcW w:w="1532" w:type="dxa"/>
          </w:tcPr>
          <w:p w14:paraId="5294204E" w14:textId="77777777" w:rsidR="001A33B7" w:rsidRPr="00724FDD" w:rsidRDefault="001A33B7" w:rsidP="00BB20EB">
            <w:pPr>
              <w:rPr>
                <w:noProof/>
              </w:rPr>
            </w:pPr>
            <w:r w:rsidRPr="00724FDD">
              <w:rPr>
                <w:noProof/>
              </w:rPr>
              <w:t>Target</w:t>
            </w:r>
          </w:p>
        </w:tc>
        <w:tc>
          <w:tcPr>
            <w:tcW w:w="1572" w:type="dxa"/>
          </w:tcPr>
          <w:p w14:paraId="17A8290E" w14:textId="77777777" w:rsidR="001A33B7" w:rsidRPr="00724FDD" w:rsidRDefault="001A33B7" w:rsidP="00BB20EB">
            <w:pPr>
              <w:rPr>
                <w:noProof/>
              </w:rPr>
            </w:pPr>
            <w:r w:rsidRPr="00724FDD">
              <w:rPr>
                <w:noProof/>
              </w:rPr>
              <w:t>Results</w:t>
            </w:r>
          </w:p>
        </w:tc>
        <w:tc>
          <w:tcPr>
            <w:tcW w:w="1579" w:type="dxa"/>
          </w:tcPr>
          <w:p w14:paraId="293BB3F6" w14:textId="77777777" w:rsidR="001A33B7" w:rsidRPr="00724FDD" w:rsidRDefault="001A33B7" w:rsidP="00BB20EB">
            <w:pPr>
              <w:rPr>
                <w:noProof/>
              </w:rPr>
            </w:pPr>
            <w:r w:rsidRPr="00724FDD">
              <w:rPr>
                <w:noProof/>
              </w:rPr>
              <w:t>Assessment</w:t>
            </w:r>
          </w:p>
        </w:tc>
      </w:tr>
      <w:tr w:rsidR="001A33B7" w:rsidRPr="00040D99" w14:paraId="3979EC6D" w14:textId="77777777" w:rsidTr="00BB20EB">
        <w:trPr>
          <w:cnfStyle w:val="000000100000" w:firstRow="0" w:lastRow="0" w:firstColumn="0" w:lastColumn="0" w:oddVBand="0" w:evenVBand="0" w:oddHBand="1" w:evenHBand="0" w:firstRowFirstColumn="0" w:firstRowLastColumn="0" w:lastRowFirstColumn="0" w:lastRowLastColumn="0"/>
        </w:trPr>
        <w:tc>
          <w:tcPr>
            <w:tcW w:w="2330" w:type="dxa"/>
          </w:tcPr>
          <w:p w14:paraId="5B078370" w14:textId="77777777" w:rsidR="001A33B7" w:rsidRPr="00724FDD" w:rsidRDefault="001A33B7" w:rsidP="00BB20EB">
            <w:pPr>
              <w:rPr>
                <w:noProof/>
              </w:rPr>
            </w:pPr>
            <w:r>
              <w:rPr>
                <w:noProof/>
              </w:rPr>
              <w:t>Key interoperability enablers</w:t>
            </w:r>
          </w:p>
        </w:tc>
        <w:tc>
          <w:tcPr>
            <w:tcW w:w="1100" w:type="dxa"/>
          </w:tcPr>
          <w:p w14:paraId="4A4A39FA" w14:textId="77777777" w:rsidR="001A33B7" w:rsidRPr="00724FDD" w:rsidRDefault="001A33B7" w:rsidP="00BB20EB">
            <w:pPr>
              <w:jc w:val="center"/>
              <w:rPr>
                <w:noProof/>
              </w:rPr>
            </w:pPr>
            <w:r>
              <w:rPr>
                <w:noProof/>
              </w:rPr>
              <w:t>3</w:t>
            </w:r>
          </w:p>
        </w:tc>
        <w:tc>
          <w:tcPr>
            <w:tcW w:w="1526" w:type="dxa"/>
          </w:tcPr>
          <w:p w14:paraId="1C9F00F1" w14:textId="77777777" w:rsidR="001A33B7" w:rsidRPr="00724FDD" w:rsidRDefault="001A33B7" w:rsidP="00BB20EB">
            <w:pPr>
              <w:jc w:val="center"/>
              <w:rPr>
                <w:b/>
                <w:noProof/>
              </w:rPr>
            </w:pPr>
            <w:r>
              <w:rPr>
                <w:noProof/>
              </w:rPr>
              <w:t>&gt;</w:t>
            </w:r>
            <w:r>
              <w:rPr>
                <w:rFonts w:ascii="Calibri" w:hAnsi="Calibri" w:cs="Calibri"/>
                <w:noProof/>
              </w:rPr>
              <w:t> </w:t>
            </w:r>
            <w:r>
              <w:rPr>
                <w:noProof/>
              </w:rPr>
              <w:t>100%</w:t>
            </w:r>
          </w:p>
        </w:tc>
        <w:tc>
          <w:tcPr>
            <w:tcW w:w="1532" w:type="dxa"/>
          </w:tcPr>
          <w:p w14:paraId="1AF3DE37" w14:textId="6E270EB8" w:rsidR="001A33B7" w:rsidRPr="00724FDD" w:rsidRDefault="001A33B7" w:rsidP="00BB20EB">
            <w:pPr>
              <w:jc w:val="center"/>
              <w:rPr>
                <w:noProof/>
              </w:rPr>
            </w:pPr>
            <w:r>
              <w:rPr>
                <w:noProof/>
              </w:rPr>
              <w:t>10</w:t>
            </w:r>
            <w:r w:rsidR="00563191">
              <w:rPr>
                <w:noProof/>
              </w:rPr>
              <w:t xml:space="preserve"> in 2020</w:t>
            </w:r>
          </w:p>
        </w:tc>
        <w:tc>
          <w:tcPr>
            <w:tcW w:w="1572" w:type="dxa"/>
          </w:tcPr>
          <w:p w14:paraId="18A0B475" w14:textId="77777777" w:rsidR="001A33B7" w:rsidRPr="00724FDD" w:rsidRDefault="001A33B7" w:rsidP="00BB20EB">
            <w:pPr>
              <w:jc w:val="center"/>
              <w:rPr>
                <w:noProof/>
              </w:rPr>
            </w:pPr>
            <w:r>
              <w:rPr>
                <w:noProof/>
              </w:rPr>
              <w:t>11 compared to a target of 10</w:t>
            </w:r>
          </w:p>
        </w:tc>
        <w:tc>
          <w:tcPr>
            <w:tcW w:w="1579" w:type="dxa"/>
          </w:tcPr>
          <w:p w14:paraId="6837A320" w14:textId="77777777" w:rsidR="001A33B7" w:rsidRPr="00724FDD" w:rsidRDefault="001A33B7" w:rsidP="00BB20EB">
            <w:pPr>
              <w:jc w:val="center"/>
              <w:rPr>
                <w:noProof/>
              </w:rPr>
            </w:pPr>
            <w:r>
              <w:rPr>
                <w:noProof/>
              </w:rPr>
              <w:t>Achieved</w:t>
            </w:r>
          </w:p>
        </w:tc>
      </w:tr>
      <w:tr w:rsidR="001A33B7" w:rsidRPr="00040D99" w14:paraId="6DCF2CFD" w14:textId="77777777" w:rsidTr="00BB20EB">
        <w:trPr>
          <w:cnfStyle w:val="000000010000" w:firstRow="0" w:lastRow="0" w:firstColumn="0" w:lastColumn="0" w:oddVBand="0" w:evenVBand="0" w:oddHBand="0" w:evenHBand="1" w:firstRowFirstColumn="0" w:firstRowLastColumn="0" w:lastRowFirstColumn="0" w:lastRowLastColumn="0"/>
        </w:trPr>
        <w:tc>
          <w:tcPr>
            <w:tcW w:w="2330" w:type="dxa"/>
          </w:tcPr>
          <w:p w14:paraId="156FD75C" w14:textId="77777777" w:rsidR="001A33B7" w:rsidRPr="00724FDD" w:rsidRDefault="001A33B7" w:rsidP="00BB20EB">
            <w:pPr>
              <w:rPr>
                <w:noProof/>
              </w:rPr>
            </w:pPr>
            <w:r>
              <w:rPr>
                <w:noProof/>
              </w:rPr>
              <w:t>Supporting instruments for public administration</w:t>
            </w:r>
          </w:p>
        </w:tc>
        <w:tc>
          <w:tcPr>
            <w:tcW w:w="1100" w:type="dxa"/>
          </w:tcPr>
          <w:p w14:paraId="7EA59C04" w14:textId="77777777" w:rsidR="001A33B7" w:rsidRPr="00724FDD" w:rsidRDefault="001A33B7" w:rsidP="00BB20EB">
            <w:pPr>
              <w:jc w:val="center"/>
              <w:rPr>
                <w:noProof/>
              </w:rPr>
            </w:pPr>
            <w:r>
              <w:rPr>
                <w:noProof/>
              </w:rPr>
              <w:t>4</w:t>
            </w:r>
          </w:p>
        </w:tc>
        <w:tc>
          <w:tcPr>
            <w:tcW w:w="1526" w:type="dxa"/>
          </w:tcPr>
          <w:p w14:paraId="325F3D1D" w14:textId="77777777" w:rsidR="001A33B7" w:rsidRPr="00724FDD" w:rsidRDefault="001A33B7" w:rsidP="00BB20EB">
            <w:pPr>
              <w:jc w:val="center"/>
              <w:rPr>
                <w:b/>
                <w:noProof/>
              </w:rPr>
            </w:pPr>
            <w:r>
              <w:rPr>
                <w:noProof/>
              </w:rPr>
              <w:t>100%</w:t>
            </w:r>
          </w:p>
        </w:tc>
        <w:tc>
          <w:tcPr>
            <w:tcW w:w="1532" w:type="dxa"/>
          </w:tcPr>
          <w:p w14:paraId="0AB85E86" w14:textId="22D8A48D" w:rsidR="001A33B7" w:rsidRPr="00724FDD" w:rsidRDefault="001A33B7" w:rsidP="00BB20EB">
            <w:pPr>
              <w:jc w:val="center"/>
              <w:rPr>
                <w:noProof/>
              </w:rPr>
            </w:pPr>
            <w:r>
              <w:rPr>
                <w:noProof/>
              </w:rPr>
              <w:t>13</w:t>
            </w:r>
            <w:r w:rsidR="00563191">
              <w:rPr>
                <w:noProof/>
              </w:rPr>
              <w:t xml:space="preserve"> in 2020</w:t>
            </w:r>
          </w:p>
        </w:tc>
        <w:tc>
          <w:tcPr>
            <w:tcW w:w="1572" w:type="dxa"/>
          </w:tcPr>
          <w:p w14:paraId="5E0EFE1D" w14:textId="2BC5FF7C" w:rsidR="001A33B7" w:rsidRPr="00724FDD" w:rsidRDefault="001A33B7">
            <w:pPr>
              <w:jc w:val="center"/>
              <w:rPr>
                <w:noProof/>
              </w:rPr>
            </w:pPr>
            <w:r>
              <w:rPr>
                <w:noProof/>
              </w:rPr>
              <w:t xml:space="preserve">13 </w:t>
            </w:r>
            <w:r w:rsidR="00563191">
              <w:rPr>
                <w:noProof/>
              </w:rPr>
              <w:t>compared to a target of</w:t>
            </w:r>
            <w:r>
              <w:rPr>
                <w:noProof/>
              </w:rPr>
              <w:t xml:space="preserve"> 13</w:t>
            </w:r>
          </w:p>
        </w:tc>
        <w:tc>
          <w:tcPr>
            <w:tcW w:w="1579" w:type="dxa"/>
          </w:tcPr>
          <w:p w14:paraId="00378AA9" w14:textId="77777777" w:rsidR="001A33B7" w:rsidRPr="00724FDD" w:rsidRDefault="001A33B7" w:rsidP="00BB20EB">
            <w:pPr>
              <w:jc w:val="center"/>
              <w:rPr>
                <w:noProof/>
              </w:rPr>
            </w:pPr>
            <w:r>
              <w:rPr>
                <w:noProof/>
              </w:rPr>
              <w:t>Achieved</w:t>
            </w:r>
          </w:p>
        </w:tc>
      </w:tr>
    </w:tbl>
    <w:p w14:paraId="3FFDDD93" w14:textId="77777777" w:rsidR="001A33B7" w:rsidRPr="00040D99" w:rsidRDefault="001A33B7" w:rsidP="001A33B7">
      <w:pPr>
        <w:pStyle w:val="FootnoteText"/>
        <w:rPr>
          <w:noProof/>
        </w:rPr>
      </w:pPr>
      <w:r>
        <w:rPr>
          <w:noProof/>
        </w:rPr>
        <w:t>(*</w:t>
      </w:r>
      <w:r w:rsidRPr="00040D99">
        <w:rPr>
          <w:noProof/>
        </w:rPr>
        <w:t>) % of target achieved by the end of 2020</w:t>
      </w:r>
      <w:r>
        <w:rPr>
          <w:noProof/>
        </w:rPr>
        <w:t>.</w:t>
      </w:r>
    </w:p>
    <w:p w14:paraId="092A156A" w14:textId="6467DE34" w:rsidR="001A33B7" w:rsidRDefault="001A33B7" w:rsidP="001A33B7">
      <w:pPr>
        <w:pStyle w:val="ppoListHyphened-L1"/>
        <w:spacing w:before="360"/>
        <w:rPr>
          <w:noProof/>
        </w:rPr>
      </w:pPr>
      <w:r w:rsidRPr="00040D99">
        <w:rPr>
          <w:noProof/>
        </w:rPr>
        <w:t xml:space="preserve">The </w:t>
      </w:r>
      <w:r>
        <w:rPr>
          <w:noProof/>
        </w:rPr>
        <w:t xml:space="preserve">programme’s key performance indicators confirm that it has performed well. Some key interoperability enablers </w:t>
      </w:r>
      <w:r w:rsidR="00CC6C43">
        <w:rPr>
          <w:noProof/>
        </w:rPr>
        <w:t xml:space="preserve">have </w:t>
      </w:r>
      <w:r>
        <w:rPr>
          <w:noProof/>
        </w:rPr>
        <w:t>show</w:t>
      </w:r>
      <w:r w:rsidR="00CC6C43">
        <w:rPr>
          <w:noProof/>
        </w:rPr>
        <w:t>n even better</w:t>
      </w:r>
      <w:r>
        <w:rPr>
          <w:noProof/>
        </w:rPr>
        <w:t xml:space="preserve"> performance that </w:t>
      </w:r>
      <w:r w:rsidR="00CC6C43">
        <w:rPr>
          <w:noProof/>
        </w:rPr>
        <w:t>e</w:t>
      </w:r>
      <w:r>
        <w:rPr>
          <w:noProof/>
        </w:rPr>
        <w:t>xpected, which is explained by better-than-anticipated government interoperability acceptance and by faster-than-expected technological progress. Member States’ positions have evolved from being hesitant to being very actively involved and requesting intensified common investment in interoperability enablers.</w:t>
      </w:r>
    </w:p>
    <w:p w14:paraId="2E844226" w14:textId="77777777" w:rsidR="001A33B7" w:rsidRDefault="001A33B7" w:rsidP="001A33B7">
      <w:pPr>
        <w:pStyle w:val="ppoListHyphened-L1"/>
        <w:spacing w:before="0"/>
        <w:ind w:left="360" w:hanging="360"/>
        <w:rPr>
          <w:noProof/>
        </w:rPr>
      </w:pPr>
      <w:r>
        <w:rPr>
          <w:noProof/>
        </w:rPr>
        <w:t>In 2020 and 2021 the programme was able to adapt to the COVID</w:t>
      </w:r>
      <w:r>
        <w:rPr>
          <w:noProof/>
        </w:rPr>
        <w:noBreakHyphen/>
        <w:t xml:space="preserve">19 crisis with no major negative impact on the programme implementation. In fact, the outreach of the programme increased due to larger stakeholder participation in online meetings and events, which may potentially boost the </w:t>
      </w:r>
      <w:hyperlink r:id="rId136" w:history="1">
        <w:r w:rsidRPr="00865022">
          <w:rPr>
            <w:noProof/>
          </w:rPr>
          <w:t>ISA</w:t>
        </w:r>
        <w:r w:rsidRPr="00897D6F">
          <w:rPr>
            <w:noProof/>
            <w:vertAlign w:val="superscript"/>
          </w:rPr>
          <w:t>2</w:t>
        </w:r>
        <w:r w:rsidRPr="00865022">
          <w:rPr>
            <w:noProof/>
          </w:rPr>
          <w:t xml:space="preserve"> solutions’</w:t>
        </w:r>
      </w:hyperlink>
      <w:r>
        <w:rPr>
          <w:noProof/>
        </w:rPr>
        <w:t xml:space="preserve"> uptake. Based on this experience, more online interoperability–focused events for the stakeholders of the new programme are envisaged.</w:t>
      </w:r>
    </w:p>
    <w:p w14:paraId="22EA7FF4" w14:textId="39F97A9F" w:rsidR="001A33B7" w:rsidRPr="003E68F5" w:rsidRDefault="001A33B7" w:rsidP="001A33B7">
      <w:pPr>
        <w:pStyle w:val="ppoListHyphened-L1"/>
        <w:rPr>
          <w:noProof/>
        </w:rPr>
      </w:pPr>
      <w:r>
        <w:rPr>
          <w:noProof/>
        </w:rPr>
        <w:t>As raised during the final evaluation of the ISA</w:t>
      </w:r>
      <w:r w:rsidRPr="003E68F5">
        <w:rPr>
          <w:noProof/>
          <w:vertAlign w:val="superscript"/>
        </w:rPr>
        <w:t>2</w:t>
      </w:r>
      <w:r>
        <w:rPr>
          <w:noProof/>
        </w:rPr>
        <w:t xml:space="preserve"> programme, </w:t>
      </w:r>
      <w:r w:rsidRPr="003E68F5">
        <w:rPr>
          <w:noProof/>
        </w:rPr>
        <w:t>more coordination and exchange of best practices</w:t>
      </w:r>
      <w:r>
        <w:rPr>
          <w:noProof/>
        </w:rPr>
        <w:t xml:space="preserve"> between Member States</w:t>
      </w:r>
      <w:r w:rsidRPr="003E68F5">
        <w:rPr>
          <w:noProof/>
        </w:rPr>
        <w:t xml:space="preserve"> </w:t>
      </w:r>
      <w:r>
        <w:rPr>
          <w:noProof/>
        </w:rPr>
        <w:t xml:space="preserve">in the digital implementation of EU policies is needed, </w:t>
      </w:r>
      <w:r w:rsidR="00CC6C43">
        <w:rPr>
          <w:noProof/>
        </w:rPr>
        <w:t>as well as</w:t>
      </w:r>
      <w:r>
        <w:rPr>
          <w:noProof/>
        </w:rPr>
        <w:t xml:space="preserve"> the deployment of new digital solutions. To reflect this issue, the two past components</w:t>
      </w:r>
      <w:r w:rsidR="00CC6C43">
        <w:rPr>
          <w:noProof/>
        </w:rPr>
        <w:t xml:space="preserve"> of the Digital Europe Programm</w:t>
      </w:r>
      <w:r w:rsidR="00CC6C43">
        <w:rPr>
          <w:rFonts w:ascii="Calibri" w:hAnsi="Calibri" w:cs="Calibri"/>
          <w:noProof/>
        </w:rPr>
        <w:t>e</w:t>
      </w:r>
      <w:r w:rsidR="00CC6C43">
        <w:rPr>
          <w:noProof/>
        </w:rPr>
        <w:t xml:space="preserve">, </w:t>
      </w:r>
      <w:r>
        <w:rPr>
          <w:noProof/>
        </w:rPr>
        <w:t xml:space="preserve">the </w:t>
      </w:r>
      <w:r w:rsidRPr="003E68F5">
        <w:rPr>
          <w:noProof/>
        </w:rPr>
        <w:t>ISA</w:t>
      </w:r>
      <w:r w:rsidRPr="003E68F5">
        <w:rPr>
          <w:noProof/>
          <w:vertAlign w:val="superscript"/>
        </w:rPr>
        <w:t>2</w:t>
      </w:r>
      <w:r w:rsidRPr="003E68F5">
        <w:rPr>
          <w:noProof/>
        </w:rPr>
        <w:t xml:space="preserve"> programme and </w:t>
      </w:r>
      <w:r w:rsidRPr="003725A3">
        <w:rPr>
          <w:noProof/>
        </w:rPr>
        <w:t xml:space="preserve">the </w:t>
      </w:r>
      <w:r w:rsidRPr="003E68F5">
        <w:rPr>
          <w:noProof/>
        </w:rPr>
        <w:t>CEF Telecom</w:t>
      </w:r>
      <w:r w:rsidR="00CC6C43">
        <w:rPr>
          <w:rFonts w:ascii="Calibri" w:hAnsi="Calibri" w:cs="Calibri"/>
          <w:noProof/>
        </w:rPr>
        <w:t>,</w:t>
      </w:r>
      <w:r>
        <w:rPr>
          <w:noProof/>
        </w:rPr>
        <w:t xml:space="preserve"> have been integrated into one single programme to achieve better synergy in this area and to offer</w:t>
      </w:r>
      <w:r w:rsidRPr="003E68F5">
        <w:rPr>
          <w:noProof/>
        </w:rPr>
        <w:t xml:space="preserve"> more co</w:t>
      </w:r>
      <w:r>
        <w:rPr>
          <w:noProof/>
        </w:rPr>
        <w:t>ordinated and targeted actions.</w:t>
      </w:r>
    </w:p>
    <w:p w14:paraId="193B6672" w14:textId="77777777" w:rsidR="001A33B7" w:rsidRDefault="001A33B7" w:rsidP="001A33B7">
      <w:pPr>
        <w:pStyle w:val="ppoListHyphened-L1"/>
        <w:rPr>
          <w:noProof/>
        </w:rPr>
      </w:pPr>
      <w:r>
        <w:rPr>
          <w:noProof/>
        </w:rPr>
        <w:t>ISA</w:t>
      </w:r>
      <w:r>
        <w:rPr>
          <w:noProof/>
          <w:vertAlign w:val="superscript"/>
        </w:rPr>
        <w:t>2</w:t>
      </w:r>
      <w:r>
        <w:rPr>
          <w:noProof/>
        </w:rPr>
        <w:t xml:space="preserve"> has increased its outreach to all levels of public administration and business, focusing on small and medium-sized enterprises and start-ups. To expand the role of interoperability, the </w:t>
      </w:r>
      <w:r w:rsidRPr="001E3CE3">
        <w:rPr>
          <w:noProof/>
        </w:rPr>
        <w:t>Directorate-General for Informatics</w:t>
      </w:r>
      <w:r w:rsidDel="002D0616">
        <w:rPr>
          <w:noProof/>
        </w:rPr>
        <w:t xml:space="preserve"> </w:t>
      </w:r>
      <w:r>
        <w:rPr>
          <w:noProof/>
        </w:rPr>
        <w:t xml:space="preserve">and the </w:t>
      </w:r>
      <w:r w:rsidRPr="001E3CE3">
        <w:rPr>
          <w:noProof/>
        </w:rPr>
        <w:t>Directorate</w:t>
      </w:r>
      <w:r w:rsidRPr="001E3CE3">
        <w:rPr>
          <w:noProof/>
        </w:rPr>
        <w:noBreakHyphen/>
        <w:t>General for Communications Networks, Content and Technology</w:t>
      </w:r>
      <w:r w:rsidDel="002D0616">
        <w:rPr>
          <w:noProof/>
        </w:rPr>
        <w:t xml:space="preserve"> </w:t>
      </w:r>
      <w:r>
        <w:rPr>
          <w:noProof/>
        </w:rPr>
        <w:t xml:space="preserve">have jointly developed a dedicated European interoperability framework for smart cities and communities as part of the </w:t>
      </w:r>
      <w:r w:rsidRPr="0068142B">
        <w:rPr>
          <w:noProof/>
        </w:rPr>
        <w:t>Living-in.eu</w:t>
      </w:r>
      <w:r>
        <w:rPr>
          <w:noProof/>
        </w:rPr>
        <w:t xml:space="preserve"> movement. In 2020, the interoperability academy went online as part of the EU academy (the Commission’s e-learning platform for external stakeholders). So far, </w:t>
      </w:r>
      <w:r>
        <w:rPr>
          <w:rStyle w:val="normaltextrun"/>
          <w:noProof/>
          <w:shd w:val="clear" w:color="auto" w:fill="FFFFFF"/>
        </w:rPr>
        <w:t>1</w:t>
      </w:r>
      <w:r>
        <w:rPr>
          <w:rStyle w:val="normaltextrun"/>
          <w:rFonts w:ascii="Calibri" w:hAnsi="Calibri" w:cs="Calibri"/>
          <w:noProof/>
          <w:shd w:val="clear" w:color="auto" w:fill="FFFFFF"/>
        </w:rPr>
        <w:t> </w:t>
      </w:r>
      <w:r>
        <w:rPr>
          <w:rStyle w:val="normaltextrun"/>
          <w:noProof/>
          <w:shd w:val="clear" w:color="auto" w:fill="FFFFFF"/>
        </w:rPr>
        <w:t xml:space="preserve">400 people have participated in online courses, webinars and live events organised by the interoperability academy, focusing on interoperability knowledge, skills and competences. A total of 15 </w:t>
      </w:r>
      <w:r>
        <w:rPr>
          <w:rStyle w:val="normaltextrun"/>
          <w:noProof/>
          <w:shd w:val="clear" w:color="auto" w:fill="FFFFFF"/>
          <w:lang w:val="en-US"/>
        </w:rPr>
        <w:t>e</w:t>
      </w:r>
      <w:r>
        <w:rPr>
          <w:rStyle w:val="normaltextrun"/>
          <w:noProof/>
          <w:shd w:val="clear" w:color="auto" w:fill="FFFFFF"/>
          <w:lang w:val="en-US"/>
        </w:rPr>
        <w:noBreakHyphen/>
        <w:t>learning resources on interoperability-related topics have been made available</w:t>
      </w:r>
      <w:r>
        <w:rPr>
          <w:rStyle w:val="normaltextrun"/>
          <w:rFonts w:ascii="Calibri" w:hAnsi="Calibri" w:cs="Calibri"/>
          <w:noProof/>
          <w:shd w:val="clear" w:color="auto" w:fill="FFFFFF"/>
          <w:lang w:val="en-US"/>
        </w:rPr>
        <w:t> </w:t>
      </w:r>
      <w:r>
        <w:rPr>
          <w:rStyle w:val="normaltextrun"/>
          <w:noProof/>
          <w:shd w:val="clear" w:color="auto" w:fill="FFFFFF"/>
          <w:lang w:val="en-US"/>
        </w:rPr>
        <w:t xml:space="preserve">on the EU platform. </w:t>
      </w:r>
      <w:r>
        <w:rPr>
          <w:noProof/>
        </w:rPr>
        <w:t xml:space="preserve">The action on European interoperability architecture has closely cooperated with the </w:t>
      </w:r>
      <w:r w:rsidRPr="001E3CE3">
        <w:rPr>
          <w:noProof/>
        </w:rPr>
        <w:t>Directorate-General for Structural Reform Support</w:t>
      </w:r>
      <w:r w:rsidRPr="00EC792F">
        <w:rPr>
          <w:noProof/>
        </w:rPr>
        <w:t xml:space="preserve">, </w:t>
      </w:r>
      <w:r w:rsidRPr="001E3CE3">
        <w:rPr>
          <w:noProof/>
        </w:rPr>
        <w:t>the Directorate-General for Health and Food Safety</w:t>
      </w:r>
      <w:r>
        <w:rPr>
          <w:noProof/>
        </w:rPr>
        <w:t xml:space="preserve"> </w:t>
      </w:r>
      <w:r w:rsidRPr="00EC792F">
        <w:rPr>
          <w:noProof/>
        </w:rPr>
        <w:t xml:space="preserve">and </w:t>
      </w:r>
      <w:r w:rsidRPr="001E3CE3">
        <w:rPr>
          <w:noProof/>
        </w:rPr>
        <w:t>the Directorate-General</w:t>
      </w:r>
      <w:r>
        <w:rPr>
          <w:noProof/>
        </w:rPr>
        <w:t xml:space="preserve"> for</w:t>
      </w:r>
      <w:r w:rsidRPr="001E3CE3">
        <w:rPr>
          <w:noProof/>
        </w:rPr>
        <w:t xml:space="preserve"> Taxation and Customs Union</w:t>
      </w:r>
      <w:r w:rsidRPr="001E3CE3" w:rsidDel="0068142B">
        <w:rPr>
          <w:noProof/>
        </w:rPr>
        <w:t xml:space="preserve"> </w:t>
      </w:r>
      <w:r w:rsidRPr="00EC792F">
        <w:rPr>
          <w:noProof/>
        </w:rPr>
        <w:t>to</w:t>
      </w:r>
      <w:r>
        <w:rPr>
          <w:noProof/>
        </w:rPr>
        <w:t xml:space="preserve"> support Member States, especially those lagging behind, in their digitalisation efforts. This cooperation also included Reform and resilience plans to make them ‘interoperable by design’ and the development of national taxation and health public health services.</w:t>
      </w:r>
    </w:p>
    <w:p w14:paraId="16D5DCBD" w14:textId="0E875193" w:rsidR="001A33B7" w:rsidRDefault="001A33B7" w:rsidP="001A33B7">
      <w:pPr>
        <w:pStyle w:val="ppoListHyphened-L1"/>
        <w:rPr>
          <w:noProof/>
        </w:rPr>
      </w:pPr>
      <w:r>
        <w:rPr>
          <w:noProof/>
        </w:rPr>
        <w:t>The ISA</w:t>
      </w:r>
      <w:r>
        <w:rPr>
          <w:noProof/>
          <w:vertAlign w:val="superscript"/>
        </w:rPr>
        <w:t>2</w:t>
      </w:r>
      <w:r>
        <w:rPr>
          <w:noProof/>
        </w:rPr>
        <w:t xml:space="preserve"> programme has also intensified its cooperation with other EU programmes and projects such as the Connecting Europe Facility</w:t>
      </w:r>
      <w:r w:rsidR="00CC6C43">
        <w:rPr>
          <w:noProof/>
        </w:rPr>
        <w:t xml:space="preserve"> (CEF)</w:t>
      </w:r>
      <w:r>
        <w:rPr>
          <w:noProof/>
        </w:rPr>
        <w:t xml:space="preserve">, the Structural reforms programme </w:t>
      </w:r>
      <w:r w:rsidR="00CC6C43">
        <w:rPr>
          <w:noProof/>
        </w:rPr>
        <w:t xml:space="preserve">(SRSP) </w:t>
      </w:r>
      <w:r>
        <w:rPr>
          <w:noProof/>
        </w:rPr>
        <w:t>and Horizon 2020, along with</w:t>
      </w:r>
      <w:r>
        <w:rPr>
          <w:rStyle w:val="normaltextrun"/>
          <w:noProof/>
          <w:shd w:val="clear" w:color="auto" w:fill="FFFFFF"/>
        </w:rPr>
        <w:t xml:space="preserve"> their successor programmes (e.g. the </w:t>
      </w:r>
      <w:r w:rsidRPr="00065D27">
        <w:rPr>
          <w:rStyle w:val="normaltextrun"/>
          <w:noProof/>
          <w:shd w:val="clear" w:color="auto" w:fill="FFFFFF"/>
        </w:rPr>
        <w:t>Technical Support Instrument</w:t>
      </w:r>
      <w:r>
        <w:rPr>
          <w:rStyle w:val="normaltextrun"/>
          <w:noProof/>
          <w:shd w:val="clear" w:color="auto" w:fill="FFFFFF"/>
        </w:rPr>
        <w:t>)</w:t>
      </w:r>
      <w:r>
        <w:rPr>
          <w:noProof/>
        </w:rPr>
        <w:t>. This includes organising joint events, sharing results and content, providing advice and support, and identifying synergies between Member States’ requests under the 2020 structural reforms programme and the 2021 Technical Support Instrument programme and ISA² actions. ISA</w:t>
      </w:r>
      <w:r>
        <w:rPr>
          <w:noProof/>
          <w:vertAlign w:val="superscript"/>
        </w:rPr>
        <w:t>2</w:t>
      </w:r>
      <w:r>
        <w:rPr>
          <w:noProof/>
        </w:rPr>
        <w:t xml:space="preserve"> solutions</w:t>
      </w:r>
      <w:r>
        <w:rPr>
          <w:rFonts w:ascii="Calibri" w:hAnsi="Calibri" w:cs="Calibri"/>
          <w:noProof/>
        </w:rPr>
        <w:t> </w:t>
      </w:r>
      <w:r>
        <w:rPr>
          <w:noProof/>
        </w:rPr>
        <w:t>have provided direct support to several EU initiatives, i.e. the single digital gateway, the EU business registers interconnection system and the ‘once-only’ principle project. For example, the core vocabularies have provided the basis for the data models, which will be made available in the semantic repository of the single digital gateway and the repository of links.</w:t>
      </w:r>
    </w:p>
    <w:p w14:paraId="2581F06A" w14:textId="77777777" w:rsidR="001A33B7" w:rsidRDefault="001A33B7" w:rsidP="001A33B7">
      <w:pPr>
        <w:pStyle w:val="ppoListHyphened-L1"/>
        <w:numPr>
          <w:ilvl w:val="0"/>
          <w:numId w:val="0"/>
        </w:numPr>
        <w:ind w:left="357" w:hanging="357"/>
        <w:rPr>
          <w:noProof/>
        </w:rPr>
      </w:pPr>
    </w:p>
    <w:p w14:paraId="04F0DD5D" w14:textId="77777777" w:rsidR="001A33B7" w:rsidRDefault="001A33B7" w:rsidP="001A33B7">
      <w:pPr>
        <w:pStyle w:val="ppoListHyphened-L1"/>
        <w:numPr>
          <w:ilvl w:val="0"/>
          <w:numId w:val="0"/>
        </w:numPr>
        <w:ind w:left="357" w:hanging="357"/>
        <w:rPr>
          <w:noProof/>
        </w:rPr>
      </w:pPr>
    </w:p>
    <w:p w14:paraId="2768FDDF" w14:textId="77777777" w:rsidR="001A33B7" w:rsidRDefault="001A33B7" w:rsidP="001A33B7">
      <w:pPr>
        <w:pStyle w:val="ppoListHyphened-L1"/>
        <w:numPr>
          <w:ilvl w:val="0"/>
          <w:numId w:val="0"/>
        </w:numPr>
        <w:ind w:left="357" w:hanging="357"/>
        <w:rPr>
          <w:noProof/>
        </w:rPr>
      </w:pPr>
    </w:p>
    <w:p w14:paraId="01E019A0" w14:textId="77777777" w:rsidR="001A33B7" w:rsidRDefault="001A33B7" w:rsidP="001A33B7">
      <w:pPr>
        <w:pStyle w:val="ppoListHyphened-L1"/>
        <w:numPr>
          <w:ilvl w:val="0"/>
          <w:numId w:val="0"/>
        </w:numPr>
        <w:ind w:left="357" w:hanging="357"/>
        <w:rPr>
          <w:noProof/>
        </w:rPr>
      </w:pPr>
    </w:p>
    <w:p w14:paraId="0D43B8CA" w14:textId="77777777" w:rsidR="001A33B7" w:rsidRDefault="001A33B7" w:rsidP="001A33B7">
      <w:pPr>
        <w:pStyle w:val="ppoListHyphened-L1"/>
        <w:numPr>
          <w:ilvl w:val="0"/>
          <w:numId w:val="0"/>
        </w:numPr>
        <w:ind w:left="357" w:hanging="357"/>
        <w:rPr>
          <w:noProof/>
        </w:rPr>
      </w:pPr>
    </w:p>
    <w:p w14:paraId="7A14D08F" w14:textId="77777777" w:rsidR="001A33B7" w:rsidRDefault="001A33B7" w:rsidP="001A33B7">
      <w:pPr>
        <w:pStyle w:val="ppoListHyphened-L1"/>
        <w:numPr>
          <w:ilvl w:val="0"/>
          <w:numId w:val="0"/>
        </w:numPr>
        <w:ind w:left="357" w:hanging="357"/>
        <w:rPr>
          <w:noProof/>
        </w:rPr>
      </w:pPr>
    </w:p>
    <w:p w14:paraId="0B91F11C" w14:textId="77777777" w:rsidR="001A33B7" w:rsidRDefault="001A33B7" w:rsidP="001A33B7">
      <w:pPr>
        <w:pStyle w:val="ppoListHyphened-L1"/>
        <w:numPr>
          <w:ilvl w:val="0"/>
          <w:numId w:val="0"/>
        </w:numPr>
        <w:ind w:left="357" w:hanging="357"/>
        <w:rPr>
          <w:noProof/>
        </w:rPr>
      </w:pPr>
    </w:p>
    <w:p w14:paraId="78DB6A67" w14:textId="77777777" w:rsidR="001A33B7" w:rsidRDefault="001A33B7" w:rsidP="001A33B7">
      <w:pPr>
        <w:pStyle w:val="ppoListHyphened-L1"/>
        <w:numPr>
          <w:ilvl w:val="0"/>
          <w:numId w:val="0"/>
        </w:numPr>
        <w:ind w:left="357" w:hanging="357"/>
        <w:rPr>
          <w:noProof/>
        </w:rPr>
      </w:pPr>
    </w:p>
    <w:p w14:paraId="148DEA35" w14:textId="77777777" w:rsidR="001A33B7" w:rsidRDefault="001A33B7" w:rsidP="001A33B7">
      <w:pPr>
        <w:pStyle w:val="ppoListHyphened-L1"/>
        <w:numPr>
          <w:ilvl w:val="0"/>
          <w:numId w:val="0"/>
        </w:numPr>
        <w:ind w:left="357" w:hanging="357"/>
        <w:rPr>
          <w:noProof/>
        </w:rPr>
      </w:pPr>
    </w:p>
    <w:p w14:paraId="72CEE4BE" w14:textId="77777777" w:rsidR="001A33B7" w:rsidRDefault="001A33B7">
      <w:pPr>
        <w:spacing w:after="0"/>
        <w:jc w:val="left"/>
        <w:rPr>
          <w:rFonts w:eastAsiaTheme="majorEastAsia" w:cstheme="majorBidi"/>
          <w:noProof/>
          <w:color w:val="C7841A"/>
          <w:sz w:val="48"/>
          <w:szCs w:val="32"/>
          <w:lang w:eastAsia="en-GB"/>
        </w:rPr>
      </w:pPr>
      <w:r>
        <w:rPr>
          <w:noProof/>
        </w:rPr>
        <w:br w:type="page"/>
      </w:r>
    </w:p>
    <w:p w14:paraId="235E9F3D" w14:textId="41764F59" w:rsidR="001A33B7" w:rsidRDefault="001A33B7" w:rsidP="001A33B7">
      <w:pPr>
        <w:pStyle w:val="ppoHeading4Orange"/>
        <w:rPr>
          <w:noProof/>
        </w:rPr>
      </w:pPr>
      <w:r w:rsidRPr="00040D99">
        <w:rPr>
          <w:noProof/>
        </w:rPr>
        <w:t>2014-2020</w:t>
      </w:r>
      <w:r>
        <w:rPr>
          <w:noProof/>
        </w:rPr>
        <w:t xml:space="preserve"> MULTIANNUAL FINANCIAL FRAMEWORK</w:t>
      </w:r>
      <w:r>
        <w:rPr>
          <w:rFonts w:ascii="Calibri" w:hAnsi="Calibri" w:cs="Calibri"/>
          <w:noProof/>
        </w:rPr>
        <w:t> </w:t>
      </w:r>
      <w:r>
        <w:rPr>
          <w:noProof/>
        </w:rPr>
        <w:t>–</w:t>
      </w:r>
      <w:r w:rsidRPr="00040D99">
        <w:rPr>
          <w:noProof/>
        </w:rPr>
        <w:t xml:space="preserve"> </w:t>
      </w:r>
      <w:r>
        <w:rPr>
          <w:noProof/>
        </w:rPr>
        <w:t>CEF Telecom</w:t>
      </w:r>
    </w:p>
    <w:p w14:paraId="000FB28B" w14:textId="107DA8D0" w:rsidR="001A33B7" w:rsidRPr="00513F65" w:rsidRDefault="001A33B7" w:rsidP="001A33B7">
      <w:pPr>
        <w:pStyle w:val="ppoListHyphened-L1"/>
        <w:numPr>
          <w:ilvl w:val="0"/>
          <w:numId w:val="0"/>
        </w:numPr>
        <w:rPr>
          <w:noProof/>
        </w:rPr>
      </w:pPr>
      <w:r w:rsidRPr="00B21248">
        <w:rPr>
          <w:noProof/>
        </w:rPr>
        <w:t xml:space="preserve">CEF Telecom supported </w:t>
      </w:r>
      <w:r w:rsidR="001E2BEF">
        <w:rPr>
          <w:noProof/>
        </w:rPr>
        <w:t xml:space="preserve">from 2014 to 2020 </w:t>
      </w:r>
      <w:r w:rsidRPr="00B21248">
        <w:rPr>
          <w:noProof/>
        </w:rPr>
        <w:t xml:space="preserve">the deployment of </w:t>
      </w:r>
      <w:r>
        <w:rPr>
          <w:noProof/>
        </w:rPr>
        <w:t xml:space="preserve">an ecosystem of trusted cross-border </w:t>
      </w:r>
      <w:r w:rsidRPr="00B21248">
        <w:rPr>
          <w:noProof/>
        </w:rPr>
        <w:t>digital service infrastructures</w:t>
      </w:r>
      <w:r w:rsidRPr="00513F65">
        <w:rPr>
          <w:rStyle w:val="FootnoteReference"/>
          <w:noProof/>
        </w:rPr>
        <w:footnoteReference w:id="5"/>
      </w:r>
      <w:r w:rsidRPr="00513F65">
        <w:rPr>
          <w:noProof/>
        </w:rPr>
        <w:t xml:space="preserve"> </w:t>
      </w:r>
      <w:r>
        <w:rPr>
          <w:noProof/>
        </w:rPr>
        <w:t xml:space="preserve">that are </w:t>
      </w:r>
      <w:r w:rsidRPr="00B21248">
        <w:rPr>
          <w:noProof/>
        </w:rPr>
        <w:t>essential to trigger</w:t>
      </w:r>
      <w:r>
        <w:rPr>
          <w:noProof/>
        </w:rPr>
        <w:t>ing</w:t>
      </w:r>
      <w:r w:rsidRPr="00B21248">
        <w:rPr>
          <w:noProof/>
        </w:rPr>
        <w:t xml:space="preserve"> the digital transformation of public sector services in the Member States</w:t>
      </w:r>
      <w:r>
        <w:rPr>
          <w:noProof/>
        </w:rPr>
        <w:t>,</w:t>
      </w:r>
      <w:r w:rsidRPr="00B21248">
        <w:rPr>
          <w:noProof/>
        </w:rPr>
        <w:t xml:space="preserve"> all for the benefit of citizens and businesses.</w:t>
      </w:r>
    </w:p>
    <w:p w14:paraId="754127A1" w14:textId="77777777" w:rsidR="001A33B7" w:rsidRPr="00040D99" w:rsidRDefault="001A33B7" w:rsidP="001A33B7">
      <w:pPr>
        <w:pStyle w:val="ppoHeading5"/>
        <w:rPr>
          <w:noProof/>
        </w:rPr>
      </w:pPr>
      <w:r w:rsidRPr="00040D99">
        <w:rPr>
          <w:noProof/>
        </w:rPr>
        <w:t xml:space="preserve">Budget </w:t>
      </w:r>
    </w:p>
    <w:p w14:paraId="5F9A40FA" w14:textId="77777777" w:rsidR="001A33B7" w:rsidRPr="00513F65" w:rsidRDefault="001A33B7" w:rsidP="001A33B7">
      <w:pPr>
        <w:pStyle w:val="ppoListHyphened-L1"/>
        <w:rPr>
          <w:rStyle w:val="normaltextrun"/>
          <w:noProof/>
          <w:shd w:val="clear" w:color="auto" w:fill="FFFFFF"/>
        </w:rPr>
      </w:pPr>
      <w:r w:rsidRPr="00513F65">
        <w:rPr>
          <w:rStyle w:val="normaltextrun"/>
          <w:noProof/>
          <w:shd w:val="clear" w:color="auto" w:fill="FFFFFF"/>
        </w:rPr>
        <w:t xml:space="preserve">With an overall investment of </w:t>
      </w:r>
      <w:r>
        <w:rPr>
          <w:rStyle w:val="normaltextrun"/>
          <w:noProof/>
          <w:shd w:val="clear" w:color="auto" w:fill="FFFFFF"/>
        </w:rPr>
        <w:t>just under</w:t>
      </w:r>
      <w:r w:rsidRPr="00513F65">
        <w:rPr>
          <w:rStyle w:val="normaltextrun"/>
          <w:noProof/>
          <w:shd w:val="clear" w:color="auto" w:fill="FFFFFF"/>
        </w:rPr>
        <w:t xml:space="preserve"> EUR</w:t>
      </w:r>
      <w:r w:rsidRPr="00513F65">
        <w:rPr>
          <w:rStyle w:val="normaltextrun"/>
          <w:rFonts w:ascii="Calibri" w:hAnsi="Calibri" w:cs="Calibri"/>
          <w:noProof/>
          <w:shd w:val="clear" w:color="auto" w:fill="FFFFFF"/>
        </w:rPr>
        <w:t> </w:t>
      </w:r>
      <w:r w:rsidRPr="00513F65">
        <w:rPr>
          <w:rStyle w:val="normaltextrun"/>
          <w:noProof/>
          <w:shd w:val="clear" w:color="auto" w:fill="FFFFFF"/>
        </w:rPr>
        <w:t>280 million</w:t>
      </w:r>
      <w:r>
        <w:rPr>
          <w:rStyle w:val="normaltextrun"/>
          <w:noProof/>
          <w:shd w:val="clear" w:color="auto" w:fill="FFFFFF"/>
        </w:rPr>
        <w:t xml:space="preserve"> in </w:t>
      </w:r>
      <w:r w:rsidRPr="00513F65">
        <w:rPr>
          <w:rStyle w:val="normaltextrun"/>
          <w:noProof/>
          <w:shd w:val="clear" w:color="auto" w:fill="FFFFFF"/>
        </w:rPr>
        <w:t xml:space="preserve">the core service platforms, the Commission enabled the EU-wide interoperability of specific digital services such as eHealth, </w:t>
      </w:r>
      <w:r>
        <w:rPr>
          <w:rStyle w:val="normaltextrun"/>
          <w:noProof/>
          <w:shd w:val="clear" w:color="auto" w:fill="FFFFFF"/>
        </w:rPr>
        <w:t>p</w:t>
      </w:r>
      <w:r w:rsidRPr="00513F65">
        <w:rPr>
          <w:rStyle w:val="normaltextrun"/>
          <w:noProof/>
          <w:shd w:val="clear" w:color="auto" w:fill="FFFFFF"/>
        </w:rPr>
        <w:t xml:space="preserve">ublic </w:t>
      </w:r>
      <w:r>
        <w:rPr>
          <w:rStyle w:val="normaltextrun"/>
          <w:noProof/>
          <w:shd w:val="clear" w:color="auto" w:fill="FFFFFF"/>
        </w:rPr>
        <w:t>o</w:t>
      </w:r>
      <w:r w:rsidRPr="00513F65">
        <w:rPr>
          <w:rStyle w:val="normaltextrun"/>
          <w:noProof/>
          <w:shd w:val="clear" w:color="auto" w:fill="FFFFFF"/>
        </w:rPr>
        <w:t xml:space="preserve">pen </w:t>
      </w:r>
      <w:r>
        <w:rPr>
          <w:rStyle w:val="normaltextrun"/>
          <w:noProof/>
          <w:shd w:val="clear" w:color="auto" w:fill="FFFFFF"/>
        </w:rPr>
        <w:t>d</w:t>
      </w:r>
      <w:r w:rsidRPr="00513F65">
        <w:rPr>
          <w:rStyle w:val="normaltextrun"/>
          <w:noProof/>
          <w:shd w:val="clear" w:color="auto" w:fill="FFFFFF"/>
        </w:rPr>
        <w:t xml:space="preserve">ata, </w:t>
      </w:r>
      <w:r w:rsidRPr="0059566C">
        <w:rPr>
          <w:rStyle w:val="normaltextrun"/>
          <w:noProof/>
          <w:shd w:val="clear" w:color="auto" w:fill="FFFFFF"/>
        </w:rPr>
        <w:t>e</w:t>
      </w:r>
      <w:r>
        <w:rPr>
          <w:rStyle w:val="normaltextrun"/>
          <w:noProof/>
          <w:shd w:val="clear" w:color="auto" w:fill="FFFFFF"/>
        </w:rPr>
        <w:noBreakHyphen/>
        <w:t>identification</w:t>
      </w:r>
      <w:r w:rsidRPr="00513F65">
        <w:rPr>
          <w:rStyle w:val="normaltextrun"/>
          <w:noProof/>
          <w:shd w:val="clear" w:color="auto" w:fill="FFFFFF"/>
        </w:rPr>
        <w:t xml:space="preserve"> and </w:t>
      </w:r>
      <w:r>
        <w:rPr>
          <w:rStyle w:val="normaltextrun"/>
          <w:noProof/>
          <w:shd w:val="clear" w:color="auto" w:fill="FFFFFF"/>
        </w:rPr>
        <w:t>c</w:t>
      </w:r>
      <w:r w:rsidRPr="00513F65">
        <w:rPr>
          <w:rStyle w:val="normaltextrun"/>
          <w:noProof/>
          <w:shd w:val="clear" w:color="auto" w:fill="FFFFFF"/>
        </w:rPr>
        <w:t>ybersecurity. With an EU contribution of almost EUR</w:t>
      </w:r>
      <w:r w:rsidRPr="00513F65">
        <w:rPr>
          <w:rStyle w:val="normaltextrun"/>
          <w:rFonts w:ascii="Calibri" w:hAnsi="Calibri" w:cs="Calibri"/>
          <w:noProof/>
          <w:shd w:val="clear" w:color="auto" w:fill="FFFFFF"/>
        </w:rPr>
        <w:t> </w:t>
      </w:r>
      <w:r w:rsidRPr="00513F65">
        <w:rPr>
          <w:rStyle w:val="normaltextrun"/>
          <w:noProof/>
          <w:shd w:val="clear" w:color="auto" w:fill="FFFFFF"/>
        </w:rPr>
        <w:t>365</w:t>
      </w:r>
      <w:r w:rsidRPr="00513F65">
        <w:rPr>
          <w:rStyle w:val="normaltextrun"/>
          <w:rFonts w:ascii="Calibri" w:hAnsi="Calibri" w:cs="Calibri"/>
          <w:noProof/>
          <w:shd w:val="clear" w:color="auto" w:fill="FFFFFF"/>
        </w:rPr>
        <w:t> </w:t>
      </w:r>
      <w:r w:rsidRPr="00513F65">
        <w:rPr>
          <w:rStyle w:val="normaltextrun"/>
          <w:noProof/>
          <w:shd w:val="clear" w:color="auto" w:fill="FFFFFF"/>
        </w:rPr>
        <w:t>million in generic services and an overall leveraged amount of more than EUR</w:t>
      </w:r>
      <w:r w:rsidRPr="00513F65">
        <w:rPr>
          <w:rStyle w:val="normaltextrun"/>
          <w:rFonts w:ascii="Calibri" w:hAnsi="Calibri" w:cs="Calibri"/>
          <w:noProof/>
          <w:shd w:val="clear" w:color="auto" w:fill="FFFFFF"/>
        </w:rPr>
        <w:t> </w:t>
      </w:r>
      <w:r w:rsidRPr="00513F65">
        <w:rPr>
          <w:rStyle w:val="normaltextrun"/>
          <w:noProof/>
          <w:shd w:val="clear" w:color="auto" w:fill="FFFFFF"/>
        </w:rPr>
        <w:t>528</w:t>
      </w:r>
      <w:r w:rsidRPr="00513F65">
        <w:rPr>
          <w:rStyle w:val="normaltextrun"/>
          <w:rFonts w:ascii="Calibri" w:hAnsi="Calibri" w:cs="Calibri"/>
          <w:noProof/>
          <w:shd w:val="clear" w:color="auto" w:fill="FFFFFF"/>
        </w:rPr>
        <w:t> </w:t>
      </w:r>
      <w:r w:rsidRPr="00513F65">
        <w:rPr>
          <w:rStyle w:val="normaltextrun"/>
          <w:noProof/>
          <w:shd w:val="clear" w:color="auto" w:fill="FFFFFF"/>
        </w:rPr>
        <w:t>million, the uptake of these services with CEF support reached a portfolio</w:t>
      </w:r>
      <w:r>
        <w:rPr>
          <w:rStyle w:val="normaltextrun"/>
          <w:rFonts w:ascii="Calibri" w:hAnsi="Calibri" w:cs="Calibri"/>
          <w:noProof/>
          <w:shd w:val="clear" w:color="auto" w:fill="FFFFFF"/>
        </w:rPr>
        <w:t xml:space="preserve"> </w:t>
      </w:r>
      <w:r w:rsidRPr="00513F65">
        <w:rPr>
          <w:rStyle w:val="normaltextrun"/>
          <w:noProof/>
          <w:shd w:val="clear" w:color="auto" w:fill="FFFFFF"/>
        </w:rPr>
        <w:t>of</w:t>
      </w:r>
      <w:r>
        <w:rPr>
          <w:rStyle w:val="normaltextrun"/>
          <w:rFonts w:ascii="Calibri" w:hAnsi="Calibri" w:cs="Calibri"/>
          <w:noProof/>
          <w:shd w:val="clear" w:color="auto" w:fill="FFFFFF"/>
        </w:rPr>
        <w:t xml:space="preserve"> </w:t>
      </w:r>
      <w:r w:rsidRPr="00513F65">
        <w:rPr>
          <w:rStyle w:val="normaltextrun"/>
          <w:noProof/>
          <w:shd w:val="clear" w:color="auto" w:fill="FFFFFF"/>
        </w:rPr>
        <w:t>735 projects in the Member States and participating countries in the European Economic Area</w:t>
      </w:r>
      <w:r>
        <w:rPr>
          <w:rStyle w:val="normaltextrun"/>
          <w:rFonts w:ascii="Calibri" w:hAnsi="Calibri" w:cs="Calibri"/>
          <w:noProof/>
          <w:shd w:val="clear" w:color="auto" w:fill="FFFFFF"/>
        </w:rPr>
        <w:t xml:space="preserve"> </w:t>
      </w:r>
      <w:r w:rsidRPr="00513F65">
        <w:rPr>
          <w:rStyle w:val="normaltextrun"/>
          <w:noProof/>
          <w:shd w:val="clear" w:color="auto" w:fill="FFFFFF"/>
        </w:rPr>
        <w:t>by the end of 2021.</w:t>
      </w:r>
      <w:r w:rsidRPr="00513F65">
        <w:rPr>
          <w:rStyle w:val="normaltextrun"/>
          <w:rFonts w:ascii="Calibri" w:hAnsi="Calibri" w:cs="Calibri"/>
          <w:noProof/>
          <w:shd w:val="clear" w:color="auto" w:fill="FFFFFF"/>
        </w:rPr>
        <w:t> </w:t>
      </w:r>
      <w:r w:rsidRPr="00513F65">
        <w:rPr>
          <w:rStyle w:val="normaltextrun"/>
          <w:noProof/>
          <w:shd w:val="clear" w:color="auto" w:fill="FFFFFF"/>
        </w:rPr>
        <w:t xml:space="preserve">The last </w:t>
      </w:r>
      <w:r>
        <w:rPr>
          <w:rStyle w:val="normaltextrun"/>
          <w:noProof/>
          <w:shd w:val="clear" w:color="auto" w:fill="FFFFFF"/>
        </w:rPr>
        <w:t>g</w:t>
      </w:r>
      <w:r w:rsidRPr="00513F65">
        <w:rPr>
          <w:rStyle w:val="normaltextrun"/>
          <w:noProof/>
          <w:shd w:val="clear" w:color="auto" w:fill="FFFFFF"/>
        </w:rPr>
        <w:t xml:space="preserve">rant </w:t>
      </w:r>
      <w:r>
        <w:rPr>
          <w:rStyle w:val="normaltextrun"/>
          <w:noProof/>
          <w:shd w:val="clear" w:color="auto" w:fill="FFFFFF"/>
        </w:rPr>
        <w:t>a</w:t>
      </w:r>
      <w:r w:rsidRPr="00513F65">
        <w:rPr>
          <w:rStyle w:val="normaltextrun"/>
          <w:noProof/>
          <w:shd w:val="clear" w:color="auto" w:fill="FFFFFF"/>
        </w:rPr>
        <w:t xml:space="preserve">greements </w:t>
      </w:r>
      <w:r>
        <w:rPr>
          <w:rStyle w:val="normaltextrun"/>
          <w:noProof/>
          <w:shd w:val="clear" w:color="auto" w:fill="FFFFFF"/>
        </w:rPr>
        <w:t>under CEF Telecom were</w:t>
      </w:r>
      <w:r w:rsidRPr="00513F65">
        <w:rPr>
          <w:rStyle w:val="normaltextrun"/>
          <w:noProof/>
          <w:shd w:val="clear" w:color="auto" w:fill="FFFFFF"/>
        </w:rPr>
        <w:t xml:space="preserve"> signed</w:t>
      </w:r>
      <w:r>
        <w:rPr>
          <w:rStyle w:val="normaltextrun"/>
          <w:noProof/>
          <w:shd w:val="clear" w:color="auto" w:fill="FFFFFF"/>
        </w:rPr>
        <w:t xml:space="preserve"> in 2021.</w:t>
      </w:r>
      <w:r>
        <w:rPr>
          <w:rStyle w:val="normaltextrun"/>
          <w:rFonts w:ascii="Calibri" w:hAnsi="Calibri" w:cs="Calibri"/>
          <w:noProof/>
          <w:shd w:val="clear" w:color="auto" w:fill="FFFFFF"/>
        </w:rPr>
        <w:t xml:space="preserve"> </w:t>
      </w:r>
      <w:r w:rsidRPr="00513F65">
        <w:rPr>
          <w:rStyle w:val="normaltextrun"/>
          <w:noProof/>
          <w:shd w:val="clear" w:color="auto" w:fill="FFFFFF"/>
        </w:rPr>
        <w:t>Nearly half</w:t>
      </w:r>
      <w:r>
        <w:rPr>
          <w:rStyle w:val="normaltextrun"/>
          <w:rFonts w:ascii="Calibri" w:hAnsi="Calibri" w:cs="Calibri"/>
          <w:noProof/>
          <w:shd w:val="clear" w:color="auto" w:fill="FFFFFF"/>
        </w:rPr>
        <w:t xml:space="preserve"> </w:t>
      </w:r>
      <w:r w:rsidRPr="00513F65">
        <w:rPr>
          <w:rStyle w:val="normaltextrun"/>
          <w:noProof/>
          <w:shd w:val="clear" w:color="auto" w:fill="FFFFFF"/>
        </w:rPr>
        <w:t xml:space="preserve">of </w:t>
      </w:r>
      <w:r>
        <w:rPr>
          <w:rStyle w:val="normaltextrun"/>
          <w:noProof/>
          <w:shd w:val="clear" w:color="auto" w:fill="FFFFFF"/>
        </w:rPr>
        <w:t>the total portfolio of</w:t>
      </w:r>
      <w:r w:rsidRPr="00513F65">
        <w:rPr>
          <w:rStyle w:val="normaltextrun"/>
          <w:noProof/>
          <w:shd w:val="clear" w:color="auto" w:fill="FFFFFF"/>
        </w:rPr>
        <w:t xml:space="preserve"> projects are under implementation due to the duration of the actions funded by the programme, which go up to 4</w:t>
      </w:r>
      <w:r>
        <w:rPr>
          <w:rStyle w:val="normaltextrun"/>
          <w:rFonts w:ascii="Calibri" w:hAnsi="Calibri" w:cs="Calibri"/>
          <w:noProof/>
          <w:shd w:val="clear" w:color="auto" w:fill="FFFFFF"/>
        </w:rPr>
        <w:t> </w:t>
      </w:r>
      <w:r w:rsidRPr="00513F65">
        <w:rPr>
          <w:rStyle w:val="normaltextrun"/>
          <w:noProof/>
          <w:shd w:val="clear" w:color="auto" w:fill="FFFFFF"/>
        </w:rPr>
        <w:t>years. CEF digital services support EU citizens, businesses and public administrations in interconnecting and adapting their systems to become interoperable across borders.</w:t>
      </w:r>
    </w:p>
    <w:p w14:paraId="3BBB9741" w14:textId="77777777" w:rsidR="001A33B7" w:rsidRPr="00513F65" w:rsidRDefault="001A33B7" w:rsidP="001A33B7">
      <w:pPr>
        <w:pStyle w:val="ppoListHyphened-L1"/>
        <w:rPr>
          <w:rStyle w:val="normaltextrun"/>
          <w:noProof/>
          <w:shd w:val="clear" w:color="auto" w:fill="FFFFFF"/>
        </w:rPr>
      </w:pPr>
      <w:r w:rsidRPr="00513F65">
        <w:rPr>
          <w:rStyle w:val="normaltextrun"/>
          <w:noProof/>
          <w:shd w:val="clear" w:color="auto" w:fill="FFFFFF"/>
        </w:rPr>
        <w:t>The cumulative implementation table for CEF</w:t>
      </w:r>
      <w:r>
        <w:rPr>
          <w:rStyle w:val="normaltextrun"/>
          <w:noProof/>
          <w:shd w:val="clear" w:color="auto" w:fill="FFFFFF"/>
        </w:rPr>
        <w:t xml:space="preserve"> T</w:t>
      </w:r>
      <w:r w:rsidRPr="00513F65">
        <w:rPr>
          <w:rStyle w:val="normaltextrun"/>
          <w:noProof/>
          <w:shd w:val="clear" w:color="auto" w:fill="FFFFFF"/>
        </w:rPr>
        <w:t xml:space="preserve">elecom can be found in the CEF </w:t>
      </w:r>
      <w:r>
        <w:rPr>
          <w:rStyle w:val="normaltextrun"/>
          <w:noProof/>
          <w:shd w:val="clear" w:color="auto" w:fill="FFFFFF"/>
        </w:rPr>
        <w:t>p</w:t>
      </w:r>
      <w:r w:rsidRPr="00513F65">
        <w:rPr>
          <w:rStyle w:val="normaltextrun"/>
          <w:noProof/>
          <w:shd w:val="clear" w:color="auto" w:fill="FFFFFF"/>
        </w:rPr>
        <w:t xml:space="preserve">rogramme </w:t>
      </w:r>
      <w:r>
        <w:rPr>
          <w:rStyle w:val="normaltextrun"/>
          <w:noProof/>
          <w:shd w:val="clear" w:color="auto" w:fill="FFFFFF"/>
        </w:rPr>
        <w:t>s</w:t>
      </w:r>
      <w:r w:rsidRPr="00513F65">
        <w:rPr>
          <w:rStyle w:val="normaltextrun"/>
          <w:noProof/>
          <w:shd w:val="clear" w:color="auto" w:fill="FFFFFF"/>
        </w:rPr>
        <w:t>tatement.</w:t>
      </w:r>
    </w:p>
    <w:p w14:paraId="26A669B0" w14:textId="77777777" w:rsidR="001A33B7" w:rsidRPr="00156B4C" w:rsidRDefault="001A33B7" w:rsidP="001A33B7">
      <w:pPr>
        <w:pStyle w:val="ppoHeading5"/>
        <w:rPr>
          <w:noProof/>
        </w:rPr>
      </w:pPr>
      <w:r w:rsidRPr="00040D99">
        <w:rPr>
          <w:noProof/>
        </w:rPr>
        <w:t>Performance assessment</w:t>
      </w:r>
    </w:p>
    <w:p w14:paraId="59314CF1" w14:textId="77777777" w:rsidR="001A33B7" w:rsidRDefault="001A33B7" w:rsidP="001A33B7">
      <w:pPr>
        <w:pStyle w:val="ppoListHyphened-L1"/>
        <w:rPr>
          <w:noProof/>
        </w:rPr>
      </w:pPr>
      <w:r w:rsidRPr="00B21248">
        <w:rPr>
          <w:noProof/>
        </w:rPr>
        <w:t xml:space="preserve">The deployment of </w:t>
      </w:r>
      <w:r>
        <w:rPr>
          <w:noProof/>
        </w:rPr>
        <w:t>the digital service infrastructures</w:t>
      </w:r>
      <w:r w:rsidRPr="00B21248">
        <w:rPr>
          <w:noProof/>
        </w:rPr>
        <w:t xml:space="preserve"> has been marked by a considerable expansion of the ecosystem, </w:t>
      </w:r>
      <w:r>
        <w:rPr>
          <w:noProof/>
        </w:rPr>
        <w:t>going</w:t>
      </w:r>
      <w:r w:rsidRPr="00B21248">
        <w:rPr>
          <w:noProof/>
        </w:rPr>
        <w:t xml:space="preserve"> from </w:t>
      </w:r>
      <w:r>
        <w:rPr>
          <w:noProof/>
        </w:rPr>
        <w:t>eight</w:t>
      </w:r>
      <w:r w:rsidRPr="00B21248">
        <w:rPr>
          <w:noProof/>
        </w:rPr>
        <w:t xml:space="preserve"> </w:t>
      </w:r>
      <w:r>
        <w:rPr>
          <w:noProof/>
        </w:rPr>
        <w:t>digital service infrastructures</w:t>
      </w:r>
      <w:r w:rsidRPr="00B21248">
        <w:rPr>
          <w:noProof/>
        </w:rPr>
        <w:t xml:space="preserve"> </w:t>
      </w:r>
      <w:r>
        <w:rPr>
          <w:noProof/>
        </w:rPr>
        <w:t xml:space="preserve">in the first working programme </w:t>
      </w:r>
      <w:r w:rsidRPr="00B21248">
        <w:rPr>
          <w:noProof/>
        </w:rPr>
        <w:t xml:space="preserve">to 20 in the last </w:t>
      </w:r>
      <w:r>
        <w:rPr>
          <w:noProof/>
        </w:rPr>
        <w:t>one</w:t>
      </w:r>
      <w:r w:rsidRPr="00B21248">
        <w:rPr>
          <w:noProof/>
        </w:rPr>
        <w:t xml:space="preserve">. </w:t>
      </w:r>
      <w:r>
        <w:rPr>
          <w:noProof/>
        </w:rPr>
        <w:t>As a matter of fact</w:t>
      </w:r>
      <w:r w:rsidRPr="00B21248">
        <w:rPr>
          <w:noProof/>
        </w:rPr>
        <w:t>, the programme started supporting interoperability in a limited set of areas such as e</w:t>
      </w:r>
      <w:r>
        <w:rPr>
          <w:noProof/>
        </w:rPr>
        <w:t>-g</w:t>
      </w:r>
      <w:r w:rsidRPr="00B21248">
        <w:rPr>
          <w:noProof/>
        </w:rPr>
        <w:t xml:space="preserve">overnment, </w:t>
      </w:r>
      <w:r>
        <w:rPr>
          <w:noProof/>
        </w:rPr>
        <w:t>c</w:t>
      </w:r>
      <w:r w:rsidRPr="00B21248">
        <w:rPr>
          <w:noProof/>
        </w:rPr>
        <w:t>ybersecurity and</w:t>
      </w:r>
      <w:r>
        <w:rPr>
          <w:noProof/>
        </w:rPr>
        <w:t xml:space="preserve"> the</w:t>
      </w:r>
      <w:r w:rsidRPr="00B21248">
        <w:rPr>
          <w:noProof/>
        </w:rPr>
        <w:t xml:space="preserve"> cultural sector. Over the years, the programme started enabling</w:t>
      </w:r>
      <w:r>
        <w:rPr>
          <w:noProof/>
        </w:rPr>
        <w:t>,</w:t>
      </w:r>
      <w:r w:rsidRPr="00B21248">
        <w:rPr>
          <w:noProof/>
        </w:rPr>
        <w:t xml:space="preserve"> through various solutions</w:t>
      </w:r>
      <w:r>
        <w:rPr>
          <w:noProof/>
        </w:rPr>
        <w:t>,</w:t>
      </w:r>
      <w:r w:rsidRPr="00B21248">
        <w:rPr>
          <w:noProof/>
        </w:rPr>
        <w:t xml:space="preserve"> interoperability in other areas such as health, justice, social security, educ</w:t>
      </w:r>
      <w:r>
        <w:rPr>
          <w:noProof/>
        </w:rPr>
        <w:t>ation and skills, to name a few.</w:t>
      </w:r>
    </w:p>
    <w:p w14:paraId="5361A8BE" w14:textId="77777777" w:rsidR="001A33B7" w:rsidRPr="008551E2" w:rsidRDefault="001A33B7" w:rsidP="001A33B7">
      <w:pPr>
        <w:pStyle w:val="ppoListHyphened-L1"/>
        <w:rPr>
          <w:noProof/>
        </w:rPr>
      </w:pPr>
      <w:r>
        <w:rPr>
          <w:noProof/>
        </w:rPr>
        <w:t>The digital service infrastructures implemented under CEF Telecom contribute</w:t>
      </w:r>
      <w:r w:rsidRPr="00D80471">
        <w:rPr>
          <w:noProof/>
        </w:rPr>
        <w:t xml:space="preserve"> to EU preparedness to deal with cyberthreats and incidents, encompassing the need for well-resourced Member State computer security incident response teams and swift and effective operational cooperation between them.</w:t>
      </w:r>
      <w:r>
        <w:rPr>
          <w:noProof/>
        </w:rPr>
        <w:t xml:space="preserve"> </w:t>
      </w:r>
      <w:r w:rsidRPr="00D80471">
        <w:rPr>
          <w:noProof/>
        </w:rPr>
        <w:t xml:space="preserve">Their operational cooperation is facilitated by interacting with the </w:t>
      </w:r>
      <w:r>
        <w:rPr>
          <w:noProof/>
        </w:rPr>
        <w:t>c</w:t>
      </w:r>
      <w:r w:rsidRPr="00D80471">
        <w:rPr>
          <w:noProof/>
        </w:rPr>
        <w:t xml:space="preserve">ore </w:t>
      </w:r>
      <w:r>
        <w:rPr>
          <w:noProof/>
        </w:rPr>
        <w:t>s</w:t>
      </w:r>
      <w:r w:rsidRPr="00D80471">
        <w:rPr>
          <w:noProof/>
        </w:rPr>
        <w:t xml:space="preserve">ervice </w:t>
      </w:r>
      <w:r>
        <w:rPr>
          <w:noProof/>
        </w:rPr>
        <w:t>p</w:t>
      </w:r>
      <w:r w:rsidRPr="00D80471">
        <w:rPr>
          <w:noProof/>
        </w:rPr>
        <w:t xml:space="preserve">latform co-operation mechanism of the </w:t>
      </w:r>
      <w:r>
        <w:rPr>
          <w:noProof/>
        </w:rPr>
        <w:t>c</w:t>
      </w:r>
      <w:r w:rsidRPr="00D80471">
        <w:rPr>
          <w:noProof/>
        </w:rPr>
        <w:t xml:space="preserve">ybersecurity </w:t>
      </w:r>
      <w:r>
        <w:rPr>
          <w:noProof/>
        </w:rPr>
        <w:t>digital service infrastructures</w:t>
      </w:r>
      <w:r w:rsidRPr="00D80471">
        <w:rPr>
          <w:noProof/>
        </w:rPr>
        <w:t xml:space="preserve">, </w:t>
      </w:r>
      <w:r w:rsidRPr="0059566C">
        <w:rPr>
          <w:noProof/>
        </w:rPr>
        <w:t>MeliCERTes</w:t>
      </w:r>
      <w:r>
        <w:rPr>
          <w:noProof/>
        </w:rPr>
        <w:t>,</w:t>
      </w:r>
      <w:r w:rsidRPr="00D80471">
        <w:rPr>
          <w:noProof/>
        </w:rPr>
        <w:t xml:space="preserve"> which supports information sharing</w:t>
      </w:r>
      <w:r>
        <w:rPr>
          <w:noProof/>
        </w:rPr>
        <w:t>,</w:t>
      </w:r>
      <w:r w:rsidRPr="00D80471">
        <w:rPr>
          <w:noProof/>
        </w:rPr>
        <w:t xml:space="preserve"> </w:t>
      </w:r>
      <w:r>
        <w:rPr>
          <w:noProof/>
        </w:rPr>
        <w:t xml:space="preserve">facilitates </w:t>
      </w:r>
      <w:r w:rsidRPr="00D80471">
        <w:rPr>
          <w:noProof/>
        </w:rPr>
        <w:t>a shared understanding of artefacts, threats and incidents, provide</w:t>
      </w:r>
      <w:r>
        <w:rPr>
          <w:noProof/>
        </w:rPr>
        <w:t>s</w:t>
      </w:r>
      <w:r w:rsidRPr="00D80471">
        <w:rPr>
          <w:noProof/>
        </w:rPr>
        <w:t xml:space="preserve"> secure communications and enhance</w:t>
      </w:r>
      <w:r>
        <w:rPr>
          <w:noProof/>
        </w:rPr>
        <w:t>s the exchange of</w:t>
      </w:r>
      <w:r w:rsidRPr="00D80471">
        <w:rPr>
          <w:noProof/>
        </w:rPr>
        <w:t xml:space="preserve"> data between them. As from 2019, an additional cooperation mechanism to facilitate the creation of European-level </w:t>
      </w:r>
      <w:r>
        <w:rPr>
          <w:noProof/>
        </w:rPr>
        <w:t>i</w:t>
      </w:r>
      <w:r w:rsidRPr="00D80471">
        <w:rPr>
          <w:noProof/>
        </w:rPr>
        <w:t xml:space="preserve">nformation </w:t>
      </w:r>
      <w:r>
        <w:rPr>
          <w:noProof/>
        </w:rPr>
        <w:t>s</w:t>
      </w:r>
      <w:r w:rsidRPr="00D80471">
        <w:rPr>
          <w:noProof/>
        </w:rPr>
        <w:t xml:space="preserve">haring and </w:t>
      </w:r>
      <w:r>
        <w:rPr>
          <w:noProof/>
        </w:rPr>
        <w:t>a</w:t>
      </w:r>
      <w:r w:rsidRPr="00D80471">
        <w:rPr>
          <w:noProof/>
        </w:rPr>
        <w:t xml:space="preserve">nalysis </w:t>
      </w:r>
      <w:r>
        <w:rPr>
          <w:noProof/>
        </w:rPr>
        <w:t>c</w:t>
      </w:r>
      <w:r w:rsidRPr="00D80471">
        <w:rPr>
          <w:noProof/>
        </w:rPr>
        <w:t>entr</w:t>
      </w:r>
      <w:r>
        <w:rPr>
          <w:noProof/>
        </w:rPr>
        <w:t>e</w:t>
      </w:r>
      <w:r w:rsidRPr="00D80471">
        <w:rPr>
          <w:noProof/>
        </w:rPr>
        <w:t xml:space="preserve">s has been </w:t>
      </w:r>
      <w:r>
        <w:rPr>
          <w:noProof/>
        </w:rPr>
        <w:t>set up</w:t>
      </w:r>
      <w:r w:rsidRPr="00D80471">
        <w:rPr>
          <w:noProof/>
        </w:rPr>
        <w:t>.</w:t>
      </w:r>
    </w:p>
    <w:p w14:paraId="64937024" w14:textId="77777777" w:rsidR="001A33B7" w:rsidRDefault="001A33B7" w:rsidP="001A33B7">
      <w:pPr>
        <w:pStyle w:val="ppoListHyphened-L1"/>
        <w:rPr>
          <w:noProof/>
        </w:rPr>
      </w:pPr>
      <w:r>
        <w:rPr>
          <w:noProof/>
        </w:rPr>
        <w:t xml:space="preserve">Another example is the </w:t>
      </w:r>
      <w:r w:rsidRPr="49E7C8D9">
        <w:rPr>
          <w:b/>
          <w:bCs/>
          <w:noProof/>
        </w:rPr>
        <w:t xml:space="preserve">eHealth </w:t>
      </w:r>
      <w:r>
        <w:rPr>
          <w:b/>
          <w:bCs/>
          <w:noProof/>
        </w:rPr>
        <w:t>d</w:t>
      </w:r>
      <w:r w:rsidRPr="49E7C8D9">
        <w:rPr>
          <w:b/>
          <w:bCs/>
          <w:noProof/>
        </w:rPr>
        <w:t xml:space="preserve">igital </w:t>
      </w:r>
      <w:r>
        <w:rPr>
          <w:b/>
          <w:bCs/>
          <w:noProof/>
        </w:rPr>
        <w:t>s</w:t>
      </w:r>
      <w:r w:rsidRPr="49E7C8D9">
        <w:rPr>
          <w:b/>
          <w:bCs/>
          <w:noProof/>
        </w:rPr>
        <w:t>ervice</w:t>
      </w:r>
      <w:r>
        <w:rPr>
          <w:noProof/>
        </w:rPr>
        <w:t xml:space="preserve"> infrastructure, which facilitates the movement of health data across national borders, ensuring the continuity of care and the safety of citizens seeking healthcare outside their home country, and enabling the pooling of EU-wide medical expertise to treat rare diseases. </w:t>
      </w:r>
      <w:r w:rsidRPr="00FA524E">
        <w:rPr>
          <w:noProof/>
        </w:rPr>
        <w:t xml:space="preserve">To </w:t>
      </w:r>
      <w:r>
        <w:rPr>
          <w:noProof/>
        </w:rPr>
        <w:t>date</w:t>
      </w:r>
      <w:r w:rsidRPr="00FA524E">
        <w:rPr>
          <w:noProof/>
        </w:rPr>
        <w:t xml:space="preserve">, 117 projects for eHealth </w:t>
      </w:r>
      <w:r>
        <w:rPr>
          <w:noProof/>
        </w:rPr>
        <w:t>have been</w:t>
      </w:r>
      <w:r w:rsidRPr="00FA524E">
        <w:rPr>
          <w:noProof/>
        </w:rPr>
        <w:t xml:space="preserve"> deployed in all Member States with an ove</w:t>
      </w:r>
      <w:r>
        <w:rPr>
          <w:noProof/>
        </w:rPr>
        <w:t>rall funding of EUR</w:t>
      </w:r>
      <w:r>
        <w:rPr>
          <w:rFonts w:ascii="Calibri" w:hAnsi="Calibri" w:cs="Calibri"/>
          <w:noProof/>
        </w:rPr>
        <w:t> </w:t>
      </w:r>
      <w:r>
        <w:rPr>
          <w:noProof/>
        </w:rPr>
        <w:t>29</w:t>
      </w:r>
      <w:r>
        <w:rPr>
          <w:rFonts w:ascii="Calibri" w:hAnsi="Calibri" w:cs="Calibri"/>
          <w:noProof/>
        </w:rPr>
        <w:t> </w:t>
      </w:r>
      <w:r>
        <w:rPr>
          <w:noProof/>
        </w:rPr>
        <w:t>million.</w:t>
      </w:r>
    </w:p>
    <w:p w14:paraId="36CF0427" w14:textId="164237D1" w:rsidR="001A33B7" w:rsidRDefault="001A33B7" w:rsidP="001A33B7">
      <w:pPr>
        <w:pStyle w:val="ppoListHyphened-L1"/>
        <w:rPr>
          <w:noProof/>
        </w:rPr>
        <w:sectPr w:rsidR="001A33B7" w:rsidSect="00592734">
          <w:headerReference w:type="even" r:id="rId137"/>
          <w:headerReference w:type="default" r:id="rId138"/>
          <w:footerReference w:type="even" r:id="rId139"/>
          <w:footerReference w:type="default" r:id="rId140"/>
          <w:headerReference w:type="first" r:id="rId141"/>
          <w:footerReference w:type="first" r:id="rId142"/>
          <w:pgSz w:w="11906" w:h="16838" w:code="9"/>
          <w:pgMar w:top="1134" w:right="1134" w:bottom="964" w:left="1134" w:header="431" w:footer="431" w:gutter="0"/>
          <w:cols w:space="720"/>
          <w:titlePg/>
          <w:docGrid w:linePitch="360"/>
        </w:sectPr>
      </w:pPr>
      <w:r w:rsidRPr="00B21248">
        <w:rPr>
          <w:noProof/>
        </w:rPr>
        <w:t xml:space="preserve">An overview of the performance of the actions deployed with the support of </w:t>
      </w:r>
      <w:r w:rsidR="001E2BEF">
        <w:rPr>
          <w:noProof/>
        </w:rPr>
        <w:t xml:space="preserve">the </w:t>
      </w:r>
      <w:r w:rsidRPr="00B21248">
        <w:rPr>
          <w:noProof/>
        </w:rPr>
        <w:t xml:space="preserve">CEF </w:t>
      </w:r>
      <w:r>
        <w:rPr>
          <w:noProof/>
        </w:rPr>
        <w:t>Telecom</w:t>
      </w:r>
      <w:r w:rsidR="001E2BEF">
        <w:rPr>
          <w:noProof/>
        </w:rPr>
        <w:t>munications programme</w:t>
      </w:r>
      <w:r w:rsidRPr="00B21248">
        <w:rPr>
          <w:noProof/>
        </w:rPr>
        <w:t xml:space="preserve"> is available </w:t>
      </w:r>
      <w:hyperlink r:id="rId143">
        <w:r w:rsidRPr="00B21248">
          <w:rPr>
            <w:noProof/>
            <w:color w:val="0000FF"/>
            <w:u w:val="single"/>
          </w:rPr>
          <w:t>here</w:t>
        </w:r>
      </w:hyperlink>
      <w:r w:rsidRPr="00B21248">
        <w:rPr>
          <w:noProof/>
        </w:rPr>
        <w:t xml:space="preserve">. This data will feed into the </w:t>
      </w:r>
      <w:r w:rsidRPr="001E3CE3">
        <w:rPr>
          <w:i/>
          <w:iCs/>
          <w:noProof/>
        </w:rPr>
        <w:t>ex post</w:t>
      </w:r>
      <w:r w:rsidRPr="00B21248">
        <w:rPr>
          <w:noProof/>
        </w:rPr>
        <w:t xml:space="preserve"> evaluation of the programme.</w:t>
      </w:r>
    </w:p>
    <w:p w14:paraId="68C29DCB" w14:textId="77777777" w:rsidR="00FE47FC" w:rsidRPr="000F7386" w:rsidRDefault="00FE47FC" w:rsidP="00FE47FC">
      <w:pPr>
        <w:pStyle w:val="StyleppoHeading3WhiteLeft0cm"/>
        <w:rPr>
          <w:noProof/>
          <w:sz w:val="20"/>
        </w:rPr>
      </w:pPr>
    </w:p>
    <w:p w14:paraId="0D2C56FB" w14:textId="77777777" w:rsidR="00FE47FC" w:rsidRPr="000F7386" w:rsidRDefault="00FE47FC" w:rsidP="00FE47FC">
      <w:pPr>
        <w:pStyle w:val="StyleppoHeading3WhiteLeft0cm"/>
        <w:rPr>
          <w:noProof/>
          <w:sz w:val="40"/>
          <w:szCs w:val="40"/>
        </w:rPr>
      </w:pPr>
      <w:bookmarkStart w:id="69" w:name="_Toc102086336"/>
      <w:r w:rsidRPr="000F7386">
        <w:rPr>
          <w:noProof/>
          <w:sz w:val="40"/>
          <w:szCs w:val="40"/>
        </w:rPr>
        <w:t>SINGLE MARKET PROGRAMME</w:t>
      </w:r>
      <w:bookmarkEnd w:id="69"/>
    </w:p>
    <w:p w14:paraId="357ECB78" w14:textId="77777777" w:rsidR="00FE47FC" w:rsidRPr="00FE47FC" w:rsidRDefault="00FE47FC" w:rsidP="00FE47FC">
      <w:pPr>
        <w:pStyle w:val="StyleppoProgrammenameWhiteLeft01cm"/>
        <w:rPr>
          <w:noProof/>
        </w:rPr>
      </w:pPr>
      <w:r w:rsidRPr="000F7386">
        <w:rPr>
          <w:noProof/>
        </w:rPr>
        <w:t xml:space="preserve">PROGRAMME FOR SINGLE MARKET, COMPETITIVENESS OF ENTERPRISES, INCLUDING SMALL AND MEDIUM-SIZED ENTERPRISES, AND EUROPEAN </w:t>
      </w:r>
      <w:r w:rsidRPr="00FE47FC">
        <w:rPr>
          <w:noProof/>
        </w:rPr>
        <w:t>STATISTICS</w:t>
      </w:r>
      <w:r w:rsidRPr="00FE47FC">
        <w:rPr>
          <w:noProof/>
        </w:rPr>
        <w:tab/>
      </w:r>
    </w:p>
    <w:p w14:paraId="5D6705D4" w14:textId="7FB54D88" w:rsidR="00C46CC7" w:rsidRPr="00C46CC7" w:rsidRDefault="00FE47FC" w:rsidP="00C46CC7">
      <w:pPr>
        <w:pStyle w:val="ppoHeading5"/>
        <w:rPr>
          <w:noProof/>
        </w:rPr>
      </w:pPr>
      <w:r w:rsidRPr="000F7386">
        <w:rPr>
          <w:noProof/>
        </w:rPr>
        <w:t>Concrete examples of achievements</w:t>
      </w:r>
    </w:p>
    <w:tbl>
      <w:tblPr>
        <w:tblStyle w:val="PPO2021"/>
        <w:tblW w:w="9910" w:type="dxa"/>
        <w:tblInd w:w="0" w:type="dxa"/>
        <w:tblLook w:val="0200" w:firstRow="0" w:lastRow="0" w:firstColumn="0" w:lastColumn="0" w:noHBand="1" w:noVBand="0"/>
      </w:tblPr>
      <w:tblGrid>
        <w:gridCol w:w="2296"/>
        <w:gridCol w:w="2700"/>
        <w:gridCol w:w="2610"/>
        <w:gridCol w:w="2304"/>
      </w:tblGrid>
      <w:tr w:rsidR="00C46CC7" w:rsidRPr="00040D99" w14:paraId="2C271E7A" w14:textId="77777777" w:rsidTr="00C46CC7">
        <w:tc>
          <w:tcPr>
            <w:tcW w:w="2296" w:type="dxa"/>
          </w:tcPr>
          <w:p w14:paraId="3E2CE0C9" w14:textId="43B03118" w:rsidR="00C46CC7" w:rsidRPr="0076270C" w:rsidRDefault="00C46CC7" w:rsidP="00F273D9">
            <w:pPr>
              <w:pStyle w:val="ppoTableacheivementvalue"/>
              <w:rPr>
                <w:noProof/>
              </w:rPr>
            </w:pPr>
            <w:r>
              <w:rPr>
                <w:noProof/>
              </w:rPr>
              <w:t>99%</w:t>
            </w:r>
          </w:p>
          <w:p w14:paraId="5AB86260" w14:textId="32DBB28C" w:rsidR="00C46CC7" w:rsidRPr="0076270C" w:rsidRDefault="00C46CC7" w:rsidP="00C46CC7">
            <w:pPr>
              <w:jc w:val="left"/>
              <w:rPr>
                <w:noProof/>
              </w:rPr>
            </w:pPr>
            <w:r>
              <w:rPr>
                <w:noProof/>
              </w:rPr>
              <w:t>o</w:t>
            </w:r>
            <w:r w:rsidRPr="00C46CC7">
              <w:rPr>
                <w:noProof/>
              </w:rPr>
              <w:t>f the IFRS standards endorsed in the EU in 2021.</w:t>
            </w:r>
            <w:r>
              <w:rPr>
                <w:noProof/>
              </w:rPr>
              <w:t xml:space="preserve"> </w:t>
            </w:r>
          </w:p>
        </w:tc>
        <w:tc>
          <w:tcPr>
            <w:cnfStyle w:val="000001000000" w:firstRow="0" w:lastRow="0" w:firstColumn="0" w:lastColumn="0" w:oddVBand="0" w:evenVBand="1" w:oddHBand="0" w:evenHBand="0" w:firstRowFirstColumn="0" w:firstRowLastColumn="0" w:lastRowFirstColumn="0" w:lastRowLastColumn="0"/>
            <w:tcW w:w="2700" w:type="dxa"/>
          </w:tcPr>
          <w:p w14:paraId="6EA2D12B" w14:textId="11C6529C" w:rsidR="00C46CC7" w:rsidRPr="0076270C" w:rsidRDefault="00C46CC7" w:rsidP="00F273D9">
            <w:pPr>
              <w:pStyle w:val="ppoTableacheivementvalue"/>
              <w:rPr>
                <w:noProof/>
              </w:rPr>
            </w:pPr>
            <w:r>
              <w:rPr>
                <w:noProof/>
              </w:rPr>
              <w:t>53</w:t>
            </w:r>
          </w:p>
          <w:p w14:paraId="773F45B8" w14:textId="1248A125" w:rsidR="00C46CC7" w:rsidRPr="0076270C" w:rsidRDefault="00C46CC7" w:rsidP="00F273D9">
            <w:pPr>
              <w:jc w:val="left"/>
              <w:rPr>
                <w:noProof/>
              </w:rPr>
            </w:pPr>
            <w:r w:rsidRPr="00C46CC7">
              <w:rPr>
                <w:noProof/>
              </w:rPr>
              <w:t>position papers and responses to public consultations in the field of financial services were produced in 2021</w:t>
            </w:r>
          </w:p>
        </w:tc>
        <w:tc>
          <w:tcPr>
            <w:tcW w:w="2610" w:type="dxa"/>
            <w:tcBorders>
              <w:bottom w:val="single" w:sz="4" w:space="0" w:color="8C8C8C"/>
            </w:tcBorders>
          </w:tcPr>
          <w:p w14:paraId="5162A1A6" w14:textId="61D46EC2" w:rsidR="00C46CC7" w:rsidRPr="0076270C" w:rsidRDefault="00C46CC7" w:rsidP="00F273D9">
            <w:pPr>
              <w:pStyle w:val="ppoTableacheivementvalue"/>
              <w:cnfStyle w:val="000000000000" w:firstRow="0" w:lastRow="0" w:firstColumn="0" w:lastColumn="0" w:oddVBand="0" w:evenVBand="0" w:oddHBand="0" w:evenHBand="0" w:firstRowFirstColumn="0" w:firstRowLastColumn="0" w:lastRowFirstColumn="0" w:lastRowLastColumn="0"/>
              <w:rPr>
                <w:noProof/>
              </w:rPr>
            </w:pPr>
            <w:r>
              <w:rPr>
                <w:noProof/>
              </w:rPr>
              <w:t>2 000</w:t>
            </w:r>
          </w:p>
          <w:p w14:paraId="678DD9AA" w14:textId="3FC4E5D8" w:rsidR="00C46CC7" w:rsidRPr="0076270C" w:rsidRDefault="00C46CC7" w:rsidP="00F273D9">
            <w:pPr>
              <w:cnfStyle w:val="000000000000" w:firstRow="0" w:lastRow="0" w:firstColumn="0" w:lastColumn="0" w:oddVBand="0" w:evenVBand="0" w:oddHBand="0" w:evenHBand="0" w:firstRowFirstColumn="0" w:firstRowLastColumn="0" w:lastRowFirstColumn="0" w:lastRowLastColumn="0"/>
              <w:rPr>
                <w:noProof/>
              </w:rPr>
            </w:pPr>
            <w:r w:rsidRPr="00C46CC7">
              <w:rPr>
                <w:noProof/>
              </w:rPr>
              <w:t>notifications are received every year (on average) through Safety Gate – the rapid alert system for dangerous non-food products.</w:t>
            </w:r>
          </w:p>
        </w:tc>
        <w:tc>
          <w:tcPr>
            <w:cnfStyle w:val="000001000000" w:firstRow="0" w:lastRow="0" w:firstColumn="0" w:lastColumn="0" w:oddVBand="0" w:evenVBand="1" w:oddHBand="0" w:evenHBand="0" w:firstRowFirstColumn="0" w:firstRowLastColumn="0" w:lastRowFirstColumn="0" w:lastRowLastColumn="0"/>
            <w:tcW w:w="2304" w:type="dxa"/>
          </w:tcPr>
          <w:p w14:paraId="47E4333D" w14:textId="04392C4C" w:rsidR="00C46CC7" w:rsidRPr="0076270C" w:rsidRDefault="00C46CC7" w:rsidP="00F273D9">
            <w:pPr>
              <w:pStyle w:val="ppoTableacheivementvalue"/>
              <w:rPr>
                <w:noProof/>
              </w:rPr>
            </w:pPr>
            <w:r>
              <w:rPr>
                <w:noProof/>
              </w:rPr>
              <w:t>0</w:t>
            </w:r>
          </w:p>
          <w:p w14:paraId="188E74E4" w14:textId="76253C89" w:rsidR="00C46CC7" w:rsidRPr="0076270C" w:rsidRDefault="00C46CC7" w:rsidP="00C46CC7">
            <w:pPr>
              <w:rPr>
                <w:noProof/>
              </w:rPr>
            </w:pPr>
            <w:r w:rsidRPr="00C46CC7">
              <w:rPr>
                <w:noProof/>
              </w:rPr>
              <w:t xml:space="preserve">cases of lumpy skin disease have been reported </w:t>
            </w:r>
            <w:r w:rsidRPr="00604528">
              <w:rPr>
                <w:noProof/>
              </w:rPr>
              <w:t>since</w:t>
            </w:r>
            <w:r w:rsidRPr="00C46CC7">
              <w:rPr>
                <w:noProof/>
              </w:rPr>
              <w:t xml:space="preserve"> 2017</w:t>
            </w:r>
            <w:r w:rsidRPr="000F7386">
              <w:rPr>
                <w:rFonts w:eastAsia="EC Square Sans Pro" w:cs="EC Square Sans Pro"/>
                <w:noProof/>
              </w:rPr>
              <w:t>.</w:t>
            </w:r>
          </w:p>
        </w:tc>
      </w:tr>
      <w:tr w:rsidR="00C46CC7" w:rsidRPr="00040D99" w14:paraId="60FEFC9E" w14:textId="77777777" w:rsidTr="00C46CC7">
        <w:tc>
          <w:tcPr>
            <w:tcW w:w="2296" w:type="dxa"/>
          </w:tcPr>
          <w:p w14:paraId="73C90B61" w14:textId="3BA310C6" w:rsidR="00C46CC7" w:rsidRPr="0076270C" w:rsidRDefault="00C46CC7" w:rsidP="00F273D9">
            <w:pPr>
              <w:pStyle w:val="ppoTableacheivementvalue"/>
              <w:rPr>
                <w:noProof/>
              </w:rPr>
            </w:pPr>
            <w:r>
              <w:rPr>
                <w:noProof/>
              </w:rPr>
              <w:t>790 000</w:t>
            </w:r>
          </w:p>
          <w:p w14:paraId="02C67902" w14:textId="4E5F7324" w:rsidR="00C46CC7" w:rsidRDefault="00C46CC7" w:rsidP="00F273D9">
            <w:pPr>
              <w:jc w:val="left"/>
              <w:rPr>
                <w:noProof/>
              </w:rPr>
            </w:pPr>
            <w:r w:rsidRPr="000F7386">
              <w:rPr>
                <w:noProof/>
              </w:rPr>
              <w:t>SMEs in 35 countries have received financing from the Loan Guarantee Facility</w:t>
            </w:r>
            <w:r w:rsidRPr="00604528">
              <w:rPr>
                <w:noProof/>
              </w:rPr>
              <w:t xml:space="preserve"> </w:t>
            </w:r>
            <w:r w:rsidRPr="000F7386">
              <w:rPr>
                <w:noProof/>
              </w:rPr>
              <w:t>since the start of 2021</w:t>
            </w:r>
            <w:r w:rsidRPr="00604528">
              <w:rPr>
                <w:noProof/>
              </w:rPr>
              <w:t>.</w:t>
            </w:r>
          </w:p>
        </w:tc>
        <w:tc>
          <w:tcPr>
            <w:cnfStyle w:val="000001000000" w:firstRow="0" w:lastRow="0" w:firstColumn="0" w:lastColumn="0" w:oddVBand="0" w:evenVBand="1" w:oddHBand="0" w:evenHBand="0" w:firstRowFirstColumn="0" w:firstRowLastColumn="0" w:lastRowFirstColumn="0" w:lastRowLastColumn="0"/>
            <w:tcW w:w="2700" w:type="dxa"/>
            <w:tcBorders>
              <w:bottom w:val="nil"/>
            </w:tcBorders>
            <w:shd w:val="clear" w:color="auto" w:fill="FFFFFF" w:themeFill="background1"/>
          </w:tcPr>
          <w:p w14:paraId="5B19C4FE" w14:textId="7A1132D1" w:rsidR="00C46CC7" w:rsidRPr="00841FAF" w:rsidRDefault="00C46CC7" w:rsidP="00F273D9">
            <w:pPr>
              <w:jc w:val="left"/>
              <w:rPr>
                <w:noProof/>
              </w:rPr>
            </w:pPr>
          </w:p>
        </w:tc>
        <w:tc>
          <w:tcPr>
            <w:tcW w:w="2610" w:type="dxa"/>
            <w:tcBorders>
              <w:bottom w:val="nil"/>
            </w:tcBorders>
            <w:shd w:val="clear" w:color="auto" w:fill="FFFFFF" w:themeFill="background1"/>
          </w:tcPr>
          <w:p w14:paraId="5540A470" w14:textId="49D48C25" w:rsidR="00C46CC7" w:rsidRPr="00841FAF" w:rsidRDefault="00C46CC7" w:rsidP="00F273D9">
            <w:pPr>
              <w:jc w:val="left"/>
              <w:cnfStyle w:val="000000000000" w:firstRow="0" w:lastRow="0" w:firstColumn="0" w:lastColumn="0" w:oddVBand="0" w:evenVBand="0" w:oddHBand="0" w:evenHBand="0" w:firstRowFirstColumn="0" w:firstRowLastColumn="0" w:lastRowFirstColumn="0" w:lastRowLastColumn="0"/>
              <w:rPr>
                <w:noProof/>
              </w:rPr>
            </w:pPr>
          </w:p>
        </w:tc>
        <w:tc>
          <w:tcPr>
            <w:cnfStyle w:val="000001000000" w:firstRow="0" w:lastRow="0" w:firstColumn="0" w:lastColumn="0" w:oddVBand="0" w:evenVBand="1" w:oddHBand="0" w:evenHBand="0" w:firstRowFirstColumn="0" w:firstRowLastColumn="0" w:lastRowFirstColumn="0" w:lastRowLastColumn="0"/>
            <w:tcW w:w="2304" w:type="dxa"/>
            <w:tcBorders>
              <w:bottom w:val="nil"/>
            </w:tcBorders>
            <w:shd w:val="clear" w:color="auto" w:fill="FFFFFF" w:themeFill="background1"/>
          </w:tcPr>
          <w:p w14:paraId="2BF13EB2" w14:textId="77777777" w:rsidR="00C46CC7" w:rsidRDefault="00C46CC7" w:rsidP="00F273D9">
            <w:pPr>
              <w:pStyle w:val="ppoTableacheivementvalue"/>
              <w:rPr>
                <w:noProof/>
              </w:rPr>
            </w:pPr>
          </w:p>
        </w:tc>
      </w:tr>
    </w:tbl>
    <w:p w14:paraId="2FA8B9F5" w14:textId="173B1A6B" w:rsidR="00C46CC7" w:rsidRDefault="00C46CC7" w:rsidP="00FE47FC">
      <w:pPr>
        <w:pStyle w:val="ppoHeading5"/>
        <w:rPr>
          <w:noProof/>
        </w:rPr>
      </w:pPr>
    </w:p>
    <w:p w14:paraId="221C6A5B" w14:textId="635ADBA2" w:rsidR="00FE47FC" w:rsidRPr="000F7386" w:rsidRDefault="00FE47FC" w:rsidP="00FE47FC">
      <w:pPr>
        <w:pStyle w:val="ppoHeading5"/>
        <w:rPr>
          <w:noProof/>
        </w:rPr>
      </w:pPr>
      <w:r w:rsidRPr="000F7386">
        <w:rPr>
          <w:noProof/>
        </w:rPr>
        <w:t>Budget for 2021-2027</w:t>
      </w:r>
    </w:p>
    <w:p w14:paraId="3728D996" w14:textId="77777777" w:rsidR="00FE47FC" w:rsidRPr="000F7386" w:rsidRDefault="00FE47FC" w:rsidP="00FE47FC">
      <w:pPr>
        <w:pStyle w:val="ppoTableTabletitle"/>
        <w:ind w:left="284"/>
        <w:rPr>
          <w:noProof/>
        </w:rPr>
      </w:pPr>
      <w:r w:rsidRPr="000F7386">
        <w:rPr>
          <w:noProof/>
        </w:rPr>
        <w:t>(million EUR)</w:t>
      </w:r>
    </w:p>
    <w:tbl>
      <w:tblPr>
        <w:tblStyle w:val="PlainTable2"/>
        <w:tblW w:w="0" w:type="auto"/>
        <w:tblInd w:w="288" w:type="dxa"/>
        <w:tblLook w:val="04A0" w:firstRow="1" w:lastRow="0" w:firstColumn="1" w:lastColumn="0" w:noHBand="0" w:noVBand="1"/>
      </w:tblPr>
      <w:tblGrid>
        <w:gridCol w:w="4788"/>
        <w:gridCol w:w="2610"/>
      </w:tblGrid>
      <w:tr w:rsidR="00FE47FC" w:rsidRPr="000F7386" w14:paraId="663BE11D" w14:textId="77777777" w:rsidTr="00BB20EB">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35300FA2" w14:textId="77777777" w:rsidR="00FE47FC" w:rsidRPr="000F7386" w:rsidRDefault="00FE47FC" w:rsidP="00BB20EB">
            <w:pPr>
              <w:spacing w:before="120" w:after="120"/>
              <w:rPr>
                <w:noProof/>
              </w:rPr>
            </w:pPr>
            <w:r w:rsidRPr="000F7386">
              <w:rPr>
                <w:rFonts w:cs="Calibri"/>
                <w:noProof/>
                <w:color w:val="000000"/>
              </w:rPr>
              <w:t>Financial programming</w:t>
            </w:r>
          </w:p>
        </w:tc>
        <w:tc>
          <w:tcPr>
            <w:tcW w:w="2610" w:type="dxa"/>
            <w:shd w:val="clear" w:color="auto" w:fill="auto"/>
            <w:vAlign w:val="bottom"/>
          </w:tcPr>
          <w:p w14:paraId="0A220D45" w14:textId="77777777" w:rsidR="002769F8" w:rsidRDefault="002769F8" w:rsidP="002769F8">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4 241.4</w:t>
            </w:r>
          </w:p>
          <w:p w14:paraId="0FD47FEA" w14:textId="01FF1323" w:rsidR="00FE47FC" w:rsidRPr="000F7386" w:rsidRDefault="00FE47FC" w:rsidP="00BB20EB">
            <w:pPr>
              <w:spacing w:before="120" w:after="120"/>
              <w:jc w:val="center"/>
              <w:cnfStyle w:val="100000000000" w:firstRow="1" w:lastRow="0" w:firstColumn="0" w:lastColumn="0" w:oddVBand="0" w:evenVBand="0" w:oddHBand="0" w:evenHBand="0" w:firstRowFirstColumn="0" w:firstRowLastColumn="0" w:lastRowFirstColumn="0" w:lastRowLastColumn="0"/>
              <w:rPr>
                <w:b w:val="0"/>
                <w:noProof/>
              </w:rPr>
            </w:pPr>
          </w:p>
        </w:tc>
      </w:tr>
      <w:tr w:rsidR="00FE47FC" w:rsidRPr="000F7386" w14:paraId="250EFFCA" w14:textId="77777777" w:rsidTr="00BB20E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2237FCB7" w14:textId="77777777" w:rsidR="00FE47FC" w:rsidRPr="000F7386" w:rsidRDefault="00FE47FC" w:rsidP="00BB20EB">
            <w:pPr>
              <w:spacing w:before="120" w:after="120"/>
              <w:rPr>
                <w:b w:val="0"/>
                <w:noProof/>
              </w:rPr>
            </w:pPr>
            <w:r w:rsidRPr="000F7386">
              <w:rPr>
                <w:rFonts w:cs="Calibri"/>
                <w:noProof/>
                <w:color w:val="000000"/>
              </w:rPr>
              <w:t>NextGenerationEU</w:t>
            </w:r>
          </w:p>
        </w:tc>
        <w:tc>
          <w:tcPr>
            <w:tcW w:w="2610" w:type="dxa"/>
            <w:vAlign w:val="bottom"/>
          </w:tcPr>
          <w:p w14:paraId="58E6B087" w14:textId="77777777" w:rsidR="00FE47FC" w:rsidRPr="000F7386" w:rsidRDefault="00FE47FC" w:rsidP="00BB20EB">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0F7386">
              <w:rPr>
                <w:rFonts w:cs="Calibri"/>
                <w:noProof/>
                <w:color w:val="000000"/>
              </w:rPr>
              <w:t>0</w:t>
            </w:r>
          </w:p>
        </w:tc>
      </w:tr>
      <w:tr w:rsidR="00FE47FC" w:rsidRPr="000F7386" w14:paraId="0949963B" w14:textId="77777777" w:rsidTr="00BB20EB">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4B77AC91" w14:textId="77777777" w:rsidR="00FE47FC" w:rsidRPr="000F7386" w:rsidRDefault="00FE47FC" w:rsidP="00BB20EB">
            <w:pPr>
              <w:spacing w:before="120" w:after="120"/>
              <w:rPr>
                <w:b w:val="0"/>
                <w:noProof/>
              </w:rPr>
            </w:pPr>
            <w:r w:rsidRPr="000F7386">
              <w:rPr>
                <w:rFonts w:cs="Calibri"/>
                <w:noProof/>
                <w:color w:val="000000"/>
              </w:rPr>
              <w:t>Decommitments made available again</w:t>
            </w:r>
            <w:r w:rsidRPr="000F7386">
              <w:rPr>
                <w:rFonts w:ascii="Calibri" w:hAnsi="Calibri" w:cs="Calibri"/>
                <w:noProof/>
                <w:color w:val="000000"/>
              </w:rPr>
              <w:t> </w:t>
            </w:r>
            <w:r w:rsidRPr="000F7386">
              <w:rPr>
                <w:rFonts w:cs="Calibri"/>
                <w:noProof/>
                <w:color w:val="000000"/>
              </w:rPr>
              <w:t>(*)</w:t>
            </w:r>
          </w:p>
        </w:tc>
        <w:tc>
          <w:tcPr>
            <w:tcW w:w="2610" w:type="dxa"/>
            <w:vAlign w:val="bottom"/>
          </w:tcPr>
          <w:p w14:paraId="49241BC1" w14:textId="77777777" w:rsidR="00FE47FC" w:rsidRPr="000F7386" w:rsidRDefault="00FE47FC" w:rsidP="00BB20EB">
            <w:pPr>
              <w:spacing w:before="120" w:after="120"/>
              <w:jc w:val="center"/>
              <w:cnfStyle w:val="000000000000" w:firstRow="0" w:lastRow="0" w:firstColumn="0" w:lastColumn="0" w:oddVBand="0" w:evenVBand="0" w:oddHBand="0" w:evenHBand="0" w:firstRowFirstColumn="0" w:firstRowLastColumn="0" w:lastRowFirstColumn="0" w:lastRowLastColumn="0"/>
              <w:rPr>
                <w:noProof/>
              </w:rPr>
            </w:pPr>
            <w:r>
              <w:rPr>
                <w:rFonts w:cs="Calibri"/>
                <w:noProof/>
                <w:color w:val="000000"/>
              </w:rPr>
              <w:t>N/A</w:t>
            </w:r>
          </w:p>
        </w:tc>
      </w:tr>
      <w:tr w:rsidR="00FE47FC" w:rsidRPr="000F7386" w14:paraId="6E2917CF" w14:textId="77777777" w:rsidTr="00BB20E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6715041D" w14:textId="77777777" w:rsidR="00FE47FC" w:rsidRPr="000F7386" w:rsidRDefault="00FE47FC" w:rsidP="00BB20EB">
            <w:pPr>
              <w:spacing w:before="120" w:after="120"/>
              <w:rPr>
                <w:noProof/>
              </w:rPr>
            </w:pPr>
            <w:r w:rsidRPr="000F7386">
              <w:rPr>
                <w:rFonts w:cs="Calibri"/>
                <w:noProof/>
                <w:color w:val="000000"/>
              </w:rPr>
              <w:t>Contributions from other countries and entities</w:t>
            </w:r>
          </w:p>
        </w:tc>
        <w:tc>
          <w:tcPr>
            <w:tcW w:w="2610" w:type="dxa"/>
            <w:vAlign w:val="bottom"/>
          </w:tcPr>
          <w:p w14:paraId="2C4BAC98" w14:textId="77777777" w:rsidR="00FE47FC" w:rsidRPr="000F7386" w:rsidRDefault="00FE47FC" w:rsidP="00BB20EB">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0F7386">
              <w:rPr>
                <w:rFonts w:cs="Calibri"/>
                <w:noProof/>
                <w:color w:val="000000"/>
              </w:rPr>
              <w:t>24.6</w:t>
            </w:r>
          </w:p>
        </w:tc>
      </w:tr>
      <w:tr w:rsidR="00FE47FC" w:rsidRPr="000F7386" w14:paraId="5C2D96B3" w14:textId="77777777" w:rsidTr="00BB20EB">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2F2F2" w:themeFill="background1" w:themeFillShade="F2"/>
            <w:vAlign w:val="bottom"/>
          </w:tcPr>
          <w:p w14:paraId="3983632D" w14:textId="77777777" w:rsidR="00FE47FC" w:rsidRPr="000F7386" w:rsidRDefault="00FE47FC" w:rsidP="00BB20EB">
            <w:pPr>
              <w:spacing w:before="120" w:after="120"/>
              <w:rPr>
                <w:noProof/>
              </w:rPr>
            </w:pPr>
            <w:r w:rsidRPr="000F7386">
              <w:rPr>
                <w:rFonts w:cs="Calibri"/>
                <w:noProof/>
                <w:color w:val="000000"/>
              </w:rPr>
              <w:t>Total budget for 2021-2027</w:t>
            </w:r>
          </w:p>
        </w:tc>
        <w:tc>
          <w:tcPr>
            <w:tcW w:w="2610" w:type="dxa"/>
            <w:shd w:val="clear" w:color="auto" w:fill="F2F2F2" w:themeFill="background1" w:themeFillShade="F2"/>
            <w:vAlign w:val="bottom"/>
          </w:tcPr>
          <w:p w14:paraId="68435AC8" w14:textId="77777777" w:rsidR="002769F8" w:rsidRDefault="002769F8" w:rsidP="002769F8">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noProof/>
                <w:color w:val="000000"/>
              </w:rPr>
            </w:pPr>
            <w:r>
              <w:rPr>
                <w:rFonts w:ascii="Calibri" w:hAnsi="Calibri" w:cs="Calibri"/>
                <w:b/>
                <w:bCs/>
                <w:noProof/>
                <w:color w:val="000000"/>
              </w:rPr>
              <w:t>4 266.1</w:t>
            </w:r>
          </w:p>
          <w:p w14:paraId="00807C4F" w14:textId="708F7532" w:rsidR="00FE47FC" w:rsidRPr="000F7386" w:rsidRDefault="00FE47FC" w:rsidP="00BB20EB">
            <w:pPr>
              <w:spacing w:before="120" w:after="120"/>
              <w:jc w:val="center"/>
              <w:cnfStyle w:val="000000000000" w:firstRow="0" w:lastRow="0" w:firstColumn="0" w:lastColumn="0" w:oddVBand="0" w:evenVBand="0" w:oddHBand="0" w:evenHBand="0" w:firstRowFirstColumn="0" w:firstRowLastColumn="0" w:lastRowFirstColumn="0" w:lastRowLastColumn="0"/>
              <w:rPr>
                <w:b/>
                <w:noProof/>
              </w:rPr>
            </w:pPr>
          </w:p>
        </w:tc>
      </w:tr>
    </w:tbl>
    <w:p w14:paraId="5BFB2D1D" w14:textId="77777777" w:rsidR="00FE47FC" w:rsidRPr="000F7386" w:rsidRDefault="00FE47FC" w:rsidP="00FE47FC">
      <w:pPr>
        <w:tabs>
          <w:tab w:val="left" w:pos="6793"/>
        </w:tabs>
        <w:rPr>
          <w:noProof/>
          <w:sz w:val="18"/>
          <w:szCs w:val="18"/>
        </w:rPr>
      </w:pPr>
      <w:r w:rsidRPr="000F7386">
        <w:rPr>
          <w:noProof/>
          <w:sz w:val="18"/>
          <w:szCs w:val="18"/>
        </w:rPr>
        <w:t>(*) Only Article</w:t>
      </w:r>
      <w:r w:rsidRPr="000F7386">
        <w:rPr>
          <w:rFonts w:ascii="Calibri" w:hAnsi="Calibri" w:cs="Calibri"/>
          <w:noProof/>
          <w:sz w:val="18"/>
          <w:szCs w:val="18"/>
        </w:rPr>
        <w:t> </w:t>
      </w:r>
      <w:r w:rsidRPr="000F7386">
        <w:rPr>
          <w:noProof/>
          <w:sz w:val="18"/>
          <w:szCs w:val="18"/>
        </w:rPr>
        <w:t>15(3) of the financial regulation.</w:t>
      </w:r>
    </w:p>
    <w:p w14:paraId="4DFE9FE7" w14:textId="77777777" w:rsidR="00FE47FC" w:rsidRPr="000F7386" w:rsidRDefault="00FE47FC" w:rsidP="00FE47FC">
      <w:pPr>
        <w:pStyle w:val="ppoHeading5"/>
        <w:rPr>
          <w:noProof/>
        </w:rPr>
      </w:pPr>
      <w:r w:rsidRPr="000F7386">
        <w:rPr>
          <w:noProof/>
        </w:rPr>
        <w:t>Rationale and design of the programme</w:t>
      </w:r>
    </w:p>
    <w:p w14:paraId="3C49501D" w14:textId="77777777" w:rsidR="00FE47FC" w:rsidRPr="000F7386" w:rsidRDefault="00FE47FC" w:rsidP="00FE47FC">
      <w:pPr>
        <w:rPr>
          <w:rFonts w:eastAsiaTheme="minorEastAsia"/>
          <w:noProof/>
        </w:rPr>
      </w:pPr>
      <w:r w:rsidRPr="000F7386">
        <w:rPr>
          <w:rFonts w:eastAsiaTheme="minorEastAsia"/>
          <w:noProof/>
        </w:rPr>
        <w:t>The single market programme will improve the functioning of the internal market and help protect and empower citizens, consumers and businesses, including small and medium-sized enterprises (SMEs). The programme will support the design, implementation and enforcement of EU legislation underpinning the proper functioning of the single market for goods and services. It will also assist the digitalisation of services and business operations and facilitate market access and international cooperation, especially in the areas of company law, contract and extra-contractual law, anti-money laundering, free movement of capital, financial services and competition, for the plants, animals, food and feed sector. Overarching and contributing to all areas, the programme will support the development, production and dissemination of European statistics on all EU policies.</w:t>
      </w:r>
    </w:p>
    <w:p w14:paraId="6393314A" w14:textId="77777777" w:rsidR="00FE47FC" w:rsidRPr="000F7386" w:rsidRDefault="00FE47FC" w:rsidP="00FE47FC">
      <w:pPr>
        <w:pStyle w:val="ppoHeading6"/>
        <w:rPr>
          <w:noProof/>
        </w:rPr>
      </w:pPr>
      <w:r w:rsidRPr="000F7386">
        <w:rPr>
          <w:noProof/>
        </w:rPr>
        <w:t>Challenge</w:t>
      </w:r>
    </w:p>
    <w:p w14:paraId="20D6CC09" w14:textId="77777777" w:rsidR="00FE47FC" w:rsidRPr="000F7386" w:rsidRDefault="00FE47FC" w:rsidP="00FE47FC">
      <w:pPr>
        <w:rPr>
          <w:noProof/>
        </w:rPr>
      </w:pPr>
      <w:r w:rsidRPr="000F7386">
        <w:rPr>
          <w:noProof/>
        </w:rPr>
        <w:t>The single market is at the heart of the European project, enabling citizens to live, work and travel wherever they wish and offering consumers protection, safety and greater choice at lower prices. But a properly functioning single market is not a given. It has yet to materialise in a number of areas, and in others the benefits could be more substantial.</w:t>
      </w:r>
    </w:p>
    <w:p w14:paraId="6B5E3B2D" w14:textId="77777777" w:rsidR="00FE47FC" w:rsidRPr="000F7386" w:rsidRDefault="00FE47FC" w:rsidP="00FE47FC">
      <w:pPr>
        <w:rPr>
          <w:noProof/>
        </w:rPr>
      </w:pPr>
      <w:r w:rsidRPr="000F7386">
        <w:rPr>
          <w:noProof/>
        </w:rPr>
        <w:t>A properly functioning single market will be crucial for Europe’s recovery from the COVID-19 crisis, and in helping the green and digital transitions of all of Europe’s industrial ecosystems. This requires carefully designed, implemented and enforced EU legislation in all sectors, including financial services, anti-money laundering, the free movement of capital, consumer protection and human, animal and plant health. Strengthened governance of the single market is essential, as is the efficient and effective coordination of joint action between Member States and the Commission.</w:t>
      </w:r>
    </w:p>
    <w:p w14:paraId="1911193F" w14:textId="77777777" w:rsidR="00FE47FC" w:rsidRPr="000F7386" w:rsidRDefault="00FE47FC" w:rsidP="00FE47FC">
      <w:pPr>
        <w:rPr>
          <w:noProof/>
        </w:rPr>
      </w:pPr>
      <w:r w:rsidRPr="000F7386">
        <w:rPr>
          <w:noProof/>
        </w:rPr>
        <w:t>In all these areas, action at the EU level is essential to properly address cross-border issues, ensure adequate coordination of interventions and advance towards common EU goals.</w:t>
      </w:r>
    </w:p>
    <w:p w14:paraId="40024EF1" w14:textId="77777777" w:rsidR="00FE47FC" w:rsidRPr="000F7386" w:rsidRDefault="00FE47FC" w:rsidP="00FE47FC">
      <w:pPr>
        <w:pStyle w:val="ppoHeading6"/>
        <w:rPr>
          <w:noProof/>
        </w:rPr>
      </w:pPr>
      <w:r w:rsidRPr="000F7386">
        <w:rPr>
          <w:noProof/>
        </w:rPr>
        <w:t>Mission</w:t>
      </w:r>
    </w:p>
    <w:p w14:paraId="339B5136" w14:textId="77777777" w:rsidR="00FE47FC" w:rsidRPr="000F7386" w:rsidRDefault="00FE47FC" w:rsidP="00FE47FC">
      <w:pPr>
        <w:rPr>
          <w:noProof/>
        </w:rPr>
      </w:pPr>
      <w:r w:rsidRPr="000F7386">
        <w:rPr>
          <w:noProof/>
        </w:rPr>
        <w:t>The single market programme aims to: (1) help ensure a properly functioning single market for goods and services, with fit-for-purpose legislation, including in the areas of financial services, anti-money laundering, free movement of capital, protection of consumers and animal and plant health; (2) provide high-quality statistics on all EU policies; and (3) coordinate capacity building for joint actions between the Commission and Member States.</w:t>
      </w:r>
    </w:p>
    <w:p w14:paraId="68876067" w14:textId="77777777" w:rsidR="00FE47FC" w:rsidRPr="000F7386" w:rsidRDefault="00FE47FC" w:rsidP="00FE47FC">
      <w:pPr>
        <w:pStyle w:val="ppoHeading6"/>
        <w:rPr>
          <w:noProof/>
        </w:rPr>
      </w:pPr>
      <w:r w:rsidRPr="000F7386">
        <w:rPr>
          <w:noProof/>
        </w:rPr>
        <w:t>OBJECTIVES</w:t>
      </w:r>
    </w:p>
    <w:p w14:paraId="2C8A3CD1" w14:textId="77777777" w:rsidR="00FE47FC" w:rsidRPr="000F7386" w:rsidRDefault="00FE47FC" w:rsidP="00FE47FC">
      <w:pPr>
        <w:rPr>
          <w:noProof/>
        </w:rPr>
      </w:pPr>
      <w:r w:rsidRPr="000F7386">
        <w:rPr>
          <w:noProof/>
        </w:rPr>
        <w:t>The programme has the following specific objectives:</w:t>
      </w:r>
    </w:p>
    <w:p w14:paraId="4E4BD8E5" w14:textId="77777777" w:rsidR="00FE47FC" w:rsidRPr="000F7386" w:rsidRDefault="00FE47FC" w:rsidP="00FE47FC">
      <w:pPr>
        <w:pStyle w:val="ppoListHyphened-L1"/>
        <w:rPr>
          <w:noProof/>
        </w:rPr>
      </w:pPr>
      <w:r w:rsidRPr="000F7386">
        <w:rPr>
          <w:noProof/>
        </w:rPr>
        <w:t>making the internal market work better including through improved market surveillance;</w:t>
      </w:r>
    </w:p>
    <w:p w14:paraId="4ECCA128" w14:textId="77777777" w:rsidR="00FE47FC" w:rsidRPr="000F7386" w:rsidRDefault="00FE47FC" w:rsidP="00FE47FC">
      <w:pPr>
        <w:pStyle w:val="ppoListHyphened-L1"/>
        <w:rPr>
          <w:rFonts w:eastAsia="EC Square Sans Pro" w:cs="EC Square Sans Pro"/>
          <w:noProof/>
        </w:rPr>
      </w:pPr>
      <w:r w:rsidRPr="000F7386">
        <w:rPr>
          <w:noProof/>
        </w:rPr>
        <w:t xml:space="preserve">improving the competitiveness </w:t>
      </w:r>
      <w:r w:rsidRPr="000F7386">
        <w:rPr>
          <w:rFonts w:eastAsia="EC Square Sans Pro" w:cs="EC Square Sans Pro"/>
          <w:noProof/>
        </w:rPr>
        <w:t>and sustainability</w:t>
      </w:r>
      <w:r w:rsidRPr="000F7386">
        <w:rPr>
          <w:rFonts w:ascii="Times New Roman" w:eastAsia="Times New Roman" w:hAnsi="Times New Roman" w:cs="Times New Roman"/>
          <w:noProof/>
          <w:sz w:val="20"/>
          <w:szCs w:val="20"/>
        </w:rPr>
        <w:t xml:space="preserve"> </w:t>
      </w:r>
      <w:r w:rsidRPr="000F7386">
        <w:rPr>
          <w:noProof/>
        </w:rPr>
        <w:t>of businesses, especially SMEs;</w:t>
      </w:r>
    </w:p>
    <w:p w14:paraId="6822A8D4" w14:textId="4A8FF3C1" w:rsidR="000F4A02" w:rsidRPr="000F7386" w:rsidRDefault="000F4A02" w:rsidP="000F4A02">
      <w:pPr>
        <w:pStyle w:val="ppoListHyphened-L1"/>
        <w:rPr>
          <w:noProof/>
        </w:rPr>
      </w:pPr>
      <w:r w:rsidRPr="000F7386">
        <w:rPr>
          <w:noProof/>
        </w:rPr>
        <w:t>increasing standardisation, including</w:t>
      </w:r>
      <w:r w:rsidRPr="000C0043">
        <w:rPr>
          <w:noProof/>
        </w:rPr>
        <w:t xml:space="preserve"> </w:t>
      </w:r>
      <w:r>
        <w:rPr>
          <w:noProof/>
        </w:rPr>
        <w:t xml:space="preserve">by </w:t>
      </w:r>
      <w:r w:rsidRPr="000C0043">
        <w:rPr>
          <w:noProof/>
        </w:rPr>
        <w:t>supporting the development of high-quality financial and non-financial reporting and auditing standards</w:t>
      </w:r>
      <w:r w:rsidRPr="000F7386">
        <w:rPr>
          <w:noProof/>
        </w:rPr>
        <w:t>;</w:t>
      </w:r>
    </w:p>
    <w:p w14:paraId="4EF51EE3" w14:textId="77777777" w:rsidR="00FE47FC" w:rsidRPr="000F7386" w:rsidRDefault="00FE47FC" w:rsidP="00FE47FC">
      <w:pPr>
        <w:pStyle w:val="ppoListHyphened-L1"/>
        <w:rPr>
          <w:noProof/>
        </w:rPr>
      </w:pPr>
      <w:r w:rsidRPr="000F7386">
        <w:rPr>
          <w:noProof/>
        </w:rPr>
        <w:t>ensuring a high level of consumer protection and product safety, and promoting the interests of consumers, including in financial services;</w:t>
      </w:r>
    </w:p>
    <w:p w14:paraId="2CAED5B0" w14:textId="237F45BC" w:rsidR="00FE47FC" w:rsidRPr="000F7386" w:rsidRDefault="00BA5DAF" w:rsidP="00FE47FC">
      <w:pPr>
        <w:pStyle w:val="ppoListHyphened-L1"/>
        <w:rPr>
          <w:noProof/>
        </w:rPr>
      </w:pPr>
      <w:r>
        <w:rPr>
          <w:noProof/>
        </w:rPr>
        <w:t xml:space="preserve">contributing to </w:t>
      </w:r>
      <w:r w:rsidR="00FE47FC" w:rsidRPr="000F7386">
        <w:rPr>
          <w:noProof/>
        </w:rPr>
        <w:t>a high level of health for humans, animals and plants throughout the food chain; and</w:t>
      </w:r>
    </w:p>
    <w:p w14:paraId="4A489801" w14:textId="77777777" w:rsidR="00FE47FC" w:rsidRPr="000F7386" w:rsidRDefault="00FE47FC" w:rsidP="00FE47FC">
      <w:pPr>
        <w:pStyle w:val="ppoListHyphened-L1"/>
        <w:rPr>
          <w:noProof/>
        </w:rPr>
      </w:pPr>
      <w:r w:rsidRPr="000F7386">
        <w:rPr>
          <w:noProof/>
        </w:rPr>
        <w:t>producing and communicating high-quality statistics on Europe.</w:t>
      </w:r>
    </w:p>
    <w:p w14:paraId="5DFC3AC0" w14:textId="77777777" w:rsidR="00FE47FC" w:rsidRPr="000F7386" w:rsidRDefault="00FE47FC" w:rsidP="00FE47FC">
      <w:pPr>
        <w:pStyle w:val="ppoHeading6"/>
        <w:rPr>
          <w:noProof/>
        </w:rPr>
      </w:pPr>
      <w:r w:rsidRPr="000F7386">
        <w:rPr>
          <w:noProof/>
        </w:rPr>
        <w:t>Actions</w:t>
      </w:r>
    </w:p>
    <w:p w14:paraId="3066B02B" w14:textId="77777777" w:rsidR="00FE47FC" w:rsidRPr="000F7386" w:rsidRDefault="00FE47FC" w:rsidP="00FE47FC">
      <w:pPr>
        <w:rPr>
          <w:noProof/>
        </w:rPr>
      </w:pPr>
      <w:r w:rsidRPr="000F7386">
        <w:rPr>
          <w:noProof/>
        </w:rPr>
        <w:t>The programme’s main activities include:</w:t>
      </w:r>
    </w:p>
    <w:p w14:paraId="6E8121FB" w14:textId="77777777" w:rsidR="00FE47FC" w:rsidRPr="000F7386" w:rsidRDefault="00FE47FC" w:rsidP="00FE47FC">
      <w:pPr>
        <w:pStyle w:val="ppoListHyphened-L1"/>
        <w:rPr>
          <w:noProof/>
        </w:rPr>
      </w:pPr>
      <w:r w:rsidRPr="000F7386">
        <w:rPr>
          <w:noProof/>
        </w:rPr>
        <w:t>data gathering and analysis in support of the effective enforcement and modernisation of the EU’s legal framework;</w:t>
      </w:r>
    </w:p>
    <w:p w14:paraId="6B019B82" w14:textId="77777777" w:rsidR="00FE47FC" w:rsidRPr="000F7386" w:rsidRDefault="00FE47FC" w:rsidP="00FE47FC">
      <w:pPr>
        <w:pStyle w:val="ppoListHyphened-L1"/>
        <w:rPr>
          <w:noProof/>
        </w:rPr>
      </w:pPr>
      <w:r w:rsidRPr="000F7386">
        <w:rPr>
          <w:noProof/>
        </w:rPr>
        <w:t>studies and evaluations;</w:t>
      </w:r>
    </w:p>
    <w:p w14:paraId="37B7B7D9" w14:textId="77777777" w:rsidR="00FE47FC" w:rsidRPr="000F7386" w:rsidRDefault="00FE47FC" w:rsidP="00FE47FC">
      <w:pPr>
        <w:pStyle w:val="ppoListHyphened-L1"/>
        <w:rPr>
          <w:noProof/>
        </w:rPr>
      </w:pPr>
      <w:r w:rsidRPr="000F7386">
        <w:rPr>
          <w:noProof/>
        </w:rPr>
        <w:t>capacity-building activities and the facilitation of joint actions between Member States, their competent authorities, the Commission and the decentralised EU agencies;</w:t>
      </w:r>
    </w:p>
    <w:p w14:paraId="1E14CFC8" w14:textId="77777777" w:rsidR="00FE47FC" w:rsidRPr="000F7386" w:rsidRDefault="00FE47FC" w:rsidP="00FE47FC">
      <w:pPr>
        <w:pStyle w:val="ppoListHyphened-L1"/>
        <w:rPr>
          <w:noProof/>
        </w:rPr>
      </w:pPr>
      <w:r w:rsidRPr="000F7386">
        <w:rPr>
          <w:noProof/>
        </w:rPr>
        <w:t>financing mechanisms allowing individuals, consumers and business representatives to contribute to decision-making processes;</w:t>
      </w:r>
    </w:p>
    <w:p w14:paraId="1F73FE3B" w14:textId="77777777" w:rsidR="00FE47FC" w:rsidRPr="000F7386" w:rsidRDefault="00FE47FC" w:rsidP="00FE47FC">
      <w:pPr>
        <w:pStyle w:val="ppoListHyphened-L1"/>
        <w:rPr>
          <w:rFonts w:eastAsia="EC Square Sans Pro" w:cs="EC Square Sans Pro"/>
          <w:noProof/>
        </w:rPr>
      </w:pPr>
      <w:r w:rsidRPr="000F7386">
        <w:rPr>
          <w:noProof/>
        </w:rPr>
        <w:t>support for projects, tools and services to identify and address specific challenges for competitiveness and sustainability faced by businesses and industrial ecosystems; and</w:t>
      </w:r>
    </w:p>
    <w:p w14:paraId="3FECD75A" w14:textId="77777777" w:rsidR="00FE47FC" w:rsidRPr="000F7386" w:rsidRDefault="00FE47FC" w:rsidP="00FE47FC">
      <w:pPr>
        <w:pStyle w:val="ppoListHyphened-L1"/>
        <w:rPr>
          <w:noProof/>
        </w:rPr>
      </w:pPr>
      <w:r w:rsidRPr="000F7386">
        <w:rPr>
          <w:noProof/>
        </w:rPr>
        <w:t>strengthening the exchange and dissemination of expertise and knowledge.</w:t>
      </w:r>
    </w:p>
    <w:p w14:paraId="7C0E8131" w14:textId="77777777" w:rsidR="00FE47FC" w:rsidRPr="000F7386" w:rsidRDefault="00FE47FC" w:rsidP="00FE47FC">
      <w:pPr>
        <w:rPr>
          <w:noProof/>
        </w:rPr>
      </w:pPr>
      <w:r w:rsidRPr="000F7386">
        <w:rPr>
          <w:noProof/>
        </w:rPr>
        <w:t>The programme will particularly support, through targeted actions, improved competitiveness and sustainability (notably of SMEs); financial stability and the free movement of capital; European standards for goods and services; the development and oversight of financial and non-financial reporting; the development, production and dissemination of European statistics; and emergency measures along the food chain and for the protection of human, animal and plant health.</w:t>
      </w:r>
    </w:p>
    <w:p w14:paraId="537F2B69" w14:textId="77777777" w:rsidR="00FE47FC" w:rsidRPr="000F7386" w:rsidRDefault="00FE47FC" w:rsidP="00FE47FC">
      <w:pPr>
        <w:pStyle w:val="ppoHeading6"/>
        <w:rPr>
          <w:noProof/>
        </w:rPr>
      </w:pPr>
      <w:r w:rsidRPr="000F7386">
        <w:rPr>
          <w:noProof/>
        </w:rPr>
        <w:t>Delivery mode</w:t>
      </w:r>
    </w:p>
    <w:p w14:paraId="50B149AA" w14:textId="77777777" w:rsidR="00FE47FC" w:rsidRPr="000F7386" w:rsidRDefault="00FE47FC" w:rsidP="00FE47FC">
      <w:pPr>
        <w:rPr>
          <w:noProof/>
        </w:rPr>
      </w:pPr>
      <w:r w:rsidRPr="000F7386">
        <w:rPr>
          <w:noProof/>
        </w:rPr>
        <w:t>The single market programme will mainly be implemented under direct management by the Commission (the participating directorates-general are DG Internal Market, Industry, Entrepreneurship and SMEs, DG Competition, DG Financial Stability, Financial Services and Capital Markets Union, DG Taxation and Customs Union, DG Health and Food Safety, DG Justice and Consumers and Eurostat).</w:t>
      </w:r>
    </w:p>
    <w:p w14:paraId="3C63D586" w14:textId="03759EF3" w:rsidR="00FE47FC" w:rsidRPr="000F7386" w:rsidRDefault="00FE47FC" w:rsidP="00FE47FC">
      <w:pPr>
        <w:rPr>
          <w:noProof/>
        </w:rPr>
      </w:pPr>
      <w:r w:rsidRPr="000F7386">
        <w:rPr>
          <w:noProof/>
        </w:rPr>
        <w:t xml:space="preserve">Two executive agencies will implement parts of the programme, namely the European Health and Digital Executive Agency (for activities concerning protecting the health of humans, animals and plants along the food chain and supporting the welfare of animals) and the European Innovation Council and SMEs Executive Agency (for activities concerning the competitiveness of businesses and SMEs, </w:t>
      </w:r>
      <w:r w:rsidR="000F4A02">
        <w:rPr>
          <w:noProof/>
        </w:rPr>
        <w:t xml:space="preserve">and some of the actions linked to </w:t>
      </w:r>
      <w:r w:rsidRPr="000F7386">
        <w:rPr>
          <w:noProof/>
        </w:rPr>
        <w:t>standardisation and promoting the interests of consumers).</w:t>
      </w:r>
    </w:p>
    <w:p w14:paraId="5D035C8E" w14:textId="77777777" w:rsidR="00FE47FC" w:rsidRPr="000F7386" w:rsidRDefault="00FE47FC" w:rsidP="00FE47FC">
      <w:pPr>
        <w:pStyle w:val="ppoHeading6"/>
        <w:rPr>
          <w:noProof/>
        </w:rPr>
      </w:pPr>
      <w:r w:rsidRPr="000F7386">
        <w:rPr>
          <w:noProof/>
        </w:rPr>
        <w:t>LINK TO THE 2014-2020 multiannual financial framework</w:t>
      </w:r>
    </w:p>
    <w:p w14:paraId="65029C7C" w14:textId="7AAE63BA" w:rsidR="00FE47FC" w:rsidRPr="000F7386" w:rsidRDefault="00FE47FC" w:rsidP="00FE47FC">
      <w:pPr>
        <w:rPr>
          <w:noProof/>
        </w:rPr>
      </w:pPr>
      <w:r w:rsidRPr="000F7386">
        <w:rPr>
          <w:noProof/>
        </w:rPr>
        <w:t xml:space="preserve">The </w:t>
      </w:r>
      <w:bookmarkStart w:id="70" w:name="_Hlk101776255"/>
      <w:r w:rsidRPr="000F7386">
        <w:rPr>
          <w:noProof/>
        </w:rPr>
        <w:t xml:space="preserve">single market programme </w:t>
      </w:r>
      <w:bookmarkEnd w:id="70"/>
      <w:r w:rsidRPr="000F7386">
        <w:rPr>
          <w:noProof/>
        </w:rPr>
        <w:t xml:space="preserve">brings together six </w:t>
      </w:r>
      <w:bookmarkStart w:id="71" w:name="_Hlk101775802"/>
      <w:r w:rsidRPr="000F7386">
        <w:rPr>
          <w:noProof/>
        </w:rPr>
        <w:t>predecessor programmes from various policy areas</w:t>
      </w:r>
      <w:bookmarkEnd w:id="71"/>
      <w:r w:rsidRPr="000F7386">
        <w:rPr>
          <w:noProof/>
        </w:rPr>
        <w:t xml:space="preserve">, notably the grants and contracts part of the programme for the competitiveness of enterprises and small and medium-sized enterprises (COSME); </w:t>
      </w:r>
      <w:bookmarkStart w:id="72" w:name="_Hlk101775832"/>
      <w:r w:rsidRPr="003B534F">
        <w:rPr>
          <w:noProof/>
        </w:rPr>
        <w:t>programmes on consumer protection</w:t>
      </w:r>
      <w:r>
        <w:rPr>
          <w:noProof/>
        </w:rPr>
        <w:t>;</w:t>
      </w:r>
      <w:r w:rsidRPr="003B534F">
        <w:rPr>
          <w:noProof/>
        </w:rPr>
        <w:t xml:space="preserve"> consumers and end users</w:t>
      </w:r>
      <w:r w:rsidRPr="000F7386">
        <w:rPr>
          <w:noProof/>
        </w:rPr>
        <w:t xml:space="preserve"> in financial services</w:t>
      </w:r>
      <w:bookmarkEnd w:id="72"/>
      <w:r w:rsidRPr="000F7386">
        <w:rPr>
          <w:noProof/>
        </w:rPr>
        <w:t xml:space="preserve">; specific activities in the field of </w:t>
      </w:r>
      <w:r w:rsidR="000F4A02">
        <w:rPr>
          <w:noProof/>
        </w:rPr>
        <w:t xml:space="preserve">developing </w:t>
      </w:r>
      <w:r w:rsidRPr="000F7386">
        <w:rPr>
          <w:noProof/>
        </w:rPr>
        <w:t>financial reporting and auditing standards; measures to contribute to a high level of health for humans, animals and plants along the food chain and in related areas; and European statistics. It also integrates a number of former prerogative budget lines. Drawing from the lessons of the impact assessment, this integrated set-up is expected to constitute a more flexible and agile financing framework, which will allow the exploitation of synergies, the prevention of duplication and fragmentation, and prioritisation to be improved across all 14 ecosystems.</w:t>
      </w:r>
    </w:p>
    <w:p w14:paraId="303A2647" w14:textId="77777777" w:rsidR="00FE47FC" w:rsidRPr="000F7386" w:rsidRDefault="00FE47FC" w:rsidP="00FE47FC">
      <w:pPr>
        <w:pStyle w:val="ppoHeading6"/>
        <w:rPr>
          <w:noProof/>
        </w:rPr>
      </w:pPr>
      <w:r w:rsidRPr="000F7386">
        <w:rPr>
          <w:noProof/>
        </w:rPr>
        <w:t>Impact assessment</w:t>
      </w:r>
    </w:p>
    <w:p w14:paraId="41DB347B" w14:textId="77777777" w:rsidR="00FE47FC" w:rsidRPr="000F7386" w:rsidRDefault="00FE47FC" w:rsidP="00FE47FC">
      <w:pPr>
        <w:rPr>
          <w:noProof/>
        </w:rPr>
      </w:pPr>
      <w:r w:rsidRPr="000F7386">
        <w:rPr>
          <w:noProof/>
        </w:rPr>
        <w:t xml:space="preserve">The </w:t>
      </w:r>
      <w:hyperlink r:id="rId144" w:history="1">
        <w:r w:rsidRPr="000F7386">
          <w:rPr>
            <w:rStyle w:val="Hyperlink"/>
            <w:noProof/>
          </w:rPr>
          <w:t>impact assessment</w:t>
        </w:r>
      </w:hyperlink>
      <w:r w:rsidRPr="000F7386">
        <w:rPr>
          <w:noProof/>
        </w:rPr>
        <w:t xml:space="preserve"> of the single market programme was carried out in June 2018.</w:t>
      </w:r>
    </w:p>
    <w:p w14:paraId="11791F7D" w14:textId="77777777" w:rsidR="00FE47FC" w:rsidRPr="000F7386" w:rsidRDefault="00FE47FC" w:rsidP="00FE47FC">
      <w:pPr>
        <w:pStyle w:val="ppoHeading6"/>
        <w:rPr>
          <w:noProof/>
        </w:rPr>
      </w:pPr>
      <w:r w:rsidRPr="000F7386">
        <w:rPr>
          <w:noProof/>
        </w:rPr>
        <w:t>WEBSITE FOR more information</w:t>
      </w:r>
    </w:p>
    <w:p w14:paraId="6EB9B8DA" w14:textId="77777777" w:rsidR="00FE47FC" w:rsidRPr="000F7386" w:rsidRDefault="00E01E9B" w:rsidP="00FE47FC">
      <w:pPr>
        <w:spacing w:after="120"/>
        <w:rPr>
          <w:noProof/>
        </w:rPr>
      </w:pPr>
      <w:hyperlink r:id="rId145" w:history="1">
        <w:r w:rsidR="00FE47FC" w:rsidRPr="000F7386">
          <w:rPr>
            <w:rStyle w:val="Hyperlink"/>
            <w:noProof/>
          </w:rPr>
          <w:t>Single market programme</w:t>
        </w:r>
      </w:hyperlink>
    </w:p>
    <w:p w14:paraId="65F5771B" w14:textId="77777777" w:rsidR="00FE47FC" w:rsidRPr="000F7386" w:rsidRDefault="00FE47FC" w:rsidP="00FE47FC">
      <w:pPr>
        <w:pStyle w:val="ppoHeading5"/>
        <w:rPr>
          <w:noProof/>
        </w:rPr>
      </w:pPr>
      <w:r w:rsidRPr="000F7386">
        <w:rPr>
          <w:rFonts w:eastAsiaTheme="minorEastAsia"/>
          <w:noProof/>
        </w:rPr>
        <w:t>Legal basis</w:t>
      </w:r>
    </w:p>
    <w:p w14:paraId="14E74704" w14:textId="77777777" w:rsidR="00FE47FC" w:rsidRPr="000F7386" w:rsidRDefault="00FE47FC" w:rsidP="00FE47FC">
      <w:pPr>
        <w:rPr>
          <w:noProof/>
        </w:rPr>
      </w:pPr>
      <w:r w:rsidRPr="000F7386">
        <w:rPr>
          <w:noProof/>
        </w:rPr>
        <w:t>Regulation (EU) 2021/690 of the European Parliament and of the Council.</w:t>
      </w:r>
    </w:p>
    <w:p w14:paraId="079C0FC4" w14:textId="77777777" w:rsidR="00FE47FC" w:rsidRPr="000F7386" w:rsidRDefault="00FE47FC" w:rsidP="00FE47FC">
      <w:pPr>
        <w:pStyle w:val="ppoHeading4Orange"/>
        <w:rPr>
          <w:caps/>
          <w:noProof/>
        </w:rPr>
      </w:pPr>
      <w:r w:rsidRPr="000F7386">
        <w:rPr>
          <w:noProof/>
        </w:rPr>
        <w:t>Implementation and performance</w:t>
      </w:r>
    </w:p>
    <w:p w14:paraId="0915853C" w14:textId="77777777" w:rsidR="00FE47FC" w:rsidRPr="000F7386" w:rsidRDefault="00FE47FC" w:rsidP="00FE47FC">
      <w:pPr>
        <w:pStyle w:val="ppoHeading5"/>
        <w:rPr>
          <w:noProof/>
        </w:rPr>
      </w:pPr>
      <w:r w:rsidRPr="000F7386">
        <w:rPr>
          <w:noProof/>
        </w:rPr>
        <w:t>Budget</w:t>
      </w:r>
    </w:p>
    <w:p w14:paraId="19A4F6A9" w14:textId="77777777" w:rsidR="00FE47FC" w:rsidRPr="000F7386" w:rsidRDefault="00FE47FC" w:rsidP="00FE47FC">
      <w:pPr>
        <w:pStyle w:val="ppoTableTabletitle"/>
        <w:rPr>
          <w:noProof/>
        </w:rPr>
      </w:pPr>
      <w:r w:rsidRPr="000F7386">
        <w:rPr>
          <w:noProof/>
        </w:rPr>
        <w:t>Budget programming (million 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FE47FC" w:rsidRPr="000F7386" w14:paraId="30939EF7" w14:textId="77777777" w:rsidTr="00BB20EB">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68977D25" w14:textId="77777777" w:rsidR="00FE47FC" w:rsidRPr="000F7386" w:rsidRDefault="00FE47FC" w:rsidP="00BB20EB">
            <w:pPr>
              <w:rPr>
                <w:noProof/>
              </w:rPr>
            </w:pPr>
          </w:p>
        </w:tc>
        <w:tc>
          <w:tcPr>
            <w:tcW w:w="943" w:type="dxa"/>
            <w:noWrap/>
            <w:hideMark/>
          </w:tcPr>
          <w:p w14:paraId="16A8E6C9" w14:textId="77777777" w:rsidR="00FE47FC" w:rsidRPr="000F7386" w:rsidRDefault="00FE47FC" w:rsidP="00BB20EB">
            <w:pPr>
              <w:rPr>
                <w:noProof/>
              </w:rPr>
            </w:pPr>
            <w:r w:rsidRPr="000F7386">
              <w:rPr>
                <w:noProof/>
              </w:rPr>
              <w:t>2021</w:t>
            </w:r>
          </w:p>
        </w:tc>
        <w:tc>
          <w:tcPr>
            <w:tcW w:w="944" w:type="dxa"/>
            <w:noWrap/>
            <w:hideMark/>
          </w:tcPr>
          <w:p w14:paraId="68AA6789" w14:textId="77777777" w:rsidR="00FE47FC" w:rsidRPr="000F7386" w:rsidRDefault="00FE47FC" w:rsidP="00BB20EB">
            <w:pPr>
              <w:rPr>
                <w:noProof/>
              </w:rPr>
            </w:pPr>
            <w:r w:rsidRPr="000F7386">
              <w:rPr>
                <w:noProof/>
              </w:rPr>
              <w:t>2022</w:t>
            </w:r>
          </w:p>
        </w:tc>
        <w:tc>
          <w:tcPr>
            <w:tcW w:w="943" w:type="dxa"/>
            <w:noWrap/>
            <w:hideMark/>
          </w:tcPr>
          <w:p w14:paraId="6C52EDA6" w14:textId="77777777" w:rsidR="00FE47FC" w:rsidRPr="000F7386" w:rsidRDefault="00FE47FC" w:rsidP="00BB20EB">
            <w:pPr>
              <w:rPr>
                <w:noProof/>
              </w:rPr>
            </w:pPr>
            <w:r w:rsidRPr="000F7386">
              <w:rPr>
                <w:noProof/>
              </w:rPr>
              <w:t>2023</w:t>
            </w:r>
          </w:p>
        </w:tc>
        <w:tc>
          <w:tcPr>
            <w:tcW w:w="944" w:type="dxa"/>
            <w:noWrap/>
            <w:hideMark/>
          </w:tcPr>
          <w:p w14:paraId="4473F550" w14:textId="77777777" w:rsidR="00FE47FC" w:rsidRPr="000F7386" w:rsidRDefault="00FE47FC" w:rsidP="00BB20EB">
            <w:pPr>
              <w:rPr>
                <w:noProof/>
              </w:rPr>
            </w:pPr>
            <w:r w:rsidRPr="000F7386">
              <w:rPr>
                <w:noProof/>
              </w:rPr>
              <w:t>2024</w:t>
            </w:r>
          </w:p>
        </w:tc>
        <w:tc>
          <w:tcPr>
            <w:tcW w:w="944" w:type="dxa"/>
            <w:noWrap/>
            <w:hideMark/>
          </w:tcPr>
          <w:p w14:paraId="2F96C938" w14:textId="77777777" w:rsidR="00FE47FC" w:rsidRPr="000F7386" w:rsidRDefault="00FE47FC" w:rsidP="00BB20EB">
            <w:pPr>
              <w:rPr>
                <w:noProof/>
              </w:rPr>
            </w:pPr>
            <w:r w:rsidRPr="000F7386">
              <w:rPr>
                <w:noProof/>
              </w:rPr>
              <w:t>2025</w:t>
            </w:r>
          </w:p>
        </w:tc>
        <w:tc>
          <w:tcPr>
            <w:tcW w:w="943" w:type="dxa"/>
            <w:noWrap/>
            <w:hideMark/>
          </w:tcPr>
          <w:p w14:paraId="46B223F0" w14:textId="77777777" w:rsidR="00FE47FC" w:rsidRPr="000F7386" w:rsidRDefault="00FE47FC" w:rsidP="00BB20EB">
            <w:pPr>
              <w:rPr>
                <w:noProof/>
              </w:rPr>
            </w:pPr>
            <w:r w:rsidRPr="000F7386">
              <w:rPr>
                <w:noProof/>
              </w:rPr>
              <w:t>2026</w:t>
            </w:r>
          </w:p>
        </w:tc>
        <w:tc>
          <w:tcPr>
            <w:tcW w:w="944" w:type="dxa"/>
            <w:noWrap/>
            <w:hideMark/>
          </w:tcPr>
          <w:p w14:paraId="3B1989AD" w14:textId="77777777" w:rsidR="00FE47FC" w:rsidRPr="000F7386" w:rsidRDefault="00FE47FC" w:rsidP="00BB20EB">
            <w:pPr>
              <w:rPr>
                <w:noProof/>
              </w:rPr>
            </w:pPr>
            <w:r w:rsidRPr="000F7386">
              <w:rPr>
                <w:noProof/>
              </w:rPr>
              <w:t>2027</w:t>
            </w:r>
          </w:p>
        </w:tc>
        <w:tc>
          <w:tcPr>
            <w:tcW w:w="944" w:type="dxa"/>
            <w:noWrap/>
            <w:hideMark/>
          </w:tcPr>
          <w:p w14:paraId="5DC3835E" w14:textId="77777777" w:rsidR="00FE47FC" w:rsidRPr="000F7386" w:rsidRDefault="00FE47FC" w:rsidP="00BB20EB">
            <w:pPr>
              <w:rPr>
                <w:noProof/>
              </w:rPr>
            </w:pPr>
            <w:r w:rsidRPr="000F7386">
              <w:rPr>
                <w:noProof/>
              </w:rPr>
              <w:t>Total</w:t>
            </w:r>
          </w:p>
        </w:tc>
      </w:tr>
      <w:tr w:rsidR="002769F8" w:rsidRPr="000F7386" w14:paraId="48333FE5" w14:textId="77777777" w:rsidTr="00BB20EB">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2A464033" w14:textId="77777777" w:rsidR="002769F8" w:rsidRPr="000F7386" w:rsidRDefault="002769F8" w:rsidP="002769F8">
            <w:pPr>
              <w:rPr>
                <w:noProof/>
              </w:rPr>
            </w:pPr>
            <w:r w:rsidRPr="000F7386">
              <w:rPr>
                <w:noProof/>
              </w:rPr>
              <w:t>Financial programming</w:t>
            </w:r>
          </w:p>
        </w:tc>
        <w:tc>
          <w:tcPr>
            <w:tcW w:w="943" w:type="dxa"/>
            <w:noWrap/>
            <w:vAlign w:val="bottom"/>
            <w:hideMark/>
          </w:tcPr>
          <w:p w14:paraId="6419AF87" w14:textId="77777777" w:rsidR="002769F8" w:rsidRPr="000F7386" w:rsidRDefault="002769F8" w:rsidP="002769F8">
            <w:pPr>
              <w:jc w:val="center"/>
              <w:rPr>
                <w:noProof/>
              </w:rPr>
            </w:pPr>
            <w:r>
              <w:rPr>
                <w:rFonts w:ascii="Calibri" w:hAnsi="Calibri" w:cs="Calibri"/>
                <w:noProof/>
                <w:color w:val="000000"/>
              </w:rPr>
              <w:t>583.1</w:t>
            </w:r>
          </w:p>
        </w:tc>
        <w:tc>
          <w:tcPr>
            <w:tcW w:w="944" w:type="dxa"/>
            <w:noWrap/>
            <w:vAlign w:val="bottom"/>
            <w:hideMark/>
          </w:tcPr>
          <w:p w14:paraId="486FC76D" w14:textId="77777777" w:rsidR="002769F8" w:rsidRPr="000F7386" w:rsidRDefault="002769F8" w:rsidP="002769F8">
            <w:pPr>
              <w:jc w:val="center"/>
              <w:rPr>
                <w:noProof/>
              </w:rPr>
            </w:pPr>
            <w:r>
              <w:rPr>
                <w:rFonts w:ascii="Calibri" w:hAnsi="Calibri" w:cs="Calibri"/>
                <w:noProof/>
                <w:color w:val="000000"/>
              </w:rPr>
              <w:t>613.5</w:t>
            </w:r>
          </w:p>
        </w:tc>
        <w:tc>
          <w:tcPr>
            <w:tcW w:w="943" w:type="dxa"/>
            <w:noWrap/>
            <w:vAlign w:val="bottom"/>
            <w:hideMark/>
          </w:tcPr>
          <w:p w14:paraId="03428455" w14:textId="77777777" w:rsidR="002769F8" w:rsidRPr="000F7386" w:rsidRDefault="002769F8" w:rsidP="002769F8">
            <w:pPr>
              <w:jc w:val="center"/>
              <w:rPr>
                <w:noProof/>
              </w:rPr>
            </w:pPr>
            <w:r>
              <w:rPr>
                <w:rFonts w:ascii="Calibri" w:hAnsi="Calibri" w:cs="Calibri"/>
                <w:noProof/>
                <w:color w:val="000000"/>
              </w:rPr>
              <w:t>592.8</w:t>
            </w:r>
          </w:p>
        </w:tc>
        <w:tc>
          <w:tcPr>
            <w:tcW w:w="944" w:type="dxa"/>
            <w:noWrap/>
            <w:vAlign w:val="bottom"/>
            <w:hideMark/>
          </w:tcPr>
          <w:p w14:paraId="29DB5B4A" w14:textId="48EC56A0" w:rsidR="002769F8" w:rsidRPr="000F7386" w:rsidRDefault="002769F8" w:rsidP="002769F8">
            <w:pPr>
              <w:jc w:val="center"/>
              <w:rPr>
                <w:noProof/>
              </w:rPr>
            </w:pPr>
            <w:r>
              <w:rPr>
                <w:rFonts w:ascii="Calibri" w:hAnsi="Calibri" w:cs="Calibri"/>
                <w:noProof/>
                <w:color w:val="000000"/>
              </w:rPr>
              <w:t>601.5</w:t>
            </w:r>
          </w:p>
        </w:tc>
        <w:tc>
          <w:tcPr>
            <w:tcW w:w="944" w:type="dxa"/>
            <w:noWrap/>
            <w:vAlign w:val="bottom"/>
            <w:hideMark/>
          </w:tcPr>
          <w:p w14:paraId="5F49F861" w14:textId="2DC41902" w:rsidR="002769F8" w:rsidRPr="000F7386" w:rsidRDefault="002769F8" w:rsidP="002769F8">
            <w:pPr>
              <w:jc w:val="center"/>
              <w:rPr>
                <w:noProof/>
              </w:rPr>
            </w:pPr>
            <w:r>
              <w:rPr>
                <w:rFonts w:ascii="Calibri" w:hAnsi="Calibri" w:cs="Calibri"/>
                <w:noProof/>
                <w:color w:val="000000"/>
              </w:rPr>
              <w:t>610.2</w:t>
            </w:r>
          </w:p>
        </w:tc>
        <w:tc>
          <w:tcPr>
            <w:tcW w:w="943" w:type="dxa"/>
            <w:noWrap/>
            <w:vAlign w:val="bottom"/>
            <w:hideMark/>
          </w:tcPr>
          <w:p w14:paraId="33CA918F" w14:textId="5700363F" w:rsidR="002769F8" w:rsidRPr="000F7386" w:rsidRDefault="002769F8" w:rsidP="002769F8">
            <w:pPr>
              <w:jc w:val="center"/>
              <w:rPr>
                <w:noProof/>
              </w:rPr>
            </w:pPr>
            <w:r>
              <w:rPr>
                <w:rFonts w:ascii="Calibri" w:hAnsi="Calibri" w:cs="Calibri"/>
                <w:noProof/>
                <w:color w:val="000000"/>
              </w:rPr>
              <w:t>619.7</w:t>
            </w:r>
          </w:p>
        </w:tc>
        <w:tc>
          <w:tcPr>
            <w:tcW w:w="944" w:type="dxa"/>
            <w:noWrap/>
            <w:vAlign w:val="bottom"/>
            <w:hideMark/>
          </w:tcPr>
          <w:p w14:paraId="7D3ED923" w14:textId="3E2DE488" w:rsidR="002769F8" w:rsidRPr="000F7386" w:rsidRDefault="002769F8" w:rsidP="002769F8">
            <w:pPr>
              <w:jc w:val="center"/>
              <w:rPr>
                <w:noProof/>
              </w:rPr>
            </w:pPr>
            <w:r>
              <w:rPr>
                <w:rFonts w:ascii="Calibri" w:hAnsi="Calibri" w:cs="Calibri"/>
                <w:noProof/>
                <w:color w:val="000000"/>
              </w:rPr>
              <w:t>620.6</w:t>
            </w:r>
          </w:p>
        </w:tc>
        <w:tc>
          <w:tcPr>
            <w:tcW w:w="944" w:type="dxa"/>
            <w:noWrap/>
            <w:vAlign w:val="bottom"/>
            <w:hideMark/>
          </w:tcPr>
          <w:p w14:paraId="6F1D0AC6" w14:textId="01A5007D" w:rsidR="002769F8" w:rsidRPr="000F7386" w:rsidRDefault="002769F8" w:rsidP="002769F8">
            <w:pPr>
              <w:jc w:val="center"/>
              <w:rPr>
                <w:noProof/>
              </w:rPr>
            </w:pPr>
            <w:r>
              <w:rPr>
                <w:rFonts w:ascii="Calibri" w:hAnsi="Calibri" w:cs="Calibri"/>
                <w:noProof/>
                <w:color w:val="000000"/>
              </w:rPr>
              <w:t>4 241.4</w:t>
            </w:r>
          </w:p>
        </w:tc>
      </w:tr>
      <w:tr w:rsidR="00FE47FC" w:rsidRPr="000F7386" w14:paraId="6AC85A17" w14:textId="77777777" w:rsidTr="00BB20EB">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712718AB" w14:textId="77777777" w:rsidR="00FE47FC" w:rsidRPr="000F7386" w:rsidRDefault="00FE47FC" w:rsidP="00BB20EB">
            <w:pPr>
              <w:rPr>
                <w:noProof/>
              </w:rPr>
            </w:pPr>
            <w:r w:rsidRPr="000F7386">
              <w:rPr>
                <w:noProof/>
              </w:rPr>
              <w:t>NextGenerationEU</w:t>
            </w:r>
          </w:p>
        </w:tc>
        <w:tc>
          <w:tcPr>
            <w:tcW w:w="943" w:type="dxa"/>
            <w:noWrap/>
            <w:hideMark/>
          </w:tcPr>
          <w:p w14:paraId="03EA4838" w14:textId="77777777" w:rsidR="00FE47FC" w:rsidRPr="000F7386" w:rsidRDefault="00FE47FC" w:rsidP="00BB20EB">
            <w:pPr>
              <w:jc w:val="center"/>
              <w:rPr>
                <w:noProof/>
              </w:rPr>
            </w:pPr>
          </w:p>
        </w:tc>
        <w:tc>
          <w:tcPr>
            <w:tcW w:w="944" w:type="dxa"/>
            <w:noWrap/>
            <w:hideMark/>
          </w:tcPr>
          <w:p w14:paraId="4DE135A1" w14:textId="77777777" w:rsidR="00FE47FC" w:rsidRPr="000F7386" w:rsidRDefault="00FE47FC" w:rsidP="00BB20EB">
            <w:pPr>
              <w:jc w:val="center"/>
              <w:rPr>
                <w:noProof/>
              </w:rPr>
            </w:pPr>
          </w:p>
        </w:tc>
        <w:tc>
          <w:tcPr>
            <w:tcW w:w="943" w:type="dxa"/>
            <w:noWrap/>
            <w:hideMark/>
          </w:tcPr>
          <w:p w14:paraId="53D33E8C" w14:textId="77777777" w:rsidR="00FE47FC" w:rsidRPr="000F7386" w:rsidRDefault="00FE47FC" w:rsidP="00BB20EB">
            <w:pPr>
              <w:jc w:val="center"/>
              <w:rPr>
                <w:noProof/>
              </w:rPr>
            </w:pPr>
          </w:p>
        </w:tc>
        <w:tc>
          <w:tcPr>
            <w:tcW w:w="944" w:type="dxa"/>
            <w:noWrap/>
            <w:hideMark/>
          </w:tcPr>
          <w:p w14:paraId="6A1371A0" w14:textId="77777777" w:rsidR="00FE47FC" w:rsidRPr="000F7386" w:rsidRDefault="00FE47FC" w:rsidP="00BB20EB">
            <w:pPr>
              <w:jc w:val="center"/>
              <w:rPr>
                <w:noProof/>
              </w:rPr>
            </w:pPr>
          </w:p>
        </w:tc>
        <w:tc>
          <w:tcPr>
            <w:tcW w:w="944" w:type="dxa"/>
            <w:noWrap/>
            <w:hideMark/>
          </w:tcPr>
          <w:p w14:paraId="06FAEF21" w14:textId="77777777" w:rsidR="00FE47FC" w:rsidRPr="000F7386" w:rsidRDefault="00FE47FC" w:rsidP="00BB20EB">
            <w:pPr>
              <w:jc w:val="center"/>
              <w:rPr>
                <w:noProof/>
              </w:rPr>
            </w:pPr>
          </w:p>
        </w:tc>
        <w:tc>
          <w:tcPr>
            <w:tcW w:w="943" w:type="dxa"/>
            <w:noWrap/>
            <w:hideMark/>
          </w:tcPr>
          <w:p w14:paraId="63B47CF5" w14:textId="77777777" w:rsidR="00FE47FC" w:rsidRPr="000F7386" w:rsidRDefault="00FE47FC" w:rsidP="00BB20EB">
            <w:pPr>
              <w:jc w:val="center"/>
              <w:rPr>
                <w:noProof/>
              </w:rPr>
            </w:pPr>
          </w:p>
        </w:tc>
        <w:tc>
          <w:tcPr>
            <w:tcW w:w="944" w:type="dxa"/>
            <w:noWrap/>
            <w:hideMark/>
          </w:tcPr>
          <w:p w14:paraId="1E2AB725" w14:textId="77777777" w:rsidR="00FE47FC" w:rsidRPr="000F7386" w:rsidRDefault="00FE47FC" w:rsidP="00BB20EB">
            <w:pPr>
              <w:jc w:val="center"/>
              <w:rPr>
                <w:noProof/>
              </w:rPr>
            </w:pPr>
          </w:p>
        </w:tc>
        <w:tc>
          <w:tcPr>
            <w:tcW w:w="944" w:type="dxa"/>
            <w:noWrap/>
            <w:hideMark/>
          </w:tcPr>
          <w:p w14:paraId="67C0CEBF" w14:textId="77777777" w:rsidR="00FE47FC" w:rsidRPr="000F7386" w:rsidRDefault="00FE47FC" w:rsidP="00BB20EB">
            <w:pPr>
              <w:jc w:val="center"/>
              <w:rPr>
                <w:noProof/>
              </w:rPr>
            </w:pPr>
          </w:p>
        </w:tc>
      </w:tr>
      <w:tr w:rsidR="00FE47FC" w:rsidRPr="000F7386" w14:paraId="0A74E190" w14:textId="77777777" w:rsidTr="00BB20EB">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233502FE" w14:textId="77777777" w:rsidR="00FE47FC" w:rsidRPr="000F7386" w:rsidRDefault="00FE47FC" w:rsidP="00BB20EB">
            <w:pPr>
              <w:rPr>
                <w:noProof/>
              </w:rPr>
            </w:pPr>
            <w:r w:rsidRPr="000F7386">
              <w:rPr>
                <w:noProof/>
              </w:rPr>
              <w:t>Decommitments made available again (*)</w:t>
            </w:r>
          </w:p>
        </w:tc>
        <w:tc>
          <w:tcPr>
            <w:tcW w:w="943" w:type="dxa"/>
            <w:noWrap/>
            <w:hideMark/>
          </w:tcPr>
          <w:p w14:paraId="43C08DA2" w14:textId="77777777" w:rsidR="00FE47FC" w:rsidRPr="000F7386" w:rsidRDefault="00FE47FC" w:rsidP="00BB20EB">
            <w:pPr>
              <w:jc w:val="center"/>
              <w:rPr>
                <w:noProof/>
              </w:rPr>
            </w:pPr>
            <w:r>
              <w:rPr>
                <w:noProof/>
              </w:rPr>
              <w:t>N/A</w:t>
            </w:r>
          </w:p>
        </w:tc>
        <w:tc>
          <w:tcPr>
            <w:tcW w:w="944" w:type="dxa"/>
            <w:noWrap/>
            <w:hideMark/>
          </w:tcPr>
          <w:p w14:paraId="4D066501" w14:textId="77777777" w:rsidR="00FE47FC" w:rsidRPr="000F7386" w:rsidRDefault="00FE47FC" w:rsidP="00BB20EB">
            <w:pPr>
              <w:jc w:val="center"/>
              <w:rPr>
                <w:noProof/>
              </w:rPr>
            </w:pPr>
          </w:p>
        </w:tc>
        <w:tc>
          <w:tcPr>
            <w:tcW w:w="943" w:type="dxa"/>
            <w:noWrap/>
            <w:hideMark/>
          </w:tcPr>
          <w:p w14:paraId="095DB973" w14:textId="77777777" w:rsidR="00FE47FC" w:rsidRPr="000F7386" w:rsidRDefault="00FE47FC" w:rsidP="00BB20EB">
            <w:pPr>
              <w:jc w:val="center"/>
              <w:rPr>
                <w:noProof/>
              </w:rPr>
            </w:pPr>
          </w:p>
        </w:tc>
        <w:tc>
          <w:tcPr>
            <w:tcW w:w="944" w:type="dxa"/>
            <w:noWrap/>
            <w:hideMark/>
          </w:tcPr>
          <w:p w14:paraId="6BA01B56" w14:textId="77777777" w:rsidR="00FE47FC" w:rsidRPr="000F7386" w:rsidRDefault="00FE47FC" w:rsidP="00BB20EB">
            <w:pPr>
              <w:jc w:val="center"/>
              <w:rPr>
                <w:noProof/>
              </w:rPr>
            </w:pPr>
          </w:p>
        </w:tc>
        <w:tc>
          <w:tcPr>
            <w:tcW w:w="944" w:type="dxa"/>
            <w:noWrap/>
            <w:hideMark/>
          </w:tcPr>
          <w:p w14:paraId="784592AC" w14:textId="77777777" w:rsidR="00FE47FC" w:rsidRPr="000F7386" w:rsidRDefault="00FE47FC" w:rsidP="00BB20EB">
            <w:pPr>
              <w:jc w:val="center"/>
              <w:rPr>
                <w:noProof/>
              </w:rPr>
            </w:pPr>
          </w:p>
        </w:tc>
        <w:tc>
          <w:tcPr>
            <w:tcW w:w="943" w:type="dxa"/>
            <w:noWrap/>
            <w:hideMark/>
          </w:tcPr>
          <w:p w14:paraId="2018C7FF" w14:textId="77777777" w:rsidR="00FE47FC" w:rsidRPr="000F7386" w:rsidRDefault="00FE47FC" w:rsidP="00BB20EB">
            <w:pPr>
              <w:jc w:val="center"/>
              <w:rPr>
                <w:noProof/>
              </w:rPr>
            </w:pPr>
          </w:p>
        </w:tc>
        <w:tc>
          <w:tcPr>
            <w:tcW w:w="944" w:type="dxa"/>
            <w:noWrap/>
            <w:hideMark/>
          </w:tcPr>
          <w:p w14:paraId="71BD50AF" w14:textId="77777777" w:rsidR="00FE47FC" w:rsidRPr="000F7386" w:rsidRDefault="00FE47FC" w:rsidP="00BB20EB">
            <w:pPr>
              <w:jc w:val="center"/>
              <w:rPr>
                <w:noProof/>
              </w:rPr>
            </w:pPr>
          </w:p>
        </w:tc>
        <w:tc>
          <w:tcPr>
            <w:tcW w:w="944" w:type="dxa"/>
            <w:noWrap/>
            <w:hideMark/>
          </w:tcPr>
          <w:p w14:paraId="06CD3B9E" w14:textId="77777777" w:rsidR="00FE47FC" w:rsidRPr="000F7386" w:rsidRDefault="00FE47FC" w:rsidP="00BB20EB">
            <w:pPr>
              <w:jc w:val="center"/>
              <w:rPr>
                <w:noProof/>
              </w:rPr>
            </w:pPr>
            <w:r>
              <w:rPr>
                <w:noProof/>
              </w:rPr>
              <w:t>N/A</w:t>
            </w:r>
          </w:p>
        </w:tc>
      </w:tr>
      <w:tr w:rsidR="00FE47FC" w:rsidRPr="000F7386" w14:paraId="38343B50" w14:textId="77777777" w:rsidTr="00BB20EB">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40FDF787" w14:textId="77777777" w:rsidR="00FE47FC" w:rsidRPr="000F7386" w:rsidRDefault="00FE47FC" w:rsidP="00BB20EB">
            <w:pPr>
              <w:rPr>
                <w:noProof/>
              </w:rPr>
            </w:pPr>
            <w:r w:rsidRPr="000F7386">
              <w:rPr>
                <w:noProof/>
              </w:rPr>
              <w:t>Contributions from other countries and entities</w:t>
            </w:r>
          </w:p>
        </w:tc>
        <w:tc>
          <w:tcPr>
            <w:tcW w:w="943" w:type="dxa"/>
            <w:noWrap/>
            <w:hideMark/>
          </w:tcPr>
          <w:p w14:paraId="6A0DC1F1" w14:textId="77777777" w:rsidR="00FE47FC" w:rsidRPr="000F7386" w:rsidRDefault="00FE47FC" w:rsidP="00BB20EB">
            <w:pPr>
              <w:jc w:val="center"/>
              <w:rPr>
                <w:noProof/>
              </w:rPr>
            </w:pPr>
            <w:r w:rsidRPr="000F7386">
              <w:rPr>
                <w:noProof/>
              </w:rPr>
              <w:t>24.6</w:t>
            </w:r>
          </w:p>
        </w:tc>
        <w:tc>
          <w:tcPr>
            <w:tcW w:w="944" w:type="dxa"/>
            <w:noWrap/>
            <w:hideMark/>
          </w:tcPr>
          <w:p w14:paraId="2CD63AD4" w14:textId="77777777" w:rsidR="00FE47FC" w:rsidRPr="000F7386" w:rsidRDefault="00FE47FC" w:rsidP="00BB20EB">
            <w:pPr>
              <w:jc w:val="center"/>
              <w:rPr>
                <w:noProof/>
              </w:rPr>
            </w:pPr>
            <w:r>
              <w:rPr>
                <w:noProof/>
              </w:rPr>
              <w:t>p.m.</w:t>
            </w:r>
          </w:p>
        </w:tc>
        <w:tc>
          <w:tcPr>
            <w:tcW w:w="943" w:type="dxa"/>
            <w:noWrap/>
            <w:hideMark/>
          </w:tcPr>
          <w:p w14:paraId="319BAFA8" w14:textId="77777777" w:rsidR="00FE47FC" w:rsidRPr="000F7386" w:rsidRDefault="00FE47FC" w:rsidP="00BB20EB">
            <w:pPr>
              <w:jc w:val="center"/>
              <w:rPr>
                <w:noProof/>
              </w:rPr>
            </w:pPr>
            <w:r>
              <w:rPr>
                <w:noProof/>
              </w:rPr>
              <w:t>p.m.</w:t>
            </w:r>
          </w:p>
        </w:tc>
        <w:tc>
          <w:tcPr>
            <w:tcW w:w="944" w:type="dxa"/>
            <w:noWrap/>
            <w:hideMark/>
          </w:tcPr>
          <w:p w14:paraId="3CAE954D" w14:textId="77777777" w:rsidR="00FE47FC" w:rsidRPr="000F7386" w:rsidRDefault="00FE47FC" w:rsidP="00BB20EB">
            <w:pPr>
              <w:jc w:val="center"/>
              <w:rPr>
                <w:noProof/>
              </w:rPr>
            </w:pPr>
            <w:r>
              <w:rPr>
                <w:noProof/>
              </w:rPr>
              <w:t>p.m.</w:t>
            </w:r>
          </w:p>
        </w:tc>
        <w:tc>
          <w:tcPr>
            <w:tcW w:w="944" w:type="dxa"/>
            <w:noWrap/>
            <w:hideMark/>
          </w:tcPr>
          <w:p w14:paraId="10A27993" w14:textId="77777777" w:rsidR="00FE47FC" w:rsidRPr="000F7386" w:rsidRDefault="00FE47FC" w:rsidP="00BB20EB">
            <w:pPr>
              <w:jc w:val="center"/>
              <w:rPr>
                <w:noProof/>
              </w:rPr>
            </w:pPr>
            <w:r>
              <w:rPr>
                <w:noProof/>
              </w:rPr>
              <w:t>p.m.</w:t>
            </w:r>
          </w:p>
        </w:tc>
        <w:tc>
          <w:tcPr>
            <w:tcW w:w="943" w:type="dxa"/>
            <w:noWrap/>
            <w:hideMark/>
          </w:tcPr>
          <w:p w14:paraId="441EC4A2" w14:textId="77777777" w:rsidR="00FE47FC" w:rsidRPr="000F7386" w:rsidRDefault="00FE47FC" w:rsidP="00BB20EB">
            <w:pPr>
              <w:jc w:val="center"/>
              <w:rPr>
                <w:noProof/>
              </w:rPr>
            </w:pPr>
            <w:r>
              <w:rPr>
                <w:noProof/>
              </w:rPr>
              <w:t>p.m.</w:t>
            </w:r>
          </w:p>
        </w:tc>
        <w:tc>
          <w:tcPr>
            <w:tcW w:w="944" w:type="dxa"/>
            <w:noWrap/>
            <w:hideMark/>
          </w:tcPr>
          <w:p w14:paraId="6B6A5896" w14:textId="77777777" w:rsidR="00FE47FC" w:rsidRPr="000F7386" w:rsidRDefault="00FE47FC" w:rsidP="00BB20EB">
            <w:pPr>
              <w:jc w:val="center"/>
              <w:rPr>
                <w:noProof/>
              </w:rPr>
            </w:pPr>
            <w:r>
              <w:rPr>
                <w:noProof/>
              </w:rPr>
              <w:t>p.m.</w:t>
            </w:r>
          </w:p>
        </w:tc>
        <w:tc>
          <w:tcPr>
            <w:tcW w:w="944" w:type="dxa"/>
            <w:noWrap/>
            <w:hideMark/>
          </w:tcPr>
          <w:p w14:paraId="69D5553F" w14:textId="77777777" w:rsidR="00FE47FC" w:rsidRPr="000F7386" w:rsidRDefault="00FE47FC" w:rsidP="00BB20EB">
            <w:pPr>
              <w:jc w:val="center"/>
              <w:rPr>
                <w:noProof/>
              </w:rPr>
            </w:pPr>
            <w:r w:rsidRPr="000F7386">
              <w:rPr>
                <w:noProof/>
              </w:rPr>
              <w:t>24.6</w:t>
            </w:r>
          </w:p>
        </w:tc>
      </w:tr>
      <w:tr w:rsidR="002769F8" w:rsidRPr="000F7386" w14:paraId="2745D380" w14:textId="77777777" w:rsidTr="00BB20EB">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46D43558" w14:textId="77777777" w:rsidR="002769F8" w:rsidRPr="000F7386" w:rsidRDefault="002769F8" w:rsidP="002769F8">
            <w:pPr>
              <w:rPr>
                <w:noProof/>
              </w:rPr>
            </w:pPr>
            <w:r w:rsidRPr="000F7386">
              <w:rPr>
                <w:noProof/>
              </w:rPr>
              <w:t>Total</w:t>
            </w:r>
          </w:p>
        </w:tc>
        <w:tc>
          <w:tcPr>
            <w:tcW w:w="943" w:type="dxa"/>
            <w:noWrap/>
            <w:vAlign w:val="bottom"/>
            <w:hideMark/>
          </w:tcPr>
          <w:p w14:paraId="560F3D2B" w14:textId="77777777" w:rsidR="002769F8" w:rsidRPr="000F7386" w:rsidRDefault="002769F8" w:rsidP="002769F8">
            <w:pPr>
              <w:jc w:val="center"/>
              <w:rPr>
                <w:noProof/>
              </w:rPr>
            </w:pPr>
            <w:r>
              <w:rPr>
                <w:rFonts w:ascii="Calibri" w:hAnsi="Calibri" w:cs="Calibri"/>
                <w:b/>
                <w:bCs/>
                <w:noProof/>
                <w:color w:val="000000"/>
              </w:rPr>
              <w:t>607.8</w:t>
            </w:r>
          </w:p>
        </w:tc>
        <w:tc>
          <w:tcPr>
            <w:tcW w:w="944" w:type="dxa"/>
            <w:noWrap/>
            <w:vAlign w:val="bottom"/>
            <w:hideMark/>
          </w:tcPr>
          <w:p w14:paraId="21AA9069" w14:textId="77777777" w:rsidR="002769F8" w:rsidRPr="000F7386" w:rsidRDefault="002769F8" w:rsidP="002769F8">
            <w:pPr>
              <w:jc w:val="center"/>
              <w:rPr>
                <w:noProof/>
              </w:rPr>
            </w:pPr>
            <w:r>
              <w:rPr>
                <w:rFonts w:ascii="Calibri" w:hAnsi="Calibri" w:cs="Calibri"/>
                <w:b/>
                <w:bCs/>
                <w:noProof/>
                <w:color w:val="000000"/>
              </w:rPr>
              <w:t>613.5</w:t>
            </w:r>
          </w:p>
        </w:tc>
        <w:tc>
          <w:tcPr>
            <w:tcW w:w="943" w:type="dxa"/>
            <w:noWrap/>
            <w:vAlign w:val="bottom"/>
            <w:hideMark/>
          </w:tcPr>
          <w:p w14:paraId="2772D44D" w14:textId="77777777" w:rsidR="002769F8" w:rsidRPr="000F7386" w:rsidRDefault="002769F8" w:rsidP="002769F8">
            <w:pPr>
              <w:jc w:val="center"/>
              <w:rPr>
                <w:noProof/>
              </w:rPr>
            </w:pPr>
            <w:r>
              <w:rPr>
                <w:rFonts w:ascii="Calibri" w:hAnsi="Calibri" w:cs="Calibri"/>
                <w:b/>
                <w:bCs/>
                <w:noProof/>
                <w:color w:val="000000"/>
              </w:rPr>
              <w:t>592.8</w:t>
            </w:r>
          </w:p>
        </w:tc>
        <w:tc>
          <w:tcPr>
            <w:tcW w:w="944" w:type="dxa"/>
            <w:noWrap/>
            <w:vAlign w:val="bottom"/>
            <w:hideMark/>
          </w:tcPr>
          <w:p w14:paraId="7B4764BC" w14:textId="32106F09" w:rsidR="002769F8" w:rsidRPr="000F7386" w:rsidRDefault="002769F8" w:rsidP="002769F8">
            <w:pPr>
              <w:jc w:val="center"/>
              <w:rPr>
                <w:noProof/>
              </w:rPr>
            </w:pPr>
            <w:r>
              <w:rPr>
                <w:rFonts w:ascii="Calibri" w:hAnsi="Calibri" w:cs="Calibri"/>
                <w:b/>
                <w:bCs/>
                <w:noProof/>
                <w:color w:val="000000"/>
              </w:rPr>
              <w:t>601.5</w:t>
            </w:r>
          </w:p>
        </w:tc>
        <w:tc>
          <w:tcPr>
            <w:tcW w:w="944" w:type="dxa"/>
            <w:noWrap/>
            <w:vAlign w:val="bottom"/>
            <w:hideMark/>
          </w:tcPr>
          <w:p w14:paraId="7CF08D89" w14:textId="3B808BE1" w:rsidR="002769F8" w:rsidRPr="000F7386" w:rsidRDefault="002769F8" w:rsidP="002769F8">
            <w:pPr>
              <w:jc w:val="center"/>
              <w:rPr>
                <w:noProof/>
              </w:rPr>
            </w:pPr>
            <w:r>
              <w:rPr>
                <w:rFonts w:ascii="Calibri" w:hAnsi="Calibri" w:cs="Calibri"/>
                <w:b/>
                <w:bCs/>
                <w:noProof/>
                <w:color w:val="000000"/>
              </w:rPr>
              <w:t>610.2</w:t>
            </w:r>
          </w:p>
        </w:tc>
        <w:tc>
          <w:tcPr>
            <w:tcW w:w="943" w:type="dxa"/>
            <w:noWrap/>
            <w:vAlign w:val="bottom"/>
            <w:hideMark/>
          </w:tcPr>
          <w:p w14:paraId="3372A9BF" w14:textId="4D831363" w:rsidR="002769F8" w:rsidRPr="000F7386" w:rsidRDefault="002769F8" w:rsidP="002769F8">
            <w:pPr>
              <w:jc w:val="center"/>
              <w:rPr>
                <w:noProof/>
              </w:rPr>
            </w:pPr>
            <w:r>
              <w:rPr>
                <w:rFonts w:ascii="Calibri" w:hAnsi="Calibri" w:cs="Calibri"/>
                <w:b/>
                <w:bCs/>
                <w:noProof/>
                <w:color w:val="000000"/>
              </w:rPr>
              <w:t>619.7</w:t>
            </w:r>
          </w:p>
        </w:tc>
        <w:tc>
          <w:tcPr>
            <w:tcW w:w="944" w:type="dxa"/>
            <w:noWrap/>
            <w:vAlign w:val="bottom"/>
            <w:hideMark/>
          </w:tcPr>
          <w:p w14:paraId="50E6CA4B" w14:textId="388B9AA0" w:rsidR="002769F8" w:rsidRPr="000F7386" w:rsidRDefault="002769F8" w:rsidP="002769F8">
            <w:pPr>
              <w:jc w:val="center"/>
              <w:rPr>
                <w:noProof/>
              </w:rPr>
            </w:pPr>
            <w:r>
              <w:rPr>
                <w:rFonts w:ascii="Calibri" w:hAnsi="Calibri" w:cs="Calibri"/>
                <w:b/>
                <w:bCs/>
                <w:noProof/>
                <w:color w:val="000000"/>
              </w:rPr>
              <w:t>620.6</w:t>
            </w:r>
          </w:p>
        </w:tc>
        <w:tc>
          <w:tcPr>
            <w:tcW w:w="944" w:type="dxa"/>
            <w:noWrap/>
            <w:vAlign w:val="bottom"/>
            <w:hideMark/>
          </w:tcPr>
          <w:p w14:paraId="48D67332" w14:textId="77777777" w:rsidR="00A505F5" w:rsidRDefault="002769F8" w:rsidP="002769F8">
            <w:pPr>
              <w:jc w:val="center"/>
              <w:rPr>
                <w:rFonts w:ascii="Calibri" w:hAnsi="Calibri" w:cs="Calibri"/>
                <w:b/>
                <w:bCs/>
                <w:noProof/>
                <w:color w:val="000000"/>
              </w:rPr>
            </w:pPr>
            <w:r>
              <w:rPr>
                <w:rFonts w:ascii="Calibri" w:hAnsi="Calibri" w:cs="Calibri"/>
                <w:b/>
                <w:bCs/>
                <w:noProof/>
                <w:color w:val="000000"/>
              </w:rPr>
              <w:t>4 266.1</w:t>
            </w:r>
          </w:p>
          <w:p w14:paraId="40EB8B25" w14:textId="5EB7C7E9" w:rsidR="002769F8" w:rsidRPr="000F7386" w:rsidRDefault="002769F8" w:rsidP="002769F8">
            <w:pPr>
              <w:jc w:val="center"/>
              <w:rPr>
                <w:noProof/>
              </w:rPr>
            </w:pPr>
          </w:p>
        </w:tc>
      </w:tr>
    </w:tbl>
    <w:p w14:paraId="3CCF8CCC" w14:textId="77777777" w:rsidR="00FE47FC" w:rsidRPr="000F7386" w:rsidRDefault="00FE47FC" w:rsidP="00FE47FC">
      <w:pPr>
        <w:tabs>
          <w:tab w:val="left" w:pos="6793"/>
        </w:tabs>
        <w:rPr>
          <w:noProof/>
          <w:sz w:val="18"/>
          <w:szCs w:val="18"/>
        </w:rPr>
      </w:pPr>
      <w:r w:rsidRPr="55AE9AFD">
        <w:rPr>
          <w:noProof/>
          <w:sz w:val="18"/>
          <w:szCs w:val="18"/>
        </w:rPr>
        <w:t>(*) Only Article</w:t>
      </w:r>
      <w:r w:rsidRPr="55AE9AFD">
        <w:rPr>
          <w:rFonts w:ascii="Calibri" w:hAnsi="Calibri" w:cs="Calibri"/>
          <w:noProof/>
          <w:sz w:val="18"/>
          <w:szCs w:val="18"/>
        </w:rPr>
        <w:t> </w:t>
      </w:r>
      <w:r w:rsidRPr="55AE9AFD">
        <w:rPr>
          <w:noProof/>
          <w:sz w:val="18"/>
          <w:szCs w:val="18"/>
        </w:rPr>
        <w:t>15(3) of the financial regulation.</w:t>
      </w:r>
    </w:p>
    <w:p w14:paraId="015949E7" w14:textId="1AB617F8" w:rsidR="00FE47FC" w:rsidRPr="000F7386" w:rsidRDefault="00FE47FC" w:rsidP="00FE47FC">
      <w:pPr>
        <w:pStyle w:val="ppoTableTabletitle"/>
        <w:jc w:val="center"/>
        <w:rPr>
          <w:noProof/>
        </w:rPr>
      </w:pPr>
      <w:r w:rsidRPr="55AE9AFD">
        <w:rPr>
          <w:noProof/>
          <w:color w:val="000000"/>
          <w:lang w:val="en-IE"/>
        </w:rPr>
        <w:t>Financial programming</w:t>
      </w:r>
      <w:r w:rsidR="004C4764">
        <w:rPr>
          <w:noProof/>
          <w:color w:val="000000"/>
          <w:lang w:val="en-IE"/>
        </w:rPr>
        <w:t>:</w:t>
      </w:r>
      <w:r w:rsidRPr="55AE9AFD">
        <w:rPr>
          <w:noProof/>
          <w:color w:val="000000"/>
          <w:lang w:val="en-IE"/>
        </w:rPr>
        <w:t xml:space="preserve"> </w:t>
      </w:r>
      <w:r w:rsidRPr="55AE9AFD">
        <w:rPr>
          <w:rStyle w:val="ppocharOrangetext24pt"/>
          <w:noProof/>
        </w:rPr>
        <w:t>+</w:t>
      </w:r>
      <w:r w:rsidRPr="55AE9AFD">
        <w:rPr>
          <w:rStyle w:val="ppocharOrangetext24pt"/>
          <w:rFonts w:ascii="Calibri" w:hAnsi="Calibri" w:cs="Calibri"/>
          <w:noProof/>
        </w:rPr>
        <w:t> </w:t>
      </w:r>
      <w:r w:rsidRPr="55AE9AFD">
        <w:rPr>
          <w:rStyle w:val="ppocharOrangetext24pt"/>
          <w:noProof/>
        </w:rPr>
        <w:t>EUR</w:t>
      </w:r>
      <w:r w:rsidRPr="55AE9AFD">
        <w:rPr>
          <w:rStyle w:val="ppocharOrangetext24pt"/>
          <w:rFonts w:ascii="Calibri" w:hAnsi="Calibri" w:cs="Calibri"/>
          <w:noProof/>
        </w:rPr>
        <w:t> </w:t>
      </w:r>
      <w:r w:rsidR="002769F8" w:rsidRPr="002769F8">
        <w:rPr>
          <w:rStyle w:val="ppocharOrangetext24pt"/>
          <w:noProof/>
        </w:rPr>
        <w:t>33.4</w:t>
      </w:r>
      <w:r w:rsidRPr="55AE9AFD">
        <w:rPr>
          <w:rStyle w:val="ppocharOrangetext24pt"/>
          <w:noProof/>
        </w:rPr>
        <w:t>million (+</w:t>
      </w:r>
      <w:r w:rsidRPr="55AE9AFD">
        <w:rPr>
          <w:rStyle w:val="ppocharOrangetext24pt"/>
          <w:rFonts w:ascii="Calibri" w:hAnsi="Calibri" w:cs="Calibri"/>
          <w:noProof/>
        </w:rPr>
        <w:t> </w:t>
      </w:r>
      <w:r w:rsidRPr="55AE9AFD">
        <w:rPr>
          <w:rStyle w:val="ppocharOrangetext24pt"/>
          <w:noProof/>
        </w:rPr>
        <w:t xml:space="preserve">1%) </w:t>
      </w:r>
      <w:r>
        <w:rPr>
          <w:noProof/>
        </w:rPr>
        <w:t>compared to the legal basis.</w:t>
      </w:r>
    </w:p>
    <w:p w14:paraId="5974C396" w14:textId="77777777" w:rsidR="00FE47FC" w:rsidRPr="000F7386" w:rsidRDefault="00FE47FC" w:rsidP="00FE47FC">
      <w:pPr>
        <w:pStyle w:val="ppoTableTabletitle"/>
        <w:rPr>
          <w:b/>
          <w:noProof/>
        </w:rPr>
      </w:pPr>
      <w:r w:rsidRPr="000F7386">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FE47FC" w:rsidRPr="000F7386" w14:paraId="443D5BE8" w14:textId="77777777" w:rsidTr="00BB20EB">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6F8032D3" w14:textId="77777777" w:rsidR="00FE47FC" w:rsidRPr="000F7386" w:rsidRDefault="00FE47FC" w:rsidP="00BB20EB">
            <w:pPr>
              <w:rPr>
                <w:noProof/>
              </w:rPr>
            </w:pPr>
          </w:p>
        </w:tc>
        <w:tc>
          <w:tcPr>
            <w:tcW w:w="2410" w:type="dxa"/>
          </w:tcPr>
          <w:p w14:paraId="242AAC16" w14:textId="77777777" w:rsidR="00FE47FC" w:rsidRPr="000F7386" w:rsidRDefault="00FE47FC" w:rsidP="00BB20EB">
            <w:pPr>
              <w:cnfStyle w:val="100000000000" w:firstRow="1" w:lastRow="0" w:firstColumn="0" w:lastColumn="0" w:oddVBand="0" w:evenVBand="0" w:oddHBand="0" w:evenHBand="0" w:firstRowFirstColumn="0" w:firstRowLastColumn="0" w:lastRowFirstColumn="0" w:lastRowLastColumn="0"/>
              <w:rPr>
                <w:noProof/>
              </w:rPr>
            </w:pPr>
            <w:r w:rsidRPr="000F7386">
              <w:rPr>
                <w:noProof/>
              </w:rPr>
              <w:t>Implementation</w:t>
            </w:r>
          </w:p>
        </w:tc>
        <w:tc>
          <w:tcPr>
            <w:tcW w:w="2410" w:type="dxa"/>
          </w:tcPr>
          <w:p w14:paraId="14187CF8" w14:textId="65E6F230" w:rsidR="00FE47FC" w:rsidRPr="000F7386" w:rsidRDefault="001F4CBC" w:rsidP="00BB20EB">
            <w:pPr>
              <w:cnfStyle w:val="100000000000" w:firstRow="1" w:lastRow="0" w:firstColumn="0" w:lastColumn="0" w:oddVBand="0" w:evenVBand="0" w:oddHBand="0" w:evenHBand="0" w:firstRowFirstColumn="0" w:firstRowLastColumn="0" w:lastRowFirstColumn="0" w:lastRowLastColumn="0"/>
              <w:rPr>
                <w:noProof/>
              </w:rPr>
            </w:pPr>
            <w:r>
              <w:rPr>
                <w:noProof/>
              </w:rPr>
              <w:t xml:space="preserve">2021-2027 </w:t>
            </w:r>
            <w:r w:rsidRPr="00885241">
              <w:rPr>
                <w:noProof/>
              </w:rPr>
              <w:t>Budget</w:t>
            </w:r>
          </w:p>
        </w:tc>
        <w:tc>
          <w:tcPr>
            <w:tcW w:w="2410" w:type="dxa"/>
          </w:tcPr>
          <w:p w14:paraId="0A7EF9AF" w14:textId="77777777" w:rsidR="00FE47FC" w:rsidRPr="000F7386" w:rsidRDefault="00FE47FC" w:rsidP="00BB20EB">
            <w:pPr>
              <w:cnfStyle w:val="100000000000" w:firstRow="1" w:lastRow="0" w:firstColumn="0" w:lastColumn="0" w:oddVBand="0" w:evenVBand="0" w:oddHBand="0" w:evenHBand="0" w:firstRowFirstColumn="0" w:firstRowLastColumn="0" w:lastRowFirstColumn="0" w:lastRowLastColumn="0"/>
              <w:rPr>
                <w:noProof/>
              </w:rPr>
            </w:pPr>
            <w:r w:rsidRPr="000F7386">
              <w:rPr>
                <w:noProof/>
              </w:rPr>
              <w:t>Implementation rate</w:t>
            </w:r>
          </w:p>
        </w:tc>
      </w:tr>
      <w:tr w:rsidR="00FE47FC" w:rsidRPr="000F7386" w14:paraId="0665C40A" w14:textId="77777777" w:rsidTr="00BB20EB">
        <w:tc>
          <w:tcPr>
            <w:cnfStyle w:val="001000000000" w:firstRow="0" w:lastRow="0" w:firstColumn="1" w:lastColumn="0" w:oddVBand="0" w:evenVBand="0" w:oddHBand="0" w:evenHBand="0" w:firstRowFirstColumn="0" w:firstRowLastColumn="0" w:lastRowFirstColumn="0" w:lastRowLastColumn="0"/>
            <w:tcW w:w="2409" w:type="dxa"/>
          </w:tcPr>
          <w:p w14:paraId="00FBA901" w14:textId="77777777" w:rsidR="00FE47FC" w:rsidRPr="000F7386" w:rsidRDefault="00FE47FC" w:rsidP="00BB20EB">
            <w:pPr>
              <w:jc w:val="center"/>
              <w:rPr>
                <w:noProof/>
              </w:rPr>
            </w:pPr>
            <w:r w:rsidRPr="000F7386">
              <w:rPr>
                <w:noProof/>
              </w:rPr>
              <w:t>Commitments</w:t>
            </w:r>
          </w:p>
        </w:tc>
        <w:tc>
          <w:tcPr>
            <w:tcW w:w="2410" w:type="dxa"/>
          </w:tcPr>
          <w:tbl>
            <w:tblPr>
              <w:tblStyle w:val="TableGrid"/>
              <w:tblW w:w="0" w:type="auto"/>
              <w:tblLook w:val="06A0" w:firstRow="1" w:lastRow="0" w:firstColumn="1" w:lastColumn="0" w:noHBand="1" w:noVBand="1"/>
            </w:tblPr>
            <w:tblGrid>
              <w:gridCol w:w="2194"/>
            </w:tblGrid>
            <w:tr w:rsidR="00FE47FC" w:rsidRPr="000F7386" w14:paraId="7E3F9D3A" w14:textId="77777777" w:rsidTr="00BB20EB">
              <w:trPr>
                <w:trHeight w:val="285"/>
              </w:trPr>
              <w:tc>
                <w:tcPr>
                  <w:tcW w:w="2290" w:type="dxa"/>
                  <w:tcBorders>
                    <w:top w:val="nil"/>
                    <w:left w:val="nil"/>
                    <w:bottom w:val="nil"/>
                    <w:right w:val="nil"/>
                  </w:tcBorders>
                  <w:vAlign w:val="bottom"/>
                </w:tcPr>
                <w:p w14:paraId="518F370C" w14:textId="77777777" w:rsidR="00FE47FC" w:rsidRPr="000F7386" w:rsidRDefault="00FE47FC" w:rsidP="00BB20EB">
                  <w:pPr>
                    <w:jc w:val="right"/>
                    <w:rPr>
                      <w:noProof/>
                    </w:rPr>
                  </w:pPr>
                  <w:r w:rsidRPr="000F7386">
                    <w:rPr>
                      <w:rFonts w:ascii="Calibri" w:hAnsi="Calibri" w:cs="Calibri"/>
                      <w:noProof/>
                      <w:color w:val="000000"/>
                    </w:rPr>
                    <w:t>596.0</w:t>
                  </w:r>
                </w:p>
              </w:tc>
            </w:tr>
          </w:tbl>
          <w:p w14:paraId="697FA584" w14:textId="77777777" w:rsidR="00FE47FC" w:rsidRPr="000F7386" w:rsidRDefault="00FE47FC"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FE47FC" w:rsidRPr="000F7386" w14:paraId="7DB2A7DC" w14:textId="77777777" w:rsidTr="00BB20EB">
              <w:trPr>
                <w:trHeight w:val="285"/>
              </w:trPr>
              <w:tc>
                <w:tcPr>
                  <w:tcW w:w="2290" w:type="dxa"/>
                  <w:tcBorders>
                    <w:top w:val="nil"/>
                    <w:left w:val="nil"/>
                    <w:bottom w:val="nil"/>
                    <w:right w:val="nil"/>
                  </w:tcBorders>
                  <w:vAlign w:val="bottom"/>
                </w:tcPr>
                <w:p w14:paraId="42E6F5F3" w14:textId="77777777" w:rsidR="00A505F5" w:rsidRDefault="00A505F5" w:rsidP="00A505F5">
                  <w:pPr>
                    <w:jc w:val="center"/>
                    <w:rPr>
                      <w:rFonts w:ascii="Calibri" w:hAnsi="Calibri" w:cs="Calibri"/>
                      <w:b/>
                      <w:bCs/>
                      <w:noProof/>
                      <w:color w:val="000000"/>
                    </w:rPr>
                  </w:pPr>
                  <w:r>
                    <w:rPr>
                      <w:rFonts w:ascii="Calibri" w:hAnsi="Calibri" w:cs="Calibri"/>
                      <w:b/>
                      <w:bCs/>
                      <w:noProof/>
                      <w:color w:val="000000"/>
                      <w:sz w:val="22"/>
                      <w:szCs w:val="22"/>
                    </w:rPr>
                    <w:t>4 266.1</w:t>
                  </w:r>
                </w:p>
                <w:p w14:paraId="60FDA513" w14:textId="56C236B2" w:rsidR="00FE47FC" w:rsidRPr="000F7386" w:rsidRDefault="00FE47FC" w:rsidP="00BB20EB">
                  <w:pPr>
                    <w:jc w:val="right"/>
                    <w:rPr>
                      <w:noProof/>
                    </w:rPr>
                  </w:pPr>
                </w:p>
              </w:tc>
            </w:tr>
          </w:tbl>
          <w:p w14:paraId="49DE9A95" w14:textId="77777777" w:rsidR="00FE47FC" w:rsidRPr="000F7386" w:rsidRDefault="00FE47FC"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FE47FC" w:rsidRPr="000F7386" w14:paraId="6D98F955" w14:textId="77777777" w:rsidTr="00BB20EB">
              <w:trPr>
                <w:trHeight w:val="285"/>
              </w:trPr>
              <w:tc>
                <w:tcPr>
                  <w:tcW w:w="2290" w:type="dxa"/>
                  <w:tcBorders>
                    <w:top w:val="nil"/>
                    <w:left w:val="nil"/>
                    <w:bottom w:val="nil"/>
                    <w:right w:val="nil"/>
                  </w:tcBorders>
                  <w:vAlign w:val="bottom"/>
                </w:tcPr>
                <w:p w14:paraId="7BDD231D" w14:textId="77777777" w:rsidR="00FE47FC" w:rsidRPr="000F7386" w:rsidRDefault="00FE47FC" w:rsidP="00BB20EB">
                  <w:pPr>
                    <w:jc w:val="right"/>
                    <w:rPr>
                      <w:noProof/>
                    </w:rPr>
                  </w:pPr>
                  <w:r w:rsidRPr="000F7386">
                    <w:rPr>
                      <w:rFonts w:ascii="Calibri" w:hAnsi="Calibri" w:cs="Calibri"/>
                      <w:noProof/>
                      <w:color w:val="000000"/>
                    </w:rPr>
                    <w:t>14%</w:t>
                  </w:r>
                </w:p>
              </w:tc>
            </w:tr>
          </w:tbl>
          <w:p w14:paraId="20A21E01" w14:textId="77777777" w:rsidR="00FE47FC" w:rsidRPr="000F7386" w:rsidRDefault="00FE47FC" w:rsidP="00BB20EB">
            <w:pPr>
              <w:jc w:val="center"/>
              <w:cnfStyle w:val="000000000000" w:firstRow="0" w:lastRow="0" w:firstColumn="0" w:lastColumn="0" w:oddVBand="0" w:evenVBand="0" w:oddHBand="0" w:evenHBand="0" w:firstRowFirstColumn="0" w:firstRowLastColumn="0" w:lastRowFirstColumn="0" w:lastRowLastColumn="0"/>
              <w:rPr>
                <w:noProof/>
              </w:rPr>
            </w:pPr>
          </w:p>
        </w:tc>
      </w:tr>
      <w:tr w:rsidR="00FE47FC" w:rsidRPr="000F7386" w14:paraId="0E466348" w14:textId="77777777" w:rsidTr="00BB20EB">
        <w:tc>
          <w:tcPr>
            <w:cnfStyle w:val="001000000000" w:firstRow="0" w:lastRow="0" w:firstColumn="1" w:lastColumn="0" w:oddVBand="0" w:evenVBand="0" w:oddHBand="0" w:evenHBand="0" w:firstRowFirstColumn="0" w:firstRowLastColumn="0" w:lastRowFirstColumn="0" w:lastRowLastColumn="0"/>
            <w:tcW w:w="2409" w:type="dxa"/>
          </w:tcPr>
          <w:p w14:paraId="091E658A" w14:textId="77777777" w:rsidR="00FE47FC" w:rsidRPr="000F7386" w:rsidRDefault="00FE47FC" w:rsidP="00BB20EB">
            <w:pPr>
              <w:jc w:val="center"/>
              <w:rPr>
                <w:noProof/>
              </w:rPr>
            </w:pPr>
            <w:r w:rsidRPr="000F7386">
              <w:rPr>
                <w:noProof/>
              </w:rPr>
              <w:t>Payments</w:t>
            </w:r>
          </w:p>
        </w:tc>
        <w:tc>
          <w:tcPr>
            <w:tcW w:w="2410" w:type="dxa"/>
          </w:tcPr>
          <w:tbl>
            <w:tblPr>
              <w:tblStyle w:val="TableGrid"/>
              <w:tblW w:w="0" w:type="auto"/>
              <w:tblLook w:val="06A0" w:firstRow="1" w:lastRow="0" w:firstColumn="1" w:lastColumn="0" w:noHBand="1" w:noVBand="1"/>
            </w:tblPr>
            <w:tblGrid>
              <w:gridCol w:w="2194"/>
            </w:tblGrid>
            <w:tr w:rsidR="00FE47FC" w:rsidRPr="000F7386" w14:paraId="5EF07E27" w14:textId="77777777" w:rsidTr="00BB20EB">
              <w:trPr>
                <w:trHeight w:val="285"/>
              </w:trPr>
              <w:tc>
                <w:tcPr>
                  <w:tcW w:w="2290" w:type="dxa"/>
                  <w:tcBorders>
                    <w:top w:val="nil"/>
                    <w:left w:val="nil"/>
                    <w:bottom w:val="nil"/>
                    <w:right w:val="nil"/>
                  </w:tcBorders>
                  <w:vAlign w:val="bottom"/>
                </w:tcPr>
                <w:p w14:paraId="6E2A118F" w14:textId="77777777" w:rsidR="00FE47FC" w:rsidRPr="000F7386" w:rsidRDefault="00FE47FC" w:rsidP="00BB20EB">
                  <w:pPr>
                    <w:jc w:val="right"/>
                    <w:rPr>
                      <w:noProof/>
                    </w:rPr>
                  </w:pPr>
                  <w:r w:rsidRPr="000F7386">
                    <w:rPr>
                      <w:rFonts w:ascii="Calibri" w:hAnsi="Calibri" w:cs="Calibri"/>
                      <w:noProof/>
                      <w:color w:val="000000"/>
                    </w:rPr>
                    <w:t>86.0</w:t>
                  </w:r>
                </w:p>
              </w:tc>
            </w:tr>
          </w:tbl>
          <w:p w14:paraId="4B248AE3" w14:textId="77777777" w:rsidR="00FE47FC" w:rsidRPr="000F7386" w:rsidRDefault="00FE47FC"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53F115CF" w14:textId="77777777" w:rsidR="00FE47FC" w:rsidRPr="000F7386" w:rsidRDefault="00FE47FC"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FE47FC" w:rsidRPr="000F7386" w14:paraId="0C6A16BD" w14:textId="77777777" w:rsidTr="00BB20EB">
              <w:trPr>
                <w:trHeight w:val="285"/>
              </w:trPr>
              <w:tc>
                <w:tcPr>
                  <w:tcW w:w="2235" w:type="dxa"/>
                  <w:tcBorders>
                    <w:top w:val="nil"/>
                    <w:left w:val="nil"/>
                    <w:bottom w:val="nil"/>
                    <w:right w:val="nil"/>
                  </w:tcBorders>
                  <w:vAlign w:val="bottom"/>
                </w:tcPr>
                <w:p w14:paraId="62DE7CE4" w14:textId="77777777" w:rsidR="00FE47FC" w:rsidRPr="000F7386" w:rsidRDefault="00FE47FC" w:rsidP="00BB20EB">
                  <w:pPr>
                    <w:jc w:val="right"/>
                    <w:rPr>
                      <w:noProof/>
                    </w:rPr>
                  </w:pPr>
                  <w:r w:rsidRPr="000F7386">
                    <w:rPr>
                      <w:rFonts w:ascii="Calibri" w:hAnsi="Calibri" w:cs="Calibri"/>
                      <w:noProof/>
                      <w:color w:val="000000"/>
                    </w:rPr>
                    <w:t>2%</w:t>
                  </w:r>
                </w:p>
              </w:tc>
            </w:tr>
          </w:tbl>
          <w:p w14:paraId="5CF71751" w14:textId="77777777" w:rsidR="00FE47FC" w:rsidRPr="000F7386" w:rsidRDefault="00FE47FC" w:rsidP="00BB20EB">
            <w:pPr>
              <w:jc w:val="center"/>
              <w:cnfStyle w:val="000000000000" w:firstRow="0" w:lastRow="0" w:firstColumn="0" w:lastColumn="0" w:oddVBand="0" w:evenVBand="0" w:oddHBand="0" w:evenHBand="0" w:firstRowFirstColumn="0" w:firstRowLastColumn="0" w:lastRowFirstColumn="0" w:lastRowLastColumn="0"/>
              <w:rPr>
                <w:noProof/>
              </w:rPr>
            </w:pPr>
          </w:p>
        </w:tc>
      </w:tr>
    </w:tbl>
    <w:p w14:paraId="3D5B875D" w14:textId="77777777" w:rsidR="00FE47FC" w:rsidRPr="000F7386" w:rsidRDefault="00FE47FC" w:rsidP="00FE47FC">
      <w:pPr>
        <w:pStyle w:val="ppoTableTabletitle"/>
        <w:rPr>
          <w:b/>
          <w:noProof/>
        </w:rPr>
      </w:pPr>
      <w:r w:rsidRPr="000F7386">
        <w:rPr>
          <w:noProof/>
        </w:rPr>
        <w:t>Voted budget implementation in 2021 (million EUR):</w:t>
      </w:r>
    </w:p>
    <w:tbl>
      <w:tblPr>
        <w:tblStyle w:val="PPO2021"/>
        <w:tblW w:w="3683" w:type="pct"/>
        <w:tblInd w:w="79" w:type="dxa"/>
        <w:tblLook w:val="04A0" w:firstRow="1" w:lastRow="0" w:firstColumn="1" w:lastColumn="0" w:noHBand="0" w:noVBand="1"/>
      </w:tblPr>
      <w:tblGrid>
        <w:gridCol w:w="2419"/>
        <w:gridCol w:w="2419"/>
        <w:gridCol w:w="2420"/>
      </w:tblGrid>
      <w:tr w:rsidR="00FE47FC" w:rsidRPr="000F7386" w14:paraId="1240E714" w14:textId="77777777" w:rsidTr="00BB20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7B64DC30" w14:textId="77777777" w:rsidR="00FE47FC" w:rsidRPr="000F7386" w:rsidRDefault="00FE47FC" w:rsidP="00BB20EB">
            <w:pPr>
              <w:rPr>
                <w:noProof/>
              </w:rPr>
            </w:pPr>
          </w:p>
        </w:tc>
        <w:tc>
          <w:tcPr>
            <w:tcW w:w="2419" w:type="dxa"/>
          </w:tcPr>
          <w:p w14:paraId="676022BC" w14:textId="77777777" w:rsidR="00FE47FC" w:rsidRPr="000F7386" w:rsidRDefault="00FE47FC" w:rsidP="00BB20EB">
            <w:pPr>
              <w:cnfStyle w:val="100000000000" w:firstRow="1" w:lastRow="0" w:firstColumn="0" w:lastColumn="0" w:oddVBand="0" w:evenVBand="0" w:oddHBand="0" w:evenHBand="0" w:firstRowFirstColumn="0" w:firstRowLastColumn="0" w:lastRowFirstColumn="0" w:lastRowLastColumn="0"/>
              <w:rPr>
                <w:noProof/>
              </w:rPr>
            </w:pPr>
            <w:r w:rsidRPr="000F7386">
              <w:rPr>
                <w:noProof/>
              </w:rPr>
              <w:t>Voted budget implementation</w:t>
            </w:r>
          </w:p>
        </w:tc>
        <w:tc>
          <w:tcPr>
            <w:tcW w:w="2420" w:type="dxa"/>
          </w:tcPr>
          <w:p w14:paraId="6E216587" w14:textId="77777777" w:rsidR="00FE47FC" w:rsidRPr="000F7386" w:rsidRDefault="00FE47FC" w:rsidP="00BB20EB">
            <w:pPr>
              <w:cnfStyle w:val="100000000000" w:firstRow="1" w:lastRow="0" w:firstColumn="0" w:lastColumn="0" w:oddVBand="0" w:evenVBand="0" w:oddHBand="0" w:evenHBand="0" w:firstRowFirstColumn="0" w:firstRowLastColumn="0" w:lastRowFirstColumn="0" w:lastRowLastColumn="0"/>
              <w:rPr>
                <w:noProof/>
              </w:rPr>
            </w:pPr>
            <w:r w:rsidRPr="000F7386">
              <w:rPr>
                <w:noProof/>
              </w:rPr>
              <w:t>Initial voted budget</w:t>
            </w:r>
          </w:p>
        </w:tc>
      </w:tr>
      <w:tr w:rsidR="00FE47FC" w:rsidRPr="000F7386" w14:paraId="73011B13" w14:textId="77777777" w:rsidTr="00BB2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5EEDA7A1" w14:textId="77777777" w:rsidR="00FE47FC" w:rsidRPr="000F7386" w:rsidRDefault="00FE47FC" w:rsidP="00BB20EB">
            <w:pPr>
              <w:jc w:val="center"/>
              <w:rPr>
                <w:noProof/>
              </w:rPr>
            </w:pPr>
            <w:r w:rsidRPr="000F7386">
              <w:rPr>
                <w:noProof/>
              </w:rPr>
              <w:t>Commitments</w:t>
            </w:r>
          </w:p>
        </w:tc>
        <w:tc>
          <w:tcPr>
            <w:tcW w:w="2419" w:type="dxa"/>
          </w:tcPr>
          <w:p w14:paraId="5E44C29F" w14:textId="77777777" w:rsidR="00FE47FC" w:rsidRPr="000F7386" w:rsidRDefault="00FE47FC" w:rsidP="00BB20EB">
            <w:pPr>
              <w:jc w:val="center"/>
              <w:cnfStyle w:val="000000100000" w:firstRow="0" w:lastRow="0" w:firstColumn="0" w:lastColumn="0" w:oddVBand="0" w:evenVBand="0" w:oddHBand="1" w:evenHBand="0" w:firstRowFirstColumn="0" w:firstRowLastColumn="0" w:lastRowFirstColumn="0" w:lastRowLastColumn="0"/>
              <w:rPr>
                <w:noProof/>
              </w:rPr>
            </w:pPr>
            <w:r w:rsidRPr="000F7386">
              <w:rPr>
                <w:noProof/>
              </w:rPr>
              <w:t>582.5</w:t>
            </w:r>
          </w:p>
        </w:tc>
        <w:tc>
          <w:tcPr>
            <w:tcW w:w="2420" w:type="dxa"/>
          </w:tcPr>
          <w:p w14:paraId="0EEB46A0" w14:textId="77777777" w:rsidR="00FE47FC" w:rsidRPr="000F7386" w:rsidRDefault="00FE47FC" w:rsidP="00BB20EB">
            <w:pPr>
              <w:jc w:val="center"/>
              <w:cnfStyle w:val="000000100000" w:firstRow="0" w:lastRow="0" w:firstColumn="0" w:lastColumn="0" w:oddVBand="0" w:evenVBand="0" w:oddHBand="1" w:evenHBand="0" w:firstRowFirstColumn="0" w:firstRowLastColumn="0" w:lastRowFirstColumn="0" w:lastRowLastColumn="0"/>
              <w:rPr>
                <w:noProof/>
              </w:rPr>
            </w:pPr>
            <w:r w:rsidRPr="000F7386">
              <w:rPr>
                <w:noProof/>
              </w:rPr>
              <w:t>575.0</w:t>
            </w:r>
          </w:p>
        </w:tc>
      </w:tr>
      <w:tr w:rsidR="00FE47FC" w:rsidRPr="000F7386" w14:paraId="667753BB" w14:textId="77777777" w:rsidTr="00BB20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0C789587" w14:textId="77777777" w:rsidR="00FE47FC" w:rsidRPr="000F7386" w:rsidRDefault="00FE47FC" w:rsidP="00BB20EB">
            <w:pPr>
              <w:jc w:val="center"/>
              <w:rPr>
                <w:noProof/>
              </w:rPr>
            </w:pPr>
            <w:r w:rsidRPr="000F7386">
              <w:rPr>
                <w:noProof/>
              </w:rPr>
              <w:t>Payments</w:t>
            </w:r>
          </w:p>
        </w:tc>
        <w:tc>
          <w:tcPr>
            <w:tcW w:w="2419" w:type="dxa"/>
          </w:tcPr>
          <w:p w14:paraId="090D05A2" w14:textId="77777777" w:rsidR="00FE47FC" w:rsidRPr="000F7386" w:rsidRDefault="00FE47FC" w:rsidP="00BB20EB">
            <w:pPr>
              <w:jc w:val="center"/>
              <w:cnfStyle w:val="000000010000" w:firstRow="0" w:lastRow="0" w:firstColumn="0" w:lastColumn="0" w:oddVBand="0" w:evenVBand="0" w:oddHBand="0" w:evenHBand="1" w:firstRowFirstColumn="0" w:firstRowLastColumn="0" w:lastRowFirstColumn="0" w:lastRowLastColumn="0"/>
              <w:rPr>
                <w:noProof/>
              </w:rPr>
            </w:pPr>
            <w:r w:rsidRPr="000F7386">
              <w:rPr>
                <w:noProof/>
              </w:rPr>
              <w:t>83.8</w:t>
            </w:r>
          </w:p>
        </w:tc>
        <w:tc>
          <w:tcPr>
            <w:tcW w:w="2420" w:type="dxa"/>
          </w:tcPr>
          <w:p w14:paraId="539DC40F" w14:textId="77777777" w:rsidR="00FE47FC" w:rsidRPr="000F7386" w:rsidRDefault="00FE47FC" w:rsidP="00BB20EB">
            <w:pPr>
              <w:jc w:val="center"/>
              <w:cnfStyle w:val="000000010000" w:firstRow="0" w:lastRow="0" w:firstColumn="0" w:lastColumn="0" w:oddVBand="0" w:evenVBand="0" w:oddHBand="0" w:evenHBand="1" w:firstRowFirstColumn="0" w:firstRowLastColumn="0" w:lastRowFirstColumn="0" w:lastRowLastColumn="0"/>
              <w:rPr>
                <w:noProof/>
              </w:rPr>
            </w:pPr>
            <w:r w:rsidRPr="000F7386">
              <w:rPr>
                <w:noProof/>
              </w:rPr>
              <w:t>131.6</w:t>
            </w:r>
          </w:p>
        </w:tc>
      </w:tr>
    </w:tbl>
    <w:p w14:paraId="0AD41670" w14:textId="77777777" w:rsidR="00FE47FC" w:rsidRPr="000F7386" w:rsidRDefault="00FE47FC" w:rsidP="00FE47FC">
      <w:pPr>
        <w:pStyle w:val="ppoListHyphened-L1"/>
        <w:rPr>
          <w:noProof/>
        </w:rPr>
      </w:pPr>
      <w:r w:rsidRPr="000F7386">
        <w:rPr>
          <w:rStyle w:val="normaltextrun"/>
          <w:noProof/>
          <w:sz w:val="20"/>
          <w:szCs w:val="20"/>
        </w:rPr>
        <w:t>The legal basis of the single market programme was adopted by the European Parliament and the Council in April 2021. The work programme for the full single market programme and the 2021 financing decision were adopted in May 2021. The 2022 work programme was adopted in February 2022.</w:t>
      </w:r>
    </w:p>
    <w:p w14:paraId="056D7094" w14:textId="5E539A59" w:rsidR="00FE47FC" w:rsidRPr="000F7386" w:rsidRDefault="00FE47FC" w:rsidP="00FE47FC">
      <w:pPr>
        <w:pStyle w:val="ppoListHyphened-L1"/>
        <w:rPr>
          <w:rStyle w:val="normaltextrun"/>
          <w:noProof/>
          <w:sz w:val="20"/>
          <w:szCs w:val="20"/>
        </w:rPr>
      </w:pPr>
      <w:r w:rsidRPr="000F7386">
        <w:rPr>
          <w:rStyle w:val="normaltextrun"/>
          <w:noProof/>
          <w:sz w:val="20"/>
          <w:szCs w:val="20"/>
        </w:rPr>
        <w:t xml:space="preserve">In 2021, the </w:t>
      </w:r>
      <w:r w:rsidRPr="00604528">
        <w:rPr>
          <w:rStyle w:val="normaltextrun"/>
          <w:bCs/>
          <w:noProof/>
          <w:sz w:val="20"/>
          <w:szCs w:val="20"/>
        </w:rPr>
        <w:t>SME</w:t>
      </w:r>
      <w:r w:rsidRPr="000F7386">
        <w:rPr>
          <w:rStyle w:val="normaltextrun"/>
          <w:bCs/>
          <w:noProof/>
          <w:sz w:val="20"/>
          <w:szCs w:val="20"/>
        </w:rPr>
        <w:t>s</w:t>
      </w:r>
      <w:r w:rsidRPr="000F7386">
        <w:rPr>
          <w:rStyle w:val="normaltextrun"/>
          <w:noProof/>
          <w:sz w:val="20"/>
          <w:szCs w:val="20"/>
        </w:rPr>
        <w:t xml:space="preserve"> objective had a voted budget of EUR</w:t>
      </w:r>
      <w:r w:rsidRPr="000F7386">
        <w:rPr>
          <w:rStyle w:val="normaltextrun"/>
          <w:rFonts w:ascii="Calibri" w:hAnsi="Calibri" w:cs="Calibri"/>
          <w:noProof/>
          <w:sz w:val="20"/>
          <w:szCs w:val="20"/>
        </w:rPr>
        <w:t> </w:t>
      </w:r>
      <w:r w:rsidRPr="000F7386">
        <w:rPr>
          <w:rStyle w:val="normaltextrun"/>
          <w:noProof/>
          <w:sz w:val="20"/>
          <w:szCs w:val="20"/>
        </w:rPr>
        <w:t>117</w:t>
      </w:r>
      <w:r w:rsidRPr="000F7386">
        <w:rPr>
          <w:rStyle w:val="normaltextrun"/>
          <w:rFonts w:ascii="Calibri" w:hAnsi="Calibri" w:cs="Calibri"/>
          <w:noProof/>
          <w:sz w:val="20"/>
          <w:szCs w:val="20"/>
        </w:rPr>
        <w:t> </w:t>
      </w:r>
      <w:r w:rsidRPr="000F7386">
        <w:rPr>
          <w:rStyle w:val="normaltextrun"/>
          <w:noProof/>
          <w:sz w:val="20"/>
          <w:szCs w:val="20"/>
        </w:rPr>
        <w:t>443</w:t>
      </w:r>
      <w:r w:rsidRPr="000F7386">
        <w:rPr>
          <w:rStyle w:val="normaltextrun"/>
          <w:rFonts w:ascii="Calibri" w:hAnsi="Calibri" w:cs="Calibri"/>
          <w:noProof/>
          <w:sz w:val="20"/>
          <w:szCs w:val="20"/>
        </w:rPr>
        <w:t> </w:t>
      </w:r>
      <w:r w:rsidRPr="000F7386">
        <w:rPr>
          <w:rStyle w:val="normaltextrun"/>
          <w:noProof/>
          <w:sz w:val="20"/>
          <w:szCs w:val="20"/>
        </w:rPr>
        <w:t xml:space="preserve">450. This budget was fully committed, and two multiannual calls were launched, for the Enterprise Europe Network in May and the Joint Cluster Initiative in September. The December cut-off </w:t>
      </w:r>
      <w:r w:rsidR="00B65DF8">
        <w:rPr>
          <w:rStyle w:val="normaltextrun"/>
          <w:noProof/>
          <w:sz w:val="20"/>
          <w:szCs w:val="20"/>
        </w:rPr>
        <w:t xml:space="preserve">for the Enterprise Europe Network </w:t>
      </w:r>
      <w:r w:rsidRPr="000F7386">
        <w:rPr>
          <w:rStyle w:val="normaltextrun"/>
          <w:noProof/>
          <w:sz w:val="20"/>
          <w:szCs w:val="20"/>
        </w:rPr>
        <w:t>concluded with 32 proposals intended to cover those EU Member States where coverage was not achieved at the first cut-off date for this call. The evaluations of these proposals are ongoing. Other calls, such as the social economy and local green deals call, were published in the autumn or planned for January/February 2022. The tourism call ‘COVID-19</w:t>
      </w:r>
      <w:r w:rsidRPr="000F7386">
        <w:rPr>
          <w:rStyle w:val="normaltextrun"/>
          <w:rFonts w:ascii="Calibri" w:hAnsi="Calibri" w:cs="Calibri"/>
          <w:noProof/>
          <w:sz w:val="20"/>
          <w:szCs w:val="20"/>
        </w:rPr>
        <w:t> </w:t>
      </w:r>
      <w:r w:rsidRPr="000F7386">
        <w:rPr>
          <w:rStyle w:val="normaltextrun"/>
          <w:noProof/>
          <w:sz w:val="20"/>
          <w:szCs w:val="20"/>
        </w:rPr>
        <w:t>– Recovery through sustainable tourism growth and SME support’, for just over EUR</w:t>
      </w:r>
      <w:r w:rsidRPr="000F7386">
        <w:rPr>
          <w:rStyle w:val="normaltextrun"/>
          <w:rFonts w:ascii="Calibri" w:hAnsi="Calibri" w:cs="Calibri"/>
          <w:noProof/>
          <w:sz w:val="20"/>
          <w:szCs w:val="20"/>
        </w:rPr>
        <w:t> </w:t>
      </w:r>
      <w:r w:rsidRPr="000F7386">
        <w:rPr>
          <w:rStyle w:val="normaltextrun"/>
          <w:noProof/>
          <w:sz w:val="20"/>
          <w:szCs w:val="20"/>
        </w:rPr>
        <w:t>12</w:t>
      </w:r>
      <w:r w:rsidRPr="000F7386">
        <w:rPr>
          <w:rStyle w:val="normaltextrun"/>
          <w:rFonts w:ascii="Calibri" w:hAnsi="Calibri" w:cs="Calibri"/>
          <w:noProof/>
          <w:sz w:val="20"/>
          <w:szCs w:val="20"/>
        </w:rPr>
        <w:t> </w:t>
      </w:r>
      <w:r w:rsidRPr="000F7386">
        <w:rPr>
          <w:rStyle w:val="normaltextrun"/>
          <w:noProof/>
          <w:sz w:val="20"/>
          <w:szCs w:val="20"/>
        </w:rPr>
        <w:t>million, was published in December 2021, and will be followed in 2022 with a second call, for EUR</w:t>
      </w:r>
      <w:r w:rsidRPr="000F7386">
        <w:rPr>
          <w:rStyle w:val="normaltextrun"/>
          <w:rFonts w:ascii="Calibri" w:hAnsi="Calibri" w:cs="Calibri"/>
          <w:noProof/>
          <w:sz w:val="20"/>
          <w:szCs w:val="20"/>
        </w:rPr>
        <w:t> </w:t>
      </w:r>
      <w:r w:rsidRPr="000F7386">
        <w:rPr>
          <w:rStyle w:val="normaltextrun"/>
          <w:noProof/>
          <w:sz w:val="20"/>
          <w:szCs w:val="20"/>
        </w:rPr>
        <w:t>20.5</w:t>
      </w:r>
      <w:r w:rsidRPr="000F7386">
        <w:rPr>
          <w:rStyle w:val="normaltextrun"/>
          <w:rFonts w:ascii="Calibri" w:hAnsi="Calibri" w:cs="Calibri"/>
          <w:noProof/>
          <w:sz w:val="20"/>
          <w:szCs w:val="20"/>
        </w:rPr>
        <w:t> </w:t>
      </w:r>
      <w:r w:rsidRPr="000F7386">
        <w:rPr>
          <w:rStyle w:val="normaltextrun"/>
          <w:noProof/>
          <w:sz w:val="20"/>
          <w:szCs w:val="20"/>
        </w:rPr>
        <w:t>million, that will provide much-needed additional support for building sustainability and resilience in the tourism sector.</w:t>
      </w:r>
    </w:p>
    <w:p w14:paraId="52847F7C" w14:textId="77777777" w:rsidR="00FE47FC" w:rsidRPr="00604528" w:rsidRDefault="00FE47FC" w:rsidP="00FE47FC">
      <w:pPr>
        <w:pStyle w:val="ppoListHyphened-L1"/>
        <w:rPr>
          <w:rStyle w:val="normaltextrun"/>
          <w:noProof/>
          <w:sz w:val="20"/>
          <w:szCs w:val="20"/>
        </w:rPr>
      </w:pPr>
      <w:r w:rsidRPr="00604528">
        <w:rPr>
          <w:rStyle w:val="normaltextrun"/>
          <w:bCs/>
          <w:noProof/>
          <w:sz w:val="20"/>
          <w:szCs w:val="20"/>
        </w:rPr>
        <w:t xml:space="preserve">For the </w:t>
      </w:r>
      <w:r w:rsidRPr="000F7386">
        <w:rPr>
          <w:rStyle w:val="normaltextrun"/>
          <w:bCs/>
          <w:noProof/>
          <w:sz w:val="20"/>
          <w:szCs w:val="20"/>
        </w:rPr>
        <w:t>f</w:t>
      </w:r>
      <w:r w:rsidRPr="00604528">
        <w:rPr>
          <w:rStyle w:val="normaltextrun"/>
          <w:bCs/>
          <w:noProof/>
          <w:sz w:val="20"/>
          <w:szCs w:val="20"/>
        </w:rPr>
        <w:t>inancial</w:t>
      </w:r>
      <w:r w:rsidRPr="000F7386">
        <w:rPr>
          <w:rStyle w:val="normaltextrun"/>
          <w:rFonts w:cs="Arial"/>
          <w:bCs/>
          <w:noProof/>
          <w:sz w:val="20"/>
          <w:szCs w:val="20"/>
        </w:rPr>
        <w:t xml:space="preserve"> </w:t>
      </w:r>
      <w:r w:rsidRPr="00604528">
        <w:rPr>
          <w:rStyle w:val="normaltextrun"/>
          <w:bCs/>
          <w:noProof/>
          <w:sz w:val="20"/>
          <w:szCs w:val="20"/>
        </w:rPr>
        <w:t xml:space="preserve">and </w:t>
      </w:r>
      <w:r w:rsidRPr="000F7386">
        <w:rPr>
          <w:rStyle w:val="normaltextrun"/>
          <w:bCs/>
          <w:noProof/>
          <w:sz w:val="20"/>
          <w:szCs w:val="20"/>
        </w:rPr>
        <w:t>n</w:t>
      </w:r>
      <w:r w:rsidRPr="00604528">
        <w:rPr>
          <w:rStyle w:val="normaltextrun"/>
          <w:bCs/>
          <w:noProof/>
          <w:sz w:val="20"/>
          <w:szCs w:val="20"/>
        </w:rPr>
        <w:t>on-</w:t>
      </w:r>
      <w:r w:rsidRPr="000F7386">
        <w:rPr>
          <w:rStyle w:val="normaltextrun"/>
          <w:bCs/>
          <w:noProof/>
          <w:sz w:val="20"/>
          <w:szCs w:val="20"/>
        </w:rPr>
        <w:t>f</w:t>
      </w:r>
      <w:r w:rsidRPr="00604528">
        <w:rPr>
          <w:rStyle w:val="normaltextrun"/>
          <w:bCs/>
          <w:noProof/>
          <w:sz w:val="20"/>
          <w:szCs w:val="20"/>
        </w:rPr>
        <w:t xml:space="preserve">inancial </w:t>
      </w:r>
      <w:r w:rsidRPr="000F7386">
        <w:rPr>
          <w:rStyle w:val="normaltextrun"/>
          <w:bCs/>
          <w:noProof/>
          <w:sz w:val="20"/>
          <w:szCs w:val="20"/>
        </w:rPr>
        <w:t>r</w:t>
      </w:r>
      <w:r w:rsidRPr="00604528">
        <w:rPr>
          <w:rStyle w:val="normaltextrun"/>
          <w:bCs/>
          <w:noProof/>
          <w:sz w:val="20"/>
          <w:szCs w:val="20"/>
        </w:rPr>
        <w:t xml:space="preserve">eporting and </w:t>
      </w:r>
      <w:r w:rsidRPr="000F7386">
        <w:rPr>
          <w:rStyle w:val="normaltextrun"/>
          <w:bCs/>
          <w:noProof/>
          <w:sz w:val="20"/>
          <w:szCs w:val="20"/>
        </w:rPr>
        <w:t>a</w:t>
      </w:r>
      <w:r w:rsidRPr="00604528">
        <w:rPr>
          <w:rStyle w:val="normaltextrun"/>
          <w:bCs/>
          <w:noProof/>
          <w:sz w:val="20"/>
          <w:szCs w:val="20"/>
        </w:rPr>
        <w:t xml:space="preserve">uditing </w:t>
      </w:r>
      <w:r w:rsidRPr="000F7386">
        <w:rPr>
          <w:rStyle w:val="normaltextrun"/>
          <w:bCs/>
          <w:noProof/>
          <w:sz w:val="20"/>
          <w:szCs w:val="20"/>
        </w:rPr>
        <w:t>s</w:t>
      </w:r>
      <w:r w:rsidRPr="00604528">
        <w:rPr>
          <w:rStyle w:val="normaltextrun"/>
          <w:bCs/>
          <w:noProof/>
          <w:sz w:val="20"/>
          <w:szCs w:val="20"/>
        </w:rPr>
        <w:t xml:space="preserve">tandards </w:t>
      </w:r>
      <w:r w:rsidRPr="000F7386">
        <w:rPr>
          <w:rStyle w:val="normaltextrun"/>
          <w:noProof/>
          <w:sz w:val="20"/>
          <w:szCs w:val="20"/>
        </w:rPr>
        <w:t>objective,</w:t>
      </w:r>
      <w:r w:rsidRPr="00604528">
        <w:rPr>
          <w:rStyle w:val="normaltextrun"/>
          <w:noProof/>
          <w:sz w:val="20"/>
          <w:szCs w:val="20"/>
        </w:rPr>
        <w:t xml:space="preserve"> </w:t>
      </w:r>
      <w:r w:rsidRPr="000F7386">
        <w:rPr>
          <w:rStyle w:val="normaltextrun"/>
          <w:noProof/>
          <w:sz w:val="20"/>
          <w:szCs w:val="20"/>
        </w:rPr>
        <w:t>in 2021 grants totalling EUR</w:t>
      </w:r>
      <w:r w:rsidRPr="000F7386">
        <w:rPr>
          <w:rStyle w:val="normaltextrun"/>
          <w:rFonts w:ascii="Calibri" w:hAnsi="Calibri" w:cs="Calibri"/>
          <w:noProof/>
          <w:sz w:val="20"/>
          <w:szCs w:val="20"/>
        </w:rPr>
        <w:t> </w:t>
      </w:r>
      <w:r w:rsidRPr="000F7386">
        <w:rPr>
          <w:rStyle w:val="normaltextrun"/>
          <w:noProof/>
          <w:sz w:val="20"/>
          <w:szCs w:val="20"/>
        </w:rPr>
        <w:t>8</w:t>
      </w:r>
      <w:r w:rsidRPr="000F7386">
        <w:rPr>
          <w:rStyle w:val="normaltextrun"/>
          <w:rFonts w:ascii="Calibri" w:hAnsi="Calibri" w:cs="Calibri"/>
          <w:noProof/>
          <w:sz w:val="20"/>
          <w:szCs w:val="20"/>
        </w:rPr>
        <w:t> </w:t>
      </w:r>
      <w:r w:rsidRPr="000F7386">
        <w:rPr>
          <w:rStyle w:val="normaltextrun"/>
          <w:noProof/>
          <w:sz w:val="20"/>
          <w:szCs w:val="20"/>
        </w:rPr>
        <w:t>078</w:t>
      </w:r>
      <w:r w:rsidRPr="000F7386">
        <w:rPr>
          <w:rStyle w:val="normaltextrun"/>
          <w:rFonts w:ascii="Calibri" w:hAnsi="Calibri" w:cs="Calibri"/>
          <w:noProof/>
          <w:sz w:val="20"/>
          <w:szCs w:val="20"/>
        </w:rPr>
        <w:t> </w:t>
      </w:r>
      <w:r w:rsidRPr="000F7386">
        <w:rPr>
          <w:rStyle w:val="normaltextrun"/>
          <w:noProof/>
          <w:sz w:val="20"/>
          <w:szCs w:val="20"/>
        </w:rPr>
        <w:t>058 in commitment appropriations were awarded to the three beneficiaries</w:t>
      </w:r>
      <w:r w:rsidRPr="000F7386">
        <w:rPr>
          <w:rStyle w:val="normaltextrun"/>
          <w:rFonts w:ascii="Calibri" w:hAnsi="Calibri" w:cs="Calibri"/>
          <w:noProof/>
          <w:sz w:val="20"/>
          <w:szCs w:val="20"/>
        </w:rPr>
        <w:t> </w:t>
      </w:r>
      <w:r w:rsidRPr="000F7386">
        <w:rPr>
          <w:rStyle w:val="normaltextrun"/>
          <w:noProof/>
          <w:sz w:val="20"/>
          <w:szCs w:val="20"/>
        </w:rPr>
        <w:t>– identified in the regulation</w:t>
      </w:r>
      <w:r w:rsidRPr="000F7386">
        <w:rPr>
          <w:rStyle w:val="normaltextrun"/>
          <w:rFonts w:ascii="Calibri" w:hAnsi="Calibri" w:cs="Calibri"/>
          <w:noProof/>
          <w:sz w:val="20"/>
          <w:szCs w:val="20"/>
        </w:rPr>
        <w:t> </w:t>
      </w:r>
      <w:r w:rsidRPr="000F7386">
        <w:rPr>
          <w:rStyle w:val="normaltextrun"/>
          <w:noProof/>
          <w:sz w:val="20"/>
          <w:szCs w:val="20"/>
        </w:rPr>
        <w:t>– supporting the development of high-quality financial and non-financial reporting and auditing standards. Commitment appropriations not needed for 2021 have been reprogrammed for later years.</w:t>
      </w:r>
    </w:p>
    <w:p w14:paraId="401B87D9" w14:textId="77777777" w:rsidR="00FE47FC" w:rsidRPr="00604528" w:rsidRDefault="00FE47FC" w:rsidP="00FE47FC">
      <w:pPr>
        <w:pStyle w:val="ppoListHyphened-L1"/>
        <w:rPr>
          <w:bCs/>
          <w:noProof/>
          <w:sz w:val="20"/>
          <w:szCs w:val="20"/>
        </w:rPr>
      </w:pPr>
      <w:r w:rsidRPr="000F7386">
        <w:rPr>
          <w:noProof/>
          <w:sz w:val="20"/>
          <w:szCs w:val="20"/>
        </w:rPr>
        <w:t xml:space="preserve">For the objective of </w:t>
      </w:r>
      <w:r w:rsidRPr="00604528">
        <w:rPr>
          <w:rStyle w:val="normaltextrun"/>
          <w:bCs/>
          <w:noProof/>
          <w:sz w:val="20"/>
          <w:szCs w:val="20"/>
        </w:rPr>
        <w:t>enhancing consumers</w:t>
      </w:r>
      <w:r w:rsidRPr="000F7386">
        <w:rPr>
          <w:rStyle w:val="normaltextrun"/>
          <w:bCs/>
          <w:noProof/>
          <w:sz w:val="20"/>
          <w:szCs w:val="20"/>
        </w:rPr>
        <w:t>’</w:t>
      </w:r>
      <w:r w:rsidRPr="00604528">
        <w:rPr>
          <w:rStyle w:val="normaltextrun"/>
          <w:bCs/>
          <w:noProof/>
          <w:sz w:val="20"/>
          <w:szCs w:val="20"/>
        </w:rPr>
        <w:t xml:space="preserve"> involvement in EU policymaking in the field of financial services, </w:t>
      </w:r>
      <w:r w:rsidRPr="000F7386">
        <w:rPr>
          <w:bCs/>
          <w:noProof/>
          <w:sz w:val="20"/>
          <w:szCs w:val="20"/>
        </w:rPr>
        <w:t>grants</w:t>
      </w:r>
      <w:r w:rsidRPr="000F7386">
        <w:rPr>
          <w:noProof/>
          <w:sz w:val="20"/>
          <w:szCs w:val="20"/>
        </w:rPr>
        <w:t xml:space="preserve"> totalling EUR</w:t>
      </w:r>
      <w:r w:rsidRPr="000F7386">
        <w:rPr>
          <w:rFonts w:ascii="Calibri" w:hAnsi="Calibri" w:cs="Calibri"/>
          <w:noProof/>
          <w:sz w:val="20"/>
          <w:szCs w:val="20"/>
        </w:rPr>
        <w:t> </w:t>
      </w:r>
      <w:r w:rsidRPr="000F7386">
        <w:rPr>
          <w:noProof/>
          <w:sz w:val="20"/>
          <w:szCs w:val="20"/>
        </w:rPr>
        <w:t>1</w:t>
      </w:r>
      <w:r w:rsidRPr="000F7386">
        <w:rPr>
          <w:rFonts w:ascii="Calibri" w:hAnsi="Calibri" w:cs="Calibri"/>
          <w:noProof/>
          <w:sz w:val="20"/>
          <w:szCs w:val="20"/>
        </w:rPr>
        <w:t> </w:t>
      </w:r>
      <w:r w:rsidRPr="000F7386">
        <w:rPr>
          <w:noProof/>
          <w:sz w:val="20"/>
          <w:szCs w:val="20"/>
        </w:rPr>
        <w:t>496</w:t>
      </w:r>
      <w:r w:rsidRPr="000F7386">
        <w:rPr>
          <w:rFonts w:ascii="Calibri" w:hAnsi="Calibri" w:cs="Calibri"/>
          <w:noProof/>
        </w:rPr>
        <w:t> </w:t>
      </w:r>
      <w:r w:rsidRPr="000F7386">
        <w:rPr>
          <w:noProof/>
          <w:sz w:val="20"/>
          <w:szCs w:val="20"/>
        </w:rPr>
        <w:t>375 in commitment appropriations were awarded in 2021 to the two beneficiaries</w:t>
      </w:r>
      <w:r w:rsidRPr="000F7386">
        <w:rPr>
          <w:rFonts w:ascii="Calibri" w:hAnsi="Calibri" w:cs="Calibri"/>
          <w:noProof/>
          <w:sz w:val="20"/>
          <w:szCs w:val="20"/>
        </w:rPr>
        <w:t> </w:t>
      </w:r>
      <w:r w:rsidRPr="000F7386">
        <w:rPr>
          <w:noProof/>
          <w:sz w:val="20"/>
          <w:szCs w:val="20"/>
        </w:rPr>
        <w:t>– identified in the regulation establishing the single market</w:t>
      </w:r>
      <w:r w:rsidRPr="000F7386">
        <w:rPr>
          <w:rFonts w:ascii="Calibri" w:hAnsi="Calibri" w:cs="Calibri"/>
          <w:noProof/>
          <w:sz w:val="20"/>
          <w:szCs w:val="20"/>
        </w:rPr>
        <w:t> </w:t>
      </w:r>
      <w:r w:rsidRPr="000F7386">
        <w:rPr>
          <w:noProof/>
          <w:sz w:val="20"/>
          <w:szCs w:val="20"/>
        </w:rPr>
        <w:t xml:space="preserve">– for their actions </w:t>
      </w:r>
      <w:r w:rsidRPr="000F7386">
        <w:rPr>
          <w:rStyle w:val="normaltextrun"/>
          <w:noProof/>
          <w:sz w:val="20"/>
          <w:szCs w:val="20"/>
        </w:rPr>
        <w:t>supporting consumers and other end users of financial services</w:t>
      </w:r>
      <w:r w:rsidRPr="000F7386">
        <w:rPr>
          <w:noProof/>
          <w:sz w:val="20"/>
          <w:szCs w:val="20"/>
        </w:rPr>
        <w:t>.</w:t>
      </w:r>
    </w:p>
    <w:p w14:paraId="7B375477" w14:textId="77777777" w:rsidR="00FE47FC" w:rsidRPr="000F7386" w:rsidRDefault="00FE47FC" w:rsidP="00FE47FC">
      <w:pPr>
        <w:pStyle w:val="ppoListHyphened-L1"/>
        <w:rPr>
          <w:rStyle w:val="normaltextrun"/>
          <w:noProof/>
          <w:sz w:val="20"/>
          <w:szCs w:val="20"/>
        </w:rPr>
      </w:pPr>
      <w:r w:rsidRPr="000F7386">
        <w:rPr>
          <w:rStyle w:val="normaltextrun"/>
          <w:noProof/>
          <w:sz w:val="20"/>
          <w:szCs w:val="20"/>
        </w:rPr>
        <w:t>For the c</w:t>
      </w:r>
      <w:r w:rsidRPr="00604528">
        <w:rPr>
          <w:rStyle w:val="normaltextrun"/>
          <w:noProof/>
          <w:sz w:val="20"/>
          <w:szCs w:val="20"/>
        </w:rPr>
        <w:t xml:space="preserve">onsumer protection and product safety </w:t>
      </w:r>
      <w:r w:rsidRPr="000F7386">
        <w:rPr>
          <w:rStyle w:val="normaltextrun"/>
          <w:noProof/>
          <w:sz w:val="20"/>
          <w:szCs w:val="20"/>
        </w:rPr>
        <w:t>objective, six calls</w:t>
      </w:r>
      <w:r w:rsidRPr="000F7386">
        <w:rPr>
          <w:rStyle w:val="normaltextrun"/>
          <w:rFonts w:ascii="Calibri" w:hAnsi="Calibri" w:cs="Calibri"/>
          <w:noProof/>
          <w:sz w:val="20"/>
          <w:szCs w:val="20"/>
        </w:rPr>
        <w:t> </w:t>
      </w:r>
      <w:r w:rsidRPr="000F7386">
        <w:rPr>
          <w:rStyle w:val="normaltextrun"/>
          <w:noProof/>
          <w:sz w:val="20"/>
          <w:szCs w:val="20"/>
        </w:rPr>
        <w:t>/ invitations to submit proposals were launched in 2021. The calls covered such areas as offering assistance to consumers in Member States in the form of alternative dispute resolution; promoting stable debt advice services; supporting joint actions by the European consumer centres; cooperation between national authorities responsible for the enforcement of consumer protection law; support for the activities of Member State authorities participating in EU consumer policy; and support for the activities of the consumer organisation at the EU level (the European Consumer Organisation). In total, 80 proposals were submitted from 29 countries, including EU Member States, Norway and Iceland.</w:t>
      </w:r>
    </w:p>
    <w:p w14:paraId="14B041C2" w14:textId="77777777" w:rsidR="00FE47FC" w:rsidRPr="000F7386" w:rsidRDefault="00FE47FC" w:rsidP="00FE47FC">
      <w:pPr>
        <w:pStyle w:val="ppoListHyphened-L1"/>
        <w:rPr>
          <w:rStyle w:val="normaltextrun"/>
          <w:noProof/>
          <w:sz w:val="20"/>
          <w:szCs w:val="20"/>
        </w:rPr>
      </w:pPr>
      <w:r w:rsidRPr="000F7386">
        <w:rPr>
          <w:rStyle w:val="normaltextrun"/>
          <w:noProof/>
          <w:sz w:val="20"/>
          <w:szCs w:val="20"/>
        </w:rPr>
        <w:t>A total budget of around EUR</w:t>
      </w:r>
      <w:r w:rsidRPr="000F7386">
        <w:rPr>
          <w:rStyle w:val="normaltextrun"/>
          <w:rFonts w:ascii="Calibri" w:hAnsi="Calibri" w:cs="Calibri"/>
          <w:noProof/>
          <w:sz w:val="20"/>
          <w:szCs w:val="20"/>
        </w:rPr>
        <w:t> </w:t>
      </w:r>
      <w:r w:rsidRPr="000F7386">
        <w:rPr>
          <w:rStyle w:val="normaltextrun"/>
          <w:noProof/>
          <w:sz w:val="20"/>
          <w:szCs w:val="20"/>
        </w:rPr>
        <w:t>230</w:t>
      </w:r>
      <w:r w:rsidRPr="000F7386">
        <w:rPr>
          <w:rStyle w:val="normaltextrun"/>
          <w:rFonts w:ascii="Calibri" w:hAnsi="Calibri" w:cs="Calibri"/>
          <w:noProof/>
          <w:sz w:val="20"/>
          <w:szCs w:val="20"/>
        </w:rPr>
        <w:t> </w:t>
      </w:r>
      <w:r w:rsidRPr="000F7386">
        <w:rPr>
          <w:rStyle w:val="normaltextrun"/>
          <w:noProof/>
          <w:sz w:val="20"/>
          <w:szCs w:val="20"/>
        </w:rPr>
        <w:t xml:space="preserve">million in commitment appropriations was implemented in the </w:t>
      </w:r>
      <w:r w:rsidRPr="00604528">
        <w:rPr>
          <w:rStyle w:val="normaltextrun"/>
          <w:bCs/>
          <w:noProof/>
          <w:sz w:val="20"/>
          <w:szCs w:val="20"/>
        </w:rPr>
        <w:t>food</w:t>
      </w:r>
      <w:r w:rsidRPr="000F7386">
        <w:rPr>
          <w:rStyle w:val="normaltextrun"/>
          <w:noProof/>
          <w:sz w:val="20"/>
          <w:szCs w:val="20"/>
        </w:rPr>
        <w:t xml:space="preserve"> strand in 2021, with a great focus on veterinary programmes (46.5% of the budget).</w:t>
      </w:r>
    </w:p>
    <w:p w14:paraId="48D771F0" w14:textId="77777777" w:rsidR="00FE47FC" w:rsidRPr="000F7386" w:rsidRDefault="00FE47FC" w:rsidP="00FE47FC">
      <w:pPr>
        <w:pStyle w:val="ppoListHyphened-L1"/>
        <w:rPr>
          <w:noProof/>
          <w:sz w:val="20"/>
          <w:szCs w:val="20"/>
        </w:rPr>
      </w:pPr>
      <w:r w:rsidRPr="000F7386">
        <w:rPr>
          <w:noProof/>
          <w:sz w:val="20"/>
          <w:szCs w:val="20"/>
        </w:rPr>
        <w:t xml:space="preserve">In the domain of </w:t>
      </w:r>
      <w:r w:rsidRPr="00604528">
        <w:rPr>
          <w:bCs/>
          <w:noProof/>
          <w:sz w:val="20"/>
          <w:szCs w:val="20"/>
        </w:rPr>
        <w:t xml:space="preserve">European </w:t>
      </w:r>
      <w:r w:rsidRPr="000F7386">
        <w:rPr>
          <w:bCs/>
          <w:noProof/>
          <w:sz w:val="20"/>
          <w:szCs w:val="20"/>
        </w:rPr>
        <w:t>s</w:t>
      </w:r>
      <w:r w:rsidRPr="00604528">
        <w:rPr>
          <w:bCs/>
          <w:noProof/>
          <w:sz w:val="20"/>
          <w:szCs w:val="20"/>
        </w:rPr>
        <w:t>tatistics</w:t>
      </w:r>
      <w:r w:rsidRPr="000F7386">
        <w:rPr>
          <w:noProof/>
          <w:sz w:val="20"/>
          <w:szCs w:val="20"/>
        </w:rPr>
        <w:t>, the EUR</w:t>
      </w:r>
      <w:r w:rsidRPr="000F7386">
        <w:rPr>
          <w:rFonts w:ascii="Calibri" w:hAnsi="Calibri" w:cs="Calibri"/>
          <w:noProof/>
          <w:sz w:val="20"/>
          <w:szCs w:val="20"/>
        </w:rPr>
        <w:t> </w:t>
      </w:r>
      <w:r w:rsidRPr="000F7386">
        <w:rPr>
          <w:noProof/>
          <w:sz w:val="20"/>
          <w:szCs w:val="20"/>
        </w:rPr>
        <w:t>74</w:t>
      </w:r>
      <w:r w:rsidRPr="000F7386">
        <w:rPr>
          <w:rFonts w:ascii="Calibri" w:hAnsi="Calibri" w:cs="Calibri"/>
          <w:noProof/>
          <w:sz w:val="20"/>
          <w:szCs w:val="20"/>
        </w:rPr>
        <w:t> </w:t>
      </w:r>
      <w:r w:rsidRPr="000F7386">
        <w:rPr>
          <w:noProof/>
          <w:sz w:val="20"/>
          <w:szCs w:val="20"/>
        </w:rPr>
        <w:t>million in commitment appropriations from the 2021 budget were fully implemented, supporting calls for proposals, tenders and other action. Due to the delay in the adoption of the legal basis, along with the financial decision and the work programme, certain agreements could not be finalised within the year, and consequently EUR</w:t>
      </w:r>
      <w:r w:rsidRPr="000F7386">
        <w:rPr>
          <w:rFonts w:ascii="Calibri" w:hAnsi="Calibri" w:cs="Calibri"/>
          <w:noProof/>
          <w:sz w:val="20"/>
          <w:szCs w:val="20"/>
        </w:rPr>
        <w:t> </w:t>
      </w:r>
      <w:r w:rsidRPr="000F7386">
        <w:rPr>
          <w:noProof/>
          <w:sz w:val="20"/>
          <w:szCs w:val="20"/>
        </w:rPr>
        <w:t>0.8</w:t>
      </w:r>
      <w:r w:rsidRPr="000F7386">
        <w:rPr>
          <w:rFonts w:ascii="Calibri" w:hAnsi="Calibri" w:cs="Calibri"/>
          <w:noProof/>
          <w:sz w:val="20"/>
          <w:szCs w:val="20"/>
        </w:rPr>
        <w:t> </w:t>
      </w:r>
      <w:r w:rsidRPr="000F7386">
        <w:rPr>
          <w:noProof/>
          <w:sz w:val="20"/>
          <w:szCs w:val="20"/>
        </w:rPr>
        <w:t>million in payment credits initially planned to provide advance payments to beneficiaries were not used.</w:t>
      </w:r>
    </w:p>
    <w:p w14:paraId="0C3AE273" w14:textId="77777777" w:rsidR="00FE47FC" w:rsidRPr="000F7386" w:rsidRDefault="00FE47FC" w:rsidP="00FE47FC">
      <w:pPr>
        <w:pStyle w:val="ppoHeading5"/>
        <w:rPr>
          <w:noProof/>
        </w:rPr>
      </w:pPr>
      <w:r w:rsidRPr="000F7386">
        <w:rPr>
          <w:noProof/>
        </w:rPr>
        <w:t>Contribution to horizontal priorities</w:t>
      </w:r>
    </w:p>
    <w:p w14:paraId="4A0E1C96" w14:textId="77777777" w:rsidR="00FE47FC" w:rsidRPr="000F7386" w:rsidRDefault="00FE47FC" w:rsidP="00FE47FC">
      <w:pPr>
        <w:pStyle w:val="ppoTableTabletitle"/>
        <w:rPr>
          <w:noProof/>
        </w:rPr>
      </w:pPr>
      <w:r w:rsidRPr="000F7386">
        <w:rPr>
          <w:noProof/>
        </w:rPr>
        <w:t>EU budget contribution in 2021 (million EUR):</w:t>
      </w:r>
    </w:p>
    <w:tbl>
      <w:tblPr>
        <w:tblStyle w:val="PPO2021"/>
        <w:tblW w:w="9639" w:type="dxa"/>
        <w:tblInd w:w="0" w:type="dxa"/>
        <w:tblLook w:val="0420" w:firstRow="1" w:lastRow="0" w:firstColumn="0" w:lastColumn="0" w:noHBand="0" w:noVBand="1"/>
      </w:tblPr>
      <w:tblGrid>
        <w:gridCol w:w="3213"/>
        <w:gridCol w:w="3213"/>
        <w:gridCol w:w="3213"/>
      </w:tblGrid>
      <w:tr w:rsidR="00FE47FC" w:rsidRPr="000F7386" w14:paraId="4A3C10F7" w14:textId="77777777" w:rsidTr="00BB20EB">
        <w:trPr>
          <w:cnfStyle w:val="100000000000" w:firstRow="1" w:lastRow="0" w:firstColumn="0" w:lastColumn="0" w:oddVBand="0" w:evenVBand="0" w:oddHBand="0" w:evenHBand="0" w:firstRowFirstColumn="0" w:firstRowLastColumn="0" w:lastRowFirstColumn="0" w:lastRowLastColumn="0"/>
          <w:tblHeader/>
        </w:trPr>
        <w:tc>
          <w:tcPr>
            <w:tcW w:w="3213" w:type="dxa"/>
          </w:tcPr>
          <w:p w14:paraId="1A6B72EC" w14:textId="77777777" w:rsidR="00FE47FC" w:rsidRPr="000F7386" w:rsidRDefault="00FE47FC" w:rsidP="00BB20EB">
            <w:pPr>
              <w:rPr>
                <w:noProof/>
              </w:rPr>
            </w:pPr>
            <w:r w:rsidRPr="000F7386">
              <w:rPr>
                <w:noProof/>
              </w:rPr>
              <w:t>Climate</w:t>
            </w:r>
          </w:p>
        </w:tc>
        <w:tc>
          <w:tcPr>
            <w:tcW w:w="3213" w:type="dxa"/>
          </w:tcPr>
          <w:p w14:paraId="272485B4" w14:textId="77777777" w:rsidR="00FE47FC" w:rsidRPr="000F7386" w:rsidRDefault="00FE47FC" w:rsidP="00BB20EB">
            <w:pPr>
              <w:rPr>
                <w:noProof/>
              </w:rPr>
            </w:pPr>
            <w:r w:rsidRPr="000F7386">
              <w:rPr>
                <w:noProof/>
              </w:rPr>
              <w:t>Biodiversity</w:t>
            </w:r>
          </w:p>
        </w:tc>
        <w:tc>
          <w:tcPr>
            <w:tcW w:w="3213" w:type="dxa"/>
          </w:tcPr>
          <w:p w14:paraId="3F2A062F" w14:textId="77777777" w:rsidR="00FE47FC" w:rsidRPr="000F7386" w:rsidRDefault="00FE47FC" w:rsidP="00BB20EB">
            <w:pPr>
              <w:rPr>
                <w:noProof/>
              </w:rPr>
            </w:pPr>
            <w:r w:rsidRPr="000F7386">
              <w:rPr>
                <w:noProof/>
              </w:rPr>
              <w:t>Gender equality (*)</w:t>
            </w:r>
          </w:p>
        </w:tc>
      </w:tr>
      <w:tr w:rsidR="00FE47FC" w:rsidRPr="000F7386" w14:paraId="781B171E" w14:textId="77777777" w:rsidTr="00BB20EB">
        <w:trPr>
          <w:cnfStyle w:val="000000100000" w:firstRow="0" w:lastRow="0" w:firstColumn="0" w:lastColumn="0" w:oddVBand="0" w:evenVBand="0" w:oddHBand="1" w:evenHBand="0" w:firstRowFirstColumn="0" w:firstRowLastColumn="0" w:lastRowFirstColumn="0" w:lastRowLastColumn="0"/>
        </w:trPr>
        <w:tc>
          <w:tcPr>
            <w:tcW w:w="3213" w:type="dxa"/>
          </w:tcPr>
          <w:tbl>
            <w:tblPr>
              <w:tblStyle w:val="TableGrid"/>
              <w:tblW w:w="0" w:type="auto"/>
              <w:tblLook w:val="06A0" w:firstRow="1" w:lastRow="0" w:firstColumn="1" w:lastColumn="0" w:noHBand="1" w:noVBand="1"/>
            </w:tblPr>
            <w:tblGrid>
              <w:gridCol w:w="1935"/>
            </w:tblGrid>
            <w:tr w:rsidR="00FE47FC" w:rsidRPr="000F7386" w14:paraId="74656771" w14:textId="77777777" w:rsidTr="00BB20EB">
              <w:trPr>
                <w:trHeight w:val="285"/>
              </w:trPr>
              <w:tc>
                <w:tcPr>
                  <w:tcW w:w="1935" w:type="dxa"/>
                  <w:tcBorders>
                    <w:top w:val="nil"/>
                    <w:left w:val="nil"/>
                    <w:bottom w:val="nil"/>
                    <w:right w:val="nil"/>
                  </w:tcBorders>
                  <w:vAlign w:val="bottom"/>
                </w:tcPr>
                <w:p w14:paraId="7D63B00A" w14:textId="580BE412" w:rsidR="00FE47FC" w:rsidRPr="000F7386" w:rsidRDefault="00FE47FC" w:rsidP="00BB20EB">
                  <w:pPr>
                    <w:jc w:val="right"/>
                    <w:rPr>
                      <w:noProof/>
                    </w:rPr>
                  </w:pPr>
                  <w:r w:rsidRPr="000F7386">
                    <w:rPr>
                      <w:rFonts w:ascii="Calibri" w:hAnsi="Calibri" w:cs="Calibri"/>
                      <w:noProof/>
                      <w:color w:val="000000"/>
                    </w:rPr>
                    <w:t>5</w:t>
                  </w:r>
                  <w:r w:rsidR="00943AD6">
                    <w:rPr>
                      <w:rFonts w:ascii="Calibri" w:hAnsi="Calibri" w:cs="Calibri"/>
                      <w:noProof/>
                      <w:color w:val="000000"/>
                    </w:rPr>
                    <w:t>8.7</w:t>
                  </w:r>
                </w:p>
              </w:tc>
            </w:tr>
          </w:tbl>
          <w:p w14:paraId="713E44F9" w14:textId="77777777" w:rsidR="00FE47FC" w:rsidRPr="000F7386" w:rsidRDefault="00FE47FC" w:rsidP="00BB20EB">
            <w:pPr>
              <w:jc w:val="center"/>
              <w:rPr>
                <w:noProof/>
              </w:rPr>
            </w:pPr>
          </w:p>
        </w:tc>
        <w:tc>
          <w:tcPr>
            <w:tcW w:w="3213" w:type="dxa"/>
          </w:tcPr>
          <w:p w14:paraId="7CE8E616" w14:textId="77777777" w:rsidR="00FE47FC" w:rsidRPr="000F7386" w:rsidRDefault="00FE47FC" w:rsidP="00BB20EB">
            <w:pPr>
              <w:jc w:val="center"/>
              <w:rPr>
                <w:noProof/>
              </w:rPr>
            </w:pPr>
            <w:r w:rsidRPr="000F7386">
              <w:rPr>
                <w:noProof/>
              </w:rPr>
              <w:t>0</w:t>
            </w:r>
          </w:p>
        </w:tc>
        <w:tc>
          <w:tcPr>
            <w:tcW w:w="3213" w:type="dxa"/>
          </w:tcPr>
          <w:p w14:paraId="0DCFCDE9" w14:textId="77777777" w:rsidR="00FE47FC" w:rsidRPr="000F7386" w:rsidRDefault="00FE47FC" w:rsidP="00BB20EB">
            <w:pPr>
              <w:jc w:val="center"/>
              <w:rPr>
                <w:noProof/>
              </w:rPr>
            </w:pPr>
            <w:r w:rsidRPr="000F7386">
              <w:rPr>
                <w:noProof/>
              </w:rPr>
              <w:t>Score 0*: 582.5</w:t>
            </w:r>
          </w:p>
        </w:tc>
      </w:tr>
    </w:tbl>
    <w:p w14:paraId="4252D1EF" w14:textId="77777777" w:rsidR="00FE47FC" w:rsidRPr="000F7386" w:rsidRDefault="00FE47FC" w:rsidP="00FE47FC">
      <w:pPr>
        <w:pStyle w:val="FootnoteText"/>
        <w:rPr>
          <w:noProof/>
        </w:rPr>
      </w:pPr>
      <w:r w:rsidRPr="000F7386">
        <w:rPr>
          <w:noProof/>
        </w:rPr>
        <w:t>(*)</w:t>
      </w:r>
      <w:r w:rsidRPr="000F7386">
        <w:rPr>
          <w:noProof/>
        </w:rPr>
        <w:tab/>
        <w:t>Based on the applied gender contribution methodology, the following scores are attributed at the most granular level of intervention possible:</w:t>
      </w:r>
    </w:p>
    <w:p w14:paraId="7E4C975C" w14:textId="77777777" w:rsidR="00FE47FC" w:rsidRPr="000F7386" w:rsidRDefault="00FE47FC" w:rsidP="00FE47FC">
      <w:pPr>
        <w:pStyle w:val="FootnoteText"/>
        <w:numPr>
          <w:ilvl w:val="0"/>
          <w:numId w:val="38"/>
        </w:numPr>
        <w:spacing w:after="60" w:line="264" w:lineRule="auto"/>
        <w:jc w:val="left"/>
        <w:rPr>
          <w:noProof/>
        </w:rPr>
      </w:pPr>
      <w:r w:rsidRPr="000F7386">
        <w:rPr>
          <w:noProof/>
        </w:rPr>
        <w:t>2: interventions the principal objective of which is to improve gender equality;</w:t>
      </w:r>
    </w:p>
    <w:p w14:paraId="5B57A6F2" w14:textId="77777777" w:rsidR="00FE47FC" w:rsidRPr="000F7386" w:rsidRDefault="00FE47FC" w:rsidP="00FE47FC">
      <w:pPr>
        <w:pStyle w:val="FootnoteText"/>
        <w:numPr>
          <w:ilvl w:val="0"/>
          <w:numId w:val="38"/>
        </w:numPr>
        <w:spacing w:after="60" w:line="264" w:lineRule="auto"/>
        <w:jc w:val="left"/>
        <w:rPr>
          <w:noProof/>
        </w:rPr>
      </w:pPr>
      <w:r w:rsidRPr="000F7386">
        <w:rPr>
          <w:noProof/>
        </w:rPr>
        <w:t>1: interventions that have gender equality as an important and deliberate objective but not as the main reason for the intervention;</w:t>
      </w:r>
    </w:p>
    <w:p w14:paraId="4CAC7BF0" w14:textId="77777777" w:rsidR="00FE47FC" w:rsidRPr="000F7386" w:rsidRDefault="00FE47FC" w:rsidP="00FE47FC">
      <w:pPr>
        <w:pStyle w:val="FootnoteText"/>
        <w:numPr>
          <w:ilvl w:val="0"/>
          <w:numId w:val="38"/>
        </w:numPr>
        <w:spacing w:after="60" w:line="264" w:lineRule="auto"/>
        <w:jc w:val="left"/>
        <w:rPr>
          <w:noProof/>
        </w:rPr>
      </w:pPr>
      <w:r w:rsidRPr="000F7386">
        <w:rPr>
          <w:noProof/>
        </w:rPr>
        <w:t>0: non-targeted interventions;</w:t>
      </w:r>
    </w:p>
    <w:p w14:paraId="101B80DB" w14:textId="77777777" w:rsidR="00FE47FC" w:rsidRPr="000F7386" w:rsidRDefault="00FE47FC" w:rsidP="00FE47FC">
      <w:pPr>
        <w:pStyle w:val="FootnoteText"/>
        <w:numPr>
          <w:ilvl w:val="0"/>
          <w:numId w:val="38"/>
        </w:numPr>
        <w:spacing w:after="60" w:line="264" w:lineRule="auto"/>
        <w:jc w:val="left"/>
        <w:rPr>
          <w:noProof/>
        </w:rPr>
      </w:pPr>
      <w:r w:rsidRPr="000F7386">
        <w:rPr>
          <w:noProof/>
        </w:rPr>
        <w:t>0*: score to be assigned to interventions with a likely but not yet clear positive impact on gender equality.</w:t>
      </w:r>
    </w:p>
    <w:p w14:paraId="0A2AFCCC" w14:textId="77777777" w:rsidR="00FE47FC" w:rsidRPr="000F7386" w:rsidRDefault="00FE47FC" w:rsidP="00FE47FC">
      <w:pPr>
        <w:pStyle w:val="ppoHeading5"/>
        <w:rPr>
          <w:noProof/>
        </w:rPr>
      </w:pPr>
      <w:r w:rsidRPr="000F7386">
        <w:rPr>
          <w:noProof/>
        </w:rPr>
        <w:t>Performance assessment</w:t>
      </w:r>
    </w:p>
    <w:p w14:paraId="2E30CA2B" w14:textId="77777777" w:rsidR="00FE47FC" w:rsidRPr="000F7386" w:rsidRDefault="00FE47FC" w:rsidP="00FE47FC">
      <w:pPr>
        <w:pStyle w:val="ppoHeading6"/>
        <w:rPr>
          <w:noProof/>
        </w:rPr>
      </w:pPr>
      <w:r w:rsidRPr="000F7386">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FE47FC" w:rsidRPr="000F7386" w14:paraId="7E91A931" w14:textId="77777777" w:rsidTr="00BB20EB">
        <w:trPr>
          <w:cnfStyle w:val="100000000000" w:firstRow="1" w:lastRow="0" w:firstColumn="0" w:lastColumn="0" w:oddVBand="0" w:evenVBand="0" w:oddHBand="0" w:evenHBand="0" w:firstRowFirstColumn="0" w:firstRowLastColumn="0" w:lastRowFirstColumn="0" w:lastRowLastColumn="0"/>
        </w:trPr>
        <w:tc>
          <w:tcPr>
            <w:tcW w:w="2330" w:type="dxa"/>
          </w:tcPr>
          <w:p w14:paraId="20C8A5F8" w14:textId="77777777" w:rsidR="00FE47FC" w:rsidRPr="000F7386" w:rsidRDefault="00FE47FC" w:rsidP="00BB20EB">
            <w:pPr>
              <w:rPr>
                <w:noProof/>
              </w:rPr>
            </w:pPr>
          </w:p>
        </w:tc>
        <w:tc>
          <w:tcPr>
            <w:tcW w:w="1100" w:type="dxa"/>
          </w:tcPr>
          <w:p w14:paraId="4C93E679" w14:textId="77777777" w:rsidR="00FE47FC" w:rsidRPr="000F7386" w:rsidRDefault="00FE47FC" w:rsidP="00BB20EB">
            <w:pPr>
              <w:rPr>
                <w:noProof/>
              </w:rPr>
            </w:pPr>
            <w:r w:rsidRPr="000F7386">
              <w:rPr>
                <w:noProof/>
              </w:rPr>
              <w:t>Baseline</w:t>
            </w:r>
          </w:p>
        </w:tc>
        <w:tc>
          <w:tcPr>
            <w:tcW w:w="1526" w:type="dxa"/>
          </w:tcPr>
          <w:p w14:paraId="60FD7F74" w14:textId="77777777" w:rsidR="00FE47FC" w:rsidRPr="000F7386" w:rsidRDefault="00FE47FC" w:rsidP="00BB20EB">
            <w:pPr>
              <w:rPr>
                <w:noProof/>
              </w:rPr>
            </w:pPr>
            <w:r w:rsidRPr="000F7386">
              <w:rPr>
                <w:noProof/>
              </w:rPr>
              <w:t>Progress (*)</w:t>
            </w:r>
          </w:p>
        </w:tc>
        <w:tc>
          <w:tcPr>
            <w:tcW w:w="1532" w:type="dxa"/>
          </w:tcPr>
          <w:p w14:paraId="780F7AA0" w14:textId="77777777" w:rsidR="00FE47FC" w:rsidRPr="000F7386" w:rsidRDefault="00FE47FC" w:rsidP="00BB20EB">
            <w:pPr>
              <w:rPr>
                <w:noProof/>
              </w:rPr>
            </w:pPr>
            <w:r w:rsidRPr="000F7386">
              <w:rPr>
                <w:noProof/>
              </w:rPr>
              <w:t>Target</w:t>
            </w:r>
          </w:p>
        </w:tc>
        <w:tc>
          <w:tcPr>
            <w:tcW w:w="1572" w:type="dxa"/>
          </w:tcPr>
          <w:p w14:paraId="04E04523" w14:textId="77777777" w:rsidR="00FE47FC" w:rsidRPr="000F7386" w:rsidRDefault="00FE47FC" w:rsidP="00BB20EB">
            <w:pPr>
              <w:rPr>
                <w:noProof/>
              </w:rPr>
            </w:pPr>
            <w:r w:rsidRPr="000F7386">
              <w:rPr>
                <w:noProof/>
              </w:rPr>
              <w:t>Results</w:t>
            </w:r>
          </w:p>
        </w:tc>
        <w:tc>
          <w:tcPr>
            <w:tcW w:w="1579" w:type="dxa"/>
          </w:tcPr>
          <w:p w14:paraId="2AC910AE" w14:textId="77777777" w:rsidR="00FE47FC" w:rsidRPr="000F7386" w:rsidRDefault="00FE47FC" w:rsidP="00BB20EB">
            <w:pPr>
              <w:rPr>
                <w:noProof/>
              </w:rPr>
            </w:pPr>
            <w:r w:rsidRPr="000F7386">
              <w:rPr>
                <w:noProof/>
              </w:rPr>
              <w:t>Assessment</w:t>
            </w:r>
          </w:p>
        </w:tc>
      </w:tr>
      <w:tr w:rsidR="00FE47FC" w:rsidRPr="000F7386" w14:paraId="0EA86134" w14:textId="77777777" w:rsidTr="00BB20EB">
        <w:trPr>
          <w:cnfStyle w:val="000000100000" w:firstRow="0" w:lastRow="0" w:firstColumn="0" w:lastColumn="0" w:oddVBand="0" w:evenVBand="0" w:oddHBand="1" w:evenHBand="0" w:firstRowFirstColumn="0" w:firstRowLastColumn="0" w:lastRowFirstColumn="0" w:lastRowLastColumn="0"/>
        </w:trPr>
        <w:tc>
          <w:tcPr>
            <w:tcW w:w="2330" w:type="dxa"/>
          </w:tcPr>
          <w:p w14:paraId="3514AFAB" w14:textId="77777777" w:rsidR="00FE47FC" w:rsidRPr="000F7386" w:rsidRDefault="00FE47FC" w:rsidP="00BB20EB">
            <w:pPr>
              <w:rPr>
                <w:noProof/>
              </w:rPr>
            </w:pPr>
            <w:r w:rsidRPr="000F7386">
              <w:rPr>
                <w:noProof/>
              </w:rPr>
              <w:t>Number of cases of non-compliance in the area of goods, including online sales</w:t>
            </w:r>
          </w:p>
        </w:tc>
        <w:tc>
          <w:tcPr>
            <w:tcW w:w="1100" w:type="dxa"/>
          </w:tcPr>
          <w:p w14:paraId="75A3F821" w14:textId="77777777" w:rsidR="00FE47FC" w:rsidRPr="000F7386" w:rsidRDefault="00FE47FC" w:rsidP="00BB20EB">
            <w:pPr>
              <w:jc w:val="center"/>
              <w:rPr>
                <w:noProof/>
              </w:rPr>
            </w:pPr>
          </w:p>
          <w:p w14:paraId="2E72EEFE" w14:textId="77777777" w:rsidR="00FE47FC" w:rsidRPr="000F7386" w:rsidRDefault="00FE47FC" w:rsidP="00BB20EB">
            <w:pPr>
              <w:jc w:val="center"/>
              <w:rPr>
                <w:noProof/>
              </w:rPr>
            </w:pPr>
            <w:r w:rsidRPr="000F7386">
              <w:rPr>
                <w:noProof/>
              </w:rPr>
              <w:t>9</w:t>
            </w:r>
            <w:r w:rsidRPr="000F7386">
              <w:rPr>
                <w:rFonts w:ascii="Calibri" w:hAnsi="Calibri" w:cs="Calibri"/>
                <w:noProof/>
              </w:rPr>
              <w:t> </w:t>
            </w:r>
            <w:r w:rsidRPr="000F7386">
              <w:rPr>
                <w:noProof/>
              </w:rPr>
              <w:t>606</w:t>
            </w:r>
          </w:p>
        </w:tc>
        <w:tc>
          <w:tcPr>
            <w:tcW w:w="1526" w:type="dxa"/>
          </w:tcPr>
          <w:p w14:paraId="0A475A6C" w14:textId="77777777" w:rsidR="00FE47FC" w:rsidRPr="000F7386" w:rsidRDefault="00FE47FC" w:rsidP="00BB20EB">
            <w:pPr>
              <w:jc w:val="center"/>
              <w:rPr>
                <w:b/>
                <w:noProof/>
              </w:rPr>
            </w:pPr>
          </w:p>
        </w:tc>
        <w:tc>
          <w:tcPr>
            <w:tcW w:w="1532" w:type="dxa"/>
          </w:tcPr>
          <w:p w14:paraId="6E649409" w14:textId="77777777" w:rsidR="00FE47FC" w:rsidRPr="000F7386" w:rsidRDefault="00FE47FC" w:rsidP="00BB20EB">
            <w:pPr>
              <w:jc w:val="center"/>
              <w:rPr>
                <w:noProof/>
              </w:rPr>
            </w:pPr>
          </w:p>
        </w:tc>
        <w:tc>
          <w:tcPr>
            <w:tcW w:w="1572" w:type="dxa"/>
          </w:tcPr>
          <w:p w14:paraId="238FFCF4" w14:textId="77777777" w:rsidR="00FE47FC" w:rsidRPr="000F7386" w:rsidRDefault="00FE47FC" w:rsidP="00BB20EB">
            <w:pPr>
              <w:jc w:val="center"/>
              <w:rPr>
                <w:noProof/>
              </w:rPr>
            </w:pPr>
            <w:r w:rsidRPr="000F7386">
              <w:rPr>
                <w:noProof/>
              </w:rPr>
              <w:t>10</w:t>
            </w:r>
            <w:r w:rsidRPr="000F7386">
              <w:rPr>
                <w:rFonts w:ascii="Calibri" w:hAnsi="Calibri" w:cs="Calibri"/>
                <w:noProof/>
              </w:rPr>
              <w:t> </w:t>
            </w:r>
            <w:r w:rsidRPr="000F7386">
              <w:rPr>
                <w:noProof/>
              </w:rPr>
              <w:t>234</w:t>
            </w:r>
          </w:p>
        </w:tc>
        <w:tc>
          <w:tcPr>
            <w:tcW w:w="1579" w:type="dxa"/>
          </w:tcPr>
          <w:p w14:paraId="65E7F4D4" w14:textId="77777777" w:rsidR="00FE47FC" w:rsidRPr="000F7386" w:rsidRDefault="00FE47FC" w:rsidP="00BB20EB">
            <w:pPr>
              <w:jc w:val="center"/>
              <w:rPr>
                <w:noProof/>
              </w:rPr>
            </w:pPr>
            <w:r w:rsidRPr="000F7386">
              <w:rPr>
                <w:noProof/>
              </w:rPr>
              <w:t>No data</w:t>
            </w:r>
          </w:p>
        </w:tc>
      </w:tr>
      <w:tr w:rsidR="00FE47FC" w:rsidRPr="000F7386" w14:paraId="47ED7EF7" w14:textId="77777777" w:rsidTr="00BB20EB">
        <w:trPr>
          <w:cnfStyle w:val="000000010000" w:firstRow="0" w:lastRow="0" w:firstColumn="0" w:lastColumn="0" w:oddVBand="0" w:evenVBand="0" w:oddHBand="0" w:evenHBand="1" w:firstRowFirstColumn="0" w:firstRowLastColumn="0" w:lastRowFirstColumn="0" w:lastRowLastColumn="0"/>
        </w:trPr>
        <w:tc>
          <w:tcPr>
            <w:tcW w:w="2330" w:type="dxa"/>
          </w:tcPr>
          <w:p w14:paraId="6CA5C8DA" w14:textId="77777777" w:rsidR="00FE47FC" w:rsidRPr="000F7386" w:rsidRDefault="00FE47FC" w:rsidP="00BB20EB">
            <w:pPr>
              <w:rPr>
                <w:noProof/>
              </w:rPr>
            </w:pPr>
            <w:r w:rsidRPr="000F7386">
              <w:rPr>
                <w:noProof/>
              </w:rPr>
              <w:t>Number of entrepreneurs benefiting from mentoring and mobility schemes, including young, new and female entrepreneurs, along with other specific target groups</w:t>
            </w:r>
            <w:r w:rsidRPr="000F7386">
              <w:rPr>
                <w:rFonts w:ascii="Calibri" w:hAnsi="Calibri" w:cs="Calibri"/>
                <w:noProof/>
              </w:rPr>
              <w:t> </w:t>
            </w:r>
            <w:r w:rsidRPr="000F7386">
              <w:rPr>
                <w:noProof/>
              </w:rPr>
              <w:t>(**)</w:t>
            </w:r>
          </w:p>
        </w:tc>
        <w:tc>
          <w:tcPr>
            <w:tcW w:w="1100" w:type="dxa"/>
          </w:tcPr>
          <w:p w14:paraId="2F173F8B" w14:textId="77777777" w:rsidR="00FE47FC" w:rsidRPr="000F7386" w:rsidRDefault="00FE47FC" w:rsidP="00BB20EB">
            <w:pPr>
              <w:jc w:val="center"/>
              <w:rPr>
                <w:rFonts w:ascii="Times New Roman" w:eastAsia="Times New Roman" w:hAnsi="Times New Roman" w:cs="Times New Roman"/>
                <w:noProof/>
                <w:sz w:val="20"/>
                <w:szCs w:val="20"/>
                <w:highlight w:val="yellow"/>
              </w:rPr>
            </w:pPr>
            <w:r w:rsidRPr="000F7386">
              <w:rPr>
                <w:rFonts w:ascii="Times New Roman" w:eastAsia="Times New Roman" w:hAnsi="Times New Roman" w:cs="Times New Roman"/>
                <w:noProof/>
                <w:sz w:val="20"/>
                <w:szCs w:val="20"/>
              </w:rPr>
              <w:t>0</w:t>
            </w:r>
          </w:p>
        </w:tc>
        <w:tc>
          <w:tcPr>
            <w:tcW w:w="1526" w:type="dxa"/>
          </w:tcPr>
          <w:p w14:paraId="29ED8426" w14:textId="77777777" w:rsidR="00FE47FC" w:rsidRPr="000F7386" w:rsidRDefault="00FE47FC" w:rsidP="00BB20EB">
            <w:pPr>
              <w:jc w:val="center"/>
              <w:rPr>
                <w:b/>
                <w:noProof/>
              </w:rPr>
            </w:pPr>
          </w:p>
        </w:tc>
        <w:tc>
          <w:tcPr>
            <w:tcW w:w="1532" w:type="dxa"/>
          </w:tcPr>
          <w:p w14:paraId="17F378AE" w14:textId="77777777" w:rsidR="00FE47FC" w:rsidRPr="000F7386" w:rsidRDefault="00FE47FC" w:rsidP="00BB20EB">
            <w:pPr>
              <w:jc w:val="center"/>
              <w:rPr>
                <w:noProof/>
              </w:rPr>
            </w:pPr>
            <w:r w:rsidRPr="000F7386">
              <w:rPr>
                <w:noProof/>
              </w:rPr>
              <w:t>22</w:t>
            </w:r>
            <w:r w:rsidRPr="000F7386">
              <w:rPr>
                <w:rFonts w:ascii="Calibri" w:hAnsi="Calibri" w:cs="Calibri"/>
                <w:noProof/>
              </w:rPr>
              <w:t> </w:t>
            </w:r>
            <w:r w:rsidRPr="000F7386">
              <w:rPr>
                <w:noProof/>
              </w:rPr>
              <w:t>000 in 2027</w:t>
            </w:r>
          </w:p>
        </w:tc>
        <w:tc>
          <w:tcPr>
            <w:tcW w:w="1572" w:type="dxa"/>
          </w:tcPr>
          <w:p w14:paraId="72695AA3" w14:textId="77777777" w:rsidR="00FE47FC" w:rsidRPr="000F7386" w:rsidRDefault="00FE47FC" w:rsidP="00BB20EB">
            <w:pPr>
              <w:jc w:val="center"/>
              <w:rPr>
                <w:noProof/>
              </w:rPr>
            </w:pPr>
            <w:r w:rsidRPr="000F7386">
              <w:rPr>
                <w:noProof/>
              </w:rPr>
              <w:t>No results</w:t>
            </w:r>
          </w:p>
        </w:tc>
        <w:tc>
          <w:tcPr>
            <w:tcW w:w="1579" w:type="dxa"/>
          </w:tcPr>
          <w:p w14:paraId="4EC71E98" w14:textId="77777777" w:rsidR="00FE47FC" w:rsidRPr="000F7386" w:rsidRDefault="00FE47FC" w:rsidP="00BB20EB">
            <w:pPr>
              <w:jc w:val="center"/>
              <w:rPr>
                <w:noProof/>
              </w:rPr>
            </w:pPr>
            <w:r w:rsidRPr="000F7386">
              <w:rPr>
                <w:noProof/>
              </w:rPr>
              <w:t>No data</w:t>
            </w:r>
          </w:p>
        </w:tc>
      </w:tr>
      <w:tr w:rsidR="00FE47FC" w:rsidRPr="000F7386" w14:paraId="57A0A62E" w14:textId="77777777" w:rsidTr="00BB20EB">
        <w:trPr>
          <w:cnfStyle w:val="000000100000" w:firstRow="0" w:lastRow="0" w:firstColumn="0" w:lastColumn="0" w:oddVBand="0" w:evenVBand="0" w:oddHBand="1" w:evenHBand="0" w:firstRowFirstColumn="0" w:firstRowLastColumn="0" w:lastRowFirstColumn="0" w:lastRowLastColumn="0"/>
        </w:trPr>
        <w:tc>
          <w:tcPr>
            <w:tcW w:w="2330" w:type="dxa"/>
          </w:tcPr>
          <w:p w14:paraId="7D2CAA16" w14:textId="77777777" w:rsidR="00FE47FC" w:rsidRPr="000F7386" w:rsidRDefault="00FE47FC" w:rsidP="00BB20EB">
            <w:pPr>
              <w:rPr>
                <w:noProof/>
              </w:rPr>
            </w:pPr>
            <w:r w:rsidRPr="000F7386">
              <w:rPr>
                <w:noProof/>
              </w:rPr>
              <w:t>Percentage of international financial reporting and auditing standards endorsed by the EU</w:t>
            </w:r>
          </w:p>
        </w:tc>
        <w:tc>
          <w:tcPr>
            <w:tcW w:w="1100" w:type="dxa"/>
          </w:tcPr>
          <w:p w14:paraId="3585FE76" w14:textId="77777777" w:rsidR="00FE47FC" w:rsidRPr="000F7386" w:rsidRDefault="00FE47FC" w:rsidP="00BB20EB">
            <w:pPr>
              <w:jc w:val="center"/>
              <w:rPr>
                <w:noProof/>
              </w:rPr>
            </w:pPr>
            <w:r w:rsidRPr="000F7386">
              <w:rPr>
                <w:noProof/>
              </w:rPr>
              <w:t>98%</w:t>
            </w:r>
          </w:p>
        </w:tc>
        <w:tc>
          <w:tcPr>
            <w:tcW w:w="1526" w:type="dxa"/>
          </w:tcPr>
          <w:p w14:paraId="707FC111" w14:textId="77777777" w:rsidR="00FE47FC" w:rsidRPr="000F7386" w:rsidRDefault="00FE47FC" w:rsidP="00BB20EB">
            <w:pPr>
              <w:jc w:val="center"/>
              <w:rPr>
                <w:b/>
                <w:bCs/>
                <w:noProof/>
              </w:rPr>
            </w:pPr>
            <w:r>
              <w:rPr>
                <w:b/>
                <w:noProof/>
              </w:rPr>
              <w:t>50</w:t>
            </w:r>
            <w:r w:rsidRPr="000F7386">
              <w:rPr>
                <w:b/>
                <w:noProof/>
              </w:rPr>
              <w:t>%</w:t>
            </w:r>
          </w:p>
        </w:tc>
        <w:tc>
          <w:tcPr>
            <w:tcW w:w="1532" w:type="dxa"/>
          </w:tcPr>
          <w:p w14:paraId="701E9EF6" w14:textId="77777777" w:rsidR="00FE47FC" w:rsidRPr="000F7386" w:rsidRDefault="00FE47FC" w:rsidP="00BB20EB">
            <w:pPr>
              <w:jc w:val="center"/>
              <w:rPr>
                <w:noProof/>
              </w:rPr>
            </w:pPr>
            <w:r w:rsidRPr="000F7386">
              <w:rPr>
                <w:noProof/>
              </w:rPr>
              <w:t>100% in 2027</w:t>
            </w:r>
          </w:p>
        </w:tc>
        <w:tc>
          <w:tcPr>
            <w:tcW w:w="1572" w:type="dxa"/>
          </w:tcPr>
          <w:p w14:paraId="61C531E2" w14:textId="77777777" w:rsidR="00FE47FC" w:rsidRPr="000F7386" w:rsidRDefault="00FE47FC" w:rsidP="00BB20EB">
            <w:pPr>
              <w:jc w:val="center"/>
              <w:rPr>
                <w:noProof/>
              </w:rPr>
            </w:pPr>
            <w:r w:rsidRPr="000F7386">
              <w:rPr>
                <w:noProof/>
              </w:rPr>
              <w:t>99% compared to a target of 100%</w:t>
            </w:r>
          </w:p>
        </w:tc>
        <w:tc>
          <w:tcPr>
            <w:tcW w:w="1579" w:type="dxa"/>
          </w:tcPr>
          <w:p w14:paraId="6517A84E" w14:textId="77777777" w:rsidR="00FE47FC" w:rsidRPr="000F7386" w:rsidRDefault="00FE47FC" w:rsidP="00BB20EB">
            <w:pPr>
              <w:jc w:val="center"/>
              <w:rPr>
                <w:noProof/>
              </w:rPr>
            </w:pPr>
            <w:r w:rsidRPr="000F7386">
              <w:rPr>
                <w:noProof/>
              </w:rPr>
              <w:t>On track</w:t>
            </w:r>
          </w:p>
        </w:tc>
      </w:tr>
      <w:tr w:rsidR="00FE47FC" w:rsidRPr="000F7386" w14:paraId="2C116891" w14:textId="77777777" w:rsidTr="00BB20EB">
        <w:trPr>
          <w:cnfStyle w:val="000000010000" w:firstRow="0" w:lastRow="0" w:firstColumn="0" w:lastColumn="0" w:oddVBand="0" w:evenVBand="0" w:oddHBand="0" w:evenHBand="1" w:firstRowFirstColumn="0" w:firstRowLastColumn="0" w:lastRowFirstColumn="0" w:lastRowLastColumn="0"/>
        </w:trPr>
        <w:tc>
          <w:tcPr>
            <w:tcW w:w="2330" w:type="dxa"/>
          </w:tcPr>
          <w:p w14:paraId="4914177D" w14:textId="77777777" w:rsidR="00FE47FC" w:rsidRPr="000F7386" w:rsidRDefault="00FE47FC" w:rsidP="00BB20EB">
            <w:pPr>
              <w:rPr>
                <w:noProof/>
              </w:rPr>
            </w:pPr>
            <w:r w:rsidRPr="000F7386">
              <w:rPr>
                <w:noProof/>
              </w:rPr>
              <w:t>Number of position papers and responses to public consultations in the field of financial services from beneficiaries</w:t>
            </w:r>
          </w:p>
        </w:tc>
        <w:tc>
          <w:tcPr>
            <w:tcW w:w="1100" w:type="dxa"/>
          </w:tcPr>
          <w:p w14:paraId="22D5FC04" w14:textId="77777777" w:rsidR="00FE47FC" w:rsidRPr="000F7386" w:rsidRDefault="00FE47FC" w:rsidP="00BB20EB">
            <w:pPr>
              <w:jc w:val="center"/>
              <w:rPr>
                <w:noProof/>
              </w:rPr>
            </w:pPr>
            <w:r w:rsidRPr="000F7386">
              <w:rPr>
                <w:noProof/>
              </w:rPr>
              <w:t>53</w:t>
            </w:r>
          </w:p>
        </w:tc>
        <w:tc>
          <w:tcPr>
            <w:tcW w:w="1526" w:type="dxa"/>
          </w:tcPr>
          <w:p w14:paraId="0631E49F" w14:textId="77777777" w:rsidR="00FE47FC" w:rsidRPr="000F7386" w:rsidRDefault="00FE47FC" w:rsidP="00BB20EB">
            <w:pPr>
              <w:jc w:val="center"/>
              <w:rPr>
                <w:b/>
                <w:bCs/>
                <w:noProof/>
              </w:rPr>
            </w:pPr>
            <w:r>
              <w:rPr>
                <w:b/>
                <w:bCs/>
                <w:noProof/>
              </w:rPr>
              <w:t>14%</w:t>
            </w:r>
          </w:p>
        </w:tc>
        <w:tc>
          <w:tcPr>
            <w:tcW w:w="1532" w:type="dxa"/>
          </w:tcPr>
          <w:p w14:paraId="431C5FF5" w14:textId="77777777" w:rsidR="00FE47FC" w:rsidRPr="000F7386" w:rsidRDefault="00FE47FC" w:rsidP="00BB20EB">
            <w:pPr>
              <w:jc w:val="center"/>
              <w:rPr>
                <w:noProof/>
              </w:rPr>
            </w:pPr>
            <w:r>
              <w:rPr>
                <w:noProof/>
              </w:rPr>
              <w:t>371</w:t>
            </w:r>
          </w:p>
        </w:tc>
        <w:tc>
          <w:tcPr>
            <w:tcW w:w="1572" w:type="dxa"/>
          </w:tcPr>
          <w:p w14:paraId="329A1CB0" w14:textId="77777777" w:rsidR="00FE47FC" w:rsidRPr="000F7386" w:rsidRDefault="00FE47FC" w:rsidP="00BB20EB">
            <w:pPr>
              <w:jc w:val="center"/>
              <w:rPr>
                <w:noProof/>
              </w:rPr>
            </w:pPr>
            <w:r w:rsidRPr="000F7386">
              <w:rPr>
                <w:noProof/>
              </w:rPr>
              <w:t>53</w:t>
            </w:r>
            <w:r>
              <w:rPr>
                <w:noProof/>
              </w:rPr>
              <w:t xml:space="preserve"> compared to a target of 371</w:t>
            </w:r>
          </w:p>
        </w:tc>
        <w:tc>
          <w:tcPr>
            <w:tcW w:w="1579" w:type="dxa"/>
          </w:tcPr>
          <w:p w14:paraId="5D4B47E1" w14:textId="77777777" w:rsidR="00FE47FC" w:rsidRPr="000F7386" w:rsidRDefault="00FE47FC" w:rsidP="00BB20EB">
            <w:pPr>
              <w:jc w:val="center"/>
              <w:rPr>
                <w:noProof/>
              </w:rPr>
            </w:pPr>
            <w:r w:rsidRPr="000F7386">
              <w:rPr>
                <w:noProof/>
              </w:rPr>
              <w:t>On track</w:t>
            </w:r>
          </w:p>
        </w:tc>
      </w:tr>
      <w:tr w:rsidR="00FE47FC" w:rsidRPr="000F7386" w14:paraId="3AC044FC" w14:textId="77777777" w:rsidTr="00BB20EB">
        <w:trPr>
          <w:cnfStyle w:val="000000100000" w:firstRow="0" w:lastRow="0" w:firstColumn="0" w:lastColumn="0" w:oddVBand="0" w:evenVBand="0" w:oddHBand="1" w:evenHBand="0" w:firstRowFirstColumn="0" w:firstRowLastColumn="0" w:lastRowFirstColumn="0" w:lastRowLastColumn="0"/>
        </w:trPr>
        <w:tc>
          <w:tcPr>
            <w:tcW w:w="2330" w:type="dxa"/>
          </w:tcPr>
          <w:p w14:paraId="32E556BF" w14:textId="77777777" w:rsidR="00FE47FC" w:rsidRPr="000F7386" w:rsidRDefault="00FE47FC" w:rsidP="00BB20EB">
            <w:pPr>
              <w:rPr>
                <w:noProof/>
              </w:rPr>
            </w:pPr>
            <w:r w:rsidRPr="000F7386">
              <w:rPr>
                <w:noProof/>
              </w:rPr>
              <w:t>Number of successfully implemented national veterinary and phytosanitary programmes</w:t>
            </w:r>
          </w:p>
        </w:tc>
        <w:tc>
          <w:tcPr>
            <w:tcW w:w="1100" w:type="dxa"/>
          </w:tcPr>
          <w:p w14:paraId="233DAF96" w14:textId="77777777" w:rsidR="00FE47FC" w:rsidRPr="000F7386" w:rsidRDefault="00FE47FC" w:rsidP="00BB20EB">
            <w:pPr>
              <w:jc w:val="center"/>
              <w:rPr>
                <w:noProof/>
              </w:rPr>
            </w:pPr>
          </w:p>
        </w:tc>
        <w:tc>
          <w:tcPr>
            <w:tcW w:w="1526" w:type="dxa"/>
          </w:tcPr>
          <w:p w14:paraId="1085CAF0" w14:textId="77777777" w:rsidR="00FE47FC" w:rsidRPr="000F7386" w:rsidRDefault="00FE47FC" w:rsidP="00BB20EB">
            <w:pPr>
              <w:jc w:val="center"/>
              <w:rPr>
                <w:b/>
                <w:noProof/>
              </w:rPr>
            </w:pPr>
          </w:p>
        </w:tc>
        <w:tc>
          <w:tcPr>
            <w:tcW w:w="1532" w:type="dxa"/>
          </w:tcPr>
          <w:p w14:paraId="77C70A90" w14:textId="77777777" w:rsidR="00FE47FC" w:rsidRPr="000F7386" w:rsidRDefault="00FE47FC" w:rsidP="00BB20EB">
            <w:pPr>
              <w:jc w:val="center"/>
              <w:rPr>
                <w:noProof/>
              </w:rPr>
            </w:pPr>
          </w:p>
        </w:tc>
        <w:tc>
          <w:tcPr>
            <w:tcW w:w="1572" w:type="dxa"/>
          </w:tcPr>
          <w:p w14:paraId="29ED2B0D" w14:textId="77777777" w:rsidR="00FE47FC" w:rsidRPr="000F7386" w:rsidRDefault="00FE47FC" w:rsidP="00BB20EB">
            <w:pPr>
              <w:jc w:val="center"/>
              <w:rPr>
                <w:noProof/>
              </w:rPr>
            </w:pPr>
            <w:r w:rsidRPr="000F7386">
              <w:rPr>
                <w:noProof/>
              </w:rPr>
              <w:t>No results</w:t>
            </w:r>
          </w:p>
        </w:tc>
        <w:tc>
          <w:tcPr>
            <w:tcW w:w="1579" w:type="dxa"/>
          </w:tcPr>
          <w:p w14:paraId="0A996B91" w14:textId="77777777" w:rsidR="00FE47FC" w:rsidRPr="000F7386" w:rsidRDefault="00FE47FC" w:rsidP="00BB20EB">
            <w:pPr>
              <w:jc w:val="center"/>
              <w:rPr>
                <w:noProof/>
              </w:rPr>
            </w:pPr>
            <w:r>
              <w:rPr>
                <w:noProof/>
              </w:rPr>
              <w:t>No data</w:t>
            </w:r>
          </w:p>
        </w:tc>
      </w:tr>
      <w:tr w:rsidR="00FE47FC" w:rsidRPr="000F7386" w14:paraId="6058E9FC" w14:textId="77777777" w:rsidTr="00BB20EB">
        <w:trPr>
          <w:cnfStyle w:val="000000010000" w:firstRow="0" w:lastRow="0" w:firstColumn="0" w:lastColumn="0" w:oddVBand="0" w:evenVBand="0" w:oddHBand="0" w:evenHBand="1" w:firstRowFirstColumn="0" w:firstRowLastColumn="0" w:lastRowFirstColumn="0" w:lastRowLastColumn="0"/>
        </w:trPr>
        <w:tc>
          <w:tcPr>
            <w:tcW w:w="2330" w:type="dxa"/>
          </w:tcPr>
          <w:p w14:paraId="7D2350EF" w14:textId="77777777" w:rsidR="00FE47FC" w:rsidRPr="000F7386" w:rsidRDefault="00FE47FC" w:rsidP="00BB20EB">
            <w:pPr>
              <w:rPr>
                <w:noProof/>
              </w:rPr>
            </w:pPr>
            <w:r w:rsidRPr="000F7386">
              <w:rPr>
                <w:noProof/>
              </w:rPr>
              <w:t>Number of web mentions and positive/negative opinions</w:t>
            </w:r>
          </w:p>
        </w:tc>
        <w:tc>
          <w:tcPr>
            <w:tcW w:w="1100" w:type="dxa"/>
          </w:tcPr>
          <w:p w14:paraId="4EE4D569" w14:textId="77777777" w:rsidR="00FE47FC" w:rsidRPr="000F7386" w:rsidRDefault="00FE47FC" w:rsidP="00BB20EB">
            <w:pPr>
              <w:jc w:val="center"/>
              <w:rPr>
                <w:noProof/>
              </w:rPr>
            </w:pPr>
            <w:r>
              <w:rPr>
                <w:noProof/>
              </w:rPr>
              <w:t>480 000</w:t>
            </w:r>
          </w:p>
        </w:tc>
        <w:tc>
          <w:tcPr>
            <w:tcW w:w="1526" w:type="dxa"/>
          </w:tcPr>
          <w:p w14:paraId="3BDC0F43" w14:textId="77777777" w:rsidR="00FE47FC" w:rsidRPr="000F7386" w:rsidRDefault="00FE47FC" w:rsidP="00BB20EB">
            <w:pPr>
              <w:jc w:val="center"/>
              <w:rPr>
                <w:b/>
                <w:noProof/>
              </w:rPr>
            </w:pPr>
            <w:r>
              <w:rPr>
                <w:b/>
                <w:noProof/>
              </w:rPr>
              <w:t>31</w:t>
            </w:r>
            <w:r w:rsidRPr="000F7386">
              <w:rPr>
                <w:b/>
                <w:noProof/>
              </w:rPr>
              <w:t>%</w:t>
            </w:r>
          </w:p>
        </w:tc>
        <w:tc>
          <w:tcPr>
            <w:tcW w:w="1532" w:type="dxa"/>
          </w:tcPr>
          <w:p w14:paraId="04424952" w14:textId="77777777" w:rsidR="00FE47FC" w:rsidRPr="000F7386" w:rsidRDefault="00FE47FC" w:rsidP="00BB20EB">
            <w:pPr>
              <w:jc w:val="center"/>
              <w:rPr>
                <w:noProof/>
              </w:rPr>
            </w:pPr>
            <w:r>
              <w:rPr>
                <w:noProof/>
              </w:rPr>
              <w:t>499 539 in 2028</w:t>
            </w:r>
          </w:p>
        </w:tc>
        <w:tc>
          <w:tcPr>
            <w:tcW w:w="1572" w:type="dxa"/>
          </w:tcPr>
          <w:p w14:paraId="7E03894E" w14:textId="77777777" w:rsidR="00FE47FC" w:rsidRPr="000F7386" w:rsidRDefault="00FE47FC" w:rsidP="00BB20EB">
            <w:pPr>
              <w:jc w:val="center"/>
              <w:rPr>
                <w:noProof/>
              </w:rPr>
            </w:pPr>
            <w:r>
              <w:rPr>
                <w:noProof/>
              </w:rPr>
              <w:t>486 000 compared to a target of 499 539</w:t>
            </w:r>
          </w:p>
        </w:tc>
        <w:tc>
          <w:tcPr>
            <w:tcW w:w="1579" w:type="dxa"/>
          </w:tcPr>
          <w:p w14:paraId="68B77037" w14:textId="77777777" w:rsidR="00FE47FC" w:rsidRPr="000F7386" w:rsidRDefault="00FE47FC" w:rsidP="00BB20EB">
            <w:pPr>
              <w:jc w:val="center"/>
              <w:rPr>
                <w:noProof/>
              </w:rPr>
            </w:pPr>
            <w:r w:rsidRPr="000F7386">
              <w:rPr>
                <w:noProof/>
              </w:rPr>
              <w:t>On track</w:t>
            </w:r>
          </w:p>
        </w:tc>
      </w:tr>
    </w:tbl>
    <w:p w14:paraId="4E1559FD" w14:textId="77777777" w:rsidR="00FE47FC" w:rsidRPr="000F7386" w:rsidRDefault="00FE47FC" w:rsidP="00FE47FC">
      <w:pPr>
        <w:pStyle w:val="FootnoteText"/>
        <w:rPr>
          <w:noProof/>
        </w:rPr>
      </w:pPr>
      <w:r w:rsidRPr="000F7386">
        <w:rPr>
          <w:noProof/>
        </w:rPr>
        <w:t>(*)</w:t>
      </w:r>
      <w:r w:rsidRPr="000F7386">
        <w:rPr>
          <w:noProof/>
        </w:rPr>
        <w:tab/>
        <w:t>% of target achieved by the end of 2021.</w:t>
      </w:r>
    </w:p>
    <w:p w14:paraId="242A18E7" w14:textId="77777777" w:rsidR="00FE47FC" w:rsidRPr="000F7386" w:rsidRDefault="00FE47FC" w:rsidP="00FE47FC">
      <w:pPr>
        <w:pStyle w:val="FootnoteText"/>
        <w:rPr>
          <w:noProof/>
        </w:rPr>
      </w:pPr>
      <w:r w:rsidRPr="000F7386">
        <w:rPr>
          <w:noProof/>
        </w:rPr>
        <w:t>(**)</w:t>
      </w:r>
      <w:r w:rsidRPr="000F7386">
        <w:rPr>
          <w:noProof/>
        </w:rPr>
        <w:tab/>
        <w:t>No single market programme reporting data is envisaged for the mentoring and mobility actions in 2021, as the actions during this period are funded under the previous COSME programme.</w:t>
      </w:r>
    </w:p>
    <w:p w14:paraId="7E0A0F29" w14:textId="77777777" w:rsidR="00FE47FC" w:rsidRPr="000F7386" w:rsidRDefault="00FE47FC" w:rsidP="00FE47FC">
      <w:pPr>
        <w:pStyle w:val="ppoListHyphened-L1"/>
        <w:rPr>
          <w:noProof/>
          <w:sz w:val="20"/>
          <w:szCs w:val="20"/>
        </w:rPr>
      </w:pPr>
      <w:r w:rsidRPr="000F7386">
        <w:rPr>
          <w:rStyle w:val="normaltextrun"/>
          <w:noProof/>
          <w:sz w:val="20"/>
          <w:szCs w:val="20"/>
        </w:rPr>
        <w:t>With implementation having just started, there is not enough information to carry out a detailed performance assessment of the 2021-2027 single market programme. This will be provided once the implementation has progressed further.</w:t>
      </w:r>
    </w:p>
    <w:p w14:paraId="62F48F67" w14:textId="77777777" w:rsidR="00FE47FC" w:rsidRPr="000F7386" w:rsidRDefault="00FE47FC" w:rsidP="00FE47FC">
      <w:pPr>
        <w:pStyle w:val="ppoHeading4Orange"/>
        <w:rPr>
          <w:noProof/>
        </w:rPr>
      </w:pPr>
      <w:r w:rsidRPr="000F7386">
        <w:rPr>
          <w:noProof/>
        </w:rPr>
        <w:t>2014-2020 multiannual financial framework</w:t>
      </w:r>
      <w:r w:rsidRPr="000F7386">
        <w:rPr>
          <w:rFonts w:ascii="Calibri" w:hAnsi="Calibri" w:cs="Calibri"/>
          <w:noProof/>
        </w:rPr>
        <w:t> </w:t>
      </w:r>
      <w:r w:rsidRPr="000F7386">
        <w:rPr>
          <w:noProof/>
        </w:rPr>
        <w:t>–programme for the competitiveness of enterprises and small and medium-sized enterprises</w:t>
      </w:r>
    </w:p>
    <w:p w14:paraId="5B2E57D4" w14:textId="77777777" w:rsidR="00FE47FC" w:rsidRPr="000F7386" w:rsidRDefault="00FE47FC" w:rsidP="00FE47FC">
      <w:pPr>
        <w:rPr>
          <w:rFonts w:eastAsiaTheme="minorEastAsia"/>
          <w:noProof/>
        </w:rPr>
      </w:pPr>
      <w:r w:rsidRPr="000F7386">
        <w:rPr>
          <w:rFonts w:eastAsiaTheme="minorEastAsia"/>
          <w:noProof/>
        </w:rPr>
        <w:t xml:space="preserve">COSME supports measures to strengthen the competitiveness and sustainability of SMEs, which also achieve additionality at the EU level. </w:t>
      </w:r>
      <w:bookmarkStart w:id="73" w:name="_Hlk101777284"/>
      <w:r w:rsidRPr="003B534F">
        <w:rPr>
          <w:rFonts w:eastAsiaTheme="minorEastAsia"/>
          <w:noProof/>
        </w:rPr>
        <w:t>This encompasses measures to foster growth; scale up and create SMEs; improve access to markets (including through internationalisation); improve access to finance for SMEs in the form of equity and debt; promote entrepreneurship, entrepreneurial skills, the business environment and digital transformation; create new business opportunities for SMEs (including those with innovative business models); improve the competitiveness of industrial ecosystems and sectors; develop industrial value chains; modernise industry; and contribute to a green, digital and resilient economy.</w:t>
      </w:r>
      <w:r w:rsidRPr="003B534F" w:rsidDel="003B534F">
        <w:rPr>
          <w:rFonts w:eastAsiaTheme="minorEastAsia"/>
          <w:noProof/>
        </w:rPr>
        <w:t xml:space="preserve"> </w:t>
      </w:r>
      <w:bookmarkEnd w:id="73"/>
    </w:p>
    <w:p w14:paraId="1BEC520F" w14:textId="77777777" w:rsidR="00FE47FC" w:rsidRPr="000F7386" w:rsidRDefault="00FE47FC" w:rsidP="00FE47FC">
      <w:pPr>
        <w:pStyle w:val="ppoHeading5"/>
        <w:rPr>
          <w:noProof/>
        </w:rPr>
      </w:pPr>
      <w:r w:rsidRPr="000F7386">
        <w:rPr>
          <w:noProof/>
        </w:rPr>
        <w:t>Budget</w:t>
      </w:r>
    </w:p>
    <w:p w14:paraId="5414CE75" w14:textId="77777777" w:rsidR="00FE47FC" w:rsidRPr="000F7386" w:rsidRDefault="00FE47FC" w:rsidP="00FE47FC">
      <w:pPr>
        <w:pStyle w:val="ppoTableTabletitle"/>
        <w:rPr>
          <w:noProof/>
        </w:rPr>
      </w:pPr>
      <w:r w:rsidRPr="000F7386">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FE47FC" w:rsidRPr="000F7386" w14:paraId="32DC1086" w14:textId="77777777" w:rsidTr="00BB2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3D414382" w14:textId="77777777" w:rsidR="00FE47FC" w:rsidRPr="000F7386" w:rsidRDefault="00FE47FC" w:rsidP="00BB20EB">
            <w:pPr>
              <w:rPr>
                <w:noProof/>
              </w:rPr>
            </w:pPr>
          </w:p>
        </w:tc>
        <w:tc>
          <w:tcPr>
            <w:tcW w:w="2410" w:type="dxa"/>
          </w:tcPr>
          <w:p w14:paraId="0BC7A660" w14:textId="77777777" w:rsidR="00FE47FC" w:rsidRPr="000F7386" w:rsidRDefault="00FE47FC" w:rsidP="00BB20EB">
            <w:pPr>
              <w:cnfStyle w:val="100000000000" w:firstRow="1" w:lastRow="0" w:firstColumn="0" w:lastColumn="0" w:oddVBand="0" w:evenVBand="0" w:oddHBand="0" w:evenHBand="0" w:firstRowFirstColumn="0" w:firstRowLastColumn="0" w:lastRowFirstColumn="0" w:lastRowLastColumn="0"/>
              <w:rPr>
                <w:noProof/>
              </w:rPr>
            </w:pPr>
            <w:r w:rsidRPr="000F7386">
              <w:rPr>
                <w:noProof/>
              </w:rPr>
              <w:t>Implementation</w:t>
            </w:r>
          </w:p>
        </w:tc>
        <w:tc>
          <w:tcPr>
            <w:tcW w:w="2410" w:type="dxa"/>
          </w:tcPr>
          <w:p w14:paraId="054663AE" w14:textId="67E619D7" w:rsidR="00FE47FC" w:rsidRPr="000F7386" w:rsidRDefault="001F4CBC" w:rsidP="00BB20EB">
            <w:pPr>
              <w:cnfStyle w:val="100000000000" w:firstRow="1" w:lastRow="0" w:firstColumn="0" w:lastColumn="0" w:oddVBand="0" w:evenVBand="0" w:oddHBand="0" w:evenHBand="0" w:firstRowFirstColumn="0" w:firstRowLastColumn="0" w:lastRowFirstColumn="0" w:lastRowLastColumn="0"/>
              <w:rPr>
                <w:noProof/>
              </w:rPr>
            </w:pPr>
            <w:r>
              <w:rPr>
                <w:noProof/>
              </w:rPr>
              <w:t xml:space="preserve">2014-2020 </w:t>
            </w:r>
            <w:r w:rsidRPr="00885241">
              <w:rPr>
                <w:noProof/>
              </w:rPr>
              <w:t>Budget</w:t>
            </w:r>
          </w:p>
        </w:tc>
        <w:tc>
          <w:tcPr>
            <w:tcW w:w="2410" w:type="dxa"/>
          </w:tcPr>
          <w:p w14:paraId="786AC387" w14:textId="77777777" w:rsidR="00FE47FC" w:rsidRPr="000F7386" w:rsidRDefault="00FE47FC" w:rsidP="00BB20EB">
            <w:pPr>
              <w:cnfStyle w:val="100000000000" w:firstRow="1" w:lastRow="0" w:firstColumn="0" w:lastColumn="0" w:oddVBand="0" w:evenVBand="0" w:oddHBand="0" w:evenHBand="0" w:firstRowFirstColumn="0" w:firstRowLastColumn="0" w:lastRowFirstColumn="0" w:lastRowLastColumn="0"/>
              <w:rPr>
                <w:noProof/>
              </w:rPr>
            </w:pPr>
            <w:r w:rsidRPr="000F7386">
              <w:rPr>
                <w:noProof/>
              </w:rPr>
              <w:t>Implementation rate</w:t>
            </w:r>
          </w:p>
        </w:tc>
      </w:tr>
      <w:tr w:rsidR="00FE47FC" w:rsidRPr="000F7386" w14:paraId="6CA7D3E5" w14:textId="77777777" w:rsidTr="00BB20EB">
        <w:tc>
          <w:tcPr>
            <w:cnfStyle w:val="001000000000" w:firstRow="0" w:lastRow="0" w:firstColumn="1" w:lastColumn="0" w:oddVBand="0" w:evenVBand="0" w:oddHBand="0" w:evenHBand="0" w:firstRowFirstColumn="0" w:firstRowLastColumn="0" w:lastRowFirstColumn="0" w:lastRowLastColumn="0"/>
            <w:tcW w:w="2409" w:type="dxa"/>
          </w:tcPr>
          <w:p w14:paraId="3F72AF89" w14:textId="77777777" w:rsidR="00FE47FC" w:rsidRPr="000F7386" w:rsidRDefault="00FE47FC" w:rsidP="00BB20EB">
            <w:pPr>
              <w:jc w:val="center"/>
              <w:rPr>
                <w:noProof/>
              </w:rPr>
            </w:pPr>
            <w:r w:rsidRPr="000F7386">
              <w:rPr>
                <w:noProof/>
              </w:rPr>
              <w:t>Commitments</w:t>
            </w:r>
          </w:p>
        </w:tc>
        <w:tc>
          <w:tcPr>
            <w:tcW w:w="2410" w:type="dxa"/>
          </w:tcPr>
          <w:tbl>
            <w:tblPr>
              <w:tblStyle w:val="TableGrid"/>
              <w:tblW w:w="0" w:type="auto"/>
              <w:tblLook w:val="06A0" w:firstRow="1" w:lastRow="0" w:firstColumn="1" w:lastColumn="0" w:noHBand="1" w:noVBand="1"/>
            </w:tblPr>
            <w:tblGrid>
              <w:gridCol w:w="2194"/>
            </w:tblGrid>
            <w:tr w:rsidR="00FE47FC" w:rsidRPr="000F7386" w14:paraId="74CC9A2A" w14:textId="77777777" w:rsidTr="00BB20EB">
              <w:trPr>
                <w:trHeight w:val="285"/>
              </w:trPr>
              <w:tc>
                <w:tcPr>
                  <w:tcW w:w="2290" w:type="dxa"/>
                  <w:tcBorders>
                    <w:top w:val="nil"/>
                    <w:left w:val="nil"/>
                    <w:bottom w:val="nil"/>
                    <w:right w:val="nil"/>
                  </w:tcBorders>
                  <w:vAlign w:val="bottom"/>
                </w:tcPr>
                <w:p w14:paraId="2DC4DFDB" w14:textId="77777777" w:rsidR="00FE47FC" w:rsidRPr="000F7386" w:rsidRDefault="00FE47FC" w:rsidP="00BB20EB">
                  <w:pPr>
                    <w:jc w:val="right"/>
                    <w:rPr>
                      <w:noProof/>
                    </w:rPr>
                  </w:pPr>
                  <w:r w:rsidRPr="000F7386">
                    <w:rPr>
                      <w:rFonts w:ascii="Calibri" w:hAnsi="Calibri" w:cs="Calibri"/>
                      <w:noProof/>
                      <w:color w:val="000000"/>
                    </w:rPr>
                    <w:t>2 358.7</w:t>
                  </w:r>
                </w:p>
              </w:tc>
            </w:tr>
          </w:tbl>
          <w:p w14:paraId="684333A4" w14:textId="77777777" w:rsidR="00FE47FC" w:rsidRPr="000F7386" w:rsidRDefault="00FE47FC"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FE47FC" w:rsidRPr="000F7386" w14:paraId="1201BCD9" w14:textId="77777777" w:rsidTr="00BB20EB">
              <w:trPr>
                <w:trHeight w:val="285"/>
              </w:trPr>
              <w:tc>
                <w:tcPr>
                  <w:tcW w:w="2290" w:type="dxa"/>
                  <w:tcBorders>
                    <w:top w:val="nil"/>
                    <w:left w:val="nil"/>
                    <w:bottom w:val="nil"/>
                    <w:right w:val="nil"/>
                  </w:tcBorders>
                  <w:vAlign w:val="bottom"/>
                </w:tcPr>
                <w:p w14:paraId="75211A7A" w14:textId="77777777" w:rsidR="00FE47FC" w:rsidRPr="000F7386" w:rsidRDefault="00FE47FC" w:rsidP="00BB20EB">
                  <w:pPr>
                    <w:jc w:val="right"/>
                    <w:rPr>
                      <w:noProof/>
                    </w:rPr>
                  </w:pPr>
                  <w:r w:rsidRPr="000F7386">
                    <w:rPr>
                      <w:rFonts w:ascii="Calibri" w:hAnsi="Calibri" w:cs="Calibri"/>
                      <w:noProof/>
                      <w:color w:val="000000"/>
                    </w:rPr>
                    <w:t>2 359.0</w:t>
                  </w:r>
                </w:p>
              </w:tc>
            </w:tr>
          </w:tbl>
          <w:p w14:paraId="67B6947D" w14:textId="77777777" w:rsidR="00FE47FC" w:rsidRPr="000F7386" w:rsidRDefault="00FE47FC"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FE47FC" w:rsidRPr="000F7386" w14:paraId="512B1A49" w14:textId="77777777" w:rsidTr="00BB20EB">
              <w:trPr>
                <w:trHeight w:val="285"/>
              </w:trPr>
              <w:tc>
                <w:tcPr>
                  <w:tcW w:w="2290" w:type="dxa"/>
                  <w:tcBorders>
                    <w:top w:val="nil"/>
                    <w:left w:val="nil"/>
                    <w:bottom w:val="nil"/>
                    <w:right w:val="nil"/>
                  </w:tcBorders>
                  <w:vAlign w:val="bottom"/>
                </w:tcPr>
                <w:p w14:paraId="626B806F" w14:textId="77777777" w:rsidR="00FE47FC" w:rsidRPr="000F7386" w:rsidRDefault="00FE47FC" w:rsidP="00BB20EB">
                  <w:pPr>
                    <w:jc w:val="right"/>
                    <w:rPr>
                      <w:noProof/>
                    </w:rPr>
                  </w:pPr>
                  <w:r w:rsidRPr="000F7386">
                    <w:rPr>
                      <w:rFonts w:ascii="Calibri" w:hAnsi="Calibri" w:cs="Calibri"/>
                      <w:noProof/>
                      <w:color w:val="000000"/>
                    </w:rPr>
                    <w:t>100%</w:t>
                  </w:r>
                </w:p>
              </w:tc>
            </w:tr>
          </w:tbl>
          <w:p w14:paraId="7D9C34F0" w14:textId="77777777" w:rsidR="00FE47FC" w:rsidRPr="000F7386" w:rsidRDefault="00FE47FC" w:rsidP="00BB20EB">
            <w:pPr>
              <w:jc w:val="center"/>
              <w:cnfStyle w:val="000000000000" w:firstRow="0" w:lastRow="0" w:firstColumn="0" w:lastColumn="0" w:oddVBand="0" w:evenVBand="0" w:oddHBand="0" w:evenHBand="0" w:firstRowFirstColumn="0" w:firstRowLastColumn="0" w:lastRowFirstColumn="0" w:lastRowLastColumn="0"/>
              <w:rPr>
                <w:noProof/>
              </w:rPr>
            </w:pPr>
          </w:p>
        </w:tc>
      </w:tr>
      <w:tr w:rsidR="00FE47FC" w:rsidRPr="000F7386" w14:paraId="7F4947D6" w14:textId="77777777" w:rsidTr="00BB20EB">
        <w:tc>
          <w:tcPr>
            <w:cnfStyle w:val="001000000000" w:firstRow="0" w:lastRow="0" w:firstColumn="1" w:lastColumn="0" w:oddVBand="0" w:evenVBand="0" w:oddHBand="0" w:evenHBand="0" w:firstRowFirstColumn="0" w:firstRowLastColumn="0" w:lastRowFirstColumn="0" w:lastRowLastColumn="0"/>
            <w:tcW w:w="2409" w:type="dxa"/>
          </w:tcPr>
          <w:p w14:paraId="7D78EA01" w14:textId="77777777" w:rsidR="00FE47FC" w:rsidRPr="000F7386" w:rsidRDefault="00FE47FC" w:rsidP="00BB20EB">
            <w:pPr>
              <w:jc w:val="center"/>
              <w:rPr>
                <w:noProof/>
              </w:rPr>
            </w:pPr>
            <w:r w:rsidRPr="000F7386">
              <w:rPr>
                <w:noProof/>
              </w:rPr>
              <w:t>Payments</w:t>
            </w:r>
          </w:p>
        </w:tc>
        <w:tc>
          <w:tcPr>
            <w:tcW w:w="2410" w:type="dxa"/>
          </w:tcPr>
          <w:tbl>
            <w:tblPr>
              <w:tblStyle w:val="TableGrid"/>
              <w:tblW w:w="0" w:type="auto"/>
              <w:tblLook w:val="06A0" w:firstRow="1" w:lastRow="0" w:firstColumn="1" w:lastColumn="0" w:noHBand="1" w:noVBand="1"/>
            </w:tblPr>
            <w:tblGrid>
              <w:gridCol w:w="2194"/>
            </w:tblGrid>
            <w:tr w:rsidR="00FE47FC" w:rsidRPr="000F7386" w14:paraId="40C09A1D" w14:textId="77777777" w:rsidTr="00BB20EB">
              <w:trPr>
                <w:trHeight w:val="285"/>
              </w:trPr>
              <w:tc>
                <w:tcPr>
                  <w:tcW w:w="2290" w:type="dxa"/>
                  <w:tcBorders>
                    <w:top w:val="nil"/>
                    <w:left w:val="nil"/>
                    <w:bottom w:val="nil"/>
                    <w:right w:val="nil"/>
                  </w:tcBorders>
                  <w:vAlign w:val="bottom"/>
                </w:tcPr>
                <w:p w14:paraId="22B62545" w14:textId="77777777" w:rsidR="00FE47FC" w:rsidRPr="000F7386" w:rsidRDefault="00FE47FC" w:rsidP="00BB20EB">
                  <w:pPr>
                    <w:jc w:val="right"/>
                    <w:rPr>
                      <w:noProof/>
                    </w:rPr>
                  </w:pPr>
                  <w:r w:rsidRPr="000F7386">
                    <w:rPr>
                      <w:rFonts w:ascii="Calibri" w:hAnsi="Calibri" w:cs="Calibri"/>
                      <w:noProof/>
                      <w:color w:val="000000"/>
                    </w:rPr>
                    <w:t>1 762.1</w:t>
                  </w:r>
                </w:p>
              </w:tc>
            </w:tr>
          </w:tbl>
          <w:p w14:paraId="37E52067" w14:textId="77777777" w:rsidR="00FE47FC" w:rsidRPr="000F7386" w:rsidRDefault="00FE47FC"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6C18EF66" w14:textId="77777777" w:rsidR="00FE47FC" w:rsidRPr="000F7386" w:rsidRDefault="00FE47FC"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FE47FC" w:rsidRPr="000F7386" w14:paraId="3E6556BB" w14:textId="77777777" w:rsidTr="00BB20EB">
              <w:trPr>
                <w:trHeight w:val="285"/>
              </w:trPr>
              <w:tc>
                <w:tcPr>
                  <w:tcW w:w="2235" w:type="dxa"/>
                  <w:tcBorders>
                    <w:top w:val="nil"/>
                    <w:left w:val="nil"/>
                    <w:bottom w:val="nil"/>
                    <w:right w:val="nil"/>
                  </w:tcBorders>
                  <w:vAlign w:val="bottom"/>
                </w:tcPr>
                <w:p w14:paraId="13A5100C" w14:textId="77777777" w:rsidR="00FE47FC" w:rsidRPr="000F7386" w:rsidRDefault="00FE47FC" w:rsidP="00BB20EB">
                  <w:pPr>
                    <w:jc w:val="right"/>
                    <w:rPr>
                      <w:noProof/>
                    </w:rPr>
                  </w:pPr>
                  <w:r w:rsidRPr="000F7386">
                    <w:rPr>
                      <w:rFonts w:ascii="Calibri" w:hAnsi="Calibri" w:cs="Calibri"/>
                      <w:noProof/>
                      <w:color w:val="000000"/>
                    </w:rPr>
                    <w:t>75%</w:t>
                  </w:r>
                </w:p>
              </w:tc>
            </w:tr>
          </w:tbl>
          <w:p w14:paraId="50BD0A84" w14:textId="77777777" w:rsidR="00FE47FC" w:rsidRPr="000F7386" w:rsidRDefault="00FE47FC" w:rsidP="00BB20EB">
            <w:pPr>
              <w:jc w:val="center"/>
              <w:cnfStyle w:val="000000000000" w:firstRow="0" w:lastRow="0" w:firstColumn="0" w:lastColumn="0" w:oddVBand="0" w:evenVBand="0" w:oddHBand="0" w:evenHBand="0" w:firstRowFirstColumn="0" w:firstRowLastColumn="0" w:lastRowFirstColumn="0" w:lastRowLastColumn="0"/>
              <w:rPr>
                <w:noProof/>
              </w:rPr>
            </w:pPr>
          </w:p>
        </w:tc>
      </w:tr>
    </w:tbl>
    <w:p w14:paraId="3955CD6F" w14:textId="77777777" w:rsidR="00FE47FC" w:rsidRPr="000F7386" w:rsidRDefault="00FE47FC" w:rsidP="00FE47FC">
      <w:pPr>
        <w:pStyle w:val="ppoListHyphened-L1"/>
        <w:rPr>
          <w:rFonts w:ascii="Times New Roman" w:hAnsi="Times New Roman" w:cs="Times New Roman"/>
          <w:noProof/>
          <w:sz w:val="20"/>
          <w:szCs w:val="20"/>
        </w:rPr>
      </w:pPr>
      <w:r w:rsidRPr="000F7386">
        <w:rPr>
          <w:noProof/>
        </w:rPr>
        <w:t>As of 31</w:t>
      </w:r>
      <w:r w:rsidRPr="000F7386">
        <w:rPr>
          <w:rFonts w:ascii="Calibri" w:hAnsi="Calibri" w:cs="Calibri"/>
          <w:noProof/>
        </w:rPr>
        <w:t> </w:t>
      </w:r>
      <w:r w:rsidRPr="000F7386">
        <w:rPr>
          <w:noProof/>
        </w:rPr>
        <w:t>December 2021, the programme had committed the whole of its available envelope.</w:t>
      </w:r>
    </w:p>
    <w:p w14:paraId="2BB6FC5C" w14:textId="77777777" w:rsidR="00FE47FC" w:rsidRPr="000F7386" w:rsidRDefault="00FE47FC" w:rsidP="00FE47FC">
      <w:pPr>
        <w:pStyle w:val="ppoListHyphened-L1"/>
        <w:rPr>
          <w:rFonts w:ascii="Times New Roman" w:hAnsi="Times New Roman" w:cs="Times New Roman"/>
          <w:noProof/>
          <w:sz w:val="20"/>
          <w:szCs w:val="20"/>
        </w:rPr>
      </w:pPr>
      <w:r w:rsidRPr="000F7386">
        <w:rPr>
          <w:noProof/>
        </w:rPr>
        <w:t>In terms of payments, the Loan Guarantee Facility has an implementation ratio of 84% (payments vis-à-vis commitments), while the Equity Facility for Growth has an implementation ratio of 38% due to the specificities in the implementation of this instrument (see below). On average, the payment implementation rate is 73%.</w:t>
      </w:r>
    </w:p>
    <w:p w14:paraId="25FC1184" w14:textId="77777777" w:rsidR="00FE47FC" w:rsidRPr="000F7386" w:rsidRDefault="00FE47FC" w:rsidP="00FE47FC">
      <w:pPr>
        <w:pStyle w:val="ppoListHyphened-L1"/>
        <w:rPr>
          <w:noProof/>
        </w:rPr>
      </w:pPr>
      <w:r w:rsidRPr="000F7386">
        <w:rPr>
          <w:noProof/>
        </w:rPr>
        <w:t>In the case of the Loan Guarantee Facility, payment appropriations are needed to allow the implementation partner (the European Investment Fund) to honour guarantee calls from financial intermediaries for defaulting loans and to pay implementation fees. The Loan Guarantee Facility has also been reinforced by the SME window of the European Fund for Strategic Investments since 2015. This has added additional risk-taking capacity and has doubled the available resources in terms of commitment appropriations. It is expected that by the end of 2022 the budgetary implementation ratio will reach almost 100%, i.e. payment appropriations should match commitment appropriations almost in full.</w:t>
      </w:r>
    </w:p>
    <w:p w14:paraId="5238C25A" w14:textId="77777777" w:rsidR="00FE47FC" w:rsidRPr="000F7386" w:rsidRDefault="00FE47FC" w:rsidP="00FE47FC">
      <w:pPr>
        <w:pStyle w:val="ppoListHyphened-L1"/>
        <w:rPr>
          <w:rStyle w:val="normaltextrun"/>
          <w:rFonts w:ascii="Segoe UI" w:hAnsi="Segoe UI" w:cs="Segoe UI"/>
          <w:noProof/>
          <w:sz w:val="18"/>
          <w:szCs w:val="18"/>
        </w:rPr>
      </w:pPr>
      <w:r w:rsidRPr="000F7386">
        <w:rPr>
          <w:noProof/>
        </w:rPr>
        <w:t>In the case of the Equity Facility for Growth, payment appropriations are needed to allow the implementation partner (the European Investment Fund) to honour cash calls from fund managers, who will use the cash to invest in portfolio companies and for implementation fees. Since it is standard in the industry that venture capital fund managers have up to 5</w:t>
      </w:r>
      <w:r w:rsidRPr="000F7386">
        <w:rPr>
          <w:rFonts w:ascii="Calibri" w:hAnsi="Calibri" w:cs="Calibri"/>
          <w:noProof/>
        </w:rPr>
        <w:t> </w:t>
      </w:r>
      <w:r w:rsidRPr="000F7386">
        <w:rPr>
          <w:noProof/>
        </w:rPr>
        <w:t>years to make the first initial investments in SMEs following the creation of the venture fund, there is a significant delay between the time of signature of a fund agreement by the European Investment Fund and the respective cash calls by the fund managers. Furthermore, following the initial investment by the fund manager, funds can hold on to their portfolio companies for up to 10</w:t>
      </w:r>
      <w:r w:rsidRPr="000F7386">
        <w:rPr>
          <w:rFonts w:ascii="Calibri" w:hAnsi="Calibri" w:cs="Calibri"/>
          <w:noProof/>
        </w:rPr>
        <w:t> </w:t>
      </w:r>
      <w:r w:rsidRPr="000F7386">
        <w:rPr>
          <w:noProof/>
        </w:rPr>
        <w:t>years, during which time they can undertake follow-on investments to grow the companies. This pattern of activity explains why there is a significant time delay between commitment and payment appropriations in the case of venture capital investments.</w:t>
      </w:r>
    </w:p>
    <w:p w14:paraId="6684E8E2" w14:textId="77777777" w:rsidR="00FE47FC" w:rsidRPr="000F7386" w:rsidRDefault="00FE47FC" w:rsidP="00FE47FC">
      <w:pPr>
        <w:pStyle w:val="ppoHeading5"/>
        <w:rPr>
          <w:noProof/>
        </w:rPr>
      </w:pPr>
      <w:r w:rsidRPr="000F7386">
        <w:rPr>
          <w:noProof/>
        </w:rPr>
        <w:t>Performance assessment</w:t>
      </w:r>
    </w:p>
    <w:p w14:paraId="13E71F6A" w14:textId="77777777" w:rsidR="00FE47FC" w:rsidRPr="000F7386" w:rsidRDefault="00FE47FC" w:rsidP="00FE47FC">
      <w:pPr>
        <w:pStyle w:val="ppoHeading6"/>
        <w:rPr>
          <w:noProof/>
        </w:rPr>
      </w:pPr>
      <w:r w:rsidRPr="000F7386">
        <w:rPr>
          <w:noProof/>
        </w:rPr>
        <w:t>Key performance indicators</w:t>
      </w:r>
    </w:p>
    <w:tbl>
      <w:tblPr>
        <w:tblStyle w:val="PPO2021"/>
        <w:tblW w:w="9639" w:type="dxa"/>
        <w:tblInd w:w="0" w:type="dxa"/>
        <w:tblLook w:val="0420" w:firstRow="1" w:lastRow="0" w:firstColumn="0" w:lastColumn="0" w:noHBand="0" w:noVBand="1"/>
      </w:tblPr>
      <w:tblGrid>
        <w:gridCol w:w="2301"/>
        <w:gridCol w:w="1099"/>
        <w:gridCol w:w="1522"/>
        <w:gridCol w:w="1523"/>
        <w:gridCol w:w="1620"/>
        <w:gridCol w:w="1574"/>
      </w:tblGrid>
      <w:tr w:rsidR="00FE47FC" w:rsidRPr="000F7386" w14:paraId="7C163EE0" w14:textId="77777777" w:rsidTr="00BB20EB">
        <w:trPr>
          <w:cnfStyle w:val="100000000000" w:firstRow="1" w:lastRow="0" w:firstColumn="0" w:lastColumn="0" w:oddVBand="0" w:evenVBand="0" w:oddHBand="0" w:evenHBand="0" w:firstRowFirstColumn="0" w:firstRowLastColumn="0" w:lastRowFirstColumn="0" w:lastRowLastColumn="0"/>
        </w:trPr>
        <w:tc>
          <w:tcPr>
            <w:tcW w:w="2330" w:type="dxa"/>
          </w:tcPr>
          <w:p w14:paraId="24ACDBE8" w14:textId="77777777" w:rsidR="00FE47FC" w:rsidRPr="000F7386" w:rsidRDefault="00FE47FC" w:rsidP="00BB20EB">
            <w:pPr>
              <w:rPr>
                <w:noProof/>
              </w:rPr>
            </w:pPr>
          </w:p>
        </w:tc>
        <w:tc>
          <w:tcPr>
            <w:tcW w:w="1100" w:type="dxa"/>
          </w:tcPr>
          <w:p w14:paraId="167D282E" w14:textId="77777777" w:rsidR="00FE47FC" w:rsidRPr="000F7386" w:rsidRDefault="00FE47FC" w:rsidP="00BB20EB">
            <w:pPr>
              <w:rPr>
                <w:noProof/>
              </w:rPr>
            </w:pPr>
            <w:r w:rsidRPr="000F7386">
              <w:rPr>
                <w:noProof/>
              </w:rPr>
              <w:t>Baseline</w:t>
            </w:r>
          </w:p>
        </w:tc>
        <w:tc>
          <w:tcPr>
            <w:tcW w:w="1526" w:type="dxa"/>
          </w:tcPr>
          <w:p w14:paraId="5A7B1878" w14:textId="77777777" w:rsidR="00FE47FC" w:rsidRPr="000F7386" w:rsidRDefault="00FE47FC" w:rsidP="00BB20EB">
            <w:pPr>
              <w:rPr>
                <w:rFonts w:ascii="Calibri" w:hAnsi="Calibri" w:cs="Calibri"/>
                <w:noProof/>
              </w:rPr>
            </w:pPr>
            <w:r w:rsidRPr="000F7386">
              <w:rPr>
                <w:noProof/>
              </w:rPr>
              <w:t>Progress</w:t>
            </w:r>
            <w:r w:rsidRPr="000F7386">
              <w:rPr>
                <w:rFonts w:ascii="Calibri" w:hAnsi="Calibri" w:cs="Calibri"/>
                <w:noProof/>
              </w:rPr>
              <w:t> (*)</w:t>
            </w:r>
          </w:p>
        </w:tc>
        <w:tc>
          <w:tcPr>
            <w:tcW w:w="1532" w:type="dxa"/>
          </w:tcPr>
          <w:p w14:paraId="3F66906E" w14:textId="77777777" w:rsidR="00FE47FC" w:rsidRPr="000F7386" w:rsidRDefault="00FE47FC" w:rsidP="00BB20EB">
            <w:pPr>
              <w:rPr>
                <w:noProof/>
              </w:rPr>
            </w:pPr>
            <w:r w:rsidRPr="000F7386">
              <w:rPr>
                <w:noProof/>
              </w:rPr>
              <w:t>Target</w:t>
            </w:r>
          </w:p>
        </w:tc>
        <w:tc>
          <w:tcPr>
            <w:tcW w:w="1572" w:type="dxa"/>
          </w:tcPr>
          <w:p w14:paraId="5CBFA7D2" w14:textId="77777777" w:rsidR="00FE47FC" w:rsidRPr="000F7386" w:rsidRDefault="00FE47FC" w:rsidP="00BB20EB">
            <w:pPr>
              <w:rPr>
                <w:noProof/>
              </w:rPr>
            </w:pPr>
            <w:r w:rsidRPr="000F7386">
              <w:rPr>
                <w:noProof/>
              </w:rPr>
              <w:t>Results</w:t>
            </w:r>
          </w:p>
        </w:tc>
        <w:tc>
          <w:tcPr>
            <w:tcW w:w="1579" w:type="dxa"/>
          </w:tcPr>
          <w:p w14:paraId="3F9617A7" w14:textId="77777777" w:rsidR="00FE47FC" w:rsidRPr="000F7386" w:rsidRDefault="00FE47FC" w:rsidP="00BB20EB">
            <w:pPr>
              <w:rPr>
                <w:noProof/>
              </w:rPr>
            </w:pPr>
            <w:r w:rsidRPr="000F7386">
              <w:rPr>
                <w:noProof/>
              </w:rPr>
              <w:t>Assessment</w:t>
            </w:r>
          </w:p>
        </w:tc>
      </w:tr>
      <w:tr w:rsidR="00FE47FC" w:rsidRPr="000F7386" w14:paraId="7B34FD16" w14:textId="77777777" w:rsidTr="00BB20EB">
        <w:trPr>
          <w:cnfStyle w:val="000000100000" w:firstRow="0" w:lastRow="0" w:firstColumn="0" w:lastColumn="0" w:oddVBand="0" w:evenVBand="0" w:oddHBand="1" w:evenHBand="0" w:firstRowFirstColumn="0" w:firstRowLastColumn="0" w:lastRowFirstColumn="0" w:lastRowLastColumn="0"/>
        </w:trPr>
        <w:tc>
          <w:tcPr>
            <w:tcW w:w="2330" w:type="dxa"/>
          </w:tcPr>
          <w:p w14:paraId="7C771613" w14:textId="77777777" w:rsidR="00FE47FC" w:rsidRPr="000F7386" w:rsidRDefault="00FE47FC" w:rsidP="00BB20EB">
            <w:pPr>
              <w:rPr>
                <w:noProof/>
              </w:rPr>
            </w:pPr>
            <w:r w:rsidRPr="000F7386">
              <w:rPr>
                <w:noProof/>
              </w:rPr>
              <w:t>Loan Guarantee Facility</w:t>
            </w:r>
            <w:r w:rsidRPr="000F7386">
              <w:rPr>
                <w:rFonts w:ascii="Calibri" w:hAnsi="Calibri" w:cs="Calibri"/>
                <w:noProof/>
              </w:rPr>
              <w:t> </w:t>
            </w:r>
            <w:r w:rsidRPr="000F7386">
              <w:rPr>
                <w:noProof/>
              </w:rPr>
              <w:t>– volume of debt financing mobilised</w:t>
            </w:r>
          </w:p>
        </w:tc>
        <w:tc>
          <w:tcPr>
            <w:tcW w:w="1100" w:type="dxa"/>
          </w:tcPr>
          <w:p w14:paraId="7F96DD18" w14:textId="77777777" w:rsidR="00FE47FC" w:rsidRPr="000F7386" w:rsidRDefault="00FE47FC" w:rsidP="00BB20EB">
            <w:pPr>
              <w:jc w:val="center"/>
              <w:rPr>
                <w:noProof/>
              </w:rPr>
            </w:pPr>
            <w:r w:rsidRPr="000F7386">
              <w:rPr>
                <w:noProof/>
              </w:rPr>
              <w:t>0</w:t>
            </w:r>
          </w:p>
        </w:tc>
        <w:tc>
          <w:tcPr>
            <w:tcW w:w="1526" w:type="dxa"/>
          </w:tcPr>
          <w:p w14:paraId="59ACEE35" w14:textId="77777777" w:rsidR="00FE47FC" w:rsidRPr="000F7386" w:rsidRDefault="00FE47FC" w:rsidP="00BB20EB">
            <w:pPr>
              <w:jc w:val="center"/>
              <w:rPr>
                <w:b/>
                <w:noProof/>
              </w:rPr>
            </w:pPr>
            <w:r w:rsidRPr="000F7386">
              <w:rPr>
                <w:noProof/>
              </w:rPr>
              <w:t>&gt;</w:t>
            </w:r>
            <w:r w:rsidRPr="000F7386">
              <w:rPr>
                <w:rFonts w:ascii="Calibri" w:hAnsi="Calibri" w:cs="Calibri"/>
                <w:noProof/>
              </w:rPr>
              <w:t> </w:t>
            </w:r>
            <w:r w:rsidRPr="000F7386">
              <w:rPr>
                <w:noProof/>
              </w:rPr>
              <w:t>100%</w:t>
            </w:r>
          </w:p>
        </w:tc>
        <w:tc>
          <w:tcPr>
            <w:tcW w:w="1532" w:type="dxa"/>
          </w:tcPr>
          <w:p w14:paraId="5A3B5745" w14:textId="77777777" w:rsidR="00FE47FC" w:rsidRPr="000F7386" w:rsidRDefault="00FE47FC" w:rsidP="00BB20EB">
            <w:pPr>
              <w:jc w:val="center"/>
              <w:rPr>
                <w:noProof/>
              </w:rPr>
            </w:pPr>
            <w:r w:rsidRPr="000F7386">
              <w:rPr>
                <w:noProof/>
              </w:rPr>
              <w:t>14.3</w:t>
            </w:r>
            <w:r w:rsidRPr="000F7386">
              <w:rPr>
                <w:rFonts w:ascii="Calibri" w:hAnsi="Calibri" w:cs="Calibri"/>
                <w:noProof/>
              </w:rPr>
              <w:t> </w:t>
            </w:r>
            <w:r w:rsidRPr="000F7386">
              <w:rPr>
                <w:noProof/>
              </w:rPr>
              <w:t>billion in 2020</w:t>
            </w:r>
          </w:p>
        </w:tc>
        <w:tc>
          <w:tcPr>
            <w:tcW w:w="1572" w:type="dxa"/>
          </w:tcPr>
          <w:p w14:paraId="318FE11D" w14:textId="77777777" w:rsidR="00FE47FC" w:rsidRPr="000F7386" w:rsidRDefault="00FE47FC" w:rsidP="00BB20EB">
            <w:pPr>
              <w:jc w:val="center"/>
              <w:rPr>
                <w:noProof/>
              </w:rPr>
            </w:pPr>
            <w:r w:rsidRPr="000F7386">
              <w:rPr>
                <w:noProof/>
              </w:rPr>
              <w:t>EUR</w:t>
            </w:r>
            <w:r w:rsidRPr="000F7386">
              <w:rPr>
                <w:rFonts w:ascii="Calibri" w:hAnsi="Calibri" w:cs="Calibri"/>
                <w:noProof/>
              </w:rPr>
              <w:t> </w:t>
            </w:r>
            <w:r w:rsidRPr="000F7386">
              <w:rPr>
                <w:noProof/>
              </w:rPr>
              <w:t>49.0</w:t>
            </w:r>
            <w:r w:rsidRPr="000F7386">
              <w:rPr>
                <w:rFonts w:ascii="Calibri" w:hAnsi="Calibri" w:cs="Calibri"/>
                <w:noProof/>
              </w:rPr>
              <w:t> </w:t>
            </w:r>
            <w:r w:rsidRPr="000F7386">
              <w:rPr>
                <w:noProof/>
              </w:rPr>
              <w:t>billion compared to a target of EUR</w:t>
            </w:r>
            <w:r w:rsidRPr="000F7386">
              <w:rPr>
                <w:rFonts w:ascii="Calibri" w:hAnsi="Calibri" w:cs="Calibri"/>
                <w:noProof/>
              </w:rPr>
              <w:t> </w:t>
            </w:r>
            <w:r w:rsidRPr="000F7386">
              <w:rPr>
                <w:noProof/>
              </w:rPr>
              <w:t>14.3</w:t>
            </w:r>
            <w:r w:rsidRPr="000F7386">
              <w:rPr>
                <w:rFonts w:ascii="Calibri" w:hAnsi="Calibri" w:cs="Calibri"/>
                <w:noProof/>
              </w:rPr>
              <w:t> </w:t>
            </w:r>
            <w:r w:rsidRPr="000F7386">
              <w:rPr>
                <w:noProof/>
              </w:rPr>
              <w:t>billion</w:t>
            </w:r>
          </w:p>
        </w:tc>
        <w:tc>
          <w:tcPr>
            <w:tcW w:w="1579" w:type="dxa"/>
          </w:tcPr>
          <w:p w14:paraId="77BBD05A" w14:textId="77777777" w:rsidR="00FE47FC" w:rsidRPr="000F7386" w:rsidRDefault="00FE47FC" w:rsidP="00BB20EB">
            <w:pPr>
              <w:jc w:val="center"/>
              <w:rPr>
                <w:noProof/>
              </w:rPr>
            </w:pPr>
            <w:r>
              <w:rPr>
                <w:noProof/>
              </w:rPr>
              <w:t>Achieved</w:t>
            </w:r>
          </w:p>
        </w:tc>
      </w:tr>
      <w:tr w:rsidR="00FE47FC" w:rsidRPr="000F7386" w14:paraId="0E5892D0" w14:textId="77777777" w:rsidTr="00BB20EB">
        <w:trPr>
          <w:cnfStyle w:val="000000010000" w:firstRow="0" w:lastRow="0" w:firstColumn="0" w:lastColumn="0" w:oddVBand="0" w:evenVBand="0" w:oddHBand="0" w:evenHBand="1" w:firstRowFirstColumn="0" w:firstRowLastColumn="0" w:lastRowFirstColumn="0" w:lastRowLastColumn="0"/>
        </w:trPr>
        <w:tc>
          <w:tcPr>
            <w:tcW w:w="2330" w:type="dxa"/>
          </w:tcPr>
          <w:p w14:paraId="3ADE2084" w14:textId="77777777" w:rsidR="00FE47FC" w:rsidRPr="000F7386" w:rsidRDefault="00FE47FC" w:rsidP="00BB20EB">
            <w:pPr>
              <w:rPr>
                <w:noProof/>
              </w:rPr>
            </w:pPr>
            <w:r w:rsidRPr="000F7386">
              <w:rPr>
                <w:noProof/>
              </w:rPr>
              <w:t>Loan Guarantee Facility</w:t>
            </w:r>
            <w:r w:rsidRPr="000F7386">
              <w:rPr>
                <w:rFonts w:ascii="Calibri" w:hAnsi="Calibri" w:cs="Calibri"/>
                <w:noProof/>
              </w:rPr>
              <w:t> </w:t>
            </w:r>
            <w:r w:rsidRPr="000F7386">
              <w:rPr>
                <w:noProof/>
              </w:rPr>
              <w:t>– number of firms benefiting from debt financing</w:t>
            </w:r>
          </w:p>
        </w:tc>
        <w:tc>
          <w:tcPr>
            <w:tcW w:w="1100" w:type="dxa"/>
          </w:tcPr>
          <w:p w14:paraId="7692349A" w14:textId="77777777" w:rsidR="00FE47FC" w:rsidRPr="000F7386" w:rsidRDefault="00FE47FC" w:rsidP="00BB20EB">
            <w:pPr>
              <w:jc w:val="center"/>
              <w:rPr>
                <w:noProof/>
              </w:rPr>
            </w:pPr>
            <w:r w:rsidRPr="000F7386">
              <w:rPr>
                <w:noProof/>
              </w:rPr>
              <w:t>0</w:t>
            </w:r>
          </w:p>
        </w:tc>
        <w:tc>
          <w:tcPr>
            <w:tcW w:w="1526" w:type="dxa"/>
          </w:tcPr>
          <w:p w14:paraId="61F8F12D" w14:textId="77777777" w:rsidR="00FE47FC" w:rsidRPr="000F7386" w:rsidRDefault="00FE47FC" w:rsidP="00BB20EB">
            <w:pPr>
              <w:jc w:val="center"/>
              <w:rPr>
                <w:b/>
                <w:noProof/>
              </w:rPr>
            </w:pPr>
            <w:r w:rsidRPr="000F7386">
              <w:rPr>
                <w:noProof/>
              </w:rPr>
              <w:t>&gt;</w:t>
            </w:r>
            <w:r w:rsidRPr="000F7386">
              <w:rPr>
                <w:rFonts w:ascii="Calibri" w:hAnsi="Calibri" w:cs="Calibri"/>
                <w:noProof/>
              </w:rPr>
              <w:t> </w:t>
            </w:r>
            <w:r w:rsidRPr="000F7386">
              <w:rPr>
                <w:noProof/>
              </w:rPr>
              <w:t>100%</w:t>
            </w:r>
          </w:p>
        </w:tc>
        <w:tc>
          <w:tcPr>
            <w:tcW w:w="1532" w:type="dxa"/>
          </w:tcPr>
          <w:p w14:paraId="264947A8" w14:textId="77777777" w:rsidR="00FE47FC" w:rsidRPr="000F7386" w:rsidRDefault="00FE47FC" w:rsidP="00BB20EB">
            <w:pPr>
              <w:jc w:val="center"/>
              <w:rPr>
                <w:noProof/>
              </w:rPr>
            </w:pPr>
            <w:r w:rsidRPr="000F7386">
              <w:rPr>
                <w:noProof/>
              </w:rPr>
              <w:t>220</w:t>
            </w:r>
            <w:r w:rsidRPr="000F7386">
              <w:rPr>
                <w:rFonts w:ascii="Calibri" w:hAnsi="Calibri" w:cs="Calibri"/>
                <w:noProof/>
              </w:rPr>
              <w:t> </w:t>
            </w:r>
            <w:r w:rsidRPr="000F7386">
              <w:rPr>
                <w:noProof/>
              </w:rPr>
              <w:t>000 in 2020</w:t>
            </w:r>
          </w:p>
        </w:tc>
        <w:tc>
          <w:tcPr>
            <w:tcW w:w="1572" w:type="dxa"/>
          </w:tcPr>
          <w:p w14:paraId="644EB89E" w14:textId="77777777" w:rsidR="00FE47FC" w:rsidRPr="000F7386" w:rsidRDefault="00FE47FC" w:rsidP="00BB20EB">
            <w:pPr>
              <w:jc w:val="center"/>
              <w:rPr>
                <w:noProof/>
              </w:rPr>
            </w:pPr>
            <w:r w:rsidRPr="000F7386">
              <w:rPr>
                <w:noProof/>
              </w:rPr>
              <w:t>793</w:t>
            </w:r>
            <w:r w:rsidRPr="000F7386">
              <w:rPr>
                <w:rFonts w:ascii="Calibri" w:hAnsi="Calibri" w:cs="Calibri"/>
                <w:noProof/>
              </w:rPr>
              <w:t> </w:t>
            </w:r>
            <w:r w:rsidRPr="000F7386">
              <w:rPr>
                <w:noProof/>
              </w:rPr>
              <w:t>504 compared to a target of 220</w:t>
            </w:r>
            <w:r w:rsidRPr="000F7386">
              <w:rPr>
                <w:rFonts w:ascii="Calibri" w:hAnsi="Calibri" w:cs="Calibri"/>
                <w:noProof/>
              </w:rPr>
              <w:t> </w:t>
            </w:r>
            <w:r w:rsidRPr="000F7386">
              <w:rPr>
                <w:noProof/>
              </w:rPr>
              <w:t>000</w:t>
            </w:r>
          </w:p>
        </w:tc>
        <w:tc>
          <w:tcPr>
            <w:tcW w:w="1579" w:type="dxa"/>
          </w:tcPr>
          <w:p w14:paraId="3B0D7544" w14:textId="77777777" w:rsidR="00FE47FC" w:rsidRPr="000F7386" w:rsidRDefault="00FE47FC" w:rsidP="00BB20EB">
            <w:pPr>
              <w:jc w:val="center"/>
              <w:rPr>
                <w:noProof/>
              </w:rPr>
            </w:pPr>
            <w:r>
              <w:rPr>
                <w:noProof/>
              </w:rPr>
              <w:t>Achieved</w:t>
            </w:r>
          </w:p>
        </w:tc>
      </w:tr>
      <w:tr w:rsidR="00FE47FC" w:rsidRPr="000F7386" w14:paraId="60F5B916" w14:textId="77777777" w:rsidTr="00BB20EB">
        <w:trPr>
          <w:cnfStyle w:val="000000100000" w:firstRow="0" w:lastRow="0" w:firstColumn="0" w:lastColumn="0" w:oddVBand="0" w:evenVBand="0" w:oddHBand="1" w:evenHBand="0" w:firstRowFirstColumn="0" w:firstRowLastColumn="0" w:lastRowFirstColumn="0" w:lastRowLastColumn="0"/>
        </w:trPr>
        <w:tc>
          <w:tcPr>
            <w:tcW w:w="2330" w:type="dxa"/>
          </w:tcPr>
          <w:p w14:paraId="7704F89F" w14:textId="77777777" w:rsidR="00FE47FC" w:rsidRPr="000F7386" w:rsidRDefault="00FE47FC" w:rsidP="00BB20EB">
            <w:pPr>
              <w:rPr>
                <w:noProof/>
              </w:rPr>
            </w:pPr>
            <w:r w:rsidRPr="000F7386">
              <w:rPr>
                <w:noProof/>
              </w:rPr>
              <w:t>Enterprise European Network</w:t>
            </w:r>
            <w:r w:rsidRPr="000F7386">
              <w:rPr>
                <w:rFonts w:ascii="Calibri" w:hAnsi="Calibri" w:cs="Calibri"/>
                <w:noProof/>
              </w:rPr>
              <w:t> </w:t>
            </w:r>
            <w:r w:rsidRPr="000F7386">
              <w:rPr>
                <w:noProof/>
              </w:rPr>
              <w:t>– number of partnership agreements signed</w:t>
            </w:r>
          </w:p>
        </w:tc>
        <w:tc>
          <w:tcPr>
            <w:tcW w:w="1100" w:type="dxa"/>
          </w:tcPr>
          <w:p w14:paraId="14C2DB68" w14:textId="77777777" w:rsidR="00FE47FC" w:rsidRPr="000F7386" w:rsidRDefault="00FE47FC" w:rsidP="00BB20EB">
            <w:pPr>
              <w:jc w:val="center"/>
              <w:rPr>
                <w:noProof/>
              </w:rPr>
            </w:pPr>
            <w:r w:rsidRPr="000F7386">
              <w:rPr>
                <w:noProof/>
              </w:rPr>
              <w:t>2</w:t>
            </w:r>
            <w:r w:rsidRPr="000F7386">
              <w:rPr>
                <w:rFonts w:ascii="Calibri" w:hAnsi="Calibri" w:cs="Calibri"/>
                <w:noProof/>
              </w:rPr>
              <w:t> </w:t>
            </w:r>
            <w:r w:rsidRPr="000F7386">
              <w:rPr>
                <w:noProof/>
              </w:rPr>
              <w:t>295</w:t>
            </w:r>
          </w:p>
        </w:tc>
        <w:tc>
          <w:tcPr>
            <w:tcW w:w="1526" w:type="dxa"/>
          </w:tcPr>
          <w:p w14:paraId="1267F123" w14:textId="77777777" w:rsidR="00FE47FC" w:rsidRPr="000F7386" w:rsidRDefault="00FE47FC" w:rsidP="00BB20EB">
            <w:pPr>
              <w:jc w:val="center"/>
              <w:rPr>
                <w:b/>
                <w:noProof/>
              </w:rPr>
            </w:pPr>
            <w:r w:rsidRPr="000F7386">
              <w:rPr>
                <w:noProof/>
              </w:rPr>
              <w:t>&gt;</w:t>
            </w:r>
            <w:r w:rsidRPr="000F7386">
              <w:rPr>
                <w:rFonts w:ascii="Calibri" w:hAnsi="Calibri" w:cs="Calibri"/>
                <w:noProof/>
              </w:rPr>
              <w:t> </w:t>
            </w:r>
            <w:r w:rsidRPr="000F7386">
              <w:rPr>
                <w:noProof/>
              </w:rPr>
              <w:t>100%</w:t>
            </w:r>
          </w:p>
        </w:tc>
        <w:tc>
          <w:tcPr>
            <w:tcW w:w="1532" w:type="dxa"/>
          </w:tcPr>
          <w:p w14:paraId="389A82B7" w14:textId="77777777" w:rsidR="00FE47FC" w:rsidRPr="000F7386" w:rsidRDefault="00FE47FC" w:rsidP="00BB20EB">
            <w:pPr>
              <w:jc w:val="center"/>
              <w:rPr>
                <w:noProof/>
              </w:rPr>
            </w:pPr>
            <w:r w:rsidRPr="000F7386">
              <w:rPr>
                <w:noProof/>
              </w:rPr>
              <w:t>2</w:t>
            </w:r>
            <w:r w:rsidRPr="000F7386">
              <w:rPr>
                <w:rFonts w:ascii="Calibri" w:hAnsi="Calibri" w:cs="Calibri"/>
                <w:noProof/>
              </w:rPr>
              <w:t> </w:t>
            </w:r>
            <w:r w:rsidRPr="000F7386">
              <w:rPr>
                <w:noProof/>
              </w:rPr>
              <w:t>500 in 2020</w:t>
            </w:r>
          </w:p>
        </w:tc>
        <w:tc>
          <w:tcPr>
            <w:tcW w:w="1572" w:type="dxa"/>
          </w:tcPr>
          <w:p w14:paraId="1A956666" w14:textId="77777777" w:rsidR="00FE47FC" w:rsidRPr="000F7386" w:rsidRDefault="00FE47FC" w:rsidP="00BB20EB">
            <w:pPr>
              <w:jc w:val="center"/>
              <w:rPr>
                <w:noProof/>
              </w:rPr>
            </w:pPr>
            <w:r w:rsidRPr="000F7386">
              <w:rPr>
                <w:noProof/>
              </w:rPr>
              <w:t>2</w:t>
            </w:r>
            <w:r w:rsidRPr="000F7386">
              <w:rPr>
                <w:rFonts w:ascii="Calibri" w:hAnsi="Calibri" w:cs="Calibri"/>
                <w:noProof/>
              </w:rPr>
              <w:t> </w:t>
            </w:r>
            <w:r w:rsidRPr="000F7386">
              <w:rPr>
                <w:noProof/>
              </w:rPr>
              <w:t>701 compared to a target of 2</w:t>
            </w:r>
            <w:r w:rsidRPr="000F7386">
              <w:rPr>
                <w:rFonts w:ascii="Calibri" w:hAnsi="Calibri" w:cs="Calibri"/>
                <w:noProof/>
              </w:rPr>
              <w:t> </w:t>
            </w:r>
            <w:r w:rsidRPr="000F7386">
              <w:rPr>
                <w:noProof/>
              </w:rPr>
              <w:t>500</w:t>
            </w:r>
          </w:p>
        </w:tc>
        <w:tc>
          <w:tcPr>
            <w:tcW w:w="1579" w:type="dxa"/>
          </w:tcPr>
          <w:p w14:paraId="70860834" w14:textId="77777777" w:rsidR="00FE47FC" w:rsidRPr="000F7386" w:rsidRDefault="00FE47FC" w:rsidP="00BB20EB">
            <w:pPr>
              <w:jc w:val="center"/>
              <w:rPr>
                <w:noProof/>
              </w:rPr>
            </w:pPr>
            <w:r>
              <w:rPr>
                <w:noProof/>
              </w:rPr>
              <w:t>Achieved</w:t>
            </w:r>
          </w:p>
        </w:tc>
      </w:tr>
    </w:tbl>
    <w:p w14:paraId="4DCA671E" w14:textId="77777777" w:rsidR="00FE47FC" w:rsidRPr="000F7386" w:rsidRDefault="00FE47FC" w:rsidP="00FE47FC">
      <w:pPr>
        <w:pStyle w:val="FootnoteText"/>
        <w:rPr>
          <w:noProof/>
        </w:rPr>
      </w:pPr>
      <w:r w:rsidRPr="000F7386">
        <w:rPr>
          <w:noProof/>
        </w:rPr>
        <w:t>(*) % of target achieved as of September 2021.</w:t>
      </w:r>
    </w:p>
    <w:p w14:paraId="68E2D9D7" w14:textId="73B92DF1" w:rsidR="00FE47FC" w:rsidRPr="000F7386" w:rsidRDefault="00FE47FC" w:rsidP="00FE47FC">
      <w:pPr>
        <w:pStyle w:val="ppoListHyphened-L1"/>
        <w:rPr>
          <w:rStyle w:val="normaltextrun"/>
          <w:rFonts w:eastAsia="EC Square Sans Pro" w:cs="EC Square Sans Pro"/>
          <w:noProof/>
          <w:sz w:val="20"/>
          <w:szCs w:val="20"/>
        </w:rPr>
      </w:pPr>
      <w:r w:rsidRPr="000F7386">
        <w:rPr>
          <w:rStyle w:val="normaltextrun"/>
          <w:noProof/>
          <w:sz w:val="20"/>
          <w:szCs w:val="20"/>
        </w:rPr>
        <w:t xml:space="preserve">The COSME programme addresses the full range of challenges that SMEs face in boosting their competitiveness. For example, the Loan Guarantee Facility not only provides financial support to numerous SMEs that have difficulties in obtaining finance. It also has a positive impact on the SMEs’ assets, share of intangible assets, sales and employment rates, and even reduces the SMEs’ probability of default. This is empirically demonstrated by the econometric work carried out in various studies on the COSME predecessor activities relating to access to finance (see European Investment Fund, </w:t>
      </w:r>
      <w:hyperlink r:id="rId146" w:history="1">
        <w:r w:rsidRPr="000F7386">
          <w:rPr>
            <w:rStyle w:val="Hyperlink"/>
            <w:noProof/>
            <w:sz w:val="20"/>
            <w:szCs w:val="20"/>
          </w:rPr>
          <w:t>‘The real effects of EU loan guarantee schemes for SMEs: A pan-European assessment’</w:t>
        </w:r>
      </w:hyperlink>
      <w:r w:rsidRPr="00604528">
        <w:rPr>
          <w:noProof/>
          <w:sz w:val="20"/>
          <w:szCs w:val="20"/>
        </w:rPr>
        <w:t xml:space="preserve">, </w:t>
      </w:r>
      <w:r w:rsidRPr="000F7386">
        <w:rPr>
          <w:i/>
          <w:iCs/>
          <w:noProof/>
          <w:sz w:val="20"/>
          <w:szCs w:val="20"/>
        </w:rPr>
        <w:t>EIF Research and Marke</w:t>
      </w:r>
      <w:r w:rsidR="00B65DF8">
        <w:rPr>
          <w:i/>
          <w:iCs/>
          <w:noProof/>
          <w:sz w:val="20"/>
          <w:szCs w:val="20"/>
        </w:rPr>
        <w:t>t</w:t>
      </w:r>
      <w:r w:rsidRPr="000F7386">
        <w:rPr>
          <w:i/>
          <w:iCs/>
          <w:noProof/>
          <w:sz w:val="20"/>
          <w:szCs w:val="20"/>
        </w:rPr>
        <w:t xml:space="preserve"> Analysis</w:t>
      </w:r>
      <w:r w:rsidRPr="000F7386">
        <w:rPr>
          <w:rFonts w:ascii="Calibri" w:hAnsi="Calibri" w:cs="Calibri"/>
          <w:i/>
          <w:iCs/>
          <w:noProof/>
          <w:sz w:val="20"/>
          <w:szCs w:val="20"/>
        </w:rPr>
        <w:t> </w:t>
      </w:r>
      <w:r w:rsidRPr="000F7386">
        <w:rPr>
          <w:i/>
          <w:iCs/>
          <w:noProof/>
          <w:sz w:val="20"/>
          <w:szCs w:val="20"/>
        </w:rPr>
        <w:t>– Working Paper</w:t>
      </w:r>
      <w:r w:rsidRPr="000F7386">
        <w:rPr>
          <w:noProof/>
          <w:sz w:val="20"/>
          <w:szCs w:val="20"/>
        </w:rPr>
        <w:t>,</w:t>
      </w:r>
      <w:r w:rsidRPr="00604528">
        <w:rPr>
          <w:noProof/>
          <w:sz w:val="20"/>
          <w:szCs w:val="20"/>
        </w:rPr>
        <w:t xml:space="preserve"> 2019/56,</w:t>
      </w:r>
      <w:r w:rsidRPr="000F7386">
        <w:rPr>
          <w:i/>
          <w:iCs/>
          <w:noProof/>
          <w:sz w:val="20"/>
          <w:szCs w:val="20"/>
        </w:rPr>
        <w:t xml:space="preserve"> </w:t>
      </w:r>
      <w:r w:rsidRPr="000F7386">
        <w:rPr>
          <w:rStyle w:val="normaltextrun"/>
          <w:noProof/>
          <w:sz w:val="20"/>
          <w:szCs w:val="20"/>
        </w:rPr>
        <w:t>June 2019).</w:t>
      </w:r>
    </w:p>
    <w:p w14:paraId="61CBF52E" w14:textId="26D4E4F1" w:rsidR="00FE47FC" w:rsidRPr="000F7386" w:rsidRDefault="00FE47FC" w:rsidP="00FE47FC">
      <w:pPr>
        <w:pStyle w:val="ppoListHyphened-L1"/>
        <w:rPr>
          <w:rStyle w:val="normaltextrun"/>
          <w:noProof/>
          <w:sz w:val="20"/>
          <w:szCs w:val="20"/>
        </w:rPr>
      </w:pPr>
      <w:r w:rsidRPr="000F7386">
        <w:rPr>
          <w:rStyle w:val="normaltextrun"/>
          <w:noProof/>
          <w:sz w:val="20"/>
          <w:szCs w:val="20"/>
        </w:rPr>
        <w:t>Specific projects showed continued success and growth, although some adjustments were necessary in 2020. The Erasmus for young entrepreneurs mobility scheme (active since 2009 as a pilot action and continued under COSME) demonstrates the need for entrepreneurial exchange</w:t>
      </w:r>
      <w:r w:rsidR="00B65DF8">
        <w:rPr>
          <w:rStyle w:val="normaltextrun"/>
          <w:noProof/>
          <w:sz w:val="20"/>
          <w:szCs w:val="20"/>
        </w:rPr>
        <w:t>s</w:t>
      </w:r>
      <w:r w:rsidRPr="000F7386">
        <w:rPr>
          <w:rStyle w:val="normaltextrun"/>
          <w:noProof/>
          <w:sz w:val="20"/>
          <w:szCs w:val="20"/>
        </w:rPr>
        <w:t xml:space="preserve"> whereby would-be or newly established entrepreneurs receive practical support from experienced entrepreneurs. Experienced entrepreneurs in return increase their knowledge and access to other markets and gain new ideas and techniques for their business. The programme was hit hard by COVID-19, and the number of matched entrepreneurs dropped significantly in 2020 (1</w:t>
      </w:r>
      <w:r w:rsidRPr="000F7386">
        <w:rPr>
          <w:rStyle w:val="normaltextrun"/>
          <w:rFonts w:ascii="Calibri" w:hAnsi="Calibri" w:cs="Calibri"/>
          <w:noProof/>
          <w:sz w:val="20"/>
          <w:szCs w:val="20"/>
        </w:rPr>
        <w:t> </w:t>
      </w:r>
      <w:r w:rsidRPr="000F7386">
        <w:rPr>
          <w:rStyle w:val="normaltextrun"/>
          <w:noProof/>
          <w:sz w:val="20"/>
          <w:szCs w:val="20"/>
        </w:rPr>
        <w:t>684 entrepreneurs were matched compared to 2</w:t>
      </w:r>
      <w:r w:rsidRPr="000F7386">
        <w:rPr>
          <w:rStyle w:val="normaltextrun"/>
          <w:rFonts w:ascii="Calibri" w:hAnsi="Calibri" w:cs="Calibri"/>
          <w:noProof/>
          <w:sz w:val="20"/>
          <w:szCs w:val="20"/>
        </w:rPr>
        <w:t> </w:t>
      </w:r>
      <w:r w:rsidRPr="000F7386">
        <w:rPr>
          <w:rStyle w:val="normaltextrun"/>
          <w:noProof/>
          <w:sz w:val="20"/>
          <w:szCs w:val="20"/>
        </w:rPr>
        <w:t>672 in 2019). Performance in 2021 was still affected by COVID-19 health measures. Measures to react to the situation were put in place, starting with the possibility to engage in remote exchanges. Despite the challenges caused by COVID-19, the programme has maintained its wide geographical reach, implemented by a network of over 180 local intermediary organisations in 37 out of 39 participating countries, including Kosovo</w:t>
      </w:r>
      <w:r w:rsidRPr="000F7386">
        <w:rPr>
          <w:rStyle w:val="normaltextrun"/>
          <w:rFonts w:ascii="Calibri" w:hAnsi="Calibri" w:cs="Calibri"/>
          <w:noProof/>
          <w:sz w:val="20"/>
          <w:szCs w:val="20"/>
        </w:rPr>
        <w:t> </w:t>
      </w:r>
      <w:r w:rsidRPr="000F7386">
        <w:rPr>
          <w:rStyle w:val="normaltextrun"/>
          <w:noProof/>
          <w:sz w:val="20"/>
          <w:szCs w:val="20"/>
        </w:rPr>
        <w:t>(</w:t>
      </w:r>
      <w:r w:rsidRPr="00604528">
        <w:rPr>
          <w:rStyle w:val="FootnoteReference"/>
          <w:noProof/>
          <w:sz w:val="20"/>
          <w:szCs w:val="20"/>
        </w:rPr>
        <w:footnoteReference w:id="6"/>
      </w:r>
      <w:r w:rsidRPr="000F7386">
        <w:rPr>
          <w:rStyle w:val="normaltextrun"/>
          <w:noProof/>
          <w:sz w:val="20"/>
          <w:szCs w:val="20"/>
        </w:rPr>
        <w:t>) and Martinique (an EU outermost region).</w:t>
      </w:r>
    </w:p>
    <w:p w14:paraId="6889CB03" w14:textId="77777777" w:rsidR="00FE47FC" w:rsidRPr="000F7386" w:rsidRDefault="00FE47FC" w:rsidP="00FE47FC">
      <w:pPr>
        <w:pStyle w:val="ppoListHyphened-L1"/>
        <w:rPr>
          <w:rStyle w:val="normaltextrun"/>
          <w:noProof/>
          <w:sz w:val="20"/>
          <w:szCs w:val="20"/>
        </w:rPr>
      </w:pPr>
      <w:r w:rsidRPr="000F7386">
        <w:rPr>
          <w:rStyle w:val="normaltextrun"/>
          <w:noProof/>
          <w:sz w:val="20"/>
          <w:szCs w:val="20"/>
        </w:rPr>
        <w:t>Around 263</w:t>
      </w:r>
      <w:r w:rsidRPr="000F7386">
        <w:rPr>
          <w:rStyle w:val="normaltextrun"/>
          <w:rFonts w:ascii="Calibri" w:hAnsi="Calibri" w:cs="Calibri"/>
          <w:noProof/>
          <w:sz w:val="20"/>
          <w:szCs w:val="20"/>
        </w:rPr>
        <w:t> </w:t>
      </w:r>
      <w:r w:rsidRPr="000F7386">
        <w:rPr>
          <w:rStyle w:val="normaltextrun"/>
          <w:noProof/>
          <w:sz w:val="20"/>
          <w:szCs w:val="20"/>
        </w:rPr>
        <w:t>898 SMEs received advisory services from the Enterprise Europe Network between 2015 and 2020. Specific actions initiated in 2020 to help SMEs overcome the COVID-19 crisis were continued and consolidated in 2021, in particular virtual brokerage events to help SMEs find alternative business partners, advice on access to finance and single market advisory services. According to a survey by the Enterprise Europe Network, about 74% of responding companies were strongly or moderately affected by the crisis, forcing them to deal with supply chain disruptions, employee absences and temporary shutdowns (among other issues). The most obvious reasons were delays due to transport and logistics problems, border closings and national lockdown measures.</w:t>
      </w:r>
    </w:p>
    <w:p w14:paraId="093E221C" w14:textId="22246A3E" w:rsidR="00FE47FC" w:rsidRPr="000F7386" w:rsidRDefault="00FE47FC" w:rsidP="00FE47FC">
      <w:pPr>
        <w:pStyle w:val="ppoListHyphened-L1"/>
        <w:rPr>
          <w:rStyle w:val="normaltextrun"/>
          <w:rFonts w:eastAsia="EC Square Sans Pro" w:cs="EC Square Sans Pro"/>
          <w:noProof/>
          <w:sz w:val="20"/>
          <w:szCs w:val="20"/>
        </w:rPr>
      </w:pPr>
      <w:r w:rsidRPr="000F7386">
        <w:rPr>
          <w:rStyle w:val="normaltextrun"/>
          <w:noProof/>
          <w:sz w:val="20"/>
          <w:szCs w:val="20"/>
        </w:rPr>
        <w:t xml:space="preserve">COSME financial instruments: by September 2021, the Loan Guarantee Facility had </w:t>
      </w:r>
      <w:r w:rsidR="00B65DF8">
        <w:rPr>
          <w:rStyle w:val="normaltextrun"/>
          <w:noProof/>
          <w:sz w:val="20"/>
          <w:szCs w:val="20"/>
        </w:rPr>
        <w:t>enabled</w:t>
      </w:r>
      <w:r w:rsidR="00B65DF8" w:rsidRPr="000F7386">
        <w:rPr>
          <w:rStyle w:val="normaltextrun"/>
          <w:noProof/>
          <w:sz w:val="20"/>
          <w:szCs w:val="20"/>
        </w:rPr>
        <w:t xml:space="preserve"> </w:t>
      </w:r>
      <w:r w:rsidRPr="000F7386">
        <w:rPr>
          <w:rStyle w:val="normaltextrun"/>
          <w:noProof/>
          <w:sz w:val="20"/>
          <w:szCs w:val="20"/>
        </w:rPr>
        <w:t>more than 790</w:t>
      </w:r>
      <w:r w:rsidRPr="000F7386">
        <w:rPr>
          <w:rStyle w:val="normaltextrun"/>
          <w:rFonts w:ascii="Calibri" w:hAnsi="Calibri" w:cs="Calibri"/>
          <w:noProof/>
          <w:sz w:val="20"/>
          <w:szCs w:val="20"/>
        </w:rPr>
        <w:t> </w:t>
      </w:r>
      <w:r w:rsidRPr="000F7386">
        <w:rPr>
          <w:rStyle w:val="normaltextrun"/>
          <w:noProof/>
          <w:sz w:val="20"/>
          <w:szCs w:val="20"/>
        </w:rPr>
        <w:t>000 SMEs to receive more than EUR</w:t>
      </w:r>
      <w:r w:rsidRPr="000F7386">
        <w:rPr>
          <w:rStyle w:val="normaltextrun"/>
          <w:rFonts w:ascii="Calibri" w:hAnsi="Calibri" w:cs="Calibri"/>
          <w:noProof/>
          <w:sz w:val="20"/>
          <w:szCs w:val="20"/>
        </w:rPr>
        <w:t> </w:t>
      </w:r>
      <w:r w:rsidRPr="000F7386">
        <w:rPr>
          <w:rStyle w:val="normaltextrun"/>
          <w:noProof/>
          <w:sz w:val="20"/>
          <w:szCs w:val="20"/>
        </w:rPr>
        <w:t>49</w:t>
      </w:r>
      <w:r w:rsidRPr="000F7386">
        <w:rPr>
          <w:rStyle w:val="normaltextrun"/>
          <w:rFonts w:ascii="Calibri" w:hAnsi="Calibri" w:cs="Calibri"/>
          <w:noProof/>
          <w:sz w:val="20"/>
          <w:szCs w:val="20"/>
        </w:rPr>
        <w:t> </w:t>
      </w:r>
      <w:r w:rsidRPr="000F7386">
        <w:rPr>
          <w:rStyle w:val="normaltextrun"/>
          <w:noProof/>
          <w:sz w:val="20"/>
          <w:szCs w:val="20"/>
        </w:rPr>
        <w:t>billion in financial support over the 2014-2021 period. In reaction to the 2020 COVID-19 crisis, EUR</w:t>
      </w:r>
      <w:r w:rsidRPr="000F7386">
        <w:rPr>
          <w:rStyle w:val="normaltextrun"/>
          <w:rFonts w:ascii="Calibri" w:hAnsi="Calibri" w:cs="Calibri"/>
          <w:noProof/>
          <w:sz w:val="20"/>
          <w:szCs w:val="20"/>
        </w:rPr>
        <w:t> </w:t>
      </w:r>
      <w:r w:rsidRPr="000F7386">
        <w:rPr>
          <w:rStyle w:val="normaltextrun"/>
          <w:noProof/>
          <w:sz w:val="20"/>
          <w:szCs w:val="20"/>
        </w:rPr>
        <w:t>714</w:t>
      </w:r>
      <w:r w:rsidRPr="000F7386">
        <w:rPr>
          <w:rStyle w:val="normaltextrun"/>
          <w:rFonts w:ascii="Calibri" w:hAnsi="Calibri" w:cs="Calibri"/>
          <w:noProof/>
          <w:sz w:val="20"/>
          <w:szCs w:val="20"/>
        </w:rPr>
        <w:t> </w:t>
      </w:r>
      <w:r w:rsidRPr="000F7386">
        <w:rPr>
          <w:rStyle w:val="normaltextrun"/>
          <w:noProof/>
          <w:sz w:val="20"/>
          <w:szCs w:val="20"/>
        </w:rPr>
        <w:t>million from the European Fund for Strategic Investments was redirected to the COSME Loan Guarantee Facility to allow the European Investment Fund to incentivise banks to provide liquidity to SMEs affected by the crisis. More flexibility was given to users of the facility, and the guarantee rate was increased from 50 to 80%. The latest data available (September 2021) indicate that this helped more than 100</w:t>
      </w:r>
      <w:r w:rsidRPr="000F7386">
        <w:rPr>
          <w:rStyle w:val="normaltextrun"/>
          <w:rFonts w:ascii="Calibri" w:hAnsi="Calibri" w:cs="Calibri"/>
          <w:noProof/>
          <w:sz w:val="20"/>
          <w:szCs w:val="20"/>
        </w:rPr>
        <w:t> </w:t>
      </w:r>
      <w:r w:rsidRPr="000F7386">
        <w:rPr>
          <w:rStyle w:val="normaltextrun"/>
          <w:noProof/>
          <w:sz w:val="20"/>
          <w:szCs w:val="20"/>
        </w:rPr>
        <w:t>000 European SMEs to access more than EUR</w:t>
      </w:r>
      <w:r w:rsidRPr="000F7386">
        <w:rPr>
          <w:rStyle w:val="normaltextrun"/>
          <w:rFonts w:ascii="Calibri" w:hAnsi="Calibri" w:cs="Calibri"/>
          <w:noProof/>
          <w:sz w:val="20"/>
          <w:szCs w:val="20"/>
        </w:rPr>
        <w:t> </w:t>
      </w:r>
      <w:r w:rsidRPr="000F7386">
        <w:rPr>
          <w:rStyle w:val="normaltextrun"/>
          <w:noProof/>
          <w:sz w:val="20"/>
          <w:szCs w:val="20"/>
        </w:rPr>
        <w:t>9</w:t>
      </w:r>
      <w:r w:rsidRPr="000F7386">
        <w:rPr>
          <w:rStyle w:val="normaltextrun"/>
          <w:rFonts w:ascii="Calibri" w:hAnsi="Calibri" w:cs="Calibri"/>
          <w:noProof/>
          <w:sz w:val="20"/>
          <w:szCs w:val="20"/>
        </w:rPr>
        <w:t> </w:t>
      </w:r>
      <w:r w:rsidRPr="000F7386">
        <w:rPr>
          <w:rStyle w:val="normaltextrun"/>
          <w:noProof/>
          <w:sz w:val="20"/>
          <w:szCs w:val="20"/>
        </w:rPr>
        <w:t>billion in liquidity finance under the COSME COVID-19 measure within the Loan Guarantee Facility.</w:t>
      </w:r>
    </w:p>
    <w:p w14:paraId="2FAF54DB" w14:textId="77777777" w:rsidR="00FE47FC" w:rsidRPr="000F7386" w:rsidRDefault="00FE47FC" w:rsidP="00FE47FC">
      <w:pPr>
        <w:pStyle w:val="ppoListHyphened-L1"/>
        <w:rPr>
          <w:rStyle w:val="normaltextrun"/>
          <w:noProof/>
          <w:sz w:val="20"/>
          <w:szCs w:val="20"/>
        </w:rPr>
      </w:pPr>
      <w:r w:rsidRPr="000F7386">
        <w:rPr>
          <w:rStyle w:val="normaltextrun"/>
          <w:noProof/>
          <w:sz w:val="20"/>
          <w:szCs w:val="20"/>
        </w:rPr>
        <w:t>By September 2021, the funds supported by the Equity Facility for Growth had invested more than EUR</w:t>
      </w:r>
      <w:r w:rsidRPr="000F7386">
        <w:rPr>
          <w:rStyle w:val="normaltextrun"/>
          <w:rFonts w:ascii="Calibri" w:hAnsi="Calibri" w:cs="Calibri"/>
          <w:noProof/>
          <w:sz w:val="20"/>
          <w:szCs w:val="20"/>
        </w:rPr>
        <w:t> </w:t>
      </w:r>
      <w:r w:rsidRPr="000F7386">
        <w:rPr>
          <w:rStyle w:val="normaltextrun"/>
          <w:noProof/>
          <w:sz w:val="20"/>
          <w:szCs w:val="20"/>
        </w:rPr>
        <w:t>2.7</w:t>
      </w:r>
      <w:r w:rsidRPr="000F7386">
        <w:rPr>
          <w:rStyle w:val="normaltextrun"/>
          <w:rFonts w:ascii="Calibri" w:hAnsi="Calibri" w:cs="Calibri"/>
          <w:noProof/>
          <w:sz w:val="20"/>
          <w:szCs w:val="20"/>
        </w:rPr>
        <w:t> </w:t>
      </w:r>
      <w:r w:rsidRPr="000F7386">
        <w:rPr>
          <w:rStyle w:val="normaltextrun"/>
          <w:noProof/>
          <w:sz w:val="20"/>
          <w:szCs w:val="20"/>
        </w:rPr>
        <w:t>billion in more than 400 companies. Of this amount, more than EUR</w:t>
      </w:r>
      <w:r w:rsidRPr="000F7386">
        <w:rPr>
          <w:rStyle w:val="normaltextrun"/>
          <w:rFonts w:ascii="Calibri" w:hAnsi="Calibri" w:cs="Calibri"/>
          <w:noProof/>
          <w:sz w:val="20"/>
          <w:szCs w:val="20"/>
        </w:rPr>
        <w:t> </w:t>
      </w:r>
      <w:r w:rsidRPr="000F7386">
        <w:rPr>
          <w:rStyle w:val="normaltextrun"/>
          <w:noProof/>
          <w:sz w:val="20"/>
          <w:szCs w:val="20"/>
        </w:rPr>
        <w:t>1.9</w:t>
      </w:r>
      <w:r w:rsidRPr="000F7386">
        <w:rPr>
          <w:rStyle w:val="normaltextrun"/>
          <w:rFonts w:ascii="Calibri" w:hAnsi="Calibri" w:cs="Calibri"/>
          <w:noProof/>
          <w:sz w:val="20"/>
          <w:szCs w:val="20"/>
        </w:rPr>
        <w:t> </w:t>
      </w:r>
      <w:r w:rsidRPr="000F7386">
        <w:rPr>
          <w:rStyle w:val="normaltextrun"/>
          <w:noProof/>
          <w:sz w:val="20"/>
          <w:szCs w:val="20"/>
        </w:rPr>
        <w:t>billion was invested in more than 240 SMEs in their growth and expansion stage. The latter two indicators (EUR</w:t>
      </w:r>
      <w:r w:rsidRPr="000F7386">
        <w:rPr>
          <w:rStyle w:val="normaltextrun"/>
          <w:rFonts w:ascii="Calibri" w:hAnsi="Calibri" w:cs="Calibri"/>
          <w:noProof/>
          <w:sz w:val="20"/>
          <w:szCs w:val="20"/>
        </w:rPr>
        <w:t> </w:t>
      </w:r>
      <w:r w:rsidRPr="000F7386">
        <w:rPr>
          <w:rStyle w:val="normaltextrun"/>
          <w:noProof/>
          <w:sz w:val="20"/>
          <w:szCs w:val="20"/>
        </w:rPr>
        <w:t>1.9</w:t>
      </w:r>
      <w:r w:rsidRPr="000F7386">
        <w:rPr>
          <w:rStyle w:val="normaltextrun"/>
          <w:rFonts w:ascii="Calibri" w:hAnsi="Calibri" w:cs="Calibri"/>
          <w:noProof/>
          <w:sz w:val="20"/>
          <w:szCs w:val="20"/>
        </w:rPr>
        <w:t> </w:t>
      </w:r>
      <w:r w:rsidRPr="000F7386">
        <w:rPr>
          <w:rStyle w:val="normaltextrun"/>
          <w:noProof/>
          <w:sz w:val="20"/>
          <w:szCs w:val="20"/>
        </w:rPr>
        <w:t>billion and 240 SMEs) were below the long-term targets initially envisaged for 2020.</w:t>
      </w:r>
    </w:p>
    <w:p w14:paraId="00B6278B" w14:textId="77777777" w:rsidR="00B65DF8" w:rsidRPr="000F7386" w:rsidRDefault="00B65DF8" w:rsidP="00B65DF8">
      <w:pPr>
        <w:pStyle w:val="ppoListHyphened-L1"/>
        <w:rPr>
          <w:rStyle w:val="normaltextrun"/>
          <w:noProof/>
          <w:sz w:val="20"/>
          <w:szCs w:val="20"/>
        </w:rPr>
      </w:pPr>
      <w:r>
        <w:rPr>
          <w:rStyle w:val="normaltextrun"/>
          <w:noProof/>
          <w:sz w:val="20"/>
          <w:szCs w:val="20"/>
        </w:rPr>
        <w:t>The programme evaluation referred to fragmentation issues, which are meanwhile being addressed (see below).</w:t>
      </w:r>
      <w:r w:rsidRPr="000F7386">
        <w:rPr>
          <w:rStyle w:val="normaltextrun"/>
          <w:noProof/>
          <w:sz w:val="20"/>
          <w:szCs w:val="20"/>
        </w:rPr>
        <w:t xml:space="preserve">. </w:t>
      </w:r>
      <w:r>
        <w:rPr>
          <w:rStyle w:val="normaltextrun"/>
          <w:noProof/>
          <w:sz w:val="20"/>
          <w:szCs w:val="20"/>
        </w:rPr>
        <w:t xml:space="preserve">It also </w:t>
      </w:r>
      <w:r w:rsidRPr="000F7386">
        <w:rPr>
          <w:rStyle w:val="normaltextrun"/>
          <w:noProof/>
          <w:sz w:val="20"/>
          <w:szCs w:val="20"/>
        </w:rPr>
        <w:t>point</w:t>
      </w:r>
      <w:r>
        <w:rPr>
          <w:rStyle w:val="normaltextrun"/>
          <w:noProof/>
          <w:sz w:val="20"/>
          <w:szCs w:val="20"/>
        </w:rPr>
        <w:t>ed</w:t>
      </w:r>
      <w:r w:rsidRPr="000F7386">
        <w:rPr>
          <w:rStyle w:val="normaltextrun"/>
          <w:noProof/>
          <w:sz w:val="20"/>
          <w:szCs w:val="20"/>
        </w:rPr>
        <w:t xml:space="preserve"> to a lack of centralised data about implementation</w:t>
      </w:r>
      <w:r>
        <w:rPr>
          <w:rStyle w:val="normaltextrun"/>
          <w:noProof/>
          <w:sz w:val="20"/>
          <w:szCs w:val="20"/>
        </w:rPr>
        <w:t>, in relation to monitoring</w:t>
      </w:r>
      <w:r w:rsidRPr="000F7386">
        <w:rPr>
          <w:rStyle w:val="normaltextrun"/>
          <w:noProof/>
          <w:sz w:val="20"/>
          <w:szCs w:val="20"/>
        </w:rPr>
        <w:t xml:space="preserve"> and note</w:t>
      </w:r>
      <w:r>
        <w:rPr>
          <w:rStyle w:val="normaltextrun"/>
          <w:noProof/>
          <w:sz w:val="20"/>
          <w:szCs w:val="20"/>
        </w:rPr>
        <w:t>d</w:t>
      </w:r>
      <w:r w:rsidRPr="000F7386">
        <w:rPr>
          <w:rStyle w:val="normaltextrun"/>
          <w:noProof/>
          <w:sz w:val="20"/>
          <w:szCs w:val="20"/>
        </w:rPr>
        <w:t xml:space="preserve"> that indicators are mostly based on outputs rather than on long-term effects. Efforts are still needed to centralise the data that is currently dispersed between the coordinating team, the units managing individual actions and the delegated entities. </w:t>
      </w:r>
      <w:r>
        <w:rPr>
          <w:rStyle w:val="normaltextrun"/>
          <w:noProof/>
          <w:sz w:val="20"/>
          <w:szCs w:val="20"/>
        </w:rPr>
        <w:t>The evaluation also mentioned that</w:t>
      </w:r>
      <w:r w:rsidRPr="000F7386">
        <w:rPr>
          <w:rStyle w:val="normaltextrun"/>
          <w:noProof/>
          <w:sz w:val="20"/>
          <w:szCs w:val="20"/>
        </w:rPr>
        <w:t xml:space="preserve"> the programme delivers in terms of jobs and growth creation,</w:t>
      </w:r>
      <w:r>
        <w:rPr>
          <w:rStyle w:val="normaltextrun"/>
          <w:noProof/>
          <w:sz w:val="20"/>
          <w:szCs w:val="20"/>
        </w:rPr>
        <w:t xml:space="preserve"> but</w:t>
      </w:r>
      <w:r w:rsidRPr="000F7386">
        <w:rPr>
          <w:rStyle w:val="normaltextrun"/>
          <w:noProof/>
          <w:sz w:val="20"/>
          <w:szCs w:val="20"/>
        </w:rPr>
        <w:t xml:space="preserve"> does not directly address global and societal challenges. The programme is coherent and works without big overlaps with other EU programmes and national/regional SME support schemes, however there is scope for synergies to be improved, mainly at the national and regional levels.</w:t>
      </w:r>
      <w:r>
        <w:rPr>
          <w:rStyle w:val="normaltextrun"/>
          <w:noProof/>
          <w:sz w:val="20"/>
          <w:szCs w:val="20"/>
        </w:rPr>
        <w:t xml:space="preserve"> Meanwhile, since the adoption of the SME strategy, sustainability has become a more visible priority of the programme and other societal concerns are also addressed in social economy actions and the 100 intelligent cities challenge.. </w:t>
      </w:r>
    </w:p>
    <w:p w14:paraId="4B1C2344" w14:textId="5C7EE320" w:rsidR="00FE47FC" w:rsidRPr="00753170" w:rsidRDefault="00B65DF8" w:rsidP="00FE47FC">
      <w:pPr>
        <w:pStyle w:val="ppoListHyphened-L1"/>
        <w:rPr>
          <w:noProof/>
          <w:sz w:val="20"/>
          <w:szCs w:val="20"/>
        </w:rPr>
      </w:pPr>
      <w:r w:rsidRPr="000F7386">
        <w:rPr>
          <w:rStyle w:val="normaltextrun"/>
          <w:noProof/>
          <w:sz w:val="20"/>
          <w:szCs w:val="20"/>
        </w:rPr>
        <w:t xml:space="preserve">This fragmentation into smaller actions </w:t>
      </w:r>
      <w:r>
        <w:rPr>
          <w:rStyle w:val="normaltextrun"/>
          <w:noProof/>
          <w:sz w:val="20"/>
          <w:szCs w:val="20"/>
        </w:rPr>
        <w:t>w</w:t>
      </w:r>
      <w:r w:rsidRPr="000F7386">
        <w:rPr>
          <w:rStyle w:val="normaltextrun"/>
          <w:noProof/>
          <w:sz w:val="20"/>
          <w:szCs w:val="20"/>
        </w:rPr>
        <w:t>as gradually addressed over the last 2</w:t>
      </w:r>
      <w:r w:rsidRPr="000F7386">
        <w:rPr>
          <w:rStyle w:val="normaltextrun"/>
          <w:rFonts w:ascii="Calibri" w:hAnsi="Calibri" w:cs="Calibri"/>
          <w:noProof/>
          <w:sz w:val="20"/>
          <w:szCs w:val="20"/>
        </w:rPr>
        <w:t> </w:t>
      </w:r>
      <w:r w:rsidRPr="000F7386">
        <w:rPr>
          <w:rStyle w:val="normaltextrun"/>
          <w:noProof/>
          <w:sz w:val="20"/>
          <w:szCs w:val="20"/>
        </w:rPr>
        <w:t>years of the</w:t>
      </w:r>
      <w:r>
        <w:rPr>
          <w:rStyle w:val="normaltextrun"/>
          <w:noProof/>
          <w:sz w:val="20"/>
          <w:szCs w:val="20"/>
        </w:rPr>
        <w:t xml:space="preserve"> COSME </w:t>
      </w:r>
      <w:r w:rsidRPr="000F7386">
        <w:rPr>
          <w:rStyle w:val="normaltextrun"/>
          <w:noProof/>
          <w:sz w:val="20"/>
          <w:szCs w:val="20"/>
        </w:rPr>
        <w:t>work programme</w:t>
      </w:r>
      <w:r>
        <w:rPr>
          <w:rStyle w:val="normaltextrun"/>
          <w:noProof/>
          <w:sz w:val="20"/>
          <w:szCs w:val="20"/>
        </w:rPr>
        <w:t>, by reinforcing l</w:t>
      </w:r>
      <w:r w:rsidRPr="000F7386">
        <w:rPr>
          <w:rStyle w:val="normaltextrun"/>
          <w:noProof/>
          <w:sz w:val="20"/>
          <w:szCs w:val="20"/>
        </w:rPr>
        <w:t>arger actions where appropriate and</w:t>
      </w:r>
      <w:r>
        <w:rPr>
          <w:rStyle w:val="normaltextrun"/>
          <w:noProof/>
          <w:sz w:val="20"/>
          <w:szCs w:val="20"/>
        </w:rPr>
        <w:t xml:space="preserve"> reducing</w:t>
      </w:r>
      <w:r w:rsidRPr="000F7386">
        <w:rPr>
          <w:rStyle w:val="normaltextrun"/>
          <w:noProof/>
          <w:sz w:val="20"/>
          <w:szCs w:val="20"/>
        </w:rPr>
        <w:t xml:space="preserve"> the number of smaller supporting actions</w:t>
      </w:r>
      <w:r>
        <w:rPr>
          <w:rStyle w:val="normaltextrun"/>
          <w:noProof/>
          <w:sz w:val="20"/>
          <w:szCs w:val="20"/>
        </w:rPr>
        <w:t>.</w:t>
      </w:r>
      <w:r w:rsidRPr="000F7386">
        <w:rPr>
          <w:rStyle w:val="normaltextrun"/>
          <w:noProof/>
          <w:sz w:val="20"/>
          <w:szCs w:val="20"/>
        </w:rPr>
        <w:t xml:space="preserve"> </w:t>
      </w:r>
      <w:r>
        <w:rPr>
          <w:rStyle w:val="normaltextrun"/>
          <w:noProof/>
          <w:sz w:val="20"/>
          <w:szCs w:val="20"/>
        </w:rPr>
        <w:t>Under the</w:t>
      </w:r>
      <w:r w:rsidRPr="000F7386">
        <w:rPr>
          <w:rStyle w:val="normaltextrun"/>
          <w:noProof/>
          <w:sz w:val="20"/>
          <w:szCs w:val="20"/>
        </w:rPr>
        <w:t xml:space="preserve"> </w:t>
      </w:r>
      <w:r>
        <w:rPr>
          <w:rStyle w:val="normaltextrun"/>
          <w:noProof/>
          <w:sz w:val="20"/>
          <w:szCs w:val="20"/>
        </w:rPr>
        <w:t>S</w:t>
      </w:r>
      <w:r w:rsidRPr="000F7386">
        <w:rPr>
          <w:rStyle w:val="normaltextrun"/>
          <w:noProof/>
          <w:sz w:val="20"/>
          <w:szCs w:val="20"/>
        </w:rPr>
        <w:t xml:space="preserve">ingle </w:t>
      </w:r>
      <w:r>
        <w:rPr>
          <w:rStyle w:val="normaltextrun"/>
          <w:noProof/>
          <w:sz w:val="20"/>
          <w:szCs w:val="20"/>
        </w:rPr>
        <w:t>M</w:t>
      </w:r>
      <w:r w:rsidRPr="000F7386">
        <w:rPr>
          <w:rStyle w:val="normaltextrun"/>
          <w:noProof/>
          <w:sz w:val="20"/>
          <w:szCs w:val="20"/>
        </w:rPr>
        <w:t xml:space="preserve">arket </w:t>
      </w:r>
      <w:r>
        <w:rPr>
          <w:rStyle w:val="normaltextrun"/>
          <w:noProof/>
          <w:sz w:val="20"/>
          <w:szCs w:val="20"/>
        </w:rPr>
        <w:t>P</w:t>
      </w:r>
      <w:r w:rsidRPr="000F7386">
        <w:rPr>
          <w:rStyle w:val="normaltextrun"/>
          <w:noProof/>
          <w:sz w:val="20"/>
          <w:szCs w:val="20"/>
        </w:rPr>
        <w:t xml:space="preserve">rogramme, the most impactful actions </w:t>
      </w:r>
      <w:r>
        <w:rPr>
          <w:rStyle w:val="normaltextrun"/>
          <w:noProof/>
          <w:sz w:val="20"/>
          <w:szCs w:val="20"/>
        </w:rPr>
        <w:t>have been</w:t>
      </w:r>
      <w:r w:rsidRPr="000F7386">
        <w:rPr>
          <w:rStyle w:val="normaltextrun"/>
          <w:noProof/>
          <w:sz w:val="20"/>
          <w:szCs w:val="20"/>
        </w:rPr>
        <w:t xml:space="preserve"> reinforced. However, the new programme should maintain the same ability to launch smaller pilot actions to adapt to the changing landscape of SMEs, as the COSME programme had.</w:t>
      </w:r>
      <w:r w:rsidR="00FE47FC" w:rsidRPr="000F7386">
        <w:rPr>
          <w:noProof/>
        </w:rPr>
        <w:br w:type="page"/>
      </w:r>
    </w:p>
    <w:p w14:paraId="1181D33A" w14:textId="77777777" w:rsidR="00FE47FC" w:rsidRPr="000F7386" w:rsidRDefault="00FE47FC" w:rsidP="00FE47FC">
      <w:pPr>
        <w:pStyle w:val="ppoHeading4Orange"/>
        <w:rPr>
          <w:noProof/>
        </w:rPr>
      </w:pPr>
      <w:r w:rsidRPr="000F7386">
        <w:rPr>
          <w:noProof/>
        </w:rPr>
        <w:t>2014-2020 multiannual financial framework</w:t>
      </w:r>
      <w:r w:rsidRPr="000F7386">
        <w:rPr>
          <w:rFonts w:ascii="Calibri" w:hAnsi="Calibri" w:cs="Calibri"/>
          <w:noProof/>
        </w:rPr>
        <w:t> </w:t>
      </w:r>
      <w:r w:rsidRPr="000F7386">
        <w:rPr>
          <w:noProof/>
        </w:rPr>
        <w:t>– European statistical programme</w:t>
      </w:r>
    </w:p>
    <w:p w14:paraId="3C9124A6" w14:textId="77777777" w:rsidR="00FE47FC" w:rsidRPr="000F7386" w:rsidRDefault="00FE47FC" w:rsidP="00FE47FC">
      <w:pPr>
        <w:rPr>
          <w:rFonts w:eastAsiaTheme="minorEastAsia"/>
          <w:noProof/>
        </w:rPr>
      </w:pPr>
      <w:r w:rsidRPr="000F7386">
        <w:rPr>
          <w:rFonts w:eastAsiaTheme="minorEastAsia"/>
          <w:noProof/>
        </w:rPr>
        <w:t>The European statistical programme provides funding to national statistical institutes for the</w:t>
      </w:r>
      <w:r w:rsidRPr="000F7386">
        <w:rPr>
          <w:rFonts w:eastAsiaTheme="minorEastAsia" w:cs="Arial"/>
          <w:noProof/>
        </w:rPr>
        <w:t xml:space="preserve"> </w:t>
      </w:r>
      <w:r w:rsidRPr="000F7386">
        <w:rPr>
          <w:rFonts w:eastAsiaTheme="minorEastAsia"/>
          <w:noProof/>
        </w:rPr>
        <w:t>development,</w:t>
      </w:r>
      <w:r w:rsidRPr="000F7386">
        <w:rPr>
          <w:rFonts w:eastAsiaTheme="minorEastAsia" w:cs="Arial"/>
          <w:noProof/>
        </w:rPr>
        <w:t xml:space="preserve"> </w:t>
      </w:r>
      <w:r w:rsidRPr="000F7386">
        <w:rPr>
          <w:rFonts w:eastAsiaTheme="minorEastAsia"/>
          <w:noProof/>
        </w:rPr>
        <w:t>production and dissemination of high-quality statistics to monitor the economic, social, environmental and territorial situation, thereby providing for evidence-based-decision making in the EU and measuring the impact of EU initiatives.</w:t>
      </w:r>
      <w:r w:rsidRPr="000F7386">
        <w:rPr>
          <w:rFonts w:eastAsiaTheme="minorEastAsia" w:cs="Arial"/>
          <w:noProof/>
        </w:rPr>
        <w:t xml:space="preserve"> </w:t>
      </w:r>
    </w:p>
    <w:p w14:paraId="2737C035" w14:textId="77777777" w:rsidR="00FE47FC" w:rsidRPr="000F7386" w:rsidRDefault="00FE47FC" w:rsidP="00FE47FC">
      <w:pPr>
        <w:pStyle w:val="ppoHeading5"/>
        <w:rPr>
          <w:noProof/>
        </w:rPr>
      </w:pPr>
      <w:r w:rsidRPr="000F7386">
        <w:rPr>
          <w:noProof/>
        </w:rPr>
        <w:t>Budget</w:t>
      </w:r>
    </w:p>
    <w:p w14:paraId="20D58B2C" w14:textId="77777777" w:rsidR="00FE47FC" w:rsidRPr="000F7386" w:rsidRDefault="00FE47FC" w:rsidP="00FE47FC">
      <w:pPr>
        <w:pStyle w:val="ppoTableTabletitle"/>
        <w:rPr>
          <w:noProof/>
        </w:rPr>
      </w:pPr>
      <w:r w:rsidRPr="000F7386">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FE47FC" w:rsidRPr="000F7386" w14:paraId="7FEC7CFF" w14:textId="77777777" w:rsidTr="00BB2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3B48C943" w14:textId="77777777" w:rsidR="00FE47FC" w:rsidRPr="000F7386" w:rsidRDefault="00FE47FC" w:rsidP="00BB20EB">
            <w:pPr>
              <w:rPr>
                <w:noProof/>
              </w:rPr>
            </w:pPr>
          </w:p>
        </w:tc>
        <w:tc>
          <w:tcPr>
            <w:tcW w:w="2410" w:type="dxa"/>
          </w:tcPr>
          <w:p w14:paraId="725DE49B" w14:textId="77777777" w:rsidR="00FE47FC" w:rsidRPr="000F7386" w:rsidRDefault="00FE47FC" w:rsidP="00BB20EB">
            <w:pPr>
              <w:cnfStyle w:val="100000000000" w:firstRow="1" w:lastRow="0" w:firstColumn="0" w:lastColumn="0" w:oddVBand="0" w:evenVBand="0" w:oddHBand="0" w:evenHBand="0" w:firstRowFirstColumn="0" w:firstRowLastColumn="0" w:lastRowFirstColumn="0" w:lastRowLastColumn="0"/>
              <w:rPr>
                <w:noProof/>
              </w:rPr>
            </w:pPr>
            <w:r w:rsidRPr="000F7386">
              <w:rPr>
                <w:noProof/>
              </w:rPr>
              <w:t>Implementation</w:t>
            </w:r>
          </w:p>
        </w:tc>
        <w:tc>
          <w:tcPr>
            <w:tcW w:w="2410" w:type="dxa"/>
          </w:tcPr>
          <w:p w14:paraId="17180346" w14:textId="017A375C" w:rsidR="00FE47FC" w:rsidRPr="000F7386" w:rsidRDefault="001F4CBC" w:rsidP="00BB20EB">
            <w:pPr>
              <w:cnfStyle w:val="100000000000" w:firstRow="1" w:lastRow="0" w:firstColumn="0" w:lastColumn="0" w:oddVBand="0" w:evenVBand="0" w:oddHBand="0" w:evenHBand="0" w:firstRowFirstColumn="0" w:firstRowLastColumn="0" w:lastRowFirstColumn="0" w:lastRowLastColumn="0"/>
              <w:rPr>
                <w:noProof/>
              </w:rPr>
            </w:pPr>
            <w:r>
              <w:rPr>
                <w:noProof/>
              </w:rPr>
              <w:t xml:space="preserve">2014-2020 </w:t>
            </w:r>
            <w:r w:rsidRPr="00885241">
              <w:rPr>
                <w:noProof/>
              </w:rPr>
              <w:t>Budget</w:t>
            </w:r>
          </w:p>
        </w:tc>
        <w:tc>
          <w:tcPr>
            <w:tcW w:w="2410" w:type="dxa"/>
          </w:tcPr>
          <w:p w14:paraId="0F425CBD" w14:textId="77777777" w:rsidR="00FE47FC" w:rsidRPr="000F7386" w:rsidRDefault="00FE47FC" w:rsidP="00BB20EB">
            <w:pPr>
              <w:cnfStyle w:val="100000000000" w:firstRow="1" w:lastRow="0" w:firstColumn="0" w:lastColumn="0" w:oddVBand="0" w:evenVBand="0" w:oddHBand="0" w:evenHBand="0" w:firstRowFirstColumn="0" w:firstRowLastColumn="0" w:lastRowFirstColumn="0" w:lastRowLastColumn="0"/>
              <w:rPr>
                <w:noProof/>
              </w:rPr>
            </w:pPr>
            <w:r w:rsidRPr="000F7386">
              <w:rPr>
                <w:noProof/>
              </w:rPr>
              <w:t>Implementation rate</w:t>
            </w:r>
          </w:p>
        </w:tc>
      </w:tr>
      <w:tr w:rsidR="00FE47FC" w:rsidRPr="000F7386" w14:paraId="544FAE42" w14:textId="77777777" w:rsidTr="00BB20EB">
        <w:tc>
          <w:tcPr>
            <w:cnfStyle w:val="001000000000" w:firstRow="0" w:lastRow="0" w:firstColumn="1" w:lastColumn="0" w:oddVBand="0" w:evenVBand="0" w:oddHBand="0" w:evenHBand="0" w:firstRowFirstColumn="0" w:firstRowLastColumn="0" w:lastRowFirstColumn="0" w:lastRowLastColumn="0"/>
            <w:tcW w:w="2409" w:type="dxa"/>
          </w:tcPr>
          <w:p w14:paraId="2E8447A3" w14:textId="77777777" w:rsidR="00FE47FC" w:rsidRPr="000F7386" w:rsidRDefault="00FE47FC" w:rsidP="00BB20EB">
            <w:pPr>
              <w:jc w:val="center"/>
              <w:rPr>
                <w:noProof/>
              </w:rPr>
            </w:pPr>
            <w:r w:rsidRPr="000F7386">
              <w:rPr>
                <w:noProof/>
              </w:rPr>
              <w:t>Commitments</w:t>
            </w:r>
          </w:p>
        </w:tc>
        <w:tc>
          <w:tcPr>
            <w:tcW w:w="2410" w:type="dxa"/>
          </w:tcPr>
          <w:tbl>
            <w:tblPr>
              <w:tblStyle w:val="TableGrid"/>
              <w:tblW w:w="0" w:type="auto"/>
              <w:tblLook w:val="06A0" w:firstRow="1" w:lastRow="0" w:firstColumn="1" w:lastColumn="0" w:noHBand="1" w:noVBand="1"/>
            </w:tblPr>
            <w:tblGrid>
              <w:gridCol w:w="2194"/>
            </w:tblGrid>
            <w:tr w:rsidR="00FE47FC" w:rsidRPr="000F7386" w14:paraId="240C1B8F" w14:textId="77777777" w:rsidTr="00BB20EB">
              <w:trPr>
                <w:trHeight w:val="285"/>
              </w:trPr>
              <w:tc>
                <w:tcPr>
                  <w:tcW w:w="2290" w:type="dxa"/>
                  <w:tcBorders>
                    <w:top w:val="nil"/>
                    <w:left w:val="nil"/>
                    <w:bottom w:val="nil"/>
                    <w:right w:val="nil"/>
                  </w:tcBorders>
                  <w:vAlign w:val="bottom"/>
                </w:tcPr>
                <w:p w14:paraId="23BCFB94" w14:textId="77777777" w:rsidR="00FE47FC" w:rsidRPr="000F7386" w:rsidRDefault="00FE47FC" w:rsidP="00BB20EB">
                  <w:pPr>
                    <w:jc w:val="right"/>
                    <w:rPr>
                      <w:noProof/>
                    </w:rPr>
                  </w:pPr>
                  <w:r w:rsidRPr="000F7386">
                    <w:rPr>
                      <w:rFonts w:ascii="Calibri" w:hAnsi="Calibri" w:cs="Calibri"/>
                      <w:noProof/>
                      <w:color w:val="000000"/>
                    </w:rPr>
                    <w:t>446.7</w:t>
                  </w:r>
                </w:p>
              </w:tc>
            </w:tr>
          </w:tbl>
          <w:p w14:paraId="7F89F8AA" w14:textId="77777777" w:rsidR="00FE47FC" w:rsidRPr="000F7386" w:rsidRDefault="00FE47FC"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FE47FC" w:rsidRPr="000F7386" w14:paraId="34374B6E" w14:textId="77777777" w:rsidTr="00BB20EB">
              <w:trPr>
                <w:trHeight w:val="285"/>
              </w:trPr>
              <w:tc>
                <w:tcPr>
                  <w:tcW w:w="2290" w:type="dxa"/>
                  <w:tcBorders>
                    <w:top w:val="nil"/>
                    <w:left w:val="nil"/>
                    <w:bottom w:val="nil"/>
                    <w:right w:val="nil"/>
                  </w:tcBorders>
                  <w:vAlign w:val="bottom"/>
                </w:tcPr>
                <w:p w14:paraId="6B15890B" w14:textId="77777777" w:rsidR="00FE47FC" w:rsidRPr="000F7386" w:rsidRDefault="00FE47FC" w:rsidP="00BB20EB">
                  <w:pPr>
                    <w:jc w:val="right"/>
                    <w:rPr>
                      <w:noProof/>
                    </w:rPr>
                  </w:pPr>
                  <w:r w:rsidRPr="000F7386">
                    <w:rPr>
                      <w:rFonts w:ascii="Calibri" w:hAnsi="Calibri" w:cs="Calibri"/>
                      <w:noProof/>
                      <w:color w:val="000000"/>
                    </w:rPr>
                    <w:t>449.1</w:t>
                  </w:r>
                </w:p>
              </w:tc>
            </w:tr>
          </w:tbl>
          <w:p w14:paraId="48558C1C" w14:textId="77777777" w:rsidR="00FE47FC" w:rsidRPr="000F7386" w:rsidRDefault="00FE47FC"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FE47FC" w:rsidRPr="000F7386" w14:paraId="5DECBF83" w14:textId="77777777" w:rsidTr="00BB20EB">
              <w:trPr>
                <w:trHeight w:val="285"/>
              </w:trPr>
              <w:tc>
                <w:tcPr>
                  <w:tcW w:w="2290" w:type="dxa"/>
                  <w:tcBorders>
                    <w:top w:val="nil"/>
                    <w:left w:val="nil"/>
                    <w:bottom w:val="nil"/>
                    <w:right w:val="nil"/>
                  </w:tcBorders>
                  <w:vAlign w:val="bottom"/>
                </w:tcPr>
                <w:p w14:paraId="14ECDD26" w14:textId="77777777" w:rsidR="00FE47FC" w:rsidRPr="000F7386" w:rsidRDefault="00FE47FC" w:rsidP="00BB20EB">
                  <w:pPr>
                    <w:jc w:val="right"/>
                    <w:rPr>
                      <w:noProof/>
                    </w:rPr>
                  </w:pPr>
                  <w:r w:rsidRPr="000F7386">
                    <w:rPr>
                      <w:rFonts w:ascii="Calibri" w:hAnsi="Calibri" w:cs="Calibri"/>
                      <w:noProof/>
                      <w:color w:val="000000"/>
                    </w:rPr>
                    <w:t>99%</w:t>
                  </w:r>
                </w:p>
              </w:tc>
            </w:tr>
          </w:tbl>
          <w:p w14:paraId="5E7BF415" w14:textId="77777777" w:rsidR="00FE47FC" w:rsidRPr="000F7386" w:rsidRDefault="00FE47FC" w:rsidP="00BB20EB">
            <w:pPr>
              <w:jc w:val="center"/>
              <w:cnfStyle w:val="000000000000" w:firstRow="0" w:lastRow="0" w:firstColumn="0" w:lastColumn="0" w:oddVBand="0" w:evenVBand="0" w:oddHBand="0" w:evenHBand="0" w:firstRowFirstColumn="0" w:firstRowLastColumn="0" w:lastRowFirstColumn="0" w:lastRowLastColumn="0"/>
              <w:rPr>
                <w:noProof/>
              </w:rPr>
            </w:pPr>
          </w:p>
        </w:tc>
      </w:tr>
      <w:tr w:rsidR="00FE47FC" w:rsidRPr="000F7386" w14:paraId="25DB6ABB" w14:textId="77777777" w:rsidTr="00BB20EB">
        <w:tc>
          <w:tcPr>
            <w:cnfStyle w:val="001000000000" w:firstRow="0" w:lastRow="0" w:firstColumn="1" w:lastColumn="0" w:oddVBand="0" w:evenVBand="0" w:oddHBand="0" w:evenHBand="0" w:firstRowFirstColumn="0" w:firstRowLastColumn="0" w:lastRowFirstColumn="0" w:lastRowLastColumn="0"/>
            <w:tcW w:w="2409" w:type="dxa"/>
          </w:tcPr>
          <w:p w14:paraId="0FDCF1A5" w14:textId="77777777" w:rsidR="00FE47FC" w:rsidRPr="000F7386" w:rsidRDefault="00FE47FC" w:rsidP="00BB20EB">
            <w:pPr>
              <w:jc w:val="center"/>
              <w:rPr>
                <w:noProof/>
              </w:rPr>
            </w:pPr>
            <w:r w:rsidRPr="000F7386">
              <w:rPr>
                <w:noProof/>
              </w:rPr>
              <w:t>Payments</w:t>
            </w:r>
          </w:p>
        </w:tc>
        <w:tc>
          <w:tcPr>
            <w:tcW w:w="2410" w:type="dxa"/>
          </w:tcPr>
          <w:tbl>
            <w:tblPr>
              <w:tblStyle w:val="TableGrid"/>
              <w:tblW w:w="0" w:type="auto"/>
              <w:tblLook w:val="06A0" w:firstRow="1" w:lastRow="0" w:firstColumn="1" w:lastColumn="0" w:noHBand="1" w:noVBand="1"/>
            </w:tblPr>
            <w:tblGrid>
              <w:gridCol w:w="2194"/>
            </w:tblGrid>
            <w:tr w:rsidR="00FE47FC" w:rsidRPr="000F7386" w14:paraId="6A464A24" w14:textId="77777777" w:rsidTr="00BB20EB">
              <w:trPr>
                <w:trHeight w:val="285"/>
              </w:trPr>
              <w:tc>
                <w:tcPr>
                  <w:tcW w:w="2290" w:type="dxa"/>
                  <w:tcBorders>
                    <w:top w:val="nil"/>
                    <w:left w:val="nil"/>
                    <w:bottom w:val="nil"/>
                    <w:right w:val="nil"/>
                  </w:tcBorders>
                  <w:vAlign w:val="bottom"/>
                </w:tcPr>
                <w:p w14:paraId="2A2F0E5A" w14:textId="77777777" w:rsidR="00FE47FC" w:rsidRPr="000F7386" w:rsidRDefault="00FE47FC" w:rsidP="00BB20EB">
                  <w:pPr>
                    <w:jc w:val="right"/>
                    <w:rPr>
                      <w:noProof/>
                    </w:rPr>
                  </w:pPr>
                  <w:r w:rsidRPr="000F7386">
                    <w:rPr>
                      <w:rFonts w:ascii="Calibri" w:hAnsi="Calibri" w:cs="Calibri"/>
                      <w:noProof/>
                      <w:color w:val="000000"/>
                    </w:rPr>
                    <w:t>391.3</w:t>
                  </w:r>
                </w:p>
              </w:tc>
            </w:tr>
          </w:tbl>
          <w:p w14:paraId="259730CE" w14:textId="77777777" w:rsidR="00FE47FC" w:rsidRPr="000F7386" w:rsidRDefault="00FE47FC"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34380DA0" w14:textId="77777777" w:rsidR="00FE47FC" w:rsidRPr="000F7386" w:rsidRDefault="00FE47FC"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FE47FC" w:rsidRPr="000F7386" w14:paraId="04BBE32E" w14:textId="77777777" w:rsidTr="00BB20EB">
              <w:trPr>
                <w:trHeight w:val="285"/>
              </w:trPr>
              <w:tc>
                <w:tcPr>
                  <w:tcW w:w="2235" w:type="dxa"/>
                  <w:tcBorders>
                    <w:top w:val="nil"/>
                    <w:left w:val="nil"/>
                    <w:bottom w:val="nil"/>
                    <w:right w:val="nil"/>
                  </w:tcBorders>
                  <w:vAlign w:val="bottom"/>
                </w:tcPr>
                <w:p w14:paraId="656F9534" w14:textId="77777777" w:rsidR="00FE47FC" w:rsidRPr="000F7386" w:rsidRDefault="00FE47FC" w:rsidP="00BB20EB">
                  <w:pPr>
                    <w:jc w:val="right"/>
                    <w:rPr>
                      <w:noProof/>
                    </w:rPr>
                  </w:pPr>
                  <w:r w:rsidRPr="000F7386">
                    <w:rPr>
                      <w:rFonts w:ascii="Calibri" w:hAnsi="Calibri" w:cs="Calibri"/>
                      <w:noProof/>
                      <w:color w:val="000000"/>
                    </w:rPr>
                    <w:t>87%</w:t>
                  </w:r>
                </w:p>
              </w:tc>
            </w:tr>
          </w:tbl>
          <w:p w14:paraId="370715C8" w14:textId="77777777" w:rsidR="00FE47FC" w:rsidRPr="000F7386" w:rsidRDefault="00FE47FC" w:rsidP="00BB20EB">
            <w:pPr>
              <w:jc w:val="center"/>
              <w:cnfStyle w:val="000000000000" w:firstRow="0" w:lastRow="0" w:firstColumn="0" w:lastColumn="0" w:oddVBand="0" w:evenVBand="0" w:oddHBand="0" w:evenHBand="0" w:firstRowFirstColumn="0" w:firstRowLastColumn="0" w:lastRowFirstColumn="0" w:lastRowLastColumn="0"/>
              <w:rPr>
                <w:noProof/>
              </w:rPr>
            </w:pPr>
          </w:p>
        </w:tc>
      </w:tr>
    </w:tbl>
    <w:p w14:paraId="6D9A4FF0" w14:textId="77777777" w:rsidR="00FE47FC" w:rsidRPr="000F7386" w:rsidRDefault="00FE47FC" w:rsidP="00FE47FC">
      <w:pPr>
        <w:pStyle w:val="ppoListHyphened-L1"/>
        <w:spacing w:before="360"/>
        <w:rPr>
          <w:noProof/>
        </w:rPr>
      </w:pPr>
      <w:r w:rsidRPr="000F7386">
        <w:rPr>
          <w:noProof/>
        </w:rPr>
        <w:t>Following the calls for proposals for traditional projects launched in 2019, around 1</w:t>
      </w:r>
      <w:r w:rsidRPr="000F7386">
        <w:rPr>
          <w:rFonts w:ascii="Calibri" w:hAnsi="Calibri" w:cs="Calibri"/>
          <w:noProof/>
        </w:rPr>
        <w:t> </w:t>
      </w:r>
      <w:r w:rsidRPr="000F7386">
        <w:rPr>
          <w:noProof/>
        </w:rPr>
        <w:t>300 proposals were received, leading to the financing of 147 projects (through grants), for which the grant agreements were signed in 2020. More than 1</w:t>
      </w:r>
      <w:r w:rsidRPr="000F7386">
        <w:rPr>
          <w:rFonts w:ascii="Calibri" w:hAnsi="Calibri" w:cs="Calibri"/>
          <w:noProof/>
        </w:rPr>
        <w:t> </w:t>
      </w:r>
      <w:r w:rsidRPr="000F7386">
        <w:rPr>
          <w:noProof/>
        </w:rPr>
        <w:t>100 proposals were submitted under the environment subprogramme, including under the resource efficiency and nature and biodiversity strands, leading to the financing of 108 projects. In addition, there were around 170 proposals for the climate change mitigation and adaptation strand, with 39 projects being financed.</w:t>
      </w:r>
    </w:p>
    <w:p w14:paraId="53F99961" w14:textId="77777777" w:rsidR="00FE47FC" w:rsidRPr="000F7386" w:rsidRDefault="00FE47FC" w:rsidP="00FE47FC">
      <w:pPr>
        <w:pStyle w:val="ppoListHyphened-L1"/>
        <w:rPr>
          <w:noProof/>
        </w:rPr>
      </w:pPr>
      <w:r w:rsidRPr="000F7386">
        <w:rPr>
          <w:noProof/>
        </w:rPr>
        <w:t>Between 2014 and 2020, 99% of commitments were implemented within the framework of the European statistical programme, thereby allowing to reach the related goals to be reached.</w:t>
      </w:r>
    </w:p>
    <w:p w14:paraId="297E0D5C" w14:textId="77777777" w:rsidR="00FE47FC" w:rsidRPr="000F7386" w:rsidRDefault="00FE47FC" w:rsidP="00FE47FC">
      <w:pPr>
        <w:pStyle w:val="ppoListHyphened-L1"/>
        <w:rPr>
          <w:noProof/>
        </w:rPr>
      </w:pPr>
      <w:r w:rsidRPr="000F7386">
        <w:rPr>
          <w:noProof/>
        </w:rPr>
        <w:t>Payment appropriations will continue to be executed in the years to come to allow for the finalisation of ongoing projects relating to grants and procurement activities. In 2021, some expected submissions of deliveries and cost claims from beneficiaries and contractors were delayed, owing in particular to the pandemic situation, which resulted in EUR</w:t>
      </w:r>
      <w:r w:rsidRPr="000F7386">
        <w:rPr>
          <w:rFonts w:ascii="Calibri" w:hAnsi="Calibri" w:cs="Calibri"/>
          <w:noProof/>
        </w:rPr>
        <w:t> </w:t>
      </w:r>
      <w:r w:rsidRPr="000F7386">
        <w:rPr>
          <w:noProof/>
        </w:rPr>
        <w:t>3.3</w:t>
      </w:r>
      <w:r w:rsidRPr="000F7386">
        <w:rPr>
          <w:rFonts w:ascii="Calibri" w:hAnsi="Calibri" w:cs="Calibri"/>
          <w:noProof/>
        </w:rPr>
        <w:t> </w:t>
      </w:r>
      <w:r w:rsidRPr="000F7386">
        <w:rPr>
          <w:noProof/>
        </w:rPr>
        <w:t>million in unused payment appropriations.</w:t>
      </w:r>
    </w:p>
    <w:p w14:paraId="63D34435" w14:textId="77777777" w:rsidR="00FE47FC" w:rsidRPr="000F7386" w:rsidRDefault="00FE47FC" w:rsidP="00FE47FC">
      <w:pPr>
        <w:pStyle w:val="ppoHeading5"/>
        <w:rPr>
          <w:noProof/>
        </w:rPr>
      </w:pPr>
      <w:r w:rsidRPr="000F7386">
        <w:rPr>
          <w:noProof/>
        </w:rPr>
        <w:t>Performance assessment</w:t>
      </w:r>
    </w:p>
    <w:p w14:paraId="3AEC9187" w14:textId="77777777" w:rsidR="00FE47FC" w:rsidRPr="000F7386" w:rsidRDefault="00FE47FC" w:rsidP="00FE47FC">
      <w:pPr>
        <w:pStyle w:val="ppoListHyphened-L1"/>
        <w:rPr>
          <w:noProof/>
        </w:rPr>
      </w:pPr>
      <w:r w:rsidRPr="000F7386">
        <w:rPr>
          <w:noProof/>
        </w:rPr>
        <w:t>The implementation of the European statistical programme progressed well, producing significant results under the programme’s various objectives.</w:t>
      </w:r>
    </w:p>
    <w:p w14:paraId="2097AD94" w14:textId="77777777" w:rsidR="00FE47FC" w:rsidRPr="000F7386" w:rsidRDefault="00FE47FC" w:rsidP="00FE47FC">
      <w:pPr>
        <w:pStyle w:val="ppoListHyphened-L1"/>
        <w:rPr>
          <w:noProof/>
        </w:rPr>
      </w:pPr>
      <w:r w:rsidRPr="000F7386">
        <w:rPr>
          <w:noProof/>
        </w:rPr>
        <w:t>The general objective of the programme was for the European Statistical System to be the leading provider of high-quality statistics on Europe. Its performance indicator, measuring Eurostat’s impact on the internet, shows that the programme has generally performed well. The number of times that Eurostat is mentioned on the internet is on target. The percentage of negative opinions is extremely low, showing trust in and satisfaction with the data produced.</w:t>
      </w:r>
    </w:p>
    <w:p w14:paraId="75EACFD1" w14:textId="77777777" w:rsidR="00FE47FC" w:rsidRPr="000F7386" w:rsidRDefault="00FE47FC" w:rsidP="00FE47FC">
      <w:pPr>
        <w:pStyle w:val="ppoListHyphened-L1"/>
        <w:rPr>
          <w:noProof/>
        </w:rPr>
      </w:pPr>
      <w:r w:rsidRPr="000F7386">
        <w:rPr>
          <w:noProof/>
        </w:rPr>
        <w:t xml:space="preserve">The second performance indicator, statistical coverage, measures the relevance of the statistics published by Eurostat. </w:t>
      </w:r>
      <w:r w:rsidRPr="003B534F">
        <w:rPr>
          <w:noProof/>
        </w:rPr>
        <w:t>It shows how the quantity and variety of data published by Eurostat evolve and are measured as the number of different statistics published on the Eurostat website</w:t>
      </w:r>
      <w:r>
        <w:rPr>
          <w:noProof/>
        </w:rPr>
        <w:t xml:space="preserve"> increases</w:t>
      </w:r>
      <w:r w:rsidRPr="003B534F">
        <w:rPr>
          <w:noProof/>
        </w:rPr>
        <w:t>.</w:t>
      </w:r>
      <w:r w:rsidRPr="000F7386">
        <w:rPr>
          <w:noProof/>
        </w:rPr>
        <w:t xml:space="preserve"> </w:t>
      </w:r>
      <w:bookmarkStart w:id="74" w:name="_Hlk101781320"/>
      <w:r w:rsidRPr="003B534F">
        <w:rPr>
          <w:noProof/>
        </w:rPr>
        <w:t>The statistical coverage shows an increase of 39</w:t>
      </w:r>
      <w:r w:rsidRPr="003B534F">
        <w:rPr>
          <w:rFonts w:ascii="Calibri" w:hAnsi="Calibri" w:cs="Calibri"/>
          <w:noProof/>
        </w:rPr>
        <w:t> </w:t>
      </w:r>
      <w:r w:rsidRPr="003B534F">
        <w:rPr>
          <w:noProof/>
        </w:rPr>
        <w:t>million</w:t>
      </w:r>
      <w:r>
        <w:rPr>
          <w:noProof/>
        </w:rPr>
        <w:t xml:space="preserve"> users</w:t>
      </w:r>
      <w:r w:rsidRPr="003B534F">
        <w:rPr>
          <w:noProof/>
        </w:rPr>
        <w:t xml:space="preserve"> (9%) compared to last year.</w:t>
      </w:r>
      <w:r w:rsidRPr="000F7386">
        <w:rPr>
          <w:noProof/>
        </w:rPr>
        <w:t xml:space="preserve"> </w:t>
      </w:r>
      <w:bookmarkEnd w:id="74"/>
      <w:r w:rsidRPr="000F7386">
        <w:rPr>
          <w:noProof/>
        </w:rPr>
        <w:t>This demonstrates that Eurostat has enlarged its statistics offer to meet new user needs and that demands for new statistics are being satisfied, thanks in part to improvements in the production process, as the amount of available resources is not increasing.</w:t>
      </w:r>
      <w:r w:rsidRPr="000F7386">
        <w:rPr>
          <w:noProof/>
        </w:rPr>
        <w:br w:type="page"/>
      </w:r>
    </w:p>
    <w:p w14:paraId="4C3388F3" w14:textId="77777777" w:rsidR="00FE47FC" w:rsidRPr="000F7386" w:rsidRDefault="00FE47FC" w:rsidP="00FE47FC">
      <w:pPr>
        <w:pStyle w:val="ppoHeading4Orange"/>
        <w:rPr>
          <w:noProof/>
        </w:rPr>
      </w:pPr>
      <w:r w:rsidRPr="000F7386">
        <w:rPr>
          <w:noProof/>
        </w:rPr>
        <w:t>2014-2020 multiannual financial framework</w:t>
      </w:r>
      <w:r w:rsidRPr="000F7386">
        <w:rPr>
          <w:rFonts w:ascii="Calibri" w:hAnsi="Calibri" w:cs="Calibri"/>
          <w:noProof/>
        </w:rPr>
        <w:t> </w:t>
      </w:r>
      <w:r w:rsidRPr="000F7386">
        <w:rPr>
          <w:noProof/>
        </w:rPr>
        <w:t>– reporting and auditing</w:t>
      </w:r>
    </w:p>
    <w:p w14:paraId="7019AE36" w14:textId="77777777" w:rsidR="00FE47FC" w:rsidRPr="000F7386" w:rsidRDefault="00FE47FC" w:rsidP="00FE47FC">
      <w:pPr>
        <w:rPr>
          <w:rFonts w:eastAsiaTheme="minorEastAsia"/>
          <w:noProof/>
        </w:rPr>
      </w:pPr>
      <w:r w:rsidRPr="000F7386">
        <w:rPr>
          <w:rFonts w:eastAsiaTheme="minorEastAsia"/>
          <w:bCs/>
          <w:iCs/>
          <w:noProof/>
        </w:rPr>
        <w:t>The</w:t>
      </w:r>
      <w:r w:rsidRPr="00604528">
        <w:rPr>
          <w:rFonts w:eastAsiaTheme="minorEastAsia"/>
          <w:iCs/>
          <w:noProof/>
        </w:rPr>
        <w:t xml:space="preserve"> </w:t>
      </w:r>
      <w:r w:rsidRPr="000F7386">
        <w:rPr>
          <w:rFonts w:eastAsiaTheme="minorEastAsia"/>
          <w:iCs/>
          <w:noProof/>
        </w:rPr>
        <w:t>f</w:t>
      </w:r>
      <w:r w:rsidRPr="00604528">
        <w:rPr>
          <w:rFonts w:eastAsiaTheme="minorEastAsia"/>
          <w:iCs/>
          <w:noProof/>
        </w:rPr>
        <w:t>inancial</w:t>
      </w:r>
      <w:r w:rsidRPr="000F7386">
        <w:rPr>
          <w:rFonts w:eastAsiaTheme="minorEastAsia"/>
          <w:iCs/>
          <w:noProof/>
        </w:rPr>
        <w:t xml:space="preserve"> r</w:t>
      </w:r>
      <w:r w:rsidRPr="00604528">
        <w:rPr>
          <w:rFonts w:eastAsiaTheme="minorEastAsia"/>
          <w:iCs/>
          <w:noProof/>
        </w:rPr>
        <w:t xml:space="preserve">eporting and </w:t>
      </w:r>
      <w:r w:rsidRPr="000F7386">
        <w:rPr>
          <w:rFonts w:eastAsiaTheme="minorEastAsia"/>
          <w:iCs/>
          <w:noProof/>
        </w:rPr>
        <w:t>a</w:t>
      </w:r>
      <w:r w:rsidRPr="00604528">
        <w:rPr>
          <w:rFonts w:eastAsiaTheme="minorEastAsia"/>
          <w:iCs/>
          <w:noProof/>
        </w:rPr>
        <w:t>uditing</w:t>
      </w:r>
      <w:r w:rsidRPr="000F7386">
        <w:rPr>
          <w:rFonts w:eastAsiaTheme="minorEastAsia"/>
          <w:iCs/>
          <w:noProof/>
        </w:rPr>
        <w:t xml:space="preserve"> s</w:t>
      </w:r>
      <w:r w:rsidRPr="00604528">
        <w:rPr>
          <w:rFonts w:eastAsiaTheme="minorEastAsia"/>
          <w:iCs/>
          <w:noProof/>
        </w:rPr>
        <w:t>tandards</w:t>
      </w:r>
      <w:r w:rsidRPr="000F7386">
        <w:rPr>
          <w:rFonts w:eastAsiaTheme="minorEastAsia"/>
          <w:bCs/>
          <w:iCs/>
          <w:noProof/>
        </w:rPr>
        <w:t xml:space="preserve"> programme</w:t>
      </w:r>
      <w:r w:rsidRPr="000F7386">
        <w:rPr>
          <w:rFonts w:eastAsiaTheme="minorEastAsia"/>
          <w:noProof/>
        </w:rPr>
        <w:t xml:space="preserve"> provides financial support for the development of international financial reporting and auditing standards. Such international standards underpin the EU</w:t>
      </w:r>
      <w:r w:rsidRPr="000F7386">
        <w:rPr>
          <w:rFonts w:eastAsiaTheme="minorEastAsia" w:cs="EC Square Sans Pro"/>
          <w:noProof/>
        </w:rPr>
        <w:t>’</w:t>
      </w:r>
      <w:r w:rsidRPr="000F7386">
        <w:rPr>
          <w:rFonts w:eastAsiaTheme="minorEastAsia"/>
          <w:noProof/>
        </w:rPr>
        <w:t>s own legal framework on financial reporting (accounting and auditing) and are an essential element of the legislation regulating EU capital markets and the strengthening of the capital markets union.</w:t>
      </w:r>
    </w:p>
    <w:p w14:paraId="243D48F4" w14:textId="77777777" w:rsidR="00FE47FC" w:rsidRPr="000F7386" w:rsidRDefault="00FE47FC" w:rsidP="00FE47FC">
      <w:pPr>
        <w:pStyle w:val="ppoHeading5"/>
        <w:rPr>
          <w:noProof/>
        </w:rPr>
      </w:pPr>
      <w:r w:rsidRPr="000F7386">
        <w:rPr>
          <w:noProof/>
        </w:rPr>
        <w:t>Budget</w:t>
      </w:r>
    </w:p>
    <w:p w14:paraId="5E246B84" w14:textId="77777777" w:rsidR="00FE47FC" w:rsidRPr="000F7386" w:rsidRDefault="00FE47FC" w:rsidP="00FE47FC">
      <w:pPr>
        <w:pStyle w:val="ppoListHyphened-L1"/>
        <w:rPr>
          <w:noProof/>
        </w:rPr>
      </w:pPr>
      <w:r w:rsidRPr="000F7386">
        <w:rPr>
          <w:noProof/>
        </w:rPr>
        <w:t>Over the 2014-2020 period, commitment appropriations of EUR</w:t>
      </w:r>
      <w:r w:rsidRPr="000F7386">
        <w:rPr>
          <w:rFonts w:ascii="Calibri" w:hAnsi="Calibri" w:cs="Calibri"/>
          <w:noProof/>
        </w:rPr>
        <w:t> </w:t>
      </w:r>
      <w:r w:rsidRPr="000F7386">
        <w:rPr>
          <w:noProof/>
        </w:rPr>
        <w:t>55</w:t>
      </w:r>
      <w:r w:rsidRPr="000F7386">
        <w:rPr>
          <w:rFonts w:ascii="Calibri" w:hAnsi="Calibri" w:cs="Calibri"/>
          <w:noProof/>
        </w:rPr>
        <w:t> </w:t>
      </w:r>
      <w:r w:rsidRPr="000F7386">
        <w:rPr>
          <w:noProof/>
        </w:rPr>
        <w:t>307</w:t>
      </w:r>
      <w:r w:rsidRPr="000F7386">
        <w:rPr>
          <w:rFonts w:ascii="Calibri" w:hAnsi="Calibri" w:cs="Calibri"/>
          <w:noProof/>
        </w:rPr>
        <w:t> </w:t>
      </w:r>
      <w:r w:rsidRPr="000F7386">
        <w:rPr>
          <w:noProof/>
        </w:rPr>
        <w:t>969 were used for the operational implementation of the programme.</w:t>
      </w:r>
    </w:p>
    <w:p w14:paraId="363D8D9B" w14:textId="77777777" w:rsidR="00FE47FC" w:rsidRPr="000F7386" w:rsidRDefault="00FE47FC" w:rsidP="00FE47FC">
      <w:pPr>
        <w:pStyle w:val="ppoListHyphened-L1"/>
        <w:rPr>
          <w:noProof/>
        </w:rPr>
      </w:pPr>
      <w:r w:rsidRPr="000F7386">
        <w:rPr>
          <w:noProof/>
        </w:rPr>
        <w:t>However, budget appropriations totalling EUR</w:t>
      </w:r>
      <w:r w:rsidRPr="000F7386">
        <w:rPr>
          <w:rFonts w:ascii="Calibri" w:hAnsi="Calibri" w:cs="Calibri"/>
          <w:noProof/>
        </w:rPr>
        <w:t> </w:t>
      </w:r>
      <w:r w:rsidRPr="000F7386">
        <w:rPr>
          <w:noProof/>
        </w:rPr>
        <w:t>2.9</w:t>
      </w:r>
      <w:r w:rsidRPr="000F7386">
        <w:rPr>
          <w:rFonts w:ascii="Calibri" w:hAnsi="Calibri" w:cs="Calibri"/>
          <w:noProof/>
        </w:rPr>
        <w:t> </w:t>
      </w:r>
      <w:r w:rsidRPr="000F7386">
        <w:rPr>
          <w:noProof/>
        </w:rPr>
        <w:t>million were decommitted over the same period. This represents 5.4% of the total budget appropriations initially committed. This decommitment was mainly due to a beneficiary underspending the funds awarded to them. Arrangements were put in place to mitigate the likelihood and impact of recurrence. Such arrangements were successful in mitigating the problem while allowing the objectives of the programme to be achieved.</w:t>
      </w:r>
    </w:p>
    <w:p w14:paraId="726E474D" w14:textId="77777777" w:rsidR="00FE47FC" w:rsidRPr="000F7386" w:rsidRDefault="00FE47FC" w:rsidP="00FE47FC">
      <w:pPr>
        <w:pStyle w:val="ppoListHyphened-L1"/>
        <w:rPr>
          <w:noProof/>
        </w:rPr>
      </w:pPr>
      <w:r w:rsidRPr="000F7386">
        <w:rPr>
          <w:noProof/>
        </w:rPr>
        <w:t>The payments executed between 2014 and 2020 amounted to EUR</w:t>
      </w:r>
      <w:r w:rsidRPr="000F7386">
        <w:rPr>
          <w:rFonts w:ascii="Calibri" w:hAnsi="Calibri" w:cs="Calibri"/>
          <w:noProof/>
        </w:rPr>
        <w:t> </w:t>
      </w:r>
      <w:r w:rsidRPr="000F7386">
        <w:rPr>
          <w:noProof/>
        </w:rPr>
        <w:t>48</w:t>
      </w:r>
      <w:r w:rsidRPr="000F7386">
        <w:rPr>
          <w:rFonts w:ascii="Calibri" w:hAnsi="Calibri" w:cs="Calibri"/>
          <w:noProof/>
        </w:rPr>
        <w:t> </w:t>
      </w:r>
      <w:r w:rsidRPr="000F7386">
        <w:rPr>
          <w:noProof/>
        </w:rPr>
        <w:t>819</w:t>
      </w:r>
      <w:r w:rsidRPr="000F7386">
        <w:rPr>
          <w:rFonts w:ascii="Calibri" w:hAnsi="Calibri" w:cs="Calibri"/>
          <w:noProof/>
        </w:rPr>
        <w:t> </w:t>
      </w:r>
      <w:r w:rsidRPr="000F7386">
        <w:rPr>
          <w:noProof/>
        </w:rPr>
        <w:t>949 and represented 88% of the total commitment appropriations for that period. The implementation period for operating grants runs from 1</w:t>
      </w:r>
      <w:r w:rsidRPr="000F7386">
        <w:rPr>
          <w:rFonts w:ascii="Calibri" w:hAnsi="Calibri" w:cs="Calibri"/>
          <w:noProof/>
        </w:rPr>
        <w:t> </w:t>
      </w:r>
      <w:r w:rsidRPr="000F7386">
        <w:rPr>
          <w:noProof/>
        </w:rPr>
        <w:t>January to 31</w:t>
      </w:r>
      <w:r w:rsidRPr="000F7386">
        <w:rPr>
          <w:rFonts w:ascii="Calibri" w:hAnsi="Calibri" w:cs="Calibri"/>
          <w:noProof/>
        </w:rPr>
        <w:t> </w:t>
      </w:r>
      <w:r w:rsidRPr="000F7386">
        <w:rPr>
          <w:noProof/>
        </w:rPr>
        <w:t>December, and balance payments due to the beneficiaries were made in 2021, which explains the difference between the cumulative commitment appropriations (taking into account the aforementioned decommitment) and the cumulative payment appropriations.</w:t>
      </w:r>
    </w:p>
    <w:p w14:paraId="0BB24691" w14:textId="77777777" w:rsidR="00FE47FC" w:rsidRPr="000F7386" w:rsidRDefault="00FE47FC" w:rsidP="00FE47FC">
      <w:pPr>
        <w:pStyle w:val="ppoHeading5"/>
        <w:rPr>
          <w:noProof/>
        </w:rPr>
      </w:pPr>
      <w:r w:rsidRPr="000F7386">
        <w:rPr>
          <w:noProof/>
        </w:rPr>
        <w:t xml:space="preserve"> Performance assessment</w:t>
      </w:r>
    </w:p>
    <w:p w14:paraId="5149EA3D" w14:textId="77777777" w:rsidR="00FE47FC" w:rsidRPr="000F7386" w:rsidRDefault="00FE47FC" w:rsidP="00FE47FC">
      <w:pPr>
        <w:pStyle w:val="ppoHeading6"/>
        <w:rPr>
          <w:noProof/>
        </w:rPr>
      </w:pPr>
      <w:r w:rsidRPr="000F7386">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FE47FC" w:rsidRPr="000F7386" w14:paraId="41F24326" w14:textId="77777777" w:rsidTr="00BB20EB">
        <w:trPr>
          <w:cnfStyle w:val="100000000000" w:firstRow="1" w:lastRow="0" w:firstColumn="0" w:lastColumn="0" w:oddVBand="0" w:evenVBand="0" w:oddHBand="0" w:evenHBand="0" w:firstRowFirstColumn="0" w:firstRowLastColumn="0" w:lastRowFirstColumn="0" w:lastRowLastColumn="0"/>
        </w:trPr>
        <w:tc>
          <w:tcPr>
            <w:tcW w:w="2330" w:type="dxa"/>
          </w:tcPr>
          <w:p w14:paraId="1BABFD87" w14:textId="77777777" w:rsidR="00FE47FC" w:rsidRPr="000F7386" w:rsidRDefault="00FE47FC" w:rsidP="00BB20EB">
            <w:pPr>
              <w:rPr>
                <w:noProof/>
              </w:rPr>
            </w:pPr>
          </w:p>
        </w:tc>
        <w:tc>
          <w:tcPr>
            <w:tcW w:w="1100" w:type="dxa"/>
          </w:tcPr>
          <w:p w14:paraId="3029F5F1" w14:textId="77777777" w:rsidR="00FE47FC" w:rsidRPr="000F7386" w:rsidRDefault="00FE47FC" w:rsidP="00BB20EB">
            <w:pPr>
              <w:rPr>
                <w:noProof/>
              </w:rPr>
            </w:pPr>
            <w:r w:rsidRPr="000F7386">
              <w:rPr>
                <w:noProof/>
              </w:rPr>
              <w:t>Baseline</w:t>
            </w:r>
          </w:p>
        </w:tc>
        <w:tc>
          <w:tcPr>
            <w:tcW w:w="1526" w:type="dxa"/>
          </w:tcPr>
          <w:p w14:paraId="54CCE67B" w14:textId="77777777" w:rsidR="00FE47FC" w:rsidRPr="000F7386" w:rsidRDefault="00FE47FC" w:rsidP="00BB20EB">
            <w:pPr>
              <w:rPr>
                <w:noProof/>
              </w:rPr>
            </w:pPr>
            <w:r w:rsidRPr="000F7386">
              <w:rPr>
                <w:noProof/>
              </w:rPr>
              <w:t>Progress (*)</w:t>
            </w:r>
          </w:p>
        </w:tc>
        <w:tc>
          <w:tcPr>
            <w:tcW w:w="1532" w:type="dxa"/>
          </w:tcPr>
          <w:p w14:paraId="53B2E4E8" w14:textId="77777777" w:rsidR="00FE47FC" w:rsidRPr="000F7386" w:rsidRDefault="00FE47FC" w:rsidP="00BB20EB">
            <w:pPr>
              <w:rPr>
                <w:noProof/>
              </w:rPr>
            </w:pPr>
            <w:r w:rsidRPr="000F7386">
              <w:rPr>
                <w:noProof/>
              </w:rPr>
              <w:t>Target</w:t>
            </w:r>
          </w:p>
        </w:tc>
        <w:tc>
          <w:tcPr>
            <w:tcW w:w="1572" w:type="dxa"/>
          </w:tcPr>
          <w:p w14:paraId="11048B86" w14:textId="77777777" w:rsidR="00FE47FC" w:rsidRPr="000F7386" w:rsidRDefault="00FE47FC" w:rsidP="00BB20EB">
            <w:pPr>
              <w:rPr>
                <w:noProof/>
              </w:rPr>
            </w:pPr>
            <w:r w:rsidRPr="000F7386">
              <w:rPr>
                <w:noProof/>
              </w:rPr>
              <w:t>Results</w:t>
            </w:r>
          </w:p>
        </w:tc>
        <w:tc>
          <w:tcPr>
            <w:tcW w:w="1579" w:type="dxa"/>
          </w:tcPr>
          <w:p w14:paraId="76695517" w14:textId="77777777" w:rsidR="00FE47FC" w:rsidRPr="000F7386" w:rsidRDefault="00FE47FC" w:rsidP="00BB20EB">
            <w:pPr>
              <w:rPr>
                <w:noProof/>
              </w:rPr>
            </w:pPr>
            <w:r w:rsidRPr="000F7386">
              <w:rPr>
                <w:noProof/>
              </w:rPr>
              <w:t>Assessment</w:t>
            </w:r>
          </w:p>
        </w:tc>
      </w:tr>
      <w:tr w:rsidR="00FE47FC" w:rsidRPr="000F7386" w14:paraId="02B41ADA" w14:textId="77777777" w:rsidTr="00BB20EB">
        <w:trPr>
          <w:cnfStyle w:val="000000100000" w:firstRow="0" w:lastRow="0" w:firstColumn="0" w:lastColumn="0" w:oddVBand="0" w:evenVBand="0" w:oddHBand="1" w:evenHBand="0" w:firstRowFirstColumn="0" w:firstRowLastColumn="0" w:lastRowFirstColumn="0" w:lastRowLastColumn="0"/>
        </w:trPr>
        <w:tc>
          <w:tcPr>
            <w:tcW w:w="2330" w:type="dxa"/>
          </w:tcPr>
          <w:p w14:paraId="0606E2F3" w14:textId="77777777" w:rsidR="00FE47FC" w:rsidRPr="000F7386" w:rsidRDefault="00FE47FC" w:rsidP="00BB20EB">
            <w:pPr>
              <w:rPr>
                <w:noProof/>
              </w:rPr>
            </w:pPr>
            <w:r w:rsidRPr="000F7386">
              <w:rPr>
                <w:noProof/>
              </w:rPr>
              <w:t>Number of countries using international financial reporting standards</w:t>
            </w:r>
          </w:p>
        </w:tc>
        <w:tc>
          <w:tcPr>
            <w:tcW w:w="1100" w:type="dxa"/>
          </w:tcPr>
          <w:p w14:paraId="513D2518" w14:textId="77777777" w:rsidR="00FE47FC" w:rsidRPr="000F7386" w:rsidRDefault="00FE47FC" w:rsidP="00BB20EB">
            <w:pPr>
              <w:jc w:val="center"/>
              <w:rPr>
                <w:noProof/>
              </w:rPr>
            </w:pPr>
            <w:r w:rsidRPr="000F7386">
              <w:rPr>
                <w:noProof/>
              </w:rPr>
              <w:t>128</w:t>
            </w:r>
          </w:p>
        </w:tc>
        <w:tc>
          <w:tcPr>
            <w:tcW w:w="1526" w:type="dxa"/>
          </w:tcPr>
          <w:p w14:paraId="31C4F8FD" w14:textId="77777777" w:rsidR="00FE47FC" w:rsidRPr="000F7386" w:rsidRDefault="00FE47FC" w:rsidP="00BB20EB">
            <w:pPr>
              <w:jc w:val="center"/>
              <w:rPr>
                <w:b/>
                <w:noProof/>
              </w:rPr>
            </w:pPr>
            <w:r w:rsidRPr="000F7386">
              <w:rPr>
                <w:noProof/>
              </w:rPr>
              <w:t>100%</w:t>
            </w:r>
          </w:p>
        </w:tc>
        <w:tc>
          <w:tcPr>
            <w:tcW w:w="1532" w:type="dxa"/>
          </w:tcPr>
          <w:p w14:paraId="6C90D1A2" w14:textId="77777777" w:rsidR="00FE47FC" w:rsidRPr="000F7386" w:rsidRDefault="00FE47FC" w:rsidP="00BB20EB">
            <w:pPr>
              <w:jc w:val="center"/>
              <w:rPr>
                <w:noProof/>
              </w:rPr>
            </w:pPr>
            <w:r w:rsidRPr="000F7386">
              <w:rPr>
                <w:noProof/>
              </w:rPr>
              <w:t>166 in 2020</w:t>
            </w:r>
          </w:p>
        </w:tc>
        <w:tc>
          <w:tcPr>
            <w:tcW w:w="1572" w:type="dxa"/>
          </w:tcPr>
          <w:p w14:paraId="0AC717E2" w14:textId="77777777" w:rsidR="00FE47FC" w:rsidRPr="000F7386" w:rsidRDefault="00FE47FC" w:rsidP="00BB20EB">
            <w:pPr>
              <w:jc w:val="center"/>
              <w:rPr>
                <w:noProof/>
              </w:rPr>
            </w:pPr>
            <w:r w:rsidRPr="000F7386">
              <w:rPr>
                <w:noProof/>
              </w:rPr>
              <w:t>166 countries compared to a target of 166</w:t>
            </w:r>
          </w:p>
        </w:tc>
        <w:tc>
          <w:tcPr>
            <w:tcW w:w="1579" w:type="dxa"/>
          </w:tcPr>
          <w:p w14:paraId="12EBFF76" w14:textId="77777777" w:rsidR="00FE47FC" w:rsidRPr="000F7386" w:rsidRDefault="00FE47FC" w:rsidP="00BB20EB">
            <w:pPr>
              <w:jc w:val="center"/>
              <w:rPr>
                <w:noProof/>
              </w:rPr>
            </w:pPr>
            <w:r>
              <w:rPr>
                <w:noProof/>
              </w:rPr>
              <w:t>Achieved</w:t>
            </w:r>
          </w:p>
        </w:tc>
      </w:tr>
      <w:tr w:rsidR="00FE47FC" w:rsidRPr="000F7386" w14:paraId="7DCFE8E9" w14:textId="77777777" w:rsidTr="00BB20EB">
        <w:trPr>
          <w:cnfStyle w:val="000000010000" w:firstRow="0" w:lastRow="0" w:firstColumn="0" w:lastColumn="0" w:oddVBand="0" w:evenVBand="0" w:oddHBand="0" w:evenHBand="1" w:firstRowFirstColumn="0" w:firstRowLastColumn="0" w:lastRowFirstColumn="0" w:lastRowLastColumn="0"/>
        </w:trPr>
        <w:tc>
          <w:tcPr>
            <w:tcW w:w="2330" w:type="dxa"/>
          </w:tcPr>
          <w:p w14:paraId="5276CD86" w14:textId="77777777" w:rsidR="00FE47FC" w:rsidRPr="000F7386" w:rsidRDefault="00FE47FC" w:rsidP="00BB20EB">
            <w:pPr>
              <w:rPr>
                <w:noProof/>
              </w:rPr>
            </w:pPr>
            <w:r w:rsidRPr="000F7386">
              <w:rPr>
                <w:noProof/>
              </w:rPr>
              <w:t>Number of standards endorsed in the EU compared to the number issued by the International Accounting Standards Board</w:t>
            </w:r>
          </w:p>
        </w:tc>
        <w:tc>
          <w:tcPr>
            <w:tcW w:w="1100" w:type="dxa"/>
          </w:tcPr>
          <w:p w14:paraId="32B76D97" w14:textId="77777777" w:rsidR="00FE47FC" w:rsidRPr="000F7386" w:rsidRDefault="00FE47FC" w:rsidP="00BB20EB">
            <w:pPr>
              <w:jc w:val="center"/>
              <w:rPr>
                <w:noProof/>
              </w:rPr>
            </w:pPr>
            <w:r w:rsidRPr="000F7386">
              <w:rPr>
                <w:noProof/>
              </w:rPr>
              <w:t>89%</w:t>
            </w:r>
          </w:p>
        </w:tc>
        <w:tc>
          <w:tcPr>
            <w:tcW w:w="1526" w:type="dxa"/>
          </w:tcPr>
          <w:p w14:paraId="41F41784" w14:textId="77777777" w:rsidR="00FE47FC" w:rsidRPr="000F7386" w:rsidRDefault="00FE47FC" w:rsidP="00BB20EB">
            <w:pPr>
              <w:jc w:val="center"/>
              <w:rPr>
                <w:b/>
                <w:bCs/>
                <w:noProof/>
              </w:rPr>
            </w:pPr>
            <w:r w:rsidRPr="000F7386">
              <w:rPr>
                <w:noProof/>
              </w:rPr>
              <w:t>91%</w:t>
            </w:r>
          </w:p>
        </w:tc>
        <w:tc>
          <w:tcPr>
            <w:tcW w:w="1532" w:type="dxa"/>
          </w:tcPr>
          <w:p w14:paraId="4C36FEBD" w14:textId="77777777" w:rsidR="00FE47FC" w:rsidRPr="000F7386" w:rsidRDefault="00FE47FC" w:rsidP="00BB20EB">
            <w:pPr>
              <w:jc w:val="center"/>
              <w:rPr>
                <w:noProof/>
              </w:rPr>
            </w:pPr>
            <w:r w:rsidRPr="000F7386">
              <w:rPr>
                <w:noProof/>
              </w:rPr>
              <w:t>100% in 2020</w:t>
            </w:r>
          </w:p>
        </w:tc>
        <w:tc>
          <w:tcPr>
            <w:tcW w:w="1572" w:type="dxa"/>
          </w:tcPr>
          <w:p w14:paraId="74D7860D" w14:textId="77777777" w:rsidR="00FE47FC" w:rsidRPr="000F7386" w:rsidRDefault="00FE47FC" w:rsidP="00BB20EB">
            <w:pPr>
              <w:jc w:val="center"/>
              <w:rPr>
                <w:noProof/>
              </w:rPr>
            </w:pPr>
            <w:r w:rsidRPr="000F7386">
              <w:rPr>
                <w:noProof/>
              </w:rPr>
              <w:t>99% compared to a target of 100%</w:t>
            </w:r>
          </w:p>
        </w:tc>
        <w:tc>
          <w:tcPr>
            <w:tcW w:w="1579" w:type="dxa"/>
          </w:tcPr>
          <w:p w14:paraId="0B3EA86C" w14:textId="77777777" w:rsidR="00FE47FC" w:rsidRPr="000F7386" w:rsidRDefault="00FE47FC" w:rsidP="00BB20EB">
            <w:pPr>
              <w:jc w:val="center"/>
              <w:rPr>
                <w:noProof/>
              </w:rPr>
            </w:pPr>
            <w:r w:rsidRPr="000F7386">
              <w:rPr>
                <w:noProof/>
              </w:rPr>
              <w:t>On track</w:t>
            </w:r>
          </w:p>
        </w:tc>
      </w:tr>
    </w:tbl>
    <w:p w14:paraId="2C271CE5" w14:textId="77777777" w:rsidR="00FE47FC" w:rsidRPr="000F7386" w:rsidRDefault="00FE47FC" w:rsidP="00FE47FC">
      <w:pPr>
        <w:pStyle w:val="FootnoteText"/>
        <w:rPr>
          <w:noProof/>
        </w:rPr>
      </w:pPr>
      <w:r w:rsidRPr="000F7386">
        <w:rPr>
          <w:noProof/>
        </w:rPr>
        <w:t>(*) % of target achieved by the end of 2021.</w:t>
      </w:r>
    </w:p>
    <w:p w14:paraId="738C468B" w14:textId="77777777" w:rsidR="00FE47FC" w:rsidRPr="000F7386" w:rsidRDefault="00FE47FC" w:rsidP="00FE47FC">
      <w:pPr>
        <w:pStyle w:val="ppoListHyphened-L1"/>
        <w:rPr>
          <w:noProof/>
        </w:rPr>
      </w:pPr>
      <w:r w:rsidRPr="000F7386">
        <w:rPr>
          <w:noProof/>
        </w:rPr>
        <w:t>EU support strengthened the legitimacy of the three beneficiaries (the International Financial Reporting Standards Foundation,</w:t>
      </w:r>
      <w:r w:rsidRPr="000F7386">
        <w:rPr>
          <w:rFonts w:ascii="Calibri" w:hAnsi="Calibri" w:cs="Calibri"/>
          <w:noProof/>
        </w:rPr>
        <w:t xml:space="preserve"> </w:t>
      </w:r>
      <w:r w:rsidRPr="000F7386">
        <w:rPr>
          <w:noProof/>
        </w:rPr>
        <w:t>the European Financial Reporting Advisory Group</w:t>
      </w:r>
      <w:r w:rsidRPr="000F7386">
        <w:rPr>
          <w:rFonts w:ascii="Calibri" w:hAnsi="Calibri" w:cs="Calibri"/>
          <w:noProof/>
        </w:rPr>
        <w:t xml:space="preserve"> </w:t>
      </w:r>
      <w:r w:rsidRPr="000F7386">
        <w:rPr>
          <w:noProof/>
        </w:rPr>
        <w:t>and</w:t>
      </w:r>
      <w:r w:rsidRPr="000F7386">
        <w:rPr>
          <w:rFonts w:ascii="Calibri" w:hAnsi="Calibri" w:cs="Calibri"/>
          <w:noProof/>
        </w:rPr>
        <w:t xml:space="preserve"> </w:t>
      </w:r>
      <w:r w:rsidRPr="000F7386">
        <w:rPr>
          <w:noProof/>
        </w:rPr>
        <w:t>the</w:t>
      </w:r>
      <w:r w:rsidRPr="000F7386">
        <w:rPr>
          <w:rFonts w:ascii="Calibri" w:hAnsi="Calibri" w:cs="Calibri"/>
          <w:noProof/>
        </w:rPr>
        <w:t xml:space="preserve"> </w:t>
      </w:r>
      <w:r w:rsidRPr="000F7386">
        <w:rPr>
          <w:noProof/>
        </w:rPr>
        <w:t>Public Interest Oversight Board) to serve the European public interest by developing and promoting European views in the field of financial reporting and auditing and ensuring these views are properly considered in the standard-setting processes of the International Accounting Standards Board</w:t>
      </w:r>
      <w:r w:rsidRPr="000F7386" w:rsidDel="007A23A3">
        <w:rPr>
          <w:noProof/>
        </w:rPr>
        <w:t xml:space="preserve"> </w:t>
      </w:r>
      <w:r w:rsidRPr="000F7386">
        <w:rPr>
          <w:noProof/>
        </w:rPr>
        <w:t>and the International Federation of Accountants.</w:t>
      </w:r>
      <w:r w:rsidRPr="000F7386">
        <w:rPr>
          <w:rFonts w:cs="Arial"/>
          <w:noProof/>
        </w:rPr>
        <w:t xml:space="preserve"> </w:t>
      </w:r>
      <w:r w:rsidRPr="000F7386">
        <w:rPr>
          <w:noProof/>
        </w:rPr>
        <w:t>In terms of achievements, the funding programme enabled the three beneficiaries to develop standards that enhance the transparency and comparability of financial information about financial instruments, revenue recognition and lease contracts.</w:t>
      </w:r>
    </w:p>
    <w:p w14:paraId="677B3C07" w14:textId="77777777" w:rsidR="00FE47FC" w:rsidRPr="000F7386" w:rsidRDefault="00FE47FC" w:rsidP="00FE47FC">
      <w:pPr>
        <w:pStyle w:val="ppoListHyphened-L1"/>
        <w:rPr>
          <w:noProof/>
        </w:rPr>
      </w:pPr>
      <w:r w:rsidRPr="000F7386">
        <w:rPr>
          <w:noProof/>
        </w:rPr>
        <w:t>The European Financial Reporting Advisory Group</w:t>
      </w:r>
      <w:r w:rsidRPr="000F7386" w:rsidDel="00FA2C12">
        <w:rPr>
          <w:noProof/>
        </w:rPr>
        <w:t xml:space="preserve"> </w:t>
      </w:r>
      <w:r w:rsidRPr="000F7386">
        <w:rPr>
          <w:noProof/>
        </w:rPr>
        <w:t>has also widened the scope of its work in recent</w:t>
      </w:r>
      <w:r w:rsidRPr="000F7386">
        <w:rPr>
          <w:rFonts w:ascii="Calibri" w:hAnsi="Calibri" w:cs="Calibri"/>
          <w:noProof/>
        </w:rPr>
        <w:t xml:space="preserve"> </w:t>
      </w:r>
      <w:r w:rsidRPr="000F7386">
        <w:rPr>
          <w:noProof/>
        </w:rPr>
        <w:t>years,</w:t>
      </w:r>
      <w:r w:rsidRPr="000F7386">
        <w:rPr>
          <w:rFonts w:cs="Arial"/>
          <w:noProof/>
        </w:rPr>
        <w:t xml:space="preserve"> </w:t>
      </w:r>
      <w:r w:rsidRPr="000F7386">
        <w:rPr>
          <w:noProof/>
        </w:rPr>
        <w:t>and</w:t>
      </w:r>
      <w:r w:rsidRPr="000F7386">
        <w:rPr>
          <w:rFonts w:ascii="Calibri" w:hAnsi="Calibri" w:cs="Calibri"/>
          <w:noProof/>
        </w:rPr>
        <w:t xml:space="preserve"> has </w:t>
      </w:r>
      <w:r w:rsidRPr="000F7386">
        <w:rPr>
          <w:noProof/>
        </w:rPr>
        <w:t>established</w:t>
      </w:r>
      <w:r w:rsidRPr="000F7386">
        <w:rPr>
          <w:rFonts w:cs="Arial"/>
          <w:noProof/>
        </w:rPr>
        <w:t xml:space="preserve"> </w:t>
      </w:r>
      <w:r w:rsidRPr="000F7386">
        <w:rPr>
          <w:noProof/>
        </w:rPr>
        <w:t>a European Corporate Reporting Laboratory. The laboratory became operational in February 2019, when its task force on climate-related reporting started its work (the relevant report was published in February 2020). A second project on the reporting of non-financial risks and opportunities and linkage to the business model started in September 2020.</w:t>
      </w:r>
    </w:p>
    <w:p w14:paraId="7DBACA5B" w14:textId="77777777" w:rsidR="00FE47FC" w:rsidRPr="000F7386" w:rsidRDefault="00FE47FC" w:rsidP="00FE47FC">
      <w:pPr>
        <w:pStyle w:val="ppoListHyphened-L1"/>
        <w:rPr>
          <w:noProof/>
        </w:rPr>
      </w:pPr>
      <w:r w:rsidRPr="000F7386">
        <w:rPr>
          <w:noProof/>
        </w:rPr>
        <w:t>The Public Interest Oversight Board continued to carry out its oversight function of the International Auditing and Assurance Standards Board and the International Ethics Standards Boards for Accountants.</w:t>
      </w:r>
    </w:p>
    <w:p w14:paraId="01F201E5" w14:textId="77777777" w:rsidR="00FE47FC" w:rsidRPr="000F7386" w:rsidRDefault="00FE47FC" w:rsidP="00FE47FC">
      <w:pPr>
        <w:pStyle w:val="ppoListHyphened-L1"/>
        <w:rPr>
          <w:noProof/>
        </w:rPr>
      </w:pPr>
      <w:r w:rsidRPr="000F7386">
        <w:rPr>
          <w:noProof/>
        </w:rPr>
        <w:t>Since March 2020, the COVID-19 pandemic has influenced the work of the International Financial Reporting Standards Foundation, the European Financial Reporting Advisory Group</w:t>
      </w:r>
      <w:r w:rsidRPr="000F7386" w:rsidDel="00FA2C12">
        <w:rPr>
          <w:noProof/>
        </w:rPr>
        <w:t xml:space="preserve"> </w:t>
      </w:r>
      <w:r w:rsidRPr="000F7386">
        <w:rPr>
          <w:noProof/>
        </w:rPr>
        <w:t xml:space="preserve">and the Public Interest Oversight Board in several ways. The three entities not only adapted by changing the way they worked (crisis meetings were conducted as online meetings; </w:t>
      </w:r>
      <w:bookmarkStart w:id="75" w:name="_Hlk101782092"/>
      <w:r w:rsidRPr="003B534F">
        <w:rPr>
          <w:noProof/>
        </w:rPr>
        <w:t>outreach</w:t>
      </w:r>
      <w:r>
        <w:rPr>
          <w:noProof/>
        </w:rPr>
        <w:t xml:space="preserve"> sessions</w:t>
      </w:r>
      <w:r w:rsidRPr="000F7386">
        <w:rPr>
          <w:noProof/>
        </w:rPr>
        <w:t xml:space="preserve"> were cancelled</w:t>
      </w:r>
      <w:bookmarkEnd w:id="75"/>
      <w:r w:rsidRPr="000F7386">
        <w:rPr>
          <w:noProof/>
        </w:rPr>
        <w:t>, postponed or turned into webinars) but also extended deadlines to recognise stakeholders’ circumstances and to allow them to provide input and, where applicable, seek input from their constituents. The International Accounting Standards Board</w:t>
      </w:r>
      <w:r w:rsidRPr="000F7386" w:rsidDel="007A23A3">
        <w:rPr>
          <w:noProof/>
        </w:rPr>
        <w:t xml:space="preserve"> </w:t>
      </w:r>
      <w:r w:rsidRPr="000F7386">
        <w:rPr>
          <w:noProof/>
        </w:rPr>
        <w:t>supported stakeholders with various COVID-19-related amendments that provide targeted accounting relief and by adjusting its work plan, including</w:t>
      </w:r>
      <w:r w:rsidRPr="000F7386">
        <w:rPr>
          <w:rFonts w:ascii="Calibri" w:hAnsi="Calibri" w:cs="Calibri"/>
          <w:noProof/>
        </w:rPr>
        <w:t xml:space="preserve"> </w:t>
      </w:r>
      <w:r w:rsidRPr="000F7386">
        <w:rPr>
          <w:noProof/>
        </w:rPr>
        <w:t>postponing</w:t>
      </w:r>
      <w:r w:rsidRPr="000F7386">
        <w:rPr>
          <w:rFonts w:ascii="Calibri" w:hAnsi="Calibri" w:cs="Calibri"/>
          <w:noProof/>
        </w:rPr>
        <w:t xml:space="preserve"> </w:t>
      </w:r>
      <w:r w:rsidRPr="000F7386">
        <w:rPr>
          <w:noProof/>
        </w:rPr>
        <w:t>less-critical consultations. One example of this is the amendment of international financial reporting standard</w:t>
      </w:r>
      <w:r w:rsidRPr="000F7386">
        <w:rPr>
          <w:rFonts w:ascii="Calibri" w:hAnsi="Calibri" w:cs="Calibri"/>
          <w:noProof/>
        </w:rPr>
        <w:t> </w:t>
      </w:r>
      <w:r w:rsidRPr="000F7386">
        <w:rPr>
          <w:noProof/>
        </w:rPr>
        <w:t>16 to facilitate the accounting by entities for COVID-19-related lease concessions, such as rental holidays and temporary rent reductions. On the other hand, the board</w:t>
      </w:r>
      <w:r w:rsidRPr="000F7386" w:rsidDel="007A23A3">
        <w:rPr>
          <w:noProof/>
        </w:rPr>
        <w:t xml:space="preserve"> </w:t>
      </w:r>
      <w:r w:rsidRPr="000F7386">
        <w:rPr>
          <w:noProof/>
        </w:rPr>
        <w:t>prioritised time-sensitive projects such as those relating to reform of the interbank offered rate and international financial reporting standard</w:t>
      </w:r>
      <w:r w:rsidRPr="000F7386">
        <w:rPr>
          <w:rFonts w:ascii="Calibri" w:hAnsi="Calibri" w:cs="Calibri"/>
          <w:noProof/>
        </w:rPr>
        <w:t> </w:t>
      </w:r>
      <w:r w:rsidRPr="000F7386">
        <w:rPr>
          <w:noProof/>
        </w:rPr>
        <w:t>17.</w:t>
      </w:r>
    </w:p>
    <w:p w14:paraId="3C3F52FB" w14:textId="77777777" w:rsidR="00FE47FC" w:rsidRPr="000F7386" w:rsidRDefault="00FE47FC" w:rsidP="00FE47FC">
      <w:pPr>
        <w:rPr>
          <w:noProof/>
        </w:rPr>
      </w:pPr>
      <w:r w:rsidRPr="000F7386">
        <w:rPr>
          <w:noProof/>
        </w:rPr>
        <w:br w:type="page"/>
      </w:r>
    </w:p>
    <w:p w14:paraId="645F4824" w14:textId="77777777" w:rsidR="00FE47FC" w:rsidRPr="000F7386" w:rsidRDefault="00FE47FC" w:rsidP="00FE47FC">
      <w:pPr>
        <w:pStyle w:val="ppoHeading4Orange"/>
        <w:rPr>
          <w:noProof/>
        </w:rPr>
      </w:pPr>
      <w:r w:rsidRPr="000F7386">
        <w:rPr>
          <w:noProof/>
        </w:rPr>
        <w:t>2014-2020 multiannual financial framework</w:t>
      </w:r>
      <w:r w:rsidRPr="000F7386">
        <w:rPr>
          <w:rFonts w:ascii="Calibri" w:hAnsi="Calibri" w:cs="Calibri"/>
          <w:noProof/>
        </w:rPr>
        <w:t> </w:t>
      </w:r>
      <w:r w:rsidRPr="000F7386">
        <w:rPr>
          <w:noProof/>
        </w:rPr>
        <w:t>– enhancing consumer involvement in EU policymaking in the field of financial services</w:t>
      </w:r>
    </w:p>
    <w:p w14:paraId="365F7F92" w14:textId="77777777" w:rsidR="00FE47FC" w:rsidRPr="000F7386" w:rsidRDefault="00FE47FC" w:rsidP="00FE47FC">
      <w:pPr>
        <w:rPr>
          <w:rFonts w:eastAsiaTheme="minorEastAsia"/>
          <w:noProof/>
        </w:rPr>
      </w:pPr>
      <w:r w:rsidRPr="000F7386">
        <w:rPr>
          <w:rFonts w:eastAsiaTheme="minorEastAsia"/>
          <w:bCs/>
          <w:iCs/>
          <w:noProof/>
        </w:rPr>
        <w:t>The</w:t>
      </w:r>
      <w:r w:rsidRPr="000F7386">
        <w:rPr>
          <w:rFonts w:eastAsiaTheme="minorEastAsia"/>
          <w:bCs/>
          <w:noProof/>
        </w:rPr>
        <w:t xml:space="preserve"> </w:t>
      </w:r>
      <w:bookmarkStart w:id="76" w:name="_Hlk101540473"/>
      <w:r w:rsidRPr="000F7386">
        <w:rPr>
          <w:rFonts w:eastAsiaTheme="minorEastAsia"/>
          <w:bCs/>
          <w:iCs/>
          <w:noProof/>
        </w:rPr>
        <w:t xml:space="preserve">programme for </w:t>
      </w:r>
      <w:r w:rsidRPr="00604528">
        <w:rPr>
          <w:rFonts w:eastAsiaTheme="minorEastAsia"/>
          <w:iCs/>
          <w:noProof/>
        </w:rPr>
        <w:t>enhancing consumer involvement in EU policymaking in the field of financial services</w:t>
      </w:r>
      <w:r w:rsidRPr="000F7386">
        <w:rPr>
          <w:rFonts w:eastAsiaTheme="minorEastAsia"/>
          <w:iCs/>
          <w:noProof/>
        </w:rPr>
        <w:t xml:space="preserve"> </w:t>
      </w:r>
      <w:bookmarkEnd w:id="76"/>
      <w:r w:rsidRPr="000F7386">
        <w:rPr>
          <w:rFonts w:eastAsiaTheme="minorEastAsia"/>
          <w:bCs/>
          <w:iCs/>
          <w:noProof/>
        </w:rPr>
        <w:t xml:space="preserve">provides </w:t>
      </w:r>
      <w:r w:rsidRPr="000F7386">
        <w:rPr>
          <w:rFonts w:eastAsiaTheme="minorEastAsia"/>
          <w:noProof/>
        </w:rPr>
        <w:t>financial support to increase the participation of consumers, other end users of financial services and civil society in financial</w:t>
      </w:r>
      <w:r w:rsidRPr="000F7386">
        <w:rPr>
          <w:rFonts w:eastAsiaTheme="minorEastAsia" w:cs="Arial"/>
          <w:noProof/>
        </w:rPr>
        <w:t xml:space="preserve"> </w:t>
      </w:r>
      <w:r w:rsidRPr="000F7386">
        <w:rPr>
          <w:rFonts w:eastAsiaTheme="minorEastAsia"/>
          <w:noProof/>
        </w:rPr>
        <w:t>services policymaking</w:t>
      </w:r>
      <w:r w:rsidRPr="000F7386">
        <w:rPr>
          <w:rFonts w:eastAsiaTheme="minorEastAsia" w:cs="Arial"/>
          <w:noProof/>
        </w:rPr>
        <w:t xml:space="preserve"> and to </w:t>
      </w:r>
      <w:r w:rsidRPr="000F7386">
        <w:rPr>
          <w:rFonts w:eastAsiaTheme="minorEastAsia"/>
          <w:noProof/>
        </w:rPr>
        <w:t>promote better understanding of the financial sector.</w:t>
      </w:r>
    </w:p>
    <w:p w14:paraId="08ADCC80" w14:textId="77777777" w:rsidR="00FE47FC" w:rsidRPr="000F7386" w:rsidRDefault="00FE47FC" w:rsidP="00FE47FC">
      <w:pPr>
        <w:pStyle w:val="ppoHeading5"/>
        <w:rPr>
          <w:noProof/>
        </w:rPr>
      </w:pPr>
      <w:r w:rsidRPr="000F7386">
        <w:rPr>
          <w:noProof/>
        </w:rPr>
        <w:t>Budget</w:t>
      </w:r>
    </w:p>
    <w:p w14:paraId="0E8AF06B" w14:textId="77777777" w:rsidR="00FE47FC" w:rsidRPr="000F7386" w:rsidRDefault="00FE47FC" w:rsidP="00FE47FC">
      <w:pPr>
        <w:pStyle w:val="ppoListHyphened-L1"/>
        <w:rPr>
          <w:noProof/>
        </w:rPr>
      </w:pPr>
      <w:r w:rsidRPr="000F7386">
        <w:rPr>
          <w:noProof/>
        </w:rPr>
        <w:t>Between 2017 and 2020, commitment appropriations amounting to EUR</w:t>
      </w:r>
      <w:r w:rsidRPr="000F7386">
        <w:rPr>
          <w:rFonts w:ascii="Calibri" w:hAnsi="Calibri" w:cs="Calibri"/>
          <w:noProof/>
        </w:rPr>
        <w:t> </w:t>
      </w:r>
      <w:r w:rsidRPr="000F7386">
        <w:rPr>
          <w:noProof/>
        </w:rPr>
        <w:t>5</w:t>
      </w:r>
      <w:r w:rsidRPr="000F7386">
        <w:rPr>
          <w:rFonts w:ascii="Calibri" w:hAnsi="Calibri" w:cs="Calibri"/>
          <w:noProof/>
        </w:rPr>
        <w:t> </w:t>
      </w:r>
      <w:r w:rsidRPr="000F7386">
        <w:rPr>
          <w:noProof/>
        </w:rPr>
        <w:t>532</w:t>
      </w:r>
      <w:r w:rsidRPr="000F7386">
        <w:rPr>
          <w:rFonts w:ascii="Calibri" w:hAnsi="Calibri" w:cs="Calibri"/>
          <w:noProof/>
        </w:rPr>
        <w:t> </w:t>
      </w:r>
      <w:r w:rsidRPr="000F7386">
        <w:rPr>
          <w:noProof/>
        </w:rPr>
        <w:t>382 were used for the operational implementation of the programme.</w:t>
      </w:r>
    </w:p>
    <w:p w14:paraId="0335E8E7" w14:textId="77777777" w:rsidR="00FE47FC" w:rsidRPr="000F7386" w:rsidRDefault="00FE47FC" w:rsidP="00FE47FC">
      <w:pPr>
        <w:pStyle w:val="ppoListHyphened-L1"/>
        <w:rPr>
          <w:noProof/>
        </w:rPr>
      </w:pPr>
      <w:r w:rsidRPr="000F7386">
        <w:rPr>
          <w:noProof/>
        </w:rPr>
        <w:t>However, budget appropriations totalling EUR</w:t>
      </w:r>
      <w:r w:rsidRPr="000F7386">
        <w:rPr>
          <w:rFonts w:ascii="Calibri" w:hAnsi="Calibri" w:cs="Calibri"/>
          <w:noProof/>
        </w:rPr>
        <w:t> </w:t>
      </w:r>
      <w:r w:rsidRPr="000F7386">
        <w:rPr>
          <w:noProof/>
        </w:rPr>
        <w:t>0.3</w:t>
      </w:r>
      <w:r w:rsidRPr="000F7386">
        <w:rPr>
          <w:rFonts w:ascii="Calibri" w:hAnsi="Calibri" w:cs="Calibri"/>
          <w:noProof/>
        </w:rPr>
        <w:t> </w:t>
      </w:r>
      <w:r w:rsidRPr="000F7386">
        <w:rPr>
          <w:noProof/>
        </w:rPr>
        <w:t>million were decommitted over the same period. This represents 5.4% of the total budget appropriations initially committed. This decommitment was mainly due to a beneficiary underspending the EU funds awarded to them. Arrangements were put in place to mitigate the likelihood and impact of recurrence. These arrangements were successful in mitigating the problem while allowing the objectives of the programme to be achieved.</w:t>
      </w:r>
    </w:p>
    <w:p w14:paraId="4634A9F4" w14:textId="77777777" w:rsidR="00FE47FC" w:rsidRPr="000F7386" w:rsidRDefault="00FE47FC" w:rsidP="00FE47FC">
      <w:pPr>
        <w:pStyle w:val="ppoListHyphened-L1"/>
        <w:rPr>
          <w:noProof/>
        </w:rPr>
      </w:pPr>
      <w:r w:rsidRPr="000F7386">
        <w:rPr>
          <w:noProof/>
        </w:rPr>
        <w:t>The payments executed between 2017 and 2020 amounted to EUR</w:t>
      </w:r>
      <w:r w:rsidRPr="000F7386">
        <w:rPr>
          <w:rFonts w:ascii="Calibri" w:hAnsi="Calibri" w:cs="Calibri"/>
          <w:noProof/>
        </w:rPr>
        <w:t> </w:t>
      </w:r>
      <w:r w:rsidRPr="000F7386">
        <w:rPr>
          <w:noProof/>
        </w:rPr>
        <w:t>4</w:t>
      </w:r>
      <w:r w:rsidRPr="000F7386">
        <w:rPr>
          <w:rFonts w:ascii="Calibri" w:hAnsi="Calibri" w:cs="Calibri"/>
          <w:noProof/>
        </w:rPr>
        <w:t> </w:t>
      </w:r>
      <w:r w:rsidRPr="000F7386">
        <w:rPr>
          <w:noProof/>
        </w:rPr>
        <w:t>828</w:t>
      </w:r>
      <w:r w:rsidRPr="000F7386">
        <w:rPr>
          <w:rFonts w:ascii="Calibri" w:hAnsi="Calibri" w:cs="Calibri"/>
          <w:noProof/>
        </w:rPr>
        <w:t> </w:t>
      </w:r>
      <w:r w:rsidRPr="000F7386">
        <w:rPr>
          <w:noProof/>
        </w:rPr>
        <w:t>690 and represented 87% of the total commitment appropriations for that period. The implementation period for action grants runs from 1</w:t>
      </w:r>
      <w:r w:rsidRPr="000F7386">
        <w:rPr>
          <w:rFonts w:ascii="Calibri" w:hAnsi="Calibri" w:cs="Calibri"/>
          <w:noProof/>
        </w:rPr>
        <w:t> </w:t>
      </w:r>
      <w:r w:rsidRPr="000F7386">
        <w:rPr>
          <w:noProof/>
        </w:rPr>
        <w:t>January to 31</w:t>
      </w:r>
      <w:r w:rsidRPr="000F7386">
        <w:rPr>
          <w:rFonts w:ascii="Calibri" w:hAnsi="Calibri" w:cs="Calibri"/>
          <w:noProof/>
        </w:rPr>
        <w:t> </w:t>
      </w:r>
      <w:r w:rsidRPr="000F7386">
        <w:rPr>
          <w:noProof/>
        </w:rPr>
        <w:t>December, and balance payments due to the beneficiaries were made in 2021, which explains the difference between the cumulative commitment appropriations (taking into account the aforementioned decommitment) and the cumulative payment appropriations.</w:t>
      </w:r>
    </w:p>
    <w:p w14:paraId="6D68CCC8" w14:textId="77777777" w:rsidR="00FE47FC" w:rsidRPr="000F7386" w:rsidRDefault="00FE47FC" w:rsidP="00FE47FC">
      <w:pPr>
        <w:pStyle w:val="ppoHeading5"/>
        <w:rPr>
          <w:noProof/>
        </w:rPr>
      </w:pPr>
      <w:r w:rsidRPr="000F7386">
        <w:rPr>
          <w:noProof/>
        </w:rPr>
        <w:t>Performance assessment</w:t>
      </w:r>
    </w:p>
    <w:p w14:paraId="68850F03" w14:textId="77777777" w:rsidR="00FE47FC" w:rsidRPr="000F7386" w:rsidRDefault="00FE47FC" w:rsidP="00FE47FC">
      <w:pPr>
        <w:pStyle w:val="ppoListHyphened-L1"/>
        <w:rPr>
          <w:noProof/>
        </w:rPr>
      </w:pPr>
      <w:r w:rsidRPr="000F7386">
        <w:rPr>
          <w:noProof/>
        </w:rPr>
        <w:t>Since the launch of the programme in 2017, the two beneficiaries (Better Finance and Finance Watch) have been successfully working towards the achievement of the programme’s objectives. They have further developed the knowledge and expertise needed to participate in EU and other relevant multilateral</w:t>
      </w:r>
      <w:r w:rsidRPr="000F7386">
        <w:rPr>
          <w:rFonts w:cs="Arial"/>
          <w:noProof/>
        </w:rPr>
        <w:t xml:space="preserve"> forms of </w:t>
      </w:r>
      <w:r w:rsidRPr="000F7386">
        <w:rPr>
          <w:noProof/>
        </w:rPr>
        <w:t>policymaking</w:t>
      </w:r>
      <w:r w:rsidRPr="000F7386">
        <w:rPr>
          <w:rFonts w:cs="Arial"/>
          <w:noProof/>
        </w:rPr>
        <w:t xml:space="preserve"> </w:t>
      </w:r>
      <w:r w:rsidRPr="000F7386">
        <w:rPr>
          <w:noProof/>
        </w:rPr>
        <w:t>in the area of financial services.</w:t>
      </w:r>
    </w:p>
    <w:p w14:paraId="539DD7C1" w14:textId="77777777" w:rsidR="00FE47FC" w:rsidRPr="000F7386" w:rsidRDefault="00FE47FC" w:rsidP="00FE47FC">
      <w:pPr>
        <w:pStyle w:val="ppoListHyphened-L1"/>
        <w:rPr>
          <w:noProof/>
        </w:rPr>
      </w:pPr>
      <w:r w:rsidRPr="000F7386">
        <w:rPr>
          <w:noProof/>
        </w:rPr>
        <w:t>In parallel, the two organisations have built up a network and implemented</w:t>
      </w:r>
      <w:r w:rsidRPr="000F7386">
        <w:rPr>
          <w:rFonts w:cs="Arial"/>
          <w:noProof/>
        </w:rPr>
        <w:t xml:space="preserve"> </w:t>
      </w:r>
      <w:r w:rsidRPr="000F7386">
        <w:rPr>
          <w:noProof/>
        </w:rPr>
        <w:t>a number of</w:t>
      </w:r>
      <w:r w:rsidRPr="000F7386">
        <w:rPr>
          <w:rFonts w:cs="Arial"/>
          <w:noProof/>
        </w:rPr>
        <w:t xml:space="preserve"> </w:t>
      </w:r>
      <w:r w:rsidRPr="000F7386">
        <w:rPr>
          <w:noProof/>
        </w:rPr>
        <w:t>dissemination activities that have enabled them to inform consumers and other end users of financial services, along with stakeholders representing their interests, about issues at stake in the regulation of the financial sector.</w:t>
      </w:r>
    </w:p>
    <w:p w14:paraId="476C7DF9" w14:textId="48AA6743" w:rsidR="00FE47FC" w:rsidRPr="000F7386" w:rsidRDefault="00FE47FC" w:rsidP="00304A2B">
      <w:pPr>
        <w:pStyle w:val="ppoListHyphened-L1"/>
        <w:rPr>
          <w:noProof/>
        </w:rPr>
      </w:pPr>
      <w:r w:rsidRPr="000F7386">
        <w:rPr>
          <w:noProof/>
        </w:rPr>
        <w:t>Since March 2020, the COVID-19 pandemic has hampered the beneficiaries’ physical participation (including as speakers) in</w:t>
      </w:r>
      <w:r w:rsidRPr="00165122">
        <w:rPr>
          <w:rFonts w:cs="Arial"/>
          <w:noProof/>
        </w:rPr>
        <w:t xml:space="preserve"> </w:t>
      </w:r>
      <w:r w:rsidRPr="000F7386">
        <w:rPr>
          <w:noProof/>
        </w:rPr>
        <w:t>a number of</w:t>
      </w:r>
      <w:r w:rsidRPr="00165122">
        <w:rPr>
          <w:rFonts w:cs="Arial"/>
          <w:noProof/>
        </w:rPr>
        <w:t xml:space="preserve"> </w:t>
      </w:r>
      <w:r w:rsidRPr="000F7386">
        <w:rPr>
          <w:noProof/>
        </w:rPr>
        <w:t>events, as many have been cancelled or postponed. Instead, the organisations organised a total of 13 virtual events, provided speakers to 66 online conferences and webinars and attended another 105 online events.</w:t>
      </w:r>
      <w:r w:rsidRPr="00165122">
        <w:rPr>
          <w:rFonts w:cs="Arial"/>
          <w:noProof/>
        </w:rPr>
        <w:t xml:space="preserve"> </w:t>
      </w:r>
      <w:r w:rsidRPr="000F7386">
        <w:rPr>
          <w:noProof/>
        </w:rPr>
        <w:t>This ensured</w:t>
      </w:r>
      <w:r w:rsidRPr="00165122">
        <w:rPr>
          <w:rFonts w:cs="Arial"/>
          <w:noProof/>
        </w:rPr>
        <w:t xml:space="preserve"> </w:t>
      </w:r>
      <w:r w:rsidRPr="000F7386">
        <w:rPr>
          <w:noProof/>
        </w:rPr>
        <w:t>that the voice of financial services users was heard.</w:t>
      </w:r>
      <w:r w:rsidRPr="000F7386">
        <w:rPr>
          <w:noProof/>
        </w:rPr>
        <w:br w:type="page"/>
      </w:r>
    </w:p>
    <w:p w14:paraId="28298BBB" w14:textId="77777777" w:rsidR="00FE47FC" w:rsidRPr="000F7386" w:rsidRDefault="00FE47FC" w:rsidP="00FE47FC">
      <w:pPr>
        <w:pStyle w:val="ppoHeading4Orange"/>
        <w:rPr>
          <w:noProof/>
        </w:rPr>
      </w:pPr>
      <w:r w:rsidRPr="000F7386">
        <w:rPr>
          <w:noProof/>
        </w:rPr>
        <w:t>2014-2020 multiannual financial framework</w:t>
      </w:r>
      <w:r w:rsidRPr="000F7386">
        <w:rPr>
          <w:rFonts w:ascii="Calibri" w:hAnsi="Calibri" w:cs="Calibri"/>
          <w:noProof/>
        </w:rPr>
        <w:t> </w:t>
      </w:r>
      <w:r w:rsidRPr="000F7386">
        <w:rPr>
          <w:noProof/>
        </w:rPr>
        <w:t>– food and feed</w:t>
      </w:r>
    </w:p>
    <w:p w14:paraId="5CE24957" w14:textId="77777777" w:rsidR="00FE47FC" w:rsidRPr="000F7386" w:rsidRDefault="00FE47FC" w:rsidP="00FE47FC">
      <w:pPr>
        <w:pStyle w:val="paragraph"/>
        <w:spacing w:before="0" w:beforeAutospacing="0" w:after="120" w:afterAutospacing="0"/>
        <w:jc w:val="both"/>
        <w:textAlignment w:val="baseline"/>
        <w:rPr>
          <w:rFonts w:ascii="EC Square Sans Pro" w:eastAsiaTheme="minorHAnsi" w:hAnsi="EC Square Sans Pro" w:cstheme="minorBidi"/>
          <w:noProof/>
          <w:sz w:val="22"/>
          <w:szCs w:val="22"/>
          <w:lang w:eastAsia="en-US"/>
        </w:rPr>
      </w:pPr>
      <w:r w:rsidRPr="000F7386">
        <w:rPr>
          <w:rFonts w:ascii="EC Square Sans Pro" w:eastAsiaTheme="minorHAnsi" w:hAnsi="EC Square Sans Pro" w:cstheme="minorBidi"/>
          <w:noProof/>
          <w:sz w:val="22"/>
          <w:szCs w:val="22"/>
          <w:lang w:eastAsia="en-US"/>
        </w:rPr>
        <w:t>The food and feed programme aims to prevent, control and eradicate animal diseases and plant pests, support sustainable food production and consumption and improve animal welfare and the effectiveness, efficiency and reliability of official controls.</w:t>
      </w:r>
    </w:p>
    <w:p w14:paraId="70248896" w14:textId="77777777" w:rsidR="00FE47FC" w:rsidRPr="000F7386" w:rsidRDefault="00FE47FC" w:rsidP="00FE47FC">
      <w:pPr>
        <w:pStyle w:val="ppoHeading5"/>
        <w:rPr>
          <w:noProof/>
        </w:rPr>
      </w:pPr>
      <w:r w:rsidRPr="000F7386">
        <w:rPr>
          <w:noProof/>
        </w:rPr>
        <w:t>Budget</w:t>
      </w:r>
    </w:p>
    <w:p w14:paraId="4498D79B" w14:textId="77777777" w:rsidR="00FE47FC" w:rsidRPr="000F7386" w:rsidRDefault="00FE47FC" w:rsidP="00FE47FC">
      <w:pPr>
        <w:pStyle w:val="ppoTableTabletitle"/>
        <w:rPr>
          <w:noProof/>
        </w:rPr>
      </w:pPr>
      <w:r w:rsidRPr="000F7386">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FE47FC" w:rsidRPr="000F7386" w14:paraId="17E194E2" w14:textId="77777777" w:rsidTr="00BB2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36942B8D" w14:textId="77777777" w:rsidR="00FE47FC" w:rsidRPr="000F7386" w:rsidRDefault="00FE47FC" w:rsidP="00BB20EB">
            <w:pPr>
              <w:rPr>
                <w:noProof/>
              </w:rPr>
            </w:pPr>
          </w:p>
        </w:tc>
        <w:tc>
          <w:tcPr>
            <w:tcW w:w="2410" w:type="dxa"/>
          </w:tcPr>
          <w:p w14:paraId="6D579CAF" w14:textId="77777777" w:rsidR="00FE47FC" w:rsidRPr="000F7386" w:rsidRDefault="00FE47FC" w:rsidP="00BB20EB">
            <w:pPr>
              <w:cnfStyle w:val="100000000000" w:firstRow="1" w:lastRow="0" w:firstColumn="0" w:lastColumn="0" w:oddVBand="0" w:evenVBand="0" w:oddHBand="0" w:evenHBand="0" w:firstRowFirstColumn="0" w:firstRowLastColumn="0" w:lastRowFirstColumn="0" w:lastRowLastColumn="0"/>
              <w:rPr>
                <w:noProof/>
              </w:rPr>
            </w:pPr>
            <w:r w:rsidRPr="000F7386">
              <w:rPr>
                <w:noProof/>
              </w:rPr>
              <w:t>Implementation</w:t>
            </w:r>
          </w:p>
        </w:tc>
        <w:tc>
          <w:tcPr>
            <w:tcW w:w="2410" w:type="dxa"/>
          </w:tcPr>
          <w:p w14:paraId="5522C4F5" w14:textId="4C4860F0" w:rsidR="00FE47FC" w:rsidRPr="000F7386" w:rsidRDefault="001F4CBC" w:rsidP="00BB20EB">
            <w:pPr>
              <w:cnfStyle w:val="100000000000" w:firstRow="1" w:lastRow="0" w:firstColumn="0" w:lastColumn="0" w:oddVBand="0" w:evenVBand="0" w:oddHBand="0" w:evenHBand="0" w:firstRowFirstColumn="0" w:firstRowLastColumn="0" w:lastRowFirstColumn="0" w:lastRowLastColumn="0"/>
              <w:rPr>
                <w:noProof/>
              </w:rPr>
            </w:pPr>
            <w:r>
              <w:rPr>
                <w:noProof/>
              </w:rPr>
              <w:t xml:space="preserve">2014-2020 </w:t>
            </w:r>
            <w:r w:rsidRPr="00885241">
              <w:rPr>
                <w:noProof/>
              </w:rPr>
              <w:t>Budget</w:t>
            </w:r>
          </w:p>
        </w:tc>
        <w:tc>
          <w:tcPr>
            <w:tcW w:w="2410" w:type="dxa"/>
          </w:tcPr>
          <w:p w14:paraId="31EACDB0" w14:textId="77777777" w:rsidR="00FE47FC" w:rsidRPr="000F7386" w:rsidRDefault="00FE47FC" w:rsidP="00BB20EB">
            <w:pPr>
              <w:cnfStyle w:val="100000000000" w:firstRow="1" w:lastRow="0" w:firstColumn="0" w:lastColumn="0" w:oddVBand="0" w:evenVBand="0" w:oddHBand="0" w:evenHBand="0" w:firstRowFirstColumn="0" w:firstRowLastColumn="0" w:lastRowFirstColumn="0" w:lastRowLastColumn="0"/>
              <w:rPr>
                <w:noProof/>
              </w:rPr>
            </w:pPr>
            <w:r w:rsidRPr="000F7386">
              <w:rPr>
                <w:noProof/>
              </w:rPr>
              <w:t>Implementation rate</w:t>
            </w:r>
          </w:p>
        </w:tc>
      </w:tr>
      <w:tr w:rsidR="00FE47FC" w:rsidRPr="000F7386" w14:paraId="00B2984F" w14:textId="77777777" w:rsidTr="00BB20EB">
        <w:tc>
          <w:tcPr>
            <w:cnfStyle w:val="001000000000" w:firstRow="0" w:lastRow="0" w:firstColumn="1" w:lastColumn="0" w:oddVBand="0" w:evenVBand="0" w:oddHBand="0" w:evenHBand="0" w:firstRowFirstColumn="0" w:firstRowLastColumn="0" w:lastRowFirstColumn="0" w:lastRowLastColumn="0"/>
            <w:tcW w:w="2409" w:type="dxa"/>
          </w:tcPr>
          <w:p w14:paraId="44196191" w14:textId="77777777" w:rsidR="00FE47FC" w:rsidRPr="000F7386" w:rsidRDefault="00FE47FC" w:rsidP="00BB20EB">
            <w:pPr>
              <w:jc w:val="center"/>
              <w:rPr>
                <w:noProof/>
              </w:rPr>
            </w:pPr>
            <w:r w:rsidRPr="000F7386">
              <w:rPr>
                <w:noProof/>
              </w:rPr>
              <w:t>Commitments</w:t>
            </w:r>
          </w:p>
        </w:tc>
        <w:tc>
          <w:tcPr>
            <w:tcW w:w="2410" w:type="dxa"/>
          </w:tcPr>
          <w:tbl>
            <w:tblPr>
              <w:tblStyle w:val="TableGrid"/>
              <w:tblW w:w="0" w:type="auto"/>
              <w:tblLook w:val="06A0" w:firstRow="1" w:lastRow="0" w:firstColumn="1" w:lastColumn="0" w:noHBand="1" w:noVBand="1"/>
            </w:tblPr>
            <w:tblGrid>
              <w:gridCol w:w="2194"/>
            </w:tblGrid>
            <w:tr w:rsidR="00FE47FC" w:rsidRPr="000F7386" w14:paraId="2B553096" w14:textId="77777777" w:rsidTr="00BB20EB">
              <w:trPr>
                <w:trHeight w:val="285"/>
              </w:trPr>
              <w:tc>
                <w:tcPr>
                  <w:tcW w:w="2290" w:type="dxa"/>
                  <w:tcBorders>
                    <w:top w:val="nil"/>
                    <w:left w:val="nil"/>
                    <w:bottom w:val="nil"/>
                    <w:right w:val="nil"/>
                  </w:tcBorders>
                  <w:vAlign w:val="bottom"/>
                </w:tcPr>
                <w:p w14:paraId="1CC0CBBF" w14:textId="77777777" w:rsidR="00FE47FC" w:rsidRPr="000F7386" w:rsidRDefault="00FE47FC" w:rsidP="00BB20EB">
                  <w:pPr>
                    <w:jc w:val="right"/>
                    <w:rPr>
                      <w:noProof/>
                    </w:rPr>
                  </w:pPr>
                  <w:r w:rsidRPr="000F7386">
                    <w:rPr>
                      <w:rFonts w:ascii="Calibri" w:hAnsi="Calibri" w:cs="Calibri"/>
                      <w:noProof/>
                      <w:color w:val="000000"/>
                    </w:rPr>
                    <w:t>1 827.2</w:t>
                  </w:r>
                </w:p>
              </w:tc>
            </w:tr>
          </w:tbl>
          <w:p w14:paraId="7E35A7EE" w14:textId="77777777" w:rsidR="00FE47FC" w:rsidRPr="000F7386" w:rsidRDefault="00FE47FC"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FE47FC" w:rsidRPr="000F7386" w14:paraId="022AB021" w14:textId="77777777" w:rsidTr="00BB20EB">
              <w:trPr>
                <w:trHeight w:val="285"/>
              </w:trPr>
              <w:tc>
                <w:tcPr>
                  <w:tcW w:w="2290" w:type="dxa"/>
                  <w:tcBorders>
                    <w:top w:val="nil"/>
                    <w:left w:val="nil"/>
                    <w:bottom w:val="nil"/>
                    <w:right w:val="nil"/>
                  </w:tcBorders>
                  <w:vAlign w:val="bottom"/>
                </w:tcPr>
                <w:p w14:paraId="6B785390" w14:textId="77777777" w:rsidR="00FE47FC" w:rsidRPr="000F7386" w:rsidRDefault="00FE47FC" w:rsidP="00BB20EB">
                  <w:pPr>
                    <w:jc w:val="right"/>
                    <w:rPr>
                      <w:noProof/>
                    </w:rPr>
                  </w:pPr>
                  <w:r w:rsidRPr="000F7386">
                    <w:rPr>
                      <w:rFonts w:ascii="Calibri" w:hAnsi="Calibri" w:cs="Calibri"/>
                      <w:noProof/>
                      <w:color w:val="000000"/>
                    </w:rPr>
                    <w:t>1 827.3</w:t>
                  </w:r>
                </w:p>
              </w:tc>
            </w:tr>
          </w:tbl>
          <w:p w14:paraId="3AB39C5C" w14:textId="77777777" w:rsidR="00FE47FC" w:rsidRPr="000F7386" w:rsidRDefault="00FE47FC"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FE47FC" w:rsidRPr="000F7386" w14:paraId="7A44E740" w14:textId="77777777" w:rsidTr="00BB20EB">
              <w:trPr>
                <w:trHeight w:val="285"/>
              </w:trPr>
              <w:tc>
                <w:tcPr>
                  <w:tcW w:w="2290" w:type="dxa"/>
                  <w:tcBorders>
                    <w:top w:val="nil"/>
                    <w:left w:val="nil"/>
                    <w:bottom w:val="nil"/>
                    <w:right w:val="nil"/>
                  </w:tcBorders>
                  <w:vAlign w:val="bottom"/>
                </w:tcPr>
                <w:p w14:paraId="17823C02" w14:textId="77777777" w:rsidR="00FE47FC" w:rsidRPr="000F7386" w:rsidRDefault="00FE47FC" w:rsidP="00BB20EB">
                  <w:pPr>
                    <w:jc w:val="right"/>
                    <w:rPr>
                      <w:noProof/>
                    </w:rPr>
                  </w:pPr>
                  <w:r w:rsidRPr="000F7386">
                    <w:rPr>
                      <w:rFonts w:ascii="Calibri" w:hAnsi="Calibri" w:cs="Calibri"/>
                      <w:noProof/>
                      <w:color w:val="000000"/>
                    </w:rPr>
                    <w:t>100%</w:t>
                  </w:r>
                </w:p>
              </w:tc>
            </w:tr>
          </w:tbl>
          <w:p w14:paraId="406869E0" w14:textId="77777777" w:rsidR="00FE47FC" w:rsidRPr="000F7386" w:rsidRDefault="00FE47FC" w:rsidP="00BB20EB">
            <w:pPr>
              <w:jc w:val="center"/>
              <w:cnfStyle w:val="000000000000" w:firstRow="0" w:lastRow="0" w:firstColumn="0" w:lastColumn="0" w:oddVBand="0" w:evenVBand="0" w:oddHBand="0" w:evenHBand="0" w:firstRowFirstColumn="0" w:firstRowLastColumn="0" w:lastRowFirstColumn="0" w:lastRowLastColumn="0"/>
              <w:rPr>
                <w:noProof/>
              </w:rPr>
            </w:pPr>
          </w:p>
        </w:tc>
      </w:tr>
      <w:tr w:rsidR="00FE47FC" w:rsidRPr="000F7386" w14:paraId="55B06261" w14:textId="77777777" w:rsidTr="00BB20EB">
        <w:tc>
          <w:tcPr>
            <w:cnfStyle w:val="001000000000" w:firstRow="0" w:lastRow="0" w:firstColumn="1" w:lastColumn="0" w:oddVBand="0" w:evenVBand="0" w:oddHBand="0" w:evenHBand="0" w:firstRowFirstColumn="0" w:firstRowLastColumn="0" w:lastRowFirstColumn="0" w:lastRowLastColumn="0"/>
            <w:tcW w:w="2409" w:type="dxa"/>
          </w:tcPr>
          <w:p w14:paraId="5E89D1AF" w14:textId="77777777" w:rsidR="00FE47FC" w:rsidRPr="000F7386" w:rsidRDefault="00FE47FC" w:rsidP="00BB20EB">
            <w:pPr>
              <w:jc w:val="center"/>
              <w:rPr>
                <w:noProof/>
              </w:rPr>
            </w:pPr>
            <w:r w:rsidRPr="000F7386">
              <w:rPr>
                <w:noProof/>
              </w:rPr>
              <w:t>Payments</w:t>
            </w:r>
          </w:p>
        </w:tc>
        <w:tc>
          <w:tcPr>
            <w:tcW w:w="2410" w:type="dxa"/>
          </w:tcPr>
          <w:tbl>
            <w:tblPr>
              <w:tblStyle w:val="TableGrid"/>
              <w:tblW w:w="0" w:type="auto"/>
              <w:tblLook w:val="06A0" w:firstRow="1" w:lastRow="0" w:firstColumn="1" w:lastColumn="0" w:noHBand="1" w:noVBand="1"/>
            </w:tblPr>
            <w:tblGrid>
              <w:gridCol w:w="2194"/>
            </w:tblGrid>
            <w:tr w:rsidR="00FE47FC" w:rsidRPr="000F7386" w14:paraId="2FDBE60A" w14:textId="77777777" w:rsidTr="00BB20EB">
              <w:trPr>
                <w:trHeight w:val="285"/>
              </w:trPr>
              <w:tc>
                <w:tcPr>
                  <w:tcW w:w="2290" w:type="dxa"/>
                  <w:tcBorders>
                    <w:top w:val="nil"/>
                    <w:left w:val="nil"/>
                    <w:bottom w:val="nil"/>
                    <w:right w:val="nil"/>
                  </w:tcBorders>
                  <w:vAlign w:val="bottom"/>
                </w:tcPr>
                <w:p w14:paraId="683E0F40" w14:textId="77777777" w:rsidR="00FE47FC" w:rsidRPr="000F7386" w:rsidRDefault="00FE47FC" w:rsidP="00BB20EB">
                  <w:pPr>
                    <w:jc w:val="right"/>
                    <w:rPr>
                      <w:noProof/>
                    </w:rPr>
                  </w:pPr>
                  <w:r w:rsidRPr="000F7386">
                    <w:rPr>
                      <w:rFonts w:ascii="Calibri" w:hAnsi="Calibri" w:cs="Calibri"/>
                      <w:noProof/>
                      <w:color w:val="000000"/>
                    </w:rPr>
                    <w:t>1 539.8</w:t>
                  </w:r>
                </w:p>
              </w:tc>
            </w:tr>
          </w:tbl>
          <w:p w14:paraId="2214D4AB" w14:textId="77777777" w:rsidR="00FE47FC" w:rsidRPr="000F7386" w:rsidRDefault="00FE47FC"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142F5F18" w14:textId="77777777" w:rsidR="00FE47FC" w:rsidRPr="000F7386" w:rsidRDefault="00FE47FC"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FE47FC" w:rsidRPr="000F7386" w14:paraId="0E54A613" w14:textId="77777777" w:rsidTr="00BB20EB">
              <w:trPr>
                <w:trHeight w:val="285"/>
              </w:trPr>
              <w:tc>
                <w:tcPr>
                  <w:tcW w:w="2235" w:type="dxa"/>
                  <w:tcBorders>
                    <w:top w:val="nil"/>
                    <w:left w:val="nil"/>
                    <w:bottom w:val="nil"/>
                    <w:right w:val="nil"/>
                  </w:tcBorders>
                  <w:vAlign w:val="bottom"/>
                </w:tcPr>
                <w:p w14:paraId="785FCD51" w14:textId="77777777" w:rsidR="00FE47FC" w:rsidRPr="000F7386" w:rsidRDefault="00FE47FC" w:rsidP="00BB20EB">
                  <w:pPr>
                    <w:jc w:val="right"/>
                    <w:rPr>
                      <w:noProof/>
                    </w:rPr>
                  </w:pPr>
                  <w:r w:rsidRPr="000F7386">
                    <w:rPr>
                      <w:rFonts w:ascii="Calibri" w:hAnsi="Calibri" w:cs="Calibri"/>
                      <w:noProof/>
                      <w:color w:val="000000"/>
                    </w:rPr>
                    <w:t>84%</w:t>
                  </w:r>
                </w:p>
              </w:tc>
            </w:tr>
          </w:tbl>
          <w:p w14:paraId="6073CDF0" w14:textId="77777777" w:rsidR="00FE47FC" w:rsidRPr="000F7386" w:rsidRDefault="00FE47FC" w:rsidP="00BB20EB">
            <w:pPr>
              <w:jc w:val="center"/>
              <w:cnfStyle w:val="000000000000" w:firstRow="0" w:lastRow="0" w:firstColumn="0" w:lastColumn="0" w:oddVBand="0" w:evenVBand="0" w:oddHBand="0" w:evenHBand="0" w:firstRowFirstColumn="0" w:firstRowLastColumn="0" w:lastRowFirstColumn="0" w:lastRowLastColumn="0"/>
              <w:rPr>
                <w:noProof/>
              </w:rPr>
            </w:pPr>
          </w:p>
        </w:tc>
      </w:tr>
    </w:tbl>
    <w:p w14:paraId="6ABAF62E" w14:textId="77777777" w:rsidR="00FE47FC" w:rsidRPr="000F7386" w:rsidRDefault="00FE47FC" w:rsidP="00FE47FC">
      <w:pPr>
        <w:pStyle w:val="ppoListHyphened-L1"/>
        <w:rPr>
          <w:noProof/>
        </w:rPr>
      </w:pPr>
      <w:r w:rsidRPr="000F7386">
        <w:rPr>
          <w:noProof/>
        </w:rPr>
        <w:t>In 2020, 146 national veterinary programmes, covering the monitoring and eradication of 11 diseases and implemented by 28 Member States, were approved and implemented in accordance with predefined priorities. Around EUR</w:t>
      </w:r>
      <w:r w:rsidRPr="000F7386">
        <w:rPr>
          <w:rFonts w:ascii="Calibri" w:hAnsi="Calibri" w:cs="Calibri"/>
          <w:noProof/>
        </w:rPr>
        <w:t> </w:t>
      </w:r>
      <w:r w:rsidRPr="000F7386">
        <w:rPr>
          <w:noProof/>
        </w:rPr>
        <w:t>117.2</w:t>
      </w:r>
      <w:r w:rsidRPr="000F7386">
        <w:rPr>
          <w:rFonts w:ascii="Calibri" w:hAnsi="Calibri" w:cs="Calibri"/>
          <w:noProof/>
        </w:rPr>
        <w:t> </w:t>
      </w:r>
      <w:r w:rsidRPr="000F7386">
        <w:rPr>
          <w:noProof/>
        </w:rPr>
        <w:t>million was allocated to co-fund them, which accounts for the largest proportion of spending under the food and feed budget.</w:t>
      </w:r>
    </w:p>
    <w:p w14:paraId="218345D6" w14:textId="77777777" w:rsidR="00FE47FC" w:rsidRPr="000F7386" w:rsidRDefault="00FE47FC" w:rsidP="00FE47FC">
      <w:pPr>
        <w:pStyle w:val="ppoListHyphened-L1"/>
        <w:rPr>
          <w:noProof/>
        </w:rPr>
      </w:pPr>
      <w:r w:rsidRPr="000F7386">
        <w:rPr>
          <w:noProof/>
        </w:rPr>
        <w:t>In relation to emergency measures, the large-scale avian influenza outbreak, which started in 2016, required extensive efforts through 2017 and 2018 to limit its spread across Europe. In 2020, several new outbreaks occurred across the EU, and grants were awarded amounting to a total of EUR</w:t>
      </w:r>
      <w:r w:rsidRPr="000F7386">
        <w:rPr>
          <w:rFonts w:ascii="Calibri" w:hAnsi="Calibri" w:cs="Calibri"/>
          <w:noProof/>
        </w:rPr>
        <w:t> </w:t>
      </w:r>
      <w:r w:rsidRPr="000F7386">
        <w:rPr>
          <w:noProof/>
        </w:rPr>
        <w:t>58.76</w:t>
      </w:r>
      <w:r w:rsidRPr="000F7386">
        <w:rPr>
          <w:rFonts w:ascii="Calibri" w:hAnsi="Calibri" w:cs="Calibri"/>
          <w:noProof/>
        </w:rPr>
        <w:t> </w:t>
      </w:r>
      <w:r w:rsidRPr="000F7386">
        <w:rPr>
          <w:noProof/>
        </w:rPr>
        <w:t xml:space="preserve">million. Within the framework of </w:t>
      </w:r>
      <w:r w:rsidRPr="00604528">
        <w:rPr>
          <w:i/>
          <w:iCs/>
          <w:noProof/>
        </w:rPr>
        <w:t>ex ante</w:t>
      </w:r>
      <w:r w:rsidRPr="000F7386">
        <w:rPr>
          <w:noProof/>
        </w:rPr>
        <w:t xml:space="preserve"> on-the-spot audits, for some Member States the financial settlement of the crisis of 2017-2018 continued in 2021; this, in combination with payments for the 2020 grants, would result in further substantial payments in the future.</w:t>
      </w:r>
    </w:p>
    <w:p w14:paraId="441AF7A3" w14:textId="77777777" w:rsidR="00FE47FC" w:rsidRPr="000F7386" w:rsidRDefault="00FE47FC" w:rsidP="00FE47FC">
      <w:pPr>
        <w:pStyle w:val="ppoListHyphened-L1"/>
        <w:rPr>
          <w:noProof/>
        </w:rPr>
      </w:pPr>
      <w:r w:rsidRPr="000F7386">
        <w:rPr>
          <w:noProof/>
        </w:rPr>
        <w:t>Better training for safer food activities, with the objective of improving the effectiveness, efficiency, and reliability of official controls, could not be implemented as planned in 2020 due to the COVID-19 pandemic, as the vast majority of the courses planned involved face-to-face training in small breakout groups from multiple places of origin. A number of contracts were amended to allow training using virtual classrooms, starting in January 2021. However, as there was no contractual obligation to provide virtual classrooms, many contractors chose to extend contracts and suspend their services. Eight new calls for tender (amounting to EUR</w:t>
      </w:r>
      <w:r w:rsidRPr="000F7386">
        <w:rPr>
          <w:rFonts w:ascii="Calibri" w:hAnsi="Calibri" w:cs="Calibri"/>
          <w:noProof/>
        </w:rPr>
        <w:t> </w:t>
      </w:r>
      <w:r w:rsidRPr="000F7386">
        <w:rPr>
          <w:noProof/>
        </w:rPr>
        <w:t>7</w:t>
      </w:r>
      <w:r w:rsidRPr="000F7386">
        <w:rPr>
          <w:rFonts w:ascii="Calibri" w:hAnsi="Calibri" w:cs="Calibri"/>
          <w:noProof/>
        </w:rPr>
        <w:t> </w:t>
      </w:r>
      <w:r w:rsidRPr="000F7386">
        <w:rPr>
          <w:noProof/>
        </w:rPr>
        <w:t>million) were published in 2020, and three new calls for tender were published in 2021 (with EUR</w:t>
      </w:r>
      <w:r w:rsidRPr="000F7386">
        <w:rPr>
          <w:rFonts w:ascii="Calibri" w:hAnsi="Calibri" w:cs="Calibri"/>
          <w:noProof/>
        </w:rPr>
        <w:t> </w:t>
      </w:r>
      <w:r w:rsidRPr="000F7386">
        <w:rPr>
          <w:noProof/>
        </w:rPr>
        <w:t>3</w:t>
      </w:r>
      <w:r w:rsidRPr="000F7386">
        <w:rPr>
          <w:rFonts w:ascii="Calibri" w:hAnsi="Calibri" w:cs="Calibri"/>
          <w:noProof/>
        </w:rPr>
        <w:t> </w:t>
      </w:r>
      <w:r w:rsidRPr="000F7386">
        <w:rPr>
          <w:noProof/>
        </w:rPr>
        <w:t>million committed for the first phase).</w:t>
      </w:r>
    </w:p>
    <w:p w14:paraId="599AFA56" w14:textId="77777777" w:rsidR="00FE47FC" w:rsidRPr="000F7386" w:rsidRDefault="00FE47FC" w:rsidP="00FE47FC">
      <w:pPr>
        <w:pStyle w:val="ppoHeading5"/>
        <w:rPr>
          <w:noProof/>
        </w:rPr>
      </w:pPr>
      <w:r w:rsidRPr="000F7386">
        <w:rPr>
          <w:noProof/>
        </w:rPr>
        <w:t>Performance assessment</w:t>
      </w:r>
    </w:p>
    <w:p w14:paraId="29829214" w14:textId="77777777" w:rsidR="00FE47FC" w:rsidRPr="000F7386" w:rsidRDefault="00FE47FC" w:rsidP="00FE47FC">
      <w:pPr>
        <w:pStyle w:val="ppoHeading6"/>
        <w:rPr>
          <w:noProof/>
        </w:rPr>
      </w:pPr>
      <w:r w:rsidRPr="000F7386">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FE47FC" w:rsidRPr="000F7386" w14:paraId="2DC629CC" w14:textId="77777777" w:rsidTr="00BB20EB">
        <w:trPr>
          <w:cnfStyle w:val="100000000000" w:firstRow="1" w:lastRow="0" w:firstColumn="0" w:lastColumn="0" w:oddVBand="0" w:evenVBand="0" w:oddHBand="0" w:evenHBand="0" w:firstRowFirstColumn="0" w:firstRowLastColumn="0" w:lastRowFirstColumn="0" w:lastRowLastColumn="0"/>
        </w:trPr>
        <w:tc>
          <w:tcPr>
            <w:tcW w:w="2330" w:type="dxa"/>
          </w:tcPr>
          <w:p w14:paraId="112AE522" w14:textId="77777777" w:rsidR="00FE47FC" w:rsidRPr="000F7386" w:rsidRDefault="00FE47FC" w:rsidP="00BB20EB">
            <w:pPr>
              <w:rPr>
                <w:noProof/>
              </w:rPr>
            </w:pPr>
          </w:p>
        </w:tc>
        <w:tc>
          <w:tcPr>
            <w:tcW w:w="1100" w:type="dxa"/>
          </w:tcPr>
          <w:p w14:paraId="35A4F0FD" w14:textId="77777777" w:rsidR="00FE47FC" w:rsidRPr="000F7386" w:rsidRDefault="00FE47FC" w:rsidP="00BB20EB">
            <w:pPr>
              <w:rPr>
                <w:noProof/>
              </w:rPr>
            </w:pPr>
            <w:r w:rsidRPr="000F7386">
              <w:rPr>
                <w:noProof/>
              </w:rPr>
              <w:t>Baseline</w:t>
            </w:r>
          </w:p>
        </w:tc>
        <w:tc>
          <w:tcPr>
            <w:tcW w:w="1526" w:type="dxa"/>
          </w:tcPr>
          <w:p w14:paraId="13BDF720" w14:textId="77777777" w:rsidR="00FE47FC" w:rsidRPr="000F7386" w:rsidRDefault="00FE47FC" w:rsidP="00BB20EB">
            <w:pPr>
              <w:rPr>
                <w:noProof/>
              </w:rPr>
            </w:pPr>
            <w:r w:rsidRPr="000F7386">
              <w:rPr>
                <w:noProof/>
              </w:rPr>
              <w:t>Progress</w:t>
            </w:r>
            <w:r w:rsidRPr="000F7386">
              <w:rPr>
                <w:rFonts w:ascii="Calibri" w:hAnsi="Calibri" w:cs="Calibri"/>
                <w:noProof/>
              </w:rPr>
              <w:t> </w:t>
            </w:r>
            <w:r w:rsidRPr="000F7386">
              <w:rPr>
                <w:noProof/>
              </w:rPr>
              <w:t>(*)</w:t>
            </w:r>
          </w:p>
        </w:tc>
        <w:tc>
          <w:tcPr>
            <w:tcW w:w="1532" w:type="dxa"/>
          </w:tcPr>
          <w:p w14:paraId="79BE3899" w14:textId="77777777" w:rsidR="00FE47FC" w:rsidRPr="000F7386" w:rsidRDefault="00FE47FC" w:rsidP="00BB20EB">
            <w:pPr>
              <w:rPr>
                <w:noProof/>
              </w:rPr>
            </w:pPr>
            <w:r w:rsidRPr="000F7386">
              <w:rPr>
                <w:noProof/>
              </w:rPr>
              <w:t>Target</w:t>
            </w:r>
          </w:p>
        </w:tc>
        <w:tc>
          <w:tcPr>
            <w:tcW w:w="1572" w:type="dxa"/>
          </w:tcPr>
          <w:p w14:paraId="118E4BB5" w14:textId="77777777" w:rsidR="00FE47FC" w:rsidRPr="000F7386" w:rsidRDefault="00FE47FC" w:rsidP="00BB20EB">
            <w:pPr>
              <w:rPr>
                <w:noProof/>
              </w:rPr>
            </w:pPr>
            <w:r w:rsidRPr="000F7386">
              <w:rPr>
                <w:noProof/>
              </w:rPr>
              <w:t>Results</w:t>
            </w:r>
          </w:p>
        </w:tc>
        <w:tc>
          <w:tcPr>
            <w:tcW w:w="1579" w:type="dxa"/>
          </w:tcPr>
          <w:p w14:paraId="1AFB17A1" w14:textId="77777777" w:rsidR="00FE47FC" w:rsidRPr="000F7386" w:rsidRDefault="00FE47FC" w:rsidP="00BB20EB">
            <w:pPr>
              <w:rPr>
                <w:noProof/>
              </w:rPr>
            </w:pPr>
            <w:r w:rsidRPr="000F7386">
              <w:rPr>
                <w:noProof/>
              </w:rPr>
              <w:t>Assessment</w:t>
            </w:r>
          </w:p>
        </w:tc>
      </w:tr>
      <w:tr w:rsidR="00FE47FC" w:rsidRPr="000F7386" w14:paraId="6F86589F" w14:textId="77777777" w:rsidTr="00BB20EB">
        <w:trPr>
          <w:cnfStyle w:val="000000100000" w:firstRow="0" w:lastRow="0" w:firstColumn="0" w:lastColumn="0" w:oddVBand="0" w:evenVBand="0" w:oddHBand="1" w:evenHBand="0" w:firstRowFirstColumn="0" w:firstRowLastColumn="0" w:lastRowFirstColumn="0" w:lastRowLastColumn="0"/>
        </w:trPr>
        <w:tc>
          <w:tcPr>
            <w:tcW w:w="2330" w:type="dxa"/>
          </w:tcPr>
          <w:p w14:paraId="263E3454" w14:textId="77777777" w:rsidR="00FE47FC" w:rsidRPr="000F7386" w:rsidRDefault="00FE47FC" w:rsidP="00BB20EB">
            <w:pPr>
              <w:rPr>
                <w:noProof/>
              </w:rPr>
            </w:pPr>
            <w:r w:rsidRPr="000F7386">
              <w:rPr>
                <w:noProof/>
              </w:rPr>
              <w:t>Coverage of EU territory by surveys for pests not known to occur within that territory</w:t>
            </w:r>
          </w:p>
        </w:tc>
        <w:tc>
          <w:tcPr>
            <w:tcW w:w="1100" w:type="dxa"/>
          </w:tcPr>
          <w:p w14:paraId="3B6A3D5A" w14:textId="77777777" w:rsidR="00FE47FC" w:rsidRPr="000F7386" w:rsidRDefault="00FE47FC" w:rsidP="00BB20EB">
            <w:pPr>
              <w:jc w:val="center"/>
              <w:rPr>
                <w:rFonts w:ascii="Times New Roman" w:eastAsia="Times New Roman" w:hAnsi="Times New Roman" w:cs="Times New Roman"/>
                <w:noProof/>
                <w:sz w:val="20"/>
                <w:szCs w:val="20"/>
              </w:rPr>
            </w:pPr>
            <w:r w:rsidRPr="000F7386">
              <w:rPr>
                <w:noProof/>
              </w:rPr>
              <w:t>50%</w:t>
            </w:r>
          </w:p>
        </w:tc>
        <w:tc>
          <w:tcPr>
            <w:tcW w:w="1526" w:type="dxa"/>
          </w:tcPr>
          <w:p w14:paraId="75C0806E" w14:textId="77777777" w:rsidR="00FE47FC" w:rsidRPr="000F7386" w:rsidRDefault="00FE47FC" w:rsidP="00BB20EB">
            <w:pPr>
              <w:jc w:val="center"/>
              <w:rPr>
                <w:b/>
                <w:noProof/>
              </w:rPr>
            </w:pPr>
            <w:r w:rsidRPr="000F7386">
              <w:rPr>
                <w:noProof/>
              </w:rPr>
              <w:t>80%</w:t>
            </w:r>
          </w:p>
        </w:tc>
        <w:tc>
          <w:tcPr>
            <w:tcW w:w="1532" w:type="dxa"/>
          </w:tcPr>
          <w:p w14:paraId="750BFAE3" w14:textId="77777777" w:rsidR="00FE47FC" w:rsidRPr="000F7386" w:rsidRDefault="00FE47FC" w:rsidP="00BB20EB">
            <w:pPr>
              <w:jc w:val="center"/>
              <w:rPr>
                <w:noProof/>
              </w:rPr>
            </w:pPr>
            <w:r w:rsidRPr="000F7386">
              <w:rPr>
                <w:noProof/>
              </w:rPr>
              <w:t>100% in 2020</w:t>
            </w:r>
          </w:p>
        </w:tc>
        <w:tc>
          <w:tcPr>
            <w:tcW w:w="1572" w:type="dxa"/>
          </w:tcPr>
          <w:p w14:paraId="67A4CB47" w14:textId="77777777" w:rsidR="00FE47FC" w:rsidRPr="000F7386" w:rsidRDefault="00FE47FC" w:rsidP="00BB20EB">
            <w:pPr>
              <w:jc w:val="center"/>
              <w:rPr>
                <w:noProof/>
              </w:rPr>
            </w:pPr>
            <w:r w:rsidRPr="000F7386">
              <w:rPr>
                <w:noProof/>
              </w:rPr>
              <w:t>90% compared to a target of 100%</w:t>
            </w:r>
          </w:p>
        </w:tc>
        <w:tc>
          <w:tcPr>
            <w:tcW w:w="1579" w:type="dxa"/>
          </w:tcPr>
          <w:p w14:paraId="38174387" w14:textId="77777777" w:rsidR="00FE47FC" w:rsidRPr="000F7386" w:rsidRDefault="00FE47FC" w:rsidP="00BB20EB">
            <w:pPr>
              <w:jc w:val="center"/>
              <w:rPr>
                <w:rFonts w:eastAsia="EC Square Sans Pro" w:cs="EC Square Sans Pro"/>
                <w:noProof/>
              </w:rPr>
            </w:pPr>
            <w:r w:rsidRPr="000F7386">
              <w:rPr>
                <w:noProof/>
              </w:rPr>
              <w:t>On track</w:t>
            </w:r>
          </w:p>
        </w:tc>
      </w:tr>
    </w:tbl>
    <w:p w14:paraId="1002D003" w14:textId="77777777" w:rsidR="00FE47FC" w:rsidRPr="000F7386" w:rsidRDefault="00FE47FC" w:rsidP="00FE47FC">
      <w:pPr>
        <w:pStyle w:val="FootnoteText"/>
        <w:rPr>
          <w:noProof/>
        </w:rPr>
      </w:pPr>
      <w:r w:rsidRPr="000F7386">
        <w:rPr>
          <w:noProof/>
        </w:rPr>
        <w:t>(*) % of target achieved by the end of 2021.</w:t>
      </w:r>
    </w:p>
    <w:p w14:paraId="56F2CD7E" w14:textId="77777777" w:rsidR="00FE47FC" w:rsidRPr="000F7386" w:rsidRDefault="00FE47FC" w:rsidP="00FE47FC">
      <w:pPr>
        <w:pStyle w:val="ppoListHyphened-L1"/>
        <w:rPr>
          <w:noProof/>
        </w:rPr>
      </w:pPr>
      <w:r w:rsidRPr="000F7386">
        <w:rPr>
          <w:noProof/>
        </w:rPr>
        <w:t>Among the important achievements in the area of food and feed (a high level of health for humans, animals and plants), it is worth noting the dramatic reduction of both food-borne salmonellosis in humans and classical bovine spongiform encephalopathy</w:t>
      </w:r>
      <w:r w:rsidRPr="000F7386" w:rsidDel="00C831CE">
        <w:rPr>
          <w:noProof/>
        </w:rPr>
        <w:t xml:space="preserve"> </w:t>
      </w:r>
      <w:r w:rsidRPr="000F7386">
        <w:rPr>
          <w:noProof/>
        </w:rPr>
        <w:t>(mad cow disease, which has almost disappeared). Lumpy skin disease, an emerging disease of cattle, has also been controlled effectively, with no outbreaks in south-eastern Europe since 2017.</w:t>
      </w:r>
    </w:p>
    <w:p w14:paraId="3BC242C6" w14:textId="77777777" w:rsidR="00FE47FC" w:rsidRPr="000F7386" w:rsidRDefault="00FE47FC" w:rsidP="00FE47FC">
      <w:pPr>
        <w:pStyle w:val="ppoListHyphened-L1"/>
        <w:rPr>
          <w:noProof/>
        </w:rPr>
      </w:pPr>
      <w:r w:rsidRPr="000F7386">
        <w:rPr>
          <w:noProof/>
        </w:rPr>
        <w:t xml:space="preserve">In 2014-2020, the European Court of Auditors published several reports assessing the implementation of the food and feed programme. In </w:t>
      </w:r>
      <w:r w:rsidRPr="00604528">
        <w:rPr>
          <w:i/>
          <w:iCs/>
          <w:noProof/>
        </w:rPr>
        <w:t>Chemical Hazards in Our Food</w:t>
      </w:r>
      <w:r w:rsidRPr="00604528">
        <w:rPr>
          <w:rFonts w:ascii="Calibri" w:hAnsi="Calibri" w:cs="Calibri"/>
          <w:i/>
          <w:iCs/>
          <w:noProof/>
        </w:rPr>
        <w:t> </w:t>
      </w:r>
      <w:r w:rsidRPr="00604528">
        <w:rPr>
          <w:i/>
          <w:iCs/>
          <w:noProof/>
        </w:rPr>
        <w:t>– Special report 02/2019</w:t>
      </w:r>
      <w:r w:rsidRPr="000F7386">
        <w:rPr>
          <w:noProof/>
        </w:rPr>
        <w:t>, the Court emphasised that the EU’s food safety model in respect of chemicals is considered a point of reference, and that it is soundly based and respected. On 26</w:t>
      </w:r>
      <w:r w:rsidRPr="000F7386">
        <w:rPr>
          <w:rFonts w:ascii="Calibri" w:hAnsi="Calibri" w:cs="Calibri"/>
          <w:noProof/>
        </w:rPr>
        <w:t> </w:t>
      </w:r>
      <w:r w:rsidRPr="000F7386">
        <w:rPr>
          <w:noProof/>
        </w:rPr>
        <w:t xml:space="preserve">April 2016, the Court published </w:t>
      </w:r>
      <w:r w:rsidRPr="00604528">
        <w:rPr>
          <w:i/>
          <w:iCs/>
          <w:noProof/>
        </w:rPr>
        <w:t>Dealing with serious cross-border threats to health in the EU</w:t>
      </w:r>
      <w:r w:rsidRPr="00604528">
        <w:rPr>
          <w:rFonts w:ascii="Calibri" w:hAnsi="Calibri" w:cs="Calibri"/>
          <w:i/>
          <w:iCs/>
          <w:noProof/>
        </w:rPr>
        <w:t> </w:t>
      </w:r>
      <w:r w:rsidRPr="00604528">
        <w:rPr>
          <w:i/>
          <w:iCs/>
          <w:noProof/>
        </w:rPr>
        <w:t>– Special report 28/2016</w:t>
      </w:r>
      <w:r w:rsidRPr="000F7386">
        <w:rPr>
          <w:noProof/>
        </w:rPr>
        <w:t xml:space="preserve"> on a performance audit on animal disease eradication programmes, and drew positive conclusions on DG Health and Food Safety’s management of the programmes. All of the Court’s recommendations referred to actions that were already ongoing, and all of them have already been finalised.</w:t>
      </w:r>
    </w:p>
    <w:p w14:paraId="26888444" w14:textId="0ADC2130" w:rsidR="00FE47FC" w:rsidRPr="000F7386" w:rsidRDefault="00FE47FC" w:rsidP="00FE47FC">
      <w:pPr>
        <w:pStyle w:val="ppoListHyphened-L1"/>
        <w:rPr>
          <w:noProof/>
        </w:rPr>
      </w:pPr>
      <w:r w:rsidRPr="000F7386">
        <w:rPr>
          <w:noProof/>
        </w:rPr>
        <w:t xml:space="preserve">In 2021, the Court of Auditors carried out a follow-up review of its report </w:t>
      </w:r>
      <w:r w:rsidRPr="00604528">
        <w:rPr>
          <w:i/>
          <w:iCs/>
          <w:noProof/>
        </w:rPr>
        <w:t xml:space="preserve">Animal </w:t>
      </w:r>
      <w:r w:rsidRPr="000F7386">
        <w:rPr>
          <w:i/>
          <w:iCs/>
          <w:noProof/>
        </w:rPr>
        <w:t>W</w:t>
      </w:r>
      <w:r w:rsidRPr="00604528">
        <w:rPr>
          <w:i/>
          <w:iCs/>
          <w:noProof/>
        </w:rPr>
        <w:t>elfare in the EU</w:t>
      </w:r>
      <w:r w:rsidRPr="000F7386">
        <w:rPr>
          <w:rFonts w:ascii="Calibri" w:hAnsi="Calibri" w:cs="Calibri"/>
          <w:i/>
          <w:iCs/>
          <w:noProof/>
        </w:rPr>
        <w:t> </w:t>
      </w:r>
      <w:r w:rsidRPr="000F7386">
        <w:rPr>
          <w:i/>
          <w:iCs/>
          <w:noProof/>
        </w:rPr>
        <w:t xml:space="preserve">– Special report </w:t>
      </w:r>
      <w:r w:rsidRPr="00604528">
        <w:rPr>
          <w:i/>
          <w:iCs/>
          <w:noProof/>
        </w:rPr>
        <w:t>31/2018</w:t>
      </w:r>
      <w:r w:rsidRPr="000F7386">
        <w:rPr>
          <w:noProof/>
        </w:rPr>
        <w:t>. Based on the preliminary findings presented in the clearing letter (CL-13193) received on 12</w:t>
      </w:r>
      <w:r w:rsidRPr="000F7386">
        <w:rPr>
          <w:rFonts w:ascii="Calibri" w:hAnsi="Calibri" w:cs="Calibri"/>
          <w:noProof/>
        </w:rPr>
        <w:t> </w:t>
      </w:r>
      <w:r w:rsidRPr="000F7386">
        <w:rPr>
          <w:noProof/>
        </w:rPr>
        <w:t>January 2022, three recommendations were implemented in a timely manner by DG Health and Food Safety and two recommendations face a delay in implementation due to the decision to launch a fitness check in 2020, which is relevant for the revision of EU animal welfare legislation (</w:t>
      </w:r>
      <w:hyperlink r:id="rId147" w:history="1">
        <w:r w:rsidRPr="00DA6928">
          <w:rPr>
            <w:rStyle w:val="Hyperlink"/>
            <w:noProof/>
          </w:rPr>
          <w:t>https://europa.eu/!drdwmd</w:t>
        </w:r>
      </w:hyperlink>
      <w:r w:rsidRPr="000F7386">
        <w:rPr>
          <w:noProof/>
        </w:rPr>
        <w:t xml:space="preserve">). </w:t>
      </w:r>
    </w:p>
    <w:p w14:paraId="5E46F27A" w14:textId="77777777" w:rsidR="00FE47FC" w:rsidRPr="000F7386" w:rsidRDefault="00FE47FC" w:rsidP="00FE47FC">
      <w:pPr>
        <w:pStyle w:val="ppoListHyphened-L1"/>
        <w:rPr>
          <w:noProof/>
        </w:rPr>
      </w:pPr>
      <w:r w:rsidRPr="000F7386">
        <w:rPr>
          <w:noProof/>
        </w:rPr>
        <w:t xml:space="preserve">The food and feed programme has contributed to the improvement of animal welfare through </w:t>
      </w:r>
      <w:bookmarkStart w:id="77" w:name="_Hlk101783551"/>
      <w:r w:rsidRPr="000F7386">
        <w:rPr>
          <w:noProof/>
        </w:rPr>
        <w:t xml:space="preserve">its financial support for courses on </w:t>
      </w:r>
      <w:bookmarkStart w:id="78" w:name="_Hlk101783492"/>
      <w:bookmarkStart w:id="79" w:name="_Hlk101783402"/>
      <w:bookmarkEnd w:id="77"/>
      <w:r w:rsidRPr="000F7386">
        <w:rPr>
          <w:noProof/>
        </w:rPr>
        <w:t xml:space="preserve">better training for safer food </w:t>
      </w:r>
      <w:bookmarkEnd w:id="78"/>
      <w:r w:rsidRPr="000F7386">
        <w:rPr>
          <w:noProof/>
        </w:rPr>
        <w:t>in this area in several countries</w:t>
      </w:r>
      <w:bookmarkEnd w:id="79"/>
      <w:r w:rsidRPr="000F7386">
        <w:rPr>
          <w:noProof/>
        </w:rPr>
        <w:t>. This has</w:t>
      </w:r>
      <w:r w:rsidRPr="000F7386">
        <w:rPr>
          <w:rFonts w:ascii="Calibri" w:hAnsi="Calibri" w:cs="Calibri"/>
          <w:noProof/>
        </w:rPr>
        <w:t xml:space="preserve"> </w:t>
      </w:r>
      <w:r w:rsidRPr="000F7386">
        <w:rPr>
          <w:noProof/>
        </w:rPr>
        <w:t>led</w:t>
      </w:r>
      <w:r w:rsidRPr="000F7386">
        <w:rPr>
          <w:rFonts w:ascii="Calibri" w:hAnsi="Calibri" w:cs="Calibri"/>
          <w:noProof/>
        </w:rPr>
        <w:t xml:space="preserve"> </w:t>
      </w:r>
      <w:r w:rsidRPr="000F7386">
        <w:rPr>
          <w:noProof/>
        </w:rPr>
        <w:t xml:space="preserve">to improvements in this sector, as stated by the Court of Auditors, which emphasised in </w:t>
      </w:r>
      <w:r w:rsidRPr="000F7386">
        <w:rPr>
          <w:i/>
          <w:iCs/>
          <w:noProof/>
        </w:rPr>
        <w:t>Animal Welfare in the EU</w:t>
      </w:r>
      <w:r w:rsidRPr="000F7386">
        <w:rPr>
          <w:rFonts w:ascii="Calibri" w:hAnsi="Calibri" w:cs="Calibri"/>
          <w:i/>
          <w:iCs/>
          <w:noProof/>
        </w:rPr>
        <w:t> </w:t>
      </w:r>
      <w:r w:rsidRPr="000F7386">
        <w:rPr>
          <w:i/>
          <w:iCs/>
          <w:noProof/>
        </w:rPr>
        <w:t xml:space="preserve">– Special report 31/2018 </w:t>
      </w:r>
      <w:r w:rsidRPr="000F7386">
        <w:rPr>
          <w:noProof/>
        </w:rPr>
        <w:t>that EU action on animal welfare has improved compliance with the EU’s requirements and has supported higher standards, with a clear positive impact on animal welfare.</w:t>
      </w:r>
    </w:p>
    <w:p w14:paraId="62D120FD" w14:textId="77777777" w:rsidR="00FE47FC" w:rsidRPr="000F7386" w:rsidRDefault="00FE47FC" w:rsidP="00FE47FC">
      <w:pPr>
        <w:pStyle w:val="ppoListHyphened-L1"/>
        <w:rPr>
          <w:noProof/>
        </w:rPr>
      </w:pPr>
      <w:r w:rsidRPr="000F7386">
        <w:rPr>
          <w:noProof/>
        </w:rPr>
        <w:t>In 2019, the Internal Audit Service requested that DG Health and Food Safety further improve and simplify the financial management of the veterinary and phytosanitary programmes. In the light of this process, DG Health and Food Safety signed an administrative arrangement with the Joint Research Centre of the Commission to develop new methodologies for the calculation of unit costs in both areas. The work has suffered slight delays because of the COVID-19 situation, but the final report on the review of the methodology for unit costs in the veterinary area was submitted by the Joint Research Centre</w:t>
      </w:r>
      <w:r w:rsidRPr="000F7386" w:rsidDel="00124211">
        <w:rPr>
          <w:noProof/>
        </w:rPr>
        <w:t xml:space="preserve"> </w:t>
      </w:r>
      <w:r w:rsidRPr="000F7386">
        <w:rPr>
          <w:noProof/>
        </w:rPr>
        <w:t>to DG Health and Food Safety in March 2021. At the same time, the report for phase</w:t>
      </w:r>
      <w:r w:rsidRPr="000F7386">
        <w:rPr>
          <w:rFonts w:ascii="Calibri" w:hAnsi="Calibri" w:cs="Calibri"/>
          <w:noProof/>
        </w:rPr>
        <w:t> </w:t>
      </w:r>
      <w:r w:rsidRPr="000F7386">
        <w:rPr>
          <w:noProof/>
        </w:rPr>
        <w:t>1 concerning a new methodology for the calculation of unit costs for sampling activities in the phytosanitary area (where no such approach existed) was also submitted by the Joint Research Centre. DG Health and Food Safety intends to apply both methodologies in the near future.</w:t>
      </w:r>
    </w:p>
    <w:p w14:paraId="0BEB6E9E" w14:textId="77777777" w:rsidR="00FE47FC" w:rsidRPr="000F7386" w:rsidRDefault="00FE47FC" w:rsidP="00FE47FC">
      <w:pPr>
        <w:pStyle w:val="ppoListHyphened-L1"/>
        <w:rPr>
          <w:noProof/>
        </w:rPr>
      </w:pPr>
      <w:r w:rsidRPr="000F7386">
        <w:rPr>
          <w:noProof/>
        </w:rPr>
        <w:t>The Commission acknowledges the existence of backlogs, especially in the area of regulated food ingredients, and is working to enhance its procedures for the monitoring and enforcement of all food and health legislation, which will cover the follow-up to recommendations arising from Commission audits.</w:t>
      </w:r>
    </w:p>
    <w:p w14:paraId="61FF5BAB" w14:textId="77777777" w:rsidR="00FE47FC" w:rsidRPr="000F7386" w:rsidRDefault="00FE47FC" w:rsidP="00FE47FC">
      <w:pPr>
        <w:pStyle w:val="ppoListHyphened-L1"/>
        <w:rPr>
          <w:noProof/>
        </w:rPr>
      </w:pPr>
      <w:r w:rsidRPr="000F7386">
        <w:rPr>
          <w:noProof/>
        </w:rPr>
        <w:t xml:space="preserve">Currently, the final </w:t>
      </w:r>
      <w:r w:rsidRPr="000F7386">
        <w:rPr>
          <w:i/>
          <w:iCs/>
          <w:noProof/>
        </w:rPr>
        <w:t>ex post</w:t>
      </w:r>
      <w:r w:rsidRPr="000F7386">
        <w:rPr>
          <w:noProof/>
        </w:rPr>
        <w:t xml:space="preserve"> evaluation of Regulation (EU) No</w:t>
      </w:r>
      <w:r w:rsidRPr="000F7386">
        <w:rPr>
          <w:rFonts w:ascii="Calibri" w:hAnsi="Calibri" w:cs="Calibri"/>
          <w:noProof/>
        </w:rPr>
        <w:t> </w:t>
      </w:r>
      <w:r w:rsidRPr="000F7386">
        <w:rPr>
          <w:noProof/>
        </w:rPr>
        <w:t>652/2014 is ongoing, following the legal obligation under the EU’s financial rules (Regulation (EU, Euratom) 2018/1046) on performing retrospective evaluations of programmes and activities that entail significant spending in order to assess the performance of the programme or activity.</w:t>
      </w:r>
    </w:p>
    <w:p w14:paraId="1C6C98C6" w14:textId="77777777" w:rsidR="00FE47FC" w:rsidRPr="000F7386" w:rsidRDefault="00FE47FC" w:rsidP="00FE47FC">
      <w:pPr>
        <w:pStyle w:val="ppoListHyphened-L1"/>
        <w:rPr>
          <w:noProof/>
        </w:rPr>
      </w:pPr>
      <w:r w:rsidRPr="000F7386">
        <w:rPr>
          <w:noProof/>
        </w:rPr>
        <w:br w:type="page"/>
      </w:r>
    </w:p>
    <w:p w14:paraId="0D2D9BC1" w14:textId="77777777" w:rsidR="00FE47FC" w:rsidRPr="000F7386" w:rsidRDefault="00FE47FC" w:rsidP="00FE47FC">
      <w:pPr>
        <w:pStyle w:val="ppoHeading4Orange"/>
        <w:rPr>
          <w:noProof/>
        </w:rPr>
      </w:pPr>
      <w:r w:rsidRPr="000F7386">
        <w:rPr>
          <w:noProof/>
        </w:rPr>
        <w:t>2014-2020 multiannual financial framework</w:t>
      </w:r>
      <w:r w:rsidRPr="000F7386">
        <w:rPr>
          <w:rFonts w:ascii="Calibri" w:hAnsi="Calibri" w:cs="Calibri"/>
          <w:noProof/>
        </w:rPr>
        <w:t> </w:t>
      </w:r>
      <w:r w:rsidRPr="000F7386">
        <w:rPr>
          <w:noProof/>
        </w:rPr>
        <w:t>– consumer programme</w:t>
      </w:r>
    </w:p>
    <w:p w14:paraId="29BCFAF4" w14:textId="77777777" w:rsidR="00FE47FC" w:rsidRPr="000F7386" w:rsidRDefault="00FE47FC" w:rsidP="00FE47FC">
      <w:pPr>
        <w:pStyle w:val="paragraph"/>
        <w:spacing w:before="0" w:beforeAutospacing="0" w:after="120" w:afterAutospacing="0"/>
        <w:jc w:val="both"/>
        <w:textAlignment w:val="baseline"/>
        <w:rPr>
          <w:rFonts w:ascii="EC Square Sans Pro" w:eastAsiaTheme="minorHAnsi" w:hAnsi="EC Square Sans Pro" w:cstheme="minorBidi"/>
          <w:noProof/>
          <w:sz w:val="22"/>
          <w:szCs w:val="22"/>
          <w:lang w:eastAsia="en-US"/>
        </w:rPr>
      </w:pPr>
      <w:r w:rsidRPr="000F7386">
        <w:rPr>
          <w:rFonts w:ascii="EC Square Sans Pro" w:eastAsiaTheme="minorHAnsi" w:hAnsi="EC Square Sans Pro" w:cstheme="minorBidi"/>
          <w:noProof/>
          <w:sz w:val="22"/>
          <w:szCs w:val="22"/>
          <w:lang w:eastAsia="en-US"/>
        </w:rPr>
        <w:t>The consumer programme promotes the interests of consumers and ensures a high level of product safety and consumer protection by empowering and assisting consumers, ensuring access to efficient redress mechanisms, supporting enforcement authorities and consumer organisations,</w:t>
      </w:r>
      <w:r w:rsidRPr="000F7386">
        <w:rPr>
          <w:rFonts w:ascii="Calibri" w:eastAsiaTheme="minorHAnsi" w:hAnsi="Calibri" w:cs="Calibri"/>
          <w:noProof/>
          <w:sz w:val="22"/>
          <w:szCs w:val="22"/>
          <w:lang w:eastAsia="en-US"/>
        </w:rPr>
        <w:t xml:space="preserve"> </w:t>
      </w:r>
      <w:r w:rsidRPr="000F7386">
        <w:rPr>
          <w:rFonts w:ascii="EC Square Sans Pro" w:eastAsiaTheme="minorHAnsi" w:hAnsi="EC Square Sans Pro" w:cstheme="minorBidi"/>
          <w:noProof/>
          <w:sz w:val="22"/>
          <w:szCs w:val="22"/>
          <w:lang w:eastAsia="en-US"/>
        </w:rPr>
        <w:t>enhancing the participation of consumers and other end users of financial services in financial services policymaking and promoting better understanding of the financial sector and the different forms of commercialised financial</w:t>
      </w:r>
      <w:r w:rsidRPr="000F7386">
        <w:rPr>
          <w:rFonts w:ascii="Calibri" w:eastAsiaTheme="minorHAnsi" w:hAnsi="Calibri" w:cs="Calibri"/>
          <w:noProof/>
          <w:sz w:val="22"/>
          <w:szCs w:val="22"/>
          <w:lang w:eastAsia="en-US"/>
        </w:rPr>
        <w:t xml:space="preserve"> </w:t>
      </w:r>
      <w:r w:rsidRPr="000F7386">
        <w:rPr>
          <w:rFonts w:ascii="EC Square Sans Pro" w:eastAsiaTheme="minorHAnsi" w:hAnsi="EC Square Sans Pro" w:cstheme="minorBidi"/>
          <w:noProof/>
          <w:sz w:val="22"/>
          <w:szCs w:val="22"/>
          <w:lang w:eastAsia="en-US"/>
        </w:rPr>
        <w:t>products.</w:t>
      </w:r>
    </w:p>
    <w:p w14:paraId="51F43330" w14:textId="77777777" w:rsidR="00FE47FC" w:rsidRPr="000F7386" w:rsidRDefault="00FE47FC" w:rsidP="00FE47FC">
      <w:pPr>
        <w:pStyle w:val="ppoHeading5"/>
        <w:rPr>
          <w:noProof/>
        </w:rPr>
      </w:pPr>
      <w:r w:rsidRPr="000F7386">
        <w:rPr>
          <w:noProof/>
        </w:rPr>
        <w:t>Budget</w:t>
      </w:r>
    </w:p>
    <w:p w14:paraId="205C9C65" w14:textId="77777777" w:rsidR="00FE47FC" w:rsidRPr="000F7386" w:rsidRDefault="00FE47FC" w:rsidP="00FE47FC">
      <w:pPr>
        <w:pStyle w:val="ppoTableTabletitle"/>
        <w:rPr>
          <w:noProof/>
        </w:rPr>
      </w:pPr>
      <w:r w:rsidRPr="000F7386">
        <w:rPr>
          <w:noProof/>
        </w:rPr>
        <w:t>Cumulative implementation rate at the end of 2021 (EUR million):</w:t>
      </w:r>
    </w:p>
    <w:tbl>
      <w:tblPr>
        <w:tblStyle w:val="PPO2021"/>
        <w:tblW w:w="9639" w:type="dxa"/>
        <w:tblInd w:w="0" w:type="dxa"/>
        <w:tblLook w:val="06A0" w:firstRow="1" w:lastRow="0" w:firstColumn="1" w:lastColumn="0" w:noHBand="1" w:noVBand="1"/>
      </w:tblPr>
      <w:tblGrid>
        <w:gridCol w:w="2409"/>
        <w:gridCol w:w="2410"/>
        <w:gridCol w:w="2410"/>
        <w:gridCol w:w="2410"/>
      </w:tblGrid>
      <w:tr w:rsidR="00FE47FC" w:rsidRPr="000F7386" w14:paraId="6FAACD40" w14:textId="77777777" w:rsidTr="00BB2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1BE88E02" w14:textId="77777777" w:rsidR="00FE47FC" w:rsidRPr="000F7386" w:rsidRDefault="00FE47FC" w:rsidP="00BB20EB">
            <w:pPr>
              <w:rPr>
                <w:noProof/>
              </w:rPr>
            </w:pPr>
          </w:p>
        </w:tc>
        <w:tc>
          <w:tcPr>
            <w:tcW w:w="2410" w:type="dxa"/>
          </w:tcPr>
          <w:p w14:paraId="439CA8DC" w14:textId="77777777" w:rsidR="00FE47FC" w:rsidRPr="000F7386" w:rsidRDefault="00FE47FC" w:rsidP="00BB20EB">
            <w:pPr>
              <w:cnfStyle w:val="100000000000" w:firstRow="1" w:lastRow="0" w:firstColumn="0" w:lastColumn="0" w:oddVBand="0" w:evenVBand="0" w:oddHBand="0" w:evenHBand="0" w:firstRowFirstColumn="0" w:firstRowLastColumn="0" w:lastRowFirstColumn="0" w:lastRowLastColumn="0"/>
              <w:rPr>
                <w:noProof/>
              </w:rPr>
            </w:pPr>
            <w:r w:rsidRPr="000F7386">
              <w:rPr>
                <w:noProof/>
              </w:rPr>
              <w:t>Implementation</w:t>
            </w:r>
          </w:p>
        </w:tc>
        <w:tc>
          <w:tcPr>
            <w:tcW w:w="2410" w:type="dxa"/>
          </w:tcPr>
          <w:p w14:paraId="6C06DA5C" w14:textId="0FBBB633" w:rsidR="00FE47FC" w:rsidRPr="000F7386" w:rsidRDefault="001F4CBC" w:rsidP="00BB20EB">
            <w:pPr>
              <w:cnfStyle w:val="100000000000" w:firstRow="1" w:lastRow="0" w:firstColumn="0" w:lastColumn="0" w:oddVBand="0" w:evenVBand="0" w:oddHBand="0" w:evenHBand="0" w:firstRowFirstColumn="0" w:firstRowLastColumn="0" w:lastRowFirstColumn="0" w:lastRowLastColumn="0"/>
              <w:rPr>
                <w:noProof/>
              </w:rPr>
            </w:pPr>
            <w:r>
              <w:rPr>
                <w:noProof/>
              </w:rPr>
              <w:t xml:space="preserve">2014-2020 </w:t>
            </w:r>
            <w:r w:rsidRPr="00885241">
              <w:rPr>
                <w:noProof/>
              </w:rPr>
              <w:t>Budget</w:t>
            </w:r>
          </w:p>
        </w:tc>
        <w:tc>
          <w:tcPr>
            <w:tcW w:w="2410" w:type="dxa"/>
          </w:tcPr>
          <w:p w14:paraId="5DF3DE7A" w14:textId="77777777" w:rsidR="00FE47FC" w:rsidRPr="000F7386" w:rsidRDefault="00FE47FC" w:rsidP="00BB20EB">
            <w:pPr>
              <w:cnfStyle w:val="100000000000" w:firstRow="1" w:lastRow="0" w:firstColumn="0" w:lastColumn="0" w:oddVBand="0" w:evenVBand="0" w:oddHBand="0" w:evenHBand="0" w:firstRowFirstColumn="0" w:firstRowLastColumn="0" w:lastRowFirstColumn="0" w:lastRowLastColumn="0"/>
              <w:rPr>
                <w:noProof/>
              </w:rPr>
            </w:pPr>
            <w:r w:rsidRPr="000F7386">
              <w:rPr>
                <w:noProof/>
              </w:rPr>
              <w:t>Implementation rate</w:t>
            </w:r>
          </w:p>
        </w:tc>
      </w:tr>
      <w:tr w:rsidR="00FE47FC" w:rsidRPr="000F7386" w14:paraId="18966ECE" w14:textId="77777777" w:rsidTr="00BB20EB">
        <w:tc>
          <w:tcPr>
            <w:cnfStyle w:val="001000000000" w:firstRow="0" w:lastRow="0" w:firstColumn="1" w:lastColumn="0" w:oddVBand="0" w:evenVBand="0" w:oddHBand="0" w:evenHBand="0" w:firstRowFirstColumn="0" w:firstRowLastColumn="0" w:lastRowFirstColumn="0" w:lastRowLastColumn="0"/>
            <w:tcW w:w="2409" w:type="dxa"/>
          </w:tcPr>
          <w:p w14:paraId="069115C7" w14:textId="77777777" w:rsidR="00FE47FC" w:rsidRPr="000F7386" w:rsidRDefault="00FE47FC" w:rsidP="00BB20EB">
            <w:pPr>
              <w:jc w:val="center"/>
              <w:rPr>
                <w:noProof/>
              </w:rPr>
            </w:pPr>
            <w:r w:rsidRPr="000F7386">
              <w:rPr>
                <w:noProof/>
              </w:rPr>
              <w:t>Commitments</w:t>
            </w:r>
          </w:p>
        </w:tc>
        <w:tc>
          <w:tcPr>
            <w:tcW w:w="2410" w:type="dxa"/>
          </w:tcPr>
          <w:tbl>
            <w:tblPr>
              <w:tblStyle w:val="TableGrid"/>
              <w:tblW w:w="0" w:type="auto"/>
              <w:tblLook w:val="06A0" w:firstRow="1" w:lastRow="0" w:firstColumn="1" w:lastColumn="0" w:noHBand="1" w:noVBand="1"/>
            </w:tblPr>
            <w:tblGrid>
              <w:gridCol w:w="2194"/>
            </w:tblGrid>
            <w:tr w:rsidR="00FE47FC" w:rsidRPr="000F7386" w14:paraId="36F939EE" w14:textId="77777777" w:rsidTr="00BB20EB">
              <w:trPr>
                <w:trHeight w:val="285"/>
              </w:trPr>
              <w:tc>
                <w:tcPr>
                  <w:tcW w:w="2290" w:type="dxa"/>
                  <w:tcBorders>
                    <w:top w:val="nil"/>
                    <w:left w:val="nil"/>
                    <w:bottom w:val="nil"/>
                    <w:right w:val="nil"/>
                  </w:tcBorders>
                  <w:vAlign w:val="bottom"/>
                </w:tcPr>
                <w:p w14:paraId="06FD1AC9" w14:textId="77777777" w:rsidR="00FE47FC" w:rsidRPr="000F7386" w:rsidRDefault="00FE47FC" w:rsidP="00BB20EB">
                  <w:pPr>
                    <w:jc w:val="right"/>
                    <w:rPr>
                      <w:noProof/>
                    </w:rPr>
                  </w:pPr>
                  <w:r w:rsidRPr="000F7386">
                    <w:rPr>
                      <w:rFonts w:ascii="Calibri" w:hAnsi="Calibri" w:cs="Calibri"/>
                      <w:noProof/>
                      <w:color w:val="000000"/>
                    </w:rPr>
                    <w:t>187.8</w:t>
                  </w:r>
                </w:p>
              </w:tc>
            </w:tr>
          </w:tbl>
          <w:p w14:paraId="1230400C" w14:textId="77777777" w:rsidR="00FE47FC" w:rsidRPr="000F7386" w:rsidRDefault="00FE47FC"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FE47FC" w:rsidRPr="000F7386" w14:paraId="3E339D7E" w14:textId="77777777" w:rsidTr="00BB20EB">
              <w:trPr>
                <w:trHeight w:val="285"/>
              </w:trPr>
              <w:tc>
                <w:tcPr>
                  <w:tcW w:w="2290" w:type="dxa"/>
                  <w:tcBorders>
                    <w:top w:val="nil"/>
                    <w:left w:val="nil"/>
                    <w:bottom w:val="nil"/>
                    <w:right w:val="nil"/>
                  </w:tcBorders>
                  <w:vAlign w:val="bottom"/>
                </w:tcPr>
                <w:p w14:paraId="6015C501" w14:textId="77777777" w:rsidR="00FE47FC" w:rsidRPr="000F7386" w:rsidRDefault="00FE47FC" w:rsidP="00BB20EB">
                  <w:pPr>
                    <w:jc w:val="right"/>
                    <w:rPr>
                      <w:noProof/>
                    </w:rPr>
                  </w:pPr>
                  <w:r w:rsidRPr="000F7386">
                    <w:rPr>
                      <w:rFonts w:ascii="Calibri" w:hAnsi="Calibri" w:cs="Calibri"/>
                      <w:noProof/>
                      <w:color w:val="000000"/>
                    </w:rPr>
                    <w:t>188.4</w:t>
                  </w:r>
                </w:p>
              </w:tc>
            </w:tr>
          </w:tbl>
          <w:p w14:paraId="5D2DB45A" w14:textId="77777777" w:rsidR="00FE47FC" w:rsidRPr="000F7386" w:rsidRDefault="00FE47FC"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FE47FC" w:rsidRPr="000F7386" w14:paraId="115F12DF" w14:textId="77777777" w:rsidTr="00BB20EB">
              <w:trPr>
                <w:trHeight w:val="285"/>
              </w:trPr>
              <w:tc>
                <w:tcPr>
                  <w:tcW w:w="2290" w:type="dxa"/>
                  <w:tcBorders>
                    <w:top w:val="nil"/>
                    <w:left w:val="nil"/>
                    <w:bottom w:val="nil"/>
                    <w:right w:val="nil"/>
                  </w:tcBorders>
                  <w:vAlign w:val="bottom"/>
                </w:tcPr>
                <w:p w14:paraId="3D6CC8C5" w14:textId="77777777" w:rsidR="00FE47FC" w:rsidRPr="000F7386" w:rsidRDefault="00FE47FC" w:rsidP="00BB20EB">
                  <w:pPr>
                    <w:jc w:val="right"/>
                    <w:rPr>
                      <w:noProof/>
                    </w:rPr>
                  </w:pPr>
                  <w:r w:rsidRPr="000F7386">
                    <w:rPr>
                      <w:rFonts w:ascii="Calibri" w:hAnsi="Calibri" w:cs="Calibri"/>
                      <w:noProof/>
                      <w:color w:val="000000"/>
                    </w:rPr>
                    <w:t>100%</w:t>
                  </w:r>
                </w:p>
              </w:tc>
            </w:tr>
          </w:tbl>
          <w:p w14:paraId="0763BEAC" w14:textId="77777777" w:rsidR="00FE47FC" w:rsidRPr="000F7386" w:rsidRDefault="00FE47FC" w:rsidP="00BB20EB">
            <w:pPr>
              <w:jc w:val="center"/>
              <w:cnfStyle w:val="000000000000" w:firstRow="0" w:lastRow="0" w:firstColumn="0" w:lastColumn="0" w:oddVBand="0" w:evenVBand="0" w:oddHBand="0" w:evenHBand="0" w:firstRowFirstColumn="0" w:firstRowLastColumn="0" w:lastRowFirstColumn="0" w:lastRowLastColumn="0"/>
              <w:rPr>
                <w:noProof/>
              </w:rPr>
            </w:pPr>
          </w:p>
        </w:tc>
      </w:tr>
      <w:tr w:rsidR="00FE47FC" w:rsidRPr="000F7386" w14:paraId="434AA5AA" w14:textId="77777777" w:rsidTr="00BB20EB">
        <w:tc>
          <w:tcPr>
            <w:cnfStyle w:val="001000000000" w:firstRow="0" w:lastRow="0" w:firstColumn="1" w:lastColumn="0" w:oddVBand="0" w:evenVBand="0" w:oddHBand="0" w:evenHBand="0" w:firstRowFirstColumn="0" w:firstRowLastColumn="0" w:lastRowFirstColumn="0" w:lastRowLastColumn="0"/>
            <w:tcW w:w="2409" w:type="dxa"/>
          </w:tcPr>
          <w:p w14:paraId="5E258FA7" w14:textId="77777777" w:rsidR="00FE47FC" w:rsidRPr="000F7386" w:rsidRDefault="00FE47FC" w:rsidP="00BB20EB">
            <w:pPr>
              <w:jc w:val="center"/>
              <w:rPr>
                <w:noProof/>
              </w:rPr>
            </w:pPr>
            <w:r w:rsidRPr="000F7386">
              <w:rPr>
                <w:noProof/>
              </w:rPr>
              <w:t>Payments</w:t>
            </w:r>
          </w:p>
        </w:tc>
        <w:tc>
          <w:tcPr>
            <w:tcW w:w="2410" w:type="dxa"/>
          </w:tcPr>
          <w:tbl>
            <w:tblPr>
              <w:tblStyle w:val="TableGrid"/>
              <w:tblW w:w="0" w:type="auto"/>
              <w:tblLook w:val="06A0" w:firstRow="1" w:lastRow="0" w:firstColumn="1" w:lastColumn="0" w:noHBand="1" w:noVBand="1"/>
            </w:tblPr>
            <w:tblGrid>
              <w:gridCol w:w="2194"/>
            </w:tblGrid>
            <w:tr w:rsidR="00FE47FC" w:rsidRPr="000F7386" w14:paraId="71942CF8" w14:textId="77777777" w:rsidTr="00BB20EB">
              <w:trPr>
                <w:trHeight w:val="285"/>
              </w:trPr>
              <w:tc>
                <w:tcPr>
                  <w:tcW w:w="2290" w:type="dxa"/>
                  <w:tcBorders>
                    <w:top w:val="nil"/>
                    <w:left w:val="nil"/>
                    <w:bottom w:val="nil"/>
                    <w:right w:val="nil"/>
                  </w:tcBorders>
                  <w:vAlign w:val="bottom"/>
                </w:tcPr>
                <w:p w14:paraId="6204EA0F" w14:textId="77777777" w:rsidR="00FE47FC" w:rsidRPr="000F7386" w:rsidRDefault="00FE47FC" w:rsidP="00BB20EB">
                  <w:pPr>
                    <w:jc w:val="right"/>
                    <w:rPr>
                      <w:noProof/>
                    </w:rPr>
                  </w:pPr>
                  <w:r w:rsidRPr="000F7386">
                    <w:rPr>
                      <w:rFonts w:ascii="Calibri" w:hAnsi="Calibri" w:cs="Calibri"/>
                      <w:noProof/>
                      <w:color w:val="000000"/>
                    </w:rPr>
                    <w:t>161.9</w:t>
                  </w:r>
                </w:p>
              </w:tc>
            </w:tr>
          </w:tbl>
          <w:p w14:paraId="5C8E1908" w14:textId="77777777" w:rsidR="00FE47FC" w:rsidRPr="000F7386" w:rsidRDefault="00FE47FC"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52633A52" w14:textId="77777777" w:rsidR="00FE47FC" w:rsidRPr="000F7386" w:rsidRDefault="00FE47FC" w:rsidP="00BB20EB">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FE47FC" w:rsidRPr="000F7386" w14:paraId="684CBAF9" w14:textId="77777777" w:rsidTr="00BB20EB">
              <w:trPr>
                <w:trHeight w:val="285"/>
              </w:trPr>
              <w:tc>
                <w:tcPr>
                  <w:tcW w:w="2235" w:type="dxa"/>
                  <w:tcBorders>
                    <w:top w:val="nil"/>
                    <w:left w:val="nil"/>
                    <w:bottom w:val="nil"/>
                    <w:right w:val="nil"/>
                  </w:tcBorders>
                  <w:vAlign w:val="bottom"/>
                </w:tcPr>
                <w:p w14:paraId="43C143A4" w14:textId="77777777" w:rsidR="00FE47FC" w:rsidRPr="000F7386" w:rsidRDefault="00FE47FC" w:rsidP="00BB20EB">
                  <w:pPr>
                    <w:jc w:val="right"/>
                    <w:rPr>
                      <w:noProof/>
                    </w:rPr>
                  </w:pPr>
                  <w:r w:rsidRPr="000F7386">
                    <w:rPr>
                      <w:rFonts w:ascii="Calibri" w:hAnsi="Calibri" w:cs="Calibri"/>
                      <w:noProof/>
                      <w:color w:val="000000"/>
                    </w:rPr>
                    <w:t>86%</w:t>
                  </w:r>
                </w:p>
              </w:tc>
            </w:tr>
          </w:tbl>
          <w:p w14:paraId="62ADDED6" w14:textId="77777777" w:rsidR="00FE47FC" w:rsidRPr="000F7386" w:rsidRDefault="00FE47FC" w:rsidP="00BB20EB">
            <w:pPr>
              <w:jc w:val="center"/>
              <w:cnfStyle w:val="000000000000" w:firstRow="0" w:lastRow="0" w:firstColumn="0" w:lastColumn="0" w:oddVBand="0" w:evenVBand="0" w:oddHBand="0" w:evenHBand="0" w:firstRowFirstColumn="0" w:firstRowLastColumn="0" w:lastRowFirstColumn="0" w:lastRowLastColumn="0"/>
              <w:rPr>
                <w:noProof/>
              </w:rPr>
            </w:pPr>
          </w:p>
        </w:tc>
      </w:tr>
    </w:tbl>
    <w:p w14:paraId="21C23025" w14:textId="77777777" w:rsidR="00FE47FC" w:rsidRPr="000F7386" w:rsidRDefault="00FE47FC" w:rsidP="00FE47FC">
      <w:pPr>
        <w:pStyle w:val="ppoListHyphened-L1"/>
        <w:rPr>
          <w:noProof/>
        </w:rPr>
      </w:pPr>
      <w:r w:rsidRPr="000F7386">
        <w:rPr>
          <w:noProof/>
        </w:rPr>
        <w:t>The implementation of the 2014–2020 consumer programme is well on track, and at the end of 2021, all commitment appropriations (including the credits on the global commitment) were used according to the planned operational implementation.</w:t>
      </w:r>
    </w:p>
    <w:p w14:paraId="31BDB690" w14:textId="77777777" w:rsidR="00FE47FC" w:rsidRPr="000F7386" w:rsidRDefault="00FE47FC" w:rsidP="00FE47FC">
      <w:pPr>
        <w:pStyle w:val="ppoListHyphened-L1"/>
        <w:rPr>
          <w:noProof/>
        </w:rPr>
      </w:pPr>
      <w:r w:rsidRPr="000F7386">
        <w:rPr>
          <w:noProof/>
        </w:rPr>
        <w:t>In 2020 and 2021, following the impact of the COVID-19 crisis on some of the procurement activities (cancellation of meetings, conferences and study visits), the budget allocated to grants was slightly increased (within the 20% flexibility provided for in the financing decision), which allowed an increase in the overall implementation rate.</w:t>
      </w:r>
    </w:p>
    <w:p w14:paraId="561171DA" w14:textId="77777777" w:rsidR="00FE47FC" w:rsidRPr="000F7386" w:rsidRDefault="00FE47FC" w:rsidP="00FE47FC">
      <w:pPr>
        <w:pStyle w:val="ppoListHyphened-L1"/>
        <w:rPr>
          <w:noProof/>
        </w:rPr>
      </w:pPr>
      <w:r w:rsidRPr="000F7386">
        <w:rPr>
          <w:noProof/>
        </w:rPr>
        <w:t>The implementation of the payment appropriations over the 2014-2020 period represented 86% of the total commitment appropriations for that period. The payment appropriations will continue to be executed in the years to come (estimated until 2023) to allow for the finalisation of ongoing projects relating to grants and procurement activities. They mainly concern multiannual activities</w:t>
      </w:r>
      <w:r w:rsidRPr="000F7386">
        <w:rPr>
          <w:rFonts w:cs="Arial"/>
          <w:noProof/>
        </w:rPr>
        <w:t xml:space="preserve"> </w:t>
      </w:r>
      <w:r w:rsidRPr="000F7386">
        <w:rPr>
          <w:noProof/>
        </w:rPr>
        <w:t>that are still in progress or are in the finalisation phase.</w:t>
      </w:r>
    </w:p>
    <w:p w14:paraId="7649933B" w14:textId="77777777" w:rsidR="00FE47FC" w:rsidRPr="000F7386" w:rsidRDefault="00FE47FC" w:rsidP="00FE47FC">
      <w:pPr>
        <w:pStyle w:val="ppoHeading5"/>
        <w:rPr>
          <w:noProof/>
        </w:rPr>
      </w:pPr>
      <w:r w:rsidRPr="000F7386">
        <w:rPr>
          <w:noProof/>
        </w:rPr>
        <w:t>Performance assessment</w:t>
      </w:r>
    </w:p>
    <w:p w14:paraId="7FA232DE" w14:textId="77777777" w:rsidR="00FE47FC" w:rsidRPr="000F7386" w:rsidRDefault="00FE47FC" w:rsidP="00FE47FC">
      <w:pPr>
        <w:pStyle w:val="ppoListHyphened-L1"/>
        <w:rPr>
          <w:noProof/>
        </w:rPr>
      </w:pPr>
      <w:r w:rsidRPr="000F7386">
        <w:rPr>
          <w:noProof/>
        </w:rPr>
        <w:t>The implementation of the consumer programme progressed well, producing significant results under the programme’s various specific objectives.</w:t>
      </w:r>
    </w:p>
    <w:p w14:paraId="30D16472" w14:textId="6CEB4EF3" w:rsidR="00331C96" w:rsidRPr="000F7386" w:rsidRDefault="00FE47FC" w:rsidP="00331C96">
      <w:pPr>
        <w:pStyle w:val="ppoListHyphened-L1"/>
        <w:rPr>
          <w:noProof/>
        </w:rPr>
      </w:pPr>
      <w:r w:rsidRPr="000F7386">
        <w:rPr>
          <w:noProof/>
        </w:rPr>
        <w:t xml:space="preserve">Cooperation between national authorities through Safety Gate </w:t>
      </w:r>
      <w:r w:rsidR="00331C96" w:rsidRPr="00F25013">
        <w:rPr>
          <w:noProof/>
        </w:rPr>
        <w:t>(</w:t>
      </w:r>
      <w:r w:rsidR="00331C96" w:rsidRPr="00F94E78">
        <w:rPr>
          <w:noProof/>
        </w:rPr>
        <w:t>the rapid alert system for dangerous non-food products)</w:t>
      </w:r>
      <w:r w:rsidR="00331C96" w:rsidRPr="000F7386">
        <w:rPr>
          <w:noProof/>
        </w:rPr>
        <w:t xml:space="preserve">  </w:t>
      </w:r>
      <w:r w:rsidRPr="000F7386">
        <w:rPr>
          <w:noProof/>
        </w:rPr>
        <w:t>has significantly increased over time since the system’s creation in 2003. The ratio of the number of reactions to the number of serious risk notifications increased from 0.90 in 2013 to</w:t>
      </w:r>
      <w:r w:rsidRPr="000F7386">
        <w:rPr>
          <w:rFonts w:cs="Arial"/>
          <w:noProof/>
        </w:rPr>
        <w:t xml:space="preserve"> </w:t>
      </w:r>
      <w:r w:rsidRPr="000F7386">
        <w:rPr>
          <w:noProof/>
        </w:rPr>
        <w:t>1.99</w:t>
      </w:r>
      <w:r w:rsidRPr="000F7386">
        <w:rPr>
          <w:rFonts w:cs="Arial"/>
          <w:noProof/>
        </w:rPr>
        <w:t xml:space="preserve"> </w:t>
      </w:r>
      <w:r w:rsidRPr="000F7386">
        <w:rPr>
          <w:noProof/>
        </w:rPr>
        <w:t>in 2021 (these very good statistics can be explained by the fact that a notification can trigger several reactions from authorities of other Member States). The number of notifications has now stabilised at the regular rate of around 2</w:t>
      </w:r>
      <w:r w:rsidRPr="000F7386">
        <w:rPr>
          <w:rFonts w:ascii="Calibri" w:hAnsi="Calibri" w:cs="Calibri"/>
          <w:noProof/>
        </w:rPr>
        <w:t> </w:t>
      </w:r>
      <w:r w:rsidRPr="000F7386">
        <w:rPr>
          <w:noProof/>
        </w:rPr>
        <w:t>000 per year.</w:t>
      </w:r>
      <w:r w:rsidR="00331C96" w:rsidRPr="00331C96">
        <w:rPr>
          <w:noProof/>
        </w:rPr>
        <w:t xml:space="preserve"> </w:t>
      </w:r>
      <w:r w:rsidR="00331C96" w:rsidRPr="00F25013">
        <w:rPr>
          <w:noProof/>
        </w:rPr>
        <w:t xml:space="preserve">Safety Gate has grown into an effective and important tool of the EU market surveillance that is internationally recognised. </w:t>
      </w:r>
      <w:r w:rsidR="00331C96">
        <w:rPr>
          <w:noProof/>
        </w:rPr>
        <w:t>It</w:t>
      </w:r>
      <w:r w:rsidR="00331C96" w:rsidRPr="00F25013">
        <w:rPr>
          <w:noProof/>
        </w:rPr>
        <w:t xml:space="preserve"> has also played an important role in tracing dangerous products announced as protecting against COVID-19 infections</w:t>
      </w:r>
    </w:p>
    <w:p w14:paraId="0C867958" w14:textId="6C073E3B" w:rsidR="00FE47FC" w:rsidRPr="000F7386" w:rsidRDefault="00331C96" w:rsidP="00331C96">
      <w:pPr>
        <w:pStyle w:val="ppoListHyphened-L1"/>
        <w:rPr>
          <w:noProof/>
        </w:rPr>
      </w:pPr>
      <w:r w:rsidRPr="00576A35">
        <w:rPr>
          <w:rStyle w:val="normaltextrun"/>
          <w:noProof/>
          <w:color w:val="000000"/>
        </w:rPr>
        <w:t>The ever-growing online offer of products makes it more and more challenging to monitor whether the dangerous banned from sale are removed from all online listings, and to make sure these products will not re-appear again at a later stage</w:t>
      </w:r>
      <w:r>
        <w:rPr>
          <w:rStyle w:val="normaltextrun"/>
          <w:noProof/>
          <w:color w:val="000000"/>
        </w:rPr>
        <w:t>.</w:t>
      </w:r>
    </w:p>
    <w:p w14:paraId="1DE9E0D7" w14:textId="0803E6C4" w:rsidR="00FE47FC" w:rsidRDefault="00FE47FC" w:rsidP="00FE47FC">
      <w:pPr>
        <w:pStyle w:val="ppoListHyphened-L1"/>
        <w:rPr>
          <w:rStyle w:val="normaltextrun"/>
          <w:noProof/>
          <w:color w:val="000000"/>
        </w:rPr>
      </w:pPr>
      <w:r w:rsidRPr="000F7386">
        <w:rPr>
          <w:rStyle w:val="normaltextrun"/>
          <w:noProof/>
          <w:color w:val="000000"/>
        </w:rPr>
        <w:t xml:space="preserve">Manual checks on such products in online shops are time consuming, costly and not effective enough. This raised the need for a powerful information technology tool (the eSurveillance webcrawler) to be </w:t>
      </w:r>
      <w:r w:rsidRPr="000F7386">
        <w:rPr>
          <w:noProof/>
        </w:rPr>
        <w:t>developed</w:t>
      </w:r>
      <w:r w:rsidRPr="000F7386">
        <w:rPr>
          <w:rStyle w:val="normaltextrun"/>
          <w:noProof/>
          <w:color w:val="000000"/>
        </w:rPr>
        <w:t xml:space="preserve"> to monitor whether web shops or any other online marketplaces sell dangerous products, and to do this using a coherent, unique and cost-efficient approach. The project is in the pilot phase, and its launch is expected in the first quarter of 2022. Currently, </w:t>
      </w:r>
      <w:bookmarkStart w:id="80" w:name="_Hlk101790672"/>
      <w:r w:rsidRPr="000F7386">
        <w:rPr>
          <w:rStyle w:val="normaltextrun"/>
          <w:noProof/>
          <w:color w:val="000000"/>
        </w:rPr>
        <w:t xml:space="preserve">340 users from </w:t>
      </w:r>
      <w:r w:rsidRPr="003B534F">
        <w:rPr>
          <w:rStyle w:val="normaltextrun"/>
          <w:noProof/>
          <w:color w:val="000000"/>
          <w:lang w:val="en-IE"/>
        </w:rPr>
        <w:t xml:space="preserve">22 </w:t>
      </w:r>
      <w:bookmarkEnd w:id="80"/>
      <w:r>
        <w:rPr>
          <w:rStyle w:val="normaltextrun"/>
          <w:noProof/>
          <w:color w:val="000000"/>
          <w:lang w:val="en-IE"/>
        </w:rPr>
        <w:t>Member States</w:t>
      </w:r>
      <w:r w:rsidRPr="000F7386">
        <w:rPr>
          <w:rStyle w:val="normaltextrun"/>
          <w:noProof/>
          <w:color w:val="000000"/>
        </w:rPr>
        <w:t xml:space="preserve"> are testing the application. After the first 2</w:t>
      </w:r>
      <w:r w:rsidRPr="000F7386">
        <w:rPr>
          <w:rStyle w:val="normaltextrun"/>
          <w:rFonts w:ascii="Calibri" w:hAnsi="Calibri" w:cs="Calibri"/>
          <w:noProof/>
          <w:color w:val="000000"/>
        </w:rPr>
        <w:t> </w:t>
      </w:r>
      <w:r w:rsidRPr="000F7386">
        <w:rPr>
          <w:rStyle w:val="normaltextrun"/>
          <w:noProof/>
          <w:color w:val="000000"/>
        </w:rPr>
        <w:t>months of the pilot phase the results are very promising, and show a very high level of accuracy (more than 90% of confirmed dangerous products have been found by the application).</w:t>
      </w:r>
    </w:p>
    <w:p w14:paraId="2C5A5631" w14:textId="77777777" w:rsidR="00331C96" w:rsidRPr="000F7386" w:rsidRDefault="00331C96" w:rsidP="00331C96">
      <w:pPr>
        <w:pStyle w:val="ppoListHyphened-L1"/>
        <w:rPr>
          <w:rStyle w:val="normaltextrun"/>
          <w:noProof/>
          <w:color w:val="000000"/>
        </w:rPr>
      </w:pPr>
      <w:r w:rsidRPr="00F25013">
        <w:rPr>
          <w:rStyle w:val="normaltextrun"/>
          <w:noProof/>
          <w:color w:val="000000"/>
        </w:rPr>
        <w:t xml:space="preserve">The </w:t>
      </w:r>
      <w:r>
        <w:rPr>
          <w:rStyle w:val="normaltextrun"/>
          <w:noProof/>
          <w:color w:val="000000"/>
        </w:rPr>
        <w:t>p</w:t>
      </w:r>
      <w:r w:rsidRPr="00F25013">
        <w:rPr>
          <w:rStyle w:val="normaltextrun"/>
          <w:noProof/>
          <w:color w:val="000000"/>
        </w:rPr>
        <w:t xml:space="preserve">rogramme has provided </w:t>
      </w:r>
      <w:r w:rsidRPr="000F7386">
        <w:rPr>
          <w:rStyle w:val="normaltextrun"/>
          <w:noProof/>
          <w:color w:val="000000"/>
        </w:rPr>
        <w:t>EUR</w:t>
      </w:r>
      <w:r w:rsidRPr="000F7386">
        <w:rPr>
          <w:rStyle w:val="normaltextrun"/>
          <w:rFonts w:ascii="Calibri" w:hAnsi="Calibri" w:cs="Calibri"/>
          <w:noProof/>
          <w:color w:val="000000"/>
        </w:rPr>
        <w:t> </w:t>
      </w:r>
      <w:r>
        <w:rPr>
          <w:rStyle w:val="normaltextrun"/>
          <w:noProof/>
          <w:color w:val="000000"/>
        </w:rPr>
        <w:t>7</w:t>
      </w:r>
      <w:r w:rsidRPr="000F7386">
        <w:rPr>
          <w:rStyle w:val="normaltextrun"/>
          <w:rFonts w:ascii="Calibri" w:hAnsi="Calibri" w:cs="Calibri"/>
          <w:noProof/>
          <w:color w:val="000000"/>
        </w:rPr>
        <w:t> </w:t>
      </w:r>
      <w:r w:rsidRPr="000F7386">
        <w:rPr>
          <w:rStyle w:val="normaltextrun"/>
          <w:noProof/>
          <w:color w:val="000000"/>
        </w:rPr>
        <w:t>million</w:t>
      </w:r>
      <w:r w:rsidRPr="00F25013">
        <w:rPr>
          <w:rStyle w:val="normaltextrun"/>
          <w:noProof/>
          <w:color w:val="000000"/>
        </w:rPr>
        <w:t xml:space="preserve"> to the Eu</w:t>
      </w:r>
      <w:r>
        <w:rPr>
          <w:rStyle w:val="normaltextrun"/>
          <w:noProof/>
          <w:color w:val="000000"/>
        </w:rPr>
        <w:t xml:space="preserve">ropean Consumer Centres </w:t>
      </w:r>
      <w:r w:rsidRPr="00F25013">
        <w:rPr>
          <w:rStyle w:val="normaltextrun"/>
          <w:noProof/>
          <w:color w:val="000000"/>
        </w:rPr>
        <w:t>which helps consumers with cross-border purchases; educate them about their rights when shopping internationally and helping them seek redress against</w:t>
      </w:r>
      <w:r>
        <w:rPr>
          <w:rStyle w:val="normaltextrun"/>
          <w:noProof/>
          <w:color w:val="000000"/>
        </w:rPr>
        <w:t xml:space="preserve"> a trader in another country</w:t>
      </w:r>
      <w:r w:rsidRPr="00F25013">
        <w:rPr>
          <w:rStyle w:val="normaltextrun"/>
          <w:noProof/>
          <w:color w:val="000000"/>
        </w:rPr>
        <w:t>. Since the outbreak of COVID-19, the ECC</w:t>
      </w:r>
      <w:r>
        <w:rPr>
          <w:rStyle w:val="normaltextrun"/>
          <w:noProof/>
          <w:color w:val="000000"/>
        </w:rPr>
        <w:t>s were</w:t>
      </w:r>
      <w:r w:rsidRPr="00F25013">
        <w:rPr>
          <w:rStyle w:val="normaltextrun"/>
          <w:noProof/>
          <w:color w:val="000000"/>
        </w:rPr>
        <w:t xml:space="preserve"> on the forefront helping consumers confronted with cancellations of flights and package travel. From March 2020 to March 2021, the network received 170 000 requests for information, an increase of 44 % compared to the same period of the previous year.</w:t>
      </w:r>
    </w:p>
    <w:p w14:paraId="3063509A" w14:textId="77777777" w:rsidR="00FE47FC" w:rsidRPr="000F7386" w:rsidRDefault="00FE47FC" w:rsidP="00FE47FC">
      <w:pPr>
        <w:pStyle w:val="ppoListHyphened-L1"/>
        <w:rPr>
          <w:rStyle w:val="normaltextrun"/>
          <w:noProof/>
          <w:color w:val="000000"/>
        </w:rPr>
      </w:pPr>
      <w:r w:rsidRPr="000F7386">
        <w:rPr>
          <w:rStyle w:val="normaltextrun"/>
          <w:noProof/>
          <w:color w:val="000000"/>
        </w:rPr>
        <w:t xml:space="preserve">The </w:t>
      </w:r>
      <w:r w:rsidRPr="000F7386">
        <w:rPr>
          <w:noProof/>
        </w:rPr>
        <w:t xml:space="preserve">consumer programme </w:t>
      </w:r>
      <w:r w:rsidRPr="000F7386">
        <w:rPr>
          <w:rStyle w:val="normaltextrun"/>
          <w:noProof/>
          <w:color w:val="000000"/>
        </w:rPr>
        <w:t>allocated EUR</w:t>
      </w:r>
      <w:r w:rsidRPr="000F7386">
        <w:rPr>
          <w:rStyle w:val="normaltextrun"/>
          <w:rFonts w:ascii="Calibri" w:hAnsi="Calibri" w:cs="Calibri"/>
          <w:noProof/>
          <w:color w:val="000000"/>
        </w:rPr>
        <w:t> </w:t>
      </w:r>
      <w:r w:rsidRPr="000F7386">
        <w:rPr>
          <w:rStyle w:val="normaltextrun"/>
          <w:noProof/>
          <w:color w:val="000000"/>
        </w:rPr>
        <w:t>1</w:t>
      </w:r>
      <w:r w:rsidRPr="000F7386">
        <w:rPr>
          <w:rStyle w:val="normaltextrun"/>
          <w:rFonts w:ascii="Calibri" w:hAnsi="Calibri" w:cs="Calibri"/>
          <w:noProof/>
          <w:color w:val="000000"/>
        </w:rPr>
        <w:t> </w:t>
      </w:r>
      <w:r w:rsidRPr="000F7386">
        <w:rPr>
          <w:rStyle w:val="normaltextrun"/>
          <w:noProof/>
          <w:color w:val="000000"/>
        </w:rPr>
        <w:t xml:space="preserve">million to support the operational capacities of the national </w:t>
      </w:r>
      <w:r w:rsidRPr="000F7386">
        <w:rPr>
          <w:noProof/>
        </w:rPr>
        <w:t xml:space="preserve">consumer protection cooperation authorities </w:t>
      </w:r>
      <w:r w:rsidRPr="000F7386">
        <w:rPr>
          <w:rStyle w:val="normaltextrun"/>
          <w:noProof/>
          <w:color w:val="000000"/>
        </w:rPr>
        <w:t xml:space="preserve">responsible for the enforcement of EU consumer protection laws. In 2021, intense work took place to fight the continuous impacts of the COVID-19 pandemic on consumers and to ensure that national authorities are well equipped to carry out coordinated activities for the benefit of European consumers. The modern information technology system, which came into operation in 2020, enabled rapid exchanges between </w:t>
      </w:r>
      <w:r w:rsidRPr="000F7386">
        <w:rPr>
          <w:noProof/>
        </w:rPr>
        <w:t xml:space="preserve">consumer protection cooperation </w:t>
      </w:r>
      <w:r w:rsidRPr="000F7386">
        <w:rPr>
          <w:rStyle w:val="normaltextrun"/>
          <w:noProof/>
          <w:color w:val="000000"/>
        </w:rPr>
        <w:t>authorities and the Commission on potentially unfair and harmful market trends affecting consumers across Europe.</w:t>
      </w:r>
    </w:p>
    <w:p w14:paraId="6638360C" w14:textId="0E687A43" w:rsidR="00BB20EB" w:rsidRDefault="00FE47FC" w:rsidP="00FE47FC">
      <w:pPr>
        <w:pStyle w:val="ppoListHyphened-L1"/>
        <w:rPr>
          <w:rStyle w:val="normaltextrun"/>
          <w:noProof/>
          <w:color w:val="000000"/>
        </w:rPr>
      </w:pPr>
      <w:r w:rsidRPr="000F7386">
        <w:rPr>
          <w:rStyle w:val="normaltextrun"/>
          <w:noProof/>
          <w:color w:val="000000"/>
        </w:rPr>
        <w:t xml:space="preserve">The </w:t>
      </w:r>
      <w:r w:rsidRPr="000F7386">
        <w:rPr>
          <w:noProof/>
        </w:rPr>
        <w:t xml:space="preserve">consumer programme </w:t>
      </w:r>
      <w:r w:rsidRPr="000F7386">
        <w:rPr>
          <w:rStyle w:val="normaltextrun"/>
          <w:noProof/>
          <w:color w:val="000000"/>
        </w:rPr>
        <w:t>also contributes to raising awareness of EU consumer law, including by SMEs through a dedicated training project, ‘</w:t>
      </w:r>
      <w:r w:rsidRPr="000F7386">
        <w:rPr>
          <w:noProof/>
        </w:rPr>
        <w:t>Consumer law ready’</w:t>
      </w:r>
      <w:r w:rsidRPr="000F7386">
        <w:rPr>
          <w:rStyle w:val="normaltextrun"/>
          <w:noProof/>
          <w:color w:val="000000"/>
        </w:rPr>
        <w:t xml:space="preserve">. The courses (including online courses) were developed taking duly into account the various forms of national consumer legislation, and were made available in all the national </w:t>
      </w:r>
      <w:r w:rsidRPr="000F7386">
        <w:rPr>
          <w:noProof/>
        </w:rPr>
        <w:t>languages</w:t>
      </w:r>
      <w:r w:rsidRPr="000F7386">
        <w:rPr>
          <w:rStyle w:val="normaltextrun"/>
          <w:noProof/>
          <w:color w:val="000000"/>
        </w:rPr>
        <w:t>. In light of the difficulties in holding classroom training sessions, online activities in the project were reinforced. The project saw around 1</w:t>
      </w:r>
      <w:r w:rsidRPr="000F7386">
        <w:rPr>
          <w:rStyle w:val="normaltextrun"/>
          <w:rFonts w:ascii="Calibri" w:hAnsi="Calibri" w:cs="Calibri"/>
          <w:noProof/>
          <w:color w:val="000000"/>
        </w:rPr>
        <w:t> </w:t>
      </w:r>
      <w:r w:rsidRPr="000F7386">
        <w:rPr>
          <w:rStyle w:val="normaltextrun"/>
          <w:noProof/>
          <w:color w:val="000000"/>
        </w:rPr>
        <w:t xml:space="preserve">200 SMEs and local trainers participating in 2021, and 51 training sessions were held by </w:t>
      </w:r>
      <w:bookmarkStart w:id="81" w:name="_Hlk101790975"/>
      <w:r w:rsidRPr="003B534F">
        <w:rPr>
          <w:rStyle w:val="normaltextrun"/>
          <w:noProof/>
          <w:color w:val="000000"/>
          <w:lang w:val="en-IE"/>
        </w:rPr>
        <w:t xml:space="preserve">leading trainers from each </w:t>
      </w:r>
      <w:bookmarkEnd w:id="81"/>
      <w:r>
        <w:rPr>
          <w:rStyle w:val="normaltextrun"/>
          <w:noProof/>
          <w:color w:val="000000"/>
          <w:lang w:val="en-IE"/>
        </w:rPr>
        <w:t>Member State</w:t>
      </w:r>
      <w:r w:rsidRPr="000F7386">
        <w:rPr>
          <w:rStyle w:val="normaltextrun"/>
          <w:noProof/>
          <w:color w:val="000000"/>
        </w:rPr>
        <w:t>.</w:t>
      </w:r>
    </w:p>
    <w:p w14:paraId="59271549" w14:textId="7F12B943" w:rsidR="00331C96" w:rsidRDefault="00331C96" w:rsidP="00FE47FC">
      <w:pPr>
        <w:pStyle w:val="ppoListHyphened-L1"/>
        <w:rPr>
          <w:rStyle w:val="normaltextrun"/>
          <w:noProof/>
          <w:color w:val="000000"/>
        </w:rPr>
        <w:sectPr w:rsidR="00331C96" w:rsidSect="00592734">
          <w:headerReference w:type="even" r:id="rId148"/>
          <w:headerReference w:type="default" r:id="rId149"/>
          <w:footerReference w:type="even" r:id="rId150"/>
          <w:footerReference w:type="default" r:id="rId151"/>
          <w:headerReference w:type="first" r:id="rId152"/>
          <w:footerReference w:type="first" r:id="rId153"/>
          <w:pgSz w:w="11906" w:h="16838" w:code="9"/>
          <w:pgMar w:top="1134" w:right="1134" w:bottom="964" w:left="1134" w:header="431" w:footer="431" w:gutter="0"/>
          <w:cols w:space="720"/>
          <w:titlePg/>
          <w:docGrid w:linePitch="360"/>
        </w:sectPr>
      </w:pPr>
      <w:r w:rsidRPr="00F25013">
        <w:rPr>
          <w:rStyle w:val="normaltextrun"/>
          <w:noProof/>
          <w:color w:val="000000"/>
        </w:rPr>
        <w:t xml:space="preserve">The </w:t>
      </w:r>
      <w:r>
        <w:rPr>
          <w:rStyle w:val="normaltextrun"/>
          <w:noProof/>
          <w:color w:val="000000"/>
        </w:rPr>
        <w:t>p</w:t>
      </w:r>
      <w:r w:rsidRPr="00F25013">
        <w:rPr>
          <w:rStyle w:val="normaltextrun"/>
          <w:noProof/>
          <w:color w:val="000000"/>
        </w:rPr>
        <w:t xml:space="preserve">rogramme has </w:t>
      </w:r>
      <w:r>
        <w:rPr>
          <w:rStyle w:val="normaltextrun"/>
          <w:noProof/>
          <w:color w:val="000000"/>
        </w:rPr>
        <w:t xml:space="preserve">also provided an </w:t>
      </w:r>
      <w:r w:rsidRPr="009A15CD">
        <w:rPr>
          <w:rStyle w:val="normaltextrun"/>
          <w:noProof/>
          <w:color w:val="000000"/>
        </w:rPr>
        <w:t>o</w:t>
      </w:r>
      <w:r>
        <w:rPr>
          <w:rStyle w:val="normaltextrun"/>
          <w:noProof/>
          <w:color w:val="000000"/>
        </w:rPr>
        <w:t>perating grant of EUR 2 million</w:t>
      </w:r>
      <w:r w:rsidRPr="009A15CD">
        <w:rPr>
          <w:rStyle w:val="normaltextrun"/>
          <w:noProof/>
          <w:color w:val="000000"/>
        </w:rPr>
        <w:t xml:space="preserve"> </w:t>
      </w:r>
      <w:r>
        <w:rPr>
          <w:rStyle w:val="normaltextrun"/>
          <w:noProof/>
          <w:color w:val="000000"/>
        </w:rPr>
        <w:t xml:space="preserve">to </w:t>
      </w:r>
      <w:r w:rsidRPr="009A15CD">
        <w:rPr>
          <w:rStyle w:val="normaltextrun"/>
          <w:noProof/>
          <w:color w:val="000000"/>
        </w:rPr>
        <w:t>the Europ</w:t>
      </w:r>
      <w:r>
        <w:rPr>
          <w:rStyle w:val="normaltextrun"/>
          <w:noProof/>
          <w:color w:val="000000"/>
        </w:rPr>
        <w:t>ean Consumer Organisation (BEUC) to support</w:t>
      </w:r>
      <w:r w:rsidRPr="009A15CD">
        <w:rPr>
          <w:rStyle w:val="normaltextrun"/>
          <w:noProof/>
          <w:color w:val="000000"/>
        </w:rPr>
        <w:t xml:space="preserve"> various activities </w:t>
      </w:r>
      <w:r>
        <w:rPr>
          <w:rStyle w:val="normaltextrun"/>
          <w:noProof/>
          <w:color w:val="000000"/>
        </w:rPr>
        <w:t>aimed at defending</w:t>
      </w:r>
      <w:r w:rsidRPr="009A15CD">
        <w:rPr>
          <w:rStyle w:val="normaltextrun"/>
          <w:noProof/>
          <w:color w:val="000000"/>
        </w:rPr>
        <w:t xml:space="preserve"> the interests</w:t>
      </w:r>
      <w:r>
        <w:rPr>
          <w:rStyle w:val="normaltextrun"/>
          <w:noProof/>
          <w:color w:val="000000"/>
        </w:rPr>
        <w:t xml:space="preserve"> of consumers and providing</w:t>
      </w:r>
      <w:r w:rsidRPr="009A15CD">
        <w:rPr>
          <w:rStyle w:val="normaltextrun"/>
          <w:noProof/>
          <w:color w:val="000000"/>
        </w:rPr>
        <w:t xml:space="preserve"> </w:t>
      </w:r>
      <w:r>
        <w:rPr>
          <w:rStyle w:val="normaltextrun"/>
          <w:noProof/>
          <w:color w:val="000000"/>
        </w:rPr>
        <w:t xml:space="preserve">national trainings to consumer organisations, inter alia, on </w:t>
      </w:r>
      <w:r w:rsidRPr="009A15CD">
        <w:rPr>
          <w:rStyle w:val="normaltextrun"/>
          <w:noProof/>
          <w:color w:val="000000"/>
        </w:rPr>
        <w:t>consumer law,</w:t>
      </w:r>
      <w:r>
        <w:rPr>
          <w:rStyle w:val="normaltextrun"/>
          <w:noProof/>
          <w:color w:val="000000"/>
        </w:rPr>
        <w:t xml:space="preserve"> digital rights, </w:t>
      </w:r>
      <w:r w:rsidRPr="009A15CD">
        <w:rPr>
          <w:rStyle w:val="normaltextrun"/>
          <w:noProof/>
          <w:color w:val="000000"/>
        </w:rPr>
        <w:t>data protection, finance, food, housing, mobil</w:t>
      </w:r>
      <w:r>
        <w:rPr>
          <w:rStyle w:val="normaltextrun"/>
          <w:noProof/>
          <w:color w:val="000000"/>
        </w:rPr>
        <w:t>ity and product sustainability</w:t>
      </w:r>
    </w:p>
    <w:p w14:paraId="71DEF4C3" w14:textId="77777777" w:rsidR="003B5013" w:rsidRPr="00950178" w:rsidRDefault="003B5013" w:rsidP="003B5013">
      <w:pPr>
        <w:pStyle w:val="StyleppoHeading3WhiteLeft0cm"/>
        <w:rPr>
          <w:noProof/>
          <w:sz w:val="40"/>
          <w:szCs w:val="40"/>
          <w:lang w:val="en-IE"/>
        </w:rPr>
      </w:pPr>
    </w:p>
    <w:p w14:paraId="1160DF12" w14:textId="77777777" w:rsidR="003B5013" w:rsidRPr="00383682" w:rsidRDefault="003B5013" w:rsidP="003B5013">
      <w:pPr>
        <w:pStyle w:val="StyleppoHeading3WhiteLeft0cm"/>
        <w:rPr>
          <w:noProof/>
          <w:sz w:val="60"/>
          <w:szCs w:val="60"/>
          <w:lang w:val="en-US"/>
        </w:rPr>
      </w:pPr>
      <w:bookmarkStart w:id="82" w:name="_Toc102086337"/>
      <w:r w:rsidRPr="00383682">
        <w:rPr>
          <w:noProof/>
          <w:sz w:val="60"/>
          <w:szCs w:val="60"/>
          <w:lang w:val="en-US"/>
        </w:rPr>
        <w:t>ANTI-FRAUD</w:t>
      </w:r>
      <w:bookmarkEnd w:id="82"/>
    </w:p>
    <w:p w14:paraId="4C5A5D53" w14:textId="77777777" w:rsidR="003B5013" w:rsidRPr="00383682" w:rsidRDefault="003B5013" w:rsidP="003B5013">
      <w:pPr>
        <w:pStyle w:val="StyleppoProgrammenameWhiteLeft01cm"/>
        <w:rPr>
          <w:noProof/>
          <w:lang w:val="en-US"/>
        </w:rPr>
      </w:pPr>
      <w:r w:rsidRPr="00DE538D">
        <w:rPr>
          <w:noProof/>
          <w:lang w:val="en-US"/>
        </w:rPr>
        <w:t>THE UNION ANTI-FRAUD PROGRAMME</w:t>
      </w:r>
    </w:p>
    <w:p w14:paraId="436C6E12" w14:textId="77777777" w:rsidR="003B5013" w:rsidRPr="00950178" w:rsidRDefault="003B5013" w:rsidP="003B5013">
      <w:pPr>
        <w:pStyle w:val="ppoHeading5"/>
        <w:rPr>
          <w:noProof/>
          <w:lang w:val="en-IE"/>
        </w:rPr>
      </w:pPr>
      <w:r w:rsidRPr="00950178">
        <w:rPr>
          <w:noProof/>
          <w:lang w:val="en-IE"/>
        </w:rPr>
        <w:t>Concrete examples of achievements</w:t>
      </w:r>
      <w:r w:rsidRPr="00950178">
        <w:rPr>
          <w:rFonts w:ascii="Calibri" w:hAnsi="Calibri" w:cs="Calibri"/>
          <w:noProof/>
          <w:lang w:val="en-IE"/>
        </w:rPr>
        <w:t> </w:t>
      </w:r>
      <w:r w:rsidRPr="00950178">
        <w:rPr>
          <w:noProof/>
          <w:lang w:val="en-IE"/>
        </w:rPr>
        <w:t>(*)</w:t>
      </w:r>
    </w:p>
    <w:tbl>
      <w:tblPr>
        <w:tblStyle w:val="PPO2021"/>
        <w:tblW w:w="9639" w:type="dxa"/>
        <w:tblInd w:w="0" w:type="dxa"/>
        <w:tblLook w:val="0200" w:firstRow="0" w:lastRow="0" w:firstColumn="0" w:lastColumn="0" w:noHBand="1" w:noVBand="0"/>
      </w:tblPr>
      <w:tblGrid>
        <w:gridCol w:w="2410"/>
        <w:gridCol w:w="2409"/>
        <w:gridCol w:w="2410"/>
        <w:gridCol w:w="2410"/>
      </w:tblGrid>
      <w:tr w:rsidR="003B5013" w:rsidRPr="00950178" w14:paraId="0BD0E97B" w14:textId="77777777" w:rsidTr="00AF1C52">
        <w:tc>
          <w:tcPr>
            <w:tcW w:w="2410" w:type="dxa"/>
            <w:tcBorders>
              <w:bottom w:val="single" w:sz="4" w:space="0" w:color="8C8C8C"/>
            </w:tcBorders>
          </w:tcPr>
          <w:p w14:paraId="31C7890C" w14:textId="77777777" w:rsidR="003B5013" w:rsidRPr="00950178" w:rsidRDefault="003B5013" w:rsidP="00AF1C52">
            <w:pPr>
              <w:pStyle w:val="ppoTableacheivementvalue"/>
              <w:rPr>
                <w:noProof/>
                <w:lang w:val="en-IE"/>
              </w:rPr>
            </w:pPr>
            <w:r w:rsidRPr="00950178">
              <w:rPr>
                <w:noProof/>
                <w:lang w:val="en-IE"/>
              </w:rPr>
              <w:t>10</w:t>
            </w:r>
            <w:r w:rsidRPr="00950178">
              <w:rPr>
                <w:rFonts w:ascii="Calibri" w:hAnsi="Calibri" w:cs="Calibri"/>
                <w:noProof/>
                <w:lang w:val="en-IE"/>
              </w:rPr>
              <w:t> </w:t>
            </w:r>
            <w:r w:rsidRPr="00950178">
              <w:rPr>
                <w:noProof/>
                <w:lang w:val="en-IE"/>
              </w:rPr>
              <w:t>500</w:t>
            </w:r>
          </w:p>
          <w:p w14:paraId="4EE16966" w14:textId="77777777" w:rsidR="003B5013" w:rsidRPr="00950178" w:rsidRDefault="003B5013" w:rsidP="00962E3C">
            <w:pPr>
              <w:jc w:val="left"/>
              <w:rPr>
                <w:noProof/>
                <w:lang w:val="en-IE"/>
              </w:rPr>
            </w:pPr>
            <w:r w:rsidRPr="00950178">
              <w:rPr>
                <w:noProof/>
                <w:lang w:val="en-IE"/>
              </w:rPr>
              <w:t>participants attended specialised training and conference activities co-financed by the Hercule</w:t>
            </w:r>
            <w:r w:rsidRPr="00950178">
              <w:rPr>
                <w:rFonts w:ascii="Calibri" w:hAnsi="Calibri" w:cs="Calibri"/>
                <w:noProof/>
                <w:lang w:val="en-IE"/>
              </w:rPr>
              <w:t> </w:t>
            </w:r>
            <w:r w:rsidRPr="00950178">
              <w:rPr>
                <w:noProof/>
                <w:lang w:val="en-IE"/>
              </w:rPr>
              <w:t>III programme between 2014 and 2021.</w:t>
            </w:r>
          </w:p>
        </w:tc>
        <w:tc>
          <w:tcPr>
            <w:cnfStyle w:val="000001000000" w:firstRow="0" w:lastRow="0" w:firstColumn="0" w:lastColumn="0" w:oddVBand="0" w:evenVBand="1" w:oddHBand="0" w:evenHBand="0" w:firstRowFirstColumn="0" w:firstRowLastColumn="0" w:lastRowFirstColumn="0" w:lastRowLastColumn="0"/>
            <w:tcW w:w="2409" w:type="dxa"/>
            <w:shd w:val="clear" w:color="auto" w:fill="F9F9F9" w:themeFill="background2" w:themeFillTint="66"/>
          </w:tcPr>
          <w:p w14:paraId="3895584E" w14:textId="77777777" w:rsidR="003B5013" w:rsidRPr="00950178" w:rsidRDefault="003B5013" w:rsidP="00AF1C52">
            <w:pPr>
              <w:pStyle w:val="ppoTableacheivementvalue"/>
              <w:rPr>
                <w:noProof/>
                <w:lang w:val="en-IE"/>
              </w:rPr>
            </w:pPr>
            <w:r w:rsidRPr="00950178">
              <w:rPr>
                <w:noProof/>
                <w:lang w:val="en-IE"/>
              </w:rPr>
              <w:t>1</w:t>
            </w:r>
            <w:r w:rsidRPr="00950178">
              <w:rPr>
                <w:rFonts w:ascii="Calibri" w:hAnsi="Calibri" w:cs="Calibri"/>
                <w:noProof/>
                <w:lang w:val="en-IE"/>
              </w:rPr>
              <w:t> </w:t>
            </w:r>
            <w:r w:rsidRPr="00950178">
              <w:rPr>
                <w:noProof/>
                <w:lang w:val="en-IE"/>
              </w:rPr>
              <w:t>550</w:t>
            </w:r>
          </w:p>
          <w:p w14:paraId="5469718A" w14:textId="77777777" w:rsidR="003B5013" w:rsidRPr="00950178" w:rsidRDefault="003B5013" w:rsidP="00962E3C">
            <w:pPr>
              <w:jc w:val="left"/>
              <w:rPr>
                <w:noProof/>
                <w:lang w:val="en-IE"/>
              </w:rPr>
            </w:pPr>
            <w:r w:rsidRPr="00950178">
              <w:rPr>
                <w:noProof/>
                <w:lang w:val="en-IE"/>
              </w:rPr>
              <w:t>law enforcement officials from all Member States participated in the specialised digital forensic and analyst training procured by OLAF (2014-2021).</w:t>
            </w:r>
          </w:p>
        </w:tc>
        <w:tc>
          <w:tcPr>
            <w:tcW w:w="2410" w:type="dxa"/>
            <w:tcBorders>
              <w:bottom w:val="single" w:sz="4" w:space="0" w:color="8C8C8C"/>
            </w:tcBorders>
          </w:tcPr>
          <w:p w14:paraId="6C35A6BA" w14:textId="77777777" w:rsidR="003B5013" w:rsidRPr="00950178" w:rsidRDefault="003B5013" w:rsidP="00AF1C52">
            <w:pPr>
              <w:pStyle w:val="ppoTableacheivementvalue"/>
              <w:cnfStyle w:val="000000000000" w:firstRow="0" w:lastRow="0" w:firstColumn="0" w:lastColumn="0" w:oddVBand="0" w:evenVBand="0" w:oddHBand="0" w:evenHBand="0" w:firstRowFirstColumn="0" w:firstRowLastColumn="0" w:lastRowFirstColumn="0" w:lastRowLastColumn="0"/>
              <w:rPr>
                <w:noProof/>
                <w:lang w:val="en-IE"/>
              </w:rPr>
            </w:pPr>
            <w:r w:rsidRPr="00950178">
              <w:rPr>
                <w:noProof/>
                <w:lang w:val="en-IE"/>
              </w:rPr>
              <w:t>47</w:t>
            </w:r>
          </w:p>
          <w:p w14:paraId="614A277A" w14:textId="77777777" w:rsidR="003B5013" w:rsidRPr="00950178" w:rsidRDefault="003B5013" w:rsidP="00962E3C">
            <w:pPr>
              <w:jc w:val="left"/>
              <w:cnfStyle w:val="000000000000" w:firstRow="0" w:lastRow="0" w:firstColumn="0" w:lastColumn="0" w:oddVBand="0" w:evenVBand="0" w:oddHBand="0" w:evenHBand="0" w:firstRowFirstColumn="0" w:firstRowLastColumn="0" w:lastRowFirstColumn="0" w:lastRowLastColumn="0"/>
              <w:rPr>
                <w:noProof/>
                <w:lang w:val="en-IE"/>
              </w:rPr>
            </w:pPr>
            <w:r w:rsidRPr="00950178">
              <w:rPr>
                <w:noProof/>
                <w:lang w:val="en-IE"/>
              </w:rPr>
              <w:t>high-level events focused on the protection of the EU’s financial interests were organised by OLAF during the duration of the Hercule</w:t>
            </w:r>
            <w:r w:rsidRPr="00950178">
              <w:rPr>
                <w:rFonts w:ascii="Calibri" w:hAnsi="Calibri" w:cs="Calibri"/>
                <w:noProof/>
                <w:lang w:val="en-IE"/>
              </w:rPr>
              <w:t> </w:t>
            </w:r>
            <w:r w:rsidRPr="00950178">
              <w:rPr>
                <w:noProof/>
                <w:lang w:val="en-IE"/>
              </w:rPr>
              <w:t>III programme.</w:t>
            </w:r>
          </w:p>
        </w:tc>
        <w:tc>
          <w:tcPr>
            <w:cnfStyle w:val="000001000000" w:firstRow="0" w:lastRow="0" w:firstColumn="0" w:lastColumn="0" w:oddVBand="0" w:evenVBand="1" w:oddHBand="0" w:evenHBand="0" w:firstRowFirstColumn="0" w:firstRowLastColumn="0" w:lastRowFirstColumn="0" w:lastRowLastColumn="0"/>
            <w:tcW w:w="2410" w:type="dxa"/>
            <w:shd w:val="clear" w:color="auto" w:fill="F9F9F9" w:themeFill="background2" w:themeFillTint="66"/>
          </w:tcPr>
          <w:p w14:paraId="74D96189" w14:textId="77777777" w:rsidR="003B5013" w:rsidRPr="00950178" w:rsidRDefault="003B5013" w:rsidP="00AF1C52">
            <w:pPr>
              <w:pStyle w:val="ppoTableacheivementvalue"/>
              <w:rPr>
                <w:noProof/>
                <w:lang w:val="en-IE"/>
              </w:rPr>
            </w:pPr>
            <w:r w:rsidRPr="00950178">
              <w:rPr>
                <w:noProof/>
                <w:lang w:val="en-IE"/>
              </w:rPr>
              <w:t>8</w:t>
            </w:r>
          </w:p>
          <w:p w14:paraId="527FCC64" w14:textId="77777777" w:rsidR="003B5013" w:rsidRPr="00950178" w:rsidRDefault="003B5013" w:rsidP="00962E3C">
            <w:pPr>
              <w:jc w:val="left"/>
              <w:rPr>
                <w:noProof/>
                <w:lang w:val="en-IE"/>
              </w:rPr>
            </w:pPr>
            <w:r w:rsidRPr="00950178">
              <w:rPr>
                <w:noProof/>
                <w:lang w:val="en-IE"/>
              </w:rPr>
              <w:t>commercial databases and specific information technology tools were made available each year to Member State authorities.</w:t>
            </w:r>
          </w:p>
        </w:tc>
      </w:tr>
      <w:tr w:rsidR="003B5013" w:rsidRPr="00950178" w14:paraId="419C1FAD" w14:textId="77777777" w:rsidTr="00AF1C52">
        <w:tc>
          <w:tcPr>
            <w:tcW w:w="2410" w:type="dxa"/>
            <w:tcBorders>
              <w:bottom w:val="single" w:sz="4" w:space="0" w:color="auto"/>
            </w:tcBorders>
          </w:tcPr>
          <w:p w14:paraId="6899BC4B" w14:textId="77777777" w:rsidR="003B5013" w:rsidRPr="00950178" w:rsidRDefault="003B5013" w:rsidP="00AF1C52">
            <w:pPr>
              <w:pStyle w:val="ppoTableacheivementvalue"/>
              <w:rPr>
                <w:noProof/>
                <w:lang w:val="en-IE"/>
              </w:rPr>
            </w:pPr>
            <w:r w:rsidRPr="00950178">
              <w:rPr>
                <w:noProof/>
                <w:lang w:val="en-IE"/>
              </w:rPr>
              <w:t>EUR</w:t>
            </w:r>
            <w:r w:rsidRPr="00950178">
              <w:rPr>
                <w:rFonts w:ascii="Calibri" w:hAnsi="Calibri" w:cs="Calibri"/>
                <w:noProof/>
                <w:lang w:val="en-IE"/>
              </w:rPr>
              <w:t> </w:t>
            </w:r>
            <w:r w:rsidRPr="00950178">
              <w:rPr>
                <w:noProof/>
                <w:lang w:val="en-IE"/>
              </w:rPr>
              <w:t>16</w:t>
            </w:r>
            <w:r w:rsidRPr="00950178">
              <w:rPr>
                <w:rFonts w:ascii="Calibri" w:hAnsi="Calibri" w:cs="Calibri"/>
                <w:noProof/>
                <w:lang w:val="en-IE"/>
              </w:rPr>
              <w:t> </w:t>
            </w:r>
            <w:r w:rsidRPr="00950178">
              <w:rPr>
                <w:noProof/>
                <w:lang w:val="en-IE"/>
              </w:rPr>
              <w:t>million</w:t>
            </w:r>
          </w:p>
          <w:p w14:paraId="6CD97451" w14:textId="77777777" w:rsidR="003B5013" w:rsidRPr="00950178" w:rsidRDefault="003B5013" w:rsidP="00962E3C">
            <w:pPr>
              <w:jc w:val="left"/>
              <w:rPr>
                <w:noProof/>
                <w:lang w:val="en-IE"/>
              </w:rPr>
            </w:pPr>
            <w:r w:rsidRPr="00950178">
              <w:rPr>
                <w:noProof/>
                <w:lang w:val="en-IE"/>
              </w:rPr>
              <w:t>worth of dangerous toys were seized in a single operation in 2021.</w:t>
            </w:r>
          </w:p>
        </w:tc>
        <w:tc>
          <w:tcPr>
            <w:cnfStyle w:val="000001000000" w:firstRow="0" w:lastRow="0" w:firstColumn="0" w:lastColumn="0" w:oddVBand="0" w:evenVBand="1" w:oddHBand="0" w:evenHBand="0" w:firstRowFirstColumn="0" w:firstRowLastColumn="0" w:lastRowFirstColumn="0" w:lastRowLastColumn="0"/>
            <w:tcW w:w="2409" w:type="dxa"/>
            <w:tcBorders>
              <w:bottom w:val="single" w:sz="4" w:space="0" w:color="auto"/>
            </w:tcBorders>
            <w:shd w:val="clear" w:color="auto" w:fill="F9F9F9" w:themeFill="background2" w:themeFillTint="66"/>
          </w:tcPr>
          <w:p w14:paraId="6D5036EB" w14:textId="77777777" w:rsidR="003B5013" w:rsidRPr="00950178" w:rsidRDefault="003B5013" w:rsidP="00AF1C52">
            <w:pPr>
              <w:pStyle w:val="ppoTableacheivementvalue"/>
              <w:rPr>
                <w:noProof/>
                <w:lang w:val="en-IE"/>
              </w:rPr>
            </w:pPr>
            <w:r w:rsidRPr="00950178">
              <w:rPr>
                <w:noProof/>
                <w:lang w:val="en-IE"/>
              </w:rPr>
              <w:t>254</w:t>
            </w:r>
            <w:r w:rsidRPr="00950178">
              <w:rPr>
                <w:rFonts w:ascii="Calibri" w:hAnsi="Calibri" w:cs="Calibri"/>
                <w:noProof/>
                <w:lang w:val="en-IE"/>
              </w:rPr>
              <w:t> </w:t>
            </w:r>
            <w:r w:rsidRPr="00950178">
              <w:rPr>
                <w:noProof/>
                <w:lang w:val="en-IE"/>
              </w:rPr>
              <w:t>731</w:t>
            </w:r>
          </w:p>
          <w:p w14:paraId="3957BA00" w14:textId="77777777" w:rsidR="003B5013" w:rsidRPr="00950178" w:rsidRDefault="003B5013" w:rsidP="00962E3C">
            <w:pPr>
              <w:jc w:val="left"/>
              <w:rPr>
                <w:noProof/>
                <w:lang w:val="en-IE"/>
              </w:rPr>
            </w:pPr>
            <w:r w:rsidRPr="00950178">
              <w:rPr>
                <w:noProof/>
                <w:lang w:val="en-IE"/>
              </w:rPr>
              <w:t>tablets of counterfeit medicine were intercepted in a single operation in 2021.</w:t>
            </w:r>
          </w:p>
        </w:tc>
        <w:tc>
          <w:tcPr>
            <w:tcW w:w="2410" w:type="dxa"/>
            <w:tcBorders>
              <w:bottom w:val="single" w:sz="4" w:space="0" w:color="auto"/>
            </w:tcBorders>
            <w:shd w:val="clear" w:color="auto" w:fill="FFFFFF" w:themeFill="background1"/>
          </w:tcPr>
          <w:p w14:paraId="758769BD" w14:textId="77777777" w:rsidR="003B5013" w:rsidRPr="00950178" w:rsidRDefault="003B5013" w:rsidP="00AF1C52">
            <w:pPr>
              <w:jc w:val="center"/>
              <w:cnfStyle w:val="000000000000" w:firstRow="0" w:lastRow="0" w:firstColumn="0" w:lastColumn="0" w:oddVBand="0" w:evenVBand="0" w:oddHBand="0" w:evenHBand="0" w:firstRowFirstColumn="0" w:firstRowLastColumn="0" w:lastRowFirstColumn="0" w:lastRowLastColumn="0"/>
              <w:rPr>
                <w:noProof/>
                <w:sz w:val="28"/>
                <w:szCs w:val="28"/>
                <w:lang w:val="en-IE"/>
              </w:rPr>
            </w:pPr>
            <w:r w:rsidRPr="00950178">
              <w:rPr>
                <w:noProof/>
                <w:sz w:val="28"/>
                <w:szCs w:val="28"/>
                <w:lang w:val="en-IE"/>
              </w:rPr>
              <w:t>31</w:t>
            </w:r>
            <w:r w:rsidRPr="00950178">
              <w:rPr>
                <w:rFonts w:ascii="Calibri" w:hAnsi="Calibri" w:cs="Calibri"/>
                <w:noProof/>
                <w:sz w:val="28"/>
                <w:szCs w:val="28"/>
                <w:lang w:val="en-IE"/>
              </w:rPr>
              <w:t> </w:t>
            </w:r>
            <w:r w:rsidRPr="00950178">
              <w:rPr>
                <w:noProof/>
                <w:sz w:val="28"/>
                <w:szCs w:val="28"/>
                <w:lang w:val="en-IE"/>
              </w:rPr>
              <w:t>500</w:t>
            </w:r>
          </w:p>
          <w:p w14:paraId="66F06C65" w14:textId="77777777" w:rsidR="003B5013" w:rsidRPr="00950178" w:rsidRDefault="003B5013" w:rsidP="00962E3C">
            <w:pPr>
              <w:jc w:val="left"/>
              <w:cnfStyle w:val="000000000000" w:firstRow="0" w:lastRow="0" w:firstColumn="0" w:lastColumn="0" w:oddVBand="0" w:evenVBand="0" w:oddHBand="0" w:evenHBand="0" w:firstRowFirstColumn="0" w:firstRowLastColumn="0" w:lastRowFirstColumn="0" w:lastRowLastColumn="0"/>
              <w:rPr>
                <w:noProof/>
                <w:lang w:val="en-IE"/>
              </w:rPr>
            </w:pPr>
            <w:r w:rsidRPr="00950178">
              <w:rPr>
                <w:noProof/>
                <w:lang w:val="en-IE"/>
              </w:rPr>
              <w:t>cash declarations were transferred via the new Customs information System module in its first six months of operation.</w:t>
            </w:r>
          </w:p>
        </w:tc>
        <w:tc>
          <w:tcPr>
            <w:cnfStyle w:val="000001000000" w:firstRow="0" w:lastRow="0" w:firstColumn="0" w:lastColumn="0" w:oddVBand="0" w:evenVBand="1" w:oddHBand="0" w:evenHBand="0" w:firstRowFirstColumn="0" w:firstRowLastColumn="0" w:lastRowFirstColumn="0" w:lastRowLastColumn="0"/>
            <w:tcW w:w="2410" w:type="dxa"/>
            <w:tcBorders>
              <w:bottom w:val="single" w:sz="4" w:space="0" w:color="auto"/>
            </w:tcBorders>
            <w:shd w:val="clear" w:color="auto" w:fill="F9F9F9" w:themeFill="background2" w:themeFillTint="66"/>
          </w:tcPr>
          <w:p w14:paraId="307B5EE5" w14:textId="77777777" w:rsidR="003B5013" w:rsidRPr="00950178" w:rsidRDefault="003B5013" w:rsidP="00AF1C52">
            <w:pPr>
              <w:jc w:val="center"/>
              <w:rPr>
                <w:noProof/>
                <w:sz w:val="28"/>
                <w:szCs w:val="28"/>
                <w:lang w:val="en-IE"/>
              </w:rPr>
            </w:pPr>
            <w:r w:rsidRPr="00950178">
              <w:rPr>
                <w:noProof/>
                <w:sz w:val="28"/>
                <w:szCs w:val="28"/>
                <w:lang w:val="en-IE"/>
              </w:rPr>
              <w:t>11</w:t>
            </w:r>
          </w:p>
          <w:p w14:paraId="07F448DE" w14:textId="77777777" w:rsidR="003B5013" w:rsidRPr="00950178" w:rsidRDefault="003B5013" w:rsidP="00962E3C">
            <w:pPr>
              <w:jc w:val="left"/>
              <w:rPr>
                <w:noProof/>
                <w:lang w:val="en-IE"/>
              </w:rPr>
            </w:pPr>
            <w:r w:rsidRPr="00950178">
              <w:rPr>
                <w:noProof/>
                <w:lang w:val="en-IE"/>
              </w:rPr>
              <w:t>joint customs operations were supported in 2021, targeting the protection of EU financial interests, counterfeit medicines, illegal pesticides, waste and wildlife trafficking.</w:t>
            </w:r>
          </w:p>
        </w:tc>
      </w:tr>
    </w:tbl>
    <w:p w14:paraId="1D77FE13" w14:textId="77777777" w:rsidR="003B5013" w:rsidRPr="00950178" w:rsidRDefault="003B5013" w:rsidP="003B5013">
      <w:pPr>
        <w:pStyle w:val="FootnoteText"/>
        <w:rPr>
          <w:rFonts w:eastAsiaTheme="minorEastAsia"/>
          <w:noProof/>
          <w:lang w:val="en-IE"/>
        </w:rPr>
      </w:pPr>
      <w:r w:rsidRPr="00950178">
        <w:rPr>
          <w:rFonts w:eastAsiaTheme="minorEastAsia"/>
          <w:noProof/>
          <w:lang w:val="en-IE"/>
        </w:rPr>
        <w:t>(*) Key achievements in the table state which period they relate to. Many come from the implementation of the predecessor programmes under the 2014-2020 multiannual financial framework. This is expected and is due to the multiannual life cycle of EU programmes and the projects they finance, where results often follow only after completion of the programmes.</w:t>
      </w:r>
    </w:p>
    <w:p w14:paraId="1F5AEAA8" w14:textId="77777777" w:rsidR="003B5013" w:rsidRPr="00950178" w:rsidRDefault="003B5013" w:rsidP="003B5013">
      <w:pPr>
        <w:pStyle w:val="ppoHeading5"/>
        <w:rPr>
          <w:noProof/>
          <w:lang w:val="en-IE"/>
        </w:rPr>
      </w:pPr>
      <w:r w:rsidRPr="00950178">
        <w:rPr>
          <w:noProof/>
          <w:lang w:val="en-IE"/>
        </w:rPr>
        <w:t>Budget for 2021-2027</w:t>
      </w:r>
    </w:p>
    <w:p w14:paraId="7DE8FB01" w14:textId="77777777" w:rsidR="003B5013" w:rsidRPr="00950178" w:rsidRDefault="003B5013" w:rsidP="003B5013">
      <w:pPr>
        <w:pStyle w:val="ppoTableTabletitle"/>
        <w:ind w:left="284"/>
        <w:rPr>
          <w:noProof/>
          <w:lang w:val="en-IE"/>
        </w:rPr>
      </w:pPr>
      <w:r w:rsidRPr="00950178">
        <w:rPr>
          <w:noProof/>
          <w:lang w:val="en-IE"/>
        </w:rPr>
        <w:t>(million EUR)</w:t>
      </w:r>
    </w:p>
    <w:tbl>
      <w:tblPr>
        <w:tblStyle w:val="PlainTable2"/>
        <w:tblW w:w="0" w:type="auto"/>
        <w:tblInd w:w="288" w:type="dxa"/>
        <w:tblLook w:val="04A0" w:firstRow="1" w:lastRow="0" w:firstColumn="1" w:lastColumn="0" w:noHBand="0" w:noVBand="1"/>
      </w:tblPr>
      <w:tblGrid>
        <w:gridCol w:w="4788"/>
        <w:gridCol w:w="2610"/>
      </w:tblGrid>
      <w:tr w:rsidR="003B5013" w:rsidRPr="00950178" w14:paraId="3C528A64" w14:textId="77777777" w:rsidTr="00AF1C5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6DF25C9B" w14:textId="77777777" w:rsidR="003B5013" w:rsidRPr="00950178" w:rsidRDefault="003B5013" w:rsidP="00AF1C52">
            <w:pPr>
              <w:spacing w:before="120" w:after="120"/>
              <w:rPr>
                <w:noProof/>
                <w:lang w:val="en-IE"/>
              </w:rPr>
            </w:pPr>
            <w:r w:rsidRPr="00950178">
              <w:rPr>
                <w:rFonts w:cs="Calibri"/>
                <w:noProof/>
                <w:color w:val="000000"/>
                <w:lang w:val="en-IE"/>
              </w:rPr>
              <w:t>Financial programming</w:t>
            </w:r>
          </w:p>
        </w:tc>
        <w:tc>
          <w:tcPr>
            <w:tcW w:w="2610" w:type="dxa"/>
            <w:shd w:val="clear" w:color="auto" w:fill="auto"/>
            <w:vAlign w:val="bottom"/>
          </w:tcPr>
          <w:p w14:paraId="05D7A145" w14:textId="77777777" w:rsidR="003B5013" w:rsidRPr="00950178" w:rsidRDefault="003B5013" w:rsidP="00AF1C52">
            <w:pPr>
              <w:spacing w:before="120" w:after="120"/>
              <w:jc w:val="center"/>
              <w:cnfStyle w:val="100000000000" w:firstRow="1" w:lastRow="0" w:firstColumn="0" w:lastColumn="0" w:oddVBand="0" w:evenVBand="0" w:oddHBand="0" w:evenHBand="0" w:firstRowFirstColumn="0" w:firstRowLastColumn="0" w:lastRowFirstColumn="0" w:lastRowLastColumn="0"/>
              <w:rPr>
                <w:b w:val="0"/>
                <w:noProof/>
                <w:lang w:val="en-IE"/>
              </w:rPr>
            </w:pPr>
            <w:r w:rsidRPr="00950178">
              <w:rPr>
                <w:rFonts w:cs="Calibri"/>
                <w:b w:val="0"/>
                <w:noProof/>
                <w:color w:val="000000"/>
                <w:lang w:val="en-IE"/>
              </w:rPr>
              <w:t>181.2</w:t>
            </w:r>
          </w:p>
        </w:tc>
      </w:tr>
      <w:tr w:rsidR="003B5013" w:rsidRPr="00950178" w14:paraId="36936105" w14:textId="77777777" w:rsidTr="00AF1C5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4593EC41" w14:textId="77777777" w:rsidR="003B5013" w:rsidRPr="00950178" w:rsidRDefault="003B5013" w:rsidP="00AF1C52">
            <w:pPr>
              <w:spacing w:before="120" w:after="120"/>
              <w:rPr>
                <w:b w:val="0"/>
                <w:noProof/>
                <w:lang w:val="en-IE"/>
              </w:rPr>
            </w:pPr>
            <w:r w:rsidRPr="00950178">
              <w:rPr>
                <w:rFonts w:cs="Calibri"/>
                <w:noProof/>
                <w:color w:val="000000"/>
                <w:lang w:val="en-IE"/>
              </w:rPr>
              <w:t>NextGenerationEU</w:t>
            </w:r>
          </w:p>
        </w:tc>
        <w:tc>
          <w:tcPr>
            <w:tcW w:w="2610" w:type="dxa"/>
            <w:vAlign w:val="bottom"/>
          </w:tcPr>
          <w:p w14:paraId="56DB4FDB" w14:textId="77777777" w:rsidR="003B5013" w:rsidRPr="00950178" w:rsidRDefault="003B5013" w:rsidP="00AF1C52">
            <w:pPr>
              <w:spacing w:before="120" w:after="120"/>
              <w:jc w:val="center"/>
              <w:cnfStyle w:val="000000100000" w:firstRow="0" w:lastRow="0" w:firstColumn="0" w:lastColumn="0" w:oddVBand="0" w:evenVBand="0" w:oddHBand="1" w:evenHBand="0" w:firstRowFirstColumn="0" w:firstRowLastColumn="0" w:lastRowFirstColumn="0" w:lastRowLastColumn="0"/>
              <w:rPr>
                <w:noProof/>
                <w:lang w:val="en-IE"/>
              </w:rPr>
            </w:pPr>
            <w:r w:rsidRPr="00950178">
              <w:rPr>
                <w:rFonts w:cs="Calibri"/>
                <w:noProof/>
                <w:color w:val="000000"/>
                <w:lang w:val="en-IE"/>
              </w:rPr>
              <w:t>0</w:t>
            </w:r>
          </w:p>
        </w:tc>
      </w:tr>
      <w:tr w:rsidR="003B5013" w:rsidRPr="00950178" w14:paraId="124EBAB1" w14:textId="77777777" w:rsidTr="00AF1C52">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4EFDDC33" w14:textId="77777777" w:rsidR="003B5013" w:rsidRPr="00950178" w:rsidRDefault="003B5013" w:rsidP="00AF1C52">
            <w:pPr>
              <w:spacing w:before="120" w:after="120"/>
              <w:rPr>
                <w:b w:val="0"/>
                <w:noProof/>
                <w:lang w:val="en-IE"/>
              </w:rPr>
            </w:pPr>
            <w:r w:rsidRPr="00950178">
              <w:rPr>
                <w:noProof/>
                <w:lang w:val="en-IE"/>
              </w:rPr>
              <w:t>Decommitments made available again</w:t>
            </w:r>
            <w:r w:rsidRPr="00950178">
              <w:rPr>
                <w:rFonts w:ascii="Calibri" w:hAnsi="Calibri" w:cs="Calibri"/>
                <w:noProof/>
                <w:lang w:val="en-IE"/>
              </w:rPr>
              <w:t> </w:t>
            </w:r>
            <w:r w:rsidRPr="00DE538D">
              <w:rPr>
                <w:rFonts w:cs="Calibri"/>
                <w:noProof/>
                <w:lang w:val="en-IE"/>
              </w:rPr>
              <w:t>(</w:t>
            </w:r>
            <w:r w:rsidRPr="00950178">
              <w:rPr>
                <w:rFonts w:cs="Calibri"/>
                <w:noProof/>
                <w:color w:val="000000"/>
                <w:lang w:val="en-IE"/>
              </w:rPr>
              <w:t>*)</w:t>
            </w:r>
          </w:p>
        </w:tc>
        <w:tc>
          <w:tcPr>
            <w:tcW w:w="2610" w:type="dxa"/>
            <w:vAlign w:val="bottom"/>
          </w:tcPr>
          <w:p w14:paraId="7BF57321" w14:textId="2F49824B" w:rsidR="003B5013" w:rsidRPr="00950178" w:rsidRDefault="003B5013" w:rsidP="00AF1C52">
            <w:pPr>
              <w:spacing w:before="120" w:after="120"/>
              <w:jc w:val="center"/>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N/A</w:t>
            </w:r>
          </w:p>
        </w:tc>
      </w:tr>
      <w:tr w:rsidR="003B5013" w:rsidRPr="00950178" w14:paraId="5204CFA7" w14:textId="77777777" w:rsidTr="00AF1C5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715CDBF5" w14:textId="77777777" w:rsidR="003B5013" w:rsidRPr="00950178" w:rsidRDefault="003B5013" w:rsidP="00AF1C52">
            <w:pPr>
              <w:spacing w:before="120" w:after="120"/>
              <w:rPr>
                <w:noProof/>
                <w:lang w:val="en-IE"/>
              </w:rPr>
            </w:pPr>
            <w:r w:rsidRPr="00950178">
              <w:rPr>
                <w:rFonts w:cs="Calibri"/>
                <w:noProof/>
                <w:color w:val="000000"/>
                <w:lang w:val="en-IE"/>
              </w:rPr>
              <w:t>Contributions from other countries and entities</w:t>
            </w:r>
          </w:p>
        </w:tc>
        <w:tc>
          <w:tcPr>
            <w:tcW w:w="2610" w:type="dxa"/>
            <w:vAlign w:val="bottom"/>
          </w:tcPr>
          <w:p w14:paraId="126F4709" w14:textId="77777777" w:rsidR="003B5013" w:rsidRPr="00950178" w:rsidRDefault="003B5013" w:rsidP="00AF1C52">
            <w:pPr>
              <w:spacing w:before="120" w:after="120"/>
              <w:jc w:val="center"/>
              <w:cnfStyle w:val="000000100000" w:firstRow="0" w:lastRow="0" w:firstColumn="0" w:lastColumn="0" w:oddVBand="0" w:evenVBand="0" w:oddHBand="1" w:evenHBand="0" w:firstRowFirstColumn="0" w:firstRowLastColumn="0" w:lastRowFirstColumn="0" w:lastRowLastColumn="0"/>
              <w:rPr>
                <w:noProof/>
                <w:lang w:val="en-IE"/>
              </w:rPr>
            </w:pPr>
            <w:r w:rsidRPr="00950178">
              <w:rPr>
                <w:rFonts w:cs="Calibri"/>
                <w:noProof/>
                <w:color w:val="000000"/>
                <w:lang w:val="en-IE"/>
              </w:rPr>
              <w:t>0</w:t>
            </w:r>
          </w:p>
        </w:tc>
      </w:tr>
      <w:tr w:rsidR="003B5013" w:rsidRPr="00950178" w14:paraId="1B0DD46F" w14:textId="77777777" w:rsidTr="00AF1C52">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2F2F2" w:themeFill="background1" w:themeFillShade="F2"/>
            <w:vAlign w:val="bottom"/>
          </w:tcPr>
          <w:p w14:paraId="1D9F1A07" w14:textId="77777777" w:rsidR="003B5013" w:rsidRPr="00950178" w:rsidRDefault="003B5013" w:rsidP="00AF1C52">
            <w:pPr>
              <w:spacing w:before="120" w:after="120"/>
              <w:rPr>
                <w:noProof/>
                <w:lang w:val="en-IE"/>
              </w:rPr>
            </w:pPr>
            <w:r w:rsidRPr="00950178">
              <w:rPr>
                <w:rFonts w:cs="Calibri"/>
                <w:noProof/>
                <w:color w:val="000000"/>
                <w:lang w:val="en-IE"/>
              </w:rPr>
              <w:t>Total budget for 2021-2027</w:t>
            </w:r>
          </w:p>
        </w:tc>
        <w:tc>
          <w:tcPr>
            <w:tcW w:w="2610" w:type="dxa"/>
            <w:shd w:val="clear" w:color="auto" w:fill="F2F2F2" w:themeFill="background1" w:themeFillShade="F2"/>
            <w:vAlign w:val="bottom"/>
          </w:tcPr>
          <w:p w14:paraId="7BB648A5" w14:textId="77777777" w:rsidR="003B5013" w:rsidRPr="00950178" w:rsidRDefault="003B5013" w:rsidP="00AF1C52">
            <w:pPr>
              <w:spacing w:before="120" w:after="120"/>
              <w:jc w:val="center"/>
              <w:cnfStyle w:val="000000000000" w:firstRow="0" w:lastRow="0" w:firstColumn="0" w:lastColumn="0" w:oddVBand="0" w:evenVBand="0" w:oddHBand="0" w:evenHBand="0" w:firstRowFirstColumn="0" w:firstRowLastColumn="0" w:lastRowFirstColumn="0" w:lastRowLastColumn="0"/>
              <w:rPr>
                <w:b/>
                <w:noProof/>
                <w:lang w:val="en-IE"/>
              </w:rPr>
            </w:pPr>
            <w:r w:rsidRPr="00950178">
              <w:rPr>
                <w:rFonts w:cs="Calibri"/>
                <w:b/>
                <w:noProof/>
                <w:color w:val="000000"/>
                <w:lang w:val="en-IE"/>
              </w:rPr>
              <w:t>181.2</w:t>
            </w:r>
          </w:p>
        </w:tc>
      </w:tr>
    </w:tbl>
    <w:p w14:paraId="7C9B6EC7" w14:textId="77777777" w:rsidR="003B5013" w:rsidRPr="00DE538D" w:rsidRDefault="003B5013" w:rsidP="003B5013">
      <w:pPr>
        <w:tabs>
          <w:tab w:val="left" w:pos="6793"/>
        </w:tabs>
        <w:rPr>
          <w:noProof/>
          <w:sz w:val="18"/>
          <w:szCs w:val="18"/>
          <w:lang w:val="en-IE"/>
        </w:rPr>
      </w:pPr>
      <w:r w:rsidRPr="00DE538D">
        <w:rPr>
          <w:noProof/>
          <w:sz w:val="18"/>
          <w:szCs w:val="18"/>
          <w:lang w:val="en-IE"/>
        </w:rPr>
        <w:t>(*) Only Article</w:t>
      </w:r>
      <w:r w:rsidRPr="00DE538D">
        <w:rPr>
          <w:rFonts w:ascii="Calibri" w:hAnsi="Calibri" w:cs="Calibri"/>
          <w:noProof/>
          <w:sz w:val="18"/>
          <w:szCs w:val="18"/>
          <w:lang w:val="en-IE"/>
        </w:rPr>
        <w:t> </w:t>
      </w:r>
      <w:r w:rsidRPr="00DE538D">
        <w:rPr>
          <w:noProof/>
          <w:sz w:val="18"/>
          <w:szCs w:val="18"/>
          <w:lang w:val="en-IE"/>
        </w:rPr>
        <w:t xml:space="preserve">15(3) of the </w:t>
      </w:r>
      <w:r w:rsidRPr="00950178">
        <w:rPr>
          <w:noProof/>
          <w:sz w:val="18"/>
          <w:szCs w:val="18"/>
          <w:lang w:val="en-IE"/>
        </w:rPr>
        <w:t>f</w:t>
      </w:r>
      <w:r w:rsidRPr="00DE538D">
        <w:rPr>
          <w:noProof/>
          <w:sz w:val="18"/>
          <w:szCs w:val="18"/>
          <w:lang w:val="en-IE"/>
        </w:rPr>
        <w:t xml:space="preserve">inancial </w:t>
      </w:r>
      <w:r w:rsidRPr="00950178">
        <w:rPr>
          <w:noProof/>
          <w:sz w:val="18"/>
          <w:szCs w:val="18"/>
          <w:lang w:val="en-IE"/>
        </w:rPr>
        <w:t>r</w:t>
      </w:r>
      <w:r w:rsidRPr="00DE538D">
        <w:rPr>
          <w:noProof/>
          <w:sz w:val="18"/>
          <w:szCs w:val="18"/>
          <w:lang w:val="en-IE"/>
        </w:rPr>
        <w:t>egulation</w:t>
      </w:r>
      <w:r w:rsidRPr="00950178">
        <w:rPr>
          <w:noProof/>
          <w:sz w:val="18"/>
          <w:szCs w:val="18"/>
          <w:lang w:val="en-IE"/>
        </w:rPr>
        <w:t>.</w:t>
      </w:r>
    </w:p>
    <w:p w14:paraId="71F5BAEE" w14:textId="77777777" w:rsidR="003B5013" w:rsidRPr="00950178" w:rsidRDefault="003B5013" w:rsidP="003B5013">
      <w:pPr>
        <w:pStyle w:val="ppoHeading5"/>
        <w:rPr>
          <w:noProof/>
          <w:lang w:val="en-IE"/>
        </w:rPr>
      </w:pPr>
      <w:r w:rsidRPr="00950178">
        <w:rPr>
          <w:noProof/>
          <w:lang w:val="en-IE"/>
        </w:rPr>
        <w:t>Rationale and design of the programme</w:t>
      </w:r>
    </w:p>
    <w:p w14:paraId="74537919" w14:textId="77777777" w:rsidR="00D9604A" w:rsidRPr="00950178" w:rsidRDefault="00D9604A" w:rsidP="00D9604A">
      <w:pPr>
        <w:rPr>
          <w:rFonts w:eastAsiaTheme="minorEastAsia"/>
          <w:noProof/>
          <w:lang w:val="en-IE"/>
        </w:rPr>
      </w:pPr>
      <w:r w:rsidRPr="00950178">
        <w:rPr>
          <w:rFonts w:eastAsiaTheme="minorEastAsia"/>
          <w:noProof/>
          <w:lang w:val="en-IE"/>
        </w:rPr>
        <w:t>The programme fights against fraud and any other illegal activities affecting the financial interests of the EU. Through its three strands, it helps Member States fight fraud through financial support</w:t>
      </w:r>
      <w:r>
        <w:rPr>
          <w:rFonts w:eastAsiaTheme="minorEastAsia"/>
          <w:noProof/>
          <w:lang w:val="en-IE"/>
        </w:rPr>
        <w:t xml:space="preserve"> and by</w:t>
      </w:r>
      <w:r w:rsidRPr="00950178">
        <w:rPr>
          <w:rFonts w:eastAsiaTheme="minorEastAsia"/>
          <w:noProof/>
          <w:lang w:val="en-IE"/>
        </w:rPr>
        <w:t xml:space="preserve"> organising mutual administrative assistance and cooperation in customs and agricultural matters</w:t>
      </w:r>
      <w:r>
        <w:rPr>
          <w:rFonts w:eastAsiaTheme="minorEastAsia"/>
          <w:noProof/>
          <w:lang w:val="en-IE"/>
        </w:rPr>
        <w:t xml:space="preserve">, notably via the </w:t>
      </w:r>
      <w:r w:rsidRPr="00950178">
        <w:rPr>
          <w:rFonts w:eastAsiaTheme="minorEastAsia"/>
          <w:noProof/>
          <w:lang w:val="en-IE"/>
        </w:rPr>
        <w:t xml:space="preserve">Anti-Fraud Information System </w:t>
      </w:r>
      <w:r>
        <w:rPr>
          <w:rFonts w:eastAsiaTheme="minorEastAsia"/>
          <w:noProof/>
          <w:lang w:val="en-IE"/>
        </w:rPr>
        <w:t>(</w:t>
      </w:r>
      <w:r w:rsidRPr="00950178">
        <w:rPr>
          <w:rFonts w:eastAsiaTheme="minorEastAsia"/>
          <w:noProof/>
          <w:lang w:val="en-IE"/>
        </w:rPr>
        <w:t>AFIS) and the Irregularity Management System (IMS).</w:t>
      </w:r>
    </w:p>
    <w:p w14:paraId="5ED29D32" w14:textId="5DF914AE" w:rsidR="003B5013" w:rsidRPr="00950178" w:rsidRDefault="00D9604A" w:rsidP="00D9604A">
      <w:pPr>
        <w:pStyle w:val="ppoHeading6"/>
        <w:rPr>
          <w:noProof/>
          <w:lang w:val="en-IE"/>
        </w:rPr>
      </w:pPr>
      <w:r w:rsidRPr="00950178">
        <w:rPr>
          <w:noProof/>
          <w:lang w:val="en-IE"/>
        </w:rPr>
        <w:t xml:space="preserve"> </w:t>
      </w:r>
      <w:r w:rsidR="003B5013" w:rsidRPr="00950178">
        <w:rPr>
          <w:noProof/>
          <w:lang w:val="en-IE"/>
        </w:rPr>
        <w:t>Challenge</w:t>
      </w:r>
    </w:p>
    <w:p w14:paraId="50E55D1B" w14:textId="77777777" w:rsidR="003B5013" w:rsidRPr="00950178" w:rsidRDefault="003B5013" w:rsidP="003B5013">
      <w:pPr>
        <w:rPr>
          <w:noProof/>
          <w:lang w:val="en-IE"/>
        </w:rPr>
      </w:pPr>
      <w:r w:rsidRPr="00950178">
        <w:rPr>
          <w:noProof/>
          <w:lang w:val="en-IE"/>
        </w:rPr>
        <w:t>The EU’s financial interests are threatened by fraudulent activities and financial irregularities</w:t>
      </w:r>
      <w:r w:rsidRPr="00950178">
        <w:rPr>
          <w:rFonts w:ascii="Calibri" w:hAnsi="Calibri" w:cs="Calibri"/>
          <w:noProof/>
          <w:lang w:val="en-IE"/>
        </w:rPr>
        <w:t> –</w:t>
      </w:r>
      <w:r w:rsidRPr="00950178">
        <w:rPr>
          <w:noProof/>
          <w:lang w:val="en-IE"/>
        </w:rPr>
        <w:t xml:space="preserve"> both on revenues and expenditure</w:t>
      </w:r>
      <w:r w:rsidRPr="00950178">
        <w:rPr>
          <w:rFonts w:ascii="Calibri" w:hAnsi="Calibri" w:cs="Calibri"/>
          <w:noProof/>
          <w:lang w:val="en-IE"/>
        </w:rPr>
        <w:t> –</w:t>
      </w:r>
      <w:r w:rsidRPr="00950178">
        <w:rPr>
          <w:noProof/>
          <w:lang w:val="en-IE"/>
        </w:rPr>
        <w:t xml:space="preserve"> as shown every year by the Commission’s annual report on the protection of the EU’s financial interests. </w:t>
      </w:r>
    </w:p>
    <w:p w14:paraId="0A31BBC4" w14:textId="77777777" w:rsidR="003B5013" w:rsidRPr="00950178" w:rsidRDefault="003B5013" w:rsidP="003B5013">
      <w:pPr>
        <w:rPr>
          <w:noProof/>
          <w:lang w:val="en-IE"/>
        </w:rPr>
      </w:pPr>
      <w:r w:rsidRPr="00950178">
        <w:rPr>
          <w:noProof/>
          <w:lang w:val="en-IE"/>
        </w:rPr>
        <w:t>Tackling these threats requires continuous and enhanced action by the EU. Irregularities and fraud are by definition an EU-wide phenomenon, which is not limited to any individual Member State. Intervention at the EU level on the protection of EU financial interests is justified in terms of subsidiarity, where it facilitates cooperation between the EU and the Member States or between Member States, without impinging on Member States’ responsibilities. Examples of such interventions include the necessary coordination of Member States’ antifraud activities and the provision of financial, technical and information support to Member States in their efforts and actions to protect the EU’s financial interests. The importance and value of this coordination and support role by the EU are particularly obvious when the fraud or irregularity has a cross-border dimension or affects several Member States.</w:t>
      </w:r>
    </w:p>
    <w:p w14:paraId="30FCF159" w14:textId="77777777" w:rsidR="003B5013" w:rsidRPr="00950178" w:rsidRDefault="003B5013" w:rsidP="003B5013">
      <w:pPr>
        <w:pStyle w:val="ppoHeading6"/>
        <w:rPr>
          <w:noProof/>
          <w:lang w:val="en-IE"/>
        </w:rPr>
      </w:pPr>
      <w:r w:rsidRPr="00950178">
        <w:rPr>
          <w:noProof/>
          <w:lang w:val="en-IE"/>
        </w:rPr>
        <w:t>Mission</w:t>
      </w:r>
    </w:p>
    <w:p w14:paraId="72C39E13" w14:textId="77777777" w:rsidR="003B5013" w:rsidRPr="00950178" w:rsidRDefault="003B5013" w:rsidP="003B5013">
      <w:pPr>
        <w:rPr>
          <w:noProof/>
          <w:lang w:val="en-IE"/>
        </w:rPr>
      </w:pPr>
      <w:r w:rsidRPr="00950178">
        <w:rPr>
          <w:noProof/>
          <w:lang w:val="en-IE"/>
        </w:rPr>
        <w:t>The programme supports and complements Member State efforts to prevent and fight fraud affecting the financial interests of the EU and provides mutual assistance in customs and agricultural matters.</w:t>
      </w:r>
    </w:p>
    <w:p w14:paraId="55942853" w14:textId="77777777" w:rsidR="003B5013" w:rsidRPr="00950178" w:rsidRDefault="003B5013" w:rsidP="003B5013">
      <w:pPr>
        <w:pStyle w:val="ppoHeading6"/>
        <w:rPr>
          <w:noProof/>
          <w:lang w:val="en-IE"/>
        </w:rPr>
      </w:pPr>
      <w:r w:rsidRPr="00950178">
        <w:rPr>
          <w:noProof/>
          <w:lang w:val="en-IE"/>
        </w:rPr>
        <w:t>OBJECTIVES</w:t>
      </w:r>
    </w:p>
    <w:p w14:paraId="2FDBE7DF" w14:textId="77777777" w:rsidR="003B5013" w:rsidRPr="00950178" w:rsidRDefault="003B5013" w:rsidP="003B5013">
      <w:pPr>
        <w:rPr>
          <w:noProof/>
          <w:lang w:val="en-IE"/>
        </w:rPr>
      </w:pPr>
      <w:r w:rsidRPr="00950178">
        <w:rPr>
          <w:noProof/>
          <w:lang w:val="en-IE"/>
        </w:rPr>
        <w:t>The programme has three components, each with its specific objective:</w:t>
      </w:r>
    </w:p>
    <w:p w14:paraId="225B292F" w14:textId="77777777" w:rsidR="003B5013" w:rsidRPr="00950178" w:rsidRDefault="003B5013" w:rsidP="003B5013">
      <w:pPr>
        <w:pStyle w:val="ppoListHyphened-L1"/>
        <w:rPr>
          <w:noProof/>
          <w:lang w:val="en-IE"/>
        </w:rPr>
      </w:pPr>
      <w:r w:rsidRPr="00950178">
        <w:rPr>
          <w:noProof/>
          <w:lang w:val="en-IE"/>
        </w:rPr>
        <w:t>preventing and combating fraud, corruption and any other illegal activities affecting the financial interests of the EU;</w:t>
      </w:r>
    </w:p>
    <w:p w14:paraId="1E47BB61" w14:textId="77777777" w:rsidR="003B5013" w:rsidRPr="00950178" w:rsidRDefault="003B5013" w:rsidP="003B5013">
      <w:pPr>
        <w:pStyle w:val="ppoListHyphened-L1"/>
        <w:rPr>
          <w:noProof/>
          <w:lang w:val="en-IE"/>
        </w:rPr>
      </w:pPr>
      <w:r w:rsidRPr="00950178">
        <w:rPr>
          <w:noProof/>
          <w:lang w:val="en-IE"/>
        </w:rPr>
        <w:t>supporting the reporting of irregularities, including fraud, with regard to the shared management and pre-accession funds of the EU budget;</w:t>
      </w:r>
    </w:p>
    <w:p w14:paraId="40EC40C5" w14:textId="77777777" w:rsidR="003B5013" w:rsidRPr="00950178" w:rsidRDefault="003B5013" w:rsidP="003B5013">
      <w:pPr>
        <w:pStyle w:val="ppoListHyphened-L1"/>
        <w:rPr>
          <w:noProof/>
          <w:lang w:val="en-IE"/>
        </w:rPr>
      </w:pPr>
      <w:r w:rsidRPr="00950178">
        <w:rPr>
          <w:noProof/>
          <w:lang w:val="en-IE"/>
        </w:rPr>
        <w:t>providing tools for information exchange and support for operational activities in the field of mutual administrative assistance in customs and agricultural matters.</w:t>
      </w:r>
    </w:p>
    <w:p w14:paraId="427D98D0" w14:textId="77777777" w:rsidR="003B5013" w:rsidRPr="00950178" w:rsidRDefault="003B5013" w:rsidP="003B5013">
      <w:pPr>
        <w:pStyle w:val="ppoHeading6"/>
        <w:rPr>
          <w:noProof/>
          <w:lang w:val="en-IE"/>
        </w:rPr>
      </w:pPr>
      <w:r w:rsidRPr="00950178">
        <w:rPr>
          <w:noProof/>
          <w:lang w:val="en-IE"/>
        </w:rPr>
        <w:t>Actions</w:t>
      </w:r>
    </w:p>
    <w:p w14:paraId="675C35D5" w14:textId="77777777" w:rsidR="003B5013" w:rsidRPr="00950178" w:rsidRDefault="003B5013" w:rsidP="003B5013">
      <w:pPr>
        <w:rPr>
          <w:noProof/>
          <w:lang w:val="en-IE"/>
        </w:rPr>
      </w:pPr>
      <w:r w:rsidRPr="00950178">
        <w:rPr>
          <w:noProof/>
          <w:lang w:val="en-IE"/>
        </w:rPr>
        <w:t xml:space="preserve">The first component of the programme provides Member States with targeted assistance in achieving their obligations to protect the EU’s financial interests by supporting the purchase of specific anti-fraud equipment, specific trainings, targeted conferences and studies. </w:t>
      </w:r>
    </w:p>
    <w:p w14:paraId="578A1727" w14:textId="77777777" w:rsidR="003B5013" w:rsidRPr="00950178" w:rsidRDefault="003B5013" w:rsidP="003B5013">
      <w:pPr>
        <w:rPr>
          <w:noProof/>
          <w:lang w:val="en-IE"/>
        </w:rPr>
      </w:pPr>
      <w:r w:rsidRPr="00950178">
        <w:rPr>
          <w:noProof/>
          <w:lang w:val="en-IE"/>
        </w:rPr>
        <w:t>For the second component, the Commission puts at Member States’ disposal and maintains the Irregularity Management System to facilitate Member States’ and candidate countries’ compliance with their obligation (laid down in various sectorial pieces of legislation) to report detected irregularities</w:t>
      </w:r>
      <w:r w:rsidRPr="00950178">
        <w:rPr>
          <w:rFonts w:ascii="Calibri" w:hAnsi="Calibri" w:cs="Calibri"/>
          <w:noProof/>
          <w:lang w:val="en-IE"/>
        </w:rPr>
        <w:t> –</w:t>
      </w:r>
      <w:r w:rsidRPr="00950178">
        <w:rPr>
          <w:noProof/>
          <w:lang w:val="en-IE"/>
        </w:rPr>
        <w:t xml:space="preserve"> including fraud</w:t>
      </w:r>
      <w:r w:rsidRPr="00950178">
        <w:rPr>
          <w:rFonts w:ascii="Calibri" w:hAnsi="Calibri" w:cs="Calibri"/>
          <w:noProof/>
          <w:lang w:val="en-IE"/>
        </w:rPr>
        <w:t> –</w:t>
      </w:r>
      <w:r w:rsidRPr="00950178">
        <w:rPr>
          <w:noProof/>
          <w:lang w:val="en-IE"/>
        </w:rPr>
        <w:t xml:space="preserve"> in cases related to shared management and pre-accession assistance funds. </w:t>
      </w:r>
    </w:p>
    <w:p w14:paraId="67A706C9" w14:textId="77777777" w:rsidR="003B5013" w:rsidRPr="00950178" w:rsidRDefault="003B5013" w:rsidP="003B5013">
      <w:pPr>
        <w:rPr>
          <w:noProof/>
          <w:lang w:val="en-IE"/>
        </w:rPr>
      </w:pPr>
      <w:r w:rsidRPr="00950178">
        <w:rPr>
          <w:noProof/>
          <w:lang w:val="en-IE"/>
        </w:rPr>
        <w:t>The third component encompasses the operation and maintenance of AFIS (supporting Member States’ mutual assistance in customs and agricultural matters) and other supported activities, such as joint customs operations, training courses and preparatory or evaluation meetings for operational actions.</w:t>
      </w:r>
    </w:p>
    <w:p w14:paraId="0DBC4223" w14:textId="77777777" w:rsidR="003B5013" w:rsidRPr="00950178" w:rsidRDefault="003B5013" w:rsidP="003B5013">
      <w:pPr>
        <w:pStyle w:val="ppoHeading6"/>
        <w:rPr>
          <w:noProof/>
          <w:lang w:val="en-IE"/>
        </w:rPr>
      </w:pPr>
      <w:r w:rsidRPr="00950178">
        <w:rPr>
          <w:noProof/>
          <w:lang w:val="en-IE"/>
        </w:rPr>
        <w:t>Delivery mode</w:t>
      </w:r>
    </w:p>
    <w:p w14:paraId="0A41E886" w14:textId="77777777" w:rsidR="003B5013" w:rsidRPr="00950178" w:rsidRDefault="003B5013" w:rsidP="003B5013">
      <w:pPr>
        <w:rPr>
          <w:noProof/>
          <w:lang w:val="en-IE"/>
        </w:rPr>
      </w:pPr>
      <w:r w:rsidRPr="00950178">
        <w:rPr>
          <w:noProof/>
          <w:lang w:val="en-IE"/>
        </w:rPr>
        <w:t>The programme is implemented through direct management. The European Anti-Fraud Office (OLAF) is the lead service for programme implementation.</w:t>
      </w:r>
    </w:p>
    <w:p w14:paraId="1D820BD0" w14:textId="77777777" w:rsidR="003B5013" w:rsidRPr="00950178" w:rsidRDefault="003B5013" w:rsidP="003B5013">
      <w:pPr>
        <w:pStyle w:val="ppoHeading6"/>
        <w:rPr>
          <w:noProof/>
          <w:lang w:val="en-IE"/>
        </w:rPr>
      </w:pPr>
      <w:r w:rsidRPr="00950178">
        <w:rPr>
          <w:noProof/>
          <w:lang w:val="en-IE"/>
        </w:rPr>
        <w:t>LINK TO THE 2014-2020 MULTIANNUAL FINANCIAL FRAMEWORK</w:t>
      </w:r>
    </w:p>
    <w:p w14:paraId="210BE7B5" w14:textId="77777777" w:rsidR="003B5013" w:rsidRPr="00950178" w:rsidRDefault="003B5013" w:rsidP="003B5013">
      <w:pPr>
        <w:rPr>
          <w:noProof/>
          <w:lang w:val="en-IE"/>
        </w:rPr>
      </w:pPr>
      <w:r w:rsidRPr="00950178">
        <w:rPr>
          <w:noProof/>
          <w:lang w:val="en-IE"/>
        </w:rPr>
        <w:t>The programme merges three instruments that were implemented separately in the 2014-2020 multiannual financial framework, namely the former Hercule</w:t>
      </w:r>
      <w:r w:rsidRPr="00950178">
        <w:rPr>
          <w:rFonts w:ascii="Calibri" w:hAnsi="Calibri" w:cs="Calibri"/>
          <w:noProof/>
          <w:lang w:val="en-IE"/>
        </w:rPr>
        <w:t> </w:t>
      </w:r>
      <w:r w:rsidRPr="00950178">
        <w:rPr>
          <w:noProof/>
          <w:lang w:val="en-IE"/>
        </w:rPr>
        <w:t xml:space="preserve">III programme and the financing bases of both the Anti-Fraud Information System </w:t>
      </w:r>
      <w:r>
        <w:rPr>
          <w:noProof/>
          <w:lang w:val="en-IE"/>
        </w:rPr>
        <w:t xml:space="preserve">(AFIS) </w:t>
      </w:r>
      <w:r w:rsidRPr="00950178">
        <w:rPr>
          <w:noProof/>
          <w:lang w:val="en-IE"/>
        </w:rPr>
        <w:t>and the Irregularity Management System</w:t>
      </w:r>
      <w:r>
        <w:rPr>
          <w:noProof/>
          <w:lang w:val="en-IE"/>
        </w:rPr>
        <w:t xml:space="preserve"> (IMS)</w:t>
      </w:r>
      <w:r w:rsidRPr="00950178">
        <w:rPr>
          <w:noProof/>
          <w:lang w:val="en-IE"/>
        </w:rPr>
        <w:t>.</w:t>
      </w:r>
    </w:p>
    <w:p w14:paraId="60C4C69F" w14:textId="77777777" w:rsidR="003B5013" w:rsidRPr="00950178" w:rsidRDefault="003B5013" w:rsidP="003B5013">
      <w:pPr>
        <w:pStyle w:val="ppoHeading6"/>
        <w:rPr>
          <w:noProof/>
          <w:lang w:val="en-IE"/>
        </w:rPr>
      </w:pPr>
      <w:r w:rsidRPr="00950178">
        <w:rPr>
          <w:noProof/>
          <w:lang w:val="en-IE"/>
        </w:rPr>
        <w:t>Impact assessment</w:t>
      </w:r>
    </w:p>
    <w:p w14:paraId="7804A09E" w14:textId="77777777" w:rsidR="003B5013" w:rsidRPr="00950178" w:rsidRDefault="003B5013" w:rsidP="003B5013">
      <w:pPr>
        <w:rPr>
          <w:noProof/>
          <w:lang w:val="en-IE"/>
        </w:rPr>
      </w:pPr>
      <w:r w:rsidRPr="00950178">
        <w:rPr>
          <w:noProof/>
          <w:lang w:val="en-IE"/>
        </w:rPr>
        <w:t xml:space="preserve">The </w:t>
      </w:r>
      <w:r w:rsidRPr="00DE538D">
        <w:rPr>
          <w:i/>
          <w:iCs/>
          <w:noProof/>
          <w:lang w:val="en-IE"/>
        </w:rPr>
        <w:t>ex</w:t>
      </w:r>
      <w:r w:rsidRPr="00DE538D">
        <w:rPr>
          <w:rFonts w:ascii="Cambria Math" w:hAnsi="Cambria Math" w:cs="Cambria Math"/>
          <w:i/>
          <w:iCs/>
          <w:noProof/>
          <w:lang w:val="en-IE"/>
        </w:rPr>
        <w:t xml:space="preserve"> </w:t>
      </w:r>
      <w:r w:rsidRPr="00DE538D">
        <w:rPr>
          <w:i/>
          <w:iCs/>
          <w:noProof/>
          <w:lang w:val="en-IE"/>
        </w:rPr>
        <w:t>ante</w:t>
      </w:r>
      <w:r w:rsidRPr="00950178">
        <w:rPr>
          <w:noProof/>
          <w:lang w:val="en-IE"/>
        </w:rPr>
        <w:t xml:space="preserve"> evaluation of the</w:t>
      </w:r>
      <w:r w:rsidRPr="00950178">
        <w:rPr>
          <w:rFonts w:ascii="Calibri" w:hAnsi="Calibri" w:cs="Calibri"/>
          <w:noProof/>
          <w:lang w:val="en-IE"/>
        </w:rPr>
        <w:t xml:space="preserve"> </w:t>
      </w:r>
      <w:r w:rsidRPr="00950178">
        <w:rPr>
          <w:noProof/>
          <w:lang w:val="en-IE"/>
        </w:rPr>
        <w:t xml:space="preserve">programme was carried out in 2018. For further information please consult: </w:t>
      </w:r>
      <w:hyperlink r:id="rId154" w:history="1">
        <w:r w:rsidRPr="00DE538D">
          <w:rPr>
            <w:rStyle w:val="Hyperlink"/>
            <w:noProof/>
            <w:lang w:val="en-IE"/>
          </w:rPr>
          <w:t>https://eur-lex.europa.eu/legal-content/EN/TXT/HTML/?uri=CELEX:52018SC0294</w:t>
        </w:r>
      </w:hyperlink>
    </w:p>
    <w:p w14:paraId="6492CBF3" w14:textId="77777777" w:rsidR="003B5013" w:rsidRPr="00950178" w:rsidRDefault="003B5013" w:rsidP="003B5013">
      <w:pPr>
        <w:pStyle w:val="ppoHeading6"/>
        <w:rPr>
          <w:noProof/>
          <w:lang w:val="en-IE"/>
        </w:rPr>
      </w:pPr>
      <w:r w:rsidRPr="00950178">
        <w:rPr>
          <w:noProof/>
          <w:lang w:val="en-IE"/>
        </w:rPr>
        <w:t>WEBSITE FOR more information</w:t>
      </w:r>
    </w:p>
    <w:p w14:paraId="6EA72189" w14:textId="77777777" w:rsidR="003B5013" w:rsidRPr="00950178" w:rsidRDefault="00E01E9B" w:rsidP="003B5013">
      <w:pPr>
        <w:rPr>
          <w:noProof/>
          <w:lang w:val="en-IE"/>
        </w:rPr>
      </w:pPr>
      <w:hyperlink r:id="rId155" w:history="1">
        <w:r w:rsidR="003B5013" w:rsidRPr="00950178">
          <w:rPr>
            <w:rStyle w:val="Hyperlink"/>
            <w:noProof/>
            <w:lang w:val="en-IE"/>
          </w:rPr>
          <w:t>https://ec.europa.eu/anti</w:t>
        </w:r>
        <w:r w:rsidR="003B5013" w:rsidRPr="00950178">
          <w:rPr>
            <w:rStyle w:val="Hyperlink"/>
            <w:rFonts w:ascii="Cambria Math" w:hAnsi="Cambria Math" w:cs="Cambria Math"/>
            <w:noProof/>
            <w:lang w:val="en-IE"/>
          </w:rPr>
          <w:t>‐</w:t>
        </w:r>
        <w:r w:rsidR="003B5013" w:rsidRPr="00950178">
          <w:rPr>
            <w:rStyle w:val="Hyperlink"/>
            <w:noProof/>
            <w:lang w:val="en-IE"/>
          </w:rPr>
          <w:t>fraud/</w:t>
        </w:r>
      </w:hyperlink>
    </w:p>
    <w:p w14:paraId="1CBE7311" w14:textId="77777777" w:rsidR="003B5013" w:rsidRPr="00950178" w:rsidRDefault="003B5013" w:rsidP="003B5013">
      <w:pPr>
        <w:pStyle w:val="ppoHeading5"/>
        <w:rPr>
          <w:noProof/>
          <w:lang w:val="en-IE"/>
        </w:rPr>
      </w:pPr>
      <w:r w:rsidRPr="00950178">
        <w:rPr>
          <w:rFonts w:eastAsiaTheme="minorEastAsia"/>
          <w:noProof/>
          <w:lang w:val="en-IE"/>
        </w:rPr>
        <w:t>Legal Basis</w:t>
      </w:r>
    </w:p>
    <w:p w14:paraId="51511509" w14:textId="77777777" w:rsidR="003B5013" w:rsidRPr="00950178" w:rsidRDefault="003B5013" w:rsidP="003B5013">
      <w:pPr>
        <w:rPr>
          <w:noProof/>
          <w:lang w:val="en-IE"/>
        </w:rPr>
      </w:pPr>
      <w:r w:rsidRPr="00950178">
        <w:rPr>
          <w:noProof/>
          <w:lang w:val="en-IE"/>
        </w:rPr>
        <w:t>Regulation (EU)</w:t>
      </w:r>
      <w:r w:rsidRPr="00950178">
        <w:rPr>
          <w:rFonts w:ascii="Calibri" w:hAnsi="Calibri" w:cs="Calibri"/>
          <w:noProof/>
          <w:lang w:val="en-IE"/>
        </w:rPr>
        <w:t> </w:t>
      </w:r>
      <w:r w:rsidRPr="00950178">
        <w:rPr>
          <w:noProof/>
          <w:lang w:val="en-IE"/>
        </w:rPr>
        <w:t>2021/785 of 29.4.2021 of the European Parliament and of the Council.</w:t>
      </w:r>
    </w:p>
    <w:p w14:paraId="2EA0ED83" w14:textId="77777777" w:rsidR="003B5013" w:rsidRPr="00950178" w:rsidRDefault="003B5013" w:rsidP="003B5013">
      <w:pPr>
        <w:pStyle w:val="ppoHeading4Orange"/>
        <w:rPr>
          <w:caps/>
          <w:noProof/>
          <w:lang w:val="en-IE"/>
        </w:rPr>
      </w:pPr>
      <w:r w:rsidRPr="00950178">
        <w:rPr>
          <w:noProof/>
          <w:lang w:val="en-IE"/>
        </w:rPr>
        <w:t xml:space="preserve">Implementation and performance </w:t>
      </w:r>
    </w:p>
    <w:p w14:paraId="6EC47C00" w14:textId="77777777" w:rsidR="003B5013" w:rsidRPr="00950178" w:rsidRDefault="003B5013" w:rsidP="003B5013">
      <w:pPr>
        <w:pStyle w:val="ppoHeading5"/>
        <w:rPr>
          <w:noProof/>
          <w:lang w:val="en-IE"/>
        </w:rPr>
      </w:pPr>
      <w:r w:rsidRPr="00950178">
        <w:rPr>
          <w:noProof/>
          <w:lang w:val="en-IE"/>
        </w:rPr>
        <w:t xml:space="preserve">Budget </w:t>
      </w:r>
    </w:p>
    <w:p w14:paraId="02D5FBCC" w14:textId="77777777" w:rsidR="003B5013" w:rsidRPr="00950178" w:rsidRDefault="003B5013" w:rsidP="003B5013">
      <w:pPr>
        <w:pStyle w:val="ppoTableTabletitle"/>
        <w:rPr>
          <w:noProof/>
          <w:lang w:val="en-IE"/>
        </w:rPr>
      </w:pPr>
      <w:r w:rsidRPr="00950178">
        <w:rPr>
          <w:noProof/>
          <w:lang w:val="en-IE"/>
        </w:rPr>
        <w:t>Budget programming (million 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3B5013" w:rsidRPr="00950178" w14:paraId="1D0F336B" w14:textId="77777777" w:rsidTr="00AF1C52">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662974E2" w14:textId="77777777" w:rsidR="003B5013" w:rsidRPr="00950178" w:rsidRDefault="003B5013" w:rsidP="00AF1C52">
            <w:pPr>
              <w:rPr>
                <w:noProof/>
                <w:lang w:val="en-IE"/>
              </w:rPr>
            </w:pPr>
          </w:p>
        </w:tc>
        <w:tc>
          <w:tcPr>
            <w:tcW w:w="943" w:type="dxa"/>
            <w:noWrap/>
            <w:hideMark/>
          </w:tcPr>
          <w:p w14:paraId="5F75EFA6" w14:textId="77777777" w:rsidR="003B5013" w:rsidRPr="00950178" w:rsidRDefault="003B5013" w:rsidP="00AF1C52">
            <w:pPr>
              <w:rPr>
                <w:noProof/>
                <w:lang w:val="en-IE"/>
              </w:rPr>
            </w:pPr>
            <w:r w:rsidRPr="00950178">
              <w:rPr>
                <w:noProof/>
                <w:lang w:val="en-IE"/>
              </w:rPr>
              <w:t>2021</w:t>
            </w:r>
          </w:p>
        </w:tc>
        <w:tc>
          <w:tcPr>
            <w:tcW w:w="944" w:type="dxa"/>
            <w:noWrap/>
            <w:hideMark/>
          </w:tcPr>
          <w:p w14:paraId="4A779336" w14:textId="77777777" w:rsidR="003B5013" w:rsidRPr="00950178" w:rsidRDefault="003B5013" w:rsidP="00AF1C52">
            <w:pPr>
              <w:rPr>
                <w:noProof/>
                <w:lang w:val="en-IE"/>
              </w:rPr>
            </w:pPr>
            <w:r w:rsidRPr="00950178">
              <w:rPr>
                <w:noProof/>
                <w:lang w:val="en-IE"/>
              </w:rPr>
              <w:t>2022</w:t>
            </w:r>
          </w:p>
        </w:tc>
        <w:tc>
          <w:tcPr>
            <w:tcW w:w="943" w:type="dxa"/>
            <w:noWrap/>
            <w:hideMark/>
          </w:tcPr>
          <w:p w14:paraId="68576BA3" w14:textId="77777777" w:rsidR="003B5013" w:rsidRPr="00950178" w:rsidRDefault="003B5013" w:rsidP="00AF1C52">
            <w:pPr>
              <w:rPr>
                <w:noProof/>
                <w:lang w:val="en-IE"/>
              </w:rPr>
            </w:pPr>
            <w:r w:rsidRPr="00950178">
              <w:rPr>
                <w:noProof/>
                <w:lang w:val="en-IE"/>
              </w:rPr>
              <w:t>2023</w:t>
            </w:r>
          </w:p>
        </w:tc>
        <w:tc>
          <w:tcPr>
            <w:tcW w:w="944" w:type="dxa"/>
            <w:noWrap/>
            <w:hideMark/>
          </w:tcPr>
          <w:p w14:paraId="7CC93111" w14:textId="77777777" w:rsidR="003B5013" w:rsidRPr="00950178" w:rsidRDefault="003B5013" w:rsidP="00AF1C52">
            <w:pPr>
              <w:rPr>
                <w:noProof/>
                <w:lang w:val="en-IE"/>
              </w:rPr>
            </w:pPr>
            <w:r w:rsidRPr="00950178">
              <w:rPr>
                <w:noProof/>
                <w:lang w:val="en-IE"/>
              </w:rPr>
              <w:t>2024</w:t>
            </w:r>
          </w:p>
        </w:tc>
        <w:tc>
          <w:tcPr>
            <w:tcW w:w="944" w:type="dxa"/>
            <w:noWrap/>
            <w:hideMark/>
          </w:tcPr>
          <w:p w14:paraId="4D6C45BF" w14:textId="77777777" w:rsidR="003B5013" w:rsidRPr="00950178" w:rsidRDefault="003B5013" w:rsidP="00AF1C52">
            <w:pPr>
              <w:rPr>
                <w:noProof/>
                <w:lang w:val="en-IE"/>
              </w:rPr>
            </w:pPr>
            <w:r w:rsidRPr="00950178">
              <w:rPr>
                <w:noProof/>
                <w:lang w:val="en-IE"/>
              </w:rPr>
              <w:t>2025</w:t>
            </w:r>
          </w:p>
        </w:tc>
        <w:tc>
          <w:tcPr>
            <w:tcW w:w="943" w:type="dxa"/>
            <w:noWrap/>
            <w:hideMark/>
          </w:tcPr>
          <w:p w14:paraId="4DBC91DE" w14:textId="77777777" w:rsidR="003B5013" w:rsidRPr="00950178" w:rsidRDefault="003B5013" w:rsidP="00AF1C52">
            <w:pPr>
              <w:rPr>
                <w:noProof/>
                <w:lang w:val="en-IE"/>
              </w:rPr>
            </w:pPr>
            <w:r w:rsidRPr="00950178">
              <w:rPr>
                <w:noProof/>
                <w:lang w:val="en-IE"/>
              </w:rPr>
              <w:t>2026</w:t>
            </w:r>
          </w:p>
        </w:tc>
        <w:tc>
          <w:tcPr>
            <w:tcW w:w="944" w:type="dxa"/>
            <w:noWrap/>
            <w:hideMark/>
          </w:tcPr>
          <w:p w14:paraId="5634D78D" w14:textId="77777777" w:rsidR="003B5013" w:rsidRPr="00950178" w:rsidRDefault="003B5013" w:rsidP="00AF1C52">
            <w:pPr>
              <w:rPr>
                <w:noProof/>
                <w:lang w:val="en-IE"/>
              </w:rPr>
            </w:pPr>
            <w:r w:rsidRPr="00950178">
              <w:rPr>
                <w:noProof/>
                <w:lang w:val="en-IE"/>
              </w:rPr>
              <w:t>2027</w:t>
            </w:r>
          </w:p>
        </w:tc>
        <w:tc>
          <w:tcPr>
            <w:tcW w:w="944" w:type="dxa"/>
            <w:noWrap/>
            <w:hideMark/>
          </w:tcPr>
          <w:p w14:paraId="443E1743" w14:textId="77777777" w:rsidR="003B5013" w:rsidRPr="00950178" w:rsidRDefault="003B5013" w:rsidP="00AF1C52">
            <w:pPr>
              <w:rPr>
                <w:noProof/>
                <w:lang w:val="en-IE"/>
              </w:rPr>
            </w:pPr>
            <w:r w:rsidRPr="00950178">
              <w:rPr>
                <w:noProof/>
                <w:lang w:val="en-IE"/>
              </w:rPr>
              <w:t>Total</w:t>
            </w:r>
          </w:p>
        </w:tc>
      </w:tr>
      <w:tr w:rsidR="003B5013" w:rsidRPr="00950178" w14:paraId="1BAF48BE" w14:textId="77777777" w:rsidTr="00AF1C52">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6B344DAF" w14:textId="77777777" w:rsidR="003B5013" w:rsidRPr="00950178" w:rsidRDefault="003B5013" w:rsidP="00AF1C52">
            <w:pPr>
              <w:rPr>
                <w:noProof/>
                <w:lang w:val="en-IE"/>
              </w:rPr>
            </w:pPr>
            <w:r w:rsidRPr="00950178">
              <w:rPr>
                <w:noProof/>
                <w:lang w:val="en-IE"/>
              </w:rPr>
              <w:t>Financial programming</w:t>
            </w:r>
          </w:p>
        </w:tc>
        <w:tc>
          <w:tcPr>
            <w:tcW w:w="943" w:type="dxa"/>
            <w:noWrap/>
            <w:hideMark/>
          </w:tcPr>
          <w:p w14:paraId="50952D28" w14:textId="77777777" w:rsidR="003B5013" w:rsidRPr="00950178" w:rsidRDefault="003B5013" w:rsidP="00AF1C52">
            <w:pPr>
              <w:jc w:val="center"/>
              <w:rPr>
                <w:noProof/>
                <w:lang w:val="en-IE"/>
              </w:rPr>
            </w:pPr>
            <w:r w:rsidRPr="00950178">
              <w:rPr>
                <w:noProof/>
                <w:lang w:val="en-IE"/>
              </w:rPr>
              <w:t>24.1</w:t>
            </w:r>
          </w:p>
        </w:tc>
        <w:tc>
          <w:tcPr>
            <w:tcW w:w="944" w:type="dxa"/>
            <w:noWrap/>
            <w:hideMark/>
          </w:tcPr>
          <w:p w14:paraId="05F237AB" w14:textId="77777777" w:rsidR="003B5013" w:rsidRPr="00950178" w:rsidRDefault="003B5013" w:rsidP="00AF1C52">
            <w:pPr>
              <w:jc w:val="center"/>
              <w:rPr>
                <w:noProof/>
                <w:lang w:val="en-IE"/>
              </w:rPr>
            </w:pPr>
            <w:r w:rsidRPr="00950178">
              <w:rPr>
                <w:noProof/>
                <w:lang w:val="en-IE"/>
              </w:rPr>
              <w:t>24.4</w:t>
            </w:r>
          </w:p>
        </w:tc>
        <w:tc>
          <w:tcPr>
            <w:tcW w:w="943" w:type="dxa"/>
            <w:noWrap/>
            <w:hideMark/>
          </w:tcPr>
          <w:p w14:paraId="384E5052" w14:textId="77777777" w:rsidR="003B5013" w:rsidRPr="00950178" w:rsidRDefault="003B5013" w:rsidP="00AF1C52">
            <w:pPr>
              <w:jc w:val="center"/>
              <w:rPr>
                <w:noProof/>
                <w:lang w:val="en-IE"/>
              </w:rPr>
            </w:pPr>
            <w:r w:rsidRPr="00950178">
              <w:rPr>
                <w:noProof/>
                <w:lang w:val="en-IE"/>
              </w:rPr>
              <w:t>24.9</w:t>
            </w:r>
          </w:p>
        </w:tc>
        <w:tc>
          <w:tcPr>
            <w:tcW w:w="944" w:type="dxa"/>
            <w:noWrap/>
            <w:hideMark/>
          </w:tcPr>
          <w:p w14:paraId="2F6C3248" w14:textId="77777777" w:rsidR="003B5013" w:rsidRPr="00950178" w:rsidRDefault="003B5013" w:rsidP="00AF1C52">
            <w:pPr>
              <w:jc w:val="center"/>
              <w:rPr>
                <w:noProof/>
                <w:lang w:val="en-IE"/>
              </w:rPr>
            </w:pPr>
            <w:r w:rsidRPr="00950178">
              <w:rPr>
                <w:noProof/>
                <w:lang w:val="en-IE"/>
              </w:rPr>
              <w:t>25.5</w:t>
            </w:r>
          </w:p>
        </w:tc>
        <w:tc>
          <w:tcPr>
            <w:tcW w:w="944" w:type="dxa"/>
            <w:noWrap/>
            <w:hideMark/>
          </w:tcPr>
          <w:p w14:paraId="64D1BB7C" w14:textId="77777777" w:rsidR="003B5013" w:rsidRPr="00950178" w:rsidRDefault="003B5013" w:rsidP="00AF1C52">
            <w:pPr>
              <w:jc w:val="center"/>
              <w:rPr>
                <w:noProof/>
                <w:lang w:val="en-IE"/>
              </w:rPr>
            </w:pPr>
            <w:r w:rsidRPr="00950178">
              <w:rPr>
                <w:noProof/>
                <w:lang w:val="en-IE"/>
              </w:rPr>
              <w:t>26.4</w:t>
            </w:r>
          </w:p>
        </w:tc>
        <w:tc>
          <w:tcPr>
            <w:tcW w:w="943" w:type="dxa"/>
            <w:noWrap/>
            <w:hideMark/>
          </w:tcPr>
          <w:p w14:paraId="5D128140" w14:textId="77777777" w:rsidR="003B5013" w:rsidRPr="00950178" w:rsidRDefault="003B5013" w:rsidP="00AF1C52">
            <w:pPr>
              <w:jc w:val="center"/>
              <w:rPr>
                <w:noProof/>
                <w:lang w:val="en-IE"/>
              </w:rPr>
            </w:pPr>
            <w:r w:rsidRPr="00950178">
              <w:rPr>
                <w:noProof/>
                <w:lang w:val="en-IE"/>
              </w:rPr>
              <w:t>27.4</w:t>
            </w:r>
          </w:p>
        </w:tc>
        <w:tc>
          <w:tcPr>
            <w:tcW w:w="944" w:type="dxa"/>
            <w:noWrap/>
            <w:hideMark/>
          </w:tcPr>
          <w:p w14:paraId="29F56219" w14:textId="77777777" w:rsidR="003B5013" w:rsidRPr="00950178" w:rsidRDefault="003B5013" w:rsidP="00AF1C52">
            <w:pPr>
              <w:jc w:val="center"/>
              <w:rPr>
                <w:noProof/>
                <w:lang w:val="en-IE"/>
              </w:rPr>
            </w:pPr>
            <w:r w:rsidRPr="00950178">
              <w:rPr>
                <w:noProof/>
                <w:lang w:val="en-IE"/>
              </w:rPr>
              <w:t>28.7</w:t>
            </w:r>
          </w:p>
        </w:tc>
        <w:tc>
          <w:tcPr>
            <w:tcW w:w="944" w:type="dxa"/>
            <w:noWrap/>
            <w:hideMark/>
          </w:tcPr>
          <w:p w14:paraId="45C1177F" w14:textId="77777777" w:rsidR="003B5013" w:rsidRPr="00950178" w:rsidRDefault="003B5013" w:rsidP="00AF1C52">
            <w:pPr>
              <w:jc w:val="center"/>
              <w:rPr>
                <w:noProof/>
                <w:lang w:val="en-IE"/>
              </w:rPr>
            </w:pPr>
            <w:r w:rsidRPr="00950178">
              <w:rPr>
                <w:noProof/>
                <w:lang w:val="en-IE"/>
              </w:rPr>
              <w:t>181.2</w:t>
            </w:r>
          </w:p>
        </w:tc>
      </w:tr>
      <w:tr w:rsidR="003B5013" w:rsidRPr="00950178" w14:paraId="3CD7EDEE" w14:textId="77777777" w:rsidTr="00AF1C52">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2E866030" w14:textId="77777777" w:rsidR="003B5013" w:rsidRPr="00950178" w:rsidRDefault="003B5013" w:rsidP="00AF1C52">
            <w:pPr>
              <w:rPr>
                <w:noProof/>
                <w:lang w:val="en-IE"/>
              </w:rPr>
            </w:pPr>
            <w:r w:rsidRPr="00950178">
              <w:rPr>
                <w:noProof/>
                <w:lang w:val="en-IE"/>
              </w:rPr>
              <w:t>NextGenerationEU</w:t>
            </w:r>
          </w:p>
        </w:tc>
        <w:tc>
          <w:tcPr>
            <w:tcW w:w="943" w:type="dxa"/>
            <w:noWrap/>
            <w:hideMark/>
          </w:tcPr>
          <w:p w14:paraId="7424EFFF" w14:textId="77777777" w:rsidR="003B5013" w:rsidRPr="00950178" w:rsidRDefault="003B5013" w:rsidP="00AF1C52">
            <w:pPr>
              <w:jc w:val="center"/>
              <w:rPr>
                <w:noProof/>
                <w:lang w:val="en-IE"/>
              </w:rPr>
            </w:pPr>
          </w:p>
        </w:tc>
        <w:tc>
          <w:tcPr>
            <w:tcW w:w="944" w:type="dxa"/>
            <w:noWrap/>
            <w:hideMark/>
          </w:tcPr>
          <w:p w14:paraId="4817EC51" w14:textId="77777777" w:rsidR="003B5013" w:rsidRPr="00950178" w:rsidRDefault="003B5013" w:rsidP="00AF1C52">
            <w:pPr>
              <w:jc w:val="center"/>
              <w:rPr>
                <w:noProof/>
                <w:lang w:val="en-IE"/>
              </w:rPr>
            </w:pPr>
          </w:p>
        </w:tc>
        <w:tc>
          <w:tcPr>
            <w:tcW w:w="943" w:type="dxa"/>
            <w:noWrap/>
            <w:hideMark/>
          </w:tcPr>
          <w:p w14:paraId="58D1C1CE" w14:textId="77777777" w:rsidR="003B5013" w:rsidRPr="00950178" w:rsidRDefault="003B5013" w:rsidP="00AF1C52">
            <w:pPr>
              <w:jc w:val="center"/>
              <w:rPr>
                <w:noProof/>
                <w:lang w:val="en-IE"/>
              </w:rPr>
            </w:pPr>
          </w:p>
        </w:tc>
        <w:tc>
          <w:tcPr>
            <w:tcW w:w="944" w:type="dxa"/>
            <w:noWrap/>
            <w:hideMark/>
          </w:tcPr>
          <w:p w14:paraId="0204E8A3" w14:textId="77777777" w:rsidR="003B5013" w:rsidRPr="00950178" w:rsidRDefault="003B5013" w:rsidP="00AF1C52">
            <w:pPr>
              <w:jc w:val="center"/>
              <w:rPr>
                <w:noProof/>
                <w:lang w:val="en-IE"/>
              </w:rPr>
            </w:pPr>
          </w:p>
        </w:tc>
        <w:tc>
          <w:tcPr>
            <w:tcW w:w="944" w:type="dxa"/>
            <w:noWrap/>
            <w:hideMark/>
          </w:tcPr>
          <w:p w14:paraId="115D5ECE" w14:textId="77777777" w:rsidR="003B5013" w:rsidRPr="00950178" w:rsidRDefault="003B5013" w:rsidP="00AF1C52">
            <w:pPr>
              <w:jc w:val="center"/>
              <w:rPr>
                <w:noProof/>
                <w:lang w:val="en-IE"/>
              </w:rPr>
            </w:pPr>
          </w:p>
        </w:tc>
        <w:tc>
          <w:tcPr>
            <w:tcW w:w="943" w:type="dxa"/>
            <w:noWrap/>
            <w:hideMark/>
          </w:tcPr>
          <w:p w14:paraId="460AB10C" w14:textId="77777777" w:rsidR="003B5013" w:rsidRPr="00950178" w:rsidRDefault="003B5013" w:rsidP="00AF1C52">
            <w:pPr>
              <w:jc w:val="center"/>
              <w:rPr>
                <w:noProof/>
                <w:lang w:val="en-IE"/>
              </w:rPr>
            </w:pPr>
          </w:p>
        </w:tc>
        <w:tc>
          <w:tcPr>
            <w:tcW w:w="944" w:type="dxa"/>
            <w:noWrap/>
            <w:hideMark/>
          </w:tcPr>
          <w:p w14:paraId="2336EA49" w14:textId="77777777" w:rsidR="003B5013" w:rsidRPr="00950178" w:rsidRDefault="003B5013" w:rsidP="00AF1C52">
            <w:pPr>
              <w:jc w:val="center"/>
              <w:rPr>
                <w:noProof/>
                <w:lang w:val="en-IE"/>
              </w:rPr>
            </w:pPr>
          </w:p>
        </w:tc>
        <w:tc>
          <w:tcPr>
            <w:tcW w:w="944" w:type="dxa"/>
            <w:noWrap/>
            <w:hideMark/>
          </w:tcPr>
          <w:p w14:paraId="0CC6AC98" w14:textId="77777777" w:rsidR="003B5013" w:rsidRPr="00950178" w:rsidRDefault="003B5013" w:rsidP="00AF1C52">
            <w:pPr>
              <w:jc w:val="center"/>
              <w:rPr>
                <w:noProof/>
                <w:lang w:val="en-IE"/>
              </w:rPr>
            </w:pPr>
          </w:p>
        </w:tc>
      </w:tr>
      <w:tr w:rsidR="003B5013" w:rsidRPr="00950178" w14:paraId="1D9AC221" w14:textId="77777777" w:rsidTr="00AF1C52">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42CF8B78" w14:textId="77777777" w:rsidR="003B5013" w:rsidRPr="00950178" w:rsidRDefault="003B5013" w:rsidP="00AF1C52">
            <w:pPr>
              <w:rPr>
                <w:noProof/>
                <w:lang w:val="en-IE"/>
              </w:rPr>
            </w:pPr>
            <w:r w:rsidRPr="00950178">
              <w:rPr>
                <w:noProof/>
                <w:lang w:val="en-IE"/>
              </w:rPr>
              <w:t>Decommitments made available again</w:t>
            </w:r>
            <w:r w:rsidRPr="00950178">
              <w:rPr>
                <w:rFonts w:ascii="Calibri" w:hAnsi="Calibri" w:cs="Calibri"/>
                <w:noProof/>
                <w:lang w:val="en-IE"/>
              </w:rPr>
              <w:t> (</w:t>
            </w:r>
            <w:r w:rsidRPr="00950178">
              <w:rPr>
                <w:noProof/>
                <w:lang w:val="en-IE"/>
              </w:rPr>
              <w:t>*)</w:t>
            </w:r>
          </w:p>
        </w:tc>
        <w:tc>
          <w:tcPr>
            <w:tcW w:w="943" w:type="dxa"/>
            <w:noWrap/>
            <w:hideMark/>
          </w:tcPr>
          <w:p w14:paraId="2F26436D" w14:textId="77777777" w:rsidR="003B5013" w:rsidRPr="00950178" w:rsidRDefault="003B5013" w:rsidP="00AF1C52">
            <w:pPr>
              <w:jc w:val="center"/>
              <w:rPr>
                <w:noProof/>
                <w:lang w:val="en-IE"/>
              </w:rPr>
            </w:pPr>
            <w:r>
              <w:rPr>
                <w:noProof/>
                <w:lang w:val="en-IE"/>
              </w:rPr>
              <w:t>N/A</w:t>
            </w:r>
          </w:p>
        </w:tc>
        <w:tc>
          <w:tcPr>
            <w:tcW w:w="944" w:type="dxa"/>
            <w:noWrap/>
            <w:hideMark/>
          </w:tcPr>
          <w:p w14:paraId="69F5755A" w14:textId="77777777" w:rsidR="003B5013" w:rsidRPr="00950178" w:rsidRDefault="003B5013" w:rsidP="00AF1C52">
            <w:pPr>
              <w:jc w:val="center"/>
              <w:rPr>
                <w:noProof/>
                <w:lang w:val="en-IE"/>
              </w:rPr>
            </w:pPr>
          </w:p>
        </w:tc>
        <w:tc>
          <w:tcPr>
            <w:tcW w:w="943" w:type="dxa"/>
            <w:noWrap/>
            <w:hideMark/>
          </w:tcPr>
          <w:p w14:paraId="08A3E5D9" w14:textId="77777777" w:rsidR="003B5013" w:rsidRPr="00950178" w:rsidRDefault="003B5013" w:rsidP="00AF1C52">
            <w:pPr>
              <w:jc w:val="center"/>
              <w:rPr>
                <w:noProof/>
                <w:lang w:val="en-IE"/>
              </w:rPr>
            </w:pPr>
          </w:p>
        </w:tc>
        <w:tc>
          <w:tcPr>
            <w:tcW w:w="944" w:type="dxa"/>
            <w:noWrap/>
            <w:hideMark/>
          </w:tcPr>
          <w:p w14:paraId="12B57BBE" w14:textId="77777777" w:rsidR="003B5013" w:rsidRPr="00950178" w:rsidRDefault="003B5013" w:rsidP="00AF1C52">
            <w:pPr>
              <w:jc w:val="center"/>
              <w:rPr>
                <w:noProof/>
                <w:lang w:val="en-IE"/>
              </w:rPr>
            </w:pPr>
          </w:p>
        </w:tc>
        <w:tc>
          <w:tcPr>
            <w:tcW w:w="944" w:type="dxa"/>
            <w:noWrap/>
            <w:hideMark/>
          </w:tcPr>
          <w:p w14:paraId="5758ED8E" w14:textId="77777777" w:rsidR="003B5013" w:rsidRPr="00950178" w:rsidRDefault="003B5013" w:rsidP="00AF1C52">
            <w:pPr>
              <w:jc w:val="center"/>
              <w:rPr>
                <w:noProof/>
                <w:lang w:val="en-IE"/>
              </w:rPr>
            </w:pPr>
          </w:p>
        </w:tc>
        <w:tc>
          <w:tcPr>
            <w:tcW w:w="943" w:type="dxa"/>
            <w:noWrap/>
            <w:hideMark/>
          </w:tcPr>
          <w:p w14:paraId="099E5002" w14:textId="77777777" w:rsidR="003B5013" w:rsidRPr="00950178" w:rsidRDefault="003B5013" w:rsidP="00AF1C52">
            <w:pPr>
              <w:jc w:val="center"/>
              <w:rPr>
                <w:noProof/>
                <w:lang w:val="en-IE"/>
              </w:rPr>
            </w:pPr>
          </w:p>
        </w:tc>
        <w:tc>
          <w:tcPr>
            <w:tcW w:w="944" w:type="dxa"/>
            <w:noWrap/>
            <w:hideMark/>
          </w:tcPr>
          <w:p w14:paraId="19701407" w14:textId="77777777" w:rsidR="003B5013" w:rsidRPr="00950178" w:rsidRDefault="003B5013" w:rsidP="00AF1C52">
            <w:pPr>
              <w:jc w:val="center"/>
              <w:rPr>
                <w:noProof/>
                <w:lang w:val="en-IE"/>
              </w:rPr>
            </w:pPr>
          </w:p>
        </w:tc>
        <w:tc>
          <w:tcPr>
            <w:tcW w:w="944" w:type="dxa"/>
            <w:noWrap/>
            <w:hideMark/>
          </w:tcPr>
          <w:p w14:paraId="7BBD05F7" w14:textId="77777777" w:rsidR="003B5013" w:rsidRPr="00950178" w:rsidRDefault="003B5013" w:rsidP="00AF1C52">
            <w:pPr>
              <w:jc w:val="center"/>
              <w:rPr>
                <w:noProof/>
                <w:lang w:val="en-IE"/>
              </w:rPr>
            </w:pPr>
            <w:r>
              <w:rPr>
                <w:noProof/>
                <w:lang w:val="en-IE"/>
              </w:rPr>
              <w:t>N/A</w:t>
            </w:r>
          </w:p>
        </w:tc>
      </w:tr>
      <w:tr w:rsidR="003B5013" w:rsidRPr="00950178" w14:paraId="50D33952" w14:textId="77777777" w:rsidTr="00AF1C52">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551626F5" w14:textId="77777777" w:rsidR="003B5013" w:rsidRPr="00950178" w:rsidRDefault="003B5013" w:rsidP="00AF1C52">
            <w:pPr>
              <w:rPr>
                <w:noProof/>
                <w:lang w:val="en-IE"/>
              </w:rPr>
            </w:pPr>
            <w:r w:rsidRPr="00950178">
              <w:rPr>
                <w:noProof/>
                <w:lang w:val="en-IE"/>
              </w:rPr>
              <w:t>Contributions from other countries and entities</w:t>
            </w:r>
          </w:p>
        </w:tc>
        <w:tc>
          <w:tcPr>
            <w:tcW w:w="943" w:type="dxa"/>
            <w:noWrap/>
            <w:hideMark/>
          </w:tcPr>
          <w:p w14:paraId="4DE15CF8" w14:textId="77777777" w:rsidR="003B5013" w:rsidRPr="00950178" w:rsidRDefault="003B5013" w:rsidP="00AF1C52">
            <w:pPr>
              <w:jc w:val="center"/>
              <w:rPr>
                <w:noProof/>
                <w:lang w:val="en-IE"/>
              </w:rPr>
            </w:pPr>
            <w:r>
              <w:rPr>
                <w:noProof/>
                <w:lang w:val="en-IE"/>
              </w:rPr>
              <w:t>0.0</w:t>
            </w:r>
          </w:p>
        </w:tc>
        <w:tc>
          <w:tcPr>
            <w:tcW w:w="944" w:type="dxa"/>
            <w:noWrap/>
            <w:hideMark/>
          </w:tcPr>
          <w:p w14:paraId="59B8795F" w14:textId="77777777" w:rsidR="003B5013" w:rsidRPr="00950178" w:rsidRDefault="003B5013" w:rsidP="00AF1C52">
            <w:pPr>
              <w:jc w:val="center"/>
              <w:rPr>
                <w:noProof/>
                <w:lang w:val="en-IE"/>
              </w:rPr>
            </w:pPr>
            <w:r>
              <w:rPr>
                <w:noProof/>
                <w:lang w:val="en-IE"/>
              </w:rPr>
              <w:t>p.m.</w:t>
            </w:r>
          </w:p>
        </w:tc>
        <w:tc>
          <w:tcPr>
            <w:tcW w:w="943" w:type="dxa"/>
            <w:noWrap/>
            <w:hideMark/>
          </w:tcPr>
          <w:p w14:paraId="15152534" w14:textId="77777777" w:rsidR="003B5013" w:rsidRPr="00950178" w:rsidRDefault="003B5013" w:rsidP="00AF1C52">
            <w:pPr>
              <w:jc w:val="center"/>
              <w:rPr>
                <w:noProof/>
                <w:lang w:val="en-IE"/>
              </w:rPr>
            </w:pPr>
            <w:r>
              <w:rPr>
                <w:noProof/>
                <w:lang w:val="en-IE"/>
              </w:rPr>
              <w:t>p.m.</w:t>
            </w:r>
          </w:p>
        </w:tc>
        <w:tc>
          <w:tcPr>
            <w:tcW w:w="944" w:type="dxa"/>
            <w:noWrap/>
            <w:hideMark/>
          </w:tcPr>
          <w:p w14:paraId="674100BF" w14:textId="77777777" w:rsidR="003B5013" w:rsidRPr="00950178" w:rsidRDefault="003B5013" w:rsidP="00AF1C52">
            <w:pPr>
              <w:jc w:val="center"/>
              <w:rPr>
                <w:noProof/>
                <w:lang w:val="en-IE"/>
              </w:rPr>
            </w:pPr>
            <w:r>
              <w:rPr>
                <w:noProof/>
                <w:lang w:val="en-IE"/>
              </w:rPr>
              <w:t>p.m.</w:t>
            </w:r>
          </w:p>
        </w:tc>
        <w:tc>
          <w:tcPr>
            <w:tcW w:w="944" w:type="dxa"/>
            <w:noWrap/>
            <w:hideMark/>
          </w:tcPr>
          <w:p w14:paraId="43C69CD1" w14:textId="77777777" w:rsidR="003B5013" w:rsidRPr="00950178" w:rsidRDefault="003B5013" w:rsidP="00AF1C52">
            <w:pPr>
              <w:jc w:val="center"/>
              <w:rPr>
                <w:noProof/>
                <w:lang w:val="en-IE"/>
              </w:rPr>
            </w:pPr>
            <w:r>
              <w:rPr>
                <w:noProof/>
                <w:lang w:val="en-IE"/>
              </w:rPr>
              <w:t>p.m.</w:t>
            </w:r>
          </w:p>
        </w:tc>
        <w:tc>
          <w:tcPr>
            <w:tcW w:w="943" w:type="dxa"/>
            <w:noWrap/>
            <w:hideMark/>
          </w:tcPr>
          <w:p w14:paraId="357ADA50" w14:textId="77777777" w:rsidR="003B5013" w:rsidRPr="00950178" w:rsidRDefault="003B5013" w:rsidP="00AF1C52">
            <w:pPr>
              <w:jc w:val="center"/>
              <w:rPr>
                <w:noProof/>
                <w:lang w:val="en-IE"/>
              </w:rPr>
            </w:pPr>
            <w:r>
              <w:rPr>
                <w:noProof/>
                <w:lang w:val="en-IE"/>
              </w:rPr>
              <w:t>p.m.</w:t>
            </w:r>
          </w:p>
        </w:tc>
        <w:tc>
          <w:tcPr>
            <w:tcW w:w="944" w:type="dxa"/>
            <w:noWrap/>
            <w:hideMark/>
          </w:tcPr>
          <w:p w14:paraId="4516077A" w14:textId="77777777" w:rsidR="003B5013" w:rsidRPr="00950178" w:rsidRDefault="003B5013" w:rsidP="00AF1C52">
            <w:pPr>
              <w:jc w:val="center"/>
              <w:rPr>
                <w:noProof/>
                <w:lang w:val="en-IE"/>
              </w:rPr>
            </w:pPr>
            <w:r>
              <w:rPr>
                <w:noProof/>
                <w:lang w:val="en-IE"/>
              </w:rPr>
              <w:t>p.m.</w:t>
            </w:r>
          </w:p>
        </w:tc>
        <w:tc>
          <w:tcPr>
            <w:tcW w:w="944" w:type="dxa"/>
            <w:noWrap/>
            <w:hideMark/>
          </w:tcPr>
          <w:p w14:paraId="7929BA0B" w14:textId="77777777" w:rsidR="003B5013" w:rsidRPr="00950178" w:rsidRDefault="003B5013" w:rsidP="00AF1C52">
            <w:pPr>
              <w:jc w:val="center"/>
              <w:rPr>
                <w:noProof/>
                <w:lang w:val="en-IE"/>
              </w:rPr>
            </w:pPr>
            <w:r>
              <w:rPr>
                <w:noProof/>
                <w:lang w:val="en-IE"/>
              </w:rPr>
              <w:t>0.0</w:t>
            </w:r>
          </w:p>
        </w:tc>
      </w:tr>
    </w:tbl>
    <w:p w14:paraId="524AEC69" w14:textId="77777777" w:rsidR="003B5013" w:rsidRPr="00950178" w:rsidRDefault="003B5013" w:rsidP="003B5013">
      <w:pPr>
        <w:tabs>
          <w:tab w:val="left" w:pos="6793"/>
        </w:tabs>
        <w:rPr>
          <w:noProof/>
          <w:sz w:val="18"/>
          <w:szCs w:val="18"/>
          <w:lang w:val="en-IE"/>
        </w:rPr>
      </w:pPr>
      <w:r w:rsidRPr="00950178">
        <w:rPr>
          <w:noProof/>
          <w:sz w:val="18"/>
          <w:szCs w:val="18"/>
          <w:lang w:val="en-IE"/>
        </w:rPr>
        <w:t>(*) Only Article</w:t>
      </w:r>
      <w:r w:rsidRPr="00950178">
        <w:rPr>
          <w:rFonts w:ascii="Calibri" w:hAnsi="Calibri" w:cs="Calibri"/>
          <w:noProof/>
          <w:sz w:val="18"/>
          <w:szCs w:val="18"/>
          <w:lang w:val="en-IE"/>
        </w:rPr>
        <w:t> </w:t>
      </w:r>
      <w:r w:rsidRPr="00950178">
        <w:rPr>
          <w:noProof/>
          <w:sz w:val="18"/>
          <w:szCs w:val="18"/>
          <w:lang w:val="en-IE"/>
        </w:rPr>
        <w:t>15(3) of the financial regulation.</w:t>
      </w:r>
    </w:p>
    <w:p w14:paraId="1F5C4805" w14:textId="77777777" w:rsidR="003B5013" w:rsidRPr="00950178" w:rsidRDefault="003B5013" w:rsidP="003B5013">
      <w:pPr>
        <w:rPr>
          <w:noProof/>
          <w:lang w:val="en-IE"/>
        </w:rPr>
      </w:pPr>
    </w:p>
    <w:p w14:paraId="6A46F446" w14:textId="6E22CA52" w:rsidR="003B5013" w:rsidRDefault="00450CD9" w:rsidP="003B5013">
      <w:pPr>
        <w:pStyle w:val="ppoTableTabletitle"/>
        <w:rPr>
          <w:noProof/>
          <w:lang w:val="en-IE"/>
        </w:rPr>
      </w:pPr>
      <w:r w:rsidRPr="00304A2B">
        <w:rPr>
          <w:noProof/>
          <w:lang w:val="en-IE"/>
        </w:rPr>
        <w:t>Financial programming</w:t>
      </w:r>
      <w:r>
        <w:rPr>
          <w:noProof/>
          <w:lang w:val="en-IE"/>
        </w:rPr>
        <w:t>:</w:t>
      </w:r>
      <w:r w:rsidRPr="7E0518ED">
        <w:rPr>
          <w:rFonts w:eastAsia="EC Square Sans Pro" w:cs="EC Square Sans Pro"/>
          <w:noProof/>
          <w:color w:val="0078D4"/>
          <w:lang w:val="en-IE"/>
        </w:rPr>
        <w:t xml:space="preserve"> </w:t>
      </w:r>
      <w:r>
        <w:rPr>
          <w:rStyle w:val="ppocharOrangetext24pt"/>
          <w:rFonts w:ascii="Calibri" w:hAnsi="Calibri" w:cs="Calibri"/>
          <w:noProof/>
          <w:lang w:val="en-IE"/>
        </w:rPr>
        <w:t xml:space="preserve">+ </w:t>
      </w:r>
      <w:r w:rsidRPr="7E0518ED">
        <w:rPr>
          <w:rStyle w:val="ppocharOrangetext24pt"/>
          <w:noProof/>
          <w:lang w:val="en-IE"/>
        </w:rPr>
        <w:t>EUR</w:t>
      </w:r>
      <w:r w:rsidRPr="7E0518ED">
        <w:rPr>
          <w:rStyle w:val="ppocharOrangetext24pt"/>
          <w:rFonts w:ascii="Calibri" w:hAnsi="Calibri" w:cs="Calibri"/>
          <w:noProof/>
          <w:lang w:val="en-IE"/>
        </w:rPr>
        <w:t> </w:t>
      </w:r>
      <w:r>
        <w:rPr>
          <w:rStyle w:val="ppocharOrangetext24pt"/>
          <w:rFonts w:ascii="Calibri" w:hAnsi="Calibri" w:cs="Calibri"/>
          <w:noProof/>
          <w:lang w:val="en-IE"/>
        </w:rPr>
        <w:t>0.0</w:t>
      </w:r>
      <w:r w:rsidRPr="7E0518ED">
        <w:rPr>
          <w:rStyle w:val="ppocharOrangetext24pt"/>
          <w:rFonts w:ascii="Calibri" w:hAnsi="Calibri" w:cs="Calibri"/>
          <w:noProof/>
          <w:lang w:val="en-IE"/>
        </w:rPr>
        <w:t> </w:t>
      </w:r>
      <w:r w:rsidRPr="7E0518ED">
        <w:rPr>
          <w:rStyle w:val="ppocharOrangetext24pt"/>
          <w:noProof/>
          <w:lang w:val="en-IE"/>
        </w:rPr>
        <w:t>million (</w:t>
      </w:r>
      <w:r>
        <w:rPr>
          <w:rStyle w:val="ppocharOrangetext24pt"/>
          <w:noProof/>
          <w:lang w:val="en-IE"/>
        </w:rPr>
        <w:t>+</w:t>
      </w:r>
      <w:r w:rsidRPr="7E0518ED">
        <w:rPr>
          <w:rStyle w:val="ppocharOrangetext24pt"/>
          <w:noProof/>
          <w:lang w:val="en-IE"/>
        </w:rPr>
        <w:t xml:space="preserve"> </w:t>
      </w:r>
      <w:r>
        <w:rPr>
          <w:rStyle w:val="ppocharOrangetext24pt"/>
          <w:noProof/>
          <w:lang w:val="en-IE"/>
        </w:rPr>
        <w:t>0</w:t>
      </w:r>
      <w:r w:rsidRPr="7E0518ED">
        <w:rPr>
          <w:rStyle w:val="ppocharOrangetext24pt"/>
          <w:noProof/>
          <w:lang w:val="en-IE"/>
        </w:rPr>
        <w:t xml:space="preserve">%) </w:t>
      </w:r>
      <w:r w:rsidRPr="7E0518ED">
        <w:rPr>
          <w:noProof/>
          <w:lang w:val="en-IE"/>
        </w:rPr>
        <w:t>compared to the legal basis</w:t>
      </w:r>
      <w:r w:rsidRPr="00950178">
        <w:rPr>
          <w:noProof/>
          <w:lang w:val="en-IE"/>
        </w:rPr>
        <w:t xml:space="preserve"> </w:t>
      </w:r>
      <w:r w:rsidR="003B5013" w:rsidRPr="00950178">
        <w:rPr>
          <w:noProof/>
          <w:lang w:val="en-IE"/>
        </w:rPr>
        <w:t>Cumulative implementation rate at the end of 2021 (million EUR):</w:t>
      </w:r>
    </w:p>
    <w:p w14:paraId="6B5B0E79" w14:textId="77777777" w:rsidR="00450CD9" w:rsidRPr="00450CD9" w:rsidRDefault="00450CD9" w:rsidP="00450CD9">
      <w:pPr>
        <w:rPr>
          <w:noProof/>
          <w:lang w:val="en-IE" w:eastAsia="en-US"/>
        </w:rPr>
      </w:pPr>
    </w:p>
    <w:tbl>
      <w:tblPr>
        <w:tblStyle w:val="PPO2021"/>
        <w:tblW w:w="9639" w:type="dxa"/>
        <w:tblInd w:w="0" w:type="dxa"/>
        <w:tblLook w:val="06A0" w:firstRow="1" w:lastRow="0" w:firstColumn="1" w:lastColumn="0" w:noHBand="1" w:noVBand="1"/>
      </w:tblPr>
      <w:tblGrid>
        <w:gridCol w:w="2409"/>
        <w:gridCol w:w="2410"/>
        <w:gridCol w:w="2410"/>
        <w:gridCol w:w="2410"/>
      </w:tblGrid>
      <w:tr w:rsidR="003B5013" w:rsidRPr="00950178" w14:paraId="44AAD44E" w14:textId="77777777" w:rsidTr="00AF1C52">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3F160A8E" w14:textId="77777777" w:rsidR="003B5013" w:rsidRPr="00950178" w:rsidRDefault="003B5013" w:rsidP="00AF1C52">
            <w:pPr>
              <w:rPr>
                <w:noProof/>
                <w:lang w:val="en-IE"/>
              </w:rPr>
            </w:pPr>
          </w:p>
        </w:tc>
        <w:tc>
          <w:tcPr>
            <w:tcW w:w="2410" w:type="dxa"/>
          </w:tcPr>
          <w:p w14:paraId="4B9FBD5B" w14:textId="77777777" w:rsidR="003B5013" w:rsidRPr="00950178" w:rsidRDefault="003B5013" w:rsidP="00AF1C52">
            <w:pPr>
              <w:cnfStyle w:val="100000000000" w:firstRow="1" w:lastRow="0" w:firstColumn="0" w:lastColumn="0" w:oddVBand="0" w:evenVBand="0" w:oddHBand="0" w:evenHBand="0" w:firstRowFirstColumn="0" w:firstRowLastColumn="0" w:lastRowFirstColumn="0" w:lastRowLastColumn="0"/>
              <w:rPr>
                <w:noProof/>
                <w:lang w:val="en-IE"/>
              </w:rPr>
            </w:pPr>
            <w:r w:rsidRPr="00950178">
              <w:rPr>
                <w:noProof/>
                <w:lang w:val="en-IE"/>
              </w:rPr>
              <w:t>Implementation</w:t>
            </w:r>
          </w:p>
        </w:tc>
        <w:tc>
          <w:tcPr>
            <w:tcW w:w="2410" w:type="dxa"/>
          </w:tcPr>
          <w:p w14:paraId="4A3028BF" w14:textId="6E37CC96" w:rsidR="003B5013" w:rsidRPr="00950178" w:rsidRDefault="001F4CBC" w:rsidP="00AF1C52">
            <w:pPr>
              <w:cnfStyle w:val="100000000000" w:firstRow="1" w:lastRow="0" w:firstColumn="0" w:lastColumn="0" w:oddVBand="0" w:evenVBand="0" w:oddHBand="0" w:evenHBand="0" w:firstRowFirstColumn="0" w:firstRowLastColumn="0" w:lastRowFirstColumn="0" w:lastRowLastColumn="0"/>
              <w:rPr>
                <w:noProof/>
                <w:lang w:val="en-IE"/>
              </w:rPr>
            </w:pPr>
            <w:r>
              <w:rPr>
                <w:noProof/>
              </w:rPr>
              <w:t xml:space="preserve">2021-2027 </w:t>
            </w:r>
            <w:r w:rsidRPr="00885241">
              <w:rPr>
                <w:noProof/>
              </w:rPr>
              <w:t>Budget</w:t>
            </w:r>
          </w:p>
        </w:tc>
        <w:tc>
          <w:tcPr>
            <w:tcW w:w="2410" w:type="dxa"/>
          </w:tcPr>
          <w:p w14:paraId="3497F550" w14:textId="77777777" w:rsidR="003B5013" w:rsidRPr="00950178" w:rsidRDefault="003B5013" w:rsidP="00AF1C52">
            <w:pPr>
              <w:cnfStyle w:val="100000000000" w:firstRow="1" w:lastRow="0" w:firstColumn="0" w:lastColumn="0" w:oddVBand="0" w:evenVBand="0" w:oddHBand="0" w:evenHBand="0" w:firstRowFirstColumn="0" w:firstRowLastColumn="0" w:lastRowFirstColumn="0" w:lastRowLastColumn="0"/>
              <w:rPr>
                <w:noProof/>
                <w:lang w:val="en-IE"/>
              </w:rPr>
            </w:pPr>
            <w:r w:rsidRPr="00950178">
              <w:rPr>
                <w:noProof/>
                <w:lang w:val="en-IE"/>
              </w:rPr>
              <w:t>Implementation rate</w:t>
            </w:r>
          </w:p>
        </w:tc>
      </w:tr>
      <w:tr w:rsidR="003B5013" w:rsidRPr="00950178" w14:paraId="2BC67D83"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689F90CC" w14:textId="77777777" w:rsidR="003B5013" w:rsidRPr="00950178" w:rsidRDefault="003B5013" w:rsidP="00AF1C52">
            <w:pPr>
              <w:jc w:val="center"/>
              <w:rPr>
                <w:noProof/>
                <w:lang w:val="en-IE"/>
              </w:rPr>
            </w:pPr>
            <w:r w:rsidRPr="00950178">
              <w:rPr>
                <w:noProof/>
                <w:lang w:val="en-IE"/>
              </w:rPr>
              <w:t>Commitments</w:t>
            </w:r>
          </w:p>
        </w:tc>
        <w:tc>
          <w:tcPr>
            <w:tcW w:w="2410" w:type="dxa"/>
          </w:tcPr>
          <w:tbl>
            <w:tblPr>
              <w:tblStyle w:val="TableGrid"/>
              <w:tblW w:w="0" w:type="auto"/>
              <w:tblLook w:val="06A0" w:firstRow="1" w:lastRow="0" w:firstColumn="1" w:lastColumn="0" w:noHBand="1" w:noVBand="1"/>
            </w:tblPr>
            <w:tblGrid>
              <w:gridCol w:w="2194"/>
            </w:tblGrid>
            <w:tr w:rsidR="003B5013" w:rsidRPr="00950178" w14:paraId="4F45E161" w14:textId="77777777" w:rsidTr="00AF1C52">
              <w:trPr>
                <w:trHeight w:val="285"/>
              </w:trPr>
              <w:tc>
                <w:tcPr>
                  <w:tcW w:w="2290" w:type="dxa"/>
                  <w:tcBorders>
                    <w:top w:val="nil"/>
                    <w:left w:val="nil"/>
                    <w:bottom w:val="nil"/>
                    <w:right w:val="nil"/>
                  </w:tcBorders>
                  <w:vAlign w:val="bottom"/>
                </w:tcPr>
                <w:p w14:paraId="4C82C17E" w14:textId="77777777" w:rsidR="003B5013" w:rsidRPr="00950178" w:rsidRDefault="003B5013" w:rsidP="00AF1C52">
                  <w:pPr>
                    <w:spacing w:before="100" w:after="100"/>
                    <w:jc w:val="center"/>
                    <w:rPr>
                      <w:noProof/>
                      <w:lang w:val="en-IE"/>
                    </w:rPr>
                  </w:pPr>
                  <w:r w:rsidRPr="00950178">
                    <w:rPr>
                      <w:noProof/>
                      <w:lang w:val="en-IE"/>
                    </w:rPr>
                    <w:t>24.0</w:t>
                  </w:r>
                </w:p>
              </w:tc>
            </w:tr>
          </w:tbl>
          <w:p w14:paraId="46E42193" w14:textId="77777777" w:rsidR="003B5013" w:rsidRPr="00950178" w:rsidRDefault="003B501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3B5013" w:rsidRPr="00950178" w14:paraId="5B0CC664" w14:textId="77777777" w:rsidTr="00AF1C52">
              <w:trPr>
                <w:trHeight w:val="285"/>
              </w:trPr>
              <w:tc>
                <w:tcPr>
                  <w:tcW w:w="2290" w:type="dxa"/>
                  <w:tcBorders>
                    <w:top w:val="nil"/>
                    <w:left w:val="nil"/>
                    <w:bottom w:val="nil"/>
                    <w:right w:val="nil"/>
                  </w:tcBorders>
                  <w:vAlign w:val="bottom"/>
                </w:tcPr>
                <w:p w14:paraId="38E8EE5A" w14:textId="77777777" w:rsidR="003B5013" w:rsidRPr="00950178" w:rsidRDefault="003B5013" w:rsidP="00AF1C52">
                  <w:pPr>
                    <w:spacing w:before="100" w:after="100"/>
                    <w:jc w:val="center"/>
                    <w:rPr>
                      <w:noProof/>
                      <w:lang w:val="en-IE"/>
                    </w:rPr>
                  </w:pPr>
                  <w:r w:rsidRPr="00950178">
                    <w:rPr>
                      <w:noProof/>
                      <w:lang w:val="en-IE"/>
                    </w:rPr>
                    <w:t>181.2</w:t>
                  </w:r>
                </w:p>
              </w:tc>
            </w:tr>
          </w:tbl>
          <w:p w14:paraId="1423C00D" w14:textId="77777777" w:rsidR="003B5013" w:rsidRPr="00950178" w:rsidRDefault="003B501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3B5013" w:rsidRPr="00950178" w14:paraId="0FB191A7" w14:textId="77777777" w:rsidTr="00AF1C52">
              <w:trPr>
                <w:trHeight w:val="285"/>
              </w:trPr>
              <w:tc>
                <w:tcPr>
                  <w:tcW w:w="2290" w:type="dxa"/>
                  <w:tcBorders>
                    <w:top w:val="nil"/>
                    <w:left w:val="nil"/>
                    <w:bottom w:val="nil"/>
                    <w:right w:val="nil"/>
                  </w:tcBorders>
                  <w:vAlign w:val="bottom"/>
                </w:tcPr>
                <w:p w14:paraId="3A8B5E68" w14:textId="77777777" w:rsidR="003B5013" w:rsidRPr="00950178" w:rsidRDefault="003B5013" w:rsidP="00AF1C52">
                  <w:pPr>
                    <w:spacing w:before="100" w:after="100"/>
                    <w:jc w:val="center"/>
                    <w:rPr>
                      <w:noProof/>
                      <w:lang w:val="en-IE"/>
                    </w:rPr>
                  </w:pPr>
                  <w:r w:rsidRPr="00950178">
                    <w:rPr>
                      <w:noProof/>
                      <w:lang w:val="en-IE"/>
                    </w:rPr>
                    <w:t>13%</w:t>
                  </w:r>
                </w:p>
              </w:tc>
            </w:tr>
          </w:tbl>
          <w:p w14:paraId="2A2D6D4A" w14:textId="77777777" w:rsidR="003B5013" w:rsidRPr="00950178" w:rsidRDefault="003B501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r>
      <w:tr w:rsidR="003B5013" w:rsidRPr="00950178" w14:paraId="46BD9E36"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78C9C4F5" w14:textId="77777777" w:rsidR="003B5013" w:rsidRPr="00950178" w:rsidRDefault="003B5013" w:rsidP="00AF1C52">
            <w:pPr>
              <w:jc w:val="center"/>
              <w:rPr>
                <w:noProof/>
                <w:lang w:val="en-IE"/>
              </w:rPr>
            </w:pPr>
            <w:r w:rsidRPr="00950178">
              <w:rPr>
                <w:noProof/>
                <w:lang w:val="en-IE"/>
              </w:rPr>
              <w:t>Payments</w:t>
            </w:r>
          </w:p>
        </w:tc>
        <w:tc>
          <w:tcPr>
            <w:tcW w:w="2410" w:type="dxa"/>
          </w:tcPr>
          <w:tbl>
            <w:tblPr>
              <w:tblStyle w:val="TableGrid"/>
              <w:tblW w:w="0" w:type="auto"/>
              <w:tblLook w:val="06A0" w:firstRow="1" w:lastRow="0" w:firstColumn="1" w:lastColumn="0" w:noHBand="1" w:noVBand="1"/>
            </w:tblPr>
            <w:tblGrid>
              <w:gridCol w:w="2194"/>
            </w:tblGrid>
            <w:tr w:rsidR="003B5013" w:rsidRPr="00950178" w14:paraId="628A6350" w14:textId="77777777" w:rsidTr="00AF1C52">
              <w:trPr>
                <w:trHeight w:val="285"/>
              </w:trPr>
              <w:tc>
                <w:tcPr>
                  <w:tcW w:w="2290" w:type="dxa"/>
                  <w:tcBorders>
                    <w:top w:val="nil"/>
                    <w:left w:val="nil"/>
                    <w:bottom w:val="nil"/>
                    <w:right w:val="nil"/>
                  </w:tcBorders>
                  <w:vAlign w:val="bottom"/>
                </w:tcPr>
                <w:p w14:paraId="6F95D7F2" w14:textId="77777777" w:rsidR="003B5013" w:rsidRPr="00950178" w:rsidRDefault="003B5013" w:rsidP="00AF1C52">
                  <w:pPr>
                    <w:spacing w:before="100" w:after="100"/>
                    <w:jc w:val="center"/>
                    <w:rPr>
                      <w:noProof/>
                      <w:lang w:val="en-IE"/>
                    </w:rPr>
                  </w:pPr>
                  <w:r w:rsidRPr="00950178">
                    <w:rPr>
                      <w:noProof/>
                      <w:lang w:val="en-IE"/>
                    </w:rPr>
                    <w:t>2.5</w:t>
                  </w:r>
                </w:p>
              </w:tc>
            </w:tr>
          </w:tbl>
          <w:p w14:paraId="7210CC66" w14:textId="77777777" w:rsidR="003B5013" w:rsidRPr="00950178" w:rsidRDefault="003B501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p w14:paraId="097E6B2E" w14:textId="77777777" w:rsidR="003B5013" w:rsidRPr="00950178" w:rsidRDefault="003B501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3B5013" w:rsidRPr="00950178" w14:paraId="78D234CB" w14:textId="77777777" w:rsidTr="00AF1C52">
              <w:trPr>
                <w:trHeight w:val="285"/>
              </w:trPr>
              <w:tc>
                <w:tcPr>
                  <w:tcW w:w="2235" w:type="dxa"/>
                  <w:tcBorders>
                    <w:top w:val="nil"/>
                    <w:left w:val="nil"/>
                    <w:bottom w:val="nil"/>
                    <w:right w:val="nil"/>
                  </w:tcBorders>
                  <w:vAlign w:val="bottom"/>
                </w:tcPr>
                <w:p w14:paraId="51E27C95" w14:textId="77777777" w:rsidR="003B5013" w:rsidRPr="00950178" w:rsidRDefault="003B5013" w:rsidP="00AF1C52">
                  <w:pPr>
                    <w:spacing w:before="100" w:after="100"/>
                    <w:jc w:val="center"/>
                    <w:rPr>
                      <w:noProof/>
                      <w:lang w:val="en-IE"/>
                    </w:rPr>
                  </w:pPr>
                  <w:r w:rsidRPr="00950178">
                    <w:rPr>
                      <w:noProof/>
                      <w:lang w:val="en-IE"/>
                    </w:rPr>
                    <w:t>1%</w:t>
                  </w:r>
                </w:p>
              </w:tc>
            </w:tr>
          </w:tbl>
          <w:p w14:paraId="334059B1" w14:textId="77777777" w:rsidR="003B5013" w:rsidRPr="00950178" w:rsidRDefault="003B501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r>
    </w:tbl>
    <w:p w14:paraId="736B5F52" w14:textId="77777777" w:rsidR="003B5013" w:rsidRPr="00950178" w:rsidRDefault="003B5013" w:rsidP="003B5013">
      <w:pPr>
        <w:pStyle w:val="ppoTableTabletitle"/>
        <w:rPr>
          <w:b/>
          <w:noProof/>
          <w:lang w:val="en-IE"/>
        </w:rPr>
      </w:pPr>
      <w:r w:rsidRPr="00950178">
        <w:rPr>
          <w:noProof/>
          <w:lang w:val="en-IE"/>
        </w:rPr>
        <w:t>Voted budget implementation in 2021 (million EUR):</w:t>
      </w:r>
    </w:p>
    <w:tbl>
      <w:tblPr>
        <w:tblStyle w:val="PPO2021"/>
        <w:tblW w:w="3683" w:type="pct"/>
        <w:tblInd w:w="79" w:type="dxa"/>
        <w:tblLook w:val="04A0" w:firstRow="1" w:lastRow="0" w:firstColumn="1" w:lastColumn="0" w:noHBand="0" w:noVBand="1"/>
      </w:tblPr>
      <w:tblGrid>
        <w:gridCol w:w="2419"/>
        <w:gridCol w:w="2419"/>
        <w:gridCol w:w="2420"/>
      </w:tblGrid>
      <w:tr w:rsidR="003B5013" w:rsidRPr="00950178" w14:paraId="528867CC" w14:textId="77777777" w:rsidTr="00AF1C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7934C798" w14:textId="77777777" w:rsidR="003B5013" w:rsidRPr="00950178" w:rsidRDefault="003B5013" w:rsidP="00AF1C52">
            <w:pPr>
              <w:rPr>
                <w:noProof/>
                <w:lang w:val="en-IE"/>
              </w:rPr>
            </w:pPr>
          </w:p>
        </w:tc>
        <w:tc>
          <w:tcPr>
            <w:tcW w:w="2419" w:type="dxa"/>
          </w:tcPr>
          <w:p w14:paraId="78DA0754" w14:textId="77777777" w:rsidR="003B5013" w:rsidRPr="00950178" w:rsidRDefault="003B5013" w:rsidP="00AF1C52">
            <w:pPr>
              <w:cnfStyle w:val="100000000000" w:firstRow="1" w:lastRow="0" w:firstColumn="0" w:lastColumn="0" w:oddVBand="0" w:evenVBand="0" w:oddHBand="0" w:evenHBand="0" w:firstRowFirstColumn="0" w:firstRowLastColumn="0" w:lastRowFirstColumn="0" w:lastRowLastColumn="0"/>
              <w:rPr>
                <w:noProof/>
                <w:lang w:val="en-IE"/>
              </w:rPr>
            </w:pPr>
            <w:r w:rsidRPr="00950178">
              <w:rPr>
                <w:noProof/>
                <w:lang w:val="en-IE"/>
              </w:rPr>
              <w:t>Voted budget implementation</w:t>
            </w:r>
          </w:p>
        </w:tc>
        <w:tc>
          <w:tcPr>
            <w:tcW w:w="2420" w:type="dxa"/>
          </w:tcPr>
          <w:p w14:paraId="5F581E1F" w14:textId="77777777" w:rsidR="003B5013" w:rsidRPr="00950178" w:rsidRDefault="003B5013" w:rsidP="00AF1C52">
            <w:pPr>
              <w:cnfStyle w:val="100000000000" w:firstRow="1" w:lastRow="0" w:firstColumn="0" w:lastColumn="0" w:oddVBand="0" w:evenVBand="0" w:oddHBand="0" w:evenHBand="0" w:firstRowFirstColumn="0" w:firstRowLastColumn="0" w:lastRowFirstColumn="0" w:lastRowLastColumn="0"/>
              <w:rPr>
                <w:noProof/>
                <w:lang w:val="en-IE"/>
              </w:rPr>
            </w:pPr>
            <w:r w:rsidRPr="00950178">
              <w:rPr>
                <w:noProof/>
                <w:lang w:val="en-IE"/>
              </w:rPr>
              <w:t>Initial voted budget</w:t>
            </w:r>
          </w:p>
        </w:tc>
      </w:tr>
      <w:tr w:rsidR="003B5013" w:rsidRPr="00950178" w14:paraId="713A9835" w14:textId="77777777" w:rsidTr="00AF1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5602E376" w14:textId="77777777" w:rsidR="003B5013" w:rsidRPr="00950178" w:rsidRDefault="003B5013" w:rsidP="00AF1C52">
            <w:pPr>
              <w:jc w:val="center"/>
              <w:rPr>
                <w:noProof/>
                <w:lang w:val="en-IE"/>
              </w:rPr>
            </w:pPr>
            <w:r w:rsidRPr="00950178">
              <w:rPr>
                <w:noProof/>
                <w:lang w:val="en-IE"/>
              </w:rPr>
              <w:t>Commitments</w:t>
            </w:r>
          </w:p>
        </w:tc>
        <w:tc>
          <w:tcPr>
            <w:tcW w:w="2419" w:type="dxa"/>
          </w:tcPr>
          <w:p w14:paraId="47DD045A" w14:textId="77777777" w:rsidR="003B5013" w:rsidRPr="00950178" w:rsidRDefault="003B5013" w:rsidP="00AF1C52">
            <w:pPr>
              <w:jc w:val="center"/>
              <w:cnfStyle w:val="000000100000" w:firstRow="0" w:lastRow="0" w:firstColumn="0" w:lastColumn="0" w:oddVBand="0" w:evenVBand="0" w:oddHBand="1" w:evenHBand="0" w:firstRowFirstColumn="0" w:firstRowLastColumn="0" w:lastRowFirstColumn="0" w:lastRowLastColumn="0"/>
              <w:rPr>
                <w:noProof/>
                <w:lang w:val="en-IE"/>
              </w:rPr>
            </w:pPr>
            <w:r w:rsidRPr="00950178">
              <w:rPr>
                <w:noProof/>
                <w:lang w:val="en-IE"/>
              </w:rPr>
              <w:t>24.0</w:t>
            </w:r>
          </w:p>
        </w:tc>
        <w:tc>
          <w:tcPr>
            <w:tcW w:w="2420" w:type="dxa"/>
          </w:tcPr>
          <w:p w14:paraId="04FCCC69" w14:textId="77777777" w:rsidR="003B5013" w:rsidRPr="00950178" w:rsidRDefault="003B5013" w:rsidP="00AF1C52">
            <w:pPr>
              <w:jc w:val="center"/>
              <w:cnfStyle w:val="000000100000" w:firstRow="0" w:lastRow="0" w:firstColumn="0" w:lastColumn="0" w:oddVBand="0" w:evenVBand="0" w:oddHBand="1" w:evenHBand="0" w:firstRowFirstColumn="0" w:firstRowLastColumn="0" w:lastRowFirstColumn="0" w:lastRowLastColumn="0"/>
              <w:rPr>
                <w:noProof/>
                <w:lang w:val="en-IE"/>
              </w:rPr>
            </w:pPr>
            <w:r w:rsidRPr="00950178">
              <w:rPr>
                <w:noProof/>
                <w:lang w:val="en-IE"/>
              </w:rPr>
              <w:t>24.1</w:t>
            </w:r>
          </w:p>
        </w:tc>
      </w:tr>
      <w:tr w:rsidR="003B5013" w:rsidRPr="00950178" w14:paraId="00CA4E27" w14:textId="77777777" w:rsidTr="00AF1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6FEE0EB4" w14:textId="77777777" w:rsidR="003B5013" w:rsidRPr="00950178" w:rsidRDefault="003B5013" w:rsidP="00AF1C52">
            <w:pPr>
              <w:jc w:val="center"/>
              <w:rPr>
                <w:noProof/>
                <w:lang w:val="en-IE"/>
              </w:rPr>
            </w:pPr>
            <w:r w:rsidRPr="00950178">
              <w:rPr>
                <w:noProof/>
                <w:lang w:val="en-IE"/>
              </w:rPr>
              <w:t>Payments</w:t>
            </w:r>
          </w:p>
        </w:tc>
        <w:tc>
          <w:tcPr>
            <w:tcW w:w="2419" w:type="dxa"/>
          </w:tcPr>
          <w:p w14:paraId="1AB70D7F" w14:textId="77777777" w:rsidR="003B5013" w:rsidRPr="00950178" w:rsidRDefault="003B5013" w:rsidP="00AF1C52">
            <w:pPr>
              <w:jc w:val="center"/>
              <w:cnfStyle w:val="000000010000" w:firstRow="0" w:lastRow="0" w:firstColumn="0" w:lastColumn="0" w:oddVBand="0" w:evenVBand="0" w:oddHBand="0" w:evenHBand="1" w:firstRowFirstColumn="0" w:firstRowLastColumn="0" w:lastRowFirstColumn="0" w:lastRowLastColumn="0"/>
              <w:rPr>
                <w:noProof/>
                <w:lang w:val="en-IE"/>
              </w:rPr>
            </w:pPr>
            <w:r w:rsidRPr="00950178">
              <w:rPr>
                <w:noProof/>
                <w:lang w:val="en-IE"/>
              </w:rPr>
              <w:t>2.5</w:t>
            </w:r>
          </w:p>
        </w:tc>
        <w:tc>
          <w:tcPr>
            <w:tcW w:w="2420" w:type="dxa"/>
          </w:tcPr>
          <w:p w14:paraId="7B8D8F95" w14:textId="77777777" w:rsidR="003B5013" w:rsidRPr="00950178" w:rsidRDefault="003B5013" w:rsidP="00AF1C52">
            <w:pPr>
              <w:jc w:val="center"/>
              <w:cnfStyle w:val="000000010000" w:firstRow="0" w:lastRow="0" w:firstColumn="0" w:lastColumn="0" w:oddVBand="0" w:evenVBand="0" w:oddHBand="0" w:evenHBand="1" w:firstRowFirstColumn="0" w:firstRowLastColumn="0" w:lastRowFirstColumn="0" w:lastRowLastColumn="0"/>
              <w:rPr>
                <w:noProof/>
                <w:lang w:val="en-IE"/>
              </w:rPr>
            </w:pPr>
            <w:r w:rsidRPr="00950178">
              <w:rPr>
                <w:noProof/>
                <w:lang w:val="en-IE"/>
              </w:rPr>
              <w:t>8.7</w:t>
            </w:r>
          </w:p>
        </w:tc>
      </w:tr>
    </w:tbl>
    <w:p w14:paraId="6C24EDEE" w14:textId="77777777" w:rsidR="003B5013" w:rsidRPr="00950178" w:rsidRDefault="003B5013" w:rsidP="003B5013">
      <w:pPr>
        <w:pStyle w:val="ppoListHyphened-L1"/>
        <w:spacing w:before="360"/>
        <w:rPr>
          <w:noProof/>
          <w:lang w:val="en-IE"/>
        </w:rPr>
      </w:pPr>
      <w:r w:rsidRPr="00950178">
        <w:rPr>
          <w:noProof/>
          <w:lang w:val="en-IE"/>
        </w:rPr>
        <w:t>In 2021, the programme committed 13% and paid 1% of the available appropriations.</w:t>
      </w:r>
    </w:p>
    <w:p w14:paraId="5FC8B367" w14:textId="77777777" w:rsidR="003B5013" w:rsidRPr="00950178" w:rsidRDefault="003B5013" w:rsidP="003B5013">
      <w:pPr>
        <w:pStyle w:val="ppoListHyphened-L1"/>
        <w:spacing w:before="360"/>
        <w:rPr>
          <w:noProof/>
          <w:lang w:val="en-IE"/>
        </w:rPr>
      </w:pPr>
      <w:r w:rsidRPr="00950178">
        <w:rPr>
          <w:noProof/>
          <w:lang w:val="en-IE"/>
        </w:rPr>
        <w:t>For the first strand (Hercule actions), commitment appropriations were used to conclude specific contracts (procurement) and administrative arrangements for the provision of access to commercial databases, specialised information technology tools and specific training and conference events. The commitment amounts earmarked for the 2021 granting cycle (approximately EUR</w:t>
      </w:r>
      <w:r w:rsidRPr="00950178">
        <w:rPr>
          <w:rFonts w:ascii="Calibri" w:hAnsi="Calibri" w:cs="Calibri"/>
          <w:noProof/>
          <w:lang w:val="en-IE"/>
        </w:rPr>
        <w:t> </w:t>
      </w:r>
      <w:r w:rsidRPr="00950178">
        <w:rPr>
          <w:noProof/>
          <w:lang w:val="en-IE"/>
        </w:rPr>
        <w:t>11</w:t>
      </w:r>
      <w:r w:rsidRPr="00950178">
        <w:rPr>
          <w:rFonts w:ascii="Calibri" w:hAnsi="Calibri" w:cs="Calibri"/>
          <w:noProof/>
          <w:lang w:val="en-IE"/>
        </w:rPr>
        <w:t> </w:t>
      </w:r>
      <w:r w:rsidRPr="00950178">
        <w:rPr>
          <w:noProof/>
          <w:lang w:val="en-IE"/>
        </w:rPr>
        <w:t xml:space="preserve">million) will be implemented by the end of April 2022, through the signature of contracts for the awarded grant files and the payment of pre-financing. Two calls for proposals under the 2022 budget will be published by the end of March 2022. </w:t>
      </w:r>
    </w:p>
    <w:p w14:paraId="31976A09" w14:textId="77777777" w:rsidR="003B5013" w:rsidRPr="00950178" w:rsidRDefault="003B5013" w:rsidP="003B5013">
      <w:pPr>
        <w:pStyle w:val="ppoListHyphened-L1"/>
        <w:rPr>
          <w:noProof/>
          <w:lang w:val="en-IE"/>
        </w:rPr>
      </w:pPr>
      <w:r w:rsidRPr="00950178">
        <w:rPr>
          <w:noProof/>
          <w:lang w:val="en-IE"/>
        </w:rPr>
        <w:t>The available commitment appropriations in 2021 for the second (Irregularity Management System) and third (AFIS) strands were exclusively used to conclude specific contracts (procurement) for the provision of information technology services, hardware and software. Payment appropriations for these two strands were used to pay invoices related to specific contracts that were concluded in the current and the previous year.</w:t>
      </w:r>
    </w:p>
    <w:p w14:paraId="18CB992A" w14:textId="77777777" w:rsidR="003B5013" w:rsidRPr="00950178" w:rsidRDefault="003B5013" w:rsidP="003B5013">
      <w:pPr>
        <w:pStyle w:val="ppoHeading5"/>
        <w:rPr>
          <w:noProof/>
          <w:lang w:val="en-IE"/>
        </w:rPr>
      </w:pPr>
      <w:r w:rsidRPr="00950178">
        <w:rPr>
          <w:noProof/>
          <w:lang w:val="en-IE"/>
        </w:rPr>
        <w:t>Contribution to horizontal priorities</w:t>
      </w:r>
    </w:p>
    <w:p w14:paraId="55BF9515" w14:textId="77777777" w:rsidR="003B5013" w:rsidRPr="00DE538D" w:rsidRDefault="003B5013" w:rsidP="003B5013">
      <w:pPr>
        <w:pStyle w:val="ppoTableTabletitle"/>
        <w:rPr>
          <w:noProof/>
          <w:lang w:val="en-IE"/>
        </w:rPr>
      </w:pPr>
      <w:r w:rsidRPr="00DE538D">
        <w:rPr>
          <w:noProof/>
          <w:lang w:val="en-IE"/>
        </w:rPr>
        <w:t>EU budget contribution in 2021 (million EUR):</w:t>
      </w:r>
    </w:p>
    <w:tbl>
      <w:tblPr>
        <w:tblStyle w:val="PPO2021"/>
        <w:tblW w:w="9639" w:type="dxa"/>
        <w:tblInd w:w="0" w:type="dxa"/>
        <w:tblLook w:val="0420" w:firstRow="1" w:lastRow="0" w:firstColumn="0" w:lastColumn="0" w:noHBand="0" w:noVBand="1"/>
      </w:tblPr>
      <w:tblGrid>
        <w:gridCol w:w="3213"/>
        <w:gridCol w:w="3213"/>
        <w:gridCol w:w="3213"/>
      </w:tblGrid>
      <w:tr w:rsidR="003B5013" w:rsidRPr="00950178" w14:paraId="22FBB3D4" w14:textId="77777777" w:rsidTr="00AF1C52">
        <w:trPr>
          <w:cnfStyle w:val="100000000000" w:firstRow="1" w:lastRow="0" w:firstColumn="0" w:lastColumn="0" w:oddVBand="0" w:evenVBand="0" w:oddHBand="0" w:evenHBand="0" w:firstRowFirstColumn="0" w:firstRowLastColumn="0" w:lastRowFirstColumn="0" w:lastRowLastColumn="0"/>
          <w:tblHeader/>
        </w:trPr>
        <w:tc>
          <w:tcPr>
            <w:tcW w:w="3213" w:type="dxa"/>
          </w:tcPr>
          <w:p w14:paraId="31C722A4" w14:textId="77777777" w:rsidR="003B5013" w:rsidRPr="00950178" w:rsidRDefault="003B5013" w:rsidP="00AF1C52">
            <w:pPr>
              <w:rPr>
                <w:noProof/>
                <w:lang w:val="en-IE"/>
              </w:rPr>
            </w:pPr>
            <w:r w:rsidRPr="00950178">
              <w:rPr>
                <w:noProof/>
                <w:lang w:val="en-IE"/>
              </w:rPr>
              <w:t>Climate</w:t>
            </w:r>
          </w:p>
        </w:tc>
        <w:tc>
          <w:tcPr>
            <w:tcW w:w="3213" w:type="dxa"/>
          </w:tcPr>
          <w:p w14:paraId="3F88C984" w14:textId="77777777" w:rsidR="003B5013" w:rsidRPr="00950178" w:rsidRDefault="003B5013" w:rsidP="00AF1C52">
            <w:pPr>
              <w:rPr>
                <w:noProof/>
                <w:lang w:val="en-IE"/>
              </w:rPr>
            </w:pPr>
            <w:r w:rsidRPr="00950178">
              <w:rPr>
                <w:noProof/>
                <w:lang w:val="en-IE"/>
              </w:rPr>
              <w:t>Biodiversity</w:t>
            </w:r>
          </w:p>
        </w:tc>
        <w:tc>
          <w:tcPr>
            <w:tcW w:w="3213" w:type="dxa"/>
          </w:tcPr>
          <w:p w14:paraId="7DA7A1EB" w14:textId="77777777" w:rsidR="003B5013" w:rsidRPr="00950178" w:rsidRDefault="003B5013" w:rsidP="00AF1C52">
            <w:pPr>
              <w:rPr>
                <w:noProof/>
                <w:lang w:val="en-IE"/>
              </w:rPr>
            </w:pPr>
            <w:r w:rsidRPr="00950178">
              <w:rPr>
                <w:noProof/>
                <w:lang w:val="en-IE"/>
              </w:rPr>
              <w:t>Gender equality</w:t>
            </w:r>
            <w:r w:rsidRPr="00950178">
              <w:rPr>
                <w:rFonts w:ascii="Calibri" w:hAnsi="Calibri" w:cs="Calibri"/>
                <w:noProof/>
                <w:lang w:val="en-IE"/>
              </w:rPr>
              <w:t> </w:t>
            </w:r>
            <w:r w:rsidRPr="00950178">
              <w:rPr>
                <w:noProof/>
                <w:lang w:val="en-IE"/>
              </w:rPr>
              <w:t>(*)</w:t>
            </w:r>
          </w:p>
        </w:tc>
      </w:tr>
      <w:tr w:rsidR="003B5013" w:rsidRPr="00950178" w14:paraId="5A5DC64C" w14:textId="77777777" w:rsidTr="00AF1C52">
        <w:trPr>
          <w:cnfStyle w:val="000000100000" w:firstRow="0" w:lastRow="0" w:firstColumn="0" w:lastColumn="0" w:oddVBand="0" w:evenVBand="0" w:oddHBand="1" w:evenHBand="0" w:firstRowFirstColumn="0" w:firstRowLastColumn="0" w:lastRowFirstColumn="0" w:lastRowLastColumn="0"/>
        </w:trPr>
        <w:tc>
          <w:tcPr>
            <w:tcW w:w="3213" w:type="dxa"/>
          </w:tcPr>
          <w:p w14:paraId="2D2E7E72" w14:textId="77777777" w:rsidR="003B5013" w:rsidRPr="00950178" w:rsidRDefault="003B5013" w:rsidP="00AF1C52">
            <w:pPr>
              <w:jc w:val="center"/>
              <w:rPr>
                <w:noProof/>
                <w:lang w:val="en-IE"/>
              </w:rPr>
            </w:pPr>
            <w:r w:rsidRPr="00950178">
              <w:rPr>
                <w:noProof/>
                <w:lang w:val="en-IE"/>
              </w:rPr>
              <w:t>0</w:t>
            </w:r>
          </w:p>
        </w:tc>
        <w:tc>
          <w:tcPr>
            <w:tcW w:w="3213" w:type="dxa"/>
          </w:tcPr>
          <w:p w14:paraId="6BB59841" w14:textId="77777777" w:rsidR="003B5013" w:rsidRPr="00950178" w:rsidRDefault="003B5013" w:rsidP="00AF1C52">
            <w:pPr>
              <w:jc w:val="center"/>
              <w:rPr>
                <w:noProof/>
                <w:lang w:val="en-IE"/>
              </w:rPr>
            </w:pPr>
            <w:r w:rsidRPr="00950178">
              <w:rPr>
                <w:noProof/>
                <w:lang w:val="en-IE"/>
              </w:rPr>
              <w:t>0</w:t>
            </w:r>
          </w:p>
        </w:tc>
        <w:tc>
          <w:tcPr>
            <w:tcW w:w="3213" w:type="dxa"/>
          </w:tcPr>
          <w:p w14:paraId="309EE256" w14:textId="77777777" w:rsidR="003B5013" w:rsidRPr="00950178" w:rsidRDefault="003B5013" w:rsidP="00AF1C52">
            <w:pPr>
              <w:jc w:val="center"/>
              <w:rPr>
                <w:noProof/>
                <w:lang w:val="en-IE"/>
              </w:rPr>
            </w:pPr>
            <w:r w:rsidRPr="00950178">
              <w:rPr>
                <w:noProof/>
                <w:lang w:val="en-IE"/>
              </w:rPr>
              <w:t>Score 0: 24</w:t>
            </w:r>
          </w:p>
        </w:tc>
      </w:tr>
    </w:tbl>
    <w:p w14:paraId="5A8D2F45" w14:textId="77777777" w:rsidR="003B5013" w:rsidRPr="00950178" w:rsidRDefault="003B5013" w:rsidP="003B5013">
      <w:pPr>
        <w:pStyle w:val="FootnoteText"/>
        <w:rPr>
          <w:noProof/>
          <w:lang w:val="en-IE"/>
        </w:rPr>
      </w:pPr>
      <w:r w:rsidRPr="00950178">
        <w:rPr>
          <w:noProof/>
          <w:lang w:val="en-IE"/>
        </w:rPr>
        <w:t xml:space="preserve">(*) Based on the applied gender contribution methodology, the following scores are attributed at the most granular level of intervention possible: </w:t>
      </w:r>
    </w:p>
    <w:p w14:paraId="755B45DA" w14:textId="77777777" w:rsidR="003B5013" w:rsidRPr="00950178" w:rsidRDefault="003B5013" w:rsidP="003B5013">
      <w:pPr>
        <w:pStyle w:val="FootnoteText"/>
        <w:numPr>
          <w:ilvl w:val="0"/>
          <w:numId w:val="38"/>
        </w:numPr>
        <w:spacing w:after="60" w:line="264" w:lineRule="auto"/>
        <w:jc w:val="left"/>
        <w:rPr>
          <w:noProof/>
          <w:lang w:val="en-IE"/>
        </w:rPr>
      </w:pPr>
      <w:r w:rsidRPr="00950178">
        <w:rPr>
          <w:noProof/>
          <w:lang w:val="en-IE"/>
        </w:rPr>
        <w:t>2: interventions the principal objective of which is to improve gender equality;</w:t>
      </w:r>
    </w:p>
    <w:p w14:paraId="4993A997" w14:textId="77777777" w:rsidR="003B5013" w:rsidRPr="00950178" w:rsidRDefault="003B5013" w:rsidP="003B5013">
      <w:pPr>
        <w:pStyle w:val="FootnoteText"/>
        <w:numPr>
          <w:ilvl w:val="0"/>
          <w:numId w:val="38"/>
        </w:numPr>
        <w:spacing w:after="60" w:line="264" w:lineRule="auto"/>
        <w:jc w:val="left"/>
        <w:rPr>
          <w:noProof/>
          <w:lang w:val="en-IE"/>
        </w:rPr>
      </w:pPr>
      <w:r w:rsidRPr="00950178">
        <w:rPr>
          <w:noProof/>
          <w:lang w:val="en-IE"/>
        </w:rPr>
        <w:t>1: interventions having gender equality as an important and deliberate objective but not as the main reason for the intervention;</w:t>
      </w:r>
    </w:p>
    <w:p w14:paraId="40DDE730" w14:textId="77777777" w:rsidR="003B5013" w:rsidRPr="00950178" w:rsidRDefault="003B5013" w:rsidP="003B5013">
      <w:pPr>
        <w:pStyle w:val="FootnoteText"/>
        <w:numPr>
          <w:ilvl w:val="0"/>
          <w:numId w:val="38"/>
        </w:numPr>
        <w:spacing w:after="60" w:line="264" w:lineRule="auto"/>
        <w:jc w:val="left"/>
        <w:rPr>
          <w:noProof/>
          <w:lang w:val="en-IE"/>
        </w:rPr>
      </w:pPr>
      <w:r w:rsidRPr="00950178">
        <w:rPr>
          <w:noProof/>
          <w:lang w:val="en-IE"/>
        </w:rPr>
        <w:t xml:space="preserve">0: non-targeted interventions; </w:t>
      </w:r>
    </w:p>
    <w:p w14:paraId="1BFAF468" w14:textId="77777777" w:rsidR="003B5013" w:rsidRPr="00950178" w:rsidRDefault="003B5013" w:rsidP="003B5013">
      <w:pPr>
        <w:pStyle w:val="FootnoteText"/>
        <w:numPr>
          <w:ilvl w:val="0"/>
          <w:numId w:val="38"/>
        </w:numPr>
        <w:spacing w:after="60" w:line="264" w:lineRule="auto"/>
        <w:jc w:val="left"/>
        <w:rPr>
          <w:noProof/>
          <w:lang w:val="en-IE"/>
        </w:rPr>
      </w:pPr>
      <w:r w:rsidRPr="00950178">
        <w:rPr>
          <w:noProof/>
          <w:lang w:val="en-IE"/>
        </w:rPr>
        <w:t>0*: score to be assigned to interventions with a likely but not yet clear positive impact on gender equality.</w:t>
      </w:r>
    </w:p>
    <w:p w14:paraId="057EF6B4" w14:textId="77777777" w:rsidR="003B5013" w:rsidRPr="00950178" w:rsidRDefault="003B5013" w:rsidP="003B5013">
      <w:pPr>
        <w:pStyle w:val="ppoHeading5"/>
        <w:rPr>
          <w:noProof/>
          <w:lang w:val="en-IE"/>
        </w:rPr>
      </w:pPr>
      <w:r w:rsidRPr="00950178">
        <w:rPr>
          <w:noProof/>
          <w:lang w:val="en-IE"/>
        </w:rPr>
        <w:t>Performance assessment</w:t>
      </w:r>
    </w:p>
    <w:p w14:paraId="72CAFE5A" w14:textId="77777777" w:rsidR="003B5013" w:rsidRPr="00950178" w:rsidRDefault="003B5013" w:rsidP="003B5013">
      <w:pPr>
        <w:pStyle w:val="ppoHeading6"/>
        <w:rPr>
          <w:noProof/>
          <w:lang w:val="en-IE"/>
        </w:rPr>
      </w:pPr>
      <w:r w:rsidRPr="00950178">
        <w:rPr>
          <w:noProof/>
          <w:lang w:val="en-IE"/>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3B5013" w:rsidRPr="00950178" w14:paraId="1E4CB385" w14:textId="77777777" w:rsidTr="00AF1C52">
        <w:trPr>
          <w:cnfStyle w:val="100000000000" w:firstRow="1" w:lastRow="0" w:firstColumn="0" w:lastColumn="0" w:oddVBand="0" w:evenVBand="0" w:oddHBand="0" w:evenHBand="0" w:firstRowFirstColumn="0" w:firstRowLastColumn="0" w:lastRowFirstColumn="0" w:lastRowLastColumn="0"/>
        </w:trPr>
        <w:tc>
          <w:tcPr>
            <w:tcW w:w="2330" w:type="dxa"/>
          </w:tcPr>
          <w:p w14:paraId="708CADEA" w14:textId="77777777" w:rsidR="003B5013" w:rsidRPr="00950178" w:rsidRDefault="003B5013" w:rsidP="00AF1C52">
            <w:pPr>
              <w:rPr>
                <w:noProof/>
                <w:lang w:val="en-IE"/>
              </w:rPr>
            </w:pPr>
          </w:p>
        </w:tc>
        <w:tc>
          <w:tcPr>
            <w:tcW w:w="1100" w:type="dxa"/>
          </w:tcPr>
          <w:p w14:paraId="5FF8E783" w14:textId="77777777" w:rsidR="003B5013" w:rsidRPr="00950178" w:rsidRDefault="003B5013" w:rsidP="00AF1C52">
            <w:pPr>
              <w:rPr>
                <w:noProof/>
                <w:lang w:val="en-IE"/>
              </w:rPr>
            </w:pPr>
            <w:r w:rsidRPr="00950178">
              <w:rPr>
                <w:noProof/>
                <w:lang w:val="en-IE"/>
              </w:rPr>
              <w:t>Baseline</w:t>
            </w:r>
          </w:p>
        </w:tc>
        <w:tc>
          <w:tcPr>
            <w:tcW w:w="1526" w:type="dxa"/>
          </w:tcPr>
          <w:p w14:paraId="6AD67004" w14:textId="77777777" w:rsidR="003B5013" w:rsidRPr="00DE538D" w:rsidRDefault="003B5013" w:rsidP="00AF1C52">
            <w:pPr>
              <w:rPr>
                <w:rFonts w:ascii="Calibri" w:hAnsi="Calibri" w:cs="Calibri"/>
                <w:noProof/>
                <w:lang w:val="en-IE"/>
              </w:rPr>
            </w:pPr>
            <w:r w:rsidRPr="00950178">
              <w:rPr>
                <w:noProof/>
                <w:lang w:val="en-IE"/>
              </w:rPr>
              <w:t>Progress</w:t>
            </w:r>
            <w:r w:rsidRPr="00950178">
              <w:rPr>
                <w:rFonts w:ascii="Calibri" w:hAnsi="Calibri" w:cs="Calibri"/>
                <w:noProof/>
                <w:lang w:val="en-IE"/>
              </w:rPr>
              <w:t> </w:t>
            </w:r>
            <w:r w:rsidRPr="00DE538D">
              <w:rPr>
                <w:rFonts w:cs="Calibri"/>
                <w:noProof/>
                <w:lang w:val="en-IE"/>
              </w:rPr>
              <w:t>(*)</w:t>
            </w:r>
          </w:p>
        </w:tc>
        <w:tc>
          <w:tcPr>
            <w:tcW w:w="1532" w:type="dxa"/>
          </w:tcPr>
          <w:p w14:paraId="3F944B14" w14:textId="77777777" w:rsidR="003B5013" w:rsidRPr="00950178" w:rsidRDefault="003B5013" w:rsidP="00AF1C52">
            <w:pPr>
              <w:rPr>
                <w:noProof/>
                <w:lang w:val="en-IE"/>
              </w:rPr>
            </w:pPr>
            <w:r w:rsidRPr="00950178">
              <w:rPr>
                <w:noProof/>
                <w:lang w:val="en-IE"/>
              </w:rPr>
              <w:t>Target</w:t>
            </w:r>
          </w:p>
        </w:tc>
        <w:tc>
          <w:tcPr>
            <w:tcW w:w="1572" w:type="dxa"/>
          </w:tcPr>
          <w:p w14:paraId="37112166" w14:textId="77777777" w:rsidR="003B5013" w:rsidRPr="00950178" w:rsidRDefault="003B5013" w:rsidP="00AF1C52">
            <w:pPr>
              <w:rPr>
                <w:noProof/>
                <w:lang w:val="en-IE"/>
              </w:rPr>
            </w:pPr>
            <w:r w:rsidRPr="00950178">
              <w:rPr>
                <w:noProof/>
                <w:lang w:val="en-IE"/>
              </w:rPr>
              <w:t>Results</w:t>
            </w:r>
          </w:p>
        </w:tc>
        <w:tc>
          <w:tcPr>
            <w:tcW w:w="1579" w:type="dxa"/>
          </w:tcPr>
          <w:p w14:paraId="273B0572" w14:textId="77777777" w:rsidR="003B5013" w:rsidRPr="00950178" w:rsidRDefault="003B5013" w:rsidP="00AF1C52">
            <w:pPr>
              <w:rPr>
                <w:noProof/>
                <w:lang w:val="en-IE"/>
              </w:rPr>
            </w:pPr>
            <w:r w:rsidRPr="00950178">
              <w:rPr>
                <w:noProof/>
                <w:lang w:val="en-IE"/>
              </w:rPr>
              <w:t>Assessment</w:t>
            </w:r>
          </w:p>
        </w:tc>
      </w:tr>
      <w:tr w:rsidR="003B5013" w:rsidRPr="00950178" w14:paraId="3D48042E" w14:textId="77777777" w:rsidTr="00AF1C52">
        <w:trPr>
          <w:cnfStyle w:val="000000100000" w:firstRow="0" w:lastRow="0" w:firstColumn="0" w:lastColumn="0" w:oddVBand="0" w:evenVBand="0" w:oddHBand="1" w:evenHBand="0" w:firstRowFirstColumn="0" w:firstRowLastColumn="0" w:lastRowFirstColumn="0" w:lastRowLastColumn="0"/>
        </w:trPr>
        <w:tc>
          <w:tcPr>
            <w:tcW w:w="2330" w:type="dxa"/>
          </w:tcPr>
          <w:p w14:paraId="7F8FA544" w14:textId="77777777" w:rsidR="003B5013" w:rsidRPr="00950178" w:rsidRDefault="003B5013" w:rsidP="00AF1C52">
            <w:pPr>
              <w:tabs>
                <w:tab w:val="right" w:pos="2114"/>
              </w:tabs>
              <w:rPr>
                <w:noProof/>
                <w:lang w:val="en-IE"/>
              </w:rPr>
            </w:pPr>
            <w:r w:rsidRPr="00950178">
              <w:rPr>
                <w:noProof/>
                <w:lang w:val="en-IE"/>
              </w:rPr>
              <w:t>Satisfaction rate of activities organised and (co-) financed through the programme</w:t>
            </w:r>
          </w:p>
        </w:tc>
        <w:tc>
          <w:tcPr>
            <w:tcW w:w="1100" w:type="dxa"/>
          </w:tcPr>
          <w:p w14:paraId="44C42B7F" w14:textId="3D1156D5" w:rsidR="003B5013" w:rsidRPr="00950178" w:rsidRDefault="00581D88" w:rsidP="00AF1C52">
            <w:pPr>
              <w:jc w:val="center"/>
              <w:rPr>
                <w:noProof/>
                <w:lang w:val="en-IE"/>
              </w:rPr>
            </w:pPr>
            <w:r>
              <w:rPr>
                <w:noProof/>
                <w:lang w:val="en-IE"/>
              </w:rPr>
              <w:t>9</w:t>
            </w:r>
            <w:r w:rsidR="003B5013">
              <w:rPr>
                <w:noProof/>
                <w:lang w:val="en-IE"/>
              </w:rPr>
              <w:t>0%</w:t>
            </w:r>
          </w:p>
        </w:tc>
        <w:tc>
          <w:tcPr>
            <w:tcW w:w="1526" w:type="dxa"/>
          </w:tcPr>
          <w:p w14:paraId="34C5827A" w14:textId="77777777" w:rsidR="003B5013" w:rsidRPr="00950178" w:rsidRDefault="003B5013" w:rsidP="00AF1C52">
            <w:pPr>
              <w:jc w:val="center"/>
              <w:rPr>
                <w:b/>
                <w:noProof/>
                <w:lang w:val="en-IE"/>
              </w:rPr>
            </w:pPr>
            <w:r w:rsidRPr="00950178">
              <w:rPr>
                <w:b/>
                <w:noProof/>
                <w:lang w:val="en-IE"/>
              </w:rPr>
              <w:t>14%</w:t>
            </w:r>
          </w:p>
        </w:tc>
        <w:tc>
          <w:tcPr>
            <w:tcW w:w="1532" w:type="dxa"/>
          </w:tcPr>
          <w:p w14:paraId="182B45E9" w14:textId="77777777" w:rsidR="003B5013" w:rsidRPr="00950178" w:rsidRDefault="003B5013" w:rsidP="00AF1C52">
            <w:pPr>
              <w:jc w:val="center"/>
              <w:rPr>
                <w:noProof/>
                <w:lang w:val="en-IE"/>
              </w:rPr>
            </w:pPr>
            <w:r w:rsidRPr="00950178">
              <w:rPr>
                <w:noProof/>
                <w:lang w:val="en-IE"/>
              </w:rPr>
              <w:t xml:space="preserve"> 95% from 2026 </w:t>
            </w:r>
          </w:p>
        </w:tc>
        <w:tc>
          <w:tcPr>
            <w:tcW w:w="1572" w:type="dxa"/>
          </w:tcPr>
          <w:p w14:paraId="4F25A8FA" w14:textId="77777777" w:rsidR="003B5013" w:rsidRPr="00950178" w:rsidRDefault="003B5013" w:rsidP="00AF1C52">
            <w:pPr>
              <w:jc w:val="center"/>
              <w:rPr>
                <w:noProof/>
                <w:lang w:val="en-IE"/>
              </w:rPr>
            </w:pPr>
            <w:r w:rsidRPr="00950178">
              <w:rPr>
                <w:noProof/>
                <w:lang w:val="en-IE"/>
              </w:rPr>
              <w:t>Milestone achieved in 2021. 94% compared to a milestone</w:t>
            </w:r>
            <w:r w:rsidRPr="00950178">
              <w:rPr>
                <w:rFonts w:asciiTheme="minorHAnsi" w:eastAsiaTheme="minorEastAsia" w:hAnsiTheme="minorHAnsi"/>
                <w:noProof/>
                <w:lang w:val="en-IE" w:eastAsia="en-GB"/>
              </w:rPr>
              <w:t xml:space="preserve"> of a milestone of 90%</w:t>
            </w:r>
          </w:p>
        </w:tc>
        <w:tc>
          <w:tcPr>
            <w:tcW w:w="1579" w:type="dxa"/>
          </w:tcPr>
          <w:p w14:paraId="72D05489" w14:textId="77777777" w:rsidR="003B5013" w:rsidRPr="00950178" w:rsidRDefault="003B5013" w:rsidP="00AF1C52">
            <w:pPr>
              <w:jc w:val="center"/>
              <w:rPr>
                <w:noProof/>
                <w:lang w:val="en-IE"/>
              </w:rPr>
            </w:pPr>
            <w:r w:rsidRPr="00950178">
              <w:rPr>
                <w:noProof/>
                <w:lang w:val="en-IE"/>
              </w:rPr>
              <w:t>On track</w:t>
            </w:r>
          </w:p>
        </w:tc>
      </w:tr>
      <w:tr w:rsidR="003B5013" w:rsidRPr="00950178" w14:paraId="76C18021" w14:textId="77777777" w:rsidTr="00AF1C52">
        <w:trPr>
          <w:cnfStyle w:val="000000010000" w:firstRow="0" w:lastRow="0" w:firstColumn="0" w:lastColumn="0" w:oddVBand="0" w:evenVBand="0" w:oddHBand="0" w:evenHBand="1" w:firstRowFirstColumn="0" w:firstRowLastColumn="0" w:lastRowFirstColumn="0" w:lastRowLastColumn="0"/>
        </w:trPr>
        <w:tc>
          <w:tcPr>
            <w:tcW w:w="2330" w:type="dxa"/>
          </w:tcPr>
          <w:p w14:paraId="0ED52EA8" w14:textId="77777777" w:rsidR="003B5013" w:rsidRPr="00950178" w:rsidRDefault="003B5013" w:rsidP="00AF1C52">
            <w:pPr>
              <w:rPr>
                <w:noProof/>
                <w:lang w:val="en-IE"/>
              </w:rPr>
            </w:pPr>
            <w:r w:rsidRPr="00950178">
              <w:rPr>
                <w:noProof/>
                <w:lang w:val="en-IE"/>
              </w:rPr>
              <w:t>Percentage of Member States receiving support each year of the programme</w:t>
            </w:r>
          </w:p>
        </w:tc>
        <w:tc>
          <w:tcPr>
            <w:tcW w:w="1100" w:type="dxa"/>
          </w:tcPr>
          <w:p w14:paraId="236BA39F" w14:textId="47B8A09A" w:rsidR="003B5013" w:rsidRPr="00950178" w:rsidRDefault="00581D88" w:rsidP="00AF1C52">
            <w:pPr>
              <w:jc w:val="center"/>
              <w:rPr>
                <w:noProof/>
                <w:lang w:val="en-IE"/>
              </w:rPr>
            </w:pPr>
            <w:r>
              <w:rPr>
                <w:noProof/>
                <w:lang w:val="en-IE"/>
              </w:rPr>
              <w:t>81</w:t>
            </w:r>
            <w:r w:rsidR="003B5013">
              <w:rPr>
                <w:noProof/>
                <w:lang w:val="en-IE"/>
              </w:rPr>
              <w:t>%</w:t>
            </w:r>
          </w:p>
        </w:tc>
        <w:tc>
          <w:tcPr>
            <w:tcW w:w="1526" w:type="dxa"/>
          </w:tcPr>
          <w:p w14:paraId="7370D443" w14:textId="77777777" w:rsidR="003B5013" w:rsidRPr="00950178" w:rsidRDefault="003B5013" w:rsidP="00AF1C52">
            <w:pPr>
              <w:jc w:val="center"/>
              <w:rPr>
                <w:b/>
                <w:noProof/>
                <w:lang w:val="en-IE"/>
              </w:rPr>
            </w:pPr>
            <w:r w:rsidRPr="00950178">
              <w:rPr>
                <w:b/>
                <w:noProof/>
                <w:lang w:val="en-IE"/>
              </w:rPr>
              <w:t xml:space="preserve">14% </w:t>
            </w:r>
          </w:p>
        </w:tc>
        <w:tc>
          <w:tcPr>
            <w:tcW w:w="1532" w:type="dxa"/>
          </w:tcPr>
          <w:p w14:paraId="4A8C15CF" w14:textId="77777777" w:rsidR="003B5013" w:rsidRPr="00950178" w:rsidRDefault="003B5013" w:rsidP="00AF1C52">
            <w:pPr>
              <w:jc w:val="center"/>
              <w:rPr>
                <w:noProof/>
                <w:lang w:val="en-IE"/>
              </w:rPr>
            </w:pPr>
            <w:r w:rsidRPr="00950178">
              <w:rPr>
                <w:noProof/>
                <w:lang w:val="en-IE"/>
              </w:rPr>
              <w:t xml:space="preserve">87% in 2027 </w:t>
            </w:r>
          </w:p>
        </w:tc>
        <w:tc>
          <w:tcPr>
            <w:tcW w:w="1572" w:type="dxa"/>
          </w:tcPr>
          <w:p w14:paraId="7B2D8F9F" w14:textId="77777777" w:rsidR="003B5013" w:rsidRPr="00950178" w:rsidRDefault="003B5013" w:rsidP="00AF1C52">
            <w:pPr>
              <w:jc w:val="center"/>
              <w:rPr>
                <w:noProof/>
                <w:lang w:val="en-IE"/>
              </w:rPr>
            </w:pPr>
            <w:r w:rsidRPr="00950178">
              <w:rPr>
                <w:noProof/>
                <w:lang w:val="en-IE"/>
              </w:rPr>
              <w:t>Milestone achieved in 2021. 100% compared to a milestone</w:t>
            </w:r>
            <w:r w:rsidRPr="00950178">
              <w:rPr>
                <w:rFonts w:asciiTheme="minorHAnsi" w:eastAsiaTheme="minorEastAsia" w:hAnsiTheme="minorHAnsi"/>
                <w:noProof/>
                <w:lang w:val="en-IE" w:eastAsia="en-GB"/>
              </w:rPr>
              <w:t xml:space="preserve"> of 81%</w:t>
            </w:r>
          </w:p>
        </w:tc>
        <w:tc>
          <w:tcPr>
            <w:tcW w:w="1579" w:type="dxa"/>
          </w:tcPr>
          <w:p w14:paraId="1DEBB668" w14:textId="77777777" w:rsidR="003B5013" w:rsidRPr="00950178" w:rsidRDefault="003B5013" w:rsidP="00AF1C52">
            <w:pPr>
              <w:jc w:val="center"/>
              <w:rPr>
                <w:noProof/>
                <w:lang w:val="en-IE"/>
              </w:rPr>
            </w:pPr>
            <w:r w:rsidRPr="00950178">
              <w:rPr>
                <w:noProof/>
                <w:lang w:val="en-IE"/>
              </w:rPr>
              <w:t>On track</w:t>
            </w:r>
          </w:p>
        </w:tc>
      </w:tr>
      <w:tr w:rsidR="003B5013" w:rsidRPr="00950178" w14:paraId="696CA378" w14:textId="77777777" w:rsidTr="00AF1C52">
        <w:trPr>
          <w:cnfStyle w:val="000000100000" w:firstRow="0" w:lastRow="0" w:firstColumn="0" w:lastColumn="0" w:oddVBand="0" w:evenVBand="0" w:oddHBand="1" w:evenHBand="0" w:firstRowFirstColumn="0" w:firstRowLastColumn="0" w:lastRowFirstColumn="0" w:lastRowLastColumn="0"/>
        </w:trPr>
        <w:tc>
          <w:tcPr>
            <w:tcW w:w="2330" w:type="dxa"/>
          </w:tcPr>
          <w:p w14:paraId="785D75B6" w14:textId="77777777" w:rsidR="003B5013" w:rsidRPr="00950178" w:rsidRDefault="003B5013" w:rsidP="00AF1C52">
            <w:pPr>
              <w:rPr>
                <w:noProof/>
                <w:lang w:val="en-IE"/>
              </w:rPr>
            </w:pPr>
            <w:r w:rsidRPr="00950178">
              <w:rPr>
                <w:noProof/>
                <w:lang w:val="en-IE"/>
              </w:rPr>
              <w:t>User satisfaction rate for the use of the Irregularity Management System</w:t>
            </w:r>
          </w:p>
        </w:tc>
        <w:tc>
          <w:tcPr>
            <w:tcW w:w="1100" w:type="dxa"/>
          </w:tcPr>
          <w:p w14:paraId="3479AD8C" w14:textId="7B0D8CD4" w:rsidR="003B5013" w:rsidRPr="00950178" w:rsidRDefault="00581D88" w:rsidP="00AF1C52">
            <w:pPr>
              <w:jc w:val="center"/>
              <w:rPr>
                <w:noProof/>
                <w:lang w:val="en-IE"/>
              </w:rPr>
            </w:pPr>
            <w:r>
              <w:rPr>
                <w:noProof/>
                <w:lang w:val="en-IE"/>
              </w:rPr>
              <w:t>72%</w:t>
            </w:r>
          </w:p>
        </w:tc>
        <w:tc>
          <w:tcPr>
            <w:tcW w:w="1526" w:type="dxa"/>
          </w:tcPr>
          <w:p w14:paraId="3B039306" w14:textId="1E1A1AD1" w:rsidR="003B5013" w:rsidRPr="00950178" w:rsidRDefault="00581D88" w:rsidP="00AF1C52">
            <w:pPr>
              <w:jc w:val="center"/>
              <w:rPr>
                <w:b/>
                <w:noProof/>
                <w:lang w:val="en-IE"/>
              </w:rPr>
            </w:pPr>
            <w:r>
              <w:rPr>
                <w:b/>
                <w:noProof/>
                <w:lang w:val="en-IE"/>
              </w:rPr>
              <w:t>25% (**)</w:t>
            </w:r>
          </w:p>
        </w:tc>
        <w:tc>
          <w:tcPr>
            <w:tcW w:w="1532" w:type="dxa"/>
          </w:tcPr>
          <w:p w14:paraId="132C2BBE" w14:textId="3D95D6D6" w:rsidR="003B5013" w:rsidRPr="00950178" w:rsidRDefault="00581D88" w:rsidP="00AF1C52">
            <w:pPr>
              <w:jc w:val="center"/>
              <w:rPr>
                <w:noProof/>
                <w:lang w:val="en-IE"/>
              </w:rPr>
            </w:pPr>
            <w:r>
              <w:rPr>
                <w:noProof/>
                <w:lang w:val="en-IE"/>
              </w:rPr>
              <w:t>72% in 2024</w:t>
            </w:r>
          </w:p>
        </w:tc>
        <w:tc>
          <w:tcPr>
            <w:tcW w:w="1572" w:type="dxa"/>
          </w:tcPr>
          <w:p w14:paraId="2096D458" w14:textId="764969DE" w:rsidR="003B5013" w:rsidRPr="00950178" w:rsidRDefault="00581D88" w:rsidP="00AF1C52">
            <w:pPr>
              <w:jc w:val="center"/>
              <w:rPr>
                <w:noProof/>
                <w:lang w:val="en-IE"/>
              </w:rPr>
            </w:pPr>
            <w:r>
              <w:rPr>
                <w:noProof/>
                <w:lang w:val="en-IE"/>
              </w:rPr>
              <w:t xml:space="preserve">Target achieved in 2020/2021. 84% compared to a target of 72%. </w:t>
            </w:r>
          </w:p>
        </w:tc>
        <w:tc>
          <w:tcPr>
            <w:tcW w:w="1579" w:type="dxa"/>
          </w:tcPr>
          <w:p w14:paraId="555CEFE9" w14:textId="134C1CBC" w:rsidR="003B5013" w:rsidRPr="00950178" w:rsidRDefault="00581D88" w:rsidP="00AF1C52">
            <w:pPr>
              <w:jc w:val="center"/>
              <w:rPr>
                <w:noProof/>
                <w:lang w:val="en-IE"/>
              </w:rPr>
            </w:pPr>
            <w:r>
              <w:rPr>
                <w:noProof/>
                <w:lang w:val="en-IE"/>
              </w:rPr>
              <w:t>On track</w:t>
            </w:r>
          </w:p>
        </w:tc>
      </w:tr>
      <w:tr w:rsidR="003B5013" w:rsidRPr="00950178" w14:paraId="74AA5C29" w14:textId="77777777" w:rsidTr="00AF1C52">
        <w:trPr>
          <w:cnfStyle w:val="000000010000" w:firstRow="0" w:lastRow="0" w:firstColumn="0" w:lastColumn="0" w:oddVBand="0" w:evenVBand="0" w:oddHBand="0" w:evenHBand="1" w:firstRowFirstColumn="0" w:firstRowLastColumn="0" w:lastRowFirstColumn="0" w:lastRowLastColumn="0"/>
        </w:trPr>
        <w:tc>
          <w:tcPr>
            <w:tcW w:w="2330" w:type="dxa"/>
          </w:tcPr>
          <w:p w14:paraId="07C82D08" w14:textId="77777777" w:rsidR="003B5013" w:rsidRPr="00950178" w:rsidRDefault="003B5013" w:rsidP="00AF1C52">
            <w:pPr>
              <w:rPr>
                <w:noProof/>
                <w:lang w:val="en-IE"/>
              </w:rPr>
            </w:pPr>
            <w:bookmarkStart w:id="83" w:name="_Hlk101265140"/>
            <w:r w:rsidRPr="00950178">
              <w:rPr>
                <w:noProof/>
                <w:lang w:val="en-IE"/>
              </w:rPr>
              <w:t>Number of mutual assistance information items made available and number of supported mutual assistance-related activities</w:t>
            </w:r>
            <w:bookmarkEnd w:id="83"/>
          </w:p>
        </w:tc>
        <w:tc>
          <w:tcPr>
            <w:tcW w:w="1100" w:type="dxa"/>
          </w:tcPr>
          <w:p w14:paraId="257437BE" w14:textId="77777777" w:rsidR="003B5013" w:rsidRPr="00950178" w:rsidRDefault="003B5013" w:rsidP="00AF1C52">
            <w:pPr>
              <w:jc w:val="center"/>
              <w:rPr>
                <w:noProof/>
                <w:lang w:val="en-IE"/>
              </w:rPr>
            </w:pPr>
            <w:r w:rsidRPr="00950178">
              <w:rPr>
                <w:noProof/>
                <w:lang w:val="en-IE"/>
              </w:rPr>
              <w:t>18</w:t>
            </w:r>
            <w:r w:rsidRPr="00950178">
              <w:rPr>
                <w:rFonts w:ascii="Calibri" w:hAnsi="Calibri" w:cs="Calibri"/>
                <w:noProof/>
                <w:lang w:val="en-IE"/>
              </w:rPr>
              <w:t> </w:t>
            </w:r>
            <w:r w:rsidRPr="00950178">
              <w:rPr>
                <w:noProof/>
                <w:lang w:val="en-IE"/>
              </w:rPr>
              <w:t>639</w:t>
            </w:r>
          </w:p>
        </w:tc>
        <w:tc>
          <w:tcPr>
            <w:tcW w:w="1526" w:type="dxa"/>
          </w:tcPr>
          <w:p w14:paraId="768B3176" w14:textId="1552B08F" w:rsidR="003B5013" w:rsidRPr="00950178" w:rsidRDefault="003B5013" w:rsidP="00AF1C52">
            <w:pPr>
              <w:jc w:val="center"/>
              <w:rPr>
                <w:b/>
                <w:noProof/>
                <w:lang w:val="en-IE"/>
              </w:rPr>
            </w:pPr>
            <w:r w:rsidRPr="00950178">
              <w:rPr>
                <w:b/>
                <w:noProof/>
                <w:lang w:val="en-IE"/>
              </w:rPr>
              <w:t>24%</w:t>
            </w:r>
            <w:r w:rsidRPr="00950178">
              <w:rPr>
                <w:rFonts w:ascii="Calibri" w:hAnsi="Calibri" w:cs="Calibri"/>
                <w:b/>
                <w:noProof/>
                <w:lang w:val="en-IE"/>
              </w:rPr>
              <w:t> </w:t>
            </w:r>
            <w:r w:rsidRPr="00950178">
              <w:rPr>
                <w:noProof/>
                <w:lang w:val="en-IE"/>
              </w:rPr>
              <w:t>(</w:t>
            </w:r>
            <w:r>
              <w:rPr>
                <w:noProof/>
                <w:lang w:val="en-IE"/>
              </w:rPr>
              <w:t>**</w:t>
            </w:r>
            <w:r w:rsidR="00581D88">
              <w:rPr>
                <w:noProof/>
                <w:lang w:val="en-IE"/>
              </w:rPr>
              <w:t>*</w:t>
            </w:r>
            <w:r w:rsidRPr="00950178">
              <w:rPr>
                <w:noProof/>
                <w:lang w:val="en-IE"/>
              </w:rPr>
              <w:t>)</w:t>
            </w:r>
          </w:p>
        </w:tc>
        <w:tc>
          <w:tcPr>
            <w:tcW w:w="1532" w:type="dxa"/>
          </w:tcPr>
          <w:p w14:paraId="54F579F8" w14:textId="77777777" w:rsidR="003B5013" w:rsidRPr="00950178" w:rsidRDefault="003B5013" w:rsidP="00AF1C52">
            <w:pPr>
              <w:jc w:val="center"/>
              <w:rPr>
                <w:noProof/>
                <w:lang w:val="en-IE"/>
              </w:rPr>
            </w:pPr>
            <w:r w:rsidRPr="00950178">
              <w:rPr>
                <w:noProof/>
                <w:lang w:val="en-IE"/>
              </w:rPr>
              <w:t>24</w:t>
            </w:r>
            <w:r w:rsidRPr="00950178">
              <w:rPr>
                <w:rFonts w:ascii="Calibri" w:hAnsi="Calibri" w:cs="Calibri"/>
                <w:noProof/>
                <w:lang w:val="en-IE"/>
              </w:rPr>
              <w:t> </w:t>
            </w:r>
            <w:r w:rsidRPr="00950178">
              <w:rPr>
                <w:noProof/>
                <w:lang w:val="en-IE"/>
              </w:rPr>
              <w:t>000 in 2024</w:t>
            </w:r>
          </w:p>
        </w:tc>
        <w:tc>
          <w:tcPr>
            <w:tcW w:w="1572" w:type="dxa"/>
          </w:tcPr>
          <w:p w14:paraId="685513E8" w14:textId="77777777" w:rsidR="003B5013" w:rsidRPr="00950178" w:rsidRDefault="003B5013" w:rsidP="00AF1C52">
            <w:pPr>
              <w:jc w:val="center"/>
              <w:rPr>
                <w:noProof/>
                <w:lang w:val="en-IE"/>
              </w:rPr>
            </w:pPr>
            <w:r w:rsidRPr="00950178">
              <w:rPr>
                <w:noProof/>
                <w:lang w:val="en-IE"/>
              </w:rPr>
              <w:t>19</w:t>
            </w:r>
            <w:r w:rsidRPr="00950178">
              <w:rPr>
                <w:rFonts w:ascii="Calibri" w:hAnsi="Calibri" w:cs="Calibri"/>
                <w:noProof/>
                <w:lang w:val="en-IE"/>
              </w:rPr>
              <w:t> </w:t>
            </w:r>
            <w:r w:rsidRPr="00950178">
              <w:rPr>
                <w:noProof/>
                <w:lang w:val="en-IE"/>
              </w:rPr>
              <w:t>919 compared to a target</w:t>
            </w:r>
            <w:r w:rsidRPr="00950178">
              <w:rPr>
                <w:rFonts w:asciiTheme="minorHAnsi" w:eastAsiaTheme="minorEastAsia" w:hAnsiTheme="minorHAnsi"/>
                <w:noProof/>
                <w:lang w:val="en-IE" w:eastAsia="en-GB"/>
              </w:rPr>
              <w:t xml:space="preserve"> of 24 000</w:t>
            </w:r>
          </w:p>
        </w:tc>
        <w:tc>
          <w:tcPr>
            <w:tcW w:w="1579" w:type="dxa"/>
          </w:tcPr>
          <w:p w14:paraId="22E98BF1" w14:textId="77777777" w:rsidR="003B5013" w:rsidRPr="00950178" w:rsidRDefault="003B5013" w:rsidP="00AF1C52">
            <w:pPr>
              <w:jc w:val="center"/>
              <w:rPr>
                <w:noProof/>
                <w:lang w:val="en-IE"/>
              </w:rPr>
            </w:pPr>
            <w:r w:rsidRPr="00950178">
              <w:rPr>
                <w:noProof/>
                <w:lang w:val="en-IE"/>
              </w:rPr>
              <w:t>On track</w:t>
            </w:r>
          </w:p>
        </w:tc>
      </w:tr>
    </w:tbl>
    <w:p w14:paraId="469E9944" w14:textId="5B39786E" w:rsidR="003B5013" w:rsidRDefault="003B5013" w:rsidP="003B5013">
      <w:pPr>
        <w:pStyle w:val="FootnoteText"/>
        <w:spacing w:before="120"/>
        <w:rPr>
          <w:noProof/>
          <w:lang w:val="en-IE"/>
        </w:rPr>
      </w:pPr>
      <w:r w:rsidRPr="00950178">
        <w:rPr>
          <w:noProof/>
          <w:lang w:val="en-IE"/>
        </w:rPr>
        <w:t xml:space="preserve">(*) </w:t>
      </w:r>
      <w:r w:rsidRPr="00950178">
        <w:rPr>
          <w:noProof/>
          <w:lang w:val="en-IE"/>
        </w:rPr>
        <w:tab/>
        <w:t xml:space="preserve">% of years for which the milestones or target </w:t>
      </w:r>
      <w:r w:rsidR="00AA5CAB">
        <w:rPr>
          <w:noProof/>
          <w:lang w:val="en-IE"/>
        </w:rPr>
        <w:t>have</w:t>
      </w:r>
      <w:r w:rsidR="00AA5CAB" w:rsidRPr="00950178">
        <w:rPr>
          <w:noProof/>
          <w:lang w:val="en-IE"/>
        </w:rPr>
        <w:t xml:space="preserve"> </w:t>
      </w:r>
      <w:r w:rsidRPr="00950178">
        <w:rPr>
          <w:noProof/>
          <w:lang w:val="en-IE"/>
        </w:rPr>
        <w:t>been achieved during the 2021-2027 period.</w:t>
      </w:r>
    </w:p>
    <w:p w14:paraId="1518838C" w14:textId="46CDF165" w:rsidR="00581D88" w:rsidRDefault="00581D88" w:rsidP="00581D88">
      <w:pPr>
        <w:pStyle w:val="FootnoteText"/>
        <w:spacing w:before="120"/>
        <w:rPr>
          <w:noProof/>
          <w:lang w:val="en-IE"/>
        </w:rPr>
      </w:pPr>
      <w:r w:rsidRPr="00950178">
        <w:rPr>
          <w:noProof/>
          <w:lang w:val="en-IE"/>
        </w:rPr>
        <w:t>(*</w:t>
      </w:r>
      <w:r>
        <w:rPr>
          <w:noProof/>
          <w:lang w:val="en-IE"/>
        </w:rPr>
        <w:t>*</w:t>
      </w:r>
      <w:r w:rsidRPr="00950178">
        <w:rPr>
          <w:noProof/>
          <w:lang w:val="en-IE"/>
        </w:rPr>
        <w:t xml:space="preserve">) </w:t>
      </w:r>
      <w:r w:rsidRPr="00950178">
        <w:rPr>
          <w:noProof/>
          <w:lang w:val="en-IE"/>
        </w:rPr>
        <w:tab/>
        <w:t xml:space="preserve">% of years for which the milestones or target </w:t>
      </w:r>
      <w:r w:rsidR="00AA5CAB">
        <w:rPr>
          <w:noProof/>
          <w:lang w:val="en-IE"/>
        </w:rPr>
        <w:t>have</w:t>
      </w:r>
      <w:r w:rsidR="00AA5CAB" w:rsidRPr="00950178">
        <w:rPr>
          <w:noProof/>
          <w:lang w:val="en-IE"/>
        </w:rPr>
        <w:t xml:space="preserve"> </w:t>
      </w:r>
      <w:r w:rsidRPr="00950178">
        <w:rPr>
          <w:noProof/>
          <w:lang w:val="en-IE"/>
        </w:rPr>
        <w:t>be</w:t>
      </w:r>
      <w:r>
        <w:rPr>
          <w:noProof/>
          <w:lang w:val="en-IE"/>
        </w:rPr>
        <w:t>en achieved during the 2021-2024</w:t>
      </w:r>
    </w:p>
    <w:p w14:paraId="687B5F42" w14:textId="77777777" w:rsidR="00581D88" w:rsidRPr="00950178" w:rsidRDefault="00581D88" w:rsidP="00581D88">
      <w:pPr>
        <w:pStyle w:val="FootnoteText"/>
        <w:spacing w:before="120"/>
        <w:rPr>
          <w:noProof/>
          <w:lang w:val="en-IE"/>
        </w:rPr>
      </w:pPr>
      <w:r w:rsidRPr="00950178">
        <w:rPr>
          <w:noProof/>
          <w:lang w:val="en-IE"/>
        </w:rPr>
        <w:t xml:space="preserve"> period.</w:t>
      </w:r>
    </w:p>
    <w:p w14:paraId="4D6A8FA8" w14:textId="10F614AE" w:rsidR="003B5013" w:rsidRPr="00950178" w:rsidRDefault="003B5013" w:rsidP="003B5013">
      <w:pPr>
        <w:pStyle w:val="FootnoteText"/>
        <w:spacing w:before="120"/>
        <w:rPr>
          <w:noProof/>
          <w:lang w:val="en-IE"/>
        </w:rPr>
      </w:pPr>
      <w:r w:rsidRPr="00950178">
        <w:rPr>
          <w:noProof/>
          <w:lang w:val="en-IE"/>
        </w:rPr>
        <w:t>(</w:t>
      </w:r>
      <w:r w:rsidR="00581D88">
        <w:rPr>
          <w:noProof/>
          <w:lang w:val="en-IE"/>
        </w:rPr>
        <w:t>*</w:t>
      </w:r>
      <w:r>
        <w:rPr>
          <w:noProof/>
          <w:lang w:val="en-IE"/>
        </w:rPr>
        <w:t>**</w:t>
      </w:r>
      <w:r w:rsidRPr="00950178">
        <w:rPr>
          <w:noProof/>
          <w:lang w:val="en-IE"/>
        </w:rPr>
        <w:t xml:space="preserve">) </w:t>
      </w:r>
      <w:r w:rsidRPr="00950178">
        <w:rPr>
          <w:noProof/>
          <w:lang w:val="en-IE"/>
        </w:rPr>
        <w:tab/>
        <w:t>% of target achieved by the end of 2021.</w:t>
      </w:r>
    </w:p>
    <w:p w14:paraId="0C160497" w14:textId="77777777" w:rsidR="003B5013" w:rsidRPr="00950178" w:rsidRDefault="003B5013" w:rsidP="003B5013">
      <w:pPr>
        <w:pStyle w:val="FootnoteText"/>
        <w:spacing w:before="120"/>
        <w:rPr>
          <w:noProof/>
          <w:lang w:val="en-IE"/>
        </w:rPr>
      </w:pPr>
    </w:p>
    <w:p w14:paraId="43BABF31" w14:textId="77777777" w:rsidR="003B5013" w:rsidRPr="00950178" w:rsidRDefault="003B5013" w:rsidP="003B5013">
      <w:pPr>
        <w:pStyle w:val="ppoListHyphened-L1"/>
        <w:jc w:val="both"/>
        <w:rPr>
          <w:noProof/>
          <w:lang w:val="en-IE"/>
        </w:rPr>
      </w:pPr>
      <w:r w:rsidRPr="00950178">
        <w:rPr>
          <w:noProof/>
          <w:lang w:val="en-IE"/>
        </w:rPr>
        <w:t>The programme had a delayed start in 2021, as the regulation was adopted only at the end of April 2021. As soon as the legal basis (financing decision) was adopted at the end of July 2021, OLAF launched all the necessary activities and financial interventions in order to fulfil the programme’s specific objectives.</w:t>
      </w:r>
    </w:p>
    <w:p w14:paraId="6E458653" w14:textId="72C6816F" w:rsidR="003B5013" w:rsidRPr="00950178" w:rsidRDefault="003B5013" w:rsidP="003B5013">
      <w:pPr>
        <w:pStyle w:val="ppoListHyphened-L1"/>
        <w:jc w:val="both"/>
        <w:rPr>
          <w:noProof/>
          <w:lang w:val="en-IE"/>
        </w:rPr>
      </w:pPr>
      <w:r w:rsidRPr="00950178">
        <w:rPr>
          <w:noProof/>
          <w:lang w:val="en-IE"/>
        </w:rPr>
        <w:t xml:space="preserve">Concerning the programme’s first strand (Hercule), two calls for proposals were published in July 2021, covering the following topics: (1) ‘Technical assistance’ and (2) ‘Training, Conferences, Staff Exchanges and Studies’. Overall, the two calls registered 55 applications from 14 Member States. </w:t>
      </w:r>
      <w:r w:rsidR="00581D88">
        <w:rPr>
          <w:noProof/>
          <w:lang w:val="en-IE"/>
        </w:rPr>
        <w:t xml:space="preserve">From the 55 applications, 23 projects have been selected for grant funding. </w:t>
      </w:r>
      <w:r w:rsidRPr="00950178">
        <w:rPr>
          <w:noProof/>
          <w:lang w:val="en-IE"/>
        </w:rPr>
        <w:t xml:space="preserve">Regarding the procurement aspects, specific contracts and administrative arrangements were engaged to provide the Member States with the necessary support and tools in their fight against fraud and illegal activities, such as: access to three commercial databases, two administrative arrangements with the Joint Research Centre and a specialised forensics and analyst training. </w:t>
      </w:r>
    </w:p>
    <w:p w14:paraId="7C3F21F3" w14:textId="4B841DCB" w:rsidR="003B5013" w:rsidRPr="00950178" w:rsidRDefault="003B5013" w:rsidP="003B5013">
      <w:pPr>
        <w:pStyle w:val="ppoListHyphened-L1"/>
        <w:jc w:val="both"/>
        <w:rPr>
          <w:noProof/>
          <w:lang w:val="en-IE"/>
        </w:rPr>
      </w:pPr>
      <w:r w:rsidRPr="00950178">
        <w:rPr>
          <w:noProof/>
          <w:lang w:val="en-IE"/>
        </w:rPr>
        <w:t>Concerning the programme’s second strand (the Irregularity Management System), maintenance costs absorbed EUR</w:t>
      </w:r>
      <w:r w:rsidRPr="00950178">
        <w:rPr>
          <w:rFonts w:ascii="Calibri" w:hAnsi="Calibri" w:cs="Calibri"/>
          <w:noProof/>
          <w:lang w:val="en-IE"/>
        </w:rPr>
        <w:t> </w:t>
      </w:r>
      <w:r w:rsidRPr="00950178">
        <w:rPr>
          <w:noProof/>
          <w:lang w:val="en-IE"/>
        </w:rPr>
        <w:t>483</w:t>
      </w:r>
      <w:r w:rsidRPr="00950178">
        <w:rPr>
          <w:rFonts w:ascii="Calibri" w:hAnsi="Calibri" w:cs="Calibri"/>
          <w:noProof/>
          <w:lang w:val="en-IE"/>
        </w:rPr>
        <w:t> 000</w:t>
      </w:r>
      <w:r w:rsidRPr="00950178">
        <w:rPr>
          <w:noProof/>
          <w:lang w:val="en-IE"/>
        </w:rPr>
        <w:t>. Two updating releases allowed some issues previously encounter</w:t>
      </w:r>
      <w:r w:rsidR="00581D88">
        <w:rPr>
          <w:noProof/>
          <w:lang w:val="en-IE"/>
        </w:rPr>
        <w:t>ed to be fixed. In November 2021</w:t>
      </w:r>
      <w:r w:rsidRPr="00950178">
        <w:rPr>
          <w:noProof/>
          <w:lang w:val="en-IE"/>
        </w:rPr>
        <w:t>, OLAF procured a study on the ‘Future of IMS’, with a cost of approximately EUR</w:t>
      </w:r>
      <w:r w:rsidRPr="00950178">
        <w:rPr>
          <w:rFonts w:ascii="Calibri" w:hAnsi="Calibri" w:cs="Calibri"/>
          <w:noProof/>
          <w:lang w:val="en-IE"/>
        </w:rPr>
        <w:t> </w:t>
      </w:r>
      <w:r w:rsidRPr="00950178">
        <w:rPr>
          <w:noProof/>
          <w:lang w:val="en-IE"/>
        </w:rPr>
        <w:t>233</w:t>
      </w:r>
      <w:r w:rsidRPr="00950178">
        <w:rPr>
          <w:rFonts w:ascii="Calibri" w:hAnsi="Calibri" w:cs="Calibri"/>
          <w:noProof/>
          <w:lang w:val="en-IE"/>
        </w:rPr>
        <w:t> 000</w:t>
      </w:r>
      <w:r w:rsidRPr="00950178">
        <w:rPr>
          <w:noProof/>
          <w:lang w:val="en-IE"/>
        </w:rPr>
        <w:t>, to explore the potential of the system, considering the needs and wishes of its users and main stakeholders, as well as the ongoing reflections on the digitalisation of the fight against fraud and the interoperability of relevant information technology tools at the EU and Member State levels.</w:t>
      </w:r>
    </w:p>
    <w:p w14:paraId="1D06549A" w14:textId="2FA45F7B" w:rsidR="003B5013" w:rsidRPr="00950178" w:rsidRDefault="003B5013" w:rsidP="003B5013">
      <w:pPr>
        <w:pStyle w:val="ppoListHyphened-L1"/>
        <w:jc w:val="both"/>
        <w:rPr>
          <w:noProof/>
          <w:lang w:val="en-IE"/>
        </w:rPr>
      </w:pPr>
      <w:r w:rsidRPr="00950178">
        <w:rPr>
          <w:noProof/>
          <w:lang w:val="en-IE"/>
        </w:rPr>
        <w:t>With regard to the programme’s third strand (AFIS), eight platform releases</w:t>
      </w:r>
      <w:r w:rsidRPr="00950178">
        <w:rPr>
          <w:rFonts w:ascii="Calibri" w:hAnsi="Calibri" w:cs="Calibri"/>
          <w:noProof/>
          <w:lang w:val="en-IE"/>
        </w:rPr>
        <w:t> –</w:t>
      </w:r>
      <w:r w:rsidRPr="00950178">
        <w:rPr>
          <w:noProof/>
          <w:lang w:val="en-IE"/>
        </w:rPr>
        <w:t xml:space="preserve"> consisting of more than 50 application releases in total</w:t>
      </w:r>
      <w:r w:rsidRPr="00950178">
        <w:rPr>
          <w:rFonts w:ascii="Calibri" w:hAnsi="Calibri" w:cs="Calibri"/>
          <w:noProof/>
          <w:lang w:val="en-IE"/>
        </w:rPr>
        <w:t> –</w:t>
      </w:r>
      <w:r w:rsidRPr="00950178">
        <w:rPr>
          <w:noProof/>
          <w:lang w:val="en-IE"/>
        </w:rPr>
        <w:t xml:space="preserve"> and 25 additional application releases </w:t>
      </w:r>
      <w:r w:rsidR="00FC4332">
        <w:rPr>
          <w:noProof/>
          <w:lang w:val="en-IE"/>
        </w:rPr>
        <w:t>and fixes were developed in 2021</w:t>
      </w:r>
      <w:r w:rsidRPr="00950178">
        <w:rPr>
          <w:noProof/>
          <w:lang w:val="en-IE"/>
        </w:rPr>
        <w:t>. Among these were several major releases, such as: (1) the mutual assistance system, an entirely new application that automates the manual collection and processing of data and gathers all files related to mutual assistance in one central place; (2) two major upgrades of the container status message directory; and (3) a new module for the Customs Information System to support the new cash control regulation (Regulation (EU)</w:t>
      </w:r>
      <w:r w:rsidRPr="00950178">
        <w:rPr>
          <w:rFonts w:ascii="Calibri" w:hAnsi="Calibri" w:cs="Calibri"/>
          <w:noProof/>
          <w:lang w:val="en-IE"/>
        </w:rPr>
        <w:t> </w:t>
      </w:r>
      <w:r w:rsidRPr="00950178">
        <w:rPr>
          <w:noProof/>
          <w:lang w:val="en-IE"/>
        </w:rPr>
        <w:t xml:space="preserve">2018/1672), ensuring a timely and efficient exchange of cash declaration data and related </w:t>
      </w:r>
      <w:r w:rsidR="00581D88">
        <w:rPr>
          <w:noProof/>
          <w:lang w:val="en-IE"/>
        </w:rPr>
        <w:t>infringements</w:t>
      </w:r>
      <w:r w:rsidR="00581D88" w:rsidRPr="00950178">
        <w:rPr>
          <w:noProof/>
          <w:lang w:val="en-IE"/>
        </w:rPr>
        <w:t xml:space="preserve"> </w:t>
      </w:r>
      <w:r w:rsidRPr="00950178">
        <w:rPr>
          <w:noProof/>
          <w:lang w:val="en-IE"/>
        </w:rPr>
        <w:t>between Member State customs services, national financial intelligence units and the competent EU bodies. In December 2021, six months after going live, the new Customs Information System module had more than 2</w:t>
      </w:r>
      <w:r w:rsidRPr="00950178">
        <w:rPr>
          <w:rFonts w:ascii="Calibri" w:hAnsi="Calibri" w:cs="Calibri"/>
          <w:noProof/>
          <w:lang w:val="en-IE"/>
        </w:rPr>
        <w:t> </w:t>
      </w:r>
      <w:r w:rsidRPr="00950178">
        <w:rPr>
          <w:noProof/>
          <w:lang w:val="en-IE"/>
        </w:rPr>
        <w:t>200 users and contained the data of 31</w:t>
      </w:r>
      <w:r w:rsidRPr="00950178">
        <w:rPr>
          <w:rFonts w:ascii="Calibri" w:hAnsi="Calibri" w:cs="Calibri"/>
          <w:noProof/>
          <w:lang w:val="en-IE"/>
        </w:rPr>
        <w:t> </w:t>
      </w:r>
      <w:r w:rsidRPr="00950178">
        <w:rPr>
          <w:noProof/>
          <w:lang w:val="en-IE"/>
        </w:rPr>
        <w:t>500 cash declarations and 1</w:t>
      </w:r>
      <w:r w:rsidRPr="00950178">
        <w:rPr>
          <w:rFonts w:ascii="Calibri" w:hAnsi="Calibri" w:cs="Calibri"/>
          <w:noProof/>
          <w:lang w:val="en-IE"/>
        </w:rPr>
        <w:t> </w:t>
      </w:r>
      <w:r w:rsidRPr="00950178">
        <w:rPr>
          <w:noProof/>
          <w:lang w:val="en-IE"/>
        </w:rPr>
        <w:t xml:space="preserve">800 </w:t>
      </w:r>
      <w:r w:rsidR="00581D88">
        <w:rPr>
          <w:noProof/>
          <w:lang w:val="en-IE"/>
        </w:rPr>
        <w:t>infringements</w:t>
      </w:r>
      <w:r w:rsidR="00581D88" w:rsidRPr="00950178">
        <w:rPr>
          <w:noProof/>
          <w:lang w:val="en-IE"/>
        </w:rPr>
        <w:t xml:space="preserve"> </w:t>
      </w:r>
      <w:r w:rsidRPr="00950178">
        <w:rPr>
          <w:noProof/>
          <w:lang w:val="en-IE"/>
        </w:rPr>
        <w:t>of the regulation.</w:t>
      </w:r>
      <w:r w:rsidRPr="00950178">
        <w:rPr>
          <w:noProof/>
          <w:lang w:val="en-IE"/>
        </w:rPr>
        <w:br w:type="page"/>
      </w:r>
    </w:p>
    <w:p w14:paraId="16E84C06" w14:textId="77777777" w:rsidR="003B5013" w:rsidRPr="00950178" w:rsidRDefault="003B5013" w:rsidP="003B5013">
      <w:pPr>
        <w:pStyle w:val="ppoHeading4Orange"/>
        <w:rPr>
          <w:noProof/>
          <w:lang w:val="en-IE"/>
        </w:rPr>
      </w:pPr>
      <w:r w:rsidRPr="00950178">
        <w:rPr>
          <w:noProof/>
          <w:lang w:val="en-IE"/>
        </w:rPr>
        <w:t>2014-2020 MULTIANNUAL FINANCIAL FRAMEWORK</w:t>
      </w:r>
      <w:r w:rsidRPr="00950178">
        <w:rPr>
          <w:rFonts w:ascii="Calibri" w:hAnsi="Calibri" w:cs="Calibri"/>
          <w:noProof/>
          <w:lang w:val="en-IE"/>
        </w:rPr>
        <w:t> </w:t>
      </w:r>
      <w:r w:rsidRPr="00950178">
        <w:rPr>
          <w:noProof/>
          <w:lang w:val="en-IE"/>
        </w:rPr>
        <w:t>– ANTI-FRAUD INFORMATION SYSTEM</w:t>
      </w:r>
    </w:p>
    <w:p w14:paraId="68B93EDF" w14:textId="77777777" w:rsidR="003B5013" w:rsidRPr="00950178" w:rsidRDefault="003B5013" w:rsidP="003B5013">
      <w:pPr>
        <w:rPr>
          <w:rFonts w:eastAsiaTheme="minorEastAsia"/>
          <w:noProof/>
          <w:lang w:val="en-IE"/>
        </w:rPr>
      </w:pPr>
      <w:r w:rsidRPr="00950178">
        <w:rPr>
          <w:rFonts w:eastAsiaTheme="minorEastAsia"/>
          <w:noProof/>
          <w:lang w:val="en-IE"/>
        </w:rPr>
        <w:t>AFIS is an umbrella term for a set of anti-fraud information technology applications operated by OLAF under a common technical infrastructure. The aim of these applications is to exchange fraud-related information between the competent national and EU administrations in a timely and secure manner. AFIS also helps to store and analyse relevant data.</w:t>
      </w:r>
    </w:p>
    <w:p w14:paraId="25ADCFCC" w14:textId="77777777" w:rsidR="003B5013" w:rsidRPr="00950178" w:rsidRDefault="003B5013" w:rsidP="003B5013">
      <w:pPr>
        <w:pStyle w:val="ppoHeading5"/>
        <w:rPr>
          <w:noProof/>
          <w:lang w:val="en-IE"/>
        </w:rPr>
      </w:pPr>
      <w:r w:rsidRPr="00950178">
        <w:rPr>
          <w:noProof/>
          <w:lang w:val="en-IE"/>
        </w:rPr>
        <w:t>Budget</w:t>
      </w:r>
    </w:p>
    <w:p w14:paraId="18099656" w14:textId="77777777" w:rsidR="003B5013" w:rsidRPr="00950178" w:rsidRDefault="003B5013" w:rsidP="003B5013">
      <w:pPr>
        <w:pStyle w:val="ppoTableTabletitle"/>
        <w:rPr>
          <w:noProof/>
          <w:lang w:val="en-IE"/>
        </w:rPr>
      </w:pPr>
      <w:r w:rsidRPr="00950178">
        <w:rPr>
          <w:noProof/>
          <w:lang w:val="en-IE"/>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3B5013" w:rsidRPr="00950178" w14:paraId="653881BA" w14:textId="77777777" w:rsidTr="00AF1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42D910D2" w14:textId="77777777" w:rsidR="003B5013" w:rsidRPr="00950178" w:rsidRDefault="003B5013" w:rsidP="00AF1C52">
            <w:pPr>
              <w:rPr>
                <w:noProof/>
                <w:lang w:val="en-IE"/>
              </w:rPr>
            </w:pPr>
          </w:p>
        </w:tc>
        <w:tc>
          <w:tcPr>
            <w:tcW w:w="2410" w:type="dxa"/>
          </w:tcPr>
          <w:p w14:paraId="1C672F3E" w14:textId="77777777" w:rsidR="003B5013" w:rsidRPr="00950178" w:rsidRDefault="003B5013" w:rsidP="00AF1C52">
            <w:pPr>
              <w:cnfStyle w:val="100000000000" w:firstRow="1" w:lastRow="0" w:firstColumn="0" w:lastColumn="0" w:oddVBand="0" w:evenVBand="0" w:oddHBand="0" w:evenHBand="0" w:firstRowFirstColumn="0" w:firstRowLastColumn="0" w:lastRowFirstColumn="0" w:lastRowLastColumn="0"/>
              <w:rPr>
                <w:noProof/>
                <w:lang w:val="en-IE"/>
              </w:rPr>
            </w:pPr>
            <w:r w:rsidRPr="00950178">
              <w:rPr>
                <w:noProof/>
                <w:lang w:val="en-IE"/>
              </w:rPr>
              <w:t>Implementation</w:t>
            </w:r>
          </w:p>
        </w:tc>
        <w:tc>
          <w:tcPr>
            <w:tcW w:w="2410" w:type="dxa"/>
          </w:tcPr>
          <w:p w14:paraId="3D8C2707" w14:textId="6DB077AC" w:rsidR="003B5013" w:rsidRPr="00950178" w:rsidRDefault="001F4CBC" w:rsidP="00AF1C52">
            <w:pPr>
              <w:cnfStyle w:val="100000000000" w:firstRow="1" w:lastRow="0" w:firstColumn="0" w:lastColumn="0" w:oddVBand="0" w:evenVBand="0" w:oddHBand="0" w:evenHBand="0" w:firstRowFirstColumn="0" w:firstRowLastColumn="0" w:lastRowFirstColumn="0" w:lastRowLastColumn="0"/>
              <w:rPr>
                <w:noProof/>
                <w:lang w:val="en-IE"/>
              </w:rPr>
            </w:pPr>
            <w:r>
              <w:rPr>
                <w:noProof/>
              </w:rPr>
              <w:t xml:space="preserve">2014-2020 </w:t>
            </w:r>
            <w:r w:rsidRPr="00885241">
              <w:rPr>
                <w:noProof/>
              </w:rPr>
              <w:t>Budget</w:t>
            </w:r>
          </w:p>
        </w:tc>
        <w:tc>
          <w:tcPr>
            <w:tcW w:w="2410" w:type="dxa"/>
          </w:tcPr>
          <w:p w14:paraId="44C218A6" w14:textId="77777777" w:rsidR="003B5013" w:rsidRPr="00950178" w:rsidRDefault="003B5013" w:rsidP="00AF1C52">
            <w:pPr>
              <w:cnfStyle w:val="100000000000" w:firstRow="1" w:lastRow="0" w:firstColumn="0" w:lastColumn="0" w:oddVBand="0" w:evenVBand="0" w:oddHBand="0" w:evenHBand="0" w:firstRowFirstColumn="0" w:firstRowLastColumn="0" w:lastRowFirstColumn="0" w:lastRowLastColumn="0"/>
              <w:rPr>
                <w:noProof/>
                <w:lang w:val="en-IE"/>
              </w:rPr>
            </w:pPr>
            <w:r w:rsidRPr="00950178">
              <w:rPr>
                <w:noProof/>
                <w:lang w:val="en-IE"/>
              </w:rPr>
              <w:t>Implementation rate</w:t>
            </w:r>
          </w:p>
        </w:tc>
      </w:tr>
      <w:tr w:rsidR="003B5013" w:rsidRPr="00950178" w14:paraId="59B9D3B1"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43D5AC37" w14:textId="77777777" w:rsidR="003B5013" w:rsidRPr="00950178" w:rsidRDefault="003B5013" w:rsidP="00AF1C52">
            <w:pPr>
              <w:jc w:val="center"/>
              <w:rPr>
                <w:noProof/>
                <w:lang w:val="en-IE"/>
              </w:rPr>
            </w:pPr>
            <w:r w:rsidRPr="00950178">
              <w:rPr>
                <w:noProof/>
                <w:lang w:val="en-IE"/>
              </w:rPr>
              <w:t>Commitments</w:t>
            </w:r>
          </w:p>
        </w:tc>
        <w:tc>
          <w:tcPr>
            <w:tcW w:w="2410" w:type="dxa"/>
          </w:tcPr>
          <w:tbl>
            <w:tblPr>
              <w:tblStyle w:val="TableGrid"/>
              <w:tblW w:w="0" w:type="auto"/>
              <w:tblLook w:val="06A0" w:firstRow="1" w:lastRow="0" w:firstColumn="1" w:lastColumn="0" w:noHBand="1" w:noVBand="1"/>
            </w:tblPr>
            <w:tblGrid>
              <w:gridCol w:w="2194"/>
            </w:tblGrid>
            <w:tr w:rsidR="003B5013" w:rsidRPr="00950178" w14:paraId="67F4887F" w14:textId="77777777" w:rsidTr="00AF1C52">
              <w:trPr>
                <w:trHeight w:val="285"/>
              </w:trPr>
              <w:tc>
                <w:tcPr>
                  <w:tcW w:w="2290" w:type="dxa"/>
                  <w:tcBorders>
                    <w:top w:val="nil"/>
                    <w:left w:val="nil"/>
                    <w:bottom w:val="nil"/>
                    <w:right w:val="nil"/>
                  </w:tcBorders>
                  <w:vAlign w:val="bottom"/>
                </w:tcPr>
                <w:p w14:paraId="773C862E" w14:textId="77777777" w:rsidR="003B5013" w:rsidRPr="00950178" w:rsidRDefault="003B5013" w:rsidP="00AF1C52">
                  <w:pPr>
                    <w:spacing w:before="100" w:after="100"/>
                    <w:jc w:val="center"/>
                    <w:rPr>
                      <w:noProof/>
                      <w:lang w:val="en-IE"/>
                    </w:rPr>
                  </w:pPr>
                  <w:r w:rsidRPr="00950178">
                    <w:rPr>
                      <w:noProof/>
                      <w:lang w:val="en-IE"/>
                    </w:rPr>
                    <w:t>153.3</w:t>
                  </w:r>
                </w:p>
              </w:tc>
            </w:tr>
          </w:tbl>
          <w:p w14:paraId="2B255EA8" w14:textId="77777777" w:rsidR="003B5013" w:rsidRPr="00950178" w:rsidRDefault="003B501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3B5013" w:rsidRPr="00950178" w14:paraId="35295DFD" w14:textId="77777777" w:rsidTr="00AF1C52">
              <w:trPr>
                <w:trHeight w:val="285"/>
              </w:trPr>
              <w:tc>
                <w:tcPr>
                  <w:tcW w:w="2290" w:type="dxa"/>
                  <w:tcBorders>
                    <w:top w:val="nil"/>
                    <w:left w:val="nil"/>
                    <w:bottom w:val="nil"/>
                    <w:right w:val="nil"/>
                  </w:tcBorders>
                  <w:vAlign w:val="bottom"/>
                </w:tcPr>
                <w:p w14:paraId="53AD29CC" w14:textId="77777777" w:rsidR="003B5013" w:rsidRPr="00950178" w:rsidRDefault="003B5013" w:rsidP="00AF1C52">
                  <w:pPr>
                    <w:spacing w:before="100" w:after="100"/>
                    <w:jc w:val="center"/>
                    <w:rPr>
                      <w:noProof/>
                      <w:lang w:val="en-IE"/>
                    </w:rPr>
                  </w:pPr>
                  <w:r w:rsidRPr="00950178">
                    <w:rPr>
                      <w:noProof/>
                      <w:lang w:val="en-IE"/>
                    </w:rPr>
                    <w:t>154.4</w:t>
                  </w:r>
                </w:p>
              </w:tc>
            </w:tr>
          </w:tbl>
          <w:p w14:paraId="0F077573" w14:textId="77777777" w:rsidR="003B5013" w:rsidRPr="00950178" w:rsidRDefault="003B501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3B5013" w:rsidRPr="00950178" w14:paraId="01612BA2" w14:textId="77777777" w:rsidTr="00AF1C52">
              <w:trPr>
                <w:trHeight w:val="285"/>
              </w:trPr>
              <w:tc>
                <w:tcPr>
                  <w:tcW w:w="2290" w:type="dxa"/>
                  <w:tcBorders>
                    <w:top w:val="nil"/>
                    <w:left w:val="nil"/>
                    <w:bottom w:val="nil"/>
                    <w:right w:val="nil"/>
                  </w:tcBorders>
                  <w:vAlign w:val="bottom"/>
                </w:tcPr>
                <w:p w14:paraId="2C317BA5" w14:textId="77777777" w:rsidR="003B5013" w:rsidRPr="00950178" w:rsidRDefault="003B5013" w:rsidP="00AF1C52">
                  <w:pPr>
                    <w:spacing w:before="100" w:after="100"/>
                    <w:jc w:val="center"/>
                    <w:rPr>
                      <w:noProof/>
                      <w:lang w:val="en-IE"/>
                    </w:rPr>
                  </w:pPr>
                  <w:r w:rsidRPr="00950178">
                    <w:rPr>
                      <w:noProof/>
                      <w:lang w:val="en-IE"/>
                    </w:rPr>
                    <w:t>99%</w:t>
                  </w:r>
                </w:p>
              </w:tc>
            </w:tr>
          </w:tbl>
          <w:p w14:paraId="07D38C4B" w14:textId="77777777" w:rsidR="003B5013" w:rsidRPr="00950178" w:rsidRDefault="003B501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r>
      <w:tr w:rsidR="003B5013" w:rsidRPr="00950178" w14:paraId="5F2D0BA6"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48FB065A" w14:textId="77777777" w:rsidR="003B5013" w:rsidRPr="00950178" w:rsidRDefault="003B5013" w:rsidP="00AF1C52">
            <w:pPr>
              <w:jc w:val="center"/>
              <w:rPr>
                <w:noProof/>
                <w:lang w:val="en-IE"/>
              </w:rPr>
            </w:pPr>
            <w:r w:rsidRPr="00950178">
              <w:rPr>
                <w:noProof/>
                <w:lang w:val="en-IE"/>
              </w:rPr>
              <w:t>Payments</w:t>
            </w:r>
          </w:p>
        </w:tc>
        <w:tc>
          <w:tcPr>
            <w:tcW w:w="2410" w:type="dxa"/>
          </w:tcPr>
          <w:tbl>
            <w:tblPr>
              <w:tblStyle w:val="TableGrid"/>
              <w:tblW w:w="0" w:type="auto"/>
              <w:tblLook w:val="06A0" w:firstRow="1" w:lastRow="0" w:firstColumn="1" w:lastColumn="0" w:noHBand="1" w:noVBand="1"/>
            </w:tblPr>
            <w:tblGrid>
              <w:gridCol w:w="2194"/>
            </w:tblGrid>
            <w:tr w:rsidR="003B5013" w:rsidRPr="00950178" w14:paraId="792CD438" w14:textId="77777777" w:rsidTr="00AF1C52">
              <w:trPr>
                <w:trHeight w:val="285"/>
              </w:trPr>
              <w:tc>
                <w:tcPr>
                  <w:tcW w:w="2290" w:type="dxa"/>
                  <w:tcBorders>
                    <w:top w:val="nil"/>
                    <w:left w:val="nil"/>
                    <w:bottom w:val="nil"/>
                    <w:right w:val="nil"/>
                  </w:tcBorders>
                  <w:vAlign w:val="bottom"/>
                </w:tcPr>
                <w:p w14:paraId="612F9325" w14:textId="77777777" w:rsidR="003B5013" w:rsidRPr="00950178" w:rsidRDefault="003B5013" w:rsidP="00AF1C52">
                  <w:pPr>
                    <w:spacing w:before="100" w:after="100"/>
                    <w:jc w:val="center"/>
                    <w:rPr>
                      <w:noProof/>
                      <w:lang w:val="en-IE"/>
                    </w:rPr>
                  </w:pPr>
                  <w:r w:rsidRPr="00950178">
                    <w:rPr>
                      <w:noProof/>
                      <w:lang w:val="en-IE"/>
                    </w:rPr>
                    <w:t>126.0</w:t>
                  </w:r>
                </w:p>
              </w:tc>
            </w:tr>
          </w:tbl>
          <w:p w14:paraId="47D66A1F" w14:textId="77777777" w:rsidR="003B5013" w:rsidRPr="00950178" w:rsidRDefault="003B501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p w14:paraId="07B1F1D2" w14:textId="77777777" w:rsidR="003B5013" w:rsidRPr="00950178" w:rsidRDefault="003B501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3B5013" w:rsidRPr="00950178" w14:paraId="3FB13A98" w14:textId="77777777" w:rsidTr="00AF1C52">
              <w:trPr>
                <w:trHeight w:val="285"/>
              </w:trPr>
              <w:tc>
                <w:tcPr>
                  <w:tcW w:w="2235" w:type="dxa"/>
                  <w:tcBorders>
                    <w:top w:val="nil"/>
                    <w:left w:val="nil"/>
                    <w:bottom w:val="nil"/>
                    <w:right w:val="nil"/>
                  </w:tcBorders>
                  <w:vAlign w:val="bottom"/>
                </w:tcPr>
                <w:p w14:paraId="5096AE80" w14:textId="77777777" w:rsidR="003B5013" w:rsidRPr="00950178" w:rsidRDefault="003B5013" w:rsidP="00AF1C52">
                  <w:pPr>
                    <w:spacing w:before="100" w:after="100"/>
                    <w:jc w:val="center"/>
                    <w:rPr>
                      <w:noProof/>
                      <w:lang w:val="en-IE"/>
                    </w:rPr>
                  </w:pPr>
                  <w:r w:rsidRPr="00950178">
                    <w:rPr>
                      <w:noProof/>
                      <w:lang w:val="en-IE"/>
                    </w:rPr>
                    <w:t>82%</w:t>
                  </w:r>
                </w:p>
              </w:tc>
            </w:tr>
          </w:tbl>
          <w:p w14:paraId="0D21A7BF" w14:textId="77777777" w:rsidR="003B5013" w:rsidRPr="00950178" w:rsidRDefault="003B501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r>
    </w:tbl>
    <w:p w14:paraId="5E24C129" w14:textId="77777777" w:rsidR="003B5013" w:rsidRPr="00950178" w:rsidRDefault="003B5013" w:rsidP="003B5013">
      <w:pPr>
        <w:pStyle w:val="ppoListHyphened-L1"/>
        <w:rPr>
          <w:noProof/>
          <w:lang w:val="en-IE"/>
        </w:rPr>
      </w:pPr>
      <w:r w:rsidRPr="00950178">
        <w:rPr>
          <w:noProof/>
          <w:lang w:val="en-IE"/>
        </w:rPr>
        <w:t>Note: Due to the intertwined budgetary nature of the previous programmes, this section presents a combined cumulative implementation rate of both predecessor 2014-2020 programmes, AFIS and Hercule</w:t>
      </w:r>
      <w:r w:rsidRPr="00950178">
        <w:rPr>
          <w:rFonts w:ascii="Calibri" w:hAnsi="Calibri" w:cs="Calibri"/>
          <w:noProof/>
          <w:lang w:val="en-IE"/>
        </w:rPr>
        <w:t> </w:t>
      </w:r>
      <w:r w:rsidRPr="00950178">
        <w:rPr>
          <w:noProof/>
          <w:lang w:val="en-IE"/>
        </w:rPr>
        <w:t xml:space="preserve">III. </w:t>
      </w:r>
    </w:p>
    <w:p w14:paraId="43132447" w14:textId="77777777" w:rsidR="003B5013" w:rsidRPr="00950178" w:rsidRDefault="003B5013" w:rsidP="003B5013">
      <w:pPr>
        <w:pStyle w:val="ppoListHyphened-L1"/>
        <w:spacing w:before="360"/>
        <w:rPr>
          <w:noProof/>
          <w:lang w:val="en-IE"/>
        </w:rPr>
      </w:pPr>
      <w:r w:rsidRPr="00950178">
        <w:rPr>
          <w:noProof/>
          <w:lang w:val="en-IE"/>
        </w:rPr>
        <w:t>AFIS and Hercule</w:t>
      </w:r>
      <w:r w:rsidRPr="00950178">
        <w:rPr>
          <w:rFonts w:ascii="Calibri" w:hAnsi="Calibri" w:cs="Calibri"/>
          <w:noProof/>
          <w:lang w:val="en-IE"/>
        </w:rPr>
        <w:t> </w:t>
      </w:r>
      <w:r w:rsidRPr="00950178">
        <w:rPr>
          <w:noProof/>
          <w:lang w:val="en-IE"/>
        </w:rPr>
        <w:t>III jointly consumed 99% of the available commitment appropriations and 82% of the available payment appropriations. The remaining payment appropriations are planned to be used for cost claims of ongoing grants.</w:t>
      </w:r>
    </w:p>
    <w:p w14:paraId="50637E3A" w14:textId="77777777" w:rsidR="003B5013" w:rsidRPr="00950178" w:rsidRDefault="003B5013" w:rsidP="003B5013">
      <w:pPr>
        <w:pStyle w:val="ppoHeading5"/>
        <w:rPr>
          <w:noProof/>
          <w:lang w:val="en-IE"/>
        </w:rPr>
      </w:pPr>
      <w:r w:rsidRPr="00950178">
        <w:rPr>
          <w:noProof/>
          <w:lang w:val="en-IE"/>
        </w:rPr>
        <w:t>Performance assessment</w:t>
      </w:r>
    </w:p>
    <w:p w14:paraId="13EE4706" w14:textId="77777777" w:rsidR="003B5013" w:rsidRPr="00950178" w:rsidRDefault="003B5013" w:rsidP="003B5013">
      <w:pPr>
        <w:pStyle w:val="ppoHeading6"/>
        <w:rPr>
          <w:noProof/>
          <w:lang w:val="en-IE"/>
        </w:rPr>
      </w:pPr>
      <w:r w:rsidRPr="00950178">
        <w:rPr>
          <w:noProof/>
          <w:lang w:val="en-IE"/>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3B5013" w:rsidRPr="00950178" w14:paraId="18DF8DAC" w14:textId="77777777" w:rsidTr="00AF1C52">
        <w:trPr>
          <w:cnfStyle w:val="100000000000" w:firstRow="1" w:lastRow="0" w:firstColumn="0" w:lastColumn="0" w:oddVBand="0" w:evenVBand="0" w:oddHBand="0" w:evenHBand="0" w:firstRowFirstColumn="0" w:firstRowLastColumn="0" w:lastRowFirstColumn="0" w:lastRowLastColumn="0"/>
        </w:trPr>
        <w:tc>
          <w:tcPr>
            <w:tcW w:w="2330" w:type="dxa"/>
          </w:tcPr>
          <w:p w14:paraId="37275D63" w14:textId="77777777" w:rsidR="003B5013" w:rsidRPr="00950178" w:rsidRDefault="003B5013" w:rsidP="00AF1C52">
            <w:pPr>
              <w:rPr>
                <w:noProof/>
                <w:lang w:val="en-IE"/>
              </w:rPr>
            </w:pPr>
          </w:p>
        </w:tc>
        <w:tc>
          <w:tcPr>
            <w:tcW w:w="1100" w:type="dxa"/>
          </w:tcPr>
          <w:p w14:paraId="7C367F3F" w14:textId="77777777" w:rsidR="003B5013" w:rsidRPr="00950178" w:rsidRDefault="003B5013" w:rsidP="00AF1C52">
            <w:pPr>
              <w:rPr>
                <w:noProof/>
                <w:lang w:val="en-IE"/>
              </w:rPr>
            </w:pPr>
            <w:r w:rsidRPr="00950178">
              <w:rPr>
                <w:noProof/>
                <w:lang w:val="en-IE"/>
              </w:rPr>
              <w:t>Baseline</w:t>
            </w:r>
          </w:p>
        </w:tc>
        <w:tc>
          <w:tcPr>
            <w:tcW w:w="1526" w:type="dxa"/>
          </w:tcPr>
          <w:p w14:paraId="51BC7D63" w14:textId="77777777" w:rsidR="003B5013" w:rsidRPr="00DE538D" w:rsidRDefault="003B5013" w:rsidP="00AF1C52">
            <w:pPr>
              <w:rPr>
                <w:rFonts w:ascii="Calibri" w:hAnsi="Calibri" w:cs="Calibri"/>
                <w:noProof/>
                <w:lang w:val="en-IE"/>
              </w:rPr>
            </w:pPr>
            <w:r w:rsidRPr="00950178">
              <w:rPr>
                <w:noProof/>
                <w:lang w:val="en-IE"/>
              </w:rPr>
              <w:t>Progress</w:t>
            </w:r>
            <w:r w:rsidRPr="00950178">
              <w:rPr>
                <w:rFonts w:ascii="Calibri" w:hAnsi="Calibri" w:cs="Calibri"/>
                <w:noProof/>
                <w:lang w:val="en-IE"/>
              </w:rPr>
              <w:t> </w:t>
            </w:r>
            <w:r w:rsidRPr="00DE538D">
              <w:rPr>
                <w:rFonts w:cs="Calibri"/>
                <w:noProof/>
                <w:lang w:val="en-IE"/>
              </w:rPr>
              <w:t>(*)</w:t>
            </w:r>
          </w:p>
        </w:tc>
        <w:tc>
          <w:tcPr>
            <w:tcW w:w="1532" w:type="dxa"/>
          </w:tcPr>
          <w:p w14:paraId="47230F37" w14:textId="77777777" w:rsidR="003B5013" w:rsidRPr="00950178" w:rsidRDefault="003B5013" w:rsidP="00AF1C52">
            <w:pPr>
              <w:rPr>
                <w:noProof/>
                <w:lang w:val="en-IE"/>
              </w:rPr>
            </w:pPr>
            <w:r w:rsidRPr="00950178">
              <w:rPr>
                <w:noProof/>
                <w:lang w:val="en-IE"/>
              </w:rPr>
              <w:t>Target</w:t>
            </w:r>
          </w:p>
        </w:tc>
        <w:tc>
          <w:tcPr>
            <w:tcW w:w="1572" w:type="dxa"/>
          </w:tcPr>
          <w:p w14:paraId="270B7910" w14:textId="77777777" w:rsidR="003B5013" w:rsidRPr="00950178" w:rsidRDefault="003B5013" w:rsidP="00AF1C52">
            <w:pPr>
              <w:rPr>
                <w:noProof/>
                <w:lang w:val="en-IE"/>
              </w:rPr>
            </w:pPr>
            <w:r w:rsidRPr="00950178">
              <w:rPr>
                <w:noProof/>
                <w:lang w:val="en-IE"/>
              </w:rPr>
              <w:t>Results</w:t>
            </w:r>
          </w:p>
        </w:tc>
        <w:tc>
          <w:tcPr>
            <w:tcW w:w="1579" w:type="dxa"/>
          </w:tcPr>
          <w:p w14:paraId="7E302A9C" w14:textId="77777777" w:rsidR="003B5013" w:rsidRPr="00950178" w:rsidRDefault="003B5013" w:rsidP="00AF1C52">
            <w:pPr>
              <w:rPr>
                <w:noProof/>
                <w:lang w:val="en-IE"/>
              </w:rPr>
            </w:pPr>
            <w:r w:rsidRPr="00950178">
              <w:rPr>
                <w:noProof/>
                <w:lang w:val="en-IE"/>
              </w:rPr>
              <w:t>Assessment</w:t>
            </w:r>
          </w:p>
        </w:tc>
      </w:tr>
      <w:tr w:rsidR="003B5013" w:rsidRPr="00950178" w14:paraId="4083D0BF" w14:textId="77777777" w:rsidTr="00AF1C52">
        <w:trPr>
          <w:cnfStyle w:val="000000100000" w:firstRow="0" w:lastRow="0" w:firstColumn="0" w:lastColumn="0" w:oddVBand="0" w:evenVBand="0" w:oddHBand="1" w:evenHBand="0" w:firstRowFirstColumn="0" w:firstRowLastColumn="0" w:lastRowFirstColumn="0" w:lastRowLastColumn="0"/>
        </w:trPr>
        <w:tc>
          <w:tcPr>
            <w:tcW w:w="2330" w:type="dxa"/>
          </w:tcPr>
          <w:p w14:paraId="534AC1A5" w14:textId="77777777" w:rsidR="003B5013" w:rsidRPr="00950178" w:rsidRDefault="003B5013" w:rsidP="00AF1C52">
            <w:pPr>
              <w:rPr>
                <w:noProof/>
                <w:lang w:val="en-IE"/>
              </w:rPr>
            </w:pPr>
            <w:r w:rsidRPr="00950178">
              <w:rPr>
                <w:noProof/>
                <w:lang w:val="en-IE"/>
              </w:rPr>
              <w:t>Mutual assistance</w:t>
            </w:r>
            <w:r w:rsidRPr="00950178">
              <w:rPr>
                <w:rFonts w:ascii="Calibri" w:hAnsi="Calibri" w:cs="Calibri"/>
                <w:noProof/>
                <w:lang w:val="en-IE"/>
              </w:rPr>
              <w:t> –</w:t>
            </w:r>
            <w:r w:rsidRPr="00950178">
              <w:rPr>
                <w:noProof/>
                <w:lang w:val="en-IE"/>
              </w:rPr>
              <w:t xml:space="preserve"> information exchange: number of active customs fraud cases</w:t>
            </w:r>
          </w:p>
        </w:tc>
        <w:tc>
          <w:tcPr>
            <w:tcW w:w="1100" w:type="dxa"/>
          </w:tcPr>
          <w:p w14:paraId="75F3BFB0" w14:textId="77777777" w:rsidR="003B5013" w:rsidRPr="00950178" w:rsidRDefault="003B5013" w:rsidP="00AF1C52">
            <w:pPr>
              <w:jc w:val="center"/>
              <w:rPr>
                <w:noProof/>
                <w:lang w:val="en-IE"/>
              </w:rPr>
            </w:pPr>
            <w:r w:rsidRPr="00950178">
              <w:rPr>
                <w:noProof/>
                <w:lang w:val="en-IE"/>
              </w:rPr>
              <w:t>8</w:t>
            </w:r>
            <w:r w:rsidRPr="00950178">
              <w:rPr>
                <w:rFonts w:ascii="Calibri" w:hAnsi="Calibri" w:cs="Calibri"/>
                <w:noProof/>
                <w:lang w:val="en-IE"/>
              </w:rPr>
              <w:t> </w:t>
            </w:r>
            <w:r w:rsidRPr="00950178">
              <w:rPr>
                <w:noProof/>
                <w:lang w:val="en-IE"/>
              </w:rPr>
              <w:t>000</w:t>
            </w:r>
          </w:p>
        </w:tc>
        <w:tc>
          <w:tcPr>
            <w:tcW w:w="1526" w:type="dxa"/>
          </w:tcPr>
          <w:p w14:paraId="230DC098" w14:textId="77777777" w:rsidR="003B5013" w:rsidRPr="00950178" w:rsidRDefault="003B5013" w:rsidP="00AF1C52">
            <w:pPr>
              <w:jc w:val="center"/>
              <w:rPr>
                <w:b/>
                <w:noProof/>
                <w:lang w:val="en-IE"/>
              </w:rPr>
            </w:pPr>
            <w:r w:rsidRPr="00950178">
              <w:rPr>
                <w:noProof/>
                <w:lang w:val="en-IE"/>
              </w:rPr>
              <w:t>70%</w:t>
            </w:r>
          </w:p>
        </w:tc>
        <w:tc>
          <w:tcPr>
            <w:tcW w:w="1532" w:type="dxa"/>
          </w:tcPr>
          <w:p w14:paraId="61A25238" w14:textId="57FD87CB" w:rsidR="003B5013" w:rsidRPr="00950178" w:rsidRDefault="003B5013" w:rsidP="00AF1C52">
            <w:pPr>
              <w:jc w:val="center"/>
              <w:rPr>
                <w:noProof/>
                <w:lang w:val="en-IE"/>
              </w:rPr>
            </w:pPr>
            <w:r w:rsidRPr="00950178">
              <w:rPr>
                <w:noProof/>
                <w:lang w:val="en-IE"/>
              </w:rPr>
              <w:t>24</w:t>
            </w:r>
            <w:r w:rsidRPr="00950178">
              <w:rPr>
                <w:rFonts w:ascii="Calibri" w:hAnsi="Calibri" w:cs="Calibri"/>
                <w:noProof/>
                <w:lang w:val="en-IE"/>
              </w:rPr>
              <w:t> </w:t>
            </w:r>
            <w:r w:rsidRPr="00950178">
              <w:rPr>
                <w:noProof/>
                <w:lang w:val="en-IE"/>
              </w:rPr>
              <w:t>000</w:t>
            </w:r>
            <w:r w:rsidR="005E33DC">
              <w:rPr>
                <w:noProof/>
                <w:lang w:val="en-IE"/>
              </w:rPr>
              <w:t xml:space="preserve"> in 2020</w:t>
            </w:r>
          </w:p>
        </w:tc>
        <w:tc>
          <w:tcPr>
            <w:tcW w:w="1572" w:type="dxa"/>
          </w:tcPr>
          <w:p w14:paraId="2B3927BB" w14:textId="77777777" w:rsidR="003B5013" w:rsidRPr="00950178" w:rsidRDefault="003B5013" w:rsidP="00AF1C52">
            <w:pPr>
              <w:jc w:val="center"/>
              <w:rPr>
                <w:noProof/>
                <w:lang w:val="en-IE"/>
              </w:rPr>
            </w:pPr>
            <w:r w:rsidRPr="00950178">
              <w:rPr>
                <w:noProof/>
                <w:lang w:val="en-IE"/>
              </w:rPr>
              <w:t>19</w:t>
            </w:r>
            <w:r w:rsidRPr="00950178">
              <w:rPr>
                <w:rFonts w:ascii="Calibri" w:hAnsi="Calibri" w:cs="Calibri"/>
                <w:noProof/>
                <w:lang w:val="en-IE"/>
              </w:rPr>
              <w:t> </w:t>
            </w:r>
            <w:r w:rsidRPr="00950178">
              <w:rPr>
                <w:noProof/>
                <w:lang w:val="en-IE"/>
              </w:rPr>
              <w:t>125 out of 24</w:t>
            </w:r>
            <w:r w:rsidRPr="00950178">
              <w:rPr>
                <w:rFonts w:ascii="Calibri" w:hAnsi="Calibri" w:cs="Calibri"/>
                <w:noProof/>
                <w:lang w:val="en-IE"/>
              </w:rPr>
              <w:t> </w:t>
            </w:r>
            <w:r w:rsidRPr="00950178">
              <w:rPr>
                <w:noProof/>
                <w:lang w:val="en-IE"/>
              </w:rPr>
              <w:t>000 cases</w:t>
            </w:r>
          </w:p>
        </w:tc>
        <w:tc>
          <w:tcPr>
            <w:tcW w:w="1579" w:type="dxa"/>
          </w:tcPr>
          <w:p w14:paraId="4AB5EE4D" w14:textId="77777777" w:rsidR="003B5013" w:rsidRPr="00950178" w:rsidRDefault="003B5013" w:rsidP="00AF1C52">
            <w:pPr>
              <w:jc w:val="center"/>
              <w:rPr>
                <w:noProof/>
                <w:lang w:val="en-IE"/>
              </w:rPr>
            </w:pPr>
            <w:r>
              <w:rPr>
                <w:noProof/>
                <w:lang w:val="en-IE"/>
              </w:rPr>
              <w:t>Moderate progress</w:t>
            </w:r>
          </w:p>
        </w:tc>
      </w:tr>
    </w:tbl>
    <w:p w14:paraId="1BEC01E3" w14:textId="77777777" w:rsidR="003B5013" w:rsidRPr="00950178" w:rsidRDefault="003B5013" w:rsidP="003B5013">
      <w:pPr>
        <w:pStyle w:val="FootnoteText"/>
        <w:rPr>
          <w:noProof/>
          <w:color w:val="BBB931"/>
          <w:lang w:val="en-IE"/>
        </w:rPr>
      </w:pPr>
      <w:r w:rsidRPr="00950178">
        <w:rPr>
          <w:noProof/>
          <w:lang w:val="en-IE"/>
        </w:rPr>
        <w:t>(*) % of target achieved by the end of 2020.</w:t>
      </w:r>
    </w:p>
    <w:p w14:paraId="4811146A" w14:textId="77777777" w:rsidR="003B5013" w:rsidRPr="00950178" w:rsidRDefault="003B5013" w:rsidP="003B5013">
      <w:pPr>
        <w:pStyle w:val="ppoListHyphened-L1"/>
        <w:spacing w:before="360"/>
        <w:rPr>
          <w:noProof/>
          <w:lang w:val="en-IE"/>
        </w:rPr>
      </w:pPr>
      <w:r w:rsidRPr="00950178">
        <w:rPr>
          <w:noProof/>
          <w:lang w:val="en-IE"/>
        </w:rPr>
        <w:t>The programme has achieved all but one of the targets of its indicators. Its target</w:t>
      </w:r>
      <w:r w:rsidRPr="00950178">
        <w:rPr>
          <w:rFonts w:ascii="Calibri" w:hAnsi="Calibri" w:cs="Calibri"/>
          <w:noProof/>
          <w:lang w:val="en-IE"/>
        </w:rPr>
        <w:t> –</w:t>
      </w:r>
      <w:r w:rsidRPr="00950178">
        <w:rPr>
          <w:noProof/>
          <w:lang w:val="en-IE"/>
        </w:rPr>
        <w:t xml:space="preserve"> 24</w:t>
      </w:r>
      <w:r w:rsidRPr="00950178">
        <w:rPr>
          <w:rFonts w:ascii="Calibri" w:hAnsi="Calibri" w:cs="Calibri"/>
          <w:noProof/>
          <w:lang w:val="en-IE"/>
        </w:rPr>
        <w:t> 000</w:t>
      </w:r>
      <w:r w:rsidRPr="00950178">
        <w:rPr>
          <w:noProof/>
          <w:lang w:val="en-IE"/>
        </w:rPr>
        <w:t xml:space="preserve"> active customs fraud cases by 2020</w:t>
      </w:r>
      <w:r w:rsidRPr="00950178">
        <w:rPr>
          <w:rFonts w:ascii="Calibri" w:hAnsi="Calibri" w:cs="Calibri"/>
          <w:noProof/>
          <w:lang w:val="en-IE"/>
        </w:rPr>
        <w:t> –</w:t>
      </w:r>
      <w:r w:rsidRPr="00950178">
        <w:rPr>
          <w:noProof/>
          <w:lang w:val="en-IE"/>
        </w:rPr>
        <w:t xml:space="preserve"> was based on the main assumption that relevant intellectual property rights infringements, which are reported via the </w:t>
      </w:r>
      <w:r w:rsidRPr="00DE538D">
        <w:rPr>
          <w:noProof/>
          <w:lang w:val="en-IE"/>
        </w:rPr>
        <w:t>DG Taxation and Customs Union</w:t>
      </w:r>
      <w:r w:rsidRPr="00950178">
        <w:rPr>
          <w:noProof/>
          <w:lang w:val="en-IE"/>
        </w:rPr>
        <w:t xml:space="preserve"> anti-counterfeit and piracy system , would significantly contribute to the number of cases. However, at the end of 2020, such infringements represented only 971 cases (5%) of all reported cases. The indicator continues to be monitored and is expected to meet its target in 2024.</w:t>
      </w:r>
    </w:p>
    <w:p w14:paraId="52491421" w14:textId="77777777" w:rsidR="003B5013" w:rsidRPr="00950178" w:rsidRDefault="003B5013" w:rsidP="003B5013">
      <w:pPr>
        <w:pStyle w:val="ppoListHyphened-L1"/>
        <w:rPr>
          <w:noProof/>
          <w:lang w:val="en-IE"/>
        </w:rPr>
      </w:pPr>
      <w:r w:rsidRPr="00950178">
        <w:rPr>
          <w:noProof/>
          <w:lang w:val="en-IE"/>
        </w:rPr>
        <w:t>Following Member State recommendations in previous years, OLAF has strengthened in the reporting period the involvement of Member States during all stages of development of new or updated AFIS applications, aiming at improving their usage and user satisfaction. Special workshops were organised for the new versions of the anti-fraud systems managed by the programme, which attracted a large number of participants from the Member States. As a result, Member State acceptance and usage of the mentioned applications has significantly improved, as shown by usage statistics and satisfaction reports. The number of AFIS users increased from 8</w:t>
      </w:r>
      <w:r w:rsidRPr="00950178">
        <w:rPr>
          <w:rFonts w:ascii="Calibri" w:hAnsi="Calibri" w:cs="Calibri"/>
          <w:noProof/>
          <w:lang w:val="en-IE"/>
        </w:rPr>
        <w:t> </w:t>
      </w:r>
      <w:r w:rsidRPr="00950178">
        <w:rPr>
          <w:noProof/>
          <w:lang w:val="en-IE"/>
        </w:rPr>
        <w:t>000 users in 1</w:t>
      </w:r>
      <w:r w:rsidRPr="00950178">
        <w:rPr>
          <w:rFonts w:ascii="Calibri" w:hAnsi="Calibri" w:cs="Calibri"/>
          <w:noProof/>
          <w:lang w:val="en-IE"/>
        </w:rPr>
        <w:t> </w:t>
      </w:r>
      <w:r w:rsidRPr="00950178">
        <w:rPr>
          <w:noProof/>
          <w:lang w:val="en-IE"/>
        </w:rPr>
        <w:t>200 services in 2015 to 8</w:t>
      </w:r>
      <w:r w:rsidRPr="00950178">
        <w:rPr>
          <w:rFonts w:ascii="Calibri" w:hAnsi="Calibri" w:cs="Calibri"/>
          <w:noProof/>
          <w:lang w:val="en-IE"/>
        </w:rPr>
        <w:t> </w:t>
      </w:r>
      <w:r w:rsidRPr="00950178">
        <w:rPr>
          <w:noProof/>
          <w:lang w:val="en-IE"/>
        </w:rPr>
        <w:t>500 users in 1</w:t>
      </w:r>
      <w:r w:rsidRPr="00950178">
        <w:rPr>
          <w:rFonts w:ascii="Calibri" w:hAnsi="Calibri" w:cs="Calibri"/>
          <w:noProof/>
          <w:lang w:val="en-IE"/>
        </w:rPr>
        <w:t> </w:t>
      </w:r>
      <w:r w:rsidRPr="00950178">
        <w:rPr>
          <w:noProof/>
          <w:lang w:val="en-IE"/>
        </w:rPr>
        <w:t>400 services at the end of 2020.</w:t>
      </w:r>
    </w:p>
    <w:p w14:paraId="589605DC" w14:textId="77777777" w:rsidR="003B5013" w:rsidRPr="00950178" w:rsidRDefault="003B5013" w:rsidP="003B5013">
      <w:pPr>
        <w:rPr>
          <w:rFonts w:eastAsiaTheme="majorEastAsia" w:cstheme="majorBidi"/>
          <w:noProof/>
          <w:color w:val="C7841A"/>
          <w:sz w:val="48"/>
          <w:szCs w:val="32"/>
          <w:lang w:val="en-IE" w:eastAsia="en-GB"/>
        </w:rPr>
      </w:pPr>
      <w:r w:rsidRPr="00950178">
        <w:rPr>
          <w:noProof/>
          <w:lang w:val="en-IE"/>
        </w:rPr>
        <w:br w:type="page"/>
      </w:r>
    </w:p>
    <w:p w14:paraId="0E6BBAE4" w14:textId="77777777" w:rsidR="003B5013" w:rsidRPr="00950178" w:rsidRDefault="003B5013" w:rsidP="003B5013">
      <w:pPr>
        <w:pStyle w:val="ppoHeading4Orange"/>
        <w:rPr>
          <w:noProof/>
          <w:lang w:val="en-IE"/>
        </w:rPr>
      </w:pPr>
      <w:r w:rsidRPr="00950178">
        <w:rPr>
          <w:noProof/>
          <w:lang w:val="en-IE"/>
        </w:rPr>
        <w:t>2014-2020 MULTIANNUAL FINANCIAL FRAMEWORK</w:t>
      </w:r>
      <w:r w:rsidRPr="00950178">
        <w:rPr>
          <w:rFonts w:ascii="Calibri" w:hAnsi="Calibri" w:cs="Calibri"/>
          <w:noProof/>
          <w:lang w:val="en-IE"/>
        </w:rPr>
        <w:t> </w:t>
      </w:r>
      <w:r w:rsidRPr="00950178">
        <w:rPr>
          <w:noProof/>
          <w:lang w:val="en-IE"/>
        </w:rPr>
        <w:t>– HERCULE</w:t>
      </w:r>
      <w:r w:rsidRPr="00950178">
        <w:rPr>
          <w:rFonts w:ascii="Calibri" w:hAnsi="Calibri" w:cs="Calibri"/>
          <w:noProof/>
          <w:lang w:val="en-IE"/>
        </w:rPr>
        <w:t> </w:t>
      </w:r>
      <w:r w:rsidRPr="00950178">
        <w:rPr>
          <w:noProof/>
          <w:lang w:val="en-IE"/>
        </w:rPr>
        <w:t>III</w:t>
      </w:r>
    </w:p>
    <w:p w14:paraId="55ED7ADE" w14:textId="77777777" w:rsidR="003B5013" w:rsidRPr="00950178" w:rsidRDefault="003B5013" w:rsidP="003B5013">
      <w:pPr>
        <w:rPr>
          <w:rFonts w:eastAsiaTheme="minorEastAsia"/>
          <w:noProof/>
          <w:lang w:val="en-IE"/>
        </w:rPr>
      </w:pPr>
      <w:r w:rsidRPr="00950178">
        <w:rPr>
          <w:rFonts w:eastAsiaTheme="minorEastAsia"/>
          <w:noProof/>
          <w:lang w:val="en-IE"/>
        </w:rPr>
        <w:t>Hercule</w:t>
      </w:r>
      <w:r w:rsidRPr="00950178">
        <w:rPr>
          <w:rFonts w:ascii="Calibri" w:eastAsiaTheme="minorEastAsia" w:hAnsi="Calibri" w:cs="Calibri"/>
          <w:noProof/>
          <w:lang w:val="en-IE"/>
        </w:rPr>
        <w:t> </w:t>
      </w:r>
      <w:r w:rsidRPr="00950178">
        <w:rPr>
          <w:rFonts w:eastAsiaTheme="minorEastAsia"/>
          <w:noProof/>
          <w:lang w:val="en-IE"/>
        </w:rPr>
        <w:t xml:space="preserve">III helped </w:t>
      </w:r>
      <w:r w:rsidRPr="00950178">
        <w:rPr>
          <w:noProof/>
          <w:lang w:val="en-IE"/>
        </w:rPr>
        <w:t>Member States to fight fraud, corruption and other illegal activities though financing of practical projects, such as the purchase by national authorities of sniffer dogs, X-ray scanners and other technical equipment, to stamp out smuggling and other criminal activities that are against the EU’s financial interests.</w:t>
      </w:r>
    </w:p>
    <w:p w14:paraId="128F7FC7" w14:textId="77777777" w:rsidR="003B5013" w:rsidRPr="00950178" w:rsidRDefault="003B5013" w:rsidP="003B5013">
      <w:pPr>
        <w:pStyle w:val="ppoHeading5"/>
        <w:rPr>
          <w:noProof/>
          <w:lang w:val="en-IE"/>
        </w:rPr>
      </w:pPr>
      <w:r w:rsidRPr="00950178">
        <w:rPr>
          <w:noProof/>
          <w:lang w:val="en-IE"/>
        </w:rPr>
        <w:t xml:space="preserve">Budget </w:t>
      </w:r>
    </w:p>
    <w:p w14:paraId="2625A2B4" w14:textId="77777777" w:rsidR="003B5013" w:rsidRPr="00950178" w:rsidRDefault="003B5013" w:rsidP="003B5013">
      <w:pPr>
        <w:pStyle w:val="ppoTableTabletitle"/>
        <w:rPr>
          <w:noProof/>
          <w:lang w:val="en-IE"/>
        </w:rPr>
      </w:pPr>
      <w:r w:rsidRPr="00950178">
        <w:rPr>
          <w:noProof/>
          <w:lang w:val="en-IE"/>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3B5013" w:rsidRPr="00950178" w14:paraId="28B793D6" w14:textId="77777777" w:rsidTr="00AF1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0CDF89B8" w14:textId="77777777" w:rsidR="003B5013" w:rsidRPr="00950178" w:rsidRDefault="003B5013" w:rsidP="00AF1C52">
            <w:pPr>
              <w:rPr>
                <w:noProof/>
                <w:lang w:val="en-IE"/>
              </w:rPr>
            </w:pPr>
          </w:p>
        </w:tc>
        <w:tc>
          <w:tcPr>
            <w:tcW w:w="2410" w:type="dxa"/>
          </w:tcPr>
          <w:p w14:paraId="76B2FF67" w14:textId="77777777" w:rsidR="003B5013" w:rsidRPr="00950178" w:rsidRDefault="003B5013" w:rsidP="00AF1C52">
            <w:pPr>
              <w:cnfStyle w:val="100000000000" w:firstRow="1" w:lastRow="0" w:firstColumn="0" w:lastColumn="0" w:oddVBand="0" w:evenVBand="0" w:oddHBand="0" w:evenHBand="0" w:firstRowFirstColumn="0" w:firstRowLastColumn="0" w:lastRowFirstColumn="0" w:lastRowLastColumn="0"/>
              <w:rPr>
                <w:noProof/>
                <w:lang w:val="en-IE"/>
              </w:rPr>
            </w:pPr>
            <w:r w:rsidRPr="00950178">
              <w:rPr>
                <w:noProof/>
                <w:lang w:val="en-IE"/>
              </w:rPr>
              <w:t>Implementation</w:t>
            </w:r>
          </w:p>
        </w:tc>
        <w:tc>
          <w:tcPr>
            <w:tcW w:w="2410" w:type="dxa"/>
          </w:tcPr>
          <w:p w14:paraId="4BFD0F06" w14:textId="25EBF1F4" w:rsidR="003B5013" w:rsidRPr="00950178" w:rsidRDefault="001F4CBC" w:rsidP="00AF1C52">
            <w:pPr>
              <w:cnfStyle w:val="100000000000" w:firstRow="1" w:lastRow="0" w:firstColumn="0" w:lastColumn="0" w:oddVBand="0" w:evenVBand="0" w:oddHBand="0" w:evenHBand="0" w:firstRowFirstColumn="0" w:firstRowLastColumn="0" w:lastRowFirstColumn="0" w:lastRowLastColumn="0"/>
              <w:rPr>
                <w:noProof/>
                <w:lang w:val="en-IE"/>
              </w:rPr>
            </w:pPr>
            <w:r>
              <w:rPr>
                <w:noProof/>
              </w:rPr>
              <w:t xml:space="preserve">2014-2020 </w:t>
            </w:r>
            <w:r w:rsidRPr="00885241">
              <w:rPr>
                <w:noProof/>
              </w:rPr>
              <w:t>Budget</w:t>
            </w:r>
          </w:p>
        </w:tc>
        <w:tc>
          <w:tcPr>
            <w:tcW w:w="2410" w:type="dxa"/>
          </w:tcPr>
          <w:p w14:paraId="463635B7" w14:textId="77777777" w:rsidR="003B5013" w:rsidRPr="00950178" w:rsidRDefault="003B5013" w:rsidP="00AF1C52">
            <w:pPr>
              <w:cnfStyle w:val="100000000000" w:firstRow="1" w:lastRow="0" w:firstColumn="0" w:lastColumn="0" w:oddVBand="0" w:evenVBand="0" w:oddHBand="0" w:evenHBand="0" w:firstRowFirstColumn="0" w:firstRowLastColumn="0" w:lastRowFirstColumn="0" w:lastRowLastColumn="0"/>
              <w:rPr>
                <w:noProof/>
                <w:lang w:val="en-IE"/>
              </w:rPr>
            </w:pPr>
            <w:r w:rsidRPr="00950178">
              <w:rPr>
                <w:noProof/>
                <w:lang w:val="en-IE"/>
              </w:rPr>
              <w:t>Implementation rate</w:t>
            </w:r>
          </w:p>
        </w:tc>
      </w:tr>
      <w:tr w:rsidR="003B5013" w:rsidRPr="00950178" w14:paraId="6025242F"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25AF30DE" w14:textId="77777777" w:rsidR="003B5013" w:rsidRPr="00950178" w:rsidRDefault="003B5013" w:rsidP="00AF1C52">
            <w:pPr>
              <w:jc w:val="center"/>
              <w:rPr>
                <w:noProof/>
                <w:lang w:val="en-IE"/>
              </w:rPr>
            </w:pPr>
            <w:r w:rsidRPr="00950178">
              <w:rPr>
                <w:noProof/>
                <w:lang w:val="en-IE"/>
              </w:rPr>
              <w:t>Commitments</w:t>
            </w:r>
          </w:p>
        </w:tc>
        <w:tc>
          <w:tcPr>
            <w:tcW w:w="2410" w:type="dxa"/>
          </w:tcPr>
          <w:tbl>
            <w:tblPr>
              <w:tblStyle w:val="TableGrid"/>
              <w:tblW w:w="0" w:type="auto"/>
              <w:tblLook w:val="06A0" w:firstRow="1" w:lastRow="0" w:firstColumn="1" w:lastColumn="0" w:noHBand="1" w:noVBand="1"/>
            </w:tblPr>
            <w:tblGrid>
              <w:gridCol w:w="2194"/>
            </w:tblGrid>
            <w:tr w:rsidR="003B5013" w:rsidRPr="00950178" w14:paraId="0AD94211" w14:textId="77777777" w:rsidTr="00AF1C52">
              <w:trPr>
                <w:trHeight w:val="285"/>
              </w:trPr>
              <w:tc>
                <w:tcPr>
                  <w:tcW w:w="2290" w:type="dxa"/>
                  <w:tcBorders>
                    <w:top w:val="nil"/>
                    <w:left w:val="nil"/>
                    <w:bottom w:val="nil"/>
                    <w:right w:val="nil"/>
                  </w:tcBorders>
                  <w:vAlign w:val="bottom"/>
                </w:tcPr>
                <w:p w14:paraId="4CF269FF" w14:textId="77777777" w:rsidR="003B5013" w:rsidRPr="00950178" w:rsidRDefault="003B5013" w:rsidP="00AF1C52">
                  <w:pPr>
                    <w:spacing w:before="100" w:after="100"/>
                    <w:jc w:val="center"/>
                    <w:rPr>
                      <w:noProof/>
                      <w:lang w:val="en-IE"/>
                    </w:rPr>
                  </w:pPr>
                  <w:r w:rsidRPr="00950178">
                    <w:rPr>
                      <w:noProof/>
                      <w:lang w:val="en-IE"/>
                    </w:rPr>
                    <w:t>153.3</w:t>
                  </w:r>
                </w:p>
              </w:tc>
            </w:tr>
          </w:tbl>
          <w:p w14:paraId="4BC84544" w14:textId="77777777" w:rsidR="003B5013" w:rsidRPr="00950178" w:rsidRDefault="003B501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3B5013" w:rsidRPr="00950178" w14:paraId="33D5390C" w14:textId="77777777" w:rsidTr="00AF1C52">
              <w:trPr>
                <w:trHeight w:val="285"/>
              </w:trPr>
              <w:tc>
                <w:tcPr>
                  <w:tcW w:w="2290" w:type="dxa"/>
                  <w:tcBorders>
                    <w:top w:val="nil"/>
                    <w:left w:val="nil"/>
                    <w:bottom w:val="nil"/>
                    <w:right w:val="nil"/>
                  </w:tcBorders>
                  <w:vAlign w:val="bottom"/>
                </w:tcPr>
                <w:p w14:paraId="5D16194B" w14:textId="77777777" w:rsidR="003B5013" w:rsidRPr="00950178" w:rsidRDefault="003B5013" w:rsidP="00AF1C52">
                  <w:pPr>
                    <w:spacing w:before="100" w:after="100"/>
                    <w:jc w:val="center"/>
                    <w:rPr>
                      <w:noProof/>
                      <w:lang w:val="en-IE"/>
                    </w:rPr>
                  </w:pPr>
                  <w:r w:rsidRPr="00950178">
                    <w:rPr>
                      <w:noProof/>
                      <w:lang w:val="en-IE"/>
                    </w:rPr>
                    <w:t>154.4</w:t>
                  </w:r>
                </w:p>
              </w:tc>
            </w:tr>
          </w:tbl>
          <w:p w14:paraId="15FA634B" w14:textId="77777777" w:rsidR="003B5013" w:rsidRPr="00950178" w:rsidRDefault="003B501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3B5013" w:rsidRPr="00950178" w14:paraId="7C7C7B1B" w14:textId="77777777" w:rsidTr="00AF1C52">
              <w:trPr>
                <w:trHeight w:val="285"/>
              </w:trPr>
              <w:tc>
                <w:tcPr>
                  <w:tcW w:w="2290" w:type="dxa"/>
                  <w:tcBorders>
                    <w:top w:val="nil"/>
                    <w:left w:val="nil"/>
                    <w:bottom w:val="nil"/>
                    <w:right w:val="nil"/>
                  </w:tcBorders>
                  <w:vAlign w:val="bottom"/>
                </w:tcPr>
                <w:p w14:paraId="41BFF73B" w14:textId="77777777" w:rsidR="003B5013" w:rsidRPr="00950178" w:rsidRDefault="003B5013" w:rsidP="00AF1C52">
                  <w:pPr>
                    <w:spacing w:before="100" w:after="100"/>
                    <w:jc w:val="center"/>
                    <w:rPr>
                      <w:noProof/>
                      <w:lang w:val="en-IE"/>
                    </w:rPr>
                  </w:pPr>
                  <w:r w:rsidRPr="00950178">
                    <w:rPr>
                      <w:noProof/>
                      <w:lang w:val="en-IE"/>
                    </w:rPr>
                    <w:t>99%</w:t>
                  </w:r>
                </w:p>
              </w:tc>
            </w:tr>
          </w:tbl>
          <w:p w14:paraId="4E8BB17F" w14:textId="77777777" w:rsidR="003B5013" w:rsidRPr="00950178" w:rsidRDefault="003B501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r>
      <w:tr w:rsidR="003B5013" w:rsidRPr="00950178" w14:paraId="72C5B049"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0BEA111E" w14:textId="77777777" w:rsidR="003B5013" w:rsidRPr="00950178" w:rsidRDefault="003B5013" w:rsidP="00AF1C52">
            <w:pPr>
              <w:jc w:val="center"/>
              <w:rPr>
                <w:noProof/>
                <w:lang w:val="en-IE"/>
              </w:rPr>
            </w:pPr>
            <w:r w:rsidRPr="00950178">
              <w:rPr>
                <w:noProof/>
                <w:lang w:val="en-IE"/>
              </w:rPr>
              <w:t>Payments</w:t>
            </w:r>
          </w:p>
        </w:tc>
        <w:tc>
          <w:tcPr>
            <w:tcW w:w="2410" w:type="dxa"/>
          </w:tcPr>
          <w:tbl>
            <w:tblPr>
              <w:tblStyle w:val="TableGrid"/>
              <w:tblW w:w="0" w:type="auto"/>
              <w:tblLook w:val="06A0" w:firstRow="1" w:lastRow="0" w:firstColumn="1" w:lastColumn="0" w:noHBand="1" w:noVBand="1"/>
            </w:tblPr>
            <w:tblGrid>
              <w:gridCol w:w="2194"/>
            </w:tblGrid>
            <w:tr w:rsidR="003B5013" w:rsidRPr="00950178" w14:paraId="58BB5949" w14:textId="77777777" w:rsidTr="00AF1C52">
              <w:trPr>
                <w:trHeight w:val="285"/>
              </w:trPr>
              <w:tc>
                <w:tcPr>
                  <w:tcW w:w="2290" w:type="dxa"/>
                  <w:tcBorders>
                    <w:top w:val="nil"/>
                    <w:left w:val="nil"/>
                    <w:bottom w:val="nil"/>
                    <w:right w:val="nil"/>
                  </w:tcBorders>
                  <w:vAlign w:val="bottom"/>
                </w:tcPr>
                <w:p w14:paraId="2D9F70E9" w14:textId="77777777" w:rsidR="003B5013" w:rsidRPr="00950178" w:rsidRDefault="003B5013" w:rsidP="00AF1C52">
                  <w:pPr>
                    <w:spacing w:before="100" w:after="100"/>
                    <w:jc w:val="center"/>
                    <w:rPr>
                      <w:noProof/>
                      <w:lang w:val="en-IE"/>
                    </w:rPr>
                  </w:pPr>
                  <w:r w:rsidRPr="00950178">
                    <w:rPr>
                      <w:noProof/>
                      <w:lang w:val="en-IE"/>
                    </w:rPr>
                    <w:t>126.0</w:t>
                  </w:r>
                </w:p>
              </w:tc>
            </w:tr>
          </w:tbl>
          <w:p w14:paraId="265D19AA" w14:textId="77777777" w:rsidR="003B5013" w:rsidRPr="00950178" w:rsidRDefault="003B501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p w14:paraId="5CAE67EC" w14:textId="77777777" w:rsidR="003B5013" w:rsidRPr="00950178" w:rsidRDefault="003B501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3B5013" w:rsidRPr="00950178" w14:paraId="04AAE8FE" w14:textId="77777777" w:rsidTr="00AF1C52">
              <w:trPr>
                <w:trHeight w:val="285"/>
              </w:trPr>
              <w:tc>
                <w:tcPr>
                  <w:tcW w:w="2235" w:type="dxa"/>
                  <w:tcBorders>
                    <w:top w:val="nil"/>
                    <w:left w:val="nil"/>
                    <w:bottom w:val="nil"/>
                    <w:right w:val="nil"/>
                  </w:tcBorders>
                  <w:vAlign w:val="bottom"/>
                </w:tcPr>
                <w:p w14:paraId="29D5A86B" w14:textId="77777777" w:rsidR="003B5013" w:rsidRPr="00950178" w:rsidRDefault="003B5013" w:rsidP="00AF1C52">
                  <w:pPr>
                    <w:spacing w:before="100" w:after="100"/>
                    <w:jc w:val="center"/>
                    <w:rPr>
                      <w:noProof/>
                      <w:lang w:val="en-IE"/>
                    </w:rPr>
                  </w:pPr>
                  <w:r w:rsidRPr="00950178">
                    <w:rPr>
                      <w:noProof/>
                      <w:lang w:val="en-IE"/>
                    </w:rPr>
                    <w:t>82%</w:t>
                  </w:r>
                </w:p>
              </w:tc>
            </w:tr>
          </w:tbl>
          <w:p w14:paraId="2BB8FCC4" w14:textId="77777777" w:rsidR="003B5013" w:rsidRPr="00950178" w:rsidRDefault="003B501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r>
    </w:tbl>
    <w:p w14:paraId="2508CC7E" w14:textId="77777777" w:rsidR="003B5013" w:rsidRPr="00950178" w:rsidRDefault="003B5013" w:rsidP="003B5013">
      <w:pPr>
        <w:pStyle w:val="ppoListHyphened-L1"/>
        <w:numPr>
          <w:ilvl w:val="0"/>
          <w:numId w:val="0"/>
        </w:numPr>
        <w:ind w:left="357" w:hanging="357"/>
        <w:rPr>
          <w:noProof/>
          <w:lang w:val="en-IE"/>
        </w:rPr>
      </w:pPr>
    </w:p>
    <w:p w14:paraId="5D99CDDF" w14:textId="77777777" w:rsidR="003B5013" w:rsidRPr="00950178" w:rsidRDefault="003B5013" w:rsidP="003B5013">
      <w:pPr>
        <w:pStyle w:val="ppoListHyphened-L1"/>
        <w:rPr>
          <w:noProof/>
          <w:lang w:val="en-IE"/>
        </w:rPr>
      </w:pPr>
      <w:r w:rsidRPr="00950178">
        <w:rPr>
          <w:noProof/>
          <w:lang w:val="en-IE"/>
        </w:rPr>
        <w:t>Note: Due to the intertwined budgetary nature of the previous programmes, this section presents a combined cumulative implementation rate of both predecessor 2014-2020 programmes, AFIS and Hercule</w:t>
      </w:r>
      <w:r w:rsidRPr="00950178">
        <w:rPr>
          <w:rFonts w:ascii="Calibri" w:hAnsi="Calibri" w:cs="Calibri"/>
          <w:noProof/>
          <w:lang w:val="en-IE"/>
        </w:rPr>
        <w:t> </w:t>
      </w:r>
      <w:r w:rsidRPr="00950178">
        <w:rPr>
          <w:noProof/>
          <w:lang w:val="en-IE"/>
        </w:rPr>
        <w:t xml:space="preserve">III. </w:t>
      </w:r>
    </w:p>
    <w:p w14:paraId="707BC484" w14:textId="77777777" w:rsidR="003B5013" w:rsidRPr="00950178" w:rsidRDefault="003B5013" w:rsidP="003B5013">
      <w:pPr>
        <w:pStyle w:val="ppoListHyphened-L1"/>
        <w:spacing w:before="360"/>
        <w:rPr>
          <w:noProof/>
          <w:lang w:val="en-IE"/>
        </w:rPr>
      </w:pPr>
      <w:r w:rsidRPr="00950178">
        <w:rPr>
          <w:noProof/>
          <w:lang w:val="en-IE"/>
        </w:rPr>
        <w:t>AFIS and Hercule</w:t>
      </w:r>
      <w:r w:rsidRPr="00950178">
        <w:rPr>
          <w:rFonts w:ascii="Calibri" w:hAnsi="Calibri" w:cs="Calibri"/>
          <w:noProof/>
          <w:lang w:val="en-IE"/>
        </w:rPr>
        <w:t> </w:t>
      </w:r>
      <w:r w:rsidRPr="00950178">
        <w:rPr>
          <w:noProof/>
          <w:lang w:val="en-IE"/>
        </w:rPr>
        <w:t>III consumed 99% of the available commitment appropriations and 82%of the available payment appropriations. The remaining payment appropriations are planned to be used for cost claims of ongoing grants.</w:t>
      </w:r>
    </w:p>
    <w:p w14:paraId="572EFA5B" w14:textId="77777777" w:rsidR="003B5013" w:rsidRPr="00950178" w:rsidRDefault="003B5013" w:rsidP="003B5013">
      <w:pPr>
        <w:pStyle w:val="ppoHeading5"/>
        <w:rPr>
          <w:noProof/>
          <w:lang w:val="en-IE"/>
        </w:rPr>
      </w:pPr>
      <w:r w:rsidRPr="00950178">
        <w:rPr>
          <w:noProof/>
          <w:lang w:val="en-IE"/>
        </w:rPr>
        <w:t xml:space="preserve"> Performance assessment</w:t>
      </w:r>
    </w:p>
    <w:p w14:paraId="40475F62" w14:textId="77777777" w:rsidR="003B5013" w:rsidRPr="00950178" w:rsidRDefault="003B5013" w:rsidP="003B5013">
      <w:pPr>
        <w:pStyle w:val="ppoHeading6"/>
        <w:rPr>
          <w:noProof/>
          <w:lang w:val="en-IE"/>
        </w:rPr>
      </w:pPr>
      <w:r w:rsidRPr="00950178">
        <w:rPr>
          <w:noProof/>
          <w:lang w:val="en-IE"/>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3B5013" w:rsidRPr="00950178" w14:paraId="59E1A565" w14:textId="77777777" w:rsidTr="00AF1C52">
        <w:trPr>
          <w:cnfStyle w:val="100000000000" w:firstRow="1" w:lastRow="0" w:firstColumn="0" w:lastColumn="0" w:oddVBand="0" w:evenVBand="0" w:oddHBand="0" w:evenHBand="0" w:firstRowFirstColumn="0" w:firstRowLastColumn="0" w:lastRowFirstColumn="0" w:lastRowLastColumn="0"/>
        </w:trPr>
        <w:tc>
          <w:tcPr>
            <w:tcW w:w="2330" w:type="dxa"/>
          </w:tcPr>
          <w:p w14:paraId="0D2302C7" w14:textId="77777777" w:rsidR="003B5013" w:rsidRPr="00950178" w:rsidRDefault="003B5013" w:rsidP="00AF1C52">
            <w:pPr>
              <w:rPr>
                <w:noProof/>
                <w:lang w:val="en-IE"/>
              </w:rPr>
            </w:pPr>
          </w:p>
        </w:tc>
        <w:tc>
          <w:tcPr>
            <w:tcW w:w="1100" w:type="dxa"/>
          </w:tcPr>
          <w:p w14:paraId="132E4D69" w14:textId="77777777" w:rsidR="003B5013" w:rsidRPr="00950178" w:rsidRDefault="003B5013" w:rsidP="00AF1C52">
            <w:pPr>
              <w:rPr>
                <w:noProof/>
                <w:lang w:val="en-IE"/>
              </w:rPr>
            </w:pPr>
            <w:r w:rsidRPr="00950178">
              <w:rPr>
                <w:noProof/>
                <w:lang w:val="en-IE"/>
              </w:rPr>
              <w:t>Baseline</w:t>
            </w:r>
          </w:p>
        </w:tc>
        <w:tc>
          <w:tcPr>
            <w:tcW w:w="1526" w:type="dxa"/>
          </w:tcPr>
          <w:p w14:paraId="725C62B3" w14:textId="77777777" w:rsidR="003B5013" w:rsidRPr="00DE538D" w:rsidRDefault="003B5013" w:rsidP="00AF1C52">
            <w:pPr>
              <w:rPr>
                <w:rFonts w:ascii="Calibri" w:hAnsi="Calibri" w:cs="Calibri"/>
                <w:noProof/>
                <w:lang w:val="en-IE"/>
              </w:rPr>
            </w:pPr>
            <w:r w:rsidRPr="00950178">
              <w:rPr>
                <w:noProof/>
                <w:lang w:val="en-IE"/>
              </w:rPr>
              <w:t>Progress</w:t>
            </w:r>
            <w:r w:rsidRPr="00950178">
              <w:rPr>
                <w:rFonts w:ascii="Calibri" w:hAnsi="Calibri" w:cs="Calibri"/>
                <w:noProof/>
                <w:lang w:val="en-IE"/>
              </w:rPr>
              <w:t> </w:t>
            </w:r>
            <w:r w:rsidRPr="00DE538D">
              <w:rPr>
                <w:rFonts w:cs="Calibri"/>
                <w:noProof/>
                <w:lang w:val="en-IE"/>
              </w:rPr>
              <w:t>(*)</w:t>
            </w:r>
          </w:p>
        </w:tc>
        <w:tc>
          <w:tcPr>
            <w:tcW w:w="1532" w:type="dxa"/>
          </w:tcPr>
          <w:p w14:paraId="5D4357A6" w14:textId="77777777" w:rsidR="003B5013" w:rsidRPr="00950178" w:rsidRDefault="003B5013" w:rsidP="00AF1C52">
            <w:pPr>
              <w:rPr>
                <w:noProof/>
                <w:lang w:val="en-IE"/>
              </w:rPr>
            </w:pPr>
            <w:r w:rsidRPr="00950178">
              <w:rPr>
                <w:noProof/>
                <w:lang w:val="en-IE"/>
              </w:rPr>
              <w:t>Target</w:t>
            </w:r>
          </w:p>
        </w:tc>
        <w:tc>
          <w:tcPr>
            <w:tcW w:w="1572" w:type="dxa"/>
          </w:tcPr>
          <w:p w14:paraId="7B86676C" w14:textId="77777777" w:rsidR="003B5013" w:rsidRPr="00950178" w:rsidRDefault="003B5013" w:rsidP="00AF1C52">
            <w:pPr>
              <w:rPr>
                <w:noProof/>
                <w:lang w:val="en-IE"/>
              </w:rPr>
            </w:pPr>
            <w:r w:rsidRPr="00950178">
              <w:rPr>
                <w:noProof/>
                <w:lang w:val="en-IE"/>
              </w:rPr>
              <w:t>Results</w:t>
            </w:r>
          </w:p>
        </w:tc>
        <w:tc>
          <w:tcPr>
            <w:tcW w:w="1579" w:type="dxa"/>
          </w:tcPr>
          <w:p w14:paraId="6E3A9E8E" w14:textId="77777777" w:rsidR="003B5013" w:rsidRPr="00950178" w:rsidRDefault="003B5013" w:rsidP="00AF1C52">
            <w:pPr>
              <w:rPr>
                <w:noProof/>
                <w:lang w:val="en-IE"/>
              </w:rPr>
            </w:pPr>
            <w:r w:rsidRPr="00950178">
              <w:rPr>
                <w:noProof/>
                <w:lang w:val="en-IE"/>
              </w:rPr>
              <w:t>Assessment</w:t>
            </w:r>
          </w:p>
        </w:tc>
      </w:tr>
      <w:tr w:rsidR="003B5013" w:rsidRPr="00950178" w14:paraId="4150BD9D" w14:textId="77777777" w:rsidTr="00AF1C52">
        <w:trPr>
          <w:cnfStyle w:val="000000100000" w:firstRow="0" w:lastRow="0" w:firstColumn="0" w:lastColumn="0" w:oddVBand="0" w:evenVBand="0" w:oddHBand="1" w:evenHBand="0" w:firstRowFirstColumn="0" w:firstRowLastColumn="0" w:lastRowFirstColumn="0" w:lastRowLastColumn="0"/>
        </w:trPr>
        <w:tc>
          <w:tcPr>
            <w:tcW w:w="2330" w:type="dxa"/>
          </w:tcPr>
          <w:p w14:paraId="4092FE9D" w14:textId="77777777" w:rsidR="003B5013" w:rsidRPr="00950178" w:rsidRDefault="003B5013" w:rsidP="00AF1C52">
            <w:pPr>
              <w:rPr>
                <w:noProof/>
                <w:lang w:val="en-IE"/>
              </w:rPr>
            </w:pPr>
            <w:r w:rsidRPr="00950178">
              <w:rPr>
                <w:noProof/>
                <w:lang w:val="en-IE"/>
              </w:rPr>
              <w:t>Percentage of users who felt that the use of Hercule</w:t>
            </w:r>
            <w:r w:rsidRPr="00950178">
              <w:rPr>
                <w:rFonts w:ascii="Calibri" w:hAnsi="Calibri" w:cs="Calibri"/>
                <w:noProof/>
                <w:lang w:val="en-IE"/>
              </w:rPr>
              <w:t> </w:t>
            </w:r>
            <w:r w:rsidRPr="00950178">
              <w:rPr>
                <w:noProof/>
                <w:lang w:val="en-IE"/>
              </w:rPr>
              <w:t>III-funded equipment added value to their activities</w:t>
            </w:r>
          </w:p>
        </w:tc>
        <w:tc>
          <w:tcPr>
            <w:tcW w:w="1100" w:type="dxa"/>
          </w:tcPr>
          <w:p w14:paraId="623EAE97" w14:textId="77777777" w:rsidR="003B5013" w:rsidRPr="00950178" w:rsidRDefault="003B5013" w:rsidP="00AF1C52">
            <w:pPr>
              <w:jc w:val="center"/>
              <w:rPr>
                <w:noProof/>
                <w:lang w:val="en-IE"/>
              </w:rPr>
            </w:pPr>
            <w:r w:rsidRPr="00950178">
              <w:rPr>
                <w:noProof/>
                <w:lang w:val="en-IE"/>
              </w:rPr>
              <w:t>0%</w:t>
            </w:r>
          </w:p>
        </w:tc>
        <w:tc>
          <w:tcPr>
            <w:tcW w:w="1526" w:type="dxa"/>
          </w:tcPr>
          <w:p w14:paraId="19BCC3BB" w14:textId="77777777" w:rsidR="003B5013" w:rsidRPr="00950178" w:rsidRDefault="003B5013" w:rsidP="00AF1C52">
            <w:pPr>
              <w:jc w:val="center"/>
              <w:rPr>
                <w:b/>
                <w:noProof/>
                <w:lang w:val="en-IE"/>
              </w:rPr>
            </w:pPr>
            <w:r w:rsidRPr="00950178">
              <w:rPr>
                <w:noProof/>
                <w:lang w:val="en-IE"/>
              </w:rPr>
              <w:t>&gt;</w:t>
            </w:r>
            <w:r w:rsidRPr="00950178">
              <w:rPr>
                <w:rFonts w:ascii="Calibri" w:hAnsi="Calibri" w:cs="Calibri"/>
                <w:noProof/>
                <w:lang w:val="en-IE"/>
              </w:rPr>
              <w:t> </w:t>
            </w:r>
            <w:r w:rsidRPr="00950178">
              <w:rPr>
                <w:noProof/>
                <w:lang w:val="en-IE"/>
              </w:rPr>
              <w:t>100%</w:t>
            </w:r>
          </w:p>
        </w:tc>
        <w:tc>
          <w:tcPr>
            <w:tcW w:w="1532" w:type="dxa"/>
          </w:tcPr>
          <w:p w14:paraId="79AD8D7C" w14:textId="77777777" w:rsidR="003B5013" w:rsidRPr="00950178" w:rsidRDefault="003B5013" w:rsidP="00AF1C52">
            <w:pPr>
              <w:jc w:val="center"/>
              <w:rPr>
                <w:noProof/>
                <w:lang w:val="en-IE"/>
              </w:rPr>
            </w:pPr>
            <w:r w:rsidRPr="00950178">
              <w:rPr>
                <w:noProof/>
                <w:lang w:val="en-IE"/>
              </w:rPr>
              <w:t>75%</w:t>
            </w:r>
          </w:p>
        </w:tc>
        <w:tc>
          <w:tcPr>
            <w:tcW w:w="1572" w:type="dxa"/>
          </w:tcPr>
          <w:p w14:paraId="1219C2DD" w14:textId="77777777" w:rsidR="003B5013" w:rsidRPr="00950178" w:rsidRDefault="003B5013" w:rsidP="00AF1C52">
            <w:pPr>
              <w:jc w:val="center"/>
              <w:rPr>
                <w:noProof/>
                <w:lang w:val="en-IE"/>
              </w:rPr>
            </w:pPr>
            <w:r w:rsidRPr="00950178">
              <w:rPr>
                <w:noProof/>
                <w:lang w:val="en-IE"/>
              </w:rPr>
              <w:t>97% of beneficiaries compared to a target of 75%</w:t>
            </w:r>
          </w:p>
        </w:tc>
        <w:tc>
          <w:tcPr>
            <w:tcW w:w="1579" w:type="dxa"/>
          </w:tcPr>
          <w:p w14:paraId="015552A9" w14:textId="77777777" w:rsidR="003B5013" w:rsidRPr="00950178" w:rsidRDefault="003B5013" w:rsidP="00AF1C52">
            <w:pPr>
              <w:jc w:val="center"/>
              <w:rPr>
                <w:noProof/>
                <w:lang w:val="en-IE"/>
              </w:rPr>
            </w:pPr>
            <w:r w:rsidRPr="00950178">
              <w:rPr>
                <w:noProof/>
                <w:lang w:val="en-IE"/>
              </w:rPr>
              <w:t>On track</w:t>
            </w:r>
          </w:p>
        </w:tc>
      </w:tr>
      <w:tr w:rsidR="003B5013" w:rsidRPr="00950178" w14:paraId="36E78426" w14:textId="77777777" w:rsidTr="00AF1C52">
        <w:trPr>
          <w:cnfStyle w:val="000000010000" w:firstRow="0" w:lastRow="0" w:firstColumn="0" w:lastColumn="0" w:oddVBand="0" w:evenVBand="0" w:oddHBand="0" w:evenHBand="1" w:firstRowFirstColumn="0" w:firstRowLastColumn="0" w:lastRowFirstColumn="0" w:lastRowLastColumn="0"/>
        </w:trPr>
        <w:tc>
          <w:tcPr>
            <w:tcW w:w="2330" w:type="dxa"/>
          </w:tcPr>
          <w:p w14:paraId="51870DEC" w14:textId="77777777" w:rsidR="003B5013" w:rsidRPr="00950178" w:rsidRDefault="003B5013" w:rsidP="00AF1C52">
            <w:pPr>
              <w:rPr>
                <w:noProof/>
                <w:lang w:val="en-IE"/>
              </w:rPr>
            </w:pPr>
            <w:r w:rsidRPr="00950178">
              <w:rPr>
                <w:noProof/>
                <w:lang w:val="en-IE"/>
              </w:rPr>
              <w:t>Satisfaction rate for training activities funded, including specialised training events</w:t>
            </w:r>
          </w:p>
        </w:tc>
        <w:tc>
          <w:tcPr>
            <w:tcW w:w="1100" w:type="dxa"/>
          </w:tcPr>
          <w:p w14:paraId="452DEC87" w14:textId="71FE8862" w:rsidR="003B5013" w:rsidRPr="00950178" w:rsidRDefault="00581D88" w:rsidP="00AF1C52">
            <w:pPr>
              <w:jc w:val="center"/>
              <w:rPr>
                <w:noProof/>
                <w:lang w:val="en-IE"/>
              </w:rPr>
            </w:pPr>
            <w:r>
              <w:rPr>
                <w:noProof/>
                <w:lang w:val="en-IE"/>
              </w:rPr>
              <w:t>6</w:t>
            </w:r>
            <w:r w:rsidR="003B5013" w:rsidRPr="00950178">
              <w:rPr>
                <w:noProof/>
                <w:lang w:val="en-IE"/>
              </w:rPr>
              <w:t>0%</w:t>
            </w:r>
          </w:p>
        </w:tc>
        <w:tc>
          <w:tcPr>
            <w:tcW w:w="1526" w:type="dxa"/>
          </w:tcPr>
          <w:p w14:paraId="0DD7D010" w14:textId="77777777" w:rsidR="003B5013" w:rsidRPr="00950178" w:rsidRDefault="003B5013" w:rsidP="00AF1C52">
            <w:pPr>
              <w:jc w:val="center"/>
              <w:rPr>
                <w:b/>
                <w:noProof/>
                <w:lang w:val="en-IE"/>
              </w:rPr>
            </w:pPr>
            <w:r w:rsidRPr="00950178">
              <w:rPr>
                <w:noProof/>
                <w:lang w:val="en-IE"/>
              </w:rPr>
              <w:t>&gt;</w:t>
            </w:r>
            <w:r w:rsidRPr="00950178">
              <w:rPr>
                <w:rFonts w:ascii="Calibri" w:hAnsi="Calibri" w:cs="Calibri"/>
                <w:noProof/>
                <w:lang w:val="en-IE"/>
              </w:rPr>
              <w:t> </w:t>
            </w:r>
            <w:r w:rsidRPr="00950178">
              <w:rPr>
                <w:noProof/>
                <w:lang w:val="en-IE"/>
              </w:rPr>
              <w:t>100%</w:t>
            </w:r>
            <w:r>
              <w:rPr>
                <w:noProof/>
                <w:lang w:val="en-IE"/>
              </w:rPr>
              <w:t xml:space="preserve"> (**)</w:t>
            </w:r>
          </w:p>
        </w:tc>
        <w:tc>
          <w:tcPr>
            <w:tcW w:w="1532" w:type="dxa"/>
          </w:tcPr>
          <w:p w14:paraId="2B55A133" w14:textId="77777777" w:rsidR="003B5013" w:rsidRPr="00950178" w:rsidRDefault="003B5013" w:rsidP="00AF1C52">
            <w:pPr>
              <w:jc w:val="center"/>
              <w:rPr>
                <w:noProof/>
                <w:lang w:val="en-IE"/>
              </w:rPr>
            </w:pPr>
            <w:r w:rsidRPr="00950178">
              <w:rPr>
                <w:noProof/>
                <w:lang w:val="en-IE"/>
              </w:rPr>
              <w:t>75%</w:t>
            </w:r>
          </w:p>
        </w:tc>
        <w:tc>
          <w:tcPr>
            <w:tcW w:w="1572" w:type="dxa"/>
          </w:tcPr>
          <w:p w14:paraId="0F15DB86" w14:textId="77777777" w:rsidR="003B5013" w:rsidRPr="00950178" w:rsidRDefault="003B5013" w:rsidP="00AF1C52">
            <w:pPr>
              <w:jc w:val="center"/>
              <w:rPr>
                <w:noProof/>
                <w:lang w:val="en-IE"/>
              </w:rPr>
            </w:pPr>
            <w:r w:rsidRPr="00950178">
              <w:rPr>
                <w:noProof/>
                <w:lang w:val="en-IE"/>
              </w:rPr>
              <w:t>94% of beneficiaries compared to a target of 75%</w:t>
            </w:r>
          </w:p>
        </w:tc>
        <w:tc>
          <w:tcPr>
            <w:tcW w:w="1579" w:type="dxa"/>
          </w:tcPr>
          <w:p w14:paraId="54936DC8" w14:textId="77777777" w:rsidR="003B5013" w:rsidRPr="00950178" w:rsidRDefault="003B5013" w:rsidP="00AF1C52">
            <w:pPr>
              <w:jc w:val="center"/>
              <w:rPr>
                <w:noProof/>
                <w:lang w:val="en-IE"/>
              </w:rPr>
            </w:pPr>
            <w:r w:rsidRPr="00950178">
              <w:rPr>
                <w:noProof/>
                <w:lang w:val="en-IE"/>
              </w:rPr>
              <w:t>On track</w:t>
            </w:r>
          </w:p>
        </w:tc>
      </w:tr>
    </w:tbl>
    <w:p w14:paraId="6AC56E42" w14:textId="77777777" w:rsidR="003B5013" w:rsidRPr="00950178" w:rsidRDefault="003B5013" w:rsidP="003B5013">
      <w:pPr>
        <w:pStyle w:val="FootnoteText"/>
        <w:rPr>
          <w:noProof/>
          <w:lang w:val="en-IE"/>
        </w:rPr>
      </w:pPr>
      <w:r w:rsidRPr="00950178">
        <w:rPr>
          <w:noProof/>
          <w:lang w:val="en-IE"/>
        </w:rPr>
        <w:t xml:space="preserve">(*) </w:t>
      </w:r>
      <w:r w:rsidRPr="00950178">
        <w:rPr>
          <w:noProof/>
          <w:lang w:val="en-IE"/>
        </w:rPr>
        <w:tab/>
        <w:t>% of target achieved by the end of 2021.</w:t>
      </w:r>
    </w:p>
    <w:p w14:paraId="3323CC9E" w14:textId="77777777" w:rsidR="003B5013" w:rsidRPr="00950178" w:rsidRDefault="003B5013" w:rsidP="003B5013">
      <w:pPr>
        <w:pStyle w:val="FootnoteText"/>
        <w:rPr>
          <w:noProof/>
          <w:lang w:val="en-IE"/>
        </w:rPr>
      </w:pPr>
      <w:r>
        <w:rPr>
          <w:noProof/>
          <w:lang w:val="en-IE"/>
        </w:rPr>
        <w:t>(**</w:t>
      </w:r>
      <w:r w:rsidRPr="00950178">
        <w:rPr>
          <w:noProof/>
          <w:lang w:val="en-IE"/>
        </w:rPr>
        <w:t xml:space="preserve">) </w:t>
      </w:r>
      <w:r w:rsidRPr="00950178">
        <w:rPr>
          <w:noProof/>
          <w:lang w:val="en-IE"/>
        </w:rPr>
        <w:tab/>
        <w:t>% of target achieved by the end of 2020.</w:t>
      </w:r>
    </w:p>
    <w:p w14:paraId="7F6D9FF0" w14:textId="77777777" w:rsidR="003B5013" w:rsidRPr="00950178" w:rsidRDefault="003B5013" w:rsidP="003B5013">
      <w:pPr>
        <w:pStyle w:val="ppoListHyphened-L1"/>
        <w:rPr>
          <w:noProof/>
          <w:lang w:val="en-IE"/>
        </w:rPr>
      </w:pPr>
      <w:r w:rsidRPr="00950178">
        <w:rPr>
          <w:noProof/>
          <w:lang w:val="en-IE"/>
        </w:rPr>
        <w:t>The exceptional pandemic circumstances of 2020-2021 had an important impact on the general implementation of the programme, especially in terms of training and conferences activities. The beneficiaries of grants were, in most cases, unable to continue with the implementation of their projects as foreseen (both the purchase of technical equipment and the training, conferences and staff exchanges were in many cases delayed). OLAF offered its support in postponing the project’s implementation and amending the contracts.</w:t>
      </w:r>
    </w:p>
    <w:p w14:paraId="2B9DB286" w14:textId="77777777" w:rsidR="003B5013" w:rsidRPr="00950178" w:rsidRDefault="003B5013" w:rsidP="003B5013">
      <w:pPr>
        <w:pStyle w:val="ppoListHyphened-L1"/>
        <w:rPr>
          <w:noProof/>
          <w:lang w:val="en-IE"/>
        </w:rPr>
      </w:pPr>
      <w:r w:rsidRPr="00950178">
        <w:rPr>
          <w:noProof/>
          <w:lang w:val="en-IE"/>
        </w:rPr>
        <w:t>The programme performed above expectations with regard to the added value and effective use of co-financed technical equipment, expressed by the number of direct users of the equipment in their final technical reports. The final reports received in 2021 show an overall satisfaction rate of 97%, significantly above the target.</w:t>
      </w:r>
    </w:p>
    <w:p w14:paraId="5BD68DBA" w14:textId="77777777" w:rsidR="003B5013" w:rsidRPr="00950178" w:rsidRDefault="003B5013" w:rsidP="003B5013">
      <w:pPr>
        <w:pStyle w:val="ppoListHyphened-L1"/>
        <w:rPr>
          <w:noProof/>
          <w:lang w:val="en-IE"/>
        </w:rPr>
      </w:pPr>
      <w:r w:rsidRPr="00950178">
        <w:rPr>
          <w:noProof/>
          <w:lang w:val="en-IE"/>
        </w:rPr>
        <w:t>In parallel, the satisfaction rate of the number and type of trainings activities funded under the programme reached 94%, thus also significantly exceeding the target. In 2020, the programme awarded 24 grants for training-related activities. Due to the pandemic, most of the trainings and conferences initially planned for 2020 (both grant and procurement contracts) were postponed to 2021. 15 trainings and conferences were organised, mostly in a virtual or hybrid mode. Two of them took place with physical presence.</w:t>
      </w:r>
    </w:p>
    <w:p w14:paraId="3E6A0581" w14:textId="77777777" w:rsidR="0075432A" w:rsidRDefault="003B5013" w:rsidP="0075432A">
      <w:pPr>
        <w:pStyle w:val="ppoListHyphened-L1"/>
        <w:rPr>
          <w:noProof/>
          <w:lang w:val="en-IE"/>
        </w:rPr>
      </w:pPr>
      <w:r w:rsidRPr="00950178">
        <w:rPr>
          <w:noProof/>
          <w:lang w:val="en-IE"/>
        </w:rPr>
        <w:t>Following the successful publication and evaluation of the 2020 calls for proposals, unused amounts earmarked for procured activities in the 2020 budget were transferred to grants. EUR</w:t>
      </w:r>
      <w:r w:rsidRPr="00950178">
        <w:rPr>
          <w:rFonts w:ascii="Calibri" w:hAnsi="Calibri" w:cs="Calibri"/>
          <w:noProof/>
          <w:lang w:val="en-IE"/>
        </w:rPr>
        <w:t> </w:t>
      </w:r>
      <w:r w:rsidRPr="00950178">
        <w:rPr>
          <w:noProof/>
          <w:lang w:val="en-IE"/>
        </w:rPr>
        <w:t>2</w:t>
      </w:r>
      <w:r w:rsidRPr="00950178">
        <w:rPr>
          <w:rFonts w:ascii="Calibri" w:hAnsi="Calibri" w:cs="Calibri"/>
          <w:noProof/>
          <w:lang w:val="en-IE"/>
        </w:rPr>
        <w:t> </w:t>
      </w:r>
      <w:r w:rsidRPr="00950178">
        <w:rPr>
          <w:noProof/>
          <w:lang w:val="en-IE"/>
        </w:rPr>
        <w:t>million were transferred from procured activities to grants, representing approximately 12% of the total budget for the year. This ensured an efficient implementation of available operational funds and allowed grant awards to the best-ranked applications across the three calls. These grant contracts are currently being implemented, covering 2021-2022.</w:t>
      </w:r>
    </w:p>
    <w:p w14:paraId="20450CB4" w14:textId="77777777" w:rsidR="0075432A" w:rsidRDefault="003B5013" w:rsidP="0075432A">
      <w:pPr>
        <w:pStyle w:val="ppoListHyphened-L1"/>
        <w:rPr>
          <w:noProof/>
          <w:lang w:val="en-IE"/>
        </w:rPr>
        <w:sectPr w:rsidR="0075432A" w:rsidSect="003B5013">
          <w:headerReference w:type="even" r:id="rId156"/>
          <w:headerReference w:type="default" r:id="rId157"/>
          <w:footerReference w:type="even" r:id="rId158"/>
          <w:footerReference w:type="default" r:id="rId159"/>
          <w:headerReference w:type="first" r:id="rId160"/>
          <w:footerReference w:type="first" r:id="rId161"/>
          <w:pgSz w:w="11906" w:h="16838" w:code="9"/>
          <w:pgMar w:top="1134" w:right="1134" w:bottom="964" w:left="1134" w:header="431" w:footer="431" w:gutter="0"/>
          <w:cols w:space="720"/>
          <w:titlePg/>
          <w:docGrid w:linePitch="360"/>
        </w:sectPr>
      </w:pPr>
      <w:r w:rsidRPr="0075432A">
        <w:rPr>
          <w:noProof/>
          <w:lang w:val="en-IE"/>
        </w:rPr>
        <w:t>The access to commercial databases (such as company data, trade data and vessel and maritime movement) and analytical information technology tools continued to be provided to Member State authorities, by signing specific contracts under the existing framework contracts with supplier</w:t>
      </w:r>
      <w:r w:rsidR="0075432A">
        <w:rPr>
          <w:noProof/>
          <w:lang w:val="en-IE"/>
        </w:rPr>
        <w:t>s.</w:t>
      </w:r>
    </w:p>
    <w:p w14:paraId="78748315" w14:textId="77777777" w:rsidR="0075432A" w:rsidRPr="00C13C76" w:rsidRDefault="0075432A" w:rsidP="0075432A">
      <w:pPr>
        <w:pStyle w:val="StyleppoHeading3WhiteLeft0cm"/>
        <w:rPr>
          <w:noProof/>
          <w:sz w:val="20"/>
        </w:rPr>
      </w:pPr>
    </w:p>
    <w:p w14:paraId="28D5AE26" w14:textId="77777777" w:rsidR="0075432A" w:rsidRPr="00C13C76" w:rsidRDefault="0075432A" w:rsidP="0075432A">
      <w:pPr>
        <w:pStyle w:val="StyleppoHeading3WhiteLeft0cm"/>
        <w:rPr>
          <w:noProof/>
          <w:sz w:val="60"/>
          <w:szCs w:val="60"/>
        </w:rPr>
      </w:pPr>
      <w:bookmarkStart w:id="84" w:name="_Toc102086338"/>
      <w:r w:rsidRPr="00C13C76">
        <w:rPr>
          <w:noProof/>
          <w:sz w:val="60"/>
          <w:szCs w:val="60"/>
        </w:rPr>
        <w:t>FISCALIS</w:t>
      </w:r>
      <w:bookmarkEnd w:id="84"/>
    </w:p>
    <w:p w14:paraId="2886A27A" w14:textId="77777777" w:rsidR="0075432A" w:rsidRPr="00863F9D" w:rsidRDefault="0075432A" w:rsidP="0075432A">
      <w:pPr>
        <w:pStyle w:val="StyleppoProgrammenameWhiteLeft01cm"/>
        <w:rPr>
          <w:caps/>
          <w:noProof/>
        </w:rPr>
      </w:pPr>
      <w:r w:rsidRPr="00863F9D">
        <w:rPr>
          <w:caps/>
          <w:noProof/>
        </w:rPr>
        <w:t>Action programme for cooperation in the field of taxation in the European Union</w:t>
      </w:r>
    </w:p>
    <w:p w14:paraId="5013DE6A" w14:textId="77777777" w:rsidR="0075432A" w:rsidRPr="00863F9D" w:rsidRDefault="0075432A" w:rsidP="0075432A">
      <w:pPr>
        <w:pStyle w:val="StyleppoProgrammenameWhiteLeft01cm"/>
        <w:rPr>
          <w:noProof/>
        </w:rPr>
        <w:sectPr w:rsidR="0075432A" w:rsidRPr="00863F9D" w:rsidSect="00AF1C52">
          <w:headerReference w:type="even" r:id="rId162"/>
          <w:headerReference w:type="default" r:id="rId163"/>
          <w:footerReference w:type="even" r:id="rId164"/>
          <w:footerReference w:type="default" r:id="rId165"/>
          <w:headerReference w:type="first" r:id="rId166"/>
          <w:footerReference w:type="first" r:id="rId167"/>
          <w:pgSz w:w="11906" w:h="16838" w:code="9"/>
          <w:pgMar w:top="1134" w:right="1134" w:bottom="964" w:left="1134" w:header="431" w:footer="431" w:gutter="0"/>
          <w:cols w:space="720"/>
          <w:docGrid w:linePitch="360"/>
        </w:sectPr>
      </w:pPr>
    </w:p>
    <w:p w14:paraId="254855E9" w14:textId="77777777" w:rsidR="0075432A" w:rsidRPr="00FD310F" w:rsidRDefault="0075432A" w:rsidP="0075432A">
      <w:pPr>
        <w:pStyle w:val="ppoHeading4Orange"/>
        <w:rPr>
          <w:noProof/>
        </w:rPr>
      </w:pPr>
      <w:r w:rsidRPr="00FD310F">
        <w:rPr>
          <w:noProof/>
        </w:rPr>
        <w:t>Programme in a nutshell</w:t>
      </w:r>
    </w:p>
    <w:p w14:paraId="63149778" w14:textId="77777777" w:rsidR="0075432A" w:rsidRPr="00040D99" w:rsidRDefault="0075432A" w:rsidP="0075432A">
      <w:pPr>
        <w:pStyle w:val="ppoHeading5"/>
        <w:rPr>
          <w:noProof/>
        </w:rPr>
      </w:pPr>
      <w:r w:rsidRPr="00040D99">
        <w:rPr>
          <w:noProof/>
        </w:rPr>
        <w:t>Concrete examples of achievements</w:t>
      </w:r>
    </w:p>
    <w:tbl>
      <w:tblPr>
        <w:tblStyle w:val="PPO2021"/>
        <w:tblW w:w="9639" w:type="dxa"/>
        <w:tblInd w:w="0" w:type="dxa"/>
        <w:tblLook w:val="0200" w:firstRow="0" w:lastRow="0" w:firstColumn="0" w:lastColumn="0" w:noHBand="1" w:noVBand="0"/>
      </w:tblPr>
      <w:tblGrid>
        <w:gridCol w:w="2410"/>
        <w:gridCol w:w="2409"/>
        <w:gridCol w:w="2410"/>
        <w:gridCol w:w="2410"/>
      </w:tblGrid>
      <w:tr w:rsidR="0075432A" w:rsidRPr="00040D99" w14:paraId="753A70D2" w14:textId="77777777" w:rsidTr="00AF1C52">
        <w:tc>
          <w:tcPr>
            <w:tcW w:w="2310" w:type="dxa"/>
          </w:tcPr>
          <w:p w14:paraId="2803CFE8" w14:textId="77777777" w:rsidR="0075432A" w:rsidRPr="0076270C" w:rsidRDefault="0075432A" w:rsidP="00AF1C52">
            <w:pPr>
              <w:pStyle w:val="ppoTableacheivementvalue"/>
              <w:rPr>
                <w:noProof/>
              </w:rPr>
            </w:pPr>
            <w:r w:rsidRPr="00981138">
              <w:rPr>
                <w:noProof/>
              </w:rPr>
              <w:t>1</w:t>
            </w:r>
            <w:r>
              <w:rPr>
                <w:rFonts w:ascii="Calibri" w:hAnsi="Calibri" w:cs="Calibri"/>
                <w:noProof/>
              </w:rPr>
              <w:t> </w:t>
            </w:r>
            <w:r w:rsidRPr="00981138">
              <w:rPr>
                <w:noProof/>
              </w:rPr>
              <w:t>707</w:t>
            </w:r>
            <w:r>
              <w:rPr>
                <w:rFonts w:ascii="Calibri" w:hAnsi="Calibri" w:cs="Calibri"/>
                <w:noProof/>
              </w:rPr>
              <w:t> </w:t>
            </w:r>
            <w:r w:rsidRPr="00981138">
              <w:rPr>
                <w:noProof/>
              </w:rPr>
              <w:t>mil</w:t>
            </w:r>
            <w:r>
              <w:rPr>
                <w:noProof/>
              </w:rPr>
              <w:t>l</w:t>
            </w:r>
            <w:r w:rsidRPr="00981138">
              <w:rPr>
                <w:noProof/>
              </w:rPr>
              <w:t>ion</w:t>
            </w:r>
          </w:p>
          <w:p w14:paraId="354BADAE" w14:textId="77777777" w:rsidR="0075432A" w:rsidRPr="0076270C" w:rsidRDefault="0075432A" w:rsidP="00962E3C">
            <w:pPr>
              <w:jc w:val="left"/>
              <w:rPr>
                <w:noProof/>
              </w:rPr>
            </w:pPr>
            <w:r w:rsidRPr="001B2B6D">
              <w:rPr>
                <w:noProof/>
              </w:rPr>
              <w:t xml:space="preserve">messages </w:t>
            </w:r>
            <w:r w:rsidRPr="009B7FEF">
              <w:rPr>
                <w:noProof/>
              </w:rPr>
              <w:t xml:space="preserve">were exchanged </w:t>
            </w:r>
            <w:r w:rsidRPr="001B2B6D">
              <w:rPr>
                <w:noProof/>
              </w:rPr>
              <w:t>on the key European electronic systems and their components.</w:t>
            </w:r>
          </w:p>
        </w:tc>
        <w:tc>
          <w:tcPr>
            <w:cnfStyle w:val="000001000000" w:firstRow="0" w:lastRow="0" w:firstColumn="0" w:lastColumn="0" w:oddVBand="0" w:evenVBand="1" w:oddHBand="0" w:evenHBand="0" w:firstRowFirstColumn="0" w:firstRowLastColumn="0" w:lastRowFirstColumn="0" w:lastRowLastColumn="0"/>
            <w:tcW w:w="2310" w:type="dxa"/>
          </w:tcPr>
          <w:p w14:paraId="3352C11B" w14:textId="77777777" w:rsidR="0075432A" w:rsidRPr="0076270C" w:rsidRDefault="0075432A" w:rsidP="00AF1C52">
            <w:pPr>
              <w:pStyle w:val="ppoTableacheivementvalue"/>
              <w:rPr>
                <w:noProof/>
              </w:rPr>
            </w:pPr>
            <w:r>
              <w:rPr>
                <w:noProof/>
              </w:rPr>
              <w:t>16</w:t>
            </w:r>
            <w:r>
              <w:rPr>
                <w:rFonts w:ascii="Calibri" w:hAnsi="Calibri" w:cs="Calibri"/>
                <w:noProof/>
              </w:rPr>
              <w:t> </w:t>
            </w:r>
            <w:r>
              <w:rPr>
                <w:noProof/>
              </w:rPr>
              <w:t>313</w:t>
            </w:r>
          </w:p>
          <w:p w14:paraId="08C6FAEF" w14:textId="77777777" w:rsidR="0075432A" w:rsidRPr="0076270C" w:rsidRDefault="0075432A" w:rsidP="00962E3C">
            <w:pPr>
              <w:jc w:val="left"/>
              <w:rPr>
                <w:noProof/>
              </w:rPr>
            </w:pPr>
            <w:r>
              <w:rPr>
                <w:noProof/>
              </w:rPr>
              <w:t>officials were trained by using EU common training material in 2021.</w:t>
            </w:r>
          </w:p>
        </w:tc>
        <w:tc>
          <w:tcPr>
            <w:tcW w:w="2311" w:type="dxa"/>
            <w:tcBorders>
              <w:bottom w:val="single" w:sz="4" w:space="0" w:color="8C8C8C"/>
            </w:tcBorders>
          </w:tcPr>
          <w:p w14:paraId="5495594C" w14:textId="77777777" w:rsidR="0075432A" w:rsidRPr="0076270C" w:rsidRDefault="0075432A" w:rsidP="00AF1C52">
            <w:pPr>
              <w:pStyle w:val="ppoTableacheivementvalue"/>
              <w:cnfStyle w:val="000000000000" w:firstRow="0" w:lastRow="0" w:firstColumn="0" w:lastColumn="0" w:oddVBand="0" w:evenVBand="0" w:oddHBand="0" w:evenHBand="0" w:firstRowFirstColumn="0" w:firstRowLastColumn="0" w:lastRowFirstColumn="0" w:lastRowLastColumn="0"/>
              <w:rPr>
                <w:noProof/>
              </w:rPr>
            </w:pPr>
            <w:r>
              <w:rPr>
                <w:noProof/>
              </w:rPr>
              <w:t>27</w:t>
            </w:r>
          </w:p>
          <w:p w14:paraId="008F947A" w14:textId="77777777" w:rsidR="0075432A" w:rsidRPr="0076270C" w:rsidRDefault="0075432A" w:rsidP="00962E3C">
            <w:pPr>
              <w:jc w:val="left"/>
              <w:cnfStyle w:val="000000000000" w:firstRow="0" w:lastRow="0" w:firstColumn="0" w:lastColumn="0" w:oddVBand="0" w:evenVBand="0" w:oddHBand="0" w:evenHBand="0" w:firstRowFirstColumn="0" w:firstRowLastColumn="0" w:lastRowFirstColumn="0" w:lastRowLastColumn="0"/>
              <w:rPr>
                <w:noProof/>
              </w:rPr>
            </w:pPr>
            <w:r>
              <w:rPr>
                <w:noProof/>
              </w:rPr>
              <w:t>European electronic systems were operating at the end of 2021.</w:t>
            </w:r>
          </w:p>
        </w:tc>
        <w:tc>
          <w:tcPr>
            <w:cnfStyle w:val="000001000000" w:firstRow="0" w:lastRow="0" w:firstColumn="0" w:lastColumn="0" w:oddVBand="0" w:evenVBand="1" w:oddHBand="0" w:evenHBand="0" w:firstRowFirstColumn="0" w:firstRowLastColumn="0" w:lastRowFirstColumn="0" w:lastRowLastColumn="0"/>
            <w:tcW w:w="2311" w:type="dxa"/>
          </w:tcPr>
          <w:p w14:paraId="1F3FB3F6" w14:textId="77777777" w:rsidR="0075432A" w:rsidRPr="0076270C" w:rsidRDefault="0075432A" w:rsidP="00AF1C52">
            <w:pPr>
              <w:pStyle w:val="ppoTableacheivementvalue"/>
              <w:rPr>
                <w:noProof/>
              </w:rPr>
            </w:pPr>
            <w:r>
              <w:rPr>
                <w:noProof/>
              </w:rPr>
              <w:t>7</w:t>
            </w:r>
          </w:p>
          <w:p w14:paraId="69E79B37" w14:textId="77777777" w:rsidR="0075432A" w:rsidRPr="0076270C" w:rsidRDefault="0075432A" w:rsidP="00962E3C">
            <w:pPr>
              <w:jc w:val="left"/>
              <w:rPr>
                <w:noProof/>
              </w:rPr>
            </w:pPr>
            <w:r>
              <w:rPr>
                <w:noProof/>
              </w:rPr>
              <w:t>expert teams in the taxation area were operational at the end of 2021.</w:t>
            </w:r>
          </w:p>
        </w:tc>
      </w:tr>
      <w:tr w:rsidR="0075432A" w:rsidRPr="00040D99" w14:paraId="35F2B791" w14:textId="77777777" w:rsidTr="00AF1C52">
        <w:tc>
          <w:tcPr>
            <w:tcW w:w="2310" w:type="dxa"/>
          </w:tcPr>
          <w:p w14:paraId="5E0716BB" w14:textId="77777777" w:rsidR="0075432A" w:rsidRPr="0076270C" w:rsidRDefault="0075432A" w:rsidP="00AF1C52">
            <w:pPr>
              <w:pStyle w:val="ppoTableacheivementvalue"/>
              <w:rPr>
                <w:noProof/>
              </w:rPr>
            </w:pPr>
            <w:r>
              <w:rPr>
                <w:noProof/>
              </w:rPr>
              <w:t>99.99%</w:t>
            </w:r>
          </w:p>
          <w:p w14:paraId="50FFFA3F" w14:textId="77777777" w:rsidR="0075432A" w:rsidRPr="0076270C" w:rsidRDefault="0075432A" w:rsidP="00962E3C">
            <w:pPr>
              <w:jc w:val="left"/>
              <w:rPr>
                <w:noProof/>
              </w:rPr>
            </w:pPr>
            <w:r>
              <w:rPr>
                <w:noProof/>
              </w:rPr>
              <w:t xml:space="preserve">is the amount </w:t>
            </w:r>
            <w:r w:rsidRPr="00B918B2">
              <w:rPr>
                <w:noProof/>
              </w:rPr>
              <w:t>of time</w:t>
            </w:r>
            <w:r>
              <w:rPr>
                <w:noProof/>
              </w:rPr>
              <w:t>,</w:t>
            </w:r>
            <w:r w:rsidRPr="00B918B2">
              <w:rPr>
                <w:noProof/>
              </w:rPr>
              <w:t xml:space="preserve"> on average, </w:t>
            </w:r>
            <w:r>
              <w:rPr>
                <w:noProof/>
              </w:rPr>
              <w:t xml:space="preserve">that </w:t>
            </w:r>
            <w:r w:rsidRPr="00B918B2">
              <w:rPr>
                <w:noProof/>
              </w:rPr>
              <w:t xml:space="preserve">the </w:t>
            </w:r>
            <w:r>
              <w:rPr>
                <w:noProof/>
              </w:rPr>
              <w:t>‘</w:t>
            </w:r>
            <w:r w:rsidRPr="00B918B2">
              <w:rPr>
                <w:noProof/>
              </w:rPr>
              <w:t>V</w:t>
            </w:r>
            <w:r>
              <w:rPr>
                <w:noProof/>
              </w:rPr>
              <w:t xml:space="preserve">IES </w:t>
            </w:r>
            <w:r w:rsidRPr="00B918B2">
              <w:rPr>
                <w:noProof/>
              </w:rPr>
              <w:t>on</w:t>
            </w:r>
            <w:r>
              <w:rPr>
                <w:noProof/>
              </w:rPr>
              <w:t xml:space="preserve"> </w:t>
            </w:r>
            <w:r w:rsidRPr="00B918B2">
              <w:rPr>
                <w:noProof/>
              </w:rPr>
              <w:t>the</w:t>
            </w:r>
            <w:r>
              <w:rPr>
                <w:noProof/>
              </w:rPr>
              <w:t xml:space="preserve"> w</w:t>
            </w:r>
            <w:r w:rsidRPr="00B918B2">
              <w:rPr>
                <w:noProof/>
              </w:rPr>
              <w:t>eb</w:t>
            </w:r>
            <w:r>
              <w:rPr>
                <w:noProof/>
              </w:rPr>
              <w:t>’</w:t>
            </w:r>
            <w:r w:rsidRPr="00B918B2">
              <w:rPr>
                <w:noProof/>
              </w:rPr>
              <w:t xml:space="preserve"> system was available</w:t>
            </w:r>
            <w:r>
              <w:rPr>
                <w:noProof/>
              </w:rPr>
              <w:t xml:space="preserve"> for use in 2021.</w:t>
            </w:r>
          </w:p>
        </w:tc>
        <w:tc>
          <w:tcPr>
            <w:cnfStyle w:val="000001000000" w:firstRow="0" w:lastRow="0" w:firstColumn="0" w:lastColumn="0" w:oddVBand="0" w:evenVBand="1" w:oddHBand="0" w:evenHBand="0" w:firstRowFirstColumn="0" w:firstRowLastColumn="0" w:lastRowFirstColumn="0" w:lastRowLastColumn="0"/>
            <w:tcW w:w="2310" w:type="dxa"/>
            <w:tcBorders>
              <w:bottom w:val="nil"/>
            </w:tcBorders>
            <w:shd w:val="clear" w:color="auto" w:fill="FFFFFF" w:themeFill="background1"/>
          </w:tcPr>
          <w:p w14:paraId="07301576" w14:textId="77777777" w:rsidR="0075432A" w:rsidRPr="0076270C" w:rsidRDefault="0075432A" w:rsidP="00AF1C52">
            <w:pPr>
              <w:rPr>
                <w:noProof/>
              </w:rPr>
            </w:pPr>
          </w:p>
        </w:tc>
        <w:tc>
          <w:tcPr>
            <w:tcW w:w="2311" w:type="dxa"/>
            <w:tcBorders>
              <w:bottom w:val="nil"/>
            </w:tcBorders>
            <w:shd w:val="clear" w:color="auto" w:fill="FFFFFF" w:themeFill="background1"/>
          </w:tcPr>
          <w:p w14:paraId="5AB409C9" w14:textId="77777777" w:rsidR="0075432A" w:rsidRPr="0076270C" w:rsidRDefault="0075432A" w:rsidP="00AF1C52">
            <w:pPr>
              <w:cnfStyle w:val="000000000000" w:firstRow="0" w:lastRow="0" w:firstColumn="0" w:lastColumn="0" w:oddVBand="0" w:evenVBand="0" w:oddHBand="0" w:evenHBand="0" w:firstRowFirstColumn="0" w:firstRowLastColumn="0" w:lastRowFirstColumn="0" w:lastRowLastColumn="0"/>
              <w:rPr>
                <w:noProof/>
              </w:rPr>
            </w:pPr>
          </w:p>
        </w:tc>
        <w:tc>
          <w:tcPr>
            <w:cnfStyle w:val="000001000000" w:firstRow="0" w:lastRow="0" w:firstColumn="0" w:lastColumn="0" w:oddVBand="0" w:evenVBand="1" w:oddHBand="0" w:evenHBand="0" w:firstRowFirstColumn="0" w:firstRowLastColumn="0" w:lastRowFirstColumn="0" w:lastRowLastColumn="0"/>
            <w:tcW w:w="2311" w:type="dxa"/>
            <w:tcBorders>
              <w:bottom w:val="nil"/>
            </w:tcBorders>
            <w:shd w:val="clear" w:color="auto" w:fill="FFFFFF" w:themeFill="background1"/>
          </w:tcPr>
          <w:p w14:paraId="47E84D85" w14:textId="77777777" w:rsidR="0075432A" w:rsidRPr="0076270C" w:rsidRDefault="0075432A" w:rsidP="00AF1C52">
            <w:pPr>
              <w:rPr>
                <w:noProof/>
              </w:rPr>
            </w:pPr>
          </w:p>
        </w:tc>
      </w:tr>
    </w:tbl>
    <w:p w14:paraId="3B78FDC2" w14:textId="77777777" w:rsidR="0075432A" w:rsidRDefault="0075432A" w:rsidP="0075432A">
      <w:pPr>
        <w:pStyle w:val="ppoHeading5"/>
        <w:rPr>
          <w:noProof/>
        </w:rPr>
      </w:pPr>
      <w:bookmarkStart w:id="85" w:name="_Hlk100585962"/>
      <w:r w:rsidRPr="00040D99">
        <w:rPr>
          <w:noProof/>
        </w:rPr>
        <w:t xml:space="preserve">Budget </w:t>
      </w:r>
      <w:r>
        <w:rPr>
          <w:noProof/>
        </w:rPr>
        <w:t xml:space="preserve">for </w:t>
      </w:r>
      <w:r w:rsidRPr="00040D99">
        <w:rPr>
          <w:noProof/>
        </w:rPr>
        <w:t>2021-2027</w:t>
      </w:r>
    </w:p>
    <w:bookmarkEnd w:id="85"/>
    <w:p w14:paraId="2BABCB47" w14:textId="77777777" w:rsidR="0075432A" w:rsidRPr="009359FF" w:rsidRDefault="0075432A" w:rsidP="0075432A">
      <w:pPr>
        <w:pStyle w:val="ppoTableTabletitle"/>
        <w:ind w:left="284"/>
        <w:rPr>
          <w:noProof/>
        </w:rPr>
      </w:pPr>
      <w:r>
        <w:rPr>
          <w:noProof/>
        </w:rPr>
        <w:t>(million EUR)</w:t>
      </w:r>
    </w:p>
    <w:tbl>
      <w:tblPr>
        <w:tblStyle w:val="PlainTable2"/>
        <w:tblW w:w="0" w:type="auto"/>
        <w:tblInd w:w="288" w:type="dxa"/>
        <w:tblLook w:val="04A0" w:firstRow="1" w:lastRow="0" w:firstColumn="1" w:lastColumn="0" w:noHBand="0" w:noVBand="1"/>
      </w:tblPr>
      <w:tblGrid>
        <w:gridCol w:w="4788"/>
        <w:gridCol w:w="2610"/>
      </w:tblGrid>
      <w:tr w:rsidR="0075432A" w:rsidRPr="00214876" w14:paraId="5300B316" w14:textId="77777777" w:rsidTr="00AF1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tcPr>
          <w:p w14:paraId="78A2276D" w14:textId="77777777" w:rsidR="0075432A" w:rsidRPr="00214876" w:rsidRDefault="0075432A" w:rsidP="00AF1C52">
            <w:pPr>
              <w:spacing w:before="120" w:after="120"/>
              <w:rPr>
                <w:noProof/>
              </w:rPr>
            </w:pPr>
            <w:r w:rsidRPr="00214876">
              <w:rPr>
                <w:rFonts w:cs="Calibri"/>
                <w:noProof/>
                <w:color w:val="000000"/>
              </w:rPr>
              <w:t>Financial programming</w:t>
            </w:r>
          </w:p>
        </w:tc>
        <w:tc>
          <w:tcPr>
            <w:tcW w:w="2610" w:type="dxa"/>
            <w:shd w:val="clear" w:color="auto" w:fill="auto"/>
          </w:tcPr>
          <w:p w14:paraId="7FCF691E" w14:textId="77777777" w:rsidR="0075432A" w:rsidRPr="00214876" w:rsidRDefault="0075432A" w:rsidP="00AF1C52">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noProof/>
              </w:rPr>
            </w:pPr>
            <w:r>
              <w:rPr>
                <w:rFonts w:cs="Calibri"/>
                <w:b w:val="0"/>
                <w:bCs w:val="0"/>
                <w:noProof/>
                <w:color w:val="000000"/>
              </w:rPr>
              <w:t>267.</w:t>
            </w:r>
            <w:r w:rsidRPr="001F187A">
              <w:rPr>
                <w:rFonts w:cs="Calibri"/>
                <w:b w:val="0"/>
                <w:bCs w:val="0"/>
                <w:noProof/>
                <w:color w:val="000000"/>
              </w:rPr>
              <w:t>8</w:t>
            </w:r>
          </w:p>
        </w:tc>
      </w:tr>
      <w:tr w:rsidR="0075432A" w:rsidRPr="00214876" w14:paraId="70B7D28D" w14:textId="77777777" w:rsidTr="00AF1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CE33153" w14:textId="77777777" w:rsidR="0075432A" w:rsidRPr="00214876" w:rsidRDefault="0075432A" w:rsidP="00AF1C52">
            <w:pPr>
              <w:spacing w:before="120" w:after="120"/>
              <w:rPr>
                <w:b w:val="0"/>
                <w:bCs w:val="0"/>
                <w:noProof/>
              </w:rPr>
            </w:pPr>
            <w:r w:rsidRPr="00214876">
              <w:rPr>
                <w:rFonts w:cs="Calibri"/>
                <w:noProof/>
                <w:color w:val="000000"/>
              </w:rPr>
              <w:t>NextGenerationEU</w:t>
            </w:r>
          </w:p>
        </w:tc>
        <w:tc>
          <w:tcPr>
            <w:tcW w:w="2610" w:type="dxa"/>
          </w:tcPr>
          <w:p w14:paraId="12E8314B" w14:textId="77777777" w:rsidR="0075432A" w:rsidRPr="00214876" w:rsidRDefault="0075432A" w:rsidP="00AF1C52">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p>
        </w:tc>
      </w:tr>
      <w:tr w:rsidR="0075432A" w:rsidRPr="00214876" w14:paraId="36569095" w14:textId="77777777" w:rsidTr="00AF1C52">
        <w:tc>
          <w:tcPr>
            <w:cnfStyle w:val="001000000000" w:firstRow="0" w:lastRow="0" w:firstColumn="1" w:lastColumn="0" w:oddVBand="0" w:evenVBand="0" w:oddHBand="0" w:evenHBand="0" w:firstRowFirstColumn="0" w:firstRowLastColumn="0" w:lastRowFirstColumn="0" w:lastRowLastColumn="0"/>
            <w:tcW w:w="4788" w:type="dxa"/>
          </w:tcPr>
          <w:p w14:paraId="57154FED" w14:textId="77777777" w:rsidR="0075432A" w:rsidRPr="00214876" w:rsidRDefault="0075432A" w:rsidP="00AF1C52">
            <w:pPr>
              <w:spacing w:before="120" w:after="120"/>
              <w:rPr>
                <w:b w:val="0"/>
                <w:bCs w:val="0"/>
                <w:noProof/>
              </w:rPr>
            </w:pPr>
            <w:r w:rsidRPr="001F187A">
              <w:rPr>
                <w:rFonts w:cs="Calibri"/>
                <w:noProof/>
                <w:color w:val="000000"/>
              </w:rPr>
              <w:t>Decommitments made available again</w:t>
            </w:r>
            <w:r>
              <w:rPr>
                <w:rFonts w:ascii="Calibri" w:hAnsi="Calibri" w:cs="Calibri"/>
                <w:noProof/>
                <w:color w:val="000000"/>
              </w:rPr>
              <w:t> </w:t>
            </w:r>
            <w:r>
              <w:rPr>
                <w:rFonts w:cs="Calibri"/>
                <w:noProof/>
                <w:color w:val="000000"/>
              </w:rPr>
              <w:t>(</w:t>
            </w:r>
            <w:r w:rsidRPr="003F7B5A">
              <w:rPr>
                <w:rFonts w:cs="Calibri"/>
                <w:noProof/>
                <w:color w:val="000000"/>
              </w:rPr>
              <w:t>*</w:t>
            </w:r>
            <w:r>
              <w:rPr>
                <w:rFonts w:cs="Calibri"/>
                <w:noProof/>
                <w:color w:val="000000"/>
              </w:rPr>
              <w:t>)</w:t>
            </w:r>
          </w:p>
        </w:tc>
        <w:tc>
          <w:tcPr>
            <w:tcW w:w="2610" w:type="dxa"/>
          </w:tcPr>
          <w:p w14:paraId="67A815BB" w14:textId="77777777" w:rsidR="0075432A" w:rsidRPr="00214876" w:rsidRDefault="0075432A" w:rsidP="00AF1C52">
            <w:pPr>
              <w:spacing w:before="120" w:after="120"/>
              <w:jc w:val="center"/>
              <w:cnfStyle w:val="000000000000" w:firstRow="0" w:lastRow="0" w:firstColumn="0" w:lastColumn="0" w:oddVBand="0" w:evenVBand="0" w:oddHBand="0" w:evenHBand="0" w:firstRowFirstColumn="0" w:firstRowLastColumn="0" w:lastRowFirstColumn="0" w:lastRowLastColumn="0"/>
              <w:rPr>
                <w:noProof/>
              </w:rPr>
            </w:pPr>
            <w:r>
              <w:rPr>
                <w:noProof/>
              </w:rPr>
              <w:t>N/A</w:t>
            </w:r>
          </w:p>
        </w:tc>
      </w:tr>
      <w:tr w:rsidR="0075432A" w:rsidRPr="00214876" w14:paraId="1D908A41" w14:textId="77777777" w:rsidTr="00AF1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1F58251" w14:textId="77777777" w:rsidR="0075432A" w:rsidRPr="00214876" w:rsidRDefault="0075432A" w:rsidP="00AF1C52">
            <w:pPr>
              <w:spacing w:before="120" w:after="120"/>
              <w:rPr>
                <w:noProof/>
              </w:rPr>
            </w:pPr>
            <w:r w:rsidRPr="00214876">
              <w:rPr>
                <w:rFonts w:cs="Calibri"/>
                <w:noProof/>
                <w:color w:val="000000"/>
              </w:rPr>
              <w:t>Contributions from other countries and entities</w:t>
            </w:r>
          </w:p>
        </w:tc>
        <w:tc>
          <w:tcPr>
            <w:tcW w:w="2610" w:type="dxa"/>
          </w:tcPr>
          <w:p w14:paraId="32951D44" w14:textId="77777777" w:rsidR="0075432A" w:rsidRPr="00214876" w:rsidRDefault="0075432A" w:rsidP="00AF1C52">
            <w:pPr>
              <w:spacing w:before="120" w:after="120"/>
              <w:cnfStyle w:val="000000100000" w:firstRow="0" w:lastRow="0" w:firstColumn="0" w:lastColumn="0" w:oddVBand="0" w:evenVBand="0" w:oddHBand="1" w:evenHBand="0" w:firstRowFirstColumn="0" w:firstRowLastColumn="0" w:lastRowFirstColumn="0" w:lastRowLastColumn="0"/>
              <w:rPr>
                <w:noProof/>
              </w:rPr>
            </w:pPr>
            <w:r>
              <w:rPr>
                <w:noProof/>
              </w:rPr>
              <w:t>0.0</w:t>
            </w:r>
          </w:p>
        </w:tc>
      </w:tr>
      <w:tr w:rsidR="0075432A" w:rsidRPr="00214876" w14:paraId="63DEDC2C" w14:textId="77777777" w:rsidTr="00AF1C52">
        <w:tc>
          <w:tcPr>
            <w:cnfStyle w:val="001000000000" w:firstRow="0" w:lastRow="0" w:firstColumn="1" w:lastColumn="0" w:oddVBand="0" w:evenVBand="0" w:oddHBand="0" w:evenHBand="0" w:firstRowFirstColumn="0" w:firstRowLastColumn="0" w:lastRowFirstColumn="0" w:lastRowLastColumn="0"/>
            <w:tcW w:w="4788" w:type="dxa"/>
            <w:shd w:val="clear" w:color="auto" w:fill="F2F2F2" w:themeFill="background1" w:themeFillShade="F2"/>
          </w:tcPr>
          <w:p w14:paraId="4D149D34" w14:textId="77777777" w:rsidR="0075432A" w:rsidRPr="00214876" w:rsidRDefault="0075432A" w:rsidP="00AF1C52">
            <w:pPr>
              <w:spacing w:before="120" w:after="120"/>
              <w:rPr>
                <w:noProof/>
              </w:rPr>
            </w:pPr>
            <w:r>
              <w:rPr>
                <w:rFonts w:cs="Calibri"/>
                <w:noProof/>
                <w:color w:val="000000"/>
              </w:rPr>
              <w:t>T</w:t>
            </w:r>
            <w:r w:rsidRPr="00214876">
              <w:rPr>
                <w:rFonts w:cs="Calibri"/>
                <w:noProof/>
                <w:color w:val="000000"/>
              </w:rPr>
              <w:t xml:space="preserve">otal budget </w:t>
            </w:r>
            <w:r>
              <w:rPr>
                <w:rFonts w:cs="Calibri"/>
                <w:noProof/>
                <w:color w:val="000000"/>
              </w:rPr>
              <w:t xml:space="preserve">for </w:t>
            </w:r>
            <w:r w:rsidRPr="00214876">
              <w:rPr>
                <w:rFonts w:cs="Calibri"/>
                <w:noProof/>
                <w:color w:val="000000"/>
              </w:rPr>
              <w:t>2021-2027</w:t>
            </w:r>
          </w:p>
        </w:tc>
        <w:tc>
          <w:tcPr>
            <w:tcW w:w="2610" w:type="dxa"/>
            <w:shd w:val="clear" w:color="auto" w:fill="F2F2F2" w:themeFill="background1" w:themeFillShade="F2"/>
          </w:tcPr>
          <w:p w14:paraId="2ADFB992" w14:textId="77777777" w:rsidR="0075432A" w:rsidRPr="00CB3972" w:rsidRDefault="0075432A" w:rsidP="00AF1C52">
            <w:pPr>
              <w:jc w:val="center"/>
              <w:cnfStyle w:val="000000000000" w:firstRow="0" w:lastRow="0" w:firstColumn="0" w:lastColumn="0" w:oddVBand="0" w:evenVBand="0" w:oddHBand="0" w:evenHBand="0" w:firstRowFirstColumn="0" w:firstRowLastColumn="0" w:lastRowFirstColumn="0" w:lastRowLastColumn="0"/>
              <w:rPr>
                <w:noProof/>
              </w:rPr>
            </w:pPr>
            <w:r w:rsidRPr="00D4479B">
              <w:rPr>
                <w:rFonts w:cs="Calibri"/>
                <w:b/>
                <w:bCs/>
                <w:noProof/>
                <w:color w:val="000000"/>
              </w:rPr>
              <w:t>267.8</w:t>
            </w:r>
          </w:p>
        </w:tc>
      </w:tr>
    </w:tbl>
    <w:p w14:paraId="77B15E6B" w14:textId="77777777" w:rsidR="0075432A" w:rsidRPr="00040D99" w:rsidRDefault="0075432A" w:rsidP="0075432A">
      <w:pPr>
        <w:jc w:val="center"/>
        <w:rPr>
          <w:rFonts w:eastAsiaTheme="minorEastAsia"/>
          <w:noProof/>
        </w:rPr>
      </w:pPr>
    </w:p>
    <w:p w14:paraId="6A80384A" w14:textId="77777777" w:rsidR="0075432A" w:rsidRPr="00D7170B" w:rsidRDefault="0075432A" w:rsidP="0075432A">
      <w:pPr>
        <w:tabs>
          <w:tab w:val="left" w:pos="6793"/>
        </w:tabs>
        <w:rPr>
          <w:noProof/>
          <w:sz w:val="18"/>
          <w:szCs w:val="18"/>
          <w:lang w:val="en-IE"/>
        </w:rPr>
      </w:pPr>
      <w:bookmarkStart w:id="86" w:name="_Hlk100584890"/>
      <w:r w:rsidRPr="00D7170B">
        <w:rPr>
          <w:noProof/>
          <w:sz w:val="18"/>
          <w:szCs w:val="18"/>
          <w:lang w:val="en-IE"/>
        </w:rPr>
        <w:t>(*) Only Article</w:t>
      </w:r>
      <w:r>
        <w:rPr>
          <w:rFonts w:ascii="Calibri" w:hAnsi="Calibri" w:cs="Calibri"/>
          <w:noProof/>
          <w:sz w:val="18"/>
          <w:szCs w:val="18"/>
          <w:lang w:val="en-IE"/>
        </w:rPr>
        <w:t> </w:t>
      </w:r>
      <w:r w:rsidRPr="00D7170B">
        <w:rPr>
          <w:noProof/>
          <w:sz w:val="18"/>
          <w:szCs w:val="18"/>
          <w:lang w:val="en-IE"/>
        </w:rPr>
        <w:t>15(3) of the financial regulation.</w:t>
      </w:r>
    </w:p>
    <w:bookmarkEnd w:id="86"/>
    <w:p w14:paraId="53FC4DD1" w14:textId="77777777" w:rsidR="0075432A" w:rsidRPr="00040D99" w:rsidRDefault="0075432A" w:rsidP="0075432A">
      <w:pPr>
        <w:pStyle w:val="ppoHeading5"/>
        <w:rPr>
          <w:noProof/>
        </w:rPr>
      </w:pPr>
      <w:r w:rsidRPr="00040D99">
        <w:rPr>
          <w:noProof/>
        </w:rPr>
        <w:t>Rationale and design of the programme</w:t>
      </w:r>
    </w:p>
    <w:p w14:paraId="11422A16" w14:textId="77777777" w:rsidR="0075432A" w:rsidRPr="00CB3972" w:rsidRDefault="0075432A" w:rsidP="0075432A">
      <w:pPr>
        <w:rPr>
          <w:noProof/>
        </w:rPr>
      </w:pPr>
      <w:r w:rsidRPr="0BA2739E">
        <w:rPr>
          <w:rFonts w:eastAsiaTheme="minorEastAsia"/>
          <w:noProof/>
        </w:rPr>
        <w:t>The Fiscalis programme is an EU cooperation programme that enables national tax administrations to create and exchange information and expertise. It helps Member States to develop and run major trans</w:t>
      </w:r>
      <w:r>
        <w:rPr>
          <w:rFonts w:eastAsiaTheme="minorEastAsia"/>
          <w:noProof/>
        </w:rPr>
        <w:noBreakHyphen/>
      </w:r>
      <w:r w:rsidRPr="0BA2739E">
        <w:rPr>
          <w:rFonts w:eastAsiaTheme="minorEastAsia"/>
          <w:noProof/>
        </w:rPr>
        <w:t xml:space="preserve">European </w:t>
      </w:r>
      <w:r>
        <w:rPr>
          <w:rFonts w:eastAsiaTheme="minorEastAsia"/>
          <w:noProof/>
        </w:rPr>
        <w:t>information technology</w:t>
      </w:r>
      <w:r w:rsidRPr="0BA2739E">
        <w:rPr>
          <w:rFonts w:eastAsiaTheme="minorEastAsia"/>
          <w:noProof/>
        </w:rPr>
        <w:t xml:space="preserve"> tax systems, as well as establishing networks of officials across the EU.</w:t>
      </w:r>
    </w:p>
    <w:p w14:paraId="32555BB2" w14:textId="77777777" w:rsidR="0075432A" w:rsidRPr="00040D99" w:rsidRDefault="0075432A" w:rsidP="0075432A">
      <w:pPr>
        <w:pStyle w:val="ppoHeading6"/>
        <w:rPr>
          <w:noProof/>
        </w:rPr>
      </w:pPr>
      <w:r w:rsidRPr="00040D99">
        <w:rPr>
          <w:noProof/>
        </w:rPr>
        <w:t>Challenge</w:t>
      </w:r>
    </w:p>
    <w:p w14:paraId="0FAB7D01" w14:textId="77777777" w:rsidR="0075432A" w:rsidRDefault="0075432A" w:rsidP="0075432A">
      <w:pPr>
        <w:rPr>
          <w:noProof/>
        </w:rPr>
      </w:pPr>
      <w:r>
        <w:rPr>
          <w:noProof/>
        </w:rPr>
        <w:t>Tax fraud, tax evasion and tax avoidance, combined with digitalisation and new business models, present continued challenges to both the EU and the functioning and performance of national tax administrations. The latter need to provide quick and joint responses, while at the same time avoiding unnecessary administrative burden for citizens and businesses engaging in cross-border transactions. Individual Member States cannot adequately address these problems on their own</w:t>
      </w:r>
      <w:r w:rsidRPr="00885928">
        <w:rPr>
          <w:noProof/>
        </w:rPr>
        <w:t xml:space="preserve">. </w:t>
      </w:r>
      <w:r w:rsidRPr="00CB3972">
        <w:rPr>
          <w:noProof/>
        </w:rPr>
        <w:t>Rather, these challenges</w:t>
      </w:r>
      <w:r w:rsidRPr="00885928">
        <w:rPr>
          <w:noProof/>
        </w:rPr>
        <w:t>,</w:t>
      </w:r>
      <w:r w:rsidRPr="00CB3972">
        <w:rPr>
          <w:noProof/>
        </w:rPr>
        <w:t xml:space="preserve"> both within the EU and with </w:t>
      </w:r>
      <w:r>
        <w:rPr>
          <w:noProof/>
        </w:rPr>
        <w:t>non-</w:t>
      </w:r>
      <w:r w:rsidRPr="00A14E67">
        <w:rPr>
          <w:noProof/>
        </w:rPr>
        <w:t>EU countries</w:t>
      </w:r>
      <w:r w:rsidRPr="00885928">
        <w:rPr>
          <w:noProof/>
        </w:rPr>
        <w:t>,</w:t>
      </w:r>
      <w:r w:rsidRPr="00CB3972">
        <w:rPr>
          <w:noProof/>
        </w:rPr>
        <w:t xml:space="preserve"> </w:t>
      </w:r>
      <w:r>
        <w:rPr>
          <w:noProof/>
        </w:rPr>
        <w:t>require</w:t>
      </w:r>
      <w:r w:rsidRPr="00CB3972">
        <w:rPr>
          <w:noProof/>
        </w:rPr>
        <w:t xml:space="preserve"> </w:t>
      </w:r>
      <w:r>
        <w:rPr>
          <w:noProof/>
        </w:rPr>
        <w:t xml:space="preserve">action at the </w:t>
      </w:r>
      <w:r w:rsidRPr="00CB3972">
        <w:rPr>
          <w:noProof/>
        </w:rPr>
        <w:t xml:space="preserve">EU </w:t>
      </w:r>
      <w:r>
        <w:rPr>
          <w:noProof/>
        </w:rPr>
        <w:t>level</w:t>
      </w:r>
      <w:r w:rsidRPr="00CB3972">
        <w:rPr>
          <w:noProof/>
        </w:rPr>
        <w:t>.</w:t>
      </w:r>
      <w:r>
        <w:rPr>
          <w:noProof/>
        </w:rPr>
        <w:t xml:space="preserve"> </w:t>
      </w:r>
    </w:p>
    <w:p w14:paraId="40E751D3" w14:textId="77777777" w:rsidR="0075432A" w:rsidRPr="00040D99" w:rsidRDefault="0075432A" w:rsidP="0075432A">
      <w:pPr>
        <w:pStyle w:val="ppoHeading6"/>
        <w:rPr>
          <w:noProof/>
        </w:rPr>
      </w:pPr>
      <w:r w:rsidRPr="00040D99">
        <w:rPr>
          <w:noProof/>
        </w:rPr>
        <w:t>Mission</w:t>
      </w:r>
    </w:p>
    <w:p w14:paraId="053AE9EB" w14:textId="77777777" w:rsidR="0075432A" w:rsidRDefault="0075432A" w:rsidP="0075432A">
      <w:pPr>
        <w:rPr>
          <w:noProof/>
        </w:rPr>
      </w:pPr>
      <w:r>
        <w:rPr>
          <w:noProof/>
        </w:rPr>
        <w:t xml:space="preserve">Fiscalis has the general objective of supporting tax authorities and taxation in order to enhance the functioning of the internal market, foster the competitiveness of the EU and fair competition in the EU and protect the financial and economic interests of the EU and its Member States. This includes protecting these interests from tax fraud, tax evasion and tax avoidance and improving tax collection. It offers Member States a framework to develop activities through cooperation among national taxation officials on the one hand, and </w:t>
      </w:r>
      <w:r>
        <w:rPr>
          <w:rFonts w:eastAsiaTheme="minorEastAsia"/>
          <w:noProof/>
        </w:rPr>
        <w:t>information technology</w:t>
      </w:r>
      <w:r>
        <w:rPr>
          <w:noProof/>
        </w:rPr>
        <w:t xml:space="preserve"> and human capacity building on the other.</w:t>
      </w:r>
    </w:p>
    <w:p w14:paraId="402C7CD1" w14:textId="77777777" w:rsidR="0075432A" w:rsidRDefault="0075432A" w:rsidP="0075432A">
      <w:pPr>
        <w:pStyle w:val="ppoHeading6"/>
        <w:rPr>
          <w:noProof/>
        </w:rPr>
      </w:pPr>
      <w:r>
        <w:rPr>
          <w:noProof/>
        </w:rPr>
        <w:t>OBJECTIVES</w:t>
      </w:r>
    </w:p>
    <w:p w14:paraId="05BD2A5B" w14:textId="77777777" w:rsidR="0075432A" w:rsidRDefault="0075432A" w:rsidP="0075432A">
      <w:pPr>
        <w:rPr>
          <w:noProof/>
        </w:rPr>
      </w:pPr>
      <w:r>
        <w:rPr>
          <w:noProof/>
        </w:rPr>
        <w:t>The programme has the specific objectives of supporting tax policy and implementing EU law relating to the field of taxation; fostering cooperation between tax authorities, including the exchange of tax information; and supporting administrative capacity building, including human competency and the development and operation of the European electronic systems.</w:t>
      </w:r>
    </w:p>
    <w:p w14:paraId="450EA306" w14:textId="77777777" w:rsidR="0075432A" w:rsidRPr="00040D99" w:rsidRDefault="0075432A" w:rsidP="0075432A">
      <w:pPr>
        <w:pStyle w:val="ppoHeading6"/>
        <w:rPr>
          <w:noProof/>
        </w:rPr>
      </w:pPr>
      <w:r w:rsidRPr="00040D99">
        <w:rPr>
          <w:noProof/>
        </w:rPr>
        <w:t>Actions</w:t>
      </w:r>
    </w:p>
    <w:p w14:paraId="5D90FF56" w14:textId="77777777" w:rsidR="0075432A" w:rsidRDefault="0075432A" w:rsidP="0075432A">
      <w:pPr>
        <w:rPr>
          <w:noProof/>
        </w:rPr>
      </w:pPr>
      <w:r>
        <w:rPr>
          <w:noProof/>
        </w:rPr>
        <w:t xml:space="preserve">Fiscalis provides financial support for </w:t>
      </w:r>
      <w:r>
        <w:rPr>
          <w:rFonts w:eastAsiaTheme="minorEastAsia"/>
          <w:noProof/>
        </w:rPr>
        <w:t>information technology</w:t>
      </w:r>
      <w:r>
        <w:rPr>
          <w:noProof/>
        </w:rPr>
        <w:t xml:space="preserve"> capacity building actions</w:t>
      </w:r>
      <w:r>
        <w:rPr>
          <w:rFonts w:ascii="Calibri" w:hAnsi="Calibri" w:cs="Calibri"/>
          <w:noProof/>
        </w:rPr>
        <w:t> –</w:t>
      </w:r>
      <w:r>
        <w:rPr>
          <w:noProof/>
        </w:rPr>
        <w:t xml:space="preserve"> in particular the development and operation of European electronic systems for taxation</w:t>
      </w:r>
      <w:r>
        <w:rPr>
          <w:rFonts w:ascii="Calibri" w:hAnsi="Calibri" w:cs="Calibri"/>
          <w:noProof/>
        </w:rPr>
        <w:t> –</w:t>
      </w:r>
      <w:r>
        <w:rPr>
          <w:noProof/>
        </w:rPr>
        <w:t xml:space="preserve"> and fosters cooperation among national tax authorities via meetings and project-based structured collaboration, such as project groups and expert teams. The programme also provides financial support for human competency and other capacity building actions, including training and exchange of best practices, as well as other actions such as studies, communication and innovation activities.</w:t>
      </w:r>
    </w:p>
    <w:p w14:paraId="1EA05E23" w14:textId="77777777" w:rsidR="0075432A" w:rsidRPr="00040D99" w:rsidRDefault="0075432A" w:rsidP="0075432A">
      <w:pPr>
        <w:pStyle w:val="ppoHeading6"/>
        <w:rPr>
          <w:noProof/>
        </w:rPr>
      </w:pPr>
      <w:r w:rsidRPr="00040D99">
        <w:rPr>
          <w:noProof/>
        </w:rPr>
        <w:t>Delivery mode</w:t>
      </w:r>
    </w:p>
    <w:p w14:paraId="09481AAB" w14:textId="77777777" w:rsidR="0075432A" w:rsidRDefault="0075432A" w:rsidP="0075432A">
      <w:pPr>
        <w:rPr>
          <w:noProof/>
        </w:rPr>
      </w:pPr>
      <w:r>
        <w:rPr>
          <w:noProof/>
        </w:rPr>
        <w:t xml:space="preserve">Fiscalis is implemented under direct management by the Commission (DG </w:t>
      </w:r>
      <w:r w:rsidRPr="00C5324C">
        <w:rPr>
          <w:noProof/>
        </w:rPr>
        <w:t>Taxation and Customs Union</w:t>
      </w:r>
      <w:r>
        <w:rPr>
          <w:noProof/>
        </w:rPr>
        <w:t>).</w:t>
      </w:r>
    </w:p>
    <w:p w14:paraId="2E33BD35" w14:textId="77777777" w:rsidR="0075432A" w:rsidRPr="00040D99" w:rsidRDefault="0075432A" w:rsidP="0075432A">
      <w:pPr>
        <w:pStyle w:val="ppoHeading6"/>
        <w:rPr>
          <w:noProof/>
        </w:rPr>
      </w:pPr>
      <w:r>
        <w:rPr>
          <w:noProof/>
        </w:rPr>
        <w:t>LINK TO THE 2014-2020 Multiannual Financial Framework</w:t>
      </w:r>
    </w:p>
    <w:p w14:paraId="11EE5EBE" w14:textId="77777777" w:rsidR="0075432A" w:rsidRDefault="0075432A" w:rsidP="0075432A">
      <w:pPr>
        <w:rPr>
          <w:noProof/>
        </w:rPr>
      </w:pPr>
      <w:r>
        <w:rPr>
          <w:noProof/>
        </w:rPr>
        <w:t>Fiscalis is a continuation of its predecessor in the 2014</w:t>
      </w:r>
      <w:r w:rsidDel="0019411F">
        <w:rPr>
          <w:noProof/>
        </w:rPr>
        <w:t>-</w:t>
      </w:r>
      <w:r>
        <w:rPr>
          <w:noProof/>
        </w:rPr>
        <w:t xml:space="preserve">2020 multiannual financial framework, </w:t>
      </w:r>
      <w:r w:rsidRPr="00CB3972">
        <w:rPr>
          <w:noProof/>
        </w:rPr>
        <w:t>but it entails more intensive cooperation and a larger number of electronic systems.</w:t>
      </w:r>
    </w:p>
    <w:p w14:paraId="00B55341" w14:textId="77777777" w:rsidR="0075432A" w:rsidRPr="00040D99" w:rsidRDefault="0075432A" w:rsidP="0075432A">
      <w:pPr>
        <w:pStyle w:val="ppoHeading6"/>
        <w:rPr>
          <w:noProof/>
        </w:rPr>
      </w:pPr>
      <w:r w:rsidRPr="00040D99">
        <w:rPr>
          <w:noProof/>
        </w:rPr>
        <w:t>Impact assessment</w:t>
      </w:r>
    </w:p>
    <w:p w14:paraId="474788E1" w14:textId="77777777" w:rsidR="0075432A" w:rsidRDefault="0075432A" w:rsidP="0075432A">
      <w:pPr>
        <w:rPr>
          <w:noProof/>
        </w:rPr>
      </w:pPr>
      <w:r>
        <w:rPr>
          <w:noProof/>
        </w:rPr>
        <w:t xml:space="preserve">The </w:t>
      </w:r>
      <w:r w:rsidRPr="00C5324C">
        <w:rPr>
          <w:i/>
          <w:iCs/>
          <w:noProof/>
        </w:rPr>
        <w:t>ex</w:t>
      </w:r>
      <w:r w:rsidRPr="004E29E2">
        <w:rPr>
          <w:rFonts w:ascii="Cambria Math" w:hAnsi="Cambria Math" w:cs="Cambria Math"/>
          <w:i/>
          <w:iCs/>
          <w:noProof/>
        </w:rPr>
        <w:t xml:space="preserve"> </w:t>
      </w:r>
      <w:r w:rsidRPr="00C5324C">
        <w:rPr>
          <w:i/>
          <w:iCs/>
          <w:noProof/>
        </w:rPr>
        <w:t>ante</w:t>
      </w:r>
      <w:r>
        <w:rPr>
          <w:noProof/>
        </w:rPr>
        <w:t xml:space="preserve"> evaluation of the Fiscalis programme was carried out in 2018. </w:t>
      </w:r>
      <w:r w:rsidRPr="00CB3972">
        <w:rPr>
          <w:noProof/>
        </w:rPr>
        <w:t xml:space="preserve">For further information please consult: </w:t>
      </w:r>
      <w:hyperlink r:id="rId168" w:history="1">
        <w:r w:rsidRPr="00994118">
          <w:rPr>
            <w:rStyle w:val="Hyperlink"/>
            <w:noProof/>
          </w:rPr>
          <w:t>https://op.europa.eu/en/publication-detail/-/publication/34849e66-e308-11e8-b690-01aa75ed71a1</w:t>
        </w:r>
      </w:hyperlink>
      <w:r w:rsidRPr="00994118">
        <w:rPr>
          <w:noProof/>
        </w:rPr>
        <w:t xml:space="preserve"> </w:t>
      </w:r>
    </w:p>
    <w:p w14:paraId="1E5AF649" w14:textId="77777777" w:rsidR="0075432A" w:rsidRPr="00D4479B" w:rsidRDefault="0075432A" w:rsidP="0075432A">
      <w:pPr>
        <w:pStyle w:val="ppoHeading6"/>
        <w:rPr>
          <w:noProof/>
        </w:rPr>
      </w:pPr>
      <w:r>
        <w:rPr>
          <w:noProof/>
        </w:rPr>
        <w:t>WEBSITE FOR more information</w:t>
      </w:r>
    </w:p>
    <w:p w14:paraId="68654158" w14:textId="51F78833" w:rsidR="005E2EA3" w:rsidRPr="00D539B7" w:rsidRDefault="0075432A" w:rsidP="0075432A">
      <w:pPr>
        <w:rPr>
          <w:rStyle w:val="Hyperlink"/>
          <w:noProof/>
          <w:lang w:val="fr-BE"/>
        </w:rPr>
      </w:pPr>
      <w:r w:rsidRPr="00D539B7">
        <w:rPr>
          <w:rFonts w:eastAsia="EC Square Sans Pro" w:cs="EC Square Sans Pro"/>
          <w:noProof/>
          <w:lang w:val="fr-BE"/>
        </w:rPr>
        <w:t>Fiscalis programme</w:t>
      </w:r>
      <w:r w:rsidR="005E2EA3" w:rsidRPr="00D539B7">
        <w:rPr>
          <w:rFonts w:eastAsia="EC Square Sans Pro" w:cs="EC Square Sans Pro"/>
          <w:noProof/>
          <w:lang w:val="fr-BE"/>
        </w:rPr>
        <w:t>:</w:t>
      </w:r>
      <w:r w:rsidR="005E2EA3" w:rsidRPr="00D539B7">
        <w:rPr>
          <w:rStyle w:val="Hyperlink"/>
          <w:noProof/>
          <w:lang w:val="fr-BE"/>
        </w:rPr>
        <w:t xml:space="preserve"> https://ec.europa.eu/taxation_customs/eu-funding-customs-and-tax/fiscalis-programme_en</w:t>
      </w:r>
    </w:p>
    <w:p w14:paraId="7C8E5F19" w14:textId="77777777" w:rsidR="0075432A" w:rsidRPr="009C79F6" w:rsidRDefault="0075432A" w:rsidP="0075432A">
      <w:pPr>
        <w:pStyle w:val="ppoHeading5"/>
        <w:rPr>
          <w:noProof/>
        </w:rPr>
      </w:pPr>
      <w:r w:rsidRPr="009C79F6">
        <w:rPr>
          <w:rFonts w:eastAsiaTheme="minorEastAsia"/>
          <w:noProof/>
        </w:rPr>
        <w:t xml:space="preserve">Legal </w:t>
      </w:r>
      <w:r>
        <w:rPr>
          <w:rFonts w:eastAsiaTheme="minorEastAsia"/>
          <w:noProof/>
        </w:rPr>
        <w:t>basis</w:t>
      </w:r>
    </w:p>
    <w:p w14:paraId="7CE33BD6" w14:textId="77777777" w:rsidR="0075432A" w:rsidRDefault="0075432A" w:rsidP="0075432A">
      <w:pPr>
        <w:rPr>
          <w:noProof/>
        </w:rPr>
      </w:pPr>
      <w:r>
        <w:rPr>
          <w:noProof/>
        </w:rPr>
        <w:t>Regulation (EU) 2021/847 of the European Parliament and of the Council.</w:t>
      </w:r>
    </w:p>
    <w:p w14:paraId="347B8764" w14:textId="77777777" w:rsidR="0075432A" w:rsidRPr="00040D99" w:rsidRDefault="0075432A" w:rsidP="0075432A">
      <w:pPr>
        <w:pStyle w:val="ppoHeading4Orange"/>
        <w:rPr>
          <w:caps/>
          <w:noProof/>
        </w:rPr>
      </w:pPr>
      <w:r w:rsidRPr="00040D99">
        <w:rPr>
          <w:noProof/>
        </w:rPr>
        <w:t xml:space="preserve">Implementation and performance </w:t>
      </w:r>
    </w:p>
    <w:p w14:paraId="0205CA8B" w14:textId="77777777" w:rsidR="0075432A" w:rsidRPr="00040D99" w:rsidRDefault="0075432A" w:rsidP="0075432A">
      <w:pPr>
        <w:pStyle w:val="ppoHeading5"/>
        <w:rPr>
          <w:noProof/>
        </w:rPr>
      </w:pPr>
      <w:r w:rsidRPr="00040D99">
        <w:rPr>
          <w:noProof/>
        </w:rPr>
        <w:t xml:space="preserve">Budget </w:t>
      </w:r>
    </w:p>
    <w:p w14:paraId="3337E75A" w14:textId="77777777" w:rsidR="0075432A" w:rsidRPr="00040D99" w:rsidRDefault="0075432A" w:rsidP="0075432A">
      <w:pPr>
        <w:pStyle w:val="ppoTableTabletitle"/>
        <w:rPr>
          <w:noProof/>
        </w:rPr>
      </w:pPr>
      <w:r w:rsidRPr="00807AC3">
        <w:rPr>
          <w:noProof/>
        </w:rPr>
        <w:t>Budget programming</w:t>
      </w:r>
      <w:r>
        <w:rPr>
          <w:noProof/>
        </w:rPr>
        <w:t xml:space="preserve"> (million 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75432A" w:rsidRPr="00040D99" w14:paraId="400CDEFE" w14:textId="77777777" w:rsidTr="00AF1C52">
        <w:trPr>
          <w:cnfStyle w:val="100000000000" w:firstRow="1" w:lastRow="0" w:firstColumn="0" w:lastColumn="0" w:oddVBand="0" w:evenVBand="0" w:oddHBand="0" w:evenHBand="0" w:firstRowFirstColumn="0" w:firstRowLastColumn="0" w:lastRowFirstColumn="0" w:lastRowLastColumn="0"/>
        </w:trPr>
        <w:tc>
          <w:tcPr>
            <w:tcW w:w="2090" w:type="dxa"/>
            <w:noWrap/>
            <w:hideMark/>
          </w:tcPr>
          <w:p w14:paraId="02B32BA9" w14:textId="77777777" w:rsidR="0075432A" w:rsidRPr="00807AC3" w:rsidRDefault="0075432A" w:rsidP="00AF1C52">
            <w:pPr>
              <w:rPr>
                <w:noProof/>
              </w:rPr>
            </w:pPr>
          </w:p>
        </w:tc>
        <w:tc>
          <w:tcPr>
            <w:tcW w:w="943" w:type="dxa"/>
            <w:noWrap/>
            <w:hideMark/>
          </w:tcPr>
          <w:p w14:paraId="2E9EB335" w14:textId="77777777" w:rsidR="0075432A" w:rsidRPr="00807AC3" w:rsidRDefault="0075432A" w:rsidP="00AF1C52">
            <w:pPr>
              <w:rPr>
                <w:noProof/>
              </w:rPr>
            </w:pPr>
            <w:r w:rsidRPr="00807AC3">
              <w:rPr>
                <w:noProof/>
              </w:rPr>
              <w:t>2021</w:t>
            </w:r>
          </w:p>
        </w:tc>
        <w:tc>
          <w:tcPr>
            <w:tcW w:w="944" w:type="dxa"/>
            <w:noWrap/>
            <w:hideMark/>
          </w:tcPr>
          <w:p w14:paraId="194DD6AB" w14:textId="77777777" w:rsidR="0075432A" w:rsidRPr="00807AC3" w:rsidRDefault="0075432A" w:rsidP="00AF1C52">
            <w:pPr>
              <w:rPr>
                <w:noProof/>
              </w:rPr>
            </w:pPr>
            <w:r w:rsidRPr="00807AC3">
              <w:rPr>
                <w:noProof/>
              </w:rPr>
              <w:t>2022</w:t>
            </w:r>
          </w:p>
        </w:tc>
        <w:tc>
          <w:tcPr>
            <w:tcW w:w="943" w:type="dxa"/>
            <w:noWrap/>
            <w:hideMark/>
          </w:tcPr>
          <w:p w14:paraId="5A312381" w14:textId="77777777" w:rsidR="0075432A" w:rsidRPr="00807AC3" w:rsidRDefault="0075432A" w:rsidP="00AF1C52">
            <w:pPr>
              <w:rPr>
                <w:noProof/>
              </w:rPr>
            </w:pPr>
            <w:r w:rsidRPr="00807AC3">
              <w:rPr>
                <w:noProof/>
              </w:rPr>
              <w:t>2023</w:t>
            </w:r>
          </w:p>
        </w:tc>
        <w:tc>
          <w:tcPr>
            <w:tcW w:w="944" w:type="dxa"/>
            <w:noWrap/>
            <w:hideMark/>
          </w:tcPr>
          <w:p w14:paraId="2A2BED59" w14:textId="77777777" w:rsidR="0075432A" w:rsidRPr="00807AC3" w:rsidRDefault="0075432A" w:rsidP="00AF1C52">
            <w:pPr>
              <w:rPr>
                <w:noProof/>
              </w:rPr>
            </w:pPr>
            <w:r w:rsidRPr="00807AC3">
              <w:rPr>
                <w:noProof/>
              </w:rPr>
              <w:t>2024</w:t>
            </w:r>
          </w:p>
        </w:tc>
        <w:tc>
          <w:tcPr>
            <w:tcW w:w="944" w:type="dxa"/>
            <w:noWrap/>
            <w:hideMark/>
          </w:tcPr>
          <w:p w14:paraId="723D2EDE" w14:textId="77777777" w:rsidR="0075432A" w:rsidRPr="00807AC3" w:rsidRDefault="0075432A" w:rsidP="00AF1C52">
            <w:pPr>
              <w:rPr>
                <w:noProof/>
              </w:rPr>
            </w:pPr>
            <w:r w:rsidRPr="00807AC3">
              <w:rPr>
                <w:noProof/>
              </w:rPr>
              <w:t>2025</w:t>
            </w:r>
          </w:p>
        </w:tc>
        <w:tc>
          <w:tcPr>
            <w:tcW w:w="943" w:type="dxa"/>
            <w:noWrap/>
            <w:hideMark/>
          </w:tcPr>
          <w:p w14:paraId="303BFC0D" w14:textId="77777777" w:rsidR="0075432A" w:rsidRPr="00807AC3" w:rsidRDefault="0075432A" w:rsidP="00AF1C52">
            <w:pPr>
              <w:rPr>
                <w:noProof/>
              </w:rPr>
            </w:pPr>
            <w:r w:rsidRPr="00807AC3">
              <w:rPr>
                <w:noProof/>
              </w:rPr>
              <w:t>2026</w:t>
            </w:r>
          </w:p>
        </w:tc>
        <w:tc>
          <w:tcPr>
            <w:tcW w:w="944" w:type="dxa"/>
            <w:noWrap/>
            <w:hideMark/>
          </w:tcPr>
          <w:p w14:paraId="08414CE0" w14:textId="77777777" w:rsidR="0075432A" w:rsidRPr="00807AC3" w:rsidRDefault="0075432A" w:rsidP="00AF1C52">
            <w:pPr>
              <w:rPr>
                <w:noProof/>
              </w:rPr>
            </w:pPr>
            <w:r w:rsidRPr="00807AC3">
              <w:rPr>
                <w:noProof/>
              </w:rPr>
              <w:t>2027</w:t>
            </w:r>
          </w:p>
        </w:tc>
        <w:tc>
          <w:tcPr>
            <w:tcW w:w="944" w:type="dxa"/>
            <w:noWrap/>
            <w:hideMark/>
          </w:tcPr>
          <w:p w14:paraId="4C2EF229" w14:textId="77777777" w:rsidR="0075432A" w:rsidRPr="00807AC3" w:rsidRDefault="0075432A" w:rsidP="00AF1C52">
            <w:pPr>
              <w:rPr>
                <w:noProof/>
              </w:rPr>
            </w:pPr>
            <w:r w:rsidRPr="00807AC3">
              <w:rPr>
                <w:noProof/>
              </w:rPr>
              <w:t>Total</w:t>
            </w:r>
          </w:p>
        </w:tc>
      </w:tr>
      <w:tr w:rsidR="0075432A" w:rsidRPr="00040D99" w14:paraId="04926168" w14:textId="77777777" w:rsidTr="00AF1C52">
        <w:trPr>
          <w:cnfStyle w:val="000000100000" w:firstRow="0" w:lastRow="0" w:firstColumn="0" w:lastColumn="0" w:oddVBand="0" w:evenVBand="0" w:oddHBand="1" w:evenHBand="0" w:firstRowFirstColumn="0" w:firstRowLastColumn="0" w:lastRowFirstColumn="0" w:lastRowLastColumn="0"/>
        </w:trPr>
        <w:tc>
          <w:tcPr>
            <w:tcW w:w="2090" w:type="dxa"/>
            <w:noWrap/>
            <w:hideMark/>
          </w:tcPr>
          <w:p w14:paraId="48D396C8" w14:textId="77777777" w:rsidR="0075432A" w:rsidRPr="00807AC3" w:rsidRDefault="0075432A" w:rsidP="00AF1C52">
            <w:pPr>
              <w:rPr>
                <w:noProof/>
              </w:rPr>
            </w:pPr>
            <w:r w:rsidRPr="00807AC3">
              <w:rPr>
                <w:noProof/>
              </w:rPr>
              <w:t>Financial programming</w:t>
            </w:r>
          </w:p>
        </w:tc>
        <w:tc>
          <w:tcPr>
            <w:tcW w:w="943" w:type="dxa"/>
            <w:noWrap/>
            <w:hideMark/>
          </w:tcPr>
          <w:p w14:paraId="784C4EB2" w14:textId="77777777" w:rsidR="0075432A" w:rsidRPr="00807AC3" w:rsidRDefault="0075432A" w:rsidP="00AF1C52">
            <w:pPr>
              <w:jc w:val="center"/>
              <w:rPr>
                <w:noProof/>
              </w:rPr>
            </w:pPr>
            <w:r w:rsidRPr="001E46E6">
              <w:rPr>
                <w:noProof/>
              </w:rPr>
              <w:t>34</w:t>
            </w:r>
            <w:r>
              <w:rPr>
                <w:noProof/>
              </w:rPr>
              <w:t>.</w:t>
            </w:r>
            <w:r w:rsidRPr="001E46E6">
              <w:rPr>
                <w:noProof/>
              </w:rPr>
              <w:t>8</w:t>
            </w:r>
          </w:p>
        </w:tc>
        <w:tc>
          <w:tcPr>
            <w:tcW w:w="944" w:type="dxa"/>
            <w:noWrap/>
            <w:hideMark/>
          </w:tcPr>
          <w:p w14:paraId="2273ECEA" w14:textId="77777777" w:rsidR="0075432A" w:rsidRPr="00807AC3" w:rsidRDefault="0075432A" w:rsidP="00AF1C52">
            <w:pPr>
              <w:jc w:val="center"/>
              <w:rPr>
                <w:noProof/>
              </w:rPr>
            </w:pPr>
            <w:r w:rsidRPr="001E46E6">
              <w:rPr>
                <w:noProof/>
              </w:rPr>
              <w:t>36</w:t>
            </w:r>
            <w:r>
              <w:rPr>
                <w:noProof/>
              </w:rPr>
              <w:t>.</w:t>
            </w:r>
            <w:r w:rsidRPr="001E46E6">
              <w:rPr>
                <w:noProof/>
              </w:rPr>
              <w:t>9</w:t>
            </w:r>
          </w:p>
        </w:tc>
        <w:tc>
          <w:tcPr>
            <w:tcW w:w="943" w:type="dxa"/>
            <w:noWrap/>
            <w:hideMark/>
          </w:tcPr>
          <w:p w14:paraId="5454965D" w14:textId="77777777" w:rsidR="0075432A" w:rsidRPr="00807AC3" w:rsidRDefault="0075432A" w:rsidP="00AF1C52">
            <w:pPr>
              <w:jc w:val="center"/>
              <w:rPr>
                <w:noProof/>
              </w:rPr>
            </w:pPr>
            <w:r w:rsidRPr="001E46E6">
              <w:rPr>
                <w:noProof/>
              </w:rPr>
              <w:t>37</w:t>
            </w:r>
            <w:r>
              <w:rPr>
                <w:noProof/>
              </w:rPr>
              <w:t>.</w:t>
            </w:r>
            <w:r w:rsidRPr="001E46E6">
              <w:rPr>
                <w:noProof/>
              </w:rPr>
              <w:t>7</w:t>
            </w:r>
          </w:p>
        </w:tc>
        <w:tc>
          <w:tcPr>
            <w:tcW w:w="944" w:type="dxa"/>
            <w:noWrap/>
            <w:hideMark/>
          </w:tcPr>
          <w:p w14:paraId="4C1940F5" w14:textId="77777777" w:rsidR="0075432A" w:rsidRPr="00807AC3" w:rsidRDefault="0075432A" w:rsidP="00AF1C52">
            <w:pPr>
              <w:jc w:val="center"/>
              <w:rPr>
                <w:noProof/>
              </w:rPr>
            </w:pPr>
            <w:r w:rsidRPr="001E46E6">
              <w:rPr>
                <w:noProof/>
              </w:rPr>
              <w:t>38</w:t>
            </w:r>
            <w:r>
              <w:rPr>
                <w:noProof/>
              </w:rPr>
              <w:t>.</w:t>
            </w:r>
            <w:r w:rsidRPr="001E46E6">
              <w:rPr>
                <w:noProof/>
              </w:rPr>
              <w:t>4</w:t>
            </w:r>
          </w:p>
        </w:tc>
        <w:tc>
          <w:tcPr>
            <w:tcW w:w="944" w:type="dxa"/>
            <w:noWrap/>
            <w:hideMark/>
          </w:tcPr>
          <w:p w14:paraId="7FDDC24E" w14:textId="77777777" w:rsidR="0075432A" w:rsidRPr="00807AC3" w:rsidRDefault="0075432A" w:rsidP="00AF1C52">
            <w:pPr>
              <w:jc w:val="center"/>
              <w:rPr>
                <w:noProof/>
              </w:rPr>
            </w:pPr>
            <w:r w:rsidRPr="001E46E6">
              <w:rPr>
                <w:noProof/>
              </w:rPr>
              <w:t>39</w:t>
            </w:r>
            <w:r>
              <w:rPr>
                <w:noProof/>
              </w:rPr>
              <w:t>.</w:t>
            </w:r>
            <w:r w:rsidRPr="001E46E6">
              <w:rPr>
                <w:noProof/>
              </w:rPr>
              <w:t>2</w:t>
            </w:r>
          </w:p>
        </w:tc>
        <w:tc>
          <w:tcPr>
            <w:tcW w:w="943" w:type="dxa"/>
            <w:noWrap/>
            <w:hideMark/>
          </w:tcPr>
          <w:p w14:paraId="7974193A" w14:textId="77777777" w:rsidR="0075432A" w:rsidRPr="00807AC3" w:rsidRDefault="0075432A" w:rsidP="00AF1C52">
            <w:pPr>
              <w:jc w:val="center"/>
              <w:rPr>
                <w:noProof/>
              </w:rPr>
            </w:pPr>
            <w:r w:rsidRPr="001E46E6">
              <w:rPr>
                <w:noProof/>
              </w:rPr>
              <w:t>40</w:t>
            </w:r>
            <w:r>
              <w:rPr>
                <w:noProof/>
              </w:rPr>
              <w:t>.</w:t>
            </w:r>
            <w:r w:rsidRPr="001E46E6">
              <w:rPr>
                <w:noProof/>
              </w:rPr>
              <w:t>0</w:t>
            </w:r>
          </w:p>
        </w:tc>
        <w:tc>
          <w:tcPr>
            <w:tcW w:w="944" w:type="dxa"/>
            <w:noWrap/>
            <w:hideMark/>
          </w:tcPr>
          <w:p w14:paraId="75F8BFAD" w14:textId="77777777" w:rsidR="0075432A" w:rsidRPr="00807AC3" w:rsidRDefault="0075432A" w:rsidP="00AF1C52">
            <w:pPr>
              <w:jc w:val="center"/>
              <w:rPr>
                <w:noProof/>
              </w:rPr>
            </w:pPr>
            <w:r w:rsidRPr="001E46E6">
              <w:rPr>
                <w:noProof/>
              </w:rPr>
              <w:t>40</w:t>
            </w:r>
            <w:r>
              <w:rPr>
                <w:noProof/>
              </w:rPr>
              <w:t>.</w:t>
            </w:r>
            <w:r w:rsidRPr="001E46E6">
              <w:rPr>
                <w:noProof/>
              </w:rPr>
              <w:t>8</w:t>
            </w:r>
          </w:p>
        </w:tc>
        <w:tc>
          <w:tcPr>
            <w:tcW w:w="944" w:type="dxa"/>
            <w:noWrap/>
            <w:hideMark/>
          </w:tcPr>
          <w:p w14:paraId="62DE488E" w14:textId="77777777" w:rsidR="0075432A" w:rsidRPr="00807AC3" w:rsidRDefault="0075432A" w:rsidP="00AF1C52">
            <w:pPr>
              <w:jc w:val="center"/>
              <w:rPr>
                <w:noProof/>
              </w:rPr>
            </w:pPr>
            <w:r w:rsidRPr="001E46E6">
              <w:rPr>
                <w:noProof/>
              </w:rPr>
              <w:t>267</w:t>
            </w:r>
            <w:r>
              <w:rPr>
                <w:noProof/>
              </w:rPr>
              <w:t>.</w:t>
            </w:r>
            <w:r w:rsidRPr="001E46E6">
              <w:rPr>
                <w:noProof/>
              </w:rPr>
              <w:t>8</w:t>
            </w:r>
          </w:p>
        </w:tc>
      </w:tr>
      <w:tr w:rsidR="0075432A" w:rsidRPr="00040D99" w14:paraId="674CCE6E" w14:textId="77777777" w:rsidTr="00AF1C52">
        <w:trPr>
          <w:cnfStyle w:val="000000010000" w:firstRow="0" w:lastRow="0" w:firstColumn="0" w:lastColumn="0" w:oddVBand="0" w:evenVBand="0" w:oddHBand="0" w:evenHBand="1" w:firstRowFirstColumn="0" w:firstRowLastColumn="0" w:lastRowFirstColumn="0" w:lastRowLastColumn="0"/>
        </w:trPr>
        <w:tc>
          <w:tcPr>
            <w:tcW w:w="2090" w:type="dxa"/>
            <w:noWrap/>
            <w:hideMark/>
          </w:tcPr>
          <w:p w14:paraId="7EAF82E2" w14:textId="77777777" w:rsidR="0075432A" w:rsidRPr="00807AC3" w:rsidRDefault="0075432A" w:rsidP="00AF1C52">
            <w:pPr>
              <w:rPr>
                <w:noProof/>
              </w:rPr>
            </w:pPr>
            <w:r w:rsidRPr="00807AC3">
              <w:rPr>
                <w:noProof/>
              </w:rPr>
              <w:t>NextGenerationEU</w:t>
            </w:r>
          </w:p>
        </w:tc>
        <w:tc>
          <w:tcPr>
            <w:tcW w:w="943" w:type="dxa"/>
            <w:noWrap/>
            <w:hideMark/>
          </w:tcPr>
          <w:p w14:paraId="2E3D0978" w14:textId="77777777" w:rsidR="0075432A" w:rsidRPr="00807AC3" w:rsidRDefault="0075432A" w:rsidP="00AF1C52">
            <w:pPr>
              <w:jc w:val="center"/>
              <w:rPr>
                <w:noProof/>
              </w:rPr>
            </w:pPr>
          </w:p>
        </w:tc>
        <w:tc>
          <w:tcPr>
            <w:tcW w:w="944" w:type="dxa"/>
            <w:noWrap/>
            <w:hideMark/>
          </w:tcPr>
          <w:p w14:paraId="76A113B0" w14:textId="77777777" w:rsidR="0075432A" w:rsidRPr="00807AC3" w:rsidRDefault="0075432A" w:rsidP="00AF1C52">
            <w:pPr>
              <w:jc w:val="center"/>
              <w:rPr>
                <w:noProof/>
              </w:rPr>
            </w:pPr>
          </w:p>
        </w:tc>
        <w:tc>
          <w:tcPr>
            <w:tcW w:w="943" w:type="dxa"/>
            <w:noWrap/>
            <w:hideMark/>
          </w:tcPr>
          <w:p w14:paraId="1C7D31A3" w14:textId="77777777" w:rsidR="0075432A" w:rsidRPr="00807AC3" w:rsidRDefault="0075432A" w:rsidP="00AF1C52">
            <w:pPr>
              <w:jc w:val="center"/>
              <w:rPr>
                <w:noProof/>
              </w:rPr>
            </w:pPr>
          </w:p>
        </w:tc>
        <w:tc>
          <w:tcPr>
            <w:tcW w:w="944" w:type="dxa"/>
            <w:noWrap/>
            <w:hideMark/>
          </w:tcPr>
          <w:p w14:paraId="09E606DF" w14:textId="77777777" w:rsidR="0075432A" w:rsidRPr="00807AC3" w:rsidRDefault="0075432A" w:rsidP="00AF1C52">
            <w:pPr>
              <w:jc w:val="center"/>
              <w:rPr>
                <w:noProof/>
              </w:rPr>
            </w:pPr>
          </w:p>
        </w:tc>
        <w:tc>
          <w:tcPr>
            <w:tcW w:w="944" w:type="dxa"/>
            <w:noWrap/>
            <w:hideMark/>
          </w:tcPr>
          <w:p w14:paraId="58A24585" w14:textId="77777777" w:rsidR="0075432A" w:rsidRPr="00807AC3" w:rsidRDefault="0075432A" w:rsidP="00AF1C52">
            <w:pPr>
              <w:jc w:val="center"/>
              <w:rPr>
                <w:noProof/>
              </w:rPr>
            </w:pPr>
          </w:p>
        </w:tc>
        <w:tc>
          <w:tcPr>
            <w:tcW w:w="943" w:type="dxa"/>
            <w:noWrap/>
            <w:hideMark/>
          </w:tcPr>
          <w:p w14:paraId="6451D51B" w14:textId="77777777" w:rsidR="0075432A" w:rsidRPr="00807AC3" w:rsidRDefault="0075432A" w:rsidP="00AF1C52">
            <w:pPr>
              <w:jc w:val="center"/>
              <w:rPr>
                <w:noProof/>
              </w:rPr>
            </w:pPr>
          </w:p>
        </w:tc>
        <w:tc>
          <w:tcPr>
            <w:tcW w:w="944" w:type="dxa"/>
            <w:noWrap/>
            <w:hideMark/>
          </w:tcPr>
          <w:p w14:paraId="32696C30" w14:textId="77777777" w:rsidR="0075432A" w:rsidRPr="00807AC3" w:rsidRDefault="0075432A" w:rsidP="00AF1C52">
            <w:pPr>
              <w:jc w:val="center"/>
              <w:rPr>
                <w:noProof/>
              </w:rPr>
            </w:pPr>
          </w:p>
        </w:tc>
        <w:tc>
          <w:tcPr>
            <w:tcW w:w="944" w:type="dxa"/>
            <w:noWrap/>
            <w:hideMark/>
          </w:tcPr>
          <w:p w14:paraId="11683F30" w14:textId="77777777" w:rsidR="0075432A" w:rsidRPr="00807AC3" w:rsidRDefault="0075432A" w:rsidP="00AF1C52">
            <w:pPr>
              <w:jc w:val="center"/>
              <w:rPr>
                <w:noProof/>
              </w:rPr>
            </w:pPr>
          </w:p>
        </w:tc>
      </w:tr>
      <w:tr w:rsidR="0075432A" w:rsidRPr="00040D99" w14:paraId="6EEB5E96" w14:textId="77777777" w:rsidTr="00AF1C52">
        <w:trPr>
          <w:cnfStyle w:val="000000100000" w:firstRow="0" w:lastRow="0" w:firstColumn="0" w:lastColumn="0" w:oddVBand="0" w:evenVBand="0" w:oddHBand="1" w:evenHBand="0" w:firstRowFirstColumn="0" w:firstRowLastColumn="0" w:lastRowFirstColumn="0" w:lastRowLastColumn="0"/>
        </w:trPr>
        <w:tc>
          <w:tcPr>
            <w:tcW w:w="2090" w:type="dxa"/>
            <w:noWrap/>
            <w:hideMark/>
          </w:tcPr>
          <w:p w14:paraId="0898426F" w14:textId="77777777" w:rsidR="0075432A" w:rsidRPr="00807AC3" w:rsidRDefault="0075432A" w:rsidP="00AF1C52">
            <w:pPr>
              <w:rPr>
                <w:noProof/>
              </w:rPr>
            </w:pPr>
            <w:r w:rsidRPr="00807AC3">
              <w:rPr>
                <w:noProof/>
              </w:rPr>
              <w:t>Decommitments made available again</w:t>
            </w:r>
            <w:r>
              <w:rPr>
                <w:rFonts w:ascii="Calibri" w:hAnsi="Calibri" w:cs="Calibri"/>
                <w:noProof/>
              </w:rPr>
              <w:t> (</w:t>
            </w:r>
            <w:r w:rsidRPr="00940A8D">
              <w:rPr>
                <w:noProof/>
              </w:rPr>
              <w:t>*</w:t>
            </w:r>
            <w:r>
              <w:rPr>
                <w:noProof/>
              </w:rPr>
              <w:t>)</w:t>
            </w:r>
          </w:p>
        </w:tc>
        <w:tc>
          <w:tcPr>
            <w:tcW w:w="943" w:type="dxa"/>
            <w:noWrap/>
            <w:hideMark/>
          </w:tcPr>
          <w:p w14:paraId="54394216" w14:textId="77777777" w:rsidR="0075432A" w:rsidRPr="00807AC3" w:rsidRDefault="0075432A" w:rsidP="00AF1C52">
            <w:pPr>
              <w:jc w:val="center"/>
              <w:rPr>
                <w:noProof/>
              </w:rPr>
            </w:pPr>
            <w:r>
              <w:rPr>
                <w:noProof/>
              </w:rPr>
              <w:t>N/A</w:t>
            </w:r>
          </w:p>
        </w:tc>
        <w:tc>
          <w:tcPr>
            <w:tcW w:w="944" w:type="dxa"/>
            <w:noWrap/>
            <w:hideMark/>
          </w:tcPr>
          <w:p w14:paraId="33A934D0" w14:textId="77777777" w:rsidR="0075432A" w:rsidRPr="00807AC3" w:rsidRDefault="0075432A" w:rsidP="00AF1C52">
            <w:pPr>
              <w:jc w:val="center"/>
              <w:rPr>
                <w:noProof/>
              </w:rPr>
            </w:pPr>
          </w:p>
        </w:tc>
        <w:tc>
          <w:tcPr>
            <w:tcW w:w="943" w:type="dxa"/>
            <w:noWrap/>
            <w:hideMark/>
          </w:tcPr>
          <w:p w14:paraId="7D5BDBD6" w14:textId="77777777" w:rsidR="0075432A" w:rsidRPr="00807AC3" w:rsidRDefault="0075432A" w:rsidP="00AF1C52">
            <w:pPr>
              <w:jc w:val="center"/>
              <w:rPr>
                <w:noProof/>
              </w:rPr>
            </w:pPr>
          </w:p>
        </w:tc>
        <w:tc>
          <w:tcPr>
            <w:tcW w:w="944" w:type="dxa"/>
            <w:noWrap/>
            <w:hideMark/>
          </w:tcPr>
          <w:p w14:paraId="480D9D7F" w14:textId="77777777" w:rsidR="0075432A" w:rsidRPr="00807AC3" w:rsidRDefault="0075432A" w:rsidP="00AF1C52">
            <w:pPr>
              <w:jc w:val="center"/>
              <w:rPr>
                <w:noProof/>
              </w:rPr>
            </w:pPr>
          </w:p>
        </w:tc>
        <w:tc>
          <w:tcPr>
            <w:tcW w:w="944" w:type="dxa"/>
            <w:noWrap/>
            <w:hideMark/>
          </w:tcPr>
          <w:p w14:paraId="4D5FFB9C" w14:textId="77777777" w:rsidR="0075432A" w:rsidRPr="00807AC3" w:rsidRDefault="0075432A" w:rsidP="00AF1C52">
            <w:pPr>
              <w:jc w:val="center"/>
              <w:rPr>
                <w:noProof/>
              </w:rPr>
            </w:pPr>
          </w:p>
        </w:tc>
        <w:tc>
          <w:tcPr>
            <w:tcW w:w="943" w:type="dxa"/>
            <w:noWrap/>
            <w:hideMark/>
          </w:tcPr>
          <w:p w14:paraId="76446DC7" w14:textId="77777777" w:rsidR="0075432A" w:rsidRPr="00807AC3" w:rsidRDefault="0075432A" w:rsidP="00AF1C52">
            <w:pPr>
              <w:jc w:val="center"/>
              <w:rPr>
                <w:noProof/>
              </w:rPr>
            </w:pPr>
          </w:p>
        </w:tc>
        <w:tc>
          <w:tcPr>
            <w:tcW w:w="944" w:type="dxa"/>
            <w:noWrap/>
            <w:hideMark/>
          </w:tcPr>
          <w:p w14:paraId="3A3470E4" w14:textId="77777777" w:rsidR="0075432A" w:rsidRPr="00807AC3" w:rsidRDefault="0075432A" w:rsidP="00AF1C52">
            <w:pPr>
              <w:jc w:val="center"/>
              <w:rPr>
                <w:noProof/>
              </w:rPr>
            </w:pPr>
          </w:p>
        </w:tc>
        <w:tc>
          <w:tcPr>
            <w:tcW w:w="944" w:type="dxa"/>
            <w:noWrap/>
            <w:hideMark/>
          </w:tcPr>
          <w:p w14:paraId="08DBAF93" w14:textId="77777777" w:rsidR="0075432A" w:rsidRPr="00807AC3" w:rsidRDefault="0075432A" w:rsidP="00AF1C52">
            <w:pPr>
              <w:jc w:val="center"/>
              <w:rPr>
                <w:noProof/>
              </w:rPr>
            </w:pPr>
            <w:r>
              <w:rPr>
                <w:noProof/>
              </w:rPr>
              <w:t>N/A</w:t>
            </w:r>
          </w:p>
        </w:tc>
      </w:tr>
      <w:tr w:rsidR="0075432A" w:rsidRPr="00040D99" w14:paraId="57C1209A" w14:textId="77777777" w:rsidTr="00AF1C52">
        <w:trPr>
          <w:cnfStyle w:val="000000010000" w:firstRow="0" w:lastRow="0" w:firstColumn="0" w:lastColumn="0" w:oddVBand="0" w:evenVBand="0" w:oddHBand="0" w:evenHBand="1" w:firstRowFirstColumn="0" w:firstRowLastColumn="0" w:lastRowFirstColumn="0" w:lastRowLastColumn="0"/>
        </w:trPr>
        <w:tc>
          <w:tcPr>
            <w:tcW w:w="2090" w:type="dxa"/>
            <w:noWrap/>
            <w:hideMark/>
          </w:tcPr>
          <w:p w14:paraId="56988592" w14:textId="77777777" w:rsidR="0075432A" w:rsidRPr="00807AC3" w:rsidRDefault="0075432A" w:rsidP="00AF1C52">
            <w:pPr>
              <w:rPr>
                <w:noProof/>
              </w:rPr>
            </w:pPr>
            <w:r w:rsidRPr="00807AC3">
              <w:rPr>
                <w:noProof/>
              </w:rPr>
              <w:t>Contributions from other countries and entities</w:t>
            </w:r>
          </w:p>
        </w:tc>
        <w:tc>
          <w:tcPr>
            <w:tcW w:w="943" w:type="dxa"/>
            <w:noWrap/>
            <w:hideMark/>
          </w:tcPr>
          <w:p w14:paraId="34490D3A" w14:textId="77777777" w:rsidR="0075432A" w:rsidRPr="00807AC3" w:rsidRDefault="0075432A" w:rsidP="00AF1C52">
            <w:pPr>
              <w:jc w:val="center"/>
              <w:rPr>
                <w:noProof/>
              </w:rPr>
            </w:pPr>
            <w:r>
              <w:rPr>
                <w:noProof/>
              </w:rPr>
              <w:t>0.0</w:t>
            </w:r>
          </w:p>
        </w:tc>
        <w:tc>
          <w:tcPr>
            <w:tcW w:w="944" w:type="dxa"/>
            <w:noWrap/>
            <w:hideMark/>
          </w:tcPr>
          <w:p w14:paraId="718D4614" w14:textId="77777777" w:rsidR="0075432A" w:rsidRPr="00807AC3" w:rsidRDefault="0075432A" w:rsidP="00AF1C52">
            <w:pPr>
              <w:jc w:val="center"/>
              <w:rPr>
                <w:noProof/>
              </w:rPr>
            </w:pPr>
            <w:r>
              <w:rPr>
                <w:noProof/>
              </w:rPr>
              <w:t>p.m.</w:t>
            </w:r>
          </w:p>
        </w:tc>
        <w:tc>
          <w:tcPr>
            <w:tcW w:w="943" w:type="dxa"/>
            <w:noWrap/>
            <w:hideMark/>
          </w:tcPr>
          <w:p w14:paraId="53C66F91" w14:textId="77777777" w:rsidR="0075432A" w:rsidRPr="00807AC3" w:rsidRDefault="0075432A" w:rsidP="00AF1C52">
            <w:pPr>
              <w:jc w:val="center"/>
              <w:rPr>
                <w:noProof/>
              </w:rPr>
            </w:pPr>
            <w:r>
              <w:rPr>
                <w:noProof/>
              </w:rPr>
              <w:t>p.m.</w:t>
            </w:r>
          </w:p>
        </w:tc>
        <w:tc>
          <w:tcPr>
            <w:tcW w:w="944" w:type="dxa"/>
            <w:noWrap/>
            <w:hideMark/>
          </w:tcPr>
          <w:p w14:paraId="7EB2E2B7" w14:textId="77777777" w:rsidR="0075432A" w:rsidRPr="00807AC3" w:rsidRDefault="0075432A" w:rsidP="00AF1C52">
            <w:pPr>
              <w:jc w:val="center"/>
              <w:rPr>
                <w:noProof/>
              </w:rPr>
            </w:pPr>
            <w:r>
              <w:rPr>
                <w:noProof/>
              </w:rPr>
              <w:t>p.m.</w:t>
            </w:r>
          </w:p>
        </w:tc>
        <w:tc>
          <w:tcPr>
            <w:tcW w:w="944" w:type="dxa"/>
            <w:noWrap/>
            <w:hideMark/>
          </w:tcPr>
          <w:p w14:paraId="2FB08CE7" w14:textId="77777777" w:rsidR="0075432A" w:rsidRPr="00807AC3" w:rsidRDefault="0075432A" w:rsidP="00AF1C52">
            <w:pPr>
              <w:jc w:val="center"/>
              <w:rPr>
                <w:noProof/>
              </w:rPr>
            </w:pPr>
            <w:r>
              <w:rPr>
                <w:noProof/>
              </w:rPr>
              <w:t>p.m.</w:t>
            </w:r>
          </w:p>
        </w:tc>
        <w:tc>
          <w:tcPr>
            <w:tcW w:w="943" w:type="dxa"/>
            <w:noWrap/>
            <w:hideMark/>
          </w:tcPr>
          <w:p w14:paraId="231A4EAA" w14:textId="77777777" w:rsidR="0075432A" w:rsidRPr="00807AC3" w:rsidRDefault="0075432A" w:rsidP="00AF1C52">
            <w:pPr>
              <w:jc w:val="left"/>
              <w:rPr>
                <w:noProof/>
              </w:rPr>
            </w:pPr>
            <w:r>
              <w:rPr>
                <w:noProof/>
              </w:rPr>
              <w:t>p.m.</w:t>
            </w:r>
          </w:p>
        </w:tc>
        <w:tc>
          <w:tcPr>
            <w:tcW w:w="944" w:type="dxa"/>
            <w:noWrap/>
            <w:hideMark/>
          </w:tcPr>
          <w:p w14:paraId="434893F1" w14:textId="77777777" w:rsidR="0075432A" w:rsidRPr="00807AC3" w:rsidRDefault="0075432A" w:rsidP="00AF1C52">
            <w:pPr>
              <w:jc w:val="center"/>
              <w:rPr>
                <w:noProof/>
              </w:rPr>
            </w:pPr>
            <w:r>
              <w:rPr>
                <w:noProof/>
              </w:rPr>
              <w:t>p.m.</w:t>
            </w:r>
          </w:p>
        </w:tc>
        <w:tc>
          <w:tcPr>
            <w:tcW w:w="944" w:type="dxa"/>
            <w:noWrap/>
            <w:hideMark/>
          </w:tcPr>
          <w:p w14:paraId="526069A1" w14:textId="77777777" w:rsidR="0075432A" w:rsidRPr="00807AC3" w:rsidRDefault="0075432A" w:rsidP="00AF1C52">
            <w:pPr>
              <w:jc w:val="center"/>
              <w:rPr>
                <w:noProof/>
              </w:rPr>
            </w:pPr>
            <w:r>
              <w:rPr>
                <w:noProof/>
              </w:rPr>
              <w:t>0.0</w:t>
            </w:r>
          </w:p>
        </w:tc>
      </w:tr>
    </w:tbl>
    <w:p w14:paraId="270C88FE" w14:textId="77777777" w:rsidR="0075432A" w:rsidRDefault="0075432A" w:rsidP="0075432A">
      <w:pPr>
        <w:pStyle w:val="FootnoteText"/>
        <w:rPr>
          <w:rFonts w:eastAsiaTheme="minorEastAsia"/>
          <w:noProof/>
        </w:rPr>
      </w:pPr>
    </w:p>
    <w:p w14:paraId="26F031F8" w14:textId="77777777" w:rsidR="0075432A" w:rsidRPr="001115F5" w:rsidRDefault="0075432A" w:rsidP="0075432A">
      <w:pPr>
        <w:tabs>
          <w:tab w:val="left" w:pos="6793"/>
        </w:tabs>
        <w:rPr>
          <w:noProof/>
          <w:sz w:val="18"/>
          <w:szCs w:val="18"/>
          <w:lang w:val="en-IE"/>
        </w:rPr>
      </w:pPr>
      <w:r w:rsidRPr="597A208D">
        <w:rPr>
          <w:noProof/>
          <w:sz w:val="18"/>
          <w:szCs w:val="18"/>
          <w:lang w:val="en-IE"/>
        </w:rPr>
        <w:t>(*) Only Article</w:t>
      </w:r>
      <w:r w:rsidRPr="597A208D">
        <w:rPr>
          <w:rFonts w:ascii="Calibri" w:hAnsi="Calibri" w:cs="Calibri"/>
          <w:noProof/>
          <w:sz w:val="18"/>
          <w:szCs w:val="18"/>
          <w:lang w:val="en-IE"/>
        </w:rPr>
        <w:t> </w:t>
      </w:r>
      <w:r w:rsidRPr="597A208D">
        <w:rPr>
          <w:noProof/>
          <w:sz w:val="18"/>
          <w:szCs w:val="18"/>
          <w:lang w:val="en-IE"/>
        </w:rPr>
        <w:t>15(3) of the financial regulation.</w:t>
      </w:r>
    </w:p>
    <w:p w14:paraId="67B9CBB0" w14:textId="3C3AE3E2" w:rsidR="0075432A" w:rsidRDefault="0075432A" w:rsidP="0075432A">
      <w:pPr>
        <w:pStyle w:val="ppoTableTabletitle"/>
        <w:jc w:val="center"/>
        <w:rPr>
          <w:noProof/>
        </w:rPr>
      </w:pPr>
      <w:r w:rsidRPr="00304A2B">
        <w:rPr>
          <w:noProof/>
          <w:lang w:val="en-IE"/>
        </w:rPr>
        <w:t>Financial programming</w:t>
      </w:r>
      <w:r w:rsidR="004C4764">
        <w:rPr>
          <w:noProof/>
          <w:lang w:val="en-IE"/>
        </w:rPr>
        <w:t>:</w:t>
      </w:r>
      <w:r w:rsidRPr="597A208D">
        <w:rPr>
          <w:noProof/>
          <w:color w:val="0078D4"/>
          <w:lang w:val="en-IE"/>
        </w:rPr>
        <w:t xml:space="preserve"> </w:t>
      </w:r>
      <w:r w:rsidRPr="597A208D">
        <w:rPr>
          <w:rStyle w:val="ppocharOrangetext24pt"/>
          <w:noProof/>
        </w:rPr>
        <w:t>–</w:t>
      </w:r>
      <w:r w:rsidRPr="597A208D">
        <w:rPr>
          <w:rStyle w:val="ppocharOrangetext24pt"/>
          <w:rFonts w:ascii="Calibri" w:hAnsi="Calibri" w:cs="Calibri"/>
          <w:noProof/>
        </w:rPr>
        <w:t> </w:t>
      </w:r>
      <w:r w:rsidRPr="597A208D">
        <w:rPr>
          <w:rStyle w:val="ppocharOrangetext24pt"/>
          <w:noProof/>
        </w:rPr>
        <w:t>EUR</w:t>
      </w:r>
      <w:r w:rsidRPr="597A208D">
        <w:rPr>
          <w:rStyle w:val="ppocharOrangetext24pt"/>
          <w:rFonts w:ascii="Calibri" w:hAnsi="Calibri" w:cs="Calibri"/>
          <w:noProof/>
        </w:rPr>
        <w:t> </w:t>
      </w:r>
      <w:r w:rsidRPr="597A208D">
        <w:rPr>
          <w:rStyle w:val="ppocharOrangetext24pt"/>
          <w:noProof/>
        </w:rPr>
        <w:t>1.4</w:t>
      </w:r>
      <w:r w:rsidRPr="597A208D">
        <w:rPr>
          <w:rStyle w:val="ppocharOrangetext24pt"/>
          <w:rFonts w:ascii="Calibri" w:hAnsi="Calibri" w:cs="Calibri"/>
          <w:noProof/>
        </w:rPr>
        <w:t> </w:t>
      </w:r>
      <w:r w:rsidRPr="597A208D">
        <w:rPr>
          <w:rStyle w:val="ppocharOrangetext24pt"/>
          <w:noProof/>
        </w:rPr>
        <w:t>million (–</w:t>
      </w:r>
      <w:r w:rsidRPr="597A208D">
        <w:rPr>
          <w:rStyle w:val="ppocharOrangetext24pt"/>
          <w:rFonts w:ascii="Calibri" w:hAnsi="Calibri" w:cs="Calibri"/>
          <w:noProof/>
        </w:rPr>
        <w:t> </w:t>
      </w:r>
      <w:r w:rsidRPr="597A208D">
        <w:rPr>
          <w:rStyle w:val="ppocharOrangetext24pt"/>
          <w:noProof/>
        </w:rPr>
        <w:t xml:space="preserve">1%) </w:t>
      </w:r>
      <w:r w:rsidRPr="597A208D">
        <w:rPr>
          <w:noProof/>
          <w:lang w:val="en-IE"/>
        </w:rPr>
        <w:t>compared to the legal basis</w:t>
      </w:r>
      <w:r w:rsidR="000E1EB8">
        <w:rPr>
          <w:noProof/>
          <w:lang w:val="en-IE"/>
        </w:rPr>
        <w:t>.</w:t>
      </w:r>
    </w:p>
    <w:p w14:paraId="5DC7FB8C" w14:textId="77777777" w:rsidR="0075432A" w:rsidRPr="00CB3972" w:rsidRDefault="0075432A" w:rsidP="0075432A">
      <w:pPr>
        <w:pStyle w:val="ppoTableTabletitle"/>
        <w:rPr>
          <w:b/>
          <w:bCs/>
          <w:noProof/>
        </w:rPr>
      </w:pPr>
      <w:r w:rsidRPr="00040D99">
        <w:rPr>
          <w:noProof/>
        </w:rPr>
        <w:t>Cumulative implementation rate at the end of 2021:</w:t>
      </w:r>
    </w:p>
    <w:tbl>
      <w:tblPr>
        <w:tblStyle w:val="PPO2021"/>
        <w:tblW w:w="9639" w:type="dxa"/>
        <w:tblInd w:w="0" w:type="dxa"/>
        <w:tblLook w:val="06A0" w:firstRow="1" w:lastRow="0" w:firstColumn="1" w:lastColumn="0" w:noHBand="1" w:noVBand="1"/>
      </w:tblPr>
      <w:tblGrid>
        <w:gridCol w:w="2409"/>
        <w:gridCol w:w="2410"/>
        <w:gridCol w:w="2410"/>
        <w:gridCol w:w="2410"/>
      </w:tblGrid>
      <w:tr w:rsidR="0075432A" w:rsidRPr="00040D99" w14:paraId="1F3914C7" w14:textId="77777777" w:rsidTr="00AF1C52">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5C0A172E" w14:textId="77777777" w:rsidR="0075432A" w:rsidRPr="00807AC3" w:rsidRDefault="0075432A" w:rsidP="00AF1C52">
            <w:pPr>
              <w:rPr>
                <w:noProof/>
              </w:rPr>
            </w:pPr>
          </w:p>
        </w:tc>
        <w:tc>
          <w:tcPr>
            <w:tcW w:w="2410" w:type="dxa"/>
          </w:tcPr>
          <w:p w14:paraId="0A281A14" w14:textId="77777777" w:rsidR="0075432A" w:rsidRPr="00807AC3" w:rsidRDefault="0075432A" w:rsidP="00AF1C52">
            <w:pPr>
              <w:cnfStyle w:val="100000000000" w:firstRow="1" w:lastRow="0" w:firstColumn="0" w:lastColumn="0" w:oddVBand="0" w:evenVBand="0" w:oddHBand="0" w:evenHBand="0" w:firstRowFirstColumn="0" w:firstRowLastColumn="0" w:lastRowFirstColumn="0" w:lastRowLastColumn="0"/>
              <w:rPr>
                <w:noProof/>
              </w:rPr>
            </w:pPr>
            <w:r w:rsidRPr="00807AC3">
              <w:rPr>
                <w:noProof/>
              </w:rPr>
              <w:t>Implementation</w:t>
            </w:r>
          </w:p>
        </w:tc>
        <w:tc>
          <w:tcPr>
            <w:tcW w:w="2410" w:type="dxa"/>
          </w:tcPr>
          <w:p w14:paraId="3F7D26FD" w14:textId="77777777" w:rsidR="0075432A" w:rsidRPr="00807AC3" w:rsidRDefault="0075432A" w:rsidP="00AF1C52">
            <w:pPr>
              <w:cnfStyle w:val="100000000000" w:firstRow="1" w:lastRow="0" w:firstColumn="0" w:lastColumn="0" w:oddVBand="0" w:evenVBand="0" w:oddHBand="0" w:evenHBand="0" w:firstRowFirstColumn="0" w:firstRowLastColumn="0" w:lastRowFirstColumn="0" w:lastRowLastColumn="0"/>
              <w:rPr>
                <w:noProof/>
              </w:rPr>
            </w:pPr>
            <w:r w:rsidRPr="00807AC3">
              <w:rPr>
                <w:noProof/>
              </w:rPr>
              <w:t>Budget</w:t>
            </w:r>
          </w:p>
        </w:tc>
        <w:tc>
          <w:tcPr>
            <w:tcW w:w="2410" w:type="dxa"/>
          </w:tcPr>
          <w:p w14:paraId="3F4D9AD1" w14:textId="77777777" w:rsidR="0075432A" w:rsidRPr="00807AC3" w:rsidRDefault="0075432A" w:rsidP="00AF1C52">
            <w:pPr>
              <w:cnfStyle w:val="100000000000" w:firstRow="1" w:lastRow="0" w:firstColumn="0" w:lastColumn="0" w:oddVBand="0" w:evenVBand="0" w:oddHBand="0" w:evenHBand="0" w:firstRowFirstColumn="0" w:firstRowLastColumn="0" w:lastRowFirstColumn="0" w:lastRowLastColumn="0"/>
              <w:rPr>
                <w:noProof/>
              </w:rPr>
            </w:pPr>
            <w:r w:rsidRPr="00807AC3">
              <w:rPr>
                <w:noProof/>
              </w:rPr>
              <w:t>Implementation rate</w:t>
            </w:r>
          </w:p>
        </w:tc>
      </w:tr>
      <w:tr w:rsidR="0075432A" w:rsidRPr="00040D99" w14:paraId="5144774F"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6BDEC964" w14:textId="77777777" w:rsidR="0075432A" w:rsidRPr="00807AC3" w:rsidRDefault="0075432A" w:rsidP="00AF1C52">
            <w:pPr>
              <w:jc w:val="center"/>
              <w:rPr>
                <w:noProof/>
              </w:rPr>
            </w:pPr>
            <w:r w:rsidRPr="00807AC3">
              <w:rPr>
                <w:noProof/>
              </w:rPr>
              <w:t>Commitment</w:t>
            </w:r>
            <w:r>
              <w:rPr>
                <w:noProof/>
              </w:rPr>
              <w:t>s</w:t>
            </w:r>
          </w:p>
        </w:tc>
        <w:tc>
          <w:tcPr>
            <w:tcW w:w="2410" w:type="dxa"/>
          </w:tcPr>
          <w:tbl>
            <w:tblPr>
              <w:tblStyle w:val="TableGrid"/>
              <w:tblW w:w="0" w:type="auto"/>
              <w:tblLook w:val="06A0" w:firstRow="1" w:lastRow="0" w:firstColumn="1" w:lastColumn="0" w:noHBand="1" w:noVBand="1"/>
            </w:tblPr>
            <w:tblGrid>
              <w:gridCol w:w="2194"/>
            </w:tblGrid>
            <w:tr w:rsidR="0075432A" w14:paraId="3E52582C" w14:textId="77777777" w:rsidTr="00AF1C52">
              <w:trPr>
                <w:trHeight w:val="285"/>
              </w:trPr>
              <w:tc>
                <w:tcPr>
                  <w:tcW w:w="2290" w:type="dxa"/>
                  <w:tcBorders>
                    <w:top w:val="nil"/>
                    <w:left w:val="nil"/>
                    <w:bottom w:val="nil"/>
                    <w:right w:val="nil"/>
                  </w:tcBorders>
                  <w:shd w:val="clear" w:color="auto" w:fill="auto"/>
                  <w:vAlign w:val="bottom"/>
                </w:tcPr>
                <w:p w14:paraId="5CE0FCE2" w14:textId="77777777" w:rsidR="0075432A" w:rsidRDefault="0075432A" w:rsidP="00AF1C52">
                  <w:pPr>
                    <w:spacing w:before="100" w:after="100"/>
                    <w:jc w:val="center"/>
                    <w:rPr>
                      <w:noProof/>
                    </w:rPr>
                  </w:pPr>
                  <w:r w:rsidRPr="00433BA3">
                    <w:rPr>
                      <w:noProof/>
                    </w:rPr>
                    <w:t>34.8</w:t>
                  </w:r>
                </w:p>
              </w:tc>
            </w:tr>
          </w:tbl>
          <w:p w14:paraId="780D634D" w14:textId="77777777" w:rsidR="0075432A" w:rsidRPr="00807AC3" w:rsidRDefault="0075432A" w:rsidP="00AF1C5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75432A" w14:paraId="18FC6E22" w14:textId="77777777" w:rsidTr="00AF1C52">
              <w:trPr>
                <w:trHeight w:val="285"/>
              </w:trPr>
              <w:tc>
                <w:tcPr>
                  <w:tcW w:w="2290" w:type="dxa"/>
                  <w:tcBorders>
                    <w:top w:val="nil"/>
                    <w:left w:val="nil"/>
                    <w:bottom w:val="nil"/>
                    <w:right w:val="nil"/>
                  </w:tcBorders>
                  <w:vAlign w:val="bottom"/>
                </w:tcPr>
                <w:p w14:paraId="34A78094" w14:textId="77777777" w:rsidR="0075432A" w:rsidRDefault="0075432A" w:rsidP="00AF1C52">
                  <w:pPr>
                    <w:spacing w:before="100" w:after="100"/>
                    <w:jc w:val="center"/>
                    <w:rPr>
                      <w:noProof/>
                    </w:rPr>
                  </w:pPr>
                  <w:r w:rsidRPr="00433BA3">
                    <w:rPr>
                      <w:noProof/>
                    </w:rPr>
                    <w:t>267.8</w:t>
                  </w:r>
                </w:p>
              </w:tc>
            </w:tr>
          </w:tbl>
          <w:p w14:paraId="2719C2F4" w14:textId="77777777" w:rsidR="0075432A" w:rsidRPr="00807AC3" w:rsidRDefault="0075432A" w:rsidP="00AF1C5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75432A" w14:paraId="447374B0" w14:textId="77777777" w:rsidTr="00AF1C52">
              <w:trPr>
                <w:trHeight w:val="285"/>
              </w:trPr>
              <w:tc>
                <w:tcPr>
                  <w:tcW w:w="2290" w:type="dxa"/>
                  <w:tcBorders>
                    <w:top w:val="nil"/>
                    <w:left w:val="nil"/>
                    <w:bottom w:val="nil"/>
                    <w:right w:val="nil"/>
                  </w:tcBorders>
                  <w:vAlign w:val="bottom"/>
                </w:tcPr>
                <w:p w14:paraId="2258D1C0" w14:textId="77777777" w:rsidR="0075432A" w:rsidRDefault="0075432A" w:rsidP="00AF1C52">
                  <w:pPr>
                    <w:spacing w:before="100" w:after="100"/>
                    <w:jc w:val="center"/>
                    <w:rPr>
                      <w:noProof/>
                    </w:rPr>
                  </w:pPr>
                  <w:r w:rsidRPr="00433BA3">
                    <w:rPr>
                      <w:noProof/>
                    </w:rPr>
                    <w:t>13%</w:t>
                  </w:r>
                </w:p>
              </w:tc>
            </w:tr>
          </w:tbl>
          <w:p w14:paraId="1C5057C9" w14:textId="77777777" w:rsidR="0075432A" w:rsidRPr="00807AC3" w:rsidRDefault="0075432A" w:rsidP="00AF1C52">
            <w:pPr>
              <w:jc w:val="center"/>
              <w:cnfStyle w:val="000000000000" w:firstRow="0" w:lastRow="0" w:firstColumn="0" w:lastColumn="0" w:oddVBand="0" w:evenVBand="0" w:oddHBand="0" w:evenHBand="0" w:firstRowFirstColumn="0" w:firstRowLastColumn="0" w:lastRowFirstColumn="0" w:lastRowLastColumn="0"/>
              <w:rPr>
                <w:noProof/>
              </w:rPr>
            </w:pPr>
          </w:p>
        </w:tc>
      </w:tr>
      <w:tr w:rsidR="0075432A" w:rsidRPr="00040D99" w14:paraId="71B9D5F7"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4AA201DE" w14:textId="77777777" w:rsidR="0075432A" w:rsidRPr="00807AC3" w:rsidRDefault="0075432A" w:rsidP="00AF1C52">
            <w:pPr>
              <w:jc w:val="center"/>
              <w:rPr>
                <w:noProof/>
              </w:rPr>
            </w:pPr>
            <w:r w:rsidRPr="00807AC3">
              <w:rPr>
                <w:noProof/>
              </w:rPr>
              <w:t>Payments</w:t>
            </w:r>
          </w:p>
        </w:tc>
        <w:tc>
          <w:tcPr>
            <w:tcW w:w="2410" w:type="dxa"/>
          </w:tcPr>
          <w:tbl>
            <w:tblPr>
              <w:tblStyle w:val="TableGrid"/>
              <w:tblW w:w="0" w:type="auto"/>
              <w:tblLook w:val="06A0" w:firstRow="1" w:lastRow="0" w:firstColumn="1" w:lastColumn="0" w:noHBand="1" w:noVBand="1"/>
            </w:tblPr>
            <w:tblGrid>
              <w:gridCol w:w="2194"/>
            </w:tblGrid>
            <w:tr w:rsidR="0075432A" w14:paraId="45C8A1A5" w14:textId="77777777" w:rsidTr="00AF1C52">
              <w:trPr>
                <w:trHeight w:val="285"/>
              </w:trPr>
              <w:tc>
                <w:tcPr>
                  <w:tcW w:w="2290" w:type="dxa"/>
                  <w:tcBorders>
                    <w:top w:val="nil"/>
                    <w:left w:val="nil"/>
                    <w:bottom w:val="nil"/>
                    <w:right w:val="nil"/>
                  </w:tcBorders>
                  <w:vAlign w:val="bottom"/>
                </w:tcPr>
                <w:p w14:paraId="442E7844" w14:textId="77777777" w:rsidR="0075432A" w:rsidRDefault="0075432A" w:rsidP="00AF1C52">
                  <w:pPr>
                    <w:spacing w:before="100" w:after="100"/>
                    <w:jc w:val="center"/>
                    <w:rPr>
                      <w:noProof/>
                    </w:rPr>
                  </w:pPr>
                  <w:r w:rsidRPr="00433BA3">
                    <w:rPr>
                      <w:noProof/>
                    </w:rPr>
                    <w:t>10.1</w:t>
                  </w:r>
                </w:p>
              </w:tc>
            </w:tr>
          </w:tbl>
          <w:p w14:paraId="3CEE01B8" w14:textId="77777777" w:rsidR="0075432A" w:rsidRPr="00807AC3" w:rsidRDefault="0075432A" w:rsidP="00AF1C5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11C4D453" w14:textId="77777777" w:rsidR="0075432A" w:rsidRPr="00807AC3" w:rsidRDefault="0075432A" w:rsidP="00AF1C5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75432A" w14:paraId="21DCD6C1" w14:textId="77777777" w:rsidTr="00AF1C52">
              <w:trPr>
                <w:trHeight w:val="285"/>
              </w:trPr>
              <w:tc>
                <w:tcPr>
                  <w:tcW w:w="2235" w:type="dxa"/>
                  <w:tcBorders>
                    <w:top w:val="nil"/>
                    <w:left w:val="nil"/>
                    <w:bottom w:val="nil"/>
                    <w:right w:val="nil"/>
                  </w:tcBorders>
                  <w:vAlign w:val="bottom"/>
                </w:tcPr>
                <w:p w14:paraId="47123DE2" w14:textId="77777777" w:rsidR="0075432A" w:rsidRDefault="0075432A" w:rsidP="00AF1C52">
                  <w:pPr>
                    <w:spacing w:before="100" w:after="100"/>
                    <w:jc w:val="center"/>
                    <w:rPr>
                      <w:noProof/>
                    </w:rPr>
                  </w:pPr>
                  <w:r w:rsidRPr="00433BA3">
                    <w:rPr>
                      <w:noProof/>
                    </w:rPr>
                    <w:t>4%</w:t>
                  </w:r>
                </w:p>
              </w:tc>
            </w:tr>
          </w:tbl>
          <w:p w14:paraId="302760D0" w14:textId="77777777" w:rsidR="0075432A" w:rsidRPr="00807AC3" w:rsidRDefault="0075432A" w:rsidP="00AF1C52">
            <w:pPr>
              <w:jc w:val="center"/>
              <w:cnfStyle w:val="000000000000" w:firstRow="0" w:lastRow="0" w:firstColumn="0" w:lastColumn="0" w:oddVBand="0" w:evenVBand="0" w:oddHBand="0" w:evenHBand="0" w:firstRowFirstColumn="0" w:firstRowLastColumn="0" w:lastRowFirstColumn="0" w:lastRowLastColumn="0"/>
              <w:rPr>
                <w:noProof/>
              </w:rPr>
            </w:pPr>
          </w:p>
        </w:tc>
      </w:tr>
    </w:tbl>
    <w:p w14:paraId="01524CBC" w14:textId="77777777" w:rsidR="0075432A" w:rsidRPr="00CB3972" w:rsidRDefault="0075432A" w:rsidP="0075432A">
      <w:pPr>
        <w:pStyle w:val="ppoTableTabletitle"/>
        <w:rPr>
          <w:b/>
          <w:bCs/>
          <w:noProof/>
        </w:rPr>
      </w:pPr>
      <w:r w:rsidRPr="00040D99">
        <w:rPr>
          <w:noProof/>
        </w:rPr>
        <w:t>Voted budget implementation in 2021</w:t>
      </w:r>
      <w:r>
        <w:rPr>
          <w:noProof/>
        </w:rPr>
        <w:t xml:space="preserve"> (million EUR):</w:t>
      </w:r>
    </w:p>
    <w:tbl>
      <w:tblPr>
        <w:tblStyle w:val="PPO2021"/>
        <w:tblW w:w="3683" w:type="pct"/>
        <w:tblInd w:w="79" w:type="dxa"/>
        <w:tblLook w:val="04A0" w:firstRow="1" w:lastRow="0" w:firstColumn="1" w:lastColumn="0" w:noHBand="0" w:noVBand="1"/>
      </w:tblPr>
      <w:tblGrid>
        <w:gridCol w:w="2419"/>
        <w:gridCol w:w="2419"/>
        <w:gridCol w:w="2420"/>
      </w:tblGrid>
      <w:tr w:rsidR="0075432A" w:rsidRPr="00040D99" w14:paraId="7D5CEED8" w14:textId="77777777" w:rsidTr="00AF1C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4D568045" w14:textId="77777777" w:rsidR="0075432A" w:rsidRPr="0017374C" w:rsidRDefault="0075432A" w:rsidP="00AF1C52">
            <w:pPr>
              <w:rPr>
                <w:noProof/>
              </w:rPr>
            </w:pPr>
          </w:p>
        </w:tc>
        <w:tc>
          <w:tcPr>
            <w:tcW w:w="2419" w:type="dxa"/>
          </w:tcPr>
          <w:p w14:paraId="0A83A4D9" w14:textId="77777777" w:rsidR="0075432A" w:rsidRPr="0017374C" w:rsidRDefault="0075432A" w:rsidP="00AF1C52">
            <w:pPr>
              <w:cnfStyle w:val="100000000000" w:firstRow="1" w:lastRow="0" w:firstColumn="0" w:lastColumn="0" w:oddVBand="0" w:evenVBand="0" w:oddHBand="0" w:evenHBand="0" w:firstRowFirstColumn="0" w:firstRowLastColumn="0" w:lastRowFirstColumn="0" w:lastRowLastColumn="0"/>
              <w:rPr>
                <w:noProof/>
              </w:rPr>
            </w:pPr>
            <w:r w:rsidRPr="0017374C">
              <w:rPr>
                <w:noProof/>
              </w:rPr>
              <w:t>Voted budget implementation</w:t>
            </w:r>
          </w:p>
        </w:tc>
        <w:tc>
          <w:tcPr>
            <w:tcW w:w="2420" w:type="dxa"/>
          </w:tcPr>
          <w:p w14:paraId="7757C63C" w14:textId="77777777" w:rsidR="0075432A" w:rsidRPr="0017374C" w:rsidRDefault="0075432A" w:rsidP="00AF1C52">
            <w:pPr>
              <w:cnfStyle w:val="100000000000" w:firstRow="1" w:lastRow="0" w:firstColumn="0" w:lastColumn="0" w:oddVBand="0" w:evenVBand="0" w:oddHBand="0" w:evenHBand="0" w:firstRowFirstColumn="0" w:firstRowLastColumn="0" w:lastRowFirstColumn="0" w:lastRowLastColumn="0"/>
              <w:rPr>
                <w:noProof/>
              </w:rPr>
            </w:pPr>
            <w:r w:rsidRPr="0017374C">
              <w:rPr>
                <w:noProof/>
              </w:rPr>
              <w:t>Initial voted budget</w:t>
            </w:r>
          </w:p>
        </w:tc>
      </w:tr>
      <w:tr w:rsidR="0075432A" w:rsidRPr="00040D99" w14:paraId="499A8CAF" w14:textId="77777777" w:rsidTr="00AF1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7143C8D4" w14:textId="77777777" w:rsidR="0075432A" w:rsidRPr="0017374C" w:rsidRDefault="0075432A" w:rsidP="00AF1C52">
            <w:pPr>
              <w:jc w:val="center"/>
              <w:rPr>
                <w:noProof/>
              </w:rPr>
            </w:pPr>
            <w:r w:rsidRPr="0017374C">
              <w:rPr>
                <w:noProof/>
              </w:rPr>
              <w:t>Commitments</w:t>
            </w:r>
          </w:p>
        </w:tc>
        <w:tc>
          <w:tcPr>
            <w:tcW w:w="2419" w:type="dxa"/>
          </w:tcPr>
          <w:p w14:paraId="507C70AA" w14:textId="77777777" w:rsidR="0075432A" w:rsidRPr="0017374C" w:rsidRDefault="0075432A" w:rsidP="00AF1C52">
            <w:pPr>
              <w:jc w:val="center"/>
              <w:cnfStyle w:val="000000100000" w:firstRow="0" w:lastRow="0" w:firstColumn="0" w:lastColumn="0" w:oddVBand="0" w:evenVBand="0" w:oddHBand="1" w:evenHBand="0" w:firstRowFirstColumn="0" w:firstRowLastColumn="0" w:lastRowFirstColumn="0" w:lastRowLastColumn="0"/>
              <w:rPr>
                <w:noProof/>
              </w:rPr>
            </w:pPr>
            <w:r>
              <w:rPr>
                <w:noProof/>
              </w:rPr>
              <w:t>34.8</w:t>
            </w:r>
          </w:p>
        </w:tc>
        <w:tc>
          <w:tcPr>
            <w:tcW w:w="2420" w:type="dxa"/>
          </w:tcPr>
          <w:p w14:paraId="50FB0924" w14:textId="77777777" w:rsidR="0075432A" w:rsidRPr="0017374C" w:rsidRDefault="0075432A" w:rsidP="00AF1C52">
            <w:pPr>
              <w:jc w:val="center"/>
              <w:cnfStyle w:val="000000100000" w:firstRow="0" w:lastRow="0" w:firstColumn="0" w:lastColumn="0" w:oddVBand="0" w:evenVBand="0" w:oddHBand="1" w:evenHBand="0" w:firstRowFirstColumn="0" w:firstRowLastColumn="0" w:lastRowFirstColumn="0" w:lastRowLastColumn="0"/>
              <w:rPr>
                <w:noProof/>
              </w:rPr>
            </w:pPr>
            <w:r>
              <w:rPr>
                <w:noProof/>
              </w:rPr>
              <w:t>36.2</w:t>
            </w:r>
          </w:p>
        </w:tc>
      </w:tr>
      <w:tr w:rsidR="0075432A" w:rsidRPr="00040D99" w14:paraId="64EFFCB9" w14:textId="77777777" w:rsidTr="00AF1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4913F0E9" w14:textId="77777777" w:rsidR="0075432A" w:rsidRPr="0017374C" w:rsidRDefault="0075432A" w:rsidP="00AF1C52">
            <w:pPr>
              <w:jc w:val="center"/>
              <w:rPr>
                <w:noProof/>
              </w:rPr>
            </w:pPr>
            <w:r w:rsidRPr="0017374C">
              <w:rPr>
                <w:noProof/>
              </w:rPr>
              <w:t>Payments</w:t>
            </w:r>
          </w:p>
        </w:tc>
        <w:tc>
          <w:tcPr>
            <w:tcW w:w="2419" w:type="dxa"/>
          </w:tcPr>
          <w:p w14:paraId="1D0E0498" w14:textId="77777777" w:rsidR="0075432A" w:rsidRPr="0017374C" w:rsidRDefault="0075432A" w:rsidP="00AF1C52">
            <w:pPr>
              <w:jc w:val="center"/>
              <w:cnfStyle w:val="000000010000" w:firstRow="0" w:lastRow="0" w:firstColumn="0" w:lastColumn="0" w:oddVBand="0" w:evenVBand="0" w:oddHBand="0" w:evenHBand="1" w:firstRowFirstColumn="0" w:firstRowLastColumn="0" w:lastRowFirstColumn="0" w:lastRowLastColumn="0"/>
              <w:rPr>
                <w:noProof/>
              </w:rPr>
            </w:pPr>
            <w:r>
              <w:rPr>
                <w:noProof/>
              </w:rPr>
              <w:t>10.1</w:t>
            </w:r>
          </w:p>
        </w:tc>
        <w:tc>
          <w:tcPr>
            <w:tcW w:w="2420" w:type="dxa"/>
          </w:tcPr>
          <w:p w14:paraId="3DD30EEA" w14:textId="77777777" w:rsidR="0075432A" w:rsidRPr="0017374C" w:rsidRDefault="0075432A" w:rsidP="00AF1C52">
            <w:pPr>
              <w:jc w:val="center"/>
              <w:cnfStyle w:val="000000010000" w:firstRow="0" w:lastRow="0" w:firstColumn="0" w:lastColumn="0" w:oddVBand="0" w:evenVBand="0" w:oddHBand="0" w:evenHBand="1" w:firstRowFirstColumn="0" w:firstRowLastColumn="0" w:lastRowFirstColumn="0" w:lastRowLastColumn="0"/>
              <w:rPr>
                <w:noProof/>
              </w:rPr>
            </w:pPr>
            <w:r>
              <w:rPr>
                <w:noProof/>
              </w:rPr>
              <w:t>8.8</w:t>
            </w:r>
          </w:p>
        </w:tc>
      </w:tr>
    </w:tbl>
    <w:p w14:paraId="65BF3D9D" w14:textId="77777777" w:rsidR="0075432A" w:rsidRDefault="0075432A" w:rsidP="0075432A">
      <w:pPr>
        <w:pStyle w:val="ppoListHyphened-L1"/>
        <w:rPr>
          <w:noProof/>
        </w:rPr>
      </w:pPr>
      <w:r>
        <w:rPr>
          <w:noProof/>
        </w:rPr>
        <w:t>Despite the late adoptions of (1) the new 2021</w:t>
      </w:r>
      <w:r w:rsidDel="00A77FE0">
        <w:rPr>
          <w:noProof/>
        </w:rPr>
        <w:t>-</w:t>
      </w:r>
      <w:r>
        <w:rPr>
          <w:noProof/>
        </w:rPr>
        <w:t xml:space="preserve">2027 </w:t>
      </w:r>
      <w:r w:rsidRPr="007B2646">
        <w:rPr>
          <w:noProof/>
        </w:rPr>
        <w:t>multi</w:t>
      </w:r>
      <w:r w:rsidRPr="00940A8D">
        <w:rPr>
          <w:noProof/>
        </w:rPr>
        <w:t>a</w:t>
      </w:r>
      <w:r w:rsidRPr="007B2646">
        <w:rPr>
          <w:noProof/>
        </w:rPr>
        <w:t xml:space="preserve">nnual </w:t>
      </w:r>
      <w:r w:rsidRPr="00940A8D">
        <w:rPr>
          <w:noProof/>
        </w:rPr>
        <w:t>f</w:t>
      </w:r>
      <w:r w:rsidRPr="007B2646">
        <w:rPr>
          <w:noProof/>
        </w:rPr>
        <w:t xml:space="preserve">inancial </w:t>
      </w:r>
      <w:r w:rsidRPr="00940A8D">
        <w:rPr>
          <w:noProof/>
        </w:rPr>
        <w:t>f</w:t>
      </w:r>
      <w:r w:rsidRPr="007B2646">
        <w:rPr>
          <w:noProof/>
        </w:rPr>
        <w:t>ramework</w:t>
      </w:r>
      <w:r>
        <w:rPr>
          <w:noProof/>
        </w:rPr>
        <w:t>, (2) the new Fiscalis regulation (20</w:t>
      </w:r>
      <w:r>
        <w:rPr>
          <w:rFonts w:ascii="Calibri" w:hAnsi="Calibri" w:cs="Calibri"/>
          <w:noProof/>
        </w:rPr>
        <w:t> </w:t>
      </w:r>
      <w:r>
        <w:rPr>
          <w:noProof/>
        </w:rPr>
        <w:t>May 2021) and (3) the 2021</w:t>
      </w:r>
      <w:r w:rsidDel="00A77FE0">
        <w:rPr>
          <w:noProof/>
        </w:rPr>
        <w:t>-</w:t>
      </w:r>
      <w:r>
        <w:rPr>
          <w:noProof/>
        </w:rPr>
        <w:t>2023 financing decision (2</w:t>
      </w:r>
      <w:r>
        <w:rPr>
          <w:rFonts w:ascii="Calibri" w:hAnsi="Calibri" w:cs="Calibri"/>
          <w:noProof/>
        </w:rPr>
        <w:t> </w:t>
      </w:r>
      <w:r>
        <w:rPr>
          <w:noProof/>
        </w:rPr>
        <w:t xml:space="preserve">July 2021), </w:t>
      </w:r>
      <w:r w:rsidRPr="00940A8D">
        <w:rPr>
          <w:noProof/>
        </w:rPr>
        <w:t>13</w:t>
      </w:r>
      <w:r w:rsidRPr="00AC352A">
        <w:rPr>
          <w:noProof/>
        </w:rPr>
        <w:t>%</w:t>
      </w:r>
      <w:r>
        <w:rPr>
          <w:noProof/>
        </w:rPr>
        <w:t xml:space="preserve"> of the total envelope was committed in 2021. </w:t>
      </w:r>
      <w:r w:rsidRPr="007D3474">
        <w:rPr>
          <w:noProof/>
        </w:rPr>
        <w:t xml:space="preserve">The largest expenditure (64%) relates to the European </w:t>
      </w:r>
      <w:r>
        <w:rPr>
          <w:noProof/>
        </w:rPr>
        <w:t>e</w:t>
      </w:r>
      <w:r w:rsidRPr="007D3474">
        <w:rPr>
          <w:noProof/>
        </w:rPr>
        <w:t xml:space="preserve">lectronic </w:t>
      </w:r>
      <w:r>
        <w:rPr>
          <w:noProof/>
        </w:rPr>
        <w:t>s</w:t>
      </w:r>
      <w:r w:rsidRPr="007D3474">
        <w:rPr>
          <w:noProof/>
        </w:rPr>
        <w:t xml:space="preserve">ystems. 28% was committed for collaboration activities (including expert teams) and 8% was committed </w:t>
      </w:r>
      <w:r>
        <w:rPr>
          <w:noProof/>
        </w:rPr>
        <w:t>to</w:t>
      </w:r>
      <w:r w:rsidRPr="007D3474">
        <w:rPr>
          <w:noProof/>
        </w:rPr>
        <w:t xml:space="preserve"> other actions such as communication, studies and consultations.</w:t>
      </w:r>
    </w:p>
    <w:p w14:paraId="74ABAC43" w14:textId="77777777" w:rsidR="0075432A" w:rsidRDefault="0075432A" w:rsidP="0075432A">
      <w:pPr>
        <w:pStyle w:val="ppoListHyphened-L1"/>
        <w:rPr>
          <w:noProof/>
        </w:rPr>
      </w:pPr>
      <w:r>
        <w:rPr>
          <w:noProof/>
        </w:rPr>
        <w:t>The impact of the COVID-19 pandemic is yet to be determined for the new programme, due to the late adoption of the regulation and financing decision. While the impact is likely to be very limited for the expenditure on procurement</w:t>
      </w:r>
      <w:r>
        <w:rPr>
          <w:rFonts w:ascii="Calibri" w:hAnsi="Calibri" w:cs="Calibri"/>
          <w:noProof/>
        </w:rPr>
        <w:t> –</w:t>
      </w:r>
      <w:r>
        <w:rPr>
          <w:noProof/>
        </w:rPr>
        <w:t xml:space="preserve"> largely related to the maintenance and development of the </w:t>
      </w:r>
      <w:r>
        <w:rPr>
          <w:rFonts w:eastAsiaTheme="minorEastAsia"/>
          <w:noProof/>
        </w:rPr>
        <w:t>information technology</w:t>
      </w:r>
      <w:r>
        <w:rPr>
          <w:noProof/>
        </w:rPr>
        <w:t xml:space="preserve"> systems</w:t>
      </w:r>
      <w:r>
        <w:rPr>
          <w:rFonts w:ascii="Calibri" w:hAnsi="Calibri" w:cs="Calibri"/>
          <w:noProof/>
        </w:rPr>
        <w:t> –</w:t>
      </w:r>
      <w:r>
        <w:rPr>
          <w:noProof/>
        </w:rPr>
        <w:t xml:space="preserve"> it may well be more significant for expenditure on grants on collaborative actions, due to travel restrictions, which limit the scope for face-to-face meetings. </w:t>
      </w:r>
    </w:p>
    <w:p w14:paraId="78FC8CAF" w14:textId="77777777" w:rsidR="0075432A" w:rsidRDefault="0075432A" w:rsidP="0075432A">
      <w:pPr>
        <w:pStyle w:val="ppoListHyphened-L1"/>
        <w:rPr>
          <w:noProof/>
        </w:rPr>
      </w:pPr>
      <w:r>
        <w:rPr>
          <w:noProof/>
        </w:rPr>
        <w:t>The impact of the pandemic on the 2014</w:t>
      </w:r>
      <w:r w:rsidDel="00A77FE0">
        <w:rPr>
          <w:noProof/>
        </w:rPr>
        <w:t>-</w:t>
      </w:r>
      <w:r>
        <w:rPr>
          <w:noProof/>
        </w:rPr>
        <w:t>2020 programme was notable (see Section</w:t>
      </w:r>
      <w:r>
        <w:rPr>
          <w:rFonts w:ascii="Calibri" w:hAnsi="Calibri" w:cs="Calibri"/>
          <w:noProof/>
        </w:rPr>
        <w:t> </w:t>
      </w:r>
      <w:r>
        <w:rPr>
          <w:noProof/>
        </w:rPr>
        <w:t>2.2.) and led to underconsumption of budget allocation, which resulted in an extension of the 2020 grants until November 2021 for the general collaborative actions. For these reasons, the grants under the 2021</w:t>
      </w:r>
      <w:r w:rsidDel="00A77FE0">
        <w:rPr>
          <w:noProof/>
        </w:rPr>
        <w:t>-</w:t>
      </w:r>
      <w:r>
        <w:rPr>
          <w:noProof/>
        </w:rPr>
        <w:t>2027 programme only started in December 2021.</w:t>
      </w:r>
    </w:p>
    <w:p w14:paraId="0BAE09A4" w14:textId="77777777" w:rsidR="0075432A" w:rsidRPr="00040D99" w:rsidRDefault="0075432A" w:rsidP="0075432A">
      <w:pPr>
        <w:pStyle w:val="ppoHeading5"/>
        <w:rPr>
          <w:noProof/>
        </w:rPr>
      </w:pPr>
      <w:r w:rsidRPr="00040D99">
        <w:rPr>
          <w:noProof/>
        </w:rPr>
        <w:t>Contribution to horizontal priorities</w:t>
      </w:r>
    </w:p>
    <w:p w14:paraId="2EB499FE" w14:textId="77777777" w:rsidR="0075432A" w:rsidRPr="00040D99" w:rsidRDefault="0075432A" w:rsidP="0075432A">
      <w:pPr>
        <w:pStyle w:val="ppoTableTabletitle"/>
        <w:rPr>
          <w:noProof/>
        </w:rPr>
      </w:pPr>
      <w:r w:rsidRPr="00040D99">
        <w:rPr>
          <w:noProof/>
        </w:rPr>
        <w:t>EU budget contribution in 2021</w:t>
      </w:r>
      <w:r>
        <w:rPr>
          <w:noProof/>
        </w:rPr>
        <w:t xml:space="preserve"> (million EUR):</w:t>
      </w:r>
    </w:p>
    <w:tbl>
      <w:tblPr>
        <w:tblStyle w:val="PPO2021"/>
        <w:tblW w:w="9639" w:type="dxa"/>
        <w:tblInd w:w="0" w:type="dxa"/>
        <w:tblLook w:val="0420" w:firstRow="1" w:lastRow="0" w:firstColumn="0" w:lastColumn="0" w:noHBand="0" w:noVBand="1"/>
      </w:tblPr>
      <w:tblGrid>
        <w:gridCol w:w="3213"/>
        <w:gridCol w:w="3213"/>
        <w:gridCol w:w="3213"/>
      </w:tblGrid>
      <w:tr w:rsidR="0075432A" w:rsidRPr="00040D99" w14:paraId="0FB0C2C4" w14:textId="77777777" w:rsidTr="00AF1C52">
        <w:trPr>
          <w:cnfStyle w:val="100000000000" w:firstRow="1" w:lastRow="0" w:firstColumn="0" w:lastColumn="0" w:oddVBand="0" w:evenVBand="0" w:oddHBand="0" w:evenHBand="0" w:firstRowFirstColumn="0" w:firstRowLastColumn="0" w:lastRowFirstColumn="0" w:lastRowLastColumn="0"/>
          <w:tblHeader/>
        </w:trPr>
        <w:tc>
          <w:tcPr>
            <w:tcW w:w="3213" w:type="dxa"/>
          </w:tcPr>
          <w:p w14:paraId="61846EB4" w14:textId="77777777" w:rsidR="0075432A" w:rsidRPr="00BD731A" w:rsidRDefault="0075432A" w:rsidP="00AF1C52">
            <w:pPr>
              <w:rPr>
                <w:noProof/>
              </w:rPr>
            </w:pPr>
            <w:r w:rsidRPr="00BD731A">
              <w:rPr>
                <w:noProof/>
              </w:rPr>
              <w:t>Climate</w:t>
            </w:r>
          </w:p>
        </w:tc>
        <w:tc>
          <w:tcPr>
            <w:tcW w:w="3213" w:type="dxa"/>
          </w:tcPr>
          <w:p w14:paraId="3097C988" w14:textId="77777777" w:rsidR="0075432A" w:rsidRPr="00BD731A" w:rsidRDefault="0075432A" w:rsidP="00AF1C52">
            <w:pPr>
              <w:rPr>
                <w:noProof/>
              </w:rPr>
            </w:pPr>
            <w:r w:rsidRPr="00BD731A">
              <w:rPr>
                <w:noProof/>
              </w:rPr>
              <w:t>Biodiversity</w:t>
            </w:r>
          </w:p>
        </w:tc>
        <w:tc>
          <w:tcPr>
            <w:tcW w:w="3213" w:type="dxa"/>
          </w:tcPr>
          <w:p w14:paraId="4A1B2D96" w14:textId="77777777" w:rsidR="0075432A" w:rsidRPr="00BD731A" w:rsidRDefault="0075432A" w:rsidP="00AF1C52">
            <w:pPr>
              <w:rPr>
                <w:noProof/>
              </w:rPr>
            </w:pPr>
            <w:r w:rsidRPr="00BD731A">
              <w:rPr>
                <w:noProof/>
              </w:rPr>
              <w:t>Gender equality</w:t>
            </w:r>
            <w:r>
              <w:rPr>
                <w:rFonts w:ascii="Calibri" w:hAnsi="Calibri" w:cs="Calibri"/>
                <w:noProof/>
              </w:rPr>
              <w:t> </w:t>
            </w:r>
            <w:r>
              <w:rPr>
                <w:noProof/>
              </w:rPr>
              <w:t>(</w:t>
            </w:r>
            <w:r w:rsidRPr="00940A8D">
              <w:rPr>
                <w:noProof/>
              </w:rPr>
              <w:t>*</w:t>
            </w:r>
            <w:r>
              <w:rPr>
                <w:noProof/>
              </w:rPr>
              <w:t>)</w:t>
            </w:r>
          </w:p>
        </w:tc>
      </w:tr>
      <w:tr w:rsidR="0075432A" w:rsidRPr="00040D99" w14:paraId="4BEED063" w14:textId="77777777" w:rsidTr="00AF1C52">
        <w:trPr>
          <w:cnfStyle w:val="000000100000" w:firstRow="0" w:lastRow="0" w:firstColumn="0" w:lastColumn="0" w:oddVBand="0" w:evenVBand="0" w:oddHBand="1" w:evenHBand="0" w:firstRowFirstColumn="0" w:firstRowLastColumn="0" w:lastRowFirstColumn="0" w:lastRowLastColumn="0"/>
        </w:trPr>
        <w:tc>
          <w:tcPr>
            <w:tcW w:w="3213" w:type="dxa"/>
          </w:tcPr>
          <w:tbl>
            <w:tblPr>
              <w:tblStyle w:val="TableGrid"/>
              <w:tblW w:w="0" w:type="auto"/>
              <w:tblLook w:val="06A0" w:firstRow="1" w:lastRow="0" w:firstColumn="1" w:lastColumn="0" w:noHBand="1" w:noVBand="1"/>
            </w:tblPr>
            <w:tblGrid>
              <w:gridCol w:w="1935"/>
            </w:tblGrid>
            <w:tr w:rsidR="0075432A" w14:paraId="4599B257" w14:textId="77777777" w:rsidTr="00AF1C52">
              <w:trPr>
                <w:trHeight w:val="285"/>
              </w:trPr>
              <w:tc>
                <w:tcPr>
                  <w:tcW w:w="1935" w:type="dxa"/>
                  <w:tcBorders>
                    <w:top w:val="nil"/>
                    <w:left w:val="nil"/>
                    <w:bottom w:val="nil"/>
                    <w:right w:val="nil"/>
                  </w:tcBorders>
                  <w:vAlign w:val="bottom"/>
                </w:tcPr>
                <w:p w14:paraId="0B2C8291" w14:textId="77777777" w:rsidR="0075432A" w:rsidRDefault="0075432A" w:rsidP="00AF1C52">
                  <w:pPr>
                    <w:jc w:val="right"/>
                    <w:rPr>
                      <w:noProof/>
                    </w:rPr>
                  </w:pPr>
                  <w:r w:rsidRPr="00CB3972">
                    <w:rPr>
                      <w:noProof/>
                    </w:rPr>
                    <w:t>0</w:t>
                  </w:r>
                </w:p>
              </w:tc>
            </w:tr>
          </w:tbl>
          <w:p w14:paraId="345BA041" w14:textId="77777777" w:rsidR="0075432A" w:rsidRPr="00BD731A" w:rsidRDefault="0075432A" w:rsidP="00AF1C52">
            <w:pPr>
              <w:jc w:val="center"/>
              <w:rPr>
                <w:noProof/>
              </w:rPr>
            </w:pPr>
          </w:p>
        </w:tc>
        <w:tc>
          <w:tcPr>
            <w:tcW w:w="3213" w:type="dxa"/>
          </w:tcPr>
          <w:p w14:paraId="3A1F9FA0" w14:textId="77777777" w:rsidR="0075432A" w:rsidRPr="00BD731A" w:rsidRDefault="0075432A" w:rsidP="00AF1C52">
            <w:pPr>
              <w:jc w:val="center"/>
              <w:rPr>
                <w:noProof/>
              </w:rPr>
            </w:pPr>
            <w:r>
              <w:rPr>
                <w:noProof/>
              </w:rPr>
              <w:t>0</w:t>
            </w:r>
          </w:p>
        </w:tc>
        <w:tc>
          <w:tcPr>
            <w:tcW w:w="3213" w:type="dxa"/>
          </w:tcPr>
          <w:p w14:paraId="6A3B97F0" w14:textId="77777777" w:rsidR="0075432A" w:rsidRDefault="0075432A" w:rsidP="00AF1C52">
            <w:pPr>
              <w:jc w:val="center"/>
              <w:rPr>
                <w:noProof/>
              </w:rPr>
            </w:pPr>
            <w:r>
              <w:rPr>
                <w:noProof/>
              </w:rPr>
              <w:t>Score 0: 22.2</w:t>
            </w:r>
          </w:p>
          <w:p w14:paraId="0B40B1BA" w14:textId="77777777" w:rsidR="0075432A" w:rsidRPr="00BD731A" w:rsidRDefault="0075432A" w:rsidP="00AF1C52">
            <w:pPr>
              <w:jc w:val="center"/>
              <w:rPr>
                <w:noProof/>
              </w:rPr>
            </w:pPr>
            <w:r>
              <w:rPr>
                <w:noProof/>
              </w:rPr>
              <w:t>Score 0*: 12.6</w:t>
            </w:r>
          </w:p>
        </w:tc>
      </w:tr>
    </w:tbl>
    <w:p w14:paraId="23BD3910" w14:textId="77777777" w:rsidR="0075432A" w:rsidRPr="00FF1E2D" w:rsidRDefault="0075432A" w:rsidP="0075432A">
      <w:pPr>
        <w:pStyle w:val="FootnoteText"/>
        <w:rPr>
          <w:noProof/>
          <w:lang w:val="en-IE"/>
        </w:rPr>
      </w:pPr>
      <w:r>
        <w:rPr>
          <w:noProof/>
          <w:lang w:val="en-IE"/>
        </w:rPr>
        <w:t>(</w:t>
      </w:r>
      <w:r w:rsidRPr="00FF1E2D">
        <w:rPr>
          <w:noProof/>
          <w:lang w:val="en-IE"/>
        </w:rPr>
        <w:t>*</w:t>
      </w:r>
      <w:r>
        <w:rPr>
          <w:noProof/>
          <w:lang w:val="en-IE"/>
        </w:rPr>
        <w:t>)</w:t>
      </w:r>
      <w:r w:rsidRPr="00FF1E2D">
        <w:rPr>
          <w:noProof/>
          <w:lang w:val="en-IE"/>
        </w:rPr>
        <w:t xml:space="preserve"> </w:t>
      </w:r>
      <w:r w:rsidRPr="00FF1E2D">
        <w:rPr>
          <w:noProof/>
          <w:lang w:val="en-IE"/>
        </w:rPr>
        <w:tab/>
        <w:t xml:space="preserve">Based on the applied gender contribution methodology, the following scores are attributed at the most granular level of intervention possible: </w:t>
      </w:r>
    </w:p>
    <w:p w14:paraId="2D42DF26" w14:textId="77777777" w:rsidR="0075432A" w:rsidRPr="00FF1E2D" w:rsidRDefault="0075432A" w:rsidP="0075432A">
      <w:pPr>
        <w:pStyle w:val="FootnoteText"/>
        <w:numPr>
          <w:ilvl w:val="0"/>
          <w:numId w:val="38"/>
        </w:numPr>
        <w:spacing w:after="60" w:line="264" w:lineRule="auto"/>
        <w:jc w:val="left"/>
        <w:rPr>
          <w:noProof/>
          <w:lang w:val="en-IE"/>
        </w:rPr>
      </w:pPr>
      <w:r w:rsidRPr="00FF1E2D">
        <w:rPr>
          <w:noProof/>
          <w:lang w:val="en-IE"/>
        </w:rPr>
        <w:t xml:space="preserve">2: </w:t>
      </w:r>
      <w:r>
        <w:rPr>
          <w:noProof/>
          <w:lang w:val="en-IE"/>
        </w:rPr>
        <w:t>i</w:t>
      </w:r>
      <w:r w:rsidRPr="00FF1E2D">
        <w:rPr>
          <w:noProof/>
          <w:lang w:val="en-IE"/>
        </w:rPr>
        <w:t xml:space="preserve">nterventions </w:t>
      </w:r>
      <w:r>
        <w:rPr>
          <w:noProof/>
          <w:lang w:val="en-IE"/>
        </w:rPr>
        <w:t xml:space="preserve">the </w:t>
      </w:r>
      <w:r w:rsidRPr="00FF1E2D">
        <w:rPr>
          <w:noProof/>
          <w:lang w:val="en-IE"/>
        </w:rPr>
        <w:t xml:space="preserve">principal objective </w:t>
      </w:r>
      <w:r>
        <w:rPr>
          <w:noProof/>
          <w:lang w:val="en-IE"/>
        </w:rPr>
        <w:t xml:space="preserve">of which </w:t>
      </w:r>
      <w:r w:rsidRPr="00FF1E2D">
        <w:rPr>
          <w:noProof/>
          <w:lang w:val="en-IE"/>
        </w:rPr>
        <w:t>is to improve gender equality;</w:t>
      </w:r>
    </w:p>
    <w:p w14:paraId="79778174" w14:textId="77777777" w:rsidR="0075432A" w:rsidRPr="00FF1E2D" w:rsidRDefault="0075432A" w:rsidP="0075432A">
      <w:pPr>
        <w:pStyle w:val="FootnoteText"/>
        <w:numPr>
          <w:ilvl w:val="0"/>
          <w:numId w:val="38"/>
        </w:numPr>
        <w:spacing w:after="60" w:line="264" w:lineRule="auto"/>
        <w:jc w:val="left"/>
        <w:rPr>
          <w:noProof/>
          <w:lang w:val="en-IE"/>
        </w:rPr>
      </w:pPr>
      <w:r w:rsidRPr="00FF1E2D">
        <w:rPr>
          <w:noProof/>
          <w:lang w:val="en-IE"/>
        </w:rPr>
        <w:t xml:space="preserve">1: </w:t>
      </w:r>
      <w:r>
        <w:rPr>
          <w:noProof/>
          <w:lang w:val="en-IE"/>
        </w:rPr>
        <w:t>i</w:t>
      </w:r>
      <w:r w:rsidRPr="00FF1E2D">
        <w:rPr>
          <w:noProof/>
          <w:lang w:val="en-IE"/>
        </w:rPr>
        <w:t>nterventions that have gender equality as an important and deliberate objective but not as the main reason for the intervention;</w:t>
      </w:r>
    </w:p>
    <w:p w14:paraId="78AE385F" w14:textId="77777777" w:rsidR="0075432A" w:rsidRPr="00FF1E2D" w:rsidRDefault="0075432A" w:rsidP="0075432A">
      <w:pPr>
        <w:pStyle w:val="FootnoteText"/>
        <w:numPr>
          <w:ilvl w:val="0"/>
          <w:numId w:val="38"/>
        </w:numPr>
        <w:spacing w:after="60" w:line="264" w:lineRule="auto"/>
        <w:jc w:val="left"/>
        <w:rPr>
          <w:noProof/>
          <w:lang w:val="en-IE"/>
        </w:rPr>
      </w:pPr>
      <w:r w:rsidRPr="00FF1E2D">
        <w:rPr>
          <w:noProof/>
          <w:lang w:val="en-IE"/>
        </w:rPr>
        <w:t xml:space="preserve">0: </w:t>
      </w:r>
      <w:r>
        <w:rPr>
          <w:noProof/>
          <w:lang w:val="en-IE"/>
        </w:rPr>
        <w:t>n</w:t>
      </w:r>
      <w:r w:rsidRPr="00FF1E2D">
        <w:rPr>
          <w:noProof/>
          <w:lang w:val="en-IE"/>
        </w:rPr>
        <w:t>on-targeted interventions</w:t>
      </w:r>
      <w:r>
        <w:rPr>
          <w:noProof/>
          <w:lang w:val="en-IE"/>
        </w:rPr>
        <w:t>;</w:t>
      </w:r>
      <w:r w:rsidRPr="00FF1E2D">
        <w:rPr>
          <w:noProof/>
          <w:lang w:val="en-IE"/>
        </w:rPr>
        <w:t xml:space="preserve"> </w:t>
      </w:r>
    </w:p>
    <w:p w14:paraId="4EB590D1" w14:textId="77777777" w:rsidR="0075432A" w:rsidRPr="00FF1E2D" w:rsidRDefault="0075432A" w:rsidP="0075432A">
      <w:pPr>
        <w:pStyle w:val="FootnoteText"/>
        <w:numPr>
          <w:ilvl w:val="0"/>
          <w:numId w:val="38"/>
        </w:numPr>
        <w:spacing w:after="60" w:line="264" w:lineRule="auto"/>
        <w:jc w:val="left"/>
        <w:rPr>
          <w:noProof/>
          <w:lang w:val="en-IE"/>
        </w:rPr>
      </w:pPr>
      <w:r w:rsidRPr="00FF1E2D">
        <w:rPr>
          <w:noProof/>
          <w:lang w:val="en-IE"/>
        </w:rPr>
        <w:t>0*: Score to be assigned to interventions with a likely but not yet clear positive impact on gender equality.</w:t>
      </w:r>
    </w:p>
    <w:p w14:paraId="268188F4" w14:textId="77777777" w:rsidR="0075432A" w:rsidRPr="00040D99" w:rsidRDefault="0075432A" w:rsidP="0075432A">
      <w:pPr>
        <w:pStyle w:val="ppoHeading5"/>
        <w:rPr>
          <w:noProof/>
        </w:rPr>
      </w:pPr>
      <w:r w:rsidRPr="00040D99">
        <w:rPr>
          <w:noProof/>
        </w:rPr>
        <w:t>Performance assessment</w:t>
      </w:r>
    </w:p>
    <w:p w14:paraId="526FC91D" w14:textId="77777777" w:rsidR="0075432A" w:rsidRPr="00040D99" w:rsidRDefault="0075432A" w:rsidP="0075432A">
      <w:pPr>
        <w:pStyle w:val="ppoHeading6"/>
        <w:rPr>
          <w:noProof/>
        </w:rPr>
      </w:pPr>
      <w:r w:rsidRPr="00040D99">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75432A" w:rsidRPr="00AC11E4" w14:paraId="4575CAE4" w14:textId="77777777" w:rsidTr="00AF1C52">
        <w:trPr>
          <w:cnfStyle w:val="100000000000" w:firstRow="1" w:lastRow="0" w:firstColumn="0" w:lastColumn="0" w:oddVBand="0" w:evenVBand="0" w:oddHBand="0" w:evenHBand="0" w:firstRowFirstColumn="0" w:firstRowLastColumn="0" w:lastRowFirstColumn="0" w:lastRowLastColumn="0"/>
        </w:trPr>
        <w:tc>
          <w:tcPr>
            <w:tcW w:w="2330" w:type="dxa"/>
          </w:tcPr>
          <w:p w14:paraId="25833A86" w14:textId="77777777" w:rsidR="0075432A" w:rsidRPr="00884C9A" w:rsidRDefault="0075432A" w:rsidP="00AF1C52">
            <w:pPr>
              <w:rPr>
                <w:noProof/>
              </w:rPr>
            </w:pPr>
          </w:p>
        </w:tc>
        <w:tc>
          <w:tcPr>
            <w:tcW w:w="1100" w:type="dxa"/>
          </w:tcPr>
          <w:p w14:paraId="3668EA1E" w14:textId="77777777" w:rsidR="0075432A" w:rsidRPr="00884C9A" w:rsidRDefault="0075432A" w:rsidP="00AF1C52">
            <w:pPr>
              <w:rPr>
                <w:noProof/>
              </w:rPr>
            </w:pPr>
            <w:r w:rsidRPr="00884C9A">
              <w:rPr>
                <w:noProof/>
              </w:rPr>
              <w:t>Baseline</w:t>
            </w:r>
          </w:p>
        </w:tc>
        <w:tc>
          <w:tcPr>
            <w:tcW w:w="1526" w:type="dxa"/>
          </w:tcPr>
          <w:p w14:paraId="71EA46A7" w14:textId="77777777" w:rsidR="0075432A" w:rsidRPr="00884C9A" w:rsidRDefault="0075432A" w:rsidP="00AF1C52">
            <w:pPr>
              <w:rPr>
                <w:noProof/>
              </w:rPr>
            </w:pPr>
            <w:r w:rsidRPr="00884C9A">
              <w:rPr>
                <w:noProof/>
              </w:rPr>
              <w:t>Progress</w:t>
            </w:r>
            <w:r>
              <w:rPr>
                <w:noProof/>
              </w:rPr>
              <w:t xml:space="preserve"> (*)</w:t>
            </w:r>
          </w:p>
        </w:tc>
        <w:tc>
          <w:tcPr>
            <w:tcW w:w="1532" w:type="dxa"/>
          </w:tcPr>
          <w:p w14:paraId="43A578FE" w14:textId="77777777" w:rsidR="0075432A" w:rsidRPr="00884C9A" w:rsidRDefault="0075432A" w:rsidP="00AF1C52">
            <w:pPr>
              <w:rPr>
                <w:noProof/>
              </w:rPr>
            </w:pPr>
            <w:r w:rsidRPr="00884C9A">
              <w:rPr>
                <w:noProof/>
              </w:rPr>
              <w:t>Target</w:t>
            </w:r>
          </w:p>
        </w:tc>
        <w:tc>
          <w:tcPr>
            <w:tcW w:w="1572" w:type="dxa"/>
          </w:tcPr>
          <w:p w14:paraId="3E1F79B9" w14:textId="77777777" w:rsidR="0075432A" w:rsidRPr="00884C9A" w:rsidRDefault="0075432A" w:rsidP="00AF1C52">
            <w:pPr>
              <w:rPr>
                <w:noProof/>
              </w:rPr>
            </w:pPr>
            <w:r w:rsidRPr="00884C9A">
              <w:rPr>
                <w:noProof/>
              </w:rPr>
              <w:t>Results</w:t>
            </w:r>
          </w:p>
        </w:tc>
        <w:tc>
          <w:tcPr>
            <w:tcW w:w="1579" w:type="dxa"/>
          </w:tcPr>
          <w:p w14:paraId="588D72B1" w14:textId="77777777" w:rsidR="0075432A" w:rsidRPr="00884C9A" w:rsidRDefault="0075432A" w:rsidP="00AF1C52">
            <w:pPr>
              <w:rPr>
                <w:noProof/>
              </w:rPr>
            </w:pPr>
            <w:r w:rsidRPr="00884C9A">
              <w:rPr>
                <w:noProof/>
              </w:rPr>
              <w:t>Assessment</w:t>
            </w:r>
          </w:p>
        </w:tc>
      </w:tr>
      <w:tr w:rsidR="0042690B" w:rsidRPr="00AC11E4" w14:paraId="2A979F97" w14:textId="77777777" w:rsidTr="00AF1C52">
        <w:trPr>
          <w:cnfStyle w:val="000000100000" w:firstRow="0" w:lastRow="0" w:firstColumn="0" w:lastColumn="0" w:oddVBand="0" w:evenVBand="0" w:oddHBand="1" w:evenHBand="0" w:firstRowFirstColumn="0" w:firstRowLastColumn="0" w:lastRowFirstColumn="0" w:lastRowLastColumn="0"/>
        </w:trPr>
        <w:tc>
          <w:tcPr>
            <w:tcW w:w="2330" w:type="dxa"/>
          </w:tcPr>
          <w:p w14:paraId="52F55775" w14:textId="77777777" w:rsidR="0042690B" w:rsidRPr="00884C9A" w:rsidRDefault="0042690B" w:rsidP="0042690B">
            <w:pPr>
              <w:rPr>
                <w:noProof/>
              </w:rPr>
            </w:pPr>
            <w:r>
              <w:rPr>
                <w:noProof/>
              </w:rPr>
              <w:t>Union law and policy application and implementation index</w:t>
            </w:r>
            <w:r>
              <w:rPr>
                <w:rFonts w:ascii="Calibri" w:hAnsi="Calibri" w:cs="Calibri"/>
                <w:noProof/>
              </w:rPr>
              <w:t> –</w:t>
            </w:r>
            <w:r>
              <w:rPr>
                <w:noProof/>
              </w:rPr>
              <w:t xml:space="preserve"> number of actions under the programme organised in this area</w:t>
            </w:r>
          </w:p>
        </w:tc>
        <w:tc>
          <w:tcPr>
            <w:tcW w:w="1100" w:type="dxa"/>
          </w:tcPr>
          <w:p w14:paraId="2928FA0C" w14:textId="77777777" w:rsidR="0042690B" w:rsidRPr="00884C9A" w:rsidRDefault="0042690B" w:rsidP="0042690B">
            <w:pPr>
              <w:jc w:val="center"/>
              <w:rPr>
                <w:noProof/>
              </w:rPr>
            </w:pPr>
            <w:r>
              <w:rPr>
                <w:noProof/>
              </w:rPr>
              <w:t>0</w:t>
            </w:r>
          </w:p>
        </w:tc>
        <w:tc>
          <w:tcPr>
            <w:tcW w:w="1526" w:type="dxa"/>
          </w:tcPr>
          <w:p w14:paraId="240D7055" w14:textId="56C36CA4" w:rsidR="0042690B" w:rsidRPr="00CB3972" w:rsidRDefault="0042690B" w:rsidP="0042690B">
            <w:pPr>
              <w:jc w:val="center"/>
              <w:rPr>
                <w:b/>
                <w:bCs/>
                <w:noProof/>
              </w:rPr>
            </w:pPr>
            <w:r>
              <w:rPr>
                <w:rFonts w:asciiTheme="minorHAnsi" w:eastAsiaTheme="minorEastAsia" w:hAnsiTheme="minorHAnsi"/>
                <w:noProof/>
                <w:lang w:eastAsia="en-GB"/>
              </w:rPr>
              <w:t>14</w:t>
            </w:r>
            <w:r w:rsidRPr="008D1FA0">
              <w:rPr>
                <w:rFonts w:asciiTheme="minorHAnsi" w:eastAsiaTheme="minorEastAsia" w:hAnsiTheme="minorHAnsi"/>
                <w:noProof/>
                <w:lang w:eastAsia="en-GB"/>
              </w:rPr>
              <w:t>%</w:t>
            </w:r>
            <w:r>
              <w:rPr>
                <w:rFonts w:asciiTheme="minorHAnsi" w:eastAsiaTheme="minorEastAsia" w:hAnsiTheme="minorHAnsi"/>
                <w:noProof/>
                <w:lang w:eastAsia="en-GB"/>
              </w:rPr>
              <w:t> </w:t>
            </w:r>
            <w:r>
              <w:rPr>
                <w:noProof/>
              </w:rPr>
              <w:t>(</w:t>
            </w:r>
            <w:r>
              <w:rPr>
                <w:noProof/>
                <w:vertAlign w:val="superscript"/>
              </w:rPr>
              <w:t>**</w:t>
            </w:r>
            <w:r>
              <w:rPr>
                <w:noProof/>
              </w:rPr>
              <w:t>)</w:t>
            </w:r>
          </w:p>
        </w:tc>
        <w:tc>
          <w:tcPr>
            <w:tcW w:w="1532" w:type="dxa"/>
          </w:tcPr>
          <w:p w14:paraId="329B3BC8" w14:textId="222BAFCA" w:rsidR="0042690B" w:rsidRPr="00884C9A" w:rsidRDefault="0042690B" w:rsidP="0042690B">
            <w:pPr>
              <w:jc w:val="center"/>
              <w:rPr>
                <w:noProof/>
              </w:rPr>
            </w:pPr>
            <w:r>
              <w:rPr>
                <w:rFonts w:asciiTheme="minorHAnsi" w:eastAsiaTheme="minorEastAsia" w:hAnsiTheme="minorHAnsi"/>
                <w:noProof/>
                <w:lang w:eastAsia="en-GB"/>
              </w:rPr>
              <w:t xml:space="preserve"> 84 annually from 2022</w:t>
            </w:r>
            <w:r w:rsidRPr="00313610">
              <w:rPr>
                <w:rFonts w:asciiTheme="minorHAnsi" w:eastAsiaTheme="minorEastAsia" w:hAnsiTheme="minorHAnsi"/>
                <w:noProof/>
                <w:lang w:eastAsia="en-GB"/>
              </w:rPr>
              <w:t xml:space="preserve"> </w:t>
            </w:r>
          </w:p>
        </w:tc>
        <w:tc>
          <w:tcPr>
            <w:tcW w:w="1572" w:type="dxa"/>
          </w:tcPr>
          <w:p w14:paraId="08512567" w14:textId="0624BAFF" w:rsidR="0042690B" w:rsidRPr="00884C9A" w:rsidRDefault="0042690B" w:rsidP="0042690B">
            <w:pPr>
              <w:jc w:val="center"/>
              <w:rPr>
                <w:noProof/>
              </w:rPr>
            </w:pPr>
            <w:r w:rsidRPr="006E29A5">
              <w:rPr>
                <w:rFonts w:asciiTheme="minorHAnsi" w:eastAsiaTheme="minorEastAsia" w:hAnsiTheme="minorHAnsi"/>
                <w:noProof/>
                <w:lang w:eastAsia="en-GB"/>
              </w:rPr>
              <w:t xml:space="preserve">Milestone achieved in 2021. 7 actions compared to a </w:t>
            </w:r>
            <w:r>
              <w:rPr>
                <w:rFonts w:asciiTheme="minorHAnsi" w:eastAsiaTheme="minorEastAsia" w:hAnsiTheme="minorHAnsi"/>
                <w:noProof/>
                <w:lang w:eastAsia="en-GB"/>
              </w:rPr>
              <w:t>milestone of 7</w:t>
            </w:r>
          </w:p>
        </w:tc>
        <w:tc>
          <w:tcPr>
            <w:tcW w:w="1579" w:type="dxa"/>
          </w:tcPr>
          <w:p w14:paraId="2C14874F" w14:textId="33DF7B04" w:rsidR="0042690B" w:rsidRPr="00884C9A" w:rsidRDefault="0042690B" w:rsidP="0042690B">
            <w:pPr>
              <w:jc w:val="center"/>
              <w:rPr>
                <w:noProof/>
              </w:rPr>
            </w:pPr>
            <w:r>
              <w:rPr>
                <w:rFonts w:asciiTheme="minorHAnsi" w:eastAsiaTheme="minorEastAsia" w:hAnsiTheme="minorHAnsi"/>
                <w:noProof/>
                <w:lang w:eastAsia="en-GB"/>
              </w:rPr>
              <w:t>On track</w:t>
            </w:r>
          </w:p>
        </w:tc>
      </w:tr>
      <w:tr w:rsidR="0042690B" w:rsidRPr="00AC11E4" w14:paraId="1C325DEC" w14:textId="77777777" w:rsidTr="00AF1C52">
        <w:trPr>
          <w:cnfStyle w:val="000000010000" w:firstRow="0" w:lastRow="0" w:firstColumn="0" w:lastColumn="0" w:oddVBand="0" w:evenVBand="0" w:oddHBand="0" w:evenHBand="1" w:firstRowFirstColumn="0" w:firstRowLastColumn="0" w:lastRowFirstColumn="0" w:lastRowLastColumn="0"/>
        </w:trPr>
        <w:tc>
          <w:tcPr>
            <w:tcW w:w="2330" w:type="dxa"/>
          </w:tcPr>
          <w:p w14:paraId="15D23F0C" w14:textId="77777777" w:rsidR="0042690B" w:rsidRPr="00884C9A" w:rsidRDefault="0042690B" w:rsidP="0042690B">
            <w:pPr>
              <w:rPr>
                <w:noProof/>
              </w:rPr>
            </w:pPr>
            <w:r>
              <w:rPr>
                <w:noProof/>
              </w:rPr>
              <w:t>Learning index</w:t>
            </w:r>
            <w:r>
              <w:rPr>
                <w:rFonts w:ascii="Calibri" w:hAnsi="Calibri" w:cs="Calibri"/>
                <w:noProof/>
              </w:rPr>
              <w:t> –</w:t>
            </w:r>
            <w:r>
              <w:rPr>
                <w:noProof/>
              </w:rPr>
              <w:t xml:space="preserve"> number of tax officials trained by using common training material</w:t>
            </w:r>
          </w:p>
        </w:tc>
        <w:tc>
          <w:tcPr>
            <w:tcW w:w="1100" w:type="dxa"/>
          </w:tcPr>
          <w:p w14:paraId="3DC96502" w14:textId="77777777" w:rsidR="0042690B" w:rsidRPr="00884C9A" w:rsidRDefault="0042690B" w:rsidP="0042690B">
            <w:pPr>
              <w:jc w:val="center"/>
              <w:rPr>
                <w:noProof/>
              </w:rPr>
            </w:pPr>
            <w:r>
              <w:rPr>
                <w:noProof/>
              </w:rPr>
              <w:t>0</w:t>
            </w:r>
          </w:p>
        </w:tc>
        <w:tc>
          <w:tcPr>
            <w:tcW w:w="1526" w:type="dxa"/>
          </w:tcPr>
          <w:p w14:paraId="0EC55A3F" w14:textId="77777777" w:rsidR="0042690B" w:rsidRPr="00CB3972" w:rsidRDefault="0042690B" w:rsidP="0042690B">
            <w:pPr>
              <w:jc w:val="center"/>
              <w:rPr>
                <w:b/>
                <w:bCs/>
                <w:noProof/>
              </w:rPr>
            </w:pPr>
            <w:r w:rsidRPr="008D1FA0">
              <w:rPr>
                <w:rFonts w:asciiTheme="minorHAnsi" w:eastAsiaTheme="minorEastAsia" w:hAnsiTheme="minorHAnsi"/>
                <w:noProof/>
                <w:lang w:eastAsia="en-GB"/>
              </w:rPr>
              <w:t>0%</w:t>
            </w:r>
          </w:p>
          <w:p w14:paraId="708F23B9" w14:textId="77777777" w:rsidR="0042690B" w:rsidRDefault="0042690B" w:rsidP="0042690B">
            <w:pPr>
              <w:jc w:val="center"/>
              <w:rPr>
                <w:b/>
                <w:noProof/>
              </w:rPr>
            </w:pPr>
          </w:p>
        </w:tc>
        <w:tc>
          <w:tcPr>
            <w:tcW w:w="1532" w:type="dxa"/>
          </w:tcPr>
          <w:p w14:paraId="3E5A6FCF" w14:textId="4423DCA8" w:rsidR="0042690B" w:rsidRPr="00884C9A" w:rsidRDefault="0042690B" w:rsidP="0042690B">
            <w:pPr>
              <w:jc w:val="center"/>
              <w:rPr>
                <w:noProof/>
              </w:rPr>
            </w:pPr>
            <w:r w:rsidRPr="00313610">
              <w:rPr>
                <w:rFonts w:asciiTheme="minorHAnsi" w:eastAsiaTheme="minorEastAsia" w:hAnsiTheme="minorHAnsi"/>
                <w:noProof/>
                <w:lang w:eastAsia="en-GB"/>
              </w:rPr>
              <w:t xml:space="preserve"> 102</w:t>
            </w:r>
            <w:r>
              <w:rPr>
                <w:rFonts w:asciiTheme="minorHAnsi" w:eastAsiaTheme="minorEastAsia" w:hAnsiTheme="minorHAnsi"/>
                <w:noProof/>
                <w:lang w:eastAsia="en-GB"/>
              </w:rPr>
              <w:t> </w:t>
            </w:r>
            <w:r w:rsidRPr="00313610">
              <w:rPr>
                <w:rFonts w:asciiTheme="minorHAnsi" w:eastAsiaTheme="minorEastAsia" w:hAnsiTheme="minorHAnsi"/>
                <w:noProof/>
                <w:lang w:eastAsia="en-GB"/>
              </w:rPr>
              <w:t xml:space="preserve">400 in 2027 </w:t>
            </w:r>
          </w:p>
        </w:tc>
        <w:tc>
          <w:tcPr>
            <w:tcW w:w="1572" w:type="dxa"/>
          </w:tcPr>
          <w:p w14:paraId="2E803EED" w14:textId="2ED4F498" w:rsidR="0042690B" w:rsidRPr="00884C9A" w:rsidRDefault="0042690B" w:rsidP="0042690B">
            <w:pPr>
              <w:jc w:val="center"/>
              <w:rPr>
                <w:noProof/>
              </w:rPr>
            </w:pPr>
            <w:r w:rsidRPr="006E29A5">
              <w:rPr>
                <w:rFonts w:asciiTheme="minorHAnsi" w:eastAsiaTheme="minorEastAsia" w:hAnsiTheme="minorHAnsi"/>
                <w:noProof/>
                <w:lang w:eastAsia="en-GB"/>
              </w:rPr>
              <w:t xml:space="preserve"> 0 officials trained compared to a target of 102</w:t>
            </w:r>
            <w:r>
              <w:rPr>
                <w:rFonts w:asciiTheme="minorHAnsi" w:eastAsiaTheme="minorEastAsia" w:hAnsiTheme="minorHAnsi"/>
                <w:noProof/>
                <w:lang w:eastAsia="en-GB"/>
              </w:rPr>
              <w:t> </w:t>
            </w:r>
            <w:r w:rsidRPr="006E29A5">
              <w:rPr>
                <w:rFonts w:asciiTheme="minorHAnsi" w:eastAsiaTheme="minorEastAsia" w:hAnsiTheme="minorHAnsi"/>
                <w:noProof/>
                <w:lang w:eastAsia="en-GB"/>
              </w:rPr>
              <w:t>400</w:t>
            </w:r>
            <w:r>
              <w:rPr>
                <w:rFonts w:asciiTheme="minorHAnsi" w:eastAsiaTheme="minorEastAsia" w:hAnsiTheme="minorHAnsi"/>
                <w:noProof/>
                <w:lang w:eastAsia="en-GB"/>
              </w:rPr>
              <w:t xml:space="preserve"> (***)</w:t>
            </w:r>
          </w:p>
        </w:tc>
        <w:tc>
          <w:tcPr>
            <w:tcW w:w="1579" w:type="dxa"/>
          </w:tcPr>
          <w:p w14:paraId="08FAE510" w14:textId="3AB843B6" w:rsidR="0042690B" w:rsidRPr="00884C9A" w:rsidRDefault="0042690B" w:rsidP="0042690B">
            <w:pPr>
              <w:jc w:val="center"/>
              <w:rPr>
                <w:noProof/>
              </w:rPr>
            </w:pPr>
            <w:r>
              <w:rPr>
                <w:rFonts w:asciiTheme="minorHAnsi" w:eastAsiaTheme="minorEastAsia" w:hAnsiTheme="minorHAnsi"/>
                <w:noProof/>
                <w:lang w:eastAsia="en-GB"/>
              </w:rPr>
              <w:t>On track</w:t>
            </w:r>
          </w:p>
        </w:tc>
      </w:tr>
      <w:tr w:rsidR="0042690B" w:rsidRPr="00AC11E4" w14:paraId="51271BFE" w14:textId="77777777" w:rsidTr="00AF1C52">
        <w:trPr>
          <w:cnfStyle w:val="000000100000" w:firstRow="0" w:lastRow="0" w:firstColumn="0" w:lastColumn="0" w:oddVBand="0" w:evenVBand="0" w:oddHBand="1" w:evenHBand="0" w:firstRowFirstColumn="0" w:firstRowLastColumn="0" w:lastRowFirstColumn="0" w:lastRowLastColumn="0"/>
        </w:trPr>
        <w:tc>
          <w:tcPr>
            <w:tcW w:w="2330" w:type="dxa"/>
          </w:tcPr>
          <w:p w14:paraId="5349E8AC" w14:textId="77777777" w:rsidR="0042690B" w:rsidRPr="00884C9A" w:rsidRDefault="0042690B" w:rsidP="0042690B">
            <w:pPr>
              <w:rPr>
                <w:noProof/>
              </w:rPr>
            </w:pPr>
            <w:r>
              <w:rPr>
                <w:noProof/>
              </w:rPr>
              <w:t>Availability of European electronic systems</w:t>
            </w:r>
          </w:p>
        </w:tc>
        <w:tc>
          <w:tcPr>
            <w:tcW w:w="1100" w:type="dxa"/>
          </w:tcPr>
          <w:p w14:paraId="556FE254" w14:textId="77777777" w:rsidR="0042690B" w:rsidRPr="00884C9A" w:rsidRDefault="0042690B" w:rsidP="0042690B">
            <w:pPr>
              <w:jc w:val="center"/>
              <w:rPr>
                <w:noProof/>
              </w:rPr>
            </w:pPr>
            <w:r>
              <w:rPr>
                <w:noProof/>
              </w:rPr>
              <w:t>0%</w:t>
            </w:r>
          </w:p>
        </w:tc>
        <w:tc>
          <w:tcPr>
            <w:tcW w:w="1526" w:type="dxa"/>
          </w:tcPr>
          <w:p w14:paraId="404A942C" w14:textId="77777777" w:rsidR="0042690B" w:rsidRPr="00CB3972" w:rsidRDefault="0042690B" w:rsidP="0042690B">
            <w:pPr>
              <w:jc w:val="center"/>
              <w:rPr>
                <w:b/>
                <w:bCs/>
                <w:noProof/>
              </w:rPr>
            </w:pPr>
            <w:r w:rsidRPr="008D1FA0">
              <w:rPr>
                <w:rFonts w:asciiTheme="minorHAnsi" w:eastAsiaTheme="minorEastAsia" w:hAnsiTheme="minorHAnsi"/>
                <w:noProof/>
                <w:lang w:eastAsia="en-GB"/>
              </w:rPr>
              <w:t>14%</w:t>
            </w:r>
            <w:r>
              <w:rPr>
                <w:rFonts w:asciiTheme="minorHAnsi" w:eastAsiaTheme="minorEastAsia" w:hAnsiTheme="minorHAnsi"/>
                <w:noProof/>
                <w:lang w:eastAsia="en-GB"/>
              </w:rPr>
              <w:t> </w:t>
            </w:r>
            <w:r>
              <w:rPr>
                <w:noProof/>
              </w:rPr>
              <w:t>(</w:t>
            </w:r>
            <w:r>
              <w:rPr>
                <w:noProof/>
                <w:vertAlign w:val="superscript"/>
              </w:rPr>
              <w:t>**</w:t>
            </w:r>
            <w:r>
              <w:rPr>
                <w:noProof/>
              </w:rPr>
              <w:t>)</w:t>
            </w:r>
          </w:p>
        </w:tc>
        <w:tc>
          <w:tcPr>
            <w:tcW w:w="1532" w:type="dxa"/>
          </w:tcPr>
          <w:p w14:paraId="082325CB" w14:textId="77777777" w:rsidR="0042690B" w:rsidRPr="00884C9A" w:rsidRDefault="0042690B" w:rsidP="0042690B">
            <w:pPr>
              <w:jc w:val="center"/>
              <w:rPr>
                <w:noProof/>
              </w:rPr>
            </w:pPr>
            <w:r w:rsidRPr="008D1FA0">
              <w:rPr>
                <w:rFonts w:asciiTheme="minorHAnsi" w:eastAsiaTheme="minorEastAsia" w:hAnsiTheme="minorHAnsi"/>
                <w:noProof/>
                <w:lang w:eastAsia="en-GB"/>
              </w:rPr>
              <w:t xml:space="preserve"> 99.50% annually </w:t>
            </w:r>
          </w:p>
        </w:tc>
        <w:tc>
          <w:tcPr>
            <w:tcW w:w="1572" w:type="dxa"/>
          </w:tcPr>
          <w:p w14:paraId="476D8D00" w14:textId="77777777" w:rsidR="0042690B" w:rsidRPr="00884C9A" w:rsidRDefault="0042690B" w:rsidP="0042690B">
            <w:pPr>
              <w:jc w:val="center"/>
              <w:rPr>
                <w:noProof/>
              </w:rPr>
            </w:pPr>
            <w:r w:rsidRPr="006E29A5">
              <w:rPr>
                <w:rFonts w:asciiTheme="minorHAnsi" w:eastAsiaTheme="minorEastAsia" w:hAnsiTheme="minorHAnsi"/>
                <w:noProof/>
                <w:lang w:eastAsia="en-GB"/>
              </w:rPr>
              <w:t>Target achieved in 2021. 99.64% availability compared to a target of 99.50%.</w:t>
            </w:r>
          </w:p>
        </w:tc>
        <w:tc>
          <w:tcPr>
            <w:tcW w:w="1579" w:type="dxa"/>
          </w:tcPr>
          <w:p w14:paraId="50C711F0" w14:textId="77777777" w:rsidR="0042690B" w:rsidRDefault="0042690B" w:rsidP="0042690B">
            <w:pPr>
              <w:jc w:val="center"/>
              <w:rPr>
                <w:noProof/>
              </w:rPr>
            </w:pPr>
            <w:r w:rsidRPr="008D1FA0">
              <w:rPr>
                <w:rFonts w:asciiTheme="minorHAnsi" w:eastAsiaTheme="minorEastAsia" w:hAnsiTheme="minorHAnsi"/>
                <w:noProof/>
                <w:lang w:eastAsia="en-GB"/>
              </w:rPr>
              <w:t>On track</w:t>
            </w:r>
          </w:p>
          <w:p w14:paraId="00081555" w14:textId="77777777" w:rsidR="0042690B" w:rsidRDefault="0042690B" w:rsidP="0042690B">
            <w:pPr>
              <w:jc w:val="center"/>
              <w:rPr>
                <w:noProof/>
              </w:rPr>
            </w:pPr>
          </w:p>
        </w:tc>
      </w:tr>
      <w:tr w:rsidR="0042690B" w:rsidRPr="00AC11E4" w14:paraId="6C652AEC" w14:textId="77777777" w:rsidTr="00AF1C52">
        <w:trPr>
          <w:cnfStyle w:val="000000010000" w:firstRow="0" w:lastRow="0" w:firstColumn="0" w:lastColumn="0" w:oddVBand="0" w:evenVBand="0" w:oddHBand="0" w:evenHBand="1" w:firstRowFirstColumn="0" w:firstRowLastColumn="0" w:lastRowFirstColumn="0" w:lastRowLastColumn="0"/>
        </w:trPr>
        <w:tc>
          <w:tcPr>
            <w:tcW w:w="2330" w:type="dxa"/>
          </w:tcPr>
          <w:p w14:paraId="6469CF5E" w14:textId="77777777" w:rsidR="0042690B" w:rsidRPr="00724FDD" w:rsidRDefault="0042690B" w:rsidP="0042690B">
            <w:pPr>
              <w:rPr>
                <w:noProof/>
              </w:rPr>
            </w:pPr>
            <w:r>
              <w:rPr>
                <w:noProof/>
              </w:rPr>
              <w:t>Availability of the Common Communication Network</w:t>
            </w:r>
          </w:p>
        </w:tc>
        <w:tc>
          <w:tcPr>
            <w:tcW w:w="1100" w:type="dxa"/>
          </w:tcPr>
          <w:p w14:paraId="4A45266F" w14:textId="77777777" w:rsidR="0042690B" w:rsidRPr="00884C9A" w:rsidRDefault="0042690B" w:rsidP="0042690B">
            <w:pPr>
              <w:jc w:val="center"/>
              <w:rPr>
                <w:noProof/>
              </w:rPr>
            </w:pPr>
            <w:r>
              <w:rPr>
                <w:noProof/>
              </w:rPr>
              <w:t>0%</w:t>
            </w:r>
          </w:p>
        </w:tc>
        <w:tc>
          <w:tcPr>
            <w:tcW w:w="1526" w:type="dxa"/>
          </w:tcPr>
          <w:p w14:paraId="59E04FA2" w14:textId="77777777" w:rsidR="0042690B" w:rsidRPr="00CB3972" w:rsidRDefault="0042690B" w:rsidP="0042690B">
            <w:pPr>
              <w:jc w:val="center"/>
              <w:rPr>
                <w:b/>
                <w:bCs/>
                <w:noProof/>
              </w:rPr>
            </w:pPr>
            <w:r w:rsidRPr="008D1FA0">
              <w:rPr>
                <w:rFonts w:asciiTheme="minorHAnsi" w:eastAsiaTheme="minorEastAsia" w:hAnsiTheme="minorHAnsi"/>
                <w:noProof/>
                <w:lang w:eastAsia="en-GB"/>
              </w:rPr>
              <w:t>14%</w:t>
            </w:r>
            <w:r>
              <w:rPr>
                <w:rFonts w:asciiTheme="minorHAnsi" w:eastAsiaTheme="minorEastAsia" w:hAnsiTheme="minorHAnsi"/>
                <w:noProof/>
                <w:lang w:eastAsia="en-GB"/>
              </w:rPr>
              <w:t> </w:t>
            </w:r>
            <w:r>
              <w:rPr>
                <w:noProof/>
              </w:rPr>
              <w:t>(</w:t>
            </w:r>
            <w:r>
              <w:rPr>
                <w:noProof/>
                <w:vertAlign w:val="superscript"/>
              </w:rPr>
              <w:t>**</w:t>
            </w:r>
            <w:r>
              <w:rPr>
                <w:noProof/>
              </w:rPr>
              <w:t>)</w:t>
            </w:r>
          </w:p>
        </w:tc>
        <w:tc>
          <w:tcPr>
            <w:tcW w:w="1532" w:type="dxa"/>
          </w:tcPr>
          <w:p w14:paraId="0D5BD57E" w14:textId="77777777" w:rsidR="0042690B" w:rsidRPr="00884C9A" w:rsidRDefault="0042690B" w:rsidP="0042690B">
            <w:pPr>
              <w:jc w:val="center"/>
              <w:rPr>
                <w:noProof/>
              </w:rPr>
            </w:pPr>
            <w:r w:rsidRPr="008D1FA0">
              <w:rPr>
                <w:rFonts w:asciiTheme="minorHAnsi" w:eastAsiaTheme="minorEastAsia" w:hAnsiTheme="minorHAnsi"/>
                <w:noProof/>
                <w:lang w:eastAsia="en-GB"/>
              </w:rPr>
              <w:t xml:space="preserve"> 99.80% annually </w:t>
            </w:r>
          </w:p>
        </w:tc>
        <w:tc>
          <w:tcPr>
            <w:tcW w:w="1572" w:type="dxa"/>
          </w:tcPr>
          <w:p w14:paraId="1719FBDF" w14:textId="77777777" w:rsidR="0042690B" w:rsidRPr="00884C9A" w:rsidRDefault="0042690B" w:rsidP="0042690B">
            <w:pPr>
              <w:jc w:val="center"/>
              <w:rPr>
                <w:noProof/>
              </w:rPr>
            </w:pPr>
            <w:r w:rsidRPr="006E29A5">
              <w:rPr>
                <w:rFonts w:asciiTheme="minorHAnsi" w:eastAsiaTheme="minorEastAsia" w:hAnsiTheme="minorHAnsi"/>
                <w:noProof/>
                <w:lang w:eastAsia="en-GB"/>
              </w:rPr>
              <w:t>Target achieved in 2021. 99.99% availability compared to a target of 99.80%</w:t>
            </w:r>
          </w:p>
        </w:tc>
        <w:tc>
          <w:tcPr>
            <w:tcW w:w="1579" w:type="dxa"/>
          </w:tcPr>
          <w:p w14:paraId="5AE05D39" w14:textId="77777777" w:rsidR="0042690B" w:rsidRPr="00884C9A" w:rsidRDefault="0042690B" w:rsidP="0042690B">
            <w:pPr>
              <w:jc w:val="center"/>
              <w:rPr>
                <w:noProof/>
              </w:rPr>
            </w:pPr>
            <w:r w:rsidRPr="008D1FA0">
              <w:rPr>
                <w:rFonts w:asciiTheme="minorHAnsi" w:eastAsiaTheme="minorEastAsia" w:hAnsiTheme="minorHAnsi"/>
                <w:noProof/>
                <w:lang w:eastAsia="en-GB"/>
              </w:rPr>
              <w:t>On track</w:t>
            </w:r>
          </w:p>
        </w:tc>
      </w:tr>
      <w:tr w:rsidR="0042690B" w:rsidRPr="00AC11E4" w14:paraId="60C9658C" w14:textId="77777777" w:rsidTr="00AF1C52">
        <w:trPr>
          <w:cnfStyle w:val="000000100000" w:firstRow="0" w:lastRow="0" w:firstColumn="0" w:lastColumn="0" w:oddVBand="0" w:evenVBand="0" w:oddHBand="1" w:evenHBand="0" w:firstRowFirstColumn="0" w:firstRowLastColumn="0" w:lastRowFirstColumn="0" w:lastRowLastColumn="0"/>
        </w:trPr>
        <w:tc>
          <w:tcPr>
            <w:tcW w:w="2330" w:type="dxa"/>
          </w:tcPr>
          <w:p w14:paraId="002C8A10" w14:textId="77777777" w:rsidR="0042690B" w:rsidRPr="00884C9A" w:rsidRDefault="0042690B" w:rsidP="0042690B">
            <w:pPr>
              <w:rPr>
                <w:noProof/>
              </w:rPr>
            </w:pPr>
            <w:r>
              <w:rPr>
                <w:noProof/>
              </w:rPr>
              <w:t>Information technology simplified procedures for the national administrations and economic operators</w:t>
            </w:r>
            <w:r>
              <w:rPr>
                <w:rFonts w:ascii="Calibri" w:hAnsi="Calibri" w:cs="Calibri"/>
                <w:noProof/>
              </w:rPr>
              <w:t> –</w:t>
            </w:r>
            <w:r>
              <w:rPr>
                <w:noProof/>
              </w:rPr>
              <w:t xml:space="preserve"> number of economic operators registered</w:t>
            </w:r>
          </w:p>
        </w:tc>
        <w:tc>
          <w:tcPr>
            <w:tcW w:w="1100" w:type="dxa"/>
          </w:tcPr>
          <w:p w14:paraId="47B931B3" w14:textId="77777777" w:rsidR="0042690B" w:rsidRPr="00884C9A" w:rsidRDefault="0042690B" w:rsidP="0042690B">
            <w:pPr>
              <w:jc w:val="center"/>
              <w:rPr>
                <w:noProof/>
              </w:rPr>
            </w:pPr>
            <w:r>
              <w:rPr>
                <w:noProof/>
              </w:rPr>
              <w:t>0</w:t>
            </w:r>
          </w:p>
        </w:tc>
        <w:tc>
          <w:tcPr>
            <w:tcW w:w="1526" w:type="dxa"/>
          </w:tcPr>
          <w:p w14:paraId="26B4681D" w14:textId="77777777" w:rsidR="0042690B" w:rsidRPr="00CB3972" w:rsidRDefault="0042690B" w:rsidP="0042690B">
            <w:pPr>
              <w:jc w:val="center"/>
              <w:rPr>
                <w:b/>
                <w:bCs/>
                <w:noProof/>
              </w:rPr>
            </w:pPr>
            <w:r w:rsidRPr="008D1FA0">
              <w:rPr>
                <w:rFonts w:asciiTheme="minorHAnsi" w:eastAsiaTheme="minorEastAsia" w:hAnsiTheme="minorHAnsi"/>
                <w:noProof/>
                <w:lang w:eastAsia="en-GB"/>
              </w:rPr>
              <w:t>0%</w:t>
            </w:r>
          </w:p>
          <w:p w14:paraId="720AD85B" w14:textId="77777777" w:rsidR="0042690B" w:rsidRDefault="0042690B" w:rsidP="0042690B">
            <w:pPr>
              <w:jc w:val="center"/>
              <w:rPr>
                <w:b/>
                <w:noProof/>
              </w:rPr>
            </w:pPr>
          </w:p>
        </w:tc>
        <w:tc>
          <w:tcPr>
            <w:tcW w:w="1532" w:type="dxa"/>
          </w:tcPr>
          <w:p w14:paraId="251B0143" w14:textId="77777777" w:rsidR="0042690B" w:rsidRPr="00884C9A" w:rsidRDefault="0042690B" w:rsidP="0042690B">
            <w:pPr>
              <w:jc w:val="center"/>
              <w:rPr>
                <w:noProof/>
              </w:rPr>
            </w:pPr>
            <w:r w:rsidRPr="00313610">
              <w:rPr>
                <w:rFonts w:asciiTheme="minorHAnsi" w:eastAsiaTheme="minorEastAsia" w:hAnsiTheme="minorHAnsi"/>
                <w:noProof/>
                <w:lang w:eastAsia="en-GB"/>
              </w:rPr>
              <w:t xml:space="preserve"> 41.4</w:t>
            </w:r>
            <w:r>
              <w:rPr>
                <w:rFonts w:asciiTheme="minorHAnsi" w:eastAsiaTheme="minorEastAsia" w:hAnsiTheme="minorHAnsi"/>
                <w:noProof/>
                <w:lang w:eastAsia="en-GB"/>
              </w:rPr>
              <w:t> </w:t>
            </w:r>
            <w:r w:rsidRPr="00313610">
              <w:rPr>
                <w:rFonts w:asciiTheme="minorHAnsi" w:eastAsiaTheme="minorEastAsia" w:hAnsiTheme="minorHAnsi"/>
                <w:noProof/>
                <w:lang w:eastAsia="en-GB"/>
              </w:rPr>
              <w:t xml:space="preserve">million in 2027 </w:t>
            </w:r>
          </w:p>
        </w:tc>
        <w:tc>
          <w:tcPr>
            <w:tcW w:w="1572" w:type="dxa"/>
          </w:tcPr>
          <w:p w14:paraId="180C37E4" w14:textId="6DBA9C04" w:rsidR="0042690B" w:rsidRPr="00884C9A" w:rsidRDefault="0042690B" w:rsidP="007F2C98">
            <w:pPr>
              <w:jc w:val="center"/>
              <w:rPr>
                <w:noProof/>
              </w:rPr>
            </w:pPr>
            <w:r w:rsidRPr="006E29A5">
              <w:rPr>
                <w:rFonts w:asciiTheme="minorHAnsi" w:eastAsiaTheme="minorEastAsia" w:hAnsiTheme="minorHAnsi"/>
                <w:noProof/>
                <w:lang w:eastAsia="en-GB"/>
              </w:rPr>
              <w:t>77</w:t>
            </w:r>
            <w:r>
              <w:rPr>
                <w:rFonts w:ascii="Calibri" w:eastAsiaTheme="minorEastAsia" w:hAnsi="Calibri" w:cs="Calibri"/>
                <w:noProof/>
                <w:lang w:eastAsia="en-GB"/>
              </w:rPr>
              <w:t> </w:t>
            </w:r>
            <w:r w:rsidRPr="006E29A5">
              <w:rPr>
                <w:rFonts w:asciiTheme="minorHAnsi" w:eastAsiaTheme="minorEastAsia" w:hAnsiTheme="minorHAnsi"/>
                <w:noProof/>
                <w:lang w:eastAsia="en-GB"/>
              </w:rPr>
              <w:t>824 operators registered compared to a target of 41.4</w:t>
            </w:r>
            <w:r>
              <w:rPr>
                <w:rFonts w:ascii="Calibri" w:eastAsiaTheme="minorEastAsia" w:hAnsi="Calibri" w:cs="Calibri"/>
                <w:noProof/>
                <w:lang w:eastAsia="en-GB"/>
              </w:rPr>
              <w:t> </w:t>
            </w:r>
            <w:r w:rsidRPr="006E29A5">
              <w:rPr>
                <w:rFonts w:asciiTheme="minorHAnsi" w:eastAsiaTheme="minorEastAsia" w:hAnsiTheme="minorHAnsi"/>
                <w:noProof/>
                <w:lang w:eastAsia="en-GB"/>
              </w:rPr>
              <w:t>million</w:t>
            </w:r>
            <w:r>
              <w:rPr>
                <w:rFonts w:asciiTheme="minorHAnsi" w:eastAsiaTheme="minorEastAsia" w:hAnsiTheme="minorHAnsi"/>
                <w:noProof/>
                <w:lang w:eastAsia="en-GB"/>
              </w:rPr>
              <w:t xml:space="preserve"> </w:t>
            </w:r>
            <w:r w:rsidR="007F2C98">
              <w:rPr>
                <w:rFonts w:asciiTheme="minorHAnsi" w:eastAsiaTheme="minorEastAsia" w:hAnsiTheme="minorHAnsi"/>
                <w:noProof/>
                <w:lang w:eastAsia="en-GB"/>
              </w:rPr>
              <w:t>(***)</w:t>
            </w:r>
          </w:p>
        </w:tc>
        <w:tc>
          <w:tcPr>
            <w:tcW w:w="1579" w:type="dxa"/>
          </w:tcPr>
          <w:p w14:paraId="27C8E36C" w14:textId="08668BC1" w:rsidR="0042690B" w:rsidRPr="00884C9A" w:rsidRDefault="0042690B" w:rsidP="0042690B">
            <w:pPr>
              <w:jc w:val="center"/>
              <w:rPr>
                <w:noProof/>
              </w:rPr>
            </w:pPr>
            <w:r w:rsidRPr="008D1FA0">
              <w:rPr>
                <w:rFonts w:asciiTheme="minorHAnsi" w:eastAsiaTheme="minorEastAsia" w:hAnsiTheme="minorHAnsi"/>
                <w:noProof/>
                <w:lang w:eastAsia="en-GB"/>
              </w:rPr>
              <w:t>On track</w:t>
            </w:r>
          </w:p>
        </w:tc>
      </w:tr>
      <w:tr w:rsidR="0042690B" w:rsidRPr="00AC11E4" w14:paraId="41D06D30" w14:textId="77777777" w:rsidTr="00AF1C52">
        <w:trPr>
          <w:cnfStyle w:val="000000010000" w:firstRow="0" w:lastRow="0" w:firstColumn="0" w:lastColumn="0" w:oddVBand="0" w:evenVBand="0" w:oddHBand="0" w:evenHBand="1" w:firstRowFirstColumn="0" w:firstRowLastColumn="0" w:lastRowFirstColumn="0" w:lastRowLastColumn="0"/>
        </w:trPr>
        <w:tc>
          <w:tcPr>
            <w:tcW w:w="2330" w:type="dxa"/>
          </w:tcPr>
          <w:p w14:paraId="2949985B" w14:textId="77777777" w:rsidR="0042690B" w:rsidRPr="00884C9A" w:rsidRDefault="0042690B" w:rsidP="0042690B">
            <w:pPr>
              <w:rPr>
                <w:noProof/>
              </w:rPr>
            </w:pPr>
            <w:r>
              <w:rPr>
                <w:noProof/>
              </w:rPr>
              <w:t>Information technology simplified procedures for the national administrations and economic operators</w:t>
            </w:r>
            <w:r>
              <w:rPr>
                <w:rFonts w:ascii="Calibri" w:hAnsi="Calibri" w:cs="Calibri"/>
                <w:noProof/>
              </w:rPr>
              <w:t> –</w:t>
            </w:r>
            <w:r>
              <w:rPr>
                <w:noProof/>
              </w:rPr>
              <w:t xml:space="preserve"> number of applications</w:t>
            </w:r>
          </w:p>
        </w:tc>
        <w:tc>
          <w:tcPr>
            <w:tcW w:w="1100" w:type="dxa"/>
          </w:tcPr>
          <w:p w14:paraId="0766B580" w14:textId="77777777" w:rsidR="0042690B" w:rsidRPr="00884C9A" w:rsidRDefault="0042690B" w:rsidP="0042690B">
            <w:pPr>
              <w:jc w:val="center"/>
              <w:rPr>
                <w:noProof/>
              </w:rPr>
            </w:pPr>
            <w:r>
              <w:rPr>
                <w:noProof/>
              </w:rPr>
              <w:t>0</w:t>
            </w:r>
          </w:p>
        </w:tc>
        <w:tc>
          <w:tcPr>
            <w:tcW w:w="1526" w:type="dxa"/>
          </w:tcPr>
          <w:p w14:paraId="0A4DAC32" w14:textId="77777777" w:rsidR="0042690B" w:rsidRPr="00CB3972" w:rsidRDefault="0042690B" w:rsidP="0042690B">
            <w:pPr>
              <w:jc w:val="center"/>
              <w:rPr>
                <w:b/>
                <w:bCs/>
                <w:noProof/>
              </w:rPr>
            </w:pPr>
            <w:r w:rsidRPr="008D1FA0">
              <w:rPr>
                <w:rFonts w:asciiTheme="minorHAnsi" w:eastAsiaTheme="minorEastAsia" w:hAnsiTheme="minorHAnsi"/>
                <w:noProof/>
                <w:lang w:eastAsia="en-GB"/>
              </w:rPr>
              <w:t>6%</w:t>
            </w:r>
          </w:p>
        </w:tc>
        <w:tc>
          <w:tcPr>
            <w:tcW w:w="1532" w:type="dxa"/>
          </w:tcPr>
          <w:p w14:paraId="60D3B295" w14:textId="77777777" w:rsidR="0042690B" w:rsidRPr="00884C9A" w:rsidRDefault="0042690B" w:rsidP="0042690B">
            <w:pPr>
              <w:jc w:val="center"/>
              <w:rPr>
                <w:noProof/>
              </w:rPr>
            </w:pPr>
            <w:r w:rsidRPr="00313610">
              <w:rPr>
                <w:rFonts w:asciiTheme="minorHAnsi" w:eastAsiaTheme="minorEastAsia" w:hAnsiTheme="minorHAnsi"/>
                <w:noProof/>
                <w:lang w:eastAsia="en-GB"/>
              </w:rPr>
              <w:t xml:space="preserve"> 5.6 million in 2027 </w:t>
            </w:r>
          </w:p>
        </w:tc>
        <w:tc>
          <w:tcPr>
            <w:tcW w:w="1572" w:type="dxa"/>
          </w:tcPr>
          <w:p w14:paraId="3476F5B7" w14:textId="638D462F" w:rsidR="0042690B" w:rsidRPr="00884C9A" w:rsidRDefault="0042690B" w:rsidP="0042690B">
            <w:pPr>
              <w:jc w:val="center"/>
              <w:rPr>
                <w:noProof/>
              </w:rPr>
            </w:pPr>
            <w:r w:rsidRPr="006E29A5">
              <w:rPr>
                <w:rFonts w:asciiTheme="minorHAnsi" w:eastAsiaTheme="minorEastAsia" w:hAnsiTheme="minorHAnsi"/>
                <w:noProof/>
                <w:lang w:eastAsia="en-GB"/>
              </w:rPr>
              <w:t>353</w:t>
            </w:r>
            <w:r>
              <w:rPr>
                <w:rFonts w:asciiTheme="minorHAnsi" w:eastAsiaTheme="minorEastAsia" w:hAnsiTheme="minorHAnsi"/>
                <w:noProof/>
                <w:lang w:eastAsia="en-GB"/>
              </w:rPr>
              <w:t> </w:t>
            </w:r>
            <w:r w:rsidRPr="006E29A5">
              <w:rPr>
                <w:rFonts w:asciiTheme="minorHAnsi" w:eastAsiaTheme="minorEastAsia" w:hAnsiTheme="minorHAnsi"/>
                <w:noProof/>
                <w:lang w:eastAsia="en-GB"/>
              </w:rPr>
              <w:t>254 compared to a target of 5.6 million</w:t>
            </w:r>
            <w:r>
              <w:rPr>
                <w:rFonts w:asciiTheme="minorHAnsi" w:eastAsiaTheme="minorEastAsia" w:hAnsiTheme="minorHAnsi"/>
                <w:noProof/>
                <w:lang w:eastAsia="en-GB"/>
              </w:rPr>
              <w:t xml:space="preserve"> </w:t>
            </w:r>
            <w:r w:rsidR="007F2C98">
              <w:rPr>
                <w:rFonts w:asciiTheme="minorHAnsi" w:eastAsiaTheme="minorEastAsia" w:hAnsiTheme="minorHAnsi"/>
                <w:noProof/>
                <w:lang w:eastAsia="en-GB"/>
              </w:rPr>
              <w:t>(***)</w:t>
            </w:r>
          </w:p>
        </w:tc>
        <w:tc>
          <w:tcPr>
            <w:tcW w:w="1579" w:type="dxa"/>
          </w:tcPr>
          <w:p w14:paraId="52BD436C" w14:textId="5D7F5020" w:rsidR="0042690B" w:rsidRPr="00884C9A" w:rsidRDefault="0042690B" w:rsidP="0042690B">
            <w:pPr>
              <w:jc w:val="center"/>
              <w:rPr>
                <w:noProof/>
              </w:rPr>
            </w:pPr>
            <w:r w:rsidRPr="008D1FA0">
              <w:rPr>
                <w:rFonts w:asciiTheme="minorHAnsi" w:eastAsiaTheme="minorEastAsia" w:hAnsiTheme="minorHAnsi"/>
                <w:noProof/>
                <w:lang w:eastAsia="en-GB"/>
              </w:rPr>
              <w:t>On track</w:t>
            </w:r>
          </w:p>
        </w:tc>
      </w:tr>
      <w:tr w:rsidR="0042690B" w:rsidRPr="00AC11E4" w14:paraId="71E52181" w14:textId="77777777" w:rsidTr="00AF1C52">
        <w:trPr>
          <w:cnfStyle w:val="000000100000" w:firstRow="0" w:lastRow="0" w:firstColumn="0" w:lastColumn="0" w:oddVBand="0" w:evenVBand="0" w:oddHBand="1" w:evenHBand="0" w:firstRowFirstColumn="0" w:firstRowLastColumn="0" w:lastRowFirstColumn="0" w:lastRowLastColumn="0"/>
        </w:trPr>
        <w:tc>
          <w:tcPr>
            <w:tcW w:w="2330" w:type="dxa"/>
          </w:tcPr>
          <w:p w14:paraId="73F993F0" w14:textId="77777777" w:rsidR="0042690B" w:rsidRPr="00884C9A" w:rsidRDefault="0042690B" w:rsidP="0042690B">
            <w:pPr>
              <w:rPr>
                <w:noProof/>
              </w:rPr>
            </w:pPr>
            <w:r>
              <w:rPr>
                <w:noProof/>
              </w:rPr>
              <w:t>Collaboration robustness index</w:t>
            </w:r>
            <w:r>
              <w:rPr>
                <w:rFonts w:ascii="Calibri" w:hAnsi="Calibri" w:cs="Calibri"/>
                <w:noProof/>
              </w:rPr>
              <w:t> –</w:t>
            </w:r>
            <w:r>
              <w:rPr>
                <w:noProof/>
              </w:rPr>
              <w:t xml:space="preserve"> number of online collaboration groups</w:t>
            </w:r>
          </w:p>
        </w:tc>
        <w:tc>
          <w:tcPr>
            <w:tcW w:w="1100" w:type="dxa"/>
          </w:tcPr>
          <w:p w14:paraId="48AD65A8" w14:textId="77777777" w:rsidR="0042690B" w:rsidRPr="00884C9A" w:rsidRDefault="0042690B" w:rsidP="0042690B">
            <w:pPr>
              <w:jc w:val="center"/>
              <w:rPr>
                <w:noProof/>
              </w:rPr>
            </w:pPr>
            <w:r>
              <w:rPr>
                <w:noProof/>
              </w:rPr>
              <w:t>0</w:t>
            </w:r>
          </w:p>
        </w:tc>
        <w:tc>
          <w:tcPr>
            <w:tcW w:w="1526" w:type="dxa"/>
          </w:tcPr>
          <w:p w14:paraId="3F21C775" w14:textId="77777777" w:rsidR="0042690B" w:rsidRPr="00CB3972" w:rsidRDefault="0042690B" w:rsidP="0042690B">
            <w:pPr>
              <w:jc w:val="center"/>
              <w:rPr>
                <w:b/>
                <w:bCs/>
                <w:noProof/>
              </w:rPr>
            </w:pPr>
            <w:r w:rsidRPr="008D1FA0">
              <w:rPr>
                <w:rFonts w:asciiTheme="minorHAnsi" w:eastAsiaTheme="minorEastAsia" w:hAnsiTheme="minorHAnsi"/>
                <w:noProof/>
                <w:lang w:eastAsia="en-GB"/>
              </w:rPr>
              <w:t>14%</w:t>
            </w:r>
          </w:p>
        </w:tc>
        <w:tc>
          <w:tcPr>
            <w:tcW w:w="1532" w:type="dxa"/>
          </w:tcPr>
          <w:p w14:paraId="0DED9CCA" w14:textId="77777777" w:rsidR="0042690B" w:rsidRPr="00884C9A" w:rsidRDefault="0042690B" w:rsidP="0042690B">
            <w:pPr>
              <w:jc w:val="center"/>
              <w:rPr>
                <w:noProof/>
              </w:rPr>
            </w:pPr>
            <w:r w:rsidRPr="008D1FA0">
              <w:rPr>
                <w:rFonts w:asciiTheme="minorHAnsi" w:eastAsiaTheme="minorEastAsia" w:hAnsiTheme="minorHAnsi"/>
                <w:noProof/>
                <w:lang w:eastAsia="en-GB"/>
              </w:rPr>
              <w:t xml:space="preserve"> 244 annually </w:t>
            </w:r>
          </w:p>
        </w:tc>
        <w:tc>
          <w:tcPr>
            <w:tcW w:w="1572" w:type="dxa"/>
          </w:tcPr>
          <w:p w14:paraId="6FA49738" w14:textId="77777777" w:rsidR="0042690B" w:rsidRPr="00884C9A" w:rsidRDefault="0042690B" w:rsidP="0042690B">
            <w:pPr>
              <w:jc w:val="center"/>
              <w:rPr>
                <w:noProof/>
              </w:rPr>
            </w:pPr>
            <w:r w:rsidRPr="006E29A5">
              <w:rPr>
                <w:rFonts w:asciiTheme="minorHAnsi" w:eastAsiaTheme="minorEastAsia" w:hAnsiTheme="minorHAnsi"/>
                <w:noProof/>
                <w:lang w:eastAsia="en-GB"/>
              </w:rPr>
              <w:t>Target achieved in 2021. 244 online collaboration groups compared to 244</w:t>
            </w:r>
          </w:p>
        </w:tc>
        <w:tc>
          <w:tcPr>
            <w:tcW w:w="1579" w:type="dxa"/>
          </w:tcPr>
          <w:p w14:paraId="184A3522" w14:textId="77777777" w:rsidR="0042690B" w:rsidRPr="00884C9A" w:rsidRDefault="0042690B" w:rsidP="0042690B">
            <w:pPr>
              <w:jc w:val="center"/>
              <w:rPr>
                <w:noProof/>
              </w:rPr>
            </w:pPr>
            <w:r w:rsidRPr="008D1FA0">
              <w:rPr>
                <w:rFonts w:asciiTheme="minorHAnsi" w:eastAsiaTheme="minorEastAsia" w:hAnsiTheme="minorHAnsi"/>
                <w:noProof/>
                <w:lang w:eastAsia="en-GB"/>
              </w:rPr>
              <w:t>On track</w:t>
            </w:r>
          </w:p>
        </w:tc>
      </w:tr>
    </w:tbl>
    <w:p w14:paraId="7E434EFD" w14:textId="77777777" w:rsidR="0075432A" w:rsidRDefault="0075432A" w:rsidP="0075432A">
      <w:pPr>
        <w:pStyle w:val="FootnoteText"/>
        <w:spacing w:before="120"/>
        <w:rPr>
          <w:noProof/>
        </w:rPr>
      </w:pPr>
      <w:r>
        <w:rPr>
          <w:noProof/>
        </w:rPr>
        <w:t xml:space="preserve">(*) </w:t>
      </w:r>
      <w:r w:rsidRPr="008A592F">
        <w:rPr>
          <w:noProof/>
        </w:rPr>
        <w:t>% of target achieved by the end of 2021.</w:t>
      </w:r>
    </w:p>
    <w:p w14:paraId="773A4D4C" w14:textId="65B29CEF" w:rsidR="0075432A" w:rsidRDefault="0075432A" w:rsidP="0075432A">
      <w:pPr>
        <w:pStyle w:val="FootnoteText"/>
        <w:spacing w:before="120"/>
        <w:rPr>
          <w:noProof/>
        </w:rPr>
      </w:pPr>
      <w:r>
        <w:rPr>
          <w:noProof/>
        </w:rPr>
        <w:t xml:space="preserve">(**) % of years for which the milestones or target </w:t>
      </w:r>
      <w:r w:rsidR="00AA5CAB">
        <w:rPr>
          <w:noProof/>
        </w:rPr>
        <w:t xml:space="preserve">have </w:t>
      </w:r>
      <w:r>
        <w:rPr>
          <w:noProof/>
        </w:rPr>
        <w:t>been achieved during the 2021</w:t>
      </w:r>
      <w:r w:rsidDel="00A77FE0">
        <w:rPr>
          <w:noProof/>
        </w:rPr>
        <w:t>-</w:t>
      </w:r>
      <w:r>
        <w:rPr>
          <w:noProof/>
        </w:rPr>
        <w:t>2027 period.</w:t>
      </w:r>
    </w:p>
    <w:p w14:paraId="391D2631" w14:textId="77777777" w:rsidR="007F2C98" w:rsidRPr="00040D99" w:rsidRDefault="007F2C98" w:rsidP="007F2C98">
      <w:pPr>
        <w:pStyle w:val="FootnoteText"/>
        <w:spacing w:before="120"/>
        <w:rPr>
          <w:noProof/>
        </w:rPr>
      </w:pPr>
      <w:r>
        <w:rPr>
          <w:noProof/>
        </w:rPr>
        <w:t>(***) Milestone achieved in 2021.</w:t>
      </w:r>
    </w:p>
    <w:p w14:paraId="12B45386" w14:textId="77777777" w:rsidR="0075432A" w:rsidRPr="00040D99" w:rsidRDefault="0075432A" w:rsidP="0075432A">
      <w:pPr>
        <w:pStyle w:val="FootnoteText"/>
        <w:rPr>
          <w:noProof/>
          <w:color w:val="BBB931"/>
        </w:rPr>
      </w:pPr>
    </w:p>
    <w:p w14:paraId="2AF4F959" w14:textId="77777777" w:rsidR="0075432A" w:rsidRDefault="0075432A" w:rsidP="0075432A">
      <w:pPr>
        <w:pStyle w:val="ppoListHyphened-L1"/>
        <w:rPr>
          <w:noProof/>
        </w:rPr>
      </w:pPr>
      <w:r>
        <w:rPr>
          <w:noProof/>
        </w:rPr>
        <w:t>The delays in the negotiations on the 2021-2027 multiannual financial framework, which concluded only in December 2020, along with the subsequent time needed for the co-legislators to finalise negotiations on the outstanding provisions in the Fiscalis programme regulation, resulted in its adoption only during the course of 2021. More precisely, Regulation (EU) 2021/847 entered into force on 28</w:t>
      </w:r>
      <w:r>
        <w:rPr>
          <w:rFonts w:ascii="Calibri" w:hAnsi="Calibri" w:cs="Calibri"/>
          <w:noProof/>
        </w:rPr>
        <w:t> </w:t>
      </w:r>
      <w:r>
        <w:rPr>
          <w:noProof/>
        </w:rPr>
        <w:t>May, while the adoption of the financing decision and the first work programme (which, in a novelty relative to the 2014</w:t>
      </w:r>
      <w:r w:rsidDel="002C0FC5">
        <w:rPr>
          <w:noProof/>
        </w:rPr>
        <w:t>-</w:t>
      </w:r>
      <w:r>
        <w:rPr>
          <w:noProof/>
        </w:rPr>
        <w:t>2020 programme, is now multiannual, covering the 2021</w:t>
      </w:r>
      <w:r w:rsidDel="002C0FC5">
        <w:rPr>
          <w:noProof/>
        </w:rPr>
        <w:t>-</w:t>
      </w:r>
      <w:r>
        <w:rPr>
          <w:noProof/>
        </w:rPr>
        <w:t>2023 period), was possible only in July 2021.</w:t>
      </w:r>
    </w:p>
    <w:p w14:paraId="130E919E" w14:textId="77777777" w:rsidR="0075432A" w:rsidRDefault="0075432A" w:rsidP="0075432A">
      <w:pPr>
        <w:pStyle w:val="ppoListHyphened-L1"/>
        <w:jc w:val="both"/>
        <w:rPr>
          <w:noProof/>
        </w:rPr>
      </w:pPr>
      <w:r>
        <w:rPr>
          <w:noProof/>
        </w:rPr>
        <w:t>Due to the late adoption of the multiannual financial framework</w:t>
      </w:r>
      <w:r w:rsidDel="002C0FC5">
        <w:rPr>
          <w:noProof/>
        </w:rPr>
        <w:t xml:space="preserve"> </w:t>
      </w:r>
      <w:r>
        <w:rPr>
          <w:noProof/>
        </w:rPr>
        <w:t>and of the programme itself, 2021 represented a transitional year, where performance of the previous and of the active programme was significantly intertwined. Prolonged contracts from the 2014</w:t>
      </w:r>
      <w:r w:rsidDel="002C0FC5">
        <w:rPr>
          <w:noProof/>
        </w:rPr>
        <w:t>-</w:t>
      </w:r>
      <w:r>
        <w:rPr>
          <w:noProof/>
        </w:rPr>
        <w:t xml:space="preserve">2020 programme continued to be used for both the </w:t>
      </w:r>
      <w:r>
        <w:rPr>
          <w:rFonts w:eastAsiaTheme="minorEastAsia"/>
          <w:noProof/>
        </w:rPr>
        <w:t>information technology</w:t>
      </w:r>
      <w:r>
        <w:rPr>
          <w:noProof/>
        </w:rPr>
        <w:t xml:space="preserve"> projects and general collaborative actions until the second half of 2021 and November 2021 respectively.</w:t>
      </w:r>
    </w:p>
    <w:p w14:paraId="30F51C69" w14:textId="77777777" w:rsidR="0075432A" w:rsidRPr="00514C7C" w:rsidRDefault="0075432A" w:rsidP="0075432A">
      <w:pPr>
        <w:pStyle w:val="ppoListHyphened-L1"/>
        <w:jc w:val="both"/>
        <w:rPr>
          <w:noProof/>
        </w:rPr>
      </w:pPr>
      <w:r>
        <w:rPr>
          <w:noProof/>
        </w:rPr>
        <w:t xml:space="preserve">Within the general collaboration activities in the field of taxation, </w:t>
      </w:r>
      <w:r w:rsidRPr="00C5324C">
        <w:rPr>
          <w:bCs/>
          <w:noProof/>
        </w:rPr>
        <w:t>seven</w:t>
      </w:r>
      <w:r>
        <w:rPr>
          <w:noProof/>
        </w:rPr>
        <w:t xml:space="preserve"> activities were launched, including three project groups and one capacity-building activity initiated by the Commission. The implementation of the collaborative activities under the current programme (during December 2021) were still impacted by the COVID-19 pandemic and related restrictions. In particular, the pandemic continued to affect collaborative actions and events, due to the absence of travel and physical meetings. Online meetings replaced almost all face-to-face meetings. On the other hand, the European information systems operated regularly and business continuity was guaranteed despite the pandemic.</w:t>
      </w:r>
    </w:p>
    <w:p w14:paraId="464FC2F5" w14:textId="77777777" w:rsidR="0075432A" w:rsidRPr="00040D99" w:rsidRDefault="0075432A" w:rsidP="0075432A">
      <w:pPr>
        <w:pStyle w:val="ppoHeading4Orange"/>
        <w:rPr>
          <w:noProof/>
        </w:rPr>
      </w:pPr>
      <w:r>
        <w:rPr>
          <w:noProof/>
        </w:rPr>
        <w:t>2014-2020 multiannual financial framework</w:t>
      </w:r>
      <w:r>
        <w:rPr>
          <w:rFonts w:ascii="Calibri" w:hAnsi="Calibri" w:cs="Calibri"/>
          <w:noProof/>
        </w:rPr>
        <w:t> </w:t>
      </w:r>
      <w:r w:rsidRPr="00040D99">
        <w:rPr>
          <w:noProof/>
        </w:rPr>
        <w:t xml:space="preserve">– </w:t>
      </w:r>
      <w:r>
        <w:rPr>
          <w:noProof/>
        </w:rPr>
        <w:t>Fiscalis</w:t>
      </w:r>
    </w:p>
    <w:p w14:paraId="7CF71089" w14:textId="77777777" w:rsidR="0075432A" w:rsidRPr="00CB3972" w:rsidRDefault="0075432A" w:rsidP="0075432A">
      <w:pPr>
        <w:rPr>
          <w:rFonts w:eastAsiaTheme="minorEastAsia"/>
          <w:noProof/>
        </w:rPr>
      </w:pPr>
      <w:r>
        <w:rPr>
          <w:noProof/>
        </w:rPr>
        <w:t>Fiscalis 2020 is an EU cooperation programme enabling national tax administrations to exchange information and expertise. It allows major trans-European information technology systems to be developed and operated in partnership, and various person-to-person networks to be established by bringing together national officials from across the EU.</w:t>
      </w:r>
    </w:p>
    <w:p w14:paraId="2D424850" w14:textId="77777777" w:rsidR="0075432A" w:rsidRPr="00040D99" w:rsidRDefault="0075432A" w:rsidP="0075432A">
      <w:pPr>
        <w:pStyle w:val="ppoHeading5"/>
        <w:rPr>
          <w:noProof/>
        </w:rPr>
      </w:pPr>
      <w:r w:rsidRPr="00040D99">
        <w:rPr>
          <w:noProof/>
        </w:rPr>
        <w:t xml:space="preserve">Budget </w:t>
      </w:r>
    </w:p>
    <w:p w14:paraId="62DCF84E" w14:textId="77777777" w:rsidR="0075432A" w:rsidRPr="00040D99" w:rsidRDefault="0075432A" w:rsidP="0075432A">
      <w:pPr>
        <w:pStyle w:val="ppoTableTabletitle"/>
        <w:rPr>
          <w:noProof/>
        </w:rPr>
      </w:pPr>
      <w:r w:rsidRPr="00040D99">
        <w:rPr>
          <w:noProof/>
        </w:rPr>
        <w:t>Cumulative implementation rate at the end of 2021</w:t>
      </w:r>
      <w:r>
        <w:rPr>
          <w:noProof/>
        </w:rPr>
        <w:t xml:space="preserve">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75432A" w:rsidRPr="00040D99" w14:paraId="34009518" w14:textId="77777777" w:rsidTr="00AF1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522EC0F8" w14:textId="77777777" w:rsidR="0075432A" w:rsidRPr="00724FDD" w:rsidRDefault="0075432A" w:rsidP="00AF1C52">
            <w:pPr>
              <w:rPr>
                <w:noProof/>
              </w:rPr>
            </w:pPr>
          </w:p>
        </w:tc>
        <w:tc>
          <w:tcPr>
            <w:tcW w:w="2410" w:type="dxa"/>
          </w:tcPr>
          <w:p w14:paraId="66ADD4DD" w14:textId="77777777" w:rsidR="0075432A" w:rsidRPr="00724FDD" w:rsidRDefault="0075432A" w:rsidP="00AF1C52">
            <w:pPr>
              <w:cnfStyle w:val="100000000000" w:firstRow="1" w:lastRow="0" w:firstColumn="0" w:lastColumn="0" w:oddVBand="0" w:evenVBand="0" w:oddHBand="0" w:evenHBand="0" w:firstRowFirstColumn="0" w:firstRowLastColumn="0" w:lastRowFirstColumn="0" w:lastRowLastColumn="0"/>
              <w:rPr>
                <w:noProof/>
              </w:rPr>
            </w:pPr>
            <w:r w:rsidRPr="00724FDD">
              <w:rPr>
                <w:noProof/>
              </w:rPr>
              <w:t>Implementation</w:t>
            </w:r>
          </w:p>
        </w:tc>
        <w:tc>
          <w:tcPr>
            <w:tcW w:w="2410" w:type="dxa"/>
          </w:tcPr>
          <w:p w14:paraId="35CC1C45" w14:textId="67ADE9D7" w:rsidR="0075432A" w:rsidRPr="00724FDD" w:rsidRDefault="001F4CBC" w:rsidP="00AF1C52">
            <w:pPr>
              <w:cnfStyle w:val="100000000000" w:firstRow="1" w:lastRow="0" w:firstColumn="0" w:lastColumn="0" w:oddVBand="0" w:evenVBand="0" w:oddHBand="0" w:evenHBand="0" w:firstRowFirstColumn="0" w:firstRowLastColumn="0" w:lastRowFirstColumn="0" w:lastRowLastColumn="0"/>
              <w:rPr>
                <w:noProof/>
              </w:rPr>
            </w:pPr>
            <w:r>
              <w:rPr>
                <w:noProof/>
              </w:rPr>
              <w:t xml:space="preserve">2014-2020 </w:t>
            </w:r>
            <w:r w:rsidRPr="00885241">
              <w:rPr>
                <w:noProof/>
              </w:rPr>
              <w:t>Budget</w:t>
            </w:r>
          </w:p>
        </w:tc>
        <w:tc>
          <w:tcPr>
            <w:tcW w:w="2410" w:type="dxa"/>
          </w:tcPr>
          <w:p w14:paraId="726551D0" w14:textId="77777777" w:rsidR="0075432A" w:rsidRPr="00724FDD" w:rsidRDefault="0075432A" w:rsidP="00AF1C52">
            <w:pPr>
              <w:cnfStyle w:val="100000000000" w:firstRow="1" w:lastRow="0" w:firstColumn="0" w:lastColumn="0" w:oddVBand="0" w:evenVBand="0" w:oddHBand="0" w:evenHBand="0" w:firstRowFirstColumn="0" w:firstRowLastColumn="0" w:lastRowFirstColumn="0" w:lastRowLastColumn="0"/>
              <w:rPr>
                <w:noProof/>
              </w:rPr>
            </w:pPr>
            <w:r w:rsidRPr="00724FDD">
              <w:rPr>
                <w:noProof/>
              </w:rPr>
              <w:t>Implementation rate</w:t>
            </w:r>
          </w:p>
        </w:tc>
      </w:tr>
      <w:tr w:rsidR="0075432A" w:rsidRPr="00040D99" w14:paraId="2607580E"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15648F5D" w14:textId="77777777" w:rsidR="0075432A" w:rsidRPr="00724FDD" w:rsidRDefault="0075432A" w:rsidP="00AF1C52">
            <w:pPr>
              <w:jc w:val="center"/>
              <w:rPr>
                <w:noProof/>
              </w:rPr>
            </w:pPr>
            <w:r w:rsidRPr="00724FDD">
              <w:rPr>
                <w:noProof/>
              </w:rPr>
              <w:t>Commitment</w:t>
            </w:r>
            <w:r>
              <w:rPr>
                <w:noProof/>
              </w:rPr>
              <w:t>s</w:t>
            </w:r>
          </w:p>
        </w:tc>
        <w:tc>
          <w:tcPr>
            <w:tcW w:w="2410" w:type="dxa"/>
          </w:tcPr>
          <w:tbl>
            <w:tblPr>
              <w:tblStyle w:val="TableGrid"/>
              <w:tblW w:w="0" w:type="auto"/>
              <w:tblLook w:val="06A0" w:firstRow="1" w:lastRow="0" w:firstColumn="1" w:lastColumn="0" w:noHBand="1" w:noVBand="1"/>
            </w:tblPr>
            <w:tblGrid>
              <w:gridCol w:w="2194"/>
            </w:tblGrid>
            <w:tr w:rsidR="0075432A" w14:paraId="2606D147" w14:textId="77777777" w:rsidTr="00AF1C52">
              <w:trPr>
                <w:trHeight w:val="285"/>
              </w:trPr>
              <w:tc>
                <w:tcPr>
                  <w:tcW w:w="2290" w:type="dxa"/>
                  <w:tcBorders>
                    <w:top w:val="nil"/>
                    <w:left w:val="nil"/>
                    <w:bottom w:val="nil"/>
                    <w:right w:val="nil"/>
                  </w:tcBorders>
                  <w:vAlign w:val="bottom"/>
                </w:tcPr>
                <w:p w14:paraId="4DDCADDD" w14:textId="77777777" w:rsidR="0075432A" w:rsidRDefault="0075432A" w:rsidP="00AF1C52">
                  <w:pPr>
                    <w:spacing w:before="100" w:after="100"/>
                    <w:jc w:val="center"/>
                    <w:rPr>
                      <w:noProof/>
                    </w:rPr>
                  </w:pPr>
                  <w:r w:rsidRPr="000D1278">
                    <w:rPr>
                      <w:noProof/>
                    </w:rPr>
                    <w:t>223.7</w:t>
                  </w:r>
                </w:p>
              </w:tc>
            </w:tr>
          </w:tbl>
          <w:p w14:paraId="6E974A09" w14:textId="77777777" w:rsidR="0075432A" w:rsidRPr="00724FDD" w:rsidRDefault="0075432A" w:rsidP="00AF1C5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75432A" w14:paraId="4BA8F1B5" w14:textId="77777777" w:rsidTr="00AF1C52">
              <w:trPr>
                <w:trHeight w:val="285"/>
              </w:trPr>
              <w:tc>
                <w:tcPr>
                  <w:tcW w:w="2290" w:type="dxa"/>
                  <w:tcBorders>
                    <w:top w:val="nil"/>
                    <w:left w:val="nil"/>
                    <w:bottom w:val="nil"/>
                    <w:right w:val="nil"/>
                  </w:tcBorders>
                  <w:vAlign w:val="bottom"/>
                </w:tcPr>
                <w:p w14:paraId="3D0032C8" w14:textId="77777777" w:rsidR="0075432A" w:rsidRDefault="0075432A" w:rsidP="00AF1C52">
                  <w:pPr>
                    <w:spacing w:before="100" w:after="100"/>
                    <w:jc w:val="center"/>
                    <w:rPr>
                      <w:noProof/>
                    </w:rPr>
                  </w:pPr>
                  <w:r w:rsidRPr="000D1278">
                    <w:rPr>
                      <w:noProof/>
                    </w:rPr>
                    <w:t>223.7</w:t>
                  </w:r>
                </w:p>
              </w:tc>
            </w:tr>
          </w:tbl>
          <w:p w14:paraId="2B4D786F" w14:textId="77777777" w:rsidR="0075432A" w:rsidRPr="00724FDD" w:rsidRDefault="0075432A" w:rsidP="00AF1C5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75432A" w14:paraId="0B7D44E3" w14:textId="77777777" w:rsidTr="00AF1C52">
              <w:trPr>
                <w:trHeight w:val="285"/>
              </w:trPr>
              <w:tc>
                <w:tcPr>
                  <w:tcW w:w="2290" w:type="dxa"/>
                  <w:tcBorders>
                    <w:top w:val="nil"/>
                    <w:left w:val="nil"/>
                    <w:bottom w:val="nil"/>
                    <w:right w:val="nil"/>
                  </w:tcBorders>
                  <w:vAlign w:val="bottom"/>
                </w:tcPr>
                <w:p w14:paraId="5611FF55" w14:textId="77777777" w:rsidR="0075432A" w:rsidRDefault="0075432A" w:rsidP="00AF1C52">
                  <w:pPr>
                    <w:spacing w:before="100" w:after="100"/>
                    <w:jc w:val="center"/>
                    <w:rPr>
                      <w:noProof/>
                    </w:rPr>
                  </w:pPr>
                  <w:r w:rsidRPr="000D1278">
                    <w:rPr>
                      <w:noProof/>
                    </w:rPr>
                    <w:t>100%</w:t>
                  </w:r>
                </w:p>
              </w:tc>
            </w:tr>
          </w:tbl>
          <w:p w14:paraId="5FC8663F" w14:textId="77777777" w:rsidR="0075432A" w:rsidRPr="00724FDD" w:rsidRDefault="0075432A" w:rsidP="00AF1C52">
            <w:pPr>
              <w:jc w:val="center"/>
              <w:cnfStyle w:val="000000000000" w:firstRow="0" w:lastRow="0" w:firstColumn="0" w:lastColumn="0" w:oddVBand="0" w:evenVBand="0" w:oddHBand="0" w:evenHBand="0" w:firstRowFirstColumn="0" w:firstRowLastColumn="0" w:lastRowFirstColumn="0" w:lastRowLastColumn="0"/>
              <w:rPr>
                <w:noProof/>
              </w:rPr>
            </w:pPr>
          </w:p>
        </w:tc>
      </w:tr>
      <w:tr w:rsidR="0075432A" w:rsidRPr="00040D99" w14:paraId="600F8D62"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02C9CA69" w14:textId="77777777" w:rsidR="0075432A" w:rsidRPr="00724FDD" w:rsidRDefault="0075432A" w:rsidP="00AF1C52">
            <w:pPr>
              <w:jc w:val="center"/>
              <w:rPr>
                <w:noProof/>
              </w:rPr>
            </w:pPr>
            <w:r w:rsidRPr="00724FDD">
              <w:rPr>
                <w:noProof/>
              </w:rPr>
              <w:t>Payments</w:t>
            </w:r>
          </w:p>
        </w:tc>
        <w:tc>
          <w:tcPr>
            <w:tcW w:w="2410" w:type="dxa"/>
          </w:tcPr>
          <w:tbl>
            <w:tblPr>
              <w:tblStyle w:val="TableGrid"/>
              <w:tblW w:w="0" w:type="auto"/>
              <w:tblLook w:val="06A0" w:firstRow="1" w:lastRow="0" w:firstColumn="1" w:lastColumn="0" w:noHBand="1" w:noVBand="1"/>
            </w:tblPr>
            <w:tblGrid>
              <w:gridCol w:w="2194"/>
            </w:tblGrid>
            <w:tr w:rsidR="0075432A" w14:paraId="0D42756A" w14:textId="77777777" w:rsidTr="00AF1C52">
              <w:trPr>
                <w:trHeight w:val="285"/>
              </w:trPr>
              <w:tc>
                <w:tcPr>
                  <w:tcW w:w="2290" w:type="dxa"/>
                  <w:tcBorders>
                    <w:top w:val="nil"/>
                    <w:left w:val="nil"/>
                    <w:bottom w:val="nil"/>
                    <w:right w:val="nil"/>
                  </w:tcBorders>
                  <w:vAlign w:val="bottom"/>
                </w:tcPr>
                <w:p w14:paraId="1266CFE6" w14:textId="77777777" w:rsidR="0075432A" w:rsidRDefault="0075432A" w:rsidP="00AF1C52">
                  <w:pPr>
                    <w:spacing w:before="100" w:after="100"/>
                    <w:jc w:val="center"/>
                    <w:rPr>
                      <w:noProof/>
                    </w:rPr>
                  </w:pPr>
                  <w:r w:rsidRPr="000D1278">
                    <w:rPr>
                      <w:noProof/>
                    </w:rPr>
                    <w:t>209.4</w:t>
                  </w:r>
                </w:p>
              </w:tc>
            </w:tr>
          </w:tbl>
          <w:p w14:paraId="499F193B" w14:textId="77777777" w:rsidR="0075432A" w:rsidRPr="00724FDD" w:rsidRDefault="0075432A" w:rsidP="00AF1C5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7797CF56" w14:textId="77777777" w:rsidR="0075432A" w:rsidRPr="00724FDD" w:rsidRDefault="0075432A" w:rsidP="00AF1C5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75432A" w14:paraId="34E2F4AE" w14:textId="77777777" w:rsidTr="00AF1C52">
              <w:trPr>
                <w:trHeight w:val="285"/>
              </w:trPr>
              <w:tc>
                <w:tcPr>
                  <w:tcW w:w="2235" w:type="dxa"/>
                  <w:tcBorders>
                    <w:top w:val="nil"/>
                    <w:left w:val="nil"/>
                    <w:bottom w:val="nil"/>
                    <w:right w:val="nil"/>
                  </w:tcBorders>
                  <w:vAlign w:val="bottom"/>
                </w:tcPr>
                <w:p w14:paraId="15FA0D75" w14:textId="77777777" w:rsidR="0075432A" w:rsidRDefault="0075432A" w:rsidP="00AF1C52">
                  <w:pPr>
                    <w:spacing w:before="100" w:after="100"/>
                    <w:jc w:val="center"/>
                    <w:rPr>
                      <w:noProof/>
                    </w:rPr>
                  </w:pPr>
                  <w:r w:rsidRPr="000D1278">
                    <w:rPr>
                      <w:noProof/>
                    </w:rPr>
                    <w:t>94%</w:t>
                  </w:r>
                </w:p>
              </w:tc>
            </w:tr>
          </w:tbl>
          <w:p w14:paraId="01D19360" w14:textId="77777777" w:rsidR="0075432A" w:rsidRPr="00724FDD" w:rsidRDefault="0075432A" w:rsidP="00AF1C52">
            <w:pPr>
              <w:jc w:val="center"/>
              <w:cnfStyle w:val="000000000000" w:firstRow="0" w:lastRow="0" w:firstColumn="0" w:lastColumn="0" w:oddVBand="0" w:evenVBand="0" w:oddHBand="0" w:evenHBand="0" w:firstRowFirstColumn="0" w:firstRowLastColumn="0" w:lastRowFirstColumn="0" w:lastRowLastColumn="0"/>
              <w:rPr>
                <w:noProof/>
              </w:rPr>
            </w:pPr>
          </w:p>
        </w:tc>
      </w:tr>
    </w:tbl>
    <w:p w14:paraId="4FAFDBB1" w14:textId="77777777" w:rsidR="0075432A" w:rsidRDefault="0075432A" w:rsidP="0075432A">
      <w:pPr>
        <w:pStyle w:val="ppoListHyphened-L1"/>
        <w:spacing w:before="100" w:beforeAutospacing="1"/>
        <w:ind w:left="360" w:hanging="360"/>
        <w:rPr>
          <w:noProof/>
        </w:rPr>
      </w:pPr>
      <w:r w:rsidRPr="000E5C7B">
        <w:rPr>
          <w:noProof/>
        </w:rPr>
        <w:t>100% of the programme</w:t>
      </w:r>
      <w:r>
        <w:rPr>
          <w:noProof/>
        </w:rPr>
        <w:t>’</w:t>
      </w:r>
      <w:r w:rsidRPr="000E5C7B">
        <w:rPr>
          <w:noProof/>
        </w:rPr>
        <w:t>s total commitment appropriations have been consumed. To date, 94% has been paid</w:t>
      </w:r>
      <w:r>
        <w:rPr>
          <w:noProof/>
        </w:rPr>
        <w:t xml:space="preserve">. </w:t>
      </w:r>
      <w:r w:rsidRPr="000E5C7B">
        <w:rPr>
          <w:noProof/>
        </w:rPr>
        <w:t xml:space="preserve">For 2022, </w:t>
      </w:r>
      <w:r>
        <w:rPr>
          <w:noProof/>
        </w:rPr>
        <w:t>payments of</w:t>
      </w:r>
      <w:r w:rsidRPr="000E5C7B">
        <w:rPr>
          <w:noProof/>
        </w:rPr>
        <w:t xml:space="preserve"> </w:t>
      </w:r>
      <w:r>
        <w:rPr>
          <w:noProof/>
        </w:rPr>
        <w:t>EUR</w:t>
      </w:r>
      <w:r>
        <w:rPr>
          <w:rFonts w:ascii="Calibri" w:hAnsi="Calibri" w:cs="Calibri"/>
          <w:noProof/>
        </w:rPr>
        <w:t> </w:t>
      </w:r>
      <w:r w:rsidRPr="000E5C7B">
        <w:rPr>
          <w:noProof/>
        </w:rPr>
        <w:t>8</w:t>
      </w:r>
      <w:r>
        <w:rPr>
          <w:rFonts w:ascii="Calibri" w:hAnsi="Calibri" w:cs="Calibri"/>
          <w:noProof/>
        </w:rPr>
        <w:t> </w:t>
      </w:r>
      <w:r w:rsidRPr="000E5C7B">
        <w:rPr>
          <w:noProof/>
        </w:rPr>
        <w:t>200</w:t>
      </w:r>
      <w:r>
        <w:rPr>
          <w:rFonts w:ascii="Calibri" w:hAnsi="Calibri" w:cs="Calibri"/>
          <w:noProof/>
        </w:rPr>
        <w:t> </w:t>
      </w:r>
      <w:r w:rsidRPr="000E5C7B">
        <w:rPr>
          <w:noProof/>
        </w:rPr>
        <w:t>530</w:t>
      </w:r>
      <w:r>
        <w:rPr>
          <w:noProof/>
        </w:rPr>
        <w:t xml:space="preserve"> are planned</w:t>
      </w:r>
      <w:r w:rsidRPr="000E5C7B">
        <w:rPr>
          <w:noProof/>
        </w:rPr>
        <w:t xml:space="preserve"> to honour contracts and grant agreements made </w:t>
      </w:r>
      <w:r>
        <w:rPr>
          <w:noProof/>
        </w:rPr>
        <w:t>i</w:t>
      </w:r>
      <w:r w:rsidRPr="000E5C7B">
        <w:rPr>
          <w:noProof/>
        </w:rPr>
        <w:t xml:space="preserve">n the </w:t>
      </w:r>
      <w:r>
        <w:rPr>
          <w:noProof/>
        </w:rPr>
        <w:t>2014</w:t>
      </w:r>
      <w:r w:rsidDel="002C0FC5">
        <w:rPr>
          <w:noProof/>
        </w:rPr>
        <w:t>-</w:t>
      </w:r>
      <w:r>
        <w:rPr>
          <w:noProof/>
        </w:rPr>
        <w:t>2020</w:t>
      </w:r>
      <w:r w:rsidRPr="000E5C7B">
        <w:rPr>
          <w:noProof/>
        </w:rPr>
        <w:t xml:space="preserve"> programme.</w:t>
      </w:r>
      <w:r>
        <w:rPr>
          <w:noProof/>
        </w:rPr>
        <w:t xml:space="preserve"> </w:t>
      </w:r>
      <w:r w:rsidRPr="000E5C7B">
        <w:rPr>
          <w:noProof/>
        </w:rPr>
        <w:t xml:space="preserve">The last payment under the </w:t>
      </w:r>
      <w:r>
        <w:rPr>
          <w:noProof/>
        </w:rPr>
        <w:t>2014</w:t>
      </w:r>
      <w:r w:rsidDel="002C0FC5">
        <w:rPr>
          <w:noProof/>
        </w:rPr>
        <w:t>-</w:t>
      </w:r>
      <w:r>
        <w:rPr>
          <w:noProof/>
        </w:rPr>
        <w:t>2020</w:t>
      </w:r>
      <w:r w:rsidRPr="000E5C7B">
        <w:rPr>
          <w:noProof/>
        </w:rPr>
        <w:t xml:space="preserve"> programme is scheduled to take place in 2024.</w:t>
      </w:r>
    </w:p>
    <w:p w14:paraId="288C0625" w14:textId="77777777" w:rsidR="0075432A" w:rsidRDefault="0075432A" w:rsidP="0075432A">
      <w:pPr>
        <w:pStyle w:val="ppoListHyphened-L1"/>
        <w:rPr>
          <w:noProof/>
        </w:rPr>
      </w:pPr>
      <w:r>
        <w:rPr>
          <w:noProof/>
        </w:rPr>
        <w:t xml:space="preserve">The COVID-19 pandemic has affected programme grant activities and the related costs. Due to the restrictions to travel and physical meetings, collaborative activities mainly took place in an online format with no or limited financial costs. This allowed the programme’s unused 2020 budget to be employed to cover the maintenance of the existing </w:t>
      </w:r>
      <w:r>
        <w:rPr>
          <w:rFonts w:eastAsiaTheme="minorEastAsia"/>
          <w:noProof/>
        </w:rPr>
        <w:t>information technology</w:t>
      </w:r>
      <w:r>
        <w:rPr>
          <w:noProof/>
        </w:rPr>
        <w:t xml:space="preserve"> systems in the absence of the funds under the new Fiscalis regulation (which became available only in July).</w:t>
      </w:r>
    </w:p>
    <w:p w14:paraId="1ED4820D" w14:textId="77777777" w:rsidR="0075432A" w:rsidRDefault="0075432A" w:rsidP="0075432A">
      <w:pPr>
        <w:pStyle w:val="ppoListHyphened-L1"/>
        <w:rPr>
          <w:noProof/>
        </w:rPr>
      </w:pPr>
      <w:r>
        <w:rPr>
          <w:noProof/>
        </w:rPr>
        <w:t>Due to the delays related to the difficulties faced by some Member States in adapting to the new working methodologies, the grants of two expert teams (CESOP and Mantic IV) were extended to 2021, given the impossibility of concluding their remit by the due date.</w:t>
      </w:r>
    </w:p>
    <w:p w14:paraId="598DE092" w14:textId="77777777" w:rsidR="0075432A" w:rsidRPr="00040D99" w:rsidRDefault="0075432A" w:rsidP="0075432A">
      <w:pPr>
        <w:pStyle w:val="ppoHeading5"/>
        <w:rPr>
          <w:noProof/>
        </w:rPr>
      </w:pPr>
      <w:r w:rsidRPr="00040D99">
        <w:rPr>
          <w:noProof/>
        </w:rPr>
        <w:t>Performance assessment</w:t>
      </w:r>
    </w:p>
    <w:p w14:paraId="32ED358E" w14:textId="77777777" w:rsidR="0075432A" w:rsidRPr="00040D99" w:rsidRDefault="0075432A" w:rsidP="0075432A">
      <w:pPr>
        <w:pStyle w:val="ppoHeading6"/>
        <w:rPr>
          <w:noProof/>
        </w:rPr>
      </w:pPr>
      <w:r w:rsidRPr="00040D99">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75432A" w:rsidRPr="00040D99" w14:paraId="0DFB497E" w14:textId="77777777" w:rsidTr="00AF1C52">
        <w:trPr>
          <w:cnfStyle w:val="100000000000" w:firstRow="1" w:lastRow="0" w:firstColumn="0" w:lastColumn="0" w:oddVBand="0" w:evenVBand="0" w:oddHBand="0" w:evenHBand="0" w:firstRowFirstColumn="0" w:firstRowLastColumn="0" w:lastRowFirstColumn="0" w:lastRowLastColumn="0"/>
        </w:trPr>
        <w:tc>
          <w:tcPr>
            <w:tcW w:w="2330" w:type="dxa"/>
          </w:tcPr>
          <w:p w14:paraId="512C4D5F" w14:textId="77777777" w:rsidR="0075432A" w:rsidRPr="00724FDD" w:rsidRDefault="0075432A" w:rsidP="00AF1C52">
            <w:pPr>
              <w:rPr>
                <w:noProof/>
              </w:rPr>
            </w:pPr>
          </w:p>
        </w:tc>
        <w:tc>
          <w:tcPr>
            <w:tcW w:w="1100" w:type="dxa"/>
          </w:tcPr>
          <w:p w14:paraId="2BA1059D" w14:textId="77777777" w:rsidR="0075432A" w:rsidRPr="00724FDD" w:rsidRDefault="0075432A" w:rsidP="00AF1C52">
            <w:pPr>
              <w:rPr>
                <w:noProof/>
              </w:rPr>
            </w:pPr>
            <w:r w:rsidRPr="00724FDD">
              <w:rPr>
                <w:noProof/>
              </w:rPr>
              <w:t>Baseline</w:t>
            </w:r>
          </w:p>
        </w:tc>
        <w:tc>
          <w:tcPr>
            <w:tcW w:w="1526" w:type="dxa"/>
          </w:tcPr>
          <w:p w14:paraId="5B61122E" w14:textId="77777777" w:rsidR="0075432A" w:rsidRPr="00724FDD" w:rsidRDefault="0075432A" w:rsidP="00AF1C52">
            <w:pPr>
              <w:rPr>
                <w:noProof/>
              </w:rPr>
            </w:pPr>
            <w:r w:rsidRPr="00724FDD">
              <w:rPr>
                <w:noProof/>
              </w:rPr>
              <w:t>Progress</w:t>
            </w:r>
          </w:p>
        </w:tc>
        <w:tc>
          <w:tcPr>
            <w:tcW w:w="1532" w:type="dxa"/>
          </w:tcPr>
          <w:p w14:paraId="360346C1" w14:textId="77777777" w:rsidR="0075432A" w:rsidRPr="00724FDD" w:rsidRDefault="0075432A" w:rsidP="00AF1C52">
            <w:pPr>
              <w:rPr>
                <w:noProof/>
              </w:rPr>
            </w:pPr>
            <w:r w:rsidRPr="00724FDD">
              <w:rPr>
                <w:noProof/>
              </w:rPr>
              <w:t>Target</w:t>
            </w:r>
          </w:p>
        </w:tc>
        <w:tc>
          <w:tcPr>
            <w:tcW w:w="1572" w:type="dxa"/>
          </w:tcPr>
          <w:p w14:paraId="36BE1E00" w14:textId="77777777" w:rsidR="0075432A" w:rsidRPr="00724FDD" w:rsidRDefault="0075432A" w:rsidP="00AF1C52">
            <w:pPr>
              <w:rPr>
                <w:noProof/>
              </w:rPr>
            </w:pPr>
            <w:r w:rsidRPr="00724FDD">
              <w:rPr>
                <w:noProof/>
              </w:rPr>
              <w:t>Results</w:t>
            </w:r>
          </w:p>
        </w:tc>
        <w:tc>
          <w:tcPr>
            <w:tcW w:w="1579" w:type="dxa"/>
          </w:tcPr>
          <w:p w14:paraId="3691AF35" w14:textId="77777777" w:rsidR="0075432A" w:rsidRPr="00724FDD" w:rsidRDefault="0075432A" w:rsidP="00AF1C52">
            <w:pPr>
              <w:rPr>
                <w:noProof/>
              </w:rPr>
            </w:pPr>
            <w:r w:rsidRPr="00724FDD">
              <w:rPr>
                <w:noProof/>
              </w:rPr>
              <w:t>Assessment</w:t>
            </w:r>
          </w:p>
        </w:tc>
      </w:tr>
      <w:tr w:rsidR="0075432A" w:rsidRPr="00040D99" w14:paraId="61033A42" w14:textId="77777777" w:rsidTr="00AF1C52">
        <w:trPr>
          <w:cnfStyle w:val="000000100000" w:firstRow="0" w:lastRow="0" w:firstColumn="0" w:lastColumn="0" w:oddVBand="0" w:evenVBand="0" w:oddHBand="1" w:evenHBand="0" w:firstRowFirstColumn="0" w:firstRowLastColumn="0" w:lastRowFirstColumn="0" w:lastRowLastColumn="0"/>
        </w:trPr>
        <w:tc>
          <w:tcPr>
            <w:tcW w:w="2330" w:type="dxa"/>
          </w:tcPr>
          <w:p w14:paraId="7C3F13F4" w14:textId="77777777" w:rsidR="0075432A" w:rsidRPr="00724FDD" w:rsidRDefault="0075432A" w:rsidP="00AF1C52">
            <w:pPr>
              <w:rPr>
                <w:noProof/>
              </w:rPr>
            </w:pPr>
            <w:r>
              <w:rPr>
                <w:noProof/>
              </w:rPr>
              <w:t>The common communication network for the European information systems</w:t>
            </w:r>
          </w:p>
        </w:tc>
        <w:tc>
          <w:tcPr>
            <w:tcW w:w="1100" w:type="dxa"/>
          </w:tcPr>
          <w:p w14:paraId="1AED65CA" w14:textId="77777777" w:rsidR="0075432A" w:rsidRPr="00724FDD" w:rsidRDefault="0075432A" w:rsidP="00AF1C52">
            <w:pPr>
              <w:jc w:val="center"/>
              <w:rPr>
                <w:noProof/>
              </w:rPr>
            </w:pPr>
          </w:p>
        </w:tc>
        <w:tc>
          <w:tcPr>
            <w:tcW w:w="1526" w:type="dxa"/>
          </w:tcPr>
          <w:p w14:paraId="2066AA76" w14:textId="77777777" w:rsidR="0075432A" w:rsidRPr="00CB3972" w:rsidRDefault="0075432A" w:rsidP="00AF1C52">
            <w:pPr>
              <w:jc w:val="center"/>
              <w:rPr>
                <w:b/>
                <w:bCs/>
                <w:noProof/>
              </w:rPr>
            </w:pPr>
            <w:r>
              <w:rPr>
                <w:noProof/>
              </w:rPr>
              <w:t>100%</w:t>
            </w:r>
            <w:r>
              <w:rPr>
                <w:rFonts w:ascii="Calibri" w:hAnsi="Calibri" w:cs="Calibri"/>
                <w:noProof/>
              </w:rPr>
              <w:t> </w:t>
            </w:r>
            <w:r>
              <w:rPr>
                <w:noProof/>
              </w:rPr>
              <w:t>(*)</w:t>
            </w:r>
          </w:p>
        </w:tc>
        <w:tc>
          <w:tcPr>
            <w:tcW w:w="1532" w:type="dxa"/>
          </w:tcPr>
          <w:p w14:paraId="1DA62D90" w14:textId="77777777" w:rsidR="0075432A" w:rsidRPr="00724FDD" w:rsidRDefault="0075432A" w:rsidP="00AF1C52">
            <w:pPr>
              <w:jc w:val="center"/>
              <w:rPr>
                <w:noProof/>
              </w:rPr>
            </w:pPr>
            <w:r>
              <w:rPr>
                <w:noProof/>
              </w:rPr>
              <w:t>99.9%</w:t>
            </w:r>
          </w:p>
        </w:tc>
        <w:tc>
          <w:tcPr>
            <w:tcW w:w="1572" w:type="dxa"/>
          </w:tcPr>
          <w:p w14:paraId="0B2EA5BD" w14:textId="77777777" w:rsidR="0075432A" w:rsidRPr="00724FDD" w:rsidRDefault="0075432A" w:rsidP="00AF1C52">
            <w:pPr>
              <w:jc w:val="center"/>
              <w:rPr>
                <w:noProof/>
              </w:rPr>
            </w:pPr>
            <w:r>
              <w:rPr>
                <w:noProof/>
              </w:rPr>
              <w:t>99.89% availability compared to a target of 99.90%</w:t>
            </w:r>
          </w:p>
        </w:tc>
        <w:tc>
          <w:tcPr>
            <w:tcW w:w="1579" w:type="dxa"/>
          </w:tcPr>
          <w:p w14:paraId="1798EE86" w14:textId="77777777" w:rsidR="0075432A" w:rsidRPr="00724FDD" w:rsidRDefault="0075432A" w:rsidP="00AF1C52">
            <w:pPr>
              <w:jc w:val="center"/>
              <w:rPr>
                <w:noProof/>
              </w:rPr>
            </w:pPr>
            <w:r>
              <w:rPr>
                <w:noProof/>
              </w:rPr>
              <w:t>On track</w:t>
            </w:r>
          </w:p>
        </w:tc>
      </w:tr>
      <w:tr w:rsidR="0075432A" w:rsidRPr="00040D99" w14:paraId="0C337EB0" w14:textId="77777777" w:rsidTr="00AF1C52">
        <w:trPr>
          <w:cnfStyle w:val="000000010000" w:firstRow="0" w:lastRow="0" w:firstColumn="0" w:lastColumn="0" w:oddVBand="0" w:evenVBand="0" w:oddHBand="0" w:evenHBand="1" w:firstRowFirstColumn="0" w:firstRowLastColumn="0" w:lastRowFirstColumn="0" w:lastRowLastColumn="0"/>
        </w:trPr>
        <w:tc>
          <w:tcPr>
            <w:tcW w:w="2330" w:type="dxa"/>
          </w:tcPr>
          <w:p w14:paraId="53DEDCED" w14:textId="77777777" w:rsidR="0075432A" w:rsidRPr="00724FDD" w:rsidRDefault="0075432A" w:rsidP="00AF1C52">
            <w:pPr>
              <w:rPr>
                <w:noProof/>
              </w:rPr>
            </w:pPr>
            <w:r>
              <w:rPr>
                <w:noProof/>
              </w:rPr>
              <w:t>Network opportunity</w:t>
            </w:r>
          </w:p>
        </w:tc>
        <w:tc>
          <w:tcPr>
            <w:tcW w:w="1100" w:type="dxa"/>
          </w:tcPr>
          <w:p w14:paraId="27CE5FF8" w14:textId="77777777" w:rsidR="0075432A" w:rsidRPr="00724FDD" w:rsidRDefault="0075432A" w:rsidP="00AF1C52">
            <w:pPr>
              <w:jc w:val="center"/>
              <w:rPr>
                <w:noProof/>
              </w:rPr>
            </w:pPr>
          </w:p>
        </w:tc>
        <w:tc>
          <w:tcPr>
            <w:tcW w:w="1526" w:type="dxa"/>
          </w:tcPr>
          <w:p w14:paraId="334467D7" w14:textId="77777777" w:rsidR="0075432A" w:rsidRPr="00724FDD" w:rsidRDefault="0075432A" w:rsidP="00AF1C52">
            <w:pPr>
              <w:jc w:val="center"/>
              <w:rPr>
                <w:b/>
                <w:noProof/>
              </w:rPr>
            </w:pPr>
            <w:r>
              <w:rPr>
                <w:noProof/>
              </w:rPr>
              <w:t>&gt;</w:t>
            </w:r>
            <w:r>
              <w:rPr>
                <w:rFonts w:ascii="Calibri" w:hAnsi="Calibri" w:cs="Calibri"/>
                <w:noProof/>
              </w:rPr>
              <w:t> </w:t>
            </w:r>
            <w:r>
              <w:rPr>
                <w:noProof/>
              </w:rPr>
              <w:t>100%</w:t>
            </w:r>
            <w:r>
              <w:rPr>
                <w:rFonts w:ascii="Calibri" w:hAnsi="Calibri" w:cs="Calibri"/>
                <w:noProof/>
              </w:rPr>
              <w:t> </w:t>
            </w:r>
            <w:r>
              <w:rPr>
                <w:noProof/>
              </w:rPr>
              <w:t>(**)</w:t>
            </w:r>
          </w:p>
        </w:tc>
        <w:tc>
          <w:tcPr>
            <w:tcW w:w="1532" w:type="dxa"/>
          </w:tcPr>
          <w:p w14:paraId="6250662A" w14:textId="77777777" w:rsidR="0075432A" w:rsidRPr="00724FDD" w:rsidRDefault="0075432A" w:rsidP="00AF1C52">
            <w:pPr>
              <w:jc w:val="center"/>
              <w:rPr>
                <w:noProof/>
              </w:rPr>
            </w:pPr>
            <w:r>
              <w:rPr>
                <w:noProof/>
              </w:rPr>
              <w:t>90%</w:t>
            </w:r>
          </w:p>
        </w:tc>
        <w:tc>
          <w:tcPr>
            <w:tcW w:w="1572" w:type="dxa"/>
          </w:tcPr>
          <w:p w14:paraId="416C48E7" w14:textId="77777777" w:rsidR="0075432A" w:rsidRPr="00724FDD" w:rsidRDefault="0075432A" w:rsidP="00AF1C52">
            <w:pPr>
              <w:jc w:val="center"/>
              <w:rPr>
                <w:noProof/>
              </w:rPr>
            </w:pPr>
            <w:r>
              <w:rPr>
                <w:noProof/>
              </w:rPr>
              <w:t>95% positive feedback compared to a target of 90%</w:t>
            </w:r>
          </w:p>
        </w:tc>
        <w:tc>
          <w:tcPr>
            <w:tcW w:w="1579" w:type="dxa"/>
          </w:tcPr>
          <w:p w14:paraId="7235921E" w14:textId="77777777" w:rsidR="0075432A" w:rsidRPr="00724FDD" w:rsidRDefault="0075432A" w:rsidP="00AF1C52">
            <w:pPr>
              <w:jc w:val="center"/>
              <w:rPr>
                <w:noProof/>
              </w:rPr>
            </w:pPr>
            <w:r>
              <w:rPr>
                <w:noProof/>
              </w:rPr>
              <w:t>On track</w:t>
            </w:r>
          </w:p>
        </w:tc>
      </w:tr>
      <w:tr w:rsidR="0075432A" w:rsidRPr="00040D99" w14:paraId="36F68E61" w14:textId="77777777" w:rsidTr="00AF1C52">
        <w:trPr>
          <w:cnfStyle w:val="000000100000" w:firstRow="0" w:lastRow="0" w:firstColumn="0" w:lastColumn="0" w:oddVBand="0" w:evenVBand="0" w:oddHBand="1" w:evenHBand="0" w:firstRowFirstColumn="0" w:firstRowLastColumn="0" w:lastRowFirstColumn="0" w:lastRowLastColumn="0"/>
        </w:trPr>
        <w:tc>
          <w:tcPr>
            <w:tcW w:w="2330" w:type="dxa"/>
          </w:tcPr>
          <w:p w14:paraId="2E8FEE18" w14:textId="77777777" w:rsidR="0075432A" w:rsidRPr="00724FDD" w:rsidRDefault="0075432A" w:rsidP="00AF1C52">
            <w:pPr>
              <w:rPr>
                <w:noProof/>
              </w:rPr>
            </w:pPr>
            <w:r w:rsidRPr="003B05BA">
              <w:rPr>
                <w:noProof/>
              </w:rPr>
              <w:t>Lasting networking effect</w:t>
            </w:r>
          </w:p>
        </w:tc>
        <w:tc>
          <w:tcPr>
            <w:tcW w:w="1100" w:type="dxa"/>
          </w:tcPr>
          <w:p w14:paraId="62ADE57C" w14:textId="77777777" w:rsidR="0075432A" w:rsidRPr="00724FDD" w:rsidRDefault="0075432A" w:rsidP="00AF1C52">
            <w:pPr>
              <w:jc w:val="center"/>
              <w:rPr>
                <w:noProof/>
              </w:rPr>
            </w:pPr>
          </w:p>
        </w:tc>
        <w:tc>
          <w:tcPr>
            <w:tcW w:w="1526" w:type="dxa"/>
          </w:tcPr>
          <w:p w14:paraId="4449ACEC" w14:textId="77777777" w:rsidR="0075432A" w:rsidRPr="00CB3972" w:rsidRDefault="0075432A" w:rsidP="00AF1C52">
            <w:pPr>
              <w:jc w:val="center"/>
              <w:rPr>
                <w:b/>
                <w:bCs/>
                <w:noProof/>
              </w:rPr>
            </w:pPr>
            <w:r>
              <w:rPr>
                <w:noProof/>
              </w:rPr>
              <w:t>92%</w:t>
            </w:r>
            <w:r>
              <w:rPr>
                <w:rFonts w:ascii="Calibri" w:hAnsi="Calibri" w:cs="Calibri"/>
                <w:noProof/>
              </w:rPr>
              <w:t> </w:t>
            </w:r>
            <w:r>
              <w:rPr>
                <w:noProof/>
              </w:rPr>
              <w:t>(***)</w:t>
            </w:r>
          </w:p>
        </w:tc>
        <w:tc>
          <w:tcPr>
            <w:tcW w:w="1532" w:type="dxa"/>
          </w:tcPr>
          <w:p w14:paraId="597BC2A2" w14:textId="77777777" w:rsidR="0075432A" w:rsidRPr="00724FDD" w:rsidRDefault="0075432A" w:rsidP="00AF1C52">
            <w:pPr>
              <w:jc w:val="center"/>
              <w:rPr>
                <w:noProof/>
              </w:rPr>
            </w:pPr>
            <w:r>
              <w:rPr>
                <w:noProof/>
              </w:rPr>
              <w:t xml:space="preserve">449 </w:t>
            </w:r>
          </w:p>
        </w:tc>
        <w:tc>
          <w:tcPr>
            <w:tcW w:w="1572" w:type="dxa"/>
          </w:tcPr>
          <w:p w14:paraId="7BE6A614" w14:textId="77777777" w:rsidR="0075432A" w:rsidRPr="00724FDD" w:rsidRDefault="0075432A" w:rsidP="00AF1C52">
            <w:pPr>
              <w:jc w:val="center"/>
              <w:rPr>
                <w:noProof/>
              </w:rPr>
            </w:pPr>
            <w:r>
              <w:rPr>
                <w:noProof/>
              </w:rPr>
              <w:t>411 face-to-face meetings compared to a target of 449</w:t>
            </w:r>
          </w:p>
        </w:tc>
        <w:tc>
          <w:tcPr>
            <w:tcW w:w="1579" w:type="dxa"/>
          </w:tcPr>
          <w:p w14:paraId="5A7E3650" w14:textId="77777777" w:rsidR="0075432A" w:rsidRPr="00724FDD" w:rsidRDefault="0075432A" w:rsidP="00AF1C52">
            <w:pPr>
              <w:jc w:val="center"/>
              <w:rPr>
                <w:noProof/>
              </w:rPr>
            </w:pPr>
            <w:r>
              <w:rPr>
                <w:noProof/>
              </w:rPr>
              <w:t>Deserves attention</w:t>
            </w:r>
          </w:p>
        </w:tc>
      </w:tr>
    </w:tbl>
    <w:p w14:paraId="2BC0E79F" w14:textId="77777777" w:rsidR="0075432A" w:rsidRPr="00040D99" w:rsidRDefault="0075432A" w:rsidP="0075432A">
      <w:pPr>
        <w:pStyle w:val="FootnoteText"/>
        <w:rPr>
          <w:noProof/>
        </w:rPr>
      </w:pPr>
      <w:r>
        <w:rPr>
          <w:noProof/>
        </w:rPr>
        <w:t>(*</w:t>
      </w:r>
      <w:r w:rsidRPr="00040D99">
        <w:rPr>
          <w:noProof/>
        </w:rPr>
        <w:t xml:space="preserve">) </w:t>
      </w:r>
      <w:r>
        <w:rPr>
          <w:noProof/>
        </w:rPr>
        <w:tab/>
        <w:t>Average of results for 2014</w:t>
      </w:r>
      <w:r w:rsidDel="00F06A37">
        <w:rPr>
          <w:noProof/>
        </w:rPr>
        <w:t>-</w:t>
      </w:r>
      <w:r>
        <w:rPr>
          <w:noProof/>
        </w:rPr>
        <w:t>2021</w:t>
      </w:r>
      <w:r w:rsidRPr="00AF6670">
        <w:rPr>
          <w:noProof/>
        </w:rPr>
        <w:t xml:space="preserve"> compared to </w:t>
      </w:r>
      <w:r>
        <w:rPr>
          <w:noProof/>
        </w:rPr>
        <w:t xml:space="preserve">the </w:t>
      </w:r>
      <w:r w:rsidRPr="00AF6670">
        <w:rPr>
          <w:noProof/>
        </w:rPr>
        <w:t>target</w:t>
      </w:r>
      <w:r>
        <w:rPr>
          <w:noProof/>
        </w:rPr>
        <w:t>.</w:t>
      </w:r>
    </w:p>
    <w:p w14:paraId="22828413" w14:textId="77777777" w:rsidR="0075432A" w:rsidRDefault="0075432A" w:rsidP="0075432A">
      <w:pPr>
        <w:pStyle w:val="FootnoteText"/>
        <w:rPr>
          <w:noProof/>
        </w:rPr>
      </w:pPr>
      <w:r>
        <w:rPr>
          <w:noProof/>
        </w:rPr>
        <w:t>(**</w:t>
      </w:r>
      <w:r w:rsidRPr="00040D99">
        <w:rPr>
          <w:noProof/>
        </w:rPr>
        <w:t xml:space="preserve">) </w:t>
      </w:r>
      <w:r>
        <w:rPr>
          <w:noProof/>
        </w:rPr>
        <w:tab/>
        <w:t>Average of results for 2014</w:t>
      </w:r>
      <w:r w:rsidDel="00F06A37">
        <w:rPr>
          <w:noProof/>
        </w:rPr>
        <w:t>-</w:t>
      </w:r>
      <w:r>
        <w:rPr>
          <w:noProof/>
        </w:rPr>
        <w:t>2020</w:t>
      </w:r>
      <w:r w:rsidRPr="00AF6670">
        <w:rPr>
          <w:noProof/>
        </w:rPr>
        <w:t xml:space="preserve"> compared to </w:t>
      </w:r>
      <w:r>
        <w:rPr>
          <w:noProof/>
        </w:rPr>
        <w:t xml:space="preserve">the </w:t>
      </w:r>
      <w:r w:rsidRPr="00AF6670">
        <w:rPr>
          <w:noProof/>
        </w:rPr>
        <w:t>target</w:t>
      </w:r>
      <w:r>
        <w:rPr>
          <w:noProof/>
        </w:rPr>
        <w:t>.</w:t>
      </w:r>
    </w:p>
    <w:p w14:paraId="0411810E" w14:textId="77777777" w:rsidR="0075432A" w:rsidRPr="00040D99" w:rsidRDefault="0075432A" w:rsidP="0075432A">
      <w:pPr>
        <w:pStyle w:val="FootnoteText"/>
        <w:rPr>
          <w:noProof/>
        </w:rPr>
      </w:pPr>
      <w:r>
        <w:rPr>
          <w:noProof/>
        </w:rPr>
        <w:t>(***</w:t>
      </w:r>
      <w:r w:rsidRPr="00040D99">
        <w:rPr>
          <w:noProof/>
        </w:rPr>
        <w:t>)</w:t>
      </w:r>
      <w:r>
        <w:rPr>
          <w:noProof/>
        </w:rPr>
        <w:t xml:space="preserve"> Average of results for 2014</w:t>
      </w:r>
      <w:r w:rsidDel="00F06A37">
        <w:rPr>
          <w:noProof/>
        </w:rPr>
        <w:t>-</w:t>
      </w:r>
      <w:r>
        <w:rPr>
          <w:noProof/>
        </w:rPr>
        <w:t>2021</w:t>
      </w:r>
      <w:r w:rsidRPr="00AF6670">
        <w:rPr>
          <w:noProof/>
        </w:rPr>
        <w:t xml:space="preserve"> compared </w:t>
      </w:r>
      <w:r>
        <w:rPr>
          <w:noProof/>
        </w:rPr>
        <w:t>to the average of milestones for 2014</w:t>
      </w:r>
      <w:r w:rsidDel="00F06A37">
        <w:rPr>
          <w:noProof/>
        </w:rPr>
        <w:t>-</w:t>
      </w:r>
      <w:r>
        <w:rPr>
          <w:noProof/>
        </w:rPr>
        <w:t>2021.</w:t>
      </w:r>
    </w:p>
    <w:p w14:paraId="2E90B9BF" w14:textId="77777777" w:rsidR="0075432A" w:rsidRPr="00AF6670" w:rsidRDefault="0075432A" w:rsidP="0075432A">
      <w:pPr>
        <w:pStyle w:val="FootnoteText"/>
        <w:rPr>
          <w:noProof/>
        </w:rPr>
      </w:pPr>
    </w:p>
    <w:p w14:paraId="0132AF0E" w14:textId="77777777" w:rsidR="0075432A" w:rsidRDefault="0075432A" w:rsidP="0075432A">
      <w:pPr>
        <w:pStyle w:val="ppoListHyphened-L1"/>
        <w:rPr>
          <w:noProof/>
        </w:rPr>
      </w:pPr>
      <w:r>
        <w:rPr>
          <w:noProof/>
        </w:rPr>
        <w:t>The COVID-19-related restrictions continued to affect the activities of the programme. In particular, the pandemic affected collaborative actions and events due to the absence of travel and physical meetings, resulting in a substantial underconsumption of the programme’s budget. Almost all face-to-face meetings were cancelled and many were replaced by online meetings. The COVID-19 crisis led to a considerable decrease of the number of multilateral controls and of the presence in the administrative offices and participation in administrative enquiries. Some expert teams had to reschedule their activities and adapt to new working methods.</w:t>
      </w:r>
    </w:p>
    <w:p w14:paraId="10725753" w14:textId="77777777" w:rsidR="0075432A" w:rsidRDefault="0075432A" w:rsidP="0075432A">
      <w:pPr>
        <w:pStyle w:val="ppoListHyphened-L1"/>
        <w:rPr>
          <w:noProof/>
        </w:rPr>
      </w:pPr>
      <w:r>
        <w:rPr>
          <w:noProof/>
        </w:rPr>
        <w:t xml:space="preserve">Nevertheless, despite the impact of the pandemic and the delayed adoption of the programme regulation, in 2021 the collaboration generated by the programme remained strong. The majority of the collaboration action managers and participants adapted to the new working modalities (online collaboration/meetings). Business continuity in the </w:t>
      </w:r>
      <w:r>
        <w:rPr>
          <w:rFonts w:eastAsiaTheme="minorEastAsia"/>
          <w:noProof/>
        </w:rPr>
        <w:t>information technology</w:t>
      </w:r>
      <w:r>
        <w:rPr>
          <w:noProof/>
        </w:rPr>
        <w:t xml:space="preserve"> domain was ensured, as proven by the stable availability of </w:t>
      </w:r>
      <w:r>
        <w:rPr>
          <w:rFonts w:eastAsiaTheme="minorEastAsia"/>
          <w:noProof/>
        </w:rPr>
        <w:t>information technology</w:t>
      </w:r>
      <w:r>
        <w:rPr>
          <w:noProof/>
        </w:rPr>
        <w:t xml:space="preserve"> systems.</w:t>
      </w:r>
    </w:p>
    <w:p w14:paraId="0D8CB737" w14:textId="77777777" w:rsidR="0075432A" w:rsidRDefault="0075432A" w:rsidP="0075432A">
      <w:pPr>
        <w:pStyle w:val="ppoListHyphened-L1"/>
        <w:rPr>
          <w:noProof/>
        </w:rPr>
      </w:pPr>
      <w:r w:rsidRPr="00505880">
        <w:rPr>
          <w:noProof/>
        </w:rPr>
        <w:t>The general collaborative actions under the Fiscalis 2020 programme continued until the end of November</w:t>
      </w:r>
      <w:r>
        <w:rPr>
          <w:noProof/>
        </w:rPr>
        <w:t>,</w:t>
      </w:r>
      <w:r w:rsidRPr="00505880">
        <w:rPr>
          <w:noProof/>
        </w:rPr>
        <w:t xml:space="preserve"> based on the extension of their grant agreement until 30</w:t>
      </w:r>
      <w:r>
        <w:rPr>
          <w:rFonts w:ascii="Calibri" w:hAnsi="Calibri" w:cs="Calibri"/>
          <w:noProof/>
        </w:rPr>
        <w:t> </w:t>
      </w:r>
      <w:r w:rsidRPr="00505880">
        <w:rPr>
          <w:noProof/>
        </w:rPr>
        <w:t xml:space="preserve">November 2021, while the grant agreement for the general collaborative actions under the new Fiscalis programme </w:t>
      </w:r>
      <w:r>
        <w:rPr>
          <w:noProof/>
        </w:rPr>
        <w:t>started as of December 2021.</w:t>
      </w:r>
    </w:p>
    <w:p w14:paraId="6A5D7076" w14:textId="77777777" w:rsidR="0075432A" w:rsidRPr="00093AAC" w:rsidRDefault="0075432A" w:rsidP="0075432A">
      <w:pPr>
        <w:pStyle w:val="ppoListHyphened-L1"/>
        <w:rPr>
          <w:noProof/>
        </w:rPr>
      </w:pPr>
      <w:r w:rsidRPr="00093AAC">
        <w:rPr>
          <w:noProof/>
        </w:rPr>
        <w:t xml:space="preserve">In 2021, the programme continued to fund an important portfolio of </w:t>
      </w:r>
      <w:r w:rsidRPr="00577935">
        <w:rPr>
          <w:noProof/>
        </w:rPr>
        <w:t xml:space="preserve">European </w:t>
      </w:r>
      <w:r>
        <w:rPr>
          <w:noProof/>
        </w:rPr>
        <w:t>i</w:t>
      </w:r>
      <w:r w:rsidRPr="00577935">
        <w:rPr>
          <w:noProof/>
        </w:rPr>
        <w:t xml:space="preserve">nformation </w:t>
      </w:r>
      <w:r>
        <w:rPr>
          <w:noProof/>
        </w:rPr>
        <w:t>s</w:t>
      </w:r>
      <w:r w:rsidRPr="00577935">
        <w:rPr>
          <w:noProof/>
        </w:rPr>
        <w:t>ystems</w:t>
      </w:r>
      <w:r w:rsidRPr="00093AAC">
        <w:rPr>
          <w:noProof/>
        </w:rPr>
        <w:t xml:space="preserve"> (under the new Fiscalis programme</w:t>
      </w:r>
      <w:r w:rsidRPr="00577935">
        <w:rPr>
          <w:noProof/>
        </w:rPr>
        <w:t xml:space="preserve"> </w:t>
      </w:r>
      <w:r w:rsidRPr="00093AAC">
        <w:rPr>
          <w:noProof/>
        </w:rPr>
        <w:t>they are identified as</w:t>
      </w:r>
      <w:r w:rsidRPr="00577935">
        <w:rPr>
          <w:noProof/>
        </w:rPr>
        <w:t xml:space="preserve"> European </w:t>
      </w:r>
      <w:r>
        <w:rPr>
          <w:noProof/>
        </w:rPr>
        <w:t>E</w:t>
      </w:r>
      <w:r w:rsidRPr="00577935">
        <w:rPr>
          <w:noProof/>
        </w:rPr>
        <w:t xml:space="preserve">lectronic </w:t>
      </w:r>
      <w:r>
        <w:rPr>
          <w:noProof/>
        </w:rPr>
        <w:t>S</w:t>
      </w:r>
      <w:r w:rsidRPr="00577935">
        <w:rPr>
          <w:noProof/>
        </w:rPr>
        <w:t>ystems</w:t>
      </w:r>
      <w:r w:rsidRPr="00093AAC">
        <w:rPr>
          <w:noProof/>
        </w:rPr>
        <w:t>), aimed at supporting tax authorities in fighting against tax fraud, tax evasion and tax avoidance. In 2021, the particular circumstances related to the C</w:t>
      </w:r>
      <w:r>
        <w:rPr>
          <w:noProof/>
        </w:rPr>
        <w:t>OVID</w:t>
      </w:r>
      <w:r w:rsidRPr="00093AAC">
        <w:rPr>
          <w:noProof/>
        </w:rPr>
        <w:t xml:space="preserve">-19 pandemic and the delay in the entry into force of the new Fiscalis programme </w:t>
      </w:r>
      <w:r>
        <w:rPr>
          <w:noProof/>
        </w:rPr>
        <w:t>r</w:t>
      </w:r>
      <w:r w:rsidRPr="00093AAC">
        <w:rPr>
          <w:noProof/>
        </w:rPr>
        <w:t xml:space="preserve">egulation </w:t>
      </w:r>
      <w:r w:rsidRPr="00577935">
        <w:rPr>
          <w:noProof/>
        </w:rPr>
        <w:t xml:space="preserve">led to a conservative approach in the implementation of the </w:t>
      </w:r>
      <w:r>
        <w:rPr>
          <w:rFonts w:eastAsiaTheme="minorEastAsia"/>
          <w:noProof/>
        </w:rPr>
        <w:t>information technology</w:t>
      </w:r>
      <w:r w:rsidRPr="00577935">
        <w:rPr>
          <w:noProof/>
        </w:rPr>
        <w:t xml:space="preserve"> activities</w:t>
      </w:r>
      <w:r w:rsidRPr="00093AAC">
        <w:rPr>
          <w:noProof/>
        </w:rPr>
        <w:t xml:space="preserve">, focusing mainly on the maintenance of the </w:t>
      </w:r>
      <w:r>
        <w:rPr>
          <w:rFonts w:eastAsiaTheme="minorEastAsia"/>
          <w:noProof/>
        </w:rPr>
        <w:t>information technology</w:t>
      </w:r>
      <w:r w:rsidRPr="00093AAC">
        <w:rPr>
          <w:noProof/>
        </w:rPr>
        <w:t xml:space="preserve"> systems rather than on the development of new </w:t>
      </w:r>
      <w:r w:rsidRPr="00577935">
        <w:rPr>
          <w:noProof/>
        </w:rPr>
        <w:t>functions in order to ensure business continuity</w:t>
      </w:r>
      <w:r w:rsidRPr="00093AAC">
        <w:rPr>
          <w:noProof/>
        </w:rPr>
        <w:t xml:space="preserve">. As a result, the Commission continued to provide these services </w:t>
      </w:r>
      <w:r>
        <w:rPr>
          <w:noProof/>
        </w:rPr>
        <w:t xml:space="preserve">according to </w:t>
      </w:r>
      <w:r w:rsidRPr="00093AAC">
        <w:rPr>
          <w:noProof/>
        </w:rPr>
        <w:t xml:space="preserve">the agreed service levels, </w:t>
      </w:r>
      <w:r>
        <w:rPr>
          <w:noProof/>
        </w:rPr>
        <w:t xml:space="preserve">thus </w:t>
      </w:r>
      <w:r w:rsidRPr="00093AAC">
        <w:rPr>
          <w:noProof/>
        </w:rPr>
        <w:t>guaranteeing business continuity.</w:t>
      </w:r>
    </w:p>
    <w:p w14:paraId="2099D11A" w14:textId="77777777" w:rsidR="000120A1" w:rsidRDefault="000120A1" w:rsidP="0075432A">
      <w:pPr>
        <w:rPr>
          <w:rFonts w:eastAsiaTheme="majorEastAsia" w:cstheme="majorBidi"/>
          <w:noProof/>
          <w:color w:val="C7841A"/>
          <w:sz w:val="48"/>
          <w:szCs w:val="32"/>
          <w:lang w:eastAsia="en-GB"/>
        </w:rPr>
        <w:sectPr w:rsidR="000120A1" w:rsidSect="00AF1C52">
          <w:headerReference w:type="even" r:id="rId169"/>
          <w:headerReference w:type="default" r:id="rId170"/>
          <w:footerReference w:type="even" r:id="rId171"/>
          <w:footerReference w:type="default" r:id="rId172"/>
          <w:headerReference w:type="first" r:id="rId173"/>
          <w:footerReference w:type="first" r:id="rId174"/>
          <w:type w:val="continuous"/>
          <w:pgSz w:w="11906" w:h="16838" w:code="9"/>
          <w:pgMar w:top="1134" w:right="1134" w:bottom="964" w:left="1134" w:header="431" w:footer="431" w:gutter="0"/>
          <w:cols w:space="720"/>
          <w:titlePg/>
          <w:docGrid w:linePitch="360"/>
        </w:sectPr>
      </w:pPr>
    </w:p>
    <w:p w14:paraId="274E5C54" w14:textId="77777777" w:rsidR="000120A1" w:rsidRPr="00ED7CA4" w:rsidRDefault="000120A1" w:rsidP="000120A1">
      <w:pPr>
        <w:pStyle w:val="StyleppoHeading3WhiteLeft0cm"/>
        <w:rPr>
          <w:noProof/>
          <w:sz w:val="40"/>
          <w:szCs w:val="40"/>
          <w:lang w:val="en-IE"/>
        </w:rPr>
      </w:pPr>
    </w:p>
    <w:p w14:paraId="0438D9F6" w14:textId="77777777" w:rsidR="000120A1" w:rsidRPr="000D0ED7" w:rsidRDefault="000120A1" w:rsidP="000120A1">
      <w:pPr>
        <w:pStyle w:val="StyleppoHeading3WhiteLeft0cm"/>
        <w:rPr>
          <w:noProof/>
          <w:sz w:val="60"/>
          <w:szCs w:val="60"/>
          <w:lang w:val="en-IE"/>
        </w:rPr>
      </w:pPr>
      <w:bookmarkStart w:id="87" w:name="_Toc102086339"/>
      <w:r w:rsidRPr="000D0ED7">
        <w:rPr>
          <w:noProof/>
          <w:sz w:val="60"/>
          <w:szCs w:val="60"/>
          <w:lang w:val="en-IE"/>
        </w:rPr>
        <w:t>CUSTOMS</w:t>
      </w:r>
      <w:bookmarkEnd w:id="87"/>
    </w:p>
    <w:p w14:paraId="140E64DF" w14:textId="77777777" w:rsidR="000120A1" w:rsidRPr="000D0ED7" w:rsidRDefault="000120A1" w:rsidP="000120A1">
      <w:pPr>
        <w:pStyle w:val="StyleppoProgrammenameWhiteLeft01cm"/>
        <w:rPr>
          <w:caps/>
          <w:noProof/>
          <w:lang w:val="en-IE"/>
        </w:rPr>
      </w:pPr>
      <w:r w:rsidRPr="000D0ED7">
        <w:rPr>
          <w:caps/>
          <w:noProof/>
          <w:lang w:val="en-IE"/>
        </w:rPr>
        <w:t>Action programme for cooperation in the field of customs in the European Union</w:t>
      </w:r>
    </w:p>
    <w:p w14:paraId="50E79AE3" w14:textId="77777777" w:rsidR="000120A1" w:rsidRPr="000D0ED7" w:rsidRDefault="000120A1" w:rsidP="000120A1">
      <w:pPr>
        <w:pStyle w:val="ppoHeading4Orange"/>
        <w:rPr>
          <w:noProof/>
          <w:lang w:val="en-IE"/>
        </w:rPr>
      </w:pPr>
      <w:r w:rsidRPr="000D0ED7">
        <w:rPr>
          <w:noProof/>
          <w:lang w:val="en-IE"/>
        </w:rPr>
        <w:t>Programme in a nutshell</w:t>
      </w:r>
    </w:p>
    <w:p w14:paraId="602DE62E" w14:textId="77777777" w:rsidR="000120A1" w:rsidRPr="000D0ED7" w:rsidRDefault="000120A1" w:rsidP="000120A1">
      <w:pPr>
        <w:pStyle w:val="ppoHeading5"/>
        <w:rPr>
          <w:noProof/>
          <w:lang w:val="en-IE"/>
        </w:rPr>
      </w:pPr>
      <w:r w:rsidRPr="000D0ED7">
        <w:rPr>
          <w:noProof/>
          <w:lang w:val="en-IE"/>
        </w:rPr>
        <w:t>Concrete examples of achievements</w:t>
      </w:r>
    </w:p>
    <w:tbl>
      <w:tblPr>
        <w:tblStyle w:val="PPO2021"/>
        <w:tblW w:w="9639" w:type="dxa"/>
        <w:tblInd w:w="0" w:type="dxa"/>
        <w:tblLook w:val="0200" w:firstRow="0" w:lastRow="0" w:firstColumn="0" w:lastColumn="0" w:noHBand="1" w:noVBand="0"/>
      </w:tblPr>
      <w:tblGrid>
        <w:gridCol w:w="2409"/>
        <w:gridCol w:w="2410"/>
        <w:gridCol w:w="2410"/>
        <w:gridCol w:w="2410"/>
      </w:tblGrid>
      <w:tr w:rsidR="000120A1" w:rsidRPr="000D0ED7" w14:paraId="4ABA9595" w14:textId="77777777" w:rsidTr="00AF1C52">
        <w:tc>
          <w:tcPr>
            <w:tcW w:w="2410" w:type="dxa"/>
          </w:tcPr>
          <w:p w14:paraId="5BE46C3E" w14:textId="77777777" w:rsidR="000120A1" w:rsidRPr="000D0ED7" w:rsidRDefault="000120A1" w:rsidP="00AF1C52">
            <w:pPr>
              <w:pStyle w:val="ppoTableacheivementvalue"/>
              <w:rPr>
                <w:noProof/>
                <w:lang w:val="en-IE"/>
              </w:rPr>
            </w:pPr>
            <w:r w:rsidRPr="000D0ED7">
              <w:rPr>
                <w:noProof/>
                <w:lang w:val="en-IE"/>
              </w:rPr>
              <w:t>2.8 billion</w:t>
            </w:r>
          </w:p>
          <w:p w14:paraId="65197830" w14:textId="77777777" w:rsidR="000120A1" w:rsidRPr="000D0ED7" w:rsidRDefault="000120A1" w:rsidP="00962E3C">
            <w:pPr>
              <w:jc w:val="left"/>
              <w:rPr>
                <w:noProof/>
                <w:lang w:val="en-IE"/>
              </w:rPr>
            </w:pPr>
            <w:r w:rsidRPr="000D0ED7">
              <w:rPr>
                <w:noProof/>
                <w:lang w:val="en-IE"/>
              </w:rPr>
              <w:t>messages were exchanged on the key Customs European Electronic Systems and their components in 2021.</w:t>
            </w:r>
          </w:p>
        </w:tc>
        <w:tc>
          <w:tcPr>
            <w:cnfStyle w:val="000001000000" w:firstRow="0" w:lastRow="0" w:firstColumn="0" w:lastColumn="0" w:oddVBand="0" w:evenVBand="1" w:oddHBand="0" w:evenHBand="0" w:firstRowFirstColumn="0" w:firstRowLastColumn="0" w:lastRowFirstColumn="0" w:lastRowLastColumn="0"/>
            <w:tcW w:w="2409" w:type="dxa"/>
          </w:tcPr>
          <w:p w14:paraId="1D24B855" w14:textId="77777777" w:rsidR="000120A1" w:rsidRPr="000D0ED7" w:rsidRDefault="000120A1" w:rsidP="00AF1C52">
            <w:pPr>
              <w:pStyle w:val="ppoTableacheivementvalue"/>
              <w:rPr>
                <w:noProof/>
                <w:lang w:val="en-IE"/>
              </w:rPr>
            </w:pPr>
            <w:r w:rsidRPr="000D0ED7">
              <w:rPr>
                <w:noProof/>
                <w:lang w:val="en-IE"/>
              </w:rPr>
              <w:t>384</w:t>
            </w:r>
            <w:r w:rsidRPr="000D0ED7">
              <w:rPr>
                <w:rFonts w:ascii="Calibri" w:hAnsi="Calibri" w:cs="Calibri"/>
                <w:noProof/>
                <w:lang w:val="en-IE"/>
              </w:rPr>
              <w:t> </w:t>
            </w:r>
            <w:r w:rsidRPr="000D0ED7">
              <w:rPr>
                <w:noProof/>
                <w:lang w:val="en-IE"/>
              </w:rPr>
              <w:t>696</w:t>
            </w:r>
          </w:p>
          <w:p w14:paraId="24C06820" w14:textId="77777777" w:rsidR="000120A1" w:rsidRPr="000D0ED7" w:rsidRDefault="000120A1" w:rsidP="00962E3C">
            <w:pPr>
              <w:jc w:val="left"/>
              <w:rPr>
                <w:noProof/>
                <w:lang w:val="en-IE"/>
              </w:rPr>
            </w:pPr>
            <w:r w:rsidRPr="000D0ED7">
              <w:rPr>
                <w:noProof/>
                <w:lang w:val="en-IE"/>
              </w:rPr>
              <w:t>officials were trained by using EU common training material in 2021.</w:t>
            </w:r>
          </w:p>
        </w:tc>
        <w:tc>
          <w:tcPr>
            <w:tcW w:w="2410" w:type="dxa"/>
            <w:tcBorders>
              <w:bottom w:val="single" w:sz="4" w:space="0" w:color="8C8C8C"/>
            </w:tcBorders>
          </w:tcPr>
          <w:p w14:paraId="046765E6" w14:textId="77777777" w:rsidR="000120A1" w:rsidRPr="000D0ED7" w:rsidRDefault="000120A1" w:rsidP="00AF1C52">
            <w:pPr>
              <w:pStyle w:val="ppoTableacheivementvalue"/>
              <w:cnfStyle w:val="000000000000" w:firstRow="0" w:lastRow="0" w:firstColumn="0" w:lastColumn="0" w:oddVBand="0" w:evenVBand="0" w:oddHBand="0" w:evenHBand="0" w:firstRowFirstColumn="0" w:firstRowLastColumn="0" w:lastRowFirstColumn="0" w:lastRowLastColumn="0"/>
              <w:rPr>
                <w:noProof/>
                <w:lang w:val="en-IE"/>
              </w:rPr>
            </w:pPr>
            <w:r w:rsidRPr="000D0ED7">
              <w:rPr>
                <w:noProof/>
                <w:lang w:val="en-IE"/>
              </w:rPr>
              <w:t>82%</w:t>
            </w:r>
          </w:p>
          <w:p w14:paraId="0DBCECF8" w14:textId="77777777" w:rsidR="000120A1" w:rsidRPr="000D0ED7" w:rsidRDefault="000120A1" w:rsidP="00962E3C">
            <w:pPr>
              <w:jc w:val="left"/>
              <w:cnfStyle w:val="000000000000" w:firstRow="0" w:lastRow="0" w:firstColumn="0" w:lastColumn="0" w:oddVBand="0" w:evenVBand="0" w:oddHBand="0" w:evenHBand="0" w:firstRowFirstColumn="0" w:firstRowLastColumn="0" w:lastRowFirstColumn="0" w:lastRowLastColumn="0"/>
              <w:rPr>
                <w:noProof/>
                <w:lang w:val="en-IE"/>
              </w:rPr>
            </w:pPr>
            <w:r w:rsidRPr="000D0ED7">
              <w:rPr>
                <w:noProof/>
                <w:lang w:val="en-IE"/>
              </w:rPr>
              <w:t>of the U</w:t>
            </w:r>
            <w:r>
              <w:rPr>
                <w:noProof/>
                <w:lang w:val="en-IE"/>
              </w:rPr>
              <w:t>nion</w:t>
            </w:r>
            <w:r w:rsidRPr="000D0ED7">
              <w:rPr>
                <w:noProof/>
                <w:lang w:val="en-IE"/>
              </w:rPr>
              <w:t xml:space="preserve"> Customs Code information technology systems w</w:t>
            </w:r>
            <w:r>
              <w:rPr>
                <w:noProof/>
                <w:lang w:val="en-IE"/>
              </w:rPr>
              <w:t>ere</w:t>
            </w:r>
            <w:r w:rsidRPr="000D0ED7">
              <w:rPr>
                <w:noProof/>
                <w:lang w:val="en-IE"/>
              </w:rPr>
              <w:t xml:space="preserve"> completed by the end of 2021.</w:t>
            </w:r>
          </w:p>
        </w:tc>
        <w:tc>
          <w:tcPr>
            <w:cnfStyle w:val="000001000000" w:firstRow="0" w:lastRow="0" w:firstColumn="0" w:lastColumn="0" w:oddVBand="0" w:evenVBand="1" w:oddHBand="0" w:evenHBand="0" w:firstRowFirstColumn="0" w:firstRowLastColumn="0" w:lastRowFirstColumn="0" w:lastRowLastColumn="0"/>
            <w:tcW w:w="2410" w:type="dxa"/>
          </w:tcPr>
          <w:p w14:paraId="23DB935A" w14:textId="77777777" w:rsidR="000120A1" w:rsidRPr="000D0ED7" w:rsidRDefault="000120A1" w:rsidP="00AF1C52">
            <w:pPr>
              <w:pStyle w:val="ppoTableacheivementvalue"/>
              <w:rPr>
                <w:noProof/>
                <w:lang w:val="en-IE"/>
              </w:rPr>
            </w:pPr>
            <w:r w:rsidRPr="000D0ED7">
              <w:rPr>
                <w:noProof/>
                <w:lang w:val="en-IE"/>
              </w:rPr>
              <w:t>99.99%</w:t>
            </w:r>
          </w:p>
          <w:p w14:paraId="39B0B272" w14:textId="77777777" w:rsidR="000120A1" w:rsidRPr="000D0ED7" w:rsidRDefault="000120A1" w:rsidP="00962E3C">
            <w:pPr>
              <w:jc w:val="left"/>
              <w:rPr>
                <w:noProof/>
                <w:lang w:val="en-IE"/>
              </w:rPr>
            </w:pPr>
            <w:r w:rsidRPr="000D0ED7">
              <w:rPr>
                <w:noProof/>
                <w:lang w:val="en-IE"/>
              </w:rPr>
              <w:t>is the amount of time that the Common Communication Network was available for use in 2021.</w:t>
            </w:r>
            <w:r w:rsidRPr="000D0ED7" w:rsidDel="00EF7D8C">
              <w:rPr>
                <w:noProof/>
                <w:lang w:val="en-IE"/>
              </w:rPr>
              <w:t xml:space="preserve"> </w:t>
            </w:r>
          </w:p>
        </w:tc>
      </w:tr>
      <w:tr w:rsidR="000120A1" w:rsidRPr="000D0ED7" w14:paraId="522B5AAF" w14:textId="77777777" w:rsidTr="00AF1C52">
        <w:trPr>
          <w:gridAfter w:val="1"/>
          <w:wAfter w:w="2410" w:type="dxa"/>
        </w:trPr>
        <w:tc>
          <w:tcPr>
            <w:tcW w:w="2409" w:type="dxa"/>
            <w:tcBorders>
              <w:bottom w:val="nil"/>
            </w:tcBorders>
            <w:shd w:val="clear" w:color="auto" w:fill="FFFFFF" w:themeFill="background1"/>
          </w:tcPr>
          <w:p w14:paraId="73094A9F" w14:textId="77777777" w:rsidR="000120A1" w:rsidRPr="000D0ED7" w:rsidRDefault="000120A1" w:rsidP="00AF1C52">
            <w:pPr>
              <w:rPr>
                <w:noProof/>
                <w:lang w:val="en-IE"/>
              </w:rPr>
            </w:pPr>
          </w:p>
        </w:tc>
        <w:tc>
          <w:tcPr>
            <w:cnfStyle w:val="000001000000" w:firstRow="0" w:lastRow="0" w:firstColumn="0" w:lastColumn="0" w:oddVBand="0" w:evenVBand="1" w:oddHBand="0" w:evenHBand="0" w:firstRowFirstColumn="0" w:firstRowLastColumn="0" w:lastRowFirstColumn="0" w:lastRowLastColumn="0"/>
            <w:tcW w:w="2410" w:type="dxa"/>
            <w:tcBorders>
              <w:bottom w:val="nil"/>
            </w:tcBorders>
            <w:shd w:val="clear" w:color="auto" w:fill="FFFFFF" w:themeFill="background1"/>
          </w:tcPr>
          <w:p w14:paraId="46809944" w14:textId="77777777" w:rsidR="000120A1" w:rsidRPr="000D0ED7" w:rsidRDefault="000120A1" w:rsidP="00AF1C52">
            <w:pPr>
              <w:rPr>
                <w:noProof/>
                <w:lang w:val="en-IE"/>
              </w:rPr>
            </w:pPr>
          </w:p>
        </w:tc>
        <w:tc>
          <w:tcPr>
            <w:tcW w:w="2410" w:type="dxa"/>
            <w:tcBorders>
              <w:bottom w:val="nil"/>
            </w:tcBorders>
            <w:shd w:val="clear" w:color="auto" w:fill="FFFFFF" w:themeFill="background1"/>
          </w:tcPr>
          <w:p w14:paraId="4E84A7EF" w14:textId="77777777" w:rsidR="000120A1" w:rsidRPr="000D0ED7" w:rsidRDefault="000120A1" w:rsidP="00AF1C52">
            <w:pPr>
              <w:cnfStyle w:val="000000000000" w:firstRow="0" w:lastRow="0" w:firstColumn="0" w:lastColumn="0" w:oddVBand="0" w:evenVBand="0" w:oddHBand="0" w:evenHBand="0" w:firstRowFirstColumn="0" w:firstRowLastColumn="0" w:lastRowFirstColumn="0" w:lastRowLastColumn="0"/>
              <w:rPr>
                <w:noProof/>
                <w:lang w:val="en-IE"/>
              </w:rPr>
            </w:pPr>
          </w:p>
        </w:tc>
      </w:tr>
    </w:tbl>
    <w:p w14:paraId="6442C3C3" w14:textId="77777777" w:rsidR="000120A1" w:rsidRPr="000D0ED7" w:rsidRDefault="000120A1" w:rsidP="000120A1">
      <w:pPr>
        <w:pStyle w:val="ppoHeading5"/>
        <w:rPr>
          <w:noProof/>
          <w:lang w:val="en-IE"/>
        </w:rPr>
      </w:pPr>
      <w:r w:rsidRPr="000D0ED7">
        <w:rPr>
          <w:noProof/>
          <w:lang w:val="en-IE"/>
        </w:rPr>
        <w:t>Budget for 2021-2027</w:t>
      </w:r>
    </w:p>
    <w:p w14:paraId="705D0806" w14:textId="77777777" w:rsidR="000120A1" w:rsidRPr="000D0ED7" w:rsidRDefault="000120A1" w:rsidP="000120A1">
      <w:pPr>
        <w:pStyle w:val="ppoTableTabletitle"/>
        <w:ind w:left="284"/>
        <w:rPr>
          <w:noProof/>
          <w:lang w:val="en-IE"/>
        </w:rPr>
      </w:pPr>
      <w:r w:rsidRPr="000D0ED7">
        <w:rPr>
          <w:noProof/>
          <w:lang w:val="en-IE"/>
        </w:rPr>
        <w:t>(million EUR)</w:t>
      </w:r>
    </w:p>
    <w:tbl>
      <w:tblPr>
        <w:tblStyle w:val="PlainTable2"/>
        <w:tblW w:w="0" w:type="auto"/>
        <w:tblInd w:w="288" w:type="dxa"/>
        <w:tblLook w:val="04A0" w:firstRow="1" w:lastRow="0" w:firstColumn="1" w:lastColumn="0" w:noHBand="0" w:noVBand="1"/>
      </w:tblPr>
      <w:tblGrid>
        <w:gridCol w:w="4788"/>
        <w:gridCol w:w="2610"/>
      </w:tblGrid>
      <w:tr w:rsidR="000120A1" w:rsidRPr="000D0ED7" w14:paraId="18B57DFE" w14:textId="77777777" w:rsidTr="00AF1C5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3C09B582" w14:textId="77777777" w:rsidR="000120A1" w:rsidRPr="000D0ED7" w:rsidRDefault="000120A1" w:rsidP="00AF1C52">
            <w:pPr>
              <w:spacing w:before="120" w:after="120"/>
              <w:rPr>
                <w:noProof/>
                <w:lang w:val="en-IE"/>
              </w:rPr>
            </w:pPr>
            <w:r w:rsidRPr="000D0ED7">
              <w:rPr>
                <w:rFonts w:cs="Calibri"/>
                <w:noProof/>
                <w:color w:val="000000"/>
                <w:lang w:val="en-IE"/>
              </w:rPr>
              <w:t>Financial programming</w:t>
            </w:r>
          </w:p>
        </w:tc>
        <w:tc>
          <w:tcPr>
            <w:tcW w:w="2610" w:type="dxa"/>
            <w:shd w:val="clear" w:color="auto" w:fill="auto"/>
            <w:vAlign w:val="bottom"/>
          </w:tcPr>
          <w:p w14:paraId="5B850248" w14:textId="77777777" w:rsidR="000120A1" w:rsidRPr="000D0ED7" w:rsidRDefault="000120A1" w:rsidP="00AF1C52">
            <w:pPr>
              <w:spacing w:before="120" w:after="120"/>
              <w:jc w:val="center"/>
              <w:cnfStyle w:val="100000000000" w:firstRow="1" w:lastRow="0" w:firstColumn="0" w:lastColumn="0" w:oddVBand="0" w:evenVBand="0" w:oddHBand="0" w:evenHBand="0" w:firstRowFirstColumn="0" w:firstRowLastColumn="0" w:lastRowFirstColumn="0" w:lastRowLastColumn="0"/>
              <w:rPr>
                <w:rFonts w:cs="Calibri"/>
                <w:b w:val="0"/>
                <w:bCs w:val="0"/>
                <w:noProof/>
                <w:color w:val="000000"/>
                <w:lang w:val="en-IE"/>
              </w:rPr>
            </w:pPr>
            <w:r w:rsidRPr="000D0ED7">
              <w:rPr>
                <w:rFonts w:cs="Calibri"/>
                <w:b w:val="0"/>
                <w:bCs w:val="0"/>
                <w:noProof/>
                <w:color w:val="000000"/>
                <w:lang w:val="en-IE"/>
              </w:rPr>
              <w:t>948.6</w:t>
            </w:r>
          </w:p>
        </w:tc>
      </w:tr>
      <w:tr w:rsidR="000120A1" w:rsidRPr="000D0ED7" w14:paraId="709E1029" w14:textId="77777777" w:rsidTr="00AF1C5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05AF3A17" w14:textId="77777777" w:rsidR="000120A1" w:rsidRPr="000D0ED7" w:rsidRDefault="000120A1" w:rsidP="00AF1C52">
            <w:pPr>
              <w:spacing w:before="120" w:after="120"/>
              <w:rPr>
                <w:b w:val="0"/>
                <w:noProof/>
                <w:lang w:val="en-IE"/>
              </w:rPr>
            </w:pPr>
            <w:r w:rsidRPr="000D0ED7">
              <w:rPr>
                <w:rFonts w:cs="Calibri"/>
                <w:noProof/>
                <w:color w:val="000000"/>
                <w:lang w:val="en-IE"/>
              </w:rPr>
              <w:t>NextGenerationEU</w:t>
            </w:r>
          </w:p>
        </w:tc>
        <w:tc>
          <w:tcPr>
            <w:tcW w:w="2610" w:type="dxa"/>
            <w:vAlign w:val="bottom"/>
          </w:tcPr>
          <w:p w14:paraId="2E543C67" w14:textId="77777777" w:rsidR="000120A1" w:rsidRPr="000D0ED7" w:rsidRDefault="000120A1" w:rsidP="00AF1C52">
            <w:pPr>
              <w:spacing w:before="120" w:after="120"/>
              <w:jc w:val="center"/>
              <w:cnfStyle w:val="000000100000" w:firstRow="0" w:lastRow="0" w:firstColumn="0" w:lastColumn="0" w:oddVBand="0" w:evenVBand="0" w:oddHBand="1" w:evenHBand="0" w:firstRowFirstColumn="0" w:firstRowLastColumn="0" w:lastRowFirstColumn="0" w:lastRowLastColumn="0"/>
              <w:rPr>
                <w:rFonts w:cs="Calibri"/>
                <w:noProof/>
                <w:color w:val="000000"/>
                <w:lang w:val="en-IE"/>
              </w:rPr>
            </w:pPr>
          </w:p>
        </w:tc>
      </w:tr>
      <w:tr w:rsidR="000120A1" w:rsidRPr="000D0ED7" w14:paraId="4705A7EB" w14:textId="77777777" w:rsidTr="00AF1C52">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7ADEDF70" w14:textId="77777777" w:rsidR="000120A1" w:rsidRPr="000D0ED7" w:rsidRDefault="000120A1" w:rsidP="00AF1C52">
            <w:pPr>
              <w:spacing w:before="120" w:after="120"/>
              <w:rPr>
                <w:b w:val="0"/>
                <w:noProof/>
                <w:lang w:val="en-IE"/>
              </w:rPr>
            </w:pPr>
            <w:r w:rsidRPr="000D0ED7">
              <w:rPr>
                <w:rFonts w:cs="Calibri"/>
                <w:noProof/>
                <w:color w:val="000000"/>
                <w:lang w:val="en-IE"/>
              </w:rPr>
              <w:t>Decommitments made available again</w:t>
            </w:r>
            <w:r w:rsidRPr="000D0ED7">
              <w:rPr>
                <w:rFonts w:ascii="Calibri" w:hAnsi="Calibri" w:cs="Calibri"/>
                <w:noProof/>
                <w:color w:val="000000"/>
                <w:lang w:val="en-IE"/>
              </w:rPr>
              <w:t> (</w:t>
            </w:r>
            <w:r w:rsidRPr="000D0ED7">
              <w:rPr>
                <w:rFonts w:cs="Calibri"/>
                <w:noProof/>
                <w:color w:val="000000"/>
                <w:lang w:val="en-IE"/>
              </w:rPr>
              <w:t>*)</w:t>
            </w:r>
          </w:p>
        </w:tc>
        <w:tc>
          <w:tcPr>
            <w:tcW w:w="2610" w:type="dxa"/>
            <w:vAlign w:val="bottom"/>
          </w:tcPr>
          <w:p w14:paraId="532ED747" w14:textId="77777777" w:rsidR="000120A1" w:rsidRPr="000D0ED7" w:rsidRDefault="000120A1" w:rsidP="00AF1C52">
            <w:pPr>
              <w:spacing w:before="120" w:after="120"/>
              <w:jc w:val="center"/>
              <w:cnfStyle w:val="000000000000" w:firstRow="0" w:lastRow="0" w:firstColumn="0" w:lastColumn="0" w:oddVBand="0" w:evenVBand="0" w:oddHBand="0" w:evenHBand="0" w:firstRowFirstColumn="0" w:firstRowLastColumn="0" w:lastRowFirstColumn="0" w:lastRowLastColumn="0"/>
              <w:rPr>
                <w:rFonts w:cs="Calibri"/>
                <w:noProof/>
                <w:color w:val="000000"/>
                <w:lang w:val="en-IE"/>
              </w:rPr>
            </w:pPr>
            <w:r>
              <w:rPr>
                <w:rFonts w:cs="Calibri"/>
                <w:noProof/>
                <w:color w:val="000000"/>
                <w:lang w:val="en-IE"/>
              </w:rPr>
              <w:t>N/A</w:t>
            </w:r>
          </w:p>
        </w:tc>
      </w:tr>
      <w:tr w:rsidR="000120A1" w:rsidRPr="000D0ED7" w14:paraId="1EDDB022" w14:textId="77777777" w:rsidTr="00AF1C5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3F07B624" w14:textId="77777777" w:rsidR="000120A1" w:rsidRPr="000D0ED7" w:rsidRDefault="000120A1" w:rsidP="00AF1C52">
            <w:pPr>
              <w:spacing w:before="120" w:after="120"/>
              <w:rPr>
                <w:noProof/>
                <w:lang w:val="en-IE"/>
              </w:rPr>
            </w:pPr>
            <w:r w:rsidRPr="000D0ED7">
              <w:rPr>
                <w:rFonts w:cs="Calibri"/>
                <w:noProof/>
                <w:color w:val="000000"/>
                <w:lang w:val="en-IE"/>
              </w:rPr>
              <w:t>Contributions from other countries and entities</w:t>
            </w:r>
          </w:p>
        </w:tc>
        <w:tc>
          <w:tcPr>
            <w:tcW w:w="2610" w:type="dxa"/>
            <w:vAlign w:val="bottom"/>
          </w:tcPr>
          <w:p w14:paraId="25E35FC4" w14:textId="77777777" w:rsidR="000120A1" w:rsidRPr="000D0ED7" w:rsidRDefault="000120A1" w:rsidP="00AF1C52">
            <w:pPr>
              <w:spacing w:before="120" w:after="120"/>
              <w:jc w:val="center"/>
              <w:cnfStyle w:val="000000100000" w:firstRow="0" w:lastRow="0" w:firstColumn="0" w:lastColumn="0" w:oddVBand="0" w:evenVBand="0" w:oddHBand="1" w:evenHBand="0" w:firstRowFirstColumn="0" w:firstRowLastColumn="0" w:lastRowFirstColumn="0" w:lastRowLastColumn="0"/>
              <w:rPr>
                <w:rFonts w:cs="Calibri"/>
                <w:noProof/>
                <w:color w:val="000000"/>
                <w:lang w:val="en-IE"/>
              </w:rPr>
            </w:pPr>
            <w:r>
              <w:rPr>
                <w:rFonts w:cs="Calibri"/>
                <w:noProof/>
                <w:color w:val="000000"/>
                <w:lang w:val="en-IE"/>
              </w:rPr>
              <w:t>0</w:t>
            </w:r>
          </w:p>
        </w:tc>
      </w:tr>
      <w:tr w:rsidR="000120A1" w:rsidRPr="000D0ED7" w14:paraId="2015AF94" w14:textId="77777777" w:rsidTr="00AF1C52">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CFCFC" w:themeFill="background2" w:themeFillTint="33"/>
            <w:vAlign w:val="bottom"/>
          </w:tcPr>
          <w:p w14:paraId="39BAB83B" w14:textId="77777777" w:rsidR="000120A1" w:rsidRPr="000D0ED7" w:rsidRDefault="000120A1" w:rsidP="00AF1C52">
            <w:pPr>
              <w:spacing w:before="120" w:after="120"/>
              <w:rPr>
                <w:noProof/>
                <w:lang w:val="en-IE"/>
              </w:rPr>
            </w:pPr>
            <w:r w:rsidRPr="000D0ED7">
              <w:rPr>
                <w:rFonts w:cs="Calibri"/>
                <w:noProof/>
                <w:color w:val="000000"/>
                <w:lang w:val="en-IE"/>
              </w:rPr>
              <w:t>Total budget for 2021-2027</w:t>
            </w:r>
          </w:p>
        </w:tc>
        <w:tc>
          <w:tcPr>
            <w:tcW w:w="2610" w:type="dxa"/>
            <w:shd w:val="clear" w:color="auto" w:fill="FCFCFC" w:themeFill="background2" w:themeFillTint="33"/>
            <w:vAlign w:val="bottom"/>
          </w:tcPr>
          <w:p w14:paraId="4B3A8BE5" w14:textId="77777777" w:rsidR="000120A1" w:rsidRPr="000D0ED7" w:rsidRDefault="000120A1" w:rsidP="00AF1C52">
            <w:pPr>
              <w:spacing w:before="120" w:after="120"/>
              <w:jc w:val="center"/>
              <w:cnfStyle w:val="000000000000" w:firstRow="0" w:lastRow="0" w:firstColumn="0" w:lastColumn="0" w:oddVBand="0" w:evenVBand="0" w:oddHBand="0" w:evenHBand="0" w:firstRowFirstColumn="0" w:firstRowLastColumn="0" w:lastRowFirstColumn="0" w:lastRowLastColumn="0"/>
              <w:rPr>
                <w:rFonts w:cs="Calibri"/>
                <w:b/>
                <w:bCs/>
                <w:noProof/>
                <w:color w:val="000000"/>
                <w:lang w:val="en-IE"/>
              </w:rPr>
            </w:pPr>
            <w:r w:rsidRPr="000D0ED7">
              <w:rPr>
                <w:rFonts w:cs="Calibri"/>
                <w:b/>
                <w:bCs/>
                <w:noProof/>
                <w:color w:val="000000"/>
                <w:lang w:val="en-IE"/>
              </w:rPr>
              <w:t>948.6</w:t>
            </w:r>
          </w:p>
        </w:tc>
      </w:tr>
    </w:tbl>
    <w:p w14:paraId="7AFD7D01" w14:textId="77777777" w:rsidR="000120A1" w:rsidRPr="000D0ED7" w:rsidRDefault="000120A1" w:rsidP="000120A1">
      <w:pPr>
        <w:jc w:val="center"/>
        <w:rPr>
          <w:rFonts w:eastAsiaTheme="minorEastAsia"/>
          <w:noProof/>
          <w:lang w:val="en-IE"/>
        </w:rPr>
      </w:pPr>
    </w:p>
    <w:p w14:paraId="69B19110" w14:textId="77777777" w:rsidR="000120A1" w:rsidRPr="00FF5717" w:rsidRDefault="000120A1" w:rsidP="000120A1">
      <w:pPr>
        <w:tabs>
          <w:tab w:val="left" w:pos="6793"/>
        </w:tabs>
        <w:rPr>
          <w:noProof/>
          <w:sz w:val="18"/>
          <w:szCs w:val="18"/>
          <w:lang w:val="en-IE"/>
        </w:rPr>
      </w:pPr>
      <w:r w:rsidRPr="00FF5717">
        <w:rPr>
          <w:noProof/>
          <w:sz w:val="18"/>
          <w:szCs w:val="18"/>
          <w:lang w:val="en-IE"/>
        </w:rPr>
        <w:t>(*) Only Article</w:t>
      </w:r>
      <w:r w:rsidRPr="00FF5717">
        <w:rPr>
          <w:rFonts w:ascii="Calibri" w:hAnsi="Calibri" w:cs="Calibri"/>
          <w:noProof/>
          <w:sz w:val="18"/>
          <w:szCs w:val="18"/>
          <w:lang w:val="en-IE"/>
        </w:rPr>
        <w:t> </w:t>
      </w:r>
      <w:r w:rsidRPr="00FF5717">
        <w:rPr>
          <w:noProof/>
          <w:sz w:val="18"/>
          <w:szCs w:val="18"/>
          <w:lang w:val="en-IE"/>
        </w:rPr>
        <w:t xml:space="preserve">15(3) of the financial </w:t>
      </w:r>
      <w:r w:rsidRPr="000D0ED7">
        <w:rPr>
          <w:noProof/>
          <w:sz w:val="18"/>
          <w:szCs w:val="18"/>
          <w:lang w:val="en-IE"/>
        </w:rPr>
        <w:t>r</w:t>
      </w:r>
      <w:r w:rsidRPr="00FF5717">
        <w:rPr>
          <w:noProof/>
          <w:sz w:val="18"/>
          <w:szCs w:val="18"/>
          <w:lang w:val="en-IE"/>
        </w:rPr>
        <w:t>egulation</w:t>
      </w:r>
      <w:r w:rsidRPr="000D0ED7">
        <w:rPr>
          <w:noProof/>
          <w:sz w:val="18"/>
          <w:szCs w:val="18"/>
          <w:lang w:val="en-IE"/>
        </w:rPr>
        <w:t>.</w:t>
      </w:r>
    </w:p>
    <w:p w14:paraId="5C16FCD6" w14:textId="77777777" w:rsidR="000120A1" w:rsidRPr="000D0ED7" w:rsidRDefault="000120A1" w:rsidP="000120A1">
      <w:pPr>
        <w:pStyle w:val="ppoHeading5"/>
        <w:rPr>
          <w:noProof/>
          <w:lang w:val="en-IE"/>
        </w:rPr>
      </w:pPr>
      <w:r w:rsidRPr="000D0ED7">
        <w:rPr>
          <w:noProof/>
          <w:lang w:val="en-IE"/>
        </w:rPr>
        <w:t>Rationale and design of the programme</w:t>
      </w:r>
    </w:p>
    <w:p w14:paraId="78EE7867" w14:textId="77777777" w:rsidR="000120A1" w:rsidRPr="000D0ED7" w:rsidRDefault="000120A1" w:rsidP="000120A1">
      <w:pPr>
        <w:rPr>
          <w:rFonts w:eastAsiaTheme="minorEastAsia"/>
          <w:caps/>
          <w:noProof/>
          <w:lang w:val="en-IE"/>
        </w:rPr>
      </w:pPr>
      <w:r w:rsidRPr="000D0ED7">
        <w:rPr>
          <w:rFonts w:eastAsiaTheme="minorEastAsia"/>
          <w:noProof/>
          <w:lang w:val="en-IE"/>
        </w:rPr>
        <w:t xml:space="preserve">The </w:t>
      </w:r>
      <w:r>
        <w:rPr>
          <w:rFonts w:eastAsiaTheme="minorEastAsia"/>
          <w:noProof/>
          <w:lang w:val="en-IE"/>
        </w:rPr>
        <w:t>C</w:t>
      </w:r>
      <w:r w:rsidRPr="000D0ED7">
        <w:rPr>
          <w:noProof/>
          <w:lang w:val="en-IE"/>
        </w:rPr>
        <w:t>ustoms</w:t>
      </w:r>
      <w:r w:rsidRPr="000D0ED7">
        <w:rPr>
          <w:rFonts w:eastAsiaTheme="minorEastAsia"/>
          <w:noProof/>
          <w:lang w:val="en-IE"/>
        </w:rPr>
        <w:t xml:space="preserve"> programme supports the essential cooperation between customs authorities across the EU and protects the financial and economic interests of the EU and its Member States.</w:t>
      </w:r>
      <w:r w:rsidRPr="000D0ED7">
        <w:rPr>
          <w:noProof/>
          <w:lang w:val="en-IE"/>
        </w:rPr>
        <w:t xml:space="preserve"> </w:t>
      </w:r>
      <w:r w:rsidRPr="000D0ED7">
        <w:rPr>
          <w:rFonts w:eastAsiaTheme="minorEastAsia"/>
          <w:noProof/>
          <w:lang w:val="en-IE"/>
        </w:rPr>
        <w:t>It has helped to build a modern and innovative customs union that ensures the safety and security of all EU citizens, all while facilitating growing global trade.</w:t>
      </w:r>
    </w:p>
    <w:p w14:paraId="6F8DFF60" w14:textId="77777777" w:rsidR="000120A1" w:rsidRPr="000D0ED7" w:rsidRDefault="000120A1" w:rsidP="000120A1">
      <w:pPr>
        <w:pStyle w:val="ppoHeading6"/>
        <w:rPr>
          <w:noProof/>
          <w:lang w:val="en-IE"/>
        </w:rPr>
      </w:pPr>
      <w:r w:rsidRPr="000D0ED7">
        <w:rPr>
          <w:noProof/>
          <w:lang w:val="en-IE"/>
        </w:rPr>
        <w:t>Challenge</w:t>
      </w:r>
    </w:p>
    <w:p w14:paraId="358AFEBC" w14:textId="77777777" w:rsidR="000120A1" w:rsidRPr="000D0ED7" w:rsidRDefault="000120A1" w:rsidP="000120A1">
      <w:pPr>
        <w:rPr>
          <w:noProof/>
          <w:lang w:val="en-IE"/>
        </w:rPr>
      </w:pPr>
      <w:r w:rsidRPr="000D0ED7">
        <w:rPr>
          <w:noProof/>
          <w:lang w:val="en-IE"/>
        </w:rPr>
        <w:t xml:space="preserve">Safeguarding the financial interests of the EU and of Member States and protecting the integrity of the single market for goods (including from health, environmental and other threats) requires an effective management of the EU’s customs. </w:t>
      </w:r>
    </w:p>
    <w:p w14:paraId="305B4BB0" w14:textId="77777777" w:rsidR="000120A1" w:rsidRPr="000D0ED7" w:rsidRDefault="000120A1" w:rsidP="000120A1">
      <w:pPr>
        <w:rPr>
          <w:noProof/>
          <w:lang w:val="en-IE"/>
        </w:rPr>
      </w:pPr>
      <w:r w:rsidRPr="000D0ED7">
        <w:rPr>
          <w:noProof/>
          <w:lang w:val="en-IE"/>
        </w:rPr>
        <w:t>This in turn requires intense operational cooperation between Member State customs administrations and between them and other authorities of trading partners and other non-EU countries. As many activities in the customs area are of a cross-border nature, they cannot be effectively and efficiently carried out by individual national administrations on their own: action at the EU level is warranted.</w:t>
      </w:r>
    </w:p>
    <w:p w14:paraId="39736D2A" w14:textId="77777777" w:rsidR="000120A1" w:rsidRPr="000D0ED7" w:rsidRDefault="000120A1" w:rsidP="000120A1">
      <w:pPr>
        <w:pStyle w:val="ppoHeading6"/>
        <w:rPr>
          <w:noProof/>
          <w:lang w:val="en-IE"/>
        </w:rPr>
      </w:pPr>
      <w:r w:rsidRPr="000D0ED7">
        <w:rPr>
          <w:noProof/>
          <w:lang w:val="en-IE"/>
        </w:rPr>
        <w:t>Mission</w:t>
      </w:r>
    </w:p>
    <w:p w14:paraId="1C2FB003" w14:textId="77777777" w:rsidR="000120A1" w:rsidRPr="000D0ED7" w:rsidRDefault="000120A1" w:rsidP="000120A1">
      <w:pPr>
        <w:rPr>
          <w:noProof/>
          <w:lang w:val="en-IE"/>
        </w:rPr>
      </w:pPr>
      <w:r w:rsidRPr="000D0ED7">
        <w:rPr>
          <w:noProof/>
          <w:lang w:val="en-IE"/>
        </w:rPr>
        <w:t>Customs has the general objective of supporting the EU Customs Union and customs authorities working together and acting as one to protect the financial and economic interests of the EU and its Member States, to ensure security and safety within the EU and to protect the EU from unfair and illegal trade while facilitating legitimate business activity.</w:t>
      </w:r>
    </w:p>
    <w:p w14:paraId="6C802F11" w14:textId="77777777" w:rsidR="000120A1" w:rsidRPr="000D0ED7" w:rsidRDefault="000120A1" w:rsidP="000120A1">
      <w:pPr>
        <w:pStyle w:val="ppoHeading6"/>
        <w:rPr>
          <w:noProof/>
          <w:lang w:val="en-IE"/>
        </w:rPr>
      </w:pPr>
      <w:r w:rsidRPr="000D0ED7">
        <w:rPr>
          <w:noProof/>
          <w:lang w:val="en-IE"/>
        </w:rPr>
        <w:t>OBJECTIVES</w:t>
      </w:r>
    </w:p>
    <w:p w14:paraId="0C9A8010" w14:textId="77777777" w:rsidR="000120A1" w:rsidRPr="000D0ED7" w:rsidRDefault="000120A1" w:rsidP="000120A1">
      <w:pPr>
        <w:rPr>
          <w:noProof/>
          <w:lang w:val="en-IE"/>
        </w:rPr>
      </w:pPr>
      <w:r w:rsidRPr="000D0ED7">
        <w:rPr>
          <w:noProof/>
          <w:lang w:val="en-IE"/>
        </w:rPr>
        <w:t>The programme has the specific objectives of supporting the preparation and uniform implementation of customs legislation and policy, customs cooperation and administrative and information technology capacity-building. This includes human competency and training, along with the development and operation of European electronic systems and innovation in the area of customs policy.</w:t>
      </w:r>
    </w:p>
    <w:p w14:paraId="1E2F940C" w14:textId="77777777" w:rsidR="000120A1" w:rsidRPr="000D0ED7" w:rsidRDefault="000120A1" w:rsidP="000120A1">
      <w:pPr>
        <w:pStyle w:val="ppoHeading6"/>
        <w:rPr>
          <w:noProof/>
          <w:lang w:val="en-IE"/>
        </w:rPr>
      </w:pPr>
      <w:r w:rsidRPr="000D0ED7">
        <w:rPr>
          <w:noProof/>
          <w:lang w:val="en-IE"/>
        </w:rPr>
        <w:t>Actions</w:t>
      </w:r>
    </w:p>
    <w:p w14:paraId="224F469C" w14:textId="77777777" w:rsidR="000120A1" w:rsidRPr="000D0ED7" w:rsidRDefault="000120A1" w:rsidP="000120A1">
      <w:pPr>
        <w:rPr>
          <w:noProof/>
          <w:lang w:val="en-IE"/>
        </w:rPr>
      </w:pPr>
      <w:r w:rsidRPr="000D0ED7">
        <w:rPr>
          <w:noProof/>
          <w:lang w:val="en-IE"/>
        </w:rPr>
        <w:t>Customs provides financial support for information technology capacity-building actions, in particular the development and operation of European electronic systems for customs. It also fosters cooperation among national customs authorities via meetings and project-based structured collaboration, such as project groups and expert teams.</w:t>
      </w:r>
    </w:p>
    <w:p w14:paraId="565495A1" w14:textId="77777777" w:rsidR="000120A1" w:rsidRPr="000D0ED7" w:rsidRDefault="000120A1" w:rsidP="000120A1">
      <w:pPr>
        <w:rPr>
          <w:noProof/>
          <w:lang w:val="en-IE"/>
        </w:rPr>
      </w:pPr>
      <w:r w:rsidRPr="000D0ED7">
        <w:rPr>
          <w:noProof/>
          <w:lang w:val="en-IE"/>
        </w:rPr>
        <w:t>The programme also provides financial support for human competency and capacity</w:t>
      </w:r>
      <w:r w:rsidRPr="000D0ED7">
        <w:rPr>
          <w:noProof/>
          <w:lang w:val="en-IE"/>
        </w:rPr>
        <w:noBreakHyphen/>
        <w:t>building actions, including training and exchange of best practices, along with other actions such as studies, communication and innovation activities.</w:t>
      </w:r>
    </w:p>
    <w:p w14:paraId="05FD1BDB" w14:textId="77777777" w:rsidR="000120A1" w:rsidRPr="000D0ED7" w:rsidRDefault="000120A1" w:rsidP="000120A1">
      <w:pPr>
        <w:pStyle w:val="ppoHeading6"/>
        <w:rPr>
          <w:noProof/>
          <w:lang w:val="en-IE"/>
        </w:rPr>
      </w:pPr>
      <w:r w:rsidRPr="000D0ED7">
        <w:rPr>
          <w:noProof/>
          <w:lang w:val="en-IE"/>
        </w:rPr>
        <w:t>Delivery mode</w:t>
      </w:r>
    </w:p>
    <w:p w14:paraId="5A225648" w14:textId="77777777" w:rsidR="000120A1" w:rsidRPr="000D0ED7" w:rsidRDefault="000120A1" w:rsidP="000120A1">
      <w:pPr>
        <w:rPr>
          <w:noProof/>
          <w:lang w:val="en-IE"/>
        </w:rPr>
      </w:pPr>
      <w:r>
        <w:rPr>
          <w:noProof/>
          <w:lang w:val="en-IE"/>
        </w:rPr>
        <w:t>The programme</w:t>
      </w:r>
      <w:r w:rsidRPr="000D0ED7">
        <w:rPr>
          <w:noProof/>
          <w:lang w:val="en-IE"/>
        </w:rPr>
        <w:t xml:space="preserve"> is implemented in direct management by the Commission (DG Taxation and Customs Union).</w:t>
      </w:r>
    </w:p>
    <w:p w14:paraId="7254EB0F" w14:textId="77777777" w:rsidR="000120A1" w:rsidRPr="000D0ED7" w:rsidRDefault="000120A1" w:rsidP="000120A1">
      <w:pPr>
        <w:pStyle w:val="ppoHeading6"/>
        <w:rPr>
          <w:noProof/>
          <w:lang w:val="en-IE"/>
        </w:rPr>
      </w:pPr>
      <w:r w:rsidRPr="000D0ED7">
        <w:rPr>
          <w:noProof/>
          <w:lang w:val="en-IE"/>
        </w:rPr>
        <w:t>LINK TO THE 2014-2020 MULTIANNUAL FINANCIAL FRAMEWORK</w:t>
      </w:r>
    </w:p>
    <w:p w14:paraId="3ECA95A9" w14:textId="77777777" w:rsidR="000120A1" w:rsidRPr="000D0ED7" w:rsidRDefault="000120A1" w:rsidP="000120A1">
      <w:pPr>
        <w:rPr>
          <w:noProof/>
          <w:lang w:val="en-IE"/>
        </w:rPr>
      </w:pPr>
      <w:r w:rsidRPr="000D0ED7">
        <w:rPr>
          <w:noProof/>
          <w:lang w:val="en-IE"/>
        </w:rPr>
        <w:t>Customs is a continuation of its predecessor programme under the 2014-2020 multiannual financial framework, with more intensive cooperation, a larger number of electronic systems and greater openness to innovation.</w:t>
      </w:r>
    </w:p>
    <w:p w14:paraId="7CDC4DEE" w14:textId="77777777" w:rsidR="000120A1" w:rsidRPr="000D0ED7" w:rsidRDefault="000120A1" w:rsidP="000120A1">
      <w:pPr>
        <w:pStyle w:val="ppoHeading6"/>
        <w:rPr>
          <w:noProof/>
          <w:lang w:val="en-IE"/>
        </w:rPr>
      </w:pPr>
      <w:r w:rsidRPr="000D0ED7">
        <w:rPr>
          <w:noProof/>
          <w:lang w:val="en-IE"/>
        </w:rPr>
        <w:t>Impact assessment</w:t>
      </w:r>
    </w:p>
    <w:p w14:paraId="2AA6A5FD" w14:textId="77777777" w:rsidR="000120A1" w:rsidRPr="000D0ED7" w:rsidRDefault="000120A1" w:rsidP="000120A1">
      <w:pPr>
        <w:rPr>
          <w:noProof/>
          <w:lang w:val="en-IE"/>
        </w:rPr>
      </w:pPr>
      <w:r w:rsidRPr="000D0ED7">
        <w:rPr>
          <w:noProof/>
          <w:lang w:val="en-IE"/>
        </w:rPr>
        <w:t xml:space="preserve">The </w:t>
      </w:r>
      <w:r w:rsidRPr="00FF5717">
        <w:rPr>
          <w:i/>
          <w:iCs/>
          <w:noProof/>
          <w:lang w:val="en-IE"/>
        </w:rPr>
        <w:t>ex</w:t>
      </w:r>
      <w:r w:rsidRPr="00FF5717">
        <w:rPr>
          <w:rFonts w:ascii="Cambria Math" w:hAnsi="Cambria Math" w:cs="Cambria Math"/>
          <w:i/>
          <w:iCs/>
          <w:noProof/>
          <w:lang w:val="en-IE"/>
        </w:rPr>
        <w:t xml:space="preserve"> </w:t>
      </w:r>
      <w:r w:rsidRPr="00FF5717">
        <w:rPr>
          <w:i/>
          <w:iCs/>
          <w:noProof/>
          <w:lang w:val="en-IE"/>
        </w:rPr>
        <w:t>ante</w:t>
      </w:r>
      <w:r w:rsidRPr="000D0ED7">
        <w:rPr>
          <w:noProof/>
          <w:lang w:val="en-IE"/>
        </w:rPr>
        <w:t xml:space="preserve"> evaluation of the</w:t>
      </w:r>
      <w:r>
        <w:rPr>
          <w:noProof/>
          <w:lang w:val="en-IE"/>
        </w:rPr>
        <w:t xml:space="preserve"> C</w:t>
      </w:r>
      <w:r w:rsidRPr="000D0ED7">
        <w:rPr>
          <w:noProof/>
          <w:lang w:val="en-IE"/>
        </w:rPr>
        <w:t xml:space="preserve">ustoms programme was carried out in 2018. For further information please consult: </w:t>
      </w:r>
      <w:hyperlink r:id="rId175" w:history="1">
        <w:r w:rsidRPr="000D0ED7">
          <w:rPr>
            <w:rStyle w:val="Hyperlink"/>
            <w:noProof/>
            <w:lang w:val="en-IE"/>
          </w:rPr>
          <w:t>https://europa.eu/!pH79WJ</w:t>
        </w:r>
      </w:hyperlink>
    </w:p>
    <w:p w14:paraId="563A9E92" w14:textId="77777777" w:rsidR="000120A1" w:rsidRPr="000D0ED7" w:rsidRDefault="000120A1" w:rsidP="000120A1">
      <w:pPr>
        <w:pStyle w:val="ppoHeading6"/>
        <w:rPr>
          <w:noProof/>
          <w:lang w:val="en-IE"/>
        </w:rPr>
      </w:pPr>
      <w:r w:rsidRPr="000D0ED7">
        <w:rPr>
          <w:noProof/>
          <w:lang w:val="en-IE"/>
        </w:rPr>
        <w:t>WEBSITE FOR more information</w:t>
      </w:r>
    </w:p>
    <w:p w14:paraId="21E221B4" w14:textId="77777777" w:rsidR="000120A1" w:rsidRPr="00FF5717" w:rsidRDefault="00E01E9B" w:rsidP="000120A1">
      <w:pPr>
        <w:rPr>
          <w:noProof/>
          <w:lang w:val="en-IE"/>
        </w:rPr>
      </w:pPr>
      <w:hyperlink r:id="rId176" w:history="1">
        <w:r w:rsidR="000120A1" w:rsidRPr="00FF5717">
          <w:rPr>
            <w:rStyle w:val="Hyperlink"/>
            <w:noProof/>
            <w:lang w:val="en-IE"/>
          </w:rPr>
          <w:t>https://europa.eu/!CU34bu</w:t>
        </w:r>
      </w:hyperlink>
    </w:p>
    <w:p w14:paraId="7B33C7FC" w14:textId="77777777" w:rsidR="000120A1" w:rsidRPr="00FF5717" w:rsidRDefault="000120A1" w:rsidP="000120A1">
      <w:pPr>
        <w:pStyle w:val="ppoHeading5"/>
        <w:rPr>
          <w:noProof/>
          <w:lang w:val="en-IE"/>
        </w:rPr>
      </w:pPr>
      <w:r w:rsidRPr="00FF5717">
        <w:rPr>
          <w:rFonts w:eastAsiaTheme="minorEastAsia"/>
          <w:noProof/>
          <w:lang w:val="en-IE"/>
        </w:rPr>
        <w:t xml:space="preserve">Legal </w:t>
      </w:r>
      <w:r w:rsidRPr="000D0ED7">
        <w:rPr>
          <w:rFonts w:eastAsiaTheme="minorEastAsia"/>
          <w:noProof/>
          <w:lang w:val="en-IE"/>
        </w:rPr>
        <w:t>b</w:t>
      </w:r>
      <w:r w:rsidRPr="00FF5717">
        <w:rPr>
          <w:rFonts w:eastAsiaTheme="minorEastAsia"/>
          <w:noProof/>
          <w:lang w:val="en-IE"/>
        </w:rPr>
        <w:t>as</w:t>
      </w:r>
      <w:r w:rsidRPr="000D0ED7">
        <w:rPr>
          <w:rFonts w:eastAsiaTheme="minorEastAsia"/>
          <w:noProof/>
          <w:lang w:val="en-IE"/>
        </w:rPr>
        <w:t>is</w:t>
      </w:r>
    </w:p>
    <w:p w14:paraId="0C8C0756" w14:textId="77777777" w:rsidR="000120A1" w:rsidRPr="000D0ED7" w:rsidRDefault="000120A1" w:rsidP="000120A1">
      <w:pPr>
        <w:rPr>
          <w:noProof/>
          <w:lang w:val="en-IE"/>
        </w:rPr>
      </w:pPr>
      <w:r w:rsidRPr="000D0ED7">
        <w:rPr>
          <w:noProof/>
          <w:lang w:val="en-IE"/>
        </w:rPr>
        <w:t>Regulation (EU) 2021/444 of the European Parliament and of the Council of 11</w:t>
      </w:r>
      <w:r w:rsidRPr="000D0ED7">
        <w:rPr>
          <w:rFonts w:ascii="Calibri" w:hAnsi="Calibri" w:cs="Calibri"/>
          <w:noProof/>
          <w:lang w:val="en-IE"/>
        </w:rPr>
        <w:t> </w:t>
      </w:r>
      <w:r w:rsidRPr="000D0ED7">
        <w:rPr>
          <w:noProof/>
          <w:lang w:val="en-IE"/>
        </w:rPr>
        <w:t>March 2021.</w:t>
      </w:r>
    </w:p>
    <w:p w14:paraId="73021A39" w14:textId="77777777" w:rsidR="000120A1" w:rsidRPr="000D0ED7" w:rsidRDefault="000120A1" w:rsidP="000120A1">
      <w:pPr>
        <w:pStyle w:val="ppoHeading4Orange"/>
        <w:rPr>
          <w:caps/>
          <w:noProof/>
          <w:lang w:val="en-IE"/>
        </w:rPr>
      </w:pPr>
      <w:r w:rsidRPr="000D0ED7">
        <w:rPr>
          <w:noProof/>
          <w:lang w:val="en-IE"/>
        </w:rPr>
        <w:t xml:space="preserve">Implementation and performance </w:t>
      </w:r>
    </w:p>
    <w:p w14:paraId="32B4EE73" w14:textId="77777777" w:rsidR="000120A1" w:rsidRPr="000D0ED7" w:rsidRDefault="000120A1" w:rsidP="000120A1">
      <w:pPr>
        <w:pStyle w:val="ppoHeading5"/>
        <w:rPr>
          <w:noProof/>
          <w:lang w:val="en-IE"/>
        </w:rPr>
      </w:pPr>
      <w:r w:rsidRPr="000D0ED7">
        <w:rPr>
          <w:noProof/>
          <w:lang w:val="en-IE"/>
        </w:rPr>
        <w:t xml:space="preserve">Budget </w:t>
      </w:r>
    </w:p>
    <w:p w14:paraId="622C816D" w14:textId="77777777" w:rsidR="000120A1" w:rsidRPr="000D0ED7" w:rsidRDefault="000120A1" w:rsidP="000120A1">
      <w:pPr>
        <w:pStyle w:val="ppoTableTabletitle"/>
        <w:rPr>
          <w:noProof/>
          <w:lang w:val="en-IE"/>
        </w:rPr>
      </w:pPr>
      <w:r w:rsidRPr="000D0ED7">
        <w:rPr>
          <w:noProof/>
          <w:lang w:val="en-IE"/>
        </w:rPr>
        <w:t>Budget programming (million 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0120A1" w:rsidRPr="000D0ED7" w14:paraId="716AB82D" w14:textId="77777777" w:rsidTr="00AF1C52">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606E0FA8" w14:textId="77777777" w:rsidR="000120A1" w:rsidRPr="000D0ED7" w:rsidRDefault="000120A1" w:rsidP="00AF1C52">
            <w:pPr>
              <w:rPr>
                <w:noProof/>
                <w:lang w:val="en-IE"/>
              </w:rPr>
            </w:pPr>
          </w:p>
        </w:tc>
        <w:tc>
          <w:tcPr>
            <w:tcW w:w="943" w:type="dxa"/>
            <w:noWrap/>
            <w:hideMark/>
          </w:tcPr>
          <w:p w14:paraId="795B90CC" w14:textId="77777777" w:rsidR="000120A1" w:rsidRPr="000D0ED7" w:rsidRDefault="000120A1" w:rsidP="00AF1C52">
            <w:pPr>
              <w:rPr>
                <w:noProof/>
                <w:lang w:val="en-IE"/>
              </w:rPr>
            </w:pPr>
            <w:r w:rsidRPr="000D0ED7">
              <w:rPr>
                <w:noProof/>
                <w:lang w:val="en-IE"/>
              </w:rPr>
              <w:t>2021</w:t>
            </w:r>
          </w:p>
        </w:tc>
        <w:tc>
          <w:tcPr>
            <w:tcW w:w="944" w:type="dxa"/>
            <w:noWrap/>
            <w:hideMark/>
          </w:tcPr>
          <w:p w14:paraId="48CECA1C" w14:textId="77777777" w:rsidR="000120A1" w:rsidRPr="000D0ED7" w:rsidRDefault="000120A1" w:rsidP="00AF1C52">
            <w:pPr>
              <w:rPr>
                <w:noProof/>
                <w:lang w:val="en-IE"/>
              </w:rPr>
            </w:pPr>
            <w:r w:rsidRPr="000D0ED7">
              <w:rPr>
                <w:noProof/>
                <w:lang w:val="en-IE"/>
              </w:rPr>
              <w:t>2022</w:t>
            </w:r>
          </w:p>
        </w:tc>
        <w:tc>
          <w:tcPr>
            <w:tcW w:w="943" w:type="dxa"/>
            <w:noWrap/>
            <w:hideMark/>
          </w:tcPr>
          <w:p w14:paraId="402C7282" w14:textId="77777777" w:rsidR="000120A1" w:rsidRPr="000D0ED7" w:rsidRDefault="000120A1" w:rsidP="00AF1C52">
            <w:pPr>
              <w:rPr>
                <w:noProof/>
                <w:lang w:val="en-IE"/>
              </w:rPr>
            </w:pPr>
            <w:r w:rsidRPr="000D0ED7">
              <w:rPr>
                <w:noProof/>
                <w:lang w:val="en-IE"/>
              </w:rPr>
              <w:t>2023</w:t>
            </w:r>
          </w:p>
        </w:tc>
        <w:tc>
          <w:tcPr>
            <w:tcW w:w="944" w:type="dxa"/>
            <w:noWrap/>
            <w:hideMark/>
          </w:tcPr>
          <w:p w14:paraId="0431B302" w14:textId="77777777" w:rsidR="000120A1" w:rsidRPr="000D0ED7" w:rsidRDefault="000120A1" w:rsidP="00AF1C52">
            <w:pPr>
              <w:rPr>
                <w:noProof/>
                <w:lang w:val="en-IE"/>
              </w:rPr>
            </w:pPr>
            <w:r w:rsidRPr="000D0ED7">
              <w:rPr>
                <w:noProof/>
                <w:lang w:val="en-IE"/>
              </w:rPr>
              <w:t>2024</w:t>
            </w:r>
          </w:p>
        </w:tc>
        <w:tc>
          <w:tcPr>
            <w:tcW w:w="944" w:type="dxa"/>
            <w:noWrap/>
            <w:hideMark/>
          </w:tcPr>
          <w:p w14:paraId="01ACF5AC" w14:textId="77777777" w:rsidR="000120A1" w:rsidRPr="000D0ED7" w:rsidRDefault="000120A1" w:rsidP="00AF1C52">
            <w:pPr>
              <w:rPr>
                <w:noProof/>
                <w:lang w:val="en-IE"/>
              </w:rPr>
            </w:pPr>
            <w:r w:rsidRPr="000D0ED7">
              <w:rPr>
                <w:noProof/>
                <w:lang w:val="en-IE"/>
              </w:rPr>
              <w:t>2025</w:t>
            </w:r>
          </w:p>
        </w:tc>
        <w:tc>
          <w:tcPr>
            <w:tcW w:w="943" w:type="dxa"/>
            <w:noWrap/>
            <w:hideMark/>
          </w:tcPr>
          <w:p w14:paraId="635985D3" w14:textId="77777777" w:rsidR="000120A1" w:rsidRPr="000D0ED7" w:rsidRDefault="000120A1" w:rsidP="00AF1C52">
            <w:pPr>
              <w:rPr>
                <w:noProof/>
                <w:lang w:val="en-IE"/>
              </w:rPr>
            </w:pPr>
            <w:r w:rsidRPr="000D0ED7">
              <w:rPr>
                <w:noProof/>
                <w:lang w:val="en-IE"/>
              </w:rPr>
              <w:t>2026</w:t>
            </w:r>
          </w:p>
        </w:tc>
        <w:tc>
          <w:tcPr>
            <w:tcW w:w="944" w:type="dxa"/>
            <w:noWrap/>
            <w:hideMark/>
          </w:tcPr>
          <w:p w14:paraId="7C6FCE49" w14:textId="77777777" w:rsidR="000120A1" w:rsidRPr="000D0ED7" w:rsidRDefault="000120A1" w:rsidP="00AF1C52">
            <w:pPr>
              <w:rPr>
                <w:noProof/>
                <w:lang w:val="en-IE"/>
              </w:rPr>
            </w:pPr>
            <w:r w:rsidRPr="000D0ED7">
              <w:rPr>
                <w:noProof/>
                <w:lang w:val="en-IE"/>
              </w:rPr>
              <w:t>2027</w:t>
            </w:r>
          </w:p>
        </w:tc>
        <w:tc>
          <w:tcPr>
            <w:tcW w:w="944" w:type="dxa"/>
            <w:noWrap/>
            <w:hideMark/>
          </w:tcPr>
          <w:p w14:paraId="6849C72B" w14:textId="77777777" w:rsidR="000120A1" w:rsidRPr="000D0ED7" w:rsidRDefault="000120A1" w:rsidP="00AF1C52">
            <w:pPr>
              <w:rPr>
                <w:noProof/>
                <w:lang w:val="en-IE"/>
              </w:rPr>
            </w:pPr>
            <w:r w:rsidRPr="000D0ED7">
              <w:rPr>
                <w:noProof/>
                <w:lang w:val="en-IE"/>
              </w:rPr>
              <w:t>Total</w:t>
            </w:r>
          </w:p>
        </w:tc>
      </w:tr>
      <w:tr w:rsidR="000120A1" w:rsidRPr="000D0ED7" w14:paraId="1CA8F84F" w14:textId="77777777" w:rsidTr="00AF1C52">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26288458" w14:textId="77777777" w:rsidR="000120A1" w:rsidRPr="000D0ED7" w:rsidRDefault="000120A1" w:rsidP="00AF1C52">
            <w:pPr>
              <w:rPr>
                <w:noProof/>
                <w:lang w:val="en-IE"/>
              </w:rPr>
            </w:pPr>
            <w:r w:rsidRPr="000D0ED7">
              <w:rPr>
                <w:noProof/>
                <w:lang w:val="en-IE"/>
              </w:rPr>
              <w:t>Financial programming</w:t>
            </w:r>
          </w:p>
        </w:tc>
        <w:tc>
          <w:tcPr>
            <w:tcW w:w="943" w:type="dxa"/>
            <w:noWrap/>
            <w:hideMark/>
          </w:tcPr>
          <w:p w14:paraId="7B69F051" w14:textId="77777777" w:rsidR="000120A1" w:rsidRPr="000D0ED7" w:rsidRDefault="000120A1" w:rsidP="00AF1C52">
            <w:pPr>
              <w:jc w:val="center"/>
              <w:rPr>
                <w:noProof/>
                <w:lang w:val="en-IE"/>
              </w:rPr>
            </w:pPr>
            <w:r w:rsidRPr="000D0ED7">
              <w:rPr>
                <w:noProof/>
                <w:lang w:val="en-IE"/>
              </w:rPr>
              <w:t>125.5</w:t>
            </w:r>
          </w:p>
        </w:tc>
        <w:tc>
          <w:tcPr>
            <w:tcW w:w="944" w:type="dxa"/>
            <w:noWrap/>
            <w:hideMark/>
          </w:tcPr>
          <w:p w14:paraId="2A355727" w14:textId="77777777" w:rsidR="000120A1" w:rsidRPr="000D0ED7" w:rsidRDefault="000120A1" w:rsidP="00AF1C52">
            <w:pPr>
              <w:jc w:val="center"/>
              <w:rPr>
                <w:noProof/>
                <w:lang w:val="en-IE"/>
              </w:rPr>
            </w:pPr>
            <w:r w:rsidRPr="000D0ED7">
              <w:rPr>
                <w:noProof/>
                <w:lang w:val="en-IE"/>
              </w:rPr>
              <w:t>130.4</w:t>
            </w:r>
          </w:p>
        </w:tc>
        <w:tc>
          <w:tcPr>
            <w:tcW w:w="943" w:type="dxa"/>
            <w:noWrap/>
            <w:hideMark/>
          </w:tcPr>
          <w:p w14:paraId="5B5D333B" w14:textId="77777777" w:rsidR="000120A1" w:rsidRPr="000D0ED7" w:rsidRDefault="000120A1" w:rsidP="00AF1C52">
            <w:pPr>
              <w:jc w:val="center"/>
              <w:rPr>
                <w:noProof/>
                <w:lang w:val="en-IE"/>
              </w:rPr>
            </w:pPr>
            <w:r w:rsidRPr="000D0ED7">
              <w:rPr>
                <w:noProof/>
                <w:lang w:val="en-IE"/>
              </w:rPr>
              <w:t>133.1</w:t>
            </w:r>
          </w:p>
        </w:tc>
        <w:tc>
          <w:tcPr>
            <w:tcW w:w="944" w:type="dxa"/>
            <w:noWrap/>
            <w:hideMark/>
          </w:tcPr>
          <w:p w14:paraId="218343E4" w14:textId="77777777" w:rsidR="000120A1" w:rsidRPr="000D0ED7" w:rsidRDefault="000120A1" w:rsidP="00AF1C52">
            <w:pPr>
              <w:jc w:val="center"/>
              <w:rPr>
                <w:noProof/>
                <w:lang w:val="en-IE"/>
              </w:rPr>
            </w:pPr>
            <w:r w:rsidRPr="000D0ED7">
              <w:rPr>
                <w:noProof/>
                <w:lang w:val="en-IE"/>
              </w:rPr>
              <w:t>135.7</w:t>
            </w:r>
          </w:p>
        </w:tc>
        <w:tc>
          <w:tcPr>
            <w:tcW w:w="944" w:type="dxa"/>
            <w:noWrap/>
            <w:hideMark/>
          </w:tcPr>
          <w:p w14:paraId="43D0330E" w14:textId="77777777" w:rsidR="000120A1" w:rsidRPr="000D0ED7" w:rsidRDefault="000120A1" w:rsidP="00AF1C52">
            <w:pPr>
              <w:jc w:val="center"/>
              <w:rPr>
                <w:noProof/>
                <w:lang w:val="en-IE"/>
              </w:rPr>
            </w:pPr>
            <w:r w:rsidRPr="000D0ED7">
              <w:rPr>
                <w:noProof/>
                <w:lang w:val="en-IE"/>
              </w:rPr>
              <w:t>138.4</w:t>
            </w:r>
          </w:p>
        </w:tc>
        <w:tc>
          <w:tcPr>
            <w:tcW w:w="943" w:type="dxa"/>
            <w:noWrap/>
            <w:hideMark/>
          </w:tcPr>
          <w:p w14:paraId="254386E4" w14:textId="77777777" w:rsidR="000120A1" w:rsidRPr="000D0ED7" w:rsidRDefault="000120A1" w:rsidP="00AF1C52">
            <w:pPr>
              <w:jc w:val="center"/>
              <w:rPr>
                <w:noProof/>
                <w:lang w:val="en-IE"/>
              </w:rPr>
            </w:pPr>
            <w:r w:rsidRPr="000D0ED7">
              <w:rPr>
                <w:noProof/>
                <w:lang w:val="en-IE"/>
              </w:rPr>
              <w:t>141.2</w:t>
            </w:r>
          </w:p>
        </w:tc>
        <w:tc>
          <w:tcPr>
            <w:tcW w:w="944" w:type="dxa"/>
            <w:noWrap/>
            <w:hideMark/>
          </w:tcPr>
          <w:p w14:paraId="2A9A9466" w14:textId="77777777" w:rsidR="000120A1" w:rsidRPr="000D0ED7" w:rsidRDefault="000120A1" w:rsidP="00AF1C52">
            <w:pPr>
              <w:jc w:val="center"/>
              <w:rPr>
                <w:noProof/>
                <w:lang w:val="en-IE"/>
              </w:rPr>
            </w:pPr>
            <w:r w:rsidRPr="000D0ED7">
              <w:rPr>
                <w:noProof/>
                <w:lang w:val="en-IE"/>
              </w:rPr>
              <w:t>144.3</w:t>
            </w:r>
          </w:p>
        </w:tc>
        <w:tc>
          <w:tcPr>
            <w:tcW w:w="944" w:type="dxa"/>
            <w:noWrap/>
            <w:hideMark/>
          </w:tcPr>
          <w:p w14:paraId="073BD00B" w14:textId="77777777" w:rsidR="000120A1" w:rsidRPr="000D0ED7" w:rsidRDefault="000120A1" w:rsidP="00AF1C52">
            <w:pPr>
              <w:jc w:val="center"/>
              <w:rPr>
                <w:noProof/>
                <w:lang w:val="en-IE"/>
              </w:rPr>
            </w:pPr>
            <w:r w:rsidRPr="000D0ED7">
              <w:rPr>
                <w:noProof/>
                <w:lang w:val="en-IE"/>
              </w:rPr>
              <w:t>948.6</w:t>
            </w:r>
          </w:p>
        </w:tc>
      </w:tr>
      <w:tr w:rsidR="000120A1" w:rsidRPr="000D0ED7" w14:paraId="641A9F8D" w14:textId="77777777" w:rsidTr="00AF1C52">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194ABF06" w14:textId="77777777" w:rsidR="000120A1" w:rsidRPr="000D0ED7" w:rsidRDefault="000120A1" w:rsidP="00AF1C52">
            <w:pPr>
              <w:rPr>
                <w:noProof/>
                <w:lang w:val="en-IE"/>
              </w:rPr>
            </w:pPr>
            <w:r w:rsidRPr="000D0ED7">
              <w:rPr>
                <w:noProof/>
                <w:lang w:val="en-IE"/>
              </w:rPr>
              <w:t>NextGenerationEU</w:t>
            </w:r>
          </w:p>
        </w:tc>
        <w:tc>
          <w:tcPr>
            <w:tcW w:w="943" w:type="dxa"/>
            <w:noWrap/>
            <w:hideMark/>
          </w:tcPr>
          <w:p w14:paraId="638F183A" w14:textId="77777777" w:rsidR="000120A1" w:rsidRPr="000D0ED7" w:rsidRDefault="000120A1" w:rsidP="00AF1C52">
            <w:pPr>
              <w:jc w:val="center"/>
              <w:rPr>
                <w:noProof/>
                <w:lang w:val="en-IE"/>
              </w:rPr>
            </w:pPr>
          </w:p>
        </w:tc>
        <w:tc>
          <w:tcPr>
            <w:tcW w:w="944" w:type="dxa"/>
            <w:noWrap/>
            <w:hideMark/>
          </w:tcPr>
          <w:p w14:paraId="03A15B1D" w14:textId="77777777" w:rsidR="000120A1" w:rsidRPr="000D0ED7" w:rsidRDefault="000120A1" w:rsidP="00AF1C52">
            <w:pPr>
              <w:jc w:val="center"/>
              <w:rPr>
                <w:noProof/>
                <w:lang w:val="en-IE"/>
              </w:rPr>
            </w:pPr>
          </w:p>
        </w:tc>
        <w:tc>
          <w:tcPr>
            <w:tcW w:w="943" w:type="dxa"/>
            <w:noWrap/>
            <w:hideMark/>
          </w:tcPr>
          <w:p w14:paraId="60312C8B" w14:textId="77777777" w:rsidR="000120A1" w:rsidRPr="000D0ED7" w:rsidRDefault="000120A1" w:rsidP="00AF1C52">
            <w:pPr>
              <w:jc w:val="center"/>
              <w:rPr>
                <w:noProof/>
                <w:lang w:val="en-IE"/>
              </w:rPr>
            </w:pPr>
          </w:p>
        </w:tc>
        <w:tc>
          <w:tcPr>
            <w:tcW w:w="944" w:type="dxa"/>
            <w:noWrap/>
            <w:hideMark/>
          </w:tcPr>
          <w:p w14:paraId="5986B580" w14:textId="77777777" w:rsidR="000120A1" w:rsidRPr="000D0ED7" w:rsidRDefault="000120A1" w:rsidP="00AF1C52">
            <w:pPr>
              <w:jc w:val="center"/>
              <w:rPr>
                <w:noProof/>
                <w:lang w:val="en-IE"/>
              </w:rPr>
            </w:pPr>
          </w:p>
        </w:tc>
        <w:tc>
          <w:tcPr>
            <w:tcW w:w="944" w:type="dxa"/>
            <w:noWrap/>
            <w:hideMark/>
          </w:tcPr>
          <w:p w14:paraId="1FEDC3A6" w14:textId="77777777" w:rsidR="000120A1" w:rsidRPr="000D0ED7" w:rsidRDefault="000120A1" w:rsidP="00AF1C52">
            <w:pPr>
              <w:jc w:val="center"/>
              <w:rPr>
                <w:noProof/>
                <w:lang w:val="en-IE"/>
              </w:rPr>
            </w:pPr>
          </w:p>
        </w:tc>
        <w:tc>
          <w:tcPr>
            <w:tcW w:w="943" w:type="dxa"/>
            <w:noWrap/>
            <w:hideMark/>
          </w:tcPr>
          <w:p w14:paraId="7F776A1A" w14:textId="77777777" w:rsidR="000120A1" w:rsidRPr="000D0ED7" w:rsidRDefault="000120A1" w:rsidP="00AF1C52">
            <w:pPr>
              <w:jc w:val="center"/>
              <w:rPr>
                <w:noProof/>
                <w:lang w:val="en-IE"/>
              </w:rPr>
            </w:pPr>
          </w:p>
        </w:tc>
        <w:tc>
          <w:tcPr>
            <w:tcW w:w="944" w:type="dxa"/>
            <w:noWrap/>
            <w:hideMark/>
          </w:tcPr>
          <w:p w14:paraId="232E6D7E" w14:textId="77777777" w:rsidR="000120A1" w:rsidRPr="000D0ED7" w:rsidRDefault="000120A1" w:rsidP="00AF1C52">
            <w:pPr>
              <w:jc w:val="center"/>
              <w:rPr>
                <w:noProof/>
                <w:lang w:val="en-IE"/>
              </w:rPr>
            </w:pPr>
          </w:p>
        </w:tc>
        <w:tc>
          <w:tcPr>
            <w:tcW w:w="944" w:type="dxa"/>
            <w:noWrap/>
            <w:hideMark/>
          </w:tcPr>
          <w:p w14:paraId="472B52F7" w14:textId="77777777" w:rsidR="000120A1" w:rsidRPr="000D0ED7" w:rsidRDefault="000120A1" w:rsidP="00AF1C52">
            <w:pPr>
              <w:rPr>
                <w:noProof/>
                <w:lang w:val="en-IE"/>
              </w:rPr>
            </w:pPr>
          </w:p>
        </w:tc>
      </w:tr>
      <w:tr w:rsidR="000120A1" w:rsidRPr="000D0ED7" w14:paraId="48FAC1E8" w14:textId="77777777" w:rsidTr="00AF1C52">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6C67CB8C" w14:textId="77777777" w:rsidR="000120A1" w:rsidRPr="000D0ED7" w:rsidRDefault="000120A1" w:rsidP="00AF1C52">
            <w:pPr>
              <w:rPr>
                <w:noProof/>
                <w:lang w:val="en-IE"/>
              </w:rPr>
            </w:pPr>
            <w:r w:rsidRPr="000D0ED7">
              <w:rPr>
                <w:noProof/>
                <w:lang w:val="en-IE"/>
              </w:rPr>
              <w:t>Decommitments made available again</w:t>
            </w:r>
            <w:r w:rsidRPr="000D0ED7">
              <w:rPr>
                <w:rFonts w:ascii="Calibri" w:hAnsi="Calibri" w:cs="Calibri"/>
                <w:noProof/>
                <w:lang w:val="en-IE"/>
              </w:rPr>
              <w:t> (</w:t>
            </w:r>
            <w:r w:rsidRPr="000D0ED7">
              <w:rPr>
                <w:noProof/>
                <w:lang w:val="en-IE"/>
              </w:rPr>
              <w:t>*)</w:t>
            </w:r>
          </w:p>
        </w:tc>
        <w:tc>
          <w:tcPr>
            <w:tcW w:w="943" w:type="dxa"/>
            <w:noWrap/>
            <w:hideMark/>
          </w:tcPr>
          <w:p w14:paraId="64F8A634" w14:textId="77777777" w:rsidR="000120A1" w:rsidRPr="000D0ED7" w:rsidRDefault="000120A1" w:rsidP="00AF1C52">
            <w:pPr>
              <w:jc w:val="center"/>
              <w:rPr>
                <w:noProof/>
                <w:lang w:val="en-IE"/>
              </w:rPr>
            </w:pPr>
            <w:r>
              <w:rPr>
                <w:noProof/>
                <w:lang w:val="en-IE"/>
              </w:rPr>
              <w:t>N/A</w:t>
            </w:r>
          </w:p>
        </w:tc>
        <w:tc>
          <w:tcPr>
            <w:tcW w:w="944" w:type="dxa"/>
            <w:noWrap/>
            <w:hideMark/>
          </w:tcPr>
          <w:p w14:paraId="320D0BE8" w14:textId="77777777" w:rsidR="000120A1" w:rsidRPr="000D0ED7" w:rsidRDefault="000120A1" w:rsidP="00AF1C52">
            <w:pPr>
              <w:jc w:val="center"/>
              <w:rPr>
                <w:noProof/>
                <w:lang w:val="en-IE"/>
              </w:rPr>
            </w:pPr>
          </w:p>
        </w:tc>
        <w:tc>
          <w:tcPr>
            <w:tcW w:w="943" w:type="dxa"/>
            <w:noWrap/>
            <w:hideMark/>
          </w:tcPr>
          <w:p w14:paraId="398E9627" w14:textId="77777777" w:rsidR="000120A1" w:rsidRPr="000D0ED7" w:rsidRDefault="000120A1" w:rsidP="00AF1C52">
            <w:pPr>
              <w:jc w:val="center"/>
              <w:rPr>
                <w:noProof/>
                <w:lang w:val="en-IE"/>
              </w:rPr>
            </w:pPr>
          </w:p>
        </w:tc>
        <w:tc>
          <w:tcPr>
            <w:tcW w:w="944" w:type="dxa"/>
            <w:noWrap/>
            <w:hideMark/>
          </w:tcPr>
          <w:p w14:paraId="2E232BF6" w14:textId="77777777" w:rsidR="000120A1" w:rsidRPr="000D0ED7" w:rsidRDefault="000120A1" w:rsidP="00AF1C52">
            <w:pPr>
              <w:jc w:val="center"/>
              <w:rPr>
                <w:noProof/>
                <w:lang w:val="en-IE"/>
              </w:rPr>
            </w:pPr>
          </w:p>
        </w:tc>
        <w:tc>
          <w:tcPr>
            <w:tcW w:w="944" w:type="dxa"/>
            <w:noWrap/>
            <w:hideMark/>
          </w:tcPr>
          <w:p w14:paraId="165A5563" w14:textId="77777777" w:rsidR="000120A1" w:rsidRPr="000D0ED7" w:rsidRDefault="000120A1" w:rsidP="00AF1C52">
            <w:pPr>
              <w:jc w:val="center"/>
              <w:rPr>
                <w:noProof/>
                <w:lang w:val="en-IE"/>
              </w:rPr>
            </w:pPr>
          </w:p>
        </w:tc>
        <w:tc>
          <w:tcPr>
            <w:tcW w:w="943" w:type="dxa"/>
            <w:noWrap/>
            <w:hideMark/>
          </w:tcPr>
          <w:p w14:paraId="228A625A" w14:textId="77777777" w:rsidR="000120A1" w:rsidRPr="000D0ED7" w:rsidRDefault="000120A1" w:rsidP="00AF1C52">
            <w:pPr>
              <w:jc w:val="center"/>
              <w:rPr>
                <w:noProof/>
                <w:lang w:val="en-IE"/>
              </w:rPr>
            </w:pPr>
          </w:p>
        </w:tc>
        <w:tc>
          <w:tcPr>
            <w:tcW w:w="944" w:type="dxa"/>
            <w:noWrap/>
            <w:hideMark/>
          </w:tcPr>
          <w:p w14:paraId="31EBD0B1" w14:textId="77777777" w:rsidR="000120A1" w:rsidRPr="000D0ED7" w:rsidRDefault="000120A1" w:rsidP="00AF1C52">
            <w:pPr>
              <w:jc w:val="center"/>
              <w:rPr>
                <w:noProof/>
                <w:lang w:val="en-IE"/>
              </w:rPr>
            </w:pPr>
          </w:p>
        </w:tc>
        <w:tc>
          <w:tcPr>
            <w:tcW w:w="944" w:type="dxa"/>
            <w:noWrap/>
            <w:hideMark/>
          </w:tcPr>
          <w:p w14:paraId="3EB1E068" w14:textId="77777777" w:rsidR="000120A1" w:rsidRPr="000D0ED7" w:rsidRDefault="000120A1" w:rsidP="00AF1C52">
            <w:pPr>
              <w:jc w:val="center"/>
              <w:rPr>
                <w:noProof/>
                <w:lang w:val="en-IE"/>
              </w:rPr>
            </w:pPr>
            <w:r>
              <w:rPr>
                <w:noProof/>
                <w:lang w:val="en-IE"/>
              </w:rPr>
              <w:t>N/A</w:t>
            </w:r>
          </w:p>
        </w:tc>
      </w:tr>
      <w:tr w:rsidR="000120A1" w:rsidRPr="000D0ED7" w14:paraId="0BC4C2FF" w14:textId="77777777" w:rsidTr="00AF1C52">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56EDD019" w14:textId="77777777" w:rsidR="000120A1" w:rsidRPr="000D0ED7" w:rsidRDefault="000120A1" w:rsidP="00AF1C52">
            <w:pPr>
              <w:rPr>
                <w:noProof/>
                <w:lang w:val="en-IE"/>
              </w:rPr>
            </w:pPr>
            <w:r w:rsidRPr="000D0ED7">
              <w:rPr>
                <w:noProof/>
                <w:lang w:val="en-IE"/>
              </w:rPr>
              <w:t>Contributions from other countries and entities</w:t>
            </w:r>
          </w:p>
        </w:tc>
        <w:tc>
          <w:tcPr>
            <w:tcW w:w="943" w:type="dxa"/>
            <w:noWrap/>
            <w:hideMark/>
          </w:tcPr>
          <w:p w14:paraId="7C5541B8" w14:textId="77777777" w:rsidR="000120A1" w:rsidRPr="000D0ED7" w:rsidRDefault="000120A1" w:rsidP="00AF1C52">
            <w:pPr>
              <w:jc w:val="center"/>
              <w:rPr>
                <w:noProof/>
                <w:lang w:val="en-IE"/>
              </w:rPr>
            </w:pPr>
            <w:r>
              <w:rPr>
                <w:noProof/>
                <w:lang w:val="en-IE"/>
              </w:rPr>
              <w:t>0.0</w:t>
            </w:r>
          </w:p>
        </w:tc>
        <w:tc>
          <w:tcPr>
            <w:tcW w:w="944" w:type="dxa"/>
            <w:noWrap/>
            <w:hideMark/>
          </w:tcPr>
          <w:p w14:paraId="6DC72C99" w14:textId="77777777" w:rsidR="000120A1" w:rsidRPr="000D0ED7" w:rsidRDefault="000120A1" w:rsidP="00AF1C52">
            <w:pPr>
              <w:jc w:val="center"/>
              <w:rPr>
                <w:noProof/>
                <w:lang w:val="en-IE"/>
              </w:rPr>
            </w:pPr>
            <w:r>
              <w:rPr>
                <w:noProof/>
                <w:lang w:val="en-IE"/>
              </w:rPr>
              <w:t>p.m.</w:t>
            </w:r>
          </w:p>
        </w:tc>
        <w:tc>
          <w:tcPr>
            <w:tcW w:w="943" w:type="dxa"/>
            <w:noWrap/>
            <w:hideMark/>
          </w:tcPr>
          <w:p w14:paraId="0D06D40F" w14:textId="77777777" w:rsidR="000120A1" w:rsidRPr="000D0ED7" w:rsidRDefault="000120A1" w:rsidP="00AF1C52">
            <w:pPr>
              <w:jc w:val="center"/>
              <w:rPr>
                <w:noProof/>
                <w:lang w:val="en-IE"/>
              </w:rPr>
            </w:pPr>
            <w:r>
              <w:rPr>
                <w:noProof/>
                <w:lang w:val="en-IE"/>
              </w:rPr>
              <w:t>p.m.</w:t>
            </w:r>
          </w:p>
        </w:tc>
        <w:tc>
          <w:tcPr>
            <w:tcW w:w="944" w:type="dxa"/>
            <w:noWrap/>
            <w:hideMark/>
          </w:tcPr>
          <w:p w14:paraId="5A01FB45" w14:textId="77777777" w:rsidR="000120A1" w:rsidRPr="000D0ED7" w:rsidRDefault="000120A1" w:rsidP="00AF1C52">
            <w:pPr>
              <w:jc w:val="center"/>
              <w:rPr>
                <w:noProof/>
                <w:lang w:val="en-IE"/>
              </w:rPr>
            </w:pPr>
            <w:r>
              <w:rPr>
                <w:noProof/>
                <w:lang w:val="en-IE"/>
              </w:rPr>
              <w:t>p.m.</w:t>
            </w:r>
          </w:p>
        </w:tc>
        <w:tc>
          <w:tcPr>
            <w:tcW w:w="944" w:type="dxa"/>
            <w:noWrap/>
            <w:hideMark/>
          </w:tcPr>
          <w:p w14:paraId="19116C45" w14:textId="77777777" w:rsidR="000120A1" w:rsidRPr="000D0ED7" w:rsidRDefault="000120A1" w:rsidP="00AF1C52">
            <w:pPr>
              <w:jc w:val="center"/>
              <w:rPr>
                <w:noProof/>
                <w:lang w:val="en-IE"/>
              </w:rPr>
            </w:pPr>
            <w:r>
              <w:rPr>
                <w:noProof/>
                <w:lang w:val="en-IE"/>
              </w:rPr>
              <w:t>p.m.</w:t>
            </w:r>
          </w:p>
        </w:tc>
        <w:tc>
          <w:tcPr>
            <w:tcW w:w="943" w:type="dxa"/>
            <w:noWrap/>
            <w:hideMark/>
          </w:tcPr>
          <w:p w14:paraId="4C73639D" w14:textId="77777777" w:rsidR="000120A1" w:rsidRPr="000D0ED7" w:rsidRDefault="000120A1" w:rsidP="00AF1C52">
            <w:pPr>
              <w:jc w:val="center"/>
              <w:rPr>
                <w:noProof/>
                <w:lang w:val="en-IE"/>
              </w:rPr>
            </w:pPr>
            <w:r>
              <w:rPr>
                <w:noProof/>
                <w:lang w:val="en-IE"/>
              </w:rPr>
              <w:t>p.m.</w:t>
            </w:r>
          </w:p>
        </w:tc>
        <w:tc>
          <w:tcPr>
            <w:tcW w:w="944" w:type="dxa"/>
            <w:noWrap/>
            <w:hideMark/>
          </w:tcPr>
          <w:p w14:paraId="01C161FE" w14:textId="77777777" w:rsidR="000120A1" w:rsidRPr="000D0ED7" w:rsidRDefault="000120A1" w:rsidP="00AF1C52">
            <w:pPr>
              <w:jc w:val="center"/>
              <w:rPr>
                <w:noProof/>
                <w:lang w:val="en-IE"/>
              </w:rPr>
            </w:pPr>
            <w:r>
              <w:rPr>
                <w:noProof/>
                <w:lang w:val="en-IE"/>
              </w:rPr>
              <w:t>p.m.</w:t>
            </w:r>
          </w:p>
        </w:tc>
        <w:tc>
          <w:tcPr>
            <w:tcW w:w="944" w:type="dxa"/>
            <w:noWrap/>
            <w:hideMark/>
          </w:tcPr>
          <w:p w14:paraId="72D90C96" w14:textId="77777777" w:rsidR="000120A1" w:rsidRPr="000D0ED7" w:rsidRDefault="000120A1" w:rsidP="00AF1C52">
            <w:pPr>
              <w:jc w:val="center"/>
              <w:rPr>
                <w:noProof/>
                <w:lang w:val="en-IE"/>
              </w:rPr>
            </w:pPr>
            <w:r>
              <w:rPr>
                <w:noProof/>
                <w:lang w:val="en-IE"/>
              </w:rPr>
              <w:t>0.0</w:t>
            </w:r>
          </w:p>
        </w:tc>
      </w:tr>
    </w:tbl>
    <w:p w14:paraId="1679556E" w14:textId="77777777" w:rsidR="000120A1" w:rsidRPr="000D0ED7" w:rsidRDefault="000120A1" w:rsidP="000120A1">
      <w:pPr>
        <w:tabs>
          <w:tab w:val="left" w:pos="6793"/>
        </w:tabs>
        <w:rPr>
          <w:noProof/>
          <w:sz w:val="18"/>
          <w:szCs w:val="18"/>
          <w:lang w:val="en-IE"/>
        </w:rPr>
      </w:pPr>
      <w:r w:rsidRPr="000D0ED7">
        <w:rPr>
          <w:noProof/>
          <w:sz w:val="18"/>
          <w:szCs w:val="18"/>
          <w:lang w:val="en-IE"/>
        </w:rPr>
        <w:t>(*) Only Article</w:t>
      </w:r>
      <w:r w:rsidRPr="000D0ED7">
        <w:rPr>
          <w:rFonts w:ascii="Calibri" w:hAnsi="Calibri" w:cs="Calibri"/>
          <w:noProof/>
          <w:sz w:val="18"/>
          <w:szCs w:val="18"/>
          <w:lang w:val="en-IE"/>
        </w:rPr>
        <w:t> </w:t>
      </w:r>
      <w:r w:rsidRPr="000D0ED7">
        <w:rPr>
          <w:noProof/>
          <w:sz w:val="18"/>
          <w:szCs w:val="18"/>
          <w:lang w:val="en-IE"/>
        </w:rPr>
        <w:t>15(3) of the financial regulation.</w:t>
      </w:r>
    </w:p>
    <w:p w14:paraId="47CF178E" w14:textId="476AC739" w:rsidR="000120A1" w:rsidRPr="000D0ED7" w:rsidRDefault="000120A1" w:rsidP="000120A1">
      <w:pPr>
        <w:pStyle w:val="ppoTableTabletitle"/>
        <w:jc w:val="center"/>
        <w:rPr>
          <w:noProof/>
          <w:lang w:val="en-IE"/>
        </w:rPr>
      </w:pPr>
      <w:bookmarkStart w:id="88" w:name="_Hlk100668861"/>
      <w:r>
        <w:rPr>
          <w:noProof/>
        </w:rPr>
        <w:t>Financial programming</w:t>
      </w:r>
      <w:r w:rsidR="004C4764">
        <w:rPr>
          <w:noProof/>
        </w:rPr>
        <w:t>:</w:t>
      </w:r>
      <w:r w:rsidRPr="755D4DA0">
        <w:rPr>
          <w:rStyle w:val="ppocharOrangetext24pt"/>
          <w:noProof/>
          <w:lang w:val="en-IE"/>
        </w:rPr>
        <w:t xml:space="preserve"> –</w:t>
      </w:r>
      <w:r w:rsidRPr="755D4DA0">
        <w:rPr>
          <w:rStyle w:val="ppocharOrangetext24pt"/>
          <w:rFonts w:ascii="Calibri" w:hAnsi="Calibri" w:cs="Calibri"/>
          <w:noProof/>
          <w:lang w:val="en-IE"/>
        </w:rPr>
        <w:t> </w:t>
      </w:r>
      <w:r w:rsidRPr="755D4DA0">
        <w:rPr>
          <w:rStyle w:val="ppocharOrangetext24pt"/>
          <w:noProof/>
          <w:lang w:val="en-IE"/>
        </w:rPr>
        <w:t>EUR</w:t>
      </w:r>
      <w:r w:rsidRPr="755D4DA0">
        <w:rPr>
          <w:rStyle w:val="ppocharOrangetext24pt"/>
          <w:rFonts w:ascii="Calibri" w:hAnsi="Calibri" w:cs="Calibri"/>
          <w:noProof/>
          <w:lang w:val="en-IE"/>
        </w:rPr>
        <w:t> </w:t>
      </w:r>
      <w:r w:rsidRPr="755D4DA0">
        <w:rPr>
          <w:rStyle w:val="ppocharOrangetext24pt"/>
          <w:noProof/>
          <w:lang w:val="en-IE"/>
        </w:rPr>
        <w:t>1.4</w:t>
      </w:r>
      <w:r w:rsidRPr="755D4DA0">
        <w:rPr>
          <w:rStyle w:val="ppocharOrangetext24pt"/>
          <w:rFonts w:ascii="Calibri" w:hAnsi="Calibri" w:cs="Calibri"/>
          <w:noProof/>
          <w:lang w:val="en-IE"/>
        </w:rPr>
        <w:t> </w:t>
      </w:r>
      <w:r w:rsidRPr="755D4DA0">
        <w:rPr>
          <w:rStyle w:val="ppocharOrangetext24pt"/>
          <w:noProof/>
          <w:lang w:val="en-IE"/>
        </w:rPr>
        <w:t xml:space="preserve">million (- 0%) </w:t>
      </w:r>
      <w:r w:rsidRPr="755D4DA0">
        <w:rPr>
          <w:noProof/>
          <w:lang w:val="en-IE"/>
        </w:rPr>
        <w:t>compared to the legal basis.</w:t>
      </w:r>
    </w:p>
    <w:bookmarkEnd w:id="88"/>
    <w:p w14:paraId="6EC77E12" w14:textId="77777777" w:rsidR="000120A1" w:rsidRPr="000D0ED7" w:rsidRDefault="000120A1" w:rsidP="000120A1">
      <w:pPr>
        <w:pStyle w:val="ppoTableTabletitle"/>
        <w:rPr>
          <w:b/>
          <w:noProof/>
          <w:lang w:val="en-IE"/>
        </w:rPr>
      </w:pPr>
      <w:r w:rsidRPr="000D0ED7">
        <w:rPr>
          <w:noProof/>
          <w:lang w:val="en-IE"/>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0120A1" w:rsidRPr="000D0ED7" w14:paraId="51905BBF" w14:textId="77777777" w:rsidTr="00AF1C52">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763C706C" w14:textId="77777777" w:rsidR="000120A1" w:rsidRPr="000D0ED7" w:rsidRDefault="000120A1" w:rsidP="00AF1C52">
            <w:pPr>
              <w:rPr>
                <w:noProof/>
                <w:lang w:val="en-IE"/>
              </w:rPr>
            </w:pPr>
          </w:p>
        </w:tc>
        <w:tc>
          <w:tcPr>
            <w:tcW w:w="2410" w:type="dxa"/>
          </w:tcPr>
          <w:p w14:paraId="07B1D10E" w14:textId="77777777" w:rsidR="000120A1" w:rsidRPr="000D0ED7" w:rsidRDefault="000120A1" w:rsidP="00AF1C52">
            <w:pPr>
              <w:cnfStyle w:val="100000000000" w:firstRow="1" w:lastRow="0" w:firstColumn="0" w:lastColumn="0" w:oddVBand="0" w:evenVBand="0" w:oddHBand="0" w:evenHBand="0" w:firstRowFirstColumn="0" w:firstRowLastColumn="0" w:lastRowFirstColumn="0" w:lastRowLastColumn="0"/>
              <w:rPr>
                <w:noProof/>
                <w:lang w:val="en-IE"/>
              </w:rPr>
            </w:pPr>
            <w:r w:rsidRPr="000D0ED7">
              <w:rPr>
                <w:noProof/>
                <w:lang w:val="en-IE"/>
              </w:rPr>
              <w:t>Implementation</w:t>
            </w:r>
          </w:p>
        </w:tc>
        <w:tc>
          <w:tcPr>
            <w:tcW w:w="2410" w:type="dxa"/>
          </w:tcPr>
          <w:p w14:paraId="4BADB644" w14:textId="0D18C785" w:rsidR="000120A1" w:rsidRPr="000D0ED7" w:rsidRDefault="001F4CBC" w:rsidP="00DB613D">
            <w:pPr>
              <w:jc w:val="center"/>
              <w:cnfStyle w:val="100000000000" w:firstRow="1" w:lastRow="0" w:firstColumn="0" w:lastColumn="0" w:oddVBand="0" w:evenVBand="0" w:oddHBand="0" w:evenHBand="0" w:firstRowFirstColumn="0" w:firstRowLastColumn="0" w:lastRowFirstColumn="0" w:lastRowLastColumn="0"/>
              <w:rPr>
                <w:noProof/>
                <w:lang w:val="en-IE"/>
              </w:rPr>
            </w:pPr>
            <w:r>
              <w:rPr>
                <w:noProof/>
              </w:rPr>
              <w:t xml:space="preserve">2021-2027 </w:t>
            </w:r>
            <w:r w:rsidRPr="00885241">
              <w:rPr>
                <w:noProof/>
              </w:rPr>
              <w:t>Budget</w:t>
            </w:r>
          </w:p>
        </w:tc>
        <w:tc>
          <w:tcPr>
            <w:tcW w:w="2410" w:type="dxa"/>
          </w:tcPr>
          <w:p w14:paraId="623620AC" w14:textId="77777777" w:rsidR="000120A1" w:rsidRPr="000D0ED7" w:rsidRDefault="000120A1" w:rsidP="00AF1C52">
            <w:pPr>
              <w:cnfStyle w:val="100000000000" w:firstRow="1" w:lastRow="0" w:firstColumn="0" w:lastColumn="0" w:oddVBand="0" w:evenVBand="0" w:oddHBand="0" w:evenHBand="0" w:firstRowFirstColumn="0" w:firstRowLastColumn="0" w:lastRowFirstColumn="0" w:lastRowLastColumn="0"/>
              <w:rPr>
                <w:noProof/>
                <w:lang w:val="en-IE"/>
              </w:rPr>
            </w:pPr>
            <w:r w:rsidRPr="000D0ED7">
              <w:rPr>
                <w:noProof/>
                <w:lang w:val="en-IE"/>
              </w:rPr>
              <w:t>Implementation rate</w:t>
            </w:r>
          </w:p>
        </w:tc>
      </w:tr>
      <w:tr w:rsidR="000120A1" w:rsidRPr="000D0ED7" w14:paraId="0A90DA78"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2A1C927E" w14:textId="77777777" w:rsidR="000120A1" w:rsidRPr="000D0ED7" w:rsidRDefault="000120A1" w:rsidP="00AF1C52">
            <w:pPr>
              <w:jc w:val="center"/>
              <w:rPr>
                <w:noProof/>
                <w:lang w:val="en-IE"/>
              </w:rPr>
            </w:pPr>
            <w:r w:rsidRPr="000D0ED7">
              <w:rPr>
                <w:noProof/>
                <w:lang w:val="en-IE"/>
              </w:rPr>
              <w:t>Commitments</w:t>
            </w:r>
          </w:p>
        </w:tc>
        <w:tc>
          <w:tcPr>
            <w:tcW w:w="2410" w:type="dxa"/>
          </w:tcPr>
          <w:tbl>
            <w:tblPr>
              <w:tblStyle w:val="TableGrid"/>
              <w:tblW w:w="0" w:type="auto"/>
              <w:tblLook w:val="06A0" w:firstRow="1" w:lastRow="0" w:firstColumn="1" w:lastColumn="0" w:noHBand="1" w:noVBand="1"/>
            </w:tblPr>
            <w:tblGrid>
              <w:gridCol w:w="2194"/>
            </w:tblGrid>
            <w:tr w:rsidR="000120A1" w:rsidRPr="000D0ED7" w14:paraId="3FC2FF6F" w14:textId="77777777" w:rsidTr="00AF1C52">
              <w:trPr>
                <w:trHeight w:val="285"/>
              </w:trPr>
              <w:tc>
                <w:tcPr>
                  <w:tcW w:w="2290" w:type="dxa"/>
                  <w:tcBorders>
                    <w:top w:val="nil"/>
                    <w:left w:val="nil"/>
                    <w:bottom w:val="nil"/>
                    <w:right w:val="nil"/>
                  </w:tcBorders>
                  <w:vAlign w:val="bottom"/>
                </w:tcPr>
                <w:p w14:paraId="252CB907" w14:textId="77777777" w:rsidR="000120A1" w:rsidRPr="000D0ED7" w:rsidRDefault="000120A1" w:rsidP="00AF1C52">
                  <w:pPr>
                    <w:spacing w:before="100" w:after="100"/>
                    <w:jc w:val="center"/>
                    <w:rPr>
                      <w:noProof/>
                      <w:lang w:val="en-IE"/>
                    </w:rPr>
                  </w:pPr>
                  <w:r w:rsidRPr="000D0ED7">
                    <w:rPr>
                      <w:noProof/>
                      <w:lang w:val="en-IE"/>
                    </w:rPr>
                    <w:t>125.5</w:t>
                  </w:r>
                </w:p>
              </w:tc>
            </w:tr>
          </w:tbl>
          <w:p w14:paraId="36CE2083" w14:textId="77777777" w:rsidR="000120A1" w:rsidRPr="000D0ED7" w:rsidRDefault="000120A1"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0120A1" w:rsidRPr="000D0ED7" w14:paraId="5DF678E1" w14:textId="77777777" w:rsidTr="00AF1C52">
              <w:trPr>
                <w:trHeight w:val="285"/>
              </w:trPr>
              <w:tc>
                <w:tcPr>
                  <w:tcW w:w="2290" w:type="dxa"/>
                  <w:tcBorders>
                    <w:top w:val="nil"/>
                    <w:left w:val="nil"/>
                    <w:bottom w:val="nil"/>
                    <w:right w:val="nil"/>
                  </w:tcBorders>
                  <w:vAlign w:val="bottom"/>
                </w:tcPr>
                <w:p w14:paraId="1CC21D9B" w14:textId="77777777" w:rsidR="000120A1" w:rsidRPr="000D0ED7" w:rsidRDefault="000120A1" w:rsidP="00DB613D">
                  <w:pPr>
                    <w:spacing w:before="100" w:after="100"/>
                    <w:jc w:val="center"/>
                    <w:rPr>
                      <w:noProof/>
                      <w:lang w:val="en-IE"/>
                    </w:rPr>
                  </w:pPr>
                  <w:r w:rsidRPr="000D0ED7">
                    <w:rPr>
                      <w:noProof/>
                      <w:lang w:val="en-IE"/>
                    </w:rPr>
                    <w:t>948.6</w:t>
                  </w:r>
                </w:p>
              </w:tc>
            </w:tr>
          </w:tbl>
          <w:p w14:paraId="53884B12" w14:textId="77777777" w:rsidR="000120A1" w:rsidRPr="000D0ED7" w:rsidRDefault="000120A1" w:rsidP="00DB613D">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0120A1" w:rsidRPr="000D0ED7" w14:paraId="68CE5B34" w14:textId="77777777" w:rsidTr="00AF1C52">
              <w:trPr>
                <w:trHeight w:val="285"/>
              </w:trPr>
              <w:tc>
                <w:tcPr>
                  <w:tcW w:w="2290" w:type="dxa"/>
                  <w:tcBorders>
                    <w:top w:val="nil"/>
                    <w:left w:val="nil"/>
                    <w:bottom w:val="nil"/>
                    <w:right w:val="nil"/>
                  </w:tcBorders>
                  <w:vAlign w:val="bottom"/>
                </w:tcPr>
                <w:p w14:paraId="2EB4CAA1" w14:textId="77777777" w:rsidR="000120A1" w:rsidRPr="000D0ED7" w:rsidRDefault="000120A1" w:rsidP="00AF1C52">
                  <w:pPr>
                    <w:spacing w:before="100" w:after="100"/>
                    <w:jc w:val="center"/>
                    <w:rPr>
                      <w:noProof/>
                      <w:lang w:val="en-IE"/>
                    </w:rPr>
                  </w:pPr>
                  <w:r w:rsidRPr="000D0ED7">
                    <w:rPr>
                      <w:noProof/>
                      <w:lang w:val="en-IE"/>
                    </w:rPr>
                    <w:t>13%</w:t>
                  </w:r>
                </w:p>
              </w:tc>
            </w:tr>
          </w:tbl>
          <w:p w14:paraId="4F8DB620" w14:textId="77777777" w:rsidR="000120A1" w:rsidRPr="000D0ED7" w:rsidRDefault="000120A1"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r>
      <w:tr w:rsidR="000120A1" w:rsidRPr="000D0ED7" w14:paraId="49CFA3BB"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7219F632" w14:textId="77777777" w:rsidR="000120A1" w:rsidRPr="000D0ED7" w:rsidRDefault="000120A1" w:rsidP="00AF1C52">
            <w:pPr>
              <w:jc w:val="center"/>
              <w:rPr>
                <w:noProof/>
                <w:lang w:val="en-IE"/>
              </w:rPr>
            </w:pPr>
            <w:r w:rsidRPr="000D0ED7">
              <w:rPr>
                <w:noProof/>
                <w:lang w:val="en-IE"/>
              </w:rPr>
              <w:t>Payments</w:t>
            </w:r>
          </w:p>
        </w:tc>
        <w:tc>
          <w:tcPr>
            <w:tcW w:w="2410" w:type="dxa"/>
          </w:tcPr>
          <w:tbl>
            <w:tblPr>
              <w:tblStyle w:val="TableGrid"/>
              <w:tblW w:w="0" w:type="auto"/>
              <w:tblLook w:val="06A0" w:firstRow="1" w:lastRow="0" w:firstColumn="1" w:lastColumn="0" w:noHBand="1" w:noVBand="1"/>
            </w:tblPr>
            <w:tblGrid>
              <w:gridCol w:w="2194"/>
            </w:tblGrid>
            <w:tr w:rsidR="000120A1" w:rsidRPr="000D0ED7" w14:paraId="474F332C" w14:textId="77777777" w:rsidTr="00AF1C52">
              <w:trPr>
                <w:trHeight w:val="285"/>
              </w:trPr>
              <w:tc>
                <w:tcPr>
                  <w:tcW w:w="2290" w:type="dxa"/>
                  <w:tcBorders>
                    <w:top w:val="nil"/>
                    <w:left w:val="nil"/>
                    <w:bottom w:val="nil"/>
                    <w:right w:val="nil"/>
                  </w:tcBorders>
                  <w:vAlign w:val="bottom"/>
                </w:tcPr>
                <w:p w14:paraId="6906DCBD" w14:textId="77777777" w:rsidR="000120A1" w:rsidRPr="000D0ED7" w:rsidRDefault="000120A1" w:rsidP="00AF1C52">
                  <w:pPr>
                    <w:spacing w:before="100" w:after="100"/>
                    <w:jc w:val="center"/>
                    <w:rPr>
                      <w:noProof/>
                      <w:lang w:val="en-IE"/>
                    </w:rPr>
                  </w:pPr>
                  <w:r w:rsidRPr="000D0ED7">
                    <w:rPr>
                      <w:noProof/>
                      <w:lang w:val="en-IE"/>
                    </w:rPr>
                    <w:t>21.9</w:t>
                  </w:r>
                </w:p>
              </w:tc>
            </w:tr>
          </w:tbl>
          <w:p w14:paraId="446B0A22" w14:textId="77777777" w:rsidR="000120A1" w:rsidRPr="000D0ED7" w:rsidRDefault="000120A1"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p w14:paraId="59708A73" w14:textId="77777777" w:rsidR="000120A1" w:rsidRPr="000D0ED7" w:rsidRDefault="000120A1" w:rsidP="00DB613D">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0120A1" w:rsidRPr="000D0ED7" w14:paraId="326E4E90" w14:textId="77777777" w:rsidTr="00AF1C52">
              <w:trPr>
                <w:trHeight w:val="285"/>
              </w:trPr>
              <w:tc>
                <w:tcPr>
                  <w:tcW w:w="2235" w:type="dxa"/>
                  <w:tcBorders>
                    <w:top w:val="nil"/>
                    <w:left w:val="nil"/>
                    <w:bottom w:val="nil"/>
                    <w:right w:val="nil"/>
                  </w:tcBorders>
                  <w:vAlign w:val="bottom"/>
                </w:tcPr>
                <w:p w14:paraId="4D7C3E49" w14:textId="77777777" w:rsidR="000120A1" w:rsidRPr="000D0ED7" w:rsidRDefault="000120A1" w:rsidP="00AF1C52">
                  <w:pPr>
                    <w:spacing w:before="100" w:after="100"/>
                    <w:jc w:val="center"/>
                    <w:rPr>
                      <w:noProof/>
                      <w:lang w:val="en-IE"/>
                    </w:rPr>
                  </w:pPr>
                  <w:r w:rsidRPr="000D0ED7">
                    <w:rPr>
                      <w:noProof/>
                      <w:lang w:val="en-IE"/>
                    </w:rPr>
                    <w:t>2%</w:t>
                  </w:r>
                </w:p>
              </w:tc>
            </w:tr>
          </w:tbl>
          <w:p w14:paraId="4CC8AE32" w14:textId="77777777" w:rsidR="000120A1" w:rsidRPr="000D0ED7" w:rsidRDefault="000120A1"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r>
    </w:tbl>
    <w:p w14:paraId="3DC92888" w14:textId="77777777" w:rsidR="000120A1" w:rsidRPr="000D0ED7" w:rsidRDefault="000120A1" w:rsidP="000120A1">
      <w:pPr>
        <w:pStyle w:val="ppoTableTabletitle"/>
        <w:rPr>
          <w:b/>
          <w:noProof/>
          <w:lang w:val="en-IE"/>
        </w:rPr>
      </w:pPr>
      <w:r w:rsidRPr="000D0ED7">
        <w:rPr>
          <w:noProof/>
          <w:lang w:val="en-IE"/>
        </w:rPr>
        <w:t>Voted budget implementation in 2021 (million EUR):</w:t>
      </w:r>
    </w:p>
    <w:tbl>
      <w:tblPr>
        <w:tblStyle w:val="PPO2021"/>
        <w:tblW w:w="3683" w:type="pct"/>
        <w:tblInd w:w="79" w:type="dxa"/>
        <w:tblLook w:val="04A0" w:firstRow="1" w:lastRow="0" w:firstColumn="1" w:lastColumn="0" w:noHBand="0" w:noVBand="1"/>
      </w:tblPr>
      <w:tblGrid>
        <w:gridCol w:w="2419"/>
        <w:gridCol w:w="2419"/>
        <w:gridCol w:w="2420"/>
      </w:tblGrid>
      <w:tr w:rsidR="000120A1" w:rsidRPr="000D0ED7" w14:paraId="6850F2CC" w14:textId="77777777" w:rsidTr="00AF1C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6924BCF3" w14:textId="77777777" w:rsidR="000120A1" w:rsidRPr="000D0ED7" w:rsidRDefault="000120A1" w:rsidP="00AF1C52">
            <w:pPr>
              <w:rPr>
                <w:noProof/>
                <w:lang w:val="en-IE"/>
              </w:rPr>
            </w:pPr>
          </w:p>
        </w:tc>
        <w:tc>
          <w:tcPr>
            <w:tcW w:w="2419" w:type="dxa"/>
          </w:tcPr>
          <w:p w14:paraId="4171A46C" w14:textId="77777777" w:rsidR="000120A1" w:rsidRPr="000D0ED7" w:rsidRDefault="000120A1" w:rsidP="00AF1C52">
            <w:pPr>
              <w:cnfStyle w:val="100000000000" w:firstRow="1" w:lastRow="0" w:firstColumn="0" w:lastColumn="0" w:oddVBand="0" w:evenVBand="0" w:oddHBand="0" w:evenHBand="0" w:firstRowFirstColumn="0" w:firstRowLastColumn="0" w:lastRowFirstColumn="0" w:lastRowLastColumn="0"/>
              <w:rPr>
                <w:noProof/>
                <w:lang w:val="en-IE"/>
              </w:rPr>
            </w:pPr>
            <w:r w:rsidRPr="000D0ED7">
              <w:rPr>
                <w:noProof/>
                <w:lang w:val="en-IE"/>
              </w:rPr>
              <w:t>Voted budget implementation</w:t>
            </w:r>
          </w:p>
        </w:tc>
        <w:tc>
          <w:tcPr>
            <w:tcW w:w="2420" w:type="dxa"/>
          </w:tcPr>
          <w:p w14:paraId="3FBD9D86" w14:textId="77777777" w:rsidR="000120A1" w:rsidRPr="000D0ED7" w:rsidRDefault="000120A1" w:rsidP="00AF1C52">
            <w:pPr>
              <w:cnfStyle w:val="100000000000" w:firstRow="1" w:lastRow="0" w:firstColumn="0" w:lastColumn="0" w:oddVBand="0" w:evenVBand="0" w:oddHBand="0" w:evenHBand="0" w:firstRowFirstColumn="0" w:firstRowLastColumn="0" w:lastRowFirstColumn="0" w:lastRowLastColumn="0"/>
              <w:rPr>
                <w:noProof/>
                <w:lang w:val="en-IE"/>
              </w:rPr>
            </w:pPr>
            <w:r w:rsidRPr="000D0ED7">
              <w:rPr>
                <w:noProof/>
                <w:lang w:val="en-IE"/>
              </w:rPr>
              <w:t>Initial voted budget</w:t>
            </w:r>
          </w:p>
        </w:tc>
      </w:tr>
      <w:tr w:rsidR="000120A1" w:rsidRPr="000D0ED7" w14:paraId="678FE508" w14:textId="77777777" w:rsidTr="00AF1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047F6324" w14:textId="77777777" w:rsidR="000120A1" w:rsidRPr="000D0ED7" w:rsidRDefault="000120A1" w:rsidP="00AF1C52">
            <w:pPr>
              <w:jc w:val="center"/>
              <w:rPr>
                <w:noProof/>
                <w:lang w:val="en-IE"/>
              </w:rPr>
            </w:pPr>
            <w:r w:rsidRPr="000D0ED7">
              <w:rPr>
                <w:noProof/>
                <w:lang w:val="en-IE"/>
              </w:rPr>
              <w:t>Commitments</w:t>
            </w:r>
          </w:p>
        </w:tc>
        <w:tc>
          <w:tcPr>
            <w:tcW w:w="2419" w:type="dxa"/>
          </w:tcPr>
          <w:p w14:paraId="260B0631" w14:textId="77777777" w:rsidR="000120A1" w:rsidRPr="000D0ED7" w:rsidRDefault="000120A1" w:rsidP="00AF1C52">
            <w:pPr>
              <w:jc w:val="center"/>
              <w:cnfStyle w:val="000000100000" w:firstRow="0" w:lastRow="0" w:firstColumn="0" w:lastColumn="0" w:oddVBand="0" w:evenVBand="0" w:oddHBand="1" w:evenHBand="0" w:firstRowFirstColumn="0" w:firstRowLastColumn="0" w:lastRowFirstColumn="0" w:lastRowLastColumn="0"/>
              <w:rPr>
                <w:noProof/>
                <w:lang w:val="en-IE"/>
              </w:rPr>
            </w:pPr>
            <w:r w:rsidRPr="000D0ED7">
              <w:rPr>
                <w:noProof/>
                <w:lang w:val="en-IE"/>
              </w:rPr>
              <w:t>125.5</w:t>
            </w:r>
          </w:p>
        </w:tc>
        <w:tc>
          <w:tcPr>
            <w:tcW w:w="2420" w:type="dxa"/>
          </w:tcPr>
          <w:p w14:paraId="0FF93C6D" w14:textId="77777777" w:rsidR="000120A1" w:rsidRPr="000D0ED7" w:rsidRDefault="000120A1" w:rsidP="00AF1C52">
            <w:pPr>
              <w:jc w:val="center"/>
              <w:cnfStyle w:val="000000100000" w:firstRow="0" w:lastRow="0" w:firstColumn="0" w:lastColumn="0" w:oddVBand="0" w:evenVBand="0" w:oddHBand="1" w:evenHBand="0" w:firstRowFirstColumn="0" w:firstRowLastColumn="0" w:lastRowFirstColumn="0" w:lastRowLastColumn="0"/>
              <w:rPr>
                <w:noProof/>
                <w:lang w:val="en-IE"/>
              </w:rPr>
            </w:pPr>
            <w:r w:rsidRPr="000D0ED7">
              <w:rPr>
                <w:noProof/>
                <w:lang w:val="en-IE"/>
              </w:rPr>
              <w:t>126.9</w:t>
            </w:r>
          </w:p>
        </w:tc>
      </w:tr>
      <w:tr w:rsidR="000120A1" w:rsidRPr="000D0ED7" w14:paraId="032F19E2" w14:textId="77777777" w:rsidTr="00AF1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16525008" w14:textId="77777777" w:rsidR="000120A1" w:rsidRPr="000D0ED7" w:rsidRDefault="000120A1" w:rsidP="00AF1C52">
            <w:pPr>
              <w:jc w:val="center"/>
              <w:rPr>
                <w:noProof/>
                <w:lang w:val="en-IE"/>
              </w:rPr>
            </w:pPr>
            <w:r w:rsidRPr="000D0ED7">
              <w:rPr>
                <w:noProof/>
                <w:lang w:val="en-IE"/>
              </w:rPr>
              <w:t>Payments</w:t>
            </w:r>
          </w:p>
        </w:tc>
        <w:tc>
          <w:tcPr>
            <w:tcW w:w="2419" w:type="dxa"/>
          </w:tcPr>
          <w:p w14:paraId="6ED4FA80" w14:textId="77777777" w:rsidR="000120A1" w:rsidRPr="000D0ED7" w:rsidRDefault="000120A1" w:rsidP="00AF1C52">
            <w:pPr>
              <w:jc w:val="center"/>
              <w:cnfStyle w:val="000000010000" w:firstRow="0" w:lastRow="0" w:firstColumn="0" w:lastColumn="0" w:oddVBand="0" w:evenVBand="0" w:oddHBand="0" w:evenHBand="1" w:firstRowFirstColumn="0" w:firstRowLastColumn="0" w:lastRowFirstColumn="0" w:lastRowLastColumn="0"/>
              <w:rPr>
                <w:noProof/>
                <w:lang w:val="en-IE"/>
              </w:rPr>
            </w:pPr>
            <w:r w:rsidRPr="000D0ED7">
              <w:rPr>
                <w:noProof/>
                <w:lang w:val="en-IE"/>
              </w:rPr>
              <w:t>21.9</w:t>
            </w:r>
          </w:p>
        </w:tc>
        <w:tc>
          <w:tcPr>
            <w:tcW w:w="2420" w:type="dxa"/>
          </w:tcPr>
          <w:p w14:paraId="7B9AF828" w14:textId="77777777" w:rsidR="000120A1" w:rsidRPr="000D0ED7" w:rsidRDefault="000120A1" w:rsidP="00AF1C52">
            <w:pPr>
              <w:jc w:val="center"/>
              <w:cnfStyle w:val="000000010000" w:firstRow="0" w:lastRow="0" w:firstColumn="0" w:lastColumn="0" w:oddVBand="0" w:evenVBand="0" w:oddHBand="0" w:evenHBand="1" w:firstRowFirstColumn="0" w:firstRowLastColumn="0" w:lastRowFirstColumn="0" w:lastRowLastColumn="0"/>
              <w:rPr>
                <w:noProof/>
                <w:lang w:val="en-IE"/>
              </w:rPr>
            </w:pPr>
            <w:r w:rsidRPr="000D0ED7">
              <w:rPr>
                <w:noProof/>
                <w:lang w:val="en-IE"/>
              </w:rPr>
              <w:t>25.3</w:t>
            </w:r>
          </w:p>
        </w:tc>
      </w:tr>
    </w:tbl>
    <w:p w14:paraId="4100B69D" w14:textId="77777777" w:rsidR="000120A1" w:rsidRPr="000D0ED7" w:rsidRDefault="000120A1" w:rsidP="000120A1">
      <w:pPr>
        <w:pStyle w:val="ppoListHyphened-L1"/>
        <w:rPr>
          <w:noProof/>
          <w:lang w:val="en-IE"/>
        </w:rPr>
      </w:pPr>
      <w:r w:rsidRPr="000D0ED7">
        <w:rPr>
          <w:noProof/>
          <w:lang w:val="en-IE"/>
        </w:rPr>
        <w:t xml:space="preserve">The delayed adoption of the 2021-2027 multiannual financial framework resulted in the late adoption and launch of the Customs programme. The signature of the new grant agreements and the implementation of general collaboration activities and expert team grants could only start in December 2021, resulting in a payment implementation rate of only 2%. </w:t>
      </w:r>
    </w:p>
    <w:p w14:paraId="536A71C3" w14:textId="77777777" w:rsidR="000120A1" w:rsidRPr="000D0ED7" w:rsidRDefault="000120A1" w:rsidP="000120A1">
      <w:pPr>
        <w:pStyle w:val="ppoListHyphened-L1"/>
        <w:rPr>
          <w:noProof/>
          <w:lang w:val="en-IE"/>
        </w:rPr>
      </w:pPr>
      <w:r w:rsidRPr="000D0ED7">
        <w:rPr>
          <w:noProof/>
          <w:lang w:val="en-IE"/>
        </w:rPr>
        <w:t>The impact of the COVID-19 pandemic on the previous programme resulted in underconsumption of budget allocations, which led to the extensions of the 2020 grants until the end of November 2021. For these reasons, the grants under the new programme only started in December</w:t>
      </w:r>
      <w:r w:rsidRPr="000D0ED7">
        <w:rPr>
          <w:rFonts w:ascii="Calibri" w:hAnsi="Calibri" w:cs="Calibri"/>
          <w:noProof/>
          <w:lang w:val="en-IE"/>
        </w:rPr>
        <w:t xml:space="preserve"> </w:t>
      </w:r>
      <w:r w:rsidRPr="000D0ED7">
        <w:rPr>
          <w:noProof/>
          <w:lang w:val="en-IE"/>
        </w:rPr>
        <w:t>2021 and the impact of COVID-19 is still to be established, primarily depending on the evolution of the pandemic and on the post-COVID-19 reality in terms of physical meetings.</w:t>
      </w:r>
    </w:p>
    <w:p w14:paraId="359B36AF" w14:textId="77777777" w:rsidR="000120A1" w:rsidRPr="000D0ED7" w:rsidRDefault="000120A1" w:rsidP="000120A1">
      <w:pPr>
        <w:pStyle w:val="ppoListHyphened-L1"/>
        <w:rPr>
          <w:noProof/>
          <w:lang w:val="en-IE"/>
        </w:rPr>
      </w:pPr>
      <w:r w:rsidRPr="000D0ED7">
        <w:rPr>
          <w:noProof/>
          <w:lang w:val="en-IE"/>
        </w:rPr>
        <w:t>During the fourth quarter of 2021, three grant agreements were signed in the field of general collaboration activities and expert teams.</w:t>
      </w:r>
    </w:p>
    <w:p w14:paraId="1E8DA02F" w14:textId="77777777" w:rsidR="000120A1" w:rsidRPr="000D0ED7" w:rsidRDefault="000120A1" w:rsidP="000120A1">
      <w:pPr>
        <w:pStyle w:val="ppoHeading5"/>
        <w:rPr>
          <w:noProof/>
          <w:lang w:val="en-IE"/>
        </w:rPr>
      </w:pPr>
      <w:r w:rsidRPr="000D0ED7">
        <w:rPr>
          <w:noProof/>
          <w:lang w:val="en-IE"/>
        </w:rPr>
        <w:t>Contribution to horizontal priorities</w:t>
      </w:r>
    </w:p>
    <w:p w14:paraId="3A46DEED" w14:textId="77777777" w:rsidR="000120A1" w:rsidRPr="000D0ED7" w:rsidRDefault="000120A1" w:rsidP="000120A1">
      <w:pPr>
        <w:pStyle w:val="ppoTableTabletitle"/>
        <w:rPr>
          <w:noProof/>
          <w:lang w:val="en-IE"/>
        </w:rPr>
      </w:pPr>
      <w:r w:rsidRPr="000D0ED7">
        <w:rPr>
          <w:noProof/>
          <w:lang w:val="en-IE"/>
        </w:rPr>
        <w:t>EU budget contribution in 2021 (million EUR):</w:t>
      </w:r>
    </w:p>
    <w:tbl>
      <w:tblPr>
        <w:tblStyle w:val="PPO2021"/>
        <w:tblW w:w="9639" w:type="dxa"/>
        <w:tblInd w:w="0" w:type="dxa"/>
        <w:tblLook w:val="0420" w:firstRow="1" w:lastRow="0" w:firstColumn="0" w:lastColumn="0" w:noHBand="0" w:noVBand="1"/>
      </w:tblPr>
      <w:tblGrid>
        <w:gridCol w:w="3213"/>
        <w:gridCol w:w="3213"/>
        <w:gridCol w:w="3213"/>
      </w:tblGrid>
      <w:tr w:rsidR="000120A1" w:rsidRPr="000D0ED7" w14:paraId="28FEEFA8" w14:textId="77777777" w:rsidTr="00AF1C52">
        <w:trPr>
          <w:cnfStyle w:val="100000000000" w:firstRow="1" w:lastRow="0" w:firstColumn="0" w:lastColumn="0" w:oddVBand="0" w:evenVBand="0" w:oddHBand="0" w:evenHBand="0" w:firstRowFirstColumn="0" w:firstRowLastColumn="0" w:lastRowFirstColumn="0" w:lastRowLastColumn="0"/>
          <w:tblHeader/>
        </w:trPr>
        <w:tc>
          <w:tcPr>
            <w:tcW w:w="3213" w:type="dxa"/>
          </w:tcPr>
          <w:p w14:paraId="4BE2F83F" w14:textId="77777777" w:rsidR="000120A1" w:rsidRPr="000D0ED7" w:rsidRDefault="000120A1" w:rsidP="00AF1C52">
            <w:pPr>
              <w:rPr>
                <w:noProof/>
                <w:lang w:val="en-IE"/>
              </w:rPr>
            </w:pPr>
            <w:r w:rsidRPr="000D0ED7">
              <w:rPr>
                <w:noProof/>
                <w:lang w:val="en-IE"/>
              </w:rPr>
              <w:t>Climate</w:t>
            </w:r>
          </w:p>
        </w:tc>
        <w:tc>
          <w:tcPr>
            <w:tcW w:w="3213" w:type="dxa"/>
          </w:tcPr>
          <w:p w14:paraId="5D5A7408" w14:textId="77777777" w:rsidR="000120A1" w:rsidRPr="000D0ED7" w:rsidRDefault="000120A1" w:rsidP="00AF1C52">
            <w:pPr>
              <w:rPr>
                <w:noProof/>
                <w:lang w:val="en-IE"/>
              </w:rPr>
            </w:pPr>
            <w:r w:rsidRPr="000D0ED7">
              <w:rPr>
                <w:noProof/>
                <w:lang w:val="en-IE"/>
              </w:rPr>
              <w:t>Biodiversity</w:t>
            </w:r>
          </w:p>
        </w:tc>
        <w:tc>
          <w:tcPr>
            <w:tcW w:w="3213" w:type="dxa"/>
          </w:tcPr>
          <w:p w14:paraId="72224D5D" w14:textId="77777777" w:rsidR="000120A1" w:rsidRPr="000D0ED7" w:rsidRDefault="000120A1" w:rsidP="00AF1C52">
            <w:pPr>
              <w:rPr>
                <w:noProof/>
                <w:lang w:val="en-IE"/>
              </w:rPr>
            </w:pPr>
            <w:r w:rsidRPr="000D0ED7">
              <w:rPr>
                <w:noProof/>
                <w:lang w:val="en-IE"/>
              </w:rPr>
              <w:t>Gender equality</w:t>
            </w:r>
            <w:r w:rsidRPr="000D0ED7">
              <w:rPr>
                <w:rFonts w:ascii="Calibri" w:hAnsi="Calibri" w:cs="Calibri"/>
                <w:noProof/>
                <w:lang w:val="en-IE"/>
              </w:rPr>
              <w:t> </w:t>
            </w:r>
            <w:r w:rsidRPr="000D0ED7">
              <w:rPr>
                <w:noProof/>
                <w:lang w:val="en-IE"/>
              </w:rPr>
              <w:t>(*)</w:t>
            </w:r>
          </w:p>
        </w:tc>
      </w:tr>
      <w:tr w:rsidR="000120A1" w:rsidRPr="000D0ED7" w14:paraId="7CB27B50" w14:textId="77777777" w:rsidTr="00AF1C52">
        <w:trPr>
          <w:cnfStyle w:val="000000100000" w:firstRow="0" w:lastRow="0" w:firstColumn="0" w:lastColumn="0" w:oddVBand="0" w:evenVBand="0" w:oddHBand="1" w:evenHBand="0" w:firstRowFirstColumn="0" w:firstRowLastColumn="0" w:lastRowFirstColumn="0" w:lastRowLastColumn="0"/>
        </w:trPr>
        <w:tc>
          <w:tcPr>
            <w:tcW w:w="3213" w:type="dxa"/>
          </w:tcPr>
          <w:tbl>
            <w:tblPr>
              <w:tblStyle w:val="TableGrid"/>
              <w:tblW w:w="0" w:type="auto"/>
              <w:tblLook w:val="06A0" w:firstRow="1" w:lastRow="0" w:firstColumn="1" w:lastColumn="0" w:noHBand="1" w:noVBand="1"/>
            </w:tblPr>
            <w:tblGrid>
              <w:gridCol w:w="1935"/>
            </w:tblGrid>
            <w:tr w:rsidR="000120A1" w:rsidRPr="000D0ED7" w14:paraId="543A14C9" w14:textId="77777777" w:rsidTr="00AF1C52">
              <w:trPr>
                <w:trHeight w:val="285"/>
              </w:trPr>
              <w:tc>
                <w:tcPr>
                  <w:tcW w:w="1935" w:type="dxa"/>
                  <w:tcBorders>
                    <w:top w:val="nil"/>
                    <w:left w:val="nil"/>
                    <w:bottom w:val="nil"/>
                    <w:right w:val="nil"/>
                  </w:tcBorders>
                  <w:vAlign w:val="bottom"/>
                </w:tcPr>
                <w:p w14:paraId="573CD812" w14:textId="77777777" w:rsidR="000120A1" w:rsidRPr="000D0ED7" w:rsidRDefault="000120A1" w:rsidP="00AF1C52">
                  <w:pPr>
                    <w:jc w:val="right"/>
                    <w:rPr>
                      <w:noProof/>
                      <w:lang w:val="en-IE"/>
                    </w:rPr>
                  </w:pPr>
                  <w:r w:rsidRPr="000D0ED7">
                    <w:rPr>
                      <w:noProof/>
                      <w:lang w:val="en-IE"/>
                    </w:rPr>
                    <w:t>0</w:t>
                  </w:r>
                </w:p>
              </w:tc>
            </w:tr>
          </w:tbl>
          <w:p w14:paraId="533C5296" w14:textId="77777777" w:rsidR="000120A1" w:rsidRPr="000D0ED7" w:rsidRDefault="000120A1" w:rsidP="00AF1C52">
            <w:pPr>
              <w:jc w:val="center"/>
              <w:rPr>
                <w:noProof/>
                <w:lang w:val="en-IE"/>
              </w:rPr>
            </w:pPr>
          </w:p>
        </w:tc>
        <w:tc>
          <w:tcPr>
            <w:tcW w:w="3213" w:type="dxa"/>
          </w:tcPr>
          <w:p w14:paraId="4C393017" w14:textId="77777777" w:rsidR="000120A1" w:rsidRPr="000D0ED7" w:rsidRDefault="000120A1" w:rsidP="00AF1C52">
            <w:pPr>
              <w:jc w:val="center"/>
              <w:rPr>
                <w:noProof/>
                <w:lang w:val="en-IE"/>
              </w:rPr>
            </w:pPr>
            <w:r w:rsidRPr="000D0ED7">
              <w:rPr>
                <w:noProof/>
                <w:lang w:val="en-IE"/>
              </w:rPr>
              <w:t>0</w:t>
            </w:r>
          </w:p>
        </w:tc>
        <w:tc>
          <w:tcPr>
            <w:tcW w:w="3213" w:type="dxa"/>
          </w:tcPr>
          <w:p w14:paraId="48F6B5E6" w14:textId="41E6738B" w:rsidR="000120A1" w:rsidRPr="000D0ED7" w:rsidRDefault="000120A1" w:rsidP="00AF1C52">
            <w:pPr>
              <w:jc w:val="center"/>
              <w:rPr>
                <w:noProof/>
                <w:lang w:val="en-IE"/>
              </w:rPr>
            </w:pPr>
            <w:r w:rsidRPr="000D0ED7">
              <w:rPr>
                <w:noProof/>
                <w:lang w:val="en-IE"/>
              </w:rPr>
              <w:t>Score 0: 116</w:t>
            </w:r>
            <w:r w:rsidR="009A4405">
              <w:rPr>
                <w:noProof/>
                <w:lang w:val="en-IE"/>
              </w:rPr>
              <w:t>.0</w:t>
            </w:r>
          </w:p>
          <w:p w14:paraId="3BAD26B3" w14:textId="7C4763CF" w:rsidR="000120A1" w:rsidRPr="000D0ED7" w:rsidRDefault="000120A1" w:rsidP="00AF1C52">
            <w:pPr>
              <w:jc w:val="center"/>
              <w:rPr>
                <w:noProof/>
                <w:lang w:val="en-IE"/>
              </w:rPr>
            </w:pPr>
            <w:r w:rsidRPr="000D0ED7">
              <w:rPr>
                <w:noProof/>
                <w:lang w:val="en-IE"/>
              </w:rPr>
              <w:t xml:space="preserve">Score 0*: </w:t>
            </w:r>
            <w:r w:rsidR="009A4405">
              <w:rPr>
                <w:noProof/>
                <w:lang w:val="en-IE"/>
              </w:rPr>
              <w:t>9.5</w:t>
            </w:r>
          </w:p>
        </w:tc>
      </w:tr>
    </w:tbl>
    <w:p w14:paraId="6631A78B" w14:textId="77777777" w:rsidR="000120A1" w:rsidRPr="000D0ED7" w:rsidRDefault="000120A1" w:rsidP="000120A1">
      <w:pPr>
        <w:pStyle w:val="FootnoteText"/>
        <w:rPr>
          <w:noProof/>
          <w:lang w:val="en-IE"/>
        </w:rPr>
      </w:pPr>
      <w:r w:rsidRPr="000D0ED7">
        <w:rPr>
          <w:noProof/>
          <w:lang w:val="en-IE"/>
        </w:rPr>
        <w:t xml:space="preserve">(*) Based on the applied gender contribution methodology, the following scores are attributed at the most granular level of intervention possible: </w:t>
      </w:r>
    </w:p>
    <w:p w14:paraId="19F56686" w14:textId="77777777" w:rsidR="000120A1" w:rsidRPr="000D0ED7" w:rsidRDefault="000120A1" w:rsidP="000120A1">
      <w:pPr>
        <w:pStyle w:val="FootnoteText"/>
        <w:numPr>
          <w:ilvl w:val="0"/>
          <w:numId w:val="38"/>
        </w:numPr>
        <w:spacing w:after="60" w:line="264" w:lineRule="auto"/>
        <w:jc w:val="left"/>
        <w:rPr>
          <w:noProof/>
          <w:lang w:val="en-IE"/>
        </w:rPr>
      </w:pPr>
      <w:r w:rsidRPr="000D0ED7">
        <w:rPr>
          <w:noProof/>
          <w:lang w:val="en-IE"/>
        </w:rPr>
        <w:t>2: interventions the principal objective of which is to improve gender equality;</w:t>
      </w:r>
    </w:p>
    <w:p w14:paraId="766AF326" w14:textId="77777777" w:rsidR="000120A1" w:rsidRPr="000D0ED7" w:rsidRDefault="000120A1" w:rsidP="000120A1">
      <w:pPr>
        <w:pStyle w:val="FootnoteText"/>
        <w:numPr>
          <w:ilvl w:val="0"/>
          <w:numId w:val="38"/>
        </w:numPr>
        <w:spacing w:after="60" w:line="264" w:lineRule="auto"/>
        <w:jc w:val="left"/>
        <w:rPr>
          <w:noProof/>
          <w:lang w:val="en-IE"/>
        </w:rPr>
      </w:pPr>
      <w:r w:rsidRPr="000D0ED7">
        <w:rPr>
          <w:noProof/>
          <w:lang w:val="en-IE"/>
        </w:rPr>
        <w:t>1: interventions that have gender equality as an important and deliberate objective but not as the main reason for the intervention;</w:t>
      </w:r>
    </w:p>
    <w:p w14:paraId="7FFEFC27" w14:textId="77777777" w:rsidR="000120A1" w:rsidRPr="000D0ED7" w:rsidRDefault="000120A1" w:rsidP="000120A1">
      <w:pPr>
        <w:pStyle w:val="FootnoteText"/>
        <w:numPr>
          <w:ilvl w:val="0"/>
          <w:numId w:val="38"/>
        </w:numPr>
        <w:spacing w:after="60" w:line="264" w:lineRule="auto"/>
        <w:jc w:val="left"/>
        <w:rPr>
          <w:noProof/>
          <w:lang w:val="en-IE"/>
        </w:rPr>
      </w:pPr>
      <w:r w:rsidRPr="000D0ED7">
        <w:rPr>
          <w:noProof/>
          <w:lang w:val="en-IE"/>
        </w:rPr>
        <w:t>0: non-targeted interventions;</w:t>
      </w:r>
    </w:p>
    <w:p w14:paraId="741C4E0A" w14:textId="77777777" w:rsidR="000120A1" w:rsidRPr="000D0ED7" w:rsidRDefault="000120A1" w:rsidP="000120A1">
      <w:pPr>
        <w:pStyle w:val="FootnoteText"/>
        <w:numPr>
          <w:ilvl w:val="0"/>
          <w:numId w:val="38"/>
        </w:numPr>
        <w:spacing w:after="60" w:line="264" w:lineRule="auto"/>
        <w:jc w:val="left"/>
        <w:rPr>
          <w:noProof/>
          <w:lang w:val="en-IE"/>
        </w:rPr>
      </w:pPr>
      <w:r w:rsidRPr="000D0ED7">
        <w:rPr>
          <w:noProof/>
          <w:lang w:val="en-IE"/>
        </w:rPr>
        <w:t>0*: score to be assigned to interventions with a likely but not yet clear positive impact on gender equality.</w:t>
      </w:r>
    </w:p>
    <w:p w14:paraId="7CEAC8CB" w14:textId="77777777" w:rsidR="000120A1" w:rsidRPr="000D0ED7" w:rsidRDefault="000120A1" w:rsidP="000120A1">
      <w:pPr>
        <w:pStyle w:val="ppoHeading5"/>
        <w:rPr>
          <w:noProof/>
          <w:lang w:val="en-IE"/>
        </w:rPr>
      </w:pPr>
      <w:r w:rsidRPr="000D0ED7">
        <w:rPr>
          <w:noProof/>
          <w:lang w:val="en-IE"/>
        </w:rPr>
        <w:t>Performance assessment</w:t>
      </w:r>
    </w:p>
    <w:p w14:paraId="56261AFE" w14:textId="77777777" w:rsidR="000120A1" w:rsidRPr="000D0ED7" w:rsidRDefault="000120A1" w:rsidP="000120A1">
      <w:pPr>
        <w:pStyle w:val="ppoHeading6"/>
        <w:rPr>
          <w:noProof/>
          <w:lang w:val="en-IE"/>
        </w:rPr>
      </w:pPr>
      <w:r w:rsidRPr="000D0ED7">
        <w:rPr>
          <w:noProof/>
          <w:lang w:val="en-IE"/>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0120A1" w:rsidRPr="000D0ED7" w14:paraId="1A90EC37" w14:textId="77777777" w:rsidTr="00AF1C52">
        <w:trPr>
          <w:cnfStyle w:val="100000000000" w:firstRow="1" w:lastRow="0" w:firstColumn="0" w:lastColumn="0" w:oddVBand="0" w:evenVBand="0" w:oddHBand="0" w:evenHBand="0" w:firstRowFirstColumn="0" w:firstRowLastColumn="0" w:lastRowFirstColumn="0" w:lastRowLastColumn="0"/>
        </w:trPr>
        <w:tc>
          <w:tcPr>
            <w:tcW w:w="2268" w:type="dxa"/>
          </w:tcPr>
          <w:p w14:paraId="0EE656DF" w14:textId="77777777" w:rsidR="000120A1" w:rsidRPr="000D0ED7" w:rsidRDefault="000120A1" w:rsidP="00AF1C52">
            <w:pPr>
              <w:rPr>
                <w:noProof/>
                <w:lang w:val="en-IE"/>
              </w:rPr>
            </w:pPr>
          </w:p>
        </w:tc>
        <w:tc>
          <w:tcPr>
            <w:tcW w:w="931" w:type="dxa"/>
          </w:tcPr>
          <w:p w14:paraId="359F5F43" w14:textId="77777777" w:rsidR="000120A1" w:rsidRPr="000D0ED7" w:rsidRDefault="000120A1" w:rsidP="00AF1C52">
            <w:pPr>
              <w:rPr>
                <w:noProof/>
                <w:lang w:val="en-IE"/>
              </w:rPr>
            </w:pPr>
            <w:r w:rsidRPr="000D0ED7">
              <w:rPr>
                <w:noProof/>
                <w:lang w:val="en-IE"/>
              </w:rPr>
              <w:t>Baseline</w:t>
            </w:r>
          </w:p>
        </w:tc>
        <w:tc>
          <w:tcPr>
            <w:tcW w:w="1485" w:type="dxa"/>
          </w:tcPr>
          <w:p w14:paraId="3E16544C" w14:textId="77777777" w:rsidR="000120A1" w:rsidRPr="00FF5717" w:rsidRDefault="000120A1" w:rsidP="00AF1C52">
            <w:pPr>
              <w:rPr>
                <w:rFonts w:ascii="Calibri" w:hAnsi="Calibri" w:cs="Calibri"/>
                <w:noProof/>
                <w:lang w:val="en-IE"/>
              </w:rPr>
            </w:pPr>
            <w:r w:rsidRPr="000D0ED7">
              <w:rPr>
                <w:noProof/>
                <w:lang w:val="en-IE"/>
              </w:rPr>
              <w:t>Progress</w:t>
            </w:r>
            <w:r>
              <w:rPr>
                <w:rFonts w:ascii="Calibri" w:hAnsi="Calibri" w:cs="Calibri"/>
                <w:noProof/>
                <w:lang w:val="en-IE"/>
              </w:rPr>
              <w:t> (*)</w:t>
            </w:r>
          </w:p>
        </w:tc>
        <w:tc>
          <w:tcPr>
            <w:tcW w:w="1491" w:type="dxa"/>
          </w:tcPr>
          <w:p w14:paraId="79ACC1F8" w14:textId="77777777" w:rsidR="000120A1" w:rsidRPr="000D0ED7" w:rsidRDefault="000120A1" w:rsidP="00AF1C52">
            <w:pPr>
              <w:rPr>
                <w:noProof/>
                <w:lang w:val="en-IE"/>
              </w:rPr>
            </w:pPr>
            <w:r w:rsidRPr="000D0ED7">
              <w:rPr>
                <w:noProof/>
                <w:lang w:val="en-IE"/>
              </w:rPr>
              <w:t>Target</w:t>
            </w:r>
          </w:p>
        </w:tc>
        <w:tc>
          <w:tcPr>
            <w:tcW w:w="1530" w:type="dxa"/>
          </w:tcPr>
          <w:p w14:paraId="739A498B" w14:textId="77777777" w:rsidR="000120A1" w:rsidRPr="000D0ED7" w:rsidRDefault="000120A1" w:rsidP="00AF1C52">
            <w:pPr>
              <w:rPr>
                <w:noProof/>
                <w:lang w:val="en-IE"/>
              </w:rPr>
            </w:pPr>
            <w:r w:rsidRPr="000D0ED7">
              <w:rPr>
                <w:noProof/>
                <w:lang w:val="en-IE"/>
              </w:rPr>
              <w:t>Results</w:t>
            </w:r>
          </w:p>
        </w:tc>
        <w:tc>
          <w:tcPr>
            <w:tcW w:w="1537" w:type="dxa"/>
          </w:tcPr>
          <w:p w14:paraId="01043C7B" w14:textId="77777777" w:rsidR="000120A1" w:rsidRPr="000D0ED7" w:rsidRDefault="000120A1" w:rsidP="00AF1C52">
            <w:pPr>
              <w:rPr>
                <w:noProof/>
                <w:lang w:val="en-IE"/>
              </w:rPr>
            </w:pPr>
            <w:r w:rsidRPr="000D0ED7">
              <w:rPr>
                <w:noProof/>
                <w:lang w:val="en-IE"/>
              </w:rPr>
              <w:t>Assessment</w:t>
            </w:r>
          </w:p>
        </w:tc>
      </w:tr>
      <w:tr w:rsidR="000120A1" w:rsidRPr="000D0ED7" w14:paraId="28BB61E4" w14:textId="77777777" w:rsidTr="00AF1C52">
        <w:trPr>
          <w:cnfStyle w:val="000000100000" w:firstRow="0" w:lastRow="0" w:firstColumn="0" w:lastColumn="0" w:oddVBand="0" w:evenVBand="0" w:oddHBand="1" w:evenHBand="0" w:firstRowFirstColumn="0" w:firstRowLastColumn="0" w:lastRowFirstColumn="0" w:lastRowLastColumn="0"/>
        </w:trPr>
        <w:tc>
          <w:tcPr>
            <w:tcW w:w="2268" w:type="dxa"/>
          </w:tcPr>
          <w:p w14:paraId="44C2AFEE" w14:textId="77777777" w:rsidR="000120A1" w:rsidRPr="000D0ED7" w:rsidRDefault="000120A1" w:rsidP="00AF1C52">
            <w:pPr>
              <w:rPr>
                <w:noProof/>
                <w:lang w:val="en-IE"/>
              </w:rPr>
            </w:pPr>
            <w:r w:rsidRPr="000D0ED7">
              <w:rPr>
                <w:noProof/>
                <w:lang w:val="en-IE"/>
              </w:rPr>
              <w:t>Union law and policy application and implementation index</w:t>
            </w:r>
            <w:r w:rsidRPr="000D0ED7">
              <w:rPr>
                <w:rFonts w:ascii="Calibri" w:hAnsi="Calibri" w:cs="Calibri"/>
                <w:noProof/>
                <w:lang w:val="en-IE"/>
              </w:rPr>
              <w:t> –</w:t>
            </w:r>
            <w:r w:rsidRPr="000D0ED7">
              <w:rPr>
                <w:noProof/>
                <w:lang w:val="en-IE"/>
              </w:rPr>
              <w:t xml:space="preserve"> </w:t>
            </w:r>
            <w:r>
              <w:rPr>
                <w:noProof/>
                <w:lang w:val="en-IE"/>
              </w:rPr>
              <w:t>n</w:t>
            </w:r>
            <w:r w:rsidRPr="000D0ED7">
              <w:rPr>
                <w:noProof/>
                <w:lang w:val="en-IE"/>
              </w:rPr>
              <w:t>umber of actions under the programme in this area</w:t>
            </w:r>
          </w:p>
        </w:tc>
        <w:tc>
          <w:tcPr>
            <w:tcW w:w="931" w:type="dxa"/>
          </w:tcPr>
          <w:p w14:paraId="7BE41A68" w14:textId="77777777" w:rsidR="000120A1" w:rsidRPr="000D0ED7" w:rsidRDefault="000120A1" w:rsidP="00AF1C52">
            <w:pPr>
              <w:jc w:val="center"/>
              <w:rPr>
                <w:noProof/>
                <w:lang w:val="en-IE"/>
              </w:rPr>
            </w:pPr>
            <w:r w:rsidRPr="000D0ED7">
              <w:rPr>
                <w:noProof/>
                <w:lang w:val="en-IE"/>
              </w:rPr>
              <w:t>0</w:t>
            </w:r>
          </w:p>
        </w:tc>
        <w:tc>
          <w:tcPr>
            <w:tcW w:w="1485" w:type="dxa"/>
          </w:tcPr>
          <w:p w14:paraId="78D60150" w14:textId="77777777" w:rsidR="000120A1" w:rsidRPr="000D0ED7" w:rsidRDefault="000120A1" w:rsidP="00AF1C52">
            <w:pPr>
              <w:jc w:val="center"/>
              <w:rPr>
                <w:b/>
                <w:noProof/>
                <w:lang w:val="en-IE"/>
              </w:rPr>
            </w:pPr>
            <w:r>
              <w:rPr>
                <w:noProof/>
                <w:lang w:val="en-IE"/>
              </w:rPr>
              <w:t>14</w:t>
            </w:r>
            <w:r w:rsidRPr="000D0ED7">
              <w:rPr>
                <w:noProof/>
                <w:lang w:val="en-IE"/>
              </w:rPr>
              <w:t>%</w:t>
            </w:r>
          </w:p>
        </w:tc>
        <w:tc>
          <w:tcPr>
            <w:tcW w:w="1491" w:type="dxa"/>
          </w:tcPr>
          <w:p w14:paraId="44FD4BE1" w14:textId="77777777" w:rsidR="000120A1" w:rsidRPr="000D0ED7" w:rsidRDefault="000120A1" w:rsidP="00AF1C52">
            <w:pPr>
              <w:jc w:val="center"/>
              <w:rPr>
                <w:noProof/>
                <w:lang w:val="en-IE"/>
              </w:rPr>
            </w:pPr>
            <w:r>
              <w:rPr>
                <w:noProof/>
                <w:lang w:val="en-IE"/>
              </w:rPr>
              <w:t xml:space="preserve"> 60 annually from 2022</w:t>
            </w:r>
          </w:p>
        </w:tc>
        <w:tc>
          <w:tcPr>
            <w:tcW w:w="1530" w:type="dxa"/>
          </w:tcPr>
          <w:p w14:paraId="4454CD48" w14:textId="77777777" w:rsidR="000120A1" w:rsidRPr="000D0ED7" w:rsidRDefault="000120A1" w:rsidP="00AF1C52">
            <w:pPr>
              <w:jc w:val="center"/>
              <w:rPr>
                <w:noProof/>
                <w:lang w:val="en-IE"/>
              </w:rPr>
            </w:pPr>
            <w:r w:rsidRPr="000D0ED7">
              <w:rPr>
                <w:noProof/>
                <w:lang w:val="en-IE"/>
              </w:rPr>
              <w:t xml:space="preserve">Milestone achieved in 2021. 5 actions compared to a </w:t>
            </w:r>
            <w:r>
              <w:rPr>
                <w:noProof/>
                <w:lang w:val="en-IE"/>
              </w:rPr>
              <w:t>milestone of 5</w:t>
            </w:r>
          </w:p>
        </w:tc>
        <w:tc>
          <w:tcPr>
            <w:tcW w:w="1537" w:type="dxa"/>
          </w:tcPr>
          <w:p w14:paraId="04541522" w14:textId="77777777" w:rsidR="000120A1" w:rsidRPr="000D0ED7" w:rsidRDefault="000120A1" w:rsidP="00AF1C52">
            <w:pPr>
              <w:jc w:val="center"/>
              <w:rPr>
                <w:noProof/>
                <w:lang w:val="en-IE"/>
              </w:rPr>
            </w:pPr>
            <w:r>
              <w:rPr>
                <w:noProof/>
                <w:lang w:val="en-IE"/>
              </w:rPr>
              <w:t>On track</w:t>
            </w:r>
          </w:p>
        </w:tc>
      </w:tr>
      <w:tr w:rsidR="000120A1" w:rsidRPr="000D0ED7" w14:paraId="16F4E807" w14:textId="77777777" w:rsidTr="00AF1C52">
        <w:trPr>
          <w:cnfStyle w:val="000000010000" w:firstRow="0" w:lastRow="0" w:firstColumn="0" w:lastColumn="0" w:oddVBand="0" w:evenVBand="0" w:oddHBand="0" w:evenHBand="1" w:firstRowFirstColumn="0" w:firstRowLastColumn="0" w:lastRowFirstColumn="0" w:lastRowLastColumn="0"/>
        </w:trPr>
        <w:tc>
          <w:tcPr>
            <w:tcW w:w="2268" w:type="dxa"/>
          </w:tcPr>
          <w:p w14:paraId="37A72592" w14:textId="77777777" w:rsidR="000120A1" w:rsidRPr="000D0ED7" w:rsidRDefault="000120A1" w:rsidP="00AF1C52">
            <w:pPr>
              <w:rPr>
                <w:noProof/>
                <w:lang w:val="en-IE"/>
              </w:rPr>
            </w:pPr>
            <w:r w:rsidRPr="000D0ED7">
              <w:rPr>
                <w:noProof/>
                <w:lang w:val="en-IE"/>
              </w:rPr>
              <w:t>Learning index</w:t>
            </w:r>
            <w:r w:rsidRPr="000D0ED7">
              <w:rPr>
                <w:rFonts w:ascii="Calibri" w:hAnsi="Calibri" w:cs="Calibri"/>
                <w:noProof/>
                <w:lang w:val="en-IE"/>
              </w:rPr>
              <w:t> –</w:t>
            </w:r>
            <w:r w:rsidRPr="000D0ED7">
              <w:rPr>
                <w:noProof/>
                <w:lang w:val="en-IE"/>
              </w:rPr>
              <w:t xml:space="preserve"> </w:t>
            </w:r>
            <w:r>
              <w:rPr>
                <w:noProof/>
                <w:lang w:val="en-IE"/>
              </w:rPr>
              <w:t>n</w:t>
            </w:r>
            <w:r w:rsidRPr="000D0ED7">
              <w:rPr>
                <w:noProof/>
                <w:lang w:val="en-IE"/>
              </w:rPr>
              <w:t xml:space="preserve">umber of customs officials trained by using </w:t>
            </w:r>
            <w:r w:rsidRPr="00D722F2">
              <w:rPr>
                <w:noProof/>
                <w:lang w:val="en-IE"/>
              </w:rPr>
              <w:t>common</w:t>
            </w:r>
            <w:r w:rsidRPr="000D0ED7">
              <w:rPr>
                <w:noProof/>
                <w:lang w:val="en-IE"/>
              </w:rPr>
              <w:t xml:space="preserve"> training material</w:t>
            </w:r>
          </w:p>
        </w:tc>
        <w:tc>
          <w:tcPr>
            <w:tcW w:w="931" w:type="dxa"/>
          </w:tcPr>
          <w:p w14:paraId="22591F4B" w14:textId="77777777" w:rsidR="000120A1" w:rsidRPr="000D0ED7" w:rsidRDefault="000120A1" w:rsidP="00AF1C52">
            <w:pPr>
              <w:jc w:val="center"/>
              <w:rPr>
                <w:noProof/>
                <w:lang w:val="en-IE"/>
              </w:rPr>
            </w:pPr>
            <w:r w:rsidRPr="000D0ED7">
              <w:rPr>
                <w:noProof/>
                <w:lang w:val="en-IE"/>
              </w:rPr>
              <w:t>0</w:t>
            </w:r>
          </w:p>
        </w:tc>
        <w:tc>
          <w:tcPr>
            <w:tcW w:w="1485" w:type="dxa"/>
          </w:tcPr>
          <w:p w14:paraId="50123E23" w14:textId="77777777" w:rsidR="000120A1" w:rsidRPr="000D0ED7" w:rsidRDefault="000120A1" w:rsidP="00AF1C52">
            <w:pPr>
              <w:jc w:val="center"/>
              <w:rPr>
                <w:b/>
                <w:noProof/>
                <w:lang w:val="en-IE"/>
              </w:rPr>
            </w:pPr>
            <w:r w:rsidRPr="000D0ED7">
              <w:rPr>
                <w:noProof/>
                <w:lang w:val="en-IE"/>
              </w:rPr>
              <w:t>0%</w:t>
            </w:r>
            <w:r>
              <w:rPr>
                <w:noProof/>
                <w:lang w:val="en-IE"/>
              </w:rPr>
              <w:t xml:space="preserve"> (**)</w:t>
            </w:r>
          </w:p>
        </w:tc>
        <w:tc>
          <w:tcPr>
            <w:tcW w:w="1491" w:type="dxa"/>
          </w:tcPr>
          <w:p w14:paraId="66E69FE7" w14:textId="77777777" w:rsidR="000120A1" w:rsidRPr="000D0ED7" w:rsidRDefault="000120A1" w:rsidP="00AF1C52">
            <w:pPr>
              <w:jc w:val="center"/>
              <w:rPr>
                <w:noProof/>
                <w:lang w:val="en-IE"/>
              </w:rPr>
            </w:pPr>
            <w:r w:rsidRPr="000D0ED7">
              <w:rPr>
                <w:noProof/>
                <w:lang w:val="en-IE"/>
              </w:rPr>
              <w:t xml:space="preserve"> </w:t>
            </w:r>
            <w:r>
              <w:rPr>
                <w:noProof/>
                <w:lang w:val="en-IE"/>
              </w:rPr>
              <w:t xml:space="preserve">186 140 </w:t>
            </w:r>
            <w:r w:rsidRPr="000D0ED7">
              <w:rPr>
                <w:noProof/>
                <w:lang w:val="en-IE"/>
              </w:rPr>
              <w:t xml:space="preserve">in 2027 </w:t>
            </w:r>
          </w:p>
        </w:tc>
        <w:tc>
          <w:tcPr>
            <w:tcW w:w="1530" w:type="dxa"/>
          </w:tcPr>
          <w:p w14:paraId="38913CEE" w14:textId="77777777" w:rsidR="000120A1" w:rsidRPr="000D0ED7" w:rsidRDefault="000120A1" w:rsidP="00AF1C52">
            <w:pPr>
              <w:jc w:val="center"/>
              <w:rPr>
                <w:noProof/>
                <w:lang w:val="en-IE"/>
              </w:rPr>
            </w:pPr>
            <w:r>
              <w:rPr>
                <w:noProof/>
                <w:lang w:val="en-IE"/>
              </w:rPr>
              <w:t>0</w:t>
            </w:r>
          </w:p>
        </w:tc>
        <w:tc>
          <w:tcPr>
            <w:tcW w:w="1537" w:type="dxa"/>
          </w:tcPr>
          <w:p w14:paraId="36DB5266" w14:textId="77777777" w:rsidR="000120A1" w:rsidRPr="000D0ED7" w:rsidRDefault="000120A1" w:rsidP="00AF1C52">
            <w:pPr>
              <w:jc w:val="center"/>
              <w:rPr>
                <w:noProof/>
                <w:lang w:val="en-IE"/>
              </w:rPr>
            </w:pPr>
            <w:r>
              <w:rPr>
                <w:noProof/>
                <w:lang w:val="en-IE"/>
              </w:rPr>
              <w:t>On track</w:t>
            </w:r>
          </w:p>
        </w:tc>
      </w:tr>
      <w:tr w:rsidR="000120A1" w:rsidRPr="000D0ED7" w14:paraId="61A75F30" w14:textId="77777777" w:rsidTr="00AF1C52">
        <w:trPr>
          <w:cnfStyle w:val="000000100000" w:firstRow="0" w:lastRow="0" w:firstColumn="0" w:lastColumn="0" w:oddVBand="0" w:evenVBand="0" w:oddHBand="1" w:evenHBand="0" w:firstRowFirstColumn="0" w:firstRowLastColumn="0" w:lastRowFirstColumn="0" w:lastRowLastColumn="0"/>
        </w:trPr>
        <w:tc>
          <w:tcPr>
            <w:tcW w:w="2268" w:type="dxa"/>
          </w:tcPr>
          <w:p w14:paraId="4C760745" w14:textId="77777777" w:rsidR="000120A1" w:rsidRPr="000D0ED7" w:rsidRDefault="000120A1" w:rsidP="00AF1C52">
            <w:pPr>
              <w:rPr>
                <w:noProof/>
                <w:lang w:val="en-IE"/>
              </w:rPr>
            </w:pPr>
            <w:r w:rsidRPr="000D0ED7">
              <w:rPr>
                <w:noProof/>
                <w:lang w:val="en-IE"/>
              </w:rPr>
              <w:t>Learning index</w:t>
            </w:r>
            <w:r w:rsidRPr="000D0ED7">
              <w:rPr>
                <w:rFonts w:ascii="Calibri" w:hAnsi="Calibri" w:cs="Calibri"/>
                <w:noProof/>
                <w:lang w:val="en-IE"/>
              </w:rPr>
              <w:t> –</w:t>
            </w:r>
            <w:r w:rsidRPr="000D0ED7">
              <w:rPr>
                <w:noProof/>
                <w:lang w:val="en-IE"/>
              </w:rPr>
              <w:t xml:space="preserve"> </w:t>
            </w:r>
            <w:r>
              <w:rPr>
                <w:noProof/>
                <w:lang w:val="en-IE"/>
              </w:rPr>
              <w:t>q</w:t>
            </w:r>
            <w:r w:rsidRPr="000D0ED7">
              <w:rPr>
                <w:noProof/>
                <w:lang w:val="en-IE"/>
              </w:rPr>
              <w:t>uality scored by participants in training activities</w:t>
            </w:r>
          </w:p>
        </w:tc>
        <w:tc>
          <w:tcPr>
            <w:tcW w:w="931" w:type="dxa"/>
          </w:tcPr>
          <w:p w14:paraId="6701BAC8" w14:textId="77777777" w:rsidR="000120A1" w:rsidRPr="000D0ED7" w:rsidRDefault="000120A1" w:rsidP="00AF1C52">
            <w:pPr>
              <w:jc w:val="center"/>
              <w:rPr>
                <w:noProof/>
                <w:lang w:val="en-IE"/>
              </w:rPr>
            </w:pPr>
            <w:r w:rsidRPr="000D0ED7">
              <w:rPr>
                <w:noProof/>
                <w:lang w:val="en-IE"/>
              </w:rPr>
              <w:t>0%</w:t>
            </w:r>
          </w:p>
        </w:tc>
        <w:tc>
          <w:tcPr>
            <w:tcW w:w="1485" w:type="dxa"/>
          </w:tcPr>
          <w:p w14:paraId="486766E5" w14:textId="5224C309" w:rsidR="000120A1" w:rsidRPr="000D0ED7" w:rsidRDefault="00564501" w:rsidP="00AF1C52">
            <w:pPr>
              <w:jc w:val="center"/>
              <w:rPr>
                <w:b/>
                <w:noProof/>
                <w:lang w:val="en-IE"/>
              </w:rPr>
            </w:pPr>
            <w:r w:rsidRPr="000D0ED7">
              <w:rPr>
                <w:noProof/>
                <w:lang w:val="en-IE"/>
              </w:rPr>
              <w:t>0%</w:t>
            </w:r>
            <w:r>
              <w:rPr>
                <w:noProof/>
                <w:lang w:val="en-IE"/>
              </w:rPr>
              <w:t xml:space="preserve"> (**)</w:t>
            </w:r>
          </w:p>
        </w:tc>
        <w:tc>
          <w:tcPr>
            <w:tcW w:w="1491" w:type="dxa"/>
          </w:tcPr>
          <w:p w14:paraId="41E329AC" w14:textId="77777777" w:rsidR="000120A1" w:rsidRPr="000D0ED7" w:rsidRDefault="000120A1" w:rsidP="00AF1C52">
            <w:pPr>
              <w:jc w:val="center"/>
              <w:rPr>
                <w:noProof/>
                <w:lang w:val="en-IE"/>
              </w:rPr>
            </w:pPr>
            <w:r w:rsidRPr="000D0ED7">
              <w:rPr>
                <w:noProof/>
                <w:lang w:val="en-IE"/>
              </w:rPr>
              <w:t xml:space="preserve"> 75% annually from 2024 </w:t>
            </w:r>
          </w:p>
        </w:tc>
        <w:tc>
          <w:tcPr>
            <w:tcW w:w="1530" w:type="dxa"/>
          </w:tcPr>
          <w:p w14:paraId="42C27417" w14:textId="2030F162" w:rsidR="000120A1" w:rsidRPr="000D0ED7" w:rsidRDefault="00564501" w:rsidP="00AF1C52">
            <w:pPr>
              <w:jc w:val="center"/>
              <w:rPr>
                <w:noProof/>
                <w:lang w:val="en-IE"/>
              </w:rPr>
            </w:pPr>
            <w:r>
              <w:rPr>
                <w:noProof/>
                <w:lang w:val="en-IE"/>
              </w:rPr>
              <w:t>0</w:t>
            </w:r>
          </w:p>
        </w:tc>
        <w:tc>
          <w:tcPr>
            <w:tcW w:w="1537" w:type="dxa"/>
          </w:tcPr>
          <w:p w14:paraId="38EC7092" w14:textId="7D7FBD95" w:rsidR="000120A1" w:rsidRPr="000D0ED7" w:rsidRDefault="007F2C98" w:rsidP="00AF1C52">
            <w:pPr>
              <w:jc w:val="center"/>
              <w:rPr>
                <w:noProof/>
                <w:lang w:val="en-IE"/>
              </w:rPr>
            </w:pPr>
            <w:r>
              <w:rPr>
                <w:noProof/>
                <w:lang w:val="en-IE"/>
              </w:rPr>
              <w:t>On track</w:t>
            </w:r>
          </w:p>
        </w:tc>
      </w:tr>
      <w:tr w:rsidR="000120A1" w:rsidRPr="000D0ED7" w14:paraId="0ABB210C" w14:textId="77777777" w:rsidTr="00AF1C52">
        <w:trPr>
          <w:cnfStyle w:val="000000010000" w:firstRow="0" w:lastRow="0" w:firstColumn="0" w:lastColumn="0" w:oddVBand="0" w:evenVBand="0" w:oddHBand="0" w:evenHBand="1" w:firstRowFirstColumn="0" w:firstRowLastColumn="0" w:lastRowFirstColumn="0" w:lastRowLastColumn="0"/>
        </w:trPr>
        <w:tc>
          <w:tcPr>
            <w:tcW w:w="2268" w:type="dxa"/>
          </w:tcPr>
          <w:p w14:paraId="6CFB9F95" w14:textId="77777777" w:rsidR="000120A1" w:rsidRPr="000D0ED7" w:rsidRDefault="000120A1" w:rsidP="00AF1C52">
            <w:pPr>
              <w:rPr>
                <w:noProof/>
                <w:lang w:val="en-IE"/>
              </w:rPr>
            </w:pPr>
            <w:r w:rsidRPr="000D0ED7">
              <w:rPr>
                <w:noProof/>
                <w:lang w:val="en-IE"/>
              </w:rPr>
              <w:t>Use of key European electronic systems</w:t>
            </w:r>
            <w:r w:rsidRPr="000D0ED7">
              <w:rPr>
                <w:rFonts w:ascii="Calibri" w:hAnsi="Calibri" w:cs="Calibri"/>
                <w:noProof/>
                <w:lang w:val="en-IE"/>
              </w:rPr>
              <w:t> –</w:t>
            </w:r>
            <w:r w:rsidRPr="000D0ED7">
              <w:rPr>
                <w:noProof/>
                <w:lang w:val="en-IE"/>
              </w:rPr>
              <w:t xml:space="preserve"> </w:t>
            </w:r>
            <w:r>
              <w:rPr>
                <w:noProof/>
                <w:lang w:val="en-IE"/>
              </w:rPr>
              <w:t>n</w:t>
            </w:r>
            <w:r w:rsidRPr="000D0ED7">
              <w:rPr>
                <w:noProof/>
                <w:lang w:val="en-IE"/>
              </w:rPr>
              <w:t>umber of messages exchanged on the key European electronic systems/system components</w:t>
            </w:r>
          </w:p>
        </w:tc>
        <w:tc>
          <w:tcPr>
            <w:tcW w:w="931" w:type="dxa"/>
          </w:tcPr>
          <w:p w14:paraId="0C260D98" w14:textId="77777777" w:rsidR="000120A1" w:rsidRPr="000D0ED7" w:rsidRDefault="000120A1" w:rsidP="00AF1C52">
            <w:pPr>
              <w:jc w:val="center"/>
              <w:rPr>
                <w:noProof/>
                <w:lang w:val="en-IE"/>
              </w:rPr>
            </w:pPr>
            <w:r w:rsidRPr="000D0ED7">
              <w:rPr>
                <w:noProof/>
                <w:lang w:val="en-IE"/>
              </w:rPr>
              <w:t>0</w:t>
            </w:r>
          </w:p>
        </w:tc>
        <w:tc>
          <w:tcPr>
            <w:tcW w:w="1485" w:type="dxa"/>
          </w:tcPr>
          <w:p w14:paraId="2AE43A71" w14:textId="77777777" w:rsidR="000120A1" w:rsidRPr="000D0ED7" w:rsidRDefault="000120A1" w:rsidP="00AF1C52">
            <w:pPr>
              <w:jc w:val="center"/>
              <w:rPr>
                <w:b/>
                <w:noProof/>
                <w:lang w:val="en-IE"/>
              </w:rPr>
            </w:pPr>
            <w:r w:rsidRPr="000D0ED7">
              <w:rPr>
                <w:noProof/>
                <w:lang w:val="en-IE"/>
              </w:rPr>
              <w:t>11%</w:t>
            </w:r>
            <w:r>
              <w:rPr>
                <w:noProof/>
                <w:lang w:val="en-IE"/>
              </w:rPr>
              <w:t xml:space="preserve"> (**)</w:t>
            </w:r>
          </w:p>
        </w:tc>
        <w:tc>
          <w:tcPr>
            <w:tcW w:w="1491" w:type="dxa"/>
          </w:tcPr>
          <w:p w14:paraId="10A2B9B3" w14:textId="77777777" w:rsidR="000120A1" w:rsidRPr="000D0ED7" w:rsidRDefault="000120A1" w:rsidP="00AF1C52">
            <w:pPr>
              <w:jc w:val="center"/>
              <w:rPr>
                <w:noProof/>
                <w:lang w:val="en-IE"/>
              </w:rPr>
            </w:pPr>
            <w:r w:rsidRPr="000D0ED7">
              <w:rPr>
                <w:noProof/>
                <w:lang w:val="en-IE"/>
              </w:rPr>
              <w:t xml:space="preserve"> 18.8</w:t>
            </w:r>
            <w:r>
              <w:rPr>
                <w:rFonts w:ascii="Calibri" w:hAnsi="Calibri" w:cs="Calibri"/>
                <w:noProof/>
                <w:lang w:val="en-IE"/>
              </w:rPr>
              <w:t> </w:t>
            </w:r>
            <w:r w:rsidRPr="000D0ED7">
              <w:rPr>
                <w:noProof/>
                <w:lang w:val="en-IE"/>
              </w:rPr>
              <w:t xml:space="preserve">billion in 2027 </w:t>
            </w:r>
          </w:p>
        </w:tc>
        <w:tc>
          <w:tcPr>
            <w:tcW w:w="1530" w:type="dxa"/>
          </w:tcPr>
          <w:p w14:paraId="4DBAC7CA" w14:textId="4FEFBF15" w:rsidR="000120A1" w:rsidRPr="000D0ED7" w:rsidRDefault="000120A1" w:rsidP="00AF1C52">
            <w:pPr>
              <w:jc w:val="center"/>
              <w:rPr>
                <w:noProof/>
                <w:lang w:val="en-IE"/>
              </w:rPr>
            </w:pPr>
            <w:r w:rsidRPr="000D0ED7">
              <w:rPr>
                <w:noProof/>
                <w:lang w:val="en-IE"/>
              </w:rPr>
              <w:t>2.0</w:t>
            </w:r>
            <w:r>
              <w:rPr>
                <w:rFonts w:ascii="Calibri" w:hAnsi="Calibri" w:cs="Calibri"/>
                <w:noProof/>
                <w:lang w:val="en-IE"/>
              </w:rPr>
              <w:t> </w:t>
            </w:r>
            <w:r w:rsidRPr="000D0ED7">
              <w:rPr>
                <w:noProof/>
                <w:lang w:val="en-IE"/>
              </w:rPr>
              <w:t>billion messages compared to 18.8</w:t>
            </w:r>
            <w:r>
              <w:rPr>
                <w:rFonts w:ascii="Calibri" w:hAnsi="Calibri" w:cs="Calibri"/>
                <w:noProof/>
                <w:lang w:val="en-IE"/>
              </w:rPr>
              <w:t> </w:t>
            </w:r>
            <w:r w:rsidRPr="000D0ED7">
              <w:rPr>
                <w:noProof/>
                <w:lang w:val="en-IE"/>
              </w:rPr>
              <w:t>billion</w:t>
            </w:r>
            <w:r w:rsidR="00F12819">
              <w:rPr>
                <w:noProof/>
                <w:lang w:val="en-IE"/>
              </w:rPr>
              <w:t xml:space="preserve"> </w:t>
            </w:r>
            <w:r w:rsidR="007F2C98">
              <w:rPr>
                <w:noProof/>
                <w:lang w:val="en-IE"/>
              </w:rPr>
              <w:t>(***)</w:t>
            </w:r>
          </w:p>
          <w:p w14:paraId="118F8054" w14:textId="77777777" w:rsidR="000120A1" w:rsidRPr="000D0ED7" w:rsidRDefault="000120A1" w:rsidP="00AF1C52">
            <w:pPr>
              <w:jc w:val="center"/>
              <w:rPr>
                <w:noProof/>
                <w:lang w:val="en-IE"/>
              </w:rPr>
            </w:pPr>
          </w:p>
        </w:tc>
        <w:tc>
          <w:tcPr>
            <w:tcW w:w="1537" w:type="dxa"/>
          </w:tcPr>
          <w:p w14:paraId="493AD83A" w14:textId="342F6C55" w:rsidR="000120A1" w:rsidRPr="000D0ED7" w:rsidRDefault="000120A1" w:rsidP="00AF1C52">
            <w:pPr>
              <w:jc w:val="center"/>
              <w:rPr>
                <w:noProof/>
                <w:lang w:val="en-IE"/>
              </w:rPr>
            </w:pPr>
            <w:r w:rsidRPr="000D0ED7">
              <w:rPr>
                <w:noProof/>
                <w:lang w:val="en-IE"/>
              </w:rPr>
              <w:t>On track</w:t>
            </w:r>
          </w:p>
          <w:p w14:paraId="71860E5F" w14:textId="77777777" w:rsidR="000120A1" w:rsidRPr="000D0ED7" w:rsidRDefault="000120A1" w:rsidP="00AF1C52">
            <w:pPr>
              <w:rPr>
                <w:noProof/>
                <w:lang w:val="en-IE"/>
              </w:rPr>
            </w:pPr>
          </w:p>
          <w:p w14:paraId="3EE24288" w14:textId="77777777" w:rsidR="000120A1" w:rsidRPr="000D0ED7" w:rsidRDefault="000120A1" w:rsidP="00AF1C52">
            <w:pPr>
              <w:rPr>
                <w:noProof/>
                <w:lang w:val="en-IE"/>
              </w:rPr>
            </w:pPr>
          </w:p>
          <w:p w14:paraId="091F242A" w14:textId="77777777" w:rsidR="000120A1" w:rsidRPr="000D0ED7" w:rsidRDefault="000120A1" w:rsidP="00AF1C52">
            <w:pPr>
              <w:jc w:val="center"/>
              <w:rPr>
                <w:noProof/>
                <w:lang w:val="en-IE"/>
              </w:rPr>
            </w:pPr>
          </w:p>
        </w:tc>
      </w:tr>
      <w:tr w:rsidR="000120A1" w:rsidRPr="000D0ED7" w14:paraId="1FB98D5C" w14:textId="77777777" w:rsidTr="00AF1C52">
        <w:trPr>
          <w:cnfStyle w:val="000000100000" w:firstRow="0" w:lastRow="0" w:firstColumn="0" w:lastColumn="0" w:oddVBand="0" w:evenVBand="0" w:oddHBand="1" w:evenHBand="0" w:firstRowFirstColumn="0" w:firstRowLastColumn="0" w:lastRowFirstColumn="0" w:lastRowLastColumn="0"/>
        </w:trPr>
        <w:tc>
          <w:tcPr>
            <w:tcW w:w="2268" w:type="dxa"/>
          </w:tcPr>
          <w:p w14:paraId="47EF8F44" w14:textId="77777777" w:rsidR="000120A1" w:rsidRPr="000D0ED7" w:rsidRDefault="000120A1" w:rsidP="00AF1C52">
            <w:pPr>
              <w:rPr>
                <w:noProof/>
                <w:lang w:val="en-IE"/>
              </w:rPr>
            </w:pPr>
            <w:r w:rsidRPr="000D0ED7">
              <w:rPr>
                <w:noProof/>
                <w:lang w:val="en-IE"/>
              </w:rPr>
              <w:t>Use of key European electronic systems aimed at increasing interconnectivity and moving to a paper-free customs union</w:t>
            </w:r>
            <w:r w:rsidRPr="000D0ED7">
              <w:rPr>
                <w:rFonts w:ascii="Calibri" w:hAnsi="Calibri" w:cs="Calibri"/>
                <w:noProof/>
                <w:lang w:val="en-IE"/>
              </w:rPr>
              <w:t> –</w:t>
            </w:r>
            <w:r w:rsidRPr="000D0ED7">
              <w:rPr>
                <w:noProof/>
                <w:lang w:val="en-IE"/>
              </w:rPr>
              <w:t xml:space="preserve"> </w:t>
            </w:r>
            <w:r>
              <w:rPr>
                <w:noProof/>
                <w:lang w:val="en-IE"/>
              </w:rPr>
              <w:t>n</w:t>
            </w:r>
            <w:r w:rsidRPr="000D0ED7">
              <w:rPr>
                <w:noProof/>
                <w:lang w:val="en-IE"/>
              </w:rPr>
              <w:t>umber of records consulted in key databases</w:t>
            </w:r>
          </w:p>
        </w:tc>
        <w:tc>
          <w:tcPr>
            <w:tcW w:w="931" w:type="dxa"/>
          </w:tcPr>
          <w:p w14:paraId="4C580F99" w14:textId="77777777" w:rsidR="000120A1" w:rsidRPr="000D0ED7" w:rsidRDefault="000120A1" w:rsidP="00AF1C52">
            <w:pPr>
              <w:jc w:val="center"/>
              <w:rPr>
                <w:noProof/>
                <w:lang w:val="en-IE"/>
              </w:rPr>
            </w:pPr>
            <w:r w:rsidRPr="000D0ED7">
              <w:rPr>
                <w:noProof/>
                <w:lang w:val="en-IE"/>
              </w:rPr>
              <w:t>0</w:t>
            </w:r>
          </w:p>
        </w:tc>
        <w:tc>
          <w:tcPr>
            <w:tcW w:w="1485" w:type="dxa"/>
          </w:tcPr>
          <w:p w14:paraId="695B5000" w14:textId="77777777" w:rsidR="000120A1" w:rsidRPr="000D0ED7" w:rsidRDefault="000120A1" w:rsidP="00AF1C52">
            <w:pPr>
              <w:jc w:val="center"/>
              <w:rPr>
                <w:b/>
                <w:noProof/>
                <w:lang w:val="en-IE"/>
              </w:rPr>
            </w:pPr>
            <w:r>
              <w:rPr>
                <w:noProof/>
                <w:lang w:val="en-IE"/>
              </w:rPr>
              <w:t>7</w:t>
            </w:r>
            <w:r w:rsidRPr="000D0ED7">
              <w:rPr>
                <w:noProof/>
                <w:lang w:val="en-IE"/>
              </w:rPr>
              <w:t>%</w:t>
            </w:r>
          </w:p>
        </w:tc>
        <w:tc>
          <w:tcPr>
            <w:tcW w:w="1491" w:type="dxa"/>
          </w:tcPr>
          <w:p w14:paraId="6F18EDA8" w14:textId="77777777" w:rsidR="000120A1" w:rsidRPr="000D0ED7" w:rsidRDefault="000120A1" w:rsidP="00AF1C52">
            <w:pPr>
              <w:jc w:val="center"/>
              <w:rPr>
                <w:noProof/>
                <w:lang w:val="en-IE"/>
              </w:rPr>
            </w:pPr>
            <w:r w:rsidRPr="000D0ED7">
              <w:rPr>
                <w:noProof/>
                <w:lang w:val="en-IE"/>
              </w:rPr>
              <w:t xml:space="preserve"> </w:t>
            </w:r>
            <w:r>
              <w:rPr>
                <w:noProof/>
                <w:lang w:val="en-IE"/>
              </w:rPr>
              <w:t xml:space="preserve">767 million by 2027 </w:t>
            </w:r>
            <w:r>
              <w:rPr>
                <w:noProof/>
              </w:rPr>
              <w:t xml:space="preserve"> </w:t>
            </w:r>
          </w:p>
        </w:tc>
        <w:tc>
          <w:tcPr>
            <w:tcW w:w="1530" w:type="dxa"/>
          </w:tcPr>
          <w:p w14:paraId="2A62482F" w14:textId="25E54D35" w:rsidR="000120A1" w:rsidRPr="000D0ED7" w:rsidRDefault="000120A1" w:rsidP="00AF1C52">
            <w:pPr>
              <w:jc w:val="center"/>
              <w:rPr>
                <w:noProof/>
                <w:lang w:val="en-IE"/>
              </w:rPr>
            </w:pPr>
            <w:r>
              <w:rPr>
                <w:noProof/>
                <w:lang w:val="en-IE"/>
              </w:rPr>
              <w:t>59 million records consulted compared to 767 million</w:t>
            </w:r>
            <w:r w:rsidR="00F12819">
              <w:rPr>
                <w:noProof/>
                <w:lang w:val="en-IE"/>
              </w:rPr>
              <w:t xml:space="preserve"> </w:t>
            </w:r>
            <w:r w:rsidR="007F2C98">
              <w:rPr>
                <w:noProof/>
                <w:lang w:val="en-IE"/>
              </w:rPr>
              <w:t>(***)</w:t>
            </w:r>
          </w:p>
        </w:tc>
        <w:tc>
          <w:tcPr>
            <w:tcW w:w="1537" w:type="dxa"/>
          </w:tcPr>
          <w:p w14:paraId="1777FA2F" w14:textId="5FF0B913" w:rsidR="000120A1" w:rsidRPr="000D0ED7" w:rsidRDefault="000120A1" w:rsidP="00AF1C52">
            <w:pPr>
              <w:jc w:val="center"/>
              <w:rPr>
                <w:noProof/>
                <w:lang w:val="en-IE"/>
              </w:rPr>
            </w:pPr>
            <w:r w:rsidRPr="000D0ED7">
              <w:rPr>
                <w:noProof/>
                <w:lang w:val="en-IE"/>
              </w:rPr>
              <w:t>On track</w:t>
            </w:r>
          </w:p>
          <w:p w14:paraId="70C59F02" w14:textId="77777777" w:rsidR="000120A1" w:rsidRPr="000D0ED7" w:rsidRDefault="000120A1" w:rsidP="00AF1C52">
            <w:pPr>
              <w:rPr>
                <w:noProof/>
                <w:lang w:val="en-IE"/>
              </w:rPr>
            </w:pPr>
          </w:p>
          <w:p w14:paraId="687209EF" w14:textId="77777777" w:rsidR="000120A1" w:rsidRPr="000D0ED7" w:rsidRDefault="000120A1" w:rsidP="00AF1C52">
            <w:pPr>
              <w:rPr>
                <w:noProof/>
                <w:lang w:val="en-IE"/>
              </w:rPr>
            </w:pPr>
          </w:p>
          <w:p w14:paraId="79F3F98D" w14:textId="77777777" w:rsidR="000120A1" w:rsidRPr="000D0ED7" w:rsidRDefault="000120A1" w:rsidP="00AF1C52">
            <w:pPr>
              <w:jc w:val="center"/>
              <w:rPr>
                <w:noProof/>
                <w:lang w:val="en-IE"/>
              </w:rPr>
            </w:pPr>
          </w:p>
        </w:tc>
      </w:tr>
      <w:tr w:rsidR="000120A1" w:rsidRPr="000D0ED7" w14:paraId="64223C29" w14:textId="77777777" w:rsidTr="00AF1C52">
        <w:trPr>
          <w:cnfStyle w:val="000000010000" w:firstRow="0" w:lastRow="0" w:firstColumn="0" w:lastColumn="0" w:oddVBand="0" w:evenVBand="0" w:oddHBand="0" w:evenHBand="1" w:firstRowFirstColumn="0" w:firstRowLastColumn="0" w:lastRowFirstColumn="0" w:lastRowLastColumn="0"/>
        </w:trPr>
        <w:tc>
          <w:tcPr>
            <w:tcW w:w="2268" w:type="dxa"/>
          </w:tcPr>
          <w:p w14:paraId="2C70D512" w14:textId="77777777" w:rsidR="000120A1" w:rsidRPr="000D0ED7" w:rsidRDefault="000120A1" w:rsidP="00AF1C52">
            <w:pPr>
              <w:rPr>
                <w:noProof/>
                <w:lang w:val="en-IE"/>
              </w:rPr>
            </w:pPr>
            <w:r w:rsidRPr="000D0ED7">
              <w:rPr>
                <w:noProof/>
                <w:lang w:val="en-IE"/>
              </w:rPr>
              <w:t>Union Customs Code completion rate</w:t>
            </w:r>
          </w:p>
        </w:tc>
        <w:tc>
          <w:tcPr>
            <w:tcW w:w="931" w:type="dxa"/>
          </w:tcPr>
          <w:p w14:paraId="7FAAD46C" w14:textId="77777777" w:rsidR="000120A1" w:rsidRPr="000D0ED7" w:rsidRDefault="000120A1" w:rsidP="00AF1C52">
            <w:pPr>
              <w:jc w:val="center"/>
              <w:rPr>
                <w:noProof/>
                <w:lang w:val="en-IE"/>
              </w:rPr>
            </w:pPr>
            <w:r w:rsidRPr="000D0ED7">
              <w:rPr>
                <w:noProof/>
                <w:lang w:val="en-IE"/>
              </w:rPr>
              <w:t>75%</w:t>
            </w:r>
          </w:p>
        </w:tc>
        <w:tc>
          <w:tcPr>
            <w:tcW w:w="1485" w:type="dxa"/>
          </w:tcPr>
          <w:p w14:paraId="57A43EF9" w14:textId="77777777" w:rsidR="000120A1" w:rsidRPr="000D0ED7" w:rsidRDefault="000120A1" w:rsidP="00AF1C52">
            <w:pPr>
              <w:jc w:val="center"/>
              <w:rPr>
                <w:noProof/>
                <w:lang w:val="en-IE"/>
              </w:rPr>
            </w:pPr>
            <w:r w:rsidRPr="000D0ED7">
              <w:rPr>
                <w:noProof/>
                <w:lang w:val="en-IE"/>
              </w:rPr>
              <w:t>28%</w:t>
            </w:r>
            <w:r>
              <w:rPr>
                <w:noProof/>
                <w:lang w:val="en-IE"/>
              </w:rPr>
              <w:t xml:space="preserve"> (**)</w:t>
            </w:r>
          </w:p>
        </w:tc>
        <w:tc>
          <w:tcPr>
            <w:tcW w:w="1491" w:type="dxa"/>
          </w:tcPr>
          <w:p w14:paraId="5310CD84" w14:textId="77777777" w:rsidR="000120A1" w:rsidRPr="000D0ED7" w:rsidRDefault="000120A1" w:rsidP="00AF1C52">
            <w:pPr>
              <w:jc w:val="center"/>
              <w:rPr>
                <w:noProof/>
                <w:lang w:val="en-IE"/>
              </w:rPr>
            </w:pPr>
            <w:r w:rsidRPr="000D0ED7">
              <w:rPr>
                <w:noProof/>
                <w:lang w:val="en-IE"/>
              </w:rPr>
              <w:t xml:space="preserve"> 100% in 2025 </w:t>
            </w:r>
          </w:p>
        </w:tc>
        <w:tc>
          <w:tcPr>
            <w:tcW w:w="1530" w:type="dxa"/>
          </w:tcPr>
          <w:p w14:paraId="46A932D8" w14:textId="48F8957A" w:rsidR="000120A1" w:rsidRPr="000D0ED7" w:rsidRDefault="000120A1" w:rsidP="00AF1C52">
            <w:pPr>
              <w:jc w:val="center"/>
              <w:rPr>
                <w:noProof/>
                <w:lang w:val="en-IE"/>
              </w:rPr>
            </w:pPr>
            <w:r w:rsidRPr="000D0ED7">
              <w:rPr>
                <w:noProof/>
                <w:lang w:val="en-IE"/>
              </w:rPr>
              <w:t>82% compared to a target of 100%</w:t>
            </w:r>
            <w:r w:rsidR="007F2C98">
              <w:rPr>
                <w:noProof/>
                <w:lang w:val="en-IE"/>
              </w:rPr>
              <w:t xml:space="preserve"> (***)</w:t>
            </w:r>
          </w:p>
        </w:tc>
        <w:tc>
          <w:tcPr>
            <w:tcW w:w="1537" w:type="dxa"/>
          </w:tcPr>
          <w:p w14:paraId="641065E7" w14:textId="77777777" w:rsidR="000120A1" w:rsidRPr="000D0ED7" w:rsidRDefault="000120A1" w:rsidP="00AF1C52">
            <w:pPr>
              <w:jc w:val="center"/>
              <w:rPr>
                <w:noProof/>
                <w:lang w:val="en-IE"/>
              </w:rPr>
            </w:pPr>
            <w:r w:rsidRPr="000D0ED7">
              <w:rPr>
                <w:noProof/>
                <w:lang w:val="en-IE"/>
              </w:rPr>
              <w:t>On track</w:t>
            </w:r>
          </w:p>
        </w:tc>
      </w:tr>
      <w:tr w:rsidR="000120A1" w:rsidRPr="000D0ED7" w14:paraId="66551EC0" w14:textId="77777777" w:rsidTr="00AF1C52">
        <w:trPr>
          <w:cnfStyle w:val="000000100000" w:firstRow="0" w:lastRow="0" w:firstColumn="0" w:lastColumn="0" w:oddVBand="0" w:evenVBand="0" w:oddHBand="1" w:evenHBand="0" w:firstRowFirstColumn="0" w:firstRowLastColumn="0" w:lastRowFirstColumn="0" w:lastRowLastColumn="0"/>
        </w:trPr>
        <w:tc>
          <w:tcPr>
            <w:tcW w:w="2268" w:type="dxa"/>
          </w:tcPr>
          <w:p w14:paraId="106AEAA8" w14:textId="77777777" w:rsidR="000120A1" w:rsidRPr="000D0ED7" w:rsidRDefault="000120A1" w:rsidP="00AF1C52">
            <w:pPr>
              <w:rPr>
                <w:noProof/>
                <w:lang w:val="en-IE"/>
              </w:rPr>
            </w:pPr>
            <w:r w:rsidRPr="000D0ED7">
              <w:rPr>
                <w:noProof/>
                <w:lang w:val="en-IE"/>
              </w:rPr>
              <w:t>Collaboration robustness index</w:t>
            </w:r>
            <w:r w:rsidRPr="000D0ED7">
              <w:rPr>
                <w:rFonts w:ascii="Calibri" w:hAnsi="Calibri" w:cs="Calibri"/>
                <w:noProof/>
                <w:lang w:val="en-IE"/>
              </w:rPr>
              <w:t> –</w:t>
            </w:r>
            <w:r w:rsidRPr="000D0ED7">
              <w:rPr>
                <w:noProof/>
                <w:lang w:val="en-IE"/>
              </w:rPr>
              <w:t xml:space="preserve"> </w:t>
            </w:r>
            <w:r>
              <w:rPr>
                <w:noProof/>
                <w:lang w:val="en-IE"/>
              </w:rPr>
              <w:t>n</w:t>
            </w:r>
            <w:r w:rsidRPr="000D0ED7">
              <w:rPr>
                <w:noProof/>
                <w:lang w:val="en-IE"/>
              </w:rPr>
              <w:t>umber of online collaboration groups</w:t>
            </w:r>
          </w:p>
        </w:tc>
        <w:tc>
          <w:tcPr>
            <w:tcW w:w="931" w:type="dxa"/>
          </w:tcPr>
          <w:p w14:paraId="70B8E8E0" w14:textId="77777777" w:rsidR="000120A1" w:rsidRPr="000D0ED7" w:rsidRDefault="000120A1" w:rsidP="00AF1C52">
            <w:pPr>
              <w:jc w:val="center"/>
              <w:rPr>
                <w:noProof/>
                <w:lang w:val="en-IE"/>
              </w:rPr>
            </w:pPr>
            <w:r w:rsidRPr="000D0ED7">
              <w:rPr>
                <w:noProof/>
                <w:lang w:val="en-IE"/>
              </w:rPr>
              <w:t>0</w:t>
            </w:r>
          </w:p>
        </w:tc>
        <w:tc>
          <w:tcPr>
            <w:tcW w:w="1485" w:type="dxa"/>
          </w:tcPr>
          <w:p w14:paraId="00CABBE9" w14:textId="77777777" w:rsidR="000120A1" w:rsidRPr="000D0ED7" w:rsidRDefault="000120A1" w:rsidP="00AF1C52">
            <w:pPr>
              <w:jc w:val="center"/>
              <w:rPr>
                <w:b/>
                <w:noProof/>
                <w:lang w:val="en-IE"/>
              </w:rPr>
            </w:pPr>
            <w:r w:rsidRPr="000D0ED7">
              <w:rPr>
                <w:noProof/>
                <w:lang w:val="en-IE"/>
              </w:rPr>
              <w:t>14%</w:t>
            </w:r>
          </w:p>
          <w:p w14:paraId="7C9787B9" w14:textId="77777777" w:rsidR="000120A1" w:rsidRPr="000D0ED7" w:rsidRDefault="000120A1" w:rsidP="00AF1C52">
            <w:pPr>
              <w:jc w:val="center"/>
              <w:rPr>
                <w:noProof/>
                <w:lang w:val="en-IE"/>
              </w:rPr>
            </w:pPr>
          </w:p>
        </w:tc>
        <w:tc>
          <w:tcPr>
            <w:tcW w:w="1491" w:type="dxa"/>
          </w:tcPr>
          <w:p w14:paraId="5C3EB93F" w14:textId="77777777" w:rsidR="000120A1" w:rsidRPr="000D0ED7" w:rsidRDefault="000120A1" w:rsidP="00AF1C52">
            <w:pPr>
              <w:jc w:val="center"/>
              <w:rPr>
                <w:noProof/>
                <w:lang w:val="en-IE"/>
              </w:rPr>
            </w:pPr>
            <w:r w:rsidRPr="000D0ED7">
              <w:rPr>
                <w:noProof/>
                <w:lang w:val="en-IE"/>
              </w:rPr>
              <w:t xml:space="preserve">240 annually </w:t>
            </w:r>
          </w:p>
        </w:tc>
        <w:tc>
          <w:tcPr>
            <w:tcW w:w="1530" w:type="dxa"/>
          </w:tcPr>
          <w:p w14:paraId="6D55809F" w14:textId="77777777" w:rsidR="000120A1" w:rsidRPr="000D0ED7" w:rsidRDefault="000120A1" w:rsidP="00AF1C52">
            <w:pPr>
              <w:jc w:val="center"/>
              <w:rPr>
                <w:noProof/>
                <w:lang w:val="en-IE"/>
              </w:rPr>
            </w:pPr>
            <w:r w:rsidRPr="000D0ED7">
              <w:rPr>
                <w:noProof/>
                <w:lang w:val="en-IE"/>
              </w:rPr>
              <w:t>Milestone achieved in 2021. 240 online collaboration groups compared to 240</w:t>
            </w:r>
          </w:p>
        </w:tc>
        <w:tc>
          <w:tcPr>
            <w:tcW w:w="1537" w:type="dxa"/>
          </w:tcPr>
          <w:p w14:paraId="043452B2" w14:textId="77777777" w:rsidR="000120A1" w:rsidRPr="000D0ED7" w:rsidRDefault="000120A1" w:rsidP="00AF1C52">
            <w:pPr>
              <w:jc w:val="center"/>
              <w:rPr>
                <w:noProof/>
                <w:lang w:val="en-IE"/>
              </w:rPr>
            </w:pPr>
            <w:r w:rsidRPr="000D0ED7">
              <w:rPr>
                <w:noProof/>
                <w:lang w:val="en-IE"/>
              </w:rPr>
              <w:t>On track</w:t>
            </w:r>
          </w:p>
        </w:tc>
      </w:tr>
      <w:tr w:rsidR="000120A1" w:rsidRPr="000D0ED7" w14:paraId="4B9F121F" w14:textId="77777777" w:rsidTr="00AF1C52">
        <w:trPr>
          <w:cnfStyle w:val="000000010000" w:firstRow="0" w:lastRow="0" w:firstColumn="0" w:lastColumn="0" w:oddVBand="0" w:evenVBand="0" w:oddHBand="0" w:evenHBand="1" w:firstRowFirstColumn="0" w:firstRowLastColumn="0" w:lastRowFirstColumn="0" w:lastRowLastColumn="0"/>
        </w:trPr>
        <w:tc>
          <w:tcPr>
            <w:tcW w:w="2268" w:type="dxa"/>
          </w:tcPr>
          <w:p w14:paraId="6A898C68" w14:textId="77777777" w:rsidR="000120A1" w:rsidRPr="000D0ED7" w:rsidRDefault="000120A1" w:rsidP="00AF1C52">
            <w:pPr>
              <w:rPr>
                <w:noProof/>
                <w:lang w:val="en-IE"/>
              </w:rPr>
            </w:pPr>
            <w:r w:rsidRPr="000D0ED7">
              <w:rPr>
                <w:noProof/>
                <w:lang w:val="en-IE"/>
              </w:rPr>
              <w:t>Best practices and guideline index</w:t>
            </w:r>
            <w:r w:rsidRPr="000D0ED7">
              <w:rPr>
                <w:rFonts w:ascii="Calibri" w:hAnsi="Calibri" w:cs="Calibri"/>
                <w:noProof/>
                <w:lang w:val="en-IE"/>
              </w:rPr>
              <w:t> –</w:t>
            </w:r>
            <w:r w:rsidRPr="000D0ED7">
              <w:rPr>
                <w:noProof/>
                <w:lang w:val="en-IE"/>
              </w:rPr>
              <w:t xml:space="preserve"> </w:t>
            </w:r>
            <w:r>
              <w:rPr>
                <w:noProof/>
                <w:lang w:val="en-IE"/>
              </w:rPr>
              <w:t>p</w:t>
            </w:r>
            <w:r w:rsidRPr="000D0ED7">
              <w:rPr>
                <w:noProof/>
                <w:lang w:val="en-IE"/>
              </w:rPr>
              <w:t>ercentage of participants that made use of a working practice/guideline developed with the support of the programme</w:t>
            </w:r>
          </w:p>
        </w:tc>
        <w:tc>
          <w:tcPr>
            <w:tcW w:w="931" w:type="dxa"/>
          </w:tcPr>
          <w:p w14:paraId="39DC57C2" w14:textId="77777777" w:rsidR="000120A1" w:rsidRPr="000D0ED7" w:rsidRDefault="000120A1" w:rsidP="00AF1C52">
            <w:pPr>
              <w:jc w:val="center"/>
              <w:rPr>
                <w:noProof/>
                <w:lang w:val="en-IE"/>
              </w:rPr>
            </w:pPr>
            <w:r w:rsidRPr="000D0ED7">
              <w:rPr>
                <w:noProof/>
                <w:lang w:val="en-IE"/>
              </w:rPr>
              <w:t>0%</w:t>
            </w:r>
          </w:p>
        </w:tc>
        <w:tc>
          <w:tcPr>
            <w:tcW w:w="1485" w:type="dxa"/>
          </w:tcPr>
          <w:p w14:paraId="551F8F7B" w14:textId="77777777" w:rsidR="000120A1" w:rsidRPr="000D0ED7" w:rsidRDefault="000120A1" w:rsidP="00AF1C52">
            <w:pPr>
              <w:jc w:val="center"/>
              <w:rPr>
                <w:b/>
                <w:noProof/>
                <w:lang w:val="en-IE"/>
              </w:rPr>
            </w:pPr>
            <w:r w:rsidRPr="000D0ED7">
              <w:rPr>
                <w:noProof/>
                <w:lang w:val="en-IE"/>
              </w:rPr>
              <w:t>0%</w:t>
            </w:r>
          </w:p>
        </w:tc>
        <w:tc>
          <w:tcPr>
            <w:tcW w:w="1491" w:type="dxa"/>
          </w:tcPr>
          <w:p w14:paraId="36D05201" w14:textId="77777777" w:rsidR="000120A1" w:rsidRPr="000D0ED7" w:rsidRDefault="000120A1" w:rsidP="00AF1C52">
            <w:pPr>
              <w:jc w:val="center"/>
              <w:rPr>
                <w:noProof/>
                <w:lang w:val="en-IE"/>
              </w:rPr>
            </w:pPr>
            <w:r w:rsidRPr="000D0ED7">
              <w:rPr>
                <w:noProof/>
                <w:lang w:val="en-IE"/>
              </w:rPr>
              <w:t xml:space="preserve">75% annually </w:t>
            </w:r>
          </w:p>
        </w:tc>
        <w:tc>
          <w:tcPr>
            <w:tcW w:w="1530" w:type="dxa"/>
          </w:tcPr>
          <w:p w14:paraId="70E6AE8D" w14:textId="77777777" w:rsidR="000120A1" w:rsidRPr="000D0ED7" w:rsidRDefault="000120A1" w:rsidP="00AF1C52">
            <w:pPr>
              <w:jc w:val="center"/>
              <w:rPr>
                <w:noProof/>
                <w:lang w:val="en-IE"/>
              </w:rPr>
            </w:pPr>
            <w:r>
              <w:rPr>
                <w:noProof/>
                <w:lang w:val="en-IE"/>
              </w:rPr>
              <w:t>No results</w:t>
            </w:r>
          </w:p>
        </w:tc>
        <w:tc>
          <w:tcPr>
            <w:tcW w:w="1537" w:type="dxa"/>
          </w:tcPr>
          <w:p w14:paraId="5CC34E48" w14:textId="77777777" w:rsidR="000120A1" w:rsidRPr="000D0ED7" w:rsidRDefault="000120A1" w:rsidP="00AF1C52">
            <w:pPr>
              <w:jc w:val="center"/>
              <w:rPr>
                <w:noProof/>
                <w:lang w:val="en-IE"/>
              </w:rPr>
            </w:pPr>
            <w:r w:rsidRPr="000D0ED7">
              <w:rPr>
                <w:noProof/>
                <w:lang w:val="en-IE"/>
              </w:rPr>
              <w:t>No data</w:t>
            </w:r>
          </w:p>
        </w:tc>
      </w:tr>
    </w:tbl>
    <w:p w14:paraId="308713AB" w14:textId="77777777" w:rsidR="000120A1" w:rsidRPr="000D0ED7" w:rsidRDefault="000120A1" w:rsidP="000120A1">
      <w:pPr>
        <w:pStyle w:val="FootnoteText"/>
        <w:rPr>
          <w:noProof/>
          <w:lang w:val="en-IE"/>
        </w:rPr>
      </w:pPr>
    </w:p>
    <w:p w14:paraId="490A49E2" w14:textId="103B7696" w:rsidR="000120A1" w:rsidRDefault="000120A1" w:rsidP="000120A1">
      <w:pPr>
        <w:pStyle w:val="FootnoteText"/>
        <w:rPr>
          <w:noProof/>
          <w:lang w:val="en-IE"/>
        </w:rPr>
      </w:pPr>
      <w:r w:rsidRPr="000D0ED7">
        <w:rPr>
          <w:noProof/>
          <w:lang w:val="en-IE"/>
        </w:rPr>
        <w:t>(</w:t>
      </w:r>
      <w:r>
        <w:rPr>
          <w:noProof/>
          <w:lang w:val="en-IE"/>
        </w:rPr>
        <w:t>*</w:t>
      </w:r>
      <w:r w:rsidRPr="000D0ED7">
        <w:rPr>
          <w:noProof/>
          <w:lang w:val="en-IE"/>
        </w:rPr>
        <w:t xml:space="preserve">) </w:t>
      </w:r>
      <w:r>
        <w:rPr>
          <w:noProof/>
          <w:lang w:val="en-IE"/>
        </w:rPr>
        <w:tab/>
      </w:r>
      <w:r w:rsidRPr="000D0ED7">
        <w:rPr>
          <w:noProof/>
          <w:lang w:val="en-IE"/>
        </w:rPr>
        <w:t xml:space="preserve">% of years for which the milestones or target </w:t>
      </w:r>
      <w:r w:rsidR="00AA5CAB">
        <w:rPr>
          <w:noProof/>
          <w:lang w:val="en-IE"/>
        </w:rPr>
        <w:t>have</w:t>
      </w:r>
      <w:r w:rsidR="00AA5CAB" w:rsidRPr="000D0ED7">
        <w:rPr>
          <w:noProof/>
          <w:lang w:val="en-IE"/>
        </w:rPr>
        <w:t xml:space="preserve"> </w:t>
      </w:r>
      <w:r w:rsidRPr="000D0ED7">
        <w:rPr>
          <w:noProof/>
          <w:lang w:val="en-IE"/>
        </w:rPr>
        <w:t>been achieved during the 2021-2027 period.</w:t>
      </w:r>
    </w:p>
    <w:p w14:paraId="2AC136DF" w14:textId="6924F00F" w:rsidR="000120A1" w:rsidRDefault="000120A1" w:rsidP="000120A1">
      <w:pPr>
        <w:pStyle w:val="FootnoteText"/>
        <w:rPr>
          <w:noProof/>
          <w:lang w:val="en-IE"/>
        </w:rPr>
      </w:pPr>
      <w:r>
        <w:rPr>
          <w:noProof/>
          <w:lang w:val="en-IE"/>
        </w:rPr>
        <w:t xml:space="preserve">(**) </w:t>
      </w:r>
      <w:r w:rsidRPr="000D0ED7">
        <w:rPr>
          <w:noProof/>
          <w:lang w:val="en-IE"/>
        </w:rPr>
        <w:t>% of target achieved by the end of 2021.</w:t>
      </w:r>
    </w:p>
    <w:p w14:paraId="13F77B1A" w14:textId="77777777" w:rsidR="007F2C98" w:rsidRPr="000D0ED7" w:rsidRDefault="007F2C98" w:rsidP="007F2C98">
      <w:pPr>
        <w:pStyle w:val="FootnoteText"/>
        <w:rPr>
          <w:noProof/>
          <w:lang w:val="en-IE"/>
        </w:rPr>
      </w:pPr>
      <w:r>
        <w:rPr>
          <w:noProof/>
          <w:lang w:val="en-IE"/>
        </w:rPr>
        <w:t>(***) Milestone achieved in 2021.</w:t>
      </w:r>
    </w:p>
    <w:p w14:paraId="5162E5B3" w14:textId="77777777" w:rsidR="000120A1" w:rsidRPr="000D0ED7" w:rsidRDefault="000120A1" w:rsidP="000120A1">
      <w:pPr>
        <w:pStyle w:val="FootnoteText"/>
        <w:rPr>
          <w:noProof/>
          <w:color w:val="BBB931"/>
          <w:lang w:val="en-IE"/>
        </w:rPr>
      </w:pPr>
    </w:p>
    <w:p w14:paraId="5A12D1F4" w14:textId="77777777" w:rsidR="000120A1" w:rsidRPr="000D0ED7" w:rsidRDefault="000120A1" w:rsidP="000120A1">
      <w:pPr>
        <w:pStyle w:val="ppoListHyphened-L1"/>
        <w:rPr>
          <w:noProof/>
          <w:lang w:val="en-IE"/>
        </w:rPr>
      </w:pPr>
      <w:r w:rsidRPr="000D0ED7">
        <w:rPr>
          <w:noProof/>
          <w:lang w:val="en-IE"/>
        </w:rPr>
        <w:t>Due to the late adoption of the multiannual financial framework and of the programme itself, 2021 represented a transitional year, where the performance of the previous and of the active programme was significantly intertwined. For most of the year, extended contracts from the previous programme were used to overcome the gap until the launch of the active programme. The implementation of the active programme only started in December 2021, so no meaningful conclusions related to performance could be drawn.</w:t>
      </w:r>
    </w:p>
    <w:p w14:paraId="1F0D53E3" w14:textId="77777777" w:rsidR="000120A1" w:rsidRPr="000D0ED7" w:rsidRDefault="000120A1" w:rsidP="000120A1">
      <w:pPr>
        <w:pStyle w:val="ppoListHyphened-L1"/>
        <w:rPr>
          <w:noProof/>
          <w:lang w:val="en-IE"/>
        </w:rPr>
      </w:pPr>
      <w:r w:rsidRPr="000D0ED7">
        <w:rPr>
          <w:noProof/>
          <w:lang w:val="en-IE"/>
        </w:rPr>
        <w:t>The COVID-19 pandemic affects programme grant expenditures due to the limitations on travel and physical meetings and almost complete shift to virtual meeting. Nevertheless, grants only represent approximately 5.7% of the Customs programme’s budget, which makes the COVID-19 impact on the expenditure of the programme relatively low.</w:t>
      </w:r>
    </w:p>
    <w:p w14:paraId="5D57E190" w14:textId="77777777" w:rsidR="000120A1" w:rsidRPr="000D0ED7" w:rsidRDefault="000120A1" w:rsidP="000120A1">
      <w:pPr>
        <w:spacing w:after="160" w:line="259" w:lineRule="auto"/>
        <w:rPr>
          <w:rFonts w:eastAsiaTheme="majorEastAsia" w:cstheme="majorBidi"/>
          <w:noProof/>
          <w:color w:val="016A13" w:themeColor="accent1" w:themeShade="BF"/>
          <w:sz w:val="48"/>
          <w:szCs w:val="32"/>
          <w:lang w:val="en-IE"/>
        </w:rPr>
      </w:pPr>
      <w:r w:rsidRPr="000D0ED7">
        <w:rPr>
          <w:noProof/>
          <w:lang w:val="en-IE"/>
        </w:rPr>
        <w:t xml:space="preserve"> </w:t>
      </w:r>
      <w:r w:rsidRPr="000D0ED7">
        <w:rPr>
          <w:noProof/>
          <w:lang w:val="en-IE"/>
        </w:rPr>
        <w:br w:type="page"/>
      </w:r>
    </w:p>
    <w:p w14:paraId="0F7530B3" w14:textId="77777777" w:rsidR="000120A1" w:rsidRPr="000D0ED7" w:rsidRDefault="000120A1" w:rsidP="000120A1">
      <w:pPr>
        <w:pStyle w:val="ppoHeading4Orange"/>
        <w:rPr>
          <w:noProof/>
          <w:lang w:val="en-IE"/>
        </w:rPr>
      </w:pPr>
      <w:r w:rsidRPr="000D0ED7">
        <w:rPr>
          <w:noProof/>
          <w:lang w:val="en-IE"/>
        </w:rPr>
        <w:t>2014-2020 MULITIANNUAL FINANCIAL FRAMEWORK</w:t>
      </w:r>
      <w:r w:rsidRPr="000D0ED7">
        <w:rPr>
          <w:rFonts w:ascii="Calibri" w:hAnsi="Calibri" w:cs="Calibri"/>
          <w:noProof/>
          <w:lang w:val="en-IE"/>
        </w:rPr>
        <w:t> </w:t>
      </w:r>
      <w:r w:rsidRPr="000D0ED7">
        <w:rPr>
          <w:noProof/>
          <w:lang w:val="en-IE"/>
        </w:rPr>
        <w:t>– CUSTOMS</w:t>
      </w:r>
    </w:p>
    <w:p w14:paraId="1DD9FF46" w14:textId="77777777" w:rsidR="000120A1" w:rsidRPr="000D0ED7" w:rsidRDefault="000120A1" w:rsidP="000120A1">
      <w:pPr>
        <w:pStyle w:val="ppoHeading5"/>
        <w:ind w:left="0"/>
        <w:rPr>
          <w:rFonts w:ascii="EC Square Sans Pro" w:eastAsiaTheme="minorEastAsia" w:hAnsi="EC Square Sans Pro" w:cstheme="minorBidi"/>
          <w:noProof/>
          <w:sz w:val="22"/>
          <w:szCs w:val="22"/>
          <w:lang w:val="en-IE" w:eastAsia="en-US"/>
        </w:rPr>
      </w:pPr>
      <w:r w:rsidRPr="000D0ED7">
        <w:rPr>
          <w:rFonts w:ascii="EC Square Sans Pro" w:eastAsiaTheme="minorEastAsia" w:hAnsi="EC Square Sans Pro" w:cstheme="minorBidi"/>
          <w:noProof/>
          <w:sz w:val="22"/>
          <w:szCs w:val="22"/>
          <w:lang w:val="en-IE" w:eastAsia="en-US"/>
        </w:rPr>
        <w:t>The Customs 2020 programme supports customs authorities in protecting the financial and economic interests of the EU and of the Member States, including in the fight against fraud and the protection of intellectual property rights, to increase safety and security, to protect citizens and the environment, to improve the administrative capacity of the customs authorities and to strengthen the competitiveness of European businesses.</w:t>
      </w:r>
    </w:p>
    <w:p w14:paraId="4F22D567" w14:textId="77777777" w:rsidR="000120A1" w:rsidRPr="000D0ED7" w:rsidRDefault="000120A1" w:rsidP="000120A1">
      <w:pPr>
        <w:pStyle w:val="ppoHeading5"/>
        <w:rPr>
          <w:noProof/>
          <w:lang w:val="en-IE"/>
        </w:rPr>
      </w:pPr>
      <w:r w:rsidRPr="000D0ED7">
        <w:rPr>
          <w:noProof/>
          <w:lang w:val="en-IE"/>
        </w:rPr>
        <w:t>Budget</w:t>
      </w:r>
    </w:p>
    <w:p w14:paraId="0661BA5F" w14:textId="77777777" w:rsidR="000120A1" w:rsidRPr="000D0ED7" w:rsidRDefault="000120A1" w:rsidP="000120A1">
      <w:pPr>
        <w:pStyle w:val="ppoTableTabletitle"/>
        <w:rPr>
          <w:noProof/>
          <w:lang w:val="en-IE"/>
        </w:rPr>
      </w:pPr>
      <w:r w:rsidRPr="000D0ED7">
        <w:rPr>
          <w:noProof/>
          <w:lang w:val="en-IE"/>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0120A1" w:rsidRPr="000D0ED7" w14:paraId="478D3D24" w14:textId="77777777" w:rsidTr="00AF1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6E377BD7" w14:textId="77777777" w:rsidR="000120A1" w:rsidRPr="000D0ED7" w:rsidRDefault="000120A1" w:rsidP="00AF1C52">
            <w:pPr>
              <w:rPr>
                <w:noProof/>
                <w:lang w:val="en-IE"/>
              </w:rPr>
            </w:pPr>
          </w:p>
        </w:tc>
        <w:tc>
          <w:tcPr>
            <w:tcW w:w="2410" w:type="dxa"/>
          </w:tcPr>
          <w:p w14:paraId="6196E32F" w14:textId="77777777" w:rsidR="000120A1" w:rsidRPr="000D0ED7" w:rsidRDefault="000120A1" w:rsidP="00AF1C52">
            <w:pPr>
              <w:cnfStyle w:val="100000000000" w:firstRow="1" w:lastRow="0" w:firstColumn="0" w:lastColumn="0" w:oddVBand="0" w:evenVBand="0" w:oddHBand="0" w:evenHBand="0" w:firstRowFirstColumn="0" w:firstRowLastColumn="0" w:lastRowFirstColumn="0" w:lastRowLastColumn="0"/>
              <w:rPr>
                <w:noProof/>
                <w:lang w:val="en-IE"/>
              </w:rPr>
            </w:pPr>
            <w:r w:rsidRPr="000D0ED7">
              <w:rPr>
                <w:noProof/>
                <w:lang w:val="en-IE"/>
              </w:rPr>
              <w:t>Implementation</w:t>
            </w:r>
          </w:p>
        </w:tc>
        <w:tc>
          <w:tcPr>
            <w:tcW w:w="2410" w:type="dxa"/>
          </w:tcPr>
          <w:p w14:paraId="74967A7B" w14:textId="598C1F81" w:rsidR="000120A1" w:rsidRPr="000D0ED7" w:rsidRDefault="001F4CBC" w:rsidP="00AF1C52">
            <w:pPr>
              <w:cnfStyle w:val="100000000000" w:firstRow="1" w:lastRow="0" w:firstColumn="0" w:lastColumn="0" w:oddVBand="0" w:evenVBand="0" w:oddHBand="0" w:evenHBand="0" w:firstRowFirstColumn="0" w:firstRowLastColumn="0" w:lastRowFirstColumn="0" w:lastRowLastColumn="0"/>
              <w:rPr>
                <w:noProof/>
                <w:lang w:val="en-IE"/>
              </w:rPr>
            </w:pPr>
            <w:r>
              <w:rPr>
                <w:noProof/>
              </w:rPr>
              <w:t xml:space="preserve">2014-2020 </w:t>
            </w:r>
            <w:r w:rsidRPr="00885241">
              <w:rPr>
                <w:noProof/>
              </w:rPr>
              <w:t>Budget</w:t>
            </w:r>
          </w:p>
        </w:tc>
        <w:tc>
          <w:tcPr>
            <w:tcW w:w="2410" w:type="dxa"/>
          </w:tcPr>
          <w:p w14:paraId="4BE5BCEA" w14:textId="77777777" w:rsidR="000120A1" w:rsidRPr="000D0ED7" w:rsidRDefault="000120A1" w:rsidP="00AF1C52">
            <w:pPr>
              <w:cnfStyle w:val="100000000000" w:firstRow="1" w:lastRow="0" w:firstColumn="0" w:lastColumn="0" w:oddVBand="0" w:evenVBand="0" w:oddHBand="0" w:evenHBand="0" w:firstRowFirstColumn="0" w:firstRowLastColumn="0" w:lastRowFirstColumn="0" w:lastRowLastColumn="0"/>
              <w:rPr>
                <w:noProof/>
                <w:lang w:val="en-IE"/>
              </w:rPr>
            </w:pPr>
            <w:r w:rsidRPr="000D0ED7">
              <w:rPr>
                <w:noProof/>
                <w:lang w:val="en-IE"/>
              </w:rPr>
              <w:t>Implementation rate</w:t>
            </w:r>
          </w:p>
        </w:tc>
      </w:tr>
      <w:tr w:rsidR="000120A1" w:rsidRPr="000D0ED7" w14:paraId="16C1B1AF"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106F69A5" w14:textId="77777777" w:rsidR="000120A1" w:rsidRPr="000D0ED7" w:rsidRDefault="000120A1" w:rsidP="00AF1C52">
            <w:pPr>
              <w:jc w:val="center"/>
              <w:rPr>
                <w:noProof/>
                <w:lang w:val="en-IE"/>
              </w:rPr>
            </w:pPr>
            <w:r w:rsidRPr="000D0ED7">
              <w:rPr>
                <w:noProof/>
                <w:lang w:val="en-IE"/>
              </w:rPr>
              <w:t>Commitments</w:t>
            </w:r>
          </w:p>
        </w:tc>
        <w:tc>
          <w:tcPr>
            <w:tcW w:w="2410" w:type="dxa"/>
          </w:tcPr>
          <w:tbl>
            <w:tblPr>
              <w:tblStyle w:val="TableGrid"/>
              <w:tblW w:w="0" w:type="auto"/>
              <w:tblLook w:val="06A0" w:firstRow="1" w:lastRow="0" w:firstColumn="1" w:lastColumn="0" w:noHBand="1" w:noVBand="1"/>
            </w:tblPr>
            <w:tblGrid>
              <w:gridCol w:w="2194"/>
            </w:tblGrid>
            <w:tr w:rsidR="000120A1" w:rsidRPr="000D0ED7" w14:paraId="04AE26E0" w14:textId="77777777" w:rsidTr="00AF1C52">
              <w:trPr>
                <w:trHeight w:val="285"/>
              </w:trPr>
              <w:tc>
                <w:tcPr>
                  <w:tcW w:w="2290" w:type="dxa"/>
                  <w:tcBorders>
                    <w:top w:val="nil"/>
                    <w:left w:val="nil"/>
                    <w:bottom w:val="nil"/>
                    <w:right w:val="nil"/>
                  </w:tcBorders>
                  <w:vAlign w:val="bottom"/>
                </w:tcPr>
                <w:p w14:paraId="1D349112" w14:textId="77777777" w:rsidR="000120A1" w:rsidRPr="000D0ED7" w:rsidRDefault="000120A1" w:rsidP="00AF1C52">
                  <w:pPr>
                    <w:jc w:val="right"/>
                    <w:rPr>
                      <w:noProof/>
                      <w:lang w:val="en-IE"/>
                    </w:rPr>
                  </w:pPr>
                  <w:r w:rsidRPr="000D0ED7">
                    <w:rPr>
                      <w:rFonts w:ascii="Calibri" w:hAnsi="Calibri" w:cs="Calibri"/>
                      <w:noProof/>
                      <w:color w:val="000000"/>
                      <w:lang w:val="en-IE"/>
                    </w:rPr>
                    <w:t xml:space="preserve">532.5 </w:t>
                  </w:r>
                </w:p>
              </w:tc>
            </w:tr>
          </w:tbl>
          <w:p w14:paraId="28160FDB" w14:textId="77777777" w:rsidR="000120A1" w:rsidRPr="000D0ED7" w:rsidRDefault="000120A1"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0120A1" w:rsidRPr="000D0ED7" w14:paraId="32B9C06A" w14:textId="77777777" w:rsidTr="00AF1C52">
              <w:trPr>
                <w:trHeight w:val="285"/>
              </w:trPr>
              <w:tc>
                <w:tcPr>
                  <w:tcW w:w="2290" w:type="dxa"/>
                  <w:tcBorders>
                    <w:top w:val="nil"/>
                    <w:left w:val="nil"/>
                    <w:bottom w:val="nil"/>
                    <w:right w:val="nil"/>
                  </w:tcBorders>
                  <w:vAlign w:val="bottom"/>
                </w:tcPr>
                <w:p w14:paraId="716B0C0A" w14:textId="77777777" w:rsidR="000120A1" w:rsidRPr="000D0ED7" w:rsidRDefault="000120A1" w:rsidP="00AF1C52">
                  <w:pPr>
                    <w:jc w:val="right"/>
                    <w:rPr>
                      <w:noProof/>
                      <w:lang w:val="en-IE"/>
                    </w:rPr>
                  </w:pPr>
                  <w:r w:rsidRPr="000D0ED7">
                    <w:rPr>
                      <w:rFonts w:ascii="Calibri" w:hAnsi="Calibri" w:cs="Calibri"/>
                      <w:noProof/>
                      <w:color w:val="000000"/>
                      <w:lang w:val="en-IE"/>
                    </w:rPr>
                    <w:t>532.5</w:t>
                  </w:r>
                </w:p>
              </w:tc>
            </w:tr>
          </w:tbl>
          <w:p w14:paraId="1B1761D3" w14:textId="77777777" w:rsidR="000120A1" w:rsidRPr="000D0ED7" w:rsidRDefault="000120A1"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0120A1" w:rsidRPr="000D0ED7" w14:paraId="781B7674" w14:textId="77777777" w:rsidTr="00AF1C52">
              <w:trPr>
                <w:trHeight w:val="342"/>
              </w:trPr>
              <w:tc>
                <w:tcPr>
                  <w:tcW w:w="2290" w:type="dxa"/>
                  <w:tcBorders>
                    <w:top w:val="nil"/>
                    <w:left w:val="nil"/>
                    <w:bottom w:val="nil"/>
                    <w:right w:val="nil"/>
                  </w:tcBorders>
                  <w:vAlign w:val="bottom"/>
                </w:tcPr>
                <w:p w14:paraId="6B10A1C8" w14:textId="77777777" w:rsidR="000120A1" w:rsidRPr="000D0ED7" w:rsidRDefault="000120A1" w:rsidP="00AF1C52">
                  <w:pPr>
                    <w:jc w:val="right"/>
                    <w:rPr>
                      <w:noProof/>
                      <w:lang w:val="en-IE"/>
                    </w:rPr>
                  </w:pPr>
                  <w:r w:rsidRPr="000D0ED7">
                    <w:rPr>
                      <w:rFonts w:ascii="Calibri" w:hAnsi="Calibri" w:cs="Calibri"/>
                      <w:noProof/>
                      <w:color w:val="000000"/>
                      <w:lang w:val="en-IE"/>
                    </w:rPr>
                    <w:t>100%</w:t>
                  </w:r>
                </w:p>
              </w:tc>
            </w:tr>
          </w:tbl>
          <w:p w14:paraId="509C49A2" w14:textId="77777777" w:rsidR="000120A1" w:rsidRPr="000D0ED7" w:rsidRDefault="000120A1"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r>
      <w:tr w:rsidR="000120A1" w:rsidRPr="000D0ED7" w14:paraId="5DF5CB51"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1FCA3448" w14:textId="77777777" w:rsidR="000120A1" w:rsidRPr="000D0ED7" w:rsidRDefault="000120A1" w:rsidP="00AF1C52">
            <w:pPr>
              <w:jc w:val="center"/>
              <w:rPr>
                <w:noProof/>
                <w:lang w:val="en-IE"/>
              </w:rPr>
            </w:pPr>
            <w:r w:rsidRPr="000D0ED7">
              <w:rPr>
                <w:noProof/>
                <w:lang w:val="en-IE"/>
              </w:rPr>
              <w:t>Payments</w:t>
            </w:r>
          </w:p>
        </w:tc>
        <w:tc>
          <w:tcPr>
            <w:tcW w:w="2410" w:type="dxa"/>
          </w:tcPr>
          <w:tbl>
            <w:tblPr>
              <w:tblStyle w:val="TableGrid"/>
              <w:tblW w:w="0" w:type="auto"/>
              <w:tblLook w:val="06A0" w:firstRow="1" w:lastRow="0" w:firstColumn="1" w:lastColumn="0" w:noHBand="1" w:noVBand="1"/>
            </w:tblPr>
            <w:tblGrid>
              <w:gridCol w:w="2194"/>
            </w:tblGrid>
            <w:tr w:rsidR="000120A1" w:rsidRPr="000D0ED7" w14:paraId="7DFCE07F" w14:textId="77777777" w:rsidTr="00AF1C52">
              <w:trPr>
                <w:trHeight w:val="285"/>
              </w:trPr>
              <w:tc>
                <w:tcPr>
                  <w:tcW w:w="2290" w:type="dxa"/>
                  <w:tcBorders>
                    <w:top w:val="nil"/>
                    <w:left w:val="nil"/>
                    <w:bottom w:val="nil"/>
                    <w:right w:val="nil"/>
                  </w:tcBorders>
                  <w:vAlign w:val="bottom"/>
                </w:tcPr>
                <w:p w14:paraId="2B44805B" w14:textId="77777777" w:rsidR="000120A1" w:rsidRPr="000D0ED7" w:rsidRDefault="000120A1" w:rsidP="00AF1C52">
                  <w:pPr>
                    <w:jc w:val="right"/>
                    <w:rPr>
                      <w:noProof/>
                      <w:lang w:val="en-IE"/>
                    </w:rPr>
                  </w:pPr>
                  <w:r w:rsidRPr="000D0ED7">
                    <w:rPr>
                      <w:rFonts w:ascii="Calibri" w:hAnsi="Calibri" w:cs="Calibri"/>
                      <w:noProof/>
                      <w:color w:val="000000"/>
                      <w:lang w:val="en-IE"/>
                    </w:rPr>
                    <w:t>502.1</w:t>
                  </w:r>
                  <w:r w:rsidRPr="000D0ED7">
                    <w:rPr>
                      <w:noProof/>
                      <w:lang w:val="en-IE"/>
                    </w:rPr>
                    <w:t xml:space="preserve"> </w:t>
                  </w:r>
                </w:p>
              </w:tc>
            </w:tr>
          </w:tbl>
          <w:p w14:paraId="693D663D" w14:textId="77777777" w:rsidR="000120A1" w:rsidRPr="000D0ED7" w:rsidRDefault="000120A1"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p w14:paraId="738826F8" w14:textId="77777777" w:rsidR="000120A1" w:rsidRPr="000D0ED7" w:rsidRDefault="000120A1"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0120A1" w:rsidRPr="000D0ED7" w14:paraId="0386E1AB" w14:textId="77777777" w:rsidTr="00AF1C52">
              <w:trPr>
                <w:trHeight w:val="285"/>
              </w:trPr>
              <w:tc>
                <w:tcPr>
                  <w:tcW w:w="2235" w:type="dxa"/>
                  <w:tcBorders>
                    <w:top w:val="nil"/>
                    <w:left w:val="nil"/>
                    <w:bottom w:val="nil"/>
                    <w:right w:val="nil"/>
                  </w:tcBorders>
                  <w:vAlign w:val="bottom"/>
                </w:tcPr>
                <w:p w14:paraId="494BFF1D" w14:textId="77777777" w:rsidR="000120A1" w:rsidRPr="000D0ED7" w:rsidRDefault="000120A1" w:rsidP="00AF1C52">
                  <w:pPr>
                    <w:jc w:val="right"/>
                    <w:rPr>
                      <w:noProof/>
                      <w:lang w:val="en-IE"/>
                    </w:rPr>
                  </w:pPr>
                  <w:r w:rsidRPr="000D0ED7">
                    <w:rPr>
                      <w:rFonts w:ascii="Calibri" w:hAnsi="Calibri" w:cs="Calibri"/>
                      <w:noProof/>
                      <w:color w:val="000000"/>
                      <w:lang w:val="en-IE"/>
                    </w:rPr>
                    <w:t>94%</w:t>
                  </w:r>
                </w:p>
              </w:tc>
            </w:tr>
          </w:tbl>
          <w:p w14:paraId="688C0056" w14:textId="77777777" w:rsidR="000120A1" w:rsidRPr="000D0ED7" w:rsidRDefault="000120A1"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r>
    </w:tbl>
    <w:p w14:paraId="3985C7BB" w14:textId="77777777" w:rsidR="000120A1" w:rsidRPr="000D0ED7" w:rsidRDefault="000120A1" w:rsidP="000120A1">
      <w:pPr>
        <w:pStyle w:val="ppoListHyphened-L1"/>
        <w:numPr>
          <w:ilvl w:val="0"/>
          <w:numId w:val="0"/>
        </w:numPr>
        <w:rPr>
          <w:noProof/>
          <w:lang w:val="en-IE"/>
        </w:rPr>
      </w:pPr>
    </w:p>
    <w:p w14:paraId="5C4C1A96" w14:textId="77777777" w:rsidR="000120A1" w:rsidRPr="000D0ED7" w:rsidRDefault="000120A1" w:rsidP="000120A1">
      <w:pPr>
        <w:pStyle w:val="ppoListHyphened-L1"/>
        <w:rPr>
          <w:noProof/>
          <w:lang w:val="en-IE"/>
        </w:rPr>
      </w:pPr>
      <w:r w:rsidRPr="000D0ED7">
        <w:rPr>
          <w:noProof/>
          <w:lang w:val="en-IE"/>
        </w:rPr>
        <w:t>The Customs programme had a high implementation rate, reaching over 94% at the end of 2021. The remaining payments will be finalised in the 2022-2023 period.</w:t>
      </w:r>
    </w:p>
    <w:p w14:paraId="6EA4DB89" w14:textId="77777777" w:rsidR="000120A1" w:rsidRPr="000D0ED7" w:rsidRDefault="000120A1" w:rsidP="000120A1">
      <w:pPr>
        <w:pStyle w:val="ppoListHyphened-L1"/>
        <w:rPr>
          <w:noProof/>
          <w:lang w:val="en-IE"/>
        </w:rPr>
      </w:pPr>
      <w:r w:rsidRPr="000D0ED7">
        <w:rPr>
          <w:bCs/>
          <w:noProof/>
          <w:lang w:val="en-IE"/>
        </w:rPr>
        <w:t xml:space="preserve">For European electronic systems and other service contracts (studies): the 2020 budget was committed in 2021 via a global commitment done at the end of 2020, so as to bridge the gap between the end of the former programmes and the adoption of the new multiannual financial framework and the related financing decision. </w:t>
      </w:r>
    </w:p>
    <w:p w14:paraId="4586F7F4" w14:textId="77777777" w:rsidR="000120A1" w:rsidRPr="000D0ED7" w:rsidRDefault="000120A1" w:rsidP="000120A1">
      <w:pPr>
        <w:pStyle w:val="ppoListHyphened-L1"/>
        <w:rPr>
          <w:noProof/>
          <w:lang w:val="en-IE"/>
        </w:rPr>
      </w:pPr>
      <w:r w:rsidRPr="000D0ED7">
        <w:rPr>
          <w:bCs/>
          <w:noProof/>
          <w:lang w:val="en-IE"/>
        </w:rPr>
        <w:t>For collaboration activities (including expert teams), external experts and the remaining service contracts: during 2021, there were no new commitments related to the budget of the Customs 2020 programme. All activities continued in 2021 based on 2020 commitments.</w:t>
      </w:r>
    </w:p>
    <w:p w14:paraId="65E315BE" w14:textId="77777777" w:rsidR="000120A1" w:rsidRPr="000D0ED7" w:rsidRDefault="000120A1" w:rsidP="000120A1">
      <w:pPr>
        <w:pStyle w:val="ppoHeading5"/>
        <w:rPr>
          <w:noProof/>
          <w:lang w:val="en-IE"/>
        </w:rPr>
      </w:pPr>
      <w:r w:rsidRPr="000D0ED7">
        <w:rPr>
          <w:noProof/>
          <w:lang w:val="en-IE"/>
        </w:rPr>
        <w:t>Performance assessment</w:t>
      </w:r>
    </w:p>
    <w:p w14:paraId="53C60C83" w14:textId="77777777" w:rsidR="000120A1" w:rsidRPr="000D0ED7" w:rsidRDefault="000120A1" w:rsidP="000120A1">
      <w:pPr>
        <w:pStyle w:val="ppoHeading6"/>
        <w:rPr>
          <w:noProof/>
          <w:lang w:val="en-IE"/>
        </w:rPr>
      </w:pPr>
      <w:r w:rsidRPr="000D0ED7">
        <w:rPr>
          <w:noProof/>
          <w:lang w:val="en-IE"/>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0120A1" w:rsidRPr="000D0ED7" w14:paraId="27554BFA" w14:textId="77777777" w:rsidTr="00AF1C52">
        <w:trPr>
          <w:cnfStyle w:val="100000000000" w:firstRow="1" w:lastRow="0" w:firstColumn="0" w:lastColumn="0" w:oddVBand="0" w:evenVBand="0" w:oddHBand="0" w:evenHBand="0" w:firstRowFirstColumn="0" w:firstRowLastColumn="0" w:lastRowFirstColumn="0" w:lastRowLastColumn="0"/>
        </w:trPr>
        <w:tc>
          <w:tcPr>
            <w:tcW w:w="2330" w:type="dxa"/>
          </w:tcPr>
          <w:p w14:paraId="6FDAEC68" w14:textId="77777777" w:rsidR="000120A1" w:rsidRPr="000D0ED7" w:rsidRDefault="000120A1" w:rsidP="00AF1C52">
            <w:pPr>
              <w:rPr>
                <w:noProof/>
                <w:lang w:val="en-IE"/>
              </w:rPr>
            </w:pPr>
          </w:p>
        </w:tc>
        <w:tc>
          <w:tcPr>
            <w:tcW w:w="1100" w:type="dxa"/>
          </w:tcPr>
          <w:p w14:paraId="3CAC446C" w14:textId="77777777" w:rsidR="000120A1" w:rsidRPr="000D0ED7" w:rsidRDefault="000120A1" w:rsidP="00AF1C52">
            <w:pPr>
              <w:rPr>
                <w:noProof/>
                <w:lang w:val="en-IE"/>
              </w:rPr>
            </w:pPr>
            <w:r w:rsidRPr="000D0ED7">
              <w:rPr>
                <w:noProof/>
                <w:lang w:val="en-IE"/>
              </w:rPr>
              <w:t>Baseline</w:t>
            </w:r>
          </w:p>
        </w:tc>
        <w:tc>
          <w:tcPr>
            <w:tcW w:w="1526" w:type="dxa"/>
          </w:tcPr>
          <w:p w14:paraId="37C9B9C7" w14:textId="77777777" w:rsidR="000120A1" w:rsidRPr="000D0ED7" w:rsidRDefault="000120A1" w:rsidP="00AF1C52">
            <w:pPr>
              <w:rPr>
                <w:noProof/>
                <w:lang w:val="en-IE"/>
              </w:rPr>
            </w:pPr>
            <w:r w:rsidRPr="000D0ED7">
              <w:rPr>
                <w:noProof/>
                <w:lang w:val="en-IE"/>
              </w:rPr>
              <w:t>Progress</w:t>
            </w:r>
            <w:r>
              <w:rPr>
                <w:rFonts w:ascii="Calibri" w:hAnsi="Calibri" w:cs="Calibri"/>
                <w:noProof/>
                <w:lang w:val="en-IE"/>
              </w:rPr>
              <w:t> </w:t>
            </w:r>
            <w:r>
              <w:rPr>
                <w:noProof/>
                <w:lang w:val="en-IE"/>
              </w:rPr>
              <w:t>(*)</w:t>
            </w:r>
          </w:p>
        </w:tc>
        <w:tc>
          <w:tcPr>
            <w:tcW w:w="1532" w:type="dxa"/>
          </w:tcPr>
          <w:p w14:paraId="50E8D944" w14:textId="77777777" w:rsidR="000120A1" w:rsidRPr="000D0ED7" w:rsidRDefault="000120A1" w:rsidP="00AF1C52">
            <w:pPr>
              <w:rPr>
                <w:noProof/>
                <w:lang w:val="en-IE"/>
              </w:rPr>
            </w:pPr>
            <w:r w:rsidRPr="000D0ED7">
              <w:rPr>
                <w:noProof/>
                <w:lang w:val="en-IE"/>
              </w:rPr>
              <w:t>Target</w:t>
            </w:r>
          </w:p>
        </w:tc>
        <w:tc>
          <w:tcPr>
            <w:tcW w:w="1572" w:type="dxa"/>
          </w:tcPr>
          <w:p w14:paraId="0FE3D49B" w14:textId="7E4E3A16" w:rsidR="000120A1" w:rsidRPr="000D0ED7" w:rsidRDefault="000120A1">
            <w:pPr>
              <w:rPr>
                <w:noProof/>
                <w:lang w:val="en-IE"/>
              </w:rPr>
            </w:pPr>
            <w:r w:rsidRPr="000D0ED7">
              <w:rPr>
                <w:noProof/>
                <w:lang w:val="en-IE"/>
              </w:rPr>
              <w:t>Results</w:t>
            </w:r>
            <w:r>
              <w:rPr>
                <w:noProof/>
                <w:lang w:val="en-IE"/>
              </w:rPr>
              <w:t xml:space="preserve"> </w:t>
            </w:r>
          </w:p>
        </w:tc>
        <w:tc>
          <w:tcPr>
            <w:tcW w:w="1579" w:type="dxa"/>
          </w:tcPr>
          <w:p w14:paraId="325FFC0D" w14:textId="77777777" w:rsidR="000120A1" w:rsidRPr="000D0ED7" w:rsidRDefault="000120A1" w:rsidP="00AF1C52">
            <w:pPr>
              <w:rPr>
                <w:noProof/>
                <w:lang w:val="en-IE"/>
              </w:rPr>
            </w:pPr>
            <w:r w:rsidRPr="000D0ED7">
              <w:rPr>
                <w:noProof/>
                <w:lang w:val="en-IE"/>
              </w:rPr>
              <w:t>Assessment</w:t>
            </w:r>
          </w:p>
        </w:tc>
      </w:tr>
      <w:tr w:rsidR="000120A1" w:rsidRPr="000D0ED7" w14:paraId="7FFB6622" w14:textId="77777777" w:rsidTr="00AF1C52">
        <w:trPr>
          <w:cnfStyle w:val="000000100000" w:firstRow="0" w:lastRow="0" w:firstColumn="0" w:lastColumn="0" w:oddVBand="0" w:evenVBand="0" w:oddHBand="1" w:evenHBand="0" w:firstRowFirstColumn="0" w:firstRowLastColumn="0" w:lastRowFirstColumn="0" w:lastRowLastColumn="0"/>
        </w:trPr>
        <w:tc>
          <w:tcPr>
            <w:tcW w:w="2330" w:type="dxa"/>
          </w:tcPr>
          <w:p w14:paraId="0E5073B7" w14:textId="77777777" w:rsidR="000120A1" w:rsidRPr="000D0ED7" w:rsidRDefault="000120A1" w:rsidP="00AF1C52">
            <w:pPr>
              <w:rPr>
                <w:noProof/>
                <w:lang w:val="en-IE"/>
              </w:rPr>
            </w:pPr>
            <w:r w:rsidRPr="000D0ED7">
              <w:rPr>
                <w:noProof/>
                <w:lang w:val="en-IE"/>
              </w:rPr>
              <w:t>Feedback from participants</w:t>
            </w:r>
            <w:r w:rsidRPr="000D0ED7">
              <w:rPr>
                <w:rFonts w:ascii="Calibri" w:hAnsi="Calibri" w:cs="Calibri"/>
                <w:noProof/>
                <w:lang w:val="en-IE"/>
              </w:rPr>
              <w:t> –</w:t>
            </w:r>
            <w:r w:rsidRPr="000D0ED7">
              <w:rPr>
                <w:noProof/>
                <w:lang w:val="en-IE"/>
              </w:rPr>
              <w:t xml:space="preserve"> </w:t>
            </w:r>
            <w:r>
              <w:rPr>
                <w:noProof/>
                <w:lang w:val="en-IE"/>
              </w:rPr>
              <w:t>n</w:t>
            </w:r>
            <w:r w:rsidRPr="000D0ED7">
              <w:rPr>
                <w:noProof/>
                <w:lang w:val="en-IE"/>
              </w:rPr>
              <w:t>etwork opportunity</w:t>
            </w:r>
          </w:p>
        </w:tc>
        <w:tc>
          <w:tcPr>
            <w:tcW w:w="1100" w:type="dxa"/>
          </w:tcPr>
          <w:p w14:paraId="3F73E84E" w14:textId="77777777" w:rsidR="000120A1" w:rsidRPr="000D0ED7" w:rsidRDefault="000120A1" w:rsidP="00AF1C52">
            <w:pPr>
              <w:jc w:val="center"/>
              <w:rPr>
                <w:noProof/>
                <w:lang w:val="en-IE"/>
              </w:rPr>
            </w:pPr>
            <w:r>
              <w:rPr>
                <w:noProof/>
                <w:lang w:val="en-IE"/>
              </w:rPr>
              <w:t>0%</w:t>
            </w:r>
          </w:p>
        </w:tc>
        <w:tc>
          <w:tcPr>
            <w:tcW w:w="1526" w:type="dxa"/>
          </w:tcPr>
          <w:p w14:paraId="5CA3D459" w14:textId="0E62CBE2" w:rsidR="000120A1" w:rsidRPr="000D0ED7" w:rsidRDefault="008A10FB">
            <w:pPr>
              <w:jc w:val="center"/>
              <w:rPr>
                <w:b/>
                <w:noProof/>
                <w:lang w:val="en-IE"/>
              </w:rPr>
            </w:pPr>
            <w:r>
              <w:rPr>
                <w:noProof/>
                <w:lang w:val="en-IE"/>
              </w:rPr>
              <w:t>&gt;100</w:t>
            </w:r>
            <w:r w:rsidR="000120A1">
              <w:rPr>
                <w:noProof/>
                <w:lang w:val="en-IE"/>
              </w:rPr>
              <w:t>%</w:t>
            </w:r>
          </w:p>
        </w:tc>
        <w:tc>
          <w:tcPr>
            <w:tcW w:w="1532" w:type="dxa"/>
          </w:tcPr>
          <w:p w14:paraId="14163646" w14:textId="77777777" w:rsidR="000120A1" w:rsidRPr="000D0ED7" w:rsidRDefault="000120A1" w:rsidP="00AF1C52">
            <w:pPr>
              <w:jc w:val="center"/>
              <w:rPr>
                <w:noProof/>
                <w:lang w:val="en-IE"/>
              </w:rPr>
            </w:pPr>
            <w:r w:rsidRPr="000D0ED7">
              <w:rPr>
                <w:noProof/>
                <w:lang w:val="en-IE"/>
              </w:rPr>
              <w:t>90%</w:t>
            </w:r>
            <w:r>
              <w:rPr>
                <w:noProof/>
                <w:lang w:val="en-IE"/>
              </w:rPr>
              <w:t xml:space="preserve"> annually</w:t>
            </w:r>
          </w:p>
        </w:tc>
        <w:tc>
          <w:tcPr>
            <w:tcW w:w="1572" w:type="dxa"/>
          </w:tcPr>
          <w:p w14:paraId="332CCA09" w14:textId="7F3445B6" w:rsidR="000120A1" w:rsidRPr="000D0ED7" w:rsidRDefault="008A10FB" w:rsidP="00AF1C52">
            <w:pPr>
              <w:jc w:val="center"/>
              <w:rPr>
                <w:noProof/>
                <w:lang w:val="en-IE"/>
              </w:rPr>
            </w:pPr>
            <w:r>
              <w:rPr>
                <w:noProof/>
                <w:lang w:val="en-IE"/>
              </w:rPr>
              <w:t>92% compared to a target of 90%</w:t>
            </w:r>
          </w:p>
        </w:tc>
        <w:tc>
          <w:tcPr>
            <w:tcW w:w="1579" w:type="dxa"/>
          </w:tcPr>
          <w:p w14:paraId="584F945C" w14:textId="030F4B5B" w:rsidR="000120A1" w:rsidRPr="000D0ED7" w:rsidRDefault="000120A1" w:rsidP="00AF1C52">
            <w:pPr>
              <w:jc w:val="center"/>
              <w:rPr>
                <w:noProof/>
                <w:lang w:val="en-IE"/>
              </w:rPr>
            </w:pPr>
            <w:r>
              <w:rPr>
                <w:noProof/>
                <w:lang w:val="en-IE"/>
              </w:rPr>
              <w:t>Moderate progress</w:t>
            </w:r>
            <w:r w:rsidR="008A10FB">
              <w:rPr>
                <w:noProof/>
                <w:lang w:val="en-IE"/>
              </w:rPr>
              <w:t xml:space="preserve"> (**)</w:t>
            </w:r>
          </w:p>
        </w:tc>
      </w:tr>
      <w:tr w:rsidR="000120A1" w:rsidRPr="000D0ED7" w14:paraId="2D68740A" w14:textId="77777777" w:rsidTr="00AF1C52">
        <w:trPr>
          <w:cnfStyle w:val="000000010000" w:firstRow="0" w:lastRow="0" w:firstColumn="0" w:lastColumn="0" w:oddVBand="0" w:evenVBand="0" w:oddHBand="0" w:evenHBand="1" w:firstRowFirstColumn="0" w:firstRowLastColumn="0" w:lastRowFirstColumn="0" w:lastRowLastColumn="0"/>
        </w:trPr>
        <w:tc>
          <w:tcPr>
            <w:tcW w:w="2330" w:type="dxa"/>
          </w:tcPr>
          <w:p w14:paraId="6A8A28F3" w14:textId="77777777" w:rsidR="000120A1" w:rsidRPr="000D0ED7" w:rsidRDefault="000120A1" w:rsidP="00AF1C52">
            <w:pPr>
              <w:rPr>
                <w:noProof/>
                <w:lang w:val="en-IE"/>
              </w:rPr>
            </w:pPr>
            <w:r w:rsidRPr="000D0ED7">
              <w:rPr>
                <w:noProof/>
                <w:lang w:val="en-IE"/>
              </w:rPr>
              <w:t>Feedback from participants</w:t>
            </w:r>
            <w:r w:rsidRPr="000D0ED7">
              <w:rPr>
                <w:rFonts w:ascii="Calibri" w:hAnsi="Calibri" w:cs="Calibri"/>
                <w:noProof/>
                <w:lang w:val="en-IE"/>
              </w:rPr>
              <w:t> –</w:t>
            </w:r>
            <w:r w:rsidRPr="000D0ED7">
              <w:rPr>
                <w:noProof/>
                <w:lang w:val="en-IE"/>
              </w:rPr>
              <w:t xml:space="preserve"> </w:t>
            </w:r>
            <w:r>
              <w:rPr>
                <w:noProof/>
                <w:lang w:val="en-IE"/>
              </w:rPr>
              <w:t>n</w:t>
            </w:r>
            <w:r w:rsidRPr="000D0ED7">
              <w:rPr>
                <w:noProof/>
                <w:lang w:val="en-IE"/>
              </w:rPr>
              <w:t>umber of face-to-face meetings</w:t>
            </w:r>
          </w:p>
        </w:tc>
        <w:tc>
          <w:tcPr>
            <w:tcW w:w="1100" w:type="dxa"/>
          </w:tcPr>
          <w:p w14:paraId="5151E332" w14:textId="77777777" w:rsidR="000120A1" w:rsidRPr="000D0ED7" w:rsidRDefault="000120A1" w:rsidP="00AF1C52">
            <w:pPr>
              <w:jc w:val="center"/>
              <w:rPr>
                <w:noProof/>
                <w:lang w:val="en-IE"/>
              </w:rPr>
            </w:pPr>
            <w:r>
              <w:rPr>
                <w:noProof/>
                <w:lang w:val="en-IE"/>
              </w:rPr>
              <w:t>0</w:t>
            </w:r>
          </w:p>
        </w:tc>
        <w:tc>
          <w:tcPr>
            <w:tcW w:w="1526" w:type="dxa"/>
          </w:tcPr>
          <w:p w14:paraId="4D85C4BD" w14:textId="61EF1B01" w:rsidR="000120A1" w:rsidRPr="000D0ED7" w:rsidRDefault="008A10FB" w:rsidP="00AF1C52">
            <w:pPr>
              <w:jc w:val="center"/>
              <w:rPr>
                <w:b/>
                <w:noProof/>
                <w:lang w:val="en-IE"/>
              </w:rPr>
            </w:pPr>
            <w:r>
              <w:rPr>
                <w:noProof/>
                <w:lang w:val="en-IE"/>
              </w:rPr>
              <w:t>96%</w:t>
            </w:r>
          </w:p>
        </w:tc>
        <w:tc>
          <w:tcPr>
            <w:tcW w:w="1532" w:type="dxa"/>
          </w:tcPr>
          <w:p w14:paraId="1FD95CC1" w14:textId="77777777" w:rsidR="000120A1" w:rsidRPr="000D0ED7" w:rsidRDefault="000120A1" w:rsidP="00AF1C52">
            <w:pPr>
              <w:jc w:val="center"/>
              <w:rPr>
                <w:noProof/>
                <w:lang w:val="en-IE"/>
              </w:rPr>
            </w:pPr>
            <w:r w:rsidRPr="000D0ED7">
              <w:rPr>
                <w:noProof/>
                <w:lang w:val="en-IE"/>
              </w:rPr>
              <w:t>380</w:t>
            </w:r>
            <w:r>
              <w:rPr>
                <w:noProof/>
                <w:lang w:val="en-IE"/>
              </w:rPr>
              <w:t xml:space="preserve"> annually</w:t>
            </w:r>
          </w:p>
        </w:tc>
        <w:tc>
          <w:tcPr>
            <w:tcW w:w="1572" w:type="dxa"/>
          </w:tcPr>
          <w:p w14:paraId="70C826A3" w14:textId="2CEBE0F6" w:rsidR="000120A1" w:rsidRPr="000D0ED7" w:rsidRDefault="008A10FB" w:rsidP="00AF1C52">
            <w:pPr>
              <w:jc w:val="center"/>
              <w:rPr>
                <w:noProof/>
                <w:lang w:val="en-IE"/>
              </w:rPr>
            </w:pPr>
            <w:r>
              <w:rPr>
                <w:noProof/>
                <w:lang w:val="en-IE"/>
              </w:rPr>
              <w:t xml:space="preserve">370 compared to a target of 380 </w:t>
            </w:r>
          </w:p>
        </w:tc>
        <w:tc>
          <w:tcPr>
            <w:tcW w:w="1579" w:type="dxa"/>
          </w:tcPr>
          <w:p w14:paraId="497F22D7" w14:textId="0EDB5342" w:rsidR="000120A1" w:rsidRPr="000D0ED7" w:rsidRDefault="000120A1" w:rsidP="00AF1C52">
            <w:pPr>
              <w:jc w:val="center"/>
              <w:rPr>
                <w:noProof/>
                <w:lang w:val="en-IE"/>
              </w:rPr>
            </w:pPr>
            <w:r>
              <w:rPr>
                <w:noProof/>
                <w:lang w:val="en-IE"/>
              </w:rPr>
              <w:t>Moderate progress</w:t>
            </w:r>
            <w:r w:rsidR="008A10FB">
              <w:rPr>
                <w:noProof/>
                <w:lang w:val="en-IE"/>
              </w:rPr>
              <w:t xml:space="preserve"> (***)</w:t>
            </w:r>
          </w:p>
        </w:tc>
      </w:tr>
      <w:tr w:rsidR="000120A1" w:rsidRPr="000D0ED7" w14:paraId="35E02240" w14:textId="77777777" w:rsidTr="00AF1C52">
        <w:trPr>
          <w:cnfStyle w:val="000000100000" w:firstRow="0" w:lastRow="0" w:firstColumn="0" w:lastColumn="0" w:oddVBand="0" w:evenVBand="0" w:oddHBand="1" w:evenHBand="0" w:firstRowFirstColumn="0" w:firstRowLastColumn="0" w:lastRowFirstColumn="0" w:lastRowLastColumn="0"/>
        </w:trPr>
        <w:tc>
          <w:tcPr>
            <w:tcW w:w="2330" w:type="dxa"/>
          </w:tcPr>
          <w:p w14:paraId="1B38669F" w14:textId="77777777" w:rsidR="000120A1" w:rsidRPr="000D0ED7" w:rsidRDefault="000120A1" w:rsidP="00AF1C52">
            <w:pPr>
              <w:rPr>
                <w:noProof/>
                <w:lang w:val="en-IE"/>
              </w:rPr>
            </w:pPr>
            <w:bookmarkStart w:id="89" w:name="_Hlk100664134"/>
            <w:r w:rsidRPr="000D0ED7">
              <w:rPr>
                <w:noProof/>
                <w:lang w:val="en-IE"/>
              </w:rPr>
              <w:t>Feedback from participants</w:t>
            </w:r>
            <w:r w:rsidRPr="000D0ED7">
              <w:rPr>
                <w:rFonts w:ascii="Calibri" w:hAnsi="Calibri" w:cs="Calibri"/>
                <w:noProof/>
                <w:lang w:val="en-IE"/>
              </w:rPr>
              <w:t> –</w:t>
            </w:r>
            <w:r w:rsidRPr="000D0ED7">
              <w:rPr>
                <w:noProof/>
                <w:lang w:val="en-IE"/>
              </w:rPr>
              <w:t xml:space="preserve"> </w:t>
            </w:r>
            <w:bookmarkEnd w:id="89"/>
            <w:r>
              <w:rPr>
                <w:noProof/>
                <w:lang w:val="en-IE"/>
              </w:rPr>
              <w:t>number of online groups</w:t>
            </w:r>
          </w:p>
        </w:tc>
        <w:tc>
          <w:tcPr>
            <w:tcW w:w="1100" w:type="dxa"/>
          </w:tcPr>
          <w:p w14:paraId="5DC5A412" w14:textId="77777777" w:rsidR="000120A1" w:rsidRPr="000D0ED7" w:rsidRDefault="000120A1" w:rsidP="00AF1C52">
            <w:pPr>
              <w:jc w:val="center"/>
              <w:rPr>
                <w:noProof/>
                <w:lang w:val="en-IE"/>
              </w:rPr>
            </w:pPr>
          </w:p>
        </w:tc>
        <w:tc>
          <w:tcPr>
            <w:tcW w:w="1526" w:type="dxa"/>
          </w:tcPr>
          <w:p w14:paraId="02343D3B" w14:textId="77777777" w:rsidR="000120A1" w:rsidRPr="000D0ED7" w:rsidRDefault="000120A1" w:rsidP="00AF1C52">
            <w:pPr>
              <w:jc w:val="center"/>
              <w:rPr>
                <w:b/>
                <w:noProof/>
                <w:lang w:val="en-IE"/>
              </w:rPr>
            </w:pPr>
            <w:r w:rsidRPr="000D0ED7">
              <w:rPr>
                <w:rFonts w:ascii="Calibri" w:hAnsi="Calibri" w:cs="Calibri"/>
                <w:noProof/>
                <w:lang w:val="en-IE"/>
              </w:rPr>
              <w:t> </w:t>
            </w:r>
            <w:r>
              <w:rPr>
                <w:rFonts w:ascii="Calibri" w:hAnsi="Calibri" w:cs="Calibri"/>
                <w:noProof/>
                <w:lang w:val="en-IE"/>
              </w:rPr>
              <w:t>&gt;</w:t>
            </w:r>
            <w:r w:rsidRPr="000D0ED7">
              <w:rPr>
                <w:noProof/>
                <w:lang w:val="en-IE"/>
              </w:rPr>
              <w:t>100%</w:t>
            </w:r>
          </w:p>
        </w:tc>
        <w:tc>
          <w:tcPr>
            <w:tcW w:w="1532" w:type="dxa"/>
          </w:tcPr>
          <w:p w14:paraId="291DA91F" w14:textId="61CDADCE" w:rsidR="000120A1" w:rsidRPr="000D0ED7" w:rsidRDefault="000120A1" w:rsidP="00AF1C52">
            <w:pPr>
              <w:jc w:val="center"/>
              <w:rPr>
                <w:noProof/>
                <w:lang w:val="en-IE"/>
              </w:rPr>
            </w:pPr>
            <w:r>
              <w:rPr>
                <w:noProof/>
                <w:lang w:val="en-IE"/>
              </w:rPr>
              <w:t>200</w:t>
            </w:r>
            <w:r w:rsidR="008A10FB">
              <w:rPr>
                <w:noProof/>
                <w:lang w:val="en-IE"/>
              </w:rPr>
              <w:t xml:space="preserve"> annually</w:t>
            </w:r>
          </w:p>
        </w:tc>
        <w:tc>
          <w:tcPr>
            <w:tcW w:w="1572" w:type="dxa"/>
          </w:tcPr>
          <w:p w14:paraId="71EDD5F0" w14:textId="362B27D2" w:rsidR="000120A1" w:rsidRPr="000D0ED7" w:rsidRDefault="000120A1">
            <w:pPr>
              <w:jc w:val="center"/>
              <w:rPr>
                <w:noProof/>
                <w:lang w:val="en-IE"/>
              </w:rPr>
            </w:pPr>
            <w:bookmarkStart w:id="90" w:name="_Hlk100664096"/>
            <w:r>
              <w:rPr>
                <w:noProof/>
                <w:lang w:val="en-IE"/>
              </w:rPr>
              <w:t>2</w:t>
            </w:r>
            <w:r w:rsidR="008A10FB">
              <w:rPr>
                <w:noProof/>
                <w:lang w:val="en-IE"/>
              </w:rPr>
              <w:t>3</w:t>
            </w:r>
            <w:r w:rsidRPr="000D0ED7">
              <w:rPr>
                <w:noProof/>
                <w:lang w:val="en-IE"/>
              </w:rPr>
              <w:t xml:space="preserve">0 groups </w:t>
            </w:r>
            <w:r w:rsidR="008A10FB">
              <w:rPr>
                <w:noProof/>
                <w:lang w:val="en-IE"/>
              </w:rPr>
              <w:t xml:space="preserve">compared to </w:t>
            </w:r>
            <w:r w:rsidRPr="000D0ED7">
              <w:rPr>
                <w:noProof/>
                <w:lang w:val="en-IE"/>
              </w:rPr>
              <w:t xml:space="preserve">a target of </w:t>
            </w:r>
            <w:bookmarkEnd w:id="90"/>
            <w:r>
              <w:rPr>
                <w:noProof/>
                <w:lang w:val="en-IE"/>
              </w:rPr>
              <w:t>200</w:t>
            </w:r>
          </w:p>
        </w:tc>
        <w:tc>
          <w:tcPr>
            <w:tcW w:w="1579" w:type="dxa"/>
          </w:tcPr>
          <w:p w14:paraId="4C355A90" w14:textId="77777777" w:rsidR="000120A1" w:rsidRPr="000D0ED7" w:rsidRDefault="000120A1" w:rsidP="00AF1C52">
            <w:pPr>
              <w:jc w:val="center"/>
              <w:rPr>
                <w:noProof/>
                <w:lang w:val="en-IE"/>
              </w:rPr>
            </w:pPr>
            <w:r>
              <w:rPr>
                <w:noProof/>
                <w:lang w:val="en-IE"/>
              </w:rPr>
              <w:t>Achieved</w:t>
            </w:r>
          </w:p>
        </w:tc>
      </w:tr>
      <w:tr w:rsidR="000120A1" w:rsidRPr="000D0ED7" w14:paraId="7E169AF8" w14:textId="77777777" w:rsidTr="00AF1C52">
        <w:trPr>
          <w:cnfStyle w:val="000000010000" w:firstRow="0" w:lastRow="0" w:firstColumn="0" w:lastColumn="0" w:oddVBand="0" w:evenVBand="0" w:oddHBand="0" w:evenHBand="1" w:firstRowFirstColumn="0" w:firstRowLastColumn="0" w:lastRowFirstColumn="0" w:lastRowLastColumn="0"/>
        </w:trPr>
        <w:tc>
          <w:tcPr>
            <w:tcW w:w="2330" w:type="dxa"/>
          </w:tcPr>
          <w:p w14:paraId="728EC637" w14:textId="77777777" w:rsidR="000120A1" w:rsidRPr="000D0ED7" w:rsidRDefault="000120A1" w:rsidP="00AF1C52">
            <w:pPr>
              <w:rPr>
                <w:noProof/>
                <w:lang w:val="en-IE"/>
              </w:rPr>
            </w:pPr>
            <w:r w:rsidRPr="00DB5CB4">
              <w:rPr>
                <w:noProof/>
                <w:lang w:val="en-IE"/>
              </w:rPr>
              <w:t>Availability of the European information systems common communication</w:t>
            </w:r>
            <w:r w:rsidRPr="000D0ED7">
              <w:rPr>
                <w:noProof/>
                <w:lang w:val="en-IE"/>
              </w:rPr>
              <w:t xml:space="preserve"> network</w:t>
            </w:r>
          </w:p>
        </w:tc>
        <w:tc>
          <w:tcPr>
            <w:tcW w:w="1100" w:type="dxa"/>
          </w:tcPr>
          <w:p w14:paraId="6A572B6E" w14:textId="77777777" w:rsidR="000120A1" w:rsidRPr="000D0ED7" w:rsidRDefault="000120A1" w:rsidP="00AF1C52">
            <w:pPr>
              <w:jc w:val="center"/>
              <w:rPr>
                <w:noProof/>
                <w:lang w:val="en-IE"/>
              </w:rPr>
            </w:pPr>
          </w:p>
        </w:tc>
        <w:tc>
          <w:tcPr>
            <w:tcW w:w="1526" w:type="dxa"/>
          </w:tcPr>
          <w:p w14:paraId="2D2A1A1E" w14:textId="77777777" w:rsidR="000120A1" w:rsidRPr="000D0ED7" w:rsidRDefault="000120A1" w:rsidP="00AF1C52">
            <w:pPr>
              <w:jc w:val="center"/>
              <w:rPr>
                <w:b/>
                <w:noProof/>
                <w:lang w:val="en-IE"/>
              </w:rPr>
            </w:pPr>
            <w:r w:rsidRPr="000D0ED7">
              <w:rPr>
                <w:rFonts w:ascii="Calibri" w:hAnsi="Calibri" w:cs="Calibri"/>
                <w:noProof/>
                <w:lang w:val="en-IE"/>
              </w:rPr>
              <w:t> </w:t>
            </w:r>
            <w:r w:rsidRPr="000D0ED7">
              <w:rPr>
                <w:noProof/>
                <w:lang w:val="en-IE"/>
              </w:rPr>
              <w:t>100%</w:t>
            </w:r>
          </w:p>
        </w:tc>
        <w:tc>
          <w:tcPr>
            <w:tcW w:w="1532" w:type="dxa"/>
          </w:tcPr>
          <w:p w14:paraId="4338ADBE" w14:textId="77777777" w:rsidR="000120A1" w:rsidRPr="000D0ED7" w:rsidRDefault="000120A1" w:rsidP="00AF1C52">
            <w:pPr>
              <w:jc w:val="center"/>
              <w:rPr>
                <w:noProof/>
                <w:lang w:val="en-IE"/>
              </w:rPr>
            </w:pPr>
            <w:r w:rsidRPr="000D0ED7">
              <w:rPr>
                <w:noProof/>
                <w:lang w:val="en-IE"/>
              </w:rPr>
              <w:t>99.90%</w:t>
            </w:r>
            <w:r>
              <w:rPr>
                <w:noProof/>
                <w:lang w:val="en-IE"/>
              </w:rPr>
              <w:t xml:space="preserve"> annually</w:t>
            </w:r>
          </w:p>
        </w:tc>
        <w:tc>
          <w:tcPr>
            <w:tcW w:w="1572" w:type="dxa"/>
          </w:tcPr>
          <w:p w14:paraId="706E1861" w14:textId="77777777" w:rsidR="000120A1" w:rsidRPr="000D0ED7" w:rsidRDefault="000120A1" w:rsidP="00AF1C52">
            <w:pPr>
              <w:jc w:val="center"/>
              <w:rPr>
                <w:noProof/>
                <w:lang w:val="en-IE"/>
              </w:rPr>
            </w:pPr>
            <w:r w:rsidRPr="000D0ED7">
              <w:rPr>
                <w:noProof/>
                <w:lang w:val="en-IE"/>
              </w:rPr>
              <w:t>99.90% availability out of a target of 99.90%</w:t>
            </w:r>
          </w:p>
        </w:tc>
        <w:tc>
          <w:tcPr>
            <w:tcW w:w="1579" w:type="dxa"/>
          </w:tcPr>
          <w:p w14:paraId="4AAA3095" w14:textId="77777777" w:rsidR="000120A1" w:rsidRPr="000D0ED7" w:rsidRDefault="000120A1" w:rsidP="00AF1C52">
            <w:pPr>
              <w:jc w:val="center"/>
              <w:rPr>
                <w:noProof/>
                <w:lang w:val="en-IE"/>
              </w:rPr>
            </w:pPr>
            <w:r>
              <w:rPr>
                <w:noProof/>
                <w:lang w:val="en-IE"/>
              </w:rPr>
              <w:t>Achieved</w:t>
            </w:r>
          </w:p>
        </w:tc>
      </w:tr>
      <w:tr w:rsidR="000120A1" w:rsidRPr="000D0ED7" w14:paraId="1EFC54C8" w14:textId="77777777" w:rsidTr="00AF1C52">
        <w:trPr>
          <w:cnfStyle w:val="000000100000" w:firstRow="0" w:lastRow="0" w:firstColumn="0" w:lastColumn="0" w:oddVBand="0" w:evenVBand="0" w:oddHBand="1" w:evenHBand="0" w:firstRowFirstColumn="0" w:firstRowLastColumn="0" w:lastRowFirstColumn="0" w:lastRowLastColumn="0"/>
        </w:trPr>
        <w:tc>
          <w:tcPr>
            <w:tcW w:w="2330" w:type="dxa"/>
          </w:tcPr>
          <w:p w14:paraId="444409F0" w14:textId="77777777" w:rsidR="000120A1" w:rsidRPr="000D0ED7" w:rsidRDefault="000120A1" w:rsidP="00AF1C52">
            <w:pPr>
              <w:rPr>
                <w:noProof/>
                <w:lang w:val="en-IE"/>
              </w:rPr>
            </w:pPr>
            <w:r w:rsidRPr="000D0ED7">
              <w:rPr>
                <w:noProof/>
                <w:lang w:val="en-IE"/>
              </w:rPr>
              <w:t>European information systems availability</w:t>
            </w:r>
            <w:r w:rsidRPr="000D0ED7">
              <w:rPr>
                <w:rFonts w:ascii="Calibri" w:hAnsi="Calibri" w:cs="Calibri"/>
                <w:noProof/>
                <w:lang w:val="en-IE"/>
              </w:rPr>
              <w:t> –</w:t>
            </w:r>
            <w:r w:rsidRPr="000D0ED7">
              <w:rPr>
                <w:noProof/>
                <w:lang w:val="en-IE"/>
              </w:rPr>
              <w:t xml:space="preserve"> business hours</w:t>
            </w:r>
          </w:p>
        </w:tc>
        <w:tc>
          <w:tcPr>
            <w:tcW w:w="1100" w:type="dxa"/>
          </w:tcPr>
          <w:p w14:paraId="013E211F" w14:textId="77777777" w:rsidR="000120A1" w:rsidRPr="000D0ED7" w:rsidRDefault="000120A1" w:rsidP="00AF1C52">
            <w:pPr>
              <w:jc w:val="center"/>
              <w:rPr>
                <w:noProof/>
                <w:lang w:val="en-IE"/>
              </w:rPr>
            </w:pPr>
          </w:p>
        </w:tc>
        <w:tc>
          <w:tcPr>
            <w:tcW w:w="1526" w:type="dxa"/>
          </w:tcPr>
          <w:p w14:paraId="47894913" w14:textId="77777777" w:rsidR="000120A1" w:rsidRPr="000D0ED7" w:rsidRDefault="000120A1" w:rsidP="00AF1C52">
            <w:pPr>
              <w:jc w:val="center"/>
              <w:rPr>
                <w:b/>
                <w:noProof/>
                <w:lang w:val="en-IE"/>
              </w:rPr>
            </w:pPr>
            <w:r w:rsidRPr="000D0ED7">
              <w:rPr>
                <w:noProof/>
                <w:lang w:val="en-IE"/>
              </w:rPr>
              <w:t>&gt;</w:t>
            </w:r>
            <w:r w:rsidRPr="000D0ED7">
              <w:rPr>
                <w:rFonts w:ascii="Calibri" w:hAnsi="Calibri" w:cs="Calibri"/>
                <w:noProof/>
                <w:lang w:val="en-IE"/>
              </w:rPr>
              <w:t> </w:t>
            </w:r>
            <w:r w:rsidRPr="000D0ED7">
              <w:rPr>
                <w:noProof/>
                <w:lang w:val="en-IE"/>
              </w:rPr>
              <w:t>100%</w:t>
            </w:r>
          </w:p>
        </w:tc>
        <w:tc>
          <w:tcPr>
            <w:tcW w:w="1532" w:type="dxa"/>
          </w:tcPr>
          <w:p w14:paraId="78C53B30" w14:textId="380D896F" w:rsidR="000120A1" w:rsidRPr="000D0ED7" w:rsidRDefault="000120A1" w:rsidP="00AF1C52">
            <w:pPr>
              <w:jc w:val="center"/>
              <w:rPr>
                <w:noProof/>
                <w:lang w:val="en-IE"/>
              </w:rPr>
            </w:pPr>
            <w:r w:rsidRPr="000D0ED7">
              <w:rPr>
                <w:noProof/>
                <w:lang w:val="en-IE"/>
              </w:rPr>
              <w:t>97.00%</w:t>
            </w:r>
            <w:r w:rsidR="00194AD0">
              <w:rPr>
                <w:noProof/>
                <w:lang w:val="en-IE"/>
              </w:rPr>
              <w:t xml:space="preserve"> annually</w:t>
            </w:r>
          </w:p>
        </w:tc>
        <w:tc>
          <w:tcPr>
            <w:tcW w:w="1572" w:type="dxa"/>
          </w:tcPr>
          <w:p w14:paraId="417C8B36" w14:textId="2B2B2E0D" w:rsidR="000120A1" w:rsidRPr="000D0ED7" w:rsidRDefault="000120A1" w:rsidP="00AF1C52">
            <w:pPr>
              <w:jc w:val="center"/>
              <w:rPr>
                <w:noProof/>
                <w:lang w:val="en-IE"/>
              </w:rPr>
            </w:pPr>
            <w:r>
              <w:rPr>
                <w:noProof/>
                <w:lang w:val="en-IE"/>
              </w:rPr>
              <w:t>9</w:t>
            </w:r>
            <w:r w:rsidR="00194AD0">
              <w:rPr>
                <w:noProof/>
                <w:lang w:val="en-IE"/>
              </w:rPr>
              <w:t>8</w:t>
            </w:r>
            <w:r>
              <w:rPr>
                <w:noProof/>
                <w:lang w:val="en-IE"/>
              </w:rPr>
              <w:t>.</w:t>
            </w:r>
            <w:r w:rsidR="00194AD0">
              <w:rPr>
                <w:noProof/>
                <w:lang w:val="en-IE"/>
              </w:rPr>
              <w:t>77</w:t>
            </w:r>
            <w:r w:rsidRPr="000D0ED7">
              <w:rPr>
                <w:noProof/>
                <w:lang w:val="en-IE"/>
              </w:rPr>
              <w:t>% availability compared to a target of 97.00%</w:t>
            </w:r>
          </w:p>
        </w:tc>
        <w:tc>
          <w:tcPr>
            <w:tcW w:w="1579" w:type="dxa"/>
          </w:tcPr>
          <w:p w14:paraId="61F56A4F" w14:textId="77777777" w:rsidR="000120A1" w:rsidRPr="000D0ED7" w:rsidRDefault="000120A1" w:rsidP="00AF1C52">
            <w:pPr>
              <w:jc w:val="center"/>
              <w:rPr>
                <w:noProof/>
                <w:lang w:val="en-IE"/>
              </w:rPr>
            </w:pPr>
            <w:r>
              <w:rPr>
                <w:noProof/>
                <w:lang w:val="en-IE"/>
              </w:rPr>
              <w:t>Achieved</w:t>
            </w:r>
          </w:p>
        </w:tc>
      </w:tr>
      <w:tr w:rsidR="000120A1" w:rsidRPr="000D0ED7" w14:paraId="16349A96" w14:textId="77777777" w:rsidTr="00AF1C52">
        <w:trPr>
          <w:cnfStyle w:val="000000010000" w:firstRow="0" w:lastRow="0" w:firstColumn="0" w:lastColumn="0" w:oddVBand="0" w:evenVBand="0" w:oddHBand="0" w:evenHBand="1" w:firstRowFirstColumn="0" w:firstRowLastColumn="0" w:lastRowFirstColumn="0" w:lastRowLastColumn="0"/>
          <w:trHeight w:val="1353"/>
        </w:trPr>
        <w:tc>
          <w:tcPr>
            <w:tcW w:w="2330" w:type="dxa"/>
          </w:tcPr>
          <w:p w14:paraId="514D4EB4" w14:textId="77777777" w:rsidR="000120A1" w:rsidRPr="000D0ED7" w:rsidRDefault="000120A1" w:rsidP="00AF1C52">
            <w:pPr>
              <w:rPr>
                <w:noProof/>
                <w:lang w:val="en-IE"/>
              </w:rPr>
            </w:pPr>
            <w:r w:rsidRPr="000D0ED7">
              <w:rPr>
                <w:noProof/>
                <w:lang w:val="en-IE"/>
              </w:rPr>
              <w:t>European information systems availability</w:t>
            </w:r>
            <w:r w:rsidRPr="000D0ED7">
              <w:rPr>
                <w:rFonts w:ascii="Calibri" w:hAnsi="Calibri" w:cs="Calibri"/>
                <w:noProof/>
                <w:lang w:val="en-IE"/>
              </w:rPr>
              <w:t> –</w:t>
            </w:r>
            <w:r w:rsidRPr="000D0ED7">
              <w:rPr>
                <w:noProof/>
                <w:lang w:val="en-IE"/>
              </w:rPr>
              <w:t xml:space="preserve"> other</w:t>
            </w:r>
          </w:p>
        </w:tc>
        <w:tc>
          <w:tcPr>
            <w:tcW w:w="1100" w:type="dxa"/>
          </w:tcPr>
          <w:p w14:paraId="1DD12543" w14:textId="77777777" w:rsidR="000120A1" w:rsidRPr="000D0ED7" w:rsidRDefault="000120A1" w:rsidP="00AF1C52">
            <w:pPr>
              <w:jc w:val="center"/>
              <w:rPr>
                <w:noProof/>
                <w:lang w:val="en-IE"/>
              </w:rPr>
            </w:pPr>
          </w:p>
        </w:tc>
        <w:tc>
          <w:tcPr>
            <w:tcW w:w="1526" w:type="dxa"/>
          </w:tcPr>
          <w:p w14:paraId="7B8F34F5" w14:textId="77777777" w:rsidR="000120A1" w:rsidRPr="000D0ED7" w:rsidRDefault="000120A1" w:rsidP="00AF1C52">
            <w:pPr>
              <w:jc w:val="center"/>
              <w:rPr>
                <w:b/>
                <w:noProof/>
                <w:lang w:val="en-IE"/>
              </w:rPr>
            </w:pPr>
            <w:r w:rsidRPr="000D0ED7">
              <w:rPr>
                <w:noProof/>
                <w:lang w:val="en-IE"/>
              </w:rPr>
              <w:t>&gt;</w:t>
            </w:r>
            <w:r w:rsidRPr="000D0ED7">
              <w:rPr>
                <w:rFonts w:ascii="Calibri" w:hAnsi="Calibri" w:cs="Calibri"/>
                <w:noProof/>
                <w:lang w:val="en-IE"/>
              </w:rPr>
              <w:t> </w:t>
            </w:r>
            <w:r w:rsidRPr="000D0ED7">
              <w:rPr>
                <w:noProof/>
                <w:lang w:val="en-IE"/>
              </w:rPr>
              <w:t>100%</w:t>
            </w:r>
          </w:p>
        </w:tc>
        <w:tc>
          <w:tcPr>
            <w:tcW w:w="1532" w:type="dxa"/>
          </w:tcPr>
          <w:p w14:paraId="3FEF8EFE" w14:textId="2838616E" w:rsidR="000120A1" w:rsidRPr="000D0ED7" w:rsidRDefault="000120A1" w:rsidP="00AF1C52">
            <w:pPr>
              <w:jc w:val="center"/>
              <w:rPr>
                <w:noProof/>
                <w:lang w:val="en-IE"/>
              </w:rPr>
            </w:pPr>
            <w:r w:rsidRPr="000D0ED7">
              <w:rPr>
                <w:noProof/>
                <w:lang w:val="en-IE"/>
              </w:rPr>
              <w:t>95.00%</w:t>
            </w:r>
            <w:r w:rsidR="00194AD0">
              <w:rPr>
                <w:noProof/>
                <w:lang w:val="en-IE"/>
              </w:rPr>
              <w:t xml:space="preserve"> annually</w:t>
            </w:r>
          </w:p>
        </w:tc>
        <w:tc>
          <w:tcPr>
            <w:tcW w:w="1572" w:type="dxa"/>
          </w:tcPr>
          <w:p w14:paraId="644D8701" w14:textId="34FEB5A8" w:rsidR="000120A1" w:rsidRPr="000D0ED7" w:rsidRDefault="000120A1" w:rsidP="00AF1C52">
            <w:pPr>
              <w:jc w:val="center"/>
              <w:rPr>
                <w:noProof/>
                <w:lang w:val="en-IE"/>
              </w:rPr>
            </w:pPr>
            <w:r>
              <w:rPr>
                <w:noProof/>
                <w:lang w:val="en-IE"/>
              </w:rPr>
              <w:t>9</w:t>
            </w:r>
            <w:r w:rsidR="00194AD0">
              <w:rPr>
                <w:noProof/>
                <w:lang w:val="en-IE"/>
              </w:rPr>
              <w:t>8</w:t>
            </w:r>
            <w:r>
              <w:rPr>
                <w:noProof/>
                <w:lang w:val="en-IE"/>
              </w:rPr>
              <w:t>.</w:t>
            </w:r>
            <w:r w:rsidR="00194AD0">
              <w:rPr>
                <w:noProof/>
                <w:lang w:val="en-IE"/>
              </w:rPr>
              <w:t>77</w:t>
            </w:r>
            <w:r w:rsidRPr="000D0ED7">
              <w:rPr>
                <w:noProof/>
                <w:lang w:val="en-IE"/>
              </w:rPr>
              <w:t>% availability compared to a target of 95.00%</w:t>
            </w:r>
          </w:p>
        </w:tc>
        <w:tc>
          <w:tcPr>
            <w:tcW w:w="1579" w:type="dxa"/>
          </w:tcPr>
          <w:p w14:paraId="0D411E50" w14:textId="77777777" w:rsidR="000120A1" w:rsidRPr="000D0ED7" w:rsidRDefault="000120A1" w:rsidP="00AF1C52">
            <w:pPr>
              <w:jc w:val="center"/>
              <w:rPr>
                <w:noProof/>
                <w:lang w:val="en-IE"/>
              </w:rPr>
            </w:pPr>
            <w:r>
              <w:rPr>
                <w:noProof/>
                <w:lang w:val="en-IE"/>
              </w:rPr>
              <w:t>Achieved</w:t>
            </w:r>
          </w:p>
        </w:tc>
      </w:tr>
    </w:tbl>
    <w:p w14:paraId="7B1B36D1" w14:textId="77777777" w:rsidR="000120A1" w:rsidRDefault="000120A1" w:rsidP="000120A1">
      <w:pPr>
        <w:pStyle w:val="FootnoteText"/>
        <w:rPr>
          <w:noProof/>
          <w:lang w:val="en-IE"/>
        </w:rPr>
      </w:pPr>
      <w:bookmarkStart w:id="91" w:name="_Hlk100669424"/>
    </w:p>
    <w:p w14:paraId="1C4804EC" w14:textId="03AD7A3B" w:rsidR="008A10FB" w:rsidRDefault="008A10FB" w:rsidP="000120A1">
      <w:pPr>
        <w:pStyle w:val="FootnoteText"/>
        <w:rPr>
          <w:noProof/>
          <w:lang w:val="en-IE"/>
        </w:rPr>
      </w:pPr>
      <w:r w:rsidRPr="000D0ED7" w:rsidDel="008A10FB">
        <w:rPr>
          <w:noProof/>
          <w:lang w:val="en-IE"/>
        </w:rPr>
        <w:t xml:space="preserve"> </w:t>
      </w:r>
      <w:r w:rsidR="000120A1">
        <w:rPr>
          <w:noProof/>
          <w:lang w:val="en-IE"/>
        </w:rPr>
        <w:t xml:space="preserve">(*) Average of </w:t>
      </w:r>
      <w:r>
        <w:rPr>
          <w:noProof/>
          <w:lang w:val="en-IE"/>
        </w:rPr>
        <w:t xml:space="preserve">2014-2020 </w:t>
      </w:r>
      <w:r w:rsidR="000120A1">
        <w:rPr>
          <w:noProof/>
          <w:lang w:val="en-IE"/>
        </w:rPr>
        <w:t xml:space="preserve">results </w:t>
      </w:r>
      <w:r>
        <w:rPr>
          <w:noProof/>
          <w:lang w:val="en-IE"/>
        </w:rPr>
        <w:t>compared to target</w:t>
      </w:r>
    </w:p>
    <w:p w14:paraId="306B41E6" w14:textId="48ABCEDE" w:rsidR="008A10FB" w:rsidRDefault="008A10FB" w:rsidP="000120A1">
      <w:pPr>
        <w:pStyle w:val="FootnoteText"/>
        <w:rPr>
          <w:noProof/>
          <w:lang w:val="en-IE"/>
        </w:rPr>
      </w:pPr>
      <w:r>
        <w:rPr>
          <w:noProof/>
          <w:lang w:val="en-IE"/>
        </w:rPr>
        <w:t xml:space="preserve">(**) 2020 and 2021 results were 81%, compared to a target of 90%. </w:t>
      </w:r>
    </w:p>
    <w:p w14:paraId="18A6E753" w14:textId="3136D677" w:rsidR="000120A1" w:rsidRPr="000D0ED7" w:rsidRDefault="008A10FB" w:rsidP="000120A1">
      <w:pPr>
        <w:pStyle w:val="FootnoteText"/>
        <w:rPr>
          <w:noProof/>
          <w:lang w:val="en-IE"/>
        </w:rPr>
      </w:pPr>
      <w:r>
        <w:rPr>
          <w:noProof/>
          <w:lang w:val="en-IE"/>
        </w:rPr>
        <w:t>(***) 2020 and 2021 results were 85 and 20, compared to a target of 380.</w:t>
      </w:r>
    </w:p>
    <w:p w14:paraId="56050928" w14:textId="77777777" w:rsidR="000120A1" w:rsidRPr="000D0ED7" w:rsidRDefault="000120A1" w:rsidP="000120A1">
      <w:pPr>
        <w:pStyle w:val="FootnoteText"/>
        <w:rPr>
          <w:noProof/>
          <w:lang w:val="en-IE"/>
        </w:rPr>
      </w:pPr>
    </w:p>
    <w:bookmarkEnd w:id="91"/>
    <w:p w14:paraId="1A3D319B" w14:textId="77777777" w:rsidR="000120A1" w:rsidRPr="000D0ED7" w:rsidRDefault="000120A1" w:rsidP="000120A1">
      <w:pPr>
        <w:pStyle w:val="FootnoteText"/>
        <w:rPr>
          <w:noProof/>
          <w:color w:val="BBB931"/>
          <w:lang w:val="en-IE"/>
        </w:rPr>
      </w:pPr>
    </w:p>
    <w:p w14:paraId="38A4B444" w14:textId="77777777" w:rsidR="000120A1" w:rsidRPr="000D0ED7" w:rsidRDefault="000120A1" w:rsidP="000120A1">
      <w:pPr>
        <w:pStyle w:val="ppoListHyphened-L1"/>
        <w:rPr>
          <w:noProof/>
          <w:lang w:val="en-IE"/>
        </w:rPr>
      </w:pPr>
      <w:r w:rsidRPr="000D0ED7">
        <w:rPr>
          <w:noProof/>
          <w:lang w:val="en-IE"/>
        </w:rPr>
        <w:t>The programme faced continued unprecedented challenges in 2021. The COVID-19 pandemic impacted mainly face-to-face interactions, while the delayed adoption of the customs programme had a significant effect on all of its activities, warranting the introduction of provisional measures and extension of contracts, which also delayed meaningful progress in terms of performance.</w:t>
      </w:r>
    </w:p>
    <w:p w14:paraId="21A46DF2" w14:textId="77777777" w:rsidR="000120A1" w:rsidRPr="000D0ED7" w:rsidRDefault="000120A1" w:rsidP="000120A1">
      <w:pPr>
        <w:pStyle w:val="ppoListHyphened-L1"/>
        <w:rPr>
          <w:noProof/>
          <w:lang w:val="en-IE"/>
        </w:rPr>
      </w:pPr>
      <w:r w:rsidRPr="000D0ED7">
        <w:rPr>
          <w:noProof/>
          <w:lang w:val="en-IE"/>
        </w:rPr>
        <w:t>The programme was on track until the pandemic struck, causing significant disruption and preventing in particular the achievement of the target to organise at least 380 meetings. In 2020, only 85 meetings could be organised, down from 570 in 2019. COVID-19 also affected the networking opportunities under the programme, leading to a decrease in the satisfaction rate of participants from levels above the 90% target in previous years (96%) to a rate lower than the target in 2020 (81%). However, in December 2021</w:t>
      </w:r>
      <w:r w:rsidRPr="000D0ED7">
        <w:rPr>
          <w:rFonts w:ascii="Calibri" w:hAnsi="Calibri" w:cs="Calibri"/>
          <w:noProof/>
          <w:lang w:val="en-IE"/>
        </w:rPr>
        <w:t> –</w:t>
      </w:r>
      <w:r w:rsidRPr="000D0ED7">
        <w:rPr>
          <w:noProof/>
          <w:lang w:val="en-IE"/>
        </w:rPr>
        <w:t xml:space="preserve"> the first month of implementation of the new Customs 2021 programme</w:t>
      </w:r>
      <w:r w:rsidRPr="000D0ED7">
        <w:rPr>
          <w:rFonts w:ascii="Calibri" w:hAnsi="Calibri" w:cs="Calibri"/>
          <w:noProof/>
          <w:lang w:val="en-IE"/>
        </w:rPr>
        <w:t> –</w:t>
      </w:r>
      <w:r w:rsidRPr="000D0ED7">
        <w:rPr>
          <w:noProof/>
          <w:lang w:val="en-IE"/>
        </w:rPr>
        <w:t xml:space="preserve"> no less than seven events took place, showing a continuing tendency of relying on online meetings in the absence of physical ones.</w:t>
      </w:r>
    </w:p>
    <w:p w14:paraId="3C1A9D34" w14:textId="77777777" w:rsidR="000120A1" w:rsidRPr="000D0ED7" w:rsidRDefault="000120A1" w:rsidP="000120A1">
      <w:pPr>
        <w:pStyle w:val="ppoListHyphened-L1"/>
        <w:rPr>
          <w:noProof/>
          <w:lang w:val="en-IE"/>
        </w:rPr>
      </w:pPr>
      <w:r w:rsidRPr="000D0ED7">
        <w:rPr>
          <w:noProof/>
          <w:lang w:val="en-IE"/>
        </w:rPr>
        <w:t>Despite the challenges faced in 2021, the collaboration among Member States under this programme remained strong. The majority of the collaboration action managers and participants adapted to the new working modalities (online collaboration/online meetings). Business continuity of information technology was ensured, as proven by the stable availability of information technology systems.</w:t>
      </w:r>
    </w:p>
    <w:p w14:paraId="640DA7E2" w14:textId="77777777" w:rsidR="000120A1" w:rsidRPr="000D0ED7" w:rsidRDefault="000120A1" w:rsidP="000120A1">
      <w:pPr>
        <w:pStyle w:val="ppoListHyphened-L1"/>
        <w:rPr>
          <w:noProof/>
          <w:lang w:val="en-IE"/>
        </w:rPr>
      </w:pPr>
      <w:r w:rsidRPr="000D0ED7">
        <w:rPr>
          <w:noProof/>
          <w:lang w:val="en-IE"/>
        </w:rPr>
        <w:t>In 2021, the programme supported 33 collaborative actions, whose primary objective identified a strong link with the preparation, coherent application and effective implementation of EU law/policy.</w:t>
      </w:r>
    </w:p>
    <w:p w14:paraId="7AEE7AB1" w14:textId="77777777" w:rsidR="000120A1" w:rsidRPr="000D0ED7" w:rsidRDefault="000120A1" w:rsidP="000120A1">
      <w:pPr>
        <w:pStyle w:val="ppoListHyphened-L1"/>
        <w:rPr>
          <w:noProof/>
          <w:lang w:val="en-IE"/>
        </w:rPr>
      </w:pPr>
      <w:r w:rsidRPr="000D0ED7">
        <w:rPr>
          <w:noProof/>
          <w:lang w:val="en-IE"/>
        </w:rPr>
        <w:t>Owing to various measures undertaken to stretch the existing contracts to their limits, the network and system availability of the European electronic systems remained close to 100% in 2021, despite the late entry into force of the programme.</w:t>
      </w:r>
    </w:p>
    <w:p w14:paraId="32C69598" w14:textId="77777777" w:rsidR="00042126" w:rsidRDefault="000120A1" w:rsidP="000120A1">
      <w:pPr>
        <w:pStyle w:val="ppoListHyphened-L1"/>
        <w:rPr>
          <w:noProof/>
          <w:lang w:val="en-IE"/>
        </w:rPr>
        <w:sectPr w:rsidR="00042126" w:rsidSect="000120A1">
          <w:headerReference w:type="even" r:id="rId177"/>
          <w:headerReference w:type="default" r:id="rId178"/>
          <w:footerReference w:type="even" r:id="rId179"/>
          <w:footerReference w:type="default" r:id="rId180"/>
          <w:headerReference w:type="first" r:id="rId181"/>
          <w:footerReference w:type="first" r:id="rId182"/>
          <w:pgSz w:w="11906" w:h="16838" w:code="9"/>
          <w:pgMar w:top="1134" w:right="1134" w:bottom="964" w:left="1134" w:header="431" w:footer="431" w:gutter="0"/>
          <w:cols w:space="720"/>
          <w:titlePg/>
          <w:docGrid w:linePitch="360"/>
        </w:sectPr>
      </w:pPr>
      <w:r w:rsidRPr="000D0ED7">
        <w:rPr>
          <w:noProof/>
          <w:lang w:val="en-IE"/>
        </w:rPr>
        <w:t>Regarding human competency and training, the number of officials trained in 2021 increased significantly to 384</w:t>
      </w:r>
      <w:r w:rsidRPr="000D0ED7">
        <w:rPr>
          <w:rFonts w:ascii="Calibri" w:hAnsi="Calibri" w:cs="Calibri"/>
          <w:noProof/>
          <w:lang w:val="en-IE"/>
        </w:rPr>
        <w:t> </w:t>
      </w:r>
      <w:r w:rsidRPr="000D0ED7">
        <w:rPr>
          <w:noProof/>
          <w:lang w:val="en-IE"/>
        </w:rPr>
        <w:t>696 (from 18</w:t>
      </w:r>
      <w:r w:rsidRPr="000D0ED7">
        <w:rPr>
          <w:rFonts w:ascii="Calibri" w:hAnsi="Calibri" w:cs="Calibri"/>
          <w:noProof/>
          <w:lang w:val="en-IE"/>
        </w:rPr>
        <w:t> </w:t>
      </w:r>
      <w:r w:rsidRPr="000D0ED7">
        <w:rPr>
          <w:noProof/>
          <w:lang w:val="en-IE"/>
        </w:rPr>
        <w:t>109 in 2020), due to the availability of the new customs and tax EU learning portal.</w:t>
      </w:r>
    </w:p>
    <w:p w14:paraId="0F0BB17F" w14:textId="77777777" w:rsidR="005C4C84" w:rsidRPr="000A46E3" w:rsidRDefault="005C4C84" w:rsidP="005C4C84">
      <w:pPr>
        <w:pStyle w:val="StyleppoHeading3WhiteLeft0cm"/>
        <w:rPr>
          <w:noProof/>
          <w:sz w:val="40"/>
        </w:rPr>
      </w:pPr>
    </w:p>
    <w:p w14:paraId="4EA4FFB2" w14:textId="77777777" w:rsidR="005C4C84" w:rsidRPr="000A46E3" w:rsidRDefault="005C4C84" w:rsidP="005C4C84">
      <w:pPr>
        <w:pStyle w:val="StyleppoHeading3WhiteLeft0cm"/>
        <w:rPr>
          <w:noProof/>
          <w:sz w:val="60"/>
        </w:rPr>
      </w:pPr>
      <w:bookmarkStart w:id="92" w:name="_Toc102086340"/>
      <w:r w:rsidRPr="000A46E3">
        <w:rPr>
          <w:noProof/>
          <w:sz w:val="60"/>
        </w:rPr>
        <w:t>EU SPACE</w:t>
      </w:r>
      <w:bookmarkEnd w:id="92"/>
    </w:p>
    <w:p w14:paraId="2AF23019" w14:textId="77777777" w:rsidR="005C4C84" w:rsidRPr="000A46E3" w:rsidRDefault="005C4C84" w:rsidP="005C4C84">
      <w:pPr>
        <w:pStyle w:val="StyleppoProgrammenameWhiteLeft01cm"/>
        <w:rPr>
          <w:caps/>
          <w:noProof/>
        </w:rPr>
      </w:pPr>
      <w:r w:rsidRPr="000A46E3">
        <w:rPr>
          <w:caps/>
          <w:noProof/>
        </w:rPr>
        <w:t>EU SPACE PROGRAMME</w:t>
      </w:r>
    </w:p>
    <w:p w14:paraId="282C0028" w14:textId="77777777" w:rsidR="005C4C84" w:rsidRPr="000A46E3" w:rsidRDefault="005C4C84" w:rsidP="005C4C84">
      <w:pPr>
        <w:pStyle w:val="StyleppoProgrammenameWhiteLeft01cm"/>
        <w:rPr>
          <w:noProof/>
        </w:rPr>
        <w:sectPr w:rsidR="005C4C84" w:rsidRPr="000A46E3" w:rsidSect="00AF1C52">
          <w:headerReference w:type="even" r:id="rId183"/>
          <w:headerReference w:type="default" r:id="rId184"/>
          <w:footerReference w:type="even" r:id="rId185"/>
          <w:footerReference w:type="default" r:id="rId186"/>
          <w:headerReference w:type="first" r:id="rId187"/>
          <w:footerReference w:type="first" r:id="rId188"/>
          <w:pgSz w:w="11906" w:h="16838" w:code="9"/>
          <w:pgMar w:top="1134" w:right="1134" w:bottom="964" w:left="1134" w:header="431" w:footer="431" w:gutter="0"/>
          <w:cols w:space="720"/>
          <w:docGrid w:linePitch="360"/>
        </w:sectPr>
      </w:pPr>
    </w:p>
    <w:p w14:paraId="3B0EC68A" w14:textId="77777777" w:rsidR="005C4C84" w:rsidRPr="000D0ED7" w:rsidRDefault="005C4C84" w:rsidP="005C4C84">
      <w:pPr>
        <w:pStyle w:val="ppoHeading4Orange"/>
        <w:rPr>
          <w:noProof/>
          <w:lang w:val="en-IE"/>
        </w:rPr>
      </w:pPr>
      <w:r w:rsidRPr="000D0ED7">
        <w:rPr>
          <w:noProof/>
          <w:lang w:val="en-IE"/>
        </w:rPr>
        <w:t>Programme in a nutshell</w:t>
      </w:r>
    </w:p>
    <w:p w14:paraId="40E364F7" w14:textId="77777777" w:rsidR="005C4C84" w:rsidRPr="004F71CE" w:rsidRDefault="005C4C84" w:rsidP="005C4C84">
      <w:pPr>
        <w:pStyle w:val="ppoHeading5"/>
        <w:rPr>
          <w:noProof/>
        </w:rPr>
      </w:pPr>
      <w:r w:rsidRPr="004F71CE">
        <w:rPr>
          <w:noProof/>
        </w:rPr>
        <w:t>Concrete examples of achievements</w:t>
      </w:r>
    </w:p>
    <w:tbl>
      <w:tblPr>
        <w:tblStyle w:val="PPO2021"/>
        <w:tblW w:w="9639" w:type="dxa"/>
        <w:tblInd w:w="0" w:type="dxa"/>
        <w:tblLook w:val="0200" w:firstRow="0" w:lastRow="0" w:firstColumn="0" w:lastColumn="0" w:noHBand="1" w:noVBand="0"/>
      </w:tblPr>
      <w:tblGrid>
        <w:gridCol w:w="2410"/>
        <w:gridCol w:w="2409"/>
        <w:gridCol w:w="2410"/>
        <w:gridCol w:w="2410"/>
      </w:tblGrid>
      <w:tr w:rsidR="005C4C84" w:rsidRPr="004F71CE" w14:paraId="12F3D786" w14:textId="77777777" w:rsidTr="00C46CC7">
        <w:tc>
          <w:tcPr>
            <w:tcW w:w="2410" w:type="dxa"/>
          </w:tcPr>
          <w:p w14:paraId="6EA5207C" w14:textId="77777777" w:rsidR="005C4C84" w:rsidRPr="004F71CE" w:rsidRDefault="005C4C84" w:rsidP="00AF1C52">
            <w:pPr>
              <w:pStyle w:val="ppoTableacheivementvalue"/>
              <w:rPr>
                <w:noProof/>
              </w:rPr>
            </w:pPr>
            <w:r w:rsidRPr="004F71CE">
              <w:rPr>
                <w:noProof/>
              </w:rPr>
              <w:t>2.5</w:t>
            </w:r>
            <w:r w:rsidRPr="004F71CE">
              <w:rPr>
                <w:rFonts w:ascii="Calibri" w:hAnsi="Calibri" w:cs="Calibri"/>
                <w:noProof/>
              </w:rPr>
              <w:t> </w:t>
            </w:r>
            <w:r w:rsidRPr="004F71CE">
              <w:rPr>
                <w:noProof/>
              </w:rPr>
              <w:t>billion</w:t>
            </w:r>
          </w:p>
          <w:p w14:paraId="4FDC1D32" w14:textId="77777777" w:rsidR="005C4C84" w:rsidRPr="004F71CE" w:rsidRDefault="005C4C84" w:rsidP="00962E3C">
            <w:pPr>
              <w:jc w:val="left"/>
              <w:rPr>
                <w:noProof/>
              </w:rPr>
            </w:pPr>
            <w:r w:rsidRPr="004F71CE">
              <w:rPr>
                <w:noProof/>
              </w:rPr>
              <w:t>Galileo-enabled devices were in use in 2021.</w:t>
            </w:r>
          </w:p>
        </w:tc>
        <w:tc>
          <w:tcPr>
            <w:cnfStyle w:val="000001000000" w:firstRow="0" w:lastRow="0" w:firstColumn="0" w:lastColumn="0" w:oddVBand="0" w:evenVBand="1" w:oddHBand="0" w:evenHBand="0" w:firstRowFirstColumn="0" w:firstRowLastColumn="0" w:lastRowFirstColumn="0" w:lastRowLastColumn="0"/>
            <w:tcW w:w="2409" w:type="dxa"/>
          </w:tcPr>
          <w:p w14:paraId="4A58F396" w14:textId="77777777" w:rsidR="005C4C84" w:rsidRPr="004F71CE" w:rsidRDefault="005C4C84" w:rsidP="00AF1C52">
            <w:pPr>
              <w:pStyle w:val="ppoTableacheivementvalue"/>
              <w:rPr>
                <w:noProof/>
              </w:rPr>
            </w:pPr>
            <w:r w:rsidRPr="004F71CE">
              <w:rPr>
                <w:noProof/>
              </w:rPr>
              <w:t>3</w:t>
            </w:r>
          </w:p>
          <w:p w14:paraId="518594F6" w14:textId="77777777" w:rsidR="005C4C84" w:rsidRPr="004F71CE" w:rsidRDefault="005C4C84" w:rsidP="00962E3C">
            <w:pPr>
              <w:pStyle w:val="ppoTableacheivementvalue"/>
              <w:jc w:val="left"/>
              <w:rPr>
                <w:noProof/>
              </w:rPr>
            </w:pPr>
            <w:r w:rsidRPr="004F71CE">
              <w:rPr>
                <w:noProof/>
                <w:sz w:val="22"/>
                <w:szCs w:val="22"/>
              </w:rPr>
              <w:t>times better positioning accuracy performance has been achieved by Galileo when compared to other global navigation satellite systems, with excellent availability.</w:t>
            </w:r>
          </w:p>
        </w:tc>
        <w:tc>
          <w:tcPr>
            <w:tcW w:w="2410" w:type="dxa"/>
            <w:tcBorders>
              <w:bottom w:val="single" w:sz="4" w:space="0" w:color="8C8C8C"/>
            </w:tcBorders>
          </w:tcPr>
          <w:p w14:paraId="0CB0888C" w14:textId="77777777" w:rsidR="005C4C84" w:rsidRPr="004F71CE" w:rsidRDefault="005C4C84" w:rsidP="00AF1C52">
            <w:pPr>
              <w:pStyle w:val="ppoTableacheivementvalue"/>
              <w:cnfStyle w:val="000000000000" w:firstRow="0" w:lastRow="0" w:firstColumn="0" w:lastColumn="0" w:oddVBand="0" w:evenVBand="0" w:oddHBand="0" w:evenHBand="0" w:firstRowFirstColumn="0" w:firstRowLastColumn="0" w:lastRowFirstColumn="0" w:lastRowLastColumn="0"/>
              <w:rPr>
                <w:noProof/>
              </w:rPr>
            </w:pPr>
            <w:r w:rsidRPr="004F71CE">
              <w:rPr>
                <w:noProof/>
              </w:rPr>
              <w:t>2</w:t>
            </w:r>
          </w:p>
          <w:p w14:paraId="6B731AE7" w14:textId="77777777" w:rsidR="005C4C84" w:rsidRPr="004F71CE" w:rsidRDefault="005C4C84" w:rsidP="00962E3C">
            <w:pPr>
              <w:jc w:val="left"/>
              <w:cnfStyle w:val="000000000000" w:firstRow="0" w:lastRow="0" w:firstColumn="0" w:lastColumn="0" w:oddVBand="0" w:evenVBand="0" w:oddHBand="0" w:evenHBand="0" w:firstRowFirstColumn="0" w:firstRowLastColumn="0" w:lastRowFirstColumn="0" w:lastRowLastColumn="0"/>
              <w:rPr>
                <w:noProof/>
              </w:rPr>
            </w:pPr>
            <w:r w:rsidRPr="004F71CE">
              <w:rPr>
                <w:noProof/>
              </w:rPr>
              <w:t>additional Galileo satellites were successfully launched in 2021, bringing the number of satellites in orbit to 28.</w:t>
            </w:r>
          </w:p>
        </w:tc>
        <w:tc>
          <w:tcPr>
            <w:cnfStyle w:val="000001000000" w:firstRow="0" w:lastRow="0" w:firstColumn="0" w:lastColumn="0" w:oddVBand="0" w:evenVBand="1" w:oddHBand="0" w:evenHBand="0" w:firstRowFirstColumn="0" w:firstRowLastColumn="0" w:lastRowFirstColumn="0" w:lastRowLastColumn="0"/>
            <w:tcW w:w="2410" w:type="dxa"/>
          </w:tcPr>
          <w:p w14:paraId="39DC0B07" w14:textId="77777777" w:rsidR="005C4C84" w:rsidRPr="004F71CE" w:rsidRDefault="005C4C84" w:rsidP="00AF1C52">
            <w:pPr>
              <w:pStyle w:val="ppoTableacheivementvalue"/>
              <w:rPr>
                <w:noProof/>
              </w:rPr>
            </w:pPr>
            <w:r w:rsidRPr="004F71CE">
              <w:rPr>
                <w:noProof/>
              </w:rPr>
              <w:t>18</w:t>
            </w:r>
          </w:p>
          <w:p w14:paraId="499FCFCD" w14:textId="77777777" w:rsidR="005C4C84" w:rsidRPr="004F71CE" w:rsidRDefault="005C4C84" w:rsidP="00962E3C">
            <w:pPr>
              <w:pStyle w:val="PSNormal"/>
              <w:spacing w:before="240" w:after="120"/>
              <w:rPr>
                <w:rFonts w:ascii="EC Square Sans Pro" w:hAnsi="EC Square Sans Pro"/>
                <w:noProof/>
                <w:sz w:val="22"/>
                <w:lang w:eastAsia="en-US"/>
              </w:rPr>
            </w:pPr>
            <w:r w:rsidRPr="004F71CE">
              <w:rPr>
                <w:rFonts w:ascii="EC Square Sans Pro" w:hAnsi="EC Square Sans Pro"/>
                <w:noProof/>
                <w:sz w:val="22"/>
                <w:lang w:eastAsia="en-US"/>
              </w:rPr>
              <w:t>Member States are ready to process the 112 emergency caller location service driven by Galileo</w:t>
            </w:r>
            <w:r w:rsidRPr="004F71CE">
              <w:rPr>
                <w:noProof/>
              </w:rPr>
              <w:t>.</w:t>
            </w:r>
          </w:p>
        </w:tc>
      </w:tr>
      <w:tr w:rsidR="005C4C84" w:rsidRPr="004F71CE" w14:paraId="7C604442" w14:textId="77777777" w:rsidTr="00C46CC7">
        <w:tc>
          <w:tcPr>
            <w:tcW w:w="2410" w:type="dxa"/>
          </w:tcPr>
          <w:p w14:paraId="2F9FE04F" w14:textId="77777777" w:rsidR="005C4C84" w:rsidRPr="004F71CE" w:rsidRDefault="005C4C84" w:rsidP="00AF1C52">
            <w:pPr>
              <w:pStyle w:val="ppoTableacheivementvalue"/>
              <w:rPr>
                <w:noProof/>
              </w:rPr>
            </w:pPr>
            <w:r w:rsidRPr="004F71CE">
              <w:rPr>
                <w:noProof/>
              </w:rPr>
              <w:t>8</w:t>
            </w:r>
          </w:p>
          <w:p w14:paraId="236D0C1F" w14:textId="77777777" w:rsidR="005C4C84" w:rsidRPr="004F71CE" w:rsidRDefault="005C4C84" w:rsidP="00962E3C">
            <w:pPr>
              <w:jc w:val="left"/>
              <w:rPr>
                <w:noProof/>
              </w:rPr>
            </w:pPr>
            <w:r w:rsidRPr="004F71CE">
              <w:rPr>
                <w:rFonts w:eastAsia="EC Square Sans Pro" w:cs="EC Square Sans Pro"/>
                <w:noProof/>
              </w:rPr>
              <w:t>Copernicus satellites were in orbit in 2021.</w:t>
            </w:r>
          </w:p>
        </w:tc>
        <w:tc>
          <w:tcPr>
            <w:cnfStyle w:val="000001000000" w:firstRow="0" w:lastRow="0" w:firstColumn="0" w:lastColumn="0" w:oddVBand="0" w:evenVBand="1" w:oddHBand="0" w:evenHBand="0" w:firstRowFirstColumn="0" w:firstRowLastColumn="0" w:lastRowFirstColumn="0" w:lastRowLastColumn="0"/>
            <w:tcW w:w="2409" w:type="dxa"/>
            <w:shd w:val="clear" w:color="auto" w:fill="F2F2F2"/>
          </w:tcPr>
          <w:p w14:paraId="2976B770" w14:textId="77777777" w:rsidR="005C4C84" w:rsidRPr="004F71CE" w:rsidRDefault="005C4C84" w:rsidP="00AF1C52">
            <w:pPr>
              <w:jc w:val="center"/>
              <w:rPr>
                <w:noProof/>
                <w:sz w:val="28"/>
                <w:szCs w:val="28"/>
              </w:rPr>
            </w:pPr>
            <w:r w:rsidRPr="004F71CE">
              <w:rPr>
                <w:noProof/>
                <w:sz w:val="28"/>
                <w:szCs w:val="28"/>
              </w:rPr>
              <w:t>76</w:t>
            </w:r>
          </w:p>
          <w:p w14:paraId="4A6803AD" w14:textId="77777777" w:rsidR="005C4C84" w:rsidRPr="004F71CE" w:rsidRDefault="005C4C84" w:rsidP="00962E3C">
            <w:pPr>
              <w:jc w:val="left"/>
              <w:rPr>
                <w:noProof/>
              </w:rPr>
            </w:pPr>
            <w:r w:rsidRPr="004F71CE">
              <w:rPr>
                <w:noProof/>
              </w:rPr>
              <w:t>activations of the on-demand Copernicus rapid mapping and risk and recovery mapping services were reported in 2021.</w:t>
            </w:r>
          </w:p>
        </w:tc>
        <w:tc>
          <w:tcPr>
            <w:tcW w:w="2410" w:type="dxa"/>
            <w:tcBorders>
              <w:bottom w:val="single" w:sz="4" w:space="0" w:color="8C8C8C"/>
            </w:tcBorders>
            <w:shd w:val="clear" w:color="auto" w:fill="FFFFFF" w:themeFill="background1"/>
          </w:tcPr>
          <w:p w14:paraId="1361E256" w14:textId="77777777" w:rsidR="005C4C84" w:rsidRPr="004F71CE" w:rsidRDefault="005C4C84" w:rsidP="00AF1C52">
            <w:pPr>
              <w:jc w:val="center"/>
              <w:cnfStyle w:val="000000000000" w:firstRow="0" w:lastRow="0" w:firstColumn="0" w:lastColumn="0" w:oddVBand="0" w:evenVBand="0" w:oddHBand="0" w:evenHBand="0" w:firstRowFirstColumn="0" w:firstRowLastColumn="0" w:lastRowFirstColumn="0" w:lastRowLastColumn="0"/>
              <w:rPr>
                <w:noProof/>
                <w:sz w:val="28"/>
                <w:szCs w:val="28"/>
              </w:rPr>
            </w:pPr>
            <w:r w:rsidRPr="004F71CE">
              <w:rPr>
                <w:noProof/>
                <w:sz w:val="28"/>
                <w:szCs w:val="28"/>
              </w:rPr>
              <w:t>100</w:t>
            </w:r>
            <w:r w:rsidRPr="004F71CE">
              <w:rPr>
                <w:rFonts w:ascii="Calibri" w:hAnsi="Calibri" w:cs="Calibri"/>
                <w:noProof/>
                <w:sz w:val="28"/>
                <w:szCs w:val="28"/>
              </w:rPr>
              <w:t> </w:t>
            </w:r>
            <w:r w:rsidRPr="004F71CE">
              <w:rPr>
                <w:noProof/>
                <w:sz w:val="28"/>
                <w:szCs w:val="28"/>
              </w:rPr>
              <w:t>000</w:t>
            </w:r>
          </w:p>
          <w:p w14:paraId="2D34B298" w14:textId="77777777" w:rsidR="005C4C84" w:rsidRPr="000A46E3" w:rsidRDefault="005C4C84" w:rsidP="00962E3C">
            <w:pPr>
              <w:jc w:val="left"/>
              <w:cnfStyle w:val="000000000000" w:firstRow="0" w:lastRow="0" w:firstColumn="0" w:lastColumn="0" w:oddVBand="0" w:evenVBand="0" w:oddHBand="0" w:evenHBand="0" w:firstRowFirstColumn="0" w:firstRowLastColumn="0" w:lastRowFirstColumn="0" w:lastRowLastColumn="0"/>
              <w:rPr>
                <w:noProof/>
              </w:rPr>
            </w:pPr>
            <w:r w:rsidRPr="004F71CE">
              <w:rPr>
                <w:rFonts w:eastAsia="EC Square Sans Pro" w:cs="EC Square Sans Pro"/>
                <w:noProof/>
              </w:rPr>
              <w:t xml:space="preserve">registered users of the Copernicus Climate Change service had access to </w:t>
            </w:r>
            <w:r w:rsidRPr="000A46E3">
              <w:rPr>
                <w:noProof/>
              </w:rPr>
              <w:t>more than 70</w:t>
            </w:r>
            <w:r w:rsidRPr="004F71CE">
              <w:rPr>
                <w:rFonts w:ascii="Calibri" w:eastAsia="EC Square Sans Pro" w:hAnsi="Calibri" w:cs="Calibri"/>
                <w:noProof/>
              </w:rPr>
              <w:t> </w:t>
            </w:r>
            <w:r w:rsidRPr="000A46E3">
              <w:rPr>
                <w:noProof/>
              </w:rPr>
              <w:t>terabytes of quality-controlled climate data per day in December 2021.</w:t>
            </w:r>
          </w:p>
        </w:tc>
        <w:tc>
          <w:tcPr>
            <w:cnfStyle w:val="000001000000" w:firstRow="0" w:lastRow="0" w:firstColumn="0" w:lastColumn="0" w:oddVBand="0" w:evenVBand="1" w:oddHBand="0" w:evenHBand="0" w:firstRowFirstColumn="0" w:firstRowLastColumn="0" w:lastRowFirstColumn="0" w:lastRowLastColumn="0"/>
            <w:tcW w:w="2410" w:type="dxa"/>
            <w:shd w:val="clear" w:color="auto" w:fill="F2F2F2"/>
          </w:tcPr>
          <w:p w14:paraId="59B43148" w14:textId="77777777" w:rsidR="005C4C84" w:rsidRPr="004F71CE" w:rsidRDefault="005C4C84" w:rsidP="00AF1C52">
            <w:pPr>
              <w:jc w:val="center"/>
              <w:rPr>
                <w:noProof/>
              </w:rPr>
            </w:pPr>
            <w:r w:rsidRPr="004F71CE">
              <w:rPr>
                <w:noProof/>
                <w:sz w:val="28"/>
                <w:szCs w:val="28"/>
              </w:rPr>
              <w:t>45</w:t>
            </w:r>
            <w:r w:rsidRPr="004F71CE">
              <w:rPr>
                <w:rFonts w:ascii="Calibri" w:hAnsi="Calibri" w:cs="Calibri"/>
                <w:noProof/>
                <w:sz w:val="28"/>
                <w:szCs w:val="28"/>
              </w:rPr>
              <w:t> </w:t>
            </w:r>
            <w:r w:rsidRPr="004F71CE">
              <w:rPr>
                <w:noProof/>
                <w:sz w:val="28"/>
                <w:szCs w:val="28"/>
              </w:rPr>
              <w:t>million</w:t>
            </w:r>
          </w:p>
          <w:p w14:paraId="70D37C9B" w14:textId="77777777" w:rsidR="005C4C84" w:rsidRPr="004F71CE" w:rsidRDefault="005C4C84" w:rsidP="00962E3C">
            <w:pPr>
              <w:jc w:val="left"/>
              <w:rPr>
                <w:rFonts w:eastAsia="EC Square Sans Pro" w:cs="EC Square Sans Pro"/>
                <w:noProof/>
              </w:rPr>
            </w:pPr>
            <w:r w:rsidRPr="004F71CE">
              <w:rPr>
                <w:noProof/>
              </w:rPr>
              <w:t>Copernicus data products were published in 2021.</w:t>
            </w:r>
          </w:p>
        </w:tc>
      </w:tr>
    </w:tbl>
    <w:p w14:paraId="1427A538" w14:textId="77777777" w:rsidR="005C4C84" w:rsidRPr="004F71CE" w:rsidRDefault="005C4C84" w:rsidP="005C4C84">
      <w:pPr>
        <w:pStyle w:val="ppoHeading5"/>
        <w:rPr>
          <w:noProof/>
        </w:rPr>
      </w:pPr>
      <w:r w:rsidRPr="004F71CE">
        <w:rPr>
          <w:noProof/>
        </w:rPr>
        <w:t>Budget for 2021-2027</w:t>
      </w:r>
    </w:p>
    <w:p w14:paraId="4FFA17F4" w14:textId="77777777" w:rsidR="005C4C84" w:rsidRPr="004F71CE" w:rsidRDefault="005C4C84" w:rsidP="005C4C84">
      <w:pPr>
        <w:pStyle w:val="ppoTableTabletitle"/>
        <w:ind w:left="284"/>
        <w:rPr>
          <w:noProof/>
        </w:rPr>
      </w:pPr>
      <w:r w:rsidRPr="004F71CE">
        <w:rPr>
          <w:noProof/>
        </w:rPr>
        <w:t>(million EUR)</w:t>
      </w:r>
    </w:p>
    <w:tbl>
      <w:tblPr>
        <w:tblStyle w:val="PlainTable2"/>
        <w:tblW w:w="0" w:type="auto"/>
        <w:tblInd w:w="288" w:type="dxa"/>
        <w:tblLook w:val="04A0" w:firstRow="1" w:lastRow="0" w:firstColumn="1" w:lastColumn="0" w:noHBand="0" w:noVBand="1"/>
      </w:tblPr>
      <w:tblGrid>
        <w:gridCol w:w="4788"/>
        <w:gridCol w:w="2610"/>
      </w:tblGrid>
      <w:tr w:rsidR="005C4C84" w:rsidRPr="004F71CE" w14:paraId="7440C0A8" w14:textId="77777777" w:rsidTr="00AF1C5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4875D7D6" w14:textId="77777777" w:rsidR="005C4C84" w:rsidRPr="004F71CE" w:rsidRDefault="005C4C84" w:rsidP="00AF1C52">
            <w:pPr>
              <w:spacing w:before="120" w:after="120"/>
              <w:rPr>
                <w:noProof/>
              </w:rPr>
            </w:pPr>
            <w:r w:rsidRPr="004F71CE">
              <w:rPr>
                <w:rFonts w:cs="Calibri"/>
                <w:noProof/>
                <w:color w:val="000000"/>
              </w:rPr>
              <w:t>Financial programming</w:t>
            </w:r>
          </w:p>
        </w:tc>
        <w:tc>
          <w:tcPr>
            <w:tcW w:w="2610" w:type="dxa"/>
            <w:shd w:val="clear" w:color="auto" w:fill="auto"/>
            <w:vAlign w:val="bottom"/>
          </w:tcPr>
          <w:p w14:paraId="7F41114F" w14:textId="77777777" w:rsidR="00A505F5" w:rsidRDefault="00A505F5" w:rsidP="00A505F5">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14 390.0</w:t>
            </w:r>
          </w:p>
          <w:p w14:paraId="6BE611AB" w14:textId="5570B9D8" w:rsidR="005C4C84" w:rsidRPr="004F71CE" w:rsidRDefault="005C4C84" w:rsidP="00AF1C52">
            <w:pPr>
              <w:spacing w:before="120" w:after="120"/>
              <w:jc w:val="center"/>
              <w:cnfStyle w:val="100000000000" w:firstRow="1" w:lastRow="0" w:firstColumn="0" w:lastColumn="0" w:oddVBand="0" w:evenVBand="0" w:oddHBand="0" w:evenHBand="0" w:firstRowFirstColumn="0" w:firstRowLastColumn="0" w:lastRowFirstColumn="0" w:lastRowLastColumn="0"/>
              <w:rPr>
                <w:b w:val="0"/>
                <w:noProof/>
              </w:rPr>
            </w:pPr>
          </w:p>
        </w:tc>
      </w:tr>
      <w:tr w:rsidR="005C4C84" w:rsidRPr="004F71CE" w14:paraId="0A71D7AF" w14:textId="77777777" w:rsidTr="00AF1C5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732BF0D4" w14:textId="77777777" w:rsidR="005C4C84" w:rsidRPr="004F71CE" w:rsidRDefault="005C4C84" w:rsidP="00AF1C52">
            <w:pPr>
              <w:spacing w:before="120" w:after="120"/>
              <w:rPr>
                <w:b w:val="0"/>
                <w:noProof/>
              </w:rPr>
            </w:pPr>
            <w:r w:rsidRPr="004F71CE">
              <w:rPr>
                <w:rFonts w:cs="Calibri"/>
                <w:noProof/>
                <w:color w:val="000000"/>
              </w:rPr>
              <w:t>NextGenerationEU</w:t>
            </w:r>
          </w:p>
        </w:tc>
        <w:tc>
          <w:tcPr>
            <w:tcW w:w="2610" w:type="dxa"/>
            <w:vAlign w:val="bottom"/>
          </w:tcPr>
          <w:p w14:paraId="77C2E255" w14:textId="77777777" w:rsidR="005C4C84" w:rsidRPr="004F71CE" w:rsidRDefault="005C4C84" w:rsidP="00AF1C52">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4F71CE">
              <w:rPr>
                <w:rFonts w:cs="Calibri"/>
                <w:noProof/>
                <w:color w:val="000000"/>
              </w:rPr>
              <w:t>0</w:t>
            </w:r>
          </w:p>
        </w:tc>
      </w:tr>
      <w:tr w:rsidR="005C4C84" w:rsidRPr="004F71CE" w14:paraId="4566C286" w14:textId="77777777" w:rsidTr="00AF1C52">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4C6C1157" w14:textId="77777777" w:rsidR="005C4C84" w:rsidRPr="004F71CE" w:rsidRDefault="005C4C84" w:rsidP="00AF1C52">
            <w:pPr>
              <w:spacing w:before="120" w:after="120"/>
              <w:rPr>
                <w:rFonts w:cs="Calibri"/>
                <w:noProof/>
                <w:color w:val="000000"/>
              </w:rPr>
            </w:pPr>
            <w:r w:rsidRPr="0028263B">
              <w:rPr>
                <w:rFonts w:cs="Calibri"/>
                <w:noProof/>
                <w:color w:val="000000"/>
              </w:rPr>
              <w:t>Decommit</w:t>
            </w:r>
            <w:r>
              <w:rPr>
                <w:rFonts w:cs="Calibri"/>
                <w:noProof/>
                <w:color w:val="000000"/>
              </w:rPr>
              <w:t>ments made available again (*)</w:t>
            </w:r>
            <w:r>
              <w:rPr>
                <w:rFonts w:cs="Calibri"/>
                <w:noProof/>
                <w:color w:val="000000"/>
              </w:rPr>
              <w:tab/>
            </w:r>
          </w:p>
        </w:tc>
        <w:tc>
          <w:tcPr>
            <w:tcW w:w="2610" w:type="dxa"/>
            <w:vAlign w:val="bottom"/>
          </w:tcPr>
          <w:p w14:paraId="68E21C5B" w14:textId="77777777" w:rsidR="005C4C84" w:rsidRPr="004F71CE" w:rsidRDefault="005C4C84" w:rsidP="00AF1C52">
            <w:pPr>
              <w:spacing w:before="120" w:after="120"/>
              <w:jc w:val="center"/>
              <w:cnfStyle w:val="000000000000" w:firstRow="0" w:lastRow="0" w:firstColumn="0" w:lastColumn="0" w:oddVBand="0" w:evenVBand="0" w:oddHBand="0" w:evenHBand="0" w:firstRowFirstColumn="0" w:firstRowLastColumn="0" w:lastRowFirstColumn="0" w:lastRowLastColumn="0"/>
              <w:rPr>
                <w:rFonts w:cs="Calibri"/>
                <w:noProof/>
                <w:color w:val="000000"/>
              </w:rPr>
            </w:pPr>
            <w:r>
              <w:rPr>
                <w:rFonts w:cs="Calibri"/>
                <w:noProof/>
                <w:color w:val="000000"/>
              </w:rPr>
              <w:t>N/A</w:t>
            </w:r>
          </w:p>
        </w:tc>
      </w:tr>
      <w:tr w:rsidR="005C4C84" w:rsidRPr="004F71CE" w14:paraId="4AA75D70" w14:textId="77777777" w:rsidTr="00AF1C5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12416500" w14:textId="77777777" w:rsidR="005C4C84" w:rsidRPr="004F71CE" w:rsidRDefault="005C4C84" w:rsidP="00AF1C52">
            <w:pPr>
              <w:spacing w:before="120" w:after="120"/>
              <w:rPr>
                <w:noProof/>
              </w:rPr>
            </w:pPr>
            <w:r w:rsidRPr="004F71CE">
              <w:rPr>
                <w:rFonts w:cs="Calibri"/>
                <w:noProof/>
                <w:color w:val="000000"/>
              </w:rPr>
              <w:t>Contributions from other countries and entities</w:t>
            </w:r>
          </w:p>
        </w:tc>
        <w:tc>
          <w:tcPr>
            <w:tcW w:w="2610" w:type="dxa"/>
            <w:vAlign w:val="bottom"/>
          </w:tcPr>
          <w:p w14:paraId="71CC6E10" w14:textId="2C0B241A" w:rsidR="005C4C84" w:rsidRPr="004F71CE" w:rsidRDefault="005C4C84" w:rsidP="00AF1C52">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28263B">
              <w:rPr>
                <w:rFonts w:cs="Calibri"/>
                <w:noProof/>
                <w:color w:val="000000"/>
              </w:rPr>
              <w:t>123.4</w:t>
            </w:r>
          </w:p>
        </w:tc>
      </w:tr>
      <w:tr w:rsidR="005C4C84" w:rsidRPr="004F71CE" w14:paraId="2DD7EF50" w14:textId="77777777" w:rsidTr="00AF1C52">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2F2F2" w:themeFill="background1" w:themeFillShade="F2"/>
            <w:vAlign w:val="bottom"/>
          </w:tcPr>
          <w:p w14:paraId="11B874D2" w14:textId="77777777" w:rsidR="005C4C84" w:rsidRPr="004F71CE" w:rsidRDefault="005C4C84" w:rsidP="00AF1C52">
            <w:pPr>
              <w:spacing w:before="120" w:after="120"/>
              <w:rPr>
                <w:noProof/>
              </w:rPr>
            </w:pPr>
            <w:r w:rsidRPr="004F71CE">
              <w:rPr>
                <w:rFonts w:cs="Calibri"/>
                <w:noProof/>
                <w:color w:val="000000"/>
              </w:rPr>
              <w:t>Total budget for 2021-2027</w:t>
            </w:r>
          </w:p>
        </w:tc>
        <w:tc>
          <w:tcPr>
            <w:tcW w:w="2610" w:type="dxa"/>
            <w:shd w:val="clear" w:color="auto" w:fill="F2F2F2" w:themeFill="background1" w:themeFillShade="F2"/>
            <w:vAlign w:val="bottom"/>
          </w:tcPr>
          <w:p w14:paraId="54FC3433" w14:textId="77777777" w:rsidR="00A505F5" w:rsidRDefault="00A505F5" w:rsidP="00A505F5">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noProof/>
                <w:color w:val="000000"/>
              </w:rPr>
            </w:pPr>
            <w:r>
              <w:rPr>
                <w:rFonts w:ascii="Calibri" w:hAnsi="Calibri" w:cs="Calibri"/>
                <w:b/>
                <w:bCs/>
                <w:noProof/>
                <w:color w:val="000000"/>
              </w:rPr>
              <w:t>14 513.4</w:t>
            </w:r>
          </w:p>
          <w:p w14:paraId="6C665BAD" w14:textId="36EBD142" w:rsidR="005C4C84" w:rsidRPr="004F71CE" w:rsidRDefault="005C4C84" w:rsidP="00AF1C52">
            <w:pPr>
              <w:spacing w:before="120" w:after="120"/>
              <w:jc w:val="center"/>
              <w:cnfStyle w:val="000000000000" w:firstRow="0" w:lastRow="0" w:firstColumn="0" w:lastColumn="0" w:oddVBand="0" w:evenVBand="0" w:oddHBand="0" w:evenHBand="0" w:firstRowFirstColumn="0" w:firstRowLastColumn="0" w:lastRowFirstColumn="0" w:lastRowLastColumn="0"/>
              <w:rPr>
                <w:b/>
                <w:noProof/>
              </w:rPr>
            </w:pPr>
          </w:p>
        </w:tc>
      </w:tr>
    </w:tbl>
    <w:p w14:paraId="5004A674" w14:textId="77777777" w:rsidR="005C4C84" w:rsidRPr="0028263B" w:rsidRDefault="005C4C84" w:rsidP="005C4C84">
      <w:pPr>
        <w:tabs>
          <w:tab w:val="left" w:pos="6793"/>
        </w:tabs>
        <w:rPr>
          <w:noProof/>
          <w:sz w:val="18"/>
        </w:rPr>
      </w:pPr>
      <w:bookmarkStart w:id="93" w:name="_Hlk101347032"/>
      <w:r>
        <w:rPr>
          <w:noProof/>
          <w:sz w:val="18"/>
          <w:szCs w:val="18"/>
        </w:rPr>
        <w:t>(*)</w:t>
      </w:r>
      <w:r>
        <w:rPr>
          <w:noProof/>
          <w:sz w:val="18"/>
        </w:rPr>
        <w:t xml:space="preserve"> Only </w:t>
      </w:r>
      <w:r>
        <w:rPr>
          <w:noProof/>
          <w:sz w:val="18"/>
          <w:szCs w:val="18"/>
        </w:rPr>
        <w:t>Article</w:t>
      </w:r>
      <w:r>
        <w:rPr>
          <w:rFonts w:ascii="Calibri" w:hAnsi="Calibri" w:cs="Calibri"/>
          <w:noProof/>
          <w:sz w:val="18"/>
          <w:szCs w:val="18"/>
        </w:rPr>
        <w:t> </w:t>
      </w:r>
      <w:r>
        <w:rPr>
          <w:noProof/>
          <w:sz w:val="18"/>
        </w:rPr>
        <w:t>15</w:t>
      </w:r>
      <w:r>
        <w:rPr>
          <w:noProof/>
          <w:sz w:val="18"/>
          <w:szCs w:val="18"/>
        </w:rPr>
        <w:t>(</w:t>
      </w:r>
      <w:r>
        <w:rPr>
          <w:noProof/>
          <w:sz w:val="18"/>
        </w:rPr>
        <w:t>3</w:t>
      </w:r>
      <w:r>
        <w:rPr>
          <w:noProof/>
          <w:sz w:val="18"/>
          <w:szCs w:val="18"/>
        </w:rPr>
        <w:t>) of the financial regulation</w:t>
      </w:r>
      <w:bookmarkEnd w:id="93"/>
      <w:r>
        <w:rPr>
          <w:noProof/>
          <w:sz w:val="18"/>
          <w:szCs w:val="18"/>
        </w:rPr>
        <w:t>.</w:t>
      </w:r>
    </w:p>
    <w:p w14:paraId="5D729A8A" w14:textId="77777777" w:rsidR="005C4C84" w:rsidRPr="004F71CE" w:rsidRDefault="005C4C84" w:rsidP="005C4C84">
      <w:pPr>
        <w:pStyle w:val="ppoHeading5"/>
        <w:rPr>
          <w:noProof/>
        </w:rPr>
      </w:pPr>
      <w:r w:rsidRPr="004F71CE">
        <w:rPr>
          <w:noProof/>
        </w:rPr>
        <w:t>Rationale and design of the programme</w:t>
      </w:r>
    </w:p>
    <w:p w14:paraId="109F7747" w14:textId="77777777" w:rsidR="005C4C84" w:rsidRPr="004F71CE" w:rsidRDefault="005C4C84" w:rsidP="005C4C84">
      <w:pPr>
        <w:spacing w:after="120"/>
        <w:rPr>
          <w:noProof/>
        </w:rPr>
      </w:pPr>
      <w:r w:rsidRPr="004F71CE">
        <w:rPr>
          <w:noProof/>
        </w:rPr>
        <w:t>The EU space programme is designed to support and transform EU legislation in fields such as the environment, civil protection, security, climate change, the internal market, transport, energy, agriculture, cooperation with non-EU countries and humanitarian aid.</w:t>
      </w:r>
    </w:p>
    <w:p w14:paraId="50AF9BC9" w14:textId="77777777" w:rsidR="005C4C84" w:rsidRPr="004F71CE" w:rsidRDefault="005C4C84" w:rsidP="005C4C84">
      <w:pPr>
        <w:spacing w:after="120"/>
        <w:rPr>
          <w:noProof/>
        </w:rPr>
      </w:pPr>
      <w:r w:rsidRPr="004F71CE">
        <w:rPr>
          <w:noProof/>
        </w:rPr>
        <w:t>Furthermore, EU action for space research under Horizon Europe supports technological development, innovation and the competitiveness of European upstream and downstream space sectors, including support for space entrepreneurship.</w:t>
      </w:r>
    </w:p>
    <w:p w14:paraId="7BF8424F" w14:textId="77777777" w:rsidR="005C4C84" w:rsidRPr="004F71CE" w:rsidRDefault="005C4C84" w:rsidP="005C4C84">
      <w:pPr>
        <w:pStyle w:val="ppoHeading6"/>
        <w:rPr>
          <w:noProof/>
        </w:rPr>
      </w:pPr>
      <w:r w:rsidRPr="004F71CE">
        <w:rPr>
          <w:noProof/>
        </w:rPr>
        <w:t>Challenge</w:t>
      </w:r>
    </w:p>
    <w:p w14:paraId="7E14DE29" w14:textId="77777777" w:rsidR="005C4C84" w:rsidRPr="004F71CE" w:rsidRDefault="005C4C84" w:rsidP="005C4C84">
      <w:pPr>
        <w:rPr>
          <w:noProof/>
        </w:rPr>
      </w:pPr>
      <w:r w:rsidRPr="004F71CE">
        <w:rPr>
          <w:noProof/>
        </w:rPr>
        <w:t>Space technology, data and services are indispensable in the daily lives of Europeans, and key for Europe to reinforce autonomy in areas of strategic importance and for implementing the EU's political priorities such as the Green Deal and the digital strategies to tackle climate change, sustainability, safety and security. Thanks to major investment, the EU has a strong edge in space activities and the European space industry is one of the most competitive on the global stage. However, there are many new challenges and actors across the world.</w:t>
      </w:r>
    </w:p>
    <w:p w14:paraId="019BC8B4" w14:textId="77777777" w:rsidR="005C4C84" w:rsidRPr="004F71CE" w:rsidRDefault="005C4C84" w:rsidP="005C4C84">
      <w:pPr>
        <w:rPr>
          <w:noProof/>
        </w:rPr>
      </w:pPr>
      <w:r w:rsidRPr="004F71CE">
        <w:rPr>
          <w:noProof/>
        </w:rPr>
        <w:t>The EU space programme brings together the financial and technical capacities of Member States and yields economies of scale for the public spending involved. Furthermore, the provision of data and services throughout the Member States requires coordination at the EU level. Given the requirements in terms of security, all Member States must be involved.</w:t>
      </w:r>
    </w:p>
    <w:p w14:paraId="506F53F7" w14:textId="77777777" w:rsidR="005C4C84" w:rsidRPr="004F71CE" w:rsidRDefault="005C4C84" w:rsidP="005C4C84">
      <w:pPr>
        <w:pStyle w:val="ppoHeading6"/>
        <w:rPr>
          <w:noProof/>
        </w:rPr>
      </w:pPr>
      <w:r w:rsidRPr="004F71CE">
        <w:rPr>
          <w:noProof/>
        </w:rPr>
        <w:t>Mission</w:t>
      </w:r>
    </w:p>
    <w:p w14:paraId="59F51BDF" w14:textId="77777777" w:rsidR="005C4C84" w:rsidRPr="004F71CE" w:rsidRDefault="005C4C84" w:rsidP="005C4C84">
      <w:pPr>
        <w:rPr>
          <w:noProof/>
        </w:rPr>
      </w:pPr>
      <w:r w:rsidRPr="004F71CE">
        <w:rPr>
          <w:noProof/>
        </w:rPr>
        <w:t>The EU space programme provides, maintains and promotes the use of space data, information and services to support the EU’s political priorities. It also fosters the development of European space industry, enhances the security of the EU and its Member States, reinforces autonomy in areas of strategic importance and promotes the role of the EU as a strong global space actor.</w:t>
      </w:r>
    </w:p>
    <w:p w14:paraId="2B3B29F5" w14:textId="77777777" w:rsidR="005C4C84" w:rsidRPr="004F71CE" w:rsidRDefault="005C4C84" w:rsidP="005C4C84">
      <w:pPr>
        <w:pStyle w:val="ppoHeading6"/>
        <w:rPr>
          <w:noProof/>
        </w:rPr>
      </w:pPr>
      <w:r w:rsidRPr="004F71CE">
        <w:rPr>
          <w:noProof/>
        </w:rPr>
        <w:t>OBJECTIVES</w:t>
      </w:r>
    </w:p>
    <w:p w14:paraId="17C55DB8" w14:textId="77777777" w:rsidR="005C4C84" w:rsidRPr="004F71CE" w:rsidRDefault="005C4C84" w:rsidP="005C4C84">
      <w:pPr>
        <w:rPr>
          <w:noProof/>
        </w:rPr>
      </w:pPr>
      <w:r w:rsidRPr="004F71CE">
        <w:rPr>
          <w:noProof/>
        </w:rPr>
        <w:t>The EU space programme pursues the following objectives:</w:t>
      </w:r>
    </w:p>
    <w:p w14:paraId="09A91ACA" w14:textId="77777777" w:rsidR="005C4C84" w:rsidRPr="004F71CE" w:rsidRDefault="005C4C84" w:rsidP="005C4C84">
      <w:pPr>
        <w:pStyle w:val="ppoListHyphened-L1"/>
        <w:rPr>
          <w:noProof/>
        </w:rPr>
      </w:pPr>
      <w:r w:rsidRPr="004F71CE">
        <w:rPr>
          <w:noProof/>
        </w:rPr>
        <w:t>to provide state-of-the-art, robust and secure positioning, navigation and timing services;</w:t>
      </w:r>
    </w:p>
    <w:p w14:paraId="37755AAD" w14:textId="77777777" w:rsidR="005C4C84" w:rsidRPr="004F71CE" w:rsidRDefault="005C4C84" w:rsidP="005C4C84">
      <w:pPr>
        <w:pStyle w:val="ppoListHyphened-L1"/>
        <w:rPr>
          <w:noProof/>
        </w:rPr>
      </w:pPr>
      <w:r w:rsidRPr="004F71CE">
        <w:rPr>
          <w:noProof/>
        </w:rPr>
        <w:t>to deliver accurate and reliable Earth observation data, information and services;</w:t>
      </w:r>
    </w:p>
    <w:p w14:paraId="2C246788" w14:textId="77777777" w:rsidR="005C4C84" w:rsidRPr="004F71CE" w:rsidRDefault="005C4C84" w:rsidP="005C4C84">
      <w:pPr>
        <w:pStyle w:val="ppoListHyphened-L1"/>
        <w:rPr>
          <w:noProof/>
        </w:rPr>
      </w:pPr>
      <w:r w:rsidRPr="004F71CE">
        <w:rPr>
          <w:noProof/>
        </w:rPr>
        <w:t>to enhance space surveillance and tracking capabilities for purposes such as monitoring space objects and space debris and providing space weather services;</w:t>
      </w:r>
    </w:p>
    <w:p w14:paraId="0BA4873A" w14:textId="77777777" w:rsidR="005C4C84" w:rsidRPr="004F71CE" w:rsidRDefault="005C4C84" w:rsidP="005C4C84">
      <w:pPr>
        <w:pStyle w:val="ppoListHyphened-L1"/>
        <w:rPr>
          <w:noProof/>
        </w:rPr>
      </w:pPr>
      <w:r w:rsidRPr="004F71CE">
        <w:rPr>
          <w:noProof/>
        </w:rPr>
        <w:t>to ensure the long-term availability of reliable, secure and cost-effective satellite communications services;</w:t>
      </w:r>
    </w:p>
    <w:p w14:paraId="41E4861A" w14:textId="77777777" w:rsidR="005C4C84" w:rsidRPr="004F71CE" w:rsidRDefault="005C4C84" w:rsidP="005C4C84">
      <w:pPr>
        <w:pStyle w:val="ppoListHyphened-L1"/>
        <w:rPr>
          <w:noProof/>
        </w:rPr>
      </w:pPr>
      <w:r w:rsidRPr="004F71CE">
        <w:rPr>
          <w:noProof/>
        </w:rPr>
        <w:t>to support an autonomous, secure and cost-efficient capability to access space;</w:t>
      </w:r>
    </w:p>
    <w:p w14:paraId="76F9589A" w14:textId="77777777" w:rsidR="005C4C84" w:rsidRPr="004F71CE" w:rsidRDefault="005C4C84" w:rsidP="005C4C84">
      <w:pPr>
        <w:pStyle w:val="ppoListHyphened-L1"/>
        <w:rPr>
          <w:noProof/>
        </w:rPr>
      </w:pPr>
      <w:r w:rsidRPr="004F71CE">
        <w:rPr>
          <w:noProof/>
        </w:rPr>
        <w:t>to foster the development of a strong EU space economy by reinforcing competitiveness, innovation, entrepreneurship, skills and capacity building in all Member States, and in particular for small and medium-sized enterprises and start-ups.</w:t>
      </w:r>
    </w:p>
    <w:p w14:paraId="56C8FEE2" w14:textId="77777777" w:rsidR="005C4C84" w:rsidRPr="004F71CE" w:rsidRDefault="005C4C84" w:rsidP="005C4C84">
      <w:pPr>
        <w:pStyle w:val="ppoHeading6"/>
        <w:rPr>
          <w:noProof/>
        </w:rPr>
      </w:pPr>
      <w:r w:rsidRPr="004F71CE">
        <w:rPr>
          <w:noProof/>
        </w:rPr>
        <w:t>Actions</w:t>
      </w:r>
    </w:p>
    <w:p w14:paraId="77E71684" w14:textId="77777777" w:rsidR="005C4C84" w:rsidRPr="004F71CE" w:rsidRDefault="005C4C84" w:rsidP="005C4C84">
      <w:pPr>
        <w:rPr>
          <w:noProof/>
        </w:rPr>
      </w:pPr>
      <w:r w:rsidRPr="004F71CE">
        <w:rPr>
          <w:noProof/>
        </w:rPr>
        <w:t>The EU space programme brings all existing and new space activities together under a single programme. The existing flagship programmes</w:t>
      </w:r>
      <w:r w:rsidRPr="004F71CE">
        <w:rPr>
          <w:rFonts w:ascii="Calibri" w:hAnsi="Calibri" w:cs="Calibri"/>
          <w:noProof/>
        </w:rPr>
        <w:t> </w:t>
      </w:r>
      <w:r w:rsidRPr="004F71CE">
        <w:rPr>
          <w:noProof/>
        </w:rPr>
        <w:t>– Galileo (the EU’s state-of-the-art global navigation satellite system) and EGNOS (the European Geostationary Navigation Overlay Service) for satellite navigation and Copernicus for Earth observation</w:t>
      </w:r>
      <w:r w:rsidRPr="004F71CE">
        <w:rPr>
          <w:rFonts w:ascii="Calibri" w:hAnsi="Calibri" w:cs="Calibri"/>
          <w:noProof/>
        </w:rPr>
        <w:t> </w:t>
      </w:r>
      <w:r w:rsidRPr="004F71CE">
        <w:rPr>
          <w:noProof/>
        </w:rPr>
        <w:t>– are fully operational and deliver free and open data and services that benefit EU citizens, businesses and public authorities.</w:t>
      </w:r>
    </w:p>
    <w:p w14:paraId="7757ADCD" w14:textId="77777777" w:rsidR="005C4C84" w:rsidRPr="004F71CE" w:rsidRDefault="005C4C84" w:rsidP="005C4C84">
      <w:pPr>
        <w:rPr>
          <w:noProof/>
        </w:rPr>
      </w:pPr>
      <w:r w:rsidRPr="004F71CE">
        <w:rPr>
          <w:noProof/>
        </w:rPr>
        <w:t xml:space="preserve">The new initiatives include the </w:t>
      </w:r>
      <w:bookmarkStart w:id="94" w:name="_Hlk101429431"/>
      <w:r w:rsidRPr="004F71CE">
        <w:rPr>
          <w:noProof/>
        </w:rPr>
        <w:t>governmental satellite communications</w:t>
      </w:r>
      <w:bookmarkEnd w:id="94"/>
      <w:r w:rsidRPr="004F71CE">
        <w:rPr>
          <w:noProof/>
        </w:rPr>
        <w:t xml:space="preserve"> component, which will provide reliable and secure satellite communication and space situational awareness and will help to preserve assets of the EU space programme and to reinforce links between space, security and defence.</w:t>
      </w:r>
    </w:p>
    <w:p w14:paraId="79B38861" w14:textId="77777777" w:rsidR="005C4C84" w:rsidRPr="004F71CE" w:rsidRDefault="005C4C84" w:rsidP="005C4C84">
      <w:pPr>
        <w:pStyle w:val="ppoHeading6"/>
        <w:rPr>
          <w:noProof/>
        </w:rPr>
      </w:pPr>
      <w:r w:rsidRPr="004F71CE">
        <w:rPr>
          <w:noProof/>
        </w:rPr>
        <w:t>Delivery mode</w:t>
      </w:r>
    </w:p>
    <w:p w14:paraId="7783FBA1" w14:textId="77777777" w:rsidR="005C4C84" w:rsidRPr="004F71CE" w:rsidRDefault="005C4C84" w:rsidP="005C4C84">
      <w:pPr>
        <w:rPr>
          <w:noProof/>
        </w:rPr>
      </w:pPr>
      <w:r w:rsidRPr="004F71CE">
        <w:rPr>
          <w:noProof/>
        </w:rPr>
        <w:t>The Directorate-General for Defence Industry and Space is the lead DG for the programme, which is implemented mainly through indirect management with the European Union Agency for the Space Programme, the European Space Agency and the European Organisation for the Exploitation of Meteorological Satellites. A small part of the budget is implemented through direct management by the Commission.</w:t>
      </w:r>
    </w:p>
    <w:p w14:paraId="1D593C36" w14:textId="77777777" w:rsidR="005C4C84" w:rsidRPr="004F71CE" w:rsidRDefault="005C4C84" w:rsidP="005C4C84">
      <w:pPr>
        <w:pStyle w:val="ppoHeading6"/>
        <w:rPr>
          <w:noProof/>
        </w:rPr>
      </w:pPr>
      <w:r w:rsidRPr="004F71CE">
        <w:rPr>
          <w:noProof/>
        </w:rPr>
        <w:t>LINK TO THE 2014-2020 multiannual financial framework</w:t>
      </w:r>
    </w:p>
    <w:p w14:paraId="0367ACAD" w14:textId="77777777" w:rsidR="005C4C84" w:rsidRPr="004F71CE" w:rsidRDefault="005C4C84" w:rsidP="005C4C84">
      <w:pPr>
        <w:rPr>
          <w:noProof/>
        </w:rPr>
      </w:pPr>
      <w:r w:rsidRPr="004F71CE">
        <w:rPr>
          <w:noProof/>
        </w:rPr>
        <w:t>The EU space programme builds on the success of its predecessor programmes, which will all continue with a greater focus on synergies with other EU policy areas. The EU space programme for 2021-2027 introduces a number of new features, such as fostering a strong and innovative space industry in Europe, maintaining Europe’s autonomous access to space and a unified system of governance.</w:t>
      </w:r>
    </w:p>
    <w:p w14:paraId="3B582025" w14:textId="77777777" w:rsidR="005C4C84" w:rsidRPr="004F71CE" w:rsidRDefault="005C4C84" w:rsidP="005C4C84">
      <w:pPr>
        <w:pStyle w:val="ppoHeading6"/>
        <w:rPr>
          <w:noProof/>
        </w:rPr>
      </w:pPr>
      <w:r w:rsidRPr="004F71CE">
        <w:rPr>
          <w:noProof/>
        </w:rPr>
        <w:t>Impact assessment</w:t>
      </w:r>
    </w:p>
    <w:p w14:paraId="3ED6073B" w14:textId="77777777" w:rsidR="005C4C84" w:rsidRPr="004F71CE" w:rsidRDefault="005C4C84" w:rsidP="005C4C84">
      <w:pPr>
        <w:rPr>
          <w:noProof/>
        </w:rPr>
      </w:pPr>
      <w:r w:rsidRPr="004F71CE">
        <w:rPr>
          <w:noProof/>
        </w:rPr>
        <w:t xml:space="preserve">The impact assessment of the EU space programme and the European Union Agency for the Space Programme was adopted in 2018. For further information please consult: </w:t>
      </w:r>
      <w:hyperlink r:id="rId189" w:history="1">
        <w:r w:rsidRPr="004F71CE">
          <w:rPr>
            <w:rStyle w:val="Hyperlink"/>
            <w:noProof/>
          </w:rPr>
          <w:t>https://europa.eu/!XF34px</w:t>
        </w:r>
      </w:hyperlink>
    </w:p>
    <w:p w14:paraId="33E02977" w14:textId="77777777" w:rsidR="005C4C84" w:rsidRPr="004F71CE" w:rsidRDefault="005C4C84" w:rsidP="005C4C84">
      <w:pPr>
        <w:rPr>
          <w:noProof/>
        </w:rPr>
      </w:pPr>
      <w:r w:rsidRPr="004F71CE">
        <w:rPr>
          <w:noProof/>
        </w:rPr>
        <w:t xml:space="preserve">The interim evaluation of Copernicus was carried out in 2017. For further information please consult: </w:t>
      </w:r>
      <w:hyperlink r:id="rId190" w:history="1">
        <w:r w:rsidRPr="004F71CE">
          <w:rPr>
            <w:rStyle w:val="Hyperlink"/>
            <w:noProof/>
          </w:rPr>
          <w:t>http://europa.eu/!GJ34Xr</w:t>
        </w:r>
      </w:hyperlink>
    </w:p>
    <w:p w14:paraId="39A39B90" w14:textId="77777777" w:rsidR="005C4C84" w:rsidRPr="000A46E3" w:rsidRDefault="005C4C84" w:rsidP="005C4C84">
      <w:pPr>
        <w:rPr>
          <w:rStyle w:val="Hyperlink"/>
          <w:noProof/>
        </w:rPr>
      </w:pPr>
      <w:r w:rsidRPr="004F71CE">
        <w:rPr>
          <w:noProof/>
        </w:rPr>
        <w:t xml:space="preserve">The assessment of Copernicus’s </w:t>
      </w:r>
      <w:r w:rsidRPr="000A46E3">
        <w:rPr>
          <w:i/>
          <w:noProof/>
        </w:rPr>
        <w:t>ex ante</w:t>
      </w:r>
      <w:r w:rsidRPr="004F71CE">
        <w:rPr>
          <w:noProof/>
        </w:rPr>
        <w:t xml:space="preserve"> benefits was adopted in 2017. Please consult: </w:t>
      </w:r>
      <w:hyperlink r:id="rId191" w:history="1">
        <w:r w:rsidRPr="000A46E3">
          <w:rPr>
            <w:rStyle w:val="Hyperlink"/>
            <w:noProof/>
          </w:rPr>
          <w:t>https://www.copernicus.eu/sites/default/files/2018-10/Copernicus-Ex-Ante-Final-Report_0_0.pdf</w:t>
        </w:r>
      </w:hyperlink>
    </w:p>
    <w:p w14:paraId="5493BB47" w14:textId="77777777" w:rsidR="005C4C84" w:rsidRPr="004F71CE" w:rsidRDefault="005C4C84" w:rsidP="005C4C84">
      <w:pPr>
        <w:spacing w:after="0"/>
        <w:rPr>
          <w:noProof/>
        </w:rPr>
      </w:pPr>
      <w:r w:rsidRPr="004F71CE">
        <w:rPr>
          <w:noProof/>
        </w:rPr>
        <w:t>The EGNOS and Galileo midterm review was carried out in 2017. For further information please consult:</w:t>
      </w:r>
    </w:p>
    <w:p w14:paraId="42847613" w14:textId="77777777" w:rsidR="005C4C84" w:rsidRPr="004F71CE" w:rsidRDefault="00E01E9B" w:rsidP="005C4C84">
      <w:pPr>
        <w:spacing w:after="0"/>
        <w:rPr>
          <w:noProof/>
        </w:rPr>
      </w:pPr>
      <w:hyperlink r:id="rId192" w:history="1">
        <w:r w:rsidR="005C4C84" w:rsidRPr="004F71CE">
          <w:rPr>
            <w:rStyle w:val="Hyperlink"/>
            <w:rFonts w:cs="EC Square Sans Cond Pro"/>
            <w:noProof/>
          </w:rPr>
          <w:t>http://europa.eu/!KF39Uq</w:t>
        </w:r>
      </w:hyperlink>
    </w:p>
    <w:p w14:paraId="6EB2843A" w14:textId="77777777" w:rsidR="005C4C84" w:rsidRPr="004F71CE" w:rsidRDefault="005C4C84" w:rsidP="005C4C84">
      <w:pPr>
        <w:pStyle w:val="ppoHeading6"/>
        <w:rPr>
          <w:noProof/>
        </w:rPr>
      </w:pPr>
      <w:r w:rsidRPr="004F71CE">
        <w:rPr>
          <w:noProof/>
        </w:rPr>
        <w:t>WEBSITE FOR more information</w:t>
      </w:r>
    </w:p>
    <w:p w14:paraId="5187904B" w14:textId="77777777" w:rsidR="005C4C84" w:rsidRPr="000A46E3" w:rsidRDefault="00873C81" w:rsidP="005C4C84">
      <w:pPr>
        <w:rPr>
          <w:rStyle w:val="Hyperlink"/>
          <w:noProof/>
          <w:lang w:val="fr-BE"/>
        </w:rPr>
      </w:pPr>
      <w:hyperlink r:id="rId193" w:history="1">
        <w:r w:rsidR="005C4C84" w:rsidRPr="000A46E3">
          <w:rPr>
            <w:rStyle w:val="Hyperlink"/>
            <w:noProof/>
            <w:lang w:val="fr-BE"/>
          </w:rPr>
          <w:t>EU space programme (europa.eu)</w:t>
        </w:r>
      </w:hyperlink>
    </w:p>
    <w:p w14:paraId="58B76463" w14:textId="77777777" w:rsidR="005C4C84" w:rsidRPr="004F71CE" w:rsidRDefault="005C4C84" w:rsidP="005C4C84">
      <w:pPr>
        <w:pStyle w:val="ppoHeading5"/>
        <w:rPr>
          <w:noProof/>
        </w:rPr>
      </w:pPr>
      <w:r w:rsidRPr="004F71CE">
        <w:rPr>
          <w:rFonts w:eastAsiaTheme="minorEastAsia"/>
          <w:noProof/>
        </w:rPr>
        <w:t>Legal basis</w:t>
      </w:r>
    </w:p>
    <w:p w14:paraId="0E930D53" w14:textId="77777777" w:rsidR="005C4C84" w:rsidRPr="004F71CE" w:rsidRDefault="005C4C84" w:rsidP="005C4C84">
      <w:pPr>
        <w:rPr>
          <w:noProof/>
        </w:rPr>
      </w:pPr>
      <w:r w:rsidRPr="004F71CE">
        <w:rPr>
          <w:noProof/>
        </w:rPr>
        <w:t>Regulation (EU) 2021/696 of the European Parliament and of the Council.</w:t>
      </w:r>
    </w:p>
    <w:p w14:paraId="3A72D716" w14:textId="77777777" w:rsidR="005C4C84" w:rsidRPr="004F71CE" w:rsidRDefault="005C4C84" w:rsidP="005C4C84">
      <w:pPr>
        <w:pStyle w:val="ppoHeading4Orange"/>
        <w:rPr>
          <w:caps/>
          <w:noProof/>
        </w:rPr>
      </w:pPr>
      <w:r w:rsidRPr="004F71CE">
        <w:rPr>
          <w:noProof/>
        </w:rPr>
        <w:t>Implementation and performance</w:t>
      </w:r>
    </w:p>
    <w:p w14:paraId="62B227BA" w14:textId="77777777" w:rsidR="005C4C84" w:rsidRPr="004F71CE" w:rsidRDefault="005C4C84" w:rsidP="005C4C84">
      <w:pPr>
        <w:pStyle w:val="ppoHeading5"/>
        <w:rPr>
          <w:noProof/>
        </w:rPr>
      </w:pPr>
      <w:r w:rsidRPr="004F71CE">
        <w:rPr>
          <w:noProof/>
        </w:rPr>
        <w:t>Budget implementation</w:t>
      </w:r>
    </w:p>
    <w:p w14:paraId="67AB085F" w14:textId="77777777" w:rsidR="005C4C84" w:rsidRPr="004F71CE" w:rsidRDefault="005C4C84" w:rsidP="005C4C84">
      <w:pPr>
        <w:pStyle w:val="ppoTableTabletitle"/>
        <w:rPr>
          <w:noProof/>
        </w:rPr>
      </w:pPr>
      <w:r w:rsidRPr="004F71CE">
        <w:rPr>
          <w:noProof/>
        </w:rPr>
        <w:t>Budget programming (million EUR):</w:t>
      </w:r>
    </w:p>
    <w:tbl>
      <w:tblPr>
        <w:tblStyle w:val="PPO2021"/>
        <w:tblW w:w="9782"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1087"/>
      </w:tblGrid>
      <w:tr w:rsidR="005C4C84" w:rsidRPr="004F71CE" w14:paraId="4975D80E" w14:textId="77777777" w:rsidTr="00AF1C52">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276D23BE" w14:textId="77777777" w:rsidR="005C4C84" w:rsidRPr="004F71CE" w:rsidRDefault="005C4C84" w:rsidP="00AF1C52">
            <w:pPr>
              <w:rPr>
                <w:noProof/>
              </w:rPr>
            </w:pPr>
          </w:p>
        </w:tc>
        <w:tc>
          <w:tcPr>
            <w:tcW w:w="943" w:type="dxa"/>
            <w:noWrap/>
            <w:hideMark/>
          </w:tcPr>
          <w:p w14:paraId="2100F3D6" w14:textId="77777777" w:rsidR="005C4C84" w:rsidRPr="004F71CE" w:rsidRDefault="005C4C84" w:rsidP="00AF1C52">
            <w:pPr>
              <w:rPr>
                <w:noProof/>
              </w:rPr>
            </w:pPr>
            <w:r w:rsidRPr="004F71CE">
              <w:rPr>
                <w:noProof/>
              </w:rPr>
              <w:t>2021</w:t>
            </w:r>
          </w:p>
        </w:tc>
        <w:tc>
          <w:tcPr>
            <w:tcW w:w="944" w:type="dxa"/>
            <w:noWrap/>
            <w:hideMark/>
          </w:tcPr>
          <w:p w14:paraId="3C971AFB" w14:textId="77777777" w:rsidR="005C4C84" w:rsidRPr="004F71CE" w:rsidRDefault="005C4C84" w:rsidP="00AF1C52">
            <w:pPr>
              <w:rPr>
                <w:noProof/>
              </w:rPr>
            </w:pPr>
            <w:r w:rsidRPr="004F71CE">
              <w:rPr>
                <w:noProof/>
              </w:rPr>
              <w:t>2022</w:t>
            </w:r>
          </w:p>
        </w:tc>
        <w:tc>
          <w:tcPr>
            <w:tcW w:w="943" w:type="dxa"/>
            <w:noWrap/>
            <w:hideMark/>
          </w:tcPr>
          <w:p w14:paraId="0BF2D88B" w14:textId="77777777" w:rsidR="005C4C84" w:rsidRPr="004F71CE" w:rsidRDefault="005C4C84" w:rsidP="00AF1C52">
            <w:pPr>
              <w:rPr>
                <w:noProof/>
              </w:rPr>
            </w:pPr>
            <w:r w:rsidRPr="004F71CE">
              <w:rPr>
                <w:noProof/>
              </w:rPr>
              <w:t>2023</w:t>
            </w:r>
          </w:p>
        </w:tc>
        <w:tc>
          <w:tcPr>
            <w:tcW w:w="944" w:type="dxa"/>
            <w:noWrap/>
            <w:hideMark/>
          </w:tcPr>
          <w:p w14:paraId="7E69F94D" w14:textId="77777777" w:rsidR="005C4C84" w:rsidRPr="004F71CE" w:rsidRDefault="005C4C84" w:rsidP="00AF1C52">
            <w:pPr>
              <w:rPr>
                <w:noProof/>
              </w:rPr>
            </w:pPr>
            <w:r w:rsidRPr="004F71CE">
              <w:rPr>
                <w:noProof/>
              </w:rPr>
              <w:t>2024</w:t>
            </w:r>
          </w:p>
        </w:tc>
        <w:tc>
          <w:tcPr>
            <w:tcW w:w="944" w:type="dxa"/>
            <w:noWrap/>
            <w:hideMark/>
          </w:tcPr>
          <w:p w14:paraId="428DF0A4" w14:textId="77777777" w:rsidR="005C4C84" w:rsidRPr="004F71CE" w:rsidRDefault="005C4C84" w:rsidP="00AF1C52">
            <w:pPr>
              <w:rPr>
                <w:noProof/>
              </w:rPr>
            </w:pPr>
            <w:r w:rsidRPr="004F71CE">
              <w:rPr>
                <w:noProof/>
              </w:rPr>
              <w:t>2025</w:t>
            </w:r>
          </w:p>
        </w:tc>
        <w:tc>
          <w:tcPr>
            <w:tcW w:w="943" w:type="dxa"/>
            <w:noWrap/>
            <w:hideMark/>
          </w:tcPr>
          <w:p w14:paraId="5A558C2F" w14:textId="77777777" w:rsidR="005C4C84" w:rsidRPr="004F71CE" w:rsidRDefault="005C4C84" w:rsidP="00AF1C52">
            <w:pPr>
              <w:rPr>
                <w:noProof/>
              </w:rPr>
            </w:pPr>
            <w:r w:rsidRPr="004F71CE">
              <w:rPr>
                <w:noProof/>
              </w:rPr>
              <w:t>2026</w:t>
            </w:r>
          </w:p>
        </w:tc>
        <w:tc>
          <w:tcPr>
            <w:tcW w:w="944" w:type="dxa"/>
            <w:noWrap/>
            <w:hideMark/>
          </w:tcPr>
          <w:p w14:paraId="1EEFC14A" w14:textId="77777777" w:rsidR="005C4C84" w:rsidRPr="004F71CE" w:rsidRDefault="005C4C84" w:rsidP="00AF1C52">
            <w:pPr>
              <w:rPr>
                <w:noProof/>
              </w:rPr>
            </w:pPr>
            <w:r w:rsidRPr="004F71CE">
              <w:rPr>
                <w:noProof/>
              </w:rPr>
              <w:t>2027</w:t>
            </w:r>
          </w:p>
        </w:tc>
        <w:tc>
          <w:tcPr>
            <w:tcW w:w="1087" w:type="dxa"/>
            <w:noWrap/>
            <w:hideMark/>
          </w:tcPr>
          <w:p w14:paraId="6ED70208" w14:textId="77777777" w:rsidR="005C4C84" w:rsidRPr="004F71CE" w:rsidRDefault="005C4C84" w:rsidP="00AF1C52">
            <w:pPr>
              <w:rPr>
                <w:noProof/>
              </w:rPr>
            </w:pPr>
            <w:r w:rsidRPr="004F71CE">
              <w:rPr>
                <w:noProof/>
              </w:rPr>
              <w:t>Total</w:t>
            </w:r>
          </w:p>
        </w:tc>
      </w:tr>
      <w:tr w:rsidR="00A505F5" w:rsidRPr="004F71CE" w14:paraId="7622C5B3" w14:textId="77777777" w:rsidTr="006F409B">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48EE6155" w14:textId="77777777" w:rsidR="00A505F5" w:rsidRPr="004F71CE" w:rsidRDefault="00A505F5" w:rsidP="00A505F5">
            <w:pPr>
              <w:rPr>
                <w:noProof/>
              </w:rPr>
            </w:pPr>
            <w:r w:rsidRPr="004F71CE">
              <w:rPr>
                <w:noProof/>
              </w:rPr>
              <w:t>Financial programming</w:t>
            </w:r>
          </w:p>
        </w:tc>
        <w:tc>
          <w:tcPr>
            <w:tcW w:w="943" w:type="dxa"/>
            <w:noWrap/>
            <w:hideMark/>
          </w:tcPr>
          <w:p w14:paraId="7C18E852" w14:textId="1DEF7F7E" w:rsidR="00A505F5" w:rsidRPr="004F71CE" w:rsidRDefault="00A505F5" w:rsidP="00A505F5">
            <w:pPr>
              <w:jc w:val="center"/>
              <w:rPr>
                <w:noProof/>
              </w:rPr>
            </w:pPr>
            <w:r w:rsidRPr="00B92A5D">
              <w:rPr>
                <w:noProof/>
              </w:rPr>
              <w:t>1 977.3</w:t>
            </w:r>
          </w:p>
        </w:tc>
        <w:tc>
          <w:tcPr>
            <w:tcW w:w="944" w:type="dxa"/>
            <w:noWrap/>
            <w:hideMark/>
          </w:tcPr>
          <w:p w14:paraId="629587F3" w14:textId="046E462C" w:rsidR="00A505F5" w:rsidRPr="004F71CE" w:rsidRDefault="00A505F5" w:rsidP="00A505F5">
            <w:pPr>
              <w:jc w:val="center"/>
              <w:rPr>
                <w:noProof/>
              </w:rPr>
            </w:pPr>
            <w:r w:rsidRPr="00B92A5D">
              <w:rPr>
                <w:noProof/>
              </w:rPr>
              <w:t>2 008.2</w:t>
            </w:r>
          </w:p>
        </w:tc>
        <w:tc>
          <w:tcPr>
            <w:tcW w:w="943" w:type="dxa"/>
            <w:noWrap/>
            <w:hideMark/>
          </w:tcPr>
          <w:p w14:paraId="1D8D605A" w14:textId="724BDEA1" w:rsidR="00A505F5" w:rsidRPr="004F71CE" w:rsidRDefault="00A505F5" w:rsidP="00A505F5">
            <w:pPr>
              <w:jc w:val="center"/>
              <w:rPr>
                <w:noProof/>
              </w:rPr>
            </w:pPr>
            <w:r w:rsidRPr="00B92A5D">
              <w:rPr>
                <w:noProof/>
              </w:rPr>
              <w:t>2 045.1</w:t>
            </w:r>
          </w:p>
        </w:tc>
        <w:tc>
          <w:tcPr>
            <w:tcW w:w="944" w:type="dxa"/>
            <w:noWrap/>
            <w:vAlign w:val="bottom"/>
            <w:hideMark/>
          </w:tcPr>
          <w:p w14:paraId="53B625D3" w14:textId="0FC7AE44" w:rsidR="00A505F5" w:rsidRPr="004F71CE" w:rsidRDefault="00A505F5" w:rsidP="00A505F5">
            <w:pPr>
              <w:jc w:val="center"/>
              <w:rPr>
                <w:noProof/>
              </w:rPr>
            </w:pPr>
            <w:r>
              <w:rPr>
                <w:rFonts w:ascii="Calibri" w:hAnsi="Calibri" w:cs="Calibri"/>
                <w:noProof/>
                <w:color w:val="000000"/>
              </w:rPr>
              <w:t>2 088.3</w:t>
            </w:r>
          </w:p>
        </w:tc>
        <w:tc>
          <w:tcPr>
            <w:tcW w:w="944" w:type="dxa"/>
            <w:noWrap/>
            <w:vAlign w:val="bottom"/>
            <w:hideMark/>
          </w:tcPr>
          <w:p w14:paraId="0DD5F449" w14:textId="7A751FA5" w:rsidR="00A505F5" w:rsidRPr="004F71CE" w:rsidRDefault="00A505F5" w:rsidP="00A505F5">
            <w:pPr>
              <w:jc w:val="center"/>
              <w:rPr>
                <w:noProof/>
              </w:rPr>
            </w:pPr>
            <w:r>
              <w:rPr>
                <w:rFonts w:ascii="Calibri" w:hAnsi="Calibri" w:cs="Calibri"/>
                <w:noProof/>
                <w:color w:val="000000"/>
              </w:rPr>
              <w:t>2 051.2</w:t>
            </w:r>
          </w:p>
        </w:tc>
        <w:tc>
          <w:tcPr>
            <w:tcW w:w="943" w:type="dxa"/>
            <w:noWrap/>
            <w:vAlign w:val="bottom"/>
            <w:hideMark/>
          </w:tcPr>
          <w:p w14:paraId="640945D2" w14:textId="7A4BFEF0" w:rsidR="00A505F5" w:rsidRPr="004F71CE" w:rsidRDefault="00A505F5" w:rsidP="00A505F5">
            <w:pPr>
              <w:jc w:val="center"/>
              <w:rPr>
                <w:noProof/>
              </w:rPr>
            </w:pPr>
            <w:r>
              <w:rPr>
                <w:rFonts w:ascii="Calibri" w:hAnsi="Calibri" w:cs="Calibri"/>
                <w:noProof/>
                <w:color w:val="000000"/>
              </w:rPr>
              <w:t>2 095.1</w:t>
            </w:r>
          </w:p>
        </w:tc>
        <w:tc>
          <w:tcPr>
            <w:tcW w:w="944" w:type="dxa"/>
            <w:noWrap/>
            <w:vAlign w:val="bottom"/>
            <w:hideMark/>
          </w:tcPr>
          <w:p w14:paraId="52C8770F" w14:textId="50804315" w:rsidR="00A505F5" w:rsidRPr="004F71CE" w:rsidRDefault="00A505F5" w:rsidP="00A505F5">
            <w:pPr>
              <w:jc w:val="center"/>
              <w:rPr>
                <w:noProof/>
              </w:rPr>
            </w:pPr>
            <w:r>
              <w:rPr>
                <w:rFonts w:ascii="Calibri" w:hAnsi="Calibri" w:cs="Calibri"/>
                <w:noProof/>
                <w:color w:val="000000"/>
              </w:rPr>
              <w:t>2 124.7</w:t>
            </w:r>
          </w:p>
        </w:tc>
        <w:tc>
          <w:tcPr>
            <w:tcW w:w="1087" w:type="dxa"/>
            <w:noWrap/>
            <w:vAlign w:val="bottom"/>
            <w:hideMark/>
          </w:tcPr>
          <w:p w14:paraId="6F8C5842" w14:textId="639A6D3F" w:rsidR="00A505F5" w:rsidRPr="004F71CE" w:rsidRDefault="00A505F5" w:rsidP="00A505F5">
            <w:pPr>
              <w:jc w:val="center"/>
              <w:rPr>
                <w:noProof/>
              </w:rPr>
            </w:pPr>
            <w:r>
              <w:rPr>
                <w:rFonts w:ascii="Calibri" w:hAnsi="Calibri" w:cs="Calibri"/>
                <w:noProof/>
                <w:color w:val="000000"/>
              </w:rPr>
              <w:t>14 390.0</w:t>
            </w:r>
          </w:p>
        </w:tc>
      </w:tr>
      <w:tr w:rsidR="005C4C84" w:rsidRPr="004F71CE" w14:paraId="514BA822" w14:textId="77777777" w:rsidTr="00AF1C52">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2F074942" w14:textId="77777777" w:rsidR="005C4C84" w:rsidRPr="004F71CE" w:rsidRDefault="005C4C84" w:rsidP="00AF1C52">
            <w:pPr>
              <w:rPr>
                <w:noProof/>
              </w:rPr>
            </w:pPr>
            <w:r w:rsidRPr="004F71CE">
              <w:rPr>
                <w:noProof/>
              </w:rPr>
              <w:t>NextGenerationEU</w:t>
            </w:r>
          </w:p>
        </w:tc>
        <w:tc>
          <w:tcPr>
            <w:tcW w:w="943" w:type="dxa"/>
            <w:noWrap/>
            <w:hideMark/>
          </w:tcPr>
          <w:p w14:paraId="45922BBD" w14:textId="77777777" w:rsidR="005C4C84" w:rsidRPr="004F71CE" w:rsidRDefault="005C4C84" w:rsidP="00AF1C52">
            <w:pPr>
              <w:jc w:val="center"/>
              <w:rPr>
                <w:noProof/>
              </w:rPr>
            </w:pPr>
          </w:p>
        </w:tc>
        <w:tc>
          <w:tcPr>
            <w:tcW w:w="944" w:type="dxa"/>
            <w:noWrap/>
            <w:hideMark/>
          </w:tcPr>
          <w:p w14:paraId="13A4C56F" w14:textId="77777777" w:rsidR="005C4C84" w:rsidRPr="004F71CE" w:rsidRDefault="005C4C84" w:rsidP="00AF1C52">
            <w:pPr>
              <w:jc w:val="center"/>
              <w:rPr>
                <w:noProof/>
              </w:rPr>
            </w:pPr>
          </w:p>
        </w:tc>
        <w:tc>
          <w:tcPr>
            <w:tcW w:w="943" w:type="dxa"/>
            <w:noWrap/>
            <w:hideMark/>
          </w:tcPr>
          <w:p w14:paraId="3336E9A6" w14:textId="77777777" w:rsidR="005C4C84" w:rsidRPr="004F71CE" w:rsidRDefault="005C4C84" w:rsidP="00AF1C52">
            <w:pPr>
              <w:jc w:val="center"/>
              <w:rPr>
                <w:noProof/>
              </w:rPr>
            </w:pPr>
          </w:p>
        </w:tc>
        <w:tc>
          <w:tcPr>
            <w:tcW w:w="944" w:type="dxa"/>
            <w:noWrap/>
            <w:hideMark/>
          </w:tcPr>
          <w:p w14:paraId="5CAE533B" w14:textId="77777777" w:rsidR="005C4C84" w:rsidRPr="004F71CE" w:rsidRDefault="005C4C84" w:rsidP="00AF1C52">
            <w:pPr>
              <w:jc w:val="center"/>
              <w:rPr>
                <w:noProof/>
              </w:rPr>
            </w:pPr>
          </w:p>
        </w:tc>
        <w:tc>
          <w:tcPr>
            <w:tcW w:w="944" w:type="dxa"/>
            <w:noWrap/>
            <w:hideMark/>
          </w:tcPr>
          <w:p w14:paraId="26BBD4AE" w14:textId="77777777" w:rsidR="005C4C84" w:rsidRPr="004F71CE" w:rsidRDefault="005C4C84" w:rsidP="00AF1C52">
            <w:pPr>
              <w:jc w:val="center"/>
              <w:rPr>
                <w:noProof/>
              </w:rPr>
            </w:pPr>
          </w:p>
        </w:tc>
        <w:tc>
          <w:tcPr>
            <w:tcW w:w="943" w:type="dxa"/>
            <w:noWrap/>
            <w:hideMark/>
          </w:tcPr>
          <w:p w14:paraId="0EDACD50" w14:textId="77777777" w:rsidR="005C4C84" w:rsidRPr="004F71CE" w:rsidRDefault="005C4C84" w:rsidP="00AF1C52">
            <w:pPr>
              <w:jc w:val="center"/>
              <w:rPr>
                <w:noProof/>
              </w:rPr>
            </w:pPr>
          </w:p>
        </w:tc>
        <w:tc>
          <w:tcPr>
            <w:tcW w:w="944" w:type="dxa"/>
            <w:noWrap/>
            <w:hideMark/>
          </w:tcPr>
          <w:p w14:paraId="7B032F14" w14:textId="77777777" w:rsidR="005C4C84" w:rsidRPr="004F71CE" w:rsidRDefault="005C4C84" w:rsidP="00AF1C52">
            <w:pPr>
              <w:jc w:val="center"/>
              <w:rPr>
                <w:noProof/>
              </w:rPr>
            </w:pPr>
          </w:p>
        </w:tc>
        <w:tc>
          <w:tcPr>
            <w:tcW w:w="1087" w:type="dxa"/>
            <w:noWrap/>
            <w:hideMark/>
          </w:tcPr>
          <w:p w14:paraId="44321B3C" w14:textId="77777777" w:rsidR="005C4C84" w:rsidRPr="004F71CE" w:rsidRDefault="005C4C84" w:rsidP="00AF1C52">
            <w:pPr>
              <w:jc w:val="center"/>
              <w:rPr>
                <w:noProof/>
              </w:rPr>
            </w:pPr>
          </w:p>
        </w:tc>
      </w:tr>
      <w:tr w:rsidR="005C4C84" w:rsidRPr="004F71CE" w14:paraId="0CEEA119" w14:textId="77777777" w:rsidTr="00AF1C52">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5E7E0A4C" w14:textId="77777777" w:rsidR="005C4C84" w:rsidRPr="004F71CE" w:rsidRDefault="005C4C84" w:rsidP="00AF1C52">
            <w:pPr>
              <w:rPr>
                <w:noProof/>
              </w:rPr>
            </w:pPr>
            <w:r w:rsidRPr="004F71CE">
              <w:rPr>
                <w:noProof/>
              </w:rPr>
              <w:t>Decommitments made available again</w:t>
            </w:r>
            <w:r w:rsidRPr="004F71CE">
              <w:rPr>
                <w:rFonts w:ascii="Calibri" w:hAnsi="Calibri" w:cs="Calibri"/>
                <w:noProof/>
              </w:rPr>
              <w:t> (</w:t>
            </w:r>
            <w:r w:rsidRPr="004F71CE">
              <w:rPr>
                <w:noProof/>
              </w:rPr>
              <w:t>*)</w:t>
            </w:r>
          </w:p>
        </w:tc>
        <w:tc>
          <w:tcPr>
            <w:tcW w:w="943" w:type="dxa"/>
            <w:noWrap/>
            <w:hideMark/>
          </w:tcPr>
          <w:p w14:paraId="245DFFAB" w14:textId="77777777" w:rsidR="005C4C84" w:rsidRPr="004F71CE" w:rsidRDefault="005C4C84" w:rsidP="00AF1C52">
            <w:pPr>
              <w:jc w:val="center"/>
              <w:rPr>
                <w:noProof/>
              </w:rPr>
            </w:pPr>
            <w:r>
              <w:rPr>
                <w:noProof/>
              </w:rPr>
              <w:t>N/A</w:t>
            </w:r>
          </w:p>
        </w:tc>
        <w:tc>
          <w:tcPr>
            <w:tcW w:w="944" w:type="dxa"/>
            <w:noWrap/>
            <w:hideMark/>
          </w:tcPr>
          <w:p w14:paraId="452618D7" w14:textId="77777777" w:rsidR="005C4C84" w:rsidRPr="004F71CE" w:rsidRDefault="005C4C84" w:rsidP="00AF1C52">
            <w:pPr>
              <w:jc w:val="center"/>
              <w:rPr>
                <w:noProof/>
              </w:rPr>
            </w:pPr>
          </w:p>
        </w:tc>
        <w:tc>
          <w:tcPr>
            <w:tcW w:w="943" w:type="dxa"/>
            <w:noWrap/>
            <w:hideMark/>
          </w:tcPr>
          <w:p w14:paraId="6193C226" w14:textId="77777777" w:rsidR="005C4C84" w:rsidRPr="004F71CE" w:rsidRDefault="005C4C84" w:rsidP="00AF1C52">
            <w:pPr>
              <w:jc w:val="center"/>
              <w:rPr>
                <w:noProof/>
              </w:rPr>
            </w:pPr>
          </w:p>
        </w:tc>
        <w:tc>
          <w:tcPr>
            <w:tcW w:w="944" w:type="dxa"/>
            <w:noWrap/>
            <w:hideMark/>
          </w:tcPr>
          <w:p w14:paraId="7C8C2808" w14:textId="77777777" w:rsidR="005C4C84" w:rsidRPr="004F71CE" w:rsidRDefault="005C4C84" w:rsidP="00AF1C52">
            <w:pPr>
              <w:jc w:val="center"/>
              <w:rPr>
                <w:noProof/>
              </w:rPr>
            </w:pPr>
          </w:p>
        </w:tc>
        <w:tc>
          <w:tcPr>
            <w:tcW w:w="944" w:type="dxa"/>
            <w:noWrap/>
            <w:hideMark/>
          </w:tcPr>
          <w:p w14:paraId="27E8C141" w14:textId="77777777" w:rsidR="005C4C84" w:rsidRPr="004F71CE" w:rsidRDefault="005C4C84" w:rsidP="00AF1C52">
            <w:pPr>
              <w:jc w:val="center"/>
              <w:rPr>
                <w:noProof/>
              </w:rPr>
            </w:pPr>
          </w:p>
        </w:tc>
        <w:tc>
          <w:tcPr>
            <w:tcW w:w="943" w:type="dxa"/>
            <w:noWrap/>
            <w:hideMark/>
          </w:tcPr>
          <w:p w14:paraId="274AA851" w14:textId="77777777" w:rsidR="005C4C84" w:rsidRPr="004F71CE" w:rsidRDefault="005C4C84" w:rsidP="00AF1C52">
            <w:pPr>
              <w:jc w:val="center"/>
              <w:rPr>
                <w:noProof/>
              </w:rPr>
            </w:pPr>
          </w:p>
        </w:tc>
        <w:tc>
          <w:tcPr>
            <w:tcW w:w="944" w:type="dxa"/>
            <w:noWrap/>
            <w:hideMark/>
          </w:tcPr>
          <w:p w14:paraId="7627ECC3" w14:textId="77777777" w:rsidR="005C4C84" w:rsidRPr="004F71CE" w:rsidRDefault="005C4C84" w:rsidP="00AF1C52">
            <w:pPr>
              <w:jc w:val="center"/>
              <w:rPr>
                <w:noProof/>
              </w:rPr>
            </w:pPr>
          </w:p>
        </w:tc>
        <w:tc>
          <w:tcPr>
            <w:tcW w:w="1087" w:type="dxa"/>
            <w:noWrap/>
            <w:hideMark/>
          </w:tcPr>
          <w:p w14:paraId="74B2DDA9" w14:textId="77777777" w:rsidR="005C4C84" w:rsidRPr="004F71CE" w:rsidRDefault="005C4C84" w:rsidP="00AF1C52">
            <w:pPr>
              <w:jc w:val="center"/>
              <w:rPr>
                <w:noProof/>
              </w:rPr>
            </w:pPr>
            <w:r>
              <w:rPr>
                <w:noProof/>
              </w:rPr>
              <w:t>N/A</w:t>
            </w:r>
          </w:p>
        </w:tc>
      </w:tr>
      <w:tr w:rsidR="005C4C84" w:rsidRPr="004F71CE" w14:paraId="5D8720AC" w14:textId="77777777" w:rsidTr="00AF1C52">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39A6E392" w14:textId="77777777" w:rsidR="005C4C84" w:rsidRPr="004F71CE" w:rsidRDefault="005C4C84" w:rsidP="00AF1C52">
            <w:pPr>
              <w:rPr>
                <w:noProof/>
              </w:rPr>
            </w:pPr>
            <w:r w:rsidRPr="004F71CE">
              <w:rPr>
                <w:noProof/>
              </w:rPr>
              <w:t>Contributions from other countries and entities</w:t>
            </w:r>
          </w:p>
        </w:tc>
        <w:tc>
          <w:tcPr>
            <w:tcW w:w="943" w:type="dxa"/>
            <w:noWrap/>
            <w:hideMark/>
          </w:tcPr>
          <w:p w14:paraId="52752750" w14:textId="77777777" w:rsidR="005C4C84" w:rsidRPr="004F71CE" w:rsidRDefault="005C4C84" w:rsidP="00AF1C52">
            <w:pPr>
              <w:jc w:val="center"/>
              <w:rPr>
                <w:noProof/>
              </w:rPr>
            </w:pPr>
            <w:r w:rsidRPr="0028263B">
              <w:rPr>
                <w:noProof/>
              </w:rPr>
              <w:t>123.4</w:t>
            </w:r>
          </w:p>
        </w:tc>
        <w:tc>
          <w:tcPr>
            <w:tcW w:w="944" w:type="dxa"/>
            <w:noWrap/>
            <w:hideMark/>
          </w:tcPr>
          <w:p w14:paraId="737208A4" w14:textId="77777777" w:rsidR="005C4C84" w:rsidRPr="004F71CE" w:rsidRDefault="005C4C84" w:rsidP="00AF1C52">
            <w:pPr>
              <w:jc w:val="center"/>
              <w:rPr>
                <w:noProof/>
              </w:rPr>
            </w:pPr>
            <w:r>
              <w:rPr>
                <w:noProof/>
              </w:rPr>
              <w:t>p.m.</w:t>
            </w:r>
          </w:p>
        </w:tc>
        <w:tc>
          <w:tcPr>
            <w:tcW w:w="943" w:type="dxa"/>
            <w:noWrap/>
            <w:hideMark/>
          </w:tcPr>
          <w:p w14:paraId="78C280F3" w14:textId="77777777" w:rsidR="005C4C84" w:rsidRPr="004F71CE" w:rsidRDefault="005C4C84" w:rsidP="00AF1C52">
            <w:pPr>
              <w:jc w:val="center"/>
              <w:rPr>
                <w:noProof/>
              </w:rPr>
            </w:pPr>
            <w:r>
              <w:rPr>
                <w:noProof/>
              </w:rPr>
              <w:t>p.m.</w:t>
            </w:r>
          </w:p>
        </w:tc>
        <w:tc>
          <w:tcPr>
            <w:tcW w:w="944" w:type="dxa"/>
            <w:noWrap/>
            <w:hideMark/>
          </w:tcPr>
          <w:p w14:paraId="58D9D067" w14:textId="77777777" w:rsidR="005C4C84" w:rsidRPr="004F71CE" w:rsidRDefault="005C4C84" w:rsidP="00AF1C52">
            <w:pPr>
              <w:jc w:val="center"/>
              <w:rPr>
                <w:noProof/>
              </w:rPr>
            </w:pPr>
            <w:r>
              <w:rPr>
                <w:noProof/>
              </w:rPr>
              <w:t>p.m.</w:t>
            </w:r>
          </w:p>
        </w:tc>
        <w:tc>
          <w:tcPr>
            <w:tcW w:w="944" w:type="dxa"/>
            <w:noWrap/>
            <w:hideMark/>
          </w:tcPr>
          <w:p w14:paraId="371CEF70" w14:textId="77777777" w:rsidR="005C4C84" w:rsidRPr="004F71CE" w:rsidRDefault="005C4C84" w:rsidP="00AF1C52">
            <w:pPr>
              <w:jc w:val="center"/>
              <w:rPr>
                <w:noProof/>
              </w:rPr>
            </w:pPr>
            <w:r>
              <w:rPr>
                <w:noProof/>
              </w:rPr>
              <w:t>p.m.</w:t>
            </w:r>
          </w:p>
        </w:tc>
        <w:tc>
          <w:tcPr>
            <w:tcW w:w="943" w:type="dxa"/>
            <w:noWrap/>
            <w:hideMark/>
          </w:tcPr>
          <w:p w14:paraId="6C1A645E" w14:textId="77777777" w:rsidR="005C4C84" w:rsidRPr="004F71CE" w:rsidRDefault="005C4C84" w:rsidP="00AF1C52">
            <w:pPr>
              <w:jc w:val="center"/>
              <w:rPr>
                <w:noProof/>
              </w:rPr>
            </w:pPr>
            <w:r>
              <w:rPr>
                <w:noProof/>
              </w:rPr>
              <w:t>p.m.</w:t>
            </w:r>
          </w:p>
        </w:tc>
        <w:tc>
          <w:tcPr>
            <w:tcW w:w="944" w:type="dxa"/>
            <w:noWrap/>
            <w:hideMark/>
          </w:tcPr>
          <w:p w14:paraId="4B894B54" w14:textId="77777777" w:rsidR="005C4C84" w:rsidRPr="004F71CE" w:rsidRDefault="005C4C84" w:rsidP="00AF1C52">
            <w:pPr>
              <w:jc w:val="center"/>
              <w:rPr>
                <w:noProof/>
              </w:rPr>
            </w:pPr>
            <w:r>
              <w:rPr>
                <w:noProof/>
              </w:rPr>
              <w:t>p.m.</w:t>
            </w:r>
          </w:p>
        </w:tc>
        <w:tc>
          <w:tcPr>
            <w:tcW w:w="1087" w:type="dxa"/>
            <w:noWrap/>
            <w:hideMark/>
          </w:tcPr>
          <w:p w14:paraId="6D1BC5FB" w14:textId="77777777" w:rsidR="005C4C84" w:rsidRPr="004F71CE" w:rsidRDefault="005C4C84" w:rsidP="00AF1C52">
            <w:pPr>
              <w:jc w:val="center"/>
              <w:rPr>
                <w:noProof/>
              </w:rPr>
            </w:pPr>
            <w:r w:rsidRPr="0028263B">
              <w:rPr>
                <w:noProof/>
              </w:rPr>
              <w:t>123.4</w:t>
            </w:r>
          </w:p>
        </w:tc>
      </w:tr>
      <w:tr w:rsidR="00A505F5" w:rsidRPr="004F71CE" w14:paraId="5430AA52" w14:textId="77777777" w:rsidTr="00304A2B">
        <w:trPr>
          <w:cnfStyle w:val="000000100000" w:firstRow="0" w:lastRow="0" w:firstColumn="0" w:lastColumn="0" w:oddVBand="0" w:evenVBand="0" w:oddHBand="1" w:evenHBand="0" w:firstRowFirstColumn="0" w:firstRowLastColumn="0" w:lastRowFirstColumn="0" w:lastRowLastColumn="0"/>
          <w:trHeight w:val="290"/>
        </w:trPr>
        <w:tc>
          <w:tcPr>
            <w:tcW w:w="2090" w:type="dxa"/>
            <w:noWrap/>
            <w:vAlign w:val="bottom"/>
          </w:tcPr>
          <w:p w14:paraId="23FD554E" w14:textId="77777777" w:rsidR="00A505F5" w:rsidRPr="004F71CE" w:rsidRDefault="00A505F5" w:rsidP="00A505F5">
            <w:pPr>
              <w:rPr>
                <w:noProof/>
              </w:rPr>
            </w:pPr>
            <w:r>
              <w:rPr>
                <w:rFonts w:ascii="Calibri" w:hAnsi="Calibri" w:cs="Calibri"/>
                <w:b/>
                <w:bCs/>
                <w:noProof/>
                <w:color w:val="000000"/>
              </w:rPr>
              <w:t>Total</w:t>
            </w:r>
          </w:p>
        </w:tc>
        <w:tc>
          <w:tcPr>
            <w:tcW w:w="943" w:type="dxa"/>
            <w:noWrap/>
            <w:vAlign w:val="bottom"/>
          </w:tcPr>
          <w:p w14:paraId="48BE5D9D" w14:textId="77777777" w:rsidR="00A505F5" w:rsidRPr="0028263B" w:rsidRDefault="00A505F5" w:rsidP="00A505F5">
            <w:pPr>
              <w:jc w:val="center"/>
              <w:rPr>
                <w:noProof/>
              </w:rPr>
            </w:pPr>
            <w:r>
              <w:rPr>
                <w:rFonts w:ascii="Calibri" w:hAnsi="Calibri" w:cs="Calibri"/>
                <w:b/>
                <w:bCs/>
                <w:noProof/>
                <w:color w:val="000000"/>
              </w:rPr>
              <w:t>2 100.8</w:t>
            </w:r>
          </w:p>
        </w:tc>
        <w:tc>
          <w:tcPr>
            <w:tcW w:w="944" w:type="dxa"/>
            <w:noWrap/>
            <w:vAlign w:val="bottom"/>
          </w:tcPr>
          <w:p w14:paraId="4A1A266D" w14:textId="77777777" w:rsidR="00A505F5" w:rsidRDefault="00A505F5" w:rsidP="00A505F5">
            <w:pPr>
              <w:jc w:val="center"/>
              <w:rPr>
                <w:noProof/>
              </w:rPr>
            </w:pPr>
            <w:r>
              <w:rPr>
                <w:rFonts w:ascii="Calibri" w:hAnsi="Calibri" w:cs="Calibri"/>
                <w:b/>
                <w:bCs/>
                <w:noProof/>
                <w:color w:val="000000"/>
              </w:rPr>
              <w:t>2 008.2</w:t>
            </w:r>
          </w:p>
        </w:tc>
        <w:tc>
          <w:tcPr>
            <w:tcW w:w="943" w:type="dxa"/>
            <w:noWrap/>
            <w:vAlign w:val="bottom"/>
          </w:tcPr>
          <w:p w14:paraId="68410DFE" w14:textId="77777777" w:rsidR="00A505F5" w:rsidRDefault="00A505F5" w:rsidP="00A505F5">
            <w:pPr>
              <w:jc w:val="center"/>
              <w:rPr>
                <w:noProof/>
              </w:rPr>
            </w:pPr>
            <w:r>
              <w:rPr>
                <w:rFonts w:ascii="Calibri" w:hAnsi="Calibri" w:cs="Calibri"/>
                <w:b/>
                <w:bCs/>
                <w:noProof/>
                <w:color w:val="000000"/>
              </w:rPr>
              <w:t>2 045.1</w:t>
            </w:r>
          </w:p>
        </w:tc>
        <w:tc>
          <w:tcPr>
            <w:tcW w:w="944" w:type="dxa"/>
            <w:noWrap/>
            <w:vAlign w:val="bottom"/>
          </w:tcPr>
          <w:p w14:paraId="22C2C6C8" w14:textId="365DE3F4" w:rsidR="00A505F5" w:rsidRDefault="00A505F5" w:rsidP="00A505F5">
            <w:pPr>
              <w:jc w:val="center"/>
              <w:rPr>
                <w:noProof/>
              </w:rPr>
            </w:pPr>
            <w:r>
              <w:rPr>
                <w:rFonts w:ascii="Calibri" w:hAnsi="Calibri" w:cs="Calibri"/>
                <w:b/>
                <w:bCs/>
                <w:noProof/>
                <w:color w:val="000000"/>
              </w:rPr>
              <w:t>2 088.3</w:t>
            </w:r>
          </w:p>
        </w:tc>
        <w:tc>
          <w:tcPr>
            <w:tcW w:w="944" w:type="dxa"/>
            <w:noWrap/>
            <w:vAlign w:val="bottom"/>
          </w:tcPr>
          <w:p w14:paraId="2550A3A6" w14:textId="4AFEC7DB" w:rsidR="00A505F5" w:rsidRDefault="00A505F5" w:rsidP="00A505F5">
            <w:pPr>
              <w:jc w:val="center"/>
              <w:rPr>
                <w:noProof/>
              </w:rPr>
            </w:pPr>
            <w:r>
              <w:rPr>
                <w:rFonts w:ascii="Calibri" w:hAnsi="Calibri" w:cs="Calibri"/>
                <w:b/>
                <w:bCs/>
                <w:noProof/>
                <w:color w:val="000000"/>
              </w:rPr>
              <w:t>2 051.2</w:t>
            </w:r>
          </w:p>
        </w:tc>
        <w:tc>
          <w:tcPr>
            <w:tcW w:w="943" w:type="dxa"/>
            <w:noWrap/>
            <w:vAlign w:val="bottom"/>
          </w:tcPr>
          <w:p w14:paraId="21A2EB9A" w14:textId="2B45E996" w:rsidR="00A505F5" w:rsidRDefault="00A505F5" w:rsidP="00A505F5">
            <w:pPr>
              <w:jc w:val="center"/>
              <w:rPr>
                <w:noProof/>
              </w:rPr>
            </w:pPr>
            <w:r>
              <w:rPr>
                <w:rFonts w:ascii="Calibri" w:hAnsi="Calibri" w:cs="Calibri"/>
                <w:b/>
                <w:bCs/>
                <w:noProof/>
                <w:color w:val="000000"/>
              </w:rPr>
              <w:t>2 095.1</w:t>
            </w:r>
          </w:p>
        </w:tc>
        <w:tc>
          <w:tcPr>
            <w:tcW w:w="944" w:type="dxa"/>
            <w:noWrap/>
            <w:vAlign w:val="bottom"/>
          </w:tcPr>
          <w:p w14:paraId="023533B0" w14:textId="341EEED8" w:rsidR="00A505F5" w:rsidRDefault="00A505F5" w:rsidP="00A505F5">
            <w:pPr>
              <w:jc w:val="center"/>
              <w:rPr>
                <w:noProof/>
              </w:rPr>
            </w:pPr>
            <w:r>
              <w:rPr>
                <w:rFonts w:ascii="Calibri" w:hAnsi="Calibri" w:cs="Calibri"/>
                <w:b/>
                <w:bCs/>
                <w:noProof/>
                <w:color w:val="000000"/>
              </w:rPr>
              <w:t>2 124.7</w:t>
            </w:r>
          </w:p>
        </w:tc>
        <w:tc>
          <w:tcPr>
            <w:tcW w:w="1087" w:type="dxa"/>
            <w:noWrap/>
            <w:vAlign w:val="bottom"/>
          </w:tcPr>
          <w:p w14:paraId="4E0C9804" w14:textId="21BD95A9" w:rsidR="00A505F5" w:rsidRPr="0028263B" w:rsidRDefault="00A505F5" w:rsidP="00A505F5">
            <w:pPr>
              <w:jc w:val="center"/>
              <w:rPr>
                <w:noProof/>
              </w:rPr>
            </w:pPr>
            <w:r>
              <w:rPr>
                <w:rFonts w:ascii="Calibri" w:hAnsi="Calibri" w:cs="Calibri"/>
                <w:b/>
                <w:bCs/>
                <w:noProof/>
                <w:color w:val="000000"/>
              </w:rPr>
              <w:t>14 513.4</w:t>
            </w:r>
          </w:p>
        </w:tc>
      </w:tr>
    </w:tbl>
    <w:p w14:paraId="6A02E69A" w14:textId="77777777" w:rsidR="005C4C84" w:rsidRPr="00D0460E" w:rsidRDefault="005C4C84" w:rsidP="005C4C84">
      <w:pPr>
        <w:pStyle w:val="FootnoteText"/>
        <w:rPr>
          <w:noProof/>
        </w:rPr>
      </w:pPr>
      <w:r>
        <w:rPr>
          <w:noProof/>
        </w:rPr>
        <w:t>(*) Only Article 15(3) of the financial regulation.</w:t>
      </w:r>
    </w:p>
    <w:p w14:paraId="0C55817B" w14:textId="51FCA942" w:rsidR="005C4C84" w:rsidRPr="004F71CE" w:rsidRDefault="005C4C84" w:rsidP="005C4C84">
      <w:pPr>
        <w:pStyle w:val="ppoTableTabletitle"/>
        <w:ind w:left="720"/>
        <w:rPr>
          <w:noProof/>
        </w:rPr>
      </w:pPr>
      <w:r w:rsidRPr="00304A2B">
        <w:rPr>
          <w:noProof/>
        </w:rPr>
        <w:t>Financial programming</w:t>
      </w:r>
      <w:r w:rsidR="004C4764">
        <w:rPr>
          <w:noProof/>
        </w:rPr>
        <w:t>:</w:t>
      </w:r>
      <w:r w:rsidRPr="1CC7CCC3">
        <w:rPr>
          <w:rFonts w:eastAsia="EC Square Sans Pro" w:cs="EC Square Sans Pro"/>
          <w:noProof/>
          <w:color w:val="0078D4"/>
          <w:lang w:val="en-IE"/>
        </w:rPr>
        <w:t xml:space="preserve"> </w:t>
      </w:r>
      <w:r w:rsidRPr="004F71CE">
        <w:rPr>
          <w:rStyle w:val="ppocharOrangetext24pt"/>
          <w:noProof/>
        </w:rPr>
        <w:t>–</w:t>
      </w:r>
      <w:r w:rsidRPr="004F71CE">
        <w:rPr>
          <w:rStyle w:val="ppocharOrangetext24pt"/>
          <w:rFonts w:ascii="Calibri" w:hAnsi="Calibri" w:cs="Calibri"/>
          <w:noProof/>
        </w:rPr>
        <w:t> </w:t>
      </w:r>
      <w:r w:rsidRPr="004F71CE">
        <w:rPr>
          <w:rStyle w:val="ppocharOrangetext24pt"/>
          <w:noProof/>
        </w:rPr>
        <w:t>EUR</w:t>
      </w:r>
      <w:r w:rsidRPr="004F71CE">
        <w:rPr>
          <w:rStyle w:val="ppocharOrangetext24pt"/>
          <w:rFonts w:ascii="Calibri" w:hAnsi="Calibri" w:cs="Calibri"/>
          <w:noProof/>
        </w:rPr>
        <w:t> </w:t>
      </w:r>
      <w:r w:rsidR="00A505F5" w:rsidRPr="00A505F5">
        <w:rPr>
          <w:rStyle w:val="ppocharOrangetext24pt"/>
          <w:noProof/>
        </w:rPr>
        <w:t>-490.0</w:t>
      </w:r>
      <w:r w:rsidR="00A505F5" w:rsidRPr="00A505F5" w:rsidDel="00A505F5">
        <w:rPr>
          <w:rStyle w:val="ppocharOrangetext24pt"/>
          <w:noProof/>
        </w:rPr>
        <w:t xml:space="preserve"> </w:t>
      </w:r>
      <w:r w:rsidRPr="004F71CE">
        <w:rPr>
          <w:rStyle w:val="ppocharOrangetext24pt"/>
          <w:noProof/>
        </w:rPr>
        <w:t>(–</w:t>
      </w:r>
      <w:r w:rsidRPr="004F71CE">
        <w:rPr>
          <w:rStyle w:val="ppocharOrangetext24pt"/>
          <w:rFonts w:ascii="Calibri" w:hAnsi="Calibri" w:cs="Calibri"/>
          <w:noProof/>
        </w:rPr>
        <w:t> </w:t>
      </w:r>
      <w:r w:rsidR="00A505F5">
        <w:rPr>
          <w:rStyle w:val="ppocharOrangetext24pt"/>
          <w:noProof/>
        </w:rPr>
        <w:t>3</w:t>
      </w:r>
      <w:r w:rsidRPr="004F71CE">
        <w:rPr>
          <w:rStyle w:val="ppocharOrangetext24pt"/>
          <w:noProof/>
        </w:rPr>
        <w:t xml:space="preserve">%) </w:t>
      </w:r>
      <w:r w:rsidRPr="000A46E3">
        <w:rPr>
          <w:noProof/>
        </w:rPr>
        <w:t xml:space="preserve">compared to the legal </w:t>
      </w:r>
      <w:r w:rsidRPr="004F71CE">
        <w:rPr>
          <w:noProof/>
        </w:rPr>
        <w:t>basis.</w:t>
      </w:r>
    </w:p>
    <w:p w14:paraId="475515DD" w14:textId="77777777" w:rsidR="005C4C84" w:rsidRPr="004F71CE" w:rsidRDefault="005C4C84" w:rsidP="005C4C84">
      <w:pPr>
        <w:pStyle w:val="ppoTableTabletitle"/>
        <w:rPr>
          <w:b/>
          <w:noProof/>
        </w:rPr>
      </w:pPr>
      <w:r w:rsidRPr="004F71CE">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5C4C84" w:rsidRPr="004F71CE" w14:paraId="5A557A9D" w14:textId="77777777" w:rsidTr="00AF1C52">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26349262" w14:textId="77777777" w:rsidR="005C4C84" w:rsidRPr="004F71CE" w:rsidRDefault="005C4C84" w:rsidP="00AF1C52">
            <w:pPr>
              <w:rPr>
                <w:noProof/>
              </w:rPr>
            </w:pPr>
          </w:p>
        </w:tc>
        <w:tc>
          <w:tcPr>
            <w:tcW w:w="2410" w:type="dxa"/>
          </w:tcPr>
          <w:p w14:paraId="49E07DF0" w14:textId="77777777" w:rsidR="005C4C84" w:rsidRPr="004F71CE" w:rsidRDefault="005C4C84" w:rsidP="00AF1C52">
            <w:pPr>
              <w:cnfStyle w:val="100000000000" w:firstRow="1" w:lastRow="0" w:firstColumn="0" w:lastColumn="0" w:oddVBand="0" w:evenVBand="0" w:oddHBand="0" w:evenHBand="0" w:firstRowFirstColumn="0" w:firstRowLastColumn="0" w:lastRowFirstColumn="0" w:lastRowLastColumn="0"/>
              <w:rPr>
                <w:noProof/>
              </w:rPr>
            </w:pPr>
            <w:r w:rsidRPr="004F71CE">
              <w:rPr>
                <w:noProof/>
              </w:rPr>
              <w:t>Implementation</w:t>
            </w:r>
          </w:p>
        </w:tc>
        <w:tc>
          <w:tcPr>
            <w:tcW w:w="2410" w:type="dxa"/>
          </w:tcPr>
          <w:p w14:paraId="444C2CD7" w14:textId="2E18A874" w:rsidR="005C4C84" w:rsidRPr="004F71CE" w:rsidRDefault="001F4CBC" w:rsidP="00AF1C52">
            <w:pPr>
              <w:cnfStyle w:val="100000000000" w:firstRow="1" w:lastRow="0" w:firstColumn="0" w:lastColumn="0" w:oddVBand="0" w:evenVBand="0" w:oddHBand="0" w:evenHBand="0" w:firstRowFirstColumn="0" w:firstRowLastColumn="0" w:lastRowFirstColumn="0" w:lastRowLastColumn="0"/>
              <w:rPr>
                <w:noProof/>
              </w:rPr>
            </w:pPr>
            <w:r>
              <w:rPr>
                <w:noProof/>
              </w:rPr>
              <w:t xml:space="preserve">2021-2027 </w:t>
            </w:r>
            <w:r w:rsidRPr="00885241">
              <w:rPr>
                <w:noProof/>
              </w:rPr>
              <w:t>Budget</w:t>
            </w:r>
          </w:p>
        </w:tc>
        <w:tc>
          <w:tcPr>
            <w:tcW w:w="2410" w:type="dxa"/>
          </w:tcPr>
          <w:p w14:paraId="396106FA" w14:textId="77777777" w:rsidR="005C4C84" w:rsidRPr="004F71CE" w:rsidRDefault="005C4C84" w:rsidP="00AF1C52">
            <w:pPr>
              <w:cnfStyle w:val="100000000000" w:firstRow="1" w:lastRow="0" w:firstColumn="0" w:lastColumn="0" w:oddVBand="0" w:evenVBand="0" w:oddHBand="0" w:evenHBand="0" w:firstRowFirstColumn="0" w:firstRowLastColumn="0" w:lastRowFirstColumn="0" w:lastRowLastColumn="0"/>
              <w:rPr>
                <w:noProof/>
              </w:rPr>
            </w:pPr>
            <w:r w:rsidRPr="004F71CE">
              <w:rPr>
                <w:noProof/>
              </w:rPr>
              <w:t>Implementation rate</w:t>
            </w:r>
          </w:p>
        </w:tc>
      </w:tr>
      <w:tr w:rsidR="005C4C84" w:rsidRPr="004F71CE" w14:paraId="69BAFDBD"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1C4DB20D" w14:textId="77777777" w:rsidR="005C4C84" w:rsidRPr="004F71CE" w:rsidRDefault="005C4C84" w:rsidP="00AF1C52">
            <w:pPr>
              <w:jc w:val="center"/>
              <w:rPr>
                <w:noProof/>
              </w:rPr>
            </w:pPr>
            <w:r w:rsidRPr="004F71CE">
              <w:rPr>
                <w:noProof/>
              </w:rPr>
              <w:t>Commitments</w:t>
            </w:r>
          </w:p>
        </w:tc>
        <w:tc>
          <w:tcPr>
            <w:tcW w:w="2410" w:type="dxa"/>
          </w:tcPr>
          <w:tbl>
            <w:tblPr>
              <w:tblStyle w:val="TableGrid"/>
              <w:tblW w:w="0" w:type="auto"/>
              <w:tblLook w:val="06A0" w:firstRow="1" w:lastRow="0" w:firstColumn="1" w:lastColumn="0" w:noHBand="1" w:noVBand="1"/>
            </w:tblPr>
            <w:tblGrid>
              <w:gridCol w:w="2194"/>
            </w:tblGrid>
            <w:tr w:rsidR="005C4C84" w:rsidRPr="004F71CE" w14:paraId="03FED1F5" w14:textId="77777777" w:rsidTr="00AF1C52">
              <w:trPr>
                <w:trHeight w:val="285"/>
              </w:trPr>
              <w:tc>
                <w:tcPr>
                  <w:tcW w:w="2290" w:type="dxa"/>
                  <w:tcBorders>
                    <w:top w:val="nil"/>
                    <w:left w:val="nil"/>
                    <w:bottom w:val="nil"/>
                    <w:right w:val="nil"/>
                  </w:tcBorders>
                  <w:vAlign w:val="bottom"/>
                </w:tcPr>
                <w:p w14:paraId="6BB46E78" w14:textId="77777777" w:rsidR="005C4C84" w:rsidRPr="004F71CE" w:rsidRDefault="005C4C84" w:rsidP="00AF1C52">
                  <w:pPr>
                    <w:jc w:val="right"/>
                    <w:rPr>
                      <w:noProof/>
                    </w:rPr>
                  </w:pPr>
                  <w:r w:rsidRPr="004F71CE">
                    <w:rPr>
                      <w:rFonts w:ascii="Calibri" w:hAnsi="Calibri" w:cs="Calibri"/>
                      <w:noProof/>
                      <w:color w:val="000000"/>
                    </w:rPr>
                    <w:t>2 078.6</w:t>
                  </w:r>
                </w:p>
              </w:tc>
            </w:tr>
          </w:tbl>
          <w:p w14:paraId="61C947E5" w14:textId="77777777" w:rsidR="005C4C84" w:rsidRPr="004F71CE" w:rsidRDefault="005C4C84" w:rsidP="00AF1C5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5C4C84" w:rsidRPr="004F71CE" w14:paraId="550F0230" w14:textId="77777777" w:rsidTr="00AF1C52">
              <w:trPr>
                <w:trHeight w:val="285"/>
              </w:trPr>
              <w:tc>
                <w:tcPr>
                  <w:tcW w:w="2290" w:type="dxa"/>
                  <w:tcBorders>
                    <w:top w:val="nil"/>
                    <w:left w:val="nil"/>
                    <w:bottom w:val="nil"/>
                    <w:right w:val="nil"/>
                  </w:tcBorders>
                  <w:vAlign w:val="bottom"/>
                </w:tcPr>
                <w:p w14:paraId="01D7F642" w14:textId="64F62822" w:rsidR="005C4C84" w:rsidRPr="004F71CE" w:rsidRDefault="00A505F5" w:rsidP="00A505F5">
                  <w:pPr>
                    <w:jc w:val="right"/>
                    <w:rPr>
                      <w:rFonts w:ascii="Calibri" w:hAnsi="Calibri" w:cs="Calibri"/>
                      <w:noProof/>
                    </w:rPr>
                  </w:pPr>
                  <w:r>
                    <w:rPr>
                      <w:rFonts w:ascii="Calibri" w:hAnsi="Calibri" w:cs="Calibri"/>
                      <w:b/>
                      <w:bCs/>
                      <w:noProof/>
                      <w:color w:val="000000"/>
                      <w:sz w:val="22"/>
                      <w:szCs w:val="22"/>
                    </w:rPr>
                    <w:t>14 513.4</w:t>
                  </w:r>
                </w:p>
              </w:tc>
            </w:tr>
          </w:tbl>
          <w:p w14:paraId="3BD3DED4" w14:textId="77777777" w:rsidR="005C4C84" w:rsidRPr="004F71CE" w:rsidRDefault="005C4C84" w:rsidP="00AF1C5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5C4C84" w:rsidRPr="004F71CE" w14:paraId="21F661A3" w14:textId="77777777" w:rsidTr="00AF1C52">
              <w:trPr>
                <w:trHeight w:val="285"/>
              </w:trPr>
              <w:tc>
                <w:tcPr>
                  <w:tcW w:w="2290" w:type="dxa"/>
                  <w:tcBorders>
                    <w:top w:val="nil"/>
                    <w:left w:val="nil"/>
                    <w:bottom w:val="nil"/>
                    <w:right w:val="nil"/>
                  </w:tcBorders>
                  <w:vAlign w:val="bottom"/>
                </w:tcPr>
                <w:p w14:paraId="4A18515E" w14:textId="77777777" w:rsidR="005C4C84" w:rsidRPr="004F71CE" w:rsidRDefault="005C4C84" w:rsidP="00AF1C52">
                  <w:pPr>
                    <w:jc w:val="right"/>
                    <w:rPr>
                      <w:noProof/>
                    </w:rPr>
                  </w:pPr>
                  <w:r w:rsidRPr="004F71CE">
                    <w:rPr>
                      <w:rFonts w:ascii="Calibri" w:hAnsi="Calibri" w:cs="Calibri"/>
                      <w:noProof/>
                      <w:color w:val="000000"/>
                    </w:rPr>
                    <w:t>14%</w:t>
                  </w:r>
                </w:p>
              </w:tc>
            </w:tr>
          </w:tbl>
          <w:p w14:paraId="040C5F91" w14:textId="77777777" w:rsidR="005C4C84" w:rsidRPr="004F71CE" w:rsidRDefault="005C4C84" w:rsidP="00AF1C52">
            <w:pPr>
              <w:jc w:val="center"/>
              <w:cnfStyle w:val="000000000000" w:firstRow="0" w:lastRow="0" w:firstColumn="0" w:lastColumn="0" w:oddVBand="0" w:evenVBand="0" w:oddHBand="0" w:evenHBand="0" w:firstRowFirstColumn="0" w:firstRowLastColumn="0" w:lastRowFirstColumn="0" w:lastRowLastColumn="0"/>
              <w:rPr>
                <w:noProof/>
              </w:rPr>
            </w:pPr>
          </w:p>
        </w:tc>
      </w:tr>
      <w:tr w:rsidR="005C4C84" w:rsidRPr="004F71CE" w14:paraId="3EC06C97"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45A5211D" w14:textId="77777777" w:rsidR="005C4C84" w:rsidRPr="004F71CE" w:rsidRDefault="005C4C84" w:rsidP="00AF1C52">
            <w:pPr>
              <w:jc w:val="center"/>
              <w:rPr>
                <w:noProof/>
              </w:rPr>
            </w:pPr>
            <w:r w:rsidRPr="004F71CE">
              <w:rPr>
                <w:noProof/>
              </w:rPr>
              <w:t>Payments</w:t>
            </w:r>
          </w:p>
        </w:tc>
        <w:tc>
          <w:tcPr>
            <w:tcW w:w="2410" w:type="dxa"/>
          </w:tcPr>
          <w:tbl>
            <w:tblPr>
              <w:tblStyle w:val="TableGrid"/>
              <w:tblW w:w="0" w:type="auto"/>
              <w:tblLook w:val="06A0" w:firstRow="1" w:lastRow="0" w:firstColumn="1" w:lastColumn="0" w:noHBand="1" w:noVBand="1"/>
            </w:tblPr>
            <w:tblGrid>
              <w:gridCol w:w="2194"/>
            </w:tblGrid>
            <w:tr w:rsidR="005C4C84" w:rsidRPr="004F71CE" w14:paraId="34740B6D" w14:textId="77777777" w:rsidTr="00AF1C52">
              <w:trPr>
                <w:trHeight w:val="285"/>
              </w:trPr>
              <w:tc>
                <w:tcPr>
                  <w:tcW w:w="2290" w:type="dxa"/>
                  <w:tcBorders>
                    <w:top w:val="nil"/>
                    <w:left w:val="nil"/>
                    <w:bottom w:val="nil"/>
                    <w:right w:val="nil"/>
                  </w:tcBorders>
                  <w:vAlign w:val="bottom"/>
                </w:tcPr>
                <w:p w14:paraId="6AF42D20" w14:textId="77777777" w:rsidR="005C4C84" w:rsidRPr="004F71CE" w:rsidRDefault="005C4C84" w:rsidP="00AF1C52">
                  <w:pPr>
                    <w:jc w:val="right"/>
                    <w:rPr>
                      <w:noProof/>
                    </w:rPr>
                  </w:pPr>
                  <w:r w:rsidRPr="004F71CE">
                    <w:rPr>
                      <w:rFonts w:ascii="Calibri" w:hAnsi="Calibri" w:cs="Calibri"/>
                      <w:noProof/>
                      <w:color w:val="000000"/>
                    </w:rPr>
                    <w:t>1 577.3</w:t>
                  </w:r>
                </w:p>
              </w:tc>
            </w:tr>
          </w:tbl>
          <w:p w14:paraId="62E73687" w14:textId="77777777" w:rsidR="005C4C84" w:rsidRPr="004F71CE" w:rsidRDefault="005C4C84" w:rsidP="00AF1C5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5B23C264" w14:textId="77777777" w:rsidR="005C4C84" w:rsidRPr="004F71CE" w:rsidRDefault="005C4C84" w:rsidP="00AF1C5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5C4C84" w:rsidRPr="004F71CE" w14:paraId="4B7A79B0" w14:textId="77777777" w:rsidTr="00AF1C52">
              <w:trPr>
                <w:trHeight w:val="285"/>
              </w:trPr>
              <w:tc>
                <w:tcPr>
                  <w:tcW w:w="2235" w:type="dxa"/>
                  <w:tcBorders>
                    <w:top w:val="nil"/>
                    <w:left w:val="nil"/>
                    <w:bottom w:val="nil"/>
                    <w:right w:val="nil"/>
                  </w:tcBorders>
                  <w:vAlign w:val="bottom"/>
                </w:tcPr>
                <w:p w14:paraId="05E55F02" w14:textId="77777777" w:rsidR="005C4C84" w:rsidRPr="004F71CE" w:rsidRDefault="005C4C84" w:rsidP="00AF1C52">
                  <w:pPr>
                    <w:jc w:val="right"/>
                    <w:rPr>
                      <w:noProof/>
                    </w:rPr>
                  </w:pPr>
                  <w:r w:rsidRPr="004F71CE">
                    <w:rPr>
                      <w:rFonts w:ascii="Calibri" w:hAnsi="Calibri" w:cs="Calibri"/>
                      <w:noProof/>
                      <w:color w:val="000000"/>
                    </w:rPr>
                    <w:t>11%</w:t>
                  </w:r>
                </w:p>
              </w:tc>
            </w:tr>
          </w:tbl>
          <w:p w14:paraId="349B23FD" w14:textId="77777777" w:rsidR="005C4C84" w:rsidRPr="004F71CE" w:rsidRDefault="005C4C84" w:rsidP="00AF1C52">
            <w:pPr>
              <w:jc w:val="center"/>
              <w:cnfStyle w:val="000000000000" w:firstRow="0" w:lastRow="0" w:firstColumn="0" w:lastColumn="0" w:oddVBand="0" w:evenVBand="0" w:oddHBand="0" w:evenHBand="0" w:firstRowFirstColumn="0" w:firstRowLastColumn="0" w:lastRowFirstColumn="0" w:lastRowLastColumn="0"/>
              <w:rPr>
                <w:noProof/>
              </w:rPr>
            </w:pPr>
          </w:p>
        </w:tc>
      </w:tr>
    </w:tbl>
    <w:p w14:paraId="7712A1DD" w14:textId="77777777" w:rsidR="005C4C84" w:rsidRPr="004F71CE" w:rsidRDefault="005C4C84" w:rsidP="005C4C84">
      <w:pPr>
        <w:pStyle w:val="ppoTableTabletitle"/>
        <w:rPr>
          <w:b/>
          <w:noProof/>
        </w:rPr>
      </w:pPr>
      <w:r w:rsidRPr="004F71CE">
        <w:rPr>
          <w:noProof/>
        </w:rPr>
        <w:t>Voted budget implementation in 2021 (million EUR):</w:t>
      </w:r>
    </w:p>
    <w:tbl>
      <w:tblPr>
        <w:tblStyle w:val="PPO2021"/>
        <w:tblW w:w="3683" w:type="pct"/>
        <w:tblInd w:w="79" w:type="dxa"/>
        <w:tblLook w:val="04A0" w:firstRow="1" w:lastRow="0" w:firstColumn="1" w:lastColumn="0" w:noHBand="0" w:noVBand="1"/>
      </w:tblPr>
      <w:tblGrid>
        <w:gridCol w:w="2419"/>
        <w:gridCol w:w="2419"/>
        <w:gridCol w:w="2420"/>
      </w:tblGrid>
      <w:tr w:rsidR="005C4C84" w:rsidRPr="004F71CE" w14:paraId="0AB33371" w14:textId="77777777" w:rsidTr="00AF1C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20D8804A" w14:textId="77777777" w:rsidR="005C4C84" w:rsidRPr="004F71CE" w:rsidRDefault="005C4C84" w:rsidP="00AF1C52">
            <w:pPr>
              <w:rPr>
                <w:noProof/>
              </w:rPr>
            </w:pPr>
          </w:p>
        </w:tc>
        <w:tc>
          <w:tcPr>
            <w:tcW w:w="2419" w:type="dxa"/>
          </w:tcPr>
          <w:p w14:paraId="2CBE6B07" w14:textId="77777777" w:rsidR="005C4C84" w:rsidRPr="004F71CE" w:rsidRDefault="005C4C84" w:rsidP="00AF1C52">
            <w:pPr>
              <w:cnfStyle w:val="100000000000" w:firstRow="1" w:lastRow="0" w:firstColumn="0" w:lastColumn="0" w:oddVBand="0" w:evenVBand="0" w:oddHBand="0" w:evenHBand="0" w:firstRowFirstColumn="0" w:firstRowLastColumn="0" w:lastRowFirstColumn="0" w:lastRowLastColumn="0"/>
              <w:rPr>
                <w:noProof/>
              </w:rPr>
            </w:pPr>
            <w:r w:rsidRPr="004F71CE">
              <w:rPr>
                <w:noProof/>
              </w:rPr>
              <w:t>Voted budget implementation</w:t>
            </w:r>
          </w:p>
        </w:tc>
        <w:tc>
          <w:tcPr>
            <w:tcW w:w="2420" w:type="dxa"/>
          </w:tcPr>
          <w:p w14:paraId="201CC4B6" w14:textId="77777777" w:rsidR="005C4C84" w:rsidRPr="004F71CE" w:rsidRDefault="005C4C84" w:rsidP="00AF1C52">
            <w:pPr>
              <w:cnfStyle w:val="100000000000" w:firstRow="1" w:lastRow="0" w:firstColumn="0" w:lastColumn="0" w:oddVBand="0" w:evenVBand="0" w:oddHBand="0" w:evenHBand="0" w:firstRowFirstColumn="0" w:firstRowLastColumn="0" w:lastRowFirstColumn="0" w:lastRowLastColumn="0"/>
              <w:rPr>
                <w:noProof/>
              </w:rPr>
            </w:pPr>
            <w:r w:rsidRPr="004F71CE">
              <w:rPr>
                <w:noProof/>
              </w:rPr>
              <w:t>Initial voted budget</w:t>
            </w:r>
          </w:p>
        </w:tc>
      </w:tr>
      <w:tr w:rsidR="005C4C84" w:rsidRPr="004F71CE" w14:paraId="37F64E93" w14:textId="77777777" w:rsidTr="00AF1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17C927CE" w14:textId="77777777" w:rsidR="005C4C84" w:rsidRPr="004F71CE" w:rsidRDefault="005C4C84" w:rsidP="00AF1C52">
            <w:pPr>
              <w:jc w:val="center"/>
              <w:rPr>
                <w:noProof/>
              </w:rPr>
            </w:pPr>
            <w:r w:rsidRPr="004F71CE">
              <w:rPr>
                <w:noProof/>
              </w:rPr>
              <w:t>Commitments</w:t>
            </w:r>
          </w:p>
        </w:tc>
        <w:tc>
          <w:tcPr>
            <w:tcW w:w="2419" w:type="dxa"/>
          </w:tcPr>
          <w:p w14:paraId="1B08D4B1" w14:textId="77777777" w:rsidR="005C4C84" w:rsidRPr="004F71CE" w:rsidRDefault="005C4C84" w:rsidP="00AF1C52">
            <w:pPr>
              <w:jc w:val="center"/>
              <w:cnfStyle w:val="000000100000" w:firstRow="0" w:lastRow="0" w:firstColumn="0" w:lastColumn="0" w:oddVBand="0" w:evenVBand="0" w:oddHBand="1" w:evenHBand="0" w:firstRowFirstColumn="0" w:firstRowLastColumn="0" w:lastRowFirstColumn="0" w:lastRowLastColumn="0"/>
              <w:rPr>
                <w:noProof/>
              </w:rPr>
            </w:pPr>
            <w:r w:rsidRPr="004F71CE">
              <w:rPr>
                <w:noProof/>
              </w:rPr>
              <w:t>1</w:t>
            </w:r>
            <w:r w:rsidRPr="004F71CE">
              <w:rPr>
                <w:rFonts w:ascii="Calibri" w:hAnsi="Calibri" w:cs="Calibri"/>
                <w:noProof/>
              </w:rPr>
              <w:t> </w:t>
            </w:r>
            <w:r w:rsidRPr="004F71CE">
              <w:rPr>
                <w:noProof/>
              </w:rPr>
              <w:t>977.3</w:t>
            </w:r>
          </w:p>
        </w:tc>
        <w:tc>
          <w:tcPr>
            <w:tcW w:w="2420" w:type="dxa"/>
          </w:tcPr>
          <w:p w14:paraId="3CD44F63" w14:textId="77777777" w:rsidR="005C4C84" w:rsidRPr="004F71CE" w:rsidRDefault="005C4C84" w:rsidP="00AF1C52">
            <w:pPr>
              <w:jc w:val="center"/>
              <w:cnfStyle w:val="000000100000" w:firstRow="0" w:lastRow="0" w:firstColumn="0" w:lastColumn="0" w:oddVBand="0" w:evenVBand="0" w:oddHBand="1" w:evenHBand="0" w:firstRowFirstColumn="0" w:firstRowLastColumn="0" w:lastRowFirstColumn="0" w:lastRowLastColumn="0"/>
              <w:rPr>
                <w:noProof/>
              </w:rPr>
            </w:pPr>
            <w:r w:rsidRPr="004F71CE">
              <w:rPr>
                <w:noProof/>
              </w:rPr>
              <w:t>1</w:t>
            </w:r>
            <w:r w:rsidRPr="004F71CE">
              <w:rPr>
                <w:rFonts w:ascii="Calibri" w:hAnsi="Calibri" w:cs="Calibri"/>
                <w:noProof/>
              </w:rPr>
              <w:t> </w:t>
            </w:r>
            <w:r w:rsidRPr="004F71CE">
              <w:rPr>
                <w:noProof/>
              </w:rPr>
              <w:t>997.4</w:t>
            </w:r>
          </w:p>
        </w:tc>
      </w:tr>
      <w:tr w:rsidR="005C4C84" w:rsidRPr="004F71CE" w14:paraId="055B9520" w14:textId="77777777" w:rsidTr="00AF1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7F312D6C" w14:textId="77777777" w:rsidR="005C4C84" w:rsidRPr="004F71CE" w:rsidRDefault="005C4C84" w:rsidP="00AF1C52">
            <w:pPr>
              <w:jc w:val="center"/>
              <w:rPr>
                <w:noProof/>
              </w:rPr>
            </w:pPr>
            <w:r w:rsidRPr="004F71CE">
              <w:rPr>
                <w:noProof/>
              </w:rPr>
              <w:t>Payments</w:t>
            </w:r>
          </w:p>
        </w:tc>
        <w:tc>
          <w:tcPr>
            <w:tcW w:w="2419" w:type="dxa"/>
          </w:tcPr>
          <w:p w14:paraId="1CA88824" w14:textId="77777777" w:rsidR="005C4C84" w:rsidRPr="004F71CE" w:rsidRDefault="005C4C84" w:rsidP="00AF1C52">
            <w:pPr>
              <w:jc w:val="center"/>
              <w:cnfStyle w:val="000000010000" w:firstRow="0" w:lastRow="0" w:firstColumn="0" w:lastColumn="0" w:oddVBand="0" w:evenVBand="0" w:oddHBand="0" w:evenHBand="1" w:firstRowFirstColumn="0" w:firstRowLastColumn="0" w:lastRowFirstColumn="0" w:lastRowLastColumn="0"/>
              <w:rPr>
                <w:noProof/>
              </w:rPr>
            </w:pPr>
            <w:r w:rsidRPr="004F71CE">
              <w:rPr>
                <w:noProof/>
              </w:rPr>
              <w:t>1</w:t>
            </w:r>
            <w:r w:rsidRPr="004F71CE">
              <w:rPr>
                <w:rFonts w:ascii="Calibri" w:hAnsi="Calibri" w:cs="Calibri"/>
                <w:noProof/>
              </w:rPr>
              <w:t> </w:t>
            </w:r>
            <w:r w:rsidRPr="004F71CE">
              <w:rPr>
                <w:noProof/>
              </w:rPr>
              <w:t>518.4</w:t>
            </w:r>
          </w:p>
        </w:tc>
        <w:tc>
          <w:tcPr>
            <w:tcW w:w="2420" w:type="dxa"/>
          </w:tcPr>
          <w:p w14:paraId="087B82F5" w14:textId="77777777" w:rsidR="005C4C84" w:rsidRPr="004F71CE" w:rsidRDefault="005C4C84" w:rsidP="00AF1C52">
            <w:pPr>
              <w:jc w:val="center"/>
              <w:cnfStyle w:val="000000010000" w:firstRow="0" w:lastRow="0" w:firstColumn="0" w:lastColumn="0" w:oddVBand="0" w:evenVBand="0" w:oddHBand="0" w:evenHBand="1" w:firstRowFirstColumn="0" w:firstRowLastColumn="0" w:lastRowFirstColumn="0" w:lastRowLastColumn="0"/>
              <w:rPr>
                <w:noProof/>
              </w:rPr>
            </w:pPr>
            <w:r w:rsidRPr="004F71CE">
              <w:rPr>
                <w:noProof/>
              </w:rPr>
              <w:t>806.5</w:t>
            </w:r>
          </w:p>
        </w:tc>
      </w:tr>
    </w:tbl>
    <w:p w14:paraId="25748EDF" w14:textId="77777777" w:rsidR="005C4C84" w:rsidRPr="004F71CE" w:rsidRDefault="005C4C84" w:rsidP="005C4C84">
      <w:pPr>
        <w:pStyle w:val="ppoListHyphened-L1"/>
        <w:jc w:val="both"/>
        <w:rPr>
          <w:noProof/>
        </w:rPr>
      </w:pPr>
      <w:r w:rsidRPr="004F71CE">
        <w:rPr>
          <w:noProof/>
        </w:rPr>
        <w:t>The adoption of the programme’s regulation in April 2021 was followed by the conclusion, in June, of a financial framework partnership agreement and contribution agreements between the Commission, the European Space Agency and the European Union Agency for the Space Programme. Based on these agreements, the Commission delegated to these agencies the implementation of a wide range of tasks under the programme’s components.</w:t>
      </w:r>
    </w:p>
    <w:p w14:paraId="0399B4DE" w14:textId="77777777" w:rsidR="005C4C84" w:rsidRPr="004F71CE" w:rsidRDefault="005C4C84" w:rsidP="005C4C84">
      <w:pPr>
        <w:pStyle w:val="ppoListHyphened-L1"/>
        <w:jc w:val="both"/>
        <w:rPr>
          <w:noProof/>
        </w:rPr>
      </w:pPr>
      <w:r w:rsidRPr="004F71CE">
        <w:rPr>
          <w:noProof/>
        </w:rPr>
        <w:t>All of the components of the EU space programme are expected to fully consume the 2022 commitment appropriations.</w:t>
      </w:r>
    </w:p>
    <w:p w14:paraId="3ABC5070" w14:textId="77777777" w:rsidR="005C4C84" w:rsidRPr="004F71CE" w:rsidRDefault="005C4C84" w:rsidP="005C4C84">
      <w:pPr>
        <w:pStyle w:val="ppoListHyphened-L1"/>
        <w:numPr>
          <w:ilvl w:val="0"/>
          <w:numId w:val="0"/>
        </w:numPr>
        <w:jc w:val="both"/>
        <w:rPr>
          <w:noProof/>
        </w:rPr>
      </w:pPr>
      <w:r w:rsidRPr="000A46E3">
        <w:rPr>
          <w:b/>
          <w:noProof/>
          <w:lang w:val="fr-BE"/>
        </w:rPr>
        <w:t>EU satellite navigation component</w:t>
      </w:r>
      <w:r w:rsidRPr="000A46E3">
        <w:rPr>
          <w:rFonts w:ascii="Calibri" w:hAnsi="Calibri" w:cs="Calibri"/>
          <w:b/>
          <w:noProof/>
          <w:lang w:val="fr-BE"/>
        </w:rPr>
        <w:t> </w:t>
      </w:r>
      <w:r w:rsidRPr="000A46E3">
        <w:rPr>
          <w:b/>
          <w:noProof/>
          <w:lang w:val="fr-BE"/>
        </w:rPr>
        <w:t>– Galileo and EGNOS.</w:t>
      </w:r>
      <w:r w:rsidRPr="000A46E3">
        <w:rPr>
          <w:noProof/>
          <w:lang w:val="fr-BE"/>
        </w:rPr>
        <w:t xml:space="preserve"> </w:t>
      </w:r>
      <w:r w:rsidRPr="004F71CE">
        <w:rPr>
          <w:noProof/>
        </w:rPr>
        <w:t xml:space="preserve">In 2021, the key priorities were to ensure the continuity of Galileo and EGNOS services, to continue preparations for the full operational capability of Galileo services and to promote the market uptake of Galileo and EGNOS services. </w:t>
      </w:r>
    </w:p>
    <w:p w14:paraId="65669D78" w14:textId="77777777" w:rsidR="005C4C84" w:rsidRPr="004F71CE" w:rsidRDefault="005C4C84" w:rsidP="005C4C84">
      <w:pPr>
        <w:pStyle w:val="ppoListHyphened-L1"/>
        <w:jc w:val="both"/>
        <w:rPr>
          <w:noProof/>
        </w:rPr>
      </w:pPr>
      <w:r w:rsidRPr="004F71CE">
        <w:rPr>
          <w:b/>
          <w:noProof/>
        </w:rPr>
        <w:t>Galileo.</w:t>
      </w:r>
      <w:r w:rsidRPr="004F71CE">
        <w:rPr>
          <w:noProof/>
        </w:rPr>
        <w:t xml:space="preserve"> Galileo’s implementation progressed well in 2021. With regard to services, activities focused on ensuring the continuity of service provision and related operations and on developing new innovative service features </w:t>
      </w:r>
      <w:r w:rsidRPr="000A46E3">
        <w:rPr>
          <w:noProof/>
        </w:rPr>
        <w:t>such as the Galileo emergency warning service, the high accuracy service and authentication services.</w:t>
      </w:r>
      <w:r w:rsidRPr="004F71CE">
        <w:rPr>
          <w:noProof/>
        </w:rPr>
        <w:t xml:space="preserve"> The Galileo Open Service was reinforced with a new version of the </w:t>
      </w:r>
      <w:r w:rsidRPr="000A46E3">
        <w:rPr>
          <w:i/>
          <w:noProof/>
        </w:rPr>
        <w:t>Signal</w:t>
      </w:r>
      <w:r w:rsidRPr="004F71CE">
        <w:rPr>
          <w:i/>
          <w:iCs/>
          <w:noProof/>
        </w:rPr>
        <w:t>-in-</w:t>
      </w:r>
      <w:r w:rsidRPr="000A46E3">
        <w:rPr>
          <w:i/>
          <w:noProof/>
        </w:rPr>
        <w:t>Space Interface Control Document</w:t>
      </w:r>
      <w:r w:rsidRPr="004F71CE">
        <w:rPr>
          <w:noProof/>
        </w:rPr>
        <w:t xml:space="preserve">, which was published in early 2021. This publication introduces features to increase robustness and reduce acquisition time, especially in difficult environments. All modifications are backwards-compatible, so legacy receivers are not impacted. These improvements will be implemented in the actual signal-in-space broadcast by the satellites by the end of 2023. </w:t>
      </w:r>
      <w:r w:rsidRPr="000A46E3">
        <w:rPr>
          <w:noProof/>
        </w:rPr>
        <w:t xml:space="preserve">The Galileo system has delivered excellent </w:t>
      </w:r>
      <w:r w:rsidRPr="004F71CE">
        <w:rPr>
          <w:noProof/>
        </w:rPr>
        <w:t>search-</w:t>
      </w:r>
      <w:r w:rsidRPr="000A46E3">
        <w:rPr>
          <w:noProof/>
        </w:rPr>
        <w:t>and</w:t>
      </w:r>
      <w:r w:rsidRPr="004F71CE">
        <w:rPr>
          <w:noProof/>
        </w:rPr>
        <w:t>-rescue</w:t>
      </w:r>
      <w:r w:rsidRPr="000A46E3">
        <w:rPr>
          <w:noProof/>
        </w:rPr>
        <w:t xml:space="preserve"> services. </w:t>
      </w:r>
      <w:r w:rsidRPr="004F71CE">
        <w:rPr>
          <w:noProof/>
        </w:rPr>
        <w:t>I</w:t>
      </w:r>
      <w:r w:rsidRPr="000A46E3">
        <w:rPr>
          <w:noProof/>
        </w:rPr>
        <w:t xml:space="preserve">n March 2021, the Galileo </w:t>
      </w:r>
      <w:r w:rsidRPr="004F71CE">
        <w:rPr>
          <w:noProof/>
        </w:rPr>
        <w:t xml:space="preserve">Search and Rescue </w:t>
      </w:r>
      <w:r w:rsidRPr="000A46E3">
        <w:rPr>
          <w:noProof/>
        </w:rPr>
        <w:t xml:space="preserve">functionality </w:t>
      </w:r>
      <w:r w:rsidRPr="004F71CE">
        <w:rPr>
          <w:noProof/>
        </w:rPr>
        <w:t>known as</w:t>
      </w:r>
      <w:r w:rsidRPr="000A46E3">
        <w:rPr>
          <w:noProof/>
        </w:rPr>
        <w:t xml:space="preserve"> the Return Link Service</w:t>
      </w:r>
      <w:r w:rsidRPr="004F71CE">
        <w:rPr>
          <w:noProof/>
        </w:rPr>
        <w:t>,</w:t>
      </w:r>
      <w:r w:rsidRPr="000A46E3">
        <w:rPr>
          <w:noProof/>
        </w:rPr>
        <w:t xml:space="preserve"> which has been operational since January 2020, was upgraded to </w:t>
      </w:r>
      <w:r w:rsidRPr="004F71CE">
        <w:rPr>
          <w:noProof/>
        </w:rPr>
        <w:t>full operational capability,</w:t>
      </w:r>
      <w:r w:rsidRPr="000A46E3">
        <w:rPr>
          <w:noProof/>
        </w:rPr>
        <w:t xml:space="preserve"> allowing the commercialisation of </w:t>
      </w:r>
      <w:r w:rsidRPr="004F71CE">
        <w:rPr>
          <w:noProof/>
        </w:rPr>
        <w:t>Return Link Service-</w:t>
      </w:r>
      <w:r w:rsidRPr="000A46E3">
        <w:rPr>
          <w:noProof/>
        </w:rPr>
        <w:t xml:space="preserve">enabled emergency beacons worldwide. </w:t>
      </w:r>
      <w:r w:rsidRPr="004F71CE">
        <w:rPr>
          <w:noProof/>
        </w:rPr>
        <w:t xml:space="preserve">In 2021, work on defining the remote beacon activation and 2-Way Communication services continued. The former will allow remote activation of alert beacons in case the beacon user is unable to do so, for instance in case of distress. This service will only be provided by Galileo, and its declaration is scheduled for the first half of 2023. The 2-Way Communication service is expected by 2024, and will allow messages to be exchanged between the Rescue Coordination Centre and people in distress. The COVID-19 crisis has led to severe restrictions on travel and working procedures, and this has resulted in delays of several months in achieving key milestones, such as the declaration of the Open Service full operational capability </w:t>
      </w:r>
      <w:r w:rsidRPr="000A46E3">
        <w:rPr>
          <w:noProof/>
        </w:rPr>
        <w:t xml:space="preserve">and the improved </w:t>
      </w:r>
      <w:r w:rsidRPr="004F71CE">
        <w:rPr>
          <w:noProof/>
        </w:rPr>
        <w:t>Public Regulated</w:t>
      </w:r>
      <w:r w:rsidRPr="000A46E3">
        <w:rPr>
          <w:noProof/>
        </w:rPr>
        <w:t xml:space="preserve"> Service </w:t>
      </w:r>
      <w:r w:rsidRPr="004F71CE">
        <w:rPr>
          <w:noProof/>
        </w:rPr>
        <w:t>initial operational capability. Notwithstanding these constraints, the programme remains on track and the key services are being delivered according to expectations. Furthermore, the overall schedule for the Galileo second generation phase, including the procurement of the first satellites, was accelerated to allow for the first launch of the second generation satellites by the end of 2024. To this end, the technical requirements were consolidated, and the first of two industrial contracts was signed in the first quarter of 2021.</w:t>
      </w:r>
    </w:p>
    <w:p w14:paraId="2CB3FB0F" w14:textId="77777777" w:rsidR="005C4C84" w:rsidRPr="004F71CE" w:rsidRDefault="005C4C84" w:rsidP="005C4C84">
      <w:pPr>
        <w:pStyle w:val="ppoListHyphened-L1"/>
        <w:jc w:val="both"/>
        <w:rPr>
          <w:noProof/>
        </w:rPr>
      </w:pPr>
      <w:r w:rsidRPr="004F71CE">
        <w:rPr>
          <w:b/>
          <w:noProof/>
        </w:rPr>
        <w:t>EGNOS.</w:t>
      </w:r>
      <w:r w:rsidRPr="004F71CE">
        <w:rPr>
          <w:noProof/>
        </w:rPr>
        <w:t xml:space="preserve"> To guarantee the continuity of services beyond 2020 and improve the coverage of EU Member States’ territories, the development of the EGNOS V2.4.2-A evolution was finalised, with entry into service in the fourth quarter of 2021. The qualification of the V2.4.2-B evolution is ongoing, targeting entry into service in 2023. EGNOS has successfully managed the transition to a new-generation central processing facility with the entry into service of the EGNOS V2.4.2.A. The activities for the development of a new generation of EGNOS</w:t>
      </w:r>
      <w:r w:rsidRPr="004F71CE">
        <w:rPr>
          <w:rFonts w:ascii="Calibri" w:hAnsi="Calibri" w:cs="Calibri"/>
          <w:noProof/>
        </w:rPr>
        <w:t> </w:t>
      </w:r>
      <w:r w:rsidRPr="004F71CE">
        <w:rPr>
          <w:noProof/>
        </w:rPr>
        <w:t>– EGNOS version 3</w:t>
      </w:r>
      <w:r w:rsidRPr="004F71CE">
        <w:rPr>
          <w:rFonts w:ascii="Calibri" w:hAnsi="Calibri" w:cs="Calibri"/>
          <w:noProof/>
        </w:rPr>
        <w:t> </w:t>
      </w:r>
      <w:r w:rsidRPr="004F71CE">
        <w:rPr>
          <w:noProof/>
        </w:rPr>
        <w:t>– continued in 2021.</w:t>
      </w:r>
    </w:p>
    <w:p w14:paraId="0FB32899" w14:textId="77777777" w:rsidR="005C4C84" w:rsidRPr="004F71CE" w:rsidRDefault="005C4C84" w:rsidP="005C4C84">
      <w:pPr>
        <w:pStyle w:val="ppoListHyphened-L1"/>
        <w:jc w:val="both"/>
        <w:rPr>
          <w:noProof/>
        </w:rPr>
      </w:pPr>
      <w:r w:rsidRPr="004F71CE">
        <w:rPr>
          <w:b/>
          <w:noProof/>
        </w:rPr>
        <w:t>EU Earth observation</w:t>
      </w:r>
      <w:r w:rsidRPr="004F71CE">
        <w:rPr>
          <w:noProof/>
        </w:rPr>
        <w:t xml:space="preserve"> </w:t>
      </w:r>
      <w:r w:rsidRPr="004F71CE">
        <w:rPr>
          <w:b/>
          <w:noProof/>
        </w:rPr>
        <w:t>component</w:t>
      </w:r>
      <w:r w:rsidRPr="004F71CE">
        <w:rPr>
          <w:rFonts w:ascii="Calibri" w:hAnsi="Calibri" w:cs="Calibri"/>
          <w:b/>
          <w:noProof/>
        </w:rPr>
        <w:t> </w:t>
      </w:r>
      <w:r w:rsidRPr="004F71CE">
        <w:rPr>
          <w:b/>
          <w:noProof/>
        </w:rPr>
        <w:t>– Copernicus.</w:t>
      </w:r>
      <w:r w:rsidRPr="004F71CE">
        <w:rPr>
          <w:noProof/>
        </w:rPr>
        <w:t xml:space="preserve"> In 2021, the key priorities of the Copernicus programme components (space, services, in situ) were to ensure the continuity of services, to prepare the future Copernicus 2.0 and to </w:t>
      </w:r>
      <w:r w:rsidRPr="003823AB">
        <w:rPr>
          <w:noProof/>
        </w:rPr>
        <w:t>promote the market uptake of Copernicus data and service information</w:t>
      </w:r>
      <w:r w:rsidRPr="004F71CE">
        <w:rPr>
          <w:noProof/>
        </w:rPr>
        <w:t>. Thanks to the excellent cooperation with the entrusted entities and the measures in place to ensure business continuity, overall operations and service-provision activities remained normal. Ground segment operations continued their activities despite the challenges posed by operating remotely due to the COVID-19 crisis. The teams involved in the operations teleworked and access to the operational centres was minimised. Special non-essential operations were temporarily suspended to focus on the continuity of routine operations. The COVID-19 crisis led to the postponement of discussions on potential cooperation arrangements with eight countries and with the United Nations Environment Programme, the Food and Agriculture Organization of the United Nations and the World Meteorological Organization. As far as the next generation of Copernicus is concerned, evolution plans and the preparations for Copernicus 2.0 required the renewal of the existing delegation agreements with entrusted entities for the next 7</w:t>
      </w:r>
      <w:r w:rsidRPr="004F71CE">
        <w:rPr>
          <w:rFonts w:ascii="Calibri" w:hAnsi="Calibri" w:cs="Calibri"/>
          <w:noProof/>
        </w:rPr>
        <w:t> </w:t>
      </w:r>
      <w:r w:rsidRPr="004F71CE">
        <w:rPr>
          <w:noProof/>
        </w:rPr>
        <w:t>years. Nearly all the contribution agreements were negotiated and signed by the end of 2021. In addition, in 2021, an industry survey and an industry workshop were organised to prepare the revision of the Copernicus contributing missions to feature an innovative approach to dealing with Copernicus commercial satellite data and new space companies.</w:t>
      </w:r>
    </w:p>
    <w:p w14:paraId="67292742" w14:textId="77777777" w:rsidR="005C4C84" w:rsidRPr="004F71CE" w:rsidRDefault="005C4C84" w:rsidP="005C4C84">
      <w:pPr>
        <w:pStyle w:val="ppoListHyphened-L1"/>
        <w:jc w:val="both"/>
        <w:rPr>
          <w:b/>
          <w:noProof/>
        </w:rPr>
      </w:pPr>
      <w:r w:rsidRPr="004F71CE">
        <w:rPr>
          <w:b/>
          <w:noProof/>
        </w:rPr>
        <w:t xml:space="preserve">Space situational awareness component. </w:t>
      </w:r>
      <w:r w:rsidRPr="004F71CE">
        <w:rPr>
          <w:noProof/>
        </w:rPr>
        <w:t xml:space="preserve">This new component of the EU space programme adopts a holistic approach, including comprehensive knowledge and understanding of the main space hazards, such as space weather phenomena, and near-Earth objects. At the operational level, the EU has been active in the field of space surveillance and tracking since 2014. The relevant EU consortium delivers </w:t>
      </w:r>
      <w:r w:rsidRPr="003823AB">
        <w:rPr>
          <w:noProof/>
        </w:rPr>
        <w:t>three services</w:t>
      </w:r>
      <w:r>
        <w:rPr>
          <w:noProof/>
        </w:rPr>
        <w:t>,</w:t>
      </w:r>
      <w:r w:rsidRPr="003823AB">
        <w:rPr>
          <w:noProof/>
        </w:rPr>
        <w:t xml:space="preserve"> relating to collision risk assessment</w:t>
      </w:r>
      <w:r>
        <w:rPr>
          <w:noProof/>
        </w:rPr>
        <w:t>;</w:t>
      </w:r>
      <w:r w:rsidRPr="003823AB">
        <w:rPr>
          <w:noProof/>
        </w:rPr>
        <w:t xml:space="preserve"> </w:t>
      </w:r>
      <w:r>
        <w:rPr>
          <w:noProof/>
        </w:rPr>
        <w:t xml:space="preserve">the </w:t>
      </w:r>
      <w:r w:rsidRPr="003823AB">
        <w:rPr>
          <w:noProof/>
        </w:rPr>
        <w:t>detection and characterisation of in-orbit fragmentations, break-ups or collisions</w:t>
      </w:r>
      <w:r>
        <w:rPr>
          <w:noProof/>
        </w:rPr>
        <w:t>;</w:t>
      </w:r>
      <w:r w:rsidRPr="003823AB">
        <w:rPr>
          <w:noProof/>
        </w:rPr>
        <w:t xml:space="preserve"> and risk assessment of the uncontrolled re-entry</w:t>
      </w:r>
      <w:r w:rsidRPr="004F71CE">
        <w:rPr>
          <w:noProof/>
        </w:rPr>
        <w:t>. Currently, this EU consortium provides collision avoidance services to more than 260 European spacecraft and serves more than 130 organisations from 23 Member States. A new partnership will take over the activities performed by the consortium regarding the provision of such services at the EU level while ensuring a smooth transition and the continuity of service provision.</w:t>
      </w:r>
    </w:p>
    <w:p w14:paraId="30D3F93A" w14:textId="77777777" w:rsidR="005C4C84" w:rsidRPr="004F71CE" w:rsidRDefault="00E01E9B" w:rsidP="005C4C84">
      <w:pPr>
        <w:pStyle w:val="ppoListHyphened-L1"/>
        <w:jc w:val="both"/>
        <w:rPr>
          <w:noProof/>
        </w:rPr>
      </w:pPr>
      <w:hyperlink r:id="rId194" w:history="1">
        <w:r w:rsidR="005C4C84" w:rsidRPr="004F71CE">
          <w:rPr>
            <w:b/>
            <w:noProof/>
          </w:rPr>
          <w:t>Governmental satellite communications</w:t>
        </w:r>
      </w:hyperlink>
      <w:r w:rsidR="005C4C84" w:rsidRPr="004F71CE">
        <w:rPr>
          <w:b/>
          <w:noProof/>
        </w:rPr>
        <w:t xml:space="preserve"> component. </w:t>
      </w:r>
      <w:r w:rsidR="005C4C84" w:rsidRPr="004F71CE">
        <w:rPr>
          <w:noProof/>
        </w:rPr>
        <w:t>This is a new component of the EU space programme. A preparatory action was begun prior to 2021 with funding support from the European Parliament to allow the operational governmental satellite communications</w:t>
      </w:r>
      <w:r w:rsidR="005C4C84" w:rsidRPr="004F71CE" w:rsidDel="001C2653">
        <w:rPr>
          <w:noProof/>
        </w:rPr>
        <w:t xml:space="preserve"> </w:t>
      </w:r>
      <w:r w:rsidR="005C4C84" w:rsidRPr="004F71CE">
        <w:rPr>
          <w:noProof/>
        </w:rPr>
        <w:t xml:space="preserve">component of the EU space programme to start successfully. The focus of the preparatory actions has been on developing </w:t>
      </w:r>
      <w:r w:rsidR="005C4C84">
        <w:rPr>
          <w:noProof/>
        </w:rPr>
        <w:t xml:space="preserve">the </w:t>
      </w:r>
      <w:r w:rsidR="005C4C84" w:rsidRPr="003823AB">
        <w:rPr>
          <w:noProof/>
        </w:rPr>
        <w:t>user interface</w:t>
      </w:r>
      <w:r w:rsidR="005C4C84" w:rsidRPr="004F71CE">
        <w:rPr>
          <w:noProof/>
        </w:rPr>
        <w:t>, operational user requirements, security requirements and the procurement of the secure operational ground segment studies. The implementation of the governmental satellite communications</w:t>
      </w:r>
      <w:r w:rsidR="005C4C84" w:rsidRPr="004F71CE" w:rsidDel="001C2653">
        <w:rPr>
          <w:noProof/>
        </w:rPr>
        <w:t xml:space="preserve"> </w:t>
      </w:r>
      <w:r w:rsidR="005C4C84" w:rsidRPr="004F71CE">
        <w:rPr>
          <w:noProof/>
        </w:rPr>
        <w:t>component will consist of preparing the grounds for the timely and appropriate level of adoption of the services when they start to be provided and continuing the procurement of the appropriate ground segment infrastructure.</w:t>
      </w:r>
    </w:p>
    <w:p w14:paraId="4F0CEF46" w14:textId="77777777" w:rsidR="005C4C84" w:rsidRPr="004F71CE" w:rsidRDefault="005C4C84" w:rsidP="005C4C84">
      <w:pPr>
        <w:pStyle w:val="ppoListHyphened-L1"/>
        <w:jc w:val="both"/>
        <w:rPr>
          <w:b/>
          <w:noProof/>
        </w:rPr>
      </w:pPr>
      <w:r w:rsidRPr="004F71CE">
        <w:rPr>
          <w:b/>
          <w:noProof/>
        </w:rPr>
        <w:t xml:space="preserve">Cassini. </w:t>
      </w:r>
      <w:r w:rsidRPr="004F71CE">
        <w:rPr>
          <w:noProof/>
        </w:rPr>
        <w:t>To foster innovation and support the emerging European new space industry, in particular small and medium-sized enterprises, the Cassini initiative was rolled out in 2021. To raise interest in entrepreneurship in the space area, a contract for Cassini hackathons was launched in 2021. Two large events took place online and in 10 locations each, in June and November 2021 respectively. Furthermore, Cassini matchmaking, aiming at bringing together start-ups with investors and large companies, will be launched in April 2022, and the first event is scheduled for June 2022. By the end of 2022, the Cassini business accelerator will also be launched, with the aim of improving business skills and networks among start-up companies. In addition, the Cassini Seed and Growth Funding Facility will seek to tackle the lack of risk capital. This action will be launched in the second quarter of 2022 and is expected to strengthen private investment in space-related companies. The European Investment Fund will be acting as an implementing partner for this action.</w:t>
      </w:r>
    </w:p>
    <w:p w14:paraId="3E443C07" w14:textId="77777777" w:rsidR="005C4C84" w:rsidRPr="004F71CE" w:rsidRDefault="005C4C84" w:rsidP="005C4C84">
      <w:pPr>
        <w:pStyle w:val="ppoHeading5"/>
        <w:rPr>
          <w:noProof/>
        </w:rPr>
      </w:pPr>
      <w:r w:rsidRPr="004F71CE">
        <w:rPr>
          <w:noProof/>
        </w:rPr>
        <w:t>Contribution to horizontal priorities</w:t>
      </w:r>
    </w:p>
    <w:p w14:paraId="5ABFAC16" w14:textId="77777777" w:rsidR="005C4C84" w:rsidRPr="004F71CE" w:rsidRDefault="005C4C84" w:rsidP="005C4C84">
      <w:pPr>
        <w:pStyle w:val="ppoTableTabletitle"/>
        <w:rPr>
          <w:noProof/>
        </w:rPr>
      </w:pPr>
      <w:r w:rsidRPr="004F71CE">
        <w:rPr>
          <w:noProof/>
        </w:rPr>
        <w:t>EU budget contribution in 2021 (million EUR):</w:t>
      </w:r>
    </w:p>
    <w:tbl>
      <w:tblPr>
        <w:tblStyle w:val="PPO2021"/>
        <w:tblW w:w="9639" w:type="dxa"/>
        <w:tblInd w:w="0" w:type="dxa"/>
        <w:tblLook w:val="0420" w:firstRow="1" w:lastRow="0" w:firstColumn="0" w:lastColumn="0" w:noHBand="0" w:noVBand="1"/>
      </w:tblPr>
      <w:tblGrid>
        <w:gridCol w:w="3213"/>
        <w:gridCol w:w="3213"/>
        <w:gridCol w:w="3213"/>
      </w:tblGrid>
      <w:tr w:rsidR="005C4C84" w:rsidRPr="004F71CE" w14:paraId="5813B3B5" w14:textId="77777777" w:rsidTr="00AF1C52">
        <w:trPr>
          <w:cnfStyle w:val="100000000000" w:firstRow="1" w:lastRow="0" w:firstColumn="0" w:lastColumn="0" w:oddVBand="0" w:evenVBand="0" w:oddHBand="0" w:evenHBand="0" w:firstRowFirstColumn="0" w:firstRowLastColumn="0" w:lastRowFirstColumn="0" w:lastRowLastColumn="0"/>
          <w:tblHeader/>
        </w:trPr>
        <w:tc>
          <w:tcPr>
            <w:tcW w:w="3213" w:type="dxa"/>
          </w:tcPr>
          <w:p w14:paraId="0639B624" w14:textId="77777777" w:rsidR="005C4C84" w:rsidRPr="004F71CE" w:rsidRDefault="005C4C84" w:rsidP="00AF1C52">
            <w:pPr>
              <w:rPr>
                <w:noProof/>
              </w:rPr>
            </w:pPr>
            <w:r w:rsidRPr="004F71CE">
              <w:rPr>
                <w:noProof/>
              </w:rPr>
              <w:t>Climate</w:t>
            </w:r>
          </w:p>
        </w:tc>
        <w:tc>
          <w:tcPr>
            <w:tcW w:w="3213" w:type="dxa"/>
          </w:tcPr>
          <w:p w14:paraId="6F0D3700" w14:textId="77777777" w:rsidR="005C4C84" w:rsidRPr="004F71CE" w:rsidRDefault="005C4C84" w:rsidP="00AF1C52">
            <w:pPr>
              <w:rPr>
                <w:noProof/>
              </w:rPr>
            </w:pPr>
            <w:r w:rsidRPr="004F71CE">
              <w:rPr>
                <w:noProof/>
              </w:rPr>
              <w:t>Biodiversity</w:t>
            </w:r>
          </w:p>
        </w:tc>
        <w:tc>
          <w:tcPr>
            <w:tcW w:w="3213" w:type="dxa"/>
          </w:tcPr>
          <w:p w14:paraId="6903F67B" w14:textId="77777777" w:rsidR="005C4C84" w:rsidRPr="004F71CE" w:rsidRDefault="005C4C84" w:rsidP="00AF1C52">
            <w:pPr>
              <w:rPr>
                <w:noProof/>
              </w:rPr>
            </w:pPr>
            <w:r w:rsidRPr="004F71CE">
              <w:rPr>
                <w:noProof/>
              </w:rPr>
              <w:t>Gender equality (*)</w:t>
            </w:r>
          </w:p>
        </w:tc>
      </w:tr>
      <w:tr w:rsidR="005C4C84" w:rsidRPr="004F71CE" w14:paraId="77B712DC" w14:textId="77777777" w:rsidTr="00AF1C52">
        <w:trPr>
          <w:cnfStyle w:val="000000100000" w:firstRow="0" w:lastRow="0" w:firstColumn="0" w:lastColumn="0" w:oddVBand="0" w:evenVBand="0" w:oddHBand="1" w:evenHBand="0" w:firstRowFirstColumn="0" w:firstRowLastColumn="0" w:lastRowFirstColumn="0" w:lastRowLastColumn="0"/>
        </w:trPr>
        <w:tc>
          <w:tcPr>
            <w:tcW w:w="3213" w:type="dxa"/>
          </w:tcPr>
          <w:tbl>
            <w:tblPr>
              <w:tblStyle w:val="TableGrid"/>
              <w:tblW w:w="0" w:type="auto"/>
              <w:tblLook w:val="06A0" w:firstRow="1" w:lastRow="0" w:firstColumn="1" w:lastColumn="0" w:noHBand="1" w:noVBand="1"/>
            </w:tblPr>
            <w:tblGrid>
              <w:gridCol w:w="1935"/>
            </w:tblGrid>
            <w:tr w:rsidR="005C4C84" w:rsidRPr="004F71CE" w14:paraId="2B9606D8" w14:textId="77777777" w:rsidTr="00AF1C52">
              <w:trPr>
                <w:trHeight w:val="285"/>
              </w:trPr>
              <w:tc>
                <w:tcPr>
                  <w:tcW w:w="1935" w:type="dxa"/>
                  <w:tcBorders>
                    <w:top w:val="nil"/>
                    <w:left w:val="nil"/>
                    <w:bottom w:val="nil"/>
                    <w:right w:val="nil"/>
                  </w:tcBorders>
                  <w:vAlign w:val="bottom"/>
                </w:tcPr>
                <w:p w14:paraId="06E21D98" w14:textId="54411256" w:rsidR="005C4C84" w:rsidRPr="004F71CE" w:rsidRDefault="005C4C84" w:rsidP="00AF1C52">
                  <w:pPr>
                    <w:jc w:val="right"/>
                    <w:rPr>
                      <w:noProof/>
                    </w:rPr>
                  </w:pPr>
                  <w:r w:rsidRPr="004F71CE">
                    <w:rPr>
                      <w:rFonts w:ascii="Calibri" w:hAnsi="Calibri" w:cs="Calibri"/>
                      <w:noProof/>
                      <w:color w:val="000000"/>
                    </w:rPr>
                    <w:t>2</w:t>
                  </w:r>
                  <w:r w:rsidR="00194625">
                    <w:rPr>
                      <w:rFonts w:ascii="Calibri" w:hAnsi="Calibri" w:cs="Calibri"/>
                      <w:noProof/>
                      <w:color w:val="000000"/>
                    </w:rPr>
                    <w:t>54.25</w:t>
                  </w:r>
                </w:p>
              </w:tc>
            </w:tr>
          </w:tbl>
          <w:p w14:paraId="35914FE8" w14:textId="308E09D2" w:rsidR="005C4C84" w:rsidRPr="004F71CE" w:rsidRDefault="005C4C84" w:rsidP="00AF1C52">
            <w:pPr>
              <w:jc w:val="center"/>
              <w:rPr>
                <w:noProof/>
              </w:rPr>
            </w:pPr>
          </w:p>
        </w:tc>
        <w:tc>
          <w:tcPr>
            <w:tcW w:w="3213" w:type="dxa"/>
          </w:tcPr>
          <w:p w14:paraId="22B33D0B" w14:textId="77777777" w:rsidR="005C4C84" w:rsidRPr="004F71CE" w:rsidRDefault="005C4C84" w:rsidP="00AF1C52">
            <w:pPr>
              <w:jc w:val="center"/>
              <w:rPr>
                <w:noProof/>
              </w:rPr>
            </w:pPr>
            <w:r w:rsidRPr="004F71CE">
              <w:rPr>
                <w:noProof/>
              </w:rPr>
              <w:t>120.0</w:t>
            </w:r>
          </w:p>
        </w:tc>
        <w:tc>
          <w:tcPr>
            <w:tcW w:w="3213" w:type="dxa"/>
          </w:tcPr>
          <w:p w14:paraId="51398698" w14:textId="77777777" w:rsidR="005C4C84" w:rsidRDefault="005C4C84" w:rsidP="00AF1C52">
            <w:pPr>
              <w:jc w:val="center"/>
              <w:rPr>
                <w:noProof/>
              </w:rPr>
            </w:pPr>
            <w:r w:rsidRPr="004F71CE">
              <w:rPr>
                <w:noProof/>
              </w:rPr>
              <w:t>Score 0*: 0.2</w:t>
            </w:r>
            <w:r>
              <w:rPr>
                <w:noProof/>
              </w:rPr>
              <w:t>9</w:t>
            </w:r>
          </w:p>
          <w:p w14:paraId="26ED4685" w14:textId="77777777" w:rsidR="005C4C84" w:rsidRPr="004F71CE" w:rsidRDefault="005C4C84" w:rsidP="00AF1C52">
            <w:pPr>
              <w:jc w:val="center"/>
              <w:rPr>
                <w:noProof/>
              </w:rPr>
            </w:pPr>
            <w:r>
              <w:rPr>
                <w:noProof/>
              </w:rPr>
              <w:t>Score 0: 1 977.05</w:t>
            </w:r>
          </w:p>
        </w:tc>
      </w:tr>
    </w:tbl>
    <w:p w14:paraId="455B8B1E" w14:textId="77777777" w:rsidR="005C4C84" w:rsidRPr="004F71CE" w:rsidRDefault="005C4C84" w:rsidP="005C4C84">
      <w:pPr>
        <w:pStyle w:val="FootnoteText"/>
        <w:rPr>
          <w:noProof/>
        </w:rPr>
      </w:pPr>
      <w:r w:rsidRPr="004F71CE">
        <w:rPr>
          <w:noProof/>
        </w:rPr>
        <w:t>(*)</w:t>
      </w:r>
      <w:r w:rsidRPr="004F71CE">
        <w:rPr>
          <w:noProof/>
        </w:rPr>
        <w:tab/>
        <w:t>Based on the applied gender contribution methodology, the following scores are attributed at the most granular level of intervention possible:</w:t>
      </w:r>
    </w:p>
    <w:p w14:paraId="63F4C7DA" w14:textId="77777777" w:rsidR="005C4C84" w:rsidRPr="004F71CE" w:rsidRDefault="005C4C84" w:rsidP="005C4C84">
      <w:pPr>
        <w:pStyle w:val="FootnoteText"/>
        <w:numPr>
          <w:ilvl w:val="0"/>
          <w:numId w:val="38"/>
        </w:numPr>
        <w:spacing w:after="60" w:line="264" w:lineRule="auto"/>
        <w:jc w:val="left"/>
        <w:rPr>
          <w:noProof/>
        </w:rPr>
      </w:pPr>
      <w:r w:rsidRPr="004F71CE">
        <w:rPr>
          <w:noProof/>
        </w:rPr>
        <w:t>2: interventions the principal objective of which is to improve gender equality;</w:t>
      </w:r>
    </w:p>
    <w:p w14:paraId="40A3DAC0" w14:textId="77777777" w:rsidR="005C4C84" w:rsidRPr="004F71CE" w:rsidRDefault="005C4C84" w:rsidP="005C4C84">
      <w:pPr>
        <w:pStyle w:val="FootnoteText"/>
        <w:numPr>
          <w:ilvl w:val="0"/>
          <w:numId w:val="38"/>
        </w:numPr>
        <w:spacing w:after="60" w:line="264" w:lineRule="auto"/>
        <w:jc w:val="left"/>
        <w:rPr>
          <w:noProof/>
        </w:rPr>
      </w:pPr>
      <w:r w:rsidRPr="004F71CE">
        <w:rPr>
          <w:noProof/>
        </w:rPr>
        <w:t>1: interventions that have gender equality as an important and deliberate objective but not as the main reason for the intervention;</w:t>
      </w:r>
    </w:p>
    <w:p w14:paraId="690BC872" w14:textId="77777777" w:rsidR="005C4C84" w:rsidRPr="004F71CE" w:rsidRDefault="005C4C84" w:rsidP="005C4C84">
      <w:pPr>
        <w:pStyle w:val="FootnoteText"/>
        <w:numPr>
          <w:ilvl w:val="0"/>
          <w:numId w:val="38"/>
        </w:numPr>
        <w:spacing w:after="60" w:line="264" w:lineRule="auto"/>
        <w:jc w:val="left"/>
        <w:rPr>
          <w:noProof/>
        </w:rPr>
      </w:pPr>
      <w:r w:rsidRPr="004F71CE">
        <w:rPr>
          <w:noProof/>
        </w:rPr>
        <w:t>0: non-targeted interventions;</w:t>
      </w:r>
    </w:p>
    <w:p w14:paraId="0415AF4F" w14:textId="77777777" w:rsidR="005C4C84" w:rsidRPr="004F71CE" w:rsidRDefault="005C4C84" w:rsidP="005C4C84">
      <w:pPr>
        <w:pStyle w:val="FootnoteText"/>
        <w:numPr>
          <w:ilvl w:val="0"/>
          <w:numId w:val="38"/>
        </w:numPr>
        <w:spacing w:after="60" w:line="264" w:lineRule="auto"/>
        <w:jc w:val="left"/>
        <w:rPr>
          <w:noProof/>
        </w:rPr>
      </w:pPr>
      <w:r w:rsidRPr="004F71CE">
        <w:rPr>
          <w:noProof/>
        </w:rPr>
        <w:t>0*: score to be assigned to interventions with a likely but not yet clear positive impact on gender equality.</w:t>
      </w:r>
    </w:p>
    <w:p w14:paraId="4EF320C5" w14:textId="77777777" w:rsidR="005C4C84" w:rsidRPr="004F71CE" w:rsidRDefault="005C4C84" w:rsidP="005C4C84">
      <w:pPr>
        <w:pStyle w:val="ppoHeading5"/>
        <w:rPr>
          <w:noProof/>
        </w:rPr>
      </w:pPr>
      <w:r w:rsidRPr="004F71CE">
        <w:rPr>
          <w:noProof/>
        </w:rPr>
        <w:t>Performance assessment</w:t>
      </w:r>
    </w:p>
    <w:p w14:paraId="603D12CF" w14:textId="77777777" w:rsidR="005C4C84" w:rsidRPr="004F71CE" w:rsidRDefault="005C4C84" w:rsidP="005C4C84">
      <w:pPr>
        <w:pStyle w:val="ppoHeading6"/>
        <w:rPr>
          <w:noProof/>
        </w:rPr>
      </w:pPr>
      <w:r w:rsidRPr="004F71CE">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5C4C84" w:rsidRPr="004F71CE" w14:paraId="5E9E2C05" w14:textId="77777777" w:rsidTr="00304A2B">
        <w:trPr>
          <w:cnfStyle w:val="100000000000" w:firstRow="1" w:lastRow="0" w:firstColumn="0" w:lastColumn="0" w:oddVBand="0" w:evenVBand="0" w:oddHBand="0" w:evenHBand="0" w:firstRowFirstColumn="0" w:firstRowLastColumn="0" w:lastRowFirstColumn="0" w:lastRowLastColumn="0"/>
        </w:trPr>
        <w:tc>
          <w:tcPr>
            <w:tcW w:w="2330" w:type="dxa"/>
          </w:tcPr>
          <w:p w14:paraId="220788F6" w14:textId="77777777" w:rsidR="005C4C84" w:rsidRPr="004F71CE" w:rsidRDefault="005C4C84" w:rsidP="00AF1C52">
            <w:pPr>
              <w:rPr>
                <w:noProof/>
              </w:rPr>
            </w:pPr>
          </w:p>
        </w:tc>
        <w:tc>
          <w:tcPr>
            <w:tcW w:w="1100" w:type="dxa"/>
          </w:tcPr>
          <w:p w14:paraId="161DFF37" w14:textId="77777777" w:rsidR="005C4C84" w:rsidRPr="004F71CE" w:rsidRDefault="005C4C84" w:rsidP="00AF1C52">
            <w:pPr>
              <w:rPr>
                <w:noProof/>
              </w:rPr>
            </w:pPr>
            <w:r w:rsidRPr="004F71CE">
              <w:rPr>
                <w:noProof/>
              </w:rPr>
              <w:t>Baseline</w:t>
            </w:r>
          </w:p>
        </w:tc>
        <w:tc>
          <w:tcPr>
            <w:tcW w:w="1526" w:type="dxa"/>
          </w:tcPr>
          <w:p w14:paraId="17D49D27" w14:textId="77777777" w:rsidR="005C4C84" w:rsidRPr="000A46E3" w:rsidRDefault="005C4C84" w:rsidP="00AF1C52">
            <w:pPr>
              <w:rPr>
                <w:rFonts w:ascii="Calibri" w:hAnsi="Calibri"/>
                <w:noProof/>
              </w:rPr>
            </w:pPr>
            <w:r w:rsidRPr="004F71CE">
              <w:rPr>
                <w:noProof/>
              </w:rPr>
              <w:t>Progress</w:t>
            </w:r>
            <w:r w:rsidRPr="004F71CE">
              <w:rPr>
                <w:rFonts w:ascii="Calibri" w:hAnsi="Calibri" w:cs="Calibri"/>
                <w:noProof/>
              </w:rPr>
              <w:t> (*)</w:t>
            </w:r>
          </w:p>
        </w:tc>
        <w:tc>
          <w:tcPr>
            <w:tcW w:w="1532" w:type="dxa"/>
          </w:tcPr>
          <w:p w14:paraId="529D8F2C" w14:textId="77777777" w:rsidR="005C4C84" w:rsidRPr="004F71CE" w:rsidRDefault="005C4C84" w:rsidP="00AF1C52">
            <w:pPr>
              <w:rPr>
                <w:noProof/>
              </w:rPr>
            </w:pPr>
            <w:r w:rsidRPr="004F71CE">
              <w:rPr>
                <w:noProof/>
              </w:rPr>
              <w:t>Target</w:t>
            </w:r>
          </w:p>
        </w:tc>
        <w:tc>
          <w:tcPr>
            <w:tcW w:w="1572" w:type="dxa"/>
          </w:tcPr>
          <w:p w14:paraId="018A790F" w14:textId="77777777" w:rsidR="005C4C84" w:rsidRPr="004F71CE" w:rsidRDefault="005C4C84" w:rsidP="00AF1C52">
            <w:pPr>
              <w:rPr>
                <w:noProof/>
              </w:rPr>
            </w:pPr>
            <w:r w:rsidRPr="004F71CE">
              <w:rPr>
                <w:noProof/>
              </w:rPr>
              <w:t>Results</w:t>
            </w:r>
          </w:p>
        </w:tc>
        <w:tc>
          <w:tcPr>
            <w:tcW w:w="1579" w:type="dxa"/>
          </w:tcPr>
          <w:p w14:paraId="3852E168" w14:textId="77777777" w:rsidR="005C4C84" w:rsidRPr="004F71CE" w:rsidRDefault="005C4C84" w:rsidP="00AF1C52">
            <w:pPr>
              <w:rPr>
                <w:noProof/>
              </w:rPr>
            </w:pPr>
            <w:r w:rsidRPr="004F71CE">
              <w:rPr>
                <w:noProof/>
              </w:rPr>
              <w:t>Assessment</w:t>
            </w:r>
          </w:p>
        </w:tc>
      </w:tr>
      <w:tr w:rsidR="005C4C84" w:rsidRPr="004F71CE" w14:paraId="3396EFC6" w14:textId="77777777" w:rsidTr="00AF1C52">
        <w:trPr>
          <w:cnfStyle w:val="000000100000" w:firstRow="0" w:lastRow="0" w:firstColumn="0" w:lastColumn="0" w:oddVBand="0" w:evenVBand="0" w:oddHBand="1" w:evenHBand="0" w:firstRowFirstColumn="0" w:firstRowLastColumn="0" w:lastRowFirstColumn="0" w:lastRowLastColumn="0"/>
        </w:trPr>
        <w:tc>
          <w:tcPr>
            <w:tcW w:w="2330" w:type="dxa"/>
          </w:tcPr>
          <w:p w14:paraId="1B02F8AB" w14:textId="77777777" w:rsidR="005C4C84" w:rsidRDefault="005C4C84" w:rsidP="00AF1C52">
            <w:pPr>
              <w:rPr>
                <w:noProof/>
              </w:rPr>
            </w:pPr>
            <w:r w:rsidRPr="008D09C8">
              <w:rPr>
                <w:noProof/>
              </w:rPr>
              <w:t>Number of EGNOS procedures published (both APV-I</w:t>
            </w:r>
            <w:r>
              <w:rPr>
                <w:rStyle w:val="FootnoteReference"/>
                <w:noProof/>
              </w:rPr>
              <w:footnoteReference w:id="7"/>
            </w:r>
            <w:r w:rsidRPr="008D09C8">
              <w:rPr>
                <w:noProof/>
              </w:rPr>
              <w:t xml:space="preserve"> and LPV-200</w:t>
            </w:r>
            <w:r>
              <w:rPr>
                <w:rStyle w:val="FootnoteReference"/>
                <w:noProof/>
              </w:rPr>
              <w:footnoteReference w:id="8"/>
            </w:r>
            <w:r w:rsidRPr="008D09C8">
              <w:rPr>
                <w:noProof/>
              </w:rPr>
              <w:t>)</w:t>
            </w:r>
          </w:p>
        </w:tc>
        <w:tc>
          <w:tcPr>
            <w:tcW w:w="1100" w:type="dxa"/>
          </w:tcPr>
          <w:p w14:paraId="5C0A83A6" w14:textId="526E946A" w:rsidR="005C4C84" w:rsidRPr="004F71CE" w:rsidRDefault="004A4A12" w:rsidP="00AF1C52">
            <w:pPr>
              <w:jc w:val="center"/>
              <w:rPr>
                <w:noProof/>
              </w:rPr>
            </w:pPr>
            <w:r>
              <w:rPr>
                <w:noProof/>
              </w:rPr>
              <w:t>690</w:t>
            </w:r>
          </w:p>
        </w:tc>
        <w:tc>
          <w:tcPr>
            <w:tcW w:w="1526" w:type="dxa"/>
          </w:tcPr>
          <w:p w14:paraId="1A696261" w14:textId="77408E35" w:rsidR="005C4C84" w:rsidRPr="004F71CE" w:rsidRDefault="004A4A12" w:rsidP="00AF1C52">
            <w:pPr>
              <w:jc w:val="center"/>
              <w:rPr>
                <w:b/>
                <w:noProof/>
              </w:rPr>
            </w:pPr>
            <w:r>
              <w:rPr>
                <w:b/>
                <w:noProof/>
              </w:rPr>
              <w:t>17</w:t>
            </w:r>
            <w:r w:rsidR="005C4C84">
              <w:rPr>
                <w:b/>
                <w:noProof/>
              </w:rPr>
              <w:t>%</w:t>
            </w:r>
          </w:p>
        </w:tc>
        <w:tc>
          <w:tcPr>
            <w:tcW w:w="1532" w:type="dxa"/>
          </w:tcPr>
          <w:p w14:paraId="57EFEC5E" w14:textId="24E24420" w:rsidR="005C4C84" w:rsidRPr="004F71CE" w:rsidRDefault="005C4C84" w:rsidP="00AF1C52">
            <w:pPr>
              <w:jc w:val="center"/>
              <w:rPr>
                <w:noProof/>
              </w:rPr>
            </w:pPr>
            <w:r>
              <w:rPr>
                <w:noProof/>
              </w:rPr>
              <w:t>1</w:t>
            </w:r>
            <w:r w:rsidR="004A4A12">
              <w:rPr>
                <w:noProof/>
              </w:rPr>
              <w:t xml:space="preserve"> </w:t>
            </w:r>
            <w:r>
              <w:rPr>
                <w:noProof/>
              </w:rPr>
              <w:t>150</w:t>
            </w:r>
            <w:r w:rsidR="005E33DC">
              <w:rPr>
                <w:noProof/>
              </w:rPr>
              <w:t xml:space="preserve"> in 2027</w:t>
            </w:r>
          </w:p>
        </w:tc>
        <w:tc>
          <w:tcPr>
            <w:tcW w:w="1572" w:type="dxa"/>
          </w:tcPr>
          <w:p w14:paraId="2A4BB6C7" w14:textId="77777777" w:rsidR="005C4C84" w:rsidRPr="004F71CE" w:rsidRDefault="005C4C84" w:rsidP="00AF1C52">
            <w:pPr>
              <w:jc w:val="center"/>
              <w:rPr>
                <w:noProof/>
              </w:rPr>
            </w:pPr>
            <w:r>
              <w:rPr>
                <w:noProof/>
              </w:rPr>
              <w:t>769 compared to a target of 1150</w:t>
            </w:r>
          </w:p>
        </w:tc>
        <w:tc>
          <w:tcPr>
            <w:tcW w:w="1579" w:type="dxa"/>
          </w:tcPr>
          <w:p w14:paraId="35AFC7F6" w14:textId="77777777" w:rsidR="005C4C84" w:rsidRDefault="005C4C84" w:rsidP="00AF1C52">
            <w:pPr>
              <w:jc w:val="center"/>
              <w:rPr>
                <w:noProof/>
              </w:rPr>
            </w:pPr>
            <w:r>
              <w:rPr>
                <w:noProof/>
              </w:rPr>
              <w:t>On track</w:t>
            </w:r>
          </w:p>
        </w:tc>
      </w:tr>
      <w:tr w:rsidR="004A4A12" w:rsidRPr="004F71CE" w14:paraId="783B78A8" w14:textId="77777777" w:rsidTr="00304A2B">
        <w:trPr>
          <w:cnfStyle w:val="000000010000" w:firstRow="0" w:lastRow="0" w:firstColumn="0" w:lastColumn="0" w:oddVBand="0" w:evenVBand="0" w:oddHBand="0" w:evenHBand="1" w:firstRowFirstColumn="0" w:firstRowLastColumn="0" w:lastRowFirstColumn="0" w:lastRowLastColumn="0"/>
        </w:trPr>
        <w:tc>
          <w:tcPr>
            <w:tcW w:w="2330" w:type="dxa"/>
          </w:tcPr>
          <w:p w14:paraId="019AC797" w14:textId="746A847A" w:rsidR="004A4A12" w:rsidRPr="004F71CE" w:rsidRDefault="004A4A12" w:rsidP="004A4A12">
            <w:pPr>
              <w:rPr>
                <w:noProof/>
              </w:rPr>
            </w:pPr>
            <w:r w:rsidRPr="004F71CE">
              <w:rPr>
                <w:noProof/>
              </w:rPr>
              <w:t>EU user satisfaction with respect to Galileo services</w:t>
            </w:r>
          </w:p>
        </w:tc>
        <w:tc>
          <w:tcPr>
            <w:tcW w:w="1100" w:type="dxa"/>
          </w:tcPr>
          <w:p w14:paraId="25175016" w14:textId="5A599849" w:rsidR="004A4A12" w:rsidRPr="004F71CE" w:rsidRDefault="00C20E72" w:rsidP="004A4A12">
            <w:pPr>
              <w:jc w:val="center"/>
              <w:rPr>
                <w:noProof/>
              </w:rPr>
            </w:pPr>
            <w:r>
              <w:rPr>
                <w:noProof/>
              </w:rPr>
              <w:t>80%</w:t>
            </w:r>
          </w:p>
          <w:p w14:paraId="36458CA3" w14:textId="77777777" w:rsidR="004A4A12" w:rsidRPr="004F71CE" w:rsidRDefault="004A4A12" w:rsidP="004A4A12">
            <w:pPr>
              <w:rPr>
                <w:noProof/>
              </w:rPr>
            </w:pPr>
          </w:p>
        </w:tc>
        <w:tc>
          <w:tcPr>
            <w:tcW w:w="1526" w:type="dxa"/>
          </w:tcPr>
          <w:p w14:paraId="25312AF6" w14:textId="66391AB9" w:rsidR="004A4A12" w:rsidRPr="004F71CE" w:rsidRDefault="004A4A12" w:rsidP="004A4A12">
            <w:pPr>
              <w:jc w:val="center"/>
              <w:rPr>
                <w:b/>
                <w:noProof/>
              </w:rPr>
            </w:pPr>
            <w:r>
              <w:rPr>
                <w:b/>
                <w:noProof/>
              </w:rPr>
              <w:t>0</w:t>
            </w:r>
            <w:r w:rsidRPr="004F71CE">
              <w:rPr>
                <w:b/>
                <w:noProof/>
              </w:rPr>
              <w:t>%</w:t>
            </w:r>
          </w:p>
        </w:tc>
        <w:tc>
          <w:tcPr>
            <w:tcW w:w="1532" w:type="dxa"/>
          </w:tcPr>
          <w:p w14:paraId="6A49E426" w14:textId="37C30A84" w:rsidR="004A4A12" w:rsidRPr="004F71CE" w:rsidRDefault="00C20E72" w:rsidP="004A4A12">
            <w:pPr>
              <w:jc w:val="center"/>
              <w:rPr>
                <w:noProof/>
              </w:rPr>
            </w:pPr>
            <w:r>
              <w:rPr>
                <w:noProof/>
              </w:rPr>
              <w:t>90%</w:t>
            </w:r>
            <w:r w:rsidR="004A4A12" w:rsidRPr="004F71CE">
              <w:rPr>
                <w:noProof/>
              </w:rPr>
              <w:t xml:space="preserve"> in 2027</w:t>
            </w:r>
          </w:p>
        </w:tc>
        <w:tc>
          <w:tcPr>
            <w:tcW w:w="1572" w:type="dxa"/>
          </w:tcPr>
          <w:p w14:paraId="2FC27C45" w14:textId="0AB59151" w:rsidR="004A4A12" w:rsidRPr="004F71CE" w:rsidRDefault="00C20E72" w:rsidP="00B450EC">
            <w:pPr>
              <w:jc w:val="center"/>
              <w:rPr>
                <w:noProof/>
              </w:rPr>
            </w:pPr>
            <w:r>
              <w:rPr>
                <w:noProof/>
              </w:rPr>
              <w:t>80%</w:t>
            </w:r>
            <w:r w:rsidR="004A4A12" w:rsidRPr="004F71CE">
              <w:rPr>
                <w:noProof/>
              </w:rPr>
              <w:t xml:space="preserve"> compared to a target of 9</w:t>
            </w:r>
            <w:r>
              <w:rPr>
                <w:noProof/>
              </w:rPr>
              <w:t>0%</w:t>
            </w:r>
          </w:p>
        </w:tc>
        <w:tc>
          <w:tcPr>
            <w:tcW w:w="1579" w:type="dxa"/>
          </w:tcPr>
          <w:p w14:paraId="53261D36" w14:textId="66DAC362" w:rsidR="004A4A12" w:rsidRPr="004F71CE" w:rsidRDefault="004A4A12" w:rsidP="004A4A12">
            <w:pPr>
              <w:jc w:val="center"/>
              <w:rPr>
                <w:noProof/>
              </w:rPr>
            </w:pPr>
            <w:r w:rsidRPr="004F71CE">
              <w:rPr>
                <w:noProof/>
              </w:rPr>
              <w:t>On track</w:t>
            </w:r>
          </w:p>
        </w:tc>
      </w:tr>
      <w:tr w:rsidR="004A4A12" w:rsidRPr="004F71CE" w14:paraId="170E03D0" w14:textId="77777777" w:rsidTr="00304A2B">
        <w:trPr>
          <w:cnfStyle w:val="000000100000" w:firstRow="0" w:lastRow="0" w:firstColumn="0" w:lastColumn="0" w:oddVBand="0" w:evenVBand="0" w:oddHBand="1" w:evenHBand="0" w:firstRowFirstColumn="0" w:firstRowLastColumn="0" w:lastRowFirstColumn="0" w:lastRowLastColumn="0"/>
        </w:trPr>
        <w:tc>
          <w:tcPr>
            <w:tcW w:w="2330" w:type="dxa"/>
          </w:tcPr>
          <w:p w14:paraId="1C90AF48" w14:textId="4FF169E3" w:rsidR="004A4A12" w:rsidRPr="004F71CE" w:rsidRDefault="004A4A12" w:rsidP="004A4A12">
            <w:pPr>
              <w:rPr>
                <w:noProof/>
              </w:rPr>
            </w:pPr>
            <w:r w:rsidRPr="004F71CE">
              <w:rPr>
                <w:noProof/>
              </w:rPr>
              <w:t>EU user satisfaction with respect to EGNOS services</w:t>
            </w:r>
          </w:p>
        </w:tc>
        <w:tc>
          <w:tcPr>
            <w:tcW w:w="1100" w:type="dxa"/>
          </w:tcPr>
          <w:p w14:paraId="75A12682" w14:textId="729493A2" w:rsidR="004A4A12" w:rsidRPr="004F71CE" w:rsidRDefault="00C20E72" w:rsidP="00B450EC">
            <w:pPr>
              <w:jc w:val="center"/>
              <w:rPr>
                <w:noProof/>
              </w:rPr>
            </w:pPr>
            <w:r>
              <w:rPr>
                <w:noProof/>
              </w:rPr>
              <w:t>85%</w:t>
            </w:r>
          </w:p>
        </w:tc>
        <w:tc>
          <w:tcPr>
            <w:tcW w:w="1526" w:type="dxa"/>
          </w:tcPr>
          <w:p w14:paraId="424F42C3" w14:textId="48F0AB6E" w:rsidR="004A4A12" w:rsidRPr="004F71CE" w:rsidRDefault="004A4A12" w:rsidP="004A4A12">
            <w:pPr>
              <w:jc w:val="center"/>
              <w:rPr>
                <w:b/>
                <w:noProof/>
              </w:rPr>
            </w:pPr>
            <w:r>
              <w:rPr>
                <w:b/>
                <w:noProof/>
              </w:rPr>
              <w:t>0</w:t>
            </w:r>
            <w:r w:rsidRPr="004F71CE">
              <w:rPr>
                <w:b/>
                <w:noProof/>
              </w:rPr>
              <w:t>%</w:t>
            </w:r>
          </w:p>
        </w:tc>
        <w:tc>
          <w:tcPr>
            <w:tcW w:w="1532" w:type="dxa"/>
          </w:tcPr>
          <w:p w14:paraId="75C0FE4A" w14:textId="53ED8549" w:rsidR="004A4A12" w:rsidRPr="004F71CE" w:rsidRDefault="00C20E72" w:rsidP="004A4A12">
            <w:pPr>
              <w:jc w:val="center"/>
              <w:rPr>
                <w:noProof/>
              </w:rPr>
            </w:pPr>
            <w:r>
              <w:rPr>
                <w:noProof/>
              </w:rPr>
              <w:t>90%</w:t>
            </w:r>
            <w:r w:rsidR="004A4A12" w:rsidRPr="004F71CE">
              <w:rPr>
                <w:noProof/>
              </w:rPr>
              <w:t xml:space="preserve"> in 2027</w:t>
            </w:r>
          </w:p>
        </w:tc>
        <w:tc>
          <w:tcPr>
            <w:tcW w:w="1572" w:type="dxa"/>
          </w:tcPr>
          <w:p w14:paraId="07E859B8" w14:textId="74F69AC6" w:rsidR="004A4A12" w:rsidRPr="004F71CE" w:rsidRDefault="00C20E72" w:rsidP="00B450EC">
            <w:pPr>
              <w:jc w:val="center"/>
              <w:rPr>
                <w:noProof/>
              </w:rPr>
            </w:pPr>
            <w:r>
              <w:rPr>
                <w:noProof/>
              </w:rPr>
              <w:t>85%</w:t>
            </w:r>
            <w:r w:rsidR="004A4A12" w:rsidRPr="004F71CE">
              <w:rPr>
                <w:noProof/>
              </w:rPr>
              <w:t xml:space="preserve"> compared to a target of 9</w:t>
            </w:r>
            <w:r>
              <w:rPr>
                <w:noProof/>
              </w:rPr>
              <w:t>0%</w:t>
            </w:r>
          </w:p>
        </w:tc>
        <w:tc>
          <w:tcPr>
            <w:tcW w:w="1579" w:type="dxa"/>
          </w:tcPr>
          <w:p w14:paraId="77C68CA1" w14:textId="5B30074A" w:rsidR="004A4A12" w:rsidRPr="004F71CE" w:rsidRDefault="004A4A12" w:rsidP="004A4A12">
            <w:pPr>
              <w:jc w:val="center"/>
              <w:rPr>
                <w:noProof/>
              </w:rPr>
            </w:pPr>
            <w:r w:rsidRPr="004F71CE">
              <w:rPr>
                <w:noProof/>
              </w:rPr>
              <w:t>On track</w:t>
            </w:r>
          </w:p>
        </w:tc>
      </w:tr>
      <w:tr w:rsidR="004A4A12" w:rsidRPr="004F71CE" w14:paraId="242DA862" w14:textId="77777777" w:rsidTr="00304A2B">
        <w:trPr>
          <w:cnfStyle w:val="000000010000" w:firstRow="0" w:lastRow="0" w:firstColumn="0" w:lastColumn="0" w:oddVBand="0" w:evenVBand="0" w:oddHBand="0" w:evenHBand="1" w:firstRowFirstColumn="0" w:firstRowLastColumn="0" w:lastRowFirstColumn="0" w:lastRowLastColumn="0"/>
        </w:trPr>
        <w:tc>
          <w:tcPr>
            <w:tcW w:w="2330" w:type="dxa"/>
          </w:tcPr>
          <w:p w14:paraId="0FB4F7D7" w14:textId="5C94834A" w:rsidR="004A4A12" w:rsidRPr="004F71CE" w:rsidRDefault="004A4A12" w:rsidP="004A4A12">
            <w:pPr>
              <w:rPr>
                <w:noProof/>
              </w:rPr>
            </w:pPr>
            <w:r w:rsidRPr="004F71CE">
              <w:rPr>
                <w:noProof/>
              </w:rPr>
              <w:t>Share of Galileo-enabled receivers worldwide</w:t>
            </w:r>
          </w:p>
        </w:tc>
        <w:tc>
          <w:tcPr>
            <w:tcW w:w="1100" w:type="dxa"/>
          </w:tcPr>
          <w:p w14:paraId="2C94AC34" w14:textId="487D8CD1" w:rsidR="004A4A12" w:rsidRPr="004F71CE" w:rsidRDefault="004A4A12" w:rsidP="004A4A12">
            <w:pPr>
              <w:jc w:val="center"/>
              <w:rPr>
                <w:noProof/>
              </w:rPr>
            </w:pPr>
            <w:r w:rsidRPr="004F71CE">
              <w:rPr>
                <w:noProof/>
              </w:rPr>
              <w:t>57%</w:t>
            </w:r>
          </w:p>
        </w:tc>
        <w:tc>
          <w:tcPr>
            <w:tcW w:w="1526" w:type="dxa"/>
          </w:tcPr>
          <w:p w14:paraId="5E9F0A1A" w14:textId="13900D16" w:rsidR="004A4A12" w:rsidRPr="004F71CE" w:rsidRDefault="004A4A12" w:rsidP="004A4A12">
            <w:pPr>
              <w:jc w:val="center"/>
              <w:rPr>
                <w:b/>
                <w:noProof/>
              </w:rPr>
            </w:pPr>
            <w:r w:rsidRPr="004F71CE">
              <w:rPr>
                <w:b/>
                <w:noProof/>
              </w:rPr>
              <w:t>0%</w:t>
            </w:r>
          </w:p>
        </w:tc>
        <w:tc>
          <w:tcPr>
            <w:tcW w:w="1532" w:type="dxa"/>
          </w:tcPr>
          <w:p w14:paraId="16535EAA" w14:textId="1852D2B2" w:rsidR="004A4A12" w:rsidRPr="004F71CE" w:rsidRDefault="004A4A12" w:rsidP="004A4A12">
            <w:pPr>
              <w:jc w:val="center"/>
              <w:rPr>
                <w:noProof/>
              </w:rPr>
            </w:pPr>
            <w:r w:rsidRPr="004F71CE">
              <w:rPr>
                <w:noProof/>
              </w:rPr>
              <w:t>70% in 2027</w:t>
            </w:r>
          </w:p>
        </w:tc>
        <w:tc>
          <w:tcPr>
            <w:tcW w:w="1572" w:type="dxa"/>
          </w:tcPr>
          <w:p w14:paraId="176363B8" w14:textId="3C69B801" w:rsidR="004A4A12" w:rsidRPr="004F71CE" w:rsidRDefault="004A4A12" w:rsidP="004A4A12">
            <w:pPr>
              <w:jc w:val="center"/>
              <w:rPr>
                <w:noProof/>
              </w:rPr>
            </w:pPr>
            <w:r w:rsidRPr="004F71CE">
              <w:rPr>
                <w:noProof/>
              </w:rPr>
              <w:t>57% compared to a target of 70%</w:t>
            </w:r>
          </w:p>
        </w:tc>
        <w:tc>
          <w:tcPr>
            <w:tcW w:w="1579" w:type="dxa"/>
          </w:tcPr>
          <w:p w14:paraId="214240FE" w14:textId="77777777" w:rsidR="004A4A12" w:rsidRPr="004F71CE" w:rsidRDefault="004A4A12" w:rsidP="004A4A12">
            <w:pPr>
              <w:jc w:val="center"/>
              <w:rPr>
                <w:noProof/>
              </w:rPr>
            </w:pPr>
            <w:r w:rsidRPr="004F71CE">
              <w:rPr>
                <w:noProof/>
              </w:rPr>
              <w:t>On track</w:t>
            </w:r>
          </w:p>
          <w:p w14:paraId="118B32EF" w14:textId="77777777" w:rsidR="004A4A12" w:rsidRPr="004F71CE" w:rsidRDefault="004A4A12" w:rsidP="004A4A12">
            <w:pPr>
              <w:jc w:val="center"/>
              <w:rPr>
                <w:noProof/>
              </w:rPr>
            </w:pPr>
          </w:p>
        </w:tc>
      </w:tr>
      <w:tr w:rsidR="005C4C84" w:rsidRPr="004F71CE" w14:paraId="2ADD9865" w14:textId="77777777" w:rsidTr="00304A2B">
        <w:trPr>
          <w:cnfStyle w:val="000000100000" w:firstRow="0" w:lastRow="0" w:firstColumn="0" w:lastColumn="0" w:oddVBand="0" w:evenVBand="0" w:oddHBand="1" w:evenHBand="0" w:firstRowFirstColumn="0" w:firstRowLastColumn="0" w:lastRowFirstColumn="0" w:lastRowLastColumn="0"/>
        </w:trPr>
        <w:tc>
          <w:tcPr>
            <w:tcW w:w="2330" w:type="dxa"/>
          </w:tcPr>
          <w:p w14:paraId="06A17BDD" w14:textId="77777777" w:rsidR="005C4C84" w:rsidRPr="004F71CE" w:rsidRDefault="005C4C84" w:rsidP="00AF1C52">
            <w:pPr>
              <w:rPr>
                <w:noProof/>
              </w:rPr>
            </w:pPr>
            <w:r w:rsidRPr="004F71CE">
              <w:rPr>
                <w:noProof/>
              </w:rPr>
              <w:t>Share of EGNOS-enabled receivers worldwide</w:t>
            </w:r>
          </w:p>
        </w:tc>
        <w:tc>
          <w:tcPr>
            <w:tcW w:w="1100" w:type="dxa"/>
          </w:tcPr>
          <w:p w14:paraId="7C1992F7" w14:textId="77777777" w:rsidR="005C4C84" w:rsidRPr="004F71CE" w:rsidRDefault="005C4C84" w:rsidP="00AF1C52">
            <w:pPr>
              <w:jc w:val="center"/>
              <w:rPr>
                <w:noProof/>
              </w:rPr>
            </w:pPr>
            <w:r w:rsidRPr="004F71CE">
              <w:rPr>
                <w:noProof/>
              </w:rPr>
              <w:t>63%</w:t>
            </w:r>
          </w:p>
        </w:tc>
        <w:tc>
          <w:tcPr>
            <w:tcW w:w="1526" w:type="dxa"/>
          </w:tcPr>
          <w:p w14:paraId="7C280B15" w14:textId="77777777" w:rsidR="005C4C84" w:rsidRPr="004F71CE" w:rsidRDefault="005C4C84" w:rsidP="00AF1C52">
            <w:pPr>
              <w:jc w:val="center"/>
              <w:rPr>
                <w:b/>
                <w:noProof/>
              </w:rPr>
            </w:pPr>
            <w:r w:rsidRPr="004F71CE">
              <w:rPr>
                <w:b/>
                <w:noProof/>
              </w:rPr>
              <w:t>0%</w:t>
            </w:r>
          </w:p>
        </w:tc>
        <w:tc>
          <w:tcPr>
            <w:tcW w:w="1532" w:type="dxa"/>
          </w:tcPr>
          <w:p w14:paraId="273E207D" w14:textId="77777777" w:rsidR="005C4C84" w:rsidRPr="004F71CE" w:rsidRDefault="005C4C84" w:rsidP="00AF1C52">
            <w:pPr>
              <w:jc w:val="center"/>
              <w:rPr>
                <w:noProof/>
              </w:rPr>
            </w:pPr>
            <w:r w:rsidRPr="004F71CE">
              <w:rPr>
                <w:noProof/>
              </w:rPr>
              <w:t>65% in 2027</w:t>
            </w:r>
          </w:p>
        </w:tc>
        <w:tc>
          <w:tcPr>
            <w:tcW w:w="1572" w:type="dxa"/>
          </w:tcPr>
          <w:p w14:paraId="157118A1" w14:textId="77777777" w:rsidR="005C4C84" w:rsidRPr="004F71CE" w:rsidRDefault="005C4C84" w:rsidP="00AF1C52">
            <w:pPr>
              <w:jc w:val="center"/>
              <w:rPr>
                <w:noProof/>
              </w:rPr>
            </w:pPr>
            <w:r w:rsidRPr="004F71CE">
              <w:rPr>
                <w:noProof/>
              </w:rPr>
              <w:t>63% compared to a target of 65%</w:t>
            </w:r>
          </w:p>
        </w:tc>
        <w:tc>
          <w:tcPr>
            <w:tcW w:w="1579" w:type="dxa"/>
          </w:tcPr>
          <w:p w14:paraId="2ECA9B53" w14:textId="77777777" w:rsidR="005C4C84" w:rsidRPr="004F71CE" w:rsidRDefault="005C4C84" w:rsidP="00AF1C52">
            <w:pPr>
              <w:jc w:val="center"/>
              <w:rPr>
                <w:noProof/>
              </w:rPr>
            </w:pPr>
            <w:r w:rsidRPr="004F71CE">
              <w:rPr>
                <w:noProof/>
              </w:rPr>
              <w:t>On track</w:t>
            </w:r>
          </w:p>
          <w:p w14:paraId="2DB599E4" w14:textId="77777777" w:rsidR="005C4C84" w:rsidRPr="004F71CE" w:rsidRDefault="005C4C84" w:rsidP="00AF1C52">
            <w:pPr>
              <w:jc w:val="center"/>
              <w:rPr>
                <w:noProof/>
              </w:rPr>
            </w:pPr>
          </w:p>
        </w:tc>
      </w:tr>
      <w:tr w:rsidR="004A4A12" w:rsidRPr="004F71CE" w14:paraId="7CFF11BD" w14:textId="77777777" w:rsidTr="00304A2B">
        <w:trPr>
          <w:cnfStyle w:val="000000010000" w:firstRow="0" w:lastRow="0" w:firstColumn="0" w:lastColumn="0" w:oddVBand="0" w:evenVBand="0" w:oddHBand="0" w:evenHBand="1" w:firstRowFirstColumn="0" w:firstRowLastColumn="0" w:lastRowFirstColumn="0" w:lastRowLastColumn="0"/>
        </w:trPr>
        <w:tc>
          <w:tcPr>
            <w:tcW w:w="2330" w:type="dxa"/>
          </w:tcPr>
          <w:p w14:paraId="122C28FF" w14:textId="1D263CEA" w:rsidR="004A4A12" w:rsidRPr="004F71CE" w:rsidRDefault="004A4A12" w:rsidP="004A4A12">
            <w:pPr>
              <w:rPr>
                <w:noProof/>
              </w:rPr>
            </w:pPr>
            <w:r w:rsidRPr="004F71CE">
              <w:rPr>
                <w:noProof/>
              </w:rPr>
              <w:t>EU user satisfaction with respect to Copernicus services and data and information access services</w:t>
            </w:r>
          </w:p>
        </w:tc>
        <w:tc>
          <w:tcPr>
            <w:tcW w:w="1100" w:type="dxa"/>
          </w:tcPr>
          <w:p w14:paraId="432D6AFF" w14:textId="339C9837" w:rsidR="004A4A12" w:rsidRPr="004F71CE" w:rsidRDefault="004A4A12" w:rsidP="00B450EC">
            <w:pPr>
              <w:jc w:val="center"/>
              <w:rPr>
                <w:noProof/>
              </w:rPr>
            </w:pPr>
            <w:r>
              <w:rPr>
                <w:noProof/>
              </w:rPr>
              <w:t>9</w:t>
            </w:r>
            <w:r w:rsidR="00C20E72">
              <w:rPr>
                <w:noProof/>
              </w:rPr>
              <w:t>0%</w:t>
            </w:r>
          </w:p>
        </w:tc>
        <w:tc>
          <w:tcPr>
            <w:tcW w:w="1526" w:type="dxa"/>
          </w:tcPr>
          <w:p w14:paraId="406E807E" w14:textId="19883A3E" w:rsidR="004A4A12" w:rsidRPr="004F71CE" w:rsidRDefault="004A4A12" w:rsidP="004A4A12">
            <w:pPr>
              <w:jc w:val="center"/>
              <w:rPr>
                <w:b/>
                <w:noProof/>
              </w:rPr>
            </w:pPr>
            <w:r>
              <w:rPr>
                <w:b/>
                <w:noProof/>
              </w:rPr>
              <w:t>0</w:t>
            </w:r>
            <w:r w:rsidRPr="004F71CE">
              <w:rPr>
                <w:b/>
                <w:noProof/>
              </w:rPr>
              <w:t>%</w:t>
            </w:r>
          </w:p>
        </w:tc>
        <w:tc>
          <w:tcPr>
            <w:tcW w:w="1532" w:type="dxa"/>
          </w:tcPr>
          <w:p w14:paraId="6A444307" w14:textId="1A2F2236" w:rsidR="004A4A12" w:rsidRPr="004F71CE" w:rsidRDefault="00C20E72" w:rsidP="004A4A12">
            <w:pPr>
              <w:jc w:val="center"/>
              <w:rPr>
                <w:noProof/>
              </w:rPr>
            </w:pPr>
            <w:r>
              <w:rPr>
                <w:noProof/>
              </w:rPr>
              <w:t>98%</w:t>
            </w:r>
            <w:r w:rsidR="004A4A12" w:rsidRPr="004F71CE">
              <w:rPr>
                <w:noProof/>
              </w:rPr>
              <w:t xml:space="preserve"> in 2029</w:t>
            </w:r>
          </w:p>
        </w:tc>
        <w:tc>
          <w:tcPr>
            <w:tcW w:w="1572" w:type="dxa"/>
          </w:tcPr>
          <w:p w14:paraId="57CC5AE7" w14:textId="406EA04E" w:rsidR="004A4A12" w:rsidRPr="004F71CE" w:rsidRDefault="00C20E72" w:rsidP="00B450EC">
            <w:pPr>
              <w:jc w:val="center"/>
              <w:rPr>
                <w:noProof/>
              </w:rPr>
            </w:pPr>
            <w:r>
              <w:rPr>
                <w:noProof/>
              </w:rPr>
              <w:t>90%</w:t>
            </w:r>
            <w:r w:rsidR="004A4A12" w:rsidRPr="004F71CE">
              <w:rPr>
                <w:noProof/>
              </w:rPr>
              <w:t xml:space="preserve"> compared to a target of 9</w:t>
            </w:r>
            <w:r>
              <w:rPr>
                <w:noProof/>
              </w:rPr>
              <w:t>8%</w:t>
            </w:r>
          </w:p>
        </w:tc>
        <w:tc>
          <w:tcPr>
            <w:tcW w:w="1579" w:type="dxa"/>
          </w:tcPr>
          <w:p w14:paraId="55C83751" w14:textId="7E731513" w:rsidR="004A4A12" w:rsidRPr="004F71CE" w:rsidRDefault="004A4A12" w:rsidP="004A4A12">
            <w:pPr>
              <w:jc w:val="center"/>
              <w:rPr>
                <w:noProof/>
              </w:rPr>
            </w:pPr>
            <w:r w:rsidRPr="004F71CE">
              <w:rPr>
                <w:noProof/>
              </w:rPr>
              <w:t>On track</w:t>
            </w:r>
          </w:p>
        </w:tc>
      </w:tr>
    </w:tbl>
    <w:p w14:paraId="601D9430" w14:textId="61475B85" w:rsidR="004A4A12" w:rsidRPr="004F71CE" w:rsidRDefault="005C4C84" w:rsidP="00304A2B">
      <w:pPr>
        <w:pStyle w:val="FootnoteText"/>
        <w:spacing w:before="120"/>
        <w:rPr>
          <w:noProof/>
        </w:rPr>
      </w:pPr>
      <w:r w:rsidRPr="004F71CE">
        <w:rPr>
          <w:noProof/>
        </w:rPr>
        <w:t>(*) % of target achieved by the end of 2021.</w:t>
      </w:r>
      <w:r w:rsidR="004A4A12">
        <w:rPr>
          <w:noProof/>
        </w:rPr>
        <w:t xml:space="preserve"> </w:t>
      </w:r>
      <w:r w:rsidR="004A4A12" w:rsidRPr="004A4A12">
        <w:rPr>
          <w:noProof/>
        </w:rPr>
        <w:t>For the indicators with baseline values from the end 2021, % of progress target achieved will be shown as of 2022, when the 2022 results can be measured against the baseline of 2021.</w:t>
      </w:r>
    </w:p>
    <w:p w14:paraId="3B90513E" w14:textId="77777777" w:rsidR="005C4C84" w:rsidRPr="000A46E3" w:rsidRDefault="005C4C84" w:rsidP="005C4C84">
      <w:pPr>
        <w:pStyle w:val="ppoListHyphened-L1"/>
        <w:numPr>
          <w:ilvl w:val="0"/>
          <w:numId w:val="0"/>
        </w:numPr>
        <w:rPr>
          <w:noProof/>
        </w:rPr>
      </w:pPr>
      <w:r w:rsidRPr="000A46E3">
        <w:rPr>
          <w:b/>
          <w:noProof/>
        </w:rPr>
        <w:t xml:space="preserve">EU </w:t>
      </w:r>
      <w:r w:rsidRPr="004F71CE">
        <w:rPr>
          <w:b/>
          <w:noProof/>
        </w:rPr>
        <w:t>satellite navigation</w:t>
      </w:r>
      <w:r w:rsidRPr="000A46E3">
        <w:rPr>
          <w:b/>
          <w:noProof/>
        </w:rPr>
        <w:t xml:space="preserve"> component</w:t>
      </w:r>
    </w:p>
    <w:p w14:paraId="2A89799D" w14:textId="77777777" w:rsidR="005C4C84" w:rsidRPr="004F71CE" w:rsidRDefault="005C4C84" w:rsidP="005C4C84">
      <w:pPr>
        <w:pStyle w:val="ppoListHyphened-L1"/>
        <w:jc w:val="both"/>
        <w:rPr>
          <w:noProof/>
        </w:rPr>
      </w:pPr>
      <w:r w:rsidRPr="004F71CE">
        <w:rPr>
          <w:b/>
          <w:noProof/>
        </w:rPr>
        <w:t xml:space="preserve">Galileo. </w:t>
      </w:r>
      <w:r w:rsidRPr="004F71CE">
        <w:rPr>
          <w:noProof/>
        </w:rPr>
        <w:t>No Galileo service disruptions occurred in 2021. Concerning the performance of Galileo Initial Services, the positioning and timing performance is better than for any other global navigation satellite system. The services are fully interoperable with the United States’ Global Positioning System (GPS), and their combined use is providing more accurate and reliable positioning for end users. Work is ongoing to improve the resilience of the Galileo system to ensure the uninterrupted availability of all services. The Galileo Open Service was delivered with excellent quality and availability. According to the Galileo Search and Rescue quarterly performance reports, in 2021 Galileo delivered excellent search-and-rescue services following the upgrade to full operational capability of the Return Link Service in March 2021. However, the programme did not meet key milestones relating to (1) the Open Service full operational capability and (ii) the improved Public Regulated Service. This was mainly due to COVID-19-related restrictions and delays. In particular, the Open Service full operational capability milestone was scheduled for the end of 2020, and is now planned for the end of 2022. This delay is not a major source of concern, as Galileo is already delivering services and very accurate signals through its operational satellites in orbit. The successful launch of another two satellites, carried out in December 2021, will further improve and reinforce Galileo’s performance in terms of service availability. Concerning the improved Public Regulated Service milestone, initially scheduled for the end of 2021, this is now planned for the end of 2023, with a risk of delay to 2024 due to issues affecting the deployment of the new Galileo infrastructure release, System Build 2.0. This delay is a source of potential concern because Member States need to plan defence investment in association with the use of this service. The Commission is engaging with Member States to keep them informed of risks associated with the delivery of this milestone. Concerning Galileo’s infrastructure, the space segment is stable, with 28 satellites in orbit. The manufacturing of additional satellites to complete the constellation and provide sufficient spares to ensure its continuity has continued, but with delays due to the COVID-19 crisis. Concerning the specific objective to provide long-term, state-of-the-art and secure positioning, navigation and timing services while ensuring service continuity and robustness, the increasing production of Galileo-enabled receivers indicates a positive trend, and the actual progress is in line with the targets set. In 2021, the presence of Galileo in receiver models stood at 64% of the total number of receiver models worldwide, while the key market segment was consumer devices (smartphones and tablets). Since 2016, the market uptake of Galileo-enabled smartphones has been very rapid. In 2021, the estimated number of Galileo-enabled smartphones sold worldwide exceeded 2.5</w:t>
      </w:r>
      <w:r w:rsidRPr="004F71CE">
        <w:rPr>
          <w:rFonts w:ascii="Calibri" w:hAnsi="Calibri" w:cs="Calibri"/>
          <w:noProof/>
        </w:rPr>
        <w:t> </w:t>
      </w:r>
      <w:r w:rsidRPr="004F71CE">
        <w:rPr>
          <w:noProof/>
        </w:rPr>
        <w:t>billion, and there were 895 Galileo-enabled smartphone and tablet models available on the market. Activities to support Galileo’s market uptake included the MyGalileoSolution initiative to foster the development of applications using Galileo signals and standardisation activities to ensure that Galileo is properly taken into consideration by standardisation bodies.</w:t>
      </w:r>
    </w:p>
    <w:p w14:paraId="770B3773" w14:textId="77777777" w:rsidR="005C4C84" w:rsidRPr="004F71CE" w:rsidRDefault="005C4C84" w:rsidP="005C4C84">
      <w:pPr>
        <w:pStyle w:val="ppoListHyphened-L1"/>
        <w:jc w:val="both"/>
        <w:rPr>
          <w:noProof/>
        </w:rPr>
      </w:pPr>
      <w:r w:rsidRPr="004F71CE">
        <w:rPr>
          <w:b/>
          <w:noProof/>
        </w:rPr>
        <w:t>EGNOS.</w:t>
      </w:r>
      <w:r w:rsidRPr="004F71CE">
        <w:rPr>
          <w:noProof/>
        </w:rPr>
        <w:t xml:space="preserve"> EGNOS is fully operational, monitoring and correcting open signals emitted by GPS and, in the future, Galileo. By improving the accuracy to around 1</w:t>
      </w:r>
      <w:r w:rsidRPr="004F71CE">
        <w:rPr>
          <w:rFonts w:ascii="Calibri" w:hAnsi="Calibri" w:cs="Calibri"/>
          <w:noProof/>
        </w:rPr>
        <w:t> </w:t>
      </w:r>
      <w:r w:rsidRPr="004F71CE">
        <w:rPr>
          <w:noProof/>
        </w:rPr>
        <w:t xml:space="preserve">metre and the reliability of the GPS signal over Europe, EGNOS allows users in Europe to use GPS signals for safety-critical applications such as operating aircraft. EGNOS’s performance has improved steadily. The few territories that are not yet covered are envisaged to be covered with the launch of the EGNOS V3 technology around 2026. The continuous provision of EGNOS services was successfully achieved through the efficient implementation of recurrent activities and the preparation of system evolutions. These evolutions solve major obsolescence issues and </w:t>
      </w:r>
      <w:r w:rsidRPr="003823AB">
        <w:rPr>
          <w:noProof/>
        </w:rPr>
        <w:t xml:space="preserve">improve the coverage of </w:t>
      </w:r>
      <w:r>
        <w:rPr>
          <w:noProof/>
        </w:rPr>
        <w:t>EU</w:t>
      </w:r>
      <w:r w:rsidRPr="003823AB">
        <w:rPr>
          <w:noProof/>
        </w:rPr>
        <w:t xml:space="preserve"> Member States’ territories</w:t>
      </w:r>
      <w:r w:rsidRPr="004F71CE">
        <w:rPr>
          <w:noProof/>
        </w:rPr>
        <w:t>. EGNOS’s key market segment is civil aviation. Currently, EGNOS is used by more than 769 airports in Europe (compared to 373 in 2019), and its usage is increasing. This is also thanks to the introduction of mandatory publication of localiser performance with vertical guidance delivered by EGNOS in all instrument runway ends before January 2024. With regard to the specific objective concerning the share of EGNOS-enabled receivers worldwide, EGNOS’s market share has stabilised at 63% of the total number of receiver models worldwide. This is because consumer solutions such as mobile phones are far less likely to be enabled for satellite-based augmentation systems (an uptake of only 45% in the fourth quarter of 2021) as such systems provide high accuracy but also involve energy costs due to continuous signal-in-space data reception. However, the low adoption rate in consumer solutions is compensated for by an almost 100% uptake in high-precision applications (such as agriculture and geomatics), while newer technologies such as drones also have a high level of uptake (94%) of satellite-based augmentation systems. Safety-of life applications benefit the most from EGNOS implementation in other segments, such as aviation, maritime, rail and road markets.</w:t>
      </w:r>
    </w:p>
    <w:p w14:paraId="045B388F" w14:textId="77777777" w:rsidR="005C4C84" w:rsidRPr="004F71CE" w:rsidRDefault="005C4C84" w:rsidP="005C4C84">
      <w:pPr>
        <w:pStyle w:val="ppoListHyphened-L1"/>
        <w:jc w:val="both"/>
        <w:rPr>
          <w:noProof/>
        </w:rPr>
      </w:pPr>
      <w:r w:rsidRPr="004F71CE">
        <w:rPr>
          <w:noProof/>
        </w:rPr>
        <w:t>In 2021, a European Court of Auditors’ special report assessed the measures taken by the Commission since 2014 to promote the uptake of services derived from Galileo and Copernicus, aimed at achieving the expected economic and societal benefits. The Commission accepted the Court’s four recommendations and is working towards delivering on them</w:t>
      </w:r>
      <w:r w:rsidRPr="004F71CE">
        <w:rPr>
          <w:rFonts w:ascii="Calibri" w:hAnsi="Calibri" w:cs="Calibri"/>
          <w:noProof/>
        </w:rPr>
        <w:t> </w:t>
      </w:r>
      <w:r w:rsidRPr="004F71CE">
        <w:rPr>
          <w:noProof/>
        </w:rPr>
        <w:t>– the first one by 2023 and the rest by 2024.</w:t>
      </w:r>
    </w:p>
    <w:p w14:paraId="3A956A24" w14:textId="77777777" w:rsidR="005C4C84" w:rsidRPr="004F71CE" w:rsidRDefault="005C4C84" w:rsidP="005C4C84">
      <w:pPr>
        <w:pStyle w:val="ppoListHyphened-L1"/>
        <w:numPr>
          <w:ilvl w:val="0"/>
          <w:numId w:val="0"/>
        </w:numPr>
        <w:jc w:val="both"/>
        <w:rPr>
          <w:noProof/>
        </w:rPr>
      </w:pPr>
      <w:r w:rsidRPr="004F71CE">
        <w:rPr>
          <w:b/>
          <w:noProof/>
        </w:rPr>
        <w:t>EU Earth observation component</w:t>
      </w:r>
    </w:p>
    <w:p w14:paraId="1115B6A8" w14:textId="77777777" w:rsidR="005C4C84" w:rsidRPr="004F71CE" w:rsidRDefault="005C4C84" w:rsidP="005C4C84">
      <w:pPr>
        <w:pStyle w:val="ppoListHyphened-L1"/>
        <w:jc w:val="both"/>
        <w:rPr>
          <w:noProof/>
        </w:rPr>
      </w:pPr>
      <w:r w:rsidRPr="004F71CE">
        <w:rPr>
          <w:b/>
          <w:noProof/>
        </w:rPr>
        <w:t xml:space="preserve">Copernicus. </w:t>
      </w:r>
      <w:r w:rsidRPr="004F71CE">
        <w:rPr>
          <w:noProof/>
        </w:rPr>
        <w:t>In 2021,</w:t>
      </w:r>
      <w:r w:rsidRPr="000A46E3">
        <w:rPr>
          <w:noProof/>
        </w:rPr>
        <w:t xml:space="preserve"> </w:t>
      </w:r>
      <w:r w:rsidRPr="004F71CE">
        <w:rPr>
          <w:noProof/>
        </w:rPr>
        <w:t>Copernicus continued to deliver successfully on its general and specific objectives. Robust and reliable Earth observation and monitoring data and information were provided on a full, free and open basis. Ground segment operations managed to continue activities while facing difficulties in operating remotely due to the COVID-19 crisis. The six Copernicus services (land, marine, atmosphere, climate change, emergency and security) continued their operations and activities to provide continuous and reliable geo-information, as demonstrated by the respective key performance indicators. Copernicus is reaching more than 497</w:t>
      </w:r>
      <w:r w:rsidRPr="004F71CE">
        <w:rPr>
          <w:rFonts w:ascii="Calibri" w:hAnsi="Calibri" w:cs="Calibri"/>
          <w:noProof/>
        </w:rPr>
        <w:t> </w:t>
      </w:r>
      <w:r w:rsidRPr="004F71CE">
        <w:rPr>
          <w:noProof/>
        </w:rPr>
        <w:t>286 registered users on the open hub, meeting users’ needs and attaining a high level of user satisfaction. The total number of Copernicus Sentinel data products available for download on the open hub by the end of third quarter of 2021 was 45</w:t>
      </w:r>
      <w:r w:rsidRPr="004F71CE">
        <w:rPr>
          <w:rFonts w:ascii="Calibri" w:hAnsi="Calibri" w:cs="Calibri"/>
          <w:noProof/>
        </w:rPr>
        <w:t> </w:t>
      </w:r>
      <w:r w:rsidRPr="004F71CE">
        <w:rPr>
          <w:noProof/>
        </w:rPr>
        <w:t>million. Copernicus successfully embraced the big-data revolution by setting up the Data and Information Access Services. The latter</w:t>
      </w:r>
      <w:r>
        <w:rPr>
          <w:noProof/>
        </w:rPr>
        <w:t xml:space="preserve"> collocate</w:t>
      </w:r>
      <w:r w:rsidRPr="004F71CE">
        <w:rPr>
          <w:noProof/>
        </w:rPr>
        <w:t xml:space="preserve"> Copernicus data and information and make them available online and near-line, ready to be processed on demand. The conventional data access infrastructure and the setting-up of the Data and Information Access Services have ensured that the entire Copernicus database meets the objective of being available on a free, full and open-data basis. The target of 100% excludes restricted products from emergency and security services. With regard to market uptake, the 2022 Earth observation and global navigation satellite system market report published by the European Union Agency for the Space Programme estimates that, over the next decade, revenues are set to double from roughly EUR</w:t>
      </w:r>
      <w:r w:rsidRPr="004F71CE">
        <w:rPr>
          <w:rFonts w:ascii="Calibri" w:hAnsi="Calibri" w:cs="Calibri"/>
          <w:noProof/>
        </w:rPr>
        <w:t> </w:t>
      </w:r>
      <w:r w:rsidRPr="004F71CE">
        <w:rPr>
          <w:noProof/>
        </w:rPr>
        <w:t>2.8</w:t>
      </w:r>
      <w:r w:rsidRPr="004F71CE">
        <w:rPr>
          <w:rFonts w:ascii="Calibri" w:hAnsi="Calibri" w:cs="Calibri"/>
          <w:noProof/>
        </w:rPr>
        <w:t> </w:t>
      </w:r>
      <w:r w:rsidRPr="004F71CE">
        <w:rPr>
          <w:noProof/>
        </w:rPr>
        <w:t>billion to over EUR</w:t>
      </w:r>
      <w:r w:rsidRPr="004F71CE">
        <w:rPr>
          <w:rFonts w:ascii="Calibri" w:hAnsi="Calibri" w:cs="Calibri"/>
          <w:noProof/>
        </w:rPr>
        <w:t> </w:t>
      </w:r>
      <w:r w:rsidRPr="004F71CE">
        <w:rPr>
          <w:noProof/>
        </w:rPr>
        <w:t>5.5</w:t>
      </w:r>
      <w:r w:rsidRPr="004F71CE">
        <w:rPr>
          <w:rFonts w:ascii="Calibri" w:hAnsi="Calibri" w:cs="Calibri"/>
          <w:noProof/>
        </w:rPr>
        <w:t> </w:t>
      </w:r>
      <w:r w:rsidRPr="004F71CE">
        <w:rPr>
          <w:noProof/>
        </w:rPr>
        <w:t>billion as the market for Earth observation applications is boosted by a large pool of added-value services (i.e. 85% of global revenue). DG Defence Industry and Space worked closely with the Joint Research Centre to set up the Knowledge Centre for Earth Observation. This centre ensures Copernicus’s uptake within/by 17 Commission user services and within cross-sectoral policy areas. In addition, the programme’s international dimension was reinforced through the conclusion of agreements with several countries.</w:t>
      </w:r>
    </w:p>
    <w:p w14:paraId="090CFAC4" w14:textId="77777777" w:rsidR="005C4C84" w:rsidRPr="004F71CE" w:rsidRDefault="005C4C84" w:rsidP="005C4C84">
      <w:pPr>
        <w:pStyle w:val="ppoHeading4Orange"/>
        <w:rPr>
          <w:noProof/>
        </w:rPr>
      </w:pPr>
      <w:r w:rsidRPr="004F71CE">
        <w:rPr>
          <w:noProof/>
        </w:rPr>
        <w:t>2014-2020 multiannual financial framework</w:t>
      </w:r>
      <w:r w:rsidRPr="004F71CE">
        <w:rPr>
          <w:rFonts w:ascii="Calibri" w:hAnsi="Calibri" w:cs="Calibri"/>
          <w:noProof/>
        </w:rPr>
        <w:t> </w:t>
      </w:r>
      <w:r w:rsidRPr="004F71CE">
        <w:rPr>
          <w:noProof/>
        </w:rPr>
        <w:t>– EGNOS and Galileo</w:t>
      </w:r>
    </w:p>
    <w:p w14:paraId="51FCD95D" w14:textId="77777777" w:rsidR="005C4C84" w:rsidRPr="004F71CE" w:rsidRDefault="005C4C84" w:rsidP="005C4C84">
      <w:pPr>
        <w:pStyle w:val="PPObodyText"/>
        <w:spacing w:after="220"/>
        <w:rPr>
          <w:rFonts w:ascii="EC Square Sans Pro" w:eastAsiaTheme="minorHAnsi" w:hAnsi="EC Square Sans Pro" w:cstheme="minorBidi"/>
          <w:noProof/>
          <w:color w:val="auto"/>
          <w:sz w:val="22"/>
          <w:szCs w:val="22"/>
        </w:rPr>
      </w:pPr>
      <w:r w:rsidRPr="004F71CE">
        <w:rPr>
          <w:rFonts w:ascii="EC Square Sans Pro" w:eastAsiaTheme="minorHAnsi" w:hAnsi="EC Square Sans Pro" w:cstheme="minorBidi"/>
          <w:noProof/>
          <w:color w:val="auto"/>
          <w:sz w:val="22"/>
          <w:szCs w:val="22"/>
        </w:rPr>
        <w:t xml:space="preserve">Galileo is an EU large-infrastructure project and is entirely financed by the EU budget. It is the EU’s global satellite navigation system, and will ensure the continent’s autonomy in an area that is of strategic importance to both its economy and its security. Galileo is already widely used for a large number of purposes, including critical business processes that require uninterrupted navigation and timing services. The Galileo system consists of a satellite constellation and the necessary ground infrastructure to control the satellites and enable the provision of positioning, navigation and timing services. EGNOS is a fully operational regional satellite navigation system, monitoring and correcting open signals emitted by GPS, </w:t>
      </w:r>
      <w:r w:rsidRPr="003823AB">
        <w:rPr>
          <w:rFonts w:ascii="EC Square Sans Pro" w:hAnsi="EC Square Sans Pro"/>
          <w:noProof/>
          <w:color w:val="auto"/>
          <w:sz w:val="22"/>
        </w:rPr>
        <w:t xml:space="preserve">and in the future </w:t>
      </w:r>
      <w:r>
        <w:rPr>
          <w:rFonts w:ascii="EC Square Sans Pro" w:hAnsi="EC Square Sans Pro"/>
          <w:noProof/>
          <w:color w:val="auto"/>
          <w:sz w:val="22"/>
        </w:rPr>
        <w:t>by</w:t>
      </w:r>
      <w:r w:rsidRPr="003823AB">
        <w:rPr>
          <w:rFonts w:ascii="EC Square Sans Pro" w:hAnsi="EC Square Sans Pro"/>
          <w:noProof/>
          <w:color w:val="auto"/>
          <w:sz w:val="22"/>
        </w:rPr>
        <w:t xml:space="preserve"> Galileo</w:t>
      </w:r>
      <w:r w:rsidRPr="004F71CE">
        <w:rPr>
          <w:rFonts w:ascii="EC Square Sans Pro" w:eastAsiaTheme="minorHAnsi" w:hAnsi="EC Square Sans Pro" w:cstheme="minorBidi"/>
          <w:noProof/>
          <w:color w:val="auto"/>
          <w:sz w:val="22"/>
          <w:szCs w:val="22"/>
        </w:rPr>
        <w:t>. It consists of several transponders installed on geostationary satellites and a network of ground stations.</w:t>
      </w:r>
    </w:p>
    <w:p w14:paraId="6C2BAC69" w14:textId="77777777" w:rsidR="005C4C84" w:rsidRPr="004F71CE" w:rsidRDefault="005C4C84" w:rsidP="005C4C84">
      <w:pPr>
        <w:pStyle w:val="ppoHeading5"/>
        <w:rPr>
          <w:noProof/>
        </w:rPr>
      </w:pPr>
      <w:r w:rsidRPr="004F71CE">
        <w:rPr>
          <w:noProof/>
        </w:rPr>
        <w:t>Budget implementation</w:t>
      </w:r>
    </w:p>
    <w:p w14:paraId="62821A00" w14:textId="77777777" w:rsidR="005C4C84" w:rsidRPr="004F71CE" w:rsidRDefault="005C4C84" w:rsidP="005C4C84">
      <w:pPr>
        <w:pStyle w:val="ppoTableTabletitle"/>
        <w:rPr>
          <w:noProof/>
        </w:rPr>
      </w:pPr>
      <w:r w:rsidRPr="004F71CE">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385"/>
        <w:gridCol w:w="2392"/>
        <w:gridCol w:w="2376"/>
        <w:gridCol w:w="2486"/>
      </w:tblGrid>
      <w:tr w:rsidR="005C4C84" w:rsidRPr="004F71CE" w14:paraId="1A435108" w14:textId="77777777" w:rsidTr="00AF1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342C5488" w14:textId="77777777" w:rsidR="005C4C84" w:rsidRPr="004F71CE" w:rsidRDefault="005C4C84" w:rsidP="00AF1C52">
            <w:pPr>
              <w:rPr>
                <w:noProof/>
              </w:rPr>
            </w:pPr>
          </w:p>
        </w:tc>
        <w:tc>
          <w:tcPr>
            <w:tcW w:w="2410" w:type="dxa"/>
          </w:tcPr>
          <w:p w14:paraId="23B3B9C7" w14:textId="77777777" w:rsidR="005C4C84" w:rsidRPr="004F71CE" w:rsidRDefault="005C4C84" w:rsidP="00AF1C52">
            <w:pPr>
              <w:cnfStyle w:val="100000000000" w:firstRow="1" w:lastRow="0" w:firstColumn="0" w:lastColumn="0" w:oddVBand="0" w:evenVBand="0" w:oddHBand="0" w:evenHBand="0" w:firstRowFirstColumn="0" w:firstRowLastColumn="0" w:lastRowFirstColumn="0" w:lastRowLastColumn="0"/>
              <w:rPr>
                <w:noProof/>
              </w:rPr>
            </w:pPr>
            <w:r w:rsidRPr="004F71CE">
              <w:rPr>
                <w:noProof/>
              </w:rPr>
              <w:t>Implementation</w:t>
            </w:r>
          </w:p>
        </w:tc>
        <w:tc>
          <w:tcPr>
            <w:tcW w:w="2410" w:type="dxa"/>
          </w:tcPr>
          <w:p w14:paraId="40EACF00" w14:textId="1FFC7F80" w:rsidR="005C4C84" w:rsidRPr="004F71CE" w:rsidRDefault="00A84801" w:rsidP="00AF1C52">
            <w:pPr>
              <w:cnfStyle w:val="100000000000" w:firstRow="1" w:lastRow="0" w:firstColumn="0" w:lastColumn="0" w:oddVBand="0" w:evenVBand="0" w:oddHBand="0" w:evenHBand="0" w:firstRowFirstColumn="0" w:firstRowLastColumn="0" w:lastRowFirstColumn="0" w:lastRowLastColumn="0"/>
              <w:rPr>
                <w:noProof/>
              </w:rPr>
            </w:pPr>
            <w:r>
              <w:rPr>
                <w:noProof/>
              </w:rPr>
              <w:t>2014-2020</w:t>
            </w:r>
            <w:r w:rsidR="001F4CBC">
              <w:rPr>
                <w:noProof/>
              </w:rPr>
              <w:t xml:space="preserve"> </w:t>
            </w:r>
            <w:r w:rsidR="001F4CBC" w:rsidRPr="00885241">
              <w:rPr>
                <w:noProof/>
              </w:rPr>
              <w:t>Budget</w:t>
            </w:r>
          </w:p>
        </w:tc>
        <w:tc>
          <w:tcPr>
            <w:tcW w:w="2410" w:type="dxa"/>
          </w:tcPr>
          <w:p w14:paraId="0B140653" w14:textId="77777777" w:rsidR="005C4C84" w:rsidRPr="004F71CE" w:rsidRDefault="005C4C84" w:rsidP="00AF1C52">
            <w:pPr>
              <w:cnfStyle w:val="100000000000" w:firstRow="1" w:lastRow="0" w:firstColumn="0" w:lastColumn="0" w:oddVBand="0" w:evenVBand="0" w:oddHBand="0" w:evenHBand="0" w:firstRowFirstColumn="0" w:firstRowLastColumn="0" w:lastRowFirstColumn="0" w:lastRowLastColumn="0"/>
              <w:rPr>
                <w:noProof/>
              </w:rPr>
            </w:pPr>
            <w:r w:rsidRPr="004F71CE">
              <w:rPr>
                <w:noProof/>
              </w:rPr>
              <w:t>Implementation rate</w:t>
            </w:r>
          </w:p>
        </w:tc>
      </w:tr>
      <w:tr w:rsidR="005C4C84" w:rsidRPr="004F71CE" w14:paraId="0ABE8921"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23886032" w14:textId="77777777" w:rsidR="005C4C84" w:rsidRPr="004F71CE" w:rsidRDefault="005C4C84" w:rsidP="00AF1C52">
            <w:pPr>
              <w:jc w:val="center"/>
              <w:rPr>
                <w:noProof/>
              </w:rPr>
            </w:pPr>
            <w:r w:rsidRPr="004F71CE">
              <w:rPr>
                <w:noProof/>
              </w:rPr>
              <w:t>Commitments</w:t>
            </w:r>
          </w:p>
        </w:tc>
        <w:tc>
          <w:tcPr>
            <w:tcW w:w="2410" w:type="dxa"/>
          </w:tcPr>
          <w:tbl>
            <w:tblPr>
              <w:tblStyle w:val="TableGrid"/>
              <w:tblW w:w="0" w:type="auto"/>
              <w:tblLook w:val="06A0" w:firstRow="1" w:lastRow="0" w:firstColumn="1" w:lastColumn="0" w:noHBand="1" w:noVBand="1"/>
            </w:tblPr>
            <w:tblGrid>
              <w:gridCol w:w="2176"/>
            </w:tblGrid>
            <w:tr w:rsidR="005C4C84" w:rsidRPr="004F71CE" w14:paraId="36DCABCE" w14:textId="77777777" w:rsidTr="00AF1C52">
              <w:trPr>
                <w:trHeight w:val="285"/>
              </w:trPr>
              <w:tc>
                <w:tcPr>
                  <w:tcW w:w="2290" w:type="dxa"/>
                  <w:tcBorders>
                    <w:top w:val="nil"/>
                    <w:left w:val="nil"/>
                    <w:bottom w:val="nil"/>
                    <w:right w:val="nil"/>
                  </w:tcBorders>
                  <w:vAlign w:val="bottom"/>
                </w:tcPr>
                <w:tbl>
                  <w:tblPr>
                    <w:tblStyle w:val="TableGrid"/>
                    <w:tblW w:w="0" w:type="auto"/>
                    <w:tblLook w:val="06A0" w:firstRow="1" w:lastRow="0" w:firstColumn="1" w:lastColumn="0" w:noHBand="1" w:noVBand="1"/>
                  </w:tblPr>
                  <w:tblGrid>
                    <w:gridCol w:w="1960"/>
                  </w:tblGrid>
                  <w:tr w:rsidR="005C4C84" w:rsidRPr="004F71CE" w14:paraId="2A941A20" w14:textId="77777777" w:rsidTr="00AF1C52">
                    <w:trPr>
                      <w:trHeight w:val="285"/>
                    </w:trPr>
                    <w:tc>
                      <w:tcPr>
                        <w:tcW w:w="2170" w:type="dxa"/>
                        <w:tcBorders>
                          <w:top w:val="nil"/>
                          <w:left w:val="nil"/>
                          <w:bottom w:val="nil"/>
                          <w:right w:val="nil"/>
                        </w:tcBorders>
                        <w:vAlign w:val="bottom"/>
                      </w:tcPr>
                      <w:p w14:paraId="41DF3229" w14:textId="77777777" w:rsidR="005C4C84" w:rsidRPr="004F71CE" w:rsidRDefault="005C4C84" w:rsidP="00AF1C52">
                        <w:pPr>
                          <w:jc w:val="right"/>
                          <w:rPr>
                            <w:noProof/>
                          </w:rPr>
                        </w:pPr>
                        <w:r w:rsidRPr="004F71CE">
                          <w:rPr>
                            <w:rFonts w:ascii="Calibri" w:hAnsi="Calibri" w:cs="Calibri"/>
                            <w:noProof/>
                            <w:color w:val="000000"/>
                          </w:rPr>
                          <w:t>6 841.4</w:t>
                        </w:r>
                      </w:p>
                    </w:tc>
                  </w:tr>
                </w:tbl>
                <w:p w14:paraId="0EBAFF31" w14:textId="77777777" w:rsidR="005C4C84" w:rsidRPr="004F71CE" w:rsidRDefault="005C4C84" w:rsidP="00AF1C52">
                  <w:pPr>
                    <w:jc w:val="right"/>
                    <w:rPr>
                      <w:rFonts w:ascii="Calibri" w:hAnsi="Calibri" w:cs="Calibri"/>
                      <w:noProof/>
                      <w:color w:val="000000"/>
                    </w:rPr>
                  </w:pPr>
                </w:p>
              </w:tc>
            </w:tr>
          </w:tbl>
          <w:p w14:paraId="4AB7CFBB" w14:textId="77777777" w:rsidR="005C4C84" w:rsidRPr="004F71CE" w:rsidRDefault="005C4C84" w:rsidP="00AF1C5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60"/>
            </w:tblGrid>
            <w:tr w:rsidR="005C4C84" w:rsidRPr="004F71CE" w14:paraId="5DB8D0D2" w14:textId="77777777" w:rsidTr="00AF1C52">
              <w:trPr>
                <w:trHeight w:val="285"/>
              </w:trPr>
              <w:tc>
                <w:tcPr>
                  <w:tcW w:w="2290" w:type="dxa"/>
                  <w:tcBorders>
                    <w:top w:val="nil"/>
                    <w:left w:val="nil"/>
                    <w:bottom w:val="nil"/>
                    <w:right w:val="nil"/>
                  </w:tcBorders>
                  <w:vAlign w:val="center"/>
                </w:tcPr>
                <w:tbl>
                  <w:tblPr>
                    <w:tblStyle w:val="TableGrid"/>
                    <w:tblW w:w="0" w:type="auto"/>
                    <w:tblLook w:val="06A0" w:firstRow="1" w:lastRow="0" w:firstColumn="1" w:lastColumn="0" w:noHBand="1" w:noVBand="1"/>
                  </w:tblPr>
                  <w:tblGrid>
                    <w:gridCol w:w="1944"/>
                  </w:tblGrid>
                  <w:tr w:rsidR="005C4C84" w:rsidRPr="004F71CE" w14:paraId="5C52C44B" w14:textId="77777777" w:rsidTr="00AF1C52">
                    <w:trPr>
                      <w:trHeight w:val="285"/>
                    </w:trPr>
                    <w:tc>
                      <w:tcPr>
                        <w:tcW w:w="2170" w:type="dxa"/>
                        <w:tcBorders>
                          <w:top w:val="nil"/>
                          <w:left w:val="nil"/>
                          <w:bottom w:val="nil"/>
                          <w:right w:val="nil"/>
                        </w:tcBorders>
                        <w:vAlign w:val="center"/>
                      </w:tcPr>
                      <w:p w14:paraId="08A9273B" w14:textId="77777777" w:rsidR="005C4C84" w:rsidRPr="004F71CE" w:rsidRDefault="005C4C84" w:rsidP="00AF1C52">
                        <w:pPr>
                          <w:jc w:val="right"/>
                          <w:rPr>
                            <w:noProof/>
                          </w:rPr>
                        </w:pPr>
                        <w:r w:rsidRPr="004F71CE">
                          <w:rPr>
                            <w:rFonts w:ascii="Calibri" w:hAnsi="Calibri" w:cs="Calibri"/>
                            <w:noProof/>
                            <w:color w:val="000000"/>
                          </w:rPr>
                          <w:t>6 841.4</w:t>
                        </w:r>
                      </w:p>
                    </w:tc>
                  </w:tr>
                </w:tbl>
                <w:p w14:paraId="6E41647C" w14:textId="77777777" w:rsidR="005C4C84" w:rsidRPr="004F71CE" w:rsidRDefault="005C4C84" w:rsidP="00AF1C52">
                  <w:pPr>
                    <w:jc w:val="right"/>
                    <w:rPr>
                      <w:rFonts w:ascii="Calibri" w:hAnsi="Calibri" w:cs="Calibri"/>
                      <w:noProof/>
                      <w:color w:val="000000"/>
                    </w:rPr>
                  </w:pPr>
                </w:p>
              </w:tc>
            </w:tr>
          </w:tbl>
          <w:p w14:paraId="162FF829" w14:textId="77777777" w:rsidR="005C4C84" w:rsidRPr="004F71CE" w:rsidRDefault="005C4C84" w:rsidP="00AF1C5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270"/>
            </w:tblGrid>
            <w:tr w:rsidR="005C4C84" w:rsidRPr="004F71CE" w14:paraId="1BDC11A4" w14:textId="77777777" w:rsidTr="00AF1C52">
              <w:trPr>
                <w:trHeight w:val="285"/>
              </w:trPr>
              <w:tc>
                <w:tcPr>
                  <w:tcW w:w="2290" w:type="dxa"/>
                  <w:tcBorders>
                    <w:top w:val="nil"/>
                    <w:left w:val="nil"/>
                    <w:bottom w:val="nil"/>
                    <w:right w:val="nil"/>
                  </w:tcBorders>
                  <w:vAlign w:val="bottom"/>
                </w:tcPr>
                <w:p w14:paraId="494FF7A3" w14:textId="77777777" w:rsidR="005C4C84" w:rsidRPr="004F71CE" w:rsidRDefault="005C4C84" w:rsidP="00AF1C52">
                  <w:pPr>
                    <w:jc w:val="right"/>
                    <w:rPr>
                      <w:noProof/>
                    </w:rPr>
                  </w:pPr>
                  <w:r w:rsidRPr="004F71CE">
                    <w:rPr>
                      <w:rFonts w:ascii="Calibri" w:hAnsi="Calibri" w:cs="Calibri"/>
                      <w:noProof/>
                      <w:color w:val="000000"/>
                    </w:rPr>
                    <w:t>100%</w:t>
                  </w:r>
                </w:p>
              </w:tc>
            </w:tr>
          </w:tbl>
          <w:p w14:paraId="649D89DB" w14:textId="77777777" w:rsidR="005C4C84" w:rsidRPr="004F71CE" w:rsidRDefault="005C4C84" w:rsidP="00AF1C52">
            <w:pPr>
              <w:jc w:val="center"/>
              <w:cnfStyle w:val="000000000000" w:firstRow="0" w:lastRow="0" w:firstColumn="0" w:lastColumn="0" w:oddVBand="0" w:evenVBand="0" w:oddHBand="0" w:evenHBand="0" w:firstRowFirstColumn="0" w:firstRowLastColumn="0" w:lastRowFirstColumn="0" w:lastRowLastColumn="0"/>
              <w:rPr>
                <w:noProof/>
              </w:rPr>
            </w:pPr>
          </w:p>
        </w:tc>
      </w:tr>
      <w:tr w:rsidR="005C4C84" w:rsidRPr="004F71CE" w14:paraId="6BBD2E85"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4A9F600C" w14:textId="77777777" w:rsidR="005C4C84" w:rsidRPr="004F71CE" w:rsidRDefault="005C4C84" w:rsidP="00AF1C52">
            <w:pPr>
              <w:jc w:val="center"/>
              <w:rPr>
                <w:noProof/>
              </w:rPr>
            </w:pPr>
            <w:r w:rsidRPr="004F71CE">
              <w:rPr>
                <w:noProof/>
              </w:rPr>
              <w:t>Payments</w:t>
            </w:r>
          </w:p>
        </w:tc>
        <w:tc>
          <w:tcPr>
            <w:tcW w:w="2410" w:type="dxa"/>
          </w:tcPr>
          <w:tbl>
            <w:tblPr>
              <w:tblStyle w:val="TableGrid"/>
              <w:tblW w:w="0" w:type="auto"/>
              <w:tblLook w:val="06A0" w:firstRow="1" w:lastRow="0" w:firstColumn="1" w:lastColumn="0" w:noHBand="1" w:noVBand="1"/>
            </w:tblPr>
            <w:tblGrid>
              <w:gridCol w:w="2176"/>
            </w:tblGrid>
            <w:tr w:rsidR="005C4C84" w:rsidRPr="004F71CE" w14:paraId="495B2A90" w14:textId="77777777" w:rsidTr="00AF1C52">
              <w:trPr>
                <w:trHeight w:val="285"/>
              </w:trPr>
              <w:tc>
                <w:tcPr>
                  <w:tcW w:w="2290" w:type="dxa"/>
                  <w:tcBorders>
                    <w:top w:val="nil"/>
                    <w:left w:val="nil"/>
                    <w:bottom w:val="nil"/>
                    <w:right w:val="nil"/>
                  </w:tcBorders>
                  <w:vAlign w:val="bottom"/>
                </w:tcPr>
                <w:tbl>
                  <w:tblPr>
                    <w:tblStyle w:val="TableGrid"/>
                    <w:tblW w:w="0" w:type="auto"/>
                    <w:tblLook w:val="06A0" w:firstRow="1" w:lastRow="0" w:firstColumn="1" w:lastColumn="0" w:noHBand="1" w:noVBand="1"/>
                  </w:tblPr>
                  <w:tblGrid>
                    <w:gridCol w:w="1960"/>
                  </w:tblGrid>
                  <w:tr w:rsidR="005C4C84" w:rsidRPr="004F71CE" w14:paraId="00268082" w14:textId="77777777" w:rsidTr="00AF1C52">
                    <w:trPr>
                      <w:trHeight w:val="285"/>
                    </w:trPr>
                    <w:tc>
                      <w:tcPr>
                        <w:tcW w:w="2170" w:type="dxa"/>
                        <w:tcBorders>
                          <w:top w:val="nil"/>
                          <w:left w:val="nil"/>
                          <w:bottom w:val="nil"/>
                          <w:right w:val="nil"/>
                        </w:tcBorders>
                        <w:vAlign w:val="bottom"/>
                      </w:tcPr>
                      <w:p w14:paraId="5F349AE1" w14:textId="77777777" w:rsidR="005C4C84" w:rsidRPr="004F71CE" w:rsidRDefault="005C4C84" w:rsidP="00AF1C52">
                        <w:pPr>
                          <w:jc w:val="right"/>
                          <w:rPr>
                            <w:noProof/>
                          </w:rPr>
                        </w:pPr>
                        <w:r w:rsidRPr="004F71CE">
                          <w:rPr>
                            <w:rFonts w:ascii="Calibri" w:hAnsi="Calibri" w:cs="Calibri"/>
                            <w:noProof/>
                            <w:color w:val="000000"/>
                          </w:rPr>
                          <w:t>6 412.3</w:t>
                        </w:r>
                      </w:p>
                    </w:tc>
                  </w:tr>
                </w:tbl>
                <w:p w14:paraId="601CBBBD" w14:textId="77777777" w:rsidR="005C4C84" w:rsidRPr="004F71CE" w:rsidRDefault="005C4C84" w:rsidP="00AF1C52">
                  <w:pPr>
                    <w:jc w:val="right"/>
                    <w:rPr>
                      <w:rFonts w:ascii="Calibri" w:hAnsi="Calibri" w:cs="Calibri"/>
                      <w:noProof/>
                      <w:color w:val="000000"/>
                    </w:rPr>
                  </w:pPr>
                </w:p>
              </w:tc>
            </w:tr>
          </w:tbl>
          <w:p w14:paraId="497CA390" w14:textId="77777777" w:rsidR="005C4C84" w:rsidRPr="004F71CE" w:rsidRDefault="005C4C84" w:rsidP="00AF1C5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4D9BAF91" w14:textId="77777777" w:rsidR="005C4C84" w:rsidRPr="004F71CE" w:rsidRDefault="005C4C84" w:rsidP="00AF1C5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270"/>
            </w:tblGrid>
            <w:tr w:rsidR="005C4C84" w:rsidRPr="004F71CE" w14:paraId="158DC4D5" w14:textId="77777777" w:rsidTr="00AF1C52">
              <w:trPr>
                <w:trHeight w:val="285"/>
              </w:trPr>
              <w:tc>
                <w:tcPr>
                  <w:tcW w:w="2235" w:type="dxa"/>
                  <w:tcBorders>
                    <w:top w:val="nil"/>
                    <w:left w:val="nil"/>
                    <w:bottom w:val="nil"/>
                    <w:right w:val="nil"/>
                  </w:tcBorders>
                  <w:vAlign w:val="bottom"/>
                </w:tcPr>
                <w:tbl>
                  <w:tblPr>
                    <w:tblStyle w:val="TableGrid"/>
                    <w:tblW w:w="2054" w:type="dxa"/>
                    <w:tblLook w:val="06A0" w:firstRow="1" w:lastRow="0" w:firstColumn="1" w:lastColumn="0" w:noHBand="1" w:noVBand="1"/>
                  </w:tblPr>
                  <w:tblGrid>
                    <w:gridCol w:w="2054"/>
                  </w:tblGrid>
                  <w:tr w:rsidR="005C4C84" w:rsidRPr="004F71CE" w14:paraId="094B824D" w14:textId="77777777" w:rsidTr="00AF1C52">
                    <w:trPr>
                      <w:trHeight w:val="285"/>
                    </w:trPr>
                    <w:tc>
                      <w:tcPr>
                        <w:tcW w:w="2054" w:type="dxa"/>
                        <w:tcBorders>
                          <w:top w:val="nil"/>
                          <w:left w:val="nil"/>
                          <w:bottom w:val="nil"/>
                          <w:right w:val="nil"/>
                        </w:tcBorders>
                        <w:vAlign w:val="bottom"/>
                      </w:tcPr>
                      <w:p w14:paraId="68AB28DD" w14:textId="77777777" w:rsidR="005C4C84" w:rsidRPr="004F71CE" w:rsidRDefault="005C4C84" w:rsidP="00AF1C52">
                        <w:pPr>
                          <w:ind w:right="-44"/>
                          <w:jc w:val="right"/>
                          <w:rPr>
                            <w:noProof/>
                          </w:rPr>
                        </w:pPr>
                        <w:r w:rsidRPr="004F71CE">
                          <w:rPr>
                            <w:rFonts w:ascii="Calibri" w:hAnsi="Calibri" w:cs="Calibri"/>
                            <w:noProof/>
                            <w:color w:val="000000"/>
                          </w:rPr>
                          <w:t>94%</w:t>
                        </w:r>
                      </w:p>
                    </w:tc>
                  </w:tr>
                </w:tbl>
                <w:p w14:paraId="30D2798C" w14:textId="77777777" w:rsidR="005C4C84" w:rsidRPr="004F71CE" w:rsidRDefault="005C4C84" w:rsidP="00AF1C52">
                  <w:pPr>
                    <w:jc w:val="right"/>
                    <w:rPr>
                      <w:rFonts w:ascii="Calibri" w:hAnsi="Calibri" w:cs="Calibri"/>
                      <w:noProof/>
                      <w:color w:val="000000"/>
                    </w:rPr>
                  </w:pPr>
                </w:p>
              </w:tc>
            </w:tr>
          </w:tbl>
          <w:p w14:paraId="7AC4D21A" w14:textId="77777777" w:rsidR="005C4C84" w:rsidRPr="004F71CE" w:rsidRDefault="005C4C84" w:rsidP="00AF1C52">
            <w:pPr>
              <w:jc w:val="center"/>
              <w:cnfStyle w:val="000000000000" w:firstRow="0" w:lastRow="0" w:firstColumn="0" w:lastColumn="0" w:oddVBand="0" w:evenVBand="0" w:oddHBand="0" w:evenHBand="0" w:firstRowFirstColumn="0" w:firstRowLastColumn="0" w:lastRowFirstColumn="0" w:lastRowLastColumn="0"/>
              <w:rPr>
                <w:noProof/>
              </w:rPr>
            </w:pPr>
          </w:p>
        </w:tc>
      </w:tr>
    </w:tbl>
    <w:p w14:paraId="53AEA6EA" w14:textId="77777777" w:rsidR="005C4C84" w:rsidRPr="004F71CE" w:rsidRDefault="005C4C84" w:rsidP="005C4C84">
      <w:pPr>
        <w:pStyle w:val="ppoListHyphened-L1"/>
        <w:rPr>
          <w:noProof/>
        </w:rPr>
      </w:pPr>
      <w:r w:rsidRPr="004F71CE">
        <w:rPr>
          <w:noProof/>
        </w:rPr>
        <w:t>During the 2014-2020 multiannual financial framework, the EU satellite navigation programmes (Galileo and EGNOS) committed EUR</w:t>
      </w:r>
      <w:r w:rsidRPr="004F71CE">
        <w:rPr>
          <w:rFonts w:ascii="Calibri" w:hAnsi="Calibri" w:cs="Calibri"/>
          <w:noProof/>
        </w:rPr>
        <w:t> </w:t>
      </w:r>
      <w:r w:rsidRPr="004F71CE">
        <w:rPr>
          <w:noProof/>
        </w:rPr>
        <w:t>6</w:t>
      </w:r>
      <w:r w:rsidRPr="004F71CE">
        <w:rPr>
          <w:rFonts w:ascii="Calibri" w:hAnsi="Calibri" w:cs="Calibri"/>
          <w:noProof/>
        </w:rPr>
        <w:t> </w:t>
      </w:r>
      <w:r w:rsidRPr="004F71CE">
        <w:rPr>
          <w:noProof/>
        </w:rPr>
        <w:t>841</w:t>
      </w:r>
      <w:r w:rsidRPr="004F71CE">
        <w:rPr>
          <w:rFonts w:ascii="Calibri" w:hAnsi="Calibri" w:cs="Calibri"/>
          <w:noProof/>
        </w:rPr>
        <w:t> </w:t>
      </w:r>
      <w:r w:rsidRPr="004F71CE">
        <w:rPr>
          <w:noProof/>
        </w:rPr>
        <w:t>million, making full use of the appropriations made available and reaching 100% execution in terms of commitment appropriations. In terms of payment appropriations, payments made during that same period amounted to EUR</w:t>
      </w:r>
      <w:r w:rsidRPr="004F71CE">
        <w:rPr>
          <w:rFonts w:ascii="Calibri" w:hAnsi="Calibri" w:cs="Calibri"/>
          <w:noProof/>
        </w:rPr>
        <w:t> </w:t>
      </w:r>
      <w:r w:rsidRPr="004F71CE">
        <w:rPr>
          <w:noProof/>
        </w:rPr>
        <w:t>6</w:t>
      </w:r>
      <w:r w:rsidRPr="004F71CE">
        <w:rPr>
          <w:rFonts w:ascii="Calibri" w:hAnsi="Calibri" w:cs="Calibri"/>
          <w:noProof/>
        </w:rPr>
        <w:t> </w:t>
      </w:r>
      <w:r w:rsidRPr="004F71CE">
        <w:rPr>
          <w:noProof/>
        </w:rPr>
        <w:t>530</w:t>
      </w:r>
      <w:r w:rsidRPr="004F71CE">
        <w:rPr>
          <w:rFonts w:ascii="Calibri" w:hAnsi="Calibri" w:cs="Calibri"/>
          <w:noProof/>
        </w:rPr>
        <w:t> million</w:t>
      </w:r>
      <w:r w:rsidRPr="004F71CE">
        <w:rPr>
          <w:noProof/>
        </w:rPr>
        <w:t>, which represented a 95% rate of payment execution.</w:t>
      </w:r>
    </w:p>
    <w:p w14:paraId="6E464FEC" w14:textId="77777777" w:rsidR="005C4C84" w:rsidRPr="004F71CE" w:rsidRDefault="005C4C84" w:rsidP="005C4C84">
      <w:pPr>
        <w:pStyle w:val="ppoHeading6"/>
        <w:rPr>
          <w:noProof/>
        </w:rPr>
      </w:pPr>
      <w:r w:rsidRPr="004F71CE">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5C4C84" w:rsidRPr="004F71CE" w14:paraId="1E666056" w14:textId="77777777" w:rsidTr="00AF1C52">
        <w:trPr>
          <w:cnfStyle w:val="100000000000" w:firstRow="1" w:lastRow="0" w:firstColumn="0" w:lastColumn="0" w:oddVBand="0" w:evenVBand="0" w:oddHBand="0" w:evenHBand="0" w:firstRowFirstColumn="0" w:firstRowLastColumn="0" w:lastRowFirstColumn="0" w:lastRowLastColumn="0"/>
        </w:trPr>
        <w:tc>
          <w:tcPr>
            <w:tcW w:w="2330" w:type="dxa"/>
          </w:tcPr>
          <w:p w14:paraId="1A7506AD" w14:textId="77777777" w:rsidR="005C4C84" w:rsidRPr="004F71CE" w:rsidRDefault="005C4C84" w:rsidP="00AF1C52">
            <w:pPr>
              <w:rPr>
                <w:noProof/>
              </w:rPr>
            </w:pPr>
          </w:p>
        </w:tc>
        <w:tc>
          <w:tcPr>
            <w:tcW w:w="1100" w:type="dxa"/>
          </w:tcPr>
          <w:p w14:paraId="168DCABB" w14:textId="77777777" w:rsidR="005C4C84" w:rsidRPr="004F71CE" w:rsidRDefault="005C4C84" w:rsidP="00AF1C52">
            <w:pPr>
              <w:rPr>
                <w:noProof/>
              </w:rPr>
            </w:pPr>
            <w:r w:rsidRPr="004F71CE">
              <w:rPr>
                <w:noProof/>
              </w:rPr>
              <w:t>Baseline</w:t>
            </w:r>
          </w:p>
        </w:tc>
        <w:tc>
          <w:tcPr>
            <w:tcW w:w="1526" w:type="dxa"/>
          </w:tcPr>
          <w:p w14:paraId="58A71E08" w14:textId="77777777" w:rsidR="005C4C84" w:rsidRPr="000A46E3" w:rsidRDefault="005C4C84" w:rsidP="00AF1C52">
            <w:pPr>
              <w:rPr>
                <w:rFonts w:ascii="Calibri" w:hAnsi="Calibri"/>
                <w:noProof/>
              </w:rPr>
            </w:pPr>
            <w:r w:rsidRPr="004F71CE">
              <w:rPr>
                <w:noProof/>
              </w:rPr>
              <w:t>Progress</w:t>
            </w:r>
            <w:r w:rsidRPr="004F71CE">
              <w:rPr>
                <w:rFonts w:ascii="Calibri" w:hAnsi="Calibri" w:cs="Calibri"/>
                <w:noProof/>
              </w:rPr>
              <w:t> (*)</w:t>
            </w:r>
          </w:p>
        </w:tc>
        <w:tc>
          <w:tcPr>
            <w:tcW w:w="1532" w:type="dxa"/>
          </w:tcPr>
          <w:p w14:paraId="1E37F84B" w14:textId="77777777" w:rsidR="005C4C84" w:rsidRPr="004F71CE" w:rsidRDefault="005C4C84" w:rsidP="00AF1C52">
            <w:pPr>
              <w:rPr>
                <w:noProof/>
              </w:rPr>
            </w:pPr>
            <w:r w:rsidRPr="004F71CE">
              <w:rPr>
                <w:noProof/>
              </w:rPr>
              <w:t>Target</w:t>
            </w:r>
          </w:p>
        </w:tc>
        <w:tc>
          <w:tcPr>
            <w:tcW w:w="1572" w:type="dxa"/>
          </w:tcPr>
          <w:p w14:paraId="643D117D" w14:textId="77777777" w:rsidR="005C4C84" w:rsidRPr="004F71CE" w:rsidRDefault="005C4C84" w:rsidP="00AF1C52">
            <w:pPr>
              <w:rPr>
                <w:noProof/>
              </w:rPr>
            </w:pPr>
            <w:r w:rsidRPr="004F71CE">
              <w:rPr>
                <w:noProof/>
              </w:rPr>
              <w:t>Results</w:t>
            </w:r>
          </w:p>
        </w:tc>
        <w:tc>
          <w:tcPr>
            <w:tcW w:w="1579" w:type="dxa"/>
          </w:tcPr>
          <w:p w14:paraId="15D4C3C0" w14:textId="77777777" w:rsidR="005C4C84" w:rsidRPr="004F71CE" w:rsidRDefault="005C4C84" w:rsidP="00AF1C52">
            <w:pPr>
              <w:rPr>
                <w:noProof/>
              </w:rPr>
            </w:pPr>
            <w:r w:rsidRPr="004F71CE">
              <w:rPr>
                <w:noProof/>
              </w:rPr>
              <w:t>Assessment</w:t>
            </w:r>
          </w:p>
        </w:tc>
      </w:tr>
      <w:tr w:rsidR="005C4C84" w:rsidRPr="004F71CE" w14:paraId="38CDB66A" w14:textId="77777777" w:rsidTr="00AF1C52">
        <w:trPr>
          <w:cnfStyle w:val="000000100000" w:firstRow="0" w:lastRow="0" w:firstColumn="0" w:lastColumn="0" w:oddVBand="0" w:evenVBand="0" w:oddHBand="1" w:evenHBand="0" w:firstRowFirstColumn="0" w:firstRowLastColumn="0" w:lastRowFirstColumn="0" w:lastRowLastColumn="0"/>
        </w:trPr>
        <w:tc>
          <w:tcPr>
            <w:tcW w:w="2330" w:type="dxa"/>
          </w:tcPr>
          <w:p w14:paraId="588A96F0" w14:textId="77777777" w:rsidR="005C4C84" w:rsidRPr="004F71CE" w:rsidRDefault="005C4C84" w:rsidP="00AF1C52">
            <w:pPr>
              <w:rPr>
                <w:noProof/>
              </w:rPr>
            </w:pPr>
            <w:r w:rsidRPr="004F71CE">
              <w:rPr>
                <w:noProof/>
              </w:rPr>
              <w:t>Galileo infrastructure</w:t>
            </w:r>
            <w:r w:rsidRPr="004F71CE">
              <w:rPr>
                <w:rFonts w:ascii="Calibri" w:hAnsi="Calibri" w:cs="Calibri"/>
                <w:noProof/>
              </w:rPr>
              <w:t> </w:t>
            </w:r>
            <w:r w:rsidRPr="004F71CE">
              <w:rPr>
                <w:noProof/>
              </w:rPr>
              <w:t>– operational satellites</w:t>
            </w:r>
          </w:p>
        </w:tc>
        <w:tc>
          <w:tcPr>
            <w:tcW w:w="1100" w:type="dxa"/>
          </w:tcPr>
          <w:p w14:paraId="57CD4AE8" w14:textId="77777777" w:rsidR="005C4C84" w:rsidRPr="004F71CE" w:rsidRDefault="005C4C84" w:rsidP="00AF1C52">
            <w:pPr>
              <w:jc w:val="center"/>
              <w:rPr>
                <w:noProof/>
              </w:rPr>
            </w:pPr>
            <w:r w:rsidRPr="004F71CE">
              <w:rPr>
                <w:noProof/>
              </w:rPr>
              <w:t>4</w:t>
            </w:r>
          </w:p>
        </w:tc>
        <w:tc>
          <w:tcPr>
            <w:tcW w:w="1526" w:type="dxa"/>
          </w:tcPr>
          <w:p w14:paraId="79BF7853" w14:textId="77777777" w:rsidR="005C4C84" w:rsidRPr="004F71CE" w:rsidRDefault="005C4C84" w:rsidP="00AF1C52">
            <w:pPr>
              <w:jc w:val="center"/>
              <w:rPr>
                <w:b/>
                <w:noProof/>
              </w:rPr>
            </w:pPr>
            <w:r w:rsidRPr="004F71CE">
              <w:rPr>
                <w:noProof/>
              </w:rPr>
              <w:t>92%</w:t>
            </w:r>
          </w:p>
        </w:tc>
        <w:tc>
          <w:tcPr>
            <w:tcW w:w="1532" w:type="dxa"/>
          </w:tcPr>
          <w:p w14:paraId="41780462" w14:textId="77777777" w:rsidR="005C4C84" w:rsidRPr="004F71CE" w:rsidRDefault="005C4C84" w:rsidP="00AF1C52">
            <w:pPr>
              <w:jc w:val="center"/>
              <w:rPr>
                <w:noProof/>
              </w:rPr>
            </w:pPr>
            <w:r w:rsidRPr="004F71CE">
              <w:rPr>
                <w:noProof/>
              </w:rPr>
              <w:t>30</w:t>
            </w:r>
          </w:p>
        </w:tc>
        <w:tc>
          <w:tcPr>
            <w:tcW w:w="1572" w:type="dxa"/>
          </w:tcPr>
          <w:p w14:paraId="344D03BC" w14:textId="77777777" w:rsidR="005C4C84" w:rsidRPr="004F71CE" w:rsidRDefault="005C4C84" w:rsidP="00AF1C52">
            <w:pPr>
              <w:jc w:val="center"/>
              <w:rPr>
                <w:noProof/>
              </w:rPr>
            </w:pPr>
            <w:r w:rsidRPr="004F71CE">
              <w:rPr>
                <w:noProof/>
              </w:rPr>
              <w:t>28 out of 30</w:t>
            </w:r>
          </w:p>
        </w:tc>
        <w:tc>
          <w:tcPr>
            <w:tcW w:w="1579" w:type="dxa"/>
          </w:tcPr>
          <w:p w14:paraId="09951EDD" w14:textId="77777777" w:rsidR="005C4C84" w:rsidRPr="004F71CE" w:rsidRDefault="005C4C84" w:rsidP="00AF1C52">
            <w:pPr>
              <w:jc w:val="center"/>
              <w:rPr>
                <w:noProof/>
              </w:rPr>
            </w:pPr>
            <w:r w:rsidRPr="004F71CE">
              <w:rPr>
                <w:noProof/>
              </w:rPr>
              <w:t>On track</w:t>
            </w:r>
          </w:p>
        </w:tc>
      </w:tr>
    </w:tbl>
    <w:p w14:paraId="46DBC7D7" w14:textId="77777777" w:rsidR="005C4C84" w:rsidRPr="004F71CE" w:rsidRDefault="005C4C84" w:rsidP="005C4C84">
      <w:pPr>
        <w:pStyle w:val="FootnoteText"/>
        <w:rPr>
          <w:noProof/>
        </w:rPr>
      </w:pPr>
      <w:r w:rsidRPr="004F71CE">
        <w:rPr>
          <w:noProof/>
        </w:rPr>
        <w:t>(*) % of target achieved by the end of 2021.</w:t>
      </w:r>
    </w:p>
    <w:p w14:paraId="788E59F2" w14:textId="77777777" w:rsidR="005C4C84" w:rsidRPr="004F71CE" w:rsidRDefault="005C4C84" w:rsidP="005C4C84">
      <w:pPr>
        <w:pStyle w:val="ppoListHyphened-L1"/>
        <w:rPr>
          <w:noProof/>
        </w:rPr>
      </w:pPr>
      <w:r w:rsidRPr="004F71CE">
        <w:rPr>
          <w:noProof/>
        </w:rPr>
        <w:t>To ensure continuity during the transition from the old to the new multiannual financial framework, some core programme activities for EGNOS and Galileo, carried out in 2021, were financed under the previous multiannual financial framework budget. These activities focused in particular on the rolling operations of the ground and space infrastructure and the satellites deployed to ensure the continuous provision of services.</w:t>
      </w:r>
    </w:p>
    <w:p w14:paraId="081D86C3" w14:textId="77777777" w:rsidR="005C4C84" w:rsidRPr="004F71CE" w:rsidRDefault="005C4C84" w:rsidP="005C4C84">
      <w:pPr>
        <w:pStyle w:val="ppoListHyphened-L1"/>
        <w:rPr>
          <w:noProof/>
        </w:rPr>
      </w:pPr>
      <w:r w:rsidRPr="004F71CE">
        <w:rPr>
          <w:noProof/>
        </w:rPr>
        <w:t xml:space="preserve">With regard to the Galileo space infrastructure, two satellites were successfully launched in December 2021. The two satellites are undergoing in-orbit testing before their incorporation into the Galileo operational constellation, which will allow them to contribute to Galileo services in the second quarter of 2022. </w:t>
      </w:r>
      <w:r w:rsidRPr="00151B4C">
        <w:rPr>
          <w:noProof/>
        </w:rPr>
        <w:t>The next launch</w:t>
      </w:r>
      <w:r>
        <w:rPr>
          <w:noProof/>
        </w:rPr>
        <w:t>,</w:t>
      </w:r>
      <w:r w:rsidRPr="00151B4C">
        <w:rPr>
          <w:noProof/>
        </w:rPr>
        <w:t xml:space="preserve"> of two satellites</w:t>
      </w:r>
      <w:r>
        <w:rPr>
          <w:noProof/>
        </w:rPr>
        <w:t>,</w:t>
      </w:r>
      <w:r w:rsidRPr="00151B4C">
        <w:rPr>
          <w:noProof/>
        </w:rPr>
        <w:t xml:space="preserve"> w</w:t>
      </w:r>
      <w:r>
        <w:rPr>
          <w:noProof/>
        </w:rPr>
        <w:t>as</w:t>
      </w:r>
      <w:r w:rsidRPr="00151B4C">
        <w:rPr>
          <w:noProof/>
        </w:rPr>
        <w:t xml:space="preserve"> scheduled for April 2022</w:t>
      </w:r>
      <w:r>
        <w:rPr>
          <w:noProof/>
        </w:rPr>
        <w:t xml:space="preserve">, and a further two satellites were planned to be launched in </w:t>
      </w:r>
      <w:r w:rsidRPr="00151B4C">
        <w:rPr>
          <w:noProof/>
        </w:rPr>
        <w:t>the second semester of 2022.</w:t>
      </w:r>
      <w:r w:rsidRPr="004F71CE">
        <w:rPr>
          <w:noProof/>
        </w:rPr>
        <w:t xml:space="preserve"> However, due to the crisis precipitated by the Russian invasion of Ukraine, these launches (which were scheduled to use Russian Soyuz rockets) will not take place as planned. Possibilities for use of alternative launchers are under investigation. In particular, as the programme intends to use the European Ariane-6 launcher in the near future, the development of a specific dispenser to carry the Galileo satellites on board Ariane-6 was initiated in 2019 and will be completed in 2022.</w:t>
      </w:r>
    </w:p>
    <w:p w14:paraId="6FC7A567" w14:textId="77777777" w:rsidR="005C4C84" w:rsidRPr="004F71CE" w:rsidRDefault="005C4C84" w:rsidP="005C4C84">
      <w:pPr>
        <w:pStyle w:val="ppoListHyphened-L1"/>
        <w:rPr>
          <w:noProof/>
        </w:rPr>
      </w:pPr>
      <w:r w:rsidRPr="004F71CE">
        <w:rPr>
          <w:noProof/>
        </w:rPr>
        <w:t>On the Galileo ground infrastructure, work continued on the next system builds, which will support advanced features and improved system resilience. Despite delays incurred due to the COVID-19 pandemic, system release SB1.7 was deployed in advance of the satellite launch in December 2021. The new release meets all of the requirements relating to the deployment and operation of Galileo satellites.</w:t>
      </w:r>
    </w:p>
    <w:p w14:paraId="592153F5" w14:textId="77777777" w:rsidR="005C4C84" w:rsidRPr="004F71CE" w:rsidRDefault="005C4C84" w:rsidP="005C4C84">
      <w:pPr>
        <w:pStyle w:val="ppoListHyphened-L1"/>
        <w:rPr>
          <w:noProof/>
        </w:rPr>
      </w:pPr>
      <w:r w:rsidRPr="004F71CE">
        <w:rPr>
          <w:noProof/>
        </w:rPr>
        <w:t>Activities for the development of a new generation of EGNOS</w:t>
      </w:r>
      <w:r w:rsidRPr="004F71CE">
        <w:rPr>
          <w:rFonts w:ascii="Calibri" w:hAnsi="Calibri" w:cs="Calibri"/>
          <w:noProof/>
        </w:rPr>
        <w:t> </w:t>
      </w:r>
      <w:r w:rsidRPr="004F71CE">
        <w:rPr>
          <w:noProof/>
        </w:rPr>
        <w:t>– EGNOS version</w:t>
      </w:r>
      <w:r w:rsidRPr="004F71CE">
        <w:rPr>
          <w:rFonts w:ascii="Calibri" w:hAnsi="Calibri" w:cs="Calibri"/>
          <w:noProof/>
        </w:rPr>
        <w:t> </w:t>
      </w:r>
      <w:r w:rsidRPr="004F71CE">
        <w:rPr>
          <w:noProof/>
        </w:rPr>
        <w:t>3</w:t>
      </w:r>
      <w:r w:rsidRPr="004F71CE">
        <w:rPr>
          <w:rFonts w:ascii="Calibri" w:hAnsi="Calibri" w:cs="Calibri"/>
          <w:noProof/>
        </w:rPr>
        <w:t> </w:t>
      </w:r>
      <w:r w:rsidRPr="004F71CE">
        <w:rPr>
          <w:noProof/>
        </w:rPr>
        <w:t>– continued with the aim of extending EGNOS’s coverage to the 1-2% of EU landmasses not yet covered, i.e. the Azores (Portugal), the north-eastern part of Finland and eastern part of Cyprus. This is planned for around 2026.</w:t>
      </w:r>
    </w:p>
    <w:p w14:paraId="6E9EBB70" w14:textId="77777777" w:rsidR="005C4C84" w:rsidRPr="004F71CE" w:rsidRDefault="005C4C84" w:rsidP="005C4C84">
      <w:pPr>
        <w:pStyle w:val="ppoHeading4Orange"/>
        <w:rPr>
          <w:noProof/>
        </w:rPr>
      </w:pPr>
      <w:r w:rsidRPr="004F71CE">
        <w:rPr>
          <w:noProof/>
        </w:rPr>
        <w:t>2014-2020 multiannual financial framework</w:t>
      </w:r>
      <w:r w:rsidRPr="004F71CE">
        <w:rPr>
          <w:rFonts w:ascii="Calibri" w:hAnsi="Calibri" w:cs="Calibri"/>
          <w:noProof/>
        </w:rPr>
        <w:t> </w:t>
      </w:r>
      <w:r w:rsidRPr="004F71CE">
        <w:rPr>
          <w:noProof/>
        </w:rPr>
        <w:t xml:space="preserve">– </w:t>
      </w:r>
      <w:r w:rsidRPr="000A46E3">
        <w:rPr>
          <w:noProof/>
        </w:rPr>
        <w:t>Copernicus</w:t>
      </w:r>
    </w:p>
    <w:p w14:paraId="5A89A4EF" w14:textId="77777777" w:rsidR="005C4C84" w:rsidRPr="004F71CE" w:rsidRDefault="005C4C84" w:rsidP="005C4C84">
      <w:pPr>
        <w:pStyle w:val="PPObodyText"/>
        <w:rPr>
          <w:noProof/>
        </w:rPr>
      </w:pPr>
      <w:r w:rsidRPr="004F71CE">
        <w:rPr>
          <w:rFonts w:ascii="EC Square Sans Pro" w:eastAsiaTheme="minorHAnsi" w:hAnsi="EC Square Sans Pro" w:cstheme="minorBidi"/>
          <w:noProof/>
          <w:color w:val="auto"/>
          <w:sz w:val="22"/>
          <w:szCs w:val="22"/>
        </w:rPr>
        <w:t>Copernicus is the EU’s Earth observation and monitoring system. It is a user-driven programme offering robust and reliable Earth monitoring data and information on a full, free-of-charge and open-access basis for six Copernicus information services: atmosphere monitoring, marine environment monitoring, land monitoring, climate change, emergency management and security. The services are provided to EU, national, regional and local institutions, and to actors in the private sector, researchers, non-governmental organisations and international organisations. Copernicus is building on the achievement of European autonomous access to environmental knowledge and the major role of the EU at the international level. Copernicus information services products are based on satellite Earth observation and in situ (non-space) data. The wealth of satellite data is provided by space infrastructure, mainly the Sentinel satellite missions developed under the programme. These are complemented by other missions for specific needs. In situ networks are managed by Member States and international bodies and are an essential and integral part of Copernicus, used by the Copernicus services and the space component to produce high-quality information products.</w:t>
      </w:r>
    </w:p>
    <w:p w14:paraId="6D89385E" w14:textId="77777777" w:rsidR="005C4C84" w:rsidRPr="004F71CE" w:rsidRDefault="005C4C84" w:rsidP="005C4C84">
      <w:pPr>
        <w:pStyle w:val="ppoHeading5"/>
        <w:rPr>
          <w:noProof/>
        </w:rPr>
      </w:pPr>
      <w:r w:rsidRPr="004F71CE">
        <w:rPr>
          <w:noProof/>
        </w:rPr>
        <w:t>Budget implementation</w:t>
      </w:r>
    </w:p>
    <w:p w14:paraId="44445C4B" w14:textId="77777777" w:rsidR="005C4C84" w:rsidRPr="004F71CE" w:rsidRDefault="005C4C84" w:rsidP="005C4C84">
      <w:pPr>
        <w:pStyle w:val="ppoTableTabletitle"/>
        <w:rPr>
          <w:noProof/>
        </w:rPr>
      </w:pPr>
      <w:r w:rsidRPr="004F71CE">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5C4C84" w:rsidRPr="004F71CE" w14:paraId="11E8E89D" w14:textId="77777777" w:rsidTr="00AF1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0D9583B0" w14:textId="77777777" w:rsidR="005C4C84" w:rsidRPr="004F71CE" w:rsidRDefault="005C4C84" w:rsidP="00AF1C52">
            <w:pPr>
              <w:rPr>
                <w:noProof/>
              </w:rPr>
            </w:pPr>
          </w:p>
        </w:tc>
        <w:tc>
          <w:tcPr>
            <w:tcW w:w="2410" w:type="dxa"/>
          </w:tcPr>
          <w:p w14:paraId="3BE9B3A1" w14:textId="77777777" w:rsidR="005C4C84" w:rsidRPr="004F71CE" w:rsidRDefault="005C4C84" w:rsidP="00AF1C52">
            <w:pPr>
              <w:cnfStyle w:val="100000000000" w:firstRow="1" w:lastRow="0" w:firstColumn="0" w:lastColumn="0" w:oddVBand="0" w:evenVBand="0" w:oddHBand="0" w:evenHBand="0" w:firstRowFirstColumn="0" w:firstRowLastColumn="0" w:lastRowFirstColumn="0" w:lastRowLastColumn="0"/>
              <w:rPr>
                <w:noProof/>
              </w:rPr>
            </w:pPr>
            <w:r w:rsidRPr="004F71CE">
              <w:rPr>
                <w:noProof/>
              </w:rPr>
              <w:t>Implementation</w:t>
            </w:r>
          </w:p>
        </w:tc>
        <w:tc>
          <w:tcPr>
            <w:tcW w:w="2410" w:type="dxa"/>
          </w:tcPr>
          <w:p w14:paraId="0F9D0647" w14:textId="4619BFD8" w:rsidR="005C4C84" w:rsidRPr="004F71CE" w:rsidRDefault="00A84801" w:rsidP="00AF1C52">
            <w:pPr>
              <w:cnfStyle w:val="100000000000" w:firstRow="1" w:lastRow="0" w:firstColumn="0" w:lastColumn="0" w:oddVBand="0" w:evenVBand="0" w:oddHBand="0" w:evenHBand="0" w:firstRowFirstColumn="0" w:firstRowLastColumn="0" w:lastRowFirstColumn="0" w:lastRowLastColumn="0"/>
              <w:rPr>
                <w:noProof/>
              </w:rPr>
            </w:pPr>
            <w:r>
              <w:rPr>
                <w:noProof/>
              </w:rPr>
              <w:t xml:space="preserve">2014-2020 </w:t>
            </w:r>
            <w:r w:rsidR="005C4C84" w:rsidRPr="004F71CE">
              <w:rPr>
                <w:noProof/>
              </w:rPr>
              <w:t>Budget</w:t>
            </w:r>
          </w:p>
        </w:tc>
        <w:tc>
          <w:tcPr>
            <w:tcW w:w="2410" w:type="dxa"/>
          </w:tcPr>
          <w:p w14:paraId="16067CA8" w14:textId="77777777" w:rsidR="005C4C84" w:rsidRPr="004F71CE" w:rsidRDefault="005C4C84" w:rsidP="00AF1C52">
            <w:pPr>
              <w:cnfStyle w:val="100000000000" w:firstRow="1" w:lastRow="0" w:firstColumn="0" w:lastColumn="0" w:oddVBand="0" w:evenVBand="0" w:oddHBand="0" w:evenHBand="0" w:firstRowFirstColumn="0" w:firstRowLastColumn="0" w:lastRowFirstColumn="0" w:lastRowLastColumn="0"/>
              <w:rPr>
                <w:noProof/>
              </w:rPr>
            </w:pPr>
            <w:r w:rsidRPr="004F71CE">
              <w:rPr>
                <w:noProof/>
              </w:rPr>
              <w:t>Implementation rate</w:t>
            </w:r>
          </w:p>
        </w:tc>
      </w:tr>
      <w:tr w:rsidR="005C4C84" w:rsidRPr="004F71CE" w14:paraId="324D03B8"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2F308FA0" w14:textId="77777777" w:rsidR="005C4C84" w:rsidRPr="004F71CE" w:rsidRDefault="005C4C84" w:rsidP="00AF1C52">
            <w:pPr>
              <w:jc w:val="center"/>
              <w:rPr>
                <w:noProof/>
              </w:rPr>
            </w:pPr>
            <w:r w:rsidRPr="004F71CE">
              <w:rPr>
                <w:noProof/>
              </w:rPr>
              <w:t>Commitments</w:t>
            </w:r>
          </w:p>
        </w:tc>
        <w:tc>
          <w:tcPr>
            <w:tcW w:w="2410" w:type="dxa"/>
          </w:tcPr>
          <w:tbl>
            <w:tblPr>
              <w:tblStyle w:val="TableGrid"/>
              <w:tblW w:w="0" w:type="auto"/>
              <w:tblLook w:val="06A0" w:firstRow="1" w:lastRow="0" w:firstColumn="1" w:lastColumn="0" w:noHBand="1" w:noVBand="1"/>
            </w:tblPr>
            <w:tblGrid>
              <w:gridCol w:w="2194"/>
            </w:tblGrid>
            <w:tr w:rsidR="005C4C84" w:rsidRPr="004F71CE" w14:paraId="04251F99" w14:textId="77777777" w:rsidTr="00AF1C52">
              <w:trPr>
                <w:trHeight w:val="285"/>
              </w:trPr>
              <w:tc>
                <w:tcPr>
                  <w:tcW w:w="2290" w:type="dxa"/>
                  <w:tcBorders>
                    <w:top w:val="nil"/>
                    <w:left w:val="nil"/>
                    <w:bottom w:val="nil"/>
                    <w:right w:val="nil"/>
                  </w:tcBorders>
                  <w:vAlign w:val="bottom"/>
                </w:tcPr>
                <w:p w14:paraId="7502B6A0" w14:textId="77777777" w:rsidR="005C4C84" w:rsidRPr="004F71CE" w:rsidRDefault="005C4C84" w:rsidP="00AF1C52">
                  <w:pPr>
                    <w:jc w:val="right"/>
                    <w:rPr>
                      <w:noProof/>
                    </w:rPr>
                  </w:pPr>
                  <w:r w:rsidRPr="004F71CE">
                    <w:rPr>
                      <w:rFonts w:ascii="Calibri" w:hAnsi="Calibri" w:cs="Calibri"/>
                      <w:noProof/>
                      <w:color w:val="000000"/>
                    </w:rPr>
                    <w:t>4 251.4</w:t>
                  </w:r>
                </w:p>
              </w:tc>
            </w:tr>
          </w:tbl>
          <w:p w14:paraId="1F39F3A5" w14:textId="77777777" w:rsidR="005C4C84" w:rsidRPr="004F71CE" w:rsidRDefault="005C4C84" w:rsidP="00AF1C5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5C4C84" w:rsidRPr="004F71CE" w14:paraId="230EB8E9" w14:textId="77777777" w:rsidTr="00AF1C52">
              <w:trPr>
                <w:trHeight w:val="285"/>
              </w:trPr>
              <w:tc>
                <w:tcPr>
                  <w:tcW w:w="2290" w:type="dxa"/>
                  <w:tcBorders>
                    <w:top w:val="nil"/>
                    <w:left w:val="nil"/>
                    <w:bottom w:val="nil"/>
                    <w:right w:val="nil"/>
                  </w:tcBorders>
                  <w:vAlign w:val="bottom"/>
                </w:tcPr>
                <w:p w14:paraId="0D44CA3A" w14:textId="77777777" w:rsidR="005C4C84" w:rsidRPr="004F71CE" w:rsidRDefault="005C4C84" w:rsidP="00AF1C52">
                  <w:pPr>
                    <w:jc w:val="right"/>
                    <w:rPr>
                      <w:noProof/>
                    </w:rPr>
                  </w:pPr>
                  <w:r w:rsidRPr="004F71CE">
                    <w:rPr>
                      <w:rFonts w:ascii="Calibri" w:hAnsi="Calibri" w:cs="Calibri"/>
                      <w:noProof/>
                      <w:color w:val="000000"/>
                    </w:rPr>
                    <w:t>4 251.5</w:t>
                  </w:r>
                </w:p>
              </w:tc>
            </w:tr>
          </w:tbl>
          <w:p w14:paraId="06D89213" w14:textId="77777777" w:rsidR="005C4C84" w:rsidRPr="004F71CE" w:rsidRDefault="005C4C84" w:rsidP="00AF1C5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5C4C84" w:rsidRPr="004F71CE" w14:paraId="6DB7776E" w14:textId="77777777" w:rsidTr="00AF1C52">
              <w:trPr>
                <w:trHeight w:val="285"/>
              </w:trPr>
              <w:tc>
                <w:tcPr>
                  <w:tcW w:w="2290" w:type="dxa"/>
                  <w:tcBorders>
                    <w:top w:val="nil"/>
                    <w:left w:val="nil"/>
                    <w:bottom w:val="nil"/>
                    <w:right w:val="nil"/>
                  </w:tcBorders>
                  <w:vAlign w:val="bottom"/>
                </w:tcPr>
                <w:p w14:paraId="3D6884B2" w14:textId="77777777" w:rsidR="005C4C84" w:rsidRPr="004F71CE" w:rsidRDefault="005C4C84" w:rsidP="00AF1C52">
                  <w:pPr>
                    <w:jc w:val="right"/>
                    <w:rPr>
                      <w:noProof/>
                    </w:rPr>
                  </w:pPr>
                  <w:r w:rsidRPr="004F71CE">
                    <w:rPr>
                      <w:rFonts w:ascii="Calibri" w:hAnsi="Calibri" w:cs="Calibri"/>
                      <w:noProof/>
                      <w:color w:val="000000"/>
                    </w:rPr>
                    <w:t>100%</w:t>
                  </w:r>
                </w:p>
              </w:tc>
            </w:tr>
          </w:tbl>
          <w:p w14:paraId="326D9DD7" w14:textId="77777777" w:rsidR="005C4C84" w:rsidRPr="004F71CE" w:rsidRDefault="005C4C84" w:rsidP="00AF1C52">
            <w:pPr>
              <w:jc w:val="center"/>
              <w:cnfStyle w:val="000000000000" w:firstRow="0" w:lastRow="0" w:firstColumn="0" w:lastColumn="0" w:oddVBand="0" w:evenVBand="0" w:oddHBand="0" w:evenHBand="0" w:firstRowFirstColumn="0" w:firstRowLastColumn="0" w:lastRowFirstColumn="0" w:lastRowLastColumn="0"/>
              <w:rPr>
                <w:noProof/>
              </w:rPr>
            </w:pPr>
          </w:p>
        </w:tc>
      </w:tr>
      <w:tr w:rsidR="005C4C84" w:rsidRPr="004F71CE" w14:paraId="59809176"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4F946FAD" w14:textId="77777777" w:rsidR="005C4C84" w:rsidRPr="004F71CE" w:rsidRDefault="005C4C84" w:rsidP="00AF1C52">
            <w:pPr>
              <w:jc w:val="center"/>
              <w:rPr>
                <w:noProof/>
              </w:rPr>
            </w:pPr>
            <w:r w:rsidRPr="004F71CE">
              <w:rPr>
                <w:noProof/>
              </w:rPr>
              <w:t>Payments</w:t>
            </w:r>
          </w:p>
        </w:tc>
        <w:tc>
          <w:tcPr>
            <w:tcW w:w="2410" w:type="dxa"/>
          </w:tcPr>
          <w:tbl>
            <w:tblPr>
              <w:tblStyle w:val="TableGrid"/>
              <w:tblW w:w="0" w:type="auto"/>
              <w:tblLook w:val="06A0" w:firstRow="1" w:lastRow="0" w:firstColumn="1" w:lastColumn="0" w:noHBand="1" w:noVBand="1"/>
            </w:tblPr>
            <w:tblGrid>
              <w:gridCol w:w="2194"/>
            </w:tblGrid>
            <w:tr w:rsidR="005C4C84" w:rsidRPr="004F71CE" w14:paraId="1DC8B379" w14:textId="77777777" w:rsidTr="00AF1C52">
              <w:trPr>
                <w:trHeight w:val="285"/>
              </w:trPr>
              <w:tc>
                <w:tcPr>
                  <w:tcW w:w="2290" w:type="dxa"/>
                  <w:tcBorders>
                    <w:top w:val="nil"/>
                    <w:left w:val="nil"/>
                    <w:bottom w:val="nil"/>
                    <w:right w:val="nil"/>
                  </w:tcBorders>
                  <w:vAlign w:val="bottom"/>
                </w:tcPr>
                <w:p w14:paraId="0C8D24C8" w14:textId="77777777" w:rsidR="005C4C84" w:rsidRPr="004F71CE" w:rsidRDefault="005C4C84" w:rsidP="00AF1C52">
                  <w:pPr>
                    <w:jc w:val="right"/>
                    <w:rPr>
                      <w:noProof/>
                    </w:rPr>
                  </w:pPr>
                  <w:r w:rsidRPr="004F71CE">
                    <w:rPr>
                      <w:rFonts w:ascii="Calibri" w:hAnsi="Calibri" w:cs="Calibri"/>
                      <w:noProof/>
                      <w:color w:val="000000"/>
                    </w:rPr>
                    <w:t>3 942.2</w:t>
                  </w:r>
                </w:p>
              </w:tc>
            </w:tr>
          </w:tbl>
          <w:p w14:paraId="3799DFE1" w14:textId="77777777" w:rsidR="005C4C84" w:rsidRPr="004F71CE" w:rsidRDefault="005C4C84" w:rsidP="00AF1C5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252E9A0D" w14:textId="77777777" w:rsidR="005C4C84" w:rsidRPr="004F71CE" w:rsidRDefault="005C4C84" w:rsidP="00AF1C5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5C4C84" w:rsidRPr="004F71CE" w14:paraId="1B98AB19" w14:textId="77777777" w:rsidTr="00AF1C52">
              <w:trPr>
                <w:trHeight w:val="285"/>
              </w:trPr>
              <w:tc>
                <w:tcPr>
                  <w:tcW w:w="2235" w:type="dxa"/>
                  <w:tcBorders>
                    <w:top w:val="nil"/>
                    <w:left w:val="nil"/>
                    <w:bottom w:val="nil"/>
                    <w:right w:val="nil"/>
                  </w:tcBorders>
                  <w:vAlign w:val="bottom"/>
                </w:tcPr>
                <w:p w14:paraId="07D89A00" w14:textId="77777777" w:rsidR="005C4C84" w:rsidRPr="004F71CE" w:rsidRDefault="005C4C84" w:rsidP="00AF1C52">
                  <w:pPr>
                    <w:jc w:val="right"/>
                    <w:rPr>
                      <w:noProof/>
                    </w:rPr>
                  </w:pPr>
                  <w:r w:rsidRPr="004F71CE">
                    <w:rPr>
                      <w:rFonts w:ascii="Calibri" w:hAnsi="Calibri" w:cs="Calibri"/>
                      <w:noProof/>
                      <w:color w:val="000000"/>
                    </w:rPr>
                    <w:t>93%</w:t>
                  </w:r>
                </w:p>
              </w:tc>
            </w:tr>
          </w:tbl>
          <w:p w14:paraId="4AE8A14B" w14:textId="77777777" w:rsidR="005C4C84" w:rsidRPr="004F71CE" w:rsidRDefault="005C4C84" w:rsidP="00AF1C52">
            <w:pPr>
              <w:jc w:val="center"/>
              <w:cnfStyle w:val="000000000000" w:firstRow="0" w:lastRow="0" w:firstColumn="0" w:lastColumn="0" w:oddVBand="0" w:evenVBand="0" w:oddHBand="0" w:evenHBand="0" w:firstRowFirstColumn="0" w:firstRowLastColumn="0" w:lastRowFirstColumn="0" w:lastRowLastColumn="0"/>
              <w:rPr>
                <w:noProof/>
              </w:rPr>
            </w:pPr>
          </w:p>
        </w:tc>
      </w:tr>
    </w:tbl>
    <w:p w14:paraId="34594631" w14:textId="77777777" w:rsidR="005C4C84" w:rsidRPr="004F71CE" w:rsidRDefault="005C4C84" w:rsidP="005C4C84">
      <w:pPr>
        <w:pStyle w:val="ppoListHyphened-L1"/>
        <w:rPr>
          <w:noProof/>
        </w:rPr>
      </w:pPr>
      <w:r w:rsidRPr="004F71CE">
        <w:rPr>
          <w:noProof/>
        </w:rPr>
        <w:t>During the 2014-2020 multiannual financial framework, Copernicus committed EUR</w:t>
      </w:r>
      <w:r w:rsidRPr="004F71CE">
        <w:rPr>
          <w:rFonts w:ascii="Calibri" w:hAnsi="Calibri" w:cs="Calibri"/>
          <w:noProof/>
        </w:rPr>
        <w:t> </w:t>
      </w:r>
      <w:r w:rsidRPr="004F71CE">
        <w:rPr>
          <w:noProof/>
        </w:rPr>
        <w:t>4</w:t>
      </w:r>
      <w:r w:rsidRPr="004F71CE">
        <w:rPr>
          <w:rFonts w:ascii="Calibri" w:hAnsi="Calibri" w:cs="Calibri"/>
          <w:noProof/>
        </w:rPr>
        <w:t> </w:t>
      </w:r>
      <w:r w:rsidRPr="004F71CE">
        <w:rPr>
          <w:noProof/>
        </w:rPr>
        <w:t>251</w:t>
      </w:r>
      <w:r w:rsidRPr="004F71CE">
        <w:rPr>
          <w:rFonts w:ascii="Calibri" w:hAnsi="Calibri" w:cs="Calibri"/>
          <w:noProof/>
        </w:rPr>
        <w:t> </w:t>
      </w:r>
      <w:r w:rsidRPr="004F71CE">
        <w:rPr>
          <w:noProof/>
        </w:rPr>
        <w:t>million, making full use of the available appropriations and reaching 100% execution in terms of commitment appropriations. In terms of payment appropriations, payments made during that same period amounted to EUR</w:t>
      </w:r>
      <w:r w:rsidRPr="004F71CE">
        <w:rPr>
          <w:rFonts w:ascii="Calibri" w:hAnsi="Calibri" w:cs="Calibri"/>
          <w:noProof/>
        </w:rPr>
        <w:t> </w:t>
      </w:r>
      <w:r w:rsidRPr="004F71CE">
        <w:rPr>
          <w:noProof/>
        </w:rPr>
        <w:t>3</w:t>
      </w:r>
      <w:r w:rsidRPr="004F71CE">
        <w:rPr>
          <w:rFonts w:ascii="Calibri" w:hAnsi="Calibri" w:cs="Calibri"/>
          <w:noProof/>
        </w:rPr>
        <w:t> </w:t>
      </w:r>
      <w:r w:rsidRPr="004F71CE">
        <w:rPr>
          <w:noProof/>
        </w:rPr>
        <w:t>942</w:t>
      </w:r>
      <w:r w:rsidRPr="004F71CE">
        <w:rPr>
          <w:rFonts w:ascii="Calibri" w:hAnsi="Calibri" w:cs="Calibri"/>
          <w:noProof/>
        </w:rPr>
        <w:t> </w:t>
      </w:r>
      <w:r w:rsidRPr="004F71CE">
        <w:rPr>
          <w:noProof/>
        </w:rPr>
        <w:t>million, which represents a 93% rate of payment execution.</w:t>
      </w:r>
    </w:p>
    <w:p w14:paraId="5FE695F9" w14:textId="77777777" w:rsidR="005C4C84" w:rsidRPr="004F71CE" w:rsidRDefault="005C4C84" w:rsidP="005C4C84">
      <w:pPr>
        <w:pStyle w:val="ppoHeading5"/>
        <w:rPr>
          <w:noProof/>
        </w:rPr>
      </w:pPr>
      <w:r w:rsidRPr="004F71CE">
        <w:rPr>
          <w:noProof/>
        </w:rPr>
        <w:t>Performance assessment</w:t>
      </w:r>
    </w:p>
    <w:p w14:paraId="2C1458EF" w14:textId="77777777" w:rsidR="005C4C84" w:rsidRPr="004F71CE" w:rsidRDefault="005C4C84" w:rsidP="005C4C84">
      <w:pPr>
        <w:pStyle w:val="ppoHeading6"/>
        <w:rPr>
          <w:noProof/>
        </w:rPr>
      </w:pPr>
      <w:r w:rsidRPr="004F71CE">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5C4C84" w:rsidRPr="004F71CE" w14:paraId="70945F0C" w14:textId="77777777" w:rsidTr="00AF1C52">
        <w:trPr>
          <w:cnfStyle w:val="100000000000" w:firstRow="1" w:lastRow="0" w:firstColumn="0" w:lastColumn="0" w:oddVBand="0" w:evenVBand="0" w:oddHBand="0" w:evenHBand="0" w:firstRowFirstColumn="0" w:firstRowLastColumn="0" w:lastRowFirstColumn="0" w:lastRowLastColumn="0"/>
        </w:trPr>
        <w:tc>
          <w:tcPr>
            <w:tcW w:w="2330" w:type="dxa"/>
          </w:tcPr>
          <w:p w14:paraId="23A49CBF" w14:textId="77777777" w:rsidR="005C4C84" w:rsidRPr="004F71CE" w:rsidRDefault="005C4C84" w:rsidP="00AF1C52">
            <w:pPr>
              <w:rPr>
                <w:noProof/>
              </w:rPr>
            </w:pPr>
          </w:p>
        </w:tc>
        <w:tc>
          <w:tcPr>
            <w:tcW w:w="1100" w:type="dxa"/>
          </w:tcPr>
          <w:p w14:paraId="7D1E0FA5" w14:textId="77777777" w:rsidR="005C4C84" w:rsidRPr="004F71CE" w:rsidRDefault="005C4C84" w:rsidP="00AF1C52">
            <w:pPr>
              <w:rPr>
                <w:noProof/>
              </w:rPr>
            </w:pPr>
            <w:r w:rsidRPr="004F71CE">
              <w:rPr>
                <w:noProof/>
              </w:rPr>
              <w:t>Baseline</w:t>
            </w:r>
          </w:p>
        </w:tc>
        <w:tc>
          <w:tcPr>
            <w:tcW w:w="1526" w:type="dxa"/>
          </w:tcPr>
          <w:p w14:paraId="054B18FE" w14:textId="77777777" w:rsidR="005C4C84" w:rsidRPr="000A46E3" w:rsidRDefault="005C4C84" w:rsidP="00AF1C52">
            <w:pPr>
              <w:rPr>
                <w:rFonts w:ascii="Calibri" w:hAnsi="Calibri"/>
                <w:noProof/>
              </w:rPr>
            </w:pPr>
            <w:r w:rsidRPr="004F71CE">
              <w:rPr>
                <w:noProof/>
              </w:rPr>
              <w:t>Progress</w:t>
            </w:r>
            <w:r w:rsidRPr="004F71CE">
              <w:rPr>
                <w:rFonts w:ascii="Calibri" w:hAnsi="Calibri" w:cs="Calibri"/>
                <w:noProof/>
              </w:rPr>
              <w:t> (*)</w:t>
            </w:r>
          </w:p>
        </w:tc>
        <w:tc>
          <w:tcPr>
            <w:tcW w:w="1532" w:type="dxa"/>
          </w:tcPr>
          <w:p w14:paraId="2D0A790E" w14:textId="77777777" w:rsidR="005C4C84" w:rsidRPr="004F71CE" w:rsidRDefault="005C4C84" w:rsidP="00AF1C52">
            <w:pPr>
              <w:rPr>
                <w:noProof/>
              </w:rPr>
            </w:pPr>
            <w:r w:rsidRPr="004F71CE">
              <w:rPr>
                <w:noProof/>
              </w:rPr>
              <w:t>Target</w:t>
            </w:r>
          </w:p>
        </w:tc>
        <w:tc>
          <w:tcPr>
            <w:tcW w:w="1572" w:type="dxa"/>
          </w:tcPr>
          <w:p w14:paraId="05D2CB15" w14:textId="77777777" w:rsidR="005C4C84" w:rsidRPr="004F71CE" w:rsidRDefault="005C4C84" w:rsidP="00AF1C52">
            <w:pPr>
              <w:rPr>
                <w:noProof/>
              </w:rPr>
            </w:pPr>
            <w:r w:rsidRPr="004F71CE">
              <w:rPr>
                <w:noProof/>
              </w:rPr>
              <w:t>Results</w:t>
            </w:r>
          </w:p>
        </w:tc>
        <w:tc>
          <w:tcPr>
            <w:tcW w:w="1579" w:type="dxa"/>
          </w:tcPr>
          <w:p w14:paraId="02C59290" w14:textId="77777777" w:rsidR="005C4C84" w:rsidRPr="004F71CE" w:rsidRDefault="005C4C84" w:rsidP="00AF1C52">
            <w:pPr>
              <w:rPr>
                <w:noProof/>
              </w:rPr>
            </w:pPr>
            <w:r w:rsidRPr="004F71CE">
              <w:rPr>
                <w:noProof/>
              </w:rPr>
              <w:t>Assessment</w:t>
            </w:r>
          </w:p>
        </w:tc>
      </w:tr>
      <w:tr w:rsidR="005C4C84" w:rsidRPr="004F71CE" w14:paraId="52D104A4" w14:textId="77777777" w:rsidTr="00AF1C52">
        <w:trPr>
          <w:cnfStyle w:val="000000100000" w:firstRow="0" w:lastRow="0" w:firstColumn="0" w:lastColumn="0" w:oddVBand="0" w:evenVBand="0" w:oddHBand="1" w:evenHBand="0" w:firstRowFirstColumn="0" w:firstRowLastColumn="0" w:lastRowFirstColumn="0" w:lastRowLastColumn="0"/>
        </w:trPr>
        <w:tc>
          <w:tcPr>
            <w:tcW w:w="2330" w:type="dxa"/>
          </w:tcPr>
          <w:p w14:paraId="070F4D2C" w14:textId="77777777" w:rsidR="005C4C84" w:rsidRPr="004F71CE" w:rsidRDefault="005C4C84" w:rsidP="00AF1C52">
            <w:pPr>
              <w:rPr>
                <w:noProof/>
              </w:rPr>
            </w:pPr>
            <w:r w:rsidRPr="004F71CE">
              <w:rPr>
                <w:noProof/>
              </w:rPr>
              <w:t>Space infrastructure</w:t>
            </w:r>
            <w:r w:rsidRPr="004F71CE">
              <w:rPr>
                <w:rFonts w:ascii="Calibri" w:hAnsi="Calibri" w:cs="Calibri"/>
                <w:noProof/>
              </w:rPr>
              <w:t> </w:t>
            </w:r>
            <w:r w:rsidRPr="004F71CE">
              <w:rPr>
                <w:noProof/>
              </w:rPr>
              <w:t>– satellites deployed</w:t>
            </w:r>
          </w:p>
        </w:tc>
        <w:tc>
          <w:tcPr>
            <w:tcW w:w="1100" w:type="dxa"/>
          </w:tcPr>
          <w:p w14:paraId="71103420" w14:textId="77777777" w:rsidR="005C4C84" w:rsidRPr="004F71CE" w:rsidRDefault="005C4C84" w:rsidP="00AF1C52">
            <w:pPr>
              <w:jc w:val="center"/>
              <w:rPr>
                <w:noProof/>
              </w:rPr>
            </w:pPr>
          </w:p>
        </w:tc>
        <w:tc>
          <w:tcPr>
            <w:tcW w:w="1526" w:type="dxa"/>
          </w:tcPr>
          <w:p w14:paraId="15AC90BC" w14:textId="77777777" w:rsidR="005C4C84" w:rsidRPr="004F71CE" w:rsidRDefault="005C4C84" w:rsidP="00AF1C52">
            <w:pPr>
              <w:jc w:val="center"/>
              <w:rPr>
                <w:b/>
                <w:noProof/>
              </w:rPr>
            </w:pPr>
            <w:r w:rsidRPr="004F71CE">
              <w:rPr>
                <w:noProof/>
              </w:rPr>
              <w:t>100%</w:t>
            </w:r>
          </w:p>
        </w:tc>
        <w:tc>
          <w:tcPr>
            <w:tcW w:w="1532" w:type="dxa"/>
          </w:tcPr>
          <w:p w14:paraId="18393F5C" w14:textId="77777777" w:rsidR="005C4C84" w:rsidRPr="004F71CE" w:rsidRDefault="005C4C84" w:rsidP="00AF1C52">
            <w:pPr>
              <w:jc w:val="center"/>
              <w:rPr>
                <w:noProof/>
              </w:rPr>
            </w:pPr>
            <w:r w:rsidRPr="004F71CE">
              <w:rPr>
                <w:noProof/>
              </w:rPr>
              <w:t>8</w:t>
            </w:r>
          </w:p>
        </w:tc>
        <w:tc>
          <w:tcPr>
            <w:tcW w:w="1572" w:type="dxa"/>
          </w:tcPr>
          <w:p w14:paraId="674075B3" w14:textId="77777777" w:rsidR="005C4C84" w:rsidRPr="004F71CE" w:rsidRDefault="005C4C84" w:rsidP="00AF1C52">
            <w:pPr>
              <w:jc w:val="center"/>
              <w:rPr>
                <w:noProof/>
              </w:rPr>
            </w:pPr>
            <w:r w:rsidRPr="004F71CE">
              <w:rPr>
                <w:noProof/>
              </w:rPr>
              <w:t>8 out of 8</w:t>
            </w:r>
          </w:p>
        </w:tc>
        <w:tc>
          <w:tcPr>
            <w:tcW w:w="1579" w:type="dxa"/>
          </w:tcPr>
          <w:p w14:paraId="2EF04698" w14:textId="14EF5DA8" w:rsidR="005C4C84" w:rsidRPr="004F71CE" w:rsidRDefault="005C4C84" w:rsidP="00AF1C52">
            <w:pPr>
              <w:jc w:val="center"/>
              <w:rPr>
                <w:noProof/>
              </w:rPr>
            </w:pPr>
            <w:r w:rsidRPr="004F71CE">
              <w:rPr>
                <w:noProof/>
              </w:rPr>
              <w:t>On track</w:t>
            </w:r>
          </w:p>
        </w:tc>
      </w:tr>
      <w:tr w:rsidR="005C4C84" w:rsidRPr="004F71CE" w14:paraId="55B92653" w14:textId="77777777" w:rsidTr="00AF1C52">
        <w:trPr>
          <w:cnfStyle w:val="000000010000" w:firstRow="0" w:lastRow="0" w:firstColumn="0" w:lastColumn="0" w:oddVBand="0" w:evenVBand="0" w:oddHBand="0" w:evenHBand="1" w:firstRowFirstColumn="0" w:firstRowLastColumn="0" w:lastRowFirstColumn="0" w:lastRowLastColumn="0"/>
        </w:trPr>
        <w:tc>
          <w:tcPr>
            <w:tcW w:w="2330" w:type="dxa"/>
          </w:tcPr>
          <w:p w14:paraId="37ABF619" w14:textId="77777777" w:rsidR="005C4C84" w:rsidRPr="004F71CE" w:rsidRDefault="005C4C84" w:rsidP="00AF1C52">
            <w:pPr>
              <w:rPr>
                <w:noProof/>
              </w:rPr>
            </w:pPr>
            <w:r w:rsidRPr="004F71CE">
              <w:rPr>
                <w:noProof/>
              </w:rPr>
              <w:t>Number of services receiving in situ data</w:t>
            </w:r>
          </w:p>
        </w:tc>
        <w:tc>
          <w:tcPr>
            <w:tcW w:w="1100" w:type="dxa"/>
          </w:tcPr>
          <w:p w14:paraId="5B0CF3D9" w14:textId="77777777" w:rsidR="005C4C84" w:rsidRPr="004F71CE" w:rsidRDefault="005C4C84" w:rsidP="00AF1C52">
            <w:pPr>
              <w:jc w:val="center"/>
              <w:rPr>
                <w:noProof/>
              </w:rPr>
            </w:pPr>
          </w:p>
        </w:tc>
        <w:tc>
          <w:tcPr>
            <w:tcW w:w="1526" w:type="dxa"/>
          </w:tcPr>
          <w:p w14:paraId="1AF3B2B6" w14:textId="77777777" w:rsidR="005C4C84" w:rsidRPr="004F71CE" w:rsidRDefault="005C4C84" w:rsidP="00AF1C52">
            <w:pPr>
              <w:jc w:val="center"/>
              <w:rPr>
                <w:b/>
                <w:noProof/>
              </w:rPr>
            </w:pPr>
            <w:r w:rsidRPr="004F71CE">
              <w:rPr>
                <w:noProof/>
              </w:rPr>
              <w:t>100%</w:t>
            </w:r>
          </w:p>
        </w:tc>
        <w:tc>
          <w:tcPr>
            <w:tcW w:w="1532" w:type="dxa"/>
          </w:tcPr>
          <w:p w14:paraId="121BB2A8" w14:textId="77777777" w:rsidR="005C4C84" w:rsidRPr="004F71CE" w:rsidRDefault="005C4C84" w:rsidP="00AF1C52">
            <w:pPr>
              <w:jc w:val="center"/>
              <w:rPr>
                <w:noProof/>
              </w:rPr>
            </w:pPr>
            <w:r w:rsidRPr="004F71CE">
              <w:rPr>
                <w:noProof/>
              </w:rPr>
              <w:t>6</w:t>
            </w:r>
          </w:p>
        </w:tc>
        <w:tc>
          <w:tcPr>
            <w:tcW w:w="1572" w:type="dxa"/>
          </w:tcPr>
          <w:p w14:paraId="4BA195E5" w14:textId="77777777" w:rsidR="005C4C84" w:rsidRPr="004F71CE" w:rsidRDefault="005C4C84" w:rsidP="00AF1C52">
            <w:pPr>
              <w:jc w:val="center"/>
              <w:rPr>
                <w:noProof/>
              </w:rPr>
            </w:pPr>
            <w:r w:rsidRPr="004F71CE">
              <w:rPr>
                <w:noProof/>
              </w:rPr>
              <w:t>6 out of 6</w:t>
            </w:r>
          </w:p>
        </w:tc>
        <w:tc>
          <w:tcPr>
            <w:tcW w:w="1579" w:type="dxa"/>
          </w:tcPr>
          <w:p w14:paraId="11005B3E" w14:textId="5BF2BD7E" w:rsidR="005C4C84" w:rsidRPr="004F71CE" w:rsidRDefault="005C4C84" w:rsidP="00AF1C52">
            <w:pPr>
              <w:jc w:val="center"/>
              <w:rPr>
                <w:noProof/>
              </w:rPr>
            </w:pPr>
            <w:r w:rsidRPr="004F71CE">
              <w:rPr>
                <w:noProof/>
              </w:rPr>
              <w:t>On track</w:t>
            </w:r>
          </w:p>
        </w:tc>
      </w:tr>
    </w:tbl>
    <w:p w14:paraId="3B001EF6" w14:textId="77777777" w:rsidR="005C4C84" w:rsidRPr="004F71CE" w:rsidRDefault="005C4C84" w:rsidP="005C4C84">
      <w:pPr>
        <w:pStyle w:val="FootnoteText"/>
        <w:rPr>
          <w:noProof/>
        </w:rPr>
      </w:pPr>
      <w:r w:rsidRPr="004F71CE">
        <w:rPr>
          <w:noProof/>
        </w:rPr>
        <w:t>(*) % of target achieved by the end of 2021.</w:t>
      </w:r>
    </w:p>
    <w:p w14:paraId="0EB090EC" w14:textId="77777777" w:rsidR="005C4C84" w:rsidRPr="004F71CE" w:rsidRDefault="005C4C84" w:rsidP="005C4C84">
      <w:pPr>
        <w:pStyle w:val="ppoListHyphened-L1"/>
        <w:numPr>
          <w:ilvl w:val="0"/>
          <w:numId w:val="0"/>
        </w:numPr>
        <w:rPr>
          <w:noProof/>
        </w:rPr>
      </w:pPr>
      <w:r w:rsidRPr="004F71CE">
        <w:rPr>
          <w:noProof/>
        </w:rPr>
        <w:t>To ensure continuity during the transition from the old to the new multiannual financial framework, some core programme activities for Copernicus, carried out in 2021, were financed under the previous multiannual financial framework budget. These activities focused on the following points.</w:t>
      </w:r>
    </w:p>
    <w:p w14:paraId="26B46123" w14:textId="77777777" w:rsidR="005C4C84" w:rsidRPr="004F71CE" w:rsidRDefault="005C4C84" w:rsidP="005C4C84">
      <w:pPr>
        <w:pStyle w:val="ppoListHyphened-L1"/>
        <w:numPr>
          <w:ilvl w:val="0"/>
          <w:numId w:val="69"/>
        </w:numPr>
        <w:rPr>
          <w:noProof/>
        </w:rPr>
      </w:pPr>
      <w:r w:rsidRPr="004F71CE">
        <w:rPr>
          <w:noProof/>
        </w:rPr>
        <w:t>The Copernicus cross-cutting in situ network, which produces quality-assured information and the maintenance of the Copernicus In Situ Information System and the Copernicus Reference Data Access Portal. This facilitated access to in situ data for service providers active in core service production.</w:t>
      </w:r>
    </w:p>
    <w:p w14:paraId="58F093C1" w14:textId="77777777" w:rsidR="00D40083" w:rsidRDefault="005C4C84" w:rsidP="005C4C84">
      <w:pPr>
        <w:pStyle w:val="ppoListHyphened-L1"/>
        <w:numPr>
          <w:ilvl w:val="0"/>
          <w:numId w:val="69"/>
        </w:numPr>
        <w:rPr>
          <w:noProof/>
        </w:rPr>
        <w:sectPr w:rsidR="00D40083" w:rsidSect="00AF1C52">
          <w:headerReference w:type="even" r:id="rId195"/>
          <w:headerReference w:type="default" r:id="rId196"/>
          <w:footerReference w:type="even" r:id="rId197"/>
          <w:footerReference w:type="default" r:id="rId198"/>
          <w:headerReference w:type="first" r:id="rId199"/>
          <w:footerReference w:type="first" r:id="rId200"/>
          <w:type w:val="continuous"/>
          <w:pgSz w:w="11906" w:h="16838" w:code="9"/>
          <w:pgMar w:top="1134" w:right="1134" w:bottom="964" w:left="1134" w:header="431" w:footer="431" w:gutter="0"/>
          <w:cols w:space="720"/>
          <w:titlePg/>
          <w:docGrid w:linePitch="360"/>
        </w:sectPr>
      </w:pPr>
      <w:r w:rsidRPr="004F71CE">
        <w:rPr>
          <w:noProof/>
        </w:rPr>
        <w:t>The Copernicus Sentinel-6 Michael Freilich satellite in-orbit commissioning review was completed in 2021. It established that with eight operational satellites in orbit, complemented by a ground infrastructure and in situ measurements, Copernicus’s monitoring capacities have been deployed successfully.</w:t>
      </w:r>
    </w:p>
    <w:p w14:paraId="1B625A83" w14:textId="77777777" w:rsidR="00D40083" w:rsidRPr="002D1A58" w:rsidRDefault="00D40083" w:rsidP="00D40083">
      <w:pPr>
        <w:pStyle w:val="StyleppoHeading3WhiteLeft0cm"/>
        <w:rPr>
          <w:noProof/>
          <w:sz w:val="40"/>
          <w:szCs w:val="40"/>
          <w:lang w:val="en-IE"/>
        </w:rPr>
      </w:pPr>
    </w:p>
    <w:p w14:paraId="2737092A" w14:textId="77777777" w:rsidR="00D40083" w:rsidRPr="002D1A58" w:rsidRDefault="00D40083" w:rsidP="00D40083">
      <w:pPr>
        <w:pStyle w:val="StyleppoHeading3WhiteLeft0cm"/>
        <w:rPr>
          <w:noProof/>
          <w:sz w:val="60"/>
          <w:szCs w:val="60"/>
          <w:lang w:val="en-IE"/>
        </w:rPr>
      </w:pPr>
      <w:bookmarkStart w:id="95" w:name="_Toc102086341"/>
      <w:r w:rsidRPr="002D1A58">
        <w:rPr>
          <w:noProof/>
          <w:sz w:val="60"/>
          <w:szCs w:val="60"/>
          <w:lang w:val="en-IE"/>
        </w:rPr>
        <w:t>REGIONAL POLICY</w:t>
      </w:r>
      <w:bookmarkEnd w:id="95"/>
    </w:p>
    <w:p w14:paraId="0567653B" w14:textId="77777777" w:rsidR="00D40083" w:rsidRPr="002D1A58" w:rsidRDefault="00D40083" w:rsidP="00D40083">
      <w:pPr>
        <w:pStyle w:val="StyleppoProgrammenameWhiteLeft01cm"/>
        <w:rPr>
          <w:noProof/>
          <w:lang w:val="en-IE"/>
        </w:rPr>
      </w:pPr>
      <w:r w:rsidRPr="002D1A58">
        <w:rPr>
          <w:noProof/>
          <w:lang w:val="en-IE"/>
        </w:rPr>
        <w:t xml:space="preserve">COHESION FUND AND EUROPEAN REGIONAL DEVELOPMENT FUND </w:t>
      </w:r>
    </w:p>
    <w:p w14:paraId="6AA33B28" w14:textId="77777777" w:rsidR="00D40083" w:rsidRPr="002D1A58" w:rsidRDefault="00D40083" w:rsidP="00D40083">
      <w:pPr>
        <w:pStyle w:val="ppoHeading4Green"/>
        <w:rPr>
          <w:noProof/>
          <w:lang w:val="en-IE"/>
        </w:rPr>
      </w:pPr>
      <w:r w:rsidRPr="002D1A58">
        <w:rPr>
          <w:noProof/>
          <w:lang w:val="en-IE"/>
        </w:rPr>
        <w:t>Programme in a nutshell</w:t>
      </w:r>
    </w:p>
    <w:p w14:paraId="045078EA" w14:textId="77777777" w:rsidR="00D40083" w:rsidRPr="002D1A58" w:rsidRDefault="00D40083" w:rsidP="00D40083">
      <w:pPr>
        <w:pStyle w:val="ppoHeading5"/>
        <w:rPr>
          <w:noProof/>
          <w:lang w:val="en-IE"/>
        </w:rPr>
      </w:pPr>
      <w:r w:rsidRPr="002D1A58">
        <w:rPr>
          <w:noProof/>
          <w:lang w:val="en-IE"/>
        </w:rPr>
        <w:t>Concrete examples of achievements</w:t>
      </w:r>
      <w:r w:rsidRPr="002D1A58">
        <w:rPr>
          <w:rFonts w:ascii="Calibri" w:hAnsi="Calibri" w:cs="Calibri"/>
          <w:noProof/>
          <w:lang w:val="en-IE"/>
        </w:rPr>
        <w:t> </w:t>
      </w:r>
      <w:r w:rsidRPr="002D1A58">
        <w:rPr>
          <w:noProof/>
          <w:lang w:val="en-IE"/>
        </w:rPr>
        <w:t>(*)</w:t>
      </w:r>
    </w:p>
    <w:tbl>
      <w:tblPr>
        <w:tblStyle w:val="PPO2021"/>
        <w:tblW w:w="9639" w:type="dxa"/>
        <w:tblInd w:w="0" w:type="dxa"/>
        <w:tblLook w:val="0200" w:firstRow="0" w:lastRow="0" w:firstColumn="0" w:lastColumn="0" w:noHBand="1" w:noVBand="0"/>
      </w:tblPr>
      <w:tblGrid>
        <w:gridCol w:w="2410"/>
        <w:gridCol w:w="2409"/>
        <w:gridCol w:w="2410"/>
        <w:gridCol w:w="2410"/>
      </w:tblGrid>
      <w:tr w:rsidR="00D40083" w:rsidRPr="002D1A58" w14:paraId="302089DB" w14:textId="77777777" w:rsidTr="00AF1C52">
        <w:tc>
          <w:tcPr>
            <w:tcW w:w="2410" w:type="dxa"/>
          </w:tcPr>
          <w:p w14:paraId="1E3B4D20" w14:textId="77777777" w:rsidR="00D40083" w:rsidRPr="002D1A58" w:rsidRDefault="00D40083" w:rsidP="00AF1C52">
            <w:pPr>
              <w:pStyle w:val="ppoTableacheivementvalue"/>
              <w:rPr>
                <w:noProof/>
                <w:lang w:val="en-IE"/>
              </w:rPr>
            </w:pPr>
            <w:r w:rsidRPr="002D1A58">
              <w:rPr>
                <w:noProof/>
                <w:lang w:val="en-IE"/>
              </w:rPr>
              <w:t>4.4</w:t>
            </w:r>
            <w:r w:rsidRPr="002D1A58">
              <w:rPr>
                <w:rFonts w:ascii="Calibri" w:hAnsi="Calibri" w:cs="Calibri"/>
                <w:noProof/>
                <w:lang w:val="en-IE"/>
              </w:rPr>
              <w:t> </w:t>
            </w:r>
            <w:r w:rsidRPr="002D1A58">
              <w:rPr>
                <w:noProof/>
                <w:lang w:val="en-IE"/>
              </w:rPr>
              <w:t>million</w:t>
            </w:r>
          </w:p>
          <w:p w14:paraId="640A8D3B" w14:textId="77777777" w:rsidR="00D40083" w:rsidRPr="002D1A58" w:rsidRDefault="00D40083" w:rsidP="00962E3C">
            <w:pPr>
              <w:jc w:val="left"/>
              <w:rPr>
                <w:noProof/>
                <w:lang w:val="en-IE"/>
              </w:rPr>
            </w:pPr>
            <w:r w:rsidRPr="002D1A58">
              <w:rPr>
                <w:noProof/>
                <w:lang w:val="en-IE"/>
              </w:rPr>
              <w:t>tonnes of CO</w:t>
            </w:r>
            <w:r w:rsidRPr="002D1A58">
              <w:rPr>
                <w:noProof/>
                <w:vertAlign w:val="subscript"/>
                <w:lang w:val="en-IE"/>
              </w:rPr>
              <w:t>2</w:t>
            </w:r>
            <w:r w:rsidRPr="002D1A58">
              <w:rPr>
                <w:noProof/>
                <w:lang w:val="en-IE"/>
              </w:rPr>
              <w:t xml:space="preserve"> equivalent were saved by the end of 2020.</w:t>
            </w:r>
          </w:p>
        </w:tc>
        <w:tc>
          <w:tcPr>
            <w:cnfStyle w:val="000001000000" w:firstRow="0" w:lastRow="0" w:firstColumn="0" w:lastColumn="0" w:oddVBand="0" w:evenVBand="1" w:oddHBand="0" w:evenHBand="0" w:firstRowFirstColumn="0" w:firstRowLastColumn="0" w:lastRowFirstColumn="0" w:lastRowLastColumn="0"/>
            <w:tcW w:w="2409" w:type="dxa"/>
          </w:tcPr>
          <w:p w14:paraId="03D8EAA7" w14:textId="77777777" w:rsidR="00D40083" w:rsidRPr="002D1A58" w:rsidRDefault="00D40083" w:rsidP="00AF1C52">
            <w:pPr>
              <w:pStyle w:val="ppoTableacheivementvalue"/>
              <w:rPr>
                <w:noProof/>
                <w:lang w:val="en-IE"/>
              </w:rPr>
            </w:pPr>
            <w:r w:rsidRPr="002D1A58">
              <w:rPr>
                <w:noProof/>
                <w:lang w:val="en-IE"/>
              </w:rPr>
              <w:t>5.5</w:t>
            </w:r>
            <w:r w:rsidRPr="002D1A58">
              <w:rPr>
                <w:rFonts w:ascii="Calibri" w:hAnsi="Calibri" w:cs="Calibri"/>
                <w:noProof/>
                <w:lang w:val="en-IE"/>
              </w:rPr>
              <w:t> </w:t>
            </w:r>
            <w:r w:rsidRPr="002D1A58">
              <w:rPr>
                <w:noProof/>
                <w:lang w:val="en-IE"/>
              </w:rPr>
              <w:t>million</w:t>
            </w:r>
          </w:p>
          <w:p w14:paraId="33AEB075" w14:textId="77777777" w:rsidR="00D40083" w:rsidRPr="002D1A58" w:rsidRDefault="00D40083" w:rsidP="00962E3C">
            <w:pPr>
              <w:jc w:val="left"/>
              <w:rPr>
                <w:noProof/>
                <w:lang w:val="en-IE"/>
              </w:rPr>
            </w:pPr>
            <w:r w:rsidRPr="002D1A58">
              <w:rPr>
                <w:noProof/>
                <w:lang w:val="en-IE"/>
              </w:rPr>
              <w:t>additional households had broadband access of at least 30 megabits per second by the end of 2020.</w:t>
            </w:r>
          </w:p>
        </w:tc>
        <w:tc>
          <w:tcPr>
            <w:tcW w:w="2410" w:type="dxa"/>
            <w:tcBorders>
              <w:bottom w:val="single" w:sz="4" w:space="0" w:color="8C8C8C"/>
            </w:tcBorders>
          </w:tcPr>
          <w:p w14:paraId="4FB43D4A" w14:textId="77777777" w:rsidR="00D40083" w:rsidRPr="002D1A58" w:rsidRDefault="00D40083" w:rsidP="00AF1C52">
            <w:pPr>
              <w:pStyle w:val="ppoTableacheivementvalue"/>
              <w:cnfStyle w:val="000000000000" w:firstRow="0" w:lastRow="0" w:firstColumn="0" w:lastColumn="0" w:oddVBand="0" w:evenVBand="0" w:oddHBand="0" w:evenHBand="0" w:firstRowFirstColumn="0" w:firstRowLastColumn="0" w:lastRowFirstColumn="0" w:lastRowLastColumn="0"/>
              <w:rPr>
                <w:noProof/>
                <w:lang w:val="en-IE"/>
              </w:rPr>
            </w:pPr>
            <w:r w:rsidRPr="002D1A58">
              <w:rPr>
                <w:noProof/>
                <w:lang w:val="en-IE"/>
              </w:rPr>
              <w:t>238</w:t>
            </w:r>
            <w:r w:rsidRPr="002D1A58">
              <w:rPr>
                <w:rFonts w:ascii="Calibri" w:hAnsi="Calibri" w:cs="Calibri"/>
                <w:noProof/>
                <w:lang w:val="en-IE"/>
              </w:rPr>
              <w:t> </w:t>
            </w:r>
            <w:r w:rsidRPr="002D1A58">
              <w:rPr>
                <w:noProof/>
                <w:lang w:val="en-IE"/>
              </w:rPr>
              <w:t>000</w:t>
            </w:r>
          </w:p>
          <w:p w14:paraId="50A00FFB" w14:textId="77777777" w:rsidR="00D40083" w:rsidRPr="002D1A58" w:rsidRDefault="00D40083" w:rsidP="00962E3C">
            <w:pPr>
              <w:jc w:val="left"/>
              <w:cnfStyle w:val="000000000000" w:firstRow="0" w:lastRow="0" w:firstColumn="0" w:lastColumn="0" w:oddVBand="0" w:evenVBand="0" w:oddHBand="0" w:evenHBand="0" w:firstRowFirstColumn="0" w:firstRowLastColumn="0" w:lastRowFirstColumn="0" w:lastRowLastColumn="0"/>
              <w:rPr>
                <w:noProof/>
                <w:lang w:val="en-IE"/>
              </w:rPr>
            </w:pPr>
            <w:r w:rsidRPr="002D1A58">
              <w:rPr>
                <w:noProof/>
                <w:lang w:val="en-IE"/>
              </w:rPr>
              <w:t>jobs were created in supported enterprises by the end of 2020.</w:t>
            </w:r>
          </w:p>
        </w:tc>
        <w:tc>
          <w:tcPr>
            <w:cnfStyle w:val="000001000000" w:firstRow="0" w:lastRow="0" w:firstColumn="0" w:lastColumn="0" w:oddVBand="0" w:evenVBand="1" w:oddHBand="0" w:evenHBand="0" w:firstRowFirstColumn="0" w:firstRowLastColumn="0" w:lastRowFirstColumn="0" w:lastRowLastColumn="0"/>
            <w:tcW w:w="2410" w:type="dxa"/>
          </w:tcPr>
          <w:p w14:paraId="2791F0B1" w14:textId="77777777" w:rsidR="00D40083" w:rsidRPr="002D1A58" w:rsidRDefault="00D40083" w:rsidP="00AF1C52">
            <w:pPr>
              <w:pStyle w:val="ppoTableacheivementvalue"/>
              <w:rPr>
                <w:noProof/>
                <w:lang w:val="en-IE"/>
              </w:rPr>
            </w:pPr>
            <w:r w:rsidRPr="002D1A58">
              <w:rPr>
                <w:noProof/>
                <w:lang w:val="en-IE"/>
              </w:rPr>
              <w:t>52</w:t>
            </w:r>
            <w:r w:rsidRPr="002D1A58">
              <w:rPr>
                <w:rFonts w:ascii="Calibri" w:hAnsi="Calibri" w:cs="Calibri"/>
                <w:noProof/>
                <w:lang w:val="en-IE"/>
              </w:rPr>
              <w:t> </w:t>
            </w:r>
            <w:r w:rsidRPr="002D1A58">
              <w:rPr>
                <w:noProof/>
                <w:lang w:val="en-IE"/>
              </w:rPr>
              <w:t>million</w:t>
            </w:r>
          </w:p>
          <w:p w14:paraId="24CB8E58" w14:textId="77777777" w:rsidR="00D40083" w:rsidRPr="002D1A58" w:rsidRDefault="00D40083" w:rsidP="00962E3C">
            <w:pPr>
              <w:jc w:val="left"/>
              <w:rPr>
                <w:noProof/>
                <w:lang w:val="en-IE"/>
              </w:rPr>
            </w:pPr>
            <w:r w:rsidRPr="002D1A58">
              <w:rPr>
                <w:noProof/>
                <w:lang w:val="en-IE"/>
              </w:rPr>
              <w:t>people benefited from new or modernised health services by the end of 2020.</w:t>
            </w:r>
          </w:p>
        </w:tc>
      </w:tr>
    </w:tbl>
    <w:p w14:paraId="6B555FC3" w14:textId="77777777" w:rsidR="00D40083" w:rsidRPr="002D1A58" w:rsidRDefault="00D40083" w:rsidP="00D40083">
      <w:pPr>
        <w:pStyle w:val="FootnoteText"/>
        <w:rPr>
          <w:rFonts w:eastAsiaTheme="minorEastAsia"/>
          <w:noProof/>
          <w:lang w:val="en-IE"/>
        </w:rPr>
      </w:pPr>
      <w:r w:rsidRPr="002D1A58">
        <w:rPr>
          <w:rFonts w:eastAsiaTheme="minorEastAsia"/>
          <w:noProof/>
          <w:lang w:val="en-IE"/>
        </w:rPr>
        <w:t xml:space="preserve">* </w:t>
      </w:r>
      <w:r>
        <w:rPr>
          <w:rFonts w:eastAsiaTheme="minorEastAsia"/>
          <w:noProof/>
          <w:lang w:val="en-IE"/>
        </w:rPr>
        <w:tab/>
      </w:r>
      <w:r w:rsidRPr="002D1A58">
        <w:rPr>
          <w:rFonts w:eastAsiaTheme="minorEastAsia"/>
          <w:noProof/>
          <w:lang w:val="en-IE"/>
        </w:rPr>
        <w:t>Key achievements in the table state which period they relate to. Many come from the implementation of the predecessor programmes under the 2014-2020 multiannual financial framework. This is expected and is due to the multiannual life cycle of EU programmes and the projects they finance where results often follow only after completion of the programmes.</w:t>
      </w:r>
    </w:p>
    <w:p w14:paraId="4547A770" w14:textId="77777777" w:rsidR="00D40083" w:rsidRPr="002D1A58" w:rsidRDefault="00D40083" w:rsidP="00D40083">
      <w:pPr>
        <w:pStyle w:val="ppoHeading5"/>
        <w:rPr>
          <w:noProof/>
          <w:lang w:val="en-IE"/>
        </w:rPr>
      </w:pPr>
      <w:r w:rsidRPr="002D1A58">
        <w:rPr>
          <w:noProof/>
          <w:lang w:val="en-IE"/>
        </w:rPr>
        <w:t>Budget for 2021-2027</w:t>
      </w:r>
    </w:p>
    <w:p w14:paraId="68EF473B" w14:textId="77777777" w:rsidR="00D40083" w:rsidRPr="002D1A58" w:rsidRDefault="00D40083" w:rsidP="00D40083">
      <w:pPr>
        <w:rPr>
          <w:noProof/>
          <w:lang w:val="en-IE" w:eastAsia="en-GB"/>
        </w:rPr>
      </w:pPr>
      <w:r w:rsidRPr="002D1A58">
        <w:rPr>
          <w:noProof/>
          <w:lang w:val="en-IE" w:eastAsia="en-GB"/>
        </w:rPr>
        <w:t>Regional policy (million EUR)</w:t>
      </w:r>
    </w:p>
    <w:tbl>
      <w:tblPr>
        <w:tblStyle w:val="PlainTable2"/>
        <w:tblW w:w="0" w:type="auto"/>
        <w:tblInd w:w="288" w:type="dxa"/>
        <w:tblLook w:val="04A0" w:firstRow="1" w:lastRow="0" w:firstColumn="1" w:lastColumn="0" w:noHBand="0" w:noVBand="1"/>
      </w:tblPr>
      <w:tblGrid>
        <w:gridCol w:w="4788"/>
        <w:gridCol w:w="2610"/>
      </w:tblGrid>
      <w:tr w:rsidR="00D40083" w:rsidRPr="002D1A58" w14:paraId="037D3FEC" w14:textId="77777777" w:rsidTr="00AF1C5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3E8C9094" w14:textId="77777777" w:rsidR="00D40083" w:rsidRPr="002D1A58" w:rsidRDefault="00D40083" w:rsidP="00AF1C52">
            <w:pPr>
              <w:spacing w:before="120" w:after="120"/>
              <w:rPr>
                <w:noProof/>
                <w:lang w:val="en-IE"/>
              </w:rPr>
            </w:pPr>
            <w:r w:rsidRPr="002D1A58">
              <w:rPr>
                <w:rFonts w:cs="Calibri"/>
                <w:noProof/>
                <w:color w:val="000000"/>
                <w:lang w:val="en-IE"/>
              </w:rPr>
              <w:t>Financial programming</w:t>
            </w:r>
          </w:p>
        </w:tc>
        <w:tc>
          <w:tcPr>
            <w:tcW w:w="2610" w:type="dxa"/>
            <w:shd w:val="clear" w:color="auto" w:fill="auto"/>
            <w:vAlign w:val="bottom"/>
          </w:tcPr>
          <w:p w14:paraId="5A570253" w14:textId="77777777" w:rsidR="00186D8D" w:rsidRDefault="00186D8D" w:rsidP="00186D8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262 066.6</w:t>
            </w:r>
          </w:p>
          <w:p w14:paraId="7CA5E633" w14:textId="77777777" w:rsidR="00D40083" w:rsidRPr="002D1A58" w:rsidRDefault="00D40083" w:rsidP="00AF1C52">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noProof/>
                <w:lang w:val="en-IE"/>
              </w:rPr>
            </w:pPr>
          </w:p>
        </w:tc>
      </w:tr>
      <w:tr w:rsidR="00D40083" w:rsidRPr="002D1A58" w14:paraId="7E1FDEFA" w14:textId="77777777" w:rsidTr="00AF1C5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7709EAEA" w14:textId="77777777" w:rsidR="00D40083" w:rsidRPr="002D1A58" w:rsidRDefault="00D40083" w:rsidP="00AF1C52">
            <w:pPr>
              <w:spacing w:before="120" w:after="120"/>
              <w:rPr>
                <w:b w:val="0"/>
                <w:bCs w:val="0"/>
                <w:noProof/>
                <w:lang w:val="en-IE"/>
              </w:rPr>
            </w:pPr>
            <w:r w:rsidRPr="002D1A58">
              <w:rPr>
                <w:rFonts w:cs="Calibri"/>
                <w:noProof/>
                <w:color w:val="000000"/>
                <w:lang w:val="en-IE"/>
              </w:rPr>
              <w:t>NextGenerationEU</w:t>
            </w:r>
          </w:p>
        </w:tc>
        <w:tc>
          <w:tcPr>
            <w:tcW w:w="2610" w:type="dxa"/>
            <w:vAlign w:val="bottom"/>
          </w:tcPr>
          <w:p w14:paraId="52861D53" w14:textId="2E18A919" w:rsidR="00D40083" w:rsidRPr="002D1A58" w:rsidRDefault="00186D8D" w:rsidP="00AF1C52">
            <w:pPr>
              <w:spacing w:before="120" w:after="120"/>
              <w:jc w:val="center"/>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0</w:t>
            </w:r>
          </w:p>
        </w:tc>
      </w:tr>
      <w:tr w:rsidR="00D40083" w:rsidRPr="002D1A58" w14:paraId="08B4AAC0" w14:textId="77777777" w:rsidTr="00AF1C52">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27BA1741" w14:textId="77777777" w:rsidR="00D40083" w:rsidRPr="002D1A58" w:rsidRDefault="00D40083" w:rsidP="00AF1C52">
            <w:pPr>
              <w:spacing w:before="120" w:after="120"/>
              <w:rPr>
                <w:b w:val="0"/>
                <w:noProof/>
                <w:lang w:val="en-IE"/>
              </w:rPr>
            </w:pPr>
            <w:r w:rsidRPr="002D1A58">
              <w:rPr>
                <w:noProof/>
                <w:lang w:val="en-IE"/>
              </w:rPr>
              <w:t>Decommitments made available again</w:t>
            </w:r>
            <w:r w:rsidRPr="002D1A58">
              <w:rPr>
                <w:rFonts w:ascii="Calibri" w:hAnsi="Calibri" w:cs="Calibri"/>
                <w:noProof/>
                <w:lang w:val="en-IE"/>
              </w:rPr>
              <w:t> </w:t>
            </w:r>
            <w:r w:rsidRPr="002D1A58">
              <w:rPr>
                <w:rFonts w:cs="Calibri"/>
                <w:noProof/>
                <w:lang w:val="en-IE"/>
              </w:rPr>
              <w:t>(</w:t>
            </w:r>
            <w:r w:rsidRPr="002D1A58">
              <w:rPr>
                <w:noProof/>
                <w:lang w:val="en-IE"/>
              </w:rPr>
              <w:t>*)</w:t>
            </w:r>
          </w:p>
        </w:tc>
        <w:tc>
          <w:tcPr>
            <w:tcW w:w="2610" w:type="dxa"/>
            <w:vAlign w:val="bottom"/>
          </w:tcPr>
          <w:p w14:paraId="291AEAF6" w14:textId="77777777" w:rsidR="00D40083" w:rsidRPr="002D1A58" w:rsidRDefault="00D40083" w:rsidP="00AF1C52">
            <w:pPr>
              <w:spacing w:before="120" w:after="120"/>
              <w:jc w:val="center"/>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N/A</w:t>
            </w:r>
          </w:p>
        </w:tc>
      </w:tr>
      <w:tr w:rsidR="00D40083" w:rsidRPr="002D1A58" w14:paraId="588CCA80" w14:textId="77777777" w:rsidTr="00AF1C5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160730E3" w14:textId="77777777" w:rsidR="00D40083" w:rsidRPr="002D1A58" w:rsidRDefault="00D40083" w:rsidP="00AF1C52">
            <w:pPr>
              <w:spacing w:before="120" w:after="120"/>
              <w:rPr>
                <w:noProof/>
                <w:lang w:val="en-IE"/>
              </w:rPr>
            </w:pPr>
            <w:r w:rsidRPr="002D1A58">
              <w:rPr>
                <w:rFonts w:cs="Calibri"/>
                <w:noProof/>
                <w:color w:val="000000"/>
                <w:lang w:val="en-IE"/>
              </w:rPr>
              <w:t>Contributions from other countries and entities</w:t>
            </w:r>
          </w:p>
        </w:tc>
        <w:tc>
          <w:tcPr>
            <w:tcW w:w="2610" w:type="dxa"/>
            <w:vAlign w:val="bottom"/>
          </w:tcPr>
          <w:p w14:paraId="2CEB4397" w14:textId="7955D840" w:rsidR="00D40083" w:rsidRPr="002D1A58" w:rsidRDefault="00186D8D" w:rsidP="00AF1C52">
            <w:pPr>
              <w:spacing w:before="120" w:after="120"/>
              <w:jc w:val="center"/>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0</w:t>
            </w:r>
          </w:p>
        </w:tc>
      </w:tr>
      <w:tr w:rsidR="00D40083" w:rsidRPr="002D1A58" w14:paraId="56995B98" w14:textId="77777777" w:rsidTr="00AF1C52">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CFCFC" w:themeFill="background2" w:themeFillTint="33"/>
            <w:vAlign w:val="bottom"/>
          </w:tcPr>
          <w:p w14:paraId="2C4177C1" w14:textId="77777777" w:rsidR="00D40083" w:rsidRPr="002D1A58" w:rsidRDefault="00D40083" w:rsidP="00AF1C52">
            <w:pPr>
              <w:spacing w:before="120" w:after="120"/>
              <w:rPr>
                <w:noProof/>
                <w:lang w:val="en-IE"/>
              </w:rPr>
            </w:pPr>
            <w:r w:rsidRPr="002D1A58">
              <w:rPr>
                <w:rFonts w:cs="Calibri"/>
                <w:noProof/>
                <w:color w:val="000000"/>
                <w:lang w:val="en-IE"/>
              </w:rPr>
              <w:t>Total budget for 2021-2027</w:t>
            </w:r>
          </w:p>
        </w:tc>
        <w:tc>
          <w:tcPr>
            <w:tcW w:w="2610" w:type="dxa"/>
            <w:shd w:val="clear" w:color="auto" w:fill="FCFCFC" w:themeFill="background2" w:themeFillTint="33"/>
            <w:vAlign w:val="bottom"/>
          </w:tcPr>
          <w:p w14:paraId="05D8509D" w14:textId="51EA95B4" w:rsidR="00D40083" w:rsidRPr="002D1A58" w:rsidRDefault="00186D8D" w:rsidP="00AF1C52">
            <w:pPr>
              <w:spacing w:before="120" w:after="120"/>
              <w:jc w:val="center"/>
              <w:cnfStyle w:val="000000000000" w:firstRow="0" w:lastRow="0" w:firstColumn="0" w:lastColumn="0" w:oddVBand="0" w:evenVBand="0" w:oddHBand="0" w:evenHBand="0" w:firstRowFirstColumn="0" w:firstRowLastColumn="0" w:lastRowFirstColumn="0" w:lastRowLastColumn="0"/>
              <w:rPr>
                <w:b/>
                <w:bCs/>
                <w:noProof/>
                <w:lang w:val="en-IE"/>
              </w:rPr>
            </w:pPr>
            <w:r>
              <w:rPr>
                <w:rFonts w:ascii="Calibri" w:hAnsi="Calibri" w:cs="Calibri"/>
                <w:noProof/>
                <w:color w:val="000000"/>
              </w:rPr>
              <w:t>262 066.6</w:t>
            </w:r>
          </w:p>
        </w:tc>
      </w:tr>
    </w:tbl>
    <w:p w14:paraId="545BB7C6" w14:textId="77777777" w:rsidR="00D40083" w:rsidRPr="002D1A58" w:rsidRDefault="00D40083" w:rsidP="00D40083">
      <w:pPr>
        <w:tabs>
          <w:tab w:val="left" w:pos="6793"/>
        </w:tabs>
        <w:rPr>
          <w:noProof/>
          <w:sz w:val="18"/>
          <w:szCs w:val="18"/>
          <w:lang w:val="en-IE"/>
        </w:rPr>
      </w:pPr>
      <w:r w:rsidRPr="002D1A58">
        <w:rPr>
          <w:noProof/>
          <w:sz w:val="18"/>
          <w:szCs w:val="18"/>
          <w:lang w:val="en-IE"/>
        </w:rPr>
        <w:t>(*) Only Article</w:t>
      </w:r>
      <w:r w:rsidRPr="002D1A58">
        <w:rPr>
          <w:rFonts w:ascii="Calibri" w:hAnsi="Calibri" w:cs="Calibri"/>
          <w:noProof/>
          <w:sz w:val="18"/>
          <w:szCs w:val="18"/>
          <w:lang w:val="en-IE"/>
        </w:rPr>
        <w:t> </w:t>
      </w:r>
      <w:r w:rsidRPr="002D1A58">
        <w:rPr>
          <w:noProof/>
          <w:sz w:val="18"/>
          <w:szCs w:val="18"/>
          <w:lang w:val="en-IE"/>
        </w:rPr>
        <w:t>15</w:t>
      </w:r>
      <w:r w:rsidRPr="00C14684">
        <w:rPr>
          <w:noProof/>
          <w:sz w:val="18"/>
          <w:szCs w:val="18"/>
          <w:lang w:val="en-IE"/>
        </w:rPr>
        <w:t>(</w:t>
      </w:r>
      <w:r w:rsidRPr="002D1A58">
        <w:rPr>
          <w:noProof/>
          <w:sz w:val="18"/>
          <w:szCs w:val="18"/>
          <w:lang w:val="en-IE"/>
        </w:rPr>
        <w:t>3) of the f</w:t>
      </w:r>
      <w:r w:rsidRPr="00C14684">
        <w:rPr>
          <w:noProof/>
          <w:sz w:val="18"/>
          <w:szCs w:val="18"/>
          <w:lang w:val="en-IE"/>
        </w:rPr>
        <w:t xml:space="preserve">inancial </w:t>
      </w:r>
      <w:r w:rsidRPr="002D1A58">
        <w:rPr>
          <w:noProof/>
          <w:sz w:val="18"/>
          <w:szCs w:val="18"/>
          <w:lang w:val="en-IE"/>
        </w:rPr>
        <w:t>r</w:t>
      </w:r>
      <w:r w:rsidRPr="00C14684">
        <w:rPr>
          <w:noProof/>
          <w:sz w:val="18"/>
          <w:szCs w:val="18"/>
          <w:lang w:val="en-IE"/>
        </w:rPr>
        <w:t>egulation</w:t>
      </w:r>
      <w:r w:rsidRPr="002D1A58">
        <w:rPr>
          <w:noProof/>
          <w:sz w:val="18"/>
          <w:szCs w:val="18"/>
          <w:lang w:val="en-IE"/>
        </w:rPr>
        <w:t>.</w:t>
      </w:r>
    </w:p>
    <w:p w14:paraId="5DA613CD" w14:textId="77777777" w:rsidR="00D40083" w:rsidRPr="002D1A58" w:rsidRDefault="00D40083" w:rsidP="00D40083">
      <w:pPr>
        <w:rPr>
          <w:rFonts w:eastAsiaTheme="minorEastAsia"/>
          <w:noProof/>
          <w:lang w:val="en-IE"/>
        </w:rPr>
      </w:pPr>
    </w:p>
    <w:p w14:paraId="47527664" w14:textId="77777777" w:rsidR="00D40083" w:rsidRPr="002D1A58" w:rsidRDefault="00D40083" w:rsidP="00D40083">
      <w:pPr>
        <w:rPr>
          <w:noProof/>
          <w:lang w:val="en-IE" w:eastAsia="en-GB"/>
        </w:rPr>
      </w:pPr>
      <w:r w:rsidRPr="002D1A58">
        <w:rPr>
          <w:noProof/>
          <w:lang w:val="en-IE"/>
        </w:rPr>
        <w:t>Recovery Assistance for Cohesion and the Territories of Europe initiative (</w:t>
      </w:r>
      <w:r w:rsidRPr="002D1A58">
        <w:rPr>
          <w:noProof/>
          <w:lang w:val="en-IE" w:eastAsia="en-GB"/>
        </w:rPr>
        <w:t>REACT-EU) (million EUR)</w:t>
      </w:r>
    </w:p>
    <w:tbl>
      <w:tblPr>
        <w:tblStyle w:val="PlainTable2"/>
        <w:tblW w:w="0" w:type="auto"/>
        <w:tblInd w:w="288" w:type="dxa"/>
        <w:tblLook w:val="04A0" w:firstRow="1" w:lastRow="0" w:firstColumn="1" w:lastColumn="0" w:noHBand="0" w:noVBand="1"/>
      </w:tblPr>
      <w:tblGrid>
        <w:gridCol w:w="4788"/>
        <w:gridCol w:w="2610"/>
      </w:tblGrid>
      <w:tr w:rsidR="00D40083" w:rsidRPr="002D1A58" w14:paraId="65DFE241" w14:textId="77777777" w:rsidTr="00AF1C5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4194A8C7" w14:textId="77777777" w:rsidR="00D40083" w:rsidRPr="002D1A58" w:rsidRDefault="00D40083" w:rsidP="00AF1C52">
            <w:pPr>
              <w:spacing w:before="120" w:after="120"/>
              <w:rPr>
                <w:noProof/>
                <w:lang w:val="en-IE"/>
              </w:rPr>
            </w:pPr>
            <w:r w:rsidRPr="002D1A58">
              <w:rPr>
                <w:rFonts w:cs="Calibri"/>
                <w:noProof/>
                <w:color w:val="000000"/>
                <w:lang w:val="en-IE"/>
              </w:rPr>
              <w:t>Financial programming</w:t>
            </w:r>
          </w:p>
        </w:tc>
        <w:tc>
          <w:tcPr>
            <w:tcW w:w="2610" w:type="dxa"/>
            <w:shd w:val="clear" w:color="auto" w:fill="auto"/>
            <w:vAlign w:val="bottom"/>
          </w:tcPr>
          <w:p w14:paraId="7F1BBAF2" w14:textId="77777777" w:rsidR="00D40083" w:rsidRPr="002D1A58" w:rsidRDefault="00D40083" w:rsidP="00AF1C52">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noProof/>
                <w:lang w:val="en-IE"/>
              </w:rPr>
            </w:pPr>
          </w:p>
        </w:tc>
      </w:tr>
      <w:tr w:rsidR="00D40083" w:rsidRPr="002D1A58" w14:paraId="330CC92C" w14:textId="77777777" w:rsidTr="00AF1C5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58F7B9B1" w14:textId="77777777" w:rsidR="00D40083" w:rsidRPr="002D1A58" w:rsidRDefault="00D40083" w:rsidP="00AF1C52">
            <w:pPr>
              <w:spacing w:before="120" w:after="120"/>
              <w:rPr>
                <w:b w:val="0"/>
                <w:bCs w:val="0"/>
                <w:noProof/>
                <w:lang w:val="en-IE"/>
              </w:rPr>
            </w:pPr>
            <w:r w:rsidRPr="002D1A58">
              <w:rPr>
                <w:rFonts w:cs="Calibri"/>
                <w:noProof/>
                <w:color w:val="000000"/>
                <w:lang w:val="en-IE"/>
              </w:rPr>
              <w:t>NextGenerationEU</w:t>
            </w:r>
          </w:p>
        </w:tc>
        <w:tc>
          <w:tcPr>
            <w:tcW w:w="2610" w:type="dxa"/>
            <w:vAlign w:val="bottom"/>
          </w:tcPr>
          <w:p w14:paraId="329BB296" w14:textId="77777777" w:rsidR="00D40083" w:rsidRDefault="00D40083" w:rsidP="00AF1C52">
            <w:pPr>
              <w:jc w:val="center"/>
              <w:cnfStyle w:val="000000100000" w:firstRow="0" w:lastRow="0" w:firstColumn="0" w:lastColumn="0" w:oddVBand="0" w:evenVBand="0" w:oddHBand="1" w:evenHBand="0" w:firstRowFirstColumn="0" w:firstRowLastColumn="0" w:lastRowFirstColumn="0" w:lastRowLastColumn="0"/>
              <w:rPr>
                <w:rFonts w:ascii="Calibri" w:hAnsi="Calibri"/>
                <w:noProof/>
                <w:color w:val="000000"/>
              </w:rPr>
            </w:pPr>
            <w:r>
              <w:rPr>
                <w:rFonts w:ascii="Calibri" w:hAnsi="Calibri"/>
                <w:noProof/>
                <w:color w:val="000000"/>
              </w:rPr>
              <w:t>31 458.2</w:t>
            </w:r>
          </w:p>
          <w:p w14:paraId="1A1F04ED" w14:textId="77777777" w:rsidR="00D40083" w:rsidRPr="002D1A58" w:rsidRDefault="00D40083" w:rsidP="00AF1C52">
            <w:pPr>
              <w:spacing w:before="120" w:after="120"/>
              <w:jc w:val="center"/>
              <w:cnfStyle w:val="000000100000" w:firstRow="0" w:lastRow="0" w:firstColumn="0" w:lastColumn="0" w:oddVBand="0" w:evenVBand="0" w:oddHBand="1" w:evenHBand="0" w:firstRowFirstColumn="0" w:firstRowLastColumn="0" w:lastRowFirstColumn="0" w:lastRowLastColumn="0"/>
              <w:rPr>
                <w:noProof/>
                <w:lang w:val="en-IE"/>
              </w:rPr>
            </w:pPr>
          </w:p>
        </w:tc>
      </w:tr>
      <w:tr w:rsidR="00D40083" w:rsidRPr="002D1A58" w14:paraId="20602D91" w14:textId="77777777" w:rsidTr="00AF1C52">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0C8E64FE" w14:textId="77777777" w:rsidR="00D40083" w:rsidRPr="002D1A58" w:rsidRDefault="00D40083" w:rsidP="00AF1C52">
            <w:pPr>
              <w:spacing w:before="120" w:after="120"/>
              <w:rPr>
                <w:b w:val="0"/>
                <w:noProof/>
                <w:lang w:val="en-IE"/>
              </w:rPr>
            </w:pPr>
            <w:r w:rsidRPr="002D1A58">
              <w:rPr>
                <w:noProof/>
                <w:lang w:val="en-IE"/>
              </w:rPr>
              <w:t>Decommitments made available again</w:t>
            </w:r>
            <w:r w:rsidRPr="002D1A58">
              <w:rPr>
                <w:rFonts w:ascii="Calibri" w:hAnsi="Calibri" w:cs="Calibri"/>
                <w:noProof/>
                <w:lang w:val="en-IE"/>
              </w:rPr>
              <w:t> </w:t>
            </w:r>
            <w:r w:rsidRPr="002D1A58">
              <w:rPr>
                <w:rFonts w:cs="Calibri"/>
                <w:noProof/>
                <w:lang w:val="en-IE"/>
              </w:rPr>
              <w:t>(</w:t>
            </w:r>
            <w:r w:rsidRPr="002D1A58">
              <w:rPr>
                <w:noProof/>
                <w:lang w:val="en-IE"/>
              </w:rPr>
              <w:t>*)</w:t>
            </w:r>
          </w:p>
        </w:tc>
        <w:tc>
          <w:tcPr>
            <w:tcW w:w="2610" w:type="dxa"/>
            <w:vAlign w:val="bottom"/>
          </w:tcPr>
          <w:p w14:paraId="4DC52D1A" w14:textId="77777777" w:rsidR="00D40083" w:rsidRPr="002D1A58" w:rsidRDefault="00D40083" w:rsidP="00AF1C52">
            <w:pPr>
              <w:spacing w:before="120" w:after="120"/>
              <w:jc w:val="center"/>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N/A</w:t>
            </w:r>
          </w:p>
        </w:tc>
      </w:tr>
      <w:tr w:rsidR="00D40083" w:rsidRPr="002D1A58" w14:paraId="23DAB69D" w14:textId="77777777" w:rsidTr="00AF1C5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24C0D577" w14:textId="77777777" w:rsidR="00D40083" w:rsidRPr="002D1A58" w:rsidRDefault="00D40083" w:rsidP="00AF1C52">
            <w:pPr>
              <w:spacing w:before="120" w:after="120"/>
              <w:rPr>
                <w:noProof/>
                <w:lang w:val="en-IE"/>
              </w:rPr>
            </w:pPr>
            <w:r w:rsidRPr="002D1A58">
              <w:rPr>
                <w:rFonts w:cs="Calibri"/>
                <w:noProof/>
                <w:color w:val="000000"/>
                <w:lang w:val="en-IE"/>
              </w:rPr>
              <w:t>Contributions from other countries and entities</w:t>
            </w:r>
          </w:p>
        </w:tc>
        <w:tc>
          <w:tcPr>
            <w:tcW w:w="2610" w:type="dxa"/>
            <w:vAlign w:val="bottom"/>
          </w:tcPr>
          <w:p w14:paraId="14C9FC24" w14:textId="77777777" w:rsidR="00D40083" w:rsidRPr="002D1A58" w:rsidRDefault="00D40083" w:rsidP="00AF1C52">
            <w:pPr>
              <w:spacing w:before="120" w:after="120"/>
              <w:jc w:val="center"/>
              <w:cnfStyle w:val="000000100000" w:firstRow="0" w:lastRow="0" w:firstColumn="0" w:lastColumn="0" w:oddVBand="0" w:evenVBand="0" w:oddHBand="1" w:evenHBand="0" w:firstRowFirstColumn="0" w:firstRowLastColumn="0" w:lastRowFirstColumn="0" w:lastRowLastColumn="0"/>
              <w:rPr>
                <w:noProof/>
                <w:lang w:val="en-IE"/>
              </w:rPr>
            </w:pPr>
          </w:p>
        </w:tc>
      </w:tr>
      <w:tr w:rsidR="00D40083" w:rsidRPr="002D1A58" w14:paraId="4434888E" w14:textId="77777777" w:rsidTr="00AF1C52">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CFCFC" w:themeFill="background2" w:themeFillTint="33"/>
            <w:vAlign w:val="bottom"/>
          </w:tcPr>
          <w:p w14:paraId="189C6E18" w14:textId="39DDA156" w:rsidR="00D40083" w:rsidRPr="002D1A58" w:rsidRDefault="00D40083" w:rsidP="00AF1C52">
            <w:pPr>
              <w:spacing w:before="120" w:after="120"/>
              <w:rPr>
                <w:noProof/>
                <w:lang w:val="en-IE"/>
              </w:rPr>
            </w:pPr>
            <w:r w:rsidRPr="002D1A58">
              <w:rPr>
                <w:rFonts w:cs="Calibri"/>
                <w:noProof/>
                <w:color w:val="000000"/>
                <w:lang w:val="en-IE"/>
              </w:rPr>
              <w:t>Total budget for 2021-2027</w:t>
            </w:r>
            <w:r w:rsidR="00FD3458">
              <w:rPr>
                <w:rFonts w:cs="Calibri"/>
                <w:noProof/>
                <w:color w:val="000000"/>
                <w:lang w:val="en-IE"/>
              </w:rPr>
              <w:t xml:space="preserve"> (**)</w:t>
            </w:r>
          </w:p>
        </w:tc>
        <w:tc>
          <w:tcPr>
            <w:tcW w:w="2610" w:type="dxa"/>
            <w:shd w:val="clear" w:color="auto" w:fill="FCFCFC" w:themeFill="background2" w:themeFillTint="33"/>
            <w:vAlign w:val="bottom"/>
          </w:tcPr>
          <w:p w14:paraId="44384604" w14:textId="77777777" w:rsidR="00D40083" w:rsidRDefault="00D40083" w:rsidP="00AF1C52">
            <w:pPr>
              <w:jc w:val="center"/>
              <w:cnfStyle w:val="000000000000" w:firstRow="0" w:lastRow="0" w:firstColumn="0" w:lastColumn="0" w:oddVBand="0" w:evenVBand="0" w:oddHBand="0" w:evenHBand="0" w:firstRowFirstColumn="0" w:firstRowLastColumn="0" w:lastRowFirstColumn="0" w:lastRowLastColumn="0"/>
              <w:rPr>
                <w:rFonts w:ascii="Calibri" w:hAnsi="Calibri"/>
                <w:noProof/>
                <w:color w:val="000000"/>
              </w:rPr>
            </w:pPr>
            <w:r>
              <w:rPr>
                <w:rFonts w:ascii="Calibri" w:hAnsi="Calibri"/>
                <w:noProof/>
                <w:color w:val="000000"/>
              </w:rPr>
              <w:t>31 458.2</w:t>
            </w:r>
          </w:p>
          <w:p w14:paraId="3DE2E33E" w14:textId="77777777" w:rsidR="00D40083" w:rsidRPr="002D1A58" w:rsidRDefault="00D40083" w:rsidP="00AF1C52">
            <w:pPr>
              <w:spacing w:before="120" w:after="120"/>
              <w:jc w:val="center"/>
              <w:cnfStyle w:val="000000000000" w:firstRow="0" w:lastRow="0" w:firstColumn="0" w:lastColumn="0" w:oddVBand="0" w:evenVBand="0" w:oddHBand="0" w:evenHBand="0" w:firstRowFirstColumn="0" w:firstRowLastColumn="0" w:lastRowFirstColumn="0" w:lastRowLastColumn="0"/>
              <w:rPr>
                <w:b/>
                <w:bCs/>
                <w:noProof/>
                <w:lang w:val="en-IE"/>
              </w:rPr>
            </w:pPr>
          </w:p>
        </w:tc>
      </w:tr>
    </w:tbl>
    <w:p w14:paraId="2E6790EB" w14:textId="271FA122" w:rsidR="00D40083" w:rsidRDefault="00D40083" w:rsidP="00D40083">
      <w:pPr>
        <w:tabs>
          <w:tab w:val="left" w:pos="6793"/>
        </w:tabs>
        <w:rPr>
          <w:noProof/>
          <w:sz w:val="18"/>
          <w:szCs w:val="18"/>
          <w:lang w:val="en-IE"/>
        </w:rPr>
      </w:pPr>
      <w:r w:rsidRPr="002D1A58">
        <w:rPr>
          <w:noProof/>
          <w:sz w:val="18"/>
          <w:szCs w:val="18"/>
          <w:lang w:val="en-IE"/>
        </w:rPr>
        <w:t xml:space="preserve">(*) Only </w:t>
      </w:r>
      <w:r w:rsidRPr="00C14684">
        <w:rPr>
          <w:noProof/>
          <w:sz w:val="18"/>
          <w:szCs w:val="18"/>
          <w:lang w:val="en-IE"/>
        </w:rPr>
        <w:t>Article</w:t>
      </w:r>
      <w:r w:rsidRPr="00C14684">
        <w:rPr>
          <w:rFonts w:ascii="Calibri" w:hAnsi="Calibri" w:cs="Calibri"/>
          <w:noProof/>
          <w:sz w:val="18"/>
          <w:szCs w:val="18"/>
          <w:lang w:val="en-IE"/>
        </w:rPr>
        <w:t> </w:t>
      </w:r>
      <w:r w:rsidRPr="002D1A58">
        <w:rPr>
          <w:noProof/>
          <w:sz w:val="18"/>
          <w:szCs w:val="18"/>
          <w:lang w:val="en-IE"/>
        </w:rPr>
        <w:t>15(3) of the f</w:t>
      </w:r>
      <w:r w:rsidRPr="00C14684">
        <w:rPr>
          <w:noProof/>
          <w:sz w:val="18"/>
          <w:szCs w:val="18"/>
          <w:lang w:val="en-IE"/>
        </w:rPr>
        <w:t xml:space="preserve">inancial </w:t>
      </w:r>
      <w:r w:rsidRPr="002D1A58">
        <w:rPr>
          <w:noProof/>
          <w:sz w:val="18"/>
          <w:szCs w:val="18"/>
          <w:lang w:val="en-IE"/>
        </w:rPr>
        <w:t>r</w:t>
      </w:r>
      <w:r w:rsidRPr="00C14684">
        <w:rPr>
          <w:noProof/>
          <w:sz w:val="18"/>
          <w:szCs w:val="18"/>
          <w:lang w:val="en-IE"/>
        </w:rPr>
        <w:t>egulation</w:t>
      </w:r>
      <w:r w:rsidRPr="002D1A58">
        <w:rPr>
          <w:noProof/>
          <w:sz w:val="18"/>
          <w:szCs w:val="18"/>
          <w:lang w:val="en-IE"/>
        </w:rPr>
        <w:t>.</w:t>
      </w:r>
    </w:p>
    <w:p w14:paraId="03756E4C" w14:textId="3CD0373D" w:rsidR="00FD3458" w:rsidRPr="002D1A58" w:rsidRDefault="00FD3458" w:rsidP="00D40083">
      <w:pPr>
        <w:tabs>
          <w:tab w:val="left" w:pos="6793"/>
        </w:tabs>
        <w:rPr>
          <w:noProof/>
          <w:sz w:val="18"/>
          <w:szCs w:val="18"/>
          <w:lang w:val="en-IE"/>
        </w:rPr>
      </w:pPr>
      <w:r>
        <w:rPr>
          <w:noProof/>
          <w:sz w:val="18"/>
          <w:szCs w:val="18"/>
          <w:lang w:val="en-IE"/>
        </w:rPr>
        <w:t xml:space="preserve">(**) The total amount of </w:t>
      </w:r>
      <w:r w:rsidRPr="00FD3458">
        <w:rPr>
          <w:noProof/>
          <w:sz w:val="18"/>
          <w:szCs w:val="18"/>
          <w:lang w:val="en-IE"/>
        </w:rPr>
        <w:t>Recovery Assistance for Cohesion and the Territories of Europe initiative (REACT-EU)</w:t>
      </w:r>
      <w:r>
        <w:rPr>
          <w:noProof/>
          <w:sz w:val="18"/>
          <w:szCs w:val="18"/>
          <w:lang w:val="en-IE"/>
        </w:rPr>
        <w:t xml:space="preserve"> represents an estimate.</w:t>
      </w:r>
    </w:p>
    <w:p w14:paraId="562F5F56" w14:textId="77777777" w:rsidR="00D40083" w:rsidRPr="002D1A58" w:rsidRDefault="00D40083" w:rsidP="00D40083">
      <w:pPr>
        <w:pStyle w:val="ppoHeading5"/>
        <w:rPr>
          <w:noProof/>
          <w:lang w:val="en-IE"/>
        </w:rPr>
      </w:pPr>
      <w:r w:rsidRPr="002D1A58">
        <w:rPr>
          <w:noProof/>
          <w:lang w:val="en-IE"/>
        </w:rPr>
        <w:t>Rationale and design of the programme</w:t>
      </w:r>
    </w:p>
    <w:p w14:paraId="72694985" w14:textId="77777777" w:rsidR="00D40083" w:rsidRPr="002D1A58" w:rsidRDefault="00D40083" w:rsidP="00D40083">
      <w:pPr>
        <w:rPr>
          <w:rFonts w:eastAsiaTheme="minorEastAsia"/>
          <w:noProof/>
          <w:lang w:val="en-IE"/>
        </w:rPr>
      </w:pPr>
      <w:r w:rsidRPr="002D1A58">
        <w:rPr>
          <w:rFonts w:eastAsiaTheme="minorEastAsia"/>
          <w:noProof/>
          <w:lang w:val="en-IE"/>
        </w:rPr>
        <w:t>Cohesion policy programmes contribute to strengthening the economic, social and territorial cohesion in the EU. They aim to correct imbalances between countries and regions and deliver on the EU’s political priorities, especially the green and digital transition.</w:t>
      </w:r>
    </w:p>
    <w:p w14:paraId="4C366701" w14:textId="77777777" w:rsidR="00D40083" w:rsidRPr="002D1A58" w:rsidRDefault="00D40083" w:rsidP="00D40083">
      <w:pPr>
        <w:pStyle w:val="ppoHeading6"/>
        <w:rPr>
          <w:noProof/>
          <w:lang w:val="en-IE"/>
        </w:rPr>
      </w:pPr>
      <w:r w:rsidRPr="002D1A58">
        <w:rPr>
          <w:noProof/>
          <w:lang w:val="en-IE"/>
        </w:rPr>
        <w:t>Challenge</w:t>
      </w:r>
    </w:p>
    <w:p w14:paraId="5E1A7C96" w14:textId="77777777" w:rsidR="00D40083" w:rsidRPr="002D1A58" w:rsidRDefault="00D40083" w:rsidP="00D40083">
      <w:pPr>
        <w:rPr>
          <w:noProof/>
          <w:lang w:val="en-IE"/>
        </w:rPr>
      </w:pPr>
      <w:r w:rsidRPr="002D1A58">
        <w:rPr>
          <w:noProof/>
          <w:lang w:val="en-IE"/>
        </w:rPr>
        <w:t>Disparities show a generally decreasing trend among the EU regions based on the latest available data (2019), even though the pace of convergence was slower after the financial crisis of 2008. The COVID-19 pandemic may well exacerbate the existing disparities. These divergences threaten the cohesion and long-term sustainability of the EU and hinder the deployment of its full potential.</w:t>
      </w:r>
    </w:p>
    <w:p w14:paraId="392A5D8F" w14:textId="77777777" w:rsidR="00D40083" w:rsidRPr="002D1A58" w:rsidRDefault="00D40083" w:rsidP="00D40083">
      <w:pPr>
        <w:rPr>
          <w:noProof/>
          <w:lang w:val="en-IE"/>
        </w:rPr>
      </w:pPr>
      <w:r w:rsidRPr="002D1A58">
        <w:rPr>
          <w:noProof/>
          <w:lang w:val="en-IE"/>
        </w:rPr>
        <w:t>Tackling these challenges at the EU level is more effective than leaving it to the sole responsibility of Member States. First, EU-level action supports EU-wide priorities, such as ensuring that the EU’s post-COVID-19 recovery is geared to the green and digital transitions. Second, it incentivises closer application of EU legislation and critical structural reforms by Member States, in line with the country-specific recommendations emanating from the EU’s economic surveillance (European semester). Through its multiannual programming framework, the EU also provides stability, certainty and sustainability for investment plans, reducing their vulnerability across economic and political cycles and improving prospects for implementation on the ground. The EU can also support more intensive investments in less-developed and transition regions</w:t>
      </w:r>
      <w:r w:rsidRPr="002D1A58">
        <w:rPr>
          <w:rFonts w:ascii="Calibri" w:hAnsi="Calibri" w:cs="Calibri"/>
          <w:noProof/>
          <w:lang w:val="en-IE"/>
        </w:rPr>
        <w:t> –</w:t>
      </w:r>
      <w:r w:rsidRPr="002D1A58">
        <w:rPr>
          <w:noProof/>
          <w:lang w:val="en-IE"/>
        </w:rPr>
        <w:t xml:space="preserve"> which would otherwise not happen</w:t>
      </w:r>
      <w:r w:rsidRPr="002D1A58">
        <w:rPr>
          <w:rFonts w:ascii="Calibri" w:hAnsi="Calibri" w:cs="Calibri"/>
          <w:noProof/>
          <w:lang w:val="en-IE"/>
        </w:rPr>
        <w:t> </w:t>
      </w:r>
      <w:r w:rsidRPr="002D1A58">
        <w:rPr>
          <w:noProof/>
          <w:lang w:val="en-IE"/>
        </w:rPr>
        <w:t>– generating spillovers to the rest of Europe, notably via increased connectivity and trade flows, thus supporting the development of the single market. Finally, EU action in this area feeds on and promotes interregional cooperation and the exchange of experience both cross-border and across the EU.</w:t>
      </w:r>
    </w:p>
    <w:p w14:paraId="29541356" w14:textId="77777777" w:rsidR="00D40083" w:rsidRPr="002D1A58" w:rsidRDefault="00D40083" w:rsidP="00D40083">
      <w:pPr>
        <w:pStyle w:val="ppoHeading6"/>
        <w:rPr>
          <w:noProof/>
          <w:lang w:val="en-IE"/>
        </w:rPr>
      </w:pPr>
      <w:r w:rsidRPr="002D1A58">
        <w:rPr>
          <w:noProof/>
          <w:lang w:val="en-IE"/>
        </w:rPr>
        <w:t>Mission</w:t>
      </w:r>
    </w:p>
    <w:p w14:paraId="1976A2A9" w14:textId="77777777" w:rsidR="00D40083" w:rsidRPr="002D1A58" w:rsidRDefault="00D40083" w:rsidP="00D40083">
      <w:pPr>
        <w:rPr>
          <w:noProof/>
          <w:lang w:val="en-IE"/>
        </w:rPr>
      </w:pPr>
      <w:r w:rsidRPr="002D1A58">
        <w:rPr>
          <w:noProof/>
          <w:lang w:val="en-IE"/>
        </w:rPr>
        <w:t xml:space="preserve">The Cohesion Fund (CF) and the European Regional Development Fund (ERDF) jointly constitute the EU’s regional policy. Together with the European Social Fund (ESF) and the Just Transition Fund, they constitute the EU’s cohesion policy. The CF and the ERDF aim to strengthen the economic, social and territorial cohesion of the EU by promoting sustainable development, particularly in less-developed regions. </w:t>
      </w:r>
    </w:p>
    <w:p w14:paraId="774AEDC1" w14:textId="77777777" w:rsidR="00D40083" w:rsidRPr="002D1A58" w:rsidRDefault="00D40083" w:rsidP="00D40083">
      <w:pPr>
        <w:rPr>
          <w:noProof/>
          <w:lang w:val="en-IE"/>
        </w:rPr>
      </w:pPr>
      <w:r w:rsidRPr="002D1A58">
        <w:rPr>
          <w:noProof/>
          <w:lang w:val="en-IE"/>
        </w:rPr>
        <w:t xml:space="preserve">The CF provides support to Member States with a gross national income per inhabitant below 90% of the EU average, notably by contributing to projects in the fields of environment and trans-European transport infrastructure networks. </w:t>
      </w:r>
    </w:p>
    <w:p w14:paraId="10900671" w14:textId="77777777" w:rsidR="00D40083" w:rsidRPr="002D1A58" w:rsidRDefault="00D40083" w:rsidP="00D40083">
      <w:pPr>
        <w:rPr>
          <w:noProof/>
          <w:lang w:val="en-IE"/>
        </w:rPr>
      </w:pPr>
      <w:r w:rsidRPr="002D1A58">
        <w:rPr>
          <w:noProof/>
          <w:lang w:val="en-IE"/>
        </w:rPr>
        <w:t xml:space="preserve">The ‘place-based’ approach of the ERDF allows for the identification of specific development needs and, as a consequence, the definition of appropriate investment strategies aligned with both EU priorities and regional conditions. </w:t>
      </w:r>
    </w:p>
    <w:p w14:paraId="0053E450" w14:textId="3F75E5A1" w:rsidR="00D40083" w:rsidRPr="002D1A58" w:rsidRDefault="00D40083" w:rsidP="00D40083">
      <w:pPr>
        <w:rPr>
          <w:noProof/>
          <w:lang w:val="en-IE"/>
        </w:rPr>
      </w:pPr>
      <w:r w:rsidRPr="002D1A58">
        <w:rPr>
          <w:noProof/>
          <w:lang w:val="en-IE"/>
        </w:rPr>
        <w:t>These two funds are macroeconomically relevant: for the 2014-2020 period, the funding channelled by the policy was a primary source of public investment in many Member States. The policy also operates as a catalyst for public and private funding.</w:t>
      </w:r>
    </w:p>
    <w:p w14:paraId="2D6A7A93" w14:textId="77777777" w:rsidR="00D40083" w:rsidRPr="002D1A58" w:rsidRDefault="00D40083" w:rsidP="00D40083">
      <w:pPr>
        <w:pStyle w:val="ppoHeading6"/>
        <w:rPr>
          <w:noProof/>
          <w:lang w:val="en-IE"/>
        </w:rPr>
      </w:pPr>
      <w:r w:rsidRPr="002D1A58">
        <w:rPr>
          <w:noProof/>
          <w:lang w:val="en-IE"/>
        </w:rPr>
        <w:t>Objectives</w:t>
      </w:r>
    </w:p>
    <w:p w14:paraId="68ED2501" w14:textId="77777777" w:rsidR="00D40083" w:rsidRPr="002D1A58" w:rsidRDefault="00D40083" w:rsidP="00D40083">
      <w:pPr>
        <w:rPr>
          <w:noProof/>
          <w:lang w:val="en-IE"/>
        </w:rPr>
      </w:pPr>
      <w:r w:rsidRPr="002D1A58">
        <w:rPr>
          <w:noProof/>
          <w:lang w:val="en-IE"/>
        </w:rPr>
        <w:t>The programmes have five EU high-level policy objectives.</w:t>
      </w:r>
    </w:p>
    <w:p w14:paraId="6CB18A27" w14:textId="77777777" w:rsidR="00D40083" w:rsidRPr="002D1A58" w:rsidRDefault="00D40083" w:rsidP="006F409B">
      <w:pPr>
        <w:pStyle w:val="ppoListArabic1aiii-L1"/>
        <w:numPr>
          <w:ilvl w:val="0"/>
          <w:numId w:val="121"/>
        </w:numPr>
        <w:rPr>
          <w:noProof/>
          <w:lang w:val="en-IE"/>
        </w:rPr>
      </w:pPr>
      <w:r w:rsidRPr="002D1A58">
        <w:rPr>
          <w:noProof/>
          <w:lang w:val="en-IE"/>
        </w:rPr>
        <w:t xml:space="preserve">A more competitive and smarter Europe, by promoting innovative and smart economic transformation and regional information and communications technology connectivity. </w:t>
      </w:r>
    </w:p>
    <w:p w14:paraId="720DDE7F" w14:textId="77777777" w:rsidR="00D40083" w:rsidRPr="002D1A58" w:rsidRDefault="00D40083" w:rsidP="00D40083">
      <w:pPr>
        <w:pStyle w:val="ppoListArabic1aiii-L1"/>
        <w:numPr>
          <w:ilvl w:val="0"/>
          <w:numId w:val="40"/>
        </w:numPr>
        <w:rPr>
          <w:noProof/>
          <w:lang w:val="en-IE"/>
        </w:rPr>
      </w:pPr>
      <w:r w:rsidRPr="002D1A58">
        <w:rPr>
          <w:noProof/>
          <w:lang w:val="en-IE"/>
        </w:rPr>
        <w:t>A greener, low-carbon transition towards a net zero carbon economy and resilient Europe, by promoting clean and fair energy transition, green and blue investment, the circular economy, climate change mitigation and adaptation, risk prevention and management and sustainable urban mobility.</w:t>
      </w:r>
    </w:p>
    <w:p w14:paraId="191D905F" w14:textId="77777777" w:rsidR="00D40083" w:rsidRPr="002D1A58" w:rsidRDefault="00D40083" w:rsidP="00D40083">
      <w:pPr>
        <w:pStyle w:val="ppoListArabic1aiii-L1"/>
        <w:numPr>
          <w:ilvl w:val="0"/>
          <w:numId w:val="40"/>
        </w:numPr>
        <w:rPr>
          <w:noProof/>
          <w:lang w:val="en-IE"/>
        </w:rPr>
      </w:pPr>
      <w:r w:rsidRPr="002D1A58">
        <w:rPr>
          <w:noProof/>
          <w:lang w:val="en-IE"/>
        </w:rPr>
        <w:t xml:space="preserve">A more connected Europe by enhancing mobility. </w:t>
      </w:r>
    </w:p>
    <w:p w14:paraId="1E384516" w14:textId="77777777" w:rsidR="00D40083" w:rsidRPr="002D1A58" w:rsidRDefault="00D40083" w:rsidP="00D40083">
      <w:pPr>
        <w:pStyle w:val="ppoListArabic1aiii-L1"/>
        <w:numPr>
          <w:ilvl w:val="0"/>
          <w:numId w:val="40"/>
        </w:numPr>
        <w:rPr>
          <w:noProof/>
          <w:lang w:val="en-IE"/>
        </w:rPr>
      </w:pPr>
      <w:r w:rsidRPr="002D1A58">
        <w:rPr>
          <w:noProof/>
          <w:lang w:val="en-IE"/>
        </w:rPr>
        <w:t>A more social and inclusive Europe, by implementing the European Pillar of Social Rights.</w:t>
      </w:r>
    </w:p>
    <w:p w14:paraId="6FBF15C9" w14:textId="77777777" w:rsidR="00D40083" w:rsidRPr="002D1A58" w:rsidRDefault="00D40083" w:rsidP="00D40083">
      <w:pPr>
        <w:pStyle w:val="ppoListArabic1aiii-L1"/>
        <w:numPr>
          <w:ilvl w:val="0"/>
          <w:numId w:val="40"/>
        </w:numPr>
        <w:rPr>
          <w:noProof/>
          <w:lang w:val="en-IE"/>
        </w:rPr>
      </w:pPr>
      <w:r w:rsidRPr="002D1A58">
        <w:rPr>
          <w:noProof/>
          <w:lang w:val="en-IE"/>
        </w:rPr>
        <w:t>A Europe closer to citizens, by fostering the sustainable and integrated development of all types of territories and local initiatives.</w:t>
      </w:r>
    </w:p>
    <w:p w14:paraId="10B3B416" w14:textId="77777777" w:rsidR="00D40083" w:rsidRPr="002D1A58" w:rsidRDefault="00D40083" w:rsidP="00D40083">
      <w:pPr>
        <w:rPr>
          <w:noProof/>
          <w:lang w:val="en-IE"/>
        </w:rPr>
      </w:pPr>
      <w:r w:rsidRPr="002D1A58">
        <w:rPr>
          <w:noProof/>
          <w:lang w:val="en-IE"/>
        </w:rPr>
        <w:t>Policy objectives 2 and 3 are proposed for the CF, while all objectives are proposed for the ERDF.</w:t>
      </w:r>
    </w:p>
    <w:p w14:paraId="59107167" w14:textId="77777777" w:rsidR="00D40083" w:rsidRPr="002D1A58" w:rsidRDefault="00D40083" w:rsidP="00D40083">
      <w:pPr>
        <w:pStyle w:val="ppoHeading6"/>
        <w:rPr>
          <w:noProof/>
          <w:lang w:val="en-IE"/>
        </w:rPr>
      </w:pPr>
      <w:r w:rsidRPr="002D1A58">
        <w:rPr>
          <w:noProof/>
          <w:lang w:val="en-IE"/>
        </w:rPr>
        <w:t>Actions</w:t>
      </w:r>
    </w:p>
    <w:p w14:paraId="66DB6C35" w14:textId="77777777" w:rsidR="00D40083" w:rsidRPr="002D1A58" w:rsidRDefault="00D40083" w:rsidP="00D40083">
      <w:pPr>
        <w:rPr>
          <w:noProof/>
          <w:lang w:val="en-IE"/>
        </w:rPr>
      </w:pPr>
      <w:r w:rsidRPr="002D1A58">
        <w:rPr>
          <w:noProof/>
          <w:lang w:val="en-IE"/>
        </w:rPr>
        <w:t>The CF and ERDF support investments in key priority areas. The ERDF, delivered through approximately 300 national, regional and interregional programmes, supports investments in infrastructure, productive investments in enterprises and public policies across a range of themes.</w:t>
      </w:r>
    </w:p>
    <w:p w14:paraId="0AD32DC2" w14:textId="77777777" w:rsidR="00D40083" w:rsidRPr="002D1A58" w:rsidRDefault="00D40083" w:rsidP="00D40083">
      <w:pPr>
        <w:rPr>
          <w:noProof/>
          <w:lang w:val="en-IE"/>
        </w:rPr>
      </w:pPr>
      <w:r w:rsidRPr="002D1A58">
        <w:rPr>
          <w:noProof/>
          <w:lang w:val="en-IE"/>
        </w:rPr>
        <w:t>The CF, delivered in 15 Member States, mainly funds capital-intensive environmental and transport investments, predominantly through grants. Cohesion policy provides stable and predictable support to Member State investments while retaining the appropriate flexibility. This was demonstrated during the COVID-19 crisis, where the instruments were adapted via the coronavirus response investment initiative and coronavirus response investment initiative plus (CRII+) that were adopted by the co-legislators, mobilising much-needed support to the worst-affected sectors with unprecedented speed and flexibility.</w:t>
      </w:r>
    </w:p>
    <w:p w14:paraId="628F32A8" w14:textId="77777777" w:rsidR="00D40083" w:rsidRPr="002D1A58" w:rsidRDefault="00D40083" w:rsidP="00D40083">
      <w:pPr>
        <w:pStyle w:val="ppoHeading6"/>
        <w:rPr>
          <w:noProof/>
          <w:lang w:val="en-IE"/>
        </w:rPr>
      </w:pPr>
      <w:r w:rsidRPr="002D1A58">
        <w:rPr>
          <w:noProof/>
          <w:lang w:val="en-IE"/>
        </w:rPr>
        <w:t>Delivery mode</w:t>
      </w:r>
    </w:p>
    <w:p w14:paraId="2A97464D" w14:textId="77777777" w:rsidR="00D40083" w:rsidRPr="002D1A58" w:rsidRDefault="00D40083" w:rsidP="00D40083">
      <w:pPr>
        <w:rPr>
          <w:noProof/>
          <w:lang w:val="en-IE"/>
        </w:rPr>
      </w:pPr>
      <w:r w:rsidRPr="002D1A58">
        <w:rPr>
          <w:noProof/>
          <w:lang w:val="en-IE"/>
        </w:rPr>
        <w:t>Both programmes are delivered through shared management, ensuring close coordination of investments with regional and local needs. DG Regional and Urban Policy is the lead on the ERDF and CF for the Commission.</w:t>
      </w:r>
    </w:p>
    <w:p w14:paraId="0870C7B3" w14:textId="77777777" w:rsidR="00D40083" w:rsidRPr="002D1A58" w:rsidRDefault="00D40083" w:rsidP="00D40083">
      <w:pPr>
        <w:pStyle w:val="ppoHeading6"/>
        <w:rPr>
          <w:noProof/>
          <w:lang w:val="en-IE"/>
        </w:rPr>
      </w:pPr>
      <w:r w:rsidRPr="002D1A58">
        <w:rPr>
          <w:noProof/>
          <w:lang w:val="en-IE"/>
        </w:rPr>
        <w:t>LINK TO THE 2014-2020 MULTIANNUAL FINANCIAL FRAMEWORK</w:t>
      </w:r>
    </w:p>
    <w:p w14:paraId="69A9DBB1" w14:textId="77777777" w:rsidR="00D40083" w:rsidRPr="002D1A58" w:rsidRDefault="00D40083" w:rsidP="00D40083">
      <w:pPr>
        <w:rPr>
          <w:noProof/>
          <w:lang w:val="en-IE"/>
        </w:rPr>
      </w:pPr>
      <w:r w:rsidRPr="002D1A58">
        <w:rPr>
          <w:noProof/>
          <w:lang w:val="en-IE"/>
        </w:rPr>
        <w:t xml:space="preserve">For 2021-2027, the general approach under the 2014 2020 multiannual financial framework was maintained, including automatic decommitment three years after the budgetary year (the </w:t>
      </w:r>
      <w:r w:rsidRPr="00245E40">
        <w:rPr>
          <w:i/>
          <w:noProof/>
          <w:lang w:val="en-IE"/>
        </w:rPr>
        <w:t>n</w:t>
      </w:r>
      <w:r w:rsidRPr="002D1A58">
        <w:rPr>
          <w:rFonts w:ascii="Calibri" w:hAnsi="Calibri" w:cs="Calibri"/>
          <w:noProof/>
          <w:lang w:val="en-IE"/>
        </w:rPr>
        <w:t> </w:t>
      </w:r>
      <w:r w:rsidRPr="002D1A58">
        <w:rPr>
          <w:noProof/>
          <w:lang w:val="en-IE"/>
        </w:rPr>
        <w:t>+</w:t>
      </w:r>
      <w:r w:rsidRPr="002D1A58">
        <w:rPr>
          <w:rFonts w:ascii="Calibri" w:hAnsi="Calibri" w:cs="Calibri"/>
          <w:noProof/>
          <w:lang w:val="en-IE"/>
        </w:rPr>
        <w:t> 3</w:t>
      </w:r>
      <w:r w:rsidRPr="002D1A58">
        <w:rPr>
          <w:noProof/>
          <w:lang w:val="en-IE"/>
        </w:rPr>
        <w:t xml:space="preserve"> rule). New and more ambitious objectives and features include: adjusted policy priorities; increased climate targets; increased flexibility during reprogramming and mid-term review; and reduced co-financing rates, stratified along the different types of regions (from 40% to 85% in the less developed regions).</w:t>
      </w:r>
    </w:p>
    <w:p w14:paraId="345E01F3" w14:textId="77777777" w:rsidR="00D40083" w:rsidRPr="002D1A58" w:rsidRDefault="00D40083" w:rsidP="00D40083">
      <w:pPr>
        <w:pStyle w:val="ppoHeading6"/>
        <w:rPr>
          <w:noProof/>
          <w:lang w:val="en-IE"/>
        </w:rPr>
      </w:pPr>
      <w:bookmarkStart w:id="96" w:name="_Toc94522851"/>
      <w:r w:rsidRPr="002D1A58">
        <w:rPr>
          <w:noProof/>
          <w:lang w:val="en-IE"/>
        </w:rPr>
        <w:t>Impact assessment</w:t>
      </w:r>
      <w:bookmarkEnd w:id="96"/>
    </w:p>
    <w:p w14:paraId="157D894B" w14:textId="77777777" w:rsidR="00D40083" w:rsidRPr="002D1A58" w:rsidRDefault="00D40083" w:rsidP="00D40083">
      <w:pPr>
        <w:rPr>
          <w:noProof/>
          <w:lang w:val="en-IE"/>
        </w:rPr>
      </w:pPr>
      <w:r w:rsidRPr="002D1A58">
        <w:rPr>
          <w:noProof/>
          <w:lang w:val="en-IE"/>
        </w:rPr>
        <w:t xml:space="preserve">The impact assessment of the CF and the ERDF was carried out in 2018. </w:t>
      </w:r>
    </w:p>
    <w:p w14:paraId="0C08B6B3" w14:textId="77777777" w:rsidR="00D40083" w:rsidRPr="002D1A58" w:rsidRDefault="00D40083" w:rsidP="00D40083">
      <w:pPr>
        <w:rPr>
          <w:noProof/>
          <w:lang w:val="en-IE"/>
        </w:rPr>
      </w:pPr>
      <w:r w:rsidRPr="002D1A58">
        <w:rPr>
          <w:noProof/>
          <w:lang w:val="en-IE"/>
        </w:rPr>
        <w:t xml:space="preserve">For further information, please consult: </w:t>
      </w:r>
      <w:hyperlink r:id="rId201" w:history="1">
        <w:r w:rsidRPr="002D1A58">
          <w:rPr>
            <w:rStyle w:val="Hyperlink"/>
            <w:noProof/>
            <w:lang w:val="en-IE"/>
          </w:rPr>
          <w:t>https://europa.eu/!nG34XX</w:t>
        </w:r>
      </w:hyperlink>
    </w:p>
    <w:p w14:paraId="4555AA33" w14:textId="77777777" w:rsidR="00D40083" w:rsidRPr="002D1A58" w:rsidRDefault="00D40083" w:rsidP="00D40083">
      <w:pPr>
        <w:pStyle w:val="ppoHeading6"/>
        <w:rPr>
          <w:noProof/>
          <w:lang w:val="en-IE"/>
        </w:rPr>
      </w:pPr>
      <w:r w:rsidRPr="002D1A58">
        <w:rPr>
          <w:noProof/>
          <w:lang w:val="en-IE"/>
        </w:rPr>
        <w:t>WEBSITE FOR more information</w:t>
      </w:r>
    </w:p>
    <w:p w14:paraId="026F30B6" w14:textId="77777777" w:rsidR="00D40083" w:rsidRPr="002D1A58" w:rsidRDefault="00E01E9B" w:rsidP="00D40083">
      <w:pPr>
        <w:rPr>
          <w:noProof/>
          <w:lang w:val="en-IE"/>
        </w:rPr>
      </w:pPr>
      <w:hyperlink r:id="rId202" w:history="1">
        <w:r w:rsidR="00D40083" w:rsidRPr="002D1A58">
          <w:rPr>
            <w:rStyle w:val="Hyperlink"/>
            <w:noProof/>
            <w:lang w:val="en-IE"/>
          </w:rPr>
          <w:t>https://europa.eu/!fW37RX</w:t>
        </w:r>
      </w:hyperlink>
      <w:r w:rsidR="00D40083" w:rsidRPr="002D1A58">
        <w:rPr>
          <w:noProof/>
          <w:lang w:val="en-IE"/>
        </w:rPr>
        <w:t xml:space="preserve"> </w:t>
      </w:r>
    </w:p>
    <w:p w14:paraId="7EAC62D9" w14:textId="77777777" w:rsidR="00D40083" w:rsidRPr="002D1A58" w:rsidRDefault="00E01E9B" w:rsidP="00D40083">
      <w:pPr>
        <w:rPr>
          <w:noProof/>
          <w:lang w:val="en-IE"/>
        </w:rPr>
      </w:pPr>
      <w:hyperlink r:id="rId203" w:history="1">
        <w:r w:rsidR="00D40083" w:rsidRPr="002D1A58">
          <w:rPr>
            <w:rStyle w:val="Hyperlink"/>
            <w:noProof/>
            <w:lang w:val="en-IE"/>
          </w:rPr>
          <w:t>https://europa.eu/!Du73NN</w:t>
        </w:r>
      </w:hyperlink>
      <w:r w:rsidR="00D40083" w:rsidRPr="002D1A58">
        <w:rPr>
          <w:noProof/>
          <w:lang w:val="en-IE"/>
        </w:rPr>
        <w:t xml:space="preserve"> </w:t>
      </w:r>
    </w:p>
    <w:p w14:paraId="36590988" w14:textId="77777777" w:rsidR="00D40083" w:rsidRPr="002D1A58" w:rsidRDefault="00E01E9B" w:rsidP="00D40083">
      <w:pPr>
        <w:rPr>
          <w:noProof/>
          <w:lang w:val="en-IE"/>
        </w:rPr>
      </w:pPr>
      <w:hyperlink r:id="rId204" w:history="1">
        <w:r w:rsidR="00D40083" w:rsidRPr="002D1A58">
          <w:rPr>
            <w:rStyle w:val="Hyperlink"/>
            <w:noProof/>
            <w:lang w:val="en-IE"/>
          </w:rPr>
          <w:t>https://cohesiondata.ec.europa.eu/</w:t>
        </w:r>
      </w:hyperlink>
    </w:p>
    <w:p w14:paraId="10CF8A24" w14:textId="77777777" w:rsidR="00D40083" w:rsidRPr="002D1A58" w:rsidRDefault="00D40083" w:rsidP="00D40083">
      <w:pPr>
        <w:pStyle w:val="ppoHeading5"/>
        <w:rPr>
          <w:noProof/>
          <w:lang w:val="en-IE"/>
        </w:rPr>
      </w:pPr>
      <w:r w:rsidRPr="002D1A58">
        <w:rPr>
          <w:rFonts w:eastAsiaTheme="minorEastAsia"/>
          <w:noProof/>
          <w:lang w:val="en-IE"/>
        </w:rPr>
        <w:t>Legal basis</w:t>
      </w:r>
    </w:p>
    <w:p w14:paraId="04F3317E" w14:textId="77777777" w:rsidR="00D40083" w:rsidRPr="002D1A58" w:rsidRDefault="00D40083" w:rsidP="00D40083">
      <w:pPr>
        <w:rPr>
          <w:noProof/>
          <w:lang w:val="en-IE"/>
        </w:rPr>
      </w:pPr>
      <w:r w:rsidRPr="002D1A58">
        <w:rPr>
          <w:noProof/>
          <w:lang w:val="en-IE"/>
        </w:rPr>
        <w:t>Regulation (EU)</w:t>
      </w:r>
      <w:r w:rsidRPr="002D1A58">
        <w:rPr>
          <w:rFonts w:ascii="Calibri" w:hAnsi="Calibri" w:cs="Calibri"/>
          <w:noProof/>
          <w:lang w:val="en-IE"/>
        </w:rPr>
        <w:t> </w:t>
      </w:r>
      <w:r w:rsidRPr="002D1A58">
        <w:rPr>
          <w:noProof/>
          <w:lang w:val="en-IE"/>
        </w:rPr>
        <w:t>2021/1060 of the European Parliament and of the Council.</w:t>
      </w:r>
    </w:p>
    <w:p w14:paraId="00BE5AE9" w14:textId="77777777" w:rsidR="00D40083" w:rsidRPr="002D1A58" w:rsidRDefault="00D40083" w:rsidP="00D40083">
      <w:pPr>
        <w:pStyle w:val="ppoHeading4Green"/>
        <w:rPr>
          <w:caps/>
          <w:noProof/>
          <w:lang w:val="en-IE"/>
        </w:rPr>
      </w:pPr>
      <w:r w:rsidRPr="002D1A58">
        <w:rPr>
          <w:noProof/>
          <w:lang w:val="en-IE"/>
        </w:rPr>
        <w:t xml:space="preserve">Implementation and performance </w:t>
      </w:r>
    </w:p>
    <w:p w14:paraId="21B24F99" w14:textId="77777777" w:rsidR="00D40083" w:rsidRPr="002D1A58" w:rsidRDefault="00D40083" w:rsidP="00D40083">
      <w:pPr>
        <w:pStyle w:val="ppoHeading5"/>
        <w:rPr>
          <w:noProof/>
          <w:lang w:val="en-IE"/>
        </w:rPr>
      </w:pPr>
      <w:r w:rsidRPr="002D1A58">
        <w:rPr>
          <w:noProof/>
          <w:lang w:val="en-IE"/>
        </w:rPr>
        <w:t xml:space="preserve">Budget </w:t>
      </w:r>
    </w:p>
    <w:p w14:paraId="50A467D7" w14:textId="77777777" w:rsidR="00D40083" w:rsidRPr="002D1A58" w:rsidRDefault="00D40083" w:rsidP="00D40083">
      <w:pPr>
        <w:pStyle w:val="ppoTableTabletitle"/>
        <w:rPr>
          <w:noProof/>
          <w:lang w:val="en-IE"/>
        </w:rPr>
      </w:pPr>
      <w:r w:rsidRPr="002D1A58">
        <w:rPr>
          <w:noProof/>
          <w:lang w:val="en-IE"/>
        </w:rPr>
        <w:t>Budget programming of regional policy (million 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D40083" w:rsidRPr="002D1A58" w14:paraId="2ECC73C3" w14:textId="77777777" w:rsidTr="00AF1C52">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4E307E7B" w14:textId="77777777" w:rsidR="00D40083" w:rsidRPr="002D1A58" w:rsidRDefault="00D40083" w:rsidP="00AF1C52">
            <w:pPr>
              <w:rPr>
                <w:noProof/>
                <w:lang w:val="en-IE"/>
              </w:rPr>
            </w:pPr>
          </w:p>
        </w:tc>
        <w:tc>
          <w:tcPr>
            <w:tcW w:w="943" w:type="dxa"/>
            <w:noWrap/>
            <w:hideMark/>
          </w:tcPr>
          <w:p w14:paraId="35710EE6" w14:textId="77777777" w:rsidR="00D40083" w:rsidRPr="002D1A58" w:rsidRDefault="00D40083" w:rsidP="00AF1C52">
            <w:pPr>
              <w:rPr>
                <w:noProof/>
                <w:lang w:val="en-IE"/>
              </w:rPr>
            </w:pPr>
            <w:r w:rsidRPr="002D1A58">
              <w:rPr>
                <w:noProof/>
                <w:lang w:val="en-IE"/>
              </w:rPr>
              <w:t>2021</w:t>
            </w:r>
          </w:p>
        </w:tc>
        <w:tc>
          <w:tcPr>
            <w:tcW w:w="944" w:type="dxa"/>
            <w:noWrap/>
            <w:hideMark/>
          </w:tcPr>
          <w:p w14:paraId="4D555BB4" w14:textId="77777777" w:rsidR="00D40083" w:rsidRPr="002D1A58" w:rsidRDefault="00D40083" w:rsidP="00AF1C52">
            <w:pPr>
              <w:rPr>
                <w:noProof/>
                <w:lang w:val="en-IE"/>
              </w:rPr>
            </w:pPr>
            <w:r w:rsidRPr="002D1A58">
              <w:rPr>
                <w:noProof/>
                <w:lang w:val="en-IE"/>
              </w:rPr>
              <w:t>2022</w:t>
            </w:r>
          </w:p>
        </w:tc>
        <w:tc>
          <w:tcPr>
            <w:tcW w:w="943" w:type="dxa"/>
            <w:noWrap/>
            <w:hideMark/>
          </w:tcPr>
          <w:p w14:paraId="5EABF389" w14:textId="77777777" w:rsidR="00D40083" w:rsidRPr="002D1A58" w:rsidRDefault="00D40083" w:rsidP="00AF1C52">
            <w:pPr>
              <w:rPr>
                <w:noProof/>
                <w:lang w:val="en-IE"/>
              </w:rPr>
            </w:pPr>
            <w:r w:rsidRPr="002D1A58">
              <w:rPr>
                <w:noProof/>
                <w:lang w:val="en-IE"/>
              </w:rPr>
              <w:t>2023</w:t>
            </w:r>
          </w:p>
        </w:tc>
        <w:tc>
          <w:tcPr>
            <w:tcW w:w="944" w:type="dxa"/>
            <w:noWrap/>
            <w:hideMark/>
          </w:tcPr>
          <w:p w14:paraId="05AAC53C" w14:textId="77777777" w:rsidR="00D40083" w:rsidRPr="002D1A58" w:rsidRDefault="00D40083" w:rsidP="00AF1C52">
            <w:pPr>
              <w:rPr>
                <w:noProof/>
                <w:lang w:val="en-IE"/>
              </w:rPr>
            </w:pPr>
            <w:r w:rsidRPr="002D1A58">
              <w:rPr>
                <w:noProof/>
                <w:lang w:val="en-IE"/>
              </w:rPr>
              <w:t>2024</w:t>
            </w:r>
          </w:p>
        </w:tc>
        <w:tc>
          <w:tcPr>
            <w:tcW w:w="944" w:type="dxa"/>
            <w:noWrap/>
            <w:hideMark/>
          </w:tcPr>
          <w:p w14:paraId="035D48F2" w14:textId="77777777" w:rsidR="00D40083" w:rsidRPr="002D1A58" w:rsidRDefault="00D40083" w:rsidP="00AF1C52">
            <w:pPr>
              <w:rPr>
                <w:noProof/>
                <w:lang w:val="en-IE"/>
              </w:rPr>
            </w:pPr>
            <w:r w:rsidRPr="002D1A58">
              <w:rPr>
                <w:noProof/>
                <w:lang w:val="en-IE"/>
              </w:rPr>
              <w:t>2025</w:t>
            </w:r>
          </w:p>
        </w:tc>
        <w:tc>
          <w:tcPr>
            <w:tcW w:w="943" w:type="dxa"/>
            <w:noWrap/>
            <w:hideMark/>
          </w:tcPr>
          <w:p w14:paraId="2CC41D98" w14:textId="77777777" w:rsidR="00D40083" w:rsidRPr="002D1A58" w:rsidRDefault="00D40083" w:rsidP="00AF1C52">
            <w:pPr>
              <w:rPr>
                <w:noProof/>
                <w:lang w:val="en-IE"/>
              </w:rPr>
            </w:pPr>
            <w:r w:rsidRPr="002D1A58">
              <w:rPr>
                <w:noProof/>
                <w:lang w:val="en-IE"/>
              </w:rPr>
              <w:t>2026</w:t>
            </w:r>
          </w:p>
        </w:tc>
        <w:tc>
          <w:tcPr>
            <w:tcW w:w="944" w:type="dxa"/>
            <w:noWrap/>
            <w:hideMark/>
          </w:tcPr>
          <w:p w14:paraId="7AB0141A" w14:textId="77777777" w:rsidR="00D40083" w:rsidRPr="002D1A58" w:rsidRDefault="00D40083" w:rsidP="00AF1C52">
            <w:pPr>
              <w:rPr>
                <w:noProof/>
                <w:lang w:val="en-IE"/>
              </w:rPr>
            </w:pPr>
            <w:r w:rsidRPr="002D1A58">
              <w:rPr>
                <w:noProof/>
                <w:lang w:val="en-IE"/>
              </w:rPr>
              <w:t>2027</w:t>
            </w:r>
          </w:p>
        </w:tc>
        <w:tc>
          <w:tcPr>
            <w:tcW w:w="944" w:type="dxa"/>
            <w:noWrap/>
            <w:hideMark/>
          </w:tcPr>
          <w:p w14:paraId="50001903" w14:textId="77777777" w:rsidR="00D40083" w:rsidRPr="002D1A58" w:rsidRDefault="00D40083" w:rsidP="00AF1C52">
            <w:pPr>
              <w:rPr>
                <w:noProof/>
                <w:lang w:val="en-IE"/>
              </w:rPr>
            </w:pPr>
            <w:r w:rsidRPr="002D1A58">
              <w:rPr>
                <w:noProof/>
                <w:lang w:val="en-IE"/>
              </w:rPr>
              <w:t>Total</w:t>
            </w:r>
          </w:p>
        </w:tc>
      </w:tr>
      <w:tr w:rsidR="00186D8D" w:rsidRPr="002D1A58" w14:paraId="1388CBD7" w14:textId="77777777" w:rsidTr="00AF1C52">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7481DA5A" w14:textId="77777777" w:rsidR="00186D8D" w:rsidRPr="002D1A58" w:rsidRDefault="00186D8D" w:rsidP="00186D8D">
            <w:pPr>
              <w:rPr>
                <w:noProof/>
                <w:lang w:val="en-IE"/>
              </w:rPr>
            </w:pPr>
            <w:r w:rsidRPr="002D1A58">
              <w:rPr>
                <w:noProof/>
                <w:lang w:val="en-IE"/>
              </w:rPr>
              <w:t>Financial programming</w:t>
            </w:r>
          </w:p>
        </w:tc>
        <w:tc>
          <w:tcPr>
            <w:tcW w:w="943" w:type="dxa"/>
            <w:noWrap/>
            <w:hideMark/>
          </w:tcPr>
          <w:p w14:paraId="34A298B8" w14:textId="77777777" w:rsidR="00186D8D" w:rsidRPr="00AD40B4" w:rsidRDefault="00186D8D" w:rsidP="00186D8D">
            <w:pPr>
              <w:jc w:val="center"/>
              <w:rPr>
                <w:noProof/>
                <w:sz w:val="20"/>
                <w:szCs w:val="20"/>
                <w:lang w:val="en-IE"/>
              </w:rPr>
            </w:pPr>
            <w:r w:rsidRPr="00AD40B4">
              <w:rPr>
                <w:noProof/>
                <w:sz w:val="20"/>
                <w:szCs w:val="20"/>
                <w:lang w:val="en-IE"/>
              </w:rPr>
              <w:t>261.7</w:t>
            </w:r>
          </w:p>
        </w:tc>
        <w:tc>
          <w:tcPr>
            <w:tcW w:w="944" w:type="dxa"/>
            <w:noWrap/>
            <w:vAlign w:val="bottom"/>
            <w:hideMark/>
          </w:tcPr>
          <w:p w14:paraId="5CC9A595" w14:textId="77777777" w:rsidR="00186D8D" w:rsidRPr="00AD40B4" w:rsidRDefault="00186D8D" w:rsidP="00186D8D">
            <w:pPr>
              <w:jc w:val="center"/>
              <w:rPr>
                <w:noProof/>
                <w:sz w:val="20"/>
                <w:szCs w:val="20"/>
                <w:lang w:val="en-IE"/>
              </w:rPr>
            </w:pPr>
            <w:r w:rsidRPr="00AD40B4">
              <w:rPr>
                <w:noProof/>
                <w:sz w:val="20"/>
                <w:szCs w:val="20"/>
                <w:lang w:val="en-IE"/>
              </w:rPr>
              <w:t>43 436.4</w:t>
            </w:r>
          </w:p>
        </w:tc>
        <w:tc>
          <w:tcPr>
            <w:tcW w:w="943" w:type="dxa"/>
            <w:noWrap/>
            <w:vAlign w:val="bottom"/>
            <w:hideMark/>
          </w:tcPr>
          <w:p w14:paraId="3EE21DB2" w14:textId="77777777" w:rsidR="00186D8D" w:rsidRPr="00AD40B4" w:rsidRDefault="00186D8D" w:rsidP="00186D8D">
            <w:pPr>
              <w:jc w:val="center"/>
              <w:rPr>
                <w:noProof/>
                <w:sz w:val="20"/>
                <w:szCs w:val="20"/>
                <w:lang w:val="en-IE"/>
              </w:rPr>
            </w:pPr>
            <w:r w:rsidRPr="00AD40B4">
              <w:rPr>
                <w:noProof/>
                <w:sz w:val="20"/>
                <w:szCs w:val="20"/>
                <w:lang w:val="en-IE"/>
              </w:rPr>
              <w:t>44 457.2</w:t>
            </w:r>
          </w:p>
        </w:tc>
        <w:tc>
          <w:tcPr>
            <w:tcW w:w="944" w:type="dxa"/>
            <w:noWrap/>
            <w:vAlign w:val="bottom"/>
            <w:hideMark/>
          </w:tcPr>
          <w:p w14:paraId="039A03F8" w14:textId="2F7DEAF1" w:rsidR="00186D8D" w:rsidRPr="00AD40B4" w:rsidRDefault="00186D8D" w:rsidP="00186D8D">
            <w:pPr>
              <w:jc w:val="center"/>
              <w:rPr>
                <w:noProof/>
                <w:sz w:val="20"/>
                <w:szCs w:val="20"/>
                <w:lang w:val="en-IE"/>
              </w:rPr>
            </w:pPr>
            <w:r>
              <w:rPr>
                <w:rFonts w:ascii="Calibri" w:hAnsi="Calibri" w:cs="Calibri"/>
                <w:noProof/>
                <w:color w:val="000000"/>
              </w:rPr>
              <w:t>45 704.8</w:t>
            </w:r>
          </w:p>
        </w:tc>
        <w:tc>
          <w:tcPr>
            <w:tcW w:w="944" w:type="dxa"/>
            <w:noWrap/>
            <w:vAlign w:val="bottom"/>
            <w:hideMark/>
          </w:tcPr>
          <w:p w14:paraId="4696ED74" w14:textId="0CAADD25" w:rsidR="00186D8D" w:rsidRPr="00AD40B4" w:rsidRDefault="00186D8D" w:rsidP="00186D8D">
            <w:pPr>
              <w:jc w:val="center"/>
              <w:rPr>
                <w:noProof/>
                <w:sz w:val="20"/>
                <w:szCs w:val="20"/>
                <w:lang w:val="en-IE"/>
              </w:rPr>
            </w:pPr>
            <w:r>
              <w:rPr>
                <w:rFonts w:ascii="Calibri" w:hAnsi="Calibri" w:cs="Calibri"/>
                <w:noProof/>
                <w:color w:val="000000"/>
              </w:rPr>
              <w:t>46 990.1</w:t>
            </w:r>
          </w:p>
        </w:tc>
        <w:tc>
          <w:tcPr>
            <w:tcW w:w="943" w:type="dxa"/>
            <w:noWrap/>
            <w:vAlign w:val="bottom"/>
            <w:hideMark/>
          </w:tcPr>
          <w:p w14:paraId="27204300" w14:textId="11F293C2" w:rsidR="00186D8D" w:rsidRPr="00AD40B4" w:rsidRDefault="00186D8D" w:rsidP="00186D8D">
            <w:pPr>
              <w:jc w:val="center"/>
              <w:rPr>
                <w:noProof/>
                <w:sz w:val="20"/>
                <w:szCs w:val="20"/>
                <w:lang w:val="en-IE"/>
              </w:rPr>
            </w:pPr>
            <w:r>
              <w:rPr>
                <w:rFonts w:ascii="Calibri" w:hAnsi="Calibri" w:cs="Calibri"/>
                <w:noProof/>
                <w:color w:val="000000"/>
              </w:rPr>
              <w:t>39 923.5</w:t>
            </w:r>
          </w:p>
        </w:tc>
        <w:tc>
          <w:tcPr>
            <w:tcW w:w="944" w:type="dxa"/>
            <w:noWrap/>
            <w:vAlign w:val="bottom"/>
            <w:hideMark/>
          </w:tcPr>
          <w:p w14:paraId="1BB711E5" w14:textId="221B3F9D" w:rsidR="00186D8D" w:rsidRPr="00AD40B4" w:rsidRDefault="00186D8D" w:rsidP="00186D8D">
            <w:pPr>
              <w:jc w:val="center"/>
              <w:rPr>
                <w:noProof/>
                <w:sz w:val="20"/>
                <w:szCs w:val="20"/>
                <w:lang w:val="en-IE"/>
              </w:rPr>
            </w:pPr>
            <w:r>
              <w:rPr>
                <w:rFonts w:ascii="Calibri" w:hAnsi="Calibri" w:cs="Calibri"/>
                <w:noProof/>
                <w:color w:val="000000"/>
              </w:rPr>
              <w:t>41 292.9</w:t>
            </w:r>
          </w:p>
        </w:tc>
        <w:tc>
          <w:tcPr>
            <w:tcW w:w="944" w:type="dxa"/>
            <w:noWrap/>
            <w:vAlign w:val="bottom"/>
            <w:hideMark/>
          </w:tcPr>
          <w:p w14:paraId="59364F30" w14:textId="0A641E1D" w:rsidR="00186D8D" w:rsidRPr="00AD40B4" w:rsidRDefault="00186D8D" w:rsidP="00186D8D">
            <w:pPr>
              <w:jc w:val="center"/>
              <w:rPr>
                <w:noProof/>
                <w:sz w:val="20"/>
                <w:szCs w:val="20"/>
                <w:lang w:val="en-IE"/>
              </w:rPr>
            </w:pPr>
            <w:r>
              <w:rPr>
                <w:rFonts w:ascii="Calibri" w:hAnsi="Calibri" w:cs="Calibri"/>
                <w:noProof/>
                <w:color w:val="000000"/>
              </w:rPr>
              <w:t>262 066.6</w:t>
            </w:r>
          </w:p>
        </w:tc>
      </w:tr>
      <w:tr w:rsidR="00D40083" w:rsidRPr="002D1A58" w14:paraId="3BFB68B1" w14:textId="77777777" w:rsidTr="00AF1C52">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0200C410" w14:textId="77777777" w:rsidR="00D40083" w:rsidRPr="002D1A58" w:rsidRDefault="00D40083" w:rsidP="00AF1C52">
            <w:pPr>
              <w:rPr>
                <w:noProof/>
                <w:lang w:val="en-IE"/>
              </w:rPr>
            </w:pPr>
            <w:r w:rsidRPr="002D1A58">
              <w:rPr>
                <w:noProof/>
                <w:lang w:val="en-IE"/>
              </w:rPr>
              <w:t>NextGenerationEU</w:t>
            </w:r>
          </w:p>
        </w:tc>
        <w:tc>
          <w:tcPr>
            <w:tcW w:w="943" w:type="dxa"/>
            <w:noWrap/>
            <w:hideMark/>
          </w:tcPr>
          <w:p w14:paraId="726E3BD4" w14:textId="77777777" w:rsidR="00D40083" w:rsidRPr="00AD40B4" w:rsidRDefault="00D40083" w:rsidP="00AF1C52">
            <w:pPr>
              <w:jc w:val="center"/>
              <w:rPr>
                <w:noProof/>
                <w:sz w:val="20"/>
                <w:szCs w:val="20"/>
                <w:lang w:val="en-IE"/>
              </w:rPr>
            </w:pPr>
          </w:p>
        </w:tc>
        <w:tc>
          <w:tcPr>
            <w:tcW w:w="944" w:type="dxa"/>
            <w:noWrap/>
            <w:hideMark/>
          </w:tcPr>
          <w:p w14:paraId="09FA1FB2" w14:textId="77777777" w:rsidR="00D40083" w:rsidRPr="00AD40B4" w:rsidRDefault="00D40083" w:rsidP="00AF1C52">
            <w:pPr>
              <w:jc w:val="center"/>
              <w:rPr>
                <w:noProof/>
                <w:sz w:val="20"/>
                <w:szCs w:val="20"/>
                <w:lang w:val="en-IE"/>
              </w:rPr>
            </w:pPr>
          </w:p>
        </w:tc>
        <w:tc>
          <w:tcPr>
            <w:tcW w:w="943" w:type="dxa"/>
            <w:noWrap/>
            <w:hideMark/>
          </w:tcPr>
          <w:p w14:paraId="5B9E9474" w14:textId="77777777" w:rsidR="00D40083" w:rsidRPr="00AD40B4" w:rsidRDefault="00D40083" w:rsidP="00AF1C52">
            <w:pPr>
              <w:jc w:val="center"/>
              <w:rPr>
                <w:noProof/>
                <w:sz w:val="20"/>
                <w:szCs w:val="20"/>
                <w:lang w:val="en-IE"/>
              </w:rPr>
            </w:pPr>
          </w:p>
        </w:tc>
        <w:tc>
          <w:tcPr>
            <w:tcW w:w="944" w:type="dxa"/>
            <w:noWrap/>
            <w:hideMark/>
          </w:tcPr>
          <w:p w14:paraId="6DB20718" w14:textId="77777777" w:rsidR="00D40083" w:rsidRPr="00AD40B4" w:rsidRDefault="00D40083" w:rsidP="00AF1C52">
            <w:pPr>
              <w:jc w:val="center"/>
              <w:rPr>
                <w:noProof/>
                <w:sz w:val="20"/>
                <w:szCs w:val="20"/>
                <w:lang w:val="en-IE"/>
              </w:rPr>
            </w:pPr>
          </w:p>
        </w:tc>
        <w:tc>
          <w:tcPr>
            <w:tcW w:w="944" w:type="dxa"/>
            <w:noWrap/>
            <w:hideMark/>
          </w:tcPr>
          <w:p w14:paraId="61C72591" w14:textId="77777777" w:rsidR="00D40083" w:rsidRPr="00AD40B4" w:rsidRDefault="00D40083" w:rsidP="00AF1C52">
            <w:pPr>
              <w:jc w:val="center"/>
              <w:rPr>
                <w:noProof/>
                <w:sz w:val="20"/>
                <w:szCs w:val="20"/>
                <w:lang w:val="en-IE"/>
              </w:rPr>
            </w:pPr>
          </w:p>
        </w:tc>
        <w:tc>
          <w:tcPr>
            <w:tcW w:w="943" w:type="dxa"/>
            <w:noWrap/>
            <w:hideMark/>
          </w:tcPr>
          <w:p w14:paraId="2FF923A3" w14:textId="77777777" w:rsidR="00D40083" w:rsidRPr="00AD40B4" w:rsidRDefault="00D40083" w:rsidP="00AF1C52">
            <w:pPr>
              <w:jc w:val="center"/>
              <w:rPr>
                <w:noProof/>
                <w:sz w:val="20"/>
                <w:szCs w:val="20"/>
                <w:lang w:val="en-IE"/>
              </w:rPr>
            </w:pPr>
          </w:p>
        </w:tc>
        <w:tc>
          <w:tcPr>
            <w:tcW w:w="944" w:type="dxa"/>
            <w:noWrap/>
            <w:hideMark/>
          </w:tcPr>
          <w:p w14:paraId="03D8F6A4" w14:textId="77777777" w:rsidR="00D40083" w:rsidRPr="00AD40B4" w:rsidRDefault="00D40083" w:rsidP="00AF1C52">
            <w:pPr>
              <w:jc w:val="center"/>
              <w:rPr>
                <w:noProof/>
                <w:sz w:val="20"/>
                <w:szCs w:val="20"/>
                <w:lang w:val="en-IE"/>
              </w:rPr>
            </w:pPr>
          </w:p>
        </w:tc>
        <w:tc>
          <w:tcPr>
            <w:tcW w:w="944" w:type="dxa"/>
            <w:noWrap/>
            <w:hideMark/>
          </w:tcPr>
          <w:p w14:paraId="357A9D90" w14:textId="77777777" w:rsidR="00D40083" w:rsidRPr="00AD40B4" w:rsidRDefault="00D40083" w:rsidP="00AF1C52">
            <w:pPr>
              <w:jc w:val="center"/>
              <w:rPr>
                <w:noProof/>
                <w:sz w:val="20"/>
                <w:szCs w:val="20"/>
                <w:lang w:val="en-IE"/>
              </w:rPr>
            </w:pPr>
          </w:p>
        </w:tc>
      </w:tr>
      <w:tr w:rsidR="00D40083" w:rsidRPr="002D1A58" w14:paraId="3B5314A6" w14:textId="77777777" w:rsidTr="00AF1C52">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36EC1DCD" w14:textId="77777777" w:rsidR="00D40083" w:rsidRPr="002D1A58" w:rsidRDefault="00D40083" w:rsidP="00AF1C52">
            <w:pPr>
              <w:rPr>
                <w:noProof/>
                <w:lang w:val="en-IE"/>
              </w:rPr>
            </w:pPr>
            <w:r w:rsidRPr="002D1A58">
              <w:rPr>
                <w:noProof/>
                <w:lang w:val="en-IE"/>
              </w:rPr>
              <w:t>Decommitments made available again</w:t>
            </w:r>
            <w:r w:rsidRPr="002D1A58">
              <w:rPr>
                <w:rFonts w:ascii="Calibri" w:hAnsi="Calibri" w:cs="Calibri"/>
                <w:noProof/>
                <w:lang w:val="en-IE"/>
              </w:rPr>
              <w:t> </w:t>
            </w:r>
            <w:r w:rsidRPr="002D1A58">
              <w:rPr>
                <w:rFonts w:cs="Calibri"/>
                <w:noProof/>
                <w:lang w:val="en-IE"/>
              </w:rPr>
              <w:t>(</w:t>
            </w:r>
            <w:r w:rsidRPr="002D1A58">
              <w:rPr>
                <w:noProof/>
                <w:lang w:val="en-IE"/>
              </w:rPr>
              <w:t>*)</w:t>
            </w:r>
          </w:p>
        </w:tc>
        <w:tc>
          <w:tcPr>
            <w:tcW w:w="943" w:type="dxa"/>
            <w:noWrap/>
            <w:hideMark/>
          </w:tcPr>
          <w:p w14:paraId="1B401099" w14:textId="77777777" w:rsidR="00D40083" w:rsidRPr="00AD40B4" w:rsidRDefault="00D40083" w:rsidP="00AF1C52">
            <w:pPr>
              <w:jc w:val="center"/>
              <w:rPr>
                <w:noProof/>
                <w:sz w:val="20"/>
                <w:szCs w:val="20"/>
                <w:lang w:val="en-IE"/>
              </w:rPr>
            </w:pPr>
            <w:r w:rsidRPr="00AD40B4">
              <w:rPr>
                <w:noProof/>
                <w:sz w:val="20"/>
                <w:szCs w:val="20"/>
                <w:lang w:val="en-IE"/>
              </w:rPr>
              <w:t>N/A</w:t>
            </w:r>
          </w:p>
        </w:tc>
        <w:tc>
          <w:tcPr>
            <w:tcW w:w="944" w:type="dxa"/>
            <w:noWrap/>
            <w:hideMark/>
          </w:tcPr>
          <w:p w14:paraId="03C9903B" w14:textId="77777777" w:rsidR="00D40083" w:rsidRPr="00AD40B4" w:rsidRDefault="00D40083" w:rsidP="00AF1C52">
            <w:pPr>
              <w:jc w:val="center"/>
              <w:rPr>
                <w:noProof/>
                <w:sz w:val="20"/>
                <w:szCs w:val="20"/>
                <w:lang w:val="en-IE"/>
              </w:rPr>
            </w:pPr>
          </w:p>
        </w:tc>
        <w:tc>
          <w:tcPr>
            <w:tcW w:w="943" w:type="dxa"/>
            <w:noWrap/>
            <w:hideMark/>
          </w:tcPr>
          <w:p w14:paraId="66AEE852" w14:textId="77777777" w:rsidR="00D40083" w:rsidRPr="00AD40B4" w:rsidRDefault="00D40083" w:rsidP="00AF1C52">
            <w:pPr>
              <w:jc w:val="center"/>
              <w:rPr>
                <w:noProof/>
                <w:sz w:val="20"/>
                <w:szCs w:val="20"/>
                <w:lang w:val="en-IE"/>
              </w:rPr>
            </w:pPr>
          </w:p>
        </w:tc>
        <w:tc>
          <w:tcPr>
            <w:tcW w:w="944" w:type="dxa"/>
            <w:noWrap/>
            <w:hideMark/>
          </w:tcPr>
          <w:p w14:paraId="5F13772A" w14:textId="77777777" w:rsidR="00D40083" w:rsidRPr="00AD40B4" w:rsidRDefault="00D40083" w:rsidP="00AF1C52">
            <w:pPr>
              <w:jc w:val="center"/>
              <w:rPr>
                <w:noProof/>
                <w:sz w:val="20"/>
                <w:szCs w:val="20"/>
                <w:lang w:val="en-IE"/>
              </w:rPr>
            </w:pPr>
          </w:p>
        </w:tc>
        <w:tc>
          <w:tcPr>
            <w:tcW w:w="944" w:type="dxa"/>
            <w:noWrap/>
            <w:hideMark/>
          </w:tcPr>
          <w:p w14:paraId="08CF7D3F" w14:textId="77777777" w:rsidR="00D40083" w:rsidRPr="00AD40B4" w:rsidRDefault="00D40083" w:rsidP="00AF1C52">
            <w:pPr>
              <w:jc w:val="center"/>
              <w:rPr>
                <w:noProof/>
                <w:sz w:val="20"/>
                <w:szCs w:val="20"/>
                <w:lang w:val="en-IE"/>
              </w:rPr>
            </w:pPr>
          </w:p>
        </w:tc>
        <w:tc>
          <w:tcPr>
            <w:tcW w:w="943" w:type="dxa"/>
            <w:noWrap/>
            <w:hideMark/>
          </w:tcPr>
          <w:p w14:paraId="1B049E73" w14:textId="77777777" w:rsidR="00D40083" w:rsidRPr="00AD40B4" w:rsidRDefault="00D40083" w:rsidP="00AF1C52">
            <w:pPr>
              <w:jc w:val="center"/>
              <w:rPr>
                <w:noProof/>
                <w:sz w:val="20"/>
                <w:szCs w:val="20"/>
                <w:lang w:val="en-IE"/>
              </w:rPr>
            </w:pPr>
          </w:p>
        </w:tc>
        <w:tc>
          <w:tcPr>
            <w:tcW w:w="944" w:type="dxa"/>
            <w:noWrap/>
            <w:hideMark/>
          </w:tcPr>
          <w:p w14:paraId="1B3F5CF9" w14:textId="77777777" w:rsidR="00D40083" w:rsidRPr="00AD40B4" w:rsidRDefault="00D40083" w:rsidP="00AF1C52">
            <w:pPr>
              <w:jc w:val="center"/>
              <w:rPr>
                <w:noProof/>
                <w:sz w:val="20"/>
                <w:szCs w:val="20"/>
                <w:lang w:val="en-IE"/>
              </w:rPr>
            </w:pPr>
          </w:p>
        </w:tc>
        <w:tc>
          <w:tcPr>
            <w:tcW w:w="944" w:type="dxa"/>
            <w:noWrap/>
            <w:hideMark/>
          </w:tcPr>
          <w:p w14:paraId="68DE82F6" w14:textId="77777777" w:rsidR="00D40083" w:rsidRPr="00AD40B4" w:rsidRDefault="00D40083" w:rsidP="00AF1C52">
            <w:pPr>
              <w:jc w:val="center"/>
              <w:rPr>
                <w:noProof/>
                <w:sz w:val="20"/>
                <w:szCs w:val="20"/>
                <w:lang w:val="en-IE"/>
              </w:rPr>
            </w:pPr>
            <w:r w:rsidRPr="00AD40B4">
              <w:rPr>
                <w:noProof/>
                <w:sz w:val="20"/>
                <w:szCs w:val="20"/>
                <w:lang w:val="en-IE"/>
              </w:rPr>
              <w:t>N/A</w:t>
            </w:r>
          </w:p>
        </w:tc>
      </w:tr>
      <w:tr w:rsidR="00D40083" w:rsidRPr="002D1A58" w14:paraId="0B145654" w14:textId="77777777" w:rsidTr="00AF1C52">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7D4BF2C0" w14:textId="77777777" w:rsidR="00D40083" w:rsidRPr="002D1A58" w:rsidRDefault="00D40083" w:rsidP="00AF1C52">
            <w:pPr>
              <w:rPr>
                <w:noProof/>
                <w:lang w:val="en-IE"/>
              </w:rPr>
            </w:pPr>
            <w:r w:rsidRPr="002D1A58">
              <w:rPr>
                <w:noProof/>
                <w:lang w:val="en-IE"/>
              </w:rPr>
              <w:t>Contributions from other countries and entities</w:t>
            </w:r>
          </w:p>
        </w:tc>
        <w:tc>
          <w:tcPr>
            <w:tcW w:w="943" w:type="dxa"/>
            <w:noWrap/>
            <w:hideMark/>
          </w:tcPr>
          <w:p w14:paraId="65ACB6C5" w14:textId="77777777" w:rsidR="00D40083" w:rsidRPr="00AD40B4" w:rsidRDefault="00D40083" w:rsidP="00AF1C52">
            <w:pPr>
              <w:jc w:val="center"/>
              <w:rPr>
                <w:noProof/>
                <w:sz w:val="20"/>
                <w:szCs w:val="20"/>
                <w:lang w:val="en-IE"/>
              </w:rPr>
            </w:pPr>
            <w:r w:rsidRPr="00AD40B4">
              <w:rPr>
                <w:noProof/>
                <w:sz w:val="20"/>
                <w:szCs w:val="20"/>
                <w:lang w:val="en-IE"/>
              </w:rPr>
              <w:t>0.0</w:t>
            </w:r>
          </w:p>
        </w:tc>
        <w:tc>
          <w:tcPr>
            <w:tcW w:w="944" w:type="dxa"/>
            <w:noWrap/>
            <w:hideMark/>
          </w:tcPr>
          <w:p w14:paraId="2DEC89B2" w14:textId="77777777" w:rsidR="00D40083" w:rsidRPr="00AD40B4" w:rsidRDefault="00D40083" w:rsidP="00AF1C52">
            <w:pPr>
              <w:jc w:val="center"/>
              <w:rPr>
                <w:noProof/>
                <w:sz w:val="20"/>
                <w:szCs w:val="20"/>
                <w:lang w:val="en-IE"/>
              </w:rPr>
            </w:pPr>
            <w:r w:rsidRPr="00AD40B4">
              <w:rPr>
                <w:noProof/>
                <w:sz w:val="20"/>
                <w:szCs w:val="20"/>
                <w:lang w:val="en-IE"/>
              </w:rPr>
              <w:t>p.m.</w:t>
            </w:r>
          </w:p>
        </w:tc>
        <w:tc>
          <w:tcPr>
            <w:tcW w:w="943" w:type="dxa"/>
            <w:noWrap/>
            <w:hideMark/>
          </w:tcPr>
          <w:p w14:paraId="666B3B3E" w14:textId="77777777" w:rsidR="00D40083" w:rsidRPr="00AD40B4" w:rsidRDefault="00D40083" w:rsidP="00AF1C52">
            <w:pPr>
              <w:jc w:val="center"/>
              <w:rPr>
                <w:noProof/>
                <w:sz w:val="20"/>
                <w:szCs w:val="20"/>
                <w:lang w:val="en-IE"/>
              </w:rPr>
            </w:pPr>
            <w:r w:rsidRPr="00AD40B4">
              <w:rPr>
                <w:noProof/>
                <w:sz w:val="20"/>
                <w:szCs w:val="20"/>
                <w:lang w:val="en-IE"/>
              </w:rPr>
              <w:t>p.m.</w:t>
            </w:r>
          </w:p>
        </w:tc>
        <w:tc>
          <w:tcPr>
            <w:tcW w:w="944" w:type="dxa"/>
            <w:noWrap/>
            <w:hideMark/>
          </w:tcPr>
          <w:p w14:paraId="3ACCA199" w14:textId="77777777" w:rsidR="00D40083" w:rsidRPr="00AD40B4" w:rsidRDefault="00D40083" w:rsidP="00AF1C52">
            <w:pPr>
              <w:jc w:val="center"/>
              <w:rPr>
                <w:noProof/>
                <w:sz w:val="20"/>
                <w:szCs w:val="20"/>
                <w:lang w:val="en-IE"/>
              </w:rPr>
            </w:pPr>
            <w:r w:rsidRPr="00AD40B4">
              <w:rPr>
                <w:noProof/>
                <w:sz w:val="20"/>
                <w:szCs w:val="20"/>
                <w:lang w:val="en-IE"/>
              </w:rPr>
              <w:t>p.m.</w:t>
            </w:r>
          </w:p>
        </w:tc>
        <w:tc>
          <w:tcPr>
            <w:tcW w:w="944" w:type="dxa"/>
            <w:noWrap/>
            <w:hideMark/>
          </w:tcPr>
          <w:p w14:paraId="57604FE2" w14:textId="77777777" w:rsidR="00D40083" w:rsidRPr="00AD40B4" w:rsidRDefault="00D40083" w:rsidP="00AF1C52">
            <w:pPr>
              <w:jc w:val="center"/>
              <w:rPr>
                <w:noProof/>
                <w:sz w:val="20"/>
                <w:szCs w:val="20"/>
                <w:lang w:val="en-IE"/>
              </w:rPr>
            </w:pPr>
            <w:r w:rsidRPr="00AD40B4">
              <w:rPr>
                <w:noProof/>
                <w:sz w:val="20"/>
                <w:szCs w:val="20"/>
                <w:lang w:val="en-IE"/>
              </w:rPr>
              <w:t>p.m.</w:t>
            </w:r>
          </w:p>
        </w:tc>
        <w:tc>
          <w:tcPr>
            <w:tcW w:w="943" w:type="dxa"/>
            <w:noWrap/>
            <w:hideMark/>
          </w:tcPr>
          <w:p w14:paraId="24E5811F" w14:textId="77777777" w:rsidR="00D40083" w:rsidRPr="00AD40B4" w:rsidRDefault="00D40083" w:rsidP="00AF1C52">
            <w:pPr>
              <w:jc w:val="center"/>
              <w:rPr>
                <w:noProof/>
                <w:sz w:val="20"/>
                <w:szCs w:val="20"/>
                <w:lang w:val="en-IE"/>
              </w:rPr>
            </w:pPr>
            <w:r w:rsidRPr="00AD40B4">
              <w:rPr>
                <w:noProof/>
                <w:sz w:val="20"/>
                <w:szCs w:val="20"/>
                <w:lang w:val="en-IE"/>
              </w:rPr>
              <w:t>p.m.</w:t>
            </w:r>
          </w:p>
        </w:tc>
        <w:tc>
          <w:tcPr>
            <w:tcW w:w="944" w:type="dxa"/>
            <w:noWrap/>
            <w:hideMark/>
          </w:tcPr>
          <w:p w14:paraId="13974AF2" w14:textId="77777777" w:rsidR="00D40083" w:rsidRPr="00AD40B4" w:rsidRDefault="00D40083" w:rsidP="00AF1C52">
            <w:pPr>
              <w:jc w:val="center"/>
              <w:rPr>
                <w:noProof/>
                <w:sz w:val="20"/>
                <w:szCs w:val="20"/>
                <w:lang w:val="en-IE"/>
              </w:rPr>
            </w:pPr>
            <w:r w:rsidRPr="00AD40B4">
              <w:rPr>
                <w:noProof/>
                <w:sz w:val="20"/>
                <w:szCs w:val="20"/>
                <w:lang w:val="en-IE"/>
              </w:rPr>
              <w:t>p.m.</w:t>
            </w:r>
          </w:p>
        </w:tc>
        <w:tc>
          <w:tcPr>
            <w:tcW w:w="944" w:type="dxa"/>
            <w:noWrap/>
            <w:hideMark/>
          </w:tcPr>
          <w:p w14:paraId="2E22E0BC" w14:textId="77777777" w:rsidR="00D40083" w:rsidRPr="00AD40B4" w:rsidRDefault="00D40083" w:rsidP="00AF1C52">
            <w:pPr>
              <w:jc w:val="center"/>
              <w:rPr>
                <w:noProof/>
                <w:sz w:val="20"/>
                <w:szCs w:val="20"/>
                <w:lang w:val="en-IE"/>
              </w:rPr>
            </w:pPr>
            <w:r w:rsidRPr="00AD40B4">
              <w:rPr>
                <w:noProof/>
                <w:sz w:val="20"/>
                <w:szCs w:val="20"/>
                <w:lang w:val="en-IE"/>
              </w:rPr>
              <w:t>0.0</w:t>
            </w:r>
          </w:p>
        </w:tc>
      </w:tr>
    </w:tbl>
    <w:p w14:paraId="264099AD" w14:textId="77777777" w:rsidR="00D40083" w:rsidRPr="002D1A58" w:rsidRDefault="00D40083" w:rsidP="00D40083">
      <w:pPr>
        <w:tabs>
          <w:tab w:val="left" w:pos="6793"/>
        </w:tabs>
        <w:rPr>
          <w:noProof/>
          <w:sz w:val="18"/>
          <w:szCs w:val="18"/>
          <w:lang w:val="en-IE"/>
        </w:rPr>
      </w:pPr>
      <w:r w:rsidRPr="002D1A58">
        <w:rPr>
          <w:noProof/>
          <w:sz w:val="18"/>
          <w:szCs w:val="18"/>
          <w:lang w:val="en-IE"/>
        </w:rPr>
        <w:t>(*) Only Article</w:t>
      </w:r>
      <w:r w:rsidRPr="002D1A58">
        <w:rPr>
          <w:rFonts w:ascii="Calibri" w:hAnsi="Calibri" w:cs="Calibri"/>
          <w:noProof/>
          <w:sz w:val="18"/>
          <w:szCs w:val="18"/>
          <w:lang w:val="en-IE"/>
        </w:rPr>
        <w:t> </w:t>
      </w:r>
      <w:r w:rsidRPr="002D1A58">
        <w:rPr>
          <w:noProof/>
          <w:sz w:val="18"/>
          <w:szCs w:val="18"/>
          <w:lang w:val="en-IE"/>
        </w:rPr>
        <w:t>15(3) of the f</w:t>
      </w:r>
      <w:r w:rsidRPr="00C14684">
        <w:rPr>
          <w:noProof/>
          <w:sz w:val="18"/>
          <w:szCs w:val="18"/>
          <w:lang w:val="en-IE"/>
        </w:rPr>
        <w:t xml:space="preserve">inancial </w:t>
      </w:r>
      <w:r w:rsidRPr="002D1A58">
        <w:rPr>
          <w:noProof/>
          <w:sz w:val="18"/>
          <w:szCs w:val="18"/>
          <w:lang w:val="en-IE"/>
        </w:rPr>
        <w:t>r</w:t>
      </w:r>
      <w:r w:rsidRPr="00C14684">
        <w:rPr>
          <w:noProof/>
          <w:sz w:val="18"/>
          <w:szCs w:val="18"/>
          <w:lang w:val="en-IE"/>
        </w:rPr>
        <w:t>egulation</w:t>
      </w:r>
      <w:r w:rsidRPr="002D1A58">
        <w:rPr>
          <w:noProof/>
          <w:sz w:val="18"/>
          <w:szCs w:val="18"/>
          <w:lang w:val="en-IE"/>
        </w:rPr>
        <w:t>.</w:t>
      </w:r>
    </w:p>
    <w:p w14:paraId="17544E6D" w14:textId="77777777" w:rsidR="00D40083" w:rsidRPr="002D1A58" w:rsidRDefault="00D40083" w:rsidP="00D40083">
      <w:pPr>
        <w:rPr>
          <w:noProof/>
          <w:lang w:val="en-IE"/>
        </w:rPr>
      </w:pPr>
    </w:p>
    <w:p w14:paraId="18517781" w14:textId="77777777" w:rsidR="00D40083" w:rsidRPr="002D1A58" w:rsidRDefault="00D40083" w:rsidP="00D40083">
      <w:pPr>
        <w:pStyle w:val="ppoTableTabletitle"/>
        <w:rPr>
          <w:noProof/>
          <w:lang w:val="en-IE"/>
        </w:rPr>
      </w:pPr>
      <w:r w:rsidRPr="002D1A58">
        <w:rPr>
          <w:noProof/>
          <w:lang w:val="en-IE"/>
        </w:rPr>
        <w:t>Budget programming of REACT-EU (million 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D40083" w:rsidRPr="002D1A58" w14:paraId="637A7E69" w14:textId="77777777" w:rsidTr="00AF1C52">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0862436B" w14:textId="77777777" w:rsidR="00D40083" w:rsidRPr="002D1A58" w:rsidRDefault="00D40083" w:rsidP="00AF1C52">
            <w:pPr>
              <w:rPr>
                <w:noProof/>
                <w:lang w:val="en-IE"/>
              </w:rPr>
            </w:pPr>
          </w:p>
        </w:tc>
        <w:tc>
          <w:tcPr>
            <w:tcW w:w="943" w:type="dxa"/>
            <w:noWrap/>
            <w:hideMark/>
          </w:tcPr>
          <w:p w14:paraId="3CC11226" w14:textId="77777777" w:rsidR="00D40083" w:rsidRPr="002D1A58" w:rsidRDefault="00D40083" w:rsidP="00AF1C52">
            <w:pPr>
              <w:rPr>
                <w:noProof/>
                <w:lang w:val="en-IE"/>
              </w:rPr>
            </w:pPr>
            <w:r w:rsidRPr="002D1A58">
              <w:rPr>
                <w:noProof/>
                <w:lang w:val="en-IE"/>
              </w:rPr>
              <w:t>2021</w:t>
            </w:r>
          </w:p>
        </w:tc>
        <w:tc>
          <w:tcPr>
            <w:tcW w:w="944" w:type="dxa"/>
            <w:noWrap/>
            <w:hideMark/>
          </w:tcPr>
          <w:p w14:paraId="55E21112" w14:textId="77777777" w:rsidR="00D40083" w:rsidRPr="002D1A58" w:rsidRDefault="00D40083" w:rsidP="00AF1C52">
            <w:pPr>
              <w:rPr>
                <w:noProof/>
                <w:lang w:val="en-IE"/>
              </w:rPr>
            </w:pPr>
            <w:r w:rsidRPr="002D1A58">
              <w:rPr>
                <w:noProof/>
                <w:lang w:val="en-IE"/>
              </w:rPr>
              <w:t>2022</w:t>
            </w:r>
          </w:p>
        </w:tc>
        <w:tc>
          <w:tcPr>
            <w:tcW w:w="943" w:type="dxa"/>
            <w:noWrap/>
            <w:hideMark/>
          </w:tcPr>
          <w:p w14:paraId="5CB5D480" w14:textId="77777777" w:rsidR="00D40083" w:rsidRPr="002D1A58" w:rsidRDefault="00D40083" w:rsidP="00AF1C52">
            <w:pPr>
              <w:rPr>
                <w:noProof/>
                <w:lang w:val="en-IE"/>
              </w:rPr>
            </w:pPr>
            <w:r w:rsidRPr="002D1A58">
              <w:rPr>
                <w:noProof/>
                <w:lang w:val="en-IE"/>
              </w:rPr>
              <w:t>2023</w:t>
            </w:r>
          </w:p>
        </w:tc>
        <w:tc>
          <w:tcPr>
            <w:tcW w:w="944" w:type="dxa"/>
            <w:noWrap/>
            <w:hideMark/>
          </w:tcPr>
          <w:p w14:paraId="46A62118" w14:textId="77777777" w:rsidR="00D40083" w:rsidRPr="002D1A58" w:rsidRDefault="00D40083" w:rsidP="00AF1C52">
            <w:pPr>
              <w:rPr>
                <w:noProof/>
                <w:lang w:val="en-IE"/>
              </w:rPr>
            </w:pPr>
            <w:r w:rsidRPr="002D1A58">
              <w:rPr>
                <w:noProof/>
                <w:lang w:val="en-IE"/>
              </w:rPr>
              <w:t>2024</w:t>
            </w:r>
          </w:p>
        </w:tc>
        <w:tc>
          <w:tcPr>
            <w:tcW w:w="944" w:type="dxa"/>
            <w:noWrap/>
            <w:hideMark/>
          </w:tcPr>
          <w:p w14:paraId="6E507374" w14:textId="77777777" w:rsidR="00D40083" w:rsidRPr="002D1A58" w:rsidRDefault="00D40083" w:rsidP="00AF1C52">
            <w:pPr>
              <w:rPr>
                <w:noProof/>
                <w:lang w:val="en-IE"/>
              </w:rPr>
            </w:pPr>
            <w:r w:rsidRPr="002D1A58">
              <w:rPr>
                <w:noProof/>
                <w:lang w:val="en-IE"/>
              </w:rPr>
              <w:t>2025</w:t>
            </w:r>
          </w:p>
        </w:tc>
        <w:tc>
          <w:tcPr>
            <w:tcW w:w="943" w:type="dxa"/>
            <w:noWrap/>
            <w:hideMark/>
          </w:tcPr>
          <w:p w14:paraId="1F6A0BE6" w14:textId="77777777" w:rsidR="00D40083" w:rsidRPr="002D1A58" w:rsidRDefault="00D40083" w:rsidP="00AF1C52">
            <w:pPr>
              <w:rPr>
                <w:noProof/>
                <w:lang w:val="en-IE"/>
              </w:rPr>
            </w:pPr>
            <w:r w:rsidRPr="002D1A58">
              <w:rPr>
                <w:noProof/>
                <w:lang w:val="en-IE"/>
              </w:rPr>
              <w:t>2026</w:t>
            </w:r>
          </w:p>
        </w:tc>
        <w:tc>
          <w:tcPr>
            <w:tcW w:w="944" w:type="dxa"/>
            <w:noWrap/>
            <w:hideMark/>
          </w:tcPr>
          <w:p w14:paraId="4257399E" w14:textId="77777777" w:rsidR="00D40083" w:rsidRPr="002D1A58" w:rsidRDefault="00D40083" w:rsidP="00AF1C52">
            <w:pPr>
              <w:rPr>
                <w:noProof/>
                <w:lang w:val="en-IE"/>
              </w:rPr>
            </w:pPr>
            <w:r w:rsidRPr="002D1A58">
              <w:rPr>
                <w:noProof/>
                <w:lang w:val="en-IE"/>
              </w:rPr>
              <w:t>2027</w:t>
            </w:r>
          </w:p>
        </w:tc>
        <w:tc>
          <w:tcPr>
            <w:tcW w:w="944" w:type="dxa"/>
            <w:noWrap/>
            <w:hideMark/>
          </w:tcPr>
          <w:p w14:paraId="274A2BAE" w14:textId="77777777" w:rsidR="00D40083" w:rsidRPr="002D1A58" w:rsidRDefault="00D40083" w:rsidP="00AF1C52">
            <w:pPr>
              <w:rPr>
                <w:noProof/>
                <w:lang w:val="en-IE"/>
              </w:rPr>
            </w:pPr>
            <w:r w:rsidRPr="002D1A58">
              <w:rPr>
                <w:noProof/>
                <w:lang w:val="en-IE"/>
              </w:rPr>
              <w:t>Total</w:t>
            </w:r>
          </w:p>
        </w:tc>
      </w:tr>
      <w:tr w:rsidR="00D40083" w:rsidRPr="002D1A58" w14:paraId="5C1D78F9" w14:textId="77777777" w:rsidTr="00AF1C52">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6D5077EE" w14:textId="77777777" w:rsidR="00D40083" w:rsidRPr="002D1A58" w:rsidRDefault="00D40083" w:rsidP="00AF1C52">
            <w:pPr>
              <w:rPr>
                <w:noProof/>
                <w:lang w:val="en-IE"/>
              </w:rPr>
            </w:pPr>
            <w:r w:rsidRPr="002D1A58">
              <w:rPr>
                <w:noProof/>
                <w:lang w:val="en-IE"/>
              </w:rPr>
              <w:t>Financial programming</w:t>
            </w:r>
          </w:p>
        </w:tc>
        <w:tc>
          <w:tcPr>
            <w:tcW w:w="943" w:type="dxa"/>
            <w:noWrap/>
            <w:hideMark/>
          </w:tcPr>
          <w:p w14:paraId="4315D3FB" w14:textId="77777777" w:rsidR="00D40083" w:rsidRPr="00AD40B4" w:rsidRDefault="00D40083" w:rsidP="00AF1C52">
            <w:pPr>
              <w:jc w:val="center"/>
              <w:rPr>
                <w:noProof/>
                <w:sz w:val="20"/>
                <w:szCs w:val="20"/>
                <w:lang w:val="en-IE"/>
              </w:rPr>
            </w:pPr>
          </w:p>
        </w:tc>
        <w:tc>
          <w:tcPr>
            <w:tcW w:w="944" w:type="dxa"/>
            <w:noWrap/>
            <w:hideMark/>
          </w:tcPr>
          <w:p w14:paraId="37721B07" w14:textId="77777777" w:rsidR="00D40083" w:rsidRPr="00AD40B4" w:rsidRDefault="00D40083" w:rsidP="00AF1C52">
            <w:pPr>
              <w:jc w:val="center"/>
              <w:rPr>
                <w:noProof/>
                <w:sz w:val="20"/>
                <w:szCs w:val="20"/>
                <w:lang w:val="en-IE"/>
              </w:rPr>
            </w:pPr>
          </w:p>
        </w:tc>
        <w:tc>
          <w:tcPr>
            <w:tcW w:w="943" w:type="dxa"/>
            <w:noWrap/>
            <w:hideMark/>
          </w:tcPr>
          <w:p w14:paraId="2F83A307" w14:textId="77777777" w:rsidR="00D40083" w:rsidRPr="00AD40B4" w:rsidRDefault="00D40083" w:rsidP="00AF1C52">
            <w:pPr>
              <w:jc w:val="center"/>
              <w:rPr>
                <w:noProof/>
                <w:sz w:val="20"/>
                <w:szCs w:val="20"/>
                <w:lang w:val="en-IE"/>
              </w:rPr>
            </w:pPr>
          </w:p>
        </w:tc>
        <w:tc>
          <w:tcPr>
            <w:tcW w:w="944" w:type="dxa"/>
            <w:noWrap/>
            <w:hideMark/>
          </w:tcPr>
          <w:p w14:paraId="681201F5" w14:textId="77777777" w:rsidR="00D40083" w:rsidRPr="00AD40B4" w:rsidRDefault="00D40083" w:rsidP="00AF1C52">
            <w:pPr>
              <w:jc w:val="center"/>
              <w:rPr>
                <w:noProof/>
                <w:sz w:val="20"/>
                <w:szCs w:val="20"/>
                <w:lang w:val="en-IE"/>
              </w:rPr>
            </w:pPr>
          </w:p>
        </w:tc>
        <w:tc>
          <w:tcPr>
            <w:tcW w:w="944" w:type="dxa"/>
            <w:noWrap/>
            <w:hideMark/>
          </w:tcPr>
          <w:p w14:paraId="15E1F99C" w14:textId="77777777" w:rsidR="00D40083" w:rsidRPr="00AD40B4" w:rsidRDefault="00D40083" w:rsidP="00AF1C52">
            <w:pPr>
              <w:jc w:val="center"/>
              <w:rPr>
                <w:noProof/>
                <w:sz w:val="20"/>
                <w:szCs w:val="20"/>
                <w:lang w:val="en-IE"/>
              </w:rPr>
            </w:pPr>
          </w:p>
        </w:tc>
        <w:tc>
          <w:tcPr>
            <w:tcW w:w="943" w:type="dxa"/>
            <w:noWrap/>
            <w:hideMark/>
          </w:tcPr>
          <w:p w14:paraId="193194D7" w14:textId="77777777" w:rsidR="00D40083" w:rsidRPr="00AD40B4" w:rsidRDefault="00D40083" w:rsidP="00AF1C52">
            <w:pPr>
              <w:jc w:val="center"/>
              <w:rPr>
                <w:noProof/>
                <w:sz w:val="20"/>
                <w:szCs w:val="20"/>
                <w:lang w:val="en-IE"/>
              </w:rPr>
            </w:pPr>
          </w:p>
        </w:tc>
        <w:tc>
          <w:tcPr>
            <w:tcW w:w="944" w:type="dxa"/>
            <w:noWrap/>
            <w:hideMark/>
          </w:tcPr>
          <w:p w14:paraId="1E27B44E" w14:textId="77777777" w:rsidR="00D40083" w:rsidRPr="00AD40B4" w:rsidRDefault="00D40083" w:rsidP="00AF1C52">
            <w:pPr>
              <w:jc w:val="center"/>
              <w:rPr>
                <w:noProof/>
                <w:sz w:val="20"/>
                <w:szCs w:val="20"/>
                <w:lang w:val="en-IE"/>
              </w:rPr>
            </w:pPr>
          </w:p>
        </w:tc>
        <w:tc>
          <w:tcPr>
            <w:tcW w:w="944" w:type="dxa"/>
            <w:noWrap/>
            <w:hideMark/>
          </w:tcPr>
          <w:p w14:paraId="743CD0A6" w14:textId="77777777" w:rsidR="00D40083" w:rsidRPr="00AD40B4" w:rsidRDefault="00D40083" w:rsidP="00AF1C52">
            <w:pPr>
              <w:jc w:val="center"/>
              <w:rPr>
                <w:noProof/>
                <w:sz w:val="20"/>
                <w:szCs w:val="20"/>
                <w:lang w:val="en-IE"/>
              </w:rPr>
            </w:pPr>
          </w:p>
        </w:tc>
      </w:tr>
      <w:tr w:rsidR="00186D8D" w:rsidRPr="002D1A58" w14:paraId="4CD70F6B" w14:textId="77777777" w:rsidTr="006F409B">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71B6CE48" w14:textId="0CE7348A" w:rsidR="00186D8D" w:rsidRPr="002D1A58" w:rsidRDefault="00186D8D" w:rsidP="00186D8D">
            <w:pPr>
              <w:rPr>
                <w:noProof/>
                <w:lang w:val="en-IE"/>
              </w:rPr>
            </w:pPr>
            <w:r w:rsidRPr="002D1A58">
              <w:rPr>
                <w:noProof/>
                <w:lang w:val="en-IE"/>
              </w:rPr>
              <w:t>NextGenerationEU</w:t>
            </w:r>
            <w:r w:rsidR="00FD3458">
              <w:rPr>
                <w:noProof/>
                <w:lang w:val="en-IE"/>
              </w:rPr>
              <w:t xml:space="preserve"> (**)</w:t>
            </w:r>
          </w:p>
        </w:tc>
        <w:tc>
          <w:tcPr>
            <w:tcW w:w="943" w:type="dxa"/>
            <w:noWrap/>
            <w:vAlign w:val="bottom"/>
            <w:hideMark/>
          </w:tcPr>
          <w:p w14:paraId="6A7B6533" w14:textId="6E29BEDA" w:rsidR="00186D8D" w:rsidRPr="00AD40B4" w:rsidRDefault="00186D8D" w:rsidP="00186D8D">
            <w:pPr>
              <w:jc w:val="center"/>
              <w:rPr>
                <w:noProof/>
                <w:sz w:val="20"/>
                <w:szCs w:val="20"/>
                <w:lang w:val="en-IE"/>
              </w:rPr>
            </w:pPr>
            <w:r>
              <w:rPr>
                <w:rFonts w:ascii="Calibri" w:hAnsi="Calibri" w:cs="Calibri"/>
                <w:noProof/>
                <w:color w:val="000000"/>
              </w:rPr>
              <w:t>23 875.3</w:t>
            </w:r>
          </w:p>
        </w:tc>
        <w:tc>
          <w:tcPr>
            <w:tcW w:w="944" w:type="dxa"/>
            <w:noWrap/>
            <w:vAlign w:val="bottom"/>
            <w:hideMark/>
          </w:tcPr>
          <w:p w14:paraId="1AE64745" w14:textId="16F39289" w:rsidR="00186D8D" w:rsidRPr="00AD40B4" w:rsidRDefault="00186D8D" w:rsidP="00186D8D">
            <w:pPr>
              <w:jc w:val="center"/>
              <w:rPr>
                <w:noProof/>
                <w:sz w:val="20"/>
                <w:szCs w:val="20"/>
                <w:lang w:val="en-IE"/>
              </w:rPr>
            </w:pPr>
            <w:r>
              <w:rPr>
                <w:rFonts w:ascii="Calibri" w:hAnsi="Calibri" w:cs="Calibri"/>
                <w:noProof/>
                <w:color w:val="000000"/>
              </w:rPr>
              <w:t>7 581.0</w:t>
            </w:r>
          </w:p>
        </w:tc>
        <w:tc>
          <w:tcPr>
            <w:tcW w:w="943" w:type="dxa"/>
            <w:noWrap/>
            <w:vAlign w:val="bottom"/>
            <w:hideMark/>
          </w:tcPr>
          <w:p w14:paraId="0F48F192" w14:textId="39A297CC" w:rsidR="00186D8D" w:rsidRPr="00AD40B4" w:rsidRDefault="00186D8D" w:rsidP="00186D8D">
            <w:pPr>
              <w:jc w:val="center"/>
              <w:rPr>
                <w:noProof/>
                <w:sz w:val="20"/>
                <w:szCs w:val="20"/>
                <w:lang w:val="en-IE"/>
              </w:rPr>
            </w:pPr>
            <w:r>
              <w:rPr>
                <w:rFonts w:ascii="Calibri" w:hAnsi="Calibri" w:cs="Calibri"/>
                <w:noProof/>
                <w:color w:val="000000"/>
              </w:rPr>
              <w:t>1.9</w:t>
            </w:r>
          </w:p>
        </w:tc>
        <w:tc>
          <w:tcPr>
            <w:tcW w:w="944" w:type="dxa"/>
            <w:noWrap/>
            <w:vAlign w:val="bottom"/>
            <w:hideMark/>
          </w:tcPr>
          <w:p w14:paraId="7C6816CC" w14:textId="77777777" w:rsidR="00186D8D" w:rsidRPr="00AD40B4" w:rsidRDefault="00186D8D" w:rsidP="00186D8D">
            <w:pPr>
              <w:jc w:val="center"/>
              <w:rPr>
                <w:noProof/>
                <w:sz w:val="20"/>
                <w:szCs w:val="20"/>
                <w:lang w:val="en-IE"/>
              </w:rPr>
            </w:pPr>
          </w:p>
        </w:tc>
        <w:tc>
          <w:tcPr>
            <w:tcW w:w="944" w:type="dxa"/>
            <w:noWrap/>
            <w:vAlign w:val="bottom"/>
            <w:hideMark/>
          </w:tcPr>
          <w:p w14:paraId="403F891E" w14:textId="77777777" w:rsidR="00186D8D" w:rsidRPr="00AD40B4" w:rsidRDefault="00186D8D" w:rsidP="00186D8D">
            <w:pPr>
              <w:jc w:val="center"/>
              <w:rPr>
                <w:noProof/>
                <w:sz w:val="20"/>
                <w:szCs w:val="20"/>
                <w:lang w:val="en-IE"/>
              </w:rPr>
            </w:pPr>
          </w:p>
        </w:tc>
        <w:tc>
          <w:tcPr>
            <w:tcW w:w="943" w:type="dxa"/>
            <w:noWrap/>
            <w:vAlign w:val="bottom"/>
            <w:hideMark/>
          </w:tcPr>
          <w:p w14:paraId="607C2B39" w14:textId="77777777" w:rsidR="00186D8D" w:rsidRPr="00AD40B4" w:rsidRDefault="00186D8D" w:rsidP="00186D8D">
            <w:pPr>
              <w:jc w:val="center"/>
              <w:rPr>
                <w:noProof/>
                <w:sz w:val="20"/>
                <w:szCs w:val="20"/>
                <w:lang w:val="en-IE"/>
              </w:rPr>
            </w:pPr>
          </w:p>
        </w:tc>
        <w:tc>
          <w:tcPr>
            <w:tcW w:w="944" w:type="dxa"/>
            <w:noWrap/>
            <w:vAlign w:val="bottom"/>
            <w:hideMark/>
          </w:tcPr>
          <w:p w14:paraId="1693160E" w14:textId="77777777" w:rsidR="00186D8D" w:rsidRPr="00AD40B4" w:rsidRDefault="00186D8D" w:rsidP="00186D8D">
            <w:pPr>
              <w:jc w:val="center"/>
              <w:rPr>
                <w:noProof/>
                <w:sz w:val="20"/>
                <w:szCs w:val="20"/>
                <w:lang w:val="en-IE"/>
              </w:rPr>
            </w:pPr>
          </w:p>
        </w:tc>
        <w:tc>
          <w:tcPr>
            <w:tcW w:w="944" w:type="dxa"/>
            <w:noWrap/>
            <w:vAlign w:val="bottom"/>
            <w:hideMark/>
          </w:tcPr>
          <w:p w14:paraId="6044DCCA" w14:textId="2E3F6D8A" w:rsidR="00186D8D" w:rsidRPr="00AD40B4" w:rsidRDefault="00186D8D" w:rsidP="00186D8D">
            <w:pPr>
              <w:jc w:val="center"/>
              <w:rPr>
                <w:noProof/>
                <w:sz w:val="20"/>
                <w:szCs w:val="20"/>
                <w:lang w:val="en-IE"/>
              </w:rPr>
            </w:pPr>
            <w:r>
              <w:rPr>
                <w:rFonts w:ascii="Calibri" w:hAnsi="Calibri" w:cs="Calibri"/>
                <w:noProof/>
                <w:color w:val="000000"/>
              </w:rPr>
              <w:t>31 458.2</w:t>
            </w:r>
          </w:p>
        </w:tc>
      </w:tr>
      <w:tr w:rsidR="00D40083" w:rsidRPr="002D1A58" w14:paraId="47A1257B" w14:textId="77777777" w:rsidTr="00AF1C52">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71775422" w14:textId="77777777" w:rsidR="00D40083" w:rsidRPr="002D1A58" w:rsidRDefault="00D40083" w:rsidP="00AF1C52">
            <w:pPr>
              <w:rPr>
                <w:noProof/>
                <w:lang w:val="en-IE"/>
              </w:rPr>
            </w:pPr>
            <w:r w:rsidRPr="002D1A58">
              <w:rPr>
                <w:noProof/>
                <w:lang w:val="en-IE"/>
              </w:rPr>
              <w:t>Decommitments made available again</w:t>
            </w:r>
            <w:r w:rsidRPr="002D1A58">
              <w:rPr>
                <w:rFonts w:ascii="Calibri" w:hAnsi="Calibri" w:cs="Calibri"/>
                <w:noProof/>
                <w:lang w:val="en-IE"/>
              </w:rPr>
              <w:t> </w:t>
            </w:r>
            <w:r w:rsidRPr="002D1A58">
              <w:rPr>
                <w:rFonts w:cs="Calibri"/>
                <w:noProof/>
                <w:lang w:val="en-IE"/>
              </w:rPr>
              <w:t>(</w:t>
            </w:r>
            <w:r w:rsidRPr="002D1A58">
              <w:rPr>
                <w:noProof/>
                <w:lang w:val="en-IE"/>
              </w:rPr>
              <w:t>*)</w:t>
            </w:r>
          </w:p>
        </w:tc>
        <w:tc>
          <w:tcPr>
            <w:tcW w:w="943" w:type="dxa"/>
            <w:noWrap/>
            <w:hideMark/>
          </w:tcPr>
          <w:p w14:paraId="09E39B82" w14:textId="77777777" w:rsidR="00D40083" w:rsidRPr="00AD40B4" w:rsidRDefault="00D40083" w:rsidP="00AF1C52">
            <w:pPr>
              <w:jc w:val="center"/>
              <w:rPr>
                <w:noProof/>
                <w:sz w:val="20"/>
                <w:szCs w:val="20"/>
                <w:lang w:val="en-IE"/>
              </w:rPr>
            </w:pPr>
            <w:r w:rsidRPr="00AD40B4">
              <w:rPr>
                <w:noProof/>
                <w:sz w:val="20"/>
                <w:szCs w:val="20"/>
                <w:lang w:val="en-IE"/>
              </w:rPr>
              <w:t>N/A</w:t>
            </w:r>
          </w:p>
        </w:tc>
        <w:tc>
          <w:tcPr>
            <w:tcW w:w="944" w:type="dxa"/>
            <w:noWrap/>
            <w:hideMark/>
          </w:tcPr>
          <w:p w14:paraId="7BD18724" w14:textId="77777777" w:rsidR="00D40083" w:rsidRPr="00AD40B4" w:rsidRDefault="00D40083" w:rsidP="00AF1C52">
            <w:pPr>
              <w:jc w:val="center"/>
              <w:rPr>
                <w:noProof/>
                <w:sz w:val="20"/>
                <w:szCs w:val="20"/>
                <w:lang w:val="en-IE"/>
              </w:rPr>
            </w:pPr>
          </w:p>
        </w:tc>
        <w:tc>
          <w:tcPr>
            <w:tcW w:w="943" w:type="dxa"/>
            <w:noWrap/>
            <w:hideMark/>
          </w:tcPr>
          <w:p w14:paraId="303A63C5" w14:textId="77777777" w:rsidR="00D40083" w:rsidRPr="00AD40B4" w:rsidRDefault="00D40083" w:rsidP="00AF1C52">
            <w:pPr>
              <w:jc w:val="center"/>
              <w:rPr>
                <w:noProof/>
                <w:sz w:val="20"/>
                <w:szCs w:val="20"/>
                <w:lang w:val="en-IE"/>
              </w:rPr>
            </w:pPr>
          </w:p>
        </w:tc>
        <w:tc>
          <w:tcPr>
            <w:tcW w:w="944" w:type="dxa"/>
            <w:noWrap/>
            <w:hideMark/>
          </w:tcPr>
          <w:p w14:paraId="4B12416D" w14:textId="77777777" w:rsidR="00D40083" w:rsidRPr="00AD40B4" w:rsidRDefault="00D40083" w:rsidP="00AF1C52">
            <w:pPr>
              <w:jc w:val="center"/>
              <w:rPr>
                <w:noProof/>
                <w:sz w:val="20"/>
                <w:szCs w:val="20"/>
                <w:lang w:val="en-IE"/>
              </w:rPr>
            </w:pPr>
          </w:p>
        </w:tc>
        <w:tc>
          <w:tcPr>
            <w:tcW w:w="944" w:type="dxa"/>
            <w:noWrap/>
            <w:hideMark/>
          </w:tcPr>
          <w:p w14:paraId="1664C9AB" w14:textId="77777777" w:rsidR="00D40083" w:rsidRPr="00AD40B4" w:rsidRDefault="00D40083" w:rsidP="00AF1C52">
            <w:pPr>
              <w:jc w:val="center"/>
              <w:rPr>
                <w:noProof/>
                <w:sz w:val="20"/>
                <w:szCs w:val="20"/>
                <w:lang w:val="en-IE"/>
              </w:rPr>
            </w:pPr>
          </w:p>
        </w:tc>
        <w:tc>
          <w:tcPr>
            <w:tcW w:w="943" w:type="dxa"/>
            <w:noWrap/>
            <w:hideMark/>
          </w:tcPr>
          <w:p w14:paraId="33995B25" w14:textId="77777777" w:rsidR="00D40083" w:rsidRPr="00AD40B4" w:rsidRDefault="00D40083" w:rsidP="00AF1C52">
            <w:pPr>
              <w:jc w:val="center"/>
              <w:rPr>
                <w:noProof/>
                <w:sz w:val="20"/>
                <w:szCs w:val="20"/>
                <w:lang w:val="en-IE"/>
              </w:rPr>
            </w:pPr>
          </w:p>
        </w:tc>
        <w:tc>
          <w:tcPr>
            <w:tcW w:w="944" w:type="dxa"/>
            <w:noWrap/>
            <w:hideMark/>
          </w:tcPr>
          <w:p w14:paraId="1D4A72DC" w14:textId="77777777" w:rsidR="00D40083" w:rsidRPr="00AD40B4" w:rsidRDefault="00D40083" w:rsidP="00AF1C52">
            <w:pPr>
              <w:jc w:val="center"/>
              <w:rPr>
                <w:noProof/>
                <w:sz w:val="20"/>
                <w:szCs w:val="20"/>
                <w:lang w:val="en-IE"/>
              </w:rPr>
            </w:pPr>
          </w:p>
        </w:tc>
        <w:tc>
          <w:tcPr>
            <w:tcW w:w="944" w:type="dxa"/>
            <w:noWrap/>
            <w:hideMark/>
          </w:tcPr>
          <w:p w14:paraId="4C252249" w14:textId="77777777" w:rsidR="00D40083" w:rsidRPr="00AD40B4" w:rsidRDefault="00D40083" w:rsidP="00AF1C52">
            <w:pPr>
              <w:jc w:val="center"/>
              <w:rPr>
                <w:noProof/>
                <w:sz w:val="20"/>
                <w:szCs w:val="20"/>
                <w:lang w:val="en-IE"/>
              </w:rPr>
            </w:pPr>
            <w:r w:rsidRPr="00AD40B4">
              <w:rPr>
                <w:noProof/>
                <w:sz w:val="20"/>
                <w:szCs w:val="20"/>
                <w:lang w:val="en-IE"/>
              </w:rPr>
              <w:t>N/A</w:t>
            </w:r>
          </w:p>
        </w:tc>
      </w:tr>
      <w:tr w:rsidR="00D40083" w:rsidRPr="002D1A58" w14:paraId="54F57FD1" w14:textId="77777777" w:rsidTr="00AF1C52">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0C27CD28" w14:textId="77777777" w:rsidR="00D40083" w:rsidRPr="002D1A58" w:rsidRDefault="00D40083" w:rsidP="00AF1C52">
            <w:pPr>
              <w:rPr>
                <w:noProof/>
                <w:lang w:val="en-IE"/>
              </w:rPr>
            </w:pPr>
            <w:r w:rsidRPr="002D1A58">
              <w:rPr>
                <w:noProof/>
                <w:lang w:val="en-IE"/>
              </w:rPr>
              <w:t>Contributions from other countries and entities</w:t>
            </w:r>
          </w:p>
        </w:tc>
        <w:tc>
          <w:tcPr>
            <w:tcW w:w="943" w:type="dxa"/>
            <w:noWrap/>
            <w:hideMark/>
          </w:tcPr>
          <w:p w14:paraId="6DF63977" w14:textId="77777777" w:rsidR="00D40083" w:rsidRPr="00AD40B4" w:rsidRDefault="00D40083" w:rsidP="00AF1C52">
            <w:pPr>
              <w:jc w:val="center"/>
              <w:rPr>
                <w:noProof/>
                <w:sz w:val="20"/>
                <w:szCs w:val="20"/>
                <w:lang w:val="en-IE"/>
              </w:rPr>
            </w:pPr>
          </w:p>
        </w:tc>
        <w:tc>
          <w:tcPr>
            <w:tcW w:w="944" w:type="dxa"/>
            <w:noWrap/>
            <w:hideMark/>
          </w:tcPr>
          <w:p w14:paraId="1A078471" w14:textId="77777777" w:rsidR="00D40083" w:rsidRPr="00AD40B4" w:rsidRDefault="00D40083" w:rsidP="00AF1C52">
            <w:pPr>
              <w:jc w:val="center"/>
              <w:rPr>
                <w:noProof/>
                <w:sz w:val="20"/>
                <w:szCs w:val="20"/>
                <w:lang w:val="en-IE"/>
              </w:rPr>
            </w:pPr>
          </w:p>
        </w:tc>
        <w:tc>
          <w:tcPr>
            <w:tcW w:w="943" w:type="dxa"/>
            <w:noWrap/>
            <w:hideMark/>
          </w:tcPr>
          <w:p w14:paraId="2D70A06B" w14:textId="77777777" w:rsidR="00D40083" w:rsidRPr="00AD40B4" w:rsidRDefault="00D40083" w:rsidP="00AF1C52">
            <w:pPr>
              <w:jc w:val="center"/>
              <w:rPr>
                <w:noProof/>
                <w:sz w:val="20"/>
                <w:szCs w:val="20"/>
                <w:lang w:val="en-IE"/>
              </w:rPr>
            </w:pPr>
          </w:p>
        </w:tc>
        <w:tc>
          <w:tcPr>
            <w:tcW w:w="944" w:type="dxa"/>
            <w:noWrap/>
            <w:hideMark/>
          </w:tcPr>
          <w:p w14:paraId="54C6F9A5" w14:textId="77777777" w:rsidR="00D40083" w:rsidRPr="00AD40B4" w:rsidRDefault="00D40083" w:rsidP="00AF1C52">
            <w:pPr>
              <w:jc w:val="center"/>
              <w:rPr>
                <w:noProof/>
                <w:sz w:val="20"/>
                <w:szCs w:val="20"/>
                <w:lang w:val="en-IE"/>
              </w:rPr>
            </w:pPr>
          </w:p>
        </w:tc>
        <w:tc>
          <w:tcPr>
            <w:tcW w:w="944" w:type="dxa"/>
            <w:noWrap/>
            <w:hideMark/>
          </w:tcPr>
          <w:p w14:paraId="7064016F" w14:textId="77777777" w:rsidR="00D40083" w:rsidRPr="00AD40B4" w:rsidRDefault="00D40083" w:rsidP="00AF1C52">
            <w:pPr>
              <w:jc w:val="center"/>
              <w:rPr>
                <w:noProof/>
                <w:sz w:val="20"/>
                <w:szCs w:val="20"/>
                <w:lang w:val="en-IE"/>
              </w:rPr>
            </w:pPr>
          </w:p>
        </w:tc>
        <w:tc>
          <w:tcPr>
            <w:tcW w:w="943" w:type="dxa"/>
            <w:noWrap/>
            <w:hideMark/>
          </w:tcPr>
          <w:p w14:paraId="4797FF00" w14:textId="77777777" w:rsidR="00D40083" w:rsidRPr="00AD40B4" w:rsidRDefault="00D40083" w:rsidP="00AF1C52">
            <w:pPr>
              <w:jc w:val="center"/>
              <w:rPr>
                <w:noProof/>
                <w:sz w:val="20"/>
                <w:szCs w:val="20"/>
                <w:lang w:val="en-IE"/>
              </w:rPr>
            </w:pPr>
          </w:p>
        </w:tc>
        <w:tc>
          <w:tcPr>
            <w:tcW w:w="944" w:type="dxa"/>
            <w:noWrap/>
            <w:hideMark/>
          </w:tcPr>
          <w:p w14:paraId="2D1E909F" w14:textId="77777777" w:rsidR="00D40083" w:rsidRPr="00AD40B4" w:rsidRDefault="00D40083" w:rsidP="00AF1C52">
            <w:pPr>
              <w:jc w:val="center"/>
              <w:rPr>
                <w:noProof/>
                <w:sz w:val="20"/>
                <w:szCs w:val="20"/>
                <w:lang w:val="en-IE"/>
              </w:rPr>
            </w:pPr>
          </w:p>
        </w:tc>
        <w:tc>
          <w:tcPr>
            <w:tcW w:w="944" w:type="dxa"/>
            <w:noWrap/>
            <w:hideMark/>
          </w:tcPr>
          <w:p w14:paraId="089EF3A4" w14:textId="77777777" w:rsidR="00D40083" w:rsidRPr="00AD40B4" w:rsidRDefault="00D40083" w:rsidP="00AF1C52">
            <w:pPr>
              <w:jc w:val="center"/>
              <w:rPr>
                <w:noProof/>
                <w:sz w:val="20"/>
                <w:szCs w:val="20"/>
                <w:lang w:val="en-IE"/>
              </w:rPr>
            </w:pPr>
          </w:p>
        </w:tc>
      </w:tr>
    </w:tbl>
    <w:p w14:paraId="69355954" w14:textId="070949B9" w:rsidR="00D40083" w:rsidRDefault="00D40083" w:rsidP="00D40083">
      <w:pPr>
        <w:tabs>
          <w:tab w:val="left" w:pos="6793"/>
        </w:tabs>
        <w:rPr>
          <w:noProof/>
          <w:sz w:val="18"/>
          <w:szCs w:val="18"/>
          <w:lang w:val="en-IE"/>
        </w:rPr>
      </w:pPr>
      <w:r w:rsidRPr="002D1A58">
        <w:rPr>
          <w:noProof/>
          <w:sz w:val="18"/>
          <w:szCs w:val="18"/>
          <w:lang w:val="en-IE"/>
        </w:rPr>
        <w:t xml:space="preserve">(*) Only </w:t>
      </w:r>
      <w:r w:rsidRPr="00C14684">
        <w:rPr>
          <w:noProof/>
          <w:sz w:val="18"/>
          <w:szCs w:val="18"/>
          <w:lang w:val="en-IE"/>
        </w:rPr>
        <w:t>Art</w:t>
      </w:r>
      <w:r w:rsidRPr="002D1A58">
        <w:rPr>
          <w:noProof/>
          <w:sz w:val="18"/>
          <w:szCs w:val="18"/>
          <w:lang w:val="en-IE"/>
        </w:rPr>
        <w:t>icle</w:t>
      </w:r>
      <w:r w:rsidRPr="002D1A58">
        <w:rPr>
          <w:rFonts w:ascii="Calibri" w:hAnsi="Calibri" w:cs="Calibri"/>
          <w:noProof/>
          <w:sz w:val="18"/>
          <w:szCs w:val="18"/>
          <w:lang w:val="en-IE"/>
        </w:rPr>
        <w:t> </w:t>
      </w:r>
      <w:r w:rsidRPr="002D1A58">
        <w:rPr>
          <w:noProof/>
          <w:sz w:val="18"/>
          <w:szCs w:val="18"/>
          <w:lang w:val="en-IE"/>
        </w:rPr>
        <w:t>15(3) of the f</w:t>
      </w:r>
      <w:r w:rsidRPr="00C14684">
        <w:rPr>
          <w:noProof/>
          <w:sz w:val="18"/>
          <w:szCs w:val="18"/>
          <w:lang w:val="en-IE"/>
        </w:rPr>
        <w:t xml:space="preserve">inancial </w:t>
      </w:r>
      <w:r w:rsidRPr="002D1A58">
        <w:rPr>
          <w:noProof/>
          <w:sz w:val="18"/>
          <w:szCs w:val="18"/>
          <w:lang w:val="en-IE"/>
        </w:rPr>
        <w:t>r</w:t>
      </w:r>
      <w:r w:rsidRPr="00C14684">
        <w:rPr>
          <w:noProof/>
          <w:sz w:val="18"/>
          <w:szCs w:val="18"/>
          <w:lang w:val="en-IE"/>
        </w:rPr>
        <w:t>egulation</w:t>
      </w:r>
      <w:r w:rsidRPr="002D1A58">
        <w:rPr>
          <w:noProof/>
          <w:sz w:val="18"/>
          <w:szCs w:val="18"/>
          <w:lang w:val="en-IE"/>
        </w:rPr>
        <w:t>.</w:t>
      </w:r>
    </w:p>
    <w:p w14:paraId="5C7CEA89" w14:textId="77777777" w:rsidR="00FD3458" w:rsidRPr="002D1A58" w:rsidRDefault="00FD3458" w:rsidP="00FD3458">
      <w:pPr>
        <w:tabs>
          <w:tab w:val="left" w:pos="6793"/>
        </w:tabs>
        <w:rPr>
          <w:noProof/>
          <w:sz w:val="18"/>
          <w:szCs w:val="18"/>
          <w:lang w:val="en-IE"/>
        </w:rPr>
      </w:pPr>
      <w:r>
        <w:rPr>
          <w:noProof/>
          <w:sz w:val="18"/>
          <w:szCs w:val="18"/>
          <w:lang w:val="en-IE"/>
        </w:rPr>
        <w:t xml:space="preserve">(**) The total amount of </w:t>
      </w:r>
      <w:r w:rsidRPr="00FD3458">
        <w:rPr>
          <w:noProof/>
          <w:sz w:val="18"/>
          <w:szCs w:val="18"/>
          <w:lang w:val="en-IE"/>
        </w:rPr>
        <w:t>Recovery Assistance for Cohesion and the Territories of Europe initiative (REACT-EU)</w:t>
      </w:r>
      <w:r>
        <w:rPr>
          <w:noProof/>
          <w:sz w:val="18"/>
          <w:szCs w:val="18"/>
          <w:lang w:val="en-IE"/>
        </w:rPr>
        <w:t xml:space="preserve"> represents an estimate.</w:t>
      </w:r>
    </w:p>
    <w:p w14:paraId="0A5DE420" w14:textId="77777777" w:rsidR="00FD3458" w:rsidRPr="002D1A58" w:rsidRDefault="00FD3458" w:rsidP="00D40083">
      <w:pPr>
        <w:tabs>
          <w:tab w:val="left" w:pos="6793"/>
        </w:tabs>
        <w:rPr>
          <w:noProof/>
          <w:sz w:val="18"/>
          <w:szCs w:val="18"/>
          <w:lang w:val="en-IE"/>
        </w:rPr>
      </w:pPr>
    </w:p>
    <w:p w14:paraId="3EB0D4A4" w14:textId="77777777" w:rsidR="00D40083" w:rsidRPr="002D1A58" w:rsidRDefault="00D40083" w:rsidP="00D40083">
      <w:pPr>
        <w:pStyle w:val="ppoTableTabletitle"/>
        <w:rPr>
          <w:b/>
          <w:bCs/>
          <w:noProof/>
          <w:lang w:val="en-IE"/>
        </w:rPr>
      </w:pPr>
      <w:r w:rsidRPr="002D1A58">
        <w:rPr>
          <w:noProof/>
          <w:lang w:val="en-IE"/>
        </w:rPr>
        <w:t>Cumulative implementation rate of regional policy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D40083" w:rsidRPr="002D1A58" w14:paraId="2848CF2B" w14:textId="77777777" w:rsidTr="00AF1C52">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20DA6B5A" w14:textId="77777777" w:rsidR="00D40083" w:rsidRPr="002D1A58" w:rsidRDefault="00D40083" w:rsidP="00AF1C52">
            <w:pPr>
              <w:rPr>
                <w:noProof/>
                <w:lang w:val="en-IE"/>
              </w:rPr>
            </w:pPr>
          </w:p>
        </w:tc>
        <w:tc>
          <w:tcPr>
            <w:tcW w:w="2410" w:type="dxa"/>
          </w:tcPr>
          <w:p w14:paraId="76551204" w14:textId="77777777" w:rsidR="00D40083" w:rsidRPr="002D1A58" w:rsidRDefault="00D40083" w:rsidP="00AF1C52">
            <w:pPr>
              <w:cnfStyle w:val="100000000000" w:firstRow="1" w:lastRow="0" w:firstColumn="0" w:lastColumn="0" w:oddVBand="0" w:evenVBand="0" w:oddHBand="0" w:evenHBand="0" w:firstRowFirstColumn="0" w:firstRowLastColumn="0" w:lastRowFirstColumn="0" w:lastRowLastColumn="0"/>
              <w:rPr>
                <w:noProof/>
                <w:lang w:val="en-IE"/>
              </w:rPr>
            </w:pPr>
            <w:r w:rsidRPr="002D1A58">
              <w:rPr>
                <w:noProof/>
                <w:lang w:val="en-IE"/>
              </w:rPr>
              <w:t>Implementation</w:t>
            </w:r>
          </w:p>
        </w:tc>
        <w:tc>
          <w:tcPr>
            <w:tcW w:w="2410" w:type="dxa"/>
          </w:tcPr>
          <w:p w14:paraId="38A117BE" w14:textId="77777777" w:rsidR="00D40083" w:rsidRPr="002D1A58" w:rsidRDefault="00D40083" w:rsidP="00AF1C52">
            <w:pPr>
              <w:cnfStyle w:val="100000000000" w:firstRow="1" w:lastRow="0" w:firstColumn="0" w:lastColumn="0" w:oddVBand="0" w:evenVBand="0" w:oddHBand="0" w:evenHBand="0" w:firstRowFirstColumn="0" w:firstRowLastColumn="0" w:lastRowFirstColumn="0" w:lastRowLastColumn="0"/>
              <w:rPr>
                <w:noProof/>
                <w:lang w:val="en-IE"/>
              </w:rPr>
            </w:pPr>
            <w:r w:rsidRPr="002D1A58">
              <w:rPr>
                <w:noProof/>
                <w:lang w:val="en-IE"/>
              </w:rPr>
              <w:t>Budget</w:t>
            </w:r>
          </w:p>
        </w:tc>
        <w:tc>
          <w:tcPr>
            <w:tcW w:w="2410" w:type="dxa"/>
          </w:tcPr>
          <w:p w14:paraId="1718AA45" w14:textId="77777777" w:rsidR="00D40083" w:rsidRPr="002D1A58" w:rsidRDefault="00D40083" w:rsidP="00AF1C52">
            <w:pPr>
              <w:cnfStyle w:val="100000000000" w:firstRow="1" w:lastRow="0" w:firstColumn="0" w:lastColumn="0" w:oddVBand="0" w:evenVBand="0" w:oddHBand="0" w:evenHBand="0" w:firstRowFirstColumn="0" w:firstRowLastColumn="0" w:lastRowFirstColumn="0" w:lastRowLastColumn="0"/>
              <w:rPr>
                <w:noProof/>
                <w:lang w:val="en-IE"/>
              </w:rPr>
            </w:pPr>
            <w:r w:rsidRPr="002D1A58">
              <w:rPr>
                <w:noProof/>
                <w:lang w:val="en-IE"/>
              </w:rPr>
              <w:t>Implementation rate</w:t>
            </w:r>
          </w:p>
        </w:tc>
      </w:tr>
      <w:tr w:rsidR="00D40083" w:rsidRPr="002D1A58" w14:paraId="566C8B6A"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0C405DA5" w14:textId="77777777" w:rsidR="00D40083" w:rsidRPr="002D1A58" w:rsidRDefault="00D40083" w:rsidP="00AF1C52">
            <w:pPr>
              <w:jc w:val="center"/>
              <w:rPr>
                <w:noProof/>
                <w:lang w:val="en-IE"/>
              </w:rPr>
            </w:pPr>
            <w:r w:rsidRPr="002D1A58">
              <w:rPr>
                <w:noProof/>
                <w:lang w:val="en-IE"/>
              </w:rPr>
              <w:t>Commitments</w:t>
            </w:r>
          </w:p>
        </w:tc>
        <w:tc>
          <w:tcPr>
            <w:tcW w:w="2410" w:type="dxa"/>
          </w:tcPr>
          <w:p w14:paraId="1C553F30" w14:textId="77777777" w:rsidR="00D40083" w:rsidRPr="002D1A58" w:rsidRDefault="00D4008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r w:rsidRPr="002D1A58">
              <w:rPr>
                <w:noProof/>
                <w:lang w:val="en-IE"/>
              </w:rPr>
              <w:t>260.8</w:t>
            </w:r>
          </w:p>
        </w:tc>
        <w:tc>
          <w:tcPr>
            <w:tcW w:w="2410" w:type="dxa"/>
          </w:tcPr>
          <w:p w14:paraId="7B6330F8" w14:textId="77777777" w:rsidR="00186D8D" w:rsidRDefault="00186D8D" w:rsidP="00186D8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262 066.6</w:t>
            </w:r>
          </w:p>
          <w:p w14:paraId="0D65C96A" w14:textId="0C19869F" w:rsidR="00D40083" w:rsidRPr="002D1A58" w:rsidRDefault="00D4008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p w14:paraId="14ECAB19" w14:textId="77777777" w:rsidR="00D40083" w:rsidRPr="002D1A58" w:rsidRDefault="00D4008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r w:rsidRPr="002D1A58">
              <w:rPr>
                <w:noProof/>
                <w:lang w:val="en-IE"/>
              </w:rPr>
              <w:t>0%</w:t>
            </w:r>
          </w:p>
        </w:tc>
      </w:tr>
      <w:tr w:rsidR="00D40083" w:rsidRPr="002D1A58" w14:paraId="28344C24"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1D2D373A" w14:textId="77777777" w:rsidR="00D40083" w:rsidRPr="002D1A58" w:rsidRDefault="00D40083" w:rsidP="00AF1C52">
            <w:pPr>
              <w:jc w:val="center"/>
              <w:rPr>
                <w:noProof/>
                <w:lang w:val="en-IE"/>
              </w:rPr>
            </w:pPr>
            <w:r w:rsidRPr="002D1A58">
              <w:rPr>
                <w:noProof/>
                <w:lang w:val="en-IE"/>
              </w:rPr>
              <w:t>Payments</w:t>
            </w:r>
          </w:p>
        </w:tc>
        <w:tc>
          <w:tcPr>
            <w:tcW w:w="2410" w:type="dxa"/>
          </w:tcPr>
          <w:p w14:paraId="6AAC7E1D" w14:textId="77777777" w:rsidR="00D40083" w:rsidRPr="002D1A58" w:rsidRDefault="00D4008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r w:rsidRPr="002D1A58">
              <w:rPr>
                <w:noProof/>
                <w:lang w:val="en-IE"/>
              </w:rPr>
              <w:t>37.6</w:t>
            </w:r>
          </w:p>
        </w:tc>
        <w:tc>
          <w:tcPr>
            <w:tcW w:w="2410" w:type="dxa"/>
          </w:tcPr>
          <w:p w14:paraId="766F1AC3" w14:textId="77777777" w:rsidR="00D40083" w:rsidRPr="002D1A58" w:rsidRDefault="00D4008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p w14:paraId="1F62B130" w14:textId="77777777" w:rsidR="00D40083" w:rsidRPr="002D1A58" w:rsidRDefault="00D4008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r w:rsidRPr="002D1A58">
              <w:rPr>
                <w:noProof/>
                <w:lang w:val="en-IE"/>
              </w:rPr>
              <w:t>0%</w:t>
            </w:r>
          </w:p>
        </w:tc>
      </w:tr>
    </w:tbl>
    <w:p w14:paraId="7959C26A" w14:textId="77777777" w:rsidR="00D40083" w:rsidRPr="002D1A58" w:rsidRDefault="00D40083" w:rsidP="00D40083">
      <w:pPr>
        <w:pStyle w:val="ppoTableTabletitle"/>
        <w:rPr>
          <w:b/>
          <w:bCs/>
          <w:noProof/>
          <w:lang w:val="en-IE"/>
        </w:rPr>
      </w:pPr>
      <w:r w:rsidRPr="002D1A58">
        <w:rPr>
          <w:noProof/>
          <w:lang w:val="en-IE"/>
        </w:rPr>
        <w:t>Cumulative implementation rate of REACT-EU under regional policy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D40083" w:rsidRPr="002D1A58" w14:paraId="31B70E5C" w14:textId="77777777" w:rsidTr="00AF1C52">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03844556" w14:textId="77777777" w:rsidR="00D40083" w:rsidRPr="002D1A58" w:rsidRDefault="00D40083" w:rsidP="00AF1C52">
            <w:pPr>
              <w:rPr>
                <w:noProof/>
                <w:lang w:val="en-IE"/>
              </w:rPr>
            </w:pPr>
          </w:p>
        </w:tc>
        <w:tc>
          <w:tcPr>
            <w:tcW w:w="2410" w:type="dxa"/>
          </w:tcPr>
          <w:p w14:paraId="0464AC38" w14:textId="77777777" w:rsidR="00D40083" w:rsidRPr="002D1A58" w:rsidRDefault="00D40083" w:rsidP="00AF1C52">
            <w:pPr>
              <w:cnfStyle w:val="100000000000" w:firstRow="1" w:lastRow="0" w:firstColumn="0" w:lastColumn="0" w:oddVBand="0" w:evenVBand="0" w:oddHBand="0" w:evenHBand="0" w:firstRowFirstColumn="0" w:firstRowLastColumn="0" w:lastRowFirstColumn="0" w:lastRowLastColumn="0"/>
              <w:rPr>
                <w:noProof/>
                <w:lang w:val="en-IE"/>
              </w:rPr>
            </w:pPr>
            <w:r w:rsidRPr="002D1A58">
              <w:rPr>
                <w:noProof/>
                <w:lang w:val="en-IE"/>
              </w:rPr>
              <w:t>Implementation</w:t>
            </w:r>
          </w:p>
        </w:tc>
        <w:tc>
          <w:tcPr>
            <w:tcW w:w="2410" w:type="dxa"/>
          </w:tcPr>
          <w:p w14:paraId="252F87C2" w14:textId="77777777" w:rsidR="00D40083" w:rsidRPr="002D1A58" w:rsidRDefault="00D40083" w:rsidP="00AF1C52">
            <w:pPr>
              <w:cnfStyle w:val="100000000000" w:firstRow="1" w:lastRow="0" w:firstColumn="0" w:lastColumn="0" w:oddVBand="0" w:evenVBand="0" w:oddHBand="0" w:evenHBand="0" w:firstRowFirstColumn="0" w:firstRowLastColumn="0" w:lastRowFirstColumn="0" w:lastRowLastColumn="0"/>
              <w:rPr>
                <w:noProof/>
                <w:lang w:val="en-IE"/>
              </w:rPr>
            </w:pPr>
            <w:r w:rsidRPr="002D1A58">
              <w:rPr>
                <w:noProof/>
                <w:lang w:val="en-IE"/>
              </w:rPr>
              <w:t>Budget</w:t>
            </w:r>
          </w:p>
        </w:tc>
        <w:tc>
          <w:tcPr>
            <w:tcW w:w="2410" w:type="dxa"/>
          </w:tcPr>
          <w:p w14:paraId="2B77E5C9" w14:textId="77777777" w:rsidR="00D40083" w:rsidRPr="002D1A58" w:rsidRDefault="00D40083" w:rsidP="00AF1C52">
            <w:pPr>
              <w:cnfStyle w:val="100000000000" w:firstRow="1" w:lastRow="0" w:firstColumn="0" w:lastColumn="0" w:oddVBand="0" w:evenVBand="0" w:oddHBand="0" w:evenHBand="0" w:firstRowFirstColumn="0" w:firstRowLastColumn="0" w:lastRowFirstColumn="0" w:lastRowLastColumn="0"/>
              <w:rPr>
                <w:noProof/>
                <w:lang w:val="en-IE"/>
              </w:rPr>
            </w:pPr>
            <w:r w:rsidRPr="002D1A58">
              <w:rPr>
                <w:noProof/>
                <w:lang w:val="en-IE"/>
              </w:rPr>
              <w:t>Implementation rate</w:t>
            </w:r>
          </w:p>
        </w:tc>
      </w:tr>
      <w:tr w:rsidR="00D40083" w:rsidRPr="002D1A58" w14:paraId="7545660B"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56AEBE0E" w14:textId="77777777" w:rsidR="00D40083" w:rsidRPr="002D1A58" w:rsidRDefault="00D40083" w:rsidP="00AF1C52">
            <w:pPr>
              <w:jc w:val="center"/>
              <w:rPr>
                <w:noProof/>
                <w:lang w:val="en-IE"/>
              </w:rPr>
            </w:pPr>
            <w:r w:rsidRPr="002D1A58">
              <w:rPr>
                <w:noProof/>
                <w:lang w:val="en-IE"/>
              </w:rPr>
              <w:t>Commitments</w:t>
            </w:r>
          </w:p>
        </w:tc>
        <w:tc>
          <w:tcPr>
            <w:tcW w:w="2410" w:type="dxa"/>
          </w:tcPr>
          <w:p w14:paraId="08BE08BD" w14:textId="77777777" w:rsidR="00D40083" w:rsidRPr="002D1A58" w:rsidRDefault="00D4008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r w:rsidRPr="002D1A58">
              <w:rPr>
                <w:noProof/>
                <w:lang w:val="en-IE"/>
              </w:rPr>
              <w:t>24</w:t>
            </w:r>
            <w:r w:rsidRPr="002D1A58">
              <w:rPr>
                <w:rFonts w:ascii="Calibri" w:hAnsi="Calibri" w:cs="Calibri"/>
                <w:noProof/>
                <w:lang w:val="en-IE"/>
              </w:rPr>
              <w:t> </w:t>
            </w:r>
            <w:r w:rsidRPr="002D1A58">
              <w:rPr>
                <w:noProof/>
                <w:lang w:val="en-IE"/>
              </w:rPr>
              <w:t>038.4</w:t>
            </w:r>
          </w:p>
        </w:tc>
        <w:tc>
          <w:tcPr>
            <w:tcW w:w="2410" w:type="dxa"/>
          </w:tcPr>
          <w:p w14:paraId="7D61F27A" w14:textId="77777777" w:rsidR="00D40083" w:rsidRDefault="00D40083" w:rsidP="00AF1C52">
            <w:pPr>
              <w:jc w:val="center"/>
              <w:cnfStyle w:val="000000000000" w:firstRow="0" w:lastRow="0" w:firstColumn="0" w:lastColumn="0" w:oddVBand="0" w:evenVBand="0" w:oddHBand="0" w:evenHBand="0" w:firstRowFirstColumn="0" w:firstRowLastColumn="0" w:lastRowFirstColumn="0" w:lastRowLastColumn="0"/>
              <w:rPr>
                <w:rFonts w:ascii="Calibri" w:hAnsi="Calibri"/>
                <w:noProof/>
                <w:color w:val="000000"/>
              </w:rPr>
            </w:pPr>
            <w:r>
              <w:rPr>
                <w:rFonts w:ascii="Calibri" w:hAnsi="Calibri"/>
                <w:noProof/>
                <w:color w:val="000000"/>
              </w:rPr>
              <w:t>31 458.2</w:t>
            </w:r>
          </w:p>
          <w:p w14:paraId="31A03EE3" w14:textId="77777777" w:rsidR="00D40083" w:rsidRPr="002D1A58" w:rsidRDefault="00D4008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p w14:paraId="6B995B03" w14:textId="77777777" w:rsidR="00D40083" w:rsidRPr="002D1A58" w:rsidRDefault="00D4008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76</w:t>
            </w:r>
            <w:r w:rsidRPr="002D1A58">
              <w:rPr>
                <w:noProof/>
                <w:lang w:val="en-IE"/>
              </w:rPr>
              <w:t>%</w:t>
            </w:r>
          </w:p>
        </w:tc>
      </w:tr>
      <w:tr w:rsidR="00D40083" w:rsidRPr="002D1A58" w14:paraId="09C669F2"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026899D4" w14:textId="77777777" w:rsidR="00D40083" w:rsidRPr="002D1A58" w:rsidRDefault="00D40083" w:rsidP="00AF1C52">
            <w:pPr>
              <w:jc w:val="center"/>
              <w:rPr>
                <w:noProof/>
                <w:lang w:val="en-IE"/>
              </w:rPr>
            </w:pPr>
            <w:r w:rsidRPr="002D1A58">
              <w:rPr>
                <w:noProof/>
                <w:lang w:val="en-IE"/>
              </w:rPr>
              <w:t>Payments</w:t>
            </w:r>
          </w:p>
        </w:tc>
        <w:tc>
          <w:tcPr>
            <w:tcW w:w="2410" w:type="dxa"/>
          </w:tcPr>
          <w:p w14:paraId="01E207CD" w14:textId="77777777" w:rsidR="00D40083" w:rsidRPr="002D1A58" w:rsidRDefault="00D4008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r w:rsidRPr="002D1A58">
              <w:rPr>
                <w:noProof/>
                <w:lang w:val="en-IE"/>
              </w:rPr>
              <w:t>4</w:t>
            </w:r>
            <w:r w:rsidRPr="002D1A58">
              <w:rPr>
                <w:rFonts w:ascii="Calibri" w:hAnsi="Calibri" w:cs="Calibri"/>
                <w:noProof/>
                <w:lang w:val="en-IE"/>
              </w:rPr>
              <w:t> </w:t>
            </w:r>
            <w:r w:rsidRPr="002D1A58">
              <w:rPr>
                <w:noProof/>
                <w:lang w:val="en-IE"/>
              </w:rPr>
              <w:t>926.4</w:t>
            </w:r>
          </w:p>
        </w:tc>
        <w:tc>
          <w:tcPr>
            <w:tcW w:w="2410" w:type="dxa"/>
          </w:tcPr>
          <w:p w14:paraId="5751F646" w14:textId="77777777" w:rsidR="00D40083" w:rsidRPr="002D1A58" w:rsidRDefault="00D4008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p w14:paraId="7E61D21C" w14:textId="77777777" w:rsidR="00D40083" w:rsidRPr="002D1A58" w:rsidRDefault="00D4008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r w:rsidRPr="002D1A58">
              <w:rPr>
                <w:noProof/>
                <w:lang w:val="en-IE"/>
              </w:rPr>
              <w:t>1</w:t>
            </w:r>
            <w:r>
              <w:rPr>
                <w:noProof/>
                <w:lang w:val="en-IE"/>
              </w:rPr>
              <w:t>6</w:t>
            </w:r>
            <w:r w:rsidRPr="002D1A58">
              <w:rPr>
                <w:noProof/>
                <w:lang w:val="en-IE"/>
              </w:rPr>
              <w:t>%</w:t>
            </w:r>
          </w:p>
        </w:tc>
      </w:tr>
    </w:tbl>
    <w:p w14:paraId="1BDB2070" w14:textId="77777777" w:rsidR="00D40083" w:rsidRPr="002D1A58" w:rsidRDefault="00D40083" w:rsidP="00D40083">
      <w:pPr>
        <w:pStyle w:val="ppoTableTabletitle"/>
        <w:rPr>
          <w:b/>
          <w:bCs/>
          <w:noProof/>
          <w:lang w:val="en-IE"/>
        </w:rPr>
      </w:pPr>
      <w:r w:rsidRPr="002D1A58">
        <w:rPr>
          <w:noProof/>
          <w:lang w:val="en-IE"/>
        </w:rPr>
        <w:t>Voted budget implementation of regional policy in 2021 (million EUR):</w:t>
      </w:r>
    </w:p>
    <w:tbl>
      <w:tblPr>
        <w:tblStyle w:val="PPO2021"/>
        <w:tblW w:w="3683" w:type="pct"/>
        <w:tblInd w:w="79" w:type="dxa"/>
        <w:tblLook w:val="04A0" w:firstRow="1" w:lastRow="0" w:firstColumn="1" w:lastColumn="0" w:noHBand="0" w:noVBand="1"/>
      </w:tblPr>
      <w:tblGrid>
        <w:gridCol w:w="2419"/>
        <w:gridCol w:w="2419"/>
        <w:gridCol w:w="2420"/>
      </w:tblGrid>
      <w:tr w:rsidR="00D40083" w:rsidRPr="002D1A58" w14:paraId="0B102645" w14:textId="77777777" w:rsidTr="00AF1C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40783304" w14:textId="77777777" w:rsidR="00D40083" w:rsidRPr="002D1A58" w:rsidRDefault="00D40083" w:rsidP="00AF1C52">
            <w:pPr>
              <w:rPr>
                <w:noProof/>
                <w:lang w:val="en-IE"/>
              </w:rPr>
            </w:pPr>
          </w:p>
        </w:tc>
        <w:tc>
          <w:tcPr>
            <w:tcW w:w="2419" w:type="dxa"/>
          </w:tcPr>
          <w:p w14:paraId="5E4A017C" w14:textId="77777777" w:rsidR="00D40083" w:rsidRPr="002D1A58" w:rsidRDefault="00D40083" w:rsidP="00AF1C52">
            <w:pPr>
              <w:cnfStyle w:val="100000000000" w:firstRow="1" w:lastRow="0" w:firstColumn="0" w:lastColumn="0" w:oddVBand="0" w:evenVBand="0" w:oddHBand="0" w:evenHBand="0" w:firstRowFirstColumn="0" w:firstRowLastColumn="0" w:lastRowFirstColumn="0" w:lastRowLastColumn="0"/>
              <w:rPr>
                <w:noProof/>
                <w:lang w:val="en-IE"/>
              </w:rPr>
            </w:pPr>
            <w:r w:rsidRPr="002D1A58">
              <w:rPr>
                <w:noProof/>
                <w:lang w:val="en-IE"/>
              </w:rPr>
              <w:t>Voted budget implementation</w:t>
            </w:r>
          </w:p>
        </w:tc>
        <w:tc>
          <w:tcPr>
            <w:tcW w:w="2420" w:type="dxa"/>
          </w:tcPr>
          <w:p w14:paraId="5827D480" w14:textId="77777777" w:rsidR="00D40083" w:rsidRPr="002D1A58" w:rsidRDefault="00D40083" w:rsidP="00AF1C52">
            <w:pPr>
              <w:cnfStyle w:val="100000000000" w:firstRow="1" w:lastRow="0" w:firstColumn="0" w:lastColumn="0" w:oddVBand="0" w:evenVBand="0" w:oddHBand="0" w:evenHBand="0" w:firstRowFirstColumn="0" w:firstRowLastColumn="0" w:lastRowFirstColumn="0" w:lastRowLastColumn="0"/>
              <w:rPr>
                <w:noProof/>
                <w:lang w:val="en-IE"/>
              </w:rPr>
            </w:pPr>
            <w:r w:rsidRPr="002D1A58">
              <w:rPr>
                <w:noProof/>
                <w:lang w:val="en-IE"/>
              </w:rPr>
              <w:t>Initial voted budget</w:t>
            </w:r>
          </w:p>
        </w:tc>
      </w:tr>
      <w:tr w:rsidR="00D40083" w:rsidRPr="002D1A58" w14:paraId="71287865" w14:textId="77777777" w:rsidTr="00AF1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0598CA89" w14:textId="77777777" w:rsidR="00D40083" w:rsidRPr="002D1A58" w:rsidRDefault="00D40083" w:rsidP="00AF1C52">
            <w:pPr>
              <w:jc w:val="center"/>
              <w:rPr>
                <w:noProof/>
                <w:lang w:val="en-IE"/>
              </w:rPr>
            </w:pPr>
            <w:r w:rsidRPr="002D1A58">
              <w:rPr>
                <w:noProof/>
                <w:lang w:val="en-IE"/>
              </w:rPr>
              <w:t>Commitments</w:t>
            </w:r>
          </w:p>
        </w:tc>
        <w:tc>
          <w:tcPr>
            <w:tcW w:w="2419" w:type="dxa"/>
          </w:tcPr>
          <w:p w14:paraId="519E965A" w14:textId="77777777" w:rsidR="00D40083" w:rsidRPr="002D1A58" w:rsidRDefault="00D40083" w:rsidP="00AF1C52">
            <w:pPr>
              <w:jc w:val="center"/>
              <w:cnfStyle w:val="000000100000" w:firstRow="0" w:lastRow="0" w:firstColumn="0" w:lastColumn="0" w:oddVBand="0" w:evenVBand="0" w:oddHBand="1" w:evenHBand="0" w:firstRowFirstColumn="0" w:firstRowLastColumn="0" w:lastRowFirstColumn="0" w:lastRowLastColumn="0"/>
              <w:rPr>
                <w:noProof/>
                <w:lang w:val="en-IE"/>
              </w:rPr>
            </w:pPr>
            <w:r w:rsidRPr="002D1A58">
              <w:rPr>
                <w:noProof/>
                <w:lang w:val="en-IE"/>
              </w:rPr>
              <w:t>260.8</w:t>
            </w:r>
          </w:p>
        </w:tc>
        <w:tc>
          <w:tcPr>
            <w:tcW w:w="2420" w:type="dxa"/>
          </w:tcPr>
          <w:p w14:paraId="4BFAD775" w14:textId="77777777" w:rsidR="00D40083" w:rsidRPr="002D1A58" w:rsidRDefault="00D40083" w:rsidP="00AF1C52">
            <w:pPr>
              <w:jc w:val="center"/>
              <w:cnfStyle w:val="000000100000" w:firstRow="0" w:lastRow="0" w:firstColumn="0" w:lastColumn="0" w:oddVBand="0" w:evenVBand="0" w:oddHBand="1" w:evenHBand="0" w:firstRowFirstColumn="0" w:firstRowLastColumn="0" w:lastRowFirstColumn="0" w:lastRowLastColumn="0"/>
              <w:rPr>
                <w:noProof/>
                <w:lang w:val="en-IE"/>
              </w:rPr>
            </w:pPr>
            <w:r w:rsidRPr="002D1A58">
              <w:rPr>
                <w:noProof/>
                <w:lang w:val="en-IE"/>
              </w:rPr>
              <w:t>33</w:t>
            </w:r>
            <w:r w:rsidRPr="002D1A58">
              <w:rPr>
                <w:rFonts w:ascii="Calibri" w:hAnsi="Calibri" w:cs="Calibri"/>
                <w:noProof/>
                <w:lang w:val="en-IE"/>
              </w:rPr>
              <w:t> </w:t>
            </w:r>
            <w:r w:rsidRPr="002D1A58">
              <w:rPr>
                <w:noProof/>
                <w:lang w:val="en-IE"/>
              </w:rPr>
              <w:t>942.5</w:t>
            </w:r>
          </w:p>
        </w:tc>
      </w:tr>
      <w:tr w:rsidR="00D40083" w:rsidRPr="002D1A58" w14:paraId="2E598530" w14:textId="77777777" w:rsidTr="00AF1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389FB32D" w14:textId="77777777" w:rsidR="00D40083" w:rsidRPr="002D1A58" w:rsidRDefault="00D40083" w:rsidP="00AF1C52">
            <w:pPr>
              <w:jc w:val="center"/>
              <w:rPr>
                <w:noProof/>
                <w:lang w:val="en-IE"/>
              </w:rPr>
            </w:pPr>
            <w:r w:rsidRPr="002D1A58">
              <w:rPr>
                <w:noProof/>
                <w:lang w:val="en-IE"/>
              </w:rPr>
              <w:t>Payments</w:t>
            </w:r>
          </w:p>
        </w:tc>
        <w:tc>
          <w:tcPr>
            <w:tcW w:w="2419" w:type="dxa"/>
          </w:tcPr>
          <w:p w14:paraId="61A9A22F" w14:textId="77777777" w:rsidR="00D40083" w:rsidRPr="002D1A58" w:rsidRDefault="00D40083" w:rsidP="00AF1C52">
            <w:pPr>
              <w:jc w:val="center"/>
              <w:cnfStyle w:val="000000010000" w:firstRow="0" w:lastRow="0" w:firstColumn="0" w:lastColumn="0" w:oddVBand="0" w:evenVBand="0" w:oddHBand="0" w:evenHBand="1" w:firstRowFirstColumn="0" w:firstRowLastColumn="0" w:lastRowFirstColumn="0" w:lastRowLastColumn="0"/>
              <w:rPr>
                <w:noProof/>
                <w:lang w:val="en-IE"/>
              </w:rPr>
            </w:pPr>
            <w:r w:rsidRPr="002D1A58">
              <w:rPr>
                <w:noProof/>
                <w:lang w:val="en-IE"/>
              </w:rPr>
              <w:t>37.6</w:t>
            </w:r>
          </w:p>
        </w:tc>
        <w:tc>
          <w:tcPr>
            <w:tcW w:w="2420" w:type="dxa"/>
          </w:tcPr>
          <w:p w14:paraId="43BFC0F0" w14:textId="77777777" w:rsidR="00D40083" w:rsidRPr="002D1A58" w:rsidRDefault="00D40083" w:rsidP="00AF1C52">
            <w:pPr>
              <w:jc w:val="center"/>
              <w:cnfStyle w:val="000000010000" w:firstRow="0" w:lastRow="0" w:firstColumn="0" w:lastColumn="0" w:oddVBand="0" w:evenVBand="0" w:oddHBand="0" w:evenHBand="1" w:firstRowFirstColumn="0" w:firstRowLastColumn="0" w:lastRowFirstColumn="0" w:lastRowLastColumn="0"/>
              <w:rPr>
                <w:noProof/>
                <w:lang w:val="en-IE"/>
              </w:rPr>
            </w:pPr>
            <w:r w:rsidRPr="002D1A58">
              <w:rPr>
                <w:noProof/>
                <w:lang w:val="en-IE"/>
              </w:rPr>
              <w:t>1</w:t>
            </w:r>
            <w:r w:rsidRPr="002D1A58">
              <w:rPr>
                <w:rFonts w:ascii="Calibri" w:hAnsi="Calibri" w:cs="Calibri"/>
                <w:noProof/>
                <w:lang w:val="en-IE"/>
              </w:rPr>
              <w:t> </w:t>
            </w:r>
            <w:r w:rsidRPr="002D1A58">
              <w:rPr>
                <w:noProof/>
                <w:lang w:val="en-IE"/>
              </w:rPr>
              <w:t>483.9</w:t>
            </w:r>
          </w:p>
        </w:tc>
      </w:tr>
    </w:tbl>
    <w:p w14:paraId="3B575FA6" w14:textId="77777777" w:rsidR="00D40083" w:rsidRPr="002D1A58" w:rsidRDefault="00D40083" w:rsidP="00D40083">
      <w:pPr>
        <w:pStyle w:val="ppoListHyphened-L1"/>
        <w:spacing w:before="360"/>
        <w:rPr>
          <w:noProof/>
          <w:lang w:val="en-IE"/>
        </w:rPr>
      </w:pPr>
      <w:r w:rsidRPr="002D1A58">
        <w:rPr>
          <w:noProof/>
          <w:lang w:val="en-IE"/>
        </w:rPr>
        <w:t>The adoption process of the 2021-2027 programmes has been slower than expected (see section 3.1 for more details). As a consequence, the whole 2021 allocation (EUR</w:t>
      </w:r>
      <w:r w:rsidRPr="002D1A58">
        <w:rPr>
          <w:rFonts w:ascii="Calibri" w:hAnsi="Calibri" w:cs="Calibri"/>
          <w:noProof/>
          <w:lang w:val="en-IE"/>
        </w:rPr>
        <w:t> </w:t>
      </w:r>
      <w:r w:rsidRPr="002D1A58">
        <w:rPr>
          <w:noProof/>
          <w:lang w:val="en-IE"/>
        </w:rPr>
        <w:t>34.9</w:t>
      </w:r>
      <w:r w:rsidRPr="002D1A58">
        <w:rPr>
          <w:rFonts w:ascii="Calibri" w:hAnsi="Calibri" w:cs="Calibri"/>
          <w:noProof/>
          <w:lang w:val="en-IE"/>
        </w:rPr>
        <w:t> </w:t>
      </w:r>
      <w:r w:rsidRPr="002D1A58">
        <w:rPr>
          <w:noProof/>
          <w:lang w:val="en-IE"/>
        </w:rPr>
        <w:t>billion) is to be reprogrammed in four equal tranches for the years 2022-2025. In the 2022 budget, the allocation for ERDF and CF together is EUR</w:t>
      </w:r>
      <w:r w:rsidRPr="002D1A58">
        <w:rPr>
          <w:rFonts w:ascii="Calibri" w:hAnsi="Calibri" w:cs="Calibri"/>
          <w:noProof/>
          <w:lang w:val="en-IE"/>
        </w:rPr>
        <w:t> </w:t>
      </w:r>
      <w:r w:rsidRPr="002D1A58">
        <w:rPr>
          <w:noProof/>
          <w:lang w:val="en-IE"/>
        </w:rPr>
        <w:t>35</w:t>
      </w:r>
      <w:r w:rsidRPr="002D1A58">
        <w:rPr>
          <w:rFonts w:ascii="Calibri" w:hAnsi="Calibri" w:cs="Calibri"/>
          <w:noProof/>
          <w:lang w:val="en-IE"/>
        </w:rPr>
        <w:t> </w:t>
      </w:r>
      <w:r w:rsidRPr="002D1A58">
        <w:rPr>
          <w:noProof/>
          <w:lang w:val="en-IE"/>
        </w:rPr>
        <w:t>billion (EUR</w:t>
      </w:r>
      <w:r w:rsidRPr="002D1A58">
        <w:rPr>
          <w:rFonts w:ascii="Calibri" w:hAnsi="Calibri" w:cs="Calibri"/>
          <w:noProof/>
          <w:lang w:val="en-IE"/>
        </w:rPr>
        <w:t> </w:t>
      </w:r>
      <w:r w:rsidRPr="002D1A58">
        <w:rPr>
          <w:noProof/>
          <w:lang w:val="en-IE"/>
        </w:rPr>
        <w:t>29.9</w:t>
      </w:r>
      <w:r w:rsidRPr="002D1A58">
        <w:rPr>
          <w:rFonts w:ascii="Calibri" w:hAnsi="Calibri" w:cs="Calibri"/>
          <w:noProof/>
          <w:lang w:val="en-IE"/>
        </w:rPr>
        <w:t> </w:t>
      </w:r>
      <w:r w:rsidRPr="002D1A58">
        <w:rPr>
          <w:noProof/>
          <w:lang w:val="en-IE"/>
        </w:rPr>
        <w:t>billion</w:t>
      </w:r>
      <w:r>
        <w:rPr>
          <w:noProof/>
          <w:lang w:val="en-IE"/>
        </w:rPr>
        <w:t xml:space="preserve"> for ERDF,</w:t>
      </w:r>
      <w:r w:rsidRPr="002D1A58">
        <w:rPr>
          <w:noProof/>
          <w:lang w:val="en-IE"/>
        </w:rPr>
        <w:t xml:space="preserve"> EUR</w:t>
      </w:r>
      <w:r w:rsidRPr="002D1A58">
        <w:rPr>
          <w:rFonts w:ascii="Calibri" w:hAnsi="Calibri" w:cs="Calibri"/>
          <w:noProof/>
          <w:lang w:val="en-IE"/>
        </w:rPr>
        <w:t> </w:t>
      </w:r>
      <w:r w:rsidRPr="002D1A58">
        <w:rPr>
          <w:noProof/>
          <w:lang w:val="en-IE"/>
        </w:rPr>
        <w:t>4.8</w:t>
      </w:r>
      <w:r w:rsidRPr="002D1A58">
        <w:rPr>
          <w:rFonts w:ascii="Calibri" w:hAnsi="Calibri" w:cs="Calibri"/>
          <w:noProof/>
          <w:lang w:val="en-IE"/>
        </w:rPr>
        <w:t> </w:t>
      </w:r>
      <w:r w:rsidRPr="002D1A58">
        <w:rPr>
          <w:noProof/>
          <w:lang w:val="en-IE"/>
        </w:rPr>
        <w:t>billion</w:t>
      </w:r>
      <w:r>
        <w:rPr>
          <w:noProof/>
          <w:lang w:val="en-IE"/>
        </w:rPr>
        <w:t xml:space="preserve"> for CF</w:t>
      </w:r>
      <w:r w:rsidRPr="002D1A58">
        <w:rPr>
          <w:noProof/>
          <w:lang w:val="en-IE"/>
        </w:rPr>
        <w:t>) in commitment appropriations. Both the 2021 commitments and the first pre-financing payments for all of the multiannual financial framework instruments will take place once the new programmes for the 2021-2027 period are adopted. An amount of EUR</w:t>
      </w:r>
      <w:r w:rsidRPr="002D1A58">
        <w:rPr>
          <w:rFonts w:ascii="Calibri" w:hAnsi="Calibri" w:cs="Calibri"/>
          <w:noProof/>
          <w:lang w:val="en-IE"/>
        </w:rPr>
        <w:t> </w:t>
      </w:r>
      <w:r w:rsidRPr="002D1A58">
        <w:rPr>
          <w:noProof/>
          <w:lang w:val="en-IE"/>
        </w:rPr>
        <w:t>2.6</w:t>
      </w:r>
      <w:r w:rsidRPr="002D1A58">
        <w:rPr>
          <w:rFonts w:ascii="Calibri" w:hAnsi="Calibri" w:cs="Calibri"/>
          <w:noProof/>
          <w:lang w:val="en-IE"/>
        </w:rPr>
        <w:t> </w:t>
      </w:r>
      <w:r w:rsidRPr="002D1A58">
        <w:rPr>
          <w:noProof/>
          <w:lang w:val="en-IE"/>
        </w:rPr>
        <w:t xml:space="preserve">billion is available in payment appropriations for pre-financing. </w:t>
      </w:r>
    </w:p>
    <w:p w14:paraId="21FD3BA6" w14:textId="77777777" w:rsidR="00D40083" w:rsidRPr="002D1A58" w:rsidRDefault="00D40083" w:rsidP="00D40083">
      <w:pPr>
        <w:pStyle w:val="ppoHeading5"/>
        <w:rPr>
          <w:noProof/>
          <w:lang w:val="en-IE"/>
        </w:rPr>
      </w:pPr>
      <w:r w:rsidRPr="002D1A58">
        <w:rPr>
          <w:noProof/>
          <w:lang w:val="en-IE"/>
        </w:rPr>
        <w:t>Contribution to horizontal priorities</w:t>
      </w:r>
    </w:p>
    <w:p w14:paraId="0AE608B4" w14:textId="77777777" w:rsidR="00D40083" w:rsidRPr="002D1A58" w:rsidRDefault="00D40083" w:rsidP="00D40083">
      <w:pPr>
        <w:pStyle w:val="ppoTableTabletitle"/>
        <w:rPr>
          <w:noProof/>
          <w:lang w:val="en-IE"/>
        </w:rPr>
      </w:pPr>
      <w:r w:rsidRPr="002D1A58">
        <w:rPr>
          <w:noProof/>
          <w:lang w:val="en-IE"/>
        </w:rPr>
        <w:t>EU budget contribution of regional policy in 2021 (million EUR):</w:t>
      </w:r>
    </w:p>
    <w:tbl>
      <w:tblPr>
        <w:tblStyle w:val="PPO2021"/>
        <w:tblW w:w="9639" w:type="dxa"/>
        <w:tblInd w:w="0" w:type="dxa"/>
        <w:tblLook w:val="0420" w:firstRow="1" w:lastRow="0" w:firstColumn="0" w:lastColumn="0" w:noHBand="0" w:noVBand="1"/>
      </w:tblPr>
      <w:tblGrid>
        <w:gridCol w:w="3213"/>
        <w:gridCol w:w="3213"/>
        <w:gridCol w:w="3213"/>
      </w:tblGrid>
      <w:tr w:rsidR="00D40083" w:rsidRPr="002D1A58" w14:paraId="19DD8222" w14:textId="77777777" w:rsidTr="00AF1C52">
        <w:trPr>
          <w:cnfStyle w:val="100000000000" w:firstRow="1" w:lastRow="0" w:firstColumn="0" w:lastColumn="0" w:oddVBand="0" w:evenVBand="0" w:oddHBand="0" w:evenHBand="0" w:firstRowFirstColumn="0" w:firstRowLastColumn="0" w:lastRowFirstColumn="0" w:lastRowLastColumn="0"/>
          <w:tblHeader/>
        </w:trPr>
        <w:tc>
          <w:tcPr>
            <w:tcW w:w="3213" w:type="dxa"/>
          </w:tcPr>
          <w:p w14:paraId="35E89A1D" w14:textId="77777777" w:rsidR="00D40083" w:rsidRPr="002D1A58" w:rsidRDefault="00D40083" w:rsidP="00AF1C52">
            <w:pPr>
              <w:rPr>
                <w:noProof/>
                <w:lang w:val="en-IE"/>
              </w:rPr>
            </w:pPr>
            <w:r w:rsidRPr="002D1A58">
              <w:rPr>
                <w:noProof/>
                <w:lang w:val="en-IE"/>
              </w:rPr>
              <w:t>Climate</w:t>
            </w:r>
          </w:p>
        </w:tc>
        <w:tc>
          <w:tcPr>
            <w:tcW w:w="3213" w:type="dxa"/>
          </w:tcPr>
          <w:p w14:paraId="376D1145" w14:textId="77777777" w:rsidR="00D40083" w:rsidRPr="002D1A58" w:rsidRDefault="00D40083" w:rsidP="00AF1C52">
            <w:pPr>
              <w:rPr>
                <w:noProof/>
                <w:lang w:val="en-IE"/>
              </w:rPr>
            </w:pPr>
            <w:r w:rsidRPr="002D1A58">
              <w:rPr>
                <w:noProof/>
                <w:lang w:val="en-IE"/>
              </w:rPr>
              <w:t>Biodiversity</w:t>
            </w:r>
          </w:p>
        </w:tc>
        <w:tc>
          <w:tcPr>
            <w:tcW w:w="3213" w:type="dxa"/>
          </w:tcPr>
          <w:p w14:paraId="6E3C4986" w14:textId="77777777" w:rsidR="00D40083" w:rsidRPr="002D1A58" w:rsidRDefault="00D40083" w:rsidP="00AF1C52">
            <w:pPr>
              <w:rPr>
                <w:noProof/>
                <w:lang w:val="en-IE"/>
              </w:rPr>
            </w:pPr>
            <w:r w:rsidRPr="002D1A58">
              <w:rPr>
                <w:noProof/>
                <w:lang w:val="en-IE"/>
              </w:rPr>
              <w:t>Gender equality</w:t>
            </w:r>
            <w:r w:rsidRPr="002D1A58">
              <w:rPr>
                <w:rFonts w:ascii="Calibri" w:hAnsi="Calibri" w:cs="Calibri"/>
                <w:noProof/>
                <w:lang w:val="en-IE"/>
              </w:rPr>
              <w:t> </w:t>
            </w:r>
            <w:r w:rsidRPr="002D1A58">
              <w:rPr>
                <w:noProof/>
                <w:lang w:val="en-IE"/>
              </w:rPr>
              <w:t>(*)</w:t>
            </w:r>
          </w:p>
        </w:tc>
      </w:tr>
      <w:tr w:rsidR="00D40083" w:rsidRPr="002D1A58" w14:paraId="6CC5187F" w14:textId="77777777" w:rsidTr="00AF1C52">
        <w:trPr>
          <w:cnfStyle w:val="000000100000" w:firstRow="0" w:lastRow="0" w:firstColumn="0" w:lastColumn="0" w:oddVBand="0" w:evenVBand="0" w:oddHBand="1" w:evenHBand="0" w:firstRowFirstColumn="0" w:firstRowLastColumn="0" w:lastRowFirstColumn="0" w:lastRowLastColumn="0"/>
        </w:trPr>
        <w:tc>
          <w:tcPr>
            <w:tcW w:w="3213" w:type="dxa"/>
          </w:tcPr>
          <w:p w14:paraId="61D60DEB" w14:textId="5F694FC5" w:rsidR="00D40083" w:rsidRPr="002D1A58" w:rsidRDefault="00943AD6" w:rsidP="00AF1C52">
            <w:pPr>
              <w:jc w:val="center"/>
              <w:rPr>
                <w:noProof/>
                <w:lang w:val="en-IE"/>
              </w:rPr>
            </w:pPr>
            <w:r>
              <w:rPr>
                <w:noProof/>
                <w:lang w:val="en-IE"/>
              </w:rPr>
              <w:t>37.0</w:t>
            </w:r>
          </w:p>
        </w:tc>
        <w:tc>
          <w:tcPr>
            <w:tcW w:w="3213" w:type="dxa"/>
          </w:tcPr>
          <w:p w14:paraId="6BE0D9B8" w14:textId="77777777" w:rsidR="00D40083" w:rsidRPr="002D1A58" w:rsidRDefault="00D40083" w:rsidP="00AF1C52">
            <w:pPr>
              <w:jc w:val="center"/>
              <w:rPr>
                <w:noProof/>
                <w:lang w:val="en-IE"/>
              </w:rPr>
            </w:pPr>
            <w:r w:rsidRPr="002D1A58">
              <w:rPr>
                <w:noProof/>
                <w:lang w:val="en-IE"/>
              </w:rPr>
              <w:t>1</w:t>
            </w:r>
            <w:r w:rsidRPr="002D1A58">
              <w:rPr>
                <w:rFonts w:ascii="Calibri" w:hAnsi="Calibri" w:cs="Calibri"/>
                <w:noProof/>
                <w:lang w:val="en-IE"/>
              </w:rPr>
              <w:t> </w:t>
            </w:r>
            <w:r w:rsidRPr="002D1A58">
              <w:rPr>
                <w:noProof/>
                <w:lang w:val="en-IE"/>
              </w:rPr>
              <w:t>696.80</w:t>
            </w:r>
          </w:p>
        </w:tc>
        <w:tc>
          <w:tcPr>
            <w:tcW w:w="3213" w:type="dxa"/>
          </w:tcPr>
          <w:p w14:paraId="15D6CEB8" w14:textId="373D7CAC" w:rsidR="00D40083" w:rsidRPr="002D1A58" w:rsidRDefault="00D40083" w:rsidP="00AF1C52">
            <w:pPr>
              <w:jc w:val="center"/>
              <w:rPr>
                <w:noProof/>
                <w:lang w:val="en-IE"/>
              </w:rPr>
            </w:pPr>
            <w:r w:rsidRPr="002D1A58">
              <w:rPr>
                <w:noProof/>
                <w:lang w:val="en-IE"/>
              </w:rPr>
              <w:t>Score</w:t>
            </w:r>
            <w:r w:rsidRPr="002D1A58">
              <w:rPr>
                <w:rFonts w:ascii="Calibri" w:hAnsi="Calibri" w:cs="Calibri"/>
                <w:noProof/>
                <w:lang w:val="en-IE"/>
              </w:rPr>
              <w:t> </w:t>
            </w:r>
            <w:r w:rsidRPr="002D1A58">
              <w:rPr>
                <w:noProof/>
                <w:lang w:val="en-IE"/>
              </w:rPr>
              <w:t xml:space="preserve">0*: </w:t>
            </w:r>
            <w:r>
              <w:rPr>
                <w:noProof/>
                <w:lang w:val="en-IE"/>
              </w:rPr>
              <w:t>260.8</w:t>
            </w:r>
          </w:p>
        </w:tc>
      </w:tr>
    </w:tbl>
    <w:p w14:paraId="6049AE0E" w14:textId="77777777" w:rsidR="00D40083" w:rsidRPr="002D1A58" w:rsidRDefault="00D40083" w:rsidP="00D40083">
      <w:pPr>
        <w:pStyle w:val="ppoTableTabletitle"/>
        <w:rPr>
          <w:noProof/>
          <w:lang w:val="en-IE"/>
        </w:rPr>
      </w:pPr>
      <w:r w:rsidRPr="002D1A58">
        <w:rPr>
          <w:noProof/>
          <w:lang w:val="en-IE"/>
        </w:rPr>
        <w:t>EU budget contribution of REACT-EU under regional policy in 2021 (million EUR):</w:t>
      </w:r>
    </w:p>
    <w:tbl>
      <w:tblPr>
        <w:tblStyle w:val="PPO2021"/>
        <w:tblW w:w="9639" w:type="dxa"/>
        <w:tblInd w:w="0" w:type="dxa"/>
        <w:tblLook w:val="0420" w:firstRow="1" w:lastRow="0" w:firstColumn="0" w:lastColumn="0" w:noHBand="0" w:noVBand="1"/>
      </w:tblPr>
      <w:tblGrid>
        <w:gridCol w:w="3213"/>
        <w:gridCol w:w="3213"/>
        <w:gridCol w:w="3213"/>
      </w:tblGrid>
      <w:tr w:rsidR="00D40083" w:rsidRPr="002D1A58" w14:paraId="794C60F7" w14:textId="77777777" w:rsidTr="00AF1C52">
        <w:trPr>
          <w:cnfStyle w:val="100000000000" w:firstRow="1" w:lastRow="0" w:firstColumn="0" w:lastColumn="0" w:oddVBand="0" w:evenVBand="0" w:oddHBand="0" w:evenHBand="0" w:firstRowFirstColumn="0" w:firstRowLastColumn="0" w:lastRowFirstColumn="0" w:lastRowLastColumn="0"/>
          <w:tblHeader/>
        </w:trPr>
        <w:tc>
          <w:tcPr>
            <w:tcW w:w="3213" w:type="dxa"/>
          </w:tcPr>
          <w:p w14:paraId="05A73AE9" w14:textId="77777777" w:rsidR="00D40083" w:rsidRPr="002D1A58" w:rsidRDefault="00D40083" w:rsidP="00AF1C52">
            <w:pPr>
              <w:rPr>
                <w:noProof/>
                <w:lang w:val="en-IE"/>
              </w:rPr>
            </w:pPr>
            <w:r w:rsidRPr="002D1A58">
              <w:rPr>
                <w:noProof/>
                <w:lang w:val="en-IE"/>
              </w:rPr>
              <w:t>Climate</w:t>
            </w:r>
          </w:p>
        </w:tc>
        <w:tc>
          <w:tcPr>
            <w:tcW w:w="3213" w:type="dxa"/>
          </w:tcPr>
          <w:p w14:paraId="7B8BBEBA" w14:textId="77777777" w:rsidR="00D40083" w:rsidRPr="002D1A58" w:rsidRDefault="00D40083" w:rsidP="00AF1C52">
            <w:pPr>
              <w:rPr>
                <w:noProof/>
                <w:lang w:val="en-IE"/>
              </w:rPr>
            </w:pPr>
            <w:r w:rsidRPr="002D1A58">
              <w:rPr>
                <w:noProof/>
                <w:lang w:val="en-IE"/>
              </w:rPr>
              <w:t>Biodiversity</w:t>
            </w:r>
          </w:p>
        </w:tc>
        <w:tc>
          <w:tcPr>
            <w:tcW w:w="3213" w:type="dxa"/>
          </w:tcPr>
          <w:p w14:paraId="3B20EDB7" w14:textId="77777777" w:rsidR="00D40083" w:rsidRPr="002D1A58" w:rsidRDefault="00D40083" w:rsidP="00AF1C52">
            <w:pPr>
              <w:rPr>
                <w:noProof/>
                <w:lang w:val="en-IE"/>
              </w:rPr>
            </w:pPr>
            <w:r w:rsidRPr="002D1A58">
              <w:rPr>
                <w:noProof/>
                <w:lang w:val="en-IE"/>
              </w:rPr>
              <w:t>Gender equality</w:t>
            </w:r>
            <w:r w:rsidRPr="002D1A58">
              <w:rPr>
                <w:rFonts w:ascii="Calibri" w:hAnsi="Calibri" w:cs="Calibri"/>
                <w:noProof/>
                <w:lang w:val="en-IE"/>
              </w:rPr>
              <w:t> </w:t>
            </w:r>
            <w:r w:rsidRPr="002D1A58">
              <w:rPr>
                <w:noProof/>
                <w:lang w:val="en-IE"/>
              </w:rPr>
              <w:t>(*)</w:t>
            </w:r>
          </w:p>
        </w:tc>
      </w:tr>
      <w:tr w:rsidR="00D40083" w:rsidRPr="002D1A58" w14:paraId="371AB7C4" w14:textId="77777777" w:rsidTr="00AF1C52">
        <w:trPr>
          <w:cnfStyle w:val="000000100000" w:firstRow="0" w:lastRow="0" w:firstColumn="0" w:lastColumn="0" w:oddVBand="0" w:evenVBand="0" w:oddHBand="1" w:evenHBand="0" w:firstRowFirstColumn="0" w:firstRowLastColumn="0" w:lastRowFirstColumn="0" w:lastRowLastColumn="0"/>
        </w:trPr>
        <w:tc>
          <w:tcPr>
            <w:tcW w:w="3213" w:type="dxa"/>
          </w:tcPr>
          <w:p w14:paraId="0230DB9F" w14:textId="03A75E89" w:rsidR="00D40083" w:rsidRPr="002D1A58" w:rsidRDefault="00943AD6" w:rsidP="00AF1C52">
            <w:pPr>
              <w:jc w:val="center"/>
              <w:rPr>
                <w:noProof/>
                <w:lang w:val="en-IE"/>
              </w:rPr>
            </w:pPr>
            <w:r>
              <w:rPr>
                <w:noProof/>
                <w:lang w:val="en-IE"/>
              </w:rPr>
              <w:t>5 761.9</w:t>
            </w:r>
          </w:p>
        </w:tc>
        <w:tc>
          <w:tcPr>
            <w:tcW w:w="3213" w:type="dxa"/>
          </w:tcPr>
          <w:p w14:paraId="276607DA" w14:textId="77777777" w:rsidR="00D40083" w:rsidRPr="002D1A58" w:rsidRDefault="00D40083" w:rsidP="00AF1C52">
            <w:pPr>
              <w:jc w:val="center"/>
              <w:rPr>
                <w:noProof/>
                <w:lang w:val="en-IE"/>
              </w:rPr>
            </w:pPr>
            <w:r w:rsidRPr="002D1A58">
              <w:rPr>
                <w:noProof/>
                <w:lang w:val="en-IE"/>
              </w:rPr>
              <w:t>0</w:t>
            </w:r>
          </w:p>
        </w:tc>
        <w:tc>
          <w:tcPr>
            <w:tcW w:w="3213" w:type="dxa"/>
          </w:tcPr>
          <w:p w14:paraId="10480CAB" w14:textId="4CE4A355" w:rsidR="00D40083" w:rsidRPr="002D1A58" w:rsidRDefault="00D40083" w:rsidP="00AF1C52">
            <w:pPr>
              <w:jc w:val="center"/>
              <w:rPr>
                <w:noProof/>
                <w:lang w:val="en-IE"/>
              </w:rPr>
            </w:pPr>
            <w:r>
              <w:rPr>
                <w:noProof/>
                <w:lang w:val="en-IE"/>
              </w:rPr>
              <w:t>0</w:t>
            </w:r>
          </w:p>
        </w:tc>
      </w:tr>
    </w:tbl>
    <w:p w14:paraId="1708A429" w14:textId="77777777" w:rsidR="00D40083" w:rsidRPr="002D1A58" w:rsidRDefault="00D40083" w:rsidP="00D40083">
      <w:pPr>
        <w:pStyle w:val="FootnoteText"/>
        <w:rPr>
          <w:noProof/>
          <w:lang w:val="en-IE"/>
        </w:rPr>
      </w:pPr>
      <w:r w:rsidRPr="002D1A58">
        <w:rPr>
          <w:noProof/>
          <w:lang w:val="en-IE"/>
        </w:rPr>
        <w:t xml:space="preserve">(*) Based on the applied gender contribution methodology, the following scores are attributed at the most granular level of intervention possible: </w:t>
      </w:r>
    </w:p>
    <w:p w14:paraId="418E7716" w14:textId="77777777" w:rsidR="00D40083" w:rsidRPr="002D1A58" w:rsidRDefault="00D40083" w:rsidP="00D40083">
      <w:pPr>
        <w:pStyle w:val="FootnoteText"/>
        <w:numPr>
          <w:ilvl w:val="0"/>
          <w:numId w:val="38"/>
        </w:numPr>
        <w:spacing w:after="60" w:line="264" w:lineRule="auto"/>
        <w:jc w:val="left"/>
        <w:rPr>
          <w:noProof/>
          <w:lang w:val="en-IE"/>
        </w:rPr>
      </w:pPr>
      <w:r w:rsidRPr="002D1A58">
        <w:rPr>
          <w:noProof/>
          <w:lang w:val="en-IE"/>
        </w:rPr>
        <w:t>2: interventions the principal objective of which is to improve gender equality;</w:t>
      </w:r>
    </w:p>
    <w:p w14:paraId="117B57B1" w14:textId="77777777" w:rsidR="00D40083" w:rsidRPr="002D1A58" w:rsidRDefault="00D40083" w:rsidP="00D40083">
      <w:pPr>
        <w:pStyle w:val="FootnoteText"/>
        <w:numPr>
          <w:ilvl w:val="0"/>
          <w:numId w:val="38"/>
        </w:numPr>
        <w:spacing w:after="60" w:line="264" w:lineRule="auto"/>
        <w:jc w:val="left"/>
        <w:rPr>
          <w:noProof/>
          <w:lang w:val="en-IE"/>
        </w:rPr>
      </w:pPr>
      <w:r w:rsidRPr="002D1A58">
        <w:rPr>
          <w:noProof/>
          <w:lang w:val="en-IE"/>
        </w:rPr>
        <w:t>1: interventions having gender equality as an important and deliberate objective but not as the main reason for the intervention;</w:t>
      </w:r>
    </w:p>
    <w:p w14:paraId="43DFECD4" w14:textId="77777777" w:rsidR="00D40083" w:rsidRPr="002D1A58" w:rsidRDefault="00D40083" w:rsidP="00D40083">
      <w:pPr>
        <w:pStyle w:val="FootnoteText"/>
        <w:numPr>
          <w:ilvl w:val="0"/>
          <w:numId w:val="38"/>
        </w:numPr>
        <w:spacing w:after="60" w:line="264" w:lineRule="auto"/>
        <w:jc w:val="left"/>
        <w:rPr>
          <w:noProof/>
          <w:lang w:val="en-IE"/>
        </w:rPr>
      </w:pPr>
      <w:r w:rsidRPr="002D1A58">
        <w:rPr>
          <w:noProof/>
          <w:lang w:val="en-IE"/>
        </w:rPr>
        <w:t xml:space="preserve">0: non-targeted interventions; </w:t>
      </w:r>
    </w:p>
    <w:p w14:paraId="008D5E75" w14:textId="77777777" w:rsidR="00D40083" w:rsidRPr="002D1A58" w:rsidRDefault="00D40083" w:rsidP="00D40083">
      <w:pPr>
        <w:pStyle w:val="FootnoteText"/>
        <w:numPr>
          <w:ilvl w:val="0"/>
          <w:numId w:val="38"/>
        </w:numPr>
        <w:spacing w:after="60" w:line="264" w:lineRule="auto"/>
        <w:jc w:val="left"/>
        <w:rPr>
          <w:noProof/>
          <w:lang w:val="en-IE"/>
        </w:rPr>
      </w:pPr>
      <w:r w:rsidRPr="002D1A58">
        <w:rPr>
          <w:noProof/>
          <w:lang w:val="en-IE"/>
        </w:rPr>
        <w:t>0*: score to be assigned to interventions with a likely but not yet clear positive impact on gender equality.</w:t>
      </w:r>
    </w:p>
    <w:p w14:paraId="4A6D4F06" w14:textId="77777777" w:rsidR="00D40083" w:rsidRPr="002D1A58" w:rsidRDefault="00D40083" w:rsidP="00D40083">
      <w:pPr>
        <w:pStyle w:val="ppoHeading5"/>
        <w:rPr>
          <w:noProof/>
          <w:lang w:val="en-IE"/>
        </w:rPr>
      </w:pPr>
      <w:r w:rsidRPr="002D1A58">
        <w:rPr>
          <w:noProof/>
          <w:lang w:val="en-IE"/>
        </w:rPr>
        <w:t>Performance assessment</w:t>
      </w:r>
    </w:p>
    <w:p w14:paraId="5E7D6C93" w14:textId="77777777" w:rsidR="00D40083" w:rsidRPr="002D1A58" w:rsidRDefault="00D40083" w:rsidP="00D40083">
      <w:pPr>
        <w:pStyle w:val="ppoHeading6"/>
        <w:rPr>
          <w:noProof/>
          <w:lang w:val="en-IE"/>
        </w:rPr>
      </w:pPr>
      <w:r w:rsidRPr="002D1A58">
        <w:rPr>
          <w:noProof/>
          <w:lang w:val="en-IE"/>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D40083" w:rsidRPr="002D1A58" w14:paraId="785BE80F" w14:textId="77777777" w:rsidTr="00AF1C52">
        <w:trPr>
          <w:cnfStyle w:val="100000000000" w:firstRow="1" w:lastRow="0" w:firstColumn="0" w:lastColumn="0" w:oddVBand="0" w:evenVBand="0" w:oddHBand="0" w:evenHBand="0" w:firstRowFirstColumn="0" w:firstRowLastColumn="0" w:lastRowFirstColumn="0" w:lastRowLastColumn="0"/>
        </w:trPr>
        <w:tc>
          <w:tcPr>
            <w:tcW w:w="2330" w:type="dxa"/>
          </w:tcPr>
          <w:p w14:paraId="0CBB2F14" w14:textId="77777777" w:rsidR="00D40083" w:rsidRPr="002D1A58" w:rsidRDefault="00D40083" w:rsidP="00AF1C52">
            <w:pPr>
              <w:rPr>
                <w:noProof/>
                <w:lang w:val="en-IE"/>
              </w:rPr>
            </w:pPr>
          </w:p>
        </w:tc>
        <w:tc>
          <w:tcPr>
            <w:tcW w:w="1100" w:type="dxa"/>
          </w:tcPr>
          <w:p w14:paraId="0409C66B" w14:textId="77777777" w:rsidR="00D40083" w:rsidRPr="002D1A58" w:rsidRDefault="00D40083" w:rsidP="00AF1C52">
            <w:pPr>
              <w:rPr>
                <w:noProof/>
                <w:lang w:val="en-IE"/>
              </w:rPr>
            </w:pPr>
            <w:r w:rsidRPr="002D1A58">
              <w:rPr>
                <w:noProof/>
                <w:lang w:val="en-IE"/>
              </w:rPr>
              <w:t>Baseline</w:t>
            </w:r>
          </w:p>
        </w:tc>
        <w:tc>
          <w:tcPr>
            <w:tcW w:w="1526" w:type="dxa"/>
          </w:tcPr>
          <w:p w14:paraId="060DBA89" w14:textId="77777777" w:rsidR="00D40083" w:rsidRPr="002D1A58" w:rsidRDefault="00D40083" w:rsidP="00AF1C52">
            <w:pPr>
              <w:rPr>
                <w:noProof/>
                <w:lang w:val="en-IE"/>
              </w:rPr>
            </w:pPr>
            <w:r w:rsidRPr="002D1A58">
              <w:rPr>
                <w:noProof/>
                <w:lang w:val="en-IE"/>
              </w:rPr>
              <w:t>Progress</w:t>
            </w:r>
            <w:r>
              <w:rPr>
                <w:noProof/>
                <w:lang w:val="en-IE"/>
              </w:rPr>
              <w:t xml:space="preserve"> (*)</w:t>
            </w:r>
          </w:p>
        </w:tc>
        <w:tc>
          <w:tcPr>
            <w:tcW w:w="1532" w:type="dxa"/>
          </w:tcPr>
          <w:p w14:paraId="57B9CE12" w14:textId="77777777" w:rsidR="00D40083" w:rsidRPr="002D1A58" w:rsidRDefault="00D40083" w:rsidP="00AF1C52">
            <w:pPr>
              <w:rPr>
                <w:noProof/>
                <w:lang w:val="en-IE"/>
              </w:rPr>
            </w:pPr>
            <w:r w:rsidRPr="002D1A58">
              <w:rPr>
                <w:noProof/>
                <w:lang w:val="en-IE"/>
              </w:rPr>
              <w:t>Target</w:t>
            </w:r>
          </w:p>
        </w:tc>
        <w:tc>
          <w:tcPr>
            <w:tcW w:w="1572" w:type="dxa"/>
          </w:tcPr>
          <w:p w14:paraId="0E235A24" w14:textId="77777777" w:rsidR="00D40083" w:rsidRPr="002D1A58" w:rsidRDefault="00D40083" w:rsidP="00AF1C52">
            <w:pPr>
              <w:rPr>
                <w:noProof/>
                <w:lang w:val="en-IE"/>
              </w:rPr>
            </w:pPr>
            <w:r w:rsidRPr="002D1A58">
              <w:rPr>
                <w:noProof/>
                <w:lang w:val="en-IE"/>
              </w:rPr>
              <w:t>Results</w:t>
            </w:r>
          </w:p>
        </w:tc>
        <w:tc>
          <w:tcPr>
            <w:tcW w:w="1579" w:type="dxa"/>
          </w:tcPr>
          <w:p w14:paraId="7D45C322" w14:textId="77777777" w:rsidR="00D40083" w:rsidRPr="002D1A58" w:rsidRDefault="00D40083" w:rsidP="00AF1C52">
            <w:pPr>
              <w:rPr>
                <w:noProof/>
                <w:lang w:val="en-IE"/>
              </w:rPr>
            </w:pPr>
            <w:r w:rsidRPr="002D1A58">
              <w:rPr>
                <w:noProof/>
                <w:lang w:val="en-IE"/>
              </w:rPr>
              <w:t>Assessment</w:t>
            </w:r>
          </w:p>
        </w:tc>
      </w:tr>
      <w:tr w:rsidR="00D40083" w:rsidRPr="002D1A58" w14:paraId="1563F42D" w14:textId="77777777" w:rsidTr="00AF1C52">
        <w:trPr>
          <w:cnfStyle w:val="000000100000" w:firstRow="0" w:lastRow="0" w:firstColumn="0" w:lastColumn="0" w:oddVBand="0" w:evenVBand="0" w:oddHBand="1" w:evenHBand="0" w:firstRowFirstColumn="0" w:firstRowLastColumn="0" w:lastRowFirstColumn="0" w:lastRowLastColumn="0"/>
        </w:trPr>
        <w:tc>
          <w:tcPr>
            <w:tcW w:w="2330" w:type="dxa"/>
          </w:tcPr>
          <w:p w14:paraId="78E27943" w14:textId="77777777" w:rsidR="00D40083" w:rsidRPr="002D1A58" w:rsidRDefault="00D40083" w:rsidP="00AF1C52">
            <w:pPr>
              <w:rPr>
                <w:noProof/>
                <w:lang w:val="en-IE"/>
              </w:rPr>
            </w:pPr>
            <w:r w:rsidRPr="002D1A58">
              <w:rPr>
                <w:noProof/>
                <w:lang w:val="en-IE"/>
              </w:rPr>
              <w:t>Enterprises supported to innovate</w:t>
            </w:r>
          </w:p>
        </w:tc>
        <w:tc>
          <w:tcPr>
            <w:tcW w:w="1100" w:type="dxa"/>
          </w:tcPr>
          <w:p w14:paraId="2352FC3F" w14:textId="77777777" w:rsidR="00D40083" w:rsidRPr="002D1A58" w:rsidRDefault="00D40083" w:rsidP="00AF1C52">
            <w:pPr>
              <w:jc w:val="center"/>
              <w:rPr>
                <w:noProof/>
                <w:lang w:val="en-IE"/>
              </w:rPr>
            </w:pPr>
          </w:p>
        </w:tc>
        <w:tc>
          <w:tcPr>
            <w:tcW w:w="1526" w:type="dxa"/>
          </w:tcPr>
          <w:p w14:paraId="41A3CEEF" w14:textId="77777777" w:rsidR="00D40083" w:rsidRPr="002D1A58" w:rsidRDefault="00D40083" w:rsidP="00AF1C52">
            <w:pPr>
              <w:jc w:val="center"/>
              <w:rPr>
                <w:b/>
                <w:noProof/>
                <w:lang w:val="en-IE"/>
              </w:rPr>
            </w:pPr>
          </w:p>
        </w:tc>
        <w:tc>
          <w:tcPr>
            <w:tcW w:w="1532" w:type="dxa"/>
          </w:tcPr>
          <w:p w14:paraId="44467CB1" w14:textId="77777777" w:rsidR="00D40083" w:rsidRPr="002D1A58" w:rsidRDefault="00D40083" w:rsidP="00AF1C52">
            <w:pPr>
              <w:jc w:val="center"/>
              <w:rPr>
                <w:noProof/>
                <w:lang w:val="en-IE"/>
              </w:rPr>
            </w:pPr>
          </w:p>
        </w:tc>
        <w:tc>
          <w:tcPr>
            <w:tcW w:w="1572" w:type="dxa"/>
          </w:tcPr>
          <w:p w14:paraId="5F2A7248" w14:textId="77777777" w:rsidR="00D40083" w:rsidRPr="002D1A58" w:rsidRDefault="00D40083" w:rsidP="00AF1C52">
            <w:pPr>
              <w:jc w:val="center"/>
              <w:rPr>
                <w:noProof/>
                <w:lang w:val="en-IE"/>
              </w:rPr>
            </w:pPr>
            <w:r>
              <w:rPr>
                <w:noProof/>
                <w:lang w:val="en-IE"/>
              </w:rPr>
              <w:t>No results</w:t>
            </w:r>
          </w:p>
        </w:tc>
        <w:tc>
          <w:tcPr>
            <w:tcW w:w="1579" w:type="dxa"/>
          </w:tcPr>
          <w:p w14:paraId="7A6F2824" w14:textId="77777777" w:rsidR="00D40083" w:rsidRPr="002D1A58" w:rsidRDefault="00D40083" w:rsidP="00AF1C52">
            <w:pPr>
              <w:jc w:val="center"/>
              <w:rPr>
                <w:noProof/>
                <w:lang w:val="en-IE"/>
              </w:rPr>
            </w:pPr>
            <w:r>
              <w:rPr>
                <w:noProof/>
                <w:lang w:val="en-IE"/>
              </w:rPr>
              <w:t>No data</w:t>
            </w:r>
          </w:p>
        </w:tc>
      </w:tr>
      <w:tr w:rsidR="00D40083" w:rsidRPr="002D1A58" w14:paraId="155F1199" w14:textId="77777777" w:rsidTr="00AF1C52">
        <w:trPr>
          <w:cnfStyle w:val="000000010000" w:firstRow="0" w:lastRow="0" w:firstColumn="0" w:lastColumn="0" w:oddVBand="0" w:evenVBand="0" w:oddHBand="0" w:evenHBand="1" w:firstRowFirstColumn="0" w:firstRowLastColumn="0" w:lastRowFirstColumn="0" w:lastRowLastColumn="0"/>
        </w:trPr>
        <w:tc>
          <w:tcPr>
            <w:tcW w:w="2330" w:type="dxa"/>
          </w:tcPr>
          <w:p w14:paraId="369B2902" w14:textId="77777777" w:rsidR="00D40083" w:rsidRPr="002D1A58" w:rsidRDefault="00D40083" w:rsidP="00AF1C52">
            <w:pPr>
              <w:rPr>
                <w:noProof/>
                <w:lang w:val="en-IE"/>
              </w:rPr>
            </w:pPr>
            <w:r w:rsidRPr="002D1A58">
              <w:rPr>
                <w:noProof/>
                <w:lang w:val="en-IE"/>
              </w:rPr>
              <w:t>Small and medium-sized enterprises supported to enhance growth and competitiveness</w:t>
            </w:r>
          </w:p>
        </w:tc>
        <w:tc>
          <w:tcPr>
            <w:tcW w:w="1100" w:type="dxa"/>
          </w:tcPr>
          <w:p w14:paraId="7980F037" w14:textId="77777777" w:rsidR="00D40083" w:rsidRPr="002D1A58" w:rsidRDefault="00D40083" w:rsidP="00AF1C52">
            <w:pPr>
              <w:jc w:val="center"/>
              <w:rPr>
                <w:noProof/>
                <w:lang w:val="en-IE"/>
              </w:rPr>
            </w:pPr>
          </w:p>
        </w:tc>
        <w:tc>
          <w:tcPr>
            <w:tcW w:w="1526" w:type="dxa"/>
          </w:tcPr>
          <w:p w14:paraId="628C5A8D" w14:textId="77777777" w:rsidR="00D40083" w:rsidRPr="002D1A58" w:rsidRDefault="00D40083" w:rsidP="00AF1C52">
            <w:pPr>
              <w:jc w:val="center"/>
              <w:rPr>
                <w:b/>
                <w:noProof/>
                <w:lang w:val="en-IE"/>
              </w:rPr>
            </w:pPr>
          </w:p>
        </w:tc>
        <w:tc>
          <w:tcPr>
            <w:tcW w:w="1532" w:type="dxa"/>
          </w:tcPr>
          <w:p w14:paraId="3D7AB4B4" w14:textId="77777777" w:rsidR="00D40083" w:rsidRPr="002D1A58" w:rsidRDefault="00D40083" w:rsidP="00AF1C52">
            <w:pPr>
              <w:jc w:val="center"/>
              <w:rPr>
                <w:noProof/>
                <w:lang w:val="en-IE"/>
              </w:rPr>
            </w:pPr>
          </w:p>
        </w:tc>
        <w:tc>
          <w:tcPr>
            <w:tcW w:w="1572" w:type="dxa"/>
          </w:tcPr>
          <w:p w14:paraId="2773434C" w14:textId="77777777" w:rsidR="00D40083" w:rsidRPr="002D1A58" w:rsidRDefault="00D40083" w:rsidP="00AF1C52">
            <w:pPr>
              <w:jc w:val="center"/>
              <w:rPr>
                <w:noProof/>
                <w:lang w:val="en-IE"/>
              </w:rPr>
            </w:pPr>
            <w:r>
              <w:rPr>
                <w:noProof/>
                <w:lang w:val="en-IE"/>
              </w:rPr>
              <w:t>No results</w:t>
            </w:r>
          </w:p>
        </w:tc>
        <w:tc>
          <w:tcPr>
            <w:tcW w:w="1579" w:type="dxa"/>
          </w:tcPr>
          <w:p w14:paraId="0BE96F4A" w14:textId="77777777" w:rsidR="00D40083" w:rsidRPr="002D1A58" w:rsidRDefault="00D40083" w:rsidP="00AF1C52">
            <w:pPr>
              <w:jc w:val="center"/>
              <w:rPr>
                <w:noProof/>
                <w:lang w:val="en-IE"/>
              </w:rPr>
            </w:pPr>
            <w:r w:rsidRPr="00847A65">
              <w:rPr>
                <w:noProof/>
                <w:lang w:val="en-IE"/>
              </w:rPr>
              <w:t>No data</w:t>
            </w:r>
          </w:p>
        </w:tc>
      </w:tr>
      <w:tr w:rsidR="00D40083" w:rsidRPr="002D1A58" w14:paraId="562FED06" w14:textId="77777777" w:rsidTr="00AF1C52">
        <w:trPr>
          <w:cnfStyle w:val="000000100000" w:firstRow="0" w:lastRow="0" w:firstColumn="0" w:lastColumn="0" w:oddVBand="0" w:evenVBand="0" w:oddHBand="1" w:evenHBand="0" w:firstRowFirstColumn="0" w:firstRowLastColumn="0" w:lastRowFirstColumn="0" w:lastRowLastColumn="0"/>
        </w:trPr>
        <w:tc>
          <w:tcPr>
            <w:tcW w:w="2330" w:type="dxa"/>
          </w:tcPr>
          <w:p w14:paraId="7B32D865" w14:textId="77777777" w:rsidR="00D40083" w:rsidRPr="002D1A58" w:rsidRDefault="00D40083" w:rsidP="00AF1C52">
            <w:pPr>
              <w:rPr>
                <w:noProof/>
                <w:lang w:val="en-IE"/>
              </w:rPr>
            </w:pPr>
            <w:r w:rsidRPr="002D1A58">
              <w:rPr>
                <w:noProof/>
                <w:lang w:val="en-IE"/>
              </w:rPr>
              <w:t>Additional dwellings and enterprises with broadband access of very high capacity</w:t>
            </w:r>
          </w:p>
        </w:tc>
        <w:tc>
          <w:tcPr>
            <w:tcW w:w="1100" w:type="dxa"/>
          </w:tcPr>
          <w:p w14:paraId="68A49546" w14:textId="77777777" w:rsidR="00D40083" w:rsidRPr="002D1A58" w:rsidRDefault="00D40083" w:rsidP="00AF1C52">
            <w:pPr>
              <w:jc w:val="center"/>
              <w:rPr>
                <w:noProof/>
                <w:lang w:val="en-IE"/>
              </w:rPr>
            </w:pPr>
          </w:p>
        </w:tc>
        <w:tc>
          <w:tcPr>
            <w:tcW w:w="1526" w:type="dxa"/>
          </w:tcPr>
          <w:p w14:paraId="0CFF7E91" w14:textId="77777777" w:rsidR="00D40083" w:rsidRPr="002D1A58" w:rsidRDefault="00D40083" w:rsidP="00AF1C52">
            <w:pPr>
              <w:jc w:val="center"/>
              <w:rPr>
                <w:b/>
                <w:noProof/>
                <w:lang w:val="en-IE"/>
              </w:rPr>
            </w:pPr>
          </w:p>
        </w:tc>
        <w:tc>
          <w:tcPr>
            <w:tcW w:w="1532" w:type="dxa"/>
          </w:tcPr>
          <w:p w14:paraId="40A735E0" w14:textId="77777777" w:rsidR="00D40083" w:rsidRPr="002D1A58" w:rsidRDefault="00D40083" w:rsidP="00AF1C52">
            <w:pPr>
              <w:jc w:val="center"/>
              <w:rPr>
                <w:noProof/>
                <w:lang w:val="en-IE"/>
              </w:rPr>
            </w:pPr>
          </w:p>
        </w:tc>
        <w:tc>
          <w:tcPr>
            <w:tcW w:w="1572" w:type="dxa"/>
          </w:tcPr>
          <w:p w14:paraId="69CAAADD" w14:textId="77777777" w:rsidR="00D40083" w:rsidRPr="002D1A58" w:rsidRDefault="00D40083" w:rsidP="00AF1C52">
            <w:pPr>
              <w:jc w:val="center"/>
              <w:rPr>
                <w:noProof/>
                <w:lang w:val="en-IE"/>
              </w:rPr>
            </w:pPr>
            <w:r>
              <w:rPr>
                <w:noProof/>
                <w:lang w:val="en-IE"/>
              </w:rPr>
              <w:t>No results</w:t>
            </w:r>
          </w:p>
        </w:tc>
        <w:tc>
          <w:tcPr>
            <w:tcW w:w="1579" w:type="dxa"/>
          </w:tcPr>
          <w:p w14:paraId="1F09CDFC" w14:textId="77777777" w:rsidR="00D40083" w:rsidRPr="002D1A58" w:rsidRDefault="00D40083" w:rsidP="00AF1C52">
            <w:pPr>
              <w:jc w:val="center"/>
              <w:rPr>
                <w:noProof/>
                <w:lang w:val="en-IE"/>
              </w:rPr>
            </w:pPr>
            <w:r w:rsidRPr="00847A65">
              <w:rPr>
                <w:noProof/>
                <w:lang w:val="en-IE"/>
              </w:rPr>
              <w:t>No data</w:t>
            </w:r>
          </w:p>
        </w:tc>
      </w:tr>
      <w:tr w:rsidR="00D40083" w:rsidRPr="002D1A58" w14:paraId="757DB2F9" w14:textId="77777777" w:rsidTr="00AF1C52">
        <w:trPr>
          <w:cnfStyle w:val="000000010000" w:firstRow="0" w:lastRow="0" w:firstColumn="0" w:lastColumn="0" w:oddVBand="0" w:evenVBand="0" w:oddHBand="0" w:evenHBand="1" w:firstRowFirstColumn="0" w:firstRowLastColumn="0" w:lastRowFirstColumn="0" w:lastRowLastColumn="0"/>
        </w:trPr>
        <w:tc>
          <w:tcPr>
            <w:tcW w:w="2330" w:type="dxa"/>
          </w:tcPr>
          <w:p w14:paraId="07A4ED07" w14:textId="77777777" w:rsidR="00D40083" w:rsidRPr="002D1A58" w:rsidRDefault="00D40083" w:rsidP="00AF1C52">
            <w:pPr>
              <w:rPr>
                <w:noProof/>
                <w:lang w:val="en-IE"/>
              </w:rPr>
            </w:pPr>
            <w:r w:rsidRPr="002D1A58">
              <w:rPr>
                <w:noProof/>
                <w:lang w:val="en-IE"/>
              </w:rPr>
              <w:t>Savings in annual primary energy consumption</w:t>
            </w:r>
          </w:p>
        </w:tc>
        <w:tc>
          <w:tcPr>
            <w:tcW w:w="1100" w:type="dxa"/>
          </w:tcPr>
          <w:p w14:paraId="5D25E3F5" w14:textId="77777777" w:rsidR="00D40083" w:rsidRPr="002D1A58" w:rsidRDefault="00D40083" w:rsidP="00AF1C52">
            <w:pPr>
              <w:jc w:val="center"/>
              <w:rPr>
                <w:noProof/>
                <w:lang w:val="en-IE"/>
              </w:rPr>
            </w:pPr>
          </w:p>
        </w:tc>
        <w:tc>
          <w:tcPr>
            <w:tcW w:w="1526" w:type="dxa"/>
          </w:tcPr>
          <w:p w14:paraId="11A7139C" w14:textId="77777777" w:rsidR="00D40083" w:rsidRPr="002D1A58" w:rsidRDefault="00D40083" w:rsidP="00AF1C52">
            <w:pPr>
              <w:jc w:val="center"/>
              <w:rPr>
                <w:b/>
                <w:noProof/>
                <w:lang w:val="en-IE"/>
              </w:rPr>
            </w:pPr>
          </w:p>
        </w:tc>
        <w:tc>
          <w:tcPr>
            <w:tcW w:w="1532" w:type="dxa"/>
          </w:tcPr>
          <w:p w14:paraId="51A806D6" w14:textId="77777777" w:rsidR="00D40083" w:rsidRPr="002D1A58" w:rsidRDefault="00D40083" w:rsidP="00AF1C52">
            <w:pPr>
              <w:jc w:val="center"/>
              <w:rPr>
                <w:noProof/>
                <w:lang w:val="en-IE"/>
              </w:rPr>
            </w:pPr>
          </w:p>
        </w:tc>
        <w:tc>
          <w:tcPr>
            <w:tcW w:w="1572" w:type="dxa"/>
          </w:tcPr>
          <w:p w14:paraId="361B1E4D" w14:textId="77777777" w:rsidR="00D40083" w:rsidRPr="002D1A58" w:rsidRDefault="00D40083" w:rsidP="00AF1C52">
            <w:pPr>
              <w:jc w:val="center"/>
              <w:rPr>
                <w:noProof/>
                <w:lang w:val="en-IE"/>
              </w:rPr>
            </w:pPr>
            <w:r>
              <w:rPr>
                <w:noProof/>
                <w:lang w:val="en-IE"/>
              </w:rPr>
              <w:t>No results</w:t>
            </w:r>
          </w:p>
        </w:tc>
        <w:tc>
          <w:tcPr>
            <w:tcW w:w="1579" w:type="dxa"/>
          </w:tcPr>
          <w:p w14:paraId="496652A7" w14:textId="77777777" w:rsidR="00D40083" w:rsidRPr="002D1A58" w:rsidRDefault="00D40083" w:rsidP="00AF1C52">
            <w:pPr>
              <w:jc w:val="center"/>
              <w:rPr>
                <w:noProof/>
                <w:lang w:val="en-IE"/>
              </w:rPr>
            </w:pPr>
            <w:r w:rsidRPr="00847A65">
              <w:rPr>
                <w:noProof/>
                <w:lang w:val="en-IE"/>
              </w:rPr>
              <w:t>No data</w:t>
            </w:r>
          </w:p>
        </w:tc>
      </w:tr>
      <w:tr w:rsidR="00D40083" w:rsidRPr="002D1A58" w14:paraId="48CFB6A8" w14:textId="77777777" w:rsidTr="00AF1C52">
        <w:trPr>
          <w:cnfStyle w:val="000000100000" w:firstRow="0" w:lastRow="0" w:firstColumn="0" w:lastColumn="0" w:oddVBand="0" w:evenVBand="0" w:oddHBand="1" w:evenHBand="0" w:firstRowFirstColumn="0" w:firstRowLastColumn="0" w:lastRowFirstColumn="0" w:lastRowLastColumn="0"/>
        </w:trPr>
        <w:tc>
          <w:tcPr>
            <w:tcW w:w="2330" w:type="dxa"/>
          </w:tcPr>
          <w:p w14:paraId="7247E048" w14:textId="77777777" w:rsidR="00D40083" w:rsidRPr="002D1A58" w:rsidRDefault="00D40083" w:rsidP="00AF1C52">
            <w:pPr>
              <w:rPr>
                <w:noProof/>
                <w:lang w:val="en-IE"/>
              </w:rPr>
            </w:pPr>
            <w:r w:rsidRPr="002D1A58">
              <w:rPr>
                <w:noProof/>
                <w:lang w:val="en-IE"/>
              </w:rPr>
              <w:t>Additional production capacity for renewable energy</w:t>
            </w:r>
          </w:p>
        </w:tc>
        <w:tc>
          <w:tcPr>
            <w:tcW w:w="1100" w:type="dxa"/>
          </w:tcPr>
          <w:p w14:paraId="4A7424AA" w14:textId="77777777" w:rsidR="00D40083" w:rsidRPr="002D1A58" w:rsidRDefault="00D40083" w:rsidP="00AF1C52">
            <w:pPr>
              <w:jc w:val="center"/>
              <w:rPr>
                <w:noProof/>
                <w:lang w:val="en-IE"/>
              </w:rPr>
            </w:pPr>
          </w:p>
        </w:tc>
        <w:tc>
          <w:tcPr>
            <w:tcW w:w="1526" w:type="dxa"/>
          </w:tcPr>
          <w:p w14:paraId="64AF66FF" w14:textId="77777777" w:rsidR="00D40083" w:rsidRPr="002D1A58" w:rsidRDefault="00D40083" w:rsidP="00AF1C52">
            <w:pPr>
              <w:jc w:val="center"/>
              <w:rPr>
                <w:b/>
                <w:noProof/>
                <w:lang w:val="en-IE"/>
              </w:rPr>
            </w:pPr>
          </w:p>
        </w:tc>
        <w:tc>
          <w:tcPr>
            <w:tcW w:w="1532" w:type="dxa"/>
          </w:tcPr>
          <w:p w14:paraId="380F2B4A" w14:textId="77777777" w:rsidR="00D40083" w:rsidRPr="002D1A58" w:rsidRDefault="00D40083" w:rsidP="00AF1C52">
            <w:pPr>
              <w:jc w:val="center"/>
              <w:rPr>
                <w:noProof/>
                <w:lang w:val="en-IE"/>
              </w:rPr>
            </w:pPr>
          </w:p>
        </w:tc>
        <w:tc>
          <w:tcPr>
            <w:tcW w:w="1572" w:type="dxa"/>
          </w:tcPr>
          <w:p w14:paraId="38FC89E1" w14:textId="77777777" w:rsidR="00D40083" w:rsidRPr="002D1A58" w:rsidRDefault="00D40083" w:rsidP="00AF1C52">
            <w:pPr>
              <w:jc w:val="center"/>
              <w:rPr>
                <w:noProof/>
                <w:lang w:val="en-IE"/>
              </w:rPr>
            </w:pPr>
            <w:r>
              <w:rPr>
                <w:noProof/>
                <w:lang w:val="en-IE"/>
              </w:rPr>
              <w:t>No results</w:t>
            </w:r>
          </w:p>
        </w:tc>
        <w:tc>
          <w:tcPr>
            <w:tcW w:w="1579" w:type="dxa"/>
          </w:tcPr>
          <w:p w14:paraId="4B4247F7" w14:textId="77777777" w:rsidR="00D40083" w:rsidRPr="002D1A58" w:rsidRDefault="00D40083" w:rsidP="00AF1C52">
            <w:pPr>
              <w:jc w:val="center"/>
              <w:rPr>
                <w:noProof/>
                <w:lang w:val="en-IE"/>
              </w:rPr>
            </w:pPr>
            <w:r w:rsidRPr="00847A65">
              <w:rPr>
                <w:noProof/>
                <w:lang w:val="en-IE"/>
              </w:rPr>
              <w:t>No data</w:t>
            </w:r>
          </w:p>
        </w:tc>
      </w:tr>
      <w:tr w:rsidR="00D40083" w:rsidRPr="002D1A58" w14:paraId="32810CED" w14:textId="77777777" w:rsidTr="00AF1C52">
        <w:trPr>
          <w:cnfStyle w:val="000000010000" w:firstRow="0" w:lastRow="0" w:firstColumn="0" w:lastColumn="0" w:oddVBand="0" w:evenVBand="0" w:oddHBand="0" w:evenHBand="1" w:firstRowFirstColumn="0" w:firstRowLastColumn="0" w:lastRowFirstColumn="0" w:lastRowLastColumn="0"/>
        </w:trPr>
        <w:tc>
          <w:tcPr>
            <w:tcW w:w="2330" w:type="dxa"/>
          </w:tcPr>
          <w:p w14:paraId="639F2265" w14:textId="77777777" w:rsidR="00D40083" w:rsidRPr="002D1A58" w:rsidRDefault="00D40083" w:rsidP="00AF1C52">
            <w:pPr>
              <w:rPr>
                <w:noProof/>
                <w:lang w:val="en-IE"/>
              </w:rPr>
            </w:pPr>
            <w:r w:rsidRPr="002D1A58">
              <w:rPr>
                <w:noProof/>
                <w:lang w:val="en-IE"/>
              </w:rPr>
              <w:t>New, upgraded, reconstructed or modernised railways</w:t>
            </w:r>
          </w:p>
        </w:tc>
        <w:tc>
          <w:tcPr>
            <w:tcW w:w="1100" w:type="dxa"/>
          </w:tcPr>
          <w:p w14:paraId="6AF774F3" w14:textId="77777777" w:rsidR="00D40083" w:rsidRPr="002D1A58" w:rsidRDefault="00D40083" w:rsidP="00AF1C52">
            <w:pPr>
              <w:jc w:val="center"/>
              <w:rPr>
                <w:noProof/>
                <w:lang w:val="en-IE"/>
              </w:rPr>
            </w:pPr>
          </w:p>
        </w:tc>
        <w:tc>
          <w:tcPr>
            <w:tcW w:w="1526" w:type="dxa"/>
          </w:tcPr>
          <w:p w14:paraId="324E7C93" w14:textId="77777777" w:rsidR="00D40083" w:rsidRPr="002D1A58" w:rsidRDefault="00D40083" w:rsidP="00AF1C52">
            <w:pPr>
              <w:jc w:val="center"/>
              <w:rPr>
                <w:b/>
                <w:noProof/>
                <w:lang w:val="en-IE"/>
              </w:rPr>
            </w:pPr>
          </w:p>
        </w:tc>
        <w:tc>
          <w:tcPr>
            <w:tcW w:w="1532" w:type="dxa"/>
          </w:tcPr>
          <w:p w14:paraId="080DD545" w14:textId="77777777" w:rsidR="00D40083" w:rsidRPr="002D1A58" w:rsidRDefault="00D40083" w:rsidP="00AF1C52">
            <w:pPr>
              <w:jc w:val="center"/>
              <w:rPr>
                <w:noProof/>
                <w:lang w:val="en-IE"/>
              </w:rPr>
            </w:pPr>
          </w:p>
        </w:tc>
        <w:tc>
          <w:tcPr>
            <w:tcW w:w="1572" w:type="dxa"/>
          </w:tcPr>
          <w:p w14:paraId="15BB5E95" w14:textId="77777777" w:rsidR="00D40083" w:rsidRPr="002D1A58" w:rsidRDefault="00D40083" w:rsidP="00AF1C52">
            <w:pPr>
              <w:jc w:val="center"/>
              <w:rPr>
                <w:noProof/>
                <w:lang w:val="en-IE"/>
              </w:rPr>
            </w:pPr>
            <w:r>
              <w:rPr>
                <w:noProof/>
                <w:lang w:val="en-IE"/>
              </w:rPr>
              <w:t>No results</w:t>
            </w:r>
          </w:p>
        </w:tc>
        <w:tc>
          <w:tcPr>
            <w:tcW w:w="1579" w:type="dxa"/>
          </w:tcPr>
          <w:p w14:paraId="50283B8A" w14:textId="77777777" w:rsidR="00D40083" w:rsidRPr="002D1A58" w:rsidRDefault="00D40083" w:rsidP="00AF1C52">
            <w:pPr>
              <w:jc w:val="center"/>
              <w:rPr>
                <w:noProof/>
                <w:lang w:val="en-IE"/>
              </w:rPr>
            </w:pPr>
            <w:r w:rsidRPr="00847A65">
              <w:rPr>
                <w:noProof/>
                <w:lang w:val="en-IE"/>
              </w:rPr>
              <w:t>No data</w:t>
            </w:r>
          </w:p>
        </w:tc>
      </w:tr>
      <w:tr w:rsidR="00D40083" w:rsidRPr="002D1A58" w14:paraId="112C314E" w14:textId="77777777" w:rsidTr="00AF1C52">
        <w:trPr>
          <w:cnfStyle w:val="000000100000" w:firstRow="0" w:lastRow="0" w:firstColumn="0" w:lastColumn="0" w:oddVBand="0" w:evenVBand="0" w:oddHBand="1" w:evenHBand="0" w:firstRowFirstColumn="0" w:firstRowLastColumn="0" w:lastRowFirstColumn="0" w:lastRowLastColumn="0"/>
        </w:trPr>
        <w:tc>
          <w:tcPr>
            <w:tcW w:w="2330" w:type="dxa"/>
          </w:tcPr>
          <w:p w14:paraId="1BD9BA3D" w14:textId="77777777" w:rsidR="00D40083" w:rsidRPr="002D1A58" w:rsidRDefault="00D40083" w:rsidP="00AF1C52">
            <w:pPr>
              <w:rPr>
                <w:noProof/>
                <w:lang w:val="en-IE"/>
              </w:rPr>
            </w:pPr>
            <w:r w:rsidRPr="002D1A58">
              <w:rPr>
                <w:noProof/>
                <w:lang w:val="en-IE"/>
              </w:rPr>
              <w:t>Annual users of new or modernised facilities for employment services</w:t>
            </w:r>
          </w:p>
        </w:tc>
        <w:tc>
          <w:tcPr>
            <w:tcW w:w="1100" w:type="dxa"/>
          </w:tcPr>
          <w:p w14:paraId="0ACA7D58" w14:textId="77777777" w:rsidR="00D40083" w:rsidRPr="002D1A58" w:rsidRDefault="00D40083" w:rsidP="00AF1C52">
            <w:pPr>
              <w:jc w:val="center"/>
              <w:rPr>
                <w:noProof/>
                <w:lang w:val="en-IE"/>
              </w:rPr>
            </w:pPr>
          </w:p>
        </w:tc>
        <w:tc>
          <w:tcPr>
            <w:tcW w:w="1526" w:type="dxa"/>
          </w:tcPr>
          <w:p w14:paraId="153761E0" w14:textId="77777777" w:rsidR="00D40083" w:rsidRPr="002D1A58" w:rsidRDefault="00D40083" w:rsidP="00AF1C52">
            <w:pPr>
              <w:jc w:val="center"/>
              <w:rPr>
                <w:b/>
                <w:noProof/>
                <w:lang w:val="en-IE"/>
              </w:rPr>
            </w:pPr>
          </w:p>
        </w:tc>
        <w:tc>
          <w:tcPr>
            <w:tcW w:w="1532" w:type="dxa"/>
          </w:tcPr>
          <w:p w14:paraId="08B29E1A" w14:textId="77777777" w:rsidR="00D40083" w:rsidRPr="002D1A58" w:rsidRDefault="00D40083" w:rsidP="00AF1C52">
            <w:pPr>
              <w:jc w:val="center"/>
              <w:rPr>
                <w:noProof/>
                <w:lang w:val="en-IE"/>
              </w:rPr>
            </w:pPr>
          </w:p>
        </w:tc>
        <w:tc>
          <w:tcPr>
            <w:tcW w:w="1572" w:type="dxa"/>
          </w:tcPr>
          <w:p w14:paraId="4768091C" w14:textId="77777777" w:rsidR="00D40083" w:rsidRPr="002D1A58" w:rsidRDefault="00D40083" w:rsidP="00AF1C52">
            <w:pPr>
              <w:jc w:val="center"/>
              <w:rPr>
                <w:noProof/>
                <w:lang w:val="en-IE"/>
              </w:rPr>
            </w:pPr>
            <w:r>
              <w:rPr>
                <w:noProof/>
                <w:lang w:val="en-IE"/>
              </w:rPr>
              <w:t>No results</w:t>
            </w:r>
          </w:p>
        </w:tc>
        <w:tc>
          <w:tcPr>
            <w:tcW w:w="1579" w:type="dxa"/>
          </w:tcPr>
          <w:p w14:paraId="7D3263D1" w14:textId="77777777" w:rsidR="00D40083" w:rsidRPr="002D1A58" w:rsidRDefault="00D40083" w:rsidP="00AF1C52">
            <w:pPr>
              <w:jc w:val="center"/>
              <w:rPr>
                <w:noProof/>
                <w:lang w:val="en-IE"/>
              </w:rPr>
            </w:pPr>
            <w:r w:rsidRPr="00847A65">
              <w:rPr>
                <w:noProof/>
                <w:lang w:val="en-IE"/>
              </w:rPr>
              <w:t>No data</w:t>
            </w:r>
          </w:p>
        </w:tc>
      </w:tr>
      <w:tr w:rsidR="00D40083" w:rsidRPr="002D1A58" w14:paraId="60CC22A6" w14:textId="77777777" w:rsidTr="00AF1C52">
        <w:trPr>
          <w:cnfStyle w:val="000000010000" w:firstRow="0" w:lastRow="0" w:firstColumn="0" w:lastColumn="0" w:oddVBand="0" w:evenVBand="0" w:oddHBand="0" w:evenHBand="1" w:firstRowFirstColumn="0" w:firstRowLastColumn="0" w:lastRowFirstColumn="0" w:lastRowLastColumn="0"/>
        </w:trPr>
        <w:tc>
          <w:tcPr>
            <w:tcW w:w="2330" w:type="dxa"/>
          </w:tcPr>
          <w:p w14:paraId="676C31DC" w14:textId="77777777" w:rsidR="00D40083" w:rsidRPr="002D1A58" w:rsidRDefault="00D40083" w:rsidP="00AF1C52">
            <w:pPr>
              <w:rPr>
                <w:noProof/>
                <w:lang w:val="en-IE"/>
              </w:rPr>
            </w:pPr>
            <w:r w:rsidRPr="002D1A58">
              <w:rPr>
                <w:noProof/>
                <w:lang w:val="en-IE"/>
              </w:rPr>
              <w:t>New or modernised capacity for health care facilities</w:t>
            </w:r>
          </w:p>
        </w:tc>
        <w:tc>
          <w:tcPr>
            <w:tcW w:w="1100" w:type="dxa"/>
          </w:tcPr>
          <w:p w14:paraId="3CC1AB6D" w14:textId="77777777" w:rsidR="00D40083" w:rsidRPr="002D1A58" w:rsidRDefault="00D40083" w:rsidP="00AF1C52">
            <w:pPr>
              <w:jc w:val="center"/>
              <w:rPr>
                <w:noProof/>
                <w:lang w:val="en-IE"/>
              </w:rPr>
            </w:pPr>
          </w:p>
        </w:tc>
        <w:tc>
          <w:tcPr>
            <w:tcW w:w="1526" w:type="dxa"/>
          </w:tcPr>
          <w:p w14:paraId="6CDA3AA7" w14:textId="77777777" w:rsidR="00D40083" w:rsidRPr="002D1A58" w:rsidRDefault="00D40083" w:rsidP="00AF1C52">
            <w:pPr>
              <w:jc w:val="center"/>
              <w:rPr>
                <w:b/>
                <w:noProof/>
                <w:lang w:val="en-IE"/>
              </w:rPr>
            </w:pPr>
          </w:p>
        </w:tc>
        <w:tc>
          <w:tcPr>
            <w:tcW w:w="1532" w:type="dxa"/>
          </w:tcPr>
          <w:p w14:paraId="0B091281" w14:textId="77777777" w:rsidR="00D40083" w:rsidRPr="002D1A58" w:rsidRDefault="00D40083" w:rsidP="00AF1C52">
            <w:pPr>
              <w:jc w:val="center"/>
              <w:rPr>
                <w:noProof/>
                <w:lang w:val="en-IE"/>
              </w:rPr>
            </w:pPr>
          </w:p>
        </w:tc>
        <w:tc>
          <w:tcPr>
            <w:tcW w:w="1572" w:type="dxa"/>
          </w:tcPr>
          <w:p w14:paraId="76179FD3" w14:textId="77777777" w:rsidR="00D40083" w:rsidRPr="002D1A58" w:rsidRDefault="00D40083" w:rsidP="00AF1C52">
            <w:pPr>
              <w:jc w:val="center"/>
              <w:rPr>
                <w:noProof/>
                <w:lang w:val="en-IE"/>
              </w:rPr>
            </w:pPr>
            <w:r>
              <w:rPr>
                <w:noProof/>
                <w:lang w:val="en-IE"/>
              </w:rPr>
              <w:t>No results</w:t>
            </w:r>
          </w:p>
        </w:tc>
        <w:tc>
          <w:tcPr>
            <w:tcW w:w="1579" w:type="dxa"/>
          </w:tcPr>
          <w:p w14:paraId="035B4E01" w14:textId="77777777" w:rsidR="00D40083" w:rsidRPr="002D1A58" w:rsidRDefault="00D40083" w:rsidP="00AF1C52">
            <w:pPr>
              <w:jc w:val="center"/>
              <w:rPr>
                <w:noProof/>
                <w:lang w:val="en-IE"/>
              </w:rPr>
            </w:pPr>
            <w:r w:rsidRPr="00847A65">
              <w:rPr>
                <w:noProof/>
                <w:lang w:val="en-IE"/>
              </w:rPr>
              <w:t>No data</w:t>
            </w:r>
          </w:p>
        </w:tc>
      </w:tr>
      <w:tr w:rsidR="00D40083" w:rsidRPr="002D1A58" w14:paraId="7B72FA77" w14:textId="77777777" w:rsidTr="00AF1C52">
        <w:trPr>
          <w:cnfStyle w:val="000000100000" w:firstRow="0" w:lastRow="0" w:firstColumn="0" w:lastColumn="0" w:oddVBand="0" w:evenVBand="0" w:oddHBand="1" w:evenHBand="0" w:firstRowFirstColumn="0" w:firstRowLastColumn="0" w:lastRowFirstColumn="0" w:lastRowLastColumn="0"/>
        </w:trPr>
        <w:tc>
          <w:tcPr>
            <w:tcW w:w="2330" w:type="dxa"/>
          </w:tcPr>
          <w:p w14:paraId="125A338B" w14:textId="77777777" w:rsidR="00D40083" w:rsidRPr="002D1A58" w:rsidRDefault="00D40083" w:rsidP="00AF1C52">
            <w:pPr>
              <w:rPr>
                <w:noProof/>
                <w:lang w:val="en-IE"/>
              </w:rPr>
            </w:pPr>
            <w:r w:rsidRPr="002D1A58">
              <w:rPr>
                <w:noProof/>
                <w:lang w:val="en-IE"/>
              </w:rPr>
              <w:t>Population covered by strategies for integrated territorial development</w:t>
            </w:r>
          </w:p>
        </w:tc>
        <w:tc>
          <w:tcPr>
            <w:tcW w:w="1100" w:type="dxa"/>
          </w:tcPr>
          <w:p w14:paraId="29780AED" w14:textId="77777777" w:rsidR="00D40083" w:rsidRPr="002D1A58" w:rsidRDefault="00D40083" w:rsidP="00AF1C52">
            <w:pPr>
              <w:jc w:val="center"/>
              <w:rPr>
                <w:noProof/>
                <w:lang w:val="en-IE"/>
              </w:rPr>
            </w:pPr>
          </w:p>
        </w:tc>
        <w:tc>
          <w:tcPr>
            <w:tcW w:w="1526" w:type="dxa"/>
          </w:tcPr>
          <w:p w14:paraId="7D47FF1C" w14:textId="77777777" w:rsidR="00D40083" w:rsidRPr="002D1A58" w:rsidRDefault="00D40083" w:rsidP="00AF1C52">
            <w:pPr>
              <w:jc w:val="center"/>
              <w:rPr>
                <w:b/>
                <w:noProof/>
                <w:lang w:val="en-IE"/>
              </w:rPr>
            </w:pPr>
          </w:p>
        </w:tc>
        <w:tc>
          <w:tcPr>
            <w:tcW w:w="1532" w:type="dxa"/>
          </w:tcPr>
          <w:p w14:paraId="4E12CD48" w14:textId="77777777" w:rsidR="00D40083" w:rsidRPr="002D1A58" w:rsidRDefault="00D40083" w:rsidP="00AF1C52">
            <w:pPr>
              <w:jc w:val="center"/>
              <w:rPr>
                <w:noProof/>
                <w:lang w:val="en-IE"/>
              </w:rPr>
            </w:pPr>
          </w:p>
        </w:tc>
        <w:tc>
          <w:tcPr>
            <w:tcW w:w="1572" w:type="dxa"/>
          </w:tcPr>
          <w:p w14:paraId="425A2397" w14:textId="77777777" w:rsidR="00D40083" w:rsidRPr="002D1A58" w:rsidRDefault="00D40083" w:rsidP="00AF1C52">
            <w:pPr>
              <w:jc w:val="center"/>
              <w:rPr>
                <w:noProof/>
                <w:lang w:val="en-IE"/>
              </w:rPr>
            </w:pPr>
            <w:r>
              <w:rPr>
                <w:noProof/>
                <w:lang w:val="en-IE"/>
              </w:rPr>
              <w:t>No results</w:t>
            </w:r>
          </w:p>
        </w:tc>
        <w:tc>
          <w:tcPr>
            <w:tcW w:w="1579" w:type="dxa"/>
          </w:tcPr>
          <w:p w14:paraId="171428EE" w14:textId="77777777" w:rsidR="00D40083" w:rsidRPr="002D1A58" w:rsidRDefault="00D40083" w:rsidP="00AF1C52">
            <w:pPr>
              <w:jc w:val="center"/>
              <w:rPr>
                <w:noProof/>
                <w:lang w:val="en-IE"/>
              </w:rPr>
            </w:pPr>
            <w:r w:rsidRPr="00847A65">
              <w:rPr>
                <w:noProof/>
                <w:lang w:val="en-IE"/>
              </w:rPr>
              <w:t>No data</w:t>
            </w:r>
          </w:p>
        </w:tc>
      </w:tr>
    </w:tbl>
    <w:p w14:paraId="04FF966E" w14:textId="77777777" w:rsidR="00D40083" w:rsidRDefault="00D40083" w:rsidP="00D40083">
      <w:pPr>
        <w:pStyle w:val="FootnoteText"/>
        <w:spacing w:before="120"/>
        <w:rPr>
          <w:noProof/>
        </w:rPr>
      </w:pPr>
      <w:r>
        <w:rPr>
          <w:noProof/>
        </w:rPr>
        <w:t xml:space="preserve">(*) </w:t>
      </w:r>
      <w:r w:rsidRPr="008A592F">
        <w:rPr>
          <w:noProof/>
        </w:rPr>
        <w:t>% of target achieved by the end of 2021.</w:t>
      </w:r>
    </w:p>
    <w:p w14:paraId="5C3A9C5A" w14:textId="77777777" w:rsidR="00D40083" w:rsidRPr="00AD40B4" w:rsidRDefault="00D40083" w:rsidP="00D40083">
      <w:pPr>
        <w:pStyle w:val="FootnoteText"/>
        <w:rPr>
          <w:noProof/>
          <w:lang w:val="en-IE"/>
        </w:rPr>
      </w:pPr>
      <w:r w:rsidRPr="00AD40B4">
        <w:rPr>
          <w:noProof/>
          <w:lang w:val="en-IE"/>
        </w:rPr>
        <w:t xml:space="preserve"> </w:t>
      </w:r>
    </w:p>
    <w:p w14:paraId="4F8D10D8" w14:textId="4A4E2AD2" w:rsidR="00D40083" w:rsidRPr="002D1A58" w:rsidRDefault="00D40083" w:rsidP="00D40083">
      <w:pPr>
        <w:pStyle w:val="ppoListHyphened-L1"/>
        <w:rPr>
          <w:noProof/>
          <w:lang w:val="en-IE"/>
        </w:rPr>
      </w:pPr>
      <w:r w:rsidRPr="002D1A58">
        <w:rPr>
          <w:noProof/>
          <w:lang w:val="en-IE"/>
        </w:rPr>
        <w:t>The 2021-2027 programmes have faced significant delays in implementation. Due to this, no performance information can be provided at this point, including milestones and targets. The targets for the programmes’ implementation will become available as soon as Member States have finalised the programmes (i.e. determined what will be financed by the ERDF and CF).</w:t>
      </w:r>
    </w:p>
    <w:p w14:paraId="71CC1ABD" w14:textId="77777777" w:rsidR="00D40083" w:rsidRPr="002D1A58" w:rsidRDefault="00D40083" w:rsidP="00D40083">
      <w:pPr>
        <w:pStyle w:val="ppoListHyphened-L1"/>
        <w:rPr>
          <w:noProof/>
          <w:lang w:val="en-IE"/>
        </w:rPr>
      </w:pPr>
      <w:r w:rsidRPr="002D1A58">
        <w:rPr>
          <w:noProof/>
          <w:lang w:val="en-IE"/>
        </w:rPr>
        <w:t>In addition to disruptions due to the pandemic, several factors played into the programmes’ delays.</w:t>
      </w:r>
    </w:p>
    <w:p w14:paraId="3E2AB08F" w14:textId="77777777" w:rsidR="00D40083" w:rsidRPr="002D1A58" w:rsidRDefault="00D40083" w:rsidP="00D40083">
      <w:pPr>
        <w:pStyle w:val="ppoListHyphened-L2"/>
        <w:ind w:left="851"/>
        <w:rPr>
          <w:noProof/>
          <w:lang w:val="en-IE"/>
        </w:rPr>
      </w:pPr>
      <w:r w:rsidRPr="002D1A58">
        <w:rPr>
          <w:noProof/>
          <w:lang w:val="en-IE"/>
        </w:rPr>
        <w:t>The delayed agreement on the 2021-2027 multiannual financial framework and adoption of the legislative proposals for ERDF/CF meant that the Member State partnership agreements and programmes could only be officially submitted as from mid-2021.</w:t>
      </w:r>
    </w:p>
    <w:p w14:paraId="06C42702" w14:textId="77777777" w:rsidR="00D40083" w:rsidRPr="002D1A58" w:rsidRDefault="00D40083" w:rsidP="00D40083">
      <w:pPr>
        <w:pStyle w:val="ppoListHyphened-L2"/>
        <w:ind w:left="851"/>
        <w:rPr>
          <w:noProof/>
          <w:lang w:val="en-IE"/>
        </w:rPr>
      </w:pPr>
      <w:r w:rsidRPr="002D1A58">
        <w:rPr>
          <w:noProof/>
          <w:lang w:val="en-IE"/>
        </w:rPr>
        <w:t>Recovery instruments supported by NextGenerationEU</w:t>
      </w:r>
      <w:r w:rsidRPr="002D1A58">
        <w:rPr>
          <w:rFonts w:ascii="Calibri" w:hAnsi="Calibri" w:cs="Calibri"/>
          <w:noProof/>
          <w:lang w:val="en-IE"/>
        </w:rPr>
        <w:t> –</w:t>
      </w:r>
      <w:r w:rsidRPr="002D1A58">
        <w:rPr>
          <w:noProof/>
          <w:lang w:val="en-IE"/>
        </w:rPr>
        <w:t xml:space="preserve"> in particular the most prominent financial instrument, the Recovery and Resilience Facility (RRF)</w:t>
      </w:r>
      <w:r w:rsidRPr="002D1A58">
        <w:rPr>
          <w:rFonts w:ascii="Calibri" w:hAnsi="Calibri" w:cs="Calibri"/>
          <w:noProof/>
          <w:lang w:val="en-IE"/>
        </w:rPr>
        <w:t> –</w:t>
      </w:r>
      <w:r w:rsidRPr="002D1A58">
        <w:rPr>
          <w:noProof/>
          <w:lang w:val="en-IE"/>
        </w:rPr>
        <w:t xml:space="preserve"> and their shorter spending horizons have often led to decisions at the national level to prioritise these programmes ahead of cohesion policy programmes (including ERDF/CF). </w:t>
      </w:r>
    </w:p>
    <w:p w14:paraId="2E192F06" w14:textId="77777777" w:rsidR="00D40083" w:rsidRPr="002D1A58" w:rsidRDefault="00D40083" w:rsidP="00D40083">
      <w:pPr>
        <w:pStyle w:val="ppoListHyphened-L2"/>
        <w:ind w:left="851"/>
        <w:rPr>
          <w:noProof/>
          <w:lang w:val="en-IE"/>
        </w:rPr>
      </w:pPr>
      <w:r w:rsidRPr="002D1A58">
        <w:rPr>
          <w:noProof/>
          <w:lang w:val="en-IE"/>
        </w:rPr>
        <w:t>NextGenerationEU</w:t>
      </w:r>
      <w:r w:rsidRPr="002D1A58" w:rsidDel="00AC3B4F">
        <w:rPr>
          <w:noProof/>
          <w:lang w:val="en-IE"/>
        </w:rPr>
        <w:t xml:space="preserve"> </w:t>
      </w:r>
      <w:r w:rsidRPr="002D1A58">
        <w:rPr>
          <w:noProof/>
          <w:lang w:val="en-IE"/>
        </w:rPr>
        <w:t>grants and loans under RRF are expected to have an impact on the implementation of 2021-2027 cohesion programmes because of: the accelerated RRF delivery timetable; overlaps between important investment components; and the additional RRF incentive of 100% EU co-financing and a different delivery model based on financing that is not linked to costs.</w:t>
      </w:r>
    </w:p>
    <w:p w14:paraId="172DD4F8" w14:textId="77777777" w:rsidR="00D40083" w:rsidRPr="00AD40B4" w:rsidRDefault="00D40083" w:rsidP="00D40083">
      <w:pPr>
        <w:pStyle w:val="ppoListHyphened-L2"/>
        <w:ind w:left="851"/>
        <w:rPr>
          <w:noProof/>
          <w:lang w:val="en-IE"/>
        </w:rPr>
      </w:pPr>
      <w:r w:rsidRPr="002D1A58">
        <w:rPr>
          <w:noProof/>
          <w:lang w:val="en-IE"/>
        </w:rPr>
        <w:t xml:space="preserve">The 2014-2020 ERDF/CF programmes will continue until the end of 2023 under the </w:t>
      </w:r>
      <w:r w:rsidRPr="00245E40">
        <w:rPr>
          <w:i/>
          <w:noProof/>
          <w:lang w:val="en-IE"/>
        </w:rPr>
        <w:t>n</w:t>
      </w:r>
      <w:r w:rsidRPr="002D1A58">
        <w:rPr>
          <w:rFonts w:ascii="Calibri" w:hAnsi="Calibri" w:cs="Calibri"/>
          <w:noProof/>
          <w:lang w:val="en-IE"/>
        </w:rPr>
        <w:t> </w:t>
      </w:r>
      <w:r w:rsidRPr="002D1A58">
        <w:rPr>
          <w:noProof/>
          <w:lang w:val="en-IE"/>
        </w:rPr>
        <w:t>+</w:t>
      </w:r>
      <w:r w:rsidRPr="002D1A58">
        <w:rPr>
          <w:rFonts w:ascii="Calibri" w:hAnsi="Calibri" w:cs="Calibri"/>
          <w:noProof/>
          <w:lang w:val="en-IE"/>
        </w:rPr>
        <w:t> </w:t>
      </w:r>
      <w:r w:rsidRPr="002D1A58">
        <w:rPr>
          <w:noProof/>
          <w:lang w:val="en-IE"/>
        </w:rPr>
        <w:t>3 rule. The rule will also apply to most of the 2021-2027 period. It reduces pressure on national and regional programmes to implement promptly.</w:t>
      </w:r>
      <w:r w:rsidRPr="00AD40B4">
        <w:rPr>
          <w:noProof/>
          <w:lang w:val="en-IE"/>
        </w:rPr>
        <w:br w:type="page"/>
      </w:r>
    </w:p>
    <w:p w14:paraId="544FF520" w14:textId="77777777" w:rsidR="00D40083" w:rsidRPr="002D1A58" w:rsidRDefault="00D40083" w:rsidP="00D40083">
      <w:pPr>
        <w:pStyle w:val="ppoHeading5"/>
        <w:rPr>
          <w:noProof/>
          <w:lang w:val="en-IE"/>
        </w:rPr>
      </w:pPr>
      <w:r w:rsidRPr="002D1A58">
        <w:rPr>
          <w:noProof/>
          <w:lang w:val="en-IE"/>
        </w:rPr>
        <w:t>Budget for 2014-2020</w:t>
      </w:r>
    </w:p>
    <w:p w14:paraId="1A7BADF6" w14:textId="77777777" w:rsidR="00D40083" w:rsidRPr="002D1A58" w:rsidRDefault="00D40083" w:rsidP="00D40083">
      <w:pPr>
        <w:pStyle w:val="ppoHeading5"/>
        <w:rPr>
          <w:noProof/>
          <w:lang w:val="en-IE"/>
        </w:rPr>
      </w:pPr>
      <w:r w:rsidRPr="002D1A58">
        <w:rPr>
          <w:noProof/>
          <w:lang w:val="en-IE"/>
        </w:rPr>
        <w:t xml:space="preserve">Budget </w:t>
      </w:r>
    </w:p>
    <w:p w14:paraId="15CD67F9" w14:textId="77777777" w:rsidR="00D40083" w:rsidRPr="002D1A58" w:rsidRDefault="00D40083" w:rsidP="00D40083">
      <w:pPr>
        <w:pStyle w:val="ppoTableTabletitle"/>
        <w:rPr>
          <w:noProof/>
          <w:lang w:val="en-IE"/>
        </w:rPr>
      </w:pPr>
      <w:r w:rsidRPr="002D1A58">
        <w:rPr>
          <w:noProof/>
          <w:lang w:val="en-IE"/>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D40083" w:rsidRPr="002D1A58" w14:paraId="1D150951" w14:textId="77777777" w:rsidTr="00AF1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041A7861" w14:textId="77777777" w:rsidR="00D40083" w:rsidRPr="002D1A58" w:rsidRDefault="00D40083" w:rsidP="00AF1C52">
            <w:pPr>
              <w:rPr>
                <w:noProof/>
                <w:lang w:val="en-IE"/>
              </w:rPr>
            </w:pPr>
          </w:p>
        </w:tc>
        <w:tc>
          <w:tcPr>
            <w:tcW w:w="2410" w:type="dxa"/>
          </w:tcPr>
          <w:p w14:paraId="0688C834" w14:textId="77777777" w:rsidR="00D40083" w:rsidRPr="002D1A58" w:rsidRDefault="00D40083" w:rsidP="00AF1C52">
            <w:pPr>
              <w:cnfStyle w:val="100000000000" w:firstRow="1" w:lastRow="0" w:firstColumn="0" w:lastColumn="0" w:oddVBand="0" w:evenVBand="0" w:oddHBand="0" w:evenHBand="0" w:firstRowFirstColumn="0" w:firstRowLastColumn="0" w:lastRowFirstColumn="0" w:lastRowLastColumn="0"/>
              <w:rPr>
                <w:noProof/>
                <w:lang w:val="en-IE"/>
              </w:rPr>
            </w:pPr>
            <w:r w:rsidRPr="002D1A58">
              <w:rPr>
                <w:noProof/>
                <w:lang w:val="en-IE"/>
              </w:rPr>
              <w:t>Implementation</w:t>
            </w:r>
          </w:p>
        </w:tc>
        <w:tc>
          <w:tcPr>
            <w:tcW w:w="2410" w:type="dxa"/>
          </w:tcPr>
          <w:p w14:paraId="487537C0" w14:textId="56690A9A" w:rsidR="00D40083" w:rsidRPr="002D1A58" w:rsidRDefault="00A84801" w:rsidP="00AF1C52">
            <w:pPr>
              <w:cnfStyle w:val="100000000000" w:firstRow="1" w:lastRow="0" w:firstColumn="0" w:lastColumn="0" w:oddVBand="0" w:evenVBand="0" w:oddHBand="0" w:evenHBand="0" w:firstRowFirstColumn="0" w:firstRowLastColumn="0" w:lastRowFirstColumn="0" w:lastRowLastColumn="0"/>
              <w:rPr>
                <w:noProof/>
                <w:lang w:val="en-IE"/>
              </w:rPr>
            </w:pPr>
            <w:r>
              <w:rPr>
                <w:noProof/>
                <w:lang w:val="en-IE"/>
              </w:rPr>
              <w:t xml:space="preserve">2014-2020 </w:t>
            </w:r>
            <w:r w:rsidR="00D40083" w:rsidRPr="002D1A58">
              <w:rPr>
                <w:noProof/>
                <w:lang w:val="en-IE"/>
              </w:rPr>
              <w:t>Budget</w:t>
            </w:r>
          </w:p>
        </w:tc>
        <w:tc>
          <w:tcPr>
            <w:tcW w:w="2410" w:type="dxa"/>
          </w:tcPr>
          <w:p w14:paraId="53E897D1" w14:textId="77777777" w:rsidR="00D40083" w:rsidRPr="002D1A58" w:rsidRDefault="00D40083" w:rsidP="00AF1C52">
            <w:pPr>
              <w:cnfStyle w:val="100000000000" w:firstRow="1" w:lastRow="0" w:firstColumn="0" w:lastColumn="0" w:oddVBand="0" w:evenVBand="0" w:oddHBand="0" w:evenHBand="0" w:firstRowFirstColumn="0" w:firstRowLastColumn="0" w:lastRowFirstColumn="0" w:lastRowLastColumn="0"/>
              <w:rPr>
                <w:noProof/>
                <w:lang w:val="en-IE"/>
              </w:rPr>
            </w:pPr>
            <w:r w:rsidRPr="002D1A58">
              <w:rPr>
                <w:noProof/>
                <w:lang w:val="en-IE"/>
              </w:rPr>
              <w:t>Implementation rate</w:t>
            </w:r>
          </w:p>
        </w:tc>
      </w:tr>
      <w:tr w:rsidR="00D40083" w:rsidRPr="002D1A58" w14:paraId="35980B47"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4B131A7A" w14:textId="77777777" w:rsidR="00D40083" w:rsidRPr="002D1A58" w:rsidRDefault="00D40083" w:rsidP="00AF1C52">
            <w:pPr>
              <w:jc w:val="center"/>
              <w:rPr>
                <w:noProof/>
                <w:lang w:val="en-IE"/>
              </w:rPr>
            </w:pPr>
            <w:r w:rsidRPr="002D1A58">
              <w:rPr>
                <w:noProof/>
                <w:lang w:val="en-IE"/>
              </w:rPr>
              <w:t>Commitments</w:t>
            </w:r>
          </w:p>
        </w:tc>
        <w:tc>
          <w:tcPr>
            <w:tcW w:w="2410" w:type="dxa"/>
          </w:tcPr>
          <w:p w14:paraId="36EBA10C" w14:textId="77777777" w:rsidR="00D40083" w:rsidRPr="002D1A58" w:rsidRDefault="00D4008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262 530.3</w:t>
            </w:r>
          </w:p>
        </w:tc>
        <w:tc>
          <w:tcPr>
            <w:tcW w:w="2410" w:type="dxa"/>
          </w:tcPr>
          <w:p w14:paraId="088E2453" w14:textId="77777777" w:rsidR="00D40083" w:rsidRPr="002D1A58" w:rsidRDefault="00D4008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262 533.4</w:t>
            </w:r>
          </w:p>
        </w:tc>
        <w:tc>
          <w:tcPr>
            <w:tcW w:w="2410" w:type="dxa"/>
          </w:tcPr>
          <w:p w14:paraId="50144B42" w14:textId="77777777" w:rsidR="00D40083" w:rsidRPr="002D1A58" w:rsidRDefault="00D4008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100</w:t>
            </w:r>
            <w:r w:rsidRPr="002D1A58">
              <w:rPr>
                <w:noProof/>
                <w:lang w:val="en-IE"/>
              </w:rPr>
              <w:t>%</w:t>
            </w:r>
          </w:p>
        </w:tc>
      </w:tr>
      <w:tr w:rsidR="00D40083" w:rsidRPr="002D1A58" w14:paraId="14E3CF4F"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24F576A4" w14:textId="77777777" w:rsidR="00D40083" w:rsidRPr="002D1A58" w:rsidRDefault="00D40083" w:rsidP="00AF1C52">
            <w:pPr>
              <w:jc w:val="center"/>
              <w:rPr>
                <w:noProof/>
                <w:lang w:val="en-IE"/>
              </w:rPr>
            </w:pPr>
            <w:r w:rsidRPr="002D1A58">
              <w:rPr>
                <w:noProof/>
                <w:lang w:val="en-IE"/>
              </w:rPr>
              <w:t>Payments</w:t>
            </w:r>
          </w:p>
        </w:tc>
        <w:tc>
          <w:tcPr>
            <w:tcW w:w="2410" w:type="dxa"/>
          </w:tcPr>
          <w:p w14:paraId="77D52EDE" w14:textId="77777777" w:rsidR="00D40083" w:rsidRPr="002D1A58" w:rsidRDefault="00D4008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227 999.5</w:t>
            </w:r>
          </w:p>
        </w:tc>
        <w:tc>
          <w:tcPr>
            <w:tcW w:w="2410" w:type="dxa"/>
          </w:tcPr>
          <w:p w14:paraId="4873EAD1" w14:textId="77777777" w:rsidR="00D40083" w:rsidRPr="002D1A58" w:rsidRDefault="00D4008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p w14:paraId="22042A9F" w14:textId="77777777" w:rsidR="00D40083" w:rsidRPr="002D1A58" w:rsidRDefault="00D40083"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87</w:t>
            </w:r>
            <w:r w:rsidRPr="002D1A58">
              <w:rPr>
                <w:noProof/>
                <w:lang w:val="en-IE"/>
              </w:rPr>
              <w:t>%</w:t>
            </w:r>
          </w:p>
        </w:tc>
      </w:tr>
    </w:tbl>
    <w:p w14:paraId="0294D05C" w14:textId="77777777" w:rsidR="00D40083" w:rsidRPr="002D1A58" w:rsidRDefault="00D40083" w:rsidP="00D40083">
      <w:pPr>
        <w:pStyle w:val="ppoListHyphened-L1"/>
        <w:rPr>
          <w:noProof/>
          <w:lang w:val="en-IE"/>
        </w:rPr>
      </w:pPr>
      <w:r w:rsidRPr="002D1A58">
        <w:rPr>
          <w:noProof/>
          <w:lang w:val="en-IE"/>
        </w:rPr>
        <w:t xml:space="preserve">At the end of December 2021, the overall implementation of the EU budget for the 2014-2020 period stood at 65% on average for CF and ERDF. In the first half of the 2014-2020 period, EU payments were modest, but broadly in line with the previous programming periods. </w:t>
      </w:r>
    </w:p>
    <w:p w14:paraId="220A17EA" w14:textId="77777777" w:rsidR="00D40083" w:rsidRPr="002D1A58" w:rsidRDefault="00D40083" w:rsidP="00D40083">
      <w:pPr>
        <w:pStyle w:val="ppoListHyphened-L1"/>
        <w:rPr>
          <w:noProof/>
          <w:lang w:val="en-IE"/>
        </w:rPr>
      </w:pPr>
      <w:r w:rsidRPr="002D1A58">
        <w:rPr>
          <w:noProof/>
          <w:lang w:val="en-IE"/>
        </w:rPr>
        <w:t>This slow start was due to:</w:t>
      </w:r>
    </w:p>
    <w:p w14:paraId="78443237" w14:textId="77777777" w:rsidR="00D40083" w:rsidRPr="002D1A58" w:rsidRDefault="00D40083" w:rsidP="00D40083">
      <w:pPr>
        <w:pStyle w:val="ppoListHyphened-L2"/>
        <w:ind w:left="709"/>
        <w:rPr>
          <w:noProof/>
          <w:lang w:val="en-IE"/>
        </w:rPr>
      </w:pPr>
      <w:r w:rsidRPr="002D1A58">
        <w:rPr>
          <w:noProof/>
          <w:lang w:val="en-IE"/>
        </w:rPr>
        <w:t>the nature of cohesion policy investments, which have a long start-up phase (planning, programming, authorisations) without significant financial execution.</w:t>
      </w:r>
    </w:p>
    <w:p w14:paraId="6B476063" w14:textId="77777777" w:rsidR="00D40083" w:rsidRPr="002D1A58" w:rsidRDefault="00D40083" w:rsidP="00D40083">
      <w:pPr>
        <w:pStyle w:val="ppoListHyphened-L2"/>
        <w:ind w:left="709"/>
        <w:rPr>
          <w:noProof/>
          <w:lang w:val="en-IE"/>
        </w:rPr>
      </w:pPr>
      <w:r w:rsidRPr="002D1A58">
        <w:rPr>
          <w:noProof/>
          <w:lang w:val="en-IE"/>
        </w:rPr>
        <w:t>the impact of the 2008-2010 financial crisis, which slowed the execution of 2007-2013 national and regional programmes, leading to the late completion of the programmes (in 2014 and 2015) overlapping with the start of the 2014-2020 programmes.</w:t>
      </w:r>
    </w:p>
    <w:p w14:paraId="2C49B246" w14:textId="77777777" w:rsidR="00D40083" w:rsidRPr="002D1A58" w:rsidRDefault="00D40083" w:rsidP="00D40083">
      <w:pPr>
        <w:pStyle w:val="ppoListHyphened-L2"/>
        <w:ind w:left="709"/>
        <w:rPr>
          <w:noProof/>
          <w:lang w:val="en-IE"/>
        </w:rPr>
      </w:pPr>
      <w:r w:rsidRPr="002D1A58">
        <w:rPr>
          <w:noProof/>
          <w:lang w:val="en-IE"/>
        </w:rPr>
        <w:t xml:space="preserve">the regulatory provisions of the 2014-2020 period (e.g. the level of pre-financing, the </w:t>
      </w:r>
      <w:r w:rsidRPr="00C14684">
        <w:rPr>
          <w:i/>
          <w:iCs/>
          <w:noProof/>
          <w:lang w:val="en-IE"/>
        </w:rPr>
        <w:t>n</w:t>
      </w:r>
      <w:r w:rsidRPr="002D1A58">
        <w:rPr>
          <w:rFonts w:ascii="Calibri" w:hAnsi="Calibri" w:cs="Calibri"/>
          <w:noProof/>
          <w:lang w:val="en-IE"/>
        </w:rPr>
        <w:t> </w:t>
      </w:r>
      <w:r w:rsidRPr="002D1A58">
        <w:rPr>
          <w:noProof/>
          <w:lang w:val="en-IE"/>
        </w:rPr>
        <w:t>+</w:t>
      </w:r>
      <w:r w:rsidRPr="002D1A58">
        <w:rPr>
          <w:rFonts w:ascii="Calibri" w:hAnsi="Calibri" w:cs="Calibri"/>
          <w:noProof/>
          <w:lang w:val="en-IE"/>
        </w:rPr>
        <w:t> </w:t>
      </w:r>
      <w:r w:rsidRPr="002D1A58">
        <w:rPr>
          <w:noProof/>
          <w:lang w:val="en-IE"/>
        </w:rPr>
        <w:t>3 decommitment rule), which did not provide incentives for a fast implementation start in Member States.</w:t>
      </w:r>
    </w:p>
    <w:p w14:paraId="2248E818" w14:textId="77777777" w:rsidR="00D40083" w:rsidRPr="002D1A58" w:rsidRDefault="00D40083" w:rsidP="00D40083">
      <w:pPr>
        <w:pStyle w:val="ppoListHyphened-L1"/>
        <w:rPr>
          <w:noProof/>
          <w:lang w:val="en-IE"/>
        </w:rPr>
      </w:pPr>
      <w:r w:rsidRPr="002D1A58">
        <w:rPr>
          <w:noProof/>
          <w:lang w:val="en-IE"/>
        </w:rPr>
        <w:t>However, the reported values generally show a strong upward progress in implementation by the end of 2021.</w:t>
      </w:r>
    </w:p>
    <w:p w14:paraId="61FCB131" w14:textId="77777777" w:rsidR="00D40083" w:rsidRPr="002D1A58" w:rsidRDefault="00D40083" w:rsidP="00D40083">
      <w:pPr>
        <w:pStyle w:val="ppoListHyphened-L1"/>
        <w:rPr>
          <w:noProof/>
          <w:lang w:val="en-IE"/>
        </w:rPr>
      </w:pPr>
      <w:r w:rsidRPr="002D1A58">
        <w:rPr>
          <w:noProof/>
          <w:lang w:val="en-IE"/>
        </w:rPr>
        <w:t>In 2020 and 2021, there was a significant increase in EU payments, which was partly triggered by the progress in project selection rates in recent years. Moreover, the prompt cohesion policy response to the COVID-19 pandemic played an important role in the accelerated implementation of the funds. In particular, the CRII+ measures provided for 100% co-financing for expenditure declared during the accounting year 2020-2021, while the 2019 annual pre-financing amounts were not recovered in 2020, in order to ease budgetary pressure at national level.</w:t>
      </w:r>
    </w:p>
    <w:p w14:paraId="362681CA" w14:textId="77777777" w:rsidR="00D40083" w:rsidRPr="002D1A58" w:rsidRDefault="00D40083" w:rsidP="00D40083">
      <w:pPr>
        <w:pStyle w:val="ppoListHyphened-L1"/>
        <w:rPr>
          <w:noProof/>
          <w:lang w:val="en-IE"/>
        </w:rPr>
      </w:pPr>
      <w:r w:rsidRPr="002D1A58">
        <w:rPr>
          <w:noProof/>
          <w:lang w:val="en-IE"/>
        </w:rPr>
        <w:t>In addition to the CRII+ measures, the Commission proposed additional financing under REACT-EU. Over 2021-2023, the original 2014-2020 EU financing is topped up with EUR</w:t>
      </w:r>
      <w:r w:rsidRPr="002D1A58">
        <w:rPr>
          <w:rFonts w:ascii="Calibri" w:hAnsi="Calibri" w:cs="Calibri"/>
          <w:noProof/>
          <w:lang w:val="en-IE"/>
        </w:rPr>
        <w:t> </w:t>
      </w:r>
      <w:r w:rsidRPr="002D1A58">
        <w:rPr>
          <w:noProof/>
          <w:lang w:val="en-IE"/>
        </w:rPr>
        <w:t>50.4</w:t>
      </w:r>
      <w:r w:rsidRPr="002D1A58">
        <w:rPr>
          <w:rFonts w:ascii="Calibri" w:hAnsi="Calibri" w:cs="Calibri"/>
          <w:noProof/>
          <w:lang w:val="en-IE"/>
        </w:rPr>
        <w:t> </w:t>
      </w:r>
      <w:r w:rsidRPr="002D1A58">
        <w:rPr>
          <w:noProof/>
          <w:lang w:val="en-IE"/>
        </w:rPr>
        <w:t>billion (in current prices) under REACT-EU to finance crisis repair measures. This will contribute to a green, digital and resilient recovery of the economy by adding fresh additional resources to existing cohesion policy programmes.</w:t>
      </w:r>
    </w:p>
    <w:p w14:paraId="7E4DE5D1" w14:textId="77777777" w:rsidR="00D40083" w:rsidRPr="002D1A58" w:rsidRDefault="00D40083" w:rsidP="00D40083">
      <w:pPr>
        <w:pStyle w:val="ppoListHyphened-L1"/>
        <w:rPr>
          <w:noProof/>
          <w:lang w:val="en-IE"/>
        </w:rPr>
      </w:pPr>
      <w:r w:rsidRPr="002D1A58">
        <w:rPr>
          <w:noProof/>
          <w:lang w:val="en-IE"/>
        </w:rPr>
        <w:t>With regard to financial instruments, almost EUR</w:t>
      </w:r>
      <w:r w:rsidRPr="002D1A58">
        <w:rPr>
          <w:rFonts w:ascii="Calibri" w:hAnsi="Calibri" w:cs="Calibri"/>
          <w:noProof/>
          <w:lang w:val="en-IE"/>
        </w:rPr>
        <w:t> </w:t>
      </w:r>
      <w:r w:rsidRPr="002D1A58">
        <w:rPr>
          <w:noProof/>
          <w:lang w:val="en-IE"/>
        </w:rPr>
        <w:t>31 billion of ERDF and CF resources will be delivered through financial instruments by 2023, constituting over 8% of the overall EU allocation and creating an efficient and sustainable alternative to traditional grants.</w:t>
      </w:r>
    </w:p>
    <w:p w14:paraId="0D766F0D" w14:textId="77777777" w:rsidR="00D40083" w:rsidRPr="002D1A58" w:rsidRDefault="00D40083" w:rsidP="00D40083">
      <w:pPr>
        <w:pStyle w:val="ppoListHyphened-L1"/>
        <w:rPr>
          <w:noProof/>
          <w:lang w:val="en-IE"/>
        </w:rPr>
      </w:pPr>
      <w:r w:rsidRPr="002D1A58">
        <w:rPr>
          <w:noProof/>
          <w:lang w:val="en-IE"/>
        </w:rPr>
        <w:t>In 2022, the COVID-19-related economic crisis and the parallel implementation of other instruments (e.g. REACT-EU and the start of the 2021-2027 programming period) might affect implementation progress in some Member States. The addition of the REACT-EU resources during 2021, particularly the ongoing 2014-2020 programmes, has had a dilution effect on the relative pace of financial implementation due to the increased base amount.</w:t>
      </w:r>
    </w:p>
    <w:p w14:paraId="138EFD66" w14:textId="77777777" w:rsidR="00D40083" w:rsidRPr="002D1A58" w:rsidRDefault="00D40083" w:rsidP="00D40083">
      <w:pPr>
        <w:pStyle w:val="ppoHeading5"/>
        <w:rPr>
          <w:noProof/>
          <w:lang w:val="en-IE"/>
        </w:rPr>
      </w:pPr>
      <w:r w:rsidRPr="002D1A58">
        <w:rPr>
          <w:noProof/>
          <w:lang w:val="en-IE"/>
        </w:rPr>
        <w:t>Performance assessment</w:t>
      </w:r>
    </w:p>
    <w:p w14:paraId="6F9BE3F4" w14:textId="77777777" w:rsidR="00D40083" w:rsidRPr="002D1A58" w:rsidRDefault="00D40083" w:rsidP="00D40083">
      <w:pPr>
        <w:pStyle w:val="ppoHeading6"/>
        <w:rPr>
          <w:noProof/>
          <w:lang w:val="en-IE"/>
        </w:rPr>
      </w:pPr>
      <w:r w:rsidRPr="002D1A58">
        <w:rPr>
          <w:noProof/>
          <w:lang w:val="en-IE"/>
        </w:rPr>
        <w:t>Key performance indicators</w:t>
      </w:r>
    </w:p>
    <w:tbl>
      <w:tblPr>
        <w:tblStyle w:val="PPO2021"/>
        <w:tblW w:w="9639" w:type="dxa"/>
        <w:tblInd w:w="0" w:type="dxa"/>
        <w:tblLook w:val="0420" w:firstRow="1" w:lastRow="0" w:firstColumn="0" w:lastColumn="0" w:noHBand="0" w:noVBand="1"/>
      </w:tblPr>
      <w:tblGrid>
        <w:gridCol w:w="2398"/>
        <w:gridCol w:w="1090"/>
        <w:gridCol w:w="1512"/>
        <w:gridCol w:w="1518"/>
        <w:gridCol w:w="1557"/>
        <w:gridCol w:w="1564"/>
      </w:tblGrid>
      <w:tr w:rsidR="00D40083" w:rsidRPr="002D1A58" w14:paraId="49AC0D15" w14:textId="77777777" w:rsidTr="00AF1C52">
        <w:trPr>
          <w:cnfStyle w:val="100000000000" w:firstRow="1" w:lastRow="0" w:firstColumn="0" w:lastColumn="0" w:oddVBand="0" w:evenVBand="0" w:oddHBand="0" w:evenHBand="0" w:firstRowFirstColumn="0" w:firstRowLastColumn="0" w:lastRowFirstColumn="0" w:lastRowLastColumn="0"/>
        </w:trPr>
        <w:tc>
          <w:tcPr>
            <w:tcW w:w="2398" w:type="dxa"/>
          </w:tcPr>
          <w:p w14:paraId="4A8506CB" w14:textId="77777777" w:rsidR="00D40083" w:rsidRPr="002D1A58" w:rsidRDefault="00D40083" w:rsidP="00AF1C52">
            <w:pPr>
              <w:rPr>
                <w:noProof/>
                <w:lang w:val="en-IE"/>
              </w:rPr>
            </w:pPr>
          </w:p>
        </w:tc>
        <w:tc>
          <w:tcPr>
            <w:tcW w:w="1090" w:type="dxa"/>
          </w:tcPr>
          <w:p w14:paraId="6C627D06" w14:textId="77777777" w:rsidR="00D40083" w:rsidRPr="002D1A58" w:rsidRDefault="00D40083" w:rsidP="00AF1C52">
            <w:pPr>
              <w:rPr>
                <w:noProof/>
                <w:lang w:val="en-IE"/>
              </w:rPr>
            </w:pPr>
            <w:r w:rsidRPr="002D1A58">
              <w:rPr>
                <w:noProof/>
                <w:lang w:val="en-IE"/>
              </w:rPr>
              <w:t>Baseline</w:t>
            </w:r>
          </w:p>
        </w:tc>
        <w:tc>
          <w:tcPr>
            <w:tcW w:w="1512" w:type="dxa"/>
          </w:tcPr>
          <w:p w14:paraId="196342DF" w14:textId="77777777" w:rsidR="00D40083" w:rsidRPr="002D1A58" w:rsidRDefault="00D40083" w:rsidP="00AF1C52">
            <w:pPr>
              <w:rPr>
                <w:rFonts w:ascii="Calibri" w:hAnsi="Calibri" w:cs="Calibri"/>
                <w:noProof/>
                <w:lang w:val="en-IE"/>
              </w:rPr>
            </w:pPr>
            <w:r w:rsidRPr="002D1A58">
              <w:rPr>
                <w:noProof/>
                <w:lang w:val="en-IE"/>
              </w:rPr>
              <w:t>Progress</w:t>
            </w:r>
            <w:r w:rsidRPr="002D1A58">
              <w:rPr>
                <w:rFonts w:ascii="Calibri" w:hAnsi="Calibri" w:cs="Calibri"/>
                <w:noProof/>
                <w:lang w:val="en-IE"/>
              </w:rPr>
              <w:t> </w:t>
            </w:r>
            <w:r w:rsidRPr="002D1A58">
              <w:rPr>
                <w:rFonts w:cs="Calibri"/>
                <w:noProof/>
                <w:lang w:val="en-IE"/>
              </w:rPr>
              <w:t>(*)</w:t>
            </w:r>
          </w:p>
        </w:tc>
        <w:tc>
          <w:tcPr>
            <w:tcW w:w="1518" w:type="dxa"/>
          </w:tcPr>
          <w:p w14:paraId="100929E0" w14:textId="77777777" w:rsidR="00D40083" w:rsidRPr="002D1A58" w:rsidRDefault="00D40083" w:rsidP="00AF1C52">
            <w:pPr>
              <w:rPr>
                <w:noProof/>
                <w:lang w:val="en-IE"/>
              </w:rPr>
            </w:pPr>
            <w:r w:rsidRPr="002D1A58">
              <w:rPr>
                <w:noProof/>
                <w:lang w:val="en-IE"/>
              </w:rPr>
              <w:t>Target</w:t>
            </w:r>
            <w:r w:rsidRPr="002D1A58">
              <w:rPr>
                <w:noProof/>
                <w:lang w:val="en-IE"/>
              </w:rPr>
              <w:br/>
              <w:t>(2023)</w:t>
            </w:r>
          </w:p>
        </w:tc>
        <w:tc>
          <w:tcPr>
            <w:tcW w:w="1557" w:type="dxa"/>
          </w:tcPr>
          <w:p w14:paraId="4A982714" w14:textId="77777777" w:rsidR="00D40083" w:rsidRPr="002D1A58" w:rsidRDefault="00D40083" w:rsidP="00AF1C52">
            <w:pPr>
              <w:rPr>
                <w:noProof/>
                <w:lang w:val="en-IE"/>
              </w:rPr>
            </w:pPr>
            <w:r w:rsidRPr="002D1A58">
              <w:rPr>
                <w:noProof/>
                <w:lang w:val="en-IE"/>
              </w:rPr>
              <w:t>Results</w:t>
            </w:r>
            <w:r w:rsidRPr="002D1A58">
              <w:rPr>
                <w:noProof/>
                <w:lang w:val="en-IE"/>
              </w:rPr>
              <w:br/>
            </w:r>
          </w:p>
        </w:tc>
        <w:tc>
          <w:tcPr>
            <w:tcW w:w="1564" w:type="dxa"/>
          </w:tcPr>
          <w:p w14:paraId="4A2006A7" w14:textId="77777777" w:rsidR="00D40083" w:rsidRPr="002D1A58" w:rsidRDefault="00D40083" w:rsidP="00AF1C52">
            <w:pPr>
              <w:rPr>
                <w:noProof/>
                <w:lang w:val="en-IE"/>
              </w:rPr>
            </w:pPr>
            <w:r w:rsidRPr="002D1A58">
              <w:rPr>
                <w:noProof/>
                <w:lang w:val="en-IE"/>
              </w:rPr>
              <w:t>Assessment</w:t>
            </w:r>
          </w:p>
        </w:tc>
      </w:tr>
      <w:tr w:rsidR="00D40083" w:rsidRPr="002D1A58" w14:paraId="1E9FB0C6" w14:textId="77777777" w:rsidTr="00AF1C52">
        <w:trPr>
          <w:cnfStyle w:val="000000100000" w:firstRow="0" w:lastRow="0" w:firstColumn="0" w:lastColumn="0" w:oddVBand="0" w:evenVBand="0" w:oddHBand="1" w:evenHBand="0" w:firstRowFirstColumn="0" w:firstRowLastColumn="0" w:lastRowFirstColumn="0" w:lastRowLastColumn="0"/>
        </w:trPr>
        <w:tc>
          <w:tcPr>
            <w:tcW w:w="2398" w:type="dxa"/>
          </w:tcPr>
          <w:p w14:paraId="687EC55A" w14:textId="77777777" w:rsidR="00D40083" w:rsidRPr="002D1A58" w:rsidRDefault="00D40083" w:rsidP="00AF1C52">
            <w:pPr>
              <w:rPr>
                <w:noProof/>
                <w:lang w:val="en-IE"/>
              </w:rPr>
            </w:pPr>
            <w:r w:rsidRPr="002D1A58">
              <w:rPr>
                <w:noProof/>
                <w:lang w:val="en-IE"/>
              </w:rPr>
              <w:t>Researchers working in improved research infrastructure facilities</w:t>
            </w:r>
          </w:p>
        </w:tc>
        <w:tc>
          <w:tcPr>
            <w:tcW w:w="1090" w:type="dxa"/>
          </w:tcPr>
          <w:p w14:paraId="62660F05" w14:textId="77777777" w:rsidR="00D40083" w:rsidRPr="002D1A58" w:rsidRDefault="00D40083" w:rsidP="00AF1C52">
            <w:pPr>
              <w:jc w:val="center"/>
              <w:rPr>
                <w:noProof/>
                <w:lang w:val="en-IE"/>
              </w:rPr>
            </w:pPr>
            <w:r w:rsidRPr="002D1A58">
              <w:rPr>
                <w:noProof/>
                <w:lang w:val="en-IE"/>
              </w:rPr>
              <w:t>0</w:t>
            </w:r>
          </w:p>
        </w:tc>
        <w:tc>
          <w:tcPr>
            <w:tcW w:w="1512" w:type="dxa"/>
          </w:tcPr>
          <w:p w14:paraId="005B204A" w14:textId="77777777" w:rsidR="00D40083" w:rsidRPr="002D1A58" w:rsidRDefault="00D40083" w:rsidP="00AF1C52">
            <w:pPr>
              <w:jc w:val="center"/>
              <w:rPr>
                <w:b/>
                <w:noProof/>
                <w:lang w:val="en-IE"/>
              </w:rPr>
            </w:pPr>
            <w:r w:rsidRPr="002D1A58">
              <w:rPr>
                <w:b/>
                <w:noProof/>
                <w:lang w:val="en-IE"/>
              </w:rPr>
              <w:t>52%</w:t>
            </w:r>
          </w:p>
          <w:p w14:paraId="42F278D2" w14:textId="77777777" w:rsidR="00D40083" w:rsidRPr="002D1A58" w:rsidRDefault="00D40083" w:rsidP="00AF1C52">
            <w:pPr>
              <w:jc w:val="center"/>
              <w:rPr>
                <w:b/>
                <w:noProof/>
                <w:lang w:val="en-IE"/>
              </w:rPr>
            </w:pPr>
            <w:r w:rsidRPr="002D1A58">
              <w:rPr>
                <w:b/>
                <w:noProof/>
                <w:lang w:val="en-IE"/>
              </w:rPr>
              <w:t>Estimated: &gt;</w:t>
            </w:r>
            <w:r w:rsidRPr="002D1A58">
              <w:rPr>
                <w:rFonts w:ascii="Calibri" w:hAnsi="Calibri" w:cs="Calibri"/>
                <w:b/>
                <w:noProof/>
                <w:lang w:val="en-IE"/>
              </w:rPr>
              <w:t> </w:t>
            </w:r>
            <w:r w:rsidRPr="002D1A58">
              <w:rPr>
                <w:b/>
                <w:noProof/>
                <w:lang w:val="en-IE"/>
              </w:rPr>
              <w:t>100%</w:t>
            </w:r>
          </w:p>
        </w:tc>
        <w:tc>
          <w:tcPr>
            <w:tcW w:w="1518" w:type="dxa"/>
          </w:tcPr>
          <w:p w14:paraId="6B11E422" w14:textId="77777777" w:rsidR="00D40083" w:rsidRPr="002D1A58" w:rsidRDefault="00D40083" w:rsidP="00AF1C52">
            <w:pPr>
              <w:jc w:val="center"/>
              <w:rPr>
                <w:noProof/>
                <w:lang w:val="en-IE"/>
              </w:rPr>
            </w:pPr>
            <w:r w:rsidRPr="002D1A58">
              <w:rPr>
                <w:rFonts w:asciiTheme="minorHAnsi" w:eastAsiaTheme="minorEastAsia" w:hAnsiTheme="minorHAnsi"/>
                <w:noProof/>
                <w:lang w:val="en-IE" w:eastAsia="en-GB"/>
              </w:rPr>
              <w:t>85 390 in 2023</w:t>
            </w:r>
          </w:p>
        </w:tc>
        <w:tc>
          <w:tcPr>
            <w:tcW w:w="1557" w:type="dxa"/>
          </w:tcPr>
          <w:p w14:paraId="2869DE65" w14:textId="77777777" w:rsidR="00D40083" w:rsidRPr="002D1A58" w:rsidRDefault="00D40083" w:rsidP="00AF1C52">
            <w:pPr>
              <w:jc w:val="center"/>
              <w:rPr>
                <w:noProof/>
                <w:lang w:val="en-IE"/>
              </w:rPr>
            </w:pPr>
            <w:r w:rsidRPr="002D1A58">
              <w:rPr>
                <w:noProof/>
                <w:lang w:val="en-IE"/>
              </w:rPr>
              <w:t>44</w:t>
            </w:r>
            <w:r w:rsidRPr="002D1A58">
              <w:rPr>
                <w:rFonts w:ascii="Calibri" w:hAnsi="Calibri" w:cs="Calibri"/>
                <w:noProof/>
                <w:lang w:val="en-IE"/>
              </w:rPr>
              <w:t> </w:t>
            </w:r>
            <w:r w:rsidRPr="002D1A58">
              <w:rPr>
                <w:noProof/>
                <w:lang w:val="en-IE"/>
              </w:rPr>
              <w:t>800 (estimated result: 112</w:t>
            </w:r>
            <w:r w:rsidRPr="002D1A58">
              <w:rPr>
                <w:rFonts w:ascii="Calibri" w:hAnsi="Calibri" w:cs="Calibri"/>
                <w:noProof/>
                <w:lang w:val="en-IE"/>
              </w:rPr>
              <w:t> </w:t>
            </w:r>
            <w:r w:rsidRPr="002D1A58">
              <w:rPr>
                <w:noProof/>
                <w:lang w:val="en-IE"/>
              </w:rPr>
              <w:t>300) out of 85</w:t>
            </w:r>
            <w:r w:rsidRPr="002D1A58">
              <w:rPr>
                <w:rFonts w:ascii="Calibri" w:hAnsi="Calibri" w:cs="Calibri"/>
                <w:noProof/>
                <w:lang w:val="en-IE"/>
              </w:rPr>
              <w:t> </w:t>
            </w:r>
            <w:r w:rsidRPr="002D1A58">
              <w:rPr>
                <w:noProof/>
                <w:lang w:val="en-IE"/>
              </w:rPr>
              <w:t xml:space="preserve">390 </w:t>
            </w:r>
          </w:p>
        </w:tc>
        <w:tc>
          <w:tcPr>
            <w:tcW w:w="1564" w:type="dxa"/>
          </w:tcPr>
          <w:p w14:paraId="00858DDB" w14:textId="33CDA8CF" w:rsidR="00D40083" w:rsidRPr="002D1A58" w:rsidRDefault="00DC6073" w:rsidP="00AF1C52">
            <w:pPr>
              <w:jc w:val="center"/>
              <w:rPr>
                <w:noProof/>
                <w:lang w:val="en-IE"/>
              </w:rPr>
            </w:pPr>
            <w:r>
              <w:rPr>
                <w:noProof/>
                <w:lang w:val="en-IE"/>
              </w:rPr>
              <w:t>On track</w:t>
            </w:r>
          </w:p>
        </w:tc>
      </w:tr>
      <w:tr w:rsidR="00D40083" w:rsidRPr="002D1A58" w14:paraId="7854539D" w14:textId="77777777" w:rsidTr="00AF1C52">
        <w:trPr>
          <w:cnfStyle w:val="000000010000" w:firstRow="0" w:lastRow="0" w:firstColumn="0" w:lastColumn="0" w:oddVBand="0" w:evenVBand="0" w:oddHBand="0" w:evenHBand="1" w:firstRowFirstColumn="0" w:firstRowLastColumn="0" w:lastRowFirstColumn="0" w:lastRowLastColumn="0"/>
        </w:trPr>
        <w:tc>
          <w:tcPr>
            <w:tcW w:w="2398" w:type="dxa"/>
          </w:tcPr>
          <w:p w14:paraId="6F4D67D5" w14:textId="77777777" w:rsidR="00D40083" w:rsidRPr="002D1A58" w:rsidRDefault="00D40083" w:rsidP="00AF1C52">
            <w:pPr>
              <w:rPr>
                <w:noProof/>
                <w:lang w:val="en-IE"/>
              </w:rPr>
            </w:pPr>
            <w:r w:rsidRPr="002D1A58">
              <w:rPr>
                <w:noProof/>
                <w:lang w:val="en-IE"/>
              </w:rPr>
              <w:t>Enterprises receiving support</w:t>
            </w:r>
          </w:p>
        </w:tc>
        <w:tc>
          <w:tcPr>
            <w:tcW w:w="1090" w:type="dxa"/>
          </w:tcPr>
          <w:p w14:paraId="07953BCC" w14:textId="77777777" w:rsidR="00D40083" w:rsidRPr="002D1A58" w:rsidRDefault="00D40083" w:rsidP="00AF1C52">
            <w:pPr>
              <w:jc w:val="center"/>
              <w:rPr>
                <w:noProof/>
                <w:lang w:val="en-IE"/>
              </w:rPr>
            </w:pPr>
            <w:r w:rsidRPr="002D1A58">
              <w:rPr>
                <w:noProof/>
                <w:lang w:val="en-IE"/>
              </w:rPr>
              <w:t>0</w:t>
            </w:r>
          </w:p>
        </w:tc>
        <w:tc>
          <w:tcPr>
            <w:tcW w:w="1512" w:type="dxa"/>
          </w:tcPr>
          <w:p w14:paraId="0323C214" w14:textId="77777777" w:rsidR="00D40083" w:rsidRPr="002D1A58" w:rsidRDefault="00D40083" w:rsidP="00AF1C52">
            <w:pPr>
              <w:jc w:val="center"/>
              <w:rPr>
                <w:b/>
                <w:noProof/>
                <w:lang w:val="en-IE"/>
              </w:rPr>
            </w:pPr>
            <w:r w:rsidRPr="002D1A58">
              <w:rPr>
                <w:b/>
                <w:noProof/>
                <w:lang w:val="en-IE"/>
              </w:rPr>
              <w:t>80%</w:t>
            </w:r>
          </w:p>
          <w:p w14:paraId="0DD918E4" w14:textId="77777777" w:rsidR="00D40083" w:rsidRPr="002D1A58" w:rsidRDefault="00D40083" w:rsidP="00AF1C52">
            <w:pPr>
              <w:jc w:val="center"/>
              <w:rPr>
                <w:b/>
                <w:noProof/>
                <w:lang w:val="en-IE"/>
              </w:rPr>
            </w:pPr>
            <w:r w:rsidRPr="002D1A58">
              <w:rPr>
                <w:b/>
                <w:noProof/>
                <w:lang w:val="en-IE"/>
              </w:rPr>
              <w:t>Estimated: &gt;</w:t>
            </w:r>
            <w:r w:rsidRPr="002D1A58">
              <w:rPr>
                <w:rFonts w:ascii="Calibri" w:hAnsi="Calibri" w:cs="Calibri"/>
                <w:b/>
                <w:noProof/>
                <w:lang w:val="en-IE"/>
              </w:rPr>
              <w:t> </w:t>
            </w:r>
            <w:r w:rsidRPr="002D1A58">
              <w:rPr>
                <w:b/>
                <w:noProof/>
                <w:lang w:val="en-IE"/>
              </w:rPr>
              <w:t>100%</w:t>
            </w:r>
          </w:p>
        </w:tc>
        <w:tc>
          <w:tcPr>
            <w:tcW w:w="1518" w:type="dxa"/>
          </w:tcPr>
          <w:p w14:paraId="5C9C88F8" w14:textId="77777777" w:rsidR="00D40083" w:rsidRPr="002D1A58" w:rsidRDefault="00D40083" w:rsidP="00AF1C52">
            <w:pPr>
              <w:jc w:val="center"/>
              <w:rPr>
                <w:noProof/>
                <w:lang w:val="en-IE"/>
              </w:rPr>
            </w:pPr>
            <w:r w:rsidRPr="002D1A58">
              <w:rPr>
                <w:rFonts w:asciiTheme="minorHAnsi" w:eastAsiaTheme="minorEastAsia" w:hAnsiTheme="minorHAnsi"/>
                <w:noProof/>
                <w:lang w:val="en-IE" w:eastAsia="en-GB"/>
              </w:rPr>
              <w:t>1.8 million in 2023</w:t>
            </w:r>
          </w:p>
        </w:tc>
        <w:tc>
          <w:tcPr>
            <w:tcW w:w="1557" w:type="dxa"/>
          </w:tcPr>
          <w:p w14:paraId="7C3F6E07" w14:textId="77777777" w:rsidR="00D40083" w:rsidRPr="002D1A58" w:rsidRDefault="00D40083" w:rsidP="00AF1C52">
            <w:pPr>
              <w:jc w:val="center"/>
              <w:rPr>
                <w:noProof/>
                <w:lang w:val="en-IE"/>
              </w:rPr>
            </w:pPr>
            <w:r w:rsidRPr="002D1A58">
              <w:rPr>
                <w:noProof/>
                <w:lang w:val="en-IE"/>
              </w:rPr>
              <w:t>1.4</w:t>
            </w:r>
            <w:r w:rsidRPr="002D1A58">
              <w:rPr>
                <w:rFonts w:ascii="Calibri" w:hAnsi="Calibri" w:cs="Calibri"/>
                <w:noProof/>
                <w:lang w:val="en-IE"/>
              </w:rPr>
              <w:t> </w:t>
            </w:r>
            <w:r w:rsidRPr="002D1A58">
              <w:rPr>
                <w:noProof/>
                <w:lang w:val="en-IE"/>
              </w:rPr>
              <w:t>million (estimated result: 2.0</w:t>
            </w:r>
            <w:r w:rsidRPr="002D1A58">
              <w:rPr>
                <w:rFonts w:ascii="Calibri" w:hAnsi="Calibri" w:cs="Calibri"/>
                <w:noProof/>
                <w:lang w:val="en-IE"/>
              </w:rPr>
              <w:t> </w:t>
            </w:r>
            <w:r w:rsidRPr="002D1A58">
              <w:rPr>
                <w:noProof/>
                <w:lang w:val="en-IE"/>
              </w:rPr>
              <w:t>million) out of 1.8</w:t>
            </w:r>
            <w:r w:rsidRPr="002D1A58">
              <w:rPr>
                <w:rFonts w:ascii="Calibri" w:hAnsi="Calibri" w:cs="Calibri"/>
                <w:noProof/>
                <w:lang w:val="en-IE"/>
              </w:rPr>
              <w:t> </w:t>
            </w:r>
            <w:r w:rsidRPr="002D1A58">
              <w:rPr>
                <w:noProof/>
                <w:lang w:val="en-IE"/>
              </w:rPr>
              <w:t xml:space="preserve">million </w:t>
            </w:r>
          </w:p>
        </w:tc>
        <w:tc>
          <w:tcPr>
            <w:tcW w:w="1564" w:type="dxa"/>
          </w:tcPr>
          <w:p w14:paraId="286CFDE0" w14:textId="77777777" w:rsidR="00D40083" w:rsidRPr="002D1A58" w:rsidRDefault="00D40083" w:rsidP="00AF1C52">
            <w:pPr>
              <w:jc w:val="center"/>
              <w:rPr>
                <w:noProof/>
                <w:lang w:val="en-IE"/>
              </w:rPr>
            </w:pPr>
            <w:r w:rsidRPr="002D1A58">
              <w:rPr>
                <w:noProof/>
                <w:lang w:val="en-IE"/>
              </w:rPr>
              <w:t>On track</w:t>
            </w:r>
          </w:p>
        </w:tc>
      </w:tr>
      <w:tr w:rsidR="00D40083" w:rsidRPr="002D1A58" w14:paraId="68CFC524" w14:textId="77777777" w:rsidTr="00AF1C52">
        <w:trPr>
          <w:cnfStyle w:val="000000100000" w:firstRow="0" w:lastRow="0" w:firstColumn="0" w:lastColumn="0" w:oddVBand="0" w:evenVBand="0" w:oddHBand="1" w:evenHBand="0" w:firstRowFirstColumn="0" w:firstRowLastColumn="0" w:lastRowFirstColumn="0" w:lastRowLastColumn="0"/>
        </w:trPr>
        <w:tc>
          <w:tcPr>
            <w:tcW w:w="2398" w:type="dxa"/>
          </w:tcPr>
          <w:p w14:paraId="561894B0" w14:textId="77777777" w:rsidR="00D40083" w:rsidRPr="002D1A58" w:rsidRDefault="00D40083" w:rsidP="00AF1C52">
            <w:pPr>
              <w:tabs>
                <w:tab w:val="center" w:pos="1091"/>
              </w:tabs>
              <w:rPr>
                <w:noProof/>
                <w:lang w:val="en-IE"/>
              </w:rPr>
            </w:pPr>
            <w:r w:rsidRPr="002D1A58">
              <w:rPr>
                <w:noProof/>
                <w:lang w:val="en-IE"/>
              </w:rPr>
              <w:t>Additional employment (jobs created) in supported enterprises</w:t>
            </w:r>
          </w:p>
        </w:tc>
        <w:tc>
          <w:tcPr>
            <w:tcW w:w="1090" w:type="dxa"/>
          </w:tcPr>
          <w:p w14:paraId="080CF816" w14:textId="77777777" w:rsidR="00D40083" w:rsidRPr="002D1A58" w:rsidRDefault="00D40083" w:rsidP="00AF1C52">
            <w:pPr>
              <w:jc w:val="center"/>
              <w:rPr>
                <w:noProof/>
                <w:lang w:val="en-IE"/>
              </w:rPr>
            </w:pPr>
            <w:r w:rsidRPr="002D1A58">
              <w:rPr>
                <w:noProof/>
                <w:lang w:val="en-IE"/>
              </w:rPr>
              <w:t>0</w:t>
            </w:r>
          </w:p>
        </w:tc>
        <w:tc>
          <w:tcPr>
            <w:tcW w:w="1512" w:type="dxa"/>
          </w:tcPr>
          <w:p w14:paraId="749616CA" w14:textId="77777777" w:rsidR="00D40083" w:rsidRPr="002D1A58" w:rsidRDefault="00D40083" w:rsidP="00AF1C52">
            <w:pPr>
              <w:jc w:val="center"/>
              <w:rPr>
                <w:b/>
                <w:noProof/>
                <w:lang w:val="en-IE"/>
              </w:rPr>
            </w:pPr>
            <w:r w:rsidRPr="002D1A58">
              <w:rPr>
                <w:b/>
                <w:noProof/>
                <w:lang w:val="en-IE"/>
              </w:rPr>
              <w:t>66%</w:t>
            </w:r>
          </w:p>
          <w:p w14:paraId="3CF5496E" w14:textId="77777777" w:rsidR="00D40083" w:rsidRPr="002D1A58" w:rsidRDefault="00D40083" w:rsidP="00AF1C52">
            <w:pPr>
              <w:jc w:val="center"/>
              <w:rPr>
                <w:b/>
                <w:noProof/>
                <w:lang w:val="en-IE"/>
              </w:rPr>
            </w:pPr>
            <w:r w:rsidRPr="002D1A58">
              <w:rPr>
                <w:b/>
                <w:noProof/>
                <w:lang w:val="en-IE"/>
              </w:rPr>
              <w:t>Estimated: &gt;</w:t>
            </w:r>
            <w:r w:rsidRPr="002D1A58">
              <w:rPr>
                <w:rFonts w:ascii="Calibri" w:hAnsi="Calibri" w:cs="Calibri"/>
                <w:b/>
                <w:noProof/>
                <w:lang w:val="en-IE"/>
              </w:rPr>
              <w:t> </w:t>
            </w:r>
            <w:r w:rsidRPr="002D1A58">
              <w:rPr>
                <w:b/>
                <w:noProof/>
                <w:lang w:val="en-IE"/>
              </w:rPr>
              <w:t>100%</w:t>
            </w:r>
          </w:p>
        </w:tc>
        <w:tc>
          <w:tcPr>
            <w:tcW w:w="1518" w:type="dxa"/>
          </w:tcPr>
          <w:p w14:paraId="290ED927" w14:textId="77777777" w:rsidR="00D40083" w:rsidRPr="002D1A58" w:rsidRDefault="00D40083" w:rsidP="00AF1C52">
            <w:pPr>
              <w:jc w:val="center"/>
              <w:rPr>
                <w:noProof/>
                <w:lang w:val="en-IE"/>
              </w:rPr>
            </w:pPr>
            <w:r w:rsidRPr="002D1A58">
              <w:rPr>
                <w:rFonts w:asciiTheme="minorHAnsi" w:eastAsiaTheme="minorEastAsia" w:hAnsiTheme="minorHAnsi"/>
                <w:noProof/>
                <w:lang w:val="en-IE" w:eastAsia="en-GB"/>
              </w:rPr>
              <w:t>361 900 in 2023</w:t>
            </w:r>
          </w:p>
        </w:tc>
        <w:tc>
          <w:tcPr>
            <w:tcW w:w="1557" w:type="dxa"/>
          </w:tcPr>
          <w:p w14:paraId="39AD7EFE" w14:textId="77777777" w:rsidR="00D40083" w:rsidRPr="002D1A58" w:rsidRDefault="00D40083" w:rsidP="00AF1C52">
            <w:pPr>
              <w:jc w:val="center"/>
              <w:rPr>
                <w:noProof/>
                <w:lang w:val="en-IE"/>
              </w:rPr>
            </w:pPr>
            <w:r w:rsidRPr="002D1A58">
              <w:rPr>
                <w:noProof/>
                <w:lang w:val="en-IE"/>
              </w:rPr>
              <w:t>238</w:t>
            </w:r>
            <w:r w:rsidRPr="002D1A58">
              <w:rPr>
                <w:rFonts w:ascii="Calibri" w:hAnsi="Calibri" w:cs="Calibri"/>
                <w:noProof/>
                <w:lang w:val="en-IE"/>
              </w:rPr>
              <w:t> </w:t>
            </w:r>
            <w:r w:rsidRPr="002D1A58">
              <w:rPr>
                <w:noProof/>
                <w:lang w:val="en-IE"/>
              </w:rPr>
              <w:t>300 (estimated result: 451</w:t>
            </w:r>
            <w:r w:rsidRPr="002D1A58">
              <w:rPr>
                <w:rFonts w:ascii="Calibri" w:hAnsi="Calibri" w:cs="Calibri"/>
                <w:noProof/>
                <w:lang w:val="en-IE"/>
              </w:rPr>
              <w:t> </w:t>
            </w:r>
            <w:r w:rsidRPr="002D1A58">
              <w:rPr>
                <w:noProof/>
                <w:lang w:val="en-IE"/>
              </w:rPr>
              <w:t>700) out of 361</w:t>
            </w:r>
            <w:r w:rsidRPr="002D1A58">
              <w:rPr>
                <w:rFonts w:ascii="Calibri" w:hAnsi="Calibri" w:cs="Calibri"/>
                <w:noProof/>
                <w:lang w:val="en-IE"/>
              </w:rPr>
              <w:t> </w:t>
            </w:r>
            <w:r w:rsidRPr="002D1A58">
              <w:rPr>
                <w:noProof/>
                <w:lang w:val="en-IE"/>
              </w:rPr>
              <w:t xml:space="preserve">900 </w:t>
            </w:r>
          </w:p>
        </w:tc>
        <w:tc>
          <w:tcPr>
            <w:tcW w:w="1564" w:type="dxa"/>
          </w:tcPr>
          <w:p w14:paraId="4FED973C" w14:textId="77777777" w:rsidR="00D40083" w:rsidRPr="002D1A58" w:rsidRDefault="00D40083" w:rsidP="00AF1C52">
            <w:pPr>
              <w:jc w:val="center"/>
              <w:rPr>
                <w:noProof/>
                <w:lang w:val="en-IE"/>
              </w:rPr>
            </w:pPr>
            <w:r w:rsidRPr="002D1A58">
              <w:rPr>
                <w:noProof/>
                <w:lang w:val="en-IE"/>
              </w:rPr>
              <w:t>On track</w:t>
            </w:r>
          </w:p>
        </w:tc>
      </w:tr>
      <w:tr w:rsidR="00D40083" w:rsidRPr="002D1A58" w14:paraId="70B05CFF" w14:textId="77777777" w:rsidTr="00AF1C52">
        <w:trPr>
          <w:cnfStyle w:val="000000010000" w:firstRow="0" w:lastRow="0" w:firstColumn="0" w:lastColumn="0" w:oddVBand="0" w:evenVBand="0" w:oddHBand="0" w:evenHBand="1" w:firstRowFirstColumn="0" w:firstRowLastColumn="0" w:lastRowFirstColumn="0" w:lastRowLastColumn="0"/>
        </w:trPr>
        <w:tc>
          <w:tcPr>
            <w:tcW w:w="2398" w:type="dxa"/>
          </w:tcPr>
          <w:p w14:paraId="05CAE8F2" w14:textId="77777777" w:rsidR="00D40083" w:rsidRPr="002D1A58" w:rsidRDefault="00D40083" w:rsidP="00AF1C52">
            <w:pPr>
              <w:tabs>
                <w:tab w:val="center" w:pos="1091"/>
              </w:tabs>
              <w:rPr>
                <w:noProof/>
                <w:lang w:val="en-IE"/>
              </w:rPr>
            </w:pPr>
            <w:r w:rsidRPr="002D1A58">
              <w:rPr>
                <w:noProof/>
                <w:lang w:val="en-IE"/>
              </w:rPr>
              <w:t>Population covered by improved health services</w:t>
            </w:r>
          </w:p>
        </w:tc>
        <w:tc>
          <w:tcPr>
            <w:tcW w:w="1090" w:type="dxa"/>
          </w:tcPr>
          <w:p w14:paraId="545750D9" w14:textId="77777777" w:rsidR="00D40083" w:rsidRPr="002D1A58" w:rsidRDefault="00D40083" w:rsidP="00AF1C52">
            <w:pPr>
              <w:jc w:val="center"/>
              <w:rPr>
                <w:noProof/>
                <w:lang w:val="en-IE"/>
              </w:rPr>
            </w:pPr>
            <w:r w:rsidRPr="002D1A58">
              <w:rPr>
                <w:noProof/>
                <w:lang w:val="en-IE"/>
              </w:rPr>
              <w:t>0</w:t>
            </w:r>
          </w:p>
        </w:tc>
        <w:tc>
          <w:tcPr>
            <w:tcW w:w="1512" w:type="dxa"/>
          </w:tcPr>
          <w:p w14:paraId="34C572DE" w14:textId="77777777" w:rsidR="00D40083" w:rsidRPr="002D1A58" w:rsidRDefault="00D40083" w:rsidP="00AF1C52">
            <w:pPr>
              <w:jc w:val="center"/>
              <w:rPr>
                <w:b/>
                <w:noProof/>
                <w:lang w:val="en-IE"/>
              </w:rPr>
            </w:pPr>
            <w:r w:rsidRPr="002D1A58">
              <w:rPr>
                <w:b/>
                <w:noProof/>
                <w:lang w:val="en-IE"/>
              </w:rPr>
              <w:t>78%</w:t>
            </w:r>
          </w:p>
          <w:p w14:paraId="15D486EB" w14:textId="77777777" w:rsidR="00D40083" w:rsidRPr="002D1A58" w:rsidRDefault="00D40083" w:rsidP="00AF1C52">
            <w:pPr>
              <w:jc w:val="center"/>
              <w:rPr>
                <w:b/>
                <w:noProof/>
                <w:lang w:val="en-IE"/>
              </w:rPr>
            </w:pPr>
            <w:r w:rsidRPr="002D1A58">
              <w:rPr>
                <w:b/>
                <w:noProof/>
                <w:lang w:val="en-IE"/>
              </w:rPr>
              <w:t>Estimated: &gt;</w:t>
            </w:r>
            <w:r w:rsidRPr="002D1A58">
              <w:rPr>
                <w:rFonts w:ascii="Calibri" w:hAnsi="Calibri" w:cs="Calibri"/>
                <w:b/>
                <w:noProof/>
                <w:lang w:val="en-IE"/>
              </w:rPr>
              <w:t> </w:t>
            </w:r>
            <w:r w:rsidRPr="002D1A58">
              <w:rPr>
                <w:b/>
                <w:noProof/>
                <w:lang w:val="en-IE"/>
              </w:rPr>
              <w:t>100%</w:t>
            </w:r>
          </w:p>
        </w:tc>
        <w:tc>
          <w:tcPr>
            <w:tcW w:w="1518" w:type="dxa"/>
          </w:tcPr>
          <w:p w14:paraId="154897CD" w14:textId="77777777" w:rsidR="00D40083" w:rsidRPr="002D1A58" w:rsidRDefault="00D40083" w:rsidP="00AF1C52">
            <w:pPr>
              <w:jc w:val="center"/>
              <w:rPr>
                <w:noProof/>
                <w:lang w:val="en-IE"/>
              </w:rPr>
            </w:pPr>
            <w:r w:rsidRPr="002D1A58">
              <w:rPr>
                <w:rFonts w:asciiTheme="minorHAnsi" w:eastAsiaTheme="minorEastAsia" w:hAnsiTheme="minorHAnsi"/>
                <w:noProof/>
                <w:lang w:val="en-IE" w:eastAsia="en-GB"/>
              </w:rPr>
              <w:t>66.5 million in 2023</w:t>
            </w:r>
          </w:p>
        </w:tc>
        <w:tc>
          <w:tcPr>
            <w:tcW w:w="1557" w:type="dxa"/>
          </w:tcPr>
          <w:p w14:paraId="1CF45051" w14:textId="77777777" w:rsidR="00D40083" w:rsidRPr="002D1A58" w:rsidRDefault="00D40083" w:rsidP="00AF1C52">
            <w:pPr>
              <w:jc w:val="center"/>
              <w:rPr>
                <w:noProof/>
                <w:lang w:val="en-IE"/>
              </w:rPr>
            </w:pPr>
            <w:r w:rsidRPr="002D1A58">
              <w:rPr>
                <w:noProof/>
                <w:lang w:val="en-IE"/>
              </w:rPr>
              <w:t>52.0</w:t>
            </w:r>
            <w:r w:rsidRPr="002D1A58">
              <w:rPr>
                <w:rFonts w:ascii="Calibri" w:hAnsi="Calibri" w:cs="Calibri"/>
                <w:noProof/>
                <w:lang w:val="en-IE"/>
              </w:rPr>
              <w:t> </w:t>
            </w:r>
            <w:r w:rsidRPr="002D1A58">
              <w:rPr>
                <w:noProof/>
                <w:lang w:val="en-IE"/>
              </w:rPr>
              <w:t>million (estimated result: 88.0</w:t>
            </w:r>
            <w:r w:rsidRPr="002D1A58">
              <w:rPr>
                <w:rFonts w:ascii="Calibri" w:hAnsi="Calibri" w:cs="Calibri"/>
                <w:noProof/>
                <w:lang w:val="en-IE"/>
              </w:rPr>
              <w:t> </w:t>
            </w:r>
            <w:r w:rsidRPr="002D1A58">
              <w:rPr>
                <w:noProof/>
                <w:lang w:val="en-IE"/>
              </w:rPr>
              <w:t>million) out of 66.5</w:t>
            </w:r>
            <w:r w:rsidRPr="002D1A58">
              <w:rPr>
                <w:rFonts w:ascii="Calibri" w:hAnsi="Calibri" w:cs="Calibri"/>
                <w:noProof/>
                <w:lang w:val="en-IE"/>
              </w:rPr>
              <w:t> </w:t>
            </w:r>
            <w:r w:rsidRPr="002D1A58">
              <w:rPr>
                <w:noProof/>
                <w:lang w:val="en-IE"/>
              </w:rPr>
              <w:t xml:space="preserve">million </w:t>
            </w:r>
          </w:p>
        </w:tc>
        <w:tc>
          <w:tcPr>
            <w:tcW w:w="1564" w:type="dxa"/>
          </w:tcPr>
          <w:p w14:paraId="63B9F9C8" w14:textId="77777777" w:rsidR="00D40083" w:rsidRPr="002D1A58" w:rsidRDefault="00D40083" w:rsidP="00AF1C52">
            <w:pPr>
              <w:jc w:val="center"/>
              <w:rPr>
                <w:noProof/>
                <w:lang w:val="en-IE"/>
              </w:rPr>
            </w:pPr>
            <w:r>
              <w:rPr>
                <w:noProof/>
                <w:lang w:val="en-IE"/>
              </w:rPr>
              <w:t>On track</w:t>
            </w:r>
          </w:p>
        </w:tc>
      </w:tr>
      <w:tr w:rsidR="00D40083" w:rsidRPr="002D1A58" w14:paraId="12557F8A" w14:textId="77777777" w:rsidTr="00AF1C52">
        <w:trPr>
          <w:cnfStyle w:val="000000100000" w:firstRow="0" w:lastRow="0" w:firstColumn="0" w:lastColumn="0" w:oddVBand="0" w:evenVBand="0" w:oddHBand="1" w:evenHBand="0" w:firstRowFirstColumn="0" w:firstRowLastColumn="0" w:lastRowFirstColumn="0" w:lastRowLastColumn="0"/>
        </w:trPr>
        <w:tc>
          <w:tcPr>
            <w:tcW w:w="2398" w:type="dxa"/>
          </w:tcPr>
          <w:p w14:paraId="38EC9FB1" w14:textId="77777777" w:rsidR="00D40083" w:rsidRPr="002D1A58" w:rsidRDefault="00D40083" w:rsidP="00AF1C52">
            <w:pPr>
              <w:rPr>
                <w:noProof/>
                <w:lang w:val="en-IE"/>
              </w:rPr>
            </w:pPr>
            <w:r w:rsidRPr="002D1A58">
              <w:rPr>
                <w:noProof/>
                <w:lang w:val="en-IE"/>
              </w:rPr>
              <w:t>Additional capacity of renewable energy production (ERDF</w:t>
            </w:r>
            <w:r w:rsidRPr="002D1A58">
              <w:rPr>
                <w:rFonts w:ascii="Calibri" w:hAnsi="Calibri" w:cs="Calibri"/>
                <w:noProof/>
                <w:lang w:val="en-IE"/>
              </w:rPr>
              <w:t> </w:t>
            </w:r>
            <w:r w:rsidRPr="002D1A58">
              <w:rPr>
                <w:noProof/>
                <w:lang w:val="en-IE"/>
              </w:rPr>
              <w:t>+</w:t>
            </w:r>
            <w:r w:rsidRPr="002D1A58">
              <w:rPr>
                <w:rFonts w:ascii="Calibri" w:hAnsi="Calibri" w:cs="Calibri"/>
                <w:noProof/>
                <w:lang w:val="en-IE"/>
              </w:rPr>
              <w:t> </w:t>
            </w:r>
            <w:r w:rsidRPr="002D1A58">
              <w:rPr>
                <w:noProof/>
                <w:lang w:val="en-IE"/>
              </w:rPr>
              <w:t>CF)</w:t>
            </w:r>
          </w:p>
        </w:tc>
        <w:tc>
          <w:tcPr>
            <w:tcW w:w="1090" w:type="dxa"/>
          </w:tcPr>
          <w:p w14:paraId="68B72948" w14:textId="77777777" w:rsidR="00D40083" w:rsidRPr="002D1A58" w:rsidRDefault="00D40083" w:rsidP="00AF1C52">
            <w:pPr>
              <w:jc w:val="center"/>
              <w:rPr>
                <w:noProof/>
                <w:lang w:val="en-IE"/>
              </w:rPr>
            </w:pPr>
            <w:r w:rsidRPr="002D1A58">
              <w:rPr>
                <w:noProof/>
                <w:lang w:val="en-IE"/>
              </w:rPr>
              <w:t>0</w:t>
            </w:r>
          </w:p>
        </w:tc>
        <w:tc>
          <w:tcPr>
            <w:tcW w:w="1512" w:type="dxa"/>
          </w:tcPr>
          <w:p w14:paraId="55B7A325" w14:textId="77777777" w:rsidR="00D40083" w:rsidRPr="002D1A58" w:rsidRDefault="00D40083" w:rsidP="00AF1C52">
            <w:pPr>
              <w:jc w:val="center"/>
              <w:rPr>
                <w:b/>
                <w:noProof/>
                <w:lang w:val="en-IE"/>
              </w:rPr>
            </w:pPr>
            <w:r w:rsidRPr="002D1A58">
              <w:rPr>
                <w:b/>
                <w:noProof/>
                <w:lang w:val="en-IE"/>
              </w:rPr>
              <w:t>41%</w:t>
            </w:r>
          </w:p>
          <w:p w14:paraId="00FAA32E" w14:textId="77777777" w:rsidR="00D40083" w:rsidRPr="002D1A58" w:rsidRDefault="00D40083" w:rsidP="00AF1C52">
            <w:pPr>
              <w:jc w:val="center"/>
              <w:rPr>
                <w:b/>
                <w:noProof/>
                <w:lang w:val="en-IE"/>
              </w:rPr>
            </w:pPr>
            <w:r w:rsidRPr="002D1A58">
              <w:rPr>
                <w:b/>
                <w:noProof/>
                <w:lang w:val="en-IE"/>
              </w:rPr>
              <w:t>Estimated: &gt;</w:t>
            </w:r>
            <w:r w:rsidRPr="002D1A58">
              <w:rPr>
                <w:rFonts w:ascii="Calibri" w:hAnsi="Calibri" w:cs="Calibri"/>
                <w:b/>
                <w:noProof/>
                <w:lang w:val="en-IE"/>
              </w:rPr>
              <w:t> </w:t>
            </w:r>
            <w:r w:rsidRPr="002D1A58">
              <w:rPr>
                <w:b/>
                <w:noProof/>
                <w:lang w:val="en-IE"/>
              </w:rPr>
              <w:t>100%</w:t>
            </w:r>
          </w:p>
        </w:tc>
        <w:tc>
          <w:tcPr>
            <w:tcW w:w="1518" w:type="dxa"/>
          </w:tcPr>
          <w:p w14:paraId="2A52BBEF" w14:textId="77777777" w:rsidR="00D40083" w:rsidRPr="002D1A58" w:rsidRDefault="00D40083" w:rsidP="00AF1C52">
            <w:pPr>
              <w:jc w:val="center"/>
              <w:rPr>
                <w:noProof/>
                <w:lang w:val="en-IE"/>
              </w:rPr>
            </w:pPr>
            <w:r w:rsidRPr="002D1A58">
              <w:rPr>
                <w:rFonts w:asciiTheme="minorHAnsi" w:eastAsiaTheme="minorEastAsia" w:hAnsiTheme="minorHAnsi"/>
                <w:noProof/>
                <w:lang w:val="en-IE" w:eastAsia="en-GB"/>
              </w:rPr>
              <w:t xml:space="preserve">6 699 in 2023 </w:t>
            </w:r>
          </w:p>
        </w:tc>
        <w:tc>
          <w:tcPr>
            <w:tcW w:w="1557" w:type="dxa"/>
          </w:tcPr>
          <w:p w14:paraId="43007759" w14:textId="77777777" w:rsidR="00D40083" w:rsidRPr="002D1A58" w:rsidRDefault="00D40083" w:rsidP="00AF1C52">
            <w:pPr>
              <w:jc w:val="center"/>
              <w:rPr>
                <w:noProof/>
                <w:lang w:val="en-IE"/>
              </w:rPr>
            </w:pPr>
            <w:r w:rsidRPr="002D1A58">
              <w:rPr>
                <w:noProof/>
                <w:lang w:val="en-IE"/>
              </w:rPr>
              <w:t>2</w:t>
            </w:r>
            <w:r w:rsidRPr="002D1A58">
              <w:rPr>
                <w:rFonts w:ascii="Calibri" w:hAnsi="Calibri" w:cs="Calibri"/>
                <w:noProof/>
                <w:lang w:val="en-IE"/>
              </w:rPr>
              <w:t> </w:t>
            </w:r>
            <w:r w:rsidRPr="002D1A58">
              <w:rPr>
                <w:noProof/>
                <w:lang w:val="en-IE"/>
              </w:rPr>
              <w:t>735 (estimated result: 7</w:t>
            </w:r>
            <w:r w:rsidRPr="002D1A58">
              <w:rPr>
                <w:rFonts w:ascii="Calibri" w:hAnsi="Calibri" w:cs="Calibri"/>
                <w:noProof/>
                <w:lang w:val="en-IE"/>
              </w:rPr>
              <w:t> </w:t>
            </w:r>
            <w:r w:rsidRPr="002D1A58">
              <w:rPr>
                <w:noProof/>
                <w:lang w:val="en-IE"/>
              </w:rPr>
              <w:t>387) out of 6</w:t>
            </w:r>
            <w:r w:rsidRPr="002D1A58">
              <w:rPr>
                <w:rFonts w:ascii="Calibri" w:hAnsi="Calibri" w:cs="Calibri"/>
                <w:noProof/>
                <w:lang w:val="en-IE"/>
              </w:rPr>
              <w:t> </w:t>
            </w:r>
            <w:r w:rsidRPr="002D1A58">
              <w:rPr>
                <w:noProof/>
                <w:lang w:val="en-IE"/>
              </w:rPr>
              <w:t xml:space="preserve">699 </w:t>
            </w:r>
          </w:p>
        </w:tc>
        <w:tc>
          <w:tcPr>
            <w:tcW w:w="1564" w:type="dxa"/>
          </w:tcPr>
          <w:p w14:paraId="03EF672B" w14:textId="73D1E3F7" w:rsidR="00D40083" w:rsidRPr="002D1A58" w:rsidRDefault="00DC6073" w:rsidP="00AF1C52">
            <w:pPr>
              <w:jc w:val="center"/>
              <w:rPr>
                <w:noProof/>
                <w:lang w:val="en-IE"/>
              </w:rPr>
            </w:pPr>
            <w:r>
              <w:rPr>
                <w:noProof/>
                <w:lang w:val="en-IE"/>
              </w:rPr>
              <w:t>On track</w:t>
            </w:r>
          </w:p>
        </w:tc>
      </w:tr>
      <w:tr w:rsidR="00D40083" w:rsidRPr="002D1A58" w14:paraId="4F8803D1" w14:textId="77777777" w:rsidTr="00AF1C52">
        <w:trPr>
          <w:cnfStyle w:val="000000010000" w:firstRow="0" w:lastRow="0" w:firstColumn="0" w:lastColumn="0" w:oddVBand="0" w:evenVBand="0" w:oddHBand="0" w:evenHBand="1" w:firstRowFirstColumn="0" w:firstRowLastColumn="0" w:lastRowFirstColumn="0" w:lastRowLastColumn="0"/>
        </w:trPr>
        <w:tc>
          <w:tcPr>
            <w:tcW w:w="2398" w:type="dxa"/>
          </w:tcPr>
          <w:p w14:paraId="750A9D55" w14:textId="77777777" w:rsidR="00D40083" w:rsidRPr="002D1A58" w:rsidRDefault="00D40083" w:rsidP="00AF1C52">
            <w:pPr>
              <w:rPr>
                <w:noProof/>
                <w:lang w:val="en-IE"/>
              </w:rPr>
            </w:pPr>
            <w:r w:rsidRPr="002D1A58">
              <w:rPr>
                <w:noProof/>
                <w:lang w:val="en-IE"/>
              </w:rPr>
              <w:t>Population benefiting from forest fire protection measures (ERDF</w:t>
            </w:r>
            <w:r w:rsidRPr="002D1A58">
              <w:rPr>
                <w:rFonts w:ascii="Calibri" w:hAnsi="Calibri" w:cs="Calibri"/>
                <w:noProof/>
                <w:lang w:val="en-IE"/>
              </w:rPr>
              <w:t> </w:t>
            </w:r>
            <w:r w:rsidRPr="002D1A58">
              <w:rPr>
                <w:noProof/>
                <w:lang w:val="en-IE"/>
              </w:rPr>
              <w:t>+</w:t>
            </w:r>
            <w:r w:rsidRPr="002D1A58">
              <w:rPr>
                <w:rFonts w:ascii="Calibri" w:hAnsi="Calibri" w:cs="Calibri"/>
                <w:noProof/>
                <w:lang w:val="en-IE"/>
              </w:rPr>
              <w:t> </w:t>
            </w:r>
            <w:r w:rsidRPr="002D1A58">
              <w:rPr>
                <w:noProof/>
                <w:lang w:val="en-IE"/>
              </w:rPr>
              <w:t>CF)</w:t>
            </w:r>
          </w:p>
        </w:tc>
        <w:tc>
          <w:tcPr>
            <w:tcW w:w="1090" w:type="dxa"/>
          </w:tcPr>
          <w:p w14:paraId="3342BBAB" w14:textId="77777777" w:rsidR="00D40083" w:rsidRPr="002D1A58" w:rsidRDefault="00D40083" w:rsidP="00AF1C52">
            <w:pPr>
              <w:jc w:val="center"/>
              <w:rPr>
                <w:noProof/>
                <w:lang w:val="en-IE"/>
              </w:rPr>
            </w:pPr>
            <w:r w:rsidRPr="002D1A58">
              <w:rPr>
                <w:noProof/>
                <w:lang w:val="en-IE"/>
              </w:rPr>
              <w:t>0</w:t>
            </w:r>
          </w:p>
        </w:tc>
        <w:tc>
          <w:tcPr>
            <w:tcW w:w="1512" w:type="dxa"/>
          </w:tcPr>
          <w:p w14:paraId="22265747" w14:textId="77777777" w:rsidR="00D40083" w:rsidRPr="002D1A58" w:rsidRDefault="00D40083" w:rsidP="00AF1C52">
            <w:pPr>
              <w:jc w:val="center"/>
              <w:rPr>
                <w:b/>
                <w:noProof/>
                <w:lang w:val="en-IE"/>
              </w:rPr>
            </w:pPr>
            <w:r w:rsidRPr="002D1A58">
              <w:rPr>
                <w:b/>
                <w:noProof/>
                <w:lang w:val="en-IE"/>
              </w:rPr>
              <w:t>54%</w:t>
            </w:r>
          </w:p>
          <w:p w14:paraId="33EF1590" w14:textId="77777777" w:rsidR="00D40083" w:rsidRPr="002D1A58" w:rsidRDefault="00D40083" w:rsidP="00AF1C52">
            <w:pPr>
              <w:jc w:val="center"/>
              <w:rPr>
                <w:b/>
                <w:noProof/>
                <w:lang w:val="en-IE"/>
              </w:rPr>
            </w:pPr>
            <w:r w:rsidRPr="002D1A58">
              <w:rPr>
                <w:b/>
                <w:noProof/>
                <w:lang w:val="en-IE"/>
              </w:rPr>
              <w:t>Estimated: &gt;</w:t>
            </w:r>
            <w:r w:rsidRPr="002D1A58">
              <w:rPr>
                <w:rFonts w:ascii="Calibri" w:hAnsi="Calibri" w:cs="Calibri"/>
                <w:b/>
                <w:noProof/>
                <w:lang w:val="en-IE"/>
              </w:rPr>
              <w:t> </w:t>
            </w:r>
            <w:r w:rsidRPr="002D1A58">
              <w:rPr>
                <w:b/>
                <w:noProof/>
                <w:lang w:val="en-IE"/>
              </w:rPr>
              <w:t>100%</w:t>
            </w:r>
          </w:p>
        </w:tc>
        <w:tc>
          <w:tcPr>
            <w:tcW w:w="1518" w:type="dxa"/>
          </w:tcPr>
          <w:p w14:paraId="761AF5D3" w14:textId="77777777" w:rsidR="00D40083" w:rsidRPr="002D1A58" w:rsidRDefault="00D40083" w:rsidP="00AF1C52">
            <w:pPr>
              <w:jc w:val="center"/>
              <w:rPr>
                <w:noProof/>
                <w:lang w:val="en-IE"/>
              </w:rPr>
            </w:pPr>
            <w:r w:rsidRPr="002D1A58">
              <w:rPr>
                <w:rFonts w:asciiTheme="minorHAnsi" w:eastAsiaTheme="minorEastAsia" w:hAnsiTheme="minorHAnsi"/>
                <w:noProof/>
                <w:lang w:val="en-IE" w:eastAsia="en-GB"/>
              </w:rPr>
              <w:t>29.7 million in 2023</w:t>
            </w:r>
          </w:p>
        </w:tc>
        <w:tc>
          <w:tcPr>
            <w:tcW w:w="1557" w:type="dxa"/>
          </w:tcPr>
          <w:p w14:paraId="0355888E" w14:textId="77777777" w:rsidR="00D40083" w:rsidRPr="002D1A58" w:rsidRDefault="00D40083" w:rsidP="00AF1C52">
            <w:pPr>
              <w:jc w:val="center"/>
              <w:rPr>
                <w:noProof/>
                <w:lang w:val="en-IE"/>
              </w:rPr>
            </w:pPr>
            <w:r w:rsidRPr="002D1A58">
              <w:rPr>
                <w:noProof/>
                <w:lang w:val="en-IE"/>
              </w:rPr>
              <w:t>16.1</w:t>
            </w:r>
            <w:r w:rsidRPr="002D1A58">
              <w:rPr>
                <w:rFonts w:ascii="Calibri" w:hAnsi="Calibri" w:cs="Calibri"/>
                <w:noProof/>
                <w:lang w:val="en-IE"/>
              </w:rPr>
              <w:t> </w:t>
            </w:r>
            <w:r w:rsidRPr="002D1A58">
              <w:rPr>
                <w:noProof/>
                <w:lang w:val="en-IE"/>
              </w:rPr>
              <w:t>million (estimated result: 35.1</w:t>
            </w:r>
            <w:r w:rsidRPr="002D1A58">
              <w:rPr>
                <w:rFonts w:ascii="Calibri" w:hAnsi="Calibri" w:cs="Calibri"/>
                <w:noProof/>
                <w:lang w:val="en-IE"/>
              </w:rPr>
              <w:t> </w:t>
            </w:r>
            <w:r w:rsidRPr="002D1A58">
              <w:rPr>
                <w:noProof/>
                <w:lang w:val="en-IE"/>
              </w:rPr>
              <w:t>million) out of 29.7</w:t>
            </w:r>
            <w:r w:rsidRPr="002D1A58">
              <w:rPr>
                <w:rFonts w:ascii="Calibri" w:hAnsi="Calibri" w:cs="Calibri"/>
                <w:noProof/>
                <w:lang w:val="en-IE"/>
              </w:rPr>
              <w:t> </w:t>
            </w:r>
            <w:r w:rsidRPr="002D1A58">
              <w:rPr>
                <w:noProof/>
                <w:lang w:val="en-IE"/>
              </w:rPr>
              <w:t>million</w:t>
            </w:r>
          </w:p>
        </w:tc>
        <w:tc>
          <w:tcPr>
            <w:tcW w:w="1564" w:type="dxa"/>
          </w:tcPr>
          <w:p w14:paraId="03646E74" w14:textId="77777777" w:rsidR="00D40083" w:rsidRPr="002D1A58" w:rsidRDefault="00D40083" w:rsidP="00AF1C52">
            <w:pPr>
              <w:jc w:val="center"/>
              <w:rPr>
                <w:noProof/>
                <w:lang w:val="en-IE"/>
              </w:rPr>
            </w:pPr>
            <w:r w:rsidRPr="002D1A58">
              <w:rPr>
                <w:noProof/>
                <w:lang w:val="en-IE"/>
              </w:rPr>
              <w:t>On track</w:t>
            </w:r>
          </w:p>
          <w:p w14:paraId="3EEE1AD4" w14:textId="77777777" w:rsidR="00D40083" w:rsidRPr="002D1A58" w:rsidRDefault="00D40083" w:rsidP="00AF1C52">
            <w:pPr>
              <w:jc w:val="center"/>
              <w:rPr>
                <w:noProof/>
                <w:lang w:val="en-IE"/>
              </w:rPr>
            </w:pPr>
          </w:p>
        </w:tc>
      </w:tr>
      <w:tr w:rsidR="00D40083" w:rsidRPr="002D1A58" w14:paraId="0ED49CE4" w14:textId="77777777" w:rsidTr="00AF1C52">
        <w:trPr>
          <w:cnfStyle w:val="000000100000" w:firstRow="0" w:lastRow="0" w:firstColumn="0" w:lastColumn="0" w:oddVBand="0" w:evenVBand="0" w:oddHBand="1" w:evenHBand="0" w:firstRowFirstColumn="0" w:firstRowLastColumn="0" w:lastRowFirstColumn="0" w:lastRowLastColumn="0"/>
        </w:trPr>
        <w:tc>
          <w:tcPr>
            <w:tcW w:w="2398" w:type="dxa"/>
          </w:tcPr>
          <w:p w14:paraId="300749BC" w14:textId="77777777" w:rsidR="00D40083" w:rsidRPr="002D1A58" w:rsidRDefault="00D40083" w:rsidP="00AF1C52">
            <w:pPr>
              <w:rPr>
                <w:noProof/>
                <w:lang w:val="en-IE"/>
              </w:rPr>
            </w:pPr>
            <w:r w:rsidRPr="002D1A58">
              <w:rPr>
                <w:noProof/>
                <w:lang w:val="en-IE"/>
              </w:rPr>
              <w:t>Households with an improved energy consumption classification (ERDF</w:t>
            </w:r>
            <w:r w:rsidRPr="002D1A58">
              <w:rPr>
                <w:rFonts w:ascii="Calibri" w:hAnsi="Calibri" w:cs="Calibri"/>
                <w:noProof/>
                <w:lang w:val="en-IE"/>
              </w:rPr>
              <w:t> </w:t>
            </w:r>
            <w:r w:rsidRPr="002D1A58">
              <w:rPr>
                <w:noProof/>
                <w:lang w:val="en-IE"/>
              </w:rPr>
              <w:t>+</w:t>
            </w:r>
            <w:r w:rsidRPr="002D1A58">
              <w:rPr>
                <w:rFonts w:ascii="Calibri" w:hAnsi="Calibri" w:cs="Calibri"/>
                <w:noProof/>
                <w:lang w:val="en-IE"/>
              </w:rPr>
              <w:t> </w:t>
            </w:r>
            <w:r w:rsidRPr="002D1A58">
              <w:rPr>
                <w:noProof/>
                <w:lang w:val="en-IE"/>
              </w:rPr>
              <w:t>CF)</w:t>
            </w:r>
          </w:p>
        </w:tc>
        <w:tc>
          <w:tcPr>
            <w:tcW w:w="1090" w:type="dxa"/>
          </w:tcPr>
          <w:p w14:paraId="22A47EDA" w14:textId="77777777" w:rsidR="00D40083" w:rsidRPr="002D1A58" w:rsidRDefault="00D40083" w:rsidP="00AF1C52">
            <w:pPr>
              <w:jc w:val="center"/>
              <w:rPr>
                <w:noProof/>
                <w:lang w:val="en-IE"/>
              </w:rPr>
            </w:pPr>
            <w:r w:rsidRPr="002D1A58">
              <w:rPr>
                <w:noProof/>
                <w:lang w:val="en-IE"/>
              </w:rPr>
              <w:t>0</w:t>
            </w:r>
          </w:p>
        </w:tc>
        <w:tc>
          <w:tcPr>
            <w:tcW w:w="1512" w:type="dxa"/>
          </w:tcPr>
          <w:p w14:paraId="1BA32499" w14:textId="77777777" w:rsidR="00D40083" w:rsidRPr="002D1A58" w:rsidRDefault="00D40083" w:rsidP="00AF1C52">
            <w:pPr>
              <w:jc w:val="center"/>
              <w:rPr>
                <w:b/>
                <w:noProof/>
                <w:lang w:val="en-IE"/>
              </w:rPr>
            </w:pPr>
            <w:r w:rsidRPr="002D1A58">
              <w:rPr>
                <w:b/>
                <w:noProof/>
                <w:lang w:val="en-IE"/>
              </w:rPr>
              <w:t>59%</w:t>
            </w:r>
          </w:p>
          <w:p w14:paraId="5CBFCC49" w14:textId="77777777" w:rsidR="00D40083" w:rsidRPr="002D1A58" w:rsidRDefault="00D40083" w:rsidP="00AF1C52">
            <w:pPr>
              <w:jc w:val="center"/>
              <w:rPr>
                <w:b/>
                <w:noProof/>
                <w:lang w:val="en-IE"/>
              </w:rPr>
            </w:pPr>
            <w:r w:rsidRPr="002D1A58">
              <w:rPr>
                <w:b/>
                <w:noProof/>
                <w:lang w:val="en-IE"/>
              </w:rPr>
              <w:t>Estimated: &gt;</w:t>
            </w:r>
            <w:r w:rsidRPr="002D1A58">
              <w:rPr>
                <w:rFonts w:ascii="Calibri" w:hAnsi="Calibri" w:cs="Calibri"/>
                <w:b/>
                <w:noProof/>
                <w:lang w:val="en-IE"/>
              </w:rPr>
              <w:t> </w:t>
            </w:r>
            <w:r w:rsidRPr="002D1A58">
              <w:rPr>
                <w:b/>
                <w:noProof/>
                <w:lang w:val="en-IE"/>
              </w:rPr>
              <w:t>100%</w:t>
            </w:r>
          </w:p>
        </w:tc>
        <w:tc>
          <w:tcPr>
            <w:tcW w:w="1518" w:type="dxa"/>
          </w:tcPr>
          <w:p w14:paraId="450CEA08" w14:textId="77777777" w:rsidR="00D40083" w:rsidRPr="002D1A58" w:rsidRDefault="00D40083" w:rsidP="00AF1C52">
            <w:pPr>
              <w:jc w:val="center"/>
              <w:rPr>
                <w:noProof/>
                <w:lang w:val="en-IE"/>
              </w:rPr>
            </w:pPr>
            <w:r w:rsidRPr="002D1A58">
              <w:rPr>
                <w:rFonts w:asciiTheme="minorHAnsi" w:eastAsiaTheme="minorEastAsia" w:hAnsiTheme="minorHAnsi"/>
                <w:noProof/>
                <w:lang w:val="en-IE" w:eastAsia="en-GB"/>
              </w:rPr>
              <w:t>603 300 in 2023</w:t>
            </w:r>
          </w:p>
          <w:p w14:paraId="1B7B02C2" w14:textId="77777777" w:rsidR="00D40083" w:rsidRPr="002D1A58" w:rsidRDefault="00D40083" w:rsidP="00AF1C52">
            <w:pPr>
              <w:jc w:val="center"/>
              <w:rPr>
                <w:noProof/>
                <w:lang w:val="en-IE"/>
              </w:rPr>
            </w:pPr>
          </w:p>
        </w:tc>
        <w:tc>
          <w:tcPr>
            <w:tcW w:w="1557" w:type="dxa"/>
          </w:tcPr>
          <w:p w14:paraId="59259BC0" w14:textId="77777777" w:rsidR="00D40083" w:rsidRPr="002D1A58" w:rsidRDefault="00D40083" w:rsidP="00AF1C52">
            <w:pPr>
              <w:jc w:val="center"/>
              <w:rPr>
                <w:noProof/>
                <w:lang w:val="en-IE"/>
              </w:rPr>
            </w:pPr>
            <w:r w:rsidRPr="002D1A58">
              <w:rPr>
                <w:noProof/>
                <w:lang w:val="en-IE"/>
              </w:rPr>
              <w:t>357</w:t>
            </w:r>
            <w:r w:rsidRPr="002D1A58">
              <w:rPr>
                <w:rFonts w:ascii="Calibri" w:hAnsi="Calibri" w:cs="Calibri"/>
                <w:noProof/>
                <w:lang w:val="en-IE"/>
              </w:rPr>
              <w:t> </w:t>
            </w:r>
            <w:r w:rsidRPr="002D1A58">
              <w:rPr>
                <w:noProof/>
                <w:lang w:val="en-IE"/>
              </w:rPr>
              <w:t>850 (estimated result: 663</w:t>
            </w:r>
            <w:r w:rsidRPr="002D1A58">
              <w:rPr>
                <w:rFonts w:ascii="Calibri" w:hAnsi="Calibri" w:cs="Calibri"/>
                <w:noProof/>
                <w:lang w:val="en-IE"/>
              </w:rPr>
              <w:t> </w:t>
            </w:r>
            <w:r w:rsidRPr="002D1A58">
              <w:rPr>
                <w:noProof/>
                <w:lang w:val="en-IE"/>
              </w:rPr>
              <w:t>000) out of 603</w:t>
            </w:r>
            <w:r w:rsidRPr="002D1A58">
              <w:rPr>
                <w:rFonts w:ascii="Calibri" w:hAnsi="Calibri" w:cs="Calibri"/>
                <w:noProof/>
                <w:lang w:val="en-IE"/>
              </w:rPr>
              <w:t> </w:t>
            </w:r>
            <w:r w:rsidRPr="002D1A58">
              <w:rPr>
                <w:noProof/>
                <w:lang w:val="en-IE"/>
              </w:rPr>
              <w:t xml:space="preserve">300 </w:t>
            </w:r>
          </w:p>
        </w:tc>
        <w:tc>
          <w:tcPr>
            <w:tcW w:w="1564" w:type="dxa"/>
          </w:tcPr>
          <w:p w14:paraId="12D4F556" w14:textId="77777777" w:rsidR="00D40083" w:rsidRPr="002D1A58" w:rsidRDefault="00D40083" w:rsidP="00AF1C52">
            <w:pPr>
              <w:jc w:val="center"/>
              <w:rPr>
                <w:noProof/>
                <w:lang w:val="en-IE"/>
              </w:rPr>
            </w:pPr>
            <w:r w:rsidRPr="002D1A58">
              <w:rPr>
                <w:noProof/>
                <w:lang w:val="en-IE"/>
              </w:rPr>
              <w:t>On track</w:t>
            </w:r>
          </w:p>
        </w:tc>
      </w:tr>
      <w:tr w:rsidR="00D40083" w:rsidRPr="002D1A58" w14:paraId="40643690" w14:textId="77777777" w:rsidTr="00AF1C52">
        <w:trPr>
          <w:cnfStyle w:val="000000010000" w:firstRow="0" w:lastRow="0" w:firstColumn="0" w:lastColumn="0" w:oddVBand="0" w:evenVBand="0" w:oddHBand="0" w:evenHBand="1" w:firstRowFirstColumn="0" w:firstRowLastColumn="0" w:lastRowFirstColumn="0" w:lastRowLastColumn="0"/>
        </w:trPr>
        <w:tc>
          <w:tcPr>
            <w:tcW w:w="2398" w:type="dxa"/>
          </w:tcPr>
          <w:p w14:paraId="0D939698" w14:textId="77777777" w:rsidR="00D40083" w:rsidRPr="002D1A58" w:rsidRDefault="00D40083" w:rsidP="00AF1C52">
            <w:pPr>
              <w:rPr>
                <w:noProof/>
                <w:lang w:val="en-IE"/>
              </w:rPr>
            </w:pPr>
            <w:r w:rsidRPr="002D1A58">
              <w:rPr>
                <w:noProof/>
                <w:lang w:val="en-IE"/>
              </w:rPr>
              <w:t>Trans-European transport networks</w:t>
            </w:r>
            <w:r w:rsidRPr="002D1A58">
              <w:rPr>
                <w:rFonts w:ascii="Calibri" w:hAnsi="Calibri" w:cs="Calibri"/>
                <w:noProof/>
                <w:lang w:val="en-IE"/>
              </w:rPr>
              <w:t> –</w:t>
            </w:r>
            <w:r w:rsidRPr="002D1A58">
              <w:rPr>
                <w:noProof/>
                <w:lang w:val="en-IE"/>
              </w:rPr>
              <w:t xml:space="preserve"> total length of new and reconstructed railway lines (ERDF</w:t>
            </w:r>
            <w:r w:rsidRPr="002D1A58">
              <w:rPr>
                <w:rFonts w:ascii="Calibri" w:hAnsi="Calibri" w:cs="Calibri"/>
                <w:noProof/>
                <w:lang w:val="en-IE"/>
              </w:rPr>
              <w:t> </w:t>
            </w:r>
            <w:r w:rsidRPr="002D1A58">
              <w:rPr>
                <w:noProof/>
                <w:lang w:val="en-IE"/>
              </w:rPr>
              <w:t>+</w:t>
            </w:r>
            <w:r w:rsidRPr="002D1A58">
              <w:rPr>
                <w:rFonts w:ascii="Calibri" w:hAnsi="Calibri" w:cs="Calibri"/>
                <w:noProof/>
                <w:lang w:val="en-IE"/>
              </w:rPr>
              <w:t> </w:t>
            </w:r>
            <w:r w:rsidRPr="002D1A58">
              <w:rPr>
                <w:noProof/>
                <w:lang w:val="en-IE"/>
              </w:rPr>
              <w:t>CF)</w:t>
            </w:r>
          </w:p>
        </w:tc>
        <w:tc>
          <w:tcPr>
            <w:tcW w:w="1090" w:type="dxa"/>
          </w:tcPr>
          <w:p w14:paraId="72050ECC" w14:textId="77777777" w:rsidR="00D40083" w:rsidRPr="002D1A58" w:rsidRDefault="00D40083" w:rsidP="00AF1C52">
            <w:pPr>
              <w:jc w:val="center"/>
              <w:rPr>
                <w:noProof/>
                <w:lang w:val="en-IE"/>
              </w:rPr>
            </w:pPr>
            <w:r w:rsidRPr="002D1A58">
              <w:rPr>
                <w:noProof/>
                <w:lang w:val="en-IE"/>
              </w:rPr>
              <w:t>0</w:t>
            </w:r>
          </w:p>
        </w:tc>
        <w:tc>
          <w:tcPr>
            <w:tcW w:w="1512" w:type="dxa"/>
          </w:tcPr>
          <w:p w14:paraId="4715902F" w14:textId="77777777" w:rsidR="00D40083" w:rsidRPr="002D1A58" w:rsidRDefault="00D40083" w:rsidP="00AF1C52">
            <w:pPr>
              <w:jc w:val="center"/>
              <w:rPr>
                <w:b/>
                <w:noProof/>
                <w:lang w:val="en-IE"/>
              </w:rPr>
            </w:pPr>
            <w:r w:rsidRPr="002D1A58">
              <w:rPr>
                <w:b/>
                <w:noProof/>
                <w:lang w:val="en-IE"/>
              </w:rPr>
              <w:t>30%</w:t>
            </w:r>
          </w:p>
          <w:p w14:paraId="21494074" w14:textId="77777777" w:rsidR="00D40083" w:rsidRPr="002D1A58" w:rsidRDefault="00D40083" w:rsidP="00AF1C52">
            <w:pPr>
              <w:jc w:val="center"/>
              <w:rPr>
                <w:b/>
                <w:noProof/>
                <w:lang w:val="en-IE"/>
              </w:rPr>
            </w:pPr>
            <w:r w:rsidRPr="002D1A58">
              <w:rPr>
                <w:b/>
                <w:noProof/>
                <w:lang w:val="en-IE"/>
              </w:rPr>
              <w:t>Estimated: &lt;</w:t>
            </w:r>
            <w:r w:rsidRPr="002D1A58">
              <w:rPr>
                <w:rFonts w:ascii="Calibri" w:hAnsi="Calibri" w:cs="Calibri"/>
                <w:b/>
                <w:noProof/>
                <w:lang w:val="en-IE"/>
              </w:rPr>
              <w:t> </w:t>
            </w:r>
            <w:r w:rsidRPr="002D1A58">
              <w:rPr>
                <w:b/>
                <w:noProof/>
                <w:lang w:val="en-IE"/>
              </w:rPr>
              <w:t>100%</w:t>
            </w:r>
          </w:p>
        </w:tc>
        <w:tc>
          <w:tcPr>
            <w:tcW w:w="1518" w:type="dxa"/>
          </w:tcPr>
          <w:p w14:paraId="123A72C4" w14:textId="77777777" w:rsidR="00D40083" w:rsidRPr="002D1A58" w:rsidRDefault="00D40083" w:rsidP="00AF1C52">
            <w:pPr>
              <w:jc w:val="center"/>
              <w:rPr>
                <w:noProof/>
                <w:lang w:val="en-IE"/>
              </w:rPr>
            </w:pPr>
            <w:r w:rsidRPr="002D1A58">
              <w:rPr>
                <w:noProof/>
                <w:lang w:val="en-IE"/>
              </w:rPr>
              <w:t>3</w:t>
            </w:r>
            <w:r w:rsidRPr="002D1A58">
              <w:rPr>
                <w:rFonts w:ascii="Calibri" w:hAnsi="Calibri" w:cs="Calibri"/>
                <w:noProof/>
                <w:lang w:val="en-IE"/>
              </w:rPr>
              <w:t> </w:t>
            </w:r>
            <w:r w:rsidRPr="002D1A58">
              <w:rPr>
                <w:noProof/>
                <w:lang w:val="en-IE"/>
              </w:rPr>
              <w:t>639</w:t>
            </w:r>
            <w:r>
              <w:rPr>
                <w:noProof/>
                <w:lang w:val="en-IE"/>
              </w:rPr>
              <w:t xml:space="preserve"> in 2023</w:t>
            </w:r>
          </w:p>
        </w:tc>
        <w:tc>
          <w:tcPr>
            <w:tcW w:w="1557" w:type="dxa"/>
          </w:tcPr>
          <w:p w14:paraId="67518DC3" w14:textId="77777777" w:rsidR="00D40083" w:rsidRPr="002D1A58" w:rsidRDefault="00D40083" w:rsidP="00AF1C52">
            <w:pPr>
              <w:jc w:val="center"/>
              <w:rPr>
                <w:noProof/>
                <w:lang w:val="en-IE"/>
              </w:rPr>
            </w:pPr>
            <w:r w:rsidRPr="002D1A58">
              <w:rPr>
                <w:noProof/>
                <w:lang w:val="en-IE"/>
              </w:rPr>
              <w:t>1</w:t>
            </w:r>
            <w:r w:rsidRPr="002D1A58">
              <w:rPr>
                <w:rFonts w:ascii="Calibri" w:hAnsi="Calibri" w:cs="Calibri"/>
                <w:noProof/>
                <w:lang w:val="en-IE"/>
              </w:rPr>
              <w:t> </w:t>
            </w:r>
            <w:r w:rsidRPr="002D1A58">
              <w:rPr>
                <w:noProof/>
                <w:lang w:val="en-IE"/>
              </w:rPr>
              <w:t>082</w:t>
            </w:r>
            <w:r w:rsidRPr="002D1A58">
              <w:rPr>
                <w:rFonts w:ascii="Calibri" w:hAnsi="Calibri" w:cs="Calibri"/>
                <w:noProof/>
                <w:lang w:val="en-IE"/>
              </w:rPr>
              <w:t> </w:t>
            </w:r>
            <w:r w:rsidRPr="002D1A58">
              <w:rPr>
                <w:noProof/>
                <w:lang w:val="en-IE"/>
              </w:rPr>
              <w:t>km (estimated result: 3</w:t>
            </w:r>
            <w:r w:rsidRPr="002D1A58">
              <w:rPr>
                <w:rFonts w:ascii="Calibri" w:hAnsi="Calibri" w:cs="Calibri"/>
                <w:noProof/>
                <w:lang w:val="en-IE"/>
              </w:rPr>
              <w:t> </w:t>
            </w:r>
            <w:r w:rsidRPr="002D1A58">
              <w:rPr>
                <w:noProof/>
                <w:lang w:val="en-IE"/>
              </w:rPr>
              <w:t>051) out of 3</w:t>
            </w:r>
            <w:r w:rsidRPr="002D1A58">
              <w:rPr>
                <w:rFonts w:ascii="Calibri" w:hAnsi="Calibri" w:cs="Calibri"/>
                <w:noProof/>
                <w:lang w:val="en-IE"/>
              </w:rPr>
              <w:t> </w:t>
            </w:r>
            <w:r w:rsidRPr="002D1A58">
              <w:rPr>
                <w:noProof/>
                <w:lang w:val="en-IE"/>
              </w:rPr>
              <w:t xml:space="preserve">639 </w:t>
            </w:r>
          </w:p>
        </w:tc>
        <w:tc>
          <w:tcPr>
            <w:tcW w:w="1564" w:type="dxa"/>
          </w:tcPr>
          <w:p w14:paraId="3EB85366" w14:textId="5623619B" w:rsidR="00D40083" w:rsidRPr="002D1A58" w:rsidRDefault="00CF3CAF" w:rsidP="00AF1C52">
            <w:pPr>
              <w:tabs>
                <w:tab w:val="left" w:pos="550"/>
                <w:tab w:val="center" w:pos="674"/>
              </w:tabs>
              <w:jc w:val="center"/>
              <w:rPr>
                <w:noProof/>
                <w:lang w:val="en-IE"/>
              </w:rPr>
            </w:pPr>
            <w:r>
              <w:rPr>
                <w:noProof/>
                <w:lang w:val="en-IE"/>
              </w:rPr>
              <w:t>Deserves attention</w:t>
            </w:r>
            <w:r w:rsidR="00D40083" w:rsidRPr="002D1A58">
              <w:rPr>
                <w:noProof/>
                <w:lang w:val="en-IE"/>
              </w:rPr>
              <w:tab/>
            </w:r>
          </w:p>
        </w:tc>
      </w:tr>
      <w:tr w:rsidR="00D40083" w:rsidRPr="002D1A58" w14:paraId="6973DD9A" w14:textId="77777777" w:rsidTr="00AF1C52">
        <w:trPr>
          <w:cnfStyle w:val="000000100000" w:firstRow="0" w:lastRow="0" w:firstColumn="0" w:lastColumn="0" w:oddVBand="0" w:evenVBand="0" w:oddHBand="1" w:evenHBand="0" w:firstRowFirstColumn="0" w:firstRowLastColumn="0" w:lastRowFirstColumn="0" w:lastRowLastColumn="0"/>
        </w:trPr>
        <w:tc>
          <w:tcPr>
            <w:tcW w:w="2398" w:type="dxa"/>
          </w:tcPr>
          <w:p w14:paraId="5F8E093A" w14:textId="77777777" w:rsidR="00D40083" w:rsidRPr="002D1A58" w:rsidRDefault="00D40083" w:rsidP="00AF1C52">
            <w:pPr>
              <w:rPr>
                <w:noProof/>
                <w:lang w:val="en-IE"/>
              </w:rPr>
            </w:pPr>
            <w:r w:rsidRPr="002D1A58">
              <w:rPr>
                <w:noProof/>
                <w:lang w:val="en-IE"/>
              </w:rPr>
              <w:t>Total length of new or improved tram and metro lines (ERDF</w:t>
            </w:r>
            <w:r w:rsidRPr="002D1A58">
              <w:rPr>
                <w:rFonts w:ascii="Calibri" w:hAnsi="Calibri" w:cs="Calibri"/>
                <w:noProof/>
                <w:lang w:val="en-IE"/>
              </w:rPr>
              <w:t> </w:t>
            </w:r>
            <w:r w:rsidRPr="002D1A58">
              <w:rPr>
                <w:noProof/>
                <w:lang w:val="en-IE"/>
              </w:rPr>
              <w:t>+</w:t>
            </w:r>
            <w:r w:rsidRPr="002D1A58">
              <w:rPr>
                <w:rFonts w:ascii="Calibri" w:hAnsi="Calibri" w:cs="Calibri"/>
                <w:noProof/>
                <w:lang w:val="en-IE"/>
              </w:rPr>
              <w:t> </w:t>
            </w:r>
            <w:r w:rsidRPr="002D1A58">
              <w:rPr>
                <w:noProof/>
                <w:lang w:val="en-IE"/>
              </w:rPr>
              <w:t>CF)</w:t>
            </w:r>
          </w:p>
        </w:tc>
        <w:tc>
          <w:tcPr>
            <w:tcW w:w="1090" w:type="dxa"/>
          </w:tcPr>
          <w:p w14:paraId="6704EAE2" w14:textId="77777777" w:rsidR="00D40083" w:rsidRPr="002D1A58" w:rsidRDefault="00D40083" w:rsidP="00AF1C52">
            <w:pPr>
              <w:jc w:val="center"/>
              <w:rPr>
                <w:noProof/>
                <w:lang w:val="en-IE"/>
              </w:rPr>
            </w:pPr>
            <w:r w:rsidRPr="002D1A58">
              <w:rPr>
                <w:noProof/>
                <w:lang w:val="en-IE"/>
              </w:rPr>
              <w:t>0</w:t>
            </w:r>
          </w:p>
        </w:tc>
        <w:tc>
          <w:tcPr>
            <w:tcW w:w="1512" w:type="dxa"/>
          </w:tcPr>
          <w:p w14:paraId="42B3C0C2" w14:textId="77777777" w:rsidR="00D40083" w:rsidRPr="002D1A58" w:rsidRDefault="00D40083" w:rsidP="00AF1C52">
            <w:pPr>
              <w:jc w:val="center"/>
              <w:rPr>
                <w:b/>
                <w:noProof/>
                <w:lang w:val="en-IE"/>
              </w:rPr>
            </w:pPr>
            <w:r w:rsidRPr="002D1A58">
              <w:rPr>
                <w:b/>
                <w:noProof/>
                <w:lang w:val="en-IE"/>
              </w:rPr>
              <w:t>29%</w:t>
            </w:r>
          </w:p>
          <w:p w14:paraId="04F6B875" w14:textId="77777777" w:rsidR="00D40083" w:rsidRPr="002D1A58" w:rsidRDefault="00D40083" w:rsidP="00AF1C52">
            <w:pPr>
              <w:jc w:val="center"/>
              <w:rPr>
                <w:b/>
                <w:noProof/>
                <w:lang w:val="en-IE"/>
              </w:rPr>
            </w:pPr>
            <w:r w:rsidRPr="002D1A58">
              <w:rPr>
                <w:b/>
                <w:noProof/>
                <w:lang w:val="en-IE"/>
              </w:rPr>
              <w:t>Estimated: &gt;</w:t>
            </w:r>
            <w:r w:rsidRPr="002D1A58">
              <w:rPr>
                <w:rFonts w:ascii="Calibri" w:hAnsi="Calibri" w:cs="Calibri"/>
                <w:b/>
                <w:noProof/>
                <w:lang w:val="en-IE"/>
              </w:rPr>
              <w:t> </w:t>
            </w:r>
            <w:r w:rsidRPr="002D1A58">
              <w:rPr>
                <w:b/>
                <w:noProof/>
                <w:lang w:val="en-IE"/>
              </w:rPr>
              <w:t>100%</w:t>
            </w:r>
          </w:p>
        </w:tc>
        <w:tc>
          <w:tcPr>
            <w:tcW w:w="1518" w:type="dxa"/>
          </w:tcPr>
          <w:p w14:paraId="080F1C27" w14:textId="77777777" w:rsidR="00D40083" w:rsidRPr="002D1A58" w:rsidRDefault="00D40083" w:rsidP="00AF1C52">
            <w:pPr>
              <w:jc w:val="center"/>
              <w:rPr>
                <w:noProof/>
                <w:lang w:val="en-IE"/>
              </w:rPr>
            </w:pPr>
            <w:r w:rsidRPr="002D1A58">
              <w:rPr>
                <w:noProof/>
                <w:lang w:val="en-IE"/>
              </w:rPr>
              <w:t xml:space="preserve">478 </w:t>
            </w:r>
            <w:r>
              <w:rPr>
                <w:noProof/>
                <w:lang w:val="en-IE"/>
              </w:rPr>
              <w:t>in 2023</w:t>
            </w:r>
          </w:p>
        </w:tc>
        <w:tc>
          <w:tcPr>
            <w:tcW w:w="1557" w:type="dxa"/>
          </w:tcPr>
          <w:p w14:paraId="46B7A7C2" w14:textId="77777777" w:rsidR="00D40083" w:rsidRPr="002D1A58" w:rsidRDefault="00D40083" w:rsidP="00AF1C52">
            <w:pPr>
              <w:jc w:val="center"/>
              <w:rPr>
                <w:noProof/>
                <w:lang w:val="en-IE"/>
              </w:rPr>
            </w:pPr>
            <w:r w:rsidRPr="002D1A58">
              <w:rPr>
                <w:noProof/>
                <w:lang w:val="en-IE"/>
              </w:rPr>
              <w:t xml:space="preserve">137 (estimated result: 542) out of 478 </w:t>
            </w:r>
          </w:p>
        </w:tc>
        <w:tc>
          <w:tcPr>
            <w:tcW w:w="1564" w:type="dxa"/>
          </w:tcPr>
          <w:p w14:paraId="0EABA209" w14:textId="26646049" w:rsidR="00D40083" w:rsidRPr="002D1A58" w:rsidRDefault="00DC6073" w:rsidP="00AF1C52">
            <w:pPr>
              <w:jc w:val="center"/>
              <w:rPr>
                <w:noProof/>
                <w:lang w:val="en-IE"/>
              </w:rPr>
            </w:pPr>
            <w:r>
              <w:rPr>
                <w:noProof/>
                <w:lang w:val="en-IE"/>
              </w:rPr>
              <w:t>On track</w:t>
            </w:r>
          </w:p>
        </w:tc>
      </w:tr>
    </w:tbl>
    <w:p w14:paraId="1D094ED7" w14:textId="77777777" w:rsidR="00D40083" w:rsidRPr="002D1A58" w:rsidRDefault="00D40083" w:rsidP="00D40083">
      <w:pPr>
        <w:pStyle w:val="FootnoteText"/>
        <w:rPr>
          <w:noProof/>
          <w:lang w:val="en-IE"/>
        </w:rPr>
      </w:pPr>
      <w:r w:rsidRPr="002D1A58">
        <w:rPr>
          <w:noProof/>
          <w:lang w:val="en-IE"/>
        </w:rPr>
        <w:t>(*) % of target achieved by the end of 2020.</w:t>
      </w:r>
    </w:p>
    <w:p w14:paraId="0922452E" w14:textId="77777777" w:rsidR="00D40083" w:rsidRPr="002D1A58" w:rsidRDefault="00D40083" w:rsidP="00D40083">
      <w:pPr>
        <w:pStyle w:val="FootnoteText"/>
        <w:rPr>
          <w:noProof/>
          <w:lang w:val="en-IE"/>
        </w:rPr>
      </w:pPr>
    </w:p>
    <w:p w14:paraId="02C4BC99" w14:textId="77777777" w:rsidR="00D40083" w:rsidRPr="002D1A58" w:rsidRDefault="00D40083" w:rsidP="00D40083">
      <w:pPr>
        <w:pStyle w:val="ppoListHyphened-L1"/>
        <w:rPr>
          <w:noProof/>
          <w:lang w:val="en-IE"/>
        </w:rPr>
      </w:pPr>
      <w:r w:rsidRPr="002D1A58">
        <w:rPr>
          <w:noProof/>
          <w:lang w:val="en-IE"/>
        </w:rPr>
        <w:t>Generally, the reported values show a strong upward trend in implementation by the end of 2020 and a plausible relationship between the indicator targets and values from selected projects. This means that most indicator targets set for 2023 will likely be met, thanks to projects that are already in the pipeline.</w:t>
      </w:r>
    </w:p>
    <w:p w14:paraId="7A2FD00F" w14:textId="77777777" w:rsidR="0017337B" w:rsidRPr="002D1A58" w:rsidRDefault="0017337B" w:rsidP="0017337B">
      <w:pPr>
        <w:pStyle w:val="ppoListHyphened-L1"/>
        <w:rPr>
          <w:noProof/>
          <w:lang w:val="en-IE"/>
        </w:rPr>
      </w:pPr>
      <w:r>
        <w:rPr>
          <w:noProof/>
          <w:lang w:val="en-IE"/>
        </w:rPr>
        <w:t>One of the indicators which deserves attention is linked to large infrastructure projects in Trans-European transport networks.</w:t>
      </w:r>
      <w:r w:rsidRPr="00FE20F0">
        <w:rPr>
          <w:noProof/>
        </w:rPr>
        <w:t xml:space="preserve"> </w:t>
      </w:r>
      <w:r w:rsidRPr="002D1A58">
        <w:rPr>
          <w:noProof/>
          <w:lang w:val="en-IE"/>
        </w:rPr>
        <w:t>The implementation of the 2014-2020 programming period lasts until 2023, so the 2020 achievement values refer to the situation at the seventh year of a 10-year implementation cycle. Experience from 2007-2013 shows that many infrastructure investments are fully implemented only by the end of the period.</w:t>
      </w:r>
    </w:p>
    <w:p w14:paraId="10F7450F" w14:textId="77777777" w:rsidR="00D40083" w:rsidRPr="002D1A58" w:rsidRDefault="00D40083" w:rsidP="00D40083">
      <w:pPr>
        <w:pStyle w:val="ppoListHyphened-L1"/>
        <w:rPr>
          <w:noProof/>
          <w:lang w:val="en-IE"/>
        </w:rPr>
      </w:pPr>
      <w:r w:rsidRPr="002D1A58">
        <w:rPr>
          <w:noProof/>
          <w:lang w:val="en-IE"/>
        </w:rPr>
        <w:t xml:space="preserve">By the end of 2021, overall project selection was at nearly 100% of planned investment everywhere, except for the REACT-EU resources that were only added to the programmes in 2021. EU interim payments were at 64% for ERDF and 70% for CF. High project selection rates do not automatically translate into prompt expenditure. Expenditure is slower to materialise for projects that are still in the planning or procurement stage, projects with multiannual implementation periods or projects that are otherwise immature. </w:t>
      </w:r>
    </w:p>
    <w:p w14:paraId="79211BE6" w14:textId="77777777" w:rsidR="00D40083" w:rsidRPr="002D1A58" w:rsidRDefault="00D40083" w:rsidP="00D40083">
      <w:pPr>
        <w:pStyle w:val="ppoListHyphened-L1"/>
        <w:rPr>
          <w:noProof/>
          <w:lang w:val="en-IE"/>
        </w:rPr>
      </w:pPr>
      <w:bookmarkStart w:id="97" w:name="_Hlk101338810"/>
      <w:r w:rsidRPr="002D1A58">
        <w:rPr>
          <w:noProof/>
          <w:lang w:val="en-IE"/>
        </w:rPr>
        <w:t xml:space="preserve">For some indicators with more important gaps </w:t>
      </w:r>
      <w:r w:rsidRPr="008E2C11">
        <w:rPr>
          <w:noProof/>
        </w:rPr>
        <w:t>between the decided and implemented</w:t>
      </w:r>
      <w:r>
        <w:rPr>
          <w:noProof/>
          <w:lang w:val="en-IE"/>
        </w:rPr>
        <w:t xml:space="preserve"> values</w:t>
      </w:r>
      <w:r w:rsidRPr="002D1A58">
        <w:rPr>
          <w:noProof/>
          <w:lang w:val="en-IE"/>
        </w:rPr>
        <w:t xml:space="preserve">, the forecast indicator values </w:t>
      </w:r>
      <w:bookmarkEnd w:id="97"/>
      <w:r w:rsidRPr="002D1A58">
        <w:rPr>
          <w:noProof/>
          <w:lang w:val="en-IE"/>
        </w:rPr>
        <w:t xml:space="preserve">from selected projects are close to or exceed the target values, raising the prospect that the targets could still be achieved. In many of these cases, the high level of project selection is expected to translate into achieved outputs only late in the period. This phenomenon of late achievement of indicator values was demonstrated by the trend in reporting in the 2007-2013 period. The 2020 reporting exercise suggested that at the end of 2020, many of the 2023 targets for those indicators could still be achieved. </w:t>
      </w:r>
    </w:p>
    <w:p w14:paraId="06384364" w14:textId="77777777" w:rsidR="00D40083" w:rsidRPr="002D1A58" w:rsidRDefault="00D40083" w:rsidP="00D40083">
      <w:pPr>
        <w:pStyle w:val="ppoListHyphened-L1"/>
        <w:rPr>
          <w:noProof/>
          <w:lang w:val="en-IE"/>
        </w:rPr>
      </w:pPr>
      <w:r w:rsidRPr="002D1A58">
        <w:rPr>
          <w:noProof/>
          <w:lang w:val="en-IE"/>
        </w:rPr>
        <w:t>EU legislation allows for programme amendments during the implementation period. Target values are mainly driven by changes in national or regional needs, changing economic conditions, variability in demand for different supports and the reallocation of funding within and across themes.</w:t>
      </w:r>
    </w:p>
    <w:p w14:paraId="377DF81E" w14:textId="77777777" w:rsidR="00D40083" w:rsidRPr="002D1A58" w:rsidRDefault="00D40083" w:rsidP="00D40083">
      <w:pPr>
        <w:pStyle w:val="ppoListHyphened-L1"/>
        <w:rPr>
          <w:noProof/>
          <w:lang w:val="en-IE"/>
        </w:rPr>
      </w:pPr>
      <w:r w:rsidRPr="002D1A58">
        <w:rPr>
          <w:noProof/>
          <w:lang w:val="en-IE"/>
        </w:rPr>
        <w:t>The impact of the COVID-19 pandemic led to increased uncertainty and sharp changes in needs. A wave of programme modification in 2020 and 2021 led to a rise in some common indicator targets, particularly in the areas of enterprise support linked to crisis support during the pandemic. However, the uncertain socioeconomic conditions, reduced demand, high unemployment and uncertain prospects for the relaunch of the economy mean that the Commission will continue to carefully monitor the programmes until closure.</w:t>
      </w:r>
    </w:p>
    <w:p w14:paraId="76A477DA" w14:textId="77777777" w:rsidR="00D40083" w:rsidRPr="002D1A58" w:rsidRDefault="00D40083" w:rsidP="00D40083">
      <w:pPr>
        <w:pStyle w:val="ppoListHyphened-L1"/>
        <w:rPr>
          <w:noProof/>
          <w:lang w:val="en-IE"/>
        </w:rPr>
      </w:pPr>
      <w:r w:rsidRPr="002D1A58">
        <w:rPr>
          <w:noProof/>
          <w:lang w:val="en-IE"/>
        </w:rPr>
        <w:t>In response to COVID-19, the Commission proposed specific measures to broaden the list of eligibility measures in the healthcare systems to support the public health response in Member States and to encourage reprogramming in other sectors of their economy, while providing exceptional flexibility for the use of the ESF funds under CRII+. Specific measures adopted in CRII+ have enabled Member States to mobilise support from ERDF, ESF and CF and focus it on the most urgent needs (saving lives, preventing job losses through short-time work schemes and supporting small and medium-sized enterprises).</w:t>
      </w:r>
    </w:p>
    <w:p w14:paraId="1E96E80C" w14:textId="77777777" w:rsidR="00D40083" w:rsidRPr="002D1A58" w:rsidRDefault="00D40083" w:rsidP="00D40083">
      <w:pPr>
        <w:pStyle w:val="ppoListHyphened-L1"/>
        <w:rPr>
          <w:noProof/>
          <w:lang w:val="en-IE"/>
        </w:rPr>
      </w:pPr>
      <w:r w:rsidRPr="002D1A58">
        <w:rPr>
          <w:noProof/>
          <w:lang w:val="en-IE"/>
        </w:rPr>
        <w:t>In relation to the reprogramming to support the immediate response to the pandemic and its effects, new COVID-19-specific indicators were introduced to give an insight into the supported actions and their outputs. The progress in delivering the targets set by the end of 2020 was reported to the Commission for the first time during 2021. Many ERDF programmes were in a position to report values on the implementation of pandemic measures. However, many 2020 implementation values appear to be under-reported. Commission services therefore see the 2020 implemented values for COVID-19 indicators as giving a preliminary picture to be completed in future reporting rounds.</w:t>
      </w:r>
    </w:p>
    <w:p w14:paraId="52B50189" w14:textId="77777777" w:rsidR="0079461A" w:rsidRDefault="00D40083" w:rsidP="00D40083">
      <w:pPr>
        <w:pStyle w:val="ppoListHyphened-L1"/>
        <w:rPr>
          <w:rStyle w:val="Hyperlink"/>
          <w:noProof/>
          <w:lang w:val="en-IE"/>
        </w:rPr>
        <w:sectPr w:rsidR="0079461A" w:rsidSect="00D40083">
          <w:headerReference w:type="even" r:id="rId205"/>
          <w:headerReference w:type="default" r:id="rId206"/>
          <w:footerReference w:type="even" r:id="rId207"/>
          <w:footerReference w:type="default" r:id="rId208"/>
          <w:headerReference w:type="first" r:id="rId209"/>
          <w:footerReference w:type="first" r:id="rId210"/>
          <w:pgSz w:w="11906" w:h="16838" w:code="9"/>
          <w:pgMar w:top="1134" w:right="1134" w:bottom="964" w:left="1134" w:header="431" w:footer="431" w:gutter="0"/>
          <w:cols w:space="720"/>
          <w:titlePg/>
          <w:docGrid w:linePitch="360"/>
        </w:sectPr>
      </w:pPr>
      <w:r w:rsidRPr="002D1A58">
        <w:rPr>
          <w:noProof/>
          <w:lang w:val="en-IE"/>
        </w:rPr>
        <w:t xml:space="preserve">The indicators used for the ERDF and CF performance assessment only provide a snapshot of the programme. For more in-depth information, the cohesion policy programmes report on their results through the Open Data Platform at </w:t>
      </w:r>
      <w:hyperlink r:id="rId211" w:history="1">
        <w:r w:rsidRPr="002D1A58">
          <w:rPr>
            <w:rStyle w:val="Hyperlink"/>
            <w:noProof/>
            <w:lang w:val="en-IE"/>
          </w:rPr>
          <w:t>https://cohesiondata.ec.europa.eu/</w:t>
        </w:r>
      </w:hyperlink>
    </w:p>
    <w:p w14:paraId="7BA4D794" w14:textId="77777777" w:rsidR="0079461A" w:rsidRPr="00343169" w:rsidRDefault="0079461A" w:rsidP="0079461A">
      <w:pPr>
        <w:pStyle w:val="StyleppoHeading3WhiteLeft0cm"/>
        <w:rPr>
          <w:noProof/>
          <w:sz w:val="40"/>
          <w:szCs w:val="40"/>
          <w:lang w:val="en-IE"/>
        </w:rPr>
      </w:pPr>
    </w:p>
    <w:p w14:paraId="7DEF3928" w14:textId="77777777" w:rsidR="0079461A" w:rsidRPr="00343169" w:rsidRDefault="0079461A" w:rsidP="0079461A">
      <w:pPr>
        <w:pStyle w:val="StyleppoHeading3WhiteLeft0cm"/>
        <w:rPr>
          <w:noProof/>
          <w:sz w:val="60"/>
          <w:szCs w:val="60"/>
          <w:lang w:val="en-IE"/>
        </w:rPr>
      </w:pPr>
      <w:bookmarkStart w:id="98" w:name="_Toc102086342"/>
      <w:r w:rsidRPr="00343169">
        <w:rPr>
          <w:noProof/>
          <w:sz w:val="60"/>
          <w:szCs w:val="60"/>
          <w:lang w:val="en-IE"/>
        </w:rPr>
        <w:t>TURKISH CYPRIOT COMMUNITY</w:t>
      </w:r>
      <w:bookmarkEnd w:id="98"/>
    </w:p>
    <w:p w14:paraId="5D709F0D" w14:textId="77777777" w:rsidR="0079461A" w:rsidRPr="00343169" w:rsidRDefault="0079461A" w:rsidP="0079461A">
      <w:pPr>
        <w:pStyle w:val="StyleppoProgrammenameWhiteLeft01cm"/>
        <w:rPr>
          <w:noProof/>
          <w:lang w:val="en-IE"/>
        </w:rPr>
      </w:pPr>
      <w:r w:rsidRPr="00343169">
        <w:rPr>
          <w:noProof/>
          <w:lang w:val="en-IE"/>
        </w:rPr>
        <w:t>EU AID PROGRAMME FOR THE TURKISH CYPRIOT COMMUNITY</w:t>
      </w:r>
    </w:p>
    <w:p w14:paraId="4492A8BD" w14:textId="77777777" w:rsidR="0079461A" w:rsidRPr="00343169" w:rsidRDefault="0079461A" w:rsidP="0079461A">
      <w:pPr>
        <w:pStyle w:val="ppoHeading4Green"/>
        <w:rPr>
          <w:noProof/>
          <w:lang w:val="en-IE"/>
        </w:rPr>
      </w:pPr>
      <w:r w:rsidRPr="00343169">
        <w:rPr>
          <w:noProof/>
          <w:lang w:val="en-IE"/>
        </w:rPr>
        <w:t>Programme in a nutshell</w:t>
      </w:r>
    </w:p>
    <w:p w14:paraId="09BF9034" w14:textId="77777777" w:rsidR="0079461A" w:rsidRPr="00343169" w:rsidRDefault="0079461A" w:rsidP="0079461A">
      <w:pPr>
        <w:pStyle w:val="ppoHeading5"/>
        <w:rPr>
          <w:noProof/>
          <w:lang w:val="en-IE"/>
        </w:rPr>
      </w:pPr>
      <w:r w:rsidRPr="00343169">
        <w:rPr>
          <w:noProof/>
          <w:lang w:val="en-IE"/>
        </w:rPr>
        <w:t>Concrete examples of achievements</w:t>
      </w:r>
      <w:r w:rsidRPr="00343169">
        <w:rPr>
          <w:rFonts w:ascii="Calibri" w:hAnsi="Calibri" w:cs="Calibri"/>
          <w:noProof/>
          <w:lang w:val="en-IE"/>
        </w:rPr>
        <w:t> </w:t>
      </w:r>
      <w:r w:rsidRPr="00343169">
        <w:rPr>
          <w:noProof/>
          <w:lang w:val="en-IE"/>
        </w:rPr>
        <w:t>(*)</w:t>
      </w:r>
    </w:p>
    <w:tbl>
      <w:tblPr>
        <w:tblStyle w:val="PPO2021"/>
        <w:tblW w:w="9639" w:type="dxa"/>
        <w:tblInd w:w="0" w:type="dxa"/>
        <w:tblLook w:val="0200" w:firstRow="0" w:lastRow="0" w:firstColumn="0" w:lastColumn="0" w:noHBand="1" w:noVBand="0"/>
      </w:tblPr>
      <w:tblGrid>
        <w:gridCol w:w="2410"/>
        <w:gridCol w:w="2409"/>
        <w:gridCol w:w="2410"/>
        <w:gridCol w:w="2410"/>
      </w:tblGrid>
      <w:tr w:rsidR="0079461A" w:rsidRPr="00343169" w14:paraId="6D11F8CD" w14:textId="77777777" w:rsidTr="00AF1C52">
        <w:tc>
          <w:tcPr>
            <w:tcW w:w="2410" w:type="dxa"/>
          </w:tcPr>
          <w:p w14:paraId="150BCD8C" w14:textId="77777777" w:rsidR="0079461A" w:rsidRPr="00343169" w:rsidRDefault="0079461A" w:rsidP="00AF1C52">
            <w:pPr>
              <w:pStyle w:val="ppoTableacheivementvalue"/>
              <w:rPr>
                <w:noProof/>
                <w:lang w:val="en-IE"/>
              </w:rPr>
            </w:pPr>
            <w:r w:rsidRPr="00343169">
              <w:rPr>
                <w:noProof/>
                <w:lang w:val="en-IE"/>
              </w:rPr>
              <w:t>263</w:t>
            </w:r>
          </w:p>
          <w:p w14:paraId="00D91F3F" w14:textId="77777777" w:rsidR="0079461A" w:rsidRPr="00343169" w:rsidRDefault="0079461A" w:rsidP="00962E3C">
            <w:pPr>
              <w:jc w:val="left"/>
              <w:rPr>
                <w:noProof/>
                <w:lang w:val="en-IE"/>
              </w:rPr>
            </w:pPr>
            <w:r w:rsidRPr="00343169">
              <w:rPr>
                <w:noProof/>
                <w:lang w:val="en-IE"/>
              </w:rPr>
              <w:t>kilometres of water supply distribution networks were renewed.</w:t>
            </w:r>
          </w:p>
        </w:tc>
        <w:tc>
          <w:tcPr>
            <w:cnfStyle w:val="000001000000" w:firstRow="0" w:lastRow="0" w:firstColumn="0" w:lastColumn="0" w:oddVBand="0" w:evenVBand="1" w:oddHBand="0" w:evenHBand="0" w:firstRowFirstColumn="0" w:firstRowLastColumn="0" w:lastRowFirstColumn="0" w:lastRowLastColumn="0"/>
            <w:tcW w:w="2409" w:type="dxa"/>
          </w:tcPr>
          <w:p w14:paraId="24906DE2" w14:textId="77777777" w:rsidR="0079461A" w:rsidRPr="00343169" w:rsidRDefault="0079461A" w:rsidP="00AF1C52">
            <w:pPr>
              <w:pStyle w:val="ppoTableacheivementvalue"/>
              <w:rPr>
                <w:noProof/>
                <w:lang w:val="en-IE"/>
              </w:rPr>
            </w:pPr>
            <w:r w:rsidRPr="00343169">
              <w:rPr>
                <w:noProof/>
                <w:lang w:val="en-IE"/>
              </w:rPr>
              <w:t>2</w:t>
            </w:r>
            <w:r w:rsidRPr="00343169">
              <w:rPr>
                <w:rFonts w:ascii="Calibri" w:hAnsi="Calibri" w:cs="Calibri"/>
                <w:noProof/>
                <w:lang w:val="en-IE"/>
              </w:rPr>
              <w:t> </w:t>
            </w:r>
            <w:r w:rsidRPr="00343169">
              <w:rPr>
                <w:noProof/>
                <w:lang w:val="en-IE"/>
              </w:rPr>
              <w:t>700</w:t>
            </w:r>
          </w:p>
          <w:p w14:paraId="53D44135" w14:textId="77777777" w:rsidR="0079461A" w:rsidRPr="00343169" w:rsidRDefault="0079461A" w:rsidP="00962E3C">
            <w:pPr>
              <w:jc w:val="left"/>
              <w:rPr>
                <w:noProof/>
                <w:lang w:val="en-IE"/>
              </w:rPr>
            </w:pPr>
            <w:r w:rsidRPr="00343169">
              <w:rPr>
                <w:noProof/>
                <w:lang w:val="en-IE"/>
              </w:rPr>
              <w:t>small and medium-sized enterprises and start-ups received grants.</w:t>
            </w:r>
          </w:p>
        </w:tc>
        <w:tc>
          <w:tcPr>
            <w:tcW w:w="2410" w:type="dxa"/>
            <w:tcBorders>
              <w:bottom w:val="single" w:sz="4" w:space="0" w:color="8C8C8C"/>
            </w:tcBorders>
          </w:tcPr>
          <w:p w14:paraId="10D665E3" w14:textId="77777777" w:rsidR="0079461A" w:rsidRPr="00343169" w:rsidRDefault="0079461A" w:rsidP="00AF1C52">
            <w:pPr>
              <w:pStyle w:val="ppoTableacheivementvalue"/>
              <w:cnfStyle w:val="000000000000" w:firstRow="0" w:lastRow="0" w:firstColumn="0" w:lastColumn="0" w:oddVBand="0" w:evenVBand="0" w:oddHBand="0" w:evenHBand="0" w:firstRowFirstColumn="0" w:firstRowLastColumn="0" w:lastRowFirstColumn="0" w:lastRowLastColumn="0"/>
              <w:rPr>
                <w:noProof/>
                <w:lang w:val="en-IE"/>
              </w:rPr>
            </w:pPr>
            <w:r w:rsidRPr="00343169">
              <w:rPr>
                <w:noProof/>
                <w:lang w:val="en-IE"/>
              </w:rPr>
              <w:t>1</w:t>
            </w:r>
            <w:r w:rsidRPr="00343169">
              <w:rPr>
                <w:rFonts w:ascii="Calibri" w:hAnsi="Calibri" w:cs="Calibri"/>
                <w:noProof/>
                <w:lang w:val="en-IE"/>
              </w:rPr>
              <w:t> </w:t>
            </w:r>
            <w:r w:rsidRPr="00343169">
              <w:rPr>
                <w:noProof/>
                <w:lang w:val="en-IE"/>
              </w:rPr>
              <w:t>800</w:t>
            </w:r>
          </w:p>
          <w:p w14:paraId="0C0F662C" w14:textId="77777777" w:rsidR="0079461A" w:rsidRPr="00343169" w:rsidRDefault="0079461A" w:rsidP="00962E3C">
            <w:pPr>
              <w:jc w:val="left"/>
              <w:cnfStyle w:val="000000000000" w:firstRow="0" w:lastRow="0" w:firstColumn="0" w:lastColumn="0" w:oddVBand="0" w:evenVBand="0" w:oddHBand="0" w:evenHBand="0" w:firstRowFirstColumn="0" w:firstRowLastColumn="0" w:lastRowFirstColumn="0" w:lastRowLastColumn="0"/>
              <w:rPr>
                <w:noProof/>
                <w:lang w:val="en-IE"/>
              </w:rPr>
            </w:pPr>
            <w:r w:rsidRPr="00343169">
              <w:rPr>
                <w:noProof/>
                <w:lang w:val="en-IE"/>
              </w:rPr>
              <w:t>Turkish Cypriots were given educational opportunities in Member States through EU scholarships.</w:t>
            </w:r>
          </w:p>
        </w:tc>
        <w:tc>
          <w:tcPr>
            <w:cnfStyle w:val="000001000000" w:firstRow="0" w:lastRow="0" w:firstColumn="0" w:lastColumn="0" w:oddVBand="0" w:evenVBand="1" w:oddHBand="0" w:evenHBand="0" w:firstRowFirstColumn="0" w:firstRowLastColumn="0" w:lastRowFirstColumn="0" w:lastRowLastColumn="0"/>
            <w:tcW w:w="2410" w:type="dxa"/>
          </w:tcPr>
          <w:p w14:paraId="45CF5C02" w14:textId="77777777" w:rsidR="0079461A" w:rsidRPr="00343169" w:rsidRDefault="0079461A" w:rsidP="00AF1C52">
            <w:pPr>
              <w:pStyle w:val="ppoTableacheivementvalue"/>
              <w:rPr>
                <w:noProof/>
                <w:lang w:val="en-IE"/>
              </w:rPr>
            </w:pPr>
            <w:r w:rsidRPr="00343169">
              <w:rPr>
                <w:noProof/>
                <w:lang w:val="en-IE"/>
              </w:rPr>
              <w:t>800</w:t>
            </w:r>
          </w:p>
          <w:p w14:paraId="3F099124" w14:textId="77777777" w:rsidR="0079461A" w:rsidRPr="00343169" w:rsidRDefault="0079461A" w:rsidP="00962E3C">
            <w:pPr>
              <w:jc w:val="left"/>
              <w:rPr>
                <w:noProof/>
                <w:lang w:val="en-IE"/>
              </w:rPr>
            </w:pPr>
            <w:r w:rsidRPr="00343169">
              <w:rPr>
                <w:noProof/>
                <w:lang w:val="en-IE"/>
              </w:rPr>
              <w:t xml:space="preserve">businesses were assisted with COVID-19 emergency measures. </w:t>
            </w:r>
          </w:p>
        </w:tc>
      </w:tr>
    </w:tbl>
    <w:p w14:paraId="6582D1CC" w14:textId="77777777" w:rsidR="0079461A" w:rsidRPr="00343169" w:rsidRDefault="0079461A" w:rsidP="0079461A">
      <w:pPr>
        <w:pStyle w:val="FootnoteText"/>
        <w:rPr>
          <w:rFonts w:eastAsiaTheme="minorEastAsia"/>
          <w:noProof/>
          <w:lang w:val="en-IE"/>
        </w:rPr>
      </w:pPr>
      <w:r w:rsidRPr="00343169">
        <w:rPr>
          <w:rFonts w:eastAsiaTheme="minorEastAsia"/>
          <w:noProof/>
          <w:lang w:val="en-IE"/>
        </w:rPr>
        <w:t xml:space="preserve">(*) </w:t>
      </w:r>
      <w:r>
        <w:rPr>
          <w:rFonts w:eastAsiaTheme="minorEastAsia"/>
          <w:noProof/>
          <w:lang w:val="en-IE"/>
        </w:rPr>
        <w:tab/>
      </w:r>
      <w:r w:rsidRPr="00343169">
        <w:rPr>
          <w:rFonts w:eastAsiaTheme="minorEastAsia"/>
          <w:noProof/>
          <w:lang w:val="en-IE"/>
        </w:rPr>
        <w:t>Key achievements in the table state which period they relate to. Many come from the implementation of the predecessor programmes under the 2014-2020 multiannual financial framework. This is expected and is due to the multiannual life cycle of EU programmes and the projects they finance, where results often follow only after completion of the programmes.</w:t>
      </w:r>
    </w:p>
    <w:p w14:paraId="66B76CBA" w14:textId="77777777" w:rsidR="0079461A" w:rsidRPr="00343169" w:rsidRDefault="0079461A" w:rsidP="0079461A">
      <w:pPr>
        <w:pStyle w:val="ppoHeading5"/>
        <w:rPr>
          <w:noProof/>
          <w:lang w:val="en-IE"/>
        </w:rPr>
      </w:pPr>
      <w:r w:rsidRPr="00343169">
        <w:rPr>
          <w:noProof/>
          <w:lang w:val="en-IE"/>
        </w:rPr>
        <w:t>Budget for 2021-2027</w:t>
      </w:r>
    </w:p>
    <w:p w14:paraId="25D311CF" w14:textId="77777777" w:rsidR="0079461A" w:rsidRPr="00343169" w:rsidRDefault="0079461A" w:rsidP="0079461A">
      <w:pPr>
        <w:pStyle w:val="ppoTableTabletitle"/>
        <w:ind w:left="284"/>
        <w:rPr>
          <w:noProof/>
          <w:lang w:val="en-IE"/>
        </w:rPr>
      </w:pPr>
      <w:r w:rsidRPr="00343169">
        <w:rPr>
          <w:noProof/>
          <w:lang w:val="en-IE"/>
        </w:rPr>
        <w:t>(million EUR)</w:t>
      </w:r>
    </w:p>
    <w:tbl>
      <w:tblPr>
        <w:tblStyle w:val="PlainTable2"/>
        <w:tblW w:w="0" w:type="auto"/>
        <w:tblInd w:w="288" w:type="dxa"/>
        <w:tblLook w:val="04A0" w:firstRow="1" w:lastRow="0" w:firstColumn="1" w:lastColumn="0" w:noHBand="0" w:noVBand="1"/>
      </w:tblPr>
      <w:tblGrid>
        <w:gridCol w:w="4788"/>
        <w:gridCol w:w="2610"/>
      </w:tblGrid>
      <w:tr w:rsidR="0079461A" w:rsidRPr="00343169" w14:paraId="768BCB7F" w14:textId="77777777" w:rsidTr="00AF1C5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2D5EFDCE" w14:textId="77777777" w:rsidR="0079461A" w:rsidRPr="00343169" w:rsidRDefault="0079461A" w:rsidP="00AF1C52">
            <w:pPr>
              <w:spacing w:before="120" w:after="120"/>
              <w:rPr>
                <w:noProof/>
                <w:lang w:val="en-IE"/>
              </w:rPr>
            </w:pPr>
            <w:r w:rsidRPr="00343169">
              <w:rPr>
                <w:rFonts w:cs="Calibri"/>
                <w:noProof/>
                <w:color w:val="000000"/>
                <w:lang w:val="en-IE"/>
              </w:rPr>
              <w:t>Financial programming</w:t>
            </w:r>
          </w:p>
        </w:tc>
        <w:tc>
          <w:tcPr>
            <w:tcW w:w="2610" w:type="dxa"/>
            <w:shd w:val="clear" w:color="auto" w:fill="auto"/>
            <w:vAlign w:val="bottom"/>
          </w:tcPr>
          <w:p w14:paraId="303B85E1" w14:textId="77777777" w:rsidR="0079461A" w:rsidRPr="00343169" w:rsidRDefault="0079461A" w:rsidP="00AF1C52">
            <w:pPr>
              <w:spacing w:before="120" w:after="120"/>
              <w:jc w:val="center"/>
              <w:cnfStyle w:val="100000000000" w:firstRow="1" w:lastRow="0" w:firstColumn="0" w:lastColumn="0" w:oddVBand="0" w:evenVBand="0" w:oddHBand="0" w:evenHBand="0" w:firstRowFirstColumn="0" w:firstRowLastColumn="0" w:lastRowFirstColumn="0" w:lastRowLastColumn="0"/>
              <w:rPr>
                <w:b w:val="0"/>
                <w:noProof/>
                <w:lang w:val="en-IE"/>
              </w:rPr>
            </w:pPr>
            <w:r w:rsidRPr="00343169">
              <w:rPr>
                <w:rFonts w:cs="Calibri"/>
                <w:b w:val="0"/>
                <w:noProof/>
                <w:color w:val="000000"/>
                <w:lang w:val="en-IE"/>
              </w:rPr>
              <w:t>241.0</w:t>
            </w:r>
          </w:p>
        </w:tc>
      </w:tr>
      <w:tr w:rsidR="0079461A" w:rsidRPr="00343169" w14:paraId="281D89DB" w14:textId="77777777" w:rsidTr="00AF1C5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6C0AC144" w14:textId="77777777" w:rsidR="0079461A" w:rsidRPr="00343169" w:rsidRDefault="0079461A" w:rsidP="00AF1C52">
            <w:pPr>
              <w:spacing w:before="120" w:after="120"/>
              <w:rPr>
                <w:b w:val="0"/>
                <w:noProof/>
                <w:lang w:val="en-IE"/>
              </w:rPr>
            </w:pPr>
            <w:r w:rsidRPr="00343169">
              <w:rPr>
                <w:rFonts w:cs="Calibri"/>
                <w:noProof/>
                <w:color w:val="000000"/>
                <w:lang w:val="en-IE"/>
              </w:rPr>
              <w:t>NextGenerationEU</w:t>
            </w:r>
          </w:p>
        </w:tc>
        <w:tc>
          <w:tcPr>
            <w:tcW w:w="2610" w:type="dxa"/>
            <w:vAlign w:val="bottom"/>
          </w:tcPr>
          <w:p w14:paraId="73A550E6" w14:textId="77777777" w:rsidR="0079461A" w:rsidRPr="00343169" w:rsidRDefault="0079461A" w:rsidP="00AF1C52">
            <w:pPr>
              <w:spacing w:before="120" w:after="120"/>
              <w:jc w:val="center"/>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0</w:t>
            </w:r>
          </w:p>
        </w:tc>
      </w:tr>
      <w:tr w:rsidR="0079461A" w:rsidRPr="00343169" w14:paraId="7855A1F4" w14:textId="77777777" w:rsidTr="00AF1C52">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103E6B9B" w14:textId="77777777" w:rsidR="0079461A" w:rsidRPr="00343169" w:rsidRDefault="0079461A" w:rsidP="00AF1C52">
            <w:pPr>
              <w:spacing w:before="120" w:after="120"/>
              <w:rPr>
                <w:b w:val="0"/>
                <w:noProof/>
                <w:lang w:val="en-IE"/>
              </w:rPr>
            </w:pPr>
            <w:r w:rsidRPr="00343169">
              <w:rPr>
                <w:noProof/>
                <w:lang w:val="en-IE"/>
              </w:rPr>
              <w:t>Decommitments made available again</w:t>
            </w:r>
            <w:r w:rsidRPr="00343169">
              <w:rPr>
                <w:rFonts w:ascii="Calibri" w:hAnsi="Calibri" w:cs="Calibri"/>
                <w:noProof/>
                <w:lang w:val="en-IE"/>
              </w:rPr>
              <w:t> </w:t>
            </w:r>
            <w:r w:rsidRPr="00343169">
              <w:rPr>
                <w:noProof/>
                <w:lang w:val="en-IE"/>
              </w:rPr>
              <w:t>(*)</w:t>
            </w:r>
          </w:p>
        </w:tc>
        <w:tc>
          <w:tcPr>
            <w:tcW w:w="2610" w:type="dxa"/>
            <w:vAlign w:val="bottom"/>
          </w:tcPr>
          <w:p w14:paraId="45B2D301" w14:textId="77777777" w:rsidR="0079461A" w:rsidRPr="00343169" w:rsidRDefault="0079461A" w:rsidP="00AF1C52">
            <w:pPr>
              <w:spacing w:before="120" w:after="120"/>
              <w:jc w:val="center"/>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N/A</w:t>
            </w:r>
          </w:p>
        </w:tc>
      </w:tr>
      <w:tr w:rsidR="0079461A" w:rsidRPr="00343169" w14:paraId="7378316B" w14:textId="77777777" w:rsidTr="00AF1C5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0833109E" w14:textId="77777777" w:rsidR="0079461A" w:rsidRPr="00343169" w:rsidRDefault="0079461A" w:rsidP="00AF1C52">
            <w:pPr>
              <w:spacing w:before="120" w:after="120"/>
              <w:rPr>
                <w:noProof/>
                <w:lang w:val="en-IE"/>
              </w:rPr>
            </w:pPr>
            <w:r w:rsidRPr="00343169">
              <w:rPr>
                <w:rFonts w:cs="Calibri"/>
                <w:noProof/>
                <w:color w:val="000000"/>
                <w:lang w:val="en-IE"/>
              </w:rPr>
              <w:t>Contributions from other countries and entities</w:t>
            </w:r>
          </w:p>
        </w:tc>
        <w:tc>
          <w:tcPr>
            <w:tcW w:w="2610" w:type="dxa"/>
            <w:vAlign w:val="bottom"/>
          </w:tcPr>
          <w:p w14:paraId="2A11445B" w14:textId="77777777" w:rsidR="0079461A" w:rsidRPr="00343169" w:rsidRDefault="0079461A" w:rsidP="00AF1C52">
            <w:pPr>
              <w:spacing w:before="120" w:after="120"/>
              <w:jc w:val="center"/>
              <w:cnfStyle w:val="000000100000" w:firstRow="0" w:lastRow="0" w:firstColumn="0" w:lastColumn="0" w:oddVBand="0" w:evenVBand="0" w:oddHBand="1" w:evenHBand="0" w:firstRowFirstColumn="0" w:firstRowLastColumn="0" w:lastRowFirstColumn="0" w:lastRowLastColumn="0"/>
              <w:rPr>
                <w:noProof/>
                <w:lang w:val="en-IE"/>
              </w:rPr>
            </w:pPr>
            <w:r>
              <w:rPr>
                <w:noProof/>
                <w:lang w:val="en-IE"/>
              </w:rPr>
              <w:t>0</w:t>
            </w:r>
          </w:p>
        </w:tc>
      </w:tr>
      <w:tr w:rsidR="0079461A" w:rsidRPr="00343169" w14:paraId="2A64F162" w14:textId="77777777" w:rsidTr="00AF1C52">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2F2F2" w:themeFill="background1" w:themeFillShade="F2"/>
            <w:vAlign w:val="bottom"/>
          </w:tcPr>
          <w:p w14:paraId="650CD852" w14:textId="77777777" w:rsidR="0079461A" w:rsidRPr="00343169" w:rsidRDefault="0079461A" w:rsidP="00AF1C52">
            <w:pPr>
              <w:spacing w:before="120" w:after="120"/>
              <w:rPr>
                <w:noProof/>
                <w:lang w:val="en-IE"/>
              </w:rPr>
            </w:pPr>
            <w:r w:rsidRPr="00343169">
              <w:rPr>
                <w:rFonts w:cs="Calibri"/>
                <w:noProof/>
                <w:color w:val="000000"/>
                <w:lang w:val="en-IE"/>
              </w:rPr>
              <w:t>Total budget for 2021-2027</w:t>
            </w:r>
          </w:p>
        </w:tc>
        <w:tc>
          <w:tcPr>
            <w:tcW w:w="2610" w:type="dxa"/>
            <w:shd w:val="clear" w:color="auto" w:fill="F2F2F2" w:themeFill="background1" w:themeFillShade="F2"/>
            <w:vAlign w:val="bottom"/>
          </w:tcPr>
          <w:p w14:paraId="38D3A4C5" w14:textId="77777777" w:rsidR="0079461A" w:rsidRPr="00343169" w:rsidRDefault="0079461A" w:rsidP="00AF1C52">
            <w:pPr>
              <w:spacing w:before="120" w:after="120"/>
              <w:jc w:val="center"/>
              <w:cnfStyle w:val="000000000000" w:firstRow="0" w:lastRow="0" w:firstColumn="0" w:lastColumn="0" w:oddVBand="0" w:evenVBand="0" w:oddHBand="0" w:evenHBand="0" w:firstRowFirstColumn="0" w:firstRowLastColumn="0" w:lastRowFirstColumn="0" w:lastRowLastColumn="0"/>
              <w:rPr>
                <w:b/>
                <w:noProof/>
                <w:lang w:val="en-IE"/>
              </w:rPr>
            </w:pPr>
            <w:r w:rsidRPr="00343169">
              <w:rPr>
                <w:rFonts w:cs="Calibri"/>
                <w:b/>
                <w:noProof/>
                <w:color w:val="000000"/>
                <w:lang w:val="en-IE"/>
              </w:rPr>
              <w:t>241.0</w:t>
            </w:r>
          </w:p>
        </w:tc>
      </w:tr>
    </w:tbl>
    <w:p w14:paraId="7D8D11F1" w14:textId="77777777" w:rsidR="0079461A" w:rsidRPr="00343169" w:rsidRDefault="0079461A" w:rsidP="0079461A">
      <w:pPr>
        <w:tabs>
          <w:tab w:val="left" w:pos="6793"/>
        </w:tabs>
        <w:rPr>
          <w:noProof/>
          <w:sz w:val="18"/>
          <w:szCs w:val="18"/>
          <w:lang w:val="en-IE"/>
        </w:rPr>
      </w:pPr>
      <w:r w:rsidRPr="00343169">
        <w:rPr>
          <w:noProof/>
          <w:sz w:val="18"/>
          <w:szCs w:val="18"/>
          <w:lang w:val="en-IE"/>
        </w:rPr>
        <w:t>(*) Only Article</w:t>
      </w:r>
      <w:r w:rsidRPr="00343169">
        <w:rPr>
          <w:rFonts w:ascii="Calibri" w:hAnsi="Calibri" w:cs="Calibri"/>
          <w:noProof/>
          <w:sz w:val="18"/>
          <w:szCs w:val="18"/>
          <w:lang w:val="en-IE"/>
        </w:rPr>
        <w:t> </w:t>
      </w:r>
      <w:r w:rsidRPr="00343169">
        <w:rPr>
          <w:noProof/>
          <w:sz w:val="18"/>
          <w:szCs w:val="18"/>
          <w:lang w:val="en-IE"/>
        </w:rPr>
        <w:t>15(3) of the financial regulation.</w:t>
      </w:r>
    </w:p>
    <w:p w14:paraId="27F6467C" w14:textId="77777777" w:rsidR="0079461A" w:rsidRPr="00343169" w:rsidRDefault="0079461A" w:rsidP="0079461A">
      <w:pPr>
        <w:pStyle w:val="FootnoteText"/>
        <w:rPr>
          <w:rFonts w:eastAsiaTheme="minorEastAsia"/>
          <w:noProof/>
          <w:lang w:val="en-IE"/>
        </w:rPr>
      </w:pPr>
    </w:p>
    <w:p w14:paraId="2DFAC74F" w14:textId="77777777" w:rsidR="0079461A" w:rsidRPr="00343169" w:rsidRDefault="0079461A" w:rsidP="0079461A">
      <w:pPr>
        <w:pStyle w:val="ppoHeading5"/>
        <w:rPr>
          <w:noProof/>
          <w:lang w:val="en-IE"/>
        </w:rPr>
      </w:pPr>
      <w:r w:rsidRPr="00343169">
        <w:rPr>
          <w:noProof/>
          <w:lang w:val="en-IE"/>
        </w:rPr>
        <w:t>Rationale and design of the programme</w:t>
      </w:r>
    </w:p>
    <w:p w14:paraId="08BCE763" w14:textId="77777777" w:rsidR="0079461A" w:rsidRPr="00343169" w:rsidRDefault="0079461A" w:rsidP="0079461A">
      <w:pPr>
        <w:rPr>
          <w:noProof/>
          <w:lang w:val="en-IE"/>
        </w:rPr>
      </w:pPr>
      <w:r w:rsidRPr="00343169">
        <w:rPr>
          <w:noProof/>
          <w:lang w:val="en-IE"/>
        </w:rPr>
        <w:t>The programme aims to facilitate the reunification of Cyprus by encouraging the economic development of the Turkish Cypriot community.</w:t>
      </w:r>
    </w:p>
    <w:p w14:paraId="52057198" w14:textId="77777777" w:rsidR="0079461A" w:rsidRPr="00343169" w:rsidRDefault="0079461A" w:rsidP="0079461A">
      <w:pPr>
        <w:pStyle w:val="ppoHeading6"/>
        <w:rPr>
          <w:noProof/>
          <w:lang w:val="en-IE"/>
        </w:rPr>
      </w:pPr>
      <w:r w:rsidRPr="00343169">
        <w:rPr>
          <w:noProof/>
          <w:lang w:val="en-IE"/>
        </w:rPr>
        <w:t>Challenge</w:t>
      </w:r>
    </w:p>
    <w:p w14:paraId="35E3A9A3" w14:textId="77777777" w:rsidR="0079461A" w:rsidRPr="00343169" w:rsidRDefault="0079461A" w:rsidP="0079461A">
      <w:pPr>
        <w:rPr>
          <w:noProof/>
          <w:lang w:val="en-IE"/>
        </w:rPr>
      </w:pPr>
      <w:r w:rsidRPr="00343169">
        <w:rPr>
          <w:noProof/>
          <w:lang w:val="en-IE"/>
        </w:rPr>
        <w:t xml:space="preserve">The application of the </w:t>
      </w:r>
      <w:r w:rsidRPr="00343169">
        <w:rPr>
          <w:i/>
          <w:noProof/>
          <w:lang w:val="en-IE"/>
        </w:rPr>
        <w:t>acquis</w:t>
      </w:r>
      <w:r w:rsidRPr="00343169">
        <w:rPr>
          <w:noProof/>
          <w:lang w:val="en-IE"/>
        </w:rPr>
        <w:t xml:space="preserve"> is suspended in those areas of the Republic of Cyprus in which the Government of the Republic of Cyprus does not exercise effective control. </w:t>
      </w:r>
    </w:p>
    <w:p w14:paraId="79EFAEC0" w14:textId="77777777" w:rsidR="0079461A" w:rsidRPr="00343169" w:rsidRDefault="0079461A" w:rsidP="0079461A">
      <w:pPr>
        <w:rPr>
          <w:noProof/>
          <w:lang w:val="en-IE"/>
        </w:rPr>
      </w:pPr>
      <w:r w:rsidRPr="00343169">
        <w:rPr>
          <w:noProof/>
          <w:lang w:val="en-IE"/>
        </w:rPr>
        <w:t>The programme aims to facilitate the reunification of Cyprus through socioeconomic and confidence</w:t>
      </w:r>
      <w:r w:rsidRPr="00343169">
        <w:rPr>
          <w:noProof/>
          <w:lang w:val="en-IE"/>
        </w:rPr>
        <w:noBreakHyphen/>
        <w:t xml:space="preserve">building measures. It supports economic integration, improved living standards and the preparation of the Turkish Cypriot community to introduce and implement the EU </w:t>
      </w:r>
      <w:r w:rsidRPr="00343169">
        <w:rPr>
          <w:i/>
          <w:noProof/>
          <w:lang w:val="en-IE"/>
        </w:rPr>
        <w:t>acquis</w:t>
      </w:r>
      <w:r w:rsidRPr="00343169">
        <w:rPr>
          <w:noProof/>
          <w:lang w:val="en-IE"/>
        </w:rPr>
        <w:t xml:space="preserve"> in the eventual lifting of this suspension. </w:t>
      </w:r>
    </w:p>
    <w:p w14:paraId="7B0FE219" w14:textId="77777777" w:rsidR="0079461A" w:rsidRPr="00343169" w:rsidRDefault="0079461A" w:rsidP="0079461A">
      <w:pPr>
        <w:rPr>
          <w:noProof/>
          <w:lang w:val="en-IE"/>
        </w:rPr>
      </w:pPr>
      <w:r w:rsidRPr="00343169">
        <w:rPr>
          <w:noProof/>
          <w:lang w:val="en-IE"/>
        </w:rPr>
        <w:t>Due to legal and political difficulties in dealing with the de facto divided island, individual Member States can only provide very limited support to Turkish Cypriots, who are EU citizens. Hence the importance of EU action in this area. Consistent with the special circumstances on the ground, this assistance programme is of an exceptional, transitional and temporary nature. The programme can only be revised if reunification is achieved during the multiannual financial framework period.</w:t>
      </w:r>
    </w:p>
    <w:p w14:paraId="2B61DE15" w14:textId="77777777" w:rsidR="0079461A" w:rsidRPr="00343169" w:rsidRDefault="0079461A" w:rsidP="0079461A">
      <w:pPr>
        <w:pStyle w:val="ppoHeading6"/>
        <w:rPr>
          <w:noProof/>
          <w:lang w:val="en-IE"/>
        </w:rPr>
      </w:pPr>
      <w:r w:rsidRPr="00343169">
        <w:rPr>
          <w:noProof/>
          <w:lang w:val="en-IE"/>
        </w:rPr>
        <w:t>Mission</w:t>
      </w:r>
    </w:p>
    <w:p w14:paraId="64918EFD" w14:textId="77777777" w:rsidR="0079461A" w:rsidRPr="00343169" w:rsidRDefault="0079461A" w:rsidP="0079461A">
      <w:pPr>
        <w:rPr>
          <w:noProof/>
          <w:lang w:val="en-IE"/>
        </w:rPr>
      </w:pPr>
      <w:r w:rsidRPr="00343169">
        <w:rPr>
          <w:noProof/>
          <w:lang w:val="en-IE"/>
        </w:rPr>
        <w:t xml:space="preserve">The programme is the only EU fund for the Turkish Cypriots, who are EU citizens. Other assistance is difficult, due to difficult legal and political circumstances in the de facto divided island. </w:t>
      </w:r>
    </w:p>
    <w:p w14:paraId="3F276510" w14:textId="77777777" w:rsidR="0079461A" w:rsidRPr="00343169" w:rsidRDefault="0079461A" w:rsidP="0079461A">
      <w:pPr>
        <w:rPr>
          <w:noProof/>
          <w:lang w:val="en-IE"/>
        </w:rPr>
      </w:pPr>
      <w:r w:rsidRPr="00343169">
        <w:rPr>
          <w:noProof/>
          <w:lang w:val="en-IE"/>
        </w:rPr>
        <w:t xml:space="preserve">The programme supports reunification efforts and prepares the Turkish Cypriots for the lifting of the suspension of the application of the </w:t>
      </w:r>
      <w:r w:rsidRPr="00343169">
        <w:rPr>
          <w:i/>
          <w:noProof/>
          <w:lang w:val="en-IE"/>
        </w:rPr>
        <w:t>acquis</w:t>
      </w:r>
      <w:r w:rsidRPr="00343169">
        <w:rPr>
          <w:noProof/>
          <w:lang w:val="en-IE"/>
        </w:rPr>
        <w:t xml:space="preserve"> in those areas of the Republic of Cyprus in which the Government of the Republic of Cyprus does not exercise effective control. </w:t>
      </w:r>
    </w:p>
    <w:p w14:paraId="655CF8E4" w14:textId="77777777" w:rsidR="0079461A" w:rsidRPr="00343169" w:rsidRDefault="0079461A" w:rsidP="0079461A">
      <w:pPr>
        <w:rPr>
          <w:rFonts w:eastAsiaTheme="minorEastAsia"/>
          <w:noProof/>
          <w:lang w:val="en-IE"/>
        </w:rPr>
      </w:pPr>
      <w:r w:rsidRPr="00343169">
        <w:rPr>
          <w:noProof/>
          <w:lang w:val="en-IE"/>
        </w:rPr>
        <w:t xml:space="preserve">The EU contribution in supporting the political process, economic integration and improved living standards is vital, including the economic development of the Turkish Cypriot community in order to facilitate the reunification of Cyprus. </w:t>
      </w:r>
    </w:p>
    <w:p w14:paraId="3AC53A1D" w14:textId="77777777" w:rsidR="0079461A" w:rsidRPr="00343169" w:rsidRDefault="0079461A" w:rsidP="0079461A">
      <w:pPr>
        <w:pStyle w:val="ppoHeading6"/>
        <w:rPr>
          <w:noProof/>
          <w:lang w:val="en-IE"/>
        </w:rPr>
      </w:pPr>
      <w:r w:rsidRPr="00343169">
        <w:rPr>
          <w:noProof/>
          <w:lang w:val="en-IE"/>
        </w:rPr>
        <w:t>Objectives</w:t>
      </w:r>
    </w:p>
    <w:p w14:paraId="3B534AF8" w14:textId="77777777" w:rsidR="0079461A" w:rsidRPr="00343169" w:rsidRDefault="0079461A" w:rsidP="0079461A">
      <w:pPr>
        <w:rPr>
          <w:noProof/>
          <w:lang w:val="en-IE"/>
        </w:rPr>
      </w:pPr>
      <w:r w:rsidRPr="00343169">
        <w:rPr>
          <w:noProof/>
          <w:lang w:val="en-IE"/>
        </w:rPr>
        <w:t>The programme has the following specific objectives:</w:t>
      </w:r>
    </w:p>
    <w:p w14:paraId="056FDD2C" w14:textId="77777777" w:rsidR="0079461A" w:rsidRPr="00343169" w:rsidRDefault="0079461A" w:rsidP="006F409B">
      <w:pPr>
        <w:pStyle w:val="ppoListArabic1aiii-L1"/>
        <w:numPr>
          <w:ilvl w:val="0"/>
          <w:numId w:val="138"/>
        </w:numPr>
        <w:rPr>
          <w:noProof/>
          <w:lang w:val="en-IE"/>
        </w:rPr>
      </w:pPr>
      <w:r w:rsidRPr="00343169">
        <w:rPr>
          <w:noProof/>
          <w:lang w:val="en-IE"/>
        </w:rPr>
        <w:t xml:space="preserve">developing and restructuring of infrastructure; </w:t>
      </w:r>
    </w:p>
    <w:p w14:paraId="2F8482A1" w14:textId="77777777" w:rsidR="0079461A" w:rsidRPr="00343169" w:rsidRDefault="0079461A" w:rsidP="006F409B">
      <w:pPr>
        <w:pStyle w:val="ppoListArabic1aiii-L1"/>
        <w:numPr>
          <w:ilvl w:val="0"/>
          <w:numId w:val="138"/>
        </w:numPr>
        <w:rPr>
          <w:noProof/>
          <w:lang w:val="en-IE"/>
        </w:rPr>
      </w:pPr>
      <w:r w:rsidRPr="00343169">
        <w:rPr>
          <w:noProof/>
          <w:lang w:val="en-IE"/>
        </w:rPr>
        <w:t xml:space="preserve">promoting social and economic development; </w:t>
      </w:r>
    </w:p>
    <w:p w14:paraId="09942352" w14:textId="77777777" w:rsidR="0079461A" w:rsidRPr="00343169" w:rsidRDefault="0079461A" w:rsidP="006F409B">
      <w:pPr>
        <w:pStyle w:val="ppoListArabic1aiii-L1"/>
        <w:numPr>
          <w:ilvl w:val="0"/>
          <w:numId w:val="138"/>
        </w:numPr>
        <w:rPr>
          <w:noProof/>
          <w:lang w:val="en-IE"/>
        </w:rPr>
      </w:pPr>
      <w:r w:rsidRPr="00343169">
        <w:rPr>
          <w:noProof/>
          <w:lang w:val="en-IE"/>
        </w:rPr>
        <w:t xml:space="preserve">fostering reconciliation, confidence-building measures and support to civil society; </w:t>
      </w:r>
    </w:p>
    <w:p w14:paraId="131BC98C" w14:textId="77777777" w:rsidR="0079461A" w:rsidRPr="00343169" w:rsidRDefault="0079461A" w:rsidP="006F409B">
      <w:pPr>
        <w:pStyle w:val="ppoListArabic1aiii-L1"/>
        <w:numPr>
          <w:ilvl w:val="0"/>
          <w:numId w:val="138"/>
        </w:numPr>
        <w:rPr>
          <w:noProof/>
          <w:lang w:val="en-IE"/>
        </w:rPr>
      </w:pPr>
      <w:r w:rsidRPr="00343169">
        <w:rPr>
          <w:noProof/>
          <w:lang w:val="en-IE"/>
        </w:rPr>
        <w:t xml:space="preserve">bringing the Turkish Cypriot community closer to the EU; </w:t>
      </w:r>
    </w:p>
    <w:p w14:paraId="2C0FC1A6" w14:textId="77777777" w:rsidR="0079461A" w:rsidRPr="00343169" w:rsidRDefault="0079461A" w:rsidP="006F409B">
      <w:pPr>
        <w:pStyle w:val="ppoListArabic1aiii-L1"/>
        <w:numPr>
          <w:ilvl w:val="0"/>
          <w:numId w:val="138"/>
        </w:numPr>
        <w:rPr>
          <w:noProof/>
          <w:lang w:val="en-IE"/>
        </w:rPr>
      </w:pPr>
      <w:r w:rsidRPr="00343169">
        <w:rPr>
          <w:noProof/>
          <w:lang w:val="en-IE"/>
        </w:rPr>
        <w:t xml:space="preserve">preparing the Turkish Cypriot community to introduce and implement the </w:t>
      </w:r>
      <w:r w:rsidRPr="00343169">
        <w:rPr>
          <w:i/>
          <w:noProof/>
          <w:lang w:val="en-IE"/>
        </w:rPr>
        <w:t>acquis</w:t>
      </w:r>
      <w:r w:rsidRPr="00343169">
        <w:rPr>
          <w:noProof/>
          <w:lang w:val="en-IE"/>
        </w:rPr>
        <w:t>, in view of lifting its suspension in accordance with Article</w:t>
      </w:r>
      <w:r w:rsidRPr="00343169">
        <w:rPr>
          <w:rFonts w:ascii="Calibri" w:hAnsi="Calibri" w:cs="Calibri"/>
          <w:noProof/>
          <w:lang w:val="en-IE"/>
        </w:rPr>
        <w:t> </w:t>
      </w:r>
      <w:r w:rsidRPr="00343169">
        <w:rPr>
          <w:noProof/>
          <w:lang w:val="en-IE"/>
        </w:rPr>
        <w:t>1 of Protocol No</w:t>
      </w:r>
      <w:r w:rsidRPr="00343169">
        <w:rPr>
          <w:rFonts w:ascii="Calibri" w:hAnsi="Calibri" w:cs="Calibri"/>
          <w:noProof/>
          <w:lang w:val="en-IE"/>
        </w:rPr>
        <w:t> </w:t>
      </w:r>
      <w:r w:rsidRPr="00183A5F">
        <w:rPr>
          <w:noProof/>
          <w:lang w:val="en-IE"/>
        </w:rPr>
        <w:t xml:space="preserve">10 to the </w:t>
      </w:r>
      <w:r w:rsidRPr="00343169">
        <w:rPr>
          <w:noProof/>
          <w:lang w:val="en-IE"/>
        </w:rPr>
        <w:t>a</w:t>
      </w:r>
      <w:r w:rsidRPr="00183A5F">
        <w:rPr>
          <w:noProof/>
          <w:lang w:val="en-IE"/>
        </w:rPr>
        <w:t xml:space="preserve">ct of </w:t>
      </w:r>
      <w:r w:rsidRPr="00343169">
        <w:rPr>
          <w:noProof/>
          <w:lang w:val="en-IE"/>
        </w:rPr>
        <w:t>a</w:t>
      </w:r>
      <w:r w:rsidRPr="00183A5F">
        <w:rPr>
          <w:noProof/>
          <w:lang w:val="en-IE"/>
        </w:rPr>
        <w:t>ccession.</w:t>
      </w:r>
    </w:p>
    <w:p w14:paraId="7384C336" w14:textId="77777777" w:rsidR="0079461A" w:rsidRPr="00343169" w:rsidRDefault="0079461A" w:rsidP="0079461A">
      <w:pPr>
        <w:pStyle w:val="ppoHeading6"/>
        <w:rPr>
          <w:noProof/>
          <w:lang w:val="en-IE"/>
        </w:rPr>
      </w:pPr>
      <w:r w:rsidRPr="00343169">
        <w:rPr>
          <w:noProof/>
          <w:lang w:val="en-IE"/>
        </w:rPr>
        <w:t>Actions</w:t>
      </w:r>
    </w:p>
    <w:p w14:paraId="4741DA84" w14:textId="77777777" w:rsidR="0079461A" w:rsidRPr="00343169" w:rsidRDefault="0079461A" w:rsidP="0079461A">
      <w:pPr>
        <w:rPr>
          <w:noProof/>
          <w:lang w:val="en-IE"/>
        </w:rPr>
      </w:pPr>
      <w:r w:rsidRPr="00343169">
        <w:rPr>
          <w:noProof/>
          <w:lang w:val="en-IE"/>
        </w:rPr>
        <w:t>Amidst major difficulties due to the unique diplomatic, legal and political context, the programme remains ready to accommodate developments in the settlement process and to finance confidence</w:t>
      </w:r>
      <w:r w:rsidRPr="00343169">
        <w:rPr>
          <w:noProof/>
          <w:lang w:val="en-IE"/>
        </w:rPr>
        <w:noBreakHyphen/>
        <w:t>building measures resulting from this process.</w:t>
      </w:r>
    </w:p>
    <w:p w14:paraId="4468C302" w14:textId="77777777" w:rsidR="0079461A" w:rsidRPr="00343169" w:rsidRDefault="0079461A" w:rsidP="0079461A">
      <w:pPr>
        <w:pStyle w:val="ppoHeading6"/>
        <w:rPr>
          <w:noProof/>
          <w:lang w:val="en-IE"/>
        </w:rPr>
      </w:pPr>
      <w:r w:rsidRPr="00343169">
        <w:rPr>
          <w:noProof/>
          <w:lang w:val="en-IE"/>
        </w:rPr>
        <w:t>Delivery mode</w:t>
      </w:r>
    </w:p>
    <w:p w14:paraId="020E0164" w14:textId="77777777" w:rsidR="0079461A" w:rsidRPr="00343169" w:rsidRDefault="0079461A" w:rsidP="0079461A">
      <w:pPr>
        <w:rPr>
          <w:noProof/>
          <w:lang w:val="en-IE"/>
        </w:rPr>
      </w:pPr>
      <w:r w:rsidRPr="00343169">
        <w:rPr>
          <w:noProof/>
          <w:lang w:val="en-IE"/>
        </w:rPr>
        <w:t>The programme is implemented through direct management (procurement contracts and grants) and indirect management (contribution agreements with international organisations and Member State agencies). DG Structural Reform Support is the lead for the programme implementation.</w:t>
      </w:r>
    </w:p>
    <w:p w14:paraId="6E580EC0" w14:textId="77777777" w:rsidR="0079461A" w:rsidRPr="00343169" w:rsidRDefault="0079461A" w:rsidP="0079461A">
      <w:pPr>
        <w:pStyle w:val="ppoHeading6"/>
        <w:rPr>
          <w:noProof/>
          <w:lang w:val="en-IE"/>
        </w:rPr>
      </w:pPr>
      <w:r w:rsidRPr="00343169">
        <w:rPr>
          <w:noProof/>
          <w:lang w:val="en-IE"/>
        </w:rPr>
        <w:t>LINK TO THE 2014-2020 Multiannual Financial Framework</w:t>
      </w:r>
    </w:p>
    <w:p w14:paraId="433AC926" w14:textId="77777777" w:rsidR="0079461A" w:rsidRPr="00343169" w:rsidRDefault="0079461A" w:rsidP="0079461A">
      <w:pPr>
        <w:rPr>
          <w:noProof/>
          <w:lang w:val="en-IE"/>
        </w:rPr>
      </w:pPr>
      <w:r w:rsidRPr="00343169">
        <w:rPr>
          <w:noProof/>
          <w:lang w:val="en-IE"/>
        </w:rPr>
        <w:t>The programme is a continuation of its predecessor.</w:t>
      </w:r>
    </w:p>
    <w:p w14:paraId="414388DA" w14:textId="77777777" w:rsidR="0079461A" w:rsidRPr="00343169" w:rsidRDefault="0079461A" w:rsidP="0079461A">
      <w:pPr>
        <w:pStyle w:val="ppoHeading6"/>
        <w:rPr>
          <w:noProof/>
          <w:lang w:val="en-IE"/>
        </w:rPr>
      </w:pPr>
      <w:r w:rsidRPr="00343169">
        <w:rPr>
          <w:noProof/>
          <w:lang w:val="en-IE"/>
        </w:rPr>
        <w:t>Impact assessment</w:t>
      </w:r>
    </w:p>
    <w:p w14:paraId="56E5E910" w14:textId="77777777" w:rsidR="0079461A" w:rsidRPr="00343169" w:rsidRDefault="0079461A" w:rsidP="0079461A">
      <w:pPr>
        <w:pStyle w:val="ppoHeading6"/>
        <w:rPr>
          <w:noProof/>
          <w:lang w:val="en-IE"/>
        </w:rPr>
      </w:pPr>
      <w:r w:rsidRPr="00343169">
        <w:rPr>
          <w:noProof/>
          <w:lang w:val="en-IE"/>
        </w:rPr>
        <w:t>WEBSITE FOR more information</w:t>
      </w:r>
    </w:p>
    <w:p w14:paraId="4D2AEACC" w14:textId="77777777" w:rsidR="0079461A" w:rsidRPr="00343169" w:rsidRDefault="00E01E9B" w:rsidP="0079461A">
      <w:pPr>
        <w:rPr>
          <w:noProof/>
          <w:lang w:val="en-IE"/>
        </w:rPr>
      </w:pPr>
      <w:hyperlink r:id="rId212" w:history="1">
        <w:r w:rsidR="0079461A" w:rsidRPr="00343169">
          <w:rPr>
            <w:rStyle w:val="Hyperlink"/>
            <w:noProof/>
            <w:lang w:val="en-IE"/>
          </w:rPr>
          <w:t>https://europa.eu/!WN64dq</w:t>
        </w:r>
      </w:hyperlink>
    </w:p>
    <w:p w14:paraId="027E61BD" w14:textId="77777777" w:rsidR="0079461A" w:rsidRPr="00343169" w:rsidRDefault="0079461A" w:rsidP="0079461A">
      <w:pPr>
        <w:pStyle w:val="ppoHeading5"/>
        <w:rPr>
          <w:noProof/>
          <w:lang w:val="en-IE"/>
        </w:rPr>
      </w:pPr>
      <w:r w:rsidRPr="00343169">
        <w:rPr>
          <w:rFonts w:eastAsiaTheme="minorEastAsia"/>
          <w:noProof/>
          <w:lang w:val="en-IE"/>
        </w:rPr>
        <w:t>Legal basis</w:t>
      </w:r>
    </w:p>
    <w:p w14:paraId="45784A07" w14:textId="77777777" w:rsidR="0079461A" w:rsidRPr="00343169" w:rsidRDefault="0079461A" w:rsidP="0079461A">
      <w:pPr>
        <w:rPr>
          <w:noProof/>
          <w:lang w:val="en-IE"/>
        </w:rPr>
      </w:pPr>
      <w:r w:rsidRPr="00343169">
        <w:rPr>
          <w:noProof/>
          <w:lang w:val="en-IE"/>
        </w:rPr>
        <w:t>Council Regulation (EC)</w:t>
      </w:r>
      <w:r w:rsidRPr="00343169">
        <w:rPr>
          <w:rFonts w:ascii="Calibri" w:hAnsi="Calibri" w:cs="Calibri"/>
          <w:noProof/>
          <w:lang w:val="en-IE"/>
        </w:rPr>
        <w:t> </w:t>
      </w:r>
      <w:r w:rsidRPr="00343169">
        <w:rPr>
          <w:noProof/>
          <w:lang w:val="en-IE"/>
        </w:rPr>
        <w:t>No</w:t>
      </w:r>
      <w:r w:rsidRPr="00343169">
        <w:rPr>
          <w:rFonts w:ascii="Arial" w:hAnsi="Arial" w:cs="Arial"/>
          <w:noProof/>
          <w:rtl/>
          <w:lang w:val="en-IE"/>
        </w:rPr>
        <w:t> </w:t>
      </w:r>
      <w:r w:rsidRPr="00343169">
        <w:rPr>
          <w:noProof/>
          <w:lang w:val="en-IE"/>
        </w:rPr>
        <w:t>389/2006.</w:t>
      </w:r>
    </w:p>
    <w:p w14:paraId="32BCDB7E" w14:textId="77777777" w:rsidR="0079461A" w:rsidRPr="00343169" w:rsidRDefault="0079461A" w:rsidP="0079461A">
      <w:pPr>
        <w:pStyle w:val="ppoHeading4Green"/>
        <w:rPr>
          <w:caps/>
          <w:noProof/>
          <w:lang w:val="en-IE"/>
        </w:rPr>
      </w:pPr>
      <w:r w:rsidRPr="00343169">
        <w:rPr>
          <w:noProof/>
          <w:lang w:val="en-IE"/>
        </w:rPr>
        <w:t xml:space="preserve">Implementation and performance </w:t>
      </w:r>
    </w:p>
    <w:p w14:paraId="123D3F4D" w14:textId="77777777" w:rsidR="0079461A" w:rsidRPr="00343169" w:rsidRDefault="0079461A" w:rsidP="0079461A">
      <w:pPr>
        <w:pStyle w:val="ppoHeading5"/>
        <w:rPr>
          <w:noProof/>
          <w:lang w:val="en-IE"/>
        </w:rPr>
      </w:pPr>
      <w:r w:rsidRPr="00343169">
        <w:rPr>
          <w:noProof/>
          <w:lang w:val="en-IE"/>
        </w:rPr>
        <w:t xml:space="preserve">Budget </w:t>
      </w:r>
    </w:p>
    <w:p w14:paraId="52B22E3C" w14:textId="77777777" w:rsidR="0079461A" w:rsidRPr="00343169" w:rsidRDefault="0079461A" w:rsidP="0079461A">
      <w:pPr>
        <w:pStyle w:val="ppoTableTabletitle"/>
        <w:rPr>
          <w:noProof/>
          <w:lang w:val="en-IE"/>
        </w:rPr>
      </w:pPr>
      <w:r w:rsidRPr="00343169">
        <w:rPr>
          <w:noProof/>
          <w:lang w:val="en-IE"/>
        </w:rPr>
        <w:t>Budget programming (million 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79461A" w:rsidRPr="00343169" w14:paraId="02AFBC4A" w14:textId="77777777" w:rsidTr="00AF1C52">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18A495A8" w14:textId="77777777" w:rsidR="0079461A" w:rsidRPr="00343169" w:rsidRDefault="0079461A" w:rsidP="00AF1C52">
            <w:pPr>
              <w:rPr>
                <w:noProof/>
                <w:lang w:val="en-IE"/>
              </w:rPr>
            </w:pPr>
          </w:p>
        </w:tc>
        <w:tc>
          <w:tcPr>
            <w:tcW w:w="943" w:type="dxa"/>
            <w:noWrap/>
            <w:hideMark/>
          </w:tcPr>
          <w:p w14:paraId="7D0E0A0C" w14:textId="77777777" w:rsidR="0079461A" w:rsidRPr="00343169" w:rsidRDefault="0079461A" w:rsidP="00AF1C52">
            <w:pPr>
              <w:rPr>
                <w:noProof/>
                <w:lang w:val="en-IE"/>
              </w:rPr>
            </w:pPr>
            <w:r w:rsidRPr="00343169">
              <w:rPr>
                <w:noProof/>
                <w:lang w:val="en-IE"/>
              </w:rPr>
              <w:t>2021</w:t>
            </w:r>
          </w:p>
        </w:tc>
        <w:tc>
          <w:tcPr>
            <w:tcW w:w="944" w:type="dxa"/>
            <w:noWrap/>
            <w:hideMark/>
          </w:tcPr>
          <w:p w14:paraId="1EA45B28" w14:textId="77777777" w:rsidR="0079461A" w:rsidRPr="00343169" w:rsidRDefault="0079461A" w:rsidP="00AF1C52">
            <w:pPr>
              <w:rPr>
                <w:noProof/>
                <w:lang w:val="en-IE"/>
              </w:rPr>
            </w:pPr>
            <w:r w:rsidRPr="00343169">
              <w:rPr>
                <w:noProof/>
                <w:lang w:val="en-IE"/>
              </w:rPr>
              <w:t>2022</w:t>
            </w:r>
          </w:p>
        </w:tc>
        <w:tc>
          <w:tcPr>
            <w:tcW w:w="943" w:type="dxa"/>
            <w:noWrap/>
            <w:hideMark/>
          </w:tcPr>
          <w:p w14:paraId="2249DD7B" w14:textId="77777777" w:rsidR="0079461A" w:rsidRPr="00343169" w:rsidRDefault="0079461A" w:rsidP="00AF1C52">
            <w:pPr>
              <w:rPr>
                <w:noProof/>
                <w:lang w:val="en-IE"/>
              </w:rPr>
            </w:pPr>
            <w:r w:rsidRPr="00343169">
              <w:rPr>
                <w:noProof/>
                <w:lang w:val="en-IE"/>
              </w:rPr>
              <w:t>2023</w:t>
            </w:r>
          </w:p>
        </w:tc>
        <w:tc>
          <w:tcPr>
            <w:tcW w:w="944" w:type="dxa"/>
            <w:noWrap/>
            <w:hideMark/>
          </w:tcPr>
          <w:p w14:paraId="06C28A42" w14:textId="77777777" w:rsidR="0079461A" w:rsidRPr="00343169" w:rsidRDefault="0079461A" w:rsidP="00AF1C52">
            <w:pPr>
              <w:rPr>
                <w:noProof/>
                <w:lang w:val="en-IE"/>
              </w:rPr>
            </w:pPr>
            <w:r w:rsidRPr="00343169">
              <w:rPr>
                <w:noProof/>
                <w:lang w:val="en-IE"/>
              </w:rPr>
              <w:t>2024</w:t>
            </w:r>
          </w:p>
        </w:tc>
        <w:tc>
          <w:tcPr>
            <w:tcW w:w="944" w:type="dxa"/>
            <w:noWrap/>
            <w:hideMark/>
          </w:tcPr>
          <w:p w14:paraId="703EBFE5" w14:textId="77777777" w:rsidR="0079461A" w:rsidRPr="00343169" w:rsidRDefault="0079461A" w:rsidP="00AF1C52">
            <w:pPr>
              <w:rPr>
                <w:noProof/>
                <w:lang w:val="en-IE"/>
              </w:rPr>
            </w:pPr>
            <w:r w:rsidRPr="00343169">
              <w:rPr>
                <w:noProof/>
                <w:lang w:val="en-IE"/>
              </w:rPr>
              <w:t>2025</w:t>
            </w:r>
          </w:p>
        </w:tc>
        <w:tc>
          <w:tcPr>
            <w:tcW w:w="943" w:type="dxa"/>
            <w:noWrap/>
            <w:hideMark/>
          </w:tcPr>
          <w:p w14:paraId="32549DB1" w14:textId="77777777" w:rsidR="0079461A" w:rsidRPr="00343169" w:rsidRDefault="0079461A" w:rsidP="00AF1C52">
            <w:pPr>
              <w:rPr>
                <w:noProof/>
                <w:lang w:val="en-IE"/>
              </w:rPr>
            </w:pPr>
            <w:r w:rsidRPr="00343169">
              <w:rPr>
                <w:noProof/>
                <w:lang w:val="en-IE"/>
              </w:rPr>
              <w:t>2026</w:t>
            </w:r>
          </w:p>
        </w:tc>
        <w:tc>
          <w:tcPr>
            <w:tcW w:w="944" w:type="dxa"/>
            <w:noWrap/>
            <w:hideMark/>
          </w:tcPr>
          <w:p w14:paraId="73325F8C" w14:textId="77777777" w:rsidR="0079461A" w:rsidRPr="00343169" w:rsidRDefault="0079461A" w:rsidP="00AF1C52">
            <w:pPr>
              <w:rPr>
                <w:noProof/>
                <w:lang w:val="en-IE"/>
              </w:rPr>
            </w:pPr>
            <w:r w:rsidRPr="00343169">
              <w:rPr>
                <w:noProof/>
                <w:lang w:val="en-IE"/>
              </w:rPr>
              <w:t>2027</w:t>
            </w:r>
          </w:p>
        </w:tc>
        <w:tc>
          <w:tcPr>
            <w:tcW w:w="944" w:type="dxa"/>
            <w:noWrap/>
            <w:hideMark/>
          </w:tcPr>
          <w:p w14:paraId="6E886C4D" w14:textId="77777777" w:rsidR="0079461A" w:rsidRPr="00343169" w:rsidRDefault="0079461A" w:rsidP="00AF1C52">
            <w:pPr>
              <w:rPr>
                <w:noProof/>
                <w:lang w:val="en-IE"/>
              </w:rPr>
            </w:pPr>
            <w:r w:rsidRPr="00343169">
              <w:rPr>
                <w:noProof/>
                <w:lang w:val="en-IE"/>
              </w:rPr>
              <w:t>Total</w:t>
            </w:r>
          </w:p>
        </w:tc>
      </w:tr>
      <w:tr w:rsidR="0079461A" w:rsidRPr="00343169" w14:paraId="1A0AE18E" w14:textId="77777777" w:rsidTr="00AF1C52">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2AD70F2B" w14:textId="77777777" w:rsidR="0079461A" w:rsidRPr="00343169" w:rsidRDefault="0079461A" w:rsidP="00AF1C52">
            <w:pPr>
              <w:rPr>
                <w:noProof/>
                <w:lang w:val="en-IE"/>
              </w:rPr>
            </w:pPr>
            <w:r w:rsidRPr="00343169">
              <w:rPr>
                <w:noProof/>
                <w:lang w:val="en-IE"/>
              </w:rPr>
              <w:t>Financial programming</w:t>
            </w:r>
          </w:p>
        </w:tc>
        <w:tc>
          <w:tcPr>
            <w:tcW w:w="943" w:type="dxa"/>
            <w:noWrap/>
            <w:hideMark/>
          </w:tcPr>
          <w:p w14:paraId="176DA584" w14:textId="77777777" w:rsidR="0079461A" w:rsidRPr="00343169" w:rsidRDefault="0079461A" w:rsidP="00AF1C52">
            <w:pPr>
              <w:jc w:val="center"/>
              <w:rPr>
                <w:noProof/>
                <w:lang w:val="en-IE"/>
              </w:rPr>
            </w:pPr>
            <w:r w:rsidRPr="00343169">
              <w:rPr>
                <w:noProof/>
                <w:lang w:val="en-IE"/>
              </w:rPr>
              <w:t>32.0</w:t>
            </w:r>
          </w:p>
        </w:tc>
        <w:tc>
          <w:tcPr>
            <w:tcW w:w="944" w:type="dxa"/>
            <w:noWrap/>
            <w:hideMark/>
          </w:tcPr>
          <w:p w14:paraId="6473689B" w14:textId="77777777" w:rsidR="0079461A" w:rsidRPr="00343169" w:rsidRDefault="0079461A" w:rsidP="00AF1C52">
            <w:pPr>
              <w:jc w:val="center"/>
              <w:rPr>
                <w:noProof/>
                <w:lang w:val="en-IE"/>
              </w:rPr>
            </w:pPr>
            <w:r w:rsidRPr="00343169">
              <w:rPr>
                <w:noProof/>
                <w:lang w:val="en-IE"/>
              </w:rPr>
              <w:t>34.3</w:t>
            </w:r>
          </w:p>
        </w:tc>
        <w:tc>
          <w:tcPr>
            <w:tcW w:w="943" w:type="dxa"/>
            <w:noWrap/>
            <w:hideMark/>
          </w:tcPr>
          <w:p w14:paraId="3A80F03B" w14:textId="77777777" w:rsidR="0079461A" w:rsidRPr="00343169" w:rsidRDefault="0079461A" w:rsidP="00AF1C52">
            <w:pPr>
              <w:jc w:val="center"/>
              <w:rPr>
                <w:noProof/>
                <w:lang w:val="en-IE"/>
              </w:rPr>
            </w:pPr>
            <w:r w:rsidRPr="00343169">
              <w:rPr>
                <w:noProof/>
                <w:lang w:val="en-IE"/>
              </w:rPr>
              <w:t>33.6</w:t>
            </w:r>
          </w:p>
        </w:tc>
        <w:tc>
          <w:tcPr>
            <w:tcW w:w="944" w:type="dxa"/>
            <w:noWrap/>
            <w:hideMark/>
          </w:tcPr>
          <w:p w14:paraId="7F8CCCD0" w14:textId="77777777" w:rsidR="0079461A" w:rsidRPr="00343169" w:rsidRDefault="0079461A" w:rsidP="00AF1C52">
            <w:pPr>
              <w:jc w:val="center"/>
              <w:rPr>
                <w:noProof/>
                <w:lang w:val="en-IE"/>
              </w:rPr>
            </w:pPr>
            <w:r w:rsidRPr="00343169">
              <w:rPr>
                <w:noProof/>
                <w:lang w:val="en-IE"/>
              </w:rPr>
              <w:t>34.3</w:t>
            </w:r>
          </w:p>
        </w:tc>
        <w:tc>
          <w:tcPr>
            <w:tcW w:w="944" w:type="dxa"/>
            <w:noWrap/>
            <w:hideMark/>
          </w:tcPr>
          <w:p w14:paraId="579A4F68" w14:textId="77777777" w:rsidR="0079461A" w:rsidRPr="00343169" w:rsidRDefault="0079461A" w:rsidP="00AF1C52">
            <w:pPr>
              <w:jc w:val="center"/>
              <w:rPr>
                <w:noProof/>
                <w:lang w:val="en-IE"/>
              </w:rPr>
            </w:pPr>
            <w:r w:rsidRPr="00343169">
              <w:rPr>
                <w:noProof/>
                <w:lang w:val="en-IE"/>
              </w:rPr>
              <w:t>35.0</w:t>
            </w:r>
          </w:p>
        </w:tc>
        <w:tc>
          <w:tcPr>
            <w:tcW w:w="943" w:type="dxa"/>
            <w:noWrap/>
            <w:hideMark/>
          </w:tcPr>
          <w:p w14:paraId="55E52EC2" w14:textId="77777777" w:rsidR="0079461A" w:rsidRPr="00343169" w:rsidRDefault="0079461A" w:rsidP="00AF1C52">
            <w:pPr>
              <w:jc w:val="center"/>
              <w:rPr>
                <w:noProof/>
                <w:lang w:val="en-IE"/>
              </w:rPr>
            </w:pPr>
            <w:r w:rsidRPr="00343169">
              <w:rPr>
                <w:noProof/>
                <w:lang w:val="en-IE"/>
              </w:rPr>
              <w:t>35.7</w:t>
            </w:r>
          </w:p>
        </w:tc>
        <w:tc>
          <w:tcPr>
            <w:tcW w:w="944" w:type="dxa"/>
            <w:noWrap/>
            <w:hideMark/>
          </w:tcPr>
          <w:p w14:paraId="543FAA7B" w14:textId="77777777" w:rsidR="0079461A" w:rsidRPr="00343169" w:rsidRDefault="0079461A" w:rsidP="00AF1C52">
            <w:pPr>
              <w:jc w:val="center"/>
              <w:rPr>
                <w:noProof/>
                <w:lang w:val="en-IE"/>
              </w:rPr>
            </w:pPr>
            <w:r w:rsidRPr="00343169">
              <w:rPr>
                <w:noProof/>
                <w:lang w:val="en-IE"/>
              </w:rPr>
              <w:t>36.2</w:t>
            </w:r>
          </w:p>
        </w:tc>
        <w:tc>
          <w:tcPr>
            <w:tcW w:w="944" w:type="dxa"/>
            <w:noWrap/>
            <w:hideMark/>
          </w:tcPr>
          <w:p w14:paraId="297C2101" w14:textId="77777777" w:rsidR="0079461A" w:rsidRPr="00343169" w:rsidRDefault="0079461A" w:rsidP="00AF1C52">
            <w:pPr>
              <w:jc w:val="center"/>
              <w:rPr>
                <w:noProof/>
                <w:lang w:val="en-IE"/>
              </w:rPr>
            </w:pPr>
            <w:r w:rsidRPr="00343169">
              <w:rPr>
                <w:noProof/>
                <w:lang w:val="en-IE"/>
              </w:rPr>
              <w:t>241.0</w:t>
            </w:r>
          </w:p>
        </w:tc>
      </w:tr>
      <w:tr w:rsidR="0079461A" w:rsidRPr="00343169" w14:paraId="7B5A35E5" w14:textId="77777777" w:rsidTr="00AF1C52">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2E7BD549" w14:textId="77777777" w:rsidR="0079461A" w:rsidRPr="00343169" w:rsidRDefault="0079461A" w:rsidP="00AF1C52">
            <w:pPr>
              <w:rPr>
                <w:noProof/>
                <w:lang w:val="en-IE"/>
              </w:rPr>
            </w:pPr>
            <w:r w:rsidRPr="00343169">
              <w:rPr>
                <w:noProof/>
                <w:lang w:val="en-IE"/>
              </w:rPr>
              <w:t>NextGenerationEU</w:t>
            </w:r>
          </w:p>
        </w:tc>
        <w:tc>
          <w:tcPr>
            <w:tcW w:w="943" w:type="dxa"/>
            <w:noWrap/>
            <w:hideMark/>
          </w:tcPr>
          <w:p w14:paraId="5FB21D0C" w14:textId="77777777" w:rsidR="0079461A" w:rsidRPr="00343169" w:rsidRDefault="0079461A" w:rsidP="00AF1C52">
            <w:pPr>
              <w:jc w:val="center"/>
              <w:rPr>
                <w:noProof/>
                <w:lang w:val="en-IE"/>
              </w:rPr>
            </w:pPr>
          </w:p>
        </w:tc>
        <w:tc>
          <w:tcPr>
            <w:tcW w:w="944" w:type="dxa"/>
            <w:noWrap/>
            <w:hideMark/>
          </w:tcPr>
          <w:p w14:paraId="4F1132CB" w14:textId="77777777" w:rsidR="0079461A" w:rsidRPr="00343169" w:rsidRDefault="0079461A" w:rsidP="00AF1C52">
            <w:pPr>
              <w:jc w:val="center"/>
              <w:rPr>
                <w:noProof/>
                <w:lang w:val="en-IE"/>
              </w:rPr>
            </w:pPr>
          </w:p>
        </w:tc>
        <w:tc>
          <w:tcPr>
            <w:tcW w:w="943" w:type="dxa"/>
            <w:noWrap/>
            <w:hideMark/>
          </w:tcPr>
          <w:p w14:paraId="61D682FD" w14:textId="77777777" w:rsidR="0079461A" w:rsidRPr="00343169" w:rsidRDefault="0079461A" w:rsidP="00AF1C52">
            <w:pPr>
              <w:jc w:val="center"/>
              <w:rPr>
                <w:noProof/>
                <w:lang w:val="en-IE"/>
              </w:rPr>
            </w:pPr>
          </w:p>
        </w:tc>
        <w:tc>
          <w:tcPr>
            <w:tcW w:w="944" w:type="dxa"/>
            <w:noWrap/>
            <w:hideMark/>
          </w:tcPr>
          <w:p w14:paraId="7D6C1DAA" w14:textId="77777777" w:rsidR="0079461A" w:rsidRPr="00343169" w:rsidRDefault="0079461A" w:rsidP="00AF1C52">
            <w:pPr>
              <w:jc w:val="center"/>
              <w:rPr>
                <w:noProof/>
                <w:lang w:val="en-IE"/>
              </w:rPr>
            </w:pPr>
          </w:p>
        </w:tc>
        <w:tc>
          <w:tcPr>
            <w:tcW w:w="944" w:type="dxa"/>
            <w:noWrap/>
            <w:hideMark/>
          </w:tcPr>
          <w:p w14:paraId="37BB0954" w14:textId="77777777" w:rsidR="0079461A" w:rsidRPr="00343169" w:rsidRDefault="0079461A" w:rsidP="00AF1C52">
            <w:pPr>
              <w:jc w:val="center"/>
              <w:rPr>
                <w:noProof/>
                <w:lang w:val="en-IE"/>
              </w:rPr>
            </w:pPr>
          </w:p>
        </w:tc>
        <w:tc>
          <w:tcPr>
            <w:tcW w:w="943" w:type="dxa"/>
            <w:noWrap/>
            <w:hideMark/>
          </w:tcPr>
          <w:p w14:paraId="1D61BE0C" w14:textId="77777777" w:rsidR="0079461A" w:rsidRPr="00343169" w:rsidRDefault="0079461A" w:rsidP="00AF1C52">
            <w:pPr>
              <w:jc w:val="center"/>
              <w:rPr>
                <w:noProof/>
                <w:lang w:val="en-IE"/>
              </w:rPr>
            </w:pPr>
          </w:p>
        </w:tc>
        <w:tc>
          <w:tcPr>
            <w:tcW w:w="944" w:type="dxa"/>
            <w:noWrap/>
            <w:hideMark/>
          </w:tcPr>
          <w:p w14:paraId="49C4A6BA" w14:textId="77777777" w:rsidR="0079461A" w:rsidRPr="00343169" w:rsidRDefault="0079461A" w:rsidP="00AF1C52">
            <w:pPr>
              <w:jc w:val="center"/>
              <w:rPr>
                <w:noProof/>
                <w:lang w:val="en-IE"/>
              </w:rPr>
            </w:pPr>
          </w:p>
        </w:tc>
        <w:tc>
          <w:tcPr>
            <w:tcW w:w="944" w:type="dxa"/>
            <w:noWrap/>
            <w:hideMark/>
          </w:tcPr>
          <w:p w14:paraId="183D1BA5" w14:textId="77777777" w:rsidR="0079461A" w:rsidRPr="00343169" w:rsidRDefault="0079461A" w:rsidP="00AF1C52">
            <w:pPr>
              <w:jc w:val="center"/>
              <w:rPr>
                <w:noProof/>
                <w:lang w:val="en-IE"/>
              </w:rPr>
            </w:pPr>
          </w:p>
        </w:tc>
      </w:tr>
      <w:tr w:rsidR="0079461A" w:rsidRPr="00343169" w14:paraId="0399AD9D" w14:textId="77777777" w:rsidTr="00AF1C52">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4ED291CB" w14:textId="77777777" w:rsidR="0079461A" w:rsidRPr="00343169" w:rsidRDefault="0079461A" w:rsidP="00AF1C52">
            <w:pPr>
              <w:rPr>
                <w:noProof/>
                <w:lang w:val="en-IE"/>
              </w:rPr>
            </w:pPr>
            <w:r w:rsidRPr="00343169">
              <w:rPr>
                <w:noProof/>
                <w:lang w:val="en-IE"/>
              </w:rPr>
              <w:t>Decommitments made available again</w:t>
            </w:r>
            <w:r w:rsidRPr="00343169">
              <w:rPr>
                <w:rFonts w:ascii="Calibri" w:hAnsi="Calibri" w:cs="Calibri"/>
                <w:noProof/>
                <w:lang w:val="en-IE"/>
              </w:rPr>
              <w:t> </w:t>
            </w:r>
            <w:r w:rsidRPr="00343169">
              <w:rPr>
                <w:noProof/>
                <w:lang w:val="en-IE"/>
              </w:rPr>
              <w:t>(*)</w:t>
            </w:r>
          </w:p>
        </w:tc>
        <w:tc>
          <w:tcPr>
            <w:tcW w:w="943" w:type="dxa"/>
            <w:noWrap/>
            <w:hideMark/>
          </w:tcPr>
          <w:p w14:paraId="7F2FFF78" w14:textId="77777777" w:rsidR="0079461A" w:rsidRPr="00343169" w:rsidRDefault="0079461A" w:rsidP="00AF1C52">
            <w:pPr>
              <w:jc w:val="center"/>
              <w:rPr>
                <w:noProof/>
                <w:lang w:val="en-IE"/>
              </w:rPr>
            </w:pPr>
            <w:r>
              <w:rPr>
                <w:noProof/>
                <w:lang w:val="en-IE"/>
              </w:rPr>
              <w:t>N/A</w:t>
            </w:r>
          </w:p>
        </w:tc>
        <w:tc>
          <w:tcPr>
            <w:tcW w:w="944" w:type="dxa"/>
            <w:noWrap/>
            <w:hideMark/>
          </w:tcPr>
          <w:p w14:paraId="6F689FEB" w14:textId="77777777" w:rsidR="0079461A" w:rsidRPr="00343169" w:rsidRDefault="0079461A" w:rsidP="00AF1C52">
            <w:pPr>
              <w:jc w:val="center"/>
              <w:rPr>
                <w:noProof/>
                <w:lang w:val="en-IE"/>
              </w:rPr>
            </w:pPr>
          </w:p>
        </w:tc>
        <w:tc>
          <w:tcPr>
            <w:tcW w:w="943" w:type="dxa"/>
            <w:noWrap/>
            <w:hideMark/>
          </w:tcPr>
          <w:p w14:paraId="1BCBE7FE" w14:textId="77777777" w:rsidR="0079461A" w:rsidRPr="00343169" w:rsidRDefault="0079461A" w:rsidP="00AF1C52">
            <w:pPr>
              <w:jc w:val="center"/>
              <w:rPr>
                <w:noProof/>
                <w:lang w:val="en-IE"/>
              </w:rPr>
            </w:pPr>
          </w:p>
        </w:tc>
        <w:tc>
          <w:tcPr>
            <w:tcW w:w="944" w:type="dxa"/>
            <w:noWrap/>
            <w:hideMark/>
          </w:tcPr>
          <w:p w14:paraId="788FCB38" w14:textId="77777777" w:rsidR="0079461A" w:rsidRPr="00343169" w:rsidRDefault="0079461A" w:rsidP="00AF1C52">
            <w:pPr>
              <w:jc w:val="center"/>
              <w:rPr>
                <w:noProof/>
                <w:lang w:val="en-IE"/>
              </w:rPr>
            </w:pPr>
          </w:p>
        </w:tc>
        <w:tc>
          <w:tcPr>
            <w:tcW w:w="944" w:type="dxa"/>
            <w:noWrap/>
            <w:hideMark/>
          </w:tcPr>
          <w:p w14:paraId="3F741C47" w14:textId="77777777" w:rsidR="0079461A" w:rsidRPr="00343169" w:rsidRDefault="0079461A" w:rsidP="00AF1C52">
            <w:pPr>
              <w:jc w:val="center"/>
              <w:rPr>
                <w:noProof/>
                <w:lang w:val="en-IE"/>
              </w:rPr>
            </w:pPr>
          </w:p>
        </w:tc>
        <w:tc>
          <w:tcPr>
            <w:tcW w:w="943" w:type="dxa"/>
            <w:noWrap/>
            <w:hideMark/>
          </w:tcPr>
          <w:p w14:paraId="646DB039" w14:textId="77777777" w:rsidR="0079461A" w:rsidRPr="00343169" w:rsidRDefault="0079461A" w:rsidP="00AF1C52">
            <w:pPr>
              <w:jc w:val="center"/>
              <w:rPr>
                <w:noProof/>
                <w:lang w:val="en-IE"/>
              </w:rPr>
            </w:pPr>
          </w:p>
        </w:tc>
        <w:tc>
          <w:tcPr>
            <w:tcW w:w="944" w:type="dxa"/>
            <w:noWrap/>
            <w:hideMark/>
          </w:tcPr>
          <w:p w14:paraId="5F0E7224" w14:textId="77777777" w:rsidR="0079461A" w:rsidRPr="00343169" w:rsidRDefault="0079461A" w:rsidP="00AF1C52">
            <w:pPr>
              <w:jc w:val="center"/>
              <w:rPr>
                <w:noProof/>
                <w:lang w:val="en-IE"/>
              </w:rPr>
            </w:pPr>
          </w:p>
        </w:tc>
        <w:tc>
          <w:tcPr>
            <w:tcW w:w="944" w:type="dxa"/>
            <w:noWrap/>
            <w:hideMark/>
          </w:tcPr>
          <w:p w14:paraId="483DBD73" w14:textId="77777777" w:rsidR="0079461A" w:rsidRPr="00343169" w:rsidRDefault="0079461A" w:rsidP="00AF1C52">
            <w:pPr>
              <w:jc w:val="center"/>
              <w:rPr>
                <w:noProof/>
                <w:lang w:val="en-IE"/>
              </w:rPr>
            </w:pPr>
            <w:r>
              <w:rPr>
                <w:noProof/>
                <w:lang w:val="en-IE"/>
              </w:rPr>
              <w:t>N/A</w:t>
            </w:r>
          </w:p>
        </w:tc>
      </w:tr>
      <w:tr w:rsidR="0079461A" w:rsidRPr="00343169" w14:paraId="2A8B5E9E" w14:textId="77777777" w:rsidTr="00AF1C52">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39A6026E" w14:textId="77777777" w:rsidR="0079461A" w:rsidRPr="00343169" w:rsidRDefault="0079461A" w:rsidP="00AF1C52">
            <w:pPr>
              <w:rPr>
                <w:noProof/>
                <w:lang w:val="en-IE"/>
              </w:rPr>
            </w:pPr>
            <w:r w:rsidRPr="00343169">
              <w:rPr>
                <w:noProof/>
                <w:lang w:val="en-IE"/>
              </w:rPr>
              <w:t>Contributions from other countries and entities</w:t>
            </w:r>
          </w:p>
        </w:tc>
        <w:tc>
          <w:tcPr>
            <w:tcW w:w="943" w:type="dxa"/>
            <w:noWrap/>
            <w:hideMark/>
          </w:tcPr>
          <w:p w14:paraId="30B7F7C0" w14:textId="77777777" w:rsidR="0079461A" w:rsidRPr="00343169" w:rsidRDefault="0079461A" w:rsidP="00AF1C52">
            <w:pPr>
              <w:jc w:val="center"/>
              <w:rPr>
                <w:noProof/>
                <w:lang w:val="en-IE"/>
              </w:rPr>
            </w:pPr>
          </w:p>
        </w:tc>
        <w:tc>
          <w:tcPr>
            <w:tcW w:w="944" w:type="dxa"/>
            <w:noWrap/>
            <w:hideMark/>
          </w:tcPr>
          <w:p w14:paraId="1CA846A9" w14:textId="77777777" w:rsidR="0079461A" w:rsidRPr="00343169" w:rsidRDefault="0079461A" w:rsidP="00AF1C52">
            <w:pPr>
              <w:jc w:val="center"/>
              <w:rPr>
                <w:noProof/>
                <w:lang w:val="en-IE"/>
              </w:rPr>
            </w:pPr>
          </w:p>
        </w:tc>
        <w:tc>
          <w:tcPr>
            <w:tcW w:w="943" w:type="dxa"/>
            <w:noWrap/>
            <w:hideMark/>
          </w:tcPr>
          <w:p w14:paraId="7EAB86ED" w14:textId="77777777" w:rsidR="0079461A" w:rsidRPr="00343169" w:rsidRDefault="0079461A" w:rsidP="00AF1C52">
            <w:pPr>
              <w:jc w:val="center"/>
              <w:rPr>
                <w:noProof/>
                <w:lang w:val="en-IE"/>
              </w:rPr>
            </w:pPr>
          </w:p>
        </w:tc>
        <w:tc>
          <w:tcPr>
            <w:tcW w:w="944" w:type="dxa"/>
            <w:noWrap/>
            <w:hideMark/>
          </w:tcPr>
          <w:p w14:paraId="15642185" w14:textId="77777777" w:rsidR="0079461A" w:rsidRPr="00343169" w:rsidRDefault="0079461A" w:rsidP="00AF1C52">
            <w:pPr>
              <w:jc w:val="center"/>
              <w:rPr>
                <w:noProof/>
                <w:lang w:val="en-IE"/>
              </w:rPr>
            </w:pPr>
          </w:p>
        </w:tc>
        <w:tc>
          <w:tcPr>
            <w:tcW w:w="944" w:type="dxa"/>
            <w:noWrap/>
            <w:hideMark/>
          </w:tcPr>
          <w:p w14:paraId="3D66A2B0" w14:textId="77777777" w:rsidR="0079461A" w:rsidRPr="00343169" w:rsidRDefault="0079461A" w:rsidP="00AF1C52">
            <w:pPr>
              <w:jc w:val="center"/>
              <w:rPr>
                <w:noProof/>
                <w:lang w:val="en-IE"/>
              </w:rPr>
            </w:pPr>
          </w:p>
        </w:tc>
        <w:tc>
          <w:tcPr>
            <w:tcW w:w="943" w:type="dxa"/>
            <w:noWrap/>
            <w:hideMark/>
          </w:tcPr>
          <w:p w14:paraId="257C1CB2" w14:textId="77777777" w:rsidR="0079461A" w:rsidRPr="00343169" w:rsidRDefault="0079461A" w:rsidP="00AF1C52">
            <w:pPr>
              <w:jc w:val="center"/>
              <w:rPr>
                <w:noProof/>
                <w:lang w:val="en-IE"/>
              </w:rPr>
            </w:pPr>
          </w:p>
        </w:tc>
        <w:tc>
          <w:tcPr>
            <w:tcW w:w="944" w:type="dxa"/>
            <w:noWrap/>
            <w:hideMark/>
          </w:tcPr>
          <w:p w14:paraId="25659B94" w14:textId="77777777" w:rsidR="0079461A" w:rsidRPr="00343169" w:rsidRDefault="0079461A" w:rsidP="00AF1C52">
            <w:pPr>
              <w:jc w:val="center"/>
              <w:rPr>
                <w:noProof/>
                <w:lang w:val="en-IE"/>
              </w:rPr>
            </w:pPr>
          </w:p>
        </w:tc>
        <w:tc>
          <w:tcPr>
            <w:tcW w:w="944" w:type="dxa"/>
            <w:noWrap/>
            <w:hideMark/>
          </w:tcPr>
          <w:p w14:paraId="460E381C" w14:textId="77777777" w:rsidR="0079461A" w:rsidRPr="00343169" w:rsidRDefault="0079461A" w:rsidP="00AF1C52">
            <w:pPr>
              <w:jc w:val="center"/>
              <w:rPr>
                <w:noProof/>
                <w:lang w:val="en-IE"/>
              </w:rPr>
            </w:pPr>
          </w:p>
        </w:tc>
      </w:tr>
    </w:tbl>
    <w:p w14:paraId="3FB9A213" w14:textId="77777777" w:rsidR="0079461A" w:rsidRPr="00343169" w:rsidRDefault="0079461A" w:rsidP="0079461A">
      <w:pPr>
        <w:tabs>
          <w:tab w:val="left" w:pos="6793"/>
        </w:tabs>
        <w:rPr>
          <w:noProof/>
          <w:sz w:val="18"/>
          <w:szCs w:val="18"/>
          <w:lang w:val="en-IE"/>
        </w:rPr>
      </w:pPr>
      <w:r w:rsidRPr="45110BEB">
        <w:rPr>
          <w:noProof/>
          <w:sz w:val="18"/>
          <w:szCs w:val="18"/>
          <w:lang w:val="en-IE"/>
        </w:rPr>
        <w:t>(*) Only Article</w:t>
      </w:r>
      <w:r w:rsidRPr="45110BEB">
        <w:rPr>
          <w:rFonts w:ascii="Calibri" w:hAnsi="Calibri" w:cs="Calibri"/>
          <w:noProof/>
          <w:sz w:val="18"/>
          <w:szCs w:val="18"/>
          <w:lang w:val="en-IE"/>
        </w:rPr>
        <w:t> </w:t>
      </w:r>
      <w:r w:rsidRPr="45110BEB">
        <w:rPr>
          <w:noProof/>
          <w:sz w:val="18"/>
          <w:szCs w:val="18"/>
          <w:lang w:val="en-IE"/>
        </w:rPr>
        <w:t>15(3) of the financial regulation.</w:t>
      </w:r>
    </w:p>
    <w:p w14:paraId="4F8B821A" w14:textId="3F5A6685" w:rsidR="0079461A" w:rsidRPr="00343169" w:rsidRDefault="0079461A" w:rsidP="0079461A">
      <w:pPr>
        <w:pStyle w:val="ppoTableTabletitle"/>
        <w:jc w:val="center"/>
        <w:rPr>
          <w:noProof/>
          <w:lang w:val="en-IE"/>
        </w:rPr>
      </w:pPr>
      <w:r w:rsidRPr="1D59AC87">
        <w:rPr>
          <w:noProof/>
          <w:lang w:val="en-IE"/>
        </w:rPr>
        <w:t>Financial programming</w:t>
      </w:r>
      <w:r w:rsidR="004C4764">
        <w:rPr>
          <w:noProof/>
          <w:lang w:val="en-IE"/>
        </w:rPr>
        <w:t>:</w:t>
      </w:r>
      <w:r w:rsidRPr="1D59AC87">
        <w:rPr>
          <w:noProof/>
          <w:color w:val="881798"/>
          <w:lang w:val="en-IE"/>
        </w:rPr>
        <w:t xml:space="preserve"> </w:t>
      </w:r>
      <w:r w:rsidRPr="1D59AC87">
        <w:rPr>
          <w:rStyle w:val="ppocharGreentext24pt"/>
          <w:noProof/>
          <w:lang w:val="en-IE"/>
        </w:rPr>
        <w:t>+</w:t>
      </w:r>
      <w:r w:rsidRPr="1D59AC87">
        <w:rPr>
          <w:rStyle w:val="ppocharGreentext24pt"/>
          <w:rFonts w:ascii="Calibri" w:hAnsi="Calibri" w:cs="Calibri"/>
          <w:noProof/>
          <w:lang w:val="en-IE"/>
        </w:rPr>
        <w:t> </w:t>
      </w:r>
      <w:r w:rsidRPr="1D59AC87">
        <w:rPr>
          <w:rStyle w:val="ppocharGreentext24pt"/>
          <w:noProof/>
          <w:lang w:val="en-IE"/>
        </w:rPr>
        <w:t>48.0 (+</w:t>
      </w:r>
      <w:r w:rsidRPr="1D59AC87">
        <w:rPr>
          <w:rStyle w:val="ppocharGreentext24pt"/>
          <w:rFonts w:ascii="Calibri" w:hAnsi="Calibri" w:cs="Calibri"/>
          <w:noProof/>
          <w:lang w:val="en-IE"/>
        </w:rPr>
        <w:t> </w:t>
      </w:r>
      <w:r w:rsidRPr="1D59AC87">
        <w:rPr>
          <w:rStyle w:val="ppocharGreentext24pt"/>
          <w:noProof/>
          <w:lang w:val="en-IE"/>
        </w:rPr>
        <w:t>25%)</w:t>
      </w:r>
      <w:r w:rsidRPr="1D59AC87">
        <w:rPr>
          <w:noProof/>
          <w:lang w:val="en-IE"/>
        </w:rPr>
        <w:t xml:space="preserve"> compared to the legal basis.</w:t>
      </w:r>
    </w:p>
    <w:p w14:paraId="360AF90F" w14:textId="77777777" w:rsidR="0079461A" w:rsidRPr="00343169" w:rsidRDefault="0079461A" w:rsidP="0079461A">
      <w:pPr>
        <w:pStyle w:val="ppoTableTabletitle"/>
        <w:rPr>
          <w:b/>
          <w:noProof/>
          <w:lang w:val="en-IE"/>
        </w:rPr>
      </w:pPr>
      <w:r w:rsidRPr="00343169">
        <w:rPr>
          <w:noProof/>
          <w:lang w:val="en-IE"/>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79461A" w:rsidRPr="00343169" w14:paraId="140470BE" w14:textId="77777777" w:rsidTr="00AF1C52">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5E019794" w14:textId="77777777" w:rsidR="0079461A" w:rsidRPr="00343169" w:rsidRDefault="0079461A" w:rsidP="00AF1C52">
            <w:pPr>
              <w:rPr>
                <w:noProof/>
                <w:lang w:val="en-IE"/>
              </w:rPr>
            </w:pPr>
          </w:p>
        </w:tc>
        <w:tc>
          <w:tcPr>
            <w:tcW w:w="2410" w:type="dxa"/>
          </w:tcPr>
          <w:p w14:paraId="7E20EE84" w14:textId="77777777" w:rsidR="0079461A" w:rsidRPr="00343169" w:rsidRDefault="0079461A" w:rsidP="00AF1C52">
            <w:pPr>
              <w:cnfStyle w:val="100000000000" w:firstRow="1" w:lastRow="0" w:firstColumn="0" w:lastColumn="0" w:oddVBand="0" w:evenVBand="0" w:oddHBand="0" w:evenHBand="0" w:firstRowFirstColumn="0" w:firstRowLastColumn="0" w:lastRowFirstColumn="0" w:lastRowLastColumn="0"/>
              <w:rPr>
                <w:noProof/>
                <w:lang w:val="en-IE"/>
              </w:rPr>
            </w:pPr>
            <w:r w:rsidRPr="00343169">
              <w:rPr>
                <w:noProof/>
                <w:lang w:val="en-IE"/>
              </w:rPr>
              <w:t>Implementation</w:t>
            </w:r>
          </w:p>
        </w:tc>
        <w:tc>
          <w:tcPr>
            <w:tcW w:w="2410" w:type="dxa"/>
          </w:tcPr>
          <w:p w14:paraId="506B316B" w14:textId="59F0C159" w:rsidR="0079461A" w:rsidRPr="00343169" w:rsidRDefault="00A84801" w:rsidP="00AF1C52">
            <w:pPr>
              <w:cnfStyle w:val="100000000000" w:firstRow="1" w:lastRow="0" w:firstColumn="0" w:lastColumn="0" w:oddVBand="0" w:evenVBand="0" w:oddHBand="0" w:evenHBand="0" w:firstRowFirstColumn="0" w:firstRowLastColumn="0" w:lastRowFirstColumn="0" w:lastRowLastColumn="0"/>
              <w:rPr>
                <w:noProof/>
                <w:lang w:val="en-IE"/>
              </w:rPr>
            </w:pPr>
            <w:r>
              <w:rPr>
                <w:noProof/>
                <w:lang w:val="en-IE"/>
              </w:rPr>
              <w:t xml:space="preserve">2021-2027 </w:t>
            </w:r>
            <w:r w:rsidR="0079461A" w:rsidRPr="00343169">
              <w:rPr>
                <w:noProof/>
                <w:lang w:val="en-IE"/>
              </w:rPr>
              <w:t>Budget</w:t>
            </w:r>
          </w:p>
        </w:tc>
        <w:tc>
          <w:tcPr>
            <w:tcW w:w="2410" w:type="dxa"/>
          </w:tcPr>
          <w:p w14:paraId="3B53AC44" w14:textId="77777777" w:rsidR="0079461A" w:rsidRPr="00343169" w:rsidRDefault="0079461A" w:rsidP="00AF1C52">
            <w:pPr>
              <w:cnfStyle w:val="100000000000" w:firstRow="1" w:lastRow="0" w:firstColumn="0" w:lastColumn="0" w:oddVBand="0" w:evenVBand="0" w:oddHBand="0" w:evenHBand="0" w:firstRowFirstColumn="0" w:firstRowLastColumn="0" w:lastRowFirstColumn="0" w:lastRowLastColumn="0"/>
              <w:rPr>
                <w:noProof/>
                <w:lang w:val="en-IE"/>
              </w:rPr>
            </w:pPr>
            <w:r w:rsidRPr="00343169">
              <w:rPr>
                <w:noProof/>
                <w:lang w:val="en-IE"/>
              </w:rPr>
              <w:t>Implementation rate</w:t>
            </w:r>
          </w:p>
        </w:tc>
      </w:tr>
      <w:tr w:rsidR="0079461A" w:rsidRPr="00343169" w14:paraId="507FB71D"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0965D9CE" w14:textId="77777777" w:rsidR="0079461A" w:rsidRPr="00343169" w:rsidRDefault="0079461A" w:rsidP="00AF1C52">
            <w:pPr>
              <w:jc w:val="center"/>
              <w:rPr>
                <w:noProof/>
                <w:lang w:val="en-IE"/>
              </w:rPr>
            </w:pPr>
            <w:r w:rsidRPr="00343169">
              <w:rPr>
                <w:noProof/>
                <w:lang w:val="en-IE"/>
              </w:rPr>
              <w:t>Commitments</w:t>
            </w:r>
          </w:p>
        </w:tc>
        <w:tc>
          <w:tcPr>
            <w:tcW w:w="2410" w:type="dxa"/>
          </w:tcPr>
          <w:tbl>
            <w:tblPr>
              <w:tblStyle w:val="TableGrid"/>
              <w:tblW w:w="0" w:type="auto"/>
              <w:tblLook w:val="06A0" w:firstRow="1" w:lastRow="0" w:firstColumn="1" w:lastColumn="0" w:noHBand="1" w:noVBand="1"/>
            </w:tblPr>
            <w:tblGrid>
              <w:gridCol w:w="2194"/>
            </w:tblGrid>
            <w:tr w:rsidR="0079461A" w:rsidRPr="00343169" w14:paraId="6C32494F" w14:textId="77777777" w:rsidTr="00AF1C52">
              <w:trPr>
                <w:trHeight w:val="285"/>
              </w:trPr>
              <w:tc>
                <w:tcPr>
                  <w:tcW w:w="2290" w:type="dxa"/>
                  <w:tcBorders>
                    <w:top w:val="nil"/>
                    <w:left w:val="nil"/>
                    <w:bottom w:val="nil"/>
                    <w:right w:val="nil"/>
                  </w:tcBorders>
                  <w:vAlign w:val="bottom"/>
                </w:tcPr>
                <w:p w14:paraId="236170D4" w14:textId="77777777" w:rsidR="0079461A" w:rsidRPr="00343169" w:rsidRDefault="0079461A" w:rsidP="00AF1C52">
                  <w:pPr>
                    <w:jc w:val="center"/>
                    <w:rPr>
                      <w:noProof/>
                      <w:lang w:val="en-IE"/>
                    </w:rPr>
                  </w:pPr>
                  <w:r w:rsidRPr="3A02F694">
                    <w:rPr>
                      <w:rFonts w:ascii="Calibri" w:hAnsi="Calibri" w:cs="Calibri"/>
                      <w:noProof/>
                      <w:color w:val="000000"/>
                      <w:lang w:val="en-IE"/>
                    </w:rPr>
                    <w:t>32.0</w:t>
                  </w:r>
                </w:p>
              </w:tc>
            </w:tr>
          </w:tbl>
          <w:p w14:paraId="603342CD" w14:textId="77777777" w:rsidR="0079461A" w:rsidRPr="00343169" w:rsidRDefault="0079461A"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79461A" w:rsidRPr="00343169" w14:paraId="0F35AEE0" w14:textId="77777777" w:rsidTr="00AF1C52">
              <w:trPr>
                <w:trHeight w:val="285"/>
              </w:trPr>
              <w:tc>
                <w:tcPr>
                  <w:tcW w:w="2290" w:type="dxa"/>
                  <w:tcBorders>
                    <w:top w:val="nil"/>
                    <w:left w:val="nil"/>
                    <w:bottom w:val="nil"/>
                    <w:right w:val="nil"/>
                  </w:tcBorders>
                  <w:vAlign w:val="bottom"/>
                </w:tcPr>
                <w:p w14:paraId="299689EA" w14:textId="77777777" w:rsidR="0079461A" w:rsidRPr="00343169" w:rsidRDefault="0079461A" w:rsidP="00AF1C52">
                  <w:pPr>
                    <w:jc w:val="center"/>
                    <w:rPr>
                      <w:rFonts w:ascii="Calibri" w:hAnsi="Calibri" w:cs="Calibri"/>
                      <w:noProof/>
                      <w:color w:val="000000"/>
                      <w:lang w:val="en-IE"/>
                    </w:rPr>
                  </w:pPr>
                  <w:r w:rsidRPr="3A02F694">
                    <w:rPr>
                      <w:rFonts w:ascii="Calibri" w:hAnsi="Calibri" w:cs="Calibri"/>
                      <w:noProof/>
                      <w:color w:val="000000"/>
                      <w:lang w:val="en-IE"/>
                    </w:rPr>
                    <w:t>241.0</w:t>
                  </w:r>
                </w:p>
              </w:tc>
            </w:tr>
          </w:tbl>
          <w:p w14:paraId="19828B30" w14:textId="77777777" w:rsidR="0079461A" w:rsidRPr="00343169" w:rsidRDefault="0079461A"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79461A" w:rsidRPr="00343169" w14:paraId="04962035" w14:textId="77777777" w:rsidTr="00AF1C52">
              <w:trPr>
                <w:trHeight w:val="285"/>
              </w:trPr>
              <w:tc>
                <w:tcPr>
                  <w:tcW w:w="2290" w:type="dxa"/>
                  <w:tcBorders>
                    <w:top w:val="nil"/>
                    <w:left w:val="nil"/>
                    <w:bottom w:val="nil"/>
                    <w:right w:val="nil"/>
                  </w:tcBorders>
                  <w:vAlign w:val="bottom"/>
                </w:tcPr>
                <w:p w14:paraId="402272AD" w14:textId="77777777" w:rsidR="0079461A" w:rsidRPr="00343169" w:rsidRDefault="0079461A" w:rsidP="00AF1C52">
                  <w:pPr>
                    <w:jc w:val="center"/>
                    <w:rPr>
                      <w:noProof/>
                      <w:lang w:val="en-IE"/>
                    </w:rPr>
                  </w:pPr>
                  <w:r w:rsidRPr="00343169">
                    <w:rPr>
                      <w:rFonts w:ascii="Calibri" w:hAnsi="Calibri" w:cs="Calibri"/>
                      <w:noProof/>
                      <w:color w:val="000000"/>
                      <w:lang w:val="en-IE"/>
                    </w:rPr>
                    <w:t>13%</w:t>
                  </w:r>
                </w:p>
              </w:tc>
            </w:tr>
          </w:tbl>
          <w:p w14:paraId="0E5E3E10" w14:textId="77777777" w:rsidR="0079461A" w:rsidRPr="00343169" w:rsidRDefault="0079461A"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r>
      <w:tr w:rsidR="0079461A" w:rsidRPr="00343169" w14:paraId="21A63290"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4EA0C26E" w14:textId="77777777" w:rsidR="0079461A" w:rsidRPr="00343169" w:rsidRDefault="0079461A" w:rsidP="00AF1C52">
            <w:pPr>
              <w:jc w:val="center"/>
              <w:rPr>
                <w:noProof/>
                <w:lang w:val="en-IE"/>
              </w:rPr>
            </w:pPr>
            <w:r w:rsidRPr="00343169">
              <w:rPr>
                <w:noProof/>
                <w:lang w:val="en-IE"/>
              </w:rPr>
              <w:t>Payments</w:t>
            </w:r>
          </w:p>
        </w:tc>
        <w:tc>
          <w:tcPr>
            <w:tcW w:w="2410" w:type="dxa"/>
          </w:tcPr>
          <w:tbl>
            <w:tblPr>
              <w:tblStyle w:val="TableGrid"/>
              <w:tblW w:w="0" w:type="auto"/>
              <w:tblLook w:val="06A0" w:firstRow="1" w:lastRow="0" w:firstColumn="1" w:lastColumn="0" w:noHBand="1" w:noVBand="1"/>
            </w:tblPr>
            <w:tblGrid>
              <w:gridCol w:w="2194"/>
            </w:tblGrid>
            <w:tr w:rsidR="0079461A" w:rsidRPr="00343169" w14:paraId="77E6C886" w14:textId="77777777" w:rsidTr="00AF1C52">
              <w:trPr>
                <w:trHeight w:val="285"/>
              </w:trPr>
              <w:tc>
                <w:tcPr>
                  <w:tcW w:w="2290" w:type="dxa"/>
                  <w:tcBorders>
                    <w:top w:val="nil"/>
                    <w:left w:val="nil"/>
                    <w:bottom w:val="nil"/>
                    <w:right w:val="nil"/>
                  </w:tcBorders>
                  <w:vAlign w:val="bottom"/>
                </w:tcPr>
                <w:p w14:paraId="084FC936" w14:textId="77777777" w:rsidR="0079461A" w:rsidRPr="00343169" w:rsidRDefault="0079461A" w:rsidP="00AF1C52">
                  <w:pPr>
                    <w:jc w:val="center"/>
                    <w:rPr>
                      <w:noProof/>
                      <w:lang w:val="en-IE"/>
                    </w:rPr>
                  </w:pPr>
                  <w:r w:rsidRPr="3A02F694">
                    <w:rPr>
                      <w:noProof/>
                      <w:lang w:val="en-IE"/>
                    </w:rPr>
                    <w:t>3.9</w:t>
                  </w:r>
                </w:p>
              </w:tc>
            </w:tr>
          </w:tbl>
          <w:p w14:paraId="6BA7A773" w14:textId="77777777" w:rsidR="0079461A" w:rsidRPr="00343169" w:rsidRDefault="0079461A"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p w14:paraId="19CFE0D7" w14:textId="77777777" w:rsidR="0079461A" w:rsidRPr="00343169" w:rsidRDefault="0079461A"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79461A" w:rsidRPr="00343169" w14:paraId="01522BCA" w14:textId="77777777" w:rsidTr="00AF1C52">
              <w:trPr>
                <w:trHeight w:val="285"/>
              </w:trPr>
              <w:tc>
                <w:tcPr>
                  <w:tcW w:w="2235" w:type="dxa"/>
                  <w:tcBorders>
                    <w:top w:val="nil"/>
                    <w:left w:val="nil"/>
                    <w:bottom w:val="nil"/>
                    <w:right w:val="nil"/>
                  </w:tcBorders>
                  <w:vAlign w:val="bottom"/>
                </w:tcPr>
                <w:p w14:paraId="56F14789" w14:textId="77777777" w:rsidR="0079461A" w:rsidRPr="00343169" w:rsidRDefault="0079461A" w:rsidP="00AF1C52">
                  <w:pPr>
                    <w:jc w:val="center"/>
                    <w:rPr>
                      <w:noProof/>
                      <w:lang w:val="en-IE"/>
                    </w:rPr>
                  </w:pPr>
                  <w:r w:rsidRPr="00343169">
                    <w:rPr>
                      <w:rFonts w:ascii="Calibri" w:hAnsi="Calibri" w:cs="Calibri"/>
                      <w:noProof/>
                      <w:color w:val="000000"/>
                      <w:lang w:val="en-IE"/>
                    </w:rPr>
                    <w:t>2%</w:t>
                  </w:r>
                </w:p>
              </w:tc>
            </w:tr>
          </w:tbl>
          <w:p w14:paraId="48668FC4" w14:textId="77777777" w:rsidR="0079461A" w:rsidRPr="00343169" w:rsidRDefault="0079461A"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r>
    </w:tbl>
    <w:p w14:paraId="7FEE93E1" w14:textId="77777777" w:rsidR="0079461A" w:rsidRPr="00343169" w:rsidRDefault="0079461A" w:rsidP="0079461A">
      <w:pPr>
        <w:pStyle w:val="ppoTableTabletitle"/>
        <w:rPr>
          <w:b/>
          <w:noProof/>
          <w:lang w:val="en-IE"/>
        </w:rPr>
      </w:pPr>
      <w:r w:rsidRPr="00343169">
        <w:rPr>
          <w:noProof/>
          <w:lang w:val="en-IE"/>
        </w:rPr>
        <w:t>Voted budget implementation in 2021 (million EUR):</w:t>
      </w:r>
    </w:p>
    <w:tbl>
      <w:tblPr>
        <w:tblStyle w:val="PPO2021"/>
        <w:tblW w:w="3683" w:type="pct"/>
        <w:tblInd w:w="79" w:type="dxa"/>
        <w:tblLook w:val="04A0" w:firstRow="1" w:lastRow="0" w:firstColumn="1" w:lastColumn="0" w:noHBand="0" w:noVBand="1"/>
      </w:tblPr>
      <w:tblGrid>
        <w:gridCol w:w="2419"/>
        <w:gridCol w:w="2419"/>
        <w:gridCol w:w="2420"/>
      </w:tblGrid>
      <w:tr w:rsidR="0079461A" w:rsidRPr="00343169" w14:paraId="462F8D44" w14:textId="77777777" w:rsidTr="00AF1C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7EAC0935" w14:textId="77777777" w:rsidR="0079461A" w:rsidRPr="00343169" w:rsidRDefault="0079461A" w:rsidP="00AF1C52">
            <w:pPr>
              <w:rPr>
                <w:noProof/>
                <w:lang w:val="en-IE"/>
              </w:rPr>
            </w:pPr>
          </w:p>
        </w:tc>
        <w:tc>
          <w:tcPr>
            <w:tcW w:w="2419" w:type="dxa"/>
          </w:tcPr>
          <w:p w14:paraId="28EA3ACE" w14:textId="77777777" w:rsidR="0079461A" w:rsidRPr="00343169" w:rsidRDefault="0079461A" w:rsidP="00AF1C52">
            <w:pPr>
              <w:cnfStyle w:val="100000000000" w:firstRow="1" w:lastRow="0" w:firstColumn="0" w:lastColumn="0" w:oddVBand="0" w:evenVBand="0" w:oddHBand="0" w:evenHBand="0" w:firstRowFirstColumn="0" w:firstRowLastColumn="0" w:lastRowFirstColumn="0" w:lastRowLastColumn="0"/>
              <w:rPr>
                <w:noProof/>
                <w:lang w:val="en-IE"/>
              </w:rPr>
            </w:pPr>
            <w:r w:rsidRPr="00343169">
              <w:rPr>
                <w:noProof/>
                <w:lang w:val="en-IE"/>
              </w:rPr>
              <w:t>Voted budget implementation</w:t>
            </w:r>
          </w:p>
        </w:tc>
        <w:tc>
          <w:tcPr>
            <w:tcW w:w="2420" w:type="dxa"/>
          </w:tcPr>
          <w:p w14:paraId="3CDEB0C0" w14:textId="77777777" w:rsidR="0079461A" w:rsidRPr="00343169" w:rsidRDefault="0079461A" w:rsidP="00AF1C52">
            <w:pPr>
              <w:cnfStyle w:val="100000000000" w:firstRow="1" w:lastRow="0" w:firstColumn="0" w:lastColumn="0" w:oddVBand="0" w:evenVBand="0" w:oddHBand="0" w:evenHBand="0" w:firstRowFirstColumn="0" w:firstRowLastColumn="0" w:lastRowFirstColumn="0" w:lastRowLastColumn="0"/>
              <w:rPr>
                <w:noProof/>
                <w:lang w:val="en-IE"/>
              </w:rPr>
            </w:pPr>
            <w:r w:rsidRPr="00343169">
              <w:rPr>
                <w:noProof/>
                <w:lang w:val="en-IE"/>
              </w:rPr>
              <w:t>Initial voted budget</w:t>
            </w:r>
          </w:p>
        </w:tc>
      </w:tr>
      <w:tr w:rsidR="0079461A" w:rsidRPr="00343169" w14:paraId="31127934" w14:textId="77777777" w:rsidTr="00AF1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294B498A" w14:textId="77777777" w:rsidR="0079461A" w:rsidRPr="00343169" w:rsidRDefault="0079461A" w:rsidP="00AF1C52">
            <w:pPr>
              <w:jc w:val="center"/>
              <w:rPr>
                <w:noProof/>
                <w:lang w:val="en-IE"/>
              </w:rPr>
            </w:pPr>
            <w:r w:rsidRPr="00343169">
              <w:rPr>
                <w:noProof/>
                <w:lang w:val="en-IE"/>
              </w:rPr>
              <w:t>Commitments</w:t>
            </w:r>
          </w:p>
        </w:tc>
        <w:tc>
          <w:tcPr>
            <w:tcW w:w="2419" w:type="dxa"/>
          </w:tcPr>
          <w:p w14:paraId="4850F2D2" w14:textId="77777777" w:rsidR="0079461A" w:rsidRPr="00343169" w:rsidRDefault="0079461A" w:rsidP="00AF1C5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lang w:val="en-IE"/>
              </w:rPr>
            </w:pPr>
            <w:r w:rsidRPr="3A02F694">
              <w:rPr>
                <w:rFonts w:ascii="Calibri" w:hAnsi="Calibri" w:cs="Calibri"/>
                <w:noProof/>
                <w:color w:val="000000"/>
                <w:lang w:val="en-IE"/>
              </w:rPr>
              <w:t>32.0</w:t>
            </w:r>
          </w:p>
          <w:p w14:paraId="64804B43" w14:textId="77777777" w:rsidR="0079461A" w:rsidRPr="00343169" w:rsidRDefault="0079461A" w:rsidP="00AF1C52">
            <w:pPr>
              <w:jc w:val="center"/>
              <w:cnfStyle w:val="000000100000" w:firstRow="0" w:lastRow="0" w:firstColumn="0" w:lastColumn="0" w:oddVBand="0" w:evenVBand="0" w:oddHBand="1" w:evenHBand="0" w:firstRowFirstColumn="0" w:firstRowLastColumn="0" w:lastRowFirstColumn="0" w:lastRowLastColumn="0"/>
              <w:rPr>
                <w:noProof/>
                <w:lang w:val="en-IE"/>
              </w:rPr>
            </w:pPr>
          </w:p>
        </w:tc>
        <w:tc>
          <w:tcPr>
            <w:tcW w:w="2420" w:type="dxa"/>
          </w:tcPr>
          <w:p w14:paraId="28D4358A" w14:textId="77777777" w:rsidR="0079461A" w:rsidRPr="00343169" w:rsidRDefault="0079461A" w:rsidP="00AF1C5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lang w:val="en-IE"/>
              </w:rPr>
            </w:pPr>
            <w:r w:rsidRPr="3A02F694">
              <w:rPr>
                <w:rFonts w:ascii="Calibri" w:hAnsi="Calibri" w:cs="Calibri"/>
                <w:noProof/>
                <w:color w:val="000000"/>
                <w:lang w:val="en-IE"/>
              </w:rPr>
              <w:t>32.0</w:t>
            </w:r>
          </w:p>
          <w:p w14:paraId="7016ADB2" w14:textId="77777777" w:rsidR="0079461A" w:rsidRPr="00343169" w:rsidRDefault="0079461A" w:rsidP="00AF1C52">
            <w:pPr>
              <w:jc w:val="center"/>
              <w:cnfStyle w:val="000000100000" w:firstRow="0" w:lastRow="0" w:firstColumn="0" w:lastColumn="0" w:oddVBand="0" w:evenVBand="0" w:oddHBand="1" w:evenHBand="0" w:firstRowFirstColumn="0" w:firstRowLastColumn="0" w:lastRowFirstColumn="0" w:lastRowLastColumn="0"/>
              <w:rPr>
                <w:noProof/>
                <w:lang w:val="en-IE"/>
              </w:rPr>
            </w:pPr>
          </w:p>
        </w:tc>
      </w:tr>
      <w:tr w:rsidR="0079461A" w:rsidRPr="00343169" w14:paraId="361C9087" w14:textId="77777777" w:rsidTr="00AF1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2CC09D54" w14:textId="77777777" w:rsidR="0079461A" w:rsidRPr="00343169" w:rsidRDefault="0079461A" w:rsidP="00AF1C52">
            <w:pPr>
              <w:jc w:val="center"/>
              <w:rPr>
                <w:noProof/>
                <w:lang w:val="en-IE"/>
              </w:rPr>
            </w:pPr>
            <w:r w:rsidRPr="00343169">
              <w:rPr>
                <w:noProof/>
                <w:lang w:val="en-IE"/>
              </w:rPr>
              <w:t>Payments</w:t>
            </w:r>
          </w:p>
        </w:tc>
        <w:tc>
          <w:tcPr>
            <w:tcW w:w="2419" w:type="dxa"/>
          </w:tcPr>
          <w:p w14:paraId="74606665" w14:textId="77777777" w:rsidR="0079461A" w:rsidRPr="00343169" w:rsidRDefault="0079461A" w:rsidP="00AF1C5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noProof/>
                <w:color w:val="000000"/>
                <w:lang w:val="en-IE"/>
              </w:rPr>
            </w:pPr>
            <w:r w:rsidRPr="3A02F694">
              <w:rPr>
                <w:rFonts w:ascii="Calibri" w:hAnsi="Calibri" w:cs="Calibri"/>
                <w:noProof/>
                <w:color w:val="000000"/>
                <w:lang w:val="en-IE"/>
              </w:rPr>
              <w:t>3.9</w:t>
            </w:r>
          </w:p>
          <w:p w14:paraId="31452A73" w14:textId="77777777" w:rsidR="0079461A" w:rsidRPr="00343169" w:rsidRDefault="0079461A" w:rsidP="00AF1C52">
            <w:pPr>
              <w:jc w:val="center"/>
              <w:cnfStyle w:val="000000010000" w:firstRow="0" w:lastRow="0" w:firstColumn="0" w:lastColumn="0" w:oddVBand="0" w:evenVBand="0" w:oddHBand="0" w:evenHBand="1" w:firstRowFirstColumn="0" w:firstRowLastColumn="0" w:lastRowFirstColumn="0" w:lastRowLastColumn="0"/>
              <w:rPr>
                <w:noProof/>
                <w:lang w:val="en-IE"/>
              </w:rPr>
            </w:pPr>
          </w:p>
        </w:tc>
        <w:tc>
          <w:tcPr>
            <w:tcW w:w="2420" w:type="dxa"/>
          </w:tcPr>
          <w:p w14:paraId="457A5E0F" w14:textId="77777777" w:rsidR="0079461A" w:rsidRPr="00343169" w:rsidRDefault="0079461A" w:rsidP="00AF1C5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noProof/>
                <w:color w:val="000000"/>
                <w:lang w:val="en-IE"/>
              </w:rPr>
            </w:pPr>
            <w:r w:rsidRPr="3A02F694">
              <w:rPr>
                <w:rFonts w:ascii="Calibri" w:hAnsi="Calibri" w:cs="Calibri"/>
                <w:noProof/>
                <w:color w:val="000000"/>
                <w:lang w:val="en-IE"/>
              </w:rPr>
              <w:t>4.9</w:t>
            </w:r>
          </w:p>
          <w:p w14:paraId="02774EF4" w14:textId="77777777" w:rsidR="0079461A" w:rsidRPr="00343169" w:rsidRDefault="0079461A" w:rsidP="00AF1C52">
            <w:pPr>
              <w:jc w:val="center"/>
              <w:cnfStyle w:val="000000010000" w:firstRow="0" w:lastRow="0" w:firstColumn="0" w:lastColumn="0" w:oddVBand="0" w:evenVBand="0" w:oddHBand="0" w:evenHBand="1" w:firstRowFirstColumn="0" w:firstRowLastColumn="0" w:lastRowFirstColumn="0" w:lastRowLastColumn="0"/>
              <w:rPr>
                <w:noProof/>
                <w:lang w:val="en-IE"/>
              </w:rPr>
            </w:pPr>
          </w:p>
        </w:tc>
      </w:tr>
    </w:tbl>
    <w:p w14:paraId="00E15321" w14:textId="77777777" w:rsidR="0079461A" w:rsidRPr="00343169" w:rsidRDefault="0079461A" w:rsidP="0079461A">
      <w:pPr>
        <w:pStyle w:val="ppoListHyphened-L1"/>
        <w:rPr>
          <w:noProof/>
          <w:lang w:val="en-IE"/>
        </w:rPr>
      </w:pPr>
      <w:r w:rsidRPr="00343169">
        <w:rPr>
          <w:noProof/>
          <w:lang w:val="en-IE"/>
        </w:rPr>
        <w:t>The assistance programme is of an exceptional, transitional and temporary nature, aiming to facilitate the reunification of Cyprus. The aid regulation reflects this particularity: it was adopted in 2006 and remains in force until a comprehensive settlement of the Cyprus problem has been achieved.</w:t>
      </w:r>
    </w:p>
    <w:p w14:paraId="5F3ED96D" w14:textId="77777777" w:rsidR="0079461A" w:rsidRPr="00343169" w:rsidRDefault="0079461A" w:rsidP="0079461A">
      <w:pPr>
        <w:pStyle w:val="ppoListHyphened-L1"/>
        <w:rPr>
          <w:noProof/>
          <w:lang w:val="en-IE"/>
        </w:rPr>
      </w:pPr>
      <w:r w:rsidRPr="00343169">
        <w:rPr>
          <w:noProof/>
          <w:lang w:val="en-IE"/>
        </w:rPr>
        <w:t xml:space="preserve">The programming of the financial assistance under the programme is based on a number of established criteria such as project maturity, policy relevance and the track record of past implementation. The underlying aim is to bring more tangible and visible impact in the priority areas through an annual programming that results in a streamlined and compact set of actions. </w:t>
      </w:r>
    </w:p>
    <w:p w14:paraId="09280C89" w14:textId="77777777" w:rsidR="0079461A" w:rsidRPr="00343169" w:rsidRDefault="0079461A" w:rsidP="0079461A">
      <w:pPr>
        <w:pStyle w:val="ppoListHyphened-L1"/>
        <w:rPr>
          <w:noProof/>
          <w:lang w:val="en-IE"/>
        </w:rPr>
      </w:pPr>
      <w:r w:rsidRPr="00343169">
        <w:rPr>
          <w:noProof/>
          <w:lang w:val="en-IE"/>
        </w:rPr>
        <w:t>Under the programming approach, the beneficiary is involved at an early stage, which includes the submission of 1-page project outlines and a series of direct exchanges. Continuing efforts are being made to instil more ownership in the process from the beneficiary coordinating body, the EU coordination centre, which takes a more active role in prioritisation and self-assessment of projects.</w:t>
      </w:r>
    </w:p>
    <w:p w14:paraId="60758BDB" w14:textId="77777777" w:rsidR="0079461A" w:rsidRPr="00343169" w:rsidRDefault="0079461A" w:rsidP="0079461A">
      <w:pPr>
        <w:pStyle w:val="ppoListHyphened-L1"/>
        <w:rPr>
          <w:noProof/>
          <w:lang w:val="en-IE"/>
        </w:rPr>
      </w:pPr>
      <w:r w:rsidRPr="00343169">
        <w:rPr>
          <w:noProof/>
          <w:lang w:val="en-IE"/>
        </w:rPr>
        <w:t>The 2021-2027 multiannual financial framework sets the funding at EUR</w:t>
      </w:r>
      <w:r w:rsidRPr="00343169">
        <w:rPr>
          <w:rFonts w:ascii="Calibri" w:hAnsi="Calibri" w:cs="Calibri"/>
          <w:noProof/>
          <w:lang w:val="en-IE"/>
        </w:rPr>
        <w:t> </w:t>
      </w:r>
      <w:r w:rsidRPr="00343169">
        <w:rPr>
          <w:noProof/>
          <w:lang w:val="en-IE"/>
        </w:rPr>
        <w:t>240</w:t>
      </w:r>
      <w:r w:rsidRPr="00343169">
        <w:rPr>
          <w:rFonts w:ascii="Calibri" w:hAnsi="Calibri" w:cs="Calibri"/>
          <w:noProof/>
          <w:lang w:val="en-IE"/>
        </w:rPr>
        <w:t> </w:t>
      </w:r>
      <w:r w:rsidRPr="00343169">
        <w:rPr>
          <w:noProof/>
          <w:lang w:val="en-IE"/>
        </w:rPr>
        <w:t>million. The 2021 annual action programme was adopted on 16</w:t>
      </w:r>
      <w:r w:rsidRPr="00343169">
        <w:rPr>
          <w:rFonts w:ascii="Calibri" w:hAnsi="Calibri" w:cs="Calibri"/>
          <w:noProof/>
          <w:lang w:val="en-IE"/>
        </w:rPr>
        <w:t> </w:t>
      </w:r>
      <w:r w:rsidRPr="00343169">
        <w:rPr>
          <w:noProof/>
          <w:lang w:val="en-IE"/>
        </w:rPr>
        <w:t>December 2021, meaning that no projects were actually implemented in 2021.</w:t>
      </w:r>
    </w:p>
    <w:p w14:paraId="18833138" w14:textId="77777777" w:rsidR="0079461A" w:rsidRPr="00343169" w:rsidRDefault="0079461A" w:rsidP="0079461A">
      <w:pPr>
        <w:pStyle w:val="ppoListHyphened-L1"/>
        <w:rPr>
          <w:noProof/>
          <w:lang w:val="en-IE"/>
        </w:rPr>
      </w:pPr>
      <w:r w:rsidRPr="00343169">
        <w:rPr>
          <w:noProof/>
          <w:lang w:val="en-IE"/>
        </w:rPr>
        <w:t>The programme’s context often hinders proper implementation due to the difficult political and social situations on the ground. Throughout the previous multiannual financial framework, successful strategies were developed to address this issue, which will help with timely implementation during the 2021-2027 multiannual financial framework.</w:t>
      </w:r>
    </w:p>
    <w:p w14:paraId="7C03F0F4" w14:textId="77777777" w:rsidR="0079461A" w:rsidRPr="00343169" w:rsidRDefault="0079461A" w:rsidP="0079461A">
      <w:pPr>
        <w:pStyle w:val="ppoHeading5"/>
        <w:rPr>
          <w:noProof/>
          <w:lang w:val="en-IE"/>
        </w:rPr>
      </w:pPr>
      <w:r w:rsidRPr="00343169">
        <w:rPr>
          <w:noProof/>
          <w:lang w:val="en-IE"/>
        </w:rPr>
        <w:t>Contribution to horizontal priorities</w:t>
      </w:r>
    </w:p>
    <w:p w14:paraId="3E3FC903" w14:textId="77777777" w:rsidR="0079461A" w:rsidRPr="00343169" w:rsidRDefault="0079461A" w:rsidP="0079461A">
      <w:pPr>
        <w:pStyle w:val="ppoTableTabletitle"/>
        <w:rPr>
          <w:noProof/>
          <w:lang w:val="en-IE"/>
        </w:rPr>
      </w:pPr>
      <w:r w:rsidRPr="00343169">
        <w:rPr>
          <w:noProof/>
          <w:lang w:val="en-IE"/>
        </w:rPr>
        <w:t>EU budget contribution in 2021 (million EUR):</w:t>
      </w:r>
    </w:p>
    <w:tbl>
      <w:tblPr>
        <w:tblStyle w:val="PPO2021"/>
        <w:tblW w:w="9639" w:type="dxa"/>
        <w:tblInd w:w="0" w:type="dxa"/>
        <w:tblLook w:val="0420" w:firstRow="1" w:lastRow="0" w:firstColumn="0" w:lastColumn="0" w:noHBand="0" w:noVBand="1"/>
      </w:tblPr>
      <w:tblGrid>
        <w:gridCol w:w="3213"/>
        <w:gridCol w:w="3213"/>
        <w:gridCol w:w="3213"/>
      </w:tblGrid>
      <w:tr w:rsidR="0079461A" w:rsidRPr="00343169" w14:paraId="32735A43" w14:textId="77777777" w:rsidTr="00AF1C52">
        <w:trPr>
          <w:cnfStyle w:val="100000000000" w:firstRow="1" w:lastRow="0" w:firstColumn="0" w:lastColumn="0" w:oddVBand="0" w:evenVBand="0" w:oddHBand="0" w:evenHBand="0" w:firstRowFirstColumn="0" w:firstRowLastColumn="0" w:lastRowFirstColumn="0" w:lastRowLastColumn="0"/>
          <w:tblHeader/>
        </w:trPr>
        <w:tc>
          <w:tcPr>
            <w:tcW w:w="3213" w:type="dxa"/>
          </w:tcPr>
          <w:p w14:paraId="300F420C" w14:textId="77777777" w:rsidR="0079461A" w:rsidRPr="00343169" w:rsidRDefault="0079461A" w:rsidP="00AF1C52">
            <w:pPr>
              <w:rPr>
                <w:noProof/>
                <w:lang w:val="en-IE"/>
              </w:rPr>
            </w:pPr>
            <w:r w:rsidRPr="00343169">
              <w:rPr>
                <w:noProof/>
                <w:lang w:val="en-IE"/>
              </w:rPr>
              <w:t>Climate</w:t>
            </w:r>
          </w:p>
        </w:tc>
        <w:tc>
          <w:tcPr>
            <w:tcW w:w="3213" w:type="dxa"/>
          </w:tcPr>
          <w:p w14:paraId="5465848D" w14:textId="77777777" w:rsidR="0079461A" w:rsidRPr="00343169" w:rsidRDefault="0079461A" w:rsidP="00AF1C52">
            <w:pPr>
              <w:rPr>
                <w:noProof/>
                <w:lang w:val="en-IE"/>
              </w:rPr>
            </w:pPr>
            <w:r w:rsidRPr="00343169">
              <w:rPr>
                <w:noProof/>
                <w:lang w:val="en-IE"/>
              </w:rPr>
              <w:t>Biodiversity</w:t>
            </w:r>
          </w:p>
        </w:tc>
        <w:tc>
          <w:tcPr>
            <w:tcW w:w="3213" w:type="dxa"/>
          </w:tcPr>
          <w:p w14:paraId="559AE5EB" w14:textId="77777777" w:rsidR="0079461A" w:rsidRPr="00343169" w:rsidRDefault="0079461A" w:rsidP="00AF1C52">
            <w:pPr>
              <w:rPr>
                <w:noProof/>
                <w:lang w:val="en-IE"/>
              </w:rPr>
            </w:pPr>
            <w:r w:rsidRPr="00343169">
              <w:rPr>
                <w:noProof/>
                <w:lang w:val="en-IE"/>
              </w:rPr>
              <w:t>Gender equality</w:t>
            </w:r>
            <w:r w:rsidRPr="00343169">
              <w:rPr>
                <w:rFonts w:ascii="Calibri" w:hAnsi="Calibri" w:cs="Calibri"/>
                <w:noProof/>
                <w:lang w:val="en-IE"/>
              </w:rPr>
              <w:t> </w:t>
            </w:r>
            <w:r w:rsidRPr="00343169">
              <w:rPr>
                <w:noProof/>
                <w:lang w:val="en-IE"/>
              </w:rPr>
              <w:t>(*)</w:t>
            </w:r>
          </w:p>
        </w:tc>
      </w:tr>
      <w:tr w:rsidR="0079461A" w:rsidRPr="00343169" w14:paraId="359DCDF7" w14:textId="77777777" w:rsidTr="00AF1C52">
        <w:trPr>
          <w:cnfStyle w:val="000000100000" w:firstRow="0" w:lastRow="0" w:firstColumn="0" w:lastColumn="0" w:oddVBand="0" w:evenVBand="0" w:oddHBand="1" w:evenHBand="0" w:firstRowFirstColumn="0" w:firstRowLastColumn="0" w:lastRowFirstColumn="0" w:lastRowLastColumn="0"/>
        </w:trPr>
        <w:tc>
          <w:tcPr>
            <w:tcW w:w="3213" w:type="dxa"/>
          </w:tcPr>
          <w:p w14:paraId="0E5A99C7" w14:textId="77777777" w:rsidR="0079461A" w:rsidRPr="00343169" w:rsidRDefault="0079461A" w:rsidP="00AF1C52">
            <w:pPr>
              <w:jc w:val="center"/>
              <w:rPr>
                <w:rFonts w:eastAsia="EC Square Sans Pro" w:cs="EC Square Sans Pro"/>
                <w:noProof/>
                <w:lang w:val="en-IE"/>
              </w:rPr>
            </w:pPr>
            <w:r w:rsidRPr="00343169">
              <w:rPr>
                <w:noProof/>
                <w:lang w:val="en-IE"/>
              </w:rPr>
              <w:t>0</w:t>
            </w:r>
          </w:p>
        </w:tc>
        <w:tc>
          <w:tcPr>
            <w:tcW w:w="3213" w:type="dxa"/>
          </w:tcPr>
          <w:p w14:paraId="44CA2E2D" w14:textId="77777777" w:rsidR="0079461A" w:rsidRPr="00343169" w:rsidRDefault="0079461A" w:rsidP="00AF1C52">
            <w:pPr>
              <w:jc w:val="center"/>
              <w:rPr>
                <w:noProof/>
                <w:lang w:val="en-IE"/>
              </w:rPr>
            </w:pPr>
            <w:r w:rsidRPr="00343169">
              <w:rPr>
                <w:noProof/>
                <w:lang w:val="en-IE"/>
              </w:rPr>
              <w:t>0</w:t>
            </w:r>
          </w:p>
        </w:tc>
        <w:tc>
          <w:tcPr>
            <w:tcW w:w="3213" w:type="dxa"/>
          </w:tcPr>
          <w:p w14:paraId="1B5A47BF" w14:textId="77777777" w:rsidR="0079461A" w:rsidRPr="00343169" w:rsidRDefault="0079461A" w:rsidP="00AF1C52">
            <w:pPr>
              <w:jc w:val="center"/>
              <w:rPr>
                <w:noProof/>
                <w:lang w:val="en-IE"/>
              </w:rPr>
            </w:pPr>
            <w:r w:rsidRPr="00343169">
              <w:rPr>
                <w:noProof/>
                <w:lang w:val="en-IE"/>
              </w:rPr>
              <w:t>Score</w:t>
            </w:r>
            <w:r w:rsidRPr="00343169">
              <w:rPr>
                <w:rFonts w:ascii="Calibri" w:hAnsi="Calibri" w:cs="Calibri"/>
                <w:noProof/>
                <w:lang w:val="en-IE"/>
              </w:rPr>
              <w:t> </w:t>
            </w:r>
            <w:r w:rsidRPr="00343169">
              <w:rPr>
                <w:noProof/>
                <w:lang w:val="en-IE"/>
              </w:rPr>
              <w:t>1: 0.5</w:t>
            </w:r>
          </w:p>
          <w:p w14:paraId="717F243B" w14:textId="77777777" w:rsidR="0079461A" w:rsidRPr="00343169" w:rsidRDefault="0079461A" w:rsidP="00AF1C52">
            <w:pPr>
              <w:jc w:val="center"/>
              <w:rPr>
                <w:noProof/>
                <w:lang w:val="en-IE"/>
              </w:rPr>
            </w:pPr>
            <w:r w:rsidRPr="00343169">
              <w:rPr>
                <w:noProof/>
                <w:lang w:val="en-IE"/>
              </w:rPr>
              <w:t>Score</w:t>
            </w:r>
            <w:r w:rsidRPr="00343169">
              <w:rPr>
                <w:rFonts w:ascii="Calibri" w:hAnsi="Calibri" w:cs="Calibri"/>
                <w:noProof/>
                <w:lang w:val="en-IE"/>
              </w:rPr>
              <w:t> </w:t>
            </w:r>
            <w:r w:rsidRPr="00343169">
              <w:rPr>
                <w:noProof/>
                <w:lang w:val="en-IE"/>
              </w:rPr>
              <w:t>0*: 31.5</w:t>
            </w:r>
          </w:p>
        </w:tc>
      </w:tr>
    </w:tbl>
    <w:p w14:paraId="01F3512E" w14:textId="77777777" w:rsidR="0079461A" w:rsidRPr="00343169" w:rsidRDefault="0079461A" w:rsidP="0079461A">
      <w:pPr>
        <w:pStyle w:val="FootnoteText"/>
        <w:rPr>
          <w:noProof/>
          <w:lang w:val="en-IE"/>
        </w:rPr>
      </w:pPr>
      <w:r w:rsidRPr="00343169">
        <w:rPr>
          <w:noProof/>
          <w:lang w:val="en-IE"/>
        </w:rPr>
        <w:t xml:space="preserve">(*) Based on the applied gender contribution methodology, the following scores are attributed at the most granular level of intervention possible: </w:t>
      </w:r>
    </w:p>
    <w:p w14:paraId="6E7DFA05" w14:textId="77777777" w:rsidR="0079461A" w:rsidRPr="00343169" w:rsidRDefault="0079461A" w:rsidP="0079461A">
      <w:pPr>
        <w:pStyle w:val="FootnoteText"/>
        <w:numPr>
          <w:ilvl w:val="0"/>
          <w:numId w:val="38"/>
        </w:numPr>
        <w:spacing w:after="60" w:line="264" w:lineRule="auto"/>
        <w:jc w:val="left"/>
        <w:rPr>
          <w:noProof/>
          <w:lang w:val="en-IE"/>
        </w:rPr>
      </w:pPr>
      <w:r w:rsidRPr="00343169">
        <w:rPr>
          <w:noProof/>
          <w:lang w:val="en-IE"/>
        </w:rPr>
        <w:t>2: interventions the principal objective of which is to improve gender equality;</w:t>
      </w:r>
    </w:p>
    <w:p w14:paraId="71ED8761" w14:textId="77777777" w:rsidR="0079461A" w:rsidRPr="00343169" w:rsidRDefault="0079461A" w:rsidP="0079461A">
      <w:pPr>
        <w:pStyle w:val="FootnoteText"/>
        <w:numPr>
          <w:ilvl w:val="0"/>
          <w:numId w:val="38"/>
        </w:numPr>
        <w:spacing w:after="60" w:line="264" w:lineRule="auto"/>
        <w:jc w:val="left"/>
        <w:rPr>
          <w:noProof/>
          <w:lang w:val="en-IE"/>
        </w:rPr>
      </w:pPr>
      <w:r w:rsidRPr="00343169">
        <w:rPr>
          <w:noProof/>
          <w:lang w:val="en-IE"/>
        </w:rPr>
        <w:t>1: interventions having gender equality as an important and deliberate objective but not as the main reason for the intervention;</w:t>
      </w:r>
    </w:p>
    <w:p w14:paraId="406F84DB" w14:textId="77777777" w:rsidR="0079461A" w:rsidRPr="00343169" w:rsidRDefault="0079461A" w:rsidP="0079461A">
      <w:pPr>
        <w:pStyle w:val="FootnoteText"/>
        <w:numPr>
          <w:ilvl w:val="0"/>
          <w:numId w:val="38"/>
        </w:numPr>
        <w:spacing w:after="60" w:line="264" w:lineRule="auto"/>
        <w:jc w:val="left"/>
        <w:rPr>
          <w:noProof/>
          <w:lang w:val="en-IE"/>
        </w:rPr>
      </w:pPr>
      <w:r w:rsidRPr="00343169">
        <w:rPr>
          <w:noProof/>
          <w:lang w:val="en-IE"/>
        </w:rPr>
        <w:t xml:space="preserve">0: non-targeted interventions; </w:t>
      </w:r>
    </w:p>
    <w:p w14:paraId="11489FB3" w14:textId="77777777" w:rsidR="0079461A" w:rsidRPr="00343169" w:rsidRDefault="0079461A" w:rsidP="0079461A">
      <w:pPr>
        <w:pStyle w:val="FootnoteText"/>
        <w:numPr>
          <w:ilvl w:val="0"/>
          <w:numId w:val="38"/>
        </w:numPr>
        <w:spacing w:after="60" w:line="264" w:lineRule="auto"/>
        <w:jc w:val="left"/>
        <w:rPr>
          <w:noProof/>
          <w:lang w:val="en-IE"/>
        </w:rPr>
      </w:pPr>
      <w:r w:rsidRPr="00343169">
        <w:rPr>
          <w:noProof/>
          <w:lang w:val="en-IE"/>
        </w:rPr>
        <w:t>0*: score to be assigned to interventions with a likely but not yet clear positive impact on gender equality.</w:t>
      </w:r>
    </w:p>
    <w:p w14:paraId="2A235D36" w14:textId="77777777" w:rsidR="0079461A" w:rsidRPr="00343169" w:rsidRDefault="0079461A" w:rsidP="0079461A">
      <w:pPr>
        <w:pStyle w:val="ppoHeading5"/>
        <w:rPr>
          <w:noProof/>
          <w:lang w:val="en-IE"/>
        </w:rPr>
      </w:pPr>
      <w:r w:rsidRPr="00343169">
        <w:rPr>
          <w:noProof/>
          <w:lang w:val="en-IE"/>
        </w:rPr>
        <w:t>Performance assessment</w:t>
      </w:r>
    </w:p>
    <w:p w14:paraId="29BBA986" w14:textId="77777777" w:rsidR="0079461A" w:rsidRPr="00343169" w:rsidRDefault="0079461A" w:rsidP="0079461A">
      <w:pPr>
        <w:pStyle w:val="ppoHeading6"/>
        <w:rPr>
          <w:noProof/>
          <w:lang w:val="en-IE"/>
        </w:rPr>
      </w:pPr>
      <w:r w:rsidRPr="00343169">
        <w:rPr>
          <w:noProof/>
          <w:lang w:val="en-IE"/>
        </w:rPr>
        <w:t>Key performance indicators</w:t>
      </w:r>
    </w:p>
    <w:tbl>
      <w:tblPr>
        <w:tblStyle w:val="PPO2021"/>
        <w:tblW w:w="9639" w:type="dxa"/>
        <w:tblInd w:w="0" w:type="dxa"/>
        <w:tblLook w:val="0420" w:firstRow="1" w:lastRow="0" w:firstColumn="0" w:lastColumn="0" w:noHBand="0" w:noVBand="1"/>
      </w:tblPr>
      <w:tblGrid>
        <w:gridCol w:w="2307"/>
        <w:gridCol w:w="1099"/>
        <w:gridCol w:w="1522"/>
        <w:gridCol w:w="1564"/>
        <w:gridCol w:w="1572"/>
        <w:gridCol w:w="1575"/>
      </w:tblGrid>
      <w:tr w:rsidR="0079461A" w:rsidRPr="00343169" w14:paraId="6889EB61" w14:textId="77777777" w:rsidTr="00AF1C52">
        <w:trPr>
          <w:cnfStyle w:val="100000000000" w:firstRow="1" w:lastRow="0" w:firstColumn="0" w:lastColumn="0" w:oddVBand="0" w:evenVBand="0" w:oddHBand="0" w:evenHBand="0" w:firstRowFirstColumn="0" w:firstRowLastColumn="0" w:lastRowFirstColumn="0" w:lastRowLastColumn="0"/>
        </w:trPr>
        <w:tc>
          <w:tcPr>
            <w:tcW w:w="2330" w:type="dxa"/>
          </w:tcPr>
          <w:p w14:paraId="1F634968" w14:textId="77777777" w:rsidR="0079461A" w:rsidRPr="00343169" w:rsidRDefault="0079461A" w:rsidP="00AF1C52">
            <w:pPr>
              <w:rPr>
                <w:noProof/>
                <w:lang w:val="en-IE"/>
              </w:rPr>
            </w:pPr>
          </w:p>
        </w:tc>
        <w:tc>
          <w:tcPr>
            <w:tcW w:w="1100" w:type="dxa"/>
          </w:tcPr>
          <w:p w14:paraId="3F03D873" w14:textId="77777777" w:rsidR="0079461A" w:rsidRPr="00343169" w:rsidRDefault="0079461A" w:rsidP="00AF1C52">
            <w:pPr>
              <w:rPr>
                <w:noProof/>
                <w:lang w:val="en-IE"/>
              </w:rPr>
            </w:pPr>
            <w:r w:rsidRPr="00343169">
              <w:rPr>
                <w:noProof/>
                <w:lang w:val="en-IE"/>
              </w:rPr>
              <w:t>Baseline</w:t>
            </w:r>
          </w:p>
        </w:tc>
        <w:tc>
          <w:tcPr>
            <w:tcW w:w="1526" w:type="dxa"/>
          </w:tcPr>
          <w:p w14:paraId="11937A10" w14:textId="77777777" w:rsidR="0079461A" w:rsidRPr="00343169" w:rsidRDefault="0079461A" w:rsidP="00AF1C52">
            <w:pPr>
              <w:rPr>
                <w:noProof/>
                <w:lang w:val="en-IE"/>
              </w:rPr>
            </w:pPr>
            <w:r w:rsidRPr="00343169">
              <w:rPr>
                <w:noProof/>
                <w:lang w:val="en-IE"/>
              </w:rPr>
              <w:t>Progress</w:t>
            </w:r>
            <w:r w:rsidRPr="00343169">
              <w:rPr>
                <w:rFonts w:ascii="Calibri" w:hAnsi="Calibri" w:cs="Calibri"/>
                <w:noProof/>
                <w:lang w:val="en-IE"/>
              </w:rPr>
              <w:t> </w:t>
            </w:r>
            <w:r w:rsidRPr="00343169">
              <w:rPr>
                <w:noProof/>
                <w:lang w:val="en-IE"/>
              </w:rPr>
              <w:t>(*)</w:t>
            </w:r>
          </w:p>
        </w:tc>
        <w:tc>
          <w:tcPr>
            <w:tcW w:w="1532" w:type="dxa"/>
          </w:tcPr>
          <w:p w14:paraId="61BE79D3" w14:textId="77777777" w:rsidR="0079461A" w:rsidRPr="00343169" w:rsidRDefault="0079461A" w:rsidP="00AF1C52">
            <w:pPr>
              <w:rPr>
                <w:noProof/>
                <w:lang w:val="en-IE"/>
              </w:rPr>
            </w:pPr>
            <w:r w:rsidRPr="00343169">
              <w:rPr>
                <w:noProof/>
                <w:lang w:val="en-IE"/>
              </w:rPr>
              <w:t>Target</w:t>
            </w:r>
          </w:p>
        </w:tc>
        <w:tc>
          <w:tcPr>
            <w:tcW w:w="1572" w:type="dxa"/>
          </w:tcPr>
          <w:p w14:paraId="63546E77" w14:textId="77777777" w:rsidR="0079461A" w:rsidRPr="00343169" w:rsidRDefault="0079461A" w:rsidP="00AF1C52">
            <w:pPr>
              <w:rPr>
                <w:noProof/>
                <w:lang w:val="en-IE"/>
              </w:rPr>
            </w:pPr>
            <w:r w:rsidRPr="00343169">
              <w:rPr>
                <w:noProof/>
                <w:lang w:val="en-IE"/>
              </w:rPr>
              <w:t>Results</w:t>
            </w:r>
          </w:p>
        </w:tc>
        <w:tc>
          <w:tcPr>
            <w:tcW w:w="1579" w:type="dxa"/>
          </w:tcPr>
          <w:p w14:paraId="391EAAC4" w14:textId="77777777" w:rsidR="0079461A" w:rsidRPr="00343169" w:rsidRDefault="0079461A" w:rsidP="00AF1C52">
            <w:pPr>
              <w:rPr>
                <w:noProof/>
                <w:lang w:val="en-IE"/>
              </w:rPr>
            </w:pPr>
            <w:r w:rsidRPr="00343169">
              <w:rPr>
                <w:noProof/>
                <w:lang w:val="en-IE"/>
              </w:rPr>
              <w:t>Assessment</w:t>
            </w:r>
          </w:p>
        </w:tc>
      </w:tr>
      <w:tr w:rsidR="0079461A" w:rsidRPr="00343169" w14:paraId="026E1463" w14:textId="77777777" w:rsidTr="00AF1C52">
        <w:trPr>
          <w:cnfStyle w:val="000000100000" w:firstRow="0" w:lastRow="0" w:firstColumn="0" w:lastColumn="0" w:oddVBand="0" w:evenVBand="0" w:oddHBand="1" w:evenHBand="0" w:firstRowFirstColumn="0" w:firstRowLastColumn="0" w:lastRowFirstColumn="0" w:lastRowLastColumn="0"/>
        </w:trPr>
        <w:tc>
          <w:tcPr>
            <w:tcW w:w="2330" w:type="dxa"/>
          </w:tcPr>
          <w:p w14:paraId="0E17E1B3" w14:textId="77777777" w:rsidR="0079461A" w:rsidRPr="00343169" w:rsidRDefault="0079461A" w:rsidP="00AF1C52">
            <w:pPr>
              <w:rPr>
                <w:noProof/>
                <w:lang w:val="en-IE"/>
              </w:rPr>
            </w:pPr>
            <w:r w:rsidRPr="00343169">
              <w:rPr>
                <w:noProof/>
                <w:lang w:val="en-IE"/>
              </w:rPr>
              <w:t>Cross-green-line trade volume in process of progressive increase</w:t>
            </w:r>
          </w:p>
        </w:tc>
        <w:tc>
          <w:tcPr>
            <w:tcW w:w="1100" w:type="dxa"/>
          </w:tcPr>
          <w:p w14:paraId="453A545D" w14:textId="77777777" w:rsidR="0079461A" w:rsidRPr="00343169" w:rsidRDefault="0079461A" w:rsidP="00AF1C52">
            <w:pPr>
              <w:jc w:val="center"/>
              <w:rPr>
                <w:noProof/>
                <w:lang w:val="en-IE"/>
              </w:rPr>
            </w:pPr>
            <w:r w:rsidRPr="00343169">
              <w:rPr>
                <w:noProof/>
                <w:lang w:val="en-IE"/>
              </w:rPr>
              <w:t>0</w:t>
            </w:r>
          </w:p>
        </w:tc>
        <w:tc>
          <w:tcPr>
            <w:tcW w:w="1526" w:type="dxa"/>
          </w:tcPr>
          <w:p w14:paraId="69C3406F" w14:textId="77777777" w:rsidR="0079461A" w:rsidRPr="00343169" w:rsidRDefault="0079461A" w:rsidP="00AF1C52">
            <w:pPr>
              <w:jc w:val="center"/>
              <w:rPr>
                <w:b/>
                <w:noProof/>
                <w:lang w:val="en-IE"/>
              </w:rPr>
            </w:pPr>
            <w:r w:rsidRPr="00343169">
              <w:rPr>
                <w:b/>
                <w:noProof/>
                <w:lang w:val="en-IE"/>
              </w:rPr>
              <w:t>11%</w:t>
            </w:r>
            <w:r w:rsidRPr="00343169">
              <w:rPr>
                <w:rFonts w:ascii="Calibri" w:hAnsi="Calibri" w:cs="Calibri"/>
                <w:b/>
                <w:noProof/>
                <w:lang w:val="en-IE"/>
              </w:rPr>
              <w:t> </w:t>
            </w:r>
            <w:r w:rsidRPr="00343169">
              <w:rPr>
                <w:noProof/>
                <w:lang w:val="en-IE"/>
              </w:rPr>
              <w:t>(**)</w:t>
            </w:r>
          </w:p>
        </w:tc>
        <w:tc>
          <w:tcPr>
            <w:tcW w:w="1532" w:type="dxa"/>
          </w:tcPr>
          <w:p w14:paraId="028BDB90" w14:textId="77777777" w:rsidR="0079461A" w:rsidRPr="00343169" w:rsidRDefault="0079461A" w:rsidP="00AF1C52">
            <w:pPr>
              <w:jc w:val="center"/>
              <w:rPr>
                <w:noProof/>
                <w:lang w:val="en-IE"/>
              </w:rPr>
            </w:pPr>
            <w:r w:rsidRPr="00343169">
              <w:rPr>
                <w:noProof/>
                <w:lang w:val="en-IE"/>
              </w:rPr>
              <w:t>EUR</w:t>
            </w:r>
            <w:r w:rsidRPr="00343169">
              <w:rPr>
                <w:rFonts w:ascii="Calibri" w:hAnsi="Calibri" w:cs="Calibri"/>
                <w:noProof/>
                <w:lang w:val="en-IE"/>
              </w:rPr>
              <w:t> </w:t>
            </w:r>
            <w:r w:rsidRPr="00343169">
              <w:rPr>
                <w:noProof/>
                <w:lang w:val="en-IE"/>
              </w:rPr>
              <w:t>9.0</w:t>
            </w:r>
            <w:r w:rsidRPr="00343169">
              <w:rPr>
                <w:rFonts w:ascii="Calibri" w:hAnsi="Calibri" w:cs="Calibri"/>
                <w:noProof/>
                <w:lang w:val="en-IE"/>
              </w:rPr>
              <w:t> </w:t>
            </w:r>
            <w:r w:rsidRPr="00343169">
              <w:rPr>
                <w:noProof/>
                <w:lang w:val="en-IE"/>
              </w:rPr>
              <w:t>million in 2029</w:t>
            </w:r>
          </w:p>
        </w:tc>
        <w:tc>
          <w:tcPr>
            <w:tcW w:w="1572" w:type="dxa"/>
          </w:tcPr>
          <w:p w14:paraId="4A72D2BE" w14:textId="19EAF45B" w:rsidR="0079461A" w:rsidRPr="00343169" w:rsidRDefault="0079461A" w:rsidP="00AF1C52">
            <w:pPr>
              <w:jc w:val="center"/>
              <w:rPr>
                <w:noProof/>
                <w:lang w:val="en-IE"/>
              </w:rPr>
            </w:pPr>
            <w:r w:rsidRPr="00343169">
              <w:rPr>
                <w:noProof/>
                <w:lang w:val="en-IE"/>
              </w:rPr>
              <w:t>Milestone achieved in 2021. EUR</w:t>
            </w:r>
            <w:r w:rsidRPr="00343169">
              <w:rPr>
                <w:rFonts w:ascii="Calibri" w:hAnsi="Calibri" w:cs="Calibri"/>
                <w:noProof/>
                <w:lang w:val="en-IE"/>
              </w:rPr>
              <w:t> </w:t>
            </w:r>
            <w:r w:rsidRPr="00343169">
              <w:rPr>
                <w:noProof/>
                <w:lang w:val="en-IE"/>
              </w:rPr>
              <w:t>6.2</w:t>
            </w:r>
            <w:r w:rsidRPr="00343169">
              <w:rPr>
                <w:rFonts w:ascii="Calibri" w:hAnsi="Calibri" w:cs="Calibri"/>
                <w:noProof/>
                <w:lang w:val="en-IE"/>
              </w:rPr>
              <w:t> </w:t>
            </w:r>
            <w:r w:rsidRPr="00343169">
              <w:rPr>
                <w:noProof/>
                <w:lang w:val="en-IE"/>
              </w:rPr>
              <w:t xml:space="preserve">million compared to </w:t>
            </w:r>
            <w:r w:rsidR="00753FBA">
              <w:rPr>
                <w:noProof/>
                <w:lang w:val="en-IE"/>
              </w:rPr>
              <w:t xml:space="preserve">a milestone of </w:t>
            </w:r>
            <w:r w:rsidRPr="00343169">
              <w:rPr>
                <w:noProof/>
                <w:lang w:val="en-IE"/>
              </w:rPr>
              <w:t>EUR</w:t>
            </w:r>
            <w:r w:rsidRPr="00343169">
              <w:rPr>
                <w:rFonts w:ascii="Calibri" w:hAnsi="Calibri" w:cs="Calibri"/>
                <w:noProof/>
                <w:lang w:val="en-IE"/>
              </w:rPr>
              <w:t> </w:t>
            </w:r>
            <w:r w:rsidRPr="00343169">
              <w:rPr>
                <w:noProof/>
                <w:lang w:val="en-IE"/>
              </w:rPr>
              <w:t>5.0</w:t>
            </w:r>
            <w:r w:rsidRPr="00343169">
              <w:rPr>
                <w:rFonts w:ascii="Calibri" w:hAnsi="Calibri" w:cs="Calibri"/>
                <w:noProof/>
                <w:lang w:val="en-IE"/>
              </w:rPr>
              <w:t> </w:t>
            </w:r>
            <w:r w:rsidRPr="00343169">
              <w:rPr>
                <w:noProof/>
                <w:lang w:val="en-IE"/>
              </w:rPr>
              <w:t>million</w:t>
            </w:r>
          </w:p>
        </w:tc>
        <w:tc>
          <w:tcPr>
            <w:tcW w:w="1579" w:type="dxa"/>
          </w:tcPr>
          <w:p w14:paraId="320B9C0B" w14:textId="77777777" w:rsidR="0079461A" w:rsidRPr="00343169" w:rsidRDefault="0079461A" w:rsidP="00AF1C52">
            <w:pPr>
              <w:jc w:val="center"/>
              <w:rPr>
                <w:noProof/>
                <w:lang w:val="en-IE"/>
              </w:rPr>
            </w:pPr>
            <w:r w:rsidRPr="00343169">
              <w:rPr>
                <w:noProof/>
                <w:lang w:val="en-IE"/>
              </w:rPr>
              <w:t>On track</w:t>
            </w:r>
          </w:p>
        </w:tc>
      </w:tr>
      <w:tr w:rsidR="0079461A" w:rsidRPr="00343169" w14:paraId="6A38A94F" w14:textId="77777777" w:rsidTr="00AF1C52">
        <w:trPr>
          <w:cnfStyle w:val="000000010000" w:firstRow="0" w:lastRow="0" w:firstColumn="0" w:lastColumn="0" w:oddVBand="0" w:evenVBand="0" w:oddHBand="0" w:evenHBand="1" w:firstRowFirstColumn="0" w:firstRowLastColumn="0" w:lastRowFirstColumn="0" w:lastRowLastColumn="0"/>
        </w:trPr>
        <w:tc>
          <w:tcPr>
            <w:tcW w:w="2330" w:type="dxa"/>
          </w:tcPr>
          <w:p w14:paraId="5410CAE4" w14:textId="77777777" w:rsidR="0079461A" w:rsidRPr="00343169" w:rsidRDefault="0079461A" w:rsidP="00AF1C52">
            <w:pPr>
              <w:rPr>
                <w:noProof/>
                <w:lang w:val="en-IE"/>
              </w:rPr>
            </w:pPr>
            <w:r w:rsidRPr="00343169">
              <w:rPr>
                <w:noProof/>
                <w:lang w:val="en-IE"/>
              </w:rPr>
              <w:t>Number of civil society organisations having received EU support in the form of a grant</w:t>
            </w:r>
          </w:p>
        </w:tc>
        <w:tc>
          <w:tcPr>
            <w:tcW w:w="1100" w:type="dxa"/>
          </w:tcPr>
          <w:p w14:paraId="23447E20" w14:textId="77777777" w:rsidR="0079461A" w:rsidRPr="00343169" w:rsidRDefault="0079461A" w:rsidP="00AF1C52">
            <w:pPr>
              <w:jc w:val="center"/>
              <w:rPr>
                <w:noProof/>
                <w:lang w:val="en-IE"/>
              </w:rPr>
            </w:pPr>
            <w:r w:rsidRPr="00343169">
              <w:rPr>
                <w:noProof/>
                <w:lang w:val="en-IE"/>
              </w:rPr>
              <w:t>0</w:t>
            </w:r>
          </w:p>
        </w:tc>
        <w:tc>
          <w:tcPr>
            <w:tcW w:w="1526" w:type="dxa"/>
          </w:tcPr>
          <w:p w14:paraId="15A74E52" w14:textId="77777777" w:rsidR="0079461A" w:rsidRPr="00343169" w:rsidRDefault="0079461A" w:rsidP="00AF1C52">
            <w:pPr>
              <w:jc w:val="center"/>
              <w:rPr>
                <w:b/>
                <w:noProof/>
                <w:lang w:val="en-IE"/>
              </w:rPr>
            </w:pPr>
            <w:r w:rsidRPr="00343169">
              <w:rPr>
                <w:b/>
                <w:noProof/>
                <w:lang w:val="en-IE"/>
              </w:rPr>
              <w:t>23%</w:t>
            </w:r>
          </w:p>
        </w:tc>
        <w:tc>
          <w:tcPr>
            <w:tcW w:w="1532" w:type="dxa"/>
          </w:tcPr>
          <w:p w14:paraId="4E745836" w14:textId="77777777" w:rsidR="0079461A" w:rsidRPr="00343169" w:rsidRDefault="0079461A" w:rsidP="00AF1C52">
            <w:pPr>
              <w:jc w:val="center"/>
              <w:rPr>
                <w:noProof/>
                <w:lang w:val="en-IE"/>
              </w:rPr>
            </w:pPr>
            <w:r w:rsidRPr="00343169">
              <w:rPr>
                <w:noProof/>
                <w:lang w:val="en-IE"/>
              </w:rPr>
              <w:t xml:space="preserve">52 in 2029 </w:t>
            </w:r>
          </w:p>
        </w:tc>
        <w:tc>
          <w:tcPr>
            <w:tcW w:w="1572" w:type="dxa"/>
          </w:tcPr>
          <w:p w14:paraId="6068E0D6" w14:textId="6723D678" w:rsidR="0079461A" w:rsidRPr="00343169" w:rsidRDefault="0079461A" w:rsidP="00AF1C52">
            <w:pPr>
              <w:jc w:val="center"/>
              <w:rPr>
                <w:noProof/>
                <w:lang w:val="en-IE"/>
              </w:rPr>
            </w:pPr>
            <w:r w:rsidRPr="00343169">
              <w:rPr>
                <w:noProof/>
                <w:lang w:val="en-IE"/>
              </w:rPr>
              <w:t xml:space="preserve">12 organisations compared to </w:t>
            </w:r>
            <w:r w:rsidR="00753FBA">
              <w:rPr>
                <w:noProof/>
                <w:lang w:val="en-IE"/>
              </w:rPr>
              <w:t xml:space="preserve">a target of </w:t>
            </w:r>
            <w:r w:rsidRPr="00343169">
              <w:rPr>
                <w:noProof/>
                <w:lang w:val="en-IE"/>
              </w:rPr>
              <w:t>52.</w:t>
            </w:r>
          </w:p>
        </w:tc>
        <w:tc>
          <w:tcPr>
            <w:tcW w:w="1579" w:type="dxa"/>
          </w:tcPr>
          <w:p w14:paraId="32866E0D" w14:textId="77777777" w:rsidR="0079461A" w:rsidRPr="00343169" w:rsidRDefault="0079461A" w:rsidP="00AF1C52">
            <w:pPr>
              <w:jc w:val="center"/>
              <w:rPr>
                <w:noProof/>
                <w:lang w:val="en-IE"/>
              </w:rPr>
            </w:pPr>
            <w:r w:rsidRPr="00343169">
              <w:rPr>
                <w:noProof/>
                <w:lang w:val="en-IE"/>
              </w:rPr>
              <w:t>On track</w:t>
            </w:r>
          </w:p>
        </w:tc>
      </w:tr>
      <w:tr w:rsidR="0079461A" w:rsidRPr="00343169" w14:paraId="204C4056" w14:textId="77777777" w:rsidTr="00AF1C52">
        <w:trPr>
          <w:cnfStyle w:val="000000100000" w:firstRow="0" w:lastRow="0" w:firstColumn="0" w:lastColumn="0" w:oddVBand="0" w:evenVBand="0" w:oddHBand="1" w:evenHBand="0" w:firstRowFirstColumn="0" w:firstRowLastColumn="0" w:lastRowFirstColumn="0" w:lastRowLastColumn="0"/>
        </w:trPr>
        <w:tc>
          <w:tcPr>
            <w:tcW w:w="2330" w:type="dxa"/>
          </w:tcPr>
          <w:p w14:paraId="1AC42B92" w14:textId="77777777" w:rsidR="0079461A" w:rsidRPr="00343169" w:rsidRDefault="0079461A" w:rsidP="00AF1C52">
            <w:pPr>
              <w:rPr>
                <w:noProof/>
                <w:lang w:val="en-IE"/>
              </w:rPr>
            </w:pPr>
            <w:r w:rsidRPr="00343169">
              <w:rPr>
                <w:noProof/>
                <w:lang w:val="en-IE"/>
              </w:rPr>
              <w:t>Number of individuals having benefited from a scholarship</w:t>
            </w:r>
          </w:p>
        </w:tc>
        <w:tc>
          <w:tcPr>
            <w:tcW w:w="1100" w:type="dxa"/>
          </w:tcPr>
          <w:p w14:paraId="72C83AC8" w14:textId="77777777" w:rsidR="0079461A" w:rsidRPr="00343169" w:rsidRDefault="0079461A" w:rsidP="00AF1C52">
            <w:pPr>
              <w:jc w:val="center"/>
              <w:rPr>
                <w:noProof/>
                <w:lang w:val="en-IE"/>
              </w:rPr>
            </w:pPr>
            <w:r w:rsidRPr="00343169">
              <w:rPr>
                <w:noProof/>
                <w:lang w:val="en-IE"/>
              </w:rPr>
              <w:t>0</w:t>
            </w:r>
          </w:p>
        </w:tc>
        <w:tc>
          <w:tcPr>
            <w:tcW w:w="1526" w:type="dxa"/>
          </w:tcPr>
          <w:p w14:paraId="0683F416" w14:textId="77777777" w:rsidR="0079461A" w:rsidRPr="00343169" w:rsidRDefault="0079461A" w:rsidP="00AF1C52">
            <w:pPr>
              <w:jc w:val="center"/>
              <w:rPr>
                <w:b/>
                <w:noProof/>
                <w:lang w:val="en-IE"/>
              </w:rPr>
            </w:pPr>
            <w:r w:rsidRPr="00343169">
              <w:rPr>
                <w:b/>
                <w:noProof/>
                <w:lang w:val="en-IE"/>
              </w:rPr>
              <w:t>11%</w:t>
            </w:r>
            <w:r w:rsidRPr="00343169">
              <w:rPr>
                <w:rFonts w:ascii="Calibri" w:hAnsi="Calibri" w:cs="Calibri"/>
                <w:b/>
                <w:noProof/>
                <w:lang w:val="en-IE"/>
              </w:rPr>
              <w:t> </w:t>
            </w:r>
            <w:r w:rsidRPr="00343169">
              <w:rPr>
                <w:noProof/>
                <w:lang w:val="en-IE"/>
              </w:rPr>
              <w:t>(**)</w:t>
            </w:r>
          </w:p>
        </w:tc>
        <w:tc>
          <w:tcPr>
            <w:tcW w:w="1532" w:type="dxa"/>
          </w:tcPr>
          <w:p w14:paraId="0F3792FD" w14:textId="77777777" w:rsidR="0079461A" w:rsidRPr="00343169" w:rsidRDefault="0079461A" w:rsidP="00AF1C52">
            <w:pPr>
              <w:jc w:val="center"/>
              <w:rPr>
                <w:noProof/>
                <w:lang w:val="en-IE"/>
              </w:rPr>
            </w:pPr>
            <w:r>
              <w:rPr>
                <w:noProof/>
                <w:lang w:val="en-IE"/>
              </w:rPr>
              <w:t>145 in 2027</w:t>
            </w:r>
            <w:r w:rsidRPr="00343169">
              <w:rPr>
                <w:noProof/>
                <w:lang w:val="en-IE"/>
              </w:rPr>
              <w:t xml:space="preserve"> </w:t>
            </w:r>
          </w:p>
        </w:tc>
        <w:tc>
          <w:tcPr>
            <w:tcW w:w="1572" w:type="dxa"/>
          </w:tcPr>
          <w:p w14:paraId="620EA0B7" w14:textId="47C60670" w:rsidR="0079461A" w:rsidRPr="00343169" w:rsidRDefault="0079461A" w:rsidP="00AF1C52">
            <w:pPr>
              <w:jc w:val="center"/>
              <w:rPr>
                <w:noProof/>
                <w:lang w:val="en-IE"/>
              </w:rPr>
            </w:pPr>
            <w:r w:rsidRPr="00343169">
              <w:rPr>
                <w:noProof/>
                <w:lang w:val="en-IE"/>
              </w:rPr>
              <w:t>Milestone achieved in 2021. 136 individuals compared to</w:t>
            </w:r>
            <w:r w:rsidR="00753FBA">
              <w:rPr>
                <w:noProof/>
                <w:lang w:val="en-IE"/>
              </w:rPr>
              <w:t xml:space="preserve"> a milestone of</w:t>
            </w:r>
            <w:r w:rsidRPr="00343169">
              <w:rPr>
                <w:noProof/>
                <w:lang w:val="en-IE"/>
              </w:rPr>
              <w:t xml:space="preserve"> 131</w:t>
            </w:r>
          </w:p>
        </w:tc>
        <w:tc>
          <w:tcPr>
            <w:tcW w:w="1579" w:type="dxa"/>
          </w:tcPr>
          <w:p w14:paraId="66387E25" w14:textId="77777777" w:rsidR="0079461A" w:rsidRPr="00343169" w:rsidRDefault="0079461A" w:rsidP="00AF1C52">
            <w:pPr>
              <w:jc w:val="center"/>
              <w:rPr>
                <w:noProof/>
                <w:lang w:val="en-IE"/>
              </w:rPr>
            </w:pPr>
            <w:r w:rsidRPr="00343169">
              <w:rPr>
                <w:noProof/>
                <w:lang w:val="en-IE"/>
              </w:rPr>
              <w:t>On track</w:t>
            </w:r>
          </w:p>
        </w:tc>
      </w:tr>
    </w:tbl>
    <w:p w14:paraId="284CF67D" w14:textId="77777777" w:rsidR="0079461A" w:rsidRPr="00343169" w:rsidRDefault="0079461A" w:rsidP="0079461A">
      <w:pPr>
        <w:pStyle w:val="FootnoteText"/>
        <w:spacing w:before="120"/>
        <w:rPr>
          <w:noProof/>
          <w:lang w:val="en-IE"/>
        </w:rPr>
      </w:pPr>
      <w:r w:rsidRPr="00343169">
        <w:rPr>
          <w:noProof/>
          <w:lang w:val="en-IE"/>
        </w:rPr>
        <w:t xml:space="preserve">(*) </w:t>
      </w:r>
      <w:r w:rsidRPr="00343169">
        <w:rPr>
          <w:noProof/>
          <w:lang w:val="en-IE"/>
        </w:rPr>
        <w:tab/>
        <w:t>% of target achieved by the end of 2021.</w:t>
      </w:r>
    </w:p>
    <w:p w14:paraId="2B98EBAF" w14:textId="77777777" w:rsidR="0079461A" w:rsidRPr="00343169" w:rsidRDefault="0079461A" w:rsidP="0079461A">
      <w:pPr>
        <w:pStyle w:val="FootnoteText"/>
        <w:rPr>
          <w:noProof/>
          <w:lang w:val="en-IE"/>
        </w:rPr>
      </w:pPr>
      <w:r w:rsidRPr="00343169">
        <w:rPr>
          <w:noProof/>
          <w:lang w:val="en-IE"/>
        </w:rPr>
        <w:t xml:space="preserve">(**) </w:t>
      </w:r>
      <w:r w:rsidRPr="00343169">
        <w:rPr>
          <w:noProof/>
          <w:lang w:val="en-IE"/>
        </w:rPr>
        <w:tab/>
        <w:t>% of years for which the milestone or target has been achieved during the 2021-2029 period.</w:t>
      </w:r>
    </w:p>
    <w:p w14:paraId="24965CFC" w14:textId="77777777" w:rsidR="0079461A" w:rsidRPr="00343169" w:rsidRDefault="0079461A" w:rsidP="0079461A">
      <w:pPr>
        <w:pStyle w:val="ppoListHyphened-L1"/>
        <w:rPr>
          <w:noProof/>
          <w:lang w:val="en-IE"/>
        </w:rPr>
      </w:pPr>
      <w:r w:rsidRPr="00343169">
        <w:rPr>
          <w:noProof/>
          <w:szCs w:val="18"/>
          <w:lang w:val="en-IE"/>
        </w:rPr>
        <w:t xml:space="preserve">The programme is implemented in a territory whose existence is not recognised internationally (with the exception of Turkey) and whose ‘institutions’ should therefore not be strengthened. This means that the Commission is operating with perennially weak partners and this negatively affects the efficiency and effectiveness of our intervention. </w:t>
      </w:r>
    </w:p>
    <w:p w14:paraId="377A032B" w14:textId="77777777" w:rsidR="0079461A" w:rsidRPr="00343169" w:rsidRDefault="0079461A" w:rsidP="0079461A">
      <w:pPr>
        <w:pStyle w:val="ppoListHyphened-L1"/>
        <w:rPr>
          <w:noProof/>
          <w:lang w:val="en-IE"/>
        </w:rPr>
      </w:pPr>
      <w:r w:rsidRPr="00343169">
        <w:rPr>
          <w:noProof/>
          <w:szCs w:val="18"/>
          <w:lang w:val="en-IE"/>
        </w:rPr>
        <w:t xml:space="preserve">The paradox is that such institutions often have an important role in implementing the policies required for closer integration with the EU </w:t>
      </w:r>
      <w:r w:rsidRPr="00343169">
        <w:rPr>
          <w:i/>
          <w:noProof/>
          <w:szCs w:val="18"/>
          <w:lang w:val="en-IE"/>
        </w:rPr>
        <w:t>acquis</w:t>
      </w:r>
      <w:r w:rsidRPr="00343169">
        <w:rPr>
          <w:noProof/>
          <w:szCs w:val="18"/>
          <w:lang w:val="en-IE"/>
        </w:rPr>
        <w:t>, particularly in areas such as animal health and food safety. This unique situation has a certain number of consequences when it comes to programme implementation, including the following.</w:t>
      </w:r>
    </w:p>
    <w:p w14:paraId="5ED8575F" w14:textId="77777777" w:rsidR="0079461A" w:rsidRPr="00343169" w:rsidRDefault="0079461A" w:rsidP="0079461A">
      <w:pPr>
        <w:pStyle w:val="ppoListHyphened-L2"/>
        <w:rPr>
          <w:noProof/>
          <w:lang w:val="en-IE"/>
        </w:rPr>
      </w:pPr>
      <w:r w:rsidRPr="00343169">
        <w:rPr>
          <w:noProof/>
          <w:lang w:val="en-IE"/>
        </w:rPr>
        <w:t>Property rights have to be respected when it comes to works contracts. This limits the scope of our intervention in terms of geographical areas,. In addition, the procedure for property clearance (via the Ministry of Foreign Affairs of the Republic of Cyprus) is long and cumbersome and is delaying the implementation of our works contracts.</w:t>
      </w:r>
    </w:p>
    <w:p w14:paraId="2C9CADAE" w14:textId="77777777" w:rsidR="0079461A" w:rsidRPr="00343169" w:rsidRDefault="0079461A" w:rsidP="0079461A">
      <w:pPr>
        <w:pStyle w:val="ppoListHyphened-L2"/>
        <w:rPr>
          <w:noProof/>
          <w:lang w:val="en-IE"/>
        </w:rPr>
      </w:pPr>
      <w:r w:rsidRPr="00343169">
        <w:rPr>
          <w:noProof/>
          <w:lang w:val="en-IE"/>
        </w:rPr>
        <w:t>For almost 10 years, the EU has supported the Turkish Cypriot community with a number of projects related to improving solid waste management, with an overall investment exceeding EUR</w:t>
      </w:r>
      <w:r w:rsidRPr="00343169">
        <w:rPr>
          <w:rFonts w:ascii="Calibri" w:hAnsi="Calibri" w:cs="Calibri"/>
          <w:noProof/>
          <w:lang w:val="en-IE"/>
        </w:rPr>
        <w:t> </w:t>
      </w:r>
      <w:r w:rsidRPr="00343169">
        <w:rPr>
          <w:noProof/>
          <w:lang w:val="en-IE"/>
        </w:rPr>
        <w:t>30</w:t>
      </w:r>
      <w:r w:rsidRPr="00343169">
        <w:rPr>
          <w:rFonts w:ascii="Calibri" w:hAnsi="Calibri" w:cs="Calibri"/>
          <w:noProof/>
          <w:lang w:val="en-IE"/>
        </w:rPr>
        <w:t> </w:t>
      </w:r>
      <w:r w:rsidRPr="00343169">
        <w:rPr>
          <w:noProof/>
          <w:lang w:val="en-IE"/>
        </w:rPr>
        <w:t>million. However, major problems remain. The sector is poorly managed and still not socially, financially and environmentally sustainable. Accordingly, the Commission is conducting an overall independent and critical assessment of the past performance of all EU-funded interventions in the waste sector in the Turkish Cypriot community. Depending on the results of this evaluation, the Commission may decide to adopt a more conservative approach with regard to financing future interventions in the field of waste.</w:t>
      </w:r>
    </w:p>
    <w:p w14:paraId="11BFC1B5" w14:textId="77777777" w:rsidR="0079461A" w:rsidRPr="00343169" w:rsidRDefault="0079461A" w:rsidP="0079461A">
      <w:pPr>
        <w:pStyle w:val="ppoListHyphened-L2"/>
        <w:rPr>
          <w:noProof/>
          <w:lang w:val="en-IE"/>
        </w:rPr>
      </w:pPr>
      <w:r w:rsidRPr="00343169">
        <w:rPr>
          <w:noProof/>
          <w:lang w:val="en-IE"/>
        </w:rPr>
        <w:t>In the animal health and food safety policy area, the progress in practical implementation of EU standards relies on prior enforcement of relevant legal texts. These, however, are not prioritised in the adoption plan of legal texts by the Turkish Cypriot community, hindering progress and resulting in long delays.</w:t>
      </w:r>
    </w:p>
    <w:p w14:paraId="0476F9E6" w14:textId="77777777" w:rsidR="0079461A" w:rsidRPr="00343169" w:rsidRDefault="0079461A" w:rsidP="0079461A">
      <w:pPr>
        <w:pStyle w:val="ppoListHyphened-L1"/>
        <w:rPr>
          <w:noProof/>
          <w:lang w:val="en-IE"/>
        </w:rPr>
      </w:pPr>
      <w:bookmarkStart w:id="99" w:name="_Hlk101527662"/>
      <w:r w:rsidRPr="00343169">
        <w:rPr>
          <w:noProof/>
          <w:color w:val="000000"/>
          <w:lang w:val="en-IE"/>
        </w:rPr>
        <w:t>In an attempt to overcome the challenges explained above, the programme choices reflect a renewed approach towards bringing more tangible and visible impact in the priority areas.</w:t>
      </w:r>
      <w:bookmarkEnd w:id="99"/>
      <w:r w:rsidRPr="00343169">
        <w:rPr>
          <w:noProof/>
          <w:color w:val="000000"/>
          <w:lang w:val="en-IE"/>
        </w:rPr>
        <w:t xml:space="preserve"> The overarching aim is that the proposals that are presented follow a strategic approach based on the key programming principles. </w:t>
      </w:r>
    </w:p>
    <w:p w14:paraId="635DA86C" w14:textId="77777777" w:rsidR="0079461A" w:rsidRPr="00130ADD" w:rsidRDefault="0079461A" w:rsidP="0079461A">
      <w:pPr>
        <w:pStyle w:val="ppoListHyphened-L1"/>
        <w:rPr>
          <w:noProof/>
        </w:rPr>
      </w:pPr>
      <w:bookmarkStart w:id="100" w:name="_Hlk101528085"/>
      <w:r w:rsidRPr="00130ADD">
        <w:rPr>
          <w:noProof/>
          <w:color w:val="000000"/>
        </w:rPr>
        <w:t xml:space="preserve">The </w:t>
      </w:r>
      <w:r>
        <w:rPr>
          <w:noProof/>
          <w:color w:val="000000"/>
        </w:rPr>
        <w:t>modifications</w:t>
      </w:r>
      <w:r w:rsidRPr="00130ADD">
        <w:rPr>
          <w:noProof/>
          <w:color w:val="000000"/>
        </w:rPr>
        <w:t xml:space="preserve"> will address an improvement in political priority and ownership, finalising projects (i.e. project maturity) through good implementation track records, and sequencing and streamlining the project pipeline appropriately. </w:t>
      </w:r>
    </w:p>
    <w:bookmarkEnd w:id="100"/>
    <w:p w14:paraId="1B131619" w14:textId="77777777" w:rsidR="0079461A" w:rsidRPr="00343169" w:rsidRDefault="0079461A" w:rsidP="0079461A">
      <w:pPr>
        <w:pStyle w:val="ppoListHyphened-L1"/>
        <w:rPr>
          <w:noProof/>
          <w:lang w:val="en-IE"/>
        </w:rPr>
      </w:pPr>
      <w:r w:rsidRPr="00343169">
        <w:rPr>
          <w:noProof/>
          <w:lang w:val="en-IE"/>
        </w:rPr>
        <w:t xml:space="preserve">Since the first projects under the 2021-2027 multiannual financial framework for the programme will only start implementation in 2022, it is too early to make a meaningful </w:t>
      </w:r>
      <w:r w:rsidRPr="00343169">
        <w:rPr>
          <w:noProof/>
          <w:szCs w:val="18"/>
          <w:lang w:val="en-IE"/>
        </w:rPr>
        <w:t>performance assessment.</w:t>
      </w:r>
    </w:p>
    <w:p w14:paraId="46436EE9" w14:textId="77777777" w:rsidR="0079461A" w:rsidRPr="00343169" w:rsidRDefault="0079461A" w:rsidP="0079461A">
      <w:pPr>
        <w:pStyle w:val="ppoListHyphened-L1"/>
        <w:rPr>
          <w:noProof/>
          <w:lang w:val="en-IE"/>
        </w:rPr>
      </w:pPr>
      <w:r w:rsidRPr="00343169">
        <w:rPr>
          <w:noProof/>
          <w:lang w:val="en-IE"/>
        </w:rPr>
        <w:t>The key monitoring indicators have been amended for the 2021-2027 period in order to better target the achievements of the programme, notably in order to render them as tangible and concrete as possible.</w:t>
      </w:r>
    </w:p>
    <w:p w14:paraId="2402B278" w14:textId="77777777" w:rsidR="0079461A" w:rsidRPr="00343169" w:rsidRDefault="0079461A" w:rsidP="0079461A">
      <w:pPr>
        <w:pStyle w:val="ppoListHyphened-L1"/>
        <w:numPr>
          <w:ilvl w:val="0"/>
          <w:numId w:val="0"/>
        </w:numPr>
        <w:rPr>
          <w:noProof/>
          <w:lang w:val="en-IE"/>
        </w:rPr>
      </w:pPr>
    </w:p>
    <w:p w14:paraId="1685668F" w14:textId="77777777" w:rsidR="0079461A" w:rsidRPr="00343169" w:rsidRDefault="0079461A" w:rsidP="0079461A">
      <w:pPr>
        <w:rPr>
          <w:rFonts w:eastAsiaTheme="majorEastAsia" w:cstheme="majorBidi"/>
          <w:noProof/>
          <w:color w:val="797720"/>
          <w:sz w:val="48"/>
          <w:szCs w:val="32"/>
          <w:lang w:val="en-IE" w:eastAsia="en-GB"/>
        </w:rPr>
      </w:pPr>
      <w:r w:rsidRPr="00343169">
        <w:rPr>
          <w:noProof/>
          <w:lang w:val="en-IE"/>
        </w:rPr>
        <w:br w:type="page"/>
      </w:r>
    </w:p>
    <w:p w14:paraId="16BC41EF" w14:textId="77777777" w:rsidR="0079461A" w:rsidRPr="00343169" w:rsidRDefault="0079461A" w:rsidP="0079461A">
      <w:pPr>
        <w:pStyle w:val="ppoHeading4NaturalGreen"/>
        <w:rPr>
          <w:noProof/>
          <w:lang w:val="en-IE"/>
        </w:rPr>
      </w:pPr>
      <w:r w:rsidRPr="00343169">
        <w:rPr>
          <w:noProof/>
          <w:lang w:val="en-IE"/>
        </w:rPr>
        <w:t>MULTIANNUAL FINANCIAL FRAMEWOK 2014-2020</w:t>
      </w:r>
      <w:r w:rsidRPr="00343169">
        <w:rPr>
          <w:rFonts w:ascii="Calibri" w:hAnsi="Calibri" w:cs="Calibri"/>
          <w:noProof/>
          <w:lang w:val="en-IE"/>
        </w:rPr>
        <w:t> </w:t>
      </w:r>
      <w:r w:rsidRPr="00343169">
        <w:rPr>
          <w:noProof/>
          <w:lang w:val="en-IE"/>
        </w:rPr>
        <w:t>– TURKISH CYPRIOT COMMUNITY</w:t>
      </w:r>
    </w:p>
    <w:p w14:paraId="4F3A3A53" w14:textId="77777777" w:rsidR="0079461A" w:rsidRPr="00343169" w:rsidRDefault="0079461A" w:rsidP="0079461A">
      <w:pPr>
        <w:rPr>
          <w:noProof/>
          <w:lang w:val="en-IE"/>
        </w:rPr>
      </w:pPr>
      <w:r w:rsidRPr="00343169">
        <w:rPr>
          <w:noProof/>
          <w:lang w:val="en-IE"/>
        </w:rPr>
        <w:t xml:space="preserve">The Programme aims to facilitate the reunification of Cyprus by encouraging the economic development of the Turkish Cypriot community.  </w:t>
      </w:r>
    </w:p>
    <w:p w14:paraId="07DC6D74" w14:textId="77777777" w:rsidR="0079461A" w:rsidRPr="00343169" w:rsidRDefault="0079461A" w:rsidP="0079461A">
      <w:pPr>
        <w:pStyle w:val="ppoHeading5"/>
        <w:rPr>
          <w:noProof/>
          <w:lang w:val="en-IE"/>
        </w:rPr>
      </w:pPr>
      <w:r w:rsidRPr="00343169">
        <w:rPr>
          <w:noProof/>
          <w:lang w:val="en-IE"/>
        </w:rPr>
        <w:t xml:space="preserve">Budget </w:t>
      </w:r>
    </w:p>
    <w:p w14:paraId="2E5FB2D0" w14:textId="77777777" w:rsidR="0079461A" w:rsidRPr="00343169" w:rsidRDefault="0079461A" w:rsidP="0079461A">
      <w:pPr>
        <w:pStyle w:val="ppoTableTabletitle"/>
        <w:rPr>
          <w:noProof/>
          <w:lang w:val="en-IE"/>
        </w:rPr>
      </w:pPr>
      <w:r w:rsidRPr="00343169">
        <w:rPr>
          <w:noProof/>
          <w:lang w:val="en-IE"/>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79461A" w:rsidRPr="00343169" w14:paraId="33EF480A" w14:textId="77777777" w:rsidTr="00AF1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285BADD4" w14:textId="77777777" w:rsidR="0079461A" w:rsidRPr="00343169" w:rsidRDefault="0079461A" w:rsidP="00AF1C52">
            <w:pPr>
              <w:rPr>
                <w:noProof/>
                <w:lang w:val="en-IE"/>
              </w:rPr>
            </w:pPr>
          </w:p>
        </w:tc>
        <w:tc>
          <w:tcPr>
            <w:tcW w:w="2410" w:type="dxa"/>
          </w:tcPr>
          <w:p w14:paraId="602876CE" w14:textId="77777777" w:rsidR="0079461A" w:rsidRPr="00343169" w:rsidRDefault="0079461A" w:rsidP="00AF1C52">
            <w:pPr>
              <w:cnfStyle w:val="100000000000" w:firstRow="1" w:lastRow="0" w:firstColumn="0" w:lastColumn="0" w:oddVBand="0" w:evenVBand="0" w:oddHBand="0" w:evenHBand="0" w:firstRowFirstColumn="0" w:firstRowLastColumn="0" w:lastRowFirstColumn="0" w:lastRowLastColumn="0"/>
              <w:rPr>
                <w:noProof/>
                <w:lang w:val="en-IE"/>
              </w:rPr>
            </w:pPr>
            <w:r w:rsidRPr="00343169">
              <w:rPr>
                <w:noProof/>
                <w:lang w:val="en-IE"/>
              </w:rPr>
              <w:t>Implementation</w:t>
            </w:r>
          </w:p>
        </w:tc>
        <w:tc>
          <w:tcPr>
            <w:tcW w:w="2410" w:type="dxa"/>
          </w:tcPr>
          <w:p w14:paraId="0B62A00B" w14:textId="6D5CADA6" w:rsidR="0079461A" w:rsidRPr="00343169" w:rsidRDefault="00A84801" w:rsidP="00AF1C52">
            <w:pPr>
              <w:cnfStyle w:val="100000000000" w:firstRow="1" w:lastRow="0" w:firstColumn="0" w:lastColumn="0" w:oddVBand="0" w:evenVBand="0" w:oddHBand="0" w:evenHBand="0" w:firstRowFirstColumn="0" w:firstRowLastColumn="0" w:lastRowFirstColumn="0" w:lastRowLastColumn="0"/>
              <w:rPr>
                <w:noProof/>
                <w:lang w:val="en-IE"/>
              </w:rPr>
            </w:pPr>
            <w:r>
              <w:rPr>
                <w:noProof/>
                <w:lang w:val="en-IE"/>
              </w:rPr>
              <w:t xml:space="preserve">2014-2020 </w:t>
            </w:r>
            <w:r w:rsidR="0079461A" w:rsidRPr="00343169">
              <w:rPr>
                <w:noProof/>
                <w:lang w:val="en-IE"/>
              </w:rPr>
              <w:t>Budget</w:t>
            </w:r>
          </w:p>
        </w:tc>
        <w:tc>
          <w:tcPr>
            <w:tcW w:w="2410" w:type="dxa"/>
          </w:tcPr>
          <w:p w14:paraId="61A28C5A" w14:textId="77777777" w:rsidR="0079461A" w:rsidRPr="00343169" w:rsidRDefault="0079461A" w:rsidP="00AF1C52">
            <w:pPr>
              <w:cnfStyle w:val="100000000000" w:firstRow="1" w:lastRow="0" w:firstColumn="0" w:lastColumn="0" w:oddVBand="0" w:evenVBand="0" w:oddHBand="0" w:evenHBand="0" w:firstRowFirstColumn="0" w:firstRowLastColumn="0" w:lastRowFirstColumn="0" w:lastRowLastColumn="0"/>
              <w:rPr>
                <w:noProof/>
                <w:lang w:val="en-IE"/>
              </w:rPr>
            </w:pPr>
            <w:r w:rsidRPr="00343169">
              <w:rPr>
                <w:noProof/>
                <w:lang w:val="en-IE"/>
              </w:rPr>
              <w:t>Implementation rate</w:t>
            </w:r>
          </w:p>
        </w:tc>
      </w:tr>
      <w:tr w:rsidR="0079461A" w:rsidRPr="00343169" w14:paraId="39B014AB"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7DAB7E52" w14:textId="77777777" w:rsidR="0079461A" w:rsidRPr="00343169" w:rsidRDefault="0079461A" w:rsidP="00AF1C52">
            <w:pPr>
              <w:jc w:val="center"/>
              <w:rPr>
                <w:noProof/>
                <w:lang w:val="en-IE"/>
              </w:rPr>
            </w:pPr>
            <w:r w:rsidRPr="00343169">
              <w:rPr>
                <w:noProof/>
                <w:lang w:val="en-IE"/>
              </w:rPr>
              <w:t>Commitments</w:t>
            </w:r>
          </w:p>
        </w:tc>
        <w:tc>
          <w:tcPr>
            <w:tcW w:w="2410" w:type="dxa"/>
          </w:tcPr>
          <w:tbl>
            <w:tblPr>
              <w:tblStyle w:val="TableGrid"/>
              <w:tblW w:w="0" w:type="auto"/>
              <w:tblLook w:val="06A0" w:firstRow="1" w:lastRow="0" w:firstColumn="1" w:lastColumn="0" w:noHBand="1" w:noVBand="1"/>
            </w:tblPr>
            <w:tblGrid>
              <w:gridCol w:w="2194"/>
            </w:tblGrid>
            <w:tr w:rsidR="0079461A" w:rsidRPr="00343169" w14:paraId="7ECD2A77" w14:textId="77777777" w:rsidTr="00AF1C52">
              <w:trPr>
                <w:trHeight w:val="285"/>
              </w:trPr>
              <w:tc>
                <w:tcPr>
                  <w:tcW w:w="2290" w:type="dxa"/>
                  <w:tcBorders>
                    <w:top w:val="nil"/>
                    <w:left w:val="nil"/>
                    <w:bottom w:val="nil"/>
                    <w:right w:val="nil"/>
                  </w:tcBorders>
                  <w:vAlign w:val="bottom"/>
                </w:tcPr>
                <w:p w14:paraId="371A1610" w14:textId="77777777" w:rsidR="0079461A" w:rsidRPr="00343169" w:rsidRDefault="0079461A" w:rsidP="00AF1C52">
                  <w:pPr>
                    <w:jc w:val="right"/>
                    <w:rPr>
                      <w:noProof/>
                      <w:lang w:val="en-IE"/>
                    </w:rPr>
                  </w:pPr>
                  <w:r w:rsidRPr="00343169">
                    <w:rPr>
                      <w:rFonts w:ascii="Calibri" w:hAnsi="Calibri" w:cs="Calibri"/>
                      <w:noProof/>
                      <w:color w:val="000000"/>
                      <w:lang w:val="en-IE"/>
                    </w:rPr>
                    <w:t>235.5</w:t>
                  </w:r>
                </w:p>
              </w:tc>
            </w:tr>
          </w:tbl>
          <w:p w14:paraId="1FE32273" w14:textId="77777777" w:rsidR="0079461A" w:rsidRPr="00343169" w:rsidRDefault="0079461A"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79461A" w:rsidRPr="00343169" w14:paraId="00B473B3" w14:textId="77777777" w:rsidTr="00AF1C52">
              <w:trPr>
                <w:trHeight w:val="285"/>
              </w:trPr>
              <w:tc>
                <w:tcPr>
                  <w:tcW w:w="2290" w:type="dxa"/>
                  <w:tcBorders>
                    <w:top w:val="nil"/>
                    <w:left w:val="nil"/>
                    <w:bottom w:val="nil"/>
                    <w:right w:val="nil"/>
                  </w:tcBorders>
                  <w:vAlign w:val="bottom"/>
                </w:tcPr>
                <w:p w14:paraId="67AD5C22" w14:textId="77777777" w:rsidR="0079461A" w:rsidRPr="00343169" w:rsidRDefault="0079461A" w:rsidP="00AF1C52">
                  <w:pPr>
                    <w:jc w:val="right"/>
                    <w:rPr>
                      <w:noProof/>
                      <w:lang w:val="en-IE"/>
                    </w:rPr>
                  </w:pPr>
                  <w:r w:rsidRPr="00343169">
                    <w:rPr>
                      <w:rFonts w:ascii="Calibri" w:hAnsi="Calibri" w:cs="Calibri"/>
                      <w:noProof/>
                      <w:color w:val="000000"/>
                      <w:lang w:val="en-IE"/>
                    </w:rPr>
                    <w:t xml:space="preserve"> 235.5</w:t>
                  </w:r>
                </w:p>
              </w:tc>
            </w:tr>
          </w:tbl>
          <w:p w14:paraId="25C74A5C" w14:textId="77777777" w:rsidR="0079461A" w:rsidRPr="00343169" w:rsidRDefault="0079461A"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79461A" w:rsidRPr="00343169" w14:paraId="643A5040" w14:textId="77777777" w:rsidTr="00AF1C52">
              <w:trPr>
                <w:trHeight w:val="285"/>
              </w:trPr>
              <w:tc>
                <w:tcPr>
                  <w:tcW w:w="2290" w:type="dxa"/>
                  <w:tcBorders>
                    <w:top w:val="nil"/>
                    <w:left w:val="nil"/>
                    <w:bottom w:val="nil"/>
                    <w:right w:val="nil"/>
                  </w:tcBorders>
                  <w:vAlign w:val="bottom"/>
                </w:tcPr>
                <w:p w14:paraId="697C64F7" w14:textId="77777777" w:rsidR="0079461A" w:rsidRPr="00343169" w:rsidRDefault="0079461A" w:rsidP="00AF1C52">
                  <w:pPr>
                    <w:jc w:val="right"/>
                    <w:rPr>
                      <w:noProof/>
                      <w:lang w:val="en-IE"/>
                    </w:rPr>
                  </w:pPr>
                  <w:r w:rsidRPr="00343169">
                    <w:rPr>
                      <w:rFonts w:ascii="Calibri" w:hAnsi="Calibri" w:cs="Calibri"/>
                      <w:noProof/>
                      <w:color w:val="000000"/>
                      <w:lang w:val="en-IE"/>
                    </w:rPr>
                    <w:t>100%</w:t>
                  </w:r>
                </w:p>
              </w:tc>
            </w:tr>
          </w:tbl>
          <w:p w14:paraId="2C259ACA" w14:textId="77777777" w:rsidR="0079461A" w:rsidRPr="00343169" w:rsidRDefault="0079461A"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r>
      <w:tr w:rsidR="0079461A" w:rsidRPr="00343169" w14:paraId="34A32ABF"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3315C36E" w14:textId="77777777" w:rsidR="0079461A" w:rsidRPr="00343169" w:rsidRDefault="0079461A" w:rsidP="00AF1C52">
            <w:pPr>
              <w:jc w:val="center"/>
              <w:rPr>
                <w:noProof/>
                <w:lang w:val="en-IE"/>
              </w:rPr>
            </w:pPr>
            <w:r w:rsidRPr="00343169">
              <w:rPr>
                <w:noProof/>
                <w:lang w:val="en-IE"/>
              </w:rPr>
              <w:t>Payments</w:t>
            </w:r>
          </w:p>
        </w:tc>
        <w:tc>
          <w:tcPr>
            <w:tcW w:w="2410" w:type="dxa"/>
          </w:tcPr>
          <w:tbl>
            <w:tblPr>
              <w:tblStyle w:val="TableGrid"/>
              <w:tblW w:w="0" w:type="auto"/>
              <w:tblLook w:val="06A0" w:firstRow="1" w:lastRow="0" w:firstColumn="1" w:lastColumn="0" w:noHBand="1" w:noVBand="1"/>
            </w:tblPr>
            <w:tblGrid>
              <w:gridCol w:w="2194"/>
            </w:tblGrid>
            <w:tr w:rsidR="0079461A" w:rsidRPr="00343169" w14:paraId="79C3830A" w14:textId="77777777" w:rsidTr="00AF1C52">
              <w:trPr>
                <w:trHeight w:val="285"/>
              </w:trPr>
              <w:tc>
                <w:tcPr>
                  <w:tcW w:w="2194" w:type="dxa"/>
                  <w:tcBorders>
                    <w:top w:val="nil"/>
                    <w:left w:val="nil"/>
                    <w:bottom w:val="nil"/>
                    <w:right w:val="nil"/>
                  </w:tcBorders>
                  <w:vAlign w:val="bottom"/>
                </w:tcPr>
                <w:p w14:paraId="64F72E99" w14:textId="77777777" w:rsidR="0079461A" w:rsidRPr="00343169" w:rsidRDefault="0079461A" w:rsidP="00AF1C52">
                  <w:pPr>
                    <w:jc w:val="right"/>
                    <w:rPr>
                      <w:noProof/>
                      <w:lang w:val="en-IE"/>
                    </w:rPr>
                  </w:pPr>
                  <w:r w:rsidRPr="00343169">
                    <w:rPr>
                      <w:rFonts w:ascii="Calibri" w:hAnsi="Calibri" w:cs="Calibri"/>
                      <w:noProof/>
                      <w:color w:val="000000"/>
                      <w:lang w:val="en-IE"/>
                    </w:rPr>
                    <w:t>211.5</w:t>
                  </w:r>
                </w:p>
              </w:tc>
            </w:tr>
          </w:tbl>
          <w:p w14:paraId="5C870035" w14:textId="77777777" w:rsidR="0079461A" w:rsidRPr="00343169" w:rsidRDefault="0079461A"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p w14:paraId="421FC88C" w14:textId="77777777" w:rsidR="0079461A" w:rsidRPr="00343169" w:rsidRDefault="0079461A"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66"/>
            </w:tblGrid>
            <w:tr w:rsidR="0079461A" w:rsidRPr="00343169" w14:paraId="1349AA70" w14:textId="77777777" w:rsidTr="00AF1C52">
              <w:trPr>
                <w:trHeight w:val="285"/>
              </w:trPr>
              <w:tc>
                <w:tcPr>
                  <w:tcW w:w="2166" w:type="dxa"/>
                  <w:tcBorders>
                    <w:top w:val="nil"/>
                    <w:left w:val="nil"/>
                    <w:bottom w:val="nil"/>
                    <w:right w:val="nil"/>
                  </w:tcBorders>
                  <w:vAlign w:val="bottom"/>
                </w:tcPr>
                <w:p w14:paraId="585D6DC9" w14:textId="77777777" w:rsidR="0079461A" w:rsidRPr="00343169" w:rsidRDefault="0079461A" w:rsidP="00AF1C52">
                  <w:pPr>
                    <w:jc w:val="right"/>
                    <w:rPr>
                      <w:noProof/>
                      <w:lang w:val="en-IE"/>
                    </w:rPr>
                  </w:pPr>
                  <w:r w:rsidRPr="00343169">
                    <w:rPr>
                      <w:rFonts w:ascii="Calibri" w:hAnsi="Calibri" w:cs="Calibri"/>
                      <w:noProof/>
                      <w:color w:val="000000"/>
                      <w:lang w:val="en-IE"/>
                    </w:rPr>
                    <w:t>90%</w:t>
                  </w:r>
                </w:p>
              </w:tc>
            </w:tr>
          </w:tbl>
          <w:p w14:paraId="0C1C4C2E" w14:textId="77777777" w:rsidR="0079461A" w:rsidRPr="00343169" w:rsidRDefault="0079461A"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r>
    </w:tbl>
    <w:p w14:paraId="72ABB767" w14:textId="77777777" w:rsidR="0079461A" w:rsidRPr="00343169" w:rsidRDefault="0079461A" w:rsidP="0079461A">
      <w:pPr>
        <w:pStyle w:val="ppoListHyphened-L1"/>
        <w:rPr>
          <w:noProof/>
          <w:lang w:val="en-IE"/>
        </w:rPr>
      </w:pPr>
      <w:r w:rsidRPr="00343169">
        <w:rPr>
          <w:noProof/>
          <w:lang w:val="en-IE"/>
        </w:rPr>
        <w:t xml:space="preserve">The programme’s implementation difficulties have existed since its inception, including for the period 2014-2020. </w:t>
      </w:r>
    </w:p>
    <w:p w14:paraId="40A7D857" w14:textId="77777777" w:rsidR="0079461A" w:rsidRPr="00343169" w:rsidRDefault="0079461A" w:rsidP="0079461A">
      <w:pPr>
        <w:pStyle w:val="ppoListHyphened-L1"/>
        <w:rPr>
          <w:noProof/>
          <w:lang w:val="en-IE"/>
        </w:rPr>
      </w:pPr>
      <w:r w:rsidRPr="00343169">
        <w:rPr>
          <w:noProof/>
          <w:lang w:val="en-IE"/>
        </w:rPr>
        <w:t xml:space="preserve">The major difficulties encountered in the implementation of the programme arise from the unrecognised status of the beneficiary and from disputes with contractors, notably when it comes to works contracts. These challenges are further exacerbated by the lack of absorption capacity and resources on the beneficiaries’ side and by deficiencies in available data and statistics. </w:t>
      </w:r>
    </w:p>
    <w:p w14:paraId="02234711" w14:textId="77777777" w:rsidR="0079461A" w:rsidRPr="00343169" w:rsidRDefault="0079461A" w:rsidP="0079461A">
      <w:pPr>
        <w:pStyle w:val="ppoListHyphened-L1"/>
        <w:rPr>
          <w:noProof/>
          <w:lang w:val="en-IE"/>
        </w:rPr>
      </w:pPr>
      <w:r w:rsidRPr="00343169">
        <w:rPr>
          <w:noProof/>
          <w:lang w:val="en-IE"/>
        </w:rPr>
        <w:t xml:space="preserve">This often results in serious delays in the preparation of projects and in bringing them to maturity. During the 2014-2020 multiannual financial framework, this led to a substantial amount of uncommitted funds. </w:t>
      </w:r>
    </w:p>
    <w:p w14:paraId="1E6A1944" w14:textId="77777777" w:rsidR="0079461A" w:rsidRPr="00343169" w:rsidRDefault="0079461A" w:rsidP="0079461A">
      <w:pPr>
        <w:pStyle w:val="ppoListHyphened-L1"/>
        <w:rPr>
          <w:noProof/>
          <w:lang w:val="en-IE"/>
        </w:rPr>
      </w:pPr>
      <w:r w:rsidRPr="00343169">
        <w:rPr>
          <w:noProof/>
          <w:lang w:val="en-IE"/>
        </w:rPr>
        <w:t xml:space="preserve">This backlog was successfully addressed through better programming, more efficient handling of tendering procedures and smoother internal procedures and coordination within DG </w:t>
      </w:r>
      <w:r w:rsidRPr="00183A5F">
        <w:rPr>
          <w:noProof/>
          <w:lang w:val="en-IE"/>
        </w:rPr>
        <w:t>Structural Reform Support</w:t>
      </w:r>
      <w:r w:rsidRPr="00343169">
        <w:rPr>
          <w:noProof/>
          <w:lang w:val="en-IE"/>
        </w:rPr>
        <w:t>. The situation is now fully under control.</w:t>
      </w:r>
    </w:p>
    <w:p w14:paraId="6758011F" w14:textId="77777777" w:rsidR="0079461A" w:rsidRPr="00343169" w:rsidRDefault="0079461A" w:rsidP="0079461A">
      <w:pPr>
        <w:pStyle w:val="ppoHeading6"/>
        <w:rPr>
          <w:noProof/>
          <w:lang w:val="en-IE"/>
        </w:rPr>
      </w:pPr>
      <w:r w:rsidRPr="00343169">
        <w:rPr>
          <w:noProof/>
          <w:lang w:val="en-IE"/>
        </w:rPr>
        <w:t>Key performance indicators</w:t>
      </w:r>
    </w:p>
    <w:tbl>
      <w:tblPr>
        <w:tblStyle w:val="PPO2021"/>
        <w:tblW w:w="9639" w:type="dxa"/>
        <w:tblInd w:w="0" w:type="dxa"/>
        <w:tblLook w:val="0420" w:firstRow="1" w:lastRow="0" w:firstColumn="0" w:lastColumn="0" w:noHBand="0" w:noVBand="1"/>
      </w:tblPr>
      <w:tblGrid>
        <w:gridCol w:w="2301"/>
        <w:gridCol w:w="1154"/>
        <w:gridCol w:w="1521"/>
        <w:gridCol w:w="1518"/>
        <w:gridCol w:w="1572"/>
        <w:gridCol w:w="1573"/>
      </w:tblGrid>
      <w:tr w:rsidR="0079461A" w:rsidRPr="00343169" w14:paraId="1D6CD973" w14:textId="77777777" w:rsidTr="00AF1C52">
        <w:trPr>
          <w:cnfStyle w:val="100000000000" w:firstRow="1" w:lastRow="0" w:firstColumn="0" w:lastColumn="0" w:oddVBand="0" w:evenVBand="0" w:oddHBand="0" w:evenHBand="0" w:firstRowFirstColumn="0" w:firstRowLastColumn="0" w:lastRowFirstColumn="0" w:lastRowLastColumn="0"/>
        </w:trPr>
        <w:tc>
          <w:tcPr>
            <w:tcW w:w="2330" w:type="dxa"/>
          </w:tcPr>
          <w:p w14:paraId="362FF4AE" w14:textId="77777777" w:rsidR="0079461A" w:rsidRPr="00343169" w:rsidRDefault="0079461A" w:rsidP="00AF1C52">
            <w:pPr>
              <w:rPr>
                <w:noProof/>
                <w:lang w:val="en-IE"/>
              </w:rPr>
            </w:pPr>
          </w:p>
        </w:tc>
        <w:tc>
          <w:tcPr>
            <w:tcW w:w="1100" w:type="dxa"/>
          </w:tcPr>
          <w:p w14:paraId="68CA78B2" w14:textId="77777777" w:rsidR="0079461A" w:rsidRPr="00343169" w:rsidRDefault="0079461A" w:rsidP="00AF1C52">
            <w:pPr>
              <w:rPr>
                <w:noProof/>
                <w:lang w:val="en-IE"/>
              </w:rPr>
            </w:pPr>
            <w:r w:rsidRPr="00343169">
              <w:rPr>
                <w:noProof/>
                <w:lang w:val="en-IE"/>
              </w:rPr>
              <w:t>Baseline</w:t>
            </w:r>
          </w:p>
        </w:tc>
        <w:tc>
          <w:tcPr>
            <w:tcW w:w="1526" w:type="dxa"/>
          </w:tcPr>
          <w:p w14:paraId="3A853B6D" w14:textId="77777777" w:rsidR="0079461A" w:rsidRPr="00343169" w:rsidRDefault="0079461A" w:rsidP="00AF1C52">
            <w:pPr>
              <w:rPr>
                <w:noProof/>
                <w:lang w:val="en-IE"/>
              </w:rPr>
            </w:pPr>
            <w:r w:rsidRPr="00343169">
              <w:rPr>
                <w:noProof/>
                <w:lang w:val="en-IE"/>
              </w:rPr>
              <w:t>Progress</w:t>
            </w:r>
            <w:r w:rsidRPr="00343169">
              <w:rPr>
                <w:rFonts w:ascii="Calibri" w:hAnsi="Calibri" w:cs="Calibri"/>
                <w:noProof/>
                <w:lang w:val="en-IE"/>
              </w:rPr>
              <w:t> </w:t>
            </w:r>
            <w:r w:rsidRPr="00343169">
              <w:rPr>
                <w:noProof/>
                <w:lang w:val="en-IE"/>
              </w:rPr>
              <w:t>(*)</w:t>
            </w:r>
          </w:p>
        </w:tc>
        <w:tc>
          <w:tcPr>
            <w:tcW w:w="1532" w:type="dxa"/>
          </w:tcPr>
          <w:p w14:paraId="24459A9E" w14:textId="77777777" w:rsidR="0079461A" w:rsidRPr="00343169" w:rsidRDefault="0079461A" w:rsidP="00AF1C52">
            <w:pPr>
              <w:rPr>
                <w:noProof/>
                <w:lang w:val="en-IE"/>
              </w:rPr>
            </w:pPr>
            <w:r w:rsidRPr="00343169">
              <w:rPr>
                <w:noProof/>
                <w:lang w:val="en-IE"/>
              </w:rPr>
              <w:t>Target</w:t>
            </w:r>
          </w:p>
        </w:tc>
        <w:tc>
          <w:tcPr>
            <w:tcW w:w="1572" w:type="dxa"/>
          </w:tcPr>
          <w:p w14:paraId="1D4966F5" w14:textId="77777777" w:rsidR="0079461A" w:rsidRPr="00343169" w:rsidRDefault="0079461A" w:rsidP="00AF1C52">
            <w:pPr>
              <w:rPr>
                <w:noProof/>
                <w:lang w:val="en-IE"/>
              </w:rPr>
            </w:pPr>
            <w:r w:rsidRPr="00343169">
              <w:rPr>
                <w:noProof/>
                <w:lang w:val="en-IE"/>
              </w:rPr>
              <w:t>Results</w:t>
            </w:r>
          </w:p>
        </w:tc>
        <w:tc>
          <w:tcPr>
            <w:tcW w:w="1579" w:type="dxa"/>
          </w:tcPr>
          <w:p w14:paraId="23FF8A64" w14:textId="77777777" w:rsidR="0079461A" w:rsidRPr="00343169" w:rsidRDefault="0079461A" w:rsidP="00AF1C52">
            <w:pPr>
              <w:rPr>
                <w:noProof/>
                <w:lang w:val="en-IE"/>
              </w:rPr>
            </w:pPr>
            <w:r w:rsidRPr="00343169">
              <w:rPr>
                <w:noProof/>
                <w:lang w:val="en-IE"/>
              </w:rPr>
              <w:t>Assessment</w:t>
            </w:r>
          </w:p>
        </w:tc>
      </w:tr>
      <w:tr w:rsidR="0079461A" w:rsidRPr="00343169" w14:paraId="2C7BB2D5" w14:textId="77777777" w:rsidTr="00AF1C52">
        <w:trPr>
          <w:cnfStyle w:val="000000100000" w:firstRow="0" w:lastRow="0" w:firstColumn="0" w:lastColumn="0" w:oddVBand="0" w:evenVBand="0" w:oddHBand="1" w:evenHBand="0" w:firstRowFirstColumn="0" w:firstRowLastColumn="0" w:lastRowFirstColumn="0" w:lastRowLastColumn="0"/>
        </w:trPr>
        <w:tc>
          <w:tcPr>
            <w:tcW w:w="2330" w:type="dxa"/>
          </w:tcPr>
          <w:p w14:paraId="73DED050" w14:textId="77777777" w:rsidR="0079461A" w:rsidRPr="00343169" w:rsidRDefault="0079461A" w:rsidP="00AF1C52">
            <w:pPr>
              <w:rPr>
                <w:noProof/>
                <w:lang w:val="en-IE"/>
              </w:rPr>
            </w:pPr>
            <w:r w:rsidRPr="00343169">
              <w:rPr>
                <w:noProof/>
                <w:lang w:val="en-IE"/>
              </w:rPr>
              <w:t>Number of enterprises having received EU support in the form of a grant</w:t>
            </w:r>
          </w:p>
        </w:tc>
        <w:tc>
          <w:tcPr>
            <w:tcW w:w="1100" w:type="dxa"/>
          </w:tcPr>
          <w:p w14:paraId="45EA8E77" w14:textId="77777777" w:rsidR="0079461A" w:rsidRPr="00343169" w:rsidRDefault="0079461A" w:rsidP="00AF1C52">
            <w:pPr>
              <w:jc w:val="center"/>
              <w:rPr>
                <w:noProof/>
                <w:lang w:val="en-IE"/>
              </w:rPr>
            </w:pPr>
            <w:r w:rsidRPr="00343169">
              <w:rPr>
                <w:noProof/>
                <w:lang w:val="en-IE"/>
              </w:rPr>
              <w:t>0</w:t>
            </w:r>
          </w:p>
        </w:tc>
        <w:tc>
          <w:tcPr>
            <w:tcW w:w="1526" w:type="dxa"/>
          </w:tcPr>
          <w:p w14:paraId="52683961" w14:textId="77777777" w:rsidR="0079461A" w:rsidRPr="00343169" w:rsidRDefault="0079461A" w:rsidP="00AF1C52">
            <w:pPr>
              <w:jc w:val="center"/>
              <w:rPr>
                <w:b/>
                <w:noProof/>
                <w:lang w:val="en-IE"/>
              </w:rPr>
            </w:pPr>
            <w:r>
              <w:rPr>
                <w:noProof/>
                <w:lang w:val="en-IE"/>
              </w:rPr>
              <w:t>90</w:t>
            </w:r>
            <w:r w:rsidRPr="00343169">
              <w:rPr>
                <w:noProof/>
                <w:lang w:val="en-IE"/>
              </w:rPr>
              <w:t>%</w:t>
            </w:r>
          </w:p>
        </w:tc>
        <w:tc>
          <w:tcPr>
            <w:tcW w:w="1532" w:type="dxa"/>
          </w:tcPr>
          <w:p w14:paraId="036E2964" w14:textId="77777777" w:rsidR="0079461A" w:rsidRPr="00343169" w:rsidRDefault="0079461A" w:rsidP="00AF1C52">
            <w:pPr>
              <w:jc w:val="center"/>
              <w:rPr>
                <w:noProof/>
                <w:lang w:val="en-IE"/>
              </w:rPr>
            </w:pPr>
            <w:r>
              <w:rPr>
                <w:noProof/>
                <w:lang w:val="en-IE"/>
              </w:rPr>
              <w:t>2 000 in 2021</w:t>
            </w:r>
          </w:p>
        </w:tc>
        <w:tc>
          <w:tcPr>
            <w:tcW w:w="1572" w:type="dxa"/>
          </w:tcPr>
          <w:p w14:paraId="34368B10" w14:textId="77777777" w:rsidR="0079461A" w:rsidRPr="00343169" w:rsidRDefault="0079461A" w:rsidP="00AF1C52">
            <w:pPr>
              <w:jc w:val="center"/>
              <w:rPr>
                <w:noProof/>
                <w:lang w:val="en-IE"/>
              </w:rPr>
            </w:pPr>
            <w:r w:rsidRPr="00343169">
              <w:rPr>
                <w:noProof/>
                <w:lang w:val="en-IE"/>
              </w:rPr>
              <w:t>2</w:t>
            </w:r>
            <w:r w:rsidRPr="00343169">
              <w:rPr>
                <w:rFonts w:ascii="Calibri" w:hAnsi="Calibri" w:cs="Calibri"/>
                <w:noProof/>
                <w:lang w:val="en-IE"/>
              </w:rPr>
              <w:t> </w:t>
            </w:r>
            <w:r w:rsidRPr="00343169">
              <w:rPr>
                <w:noProof/>
                <w:lang w:val="en-IE"/>
              </w:rPr>
              <w:t>704 enterprises supported in 2021 compared to 3</w:t>
            </w:r>
            <w:r w:rsidRPr="00343169">
              <w:rPr>
                <w:rFonts w:ascii="Calibri" w:hAnsi="Calibri" w:cs="Calibri"/>
                <w:noProof/>
                <w:lang w:val="en-IE"/>
              </w:rPr>
              <w:t> </w:t>
            </w:r>
            <w:r w:rsidRPr="00343169">
              <w:rPr>
                <w:noProof/>
                <w:lang w:val="en-IE"/>
              </w:rPr>
              <w:t>000 enterprises initially planned</w:t>
            </w:r>
          </w:p>
        </w:tc>
        <w:tc>
          <w:tcPr>
            <w:tcW w:w="1579" w:type="dxa"/>
          </w:tcPr>
          <w:p w14:paraId="2B81C552" w14:textId="77777777" w:rsidR="0079461A" w:rsidRPr="00343169" w:rsidRDefault="0079461A" w:rsidP="00AF1C52">
            <w:pPr>
              <w:jc w:val="center"/>
              <w:rPr>
                <w:noProof/>
                <w:lang w:val="en-IE"/>
              </w:rPr>
            </w:pPr>
            <w:r w:rsidRPr="00343169">
              <w:rPr>
                <w:noProof/>
                <w:lang w:val="en-IE"/>
              </w:rPr>
              <w:t>On track</w:t>
            </w:r>
          </w:p>
        </w:tc>
      </w:tr>
      <w:tr w:rsidR="0079461A" w:rsidRPr="00343169" w14:paraId="2B21E15A" w14:textId="77777777" w:rsidTr="00AF1C52">
        <w:trPr>
          <w:cnfStyle w:val="000000010000" w:firstRow="0" w:lastRow="0" w:firstColumn="0" w:lastColumn="0" w:oddVBand="0" w:evenVBand="0" w:oddHBand="0" w:evenHBand="1" w:firstRowFirstColumn="0" w:firstRowLastColumn="0" w:lastRowFirstColumn="0" w:lastRowLastColumn="0"/>
        </w:trPr>
        <w:tc>
          <w:tcPr>
            <w:tcW w:w="2330" w:type="dxa"/>
          </w:tcPr>
          <w:p w14:paraId="20885944" w14:textId="77777777" w:rsidR="0079461A" w:rsidRPr="00343169" w:rsidRDefault="0079461A" w:rsidP="00AF1C52">
            <w:pPr>
              <w:rPr>
                <w:noProof/>
                <w:lang w:val="en-IE"/>
              </w:rPr>
            </w:pPr>
            <w:r w:rsidRPr="00343169">
              <w:rPr>
                <w:noProof/>
                <w:lang w:val="en-IE"/>
              </w:rPr>
              <w:t>Cross-Green Line trade volume (in million</w:t>
            </w:r>
            <w:r w:rsidRPr="00343169">
              <w:rPr>
                <w:rFonts w:ascii="Calibri" w:hAnsi="Calibri" w:cs="Calibri"/>
                <w:noProof/>
                <w:lang w:val="en-IE"/>
              </w:rPr>
              <w:t xml:space="preserve"> </w:t>
            </w:r>
            <w:r w:rsidRPr="00343169">
              <w:rPr>
                <w:noProof/>
                <w:lang w:val="en-IE"/>
              </w:rPr>
              <w:t>EUR)</w:t>
            </w:r>
          </w:p>
        </w:tc>
        <w:tc>
          <w:tcPr>
            <w:tcW w:w="1100" w:type="dxa"/>
          </w:tcPr>
          <w:p w14:paraId="29D54EE9" w14:textId="77777777" w:rsidR="0079461A" w:rsidRPr="00343169" w:rsidRDefault="0079461A" w:rsidP="00AF1C52">
            <w:pPr>
              <w:jc w:val="center"/>
              <w:rPr>
                <w:noProof/>
                <w:lang w:val="en-IE"/>
              </w:rPr>
            </w:pPr>
            <w:r w:rsidRPr="00343169">
              <w:rPr>
                <w:noProof/>
                <w:lang w:val="en-IE"/>
              </w:rPr>
              <w:t>3.4</w:t>
            </w:r>
            <w:r w:rsidRPr="00343169">
              <w:rPr>
                <w:rFonts w:ascii="Calibri" w:hAnsi="Calibri" w:cs="Calibri"/>
                <w:noProof/>
                <w:lang w:val="en-IE"/>
              </w:rPr>
              <w:t> </w:t>
            </w:r>
            <w:r w:rsidRPr="00343169">
              <w:rPr>
                <w:noProof/>
                <w:lang w:val="en-IE"/>
              </w:rPr>
              <w:t>million</w:t>
            </w:r>
          </w:p>
        </w:tc>
        <w:tc>
          <w:tcPr>
            <w:tcW w:w="1526" w:type="dxa"/>
          </w:tcPr>
          <w:p w14:paraId="774105E0" w14:textId="77777777" w:rsidR="0079461A" w:rsidRPr="00343169" w:rsidRDefault="0079461A" w:rsidP="00AF1C52">
            <w:pPr>
              <w:jc w:val="center"/>
              <w:rPr>
                <w:b/>
                <w:noProof/>
                <w:lang w:val="en-IE"/>
              </w:rPr>
            </w:pPr>
            <w:r w:rsidRPr="00343169">
              <w:rPr>
                <w:noProof/>
                <w:lang w:val="en-IE"/>
              </w:rPr>
              <w:t>&gt;</w:t>
            </w:r>
            <w:r w:rsidRPr="00343169">
              <w:rPr>
                <w:rFonts w:ascii="Calibri" w:hAnsi="Calibri" w:cs="Calibri"/>
                <w:noProof/>
                <w:lang w:val="en-IE"/>
              </w:rPr>
              <w:t> </w:t>
            </w:r>
            <w:r w:rsidRPr="00343169">
              <w:rPr>
                <w:noProof/>
                <w:lang w:val="en-IE"/>
              </w:rPr>
              <w:t>100%</w:t>
            </w:r>
          </w:p>
        </w:tc>
        <w:tc>
          <w:tcPr>
            <w:tcW w:w="1532" w:type="dxa"/>
          </w:tcPr>
          <w:p w14:paraId="148B5C49" w14:textId="77777777" w:rsidR="0079461A" w:rsidRPr="00343169" w:rsidRDefault="0079461A" w:rsidP="00AF1C52">
            <w:pPr>
              <w:jc w:val="center"/>
              <w:rPr>
                <w:noProof/>
                <w:lang w:val="en-IE"/>
              </w:rPr>
            </w:pPr>
            <w:r w:rsidRPr="00343169">
              <w:rPr>
                <w:noProof/>
                <w:lang w:val="en-IE"/>
              </w:rPr>
              <w:t>5</w:t>
            </w:r>
            <w:r>
              <w:rPr>
                <w:noProof/>
                <w:lang w:val="en-IE"/>
              </w:rPr>
              <w:t>.0</w:t>
            </w:r>
            <w:r w:rsidRPr="00343169">
              <w:rPr>
                <w:rFonts w:ascii="Calibri" w:hAnsi="Calibri" w:cs="Calibri"/>
                <w:noProof/>
                <w:lang w:val="en-IE"/>
              </w:rPr>
              <w:t> </w:t>
            </w:r>
            <w:r w:rsidRPr="00343169">
              <w:rPr>
                <w:noProof/>
                <w:lang w:val="en-IE"/>
              </w:rPr>
              <w:t>million</w:t>
            </w:r>
            <w:r>
              <w:rPr>
                <w:noProof/>
                <w:lang w:val="en-IE"/>
              </w:rPr>
              <w:t xml:space="preserve"> in 2021</w:t>
            </w:r>
          </w:p>
        </w:tc>
        <w:tc>
          <w:tcPr>
            <w:tcW w:w="1572" w:type="dxa"/>
          </w:tcPr>
          <w:p w14:paraId="41602460" w14:textId="77777777" w:rsidR="0079461A" w:rsidRPr="00343169" w:rsidRDefault="0079461A" w:rsidP="00AF1C52">
            <w:pPr>
              <w:jc w:val="center"/>
              <w:rPr>
                <w:noProof/>
                <w:lang w:val="en-IE"/>
              </w:rPr>
            </w:pPr>
            <w:r w:rsidRPr="00343169">
              <w:rPr>
                <w:noProof/>
                <w:lang w:val="en-IE"/>
              </w:rPr>
              <w:t>EUR</w:t>
            </w:r>
            <w:r w:rsidRPr="00343169">
              <w:rPr>
                <w:rFonts w:ascii="Calibri" w:hAnsi="Calibri" w:cs="Calibri"/>
                <w:noProof/>
                <w:lang w:val="en-IE"/>
              </w:rPr>
              <w:t> </w:t>
            </w:r>
            <w:r w:rsidRPr="00343169">
              <w:rPr>
                <w:noProof/>
                <w:lang w:val="en-IE"/>
              </w:rPr>
              <w:t>6.2</w:t>
            </w:r>
            <w:r w:rsidRPr="00343169">
              <w:rPr>
                <w:rFonts w:ascii="Calibri" w:hAnsi="Calibri" w:cs="Calibri"/>
                <w:noProof/>
                <w:lang w:val="en-IE"/>
              </w:rPr>
              <w:t> </w:t>
            </w:r>
            <w:r w:rsidRPr="00343169">
              <w:rPr>
                <w:noProof/>
                <w:lang w:val="en-IE"/>
              </w:rPr>
              <w:t>million compared to</w:t>
            </w:r>
            <w:r>
              <w:rPr>
                <w:noProof/>
                <w:lang w:val="en-IE"/>
              </w:rPr>
              <w:t xml:space="preserve"> a target of</w:t>
            </w:r>
            <w:r w:rsidRPr="00343169">
              <w:rPr>
                <w:noProof/>
                <w:lang w:val="en-IE"/>
              </w:rPr>
              <w:t xml:space="preserve"> EUR</w:t>
            </w:r>
            <w:r w:rsidRPr="00343169">
              <w:rPr>
                <w:rFonts w:ascii="Calibri" w:hAnsi="Calibri" w:cs="Calibri"/>
                <w:noProof/>
                <w:lang w:val="en-IE"/>
              </w:rPr>
              <w:t> </w:t>
            </w:r>
            <w:r w:rsidRPr="00343169">
              <w:rPr>
                <w:noProof/>
                <w:lang w:val="en-IE"/>
              </w:rPr>
              <w:t>5</w:t>
            </w:r>
            <w:r>
              <w:rPr>
                <w:noProof/>
                <w:lang w:val="en-IE"/>
              </w:rPr>
              <w:t>.0</w:t>
            </w:r>
            <w:r w:rsidRPr="00343169">
              <w:rPr>
                <w:rFonts w:ascii="Calibri" w:hAnsi="Calibri" w:cs="Calibri"/>
                <w:noProof/>
                <w:lang w:val="en-IE"/>
              </w:rPr>
              <w:t> </w:t>
            </w:r>
            <w:r w:rsidRPr="00343169">
              <w:rPr>
                <w:noProof/>
                <w:lang w:val="en-IE"/>
              </w:rPr>
              <w:t>million</w:t>
            </w:r>
          </w:p>
        </w:tc>
        <w:tc>
          <w:tcPr>
            <w:tcW w:w="1579" w:type="dxa"/>
          </w:tcPr>
          <w:p w14:paraId="20605822" w14:textId="77777777" w:rsidR="0079461A" w:rsidRPr="00343169" w:rsidRDefault="0079461A" w:rsidP="00AF1C52">
            <w:pPr>
              <w:jc w:val="center"/>
              <w:rPr>
                <w:noProof/>
                <w:lang w:val="en-IE"/>
              </w:rPr>
            </w:pPr>
            <w:r w:rsidRPr="00343169">
              <w:rPr>
                <w:noProof/>
                <w:lang w:val="en-IE"/>
              </w:rPr>
              <w:t>On track</w:t>
            </w:r>
          </w:p>
        </w:tc>
      </w:tr>
      <w:tr w:rsidR="0079461A" w:rsidRPr="00343169" w14:paraId="218A3764" w14:textId="77777777" w:rsidTr="00AF1C52">
        <w:trPr>
          <w:cnfStyle w:val="000000100000" w:firstRow="0" w:lastRow="0" w:firstColumn="0" w:lastColumn="0" w:oddVBand="0" w:evenVBand="0" w:oddHBand="1" w:evenHBand="0" w:firstRowFirstColumn="0" w:firstRowLastColumn="0" w:lastRowFirstColumn="0" w:lastRowLastColumn="0"/>
        </w:trPr>
        <w:tc>
          <w:tcPr>
            <w:tcW w:w="2330" w:type="dxa"/>
          </w:tcPr>
          <w:p w14:paraId="4DCEFABC" w14:textId="77777777" w:rsidR="0079461A" w:rsidRPr="00343169" w:rsidRDefault="0079461A" w:rsidP="00AF1C52">
            <w:pPr>
              <w:rPr>
                <w:noProof/>
                <w:lang w:val="en-IE"/>
              </w:rPr>
            </w:pPr>
            <w:r w:rsidRPr="00343169">
              <w:rPr>
                <w:noProof/>
                <w:lang w:val="en-IE"/>
              </w:rPr>
              <w:t>EU visibility in northern Cyprus: number of communication actions in a year</w:t>
            </w:r>
          </w:p>
        </w:tc>
        <w:tc>
          <w:tcPr>
            <w:tcW w:w="1100" w:type="dxa"/>
          </w:tcPr>
          <w:p w14:paraId="1875CB40" w14:textId="77777777" w:rsidR="0079461A" w:rsidRPr="00343169" w:rsidRDefault="0079461A" w:rsidP="00AF1C52">
            <w:pPr>
              <w:jc w:val="center"/>
              <w:rPr>
                <w:noProof/>
                <w:lang w:val="en-IE"/>
              </w:rPr>
            </w:pPr>
            <w:r w:rsidRPr="00343169">
              <w:rPr>
                <w:noProof/>
                <w:lang w:val="en-IE"/>
              </w:rPr>
              <w:t>49</w:t>
            </w:r>
          </w:p>
        </w:tc>
        <w:tc>
          <w:tcPr>
            <w:tcW w:w="1526" w:type="dxa"/>
          </w:tcPr>
          <w:p w14:paraId="7A031EA1" w14:textId="77777777" w:rsidR="0079461A" w:rsidRPr="00343169" w:rsidRDefault="0079461A" w:rsidP="00AF1C52">
            <w:pPr>
              <w:jc w:val="center"/>
              <w:rPr>
                <w:b/>
                <w:noProof/>
                <w:lang w:val="en-IE"/>
              </w:rPr>
            </w:pPr>
            <w:r w:rsidRPr="00343169">
              <w:rPr>
                <w:noProof/>
                <w:lang w:val="en-IE"/>
              </w:rPr>
              <w:t>&gt;</w:t>
            </w:r>
            <w:r w:rsidRPr="00343169">
              <w:rPr>
                <w:rFonts w:ascii="Calibri" w:hAnsi="Calibri" w:cs="Calibri"/>
                <w:noProof/>
                <w:lang w:val="en-IE"/>
              </w:rPr>
              <w:t> </w:t>
            </w:r>
            <w:r w:rsidRPr="00343169">
              <w:rPr>
                <w:noProof/>
                <w:lang w:val="en-IE"/>
              </w:rPr>
              <w:t>100%</w:t>
            </w:r>
          </w:p>
        </w:tc>
        <w:tc>
          <w:tcPr>
            <w:tcW w:w="1532" w:type="dxa"/>
          </w:tcPr>
          <w:p w14:paraId="64BAF229" w14:textId="77777777" w:rsidR="0079461A" w:rsidRPr="00343169" w:rsidRDefault="0079461A" w:rsidP="00AF1C52">
            <w:pPr>
              <w:jc w:val="center"/>
              <w:rPr>
                <w:noProof/>
                <w:lang w:val="en-IE"/>
              </w:rPr>
            </w:pPr>
            <w:r>
              <w:rPr>
                <w:noProof/>
                <w:lang w:val="en-IE"/>
              </w:rPr>
              <w:t>250 in 2021</w:t>
            </w:r>
          </w:p>
        </w:tc>
        <w:tc>
          <w:tcPr>
            <w:tcW w:w="1572" w:type="dxa"/>
          </w:tcPr>
          <w:p w14:paraId="72E8E97B" w14:textId="77777777" w:rsidR="0079461A" w:rsidRPr="00343169" w:rsidRDefault="0079461A" w:rsidP="00AF1C52">
            <w:pPr>
              <w:jc w:val="center"/>
              <w:rPr>
                <w:noProof/>
                <w:lang w:val="en-IE"/>
              </w:rPr>
            </w:pPr>
            <w:r w:rsidRPr="00343169">
              <w:rPr>
                <w:noProof/>
                <w:lang w:val="en-IE"/>
              </w:rPr>
              <w:t xml:space="preserve">394 actions achieved compared to a target of </w:t>
            </w:r>
            <w:r>
              <w:rPr>
                <w:noProof/>
                <w:lang w:val="en-IE"/>
              </w:rPr>
              <w:t>250</w:t>
            </w:r>
          </w:p>
        </w:tc>
        <w:tc>
          <w:tcPr>
            <w:tcW w:w="1579" w:type="dxa"/>
          </w:tcPr>
          <w:p w14:paraId="6C5204AC" w14:textId="77777777" w:rsidR="0079461A" w:rsidRPr="00343169" w:rsidRDefault="0079461A" w:rsidP="00AF1C52">
            <w:pPr>
              <w:jc w:val="center"/>
              <w:rPr>
                <w:noProof/>
                <w:lang w:val="en-IE"/>
              </w:rPr>
            </w:pPr>
            <w:r w:rsidRPr="00343169">
              <w:rPr>
                <w:noProof/>
                <w:lang w:val="en-IE"/>
              </w:rPr>
              <w:t>On track</w:t>
            </w:r>
          </w:p>
        </w:tc>
      </w:tr>
    </w:tbl>
    <w:p w14:paraId="4E7BC960" w14:textId="77777777" w:rsidR="0079461A" w:rsidRPr="00343169" w:rsidRDefault="0079461A" w:rsidP="0079461A">
      <w:pPr>
        <w:pStyle w:val="FootnoteText"/>
        <w:rPr>
          <w:noProof/>
          <w:lang w:val="en-IE"/>
        </w:rPr>
      </w:pPr>
      <w:r w:rsidRPr="00343169">
        <w:rPr>
          <w:noProof/>
          <w:lang w:val="en-IE"/>
        </w:rPr>
        <w:t>(*) % of target achieved by the end of 2021.</w:t>
      </w:r>
    </w:p>
    <w:p w14:paraId="7DE93DBD" w14:textId="77777777" w:rsidR="0079461A" w:rsidRPr="00343169" w:rsidRDefault="0079461A" w:rsidP="0079461A">
      <w:pPr>
        <w:pStyle w:val="ppoListHyphened-L1"/>
        <w:rPr>
          <w:noProof/>
          <w:lang w:val="en-IE"/>
        </w:rPr>
      </w:pPr>
      <w:r w:rsidRPr="00343169">
        <w:rPr>
          <w:noProof/>
          <w:lang w:val="en-IE"/>
        </w:rPr>
        <w:t xml:space="preserve">The programme is considered to be on track for the areas of intervention. However, its ultimate success will depend on the will of both sides in the Cyprus dispute to arrive at a settlement. This is a </w:t>
      </w:r>
      <w:r w:rsidRPr="00183A5F">
        <w:rPr>
          <w:i/>
          <w:iCs/>
          <w:noProof/>
          <w:lang w:val="en-IE"/>
        </w:rPr>
        <w:t>sine qua non</w:t>
      </w:r>
      <w:r w:rsidRPr="00343169">
        <w:rPr>
          <w:noProof/>
          <w:lang w:val="en-IE"/>
        </w:rPr>
        <w:t xml:space="preserve"> for success. The programme assumes that such a willingness to arrive at a solution exists and is building the capacity of the Turkish Cypriot side to integrate in a bi-communal and bi-zonal federation, with adoption of the EU </w:t>
      </w:r>
      <w:r w:rsidRPr="00343169">
        <w:rPr>
          <w:i/>
          <w:noProof/>
          <w:lang w:val="en-IE"/>
        </w:rPr>
        <w:t>acquis</w:t>
      </w:r>
      <w:r w:rsidRPr="00343169">
        <w:rPr>
          <w:noProof/>
          <w:lang w:val="en-IE"/>
        </w:rPr>
        <w:t>.</w:t>
      </w:r>
    </w:p>
    <w:p w14:paraId="77F28201" w14:textId="7FF7C45B" w:rsidR="0079461A" w:rsidRPr="00343169" w:rsidRDefault="0079461A" w:rsidP="0079461A">
      <w:pPr>
        <w:pStyle w:val="ppoListHyphened-L1"/>
        <w:rPr>
          <w:noProof/>
          <w:lang w:val="en-IE"/>
        </w:rPr>
      </w:pPr>
      <w:r w:rsidRPr="00343169">
        <w:rPr>
          <w:noProof/>
          <w:lang w:val="en-IE"/>
        </w:rPr>
        <w:t>As a particular achievement, the programme succeeded in the efforts to declare Halloumi/Hellim as a product of protected origin. The Commission will financially support the implementation of the Halloumi/Hellim package, adopted in April 2021 in the Turkish Cypriot community, with the stated intention of allocating up to EUR</w:t>
      </w:r>
      <w:r w:rsidRPr="00343169">
        <w:rPr>
          <w:rFonts w:ascii="Calibri" w:hAnsi="Calibri" w:cs="Calibri"/>
          <w:noProof/>
          <w:lang w:val="en-IE"/>
        </w:rPr>
        <w:t> </w:t>
      </w:r>
      <w:r w:rsidRPr="00343169">
        <w:rPr>
          <w:noProof/>
          <w:lang w:val="en-IE"/>
        </w:rPr>
        <w:t>40</w:t>
      </w:r>
      <w:r w:rsidRPr="00343169">
        <w:rPr>
          <w:rFonts w:ascii="Calibri" w:hAnsi="Calibri" w:cs="Calibri"/>
          <w:noProof/>
          <w:lang w:val="en-IE"/>
        </w:rPr>
        <w:t> </w:t>
      </w:r>
      <w:r w:rsidRPr="00343169">
        <w:rPr>
          <w:noProof/>
          <w:lang w:val="en-IE"/>
        </w:rPr>
        <w:t>million to this end over the next four financial years, with EUR</w:t>
      </w:r>
      <w:r w:rsidRPr="00343169">
        <w:rPr>
          <w:rFonts w:ascii="Calibri" w:hAnsi="Calibri" w:cs="Calibri"/>
          <w:noProof/>
          <w:lang w:val="en-IE"/>
        </w:rPr>
        <w:t> </w:t>
      </w:r>
      <w:r w:rsidRPr="00343169">
        <w:rPr>
          <w:noProof/>
          <w:lang w:val="en-IE"/>
        </w:rPr>
        <w:t>7.5</w:t>
      </w:r>
      <w:r w:rsidRPr="00343169">
        <w:rPr>
          <w:rFonts w:ascii="Calibri" w:hAnsi="Calibri" w:cs="Calibri"/>
          <w:noProof/>
          <w:lang w:val="en-IE"/>
        </w:rPr>
        <w:t> </w:t>
      </w:r>
      <w:r w:rsidRPr="00343169">
        <w:rPr>
          <w:noProof/>
          <w:lang w:val="en-IE"/>
        </w:rPr>
        <w:t xml:space="preserve">million already allocated under the </w:t>
      </w:r>
      <w:r w:rsidRPr="00FD070E">
        <w:rPr>
          <w:noProof/>
        </w:rPr>
        <w:t>2021</w:t>
      </w:r>
      <w:r w:rsidRPr="00343169">
        <w:rPr>
          <w:noProof/>
          <w:lang w:val="en-IE"/>
        </w:rPr>
        <w:t xml:space="preserve"> </w:t>
      </w:r>
      <w:r>
        <w:rPr>
          <w:noProof/>
          <w:lang w:val="en-IE"/>
        </w:rPr>
        <w:t xml:space="preserve">programme </w:t>
      </w:r>
      <w:r w:rsidRPr="00343169">
        <w:rPr>
          <w:noProof/>
          <w:lang w:val="en-IE"/>
        </w:rPr>
        <w:t>and a provisionally earmarked envelope of EUR</w:t>
      </w:r>
      <w:r w:rsidRPr="00343169">
        <w:rPr>
          <w:rFonts w:ascii="Calibri" w:hAnsi="Calibri" w:cs="Calibri"/>
          <w:noProof/>
          <w:lang w:val="en-IE"/>
        </w:rPr>
        <w:t> </w:t>
      </w:r>
      <w:r w:rsidRPr="00343169">
        <w:rPr>
          <w:noProof/>
          <w:lang w:val="en-IE"/>
        </w:rPr>
        <w:t>7.8</w:t>
      </w:r>
      <w:r w:rsidRPr="00343169">
        <w:rPr>
          <w:rFonts w:ascii="Calibri" w:hAnsi="Calibri" w:cs="Calibri"/>
          <w:noProof/>
          <w:lang w:val="en-IE"/>
        </w:rPr>
        <w:t> </w:t>
      </w:r>
      <w:r w:rsidRPr="00343169">
        <w:rPr>
          <w:noProof/>
          <w:lang w:val="en-IE"/>
        </w:rPr>
        <w:t xml:space="preserve">million in the </w:t>
      </w:r>
      <w:r w:rsidRPr="00FD070E">
        <w:rPr>
          <w:noProof/>
        </w:rPr>
        <w:t>2022</w:t>
      </w:r>
      <w:r>
        <w:rPr>
          <w:noProof/>
        </w:rPr>
        <w:t xml:space="preserve"> programme</w:t>
      </w:r>
      <w:r w:rsidRPr="00343169">
        <w:rPr>
          <w:noProof/>
          <w:lang w:val="en-IE"/>
        </w:rPr>
        <w:t>. This comes on top of the more than EUR</w:t>
      </w:r>
      <w:r w:rsidRPr="00343169">
        <w:rPr>
          <w:rFonts w:ascii="Calibri" w:hAnsi="Calibri" w:cs="Calibri"/>
          <w:noProof/>
          <w:lang w:val="en-IE"/>
        </w:rPr>
        <w:t> </w:t>
      </w:r>
      <w:r w:rsidRPr="00343169">
        <w:rPr>
          <w:noProof/>
          <w:lang w:val="en-IE"/>
        </w:rPr>
        <w:t>30</w:t>
      </w:r>
      <w:r w:rsidRPr="00343169">
        <w:rPr>
          <w:rFonts w:ascii="Calibri" w:hAnsi="Calibri" w:cs="Calibri"/>
          <w:noProof/>
          <w:lang w:val="en-IE"/>
        </w:rPr>
        <w:t> </w:t>
      </w:r>
      <w:r w:rsidRPr="00343169">
        <w:rPr>
          <w:noProof/>
          <w:lang w:val="en-IE"/>
        </w:rPr>
        <w:t>million for Halloumi/Hellim projects relevant to products of protected origin under the programme in previous years. This assistance will target traceability of the animals concerned, the eradication of animal diseases and hygienic production methods. The projects concerning Halloumi/Hellim brought together both of the Cypriot communities.</w:t>
      </w:r>
    </w:p>
    <w:p w14:paraId="2D72546E" w14:textId="77777777" w:rsidR="0079461A" w:rsidRPr="00343169" w:rsidRDefault="0079461A" w:rsidP="0079461A">
      <w:pPr>
        <w:pStyle w:val="ppoListHyphened-L1"/>
        <w:rPr>
          <w:noProof/>
          <w:lang w:val="en-IE"/>
        </w:rPr>
      </w:pPr>
      <w:r w:rsidRPr="00343169">
        <w:rPr>
          <w:noProof/>
          <w:lang w:val="en-IE"/>
        </w:rPr>
        <w:t>The EU continued to implement EUR</w:t>
      </w:r>
      <w:r w:rsidRPr="00343169">
        <w:rPr>
          <w:rFonts w:ascii="Calibri" w:hAnsi="Calibri" w:cs="Calibri"/>
          <w:noProof/>
          <w:lang w:val="en-IE"/>
        </w:rPr>
        <w:t> </w:t>
      </w:r>
      <w:r w:rsidRPr="00343169">
        <w:rPr>
          <w:noProof/>
          <w:lang w:val="en-IE"/>
        </w:rPr>
        <w:t>15.2</w:t>
      </w:r>
      <w:r w:rsidRPr="00343169">
        <w:rPr>
          <w:rFonts w:ascii="Calibri" w:hAnsi="Calibri" w:cs="Calibri"/>
          <w:noProof/>
          <w:lang w:val="en-IE"/>
        </w:rPr>
        <w:t> </w:t>
      </w:r>
      <w:r w:rsidRPr="00343169">
        <w:rPr>
          <w:noProof/>
          <w:lang w:val="en-IE"/>
        </w:rPr>
        <w:t>million worth of support to the Turkish Cypriot community. In 2020, this was allocated to combat COVID-19 (EUR</w:t>
      </w:r>
      <w:r w:rsidRPr="00343169">
        <w:rPr>
          <w:rFonts w:ascii="Calibri" w:hAnsi="Calibri" w:cs="Calibri"/>
          <w:noProof/>
          <w:lang w:val="en-IE"/>
        </w:rPr>
        <w:t> </w:t>
      </w:r>
      <w:r w:rsidRPr="00343169">
        <w:rPr>
          <w:noProof/>
          <w:lang w:val="en-IE"/>
        </w:rPr>
        <w:t>5</w:t>
      </w:r>
      <w:r w:rsidRPr="00343169">
        <w:rPr>
          <w:rFonts w:ascii="Calibri" w:hAnsi="Calibri" w:cs="Calibri"/>
          <w:noProof/>
          <w:lang w:val="en-IE"/>
        </w:rPr>
        <w:t> </w:t>
      </w:r>
      <w:r w:rsidRPr="00343169">
        <w:rPr>
          <w:noProof/>
          <w:lang w:val="en-IE"/>
        </w:rPr>
        <w:t>million) and to assist businesses in weathering the negative socioeconomic impact of the pandemic (EUR</w:t>
      </w:r>
      <w:r w:rsidRPr="00343169">
        <w:rPr>
          <w:rFonts w:ascii="Calibri" w:hAnsi="Calibri" w:cs="Calibri"/>
          <w:noProof/>
          <w:lang w:val="en-IE"/>
        </w:rPr>
        <w:t> </w:t>
      </w:r>
      <w:r w:rsidRPr="00343169">
        <w:rPr>
          <w:noProof/>
          <w:lang w:val="en-IE"/>
        </w:rPr>
        <w:t>10.2</w:t>
      </w:r>
      <w:r w:rsidRPr="00343169">
        <w:rPr>
          <w:rFonts w:ascii="Calibri" w:hAnsi="Calibri" w:cs="Calibri"/>
          <w:noProof/>
          <w:lang w:val="en-IE"/>
        </w:rPr>
        <w:t> </w:t>
      </w:r>
      <w:r w:rsidRPr="00343169">
        <w:rPr>
          <w:noProof/>
          <w:lang w:val="en-IE"/>
        </w:rPr>
        <w:t>million). In 2021, experts continued to provide advice, including on elaborating a vaccination strategy, and the Commission continued to implement economic support packages providing emergency relief and encouraging economic stability. Overall, approximately 2</w:t>
      </w:r>
      <w:r w:rsidRPr="00343169">
        <w:rPr>
          <w:rFonts w:ascii="Calibri" w:hAnsi="Calibri" w:cs="Calibri"/>
          <w:noProof/>
          <w:lang w:val="en-IE"/>
        </w:rPr>
        <w:t> </w:t>
      </w:r>
      <w:r w:rsidRPr="00343169">
        <w:rPr>
          <w:noProof/>
          <w:lang w:val="en-IE"/>
        </w:rPr>
        <w:t>300 small businesses and industries have received grants of an average EUR</w:t>
      </w:r>
      <w:r w:rsidRPr="00343169">
        <w:rPr>
          <w:rFonts w:ascii="Calibri" w:hAnsi="Calibri" w:cs="Calibri"/>
          <w:noProof/>
          <w:lang w:val="en-IE"/>
        </w:rPr>
        <w:t> </w:t>
      </w:r>
      <w:r w:rsidRPr="00343169">
        <w:rPr>
          <w:noProof/>
          <w:lang w:val="en-IE"/>
        </w:rPr>
        <w:t>1</w:t>
      </w:r>
      <w:r w:rsidRPr="00343169">
        <w:rPr>
          <w:rFonts w:ascii="Calibri" w:hAnsi="Calibri" w:cs="Calibri"/>
          <w:noProof/>
          <w:lang w:val="en-IE"/>
        </w:rPr>
        <w:t> </w:t>
      </w:r>
      <w:r w:rsidRPr="00343169">
        <w:rPr>
          <w:noProof/>
          <w:lang w:val="en-IE"/>
        </w:rPr>
        <w:t>500 each, while 86 larger small and medium-sized enterprises are in the process of receiving up to EUR</w:t>
      </w:r>
      <w:r w:rsidRPr="00343169">
        <w:rPr>
          <w:rFonts w:ascii="Calibri" w:hAnsi="Calibri" w:cs="Calibri"/>
          <w:noProof/>
          <w:lang w:val="en-IE"/>
        </w:rPr>
        <w:t> </w:t>
      </w:r>
      <w:r w:rsidRPr="00343169">
        <w:rPr>
          <w:noProof/>
          <w:lang w:val="en-IE"/>
        </w:rPr>
        <w:t>60</w:t>
      </w:r>
      <w:r w:rsidRPr="00343169">
        <w:rPr>
          <w:rFonts w:ascii="Calibri" w:hAnsi="Calibri" w:cs="Calibri"/>
          <w:noProof/>
          <w:lang w:val="en-IE"/>
        </w:rPr>
        <w:t> </w:t>
      </w:r>
      <w:r w:rsidRPr="00343169">
        <w:rPr>
          <w:noProof/>
          <w:lang w:val="en-IE"/>
        </w:rPr>
        <w:t>000, based on growth plans to safeguard and create employment, innovate and advance on the green/digital transitions.</w:t>
      </w:r>
    </w:p>
    <w:p w14:paraId="161DC160" w14:textId="77777777" w:rsidR="0079461A" w:rsidRPr="00343169" w:rsidRDefault="0079461A" w:rsidP="0079461A">
      <w:pPr>
        <w:pStyle w:val="ppoListHyphened-L1"/>
        <w:rPr>
          <w:noProof/>
          <w:lang w:val="en-IE"/>
        </w:rPr>
      </w:pPr>
      <w:r w:rsidRPr="00343169">
        <w:rPr>
          <w:noProof/>
          <w:lang w:val="en-IE"/>
        </w:rPr>
        <w:t>For objective</w:t>
      </w:r>
      <w:r w:rsidRPr="00343169">
        <w:rPr>
          <w:rFonts w:ascii="Calibri" w:hAnsi="Calibri" w:cs="Calibri"/>
          <w:noProof/>
          <w:lang w:val="en-IE"/>
        </w:rPr>
        <w:t> </w:t>
      </w:r>
      <w:r w:rsidRPr="00343169">
        <w:rPr>
          <w:noProof/>
          <w:lang w:val="en-IE"/>
        </w:rPr>
        <w:t>1, ‘Developing and restructuring of infrastructure’, 260 kilometres of water supply networks and some 100 kilometres of sewerage pipes have been financed through the programme. Of particular importance is the Famagusta sewerage system, for which an initial work contracts of approximately EUR</w:t>
      </w:r>
      <w:r w:rsidRPr="00343169">
        <w:rPr>
          <w:rFonts w:ascii="Calibri" w:hAnsi="Calibri" w:cs="Calibri"/>
          <w:noProof/>
          <w:lang w:val="en-IE"/>
        </w:rPr>
        <w:t> </w:t>
      </w:r>
      <w:r w:rsidRPr="00343169">
        <w:rPr>
          <w:noProof/>
          <w:lang w:val="en-IE"/>
        </w:rPr>
        <w:t>10</w:t>
      </w:r>
      <w:r w:rsidRPr="00343169">
        <w:rPr>
          <w:rFonts w:ascii="Calibri" w:hAnsi="Calibri" w:cs="Calibri"/>
          <w:noProof/>
          <w:lang w:val="en-IE"/>
        </w:rPr>
        <w:t> </w:t>
      </w:r>
      <w:r w:rsidRPr="00343169">
        <w:rPr>
          <w:noProof/>
          <w:lang w:val="en-IE"/>
        </w:rPr>
        <w:t>million had already been concluded in 2009. As a consequence of the initial construction being riddled with defects, the Commission decided to build a parallel network. A contract has been awarded for approximately EUR</w:t>
      </w:r>
      <w:r w:rsidRPr="00343169">
        <w:rPr>
          <w:rFonts w:ascii="Calibri" w:hAnsi="Calibri" w:cs="Calibri"/>
          <w:noProof/>
          <w:lang w:val="en-IE"/>
        </w:rPr>
        <w:t> </w:t>
      </w:r>
      <w:r w:rsidRPr="00343169">
        <w:rPr>
          <w:noProof/>
          <w:lang w:val="en-IE"/>
        </w:rPr>
        <w:t>20</w:t>
      </w:r>
      <w:r w:rsidRPr="00343169">
        <w:rPr>
          <w:rFonts w:ascii="Calibri" w:hAnsi="Calibri" w:cs="Calibri"/>
          <w:noProof/>
          <w:lang w:val="en-IE"/>
        </w:rPr>
        <w:t> </w:t>
      </w:r>
      <w:r w:rsidRPr="00343169">
        <w:rPr>
          <w:noProof/>
          <w:lang w:val="en-IE"/>
        </w:rPr>
        <w:t>million. The implementation started in 2021, following clearance from the Republic of Cyprus on the use of the land and the validation of the ‘design visa’ by the Turkish Cypriot chamber of civil engineers.</w:t>
      </w:r>
    </w:p>
    <w:p w14:paraId="0E90494F" w14:textId="77777777" w:rsidR="0079461A" w:rsidRPr="00343169" w:rsidRDefault="0079461A" w:rsidP="0079461A">
      <w:pPr>
        <w:pStyle w:val="ppoListHyphened-L1"/>
        <w:rPr>
          <w:noProof/>
          <w:lang w:val="en-IE"/>
        </w:rPr>
      </w:pPr>
      <w:r w:rsidRPr="00343169">
        <w:rPr>
          <w:noProof/>
          <w:lang w:val="en-IE"/>
        </w:rPr>
        <w:t>As a part of objective</w:t>
      </w:r>
      <w:r w:rsidRPr="00343169">
        <w:rPr>
          <w:rFonts w:ascii="Calibri" w:hAnsi="Calibri" w:cs="Calibri"/>
          <w:noProof/>
          <w:lang w:val="en-IE"/>
        </w:rPr>
        <w:t> </w:t>
      </w:r>
      <w:r w:rsidRPr="00343169">
        <w:rPr>
          <w:noProof/>
          <w:lang w:val="en-IE"/>
        </w:rPr>
        <w:t>2, ‘Promoting social and economic development’, 286 rural development grants were concluded for approximately EUR</w:t>
      </w:r>
      <w:r w:rsidRPr="00343169">
        <w:rPr>
          <w:rFonts w:ascii="Calibri" w:hAnsi="Calibri" w:cs="Calibri"/>
          <w:noProof/>
          <w:lang w:val="en-IE"/>
        </w:rPr>
        <w:t> </w:t>
      </w:r>
      <w:r w:rsidRPr="00343169">
        <w:rPr>
          <w:noProof/>
          <w:lang w:val="en-IE"/>
        </w:rPr>
        <w:t>32.3</w:t>
      </w:r>
      <w:r w:rsidRPr="00343169">
        <w:rPr>
          <w:rFonts w:ascii="Calibri" w:hAnsi="Calibri" w:cs="Calibri"/>
          <w:noProof/>
          <w:lang w:val="en-IE"/>
        </w:rPr>
        <w:t> </w:t>
      </w:r>
      <w:r w:rsidRPr="00343169">
        <w:rPr>
          <w:noProof/>
          <w:lang w:val="en-IE"/>
        </w:rPr>
        <w:t>million and 200 farmers received training in husbandry practices to improve water use efficiency and farm hygiene, enabling them to upgrade their material and to secure their survival in a difficult and closed economic environment.</w:t>
      </w:r>
    </w:p>
    <w:p w14:paraId="50590F79" w14:textId="77777777" w:rsidR="0079461A" w:rsidRPr="00343169" w:rsidRDefault="0079461A" w:rsidP="0079461A">
      <w:pPr>
        <w:pStyle w:val="ppoListHyphened-L1"/>
        <w:rPr>
          <w:noProof/>
          <w:lang w:val="en-IE"/>
        </w:rPr>
      </w:pPr>
      <w:r w:rsidRPr="00343169">
        <w:rPr>
          <w:noProof/>
          <w:lang w:val="en-IE"/>
        </w:rPr>
        <w:t>However, access to credit remains difficult for Turkish Cypriots. The programme has supported the promotion of innovation, growth and job creation through more than 2</w:t>
      </w:r>
      <w:r w:rsidRPr="00343169">
        <w:rPr>
          <w:rFonts w:ascii="Calibri" w:hAnsi="Calibri" w:cs="Calibri"/>
          <w:noProof/>
          <w:lang w:val="en-IE"/>
        </w:rPr>
        <w:t> </w:t>
      </w:r>
      <w:r w:rsidRPr="00343169">
        <w:rPr>
          <w:noProof/>
          <w:lang w:val="en-IE"/>
        </w:rPr>
        <w:t>700 grants to small and medium-sized enterprises and start</w:t>
      </w:r>
      <w:r w:rsidRPr="00343169">
        <w:rPr>
          <w:noProof/>
          <w:lang w:val="en-IE"/>
        </w:rPr>
        <w:noBreakHyphen/>
        <w:t>ups, complemented by building capacity. The grant scheme for small and medium-sized enterprises allowed them to benefit from EU support, enabling them to improve their competitiveness and thereby ensuring their survival in a difficult economic environment.</w:t>
      </w:r>
    </w:p>
    <w:p w14:paraId="03B38282" w14:textId="77777777" w:rsidR="0079461A" w:rsidRPr="00343169" w:rsidRDefault="0079461A" w:rsidP="0079461A">
      <w:pPr>
        <w:pStyle w:val="ppoListHyphened-L1"/>
        <w:rPr>
          <w:noProof/>
          <w:lang w:val="en-IE"/>
        </w:rPr>
      </w:pPr>
      <w:r w:rsidRPr="00343169">
        <w:rPr>
          <w:noProof/>
          <w:lang w:val="en-IE"/>
        </w:rPr>
        <w:t>Under objective</w:t>
      </w:r>
      <w:r w:rsidRPr="00343169">
        <w:rPr>
          <w:rFonts w:ascii="Calibri" w:hAnsi="Calibri" w:cs="Calibri"/>
          <w:noProof/>
          <w:lang w:val="en-IE"/>
        </w:rPr>
        <w:t> </w:t>
      </w:r>
      <w:r w:rsidRPr="00343169">
        <w:rPr>
          <w:noProof/>
          <w:lang w:val="en-IE"/>
        </w:rPr>
        <w:t>3, ‘Fostering reconciliation, confidence-building measures and support to civil society’, more than 107 cultural heritage sites have been conserved, structurally supported, physically protected or restored across the island with EU funding.</w:t>
      </w:r>
      <w:r w:rsidRPr="00343169">
        <w:rPr>
          <w:rFonts w:ascii="Calibri" w:hAnsi="Calibri" w:cs="Calibri"/>
          <w:noProof/>
          <w:lang w:val="en-IE"/>
        </w:rPr>
        <w:t xml:space="preserve"> </w:t>
      </w:r>
      <w:r w:rsidRPr="00343169">
        <w:rPr>
          <w:noProof/>
          <w:lang w:val="en-IE"/>
        </w:rPr>
        <w:t>The programme supports strengthening civil society as a key factor in developing a culture of dialogue, participation in community life and promotion of the values of tolerance, peace and active citizenship</w:t>
      </w:r>
      <w:r w:rsidRPr="00343169">
        <w:rPr>
          <w:rFonts w:ascii="Calibri" w:hAnsi="Calibri" w:cs="Calibri"/>
          <w:noProof/>
          <w:lang w:val="en-IE"/>
        </w:rPr>
        <w:t> –</w:t>
      </w:r>
      <w:r w:rsidRPr="00343169">
        <w:rPr>
          <w:noProof/>
          <w:lang w:val="en-IE"/>
        </w:rPr>
        <w:t xml:space="preserve"> along with reconciliation, a closer relationship and trust between the Turkish Cypriot and Greek Cypriot communities.</w:t>
      </w:r>
    </w:p>
    <w:p w14:paraId="18A257C5" w14:textId="77777777" w:rsidR="0079461A" w:rsidRPr="00343169" w:rsidRDefault="0079461A" w:rsidP="0079461A">
      <w:pPr>
        <w:pStyle w:val="ppoListHyphened-L1"/>
        <w:rPr>
          <w:noProof/>
          <w:lang w:val="en-IE"/>
        </w:rPr>
      </w:pPr>
      <w:r w:rsidRPr="00343169">
        <w:rPr>
          <w:noProof/>
          <w:lang w:val="en-IE"/>
        </w:rPr>
        <w:t xml:space="preserve">In addition, the programme supported a significant number of researchers and students with grants and scholarships and increased the uptake of the EU </w:t>
      </w:r>
      <w:r w:rsidRPr="00343169">
        <w:rPr>
          <w:i/>
          <w:noProof/>
          <w:lang w:val="en-IE"/>
        </w:rPr>
        <w:t>acquis</w:t>
      </w:r>
      <w:r w:rsidRPr="00343169">
        <w:rPr>
          <w:noProof/>
          <w:lang w:val="en-IE"/>
        </w:rPr>
        <w:t xml:space="preserve"> into Turkish Cypriot law.</w:t>
      </w:r>
    </w:p>
    <w:p w14:paraId="270DF04B" w14:textId="77777777" w:rsidR="0079461A" w:rsidRPr="00343169" w:rsidRDefault="0079461A" w:rsidP="0079461A">
      <w:pPr>
        <w:pStyle w:val="ppoListHyphened-L1"/>
        <w:rPr>
          <w:noProof/>
          <w:lang w:val="en-IE"/>
        </w:rPr>
      </w:pPr>
      <w:r w:rsidRPr="00343169">
        <w:rPr>
          <w:noProof/>
          <w:lang w:val="en-IE"/>
        </w:rPr>
        <w:t>Despite the good performance of the programme</w:t>
      </w:r>
      <w:r w:rsidRPr="00343169">
        <w:rPr>
          <w:rFonts w:ascii="Calibri" w:hAnsi="Calibri" w:cs="Calibri"/>
          <w:noProof/>
          <w:lang w:val="en-IE"/>
        </w:rPr>
        <w:t> –</w:t>
      </w:r>
      <w:r w:rsidRPr="00343169">
        <w:rPr>
          <w:noProof/>
          <w:lang w:val="en-IE"/>
        </w:rPr>
        <w:t xml:space="preserve"> which met all of its quantitative targets</w:t>
      </w:r>
      <w:r w:rsidRPr="00343169">
        <w:rPr>
          <w:rFonts w:ascii="Calibri" w:hAnsi="Calibri" w:cs="Calibri"/>
          <w:noProof/>
          <w:lang w:val="en-IE"/>
        </w:rPr>
        <w:t> –</w:t>
      </w:r>
      <w:r w:rsidRPr="00343169">
        <w:rPr>
          <w:noProof/>
          <w:lang w:val="en-IE"/>
        </w:rPr>
        <w:t xml:space="preserve"> trust in the EU as an institution</w:t>
      </w:r>
      <w:r w:rsidRPr="00343169" w:rsidDel="009E6772">
        <w:rPr>
          <w:noProof/>
          <w:lang w:val="en-IE"/>
        </w:rPr>
        <w:t xml:space="preserve"> </w:t>
      </w:r>
      <w:r w:rsidRPr="00343169">
        <w:rPr>
          <w:noProof/>
          <w:lang w:val="en-IE"/>
        </w:rPr>
        <w:t>among Turkish Cypriots is declining. This can be attributed to the absence of concrete progress in the resolution of the Cyprus problem and to the perception in the Turkish Cypriot community of the EU siding with the Republic of Cyprus on many issues, including hydrocarbons. The situation deteriorated even further in 2020, due to the COVID-19 pandemic and the perception in the Turkish Cypriot community that the EU was not active enough</w:t>
      </w:r>
      <w:r w:rsidRPr="00343169">
        <w:rPr>
          <w:rFonts w:ascii="Calibri" w:hAnsi="Calibri" w:cs="Calibri"/>
          <w:noProof/>
          <w:lang w:val="en-IE"/>
        </w:rPr>
        <w:t> –</w:t>
      </w:r>
      <w:r w:rsidRPr="00343169">
        <w:rPr>
          <w:noProof/>
          <w:lang w:val="en-IE"/>
        </w:rPr>
        <w:t xml:space="preserve"> despite an economic emergency package (EUR</w:t>
      </w:r>
      <w:r w:rsidRPr="00343169">
        <w:rPr>
          <w:rFonts w:ascii="Calibri" w:hAnsi="Calibri" w:cs="Calibri"/>
          <w:noProof/>
          <w:lang w:val="en-IE"/>
        </w:rPr>
        <w:t> </w:t>
      </w:r>
      <w:r w:rsidRPr="00343169">
        <w:rPr>
          <w:noProof/>
          <w:lang w:val="en-IE"/>
        </w:rPr>
        <w:t>10.2</w:t>
      </w:r>
      <w:r w:rsidRPr="00343169">
        <w:rPr>
          <w:rFonts w:ascii="Calibri" w:hAnsi="Calibri" w:cs="Calibri"/>
          <w:noProof/>
          <w:lang w:val="en-IE"/>
        </w:rPr>
        <w:t> </w:t>
      </w:r>
      <w:r w:rsidRPr="00343169">
        <w:rPr>
          <w:noProof/>
          <w:lang w:val="en-IE"/>
        </w:rPr>
        <w:t>million) to help address the broader socioeconomic impacts of the COVID-19 pandemic in the community.</w:t>
      </w:r>
    </w:p>
    <w:p w14:paraId="36B4C081" w14:textId="77777777" w:rsidR="009B62E0" w:rsidRDefault="009B62E0" w:rsidP="0079461A">
      <w:pPr>
        <w:spacing w:after="160" w:line="259" w:lineRule="auto"/>
        <w:rPr>
          <w:rFonts w:eastAsiaTheme="majorEastAsia" w:cstheme="majorBidi"/>
          <w:noProof/>
          <w:color w:val="016A13" w:themeColor="accent1" w:themeShade="BF"/>
          <w:sz w:val="48"/>
          <w:szCs w:val="32"/>
          <w:lang w:val="en-IE"/>
        </w:rPr>
        <w:sectPr w:rsidR="009B62E0" w:rsidSect="00D40083">
          <w:headerReference w:type="even" r:id="rId213"/>
          <w:headerReference w:type="default" r:id="rId214"/>
          <w:footerReference w:type="even" r:id="rId215"/>
          <w:footerReference w:type="default" r:id="rId216"/>
          <w:headerReference w:type="first" r:id="rId217"/>
          <w:footerReference w:type="first" r:id="rId218"/>
          <w:pgSz w:w="11906" w:h="16838" w:code="9"/>
          <w:pgMar w:top="1134" w:right="1134" w:bottom="964" w:left="1134" w:header="431" w:footer="431" w:gutter="0"/>
          <w:cols w:space="720"/>
          <w:titlePg/>
          <w:docGrid w:linePitch="360"/>
        </w:sectPr>
      </w:pPr>
    </w:p>
    <w:p w14:paraId="71333252" w14:textId="77777777" w:rsidR="009B62E0" w:rsidRPr="00F42925" w:rsidRDefault="009B62E0" w:rsidP="009B62E0">
      <w:pPr>
        <w:pStyle w:val="StyleppoHeading3WhiteLeft0cm"/>
        <w:rPr>
          <w:noProof/>
          <w:sz w:val="44"/>
          <w:szCs w:val="44"/>
        </w:rPr>
      </w:pPr>
    </w:p>
    <w:p w14:paraId="541E6F92" w14:textId="77777777" w:rsidR="009B62E0" w:rsidRPr="00F42925" w:rsidRDefault="009B62E0" w:rsidP="009B62E0">
      <w:pPr>
        <w:pStyle w:val="StyleppoHeading3WhiteLeft0cm"/>
        <w:rPr>
          <w:noProof/>
          <w:sz w:val="60"/>
          <w:szCs w:val="60"/>
        </w:rPr>
      </w:pPr>
      <w:bookmarkStart w:id="101" w:name="_Toc102086343"/>
      <w:r w:rsidRPr="00F42925">
        <w:rPr>
          <w:noProof/>
          <w:sz w:val="60"/>
          <w:szCs w:val="60"/>
        </w:rPr>
        <w:t>RRF</w:t>
      </w:r>
      <w:bookmarkEnd w:id="101"/>
    </w:p>
    <w:p w14:paraId="2EAB1094" w14:textId="77777777" w:rsidR="009B62E0" w:rsidRPr="00F42925" w:rsidRDefault="009B62E0" w:rsidP="00195759">
      <w:pPr>
        <w:pStyle w:val="StyleppoProgrammenameWhiteLeft01cm"/>
        <w:rPr>
          <w:noProof/>
        </w:rPr>
      </w:pPr>
      <w:r w:rsidRPr="00F42925">
        <w:rPr>
          <w:noProof/>
        </w:rPr>
        <w:t>RECOVERY AND RESILIENCE FACILITY</w:t>
      </w:r>
    </w:p>
    <w:p w14:paraId="73A7BDC0" w14:textId="77777777" w:rsidR="009B62E0" w:rsidRPr="00351CB7" w:rsidRDefault="009B62E0" w:rsidP="009B62E0">
      <w:pPr>
        <w:pStyle w:val="ppoHeading4Green"/>
        <w:rPr>
          <w:noProof/>
        </w:rPr>
      </w:pPr>
      <w:r w:rsidRPr="00351CB7">
        <w:rPr>
          <w:noProof/>
        </w:rPr>
        <w:t>Programme in a nutshell</w:t>
      </w:r>
    </w:p>
    <w:p w14:paraId="558A905E" w14:textId="77777777" w:rsidR="009B62E0" w:rsidRPr="00040D99" w:rsidRDefault="009B62E0" w:rsidP="009B62E0">
      <w:pPr>
        <w:pStyle w:val="ppoHeading5"/>
        <w:rPr>
          <w:noProof/>
        </w:rPr>
      </w:pPr>
      <w:r w:rsidRPr="00040D99">
        <w:rPr>
          <w:noProof/>
        </w:rPr>
        <w:t>Concrete examples of achievements</w:t>
      </w:r>
    </w:p>
    <w:tbl>
      <w:tblPr>
        <w:tblStyle w:val="PPO2021"/>
        <w:tblW w:w="9639" w:type="dxa"/>
        <w:tblInd w:w="0" w:type="dxa"/>
        <w:tblLook w:val="0200" w:firstRow="0" w:lastRow="0" w:firstColumn="0" w:lastColumn="0" w:noHBand="1" w:noVBand="0"/>
      </w:tblPr>
      <w:tblGrid>
        <w:gridCol w:w="2410"/>
        <w:gridCol w:w="2330"/>
        <w:gridCol w:w="2410"/>
        <w:gridCol w:w="2489"/>
      </w:tblGrid>
      <w:tr w:rsidR="009B62E0" w:rsidRPr="00040D99" w14:paraId="574CC3C5" w14:textId="77777777" w:rsidTr="00AF1C52">
        <w:tc>
          <w:tcPr>
            <w:tcW w:w="2410" w:type="dxa"/>
          </w:tcPr>
          <w:p w14:paraId="3FD1538B" w14:textId="77777777" w:rsidR="009B62E0" w:rsidRPr="0076270C" w:rsidRDefault="009B62E0" w:rsidP="00AF1C52">
            <w:pPr>
              <w:pStyle w:val="ppoTableacheivementvalue"/>
              <w:rPr>
                <w:noProof/>
              </w:rPr>
            </w:pPr>
            <w:r>
              <w:rPr>
                <w:noProof/>
              </w:rPr>
              <w:t>22</w:t>
            </w:r>
          </w:p>
          <w:p w14:paraId="5C7EDCD4" w14:textId="77777777" w:rsidR="009B62E0" w:rsidRPr="0076270C" w:rsidRDefault="009B62E0" w:rsidP="00962E3C">
            <w:pPr>
              <w:jc w:val="left"/>
              <w:rPr>
                <w:noProof/>
              </w:rPr>
            </w:pPr>
            <w:r>
              <w:rPr>
                <w:noProof/>
              </w:rPr>
              <w:t>RRPs were adopted as of 31</w:t>
            </w:r>
            <w:r w:rsidRPr="003D7405">
              <w:rPr>
                <w:rFonts w:ascii="Calibri" w:hAnsi="Calibri" w:cs="Calibri"/>
                <w:noProof/>
              </w:rPr>
              <w:t> </w:t>
            </w:r>
            <w:r w:rsidRPr="003D7405">
              <w:rPr>
                <w:noProof/>
              </w:rPr>
              <w:t>December</w:t>
            </w:r>
            <w:r>
              <w:rPr>
                <w:noProof/>
              </w:rPr>
              <w:t xml:space="preserve"> 2021</w:t>
            </w:r>
            <w:r w:rsidRPr="0076270C">
              <w:rPr>
                <w:noProof/>
              </w:rPr>
              <w:t>.</w:t>
            </w:r>
          </w:p>
        </w:tc>
        <w:tc>
          <w:tcPr>
            <w:cnfStyle w:val="000001000000" w:firstRow="0" w:lastRow="0" w:firstColumn="0" w:lastColumn="0" w:oddVBand="0" w:evenVBand="1" w:oddHBand="0" w:evenHBand="0" w:firstRowFirstColumn="0" w:firstRowLastColumn="0" w:lastRowFirstColumn="0" w:lastRowLastColumn="0"/>
            <w:tcW w:w="0" w:type="auto"/>
          </w:tcPr>
          <w:p w14:paraId="09EA88FC" w14:textId="77777777" w:rsidR="009B62E0" w:rsidRPr="0076270C" w:rsidRDefault="009B62E0" w:rsidP="00AF1C52">
            <w:pPr>
              <w:pStyle w:val="ppoTableacheivementvalue"/>
              <w:rPr>
                <w:noProof/>
              </w:rPr>
            </w:pPr>
            <w:r>
              <w:rPr>
                <w:noProof/>
              </w:rPr>
              <w:t>40%</w:t>
            </w:r>
          </w:p>
          <w:p w14:paraId="0595E878" w14:textId="77777777" w:rsidR="009B62E0" w:rsidRPr="0076270C" w:rsidRDefault="009B62E0" w:rsidP="00962E3C">
            <w:pPr>
              <w:jc w:val="left"/>
              <w:rPr>
                <w:noProof/>
              </w:rPr>
            </w:pPr>
            <w:r>
              <w:rPr>
                <w:noProof/>
              </w:rPr>
              <w:t xml:space="preserve">is the share of the total financial allocation of the 22 </w:t>
            </w:r>
            <w:r w:rsidRPr="00265F7B">
              <w:rPr>
                <w:noProof/>
              </w:rPr>
              <w:t xml:space="preserve">adopted </w:t>
            </w:r>
            <w:r>
              <w:rPr>
                <w:noProof/>
              </w:rPr>
              <w:t>RRPs</w:t>
            </w:r>
            <w:r w:rsidRPr="00265F7B">
              <w:rPr>
                <w:noProof/>
              </w:rPr>
              <w:t xml:space="preserve"> </w:t>
            </w:r>
            <w:r>
              <w:rPr>
                <w:noProof/>
              </w:rPr>
              <w:t>contributing to climate objectives (</w:t>
            </w:r>
            <w:r w:rsidRPr="00265F7B">
              <w:rPr>
                <w:noProof/>
              </w:rPr>
              <w:t xml:space="preserve">compared to </w:t>
            </w:r>
            <w:r>
              <w:rPr>
                <w:noProof/>
              </w:rPr>
              <w:t xml:space="preserve">a 37% </w:t>
            </w:r>
            <w:r w:rsidRPr="00265F7B">
              <w:rPr>
                <w:noProof/>
              </w:rPr>
              <w:t>target</w:t>
            </w:r>
            <w:r>
              <w:rPr>
                <w:noProof/>
              </w:rPr>
              <w:t>)</w:t>
            </w:r>
            <w:r w:rsidRPr="0076270C">
              <w:rPr>
                <w:noProof/>
              </w:rPr>
              <w:t>.</w:t>
            </w:r>
          </w:p>
        </w:tc>
        <w:tc>
          <w:tcPr>
            <w:tcW w:w="2410" w:type="dxa"/>
            <w:tcBorders>
              <w:bottom w:val="single" w:sz="4" w:space="0" w:color="8C8C8C"/>
            </w:tcBorders>
          </w:tcPr>
          <w:p w14:paraId="6303EA8E" w14:textId="77777777" w:rsidR="009B62E0" w:rsidRPr="0076270C" w:rsidRDefault="009B62E0" w:rsidP="00AF1C52">
            <w:pPr>
              <w:pStyle w:val="ppoTableacheivementvalue"/>
              <w:cnfStyle w:val="000000000000" w:firstRow="0" w:lastRow="0" w:firstColumn="0" w:lastColumn="0" w:oddVBand="0" w:evenVBand="0" w:oddHBand="0" w:evenHBand="0" w:firstRowFirstColumn="0" w:firstRowLastColumn="0" w:lastRowFirstColumn="0" w:lastRowLastColumn="0"/>
              <w:rPr>
                <w:noProof/>
              </w:rPr>
            </w:pPr>
            <w:r>
              <w:rPr>
                <w:noProof/>
              </w:rPr>
              <w:t>26%</w:t>
            </w:r>
          </w:p>
          <w:p w14:paraId="284A34CF" w14:textId="77777777" w:rsidR="009B62E0" w:rsidRPr="0076270C" w:rsidRDefault="009B62E0" w:rsidP="00962E3C">
            <w:pPr>
              <w:jc w:val="left"/>
              <w:cnfStyle w:val="000000000000" w:firstRow="0" w:lastRow="0" w:firstColumn="0" w:lastColumn="0" w:oddVBand="0" w:evenVBand="0" w:oddHBand="0" w:evenHBand="0" w:firstRowFirstColumn="0" w:firstRowLastColumn="0" w:lastRowFirstColumn="0" w:lastRowLastColumn="0"/>
              <w:rPr>
                <w:noProof/>
              </w:rPr>
            </w:pPr>
            <w:r>
              <w:rPr>
                <w:noProof/>
              </w:rPr>
              <w:t xml:space="preserve">is the share of the total financial allocation of </w:t>
            </w:r>
            <w:r w:rsidRPr="001D20CF">
              <w:rPr>
                <w:noProof/>
              </w:rPr>
              <w:t xml:space="preserve">the 22 adopted RRPs </w:t>
            </w:r>
            <w:r>
              <w:rPr>
                <w:noProof/>
              </w:rPr>
              <w:t>contributing to digital objectives (</w:t>
            </w:r>
            <w:r w:rsidRPr="001D20CF">
              <w:rPr>
                <w:noProof/>
              </w:rPr>
              <w:t>compared to</w:t>
            </w:r>
            <w:r>
              <w:rPr>
                <w:noProof/>
              </w:rPr>
              <w:t xml:space="preserve"> a 20%</w:t>
            </w:r>
            <w:r w:rsidRPr="00265F7B">
              <w:rPr>
                <w:noProof/>
              </w:rPr>
              <w:t xml:space="preserve"> </w:t>
            </w:r>
            <w:r>
              <w:rPr>
                <w:noProof/>
              </w:rPr>
              <w:t>target)</w:t>
            </w:r>
            <w:r w:rsidRPr="0076270C">
              <w:rPr>
                <w:noProof/>
              </w:rPr>
              <w:t>.</w:t>
            </w:r>
          </w:p>
        </w:tc>
        <w:tc>
          <w:tcPr>
            <w:cnfStyle w:val="000001000000" w:firstRow="0" w:lastRow="0" w:firstColumn="0" w:lastColumn="0" w:oddVBand="0" w:evenVBand="1" w:oddHBand="0" w:evenHBand="0" w:firstRowFirstColumn="0" w:firstRowLastColumn="0" w:lastRowFirstColumn="0" w:lastRowLastColumn="0"/>
            <w:tcW w:w="0" w:type="auto"/>
          </w:tcPr>
          <w:p w14:paraId="41D8C044" w14:textId="77777777" w:rsidR="009B62E0" w:rsidRPr="0076270C" w:rsidRDefault="009B62E0" w:rsidP="00AF1C52">
            <w:pPr>
              <w:pStyle w:val="ppoTableacheivementvalue"/>
              <w:rPr>
                <w:noProof/>
              </w:rPr>
            </w:pPr>
            <w:r>
              <w:rPr>
                <w:noProof/>
              </w:rPr>
              <w:t xml:space="preserve">The 1st </w:t>
            </w:r>
          </w:p>
          <w:p w14:paraId="3354CD17" w14:textId="77777777" w:rsidR="009B62E0" w:rsidRPr="0076270C" w:rsidRDefault="009B62E0" w:rsidP="00962E3C">
            <w:pPr>
              <w:jc w:val="left"/>
              <w:rPr>
                <w:noProof/>
              </w:rPr>
            </w:pPr>
            <w:r>
              <w:rPr>
                <w:noProof/>
              </w:rPr>
              <w:t>payment was disbursed to Spain on 27</w:t>
            </w:r>
            <w:r>
              <w:rPr>
                <w:rFonts w:ascii="Calibri" w:hAnsi="Calibri" w:cs="Calibri"/>
                <w:noProof/>
                <w:color w:val="000000"/>
              </w:rPr>
              <w:t> </w:t>
            </w:r>
            <w:r>
              <w:rPr>
                <w:noProof/>
              </w:rPr>
              <w:t>December 2021. All 52 milestones included in this first payment request have been fulfilled</w:t>
            </w:r>
            <w:r w:rsidRPr="00C40C8C">
              <w:rPr>
                <w:rFonts w:ascii="Calibri" w:hAnsi="Calibri" w:cs="Calibri"/>
                <w:noProof/>
              </w:rPr>
              <w:t> </w:t>
            </w:r>
            <w:r w:rsidRPr="00C40C8C">
              <w:rPr>
                <w:noProof/>
              </w:rPr>
              <w:t>(*).</w:t>
            </w:r>
          </w:p>
        </w:tc>
      </w:tr>
    </w:tbl>
    <w:p w14:paraId="36FF434B" w14:textId="77777777" w:rsidR="009B62E0" w:rsidRPr="00C40C8C" w:rsidRDefault="009B62E0" w:rsidP="009B62E0">
      <w:pPr>
        <w:pStyle w:val="FootnoteText"/>
        <w:rPr>
          <w:rFonts w:eastAsiaTheme="minorEastAsia"/>
          <w:noProof/>
          <w:lang w:val="en-IE"/>
        </w:rPr>
      </w:pPr>
      <w:r w:rsidRPr="00C40C8C">
        <w:rPr>
          <w:rFonts w:eastAsiaTheme="minorEastAsia"/>
          <w:noProof/>
          <w:lang w:val="en-IE"/>
        </w:rPr>
        <w:t>(*) The latest information on fulfilled milestones and targets and payments made is available on the recovery and resilience scoreboard at https://ec.europa.eu/economy_finance/recovery-and-resilience-scoreboard/index.html</w:t>
      </w:r>
    </w:p>
    <w:p w14:paraId="79C56F35" w14:textId="77777777" w:rsidR="009B62E0" w:rsidRDefault="009B62E0" w:rsidP="009B62E0">
      <w:pPr>
        <w:pStyle w:val="ppoHeading5"/>
        <w:rPr>
          <w:noProof/>
        </w:rPr>
      </w:pPr>
      <w:r w:rsidRPr="00040D99">
        <w:rPr>
          <w:noProof/>
        </w:rPr>
        <w:t xml:space="preserve">Budget </w:t>
      </w:r>
      <w:r>
        <w:rPr>
          <w:noProof/>
        </w:rPr>
        <w:t xml:space="preserve">for </w:t>
      </w:r>
      <w:r w:rsidRPr="00F628C7">
        <w:rPr>
          <w:noProof/>
        </w:rPr>
        <w:t>2021</w:t>
      </w:r>
      <w:r w:rsidRPr="00040D99">
        <w:rPr>
          <w:noProof/>
        </w:rPr>
        <w:t>-2027</w:t>
      </w:r>
    </w:p>
    <w:p w14:paraId="264831BA" w14:textId="77777777" w:rsidR="009B62E0" w:rsidRPr="009359FF" w:rsidRDefault="009B62E0" w:rsidP="009B62E0">
      <w:pPr>
        <w:pStyle w:val="ppoTableTabletitle"/>
        <w:ind w:left="284"/>
        <w:rPr>
          <w:noProof/>
        </w:rPr>
      </w:pPr>
      <w:r>
        <w:rPr>
          <w:noProof/>
        </w:rPr>
        <w:t>(million EUR)</w:t>
      </w:r>
    </w:p>
    <w:tbl>
      <w:tblPr>
        <w:tblStyle w:val="PlainTable2"/>
        <w:tblW w:w="0" w:type="auto"/>
        <w:tblInd w:w="288" w:type="dxa"/>
        <w:tblLook w:val="04A0" w:firstRow="1" w:lastRow="0" w:firstColumn="1" w:lastColumn="0" w:noHBand="0" w:noVBand="1"/>
      </w:tblPr>
      <w:tblGrid>
        <w:gridCol w:w="4788"/>
        <w:gridCol w:w="2610"/>
      </w:tblGrid>
      <w:tr w:rsidR="009B62E0" w:rsidRPr="00214876" w14:paraId="29411116" w14:textId="77777777" w:rsidTr="00AF1C5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3AA86E95" w14:textId="77777777" w:rsidR="009B62E0" w:rsidRPr="00214876" w:rsidRDefault="009B62E0" w:rsidP="00AF1C52">
            <w:pPr>
              <w:spacing w:before="120" w:after="120"/>
              <w:rPr>
                <w:noProof/>
              </w:rPr>
            </w:pPr>
            <w:r w:rsidRPr="00214876">
              <w:rPr>
                <w:rFonts w:cs="Calibri"/>
                <w:noProof/>
                <w:color w:val="000000"/>
              </w:rPr>
              <w:t>Financial programming</w:t>
            </w:r>
          </w:p>
        </w:tc>
        <w:tc>
          <w:tcPr>
            <w:tcW w:w="2610" w:type="dxa"/>
            <w:shd w:val="clear" w:color="auto" w:fill="auto"/>
            <w:vAlign w:val="bottom"/>
          </w:tcPr>
          <w:p w14:paraId="6AA724F1" w14:textId="77777777" w:rsidR="009B62E0" w:rsidRPr="00214876" w:rsidRDefault="009B62E0" w:rsidP="00AF1C52">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noProof/>
              </w:rPr>
            </w:pPr>
            <w:r>
              <w:rPr>
                <w:rFonts w:cs="Calibri"/>
                <w:b w:val="0"/>
                <w:bCs w:val="0"/>
                <w:noProof/>
                <w:color w:val="000000"/>
              </w:rPr>
              <w:t>0</w:t>
            </w:r>
          </w:p>
        </w:tc>
      </w:tr>
      <w:tr w:rsidR="009B62E0" w:rsidRPr="00214876" w14:paraId="036C63F8" w14:textId="77777777" w:rsidTr="00AF1C5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4039432C" w14:textId="5F34D95B" w:rsidR="009B62E0" w:rsidRPr="00214876" w:rsidRDefault="009B62E0">
            <w:pPr>
              <w:spacing w:before="120" w:after="120"/>
              <w:rPr>
                <w:b w:val="0"/>
                <w:bCs w:val="0"/>
                <w:noProof/>
              </w:rPr>
            </w:pPr>
            <w:r w:rsidRPr="00214876">
              <w:rPr>
                <w:rFonts w:cs="Calibri"/>
                <w:noProof/>
                <w:color w:val="000000"/>
              </w:rPr>
              <w:t>NextGenerationEU</w:t>
            </w:r>
            <w:r>
              <w:rPr>
                <w:rFonts w:cs="Calibri"/>
                <w:noProof/>
                <w:color w:val="000000"/>
              </w:rPr>
              <w:t xml:space="preserve"> </w:t>
            </w:r>
            <w:r w:rsidR="00BC790D">
              <w:rPr>
                <w:rFonts w:cs="Calibri"/>
                <w:noProof/>
                <w:color w:val="000000"/>
              </w:rPr>
              <w:t>non-repayable support</w:t>
            </w:r>
          </w:p>
        </w:tc>
        <w:tc>
          <w:tcPr>
            <w:tcW w:w="2610" w:type="dxa"/>
            <w:vAlign w:val="bottom"/>
          </w:tcPr>
          <w:p w14:paraId="6FD2C214" w14:textId="45BE24D4" w:rsidR="009B62E0" w:rsidRPr="00214876" w:rsidRDefault="00A4351B" w:rsidP="00A4351B">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Pr>
                <w:rFonts w:cs="Calibri"/>
                <w:noProof/>
                <w:color w:val="000000"/>
              </w:rPr>
              <w:t>337 969.0</w:t>
            </w:r>
          </w:p>
        </w:tc>
      </w:tr>
      <w:tr w:rsidR="009B62E0" w:rsidRPr="00214876" w14:paraId="318B70E7" w14:textId="77777777" w:rsidTr="00AF1C52">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7043C761" w14:textId="77777777" w:rsidR="009B62E0" w:rsidRDefault="009B62E0" w:rsidP="00AF1C52">
            <w:pPr>
              <w:spacing w:before="120" w:after="120"/>
              <w:rPr>
                <w:rFonts w:cs="Calibri"/>
                <w:noProof/>
                <w:color w:val="000000"/>
              </w:rPr>
            </w:pPr>
            <w:r w:rsidRPr="00214876">
              <w:rPr>
                <w:rFonts w:cs="Calibri"/>
                <w:noProof/>
                <w:color w:val="000000"/>
              </w:rPr>
              <w:t>NextGenerationEU</w:t>
            </w:r>
            <w:r>
              <w:rPr>
                <w:rFonts w:cs="Calibri"/>
                <w:noProof/>
                <w:color w:val="000000"/>
              </w:rPr>
              <w:t xml:space="preserve"> loans</w:t>
            </w:r>
            <w:r w:rsidRPr="0094543A">
              <w:rPr>
                <w:rFonts w:ascii="Calibri" w:hAnsi="Calibri" w:cs="Calibri"/>
                <w:noProof/>
                <w:color w:val="000000"/>
              </w:rPr>
              <w:t> </w:t>
            </w:r>
            <w:r w:rsidRPr="003D7405">
              <w:rPr>
                <w:rFonts w:cs="Calibri"/>
                <w:noProof/>
                <w:color w:val="000000"/>
              </w:rPr>
              <w:t>(</w:t>
            </w:r>
            <w:r w:rsidRPr="0094543A">
              <w:rPr>
                <w:rFonts w:cs="Calibri"/>
                <w:noProof/>
                <w:color w:val="000000"/>
              </w:rPr>
              <w:t>*)</w:t>
            </w:r>
          </w:p>
        </w:tc>
        <w:tc>
          <w:tcPr>
            <w:tcW w:w="2610" w:type="dxa"/>
            <w:vAlign w:val="bottom"/>
          </w:tcPr>
          <w:p w14:paraId="7344CD78" w14:textId="77777777" w:rsidR="009B62E0" w:rsidRDefault="009B62E0" w:rsidP="00AF1C52">
            <w:pPr>
              <w:spacing w:before="120" w:after="120"/>
              <w:jc w:val="center"/>
              <w:cnfStyle w:val="000000000000" w:firstRow="0" w:lastRow="0" w:firstColumn="0" w:lastColumn="0" w:oddVBand="0" w:evenVBand="0" w:oddHBand="0" w:evenHBand="0" w:firstRowFirstColumn="0" w:firstRowLastColumn="0" w:lastRowFirstColumn="0" w:lastRowLastColumn="0"/>
              <w:rPr>
                <w:rFonts w:cs="Calibri"/>
                <w:noProof/>
                <w:color w:val="000000"/>
              </w:rPr>
            </w:pPr>
            <w:r>
              <w:rPr>
                <w:rFonts w:cs="Calibri"/>
                <w:noProof/>
                <w:color w:val="000000"/>
              </w:rPr>
              <w:t>153</w:t>
            </w:r>
            <w:r>
              <w:rPr>
                <w:rFonts w:ascii="Calibri" w:hAnsi="Calibri" w:cs="Calibri"/>
                <w:noProof/>
                <w:color w:val="000000"/>
              </w:rPr>
              <w:t> </w:t>
            </w:r>
            <w:r>
              <w:rPr>
                <w:rFonts w:cs="Calibri"/>
                <w:noProof/>
                <w:color w:val="000000"/>
              </w:rPr>
              <w:t>876.2</w:t>
            </w:r>
          </w:p>
        </w:tc>
      </w:tr>
      <w:tr w:rsidR="009B62E0" w:rsidRPr="00214876" w14:paraId="581002EE" w14:textId="77777777" w:rsidTr="00AF1C5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4D770E95" w14:textId="77777777" w:rsidR="009B62E0" w:rsidRPr="00214876" w:rsidRDefault="009B62E0" w:rsidP="00AF1C52">
            <w:pPr>
              <w:spacing w:before="120" w:after="120"/>
              <w:rPr>
                <w:b w:val="0"/>
                <w:bCs w:val="0"/>
                <w:noProof/>
              </w:rPr>
            </w:pPr>
            <w:r w:rsidRPr="00D33A26">
              <w:rPr>
                <w:rFonts w:cs="Calibri"/>
                <w:noProof/>
                <w:color w:val="000000"/>
              </w:rPr>
              <w:t xml:space="preserve">Decommitments made available </w:t>
            </w:r>
            <w:r w:rsidRPr="0094543A">
              <w:rPr>
                <w:rFonts w:cs="Calibri"/>
                <w:noProof/>
                <w:color w:val="000000"/>
              </w:rPr>
              <w:t>again</w:t>
            </w:r>
            <w:r w:rsidRPr="0094543A">
              <w:rPr>
                <w:rFonts w:ascii="Calibri" w:hAnsi="Calibri" w:cs="Calibri"/>
                <w:noProof/>
                <w:color w:val="000000"/>
              </w:rPr>
              <w:t> </w:t>
            </w:r>
            <w:r w:rsidRPr="003D7405">
              <w:rPr>
                <w:rFonts w:cs="Calibri"/>
                <w:noProof/>
                <w:color w:val="000000"/>
              </w:rPr>
              <w:t>(</w:t>
            </w:r>
            <w:r w:rsidRPr="0094543A">
              <w:rPr>
                <w:rFonts w:cs="Calibri"/>
                <w:noProof/>
                <w:color w:val="000000"/>
              </w:rPr>
              <w:t>**)</w:t>
            </w:r>
          </w:p>
        </w:tc>
        <w:tc>
          <w:tcPr>
            <w:tcW w:w="2610" w:type="dxa"/>
            <w:vAlign w:val="bottom"/>
          </w:tcPr>
          <w:p w14:paraId="6B773A99" w14:textId="7A5ACD57" w:rsidR="009B62E0" w:rsidRPr="00214876" w:rsidRDefault="009B62E0" w:rsidP="00AF1C52">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Pr>
                <w:rFonts w:cs="Calibri"/>
                <w:noProof/>
                <w:color w:val="000000"/>
              </w:rPr>
              <w:t>N/A</w:t>
            </w:r>
          </w:p>
        </w:tc>
      </w:tr>
      <w:tr w:rsidR="009B62E0" w:rsidRPr="00214876" w14:paraId="45C8D4EF" w14:textId="77777777" w:rsidTr="00AF1C52">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794D4E55" w14:textId="77777777" w:rsidR="009B62E0" w:rsidRPr="00214876" w:rsidRDefault="009B62E0" w:rsidP="00AF1C52">
            <w:pPr>
              <w:spacing w:before="120" w:after="120"/>
              <w:rPr>
                <w:noProof/>
              </w:rPr>
            </w:pPr>
            <w:r w:rsidRPr="00214876">
              <w:rPr>
                <w:rFonts w:cs="Calibri"/>
                <w:noProof/>
                <w:color w:val="000000"/>
              </w:rPr>
              <w:t>Contributions from other countries and entities</w:t>
            </w:r>
          </w:p>
        </w:tc>
        <w:tc>
          <w:tcPr>
            <w:tcW w:w="2610" w:type="dxa"/>
            <w:vAlign w:val="bottom"/>
          </w:tcPr>
          <w:p w14:paraId="25C305F8" w14:textId="77777777" w:rsidR="009B62E0" w:rsidRPr="00214876" w:rsidRDefault="009B62E0" w:rsidP="00AF1C52">
            <w:pPr>
              <w:spacing w:before="120" w:after="120"/>
              <w:jc w:val="center"/>
              <w:cnfStyle w:val="000000000000" w:firstRow="0" w:lastRow="0" w:firstColumn="0" w:lastColumn="0" w:oddVBand="0" w:evenVBand="0" w:oddHBand="0" w:evenHBand="0" w:firstRowFirstColumn="0" w:firstRowLastColumn="0" w:lastRowFirstColumn="0" w:lastRowLastColumn="0"/>
              <w:rPr>
                <w:noProof/>
              </w:rPr>
            </w:pPr>
            <w:r>
              <w:rPr>
                <w:rFonts w:cs="Calibri"/>
                <w:noProof/>
                <w:color w:val="000000"/>
              </w:rPr>
              <w:t>0</w:t>
            </w:r>
          </w:p>
        </w:tc>
      </w:tr>
      <w:tr w:rsidR="009B62E0" w:rsidRPr="00214876" w14:paraId="4E711C44" w14:textId="77777777" w:rsidTr="00AF1C5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CFCFC" w:themeFill="background2" w:themeFillTint="33"/>
            <w:vAlign w:val="bottom"/>
          </w:tcPr>
          <w:p w14:paraId="449DA67F" w14:textId="320B6F8B" w:rsidR="009B62E0" w:rsidRPr="00214876" w:rsidRDefault="009B62E0" w:rsidP="00AF1C52">
            <w:pPr>
              <w:spacing w:before="120" w:after="120"/>
              <w:rPr>
                <w:noProof/>
              </w:rPr>
            </w:pPr>
            <w:r>
              <w:rPr>
                <w:rFonts w:cs="Calibri"/>
                <w:noProof/>
                <w:color w:val="000000"/>
              </w:rPr>
              <w:t>T</w:t>
            </w:r>
            <w:r w:rsidRPr="00214876">
              <w:rPr>
                <w:rFonts w:cs="Calibri"/>
                <w:noProof/>
                <w:color w:val="000000"/>
              </w:rPr>
              <w:t xml:space="preserve">otal budget </w:t>
            </w:r>
            <w:r>
              <w:rPr>
                <w:rFonts w:cs="Calibri"/>
                <w:noProof/>
                <w:color w:val="000000"/>
              </w:rPr>
              <w:t xml:space="preserve">for </w:t>
            </w:r>
            <w:r w:rsidRPr="00214876">
              <w:rPr>
                <w:rFonts w:cs="Calibri"/>
                <w:noProof/>
                <w:color w:val="000000"/>
              </w:rPr>
              <w:t>2021-2027</w:t>
            </w:r>
            <w:r w:rsidR="00953EFF">
              <w:rPr>
                <w:rFonts w:cs="Calibri"/>
                <w:noProof/>
                <w:color w:val="000000"/>
              </w:rPr>
              <w:t xml:space="preserve"> (***)</w:t>
            </w:r>
          </w:p>
        </w:tc>
        <w:tc>
          <w:tcPr>
            <w:tcW w:w="2610" w:type="dxa"/>
            <w:shd w:val="clear" w:color="auto" w:fill="FCFCFC" w:themeFill="background2" w:themeFillTint="33"/>
            <w:vAlign w:val="bottom"/>
          </w:tcPr>
          <w:p w14:paraId="6F092F86" w14:textId="77777777" w:rsidR="009B62E0" w:rsidRPr="007C0B51" w:rsidRDefault="009B62E0" w:rsidP="00AF1C52">
            <w:pPr>
              <w:spacing w:before="120" w:after="120"/>
              <w:jc w:val="center"/>
              <w:cnfStyle w:val="000000100000" w:firstRow="0" w:lastRow="0" w:firstColumn="0" w:lastColumn="0" w:oddVBand="0" w:evenVBand="0" w:oddHBand="1" w:evenHBand="0" w:firstRowFirstColumn="0" w:firstRowLastColumn="0" w:lastRowFirstColumn="0" w:lastRowLastColumn="0"/>
              <w:rPr>
                <w:b/>
                <w:bCs/>
                <w:noProof/>
              </w:rPr>
            </w:pPr>
            <w:r w:rsidRPr="00347C4F">
              <w:rPr>
                <w:rFonts w:cs="Calibri"/>
                <w:b/>
                <w:bCs/>
                <w:noProof/>
                <w:color w:val="000000"/>
              </w:rPr>
              <w:t>491</w:t>
            </w:r>
            <w:r>
              <w:rPr>
                <w:rFonts w:ascii="Calibri" w:hAnsi="Calibri" w:cs="Calibri"/>
                <w:noProof/>
                <w:color w:val="000000"/>
              </w:rPr>
              <w:t> </w:t>
            </w:r>
            <w:r>
              <w:rPr>
                <w:rFonts w:cs="Calibri"/>
                <w:b/>
                <w:bCs/>
                <w:noProof/>
                <w:color w:val="000000"/>
              </w:rPr>
              <w:t>845</w:t>
            </w:r>
            <w:r w:rsidRPr="00347C4F">
              <w:rPr>
                <w:rFonts w:cs="Calibri"/>
                <w:b/>
                <w:bCs/>
                <w:noProof/>
                <w:color w:val="000000"/>
              </w:rPr>
              <w:t>.</w:t>
            </w:r>
            <w:r>
              <w:rPr>
                <w:rFonts w:cs="Calibri"/>
                <w:b/>
                <w:bCs/>
                <w:noProof/>
                <w:color w:val="000000"/>
              </w:rPr>
              <w:t>2</w:t>
            </w:r>
          </w:p>
        </w:tc>
      </w:tr>
    </w:tbl>
    <w:p w14:paraId="3AA9A5AD" w14:textId="77777777" w:rsidR="00A4351B" w:rsidRDefault="00A4351B" w:rsidP="00A4351B">
      <w:pPr>
        <w:pStyle w:val="FootnoteText"/>
        <w:rPr>
          <w:rFonts w:eastAsiaTheme="minorEastAsia"/>
          <w:noProof/>
        </w:rPr>
      </w:pPr>
      <w:r>
        <w:rPr>
          <w:rFonts w:eastAsiaTheme="minorEastAsia"/>
          <w:noProof/>
        </w:rPr>
        <w:t xml:space="preserve">(*) </w:t>
      </w:r>
      <w:r>
        <w:rPr>
          <w:rFonts w:eastAsiaTheme="minorEastAsia"/>
          <w:noProof/>
        </w:rPr>
        <w:tab/>
      </w:r>
      <w:r>
        <w:rPr>
          <w:noProof/>
        </w:rPr>
        <w:t>Loans committed in 2021 for adopted plans</w:t>
      </w:r>
      <w:r>
        <w:rPr>
          <w:rFonts w:ascii="Times New Roman" w:hAnsi="Times New Roman"/>
          <w:noProof/>
        </w:rPr>
        <w:t xml:space="preserve">. </w:t>
      </w:r>
      <w:r>
        <w:rPr>
          <w:noProof/>
        </w:rPr>
        <w:t>The available budget for 2021-27 for loans is EUR 385 855.2</w:t>
      </w:r>
    </w:p>
    <w:p w14:paraId="1945C267" w14:textId="77777777" w:rsidR="00A4351B" w:rsidRDefault="00A4351B" w:rsidP="00A4351B">
      <w:pPr>
        <w:pStyle w:val="FootnoteText"/>
        <w:rPr>
          <w:rFonts w:eastAsiaTheme="minorEastAsia"/>
          <w:noProof/>
        </w:rPr>
      </w:pPr>
      <w:r>
        <w:rPr>
          <w:rFonts w:eastAsiaTheme="minorEastAsia"/>
          <w:noProof/>
        </w:rPr>
        <w:t xml:space="preserve">(**) </w:t>
      </w:r>
      <w:r>
        <w:rPr>
          <w:rFonts w:eastAsiaTheme="minorEastAsia"/>
          <w:noProof/>
        </w:rPr>
        <w:tab/>
        <w:t>Only A</w:t>
      </w:r>
      <w:r w:rsidRPr="08E98174">
        <w:rPr>
          <w:rFonts w:eastAsiaTheme="minorEastAsia"/>
          <w:noProof/>
        </w:rPr>
        <w:t>rticle</w:t>
      </w:r>
      <w:r>
        <w:rPr>
          <w:rFonts w:ascii="Calibri" w:eastAsiaTheme="minorEastAsia" w:hAnsi="Calibri" w:cs="Calibri"/>
          <w:noProof/>
        </w:rPr>
        <w:t> </w:t>
      </w:r>
      <w:r w:rsidRPr="08E98174">
        <w:rPr>
          <w:rFonts w:eastAsiaTheme="minorEastAsia"/>
          <w:noProof/>
        </w:rPr>
        <w:t xml:space="preserve">15(3) </w:t>
      </w:r>
      <w:r>
        <w:rPr>
          <w:rFonts w:eastAsiaTheme="minorEastAsia"/>
          <w:noProof/>
        </w:rPr>
        <w:t>of the f</w:t>
      </w:r>
      <w:r w:rsidRPr="08E98174">
        <w:rPr>
          <w:rFonts w:eastAsiaTheme="minorEastAsia"/>
          <w:noProof/>
        </w:rPr>
        <w:t xml:space="preserve">inancial </w:t>
      </w:r>
      <w:r>
        <w:rPr>
          <w:rFonts w:eastAsiaTheme="minorEastAsia"/>
          <w:noProof/>
        </w:rPr>
        <w:t>r</w:t>
      </w:r>
      <w:r w:rsidRPr="08E98174">
        <w:rPr>
          <w:rFonts w:eastAsiaTheme="minorEastAsia"/>
          <w:noProof/>
        </w:rPr>
        <w:t>egulation</w:t>
      </w:r>
      <w:r>
        <w:rPr>
          <w:rFonts w:eastAsiaTheme="minorEastAsia"/>
          <w:noProof/>
        </w:rPr>
        <w:t>.</w:t>
      </w:r>
    </w:p>
    <w:p w14:paraId="243FBA1E" w14:textId="77777777" w:rsidR="00A4351B" w:rsidRPr="007C0B51" w:rsidRDefault="00A4351B" w:rsidP="00A4351B">
      <w:pPr>
        <w:pStyle w:val="FootnoteText"/>
        <w:rPr>
          <w:rFonts w:eastAsiaTheme="minorEastAsia"/>
          <w:noProof/>
        </w:rPr>
      </w:pPr>
      <w:r w:rsidRPr="00953EFF">
        <w:rPr>
          <w:rFonts w:eastAsiaTheme="minorEastAsia"/>
          <w:noProof/>
        </w:rPr>
        <w:t>(***) The total available budget for 2021-27 includes loans committed in 2021 for adopted plans. This total will be update</w:t>
      </w:r>
      <w:r>
        <w:rPr>
          <w:rFonts w:eastAsiaTheme="minorEastAsia"/>
          <w:noProof/>
        </w:rPr>
        <w:t>d</w:t>
      </w:r>
      <w:r w:rsidRPr="00953EFF">
        <w:rPr>
          <w:rFonts w:eastAsiaTheme="minorEastAsia"/>
          <w:noProof/>
        </w:rPr>
        <w:t xml:space="preserve"> yearly if loans are committed in subsequent years.</w:t>
      </w:r>
    </w:p>
    <w:p w14:paraId="3D9D0396" w14:textId="4719F340" w:rsidR="009B62E0" w:rsidRPr="00040D99" w:rsidRDefault="009B62E0" w:rsidP="009B62E0">
      <w:pPr>
        <w:pStyle w:val="ppoHeading5"/>
        <w:rPr>
          <w:noProof/>
        </w:rPr>
      </w:pPr>
      <w:r w:rsidRPr="00AB75F3">
        <w:rPr>
          <w:noProof/>
        </w:rPr>
        <w:t>Rationale and design of the</w:t>
      </w:r>
      <w:r w:rsidRPr="00040D99">
        <w:rPr>
          <w:noProof/>
        </w:rPr>
        <w:t xml:space="preserve"> programme</w:t>
      </w:r>
    </w:p>
    <w:p w14:paraId="4B9F6603" w14:textId="04FF2CE8" w:rsidR="009B62E0" w:rsidRPr="00AB75F3" w:rsidRDefault="009B62E0" w:rsidP="009B62E0">
      <w:pPr>
        <w:rPr>
          <w:noProof/>
        </w:rPr>
      </w:pPr>
      <w:r w:rsidRPr="00AB75F3">
        <w:rPr>
          <w:noProof/>
        </w:rPr>
        <w:t xml:space="preserve">The Recovery and Resilience Facility </w:t>
      </w:r>
      <w:r>
        <w:rPr>
          <w:noProof/>
        </w:rPr>
        <w:t xml:space="preserve">(RRF) </w:t>
      </w:r>
      <w:r w:rsidRPr="00AB75F3">
        <w:rPr>
          <w:noProof/>
        </w:rPr>
        <w:t xml:space="preserve">is a </w:t>
      </w:r>
      <w:r w:rsidR="00901F8B">
        <w:rPr>
          <w:noProof/>
        </w:rPr>
        <w:t xml:space="preserve">funding programme with the objective to promote cohesion by </w:t>
      </w:r>
      <w:r w:rsidRPr="00AB75F3">
        <w:rPr>
          <w:noProof/>
        </w:rPr>
        <w:t>mitigat</w:t>
      </w:r>
      <w:r w:rsidR="00901F8B">
        <w:rPr>
          <w:noProof/>
        </w:rPr>
        <w:t>ing</w:t>
      </w:r>
      <w:r w:rsidRPr="00AB75F3">
        <w:rPr>
          <w:noProof/>
        </w:rPr>
        <w:t xml:space="preserve"> the economic and social impact of the </w:t>
      </w:r>
      <w:r w:rsidR="00901F8B" w:rsidRPr="009610C7">
        <w:rPr>
          <w:noProof/>
        </w:rPr>
        <w:t>COVID-19 crisis</w:t>
      </w:r>
      <w:r w:rsidR="00901F8B">
        <w:rPr>
          <w:noProof/>
        </w:rPr>
        <w:t xml:space="preserve"> </w:t>
      </w:r>
      <w:r w:rsidRPr="00AB75F3">
        <w:rPr>
          <w:noProof/>
        </w:rPr>
        <w:t>and make E</w:t>
      </w:r>
      <w:r>
        <w:rPr>
          <w:noProof/>
        </w:rPr>
        <w:t>U</w:t>
      </w:r>
      <w:r w:rsidRPr="00AB75F3">
        <w:rPr>
          <w:noProof/>
        </w:rPr>
        <w:t xml:space="preserve"> economies and societies more sustainable, resilient and better prepared for the challenges and opportunities of the green and digital transitions</w:t>
      </w:r>
      <w:r w:rsidRPr="00065937">
        <w:rPr>
          <w:noProof/>
        </w:rPr>
        <w:t>.</w:t>
      </w:r>
    </w:p>
    <w:p w14:paraId="3D1956BC" w14:textId="77777777" w:rsidR="009B62E0" w:rsidRPr="00040D99" w:rsidRDefault="009B62E0" w:rsidP="009B62E0">
      <w:pPr>
        <w:pStyle w:val="ppoHeading6"/>
        <w:rPr>
          <w:noProof/>
        </w:rPr>
      </w:pPr>
      <w:r w:rsidRPr="00040D99">
        <w:rPr>
          <w:noProof/>
        </w:rPr>
        <w:t>Challenge</w:t>
      </w:r>
    </w:p>
    <w:p w14:paraId="10213561" w14:textId="77777777" w:rsidR="009B62E0" w:rsidRDefault="009B62E0" w:rsidP="009B62E0">
      <w:pPr>
        <w:rPr>
          <w:noProof/>
        </w:rPr>
      </w:pPr>
      <w:r>
        <w:rPr>
          <w:noProof/>
        </w:rPr>
        <w:t>The COVID-19 pandemic necessitated an urgent and coordinated response both at the EU level and the national level, in order to respond to the enormous economic and social consequences (as well as asymmetrical effects</w:t>
      </w:r>
      <w:r>
        <w:rPr>
          <w:rFonts w:ascii="Calibri" w:hAnsi="Calibri" w:cs="Calibri"/>
          <w:noProof/>
        </w:rPr>
        <w:t>)</w:t>
      </w:r>
      <w:r>
        <w:rPr>
          <w:noProof/>
        </w:rPr>
        <w:t xml:space="preserve"> for the Member States, which would have led to higher divergences and inequalities in the EU. </w:t>
      </w:r>
    </w:p>
    <w:p w14:paraId="65097DDD" w14:textId="77777777" w:rsidR="009B62E0" w:rsidRDefault="009B62E0" w:rsidP="009B62E0">
      <w:pPr>
        <w:rPr>
          <w:noProof/>
        </w:rPr>
      </w:pPr>
      <w:r>
        <w:rPr>
          <w:noProof/>
        </w:rPr>
        <w:t xml:space="preserve">NextGenerationEU, the EU recovery instrument, supports the EU’s recovery from the COVID-19 crisis and strengthens resilience against future shocks. The RRF is its centrepiece as an unprecedented EU programme for an unprecedented time. The RRF provides a mid- to long-term response to help the recovery and build institutional capacity through reforms and investments to be implemented by the Member States until 2026, with an impact lasting well beyond this period. </w:t>
      </w:r>
    </w:p>
    <w:p w14:paraId="382E66E5" w14:textId="77777777" w:rsidR="009B62E0" w:rsidRDefault="009B62E0" w:rsidP="009B62E0">
      <w:pPr>
        <w:rPr>
          <w:noProof/>
        </w:rPr>
      </w:pPr>
      <w:r>
        <w:rPr>
          <w:noProof/>
        </w:rPr>
        <w:t>The crisis is likely to have different long-term effects on Member States, depending on their starting position, the severity of their pandemic situations, their economic resilience and their ability to take adequate measures on their own. The medium- and long-term consequences of the COVID-19 crisis critically depend on how quickly Member State economies and societies will recover from the COVID-19 crisis, which in turn depends on the available fiscal space of Member States to take measures to mitigate the social and economic impact of the crisis</w:t>
      </w:r>
      <w:r>
        <w:rPr>
          <w:rFonts w:ascii="Calibri" w:hAnsi="Calibri" w:cs="Calibri"/>
          <w:noProof/>
        </w:rPr>
        <w:t> –</w:t>
      </w:r>
      <w:r>
        <w:rPr>
          <w:noProof/>
        </w:rPr>
        <w:t xml:space="preserve"> and on the resilience of their economies and social structures. </w:t>
      </w:r>
    </w:p>
    <w:p w14:paraId="672E3056" w14:textId="77777777" w:rsidR="009B62E0" w:rsidRDefault="009B62E0" w:rsidP="009B62E0">
      <w:pPr>
        <w:rPr>
          <w:noProof/>
        </w:rPr>
      </w:pPr>
      <w:r>
        <w:rPr>
          <w:noProof/>
        </w:rPr>
        <w:t xml:space="preserve">Sustainable and growth-enhancing reforms and investments are essential to set the Member State economies back on track and reduce inequalities and divergences in the EU. </w:t>
      </w:r>
    </w:p>
    <w:p w14:paraId="72014894" w14:textId="77777777" w:rsidR="009B62E0" w:rsidRDefault="009B62E0" w:rsidP="009B62E0">
      <w:pPr>
        <w:rPr>
          <w:noProof/>
        </w:rPr>
      </w:pPr>
      <w:r>
        <w:rPr>
          <w:noProof/>
        </w:rPr>
        <w:t>An initiative of the scale of the RRF must be forward looking: the RRF aims not just to rebuild the EU economy and strengthen resilience, but also to ensure a sustainable recovery that mitigates the economic and social impact of the crisis and advances the green and digital transitions, all while fostering economic convergence and resilience.</w:t>
      </w:r>
    </w:p>
    <w:p w14:paraId="364A40D7" w14:textId="77777777" w:rsidR="009B62E0" w:rsidRPr="00040D99" w:rsidRDefault="009B62E0" w:rsidP="009B62E0">
      <w:pPr>
        <w:pStyle w:val="ppoHeading6"/>
        <w:rPr>
          <w:noProof/>
        </w:rPr>
      </w:pPr>
      <w:r w:rsidRPr="00040D99">
        <w:rPr>
          <w:noProof/>
        </w:rPr>
        <w:t>Mission</w:t>
      </w:r>
    </w:p>
    <w:p w14:paraId="59A6414F" w14:textId="77777777" w:rsidR="009B62E0" w:rsidRDefault="009B62E0" w:rsidP="009B62E0">
      <w:pPr>
        <w:rPr>
          <w:noProof/>
        </w:rPr>
      </w:pPr>
      <w:r>
        <w:rPr>
          <w:noProof/>
        </w:rPr>
        <w:t>As the centrepiece of the NextGenerationEU, the RRF promotes economic, social and territorial cohesion, job creation and sustainable growth, as well as resilience and preparedness for the future. It offers large-scale financial support for public investments and reforms across the fields of public policy signified by the six pillars of Article</w:t>
      </w:r>
      <w:r>
        <w:rPr>
          <w:rFonts w:ascii="Calibri" w:hAnsi="Calibri" w:cs="Calibri"/>
          <w:noProof/>
        </w:rPr>
        <w:t> </w:t>
      </w:r>
      <w:r>
        <w:rPr>
          <w:noProof/>
        </w:rPr>
        <w:t xml:space="preserve">3 of the RRF regulation: green transition; digital transformation; smart, sustainable and inclusive growth; social and territorial cohesion; health, and economic, social and institutional resilience; and policies for the next generation, children and youth. Indirectly, the RRF also provides funding for private investments, channelled through public schemes. </w:t>
      </w:r>
    </w:p>
    <w:p w14:paraId="5A245F4C" w14:textId="77777777" w:rsidR="009B62E0" w:rsidRDefault="009B62E0" w:rsidP="009B62E0">
      <w:pPr>
        <w:rPr>
          <w:noProof/>
        </w:rPr>
      </w:pPr>
      <w:r>
        <w:rPr>
          <w:noProof/>
        </w:rPr>
        <w:t xml:space="preserve">Crucially, at least 37% and 20% of the financial allocation of each Member State will respectively support green and digital investment and reforms. </w:t>
      </w:r>
    </w:p>
    <w:p w14:paraId="4068BA28" w14:textId="77777777" w:rsidR="009B62E0" w:rsidRDefault="009B62E0" w:rsidP="009B62E0">
      <w:pPr>
        <w:rPr>
          <w:noProof/>
        </w:rPr>
      </w:pPr>
      <w:r>
        <w:rPr>
          <w:noProof/>
        </w:rPr>
        <w:t>The RRF is financed through EU borrowing as set out in Regulation (EU)</w:t>
      </w:r>
      <w:r>
        <w:rPr>
          <w:rFonts w:ascii="Calibri" w:hAnsi="Calibri" w:cs="Calibri"/>
          <w:noProof/>
        </w:rPr>
        <w:t> </w:t>
      </w:r>
      <w:r>
        <w:rPr>
          <w:noProof/>
        </w:rPr>
        <w:t>2020/2094 (the ‘EURI regulation’). Payments to Member States can take place up to 31</w:t>
      </w:r>
      <w:r>
        <w:rPr>
          <w:rFonts w:ascii="Calibri" w:hAnsi="Calibri" w:cs="Calibri"/>
          <w:noProof/>
        </w:rPr>
        <w:t> </w:t>
      </w:r>
      <w:r>
        <w:rPr>
          <w:noProof/>
        </w:rPr>
        <w:t>December 2026 for both non-repayable financial support and loan support. Budgetary commitments will be made upon approval of the plans by the Council and the signature of the financing and (where relevant) loan agreements, as well as an operational arrangement detailing monitoring mechanisms, with the respective Member State. Payments will be made once the Member State satisfactorily fulfils the related milestones and targets and can be disbursed up to twice per year.</w:t>
      </w:r>
    </w:p>
    <w:p w14:paraId="0CBA5851" w14:textId="77777777" w:rsidR="009B62E0" w:rsidRPr="00040D99" w:rsidRDefault="009B62E0" w:rsidP="009B62E0">
      <w:pPr>
        <w:pStyle w:val="ppoHeading6"/>
        <w:rPr>
          <w:noProof/>
        </w:rPr>
      </w:pPr>
      <w:r w:rsidRPr="00040D99">
        <w:rPr>
          <w:noProof/>
        </w:rPr>
        <w:t>Objectives</w:t>
      </w:r>
    </w:p>
    <w:p w14:paraId="63DACF59" w14:textId="4C6A7CD3" w:rsidR="009B62E0" w:rsidRDefault="009B62E0" w:rsidP="009B62E0">
      <w:pPr>
        <w:rPr>
          <w:noProof/>
        </w:rPr>
      </w:pPr>
      <w:r>
        <w:rPr>
          <w:noProof/>
        </w:rPr>
        <w:t xml:space="preserve">The specific objective of the RRF is to provide Member States with financial support. Each Member State submits a Recovery and Resilience Plan (RRP) detailing reforms and investments it </w:t>
      </w:r>
      <w:r w:rsidR="00901F8B">
        <w:rPr>
          <w:noProof/>
        </w:rPr>
        <w:t xml:space="preserve">plans </w:t>
      </w:r>
      <w:r>
        <w:rPr>
          <w:noProof/>
        </w:rPr>
        <w:t>to implement. Each disbursement is subject to the Member State’s satisfactory fulfilment of a set of milestones and targets, which in turn are linked to the specific reforms and investments set out in the RRP.</w:t>
      </w:r>
    </w:p>
    <w:p w14:paraId="5C5184D0" w14:textId="77777777" w:rsidR="009B62E0" w:rsidRPr="00040D99" w:rsidRDefault="009B62E0" w:rsidP="009B62E0">
      <w:pPr>
        <w:pStyle w:val="ppoHeading6"/>
        <w:rPr>
          <w:noProof/>
        </w:rPr>
      </w:pPr>
      <w:r w:rsidRPr="00040D99">
        <w:rPr>
          <w:noProof/>
        </w:rPr>
        <w:t>Actions</w:t>
      </w:r>
    </w:p>
    <w:p w14:paraId="3E610697" w14:textId="77777777" w:rsidR="009B62E0" w:rsidRDefault="009B62E0" w:rsidP="009B62E0">
      <w:pPr>
        <w:rPr>
          <w:noProof/>
        </w:rPr>
      </w:pPr>
      <w:r>
        <w:rPr>
          <w:noProof/>
        </w:rPr>
        <w:t>The RRF will provide non-repayable financial support (‘grants’) as well as repayable financial support (loans) to Member States to support the public investments and reforms set out in the national RRPs.</w:t>
      </w:r>
    </w:p>
    <w:p w14:paraId="2B469F54" w14:textId="77777777" w:rsidR="009B62E0" w:rsidRPr="00040D99" w:rsidRDefault="009B62E0" w:rsidP="009B62E0">
      <w:pPr>
        <w:pStyle w:val="ppoHeading6"/>
        <w:rPr>
          <w:noProof/>
        </w:rPr>
      </w:pPr>
      <w:r w:rsidRPr="00040D99">
        <w:rPr>
          <w:noProof/>
        </w:rPr>
        <w:t>Delivery mode</w:t>
      </w:r>
    </w:p>
    <w:p w14:paraId="4F5B3680" w14:textId="77777777" w:rsidR="009B62E0" w:rsidRDefault="009B62E0" w:rsidP="009B62E0">
      <w:pPr>
        <w:rPr>
          <w:noProof/>
        </w:rPr>
      </w:pPr>
      <w:r>
        <w:rPr>
          <w:noProof/>
        </w:rPr>
        <w:t>The RRF will be implemented by the Commission in direct management in accordance with the financial regulation.</w:t>
      </w:r>
    </w:p>
    <w:p w14:paraId="7946B64C" w14:textId="77777777" w:rsidR="009B62E0" w:rsidRPr="00040D99" w:rsidRDefault="009B62E0" w:rsidP="009B62E0">
      <w:pPr>
        <w:pStyle w:val="ppoHeading6"/>
        <w:rPr>
          <w:noProof/>
        </w:rPr>
      </w:pPr>
      <w:r>
        <w:rPr>
          <w:noProof/>
        </w:rPr>
        <w:t>LINK TO THE 2014-2020 MULTIANNUAL FINANCIAL FRAMEWORK</w:t>
      </w:r>
    </w:p>
    <w:p w14:paraId="28CC6DBC" w14:textId="77777777" w:rsidR="009B62E0" w:rsidRDefault="009B62E0" w:rsidP="009B62E0">
      <w:pPr>
        <w:rPr>
          <w:noProof/>
        </w:rPr>
      </w:pPr>
      <w:r>
        <w:rPr>
          <w:noProof/>
        </w:rPr>
        <w:t>The RRF is a novel instrument</w:t>
      </w:r>
      <w:r>
        <w:rPr>
          <w:rFonts w:ascii="Calibri" w:hAnsi="Calibri" w:cs="Calibri"/>
          <w:noProof/>
        </w:rPr>
        <w:t> –</w:t>
      </w:r>
      <w:r>
        <w:rPr>
          <w:noProof/>
        </w:rPr>
        <w:t xml:space="preserve"> indeed a historic one. As such, there are no precursors for it in the 2014-2020 multinational financial framework.</w:t>
      </w:r>
    </w:p>
    <w:p w14:paraId="459A7CF8" w14:textId="77777777" w:rsidR="009B62E0" w:rsidRPr="00040D99" w:rsidRDefault="009B62E0" w:rsidP="009B62E0">
      <w:pPr>
        <w:pStyle w:val="ppoHeading6"/>
        <w:rPr>
          <w:noProof/>
        </w:rPr>
      </w:pPr>
      <w:r w:rsidRPr="00040D99">
        <w:rPr>
          <w:noProof/>
        </w:rPr>
        <w:t>Impact assessment</w:t>
      </w:r>
    </w:p>
    <w:p w14:paraId="52B90E5C" w14:textId="77777777" w:rsidR="009B62E0" w:rsidRPr="00040D99" w:rsidRDefault="009B62E0" w:rsidP="009B62E0">
      <w:pPr>
        <w:pStyle w:val="ppoHeading6"/>
        <w:rPr>
          <w:noProof/>
        </w:rPr>
      </w:pPr>
      <w:r>
        <w:rPr>
          <w:noProof/>
        </w:rPr>
        <w:t>WEBSITE FOR more information</w:t>
      </w:r>
    </w:p>
    <w:p w14:paraId="2068B837" w14:textId="77777777" w:rsidR="009B62E0" w:rsidRDefault="009B62E0" w:rsidP="009B62E0">
      <w:pPr>
        <w:rPr>
          <w:rStyle w:val="Hyperlink"/>
          <w:noProof/>
          <w:lang w:val="en-IE"/>
        </w:rPr>
      </w:pPr>
      <w:r>
        <w:rPr>
          <w:noProof/>
        </w:rPr>
        <w:t xml:space="preserve">RRF website: </w:t>
      </w:r>
      <w:hyperlink r:id="rId219" w:history="1">
        <w:r w:rsidRPr="007C0B51">
          <w:rPr>
            <w:rStyle w:val="Hyperlink"/>
            <w:noProof/>
          </w:rPr>
          <w:t>https://europa.eu/!jt78Jr</w:t>
        </w:r>
      </w:hyperlink>
    </w:p>
    <w:p w14:paraId="6C6FD2D2" w14:textId="77777777" w:rsidR="009B62E0" w:rsidRPr="00AD4F1B" w:rsidRDefault="009B62E0" w:rsidP="009B62E0">
      <w:pPr>
        <w:rPr>
          <w:noProof/>
        </w:rPr>
      </w:pPr>
      <w:r>
        <w:rPr>
          <w:noProof/>
        </w:rPr>
        <w:t xml:space="preserve">Recovery and resilience scoreboard: </w:t>
      </w:r>
      <w:hyperlink r:id="rId220" w:history="1">
        <w:r w:rsidRPr="00AD4F1B">
          <w:rPr>
            <w:rStyle w:val="Hyperlink"/>
            <w:noProof/>
          </w:rPr>
          <w:t>https://ec.europa.eu/economy_finance/recovery-and-resilience-scoreboard/index.html</w:t>
        </w:r>
      </w:hyperlink>
    </w:p>
    <w:p w14:paraId="18F7AF03" w14:textId="77777777" w:rsidR="009B62E0" w:rsidRPr="00AB75F3" w:rsidRDefault="009B62E0" w:rsidP="009B62E0">
      <w:pPr>
        <w:pStyle w:val="ppoHeading5"/>
        <w:rPr>
          <w:noProof/>
        </w:rPr>
      </w:pPr>
      <w:r w:rsidRPr="00AB75F3">
        <w:rPr>
          <w:noProof/>
        </w:rPr>
        <w:t>Legal Bas</w:t>
      </w:r>
      <w:r>
        <w:rPr>
          <w:noProof/>
        </w:rPr>
        <w:t>is</w:t>
      </w:r>
    </w:p>
    <w:p w14:paraId="7101CF24" w14:textId="77777777" w:rsidR="009B62E0" w:rsidRDefault="009B62E0" w:rsidP="009B62E0">
      <w:pPr>
        <w:rPr>
          <w:noProof/>
        </w:rPr>
      </w:pPr>
      <w:r w:rsidRPr="00AB75F3">
        <w:rPr>
          <w:noProof/>
        </w:rPr>
        <w:t>Regulation (EU)</w:t>
      </w:r>
      <w:r>
        <w:rPr>
          <w:rFonts w:ascii="Calibri" w:hAnsi="Calibri" w:cs="Calibri"/>
          <w:noProof/>
        </w:rPr>
        <w:t> </w:t>
      </w:r>
      <w:r w:rsidRPr="00AB75F3">
        <w:rPr>
          <w:noProof/>
        </w:rPr>
        <w:t>2021/241 of the</w:t>
      </w:r>
      <w:r w:rsidRPr="00902DD0">
        <w:rPr>
          <w:noProof/>
        </w:rPr>
        <w:t xml:space="preserve"> European Parliament and of the Council</w:t>
      </w:r>
      <w:r>
        <w:rPr>
          <w:noProof/>
        </w:rPr>
        <w:t>.</w:t>
      </w:r>
    </w:p>
    <w:p w14:paraId="6D749C19" w14:textId="77777777" w:rsidR="009B62E0" w:rsidRDefault="009B62E0" w:rsidP="009B62E0">
      <w:pPr>
        <w:rPr>
          <w:noProof/>
        </w:rPr>
      </w:pPr>
      <w:r>
        <w:rPr>
          <w:noProof/>
        </w:rPr>
        <w:t xml:space="preserve">Commission </w:t>
      </w:r>
      <w:r w:rsidRPr="005038D3">
        <w:rPr>
          <w:noProof/>
        </w:rPr>
        <w:t>Delegated Regulation</w:t>
      </w:r>
      <w:r>
        <w:rPr>
          <w:noProof/>
        </w:rPr>
        <w:t>s</w:t>
      </w:r>
      <w:r w:rsidRPr="005038D3">
        <w:rPr>
          <w:noProof/>
        </w:rPr>
        <w:t xml:space="preserve"> (EU)</w:t>
      </w:r>
      <w:r>
        <w:rPr>
          <w:rFonts w:ascii="Calibri" w:hAnsi="Calibri" w:cs="Calibri"/>
          <w:noProof/>
        </w:rPr>
        <w:t> </w:t>
      </w:r>
      <w:r w:rsidRPr="005038D3">
        <w:rPr>
          <w:noProof/>
        </w:rPr>
        <w:t xml:space="preserve">2021/2105 </w:t>
      </w:r>
      <w:r>
        <w:rPr>
          <w:noProof/>
        </w:rPr>
        <w:t xml:space="preserve">and </w:t>
      </w:r>
      <w:r w:rsidRPr="005038D3">
        <w:rPr>
          <w:noProof/>
        </w:rPr>
        <w:t>(EU)</w:t>
      </w:r>
      <w:r>
        <w:rPr>
          <w:rFonts w:ascii="Calibri" w:hAnsi="Calibri" w:cs="Calibri"/>
          <w:noProof/>
        </w:rPr>
        <w:t> </w:t>
      </w:r>
      <w:r w:rsidRPr="005038D3">
        <w:rPr>
          <w:noProof/>
        </w:rPr>
        <w:t>2021/2106</w:t>
      </w:r>
      <w:r>
        <w:rPr>
          <w:noProof/>
        </w:rPr>
        <w:t xml:space="preserve"> </w:t>
      </w:r>
      <w:r w:rsidRPr="005038D3">
        <w:rPr>
          <w:noProof/>
        </w:rPr>
        <w:t>supplementing Regulation (EU)</w:t>
      </w:r>
      <w:r>
        <w:rPr>
          <w:rFonts w:ascii="Calibri" w:hAnsi="Calibri" w:cs="Calibri"/>
          <w:noProof/>
        </w:rPr>
        <w:t> </w:t>
      </w:r>
      <w:r w:rsidRPr="005038D3">
        <w:rPr>
          <w:noProof/>
        </w:rPr>
        <w:t>2021/241</w:t>
      </w:r>
      <w:r>
        <w:rPr>
          <w:noProof/>
        </w:rPr>
        <w:t>.</w:t>
      </w:r>
    </w:p>
    <w:p w14:paraId="2D956D62" w14:textId="77777777" w:rsidR="009B62E0" w:rsidRPr="00040D99" w:rsidRDefault="009B62E0" w:rsidP="009B62E0">
      <w:pPr>
        <w:pStyle w:val="ppoHeading4Green"/>
        <w:rPr>
          <w:caps/>
          <w:noProof/>
        </w:rPr>
      </w:pPr>
      <w:r w:rsidRPr="00040D99">
        <w:rPr>
          <w:noProof/>
        </w:rPr>
        <w:t xml:space="preserve">Implementation and performance </w:t>
      </w:r>
    </w:p>
    <w:p w14:paraId="58921DA5" w14:textId="77777777" w:rsidR="009B62E0" w:rsidRPr="00040D99" w:rsidRDefault="009B62E0" w:rsidP="009B62E0">
      <w:pPr>
        <w:pStyle w:val="ppoHeading5"/>
        <w:rPr>
          <w:noProof/>
        </w:rPr>
      </w:pPr>
      <w:r w:rsidRPr="00040D99">
        <w:rPr>
          <w:noProof/>
        </w:rPr>
        <w:t>Budget Implementation</w:t>
      </w:r>
    </w:p>
    <w:p w14:paraId="788822FF" w14:textId="77777777" w:rsidR="009B62E0" w:rsidRPr="00040D99" w:rsidRDefault="009B62E0" w:rsidP="009B62E0">
      <w:pPr>
        <w:pStyle w:val="ppoTableTabletitle"/>
        <w:rPr>
          <w:noProof/>
        </w:rPr>
      </w:pPr>
      <w:r w:rsidRPr="00807AC3">
        <w:rPr>
          <w:noProof/>
        </w:rPr>
        <w:t>Budget programming</w:t>
      </w:r>
      <w:r>
        <w:rPr>
          <w:noProof/>
        </w:rPr>
        <w:t xml:space="preserve"> (million 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9B62E0" w:rsidRPr="00040D99" w14:paraId="5C8BB22D" w14:textId="77777777" w:rsidTr="00AF1C52">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19B38B99" w14:textId="77777777" w:rsidR="009B62E0" w:rsidRPr="00807AC3" w:rsidRDefault="009B62E0" w:rsidP="00AF1C52">
            <w:pPr>
              <w:rPr>
                <w:noProof/>
              </w:rPr>
            </w:pPr>
          </w:p>
        </w:tc>
        <w:tc>
          <w:tcPr>
            <w:tcW w:w="943" w:type="dxa"/>
            <w:noWrap/>
            <w:hideMark/>
          </w:tcPr>
          <w:p w14:paraId="17FF22E8" w14:textId="77777777" w:rsidR="009B62E0" w:rsidRPr="00807AC3" w:rsidRDefault="009B62E0" w:rsidP="00AF1C52">
            <w:pPr>
              <w:rPr>
                <w:noProof/>
              </w:rPr>
            </w:pPr>
            <w:r w:rsidRPr="00807AC3">
              <w:rPr>
                <w:noProof/>
              </w:rPr>
              <w:t>2021</w:t>
            </w:r>
          </w:p>
        </w:tc>
        <w:tc>
          <w:tcPr>
            <w:tcW w:w="944" w:type="dxa"/>
            <w:noWrap/>
            <w:hideMark/>
          </w:tcPr>
          <w:p w14:paraId="31EAEC35" w14:textId="77777777" w:rsidR="009B62E0" w:rsidRPr="00807AC3" w:rsidRDefault="009B62E0" w:rsidP="00AF1C52">
            <w:pPr>
              <w:rPr>
                <w:noProof/>
              </w:rPr>
            </w:pPr>
            <w:r w:rsidRPr="00807AC3">
              <w:rPr>
                <w:noProof/>
              </w:rPr>
              <w:t>2022</w:t>
            </w:r>
          </w:p>
        </w:tc>
        <w:tc>
          <w:tcPr>
            <w:tcW w:w="943" w:type="dxa"/>
            <w:noWrap/>
            <w:hideMark/>
          </w:tcPr>
          <w:p w14:paraId="1C748380" w14:textId="77777777" w:rsidR="009B62E0" w:rsidRPr="00807AC3" w:rsidRDefault="009B62E0" w:rsidP="00AF1C52">
            <w:pPr>
              <w:rPr>
                <w:noProof/>
              </w:rPr>
            </w:pPr>
            <w:r w:rsidRPr="00807AC3">
              <w:rPr>
                <w:noProof/>
              </w:rPr>
              <w:t>2023</w:t>
            </w:r>
          </w:p>
        </w:tc>
        <w:tc>
          <w:tcPr>
            <w:tcW w:w="944" w:type="dxa"/>
            <w:noWrap/>
            <w:hideMark/>
          </w:tcPr>
          <w:p w14:paraId="3CE57B99" w14:textId="77777777" w:rsidR="009B62E0" w:rsidRPr="00807AC3" w:rsidRDefault="009B62E0" w:rsidP="00AF1C52">
            <w:pPr>
              <w:rPr>
                <w:noProof/>
              </w:rPr>
            </w:pPr>
            <w:r w:rsidRPr="00807AC3">
              <w:rPr>
                <w:noProof/>
              </w:rPr>
              <w:t>2024</w:t>
            </w:r>
          </w:p>
        </w:tc>
        <w:tc>
          <w:tcPr>
            <w:tcW w:w="944" w:type="dxa"/>
            <w:noWrap/>
            <w:hideMark/>
          </w:tcPr>
          <w:p w14:paraId="4AC37BF7" w14:textId="77777777" w:rsidR="009B62E0" w:rsidRPr="00807AC3" w:rsidRDefault="009B62E0" w:rsidP="00AF1C52">
            <w:pPr>
              <w:rPr>
                <w:noProof/>
              </w:rPr>
            </w:pPr>
            <w:r w:rsidRPr="00807AC3">
              <w:rPr>
                <w:noProof/>
              </w:rPr>
              <w:t>2025</w:t>
            </w:r>
          </w:p>
        </w:tc>
        <w:tc>
          <w:tcPr>
            <w:tcW w:w="943" w:type="dxa"/>
            <w:noWrap/>
            <w:hideMark/>
          </w:tcPr>
          <w:p w14:paraId="48779556" w14:textId="77777777" w:rsidR="009B62E0" w:rsidRPr="00807AC3" w:rsidRDefault="009B62E0" w:rsidP="00AF1C52">
            <w:pPr>
              <w:rPr>
                <w:noProof/>
              </w:rPr>
            </w:pPr>
            <w:r w:rsidRPr="00807AC3">
              <w:rPr>
                <w:noProof/>
              </w:rPr>
              <w:t>2026</w:t>
            </w:r>
          </w:p>
        </w:tc>
        <w:tc>
          <w:tcPr>
            <w:tcW w:w="944" w:type="dxa"/>
            <w:noWrap/>
            <w:hideMark/>
          </w:tcPr>
          <w:p w14:paraId="2EA8DF95" w14:textId="77777777" w:rsidR="009B62E0" w:rsidRPr="00807AC3" w:rsidRDefault="009B62E0" w:rsidP="00AF1C52">
            <w:pPr>
              <w:rPr>
                <w:noProof/>
              </w:rPr>
            </w:pPr>
            <w:r w:rsidRPr="00807AC3">
              <w:rPr>
                <w:noProof/>
              </w:rPr>
              <w:t>2027</w:t>
            </w:r>
          </w:p>
        </w:tc>
        <w:tc>
          <w:tcPr>
            <w:tcW w:w="944" w:type="dxa"/>
            <w:noWrap/>
            <w:hideMark/>
          </w:tcPr>
          <w:p w14:paraId="1F961AB7" w14:textId="77777777" w:rsidR="009B62E0" w:rsidRPr="00807AC3" w:rsidRDefault="009B62E0" w:rsidP="00AF1C52">
            <w:pPr>
              <w:rPr>
                <w:noProof/>
              </w:rPr>
            </w:pPr>
            <w:r w:rsidRPr="00807AC3">
              <w:rPr>
                <w:noProof/>
              </w:rPr>
              <w:t>Total</w:t>
            </w:r>
          </w:p>
        </w:tc>
      </w:tr>
      <w:tr w:rsidR="009B62E0" w:rsidRPr="00040D99" w14:paraId="2B2BEB54" w14:textId="77777777" w:rsidTr="00AF1C52">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763F3E10" w14:textId="77777777" w:rsidR="009B62E0" w:rsidRPr="00807AC3" w:rsidRDefault="009B62E0" w:rsidP="00AF1C52">
            <w:pPr>
              <w:rPr>
                <w:noProof/>
              </w:rPr>
            </w:pPr>
            <w:r w:rsidRPr="00807AC3">
              <w:rPr>
                <w:noProof/>
              </w:rPr>
              <w:t>Financial programming</w:t>
            </w:r>
          </w:p>
        </w:tc>
        <w:tc>
          <w:tcPr>
            <w:tcW w:w="943" w:type="dxa"/>
            <w:noWrap/>
            <w:hideMark/>
          </w:tcPr>
          <w:p w14:paraId="733CE438" w14:textId="77777777" w:rsidR="009B62E0" w:rsidRPr="00807AC3" w:rsidRDefault="009B62E0" w:rsidP="00AF1C52">
            <w:pPr>
              <w:jc w:val="center"/>
              <w:rPr>
                <w:noProof/>
              </w:rPr>
            </w:pPr>
            <w:r>
              <w:rPr>
                <w:noProof/>
              </w:rPr>
              <w:t xml:space="preserve"> </w:t>
            </w:r>
          </w:p>
        </w:tc>
        <w:tc>
          <w:tcPr>
            <w:tcW w:w="944" w:type="dxa"/>
            <w:noWrap/>
            <w:hideMark/>
          </w:tcPr>
          <w:p w14:paraId="020C34A7" w14:textId="77777777" w:rsidR="009B62E0" w:rsidRPr="00807AC3" w:rsidRDefault="009B62E0" w:rsidP="00AF1C52">
            <w:pPr>
              <w:jc w:val="center"/>
              <w:rPr>
                <w:noProof/>
              </w:rPr>
            </w:pPr>
            <w:r>
              <w:rPr>
                <w:noProof/>
              </w:rPr>
              <w:t xml:space="preserve"> </w:t>
            </w:r>
          </w:p>
        </w:tc>
        <w:tc>
          <w:tcPr>
            <w:tcW w:w="943" w:type="dxa"/>
            <w:noWrap/>
            <w:hideMark/>
          </w:tcPr>
          <w:p w14:paraId="294CAB55" w14:textId="77777777" w:rsidR="009B62E0" w:rsidRPr="00807AC3" w:rsidRDefault="009B62E0" w:rsidP="00AF1C52">
            <w:pPr>
              <w:jc w:val="center"/>
              <w:rPr>
                <w:noProof/>
              </w:rPr>
            </w:pPr>
            <w:r>
              <w:rPr>
                <w:noProof/>
              </w:rPr>
              <w:t xml:space="preserve"> </w:t>
            </w:r>
          </w:p>
        </w:tc>
        <w:tc>
          <w:tcPr>
            <w:tcW w:w="944" w:type="dxa"/>
            <w:noWrap/>
            <w:hideMark/>
          </w:tcPr>
          <w:p w14:paraId="7D55AC5A" w14:textId="77777777" w:rsidR="009B62E0" w:rsidRPr="00807AC3" w:rsidRDefault="009B62E0" w:rsidP="00AF1C52">
            <w:pPr>
              <w:jc w:val="center"/>
              <w:rPr>
                <w:noProof/>
              </w:rPr>
            </w:pPr>
            <w:r>
              <w:rPr>
                <w:noProof/>
              </w:rPr>
              <w:t xml:space="preserve"> </w:t>
            </w:r>
          </w:p>
        </w:tc>
        <w:tc>
          <w:tcPr>
            <w:tcW w:w="944" w:type="dxa"/>
            <w:noWrap/>
            <w:hideMark/>
          </w:tcPr>
          <w:p w14:paraId="5AC1ECAF" w14:textId="77777777" w:rsidR="009B62E0" w:rsidRPr="00807AC3" w:rsidRDefault="009B62E0" w:rsidP="00AF1C52">
            <w:pPr>
              <w:jc w:val="center"/>
              <w:rPr>
                <w:noProof/>
              </w:rPr>
            </w:pPr>
            <w:r>
              <w:rPr>
                <w:noProof/>
              </w:rPr>
              <w:t xml:space="preserve"> </w:t>
            </w:r>
          </w:p>
        </w:tc>
        <w:tc>
          <w:tcPr>
            <w:tcW w:w="943" w:type="dxa"/>
            <w:noWrap/>
            <w:hideMark/>
          </w:tcPr>
          <w:p w14:paraId="5CA1D64E" w14:textId="77777777" w:rsidR="009B62E0" w:rsidRPr="00807AC3" w:rsidRDefault="009B62E0" w:rsidP="00AF1C52">
            <w:pPr>
              <w:jc w:val="center"/>
              <w:rPr>
                <w:noProof/>
              </w:rPr>
            </w:pPr>
            <w:r>
              <w:rPr>
                <w:noProof/>
              </w:rPr>
              <w:t xml:space="preserve"> </w:t>
            </w:r>
          </w:p>
        </w:tc>
        <w:tc>
          <w:tcPr>
            <w:tcW w:w="944" w:type="dxa"/>
            <w:noWrap/>
            <w:hideMark/>
          </w:tcPr>
          <w:p w14:paraId="47A75B48" w14:textId="77777777" w:rsidR="009B62E0" w:rsidRPr="00807AC3" w:rsidRDefault="009B62E0" w:rsidP="00AF1C52">
            <w:pPr>
              <w:jc w:val="center"/>
              <w:rPr>
                <w:noProof/>
              </w:rPr>
            </w:pPr>
            <w:r>
              <w:rPr>
                <w:noProof/>
              </w:rPr>
              <w:t xml:space="preserve"> </w:t>
            </w:r>
          </w:p>
        </w:tc>
        <w:tc>
          <w:tcPr>
            <w:tcW w:w="944" w:type="dxa"/>
            <w:noWrap/>
            <w:hideMark/>
          </w:tcPr>
          <w:p w14:paraId="7A65B70A" w14:textId="77777777" w:rsidR="009B62E0" w:rsidRPr="00807AC3" w:rsidRDefault="009B62E0" w:rsidP="00AF1C52">
            <w:pPr>
              <w:jc w:val="center"/>
              <w:rPr>
                <w:noProof/>
              </w:rPr>
            </w:pPr>
            <w:r>
              <w:rPr>
                <w:noProof/>
              </w:rPr>
              <w:t xml:space="preserve"> </w:t>
            </w:r>
          </w:p>
        </w:tc>
      </w:tr>
      <w:tr w:rsidR="009B62E0" w:rsidRPr="00040D99" w14:paraId="47FCCFB3" w14:textId="77777777" w:rsidTr="00AF1C52">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4EEFB02F" w14:textId="77777777" w:rsidR="009B62E0" w:rsidRDefault="009B62E0" w:rsidP="00AF1C52">
            <w:pPr>
              <w:rPr>
                <w:noProof/>
              </w:rPr>
            </w:pPr>
            <w:r w:rsidRPr="00807AC3">
              <w:rPr>
                <w:noProof/>
              </w:rPr>
              <w:t>NextGenerationEU</w:t>
            </w:r>
          </w:p>
          <w:p w14:paraId="5C46DD87" w14:textId="77777777" w:rsidR="009B62E0" w:rsidRPr="00807AC3" w:rsidRDefault="009B62E0" w:rsidP="00AF1C52">
            <w:pPr>
              <w:rPr>
                <w:noProof/>
              </w:rPr>
            </w:pPr>
            <w:r>
              <w:rPr>
                <w:noProof/>
              </w:rPr>
              <w:t>grants</w:t>
            </w:r>
          </w:p>
        </w:tc>
        <w:tc>
          <w:tcPr>
            <w:tcW w:w="943" w:type="dxa"/>
            <w:noWrap/>
            <w:hideMark/>
          </w:tcPr>
          <w:p w14:paraId="122380AB" w14:textId="7DB1A741" w:rsidR="003D2531" w:rsidRDefault="003D2531" w:rsidP="003D2531">
            <w:pPr>
              <w:spacing w:after="0"/>
              <w:jc w:val="center"/>
              <w:rPr>
                <w:rFonts w:ascii="Calibri" w:hAnsi="Calibri" w:cs="Calibri"/>
                <w:noProof/>
                <w:color w:val="000000"/>
              </w:rPr>
            </w:pPr>
            <w:r>
              <w:rPr>
                <w:rFonts w:ascii="Calibri" w:hAnsi="Calibri" w:cs="Calibri"/>
                <w:noProof/>
                <w:color w:val="000000"/>
              </w:rPr>
              <w:t xml:space="preserve">116 </w:t>
            </w:r>
            <w:r w:rsidR="00A4351B">
              <w:rPr>
                <w:rFonts w:ascii="Calibri" w:hAnsi="Calibri" w:cs="Calibri"/>
                <w:noProof/>
                <w:color w:val="000000"/>
              </w:rPr>
              <w:t>069</w:t>
            </w:r>
            <w:r>
              <w:rPr>
                <w:rFonts w:ascii="Calibri" w:hAnsi="Calibri" w:cs="Calibri"/>
                <w:noProof/>
                <w:color w:val="000000"/>
              </w:rPr>
              <w:t>.</w:t>
            </w:r>
            <w:r w:rsidR="00A4351B">
              <w:rPr>
                <w:rFonts w:ascii="Calibri" w:hAnsi="Calibri" w:cs="Calibri"/>
                <w:noProof/>
                <w:color w:val="000000"/>
              </w:rPr>
              <w:t>6</w:t>
            </w:r>
          </w:p>
          <w:p w14:paraId="25AD77CF" w14:textId="0EA8F6ED" w:rsidR="009B62E0" w:rsidRPr="00807AC3" w:rsidRDefault="009B62E0" w:rsidP="00AF1C52">
            <w:pPr>
              <w:jc w:val="center"/>
              <w:rPr>
                <w:noProof/>
              </w:rPr>
            </w:pPr>
          </w:p>
        </w:tc>
        <w:tc>
          <w:tcPr>
            <w:tcW w:w="944" w:type="dxa"/>
            <w:noWrap/>
            <w:hideMark/>
          </w:tcPr>
          <w:p w14:paraId="0ADA0C08" w14:textId="77777777" w:rsidR="009B62E0" w:rsidRPr="00807AC3" w:rsidRDefault="009B62E0" w:rsidP="00AF1C52">
            <w:pPr>
              <w:jc w:val="center"/>
              <w:rPr>
                <w:noProof/>
              </w:rPr>
            </w:pPr>
            <w:r w:rsidRPr="00D33A26">
              <w:rPr>
                <w:noProof/>
                <w:sz w:val="16"/>
                <w:szCs w:val="16"/>
              </w:rPr>
              <w:t>118</w:t>
            </w:r>
            <w:r>
              <w:rPr>
                <w:rFonts w:ascii="Calibri" w:hAnsi="Calibri" w:cs="Calibri"/>
                <w:noProof/>
                <w:sz w:val="16"/>
                <w:szCs w:val="16"/>
              </w:rPr>
              <w:t> </w:t>
            </w:r>
            <w:r w:rsidRPr="00D33A26">
              <w:rPr>
                <w:noProof/>
                <w:sz w:val="16"/>
                <w:szCs w:val="16"/>
              </w:rPr>
              <w:t>391</w:t>
            </w:r>
            <w:r>
              <w:rPr>
                <w:noProof/>
                <w:sz w:val="16"/>
                <w:szCs w:val="16"/>
              </w:rPr>
              <w:t>.</w:t>
            </w:r>
            <w:r w:rsidRPr="00D33A26">
              <w:rPr>
                <w:noProof/>
                <w:sz w:val="16"/>
                <w:szCs w:val="16"/>
              </w:rPr>
              <w:t>4</w:t>
            </w:r>
          </w:p>
        </w:tc>
        <w:tc>
          <w:tcPr>
            <w:tcW w:w="943" w:type="dxa"/>
            <w:noWrap/>
            <w:hideMark/>
          </w:tcPr>
          <w:p w14:paraId="6A0C3B7D" w14:textId="77777777" w:rsidR="009B62E0" w:rsidRPr="00807AC3" w:rsidRDefault="009B62E0" w:rsidP="00AF1C52">
            <w:pPr>
              <w:jc w:val="center"/>
              <w:rPr>
                <w:noProof/>
              </w:rPr>
            </w:pPr>
            <w:r w:rsidRPr="00D33A26">
              <w:rPr>
                <w:noProof/>
                <w:sz w:val="16"/>
                <w:szCs w:val="16"/>
              </w:rPr>
              <w:t>103</w:t>
            </w:r>
            <w:r>
              <w:rPr>
                <w:rFonts w:ascii="Calibri" w:hAnsi="Calibri" w:cs="Calibri"/>
                <w:noProof/>
                <w:sz w:val="16"/>
                <w:szCs w:val="16"/>
              </w:rPr>
              <w:t> </w:t>
            </w:r>
            <w:r w:rsidRPr="00D33A26">
              <w:rPr>
                <w:noProof/>
                <w:sz w:val="16"/>
                <w:szCs w:val="16"/>
              </w:rPr>
              <w:t>463</w:t>
            </w:r>
            <w:r>
              <w:rPr>
                <w:noProof/>
                <w:sz w:val="16"/>
                <w:szCs w:val="16"/>
              </w:rPr>
              <w:t>.</w:t>
            </w:r>
            <w:r w:rsidRPr="00D33A26">
              <w:rPr>
                <w:noProof/>
                <w:sz w:val="16"/>
                <w:szCs w:val="16"/>
              </w:rPr>
              <w:t>3</w:t>
            </w:r>
          </w:p>
        </w:tc>
        <w:tc>
          <w:tcPr>
            <w:tcW w:w="944" w:type="dxa"/>
            <w:noWrap/>
            <w:hideMark/>
          </w:tcPr>
          <w:p w14:paraId="7253072B" w14:textId="77777777" w:rsidR="009B62E0" w:rsidRPr="00807AC3" w:rsidRDefault="009B62E0" w:rsidP="00AF1C52">
            <w:pPr>
              <w:jc w:val="center"/>
              <w:rPr>
                <w:noProof/>
              </w:rPr>
            </w:pPr>
            <w:r w:rsidRPr="00D33A26">
              <w:rPr>
                <w:noProof/>
                <w:sz w:val="16"/>
                <w:szCs w:val="16"/>
              </w:rPr>
              <w:t>11</w:t>
            </w:r>
            <w:r>
              <w:rPr>
                <w:noProof/>
                <w:sz w:val="16"/>
                <w:szCs w:val="16"/>
              </w:rPr>
              <w:t>.</w:t>
            </w:r>
            <w:r w:rsidRPr="00D33A26">
              <w:rPr>
                <w:noProof/>
                <w:sz w:val="16"/>
                <w:szCs w:val="16"/>
              </w:rPr>
              <w:t>4</w:t>
            </w:r>
          </w:p>
        </w:tc>
        <w:tc>
          <w:tcPr>
            <w:tcW w:w="944" w:type="dxa"/>
            <w:noWrap/>
            <w:hideMark/>
          </w:tcPr>
          <w:p w14:paraId="7646F7E0" w14:textId="77777777" w:rsidR="009B62E0" w:rsidRPr="00807AC3" w:rsidRDefault="009B62E0" w:rsidP="00AF1C52">
            <w:pPr>
              <w:jc w:val="center"/>
              <w:rPr>
                <w:noProof/>
              </w:rPr>
            </w:pPr>
            <w:r w:rsidRPr="00D33A26">
              <w:rPr>
                <w:noProof/>
                <w:sz w:val="16"/>
                <w:szCs w:val="16"/>
              </w:rPr>
              <w:t>11</w:t>
            </w:r>
            <w:r>
              <w:rPr>
                <w:noProof/>
                <w:sz w:val="16"/>
                <w:szCs w:val="16"/>
              </w:rPr>
              <w:t>.</w:t>
            </w:r>
            <w:r w:rsidRPr="00D33A26">
              <w:rPr>
                <w:noProof/>
                <w:sz w:val="16"/>
                <w:szCs w:val="16"/>
              </w:rPr>
              <w:t>5</w:t>
            </w:r>
          </w:p>
        </w:tc>
        <w:tc>
          <w:tcPr>
            <w:tcW w:w="943" w:type="dxa"/>
            <w:noWrap/>
            <w:hideMark/>
          </w:tcPr>
          <w:p w14:paraId="1BA044F0" w14:textId="77777777" w:rsidR="009B62E0" w:rsidRPr="00807AC3" w:rsidRDefault="009B62E0" w:rsidP="00AF1C52">
            <w:pPr>
              <w:jc w:val="center"/>
              <w:rPr>
                <w:noProof/>
              </w:rPr>
            </w:pPr>
            <w:r w:rsidRPr="00D33A26">
              <w:rPr>
                <w:noProof/>
                <w:sz w:val="16"/>
                <w:szCs w:val="16"/>
              </w:rPr>
              <w:t>11</w:t>
            </w:r>
            <w:r>
              <w:rPr>
                <w:noProof/>
                <w:sz w:val="16"/>
                <w:szCs w:val="16"/>
              </w:rPr>
              <w:t>.</w:t>
            </w:r>
            <w:r w:rsidRPr="00D33A26">
              <w:rPr>
                <w:noProof/>
                <w:sz w:val="16"/>
                <w:szCs w:val="16"/>
              </w:rPr>
              <w:t>5</w:t>
            </w:r>
          </w:p>
        </w:tc>
        <w:tc>
          <w:tcPr>
            <w:tcW w:w="944" w:type="dxa"/>
            <w:noWrap/>
            <w:hideMark/>
          </w:tcPr>
          <w:p w14:paraId="6E8168B3" w14:textId="77777777" w:rsidR="009B62E0" w:rsidRPr="00807AC3" w:rsidRDefault="009B62E0" w:rsidP="00AF1C52">
            <w:pPr>
              <w:jc w:val="center"/>
              <w:rPr>
                <w:noProof/>
              </w:rPr>
            </w:pPr>
            <w:r w:rsidRPr="00D33A26">
              <w:rPr>
                <w:noProof/>
                <w:sz w:val="16"/>
                <w:szCs w:val="16"/>
              </w:rPr>
              <w:t>10</w:t>
            </w:r>
            <w:r>
              <w:rPr>
                <w:noProof/>
                <w:sz w:val="16"/>
                <w:szCs w:val="16"/>
              </w:rPr>
              <w:t>.</w:t>
            </w:r>
            <w:r w:rsidRPr="00D33A26">
              <w:rPr>
                <w:noProof/>
                <w:sz w:val="16"/>
                <w:szCs w:val="16"/>
              </w:rPr>
              <w:t>4</w:t>
            </w:r>
          </w:p>
        </w:tc>
        <w:tc>
          <w:tcPr>
            <w:tcW w:w="944" w:type="dxa"/>
            <w:noWrap/>
            <w:hideMark/>
          </w:tcPr>
          <w:p w14:paraId="0921613E" w14:textId="318470DA" w:rsidR="003D2531" w:rsidRDefault="003D2531" w:rsidP="003D2531">
            <w:pPr>
              <w:spacing w:after="0"/>
              <w:jc w:val="center"/>
              <w:rPr>
                <w:rFonts w:ascii="Calibri" w:hAnsi="Calibri" w:cs="Calibri"/>
                <w:noProof/>
                <w:color w:val="000000"/>
              </w:rPr>
            </w:pPr>
            <w:r>
              <w:rPr>
                <w:rFonts w:ascii="Calibri" w:hAnsi="Calibri" w:cs="Calibri"/>
                <w:noProof/>
                <w:color w:val="000000"/>
              </w:rPr>
              <w:t>33</w:t>
            </w:r>
            <w:r w:rsidR="00A4351B">
              <w:rPr>
                <w:rFonts w:ascii="Calibri" w:hAnsi="Calibri" w:cs="Calibri"/>
                <w:noProof/>
                <w:color w:val="000000"/>
              </w:rPr>
              <w:t>7</w:t>
            </w:r>
            <w:r>
              <w:rPr>
                <w:rFonts w:ascii="Calibri" w:hAnsi="Calibri" w:cs="Calibri"/>
                <w:noProof/>
                <w:color w:val="000000"/>
              </w:rPr>
              <w:t xml:space="preserve"> </w:t>
            </w:r>
            <w:r w:rsidR="00A4351B">
              <w:rPr>
                <w:rFonts w:ascii="Calibri" w:hAnsi="Calibri" w:cs="Calibri"/>
                <w:noProof/>
                <w:color w:val="000000"/>
              </w:rPr>
              <w:t>969</w:t>
            </w:r>
            <w:r>
              <w:rPr>
                <w:rFonts w:ascii="Calibri" w:hAnsi="Calibri" w:cs="Calibri"/>
                <w:noProof/>
                <w:color w:val="000000"/>
              </w:rPr>
              <w:t>.</w:t>
            </w:r>
            <w:r w:rsidR="00A4351B">
              <w:rPr>
                <w:rFonts w:ascii="Calibri" w:hAnsi="Calibri" w:cs="Calibri"/>
                <w:noProof/>
                <w:color w:val="000000"/>
              </w:rPr>
              <w:t>0</w:t>
            </w:r>
          </w:p>
          <w:p w14:paraId="759AA019" w14:textId="08DEC8E3" w:rsidR="009B62E0" w:rsidRPr="00807AC3" w:rsidRDefault="009B62E0" w:rsidP="00AF1C52">
            <w:pPr>
              <w:jc w:val="center"/>
              <w:rPr>
                <w:noProof/>
              </w:rPr>
            </w:pPr>
          </w:p>
        </w:tc>
      </w:tr>
      <w:tr w:rsidR="009B62E0" w:rsidRPr="00040D99" w14:paraId="65BFAC69" w14:textId="77777777" w:rsidTr="00AF1C52">
        <w:trPr>
          <w:cnfStyle w:val="000000100000" w:firstRow="0" w:lastRow="0" w:firstColumn="0" w:lastColumn="0" w:oddVBand="0" w:evenVBand="0" w:oddHBand="1" w:evenHBand="0" w:firstRowFirstColumn="0" w:firstRowLastColumn="0" w:lastRowFirstColumn="0" w:lastRowLastColumn="0"/>
          <w:trHeight w:val="290"/>
        </w:trPr>
        <w:tc>
          <w:tcPr>
            <w:tcW w:w="2090" w:type="dxa"/>
            <w:noWrap/>
          </w:tcPr>
          <w:p w14:paraId="48B8E02A" w14:textId="77777777" w:rsidR="009B62E0" w:rsidRPr="00807AC3" w:rsidRDefault="009B62E0" w:rsidP="00AF1C52">
            <w:pPr>
              <w:rPr>
                <w:noProof/>
              </w:rPr>
            </w:pPr>
            <w:r w:rsidRPr="00807AC3">
              <w:rPr>
                <w:noProof/>
              </w:rPr>
              <w:t>NextGenerationEU</w:t>
            </w:r>
            <w:r>
              <w:rPr>
                <w:noProof/>
              </w:rPr>
              <w:t xml:space="preserve"> loans</w:t>
            </w:r>
            <w:r>
              <w:rPr>
                <w:rFonts w:ascii="Calibri" w:hAnsi="Calibri" w:cs="Calibri"/>
                <w:noProof/>
              </w:rPr>
              <w:t> </w:t>
            </w:r>
            <w:r>
              <w:rPr>
                <w:noProof/>
              </w:rPr>
              <w:t>(*)</w:t>
            </w:r>
          </w:p>
        </w:tc>
        <w:tc>
          <w:tcPr>
            <w:tcW w:w="943" w:type="dxa"/>
            <w:noWrap/>
          </w:tcPr>
          <w:p w14:paraId="777C98CD" w14:textId="77777777" w:rsidR="009B62E0" w:rsidRDefault="009B62E0" w:rsidP="00AF1C52">
            <w:pPr>
              <w:jc w:val="center"/>
              <w:rPr>
                <w:noProof/>
                <w:sz w:val="16"/>
                <w:szCs w:val="16"/>
              </w:rPr>
            </w:pPr>
            <w:r>
              <w:rPr>
                <w:noProof/>
                <w:sz w:val="16"/>
                <w:szCs w:val="16"/>
              </w:rPr>
              <w:t>153</w:t>
            </w:r>
            <w:r>
              <w:rPr>
                <w:rFonts w:ascii="Calibri" w:hAnsi="Calibri" w:cs="Calibri"/>
                <w:noProof/>
                <w:sz w:val="16"/>
                <w:szCs w:val="16"/>
              </w:rPr>
              <w:t> </w:t>
            </w:r>
            <w:r w:rsidRPr="00B47140">
              <w:rPr>
                <w:noProof/>
                <w:sz w:val="16"/>
                <w:szCs w:val="16"/>
              </w:rPr>
              <w:t>876.</w:t>
            </w:r>
            <w:r>
              <w:rPr>
                <w:noProof/>
                <w:sz w:val="16"/>
                <w:szCs w:val="16"/>
              </w:rPr>
              <w:t>2</w:t>
            </w:r>
          </w:p>
        </w:tc>
        <w:tc>
          <w:tcPr>
            <w:tcW w:w="944" w:type="dxa"/>
            <w:noWrap/>
          </w:tcPr>
          <w:p w14:paraId="01FEDFBF" w14:textId="77777777" w:rsidR="009B62E0" w:rsidRPr="00D33A26" w:rsidRDefault="009B62E0" w:rsidP="00AF1C52">
            <w:pPr>
              <w:jc w:val="center"/>
              <w:rPr>
                <w:noProof/>
                <w:sz w:val="16"/>
                <w:szCs w:val="16"/>
              </w:rPr>
            </w:pPr>
          </w:p>
        </w:tc>
        <w:tc>
          <w:tcPr>
            <w:tcW w:w="943" w:type="dxa"/>
            <w:noWrap/>
          </w:tcPr>
          <w:p w14:paraId="29DA4BD3" w14:textId="77777777" w:rsidR="009B62E0" w:rsidRPr="00D33A26" w:rsidRDefault="009B62E0" w:rsidP="00AF1C52">
            <w:pPr>
              <w:jc w:val="center"/>
              <w:rPr>
                <w:noProof/>
                <w:sz w:val="16"/>
                <w:szCs w:val="16"/>
              </w:rPr>
            </w:pPr>
          </w:p>
        </w:tc>
        <w:tc>
          <w:tcPr>
            <w:tcW w:w="944" w:type="dxa"/>
            <w:noWrap/>
          </w:tcPr>
          <w:p w14:paraId="369BA24A" w14:textId="77777777" w:rsidR="009B62E0" w:rsidRPr="00D33A26" w:rsidRDefault="009B62E0" w:rsidP="00AF1C52">
            <w:pPr>
              <w:jc w:val="center"/>
              <w:rPr>
                <w:noProof/>
                <w:sz w:val="16"/>
                <w:szCs w:val="16"/>
              </w:rPr>
            </w:pPr>
          </w:p>
        </w:tc>
        <w:tc>
          <w:tcPr>
            <w:tcW w:w="944" w:type="dxa"/>
            <w:noWrap/>
          </w:tcPr>
          <w:p w14:paraId="0BADCA0D" w14:textId="77777777" w:rsidR="009B62E0" w:rsidRPr="00D33A26" w:rsidRDefault="009B62E0" w:rsidP="00AF1C52">
            <w:pPr>
              <w:jc w:val="center"/>
              <w:rPr>
                <w:noProof/>
                <w:sz w:val="16"/>
                <w:szCs w:val="16"/>
              </w:rPr>
            </w:pPr>
          </w:p>
        </w:tc>
        <w:tc>
          <w:tcPr>
            <w:tcW w:w="943" w:type="dxa"/>
            <w:noWrap/>
          </w:tcPr>
          <w:p w14:paraId="252D0E0B" w14:textId="77777777" w:rsidR="009B62E0" w:rsidRPr="00D33A26" w:rsidRDefault="009B62E0" w:rsidP="00AF1C52">
            <w:pPr>
              <w:jc w:val="center"/>
              <w:rPr>
                <w:noProof/>
                <w:sz w:val="16"/>
                <w:szCs w:val="16"/>
              </w:rPr>
            </w:pPr>
          </w:p>
        </w:tc>
        <w:tc>
          <w:tcPr>
            <w:tcW w:w="944" w:type="dxa"/>
            <w:noWrap/>
          </w:tcPr>
          <w:p w14:paraId="4C80941C" w14:textId="77777777" w:rsidR="009B62E0" w:rsidRPr="00D33A26" w:rsidRDefault="009B62E0" w:rsidP="00AF1C52">
            <w:pPr>
              <w:jc w:val="center"/>
              <w:rPr>
                <w:noProof/>
                <w:sz w:val="16"/>
                <w:szCs w:val="16"/>
              </w:rPr>
            </w:pPr>
          </w:p>
        </w:tc>
        <w:tc>
          <w:tcPr>
            <w:tcW w:w="944" w:type="dxa"/>
            <w:noWrap/>
          </w:tcPr>
          <w:p w14:paraId="7BBEE763" w14:textId="77777777" w:rsidR="009B62E0" w:rsidRDefault="009B62E0" w:rsidP="00AF1C52">
            <w:pPr>
              <w:jc w:val="center"/>
              <w:rPr>
                <w:noProof/>
                <w:sz w:val="16"/>
                <w:szCs w:val="16"/>
              </w:rPr>
            </w:pPr>
            <w:r>
              <w:rPr>
                <w:noProof/>
                <w:sz w:val="16"/>
                <w:szCs w:val="16"/>
              </w:rPr>
              <w:t>153</w:t>
            </w:r>
            <w:r>
              <w:rPr>
                <w:rFonts w:ascii="Calibri" w:hAnsi="Calibri" w:cs="Calibri"/>
                <w:noProof/>
                <w:sz w:val="16"/>
                <w:szCs w:val="16"/>
              </w:rPr>
              <w:t> </w:t>
            </w:r>
            <w:r w:rsidRPr="00B47140">
              <w:rPr>
                <w:noProof/>
                <w:sz w:val="16"/>
                <w:szCs w:val="16"/>
              </w:rPr>
              <w:t>876.</w:t>
            </w:r>
            <w:r>
              <w:rPr>
                <w:noProof/>
                <w:sz w:val="16"/>
                <w:szCs w:val="16"/>
              </w:rPr>
              <w:t>2</w:t>
            </w:r>
          </w:p>
        </w:tc>
      </w:tr>
      <w:tr w:rsidR="009B62E0" w:rsidRPr="00040D99" w14:paraId="636A60E0" w14:textId="77777777" w:rsidTr="00AF1C52">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05462445" w14:textId="77777777" w:rsidR="009B62E0" w:rsidRPr="00807AC3" w:rsidRDefault="009B62E0" w:rsidP="00AF1C52">
            <w:pPr>
              <w:rPr>
                <w:noProof/>
              </w:rPr>
            </w:pPr>
            <w:r w:rsidRPr="00807AC3">
              <w:rPr>
                <w:noProof/>
              </w:rPr>
              <w:t>Decommitments made available again</w:t>
            </w:r>
            <w:r>
              <w:rPr>
                <w:rFonts w:ascii="Calibri" w:hAnsi="Calibri" w:cs="Calibri"/>
                <w:noProof/>
              </w:rPr>
              <w:t> </w:t>
            </w:r>
            <w:r>
              <w:rPr>
                <w:noProof/>
              </w:rPr>
              <w:t>(</w:t>
            </w:r>
            <w:r w:rsidRPr="00807AC3">
              <w:rPr>
                <w:noProof/>
              </w:rPr>
              <w:t>*</w:t>
            </w:r>
            <w:r>
              <w:rPr>
                <w:noProof/>
              </w:rPr>
              <w:t>*)</w:t>
            </w:r>
          </w:p>
        </w:tc>
        <w:tc>
          <w:tcPr>
            <w:tcW w:w="943" w:type="dxa"/>
            <w:noWrap/>
            <w:hideMark/>
          </w:tcPr>
          <w:p w14:paraId="6EEA22A9" w14:textId="77777777" w:rsidR="009B62E0" w:rsidRPr="00807AC3" w:rsidRDefault="009B62E0" w:rsidP="00AF1C52">
            <w:pPr>
              <w:jc w:val="center"/>
              <w:rPr>
                <w:noProof/>
              </w:rPr>
            </w:pPr>
            <w:r>
              <w:rPr>
                <w:noProof/>
              </w:rPr>
              <w:t>N/A</w:t>
            </w:r>
          </w:p>
        </w:tc>
        <w:tc>
          <w:tcPr>
            <w:tcW w:w="944" w:type="dxa"/>
            <w:noWrap/>
            <w:hideMark/>
          </w:tcPr>
          <w:p w14:paraId="2740A50F" w14:textId="77777777" w:rsidR="009B62E0" w:rsidRPr="00807AC3" w:rsidRDefault="009B62E0" w:rsidP="00AF1C52">
            <w:pPr>
              <w:jc w:val="center"/>
              <w:rPr>
                <w:noProof/>
              </w:rPr>
            </w:pPr>
          </w:p>
        </w:tc>
        <w:tc>
          <w:tcPr>
            <w:tcW w:w="943" w:type="dxa"/>
            <w:noWrap/>
            <w:hideMark/>
          </w:tcPr>
          <w:p w14:paraId="7608E712" w14:textId="77777777" w:rsidR="009B62E0" w:rsidRPr="00807AC3" w:rsidRDefault="009B62E0" w:rsidP="00AF1C52">
            <w:pPr>
              <w:jc w:val="center"/>
              <w:rPr>
                <w:noProof/>
              </w:rPr>
            </w:pPr>
          </w:p>
        </w:tc>
        <w:tc>
          <w:tcPr>
            <w:tcW w:w="944" w:type="dxa"/>
            <w:noWrap/>
            <w:hideMark/>
          </w:tcPr>
          <w:p w14:paraId="4E958756" w14:textId="77777777" w:rsidR="009B62E0" w:rsidRPr="00807AC3" w:rsidRDefault="009B62E0" w:rsidP="00AF1C52">
            <w:pPr>
              <w:jc w:val="center"/>
              <w:rPr>
                <w:noProof/>
              </w:rPr>
            </w:pPr>
          </w:p>
        </w:tc>
        <w:tc>
          <w:tcPr>
            <w:tcW w:w="944" w:type="dxa"/>
            <w:noWrap/>
            <w:hideMark/>
          </w:tcPr>
          <w:p w14:paraId="5975DA5D" w14:textId="77777777" w:rsidR="009B62E0" w:rsidRPr="00807AC3" w:rsidRDefault="009B62E0" w:rsidP="00AF1C52">
            <w:pPr>
              <w:jc w:val="center"/>
              <w:rPr>
                <w:noProof/>
              </w:rPr>
            </w:pPr>
          </w:p>
        </w:tc>
        <w:tc>
          <w:tcPr>
            <w:tcW w:w="943" w:type="dxa"/>
            <w:noWrap/>
            <w:hideMark/>
          </w:tcPr>
          <w:p w14:paraId="1946FFBF" w14:textId="77777777" w:rsidR="009B62E0" w:rsidRPr="00807AC3" w:rsidRDefault="009B62E0" w:rsidP="00AF1C52">
            <w:pPr>
              <w:jc w:val="center"/>
              <w:rPr>
                <w:noProof/>
              </w:rPr>
            </w:pPr>
          </w:p>
        </w:tc>
        <w:tc>
          <w:tcPr>
            <w:tcW w:w="944" w:type="dxa"/>
            <w:noWrap/>
            <w:hideMark/>
          </w:tcPr>
          <w:p w14:paraId="53CE13AF" w14:textId="77777777" w:rsidR="009B62E0" w:rsidRPr="00807AC3" w:rsidRDefault="009B62E0" w:rsidP="00AF1C52">
            <w:pPr>
              <w:jc w:val="center"/>
              <w:rPr>
                <w:noProof/>
              </w:rPr>
            </w:pPr>
          </w:p>
        </w:tc>
        <w:tc>
          <w:tcPr>
            <w:tcW w:w="944" w:type="dxa"/>
            <w:noWrap/>
            <w:hideMark/>
          </w:tcPr>
          <w:p w14:paraId="23D5FD7D" w14:textId="77777777" w:rsidR="009B62E0" w:rsidRPr="00807AC3" w:rsidRDefault="009B62E0" w:rsidP="00AF1C52">
            <w:pPr>
              <w:jc w:val="center"/>
              <w:rPr>
                <w:noProof/>
              </w:rPr>
            </w:pPr>
            <w:r>
              <w:rPr>
                <w:noProof/>
              </w:rPr>
              <w:t xml:space="preserve"> N/A</w:t>
            </w:r>
          </w:p>
        </w:tc>
      </w:tr>
      <w:tr w:rsidR="009B62E0" w:rsidRPr="00040D99" w14:paraId="13367DEA" w14:textId="77777777" w:rsidTr="00AF1C52">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0313619F" w14:textId="77777777" w:rsidR="009B62E0" w:rsidRPr="00807AC3" w:rsidRDefault="009B62E0" w:rsidP="00AF1C52">
            <w:pPr>
              <w:rPr>
                <w:noProof/>
              </w:rPr>
            </w:pPr>
            <w:r w:rsidRPr="00807AC3">
              <w:rPr>
                <w:noProof/>
              </w:rPr>
              <w:t>Contributions from other countries and entities</w:t>
            </w:r>
          </w:p>
        </w:tc>
        <w:tc>
          <w:tcPr>
            <w:tcW w:w="943" w:type="dxa"/>
            <w:noWrap/>
            <w:hideMark/>
          </w:tcPr>
          <w:p w14:paraId="1994C7FD" w14:textId="77777777" w:rsidR="009B62E0" w:rsidRPr="00807AC3" w:rsidRDefault="009B62E0" w:rsidP="00AF1C52">
            <w:pPr>
              <w:jc w:val="center"/>
              <w:rPr>
                <w:noProof/>
              </w:rPr>
            </w:pPr>
            <w:r>
              <w:rPr>
                <w:noProof/>
              </w:rPr>
              <w:t xml:space="preserve"> </w:t>
            </w:r>
          </w:p>
        </w:tc>
        <w:tc>
          <w:tcPr>
            <w:tcW w:w="944" w:type="dxa"/>
            <w:noWrap/>
            <w:hideMark/>
          </w:tcPr>
          <w:p w14:paraId="7BC8E35D" w14:textId="77777777" w:rsidR="009B62E0" w:rsidRPr="00807AC3" w:rsidRDefault="009B62E0" w:rsidP="00AF1C52">
            <w:pPr>
              <w:jc w:val="center"/>
              <w:rPr>
                <w:noProof/>
              </w:rPr>
            </w:pPr>
          </w:p>
        </w:tc>
        <w:tc>
          <w:tcPr>
            <w:tcW w:w="943" w:type="dxa"/>
            <w:noWrap/>
            <w:hideMark/>
          </w:tcPr>
          <w:p w14:paraId="64C76F4D" w14:textId="77777777" w:rsidR="009B62E0" w:rsidRPr="00807AC3" w:rsidRDefault="009B62E0" w:rsidP="00AF1C52">
            <w:pPr>
              <w:jc w:val="center"/>
              <w:rPr>
                <w:noProof/>
              </w:rPr>
            </w:pPr>
          </w:p>
        </w:tc>
        <w:tc>
          <w:tcPr>
            <w:tcW w:w="944" w:type="dxa"/>
            <w:noWrap/>
            <w:hideMark/>
          </w:tcPr>
          <w:p w14:paraId="5205DB60" w14:textId="77777777" w:rsidR="009B62E0" w:rsidRPr="00807AC3" w:rsidRDefault="009B62E0" w:rsidP="00AF1C52">
            <w:pPr>
              <w:jc w:val="center"/>
              <w:rPr>
                <w:noProof/>
              </w:rPr>
            </w:pPr>
          </w:p>
        </w:tc>
        <w:tc>
          <w:tcPr>
            <w:tcW w:w="944" w:type="dxa"/>
            <w:noWrap/>
            <w:hideMark/>
          </w:tcPr>
          <w:p w14:paraId="45BDDC20" w14:textId="77777777" w:rsidR="009B62E0" w:rsidRPr="00807AC3" w:rsidRDefault="009B62E0" w:rsidP="00AF1C52">
            <w:pPr>
              <w:jc w:val="center"/>
              <w:rPr>
                <w:noProof/>
              </w:rPr>
            </w:pPr>
          </w:p>
        </w:tc>
        <w:tc>
          <w:tcPr>
            <w:tcW w:w="943" w:type="dxa"/>
            <w:noWrap/>
            <w:hideMark/>
          </w:tcPr>
          <w:p w14:paraId="1FB280D5" w14:textId="77777777" w:rsidR="009B62E0" w:rsidRPr="00807AC3" w:rsidRDefault="009B62E0" w:rsidP="00AF1C52">
            <w:pPr>
              <w:jc w:val="center"/>
              <w:rPr>
                <w:noProof/>
              </w:rPr>
            </w:pPr>
          </w:p>
        </w:tc>
        <w:tc>
          <w:tcPr>
            <w:tcW w:w="944" w:type="dxa"/>
            <w:noWrap/>
            <w:hideMark/>
          </w:tcPr>
          <w:p w14:paraId="1E05309D" w14:textId="77777777" w:rsidR="009B62E0" w:rsidRPr="00807AC3" w:rsidRDefault="009B62E0" w:rsidP="00AF1C52">
            <w:pPr>
              <w:jc w:val="center"/>
              <w:rPr>
                <w:noProof/>
              </w:rPr>
            </w:pPr>
          </w:p>
        </w:tc>
        <w:tc>
          <w:tcPr>
            <w:tcW w:w="944" w:type="dxa"/>
            <w:noWrap/>
            <w:hideMark/>
          </w:tcPr>
          <w:p w14:paraId="4826CA94" w14:textId="77777777" w:rsidR="009B62E0" w:rsidRPr="00807AC3" w:rsidRDefault="009B62E0" w:rsidP="00AF1C52">
            <w:pPr>
              <w:jc w:val="center"/>
              <w:rPr>
                <w:noProof/>
              </w:rPr>
            </w:pPr>
            <w:r>
              <w:rPr>
                <w:noProof/>
              </w:rPr>
              <w:t xml:space="preserve"> </w:t>
            </w:r>
          </w:p>
        </w:tc>
      </w:tr>
    </w:tbl>
    <w:p w14:paraId="11F925B9" w14:textId="77777777" w:rsidR="00A4351B" w:rsidRDefault="00A4351B" w:rsidP="00A4351B">
      <w:pPr>
        <w:pStyle w:val="FootnoteText"/>
        <w:rPr>
          <w:rFonts w:eastAsiaTheme="minorEastAsia"/>
          <w:noProof/>
        </w:rPr>
      </w:pPr>
      <w:r>
        <w:rPr>
          <w:rFonts w:eastAsiaTheme="minorEastAsia"/>
          <w:noProof/>
        </w:rPr>
        <w:t xml:space="preserve">(*) </w:t>
      </w:r>
      <w:r>
        <w:rPr>
          <w:rFonts w:eastAsiaTheme="minorEastAsia"/>
          <w:noProof/>
        </w:rPr>
        <w:tab/>
        <w:t xml:space="preserve">Loans committed </w:t>
      </w:r>
      <w:r>
        <w:rPr>
          <w:noProof/>
        </w:rPr>
        <w:t xml:space="preserve">in 2021 </w:t>
      </w:r>
      <w:r>
        <w:rPr>
          <w:rFonts w:eastAsiaTheme="minorEastAsia"/>
          <w:noProof/>
        </w:rPr>
        <w:t>for adopted plans</w:t>
      </w:r>
      <w:r>
        <w:rPr>
          <w:rFonts w:ascii="Times New Roman" w:eastAsiaTheme="minorEastAsia" w:hAnsi="Times New Roman"/>
          <w:noProof/>
        </w:rPr>
        <w:t>.</w:t>
      </w:r>
      <w:r>
        <w:rPr>
          <w:rFonts w:ascii="Times New Roman" w:hAnsi="Times New Roman"/>
          <w:noProof/>
        </w:rPr>
        <w:t xml:space="preserve"> </w:t>
      </w:r>
      <w:r>
        <w:rPr>
          <w:noProof/>
        </w:rPr>
        <w:t>The available budget for 2021-27 for loans is EUR 385 855.2</w:t>
      </w:r>
    </w:p>
    <w:p w14:paraId="1E28EA46" w14:textId="77777777" w:rsidR="00A4351B" w:rsidRPr="007C0B51" w:rsidRDefault="00A4351B" w:rsidP="00A4351B">
      <w:pPr>
        <w:pStyle w:val="FootnoteText"/>
        <w:rPr>
          <w:rFonts w:eastAsiaTheme="minorEastAsia"/>
          <w:noProof/>
        </w:rPr>
      </w:pPr>
      <w:r>
        <w:rPr>
          <w:rFonts w:eastAsiaTheme="minorEastAsia"/>
          <w:noProof/>
        </w:rPr>
        <w:t xml:space="preserve">(**) </w:t>
      </w:r>
      <w:r>
        <w:rPr>
          <w:rFonts w:eastAsiaTheme="minorEastAsia"/>
          <w:noProof/>
        </w:rPr>
        <w:tab/>
        <w:t>Only A</w:t>
      </w:r>
      <w:r w:rsidRPr="08E98174">
        <w:rPr>
          <w:rFonts w:eastAsiaTheme="minorEastAsia"/>
          <w:noProof/>
        </w:rPr>
        <w:t>rticle</w:t>
      </w:r>
      <w:r>
        <w:rPr>
          <w:rFonts w:ascii="Calibri" w:eastAsiaTheme="minorEastAsia" w:hAnsi="Calibri" w:cs="Calibri"/>
          <w:noProof/>
        </w:rPr>
        <w:t> </w:t>
      </w:r>
      <w:r w:rsidRPr="08E98174">
        <w:rPr>
          <w:rFonts w:eastAsiaTheme="minorEastAsia"/>
          <w:noProof/>
        </w:rPr>
        <w:t xml:space="preserve">15(3) </w:t>
      </w:r>
      <w:r>
        <w:rPr>
          <w:rFonts w:eastAsiaTheme="minorEastAsia"/>
          <w:noProof/>
        </w:rPr>
        <w:t>of the f</w:t>
      </w:r>
      <w:r w:rsidRPr="08E98174">
        <w:rPr>
          <w:rFonts w:eastAsiaTheme="minorEastAsia"/>
          <w:noProof/>
        </w:rPr>
        <w:t xml:space="preserve">inancial </w:t>
      </w:r>
      <w:r>
        <w:rPr>
          <w:rFonts w:eastAsiaTheme="minorEastAsia"/>
          <w:noProof/>
        </w:rPr>
        <w:t>r</w:t>
      </w:r>
      <w:r w:rsidRPr="08E98174">
        <w:rPr>
          <w:rFonts w:eastAsiaTheme="minorEastAsia"/>
          <w:noProof/>
        </w:rPr>
        <w:t>egulation</w:t>
      </w:r>
      <w:r>
        <w:rPr>
          <w:rFonts w:eastAsiaTheme="minorEastAsia"/>
          <w:noProof/>
        </w:rPr>
        <w:t>.</w:t>
      </w:r>
    </w:p>
    <w:p w14:paraId="22B03E85" w14:textId="77777777" w:rsidR="00A4351B" w:rsidRPr="007C0B51" w:rsidRDefault="00A4351B" w:rsidP="00A4351B">
      <w:pPr>
        <w:pStyle w:val="FootnoteText"/>
        <w:rPr>
          <w:rFonts w:eastAsiaTheme="minorEastAsia"/>
          <w:noProof/>
        </w:rPr>
      </w:pPr>
      <w:r w:rsidRPr="00FB65DA">
        <w:rPr>
          <w:rFonts w:eastAsiaTheme="minorEastAsia"/>
          <w:noProof/>
        </w:rPr>
        <w:t>(***) The total available budget for 2021-27 includes loans committed in 2021 for adopted plans. This total will be update</w:t>
      </w:r>
      <w:r>
        <w:rPr>
          <w:rFonts w:eastAsiaTheme="minorEastAsia"/>
          <w:noProof/>
        </w:rPr>
        <w:t>d</w:t>
      </w:r>
      <w:r w:rsidRPr="00FB65DA">
        <w:rPr>
          <w:rFonts w:eastAsiaTheme="minorEastAsia"/>
          <w:noProof/>
        </w:rPr>
        <w:t xml:space="preserve"> yearly if loans are committed in subsequent years.</w:t>
      </w:r>
    </w:p>
    <w:p w14:paraId="27A43931" w14:textId="77777777" w:rsidR="00A4351B" w:rsidRDefault="00A4351B" w:rsidP="009B62E0">
      <w:pPr>
        <w:pStyle w:val="ppoTableTabletitle"/>
        <w:rPr>
          <w:rFonts w:eastAsiaTheme="minorEastAsia"/>
          <w:noProof/>
        </w:rPr>
      </w:pPr>
    </w:p>
    <w:p w14:paraId="05484A95" w14:textId="77777777" w:rsidR="009B62E0" w:rsidRPr="00AB75F3" w:rsidRDefault="009B62E0" w:rsidP="009B62E0">
      <w:pPr>
        <w:pStyle w:val="ppoTableTabletitle"/>
        <w:rPr>
          <w:noProof/>
        </w:rPr>
      </w:pPr>
      <w:r w:rsidRPr="00040D99">
        <w:rPr>
          <w:noProof/>
        </w:rPr>
        <w:t>Cumulative implementation rate</w:t>
      </w:r>
      <w:r>
        <w:rPr>
          <w:noProof/>
        </w:rPr>
        <w:t xml:space="preserve"> (excluding loans)</w:t>
      </w:r>
      <w:r w:rsidRPr="00040D99">
        <w:rPr>
          <w:noProof/>
        </w:rPr>
        <w:t xml:space="preserve"> at the end of 2021</w:t>
      </w:r>
      <w:r>
        <w:rPr>
          <w:noProof/>
        </w:rPr>
        <w:t xml:space="preserve"> (million EUR):</w:t>
      </w:r>
    </w:p>
    <w:tbl>
      <w:tblPr>
        <w:tblStyle w:val="PPO2021"/>
        <w:tblW w:w="9639" w:type="dxa"/>
        <w:tblInd w:w="0" w:type="dxa"/>
        <w:tblLook w:val="06A0" w:firstRow="1" w:lastRow="0" w:firstColumn="1" w:lastColumn="0" w:noHBand="1" w:noVBand="1"/>
      </w:tblPr>
      <w:tblGrid>
        <w:gridCol w:w="2364"/>
        <w:gridCol w:w="2379"/>
        <w:gridCol w:w="2517"/>
        <w:gridCol w:w="2379"/>
      </w:tblGrid>
      <w:tr w:rsidR="009B62E0" w:rsidRPr="00040D99" w14:paraId="32983A31" w14:textId="77777777" w:rsidTr="00AF1C52">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4161E03D" w14:textId="77777777" w:rsidR="009B62E0" w:rsidRPr="00807AC3" w:rsidRDefault="009B62E0" w:rsidP="00AF1C52">
            <w:pPr>
              <w:rPr>
                <w:noProof/>
              </w:rPr>
            </w:pPr>
          </w:p>
        </w:tc>
        <w:tc>
          <w:tcPr>
            <w:tcW w:w="2410" w:type="dxa"/>
          </w:tcPr>
          <w:p w14:paraId="62E46125" w14:textId="77777777" w:rsidR="009B62E0" w:rsidRPr="00807AC3" w:rsidRDefault="009B62E0" w:rsidP="00AF1C52">
            <w:pPr>
              <w:cnfStyle w:val="100000000000" w:firstRow="1" w:lastRow="0" w:firstColumn="0" w:lastColumn="0" w:oddVBand="0" w:evenVBand="0" w:oddHBand="0" w:evenHBand="0" w:firstRowFirstColumn="0" w:firstRowLastColumn="0" w:lastRowFirstColumn="0" w:lastRowLastColumn="0"/>
              <w:rPr>
                <w:noProof/>
              </w:rPr>
            </w:pPr>
            <w:r w:rsidRPr="00807AC3">
              <w:rPr>
                <w:noProof/>
              </w:rPr>
              <w:t>Implementation</w:t>
            </w:r>
          </w:p>
        </w:tc>
        <w:tc>
          <w:tcPr>
            <w:tcW w:w="2410" w:type="dxa"/>
          </w:tcPr>
          <w:p w14:paraId="6E6FB23D" w14:textId="77777777" w:rsidR="009B62E0" w:rsidRPr="00807AC3" w:rsidRDefault="009B62E0" w:rsidP="00AF1C52">
            <w:pPr>
              <w:cnfStyle w:val="100000000000" w:firstRow="1" w:lastRow="0" w:firstColumn="0" w:lastColumn="0" w:oddVBand="0" w:evenVBand="0" w:oddHBand="0" w:evenHBand="0" w:firstRowFirstColumn="0" w:firstRowLastColumn="0" w:lastRowFirstColumn="0" w:lastRowLastColumn="0"/>
              <w:rPr>
                <w:noProof/>
              </w:rPr>
            </w:pPr>
            <w:r w:rsidRPr="00807AC3">
              <w:rPr>
                <w:noProof/>
              </w:rPr>
              <w:t>Budget</w:t>
            </w:r>
          </w:p>
        </w:tc>
        <w:tc>
          <w:tcPr>
            <w:tcW w:w="2410" w:type="dxa"/>
          </w:tcPr>
          <w:p w14:paraId="4E15BA48" w14:textId="77777777" w:rsidR="009B62E0" w:rsidRPr="00807AC3" w:rsidRDefault="009B62E0" w:rsidP="00AF1C52">
            <w:pPr>
              <w:cnfStyle w:val="100000000000" w:firstRow="1" w:lastRow="0" w:firstColumn="0" w:lastColumn="0" w:oddVBand="0" w:evenVBand="0" w:oddHBand="0" w:evenHBand="0" w:firstRowFirstColumn="0" w:firstRowLastColumn="0" w:lastRowFirstColumn="0" w:lastRowLastColumn="0"/>
              <w:rPr>
                <w:noProof/>
              </w:rPr>
            </w:pPr>
            <w:r w:rsidRPr="00807AC3">
              <w:rPr>
                <w:noProof/>
              </w:rPr>
              <w:t>Implementation rate</w:t>
            </w:r>
          </w:p>
        </w:tc>
      </w:tr>
      <w:tr w:rsidR="009B62E0" w:rsidRPr="00040D99" w14:paraId="0C437855"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14FD4212" w14:textId="77777777" w:rsidR="009B62E0" w:rsidRPr="00807AC3" w:rsidRDefault="009B62E0" w:rsidP="00AF1C52">
            <w:pPr>
              <w:jc w:val="center"/>
              <w:rPr>
                <w:noProof/>
              </w:rPr>
            </w:pPr>
            <w:r w:rsidRPr="00807AC3">
              <w:rPr>
                <w:noProof/>
              </w:rPr>
              <w:t>Commitment</w:t>
            </w:r>
          </w:p>
        </w:tc>
        <w:tc>
          <w:tcPr>
            <w:tcW w:w="2410" w:type="dxa"/>
          </w:tcPr>
          <w:tbl>
            <w:tblPr>
              <w:tblStyle w:val="TableGrid"/>
              <w:tblW w:w="0" w:type="auto"/>
              <w:tblLook w:val="06A0" w:firstRow="1" w:lastRow="0" w:firstColumn="1" w:lastColumn="0" w:noHBand="1" w:noVBand="1"/>
            </w:tblPr>
            <w:tblGrid>
              <w:gridCol w:w="2163"/>
            </w:tblGrid>
            <w:tr w:rsidR="009B62E0" w14:paraId="6B340CEF" w14:textId="77777777" w:rsidTr="00AF1C52">
              <w:trPr>
                <w:trHeight w:val="285"/>
              </w:trPr>
              <w:tc>
                <w:tcPr>
                  <w:tcW w:w="2290" w:type="dxa"/>
                  <w:tcBorders>
                    <w:top w:val="nil"/>
                    <w:left w:val="nil"/>
                    <w:bottom w:val="nil"/>
                    <w:right w:val="nil"/>
                  </w:tcBorders>
                  <w:vAlign w:val="bottom"/>
                </w:tcPr>
                <w:p w14:paraId="52DC5EF7" w14:textId="1692D4AD" w:rsidR="009B62E0" w:rsidRDefault="002206CB" w:rsidP="00AF1C52">
                  <w:pPr>
                    <w:jc w:val="right"/>
                    <w:rPr>
                      <w:noProof/>
                    </w:rPr>
                  </w:pPr>
                  <w:r>
                    <w:rPr>
                      <w:rFonts w:ascii="Calibri" w:hAnsi="Calibri" w:cs="Calibri"/>
                      <w:noProof/>
                      <w:color w:val="000000"/>
                    </w:rPr>
                    <w:t>98 034.0</w:t>
                  </w:r>
                </w:p>
              </w:tc>
            </w:tr>
          </w:tbl>
          <w:p w14:paraId="46E1198C" w14:textId="77777777" w:rsidR="009B62E0" w:rsidRPr="00807AC3" w:rsidRDefault="009B62E0" w:rsidP="00AF1C5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2301" w:type="dxa"/>
              <w:tblLook w:val="06A0" w:firstRow="1" w:lastRow="0" w:firstColumn="1" w:lastColumn="0" w:noHBand="1" w:noVBand="1"/>
            </w:tblPr>
            <w:tblGrid>
              <w:gridCol w:w="2301"/>
            </w:tblGrid>
            <w:tr w:rsidR="009B62E0" w14:paraId="769766AA" w14:textId="77777777" w:rsidTr="00AF1C52">
              <w:trPr>
                <w:trHeight w:val="285"/>
              </w:trPr>
              <w:tc>
                <w:tcPr>
                  <w:tcW w:w="2301" w:type="dxa"/>
                  <w:tcBorders>
                    <w:top w:val="nil"/>
                    <w:left w:val="nil"/>
                    <w:bottom w:val="nil"/>
                    <w:right w:val="nil"/>
                  </w:tcBorders>
                  <w:vAlign w:val="bottom"/>
                </w:tcPr>
                <w:p w14:paraId="3BCF68AC" w14:textId="17A11645" w:rsidR="002206CB" w:rsidRDefault="00A4351B" w:rsidP="002206CB">
                  <w:pPr>
                    <w:spacing w:after="0"/>
                    <w:jc w:val="center"/>
                    <w:rPr>
                      <w:rFonts w:ascii="Calibri" w:hAnsi="Calibri" w:cs="Calibri"/>
                      <w:noProof/>
                      <w:color w:val="000000"/>
                    </w:rPr>
                  </w:pPr>
                  <w:r>
                    <w:rPr>
                      <w:rFonts w:ascii="Calibri" w:hAnsi="Calibri" w:cs="Calibri"/>
                      <w:noProof/>
                      <w:color w:val="000000"/>
                    </w:rPr>
                    <w:t>491 845.3</w:t>
                  </w:r>
                </w:p>
                <w:p w14:paraId="449DD8EA" w14:textId="19F5B0EA" w:rsidR="009B62E0" w:rsidRDefault="009B62E0" w:rsidP="00AF1C52">
                  <w:pPr>
                    <w:jc w:val="right"/>
                    <w:rPr>
                      <w:noProof/>
                    </w:rPr>
                  </w:pPr>
                </w:p>
              </w:tc>
            </w:tr>
          </w:tbl>
          <w:p w14:paraId="294A89E9" w14:textId="77777777" w:rsidR="009B62E0" w:rsidRPr="00807AC3" w:rsidRDefault="009B62E0" w:rsidP="00AF1C5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63"/>
            </w:tblGrid>
            <w:tr w:rsidR="009B62E0" w14:paraId="396D8C0D" w14:textId="77777777" w:rsidTr="00AF1C52">
              <w:trPr>
                <w:trHeight w:val="285"/>
              </w:trPr>
              <w:tc>
                <w:tcPr>
                  <w:tcW w:w="2290" w:type="dxa"/>
                  <w:tcBorders>
                    <w:top w:val="nil"/>
                    <w:left w:val="nil"/>
                    <w:bottom w:val="nil"/>
                    <w:right w:val="nil"/>
                  </w:tcBorders>
                  <w:vAlign w:val="bottom"/>
                </w:tcPr>
                <w:p w14:paraId="2B9976C1" w14:textId="19E00E3D" w:rsidR="009B62E0" w:rsidRDefault="009B62E0" w:rsidP="00975B51">
                  <w:pPr>
                    <w:jc w:val="right"/>
                    <w:rPr>
                      <w:noProof/>
                    </w:rPr>
                  </w:pPr>
                  <w:r>
                    <w:rPr>
                      <w:rFonts w:ascii="Calibri" w:hAnsi="Calibri" w:cs="Calibri"/>
                      <w:noProof/>
                      <w:color w:val="000000"/>
                    </w:rPr>
                    <w:t>2</w:t>
                  </w:r>
                  <w:r w:rsidR="00A4351B">
                    <w:rPr>
                      <w:rFonts w:ascii="Calibri" w:hAnsi="Calibri" w:cs="Calibri"/>
                      <w:noProof/>
                      <w:color w:val="000000"/>
                    </w:rPr>
                    <w:t>0</w:t>
                  </w:r>
                  <w:r w:rsidRPr="30390940">
                    <w:rPr>
                      <w:rFonts w:ascii="Calibri" w:hAnsi="Calibri" w:cs="Calibri"/>
                      <w:noProof/>
                      <w:color w:val="000000"/>
                    </w:rPr>
                    <w:t>%</w:t>
                  </w:r>
                </w:p>
              </w:tc>
            </w:tr>
          </w:tbl>
          <w:p w14:paraId="3AA2A291" w14:textId="77777777" w:rsidR="009B62E0" w:rsidRPr="00807AC3" w:rsidRDefault="009B62E0" w:rsidP="00AF1C52">
            <w:pPr>
              <w:jc w:val="center"/>
              <w:cnfStyle w:val="000000000000" w:firstRow="0" w:lastRow="0" w:firstColumn="0" w:lastColumn="0" w:oddVBand="0" w:evenVBand="0" w:oddHBand="0" w:evenHBand="0" w:firstRowFirstColumn="0" w:firstRowLastColumn="0" w:lastRowFirstColumn="0" w:lastRowLastColumn="0"/>
              <w:rPr>
                <w:noProof/>
              </w:rPr>
            </w:pPr>
          </w:p>
        </w:tc>
      </w:tr>
      <w:tr w:rsidR="009B62E0" w:rsidRPr="00040D99" w14:paraId="14CF4D8F"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136C1EB0" w14:textId="77777777" w:rsidR="009B62E0" w:rsidRPr="00807AC3" w:rsidRDefault="009B62E0" w:rsidP="00AF1C52">
            <w:pPr>
              <w:jc w:val="center"/>
              <w:rPr>
                <w:noProof/>
              </w:rPr>
            </w:pPr>
            <w:r w:rsidRPr="00807AC3">
              <w:rPr>
                <w:noProof/>
              </w:rPr>
              <w:t>Payments</w:t>
            </w:r>
          </w:p>
        </w:tc>
        <w:tc>
          <w:tcPr>
            <w:tcW w:w="2410" w:type="dxa"/>
          </w:tcPr>
          <w:tbl>
            <w:tblPr>
              <w:tblStyle w:val="TableGrid"/>
              <w:tblW w:w="0" w:type="auto"/>
              <w:tblLook w:val="06A0" w:firstRow="1" w:lastRow="0" w:firstColumn="1" w:lastColumn="0" w:noHBand="1" w:noVBand="1"/>
            </w:tblPr>
            <w:tblGrid>
              <w:gridCol w:w="2163"/>
            </w:tblGrid>
            <w:tr w:rsidR="009B62E0" w14:paraId="38AE8EBE" w14:textId="77777777" w:rsidTr="00AF1C52">
              <w:tc>
                <w:tcPr>
                  <w:tcW w:w="2290" w:type="dxa"/>
                  <w:tcBorders>
                    <w:top w:val="nil"/>
                    <w:left w:val="nil"/>
                    <w:bottom w:val="nil"/>
                    <w:right w:val="nil"/>
                  </w:tcBorders>
                </w:tcPr>
                <w:p w14:paraId="35E1F631" w14:textId="7C6A3CF3" w:rsidR="009B62E0" w:rsidRDefault="002206CB" w:rsidP="00AF1C52">
                  <w:pPr>
                    <w:jc w:val="right"/>
                    <w:rPr>
                      <w:noProof/>
                    </w:rPr>
                  </w:pPr>
                  <w:r>
                    <w:rPr>
                      <w:rFonts w:ascii="Calibri" w:hAnsi="Calibri" w:cs="Calibri"/>
                      <w:noProof/>
                      <w:color w:val="000000"/>
                    </w:rPr>
                    <w:t>46 374.6</w:t>
                  </w:r>
                </w:p>
              </w:tc>
            </w:tr>
          </w:tbl>
          <w:p w14:paraId="1BA6D9CE" w14:textId="77777777" w:rsidR="009B62E0" w:rsidRPr="00807AC3" w:rsidRDefault="009B62E0" w:rsidP="00AF1C5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6AFE71F3" w14:textId="77777777" w:rsidR="009B62E0" w:rsidRPr="00807AC3" w:rsidRDefault="009B62E0" w:rsidP="00AF1C5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63"/>
            </w:tblGrid>
            <w:tr w:rsidR="009B62E0" w14:paraId="79987728" w14:textId="77777777" w:rsidTr="00AF1C52">
              <w:tc>
                <w:tcPr>
                  <w:tcW w:w="2235" w:type="dxa"/>
                  <w:tcBorders>
                    <w:top w:val="nil"/>
                    <w:left w:val="nil"/>
                    <w:bottom w:val="nil"/>
                    <w:right w:val="nil"/>
                  </w:tcBorders>
                </w:tcPr>
                <w:p w14:paraId="3E66675F" w14:textId="438F0457" w:rsidR="009B62E0" w:rsidRDefault="00A4351B" w:rsidP="00AF1C52">
                  <w:pPr>
                    <w:jc w:val="right"/>
                    <w:rPr>
                      <w:noProof/>
                    </w:rPr>
                  </w:pPr>
                  <w:r>
                    <w:rPr>
                      <w:rFonts w:ascii="Calibri" w:hAnsi="Calibri" w:cs="Calibri"/>
                      <w:noProof/>
                      <w:color w:val="000000"/>
                    </w:rPr>
                    <w:t>9</w:t>
                  </w:r>
                  <w:r w:rsidR="009B62E0" w:rsidRPr="30390940">
                    <w:rPr>
                      <w:rFonts w:ascii="Calibri" w:hAnsi="Calibri" w:cs="Calibri"/>
                      <w:noProof/>
                      <w:color w:val="000000"/>
                    </w:rPr>
                    <w:t>%</w:t>
                  </w:r>
                </w:p>
              </w:tc>
            </w:tr>
          </w:tbl>
          <w:p w14:paraId="69203CF4" w14:textId="77777777" w:rsidR="009B62E0" w:rsidRPr="00807AC3" w:rsidRDefault="009B62E0" w:rsidP="00AF1C52">
            <w:pPr>
              <w:jc w:val="center"/>
              <w:cnfStyle w:val="000000000000" w:firstRow="0" w:lastRow="0" w:firstColumn="0" w:lastColumn="0" w:oddVBand="0" w:evenVBand="0" w:oddHBand="0" w:evenHBand="0" w:firstRowFirstColumn="0" w:firstRowLastColumn="0" w:lastRowFirstColumn="0" w:lastRowLastColumn="0"/>
              <w:rPr>
                <w:noProof/>
              </w:rPr>
            </w:pPr>
          </w:p>
        </w:tc>
      </w:tr>
    </w:tbl>
    <w:p w14:paraId="6FDF3685" w14:textId="77777777" w:rsidR="009B62E0" w:rsidRPr="005A6D5C" w:rsidRDefault="009B62E0" w:rsidP="009B62E0">
      <w:pPr>
        <w:pStyle w:val="ppoListHyphened-L1"/>
        <w:rPr>
          <w:noProof/>
        </w:rPr>
      </w:pPr>
      <w:r w:rsidRPr="005A6D5C">
        <w:rPr>
          <w:noProof/>
        </w:rPr>
        <w:t>By 31</w:t>
      </w:r>
      <w:r>
        <w:rPr>
          <w:rFonts w:ascii="Calibri" w:hAnsi="Calibri" w:cs="Calibri"/>
          <w:noProof/>
        </w:rPr>
        <w:t> </w:t>
      </w:r>
      <w:r w:rsidRPr="005A6D5C">
        <w:rPr>
          <w:noProof/>
        </w:rPr>
        <w:t>December 2021, 26 Member States ha</w:t>
      </w:r>
      <w:r>
        <w:rPr>
          <w:noProof/>
        </w:rPr>
        <w:t>d</w:t>
      </w:r>
      <w:r w:rsidRPr="005A6D5C">
        <w:rPr>
          <w:noProof/>
        </w:rPr>
        <w:t xml:space="preserve"> formally submitted their </w:t>
      </w:r>
      <w:r>
        <w:rPr>
          <w:noProof/>
        </w:rPr>
        <w:t>RRPs</w:t>
      </w:r>
      <w:r w:rsidRPr="005A6D5C">
        <w:rPr>
          <w:noProof/>
        </w:rPr>
        <w:t>, 22 of which were positively assessed by the Commission and endorsed by the Council.</w:t>
      </w:r>
    </w:p>
    <w:p w14:paraId="613B88C5" w14:textId="77777777" w:rsidR="009B62E0" w:rsidRPr="00040D99" w:rsidRDefault="009B62E0" w:rsidP="009B62E0">
      <w:pPr>
        <w:pStyle w:val="ppoListHyphened-L1"/>
        <w:rPr>
          <w:noProof/>
        </w:rPr>
      </w:pPr>
      <w:r w:rsidRPr="005A6D5C">
        <w:rPr>
          <w:noProof/>
        </w:rPr>
        <w:t xml:space="preserve">Following the adoption of the </w:t>
      </w:r>
      <w:r>
        <w:rPr>
          <w:noProof/>
        </w:rPr>
        <w:t>RRPs</w:t>
      </w:r>
      <w:r w:rsidRPr="005A6D5C">
        <w:rPr>
          <w:noProof/>
        </w:rPr>
        <w:t xml:space="preserve"> and the signature of the necessary financing agreement and</w:t>
      </w:r>
      <w:r>
        <w:rPr>
          <w:noProof/>
        </w:rPr>
        <w:t>,</w:t>
      </w:r>
      <w:r w:rsidRPr="005A6D5C">
        <w:rPr>
          <w:noProof/>
        </w:rPr>
        <w:t xml:space="preserve"> where relevant</w:t>
      </w:r>
      <w:r>
        <w:rPr>
          <w:noProof/>
        </w:rPr>
        <w:t>,</w:t>
      </w:r>
      <w:r w:rsidRPr="005A6D5C">
        <w:rPr>
          <w:noProof/>
        </w:rPr>
        <w:t xml:space="preserve"> a loan agreement, </w:t>
      </w:r>
      <w:r>
        <w:rPr>
          <w:noProof/>
        </w:rPr>
        <w:t xml:space="preserve">in 2021 </w:t>
      </w:r>
      <w:r w:rsidRPr="005A6D5C">
        <w:rPr>
          <w:noProof/>
        </w:rPr>
        <w:t>the Commission disbursed EUR</w:t>
      </w:r>
      <w:r>
        <w:rPr>
          <w:rFonts w:ascii="Calibri" w:hAnsi="Calibri" w:cs="Calibri"/>
          <w:noProof/>
        </w:rPr>
        <w:t> </w:t>
      </w:r>
      <w:r w:rsidRPr="005A6D5C">
        <w:rPr>
          <w:noProof/>
        </w:rPr>
        <w:t>54.3</w:t>
      </w:r>
      <w:r>
        <w:rPr>
          <w:rFonts w:ascii="Calibri" w:hAnsi="Calibri" w:cs="Calibri"/>
          <w:noProof/>
        </w:rPr>
        <w:t> </w:t>
      </w:r>
      <w:r w:rsidRPr="005A6D5C">
        <w:rPr>
          <w:noProof/>
        </w:rPr>
        <w:t>billion as pre-financing to 20 Member States: EUR</w:t>
      </w:r>
      <w:r>
        <w:rPr>
          <w:rFonts w:ascii="Calibri" w:hAnsi="Calibri" w:cs="Calibri"/>
          <w:noProof/>
        </w:rPr>
        <w:t> </w:t>
      </w:r>
      <w:r w:rsidRPr="005A6D5C">
        <w:rPr>
          <w:noProof/>
        </w:rPr>
        <w:t>36.4</w:t>
      </w:r>
      <w:r>
        <w:rPr>
          <w:rFonts w:ascii="Calibri" w:hAnsi="Calibri" w:cs="Calibri"/>
          <w:noProof/>
        </w:rPr>
        <w:t> </w:t>
      </w:r>
      <w:r w:rsidRPr="005A6D5C">
        <w:rPr>
          <w:noProof/>
        </w:rPr>
        <w:t>billion in the form of grants</w:t>
      </w:r>
      <w:r>
        <w:rPr>
          <w:noProof/>
        </w:rPr>
        <w:t xml:space="preserve"> and</w:t>
      </w:r>
      <w:r w:rsidRPr="005A6D5C">
        <w:rPr>
          <w:noProof/>
        </w:rPr>
        <w:t xml:space="preserve"> EUR</w:t>
      </w:r>
      <w:r>
        <w:rPr>
          <w:rFonts w:ascii="Calibri" w:hAnsi="Calibri" w:cs="Calibri"/>
          <w:noProof/>
        </w:rPr>
        <w:t> </w:t>
      </w:r>
      <w:r w:rsidRPr="005A6D5C">
        <w:rPr>
          <w:noProof/>
        </w:rPr>
        <w:t>18</w:t>
      </w:r>
      <w:r>
        <w:rPr>
          <w:rFonts w:ascii="Calibri" w:hAnsi="Calibri" w:cs="Calibri"/>
          <w:noProof/>
        </w:rPr>
        <w:t> </w:t>
      </w:r>
      <w:r w:rsidRPr="005A6D5C">
        <w:rPr>
          <w:noProof/>
        </w:rPr>
        <w:t>billion in the form of loans</w:t>
      </w:r>
      <w:r>
        <w:rPr>
          <w:noProof/>
        </w:rPr>
        <w:t>,</w:t>
      </w:r>
      <w:r w:rsidRPr="005A6D5C">
        <w:rPr>
          <w:noProof/>
        </w:rPr>
        <w:t xml:space="preserve"> allowing for the implementation </w:t>
      </w:r>
      <w:r>
        <w:rPr>
          <w:noProof/>
        </w:rPr>
        <w:t xml:space="preserve">of the </w:t>
      </w:r>
      <w:r w:rsidRPr="005A6D5C">
        <w:rPr>
          <w:noProof/>
        </w:rPr>
        <w:t>plans</w:t>
      </w:r>
      <w:r>
        <w:rPr>
          <w:noProof/>
        </w:rPr>
        <w:t>.</w:t>
      </w:r>
    </w:p>
    <w:p w14:paraId="04FBC8B9" w14:textId="057BF1A5" w:rsidR="00755628" w:rsidRPr="00040D99" w:rsidRDefault="009B62E0" w:rsidP="00E96180">
      <w:pPr>
        <w:pStyle w:val="ppoListHyphened-L1"/>
        <w:rPr>
          <w:noProof/>
        </w:rPr>
      </w:pPr>
      <w:r w:rsidRPr="005A6D5C">
        <w:rPr>
          <w:noProof/>
        </w:rPr>
        <w:t>Still in 2021</w:t>
      </w:r>
      <w:r>
        <w:rPr>
          <w:noProof/>
        </w:rPr>
        <w:t>,</w:t>
      </w:r>
      <w:r w:rsidRPr="005A6D5C">
        <w:rPr>
          <w:noProof/>
        </w:rPr>
        <w:t xml:space="preserve"> the Commission disbursed a first payment of EUR</w:t>
      </w:r>
      <w:r>
        <w:rPr>
          <w:rFonts w:ascii="Calibri" w:hAnsi="Calibri" w:cs="Calibri"/>
          <w:noProof/>
        </w:rPr>
        <w:t> </w:t>
      </w:r>
      <w:r w:rsidRPr="005A6D5C">
        <w:rPr>
          <w:noProof/>
        </w:rPr>
        <w:t>10</w:t>
      </w:r>
      <w:r>
        <w:rPr>
          <w:rFonts w:ascii="Calibri" w:hAnsi="Calibri" w:cs="Calibri"/>
          <w:noProof/>
        </w:rPr>
        <w:t> </w:t>
      </w:r>
      <w:r w:rsidRPr="005A6D5C">
        <w:rPr>
          <w:noProof/>
        </w:rPr>
        <w:t xml:space="preserve">billion </w:t>
      </w:r>
      <w:r>
        <w:rPr>
          <w:noProof/>
        </w:rPr>
        <w:t xml:space="preserve">in grants </w:t>
      </w:r>
      <w:r w:rsidRPr="005A6D5C">
        <w:rPr>
          <w:noProof/>
        </w:rPr>
        <w:t xml:space="preserve">to Spain following the fulfilment of 52 milestones and targets. </w:t>
      </w:r>
      <w:r>
        <w:rPr>
          <w:noProof/>
        </w:rPr>
        <w:t>In addition, t</w:t>
      </w:r>
      <w:r w:rsidRPr="005A6D5C">
        <w:rPr>
          <w:noProof/>
        </w:rPr>
        <w:t>hree other Member States submitted their first payment requests (</w:t>
      </w:r>
      <w:r>
        <w:rPr>
          <w:noProof/>
        </w:rPr>
        <w:t xml:space="preserve">Greece, France, </w:t>
      </w:r>
      <w:r w:rsidRPr="006C483E">
        <w:rPr>
          <w:noProof/>
        </w:rPr>
        <w:t>Italy</w:t>
      </w:r>
      <w:r w:rsidRPr="005A6D5C">
        <w:rPr>
          <w:noProof/>
        </w:rPr>
        <w:t>)</w:t>
      </w:r>
      <w:r w:rsidR="00755628">
        <w:rPr>
          <w:noProof/>
        </w:rPr>
        <w:t>.</w:t>
      </w:r>
    </w:p>
    <w:p w14:paraId="0AD143A4" w14:textId="77777777" w:rsidR="009B62E0" w:rsidRPr="00040D99" w:rsidRDefault="009B62E0" w:rsidP="009B62E0">
      <w:pPr>
        <w:pStyle w:val="ppoHeading5"/>
        <w:rPr>
          <w:noProof/>
        </w:rPr>
      </w:pPr>
      <w:r w:rsidRPr="00040D99">
        <w:rPr>
          <w:noProof/>
        </w:rPr>
        <w:t>Contribution to horizontal priorities</w:t>
      </w:r>
    </w:p>
    <w:p w14:paraId="191CA1F4" w14:textId="77777777" w:rsidR="009B62E0" w:rsidRPr="00304A2B" w:rsidRDefault="009B62E0" w:rsidP="009B62E0">
      <w:pPr>
        <w:pStyle w:val="ppoTableTabletitle"/>
        <w:rPr>
          <w:noProof/>
          <w:lang w:val="en-US"/>
        </w:rPr>
      </w:pPr>
      <w:r w:rsidRPr="00304A2B">
        <w:rPr>
          <w:noProof/>
          <w:lang w:val="en-US"/>
        </w:rPr>
        <w:t>EU budget contribution (including loans) in 2021 (million EUR):</w:t>
      </w:r>
    </w:p>
    <w:tbl>
      <w:tblPr>
        <w:tblStyle w:val="PPO2021"/>
        <w:tblW w:w="9639" w:type="dxa"/>
        <w:tblInd w:w="0" w:type="dxa"/>
        <w:tblLook w:val="0420" w:firstRow="1" w:lastRow="0" w:firstColumn="0" w:lastColumn="0" w:noHBand="0" w:noVBand="1"/>
      </w:tblPr>
      <w:tblGrid>
        <w:gridCol w:w="3213"/>
        <w:gridCol w:w="3213"/>
        <w:gridCol w:w="3213"/>
      </w:tblGrid>
      <w:tr w:rsidR="009B62E0" w:rsidRPr="00040D99" w14:paraId="15B79930" w14:textId="77777777" w:rsidTr="00AF1C52">
        <w:trPr>
          <w:cnfStyle w:val="100000000000" w:firstRow="1" w:lastRow="0" w:firstColumn="0" w:lastColumn="0" w:oddVBand="0" w:evenVBand="0" w:oddHBand="0" w:evenHBand="0" w:firstRowFirstColumn="0" w:firstRowLastColumn="0" w:lastRowFirstColumn="0" w:lastRowLastColumn="0"/>
          <w:tblHeader/>
        </w:trPr>
        <w:tc>
          <w:tcPr>
            <w:tcW w:w="3213" w:type="dxa"/>
          </w:tcPr>
          <w:p w14:paraId="7A7DCA08" w14:textId="77777777" w:rsidR="009B62E0" w:rsidRPr="00BD731A" w:rsidRDefault="009B62E0" w:rsidP="00AF1C52">
            <w:pPr>
              <w:rPr>
                <w:noProof/>
              </w:rPr>
            </w:pPr>
            <w:r w:rsidRPr="00BD731A">
              <w:rPr>
                <w:noProof/>
              </w:rPr>
              <w:t>Climate</w:t>
            </w:r>
          </w:p>
        </w:tc>
        <w:tc>
          <w:tcPr>
            <w:tcW w:w="3213" w:type="dxa"/>
          </w:tcPr>
          <w:p w14:paraId="46BC7E2E" w14:textId="77777777" w:rsidR="009B62E0" w:rsidRPr="00BD731A" w:rsidRDefault="009B62E0" w:rsidP="00AF1C52">
            <w:pPr>
              <w:rPr>
                <w:noProof/>
              </w:rPr>
            </w:pPr>
            <w:r w:rsidRPr="00BD731A">
              <w:rPr>
                <w:noProof/>
              </w:rPr>
              <w:t>Biodiversity</w:t>
            </w:r>
          </w:p>
        </w:tc>
        <w:tc>
          <w:tcPr>
            <w:tcW w:w="3213" w:type="dxa"/>
          </w:tcPr>
          <w:p w14:paraId="48418C7E" w14:textId="77777777" w:rsidR="009B62E0" w:rsidRPr="00BD731A" w:rsidRDefault="009B62E0" w:rsidP="00AF1C52">
            <w:pPr>
              <w:rPr>
                <w:noProof/>
              </w:rPr>
            </w:pPr>
            <w:r w:rsidRPr="00BD731A">
              <w:rPr>
                <w:noProof/>
              </w:rPr>
              <w:t>Gender equality</w:t>
            </w:r>
            <w:r>
              <w:rPr>
                <w:rFonts w:ascii="Calibri" w:hAnsi="Calibri" w:cs="Calibri"/>
                <w:noProof/>
              </w:rPr>
              <w:t> </w:t>
            </w:r>
            <w:r>
              <w:rPr>
                <w:noProof/>
              </w:rPr>
              <w:t>(*)</w:t>
            </w:r>
          </w:p>
        </w:tc>
      </w:tr>
      <w:tr w:rsidR="009B62E0" w:rsidRPr="00040D99" w14:paraId="6F3529D2" w14:textId="77777777" w:rsidTr="00AF1C52">
        <w:trPr>
          <w:cnfStyle w:val="000000100000" w:firstRow="0" w:lastRow="0" w:firstColumn="0" w:lastColumn="0" w:oddVBand="0" w:evenVBand="0" w:oddHBand="1" w:evenHBand="0" w:firstRowFirstColumn="0" w:firstRowLastColumn="0" w:lastRowFirstColumn="0" w:lastRowLastColumn="0"/>
        </w:trPr>
        <w:tc>
          <w:tcPr>
            <w:tcW w:w="3213" w:type="dxa"/>
          </w:tcPr>
          <w:tbl>
            <w:tblPr>
              <w:tblStyle w:val="TableGrid"/>
              <w:tblW w:w="0" w:type="auto"/>
              <w:tblLook w:val="06A0" w:firstRow="1" w:lastRow="0" w:firstColumn="1" w:lastColumn="0" w:noHBand="1" w:noVBand="1"/>
            </w:tblPr>
            <w:tblGrid>
              <w:gridCol w:w="1935"/>
            </w:tblGrid>
            <w:tr w:rsidR="009B62E0" w14:paraId="28D32FD9" w14:textId="77777777" w:rsidTr="00AF1C52">
              <w:trPr>
                <w:trHeight w:val="285"/>
              </w:trPr>
              <w:tc>
                <w:tcPr>
                  <w:tcW w:w="1935" w:type="dxa"/>
                  <w:tcBorders>
                    <w:top w:val="nil"/>
                    <w:left w:val="nil"/>
                    <w:bottom w:val="nil"/>
                    <w:right w:val="nil"/>
                  </w:tcBorders>
                  <w:vAlign w:val="bottom"/>
                </w:tcPr>
                <w:p w14:paraId="3F7C90FE" w14:textId="10A902D0" w:rsidR="009B62E0" w:rsidRDefault="009B62E0" w:rsidP="00AF1C52">
                  <w:pPr>
                    <w:spacing w:before="100" w:after="100"/>
                    <w:jc w:val="center"/>
                    <w:rPr>
                      <w:noProof/>
                    </w:rPr>
                  </w:pPr>
                  <w:r w:rsidRPr="00901C03">
                    <w:rPr>
                      <w:noProof/>
                    </w:rPr>
                    <w:t>99</w:t>
                  </w:r>
                  <w:r>
                    <w:rPr>
                      <w:rFonts w:ascii="Calibri" w:hAnsi="Calibri" w:cs="Calibri"/>
                      <w:noProof/>
                    </w:rPr>
                    <w:t> </w:t>
                  </w:r>
                  <w:r w:rsidRPr="00901C03">
                    <w:rPr>
                      <w:noProof/>
                    </w:rPr>
                    <w:t>133.</w:t>
                  </w:r>
                  <w:r w:rsidR="007716C9">
                    <w:rPr>
                      <w:noProof/>
                    </w:rPr>
                    <w:t>1</w:t>
                  </w:r>
                </w:p>
              </w:tc>
            </w:tr>
          </w:tbl>
          <w:p w14:paraId="48DF6DED" w14:textId="77777777" w:rsidR="009B62E0" w:rsidRPr="00BD731A" w:rsidRDefault="009B62E0" w:rsidP="00AF1C52">
            <w:pPr>
              <w:jc w:val="center"/>
              <w:rPr>
                <w:noProof/>
              </w:rPr>
            </w:pPr>
          </w:p>
        </w:tc>
        <w:tc>
          <w:tcPr>
            <w:tcW w:w="3213" w:type="dxa"/>
          </w:tcPr>
          <w:p w14:paraId="3E88EB9F" w14:textId="77777777" w:rsidR="009B62E0" w:rsidRPr="00BD731A" w:rsidRDefault="009B62E0" w:rsidP="00AF1C52">
            <w:pPr>
              <w:jc w:val="center"/>
              <w:rPr>
                <w:noProof/>
              </w:rPr>
            </w:pPr>
            <w:r>
              <w:rPr>
                <w:noProof/>
              </w:rPr>
              <w:t>6</w:t>
            </w:r>
            <w:r>
              <w:rPr>
                <w:rFonts w:ascii="Calibri" w:hAnsi="Calibri" w:cs="Calibri"/>
                <w:noProof/>
              </w:rPr>
              <w:t> </w:t>
            </w:r>
            <w:r>
              <w:rPr>
                <w:noProof/>
              </w:rPr>
              <w:t>255.5</w:t>
            </w:r>
          </w:p>
        </w:tc>
        <w:tc>
          <w:tcPr>
            <w:tcW w:w="3213" w:type="dxa"/>
          </w:tcPr>
          <w:p w14:paraId="25C41A64" w14:textId="77777777" w:rsidR="009B62E0" w:rsidRPr="00BD731A" w:rsidRDefault="009B62E0" w:rsidP="00AF1C52">
            <w:pPr>
              <w:jc w:val="center"/>
              <w:rPr>
                <w:noProof/>
              </w:rPr>
            </w:pPr>
            <w:r>
              <w:rPr>
                <w:noProof/>
              </w:rPr>
              <w:t>Score 0*: 251</w:t>
            </w:r>
            <w:r>
              <w:rPr>
                <w:rFonts w:ascii="Calibri" w:hAnsi="Calibri" w:cs="Calibri"/>
                <w:noProof/>
              </w:rPr>
              <w:t> </w:t>
            </w:r>
            <w:r w:rsidRPr="008A5F23">
              <w:rPr>
                <w:noProof/>
              </w:rPr>
              <w:t>907</w:t>
            </w:r>
          </w:p>
        </w:tc>
      </w:tr>
    </w:tbl>
    <w:p w14:paraId="65923FAB" w14:textId="77777777" w:rsidR="009B62E0" w:rsidRPr="00982726" w:rsidRDefault="009B62E0" w:rsidP="009B62E0">
      <w:pPr>
        <w:pStyle w:val="FootnoteText"/>
        <w:rPr>
          <w:noProof/>
        </w:rPr>
      </w:pPr>
      <w:r>
        <w:rPr>
          <w:noProof/>
        </w:rPr>
        <w:t xml:space="preserve">(*) </w:t>
      </w:r>
      <w:r w:rsidRPr="00982726">
        <w:rPr>
          <w:noProof/>
        </w:rPr>
        <w:t xml:space="preserve">Based on the </w:t>
      </w:r>
      <w:r>
        <w:rPr>
          <w:noProof/>
        </w:rPr>
        <w:t xml:space="preserve">applied gender contribution </w:t>
      </w:r>
      <w:r w:rsidRPr="00982726">
        <w:rPr>
          <w:noProof/>
        </w:rPr>
        <w:t>methodology</w:t>
      </w:r>
      <w:r>
        <w:rPr>
          <w:noProof/>
        </w:rPr>
        <w:t>,</w:t>
      </w:r>
      <w:r w:rsidRPr="00982726">
        <w:rPr>
          <w:noProof/>
        </w:rPr>
        <w:t xml:space="preserve"> the following scores are attributed at the most granular level of intervention possible: </w:t>
      </w:r>
    </w:p>
    <w:p w14:paraId="36A16FFE" w14:textId="77777777" w:rsidR="009B62E0" w:rsidRPr="00982726" w:rsidRDefault="009B62E0" w:rsidP="009B62E0">
      <w:pPr>
        <w:pStyle w:val="FootnoteText"/>
        <w:numPr>
          <w:ilvl w:val="0"/>
          <w:numId w:val="38"/>
        </w:numPr>
        <w:spacing w:after="60" w:line="264" w:lineRule="auto"/>
        <w:jc w:val="left"/>
        <w:rPr>
          <w:noProof/>
        </w:rPr>
      </w:pPr>
      <w:r>
        <w:rPr>
          <w:noProof/>
        </w:rPr>
        <w:t>2:</w:t>
      </w:r>
      <w:r w:rsidRPr="00982726">
        <w:rPr>
          <w:noProof/>
        </w:rPr>
        <w:t xml:space="preserve"> </w:t>
      </w:r>
      <w:r>
        <w:rPr>
          <w:noProof/>
        </w:rPr>
        <w:t>i</w:t>
      </w:r>
      <w:r w:rsidRPr="00982726">
        <w:rPr>
          <w:noProof/>
        </w:rPr>
        <w:t xml:space="preserve">nterventions </w:t>
      </w:r>
      <w:r>
        <w:rPr>
          <w:noProof/>
        </w:rPr>
        <w:t xml:space="preserve">the </w:t>
      </w:r>
      <w:r w:rsidRPr="00982726">
        <w:rPr>
          <w:noProof/>
        </w:rPr>
        <w:t xml:space="preserve">principal objective </w:t>
      </w:r>
      <w:r>
        <w:rPr>
          <w:noProof/>
        </w:rPr>
        <w:t xml:space="preserve">of which </w:t>
      </w:r>
      <w:r w:rsidRPr="00982726">
        <w:rPr>
          <w:noProof/>
        </w:rPr>
        <w:t>is to improve gender equality;</w:t>
      </w:r>
    </w:p>
    <w:p w14:paraId="6A523A30" w14:textId="77777777" w:rsidR="009B62E0" w:rsidRPr="00982726" w:rsidRDefault="009B62E0" w:rsidP="009B62E0">
      <w:pPr>
        <w:pStyle w:val="FootnoteText"/>
        <w:numPr>
          <w:ilvl w:val="0"/>
          <w:numId w:val="38"/>
        </w:numPr>
        <w:spacing w:after="60" w:line="264" w:lineRule="auto"/>
        <w:jc w:val="left"/>
        <w:rPr>
          <w:noProof/>
        </w:rPr>
      </w:pPr>
      <w:r>
        <w:rPr>
          <w:noProof/>
        </w:rPr>
        <w:t>1:</w:t>
      </w:r>
      <w:r w:rsidRPr="00982726">
        <w:rPr>
          <w:noProof/>
        </w:rPr>
        <w:t xml:space="preserve"> </w:t>
      </w:r>
      <w:r>
        <w:rPr>
          <w:noProof/>
        </w:rPr>
        <w:t>i</w:t>
      </w:r>
      <w:r w:rsidRPr="00982726">
        <w:rPr>
          <w:noProof/>
        </w:rPr>
        <w:t xml:space="preserve">nterventions </w:t>
      </w:r>
      <w:r>
        <w:rPr>
          <w:noProof/>
        </w:rPr>
        <w:t xml:space="preserve">that have </w:t>
      </w:r>
      <w:r w:rsidRPr="00982726">
        <w:rPr>
          <w:noProof/>
        </w:rPr>
        <w:t>gender equality as an important and deliberate objective but not as the main reason for the intervention;</w:t>
      </w:r>
    </w:p>
    <w:p w14:paraId="6F8F3840" w14:textId="77777777" w:rsidR="009B62E0" w:rsidRPr="00982726" w:rsidRDefault="009B62E0" w:rsidP="009B62E0">
      <w:pPr>
        <w:pStyle w:val="FootnoteText"/>
        <w:numPr>
          <w:ilvl w:val="0"/>
          <w:numId w:val="38"/>
        </w:numPr>
        <w:spacing w:after="60" w:line="264" w:lineRule="auto"/>
        <w:jc w:val="left"/>
        <w:rPr>
          <w:noProof/>
        </w:rPr>
      </w:pPr>
      <w:r>
        <w:rPr>
          <w:noProof/>
        </w:rPr>
        <w:t>0:</w:t>
      </w:r>
      <w:r w:rsidRPr="00982726">
        <w:rPr>
          <w:noProof/>
        </w:rPr>
        <w:t xml:space="preserve"> </w:t>
      </w:r>
      <w:r>
        <w:rPr>
          <w:noProof/>
        </w:rPr>
        <w:t>non-</w:t>
      </w:r>
      <w:r w:rsidRPr="00982726">
        <w:rPr>
          <w:noProof/>
        </w:rPr>
        <w:t>targeted interventions</w:t>
      </w:r>
      <w:r>
        <w:rPr>
          <w:noProof/>
        </w:rPr>
        <w:t>;</w:t>
      </w:r>
      <w:r w:rsidRPr="00982726">
        <w:rPr>
          <w:noProof/>
        </w:rPr>
        <w:t xml:space="preserve"> </w:t>
      </w:r>
    </w:p>
    <w:p w14:paraId="646DCFE8" w14:textId="77777777" w:rsidR="009B62E0" w:rsidRDefault="009B62E0" w:rsidP="009B62E0">
      <w:pPr>
        <w:pStyle w:val="FootnoteText"/>
        <w:numPr>
          <w:ilvl w:val="0"/>
          <w:numId w:val="38"/>
        </w:numPr>
        <w:spacing w:after="60" w:line="264" w:lineRule="auto"/>
        <w:jc w:val="left"/>
        <w:rPr>
          <w:noProof/>
        </w:rPr>
      </w:pPr>
      <w:r>
        <w:rPr>
          <w:noProof/>
        </w:rPr>
        <w:t>0*:</w:t>
      </w:r>
      <w:r w:rsidRPr="00982726">
        <w:rPr>
          <w:noProof/>
        </w:rPr>
        <w:t xml:space="preserve"> </w:t>
      </w:r>
      <w:r>
        <w:rPr>
          <w:noProof/>
        </w:rPr>
        <w:t>s</w:t>
      </w:r>
      <w:r w:rsidRPr="00982726">
        <w:rPr>
          <w:noProof/>
        </w:rPr>
        <w:t xml:space="preserve">core to be assigned to interventions with </w:t>
      </w:r>
      <w:r>
        <w:rPr>
          <w:noProof/>
        </w:rPr>
        <w:t xml:space="preserve">a </w:t>
      </w:r>
      <w:r w:rsidRPr="00982726">
        <w:rPr>
          <w:noProof/>
        </w:rPr>
        <w:t>likely but not yet clear positive impact on gender equality.</w:t>
      </w:r>
    </w:p>
    <w:p w14:paraId="63CDDD68" w14:textId="77777777" w:rsidR="009B62E0" w:rsidRPr="00982726" w:rsidRDefault="009B62E0" w:rsidP="00304A2B">
      <w:pPr>
        <w:pStyle w:val="FootnoteText"/>
        <w:ind w:left="0" w:firstLine="0"/>
        <w:rPr>
          <w:noProof/>
        </w:rPr>
      </w:pPr>
    </w:p>
    <w:p w14:paraId="6BB3CEB9" w14:textId="77777777" w:rsidR="009B62E0" w:rsidRDefault="009B62E0" w:rsidP="009B62E0">
      <w:pPr>
        <w:rPr>
          <w:noProof/>
        </w:rPr>
      </w:pPr>
    </w:p>
    <w:p w14:paraId="6C0E7748" w14:textId="77777777" w:rsidR="009B62E0" w:rsidRPr="00040D99" w:rsidRDefault="009B62E0" w:rsidP="009B62E0">
      <w:pPr>
        <w:pStyle w:val="ppoHeading5"/>
        <w:rPr>
          <w:noProof/>
        </w:rPr>
      </w:pPr>
      <w:r w:rsidRPr="00040D99">
        <w:rPr>
          <w:noProof/>
        </w:rPr>
        <w:t>Performance assessment</w:t>
      </w:r>
    </w:p>
    <w:p w14:paraId="0202EA8A" w14:textId="77777777" w:rsidR="009B62E0" w:rsidRDefault="009B62E0" w:rsidP="009B62E0">
      <w:pPr>
        <w:pStyle w:val="ppoHeading6"/>
        <w:rPr>
          <w:noProof/>
        </w:rPr>
      </w:pPr>
      <w:r w:rsidRPr="00040D99">
        <w:rPr>
          <w:noProof/>
        </w:rPr>
        <w:t>Key performance indicators</w:t>
      </w:r>
    </w:p>
    <w:p w14:paraId="44EC5A78" w14:textId="77777777" w:rsidR="009B62E0" w:rsidRPr="00040D99" w:rsidRDefault="009B62E0" w:rsidP="009B62E0">
      <w:pPr>
        <w:pStyle w:val="ppoTableTabletitle"/>
        <w:rPr>
          <w:noProof/>
        </w:rPr>
      </w:pP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9B62E0" w:rsidRPr="00AC11E4" w14:paraId="4B3E30BB" w14:textId="77777777" w:rsidTr="00AF1C52">
        <w:trPr>
          <w:cnfStyle w:val="100000000000" w:firstRow="1" w:lastRow="0" w:firstColumn="0" w:lastColumn="0" w:oddVBand="0" w:evenVBand="0" w:oddHBand="0" w:evenHBand="0" w:firstRowFirstColumn="0" w:firstRowLastColumn="0" w:lastRowFirstColumn="0" w:lastRowLastColumn="0"/>
        </w:trPr>
        <w:tc>
          <w:tcPr>
            <w:tcW w:w="2268" w:type="dxa"/>
          </w:tcPr>
          <w:p w14:paraId="3A577920" w14:textId="77777777" w:rsidR="009B62E0" w:rsidRPr="00884C9A" w:rsidRDefault="009B62E0" w:rsidP="00AF1C52">
            <w:pPr>
              <w:rPr>
                <w:noProof/>
              </w:rPr>
            </w:pPr>
          </w:p>
        </w:tc>
        <w:tc>
          <w:tcPr>
            <w:tcW w:w="931" w:type="dxa"/>
          </w:tcPr>
          <w:p w14:paraId="48CE8EB3" w14:textId="77777777" w:rsidR="009B62E0" w:rsidRPr="00884C9A" w:rsidRDefault="009B62E0" w:rsidP="00AF1C52">
            <w:pPr>
              <w:rPr>
                <w:noProof/>
              </w:rPr>
            </w:pPr>
            <w:r w:rsidRPr="00884C9A">
              <w:rPr>
                <w:noProof/>
              </w:rPr>
              <w:t>Baseline</w:t>
            </w:r>
          </w:p>
        </w:tc>
        <w:tc>
          <w:tcPr>
            <w:tcW w:w="1485" w:type="dxa"/>
          </w:tcPr>
          <w:p w14:paraId="37454D35" w14:textId="77777777" w:rsidR="009B62E0" w:rsidRPr="00884C9A" w:rsidRDefault="009B62E0" w:rsidP="00AF1C52">
            <w:pPr>
              <w:rPr>
                <w:noProof/>
              </w:rPr>
            </w:pPr>
            <w:r w:rsidRPr="00884C9A">
              <w:rPr>
                <w:noProof/>
              </w:rPr>
              <w:t>Progress</w:t>
            </w:r>
            <w:r>
              <w:rPr>
                <w:rFonts w:ascii="Calibri" w:hAnsi="Calibri" w:cs="Calibri"/>
                <w:noProof/>
              </w:rPr>
              <w:t> </w:t>
            </w:r>
            <w:r>
              <w:rPr>
                <w:noProof/>
              </w:rPr>
              <w:t>(*)</w:t>
            </w:r>
          </w:p>
        </w:tc>
        <w:tc>
          <w:tcPr>
            <w:tcW w:w="1491" w:type="dxa"/>
          </w:tcPr>
          <w:p w14:paraId="78AFBE78" w14:textId="77777777" w:rsidR="009B62E0" w:rsidRPr="00884C9A" w:rsidRDefault="009B62E0" w:rsidP="00AF1C52">
            <w:pPr>
              <w:rPr>
                <w:noProof/>
              </w:rPr>
            </w:pPr>
            <w:r w:rsidRPr="00884C9A">
              <w:rPr>
                <w:noProof/>
              </w:rPr>
              <w:t>Target</w:t>
            </w:r>
          </w:p>
        </w:tc>
        <w:tc>
          <w:tcPr>
            <w:tcW w:w="1530" w:type="dxa"/>
          </w:tcPr>
          <w:p w14:paraId="092B0818" w14:textId="77777777" w:rsidR="009B62E0" w:rsidRPr="00884C9A" w:rsidRDefault="009B62E0" w:rsidP="00AF1C52">
            <w:pPr>
              <w:rPr>
                <w:noProof/>
              </w:rPr>
            </w:pPr>
            <w:r w:rsidRPr="00884C9A">
              <w:rPr>
                <w:noProof/>
              </w:rPr>
              <w:t>Results</w:t>
            </w:r>
          </w:p>
        </w:tc>
        <w:tc>
          <w:tcPr>
            <w:tcW w:w="1537" w:type="dxa"/>
          </w:tcPr>
          <w:p w14:paraId="52E235FE" w14:textId="77777777" w:rsidR="009B62E0" w:rsidRPr="00884C9A" w:rsidRDefault="009B62E0" w:rsidP="00AF1C52">
            <w:pPr>
              <w:rPr>
                <w:noProof/>
              </w:rPr>
            </w:pPr>
            <w:r w:rsidRPr="00884C9A">
              <w:rPr>
                <w:noProof/>
              </w:rPr>
              <w:t>Assessment</w:t>
            </w:r>
          </w:p>
        </w:tc>
      </w:tr>
      <w:tr w:rsidR="009B62E0" w:rsidRPr="00AC11E4" w14:paraId="666F5304" w14:textId="77777777" w:rsidTr="00AF1C52">
        <w:trPr>
          <w:cnfStyle w:val="000000100000" w:firstRow="0" w:lastRow="0" w:firstColumn="0" w:lastColumn="0" w:oddVBand="0" w:evenVBand="0" w:oddHBand="1" w:evenHBand="0" w:firstRowFirstColumn="0" w:firstRowLastColumn="0" w:lastRowFirstColumn="0" w:lastRowLastColumn="0"/>
        </w:trPr>
        <w:tc>
          <w:tcPr>
            <w:tcW w:w="2268" w:type="dxa"/>
          </w:tcPr>
          <w:p w14:paraId="2BE05F82" w14:textId="77777777" w:rsidR="009B62E0" w:rsidRPr="00884C9A" w:rsidRDefault="009B62E0" w:rsidP="00AF1C52">
            <w:pPr>
              <w:rPr>
                <w:noProof/>
              </w:rPr>
            </w:pPr>
            <w:r>
              <w:rPr>
                <w:noProof/>
              </w:rPr>
              <w:t>Savings in annual primary energy consumption</w:t>
            </w:r>
          </w:p>
        </w:tc>
        <w:tc>
          <w:tcPr>
            <w:tcW w:w="931" w:type="dxa"/>
          </w:tcPr>
          <w:p w14:paraId="59BCD571" w14:textId="77777777" w:rsidR="009B62E0" w:rsidRPr="00884C9A" w:rsidRDefault="009B62E0" w:rsidP="00AF1C52">
            <w:pPr>
              <w:jc w:val="center"/>
              <w:rPr>
                <w:noProof/>
              </w:rPr>
            </w:pPr>
          </w:p>
        </w:tc>
        <w:tc>
          <w:tcPr>
            <w:tcW w:w="1485" w:type="dxa"/>
          </w:tcPr>
          <w:p w14:paraId="3C553A60" w14:textId="77777777" w:rsidR="009B62E0" w:rsidRPr="00724FDD" w:rsidRDefault="009B62E0" w:rsidP="00AF1C52">
            <w:pPr>
              <w:jc w:val="center"/>
              <w:rPr>
                <w:b/>
                <w:noProof/>
              </w:rPr>
            </w:pPr>
          </w:p>
        </w:tc>
        <w:tc>
          <w:tcPr>
            <w:tcW w:w="1491" w:type="dxa"/>
          </w:tcPr>
          <w:p w14:paraId="2CAD450D" w14:textId="77777777" w:rsidR="009B62E0" w:rsidRPr="00884C9A" w:rsidRDefault="009B62E0" w:rsidP="00AF1C52">
            <w:pPr>
              <w:jc w:val="center"/>
              <w:rPr>
                <w:noProof/>
              </w:rPr>
            </w:pPr>
          </w:p>
        </w:tc>
        <w:tc>
          <w:tcPr>
            <w:tcW w:w="1530" w:type="dxa"/>
          </w:tcPr>
          <w:p w14:paraId="0E3EC4D7" w14:textId="77777777" w:rsidR="009B62E0" w:rsidRPr="00884C9A" w:rsidRDefault="009B62E0" w:rsidP="00AF1C52">
            <w:pPr>
              <w:jc w:val="center"/>
              <w:rPr>
                <w:noProof/>
              </w:rPr>
            </w:pPr>
            <w:r w:rsidRPr="003B4918">
              <w:rPr>
                <w:noProof/>
              </w:rPr>
              <w:t xml:space="preserve">  </w:t>
            </w:r>
          </w:p>
        </w:tc>
        <w:tc>
          <w:tcPr>
            <w:tcW w:w="1537" w:type="dxa"/>
          </w:tcPr>
          <w:p w14:paraId="191219AA" w14:textId="77777777" w:rsidR="009B62E0" w:rsidRPr="00884C9A" w:rsidRDefault="009B62E0" w:rsidP="00AF1C52">
            <w:pPr>
              <w:jc w:val="center"/>
              <w:rPr>
                <w:noProof/>
              </w:rPr>
            </w:pPr>
            <w:r>
              <w:rPr>
                <w:noProof/>
              </w:rPr>
              <w:t>No data</w:t>
            </w:r>
          </w:p>
        </w:tc>
      </w:tr>
      <w:tr w:rsidR="009B62E0" w:rsidRPr="00AC11E4" w14:paraId="560B2A69" w14:textId="77777777" w:rsidTr="00AF1C52">
        <w:trPr>
          <w:cnfStyle w:val="000000010000" w:firstRow="0" w:lastRow="0" w:firstColumn="0" w:lastColumn="0" w:oddVBand="0" w:evenVBand="0" w:oddHBand="0" w:evenHBand="1" w:firstRowFirstColumn="0" w:firstRowLastColumn="0" w:lastRowFirstColumn="0" w:lastRowLastColumn="0"/>
        </w:trPr>
        <w:tc>
          <w:tcPr>
            <w:tcW w:w="2268" w:type="dxa"/>
          </w:tcPr>
          <w:p w14:paraId="57D0AC80" w14:textId="77777777" w:rsidR="009B62E0" w:rsidRPr="00884C9A" w:rsidRDefault="009B62E0" w:rsidP="00AF1C52">
            <w:pPr>
              <w:rPr>
                <w:noProof/>
              </w:rPr>
            </w:pPr>
            <w:r>
              <w:rPr>
                <w:noProof/>
              </w:rPr>
              <w:t>Alternative fuels infrastructure (refuelling/recharging points)</w:t>
            </w:r>
          </w:p>
        </w:tc>
        <w:tc>
          <w:tcPr>
            <w:tcW w:w="931" w:type="dxa"/>
          </w:tcPr>
          <w:p w14:paraId="7B76817D" w14:textId="77777777" w:rsidR="009B62E0" w:rsidRPr="00884C9A" w:rsidRDefault="009B62E0" w:rsidP="00AF1C52">
            <w:pPr>
              <w:jc w:val="center"/>
              <w:rPr>
                <w:noProof/>
              </w:rPr>
            </w:pPr>
          </w:p>
        </w:tc>
        <w:tc>
          <w:tcPr>
            <w:tcW w:w="1485" w:type="dxa"/>
          </w:tcPr>
          <w:p w14:paraId="0C529432" w14:textId="77777777" w:rsidR="009B62E0" w:rsidRPr="00724FDD" w:rsidRDefault="009B62E0" w:rsidP="00AF1C52">
            <w:pPr>
              <w:jc w:val="center"/>
              <w:rPr>
                <w:b/>
                <w:noProof/>
              </w:rPr>
            </w:pPr>
          </w:p>
        </w:tc>
        <w:tc>
          <w:tcPr>
            <w:tcW w:w="1491" w:type="dxa"/>
          </w:tcPr>
          <w:p w14:paraId="570BF856" w14:textId="77777777" w:rsidR="009B62E0" w:rsidRPr="00884C9A" w:rsidRDefault="009B62E0" w:rsidP="00AF1C52">
            <w:pPr>
              <w:jc w:val="center"/>
              <w:rPr>
                <w:noProof/>
              </w:rPr>
            </w:pPr>
          </w:p>
        </w:tc>
        <w:tc>
          <w:tcPr>
            <w:tcW w:w="1530" w:type="dxa"/>
          </w:tcPr>
          <w:p w14:paraId="0142E199" w14:textId="77777777" w:rsidR="009B62E0" w:rsidRPr="00884C9A" w:rsidRDefault="009B62E0" w:rsidP="00AF1C52">
            <w:pPr>
              <w:jc w:val="center"/>
              <w:rPr>
                <w:noProof/>
              </w:rPr>
            </w:pPr>
            <w:r>
              <w:rPr>
                <w:noProof/>
              </w:rPr>
              <w:t xml:space="preserve">  </w:t>
            </w:r>
          </w:p>
        </w:tc>
        <w:tc>
          <w:tcPr>
            <w:tcW w:w="1537" w:type="dxa"/>
          </w:tcPr>
          <w:p w14:paraId="7DD562B3" w14:textId="77777777" w:rsidR="009B62E0" w:rsidRDefault="009B62E0" w:rsidP="00AF1C52">
            <w:pPr>
              <w:jc w:val="center"/>
              <w:rPr>
                <w:noProof/>
              </w:rPr>
            </w:pPr>
            <w:r>
              <w:rPr>
                <w:noProof/>
              </w:rPr>
              <w:t>No data</w:t>
            </w:r>
          </w:p>
          <w:p w14:paraId="7E386F1A" w14:textId="77777777" w:rsidR="009B62E0" w:rsidRPr="003B4918" w:rsidRDefault="009B62E0" w:rsidP="00AF1C52">
            <w:pPr>
              <w:jc w:val="center"/>
              <w:rPr>
                <w:noProof/>
              </w:rPr>
            </w:pPr>
          </w:p>
        </w:tc>
      </w:tr>
      <w:tr w:rsidR="009B62E0" w:rsidRPr="00AC11E4" w14:paraId="0DCC55A9" w14:textId="77777777" w:rsidTr="00AF1C52">
        <w:trPr>
          <w:cnfStyle w:val="000000100000" w:firstRow="0" w:lastRow="0" w:firstColumn="0" w:lastColumn="0" w:oddVBand="0" w:evenVBand="0" w:oddHBand="1" w:evenHBand="0" w:firstRowFirstColumn="0" w:firstRowLastColumn="0" w:lastRowFirstColumn="0" w:lastRowLastColumn="0"/>
        </w:trPr>
        <w:tc>
          <w:tcPr>
            <w:tcW w:w="2268" w:type="dxa"/>
          </w:tcPr>
          <w:p w14:paraId="0566E2A1" w14:textId="77777777" w:rsidR="009B62E0" w:rsidRPr="00884C9A" w:rsidRDefault="009B62E0" w:rsidP="00AF1C52">
            <w:pPr>
              <w:rPr>
                <w:noProof/>
              </w:rPr>
            </w:pPr>
            <w:r>
              <w:rPr>
                <w:noProof/>
              </w:rPr>
              <w:t>Additional dwellings with internet access provided via very high capacity networks</w:t>
            </w:r>
          </w:p>
        </w:tc>
        <w:tc>
          <w:tcPr>
            <w:tcW w:w="931" w:type="dxa"/>
          </w:tcPr>
          <w:p w14:paraId="5710DDDA" w14:textId="77777777" w:rsidR="009B62E0" w:rsidRPr="00884C9A" w:rsidRDefault="009B62E0" w:rsidP="00AF1C52">
            <w:pPr>
              <w:jc w:val="center"/>
              <w:rPr>
                <w:noProof/>
              </w:rPr>
            </w:pPr>
          </w:p>
        </w:tc>
        <w:tc>
          <w:tcPr>
            <w:tcW w:w="1485" w:type="dxa"/>
          </w:tcPr>
          <w:p w14:paraId="3D1BEA35" w14:textId="77777777" w:rsidR="009B62E0" w:rsidRPr="00724FDD" w:rsidRDefault="009B62E0" w:rsidP="00AF1C52">
            <w:pPr>
              <w:jc w:val="center"/>
              <w:rPr>
                <w:b/>
                <w:noProof/>
              </w:rPr>
            </w:pPr>
          </w:p>
        </w:tc>
        <w:tc>
          <w:tcPr>
            <w:tcW w:w="1491" w:type="dxa"/>
          </w:tcPr>
          <w:p w14:paraId="72F4D050" w14:textId="77777777" w:rsidR="009B62E0" w:rsidRPr="00884C9A" w:rsidRDefault="009B62E0" w:rsidP="00AF1C52">
            <w:pPr>
              <w:jc w:val="center"/>
              <w:rPr>
                <w:noProof/>
              </w:rPr>
            </w:pPr>
          </w:p>
        </w:tc>
        <w:tc>
          <w:tcPr>
            <w:tcW w:w="1530" w:type="dxa"/>
          </w:tcPr>
          <w:p w14:paraId="34E87DD5" w14:textId="77777777" w:rsidR="009B62E0" w:rsidRPr="00884C9A" w:rsidRDefault="009B62E0" w:rsidP="00AF1C52">
            <w:pPr>
              <w:jc w:val="center"/>
              <w:rPr>
                <w:noProof/>
              </w:rPr>
            </w:pPr>
            <w:r>
              <w:rPr>
                <w:noProof/>
              </w:rPr>
              <w:t xml:space="preserve">  </w:t>
            </w:r>
          </w:p>
        </w:tc>
        <w:tc>
          <w:tcPr>
            <w:tcW w:w="1537" w:type="dxa"/>
          </w:tcPr>
          <w:p w14:paraId="56301617" w14:textId="77777777" w:rsidR="009B62E0" w:rsidRPr="00884C9A" w:rsidRDefault="009B62E0" w:rsidP="00AF1C52">
            <w:pPr>
              <w:jc w:val="center"/>
              <w:rPr>
                <w:noProof/>
              </w:rPr>
            </w:pPr>
            <w:r>
              <w:rPr>
                <w:noProof/>
              </w:rPr>
              <w:t>No data</w:t>
            </w:r>
          </w:p>
        </w:tc>
      </w:tr>
      <w:tr w:rsidR="009B62E0" w:rsidRPr="00AC11E4" w14:paraId="0B37B97C" w14:textId="77777777" w:rsidTr="00AF1C52">
        <w:trPr>
          <w:cnfStyle w:val="000000010000" w:firstRow="0" w:lastRow="0" w:firstColumn="0" w:lastColumn="0" w:oddVBand="0" w:evenVBand="0" w:oddHBand="0" w:evenHBand="1" w:firstRowFirstColumn="0" w:firstRowLastColumn="0" w:lastRowFirstColumn="0" w:lastRowLastColumn="0"/>
        </w:trPr>
        <w:tc>
          <w:tcPr>
            <w:tcW w:w="2268" w:type="dxa"/>
          </w:tcPr>
          <w:p w14:paraId="72FEFE0C" w14:textId="77777777" w:rsidR="009B62E0" w:rsidRPr="00724FDD" w:rsidRDefault="009B62E0" w:rsidP="00AF1C52">
            <w:pPr>
              <w:rPr>
                <w:noProof/>
              </w:rPr>
            </w:pPr>
            <w:r>
              <w:rPr>
                <w:noProof/>
              </w:rPr>
              <w:t>Users of new and upgraded public digital services, products and processes</w:t>
            </w:r>
          </w:p>
        </w:tc>
        <w:tc>
          <w:tcPr>
            <w:tcW w:w="931" w:type="dxa"/>
          </w:tcPr>
          <w:p w14:paraId="3B650167" w14:textId="77777777" w:rsidR="009B62E0" w:rsidRPr="00884C9A" w:rsidRDefault="009B62E0" w:rsidP="00AF1C52">
            <w:pPr>
              <w:jc w:val="center"/>
              <w:rPr>
                <w:noProof/>
              </w:rPr>
            </w:pPr>
          </w:p>
        </w:tc>
        <w:tc>
          <w:tcPr>
            <w:tcW w:w="1485" w:type="dxa"/>
          </w:tcPr>
          <w:p w14:paraId="2CF3ADC0" w14:textId="77777777" w:rsidR="009B62E0" w:rsidRPr="00724FDD" w:rsidRDefault="009B62E0" w:rsidP="00AF1C52">
            <w:pPr>
              <w:jc w:val="center"/>
              <w:rPr>
                <w:b/>
                <w:noProof/>
              </w:rPr>
            </w:pPr>
          </w:p>
        </w:tc>
        <w:tc>
          <w:tcPr>
            <w:tcW w:w="1491" w:type="dxa"/>
          </w:tcPr>
          <w:p w14:paraId="1B5D76B8" w14:textId="77777777" w:rsidR="009B62E0" w:rsidRPr="00884C9A" w:rsidRDefault="009B62E0" w:rsidP="00AF1C52">
            <w:pPr>
              <w:jc w:val="center"/>
              <w:rPr>
                <w:noProof/>
              </w:rPr>
            </w:pPr>
          </w:p>
        </w:tc>
        <w:tc>
          <w:tcPr>
            <w:tcW w:w="1530" w:type="dxa"/>
          </w:tcPr>
          <w:p w14:paraId="6BA02DC2" w14:textId="77777777" w:rsidR="009B62E0" w:rsidRPr="00884C9A" w:rsidRDefault="009B62E0" w:rsidP="00AF1C52">
            <w:pPr>
              <w:jc w:val="center"/>
              <w:rPr>
                <w:noProof/>
              </w:rPr>
            </w:pPr>
            <w:r>
              <w:rPr>
                <w:noProof/>
              </w:rPr>
              <w:t xml:space="preserve">  </w:t>
            </w:r>
          </w:p>
        </w:tc>
        <w:tc>
          <w:tcPr>
            <w:tcW w:w="1537" w:type="dxa"/>
          </w:tcPr>
          <w:p w14:paraId="7B085F2A" w14:textId="77777777" w:rsidR="009B62E0" w:rsidRPr="00884C9A" w:rsidRDefault="009B62E0" w:rsidP="00AF1C52">
            <w:pPr>
              <w:jc w:val="center"/>
              <w:rPr>
                <w:noProof/>
              </w:rPr>
            </w:pPr>
            <w:r>
              <w:rPr>
                <w:noProof/>
              </w:rPr>
              <w:t>No data</w:t>
            </w:r>
          </w:p>
        </w:tc>
      </w:tr>
      <w:tr w:rsidR="009B62E0" w:rsidRPr="00AC11E4" w14:paraId="0E6BD383" w14:textId="77777777" w:rsidTr="00AF1C52">
        <w:trPr>
          <w:cnfStyle w:val="000000100000" w:firstRow="0" w:lastRow="0" w:firstColumn="0" w:lastColumn="0" w:oddVBand="0" w:evenVBand="0" w:oddHBand="1" w:evenHBand="0" w:firstRowFirstColumn="0" w:firstRowLastColumn="0" w:lastRowFirstColumn="0" w:lastRowLastColumn="0"/>
        </w:trPr>
        <w:tc>
          <w:tcPr>
            <w:tcW w:w="2268" w:type="dxa"/>
          </w:tcPr>
          <w:p w14:paraId="73D37AD3" w14:textId="77777777" w:rsidR="009B62E0" w:rsidRPr="00884C9A" w:rsidRDefault="009B62E0" w:rsidP="00AF1C52">
            <w:pPr>
              <w:rPr>
                <w:noProof/>
              </w:rPr>
            </w:pPr>
            <w:r>
              <w:rPr>
                <w:noProof/>
              </w:rPr>
              <w:t>Enterprises supported (of which small</w:t>
            </w:r>
            <w:r>
              <w:rPr>
                <w:rFonts w:ascii="Calibri" w:hAnsi="Calibri" w:cs="Calibri"/>
                <w:noProof/>
              </w:rPr>
              <w:t> –</w:t>
            </w:r>
            <w:r>
              <w:rPr>
                <w:noProof/>
              </w:rPr>
              <w:t xml:space="preserve"> including micro, medium, large)</w:t>
            </w:r>
          </w:p>
        </w:tc>
        <w:tc>
          <w:tcPr>
            <w:tcW w:w="931" w:type="dxa"/>
          </w:tcPr>
          <w:p w14:paraId="131BD403" w14:textId="77777777" w:rsidR="009B62E0" w:rsidRPr="00884C9A" w:rsidRDefault="009B62E0" w:rsidP="00AF1C52">
            <w:pPr>
              <w:jc w:val="center"/>
              <w:rPr>
                <w:noProof/>
              </w:rPr>
            </w:pPr>
          </w:p>
        </w:tc>
        <w:tc>
          <w:tcPr>
            <w:tcW w:w="1485" w:type="dxa"/>
          </w:tcPr>
          <w:p w14:paraId="2DA1252C" w14:textId="77777777" w:rsidR="009B62E0" w:rsidRPr="00724FDD" w:rsidRDefault="009B62E0" w:rsidP="00AF1C52">
            <w:pPr>
              <w:jc w:val="center"/>
              <w:rPr>
                <w:b/>
                <w:noProof/>
              </w:rPr>
            </w:pPr>
          </w:p>
        </w:tc>
        <w:tc>
          <w:tcPr>
            <w:tcW w:w="1491" w:type="dxa"/>
          </w:tcPr>
          <w:p w14:paraId="1A1BD7A9" w14:textId="77777777" w:rsidR="009B62E0" w:rsidRPr="00884C9A" w:rsidRDefault="009B62E0" w:rsidP="00AF1C52">
            <w:pPr>
              <w:jc w:val="center"/>
              <w:rPr>
                <w:noProof/>
              </w:rPr>
            </w:pPr>
          </w:p>
        </w:tc>
        <w:tc>
          <w:tcPr>
            <w:tcW w:w="1530" w:type="dxa"/>
          </w:tcPr>
          <w:p w14:paraId="392D3D98" w14:textId="77777777" w:rsidR="009B62E0" w:rsidRPr="00884C9A" w:rsidRDefault="009B62E0" w:rsidP="00AF1C52">
            <w:pPr>
              <w:jc w:val="center"/>
              <w:rPr>
                <w:noProof/>
              </w:rPr>
            </w:pPr>
            <w:r>
              <w:rPr>
                <w:noProof/>
              </w:rPr>
              <w:t xml:space="preserve">  </w:t>
            </w:r>
          </w:p>
        </w:tc>
        <w:tc>
          <w:tcPr>
            <w:tcW w:w="1537" w:type="dxa"/>
          </w:tcPr>
          <w:p w14:paraId="17A0C9D6" w14:textId="77777777" w:rsidR="009B62E0" w:rsidRPr="00884C9A" w:rsidRDefault="009B62E0" w:rsidP="00AF1C52">
            <w:pPr>
              <w:jc w:val="center"/>
              <w:rPr>
                <w:noProof/>
              </w:rPr>
            </w:pPr>
            <w:r>
              <w:rPr>
                <w:noProof/>
              </w:rPr>
              <w:t>No data</w:t>
            </w:r>
          </w:p>
        </w:tc>
      </w:tr>
      <w:tr w:rsidR="009B62E0" w:rsidRPr="00AC11E4" w14:paraId="3BC6CE77" w14:textId="77777777" w:rsidTr="00AF1C52">
        <w:trPr>
          <w:cnfStyle w:val="000000010000" w:firstRow="0" w:lastRow="0" w:firstColumn="0" w:lastColumn="0" w:oddVBand="0" w:evenVBand="0" w:oddHBand="0" w:evenHBand="1" w:firstRowFirstColumn="0" w:firstRowLastColumn="0" w:lastRowFirstColumn="0" w:lastRowLastColumn="0"/>
        </w:trPr>
        <w:tc>
          <w:tcPr>
            <w:tcW w:w="2268" w:type="dxa"/>
          </w:tcPr>
          <w:p w14:paraId="599E07FA" w14:textId="77777777" w:rsidR="009B62E0" w:rsidRPr="00884C9A" w:rsidRDefault="009B62E0" w:rsidP="00AF1C52">
            <w:pPr>
              <w:rPr>
                <w:noProof/>
              </w:rPr>
            </w:pPr>
            <w:r>
              <w:rPr>
                <w:noProof/>
              </w:rPr>
              <w:t>Number of participants in education or training</w:t>
            </w:r>
          </w:p>
        </w:tc>
        <w:tc>
          <w:tcPr>
            <w:tcW w:w="931" w:type="dxa"/>
          </w:tcPr>
          <w:p w14:paraId="1EA4F54A" w14:textId="77777777" w:rsidR="009B62E0" w:rsidRPr="00884C9A" w:rsidRDefault="009B62E0" w:rsidP="00AF1C52">
            <w:pPr>
              <w:jc w:val="center"/>
              <w:rPr>
                <w:noProof/>
              </w:rPr>
            </w:pPr>
          </w:p>
        </w:tc>
        <w:tc>
          <w:tcPr>
            <w:tcW w:w="1485" w:type="dxa"/>
          </w:tcPr>
          <w:p w14:paraId="3962C7D6" w14:textId="77777777" w:rsidR="009B62E0" w:rsidRPr="00724FDD" w:rsidRDefault="009B62E0" w:rsidP="00AF1C52">
            <w:pPr>
              <w:jc w:val="center"/>
              <w:rPr>
                <w:b/>
                <w:noProof/>
              </w:rPr>
            </w:pPr>
          </w:p>
        </w:tc>
        <w:tc>
          <w:tcPr>
            <w:tcW w:w="1491" w:type="dxa"/>
          </w:tcPr>
          <w:p w14:paraId="1D99402D" w14:textId="77777777" w:rsidR="009B62E0" w:rsidRPr="00884C9A" w:rsidRDefault="009B62E0" w:rsidP="00AF1C52">
            <w:pPr>
              <w:jc w:val="center"/>
              <w:rPr>
                <w:noProof/>
              </w:rPr>
            </w:pPr>
          </w:p>
        </w:tc>
        <w:tc>
          <w:tcPr>
            <w:tcW w:w="1530" w:type="dxa"/>
          </w:tcPr>
          <w:p w14:paraId="1B3FB340" w14:textId="77777777" w:rsidR="009B62E0" w:rsidRPr="00884C9A" w:rsidRDefault="009B62E0" w:rsidP="00AF1C52">
            <w:pPr>
              <w:jc w:val="center"/>
              <w:rPr>
                <w:noProof/>
              </w:rPr>
            </w:pPr>
            <w:r>
              <w:rPr>
                <w:noProof/>
              </w:rPr>
              <w:t xml:space="preserve">  </w:t>
            </w:r>
          </w:p>
        </w:tc>
        <w:tc>
          <w:tcPr>
            <w:tcW w:w="1537" w:type="dxa"/>
          </w:tcPr>
          <w:p w14:paraId="75CC5ADD" w14:textId="77777777" w:rsidR="009B62E0" w:rsidRPr="00884C9A" w:rsidRDefault="009B62E0" w:rsidP="00AF1C52">
            <w:pPr>
              <w:jc w:val="center"/>
              <w:rPr>
                <w:noProof/>
              </w:rPr>
            </w:pPr>
            <w:r>
              <w:rPr>
                <w:noProof/>
              </w:rPr>
              <w:t>No data</w:t>
            </w:r>
          </w:p>
        </w:tc>
      </w:tr>
      <w:tr w:rsidR="009B62E0" w:rsidRPr="00AC11E4" w14:paraId="746E9DBC" w14:textId="77777777" w:rsidTr="00AF1C52">
        <w:trPr>
          <w:cnfStyle w:val="000000100000" w:firstRow="0" w:lastRow="0" w:firstColumn="0" w:lastColumn="0" w:oddVBand="0" w:evenVBand="0" w:oddHBand="1" w:evenHBand="0" w:firstRowFirstColumn="0" w:firstRowLastColumn="0" w:lastRowFirstColumn="0" w:lastRowLastColumn="0"/>
        </w:trPr>
        <w:tc>
          <w:tcPr>
            <w:tcW w:w="2268" w:type="dxa"/>
          </w:tcPr>
          <w:p w14:paraId="54EB8093" w14:textId="77777777" w:rsidR="009B62E0" w:rsidRPr="00884C9A" w:rsidRDefault="009B62E0" w:rsidP="00AF1C52">
            <w:pPr>
              <w:rPr>
                <w:noProof/>
              </w:rPr>
            </w:pPr>
            <w:r>
              <w:rPr>
                <w:noProof/>
              </w:rPr>
              <w:t>Capacity of new or modernised health care facilities</w:t>
            </w:r>
          </w:p>
        </w:tc>
        <w:tc>
          <w:tcPr>
            <w:tcW w:w="931" w:type="dxa"/>
          </w:tcPr>
          <w:p w14:paraId="69B05CF8" w14:textId="77777777" w:rsidR="009B62E0" w:rsidRPr="00884C9A" w:rsidRDefault="009B62E0" w:rsidP="00AF1C52">
            <w:pPr>
              <w:jc w:val="center"/>
              <w:rPr>
                <w:noProof/>
              </w:rPr>
            </w:pPr>
          </w:p>
        </w:tc>
        <w:tc>
          <w:tcPr>
            <w:tcW w:w="1485" w:type="dxa"/>
          </w:tcPr>
          <w:p w14:paraId="2DEB8091" w14:textId="77777777" w:rsidR="009B62E0" w:rsidRPr="00724FDD" w:rsidRDefault="009B62E0" w:rsidP="00AF1C52">
            <w:pPr>
              <w:jc w:val="center"/>
              <w:rPr>
                <w:b/>
                <w:noProof/>
              </w:rPr>
            </w:pPr>
          </w:p>
        </w:tc>
        <w:tc>
          <w:tcPr>
            <w:tcW w:w="1491" w:type="dxa"/>
          </w:tcPr>
          <w:p w14:paraId="3EB018C9" w14:textId="77777777" w:rsidR="009B62E0" w:rsidRPr="00884C9A" w:rsidRDefault="009B62E0" w:rsidP="00AF1C52">
            <w:pPr>
              <w:jc w:val="center"/>
              <w:rPr>
                <w:noProof/>
              </w:rPr>
            </w:pPr>
          </w:p>
        </w:tc>
        <w:tc>
          <w:tcPr>
            <w:tcW w:w="1530" w:type="dxa"/>
          </w:tcPr>
          <w:p w14:paraId="04B3B642" w14:textId="77777777" w:rsidR="009B62E0" w:rsidRPr="00884C9A" w:rsidRDefault="009B62E0" w:rsidP="00AF1C52">
            <w:pPr>
              <w:jc w:val="center"/>
              <w:rPr>
                <w:noProof/>
              </w:rPr>
            </w:pPr>
            <w:r>
              <w:rPr>
                <w:noProof/>
              </w:rPr>
              <w:t xml:space="preserve">  </w:t>
            </w:r>
          </w:p>
        </w:tc>
        <w:tc>
          <w:tcPr>
            <w:tcW w:w="1537" w:type="dxa"/>
          </w:tcPr>
          <w:p w14:paraId="7D63B047" w14:textId="77777777" w:rsidR="009B62E0" w:rsidRPr="00884C9A" w:rsidRDefault="009B62E0" w:rsidP="00AF1C52">
            <w:pPr>
              <w:jc w:val="center"/>
              <w:rPr>
                <w:noProof/>
              </w:rPr>
            </w:pPr>
            <w:r>
              <w:rPr>
                <w:noProof/>
              </w:rPr>
              <w:t>No data</w:t>
            </w:r>
          </w:p>
        </w:tc>
      </w:tr>
      <w:tr w:rsidR="009B62E0" w:rsidRPr="00AC11E4" w14:paraId="3E9ED564" w14:textId="77777777" w:rsidTr="00AF1C52">
        <w:trPr>
          <w:cnfStyle w:val="000000010000" w:firstRow="0" w:lastRow="0" w:firstColumn="0" w:lastColumn="0" w:oddVBand="0" w:evenVBand="0" w:oddHBand="0" w:evenHBand="1" w:firstRowFirstColumn="0" w:firstRowLastColumn="0" w:lastRowFirstColumn="0" w:lastRowLastColumn="0"/>
        </w:trPr>
        <w:tc>
          <w:tcPr>
            <w:tcW w:w="2268" w:type="dxa"/>
          </w:tcPr>
          <w:p w14:paraId="52A61E92" w14:textId="77777777" w:rsidR="009B62E0" w:rsidRPr="00884C9A" w:rsidRDefault="009B62E0" w:rsidP="00AF1C52">
            <w:pPr>
              <w:rPr>
                <w:noProof/>
              </w:rPr>
            </w:pPr>
            <w:r>
              <w:rPr>
                <w:noProof/>
              </w:rPr>
              <w:t>Number of young people aged 15-29 receiving support</w:t>
            </w:r>
          </w:p>
        </w:tc>
        <w:tc>
          <w:tcPr>
            <w:tcW w:w="931" w:type="dxa"/>
          </w:tcPr>
          <w:p w14:paraId="49EFA8D2" w14:textId="77777777" w:rsidR="009B62E0" w:rsidRPr="00884C9A" w:rsidRDefault="009B62E0" w:rsidP="00AF1C52">
            <w:pPr>
              <w:jc w:val="center"/>
              <w:rPr>
                <w:noProof/>
              </w:rPr>
            </w:pPr>
          </w:p>
        </w:tc>
        <w:tc>
          <w:tcPr>
            <w:tcW w:w="1485" w:type="dxa"/>
          </w:tcPr>
          <w:p w14:paraId="0A2C5BB5" w14:textId="77777777" w:rsidR="009B62E0" w:rsidRPr="00724FDD" w:rsidRDefault="009B62E0" w:rsidP="00AF1C52">
            <w:pPr>
              <w:jc w:val="center"/>
              <w:rPr>
                <w:b/>
                <w:noProof/>
              </w:rPr>
            </w:pPr>
          </w:p>
        </w:tc>
        <w:tc>
          <w:tcPr>
            <w:tcW w:w="1491" w:type="dxa"/>
          </w:tcPr>
          <w:p w14:paraId="62C6D2F1" w14:textId="77777777" w:rsidR="009B62E0" w:rsidRPr="00884C9A" w:rsidRDefault="009B62E0" w:rsidP="00AF1C52">
            <w:pPr>
              <w:jc w:val="center"/>
              <w:rPr>
                <w:noProof/>
              </w:rPr>
            </w:pPr>
          </w:p>
        </w:tc>
        <w:tc>
          <w:tcPr>
            <w:tcW w:w="1530" w:type="dxa"/>
          </w:tcPr>
          <w:p w14:paraId="00975D7E" w14:textId="77777777" w:rsidR="009B62E0" w:rsidRPr="00884C9A" w:rsidRDefault="009B62E0" w:rsidP="00AF1C52">
            <w:pPr>
              <w:jc w:val="center"/>
              <w:rPr>
                <w:noProof/>
              </w:rPr>
            </w:pPr>
            <w:r>
              <w:rPr>
                <w:noProof/>
              </w:rPr>
              <w:t xml:space="preserve">  </w:t>
            </w:r>
          </w:p>
        </w:tc>
        <w:tc>
          <w:tcPr>
            <w:tcW w:w="1537" w:type="dxa"/>
          </w:tcPr>
          <w:p w14:paraId="49EA5A81" w14:textId="77777777" w:rsidR="009B62E0" w:rsidRPr="00884C9A" w:rsidRDefault="009B62E0" w:rsidP="00AF1C52">
            <w:pPr>
              <w:jc w:val="center"/>
              <w:rPr>
                <w:noProof/>
              </w:rPr>
            </w:pPr>
            <w:r>
              <w:rPr>
                <w:noProof/>
              </w:rPr>
              <w:t>No data</w:t>
            </w:r>
          </w:p>
        </w:tc>
      </w:tr>
    </w:tbl>
    <w:p w14:paraId="6E6D2A0D" w14:textId="77777777" w:rsidR="009B62E0" w:rsidRPr="00EF090F" w:rsidRDefault="009B62E0" w:rsidP="009B62E0">
      <w:pPr>
        <w:pStyle w:val="FootnoteText"/>
        <w:spacing w:before="120"/>
        <w:rPr>
          <w:noProof/>
        </w:rPr>
      </w:pPr>
      <w:r>
        <w:rPr>
          <w:noProof/>
        </w:rPr>
        <w:t xml:space="preserve">(*) </w:t>
      </w:r>
      <w:r w:rsidRPr="00040D99">
        <w:rPr>
          <w:noProof/>
        </w:rPr>
        <w:t>% of target achieved by the end of</w:t>
      </w:r>
      <w:r>
        <w:rPr>
          <w:noProof/>
        </w:rPr>
        <w:t xml:space="preserve"> 2021.</w:t>
      </w:r>
    </w:p>
    <w:p w14:paraId="494239D8" w14:textId="77777777" w:rsidR="009B62E0" w:rsidRDefault="009B62E0" w:rsidP="009B62E0">
      <w:pPr>
        <w:pStyle w:val="ppoListHyphened-L1"/>
        <w:rPr>
          <w:noProof/>
        </w:rPr>
      </w:pPr>
      <w:r>
        <w:rPr>
          <w:noProof/>
        </w:rPr>
        <w:t>About 40% of the total allocation of the 22 RRPs is related to measures supporting climate objectives. All RRPs reach</w:t>
      </w:r>
      <w:r>
        <w:rPr>
          <w:rFonts w:ascii="Calibri" w:hAnsi="Calibri" w:cs="Calibri"/>
          <w:noProof/>
        </w:rPr>
        <w:t> –</w:t>
      </w:r>
      <w:r>
        <w:rPr>
          <w:noProof/>
        </w:rPr>
        <w:t xml:space="preserve"> and some RRPs exceed</w:t>
      </w:r>
      <w:r>
        <w:rPr>
          <w:rFonts w:ascii="Calibri" w:hAnsi="Calibri" w:cs="Calibri"/>
          <w:noProof/>
        </w:rPr>
        <w:t> –</w:t>
      </w:r>
      <w:r>
        <w:rPr>
          <w:noProof/>
        </w:rPr>
        <w:t xml:space="preserve"> the 37% climate target set in the regulation</w:t>
      </w:r>
      <w:r w:rsidRPr="007953F7">
        <w:rPr>
          <w:noProof/>
        </w:rPr>
        <w:t xml:space="preserve"> </w:t>
      </w:r>
      <w:r>
        <w:rPr>
          <w:noProof/>
        </w:rPr>
        <w:t>by a substantial margin. The total climate expenditure in the 22 adopted plans amounts to EUR</w:t>
      </w:r>
      <w:r>
        <w:rPr>
          <w:rFonts w:ascii="Calibri" w:hAnsi="Calibri" w:cs="Calibri"/>
          <w:noProof/>
        </w:rPr>
        <w:t> </w:t>
      </w:r>
      <w:r>
        <w:rPr>
          <w:noProof/>
        </w:rPr>
        <w:t>177.4</w:t>
      </w:r>
      <w:r>
        <w:rPr>
          <w:rFonts w:ascii="Calibri" w:hAnsi="Calibri" w:cs="Calibri"/>
          <w:noProof/>
        </w:rPr>
        <w:t> </w:t>
      </w:r>
      <w:r>
        <w:rPr>
          <w:noProof/>
        </w:rPr>
        <w:t>billion.</w:t>
      </w:r>
    </w:p>
    <w:p w14:paraId="0CB1F3E8" w14:textId="77777777" w:rsidR="009B62E0" w:rsidRDefault="009B62E0" w:rsidP="009B62E0">
      <w:pPr>
        <w:pStyle w:val="ppoListHyphened-L1"/>
        <w:rPr>
          <w:noProof/>
        </w:rPr>
      </w:pPr>
      <w:r>
        <w:rPr>
          <w:noProof/>
        </w:rPr>
        <w:t>Aggregating over the adopted plans, the reforms and investments proposed by Member States in support of digital objectives represent EUR</w:t>
      </w:r>
      <w:r>
        <w:rPr>
          <w:rFonts w:ascii="Calibri" w:hAnsi="Calibri" w:cs="Calibri"/>
          <w:noProof/>
        </w:rPr>
        <w:t> </w:t>
      </w:r>
      <w:r>
        <w:rPr>
          <w:noProof/>
        </w:rPr>
        <w:t>117</w:t>
      </w:r>
      <w:r>
        <w:rPr>
          <w:rFonts w:ascii="Calibri" w:hAnsi="Calibri" w:cs="Calibri"/>
          <w:noProof/>
        </w:rPr>
        <w:t> </w:t>
      </w:r>
      <w:r>
        <w:rPr>
          <w:noProof/>
        </w:rPr>
        <w:t>billion, or about 26% of the total plan allocation</w:t>
      </w:r>
      <w:r>
        <w:rPr>
          <w:rFonts w:ascii="Calibri" w:hAnsi="Calibri" w:cs="Calibri"/>
          <w:noProof/>
        </w:rPr>
        <w:t> –</w:t>
      </w:r>
      <w:r>
        <w:rPr>
          <w:noProof/>
        </w:rPr>
        <w:t xml:space="preserve"> thus comfortably</w:t>
      </w:r>
      <w:r w:rsidRPr="00971456">
        <w:rPr>
          <w:noProof/>
        </w:rPr>
        <w:t xml:space="preserve"> </w:t>
      </w:r>
      <w:r>
        <w:rPr>
          <w:noProof/>
        </w:rPr>
        <w:t>exceeding the 20% target</w:t>
      </w:r>
      <w:r w:rsidRPr="007953F7">
        <w:rPr>
          <w:noProof/>
        </w:rPr>
        <w:t xml:space="preserve"> </w:t>
      </w:r>
      <w:r>
        <w:rPr>
          <w:noProof/>
        </w:rPr>
        <w:t>set in the regulation for each RRP.</w:t>
      </w:r>
    </w:p>
    <w:p w14:paraId="21E6B5FE" w14:textId="77777777" w:rsidR="009B62E0" w:rsidRPr="00040D99" w:rsidRDefault="009B62E0" w:rsidP="009B62E0">
      <w:pPr>
        <w:pStyle w:val="ppoListHyphened-L1"/>
        <w:rPr>
          <w:noProof/>
        </w:rPr>
      </w:pPr>
      <w:r w:rsidRPr="00AD0E4A">
        <w:rPr>
          <w:noProof/>
        </w:rPr>
        <w:t xml:space="preserve">The first </w:t>
      </w:r>
      <w:r>
        <w:rPr>
          <w:noProof/>
        </w:rPr>
        <w:t xml:space="preserve">biannual </w:t>
      </w:r>
      <w:r w:rsidRPr="00AD0E4A">
        <w:rPr>
          <w:noProof/>
        </w:rPr>
        <w:t>report</w:t>
      </w:r>
      <w:r>
        <w:rPr>
          <w:noProof/>
        </w:rPr>
        <w:t>ing</w:t>
      </w:r>
      <w:r w:rsidRPr="00AD0E4A">
        <w:rPr>
          <w:noProof/>
        </w:rPr>
        <w:t xml:space="preserve"> by </w:t>
      </w:r>
      <w:r>
        <w:rPr>
          <w:noProof/>
        </w:rPr>
        <w:t xml:space="preserve">the 22 </w:t>
      </w:r>
      <w:r w:rsidRPr="00AD0E4A">
        <w:rPr>
          <w:noProof/>
        </w:rPr>
        <w:t>Member States with a</w:t>
      </w:r>
      <w:r>
        <w:rPr>
          <w:noProof/>
        </w:rPr>
        <w:t>n adopted</w:t>
      </w:r>
      <w:r w:rsidRPr="00AD0E4A">
        <w:rPr>
          <w:noProof/>
        </w:rPr>
        <w:t xml:space="preserve"> plan show</w:t>
      </w:r>
      <w:r>
        <w:rPr>
          <w:noProof/>
        </w:rPr>
        <w:t>s</w:t>
      </w:r>
      <w:r w:rsidRPr="00AD0E4A">
        <w:rPr>
          <w:noProof/>
        </w:rPr>
        <w:t xml:space="preserve"> a positive picture regarding implementation</w:t>
      </w:r>
      <w:r>
        <w:rPr>
          <w:noProof/>
        </w:rPr>
        <w:t>:</w:t>
      </w:r>
      <w:r w:rsidRPr="00AD0E4A">
        <w:rPr>
          <w:noProof/>
        </w:rPr>
        <w:t xml:space="preserve"> 91% (266) of the milestones and targets with an indicative date of completion up to </w:t>
      </w:r>
      <w:r>
        <w:rPr>
          <w:noProof/>
        </w:rPr>
        <w:t xml:space="preserve">the third quarter of </w:t>
      </w:r>
      <w:r w:rsidRPr="00AD0E4A">
        <w:rPr>
          <w:noProof/>
        </w:rPr>
        <w:t xml:space="preserve">2021 </w:t>
      </w:r>
      <w:r>
        <w:rPr>
          <w:noProof/>
        </w:rPr>
        <w:t xml:space="preserve">were </w:t>
      </w:r>
      <w:r w:rsidRPr="00AD0E4A">
        <w:rPr>
          <w:noProof/>
        </w:rPr>
        <w:t xml:space="preserve">reported as </w:t>
      </w:r>
      <w:r>
        <w:rPr>
          <w:noProof/>
        </w:rPr>
        <w:t>‘</w:t>
      </w:r>
      <w:r w:rsidRPr="00AD0E4A">
        <w:rPr>
          <w:noProof/>
        </w:rPr>
        <w:t>completed</w:t>
      </w:r>
      <w:r>
        <w:rPr>
          <w:noProof/>
        </w:rPr>
        <w:t>’</w:t>
      </w:r>
      <w:r w:rsidRPr="00AD0E4A">
        <w:rPr>
          <w:noProof/>
        </w:rPr>
        <w:t xml:space="preserve"> and only 9% (25) </w:t>
      </w:r>
      <w:r>
        <w:rPr>
          <w:noProof/>
        </w:rPr>
        <w:t xml:space="preserve">as </w:t>
      </w:r>
      <w:r w:rsidRPr="00AD0E4A">
        <w:rPr>
          <w:noProof/>
        </w:rPr>
        <w:t xml:space="preserve">not </w:t>
      </w:r>
      <w:r>
        <w:rPr>
          <w:noProof/>
        </w:rPr>
        <w:t xml:space="preserve">yet </w:t>
      </w:r>
      <w:r w:rsidRPr="00AD0E4A">
        <w:rPr>
          <w:noProof/>
        </w:rPr>
        <w:t xml:space="preserve">completed. </w:t>
      </w:r>
      <w:r>
        <w:rPr>
          <w:noProof/>
        </w:rPr>
        <w:t>All milestones and targets for which a payment request was submitted were reported as completed. Among</w:t>
      </w:r>
      <w:r w:rsidRPr="00AD0E4A">
        <w:rPr>
          <w:noProof/>
        </w:rPr>
        <w:t xml:space="preserve"> the milestones and targets with an indicative date of completion </w:t>
      </w:r>
      <w:r>
        <w:rPr>
          <w:noProof/>
        </w:rPr>
        <w:t>in the near future (</w:t>
      </w:r>
      <w:r w:rsidRPr="00AD0E4A">
        <w:rPr>
          <w:noProof/>
        </w:rPr>
        <w:t xml:space="preserve">up to </w:t>
      </w:r>
      <w:r>
        <w:rPr>
          <w:noProof/>
        </w:rPr>
        <w:t xml:space="preserve">the third quarter of </w:t>
      </w:r>
      <w:r w:rsidRPr="00AD0E4A">
        <w:rPr>
          <w:noProof/>
        </w:rPr>
        <w:t>2022</w:t>
      </w:r>
      <w:r>
        <w:rPr>
          <w:noProof/>
        </w:rPr>
        <w:t>)</w:t>
      </w:r>
      <w:r w:rsidRPr="00AD0E4A">
        <w:rPr>
          <w:noProof/>
        </w:rPr>
        <w:t>,</w:t>
      </w:r>
      <w:r>
        <w:rPr>
          <w:noProof/>
        </w:rPr>
        <w:t xml:space="preserve"> only</w:t>
      </w:r>
      <w:r w:rsidRPr="00AD0E4A">
        <w:rPr>
          <w:noProof/>
        </w:rPr>
        <w:t xml:space="preserve"> 4% (41) were reported as delayed,</w:t>
      </w:r>
      <w:r>
        <w:rPr>
          <w:noProof/>
        </w:rPr>
        <w:t xml:space="preserve"> while 80</w:t>
      </w:r>
      <w:r w:rsidRPr="00AD0E4A">
        <w:rPr>
          <w:noProof/>
        </w:rPr>
        <w:t xml:space="preserve">% (741) </w:t>
      </w:r>
      <w:r>
        <w:rPr>
          <w:noProof/>
        </w:rPr>
        <w:t>were</w:t>
      </w:r>
      <w:r w:rsidRPr="00AD0E4A">
        <w:rPr>
          <w:noProof/>
        </w:rPr>
        <w:t xml:space="preserve"> </w:t>
      </w:r>
      <w:r>
        <w:rPr>
          <w:noProof/>
        </w:rPr>
        <w:t>‘</w:t>
      </w:r>
      <w:r w:rsidRPr="00AD0E4A">
        <w:rPr>
          <w:noProof/>
        </w:rPr>
        <w:t>on track</w:t>
      </w:r>
      <w:r>
        <w:rPr>
          <w:noProof/>
        </w:rPr>
        <w:t>’</w:t>
      </w:r>
      <w:r w:rsidRPr="00AD0E4A">
        <w:rPr>
          <w:noProof/>
        </w:rPr>
        <w:t xml:space="preserve"> and 1</w:t>
      </w:r>
      <w:r>
        <w:rPr>
          <w:noProof/>
        </w:rPr>
        <w:t>5</w:t>
      </w:r>
      <w:r w:rsidRPr="00AD0E4A">
        <w:rPr>
          <w:noProof/>
        </w:rPr>
        <w:t xml:space="preserve">% (139) were reported as </w:t>
      </w:r>
      <w:r>
        <w:rPr>
          <w:noProof/>
        </w:rPr>
        <w:t>‘</w:t>
      </w:r>
      <w:r w:rsidRPr="00AD0E4A">
        <w:rPr>
          <w:noProof/>
        </w:rPr>
        <w:t>completed</w:t>
      </w:r>
      <w:r>
        <w:rPr>
          <w:noProof/>
        </w:rPr>
        <w:t>’ well ahead of time</w:t>
      </w:r>
      <w:r w:rsidRPr="00040D99">
        <w:rPr>
          <w:noProof/>
        </w:rPr>
        <w:t>.</w:t>
      </w:r>
    </w:p>
    <w:p w14:paraId="2AE09948" w14:textId="3C1EE92C" w:rsidR="009B62E0" w:rsidRDefault="009B62E0" w:rsidP="009B62E0">
      <w:pPr>
        <w:pStyle w:val="ppoListHyphened-L1"/>
        <w:rPr>
          <w:noProof/>
        </w:rPr>
      </w:pPr>
      <w:r>
        <w:rPr>
          <w:noProof/>
        </w:rPr>
        <w:t>On 15</w:t>
      </w:r>
      <w:r>
        <w:rPr>
          <w:rFonts w:ascii="Calibri" w:hAnsi="Calibri" w:cs="Calibri"/>
          <w:noProof/>
        </w:rPr>
        <w:t> </w:t>
      </w:r>
      <w:r>
        <w:rPr>
          <w:noProof/>
        </w:rPr>
        <w:t xml:space="preserve">December 2021, the Commission launched the </w:t>
      </w:r>
      <w:hyperlink r:id="rId221" w:history="1">
        <w:r>
          <w:rPr>
            <w:rStyle w:val="Hyperlink"/>
            <w:noProof/>
          </w:rPr>
          <w:t>r</w:t>
        </w:r>
        <w:r w:rsidRPr="002E6108">
          <w:rPr>
            <w:rStyle w:val="Hyperlink"/>
            <w:noProof/>
          </w:rPr>
          <w:t xml:space="preserve">ecovery and </w:t>
        </w:r>
        <w:r>
          <w:rPr>
            <w:rStyle w:val="Hyperlink"/>
            <w:noProof/>
          </w:rPr>
          <w:t>r</w:t>
        </w:r>
        <w:r w:rsidRPr="002E6108">
          <w:rPr>
            <w:rStyle w:val="Hyperlink"/>
            <w:noProof/>
          </w:rPr>
          <w:t xml:space="preserve">esilience </w:t>
        </w:r>
        <w:r>
          <w:rPr>
            <w:rStyle w:val="Hyperlink"/>
            <w:noProof/>
          </w:rPr>
          <w:t>s</w:t>
        </w:r>
        <w:r w:rsidRPr="002E6108">
          <w:rPr>
            <w:rStyle w:val="Hyperlink"/>
            <w:noProof/>
          </w:rPr>
          <w:t>coreboard</w:t>
        </w:r>
      </w:hyperlink>
      <w:r>
        <w:rPr>
          <w:noProof/>
        </w:rPr>
        <w:t>, an online platform accessible to the public. The scoreboard is a performance reporting tool for the facility and transparently displays information on the implementation of the RRF and the individual RRPs</w:t>
      </w:r>
      <w:r w:rsidRPr="00040D99">
        <w:rPr>
          <w:noProof/>
        </w:rPr>
        <w:t>.</w:t>
      </w:r>
    </w:p>
    <w:p w14:paraId="08E41853" w14:textId="0909D36C" w:rsidR="00202796" w:rsidRPr="00040D99" w:rsidRDefault="00202796" w:rsidP="00DD555A">
      <w:pPr>
        <w:pStyle w:val="ppoListHyphened-L1"/>
        <w:rPr>
          <w:noProof/>
        </w:rPr>
      </w:pPr>
      <w:r>
        <w:rPr>
          <w:noProof/>
        </w:rPr>
        <w:t xml:space="preserve">Commission </w:t>
      </w:r>
      <w:r w:rsidRPr="00A9200E">
        <w:rPr>
          <w:noProof/>
        </w:rPr>
        <w:t>Delegated Regulation (EU)</w:t>
      </w:r>
      <w:r w:rsidRPr="00A9200E">
        <w:rPr>
          <w:rFonts w:ascii="Calibri" w:hAnsi="Calibri" w:cs="Calibri"/>
          <w:noProof/>
        </w:rPr>
        <w:t> </w:t>
      </w:r>
      <w:r w:rsidRPr="00A9200E">
        <w:rPr>
          <w:noProof/>
        </w:rPr>
        <w:t>2021/2106</w:t>
      </w:r>
      <w:r w:rsidRPr="003C0E72">
        <w:rPr>
          <w:noProof/>
        </w:rPr>
        <w:t xml:space="preserve"> </w:t>
      </w:r>
      <w:r>
        <w:rPr>
          <w:noProof/>
        </w:rPr>
        <w:t xml:space="preserve">defines a set of </w:t>
      </w:r>
      <w:r w:rsidRPr="003C0E72">
        <w:rPr>
          <w:noProof/>
        </w:rPr>
        <w:t>common indicators</w:t>
      </w:r>
      <w:r>
        <w:rPr>
          <w:noProof/>
        </w:rPr>
        <w:t xml:space="preserve"> </w:t>
      </w:r>
      <w:r w:rsidRPr="003C0E72">
        <w:rPr>
          <w:noProof/>
        </w:rPr>
        <w:t>related to the objectives of the RRF</w:t>
      </w:r>
      <w:r>
        <w:rPr>
          <w:noProof/>
        </w:rPr>
        <w:t xml:space="preserve"> and linked to the six policy pillars</w:t>
      </w:r>
      <w:r w:rsidRPr="003C0E72">
        <w:rPr>
          <w:noProof/>
        </w:rPr>
        <w:t xml:space="preserve">. </w:t>
      </w:r>
      <w:r>
        <w:rPr>
          <w:noProof/>
        </w:rPr>
        <w:t xml:space="preserve">As the RRF is by its nature performance based, the common indicators serve a different purpose than those for other programmes. </w:t>
      </w:r>
      <w:r w:rsidRPr="003C0E72">
        <w:rPr>
          <w:noProof/>
        </w:rPr>
        <w:t>The</w:t>
      </w:r>
      <w:r>
        <w:rPr>
          <w:noProof/>
        </w:rPr>
        <w:t>y</w:t>
      </w:r>
      <w:r w:rsidRPr="003C0E72">
        <w:rPr>
          <w:noProof/>
        </w:rPr>
        <w:t xml:space="preserve"> </w:t>
      </w:r>
      <w:r>
        <w:rPr>
          <w:noProof/>
        </w:rPr>
        <w:t xml:space="preserve">are designed to show key results of </w:t>
      </w:r>
      <w:r w:rsidRPr="003C0E72">
        <w:rPr>
          <w:noProof/>
        </w:rPr>
        <w:t xml:space="preserve">the implementation of the </w:t>
      </w:r>
      <w:r>
        <w:rPr>
          <w:noProof/>
        </w:rPr>
        <w:t>RRPs</w:t>
      </w:r>
      <w:r w:rsidRPr="003C0E72">
        <w:rPr>
          <w:noProof/>
        </w:rPr>
        <w:t xml:space="preserve"> towards common objectives and </w:t>
      </w:r>
      <w:r>
        <w:rPr>
          <w:noProof/>
        </w:rPr>
        <w:t xml:space="preserve">thereby demonstrate some aspects of the </w:t>
      </w:r>
      <w:r w:rsidRPr="003C0E72">
        <w:rPr>
          <w:noProof/>
        </w:rPr>
        <w:t xml:space="preserve">overall performance </w:t>
      </w:r>
      <w:r>
        <w:rPr>
          <w:noProof/>
        </w:rPr>
        <w:t xml:space="preserve">and impact </w:t>
      </w:r>
      <w:r w:rsidRPr="003C0E72">
        <w:rPr>
          <w:noProof/>
        </w:rPr>
        <w:t>of the RRF</w:t>
      </w:r>
      <w:r>
        <w:rPr>
          <w:noProof/>
        </w:rPr>
        <w:t xml:space="preserve">. The indicators </w:t>
      </w:r>
      <w:r w:rsidRPr="00CA535D">
        <w:rPr>
          <w:noProof/>
        </w:rPr>
        <w:t>cover a variety of policy areas</w:t>
      </w:r>
      <w:r>
        <w:rPr>
          <w:noProof/>
        </w:rPr>
        <w:t xml:space="preserve"> addressed in the national RRPs. They all start with a baseline of 0 and do not have pre-defined targets. Member States report on the common indicators twice a year and the Commission calculates an aggregate for the RRF on this basis. Data on the common indicators will be published on the recovery and resilience scoreboard.</w:t>
      </w:r>
    </w:p>
    <w:p w14:paraId="056527FE" w14:textId="77777777" w:rsidR="009B62E0" w:rsidRPr="00040D99" w:rsidRDefault="009B62E0" w:rsidP="009B62E0">
      <w:pPr>
        <w:pStyle w:val="ppoListHyphened-L1"/>
        <w:numPr>
          <w:ilvl w:val="0"/>
          <w:numId w:val="0"/>
        </w:numPr>
        <w:rPr>
          <w:noProof/>
        </w:rPr>
      </w:pPr>
    </w:p>
    <w:p w14:paraId="4E310CC2" w14:textId="77777777" w:rsidR="0025392F" w:rsidRDefault="0025392F" w:rsidP="009B62E0">
      <w:pPr>
        <w:spacing w:after="160" w:line="259" w:lineRule="auto"/>
        <w:rPr>
          <w:rFonts w:eastAsiaTheme="majorEastAsia" w:cstheme="majorBidi"/>
          <w:noProof/>
          <w:color w:val="016A13" w:themeColor="accent1" w:themeShade="BF"/>
          <w:sz w:val="48"/>
          <w:szCs w:val="32"/>
        </w:rPr>
        <w:sectPr w:rsidR="0025392F" w:rsidSect="00D40083">
          <w:headerReference w:type="even" r:id="rId222"/>
          <w:headerReference w:type="default" r:id="rId223"/>
          <w:footerReference w:type="even" r:id="rId224"/>
          <w:footerReference w:type="default" r:id="rId225"/>
          <w:headerReference w:type="first" r:id="rId226"/>
          <w:footerReference w:type="first" r:id="rId227"/>
          <w:pgSz w:w="11906" w:h="16838" w:code="9"/>
          <w:pgMar w:top="1134" w:right="1134" w:bottom="964" w:left="1134" w:header="431" w:footer="431" w:gutter="0"/>
          <w:cols w:space="720"/>
          <w:titlePg/>
          <w:docGrid w:linePitch="360"/>
        </w:sectPr>
      </w:pPr>
    </w:p>
    <w:p w14:paraId="6D862ADC" w14:textId="77777777" w:rsidR="00ED7CA4" w:rsidRDefault="00ED7CA4" w:rsidP="00CF73AC">
      <w:pPr>
        <w:pStyle w:val="StyleppoHeading3WhiteLeft0cm"/>
        <w:rPr>
          <w:noProof/>
          <w:sz w:val="60"/>
          <w:szCs w:val="60"/>
          <w:lang w:val="en-IE"/>
        </w:rPr>
      </w:pPr>
      <w:bookmarkStart w:id="102" w:name="_Toc102086344"/>
    </w:p>
    <w:p w14:paraId="101C65ED" w14:textId="5C8821D1" w:rsidR="00CF73AC" w:rsidRPr="002F2B26" w:rsidRDefault="00CF73AC" w:rsidP="00CF73AC">
      <w:pPr>
        <w:pStyle w:val="StyleppoHeading3WhiteLeft0cm"/>
        <w:rPr>
          <w:noProof/>
          <w:sz w:val="60"/>
          <w:szCs w:val="60"/>
          <w:lang w:val="en-IE"/>
        </w:rPr>
      </w:pPr>
      <w:r w:rsidRPr="002F2B26">
        <w:rPr>
          <w:noProof/>
          <w:sz w:val="60"/>
          <w:szCs w:val="60"/>
          <w:lang w:val="en-IE"/>
        </w:rPr>
        <w:t>TSI</w:t>
      </w:r>
      <w:bookmarkEnd w:id="102"/>
    </w:p>
    <w:p w14:paraId="2C7EF58A" w14:textId="77777777" w:rsidR="00CF73AC" w:rsidRPr="002F2B26" w:rsidRDefault="00CF73AC" w:rsidP="00CF73AC">
      <w:pPr>
        <w:pStyle w:val="StyleppoProgrammenameWhiteLeft01cm"/>
        <w:rPr>
          <w:noProof/>
          <w:lang w:val="en-IE"/>
        </w:rPr>
      </w:pPr>
      <w:r w:rsidRPr="002F2B26">
        <w:rPr>
          <w:noProof/>
          <w:lang w:val="en-IE"/>
        </w:rPr>
        <w:t>TECHNICAL SUPPORT INSTRUMENT</w:t>
      </w:r>
    </w:p>
    <w:p w14:paraId="61703E60" w14:textId="77777777" w:rsidR="00CF73AC" w:rsidRPr="002F2B26" w:rsidRDefault="00CF73AC" w:rsidP="00CF73AC">
      <w:pPr>
        <w:pStyle w:val="ppoHeading4Green"/>
        <w:rPr>
          <w:noProof/>
          <w:lang w:val="en-IE"/>
        </w:rPr>
      </w:pPr>
      <w:r w:rsidRPr="002F2B26">
        <w:rPr>
          <w:noProof/>
          <w:lang w:val="en-IE"/>
        </w:rPr>
        <w:t>Programme in a nutshell</w:t>
      </w:r>
    </w:p>
    <w:p w14:paraId="2214DE8C" w14:textId="77777777" w:rsidR="00CF73AC" w:rsidRPr="002F2B26" w:rsidRDefault="00CF73AC" w:rsidP="00CF73AC">
      <w:pPr>
        <w:pStyle w:val="ppoHeading5"/>
        <w:rPr>
          <w:noProof/>
          <w:lang w:val="en-IE"/>
        </w:rPr>
      </w:pPr>
      <w:r w:rsidRPr="002F2B26">
        <w:rPr>
          <w:noProof/>
          <w:lang w:val="en-IE"/>
        </w:rPr>
        <w:t>Concrete examples of achievements</w:t>
      </w:r>
    </w:p>
    <w:tbl>
      <w:tblPr>
        <w:tblStyle w:val="PPO2021"/>
        <w:tblW w:w="9639" w:type="dxa"/>
        <w:tblInd w:w="0" w:type="dxa"/>
        <w:tblLook w:val="0200" w:firstRow="0" w:lastRow="0" w:firstColumn="0" w:lastColumn="0" w:noHBand="1" w:noVBand="0"/>
      </w:tblPr>
      <w:tblGrid>
        <w:gridCol w:w="2410"/>
        <w:gridCol w:w="2409"/>
        <w:gridCol w:w="2410"/>
        <w:gridCol w:w="2410"/>
      </w:tblGrid>
      <w:tr w:rsidR="00CF73AC" w:rsidRPr="002F2B26" w14:paraId="06C2B41D" w14:textId="77777777" w:rsidTr="00AF1C52">
        <w:tc>
          <w:tcPr>
            <w:tcW w:w="2410" w:type="dxa"/>
          </w:tcPr>
          <w:p w14:paraId="15AA6FE9" w14:textId="77777777" w:rsidR="00CF73AC" w:rsidRPr="002F2B26" w:rsidRDefault="00CF73AC" w:rsidP="00AF1C52">
            <w:pPr>
              <w:pStyle w:val="ppoTableacheivementvalue"/>
              <w:rPr>
                <w:noProof/>
                <w:lang w:val="en-IE"/>
              </w:rPr>
            </w:pPr>
            <w:r w:rsidRPr="002F2B26">
              <w:rPr>
                <w:noProof/>
                <w:lang w:val="en-IE"/>
              </w:rPr>
              <w:t>512</w:t>
            </w:r>
          </w:p>
          <w:p w14:paraId="46940952" w14:textId="77777777" w:rsidR="00CF73AC" w:rsidRPr="002F2B26" w:rsidRDefault="00CF73AC" w:rsidP="00962E3C">
            <w:pPr>
              <w:jc w:val="left"/>
              <w:rPr>
                <w:noProof/>
                <w:lang w:val="en-IE"/>
              </w:rPr>
            </w:pPr>
            <w:r w:rsidRPr="002F2B26">
              <w:rPr>
                <w:noProof/>
                <w:lang w:val="en-IE"/>
              </w:rPr>
              <w:t>requests were received by 27 Member States under TSI</w:t>
            </w:r>
            <w:r w:rsidRPr="002F2B26">
              <w:rPr>
                <w:rFonts w:ascii="Calibri" w:hAnsi="Calibri" w:cs="Calibri"/>
                <w:noProof/>
                <w:lang w:val="en-IE"/>
              </w:rPr>
              <w:t> </w:t>
            </w:r>
            <w:r w:rsidRPr="002F2B26">
              <w:rPr>
                <w:noProof/>
                <w:lang w:val="en-IE"/>
              </w:rPr>
              <w:t>2022.</w:t>
            </w:r>
          </w:p>
        </w:tc>
        <w:tc>
          <w:tcPr>
            <w:cnfStyle w:val="000001000000" w:firstRow="0" w:lastRow="0" w:firstColumn="0" w:lastColumn="0" w:oddVBand="0" w:evenVBand="1" w:oddHBand="0" w:evenHBand="0" w:firstRowFirstColumn="0" w:firstRowLastColumn="0" w:lastRowFirstColumn="0" w:lastRowLastColumn="0"/>
            <w:tcW w:w="2409" w:type="dxa"/>
          </w:tcPr>
          <w:p w14:paraId="38367A29" w14:textId="77777777" w:rsidR="00CF73AC" w:rsidRPr="002F2B26" w:rsidRDefault="00CF73AC" w:rsidP="00AF1C52">
            <w:pPr>
              <w:pStyle w:val="ppoTableacheivementvalue"/>
              <w:rPr>
                <w:noProof/>
                <w:lang w:val="en-IE"/>
              </w:rPr>
            </w:pPr>
            <w:r w:rsidRPr="002F2B26">
              <w:rPr>
                <w:noProof/>
                <w:lang w:val="en-IE"/>
              </w:rPr>
              <w:t>176</w:t>
            </w:r>
          </w:p>
          <w:p w14:paraId="1CF95BE6" w14:textId="77777777" w:rsidR="00CF73AC" w:rsidRPr="002F2B26" w:rsidRDefault="00CF73AC" w:rsidP="00962E3C">
            <w:pPr>
              <w:jc w:val="left"/>
              <w:rPr>
                <w:noProof/>
                <w:lang w:val="en-IE"/>
              </w:rPr>
            </w:pPr>
            <w:r w:rsidRPr="002F2B26">
              <w:rPr>
                <w:noProof/>
                <w:lang w:val="en-IE"/>
              </w:rPr>
              <w:t>Technical Support Instrument (TSI) reform projects corresponding to 225 requests were selected under TSI</w:t>
            </w:r>
            <w:r w:rsidRPr="002F2B26">
              <w:rPr>
                <w:rFonts w:ascii="Calibri" w:hAnsi="Calibri" w:cs="Calibri"/>
                <w:noProof/>
                <w:lang w:val="en-IE"/>
              </w:rPr>
              <w:t> </w:t>
            </w:r>
            <w:r w:rsidRPr="002F2B26">
              <w:rPr>
                <w:noProof/>
                <w:lang w:val="en-IE"/>
              </w:rPr>
              <w:t>2022.</w:t>
            </w:r>
          </w:p>
        </w:tc>
        <w:tc>
          <w:tcPr>
            <w:tcW w:w="2410" w:type="dxa"/>
            <w:tcBorders>
              <w:bottom w:val="single" w:sz="4" w:space="0" w:color="8C8C8C"/>
            </w:tcBorders>
          </w:tcPr>
          <w:p w14:paraId="25475AB3" w14:textId="77777777" w:rsidR="00CF73AC" w:rsidRPr="002F2B26" w:rsidRDefault="00CF73AC" w:rsidP="00AF1C52">
            <w:pPr>
              <w:pStyle w:val="ppoTableacheivementvalue"/>
              <w:cnfStyle w:val="000000000000" w:firstRow="0" w:lastRow="0" w:firstColumn="0" w:lastColumn="0" w:oddVBand="0" w:evenVBand="0" w:oddHBand="0" w:evenHBand="0" w:firstRowFirstColumn="0" w:firstRowLastColumn="0" w:lastRowFirstColumn="0" w:lastRowLastColumn="0"/>
              <w:rPr>
                <w:noProof/>
                <w:lang w:val="en-IE"/>
              </w:rPr>
            </w:pPr>
            <w:r w:rsidRPr="002F2B26">
              <w:rPr>
                <w:noProof/>
                <w:lang w:val="en-IE"/>
              </w:rPr>
              <w:t>18</w:t>
            </w:r>
          </w:p>
          <w:p w14:paraId="3D6F5E31" w14:textId="77777777" w:rsidR="00CF73AC" w:rsidRPr="002F2B26" w:rsidRDefault="00CF73AC" w:rsidP="00962E3C">
            <w:pPr>
              <w:jc w:val="left"/>
              <w:cnfStyle w:val="000000000000" w:firstRow="0" w:lastRow="0" w:firstColumn="0" w:lastColumn="0" w:oddVBand="0" w:evenVBand="0" w:oddHBand="0" w:evenHBand="0" w:firstRowFirstColumn="0" w:firstRowLastColumn="0" w:lastRowFirstColumn="0" w:lastRowLastColumn="0"/>
              <w:rPr>
                <w:noProof/>
                <w:lang w:val="en-IE"/>
              </w:rPr>
            </w:pPr>
            <w:r w:rsidRPr="002F2B26">
              <w:rPr>
                <w:noProof/>
                <w:lang w:val="en-IE"/>
              </w:rPr>
              <w:t>multi-country projects were selected under TSI</w:t>
            </w:r>
            <w:r w:rsidRPr="002F2B26">
              <w:rPr>
                <w:rFonts w:ascii="Calibri" w:hAnsi="Calibri" w:cs="Calibri"/>
                <w:noProof/>
                <w:lang w:val="en-IE"/>
              </w:rPr>
              <w:t> </w:t>
            </w:r>
            <w:r w:rsidRPr="002F2B26">
              <w:rPr>
                <w:noProof/>
                <w:lang w:val="en-IE"/>
              </w:rPr>
              <w:t>2022, translating into 66 projects in the Member States.</w:t>
            </w:r>
          </w:p>
        </w:tc>
        <w:tc>
          <w:tcPr>
            <w:cnfStyle w:val="000001000000" w:firstRow="0" w:lastRow="0" w:firstColumn="0" w:lastColumn="0" w:oddVBand="0" w:evenVBand="1" w:oddHBand="0" w:evenHBand="0" w:firstRowFirstColumn="0" w:firstRowLastColumn="0" w:lastRowFirstColumn="0" w:lastRowLastColumn="0"/>
            <w:tcW w:w="2410" w:type="dxa"/>
          </w:tcPr>
          <w:p w14:paraId="747D5D7B" w14:textId="77777777" w:rsidR="00CF73AC" w:rsidRPr="002F2B26" w:rsidRDefault="00CF73AC" w:rsidP="00AF1C52">
            <w:pPr>
              <w:pStyle w:val="ppoTableacheivementvalue"/>
              <w:rPr>
                <w:noProof/>
                <w:lang w:val="en-IE"/>
              </w:rPr>
            </w:pPr>
            <w:r w:rsidRPr="002F2B26">
              <w:rPr>
                <w:noProof/>
                <w:lang w:val="en-IE"/>
              </w:rPr>
              <w:t>57%</w:t>
            </w:r>
          </w:p>
          <w:p w14:paraId="0878362B" w14:textId="77777777" w:rsidR="00CF73AC" w:rsidRPr="002F2B26" w:rsidRDefault="00CF73AC" w:rsidP="00962E3C">
            <w:pPr>
              <w:jc w:val="left"/>
              <w:rPr>
                <w:noProof/>
                <w:lang w:val="en-IE"/>
              </w:rPr>
            </w:pPr>
            <w:r w:rsidRPr="002F2B26">
              <w:rPr>
                <w:noProof/>
                <w:lang w:val="en-IE"/>
              </w:rPr>
              <w:t>of the projects selected under TSI</w:t>
            </w:r>
            <w:r w:rsidRPr="002F2B26">
              <w:rPr>
                <w:rFonts w:ascii="Calibri" w:hAnsi="Calibri" w:cs="Calibri"/>
                <w:noProof/>
                <w:lang w:val="en-IE"/>
              </w:rPr>
              <w:t> </w:t>
            </w:r>
            <w:r w:rsidRPr="002F2B26">
              <w:rPr>
                <w:noProof/>
                <w:lang w:val="en-IE"/>
              </w:rPr>
              <w:t>2022 will contribute to the preparation or the implementation of the Recovery and Resilience Facility.</w:t>
            </w:r>
          </w:p>
        </w:tc>
      </w:tr>
    </w:tbl>
    <w:p w14:paraId="7684819E" w14:textId="77777777" w:rsidR="00CF73AC" w:rsidRPr="002F2B26" w:rsidRDefault="00CF73AC" w:rsidP="00CF73AC">
      <w:pPr>
        <w:pStyle w:val="ppoHeading5"/>
        <w:rPr>
          <w:noProof/>
          <w:lang w:val="en-IE"/>
        </w:rPr>
      </w:pPr>
      <w:r w:rsidRPr="002F2B26">
        <w:rPr>
          <w:noProof/>
          <w:lang w:val="en-IE"/>
        </w:rPr>
        <w:t>Budget for 2021-2027</w:t>
      </w:r>
    </w:p>
    <w:p w14:paraId="546D765F" w14:textId="77777777" w:rsidR="00CF73AC" w:rsidRPr="002F2B26" w:rsidRDefault="00CF73AC" w:rsidP="00CF73AC">
      <w:pPr>
        <w:pStyle w:val="ppoTableTabletitle"/>
        <w:ind w:left="284"/>
        <w:rPr>
          <w:noProof/>
          <w:lang w:val="en-IE"/>
        </w:rPr>
      </w:pPr>
      <w:r w:rsidRPr="002F2B26">
        <w:rPr>
          <w:noProof/>
          <w:lang w:val="en-IE"/>
        </w:rPr>
        <w:t>(million EUR)</w:t>
      </w:r>
    </w:p>
    <w:tbl>
      <w:tblPr>
        <w:tblStyle w:val="PlainTable2"/>
        <w:tblW w:w="0" w:type="auto"/>
        <w:tblInd w:w="288" w:type="dxa"/>
        <w:tblLook w:val="04A0" w:firstRow="1" w:lastRow="0" w:firstColumn="1" w:lastColumn="0" w:noHBand="0" w:noVBand="1"/>
      </w:tblPr>
      <w:tblGrid>
        <w:gridCol w:w="4788"/>
        <w:gridCol w:w="2610"/>
      </w:tblGrid>
      <w:tr w:rsidR="00CF73AC" w:rsidRPr="002F2B26" w14:paraId="795113C0" w14:textId="77777777" w:rsidTr="00AF1C5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0662EA9D" w14:textId="77777777" w:rsidR="00CF73AC" w:rsidRPr="002F2B26" w:rsidRDefault="00CF73AC" w:rsidP="00AF1C52">
            <w:pPr>
              <w:spacing w:before="120" w:after="120"/>
              <w:rPr>
                <w:noProof/>
                <w:lang w:val="en-IE"/>
              </w:rPr>
            </w:pPr>
            <w:r w:rsidRPr="002F2B26">
              <w:rPr>
                <w:rFonts w:cs="Calibri"/>
                <w:noProof/>
                <w:color w:val="000000"/>
                <w:lang w:val="en-IE"/>
              </w:rPr>
              <w:t>Financial programming</w:t>
            </w:r>
          </w:p>
        </w:tc>
        <w:tc>
          <w:tcPr>
            <w:tcW w:w="2610" w:type="dxa"/>
            <w:shd w:val="clear" w:color="auto" w:fill="auto"/>
            <w:vAlign w:val="bottom"/>
          </w:tcPr>
          <w:p w14:paraId="1BCF432F" w14:textId="77777777" w:rsidR="00CF73AC" w:rsidRPr="002F2B26" w:rsidRDefault="00CF73AC" w:rsidP="00AF1C52">
            <w:pPr>
              <w:spacing w:before="120" w:after="120"/>
              <w:jc w:val="center"/>
              <w:cnfStyle w:val="100000000000" w:firstRow="1" w:lastRow="0" w:firstColumn="0" w:lastColumn="0" w:oddVBand="0" w:evenVBand="0" w:oddHBand="0" w:evenHBand="0" w:firstRowFirstColumn="0" w:firstRowLastColumn="0" w:lastRowFirstColumn="0" w:lastRowLastColumn="0"/>
              <w:rPr>
                <w:b w:val="0"/>
                <w:noProof/>
                <w:lang w:val="en-IE"/>
              </w:rPr>
            </w:pPr>
            <w:r w:rsidRPr="002F2B26">
              <w:rPr>
                <w:rFonts w:cs="Calibri"/>
                <w:b w:val="0"/>
                <w:noProof/>
                <w:color w:val="000000"/>
                <w:lang w:val="en-IE"/>
              </w:rPr>
              <w:t>86</w:t>
            </w:r>
            <w:r>
              <w:rPr>
                <w:rFonts w:cs="Calibri"/>
                <w:b w:val="0"/>
                <w:noProof/>
                <w:color w:val="000000"/>
                <w:lang w:val="en-IE"/>
              </w:rPr>
              <w:t>4</w:t>
            </w:r>
            <w:r w:rsidRPr="002F2B26">
              <w:rPr>
                <w:rFonts w:cs="Calibri"/>
                <w:b w:val="0"/>
                <w:noProof/>
                <w:color w:val="000000"/>
                <w:lang w:val="en-IE"/>
              </w:rPr>
              <w:t>.4</w:t>
            </w:r>
          </w:p>
        </w:tc>
      </w:tr>
      <w:tr w:rsidR="00CF73AC" w:rsidRPr="002F2B26" w14:paraId="1DAE0A3B" w14:textId="77777777" w:rsidTr="00AF1C5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366F9700" w14:textId="77777777" w:rsidR="00CF73AC" w:rsidRPr="002F2B26" w:rsidRDefault="00CF73AC" w:rsidP="00AF1C52">
            <w:pPr>
              <w:spacing w:before="120" w:after="120"/>
              <w:rPr>
                <w:noProof/>
                <w:lang w:val="en-IE"/>
              </w:rPr>
            </w:pPr>
            <w:r w:rsidRPr="002F2B26">
              <w:rPr>
                <w:rFonts w:cs="Calibri"/>
                <w:noProof/>
                <w:color w:val="000000"/>
                <w:lang w:val="en-IE"/>
              </w:rPr>
              <w:t>NextGenerationEU</w:t>
            </w:r>
          </w:p>
        </w:tc>
        <w:tc>
          <w:tcPr>
            <w:tcW w:w="2610" w:type="dxa"/>
            <w:vAlign w:val="bottom"/>
          </w:tcPr>
          <w:p w14:paraId="7200A45A" w14:textId="77777777" w:rsidR="00CF73AC" w:rsidRPr="002F2B26" w:rsidRDefault="00CF73AC" w:rsidP="00AF1C52">
            <w:pPr>
              <w:spacing w:before="120" w:after="120"/>
              <w:jc w:val="center"/>
              <w:cnfStyle w:val="000000100000" w:firstRow="0" w:lastRow="0" w:firstColumn="0" w:lastColumn="0" w:oddVBand="0" w:evenVBand="0" w:oddHBand="1" w:evenHBand="0" w:firstRowFirstColumn="0" w:firstRowLastColumn="0" w:lastRowFirstColumn="0" w:lastRowLastColumn="0"/>
              <w:rPr>
                <w:noProof/>
                <w:lang w:val="en-IE"/>
              </w:rPr>
            </w:pPr>
            <w:r w:rsidRPr="002F2B26">
              <w:rPr>
                <w:rFonts w:cs="Calibri"/>
                <w:noProof/>
                <w:color w:val="000000"/>
                <w:lang w:val="en-IE"/>
              </w:rPr>
              <w:t>0</w:t>
            </w:r>
          </w:p>
        </w:tc>
      </w:tr>
      <w:tr w:rsidR="00CF73AC" w:rsidRPr="002F2B26" w14:paraId="545E31D4" w14:textId="77777777" w:rsidTr="00AF1C52">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38CB44E3" w14:textId="77777777" w:rsidR="00CF73AC" w:rsidRPr="002F2B26" w:rsidRDefault="00CF73AC" w:rsidP="00AF1C52">
            <w:pPr>
              <w:spacing w:before="120" w:after="120"/>
              <w:rPr>
                <w:rFonts w:cs="Calibri"/>
                <w:noProof/>
                <w:color w:val="000000"/>
                <w:lang w:val="en-IE"/>
              </w:rPr>
            </w:pPr>
            <w:r w:rsidRPr="002F2B26">
              <w:rPr>
                <w:noProof/>
                <w:lang w:val="en-IE"/>
              </w:rPr>
              <w:t>Decommitments made available again</w:t>
            </w:r>
            <w:r w:rsidRPr="002F2B26">
              <w:rPr>
                <w:rFonts w:ascii="Calibri" w:hAnsi="Calibri" w:cs="Calibri"/>
                <w:noProof/>
                <w:lang w:val="en-IE"/>
              </w:rPr>
              <w:t> </w:t>
            </w:r>
            <w:r w:rsidRPr="002F2B26">
              <w:rPr>
                <w:noProof/>
                <w:lang w:val="en-IE"/>
              </w:rPr>
              <w:t>(*)</w:t>
            </w:r>
          </w:p>
        </w:tc>
        <w:tc>
          <w:tcPr>
            <w:tcW w:w="2610" w:type="dxa"/>
            <w:vAlign w:val="bottom"/>
          </w:tcPr>
          <w:p w14:paraId="691E8EEE" w14:textId="77777777" w:rsidR="00CF73AC" w:rsidRPr="002F2B26" w:rsidRDefault="00CF73AC" w:rsidP="00AF1C52">
            <w:pPr>
              <w:spacing w:before="120" w:after="120"/>
              <w:jc w:val="center"/>
              <w:cnfStyle w:val="000000000000" w:firstRow="0" w:lastRow="0" w:firstColumn="0" w:lastColumn="0" w:oddVBand="0" w:evenVBand="0" w:oddHBand="0" w:evenHBand="0" w:firstRowFirstColumn="0" w:firstRowLastColumn="0" w:lastRowFirstColumn="0" w:lastRowLastColumn="0"/>
              <w:rPr>
                <w:noProof/>
                <w:lang w:val="en-IE"/>
              </w:rPr>
            </w:pPr>
            <w:r>
              <w:rPr>
                <w:rFonts w:cs="Calibri"/>
                <w:noProof/>
                <w:color w:val="000000"/>
                <w:lang w:val="en-IE"/>
              </w:rPr>
              <w:t>N/A</w:t>
            </w:r>
          </w:p>
        </w:tc>
      </w:tr>
      <w:tr w:rsidR="00CF73AC" w:rsidRPr="002F2B26" w14:paraId="55A146C6" w14:textId="77777777" w:rsidTr="00AF1C5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3CAA6509" w14:textId="77777777" w:rsidR="00CF73AC" w:rsidRPr="002F2B26" w:rsidRDefault="00CF73AC" w:rsidP="00AF1C52">
            <w:pPr>
              <w:spacing w:before="120" w:after="120"/>
              <w:rPr>
                <w:noProof/>
                <w:lang w:val="en-IE"/>
              </w:rPr>
            </w:pPr>
            <w:r w:rsidRPr="002F2B26">
              <w:rPr>
                <w:rFonts w:cs="Calibri"/>
                <w:noProof/>
                <w:color w:val="000000"/>
                <w:lang w:val="en-IE"/>
              </w:rPr>
              <w:t>Contributions from other countries and entities</w:t>
            </w:r>
          </w:p>
        </w:tc>
        <w:tc>
          <w:tcPr>
            <w:tcW w:w="2610" w:type="dxa"/>
            <w:vAlign w:val="bottom"/>
          </w:tcPr>
          <w:p w14:paraId="6FF2EDFF" w14:textId="77777777" w:rsidR="00CF73AC" w:rsidRPr="002F2B26" w:rsidRDefault="00CF73AC" w:rsidP="00AF1C52">
            <w:pPr>
              <w:spacing w:before="120" w:after="120"/>
              <w:jc w:val="center"/>
              <w:cnfStyle w:val="000000100000" w:firstRow="0" w:lastRow="0" w:firstColumn="0" w:lastColumn="0" w:oddVBand="0" w:evenVBand="0" w:oddHBand="1" w:evenHBand="0" w:firstRowFirstColumn="0" w:firstRowLastColumn="0" w:lastRowFirstColumn="0" w:lastRowLastColumn="0"/>
              <w:rPr>
                <w:noProof/>
                <w:lang w:val="en-IE"/>
              </w:rPr>
            </w:pPr>
            <w:r w:rsidRPr="002F2B26">
              <w:rPr>
                <w:rFonts w:cs="Calibri"/>
                <w:noProof/>
                <w:color w:val="000000"/>
                <w:lang w:val="en-IE"/>
              </w:rPr>
              <w:t>0</w:t>
            </w:r>
          </w:p>
        </w:tc>
      </w:tr>
      <w:tr w:rsidR="00CF73AC" w:rsidRPr="002F2B26" w14:paraId="3863AE0C" w14:textId="77777777" w:rsidTr="00AF1C52">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CFCFC" w:themeFill="background2" w:themeFillTint="33"/>
            <w:vAlign w:val="bottom"/>
          </w:tcPr>
          <w:p w14:paraId="2724EC94" w14:textId="77777777" w:rsidR="00CF73AC" w:rsidRPr="002F2B26" w:rsidRDefault="00CF73AC" w:rsidP="00AF1C52">
            <w:pPr>
              <w:spacing w:before="120" w:after="120"/>
              <w:rPr>
                <w:noProof/>
                <w:lang w:val="en-IE"/>
              </w:rPr>
            </w:pPr>
            <w:r w:rsidRPr="002F2B26">
              <w:rPr>
                <w:rFonts w:cs="Calibri"/>
                <w:noProof/>
                <w:color w:val="000000"/>
                <w:lang w:val="en-IE"/>
              </w:rPr>
              <w:t>Total budget for 2021-2027</w:t>
            </w:r>
          </w:p>
        </w:tc>
        <w:tc>
          <w:tcPr>
            <w:tcW w:w="2610" w:type="dxa"/>
            <w:shd w:val="clear" w:color="auto" w:fill="FCFCFC" w:themeFill="background2" w:themeFillTint="33"/>
            <w:vAlign w:val="bottom"/>
          </w:tcPr>
          <w:p w14:paraId="4E94AAA7" w14:textId="77777777" w:rsidR="00CF73AC" w:rsidRPr="002F2B26" w:rsidRDefault="00CF73AC" w:rsidP="00AF1C52">
            <w:pPr>
              <w:spacing w:before="120" w:after="120"/>
              <w:jc w:val="center"/>
              <w:cnfStyle w:val="000000000000" w:firstRow="0" w:lastRow="0" w:firstColumn="0" w:lastColumn="0" w:oddVBand="0" w:evenVBand="0" w:oddHBand="0" w:evenHBand="0" w:firstRowFirstColumn="0" w:firstRowLastColumn="0" w:lastRowFirstColumn="0" w:lastRowLastColumn="0"/>
              <w:rPr>
                <w:b/>
                <w:noProof/>
                <w:lang w:val="en-IE"/>
              </w:rPr>
            </w:pPr>
            <w:r w:rsidRPr="002F2B26">
              <w:rPr>
                <w:rFonts w:cs="Calibri"/>
                <w:b/>
                <w:noProof/>
                <w:color w:val="000000"/>
                <w:lang w:val="en-IE"/>
              </w:rPr>
              <w:t>86</w:t>
            </w:r>
            <w:r>
              <w:rPr>
                <w:rFonts w:cs="Calibri"/>
                <w:b/>
                <w:noProof/>
                <w:color w:val="000000"/>
                <w:lang w:val="en-IE"/>
              </w:rPr>
              <w:t>4</w:t>
            </w:r>
            <w:r w:rsidRPr="002F2B26">
              <w:rPr>
                <w:rFonts w:cs="Calibri"/>
                <w:b/>
                <w:noProof/>
                <w:color w:val="000000"/>
                <w:lang w:val="en-IE"/>
              </w:rPr>
              <w:t>.4</w:t>
            </w:r>
          </w:p>
        </w:tc>
      </w:tr>
    </w:tbl>
    <w:p w14:paraId="6318D2FB" w14:textId="77777777" w:rsidR="00CF73AC" w:rsidRPr="002F2B26" w:rsidRDefault="00CF73AC" w:rsidP="00CF73AC">
      <w:pPr>
        <w:tabs>
          <w:tab w:val="left" w:pos="6793"/>
        </w:tabs>
        <w:rPr>
          <w:noProof/>
          <w:sz w:val="18"/>
          <w:szCs w:val="18"/>
          <w:lang w:val="en-IE"/>
        </w:rPr>
      </w:pPr>
      <w:r w:rsidRPr="002F2B26">
        <w:rPr>
          <w:noProof/>
          <w:sz w:val="18"/>
          <w:szCs w:val="18"/>
          <w:lang w:val="en-IE"/>
        </w:rPr>
        <w:t>(*) Only Article</w:t>
      </w:r>
      <w:r w:rsidRPr="002F2B26">
        <w:rPr>
          <w:rFonts w:ascii="Calibri" w:hAnsi="Calibri" w:cs="Calibri"/>
          <w:noProof/>
          <w:sz w:val="18"/>
          <w:szCs w:val="18"/>
          <w:lang w:val="en-IE"/>
        </w:rPr>
        <w:t> </w:t>
      </w:r>
      <w:r w:rsidRPr="002F2B26">
        <w:rPr>
          <w:noProof/>
          <w:sz w:val="18"/>
          <w:szCs w:val="18"/>
          <w:lang w:val="en-IE"/>
        </w:rPr>
        <w:t>15(3) of the financial regulation.</w:t>
      </w:r>
    </w:p>
    <w:p w14:paraId="4A62D21B" w14:textId="77777777" w:rsidR="00CF73AC" w:rsidRPr="002F2B26" w:rsidRDefault="00CF73AC" w:rsidP="00CF73AC">
      <w:pPr>
        <w:pStyle w:val="ppoHeading5"/>
        <w:rPr>
          <w:noProof/>
          <w:lang w:val="en-IE"/>
        </w:rPr>
      </w:pPr>
      <w:r w:rsidRPr="002F2B26">
        <w:rPr>
          <w:noProof/>
          <w:lang w:val="en-IE"/>
        </w:rPr>
        <w:t>Rationale and design of the programme</w:t>
      </w:r>
    </w:p>
    <w:p w14:paraId="4C23375D" w14:textId="77777777" w:rsidR="00CF73AC" w:rsidRPr="002F2B26" w:rsidRDefault="00CF73AC" w:rsidP="00CF73AC">
      <w:pPr>
        <w:rPr>
          <w:rFonts w:eastAsiaTheme="minorEastAsia"/>
          <w:noProof/>
          <w:lang w:val="en-IE"/>
        </w:rPr>
      </w:pPr>
      <w:r w:rsidRPr="002F2B26">
        <w:rPr>
          <w:rFonts w:eastAsiaTheme="minorEastAsia"/>
          <w:noProof/>
          <w:lang w:val="en-IE"/>
        </w:rPr>
        <w:t xml:space="preserve">With the </w:t>
      </w:r>
      <w:r w:rsidRPr="002F2B26">
        <w:rPr>
          <w:noProof/>
          <w:lang w:val="en-IE"/>
        </w:rPr>
        <w:t>Technical Support Instrument (TSI), the European Commission will accompany Member States’ efforts to tackle reform challenges by offering them technical expertise to enhance their capacity to carry out reforms and to foster the exchange of good practices across the EU.</w:t>
      </w:r>
    </w:p>
    <w:p w14:paraId="7E0FD7A7" w14:textId="77777777" w:rsidR="00CF73AC" w:rsidRPr="002F2B26" w:rsidRDefault="00CF73AC" w:rsidP="00CF73AC">
      <w:pPr>
        <w:pStyle w:val="ppoHeading6"/>
        <w:rPr>
          <w:noProof/>
          <w:lang w:val="en-IE"/>
        </w:rPr>
      </w:pPr>
      <w:r w:rsidRPr="002F2B26">
        <w:rPr>
          <w:noProof/>
          <w:lang w:val="en-IE"/>
        </w:rPr>
        <w:t>Challenge</w:t>
      </w:r>
    </w:p>
    <w:p w14:paraId="40D11EF3" w14:textId="77777777" w:rsidR="00CF73AC" w:rsidRPr="002F2B26" w:rsidRDefault="00CF73AC" w:rsidP="00CF73AC">
      <w:pPr>
        <w:rPr>
          <w:noProof/>
          <w:lang w:val="en-IE"/>
        </w:rPr>
      </w:pPr>
      <w:r w:rsidRPr="002F2B26">
        <w:rPr>
          <w:noProof/>
          <w:lang w:val="en-IE"/>
        </w:rPr>
        <w:t xml:space="preserve">The outbreak of the COVID-19 pandemic has changed the economic outlook for years to come in the EU and in the world. The effects of the crisis in the medium and long term will depend on the resilience of the Member State economies. There is a need to strategically plan the recovery, revitalise our economies and return to the path of sustainable and inclusive growth, geared towards the green transition and digital transformation objectives. </w:t>
      </w:r>
    </w:p>
    <w:p w14:paraId="319D1EBA" w14:textId="77777777" w:rsidR="00CF73AC" w:rsidRPr="002F2B26" w:rsidRDefault="00CF73AC" w:rsidP="00CF73AC">
      <w:pPr>
        <w:rPr>
          <w:noProof/>
          <w:lang w:val="en-IE"/>
        </w:rPr>
      </w:pPr>
      <w:r w:rsidRPr="002F2B26">
        <w:rPr>
          <w:noProof/>
          <w:lang w:val="en-IE"/>
        </w:rPr>
        <w:t xml:space="preserve">Smart, sustainable and socially responsible reforms can help to strengthen the resilience of our economies and societies. They contribute to keeping our economies flexible and competitive and help to improve the quality of public services. Moreover, given that the economies of Member States are strongly intertwined, the successful implementation of well-designed reforms in each Member State benefits the EU as a whole. </w:t>
      </w:r>
    </w:p>
    <w:p w14:paraId="73B0A63A" w14:textId="77777777" w:rsidR="00CF73AC" w:rsidRPr="002F2B26" w:rsidRDefault="00CF73AC" w:rsidP="00CF73AC">
      <w:pPr>
        <w:rPr>
          <w:noProof/>
          <w:lang w:val="en-IE"/>
        </w:rPr>
      </w:pPr>
      <w:r w:rsidRPr="002F2B26">
        <w:rPr>
          <w:noProof/>
          <w:lang w:val="en-IE"/>
        </w:rPr>
        <w:t xml:space="preserve">However, the process of designing, developing and implementing reforms is complex and Member States have different levels of in-house expertise and capacity to tackle it. Strengthening Member States’ institutional and administrative capacity to design and implement reforms is essential. </w:t>
      </w:r>
    </w:p>
    <w:p w14:paraId="5AE5E50C" w14:textId="77777777" w:rsidR="00CF73AC" w:rsidRPr="002F2B26" w:rsidRDefault="00CF73AC" w:rsidP="00CF73AC">
      <w:pPr>
        <w:rPr>
          <w:noProof/>
          <w:lang w:val="en-IE"/>
        </w:rPr>
      </w:pPr>
      <w:r w:rsidRPr="002F2B26">
        <w:rPr>
          <w:noProof/>
          <w:lang w:val="en-IE"/>
        </w:rPr>
        <w:t>In line with the subsidiarity and proportionality principles, EU intervention can bring added value by offering strengthened technical support for the design and implementation of the resilience enhancing reforms. This support helps to increase the capacity of Member States to carry out their national reforms, in line with overall EU objectives.</w:t>
      </w:r>
    </w:p>
    <w:p w14:paraId="4090DF71" w14:textId="77777777" w:rsidR="00CF73AC" w:rsidRPr="002F2B26" w:rsidRDefault="00CF73AC" w:rsidP="00CF73AC">
      <w:pPr>
        <w:pStyle w:val="ppoHeading6"/>
        <w:rPr>
          <w:noProof/>
          <w:lang w:val="en-IE"/>
        </w:rPr>
      </w:pPr>
      <w:r w:rsidRPr="002F2B26">
        <w:rPr>
          <w:noProof/>
          <w:lang w:val="en-IE"/>
        </w:rPr>
        <w:t>Mission</w:t>
      </w:r>
    </w:p>
    <w:p w14:paraId="10D8C2FA" w14:textId="77777777" w:rsidR="00CF73AC" w:rsidRPr="002F2B26" w:rsidRDefault="00CF73AC" w:rsidP="00CF73AC">
      <w:pPr>
        <w:rPr>
          <w:noProof/>
          <w:lang w:val="en-IE"/>
        </w:rPr>
      </w:pPr>
      <w:r w:rsidRPr="002F2B26">
        <w:rPr>
          <w:noProof/>
          <w:lang w:val="en-IE"/>
        </w:rPr>
        <w:t xml:space="preserve">The TSI is the main EU funding programme providing technical support to Member States in their reform agendas. </w:t>
      </w:r>
    </w:p>
    <w:p w14:paraId="66BCAAE3" w14:textId="77777777" w:rsidR="00CF73AC" w:rsidRPr="002F2B26" w:rsidRDefault="00CF73AC" w:rsidP="00CF73AC">
      <w:pPr>
        <w:rPr>
          <w:noProof/>
          <w:lang w:val="en-IE"/>
        </w:rPr>
      </w:pPr>
      <w:r w:rsidRPr="002F2B26">
        <w:rPr>
          <w:noProof/>
          <w:lang w:val="en-IE"/>
        </w:rPr>
        <w:t xml:space="preserve">The general objective of the TSI is to promote the EU’s economic, social and territorial cohesion by supporting Member States’ efforts to implement the necessary reforms to achieve economic and social recovery, resilience and upward economic and social convergence. </w:t>
      </w:r>
    </w:p>
    <w:p w14:paraId="6EF4BDE6" w14:textId="77777777" w:rsidR="00CF73AC" w:rsidRPr="002F2B26" w:rsidRDefault="00CF73AC" w:rsidP="00CF73AC">
      <w:pPr>
        <w:rPr>
          <w:noProof/>
          <w:lang w:val="en-IE"/>
        </w:rPr>
      </w:pPr>
      <w:r w:rsidRPr="002F2B26">
        <w:rPr>
          <w:noProof/>
          <w:lang w:val="en-IE"/>
        </w:rPr>
        <w:t xml:space="preserve">These reforms may be either identified in the European semester process of economic policy coordination, or by the Member States’ own initiative. They can be in a broad range of policy domains, including public financial and asset management, institutional and administrative reform, business environment, the financial sector, markets for products, services and labour, education and training, sustainable development, public health and social welfare. Specific emphasis will be given to actions that foster the green and digital transitions. </w:t>
      </w:r>
    </w:p>
    <w:p w14:paraId="3E260EED" w14:textId="77777777" w:rsidR="00CF73AC" w:rsidRPr="002F2B26" w:rsidRDefault="00CF73AC" w:rsidP="00CF73AC">
      <w:pPr>
        <w:rPr>
          <w:noProof/>
          <w:lang w:val="en-IE"/>
        </w:rPr>
      </w:pPr>
      <w:r w:rsidRPr="002F2B26">
        <w:rPr>
          <w:noProof/>
          <w:lang w:val="en-IE"/>
        </w:rPr>
        <w:t>The instrument also provides technical support to Member States for the preparation and implementation of their recovery and resilience plans in the framework of the new Recovery and Resilience Facility.</w:t>
      </w:r>
    </w:p>
    <w:p w14:paraId="55176300" w14:textId="77777777" w:rsidR="00CF73AC" w:rsidRPr="002F2B26" w:rsidRDefault="00CF73AC" w:rsidP="00CF73AC">
      <w:pPr>
        <w:pStyle w:val="ppoHeading6"/>
        <w:rPr>
          <w:noProof/>
          <w:lang w:val="en-IE"/>
        </w:rPr>
      </w:pPr>
      <w:r w:rsidRPr="002F2B26">
        <w:rPr>
          <w:noProof/>
          <w:lang w:val="en-IE"/>
        </w:rPr>
        <w:t>Objectives</w:t>
      </w:r>
    </w:p>
    <w:p w14:paraId="7D3DED15" w14:textId="77777777" w:rsidR="00CF73AC" w:rsidRPr="002F2B26" w:rsidRDefault="00CF73AC" w:rsidP="00CF73AC">
      <w:pPr>
        <w:rPr>
          <w:noProof/>
          <w:lang w:val="en-IE"/>
        </w:rPr>
      </w:pPr>
      <w:r w:rsidRPr="002F2B26">
        <w:rPr>
          <w:noProof/>
          <w:lang w:val="en-IE"/>
        </w:rPr>
        <w:t>The TSI has the specific objectives of assisting national authorities in improving their capacity to:</w:t>
      </w:r>
    </w:p>
    <w:p w14:paraId="4BBD4905" w14:textId="77777777" w:rsidR="00CF73AC" w:rsidRPr="002F2B26" w:rsidRDefault="00CF73AC" w:rsidP="006F409B">
      <w:pPr>
        <w:pStyle w:val="ppoListArabic1aiii-L1"/>
        <w:numPr>
          <w:ilvl w:val="0"/>
          <w:numId w:val="139"/>
        </w:numPr>
        <w:rPr>
          <w:noProof/>
          <w:lang w:val="en-IE"/>
        </w:rPr>
      </w:pPr>
      <w:r w:rsidRPr="002F2B26">
        <w:rPr>
          <w:noProof/>
          <w:lang w:val="en-IE"/>
        </w:rPr>
        <w:t xml:space="preserve">design, develop and implement reforms; </w:t>
      </w:r>
    </w:p>
    <w:p w14:paraId="37A7318A" w14:textId="77777777" w:rsidR="00CF73AC" w:rsidRPr="002F2B26" w:rsidRDefault="00CF73AC" w:rsidP="006F409B">
      <w:pPr>
        <w:pStyle w:val="ppoListArabic1aiii-L1"/>
        <w:numPr>
          <w:ilvl w:val="0"/>
          <w:numId w:val="139"/>
        </w:numPr>
        <w:rPr>
          <w:noProof/>
          <w:lang w:val="en-IE"/>
        </w:rPr>
      </w:pPr>
      <w:r w:rsidRPr="002F2B26">
        <w:rPr>
          <w:noProof/>
          <w:lang w:val="en-IE"/>
        </w:rPr>
        <w:t>prepare, amend, implement and revise recovery and resilience plans pursuant to Regulation (EU)</w:t>
      </w:r>
      <w:r w:rsidRPr="002F2B26">
        <w:rPr>
          <w:rFonts w:ascii="Calibri" w:hAnsi="Calibri" w:cs="Calibri"/>
          <w:noProof/>
          <w:lang w:val="en-IE"/>
        </w:rPr>
        <w:t> </w:t>
      </w:r>
      <w:r w:rsidRPr="002F2B26">
        <w:rPr>
          <w:noProof/>
          <w:lang w:val="en-IE"/>
        </w:rPr>
        <w:t>2021/241.</w:t>
      </w:r>
    </w:p>
    <w:p w14:paraId="2424441D" w14:textId="77777777" w:rsidR="00CF73AC" w:rsidRPr="002F2B26" w:rsidRDefault="00CF73AC" w:rsidP="00CF73AC">
      <w:pPr>
        <w:rPr>
          <w:noProof/>
          <w:lang w:val="en-IE"/>
        </w:rPr>
      </w:pPr>
      <w:r w:rsidRPr="002F2B26">
        <w:rPr>
          <w:noProof/>
          <w:lang w:val="en-IE"/>
        </w:rPr>
        <w:t>These objectives shall be pursued in close cooperation with the Member States, including through the exchange of good practices, processes and methodologies, stakeholder involvement where appropriate and a more effective and efficient human resources management.</w:t>
      </w:r>
    </w:p>
    <w:p w14:paraId="1E55E33B" w14:textId="77777777" w:rsidR="00CF73AC" w:rsidRPr="002F2B26" w:rsidRDefault="00CF73AC" w:rsidP="00CF73AC">
      <w:pPr>
        <w:pStyle w:val="ppoHeading6"/>
        <w:rPr>
          <w:noProof/>
          <w:lang w:val="en-IE"/>
        </w:rPr>
      </w:pPr>
      <w:r w:rsidRPr="002F2B26">
        <w:rPr>
          <w:noProof/>
          <w:lang w:val="en-IE"/>
        </w:rPr>
        <w:t>Actions</w:t>
      </w:r>
    </w:p>
    <w:p w14:paraId="5FFB07FA" w14:textId="77777777" w:rsidR="00CF73AC" w:rsidRPr="002F2B26" w:rsidRDefault="00CF73AC" w:rsidP="00CF73AC">
      <w:pPr>
        <w:rPr>
          <w:noProof/>
          <w:lang w:val="en-IE"/>
        </w:rPr>
      </w:pPr>
      <w:r w:rsidRPr="002F2B26">
        <w:rPr>
          <w:noProof/>
          <w:lang w:val="en-IE"/>
        </w:rPr>
        <w:t xml:space="preserve">The types of actions eligible for financing under the TSI include the following: </w:t>
      </w:r>
    </w:p>
    <w:p w14:paraId="3C6DEED7" w14:textId="77777777" w:rsidR="00CF73AC" w:rsidRPr="002F2B26" w:rsidRDefault="00CF73AC" w:rsidP="00CF73AC">
      <w:pPr>
        <w:pStyle w:val="ppoListHyphened-L1"/>
        <w:rPr>
          <w:noProof/>
          <w:lang w:val="en-IE"/>
        </w:rPr>
      </w:pPr>
      <w:r w:rsidRPr="002F2B26">
        <w:rPr>
          <w:noProof/>
          <w:lang w:val="en-IE"/>
        </w:rPr>
        <w:t>expertise related to policy advice/change, formulation of strategies and reform roadmaps and legislative, institutional, structural and administrative reforms;</w:t>
      </w:r>
    </w:p>
    <w:p w14:paraId="607092F5" w14:textId="77777777" w:rsidR="00CF73AC" w:rsidRPr="002F2B26" w:rsidRDefault="00CF73AC" w:rsidP="00CF73AC">
      <w:pPr>
        <w:pStyle w:val="ppoListHyphened-L1"/>
        <w:rPr>
          <w:noProof/>
          <w:lang w:val="en-IE"/>
        </w:rPr>
      </w:pPr>
      <w:r w:rsidRPr="002F2B26">
        <w:rPr>
          <w:noProof/>
          <w:lang w:val="en-IE"/>
        </w:rPr>
        <w:t>the short-term or long-term provision of experts, to perform tasks in specific domains or to carry out operational activities;</w:t>
      </w:r>
    </w:p>
    <w:p w14:paraId="59C2AD93" w14:textId="77777777" w:rsidR="00CF73AC" w:rsidRPr="002F2B26" w:rsidRDefault="00CF73AC" w:rsidP="00CF73AC">
      <w:pPr>
        <w:pStyle w:val="ppoListHyphened-L1"/>
        <w:rPr>
          <w:noProof/>
          <w:lang w:val="en-IE"/>
        </w:rPr>
      </w:pPr>
      <w:r w:rsidRPr="002F2B26">
        <w:rPr>
          <w:noProof/>
          <w:lang w:val="en-IE"/>
        </w:rPr>
        <w:t>capacity building and related supporting actions at all governance levels, also contributing to the empowerment of civil society.</w:t>
      </w:r>
    </w:p>
    <w:p w14:paraId="1C89C1D0" w14:textId="77777777" w:rsidR="00CF73AC" w:rsidRPr="002F2B26" w:rsidRDefault="00CF73AC" w:rsidP="00CF73AC">
      <w:pPr>
        <w:pStyle w:val="ppoHeading6"/>
        <w:rPr>
          <w:noProof/>
          <w:lang w:val="en-IE"/>
        </w:rPr>
      </w:pPr>
      <w:r w:rsidRPr="002F2B26">
        <w:rPr>
          <w:noProof/>
          <w:lang w:val="en-IE"/>
        </w:rPr>
        <w:t>Delivery mode</w:t>
      </w:r>
    </w:p>
    <w:p w14:paraId="6BDD0122" w14:textId="77777777" w:rsidR="00CF73AC" w:rsidRPr="002F2B26" w:rsidRDefault="00CF73AC" w:rsidP="00CF73AC">
      <w:pPr>
        <w:rPr>
          <w:noProof/>
          <w:lang w:val="en-IE"/>
        </w:rPr>
      </w:pPr>
      <w:r w:rsidRPr="002F2B26">
        <w:rPr>
          <w:noProof/>
          <w:lang w:val="en-IE"/>
        </w:rPr>
        <w:t>The TSI is mainly implemented under direct management, in particular through grants and procurements, but also through internal expertise. In some cases, it is implemented through indirect management, entrusting tasks to international organisations or other bodies in accordance with the financial regulation.</w:t>
      </w:r>
      <w:r>
        <w:rPr>
          <w:noProof/>
          <w:lang w:val="en-IE"/>
        </w:rPr>
        <w:t xml:space="preserve"> </w:t>
      </w:r>
      <w:r w:rsidRPr="00DD19FA">
        <w:rPr>
          <w:noProof/>
          <w:lang w:val="en-IE"/>
        </w:rPr>
        <w:t>DG Structural Reform Support</w:t>
      </w:r>
      <w:r>
        <w:rPr>
          <w:noProof/>
          <w:lang w:val="en-IE"/>
        </w:rPr>
        <w:t xml:space="preserve"> </w:t>
      </w:r>
      <w:r w:rsidRPr="00045449">
        <w:rPr>
          <w:noProof/>
          <w:lang w:val="en-IE"/>
        </w:rPr>
        <w:t>is in the lead for the Commission.</w:t>
      </w:r>
    </w:p>
    <w:p w14:paraId="18815483" w14:textId="77777777" w:rsidR="00CF73AC" w:rsidRPr="002F2B26" w:rsidRDefault="00CF73AC" w:rsidP="00CF73AC">
      <w:pPr>
        <w:pStyle w:val="ppoHeading6"/>
        <w:rPr>
          <w:noProof/>
          <w:lang w:val="en-IE"/>
        </w:rPr>
      </w:pPr>
      <w:r w:rsidRPr="002F2B26">
        <w:rPr>
          <w:noProof/>
          <w:lang w:val="en-IE"/>
        </w:rPr>
        <w:t>LINK TO THE 2014-2020 Multiannual Financial Framework</w:t>
      </w:r>
    </w:p>
    <w:p w14:paraId="3493F371" w14:textId="77777777" w:rsidR="00CF73AC" w:rsidRPr="002F2B26" w:rsidRDefault="00CF73AC" w:rsidP="00CF73AC">
      <w:pPr>
        <w:rPr>
          <w:noProof/>
          <w:lang w:val="en-IE"/>
        </w:rPr>
      </w:pPr>
      <w:r w:rsidRPr="002F2B26">
        <w:rPr>
          <w:noProof/>
          <w:lang w:val="en-IE"/>
        </w:rPr>
        <w:t>The TSI is the successor of the Structural Reform Support Programme, with a larger budget and broader scope. The TSI is consistent, coherent and complementary to the other EU programmes that support capacity-building and technical assistance.</w:t>
      </w:r>
    </w:p>
    <w:p w14:paraId="2AEF0554" w14:textId="77777777" w:rsidR="00CF73AC" w:rsidRPr="002F2B26" w:rsidRDefault="00CF73AC" w:rsidP="00CF73AC">
      <w:pPr>
        <w:pStyle w:val="ppoHeading6"/>
        <w:rPr>
          <w:noProof/>
          <w:lang w:val="en-IE"/>
        </w:rPr>
      </w:pPr>
      <w:r w:rsidRPr="002F2B26">
        <w:rPr>
          <w:noProof/>
          <w:lang w:val="en-IE"/>
        </w:rPr>
        <w:t>Impact assessment</w:t>
      </w:r>
    </w:p>
    <w:p w14:paraId="2EAC21BC" w14:textId="77777777" w:rsidR="00CF73AC" w:rsidRPr="002F2B26" w:rsidRDefault="00CF73AC" w:rsidP="00CF73AC">
      <w:pPr>
        <w:rPr>
          <w:noProof/>
          <w:lang w:val="en-IE"/>
        </w:rPr>
      </w:pPr>
      <w:r w:rsidRPr="002F2B26">
        <w:rPr>
          <w:noProof/>
          <w:lang w:val="en-IE"/>
        </w:rPr>
        <w:t>The impact assessment of the proposal for a regulation on the establishment of the TSI was carried out in 2018.</w:t>
      </w:r>
    </w:p>
    <w:p w14:paraId="1C97084F" w14:textId="77777777" w:rsidR="00CF73AC" w:rsidRPr="002F2B26" w:rsidRDefault="00CF73AC" w:rsidP="00CF73AC">
      <w:pPr>
        <w:rPr>
          <w:noProof/>
          <w:lang w:val="en-IE"/>
        </w:rPr>
      </w:pPr>
      <w:r w:rsidRPr="002F2B26">
        <w:rPr>
          <w:noProof/>
          <w:lang w:val="en-IE"/>
        </w:rPr>
        <w:t xml:space="preserve">For further information, please consult: </w:t>
      </w:r>
      <w:hyperlink r:id="rId228" w:history="1">
        <w:r w:rsidRPr="002F2B26">
          <w:rPr>
            <w:rStyle w:val="Hyperlink"/>
            <w:noProof/>
            <w:lang w:val="en-IE"/>
          </w:rPr>
          <w:t>https://europa.eu/!jH84Np</w:t>
        </w:r>
      </w:hyperlink>
    </w:p>
    <w:p w14:paraId="69267E76" w14:textId="77777777" w:rsidR="00CF73AC" w:rsidRPr="002F2B26" w:rsidRDefault="00CF73AC" w:rsidP="00CF73AC">
      <w:pPr>
        <w:pStyle w:val="ppoHeading6"/>
        <w:rPr>
          <w:noProof/>
          <w:lang w:val="en-IE"/>
        </w:rPr>
      </w:pPr>
      <w:r w:rsidRPr="002F2B26">
        <w:rPr>
          <w:noProof/>
          <w:lang w:val="en-IE"/>
        </w:rPr>
        <w:t>WEBSITE FOR more information</w:t>
      </w:r>
    </w:p>
    <w:p w14:paraId="04CE64D0" w14:textId="77777777" w:rsidR="00CF73AC" w:rsidRPr="002F2B26" w:rsidRDefault="00E01E9B" w:rsidP="00CF73AC">
      <w:pPr>
        <w:rPr>
          <w:noProof/>
          <w:lang w:val="en-IE"/>
        </w:rPr>
      </w:pPr>
      <w:hyperlink r:id="rId229" w:history="1">
        <w:r w:rsidR="00CF73AC" w:rsidRPr="002F2B26">
          <w:rPr>
            <w:rStyle w:val="Hyperlink"/>
            <w:noProof/>
            <w:lang w:val="en-IE"/>
          </w:rPr>
          <w:t>https://europa.eu/!DU64hd</w:t>
        </w:r>
      </w:hyperlink>
    </w:p>
    <w:p w14:paraId="7CFE4145" w14:textId="77777777" w:rsidR="00CF73AC" w:rsidRPr="002F2B26" w:rsidRDefault="00CF73AC" w:rsidP="00CF73AC">
      <w:pPr>
        <w:pStyle w:val="ppoHeading5"/>
        <w:rPr>
          <w:noProof/>
          <w:lang w:val="en-IE"/>
        </w:rPr>
      </w:pPr>
      <w:r w:rsidRPr="002F2B26">
        <w:rPr>
          <w:rFonts w:eastAsiaTheme="minorEastAsia"/>
          <w:noProof/>
          <w:lang w:val="en-IE"/>
        </w:rPr>
        <w:t>Legal basis</w:t>
      </w:r>
    </w:p>
    <w:p w14:paraId="411AFFBC" w14:textId="77777777" w:rsidR="00CF73AC" w:rsidRPr="002F2B26" w:rsidRDefault="00CF73AC" w:rsidP="00CF73AC">
      <w:pPr>
        <w:rPr>
          <w:noProof/>
          <w:lang w:val="en-IE"/>
        </w:rPr>
      </w:pPr>
      <w:r w:rsidRPr="002F2B26">
        <w:rPr>
          <w:noProof/>
          <w:lang w:val="en-IE"/>
        </w:rPr>
        <w:t>Regulation (EU)</w:t>
      </w:r>
      <w:r w:rsidRPr="002F2B26">
        <w:rPr>
          <w:rFonts w:ascii="Calibri" w:hAnsi="Calibri" w:cs="Calibri"/>
          <w:noProof/>
          <w:lang w:val="en-IE"/>
        </w:rPr>
        <w:t> </w:t>
      </w:r>
      <w:r w:rsidRPr="002F2B26">
        <w:rPr>
          <w:noProof/>
          <w:lang w:val="en-IE"/>
        </w:rPr>
        <w:t>2021/240 of the European Parliament and of the Council.</w:t>
      </w:r>
    </w:p>
    <w:p w14:paraId="43D198F4" w14:textId="77777777" w:rsidR="00CF73AC" w:rsidRPr="002F2B26" w:rsidRDefault="00CF73AC" w:rsidP="00CF73AC">
      <w:pPr>
        <w:pStyle w:val="ppoHeading4Green"/>
        <w:rPr>
          <w:caps/>
          <w:noProof/>
          <w:lang w:val="en-IE"/>
        </w:rPr>
      </w:pPr>
      <w:r w:rsidRPr="002F2B26">
        <w:rPr>
          <w:noProof/>
          <w:lang w:val="en-IE"/>
        </w:rPr>
        <w:t xml:space="preserve">Implementation and performance </w:t>
      </w:r>
    </w:p>
    <w:p w14:paraId="5AE59152" w14:textId="77777777" w:rsidR="00CF73AC" w:rsidRPr="002F2B26" w:rsidRDefault="00CF73AC" w:rsidP="00CF73AC">
      <w:pPr>
        <w:pStyle w:val="ppoHeading5"/>
        <w:rPr>
          <w:noProof/>
          <w:lang w:val="en-IE"/>
        </w:rPr>
      </w:pPr>
      <w:r w:rsidRPr="002F2B26">
        <w:rPr>
          <w:noProof/>
          <w:lang w:val="en-IE"/>
        </w:rPr>
        <w:t>Budget implementation</w:t>
      </w:r>
    </w:p>
    <w:p w14:paraId="3404D7F9" w14:textId="77777777" w:rsidR="00CF73AC" w:rsidRPr="002F2B26" w:rsidRDefault="00CF73AC" w:rsidP="00CF73AC">
      <w:pPr>
        <w:pStyle w:val="ppoTableTabletitle"/>
        <w:rPr>
          <w:noProof/>
          <w:lang w:val="en-IE"/>
        </w:rPr>
      </w:pPr>
      <w:r w:rsidRPr="002F2B26">
        <w:rPr>
          <w:noProof/>
          <w:lang w:val="en-IE"/>
        </w:rPr>
        <w:t>Budget programming (million 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CF73AC" w:rsidRPr="002F2B26" w14:paraId="2E7B5C70" w14:textId="77777777" w:rsidTr="00AF1C52">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38DE357D" w14:textId="77777777" w:rsidR="00CF73AC" w:rsidRPr="002F2B26" w:rsidRDefault="00CF73AC" w:rsidP="00AF1C52">
            <w:pPr>
              <w:rPr>
                <w:noProof/>
                <w:lang w:val="en-IE"/>
              </w:rPr>
            </w:pPr>
          </w:p>
        </w:tc>
        <w:tc>
          <w:tcPr>
            <w:tcW w:w="943" w:type="dxa"/>
            <w:noWrap/>
            <w:hideMark/>
          </w:tcPr>
          <w:p w14:paraId="3FB6C192" w14:textId="77777777" w:rsidR="00CF73AC" w:rsidRPr="002F2B26" w:rsidRDefault="00CF73AC" w:rsidP="00AF1C52">
            <w:pPr>
              <w:rPr>
                <w:noProof/>
                <w:lang w:val="en-IE"/>
              </w:rPr>
            </w:pPr>
            <w:r w:rsidRPr="002F2B26">
              <w:rPr>
                <w:noProof/>
                <w:lang w:val="en-IE"/>
              </w:rPr>
              <w:t>2021</w:t>
            </w:r>
          </w:p>
        </w:tc>
        <w:tc>
          <w:tcPr>
            <w:tcW w:w="944" w:type="dxa"/>
            <w:noWrap/>
            <w:hideMark/>
          </w:tcPr>
          <w:p w14:paraId="612CCA9D" w14:textId="77777777" w:rsidR="00CF73AC" w:rsidRPr="002F2B26" w:rsidRDefault="00CF73AC" w:rsidP="00AF1C52">
            <w:pPr>
              <w:rPr>
                <w:noProof/>
                <w:lang w:val="en-IE"/>
              </w:rPr>
            </w:pPr>
            <w:r w:rsidRPr="002F2B26">
              <w:rPr>
                <w:noProof/>
                <w:lang w:val="en-IE"/>
              </w:rPr>
              <w:t>2022</w:t>
            </w:r>
          </w:p>
        </w:tc>
        <w:tc>
          <w:tcPr>
            <w:tcW w:w="943" w:type="dxa"/>
            <w:noWrap/>
            <w:hideMark/>
          </w:tcPr>
          <w:p w14:paraId="0E65DB4E" w14:textId="77777777" w:rsidR="00CF73AC" w:rsidRPr="002F2B26" w:rsidRDefault="00CF73AC" w:rsidP="00AF1C52">
            <w:pPr>
              <w:rPr>
                <w:noProof/>
                <w:lang w:val="en-IE"/>
              </w:rPr>
            </w:pPr>
            <w:r w:rsidRPr="002F2B26">
              <w:rPr>
                <w:noProof/>
                <w:lang w:val="en-IE"/>
              </w:rPr>
              <w:t>2023</w:t>
            </w:r>
          </w:p>
        </w:tc>
        <w:tc>
          <w:tcPr>
            <w:tcW w:w="944" w:type="dxa"/>
            <w:noWrap/>
            <w:hideMark/>
          </w:tcPr>
          <w:p w14:paraId="749AF2E2" w14:textId="77777777" w:rsidR="00CF73AC" w:rsidRPr="002F2B26" w:rsidRDefault="00CF73AC" w:rsidP="00AF1C52">
            <w:pPr>
              <w:rPr>
                <w:noProof/>
                <w:lang w:val="en-IE"/>
              </w:rPr>
            </w:pPr>
            <w:r w:rsidRPr="002F2B26">
              <w:rPr>
                <w:noProof/>
                <w:lang w:val="en-IE"/>
              </w:rPr>
              <w:t>2024</w:t>
            </w:r>
          </w:p>
        </w:tc>
        <w:tc>
          <w:tcPr>
            <w:tcW w:w="944" w:type="dxa"/>
            <w:noWrap/>
            <w:hideMark/>
          </w:tcPr>
          <w:p w14:paraId="7764C71A" w14:textId="77777777" w:rsidR="00CF73AC" w:rsidRPr="002F2B26" w:rsidRDefault="00CF73AC" w:rsidP="00AF1C52">
            <w:pPr>
              <w:rPr>
                <w:noProof/>
                <w:lang w:val="en-IE"/>
              </w:rPr>
            </w:pPr>
            <w:r w:rsidRPr="002F2B26">
              <w:rPr>
                <w:noProof/>
                <w:lang w:val="en-IE"/>
              </w:rPr>
              <w:t>2025</w:t>
            </w:r>
          </w:p>
        </w:tc>
        <w:tc>
          <w:tcPr>
            <w:tcW w:w="943" w:type="dxa"/>
            <w:noWrap/>
            <w:hideMark/>
          </w:tcPr>
          <w:p w14:paraId="70372C26" w14:textId="77777777" w:rsidR="00CF73AC" w:rsidRPr="002F2B26" w:rsidRDefault="00CF73AC" w:rsidP="00AF1C52">
            <w:pPr>
              <w:rPr>
                <w:noProof/>
                <w:lang w:val="en-IE"/>
              </w:rPr>
            </w:pPr>
            <w:r w:rsidRPr="002F2B26">
              <w:rPr>
                <w:noProof/>
                <w:lang w:val="en-IE"/>
              </w:rPr>
              <w:t>2026</w:t>
            </w:r>
          </w:p>
        </w:tc>
        <w:tc>
          <w:tcPr>
            <w:tcW w:w="944" w:type="dxa"/>
            <w:noWrap/>
            <w:hideMark/>
          </w:tcPr>
          <w:p w14:paraId="0FA5A9D0" w14:textId="77777777" w:rsidR="00CF73AC" w:rsidRPr="002F2B26" w:rsidRDefault="00CF73AC" w:rsidP="00AF1C52">
            <w:pPr>
              <w:rPr>
                <w:noProof/>
                <w:lang w:val="en-IE"/>
              </w:rPr>
            </w:pPr>
            <w:r w:rsidRPr="002F2B26">
              <w:rPr>
                <w:noProof/>
                <w:lang w:val="en-IE"/>
              </w:rPr>
              <w:t>2027</w:t>
            </w:r>
          </w:p>
        </w:tc>
        <w:tc>
          <w:tcPr>
            <w:tcW w:w="944" w:type="dxa"/>
            <w:noWrap/>
            <w:hideMark/>
          </w:tcPr>
          <w:p w14:paraId="61705BB7" w14:textId="77777777" w:rsidR="00CF73AC" w:rsidRPr="002F2B26" w:rsidRDefault="00CF73AC" w:rsidP="00AF1C52">
            <w:pPr>
              <w:rPr>
                <w:noProof/>
                <w:lang w:val="en-IE"/>
              </w:rPr>
            </w:pPr>
            <w:r w:rsidRPr="002F2B26">
              <w:rPr>
                <w:noProof/>
                <w:lang w:val="en-IE"/>
              </w:rPr>
              <w:t>Total</w:t>
            </w:r>
          </w:p>
        </w:tc>
      </w:tr>
      <w:tr w:rsidR="00CF73AC" w:rsidRPr="002F2B26" w14:paraId="62C0ACDD" w14:textId="77777777" w:rsidTr="00AF1C52">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4D96102D" w14:textId="77777777" w:rsidR="00CF73AC" w:rsidRPr="002F2B26" w:rsidRDefault="00CF73AC" w:rsidP="00AF1C52">
            <w:pPr>
              <w:rPr>
                <w:noProof/>
                <w:lang w:val="en-IE"/>
              </w:rPr>
            </w:pPr>
            <w:r w:rsidRPr="002F2B26">
              <w:rPr>
                <w:noProof/>
                <w:lang w:val="en-IE"/>
              </w:rPr>
              <w:t>Financial programming</w:t>
            </w:r>
          </w:p>
        </w:tc>
        <w:tc>
          <w:tcPr>
            <w:tcW w:w="943" w:type="dxa"/>
            <w:noWrap/>
            <w:hideMark/>
          </w:tcPr>
          <w:p w14:paraId="10F75FDF" w14:textId="77777777" w:rsidR="00CF73AC" w:rsidRPr="002F2B26" w:rsidRDefault="00CF73AC" w:rsidP="00AF1C52">
            <w:pPr>
              <w:jc w:val="center"/>
              <w:rPr>
                <w:noProof/>
                <w:lang w:val="en-IE"/>
              </w:rPr>
            </w:pPr>
            <w:r w:rsidRPr="002F2B26">
              <w:rPr>
                <w:noProof/>
                <w:lang w:val="en-IE"/>
              </w:rPr>
              <w:t>11</w:t>
            </w:r>
            <w:r>
              <w:rPr>
                <w:noProof/>
                <w:lang w:val="en-IE"/>
              </w:rPr>
              <w:t>6</w:t>
            </w:r>
            <w:r w:rsidRPr="002F2B26">
              <w:rPr>
                <w:noProof/>
                <w:lang w:val="en-IE"/>
              </w:rPr>
              <w:t>.4</w:t>
            </w:r>
          </w:p>
        </w:tc>
        <w:tc>
          <w:tcPr>
            <w:tcW w:w="944" w:type="dxa"/>
            <w:noWrap/>
            <w:hideMark/>
          </w:tcPr>
          <w:p w14:paraId="7D25B976" w14:textId="77777777" w:rsidR="00CF73AC" w:rsidRPr="002F2B26" w:rsidRDefault="00CF73AC" w:rsidP="00AF1C52">
            <w:pPr>
              <w:jc w:val="center"/>
              <w:rPr>
                <w:noProof/>
                <w:lang w:val="en-IE"/>
              </w:rPr>
            </w:pPr>
            <w:r w:rsidRPr="002F2B26">
              <w:rPr>
                <w:noProof/>
                <w:lang w:val="en-IE"/>
              </w:rPr>
              <w:t>118.7</w:t>
            </w:r>
          </w:p>
        </w:tc>
        <w:tc>
          <w:tcPr>
            <w:tcW w:w="943" w:type="dxa"/>
            <w:noWrap/>
            <w:hideMark/>
          </w:tcPr>
          <w:p w14:paraId="2B48E0B3" w14:textId="77777777" w:rsidR="00CF73AC" w:rsidRPr="002F2B26" w:rsidRDefault="00CF73AC" w:rsidP="00AF1C52">
            <w:pPr>
              <w:jc w:val="center"/>
              <w:rPr>
                <w:noProof/>
                <w:lang w:val="en-IE"/>
              </w:rPr>
            </w:pPr>
            <w:r w:rsidRPr="002F2B26">
              <w:rPr>
                <w:noProof/>
                <w:lang w:val="en-IE"/>
              </w:rPr>
              <w:t>121.1</w:t>
            </w:r>
          </w:p>
        </w:tc>
        <w:tc>
          <w:tcPr>
            <w:tcW w:w="944" w:type="dxa"/>
            <w:noWrap/>
            <w:hideMark/>
          </w:tcPr>
          <w:p w14:paraId="25E0FE2F" w14:textId="77777777" w:rsidR="00CF73AC" w:rsidRPr="002F2B26" w:rsidRDefault="00CF73AC" w:rsidP="00AF1C52">
            <w:pPr>
              <w:jc w:val="center"/>
              <w:rPr>
                <w:noProof/>
                <w:lang w:val="en-IE"/>
              </w:rPr>
            </w:pPr>
            <w:r w:rsidRPr="002F2B26">
              <w:rPr>
                <w:noProof/>
                <w:lang w:val="en-IE"/>
              </w:rPr>
              <w:t>123.5</w:t>
            </w:r>
          </w:p>
        </w:tc>
        <w:tc>
          <w:tcPr>
            <w:tcW w:w="944" w:type="dxa"/>
            <w:noWrap/>
            <w:hideMark/>
          </w:tcPr>
          <w:p w14:paraId="43840BAB" w14:textId="77777777" w:rsidR="00CF73AC" w:rsidRPr="002F2B26" w:rsidRDefault="00CF73AC" w:rsidP="00AF1C52">
            <w:pPr>
              <w:jc w:val="center"/>
              <w:rPr>
                <w:noProof/>
                <w:lang w:val="en-IE"/>
              </w:rPr>
            </w:pPr>
            <w:r w:rsidRPr="002F2B26">
              <w:rPr>
                <w:noProof/>
                <w:lang w:val="en-IE"/>
              </w:rPr>
              <w:t>126.0</w:t>
            </w:r>
          </w:p>
        </w:tc>
        <w:tc>
          <w:tcPr>
            <w:tcW w:w="943" w:type="dxa"/>
            <w:noWrap/>
            <w:hideMark/>
          </w:tcPr>
          <w:p w14:paraId="3BC07A9C" w14:textId="77777777" w:rsidR="00CF73AC" w:rsidRPr="002F2B26" w:rsidRDefault="00CF73AC" w:rsidP="00AF1C52">
            <w:pPr>
              <w:jc w:val="center"/>
              <w:rPr>
                <w:noProof/>
                <w:lang w:val="en-IE"/>
              </w:rPr>
            </w:pPr>
            <w:r w:rsidRPr="002F2B26">
              <w:rPr>
                <w:noProof/>
                <w:lang w:val="en-IE"/>
              </w:rPr>
              <w:t>128.5</w:t>
            </w:r>
          </w:p>
        </w:tc>
        <w:tc>
          <w:tcPr>
            <w:tcW w:w="944" w:type="dxa"/>
            <w:noWrap/>
            <w:hideMark/>
          </w:tcPr>
          <w:p w14:paraId="622C8431" w14:textId="77777777" w:rsidR="00CF73AC" w:rsidRPr="002F2B26" w:rsidRDefault="00CF73AC" w:rsidP="00AF1C52">
            <w:pPr>
              <w:jc w:val="center"/>
              <w:rPr>
                <w:noProof/>
                <w:lang w:val="en-IE"/>
              </w:rPr>
            </w:pPr>
            <w:r w:rsidRPr="002F2B26">
              <w:rPr>
                <w:noProof/>
                <w:lang w:val="en-IE"/>
              </w:rPr>
              <w:t>130.4</w:t>
            </w:r>
          </w:p>
        </w:tc>
        <w:tc>
          <w:tcPr>
            <w:tcW w:w="944" w:type="dxa"/>
            <w:noWrap/>
            <w:hideMark/>
          </w:tcPr>
          <w:p w14:paraId="60D83D9D" w14:textId="77777777" w:rsidR="00CF73AC" w:rsidRPr="002F2B26" w:rsidRDefault="00CF73AC" w:rsidP="00AF1C52">
            <w:pPr>
              <w:jc w:val="center"/>
              <w:rPr>
                <w:noProof/>
                <w:lang w:val="en-IE"/>
              </w:rPr>
            </w:pPr>
            <w:r w:rsidRPr="002F2B26">
              <w:rPr>
                <w:noProof/>
                <w:lang w:val="en-IE"/>
              </w:rPr>
              <w:t>86</w:t>
            </w:r>
            <w:r>
              <w:rPr>
                <w:noProof/>
                <w:lang w:val="en-IE"/>
              </w:rPr>
              <w:t>4</w:t>
            </w:r>
            <w:r w:rsidRPr="002F2B26">
              <w:rPr>
                <w:noProof/>
                <w:lang w:val="en-IE"/>
              </w:rPr>
              <w:t>.4</w:t>
            </w:r>
          </w:p>
        </w:tc>
      </w:tr>
      <w:tr w:rsidR="00CF73AC" w:rsidRPr="002F2B26" w14:paraId="287D4479" w14:textId="77777777" w:rsidTr="00AF1C52">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14B48BA8" w14:textId="77777777" w:rsidR="00CF73AC" w:rsidRPr="002F2B26" w:rsidRDefault="00CF73AC" w:rsidP="00AF1C52">
            <w:pPr>
              <w:rPr>
                <w:noProof/>
                <w:lang w:val="en-IE"/>
              </w:rPr>
            </w:pPr>
            <w:r w:rsidRPr="002F2B26">
              <w:rPr>
                <w:noProof/>
                <w:lang w:val="en-IE"/>
              </w:rPr>
              <w:t>NextGenerationEU</w:t>
            </w:r>
          </w:p>
        </w:tc>
        <w:tc>
          <w:tcPr>
            <w:tcW w:w="943" w:type="dxa"/>
            <w:noWrap/>
            <w:hideMark/>
          </w:tcPr>
          <w:p w14:paraId="6D5E58B0" w14:textId="77777777" w:rsidR="00CF73AC" w:rsidRPr="002F2B26" w:rsidRDefault="00CF73AC" w:rsidP="00AF1C52">
            <w:pPr>
              <w:jc w:val="center"/>
              <w:rPr>
                <w:noProof/>
                <w:lang w:val="en-IE"/>
              </w:rPr>
            </w:pPr>
          </w:p>
        </w:tc>
        <w:tc>
          <w:tcPr>
            <w:tcW w:w="944" w:type="dxa"/>
            <w:noWrap/>
            <w:hideMark/>
          </w:tcPr>
          <w:p w14:paraId="577D3BAA" w14:textId="77777777" w:rsidR="00CF73AC" w:rsidRPr="002F2B26" w:rsidRDefault="00CF73AC" w:rsidP="00AF1C52">
            <w:pPr>
              <w:jc w:val="center"/>
              <w:rPr>
                <w:noProof/>
                <w:lang w:val="en-IE"/>
              </w:rPr>
            </w:pPr>
          </w:p>
        </w:tc>
        <w:tc>
          <w:tcPr>
            <w:tcW w:w="943" w:type="dxa"/>
            <w:noWrap/>
            <w:hideMark/>
          </w:tcPr>
          <w:p w14:paraId="7A66DFF7" w14:textId="77777777" w:rsidR="00CF73AC" w:rsidRPr="002F2B26" w:rsidRDefault="00CF73AC" w:rsidP="00AF1C52">
            <w:pPr>
              <w:jc w:val="center"/>
              <w:rPr>
                <w:noProof/>
                <w:lang w:val="en-IE"/>
              </w:rPr>
            </w:pPr>
          </w:p>
        </w:tc>
        <w:tc>
          <w:tcPr>
            <w:tcW w:w="944" w:type="dxa"/>
            <w:noWrap/>
            <w:hideMark/>
          </w:tcPr>
          <w:p w14:paraId="57AB068F" w14:textId="77777777" w:rsidR="00CF73AC" w:rsidRPr="002F2B26" w:rsidRDefault="00CF73AC" w:rsidP="00AF1C52">
            <w:pPr>
              <w:jc w:val="center"/>
              <w:rPr>
                <w:noProof/>
                <w:lang w:val="en-IE"/>
              </w:rPr>
            </w:pPr>
          </w:p>
        </w:tc>
        <w:tc>
          <w:tcPr>
            <w:tcW w:w="944" w:type="dxa"/>
            <w:noWrap/>
            <w:hideMark/>
          </w:tcPr>
          <w:p w14:paraId="5727714B" w14:textId="77777777" w:rsidR="00CF73AC" w:rsidRPr="002F2B26" w:rsidRDefault="00CF73AC" w:rsidP="00AF1C52">
            <w:pPr>
              <w:jc w:val="center"/>
              <w:rPr>
                <w:noProof/>
                <w:lang w:val="en-IE"/>
              </w:rPr>
            </w:pPr>
          </w:p>
        </w:tc>
        <w:tc>
          <w:tcPr>
            <w:tcW w:w="943" w:type="dxa"/>
            <w:noWrap/>
            <w:hideMark/>
          </w:tcPr>
          <w:p w14:paraId="1F321FD1" w14:textId="77777777" w:rsidR="00CF73AC" w:rsidRPr="002F2B26" w:rsidRDefault="00CF73AC" w:rsidP="00AF1C52">
            <w:pPr>
              <w:jc w:val="center"/>
              <w:rPr>
                <w:noProof/>
                <w:lang w:val="en-IE"/>
              </w:rPr>
            </w:pPr>
          </w:p>
        </w:tc>
        <w:tc>
          <w:tcPr>
            <w:tcW w:w="944" w:type="dxa"/>
            <w:noWrap/>
            <w:hideMark/>
          </w:tcPr>
          <w:p w14:paraId="60FB5909" w14:textId="77777777" w:rsidR="00CF73AC" w:rsidRPr="002F2B26" w:rsidRDefault="00CF73AC" w:rsidP="00AF1C52">
            <w:pPr>
              <w:jc w:val="center"/>
              <w:rPr>
                <w:noProof/>
                <w:lang w:val="en-IE"/>
              </w:rPr>
            </w:pPr>
          </w:p>
        </w:tc>
        <w:tc>
          <w:tcPr>
            <w:tcW w:w="944" w:type="dxa"/>
            <w:noWrap/>
            <w:hideMark/>
          </w:tcPr>
          <w:p w14:paraId="25938C62" w14:textId="77777777" w:rsidR="00CF73AC" w:rsidRPr="002F2B26" w:rsidRDefault="00CF73AC" w:rsidP="00AF1C52">
            <w:pPr>
              <w:jc w:val="center"/>
              <w:rPr>
                <w:noProof/>
                <w:lang w:val="en-IE"/>
              </w:rPr>
            </w:pPr>
          </w:p>
        </w:tc>
      </w:tr>
      <w:tr w:rsidR="00CF73AC" w:rsidRPr="002F2B26" w14:paraId="21332E7C" w14:textId="77777777" w:rsidTr="00AF1C52">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68B8AAA0" w14:textId="77777777" w:rsidR="00CF73AC" w:rsidRPr="002F2B26" w:rsidRDefault="00CF73AC" w:rsidP="00AF1C52">
            <w:pPr>
              <w:rPr>
                <w:noProof/>
                <w:lang w:val="en-IE"/>
              </w:rPr>
            </w:pPr>
            <w:r w:rsidRPr="002F2B26">
              <w:rPr>
                <w:noProof/>
                <w:lang w:val="en-IE"/>
              </w:rPr>
              <w:t>Decommitments made available again</w:t>
            </w:r>
            <w:r w:rsidRPr="002F2B26">
              <w:rPr>
                <w:rFonts w:ascii="Calibri" w:hAnsi="Calibri" w:cs="Calibri"/>
                <w:noProof/>
                <w:lang w:val="en-IE"/>
              </w:rPr>
              <w:t> </w:t>
            </w:r>
            <w:r w:rsidRPr="002F2B26">
              <w:rPr>
                <w:noProof/>
                <w:lang w:val="en-IE"/>
              </w:rPr>
              <w:t>(*)</w:t>
            </w:r>
          </w:p>
        </w:tc>
        <w:tc>
          <w:tcPr>
            <w:tcW w:w="943" w:type="dxa"/>
            <w:noWrap/>
            <w:hideMark/>
          </w:tcPr>
          <w:p w14:paraId="0F769FB5" w14:textId="77777777" w:rsidR="00CF73AC" w:rsidRPr="002F2B26" w:rsidRDefault="00CF73AC" w:rsidP="00AF1C52">
            <w:pPr>
              <w:jc w:val="center"/>
              <w:rPr>
                <w:noProof/>
                <w:lang w:val="en-IE"/>
              </w:rPr>
            </w:pPr>
            <w:r>
              <w:rPr>
                <w:noProof/>
                <w:lang w:val="en-IE"/>
              </w:rPr>
              <w:t>N/A</w:t>
            </w:r>
          </w:p>
        </w:tc>
        <w:tc>
          <w:tcPr>
            <w:tcW w:w="944" w:type="dxa"/>
            <w:noWrap/>
            <w:hideMark/>
          </w:tcPr>
          <w:p w14:paraId="54D9A597" w14:textId="77777777" w:rsidR="00CF73AC" w:rsidRPr="002F2B26" w:rsidRDefault="00CF73AC" w:rsidP="00AF1C52">
            <w:pPr>
              <w:jc w:val="center"/>
              <w:rPr>
                <w:noProof/>
                <w:lang w:val="en-IE"/>
              </w:rPr>
            </w:pPr>
          </w:p>
        </w:tc>
        <w:tc>
          <w:tcPr>
            <w:tcW w:w="943" w:type="dxa"/>
            <w:noWrap/>
            <w:hideMark/>
          </w:tcPr>
          <w:p w14:paraId="3CB26C98" w14:textId="77777777" w:rsidR="00CF73AC" w:rsidRPr="002F2B26" w:rsidRDefault="00CF73AC" w:rsidP="00AF1C52">
            <w:pPr>
              <w:jc w:val="center"/>
              <w:rPr>
                <w:noProof/>
                <w:lang w:val="en-IE"/>
              </w:rPr>
            </w:pPr>
          </w:p>
        </w:tc>
        <w:tc>
          <w:tcPr>
            <w:tcW w:w="944" w:type="dxa"/>
            <w:noWrap/>
            <w:hideMark/>
          </w:tcPr>
          <w:p w14:paraId="23FCDBC9" w14:textId="77777777" w:rsidR="00CF73AC" w:rsidRPr="002F2B26" w:rsidRDefault="00CF73AC" w:rsidP="00AF1C52">
            <w:pPr>
              <w:jc w:val="center"/>
              <w:rPr>
                <w:noProof/>
                <w:lang w:val="en-IE"/>
              </w:rPr>
            </w:pPr>
          </w:p>
        </w:tc>
        <w:tc>
          <w:tcPr>
            <w:tcW w:w="944" w:type="dxa"/>
            <w:noWrap/>
            <w:hideMark/>
          </w:tcPr>
          <w:p w14:paraId="36887C52" w14:textId="77777777" w:rsidR="00CF73AC" w:rsidRPr="002F2B26" w:rsidRDefault="00CF73AC" w:rsidP="00AF1C52">
            <w:pPr>
              <w:jc w:val="center"/>
              <w:rPr>
                <w:noProof/>
                <w:lang w:val="en-IE"/>
              </w:rPr>
            </w:pPr>
          </w:p>
        </w:tc>
        <w:tc>
          <w:tcPr>
            <w:tcW w:w="943" w:type="dxa"/>
            <w:noWrap/>
            <w:hideMark/>
          </w:tcPr>
          <w:p w14:paraId="2D162883" w14:textId="77777777" w:rsidR="00CF73AC" w:rsidRPr="002F2B26" w:rsidRDefault="00CF73AC" w:rsidP="00AF1C52">
            <w:pPr>
              <w:jc w:val="center"/>
              <w:rPr>
                <w:noProof/>
                <w:lang w:val="en-IE"/>
              </w:rPr>
            </w:pPr>
          </w:p>
        </w:tc>
        <w:tc>
          <w:tcPr>
            <w:tcW w:w="944" w:type="dxa"/>
            <w:noWrap/>
            <w:hideMark/>
          </w:tcPr>
          <w:p w14:paraId="461CF172" w14:textId="77777777" w:rsidR="00CF73AC" w:rsidRPr="002F2B26" w:rsidRDefault="00CF73AC" w:rsidP="00AF1C52">
            <w:pPr>
              <w:jc w:val="center"/>
              <w:rPr>
                <w:noProof/>
                <w:lang w:val="en-IE"/>
              </w:rPr>
            </w:pPr>
          </w:p>
        </w:tc>
        <w:tc>
          <w:tcPr>
            <w:tcW w:w="944" w:type="dxa"/>
            <w:noWrap/>
            <w:hideMark/>
          </w:tcPr>
          <w:p w14:paraId="5F6783AB" w14:textId="77777777" w:rsidR="00CF73AC" w:rsidRPr="002F2B26" w:rsidRDefault="00CF73AC" w:rsidP="00AF1C52">
            <w:pPr>
              <w:jc w:val="center"/>
              <w:rPr>
                <w:noProof/>
                <w:lang w:val="en-IE"/>
              </w:rPr>
            </w:pPr>
            <w:r>
              <w:rPr>
                <w:noProof/>
                <w:lang w:val="en-IE"/>
              </w:rPr>
              <w:t>N/A</w:t>
            </w:r>
          </w:p>
        </w:tc>
      </w:tr>
      <w:tr w:rsidR="00CF73AC" w:rsidRPr="002F2B26" w14:paraId="7D2C010F" w14:textId="77777777" w:rsidTr="00AF1C52">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438B0C16" w14:textId="77777777" w:rsidR="00CF73AC" w:rsidRPr="002F2B26" w:rsidRDefault="00CF73AC" w:rsidP="00AF1C52">
            <w:pPr>
              <w:rPr>
                <w:noProof/>
                <w:lang w:val="en-IE"/>
              </w:rPr>
            </w:pPr>
            <w:r w:rsidRPr="002F2B26">
              <w:rPr>
                <w:noProof/>
                <w:lang w:val="en-IE"/>
              </w:rPr>
              <w:t>Contributions from other countries and entities</w:t>
            </w:r>
          </w:p>
        </w:tc>
        <w:tc>
          <w:tcPr>
            <w:tcW w:w="943" w:type="dxa"/>
            <w:noWrap/>
            <w:hideMark/>
          </w:tcPr>
          <w:p w14:paraId="485B74F2" w14:textId="77777777" w:rsidR="00CF73AC" w:rsidRPr="002F2B26" w:rsidRDefault="00CF73AC" w:rsidP="00AF1C52">
            <w:pPr>
              <w:jc w:val="center"/>
              <w:rPr>
                <w:noProof/>
                <w:lang w:val="en-IE"/>
              </w:rPr>
            </w:pPr>
          </w:p>
        </w:tc>
        <w:tc>
          <w:tcPr>
            <w:tcW w:w="944" w:type="dxa"/>
            <w:noWrap/>
            <w:hideMark/>
          </w:tcPr>
          <w:p w14:paraId="77A2304B" w14:textId="77777777" w:rsidR="00CF73AC" w:rsidRPr="002F2B26" w:rsidRDefault="00CF73AC" w:rsidP="00AF1C52">
            <w:pPr>
              <w:jc w:val="center"/>
              <w:rPr>
                <w:noProof/>
                <w:lang w:val="en-IE"/>
              </w:rPr>
            </w:pPr>
          </w:p>
        </w:tc>
        <w:tc>
          <w:tcPr>
            <w:tcW w:w="943" w:type="dxa"/>
            <w:noWrap/>
            <w:hideMark/>
          </w:tcPr>
          <w:p w14:paraId="242398EC" w14:textId="77777777" w:rsidR="00CF73AC" w:rsidRPr="002F2B26" w:rsidRDefault="00CF73AC" w:rsidP="00AF1C52">
            <w:pPr>
              <w:jc w:val="center"/>
              <w:rPr>
                <w:noProof/>
                <w:lang w:val="en-IE"/>
              </w:rPr>
            </w:pPr>
          </w:p>
        </w:tc>
        <w:tc>
          <w:tcPr>
            <w:tcW w:w="944" w:type="dxa"/>
            <w:noWrap/>
            <w:hideMark/>
          </w:tcPr>
          <w:p w14:paraId="04AE49F7" w14:textId="77777777" w:rsidR="00CF73AC" w:rsidRPr="002F2B26" w:rsidRDefault="00CF73AC" w:rsidP="00AF1C52">
            <w:pPr>
              <w:jc w:val="center"/>
              <w:rPr>
                <w:noProof/>
                <w:lang w:val="en-IE"/>
              </w:rPr>
            </w:pPr>
          </w:p>
        </w:tc>
        <w:tc>
          <w:tcPr>
            <w:tcW w:w="944" w:type="dxa"/>
            <w:noWrap/>
            <w:hideMark/>
          </w:tcPr>
          <w:p w14:paraId="2D582CFF" w14:textId="77777777" w:rsidR="00CF73AC" w:rsidRPr="002F2B26" w:rsidRDefault="00CF73AC" w:rsidP="00AF1C52">
            <w:pPr>
              <w:jc w:val="center"/>
              <w:rPr>
                <w:noProof/>
                <w:lang w:val="en-IE"/>
              </w:rPr>
            </w:pPr>
          </w:p>
        </w:tc>
        <w:tc>
          <w:tcPr>
            <w:tcW w:w="943" w:type="dxa"/>
            <w:noWrap/>
            <w:hideMark/>
          </w:tcPr>
          <w:p w14:paraId="2AC3092E" w14:textId="77777777" w:rsidR="00CF73AC" w:rsidRPr="002F2B26" w:rsidRDefault="00CF73AC" w:rsidP="00AF1C52">
            <w:pPr>
              <w:jc w:val="center"/>
              <w:rPr>
                <w:noProof/>
                <w:lang w:val="en-IE"/>
              </w:rPr>
            </w:pPr>
          </w:p>
        </w:tc>
        <w:tc>
          <w:tcPr>
            <w:tcW w:w="944" w:type="dxa"/>
            <w:noWrap/>
            <w:hideMark/>
          </w:tcPr>
          <w:p w14:paraId="1743FBAF" w14:textId="77777777" w:rsidR="00CF73AC" w:rsidRPr="002F2B26" w:rsidRDefault="00CF73AC" w:rsidP="00AF1C52">
            <w:pPr>
              <w:jc w:val="center"/>
              <w:rPr>
                <w:noProof/>
                <w:lang w:val="en-IE"/>
              </w:rPr>
            </w:pPr>
          </w:p>
        </w:tc>
        <w:tc>
          <w:tcPr>
            <w:tcW w:w="944" w:type="dxa"/>
            <w:noWrap/>
            <w:hideMark/>
          </w:tcPr>
          <w:p w14:paraId="261B377A" w14:textId="77777777" w:rsidR="00CF73AC" w:rsidRPr="002F2B26" w:rsidRDefault="00CF73AC" w:rsidP="00AF1C52">
            <w:pPr>
              <w:jc w:val="center"/>
              <w:rPr>
                <w:noProof/>
                <w:lang w:val="en-IE"/>
              </w:rPr>
            </w:pPr>
          </w:p>
        </w:tc>
      </w:tr>
    </w:tbl>
    <w:p w14:paraId="1C319011" w14:textId="77777777" w:rsidR="00CF73AC" w:rsidRPr="002F2B26" w:rsidRDefault="00CF73AC" w:rsidP="00CF73AC">
      <w:pPr>
        <w:tabs>
          <w:tab w:val="left" w:pos="6793"/>
        </w:tabs>
        <w:rPr>
          <w:noProof/>
          <w:sz w:val="18"/>
          <w:szCs w:val="18"/>
          <w:lang w:val="en-IE"/>
        </w:rPr>
      </w:pPr>
      <w:r w:rsidRPr="002F2B26">
        <w:rPr>
          <w:noProof/>
          <w:sz w:val="18"/>
          <w:szCs w:val="18"/>
          <w:lang w:val="en-IE"/>
        </w:rPr>
        <w:t>(*) Only Article</w:t>
      </w:r>
      <w:r w:rsidRPr="002F2B26">
        <w:rPr>
          <w:rFonts w:ascii="Calibri" w:hAnsi="Calibri" w:cs="Calibri"/>
          <w:noProof/>
          <w:sz w:val="18"/>
          <w:szCs w:val="18"/>
          <w:lang w:val="en-IE"/>
        </w:rPr>
        <w:t> </w:t>
      </w:r>
      <w:r w:rsidRPr="002F2B26">
        <w:rPr>
          <w:noProof/>
          <w:sz w:val="18"/>
          <w:szCs w:val="18"/>
          <w:lang w:val="en-IE"/>
        </w:rPr>
        <w:t>15(3) of the financial regulation.</w:t>
      </w:r>
    </w:p>
    <w:p w14:paraId="34709A24" w14:textId="030742E2" w:rsidR="00CF73AC" w:rsidRPr="002F2B26" w:rsidRDefault="00CF73AC" w:rsidP="00CF73AC">
      <w:pPr>
        <w:pStyle w:val="ppoTableTabletitle"/>
        <w:jc w:val="center"/>
        <w:rPr>
          <w:noProof/>
          <w:lang w:val="en-IE"/>
        </w:rPr>
      </w:pPr>
      <w:r w:rsidRPr="70542A85">
        <w:rPr>
          <w:noProof/>
          <w:lang w:val="en-IE"/>
        </w:rPr>
        <w:t>Financial programming</w:t>
      </w:r>
      <w:r w:rsidR="004C4764">
        <w:rPr>
          <w:noProof/>
          <w:lang w:val="en-IE"/>
        </w:rPr>
        <w:t>:</w:t>
      </w:r>
      <w:r w:rsidRPr="70542A85">
        <w:rPr>
          <w:rStyle w:val="ppocharGreentext24pt"/>
          <w:noProof/>
          <w:lang w:val="en-IE"/>
        </w:rPr>
        <w:t xml:space="preserve"> + EUR</w:t>
      </w:r>
      <w:r w:rsidRPr="70542A85">
        <w:rPr>
          <w:rStyle w:val="ppocharGreentext24pt"/>
          <w:rFonts w:ascii="Calibri" w:hAnsi="Calibri" w:cs="Calibri"/>
          <w:noProof/>
          <w:lang w:val="en-IE"/>
        </w:rPr>
        <w:t> </w:t>
      </w:r>
      <w:r w:rsidRPr="70542A85">
        <w:rPr>
          <w:rStyle w:val="ppocharGreentext24pt"/>
          <w:noProof/>
          <w:lang w:val="en-IE"/>
        </w:rPr>
        <w:t>0.4</w:t>
      </w:r>
      <w:r w:rsidRPr="70542A85">
        <w:rPr>
          <w:rStyle w:val="ppocharGreentext24pt"/>
          <w:rFonts w:ascii="Calibri" w:hAnsi="Calibri" w:cs="Calibri"/>
          <w:noProof/>
          <w:lang w:val="en-IE"/>
        </w:rPr>
        <w:t> </w:t>
      </w:r>
      <w:r w:rsidRPr="70542A85">
        <w:rPr>
          <w:rStyle w:val="ppocharGreentext24pt"/>
          <w:noProof/>
          <w:lang w:val="en-IE"/>
        </w:rPr>
        <w:t>million (+0%)</w:t>
      </w:r>
      <w:r w:rsidRPr="70542A85">
        <w:rPr>
          <w:noProof/>
          <w:lang w:val="en-IE"/>
        </w:rPr>
        <w:t xml:space="preserve"> compared to the legal basis.</w:t>
      </w:r>
    </w:p>
    <w:p w14:paraId="5ED6393C" w14:textId="77777777" w:rsidR="00CF73AC" w:rsidRPr="002F2B26" w:rsidRDefault="00CF73AC" w:rsidP="00CF73AC">
      <w:pPr>
        <w:pStyle w:val="ppoTableTabletitle"/>
        <w:rPr>
          <w:b/>
          <w:noProof/>
          <w:lang w:val="en-IE"/>
        </w:rPr>
      </w:pPr>
      <w:r w:rsidRPr="002F2B26">
        <w:rPr>
          <w:noProof/>
          <w:lang w:val="en-IE"/>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CF73AC" w:rsidRPr="002F2B26" w14:paraId="44A4D52E" w14:textId="77777777" w:rsidTr="00AF1C52">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5B5E8AB0" w14:textId="77777777" w:rsidR="00CF73AC" w:rsidRPr="002F2B26" w:rsidRDefault="00CF73AC" w:rsidP="00AF1C52">
            <w:pPr>
              <w:rPr>
                <w:noProof/>
                <w:lang w:val="en-IE"/>
              </w:rPr>
            </w:pPr>
          </w:p>
        </w:tc>
        <w:tc>
          <w:tcPr>
            <w:tcW w:w="2410" w:type="dxa"/>
          </w:tcPr>
          <w:p w14:paraId="54FB5E40" w14:textId="77777777" w:rsidR="00CF73AC" w:rsidRPr="002F2B26" w:rsidRDefault="00CF73AC" w:rsidP="00AF1C52">
            <w:pPr>
              <w:cnfStyle w:val="100000000000" w:firstRow="1" w:lastRow="0" w:firstColumn="0" w:lastColumn="0" w:oddVBand="0" w:evenVBand="0" w:oddHBand="0" w:evenHBand="0" w:firstRowFirstColumn="0" w:firstRowLastColumn="0" w:lastRowFirstColumn="0" w:lastRowLastColumn="0"/>
              <w:rPr>
                <w:noProof/>
                <w:lang w:val="en-IE"/>
              </w:rPr>
            </w:pPr>
            <w:r w:rsidRPr="002F2B26">
              <w:rPr>
                <w:noProof/>
                <w:lang w:val="en-IE"/>
              </w:rPr>
              <w:t>Implementation</w:t>
            </w:r>
          </w:p>
        </w:tc>
        <w:tc>
          <w:tcPr>
            <w:tcW w:w="2410" w:type="dxa"/>
          </w:tcPr>
          <w:p w14:paraId="4A5B8EB2" w14:textId="0D4F7508" w:rsidR="00CF73AC" w:rsidRPr="002F2B26" w:rsidRDefault="00A84801" w:rsidP="00AF1C52">
            <w:pPr>
              <w:cnfStyle w:val="100000000000" w:firstRow="1" w:lastRow="0" w:firstColumn="0" w:lastColumn="0" w:oddVBand="0" w:evenVBand="0" w:oddHBand="0" w:evenHBand="0" w:firstRowFirstColumn="0" w:firstRowLastColumn="0" w:lastRowFirstColumn="0" w:lastRowLastColumn="0"/>
              <w:rPr>
                <w:noProof/>
                <w:lang w:val="en-IE"/>
              </w:rPr>
            </w:pPr>
            <w:r>
              <w:rPr>
                <w:noProof/>
                <w:lang w:val="en-IE"/>
              </w:rPr>
              <w:t xml:space="preserve">2021-2027 </w:t>
            </w:r>
            <w:r w:rsidR="00CF73AC" w:rsidRPr="002F2B26">
              <w:rPr>
                <w:noProof/>
                <w:lang w:val="en-IE"/>
              </w:rPr>
              <w:t>Budget</w:t>
            </w:r>
          </w:p>
        </w:tc>
        <w:tc>
          <w:tcPr>
            <w:tcW w:w="2410" w:type="dxa"/>
          </w:tcPr>
          <w:p w14:paraId="357E2D83" w14:textId="77777777" w:rsidR="00CF73AC" w:rsidRPr="002F2B26" w:rsidRDefault="00CF73AC" w:rsidP="00AF1C52">
            <w:pPr>
              <w:cnfStyle w:val="100000000000" w:firstRow="1" w:lastRow="0" w:firstColumn="0" w:lastColumn="0" w:oddVBand="0" w:evenVBand="0" w:oddHBand="0" w:evenHBand="0" w:firstRowFirstColumn="0" w:firstRowLastColumn="0" w:lastRowFirstColumn="0" w:lastRowLastColumn="0"/>
              <w:rPr>
                <w:noProof/>
                <w:lang w:val="en-IE"/>
              </w:rPr>
            </w:pPr>
            <w:r w:rsidRPr="002F2B26">
              <w:rPr>
                <w:noProof/>
                <w:lang w:val="en-IE"/>
              </w:rPr>
              <w:t>Implementation rate</w:t>
            </w:r>
          </w:p>
        </w:tc>
      </w:tr>
      <w:tr w:rsidR="00CF73AC" w:rsidRPr="002F2B26" w14:paraId="419F4158"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02931058" w14:textId="77777777" w:rsidR="00CF73AC" w:rsidRPr="002F2B26" w:rsidRDefault="00CF73AC" w:rsidP="00AF1C52">
            <w:pPr>
              <w:jc w:val="center"/>
              <w:rPr>
                <w:noProof/>
                <w:lang w:val="en-IE"/>
              </w:rPr>
            </w:pPr>
          </w:p>
          <w:p w14:paraId="5EE6B025" w14:textId="77777777" w:rsidR="00CF73AC" w:rsidRPr="002F2B26" w:rsidRDefault="00CF73AC" w:rsidP="00AF1C52">
            <w:pPr>
              <w:jc w:val="center"/>
              <w:rPr>
                <w:noProof/>
                <w:lang w:val="en-IE"/>
              </w:rPr>
            </w:pPr>
            <w:r w:rsidRPr="002F2B26">
              <w:rPr>
                <w:noProof/>
                <w:lang w:val="en-IE"/>
              </w:rPr>
              <w:t>Commitment</w:t>
            </w:r>
          </w:p>
        </w:tc>
        <w:tc>
          <w:tcPr>
            <w:tcW w:w="2410" w:type="dxa"/>
          </w:tcPr>
          <w:p w14:paraId="530073C7" w14:textId="77777777" w:rsidR="00CF73AC" w:rsidRPr="002F2B26" w:rsidRDefault="00CF73AC"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bl>
            <w:tblPr>
              <w:tblStyle w:val="TableGrid"/>
              <w:tblW w:w="0" w:type="auto"/>
              <w:tblLook w:val="06A0" w:firstRow="1" w:lastRow="0" w:firstColumn="1" w:lastColumn="0" w:noHBand="1" w:noVBand="1"/>
            </w:tblPr>
            <w:tblGrid>
              <w:gridCol w:w="2194"/>
            </w:tblGrid>
            <w:tr w:rsidR="00CF73AC" w:rsidRPr="002F2B26" w14:paraId="1E2A7C34" w14:textId="77777777" w:rsidTr="00AF1C52">
              <w:trPr>
                <w:trHeight w:val="285"/>
              </w:trPr>
              <w:tc>
                <w:tcPr>
                  <w:tcW w:w="2290" w:type="dxa"/>
                  <w:tcBorders>
                    <w:top w:val="nil"/>
                    <w:left w:val="nil"/>
                    <w:bottom w:val="nil"/>
                    <w:right w:val="nil"/>
                  </w:tcBorders>
                  <w:vAlign w:val="bottom"/>
                </w:tcPr>
                <w:p w14:paraId="53667F32" w14:textId="77777777" w:rsidR="00CF73AC" w:rsidRPr="002F2B26" w:rsidRDefault="00CF73AC" w:rsidP="00AF1C52">
                  <w:pPr>
                    <w:jc w:val="right"/>
                    <w:rPr>
                      <w:noProof/>
                      <w:lang w:val="en-IE"/>
                    </w:rPr>
                  </w:pPr>
                  <w:r w:rsidRPr="4F55724F">
                    <w:rPr>
                      <w:rFonts w:ascii="Calibri" w:hAnsi="Calibri" w:cs="Calibri"/>
                      <w:noProof/>
                      <w:color w:val="000000"/>
                      <w:lang w:val="en-IE"/>
                    </w:rPr>
                    <w:t>116.1</w:t>
                  </w:r>
                </w:p>
              </w:tc>
            </w:tr>
          </w:tbl>
          <w:p w14:paraId="5EEBA4F7" w14:textId="77777777" w:rsidR="00CF73AC" w:rsidRPr="002F2B26" w:rsidRDefault="00CF73AC"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p w14:paraId="11247BEA" w14:textId="77777777" w:rsidR="00CF73AC" w:rsidRPr="002F2B26" w:rsidRDefault="00CF73AC"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bl>
            <w:tblPr>
              <w:tblStyle w:val="TableGrid"/>
              <w:tblW w:w="0" w:type="auto"/>
              <w:tblLook w:val="06A0" w:firstRow="1" w:lastRow="0" w:firstColumn="1" w:lastColumn="0" w:noHBand="1" w:noVBand="1"/>
            </w:tblPr>
            <w:tblGrid>
              <w:gridCol w:w="2194"/>
            </w:tblGrid>
            <w:tr w:rsidR="00CF73AC" w:rsidRPr="002F2B26" w14:paraId="3B2D976B" w14:textId="77777777" w:rsidTr="00AF1C52">
              <w:trPr>
                <w:trHeight w:val="285"/>
              </w:trPr>
              <w:tc>
                <w:tcPr>
                  <w:tcW w:w="2290" w:type="dxa"/>
                  <w:tcBorders>
                    <w:top w:val="nil"/>
                    <w:left w:val="nil"/>
                    <w:bottom w:val="nil"/>
                    <w:right w:val="nil"/>
                  </w:tcBorders>
                  <w:vAlign w:val="bottom"/>
                </w:tcPr>
                <w:p w14:paraId="3FB26DDD" w14:textId="77777777" w:rsidR="00CF73AC" w:rsidRPr="002F2B26" w:rsidRDefault="00CF73AC" w:rsidP="00AF1C52">
                  <w:pPr>
                    <w:jc w:val="right"/>
                    <w:rPr>
                      <w:noProof/>
                      <w:lang w:val="en-IE"/>
                    </w:rPr>
                  </w:pPr>
                  <w:r w:rsidRPr="4F55724F">
                    <w:rPr>
                      <w:rFonts w:ascii="Calibri" w:hAnsi="Calibri" w:cs="Calibri"/>
                      <w:noProof/>
                      <w:color w:val="000000"/>
                      <w:lang w:val="en-IE"/>
                    </w:rPr>
                    <w:t>864.4</w:t>
                  </w:r>
                </w:p>
              </w:tc>
            </w:tr>
          </w:tbl>
          <w:p w14:paraId="5F16BF6F" w14:textId="77777777" w:rsidR="00CF73AC" w:rsidRPr="002F2B26" w:rsidRDefault="00CF73AC"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p w14:paraId="06BADDD1" w14:textId="77777777" w:rsidR="00CF73AC" w:rsidRPr="002F2B26" w:rsidRDefault="00CF73AC"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bl>
            <w:tblPr>
              <w:tblStyle w:val="TableGrid"/>
              <w:tblW w:w="0" w:type="auto"/>
              <w:tblLook w:val="06A0" w:firstRow="1" w:lastRow="0" w:firstColumn="1" w:lastColumn="0" w:noHBand="1" w:noVBand="1"/>
            </w:tblPr>
            <w:tblGrid>
              <w:gridCol w:w="2194"/>
            </w:tblGrid>
            <w:tr w:rsidR="00CF73AC" w:rsidRPr="002F2B26" w14:paraId="26B254D2" w14:textId="77777777" w:rsidTr="00AF1C52">
              <w:trPr>
                <w:trHeight w:val="285"/>
              </w:trPr>
              <w:tc>
                <w:tcPr>
                  <w:tcW w:w="2290" w:type="dxa"/>
                  <w:tcBorders>
                    <w:top w:val="nil"/>
                    <w:left w:val="nil"/>
                    <w:bottom w:val="nil"/>
                    <w:right w:val="nil"/>
                  </w:tcBorders>
                  <w:vAlign w:val="bottom"/>
                </w:tcPr>
                <w:p w14:paraId="49DC6242" w14:textId="77777777" w:rsidR="00CF73AC" w:rsidRPr="002F2B26" w:rsidRDefault="00CF73AC" w:rsidP="00AF1C52">
                  <w:pPr>
                    <w:jc w:val="right"/>
                    <w:rPr>
                      <w:noProof/>
                      <w:lang w:val="en-IE"/>
                    </w:rPr>
                  </w:pPr>
                  <w:r w:rsidRPr="002F2B26">
                    <w:rPr>
                      <w:rFonts w:ascii="Calibri" w:hAnsi="Calibri" w:cs="Calibri"/>
                      <w:noProof/>
                      <w:color w:val="000000"/>
                      <w:lang w:val="en-IE"/>
                    </w:rPr>
                    <w:t>13%</w:t>
                  </w:r>
                </w:p>
              </w:tc>
            </w:tr>
          </w:tbl>
          <w:p w14:paraId="226CC3C6" w14:textId="77777777" w:rsidR="00CF73AC" w:rsidRPr="002F2B26" w:rsidRDefault="00CF73AC"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r>
      <w:tr w:rsidR="00CF73AC" w:rsidRPr="002F2B26" w14:paraId="5899868B"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159AB293" w14:textId="77777777" w:rsidR="00CF73AC" w:rsidRPr="002F2B26" w:rsidRDefault="00CF73AC" w:rsidP="00AF1C52">
            <w:pPr>
              <w:jc w:val="center"/>
              <w:rPr>
                <w:noProof/>
                <w:lang w:val="en-IE"/>
              </w:rPr>
            </w:pPr>
          </w:p>
          <w:p w14:paraId="6AC17091" w14:textId="77777777" w:rsidR="00CF73AC" w:rsidRPr="002F2B26" w:rsidRDefault="00CF73AC" w:rsidP="00AF1C52">
            <w:pPr>
              <w:jc w:val="center"/>
              <w:rPr>
                <w:noProof/>
                <w:lang w:val="en-IE"/>
              </w:rPr>
            </w:pPr>
            <w:r w:rsidRPr="002F2B26">
              <w:rPr>
                <w:noProof/>
                <w:lang w:val="en-IE"/>
              </w:rPr>
              <w:t>Payments</w:t>
            </w:r>
          </w:p>
        </w:tc>
        <w:tc>
          <w:tcPr>
            <w:tcW w:w="2410" w:type="dxa"/>
          </w:tcPr>
          <w:p w14:paraId="1A08493D" w14:textId="77777777" w:rsidR="00CF73AC" w:rsidRPr="002F2B26" w:rsidRDefault="00CF73AC"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bl>
            <w:tblPr>
              <w:tblStyle w:val="TableGrid"/>
              <w:tblW w:w="0" w:type="auto"/>
              <w:tblLook w:val="06A0" w:firstRow="1" w:lastRow="0" w:firstColumn="1" w:lastColumn="0" w:noHBand="1" w:noVBand="1"/>
            </w:tblPr>
            <w:tblGrid>
              <w:gridCol w:w="2194"/>
            </w:tblGrid>
            <w:tr w:rsidR="00CF73AC" w:rsidRPr="002F2B26" w14:paraId="36B7DBA1" w14:textId="77777777" w:rsidTr="00AF1C52">
              <w:trPr>
                <w:trHeight w:val="285"/>
              </w:trPr>
              <w:tc>
                <w:tcPr>
                  <w:tcW w:w="2290" w:type="dxa"/>
                  <w:tcBorders>
                    <w:top w:val="nil"/>
                    <w:left w:val="nil"/>
                    <w:bottom w:val="nil"/>
                    <w:right w:val="nil"/>
                  </w:tcBorders>
                  <w:vAlign w:val="bottom"/>
                </w:tcPr>
                <w:p w14:paraId="4AEE657A" w14:textId="77777777" w:rsidR="00CF73AC" w:rsidRPr="002F2B26" w:rsidRDefault="00CF73AC" w:rsidP="00AF1C52">
                  <w:pPr>
                    <w:jc w:val="right"/>
                    <w:rPr>
                      <w:noProof/>
                      <w:lang w:val="en-IE"/>
                    </w:rPr>
                  </w:pPr>
                  <w:r w:rsidRPr="4F55724F">
                    <w:rPr>
                      <w:rFonts w:ascii="Calibri" w:hAnsi="Calibri" w:cs="Calibri"/>
                      <w:noProof/>
                      <w:color w:val="000000"/>
                      <w:lang w:val="en-IE"/>
                    </w:rPr>
                    <w:t>26.4</w:t>
                  </w:r>
                </w:p>
              </w:tc>
            </w:tr>
          </w:tbl>
          <w:p w14:paraId="46716EF4" w14:textId="77777777" w:rsidR="00CF73AC" w:rsidRPr="002F2B26" w:rsidRDefault="00CF73AC"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p w14:paraId="08BA5AB7" w14:textId="77777777" w:rsidR="00CF73AC" w:rsidRPr="002F2B26" w:rsidRDefault="00CF73AC"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p w14:paraId="7036CA50" w14:textId="77777777" w:rsidR="00CF73AC" w:rsidRPr="002F2B26" w:rsidRDefault="00CF73AC"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bl>
            <w:tblPr>
              <w:tblStyle w:val="TableGrid"/>
              <w:tblW w:w="0" w:type="auto"/>
              <w:tblLook w:val="06A0" w:firstRow="1" w:lastRow="0" w:firstColumn="1" w:lastColumn="0" w:noHBand="1" w:noVBand="1"/>
            </w:tblPr>
            <w:tblGrid>
              <w:gridCol w:w="2194"/>
            </w:tblGrid>
            <w:tr w:rsidR="00CF73AC" w:rsidRPr="002F2B26" w14:paraId="689E1663" w14:textId="77777777" w:rsidTr="00AF1C52">
              <w:trPr>
                <w:trHeight w:val="285"/>
              </w:trPr>
              <w:tc>
                <w:tcPr>
                  <w:tcW w:w="2235" w:type="dxa"/>
                  <w:tcBorders>
                    <w:top w:val="nil"/>
                    <w:left w:val="nil"/>
                    <w:bottom w:val="nil"/>
                    <w:right w:val="nil"/>
                  </w:tcBorders>
                  <w:vAlign w:val="bottom"/>
                </w:tcPr>
                <w:p w14:paraId="00FC42DF" w14:textId="77777777" w:rsidR="00CF73AC" w:rsidRPr="002F2B26" w:rsidRDefault="00CF73AC" w:rsidP="00AF1C52">
                  <w:pPr>
                    <w:jc w:val="right"/>
                    <w:rPr>
                      <w:noProof/>
                      <w:lang w:val="en-IE"/>
                    </w:rPr>
                  </w:pPr>
                  <w:r w:rsidRPr="002F2B26">
                    <w:rPr>
                      <w:rFonts w:ascii="Calibri" w:hAnsi="Calibri" w:cs="Calibri"/>
                      <w:noProof/>
                      <w:color w:val="000000"/>
                      <w:lang w:val="en-IE"/>
                    </w:rPr>
                    <w:t>3%</w:t>
                  </w:r>
                </w:p>
              </w:tc>
            </w:tr>
          </w:tbl>
          <w:p w14:paraId="13CDC8B5" w14:textId="77777777" w:rsidR="00CF73AC" w:rsidRPr="002F2B26" w:rsidRDefault="00CF73AC" w:rsidP="00AF1C52">
            <w:pPr>
              <w:jc w:val="center"/>
              <w:cnfStyle w:val="000000000000" w:firstRow="0" w:lastRow="0" w:firstColumn="0" w:lastColumn="0" w:oddVBand="0" w:evenVBand="0" w:oddHBand="0" w:evenHBand="0" w:firstRowFirstColumn="0" w:firstRowLastColumn="0" w:lastRowFirstColumn="0" w:lastRowLastColumn="0"/>
              <w:rPr>
                <w:noProof/>
                <w:lang w:val="en-IE"/>
              </w:rPr>
            </w:pPr>
          </w:p>
        </w:tc>
      </w:tr>
    </w:tbl>
    <w:p w14:paraId="14CB6495" w14:textId="77777777" w:rsidR="00CF73AC" w:rsidRPr="002F2B26" w:rsidRDefault="00CF73AC" w:rsidP="00CF73AC">
      <w:pPr>
        <w:pStyle w:val="ppoTableTabletitle"/>
        <w:rPr>
          <w:b/>
          <w:noProof/>
          <w:lang w:val="en-IE"/>
        </w:rPr>
      </w:pPr>
      <w:r w:rsidRPr="002F2B26">
        <w:rPr>
          <w:noProof/>
          <w:lang w:val="en-IE"/>
        </w:rPr>
        <w:t>Voted budget implementation in 2021 (million EUR):</w:t>
      </w:r>
    </w:p>
    <w:tbl>
      <w:tblPr>
        <w:tblStyle w:val="PPO2021"/>
        <w:tblW w:w="3683" w:type="pct"/>
        <w:tblInd w:w="79" w:type="dxa"/>
        <w:tblLook w:val="04A0" w:firstRow="1" w:lastRow="0" w:firstColumn="1" w:lastColumn="0" w:noHBand="0" w:noVBand="1"/>
      </w:tblPr>
      <w:tblGrid>
        <w:gridCol w:w="2419"/>
        <w:gridCol w:w="2419"/>
        <w:gridCol w:w="2420"/>
      </w:tblGrid>
      <w:tr w:rsidR="00CF73AC" w:rsidRPr="002F2B26" w14:paraId="0B5DD580" w14:textId="77777777" w:rsidTr="00AF1C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59DE52B0" w14:textId="77777777" w:rsidR="00CF73AC" w:rsidRPr="002F2B26" w:rsidRDefault="00CF73AC" w:rsidP="00AF1C52">
            <w:pPr>
              <w:rPr>
                <w:noProof/>
                <w:lang w:val="en-IE"/>
              </w:rPr>
            </w:pPr>
          </w:p>
        </w:tc>
        <w:tc>
          <w:tcPr>
            <w:tcW w:w="2419" w:type="dxa"/>
          </w:tcPr>
          <w:p w14:paraId="41170A5F" w14:textId="77777777" w:rsidR="00CF73AC" w:rsidRPr="002F2B26" w:rsidRDefault="00CF73AC" w:rsidP="00AF1C52">
            <w:pPr>
              <w:cnfStyle w:val="100000000000" w:firstRow="1" w:lastRow="0" w:firstColumn="0" w:lastColumn="0" w:oddVBand="0" w:evenVBand="0" w:oddHBand="0" w:evenHBand="0" w:firstRowFirstColumn="0" w:firstRowLastColumn="0" w:lastRowFirstColumn="0" w:lastRowLastColumn="0"/>
              <w:rPr>
                <w:noProof/>
                <w:lang w:val="en-IE"/>
              </w:rPr>
            </w:pPr>
            <w:r w:rsidRPr="002F2B26">
              <w:rPr>
                <w:noProof/>
                <w:lang w:val="en-IE"/>
              </w:rPr>
              <w:t>Voted budget implementation</w:t>
            </w:r>
          </w:p>
        </w:tc>
        <w:tc>
          <w:tcPr>
            <w:tcW w:w="2420" w:type="dxa"/>
          </w:tcPr>
          <w:p w14:paraId="2BF5AF96" w14:textId="77777777" w:rsidR="00CF73AC" w:rsidRPr="002F2B26" w:rsidRDefault="00CF73AC" w:rsidP="00AF1C52">
            <w:pPr>
              <w:cnfStyle w:val="100000000000" w:firstRow="1" w:lastRow="0" w:firstColumn="0" w:lastColumn="0" w:oddVBand="0" w:evenVBand="0" w:oddHBand="0" w:evenHBand="0" w:firstRowFirstColumn="0" w:firstRowLastColumn="0" w:lastRowFirstColumn="0" w:lastRowLastColumn="0"/>
              <w:rPr>
                <w:noProof/>
                <w:lang w:val="en-IE"/>
              </w:rPr>
            </w:pPr>
            <w:r w:rsidRPr="002F2B26">
              <w:rPr>
                <w:noProof/>
                <w:lang w:val="en-IE"/>
              </w:rPr>
              <w:t>Initial voted budget</w:t>
            </w:r>
          </w:p>
        </w:tc>
      </w:tr>
      <w:tr w:rsidR="00CF73AC" w:rsidRPr="002F2B26" w14:paraId="13A92446" w14:textId="77777777" w:rsidTr="00AF1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29D45855" w14:textId="77777777" w:rsidR="00CF73AC" w:rsidRPr="002F2B26" w:rsidRDefault="00CF73AC" w:rsidP="00AF1C52">
            <w:pPr>
              <w:jc w:val="center"/>
              <w:rPr>
                <w:noProof/>
                <w:lang w:val="en-IE"/>
              </w:rPr>
            </w:pPr>
            <w:r w:rsidRPr="002F2B26">
              <w:rPr>
                <w:noProof/>
                <w:lang w:val="en-IE"/>
              </w:rPr>
              <w:t>Commitments</w:t>
            </w:r>
          </w:p>
        </w:tc>
        <w:tc>
          <w:tcPr>
            <w:tcW w:w="2419" w:type="dxa"/>
          </w:tcPr>
          <w:p w14:paraId="524D7DA2" w14:textId="77777777" w:rsidR="00CF73AC" w:rsidRPr="002F2B26" w:rsidRDefault="00CF73AC" w:rsidP="00AF1C52">
            <w:pPr>
              <w:jc w:val="center"/>
              <w:cnfStyle w:val="000000100000" w:firstRow="0" w:lastRow="0" w:firstColumn="0" w:lastColumn="0" w:oddVBand="0" w:evenVBand="0" w:oddHBand="1" w:evenHBand="0" w:firstRowFirstColumn="0" w:firstRowLastColumn="0" w:lastRowFirstColumn="0" w:lastRowLastColumn="0"/>
              <w:rPr>
                <w:noProof/>
                <w:lang w:val="en-IE"/>
              </w:rPr>
            </w:pPr>
            <w:r w:rsidRPr="4F55724F">
              <w:rPr>
                <w:noProof/>
                <w:lang w:val="en-IE"/>
              </w:rPr>
              <w:t>116.1</w:t>
            </w:r>
          </w:p>
        </w:tc>
        <w:tc>
          <w:tcPr>
            <w:tcW w:w="2420" w:type="dxa"/>
          </w:tcPr>
          <w:p w14:paraId="01D99802" w14:textId="77777777" w:rsidR="00CF73AC" w:rsidRPr="002F2B26" w:rsidRDefault="00CF73AC" w:rsidP="00AF1C52">
            <w:pPr>
              <w:jc w:val="center"/>
              <w:cnfStyle w:val="000000100000" w:firstRow="0" w:lastRow="0" w:firstColumn="0" w:lastColumn="0" w:oddVBand="0" w:evenVBand="0" w:oddHBand="1" w:evenHBand="0" w:firstRowFirstColumn="0" w:firstRowLastColumn="0" w:lastRowFirstColumn="0" w:lastRowLastColumn="0"/>
              <w:rPr>
                <w:noProof/>
                <w:lang w:val="en-IE"/>
              </w:rPr>
            </w:pPr>
            <w:r w:rsidRPr="4F55724F">
              <w:rPr>
                <w:noProof/>
                <w:lang w:val="en-IE"/>
              </w:rPr>
              <w:t>116.4</w:t>
            </w:r>
          </w:p>
        </w:tc>
      </w:tr>
      <w:tr w:rsidR="00CF73AC" w:rsidRPr="002F2B26" w14:paraId="1EE9516F" w14:textId="77777777" w:rsidTr="00AF1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5AE156F7" w14:textId="77777777" w:rsidR="00CF73AC" w:rsidRPr="002F2B26" w:rsidRDefault="00CF73AC" w:rsidP="00AF1C52">
            <w:pPr>
              <w:jc w:val="center"/>
              <w:rPr>
                <w:noProof/>
                <w:lang w:val="en-IE"/>
              </w:rPr>
            </w:pPr>
            <w:r w:rsidRPr="002F2B26">
              <w:rPr>
                <w:noProof/>
                <w:lang w:val="en-IE"/>
              </w:rPr>
              <w:t>Payments</w:t>
            </w:r>
          </w:p>
        </w:tc>
        <w:tc>
          <w:tcPr>
            <w:tcW w:w="2419" w:type="dxa"/>
          </w:tcPr>
          <w:p w14:paraId="11D221CB" w14:textId="77777777" w:rsidR="00CF73AC" w:rsidRPr="002F2B26" w:rsidRDefault="00CF73AC" w:rsidP="00AF1C52">
            <w:pPr>
              <w:jc w:val="center"/>
              <w:cnfStyle w:val="000000010000" w:firstRow="0" w:lastRow="0" w:firstColumn="0" w:lastColumn="0" w:oddVBand="0" w:evenVBand="0" w:oddHBand="0" w:evenHBand="1" w:firstRowFirstColumn="0" w:firstRowLastColumn="0" w:lastRowFirstColumn="0" w:lastRowLastColumn="0"/>
              <w:rPr>
                <w:noProof/>
                <w:lang w:val="en-IE"/>
              </w:rPr>
            </w:pPr>
            <w:r w:rsidRPr="4F55724F">
              <w:rPr>
                <w:noProof/>
                <w:lang w:val="en-IE"/>
              </w:rPr>
              <w:t>26.4</w:t>
            </w:r>
          </w:p>
        </w:tc>
        <w:tc>
          <w:tcPr>
            <w:tcW w:w="2420" w:type="dxa"/>
          </w:tcPr>
          <w:p w14:paraId="456716FA" w14:textId="77777777" w:rsidR="00CF73AC" w:rsidRPr="002F2B26" w:rsidRDefault="00CF73AC" w:rsidP="00AF1C52">
            <w:pPr>
              <w:jc w:val="center"/>
              <w:cnfStyle w:val="000000010000" w:firstRow="0" w:lastRow="0" w:firstColumn="0" w:lastColumn="0" w:oddVBand="0" w:evenVBand="0" w:oddHBand="0" w:evenHBand="1" w:firstRowFirstColumn="0" w:firstRowLastColumn="0" w:lastRowFirstColumn="0" w:lastRowLastColumn="0"/>
              <w:rPr>
                <w:noProof/>
                <w:lang w:val="en-IE"/>
              </w:rPr>
            </w:pPr>
            <w:r w:rsidRPr="4F55724F">
              <w:rPr>
                <w:noProof/>
                <w:lang w:val="en-IE"/>
              </w:rPr>
              <w:t>59.2</w:t>
            </w:r>
          </w:p>
        </w:tc>
      </w:tr>
    </w:tbl>
    <w:p w14:paraId="77E5D647" w14:textId="77777777" w:rsidR="00CF73AC" w:rsidRPr="002F2B26" w:rsidRDefault="00CF73AC" w:rsidP="00CF73AC">
      <w:pPr>
        <w:pStyle w:val="ppoListHyphened-L1"/>
        <w:numPr>
          <w:ilvl w:val="0"/>
          <w:numId w:val="0"/>
        </w:numPr>
        <w:ind w:left="357"/>
        <w:rPr>
          <w:noProof/>
          <w:lang w:val="en-IE"/>
        </w:rPr>
      </w:pPr>
    </w:p>
    <w:p w14:paraId="475A6285" w14:textId="77777777" w:rsidR="00CF73AC" w:rsidRPr="002F2B26" w:rsidRDefault="00CF73AC" w:rsidP="00CF73AC">
      <w:pPr>
        <w:pStyle w:val="ppoListHyphened-L1"/>
        <w:rPr>
          <w:noProof/>
          <w:lang w:val="en-IE"/>
        </w:rPr>
      </w:pPr>
      <w:r w:rsidRPr="002F2B26">
        <w:rPr>
          <w:noProof/>
          <w:lang w:val="en-IE"/>
        </w:rPr>
        <w:t>The TSI is the successor of the 2017-2020 Structural Reform Support Programme and part of the instruments mobilised by the Commission to respond to the aftermath of the COVID-19 pandemic, in particular to help Member States strengthen their resilience and the structural capacities of their administrations.</w:t>
      </w:r>
    </w:p>
    <w:p w14:paraId="7182648D" w14:textId="77777777" w:rsidR="00CF73AC" w:rsidRPr="002F2B26" w:rsidRDefault="00CF73AC" w:rsidP="00CF73AC">
      <w:pPr>
        <w:pStyle w:val="ppoListHyphened-L1"/>
        <w:rPr>
          <w:noProof/>
          <w:lang w:val="en-IE"/>
        </w:rPr>
      </w:pPr>
      <w:r w:rsidRPr="002F2B26">
        <w:rPr>
          <w:noProof/>
          <w:lang w:val="en-IE"/>
        </w:rPr>
        <w:t>For the 2021-2027 multiannual financial framework, the TSI has a higher budget over the whole period of the framework and a larger scope, including support for preparing and implementing the recovery and resilience plans at the national level. The TSI is consistent, coherent and complementary to the existing resources for capacity-building and technical assistance that are available within other EU financing programmes.</w:t>
      </w:r>
    </w:p>
    <w:p w14:paraId="32586611" w14:textId="77777777" w:rsidR="00CF73AC" w:rsidRPr="002F2B26" w:rsidRDefault="00CF73AC" w:rsidP="00CF73AC">
      <w:pPr>
        <w:pStyle w:val="ppoListHyphened-L1"/>
        <w:rPr>
          <w:noProof/>
          <w:lang w:val="en-IE"/>
        </w:rPr>
      </w:pPr>
      <w:r w:rsidRPr="002F2B26">
        <w:rPr>
          <w:noProof/>
          <w:lang w:val="en-IE"/>
        </w:rPr>
        <w:t>13% of the total envelope for the 2021-2027 period was committed in 2021, which is in line with the financial programming.</w:t>
      </w:r>
    </w:p>
    <w:p w14:paraId="045062EF" w14:textId="77777777" w:rsidR="00CF73AC" w:rsidRPr="002F2B26" w:rsidRDefault="00CF73AC" w:rsidP="00CF73AC">
      <w:pPr>
        <w:pStyle w:val="ppoHeading5"/>
        <w:rPr>
          <w:noProof/>
          <w:lang w:val="en-IE"/>
        </w:rPr>
      </w:pPr>
      <w:r w:rsidRPr="002F2B26">
        <w:rPr>
          <w:noProof/>
          <w:lang w:val="en-IE"/>
        </w:rPr>
        <w:t>Contribution to horizontal priorities</w:t>
      </w:r>
    </w:p>
    <w:p w14:paraId="1AF02C9D" w14:textId="77777777" w:rsidR="00CF73AC" w:rsidRPr="002F2B26" w:rsidRDefault="00CF73AC" w:rsidP="00CF73AC">
      <w:pPr>
        <w:pStyle w:val="ppoTableTabletitle"/>
        <w:rPr>
          <w:noProof/>
          <w:lang w:val="en-IE"/>
        </w:rPr>
      </w:pPr>
      <w:r w:rsidRPr="002F2B26">
        <w:rPr>
          <w:noProof/>
          <w:lang w:val="en-IE"/>
        </w:rPr>
        <w:t>EU budget contribution in 2021 (million EUR):</w:t>
      </w:r>
    </w:p>
    <w:tbl>
      <w:tblPr>
        <w:tblStyle w:val="PPO2021"/>
        <w:tblW w:w="9639" w:type="dxa"/>
        <w:tblInd w:w="0" w:type="dxa"/>
        <w:tblLook w:val="0420" w:firstRow="1" w:lastRow="0" w:firstColumn="0" w:lastColumn="0" w:noHBand="0" w:noVBand="1"/>
      </w:tblPr>
      <w:tblGrid>
        <w:gridCol w:w="3213"/>
        <w:gridCol w:w="3213"/>
        <w:gridCol w:w="3213"/>
      </w:tblGrid>
      <w:tr w:rsidR="00CF73AC" w:rsidRPr="002F2B26" w14:paraId="54AEB60A" w14:textId="77777777" w:rsidTr="00AF1C52">
        <w:trPr>
          <w:cnfStyle w:val="100000000000" w:firstRow="1" w:lastRow="0" w:firstColumn="0" w:lastColumn="0" w:oddVBand="0" w:evenVBand="0" w:oddHBand="0" w:evenHBand="0" w:firstRowFirstColumn="0" w:firstRowLastColumn="0" w:lastRowFirstColumn="0" w:lastRowLastColumn="0"/>
          <w:tblHeader/>
        </w:trPr>
        <w:tc>
          <w:tcPr>
            <w:tcW w:w="3213" w:type="dxa"/>
          </w:tcPr>
          <w:p w14:paraId="0AEC48F2" w14:textId="77777777" w:rsidR="00CF73AC" w:rsidRPr="002F2B26" w:rsidRDefault="00CF73AC" w:rsidP="00AF1C52">
            <w:pPr>
              <w:rPr>
                <w:noProof/>
                <w:lang w:val="en-IE"/>
              </w:rPr>
            </w:pPr>
            <w:r w:rsidRPr="002F2B26">
              <w:rPr>
                <w:noProof/>
                <w:lang w:val="en-IE"/>
              </w:rPr>
              <w:t>Climate</w:t>
            </w:r>
          </w:p>
        </w:tc>
        <w:tc>
          <w:tcPr>
            <w:tcW w:w="3213" w:type="dxa"/>
          </w:tcPr>
          <w:p w14:paraId="25B73173" w14:textId="77777777" w:rsidR="00CF73AC" w:rsidRPr="002F2B26" w:rsidRDefault="00CF73AC" w:rsidP="00AF1C52">
            <w:pPr>
              <w:rPr>
                <w:noProof/>
                <w:lang w:val="en-IE"/>
              </w:rPr>
            </w:pPr>
            <w:r w:rsidRPr="002F2B26">
              <w:rPr>
                <w:noProof/>
                <w:lang w:val="en-IE"/>
              </w:rPr>
              <w:t>Biodiversity</w:t>
            </w:r>
          </w:p>
        </w:tc>
        <w:tc>
          <w:tcPr>
            <w:tcW w:w="3213" w:type="dxa"/>
          </w:tcPr>
          <w:p w14:paraId="7FF0D1D4" w14:textId="77777777" w:rsidR="00CF73AC" w:rsidRPr="002F2B26" w:rsidRDefault="00CF73AC" w:rsidP="00AF1C52">
            <w:pPr>
              <w:rPr>
                <w:noProof/>
                <w:lang w:val="en-IE"/>
              </w:rPr>
            </w:pPr>
            <w:r w:rsidRPr="002F2B26">
              <w:rPr>
                <w:noProof/>
                <w:lang w:val="en-IE"/>
              </w:rPr>
              <w:t>Gender equality</w:t>
            </w:r>
            <w:r w:rsidRPr="002F2B26">
              <w:rPr>
                <w:rFonts w:ascii="Calibri" w:hAnsi="Calibri" w:cs="Calibri"/>
                <w:noProof/>
                <w:lang w:val="en-IE"/>
              </w:rPr>
              <w:t> </w:t>
            </w:r>
            <w:r w:rsidRPr="002F2B26">
              <w:rPr>
                <w:noProof/>
                <w:lang w:val="en-IE"/>
              </w:rPr>
              <w:t>(*)</w:t>
            </w:r>
          </w:p>
        </w:tc>
      </w:tr>
      <w:tr w:rsidR="00CF73AC" w:rsidRPr="002F2B26" w14:paraId="2EB6D466" w14:textId="77777777" w:rsidTr="00AF1C52">
        <w:trPr>
          <w:cnfStyle w:val="000000100000" w:firstRow="0" w:lastRow="0" w:firstColumn="0" w:lastColumn="0" w:oddVBand="0" w:evenVBand="0" w:oddHBand="1" w:evenHBand="0" w:firstRowFirstColumn="0" w:firstRowLastColumn="0" w:lastRowFirstColumn="0" w:lastRowLastColumn="0"/>
        </w:trPr>
        <w:tc>
          <w:tcPr>
            <w:tcW w:w="3213" w:type="dxa"/>
          </w:tcPr>
          <w:tbl>
            <w:tblPr>
              <w:tblStyle w:val="TableGrid"/>
              <w:tblW w:w="0" w:type="auto"/>
              <w:tblLook w:val="06A0" w:firstRow="1" w:lastRow="0" w:firstColumn="1" w:lastColumn="0" w:noHBand="1" w:noVBand="1"/>
            </w:tblPr>
            <w:tblGrid>
              <w:gridCol w:w="1935"/>
            </w:tblGrid>
            <w:tr w:rsidR="00CF73AC" w:rsidRPr="002F2B26" w14:paraId="5466AB02" w14:textId="77777777" w:rsidTr="00AF1C52">
              <w:trPr>
                <w:trHeight w:val="285"/>
              </w:trPr>
              <w:tc>
                <w:tcPr>
                  <w:tcW w:w="1935" w:type="dxa"/>
                  <w:tcBorders>
                    <w:top w:val="nil"/>
                    <w:left w:val="nil"/>
                    <w:bottom w:val="nil"/>
                    <w:right w:val="nil"/>
                  </w:tcBorders>
                  <w:vAlign w:val="bottom"/>
                </w:tcPr>
                <w:p w14:paraId="4D8A7992" w14:textId="77777777" w:rsidR="00CF73AC" w:rsidRPr="002F2B26" w:rsidRDefault="00CF73AC" w:rsidP="00AF1C52">
                  <w:pPr>
                    <w:jc w:val="right"/>
                    <w:rPr>
                      <w:rFonts w:ascii="Calibri" w:hAnsi="Calibri" w:cs="Calibri"/>
                      <w:noProof/>
                      <w:color w:val="000000"/>
                      <w:lang w:val="en-IE"/>
                    </w:rPr>
                  </w:pPr>
                  <w:r w:rsidRPr="002F2B26">
                    <w:rPr>
                      <w:rFonts w:ascii="Calibri" w:hAnsi="Calibri" w:cs="Calibri"/>
                      <w:noProof/>
                      <w:color w:val="000000"/>
                      <w:lang w:val="en-IE"/>
                    </w:rPr>
                    <w:t>28.3</w:t>
                  </w:r>
                </w:p>
              </w:tc>
            </w:tr>
          </w:tbl>
          <w:p w14:paraId="01BB44D2" w14:textId="77777777" w:rsidR="00CF73AC" w:rsidRPr="002F2B26" w:rsidRDefault="00CF73AC" w:rsidP="00AF1C52">
            <w:pPr>
              <w:jc w:val="center"/>
              <w:rPr>
                <w:noProof/>
                <w:lang w:val="en-IE"/>
              </w:rPr>
            </w:pPr>
          </w:p>
        </w:tc>
        <w:tc>
          <w:tcPr>
            <w:tcW w:w="3213" w:type="dxa"/>
          </w:tcPr>
          <w:p w14:paraId="084BDEA5" w14:textId="77777777" w:rsidR="00CF73AC" w:rsidRPr="002F2B26" w:rsidRDefault="00CF73AC" w:rsidP="00AF1C52">
            <w:pPr>
              <w:jc w:val="center"/>
              <w:rPr>
                <w:noProof/>
                <w:lang w:val="en-IE"/>
              </w:rPr>
            </w:pPr>
            <w:r w:rsidRPr="002F2B26">
              <w:rPr>
                <w:noProof/>
                <w:lang w:val="en-IE"/>
              </w:rPr>
              <w:t>0</w:t>
            </w:r>
          </w:p>
        </w:tc>
        <w:tc>
          <w:tcPr>
            <w:tcW w:w="3213" w:type="dxa"/>
          </w:tcPr>
          <w:p w14:paraId="7E40DCCC" w14:textId="08847E2A" w:rsidR="00CF73AC" w:rsidRDefault="00CF73AC" w:rsidP="00AF1C52">
            <w:pPr>
              <w:jc w:val="center"/>
              <w:rPr>
                <w:noProof/>
                <w:lang w:val="en-IE"/>
              </w:rPr>
            </w:pPr>
            <w:r w:rsidRPr="002F2B26">
              <w:rPr>
                <w:noProof/>
                <w:lang w:val="en-IE"/>
              </w:rPr>
              <w:t>Score</w:t>
            </w:r>
            <w:r w:rsidRPr="002F2B26">
              <w:rPr>
                <w:rFonts w:ascii="Calibri" w:hAnsi="Calibri" w:cs="Calibri"/>
                <w:noProof/>
                <w:lang w:val="en-IE"/>
              </w:rPr>
              <w:t> </w:t>
            </w:r>
            <w:r w:rsidRPr="002F2B26">
              <w:rPr>
                <w:noProof/>
                <w:lang w:val="en-IE"/>
              </w:rPr>
              <w:t>0*: 1</w:t>
            </w:r>
            <w:r w:rsidR="009A4405">
              <w:rPr>
                <w:noProof/>
                <w:lang w:val="en-IE"/>
              </w:rPr>
              <w:t>16.1</w:t>
            </w:r>
          </w:p>
          <w:p w14:paraId="61A915D1" w14:textId="4032F72A" w:rsidR="009A4405" w:rsidRPr="002F2B26" w:rsidRDefault="009A4405" w:rsidP="00AF1C52">
            <w:pPr>
              <w:jc w:val="center"/>
              <w:rPr>
                <w:noProof/>
                <w:lang w:val="en-IE"/>
              </w:rPr>
            </w:pPr>
          </w:p>
        </w:tc>
      </w:tr>
    </w:tbl>
    <w:p w14:paraId="36FF23AC" w14:textId="77777777" w:rsidR="00CF73AC" w:rsidRPr="002F2B26" w:rsidRDefault="00CF73AC" w:rsidP="00CF73AC">
      <w:pPr>
        <w:pStyle w:val="FootnoteText"/>
        <w:rPr>
          <w:noProof/>
          <w:lang w:val="en-IE"/>
        </w:rPr>
      </w:pPr>
      <w:r w:rsidRPr="002F2B26">
        <w:rPr>
          <w:noProof/>
          <w:lang w:val="en-IE"/>
        </w:rPr>
        <w:t xml:space="preserve">(*) Based on the applied gender contribution methodology, the following scores are attributed at the most granular level of intervention possible: </w:t>
      </w:r>
    </w:p>
    <w:p w14:paraId="7508566C" w14:textId="77777777" w:rsidR="00CF73AC" w:rsidRPr="002F2B26" w:rsidRDefault="00CF73AC" w:rsidP="00CF73AC">
      <w:pPr>
        <w:pStyle w:val="FootnoteText"/>
        <w:numPr>
          <w:ilvl w:val="0"/>
          <w:numId w:val="38"/>
        </w:numPr>
        <w:spacing w:after="60" w:line="264" w:lineRule="auto"/>
        <w:jc w:val="left"/>
        <w:rPr>
          <w:noProof/>
          <w:lang w:val="en-IE"/>
        </w:rPr>
      </w:pPr>
      <w:r w:rsidRPr="002F2B26">
        <w:rPr>
          <w:noProof/>
          <w:lang w:val="en-IE"/>
        </w:rPr>
        <w:t>2: interventions the principal objective of which is to improve gender equality;</w:t>
      </w:r>
    </w:p>
    <w:p w14:paraId="5BE85E60" w14:textId="77777777" w:rsidR="00CF73AC" w:rsidRPr="002F2B26" w:rsidRDefault="00CF73AC" w:rsidP="00CF73AC">
      <w:pPr>
        <w:pStyle w:val="FootnoteText"/>
        <w:numPr>
          <w:ilvl w:val="0"/>
          <w:numId w:val="38"/>
        </w:numPr>
        <w:spacing w:after="60" w:line="264" w:lineRule="auto"/>
        <w:jc w:val="left"/>
        <w:rPr>
          <w:noProof/>
          <w:lang w:val="en-IE"/>
        </w:rPr>
      </w:pPr>
      <w:r w:rsidRPr="002F2B26">
        <w:rPr>
          <w:noProof/>
          <w:lang w:val="en-IE"/>
        </w:rPr>
        <w:t>1: interventions that have gender equality as an important and deliberate objective but not as the main reason for the intervention;</w:t>
      </w:r>
    </w:p>
    <w:p w14:paraId="7C796D80" w14:textId="77777777" w:rsidR="00CF73AC" w:rsidRPr="002F2B26" w:rsidRDefault="00CF73AC" w:rsidP="00CF73AC">
      <w:pPr>
        <w:pStyle w:val="FootnoteText"/>
        <w:numPr>
          <w:ilvl w:val="0"/>
          <w:numId w:val="38"/>
        </w:numPr>
        <w:spacing w:after="60" w:line="264" w:lineRule="auto"/>
        <w:jc w:val="left"/>
        <w:rPr>
          <w:noProof/>
          <w:lang w:val="en-IE"/>
        </w:rPr>
      </w:pPr>
      <w:r w:rsidRPr="002F2B26">
        <w:rPr>
          <w:noProof/>
          <w:lang w:val="en-IE"/>
        </w:rPr>
        <w:t xml:space="preserve">0: non-targeted interventions; </w:t>
      </w:r>
    </w:p>
    <w:p w14:paraId="596AC587" w14:textId="77777777" w:rsidR="00CF73AC" w:rsidRPr="002F2B26" w:rsidRDefault="00CF73AC" w:rsidP="00CF73AC">
      <w:pPr>
        <w:pStyle w:val="FootnoteText"/>
        <w:numPr>
          <w:ilvl w:val="0"/>
          <w:numId w:val="38"/>
        </w:numPr>
        <w:spacing w:after="60" w:line="264" w:lineRule="auto"/>
        <w:jc w:val="left"/>
        <w:rPr>
          <w:noProof/>
          <w:lang w:val="en-IE"/>
        </w:rPr>
      </w:pPr>
      <w:r w:rsidRPr="002F2B26">
        <w:rPr>
          <w:noProof/>
          <w:lang w:val="en-IE"/>
        </w:rPr>
        <w:t>0*: score to be assigned to interventions with a likely but not yet clear positive impact on gender equality.</w:t>
      </w:r>
    </w:p>
    <w:p w14:paraId="7028B9F6" w14:textId="77777777" w:rsidR="00CF73AC" w:rsidRPr="002F2B26" w:rsidRDefault="00CF73AC" w:rsidP="00CF73AC">
      <w:pPr>
        <w:pStyle w:val="ppoHeading5"/>
        <w:rPr>
          <w:noProof/>
          <w:lang w:val="en-IE"/>
        </w:rPr>
      </w:pPr>
      <w:r w:rsidRPr="002F2B26">
        <w:rPr>
          <w:noProof/>
          <w:lang w:val="en-IE"/>
        </w:rPr>
        <w:t>Performance assessment</w:t>
      </w:r>
    </w:p>
    <w:p w14:paraId="6572FE1D" w14:textId="77777777" w:rsidR="00CF73AC" w:rsidRPr="002F2B26" w:rsidRDefault="00CF73AC" w:rsidP="00CF73AC">
      <w:pPr>
        <w:pStyle w:val="ppoHeading6"/>
        <w:rPr>
          <w:noProof/>
          <w:lang w:val="en-IE"/>
        </w:rPr>
      </w:pPr>
      <w:r w:rsidRPr="002F2B26">
        <w:rPr>
          <w:noProof/>
          <w:lang w:val="en-IE"/>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CF73AC" w:rsidRPr="002F2B26" w14:paraId="448DE752" w14:textId="77777777" w:rsidTr="00AF1C52">
        <w:trPr>
          <w:cnfStyle w:val="100000000000" w:firstRow="1" w:lastRow="0" w:firstColumn="0" w:lastColumn="0" w:oddVBand="0" w:evenVBand="0" w:oddHBand="0" w:evenHBand="0" w:firstRowFirstColumn="0" w:firstRowLastColumn="0" w:lastRowFirstColumn="0" w:lastRowLastColumn="0"/>
        </w:trPr>
        <w:tc>
          <w:tcPr>
            <w:tcW w:w="2330" w:type="dxa"/>
          </w:tcPr>
          <w:p w14:paraId="078B802C" w14:textId="77777777" w:rsidR="00CF73AC" w:rsidRPr="002F2B26" w:rsidRDefault="00CF73AC" w:rsidP="00AF1C52">
            <w:pPr>
              <w:rPr>
                <w:noProof/>
                <w:lang w:val="en-IE"/>
              </w:rPr>
            </w:pPr>
          </w:p>
        </w:tc>
        <w:tc>
          <w:tcPr>
            <w:tcW w:w="1100" w:type="dxa"/>
          </w:tcPr>
          <w:p w14:paraId="0DC0BF1A" w14:textId="77777777" w:rsidR="00CF73AC" w:rsidRPr="002F2B26" w:rsidRDefault="00CF73AC" w:rsidP="00AF1C52">
            <w:pPr>
              <w:rPr>
                <w:noProof/>
                <w:lang w:val="en-IE"/>
              </w:rPr>
            </w:pPr>
            <w:r w:rsidRPr="002F2B26">
              <w:rPr>
                <w:noProof/>
                <w:lang w:val="en-IE"/>
              </w:rPr>
              <w:t>Baseline</w:t>
            </w:r>
          </w:p>
        </w:tc>
        <w:tc>
          <w:tcPr>
            <w:tcW w:w="1526" w:type="dxa"/>
          </w:tcPr>
          <w:p w14:paraId="366FF4E1" w14:textId="77777777" w:rsidR="00CF73AC" w:rsidRPr="002F2B26" w:rsidRDefault="00CF73AC" w:rsidP="00AF1C52">
            <w:pPr>
              <w:rPr>
                <w:noProof/>
                <w:lang w:val="en-IE"/>
              </w:rPr>
            </w:pPr>
            <w:r w:rsidRPr="002F2B26">
              <w:rPr>
                <w:noProof/>
                <w:lang w:val="en-IE"/>
              </w:rPr>
              <w:t>Progress</w:t>
            </w:r>
            <w:r w:rsidRPr="002F2B26">
              <w:rPr>
                <w:rFonts w:ascii="Calibri" w:hAnsi="Calibri" w:cs="Calibri"/>
                <w:noProof/>
                <w:lang w:val="en-IE"/>
              </w:rPr>
              <w:t> </w:t>
            </w:r>
            <w:r w:rsidRPr="002F2B26">
              <w:rPr>
                <w:noProof/>
                <w:lang w:val="en-IE"/>
              </w:rPr>
              <w:t>(*)</w:t>
            </w:r>
          </w:p>
        </w:tc>
        <w:tc>
          <w:tcPr>
            <w:tcW w:w="1532" w:type="dxa"/>
          </w:tcPr>
          <w:p w14:paraId="00122A91" w14:textId="77777777" w:rsidR="00CF73AC" w:rsidRPr="002F2B26" w:rsidRDefault="00CF73AC" w:rsidP="00AF1C52">
            <w:pPr>
              <w:rPr>
                <w:noProof/>
                <w:lang w:val="en-IE"/>
              </w:rPr>
            </w:pPr>
            <w:r w:rsidRPr="002F2B26">
              <w:rPr>
                <w:noProof/>
                <w:lang w:val="en-IE"/>
              </w:rPr>
              <w:t>Target</w:t>
            </w:r>
          </w:p>
        </w:tc>
        <w:tc>
          <w:tcPr>
            <w:tcW w:w="1572" w:type="dxa"/>
          </w:tcPr>
          <w:p w14:paraId="53F7B373" w14:textId="77777777" w:rsidR="00CF73AC" w:rsidRPr="002F2B26" w:rsidRDefault="00CF73AC" w:rsidP="00AF1C52">
            <w:pPr>
              <w:rPr>
                <w:noProof/>
                <w:lang w:val="en-IE"/>
              </w:rPr>
            </w:pPr>
            <w:r w:rsidRPr="002F2B26">
              <w:rPr>
                <w:noProof/>
                <w:lang w:val="en-IE"/>
              </w:rPr>
              <w:t>Results</w:t>
            </w:r>
          </w:p>
        </w:tc>
        <w:tc>
          <w:tcPr>
            <w:tcW w:w="1579" w:type="dxa"/>
          </w:tcPr>
          <w:p w14:paraId="60AC1426" w14:textId="77777777" w:rsidR="00CF73AC" w:rsidRPr="002F2B26" w:rsidRDefault="00CF73AC" w:rsidP="00AF1C52">
            <w:pPr>
              <w:rPr>
                <w:noProof/>
                <w:lang w:val="en-IE"/>
              </w:rPr>
            </w:pPr>
            <w:r w:rsidRPr="002F2B26">
              <w:rPr>
                <w:noProof/>
                <w:lang w:val="en-IE"/>
              </w:rPr>
              <w:t>Assessment</w:t>
            </w:r>
          </w:p>
        </w:tc>
      </w:tr>
      <w:tr w:rsidR="00CF73AC" w:rsidRPr="002F2B26" w14:paraId="70763B4E" w14:textId="77777777" w:rsidTr="00AF1C52">
        <w:trPr>
          <w:cnfStyle w:val="000000100000" w:firstRow="0" w:lastRow="0" w:firstColumn="0" w:lastColumn="0" w:oddVBand="0" w:evenVBand="0" w:oddHBand="1" w:evenHBand="0" w:firstRowFirstColumn="0" w:firstRowLastColumn="0" w:lastRowFirstColumn="0" w:lastRowLastColumn="0"/>
        </w:trPr>
        <w:tc>
          <w:tcPr>
            <w:tcW w:w="2330" w:type="dxa"/>
          </w:tcPr>
          <w:p w14:paraId="12F015C0" w14:textId="77777777" w:rsidR="00CF73AC" w:rsidRPr="002F2B26" w:rsidRDefault="00CF73AC" w:rsidP="00AF1C52">
            <w:pPr>
              <w:rPr>
                <w:noProof/>
                <w:lang w:val="en-IE"/>
              </w:rPr>
            </w:pPr>
            <w:r w:rsidRPr="002F2B26">
              <w:rPr>
                <w:noProof/>
                <w:lang w:val="en-IE"/>
              </w:rPr>
              <w:t>Cooperation and support plans concluded</w:t>
            </w:r>
          </w:p>
        </w:tc>
        <w:tc>
          <w:tcPr>
            <w:tcW w:w="1100" w:type="dxa"/>
          </w:tcPr>
          <w:p w14:paraId="1F7F1BE0" w14:textId="77777777" w:rsidR="00CF73AC" w:rsidRPr="002F2B26" w:rsidRDefault="00CF73AC" w:rsidP="00AF1C52">
            <w:pPr>
              <w:jc w:val="center"/>
              <w:rPr>
                <w:noProof/>
                <w:lang w:val="en-IE"/>
              </w:rPr>
            </w:pPr>
            <w:r w:rsidRPr="002F2B26">
              <w:rPr>
                <w:noProof/>
                <w:lang w:val="en-IE"/>
              </w:rPr>
              <w:t>0</w:t>
            </w:r>
          </w:p>
        </w:tc>
        <w:tc>
          <w:tcPr>
            <w:tcW w:w="1526" w:type="dxa"/>
          </w:tcPr>
          <w:p w14:paraId="6A5D31E5" w14:textId="77777777" w:rsidR="00CF73AC" w:rsidRPr="002F2B26" w:rsidRDefault="00CF73AC" w:rsidP="00AF1C52">
            <w:pPr>
              <w:jc w:val="center"/>
              <w:rPr>
                <w:b/>
                <w:noProof/>
                <w:lang w:val="en-IE"/>
              </w:rPr>
            </w:pPr>
            <w:r w:rsidRPr="002F2B26">
              <w:rPr>
                <w:b/>
                <w:noProof/>
                <w:lang w:val="en-IE"/>
              </w:rPr>
              <w:t>14%</w:t>
            </w:r>
          </w:p>
        </w:tc>
        <w:tc>
          <w:tcPr>
            <w:tcW w:w="1532" w:type="dxa"/>
          </w:tcPr>
          <w:p w14:paraId="14501003" w14:textId="77777777" w:rsidR="00CF73AC" w:rsidRPr="002F2B26" w:rsidRDefault="00CF73AC" w:rsidP="00AF1C52">
            <w:pPr>
              <w:jc w:val="center"/>
              <w:rPr>
                <w:noProof/>
                <w:lang w:val="en-IE"/>
              </w:rPr>
            </w:pPr>
            <w:r w:rsidRPr="002F2B26">
              <w:rPr>
                <w:noProof/>
                <w:lang w:val="en-IE"/>
              </w:rPr>
              <w:t>20 annually</w:t>
            </w:r>
          </w:p>
        </w:tc>
        <w:tc>
          <w:tcPr>
            <w:tcW w:w="1572" w:type="dxa"/>
          </w:tcPr>
          <w:p w14:paraId="5E82F331" w14:textId="2B36F25F" w:rsidR="00CF73AC" w:rsidRPr="002F2B26" w:rsidRDefault="00CF73AC" w:rsidP="00AF1C52">
            <w:pPr>
              <w:jc w:val="center"/>
              <w:rPr>
                <w:noProof/>
                <w:lang w:val="en-IE"/>
              </w:rPr>
            </w:pPr>
            <w:r w:rsidRPr="002F2B26">
              <w:rPr>
                <w:noProof/>
                <w:lang w:val="en-IE"/>
              </w:rPr>
              <w:t xml:space="preserve">Milestone achieved in 2021. 27 compared to </w:t>
            </w:r>
            <w:r w:rsidR="007432E1">
              <w:rPr>
                <w:noProof/>
                <w:lang w:val="en-IE"/>
              </w:rPr>
              <w:t xml:space="preserve">a milestone of </w:t>
            </w:r>
            <w:r w:rsidRPr="002F2B26">
              <w:rPr>
                <w:noProof/>
                <w:lang w:val="en-IE"/>
              </w:rPr>
              <w:t>20</w:t>
            </w:r>
          </w:p>
        </w:tc>
        <w:tc>
          <w:tcPr>
            <w:tcW w:w="1579" w:type="dxa"/>
          </w:tcPr>
          <w:p w14:paraId="60B8902A" w14:textId="77777777" w:rsidR="00CF73AC" w:rsidRPr="002F2B26" w:rsidRDefault="00CF73AC" w:rsidP="00AF1C52">
            <w:pPr>
              <w:tabs>
                <w:tab w:val="left" w:pos="610"/>
                <w:tab w:val="center" w:pos="681"/>
              </w:tabs>
              <w:jc w:val="center"/>
              <w:rPr>
                <w:noProof/>
                <w:lang w:val="en-IE"/>
              </w:rPr>
            </w:pPr>
            <w:r w:rsidRPr="002F2B26">
              <w:rPr>
                <w:noProof/>
                <w:lang w:val="en-IE"/>
              </w:rPr>
              <w:t>On track</w:t>
            </w:r>
          </w:p>
          <w:p w14:paraId="237F94A5" w14:textId="77777777" w:rsidR="00CF73AC" w:rsidRPr="002F2B26" w:rsidRDefault="00CF73AC" w:rsidP="00AF1C52">
            <w:pPr>
              <w:tabs>
                <w:tab w:val="left" w:pos="610"/>
                <w:tab w:val="center" w:pos="681"/>
              </w:tabs>
              <w:jc w:val="center"/>
              <w:rPr>
                <w:noProof/>
                <w:lang w:val="en-IE"/>
              </w:rPr>
            </w:pPr>
          </w:p>
        </w:tc>
      </w:tr>
      <w:tr w:rsidR="00CF73AC" w:rsidRPr="002F2B26" w14:paraId="1EC81E19" w14:textId="77777777" w:rsidTr="00AF1C52">
        <w:trPr>
          <w:cnfStyle w:val="000000010000" w:firstRow="0" w:lastRow="0" w:firstColumn="0" w:lastColumn="0" w:oddVBand="0" w:evenVBand="0" w:oddHBand="0" w:evenHBand="1" w:firstRowFirstColumn="0" w:firstRowLastColumn="0" w:lastRowFirstColumn="0" w:lastRowLastColumn="0"/>
        </w:trPr>
        <w:tc>
          <w:tcPr>
            <w:tcW w:w="2330" w:type="dxa"/>
          </w:tcPr>
          <w:p w14:paraId="02CE167A" w14:textId="77777777" w:rsidR="00CF73AC" w:rsidRPr="002F2B26" w:rsidRDefault="00CF73AC" w:rsidP="00AF1C52">
            <w:pPr>
              <w:rPr>
                <w:noProof/>
                <w:lang w:val="en-IE"/>
              </w:rPr>
            </w:pPr>
            <w:r w:rsidRPr="002F2B26">
              <w:rPr>
                <w:noProof/>
                <w:lang w:val="en-IE"/>
              </w:rPr>
              <w:t>Number of support measures</w:t>
            </w:r>
          </w:p>
        </w:tc>
        <w:tc>
          <w:tcPr>
            <w:tcW w:w="1100" w:type="dxa"/>
          </w:tcPr>
          <w:p w14:paraId="3740F29B" w14:textId="77777777" w:rsidR="00CF73AC" w:rsidRPr="002F2B26" w:rsidRDefault="00CF73AC" w:rsidP="00AF1C52">
            <w:pPr>
              <w:jc w:val="center"/>
              <w:rPr>
                <w:noProof/>
                <w:lang w:val="en-IE"/>
              </w:rPr>
            </w:pPr>
            <w:r w:rsidRPr="002F2B26">
              <w:rPr>
                <w:noProof/>
                <w:lang w:val="en-IE"/>
              </w:rPr>
              <w:t>0</w:t>
            </w:r>
          </w:p>
        </w:tc>
        <w:tc>
          <w:tcPr>
            <w:tcW w:w="1526" w:type="dxa"/>
          </w:tcPr>
          <w:p w14:paraId="51A7E533" w14:textId="77777777" w:rsidR="00CF73AC" w:rsidRPr="002F2B26" w:rsidRDefault="00CF73AC" w:rsidP="00AF1C52">
            <w:pPr>
              <w:jc w:val="center"/>
              <w:rPr>
                <w:b/>
                <w:noProof/>
                <w:lang w:val="en-IE"/>
              </w:rPr>
            </w:pPr>
            <w:r w:rsidRPr="002F2B26">
              <w:rPr>
                <w:b/>
                <w:noProof/>
                <w:lang w:val="en-IE"/>
              </w:rPr>
              <w:t>14%</w:t>
            </w:r>
          </w:p>
        </w:tc>
        <w:tc>
          <w:tcPr>
            <w:tcW w:w="1532" w:type="dxa"/>
          </w:tcPr>
          <w:p w14:paraId="3110AB8C" w14:textId="49333801" w:rsidR="00CF73AC" w:rsidRPr="002F2B26" w:rsidRDefault="00CF73AC" w:rsidP="0070748A">
            <w:pPr>
              <w:jc w:val="center"/>
              <w:rPr>
                <w:noProof/>
                <w:lang w:val="en-IE"/>
              </w:rPr>
            </w:pPr>
            <w:r w:rsidRPr="002F2B26">
              <w:rPr>
                <w:noProof/>
                <w:lang w:val="en-IE"/>
              </w:rPr>
              <w:t xml:space="preserve">147 </w:t>
            </w:r>
            <w:r w:rsidR="005E2D1C">
              <w:rPr>
                <w:noProof/>
                <w:lang w:val="en-IE"/>
              </w:rPr>
              <w:t>in 2027</w:t>
            </w:r>
            <w:r w:rsidRPr="002F2B26">
              <w:rPr>
                <w:noProof/>
                <w:lang w:val="en-IE"/>
              </w:rPr>
              <w:t xml:space="preserve"> </w:t>
            </w:r>
          </w:p>
        </w:tc>
        <w:tc>
          <w:tcPr>
            <w:tcW w:w="1572" w:type="dxa"/>
          </w:tcPr>
          <w:p w14:paraId="6791E16A" w14:textId="6FD8037D" w:rsidR="00CF73AC" w:rsidRPr="002F2B26" w:rsidRDefault="005E2D1C" w:rsidP="00AF1C52">
            <w:pPr>
              <w:jc w:val="center"/>
              <w:rPr>
                <w:noProof/>
                <w:lang w:val="en-IE"/>
              </w:rPr>
            </w:pPr>
            <w:r>
              <w:rPr>
                <w:noProof/>
                <w:lang w:val="en-IE"/>
              </w:rPr>
              <w:t>Target</w:t>
            </w:r>
            <w:r w:rsidRPr="002F2B26">
              <w:rPr>
                <w:noProof/>
                <w:lang w:val="en-IE"/>
              </w:rPr>
              <w:t xml:space="preserve"> </w:t>
            </w:r>
            <w:r w:rsidR="00CF73AC" w:rsidRPr="002F2B26">
              <w:rPr>
                <w:noProof/>
                <w:lang w:val="en-IE"/>
              </w:rPr>
              <w:t>achieved in 2021. 262 compared to</w:t>
            </w:r>
            <w:r w:rsidR="007432E1">
              <w:rPr>
                <w:noProof/>
                <w:lang w:val="en-IE"/>
              </w:rPr>
              <w:t xml:space="preserve"> a target of</w:t>
            </w:r>
            <w:r>
              <w:rPr>
                <w:noProof/>
                <w:lang w:val="en-IE"/>
              </w:rPr>
              <w:t xml:space="preserve"> </w:t>
            </w:r>
            <w:r w:rsidR="00CF73AC">
              <w:rPr>
                <w:noProof/>
              </w:rPr>
              <w:t>147</w:t>
            </w:r>
          </w:p>
        </w:tc>
        <w:tc>
          <w:tcPr>
            <w:tcW w:w="1579" w:type="dxa"/>
          </w:tcPr>
          <w:p w14:paraId="62818B41" w14:textId="77777777" w:rsidR="00CF73AC" w:rsidRPr="002F2B26" w:rsidRDefault="00CF73AC" w:rsidP="00AF1C52">
            <w:pPr>
              <w:jc w:val="center"/>
              <w:rPr>
                <w:noProof/>
                <w:lang w:val="en-IE"/>
              </w:rPr>
            </w:pPr>
            <w:r w:rsidRPr="002F2B26">
              <w:rPr>
                <w:noProof/>
                <w:lang w:val="en-IE"/>
              </w:rPr>
              <w:t>On track</w:t>
            </w:r>
          </w:p>
        </w:tc>
      </w:tr>
      <w:tr w:rsidR="00CF73AC" w:rsidRPr="002F2B26" w14:paraId="5C278E72" w14:textId="77777777" w:rsidTr="00AF1C52">
        <w:trPr>
          <w:cnfStyle w:val="000000100000" w:firstRow="0" w:lastRow="0" w:firstColumn="0" w:lastColumn="0" w:oddVBand="0" w:evenVBand="0" w:oddHBand="1" w:evenHBand="0" w:firstRowFirstColumn="0" w:firstRowLastColumn="0" w:lastRowFirstColumn="0" w:lastRowLastColumn="0"/>
        </w:trPr>
        <w:tc>
          <w:tcPr>
            <w:tcW w:w="2330" w:type="dxa"/>
          </w:tcPr>
          <w:p w14:paraId="7E37649E" w14:textId="77777777" w:rsidR="00CF73AC" w:rsidRPr="002F2B26" w:rsidRDefault="00CF73AC" w:rsidP="00AF1C52">
            <w:pPr>
              <w:rPr>
                <w:noProof/>
                <w:lang w:val="en-IE"/>
              </w:rPr>
            </w:pPr>
            <w:r w:rsidRPr="002F2B26">
              <w:rPr>
                <w:noProof/>
                <w:lang w:val="en-IE"/>
              </w:rPr>
              <w:t>The objectives set in the cooperation and support plans, which have been achieved due, inter alia, to the technical support received</w:t>
            </w:r>
          </w:p>
        </w:tc>
        <w:tc>
          <w:tcPr>
            <w:tcW w:w="1100" w:type="dxa"/>
          </w:tcPr>
          <w:p w14:paraId="2E1C02CD" w14:textId="77777777" w:rsidR="00CF73AC" w:rsidRPr="002F2B26" w:rsidRDefault="00CF73AC" w:rsidP="00AF1C52">
            <w:pPr>
              <w:jc w:val="center"/>
              <w:rPr>
                <w:noProof/>
                <w:lang w:val="en-IE"/>
              </w:rPr>
            </w:pPr>
            <w:r w:rsidRPr="002F2B26">
              <w:rPr>
                <w:noProof/>
                <w:lang w:val="en-IE"/>
              </w:rPr>
              <w:t>0</w:t>
            </w:r>
          </w:p>
        </w:tc>
        <w:tc>
          <w:tcPr>
            <w:tcW w:w="1526" w:type="dxa"/>
          </w:tcPr>
          <w:p w14:paraId="03A440A0" w14:textId="77777777" w:rsidR="00CF73AC" w:rsidRPr="002F2B26" w:rsidRDefault="00CF73AC" w:rsidP="00AF1C52">
            <w:pPr>
              <w:jc w:val="center"/>
              <w:rPr>
                <w:b/>
                <w:noProof/>
                <w:lang w:val="en-IE"/>
              </w:rPr>
            </w:pPr>
            <w:r w:rsidRPr="002F2B26">
              <w:rPr>
                <w:b/>
                <w:noProof/>
                <w:lang w:val="en-IE"/>
              </w:rPr>
              <w:t xml:space="preserve"> </w:t>
            </w:r>
          </w:p>
        </w:tc>
        <w:tc>
          <w:tcPr>
            <w:tcW w:w="1532" w:type="dxa"/>
          </w:tcPr>
          <w:p w14:paraId="4F4FFEE9" w14:textId="77777777" w:rsidR="00CF73AC" w:rsidRPr="002F2B26" w:rsidRDefault="00CF73AC" w:rsidP="00AF1C52">
            <w:pPr>
              <w:jc w:val="center"/>
              <w:rPr>
                <w:noProof/>
                <w:lang w:val="en-IE"/>
              </w:rPr>
            </w:pPr>
            <w:r w:rsidRPr="002F2B26">
              <w:rPr>
                <w:noProof/>
                <w:lang w:val="en-IE"/>
              </w:rPr>
              <w:t xml:space="preserve">70% annually </w:t>
            </w:r>
          </w:p>
        </w:tc>
        <w:tc>
          <w:tcPr>
            <w:tcW w:w="1572" w:type="dxa"/>
          </w:tcPr>
          <w:p w14:paraId="4AF300BE" w14:textId="77777777" w:rsidR="00CF73AC" w:rsidRPr="002F2B26" w:rsidRDefault="00CF73AC" w:rsidP="00AF1C52">
            <w:pPr>
              <w:jc w:val="center"/>
              <w:rPr>
                <w:noProof/>
                <w:lang w:val="en-IE"/>
              </w:rPr>
            </w:pPr>
            <w:r>
              <w:rPr>
                <w:noProof/>
              </w:rPr>
              <w:t>No results</w:t>
            </w:r>
          </w:p>
        </w:tc>
        <w:tc>
          <w:tcPr>
            <w:tcW w:w="1579" w:type="dxa"/>
          </w:tcPr>
          <w:p w14:paraId="67705987" w14:textId="77777777" w:rsidR="00CF73AC" w:rsidRPr="002F2B26" w:rsidRDefault="00CF73AC" w:rsidP="00AF1C52">
            <w:pPr>
              <w:jc w:val="center"/>
              <w:rPr>
                <w:noProof/>
                <w:lang w:val="en-IE"/>
              </w:rPr>
            </w:pPr>
            <w:r>
              <w:rPr>
                <w:noProof/>
                <w:lang w:val="en-IE"/>
              </w:rPr>
              <w:t>No data</w:t>
            </w:r>
          </w:p>
        </w:tc>
      </w:tr>
    </w:tbl>
    <w:p w14:paraId="749095A9" w14:textId="77777777" w:rsidR="00CF73AC" w:rsidRPr="002F2B26" w:rsidRDefault="00CF73AC" w:rsidP="00CF73AC">
      <w:pPr>
        <w:pStyle w:val="FootnoteText"/>
        <w:rPr>
          <w:noProof/>
          <w:lang w:val="en-IE"/>
        </w:rPr>
      </w:pPr>
      <w:r w:rsidRPr="002F2B26" w:rsidDel="00A16E2A">
        <w:rPr>
          <w:noProof/>
          <w:lang w:val="en-IE"/>
        </w:rPr>
        <w:t xml:space="preserve"> </w:t>
      </w:r>
      <w:r>
        <w:rPr>
          <w:noProof/>
          <w:lang w:val="en-IE"/>
        </w:rPr>
        <w:t>(</w:t>
      </w:r>
      <w:r w:rsidRPr="002F2B26">
        <w:rPr>
          <w:noProof/>
          <w:lang w:val="en-IE"/>
        </w:rPr>
        <w:t>*) % of years for which the milestone or target has been achieved during the 2021-2027 period.</w:t>
      </w:r>
    </w:p>
    <w:p w14:paraId="69CA63F6" w14:textId="77777777" w:rsidR="00CF73AC" w:rsidRPr="002F2B26" w:rsidRDefault="00CF73AC" w:rsidP="00CF73AC">
      <w:pPr>
        <w:pStyle w:val="ppoListHyphened-L1"/>
        <w:rPr>
          <w:noProof/>
          <w:lang w:val="en-IE"/>
        </w:rPr>
      </w:pPr>
      <w:r w:rsidRPr="002F2B26">
        <w:rPr>
          <w:noProof/>
          <w:lang w:val="en-IE"/>
        </w:rPr>
        <w:t xml:space="preserve">In 2021, the TSI supported Member States’ efforts to design and implement resilience enhancing reforms. It also contributed to the EU’s recovery from the COVID-19 crisis, improving the quality of public services and helping to get the Member States back on the path of sustainable and inclusive growth. </w:t>
      </w:r>
    </w:p>
    <w:p w14:paraId="1469C00B" w14:textId="77777777" w:rsidR="00CF73AC" w:rsidRPr="002F2B26" w:rsidRDefault="00CF73AC" w:rsidP="00CF73AC">
      <w:pPr>
        <w:pStyle w:val="ppoListHyphened-L1"/>
        <w:rPr>
          <w:noProof/>
          <w:lang w:val="en-IE"/>
        </w:rPr>
      </w:pPr>
      <w:r w:rsidRPr="002F2B26">
        <w:rPr>
          <w:noProof/>
          <w:lang w:val="en-IE"/>
        </w:rPr>
        <w:t>The TSI is also an important pillar of the recovery plan for Europe, the EU’s initiative to help Member States mitigate the economic and social consequences of the COVID-19 crisis. The TSI directly supports Member States for the implementation of their recovery and resilience plans .</w:t>
      </w:r>
    </w:p>
    <w:p w14:paraId="37F91A26" w14:textId="77777777" w:rsidR="00CF73AC" w:rsidRPr="002F2B26" w:rsidRDefault="00CF73AC" w:rsidP="00CF73AC">
      <w:pPr>
        <w:pStyle w:val="ppoListHyphened-L1"/>
        <w:rPr>
          <w:noProof/>
          <w:lang w:val="en-IE"/>
        </w:rPr>
      </w:pPr>
      <w:r w:rsidRPr="002F2B26">
        <w:rPr>
          <w:noProof/>
          <w:lang w:val="en-IE"/>
        </w:rPr>
        <w:t xml:space="preserve">Beyond the recovery and resilience plans, </w:t>
      </w:r>
      <w:bookmarkStart w:id="103" w:name="_Hlk101768987"/>
      <w:r w:rsidRPr="00DD19FA">
        <w:rPr>
          <w:noProof/>
          <w:lang w:val="en-IE"/>
        </w:rPr>
        <w:t>DG Structural Reform Support</w:t>
      </w:r>
      <w:r w:rsidRPr="002F2B26" w:rsidDel="000A70C7">
        <w:rPr>
          <w:noProof/>
          <w:lang w:val="en-IE"/>
        </w:rPr>
        <w:t xml:space="preserve"> </w:t>
      </w:r>
      <w:bookmarkEnd w:id="103"/>
      <w:r w:rsidRPr="002F2B26">
        <w:rPr>
          <w:noProof/>
          <w:lang w:val="en-IE"/>
        </w:rPr>
        <w:t>continued to support Member States in the implementation of key EU priorities such as the green and digital transitions. In addition to the traditional technical support under the TSI, some Member States have asked for further support through the transfer of national funds.</w:t>
      </w:r>
    </w:p>
    <w:p w14:paraId="6A6CE776" w14:textId="77777777" w:rsidR="00CF73AC" w:rsidRPr="002F2B26" w:rsidRDefault="00CF73AC" w:rsidP="00CF73AC">
      <w:pPr>
        <w:pStyle w:val="ppoListHyphened-L1"/>
        <w:rPr>
          <w:noProof/>
          <w:lang w:val="en-IE"/>
        </w:rPr>
      </w:pPr>
      <w:r w:rsidRPr="002F2B26">
        <w:rPr>
          <w:noProof/>
          <w:lang w:val="en-IE"/>
        </w:rPr>
        <w:t>As a result of the TSI 2022 round, 27 Member States submitted 512 requests for support with a total estimated value of EUR</w:t>
      </w:r>
      <w:r w:rsidRPr="002F2B26">
        <w:rPr>
          <w:rFonts w:ascii="Calibri" w:hAnsi="Calibri" w:cs="Calibri"/>
          <w:noProof/>
          <w:lang w:val="en-IE"/>
        </w:rPr>
        <w:t> </w:t>
      </w:r>
      <w:r w:rsidRPr="002F2B26">
        <w:rPr>
          <w:noProof/>
          <w:lang w:val="en-IE"/>
        </w:rPr>
        <w:t>230</w:t>
      </w:r>
      <w:r w:rsidRPr="002F2B26">
        <w:rPr>
          <w:rFonts w:ascii="Calibri" w:hAnsi="Calibri" w:cs="Calibri"/>
          <w:noProof/>
          <w:lang w:val="en-IE"/>
        </w:rPr>
        <w:t> </w:t>
      </w:r>
      <w:r w:rsidRPr="002F2B26">
        <w:rPr>
          <w:noProof/>
          <w:lang w:val="en-IE"/>
        </w:rPr>
        <w:t>million. DG Structural Reform Support</w:t>
      </w:r>
      <w:r w:rsidRPr="002F2B26" w:rsidDel="000A70C7">
        <w:rPr>
          <w:noProof/>
          <w:lang w:val="en-IE"/>
        </w:rPr>
        <w:t xml:space="preserve"> </w:t>
      </w:r>
      <w:r w:rsidRPr="002F2B26">
        <w:rPr>
          <w:noProof/>
          <w:lang w:val="en-IE"/>
        </w:rPr>
        <w:t xml:space="preserve">identified 176 projects for funding covering 225 selected technical support requests. The selection followed a thorough prioritisation exercise carried out according to the TSI regulation and a wide consultation of 24 Commission departments to find synergies and complementarities and avoid overlaps with other programmes. </w:t>
      </w:r>
    </w:p>
    <w:p w14:paraId="6EF89AE4" w14:textId="77777777" w:rsidR="00CF73AC" w:rsidRPr="002F2B26" w:rsidRDefault="00CF73AC" w:rsidP="00CF73AC">
      <w:pPr>
        <w:pStyle w:val="ppoListHyphened-L1"/>
        <w:rPr>
          <w:noProof/>
          <w:lang w:val="en-IE"/>
        </w:rPr>
      </w:pPr>
      <w:r w:rsidRPr="002F2B26">
        <w:rPr>
          <w:noProof/>
          <w:lang w:val="en-IE"/>
        </w:rPr>
        <w:t>The high satisfaction feedback provided by Member States’ coordinating authorities is a recognition of DG Structural Reform Support’s work.</w:t>
      </w:r>
    </w:p>
    <w:p w14:paraId="525B14CA" w14:textId="77777777" w:rsidR="00CF73AC" w:rsidRPr="002F2B26" w:rsidRDefault="00CF73AC" w:rsidP="00CF73AC">
      <w:pPr>
        <w:pStyle w:val="ppoListHyphened-L1"/>
        <w:rPr>
          <w:noProof/>
          <w:lang w:val="en-IE"/>
        </w:rPr>
      </w:pPr>
      <w:r w:rsidRPr="002F2B26">
        <w:rPr>
          <w:noProof/>
          <w:lang w:val="en-IE"/>
        </w:rPr>
        <w:t xml:space="preserve">In 2021, the Commission also developed a robust set of communication initiatives to put the TSI under the spotlight, such as the organisation of a </w:t>
      </w:r>
      <w:hyperlink r:id="rId230" w:history="1">
        <w:r w:rsidRPr="002F2B26">
          <w:rPr>
            <w:rStyle w:val="Hyperlink"/>
            <w:noProof/>
            <w:lang w:val="en-IE"/>
          </w:rPr>
          <w:t>high-level conference</w:t>
        </w:r>
      </w:hyperlink>
      <w:r w:rsidRPr="002F2B26">
        <w:rPr>
          <w:noProof/>
          <w:lang w:val="en-IE"/>
        </w:rPr>
        <w:t xml:space="preserve"> for the launch of the TSI 2022 call or the creation of a new </w:t>
      </w:r>
      <w:hyperlink r:id="rId231" w:history="1">
        <w:r w:rsidRPr="002F2B26">
          <w:rPr>
            <w:rStyle w:val="Hyperlink"/>
            <w:noProof/>
            <w:lang w:val="en-IE"/>
          </w:rPr>
          <w:t>reform support website</w:t>
        </w:r>
      </w:hyperlink>
      <w:r w:rsidRPr="002F2B26">
        <w:rPr>
          <w:noProof/>
          <w:lang w:val="en-IE"/>
        </w:rPr>
        <w:t xml:space="preserve">. </w:t>
      </w:r>
    </w:p>
    <w:p w14:paraId="0B395BE2" w14:textId="77777777" w:rsidR="00CF73AC" w:rsidRPr="002F2B26" w:rsidRDefault="00CF73AC" w:rsidP="00CF73AC">
      <w:pPr>
        <w:pStyle w:val="ppoListHyphened-L1"/>
        <w:rPr>
          <w:noProof/>
          <w:lang w:val="en-IE"/>
        </w:rPr>
      </w:pPr>
      <w:r w:rsidRPr="002F2B26">
        <w:rPr>
          <w:noProof/>
          <w:lang w:val="en-IE"/>
        </w:rPr>
        <w:t xml:space="preserve">The TSI has supported Member States in the field of </w:t>
      </w:r>
      <w:r w:rsidRPr="002F2B26">
        <w:rPr>
          <w:bCs/>
          <w:noProof/>
          <w:lang w:val="en-IE"/>
        </w:rPr>
        <w:t>migration by</w:t>
      </w:r>
      <w:r w:rsidRPr="002F2B26">
        <w:rPr>
          <w:noProof/>
          <w:lang w:val="en-IE"/>
        </w:rPr>
        <w:t xml:space="preserve"> helping several public administrations to build their institutional and operational capacity to integrate migrants and refugees, with a view to boost their integration in the labour market or into society.</w:t>
      </w:r>
    </w:p>
    <w:p w14:paraId="3286A00E" w14:textId="77777777" w:rsidR="00CF73AC" w:rsidRPr="002F2B26" w:rsidRDefault="00CF73AC" w:rsidP="00CF73AC">
      <w:pPr>
        <w:pStyle w:val="ppoListHyphened-L1"/>
        <w:rPr>
          <w:noProof/>
          <w:lang w:val="en-IE"/>
        </w:rPr>
      </w:pPr>
      <w:r w:rsidRPr="002F2B26">
        <w:rPr>
          <w:noProof/>
          <w:lang w:val="en-IE"/>
        </w:rPr>
        <w:t>The TSI has supported Member States in the field of public financial management, by helping them improve the efficiency and effectiveness of their public expenditure policies, mainly through support for the design, conduct and institutionalisation of spending reviews.</w:t>
      </w:r>
    </w:p>
    <w:p w14:paraId="71B70057" w14:textId="77777777" w:rsidR="00CF73AC" w:rsidRPr="002F2B26" w:rsidRDefault="00CF73AC" w:rsidP="00CF73AC">
      <w:pPr>
        <w:pStyle w:val="ppoListHyphened-L1"/>
        <w:rPr>
          <w:noProof/>
          <w:lang w:val="en-IE"/>
        </w:rPr>
      </w:pPr>
      <w:r w:rsidRPr="002F2B26">
        <w:rPr>
          <w:noProof/>
          <w:lang w:val="en-IE"/>
        </w:rPr>
        <w:t xml:space="preserve">The TSI has supported Member States in the field of revenue administration, by helping them to boost the capacity of their tax and customs administrations. This support addressed a broad range of activities, including core information technology and business processes, taxpayer services, customs control activities and strategic and managerial functions. </w:t>
      </w:r>
    </w:p>
    <w:p w14:paraId="1494FFD8" w14:textId="77777777" w:rsidR="00CF73AC" w:rsidRPr="002F2B26" w:rsidRDefault="00CF73AC" w:rsidP="00CF73AC">
      <w:pPr>
        <w:pStyle w:val="ppoListHyphened-L1"/>
        <w:rPr>
          <w:noProof/>
          <w:lang w:val="en-IE"/>
        </w:rPr>
      </w:pPr>
      <w:r w:rsidRPr="002F2B26">
        <w:rPr>
          <w:noProof/>
          <w:lang w:val="en-IE"/>
        </w:rPr>
        <w:t xml:space="preserve">The TSI also helped to strengthen the green and digital transition in the Member States. In 2021 there was a substantial increase in Member State demand for support in the area of e-Government and </w:t>
      </w:r>
      <w:r w:rsidRPr="002F2B26">
        <w:rPr>
          <w:bCs/>
          <w:noProof/>
          <w:lang w:val="en-IE"/>
        </w:rPr>
        <w:t>digital public administration</w:t>
      </w:r>
      <w:r w:rsidRPr="002F2B26">
        <w:rPr>
          <w:noProof/>
          <w:lang w:val="en-IE"/>
        </w:rPr>
        <w:t xml:space="preserve">, particularly following the impact of COVID-19 pandemic. </w:t>
      </w:r>
    </w:p>
    <w:p w14:paraId="3327CD39" w14:textId="77777777" w:rsidR="00CF73AC" w:rsidRPr="002F2B26" w:rsidRDefault="00CF73AC" w:rsidP="00CF73AC">
      <w:pPr>
        <w:pStyle w:val="ppoListHyphened-L1"/>
        <w:rPr>
          <w:noProof/>
          <w:lang w:val="en-IE"/>
        </w:rPr>
      </w:pPr>
      <w:r w:rsidRPr="002F2B26">
        <w:rPr>
          <w:noProof/>
          <w:lang w:val="en-IE"/>
        </w:rPr>
        <w:t xml:space="preserve">It further included support to Member States in the area of </w:t>
      </w:r>
      <w:r w:rsidRPr="002F2B26">
        <w:rPr>
          <w:bCs/>
          <w:noProof/>
          <w:lang w:val="en-IE"/>
        </w:rPr>
        <w:t>climate change mitigation and adaptation</w:t>
      </w:r>
      <w:r w:rsidRPr="002F2B26">
        <w:rPr>
          <w:noProof/>
          <w:lang w:val="en-IE"/>
        </w:rPr>
        <w:t>,</w:t>
      </w:r>
      <w:r w:rsidRPr="002F2B26">
        <w:rPr>
          <w:b/>
          <w:noProof/>
          <w:lang w:val="en-IE"/>
        </w:rPr>
        <w:t xml:space="preserve"> </w:t>
      </w:r>
      <w:r w:rsidRPr="002F2B26">
        <w:rPr>
          <w:noProof/>
          <w:lang w:val="en-IE"/>
        </w:rPr>
        <w:t>including for the preparation of a long-term climate mitigation strategies. The support extended to disaster risk management, such as prevention of floods and wildfires. In addition, in the energy sector TSI supported setting up of a national decarbonisation fund to improve access to financing for the energy renovation of buildings.</w:t>
      </w:r>
    </w:p>
    <w:p w14:paraId="18F8CFB0" w14:textId="77777777" w:rsidR="00CF73AC" w:rsidRPr="002F2B26" w:rsidRDefault="00CF73AC" w:rsidP="00CF73AC">
      <w:pPr>
        <w:pStyle w:val="ppoListHyphened-L1"/>
        <w:rPr>
          <w:noProof/>
          <w:lang w:val="en-IE"/>
        </w:rPr>
      </w:pPr>
      <w:r w:rsidRPr="002F2B26">
        <w:rPr>
          <w:noProof/>
          <w:lang w:val="en-IE"/>
        </w:rPr>
        <w:t xml:space="preserve">In fact, under TSI 2021, one in three projects, or over 100 projects in total, contributed to the objectives of the </w:t>
      </w:r>
      <w:r w:rsidRPr="002F2B26">
        <w:rPr>
          <w:bCs/>
          <w:noProof/>
          <w:lang w:val="en-IE"/>
        </w:rPr>
        <w:t>European Green Deal. In addition to climate</w:t>
      </w:r>
      <w:r w:rsidRPr="002F2B26">
        <w:rPr>
          <w:bCs/>
          <w:noProof/>
          <w:lang w:val="en-IE"/>
        </w:rPr>
        <w:noBreakHyphen/>
        <w:t>relevant reforms, the Commission supported some Member States with draft plans or strategies for improving</w:t>
      </w:r>
      <w:r w:rsidRPr="002F2B26">
        <w:rPr>
          <w:rFonts w:ascii="EC Square Sans Cond Pro" w:hAnsi="EC Square Sans Cond Pro"/>
          <w:noProof/>
          <w:lang w:val="en-IE"/>
        </w:rPr>
        <w:t xml:space="preserve"> </w:t>
      </w:r>
      <w:r w:rsidRPr="002F2B26">
        <w:rPr>
          <w:noProof/>
          <w:lang w:val="en-IE"/>
        </w:rPr>
        <w:t>waste management, transitioning towards circular economy, and improving water cycles.</w:t>
      </w:r>
    </w:p>
    <w:p w14:paraId="1E498630" w14:textId="77777777" w:rsidR="001D0AB7" w:rsidRDefault="00CF73AC" w:rsidP="00AF1C52">
      <w:pPr>
        <w:pStyle w:val="ppoListHyphened-L1"/>
        <w:spacing w:after="160" w:line="259" w:lineRule="auto"/>
        <w:rPr>
          <w:noProof/>
          <w:lang w:val="en-IE"/>
        </w:rPr>
        <w:sectPr w:rsidR="001D0AB7" w:rsidSect="00D40083">
          <w:headerReference w:type="even" r:id="rId232"/>
          <w:headerReference w:type="default" r:id="rId233"/>
          <w:footerReference w:type="even" r:id="rId234"/>
          <w:footerReference w:type="default" r:id="rId235"/>
          <w:headerReference w:type="first" r:id="rId236"/>
          <w:footerReference w:type="first" r:id="rId237"/>
          <w:pgSz w:w="11906" w:h="16838" w:code="9"/>
          <w:pgMar w:top="1134" w:right="1134" w:bottom="964" w:left="1134" w:header="431" w:footer="431" w:gutter="0"/>
          <w:cols w:space="720"/>
          <w:titlePg/>
          <w:docGrid w:linePitch="360"/>
        </w:sectPr>
      </w:pPr>
      <w:r w:rsidRPr="001D0AB7">
        <w:rPr>
          <w:noProof/>
          <w:lang w:val="en-IE"/>
        </w:rPr>
        <w:t>Of particular importance was the TSI support for the national recovery and resilience plans under the Recovery and Resilience Facility. Around 60% of the projects selected in TSI 2021 have contributed to either the preparation or implementation of the recovery and resilience plans. In particular, 120 projects related to the implementation of thematic reforms and in investments in the recovery and resilience plans, while 11 additional projects concerned general support for the overall preparation or implementation of the recovery and resilience plans funded under the programme or through the transfer of national funds.</w:t>
      </w:r>
    </w:p>
    <w:p w14:paraId="3837B836" w14:textId="77777777" w:rsidR="001D0AB7" w:rsidRPr="00ED7CA4" w:rsidRDefault="001D0AB7" w:rsidP="001D0AB7">
      <w:pPr>
        <w:pStyle w:val="StyleppoHeading3WhiteLeft0cm"/>
        <w:rPr>
          <w:noProof/>
          <w:sz w:val="40"/>
          <w:szCs w:val="40"/>
        </w:rPr>
      </w:pPr>
    </w:p>
    <w:p w14:paraId="4CA2B6B9" w14:textId="77777777" w:rsidR="001D0AB7" w:rsidRPr="006C67B8" w:rsidRDefault="001D0AB7" w:rsidP="001D0AB7">
      <w:pPr>
        <w:pStyle w:val="StyleppoHeading3WhiteLeft0cm"/>
        <w:rPr>
          <w:noProof/>
          <w:sz w:val="60"/>
          <w:szCs w:val="60"/>
        </w:rPr>
      </w:pPr>
      <w:bookmarkStart w:id="104" w:name="_Toc102086345"/>
      <w:r w:rsidRPr="006C67B8">
        <w:rPr>
          <w:noProof/>
          <w:sz w:val="60"/>
          <w:szCs w:val="60"/>
        </w:rPr>
        <w:t>P</w:t>
      </w:r>
      <w:r>
        <w:rPr>
          <w:noProof/>
          <w:sz w:val="60"/>
          <w:szCs w:val="60"/>
        </w:rPr>
        <w:t>ERICLES</w:t>
      </w:r>
      <w:r>
        <w:rPr>
          <w:rFonts w:ascii="Calibri" w:hAnsi="Calibri" w:cs="Calibri"/>
          <w:noProof/>
          <w:sz w:val="60"/>
          <w:szCs w:val="60"/>
        </w:rPr>
        <w:t> </w:t>
      </w:r>
      <w:r w:rsidRPr="006C67B8">
        <w:rPr>
          <w:noProof/>
          <w:sz w:val="60"/>
          <w:szCs w:val="60"/>
        </w:rPr>
        <w:t>IV</w:t>
      </w:r>
      <w:bookmarkEnd w:id="104"/>
    </w:p>
    <w:p w14:paraId="1948BF83" w14:textId="4D0ACB45" w:rsidR="001D0AB7" w:rsidRDefault="001D0AB7" w:rsidP="001D0AB7">
      <w:pPr>
        <w:pStyle w:val="StyleppoProgrammenameWhiteLeft01cm"/>
        <w:rPr>
          <w:noProof/>
        </w:rPr>
      </w:pPr>
      <w:r>
        <w:rPr>
          <w:noProof/>
        </w:rPr>
        <w:t>EXCHANGE, ASSISTANCE AND TRAINING PROGRAMME FOR THE PROTECTION OF THE EURO AGAINST COUNTERFEITING</w:t>
      </w:r>
    </w:p>
    <w:p w14:paraId="16E7B213" w14:textId="77777777" w:rsidR="001D0AB7" w:rsidRPr="00351CB7" w:rsidRDefault="001D0AB7" w:rsidP="001D0AB7">
      <w:pPr>
        <w:pStyle w:val="ppoHeading4Green"/>
        <w:rPr>
          <w:noProof/>
        </w:rPr>
      </w:pPr>
      <w:r w:rsidRPr="00351CB7">
        <w:rPr>
          <w:noProof/>
        </w:rPr>
        <w:t>Programme in a nutshell</w:t>
      </w:r>
    </w:p>
    <w:p w14:paraId="185687F9" w14:textId="77777777" w:rsidR="001D0AB7" w:rsidRPr="00040D99" w:rsidRDefault="001D0AB7" w:rsidP="001D0AB7">
      <w:pPr>
        <w:pStyle w:val="ppoHeading5"/>
        <w:rPr>
          <w:noProof/>
        </w:rPr>
      </w:pPr>
      <w:r w:rsidRPr="00040D99">
        <w:rPr>
          <w:noProof/>
        </w:rPr>
        <w:t>Concrete examples of achievements</w:t>
      </w:r>
    </w:p>
    <w:tbl>
      <w:tblPr>
        <w:tblStyle w:val="PPO2021"/>
        <w:tblW w:w="9639" w:type="dxa"/>
        <w:tblInd w:w="0" w:type="dxa"/>
        <w:tblLook w:val="0200" w:firstRow="0" w:lastRow="0" w:firstColumn="0" w:lastColumn="0" w:noHBand="1" w:noVBand="0"/>
      </w:tblPr>
      <w:tblGrid>
        <w:gridCol w:w="2410"/>
        <w:gridCol w:w="2409"/>
        <w:gridCol w:w="2410"/>
        <w:gridCol w:w="2410"/>
      </w:tblGrid>
      <w:tr w:rsidR="001D0AB7" w:rsidRPr="00040D99" w14:paraId="42B53780" w14:textId="77777777" w:rsidTr="00AF1C52">
        <w:tc>
          <w:tcPr>
            <w:tcW w:w="2410" w:type="dxa"/>
          </w:tcPr>
          <w:p w14:paraId="4AAB0BB6" w14:textId="77777777" w:rsidR="001D0AB7" w:rsidRPr="002B2DFB" w:rsidRDefault="001D0AB7" w:rsidP="00AF1C52">
            <w:pPr>
              <w:pStyle w:val="ppoTableacheivementvalue"/>
              <w:rPr>
                <w:noProof/>
              </w:rPr>
            </w:pPr>
            <w:r w:rsidRPr="002B2DFB">
              <w:rPr>
                <w:noProof/>
              </w:rPr>
              <w:t>347</w:t>
            </w:r>
            <w:r w:rsidRPr="002B2DFB">
              <w:rPr>
                <w:rFonts w:ascii="Calibri" w:hAnsi="Calibri" w:cs="Calibri"/>
                <w:noProof/>
              </w:rPr>
              <w:t> </w:t>
            </w:r>
            <w:r w:rsidRPr="002B2DFB">
              <w:rPr>
                <w:noProof/>
              </w:rPr>
              <w:t>000</w:t>
            </w:r>
          </w:p>
          <w:p w14:paraId="1EED1E0F" w14:textId="77777777" w:rsidR="001D0AB7" w:rsidRPr="0076270C" w:rsidRDefault="001D0AB7" w:rsidP="00962E3C">
            <w:pPr>
              <w:jc w:val="left"/>
              <w:rPr>
                <w:noProof/>
              </w:rPr>
            </w:pPr>
            <w:r w:rsidRPr="00D81223">
              <w:rPr>
                <w:noProof/>
              </w:rPr>
              <w:t>counterfeit euro banknotes were detected in 2021</w:t>
            </w:r>
            <w:r>
              <w:rPr>
                <w:rFonts w:ascii="Calibri" w:hAnsi="Calibri" w:cs="Calibri"/>
                <w:noProof/>
              </w:rPr>
              <w:t> </w:t>
            </w:r>
            <w:r w:rsidRPr="00D81223">
              <w:rPr>
                <w:noProof/>
              </w:rPr>
              <w:t>(</w:t>
            </w:r>
            <w:r>
              <w:rPr>
                <w:noProof/>
              </w:rPr>
              <w:t>*</w:t>
            </w:r>
            <w:r w:rsidRPr="00D81223">
              <w:rPr>
                <w:noProof/>
              </w:rPr>
              <w:t>)</w:t>
            </w:r>
            <w:r w:rsidRPr="0076270C">
              <w:rPr>
                <w:noProof/>
              </w:rPr>
              <w:t>.</w:t>
            </w:r>
          </w:p>
        </w:tc>
        <w:tc>
          <w:tcPr>
            <w:cnfStyle w:val="000001000000" w:firstRow="0" w:lastRow="0" w:firstColumn="0" w:lastColumn="0" w:oddVBand="0" w:evenVBand="1" w:oddHBand="0" w:evenHBand="0" w:firstRowFirstColumn="0" w:firstRowLastColumn="0" w:lastRowFirstColumn="0" w:lastRowLastColumn="0"/>
            <w:tcW w:w="2409" w:type="dxa"/>
          </w:tcPr>
          <w:p w14:paraId="09A6F03B" w14:textId="77777777" w:rsidR="001D0AB7" w:rsidRPr="0076270C" w:rsidRDefault="001D0AB7" w:rsidP="00AF1C52">
            <w:pPr>
              <w:pStyle w:val="ppoTableacheivementvalue"/>
              <w:rPr>
                <w:noProof/>
              </w:rPr>
            </w:pPr>
            <w:r>
              <w:rPr>
                <w:noProof/>
              </w:rPr>
              <w:t>195</w:t>
            </w:r>
            <w:r w:rsidRPr="00CF07A3">
              <w:rPr>
                <w:rFonts w:ascii="Calibri" w:hAnsi="Calibri" w:cs="Calibri"/>
                <w:noProof/>
              </w:rPr>
              <w:t> </w:t>
            </w:r>
            <w:r>
              <w:rPr>
                <w:noProof/>
              </w:rPr>
              <w:t>082</w:t>
            </w:r>
          </w:p>
          <w:p w14:paraId="645AC58C" w14:textId="77777777" w:rsidR="001D0AB7" w:rsidRPr="0076270C" w:rsidRDefault="001D0AB7" w:rsidP="00962E3C">
            <w:pPr>
              <w:jc w:val="left"/>
              <w:rPr>
                <w:noProof/>
              </w:rPr>
            </w:pPr>
            <w:r w:rsidRPr="00D81223">
              <w:rPr>
                <w:noProof/>
              </w:rPr>
              <w:t>counterfeit euro coins were detected in 2021</w:t>
            </w:r>
            <w:r>
              <w:rPr>
                <w:rFonts w:ascii="Calibri" w:hAnsi="Calibri" w:cs="Calibri"/>
                <w:noProof/>
              </w:rPr>
              <w:t> </w:t>
            </w:r>
            <w:r w:rsidRPr="00D81223">
              <w:rPr>
                <w:noProof/>
              </w:rPr>
              <w:t>(</w:t>
            </w:r>
            <w:r>
              <w:rPr>
                <w:noProof/>
              </w:rPr>
              <w:t>*</w:t>
            </w:r>
            <w:r w:rsidRPr="00D81223">
              <w:rPr>
                <w:noProof/>
              </w:rPr>
              <w:t>)</w:t>
            </w:r>
            <w:r w:rsidRPr="0076270C">
              <w:rPr>
                <w:noProof/>
              </w:rPr>
              <w:t>.</w:t>
            </w:r>
          </w:p>
        </w:tc>
        <w:tc>
          <w:tcPr>
            <w:tcW w:w="2410" w:type="dxa"/>
            <w:tcBorders>
              <w:bottom w:val="single" w:sz="4" w:space="0" w:color="8C8C8C"/>
            </w:tcBorders>
          </w:tcPr>
          <w:p w14:paraId="09597BF5" w14:textId="77777777" w:rsidR="001D0AB7" w:rsidRPr="0076270C" w:rsidRDefault="001D0AB7" w:rsidP="00AF1C52">
            <w:pPr>
              <w:pStyle w:val="ppoTableacheivementvalue"/>
              <w:cnfStyle w:val="000000000000" w:firstRow="0" w:lastRow="0" w:firstColumn="0" w:lastColumn="0" w:oddVBand="0" w:evenVBand="0" w:oddHBand="0" w:evenHBand="0" w:firstRowFirstColumn="0" w:firstRowLastColumn="0" w:lastRowFirstColumn="0" w:lastRowLastColumn="0"/>
              <w:rPr>
                <w:noProof/>
              </w:rPr>
            </w:pPr>
            <w:r>
              <w:rPr>
                <w:noProof/>
              </w:rPr>
              <w:t>11</w:t>
            </w:r>
          </w:p>
          <w:p w14:paraId="48F50F4A" w14:textId="77777777" w:rsidR="001D0AB7" w:rsidRPr="0076270C" w:rsidRDefault="001D0AB7" w:rsidP="00962E3C">
            <w:pPr>
              <w:jc w:val="left"/>
              <w:cnfStyle w:val="000000000000" w:firstRow="0" w:lastRow="0" w:firstColumn="0" w:lastColumn="0" w:oddVBand="0" w:evenVBand="0" w:oddHBand="0" w:evenHBand="0" w:firstRowFirstColumn="0" w:firstRowLastColumn="0" w:lastRowFirstColumn="0" w:lastRowLastColumn="0"/>
              <w:rPr>
                <w:noProof/>
              </w:rPr>
            </w:pPr>
            <w:r w:rsidRPr="00D60953">
              <w:rPr>
                <w:noProof/>
              </w:rPr>
              <w:t>illegal workshops (mints and print shops) were dismantled in 2021</w:t>
            </w:r>
            <w:r>
              <w:rPr>
                <w:rFonts w:ascii="Calibri" w:hAnsi="Calibri" w:cs="Calibri"/>
                <w:noProof/>
              </w:rPr>
              <w:t> </w:t>
            </w:r>
            <w:r w:rsidRPr="00D81223">
              <w:rPr>
                <w:noProof/>
              </w:rPr>
              <w:t>(</w:t>
            </w:r>
            <w:r>
              <w:rPr>
                <w:noProof/>
              </w:rPr>
              <w:t>*</w:t>
            </w:r>
            <w:r w:rsidRPr="00D81223">
              <w:rPr>
                <w:noProof/>
              </w:rPr>
              <w:t>)</w:t>
            </w:r>
            <w:r w:rsidRPr="0076270C">
              <w:rPr>
                <w:noProof/>
              </w:rPr>
              <w:t>.</w:t>
            </w:r>
          </w:p>
        </w:tc>
        <w:tc>
          <w:tcPr>
            <w:cnfStyle w:val="000001000000" w:firstRow="0" w:lastRow="0" w:firstColumn="0" w:lastColumn="0" w:oddVBand="0" w:evenVBand="1" w:oddHBand="0" w:evenHBand="0" w:firstRowFirstColumn="0" w:firstRowLastColumn="0" w:lastRowFirstColumn="0" w:lastRowLastColumn="0"/>
            <w:tcW w:w="2410" w:type="dxa"/>
          </w:tcPr>
          <w:p w14:paraId="7C5866F1" w14:textId="77777777" w:rsidR="001D0AB7" w:rsidRPr="0076270C" w:rsidRDefault="001D0AB7" w:rsidP="00AF1C52">
            <w:pPr>
              <w:pStyle w:val="ppoTableacheivementvalue"/>
              <w:rPr>
                <w:noProof/>
              </w:rPr>
            </w:pPr>
            <w:r>
              <w:rPr>
                <w:noProof/>
              </w:rPr>
              <w:t>5</w:t>
            </w:r>
          </w:p>
          <w:p w14:paraId="66721C51" w14:textId="77777777" w:rsidR="001D0AB7" w:rsidRPr="0076270C" w:rsidRDefault="001D0AB7" w:rsidP="00962E3C">
            <w:pPr>
              <w:jc w:val="left"/>
              <w:rPr>
                <w:noProof/>
              </w:rPr>
            </w:pPr>
            <w:r>
              <w:rPr>
                <w:noProof/>
              </w:rPr>
              <w:t>c</w:t>
            </w:r>
            <w:r w:rsidRPr="00D81223">
              <w:rPr>
                <w:noProof/>
              </w:rPr>
              <w:t xml:space="preserve">ompetent authorities applied to the </w:t>
            </w:r>
            <w:r>
              <w:rPr>
                <w:noProof/>
              </w:rPr>
              <w:t>p</w:t>
            </w:r>
            <w:r w:rsidRPr="00D81223">
              <w:rPr>
                <w:noProof/>
              </w:rPr>
              <w:t>rogramme in 2021</w:t>
            </w:r>
            <w:r>
              <w:rPr>
                <w:noProof/>
              </w:rPr>
              <w:t>.</w:t>
            </w:r>
          </w:p>
        </w:tc>
      </w:tr>
      <w:tr w:rsidR="001D0AB7" w:rsidRPr="00040D99" w14:paraId="7CC383C7" w14:textId="77777777" w:rsidTr="00AD7F08">
        <w:tc>
          <w:tcPr>
            <w:tcW w:w="2410" w:type="dxa"/>
          </w:tcPr>
          <w:p w14:paraId="3D1F0ECE" w14:textId="77777777" w:rsidR="001D0AB7" w:rsidRPr="0076270C" w:rsidRDefault="001D0AB7" w:rsidP="00AF1C52">
            <w:pPr>
              <w:pStyle w:val="ppoTableacheivementvalue"/>
              <w:rPr>
                <w:noProof/>
              </w:rPr>
            </w:pPr>
            <w:r>
              <w:rPr>
                <w:noProof/>
              </w:rPr>
              <w:t>98.4%</w:t>
            </w:r>
          </w:p>
          <w:p w14:paraId="6B87BE7D" w14:textId="77777777" w:rsidR="001D0AB7" w:rsidRPr="0076270C" w:rsidRDefault="001D0AB7" w:rsidP="00962E3C">
            <w:pPr>
              <w:jc w:val="left"/>
              <w:rPr>
                <w:noProof/>
              </w:rPr>
            </w:pPr>
            <w:r w:rsidRPr="00D81223">
              <w:rPr>
                <w:noProof/>
              </w:rPr>
              <w:t>of respondents across actions indicate</w:t>
            </w:r>
            <w:r>
              <w:rPr>
                <w:noProof/>
              </w:rPr>
              <w:t>d</w:t>
            </w:r>
            <w:r w:rsidRPr="00D81223">
              <w:rPr>
                <w:noProof/>
              </w:rPr>
              <w:t xml:space="preserve"> being satisfied or highly satisfied</w:t>
            </w:r>
            <w:r w:rsidRPr="0076270C">
              <w:rPr>
                <w:noProof/>
              </w:rPr>
              <w:t>.</w:t>
            </w:r>
          </w:p>
        </w:tc>
        <w:tc>
          <w:tcPr>
            <w:cnfStyle w:val="000001000000" w:firstRow="0" w:lastRow="0" w:firstColumn="0" w:lastColumn="0" w:oddVBand="0" w:evenVBand="1" w:oddHBand="0" w:evenHBand="0" w:firstRowFirstColumn="0" w:firstRowLastColumn="0" w:lastRowFirstColumn="0" w:lastRowLastColumn="0"/>
            <w:tcW w:w="2409" w:type="dxa"/>
            <w:tcBorders>
              <w:bottom w:val="single" w:sz="4" w:space="0" w:color="B5B5B5" w:themeColor="background2" w:themeShade="BF"/>
            </w:tcBorders>
            <w:shd w:val="clear" w:color="auto" w:fill="F2F2F2"/>
          </w:tcPr>
          <w:p w14:paraId="51A3B074" w14:textId="77777777" w:rsidR="001D0AB7" w:rsidRPr="0076270C" w:rsidRDefault="001D0AB7" w:rsidP="00AF1C52">
            <w:pPr>
              <w:pStyle w:val="ppoTableacheivementvalue"/>
              <w:rPr>
                <w:noProof/>
              </w:rPr>
            </w:pPr>
            <w:r>
              <w:rPr>
                <w:noProof/>
              </w:rPr>
              <w:t>95.8%</w:t>
            </w:r>
          </w:p>
          <w:p w14:paraId="0FB5337A" w14:textId="77777777" w:rsidR="001D0AB7" w:rsidRPr="0076270C" w:rsidRDefault="001D0AB7" w:rsidP="00962E3C">
            <w:pPr>
              <w:jc w:val="left"/>
              <w:rPr>
                <w:noProof/>
              </w:rPr>
            </w:pPr>
            <w:r w:rsidRPr="00D81223">
              <w:rPr>
                <w:noProof/>
              </w:rPr>
              <w:t xml:space="preserve">of respondents </w:t>
            </w:r>
            <w:r>
              <w:rPr>
                <w:noProof/>
              </w:rPr>
              <w:t>across actions indicated that the p</w:t>
            </w:r>
            <w:r w:rsidRPr="00D81223">
              <w:rPr>
                <w:noProof/>
              </w:rPr>
              <w:t>rogramme has a moderate or high impact on their activities in protecting the euro against counterfeiting</w:t>
            </w:r>
            <w:r>
              <w:rPr>
                <w:noProof/>
              </w:rPr>
              <w:t>.</w:t>
            </w:r>
          </w:p>
        </w:tc>
        <w:tc>
          <w:tcPr>
            <w:tcW w:w="2410" w:type="dxa"/>
            <w:tcBorders>
              <w:bottom w:val="nil"/>
            </w:tcBorders>
            <w:shd w:val="clear" w:color="auto" w:fill="FFFFFF" w:themeFill="background1"/>
          </w:tcPr>
          <w:p w14:paraId="358480EC" w14:textId="77777777" w:rsidR="001D0AB7" w:rsidRPr="0076270C" w:rsidRDefault="001D0AB7" w:rsidP="00AF1C52">
            <w:pPr>
              <w:cnfStyle w:val="000000000000" w:firstRow="0" w:lastRow="0" w:firstColumn="0" w:lastColumn="0" w:oddVBand="0" w:evenVBand="0" w:oddHBand="0" w:evenHBand="0" w:firstRowFirstColumn="0" w:firstRowLastColumn="0" w:lastRowFirstColumn="0" w:lastRowLastColumn="0"/>
              <w:rPr>
                <w:noProof/>
              </w:rPr>
            </w:pPr>
          </w:p>
        </w:tc>
        <w:tc>
          <w:tcPr>
            <w:cnfStyle w:val="000001000000" w:firstRow="0" w:lastRow="0" w:firstColumn="0" w:lastColumn="0" w:oddVBand="0" w:evenVBand="1" w:oddHBand="0" w:evenHBand="0" w:firstRowFirstColumn="0" w:firstRowLastColumn="0" w:lastRowFirstColumn="0" w:lastRowLastColumn="0"/>
            <w:tcW w:w="2410" w:type="dxa"/>
            <w:tcBorders>
              <w:bottom w:val="nil"/>
            </w:tcBorders>
            <w:shd w:val="clear" w:color="auto" w:fill="FFFFFF" w:themeFill="background1"/>
          </w:tcPr>
          <w:p w14:paraId="3752C104" w14:textId="77777777" w:rsidR="001D0AB7" w:rsidRPr="0076270C" w:rsidRDefault="001D0AB7" w:rsidP="00AF1C52">
            <w:pPr>
              <w:rPr>
                <w:noProof/>
              </w:rPr>
            </w:pPr>
          </w:p>
        </w:tc>
      </w:tr>
    </w:tbl>
    <w:p w14:paraId="73A35483" w14:textId="77777777" w:rsidR="001D0AB7" w:rsidRDefault="001D0AB7" w:rsidP="001D0AB7">
      <w:pPr>
        <w:pStyle w:val="FootnoteText"/>
        <w:rPr>
          <w:rFonts w:eastAsiaTheme="minorEastAsia"/>
          <w:noProof/>
        </w:rPr>
      </w:pPr>
    </w:p>
    <w:p w14:paraId="5BEE2318" w14:textId="77777777" w:rsidR="001D0AB7" w:rsidRPr="00040D99" w:rsidRDefault="001D0AB7" w:rsidP="001D0AB7">
      <w:pPr>
        <w:pStyle w:val="FootnoteText"/>
        <w:rPr>
          <w:rFonts w:eastAsiaTheme="minorEastAsia"/>
          <w:noProof/>
        </w:rPr>
      </w:pPr>
      <w:r w:rsidRPr="00D81223">
        <w:rPr>
          <w:noProof/>
        </w:rPr>
        <w:t>(</w:t>
      </w:r>
      <w:r>
        <w:rPr>
          <w:noProof/>
        </w:rPr>
        <w:t>*</w:t>
      </w:r>
      <w:r w:rsidRPr="00D81223">
        <w:rPr>
          <w:noProof/>
        </w:rPr>
        <w:t>)</w:t>
      </w:r>
      <w:r w:rsidRPr="00040D99">
        <w:rPr>
          <w:rFonts w:eastAsiaTheme="minorEastAsia"/>
          <w:noProof/>
        </w:rPr>
        <w:t xml:space="preserve"> </w:t>
      </w:r>
      <w:r w:rsidRPr="00FC77C6">
        <w:rPr>
          <w:rFonts w:eastAsiaTheme="minorEastAsia"/>
          <w:noProof/>
        </w:rPr>
        <w:t xml:space="preserve">These </w:t>
      </w:r>
      <w:r>
        <w:rPr>
          <w:rFonts w:eastAsiaTheme="minorEastAsia"/>
          <w:noProof/>
        </w:rPr>
        <w:t>indicators</w:t>
      </w:r>
      <w:r w:rsidRPr="00FC77C6">
        <w:rPr>
          <w:rFonts w:eastAsiaTheme="minorEastAsia"/>
          <w:noProof/>
        </w:rPr>
        <w:t>, while linked to the protection of the euro,</w:t>
      </w:r>
      <w:r>
        <w:rPr>
          <w:rFonts w:eastAsiaTheme="minorEastAsia"/>
          <w:noProof/>
        </w:rPr>
        <w:t xml:space="preserve"> should be considered as ‘context’ indicators as the results are greatly influenced by factors external to the programme, such as counterfeiting activity and the detection rate consequence of the activities or the </w:t>
      </w:r>
      <w:r>
        <w:rPr>
          <w:noProof/>
        </w:rPr>
        <w:t>competent national and EU authorities.</w:t>
      </w:r>
    </w:p>
    <w:p w14:paraId="59C53326" w14:textId="77777777" w:rsidR="001D0AB7" w:rsidRDefault="001D0AB7" w:rsidP="001D0AB7">
      <w:pPr>
        <w:pStyle w:val="ppoHeading5"/>
        <w:rPr>
          <w:noProof/>
        </w:rPr>
      </w:pPr>
      <w:r w:rsidRPr="00040D99">
        <w:rPr>
          <w:noProof/>
        </w:rPr>
        <w:t xml:space="preserve">Budget </w:t>
      </w:r>
      <w:r>
        <w:rPr>
          <w:noProof/>
        </w:rPr>
        <w:t xml:space="preserve">for </w:t>
      </w:r>
      <w:r w:rsidRPr="00040D99">
        <w:rPr>
          <w:noProof/>
        </w:rPr>
        <w:t>2021-2027</w:t>
      </w:r>
    </w:p>
    <w:p w14:paraId="7D481410" w14:textId="77777777" w:rsidR="001D0AB7" w:rsidRPr="009359FF" w:rsidRDefault="001D0AB7" w:rsidP="001D0AB7">
      <w:pPr>
        <w:pStyle w:val="ppoTableTabletitle"/>
        <w:ind w:left="284"/>
        <w:rPr>
          <w:noProof/>
        </w:rPr>
      </w:pPr>
      <w:r>
        <w:rPr>
          <w:noProof/>
        </w:rPr>
        <w:t>(million EUR)</w:t>
      </w:r>
    </w:p>
    <w:tbl>
      <w:tblPr>
        <w:tblStyle w:val="PlainTable2"/>
        <w:tblW w:w="0" w:type="auto"/>
        <w:tblInd w:w="288" w:type="dxa"/>
        <w:tblLook w:val="04A0" w:firstRow="1" w:lastRow="0" w:firstColumn="1" w:lastColumn="0" w:noHBand="0" w:noVBand="1"/>
      </w:tblPr>
      <w:tblGrid>
        <w:gridCol w:w="4788"/>
        <w:gridCol w:w="2610"/>
      </w:tblGrid>
      <w:tr w:rsidR="001D0AB7" w:rsidRPr="00214876" w14:paraId="6FD2548B" w14:textId="77777777" w:rsidTr="00AF1C5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5136B328" w14:textId="77777777" w:rsidR="001D0AB7" w:rsidRPr="00214876" w:rsidRDefault="001D0AB7" w:rsidP="00AF1C52">
            <w:pPr>
              <w:spacing w:before="120" w:after="120"/>
              <w:rPr>
                <w:noProof/>
              </w:rPr>
            </w:pPr>
            <w:r w:rsidRPr="00214876">
              <w:rPr>
                <w:rFonts w:cs="Calibri"/>
                <w:noProof/>
                <w:color w:val="000000"/>
              </w:rPr>
              <w:t>Financial programming</w:t>
            </w:r>
          </w:p>
        </w:tc>
        <w:tc>
          <w:tcPr>
            <w:tcW w:w="2610" w:type="dxa"/>
            <w:shd w:val="clear" w:color="auto" w:fill="auto"/>
            <w:vAlign w:val="bottom"/>
          </w:tcPr>
          <w:p w14:paraId="3A83DD6C" w14:textId="77777777" w:rsidR="001D0AB7" w:rsidRPr="00214876" w:rsidRDefault="001D0AB7" w:rsidP="00AF1C52">
            <w:pPr>
              <w:spacing w:before="120" w:after="120"/>
              <w:jc w:val="center"/>
              <w:cnfStyle w:val="100000000000" w:firstRow="1" w:lastRow="0" w:firstColumn="0" w:lastColumn="0" w:oddVBand="0" w:evenVBand="0" w:oddHBand="0" w:evenHBand="0" w:firstRowFirstColumn="0" w:firstRowLastColumn="0" w:lastRowFirstColumn="0" w:lastRowLastColumn="0"/>
              <w:rPr>
                <w:b w:val="0"/>
                <w:noProof/>
              </w:rPr>
            </w:pPr>
            <w:r>
              <w:rPr>
                <w:rFonts w:cs="Calibri"/>
                <w:b w:val="0"/>
                <w:noProof/>
                <w:color w:val="000000"/>
              </w:rPr>
              <w:t>6.2</w:t>
            </w:r>
          </w:p>
        </w:tc>
      </w:tr>
      <w:tr w:rsidR="001D0AB7" w:rsidRPr="00214876" w14:paraId="4BE9E49C" w14:textId="77777777" w:rsidTr="00AF1C5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7302504E" w14:textId="77777777" w:rsidR="001D0AB7" w:rsidRPr="00214876" w:rsidRDefault="001D0AB7" w:rsidP="00AF1C52">
            <w:pPr>
              <w:spacing w:before="120" w:after="120"/>
              <w:rPr>
                <w:b w:val="0"/>
                <w:noProof/>
              </w:rPr>
            </w:pPr>
            <w:r w:rsidRPr="00214876">
              <w:rPr>
                <w:rFonts w:cs="Calibri"/>
                <w:noProof/>
                <w:color w:val="000000"/>
              </w:rPr>
              <w:t>NextGenerationEU</w:t>
            </w:r>
          </w:p>
        </w:tc>
        <w:tc>
          <w:tcPr>
            <w:tcW w:w="2610" w:type="dxa"/>
            <w:vAlign w:val="bottom"/>
          </w:tcPr>
          <w:p w14:paraId="3ACFAB42" w14:textId="77777777" w:rsidR="001D0AB7" w:rsidRPr="00214876" w:rsidRDefault="001D0AB7" w:rsidP="00AF1C52">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214876">
              <w:rPr>
                <w:rFonts w:cs="Calibri"/>
                <w:noProof/>
                <w:color w:val="000000"/>
              </w:rPr>
              <w:t>0</w:t>
            </w:r>
          </w:p>
        </w:tc>
      </w:tr>
      <w:tr w:rsidR="001D0AB7" w:rsidRPr="00214876" w14:paraId="298568C6" w14:textId="77777777" w:rsidTr="00AF1C52">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66F40225" w14:textId="77777777" w:rsidR="001D0AB7" w:rsidRPr="00214876" w:rsidRDefault="001D0AB7" w:rsidP="00AF1C52">
            <w:pPr>
              <w:spacing w:before="120" w:after="120"/>
              <w:rPr>
                <w:b w:val="0"/>
                <w:noProof/>
              </w:rPr>
            </w:pPr>
            <w:r w:rsidRPr="00EA1623">
              <w:rPr>
                <w:rFonts w:cs="Calibri"/>
                <w:noProof/>
                <w:color w:val="000000"/>
              </w:rPr>
              <w:t>Decommitments made available again</w:t>
            </w:r>
            <w:r>
              <w:rPr>
                <w:rFonts w:ascii="Calibri" w:hAnsi="Calibri" w:cs="Calibri"/>
                <w:noProof/>
                <w:color w:val="000000"/>
              </w:rPr>
              <w:t> </w:t>
            </w:r>
            <w:r>
              <w:rPr>
                <w:rFonts w:cs="Calibri"/>
                <w:noProof/>
                <w:color w:val="000000"/>
              </w:rPr>
              <w:t>(</w:t>
            </w:r>
            <w:r w:rsidRPr="00214876">
              <w:rPr>
                <w:rFonts w:cs="Calibri"/>
                <w:noProof/>
                <w:color w:val="000000"/>
              </w:rPr>
              <w:t>*</w:t>
            </w:r>
            <w:r>
              <w:rPr>
                <w:rFonts w:cs="Calibri"/>
                <w:noProof/>
                <w:color w:val="000000"/>
              </w:rPr>
              <w:t>)</w:t>
            </w:r>
          </w:p>
        </w:tc>
        <w:tc>
          <w:tcPr>
            <w:tcW w:w="2610" w:type="dxa"/>
            <w:vAlign w:val="bottom"/>
          </w:tcPr>
          <w:p w14:paraId="3A033E9A" w14:textId="77777777" w:rsidR="001D0AB7" w:rsidRPr="00214876" w:rsidRDefault="001D0AB7" w:rsidP="00AF1C52">
            <w:pPr>
              <w:spacing w:before="120" w:after="120"/>
              <w:jc w:val="center"/>
              <w:cnfStyle w:val="000000000000" w:firstRow="0" w:lastRow="0" w:firstColumn="0" w:lastColumn="0" w:oddVBand="0" w:evenVBand="0" w:oddHBand="0" w:evenHBand="0" w:firstRowFirstColumn="0" w:firstRowLastColumn="0" w:lastRowFirstColumn="0" w:lastRowLastColumn="0"/>
              <w:rPr>
                <w:noProof/>
              </w:rPr>
            </w:pPr>
            <w:r>
              <w:rPr>
                <w:noProof/>
              </w:rPr>
              <w:t>N/A</w:t>
            </w:r>
          </w:p>
        </w:tc>
      </w:tr>
      <w:tr w:rsidR="001D0AB7" w:rsidRPr="00214876" w14:paraId="5E1678DE" w14:textId="77777777" w:rsidTr="00AF1C5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7E112AB3" w14:textId="77777777" w:rsidR="001D0AB7" w:rsidRPr="00214876" w:rsidRDefault="001D0AB7" w:rsidP="00AF1C52">
            <w:pPr>
              <w:spacing w:before="120" w:after="120"/>
              <w:rPr>
                <w:noProof/>
              </w:rPr>
            </w:pPr>
            <w:r w:rsidRPr="00214876">
              <w:rPr>
                <w:rFonts w:cs="Calibri"/>
                <w:noProof/>
                <w:color w:val="000000"/>
              </w:rPr>
              <w:t>Contributions from other countries and entities</w:t>
            </w:r>
          </w:p>
        </w:tc>
        <w:tc>
          <w:tcPr>
            <w:tcW w:w="2610" w:type="dxa"/>
            <w:vAlign w:val="bottom"/>
          </w:tcPr>
          <w:p w14:paraId="73A00CC3" w14:textId="77777777" w:rsidR="001D0AB7" w:rsidRPr="00214876" w:rsidRDefault="001D0AB7" w:rsidP="00AF1C52">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Pr>
                <w:rFonts w:cs="Calibri"/>
                <w:noProof/>
                <w:color w:val="000000"/>
              </w:rPr>
              <w:t>0</w:t>
            </w:r>
          </w:p>
        </w:tc>
      </w:tr>
      <w:tr w:rsidR="001D0AB7" w:rsidRPr="00214876" w14:paraId="43505A77" w14:textId="77777777" w:rsidTr="00AF1C52">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2F2F2" w:themeFill="background1" w:themeFillShade="F2"/>
            <w:vAlign w:val="bottom"/>
          </w:tcPr>
          <w:p w14:paraId="1F27C95F" w14:textId="77777777" w:rsidR="001D0AB7" w:rsidRPr="00214876" w:rsidRDefault="001D0AB7" w:rsidP="00AF1C52">
            <w:pPr>
              <w:spacing w:before="120" w:after="120"/>
              <w:rPr>
                <w:noProof/>
              </w:rPr>
            </w:pPr>
            <w:r>
              <w:rPr>
                <w:rFonts w:cs="Calibri"/>
                <w:noProof/>
                <w:color w:val="000000"/>
              </w:rPr>
              <w:t>T</w:t>
            </w:r>
            <w:r w:rsidRPr="00214876">
              <w:rPr>
                <w:rFonts w:cs="Calibri"/>
                <w:noProof/>
                <w:color w:val="000000"/>
              </w:rPr>
              <w:t xml:space="preserve">otal budget </w:t>
            </w:r>
            <w:r>
              <w:rPr>
                <w:rFonts w:cs="Calibri"/>
                <w:noProof/>
                <w:color w:val="000000"/>
              </w:rPr>
              <w:t xml:space="preserve">for </w:t>
            </w:r>
            <w:r w:rsidRPr="00214876">
              <w:rPr>
                <w:rFonts w:cs="Calibri"/>
                <w:noProof/>
                <w:color w:val="000000"/>
              </w:rPr>
              <w:t>2021-2027</w:t>
            </w:r>
          </w:p>
        </w:tc>
        <w:tc>
          <w:tcPr>
            <w:tcW w:w="2610" w:type="dxa"/>
            <w:shd w:val="clear" w:color="auto" w:fill="F2F2F2" w:themeFill="background1" w:themeFillShade="F2"/>
            <w:vAlign w:val="bottom"/>
          </w:tcPr>
          <w:p w14:paraId="54650A7E" w14:textId="77777777" w:rsidR="001D0AB7" w:rsidRPr="00214876" w:rsidRDefault="001D0AB7" w:rsidP="00AF1C52">
            <w:pPr>
              <w:spacing w:before="120" w:after="120"/>
              <w:jc w:val="center"/>
              <w:cnfStyle w:val="000000000000" w:firstRow="0" w:lastRow="0" w:firstColumn="0" w:lastColumn="0" w:oddVBand="0" w:evenVBand="0" w:oddHBand="0" w:evenHBand="0" w:firstRowFirstColumn="0" w:firstRowLastColumn="0" w:lastRowFirstColumn="0" w:lastRowLastColumn="0"/>
              <w:rPr>
                <w:b/>
                <w:noProof/>
              </w:rPr>
            </w:pPr>
            <w:r>
              <w:rPr>
                <w:rFonts w:cs="Calibri"/>
                <w:b/>
                <w:noProof/>
                <w:color w:val="000000"/>
              </w:rPr>
              <w:t>6.2</w:t>
            </w:r>
          </w:p>
        </w:tc>
      </w:tr>
    </w:tbl>
    <w:p w14:paraId="7CAB6723" w14:textId="77777777" w:rsidR="001D0AB7" w:rsidRPr="00040D99" w:rsidRDefault="001D0AB7" w:rsidP="001D0AB7">
      <w:pPr>
        <w:jc w:val="center"/>
        <w:rPr>
          <w:rFonts w:eastAsiaTheme="minorEastAsia"/>
          <w:noProof/>
        </w:rPr>
      </w:pPr>
    </w:p>
    <w:p w14:paraId="56A096BC" w14:textId="77777777" w:rsidR="001D0AB7" w:rsidRPr="00D63135" w:rsidRDefault="001D0AB7" w:rsidP="001D0AB7">
      <w:pPr>
        <w:tabs>
          <w:tab w:val="left" w:pos="6793"/>
        </w:tabs>
        <w:rPr>
          <w:noProof/>
          <w:sz w:val="18"/>
          <w:szCs w:val="18"/>
          <w:lang w:val="en-IE"/>
        </w:rPr>
      </w:pPr>
      <w:r w:rsidRPr="00D63135">
        <w:rPr>
          <w:noProof/>
          <w:sz w:val="18"/>
          <w:szCs w:val="18"/>
          <w:lang w:val="en-IE"/>
        </w:rPr>
        <w:t>(*) Only Article</w:t>
      </w:r>
      <w:r w:rsidRPr="00D63135">
        <w:rPr>
          <w:rFonts w:ascii="Calibri" w:hAnsi="Calibri" w:cs="Calibri"/>
          <w:noProof/>
          <w:sz w:val="18"/>
          <w:szCs w:val="18"/>
          <w:lang w:val="en-IE"/>
        </w:rPr>
        <w:t> </w:t>
      </w:r>
      <w:r w:rsidRPr="00D63135">
        <w:rPr>
          <w:noProof/>
          <w:sz w:val="18"/>
          <w:szCs w:val="18"/>
          <w:lang w:val="en-IE"/>
        </w:rPr>
        <w:t xml:space="preserve">15(3) of the </w:t>
      </w:r>
      <w:r>
        <w:rPr>
          <w:noProof/>
          <w:sz w:val="18"/>
          <w:szCs w:val="18"/>
          <w:lang w:val="en-IE"/>
        </w:rPr>
        <w:t>f</w:t>
      </w:r>
      <w:r w:rsidRPr="00D63135">
        <w:rPr>
          <w:noProof/>
          <w:sz w:val="18"/>
          <w:szCs w:val="18"/>
          <w:lang w:val="en-IE"/>
        </w:rPr>
        <w:t xml:space="preserve">inancial </w:t>
      </w:r>
      <w:r>
        <w:rPr>
          <w:noProof/>
          <w:sz w:val="18"/>
          <w:szCs w:val="18"/>
          <w:lang w:val="en-IE"/>
        </w:rPr>
        <w:t>r</w:t>
      </w:r>
      <w:r w:rsidRPr="00D63135">
        <w:rPr>
          <w:noProof/>
          <w:sz w:val="18"/>
          <w:szCs w:val="18"/>
          <w:lang w:val="en-IE"/>
        </w:rPr>
        <w:t>egulation</w:t>
      </w:r>
      <w:r>
        <w:rPr>
          <w:noProof/>
          <w:sz w:val="18"/>
          <w:szCs w:val="18"/>
          <w:lang w:val="en-IE"/>
        </w:rPr>
        <w:t>.</w:t>
      </w:r>
    </w:p>
    <w:p w14:paraId="69C38F39" w14:textId="77777777" w:rsidR="001D0AB7" w:rsidRPr="00040D99" w:rsidRDefault="001D0AB7" w:rsidP="001D0AB7">
      <w:pPr>
        <w:pStyle w:val="ppoHeading5"/>
        <w:rPr>
          <w:noProof/>
        </w:rPr>
      </w:pPr>
      <w:r w:rsidRPr="00040D99">
        <w:rPr>
          <w:noProof/>
        </w:rPr>
        <w:t>Rationale and design of the programme</w:t>
      </w:r>
    </w:p>
    <w:p w14:paraId="0E5A7140" w14:textId="77777777" w:rsidR="001D0AB7" w:rsidRPr="00040D99" w:rsidRDefault="001D0AB7" w:rsidP="001D0AB7">
      <w:pPr>
        <w:rPr>
          <w:rFonts w:eastAsiaTheme="minorEastAsia"/>
          <w:noProof/>
        </w:rPr>
      </w:pPr>
      <w:r w:rsidRPr="003C771D">
        <w:rPr>
          <w:rFonts w:eastAsiaTheme="minorEastAsia"/>
          <w:noProof/>
        </w:rPr>
        <w:t>The Pericles</w:t>
      </w:r>
      <w:r>
        <w:rPr>
          <w:rFonts w:ascii="Calibri" w:eastAsiaTheme="minorEastAsia" w:hAnsi="Calibri" w:cs="Calibri"/>
          <w:noProof/>
        </w:rPr>
        <w:t> </w:t>
      </w:r>
      <w:r w:rsidRPr="003C771D">
        <w:rPr>
          <w:rFonts w:eastAsiaTheme="minorEastAsia"/>
          <w:noProof/>
        </w:rPr>
        <w:t xml:space="preserve">IV programme funds staff exchanges, seminars, trainings and studies for law enforcement and judicial authorities, banks and others involved in </w:t>
      </w:r>
      <w:r>
        <w:rPr>
          <w:rFonts w:eastAsiaTheme="minorEastAsia"/>
          <w:noProof/>
        </w:rPr>
        <w:t xml:space="preserve">protecting the euro against </w:t>
      </w:r>
      <w:r w:rsidRPr="003C771D">
        <w:rPr>
          <w:rFonts w:eastAsiaTheme="minorEastAsia"/>
          <w:noProof/>
        </w:rPr>
        <w:t>counterfeiting</w:t>
      </w:r>
      <w:r>
        <w:rPr>
          <w:rFonts w:eastAsiaTheme="minorEastAsia"/>
          <w:noProof/>
        </w:rPr>
        <w:t xml:space="preserve">. </w:t>
      </w:r>
      <w:r w:rsidRPr="003C771D">
        <w:rPr>
          <w:rFonts w:eastAsiaTheme="minorEastAsia"/>
          <w:noProof/>
        </w:rPr>
        <w:t xml:space="preserve">Actions can take place in the euro area, in </w:t>
      </w:r>
      <w:r>
        <w:rPr>
          <w:rFonts w:eastAsiaTheme="minorEastAsia"/>
          <w:noProof/>
        </w:rPr>
        <w:t>Member States</w:t>
      </w:r>
      <w:r w:rsidRPr="003C771D">
        <w:rPr>
          <w:rFonts w:eastAsiaTheme="minorEastAsia"/>
          <w:noProof/>
        </w:rPr>
        <w:t xml:space="preserve"> outside the euro area and in </w:t>
      </w:r>
      <w:r>
        <w:rPr>
          <w:rFonts w:eastAsiaTheme="minorEastAsia"/>
          <w:noProof/>
        </w:rPr>
        <w:t>non-EU</w:t>
      </w:r>
      <w:r w:rsidRPr="003C771D">
        <w:rPr>
          <w:rFonts w:eastAsiaTheme="minorEastAsia"/>
          <w:noProof/>
        </w:rPr>
        <w:t xml:space="preserve"> countries</w:t>
      </w:r>
      <w:r>
        <w:rPr>
          <w:rFonts w:eastAsiaTheme="minorEastAsia"/>
          <w:noProof/>
        </w:rPr>
        <w:t>.</w:t>
      </w:r>
    </w:p>
    <w:p w14:paraId="3EB75B2C" w14:textId="77777777" w:rsidR="001D0AB7" w:rsidRPr="00040D99" w:rsidRDefault="001D0AB7" w:rsidP="001D0AB7">
      <w:pPr>
        <w:pStyle w:val="ppoHeading6"/>
        <w:rPr>
          <w:noProof/>
        </w:rPr>
      </w:pPr>
      <w:r w:rsidRPr="00040D99">
        <w:rPr>
          <w:noProof/>
        </w:rPr>
        <w:t>Challenge</w:t>
      </w:r>
    </w:p>
    <w:p w14:paraId="1B31864C" w14:textId="77777777" w:rsidR="001D0AB7" w:rsidRDefault="001D0AB7" w:rsidP="001D0AB7">
      <w:pPr>
        <w:rPr>
          <w:noProof/>
        </w:rPr>
      </w:pPr>
      <w:r>
        <w:rPr>
          <w:noProof/>
        </w:rPr>
        <w:t>The use of the euro</w:t>
      </w:r>
      <w:r>
        <w:rPr>
          <w:rFonts w:ascii="Calibri" w:hAnsi="Calibri" w:cs="Calibri"/>
          <w:noProof/>
        </w:rPr>
        <w:t> </w:t>
      </w:r>
      <w:r>
        <w:rPr>
          <w:noProof/>
        </w:rPr>
        <w:t xml:space="preserve">– </w:t>
      </w:r>
      <w:r w:rsidRPr="00AC3201">
        <w:rPr>
          <w:noProof/>
        </w:rPr>
        <w:t>the EU’s single currency</w:t>
      </w:r>
      <w:r w:rsidRPr="00AC3201">
        <w:rPr>
          <w:rFonts w:ascii="Calibri" w:hAnsi="Calibri" w:cs="Calibri"/>
          <w:noProof/>
        </w:rPr>
        <w:t> </w:t>
      </w:r>
      <w:r w:rsidRPr="00AC3201">
        <w:rPr>
          <w:noProof/>
        </w:rPr>
        <w:t>–</w:t>
      </w:r>
      <w:r>
        <w:rPr>
          <w:noProof/>
        </w:rPr>
        <w:t xml:space="preserve"> continues to grow, including as a medium for international transactions and reserve currency. At the same time, the euro continues to be exposed to the threat of increasingly sophisticated counterfeits. </w:t>
      </w:r>
    </w:p>
    <w:p w14:paraId="55F9C6E2" w14:textId="77777777" w:rsidR="001D0AB7" w:rsidRDefault="001D0AB7" w:rsidP="001D0AB7">
      <w:pPr>
        <w:rPr>
          <w:noProof/>
        </w:rPr>
      </w:pPr>
      <w:r>
        <w:rPr>
          <w:noProof/>
        </w:rPr>
        <w:t>The protection of the euro benefits all Member States, EU citizens and EU businesses. Given the cross-border circulation of the euro and the involvement of international organised crime in euro counterfeiting (production and distribution), the protection of the euro goes beyond the interests, means and responsibilities of individual Member States. Appropriately</w:t>
      </w:r>
      <w:r w:rsidRPr="00FF2053">
        <w:rPr>
          <w:noProof/>
        </w:rPr>
        <w:t>, Article</w:t>
      </w:r>
      <w:r w:rsidRPr="00AC3201">
        <w:rPr>
          <w:rFonts w:ascii="Calibri" w:hAnsi="Calibri" w:cs="Calibri"/>
          <w:noProof/>
        </w:rPr>
        <w:t> </w:t>
      </w:r>
      <w:r w:rsidRPr="00FF2053">
        <w:rPr>
          <w:noProof/>
        </w:rPr>
        <w:t xml:space="preserve">133 </w:t>
      </w:r>
      <w:r w:rsidRPr="00AC3201">
        <w:rPr>
          <w:noProof/>
        </w:rPr>
        <w:t xml:space="preserve">of the </w:t>
      </w:r>
      <w:r w:rsidRPr="00FF2053">
        <w:rPr>
          <w:noProof/>
        </w:rPr>
        <w:t>T</w:t>
      </w:r>
      <w:r w:rsidRPr="00AC3201">
        <w:rPr>
          <w:noProof/>
        </w:rPr>
        <w:t xml:space="preserve">reaty </w:t>
      </w:r>
      <w:r w:rsidRPr="00D63135">
        <w:rPr>
          <w:noProof/>
        </w:rPr>
        <w:t>on the Functioning of the European Union</w:t>
      </w:r>
      <w:r w:rsidRPr="00AC3201">
        <w:rPr>
          <w:noProof/>
        </w:rPr>
        <w:t xml:space="preserve"> </w:t>
      </w:r>
      <w:r w:rsidRPr="00FF2053">
        <w:rPr>
          <w:noProof/>
        </w:rPr>
        <w:t>bestows</w:t>
      </w:r>
      <w:r>
        <w:rPr>
          <w:noProof/>
        </w:rPr>
        <w:t xml:space="preserve"> the responsibility for the protection of the euro as the single currency to the EU. National protection frameworks are essential, but they need to be complemented and coordinated by action at the EU level. Moreover, international cooperation is necessary to fend off emerging transnational risks.</w:t>
      </w:r>
    </w:p>
    <w:p w14:paraId="6A4FAB8F" w14:textId="77777777" w:rsidR="001D0AB7" w:rsidRPr="00040D99" w:rsidRDefault="001D0AB7" w:rsidP="001D0AB7">
      <w:pPr>
        <w:pStyle w:val="ppoHeading6"/>
        <w:rPr>
          <w:noProof/>
        </w:rPr>
      </w:pPr>
      <w:r w:rsidRPr="00040D99">
        <w:rPr>
          <w:noProof/>
        </w:rPr>
        <w:t>Mission</w:t>
      </w:r>
    </w:p>
    <w:p w14:paraId="0D757687" w14:textId="77777777" w:rsidR="001D0AB7" w:rsidRDefault="001D0AB7" w:rsidP="001D0AB7">
      <w:pPr>
        <w:rPr>
          <w:noProof/>
        </w:rPr>
      </w:pPr>
      <w:r>
        <w:rPr>
          <w:noProof/>
        </w:rPr>
        <w:t>Pericles</w:t>
      </w:r>
      <w:r>
        <w:rPr>
          <w:rFonts w:ascii="Calibri" w:hAnsi="Calibri" w:cs="Calibri"/>
          <w:noProof/>
        </w:rPr>
        <w:t> </w:t>
      </w:r>
      <w:r>
        <w:rPr>
          <w:noProof/>
        </w:rPr>
        <w:t xml:space="preserve">IV aims to prevent and combat counterfeiting and related fraud and preserve the integrity of the euro banknotes and coins. This strengthens the trust of citizens and business in the genuineness of these banknotes and coins and therefore enhances the trust in the EU’s economy, all while securing the sustainability of public finances. </w:t>
      </w:r>
    </w:p>
    <w:p w14:paraId="6E50C9E5" w14:textId="77777777" w:rsidR="001D0AB7" w:rsidRDefault="001D0AB7" w:rsidP="001D0AB7">
      <w:pPr>
        <w:rPr>
          <w:noProof/>
        </w:rPr>
      </w:pPr>
      <w:r>
        <w:rPr>
          <w:noProof/>
        </w:rPr>
        <w:t>The programme promotes transnational and cross-border cooperation within the EU as well as internationally ensuring a global protection of the euro against counterfeiting. In particular, it will take responsibility for countering specific emerging threats and the (challenging) relationship with certain countries.</w:t>
      </w:r>
    </w:p>
    <w:p w14:paraId="2C5E4084" w14:textId="77777777" w:rsidR="001D0AB7" w:rsidRPr="00040D99" w:rsidRDefault="001D0AB7" w:rsidP="001D0AB7">
      <w:pPr>
        <w:pStyle w:val="ppoHeading6"/>
        <w:rPr>
          <w:noProof/>
        </w:rPr>
      </w:pPr>
      <w:r w:rsidRPr="00040D99">
        <w:rPr>
          <w:noProof/>
        </w:rPr>
        <w:t>Objectives</w:t>
      </w:r>
    </w:p>
    <w:p w14:paraId="36DDD834" w14:textId="77777777" w:rsidR="001D0AB7" w:rsidRDefault="001D0AB7" w:rsidP="001D0AB7">
      <w:pPr>
        <w:rPr>
          <w:noProof/>
        </w:rPr>
      </w:pPr>
      <w:r>
        <w:rPr>
          <w:noProof/>
        </w:rPr>
        <w:t>The programme’s specific objective is to protect euro banknotes and coins against counterfeiting and related fraud, by supporting and supplementing the measures undertaken by the Member States and assisting the competent national and EU authorities in their efforts to develop</w:t>
      </w:r>
      <w:r>
        <w:rPr>
          <w:rFonts w:ascii="Calibri" w:hAnsi="Calibri" w:cs="Calibri"/>
          <w:noProof/>
        </w:rPr>
        <w:t> –</w:t>
      </w:r>
      <w:r>
        <w:rPr>
          <w:noProof/>
        </w:rPr>
        <w:t xml:space="preserve"> among themselves and with the Commission</w:t>
      </w:r>
      <w:r>
        <w:rPr>
          <w:rFonts w:ascii="Calibri" w:hAnsi="Calibri" w:cs="Calibri"/>
          <w:noProof/>
        </w:rPr>
        <w:t> –</w:t>
      </w:r>
      <w:r>
        <w:rPr>
          <w:noProof/>
        </w:rPr>
        <w:t xml:space="preserve"> close and regular cooperation and an exchange of best practices, including with non-EU countries and international organisations where appropriate.</w:t>
      </w:r>
    </w:p>
    <w:p w14:paraId="77BC0AF8" w14:textId="77777777" w:rsidR="001D0AB7" w:rsidRPr="00040D99" w:rsidRDefault="001D0AB7" w:rsidP="001D0AB7">
      <w:pPr>
        <w:pStyle w:val="ppoHeading6"/>
        <w:rPr>
          <w:noProof/>
        </w:rPr>
      </w:pPr>
      <w:r w:rsidRPr="00040D99">
        <w:rPr>
          <w:noProof/>
        </w:rPr>
        <w:t>Actions</w:t>
      </w:r>
    </w:p>
    <w:p w14:paraId="03FDC242" w14:textId="77777777" w:rsidR="001D0AB7" w:rsidRDefault="001D0AB7" w:rsidP="001D0AB7">
      <w:pPr>
        <w:rPr>
          <w:noProof/>
        </w:rPr>
      </w:pPr>
      <w:r>
        <w:rPr>
          <w:noProof/>
        </w:rPr>
        <w:t>The programme will support:</w:t>
      </w:r>
    </w:p>
    <w:p w14:paraId="391222B0" w14:textId="77777777" w:rsidR="001D0AB7" w:rsidRDefault="001D0AB7" w:rsidP="001D0AB7">
      <w:pPr>
        <w:pStyle w:val="ppoListHyphened-L1"/>
        <w:rPr>
          <w:noProof/>
        </w:rPr>
      </w:pPr>
      <w:r>
        <w:rPr>
          <w:noProof/>
        </w:rPr>
        <w:t>the exchange and dissemination of information, in particular through organising workshops, meetings and seminars, including training, targeted placements and exchanges of staff of competent national authorities and other similar actions;</w:t>
      </w:r>
    </w:p>
    <w:p w14:paraId="07C98312" w14:textId="77777777" w:rsidR="001D0AB7" w:rsidRDefault="001D0AB7" w:rsidP="001D0AB7">
      <w:pPr>
        <w:pStyle w:val="ppoListHyphened-L1"/>
        <w:rPr>
          <w:noProof/>
        </w:rPr>
      </w:pPr>
      <w:r>
        <w:rPr>
          <w:noProof/>
        </w:rPr>
        <w:t>technical, scientific and operational assistance, as appears necessary as part of the programme;</w:t>
      </w:r>
    </w:p>
    <w:p w14:paraId="58B607CE" w14:textId="77777777" w:rsidR="001D0AB7" w:rsidRDefault="001D0AB7" w:rsidP="001D0AB7">
      <w:pPr>
        <w:pStyle w:val="ppoListHyphened-L1"/>
        <w:rPr>
          <w:noProof/>
        </w:rPr>
      </w:pPr>
      <w:r>
        <w:rPr>
          <w:noProof/>
        </w:rPr>
        <w:t>the purchase of equipment to be used by specialised anti-counterfeiting authorities of non-EU countries for protecting the euro against counterfeiting.</w:t>
      </w:r>
    </w:p>
    <w:p w14:paraId="5A564180" w14:textId="77777777" w:rsidR="001D0AB7" w:rsidRPr="00040D99" w:rsidRDefault="001D0AB7" w:rsidP="001D0AB7">
      <w:pPr>
        <w:pStyle w:val="ppoHeading6"/>
        <w:rPr>
          <w:noProof/>
        </w:rPr>
      </w:pPr>
      <w:r w:rsidRPr="00040D99">
        <w:rPr>
          <w:noProof/>
        </w:rPr>
        <w:t>Delivery mode</w:t>
      </w:r>
    </w:p>
    <w:p w14:paraId="3A1BB945" w14:textId="77777777" w:rsidR="001D0AB7" w:rsidRDefault="001D0AB7" w:rsidP="001D0AB7">
      <w:pPr>
        <w:rPr>
          <w:noProof/>
        </w:rPr>
      </w:pPr>
      <w:r>
        <w:rPr>
          <w:noProof/>
        </w:rPr>
        <w:t>The programme is implemented through direct management.</w:t>
      </w:r>
      <w:r w:rsidRPr="0094607B">
        <w:rPr>
          <w:noProof/>
        </w:rPr>
        <w:t xml:space="preserve"> DG Economic and Financial </w:t>
      </w:r>
      <w:r w:rsidRPr="008F1ED8">
        <w:rPr>
          <w:noProof/>
        </w:rPr>
        <w:t>Affairs</w:t>
      </w:r>
      <w:r>
        <w:rPr>
          <w:noProof/>
        </w:rPr>
        <w:t xml:space="preserve"> is the lead for programme implementation. </w:t>
      </w:r>
    </w:p>
    <w:p w14:paraId="549F69E0" w14:textId="4601CEED" w:rsidR="001D0AB7" w:rsidRDefault="001D0AB7" w:rsidP="001D0AB7">
      <w:pPr>
        <w:rPr>
          <w:noProof/>
        </w:rPr>
      </w:pPr>
      <w:r>
        <w:rPr>
          <w:noProof/>
        </w:rPr>
        <w:t xml:space="preserve">Projects </w:t>
      </w:r>
      <w:r w:rsidR="004B37B2">
        <w:rPr>
          <w:noProof/>
        </w:rPr>
        <w:t>co-</w:t>
      </w:r>
      <w:r>
        <w:rPr>
          <w:noProof/>
        </w:rPr>
        <w:t>financed under the programme are implemented directly by DG Economic and Financial Affairs or in the form of grant awards to national competent authorities in the EU (both in and outside of the euro area).</w:t>
      </w:r>
    </w:p>
    <w:p w14:paraId="02ADA01A" w14:textId="77777777" w:rsidR="001D0AB7" w:rsidRPr="00040D99" w:rsidRDefault="001D0AB7" w:rsidP="001D0AB7">
      <w:pPr>
        <w:pStyle w:val="ppoHeading6"/>
        <w:rPr>
          <w:noProof/>
        </w:rPr>
      </w:pPr>
      <w:r>
        <w:rPr>
          <w:noProof/>
        </w:rPr>
        <w:t>LINK TO THE 2014-2020 MULTIANNUAL FINANCIAL FRAMEWORK</w:t>
      </w:r>
    </w:p>
    <w:p w14:paraId="59E3C43C" w14:textId="3224EF75" w:rsidR="001D0AB7" w:rsidRDefault="001D0AB7" w:rsidP="001D0AB7">
      <w:pPr>
        <w:rPr>
          <w:noProof/>
        </w:rPr>
      </w:pPr>
      <w:r>
        <w:rPr>
          <w:noProof/>
        </w:rPr>
        <w:t>Pericles</w:t>
      </w:r>
      <w:r>
        <w:rPr>
          <w:rFonts w:ascii="Calibri" w:hAnsi="Calibri" w:cs="Calibri"/>
          <w:noProof/>
        </w:rPr>
        <w:t> </w:t>
      </w:r>
      <w:r>
        <w:rPr>
          <w:noProof/>
        </w:rPr>
        <w:t>IV is a continuation of the Pericles</w:t>
      </w:r>
      <w:r>
        <w:rPr>
          <w:rFonts w:ascii="Calibri" w:hAnsi="Calibri" w:cs="Calibri"/>
          <w:noProof/>
        </w:rPr>
        <w:t> </w:t>
      </w:r>
      <w:r>
        <w:rPr>
          <w:noProof/>
        </w:rPr>
        <w:t>2020 programme. The main novelt</w:t>
      </w:r>
      <w:r w:rsidR="004B37B2">
        <w:rPr>
          <w:noProof/>
        </w:rPr>
        <w:t>ies are</w:t>
      </w:r>
      <w:r>
        <w:rPr>
          <w:noProof/>
        </w:rPr>
        <w:t xml:space="preserve"> the simplification of the application process through the use of the eGrants system</w:t>
      </w:r>
      <w:r w:rsidR="004B37B2">
        <w:rPr>
          <w:noProof/>
        </w:rPr>
        <w:t xml:space="preserve"> and the addition of key performance indicators</w:t>
      </w:r>
      <w:r w:rsidR="00202796">
        <w:rPr>
          <w:noProof/>
        </w:rPr>
        <w:t xml:space="preserve"> measuring the quality of the service provided</w:t>
      </w:r>
      <w:r>
        <w:rPr>
          <w:noProof/>
        </w:rPr>
        <w:t>.</w:t>
      </w:r>
    </w:p>
    <w:p w14:paraId="11EC13E2" w14:textId="77777777" w:rsidR="001D0AB7" w:rsidRDefault="001D0AB7" w:rsidP="001D0AB7">
      <w:pPr>
        <w:pStyle w:val="ppoHeading6"/>
        <w:rPr>
          <w:noProof/>
        </w:rPr>
      </w:pPr>
      <w:r w:rsidRPr="00040D99">
        <w:rPr>
          <w:noProof/>
        </w:rPr>
        <w:t>Impact assessment</w:t>
      </w:r>
    </w:p>
    <w:p w14:paraId="28C386AA" w14:textId="77777777" w:rsidR="001D0AB7" w:rsidRDefault="001D0AB7" w:rsidP="001D0AB7">
      <w:pPr>
        <w:rPr>
          <w:noProof/>
        </w:rPr>
      </w:pPr>
      <w:r w:rsidRPr="0020130B">
        <w:rPr>
          <w:noProof/>
        </w:rPr>
        <w:t>Commission Staff Working Document ‘SWD(2018)</w:t>
      </w:r>
      <w:r w:rsidRPr="0020130B">
        <w:rPr>
          <w:rFonts w:ascii="Calibri" w:hAnsi="Calibri" w:cs="Calibri"/>
          <w:noProof/>
        </w:rPr>
        <w:t> </w:t>
      </w:r>
      <w:r w:rsidRPr="0020130B">
        <w:rPr>
          <w:noProof/>
        </w:rPr>
        <w:t>281 final’ accompanying the proposal COM(2018)</w:t>
      </w:r>
      <w:r w:rsidRPr="0020130B">
        <w:rPr>
          <w:rFonts w:ascii="Calibri" w:hAnsi="Calibri" w:cs="Calibri"/>
          <w:noProof/>
        </w:rPr>
        <w:t> </w:t>
      </w:r>
      <w:r w:rsidRPr="0020130B">
        <w:rPr>
          <w:noProof/>
        </w:rPr>
        <w:t>369.</w:t>
      </w:r>
      <w:r>
        <w:rPr>
          <w:noProof/>
        </w:rPr>
        <w:t xml:space="preserve"> </w:t>
      </w:r>
      <w:hyperlink r:id="rId238" w:history="1">
        <w:r w:rsidRPr="00596B77">
          <w:rPr>
            <w:rStyle w:val="Hyperlink"/>
            <w:noProof/>
          </w:rPr>
          <w:t>https://europa.eu/!gG67BV</w:t>
        </w:r>
      </w:hyperlink>
    </w:p>
    <w:p w14:paraId="7011FF1F" w14:textId="77777777" w:rsidR="001D0AB7" w:rsidRPr="00040D99" w:rsidRDefault="001D0AB7" w:rsidP="001D0AB7">
      <w:pPr>
        <w:pStyle w:val="ppoHeading6"/>
        <w:rPr>
          <w:noProof/>
        </w:rPr>
      </w:pPr>
      <w:r>
        <w:rPr>
          <w:noProof/>
        </w:rPr>
        <w:t>WEBSITE FOR more information</w:t>
      </w:r>
    </w:p>
    <w:p w14:paraId="7D754085" w14:textId="77777777" w:rsidR="001D0AB7" w:rsidRDefault="00E01E9B" w:rsidP="001D0AB7">
      <w:pPr>
        <w:rPr>
          <w:rFonts w:ascii="Calibri" w:hAnsi="Calibri" w:cs="Calibri"/>
          <w:noProof/>
        </w:rPr>
      </w:pPr>
      <w:hyperlink r:id="rId239" w:history="1">
        <w:r w:rsidR="001D0AB7" w:rsidRPr="00596B77">
          <w:rPr>
            <w:rStyle w:val="Hyperlink"/>
            <w:noProof/>
          </w:rPr>
          <w:t>https://europa.eu/!uJ67Dg</w:t>
        </w:r>
      </w:hyperlink>
    </w:p>
    <w:p w14:paraId="16391CB0" w14:textId="77777777" w:rsidR="001D0AB7" w:rsidRPr="0076127E" w:rsidRDefault="001D0AB7" w:rsidP="001D0AB7">
      <w:pPr>
        <w:pStyle w:val="ppoHeading5"/>
        <w:rPr>
          <w:noProof/>
        </w:rPr>
      </w:pPr>
      <w:r w:rsidRPr="0076127E">
        <w:rPr>
          <w:rFonts w:eastAsiaTheme="minorEastAsia"/>
          <w:noProof/>
        </w:rPr>
        <w:t xml:space="preserve">Legal </w:t>
      </w:r>
      <w:r>
        <w:rPr>
          <w:rFonts w:eastAsiaTheme="minorEastAsia"/>
          <w:noProof/>
        </w:rPr>
        <w:t>b</w:t>
      </w:r>
      <w:r w:rsidRPr="0076127E">
        <w:rPr>
          <w:rFonts w:eastAsiaTheme="minorEastAsia"/>
          <w:noProof/>
        </w:rPr>
        <w:t>as</w:t>
      </w:r>
      <w:r>
        <w:rPr>
          <w:rFonts w:eastAsiaTheme="minorEastAsia"/>
          <w:noProof/>
        </w:rPr>
        <w:t>is</w:t>
      </w:r>
    </w:p>
    <w:p w14:paraId="280E54D8" w14:textId="77777777" w:rsidR="001D0AB7" w:rsidRDefault="001D0AB7" w:rsidP="001D0AB7">
      <w:pPr>
        <w:rPr>
          <w:noProof/>
        </w:rPr>
      </w:pPr>
      <w:r w:rsidRPr="00902DD0">
        <w:rPr>
          <w:noProof/>
        </w:rPr>
        <w:t xml:space="preserve">Regulation </w:t>
      </w:r>
      <w:r w:rsidRPr="00AB27F7">
        <w:rPr>
          <w:noProof/>
        </w:rPr>
        <w:t>(EU)</w:t>
      </w:r>
      <w:r>
        <w:rPr>
          <w:rFonts w:ascii="Calibri" w:hAnsi="Calibri" w:cs="Calibri"/>
          <w:noProof/>
        </w:rPr>
        <w:t> </w:t>
      </w:r>
      <w:r w:rsidRPr="00AB27F7">
        <w:rPr>
          <w:noProof/>
        </w:rPr>
        <w:t>2021/840</w:t>
      </w:r>
      <w:r>
        <w:rPr>
          <w:noProof/>
        </w:rPr>
        <w:t xml:space="preserve"> </w:t>
      </w:r>
      <w:r w:rsidRPr="00902DD0">
        <w:rPr>
          <w:noProof/>
        </w:rPr>
        <w:t>of the European Parliament and of the Council</w:t>
      </w:r>
      <w:r>
        <w:rPr>
          <w:noProof/>
        </w:rPr>
        <w:t>.</w:t>
      </w:r>
    </w:p>
    <w:p w14:paraId="48D9B231" w14:textId="77777777" w:rsidR="001D0AB7" w:rsidRDefault="001D0AB7" w:rsidP="001D0AB7">
      <w:pPr>
        <w:rPr>
          <w:noProof/>
        </w:rPr>
      </w:pPr>
      <w:r w:rsidRPr="001F60F1">
        <w:rPr>
          <w:noProof/>
        </w:rPr>
        <w:t>Council Regulation (EU)</w:t>
      </w:r>
      <w:r>
        <w:rPr>
          <w:rFonts w:ascii="Calibri" w:hAnsi="Calibri" w:cs="Calibri"/>
          <w:noProof/>
        </w:rPr>
        <w:t> </w:t>
      </w:r>
      <w:r w:rsidRPr="001F60F1">
        <w:rPr>
          <w:noProof/>
        </w:rPr>
        <w:t>2021/1696</w:t>
      </w:r>
      <w:r>
        <w:rPr>
          <w:noProof/>
        </w:rPr>
        <w:t>.</w:t>
      </w:r>
    </w:p>
    <w:p w14:paraId="6295E5D4" w14:textId="77777777" w:rsidR="001D0AB7" w:rsidRPr="00040D99" w:rsidRDefault="001D0AB7" w:rsidP="001D0AB7">
      <w:pPr>
        <w:pStyle w:val="ppoHeading4Green"/>
        <w:rPr>
          <w:caps/>
          <w:noProof/>
        </w:rPr>
      </w:pPr>
      <w:r w:rsidRPr="00040D99">
        <w:rPr>
          <w:noProof/>
        </w:rPr>
        <w:t xml:space="preserve">Implementation and performance </w:t>
      </w:r>
    </w:p>
    <w:p w14:paraId="2B9EE2AA" w14:textId="77777777" w:rsidR="001D0AB7" w:rsidRPr="00040D99" w:rsidRDefault="001D0AB7" w:rsidP="001D0AB7">
      <w:pPr>
        <w:pStyle w:val="ppoHeading5"/>
        <w:rPr>
          <w:noProof/>
        </w:rPr>
      </w:pPr>
      <w:r w:rsidRPr="00040D99">
        <w:rPr>
          <w:noProof/>
        </w:rPr>
        <w:t xml:space="preserve">Budget </w:t>
      </w:r>
    </w:p>
    <w:p w14:paraId="096A55C6" w14:textId="77777777" w:rsidR="001D0AB7" w:rsidRPr="00040D99" w:rsidRDefault="001D0AB7" w:rsidP="001D0AB7">
      <w:pPr>
        <w:pStyle w:val="ppoTableTabletitle"/>
        <w:rPr>
          <w:noProof/>
        </w:rPr>
      </w:pPr>
      <w:r w:rsidRPr="00807AC3">
        <w:rPr>
          <w:noProof/>
        </w:rPr>
        <w:t>Budget programming</w:t>
      </w:r>
      <w:r>
        <w:rPr>
          <w:noProof/>
        </w:rPr>
        <w:t xml:space="preserve"> (million 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1D0AB7" w:rsidRPr="00040D99" w14:paraId="7F61E9A2" w14:textId="77777777" w:rsidTr="00AF1C52">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4F694161" w14:textId="77777777" w:rsidR="001D0AB7" w:rsidRPr="00807AC3" w:rsidRDefault="001D0AB7" w:rsidP="00AF1C52">
            <w:pPr>
              <w:rPr>
                <w:noProof/>
              </w:rPr>
            </w:pPr>
          </w:p>
        </w:tc>
        <w:tc>
          <w:tcPr>
            <w:tcW w:w="943" w:type="dxa"/>
            <w:noWrap/>
            <w:hideMark/>
          </w:tcPr>
          <w:p w14:paraId="13FE05C6" w14:textId="77777777" w:rsidR="001D0AB7" w:rsidRPr="00807AC3" w:rsidRDefault="001D0AB7" w:rsidP="00AF1C52">
            <w:pPr>
              <w:rPr>
                <w:noProof/>
              </w:rPr>
            </w:pPr>
            <w:r w:rsidRPr="00807AC3">
              <w:rPr>
                <w:noProof/>
              </w:rPr>
              <w:t>2021</w:t>
            </w:r>
          </w:p>
        </w:tc>
        <w:tc>
          <w:tcPr>
            <w:tcW w:w="944" w:type="dxa"/>
            <w:noWrap/>
            <w:hideMark/>
          </w:tcPr>
          <w:p w14:paraId="1330471D" w14:textId="77777777" w:rsidR="001D0AB7" w:rsidRPr="00807AC3" w:rsidRDefault="001D0AB7" w:rsidP="00AF1C52">
            <w:pPr>
              <w:rPr>
                <w:noProof/>
              </w:rPr>
            </w:pPr>
            <w:r w:rsidRPr="00807AC3">
              <w:rPr>
                <w:noProof/>
              </w:rPr>
              <w:t>2022</w:t>
            </w:r>
          </w:p>
        </w:tc>
        <w:tc>
          <w:tcPr>
            <w:tcW w:w="943" w:type="dxa"/>
            <w:noWrap/>
            <w:hideMark/>
          </w:tcPr>
          <w:p w14:paraId="3E24D045" w14:textId="77777777" w:rsidR="001D0AB7" w:rsidRPr="00807AC3" w:rsidRDefault="001D0AB7" w:rsidP="00AF1C52">
            <w:pPr>
              <w:rPr>
                <w:noProof/>
              </w:rPr>
            </w:pPr>
            <w:r w:rsidRPr="00807AC3">
              <w:rPr>
                <w:noProof/>
              </w:rPr>
              <w:t>2023</w:t>
            </w:r>
          </w:p>
        </w:tc>
        <w:tc>
          <w:tcPr>
            <w:tcW w:w="944" w:type="dxa"/>
            <w:noWrap/>
            <w:hideMark/>
          </w:tcPr>
          <w:p w14:paraId="2556AB67" w14:textId="77777777" w:rsidR="001D0AB7" w:rsidRPr="00807AC3" w:rsidRDefault="001D0AB7" w:rsidP="00AF1C52">
            <w:pPr>
              <w:rPr>
                <w:noProof/>
              </w:rPr>
            </w:pPr>
            <w:r w:rsidRPr="00807AC3">
              <w:rPr>
                <w:noProof/>
              </w:rPr>
              <w:t>2024</w:t>
            </w:r>
          </w:p>
        </w:tc>
        <w:tc>
          <w:tcPr>
            <w:tcW w:w="944" w:type="dxa"/>
            <w:noWrap/>
            <w:hideMark/>
          </w:tcPr>
          <w:p w14:paraId="08FA5B13" w14:textId="77777777" w:rsidR="001D0AB7" w:rsidRPr="00807AC3" w:rsidRDefault="001D0AB7" w:rsidP="00AF1C52">
            <w:pPr>
              <w:rPr>
                <w:noProof/>
              </w:rPr>
            </w:pPr>
            <w:r w:rsidRPr="00807AC3">
              <w:rPr>
                <w:noProof/>
              </w:rPr>
              <w:t>2025</w:t>
            </w:r>
          </w:p>
        </w:tc>
        <w:tc>
          <w:tcPr>
            <w:tcW w:w="943" w:type="dxa"/>
            <w:noWrap/>
            <w:hideMark/>
          </w:tcPr>
          <w:p w14:paraId="0784946A" w14:textId="77777777" w:rsidR="001D0AB7" w:rsidRPr="00807AC3" w:rsidRDefault="001D0AB7" w:rsidP="00AF1C52">
            <w:pPr>
              <w:rPr>
                <w:noProof/>
              </w:rPr>
            </w:pPr>
            <w:r w:rsidRPr="00807AC3">
              <w:rPr>
                <w:noProof/>
              </w:rPr>
              <w:t>2026</w:t>
            </w:r>
          </w:p>
        </w:tc>
        <w:tc>
          <w:tcPr>
            <w:tcW w:w="944" w:type="dxa"/>
            <w:noWrap/>
            <w:hideMark/>
          </w:tcPr>
          <w:p w14:paraId="043E55F1" w14:textId="77777777" w:rsidR="001D0AB7" w:rsidRPr="00807AC3" w:rsidRDefault="001D0AB7" w:rsidP="00AF1C52">
            <w:pPr>
              <w:rPr>
                <w:noProof/>
              </w:rPr>
            </w:pPr>
            <w:r w:rsidRPr="00807AC3">
              <w:rPr>
                <w:noProof/>
              </w:rPr>
              <w:t>2027</w:t>
            </w:r>
          </w:p>
        </w:tc>
        <w:tc>
          <w:tcPr>
            <w:tcW w:w="944" w:type="dxa"/>
            <w:noWrap/>
            <w:hideMark/>
          </w:tcPr>
          <w:p w14:paraId="6673B133" w14:textId="77777777" w:rsidR="001D0AB7" w:rsidRPr="00807AC3" w:rsidRDefault="001D0AB7" w:rsidP="00AF1C52">
            <w:pPr>
              <w:rPr>
                <w:noProof/>
              </w:rPr>
            </w:pPr>
            <w:r w:rsidRPr="00807AC3">
              <w:rPr>
                <w:noProof/>
              </w:rPr>
              <w:t>Total</w:t>
            </w:r>
          </w:p>
        </w:tc>
      </w:tr>
      <w:tr w:rsidR="001D0AB7" w:rsidRPr="00040D99" w14:paraId="2608DD44" w14:textId="77777777" w:rsidTr="00AF1C52">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6A4CF292" w14:textId="77777777" w:rsidR="001D0AB7" w:rsidRPr="00807AC3" w:rsidRDefault="001D0AB7" w:rsidP="00AF1C52">
            <w:pPr>
              <w:rPr>
                <w:noProof/>
              </w:rPr>
            </w:pPr>
            <w:r w:rsidRPr="00807AC3">
              <w:rPr>
                <w:noProof/>
              </w:rPr>
              <w:t>Financial programming</w:t>
            </w:r>
          </w:p>
        </w:tc>
        <w:tc>
          <w:tcPr>
            <w:tcW w:w="943" w:type="dxa"/>
            <w:noWrap/>
            <w:hideMark/>
          </w:tcPr>
          <w:p w14:paraId="2502BBA9" w14:textId="77777777" w:rsidR="001D0AB7" w:rsidRPr="00807AC3" w:rsidRDefault="001D0AB7" w:rsidP="00AF1C52">
            <w:pPr>
              <w:jc w:val="center"/>
              <w:rPr>
                <w:noProof/>
              </w:rPr>
            </w:pPr>
            <w:r w:rsidRPr="007744D8">
              <w:rPr>
                <w:noProof/>
              </w:rPr>
              <w:t>0</w:t>
            </w:r>
            <w:r>
              <w:rPr>
                <w:noProof/>
              </w:rPr>
              <w:t>.</w:t>
            </w:r>
            <w:r w:rsidRPr="007744D8">
              <w:rPr>
                <w:noProof/>
              </w:rPr>
              <w:t>8</w:t>
            </w:r>
          </w:p>
        </w:tc>
        <w:tc>
          <w:tcPr>
            <w:tcW w:w="944" w:type="dxa"/>
            <w:noWrap/>
            <w:hideMark/>
          </w:tcPr>
          <w:p w14:paraId="74E5F618" w14:textId="77777777" w:rsidR="001D0AB7" w:rsidRPr="00807AC3" w:rsidRDefault="001D0AB7" w:rsidP="00AF1C52">
            <w:pPr>
              <w:jc w:val="center"/>
              <w:rPr>
                <w:noProof/>
              </w:rPr>
            </w:pPr>
            <w:r w:rsidRPr="007744D8">
              <w:rPr>
                <w:noProof/>
              </w:rPr>
              <w:t>0</w:t>
            </w:r>
            <w:r>
              <w:rPr>
                <w:noProof/>
              </w:rPr>
              <w:t>.</w:t>
            </w:r>
            <w:r w:rsidRPr="007744D8">
              <w:rPr>
                <w:noProof/>
              </w:rPr>
              <w:t>9</w:t>
            </w:r>
          </w:p>
        </w:tc>
        <w:tc>
          <w:tcPr>
            <w:tcW w:w="943" w:type="dxa"/>
            <w:noWrap/>
            <w:hideMark/>
          </w:tcPr>
          <w:p w14:paraId="351EDD4C" w14:textId="77777777" w:rsidR="001D0AB7" w:rsidRPr="00807AC3" w:rsidRDefault="001D0AB7" w:rsidP="00AF1C52">
            <w:pPr>
              <w:jc w:val="center"/>
              <w:rPr>
                <w:noProof/>
              </w:rPr>
            </w:pPr>
            <w:r w:rsidRPr="007744D8">
              <w:rPr>
                <w:noProof/>
              </w:rPr>
              <w:t>0</w:t>
            </w:r>
            <w:r>
              <w:rPr>
                <w:noProof/>
              </w:rPr>
              <w:t>.</w:t>
            </w:r>
            <w:r w:rsidRPr="007744D8">
              <w:rPr>
                <w:noProof/>
              </w:rPr>
              <w:t>9</w:t>
            </w:r>
          </w:p>
        </w:tc>
        <w:tc>
          <w:tcPr>
            <w:tcW w:w="944" w:type="dxa"/>
            <w:noWrap/>
            <w:hideMark/>
          </w:tcPr>
          <w:p w14:paraId="7C1C79B5" w14:textId="77777777" w:rsidR="001D0AB7" w:rsidRPr="00807AC3" w:rsidRDefault="001D0AB7" w:rsidP="00AF1C52">
            <w:pPr>
              <w:jc w:val="center"/>
              <w:rPr>
                <w:noProof/>
              </w:rPr>
            </w:pPr>
            <w:r w:rsidRPr="007744D8">
              <w:rPr>
                <w:noProof/>
              </w:rPr>
              <w:t>0</w:t>
            </w:r>
            <w:r>
              <w:rPr>
                <w:noProof/>
              </w:rPr>
              <w:t>.</w:t>
            </w:r>
            <w:r w:rsidRPr="007744D8">
              <w:rPr>
                <w:noProof/>
              </w:rPr>
              <w:t>9</w:t>
            </w:r>
          </w:p>
        </w:tc>
        <w:tc>
          <w:tcPr>
            <w:tcW w:w="944" w:type="dxa"/>
            <w:noWrap/>
            <w:hideMark/>
          </w:tcPr>
          <w:p w14:paraId="6B76116F" w14:textId="77777777" w:rsidR="001D0AB7" w:rsidRPr="00807AC3" w:rsidRDefault="001D0AB7" w:rsidP="00AF1C52">
            <w:pPr>
              <w:jc w:val="center"/>
              <w:rPr>
                <w:noProof/>
              </w:rPr>
            </w:pPr>
            <w:r w:rsidRPr="007744D8">
              <w:rPr>
                <w:noProof/>
              </w:rPr>
              <w:t>0</w:t>
            </w:r>
            <w:r>
              <w:rPr>
                <w:noProof/>
              </w:rPr>
              <w:t>.</w:t>
            </w:r>
            <w:r w:rsidRPr="007744D8">
              <w:rPr>
                <w:noProof/>
              </w:rPr>
              <w:t>9</w:t>
            </w:r>
          </w:p>
        </w:tc>
        <w:tc>
          <w:tcPr>
            <w:tcW w:w="943" w:type="dxa"/>
            <w:noWrap/>
            <w:hideMark/>
          </w:tcPr>
          <w:p w14:paraId="2B87B2C1" w14:textId="77777777" w:rsidR="001D0AB7" w:rsidRPr="00807AC3" w:rsidRDefault="001D0AB7" w:rsidP="00AF1C52">
            <w:pPr>
              <w:jc w:val="center"/>
              <w:rPr>
                <w:noProof/>
              </w:rPr>
            </w:pPr>
            <w:r w:rsidRPr="007744D8">
              <w:rPr>
                <w:noProof/>
              </w:rPr>
              <w:t>0</w:t>
            </w:r>
            <w:r>
              <w:rPr>
                <w:noProof/>
              </w:rPr>
              <w:t>.</w:t>
            </w:r>
            <w:r w:rsidRPr="007744D8">
              <w:rPr>
                <w:noProof/>
              </w:rPr>
              <w:t>9</w:t>
            </w:r>
          </w:p>
        </w:tc>
        <w:tc>
          <w:tcPr>
            <w:tcW w:w="944" w:type="dxa"/>
            <w:noWrap/>
            <w:hideMark/>
          </w:tcPr>
          <w:p w14:paraId="0FE17174" w14:textId="77777777" w:rsidR="001D0AB7" w:rsidRPr="00807AC3" w:rsidRDefault="001D0AB7" w:rsidP="00AF1C52">
            <w:pPr>
              <w:jc w:val="center"/>
              <w:rPr>
                <w:noProof/>
              </w:rPr>
            </w:pPr>
            <w:r w:rsidRPr="007744D8">
              <w:rPr>
                <w:noProof/>
              </w:rPr>
              <w:t>0</w:t>
            </w:r>
            <w:r>
              <w:rPr>
                <w:noProof/>
              </w:rPr>
              <w:t>.</w:t>
            </w:r>
            <w:r w:rsidRPr="007744D8">
              <w:rPr>
                <w:noProof/>
              </w:rPr>
              <w:t>9</w:t>
            </w:r>
          </w:p>
        </w:tc>
        <w:tc>
          <w:tcPr>
            <w:tcW w:w="944" w:type="dxa"/>
            <w:noWrap/>
            <w:hideMark/>
          </w:tcPr>
          <w:p w14:paraId="56CA32BA" w14:textId="77777777" w:rsidR="001D0AB7" w:rsidRPr="00807AC3" w:rsidRDefault="001D0AB7" w:rsidP="00AF1C52">
            <w:pPr>
              <w:jc w:val="center"/>
              <w:rPr>
                <w:noProof/>
              </w:rPr>
            </w:pPr>
            <w:r w:rsidRPr="007744D8">
              <w:rPr>
                <w:noProof/>
              </w:rPr>
              <w:t>6</w:t>
            </w:r>
            <w:r>
              <w:rPr>
                <w:noProof/>
              </w:rPr>
              <w:t>.</w:t>
            </w:r>
            <w:r w:rsidRPr="007744D8">
              <w:rPr>
                <w:noProof/>
              </w:rPr>
              <w:t>2</w:t>
            </w:r>
          </w:p>
        </w:tc>
      </w:tr>
      <w:tr w:rsidR="001D0AB7" w:rsidRPr="00040D99" w14:paraId="6F32A091" w14:textId="77777777" w:rsidTr="00AF1C52">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3D1D4F6C" w14:textId="77777777" w:rsidR="001D0AB7" w:rsidRPr="00807AC3" w:rsidRDefault="001D0AB7" w:rsidP="00AF1C52">
            <w:pPr>
              <w:rPr>
                <w:noProof/>
              </w:rPr>
            </w:pPr>
            <w:r w:rsidRPr="00807AC3">
              <w:rPr>
                <w:noProof/>
              </w:rPr>
              <w:t>NextGenerationEU</w:t>
            </w:r>
          </w:p>
        </w:tc>
        <w:tc>
          <w:tcPr>
            <w:tcW w:w="943" w:type="dxa"/>
            <w:noWrap/>
            <w:hideMark/>
          </w:tcPr>
          <w:p w14:paraId="287CB448" w14:textId="77777777" w:rsidR="001D0AB7" w:rsidRPr="00807AC3" w:rsidRDefault="001D0AB7" w:rsidP="00AF1C52">
            <w:pPr>
              <w:jc w:val="center"/>
              <w:rPr>
                <w:noProof/>
              </w:rPr>
            </w:pPr>
          </w:p>
        </w:tc>
        <w:tc>
          <w:tcPr>
            <w:tcW w:w="944" w:type="dxa"/>
            <w:noWrap/>
            <w:hideMark/>
          </w:tcPr>
          <w:p w14:paraId="531D0406" w14:textId="77777777" w:rsidR="001D0AB7" w:rsidRPr="00807AC3" w:rsidRDefault="001D0AB7" w:rsidP="00AF1C52">
            <w:pPr>
              <w:jc w:val="center"/>
              <w:rPr>
                <w:noProof/>
              </w:rPr>
            </w:pPr>
          </w:p>
        </w:tc>
        <w:tc>
          <w:tcPr>
            <w:tcW w:w="943" w:type="dxa"/>
            <w:noWrap/>
            <w:hideMark/>
          </w:tcPr>
          <w:p w14:paraId="1B303A2A" w14:textId="77777777" w:rsidR="001D0AB7" w:rsidRPr="00807AC3" w:rsidRDefault="001D0AB7" w:rsidP="00AF1C52">
            <w:pPr>
              <w:jc w:val="center"/>
              <w:rPr>
                <w:noProof/>
              </w:rPr>
            </w:pPr>
          </w:p>
        </w:tc>
        <w:tc>
          <w:tcPr>
            <w:tcW w:w="944" w:type="dxa"/>
            <w:noWrap/>
            <w:hideMark/>
          </w:tcPr>
          <w:p w14:paraId="24342AE3" w14:textId="77777777" w:rsidR="001D0AB7" w:rsidRPr="00807AC3" w:rsidRDefault="001D0AB7" w:rsidP="00AF1C52">
            <w:pPr>
              <w:jc w:val="center"/>
              <w:rPr>
                <w:noProof/>
              </w:rPr>
            </w:pPr>
          </w:p>
        </w:tc>
        <w:tc>
          <w:tcPr>
            <w:tcW w:w="944" w:type="dxa"/>
            <w:noWrap/>
            <w:hideMark/>
          </w:tcPr>
          <w:p w14:paraId="005E00D7" w14:textId="77777777" w:rsidR="001D0AB7" w:rsidRPr="00807AC3" w:rsidRDefault="001D0AB7" w:rsidP="00AF1C52">
            <w:pPr>
              <w:jc w:val="center"/>
              <w:rPr>
                <w:noProof/>
              </w:rPr>
            </w:pPr>
          </w:p>
        </w:tc>
        <w:tc>
          <w:tcPr>
            <w:tcW w:w="943" w:type="dxa"/>
            <w:noWrap/>
            <w:hideMark/>
          </w:tcPr>
          <w:p w14:paraId="3152D853" w14:textId="77777777" w:rsidR="001D0AB7" w:rsidRPr="00807AC3" w:rsidRDefault="001D0AB7" w:rsidP="00AF1C52">
            <w:pPr>
              <w:jc w:val="center"/>
              <w:rPr>
                <w:noProof/>
              </w:rPr>
            </w:pPr>
          </w:p>
        </w:tc>
        <w:tc>
          <w:tcPr>
            <w:tcW w:w="944" w:type="dxa"/>
            <w:noWrap/>
            <w:hideMark/>
          </w:tcPr>
          <w:p w14:paraId="5241C60A" w14:textId="77777777" w:rsidR="001D0AB7" w:rsidRPr="00807AC3" w:rsidRDefault="001D0AB7" w:rsidP="00AF1C52">
            <w:pPr>
              <w:jc w:val="center"/>
              <w:rPr>
                <w:noProof/>
              </w:rPr>
            </w:pPr>
          </w:p>
        </w:tc>
        <w:tc>
          <w:tcPr>
            <w:tcW w:w="944" w:type="dxa"/>
            <w:noWrap/>
            <w:hideMark/>
          </w:tcPr>
          <w:p w14:paraId="40574659" w14:textId="77777777" w:rsidR="001D0AB7" w:rsidRPr="00807AC3" w:rsidRDefault="001D0AB7" w:rsidP="00AF1C52">
            <w:pPr>
              <w:jc w:val="center"/>
              <w:rPr>
                <w:noProof/>
              </w:rPr>
            </w:pPr>
          </w:p>
        </w:tc>
      </w:tr>
      <w:tr w:rsidR="001D0AB7" w:rsidRPr="00040D99" w14:paraId="79CEDAAC" w14:textId="77777777" w:rsidTr="00AF1C52">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0446CB86" w14:textId="77777777" w:rsidR="001D0AB7" w:rsidRPr="00807AC3" w:rsidRDefault="001D0AB7" w:rsidP="00AF1C52">
            <w:pPr>
              <w:rPr>
                <w:noProof/>
              </w:rPr>
            </w:pPr>
            <w:r w:rsidRPr="00807AC3">
              <w:rPr>
                <w:noProof/>
              </w:rPr>
              <w:t>Decommitments made available again</w:t>
            </w:r>
            <w:r>
              <w:rPr>
                <w:rFonts w:ascii="Calibri" w:hAnsi="Calibri" w:cs="Calibri"/>
                <w:noProof/>
              </w:rPr>
              <w:t> (</w:t>
            </w:r>
            <w:r w:rsidRPr="00807AC3">
              <w:rPr>
                <w:noProof/>
              </w:rPr>
              <w:t>*</w:t>
            </w:r>
            <w:r>
              <w:rPr>
                <w:noProof/>
              </w:rPr>
              <w:t>)</w:t>
            </w:r>
          </w:p>
        </w:tc>
        <w:tc>
          <w:tcPr>
            <w:tcW w:w="943" w:type="dxa"/>
            <w:noWrap/>
            <w:hideMark/>
          </w:tcPr>
          <w:p w14:paraId="2AFA7613" w14:textId="77777777" w:rsidR="001D0AB7" w:rsidRPr="00807AC3" w:rsidRDefault="001D0AB7" w:rsidP="00AF1C52">
            <w:pPr>
              <w:jc w:val="center"/>
              <w:rPr>
                <w:noProof/>
              </w:rPr>
            </w:pPr>
            <w:r>
              <w:rPr>
                <w:noProof/>
              </w:rPr>
              <w:t>N/A</w:t>
            </w:r>
          </w:p>
        </w:tc>
        <w:tc>
          <w:tcPr>
            <w:tcW w:w="944" w:type="dxa"/>
            <w:noWrap/>
            <w:hideMark/>
          </w:tcPr>
          <w:p w14:paraId="659078B0" w14:textId="77777777" w:rsidR="001D0AB7" w:rsidRPr="00807AC3" w:rsidRDefault="001D0AB7" w:rsidP="00AF1C52">
            <w:pPr>
              <w:jc w:val="center"/>
              <w:rPr>
                <w:noProof/>
              </w:rPr>
            </w:pPr>
          </w:p>
        </w:tc>
        <w:tc>
          <w:tcPr>
            <w:tcW w:w="943" w:type="dxa"/>
            <w:noWrap/>
            <w:hideMark/>
          </w:tcPr>
          <w:p w14:paraId="7272E435" w14:textId="77777777" w:rsidR="001D0AB7" w:rsidRPr="00807AC3" w:rsidRDefault="001D0AB7" w:rsidP="00AF1C52">
            <w:pPr>
              <w:jc w:val="center"/>
              <w:rPr>
                <w:noProof/>
              </w:rPr>
            </w:pPr>
          </w:p>
        </w:tc>
        <w:tc>
          <w:tcPr>
            <w:tcW w:w="944" w:type="dxa"/>
            <w:noWrap/>
            <w:hideMark/>
          </w:tcPr>
          <w:p w14:paraId="3CA9B127" w14:textId="77777777" w:rsidR="001D0AB7" w:rsidRPr="00807AC3" w:rsidRDefault="001D0AB7" w:rsidP="00AF1C52">
            <w:pPr>
              <w:jc w:val="center"/>
              <w:rPr>
                <w:noProof/>
              </w:rPr>
            </w:pPr>
          </w:p>
        </w:tc>
        <w:tc>
          <w:tcPr>
            <w:tcW w:w="944" w:type="dxa"/>
            <w:noWrap/>
            <w:hideMark/>
          </w:tcPr>
          <w:p w14:paraId="54FDEE39" w14:textId="77777777" w:rsidR="001D0AB7" w:rsidRPr="00807AC3" w:rsidRDefault="001D0AB7" w:rsidP="00AF1C52">
            <w:pPr>
              <w:jc w:val="center"/>
              <w:rPr>
                <w:noProof/>
              </w:rPr>
            </w:pPr>
          </w:p>
        </w:tc>
        <w:tc>
          <w:tcPr>
            <w:tcW w:w="943" w:type="dxa"/>
            <w:noWrap/>
            <w:hideMark/>
          </w:tcPr>
          <w:p w14:paraId="2CA8DE5E" w14:textId="77777777" w:rsidR="001D0AB7" w:rsidRPr="00807AC3" w:rsidRDefault="001D0AB7" w:rsidP="00AF1C52">
            <w:pPr>
              <w:jc w:val="center"/>
              <w:rPr>
                <w:noProof/>
              </w:rPr>
            </w:pPr>
          </w:p>
        </w:tc>
        <w:tc>
          <w:tcPr>
            <w:tcW w:w="944" w:type="dxa"/>
            <w:noWrap/>
            <w:hideMark/>
          </w:tcPr>
          <w:p w14:paraId="656797EF" w14:textId="77777777" w:rsidR="001D0AB7" w:rsidRPr="00807AC3" w:rsidRDefault="001D0AB7" w:rsidP="00AF1C52">
            <w:pPr>
              <w:jc w:val="center"/>
              <w:rPr>
                <w:noProof/>
              </w:rPr>
            </w:pPr>
          </w:p>
        </w:tc>
        <w:tc>
          <w:tcPr>
            <w:tcW w:w="944" w:type="dxa"/>
            <w:noWrap/>
            <w:hideMark/>
          </w:tcPr>
          <w:p w14:paraId="523C9938" w14:textId="77777777" w:rsidR="001D0AB7" w:rsidRPr="00807AC3" w:rsidRDefault="001D0AB7" w:rsidP="00AF1C52">
            <w:pPr>
              <w:jc w:val="center"/>
              <w:rPr>
                <w:noProof/>
              </w:rPr>
            </w:pPr>
            <w:r>
              <w:rPr>
                <w:noProof/>
              </w:rPr>
              <w:t>N/A</w:t>
            </w:r>
          </w:p>
        </w:tc>
      </w:tr>
      <w:tr w:rsidR="001D0AB7" w:rsidRPr="00040D99" w14:paraId="229E1653" w14:textId="77777777" w:rsidTr="00AF1C52">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0FA7F6D1" w14:textId="77777777" w:rsidR="001D0AB7" w:rsidRPr="00807AC3" w:rsidRDefault="001D0AB7" w:rsidP="00AF1C52">
            <w:pPr>
              <w:rPr>
                <w:noProof/>
              </w:rPr>
            </w:pPr>
            <w:r w:rsidRPr="00807AC3">
              <w:rPr>
                <w:noProof/>
              </w:rPr>
              <w:t>Contributions from other countries and entities</w:t>
            </w:r>
          </w:p>
        </w:tc>
        <w:tc>
          <w:tcPr>
            <w:tcW w:w="943" w:type="dxa"/>
            <w:noWrap/>
            <w:hideMark/>
          </w:tcPr>
          <w:p w14:paraId="39B46CFE" w14:textId="77777777" w:rsidR="001D0AB7" w:rsidRPr="00807AC3" w:rsidRDefault="001D0AB7" w:rsidP="00AF1C52">
            <w:pPr>
              <w:jc w:val="center"/>
              <w:rPr>
                <w:noProof/>
              </w:rPr>
            </w:pPr>
          </w:p>
        </w:tc>
        <w:tc>
          <w:tcPr>
            <w:tcW w:w="944" w:type="dxa"/>
            <w:noWrap/>
            <w:hideMark/>
          </w:tcPr>
          <w:p w14:paraId="59C62789" w14:textId="77777777" w:rsidR="001D0AB7" w:rsidRPr="00807AC3" w:rsidRDefault="001D0AB7" w:rsidP="00AF1C52">
            <w:pPr>
              <w:jc w:val="center"/>
              <w:rPr>
                <w:noProof/>
              </w:rPr>
            </w:pPr>
          </w:p>
        </w:tc>
        <w:tc>
          <w:tcPr>
            <w:tcW w:w="943" w:type="dxa"/>
            <w:noWrap/>
            <w:hideMark/>
          </w:tcPr>
          <w:p w14:paraId="21E795C1" w14:textId="77777777" w:rsidR="001D0AB7" w:rsidRPr="00807AC3" w:rsidRDefault="001D0AB7" w:rsidP="00AF1C52">
            <w:pPr>
              <w:jc w:val="center"/>
              <w:rPr>
                <w:noProof/>
              </w:rPr>
            </w:pPr>
          </w:p>
        </w:tc>
        <w:tc>
          <w:tcPr>
            <w:tcW w:w="944" w:type="dxa"/>
            <w:noWrap/>
            <w:hideMark/>
          </w:tcPr>
          <w:p w14:paraId="4C68BE91" w14:textId="77777777" w:rsidR="001D0AB7" w:rsidRPr="00807AC3" w:rsidRDefault="001D0AB7" w:rsidP="00AF1C52">
            <w:pPr>
              <w:jc w:val="center"/>
              <w:rPr>
                <w:noProof/>
              </w:rPr>
            </w:pPr>
          </w:p>
        </w:tc>
        <w:tc>
          <w:tcPr>
            <w:tcW w:w="944" w:type="dxa"/>
            <w:noWrap/>
            <w:hideMark/>
          </w:tcPr>
          <w:p w14:paraId="69639604" w14:textId="77777777" w:rsidR="001D0AB7" w:rsidRPr="00807AC3" w:rsidRDefault="001D0AB7" w:rsidP="00AF1C52">
            <w:pPr>
              <w:jc w:val="center"/>
              <w:rPr>
                <w:noProof/>
              </w:rPr>
            </w:pPr>
          </w:p>
        </w:tc>
        <w:tc>
          <w:tcPr>
            <w:tcW w:w="943" w:type="dxa"/>
            <w:noWrap/>
            <w:hideMark/>
          </w:tcPr>
          <w:p w14:paraId="2C7F1363" w14:textId="77777777" w:rsidR="001D0AB7" w:rsidRPr="00807AC3" w:rsidRDefault="001D0AB7" w:rsidP="00AF1C52">
            <w:pPr>
              <w:jc w:val="center"/>
              <w:rPr>
                <w:noProof/>
              </w:rPr>
            </w:pPr>
          </w:p>
        </w:tc>
        <w:tc>
          <w:tcPr>
            <w:tcW w:w="944" w:type="dxa"/>
            <w:noWrap/>
            <w:hideMark/>
          </w:tcPr>
          <w:p w14:paraId="22178114" w14:textId="77777777" w:rsidR="001D0AB7" w:rsidRPr="00807AC3" w:rsidRDefault="001D0AB7" w:rsidP="00AF1C52">
            <w:pPr>
              <w:jc w:val="center"/>
              <w:rPr>
                <w:noProof/>
              </w:rPr>
            </w:pPr>
          </w:p>
        </w:tc>
        <w:tc>
          <w:tcPr>
            <w:tcW w:w="944" w:type="dxa"/>
            <w:noWrap/>
            <w:hideMark/>
          </w:tcPr>
          <w:p w14:paraId="7ABF9402" w14:textId="77777777" w:rsidR="001D0AB7" w:rsidRPr="00807AC3" w:rsidRDefault="001D0AB7" w:rsidP="00AF1C52">
            <w:pPr>
              <w:jc w:val="center"/>
              <w:rPr>
                <w:noProof/>
              </w:rPr>
            </w:pPr>
          </w:p>
        </w:tc>
      </w:tr>
    </w:tbl>
    <w:p w14:paraId="25CB42E6" w14:textId="77777777" w:rsidR="001D0AB7" w:rsidRDefault="001D0AB7" w:rsidP="001D0AB7">
      <w:pPr>
        <w:rPr>
          <w:noProof/>
        </w:rPr>
      </w:pPr>
    </w:p>
    <w:p w14:paraId="01D235BE" w14:textId="77777777" w:rsidR="001D0AB7" w:rsidRPr="00ED3340" w:rsidRDefault="001D0AB7" w:rsidP="001D0AB7">
      <w:pPr>
        <w:tabs>
          <w:tab w:val="left" w:pos="6793"/>
        </w:tabs>
        <w:rPr>
          <w:noProof/>
          <w:sz w:val="18"/>
          <w:szCs w:val="18"/>
          <w:lang w:val="en-IE"/>
        </w:rPr>
      </w:pPr>
      <w:r>
        <w:rPr>
          <w:noProof/>
          <w:sz w:val="18"/>
          <w:szCs w:val="18"/>
          <w:lang w:val="en-IE"/>
        </w:rPr>
        <w:t>(</w:t>
      </w:r>
      <w:r w:rsidRPr="00ED3340">
        <w:rPr>
          <w:noProof/>
          <w:sz w:val="18"/>
          <w:szCs w:val="18"/>
          <w:lang w:val="en-IE"/>
        </w:rPr>
        <w:t>*</w:t>
      </w:r>
      <w:r>
        <w:rPr>
          <w:noProof/>
          <w:sz w:val="18"/>
          <w:szCs w:val="18"/>
          <w:lang w:val="en-IE"/>
        </w:rPr>
        <w:t>)</w:t>
      </w:r>
      <w:r w:rsidRPr="00ED3340">
        <w:rPr>
          <w:noProof/>
          <w:sz w:val="18"/>
          <w:szCs w:val="18"/>
          <w:lang w:val="en-IE"/>
        </w:rPr>
        <w:t xml:space="preserve"> Only Art</w:t>
      </w:r>
      <w:r>
        <w:rPr>
          <w:noProof/>
          <w:sz w:val="18"/>
          <w:szCs w:val="18"/>
          <w:lang w:val="en-IE"/>
        </w:rPr>
        <w:t>icle</w:t>
      </w:r>
      <w:r>
        <w:rPr>
          <w:rFonts w:ascii="Calibri" w:hAnsi="Calibri" w:cs="Calibri"/>
          <w:noProof/>
          <w:sz w:val="18"/>
          <w:szCs w:val="18"/>
          <w:lang w:val="en-IE"/>
        </w:rPr>
        <w:t> </w:t>
      </w:r>
      <w:r w:rsidRPr="00ED3340">
        <w:rPr>
          <w:noProof/>
          <w:sz w:val="18"/>
          <w:szCs w:val="18"/>
          <w:lang w:val="en-IE"/>
        </w:rPr>
        <w:t>15</w:t>
      </w:r>
      <w:r>
        <w:rPr>
          <w:noProof/>
          <w:sz w:val="18"/>
          <w:szCs w:val="18"/>
          <w:lang w:val="en-IE"/>
        </w:rPr>
        <w:t>(</w:t>
      </w:r>
      <w:r w:rsidRPr="00ED3340">
        <w:rPr>
          <w:noProof/>
          <w:sz w:val="18"/>
          <w:szCs w:val="18"/>
          <w:lang w:val="en-IE"/>
        </w:rPr>
        <w:t>3</w:t>
      </w:r>
      <w:r>
        <w:rPr>
          <w:noProof/>
          <w:sz w:val="18"/>
          <w:szCs w:val="18"/>
          <w:lang w:val="en-IE"/>
        </w:rPr>
        <w:t>)</w:t>
      </w:r>
      <w:r w:rsidRPr="00ED3340">
        <w:rPr>
          <w:noProof/>
          <w:sz w:val="18"/>
          <w:szCs w:val="18"/>
          <w:lang w:val="en-IE"/>
        </w:rPr>
        <w:t xml:space="preserve"> </w:t>
      </w:r>
      <w:r>
        <w:rPr>
          <w:noProof/>
          <w:sz w:val="18"/>
          <w:szCs w:val="18"/>
          <w:lang w:val="en-IE"/>
        </w:rPr>
        <w:t>of the f</w:t>
      </w:r>
      <w:r w:rsidRPr="00ED3340">
        <w:rPr>
          <w:noProof/>
          <w:sz w:val="18"/>
          <w:szCs w:val="18"/>
          <w:lang w:val="en-IE"/>
        </w:rPr>
        <w:t xml:space="preserve">inancial </w:t>
      </w:r>
      <w:r>
        <w:rPr>
          <w:noProof/>
          <w:sz w:val="18"/>
          <w:szCs w:val="18"/>
          <w:lang w:val="en-IE"/>
        </w:rPr>
        <w:t>r</w:t>
      </w:r>
      <w:r w:rsidRPr="00ED3340">
        <w:rPr>
          <w:noProof/>
          <w:sz w:val="18"/>
          <w:szCs w:val="18"/>
          <w:lang w:val="en-IE"/>
        </w:rPr>
        <w:t>egulation</w:t>
      </w:r>
      <w:r>
        <w:rPr>
          <w:noProof/>
          <w:sz w:val="18"/>
          <w:szCs w:val="18"/>
          <w:lang w:val="en-IE"/>
        </w:rPr>
        <w:t>.</w:t>
      </w:r>
    </w:p>
    <w:p w14:paraId="786478BC" w14:textId="46C879A2" w:rsidR="001D0AB7" w:rsidRDefault="001D0AB7" w:rsidP="001D0AB7">
      <w:pPr>
        <w:pStyle w:val="ppoTableTabletitle"/>
        <w:jc w:val="center"/>
        <w:rPr>
          <w:noProof/>
        </w:rPr>
      </w:pPr>
      <w:r w:rsidRPr="00304A2B">
        <w:rPr>
          <w:noProof/>
          <w:lang w:val="en-IE"/>
        </w:rPr>
        <w:t>Financial programming</w:t>
      </w:r>
      <w:r w:rsidR="004C4764">
        <w:rPr>
          <w:noProof/>
          <w:lang w:val="en-IE"/>
        </w:rPr>
        <w:t>:</w:t>
      </w:r>
      <w:r w:rsidRPr="4045BF90">
        <w:rPr>
          <w:rStyle w:val="ppocharGreentext24pt"/>
          <w:noProof/>
        </w:rPr>
        <w:t xml:space="preserve"> </w:t>
      </w:r>
      <w:r w:rsidR="004C4764">
        <w:rPr>
          <w:rStyle w:val="ppocharGreentext24pt"/>
          <w:noProof/>
        </w:rPr>
        <w:t xml:space="preserve">+ </w:t>
      </w:r>
      <w:r w:rsidRPr="4045BF90">
        <w:rPr>
          <w:rStyle w:val="ppocharGreentext24pt"/>
          <w:noProof/>
        </w:rPr>
        <w:t>EUR</w:t>
      </w:r>
      <w:r w:rsidRPr="4045BF90">
        <w:rPr>
          <w:rStyle w:val="ppocharGreentext24pt"/>
          <w:rFonts w:ascii="Calibri" w:hAnsi="Calibri" w:cs="Calibri"/>
          <w:noProof/>
        </w:rPr>
        <w:t> </w:t>
      </w:r>
      <w:r w:rsidRPr="4045BF90">
        <w:rPr>
          <w:rStyle w:val="ppocharGreentext24pt"/>
          <w:noProof/>
        </w:rPr>
        <w:t>0.0</w:t>
      </w:r>
      <w:r w:rsidRPr="4045BF90">
        <w:rPr>
          <w:rStyle w:val="ppocharGreentext24pt"/>
          <w:rFonts w:ascii="Calibri" w:hAnsi="Calibri" w:cs="Calibri"/>
          <w:noProof/>
        </w:rPr>
        <w:t> </w:t>
      </w:r>
      <w:r w:rsidRPr="4045BF90">
        <w:rPr>
          <w:rStyle w:val="ppocharGreentext24pt"/>
          <w:noProof/>
        </w:rPr>
        <w:t>million (</w:t>
      </w:r>
      <w:r w:rsidR="004C4764">
        <w:rPr>
          <w:rStyle w:val="ppocharGreentext24pt"/>
          <w:noProof/>
        </w:rPr>
        <w:t xml:space="preserve">+ </w:t>
      </w:r>
      <w:r w:rsidRPr="4045BF90">
        <w:rPr>
          <w:rStyle w:val="ppocharGreentext24pt"/>
          <w:noProof/>
        </w:rPr>
        <w:t xml:space="preserve">0%) </w:t>
      </w:r>
      <w:r w:rsidRPr="4045BF90">
        <w:rPr>
          <w:noProof/>
          <w:lang w:val="en-IE"/>
        </w:rPr>
        <w:t>compared to the legal basis.</w:t>
      </w:r>
    </w:p>
    <w:p w14:paraId="4178C5C7" w14:textId="77777777" w:rsidR="001D0AB7" w:rsidRPr="00040D99" w:rsidRDefault="001D0AB7" w:rsidP="001D0AB7">
      <w:pPr>
        <w:pStyle w:val="ppoTableTabletitle"/>
        <w:rPr>
          <w:b/>
          <w:noProof/>
        </w:rPr>
      </w:pPr>
      <w:r w:rsidRPr="00040D99">
        <w:rPr>
          <w:noProof/>
        </w:rPr>
        <w:t>Cumulative implementation rate at the end of 2021</w:t>
      </w:r>
      <w:r>
        <w:rPr>
          <w:noProof/>
        </w:rPr>
        <w:t xml:space="preserve"> (million EUR)</w:t>
      </w:r>
      <w:r w:rsidRPr="00040D99">
        <w:rPr>
          <w:noProof/>
        </w:rPr>
        <w:t>:</w:t>
      </w:r>
    </w:p>
    <w:tbl>
      <w:tblPr>
        <w:tblStyle w:val="PPO2021"/>
        <w:tblW w:w="9639" w:type="dxa"/>
        <w:tblInd w:w="0" w:type="dxa"/>
        <w:tblLook w:val="06A0" w:firstRow="1" w:lastRow="0" w:firstColumn="1" w:lastColumn="0" w:noHBand="1" w:noVBand="1"/>
      </w:tblPr>
      <w:tblGrid>
        <w:gridCol w:w="2409"/>
        <w:gridCol w:w="2410"/>
        <w:gridCol w:w="2410"/>
        <w:gridCol w:w="2410"/>
      </w:tblGrid>
      <w:tr w:rsidR="001D0AB7" w:rsidRPr="00040D99" w14:paraId="01C56E92" w14:textId="77777777" w:rsidTr="00AF1C52">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5148290D" w14:textId="77777777" w:rsidR="001D0AB7" w:rsidRPr="00807AC3" w:rsidRDefault="001D0AB7" w:rsidP="00AF1C52">
            <w:pPr>
              <w:rPr>
                <w:noProof/>
              </w:rPr>
            </w:pPr>
          </w:p>
        </w:tc>
        <w:tc>
          <w:tcPr>
            <w:tcW w:w="2410" w:type="dxa"/>
          </w:tcPr>
          <w:p w14:paraId="585BB5AE" w14:textId="77777777" w:rsidR="001D0AB7" w:rsidRPr="00807AC3" w:rsidRDefault="001D0AB7" w:rsidP="00AF1C52">
            <w:pPr>
              <w:cnfStyle w:val="100000000000" w:firstRow="1" w:lastRow="0" w:firstColumn="0" w:lastColumn="0" w:oddVBand="0" w:evenVBand="0" w:oddHBand="0" w:evenHBand="0" w:firstRowFirstColumn="0" w:firstRowLastColumn="0" w:lastRowFirstColumn="0" w:lastRowLastColumn="0"/>
              <w:rPr>
                <w:noProof/>
              </w:rPr>
            </w:pPr>
            <w:r w:rsidRPr="00807AC3">
              <w:rPr>
                <w:noProof/>
              </w:rPr>
              <w:t>Implementation</w:t>
            </w:r>
          </w:p>
        </w:tc>
        <w:tc>
          <w:tcPr>
            <w:tcW w:w="2410" w:type="dxa"/>
          </w:tcPr>
          <w:p w14:paraId="5155CBDF" w14:textId="7BB8FDAA" w:rsidR="001D0AB7" w:rsidRPr="00807AC3" w:rsidRDefault="00A84801" w:rsidP="00AF1C52">
            <w:pPr>
              <w:cnfStyle w:val="100000000000" w:firstRow="1" w:lastRow="0" w:firstColumn="0" w:lastColumn="0" w:oddVBand="0" w:evenVBand="0" w:oddHBand="0" w:evenHBand="0" w:firstRowFirstColumn="0" w:firstRowLastColumn="0" w:lastRowFirstColumn="0" w:lastRowLastColumn="0"/>
              <w:rPr>
                <w:noProof/>
              </w:rPr>
            </w:pPr>
            <w:r>
              <w:rPr>
                <w:noProof/>
                <w:lang w:val="en-IE"/>
              </w:rPr>
              <w:t xml:space="preserve">2021-2027 </w:t>
            </w:r>
            <w:r w:rsidR="001D0AB7" w:rsidRPr="00807AC3">
              <w:rPr>
                <w:noProof/>
              </w:rPr>
              <w:t>Budget</w:t>
            </w:r>
          </w:p>
        </w:tc>
        <w:tc>
          <w:tcPr>
            <w:tcW w:w="2410" w:type="dxa"/>
          </w:tcPr>
          <w:p w14:paraId="637B06EC" w14:textId="77777777" w:rsidR="001D0AB7" w:rsidRPr="00807AC3" w:rsidRDefault="001D0AB7" w:rsidP="00AF1C52">
            <w:pPr>
              <w:cnfStyle w:val="100000000000" w:firstRow="1" w:lastRow="0" w:firstColumn="0" w:lastColumn="0" w:oddVBand="0" w:evenVBand="0" w:oddHBand="0" w:evenHBand="0" w:firstRowFirstColumn="0" w:firstRowLastColumn="0" w:lastRowFirstColumn="0" w:lastRowLastColumn="0"/>
              <w:rPr>
                <w:noProof/>
              </w:rPr>
            </w:pPr>
            <w:r w:rsidRPr="00807AC3">
              <w:rPr>
                <w:noProof/>
              </w:rPr>
              <w:t>Implementation rate</w:t>
            </w:r>
          </w:p>
        </w:tc>
      </w:tr>
      <w:tr w:rsidR="001D0AB7" w:rsidRPr="00040D99" w14:paraId="77311AEC"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0E2F7A8F" w14:textId="77777777" w:rsidR="001D0AB7" w:rsidRPr="00807AC3" w:rsidRDefault="001D0AB7" w:rsidP="00AF1C52">
            <w:pPr>
              <w:jc w:val="center"/>
              <w:rPr>
                <w:noProof/>
              </w:rPr>
            </w:pPr>
            <w:r>
              <w:rPr>
                <w:noProof/>
              </w:rPr>
              <w:t>Commitments</w:t>
            </w:r>
          </w:p>
        </w:tc>
        <w:tc>
          <w:tcPr>
            <w:tcW w:w="2410" w:type="dxa"/>
          </w:tcPr>
          <w:tbl>
            <w:tblPr>
              <w:tblStyle w:val="TableGrid"/>
              <w:tblW w:w="0" w:type="auto"/>
              <w:tblLook w:val="06A0" w:firstRow="1" w:lastRow="0" w:firstColumn="1" w:lastColumn="0" w:noHBand="1" w:noVBand="1"/>
            </w:tblPr>
            <w:tblGrid>
              <w:gridCol w:w="2194"/>
            </w:tblGrid>
            <w:tr w:rsidR="001D0AB7" w14:paraId="3E51BECE" w14:textId="77777777" w:rsidTr="00AF1C52">
              <w:trPr>
                <w:trHeight w:val="285"/>
              </w:trPr>
              <w:tc>
                <w:tcPr>
                  <w:tcW w:w="2290" w:type="dxa"/>
                  <w:tcBorders>
                    <w:top w:val="nil"/>
                    <w:left w:val="nil"/>
                    <w:bottom w:val="nil"/>
                    <w:right w:val="nil"/>
                  </w:tcBorders>
                  <w:vAlign w:val="bottom"/>
                </w:tcPr>
                <w:p w14:paraId="4E7D772C" w14:textId="77777777" w:rsidR="001D0AB7" w:rsidRDefault="001D0AB7" w:rsidP="00AF1C52">
                  <w:pPr>
                    <w:jc w:val="right"/>
                    <w:rPr>
                      <w:noProof/>
                    </w:rPr>
                  </w:pPr>
                  <w:r>
                    <w:rPr>
                      <w:rFonts w:ascii="Calibri" w:hAnsi="Calibri" w:cs="Calibri"/>
                      <w:noProof/>
                      <w:color w:val="000000"/>
                    </w:rPr>
                    <w:t>0.</w:t>
                  </w:r>
                  <w:r w:rsidRPr="0FE7D690">
                    <w:rPr>
                      <w:rFonts w:ascii="Calibri" w:hAnsi="Calibri" w:cs="Calibri"/>
                      <w:noProof/>
                      <w:color w:val="000000"/>
                    </w:rPr>
                    <w:t>8</w:t>
                  </w:r>
                </w:p>
              </w:tc>
            </w:tr>
          </w:tbl>
          <w:p w14:paraId="6111CD49" w14:textId="77777777" w:rsidR="001D0AB7" w:rsidRPr="00807AC3" w:rsidRDefault="001D0AB7" w:rsidP="00AF1C5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1D0AB7" w14:paraId="4A3EA463" w14:textId="77777777" w:rsidTr="00AF1C52">
              <w:trPr>
                <w:trHeight w:val="285"/>
              </w:trPr>
              <w:tc>
                <w:tcPr>
                  <w:tcW w:w="2290" w:type="dxa"/>
                  <w:tcBorders>
                    <w:top w:val="nil"/>
                    <w:left w:val="nil"/>
                    <w:bottom w:val="nil"/>
                    <w:right w:val="nil"/>
                  </w:tcBorders>
                  <w:vAlign w:val="bottom"/>
                </w:tcPr>
                <w:p w14:paraId="02FD4B4E" w14:textId="77777777" w:rsidR="001D0AB7" w:rsidRDefault="001D0AB7" w:rsidP="00AF1C52">
                  <w:pPr>
                    <w:jc w:val="right"/>
                    <w:rPr>
                      <w:noProof/>
                    </w:rPr>
                  </w:pPr>
                  <w:r w:rsidRPr="0FE7D690">
                    <w:rPr>
                      <w:rFonts w:ascii="Calibri" w:hAnsi="Calibri" w:cs="Calibri"/>
                      <w:noProof/>
                      <w:color w:val="000000"/>
                    </w:rPr>
                    <w:t>6</w:t>
                  </w:r>
                  <w:r>
                    <w:rPr>
                      <w:rFonts w:ascii="Calibri" w:hAnsi="Calibri" w:cs="Calibri"/>
                      <w:noProof/>
                      <w:color w:val="000000"/>
                    </w:rPr>
                    <w:t>.2</w:t>
                  </w:r>
                </w:p>
              </w:tc>
            </w:tr>
          </w:tbl>
          <w:p w14:paraId="60353485" w14:textId="77777777" w:rsidR="001D0AB7" w:rsidRPr="00807AC3" w:rsidRDefault="001D0AB7" w:rsidP="00AF1C5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1D0AB7" w14:paraId="72BDF637" w14:textId="77777777" w:rsidTr="00AF1C52">
              <w:trPr>
                <w:trHeight w:val="285"/>
              </w:trPr>
              <w:tc>
                <w:tcPr>
                  <w:tcW w:w="2290" w:type="dxa"/>
                  <w:tcBorders>
                    <w:top w:val="nil"/>
                    <w:left w:val="nil"/>
                    <w:bottom w:val="nil"/>
                    <w:right w:val="nil"/>
                  </w:tcBorders>
                  <w:vAlign w:val="bottom"/>
                </w:tcPr>
                <w:p w14:paraId="742CB8E4" w14:textId="77777777" w:rsidR="001D0AB7" w:rsidRDefault="001D0AB7" w:rsidP="00AF1C52">
                  <w:pPr>
                    <w:jc w:val="right"/>
                    <w:rPr>
                      <w:noProof/>
                    </w:rPr>
                  </w:pPr>
                  <w:r w:rsidRPr="0FE7D690">
                    <w:rPr>
                      <w:rFonts w:ascii="Calibri" w:hAnsi="Calibri" w:cs="Calibri"/>
                      <w:noProof/>
                      <w:color w:val="000000"/>
                    </w:rPr>
                    <w:t>13%</w:t>
                  </w:r>
                </w:p>
              </w:tc>
            </w:tr>
          </w:tbl>
          <w:p w14:paraId="7C9B91B0" w14:textId="77777777" w:rsidR="001D0AB7" w:rsidRPr="00807AC3" w:rsidRDefault="001D0AB7" w:rsidP="00AF1C52">
            <w:pPr>
              <w:jc w:val="center"/>
              <w:cnfStyle w:val="000000000000" w:firstRow="0" w:lastRow="0" w:firstColumn="0" w:lastColumn="0" w:oddVBand="0" w:evenVBand="0" w:oddHBand="0" w:evenHBand="0" w:firstRowFirstColumn="0" w:firstRowLastColumn="0" w:lastRowFirstColumn="0" w:lastRowLastColumn="0"/>
              <w:rPr>
                <w:noProof/>
              </w:rPr>
            </w:pPr>
          </w:p>
        </w:tc>
      </w:tr>
      <w:tr w:rsidR="001D0AB7" w:rsidRPr="00040D99" w14:paraId="19D86932"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31E2D808" w14:textId="77777777" w:rsidR="001D0AB7" w:rsidRPr="00807AC3" w:rsidRDefault="001D0AB7" w:rsidP="00AF1C52">
            <w:pPr>
              <w:jc w:val="center"/>
              <w:rPr>
                <w:noProof/>
              </w:rPr>
            </w:pPr>
            <w:r w:rsidRPr="00807AC3">
              <w:rPr>
                <w:noProof/>
              </w:rPr>
              <w:t>Payments</w:t>
            </w:r>
          </w:p>
        </w:tc>
        <w:tc>
          <w:tcPr>
            <w:tcW w:w="2410" w:type="dxa"/>
          </w:tcPr>
          <w:tbl>
            <w:tblPr>
              <w:tblStyle w:val="TableGrid"/>
              <w:tblW w:w="0" w:type="auto"/>
              <w:tblLook w:val="06A0" w:firstRow="1" w:lastRow="0" w:firstColumn="1" w:lastColumn="0" w:noHBand="1" w:noVBand="1"/>
            </w:tblPr>
            <w:tblGrid>
              <w:gridCol w:w="2194"/>
            </w:tblGrid>
            <w:tr w:rsidR="001D0AB7" w14:paraId="4E358C60" w14:textId="77777777" w:rsidTr="00AF1C52">
              <w:trPr>
                <w:trHeight w:val="285"/>
              </w:trPr>
              <w:tc>
                <w:tcPr>
                  <w:tcW w:w="2290" w:type="dxa"/>
                  <w:tcBorders>
                    <w:top w:val="nil"/>
                    <w:left w:val="nil"/>
                    <w:bottom w:val="nil"/>
                    <w:right w:val="nil"/>
                  </w:tcBorders>
                  <w:vAlign w:val="bottom"/>
                </w:tcPr>
                <w:p w14:paraId="66866DF7" w14:textId="77777777" w:rsidR="001D0AB7" w:rsidRDefault="001D0AB7" w:rsidP="00AF1C52">
                  <w:pPr>
                    <w:jc w:val="right"/>
                    <w:rPr>
                      <w:noProof/>
                    </w:rPr>
                  </w:pPr>
                  <w:r>
                    <w:rPr>
                      <w:rFonts w:ascii="Calibri" w:hAnsi="Calibri" w:cs="Calibri"/>
                      <w:noProof/>
                      <w:color w:val="000000"/>
                    </w:rPr>
                    <w:t>0.</w:t>
                  </w:r>
                  <w:r w:rsidRPr="0FE7D690">
                    <w:rPr>
                      <w:rFonts w:ascii="Calibri" w:hAnsi="Calibri" w:cs="Calibri"/>
                      <w:noProof/>
                      <w:color w:val="000000"/>
                    </w:rPr>
                    <w:t>3</w:t>
                  </w:r>
                </w:p>
              </w:tc>
            </w:tr>
          </w:tbl>
          <w:p w14:paraId="77570B13" w14:textId="77777777" w:rsidR="001D0AB7" w:rsidRPr="00807AC3" w:rsidRDefault="001D0AB7" w:rsidP="00AF1C5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6150CDB0" w14:textId="77777777" w:rsidR="001D0AB7" w:rsidRPr="00807AC3" w:rsidRDefault="001D0AB7" w:rsidP="00AF1C5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1D0AB7" w14:paraId="50C3AA45" w14:textId="77777777" w:rsidTr="00AF1C52">
              <w:trPr>
                <w:trHeight w:val="285"/>
              </w:trPr>
              <w:tc>
                <w:tcPr>
                  <w:tcW w:w="2235" w:type="dxa"/>
                  <w:tcBorders>
                    <w:top w:val="nil"/>
                    <w:left w:val="nil"/>
                    <w:bottom w:val="nil"/>
                    <w:right w:val="nil"/>
                  </w:tcBorders>
                  <w:vAlign w:val="bottom"/>
                </w:tcPr>
                <w:p w14:paraId="73EFC774" w14:textId="77777777" w:rsidR="001D0AB7" w:rsidRDefault="001D0AB7" w:rsidP="00AF1C52">
                  <w:pPr>
                    <w:jc w:val="right"/>
                    <w:rPr>
                      <w:noProof/>
                    </w:rPr>
                  </w:pPr>
                  <w:r w:rsidRPr="0F15F3C1">
                    <w:rPr>
                      <w:rFonts w:ascii="Calibri" w:hAnsi="Calibri" w:cs="Calibri"/>
                      <w:noProof/>
                      <w:color w:val="000000"/>
                    </w:rPr>
                    <w:t>6%</w:t>
                  </w:r>
                </w:p>
              </w:tc>
            </w:tr>
          </w:tbl>
          <w:p w14:paraId="7D680017" w14:textId="77777777" w:rsidR="001D0AB7" w:rsidRPr="00807AC3" w:rsidRDefault="001D0AB7" w:rsidP="00AF1C52">
            <w:pPr>
              <w:jc w:val="center"/>
              <w:cnfStyle w:val="000000000000" w:firstRow="0" w:lastRow="0" w:firstColumn="0" w:lastColumn="0" w:oddVBand="0" w:evenVBand="0" w:oddHBand="0" w:evenHBand="0" w:firstRowFirstColumn="0" w:firstRowLastColumn="0" w:lastRowFirstColumn="0" w:lastRowLastColumn="0"/>
              <w:rPr>
                <w:noProof/>
              </w:rPr>
            </w:pPr>
          </w:p>
        </w:tc>
      </w:tr>
    </w:tbl>
    <w:p w14:paraId="1E4859F0" w14:textId="77777777" w:rsidR="001D0AB7" w:rsidRPr="00040D99" w:rsidRDefault="001D0AB7" w:rsidP="001D0AB7">
      <w:pPr>
        <w:pStyle w:val="ppoTableTabletitle"/>
        <w:rPr>
          <w:b/>
          <w:noProof/>
        </w:rPr>
      </w:pPr>
      <w:r w:rsidRPr="00040D99">
        <w:rPr>
          <w:noProof/>
        </w:rPr>
        <w:t>Voted budget implementation in 2021</w:t>
      </w:r>
      <w:r>
        <w:rPr>
          <w:noProof/>
        </w:rPr>
        <w:t xml:space="preserve"> (million EUR)</w:t>
      </w:r>
      <w:r w:rsidRPr="00040D99">
        <w:rPr>
          <w:noProof/>
        </w:rPr>
        <w:t>:</w:t>
      </w:r>
    </w:p>
    <w:tbl>
      <w:tblPr>
        <w:tblStyle w:val="PPO2021"/>
        <w:tblW w:w="3683" w:type="pct"/>
        <w:tblInd w:w="79" w:type="dxa"/>
        <w:tblLook w:val="04A0" w:firstRow="1" w:lastRow="0" w:firstColumn="1" w:lastColumn="0" w:noHBand="0" w:noVBand="1"/>
      </w:tblPr>
      <w:tblGrid>
        <w:gridCol w:w="2419"/>
        <w:gridCol w:w="2419"/>
        <w:gridCol w:w="2420"/>
      </w:tblGrid>
      <w:tr w:rsidR="001D0AB7" w:rsidRPr="00040D99" w14:paraId="1E640AD4" w14:textId="77777777" w:rsidTr="00AF1C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58AF1D8F" w14:textId="77777777" w:rsidR="001D0AB7" w:rsidRPr="0017374C" w:rsidRDefault="001D0AB7" w:rsidP="00AF1C52">
            <w:pPr>
              <w:rPr>
                <w:noProof/>
              </w:rPr>
            </w:pPr>
          </w:p>
        </w:tc>
        <w:tc>
          <w:tcPr>
            <w:tcW w:w="2419" w:type="dxa"/>
          </w:tcPr>
          <w:p w14:paraId="510DDAD4" w14:textId="77777777" w:rsidR="001D0AB7" w:rsidRPr="0017374C" w:rsidRDefault="001D0AB7" w:rsidP="00AF1C52">
            <w:pPr>
              <w:cnfStyle w:val="100000000000" w:firstRow="1" w:lastRow="0" w:firstColumn="0" w:lastColumn="0" w:oddVBand="0" w:evenVBand="0" w:oddHBand="0" w:evenHBand="0" w:firstRowFirstColumn="0" w:firstRowLastColumn="0" w:lastRowFirstColumn="0" w:lastRowLastColumn="0"/>
              <w:rPr>
                <w:noProof/>
              </w:rPr>
            </w:pPr>
            <w:r w:rsidRPr="0017374C">
              <w:rPr>
                <w:noProof/>
              </w:rPr>
              <w:t>Voted budget implementation</w:t>
            </w:r>
          </w:p>
        </w:tc>
        <w:tc>
          <w:tcPr>
            <w:tcW w:w="2420" w:type="dxa"/>
          </w:tcPr>
          <w:p w14:paraId="1B90D5BA" w14:textId="77777777" w:rsidR="001D0AB7" w:rsidRPr="0017374C" w:rsidRDefault="001D0AB7" w:rsidP="00AF1C52">
            <w:pPr>
              <w:cnfStyle w:val="100000000000" w:firstRow="1" w:lastRow="0" w:firstColumn="0" w:lastColumn="0" w:oddVBand="0" w:evenVBand="0" w:oddHBand="0" w:evenHBand="0" w:firstRowFirstColumn="0" w:firstRowLastColumn="0" w:lastRowFirstColumn="0" w:lastRowLastColumn="0"/>
              <w:rPr>
                <w:noProof/>
              </w:rPr>
            </w:pPr>
            <w:r w:rsidRPr="0017374C">
              <w:rPr>
                <w:noProof/>
              </w:rPr>
              <w:t>Initial voted budget</w:t>
            </w:r>
          </w:p>
        </w:tc>
      </w:tr>
      <w:tr w:rsidR="001D0AB7" w:rsidRPr="00040D99" w14:paraId="2DA2008B" w14:textId="77777777" w:rsidTr="00AF1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7F001AB6" w14:textId="77777777" w:rsidR="001D0AB7" w:rsidRPr="0017374C" w:rsidRDefault="001D0AB7" w:rsidP="00AF1C52">
            <w:pPr>
              <w:jc w:val="center"/>
              <w:rPr>
                <w:noProof/>
              </w:rPr>
            </w:pPr>
            <w:r w:rsidRPr="0017374C">
              <w:rPr>
                <w:noProof/>
              </w:rPr>
              <w:t>Commitments</w:t>
            </w:r>
          </w:p>
        </w:tc>
        <w:tc>
          <w:tcPr>
            <w:tcW w:w="2419" w:type="dxa"/>
          </w:tcPr>
          <w:p w14:paraId="420DC50F" w14:textId="77777777" w:rsidR="001D0AB7" w:rsidRPr="0017374C" w:rsidRDefault="001D0AB7" w:rsidP="00AF1C52">
            <w:pPr>
              <w:jc w:val="center"/>
              <w:cnfStyle w:val="000000100000" w:firstRow="0" w:lastRow="0" w:firstColumn="0" w:lastColumn="0" w:oddVBand="0" w:evenVBand="0" w:oddHBand="1" w:evenHBand="0" w:firstRowFirstColumn="0" w:firstRowLastColumn="0" w:lastRowFirstColumn="0" w:lastRowLastColumn="0"/>
              <w:rPr>
                <w:noProof/>
              </w:rPr>
            </w:pPr>
            <w:r w:rsidRPr="00EA1623">
              <w:rPr>
                <w:noProof/>
              </w:rPr>
              <w:t>0</w:t>
            </w:r>
            <w:r>
              <w:rPr>
                <w:noProof/>
              </w:rPr>
              <w:t>.</w:t>
            </w:r>
            <w:r w:rsidRPr="00EA1623">
              <w:rPr>
                <w:noProof/>
              </w:rPr>
              <w:t>8</w:t>
            </w:r>
          </w:p>
        </w:tc>
        <w:tc>
          <w:tcPr>
            <w:tcW w:w="2420" w:type="dxa"/>
          </w:tcPr>
          <w:p w14:paraId="254D9D8D" w14:textId="77777777" w:rsidR="001D0AB7" w:rsidRPr="0017374C" w:rsidRDefault="001D0AB7" w:rsidP="00AF1C52">
            <w:pPr>
              <w:jc w:val="center"/>
              <w:cnfStyle w:val="000000100000" w:firstRow="0" w:lastRow="0" w:firstColumn="0" w:lastColumn="0" w:oddVBand="0" w:evenVBand="0" w:oddHBand="1" w:evenHBand="0" w:firstRowFirstColumn="0" w:firstRowLastColumn="0" w:lastRowFirstColumn="0" w:lastRowLastColumn="0"/>
              <w:rPr>
                <w:noProof/>
              </w:rPr>
            </w:pPr>
            <w:r w:rsidRPr="00EA1623">
              <w:rPr>
                <w:noProof/>
              </w:rPr>
              <w:t>0</w:t>
            </w:r>
            <w:r>
              <w:rPr>
                <w:noProof/>
              </w:rPr>
              <w:t>.</w:t>
            </w:r>
            <w:r w:rsidRPr="00EA1623">
              <w:rPr>
                <w:noProof/>
              </w:rPr>
              <w:t>8</w:t>
            </w:r>
          </w:p>
        </w:tc>
      </w:tr>
      <w:tr w:rsidR="001D0AB7" w:rsidRPr="00040D99" w14:paraId="63B4856A" w14:textId="77777777" w:rsidTr="00AF1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3AFB9190" w14:textId="77777777" w:rsidR="001D0AB7" w:rsidRPr="0017374C" w:rsidRDefault="001D0AB7" w:rsidP="00AF1C52">
            <w:pPr>
              <w:jc w:val="center"/>
              <w:rPr>
                <w:noProof/>
              </w:rPr>
            </w:pPr>
            <w:r w:rsidRPr="0017374C">
              <w:rPr>
                <w:noProof/>
              </w:rPr>
              <w:t>Payments</w:t>
            </w:r>
          </w:p>
        </w:tc>
        <w:tc>
          <w:tcPr>
            <w:tcW w:w="2419" w:type="dxa"/>
          </w:tcPr>
          <w:p w14:paraId="600C1C93" w14:textId="77777777" w:rsidR="001D0AB7" w:rsidRPr="0017374C" w:rsidRDefault="001D0AB7" w:rsidP="00AF1C52">
            <w:pPr>
              <w:jc w:val="center"/>
              <w:cnfStyle w:val="000000010000" w:firstRow="0" w:lastRow="0" w:firstColumn="0" w:lastColumn="0" w:oddVBand="0" w:evenVBand="0" w:oddHBand="0" w:evenHBand="1" w:firstRowFirstColumn="0" w:firstRowLastColumn="0" w:lastRowFirstColumn="0" w:lastRowLastColumn="0"/>
              <w:rPr>
                <w:noProof/>
              </w:rPr>
            </w:pPr>
            <w:r>
              <w:rPr>
                <w:noProof/>
              </w:rPr>
              <w:t>0.3</w:t>
            </w:r>
          </w:p>
        </w:tc>
        <w:tc>
          <w:tcPr>
            <w:tcW w:w="2420" w:type="dxa"/>
          </w:tcPr>
          <w:p w14:paraId="4BB11662" w14:textId="77777777" w:rsidR="001D0AB7" w:rsidRPr="0017374C" w:rsidRDefault="001D0AB7" w:rsidP="00AF1C52">
            <w:pPr>
              <w:jc w:val="center"/>
              <w:cnfStyle w:val="000000010000" w:firstRow="0" w:lastRow="0" w:firstColumn="0" w:lastColumn="0" w:oddVBand="0" w:evenVBand="0" w:oddHBand="0" w:evenHBand="1" w:firstRowFirstColumn="0" w:firstRowLastColumn="0" w:lastRowFirstColumn="0" w:lastRowLastColumn="0"/>
              <w:rPr>
                <w:noProof/>
              </w:rPr>
            </w:pPr>
            <w:r>
              <w:rPr>
                <w:noProof/>
              </w:rPr>
              <w:t>0.4</w:t>
            </w:r>
          </w:p>
        </w:tc>
      </w:tr>
    </w:tbl>
    <w:p w14:paraId="1F6F2F37" w14:textId="77777777" w:rsidR="001D0AB7" w:rsidRDefault="001D0AB7" w:rsidP="001D0AB7">
      <w:pPr>
        <w:pStyle w:val="ppoListHyphened-L1"/>
        <w:numPr>
          <w:ilvl w:val="0"/>
          <w:numId w:val="0"/>
        </w:numPr>
        <w:ind w:left="357"/>
        <w:rPr>
          <w:noProof/>
        </w:rPr>
      </w:pPr>
    </w:p>
    <w:p w14:paraId="0773268D" w14:textId="77777777" w:rsidR="001D0AB7" w:rsidRPr="008A592F" w:rsidRDefault="001D0AB7" w:rsidP="001D0AB7">
      <w:pPr>
        <w:pStyle w:val="ppoListHyphened-L1"/>
        <w:rPr>
          <w:noProof/>
        </w:rPr>
      </w:pPr>
      <w:r w:rsidRPr="008A592F">
        <w:rPr>
          <w:noProof/>
        </w:rPr>
        <w:t xml:space="preserve">The commitments reached 100% of the overall budget for 2021, funding eight projects in total. </w:t>
      </w:r>
    </w:p>
    <w:p w14:paraId="679AB355" w14:textId="77777777" w:rsidR="001D0AB7" w:rsidRPr="008A592F" w:rsidRDefault="001D0AB7" w:rsidP="001D0AB7">
      <w:pPr>
        <w:pStyle w:val="ppoListHyphened-L1"/>
        <w:rPr>
          <w:noProof/>
        </w:rPr>
      </w:pPr>
      <w:r w:rsidRPr="008A592F">
        <w:rPr>
          <w:noProof/>
        </w:rPr>
        <w:t xml:space="preserve">The number of actions in 2021 is lower than in previous years due to the larger size of the actions and a lower budget in 2021. </w:t>
      </w:r>
    </w:p>
    <w:p w14:paraId="34DEA1FD" w14:textId="77777777" w:rsidR="001D0AB7" w:rsidRPr="008A592F" w:rsidRDefault="001D0AB7" w:rsidP="001D0AB7">
      <w:pPr>
        <w:pStyle w:val="ppoListHyphened-L1"/>
        <w:rPr>
          <w:noProof/>
        </w:rPr>
      </w:pPr>
      <w:r w:rsidRPr="008A592F">
        <w:rPr>
          <w:noProof/>
        </w:rPr>
        <w:t>The eight actions for which commitments were made in 2021 consist of five grants awarded from applications originating from the competent authorities of the Member States and three Commission actions.</w:t>
      </w:r>
    </w:p>
    <w:p w14:paraId="5BF94625" w14:textId="77777777" w:rsidR="001D0AB7" w:rsidRPr="008A592F" w:rsidRDefault="001D0AB7" w:rsidP="001D0AB7">
      <w:pPr>
        <w:pStyle w:val="ppoListHyphened-L1"/>
        <w:rPr>
          <w:noProof/>
        </w:rPr>
      </w:pPr>
      <w:r w:rsidRPr="008A592F">
        <w:rPr>
          <w:noProof/>
        </w:rPr>
        <w:t xml:space="preserve">Grants were approved for two conferences/seminars, two technical training courses and one staff exchange. One of the actions </w:t>
      </w:r>
      <w:r>
        <w:rPr>
          <w:noProof/>
        </w:rPr>
        <w:t>will take</w:t>
      </w:r>
      <w:r w:rsidRPr="008A592F">
        <w:rPr>
          <w:noProof/>
        </w:rPr>
        <w:t xml:space="preserve"> place outside of the EU, namely in Peru, </w:t>
      </w:r>
      <w:r>
        <w:rPr>
          <w:noProof/>
        </w:rPr>
        <w:t xml:space="preserve">with </w:t>
      </w:r>
      <w:r w:rsidRPr="008A592F">
        <w:rPr>
          <w:noProof/>
        </w:rPr>
        <w:t xml:space="preserve">participants from 14 </w:t>
      </w:r>
      <w:r w:rsidRPr="008F1ED8">
        <w:rPr>
          <w:noProof/>
        </w:rPr>
        <w:t>Latin American</w:t>
      </w:r>
      <w:r w:rsidRPr="008A592F">
        <w:rPr>
          <w:noProof/>
        </w:rPr>
        <w:t xml:space="preserve"> countries. </w:t>
      </w:r>
    </w:p>
    <w:p w14:paraId="0504CE1D" w14:textId="77777777" w:rsidR="001D0AB7" w:rsidRPr="008A592F" w:rsidRDefault="001D0AB7" w:rsidP="001D0AB7">
      <w:pPr>
        <w:pStyle w:val="ppoListHyphened-L1"/>
        <w:rPr>
          <w:noProof/>
        </w:rPr>
      </w:pPr>
      <w:r w:rsidRPr="008A592F">
        <w:rPr>
          <w:noProof/>
        </w:rPr>
        <w:t>Th</w:t>
      </w:r>
      <w:r>
        <w:rPr>
          <w:noProof/>
        </w:rPr>
        <w:t>re</w:t>
      </w:r>
      <w:r w:rsidRPr="008A592F">
        <w:rPr>
          <w:noProof/>
        </w:rPr>
        <w:t xml:space="preserve">e Commission actions were committed using existing framework contracts: the final evaluation of </w:t>
      </w:r>
      <w:r>
        <w:rPr>
          <w:noProof/>
        </w:rPr>
        <w:t xml:space="preserve">the </w:t>
      </w:r>
      <w:r w:rsidRPr="008A592F">
        <w:rPr>
          <w:noProof/>
        </w:rPr>
        <w:t>Pericles</w:t>
      </w:r>
      <w:r>
        <w:rPr>
          <w:rFonts w:ascii="Calibri" w:hAnsi="Calibri" w:cs="Calibri"/>
          <w:noProof/>
        </w:rPr>
        <w:t> </w:t>
      </w:r>
      <w:r w:rsidRPr="008A592F">
        <w:rPr>
          <w:noProof/>
        </w:rPr>
        <w:t>2020 programme; the October 2021 virtual technical training ‘Pristina-Tirana on coin analysis and classification’</w:t>
      </w:r>
      <w:r>
        <w:rPr>
          <w:noProof/>
        </w:rPr>
        <w:t>;</w:t>
      </w:r>
      <w:r w:rsidRPr="008A592F">
        <w:rPr>
          <w:noProof/>
        </w:rPr>
        <w:t xml:space="preserve"> and the November 2021 virtual conference ‘3rd Platform 1210 Meeting’.</w:t>
      </w:r>
    </w:p>
    <w:p w14:paraId="2463EBC1" w14:textId="77777777" w:rsidR="001D0AB7" w:rsidRPr="00040D99" w:rsidRDefault="001D0AB7" w:rsidP="001D0AB7">
      <w:pPr>
        <w:pStyle w:val="ppoHeading5"/>
        <w:rPr>
          <w:noProof/>
        </w:rPr>
      </w:pPr>
      <w:r w:rsidRPr="00040D99">
        <w:rPr>
          <w:noProof/>
        </w:rPr>
        <w:t>Contribution to horizontal priorities</w:t>
      </w:r>
    </w:p>
    <w:p w14:paraId="28580DF3" w14:textId="77777777" w:rsidR="001D0AB7" w:rsidRPr="00040D99" w:rsidRDefault="001D0AB7" w:rsidP="001D0AB7">
      <w:pPr>
        <w:pStyle w:val="ppoTableTabletitle"/>
        <w:rPr>
          <w:noProof/>
        </w:rPr>
      </w:pPr>
      <w:r w:rsidRPr="00040D99">
        <w:rPr>
          <w:noProof/>
        </w:rPr>
        <w:t>EU budget contribution in 2021</w:t>
      </w:r>
      <w:r>
        <w:rPr>
          <w:noProof/>
        </w:rPr>
        <w:t xml:space="preserve"> (million EUR)</w:t>
      </w:r>
      <w:r w:rsidRPr="00040D99">
        <w:rPr>
          <w:noProof/>
        </w:rPr>
        <w:t>:</w:t>
      </w:r>
    </w:p>
    <w:tbl>
      <w:tblPr>
        <w:tblStyle w:val="PPO2021"/>
        <w:tblW w:w="9639" w:type="dxa"/>
        <w:tblInd w:w="0" w:type="dxa"/>
        <w:tblLook w:val="0420" w:firstRow="1" w:lastRow="0" w:firstColumn="0" w:lastColumn="0" w:noHBand="0" w:noVBand="1"/>
      </w:tblPr>
      <w:tblGrid>
        <w:gridCol w:w="3213"/>
        <w:gridCol w:w="3213"/>
        <w:gridCol w:w="3213"/>
      </w:tblGrid>
      <w:tr w:rsidR="001D0AB7" w:rsidRPr="00040D99" w14:paraId="0CC65F9F" w14:textId="77777777" w:rsidTr="00AF1C52">
        <w:trPr>
          <w:cnfStyle w:val="100000000000" w:firstRow="1" w:lastRow="0" w:firstColumn="0" w:lastColumn="0" w:oddVBand="0" w:evenVBand="0" w:oddHBand="0" w:evenHBand="0" w:firstRowFirstColumn="0" w:firstRowLastColumn="0" w:lastRowFirstColumn="0" w:lastRowLastColumn="0"/>
          <w:tblHeader/>
        </w:trPr>
        <w:tc>
          <w:tcPr>
            <w:tcW w:w="3213" w:type="dxa"/>
          </w:tcPr>
          <w:p w14:paraId="551BFE04" w14:textId="77777777" w:rsidR="001D0AB7" w:rsidRPr="00BD731A" w:rsidRDefault="001D0AB7" w:rsidP="00AF1C52">
            <w:pPr>
              <w:rPr>
                <w:noProof/>
              </w:rPr>
            </w:pPr>
            <w:r w:rsidRPr="00BD731A">
              <w:rPr>
                <w:noProof/>
              </w:rPr>
              <w:t>Climate</w:t>
            </w:r>
          </w:p>
        </w:tc>
        <w:tc>
          <w:tcPr>
            <w:tcW w:w="3213" w:type="dxa"/>
          </w:tcPr>
          <w:p w14:paraId="2DECB805" w14:textId="77777777" w:rsidR="001D0AB7" w:rsidRPr="00BD731A" w:rsidRDefault="001D0AB7" w:rsidP="00AF1C52">
            <w:pPr>
              <w:rPr>
                <w:noProof/>
              </w:rPr>
            </w:pPr>
            <w:r w:rsidRPr="00BD731A">
              <w:rPr>
                <w:noProof/>
              </w:rPr>
              <w:t>Biodiversity</w:t>
            </w:r>
          </w:p>
        </w:tc>
        <w:tc>
          <w:tcPr>
            <w:tcW w:w="3213" w:type="dxa"/>
          </w:tcPr>
          <w:p w14:paraId="6D5C661D" w14:textId="77777777" w:rsidR="001D0AB7" w:rsidRPr="00BD731A" w:rsidRDefault="001D0AB7" w:rsidP="00AF1C52">
            <w:pPr>
              <w:rPr>
                <w:noProof/>
              </w:rPr>
            </w:pPr>
            <w:r w:rsidRPr="00BD731A">
              <w:rPr>
                <w:noProof/>
              </w:rPr>
              <w:t>Gender equality</w:t>
            </w:r>
            <w:r>
              <w:rPr>
                <w:noProof/>
              </w:rPr>
              <w:t xml:space="preserve"> *</w:t>
            </w:r>
          </w:p>
        </w:tc>
      </w:tr>
      <w:tr w:rsidR="001D0AB7" w:rsidRPr="00040D99" w14:paraId="5A144DF1" w14:textId="77777777" w:rsidTr="00AF1C52">
        <w:trPr>
          <w:cnfStyle w:val="000000100000" w:firstRow="0" w:lastRow="0" w:firstColumn="0" w:lastColumn="0" w:oddVBand="0" w:evenVBand="0" w:oddHBand="1" w:evenHBand="0" w:firstRowFirstColumn="0" w:firstRowLastColumn="0" w:lastRowFirstColumn="0" w:lastRowLastColumn="0"/>
        </w:trPr>
        <w:tc>
          <w:tcPr>
            <w:tcW w:w="3213" w:type="dxa"/>
          </w:tcPr>
          <w:p w14:paraId="314F1E9F" w14:textId="77777777" w:rsidR="001D0AB7" w:rsidRPr="00BD731A" w:rsidRDefault="001D0AB7" w:rsidP="00AF1C52">
            <w:pPr>
              <w:jc w:val="center"/>
              <w:rPr>
                <w:noProof/>
              </w:rPr>
            </w:pPr>
            <w:r>
              <w:rPr>
                <w:noProof/>
              </w:rPr>
              <w:t>0</w:t>
            </w:r>
          </w:p>
        </w:tc>
        <w:tc>
          <w:tcPr>
            <w:tcW w:w="3213" w:type="dxa"/>
          </w:tcPr>
          <w:p w14:paraId="435674A8" w14:textId="77777777" w:rsidR="001D0AB7" w:rsidRPr="00BD731A" w:rsidRDefault="001D0AB7" w:rsidP="00AF1C52">
            <w:pPr>
              <w:jc w:val="center"/>
              <w:rPr>
                <w:noProof/>
              </w:rPr>
            </w:pPr>
            <w:r>
              <w:rPr>
                <w:noProof/>
              </w:rPr>
              <w:t>0</w:t>
            </w:r>
          </w:p>
        </w:tc>
        <w:tc>
          <w:tcPr>
            <w:tcW w:w="3213" w:type="dxa"/>
          </w:tcPr>
          <w:p w14:paraId="66C62207" w14:textId="77777777" w:rsidR="001D0AB7" w:rsidRPr="00BD731A" w:rsidRDefault="001D0AB7" w:rsidP="00AF1C52">
            <w:pPr>
              <w:jc w:val="center"/>
              <w:rPr>
                <w:noProof/>
              </w:rPr>
            </w:pPr>
            <w:r w:rsidRPr="00354AF2">
              <w:rPr>
                <w:noProof/>
              </w:rPr>
              <w:t>Score 0: 0</w:t>
            </w:r>
            <w:r>
              <w:rPr>
                <w:noProof/>
              </w:rPr>
              <w:t>.</w:t>
            </w:r>
            <w:r w:rsidRPr="00354AF2">
              <w:rPr>
                <w:noProof/>
              </w:rPr>
              <w:t>8</w:t>
            </w:r>
          </w:p>
        </w:tc>
      </w:tr>
    </w:tbl>
    <w:p w14:paraId="57FF09DD" w14:textId="77777777" w:rsidR="001D0AB7" w:rsidRPr="00982726" w:rsidRDefault="001D0AB7" w:rsidP="001D0AB7">
      <w:pPr>
        <w:pStyle w:val="FootnoteText"/>
        <w:rPr>
          <w:noProof/>
        </w:rPr>
      </w:pPr>
      <w:r>
        <w:rPr>
          <w:noProof/>
        </w:rPr>
        <w:t xml:space="preserve">* </w:t>
      </w:r>
      <w:r w:rsidRPr="00982726">
        <w:rPr>
          <w:noProof/>
        </w:rPr>
        <w:t xml:space="preserve">Based on the </w:t>
      </w:r>
      <w:r>
        <w:rPr>
          <w:noProof/>
        </w:rPr>
        <w:t xml:space="preserve">applied gender contribution </w:t>
      </w:r>
      <w:r w:rsidRPr="00982726">
        <w:rPr>
          <w:noProof/>
        </w:rPr>
        <w:t>methodology</w:t>
      </w:r>
      <w:r>
        <w:rPr>
          <w:noProof/>
        </w:rPr>
        <w:t>,</w:t>
      </w:r>
      <w:r w:rsidRPr="00982726">
        <w:rPr>
          <w:noProof/>
        </w:rPr>
        <w:t xml:space="preserve"> the following scores are attributed at the most granular level of intervention possible: </w:t>
      </w:r>
    </w:p>
    <w:p w14:paraId="6E2A5207" w14:textId="77777777" w:rsidR="001D0AB7" w:rsidRPr="00982726" w:rsidRDefault="001D0AB7" w:rsidP="001D0AB7">
      <w:pPr>
        <w:pStyle w:val="FootnoteText"/>
        <w:numPr>
          <w:ilvl w:val="0"/>
          <w:numId w:val="38"/>
        </w:numPr>
        <w:spacing w:after="60" w:line="264" w:lineRule="auto"/>
        <w:jc w:val="left"/>
        <w:rPr>
          <w:noProof/>
        </w:rPr>
      </w:pPr>
      <w:r>
        <w:rPr>
          <w:noProof/>
        </w:rPr>
        <w:t>2:</w:t>
      </w:r>
      <w:r w:rsidRPr="00982726">
        <w:rPr>
          <w:noProof/>
        </w:rPr>
        <w:t xml:space="preserve"> </w:t>
      </w:r>
      <w:r>
        <w:rPr>
          <w:noProof/>
        </w:rPr>
        <w:t>i</w:t>
      </w:r>
      <w:r w:rsidRPr="00982726">
        <w:rPr>
          <w:noProof/>
        </w:rPr>
        <w:t xml:space="preserve">nterventions </w:t>
      </w:r>
      <w:r>
        <w:rPr>
          <w:noProof/>
        </w:rPr>
        <w:t>the</w:t>
      </w:r>
      <w:r w:rsidRPr="00982726">
        <w:rPr>
          <w:noProof/>
        </w:rPr>
        <w:t xml:space="preserve"> principal objective </w:t>
      </w:r>
      <w:r>
        <w:rPr>
          <w:noProof/>
        </w:rPr>
        <w:t xml:space="preserve">of which </w:t>
      </w:r>
      <w:r w:rsidRPr="00982726">
        <w:rPr>
          <w:noProof/>
        </w:rPr>
        <w:t>is to improve gender equality;</w:t>
      </w:r>
    </w:p>
    <w:p w14:paraId="6899C236" w14:textId="77777777" w:rsidR="001D0AB7" w:rsidRPr="00982726" w:rsidRDefault="001D0AB7" w:rsidP="001D0AB7">
      <w:pPr>
        <w:pStyle w:val="FootnoteText"/>
        <w:numPr>
          <w:ilvl w:val="0"/>
          <w:numId w:val="38"/>
        </w:numPr>
        <w:spacing w:after="60" w:line="264" w:lineRule="auto"/>
        <w:jc w:val="left"/>
        <w:rPr>
          <w:noProof/>
        </w:rPr>
      </w:pPr>
      <w:r>
        <w:rPr>
          <w:noProof/>
        </w:rPr>
        <w:t>1:</w:t>
      </w:r>
      <w:r w:rsidRPr="00982726">
        <w:rPr>
          <w:noProof/>
        </w:rPr>
        <w:t xml:space="preserve"> </w:t>
      </w:r>
      <w:r>
        <w:rPr>
          <w:noProof/>
        </w:rPr>
        <w:t>i</w:t>
      </w:r>
      <w:r w:rsidRPr="00982726">
        <w:rPr>
          <w:noProof/>
        </w:rPr>
        <w:t xml:space="preserve">nterventions </w:t>
      </w:r>
      <w:r>
        <w:rPr>
          <w:noProof/>
        </w:rPr>
        <w:t>that have</w:t>
      </w:r>
      <w:r w:rsidRPr="00982726">
        <w:rPr>
          <w:noProof/>
        </w:rPr>
        <w:t xml:space="preserve"> gender equality as an important and deliberate objective but not as the main reason for the intervention;</w:t>
      </w:r>
    </w:p>
    <w:p w14:paraId="6DBC9291" w14:textId="77777777" w:rsidR="001D0AB7" w:rsidRPr="00982726" w:rsidRDefault="001D0AB7" w:rsidP="001D0AB7">
      <w:pPr>
        <w:pStyle w:val="FootnoteText"/>
        <w:numPr>
          <w:ilvl w:val="0"/>
          <w:numId w:val="38"/>
        </w:numPr>
        <w:spacing w:after="60" w:line="264" w:lineRule="auto"/>
        <w:jc w:val="left"/>
        <w:rPr>
          <w:noProof/>
        </w:rPr>
      </w:pPr>
      <w:r>
        <w:rPr>
          <w:noProof/>
        </w:rPr>
        <w:t>0:</w:t>
      </w:r>
      <w:r w:rsidRPr="00982726">
        <w:rPr>
          <w:noProof/>
        </w:rPr>
        <w:t xml:space="preserve"> </w:t>
      </w:r>
      <w:r>
        <w:rPr>
          <w:noProof/>
        </w:rPr>
        <w:t>non-</w:t>
      </w:r>
      <w:r w:rsidRPr="00982726">
        <w:rPr>
          <w:noProof/>
        </w:rPr>
        <w:t>targeted interventions</w:t>
      </w:r>
      <w:r>
        <w:rPr>
          <w:noProof/>
        </w:rPr>
        <w:t>;</w:t>
      </w:r>
      <w:r w:rsidRPr="00982726">
        <w:rPr>
          <w:noProof/>
        </w:rPr>
        <w:t xml:space="preserve"> </w:t>
      </w:r>
    </w:p>
    <w:p w14:paraId="764FB5AA" w14:textId="77777777" w:rsidR="001D0AB7" w:rsidRPr="00982726" w:rsidRDefault="001D0AB7" w:rsidP="001D0AB7">
      <w:pPr>
        <w:pStyle w:val="FootnoteText"/>
        <w:numPr>
          <w:ilvl w:val="0"/>
          <w:numId w:val="38"/>
        </w:numPr>
        <w:spacing w:after="60" w:line="264" w:lineRule="auto"/>
        <w:jc w:val="left"/>
        <w:rPr>
          <w:noProof/>
        </w:rPr>
      </w:pPr>
      <w:r>
        <w:rPr>
          <w:noProof/>
        </w:rPr>
        <w:t>0*:</w:t>
      </w:r>
      <w:r w:rsidRPr="00982726">
        <w:rPr>
          <w:noProof/>
        </w:rPr>
        <w:t xml:space="preserve"> </w:t>
      </w:r>
      <w:r>
        <w:rPr>
          <w:noProof/>
        </w:rPr>
        <w:t>s</w:t>
      </w:r>
      <w:r w:rsidRPr="00982726">
        <w:rPr>
          <w:noProof/>
        </w:rPr>
        <w:t xml:space="preserve">core to be assigned to interventions with </w:t>
      </w:r>
      <w:r>
        <w:rPr>
          <w:noProof/>
        </w:rPr>
        <w:t xml:space="preserve">a </w:t>
      </w:r>
      <w:r w:rsidRPr="00982726">
        <w:rPr>
          <w:noProof/>
        </w:rPr>
        <w:t>likely but not yet clear positive impact on gender equality.</w:t>
      </w:r>
    </w:p>
    <w:p w14:paraId="6AF937A9" w14:textId="77777777" w:rsidR="001D0AB7" w:rsidRPr="00040D99" w:rsidRDefault="001D0AB7" w:rsidP="001D0AB7">
      <w:pPr>
        <w:pStyle w:val="ppoHeading5"/>
        <w:rPr>
          <w:noProof/>
        </w:rPr>
      </w:pPr>
      <w:r w:rsidRPr="00040D99">
        <w:rPr>
          <w:noProof/>
        </w:rPr>
        <w:t>Performance assessment</w:t>
      </w:r>
    </w:p>
    <w:p w14:paraId="75D946CD" w14:textId="77777777" w:rsidR="001D0AB7" w:rsidRPr="00040D99" w:rsidRDefault="001D0AB7" w:rsidP="001D0AB7">
      <w:pPr>
        <w:pStyle w:val="ppoHeading6"/>
        <w:rPr>
          <w:noProof/>
        </w:rPr>
      </w:pPr>
      <w:r w:rsidRPr="00040D99">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1D0AB7" w:rsidRPr="00AC11E4" w14:paraId="14EAE3DB" w14:textId="77777777" w:rsidTr="00AF1C52">
        <w:trPr>
          <w:cnfStyle w:val="100000000000" w:firstRow="1" w:lastRow="0" w:firstColumn="0" w:lastColumn="0" w:oddVBand="0" w:evenVBand="0" w:oddHBand="0" w:evenHBand="0" w:firstRowFirstColumn="0" w:firstRowLastColumn="0" w:lastRowFirstColumn="0" w:lastRowLastColumn="0"/>
        </w:trPr>
        <w:tc>
          <w:tcPr>
            <w:tcW w:w="2330" w:type="dxa"/>
          </w:tcPr>
          <w:p w14:paraId="2B7E22C8" w14:textId="77777777" w:rsidR="001D0AB7" w:rsidRPr="00884C9A" w:rsidRDefault="001D0AB7" w:rsidP="00AF1C52">
            <w:pPr>
              <w:rPr>
                <w:noProof/>
              </w:rPr>
            </w:pPr>
          </w:p>
        </w:tc>
        <w:tc>
          <w:tcPr>
            <w:tcW w:w="1100" w:type="dxa"/>
          </w:tcPr>
          <w:p w14:paraId="21091352" w14:textId="77777777" w:rsidR="001D0AB7" w:rsidRPr="00884C9A" w:rsidRDefault="001D0AB7" w:rsidP="00AF1C52">
            <w:pPr>
              <w:rPr>
                <w:noProof/>
              </w:rPr>
            </w:pPr>
            <w:r w:rsidRPr="00884C9A">
              <w:rPr>
                <w:noProof/>
              </w:rPr>
              <w:t>Baseline</w:t>
            </w:r>
          </w:p>
        </w:tc>
        <w:tc>
          <w:tcPr>
            <w:tcW w:w="1526" w:type="dxa"/>
          </w:tcPr>
          <w:p w14:paraId="74370142" w14:textId="77777777" w:rsidR="001D0AB7" w:rsidRPr="00CF07A3" w:rsidRDefault="001D0AB7" w:rsidP="00AF1C52">
            <w:pPr>
              <w:rPr>
                <w:rFonts w:cs="Calibri"/>
                <w:noProof/>
              </w:rPr>
            </w:pPr>
            <w:r w:rsidRPr="00CF07A3">
              <w:rPr>
                <w:noProof/>
              </w:rPr>
              <w:t>Progress</w:t>
            </w:r>
            <w:r w:rsidRPr="00CF07A3">
              <w:rPr>
                <w:rFonts w:ascii="Calibri" w:hAnsi="Calibri" w:cs="Calibri"/>
                <w:noProof/>
              </w:rPr>
              <w:t> </w:t>
            </w:r>
            <w:r w:rsidRPr="00D63135">
              <w:rPr>
                <w:rFonts w:cs="Calibri"/>
                <w:noProof/>
              </w:rPr>
              <w:t>(*)</w:t>
            </w:r>
          </w:p>
        </w:tc>
        <w:tc>
          <w:tcPr>
            <w:tcW w:w="1532" w:type="dxa"/>
          </w:tcPr>
          <w:p w14:paraId="7D384453" w14:textId="77777777" w:rsidR="001D0AB7" w:rsidRPr="00884C9A" w:rsidRDefault="001D0AB7" w:rsidP="00AF1C52">
            <w:pPr>
              <w:rPr>
                <w:noProof/>
              </w:rPr>
            </w:pPr>
            <w:r w:rsidRPr="00884C9A">
              <w:rPr>
                <w:noProof/>
              </w:rPr>
              <w:t>Target</w:t>
            </w:r>
          </w:p>
        </w:tc>
        <w:tc>
          <w:tcPr>
            <w:tcW w:w="1572" w:type="dxa"/>
          </w:tcPr>
          <w:p w14:paraId="72A20E06" w14:textId="77777777" w:rsidR="001D0AB7" w:rsidRPr="00884C9A" w:rsidRDefault="001D0AB7" w:rsidP="00AF1C52">
            <w:pPr>
              <w:rPr>
                <w:noProof/>
              </w:rPr>
            </w:pPr>
            <w:r w:rsidRPr="00884C9A">
              <w:rPr>
                <w:noProof/>
              </w:rPr>
              <w:t>Results</w:t>
            </w:r>
          </w:p>
        </w:tc>
        <w:tc>
          <w:tcPr>
            <w:tcW w:w="1579" w:type="dxa"/>
          </w:tcPr>
          <w:p w14:paraId="4E00EF58" w14:textId="77777777" w:rsidR="001D0AB7" w:rsidRPr="00884C9A" w:rsidRDefault="001D0AB7" w:rsidP="00AF1C52">
            <w:pPr>
              <w:rPr>
                <w:noProof/>
              </w:rPr>
            </w:pPr>
            <w:r w:rsidRPr="00884C9A">
              <w:rPr>
                <w:noProof/>
              </w:rPr>
              <w:t>Assessment</w:t>
            </w:r>
          </w:p>
        </w:tc>
      </w:tr>
      <w:tr w:rsidR="001D0AB7" w:rsidRPr="00AC11E4" w14:paraId="30324AA4" w14:textId="77777777" w:rsidTr="00AF1C52">
        <w:trPr>
          <w:cnfStyle w:val="000000100000" w:firstRow="0" w:lastRow="0" w:firstColumn="0" w:lastColumn="0" w:oddVBand="0" w:evenVBand="0" w:oddHBand="1" w:evenHBand="0" w:firstRowFirstColumn="0" w:firstRowLastColumn="0" w:lastRowFirstColumn="0" w:lastRowLastColumn="0"/>
        </w:trPr>
        <w:tc>
          <w:tcPr>
            <w:tcW w:w="2330" w:type="dxa"/>
          </w:tcPr>
          <w:p w14:paraId="1233F6B8" w14:textId="77777777" w:rsidR="001D0AB7" w:rsidRPr="00884C9A" w:rsidRDefault="001D0AB7" w:rsidP="00AF1C52">
            <w:pPr>
              <w:rPr>
                <w:noProof/>
              </w:rPr>
            </w:pPr>
            <w:r>
              <w:rPr>
                <w:noProof/>
              </w:rPr>
              <w:t>Counterfeit euro banknotes detected in circulation</w:t>
            </w:r>
          </w:p>
        </w:tc>
        <w:tc>
          <w:tcPr>
            <w:tcW w:w="1100" w:type="dxa"/>
          </w:tcPr>
          <w:p w14:paraId="6E8CA01F" w14:textId="77777777" w:rsidR="001D0AB7" w:rsidRPr="00884C9A" w:rsidRDefault="001D0AB7" w:rsidP="00AF1C52">
            <w:pPr>
              <w:jc w:val="center"/>
              <w:rPr>
                <w:noProof/>
              </w:rPr>
            </w:pPr>
            <w:r>
              <w:rPr>
                <w:noProof/>
              </w:rPr>
              <w:t>0</w:t>
            </w:r>
          </w:p>
        </w:tc>
        <w:tc>
          <w:tcPr>
            <w:tcW w:w="1526" w:type="dxa"/>
          </w:tcPr>
          <w:p w14:paraId="23E7B6B5" w14:textId="77777777" w:rsidR="001D0AB7" w:rsidRPr="00724FDD" w:rsidRDefault="001D0AB7" w:rsidP="00AF1C52">
            <w:pPr>
              <w:jc w:val="center"/>
              <w:rPr>
                <w:b/>
                <w:noProof/>
              </w:rPr>
            </w:pPr>
            <w:r>
              <w:rPr>
                <w:noProof/>
              </w:rPr>
              <w:t>0%</w:t>
            </w:r>
          </w:p>
        </w:tc>
        <w:tc>
          <w:tcPr>
            <w:tcW w:w="1532" w:type="dxa"/>
          </w:tcPr>
          <w:p w14:paraId="0B58F188" w14:textId="77777777" w:rsidR="001D0AB7" w:rsidRPr="00884C9A" w:rsidRDefault="001D0AB7" w:rsidP="00AF1C52">
            <w:pPr>
              <w:jc w:val="center"/>
              <w:rPr>
                <w:noProof/>
              </w:rPr>
            </w:pPr>
            <w:r>
              <w:rPr>
                <w:noProof/>
              </w:rPr>
              <w:t>671</w:t>
            </w:r>
            <w:r>
              <w:rPr>
                <w:rFonts w:ascii="Calibri" w:hAnsi="Calibri" w:cs="Calibri"/>
                <w:noProof/>
              </w:rPr>
              <w:t> </w:t>
            </w:r>
            <w:r>
              <w:rPr>
                <w:noProof/>
              </w:rPr>
              <w:t>000 annually</w:t>
            </w:r>
            <w:r>
              <w:rPr>
                <w:rFonts w:ascii="Calibri" w:hAnsi="Calibri" w:cs="Calibri"/>
                <w:noProof/>
              </w:rPr>
              <w:t> </w:t>
            </w:r>
            <w:r>
              <w:rPr>
                <w:noProof/>
              </w:rPr>
              <w:t>(</w:t>
            </w:r>
            <w:r>
              <w:rPr>
                <w:noProof/>
                <w:vertAlign w:val="superscript"/>
              </w:rPr>
              <w:t>2</w:t>
            </w:r>
            <w:r>
              <w:rPr>
                <w:noProof/>
              </w:rPr>
              <w:t>)</w:t>
            </w:r>
          </w:p>
        </w:tc>
        <w:tc>
          <w:tcPr>
            <w:tcW w:w="1572" w:type="dxa"/>
          </w:tcPr>
          <w:p w14:paraId="6E36B596" w14:textId="77777777" w:rsidR="001D0AB7" w:rsidRPr="00884C9A" w:rsidRDefault="001D0AB7" w:rsidP="00AF1C52">
            <w:pPr>
              <w:jc w:val="center"/>
              <w:rPr>
                <w:noProof/>
              </w:rPr>
            </w:pPr>
            <w:r>
              <w:rPr>
                <w:noProof/>
              </w:rPr>
              <w:t>Target not achieved in 2021. 347</w:t>
            </w:r>
            <w:r>
              <w:rPr>
                <w:rFonts w:ascii="Calibri" w:hAnsi="Calibri" w:cs="Calibri"/>
                <w:noProof/>
              </w:rPr>
              <w:t> </w:t>
            </w:r>
            <w:r>
              <w:rPr>
                <w:noProof/>
              </w:rPr>
              <w:t>000 compared to 637</w:t>
            </w:r>
            <w:r>
              <w:rPr>
                <w:rFonts w:ascii="Calibri" w:hAnsi="Calibri" w:cs="Calibri"/>
                <w:noProof/>
              </w:rPr>
              <w:t> </w:t>
            </w:r>
            <w:r>
              <w:rPr>
                <w:noProof/>
              </w:rPr>
              <w:t>450</w:t>
            </w:r>
          </w:p>
        </w:tc>
        <w:tc>
          <w:tcPr>
            <w:tcW w:w="1579" w:type="dxa"/>
          </w:tcPr>
          <w:p w14:paraId="43E12AC3" w14:textId="77777777" w:rsidR="001D0AB7" w:rsidRPr="00884C9A" w:rsidRDefault="001D0AB7" w:rsidP="00AF1C52">
            <w:pPr>
              <w:jc w:val="center"/>
              <w:rPr>
                <w:noProof/>
              </w:rPr>
            </w:pPr>
            <w:r>
              <w:rPr>
                <w:noProof/>
              </w:rPr>
              <w:t>Moderate progress</w:t>
            </w:r>
          </w:p>
        </w:tc>
      </w:tr>
      <w:tr w:rsidR="001D0AB7" w:rsidRPr="00AC11E4" w14:paraId="40FE4DFC" w14:textId="77777777" w:rsidTr="00AF1C52">
        <w:trPr>
          <w:cnfStyle w:val="000000010000" w:firstRow="0" w:lastRow="0" w:firstColumn="0" w:lastColumn="0" w:oddVBand="0" w:evenVBand="0" w:oddHBand="0" w:evenHBand="1" w:firstRowFirstColumn="0" w:firstRowLastColumn="0" w:lastRowFirstColumn="0" w:lastRowLastColumn="0"/>
        </w:trPr>
        <w:tc>
          <w:tcPr>
            <w:tcW w:w="2330" w:type="dxa"/>
          </w:tcPr>
          <w:p w14:paraId="14663A37" w14:textId="77777777" w:rsidR="001D0AB7" w:rsidRPr="00884C9A" w:rsidRDefault="001D0AB7" w:rsidP="00AF1C52">
            <w:pPr>
              <w:rPr>
                <w:noProof/>
              </w:rPr>
            </w:pPr>
            <w:r>
              <w:rPr>
                <w:noProof/>
              </w:rPr>
              <w:t>Counterfeit euro coins detected in circulation</w:t>
            </w:r>
          </w:p>
        </w:tc>
        <w:tc>
          <w:tcPr>
            <w:tcW w:w="1100" w:type="dxa"/>
          </w:tcPr>
          <w:p w14:paraId="30D41225" w14:textId="77777777" w:rsidR="001D0AB7" w:rsidRPr="00884C9A" w:rsidRDefault="001D0AB7" w:rsidP="00AF1C52">
            <w:pPr>
              <w:jc w:val="center"/>
              <w:rPr>
                <w:noProof/>
              </w:rPr>
            </w:pPr>
            <w:r>
              <w:rPr>
                <w:noProof/>
              </w:rPr>
              <w:t>0</w:t>
            </w:r>
          </w:p>
        </w:tc>
        <w:tc>
          <w:tcPr>
            <w:tcW w:w="1526" w:type="dxa"/>
          </w:tcPr>
          <w:p w14:paraId="52C8D7D4" w14:textId="77777777" w:rsidR="001D0AB7" w:rsidRPr="00724FDD" w:rsidRDefault="001D0AB7" w:rsidP="00AF1C52">
            <w:pPr>
              <w:jc w:val="center"/>
              <w:rPr>
                <w:b/>
                <w:noProof/>
              </w:rPr>
            </w:pPr>
            <w:r>
              <w:rPr>
                <w:noProof/>
              </w:rPr>
              <w:t>0%</w:t>
            </w:r>
          </w:p>
        </w:tc>
        <w:tc>
          <w:tcPr>
            <w:tcW w:w="1532" w:type="dxa"/>
          </w:tcPr>
          <w:p w14:paraId="7E0CB74E" w14:textId="77777777" w:rsidR="001D0AB7" w:rsidRPr="00884C9A" w:rsidRDefault="001D0AB7" w:rsidP="00AF1C52">
            <w:pPr>
              <w:jc w:val="center"/>
              <w:rPr>
                <w:noProof/>
              </w:rPr>
            </w:pPr>
            <w:r>
              <w:rPr>
                <w:noProof/>
              </w:rPr>
              <w:t>174</w:t>
            </w:r>
            <w:r>
              <w:rPr>
                <w:rFonts w:ascii="Calibri" w:hAnsi="Calibri" w:cs="Calibri"/>
                <w:noProof/>
              </w:rPr>
              <w:t> </w:t>
            </w:r>
            <w:r>
              <w:rPr>
                <w:noProof/>
              </w:rPr>
              <w:t>112 annually</w:t>
            </w:r>
            <w:r>
              <w:rPr>
                <w:rFonts w:ascii="Calibri" w:hAnsi="Calibri" w:cs="Calibri"/>
                <w:noProof/>
              </w:rPr>
              <w:t> </w:t>
            </w:r>
            <w:r>
              <w:rPr>
                <w:noProof/>
              </w:rPr>
              <w:t>(</w:t>
            </w:r>
            <w:r>
              <w:rPr>
                <w:noProof/>
                <w:vertAlign w:val="superscript"/>
              </w:rPr>
              <w:t>2</w:t>
            </w:r>
            <w:r>
              <w:rPr>
                <w:noProof/>
              </w:rPr>
              <w:t>)</w:t>
            </w:r>
          </w:p>
        </w:tc>
        <w:tc>
          <w:tcPr>
            <w:tcW w:w="1572" w:type="dxa"/>
          </w:tcPr>
          <w:p w14:paraId="48E11CA1" w14:textId="77777777" w:rsidR="001D0AB7" w:rsidRPr="00884C9A" w:rsidRDefault="001D0AB7" w:rsidP="00AF1C52">
            <w:pPr>
              <w:jc w:val="center"/>
              <w:rPr>
                <w:noProof/>
              </w:rPr>
            </w:pPr>
            <w:r>
              <w:rPr>
                <w:noProof/>
              </w:rPr>
              <w:t>Target not achieved in 2021. 195</w:t>
            </w:r>
            <w:r>
              <w:rPr>
                <w:rFonts w:ascii="Calibri" w:hAnsi="Calibri" w:cs="Calibri"/>
                <w:noProof/>
              </w:rPr>
              <w:t> </w:t>
            </w:r>
            <w:r>
              <w:rPr>
                <w:noProof/>
              </w:rPr>
              <w:t>082 compared to 165</w:t>
            </w:r>
            <w:r>
              <w:rPr>
                <w:rFonts w:ascii="Calibri" w:hAnsi="Calibri" w:cs="Calibri"/>
                <w:noProof/>
              </w:rPr>
              <w:t> </w:t>
            </w:r>
            <w:r>
              <w:rPr>
                <w:noProof/>
              </w:rPr>
              <w:t>406</w:t>
            </w:r>
          </w:p>
        </w:tc>
        <w:tc>
          <w:tcPr>
            <w:tcW w:w="1579" w:type="dxa"/>
          </w:tcPr>
          <w:p w14:paraId="7F141889" w14:textId="77777777" w:rsidR="001D0AB7" w:rsidRPr="00884C9A" w:rsidRDefault="001D0AB7" w:rsidP="00AF1C52">
            <w:pPr>
              <w:jc w:val="center"/>
              <w:rPr>
                <w:noProof/>
              </w:rPr>
            </w:pPr>
            <w:r>
              <w:rPr>
                <w:noProof/>
              </w:rPr>
              <w:t>Moderate progress</w:t>
            </w:r>
          </w:p>
        </w:tc>
      </w:tr>
      <w:tr w:rsidR="001D0AB7" w:rsidRPr="00AC11E4" w14:paraId="59E7C37F" w14:textId="77777777" w:rsidTr="00AF1C52">
        <w:trPr>
          <w:cnfStyle w:val="000000100000" w:firstRow="0" w:lastRow="0" w:firstColumn="0" w:lastColumn="0" w:oddVBand="0" w:evenVBand="0" w:oddHBand="1" w:evenHBand="0" w:firstRowFirstColumn="0" w:firstRowLastColumn="0" w:lastRowFirstColumn="0" w:lastRowLastColumn="0"/>
        </w:trPr>
        <w:tc>
          <w:tcPr>
            <w:tcW w:w="2330" w:type="dxa"/>
          </w:tcPr>
          <w:p w14:paraId="77028D17" w14:textId="77777777" w:rsidR="001D0AB7" w:rsidRPr="00884C9A" w:rsidRDefault="001D0AB7" w:rsidP="00AF1C52">
            <w:pPr>
              <w:rPr>
                <w:noProof/>
              </w:rPr>
            </w:pPr>
            <w:r>
              <w:rPr>
                <w:noProof/>
              </w:rPr>
              <w:t>Illegal workshops dismantled</w:t>
            </w:r>
          </w:p>
        </w:tc>
        <w:tc>
          <w:tcPr>
            <w:tcW w:w="1100" w:type="dxa"/>
          </w:tcPr>
          <w:p w14:paraId="37EBB5AD" w14:textId="77777777" w:rsidR="001D0AB7" w:rsidRPr="00884C9A" w:rsidRDefault="001D0AB7" w:rsidP="00AF1C52">
            <w:pPr>
              <w:jc w:val="center"/>
              <w:rPr>
                <w:noProof/>
              </w:rPr>
            </w:pPr>
            <w:r>
              <w:rPr>
                <w:noProof/>
              </w:rPr>
              <w:t>0</w:t>
            </w:r>
          </w:p>
        </w:tc>
        <w:tc>
          <w:tcPr>
            <w:tcW w:w="1526" w:type="dxa"/>
          </w:tcPr>
          <w:p w14:paraId="68A56D4F" w14:textId="77777777" w:rsidR="001D0AB7" w:rsidRPr="00724FDD" w:rsidRDefault="001D0AB7" w:rsidP="00AF1C52">
            <w:pPr>
              <w:jc w:val="center"/>
              <w:rPr>
                <w:b/>
                <w:noProof/>
              </w:rPr>
            </w:pPr>
            <w:r>
              <w:rPr>
                <w:noProof/>
              </w:rPr>
              <w:t>0%</w:t>
            </w:r>
          </w:p>
        </w:tc>
        <w:tc>
          <w:tcPr>
            <w:tcW w:w="1532" w:type="dxa"/>
          </w:tcPr>
          <w:p w14:paraId="2D5F6A22" w14:textId="77777777" w:rsidR="001D0AB7" w:rsidRPr="00884C9A" w:rsidRDefault="001D0AB7" w:rsidP="00AF1C52">
            <w:pPr>
              <w:jc w:val="center"/>
              <w:rPr>
                <w:noProof/>
              </w:rPr>
            </w:pPr>
            <w:r>
              <w:rPr>
                <w:noProof/>
              </w:rPr>
              <w:t>22 annually</w:t>
            </w:r>
            <w:r>
              <w:rPr>
                <w:rFonts w:ascii="Calibri" w:hAnsi="Calibri" w:cs="Calibri"/>
                <w:noProof/>
              </w:rPr>
              <w:t> </w:t>
            </w:r>
            <w:r>
              <w:rPr>
                <w:noProof/>
              </w:rPr>
              <w:t>(</w:t>
            </w:r>
            <w:r>
              <w:rPr>
                <w:noProof/>
                <w:vertAlign w:val="superscript"/>
              </w:rPr>
              <w:t>3</w:t>
            </w:r>
            <w:r>
              <w:rPr>
                <w:noProof/>
              </w:rPr>
              <w:t>)</w:t>
            </w:r>
          </w:p>
        </w:tc>
        <w:tc>
          <w:tcPr>
            <w:tcW w:w="1572" w:type="dxa"/>
          </w:tcPr>
          <w:p w14:paraId="40776C8C" w14:textId="77777777" w:rsidR="001D0AB7" w:rsidRPr="00884C9A" w:rsidRDefault="001D0AB7" w:rsidP="00AF1C52">
            <w:pPr>
              <w:jc w:val="center"/>
              <w:rPr>
                <w:noProof/>
              </w:rPr>
            </w:pPr>
            <w:r>
              <w:rPr>
                <w:noProof/>
              </w:rPr>
              <w:t>Target not achieved in 2021. 11 compared to 20</w:t>
            </w:r>
          </w:p>
        </w:tc>
        <w:tc>
          <w:tcPr>
            <w:tcW w:w="1579" w:type="dxa"/>
          </w:tcPr>
          <w:p w14:paraId="408C1AAA" w14:textId="77777777" w:rsidR="001D0AB7" w:rsidRPr="00884C9A" w:rsidRDefault="001D0AB7" w:rsidP="00AF1C52">
            <w:pPr>
              <w:jc w:val="center"/>
              <w:rPr>
                <w:noProof/>
              </w:rPr>
            </w:pPr>
            <w:r>
              <w:rPr>
                <w:noProof/>
              </w:rPr>
              <w:t>Moderate progress</w:t>
            </w:r>
          </w:p>
        </w:tc>
      </w:tr>
      <w:tr w:rsidR="001D0AB7" w:rsidRPr="00AC11E4" w14:paraId="57B6B01C" w14:textId="77777777" w:rsidTr="00AF1C52">
        <w:trPr>
          <w:cnfStyle w:val="000000010000" w:firstRow="0" w:lastRow="0" w:firstColumn="0" w:lastColumn="0" w:oddVBand="0" w:evenVBand="0" w:oddHBand="0" w:evenHBand="1" w:firstRowFirstColumn="0" w:firstRowLastColumn="0" w:lastRowFirstColumn="0" w:lastRowLastColumn="0"/>
        </w:trPr>
        <w:tc>
          <w:tcPr>
            <w:tcW w:w="2330" w:type="dxa"/>
          </w:tcPr>
          <w:p w14:paraId="2B43D3E0" w14:textId="77777777" w:rsidR="001D0AB7" w:rsidRPr="00724FDD" w:rsidRDefault="001D0AB7" w:rsidP="00AF1C52">
            <w:pPr>
              <w:rPr>
                <w:noProof/>
              </w:rPr>
            </w:pPr>
            <w:r>
              <w:rPr>
                <w:noProof/>
              </w:rPr>
              <w:t>Competent authorities applying to the programme</w:t>
            </w:r>
          </w:p>
        </w:tc>
        <w:tc>
          <w:tcPr>
            <w:tcW w:w="1100" w:type="dxa"/>
          </w:tcPr>
          <w:p w14:paraId="64241210" w14:textId="77777777" w:rsidR="001D0AB7" w:rsidRPr="00884C9A" w:rsidRDefault="001D0AB7" w:rsidP="00AF1C52">
            <w:pPr>
              <w:jc w:val="center"/>
              <w:rPr>
                <w:noProof/>
              </w:rPr>
            </w:pPr>
            <w:r>
              <w:rPr>
                <w:noProof/>
              </w:rPr>
              <w:t>0</w:t>
            </w:r>
          </w:p>
        </w:tc>
        <w:tc>
          <w:tcPr>
            <w:tcW w:w="1526" w:type="dxa"/>
          </w:tcPr>
          <w:p w14:paraId="56D5D9E9" w14:textId="77777777" w:rsidR="001D0AB7" w:rsidRPr="00724FDD" w:rsidRDefault="001D0AB7" w:rsidP="00AF1C52">
            <w:pPr>
              <w:jc w:val="center"/>
              <w:rPr>
                <w:b/>
                <w:noProof/>
              </w:rPr>
            </w:pPr>
            <w:r>
              <w:rPr>
                <w:noProof/>
              </w:rPr>
              <w:t>21%</w:t>
            </w:r>
            <w:r>
              <w:rPr>
                <w:rFonts w:ascii="Calibri" w:hAnsi="Calibri" w:cs="Calibri"/>
                <w:noProof/>
              </w:rPr>
              <w:t> </w:t>
            </w:r>
            <w:r>
              <w:rPr>
                <w:noProof/>
              </w:rPr>
              <w:t>(</w:t>
            </w:r>
            <w:r w:rsidRPr="00896B3E">
              <w:rPr>
                <w:noProof/>
                <w:vertAlign w:val="superscript"/>
              </w:rPr>
              <w:t>1</w:t>
            </w:r>
            <w:r>
              <w:rPr>
                <w:noProof/>
              </w:rPr>
              <w:t>)</w:t>
            </w:r>
          </w:p>
        </w:tc>
        <w:tc>
          <w:tcPr>
            <w:tcW w:w="1532" w:type="dxa"/>
          </w:tcPr>
          <w:p w14:paraId="6515A146" w14:textId="77777777" w:rsidR="001D0AB7" w:rsidRPr="00884C9A" w:rsidRDefault="001D0AB7" w:rsidP="00AF1C52">
            <w:pPr>
              <w:jc w:val="center"/>
              <w:rPr>
                <w:noProof/>
              </w:rPr>
            </w:pPr>
            <w:r>
              <w:rPr>
                <w:noProof/>
              </w:rPr>
              <w:t>24 in 2027</w:t>
            </w:r>
          </w:p>
        </w:tc>
        <w:tc>
          <w:tcPr>
            <w:tcW w:w="1572" w:type="dxa"/>
          </w:tcPr>
          <w:p w14:paraId="09D8EE46" w14:textId="77777777" w:rsidR="001D0AB7" w:rsidRPr="00884C9A" w:rsidRDefault="001D0AB7" w:rsidP="00AF1C52">
            <w:pPr>
              <w:jc w:val="center"/>
              <w:rPr>
                <w:noProof/>
              </w:rPr>
            </w:pPr>
            <w:r>
              <w:rPr>
                <w:noProof/>
              </w:rPr>
              <w:t>5 out of 24</w:t>
            </w:r>
          </w:p>
        </w:tc>
        <w:tc>
          <w:tcPr>
            <w:tcW w:w="1579" w:type="dxa"/>
          </w:tcPr>
          <w:p w14:paraId="62399FDC" w14:textId="77777777" w:rsidR="001D0AB7" w:rsidRPr="00884C9A" w:rsidRDefault="001D0AB7" w:rsidP="00AF1C52">
            <w:pPr>
              <w:jc w:val="center"/>
              <w:rPr>
                <w:noProof/>
              </w:rPr>
            </w:pPr>
            <w:r>
              <w:rPr>
                <w:noProof/>
              </w:rPr>
              <w:t>On track</w:t>
            </w:r>
          </w:p>
        </w:tc>
      </w:tr>
      <w:tr w:rsidR="001D0AB7" w:rsidRPr="00AC11E4" w14:paraId="05AC1B7D" w14:textId="77777777" w:rsidTr="00AF1C52">
        <w:trPr>
          <w:cnfStyle w:val="000000100000" w:firstRow="0" w:lastRow="0" w:firstColumn="0" w:lastColumn="0" w:oddVBand="0" w:evenVBand="0" w:oddHBand="1" w:evenHBand="0" w:firstRowFirstColumn="0" w:firstRowLastColumn="0" w:lastRowFirstColumn="0" w:lastRowLastColumn="0"/>
        </w:trPr>
        <w:tc>
          <w:tcPr>
            <w:tcW w:w="2330" w:type="dxa"/>
          </w:tcPr>
          <w:p w14:paraId="168EFF50" w14:textId="77777777" w:rsidR="001D0AB7" w:rsidRPr="00884C9A" w:rsidRDefault="001D0AB7" w:rsidP="00AF1C52">
            <w:pPr>
              <w:rPr>
                <w:noProof/>
              </w:rPr>
            </w:pPr>
            <w:r>
              <w:rPr>
                <w:noProof/>
              </w:rPr>
              <w:t>Satisfaction rate of participants in the actions financed by the programme</w:t>
            </w:r>
          </w:p>
        </w:tc>
        <w:tc>
          <w:tcPr>
            <w:tcW w:w="1100" w:type="dxa"/>
          </w:tcPr>
          <w:p w14:paraId="06E54B13" w14:textId="77777777" w:rsidR="001D0AB7" w:rsidRPr="00884C9A" w:rsidRDefault="001D0AB7" w:rsidP="00AF1C52">
            <w:pPr>
              <w:jc w:val="center"/>
              <w:rPr>
                <w:noProof/>
              </w:rPr>
            </w:pPr>
            <w:r>
              <w:rPr>
                <w:noProof/>
              </w:rPr>
              <w:t>0%</w:t>
            </w:r>
          </w:p>
        </w:tc>
        <w:tc>
          <w:tcPr>
            <w:tcW w:w="1526" w:type="dxa"/>
          </w:tcPr>
          <w:p w14:paraId="257DD56C" w14:textId="77777777" w:rsidR="001D0AB7" w:rsidRPr="00724FDD" w:rsidRDefault="001D0AB7" w:rsidP="00AF1C52">
            <w:pPr>
              <w:jc w:val="center"/>
              <w:rPr>
                <w:b/>
                <w:noProof/>
              </w:rPr>
            </w:pPr>
            <w:r>
              <w:rPr>
                <w:noProof/>
              </w:rPr>
              <w:t>14%</w:t>
            </w:r>
          </w:p>
        </w:tc>
        <w:tc>
          <w:tcPr>
            <w:tcW w:w="1532" w:type="dxa"/>
          </w:tcPr>
          <w:p w14:paraId="67714894" w14:textId="77777777" w:rsidR="001D0AB7" w:rsidRPr="00884C9A" w:rsidRDefault="001D0AB7" w:rsidP="00AF1C52">
            <w:pPr>
              <w:jc w:val="center"/>
              <w:rPr>
                <w:noProof/>
              </w:rPr>
            </w:pPr>
            <w:r>
              <w:rPr>
                <w:noProof/>
              </w:rPr>
              <w:t>75% annually</w:t>
            </w:r>
          </w:p>
        </w:tc>
        <w:tc>
          <w:tcPr>
            <w:tcW w:w="1572" w:type="dxa"/>
          </w:tcPr>
          <w:p w14:paraId="7FFA4661" w14:textId="77777777" w:rsidR="001D0AB7" w:rsidRPr="00884C9A" w:rsidRDefault="001D0AB7" w:rsidP="00AF1C52">
            <w:pPr>
              <w:jc w:val="center"/>
              <w:rPr>
                <w:noProof/>
              </w:rPr>
            </w:pPr>
            <w:r>
              <w:rPr>
                <w:noProof/>
              </w:rPr>
              <w:t>Target achieved in 2021. 98% compared to 75%</w:t>
            </w:r>
          </w:p>
        </w:tc>
        <w:tc>
          <w:tcPr>
            <w:tcW w:w="1579" w:type="dxa"/>
          </w:tcPr>
          <w:p w14:paraId="3F6AF7AA" w14:textId="77777777" w:rsidR="001D0AB7" w:rsidRPr="00884C9A" w:rsidRDefault="001D0AB7" w:rsidP="00AF1C52">
            <w:pPr>
              <w:jc w:val="center"/>
              <w:rPr>
                <w:noProof/>
              </w:rPr>
            </w:pPr>
            <w:r>
              <w:rPr>
                <w:noProof/>
              </w:rPr>
              <w:t>On track</w:t>
            </w:r>
          </w:p>
        </w:tc>
      </w:tr>
      <w:tr w:rsidR="001D0AB7" w:rsidRPr="00AC11E4" w14:paraId="2596C5BB" w14:textId="77777777" w:rsidTr="00AF1C52">
        <w:trPr>
          <w:cnfStyle w:val="000000010000" w:firstRow="0" w:lastRow="0" w:firstColumn="0" w:lastColumn="0" w:oddVBand="0" w:evenVBand="0" w:oddHBand="0" w:evenHBand="1" w:firstRowFirstColumn="0" w:firstRowLastColumn="0" w:lastRowFirstColumn="0" w:lastRowLastColumn="0"/>
        </w:trPr>
        <w:tc>
          <w:tcPr>
            <w:tcW w:w="2330" w:type="dxa"/>
          </w:tcPr>
          <w:p w14:paraId="36A73F03" w14:textId="77777777" w:rsidR="001D0AB7" w:rsidRPr="00884C9A" w:rsidRDefault="001D0AB7" w:rsidP="00AF1C52">
            <w:pPr>
              <w:rPr>
                <w:noProof/>
              </w:rPr>
            </w:pPr>
            <w:r>
              <w:rPr>
                <w:noProof/>
              </w:rPr>
              <w:t>Feedback of participants on the impact of the programme on their activities in protecting the euro against counterfeiting</w:t>
            </w:r>
          </w:p>
        </w:tc>
        <w:tc>
          <w:tcPr>
            <w:tcW w:w="1100" w:type="dxa"/>
          </w:tcPr>
          <w:p w14:paraId="49291D32" w14:textId="77777777" w:rsidR="001D0AB7" w:rsidRPr="00884C9A" w:rsidRDefault="001D0AB7" w:rsidP="00AF1C52">
            <w:pPr>
              <w:jc w:val="center"/>
              <w:rPr>
                <w:noProof/>
              </w:rPr>
            </w:pPr>
            <w:r>
              <w:rPr>
                <w:noProof/>
              </w:rPr>
              <w:t>0%</w:t>
            </w:r>
          </w:p>
        </w:tc>
        <w:tc>
          <w:tcPr>
            <w:tcW w:w="1526" w:type="dxa"/>
          </w:tcPr>
          <w:p w14:paraId="4951EF77" w14:textId="77777777" w:rsidR="001D0AB7" w:rsidRPr="00724FDD" w:rsidRDefault="001D0AB7" w:rsidP="00AF1C52">
            <w:pPr>
              <w:jc w:val="center"/>
              <w:rPr>
                <w:b/>
                <w:noProof/>
              </w:rPr>
            </w:pPr>
            <w:r>
              <w:rPr>
                <w:noProof/>
              </w:rPr>
              <w:t>14%</w:t>
            </w:r>
          </w:p>
        </w:tc>
        <w:tc>
          <w:tcPr>
            <w:tcW w:w="1532" w:type="dxa"/>
          </w:tcPr>
          <w:p w14:paraId="675C7C13" w14:textId="77777777" w:rsidR="001D0AB7" w:rsidRPr="00884C9A" w:rsidRDefault="001D0AB7" w:rsidP="00AF1C52">
            <w:pPr>
              <w:jc w:val="center"/>
              <w:rPr>
                <w:noProof/>
              </w:rPr>
            </w:pPr>
            <w:r>
              <w:rPr>
                <w:noProof/>
              </w:rPr>
              <w:t>75% annually</w:t>
            </w:r>
          </w:p>
        </w:tc>
        <w:tc>
          <w:tcPr>
            <w:tcW w:w="1572" w:type="dxa"/>
          </w:tcPr>
          <w:p w14:paraId="6210C88E" w14:textId="77777777" w:rsidR="001D0AB7" w:rsidRPr="00884C9A" w:rsidRDefault="001D0AB7" w:rsidP="00AF1C52">
            <w:pPr>
              <w:jc w:val="center"/>
              <w:rPr>
                <w:noProof/>
              </w:rPr>
            </w:pPr>
            <w:r>
              <w:rPr>
                <w:noProof/>
              </w:rPr>
              <w:t>Target achieved in 2021. 96% compared to 75%</w:t>
            </w:r>
          </w:p>
        </w:tc>
        <w:tc>
          <w:tcPr>
            <w:tcW w:w="1579" w:type="dxa"/>
          </w:tcPr>
          <w:p w14:paraId="38EADFC1" w14:textId="77777777" w:rsidR="001D0AB7" w:rsidRPr="00884C9A" w:rsidRDefault="001D0AB7" w:rsidP="00AF1C52">
            <w:pPr>
              <w:jc w:val="center"/>
              <w:rPr>
                <w:noProof/>
              </w:rPr>
            </w:pPr>
            <w:r>
              <w:rPr>
                <w:noProof/>
              </w:rPr>
              <w:t>On track</w:t>
            </w:r>
          </w:p>
        </w:tc>
      </w:tr>
    </w:tbl>
    <w:p w14:paraId="242C6FE0" w14:textId="46E260A5" w:rsidR="001D0AB7" w:rsidRDefault="001D0AB7" w:rsidP="001D0AB7">
      <w:pPr>
        <w:pStyle w:val="FootnoteText"/>
        <w:spacing w:before="120"/>
        <w:rPr>
          <w:noProof/>
        </w:rPr>
      </w:pPr>
      <w:r>
        <w:rPr>
          <w:noProof/>
        </w:rPr>
        <w:t xml:space="preserve">(*) </w:t>
      </w:r>
      <w:r>
        <w:rPr>
          <w:noProof/>
        </w:rPr>
        <w:tab/>
        <w:t xml:space="preserve">% of years for which the milestones or target </w:t>
      </w:r>
      <w:r w:rsidR="00AA5CAB">
        <w:rPr>
          <w:noProof/>
        </w:rPr>
        <w:t xml:space="preserve">have </w:t>
      </w:r>
      <w:r>
        <w:rPr>
          <w:noProof/>
        </w:rPr>
        <w:t>been achieved during the 2021-2027 period.</w:t>
      </w:r>
    </w:p>
    <w:p w14:paraId="57CCAF27" w14:textId="77777777" w:rsidR="001D0AB7" w:rsidRDefault="001D0AB7" w:rsidP="001D0AB7">
      <w:pPr>
        <w:pStyle w:val="FootnoteText"/>
        <w:spacing w:before="120"/>
        <w:rPr>
          <w:noProof/>
        </w:rPr>
      </w:pPr>
      <w:r>
        <w:rPr>
          <w:noProof/>
        </w:rPr>
        <w:t>(</w:t>
      </w:r>
      <w:r w:rsidRPr="00D63135">
        <w:rPr>
          <w:noProof/>
          <w:vertAlign w:val="superscript"/>
        </w:rPr>
        <w:t>1</w:t>
      </w:r>
      <w:r>
        <w:rPr>
          <w:noProof/>
        </w:rPr>
        <w:t xml:space="preserve">) </w:t>
      </w:r>
      <w:r>
        <w:rPr>
          <w:noProof/>
        </w:rPr>
        <w:tab/>
      </w:r>
      <w:r w:rsidRPr="008A592F">
        <w:rPr>
          <w:noProof/>
        </w:rPr>
        <w:t>% of target achieved by the end of 2021.</w:t>
      </w:r>
    </w:p>
    <w:p w14:paraId="62684FA5" w14:textId="77777777" w:rsidR="001D0AB7" w:rsidRDefault="001D0AB7" w:rsidP="001D0AB7">
      <w:pPr>
        <w:pStyle w:val="FootnoteText"/>
        <w:spacing w:before="120"/>
        <w:rPr>
          <w:noProof/>
        </w:rPr>
      </w:pPr>
      <w:r>
        <w:rPr>
          <w:noProof/>
        </w:rPr>
        <w:t>(</w:t>
      </w:r>
      <w:r w:rsidRPr="00D63135">
        <w:rPr>
          <w:noProof/>
          <w:vertAlign w:val="superscript"/>
        </w:rPr>
        <w:t>2</w:t>
      </w:r>
      <w:r>
        <w:rPr>
          <w:noProof/>
        </w:rPr>
        <w:t xml:space="preserve">) </w:t>
      </w:r>
      <w:r>
        <w:rPr>
          <w:noProof/>
        </w:rPr>
        <w:tab/>
      </w:r>
      <w:r w:rsidRPr="00896B3E">
        <w:rPr>
          <w:noProof/>
        </w:rPr>
        <w:t xml:space="preserve">The target for this indicator is to keep the number of counterfeit euros detected </w:t>
      </w:r>
      <w:r>
        <w:rPr>
          <w:noProof/>
        </w:rPr>
        <w:t>w</w:t>
      </w:r>
      <w:r w:rsidRPr="00896B3E">
        <w:rPr>
          <w:noProof/>
        </w:rPr>
        <w:t xml:space="preserve">ithin the range of </w:t>
      </w:r>
      <w:r>
        <w:rPr>
          <w:noProof/>
        </w:rPr>
        <w:t>±</w:t>
      </w:r>
      <w:r>
        <w:rPr>
          <w:rFonts w:ascii="Calibri" w:hAnsi="Calibri" w:cs="Calibri"/>
          <w:noProof/>
        </w:rPr>
        <w:t> </w:t>
      </w:r>
      <w:r w:rsidRPr="00896B3E">
        <w:rPr>
          <w:noProof/>
        </w:rPr>
        <w:t xml:space="preserve">5% compared to </w:t>
      </w:r>
      <w:r>
        <w:rPr>
          <w:noProof/>
        </w:rPr>
        <w:t xml:space="preserve">the 2014-2020 </w:t>
      </w:r>
      <w:r w:rsidRPr="00896B3E">
        <w:rPr>
          <w:noProof/>
        </w:rPr>
        <w:t>average</w:t>
      </w:r>
      <w:r>
        <w:rPr>
          <w:noProof/>
        </w:rPr>
        <w:t xml:space="preserve"> results.</w:t>
      </w:r>
    </w:p>
    <w:p w14:paraId="56C45D08" w14:textId="77777777" w:rsidR="001D0AB7" w:rsidRDefault="001D0AB7" w:rsidP="001D0AB7">
      <w:pPr>
        <w:pStyle w:val="FootnoteText"/>
        <w:spacing w:before="120"/>
        <w:rPr>
          <w:noProof/>
        </w:rPr>
      </w:pPr>
      <w:r>
        <w:rPr>
          <w:noProof/>
        </w:rPr>
        <w:t>(</w:t>
      </w:r>
      <w:r w:rsidRPr="00D63135">
        <w:rPr>
          <w:noProof/>
          <w:vertAlign w:val="superscript"/>
        </w:rPr>
        <w:t>3</w:t>
      </w:r>
      <w:r>
        <w:rPr>
          <w:noProof/>
        </w:rPr>
        <w:t xml:space="preserve">) </w:t>
      </w:r>
      <w:r>
        <w:rPr>
          <w:noProof/>
        </w:rPr>
        <w:tab/>
      </w:r>
      <w:r w:rsidRPr="00896B3E">
        <w:rPr>
          <w:noProof/>
        </w:rPr>
        <w:t xml:space="preserve">The target for this indicator is to keep the number of counterfeit euros detected </w:t>
      </w:r>
      <w:r>
        <w:rPr>
          <w:noProof/>
        </w:rPr>
        <w:t>w</w:t>
      </w:r>
      <w:r w:rsidRPr="00896B3E">
        <w:rPr>
          <w:noProof/>
        </w:rPr>
        <w:t>ithin the rang</w:t>
      </w:r>
      <w:r>
        <w:rPr>
          <w:noProof/>
        </w:rPr>
        <w:t>e of ±</w:t>
      </w:r>
      <w:r>
        <w:rPr>
          <w:rFonts w:ascii="Calibri" w:hAnsi="Calibri" w:cs="Calibri"/>
          <w:noProof/>
        </w:rPr>
        <w:t> </w:t>
      </w:r>
      <w:r>
        <w:rPr>
          <w:noProof/>
        </w:rPr>
        <w:t>10</w:t>
      </w:r>
      <w:r w:rsidRPr="00896B3E">
        <w:rPr>
          <w:noProof/>
        </w:rPr>
        <w:t xml:space="preserve">% compared to </w:t>
      </w:r>
      <w:r>
        <w:rPr>
          <w:noProof/>
        </w:rPr>
        <w:t>the 2019 results.</w:t>
      </w:r>
    </w:p>
    <w:p w14:paraId="4631F1EB" w14:textId="77777777" w:rsidR="001D0AB7" w:rsidRDefault="001D0AB7" w:rsidP="001D0AB7">
      <w:pPr>
        <w:pStyle w:val="ppoListHyphened-L1"/>
        <w:numPr>
          <w:ilvl w:val="0"/>
          <w:numId w:val="0"/>
        </w:numPr>
        <w:ind w:left="357"/>
        <w:rPr>
          <w:noProof/>
        </w:rPr>
      </w:pPr>
    </w:p>
    <w:p w14:paraId="051AA170" w14:textId="77777777" w:rsidR="001D0AB7" w:rsidRDefault="001D0AB7" w:rsidP="001D0AB7">
      <w:pPr>
        <w:pStyle w:val="ppoListHyphened-L1"/>
        <w:rPr>
          <w:noProof/>
        </w:rPr>
      </w:pPr>
      <w:r w:rsidRPr="00A8052F">
        <w:rPr>
          <w:noProof/>
        </w:rPr>
        <w:t>In 2021 Pericles</w:t>
      </w:r>
      <w:r>
        <w:rPr>
          <w:rFonts w:ascii="Calibri" w:hAnsi="Calibri" w:cs="Calibri"/>
          <w:noProof/>
        </w:rPr>
        <w:t> </w:t>
      </w:r>
      <w:r w:rsidRPr="00A8052F">
        <w:rPr>
          <w:noProof/>
        </w:rPr>
        <w:t xml:space="preserve">IV </w:t>
      </w:r>
      <w:r>
        <w:rPr>
          <w:noProof/>
        </w:rPr>
        <w:t xml:space="preserve">continued to </w:t>
      </w:r>
      <w:r w:rsidRPr="00A8052F">
        <w:rPr>
          <w:noProof/>
        </w:rPr>
        <w:t>supp</w:t>
      </w:r>
      <w:r>
        <w:rPr>
          <w:noProof/>
        </w:rPr>
        <w:t>ort</w:t>
      </w:r>
      <w:r w:rsidRPr="00A8052F">
        <w:rPr>
          <w:noProof/>
        </w:rPr>
        <w:t xml:space="preserve"> the Member States and </w:t>
      </w:r>
      <w:r>
        <w:rPr>
          <w:noProof/>
        </w:rPr>
        <w:t xml:space="preserve">to </w:t>
      </w:r>
      <w:r w:rsidRPr="00A8052F">
        <w:rPr>
          <w:noProof/>
        </w:rPr>
        <w:t>assist the competent national and EU authorities</w:t>
      </w:r>
      <w:r>
        <w:rPr>
          <w:noProof/>
        </w:rPr>
        <w:t xml:space="preserve"> in protecting </w:t>
      </w:r>
      <w:r w:rsidRPr="00A8052F">
        <w:rPr>
          <w:noProof/>
        </w:rPr>
        <w:t>euro banknotes and coins aga</w:t>
      </w:r>
      <w:r>
        <w:rPr>
          <w:noProof/>
        </w:rPr>
        <w:t>inst counterfeiting and fraud</w:t>
      </w:r>
      <w:r w:rsidRPr="00A8052F">
        <w:rPr>
          <w:noProof/>
        </w:rPr>
        <w:t xml:space="preserve">. </w:t>
      </w:r>
    </w:p>
    <w:p w14:paraId="69AFE9BA" w14:textId="77777777" w:rsidR="001D0AB7" w:rsidRDefault="001D0AB7" w:rsidP="001D0AB7">
      <w:pPr>
        <w:pStyle w:val="ppoListHyphened-L1"/>
        <w:rPr>
          <w:noProof/>
        </w:rPr>
      </w:pPr>
      <w:r>
        <w:rPr>
          <w:noProof/>
        </w:rPr>
        <w:t xml:space="preserve">The number of counterfeit euro banknotes detected and the number of illegal workshops dismantled were lower than expected. It should be noted, however, that the link between the programme and these indicators is only indirect, as a variety of external factors play an important role in the development of the indicators. </w:t>
      </w:r>
    </w:p>
    <w:p w14:paraId="1CA66C93" w14:textId="77777777" w:rsidR="001D0AB7" w:rsidRDefault="001D0AB7" w:rsidP="001D0AB7">
      <w:pPr>
        <w:pStyle w:val="ppoListHyphened-L1"/>
        <w:rPr>
          <w:noProof/>
        </w:rPr>
      </w:pPr>
      <w:r>
        <w:rPr>
          <w:noProof/>
        </w:rPr>
        <w:t>On the other hand, the indicators that are more directly linked to the programme</w:t>
      </w:r>
      <w:r>
        <w:rPr>
          <w:rFonts w:ascii="Calibri" w:hAnsi="Calibri" w:cs="Calibri"/>
          <w:noProof/>
        </w:rPr>
        <w:t> –</w:t>
      </w:r>
      <w:r>
        <w:rPr>
          <w:noProof/>
        </w:rPr>
        <w:t xml:space="preserve"> such as the number of competent authorities applying to the programme, the satisfaction rate and the feedback of participants</w:t>
      </w:r>
      <w:r>
        <w:rPr>
          <w:rFonts w:ascii="Calibri" w:hAnsi="Calibri" w:cs="Calibri"/>
          <w:noProof/>
        </w:rPr>
        <w:t> –</w:t>
      </w:r>
      <w:r>
        <w:rPr>
          <w:noProof/>
        </w:rPr>
        <w:t xml:space="preserve"> were very positive.</w:t>
      </w:r>
    </w:p>
    <w:p w14:paraId="379FFB60" w14:textId="77777777" w:rsidR="001D0AB7" w:rsidRPr="00040D99" w:rsidRDefault="001D0AB7" w:rsidP="001D0AB7">
      <w:pPr>
        <w:pStyle w:val="ppoHeading4Green"/>
        <w:rPr>
          <w:noProof/>
        </w:rPr>
      </w:pPr>
      <w:bookmarkStart w:id="105" w:name="_Toc94522863"/>
      <w:r>
        <w:rPr>
          <w:noProof/>
        </w:rPr>
        <w:t xml:space="preserve">2014-2020 </w:t>
      </w:r>
      <w:r w:rsidRPr="00040D99">
        <w:rPr>
          <w:noProof/>
        </w:rPr>
        <w:t>M</w:t>
      </w:r>
      <w:r>
        <w:rPr>
          <w:noProof/>
        </w:rPr>
        <w:t xml:space="preserve">ULTIANNUAL </w:t>
      </w:r>
      <w:r w:rsidRPr="00040D99">
        <w:rPr>
          <w:noProof/>
        </w:rPr>
        <w:t>F</w:t>
      </w:r>
      <w:r>
        <w:rPr>
          <w:noProof/>
        </w:rPr>
        <w:t xml:space="preserve">INANCIAL </w:t>
      </w:r>
      <w:r w:rsidRPr="00040D99">
        <w:rPr>
          <w:noProof/>
        </w:rPr>
        <w:t>F</w:t>
      </w:r>
      <w:r>
        <w:rPr>
          <w:noProof/>
        </w:rPr>
        <w:t>RAMEWORK</w:t>
      </w:r>
      <w:r>
        <w:rPr>
          <w:rFonts w:ascii="Calibri" w:hAnsi="Calibri" w:cs="Calibri"/>
          <w:noProof/>
        </w:rPr>
        <w:t> </w:t>
      </w:r>
      <w:r w:rsidRPr="00040D99">
        <w:rPr>
          <w:noProof/>
        </w:rPr>
        <w:t xml:space="preserve">– </w:t>
      </w:r>
      <w:bookmarkEnd w:id="105"/>
      <w:r>
        <w:rPr>
          <w:noProof/>
        </w:rPr>
        <w:t>PERICLES</w:t>
      </w:r>
      <w:r>
        <w:rPr>
          <w:rFonts w:ascii="Calibri" w:hAnsi="Calibri" w:cs="Calibri"/>
          <w:noProof/>
        </w:rPr>
        <w:t> </w:t>
      </w:r>
      <w:r>
        <w:rPr>
          <w:noProof/>
        </w:rPr>
        <w:t>2020</w:t>
      </w:r>
    </w:p>
    <w:p w14:paraId="0F7B5FA7" w14:textId="77777777" w:rsidR="001D0AB7" w:rsidRPr="00040D99" w:rsidRDefault="001D0AB7" w:rsidP="001D0AB7">
      <w:pPr>
        <w:rPr>
          <w:rFonts w:eastAsiaTheme="minorEastAsia"/>
          <w:noProof/>
        </w:rPr>
      </w:pPr>
      <w:r>
        <w:rPr>
          <w:rFonts w:eastAsiaTheme="minorEastAsia"/>
          <w:noProof/>
        </w:rPr>
        <w:t>The Pericles</w:t>
      </w:r>
      <w:r>
        <w:rPr>
          <w:rFonts w:ascii="Calibri" w:eastAsiaTheme="minorEastAsia" w:hAnsi="Calibri" w:cs="Calibri"/>
          <w:noProof/>
        </w:rPr>
        <w:t> </w:t>
      </w:r>
      <w:r>
        <w:rPr>
          <w:rFonts w:eastAsiaTheme="minorEastAsia"/>
          <w:noProof/>
        </w:rPr>
        <w:t>2020</w:t>
      </w:r>
      <w:r w:rsidRPr="003C771D">
        <w:rPr>
          <w:rFonts w:eastAsiaTheme="minorEastAsia"/>
          <w:noProof/>
        </w:rPr>
        <w:t xml:space="preserve"> programme funds staff exchanges, seminars, trainings</w:t>
      </w:r>
      <w:r>
        <w:rPr>
          <w:rFonts w:eastAsiaTheme="minorEastAsia"/>
          <w:noProof/>
        </w:rPr>
        <w:t xml:space="preserve"> and the purchase of equipment</w:t>
      </w:r>
      <w:r w:rsidRPr="003C771D">
        <w:rPr>
          <w:rFonts w:eastAsiaTheme="minorEastAsia"/>
          <w:noProof/>
        </w:rPr>
        <w:t xml:space="preserve"> and studies for law enforcement and judicial authorities, banks and others involved in </w:t>
      </w:r>
      <w:r>
        <w:rPr>
          <w:rFonts w:eastAsiaTheme="minorEastAsia"/>
          <w:noProof/>
        </w:rPr>
        <w:t xml:space="preserve">protecting the euro against </w:t>
      </w:r>
      <w:r w:rsidRPr="003C771D">
        <w:rPr>
          <w:rFonts w:eastAsiaTheme="minorEastAsia"/>
          <w:noProof/>
        </w:rPr>
        <w:t>counterfeiting</w:t>
      </w:r>
      <w:r>
        <w:rPr>
          <w:rFonts w:eastAsiaTheme="minorEastAsia"/>
          <w:noProof/>
        </w:rPr>
        <w:t xml:space="preserve">. </w:t>
      </w:r>
      <w:r w:rsidRPr="003C771D">
        <w:rPr>
          <w:rFonts w:eastAsiaTheme="minorEastAsia"/>
          <w:noProof/>
        </w:rPr>
        <w:t xml:space="preserve">Actions can take place in the euro area, in </w:t>
      </w:r>
      <w:r>
        <w:rPr>
          <w:rFonts w:eastAsiaTheme="minorEastAsia"/>
          <w:noProof/>
        </w:rPr>
        <w:t>Member States</w:t>
      </w:r>
      <w:r w:rsidRPr="003C771D">
        <w:rPr>
          <w:rFonts w:eastAsiaTheme="minorEastAsia"/>
          <w:noProof/>
        </w:rPr>
        <w:t xml:space="preserve"> outside the euro area and in </w:t>
      </w:r>
      <w:r>
        <w:rPr>
          <w:rFonts w:eastAsiaTheme="minorEastAsia"/>
          <w:noProof/>
        </w:rPr>
        <w:t>non-EU</w:t>
      </w:r>
      <w:r w:rsidRPr="003C771D">
        <w:rPr>
          <w:rFonts w:eastAsiaTheme="minorEastAsia"/>
          <w:noProof/>
        </w:rPr>
        <w:t xml:space="preserve"> countries</w:t>
      </w:r>
      <w:r>
        <w:rPr>
          <w:rFonts w:eastAsiaTheme="minorEastAsia"/>
          <w:noProof/>
        </w:rPr>
        <w:t>.</w:t>
      </w:r>
    </w:p>
    <w:p w14:paraId="0B1151FA" w14:textId="77777777" w:rsidR="001D0AB7" w:rsidRPr="00040D99" w:rsidRDefault="001D0AB7" w:rsidP="001D0AB7">
      <w:pPr>
        <w:pStyle w:val="ppoHeading5"/>
        <w:rPr>
          <w:noProof/>
        </w:rPr>
      </w:pPr>
      <w:bookmarkStart w:id="106" w:name="_Toc94522864"/>
      <w:r w:rsidRPr="00040D99">
        <w:rPr>
          <w:noProof/>
        </w:rPr>
        <w:t xml:space="preserve">Budget </w:t>
      </w:r>
      <w:bookmarkEnd w:id="106"/>
    </w:p>
    <w:p w14:paraId="3282A229" w14:textId="77777777" w:rsidR="001D0AB7" w:rsidRPr="00040D99" w:rsidRDefault="001D0AB7" w:rsidP="001D0AB7">
      <w:pPr>
        <w:spacing w:before="120" w:after="120"/>
        <w:rPr>
          <w:noProof/>
        </w:rPr>
      </w:pPr>
      <w:r w:rsidRPr="00040D99">
        <w:rPr>
          <w:noProof/>
        </w:rPr>
        <w:t>Cumulative implementation rate at the end of 2021</w:t>
      </w:r>
      <w:r>
        <w:rPr>
          <w:noProof/>
        </w:rPr>
        <w:t xml:space="preserve"> (million EUR)</w:t>
      </w:r>
      <w:r w:rsidRPr="00040D99">
        <w:rPr>
          <w:noProof/>
        </w:rPr>
        <w:t>:</w:t>
      </w:r>
    </w:p>
    <w:tbl>
      <w:tblPr>
        <w:tblStyle w:val="PPO2021"/>
        <w:tblW w:w="9639" w:type="dxa"/>
        <w:tblInd w:w="0" w:type="dxa"/>
        <w:tblLook w:val="06A0" w:firstRow="1" w:lastRow="0" w:firstColumn="1" w:lastColumn="0" w:noHBand="1" w:noVBand="1"/>
      </w:tblPr>
      <w:tblGrid>
        <w:gridCol w:w="2409"/>
        <w:gridCol w:w="2410"/>
        <w:gridCol w:w="2410"/>
        <w:gridCol w:w="2410"/>
      </w:tblGrid>
      <w:tr w:rsidR="001D0AB7" w:rsidRPr="00040D99" w14:paraId="2AF1BBCD" w14:textId="77777777" w:rsidTr="00AF1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5893DD87" w14:textId="77777777" w:rsidR="001D0AB7" w:rsidRPr="0086153A" w:rsidRDefault="001D0AB7" w:rsidP="00AF1C52">
            <w:pPr>
              <w:rPr>
                <w:noProof/>
              </w:rPr>
            </w:pPr>
          </w:p>
        </w:tc>
        <w:tc>
          <w:tcPr>
            <w:tcW w:w="2410" w:type="dxa"/>
          </w:tcPr>
          <w:p w14:paraId="3BA66DB1" w14:textId="77777777" w:rsidR="001D0AB7" w:rsidRPr="0086153A" w:rsidRDefault="001D0AB7" w:rsidP="00AF1C52">
            <w:pPr>
              <w:cnfStyle w:val="100000000000" w:firstRow="1" w:lastRow="0" w:firstColumn="0" w:lastColumn="0" w:oddVBand="0" w:evenVBand="0" w:oddHBand="0" w:evenHBand="0" w:firstRowFirstColumn="0" w:firstRowLastColumn="0" w:lastRowFirstColumn="0" w:lastRowLastColumn="0"/>
              <w:rPr>
                <w:noProof/>
              </w:rPr>
            </w:pPr>
            <w:r w:rsidRPr="0086153A">
              <w:rPr>
                <w:noProof/>
              </w:rPr>
              <w:t>Implementation</w:t>
            </w:r>
          </w:p>
        </w:tc>
        <w:tc>
          <w:tcPr>
            <w:tcW w:w="2410" w:type="dxa"/>
          </w:tcPr>
          <w:p w14:paraId="7ACAFD7B" w14:textId="1F7E7FD5" w:rsidR="001D0AB7" w:rsidRPr="0086153A" w:rsidRDefault="00A84801" w:rsidP="00AF1C52">
            <w:pPr>
              <w:cnfStyle w:val="100000000000" w:firstRow="1" w:lastRow="0" w:firstColumn="0" w:lastColumn="0" w:oddVBand="0" w:evenVBand="0" w:oddHBand="0" w:evenHBand="0" w:firstRowFirstColumn="0" w:firstRowLastColumn="0" w:lastRowFirstColumn="0" w:lastRowLastColumn="0"/>
              <w:rPr>
                <w:noProof/>
              </w:rPr>
            </w:pPr>
            <w:r>
              <w:rPr>
                <w:noProof/>
                <w:lang w:val="en-IE"/>
              </w:rPr>
              <w:t xml:space="preserve">2014-2020 </w:t>
            </w:r>
            <w:r w:rsidR="001D0AB7" w:rsidRPr="0086153A">
              <w:rPr>
                <w:noProof/>
              </w:rPr>
              <w:t>Budget</w:t>
            </w:r>
          </w:p>
        </w:tc>
        <w:tc>
          <w:tcPr>
            <w:tcW w:w="2410" w:type="dxa"/>
          </w:tcPr>
          <w:p w14:paraId="586B643F" w14:textId="77777777" w:rsidR="001D0AB7" w:rsidRPr="0086153A" w:rsidRDefault="001D0AB7" w:rsidP="00AF1C52">
            <w:pPr>
              <w:cnfStyle w:val="100000000000" w:firstRow="1" w:lastRow="0" w:firstColumn="0" w:lastColumn="0" w:oddVBand="0" w:evenVBand="0" w:oddHBand="0" w:evenHBand="0" w:firstRowFirstColumn="0" w:firstRowLastColumn="0" w:lastRowFirstColumn="0" w:lastRowLastColumn="0"/>
              <w:rPr>
                <w:noProof/>
              </w:rPr>
            </w:pPr>
            <w:r w:rsidRPr="0086153A">
              <w:rPr>
                <w:noProof/>
              </w:rPr>
              <w:t>Implementation rate</w:t>
            </w:r>
          </w:p>
        </w:tc>
      </w:tr>
      <w:tr w:rsidR="001D0AB7" w:rsidRPr="00040D99" w14:paraId="3D7ED15C"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16BE6511" w14:textId="77777777" w:rsidR="001D0AB7" w:rsidRPr="0086153A" w:rsidRDefault="001D0AB7" w:rsidP="00AF1C52">
            <w:pPr>
              <w:jc w:val="center"/>
              <w:rPr>
                <w:noProof/>
              </w:rPr>
            </w:pPr>
            <w:r>
              <w:rPr>
                <w:noProof/>
              </w:rPr>
              <w:t>Commitments</w:t>
            </w:r>
          </w:p>
        </w:tc>
        <w:tc>
          <w:tcPr>
            <w:tcW w:w="2410" w:type="dxa"/>
          </w:tcPr>
          <w:tbl>
            <w:tblPr>
              <w:tblStyle w:val="TableGrid"/>
              <w:tblW w:w="0" w:type="auto"/>
              <w:tblLook w:val="06A0" w:firstRow="1" w:lastRow="0" w:firstColumn="1" w:lastColumn="0" w:noHBand="1" w:noVBand="1"/>
            </w:tblPr>
            <w:tblGrid>
              <w:gridCol w:w="2194"/>
            </w:tblGrid>
            <w:tr w:rsidR="001D0AB7" w14:paraId="7BDE33E7" w14:textId="77777777" w:rsidTr="00AF1C52">
              <w:trPr>
                <w:trHeight w:val="285"/>
              </w:trPr>
              <w:tc>
                <w:tcPr>
                  <w:tcW w:w="2194" w:type="dxa"/>
                  <w:tcBorders>
                    <w:top w:val="nil"/>
                    <w:left w:val="nil"/>
                    <w:bottom w:val="nil"/>
                    <w:right w:val="nil"/>
                  </w:tcBorders>
                  <w:vAlign w:val="bottom"/>
                </w:tcPr>
                <w:p w14:paraId="2137FC7E" w14:textId="77777777" w:rsidR="001D0AB7" w:rsidRDefault="001D0AB7" w:rsidP="00AF1C52">
                  <w:pPr>
                    <w:jc w:val="right"/>
                    <w:rPr>
                      <w:noProof/>
                    </w:rPr>
                  </w:pPr>
                  <w:r w:rsidRPr="0FE7D690">
                    <w:rPr>
                      <w:rFonts w:ascii="Calibri" w:hAnsi="Calibri" w:cs="Calibri"/>
                      <w:noProof/>
                      <w:color w:val="000000"/>
                    </w:rPr>
                    <w:t>6</w:t>
                  </w:r>
                  <w:r>
                    <w:rPr>
                      <w:rFonts w:ascii="Calibri" w:hAnsi="Calibri" w:cs="Calibri"/>
                      <w:noProof/>
                      <w:color w:val="000000"/>
                    </w:rPr>
                    <w:t>.9</w:t>
                  </w:r>
                </w:p>
              </w:tc>
            </w:tr>
          </w:tbl>
          <w:p w14:paraId="167A25B9" w14:textId="77777777" w:rsidR="001D0AB7" w:rsidRPr="0086153A" w:rsidRDefault="001D0AB7" w:rsidP="00AF1C5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1D0AB7" w14:paraId="687AC435" w14:textId="77777777" w:rsidTr="00AF1C52">
              <w:trPr>
                <w:trHeight w:val="285"/>
              </w:trPr>
              <w:tc>
                <w:tcPr>
                  <w:tcW w:w="2290" w:type="dxa"/>
                  <w:tcBorders>
                    <w:top w:val="nil"/>
                    <w:left w:val="nil"/>
                    <w:bottom w:val="nil"/>
                    <w:right w:val="nil"/>
                  </w:tcBorders>
                  <w:vAlign w:val="bottom"/>
                </w:tcPr>
                <w:p w14:paraId="6705E6F9" w14:textId="77777777" w:rsidR="001D0AB7" w:rsidRDefault="001D0AB7" w:rsidP="00AF1C52">
                  <w:pPr>
                    <w:jc w:val="right"/>
                    <w:rPr>
                      <w:noProof/>
                    </w:rPr>
                  </w:pPr>
                  <w:r w:rsidRPr="0FE7D690">
                    <w:rPr>
                      <w:rFonts w:ascii="Calibri" w:hAnsi="Calibri" w:cs="Calibri"/>
                      <w:noProof/>
                      <w:color w:val="000000"/>
                    </w:rPr>
                    <w:t>7</w:t>
                  </w:r>
                  <w:r>
                    <w:rPr>
                      <w:rFonts w:ascii="Calibri" w:hAnsi="Calibri" w:cs="Calibri"/>
                      <w:noProof/>
                      <w:color w:val="000000"/>
                    </w:rPr>
                    <w:t>.1</w:t>
                  </w:r>
                </w:p>
              </w:tc>
            </w:tr>
          </w:tbl>
          <w:p w14:paraId="48C618B8" w14:textId="77777777" w:rsidR="001D0AB7" w:rsidRPr="0086153A" w:rsidRDefault="001D0AB7" w:rsidP="00AF1C5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1D0AB7" w14:paraId="43980553" w14:textId="77777777" w:rsidTr="00AF1C52">
              <w:trPr>
                <w:trHeight w:val="285"/>
              </w:trPr>
              <w:tc>
                <w:tcPr>
                  <w:tcW w:w="2290" w:type="dxa"/>
                  <w:tcBorders>
                    <w:top w:val="nil"/>
                    <w:left w:val="nil"/>
                    <w:bottom w:val="nil"/>
                    <w:right w:val="nil"/>
                  </w:tcBorders>
                  <w:vAlign w:val="bottom"/>
                </w:tcPr>
                <w:p w14:paraId="72AF2129" w14:textId="77777777" w:rsidR="001D0AB7" w:rsidRDefault="001D0AB7" w:rsidP="00AF1C52">
                  <w:pPr>
                    <w:jc w:val="right"/>
                    <w:rPr>
                      <w:noProof/>
                    </w:rPr>
                  </w:pPr>
                  <w:r w:rsidRPr="0FE7D690">
                    <w:rPr>
                      <w:rFonts w:ascii="Calibri" w:hAnsi="Calibri" w:cs="Calibri"/>
                      <w:noProof/>
                      <w:color w:val="000000"/>
                    </w:rPr>
                    <w:t>97%</w:t>
                  </w:r>
                </w:p>
              </w:tc>
            </w:tr>
          </w:tbl>
          <w:p w14:paraId="3A111C7E" w14:textId="77777777" w:rsidR="001D0AB7" w:rsidRPr="0086153A" w:rsidRDefault="001D0AB7" w:rsidP="00AF1C52">
            <w:pPr>
              <w:jc w:val="center"/>
              <w:cnfStyle w:val="000000000000" w:firstRow="0" w:lastRow="0" w:firstColumn="0" w:lastColumn="0" w:oddVBand="0" w:evenVBand="0" w:oddHBand="0" w:evenHBand="0" w:firstRowFirstColumn="0" w:firstRowLastColumn="0" w:lastRowFirstColumn="0" w:lastRowLastColumn="0"/>
              <w:rPr>
                <w:noProof/>
              </w:rPr>
            </w:pPr>
          </w:p>
        </w:tc>
      </w:tr>
      <w:tr w:rsidR="001D0AB7" w:rsidRPr="00040D99" w14:paraId="131C4B16" w14:textId="77777777" w:rsidTr="00AF1C52">
        <w:tc>
          <w:tcPr>
            <w:cnfStyle w:val="001000000000" w:firstRow="0" w:lastRow="0" w:firstColumn="1" w:lastColumn="0" w:oddVBand="0" w:evenVBand="0" w:oddHBand="0" w:evenHBand="0" w:firstRowFirstColumn="0" w:firstRowLastColumn="0" w:lastRowFirstColumn="0" w:lastRowLastColumn="0"/>
            <w:tcW w:w="2409" w:type="dxa"/>
          </w:tcPr>
          <w:p w14:paraId="45328A1E" w14:textId="77777777" w:rsidR="001D0AB7" w:rsidRPr="0086153A" w:rsidRDefault="001D0AB7" w:rsidP="00AF1C52">
            <w:pPr>
              <w:jc w:val="center"/>
              <w:rPr>
                <w:noProof/>
              </w:rPr>
            </w:pPr>
            <w:r w:rsidRPr="0086153A">
              <w:rPr>
                <w:noProof/>
              </w:rPr>
              <w:t>Payments</w:t>
            </w:r>
          </w:p>
        </w:tc>
        <w:tc>
          <w:tcPr>
            <w:tcW w:w="2410" w:type="dxa"/>
          </w:tcPr>
          <w:tbl>
            <w:tblPr>
              <w:tblStyle w:val="TableGrid"/>
              <w:tblW w:w="0" w:type="auto"/>
              <w:tblLook w:val="06A0" w:firstRow="1" w:lastRow="0" w:firstColumn="1" w:lastColumn="0" w:noHBand="1" w:noVBand="1"/>
            </w:tblPr>
            <w:tblGrid>
              <w:gridCol w:w="2194"/>
            </w:tblGrid>
            <w:tr w:rsidR="001D0AB7" w14:paraId="1D785D73" w14:textId="77777777" w:rsidTr="00AF1C52">
              <w:trPr>
                <w:trHeight w:val="285"/>
              </w:trPr>
              <w:tc>
                <w:tcPr>
                  <w:tcW w:w="2290" w:type="dxa"/>
                  <w:tcBorders>
                    <w:top w:val="nil"/>
                    <w:left w:val="nil"/>
                    <w:bottom w:val="nil"/>
                    <w:right w:val="nil"/>
                  </w:tcBorders>
                  <w:vAlign w:val="bottom"/>
                </w:tcPr>
                <w:p w14:paraId="3EE9769E" w14:textId="77777777" w:rsidR="001D0AB7" w:rsidRDefault="001D0AB7" w:rsidP="00AF1C52">
                  <w:pPr>
                    <w:jc w:val="right"/>
                    <w:rPr>
                      <w:noProof/>
                    </w:rPr>
                  </w:pPr>
                  <w:r w:rsidRPr="0FE7D690">
                    <w:rPr>
                      <w:rFonts w:ascii="Calibri" w:hAnsi="Calibri" w:cs="Calibri"/>
                      <w:noProof/>
                      <w:color w:val="000000"/>
                    </w:rPr>
                    <w:t>5</w:t>
                  </w:r>
                  <w:r>
                    <w:rPr>
                      <w:rFonts w:ascii="Calibri" w:hAnsi="Calibri" w:cs="Calibri"/>
                      <w:noProof/>
                      <w:color w:val="000000"/>
                    </w:rPr>
                    <w:t>.1</w:t>
                  </w:r>
                </w:p>
              </w:tc>
            </w:tr>
          </w:tbl>
          <w:p w14:paraId="2DA5B449" w14:textId="77777777" w:rsidR="001D0AB7" w:rsidRPr="0086153A" w:rsidRDefault="001D0AB7" w:rsidP="00AF1C5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49020E24" w14:textId="77777777" w:rsidR="001D0AB7" w:rsidRPr="0086153A" w:rsidRDefault="001D0AB7" w:rsidP="00AF1C5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1D0AB7" w14:paraId="6D23021F" w14:textId="77777777" w:rsidTr="00AF1C52">
              <w:trPr>
                <w:trHeight w:val="285"/>
              </w:trPr>
              <w:tc>
                <w:tcPr>
                  <w:tcW w:w="2235" w:type="dxa"/>
                  <w:tcBorders>
                    <w:top w:val="nil"/>
                    <w:left w:val="nil"/>
                    <w:bottom w:val="nil"/>
                    <w:right w:val="nil"/>
                  </w:tcBorders>
                  <w:vAlign w:val="bottom"/>
                </w:tcPr>
                <w:p w14:paraId="6EE548B4" w14:textId="77777777" w:rsidR="001D0AB7" w:rsidRDefault="001D0AB7" w:rsidP="00AF1C52">
                  <w:pPr>
                    <w:jc w:val="right"/>
                    <w:rPr>
                      <w:noProof/>
                    </w:rPr>
                  </w:pPr>
                  <w:r w:rsidRPr="0FE7D690">
                    <w:rPr>
                      <w:rFonts w:ascii="Calibri" w:hAnsi="Calibri" w:cs="Calibri"/>
                      <w:noProof/>
                      <w:color w:val="000000"/>
                    </w:rPr>
                    <w:t>71%</w:t>
                  </w:r>
                </w:p>
              </w:tc>
            </w:tr>
          </w:tbl>
          <w:p w14:paraId="73154C48" w14:textId="77777777" w:rsidR="001D0AB7" w:rsidRPr="0086153A" w:rsidRDefault="001D0AB7" w:rsidP="00AF1C52">
            <w:pPr>
              <w:jc w:val="center"/>
              <w:cnfStyle w:val="000000000000" w:firstRow="0" w:lastRow="0" w:firstColumn="0" w:lastColumn="0" w:oddVBand="0" w:evenVBand="0" w:oddHBand="0" w:evenHBand="0" w:firstRowFirstColumn="0" w:firstRowLastColumn="0" w:lastRowFirstColumn="0" w:lastRowLastColumn="0"/>
              <w:rPr>
                <w:noProof/>
              </w:rPr>
            </w:pPr>
          </w:p>
        </w:tc>
      </w:tr>
    </w:tbl>
    <w:p w14:paraId="3F79583E" w14:textId="77777777" w:rsidR="001D0AB7" w:rsidRPr="00040D99" w:rsidRDefault="001D0AB7" w:rsidP="001D0AB7">
      <w:pPr>
        <w:spacing w:before="120" w:after="120"/>
        <w:rPr>
          <w:noProof/>
          <w:color w:val="5BA95B"/>
        </w:rPr>
      </w:pPr>
    </w:p>
    <w:p w14:paraId="2D3B26C7" w14:textId="77777777" w:rsidR="001D0AB7" w:rsidRPr="002E400D" w:rsidRDefault="001D0AB7" w:rsidP="001D0AB7">
      <w:pPr>
        <w:pStyle w:val="ppoListHyphened-L1"/>
        <w:rPr>
          <w:noProof/>
        </w:rPr>
      </w:pPr>
      <w:r>
        <w:rPr>
          <w:noProof/>
        </w:rPr>
        <w:t xml:space="preserve">At the end of 2021, 71% of the payments of the 2014-2020 period were implemented. The remaining payments are expected to be </w:t>
      </w:r>
      <w:r w:rsidRPr="002E400D">
        <w:rPr>
          <w:noProof/>
        </w:rPr>
        <w:t>implemented by 2024.</w:t>
      </w:r>
    </w:p>
    <w:p w14:paraId="514B7B7B" w14:textId="77777777" w:rsidR="001D0AB7" w:rsidRDefault="001D0AB7" w:rsidP="001D0AB7">
      <w:pPr>
        <w:pStyle w:val="ppoListHyphened-L1"/>
        <w:rPr>
          <w:noProof/>
        </w:rPr>
      </w:pPr>
      <w:r>
        <w:rPr>
          <w:noProof/>
        </w:rPr>
        <w:t>12 actions funded through 2019 and 2020 commitments were planned to be implemented from 2021 to 2023, partially due to the impact of the COVID-19 pandemic.</w:t>
      </w:r>
    </w:p>
    <w:p w14:paraId="57CCF9B2" w14:textId="77777777" w:rsidR="001D0AB7" w:rsidRDefault="001D0AB7" w:rsidP="001D0AB7">
      <w:pPr>
        <w:pStyle w:val="ppoListHyphened-L1"/>
        <w:rPr>
          <w:noProof/>
        </w:rPr>
      </w:pPr>
      <w:r>
        <w:rPr>
          <w:noProof/>
        </w:rPr>
        <w:t>Of those actions, four were implemented and finalised in 2021; two actions were partially implemented in 2021 in a hybrid format and are planned to be finalised in 2022; and six actions will be implemented in 2022 and 2023.</w:t>
      </w:r>
    </w:p>
    <w:p w14:paraId="6D93FD99" w14:textId="77777777" w:rsidR="001D0AB7" w:rsidRDefault="001D0AB7" w:rsidP="001D0AB7">
      <w:pPr>
        <w:pStyle w:val="ppoListHyphened-L1"/>
        <w:rPr>
          <w:noProof/>
        </w:rPr>
      </w:pPr>
      <w:r>
        <w:rPr>
          <w:noProof/>
        </w:rPr>
        <w:t>During the 2014-2020 period, Pericles</w:t>
      </w:r>
      <w:r>
        <w:rPr>
          <w:rFonts w:ascii="Calibri" w:hAnsi="Calibri" w:cs="Calibri"/>
          <w:noProof/>
        </w:rPr>
        <w:t> </w:t>
      </w:r>
      <w:r w:rsidRPr="002E400D">
        <w:rPr>
          <w:noProof/>
        </w:rPr>
        <w:t>2020 funded 80 actions</w:t>
      </w:r>
      <w:r>
        <w:rPr>
          <w:noProof/>
        </w:rPr>
        <w:t>:</w:t>
      </w:r>
      <w:r w:rsidRPr="002E400D">
        <w:rPr>
          <w:noProof/>
        </w:rPr>
        <w:t xml:space="preserve"> 59 were grants for co-financing events both in and outside </w:t>
      </w:r>
      <w:r>
        <w:rPr>
          <w:noProof/>
        </w:rPr>
        <w:t xml:space="preserve">of </w:t>
      </w:r>
      <w:r w:rsidRPr="002E400D">
        <w:rPr>
          <w:noProof/>
        </w:rPr>
        <w:t>the EU and 21 were procurement</w:t>
      </w:r>
      <w:r>
        <w:rPr>
          <w:noProof/>
        </w:rPr>
        <w:t xml:space="preserve"> contracts.</w:t>
      </w:r>
    </w:p>
    <w:p w14:paraId="6174D1EA" w14:textId="77777777" w:rsidR="001D0AB7" w:rsidRPr="00040D99" w:rsidRDefault="001D0AB7" w:rsidP="001D0AB7">
      <w:pPr>
        <w:pStyle w:val="ppoHeading5"/>
        <w:rPr>
          <w:noProof/>
        </w:rPr>
      </w:pPr>
      <w:r w:rsidRPr="00040D99">
        <w:rPr>
          <w:noProof/>
        </w:rPr>
        <w:t>Performance assessment</w:t>
      </w:r>
    </w:p>
    <w:p w14:paraId="59A5D73F" w14:textId="77777777" w:rsidR="001D0AB7" w:rsidRDefault="001D0AB7" w:rsidP="001D0AB7">
      <w:pPr>
        <w:pStyle w:val="ppoListHyphened-L1"/>
        <w:rPr>
          <w:noProof/>
        </w:rPr>
      </w:pPr>
      <w:r>
        <w:rPr>
          <w:noProof/>
        </w:rPr>
        <w:t>Pericles</w:t>
      </w:r>
      <w:r>
        <w:rPr>
          <w:rFonts w:ascii="Calibri" w:hAnsi="Calibri" w:cs="Calibri"/>
          <w:noProof/>
        </w:rPr>
        <w:t> </w:t>
      </w:r>
      <w:r>
        <w:rPr>
          <w:noProof/>
        </w:rPr>
        <w:t>2020 made a substantial contribution to the further improvement of coordination and cooperation at the international, EU and Member State levels, as well as the creation of more solid structures for the protection of the euro.</w:t>
      </w:r>
    </w:p>
    <w:p w14:paraId="4A3F728A" w14:textId="77777777" w:rsidR="001D0AB7" w:rsidRDefault="001D0AB7" w:rsidP="001D0AB7">
      <w:pPr>
        <w:pStyle w:val="ppoListHyphened-L1"/>
        <w:rPr>
          <w:noProof/>
        </w:rPr>
      </w:pPr>
      <w:r w:rsidRPr="00EF25F1">
        <w:rPr>
          <w:noProof/>
        </w:rPr>
        <w:t>Examples of this are the establishment of a specialised investigation group in Chile in 2019</w:t>
      </w:r>
      <w:r w:rsidRPr="002332B7">
        <w:rPr>
          <w:noProof/>
        </w:rPr>
        <w:t>;</w:t>
      </w:r>
      <w:r w:rsidRPr="00EF25F1">
        <w:rPr>
          <w:noProof/>
        </w:rPr>
        <w:t xml:space="preserve"> the increased cooperation networks in the </w:t>
      </w:r>
      <w:r w:rsidRPr="00432310">
        <w:rPr>
          <w:noProof/>
        </w:rPr>
        <w:t>Balkans</w:t>
      </w:r>
      <w:r w:rsidRPr="002332B7">
        <w:rPr>
          <w:noProof/>
        </w:rPr>
        <w:t>;</w:t>
      </w:r>
      <w:r w:rsidRPr="00EF25F1">
        <w:rPr>
          <w:noProof/>
        </w:rPr>
        <w:t xml:space="preserve"> the adoption of legislation aimed at improving euro protection;</w:t>
      </w:r>
      <w:r>
        <w:rPr>
          <w:noProof/>
        </w:rPr>
        <w:t xml:space="preserve"> and</w:t>
      </w:r>
      <w:r w:rsidRPr="00722088">
        <w:rPr>
          <w:noProof/>
        </w:rPr>
        <w:t xml:space="preserve"> the establishment of </w:t>
      </w:r>
      <w:r>
        <w:rPr>
          <w:noProof/>
        </w:rPr>
        <w:t>the National Central Office in Argentina in 2019</w:t>
      </w:r>
      <w:r w:rsidRPr="00722088">
        <w:rPr>
          <w:noProof/>
        </w:rPr>
        <w:t>.</w:t>
      </w:r>
    </w:p>
    <w:p w14:paraId="7F19EC20" w14:textId="77777777" w:rsidR="001D0AB7" w:rsidRDefault="001D0AB7" w:rsidP="001D0AB7">
      <w:pPr>
        <w:pStyle w:val="ppoListHyphened-L1"/>
        <w:rPr>
          <w:noProof/>
        </w:rPr>
      </w:pPr>
      <w:r>
        <w:rPr>
          <w:noProof/>
        </w:rPr>
        <w:t>Feedback provided immediately after events organised by the programme showed that 95% of participants expressed a positive or highly positive view. More importantly, a large proportion of them said that they had learned about best practices, acquired useful skills and established contacts with colleagues in other countries. The quality of activities was also judged positively by the authorities involved.</w:t>
      </w:r>
    </w:p>
    <w:p w14:paraId="20847938" w14:textId="77777777" w:rsidR="001D0AB7" w:rsidRDefault="001D0AB7" w:rsidP="001D0AB7">
      <w:pPr>
        <w:pStyle w:val="ppoListHyphened-L1"/>
        <w:rPr>
          <w:noProof/>
        </w:rPr>
      </w:pPr>
      <w:r>
        <w:rPr>
          <w:noProof/>
        </w:rPr>
        <w:t xml:space="preserve">Quantifying the impact of a capacity-building initiative in terms of protection against criminal activities is a complex exercise, due to the influence of external factors on the extent of said activities, such as the priority set by Member State </w:t>
      </w:r>
      <w:r w:rsidRPr="00EF25F1">
        <w:rPr>
          <w:noProof/>
        </w:rPr>
        <w:t>law enforcement</w:t>
      </w:r>
      <w:r>
        <w:rPr>
          <w:noProof/>
        </w:rPr>
        <w:t xml:space="preserve"> authorities and the length and scope of police investigations.</w:t>
      </w:r>
    </w:p>
    <w:p w14:paraId="152B1AE9" w14:textId="77777777" w:rsidR="001D0AB7" w:rsidRDefault="001D0AB7" w:rsidP="001D0AB7">
      <w:pPr>
        <w:pStyle w:val="ppoListHyphened-L1"/>
        <w:rPr>
          <w:noProof/>
        </w:rPr>
      </w:pPr>
      <w:r>
        <w:rPr>
          <w:noProof/>
        </w:rPr>
        <w:t xml:space="preserve">Nevertheless, the </w:t>
      </w:r>
      <w:r w:rsidRPr="00C00CDC">
        <w:rPr>
          <w:noProof/>
        </w:rPr>
        <w:t>midterm</w:t>
      </w:r>
      <w:r>
        <w:rPr>
          <w:noProof/>
        </w:rPr>
        <w:t xml:space="preserve"> evaluation of the programme concluded that Pericles</w:t>
      </w:r>
      <w:r>
        <w:rPr>
          <w:rFonts w:ascii="Calibri" w:hAnsi="Calibri" w:cs="Calibri"/>
          <w:noProof/>
        </w:rPr>
        <w:t> </w:t>
      </w:r>
      <w:r>
        <w:rPr>
          <w:noProof/>
        </w:rPr>
        <w:t>2020 actions were typically implemented as planned and achieved the intended outputs. The evidence suggested that this translated into tangible outcomes (e.g. successful police operations in South America, following Pericles training sessions).</w:t>
      </w:r>
    </w:p>
    <w:p w14:paraId="31B40DA6" w14:textId="77777777" w:rsidR="001D0AB7" w:rsidRPr="00722088" w:rsidRDefault="001D0AB7" w:rsidP="001D0AB7">
      <w:pPr>
        <w:pStyle w:val="ppoListHyphened-L1"/>
        <w:rPr>
          <w:noProof/>
        </w:rPr>
      </w:pPr>
      <w:r w:rsidRPr="00722088">
        <w:rPr>
          <w:noProof/>
        </w:rPr>
        <w:t xml:space="preserve">One of the recommendations of the midterm evaluation was to encourage </w:t>
      </w:r>
      <w:r>
        <w:rPr>
          <w:noProof/>
        </w:rPr>
        <w:t>a greater number of</w:t>
      </w:r>
      <w:r w:rsidRPr="00722088">
        <w:rPr>
          <w:noProof/>
        </w:rPr>
        <w:t xml:space="preserve"> competent national authorities to apply for the programme. In this respect, the advertising of the programme and the increased co-financing rate for actions organised by new applicants attracted several first-time applicants.</w:t>
      </w:r>
    </w:p>
    <w:p w14:paraId="637C6B33" w14:textId="77777777" w:rsidR="001D0AB7" w:rsidRPr="00402CA7" w:rsidRDefault="001D0AB7" w:rsidP="001D0AB7">
      <w:pPr>
        <w:pStyle w:val="ppoListHyphened-L1"/>
        <w:rPr>
          <w:noProof/>
        </w:rPr>
      </w:pPr>
      <w:r>
        <w:rPr>
          <w:noProof/>
        </w:rPr>
        <w:t xml:space="preserve">Despite the fact that counterfeiting currently seems to be under control, it continues to be a major threat to the euro. </w:t>
      </w:r>
      <w:bookmarkStart w:id="107" w:name="_Hlk100822696"/>
      <w:r>
        <w:rPr>
          <w:noProof/>
        </w:rPr>
        <w:t xml:space="preserve">The rise of sophisticated </w:t>
      </w:r>
      <w:r w:rsidRPr="00863CEA">
        <w:rPr>
          <w:noProof/>
        </w:rPr>
        <w:t>counterfeits</w:t>
      </w:r>
      <w:bookmarkEnd w:id="107"/>
      <w:r>
        <w:rPr>
          <w:noProof/>
        </w:rPr>
        <w:t>, the increased availability of technology and the continued interest of organised crime groups in euro counterfeiting require continuous attention.</w:t>
      </w:r>
    </w:p>
    <w:p w14:paraId="29D6F42E" w14:textId="77777777" w:rsidR="00AF1C52" w:rsidRDefault="00AF1C52" w:rsidP="00AF1C52">
      <w:pPr>
        <w:pStyle w:val="ppoListHyphened-L1"/>
        <w:spacing w:after="160" w:line="259" w:lineRule="auto"/>
        <w:rPr>
          <w:noProof/>
          <w:lang w:val="en-IE"/>
        </w:rPr>
        <w:sectPr w:rsidR="00AF1C52" w:rsidSect="00D40083">
          <w:headerReference w:type="even" r:id="rId240"/>
          <w:headerReference w:type="default" r:id="rId241"/>
          <w:footerReference w:type="even" r:id="rId242"/>
          <w:footerReference w:type="default" r:id="rId243"/>
          <w:headerReference w:type="first" r:id="rId244"/>
          <w:footerReference w:type="first" r:id="rId245"/>
          <w:pgSz w:w="11906" w:h="16838" w:code="9"/>
          <w:pgMar w:top="1134" w:right="1134" w:bottom="964" w:left="1134" w:header="431" w:footer="431" w:gutter="0"/>
          <w:cols w:space="720"/>
          <w:titlePg/>
          <w:docGrid w:linePitch="360"/>
        </w:sectPr>
      </w:pPr>
    </w:p>
    <w:p w14:paraId="1938FBC6" w14:textId="77777777" w:rsidR="00647AA9" w:rsidRPr="0069188E" w:rsidRDefault="00647AA9" w:rsidP="00647AA9">
      <w:pPr>
        <w:pStyle w:val="StyleppoHeading3WhiteLeft0cm"/>
        <w:rPr>
          <w:noProof/>
          <w:sz w:val="40"/>
          <w:szCs w:val="40"/>
        </w:rPr>
      </w:pPr>
    </w:p>
    <w:p w14:paraId="3A1F9885" w14:textId="77777777" w:rsidR="00647AA9" w:rsidRPr="0069188E" w:rsidRDefault="00647AA9" w:rsidP="00647AA9">
      <w:pPr>
        <w:pStyle w:val="StyleppoHeading3WhiteLeft0cm"/>
        <w:rPr>
          <w:noProof/>
          <w:sz w:val="60"/>
          <w:szCs w:val="60"/>
        </w:rPr>
      </w:pPr>
      <w:bookmarkStart w:id="108" w:name="_Toc102086346"/>
      <w:r w:rsidRPr="0069188E">
        <w:rPr>
          <w:noProof/>
          <w:sz w:val="60"/>
          <w:szCs w:val="60"/>
        </w:rPr>
        <w:t>C</w:t>
      </w:r>
      <w:r>
        <w:rPr>
          <w:noProof/>
          <w:sz w:val="60"/>
          <w:szCs w:val="60"/>
        </w:rPr>
        <w:t>IVIL</w:t>
      </w:r>
      <w:r w:rsidRPr="0069188E">
        <w:rPr>
          <w:noProof/>
          <w:sz w:val="60"/>
          <w:szCs w:val="60"/>
        </w:rPr>
        <w:t xml:space="preserve"> P</w:t>
      </w:r>
      <w:r>
        <w:rPr>
          <w:noProof/>
          <w:sz w:val="60"/>
          <w:szCs w:val="60"/>
        </w:rPr>
        <w:t>ROTECTION</w:t>
      </w:r>
      <w:bookmarkEnd w:id="108"/>
    </w:p>
    <w:p w14:paraId="692B0BFE" w14:textId="77777777" w:rsidR="00647AA9" w:rsidRPr="00040D99" w:rsidRDefault="00647AA9" w:rsidP="00647AA9">
      <w:pPr>
        <w:pStyle w:val="StyleppoProgrammenameWhiteLeft01cm"/>
        <w:rPr>
          <w:noProof/>
        </w:rPr>
      </w:pPr>
      <w:r>
        <w:rPr>
          <w:noProof/>
        </w:rPr>
        <w:t>UNION CIVIL PROTECTION MECHANISM</w:t>
      </w:r>
    </w:p>
    <w:p w14:paraId="3377FBC5" w14:textId="77777777" w:rsidR="00647AA9" w:rsidRPr="00351CB7" w:rsidRDefault="00647AA9" w:rsidP="00647AA9">
      <w:pPr>
        <w:pStyle w:val="ppoHeading4Green"/>
        <w:rPr>
          <w:noProof/>
        </w:rPr>
      </w:pPr>
      <w:r w:rsidRPr="00351CB7">
        <w:rPr>
          <w:noProof/>
        </w:rPr>
        <w:t>Programme in a nutshell</w:t>
      </w:r>
    </w:p>
    <w:p w14:paraId="0634FC6C" w14:textId="77777777" w:rsidR="00647AA9" w:rsidRPr="00040D99" w:rsidRDefault="00647AA9" w:rsidP="00647AA9">
      <w:pPr>
        <w:pStyle w:val="ppoHeading5"/>
        <w:rPr>
          <w:noProof/>
        </w:rPr>
      </w:pPr>
      <w:r w:rsidRPr="00040D99">
        <w:rPr>
          <w:noProof/>
        </w:rPr>
        <w:t>Concrete examples of achievements</w:t>
      </w:r>
    </w:p>
    <w:tbl>
      <w:tblPr>
        <w:tblStyle w:val="PPO2021"/>
        <w:tblW w:w="7229" w:type="dxa"/>
        <w:tblInd w:w="0" w:type="dxa"/>
        <w:tblLook w:val="0200" w:firstRow="0" w:lastRow="0" w:firstColumn="0" w:lastColumn="0" w:noHBand="1" w:noVBand="0"/>
      </w:tblPr>
      <w:tblGrid>
        <w:gridCol w:w="2410"/>
        <w:gridCol w:w="2409"/>
        <w:gridCol w:w="2410"/>
      </w:tblGrid>
      <w:tr w:rsidR="00647AA9" w:rsidRPr="00211D6B" w14:paraId="31DD4237" w14:textId="77777777" w:rsidTr="00AD7F08">
        <w:tc>
          <w:tcPr>
            <w:tcW w:w="2410" w:type="dxa"/>
          </w:tcPr>
          <w:p w14:paraId="39C473A8" w14:textId="77777777" w:rsidR="00647AA9" w:rsidRPr="00211D6B" w:rsidRDefault="00647AA9" w:rsidP="00B202C2">
            <w:pPr>
              <w:pStyle w:val="ppoTableacheivementvalue"/>
              <w:rPr>
                <w:noProof/>
              </w:rPr>
            </w:pPr>
            <w:r w:rsidRPr="00D170B0">
              <w:rPr>
                <w:noProof/>
              </w:rPr>
              <w:t>114</w:t>
            </w:r>
          </w:p>
          <w:p w14:paraId="4095C541" w14:textId="77777777" w:rsidR="00647AA9" w:rsidRPr="00211D6B" w:rsidRDefault="00647AA9" w:rsidP="00962E3C">
            <w:pPr>
              <w:jc w:val="left"/>
              <w:rPr>
                <w:noProof/>
              </w:rPr>
            </w:pPr>
            <w:r w:rsidRPr="00211D6B">
              <w:rPr>
                <w:noProof/>
              </w:rPr>
              <w:t xml:space="preserve">activations of the </w:t>
            </w:r>
            <w:r w:rsidRPr="0066440F">
              <w:rPr>
                <w:noProof/>
              </w:rPr>
              <w:t>Union Civil Protection Mechanism (UCPM)</w:t>
            </w:r>
            <w:r w:rsidRPr="00211D6B">
              <w:rPr>
                <w:noProof/>
              </w:rPr>
              <w:t xml:space="preserve"> </w:t>
            </w:r>
            <w:r>
              <w:rPr>
                <w:noProof/>
              </w:rPr>
              <w:t xml:space="preserve">occurred </w:t>
            </w:r>
            <w:r w:rsidRPr="00211D6B">
              <w:rPr>
                <w:noProof/>
              </w:rPr>
              <w:t>in 2021</w:t>
            </w:r>
            <w:r>
              <w:rPr>
                <w:noProof/>
              </w:rPr>
              <w:t>, of which 36</w:t>
            </w:r>
            <w:r w:rsidRPr="00211D6B">
              <w:rPr>
                <w:noProof/>
              </w:rPr>
              <w:t xml:space="preserve"> inside </w:t>
            </w:r>
            <w:r>
              <w:rPr>
                <w:noProof/>
              </w:rPr>
              <w:t xml:space="preserve">and 78 outside of </w:t>
            </w:r>
            <w:r w:rsidRPr="00211D6B">
              <w:rPr>
                <w:noProof/>
              </w:rPr>
              <w:t>the EU</w:t>
            </w:r>
            <w:r>
              <w:rPr>
                <w:noProof/>
              </w:rPr>
              <w:t>.</w:t>
            </w:r>
            <w:r w:rsidRPr="00211D6B">
              <w:rPr>
                <w:noProof/>
              </w:rPr>
              <w:t xml:space="preserve"> </w:t>
            </w:r>
          </w:p>
        </w:tc>
        <w:tc>
          <w:tcPr>
            <w:cnfStyle w:val="000001000000" w:firstRow="0" w:lastRow="0" w:firstColumn="0" w:lastColumn="0" w:oddVBand="0" w:evenVBand="1" w:oddHBand="0" w:evenHBand="0" w:firstRowFirstColumn="0" w:firstRowLastColumn="0" w:lastRowFirstColumn="0" w:lastRowLastColumn="0"/>
            <w:tcW w:w="2409" w:type="dxa"/>
          </w:tcPr>
          <w:p w14:paraId="4CBD248E" w14:textId="77777777" w:rsidR="00647AA9" w:rsidRPr="00211D6B" w:rsidRDefault="00647AA9" w:rsidP="00B202C2">
            <w:pPr>
              <w:pStyle w:val="ppoTableacheivementvalue"/>
              <w:rPr>
                <w:noProof/>
              </w:rPr>
            </w:pPr>
            <w:r w:rsidRPr="00211D6B">
              <w:rPr>
                <w:noProof/>
              </w:rPr>
              <w:t>13</w:t>
            </w:r>
          </w:p>
          <w:p w14:paraId="0F30428A" w14:textId="5767393E" w:rsidR="00647AA9" w:rsidRPr="00211D6B" w:rsidRDefault="00647AA9" w:rsidP="003D550B">
            <w:pPr>
              <w:jc w:val="left"/>
              <w:rPr>
                <w:noProof/>
              </w:rPr>
            </w:pPr>
            <w:r>
              <w:rPr>
                <w:noProof/>
              </w:rPr>
              <w:t>p</w:t>
            </w:r>
            <w:r w:rsidRPr="00211D6B">
              <w:rPr>
                <w:noProof/>
              </w:rPr>
              <w:t xml:space="preserve">revention and preparedness projects </w:t>
            </w:r>
            <w:r>
              <w:rPr>
                <w:noProof/>
              </w:rPr>
              <w:t xml:space="preserve">inside the </w:t>
            </w:r>
            <w:r w:rsidRPr="003F18E5">
              <w:rPr>
                <w:noProof/>
              </w:rPr>
              <w:t>EU</w:t>
            </w:r>
            <w:r w:rsidRPr="003F18E5">
              <w:rPr>
                <w:rFonts w:ascii="Calibri" w:hAnsi="Calibri" w:cs="Calibri"/>
                <w:noProof/>
              </w:rPr>
              <w:t> </w:t>
            </w:r>
            <w:r w:rsidRPr="0073413A">
              <w:rPr>
                <w:rFonts w:cs="EC Square Sans Pro"/>
                <w:noProof/>
              </w:rPr>
              <w:t>–</w:t>
            </w:r>
            <w:r w:rsidRPr="0073413A">
              <w:rPr>
                <w:rFonts w:cs="Calibri"/>
                <w:noProof/>
              </w:rPr>
              <w:t xml:space="preserve"> along with</w:t>
            </w:r>
            <w:r w:rsidRPr="003F18E5">
              <w:rPr>
                <w:noProof/>
              </w:rPr>
              <w:t xml:space="preserve"> </w:t>
            </w:r>
            <w:r w:rsidR="003D550B">
              <w:rPr>
                <w:noProof/>
              </w:rPr>
              <w:t>two</w:t>
            </w:r>
            <w:r w:rsidR="003D550B" w:rsidRPr="00944E0F">
              <w:rPr>
                <w:noProof/>
              </w:rPr>
              <w:t xml:space="preserve"> </w:t>
            </w:r>
            <w:r w:rsidRPr="00944E0F">
              <w:rPr>
                <w:noProof/>
              </w:rPr>
              <w:t>regional programmes on prevention, preparedness and response</w:t>
            </w:r>
            <w:r>
              <w:rPr>
                <w:noProof/>
              </w:rPr>
              <w:t xml:space="preserve"> outside of the </w:t>
            </w:r>
            <w:r w:rsidRPr="004465DE">
              <w:rPr>
                <w:noProof/>
              </w:rPr>
              <w:t>EU</w:t>
            </w:r>
            <w:r w:rsidRPr="004465DE">
              <w:rPr>
                <w:rFonts w:ascii="Calibri" w:hAnsi="Calibri" w:cs="Calibri"/>
                <w:noProof/>
              </w:rPr>
              <w:t> </w:t>
            </w:r>
            <w:r w:rsidRPr="0073413A">
              <w:rPr>
                <w:rFonts w:cs="EC Square Sans Pro"/>
                <w:noProof/>
              </w:rPr>
              <w:t>–</w:t>
            </w:r>
            <w:r w:rsidRPr="004465DE">
              <w:rPr>
                <w:noProof/>
              </w:rPr>
              <w:t xml:space="preserve"> were</w:t>
            </w:r>
            <w:r>
              <w:rPr>
                <w:noProof/>
              </w:rPr>
              <w:t xml:space="preserve"> </w:t>
            </w:r>
            <w:r w:rsidRPr="00211D6B">
              <w:rPr>
                <w:noProof/>
              </w:rPr>
              <w:t xml:space="preserve">financed </w:t>
            </w:r>
            <w:r>
              <w:rPr>
                <w:noProof/>
              </w:rPr>
              <w:t>via</w:t>
            </w:r>
            <w:r w:rsidRPr="00211D6B">
              <w:rPr>
                <w:noProof/>
              </w:rPr>
              <w:t xml:space="preserve"> the </w:t>
            </w:r>
            <w:r w:rsidRPr="0066440F">
              <w:rPr>
                <w:noProof/>
              </w:rPr>
              <w:t>UCPM</w:t>
            </w:r>
            <w:r>
              <w:rPr>
                <w:noProof/>
              </w:rPr>
              <w:t xml:space="preserve"> in 2021.</w:t>
            </w:r>
          </w:p>
        </w:tc>
        <w:tc>
          <w:tcPr>
            <w:tcW w:w="2410" w:type="dxa"/>
            <w:tcBorders>
              <w:bottom w:val="single" w:sz="4" w:space="0" w:color="8C8C8C"/>
            </w:tcBorders>
          </w:tcPr>
          <w:p w14:paraId="497571A3" w14:textId="77777777" w:rsidR="00647AA9" w:rsidRPr="00211D6B" w:rsidRDefault="00647AA9" w:rsidP="00B202C2">
            <w:pPr>
              <w:pStyle w:val="ppoTableacheivementvalue"/>
              <w:cnfStyle w:val="000000000000" w:firstRow="0" w:lastRow="0" w:firstColumn="0" w:lastColumn="0" w:oddVBand="0" w:evenVBand="0" w:oddHBand="0" w:evenHBand="0" w:firstRowFirstColumn="0" w:firstRowLastColumn="0" w:lastRowFirstColumn="0" w:lastRowLastColumn="0"/>
              <w:rPr>
                <w:noProof/>
              </w:rPr>
            </w:pPr>
            <w:r>
              <w:rPr>
                <w:noProof/>
              </w:rPr>
              <w:t>115</w:t>
            </w:r>
          </w:p>
          <w:p w14:paraId="39955B53" w14:textId="77777777" w:rsidR="00647AA9" w:rsidRPr="00211D6B" w:rsidRDefault="00647AA9" w:rsidP="00962E3C">
            <w:pPr>
              <w:jc w:val="left"/>
              <w:cnfStyle w:val="000000000000" w:firstRow="0" w:lastRow="0" w:firstColumn="0" w:lastColumn="0" w:oddVBand="0" w:evenVBand="0" w:oddHBand="0" w:evenHBand="0" w:firstRowFirstColumn="0" w:firstRowLastColumn="0" w:lastRowFirstColumn="0" w:lastRowLastColumn="0"/>
              <w:rPr>
                <w:noProof/>
              </w:rPr>
            </w:pPr>
            <w:r>
              <w:rPr>
                <w:noProof/>
              </w:rPr>
              <w:t>r</w:t>
            </w:r>
            <w:r w:rsidRPr="00211D6B">
              <w:rPr>
                <w:noProof/>
              </w:rPr>
              <w:t xml:space="preserve">esponse capacities </w:t>
            </w:r>
            <w:r>
              <w:rPr>
                <w:noProof/>
              </w:rPr>
              <w:t xml:space="preserve">were </w:t>
            </w:r>
            <w:r w:rsidRPr="00211D6B">
              <w:rPr>
                <w:noProof/>
              </w:rPr>
              <w:t xml:space="preserve">committed to the </w:t>
            </w:r>
            <w:r w:rsidRPr="00B733FB">
              <w:rPr>
                <w:noProof/>
              </w:rPr>
              <w:t>European Civil Protection Pool</w:t>
            </w:r>
            <w:r>
              <w:rPr>
                <w:noProof/>
              </w:rPr>
              <w:t xml:space="preserve"> (ECPP) by the end of 2021</w:t>
            </w:r>
            <w:r w:rsidRPr="00211D6B">
              <w:rPr>
                <w:noProof/>
              </w:rPr>
              <w:t xml:space="preserve">, </w:t>
            </w:r>
            <w:r>
              <w:rPr>
                <w:noProof/>
              </w:rPr>
              <w:t xml:space="preserve">of which </w:t>
            </w:r>
            <w:r w:rsidRPr="00211D6B">
              <w:rPr>
                <w:noProof/>
              </w:rPr>
              <w:t xml:space="preserve">82 </w:t>
            </w:r>
            <w:r>
              <w:rPr>
                <w:noProof/>
              </w:rPr>
              <w:t xml:space="preserve">were </w:t>
            </w:r>
            <w:r w:rsidRPr="00211D6B">
              <w:rPr>
                <w:noProof/>
              </w:rPr>
              <w:t>available for immediate deployment</w:t>
            </w:r>
            <w:r>
              <w:rPr>
                <w:noProof/>
              </w:rPr>
              <w:t>.</w:t>
            </w:r>
          </w:p>
        </w:tc>
      </w:tr>
      <w:tr w:rsidR="00647AA9" w:rsidRPr="00040D99" w14:paraId="49F7435C" w14:textId="77777777" w:rsidTr="00AD7F08">
        <w:tc>
          <w:tcPr>
            <w:tcW w:w="2410" w:type="dxa"/>
          </w:tcPr>
          <w:p w14:paraId="10420143" w14:textId="77777777" w:rsidR="00647AA9" w:rsidRPr="00211D6B" w:rsidRDefault="00647AA9" w:rsidP="00B202C2">
            <w:pPr>
              <w:pStyle w:val="ppoTableacheivementvalue"/>
              <w:rPr>
                <w:noProof/>
              </w:rPr>
            </w:pPr>
            <w:r>
              <w:rPr>
                <w:noProof/>
              </w:rPr>
              <w:t>7</w:t>
            </w:r>
          </w:p>
          <w:p w14:paraId="4F37338B" w14:textId="77777777" w:rsidR="00647AA9" w:rsidRPr="00211D6B" w:rsidRDefault="00647AA9" w:rsidP="00962E3C">
            <w:pPr>
              <w:jc w:val="left"/>
              <w:rPr>
                <w:noProof/>
              </w:rPr>
            </w:pPr>
            <w:r>
              <w:rPr>
                <w:noProof/>
              </w:rPr>
              <w:t>g</w:t>
            </w:r>
            <w:r w:rsidRPr="00211D6B">
              <w:rPr>
                <w:noProof/>
              </w:rPr>
              <w:t xml:space="preserve">rant agreements </w:t>
            </w:r>
            <w:r>
              <w:rPr>
                <w:noProof/>
              </w:rPr>
              <w:t xml:space="preserve">were </w:t>
            </w:r>
            <w:r w:rsidRPr="00211D6B">
              <w:rPr>
                <w:noProof/>
              </w:rPr>
              <w:t xml:space="preserve">signed with Member States and </w:t>
            </w:r>
            <w:r>
              <w:rPr>
                <w:noProof/>
              </w:rPr>
              <w:t>p</w:t>
            </w:r>
            <w:r w:rsidRPr="00211D6B">
              <w:rPr>
                <w:noProof/>
              </w:rPr>
              <w:t xml:space="preserve">articipating </w:t>
            </w:r>
            <w:r>
              <w:rPr>
                <w:noProof/>
              </w:rPr>
              <w:t>s</w:t>
            </w:r>
            <w:r w:rsidRPr="00211D6B">
              <w:rPr>
                <w:noProof/>
              </w:rPr>
              <w:t>tates for</w:t>
            </w:r>
            <w:r>
              <w:rPr>
                <w:noProof/>
              </w:rPr>
              <w:t xml:space="preserve"> activities related to the k</w:t>
            </w:r>
            <w:r w:rsidRPr="00EB627C">
              <w:rPr>
                <w:noProof/>
              </w:rPr>
              <w:t xml:space="preserve">nowledge </w:t>
            </w:r>
            <w:r>
              <w:rPr>
                <w:noProof/>
              </w:rPr>
              <w:t>n</w:t>
            </w:r>
            <w:r w:rsidRPr="00EB627C">
              <w:rPr>
                <w:noProof/>
              </w:rPr>
              <w:t>etwork</w:t>
            </w:r>
            <w:r>
              <w:rPr>
                <w:noProof/>
              </w:rPr>
              <w:t xml:space="preserve"> in 2021</w:t>
            </w:r>
            <w:r w:rsidRPr="00211D6B">
              <w:rPr>
                <w:noProof/>
              </w:rPr>
              <w:t>.</w:t>
            </w:r>
          </w:p>
        </w:tc>
        <w:tc>
          <w:tcPr>
            <w:cnfStyle w:val="000001000000" w:firstRow="0" w:lastRow="0" w:firstColumn="0" w:lastColumn="0" w:oddVBand="0" w:evenVBand="1" w:oddHBand="0" w:evenHBand="0" w:firstRowFirstColumn="0" w:firstRowLastColumn="0" w:lastRowFirstColumn="0" w:lastRowLastColumn="0"/>
            <w:tcW w:w="2409" w:type="dxa"/>
            <w:shd w:val="clear" w:color="auto" w:fill="F2F2F2"/>
          </w:tcPr>
          <w:p w14:paraId="13C12AEC" w14:textId="77777777" w:rsidR="00647AA9" w:rsidRPr="00211D6B" w:rsidRDefault="00647AA9" w:rsidP="00B202C2">
            <w:pPr>
              <w:pStyle w:val="ppoTableacheivementvalue"/>
              <w:rPr>
                <w:noProof/>
              </w:rPr>
            </w:pPr>
            <w:r>
              <w:rPr>
                <w:noProof/>
              </w:rPr>
              <w:t>53</w:t>
            </w:r>
          </w:p>
          <w:p w14:paraId="749867E3" w14:textId="77777777" w:rsidR="00647AA9" w:rsidRPr="0076270C" w:rsidRDefault="00647AA9" w:rsidP="00962E3C">
            <w:pPr>
              <w:jc w:val="left"/>
              <w:rPr>
                <w:noProof/>
              </w:rPr>
            </w:pPr>
            <w:r>
              <w:rPr>
                <w:noProof/>
              </w:rPr>
              <w:t>is the number of a</w:t>
            </w:r>
            <w:r w:rsidRPr="00944E0F">
              <w:rPr>
                <w:noProof/>
              </w:rPr>
              <w:t xml:space="preserve">ctivations of the </w:t>
            </w:r>
            <w:r w:rsidRPr="00BA3924">
              <w:rPr>
                <w:noProof/>
              </w:rPr>
              <w:t>Copernicus Emergency Management Service</w:t>
            </w:r>
            <w:r w:rsidRPr="00944E0F">
              <w:rPr>
                <w:noProof/>
              </w:rPr>
              <w:t xml:space="preserve"> in 2021</w:t>
            </w:r>
            <w:r>
              <w:rPr>
                <w:noProof/>
              </w:rPr>
              <w:t>.</w:t>
            </w:r>
          </w:p>
        </w:tc>
        <w:tc>
          <w:tcPr>
            <w:tcW w:w="2410" w:type="dxa"/>
            <w:tcBorders>
              <w:bottom w:val="single" w:sz="4" w:space="0" w:color="8C8C8C"/>
            </w:tcBorders>
            <w:shd w:val="clear" w:color="auto" w:fill="FFFFFF" w:themeFill="background1"/>
          </w:tcPr>
          <w:p w14:paraId="15D66C99" w14:textId="77777777" w:rsidR="00647AA9" w:rsidRPr="00211D6B" w:rsidRDefault="00647AA9" w:rsidP="00B202C2">
            <w:pPr>
              <w:pStyle w:val="ppoTableacheivementvalue"/>
              <w:cnfStyle w:val="000000000000" w:firstRow="0" w:lastRow="0" w:firstColumn="0" w:lastColumn="0" w:oddVBand="0" w:evenVBand="0" w:oddHBand="0" w:evenHBand="0" w:firstRowFirstColumn="0" w:firstRowLastColumn="0" w:lastRowFirstColumn="0" w:lastRowLastColumn="0"/>
              <w:rPr>
                <w:noProof/>
              </w:rPr>
            </w:pPr>
            <w:r w:rsidRPr="00944E0F">
              <w:rPr>
                <w:noProof/>
              </w:rPr>
              <w:t>10</w:t>
            </w:r>
            <w:r>
              <w:rPr>
                <w:rFonts w:ascii="Calibri" w:hAnsi="Calibri" w:cs="Calibri"/>
                <w:noProof/>
              </w:rPr>
              <w:t> </w:t>
            </w:r>
            <w:r w:rsidRPr="00944E0F">
              <w:rPr>
                <w:noProof/>
              </w:rPr>
              <w:t>481</w:t>
            </w:r>
          </w:p>
          <w:p w14:paraId="5E10EA3E" w14:textId="77777777" w:rsidR="00647AA9" w:rsidRPr="0076270C" w:rsidRDefault="00647AA9" w:rsidP="00962E3C">
            <w:pPr>
              <w:jc w:val="left"/>
              <w:cnfStyle w:val="000000000000" w:firstRow="0" w:lastRow="0" w:firstColumn="0" w:lastColumn="0" w:oddVBand="0" w:evenVBand="0" w:oddHBand="0" w:evenHBand="0" w:firstRowFirstColumn="0" w:firstRowLastColumn="0" w:lastRowFirstColumn="0" w:lastRowLastColumn="0"/>
              <w:rPr>
                <w:noProof/>
              </w:rPr>
            </w:pPr>
            <w:r>
              <w:rPr>
                <w:noProof/>
              </w:rPr>
              <w:t>passengers were repatriated</w:t>
            </w:r>
            <w:r w:rsidRPr="00944E0F">
              <w:rPr>
                <w:noProof/>
              </w:rPr>
              <w:t xml:space="preserve"> </w:t>
            </w:r>
            <w:r>
              <w:rPr>
                <w:noProof/>
              </w:rPr>
              <w:t>t</w:t>
            </w:r>
            <w:r w:rsidRPr="00944E0F">
              <w:rPr>
                <w:noProof/>
              </w:rPr>
              <w:t>o Europe</w:t>
            </w:r>
            <w:r>
              <w:rPr>
                <w:rFonts w:ascii="Calibri" w:hAnsi="Calibri" w:cs="Calibri"/>
                <w:noProof/>
              </w:rPr>
              <w:t> –</w:t>
            </w:r>
            <w:r w:rsidRPr="00944E0F">
              <w:rPr>
                <w:noProof/>
              </w:rPr>
              <w:t xml:space="preserve"> including a</w:t>
            </w:r>
            <w:r>
              <w:rPr>
                <w:noProof/>
              </w:rPr>
              <w:t>pproximately</w:t>
            </w:r>
            <w:r w:rsidRPr="00944E0F">
              <w:rPr>
                <w:noProof/>
              </w:rPr>
              <w:t xml:space="preserve"> 327 EU citizens</w:t>
            </w:r>
            <w:r>
              <w:rPr>
                <w:rFonts w:ascii="Calibri" w:hAnsi="Calibri" w:cs="Calibri"/>
                <w:noProof/>
              </w:rPr>
              <w:t> –</w:t>
            </w:r>
            <w:r w:rsidRPr="00944E0F">
              <w:rPr>
                <w:noProof/>
              </w:rPr>
              <w:t xml:space="preserve"> in 103 repatriation operations</w:t>
            </w:r>
            <w:r>
              <w:rPr>
                <w:noProof/>
              </w:rPr>
              <w:t xml:space="preserve"> in 2021.</w:t>
            </w:r>
          </w:p>
        </w:tc>
      </w:tr>
    </w:tbl>
    <w:p w14:paraId="2DDFFD69" w14:textId="77777777" w:rsidR="00647AA9" w:rsidRDefault="00647AA9" w:rsidP="00647AA9">
      <w:pPr>
        <w:pStyle w:val="ppoHeading5"/>
        <w:rPr>
          <w:noProof/>
        </w:rPr>
      </w:pPr>
      <w:r w:rsidRPr="00040D99">
        <w:rPr>
          <w:noProof/>
        </w:rPr>
        <w:t xml:space="preserve">Budget </w:t>
      </w:r>
      <w:r>
        <w:rPr>
          <w:noProof/>
        </w:rPr>
        <w:t xml:space="preserve">for </w:t>
      </w:r>
      <w:r w:rsidRPr="00040D99">
        <w:rPr>
          <w:noProof/>
        </w:rPr>
        <w:t>2021-2027</w:t>
      </w:r>
    </w:p>
    <w:p w14:paraId="05096895" w14:textId="77777777" w:rsidR="00647AA9" w:rsidRPr="00045449" w:rsidRDefault="00647AA9" w:rsidP="00647AA9">
      <w:pPr>
        <w:pStyle w:val="ppoTableTabletitle"/>
        <w:ind w:left="284"/>
        <w:rPr>
          <w:noProof/>
          <w:lang w:val="en-IE"/>
        </w:rPr>
      </w:pPr>
      <w:r w:rsidRPr="00045449">
        <w:rPr>
          <w:noProof/>
          <w:lang w:val="en-IE"/>
        </w:rPr>
        <w:t>(million EUR)</w:t>
      </w:r>
    </w:p>
    <w:tbl>
      <w:tblPr>
        <w:tblStyle w:val="PlainTable2"/>
        <w:tblW w:w="0" w:type="auto"/>
        <w:tblInd w:w="288" w:type="dxa"/>
        <w:tblLook w:val="04A0" w:firstRow="1" w:lastRow="0" w:firstColumn="1" w:lastColumn="0" w:noHBand="0" w:noVBand="1"/>
      </w:tblPr>
      <w:tblGrid>
        <w:gridCol w:w="4788"/>
        <w:gridCol w:w="2610"/>
      </w:tblGrid>
      <w:tr w:rsidR="00647AA9" w:rsidRPr="00214876" w14:paraId="7A23E9E4" w14:textId="77777777" w:rsidTr="00B202C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54FDE1E3" w14:textId="77777777" w:rsidR="00647AA9" w:rsidRPr="00214876" w:rsidRDefault="00647AA9" w:rsidP="00B202C2">
            <w:pPr>
              <w:spacing w:before="120" w:after="120"/>
              <w:rPr>
                <w:noProof/>
              </w:rPr>
            </w:pPr>
            <w:r w:rsidRPr="00214876">
              <w:rPr>
                <w:rFonts w:cs="Calibri"/>
                <w:noProof/>
                <w:color w:val="000000"/>
              </w:rPr>
              <w:t>Financial programming</w:t>
            </w:r>
          </w:p>
        </w:tc>
        <w:tc>
          <w:tcPr>
            <w:tcW w:w="2610" w:type="dxa"/>
            <w:shd w:val="clear" w:color="auto" w:fill="auto"/>
            <w:vAlign w:val="bottom"/>
          </w:tcPr>
          <w:p w14:paraId="2ACF9F6D" w14:textId="77777777" w:rsidR="00647AA9" w:rsidRPr="00214876" w:rsidRDefault="00647AA9" w:rsidP="00B202C2">
            <w:pPr>
              <w:spacing w:before="120" w:after="120"/>
              <w:jc w:val="center"/>
              <w:cnfStyle w:val="100000000000" w:firstRow="1" w:lastRow="0" w:firstColumn="0" w:lastColumn="0" w:oddVBand="0" w:evenVBand="0" w:oddHBand="0" w:evenHBand="0" w:firstRowFirstColumn="0" w:firstRowLastColumn="0" w:lastRowFirstColumn="0" w:lastRowLastColumn="0"/>
              <w:rPr>
                <w:b w:val="0"/>
                <w:noProof/>
              </w:rPr>
            </w:pPr>
            <w:r w:rsidRPr="00954CD6">
              <w:rPr>
                <w:rFonts w:cs="Calibri"/>
                <w:b w:val="0"/>
                <w:noProof/>
                <w:color w:val="000000"/>
              </w:rPr>
              <w:t>1</w:t>
            </w:r>
            <w:r>
              <w:rPr>
                <w:rFonts w:ascii="Calibri" w:hAnsi="Calibri" w:cs="Calibri"/>
                <w:b w:val="0"/>
                <w:noProof/>
                <w:color w:val="000000"/>
              </w:rPr>
              <w:t> </w:t>
            </w:r>
            <w:r w:rsidRPr="00954CD6">
              <w:rPr>
                <w:rFonts w:cs="Calibri"/>
                <w:b w:val="0"/>
                <w:noProof/>
                <w:color w:val="000000"/>
              </w:rPr>
              <w:t>326</w:t>
            </w:r>
            <w:r>
              <w:rPr>
                <w:rFonts w:cs="Calibri"/>
                <w:b w:val="0"/>
                <w:noProof/>
                <w:color w:val="000000"/>
              </w:rPr>
              <w:t>.</w:t>
            </w:r>
            <w:r w:rsidRPr="00954CD6">
              <w:rPr>
                <w:rFonts w:cs="Calibri"/>
                <w:b w:val="0"/>
                <w:noProof/>
                <w:color w:val="000000"/>
              </w:rPr>
              <w:t>7</w:t>
            </w:r>
          </w:p>
        </w:tc>
      </w:tr>
      <w:tr w:rsidR="00647AA9" w:rsidRPr="00214876" w14:paraId="60986411" w14:textId="77777777" w:rsidTr="00B202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4ED0D31A" w14:textId="77777777" w:rsidR="00647AA9" w:rsidRPr="00214876" w:rsidRDefault="00647AA9" w:rsidP="00B202C2">
            <w:pPr>
              <w:spacing w:before="120" w:after="120"/>
              <w:rPr>
                <w:b w:val="0"/>
                <w:noProof/>
              </w:rPr>
            </w:pPr>
            <w:r w:rsidRPr="00214876">
              <w:rPr>
                <w:rFonts w:cs="Calibri"/>
                <w:noProof/>
                <w:color w:val="000000"/>
              </w:rPr>
              <w:t>NextGenerationEU</w:t>
            </w:r>
          </w:p>
        </w:tc>
        <w:tc>
          <w:tcPr>
            <w:tcW w:w="2610" w:type="dxa"/>
            <w:vAlign w:val="bottom"/>
          </w:tcPr>
          <w:p w14:paraId="3C3F6F47" w14:textId="77777777" w:rsidR="00647AA9" w:rsidRDefault="00647AA9" w:rsidP="00B202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rPr>
            </w:pPr>
            <w:r>
              <w:rPr>
                <w:rFonts w:ascii="Calibri" w:hAnsi="Calibri" w:cs="Calibri"/>
                <w:noProof/>
                <w:color w:val="000000"/>
              </w:rPr>
              <w:t>2 056.5</w:t>
            </w:r>
          </w:p>
          <w:p w14:paraId="689CC0AC" w14:textId="05A7B5D1" w:rsidR="00647AA9" w:rsidRPr="00214876" w:rsidRDefault="00647AA9" w:rsidP="00B202C2">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p>
        </w:tc>
      </w:tr>
      <w:tr w:rsidR="00647AA9" w:rsidRPr="00214876" w14:paraId="31B89F5C" w14:textId="77777777" w:rsidTr="00B202C2">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5143DB5B" w14:textId="77777777" w:rsidR="00647AA9" w:rsidRPr="00214876" w:rsidRDefault="00647AA9" w:rsidP="00B202C2">
            <w:pPr>
              <w:spacing w:before="120" w:after="120"/>
              <w:rPr>
                <w:b w:val="0"/>
                <w:noProof/>
              </w:rPr>
            </w:pPr>
            <w:r w:rsidRPr="00807AC3">
              <w:rPr>
                <w:noProof/>
              </w:rPr>
              <w:t>Decommitments made available again</w:t>
            </w:r>
            <w:r>
              <w:rPr>
                <w:rFonts w:ascii="Calibri" w:hAnsi="Calibri" w:cs="Calibri"/>
                <w:noProof/>
              </w:rPr>
              <w:t> </w:t>
            </w:r>
            <w:r>
              <w:rPr>
                <w:rFonts w:cs="Calibri"/>
                <w:noProof/>
                <w:color w:val="000000"/>
              </w:rPr>
              <w:t>(</w:t>
            </w:r>
            <w:r w:rsidRPr="00214876">
              <w:rPr>
                <w:rFonts w:cs="Calibri"/>
                <w:noProof/>
                <w:color w:val="000000"/>
              </w:rPr>
              <w:t>*</w:t>
            </w:r>
            <w:r>
              <w:rPr>
                <w:rFonts w:cs="Calibri"/>
                <w:noProof/>
                <w:color w:val="000000"/>
              </w:rPr>
              <w:t>)</w:t>
            </w:r>
          </w:p>
        </w:tc>
        <w:tc>
          <w:tcPr>
            <w:tcW w:w="2610" w:type="dxa"/>
            <w:vAlign w:val="bottom"/>
          </w:tcPr>
          <w:p w14:paraId="33432393" w14:textId="0DF6B7DE" w:rsidR="00647AA9" w:rsidRPr="00214876" w:rsidRDefault="00647AA9" w:rsidP="00B202C2">
            <w:pPr>
              <w:spacing w:before="120" w:after="120"/>
              <w:jc w:val="center"/>
              <w:cnfStyle w:val="000000000000" w:firstRow="0" w:lastRow="0" w:firstColumn="0" w:lastColumn="0" w:oddVBand="0" w:evenVBand="0" w:oddHBand="0" w:evenHBand="0" w:firstRowFirstColumn="0" w:firstRowLastColumn="0" w:lastRowFirstColumn="0" w:lastRowLastColumn="0"/>
              <w:rPr>
                <w:noProof/>
              </w:rPr>
            </w:pPr>
            <w:r>
              <w:rPr>
                <w:rFonts w:cs="Calibri"/>
                <w:noProof/>
                <w:color w:val="000000"/>
              </w:rPr>
              <w:t>N/A</w:t>
            </w:r>
          </w:p>
        </w:tc>
      </w:tr>
      <w:tr w:rsidR="00647AA9" w:rsidRPr="00214876" w14:paraId="22246813" w14:textId="77777777" w:rsidTr="00B202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12C667EA" w14:textId="77777777" w:rsidR="00647AA9" w:rsidRPr="00214876" w:rsidRDefault="00647AA9" w:rsidP="00B202C2">
            <w:pPr>
              <w:spacing w:before="120" w:after="120"/>
              <w:rPr>
                <w:noProof/>
              </w:rPr>
            </w:pPr>
            <w:r w:rsidRPr="00214876">
              <w:rPr>
                <w:rFonts w:cs="Calibri"/>
                <w:noProof/>
                <w:color w:val="000000"/>
              </w:rPr>
              <w:t>Contributions from other countries and entities</w:t>
            </w:r>
          </w:p>
        </w:tc>
        <w:tc>
          <w:tcPr>
            <w:tcW w:w="2610" w:type="dxa"/>
            <w:vAlign w:val="bottom"/>
          </w:tcPr>
          <w:p w14:paraId="608D272A" w14:textId="77777777" w:rsidR="00647AA9" w:rsidRPr="00214876" w:rsidRDefault="00647AA9" w:rsidP="00B202C2">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954CD6">
              <w:rPr>
                <w:rFonts w:cs="Calibri"/>
                <w:noProof/>
                <w:color w:val="000000"/>
              </w:rPr>
              <w:t>20</w:t>
            </w:r>
            <w:r>
              <w:rPr>
                <w:rFonts w:cs="Calibri"/>
                <w:noProof/>
                <w:color w:val="000000"/>
              </w:rPr>
              <w:t>.</w:t>
            </w:r>
            <w:r w:rsidRPr="00954CD6">
              <w:rPr>
                <w:rFonts w:cs="Calibri"/>
                <w:noProof/>
                <w:color w:val="000000"/>
              </w:rPr>
              <w:t>6</w:t>
            </w:r>
          </w:p>
        </w:tc>
      </w:tr>
      <w:tr w:rsidR="00647AA9" w:rsidRPr="00214876" w14:paraId="4CE0F830" w14:textId="77777777" w:rsidTr="00B202C2">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2F2F2" w:themeFill="background1" w:themeFillShade="F2"/>
            <w:vAlign w:val="bottom"/>
          </w:tcPr>
          <w:p w14:paraId="69B9775E" w14:textId="77777777" w:rsidR="00647AA9" w:rsidRPr="00214876" w:rsidRDefault="00647AA9" w:rsidP="00B202C2">
            <w:pPr>
              <w:spacing w:before="120" w:after="120"/>
              <w:rPr>
                <w:noProof/>
              </w:rPr>
            </w:pPr>
            <w:r>
              <w:rPr>
                <w:rFonts w:cs="Calibri"/>
                <w:noProof/>
                <w:color w:val="000000"/>
              </w:rPr>
              <w:t>T</w:t>
            </w:r>
            <w:r w:rsidRPr="00214876">
              <w:rPr>
                <w:rFonts w:cs="Calibri"/>
                <w:noProof/>
                <w:color w:val="000000"/>
              </w:rPr>
              <w:t xml:space="preserve">otal budget </w:t>
            </w:r>
            <w:r>
              <w:rPr>
                <w:rFonts w:cs="Calibri"/>
                <w:noProof/>
                <w:color w:val="000000"/>
              </w:rPr>
              <w:t xml:space="preserve">for </w:t>
            </w:r>
            <w:r w:rsidRPr="00214876">
              <w:rPr>
                <w:rFonts w:cs="Calibri"/>
                <w:noProof/>
                <w:color w:val="000000"/>
              </w:rPr>
              <w:t>2021-2027</w:t>
            </w:r>
          </w:p>
        </w:tc>
        <w:tc>
          <w:tcPr>
            <w:tcW w:w="2610" w:type="dxa"/>
            <w:shd w:val="clear" w:color="auto" w:fill="F2F2F2" w:themeFill="background1" w:themeFillShade="F2"/>
            <w:vAlign w:val="bottom"/>
          </w:tcPr>
          <w:p w14:paraId="0B254285" w14:textId="77777777" w:rsidR="00647AA9" w:rsidRDefault="00647AA9" w:rsidP="00B202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noProof/>
                <w:color w:val="000000"/>
              </w:rPr>
            </w:pPr>
            <w:r>
              <w:rPr>
                <w:rFonts w:ascii="Calibri" w:hAnsi="Calibri" w:cs="Calibri"/>
                <w:b/>
                <w:bCs/>
                <w:noProof/>
                <w:color w:val="000000"/>
              </w:rPr>
              <w:t>3 403.8</w:t>
            </w:r>
          </w:p>
          <w:p w14:paraId="2F7594FA" w14:textId="280E5241" w:rsidR="00647AA9" w:rsidRPr="00214876" w:rsidRDefault="00647AA9" w:rsidP="00B202C2">
            <w:pPr>
              <w:spacing w:before="120" w:after="120"/>
              <w:jc w:val="center"/>
              <w:cnfStyle w:val="000000000000" w:firstRow="0" w:lastRow="0" w:firstColumn="0" w:lastColumn="0" w:oddVBand="0" w:evenVBand="0" w:oddHBand="0" w:evenHBand="0" w:firstRowFirstColumn="0" w:firstRowLastColumn="0" w:lastRowFirstColumn="0" w:lastRowLastColumn="0"/>
              <w:rPr>
                <w:b/>
                <w:noProof/>
              </w:rPr>
            </w:pPr>
          </w:p>
        </w:tc>
      </w:tr>
    </w:tbl>
    <w:p w14:paraId="6D9E1A35" w14:textId="77777777" w:rsidR="00647AA9" w:rsidRPr="002A4508" w:rsidRDefault="00647AA9" w:rsidP="00647AA9">
      <w:pPr>
        <w:tabs>
          <w:tab w:val="left" w:pos="6793"/>
        </w:tabs>
        <w:rPr>
          <w:noProof/>
          <w:sz w:val="18"/>
          <w:szCs w:val="18"/>
          <w:lang w:val="en-IE"/>
        </w:rPr>
      </w:pPr>
      <w:r>
        <w:rPr>
          <w:noProof/>
          <w:sz w:val="18"/>
          <w:szCs w:val="18"/>
          <w:lang w:val="en-IE"/>
        </w:rPr>
        <w:t>(</w:t>
      </w:r>
      <w:r w:rsidRPr="002A4508">
        <w:rPr>
          <w:noProof/>
          <w:sz w:val="18"/>
          <w:szCs w:val="18"/>
          <w:lang w:val="en-IE"/>
        </w:rPr>
        <w:t>*</w:t>
      </w:r>
      <w:r>
        <w:rPr>
          <w:noProof/>
          <w:sz w:val="18"/>
          <w:szCs w:val="18"/>
          <w:lang w:val="en-IE"/>
        </w:rPr>
        <w:t>)</w:t>
      </w:r>
      <w:r w:rsidRPr="002A4508">
        <w:rPr>
          <w:noProof/>
          <w:sz w:val="18"/>
          <w:szCs w:val="18"/>
          <w:lang w:val="en-IE"/>
        </w:rPr>
        <w:t xml:space="preserve"> Only Article</w:t>
      </w:r>
      <w:r w:rsidRPr="002A4508">
        <w:rPr>
          <w:rFonts w:ascii="Calibri" w:hAnsi="Calibri" w:cs="Calibri"/>
          <w:noProof/>
          <w:sz w:val="18"/>
          <w:szCs w:val="18"/>
          <w:lang w:val="en-IE"/>
        </w:rPr>
        <w:t> </w:t>
      </w:r>
      <w:r w:rsidRPr="002A4508">
        <w:rPr>
          <w:noProof/>
          <w:sz w:val="18"/>
          <w:szCs w:val="18"/>
          <w:lang w:val="en-IE"/>
        </w:rPr>
        <w:t xml:space="preserve">15(3) of the financial </w:t>
      </w:r>
      <w:r w:rsidRPr="00045449">
        <w:rPr>
          <w:noProof/>
          <w:sz w:val="18"/>
          <w:szCs w:val="18"/>
          <w:lang w:val="en-IE"/>
        </w:rPr>
        <w:t>r</w:t>
      </w:r>
      <w:r w:rsidRPr="002A4508">
        <w:rPr>
          <w:noProof/>
          <w:sz w:val="18"/>
          <w:szCs w:val="18"/>
          <w:lang w:val="en-IE"/>
        </w:rPr>
        <w:t>egulation</w:t>
      </w:r>
      <w:r w:rsidRPr="00045449">
        <w:rPr>
          <w:noProof/>
          <w:sz w:val="18"/>
          <w:szCs w:val="18"/>
          <w:lang w:val="en-IE"/>
        </w:rPr>
        <w:t>.</w:t>
      </w:r>
    </w:p>
    <w:p w14:paraId="65605C1C" w14:textId="77777777" w:rsidR="00647AA9" w:rsidRPr="00040D99" w:rsidRDefault="00647AA9" w:rsidP="00647AA9">
      <w:pPr>
        <w:pStyle w:val="ppoHeading5"/>
        <w:rPr>
          <w:noProof/>
        </w:rPr>
      </w:pPr>
      <w:r w:rsidRPr="00040D99">
        <w:rPr>
          <w:noProof/>
        </w:rPr>
        <w:t>Rationale and design of the programme</w:t>
      </w:r>
    </w:p>
    <w:p w14:paraId="3CBA9DED" w14:textId="77777777" w:rsidR="00647AA9" w:rsidRPr="00040D99" w:rsidRDefault="00647AA9" w:rsidP="00647AA9">
      <w:pPr>
        <w:rPr>
          <w:rFonts w:eastAsiaTheme="minorEastAsia"/>
          <w:noProof/>
        </w:rPr>
      </w:pPr>
      <w:r w:rsidRPr="00BA2914">
        <w:rPr>
          <w:rFonts w:eastAsiaTheme="minorEastAsia"/>
          <w:noProof/>
        </w:rPr>
        <w:t xml:space="preserve">The </w:t>
      </w:r>
      <w:r w:rsidRPr="0066440F">
        <w:rPr>
          <w:rFonts w:eastAsiaTheme="minorEastAsia"/>
          <w:noProof/>
        </w:rPr>
        <w:t>Union Civil Protection Mechanism</w:t>
      </w:r>
      <w:r w:rsidRPr="00BA2914">
        <w:rPr>
          <w:rFonts w:eastAsiaTheme="minorEastAsia"/>
          <w:noProof/>
        </w:rPr>
        <w:t xml:space="preserve"> (UCPM) aims to strengthen the cooperation between the </w:t>
      </w:r>
      <w:r>
        <w:rPr>
          <w:rFonts w:eastAsiaTheme="minorEastAsia"/>
          <w:noProof/>
        </w:rPr>
        <w:t xml:space="preserve">EU and the Member States in assisting in natural, man-made and health emergencies by improving the prevention, preparedness and response capacity of key actors. This cooperation has become ever more important </w:t>
      </w:r>
      <w:r w:rsidRPr="00BA2914">
        <w:rPr>
          <w:rFonts w:eastAsiaTheme="minorEastAsia"/>
          <w:noProof/>
        </w:rPr>
        <w:t>in recent years</w:t>
      </w:r>
      <w:r>
        <w:rPr>
          <w:rFonts w:eastAsiaTheme="minorEastAsia"/>
          <w:noProof/>
        </w:rPr>
        <w:t>, as climate-related disasters are expected to grow in severity.</w:t>
      </w:r>
    </w:p>
    <w:p w14:paraId="5E495B52" w14:textId="77777777" w:rsidR="00647AA9" w:rsidRPr="00040D99" w:rsidRDefault="00647AA9" w:rsidP="00647AA9">
      <w:pPr>
        <w:pStyle w:val="ppoHeading6"/>
        <w:rPr>
          <w:noProof/>
        </w:rPr>
      </w:pPr>
      <w:r w:rsidRPr="00040D99">
        <w:rPr>
          <w:noProof/>
        </w:rPr>
        <w:t>Challenge</w:t>
      </w:r>
    </w:p>
    <w:p w14:paraId="3F414AE8" w14:textId="77777777" w:rsidR="00647AA9" w:rsidRDefault="00647AA9" w:rsidP="00647AA9">
      <w:pPr>
        <w:rPr>
          <w:noProof/>
        </w:rPr>
      </w:pPr>
      <w:r>
        <w:rPr>
          <w:noProof/>
        </w:rPr>
        <w:t xml:space="preserve">Disasters have affected every region of Europe in recent years, causing hundreds of casualties and billions in damage to infrastructure and the environment. Epidemics, flash floods, storms, forest fires, earthquakes and man-made disasters continuously place countries’ response capabilities under pressure. Additionally, security concerns have become more complex and climate change is expected to worsen the impact of disasters in the future. </w:t>
      </w:r>
    </w:p>
    <w:p w14:paraId="46E37242" w14:textId="77777777" w:rsidR="00647AA9" w:rsidRDefault="00647AA9" w:rsidP="00647AA9">
      <w:pPr>
        <w:rPr>
          <w:noProof/>
        </w:rPr>
      </w:pPr>
      <w:r>
        <w:rPr>
          <w:noProof/>
        </w:rPr>
        <w:t xml:space="preserve">Such disasters have overwhelmed the ability of Member States to help each other, especially when several countries face the same type of disaster simultaneously. The EU supports and complements the prevention and preparedness </w:t>
      </w:r>
      <w:bookmarkStart w:id="109" w:name="_Hlk101433937"/>
      <w:r>
        <w:rPr>
          <w:noProof/>
        </w:rPr>
        <w:t>efforts of its Member States and p</w:t>
      </w:r>
      <w:r w:rsidRPr="00BA3924">
        <w:rPr>
          <w:noProof/>
        </w:rPr>
        <w:t xml:space="preserve">articipating </w:t>
      </w:r>
      <w:r>
        <w:rPr>
          <w:noProof/>
        </w:rPr>
        <w:t>s</w:t>
      </w:r>
      <w:r w:rsidRPr="009138EC">
        <w:rPr>
          <w:noProof/>
        </w:rPr>
        <w:t>tates</w:t>
      </w:r>
      <w:r>
        <w:rPr>
          <w:noProof/>
        </w:rPr>
        <w:t xml:space="preserve"> (</w:t>
      </w:r>
      <w:r w:rsidRPr="0073413A">
        <w:rPr>
          <w:noProof/>
        </w:rPr>
        <w:t>Iceland, Norway, Serbia, North Macedonia, Montenegro and Turkey)</w:t>
      </w:r>
      <w:r>
        <w:rPr>
          <w:noProof/>
        </w:rPr>
        <w:t xml:space="preserve"> by focusing on areas </w:t>
      </w:r>
      <w:bookmarkEnd w:id="109"/>
      <w:r>
        <w:rPr>
          <w:noProof/>
        </w:rPr>
        <w:t>where a joint European approach is more effective than separate national actions. Through the rescEU reserve, the EU ensures a faster and more comprehensive response.</w:t>
      </w:r>
    </w:p>
    <w:p w14:paraId="1EA32EDC" w14:textId="77777777" w:rsidR="00647AA9" w:rsidRPr="00040D99" w:rsidRDefault="00647AA9" w:rsidP="00647AA9">
      <w:pPr>
        <w:pStyle w:val="ppoHeading6"/>
        <w:rPr>
          <w:noProof/>
        </w:rPr>
      </w:pPr>
      <w:r w:rsidRPr="00040D99">
        <w:rPr>
          <w:noProof/>
        </w:rPr>
        <w:t>Mission</w:t>
      </w:r>
    </w:p>
    <w:p w14:paraId="75498270" w14:textId="77777777" w:rsidR="00647AA9" w:rsidRDefault="00647AA9" w:rsidP="00647AA9">
      <w:pPr>
        <w:rPr>
          <w:noProof/>
        </w:rPr>
      </w:pPr>
      <w:r>
        <w:rPr>
          <w:noProof/>
        </w:rPr>
        <w:t>The UCPM promotes solidarity among the Member States and participating states through practical cooperation and coordination. Member States, however, retain primary responsibility to protect people, the environment and property (including cultural heritage) on their territories against disasters</w:t>
      </w:r>
      <w:r>
        <w:rPr>
          <w:rFonts w:ascii="Calibri" w:hAnsi="Calibri" w:cs="Calibri"/>
          <w:noProof/>
        </w:rPr>
        <w:t> –</w:t>
      </w:r>
      <w:r>
        <w:rPr>
          <w:noProof/>
        </w:rPr>
        <w:t xml:space="preserve"> and to equip their disaster management systems with sufficient capabilities to cope adequately and consistently with disasters of a nature and magnitude that can reasonably be expected and for which they can prepare.</w:t>
      </w:r>
    </w:p>
    <w:p w14:paraId="201DFEB2" w14:textId="77777777" w:rsidR="00647AA9" w:rsidRPr="00040D99" w:rsidRDefault="00647AA9" w:rsidP="00647AA9">
      <w:pPr>
        <w:pStyle w:val="ppoHeading6"/>
        <w:rPr>
          <w:noProof/>
        </w:rPr>
      </w:pPr>
      <w:r w:rsidRPr="00040D99">
        <w:rPr>
          <w:noProof/>
        </w:rPr>
        <w:t>Objectives</w:t>
      </w:r>
    </w:p>
    <w:p w14:paraId="39C0BDD1" w14:textId="77777777" w:rsidR="00647AA9" w:rsidRDefault="00647AA9" w:rsidP="00647AA9">
      <w:pPr>
        <w:rPr>
          <w:noProof/>
        </w:rPr>
      </w:pPr>
      <w:r>
        <w:rPr>
          <w:noProof/>
        </w:rPr>
        <w:t>The specific objectives of the UCPM are:</w:t>
      </w:r>
    </w:p>
    <w:p w14:paraId="323EDBE2" w14:textId="77777777" w:rsidR="00647AA9" w:rsidRDefault="00647AA9" w:rsidP="00647AA9">
      <w:pPr>
        <w:pStyle w:val="ppoListArabic1aiii-L1"/>
        <w:numPr>
          <w:ilvl w:val="0"/>
          <w:numId w:val="40"/>
        </w:numPr>
        <w:rPr>
          <w:noProof/>
        </w:rPr>
      </w:pPr>
      <w:r>
        <w:rPr>
          <w:noProof/>
        </w:rPr>
        <w:t xml:space="preserve">to achieve a high level of protection against disasters, through a culture of prevention and improved cooperation among national services; </w:t>
      </w:r>
    </w:p>
    <w:p w14:paraId="30864897" w14:textId="77777777" w:rsidR="00647AA9" w:rsidRDefault="00647AA9" w:rsidP="00647AA9">
      <w:pPr>
        <w:pStyle w:val="ppoListArabic1aiii-L1"/>
        <w:numPr>
          <w:ilvl w:val="0"/>
          <w:numId w:val="40"/>
        </w:numPr>
        <w:rPr>
          <w:noProof/>
        </w:rPr>
      </w:pPr>
      <w:r>
        <w:rPr>
          <w:noProof/>
        </w:rPr>
        <w:t xml:space="preserve">to enhance preparedness at the Member State and EU levels to respond to disasters, via the </w:t>
      </w:r>
      <w:r w:rsidRPr="00B733FB">
        <w:rPr>
          <w:noProof/>
        </w:rPr>
        <w:t>European Civil Protection Pool</w:t>
      </w:r>
      <w:r>
        <w:rPr>
          <w:noProof/>
        </w:rPr>
        <w:t xml:space="preserve"> (ECPP) and rescEU;</w:t>
      </w:r>
    </w:p>
    <w:p w14:paraId="2A9B9A61" w14:textId="77777777" w:rsidR="00647AA9" w:rsidRDefault="00647AA9" w:rsidP="00647AA9">
      <w:pPr>
        <w:pStyle w:val="ppoListArabic1aiii-L1"/>
        <w:numPr>
          <w:ilvl w:val="0"/>
          <w:numId w:val="40"/>
        </w:numPr>
        <w:rPr>
          <w:noProof/>
        </w:rPr>
      </w:pPr>
      <w:r>
        <w:rPr>
          <w:noProof/>
        </w:rPr>
        <w:t xml:space="preserve">to facilitate rapid and efficient disaster response; </w:t>
      </w:r>
    </w:p>
    <w:p w14:paraId="2E7E46B1" w14:textId="77777777" w:rsidR="00647AA9" w:rsidRDefault="00647AA9" w:rsidP="00647AA9">
      <w:pPr>
        <w:pStyle w:val="ppoListArabic1aiii-L1"/>
        <w:numPr>
          <w:ilvl w:val="0"/>
          <w:numId w:val="40"/>
        </w:numPr>
        <w:rPr>
          <w:noProof/>
        </w:rPr>
      </w:pPr>
      <w:r>
        <w:rPr>
          <w:noProof/>
        </w:rPr>
        <w:t xml:space="preserve">to increase public awareness and preparedness for disasters; </w:t>
      </w:r>
    </w:p>
    <w:p w14:paraId="3D6ACAC5" w14:textId="77777777" w:rsidR="00647AA9" w:rsidRDefault="00647AA9" w:rsidP="00647AA9">
      <w:pPr>
        <w:pStyle w:val="ppoListArabic1aiii-L1"/>
        <w:numPr>
          <w:ilvl w:val="0"/>
          <w:numId w:val="40"/>
        </w:numPr>
        <w:rPr>
          <w:noProof/>
        </w:rPr>
      </w:pPr>
      <w:r>
        <w:rPr>
          <w:noProof/>
        </w:rPr>
        <w:t>to increase the availability and use of scientific knowledge on disasters;</w:t>
      </w:r>
    </w:p>
    <w:p w14:paraId="44F1B292" w14:textId="77777777" w:rsidR="00647AA9" w:rsidRDefault="00647AA9" w:rsidP="00647AA9">
      <w:pPr>
        <w:pStyle w:val="ppoListArabic1aiii-L1"/>
        <w:numPr>
          <w:ilvl w:val="0"/>
          <w:numId w:val="40"/>
        </w:numPr>
        <w:rPr>
          <w:noProof/>
        </w:rPr>
      </w:pPr>
      <w:r>
        <w:rPr>
          <w:noProof/>
        </w:rPr>
        <w:t>to step up cooperation and coordination activities at the cross-border level and among Member States prone to the same types of disasters.</w:t>
      </w:r>
    </w:p>
    <w:p w14:paraId="075C5E10" w14:textId="77777777" w:rsidR="00647AA9" w:rsidRPr="00040D99" w:rsidRDefault="00647AA9" w:rsidP="00647AA9">
      <w:pPr>
        <w:pStyle w:val="ppoHeading6"/>
        <w:rPr>
          <w:noProof/>
        </w:rPr>
      </w:pPr>
      <w:r w:rsidRPr="00040D99">
        <w:rPr>
          <w:noProof/>
        </w:rPr>
        <w:t>Actions</w:t>
      </w:r>
    </w:p>
    <w:p w14:paraId="7D91492D" w14:textId="77777777" w:rsidR="00647AA9" w:rsidRDefault="00647AA9" w:rsidP="00647AA9">
      <w:pPr>
        <w:rPr>
          <w:noProof/>
        </w:rPr>
      </w:pPr>
      <w:r>
        <w:rPr>
          <w:noProof/>
        </w:rPr>
        <w:t xml:space="preserve">The UCPM comprises three stands of activities: prevention, preparedness and response. </w:t>
      </w:r>
    </w:p>
    <w:p w14:paraId="49B13A7C" w14:textId="77777777" w:rsidR="00647AA9" w:rsidRDefault="00647AA9" w:rsidP="00647AA9">
      <w:pPr>
        <w:rPr>
          <w:noProof/>
        </w:rPr>
      </w:pPr>
      <w:r>
        <w:rPr>
          <w:noProof/>
        </w:rPr>
        <w:t>Prevention and preparedness activities mitigate the effects of disasters. A training programme for civil protection experts from Member States and participating states ensures compatibility and complementarity between intervention teams, while large-scale exercises improve</w:t>
      </w:r>
      <w:r w:rsidRPr="00791701">
        <w:rPr>
          <w:noProof/>
        </w:rPr>
        <w:t xml:space="preserve"> capacities</w:t>
      </w:r>
      <w:r>
        <w:rPr>
          <w:noProof/>
        </w:rPr>
        <w:t xml:space="preserve"> for specific disasters each year. </w:t>
      </w:r>
    </w:p>
    <w:p w14:paraId="2F1D79B2" w14:textId="77777777" w:rsidR="00647AA9" w:rsidRDefault="00647AA9" w:rsidP="00647AA9">
      <w:pPr>
        <w:rPr>
          <w:noProof/>
        </w:rPr>
      </w:pPr>
      <w:r>
        <w:rPr>
          <w:noProof/>
        </w:rPr>
        <w:t xml:space="preserve">With its 2019 reform, the Commission proposed rescEU as part of the preparedness actions under the UCPM. As a European reserve of capacities, rescEU resources include a fleet of firefighting airplanes and helicopters, medical evacuation airplanes and a stockpile of medical equipment and field hospitals that can be used to respond to health emergencies. </w:t>
      </w:r>
    </w:p>
    <w:p w14:paraId="18D2628E" w14:textId="77777777" w:rsidR="00647AA9" w:rsidRDefault="00647AA9" w:rsidP="00647AA9">
      <w:pPr>
        <w:rPr>
          <w:noProof/>
        </w:rPr>
      </w:pPr>
      <w:r>
        <w:rPr>
          <w:noProof/>
        </w:rPr>
        <w:t>Under response, following a request for assistance by a Member State or non-EU country through the UCPM, the e</w:t>
      </w:r>
      <w:r w:rsidRPr="00EB627C">
        <w:rPr>
          <w:noProof/>
        </w:rPr>
        <w:t xml:space="preserve">mergency </w:t>
      </w:r>
      <w:r>
        <w:rPr>
          <w:noProof/>
        </w:rPr>
        <w:t>r</w:t>
      </w:r>
      <w:r w:rsidRPr="00EB627C">
        <w:rPr>
          <w:noProof/>
        </w:rPr>
        <w:t xml:space="preserve">esponse </w:t>
      </w:r>
      <w:r>
        <w:rPr>
          <w:noProof/>
        </w:rPr>
        <w:t>c</w:t>
      </w:r>
      <w:r w:rsidRPr="00EB627C">
        <w:rPr>
          <w:noProof/>
        </w:rPr>
        <w:t xml:space="preserve">oordination </w:t>
      </w:r>
      <w:r>
        <w:rPr>
          <w:noProof/>
        </w:rPr>
        <w:t>c</w:t>
      </w:r>
      <w:r w:rsidRPr="00EB627C">
        <w:rPr>
          <w:noProof/>
        </w:rPr>
        <w:t>entre</w:t>
      </w:r>
      <w:r>
        <w:rPr>
          <w:noProof/>
        </w:rPr>
        <w:t xml:space="preserve"> mobilises assistance or expertise. In addition, the ERCC monitors events around the globe 24/7 and ensures rapid deployment of emergency support through direct links with national civil protection authorities. Specialised teams and equipment can be mobilised at short notice for deployments within and outside of Europe.</w:t>
      </w:r>
    </w:p>
    <w:p w14:paraId="5A1BA099" w14:textId="77777777" w:rsidR="00647AA9" w:rsidRPr="00040D99" w:rsidRDefault="00647AA9" w:rsidP="00647AA9">
      <w:pPr>
        <w:pStyle w:val="ppoHeading6"/>
        <w:rPr>
          <w:noProof/>
        </w:rPr>
      </w:pPr>
      <w:r w:rsidRPr="00040D99">
        <w:rPr>
          <w:noProof/>
        </w:rPr>
        <w:t>Delivery mode</w:t>
      </w:r>
    </w:p>
    <w:p w14:paraId="70ED0491" w14:textId="77777777" w:rsidR="00647AA9" w:rsidRDefault="00647AA9" w:rsidP="00647AA9">
      <w:pPr>
        <w:rPr>
          <w:noProof/>
        </w:rPr>
      </w:pPr>
      <w:r>
        <w:rPr>
          <w:noProof/>
        </w:rPr>
        <w:t xml:space="preserve">The programme is led by </w:t>
      </w:r>
      <w:r w:rsidRPr="0073413A">
        <w:rPr>
          <w:noProof/>
        </w:rPr>
        <w:t>DG European Civil Protection and Humanitarian Aid Operations</w:t>
      </w:r>
      <w:r>
        <w:rPr>
          <w:noProof/>
        </w:rPr>
        <w:t xml:space="preserve"> under direct management, with some possible recourses to indirect management following a recent legislative revision.</w:t>
      </w:r>
    </w:p>
    <w:p w14:paraId="4FD51999" w14:textId="77777777" w:rsidR="00647AA9" w:rsidRPr="00040D99" w:rsidRDefault="00647AA9" w:rsidP="00647AA9">
      <w:pPr>
        <w:pStyle w:val="ppoHeading6"/>
        <w:rPr>
          <w:noProof/>
        </w:rPr>
      </w:pPr>
      <w:r>
        <w:rPr>
          <w:noProof/>
        </w:rPr>
        <w:t>LINK TO THE 2014-2020 MULTIANNUAL FINANCIAL FRAMEWORK</w:t>
      </w:r>
    </w:p>
    <w:p w14:paraId="3D43E437" w14:textId="77777777" w:rsidR="00647AA9" w:rsidRDefault="00647AA9" w:rsidP="00647AA9">
      <w:pPr>
        <w:rPr>
          <w:noProof/>
        </w:rPr>
      </w:pPr>
      <w:r>
        <w:rPr>
          <w:noProof/>
        </w:rPr>
        <w:t>The UCPM in the 2021-2027 multiannual financial framework builds on the positive results achieved through the 2014-2020 framework. The budget has been consolidated under one heading in the 2021-2027 framework to render budget implementation even more effective and efficient. Increased operational needs and a matching budget led the Commission to propose adaptations to the legislative framework, including direct procurement of rescEU capacities by the Commission and full EU financing for all rescEU capacities.</w:t>
      </w:r>
    </w:p>
    <w:p w14:paraId="7096DF74" w14:textId="77777777" w:rsidR="00647AA9" w:rsidRDefault="00647AA9" w:rsidP="00647AA9">
      <w:pPr>
        <w:pStyle w:val="ppoHeading6"/>
        <w:rPr>
          <w:noProof/>
        </w:rPr>
      </w:pPr>
      <w:r w:rsidRPr="00040D99">
        <w:rPr>
          <w:noProof/>
        </w:rPr>
        <w:t>Impact assessment</w:t>
      </w:r>
    </w:p>
    <w:p w14:paraId="67075E4C" w14:textId="77777777" w:rsidR="00647AA9" w:rsidRDefault="00647AA9" w:rsidP="00647AA9">
      <w:pPr>
        <w:rPr>
          <w:noProof/>
          <w:lang w:eastAsia="en-GB"/>
        </w:rPr>
      </w:pPr>
      <w:r>
        <w:rPr>
          <w:noProof/>
          <w:lang w:eastAsia="en-GB"/>
        </w:rPr>
        <w:t xml:space="preserve">In 2018, </w:t>
      </w:r>
      <w:r w:rsidRPr="00884D31">
        <w:rPr>
          <w:noProof/>
          <w:lang w:eastAsia="en-GB"/>
        </w:rPr>
        <w:t xml:space="preserve">the Commission launched a </w:t>
      </w:r>
      <w:r w:rsidRPr="0073413A">
        <w:rPr>
          <w:i/>
          <w:iCs/>
          <w:noProof/>
          <w:lang w:eastAsia="en-GB"/>
        </w:rPr>
        <w:t>Capacities</w:t>
      </w:r>
      <w:r w:rsidRPr="00884D31">
        <w:rPr>
          <w:noProof/>
          <w:lang w:eastAsia="en-GB"/>
        </w:rPr>
        <w:t xml:space="preserve"> study, </w:t>
      </w:r>
      <w:r>
        <w:rPr>
          <w:noProof/>
          <w:lang w:eastAsia="en-GB"/>
        </w:rPr>
        <w:t>of which the</w:t>
      </w:r>
      <w:r w:rsidRPr="00884D31">
        <w:rPr>
          <w:noProof/>
          <w:lang w:eastAsia="en-GB"/>
        </w:rPr>
        <w:t xml:space="preserve"> final report was published on </w:t>
      </w:r>
      <w:r>
        <w:rPr>
          <w:noProof/>
          <w:lang w:eastAsia="en-GB"/>
        </w:rPr>
        <w:t xml:space="preserve">the </w:t>
      </w:r>
      <w:r w:rsidRPr="008633A2">
        <w:rPr>
          <w:noProof/>
        </w:rPr>
        <w:t>DG European Civil Protection and Humanitarian Aid Operations</w:t>
      </w:r>
      <w:r w:rsidRPr="00884D31">
        <w:rPr>
          <w:noProof/>
          <w:lang w:eastAsia="en-GB"/>
        </w:rPr>
        <w:t xml:space="preserve"> website in December 2019. Based on this study, the </w:t>
      </w:r>
      <w:r w:rsidRPr="0073413A">
        <w:rPr>
          <w:i/>
          <w:iCs/>
          <w:noProof/>
          <w:lang w:eastAsia="en-GB"/>
        </w:rPr>
        <w:t>Capacity Gaps</w:t>
      </w:r>
      <w:r w:rsidRPr="000F1049">
        <w:rPr>
          <w:noProof/>
          <w:lang w:eastAsia="en-GB"/>
        </w:rPr>
        <w:t xml:space="preserve"> </w:t>
      </w:r>
      <w:r>
        <w:rPr>
          <w:noProof/>
          <w:lang w:eastAsia="en-GB"/>
        </w:rPr>
        <w:t>r</w:t>
      </w:r>
      <w:r w:rsidRPr="000F1049">
        <w:rPr>
          <w:noProof/>
          <w:lang w:eastAsia="en-GB"/>
        </w:rPr>
        <w:t>eport</w:t>
      </w:r>
      <w:r w:rsidRPr="00884D31">
        <w:rPr>
          <w:noProof/>
          <w:lang w:eastAsia="en-GB"/>
        </w:rPr>
        <w:t xml:space="preserve"> was to be finalised during 2020. However,</w:t>
      </w:r>
      <w:r>
        <w:rPr>
          <w:noProof/>
          <w:lang w:eastAsia="en-GB"/>
        </w:rPr>
        <w:t xml:space="preserve"> due to</w:t>
      </w:r>
      <w:r w:rsidRPr="00884D31">
        <w:rPr>
          <w:noProof/>
          <w:lang w:eastAsia="en-GB"/>
        </w:rPr>
        <w:t xml:space="preserve"> C</w:t>
      </w:r>
      <w:r>
        <w:rPr>
          <w:noProof/>
          <w:lang w:eastAsia="en-GB"/>
        </w:rPr>
        <w:t>OVID</w:t>
      </w:r>
      <w:r w:rsidRPr="00884D31">
        <w:rPr>
          <w:noProof/>
          <w:lang w:eastAsia="en-GB"/>
        </w:rPr>
        <w:t>-19</w:t>
      </w:r>
      <w:r>
        <w:rPr>
          <w:noProof/>
          <w:lang w:eastAsia="en-GB"/>
        </w:rPr>
        <w:t>-related</w:t>
      </w:r>
      <w:r w:rsidRPr="00884D31">
        <w:rPr>
          <w:noProof/>
          <w:lang w:eastAsia="en-GB"/>
        </w:rPr>
        <w:t xml:space="preserve"> delays</w:t>
      </w:r>
      <w:r>
        <w:rPr>
          <w:noProof/>
          <w:lang w:eastAsia="en-GB"/>
        </w:rPr>
        <w:t>,</w:t>
      </w:r>
      <w:r w:rsidRPr="00884D31">
        <w:rPr>
          <w:noProof/>
          <w:lang w:eastAsia="en-GB"/>
        </w:rPr>
        <w:t xml:space="preserve"> the report will </w:t>
      </w:r>
      <w:r>
        <w:rPr>
          <w:noProof/>
          <w:lang w:eastAsia="en-GB"/>
        </w:rPr>
        <w:t>only appear</w:t>
      </w:r>
      <w:r w:rsidRPr="00884D31">
        <w:rPr>
          <w:noProof/>
          <w:lang w:eastAsia="en-GB"/>
        </w:rPr>
        <w:t xml:space="preserve"> in 2022</w:t>
      </w:r>
      <w:r>
        <w:rPr>
          <w:rFonts w:ascii="Calibri" w:hAnsi="Calibri" w:cs="Calibri"/>
          <w:noProof/>
          <w:lang w:eastAsia="en-GB"/>
        </w:rPr>
        <w:t> –</w:t>
      </w:r>
      <w:r w:rsidRPr="00884D31">
        <w:rPr>
          <w:noProof/>
          <w:lang w:eastAsia="en-GB"/>
        </w:rPr>
        <w:t xml:space="preserve"> taking into account both the capacities under the </w:t>
      </w:r>
      <w:r>
        <w:rPr>
          <w:noProof/>
          <w:lang w:eastAsia="en-GB"/>
        </w:rPr>
        <w:t>ECPP and rescEU</w:t>
      </w:r>
      <w:r w:rsidRPr="008A1B96">
        <w:rPr>
          <w:noProof/>
          <w:lang w:eastAsia="en-GB"/>
        </w:rPr>
        <w:t xml:space="preserve"> </w:t>
      </w:r>
      <w:r w:rsidRPr="00884D31">
        <w:rPr>
          <w:noProof/>
          <w:lang w:eastAsia="en-GB"/>
        </w:rPr>
        <w:t>for the first time</w:t>
      </w:r>
      <w:r>
        <w:rPr>
          <w:noProof/>
          <w:lang w:eastAsia="en-GB"/>
        </w:rPr>
        <w:t>.</w:t>
      </w:r>
    </w:p>
    <w:p w14:paraId="20B97EE0" w14:textId="77777777" w:rsidR="00647AA9" w:rsidRDefault="00647AA9" w:rsidP="00647AA9">
      <w:pPr>
        <w:rPr>
          <w:noProof/>
          <w:lang w:eastAsia="en-GB"/>
        </w:rPr>
      </w:pPr>
      <w:r>
        <w:rPr>
          <w:noProof/>
          <w:lang w:eastAsia="en-GB"/>
        </w:rPr>
        <w:t>In 2020, an external evaluation of the 2014-2020 p</w:t>
      </w:r>
      <w:r w:rsidRPr="00A70407">
        <w:rPr>
          <w:noProof/>
          <w:lang w:eastAsia="en-GB"/>
        </w:rPr>
        <w:t xml:space="preserve">revention and </w:t>
      </w:r>
      <w:r>
        <w:rPr>
          <w:noProof/>
          <w:lang w:eastAsia="en-GB"/>
        </w:rPr>
        <w:t>p</w:t>
      </w:r>
      <w:r w:rsidRPr="00A70407">
        <w:rPr>
          <w:noProof/>
          <w:lang w:eastAsia="en-GB"/>
        </w:rPr>
        <w:t xml:space="preserve">reparedness </w:t>
      </w:r>
      <w:r>
        <w:rPr>
          <w:noProof/>
          <w:lang w:eastAsia="en-GB"/>
        </w:rPr>
        <w:t>p</w:t>
      </w:r>
      <w:r w:rsidRPr="00A70407">
        <w:rPr>
          <w:noProof/>
          <w:lang w:eastAsia="en-GB"/>
        </w:rPr>
        <w:t>rojects</w:t>
      </w:r>
      <w:r>
        <w:rPr>
          <w:noProof/>
          <w:lang w:eastAsia="en-GB"/>
        </w:rPr>
        <w:t xml:space="preserve"> was commissioned, in order to extract key lessons from this activity over the past years and identify areas for improvement. The results were published in September 2021 and provide clearly positive conclusions on the effectiveness and EU added value of the programme. Recommendations focus mainly on raising awareness of the projects funded and strengthening the planning, monitoring, evaluation and reporting framework.</w:t>
      </w:r>
    </w:p>
    <w:p w14:paraId="0745151F" w14:textId="77777777" w:rsidR="00647AA9" w:rsidRPr="00884D31" w:rsidRDefault="00647AA9" w:rsidP="00647AA9">
      <w:pPr>
        <w:rPr>
          <w:noProof/>
          <w:lang w:eastAsia="en-GB"/>
        </w:rPr>
      </w:pPr>
      <w:r>
        <w:rPr>
          <w:noProof/>
          <w:lang w:eastAsia="en-GB"/>
        </w:rPr>
        <w:t xml:space="preserve">An overall evaluation of the UCPM (2017-2022) will be launched in 2022. </w:t>
      </w:r>
    </w:p>
    <w:p w14:paraId="0047ED27" w14:textId="77777777" w:rsidR="00647AA9" w:rsidRPr="00040D99" w:rsidRDefault="00647AA9" w:rsidP="00647AA9">
      <w:pPr>
        <w:pStyle w:val="ppoHeading6"/>
        <w:rPr>
          <w:noProof/>
        </w:rPr>
      </w:pPr>
      <w:r>
        <w:rPr>
          <w:noProof/>
        </w:rPr>
        <w:t>WEBSITE FOR more information</w:t>
      </w:r>
    </w:p>
    <w:p w14:paraId="6261AF0F" w14:textId="77777777" w:rsidR="00647AA9" w:rsidRPr="00A7747C" w:rsidRDefault="00E01E9B" w:rsidP="00647AA9">
      <w:pPr>
        <w:rPr>
          <w:noProof/>
        </w:rPr>
      </w:pPr>
      <w:hyperlink r:id="rId246" w:history="1">
        <w:r w:rsidR="00647AA9" w:rsidRPr="0073413A">
          <w:rPr>
            <w:rStyle w:val="Hyperlink"/>
            <w:noProof/>
          </w:rPr>
          <w:t>https://ec.europa.eu/echo/what/civil-protection/eu-civil-protection-mechanism</w:t>
        </w:r>
        <w:r w:rsidR="00647AA9" w:rsidRPr="00F21CA2">
          <w:rPr>
            <w:rStyle w:val="Hyperlink"/>
            <w:noProof/>
          </w:rPr>
          <w:t>_en</w:t>
        </w:r>
      </w:hyperlink>
    </w:p>
    <w:p w14:paraId="5885ADA3" w14:textId="77777777" w:rsidR="00647AA9" w:rsidRPr="00A7747C" w:rsidRDefault="00647AA9" w:rsidP="00647AA9">
      <w:pPr>
        <w:pStyle w:val="ppoHeading5"/>
        <w:rPr>
          <w:noProof/>
        </w:rPr>
      </w:pPr>
      <w:r w:rsidRPr="00A7747C">
        <w:rPr>
          <w:rFonts w:eastAsiaTheme="minorEastAsia"/>
          <w:noProof/>
        </w:rPr>
        <w:t xml:space="preserve">Legal </w:t>
      </w:r>
      <w:r>
        <w:rPr>
          <w:rFonts w:eastAsiaTheme="minorEastAsia"/>
          <w:noProof/>
        </w:rPr>
        <w:t>b</w:t>
      </w:r>
      <w:r w:rsidRPr="00A7747C">
        <w:rPr>
          <w:rFonts w:eastAsiaTheme="minorEastAsia"/>
          <w:noProof/>
        </w:rPr>
        <w:t>as</w:t>
      </w:r>
      <w:r>
        <w:rPr>
          <w:rFonts w:eastAsiaTheme="minorEastAsia"/>
          <w:noProof/>
        </w:rPr>
        <w:t>is</w:t>
      </w:r>
    </w:p>
    <w:p w14:paraId="1B63309E" w14:textId="77777777" w:rsidR="00647AA9" w:rsidRDefault="00647AA9" w:rsidP="00647AA9">
      <w:pPr>
        <w:rPr>
          <w:noProof/>
        </w:rPr>
      </w:pPr>
      <w:r w:rsidRPr="00902DD0">
        <w:rPr>
          <w:noProof/>
        </w:rPr>
        <w:t xml:space="preserve">Regulation </w:t>
      </w:r>
      <w:r w:rsidRPr="00A7747C">
        <w:rPr>
          <w:noProof/>
        </w:rPr>
        <w:t>(EU)</w:t>
      </w:r>
      <w:r>
        <w:rPr>
          <w:rFonts w:ascii="Calibri" w:hAnsi="Calibri" w:cs="Calibri"/>
          <w:noProof/>
        </w:rPr>
        <w:t> </w:t>
      </w:r>
      <w:r w:rsidRPr="00A7747C">
        <w:rPr>
          <w:noProof/>
        </w:rPr>
        <w:t>2021/836 of the European Parliament and of the Council</w:t>
      </w:r>
      <w:r>
        <w:rPr>
          <w:noProof/>
        </w:rPr>
        <w:t>.</w:t>
      </w:r>
    </w:p>
    <w:p w14:paraId="474CCE2D" w14:textId="77777777" w:rsidR="00647AA9" w:rsidRPr="00040D99" w:rsidRDefault="00647AA9" w:rsidP="00647AA9">
      <w:pPr>
        <w:pStyle w:val="ppoHeading4Green"/>
        <w:rPr>
          <w:caps/>
          <w:noProof/>
        </w:rPr>
      </w:pPr>
      <w:r w:rsidRPr="00040D99">
        <w:rPr>
          <w:noProof/>
        </w:rPr>
        <w:t xml:space="preserve">Implementation and performance </w:t>
      </w:r>
    </w:p>
    <w:p w14:paraId="688E77B3" w14:textId="77777777" w:rsidR="00647AA9" w:rsidRPr="00040D99" w:rsidRDefault="00647AA9" w:rsidP="00647AA9">
      <w:pPr>
        <w:pStyle w:val="ppoHeading5"/>
        <w:rPr>
          <w:noProof/>
        </w:rPr>
      </w:pPr>
      <w:r w:rsidRPr="00040D99">
        <w:rPr>
          <w:noProof/>
        </w:rPr>
        <w:t xml:space="preserve">Budget </w:t>
      </w:r>
    </w:p>
    <w:p w14:paraId="3C9308AF" w14:textId="77777777" w:rsidR="00647AA9" w:rsidRPr="00040D99" w:rsidRDefault="00647AA9" w:rsidP="00647AA9">
      <w:pPr>
        <w:pStyle w:val="ppoTableTabletitle"/>
        <w:rPr>
          <w:noProof/>
        </w:rPr>
      </w:pPr>
      <w:r w:rsidRPr="00807AC3">
        <w:rPr>
          <w:noProof/>
        </w:rPr>
        <w:t>Budget programming</w:t>
      </w:r>
      <w:r>
        <w:rPr>
          <w:noProof/>
        </w:rPr>
        <w:t xml:space="preserve"> </w:t>
      </w:r>
      <w:r w:rsidRPr="00045449">
        <w:rPr>
          <w:noProof/>
          <w:lang w:val="en-IE"/>
        </w:rPr>
        <w:t>(million 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647AA9" w:rsidRPr="00040D99" w14:paraId="72829A64" w14:textId="77777777" w:rsidTr="00B202C2">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6FC108AC" w14:textId="77777777" w:rsidR="00647AA9" w:rsidRPr="00807AC3" w:rsidRDefault="00647AA9" w:rsidP="00B202C2">
            <w:pPr>
              <w:rPr>
                <w:noProof/>
              </w:rPr>
            </w:pPr>
          </w:p>
        </w:tc>
        <w:tc>
          <w:tcPr>
            <w:tcW w:w="943" w:type="dxa"/>
            <w:noWrap/>
            <w:hideMark/>
          </w:tcPr>
          <w:p w14:paraId="5B76AC4A" w14:textId="77777777" w:rsidR="00647AA9" w:rsidRPr="00807AC3" w:rsidRDefault="00647AA9" w:rsidP="00B202C2">
            <w:pPr>
              <w:rPr>
                <w:noProof/>
              </w:rPr>
            </w:pPr>
            <w:r w:rsidRPr="00807AC3">
              <w:rPr>
                <w:noProof/>
              </w:rPr>
              <w:t>2021</w:t>
            </w:r>
          </w:p>
        </w:tc>
        <w:tc>
          <w:tcPr>
            <w:tcW w:w="944" w:type="dxa"/>
            <w:noWrap/>
            <w:hideMark/>
          </w:tcPr>
          <w:p w14:paraId="72BC6BD2" w14:textId="77777777" w:rsidR="00647AA9" w:rsidRPr="00807AC3" w:rsidRDefault="00647AA9" w:rsidP="00B202C2">
            <w:pPr>
              <w:rPr>
                <w:noProof/>
              </w:rPr>
            </w:pPr>
            <w:r w:rsidRPr="00807AC3">
              <w:rPr>
                <w:noProof/>
              </w:rPr>
              <w:t>2022</w:t>
            </w:r>
          </w:p>
        </w:tc>
        <w:tc>
          <w:tcPr>
            <w:tcW w:w="943" w:type="dxa"/>
            <w:noWrap/>
            <w:hideMark/>
          </w:tcPr>
          <w:p w14:paraId="4181486E" w14:textId="77777777" w:rsidR="00647AA9" w:rsidRPr="00807AC3" w:rsidRDefault="00647AA9" w:rsidP="00B202C2">
            <w:pPr>
              <w:rPr>
                <w:noProof/>
              </w:rPr>
            </w:pPr>
            <w:r w:rsidRPr="00807AC3">
              <w:rPr>
                <w:noProof/>
              </w:rPr>
              <w:t>2023</w:t>
            </w:r>
          </w:p>
        </w:tc>
        <w:tc>
          <w:tcPr>
            <w:tcW w:w="944" w:type="dxa"/>
            <w:noWrap/>
            <w:hideMark/>
          </w:tcPr>
          <w:p w14:paraId="17C48898" w14:textId="77777777" w:rsidR="00647AA9" w:rsidRPr="00807AC3" w:rsidRDefault="00647AA9" w:rsidP="00B202C2">
            <w:pPr>
              <w:rPr>
                <w:noProof/>
              </w:rPr>
            </w:pPr>
            <w:r w:rsidRPr="00807AC3">
              <w:rPr>
                <w:noProof/>
              </w:rPr>
              <w:t>2024</w:t>
            </w:r>
          </w:p>
        </w:tc>
        <w:tc>
          <w:tcPr>
            <w:tcW w:w="944" w:type="dxa"/>
            <w:noWrap/>
            <w:hideMark/>
          </w:tcPr>
          <w:p w14:paraId="69B8E085" w14:textId="77777777" w:rsidR="00647AA9" w:rsidRPr="00807AC3" w:rsidRDefault="00647AA9" w:rsidP="00B202C2">
            <w:pPr>
              <w:rPr>
                <w:noProof/>
              </w:rPr>
            </w:pPr>
            <w:r w:rsidRPr="00807AC3">
              <w:rPr>
                <w:noProof/>
              </w:rPr>
              <w:t>2025</w:t>
            </w:r>
          </w:p>
        </w:tc>
        <w:tc>
          <w:tcPr>
            <w:tcW w:w="943" w:type="dxa"/>
            <w:noWrap/>
            <w:hideMark/>
          </w:tcPr>
          <w:p w14:paraId="748A3C15" w14:textId="77777777" w:rsidR="00647AA9" w:rsidRPr="00807AC3" w:rsidRDefault="00647AA9" w:rsidP="00B202C2">
            <w:pPr>
              <w:rPr>
                <w:noProof/>
              </w:rPr>
            </w:pPr>
            <w:r w:rsidRPr="00807AC3">
              <w:rPr>
                <w:noProof/>
              </w:rPr>
              <w:t>2026</w:t>
            </w:r>
          </w:p>
        </w:tc>
        <w:tc>
          <w:tcPr>
            <w:tcW w:w="944" w:type="dxa"/>
            <w:noWrap/>
            <w:hideMark/>
          </w:tcPr>
          <w:p w14:paraId="762FF5CD" w14:textId="77777777" w:rsidR="00647AA9" w:rsidRPr="00807AC3" w:rsidRDefault="00647AA9" w:rsidP="00B202C2">
            <w:pPr>
              <w:rPr>
                <w:noProof/>
              </w:rPr>
            </w:pPr>
            <w:r w:rsidRPr="00807AC3">
              <w:rPr>
                <w:noProof/>
              </w:rPr>
              <w:t>2027</w:t>
            </w:r>
          </w:p>
        </w:tc>
        <w:tc>
          <w:tcPr>
            <w:tcW w:w="944" w:type="dxa"/>
            <w:noWrap/>
            <w:hideMark/>
          </w:tcPr>
          <w:p w14:paraId="28F5A333" w14:textId="77777777" w:rsidR="00647AA9" w:rsidRPr="00807AC3" w:rsidRDefault="00647AA9" w:rsidP="00B202C2">
            <w:pPr>
              <w:rPr>
                <w:noProof/>
              </w:rPr>
            </w:pPr>
            <w:r w:rsidRPr="00807AC3">
              <w:rPr>
                <w:noProof/>
              </w:rPr>
              <w:t>Total</w:t>
            </w:r>
          </w:p>
        </w:tc>
      </w:tr>
      <w:tr w:rsidR="00647AA9" w:rsidRPr="00040D99" w14:paraId="2122CCAF" w14:textId="77777777" w:rsidTr="00B202C2">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1769D761" w14:textId="77777777" w:rsidR="00647AA9" w:rsidRPr="00807AC3" w:rsidRDefault="00647AA9" w:rsidP="00B202C2">
            <w:pPr>
              <w:rPr>
                <w:noProof/>
              </w:rPr>
            </w:pPr>
            <w:r w:rsidRPr="00807AC3">
              <w:rPr>
                <w:noProof/>
              </w:rPr>
              <w:t>Financial programming</w:t>
            </w:r>
          </w:p>
        </w:tc>
        <w:tc>
          <w:tcPr>
            <w:tcW w:w="943" w:type="dxa"/>
            <w:noWrap/>
            <w:hideMark/>
          </w:tcPr>
          <w:p w14:paraId="52787130" w14:textId="77777777" w:rsidR="00647AA9" w:rsidRPr="00807AC3" w:rsidRDefault="00647AA9" w:rsidP="00B202C2">
            <w:pPr>
              <w:jc w:val="center"/>
              <w:rPr>
                <w:noProof/>
              </w:rPr>
            </w:pPr>
            <w:r w:rsidRPr="00DD24F8">
              <w:rPr>
                <w:noProof/>
              </w:rPr>
              <w:t>182</w:t>
            </w:r>
            <w:r>
              <w:rPr>
                <w:noProof/>
              </w:rPr>
              <w:t>.</w:t>
            </w:r>
            <w:r w:rsidRPr="00DD24F8">
              <w:rPr>
                <w:noProof/>
              </w:rPr>
              <w:t>6</w:t>
            </w:r>
          </w:p>
        </w:tc>
        <w:tc>
          <w:tcPr>
            <w:tcW w:w="944" w:type="dxa"/>
            <w:noWrap/>
            <w:hideMark/>
          </w:tcPr>
          <w:p w14:paraId="719B2D2E" w14:textId="77777777" w:rsidR="00647AA9" w:rsidRPr="00807AC3" w:rsidRDefault="00647AA9" w:rsidP="00B202C2">
            <w:pPr>
              <w:jc w:val="center"/>
              <w:rPr>
                <w:noProof/>
              </w:rPr>
            </w:pPr>
            <w:r w:rsidRPr="00DD24F8">
              <w:rPr>
                <w:noProof/>
              </w:rPr>
              <w:t>101</w:t>
            </w:r>
            <w:r>
              <w:rPr>
                <w:noProof/>
              </w:rPr>
              <w:t>.</w:t>
            </w:r>
            <w:r w:rsidRPr="00DD24F8">
              <w:rPr>
                <w:noProof/>
              </w:rPr>
              <w:t>3</w:t>
            </w:r>
          </w:p>
        </w:tc>
        <w:tc>
          <w:tcPr>
            <w:tcW w:w="943" w:type="dxa"/>
            <w:noWrap/>
            <w:hideMark/>
          </w:tcPr>
          <w:p w14:paraId="69212961" w14:textId="77777777" w:rsidR="00647AA9" w:rsidRPr="00807AC3" w:rsidRDefault="00647AA9" w:rsidP="00B202C2">
            <w:pPr>
              <w:jc w:val="center"/>
              <w:rPr>
                <w:noProof/>
              </w:rPr>
            </w:pPr>
            <w:r w:rsidRPr="00DD24F8">
              <w:rPr>
                <w:noProof/>
              </w:rPr>
              <w:t>101</w:t>
            </w:r>
            <w:r>
              <w:rPr>
                <w:noProof/>
              </w:rPr>
              <w:t>.</w:t>
            </w:r>
            <w:r w:rsidRPr="00DD24F8">
              <w:rPr>
                <w:noProof/>
              </w:rPr>
              <w:t>6</w:t>
            </w:r>
          </w:p>
        </w:tc>
        <w:tc>
          <w:tcPr>
            <w:tcW w:w="944" w:type="dxa"/>
            <w:noWrap/>
            <w:hideMark/>
          </w:tcPr>
          <w:p w14:paraId="383D6F31" w14:textId="77777777" w:rsidR="00647AA9" w:rsidRPr="00807AC3" w:rsidRDefault="00647AA9" w:rsidP="00B202C2">
            <w:pPr>
              <w:jc w:val="center"/>
              <w:rPr>
                <w:noProof/>
              </w:rPr>
            </w:pPr>
            <w:r w:rsidRPr="00DD24F8">
              <w:rPr>
                <w:noProof/>
              </w:rPr>
              <w:t>233</w:t>
            </w:r>
            <w:r>
              <w:rPr>
                <w:noProof/>
              </w:rPr>
              <w:t>.</w:t>
            </w:r>
            <w:r w:rsidRPr="00DD24F8">
              <w:rPr>
                <w:noProof/>
              </w:rPr>
              <w:t>3</w:t>
            </w:r>
          </w:p>
        </w:tc>
        <w:tc>
          <w:tcPr>
            <w:tcW w:w="944" w:type="dxa"/>
            <w:noWrap/>
            <w:hideMark/>
          </w:tcPr>
          <w:p w14:paraId="27DF756E" w14:textId="77777777" w:rsidR="00647AA9" w:rsidRPr="00807AC3" w:rsidRDefault="00647AA9" w:rsidP="00B202C2">
            <w:pPr>
              <w:jc w:val="center"/>
              <w:rPr>
                <w:noProof/>
              </w:rPr>
            </w:pPr>
            <w:r w:rsidRPr="00DD24F8">
              <w:rPr>
                <w:noProof/>
              </w:rPr>
              <w:t>233</w:t>
            </w:r>
            <w:r>
              <w:rPr>
                <w:noProof/>
              </w:rPr>
              <w:t>.</w:t>
            </w:r>
            <w:r w:rsidRPr="00DD24F8">
              <w:rPr>
                <w:noProof/>
              </w:rPr>
              <w:t>3</w:t>
            </w:r>
          </w:p>
        </w:tc>
        <w:tc>
          <w:tcPr>
            <w:tcW w:w="943" w:type="dxa"/>
            <w:noWrap/>
            <w:hideMark/>
          </w:tcPr>
          <w:p w14:paraId="42A8D381" w14:textId="77777777" w:rsidR="00647AA9" w:rsidRPr="00807AC3" w:rsidRDefault="00647AA9" w:rsidP="00B202C2">
            <w:pPr>
              <w:jc w:val="center"/>
              <w:rPr>
                <w:noProof/>
              </w:rPr>
            </w:pPr>
            <w:r w:rsidRPr="00DD24F8">
              <w:rPr>
                <w:noProof/>
              </w:rPr>
              <w:t>234</w:t>
            </w:r>
            <w:r>
              <w:rPr>
                <w:noProof/>
              </w:rPr>
              <w:t>.</w:t>
            </w:r>
            <w:r w:rsidRPr="00DD24F8">
              <w:rPr>
                <w:noProof/>
              </w:rPr>
              <w:t>4</w:t>
            </w:r>
          </w:p>
        </w:tc>
        <w:tc>
          <w:tcPr>
            <w:tcW w:w="944" w:type="dxa"/>
            <w:noWrap/>
            <w:hideMark/>
          </w:tcPr>
          <w:p w14:paraId="61C6CDD5" w14:textId="77777777" w:rsidR="00647AA9" w:rsidRPr="00807AC3" w:rsidRDefault="00647AA9" w:rsidP="00B202C2">
            <w:pPr>
              <w:jc w:val="center"/>
              <w:rPr>
                <w:noProof/>
              </w:rPr>
            </w:pPr>
            <w:r w:rsidRPr="00DD24F8">
              <w:rPr>
                <w:noProof/>
              </w:rPr>
              <w:t>240</w:t>
            </w:r>
            <w:r>
              <w:rPr>
                <w:noProof/>
              </w:rPr>
              <w:t>.</w:t>
            </w:r>
            <w:r w:rsidRPr="00DD24F8">
              <w:rPr>
                <w:noProof/>
              </w:rPr>
              <w:t>3</w:t>
            </w:r>
          </w:p>
        </w:tc>
        <w:tc>
          <w:tcPr>
            <w:tcW w:w="944" w:type="dxa"/>
            <w:noWrap/>
            <w:hideMark/>
          </w:tcPr>
          <w:p w14:paraId="22D359A5" w14:textId="77777777" w:rsidR="00647AA9" w:rsidRPr="00807AC3" w:rsidRDefault="00647AA9" w:rsidP="00B202C2">
            <w:pPr>
              <w:jc w:val="center"/>
              <w:rPr>
                <w:noProof/>
              </w:rPr>
            </w:pPr>
            <w:r w:rsidRPr="00DD24F8">
              <w:rPr>
                <w:noProof/>
              </w:rPr>
              <w:t>1</w:t>
            </w:r>
            <w:r>
              <w:rPr>
                <w:rFonts w:ascii="Calibri" w:hAnsi="Calibri" w:cs="Calibri"/>
                <w:noProof/>
              </w:rPr>
              <w:t> </w:t>
            </w:r>
            <w:r w:rsidRPr="00DD24F8">
              <w:rPr>
                <w:noProof/>
              </w:rPr>
              <w:t>326</w:t>
            </w:r>
            <w:r>
              <w:rPr>
                <w:noProof/>
              </w:rPr>
              <w:t>.</w:t>
            </w:r>
            <w:r w:rsidRPr="00DD24F8">
              <w:rPr>
                <w:noProof/>
              </w:rPr>
              <w:t>7</w:t>
            </w:r>
          </w:p>
        </w:tc>
      </w:tr>
      <w:tr w:rsidR="00647AA9" w:rsidRPr="00040D99" w14:paraId="59733B90" w14:textId="77777777" w:rsidTr="00304A2B">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4F1322D3" w14:textId="77777777" w:rsidR="00647AA9" w:rsidRPr="00807AC3" w:rsidRDefault="00647AA9" w:rsidP="00B202C2">
            <w:pPr>
              <w:rPr>
                <w:noProof/>
              </w:rPr>
            </w:pPr>
            <w:r w:rsidRPr="00807AC3">
              <w:rPr>
                <w:noProof/>
              </w:rPr>
              <w:t>NextGenerationEU</w:t>
            </w:r>
          </w:p>
        </w:tc>
        <w:tc>
          <w:tcPr>
            <w:tcW w:w="943" w:type="dxa"/>
            <w:noWrap/>
            <w:vAlign w:val="bottom"/>
            <w:hideMark/>
          </w:tcPr>
          <w:p w14:paraId="2C2BDCE8" w14:textId="53DBD0F1" w:rsidR="00647AA9" w:rsidRPr="00807AC3" w:rsidRDefault="00647AA9" w:rsidP="00B202C2">
            <w:pPr>
              <w:jc w:val="center"/>
              <w:rPr>
                <w:noProof/>
              </w:rPr>
            </w:pPr>
            <w:r>
              <w:rPr>
                <w:rFonts w:ascii="Calibri" w:hAnsi="Calibri" w:cs="Calibri"/>
                <w:noProof/>
                <w:color w:val="000000"/>
              </w:rPr>
              <w:t>684.6</w:t>
            </w:r>
          </w:p>
        </w:tc>
        <w:tc>
          <w:tcPr>
            <w:tcW w:w="944" w:type="dxa"/>
            <w:noWrap/>
            <w:vAlign w:val="bottom"/>
            <w:hideMark/>
          </w:tcPr>
          <w:p w14:paraId="29C68B78" w14:textId="1B60DF3D" w:rsidR="00647AA9" w:rsidRPr="00807AC3" w:rsidRDefault="00647AA9" w:rsidP="00B202C2">
            <w:pPr>
              <w:jc w:val="center"/>
              <w:rPr>
                <w:noProof/>
              </w:rPr>
            </w:pPr>
            <w:r>
              <w:rPr>
                <w:rFonts w:ascii="Calibri" w:hAnsi="Calibri" w:cs="Calibri"/>
                <w:noProof/>
                <w:color w:val="000000"/>
              </w:rPr>
              <w:t>679.8</w:t>
            </w:r>
          </w:p>
        </w:tc>
        <w:tc>
          <w:tcPr>
            <w:tcW w:w="943" w:type="dxa"/>
            <w:noWrap/>
            <w:vAlign w:val="bottom"/>
            <w:hideMark/>
          </w:tcPr>
          <w:p w14:paraId="40E1569B" w14:textId="3B8C651E" w:rsidR="00647AA9" w:rsidRPr="00807AC3" w:rsidRDefault="00647AA9" w:rsidP="00B202C2">
            <w:pPr>
              <w:jc w:val="center"/>
              <w:rPr>
                <w:noProof/>
              </w:rPr>
            </w:pPr>
            <w:r>
              <w:rPr>
                <w:rFonts w:ascii="Calibri" w:hAnsi="Calibri" w:cs="Calibri"/>
                <w:noProof/>
                <w:color w:val="000000"/>
              </w:rPr>
              <w:t>682.8</w:t>
            </w:r>
          </w:p>
        </w:tc>
        <w:tc>
          <w:tcPr>
            <w:tcW w:w="944" w:type="dxa"/>
            <w:noWrap/>
            <w:vAlign w:val="bottom"/>
            <w:hideMark/>
          </w:tcPr>
          <w:p w14:paraId="1FC4543F" w14:textId="147B29E6" w:rsidR="00647AA9" w:rsidRPr="00807AC3" w:rsidRDefault="00647AA9" w:rsidP="00B202C2">
            <w:pPr>
              <w:jc w:val="center"/>
              <w:rPr>
                <w:noProof/>
              </w:rPr>
            </w:pPr>
            <w:r>
              <w:rPr>
                <w:rFonts w:ascii="Calibri" w:hAnsi="Calibri" w:cs="Calibri"/>
                <w:noProof/>
                <w:color w:val="000000"/>
              </w:rPr>
              <w:t>2.3</w:t>
            </w:r>
          </w:p>
        </w:tc>
        <w:tc>
          <w:tcPr>
            <w:tcW w:w="944" w:type="dxa"/>
            <w:noWrap/>
            <w:vAlign w:val="bottom"/>
            <w:hideMark/>
          </w:tcPr>
          <w:p w14:paraId="49E0C9DB" w14:textId="15003753" w:rsidR="00647AA9" w:rsidRPr="00807AC3" w:rsidRDefault="00647AA9" w:rsidP="00B202C2">
            <w:pPr>
              <w:jc w:val="center"/>
              <w:rPr>
                <w:noProof/>
              </w:rPr>
            </w:pPr>
            <w:r>
              <w:rPr>
                <w:rFonts w:ascii="Calibri" w:hAnsi="Calibri" w:cs="Calibri"/>
                <w:noProof/>
                <w:color w:val="000000"/>
              </w:rPr>
              <w:t>2.3</w:t>
            </w:r>
          </w:p>
        </w:tc>
        <w:tc>
          <w:tcPr>
            <w:tcW w:w="943" w:type="dxa"/>
            <w:noWrap/>
            <w:vAlign w:val="bottom"/>
            <w:hideMark/>
          </w:tcPr>
          <w:p w14:paraId="4FACAFA6" w14:textId="787CA603" w:rsidR="00647AA9" w:rsidRPr="00807AC3" w:rsidRDefault="00647AA9" w:rsidP="00B202C2">
            <w:pPr>
              <w:jc w:val="center"/>
              <w:rPr>
                <w:noProof/>
              </w:rPr>
            </w:pPr>
            <w:r>
              <w:rPr>
                <w:rFonts w:ascii="Calibri" w:hAnsi="Calibri" w:cs="Calibri"/>
                <w:noProof/>
                <w:color w:val="000000"/>
              </w:rPr>
              <w:t>2.3</w:t>
            </w:r>
          </w:p>
        </w:tc>
        <w:tc>
          <w:tcPr>
            <w:tcW w:w="944" w:type="dxa"/>
            <w:noWrap/>
            <w:vAlign w:val="bottom"/>
            <w:hideMark/>
          </w:tcPr>
          <w:p w14:paraId="2EDB4C05" w14:textId="23652941" w:rsidR="00647AA9" w:rsidRPr="00807AC3" w:rsidRDefault="00647AA9" w:rsidP="00B202C2">
            <w:pPr>
              <w:jc w:val="center"/>
              <w:rPr>
                <w:noProof/>
              </w:rPr>
            </w:pPr>
            <w:r>
              <w:rPr>
                <w:rFonts w:ascii="Calibri" w:hAnsi="Calibri" w:cs="Calibri"/>
                <w:noProof/>
                <w:color w:val="000000"/>
              </w:rPr>
              <w:t>2.3</w:t>
            </w:r>
          </w:p>
        </w:tc>
        <w:tc>
          <w:tcPr>
            <w:tcW w:w="944" w:type="dxa"/>
            <w:noWrap/>
            <w:vAlign w:val="bottom"/>
            <w:hideMark/>
          </w:tcPr>
          <w:p w14:paraId="2E00380E" w14:textId="37447C7B" w:rsidR="00647AA9" w:rsidRPr="00807AC3" w:rsidRDefault="00647AA9" w:rsidP="00B202C2">
            <w:pPr>
              <w:jc w:val="center"/>
              <w:rPr>
                <w:noProof/>
              </w:rPr>
            </w:pPr>
            <w:r>
              <w:rPr>
                <w:rFonts w:ascii="Calibri" w:hAnsi="Calibri" w:cs="Calibri"/>
                <w:noProof/>
                <w:color w:val="000000"/>
              </w:rPr>
              <w:t>2 056.5</w:t>
            </w:r>
          </w:p>
        </w:tc>
      </w:tr>
      <w:tr w:rsidR="00647AA9" w:rsidRPr="00040D99" w14:paraId="00A5B6CA" w14:textId="77777777" w:rsidTr="00B202C2">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34C0F248" w14:textId="77777777" w:rsidR="00647AA9" w:rsidRPr="00807AC3" w:rsidRDefault="00647AA9" w:rsidP="00B202C2">
            <w:pPr>
              <w:rPr>
                <w:noProof/>
              </w:rPr>
            </w:pPr>
            <w:r w:rsidRPr="00807AC3">
              <w:rPr>
                <w:noProof/>
              </w:rPr>
              <w:t>Decommitments made available again</w:t>
            </w:r>
            <w:r>
              <w:rPr>
                <w:rFonts w:ascii="Calibri" w:hAnsi="Calibri" w:cs="Calibri"/>
                <w:noProof/>
              </w:rPr>
              <w:t> </w:t>
            </w:r>
            <w:r>
              <w:rPr>
                <w:noProof/>
              </w:rPr>
              <w:t>(</w:t>
            </w:r>
            <w:r w:rsidRPr="00807AC3">
              <w:rPr>
                <w:noProof/>
              </w:rPr>
              <w:t>*</w:t>
            </w:r>
            <w:r>
              <w:rPr>
                <w:noProof/>
              </w:rPr>
              <w:t>)</w:t>
            </w:r>
          </w:p>
        </w:tc>
        <w:tc>
          <w:tcPr>
            <w:tcW w:w="943" w:type="dxa"/>
            <w:noWrap/>
            <w:hideMark/>
          </w:tcPr>
          <w:p w14:paraId="691B8E5E" w14:textId="77777777" w:rsidR="00647AA9" w:rsidRPr="00807AC3" w:rsidRDefault="00647AA9" w:rsidP="00B202C2">
            <w:pPr>
              <w:jc w:val="center"/>
              <w:rPr>
                <w:noProof/>
              </w:rPr>
            </w:pPr>
            <w:r>
              <w:rPr>
                <w:noProof/>
              </w:rPr>
              <w:t>N/A</w:t>
            </w:r>
          </w:p>
        </w:tc>
        <w:tc>
          <w:tcPr>
            <w:tcW w:w="944" w:type="dxa"/>
            <w:noWrap/>
            <w:hideMark/>
          </w:tcPr>
          <w:p w14:paraId="6131A0A9" w14:textId="77777777" w:rsidR="00647AA9" w:rsidRPr="00807AC3" w:rsidRDefault="00647AA9" w:rsidP="00B202C2">
            <w:pPr>
              <w:jc w:val="center"/>
              <w:rPr>
                <w:noProof/>
              </w:rPr>
            </w:pPr>
          </w:p>
        </w:tc>
        <w:tc>
          <w:tcPr>
            <w:tcW w:w="943" w:type="dxa"/>
            <w:noWrap/>
            <w:hideMark/>
          </w:tcPr>
          <w:p w14:paraId="47ED5E8B" w14:textId="77777777" w:rsidR="00647AA9" w:rsidRPr="00807AC3" w:rsidRDefault="00647AA9" w:rsidP="00B202C2">
            <w:pPr>
              <w:jc w:val="center"/>
              <w:rPr>
                <w:noProof/>
              </w:rPr>
            </w:pPr>
          </w:p>
        </w:tc>
        <w:tc>
          <w:tcPr>
            <w:tcW w:w="944" w:type="dxa"/>
            <w:noWrap/>
            <w:hideMark/>
          </w:tcPr>
          <w:p w14:paraId="7850CA97" w14:textId="77777777" w:rsidR="00647AA9" w:rsidRPr="00807AC3" w:rsidRDefault="00647AA9" w:rsidP="00B202C2">
            <w:pPr>
              <w:jc w:val="center"/>
              <w:rPr>
                <w:noProof/>
              </w:rPr>
            </w:pPr>
          </w:p>
        </w:tc>
        <w:tc>
          <w:tcPr>
            <w:tcW w:w="944" w:type="dxa"/>
            <w:noWrap/>
            <w:hideMark/>
          </w:tcPr>
          <w:p w14:paraId="4E7909BA" w14:textId="77777777" w:rsidR="00647AA9" w:rsidRPr="00807AC3" w:rsidRDefault="00647AA9" w:rsidP="00B202C2">
            <w:pPr>
              <w:jc w:val="center"/>
              <w:rPr>
                <w:noProof/>
              </w:rPr>
            </w:pPr>
          </w:p>
        </w:tc>
        <w:tc>
          <w:tcPr>
            <w:tcW w:w="943" w:type="dxa"/>
            <w:noWrap/>
            <w:hideMark/>
          </w:tcPr>
          <w:p w14:paraId="1476FC9D" w14:textId="77777777" w:rsidR="00647AA9" w:rsidRPr="00807AC3" w:rsidRDefault="00647AA9" w:rsidP="00B202C2">
            <w:pPr>
              <w:jc w:val="center"/>
              <w:rPr>
                <w:noProof/>
              </w:rPr>
            </w:pPr>
          </w:p>
        </w:tc>
        <w:tc>
          <w:tcPr>
            <w:tcW w:w="944" w:type="dxa"/>
            <w:noWrap/>
            <w:hideMark/>
          </w:tcPr>
          <w:p w14:paraId="33C5D6EC" w14:textId="77777777" w:rsidR="00647AA9" w:rsidRPr="00807AC3" w:rsidRDefault="00647AA9" w:rsidP="00B202C2">
            <w:pPr>
              <w:jc w:val="center"/>
              <w:rPr>
                <w:noProof/>
              </w:rPr>
            </w:pPr>
          </w:p>
        </w:tc>
        <w:tc>
          <w:tcPr>
            <w:tcW w:w="944" w:type="dxa"/>
            <w:noWrap/>
            <w:hideMark/>
          </w:tcPr>
          <w:p w14:paraId="47D2E4F0" w14:textId="77777777" w:rsidR="00647AA9" w:rsidRPr="00807AC3" w:rsidRDefault="00647AA9" w:rsidP="00B202C2">
            <w:pPr>
              <w:jc w:val="center"/>
              <w:rPr>
                <w:noProof/>
              </w:rPr>
            </w:pPr>
            <w:r>
              <w:rPr>
                <w:noProof/>
              </w:rPr>
              <w:t>N/A</w:t>
            </w:r>
          </w:p>
        </w:tc>
      </w:tr>
      <w:tr w:rsidR="00647AA9" w:rsidRPr="00040D99" w14:paraId="466DCCA0" w14:textId="77777777" w:rsidTr="00B202C2">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70621090" w14:textId="77777777" w:rsidR="00647AA9" w:rsidRPr="00807AC3" w:rsidRDefault="00647AA9" w:rsidP="00B202C2">
            <w:pPr>
              <w:rPr>
                <w:noProof/>
              </w:rPr>
            </w:pPr>
            <w:r w:rsidRPr="0069188E">
              <w:rPr>
                <w:noProof/>
              </w:rPr>
              <w:t>Contributions from other countries and entities</w:t>
            </w:r>
          </w:p>
        </w:tc>
        <w:tc>
          <w:tcPr>
            <w:tcW w:w="943" w:type="dxa"/>
            <w:noWrap/>
            <w:hideMark/>
          </w:tcPr>
          <w:p w14:paraId="7D225274" w14:textId="77777777" w:rsidR="00647AA9" w:rsidRPr="00807AC3" w:rsidRDefault="00647AA9" w:rsidP="00B202C2">
            <w:pPr>
              <w:jc w:val="center"/>
              <w:rPr>
                <w:noProof/>
              </w:rPr>
            </w:pPr>
            <w:r w:rsidRPr="002B127A">
              <w:rPr>
                <w:noProof/>
              </w:rPr>
              <w:t>20</w:t>
            </w:r>
            <w:r>
              <w:rPr>
                <w:noProof/>
              </w:rPr>
              <w:t>.</w:t>
            </w:r>
            <w:r w:rsidRPr="002B127A">
              <w:rPr>
                <w:noProof/>
              </w:rPr>
              <w:t>6</w:t>
            </w:r>
          </w:p>
        </w:tc>
        <w:tc>
          <w:tcPr>
            <w:tcW w:w="944" w:type="dxa"/>
            <w:noWrap/>
            <w:hideMark/>
          </w:tcPr>
          <w:p w14:paraId="28C23855" w14:textId="77777777" w:rsidR="00647AA9" w:rsidRPr="00807AC3" w:rsidRDefault="00647AA9" w:rsidP="00B202C2">
            <w:pPr>
              <w:jc w:val="center"/>
              <w:rPr>
                <w:noProof/>
              </w:rPr>
            </w:pPr>
            <w:r>
              <w:rPr>
                <w:noProof/>
              </w:rPr>
              <w:t>p.m.</w:t>
            </w:r>
          </w:p>
        </w:tc>
        <w:tc>
          <w:tcPr>
            <w:tcW w:w="943" w:type="dxa"/>
            <w:noWrap/>
            <w:hideMark/>
          </w:tcPr>
          <w:p w14:paraId="3DF7E906" w14:textId="77777777" w:rsidR="00647AA9" w:rsidRPr="00807AC3" w:rsidRDefault="00647AA9" w:rsidP="00B202C2">
            <w:pPr>
              <w:jc w:val="center"/>
              <w:rPr>
                <w:noProof/>
              </w:rPr>
            </w:pPr>
            <w:r>
              <w:rPr>
                <w:noProof/>
              </w:rPr>
              <w:t>p.m.</w:t>
            </w:r>
          </w:p>
        </w:tc>
        <w:tc>
          <w:tcPr>
            <w:tcW w:w="944" w:type="dxa"/>
            <w:noWrap/>
            <w:hideMark/>
          </w:tcPr>
          <w:p w14:paraId="6AB36458" w14:textId="77777777" w:rsidR="00647AA9" w:rsidRPr="00807AC3" w:rsidRDefault="00647AA9" w:rsidP="00B202C2">
            <w:pPr>
              <w:jc w:val="center"/>
              <w:rPr>
                <w:noProof/>
              </w:rPr>
            </w:pPr>
            <w:r>
              <w:rPr>
                <w:noProof/>
              </w:rPr>
              <w:t>p.m.</w:t>
            </w:r>
          </w:p>
        </w:tc>
        <w:tc>
          <w:tcPr>
            <w:tcW w:w="944" w:type="dxa"/>
            <w:noWrap/>
            <w:hideMark/>
          </w:tcPr>
          <w:p w14:paraId="7F1D63A6" w14:textId="77777777" w:rsidR="00647AA9" w:rsidRPr="00807AC3" w:rsidRDefault="00647AA9" w:rsidP="00B202C2">
            <w:pPr>
              <w:jc w:val="center"/>
              <w:rPr>
                <w:noProof/>
              </w:rPr>
            </w:pPr>
            <w:r>
              <w:rPr>
                <w:noProof/>
              </w:rPr>
              <w:t>p.m.</w:t>
            </w:r>
          </w:p>
        </w:tc>
        <w:tc>
          <w:tcPr>
            <w:tcW w:w="943" w:type="dxa"/>
            <w:noWrap/>
            <w:hideMark/>
          </w:tcPr>
          <w:p w14:paraId="2584D5C9" w14:textId="77777777" w:rsidR="00647AA9" w:rsidRPr="00807AC3" w:rsidRDefault="00647AA9" w:rsidP="00B202C2">
            <w:pPr>
              <w:jc w:val="center"/>
              <w:rPr>
                <w:noProof/>
              </w:rPr>
            </w:pPr>
            <w:r>
              <w:rPr>
                <w:noProof/>
              </w:rPr>
              <w:t>p.m.</w:t>
            </w:r>
          </w:p>
        </w:tc>
        <w:tc>
          <w:tcPr>
            <w:tcW w:w="944" w:type="dxa"/>
            <w:noWrap/>
            <w:hideMark/>
          </w:tcPr>
          <w:p w14:paraId="740A4ADF" w14:textId="77777777" w:rsidR="00647AA9" w:rsidRPr="00807AC3" w:rsidRDefault="00647AA9" w:rsidP="00B202C2">
            <w:pPr>
              <w:jc w:val="center"/>
              <w:rPr>
                <w:noProof/>
              </w:rPr>
            </w:pPr>
            <w:r>
              <w:rPr>
                <w:noProof/>
              </w:rPr>
              <w:t>p.m.</w:t>
            </w:r>
          </w:p>
        </w:tc>
        <w:tc>
          <w:tcPr>
            <w:tcW w:w="944" w:type="dxa"/>
            <w:noWrap/>
            <w:hideMark/>
          </w:tcPr>
          <w:p w14:paraId="49E73875" w14:textId="77777777" w:rsidR="00647AA9" w:rsidRPr="00807AC3" w:rsidRDefault="00647AA9" w:rsidP="00B202C2">
            <w:pPr>
              <w:jc w:val="center"/>
              <w:rPr>
                <w:noProof/>
              </w:rPr>
            </w:pPr>
            <w:r w:rsidRPr="002B127A">
              <w:rPr>
                <w:noProof/>
              </w:rPr>
              <w:t>20</w:t>
            </w:r>
            <w:r>
              <w:rPr>
                <w:noProof/>
              </w:rPr>
              <w:t>.</w:t>
            </w:r>
            <w:r w:rsidRPr="002B127A">
              <w:rPr>
                <w:noProof/>
              </w:rPr>
              <w:t>6</w:t>
            </w:r>
          </w:p>
        </w:tc>
      </w:tr>
      <w:tr w:rsidR="00647AA9" w:rsidRPr="00040D99" w14:paraId="16DB8382" w14:textId="77777777" w:rsidTr="00304A2B">
        <w:trPr>
          <w:cnfStyle w:val="000000100000" w:firstRow="0" w:lastRow="0" w:firstColumn="0" w:lastColumn="0" w:oddVBand="0" w:evenVBand="0" w:oddHBand="1" w:evenHBand="0" w:firstRowFirstColumn="0" w:firstRowLastColumn="0" w:lastRowFirstColumn="0" w:lastRowLastColumn="0"/>
          <w:trHeight w:val="290"/>
        </w:trPr>
        <w:tc>
          <w:tcPr>
            <w:tcW w:w="2090" w:type="dxa"/>
            <w:noWrap/>
            <w:vAlign w:val="bottom"/>
          </w:tcPr>
          <w:p w14:paraId="7D4FF415" w14:textId="77777777" w:rsidR="00647AA9" w:rsidRPr="0069188E" w:rsidRDefault="00647AA9" w:rsidP="00B202C2">
            <w:pPr>
              <w:rPr>
                <w:noProof/>
              </w:rPr>
            </w:pPr>
            <w:r>
              <w:rPr>
                <w:rFonts w:ascii="Calibri" w:hAnsi="Calibri" w:cs="Calibri"/>
                <w:b/>
                <w:bCs/>
                <w:noProof/>
                <w:color w:val="000000"/>
              </w:rPr>
              <w:t>Grand Total</w:t>
            </w:r>
          </w:p>
        </w:tc>
        <w:tc>
          <w:tcPr>
            <w:tcW w:w="943" w:type="dxa"/>
            <w:noWrap/>
            <w:vAlign w:val="bottom"/>
          </w:tcPr>
          <w:p w14:paraId="7F53C149" w14:textId="77777777" w:rsidR="00647AA9" w:rsidRPr="002B127A" w:rsidRDefault="00647AA9" w:rsidP="00B202C2">
            <w:pPr>
              <w:jc w:val="center"/>
              <w:rPr>
                <w:noProof/>
              </w:rPr>
            </w:pPr>
            <w:r>
              <w:rPr>
                <w:rFonts w:ascii="Calibri" w:hAnsi="Calibri" w:cs="Calibri"/>
                <w:b/>
                <w:bCs/>
                <w:noProof/>
                <w:color w:val="000000"/>
              </w:rPr>
              <w:t>887.8</w:t>
            </w:r>
          </w:p>
        </w:tc>
        <w:tc>
          <w:tcPr>
            <w:tcW w:w="944" w:type="dxa"/>
            <w:noWrap/>
            <w:vAlign w:val="bottom"/>
          </w:tcPr>
          <w:p w14:paraId="4B2B10DE" w14:textId="77777777" w:rsidR="00647AA9" w:rsidRPr="00807AC3" w:rsidRDefault="00647AA9" w:rsidP="00B202C2">
            <w:pPr>
              <w:jc w:val="center"/>
              <w:rPr>
                <w:noProof/>
              </w:rPr>
            </w:pPr>
            <w:r>
              <w:rPr>
                <w:rFonts w:ascii="Calibri" w:hAnsi="Calibri" w:cs="Calibri"/>
                <w:b/>
                <w:bCs/>
                <w:noProof/>
                <w:color w:val="000000"/>
              </w:rPr>
              <w:t>781.0</w:t>
            </w:r>
          </w:p>
        </w:tc>
        <w:tc>
          <w:tcPr>
            <w:tcW w:w="943" w:type="dxa"/>
            <w:noWrap/>
            <w:vAlign w:val="bottom"/>
          </w:tcPr>
          <w:p w14:paraId="4E32FE86" w14:textId="77777777" w:rsidR="00647AA9" w:rsidRPr="00807AC3" w:rsidRDefault="00647AA9" w:rsidP="00B202C2">
            <w:pPr>
              <w:jc w:val="center"/>
              <w:rPr>
                <w:noProof/>
              </w:rPr>
            </w:pPr>
            <w:r>
              <w:rPr>
                <w:rFonts w:ascii="Calibri" w:hAnsi="Calibri" w:cs="Calibri"/>
                <w:b/>
                <w:bCs/>
                <w:noProof/>
                <w:color w:val="000000"/>
              </w:rPr>
              <w:t>829.4</w:t>
            </w:r>
          </w:p>
        </w:tc>
        <w:tc>
          <w:tcPr>
            <w:tcW w:w="944" w:type="dxa"/>
            <w:noWrap/>
            <w:vAlign w:val="bottom"/>
          </w:tcPr>
          <w:p w14:paraId="155B2769" w14:textId="77777777" w:rsidR="00647AA9" w:rsidRPr="00807AC3" w:rsidRDefault="00647AA9" w:rsidP="00B202C2">
            <w:pPr>
              <w:jc w:val="center"/>
              <w:rPr>
                <w:noProof/>
              </w:rPr>
            </w:pPr>
            <w:r>
              <w:rPr>
                <w:rFonts w:ascii="Calibri" w:hAnsi="Calibri" w:cs="Calibri"/>
                <w:b/>
                <w:bCs/>
                <w:noProof/>
                <w:color w:val="000000"/>
              </w:rPr>
              <w:t>232.6</w:t>
            </w:r>
          </w:p>
        </w:tc>
        <w:tc>
          <w:tcPr>
            <w:tcW w:w="944" w:type="dxa"/>
            <w:noWrap/>
            <w:vAlign w:val="bottom"/>
          </w:tcPr>
          <w:p w14:paraId="65039A9E" w14:textId="77777777" w:rsidR="00647AA9" w:rsidRPr="00807AC3" w:rsidRDefault="00647AA9" w:rsidP="00B202C2">
            <w:pPr>
              <w:jc w:val="center"/>
              <w:rPr>
                <w:noProof/>
              </w:rPr>
            </w:pPr>
            <w:r>
              <w:rPr>
                <w:rFonts w:ascii="Calibri" w:hAnsi="Calibri" w:cs="Calibri"/>
                <w:b/>
                <w:bCs/>
                <w:noProof/>
                <w:color w:val="000000"/>
              </w:rPr>
              <w:t>221.6</w:t>
            </w:r>
          </w:p>
        </w:tc>
        <w:tc>
          <w:tcPr>
            <w:tcW w:w="943" w:type="dxa"/>
            <w:noWrap/>
            <w:vAlign w:val="bottom"/>
          </w:tcPr>
          <w:p w14:paraId="564F976F" w14:textId="77777777" w:rsidR="00647AA9" w:rsidRPr="00807AC3" w:rsidRDefault="00647AA9" w:rsidP="00B202C2">
            <w:pPr>
              <w:jc w:val="center"/>
              <w:rPr>
                <w:noProof/>
              </w:rPr>
            </w:pPr>
            <w:r>
              <w:rPr>
                <w:rFonts w:ascii="Calibri" w:hAnsi="Calibri" w:cs="Calibri"/>
                <w:b/>
                <w:bCs/>
                <w:noProof/>
                <w:color w:val="000000"/>
              </w:rPr>
              <w:t>222.9</w:t>
            </w:r>
          </w:p>
        </w:tc>
        <w:tc>
          <w:tcPr>
            <w:tcW w:w="944" w:type="dxa"/>
            <w:noWrap/>
            <w:vAlign w:val="bottom"/>
          </w:tcPr>
          <w:p w14:paraId="467156B7" w14:textId="77777777" w:rsidR="00647AA9" w:rsidRPr="00807AC3" w:rsidRDefault="00647AA9" w:rsidP="00B202C2">
            <w:pPr>
              <w:jc w:val="center"/>
              <w:rPr>
                <w:noProof/>
              </w:rPr>
            </w:pPr>
            <w:r>
              <w:rPr>
                <w:rFonts w:ascii="Calibri" w:hAnsi="Calibri" w:cs="Calibri"/>
                <w:b/>
                <w:bCs/>
                <w:noProof/>
                <w:color w:val="000000"/>
              </w:rPr>
              <w:t>228.4</w:t>
            </w:r>
          </w:p>
        </w:tc>
        <w:tc>
          <w:tcPr>
            <w:tcW w:w="944" w:type="dxa"/>
            <w:noWrap/>
            <w:vAlign w:val="bottom"/>
          </w:tcPr>
          <w:p w14:paraId="051878B6" w14:textId="77777777" w:rsidR="00647AA9" w:rsidRPr="002B127A" w:rsidRDefault="00647AA9" w:rsidP="00B202C2">
            <w:pPr>
              <w:jc w:val="center"/>
              <w:rPr>
                <w:noProof/>
              </w:rPr>
            </w:pPr>
            <w:r>
              <w:rPr>
                <w:rFonts w:ascii="Calibri" w:hAnsi="Calibri" w:cs="Calibri"/>
                <w:b/>
                <w:bCs/>
                <w:noProof/>
                <w:color w:val="000000"/>
              </w:rPr>
              <w:t>3 403.8</w:t>
            </w:r>
          </w:p>
        </w:tc>
      </w:tr>
    </w:tbl>
    <w:p w14:paraId="7E50DE33" w14:textId="77777777" w:rsidR="00647AA9" w:rsidRPr="002A4508" w:rsidRDefault="00647AA9" w:rsidP="00647AA9">
      <w:pPr>
        <w:tabs>
          <w:tab w:val="left" w:pos="6793"/>
        </w:tabs>
        <w:rPr>
          <w:noProof/>
          <w:sz w:val="18"/>
          <w:szCs w:val="18"/>
          <w:lang w:val="en-IE"/>
        </w:rPr>
      </w:pPr>
      <w:r w:rsidRPr="002A4508">
        <w:rPr>
          <w:noProof/>
          <w:sz w:val="18"/>
          <w:szCs w:val="18"/>
          <w:lang w:val="en-IE"/>
        </w:rPr>
        <w:t>(*) Only Article</w:t>
      </w:r>
      <w:r w:rsidRPr="002A4508">
        <w:rPr>
          <w:rFonts w:ascii="Calibri" w:hAnsi="Calibri" w:cs="Calibri"/>
          <w:noProof/>
          <w:sz w:val="18"/>
          <w:szCs w:val="18"/>
          <w:lang w:val="en-IE"/>
        </w:rPr>
        <w:t> </w:t>
      </w:r>
      <w:r w:rsidRPr="002A4508">
        <w:rPr>
          <w:noProof/>
          <w:sz w:val="18"/>
          <w:szCs w:val="18"/>
          <w:lang w:val="en-IE"/>
        </w:rPr>
        <w:t xml:space="preserve">15(3) of the </w:t>
      </w:r>
      <w:r w:rsidRPr="00045449">
        <w:rPr>
          <w:noProof/>
          <w:sz w:val="18"/>
          <w:szCs w:val="18"/>
          <w:lang w:val="en-IE"/>
        </w:rPr>
        <w:t>f</w:t>
      </w:r>
      <w:r w:rsidRPr="002A4508">
        <w:rPr>
          <w:noProof/>
          <w:sz w:val="18"/>
          <w:szCs w:val="18"/>
          <w:lang w:val="en-IE"/>
        </w:rPr>
        <w:t xml:space="preserve">inancial </w:t>
      </w:r>
      <w:r w:rsidRPr="00045449">
        <w:rPr>
          <w:noProof/>
          <w:sz w:val="18"/>
          <w:szCs w:val="18"/>
          <w:lang w:val="en-IE"/>
        </w:rPr>
        <w:t>r</w:t>
      </w:r>
      <w:r w:rsidRPr="002A4508">
        <w:rPr>
          <w:noProof/>
          <w:sz w:val="18"/>
          <w:szCs w:val="18"/>
          <w:lang w:val="en-IE"/>
        </w:rPr>
        <w:t>egulation</w:t>
      </w:r>
      <w:r w:rsidRPr="00045449">
        <w:rPr>
          <w:noProof/>
          <w:sz w:val="18"/>
          <w:szCs w:val="18"/>
          <w:lang w:val="en-IE"/>
        </w:rPr>
        <w:t>.</w:t>
      </w:r>
    </w:p>
    <w:p w14:paraId="7F6951C5" w14:textId="77777777" w:rsidR="00647AA9" w:rsidRPr="0069188E" w:rsidRDefault="00647AA9" w:rsidP="00647AA9">
      <w:pPr>
        <w:rPr>
          <w:noProof/>
          <w:lang w:val="en-IE"/>
        </w:rPr>
      </w:pPr>
    </w:p>
    <w:p w14:paraId="0672ED87" w14:textId="111DDA43" w:rsidR="00647AA9" w:rsidRDefault="00647AA9" w:rsidP="00304A2B">
      <w:pPr>
        <w:pStyle w:val="ppoTableTabletitle"/>
        <w:jc w:val="center"/>
        <w:rPr>
          <w:noProof/>
        </w:rPr>
      </w:pPr>
      <w:r w:rsidRPr="00304A2B">
        <w:rPr>
          <w:noProof/>
          <w:lang w:val="en-IE"/>
        </w:rPr>
        <w:t>Financial programming</w:t>
      </w:r>
      <w:r w:rsidR="004C4764">
        <w:rPr>
          <w:noProof/>
          <w:lang w:val="en-IE"/>
        </w:rPr>
        <w:t>:</w:t>
      </w:r>
      <w:r w:rsidRPr="7D663FD7">
        <w:rPr>
          <w:noProof/>
          <w:color w:val="0078D4"/>
          <w:lang w:val="en-IE"/>
        </w:rPr>
        <w:t xml:space="preserve"> </w:t>
      </w:r>
      <w:r w:rsidRPr="7D663FD7">
        <w:rPr>
          <w:rStyle w:val="ppocharGreentext24pt"/>
          <w:noProof/>
        </w:rPr>
        <w:t>+</w:t>
      </w:r>
      <w:r w:rsidRPr="7D663FD7">
        <w:rPr>
          <w:rStyle w:val="ppocharGreentext24pt"/>
          <w:rFonts w:ascii="Calibri" w:hAnsi="Calibri" w:cs="Calibri"/>
          <w:noProof/>
        </w:rPr>
        <w:t> </w:t>
      </w:r>
      <w:r w:rsidRPr="7D663FD7">
        <w:rPr>
          <w:rStyle w:val="ppocharGreentext24pt"/>
          <w:noProof/>
        </w:rPr>
        <w:t>EUR</w:t>
      </w:r>
      <w:r w:rsidRPr="7D663FD7">
        <w:rPr>
          <w:rStyle w:val="ppocharGreentext24pt"/>
          <w:rFonts w:ascii="Calibri" w:hAnsi="Calibri" w:cs="Calibri"/>
          <w:noProof/>
        </w:rPr>
        <w:t> </w:t>
      </w:r>
      <w:r w:rsidRPr="7D663FD7">
        <w:rPr>
          <w:rStyle w:val="ppocharGreentext24pt"/>
          <w:noProof/>
        </w:rPr>
        <w:t>63.8</w:t>
      </w:r>
      <w:r w:rsidRPr="7D663FD7">
        <w:rPr>
          <w:rStyle w:val="ppocharGreentext24pt"/>
          <w:rFonts w:ascii="Calibri" w:hAnsi="Calibri" w:cs="Calibri"/>
          <w:noProof/>
        </w:rPr>
        <w:t> </w:t>
      </w:r>
      <w:r w:rsidRPr="7D663FD7">
        <w:rPr>
          <w:rStyle w:val="ppocharGreentext24pt"/>
          <w:noProof/>
        </w:rPr>
        <w:t>million (+</w:t>
      </w:r>
      <w:r w:rsidRPr="7D663FD7">
        <w:rPr>
          <w:rStyle w:val="ppocharGreentext24pt"/>
          <w:rFonts w:ascii="Calibri" w:hAnsi="Calibri" w:cs="Calibri"/>
          <w:noProof/>
        </w:rPr>
        <w:t> </w:t>
      </w:r>
      <w:r w:rsidRPr="7D663FD7">
        <w:rPr>
          <w:rStyle w:val="ppocharGreentext24pt"/>
          <w:noProof/>
        </w:rPr>
        <w:t>5%)</w:t>
      </w:r>
      <w:r w:rsidRPr="7D663FD7">
        <w:rPr>
          <w:noProof/>
          <w:lang w:val="en-IE"/>
        </w:rPr>
        <w:t xml:space="preserve"> compared to the legal basis</w:t>
      </w:r>
    </w:p>
    <w:p w14:paraId="020F0A5F" w14:textId="77777777" w:rsidR="00647AA9" w:rsidRPr="00040D99" w:rsidRDefault="00647AA9" w:rsidP="00647AA9">
      <w:pPr>
        <w:pStyle w:val="ppoTableTabletitle"/>
        <w:rPr>
          <w:b/>
          <w:noProof/>
        </w:rPr>
      </w:pPr>
      <w:r w:rsidRPr="00040D99">
        <w:rPr>
          <w:noProof/>
        </w:rPr>
        <w:t>Cumulative impleme</w:t>
      </w:r>
      <w:r>
        <w:rPr>
          <w:noProof/>
        </w:rPr>
        <w:t xml:space="preserve">ntation rate at the end of 2021 </w:t>
      </w:r>
      <w:r w:rsidRPr="00045449">
        <w:rPr>
          <w:noProof/>
          <w:lang w:val="en-IE"/>
        </w:rPr>
        <w:t>(million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647AA9" w:rsidRPr="00040D99" w14:paraId="2DD08203" w14:textId="77777777" w:rsidTr="00B202C2">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160D8614" w14:textId="77777777" w:rsidR="00647AA9" w:rsidRPr="00807AC3" w:rsidRDefault="00647AA9" w:rsidP="00B202C2">
            <w:pPr>
              <w:rPr>
                <w:noProof/>
              </w:rPr>
            </w:pPr>
          </w:p>
        </w:tc>
        <w:tc>
          <w:tcPr>
            <w:tcW w:w="2410" w:type="dxa"/>
          </w:tcPr>
          <w:p w14:paraId="1FDD5D26" w14:textId="77777777" w:rsidR="00647AA9" w:rsidRPr="00807AC3" w:rsidRDefault="00647AA9" w:rsidP="00B202C2">
            <w:pPr>
              <w:cnfStyle w:val="100000000000" w:firstRow="1" w:lastRow="0" w:firstColumn="0" w:lastColumn="0" w:oddVBand="0" w:evenVBand="0" w:oddHBand="0" w:evenHBand="0" w:firstRowFirstColumn="0" w:firstRowLastColumn="0" w:lastRowFirstColumn="0" w:lastRowLastColumn="0"/>
              <w:rPr>
                <w:noProof/>
              </w:rPr>
            </w:pPr>
            <w:r w:rsidRPr="00807AC3">
              <w:rPr>
                <w:noProof/>
              </w:rPr>
              <w:t>Implementation</w:t>
            </w:r>
          </w:p>
        </w:tc>
        <w:tc>
          <w:tcPr>
            <w:tcW w:w="2410" w:type="dxa"/>
          </w:tcPr>
          <w:p w14:paraId="0A4B47E9" w14:textId="4EE7CDC9" w:rsidR="00647AA9" w:rsidRPr="00807AC3" w:rsidRDefault="00A84801" w:rsidP="00B202C2">
            <w:pPr>
              <w:cnfStyle w:val="100000000000" w:firstRow="1" w:lastRow="0" w:firstColumn="0" w:lastColumn="0" w:oddVBand="0" w:evenVBand="0" w:oddHBand="0" w:evenHBand="0" w:firstRowFirstColumn="0" w:firstRowLastColumn="0" w:lastRowFirstColumn="0" w:lastRowLastColumn="0"/>
              <w:rPr>
                <w:noProof/>
              </w:rPr>
            </w:pPr>
            <w:r>
              <w:rPr>
                <w:noProof/>
              </w:rPr>
              <w:t xml:space="preserve">2021-2027 </w:t>
            </w:r>
            <w:r w:rsidR="00647AA9" w:rsidRPr="00807AC3">
              <w:rPr>
                <w:noProof/>
              </w:rPr>
              <w:t>Budget</w:t>
            </w:r>
          </w:p>
        </w:tc>
        <w:tc>
          <w:tcPr>
            <w:tcW w:w="2410" w:type="dxa"/>
          </w:tcPr>
          <w:p w14:paraId="0512659A" w14:textId="77777777" w:rsidR="00647AA9" w:rsidRPr="00807AC3" w:rsidRDefault="00647AA9" w:rsidP="00B202C2">
            <w:pPr>
              <w:cnfStyle w:val="100000000000" w:firstRow="1" w:lastRow="0" w:firstColumn="0" w:lastColumn="0" w:oddVBand="0" w:evenVBand="0" w:oddHBand="0" w:evenHBand="0" w:firstRowFirstColumn="0" w:firstRowLastColumn="0" w:lastRowFirstColumn="0" w:lastRowLastColumn="0"/>
              <w:rPr>
                <w:noProof/>
              </w:rPr>
            </w:pPr>
            <w:r w:rsidRPr="00807AC3">
              <w:rPr>
                <w:noProof/>
              </w:rPr>
              <w:t>Implementation rate</w:t>
            </w:r>
          </w:p>
        </w:tc>
      </w:tr>
      <w:tr w:rsidR="00647AA9" w:rsidRPr="00040D99" w14:paraId="302C9176"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3318885B" w14:textId="77777777" w:rsidR="00647AA9" w:rsidRPr="00807AC3" w:rsidRDefault="00647AA9" w:rsidP="00B202C2">
            <w:pPr>
              <w:jc w:val="center"/>
              <w:rPr>
                <w:noProof/>
              </w:rPr>
            </w:pPr>
            <w:r w:rsidRPr="00807AC3">
              <w:rPr>
                <w:noProof/>
              </w:rPr>
              <w:t>Commitment</w:t>
            </w:r>
            <w:r>
              <w:rPr>
                <w:noProof/>
              </w:rPr>
              <w:t>s</w:t>
            </w:r>
          </w:p>
        </w:tc>
        <w:tc>
          <w:tcPr>
            <w:tcW w:w="2410" w:type="dxa"/>
          </w:tcPr>
          <w:tbl>
            <w:tblPr>
              <w:tblStyle w:val="TableGrid"/>
              <w:tblW w:w="0" w:type="auto"/>
              <w:tblLook w:val="06A0" w:firstRow="1" w:lastRow="0" w:firstColumn="1" w:lastColumn="0" w:noHBand="1" w:noVBand="1"/>
            </w:tblPr>
            <w:tblGrid>
              <w:gridCol w:w="2194"/>
            </w:tblGrid>
            <w:tr w:rsidR="00647AA9" w14:paraId="10800FAB" w14:textId="77777777" w:rsidTr="00B202C2">
              <w:trPr>
                <w:trHeight w:val="285"/>
              </w:trPr>
              <w:tc>
                <w:tcPr>
                  <w:tcW w:w="2290" w:type="dxa"/>
                  <w:tcBorders>
                    <w:top w:val="nil"/>
                    <w:left w:val="nil"/>
                    <w:bottom w:val="nil"/>
                    <w:right w:val="nil"/>
                  </w:tcBorders>
                  <w:vAlign w:val="bottom"/>
                </w:tcPr>
                <w:p w14:paraId="4F33C7AD" w14:textId="77777777" w:rsidR="00647AA9" w:rsidRDefault="00647AA9" w:rsidP="00B202C2">
                  <w:pPr>
                    <w:jc w:val="right"/>
                    <w:rPr>
                      <w:noProof/>
                    </w:rPr>
                  </w:pPr>
                  <w:r w:rsidRPr="67608C9D">
                    <w:rPr>
                      <w:rFonts w:ascii="Calibri" w:hAnsi="Calibri" w:cs="Calibri"/>
                      <w:noProof/>
                      <w:color w:val="000000"/>
                    </w:rPr>
                    <w:t>332</w:t>
                  </w:r>
                  <w:r>
                    <w:rPr>
                      <w:rFonts w:ascii="Calibri" w:hAnsi="Calibri" w:cs="Calibri"/>
                      <w:noProof/>
                      <w:color w:val="000000"/>
                    </w:rPr>
                    <w:t>.1</w:t>
                  </w:r>
                </w:p>
              </w:tc>
            </w:tr>
          </w:tbl>
          <w:p w14:paraId="1BE5C21B" w14:textId="77777777" w:rsidR="00647AA9" w:rsidRPr="00807AC3" w:rsidRDefault="00647AA9"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647AA9" w14:paraId="31829E90" w14:textId="77777777" w:rsidTr="00B202C2">
              <w:trPr>
                <w:trHeight w:val="285"/>
              </w:trPr>
              <w:tc>
                <w:tcPr>
                  <w:tcW w:w="2290" w:type="dxa"/>
                  <w:tcBorders>
                    <w:top w:val="nil"/>
                    <w:left w:val="nil"/>
                    <w:bottom w:val="nil"/>
                    <w:right w:val="nil"/>
                  </w:tcBorders>
                  <w:vAlign w:val="bottom"/>
                </w:tcPr>
                <w:p w14:paraId="58543503" w14:textId="4CFBBFB6" w:rsidR="00647AA9" w:rsidRDefault="00647AA9" w:rsidP="00B202C2">
                  <w:pPr>
                    <w:jc w:val="right"/>
                    <w:rPr>
                      <w:noProof/>
                    </w:rPr>
                  </w:pPr>
                  <w:r>
                    <w:rPr>
                      <w:rFonts w:ascii="Calibri" w:hAnsi="Calibri" w:cs="Calibri"/>
                      <w:b/>
                      <w:bCs/>
                      <w:noProof/>
                      <w:color w:val="000000"/>
                    </w:rPr>
                    <w:t>3 403.8</w:t>
                  </w:r>
                </w:p>
              </w:tc>
            </w:tr>
          </w:tbl>
          <w:p w14:paraId="7B09D86B" w14:textId="77777777" w:rsidR="00647AA9" w:rsidRPr="00807AC3" w:rsidRDefault="00647AA9"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647AA9" w14:paraId="4BF37E56" w14:textId="77777777" w:rsidTr="00B202C2">
              <w:trPr>
                <w:trHeight w:val="285"/>
              </w:trPr>
              <w:tc>
                <w:tcPr>
                  <w:tcW w:w="2290" w:type="dxa"/>
                  <w:tcBorders>
                    <w:top w:val="nil"/>
                    <w:left w:val="nil"/>
                    <w:bottom w:val="nil"/>
                    <w:right w:val="nil"/>
                  </w:tcBorders>
                  <w:vAlign w:val="bottom"/>
                </w:tcPr>
                <w:p w14:paraId="43C08678" w14:textId="70F67790" w:rsidR="00647AA9" w:rsidRDefault="00647AA9" w:rsidP="00B202C2">
                  <w:pPr>
                    <w:jc w:val="right"/>
                    <w:rPr>
                      <w:noProof/>
                    </w:rPr>
                  </w:pPr>
                  <w:r>
                    <w:rPr>
                      <w:rFonts w:ascii="Calibri" w:hAnsi="Calibri" w:cs="Calibri"/>
                      <w:noProof/>
                      <w:color w:val="000000"/>
                    </w:rPr>
                    <w:t>10</w:t>
                  </w:r>
                  <w:r w:rsidRPr="67608C9D">
                    <w:rPr>
                      <w:rFonts w:ascii="Calibri" w:hAnsi="Calibri" w:cs="Calibri"/>
                      <w:noProof/>
                      <w:color w:val="000000"/>
                    </w:rPr>
                    <w:t>%</w:t>
                  </w:r>
                </w:p>
              </w:tc>
            </w:tr>
          </w:tbl>
          <w:p w14:paraId="574293CA" w14:textId="77777777" w:rsidR="00647AA9" w:rsidRPr="00807AC3" w:rsidRDefault="00647AA9" w:rsidP="00B202C2">
            <w:pPr>
              <w:jc w:val="center"/>
              <w:cnfStyle w:val="000000000000" w:firstRow="0" w:lastRow="0" w:firstColumn="0" w:lastColumn="0" w:oddVBand="0" w:evenVBand="0" w:oddHBand="0" w:evenHBand="0" w:firstRowFirstColumn="0" w:firstRowLastColumn="0" w:lastRowFirstColumn="0" w:lastRowLastColumn="0"/>
              <w:rPr>
                <w:noProof/>
              </w:rPr>
            </w:pPr>
          </w:p>
        </w:tc>
      </w:tr>
      <w:tr w:rsidR="00647AA9" w:rsidRPr="00040D99" w14:paraId="468A85D2"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38D536FB" w14:textId="77777777" w:rsidR="00647AA9" w:rsidRPr="00807AC3" w:rsidRDefault="00647AA9" w:rsidP="00B202C2">
            <w:pPr>
              <w:jc w:val="center"/>
              <w:rPr>
                <w:noProof/>
              </w:rPr>
            </w:pPr>
            <w:r w:rsidRPr="00807AC3">
              <w:rPr>
                <w:noProof/>
              </w:rPr>
              <w:t>Payments</w:t>
            </w:r>
          </w:p>
        </w:tc>
        <w:tc>
          <w:tcPr>
            <w:tcW w:w="2410" w:type="dxa"/>
          </w:tcPr>
          <w:tbl>
            <w:tblPr>
              <w:tblStyle w:val="TableGrid"/>
              <w:tblW w:w="0" w:type="auto"/>
              <w:tblLook w:val="06A0" w:firstRow="1" w:lastRow="0" w:firstColumn="1" w:lastColumn="0" w:noHBand="1" w:noVBand="1"/>
            </w:tblPr>
            <w:tblGrid>
              <w:gridCol w:w="2194"/>
            </w:tblGrid>
            <w:tr w:rsidR="00647AA9" w14:paraId="4B9A6121" w14:textId="77777777" w:rsidTr="00B202C2">
              <w:trPr>
                <w:trHeight w:val="285"/>
              </w:trPr>
              <w:tc>
                <w:tcPr>
                  <w:tcW w:w="2290" w:type="dxa"/>
                  <w:tcBorders>
                    <w:top w:val="nil"/>
                    <w:left w:val="nil"/>
                    <w:bottom w:val="nil"/>
                    <w:right w:val="nil"/>
                  </w:tcBorders>
                  <w:vAlign w:val="bottom"/>
                </w:tcPr>
                <w:p w14:paraId="66AB103A" w14:textId="77777777" w:rsidR="00647AA9" w:rsidRDefault="00647AA9" w:rsidP="00B202C2">
                  <w:pPr>
                    <w:jc w:val="right"/>
                    <w:rPr>
                      <w:noProof/>
                    </w:rPr>
                  </w:pPr>
                  <w:r w:rsidRPr="67608C9D">
                    <w:rPr>
                      <w:rFonts w:ascii="Calibri" w:hAnsi="Calibri" w:cs="Calibri"/>
                      <w:noProof/>
                      <w:color w:val="000000"/>
                    </w:rPr>
                    <w:t>45</w:t>
                  </w:r>
                  <w:r>
                    <w:rPr>
                      <w:rFonts w:ascii="Calibri" w:hAnsi="Calibri" w:cs="Calibri"/>
                      <w:noProof/>
                      <w:color w:val="000000"/>
                    </w:rPr>
                    <w:t>.4</w:t>
                  </w:r>
                </w:p>
              </w:tc>
            </w:tr>
          </w:tbl>
          <w:p w14:paraId="7C8D0394" w14:textId="77777777" w:rsidR="00647AA9" w:rsidRPr="00807AC3" w:rsidRDefault="00647AA9"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48CF47BD" w14:textId="77777777" w:rsidR="00647AA9" w:rsidRPr="00807AC3" w:rsidRDefault="00647AA9"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647AA9" w14:paraId="43B2198C" w14:textId="77777777" w:rsidTr="00B202C2">
              <w:trPr>
                <w:trHeight w:val="285"/>
              </w:trPr>
              <w:tc>
                <w:tcPr>
                  <w:tcW w:w="2235" w:type="dxa"/>
                  <w:tcBorders>
                    <w:top w:val="nil"/>
                    <w:left w:val="nil"/>
                    <w:bottom w:val="nil"/>
                    <w:right w:val="nil"/>
                  </w:tcBorders>
                  <w:vAlign w:val="bottom"/>
                </w:tcPr>
                <w:p w14:paraId="53000AFB" w14:textId="77777777" w:rsidR="00647AA9" w:rsidRDefault="00647AA9" w:rsidP="00B202C2">
                  <w:pPr>
                    <w:jc w:val="right"/>
                    <w:rPr>
                      <w:noProof/>
                    </w:rPr>
                  </w:pPr>
                  <w:r>
                    <w:rPr>
                      <w:rFonts w:ascii="Calibri" w:hAnsi="Calibri" w:cs="Calibri"/>
                      <w:noProof/>
                      <w:color w:val="000000"/>
                    </w:rPr>
                    <w:t>1</w:t>
                  </w:r>
                  <w:r w:rsidRPr="67608C9D">
                    <w:rPr>
                      <w:rFonts w:ascii="Calibri" w:hAnsi="Calibri" w:cs="Calibri"/>
                      <w:noProof/>
                      <w:color w:val="000000"/>
                    </w:rPr>
                    <w:t>%</w:t>
                  </w:r>
                </w:p>
              </w:tc>
            </w:tr>
          </w:tbl>
          <w:p w14:paraId="228AEBF3" w14:textId="77777777" w:rsidR="00647AA9" w:rsidRPr="00807AC3" w:rsidRDefault="00647AA9" w:rsidP="00B202C2">
            <w:pPr>
              <w:jc w:val="center"/>
              <w:cnfStyle w:val="000000000000" w:firstRow="0" w:lastRow="0" w:firstColumn="0" w:lastColumn="0" w:oddVBand="0" w:evenVBand="0" w:oddHBand="0" w:evenHBand="0" w:firstRowFirstColumn="0" w:firstRowLastColumn="0" w:lastRowFirstColumn="0" w:lastRowLastColumn="0"/>
              <w:rPr>
                <w:noProof/>
              </w:rPr>
            </w:pPr>
          </w:p>
        </w:tc>
      </w:tr>
    </w:tbl>
    <w:p w14:paraId="4B3C9A23" w14:textId="77777777" w:rsidR="00647AA9" w:rsidRPr="00040D99" w:rsidRDefault="00647AA9" w:rsidP="00647AA9">
      <w:pPr>
        <w:pStyle w:val="ppoTableTabletitle"/>
        <w:rPr>
          <w:b/>
          <w:noProof/>
        </w:rPr>
      </w:pPr>
      <w:r w:rsidRPr="00040D99">
        <w:rPr>
          <w:noProof/>
        </w:rPr>
        <w:t>Voted budget implementation in 2021</w:t>
      </w:r>
      <w:r>
        <w:rPr>
          <w:noProof/>
        </w:rPr>
        <w:t xml:space="preserve"> </w:t>
      </w:r>
      <w:r w:rsidRPr="00045449">
        <w:rPr>
          <w:noProof/>
          <w:lang w:val="en-IE"/>
        </w:rPr>
        <w:t>(million EUR):</w:t>
      </w:r>
    </w:p>
    <w:tbl>
      <w:tblPr>
        <w:tblStyle w:val="PPO2021"/>
        <w:tblW w:w="3683" w:type="pct"/>
        <w:tblInd w:w="79" w:type="dxa"/>
        <w:tblLook w:val="04A0" w:firstRow="1" w:lastRow="0" w:firstColumn="1" w:lastColumn="0" w:noHBand="0" w:noVBand="1"/>
      </w:tblPr>
      <w:tblGrid>
        <w:gridCol w:w="2419"/>
        <w:gridCol w:w="2419"/>
        <w:gridCol w:w="2420"/>
      </w:tblGrid>
      <w:tr w:rsidR="00647AA9" w:rsidRPr="00040D99" w14:paraId="63B5AF3B" w14:textId="77777777" w:rsidTr="00B202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6EF20A2D" w14:textId="77777777" w:rsidR="00647AA9" w:rsidRPr="0017374C" w:rsidRDefault="00647AA9" w:rsidP="00B202C2">
            <w:pPr>
              <w:rPr>
                <w:noProof/>
              </w:rPr>
            </w:pPr>
          </w:p>
        </w:tc>
        <w:tc>
          <w:tcPr>
            <w:tcW w:w="2419" w:type="dxa"/>
          </w:tcPr>
          <w:p w14:paraId="567D5BE7" w14:textId="77777777" w:rsidR="00647AA9" w:rsidRPr="0017374C" w:rsidRDefault="00647AA9" w:rsidP="00B202C2">
            <w:pPr>
              <w:cnfStyle w:val="100000000000" w:firstRow="1" w:lastRow="0" w:firstColumn="0" w:lastColumn="0" w:oddVBand="0" w:evenVBand="0" w:oddHBand="0" w:evenHBand="0" w:firstRowFirstColumn="0" w:firstRowLastColumn="0" w:lastRowFirstColumn="0" w:lastRowLastColumn="0"/>
              <w:rPr>
                <w:noProof/>
              </w:rPr>
            </w:pPr>
            <w:r w:rsidRPr="0017374C">
              <w:rPr>
                <w:noProof/>
              </w:rPr>
              <w:t>Voted budget implementation</w:t>
            </w:r>
          </w:p>
        </w:tc>
        <w:tc>
          <w:tcPr>
            <w:tcW w:w="2420" w:type="dxa"/>
          </w:tcPr>
          <w:p w14:paraId="223B9AFD" w14:textId="77777777" w:rsidR="00647AA9" w:rsidRPr="0017374C" w:rsidRDefault="00647AA9" w:rsidP="00B202C2">
            <w:pPr>
              <w:cnfStyle w:val="100000000000" w:firstRow="1" w:lastRow="0" w:firstColumn="0" w:lastColumn="0" w:oddVBand="0" w:evenVBand="0" w:oddHBand="0" w:evenHBand="0" w:firstRowFirstColumn="0" w:firstRowLastColumn="0" w:lastRowFirstColumn="0" w:lastRowLastColumn="0"/>
              <w:rPr>
                <w:noProof/>
              </w:rPr>
            </w:pPr>
            <w:r w:rsidRPr="0017374C">
              <w:rPr>
                <w:noProof/>
              </w:rPr>
              <w:t>Initial voted budget</w:t>
            </w:r>
          </w:p>
        </w:tc>
      </w:tr>
      <w:tr w:rsidR="00647AA9" w:rsidRPr="00040D99" w14:paraId="7B24BF58" w14:textId="77777777" w:rsidTr="00B20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4C1043AC" w14:textId="77777777" w:rsidR="00647AA9" w:rsidRPr="0017374C" w:rsidRDefault="00647AA9" w:rsidP="00B202C2">
            <w:pPr>
              <w:jc w:val="center"/>
              <w:rPr>
                <w:noProof/>
              </w:rPr>
            </w:pPr>
            <w:r w:rsidRPr="0017374C">
              <w:rPr>
                <w:noProof/>
              </w:rPr>
              <w:t>Commitments</w:t>
            </w:r>
          </w:p>
        </w:tc>
        <w:tc>
          <w:tcPr>
            <w:tcW w:w="2419" w:type="dxa"/>
          </w:tcPr>
          <w:p w14:paraId="27010423" w14:textId="77777777" w:rsidR="00647AA9" w:rsidRPr="0017374C" w:rsidRDefault="00647AA9" w:rsidP="00B202C2">
            <w:pPr>
              <w:jc w:val="right"/>
              <w:cnfStyle w:val="000000100000" w:firstRow="0" w:lastRow="0" w:firstColumn="0" w:lastColumn="0" w:oddVBand="0" w:evenVBand="0" w:oddHBand="1" w:evenHBand="0" w:firstRowFirstColumn="0" w:firstRowLastColumn="0" w:lastRowFirstColumn="0" w:lastRowLastColumn="0"/>
              <w:rPr>
                <w:noProof/>
              </w:rPr>
            </w:pPr>
            <w:r w:rsidRPr="00857059">
              <w:rPr>
                <w:noProof/>
              </w:rPr>
              <w:t>182</w:t>
            </w:r>
            <w:r>
              <w:rPr>
                <w:noProof/>
              </w:rPr>
              <w:t>.</w:t>
            </w:r>
            <w:r w:rsidRPr="00857059">
              <w:rPr>
                <w:noProof/>
              </w:rPr>
              <w:t>6</w:t>
            </w:r>
          </w:p>
        </w:tc>
        <w:tc>
          <w:tcPr>
            <w:tcW w:w="2420" w:type="dxa"/>
          </w:tcPr>
          <w:p w14:paraId="6D0886B5" w14:textId="77777777" w:rsidR="00647AA9" w:rsidRPr="0017374C" w:rsidRDefault="00647AA9" w:rsidP="00B202C2">
            <w:pPr>
              <w:jc w:val="right"/>
              <w:cnfStyle w:val="000000100000" w:firstRow="0" w:lastRow="0" w:firstColumn="0" w:lastColumn="0" w:oddVBand="0" w:evenVBand="0" w:oddHBand="1" w:evenHBand="0" w:firstRowFirstColumn="0" w:firstRowLastColumn="0" w:lastRowFirstColumn="0" w:lastRowLastColumn="0"/>
              <w:rPr>
                <w:noProof/>
              </w:rPr>
            </w:pPr>
            <w:r w:rsidRPr="00857059">
              <w:rPr>
                <w:noProof/>
              </w:rPr>
              <w:t>90</w:t>
            </w:r>
            <w:r>
              <w:rPr>
                <w:noProof/>
              </w:rPr>
              <w:t>.</w:t>
            </w:r>
            <w:r w:rsidRPr="00857059">
              <w:rPr>
                <w:noProof/>
              </w:rPr>
              <w:t>2</w:t>
            </w:r>
          </w:p>
        </w:tc>
      </w:tr>
      <w:tr w:rsidR="00647AA9" w:rsidRPr="00040D99" w14:paraId="0B2063A8" w14:textId="77777777" w:rsidTr="00B20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4BCD7AE5" w14:textId="77777777" w:rsidR="00647AA9" w:rsidRPr="0017374C" w:rsidRDefault="00647AA9" w:rsidP="00B202C2">
            <w:pPr>
              <w:jc w:val="center"/>
              <w:rPr>
                <w:noProof/>
              </w:rPr>
            </w:pPr>
            <w:r w:rsidRPr="0017374C">
              <w:rPr>
                <w:noProof/>
              </w:rPr>
              <w:t>Payments</w:t>
            </w:r>
          </w:p>
        </w:tc>
        <w:tc>
          <w:tcPr>
            <w:tcW w:w="2419" w:type="dxa"/>
          </w:tcPr>
          <w:p w14:paraId="24F07AA2" w14:textId="77777777" w:rsidR="00647AA9" w:rsidRPr="0017374C" w:rsidRDefault="00647AA9" w:rsidP="00B202C2">
            <w:pPr>
              <w:jc w:val="right"/>
              <w:cnfStyle w:val="000000010000" w:firstRow="0" w:lastRow="0" w:firstColumn="0" w:lastColumn="0" w:oddVBand="0" w:evenVBand="0" w:oddHBand="0" w:evenHBand="1" w:firstRowFirstColumn="0" w:firstRowLastColumn="0" w:lastRowFirstColumn="0" w:lastRowLastColumn="0"/>
              <w:rPr>
                <w:noProof/>
              </w:rPr>
            </w:pPr>
            <w:r w:rsidRPr="00513118">
              <w:rPr>
                <w:noProof/>
              </w:rPr>
              <w:t>38</w:t>
            </w:r>
            <w:r>
              <w:rPr>
                <w:noProof/>
              </w:rPr>
              <w:t>.0</w:t>
            </w:r>
          </w:p>
        </w:tc>
        <w:tc>
          <w:tcPr>
            <w:tcW w:w="2420" w:type="dxa"/>
          </w:tcPr>
          <w:p w14:paraId="389D71B8" w14:textId="77777777" w:rsidR="00647AA9" w:rsidRPr="0017374C" w:rsidRDefault="00647AA9" w:rsidP="00B202C2">
            <w:pPr>
              <w:jc w:val="right"/>
              <w:cnfStyle w:val="000000010000" w:firstRow="0" w:lastRow="0" w:firstColumn="0" w:lastColumn="0" w:oddVBand="0" w:evenVBand="0" w:oddHBand="0" w:evenHBand="1" w:firstRowFirstColumn="0" w:firstRowLastColumn="0" w:lastRowFirstColumn="0" w:lastRowLastColumn="0"/>
              <w:rPr>
                <w:noProof/>
              </w:rPr>
            </w:pPr>
            <w:r w:rsidRPr="00513118">
              <w:rPr>
                <w:noProof/>
              </w:rPr>
              <w:t>25</w:t>
            </w:r>
            <w:r>
              <w:rPr>
                <w:noProof/>
              </w:rPr>
              <w:t>.6</w:t>
            </w:r>
          </w:p>
        </w:tc>
      </w:tr>
    </w:tbl>
    <w:p w14:paraId="749BE644" w14:textId="77777777" w:rsidR="00647AA9" w:rsidRDefault="00647AA9" w:rsidP="00647AA9">
      <w:pPr>
        <w:pStyle w:val="ppoListHyphened-L1"/>
        <w:rPr>
          <w:noProof/>
        </w:rPr>
      </w:pPr>
      <w:r>
        <w:rPr>
          <w:noProof/>
        </w:rPr>
        <w:t>In 2021, the initial budget of the programme was EUR</w:t>
      </w:r>
      <w:r>
        <w:rPr>
          <w:rFonts w:ascii="Calibri" w:hAnsi="Calibri" w:cs="Calibri"/>
          <w:noProof/>
        </w:rPr>
        <w:t> </w:t>
      </w:r>
      <w:r>
        <w:rPr>
          <w:noProof/>
        </w:rPr>
        <w:t>768.8</w:t>
      </w:r>
      <w:r>
        <w:rPr>
          <w:rFonts w:ascii="Calibri" w:hAnsi="Calibri" w:cs="Calibri"/>
          <w:noProof/>
        </w:rPr>
        <w:t> </w:t>
      </w:r>
      <w:r>
        <w:rPr>
          <w:noProof/>
        </w:rPr>
        <w:t>million and the final budget stands at EUR</w:t>
      </w:r>
      <w:r>
        <w:rPr>
          <w:rFonts w:ascii="Calibri" w:hAnsi="Calibri" w:cs="Calibri"/>
          <w:noProof/>
        </w:rPr>
        <w:t> </w:t>
      </w:r>
      <w:r>
        <w:rPr>
          <w:noProof/>
        </w:rPr>
        <w:t>904.4</w:t>
      </w:r>
      <w:r>
        <w:rPr>
          <w:rFonts w:ascii="Calibri" w:hAnsi="Calibri" w:cs="Calibri"/>
          <w:noProof/>
        </w:rPr>
        <w:t> </w:t>
      </w:r>
      <w:r>
        <w:rPr>
          <w:noProof/>
        </w:rPr>
        <w:t>million, with EUR</w:t>
      </w:r>
      <w:r>
        <w:rPr>
          <w:rFonts w:ascii="Calibri" w:hAnsi="Calibri" w:cs="Calibri"/>
          <w:noProof/>
        </w:rPr>
        <w:t> </w:t>
      </w:r>
      <w:r>
        <w:rPr>
          <w:noProof/>
        </w:rPr>
        <w:t>225.8</w:t>
      </w:r>
      <w:r>
        <w:rPr>
          <w:rFonts w:ascii="Calibri" w:hAnsi="Calibri" w:cs="Calibri"/>
          <w:noProof/>
        </w:rPr>
        <w:t> </w:t>
      </w:r>
      <w:r>
        <w:rPr>
          <w:noProof/>
        </w:rPr>
        <w:t>million on the multiannual financial framework strand and EUR</w:t>
      </w:r>
      <w:r>
        <w:rPr>
          <w:rFonts w:ascii="Calibri" w:hAnsi="Calibri" w:cs="Calibri"/>
          <w:noProof/>
        </w:rPr>
        <w:t> </w:t>
      </w:r>
      <w:r>
        <w:rPr>
          <w:noProof/>
        </w:rPr>
        <w:t>678.6</w:t>
      </w:r>
      <w:r>
        <w:rPr>
          <w:rFonts w:ascii="Calibri" w:hAnsi="Calibri" w:cs="Calibri"/>
          <w:noProof/>
        </w:rPr>
        <w:t> </w:t>
      </w:r>
      <w:r>
        <w:rPr>
          <w:noProof/>
        </w:rPr>
        <w:t xml:space="preserve">million on the </w:t>
      </w:r>
      <w:r w:rsidRPr="00807AC3">
        <w:rPr>
          <w:noProof/>
        </w:rPr>
        <w:t>NextGenerationEU</w:t>
      </w:r>
      <w:r>
        <w:rPr>
          <w:noProof/>
        </w:rPr>
        <w:t xml:space="preserve"> strand. </w:t>
      </w:r>
    </w:p>
    <w:p w14:paraId="1BDDAE6C" w14:textId="77777777" w:rsidR="00647AA9" w:rsidRDefault="00647AA9" w:rsidP="00647AA9">
      <w:pPr>
        <w:pStyle w:val="ppoListHyphened-L1"/>
        <w:rPr>
          <w:noProof/>
        </w:rPr>
      </w:pPr>
      <w:r>
        <w:rPr>
          <w:noProof/>
        </w:rPr>
        <w:t>The crisis in Afghanistan and the forest fires triggered a reinforcement of EUR</w:t>
      </w:r>
      <w:r>
        <w:rPr>
          <w:rFonts w:ascii="Calibri" w:hAnsi="Calibri" w:cs="Calibri"/>
          <w:noProof/>
        </w:rPr>
        <w:t> </w:t>
      </w:r>
      <w:r>
        <w:rPr>
          <w:noProof/>
        </w:rPr>
        <w:t>57.8</w:t>
      </w:r>
      <w:r>
        <w:rPr>
          <w:rFonts w:ascii="Calibri" w:hAnsi="Calibri" w:cs="Calibri"/>
          <w:noProof/>
        </w:rPr>
        <w:t> </w:t>
      </w:r>
      <w:r>
        <w:rPr>
          <w:noProof/>
        </w:rPr>
        <w:t>million through an amending budget. The UCPM budget has also benefited from a frontload within the multiannual financial framework profile providing an additional EUR</w:t>
      </w:r>
      <w:r>
        <w:rPr>
          <w:rFonts w:ascii="Calibri" w:hAnsi="Calibri" w:cs="Calibri"/>
          <w:noProof/>
        </w:rPr>
        <w:t> </w:t>
      </w:r>
      <w:r>
        <w:rPr>
          <w:noProof/>
        </w:rPr>
        <w:t>34.6</w:t>
      </w:r>
      <w:r>
        <w:rPr>
          <w:rFonts w:ascii="Calibri" w:hAnsi="Calibri" w:cs="Calibri"/>
          <w:noProof/>
        </w:rPr>
        <w:t> </w:t>
      </w:r>
      <w:r>
        <w:rPr>
          <w:noProof/>
        </w:rPr>
        <w:t xml:space="preserve">million. </w:t>
      </w:r>
    </w:p>
    <w:p w14:paraId="2279387B" w14:textId="77777777" w:rsidR="00647AA9" w:rsidRDefault="00647AA9" w:rsidP="00647AA9">
      <w:pPr>
        <w:pStyle w:val="ppoListHyphened-L1"/>
        <w:rPr>
          <w:noProof/>
        </w:rPr>
      </w:pPr>
      <w:r>
        <w:rPr>
          <w:noProof/>
        </w:rPr>
        <w:t>The budget under the multiannual financial framework strand has been implemented in full (EUR</w:t>
      </w:r>
      <w:r>
        <w:rPr>
          <w:rFonts w:ascii="Calibri" w:hAnsi="Calibri" w:cs="Calibri"/>
          <w:noProof/>
        </w:rPr>
        <w:t> </w:t>
      </w:r>
      <w:r>
        <w:rPr>
          <w:noProof/>
        </w:rPr>
        <w:t>224.5</w:t>
      </w:r>
      <w:r>
        <w:rPr>
          <w:rFonts w:ascii="Calibri" w:hAnsi="Calibri" w:cs="Calibri"/>
          <w:noProof/>
        </w:rPr>
        <w:t> </w:t>
      </w:r>
      <w:r>
        <w:rPr>
          <w:noProof/>
        </w:rPr>
        <w:t>million), except for some funds recovered late in 2021 (EUR</w:t>
      </w:r>
      <w:r>
        <w:rPr>
          <w:rFonts w:ascii="Calibri" w:hAnsi="Calibri" w:cs="Calibri"/>
          <w:noProof/>
        </w:rPr>
        <w:t> </w:t>
      </w:r>
      <w:r>
        <w:rPr>
          <w:noProof/>
        </w:rPr>
        <w:t>1.3</w:t>
      </w:r>
      <w:r>
        <w:rPr>
          <w:rFonts w:ascii="Calibri" w:hAnsi="Calibri" w:cs="Calibri"/>
          <w:noProof/>
        </w:rPr>
        <w:t> </w:t>
      </w:r>
      <w:r>
        <w:rPr>
          <w:noProof/>
        </w:rPr>
        <w:t>million).</w:t>
      </w:r>
    </w:p>
    <w:p w14:paraId="1F7898F5" w14:textId="4E0329BA" w:rsidR="00647AA9" w:rsidRDefault="00647AA9" w:rsidP="00647AA9">
      <w:pPr>
        <w:pStyle w:val="ppoListHyphened-L1"/>
        <w:rPr>
          <w:noProof/>
        </w:rPr>
      </w:pPr>
      <w:r>
        <w:rPr>
          <w:noProof/>
        </w:rPr>
        <w:t xml:space="preserve">On the </w:t>
      </w:r>
      <w:r w:rsidRPr="00807AC3">
        <w:rPr>
          <w:noProof/>
        </w:rPr>
        <w:t>NextGenerationEU</w:t>
      </w:r>
      <w:r w:rsidDel="009D4E94">
        <w:rPr>
          <w:noProof/>
        </w:rPr>
        <w:t xml:space="preserve"> </w:t>
      </w:r>
      <w:r>
        <w:rPr>
          <w:noProof/>
        </w:rPr>
        <w:t>strand, the budget execution shows a lower rate (EUR</w:t>
      </w:r>
      <w:r>
        <w:rPr>
          <w:rFonts w:ascii="Calibri" w:hAnsi="Calibri" w:cs="Calibri"/>
          <w:noProof/>
        </w:rPr>
        <w:t> </w:t>
      </w:r>
      <w:r>
        <w:rPr>
          <w:noProof/>
        </w:rPr>
        <w:t>128.5</w:t>
      </w:r>
      <w:r>
        <w:rPr>
          <w:rFonts w:ascii="Calibri" w:hAnsi="Calibri" w:cs="Calibri"/>
          <w:noProof/>
        </w:rPr>
        <w:t> </w:t>
      </w:r>
      <w:r>
        <w:rPr>
          <w:noProof/>
        </w:rPr>
        <w:t>million committed out of EUR</w:t>
      </w:r>
      <w:r>
        <w:rPr>
          <w:rFonts w:ascii="Calibri" w:hAnsi="Calibri" w:cs="Calibri"/>
          <w:noProof/>
        </w:rPr>
        <w:t> </w:t>
      </w:r>
      <w:r>
        <w:rPr>
          <w:noProof/>
        </w:rPr>
        <w:t>678.6</w:t>
      </w:r>
      <w:r>
        <w:rPr>
          <w:rFonts w:ascii="Calibri" w:hAnsi="Calibri" w:cs="Calibri"/>
          <w:noProof/>
        </w:rPr>
        <w:t> </w:t>
      </w:r>
      <w:r>
        <w:rPr>
          <w:noProof/>
        </w:rPr>
        <w:t xml:space="preserve">million) due to the funds being made available only in July and the discussions on the scope requiring substantial adjustments. The remaining </w:t>
      </w:r>
      <w:r w:rsidRPr="00807AC3">
        <w:rPr>
          <w:noProof/>
        </w:rPr>
        <w:t>NextGenerationEU</w:t>
      </w:r>
      <w:r w:rsidDel="009D4E94">
        <w:rPr>
          <w:noProof/>
        </w:rPr>
        <w:t xml:space="preserve"> </w:t>
      </w:r>
      <w:r>
        <w:rPr>
          <w:noProof/>
        </w:rPr>
        <w:t>funds (EUR</w:t>
      </w:r>
      <w:r>
        <w:rPr>
          <w:rFonts w:ascii="Calibri" w:hAnsi="Calibri" w:cs="Calibri"/>
          <w:noProof/>
        </w:rPr>
        <w:t> </w:t>
      </w:r>
      <w:r>
        <w:rPr>
          <w:noProof/>
        </w:rPr>
        <w:t>550.1</w:t>
      </w:r>
      <w:r>
        <w:rPr>
          <w:rFonts w:ascii="Calibri" w:hAnsi="Calibri" w:cs="Calibri"/>
          <w:noProof/>
        </w:rPr>
        <w:t> </w:t>
      </w:r>
      <w:r>
        <w:rPr>
          <w:noProof/>
        </w:rPr>
        <w:t xml:space="preserve">million) can be carried over to the following year, </w:t>
      </w:r>
      <w:bookmarkStart w:id="110" w:name="_Hlk101448168"/>
      <w:r>
        <w:rPr>
          <w:noProof/>
        </w:rPr>
        <w:t>as foreseen in Council Regulation (EU)</w:t>
      </w:r>
      <w:r>
        <w:rPr>
          <w:rFonts w:ascii="Calibri" w:hAnsi="Calibri" w:cs="Calibri"/>
          <w:noProof/>
        </w:rPr>
        <w:t> 2020/2094</w:t>
      </w:r>
      <w:r>
        <w:rPr>
          <w:noProof/>
        </w:rPr>
        <w:t>.</w:t>
      </w:r>
      <w:bookmarkEnd w:id="110"/>
      <w:r>
        <w:rPr>
          <w:noProof/>
        </w:rPr>
        <w:t xml:space="preserve"> In 2021, most appropriations were allocated to the rescE</w:t>
      </w:r>
      <w:r w:rsidR="00C0081A">
        <w:rPr>
          <w:noProof/>
        </w:rPr>
        <w:t>U medical stockpile</w:t>
      </w:r>
      <w:r>
        <w:rPr>
          <w:noProof/>
        </w:rPr>
        <w:t xml:space="preserve">. </w:t>
      </w:r>
    </w:p>
    <w:p w14:paraId="7090B369" w14:textId="77777777" w:rsidR="00647AA9" w:rsidRDefault="00647AA9" w:rsidP="00647AA9">
      <w:pPr>
        <w:pStyle w:val="ppoListHyphened-L1"/>
        <w:rPr>
          <w:noProof/>
        </w:rPr>
      </w:pPr>
      <w:r>
        <w:rPr>
          <w:noProof/>
        </w:rPr>
        <w:t>On the response side, the UCPM was activated an unprecedented 114 times in 2021 for a wide range of disasters, facilitating the delivery of numerous items of critical personal protective and medical equipment</w:t>
      </w:r>
      <w:r>
        <w:rPr>
          <w:rFonts w:ascii="Calibri" w:hAnsi="Calibri" w:cs="Calibri"/>
          <w:noProof/>
        </w:rPr>
        <w:t> –</w:t>
      </w:r>
      <w:r>
        <w:rPr>
          <w:noProof/>
        </w:rPr>
        <w:t xml:space="preserve"> including almost 30</w:t>
      </w:r>
      <w:r>
        <w:rPr>
          <w:rFonts w:ascii="Calibri" w:hAnsi="Calibri" w:cs="Calibri"/>
          <w:noProof/>
        </w:rPr>
        <w:t> </w:t>
      </w:r>
      <w:r>
        <w:rPr>
          <w:noProof/>
        </w:rPr>
        <w:t xml:space="preserve">million COVID-19 vaccine doses. In Afghanistan, </w:t>
      </w:r>
      <w:bookmarkStart w:id="111" w:name="_Hlk101448517"/>
      <w:r>
        <w:rPr>
          <w:noProof/>
        </w:rPr>
        <w:t xml:space="preserve">95 air operations were organised to evacuate EU citizens and </w:t>
      </w:r>
      <w:r w:rsidRPr="0073413A">
        <w:rPr>
          <w:noProof/>
        </w:rPr>
        <w:t>Afghan people working for the EU and the Member States and their dependents</w:t>
      </w:r>
      <w:r>
        <w:rPr>
          <w:noProof/>
        </w:rPr>
        <w:t>.</w:t>
      </w:r>
    </w:p>
    <w:bookmarkEnd w:id="111"/>
    <w:p w14:paraId="7A3FBD20" w14:textId="77777777" w:rsidR="00647AA9" w:rsidRDefault="00647AA9" w:rsidP="00647AA9">
      <w:pPr>
        <w:pStyle w:val="ppoListHyphened-L1"/>
        <w:rPr>
          <w:noProof/>
        </w:rPr>
      </w:pPr>
      <w:r>
        <w:rPr>
          <w:noProof/>
        </w:rPr>
        <w:t>In 2022-2023, rescEU will continue to be the major spending field. This will include aerial forest firefighting but also c</w:t>
      </w:r>
      <w:r w:rsidRPr="00CE534C">
        <w:rPr>
          <w:noProof/>
        </w:rPr>
        <w:t>hemical</w:t>
      </w:r>
      <w:r>
        <w:rPr>
          <w:noProof/>
        </w:rPr>
        <w:t>, b</w:t>
      </w:r>
      <w:r w:rsidRPr="00CE534C">
        <w:rPr>
          <w:noProof/>
        </w:rPr>
        <w:t>iological</w:t>
      </w:r>
      <w:r>
        <w:rPr>
          <w:noProof/>
        </w:rPr>
        <w:t>,</w:t>
      </w:r>
      <w:r w:rsidRPr="00CE534C">
        <w:rPr>
          <w:noProof/>
        </w:rPr>
        <w:t xml:space="preserve"> </w:t>
      </w:r>
      <w:r>
        <w:rPr>
          <w:noProof/>
        </w:rPr>
        <w:t>radiological and n</w:t>
      </w:r>
      <w:r w:rsidRPr="00CE534C">
        <w:rPr>
          <w:noProof/>
        </w:rPr>
        <w:t xml:space="preserve">uclear </w:t>
      </w:r>
      <w:r>
        <w:rPr>
          <w:noProof/>
        </w:rPr>
        <w:t>capacities, emergency shelters, stockpiling, emergency medical teams and multi-purpose transport and medical evacuation.</w:t>
      </w:r>
    </w:p>
    <w:p w14:paraId="7A4769BC" w14:textId="77777777" w:rsidR="00647AA9" w:rsidRPr="00BF37EC" w:rsidRDefault="00647AA9" w:rsidP="00647AA9">
      <w:pPr>
        <w:pStyle w:val="ppoListHyphened-L1"/>
        <w:rPr>
          <w:noProof/>
        </w:rPr>
      </w:pPr>
      <w:r>
        <w:rPr>
          <w:noProof/>
        </w:rPr>
        <w:t>A massive amount of assistance is being channelled through the UCPM and delivered to Ukraine and to the neighbouring countries that are affected by the unprecedented inflow of people fleeing the war. This has already triggered a reinforcement request of EUR</w:t>
      </w:r>
      <w:r>
        <w:rPr>
          <w:rFonts w:ascii="Calibri" w:hAnsi="Calibri" w:cs="Calibri"/>
          <w:noProof/>
        </w:rPr>
        <w:t> </w:t>
      </w:r>
      <w:r>
        <w:rPr>
          <w:noProof/>
        </w:rPr>
        <w:t>70</w:t>
      </w:r>
      <w:r>
        <w:rPr>
          <w:rFonts w:ascii="Calibri" w:hAnsi="Calibri" w:cs="Calibri"/>
          <w:noProof/>
        </w:rPr>
        <w:t> </w:t>
      </w:r>
      <w:r>
        <w:rPr>
          <w:noProof/>
        </w:rPr>
        <w:t>million in 2022, through a transfer of appropriations.</w:t>
      </w:r>
    </w:p>
    <w:p w14:paraId="20B04DE8" w14:textId="77777777" w:rsidR="00647AA9" w:rsidRPr="00040D99" w:rsidRDefault="00647AA9" w:rsidP="00647AA9">
      <w:pPr>
        <w:pStyle w:val="ppoHeading5"/>
        <w:rPr>
          <w:noProof/>
        </w:rPr>
      </w:pPr>
      <w:r w:rsidRPr="00040D99">
        <w:rPr>
          <w:noProof/>
        </w:rPr>
        <w:t>Contribution to horizontal priorities</w:t>
      </w:r>
    </w:p>
    <w:p w14:paraId="26A97375" w14:textId="77777777" w:rsidR="00647AA9" w:rsidRPr="00040D99" w:rsidRDefault="00647AA9" w:rsidP="00647AA9">
      <w:pPr>
        <w:pStyle w:val="ppoTableTabletitle"/>
        <w:rPr>
          <w:noProof/>
        </w:rPr>
      </w:pPr>
      <w:r w:rsidRPr="00040D99">
        <w:rPr>
          <w:noProof/>
        </w:rPr>
        <w:t>EU budget contribution in 2021</w:t>
      </w:r>
      <w:r>
        <w:rPr>
          <w:noProof/>
        </w:rPr>
        <w:t xml:space="preserve"> </w:t>
      </w:r>
      <w:r w:rsidRPr="00045449">
        <w:rPr>
          <w:noProof/>
          <w:lang w:val="en-IE"/>
        </w:rPr>
        <w:t>(million EUR):</w:t>
      </w:r>
    </w:p>
    <w:tbl>
      <w:tblPr>
        <w:tblStyle w:val="PPO2021"/>
        <w:tblW w:w="9639" w:type="dxa"/>
        <w:tblInd w:w="0" w:type="dxa"/>
        <w:tblLook w:val="0420" w:firstRow="1" w:lastRow="0" w:firstColumn="0" w:lastColumn="0" w:noHBand="0" w:noVBand="1"/>
      </w:tblPr>
      <w:tblGrid>
        <w:gridCol w:w="3213"/>
        <w:gridCol w:w="3213"/>
        <w:gridCol w:w="3213"/>
      </w:tblGrid>
      <w:tr w:rsidR="00647AA9" w:rsidRPr="00040D99" w14:paraId="74E5B45D" w14:textId="77777777" w:rsidTr="00B202C2">
        <w:trPr>
          <w:cnfStyle w:val="100000000000" w:firstRow="1" w:lastRow="0" w:firstColumn="0" w:lastColumn="0" w:oddVBand="0" w:evenVBand="0" w:oddHBand="0" w:evenHBand="0" w:firstRowFirstColumn="0" w:firstRowLastColumn="0" w:lastRowFirstColumn="0" w:lastRowLastColumn="0"/>
          <w:tblHeader/>
        </w:trPr>
        <w:tc>
          <w:tcPr>
            <w:tcW w:w="3213" w:type="dxa"/>
          </w:tcPr>
          <w:p w14:paraId="4DBF0F7E" w14:textId="77777777" w:rsidR="00647AA9" w:rsidRPr="00BD731A" w:rsidRDefault="00647AA9" w:rsidP="00B202C2">
            <w:pPr>
              <w:rPr>
                <w:noProof/>
              </w:rPr>
            </w:pPr>
            <w:r w:rsidRPr="00BD731A">
              <w:rPr>
                <w:noProof/>
              </w:rPr>
              <w:t>Climate</w:t>
            </w:r>
          </w:p>
        </w:tc>
        <w:tc>
          <w:tcPr>
            <w:tcW w:w="3213" w:type="dxa"/>
          </w:tcPr>
          <w:p w14:paraId="35C23342" w14:textId="77777777" w:rsidR="00647AA9" w:rsidRPr="00BD731A" w:rsidRDefault="00647AA9" w:rsidP="00B202C2">
            <w:pPr>
              <w:rPr>
                <w:noProof/>
              </w:rPr>
            </w:pPr>
            <w:r w:rsidRPr="00BD731A">
              <w:rPr>
                <w:noProof/>
              </w:rPr>
              <w:t>Biodiversity</w:t>
            </w:r>
          </w:p>
        </w:tc>
        <w:tc>
          <w:tcPr>
            <w:tcW w:w="3213" w:type="dxa"/>
          </w:tcPr>
          <w:p w14:paraId="763546B0" w14:textId="77777777" w:rsidR="00647AA9" w:rsidRPr="00BD731A" w:rsidRDefault="00647AA9" w:rsidP="00B202C2">
            <w:pPr>
              <w:rPr>
                <w:noProof/>
              </w:rPr>
            </w:pPr>
            <w:r w:rsidRPr="00BD731A">
              <w:rPr>
                <w:noProof/>
              </w:rPr>
              <w:t>Gender equality</w:t>
            </w:r>
            <w:r>
              <w:rPr>
                <w:rFonts w:ascii="Calibri" w:hAnsi="Calibri" w:cs="Calibri"/>
                <w:noProof/>
              </w:rPr>
              <w:t> </w:t>
            </w:r>
            <w:r>
              <w:rPr>
                <w:noProof/>
              </w:rPr>
              <w:t>(*)</w:t>
            </w:r>
          </w:p>
        </w:tc>
      </w:tr>
      <w:tr w:rsidR="00647AA9" w:rsidRPr="00040D99" w14:paraId="019A4EE8" w14:textId="77777777" w:rsidTr="00B202C2">
        <w:trPr>
          <w:cnfStyle w:val="000000100000" w:firstRow="0" w:lastRow="0" w:firstColumn="0" w:lastColumn="0" w:oddVBand="0" w:evenVBand="0" w:oddHBand="1" w:evenHBand="0" w:firstRowFirstColumn="0" w:firstRowLastColumn="0" w:lastRowFirstColumn="0" w:lastRowLastColumn="0"/>
        </w:trPr>
        <w:tc>
          <w:tcPr>
            <w:tcW w:w="3213" w:type="dxa"/>
          </w:tcPr>
          <w:tbl>
            <w:tblPr>
              <w:tblStyle w:val="TableGrid"/>
              <w:tblW w:w="0" w:type="auto"/>
              <w:tblLook w:val="06A0" w:firstRow="1" w:lastRow="0" w:firstColumn="1" w:lastColumn="0" w:noHBand="1" w:noVBand="1"/>
            </w:tblPr>
            <w:tblGrid>
              <w:gridCol w:w="1935"/>
            </w:tblGrid>
            <w:tr w:rsidR="00647AA9" w14:paraId="19B490B3" w14:textId="77777777" w:rsidTr="00B202C2">
              <w:trPr>
                <w:trHeight w:val="285"/>
              </w:trPr>
              <w:tc>
                <w:tcPr>
                  <w:tcW w:w="1935" w:type="dxa"/>
                  <w:tcBorders>
                    <w:top w:val="nil"/>
                    <w:left w:val="nil"/>
                    <w:bottom w:val="nil"/>
                    <w:right w:val="nil"/>
                  </w:tcBorders>
                  <w:vAlign w:val="bottom"/>
                </w:tcPr>
                <w:p w14:paraId="2B453951" w14:textId="75A28097" w:rsidR="00647AA9" w:rsidRDefault="00647AA9" w:rsidP="00B202C2">
                  <w:pPr>
                    <w:jc w:val="right"/>
                    <w:rPr>
                      <w:noProof/>
                    </w:rPr>
                  </w:pPr>
                  <w:r w:rsidRPr="67608C9D">
                    <w:rPr>
                      <w:rFonts w:ascii="Calibri" w:hAnsi="Calibri" w:cs="Calibri"/>
                      <w:noProof/>
                      <w:color w:val="000000"/>
                    </w:rPr>
                    <w:t>198</w:t>
                  </w:r>
                  <w:r>
                    <w:rPr>
                      <w:rFonts w:ascii="Calibri" w:hAnsi="Calibri" w:cs="Calibri"/>
                      <w:noProof/>
                      <w:color w:val="000000"/>
                    </w:rPr>
                    <w:t>.</w:t>
                  </w:r>
                  <w:r w:rsidR="001956B8">
                    <w:rPr>
                      <w:rFonts w:ascii="Calibri" w:hAnsi="Calibri" w:cs="Calibri"/>
                      <w:noProof/>
                      <w:color w:val="000000"/>
                    </w:rPr>
                    <w:t>7</w:t>
                  </w:r>
                </w:p>
              </w:tc>
            </w:tr>
          </w:tbl>
          <w:p w14:paraId="3F1FE650" w14:textId="77777777" w:rsidR="00647AA9" w:rsidRPr="00BD731A" w:rsidRDefault="00647AA9" w:rsidP="00B202C2">
            <w:pPr>
              <w:jc w:val="center"/>
              <w:rPr>
                <w:noProof/>
              </w:rPr>
            </w:pPr>
          </w:p>
        </w:tc>
        <w:tc>
          <w:tcPr>
            <w:tcW w:w="3213" w:type="dxa"/>
          </w:tcPr>
          <w:p w14:paraId="45D3693F" w14:textId="77777777" w:rsidR="00647AA9" w:rsidRPr="00BD731A" w:rsidRDefault="00647AA9" w:rsidP="00B202C2">
            <w:pPr>
              <w:jc w:val="center"/>
              <w:rPr>
                <w:noProof/>
              </w:rPr>
            </w:pPr>
            <w:r>
              <w:rPr>
                <w:noProof/>
              </w:rPr>
              <w:t>43.1</w:t>
            </w:r>
          </w:p>
        </w:tc>
        <w:tc>
          <w:tcPr>
            <w:tcW w:w="3213" w:type="dxa"/>
          </w:tcPr>
          <w:p w14:paraId="5A797C16" w14:textId="6A64B6AF" w:rsidR="00647AA9" w:rsidRPr="00BD731A" w:rsidRDefault="00647AA9" w:rsidP="00B202C2">
            <w:pPr>
              <w:jc w:val="center"/>
              <w:rPr>
                <w:noProof/>
              </w:rPr>
            </w:pPr>
            <w:r w:rsidRPr="00954CD6">
              <w:rPr>
                <w:noProof/>
              </w:rPr>
              <w:t>Score</w:t>
            </w:r>
            <w:r>
              <w:rPr>
                <w:rFonts w:ascii="Calibri" w:hAnsi="Calibri" w:cs="Calibri"/>
                <w:noProof/>
              </w:rPr>
              <w:t> </w:t>
            </w:r>
            <w:r w:rsidRPr="00954CD6">
              <w:rPr>
                <w:noProof/>
              </w:rPr>
              <w:t xml:space="preserve">0*: </w:t>
            </w:r>
            <w:r w:rsidR="00E24077">
              <w:rPr>
                <w:noProof/>
              </w:rPr>
              <w:t>182.6</w:t>
            </w:r>
          </w:p>
        </w:tc>
      </w:tr>
    </w:tbl>
    <w:p w14:paraId="17D1D7E0" w14:textId="77777777" w:rsidR="00647AA9" w:rsidRPr="00045449" w:rsidRDefault="00647AA9" w:rsidP="00647AA9">
      <w:pPr>
        <w:pStyle w:val="FootnoteText"/>
        <w:rPr>
          <w:noProof/>
          <w:lang w:val="en-IE"/>
        </w:rPr>
      </w:pPr>
      <w:r w:rsidRPr="00045449">
        <w:rPr>
          <w:noProof/>
          <w:lang w:val="en-IE"/>
        </w:rPr>
        <w:t xml:space="preserve">(*) Based on the applied gender contribution methodology, the following scores are attributed at the most granular level of intervention possible: </w:t>
      </w:r>
    </w:p>
    <w:p w14:paraId="68536BB0" w14:textId="77777777" w:rsidR="00647AA9" w:rsidRPr="00045449" w:rsidRDefault="00647AA9" w:rsidP="00647AA9">
      <w:pPr>
        <w:pStyle w:val="FootnoteText"/>
        <w:numPr>
          <w:ilvl w:val="0"/>
          <w:numId w:val="38"/>
        </w:numPr>
        <w:spacing w:after="60" w:line="264" w:lineRule="auto"/>
        <w:jc w:val="left"/>
        <w:rPr>
          <w:noProof/>
          <w:lang w:val="en-IE"/>
        </w:rPr>
      </w:pPr>
      <w:r w:rsidRPr="00045449">
        <w:rPr>
          <w:noProof/>
          <w:lang w:val="en-IE"/>
        </w:rPr>
        <w:t>2: interventions the principal objective of which is to improve gender equality;</w:t>
      </w:r>
    </w:p>
    <w:p w14:paraId="635736EF" w14:textId="77777777" w:rsidR="00647AA9" w:rsidRPr="00045449" w:rsidRDefault="00647AA9" w:rsidP="00647AA9">
      <w:pPr>
        <w:pStyle w:val="FootnoteText"/>
        <w:numPr>
          <w:ilvl w:val="0"/>
          <w:numId w:val="38"/>
        </w:numPr>
        <w:spacing w:after="60" w:line="264" w:lineRule="auto"/>
        <w:jc w:val="left"/>
        <w:rPr>
          <w:noProof/>
          <w:lang w:val="en-IE"/>
        </w:rPr>
      </w:pPr>
      <w:r w:rsidRPr="00045449">
        <w:rPr>
          <w:noProof/>
          <w:lang w:val="en-IE"/>
        </w:rPr>
        <w:t>1: interventions that have gender equality as an important and deliberate objective but not as the main reason for the intervention;</w:t>
      </w:r>
    </w:p>
    <w:p w14:paraId="23E357E0" w14:textId="77777777" w:rsidR="00647AA9" w:rsidRPr="00045449" w:rsidRDefault="00647AA9" w:rsidP="00647AA9">
      <w:pPr>
        <w:pStyle w:val="FootnoteText"/>
        <w:numPr>
          <w:ilvl w:val="0"/>
          <w:numId w:val="38"/>
        </w:numPr>
        <w:spacing w:after="60" w:line="264" w:lineRule="auto"/>
        <w:jc w:val="left"/>
        <w:rPr>
          <w:noProof/>
          <w:lang w:val="en-IE"/>
        </w:rPr>
      </w:pPr>
      <w:r w:rsidRPr="00045449">
        <w:rPr>
          <w:noProof/>
          <w:lang w:val="en-IE"/>
        </w:rPr>
        <w:t xml:space="preserve">0: non-targeted interventions; </w:t>
      </w:r>
    </w:p>
    <w:p w14:paraId="63AEF92D" w14:textId="77777777" w:rsidR="00647AA9" w:rsidRPr="00045449" w:rsidRDefault="00647AA9" w:rsidP="00647AA9">
      <w:pPr>
        <w:pStyle w:val="FootnoteText"/>
        <w:numPr>
          <w:ilvl w:val="0"/>
          <w:numId w:val="38"/>
        </w:numPr>
        <w:spacing w:after="60" w:line="264" w:lineRule="auto"/>
        <w:jc w:val="left"/>
        <w:rPr>
          <w:noProof/>
          <w:lang w:val="en-IE"/>
        </w:rPr>
      </w:pPr>
      <w:r w:rsidRPr="00045449">
        <w:rPr>
          <w:noProof/>
          <w:lang w:val="en-IE"/>
        </w:rPr>
        <w:t>0*: score to be assigned to interventions with a likely but not yet clear positive impact on gender equality.</w:t>
      </w:r>
    </w:p>
    <w:p w14:paraId="4A9A1428" w14:textId="77777777" w:rsidR="00647AA9" w:rsidRPr="00040D99" w:rsidRDefault="00647AA9" w:rsidP="00647AA9">
      <w:pPr>
        <w:pStyle w:val="ppoHeading5"/>
        <w:rPr>
          <w:noProof/>
        </w:rPr>
      </w:pPr>
      <w:r w:rsidRPr="00040D99">
        <w:rPr>
          <w:noProof/>
        </w:rPr>
        <w:t>Performance assessment</w:t>
      </w:r>
    </w:p>
    <w:p w14:paraId="14041016" w14:textId="77777777" w:rsidR="00647AA9" w:rsidRPr="00040D99" w:rsidRDefault="00647AA9" w:rsidP="00647AA9">
      <w:pPr>
        <w:pStyle w:val="ppoHeading6"/>
        <w:rPr>
          <w:noProof/>
        </w:rPr>
      </w:pPr>
      <w:r w:rsidRPr="00040D99">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647AA9" w:rsidRPr="00AC11E4" w14:paraId="1D6A3262" w14:textId="77777777" w:rsidTr="00B202C2">
        <w:trPr>
          <w:cnfStyle w:val="100000000000" w:firstRow="1" w:lastRow="0" w:firstColumn="0" w:lastColumn="0" w:oddVBand="0" w:evenVBand="0" w:oddHBand="0" w:evenHBand="0" w:firstRowFirstColumn="0" w:firstRowLastColumn="0" w:lastRowFirstColumn="0" w:lastRowLastColumn="0"/>
        </w:trPr>
        <w:tc>
          <w:tcPr>
            <w:tcW w:w="2268" w:type="dxa"/>
          </w:tcPr>
          <w:p w14:paraId="7AE9CF64" w14:textId="77777777" w:rsidR="00647AA9" w:rsidRPr="00884C9A" w:rsidRDefault="00647AA9" w:rsidP="00B202C2">
            <w:pPr>
              <w:rPr>
                <w:noProof/>
              </w:rPr>
            </w:pPr>
          </w:p>
        </w:tc>
        <w:tc>
          <w:tcPr>
            <w:tcW w:w="931" w:type="dxa"/>
          </w:tcPr>
          <w:p w14:paraId="76C62064" w14:textId="77777777" w:rsidR="00647AA9" w:rsidRPr="00884C9A" w:rsidRDefault="00647AA9" w:rsidP="00B202C2">
            <w:pPr>
              <w:rPr>
                <w:noProof/>
              </w:rPr>
            </w:pPr>
            <w:r w:rsidRPr="00884C9A">
              <w:rPr>
                <w:noProof/>
              </w:rPr>
              <w:t>Baseline</w:t>
            </w:r>
          </w:p>
        </w:tc>
        <w:tc>
          <w:tcPr>
            <w:tcW w:w="1485" w:type="dxa"/>
          </w:tcPr>
          <w:p w14:paraId="29D5A047" w14:textId="77777777" w:rsidR="00647AA9" w:rsidRPr="00884C9A" w:rsidRDefault="00647AA9" w:rsidP="00B202C2">
            <w:pPr>
              <w:rPr>
                <w:noProof/>
              </w:rPr>
            </w:pPr>
            <w:r w:rsidRPr="00884C9A">
              <w:rPr>
                <w:noProof/>
              </w:rPr>
              <w:t>Progress</w:t>
            </w:r>
            <w:r>
              <w:rPr>
                <w:rFonts w:ascii="Calibri" w:hAnsi="Calibri" w:cs="Calibri"/>
                <w:noProof/>
              </w:rPr>
              <w:t> </w:t>
            </w:r>
            <w:r>
              <w:rPr>
                <w:noProof/>
              </w:rPr>
              <w:t>(*)</w:t>
            </w:r>
          </w:p>
        </w:tc>
        <w:tc>
          <w:tcPr>
            <w:tcW w:w="1491" w:type="dxa"/>
          </w:tcPr>
          <w:p w14:paraId="037298B1" w14:textId="77777777" w:rsidR="00647AA9" w:rsidRPr="00884C9A" w:rsidRDefault="00647AA9" w:rsidP="00B202C2">
            <w:pPr>
              <w:rPr>
                <w:noProof/>
              </w:rPr>
            </w:pPr>
            <w:r w:rsidRPr="00884C9A">
              <w:rPr>
                <w:noProof/>
              </w:rPr>
              <w:t>Target</w:t>
            </w:r>
          </w:p>
        </w:tc>
        <w:tc>
          <w:tcPr>
            <w:tcW w:w="1530" w:type="dxa"/>
          </w:tcPr>
          <w:p w14:paraId="5E586A0F" w14:textId="77777777" w:rsidR="00647AA9" w:rsidRPr="00884C9A" w:rsidRDefault="00647AA9" w:rsidP="00B202C2">
            <w:pPr>
              <w:rPr>
                <w:noProof/>
              </w:rPr>
            </w:pPr>
            <w:r w:rsidRPr="00884C9A">
              <w:rPr>
                <w:noProof/>
              </w:rPr>
              <w:t>Results</w:t>
            </w:r>
          </w:p>
        </w:tc>
        <w:tc>
          <w:tcPr>
            <w:tcW w:w="1537" w:type="dxa"/>
          </w:tcPr>
          <w:p w14:paraId="00E99E4A" w14:textId="77777777" w:rsidR="00647AA9" w:rsidRPr="00884C9A" w:rsidRDefault="00647AA9" w:rsidP="00B202C2">
            <w:pPr>
              <w:rPr>
                <w:noProof/>
              </w:rPr>
            </w:pPr>
            <w:r w:rsidRPr="00884C9A">
              <w:rPr>
                <w:noProof/>
              </w:rPr>
              <w:t>Assessment</w:t>
            </w:r>
          </w:p>
        </w:tc>
      </w:tr>
      <w:tr w:rsidR="00647AA9" w:rsidRPr="00AC11E4" w14:paraId="08310C1F" w14:textId="77777777" w:rsidTr="00B202C2">
        <w:trPr>
          <w:cnfStyle w:val="000000100000" w:firstRow="0" w:lastRow="0" w:firstColumn="0" w:lastColumn="0" w:oddVBand="0" w:evenVBand="0" w:oddHBand="1" w:evenHBand="0" w:firstRowFirstColumn="0" w:firstRowLastColumn="0" w:lastRowFirstColumn="0" w:lastRowLastColumn="0"/>
        </w:trPr>
        <w:tc>
          <w:tcPr>
            <w:tcW w:w="2268" w:type="dxa"/>
          </w:tcPr>
          <w:p w14:paraId="0E1BA79B" w14:textId="77777777" w:rsidR="00647AA9" w:rsidRPr="00C85C89" w:rsidRDefault="00647AA9" w:rsidP="00B202C2">
            <w:pPr>
              <w:rPr>
                <w:noProof/>
              </w:rPr>
            </w:pPr>
            <w:r w:rsidRPr="0069188E">
              <w:rPr>
                <w:noProof/>
              </w:rPr>
              <w:t xml:space="preserve">Response time of the </w:t>
            </w:r>
            <w:r>
              <w:rPr>
                <w:noProof/>
              </w:rPr>
              <w:t>UCPM</w:t>
            </w:r>
            <w:r w:rsidRPr="0069188E">
              <w:rPr>
                <w:noProof/>
              </w:rPr>
              <w:t xml:space="preserve"> to a request of assistance in the EU (hours)</w:t>
            </w:r>
          </w:p>
        </w:tc>
        <w:tc>
          <w:tcPr>
            <w:tcW w:w="931" w:type="dxa"/>
          </w:tcPr>
          <w:p w14:paraId="55F9A7A8" w14:textId="77777777" w:rsidR="00647AA9" w:rsidRPr="00C85C89" w:rsidRDefault="00647AA9" w:rsidP="00B202C2">
            <w:pPr>
              <w:jc w:val="center"/>
              <w:rPr>
                <w:noProof/>
              </w:rPr>
            </w:pPr>
          </w:p>
        </w:tc>
        <w:tc>
          <w:tcPr>
            <w:tcW w:w="1485" w:type="dxa"/>
          </w:tcPr>
          <w:p w14:paraId="65A1BF05" w14:textId="77777777" w:rsidR="00647AA9" w:rsidRPr="0069188E" w:rsidRDefault="00647AA9" w:rsidP="00B202C2">
            <w:pPr>
              <w:jc w:val="center"/>
              <w:rPr>
                <w:b/>
                <w:noProof/>
              </w:rPr>
            </w:pPr>
            <w:r w:rsidRPr="0069188E">
              <w:rPr>
                <w:noProof/>
              </w:rPr>
              <w:t>0%</w:t>
            </w:r>
          </w:p>
        </w:tc>
        <w:tc>
          <w:tcPr>
            <w:tcW w:w="1491" w:type="dxa"/>
          </w:tcPr>
          <w:p w14:paraId="092A0307" w14:textId="77777777" w:rsidR="00647AA9" w:rsidRPr="0069188E" w:rsidRDefault="00647AA9" w:rsidP="00B202C2">
            <w:pPr>
              <w:jc w:val="center"/>
              <w:rPr>
                <w:noProof/>
              </w:rPr>
            </w:pPr>
            <w:r w:rsidRPr="0069188E">
              <w:rPr>
                <w:noProof/>
              </w:rPr>
              <w:t>3</w:t>
            </w:r>
            <w:r>
              <w:rPr>
                <w:rFonts w:ascii="Calibri" w:hAnsi="Calibri" w:cs="Calibri"/>
                <w:noProof/>
              </w:rPr>
              <w:t> </w:t>
            </w:r>
            <w:r w:rsidRPr="0069188E">
              <w:rPr>
                <w:noProof/>
              </w:rPr>
              <w:t>h</w:t>
            </w:r>
            <w:r>
              <w:rPr>
                <w:noProof/>
              </w:rPr>
              <w:t>ours</w:t>
            </w:r>
            <w:r w:rsidRPr="0069188E">
              <w:rPr>
                <w:noProof/>
              </w:rPr>
              <w:t xml:space="preserve"> annually</w:t>
            </w:r>
          </w:p>
        </w:tc>
        <w:tc>
          <w:tcPr>
            <w:tcW w:w="1530" w:type="dxa"/>
          </w:tcPr>
          <w:p w14:paraId="2BC2DFB6" w14:textId="77777777" w:rsidR="00647AA9" w:rsidRPr="0069188E" w:rsidRDefault="00647AA9" w:rsidP="00B202C2">
            <w:pPr>
              <w:jc w:val="center"/>
              <w:rPr>
                <w:noProof/>
              </w:rPr>
            </w:pPr>
            <w:r w:rsidRPr="0069188E">
              <w:rPr>
                <w:noProof/>
              </w:rPr>
              <w:t>Target not achieved in 2021. 8</w:t>
            </w:r>
            <w:r>
              <w:rPr>
                <w:rFonts w:ascii="Calibri" w:hAnsi="Calibri" w:cs="Calibri"/>
                <w:noProof/>
              </w:rPr>
              <w:t> </w:t>
            </w:r>
            <w:r w:rsidRPr="0069188E">
              <w:rPr>
                <w:noProof/>
              </w:rPr>
              <w:t>h</w:t>
            </w:r>
            <w:r>
              <w:rPr>
                <w:noProof/>
              </w:rPr>
              <w:t>ours</w:t>
            </w:r>
            <w:r w:rsidRPr="0069188E">
              <w:rPr>
                <w:noProof/>
              </w:rPr>
              <w:t xml:space="preserve"> compared to 3</w:t>
            </w:r>
            <w:r>
              <w:rPr>
                <w:rFonts w:ascii="Calibri" w:hAnsi="Calibri" w:cs="Calibri"/>
                <w:noProof/>
              </w:rPr>
              <w:t> </w:t>
            </w:r>
            <w:r w:rsidRPr="0069188E">
              <w:rPr>
                <w:noProof/>
              </w:rPr>
              <w:t>h</w:t>
            </w:r>
            <w:r>
              <w:rPr>
                <w:noProof/>
              </w:rPr>
              <w:t>ours</w:t>
            </w:r>
          </w:p>
        </w:tc>
        <w:tc>
          <w:tcPr>
            <w:tcW w:w="1537" w:type="dxa"/>
          </w:tcPr>
          <w:p w14:paraId="6E0D1D7C" w14:textId="77777777" w:rsidR="00647AA9" w:rsidRPr="00C85C89" w:rsidRDefault="00647AA9" w:rsidP="00B202C2">
            <w:pPr>
              <w:jc w:val="center"/>
              <w:rPr>
                <w:noProof/>
              </w:rPr>
            </w:pPr>
            <w:r>
              <w:rPr>
                <w:noProof/>
              </w:rPr>
              <w:t>Moderate progress</w:t>
            </w:r>
          </w:p>
        </w:tc>
      </w:tr>
      <w:tr w:rsidR="00647AA9" w:rsidRPr="00AC11E4" w14:paraId="0DF33C87" w14:textId="77777777" w:rsidTr="00B202C2">
        <w:trPr>
          <w:cnfStyle w:val="000000010000" w:firstRow="0" w:lastRow="0" w:firstColumn="0" w:lastColumn="0" w:oddVBand="0" w:evenVBand="0" w:oddHBand="0" w:evenHBand="1" w:firstRowFirstColumn="0" w:firstRowLastColumn="0" w:lastRowFirstColumn="0" w:lastRowLastColumn="0"/>
        </w:trPr>
        <w:tc>
          <w:tcPr>
            <w:tcW w:w="2268" w:type="dxa"/>
          </w:tcPr>
          <w:p w14:paraId="5CAAAE4B" w14:textId="77777777" w:rsidR="00647AA9" w:rsidRPr="00C85C89" w:rsidRDefault="00647AA9" w:rsidP="00B202C2">
            <w:pPr>
              <w:rPr>
                <w:noProof/>
              </w:rPr>
            </w:pPr>
            <w:r>
              <w:rPr>
                <w:noProof/>
              </w:rPr>
              <w:t>Response time of the UCPM to a request of assistance outside of the EU (hours)</w:t>
            </w:r>
          </w:p>
        </w:tc>
        <w:tc>
          <w:tcPr>
            <w:tcW w:w="931" w:type="dxa"/>
          </w:tcPr>
          <w:p w14:paraId="1AED5375" w14:textId="77777777" w:rsidR="00647AA9" w:rsidRPr="00C85C89" w:rsidRDefault="00647AA9" w:rsidP="00B202C2">
            <w:pPr>
              <w:jc w:val="center"/>
              <w:rPr>
                <w:noProof/>
              </w:rPr>
            </w:pPr>
          </w:p>
        </w:tc>
        <w:tc>
          <w:tcPr>
            <w:tcW w:w="1485" w:type="dxa"/>
          </w:tcPr>
          <w:p w14:paraId="1DA76BAC" w14:textId="77777777" w:rsidR="00647AA9" w:rsidRPr="0069188E" w:rsidRDefault="00647AA9" w:rsidP="00B202C2">
            <w:pPr>
              <w:jc w:val="center"/>
              <w:rPr>
                <w:b/>
                <w:noProof/>
              </w:rPr>
            </w:pPr>
            <w:r w:rsidRPr="0069188E">
              <w:rPr>
                <w:noProof/>
              </w:rPr>
              <w:t>0%</w:t>
            </w:r>
          </w:p>
        </w:tc>
        <w:tc>
          <w:tcPr>
            <w:tcW w:w="1491" w:type="dxa"/>
          </w:tcPr>
          <w:p w14:paraId="3ADA79DB" w14:textId="77777777" w:rsidR="00647AA9" w:rsidRPr="0069188E" w:rsidRDefault="00647AA9" w:rsidP="00B202C2">
            <w:pPr>
              <w:jc w:val="center"/>
              <w:rPr>
                <w:noProof/>
              </w:rPr>
            </w:pPr>
            <w:r w:rsidRPr="0069188E">
              <w:rPr>
                <w:noProof/>
              </w:rPr>
              <w:t>10</w:t>
            </w:r>
            <w:r>
              <w:rPr>
                <w:rFonts w:ascii="Calibri" w:hAnsi="Calibri" w:cs="Calibri"/>
                <w:noProof/>
              </w:rPr>
              <w:t> </w:t>
            </w:r>
            <w:r w:rsidRPr="0069188E">
              <w:rPr>
                <w:noProof/>
              </w:rPr>
              <w:t>h</w:t>
            </w:r>
            <w:r>
              <w:rPr>
                <w:noProof/>
              </w:rPr>
              <w:t>ours</w:t>
            </w:r>
            <w:r w:rsidRPr="0069188E">
              <w:rPr>
                <w:noProof/>
              </w:rPr>
              <w:t xml:space="preserve"> annually</w:t>
            </w:r>
          </w:p>
        </w:tc>
        <w:tc>
          <w:tcPr>
            <w:tcW w:w="1530" w:type="dxa"/>
          </w:tcPr>
          <w:p w14:paraId="6A818E43" w14:textId="77777777" w:rsidR="00647AA9" w:rsidRPr="0069188E" w:rsidRDefault="00647AA9" w:rsidP="00B202C2">
            <w:pPr>
              <w:jc w:val="center"/>
              <w:rPr>
                <w:noProof/>
              </w:rPr>
            </w:pPr>
            <w:r w:rsidRPr="0069188E">
              <w:rPr>
                <w:noProof/>
              </w:rPr>
              <w:t>Target not achieved in 2021. 68</w:t>
            </w:r>
            <w:r>
              <w:rPr>
                <w:rFonts w:ascii="Calibri" w:hAnsi="Calibri" w:cs="Calibri"/>
                <w:noProof/>
              </w:rPr>
              <w:t> </w:t>
            </w:r>
            <w:r w:rsidRPr="0069188E">
              <w:rPr>
                <w:noProof/>
              </w:rPr>
              <w:t>h</w:t>
            </w:r>
            <w:r>
              <w:rPr>
                <w:noProof/>
              </w:rPr>
              <w:t>ours</w:t>
            </w:r>
            <w:r w:rsidRPr="0069188E">
              <w:rPr>
                <w:noProof/>
              </w:rPr>
              <w:t xml:space="preserve"> compared to 10</w:t>
            </w:r>
            <w:r>
              <w:rPr>
                <w:rFonts w:ascii="Calibri" w:hAnsi="Calibri" w:cs="Calibri"/>
                <w:noProof/>
              </w:rPr>
              <w:t> </w:t>
            </w:r>
            <w:r w:rsidRPr="0069188E">
              <w:rPr>
                <w:noProof/>
              </w:rPr>
              <w:t>h</w:t>
            </w:r>
            <w:r>
              <w:rPr>
                <w:noProof/>
              </w:rPr>
              <w:t>ours</w:t>
            </w:r>
          </w:p>
        </w:tc>
        <w:tc>
          <w:tcPr>
            <w:tcW w:w="1537" w:type="dxa"/>
          </w:tcPr>
          <w:p w14:paraId="073B9A07" w14:textId="77777777" w:rsidR="00647AA9" w:rsidRDefault="00647AA9" w:rsidP="00B202C2">
            <w:pPr>
              <w:jc w:val="center"/>
              <w:rPr>
                <w:noProof/>
              </w:rPr>
            </w:pPr>
            <w:r>
              <w:rPr>
                <w:noProof/>
              </w:rPr>
              <w:t>Moderate progress</w:t>
            </w:r>
          </w:p>
          <w:p w14:paraId="1490B16C" w14:textId="77777777" w:rsidR="00647AA9" w:rsidRPr="00C85C89" w:rsidRDefault="00647AA9" w:rsidP="00B202C2">
            <w:pPr>
              <w:jc w:val="center"/>
              <w:rPr>
                <w:noProof/>
              </w:rPr>
            </w:pPr>
          </w:p>
        </w:tc>
      </w:tr>
      <w:tr w:rsidR="00647AA9" w:rsidRPr="00AC11E4" w14:paraId="2F14C330" w14:textId="77777777" w:rsidTr="00B202C2">
        <w:trPr>
          <w:cnfStyle w:val="000000100000" w:firstRow="0" w:lastRow="0" w:firstColumn="0" w:lastColumn="0" w:oddVBand="0" w:evenVBand="0" w:oddHBand="1" w:evenHBand="0" w:firstRowFirstColumn="0" w:firstRowLastColumn="0" w:lastRowFirstColumn="0" w:lastRowLastColumn="0"/>
        </w:trPr>
        <w:tc>
          <w:tcPr>
            <w:tcW w:w="2268" w:type="dxa"/>
          </w:tcPr>
          <w:p w14:paraId="4765B4AD" w14:textId="77777777" w:rsidR="00647AA9" w:rsidRPr="00C85C89" w:rsidRDefault="00647AA9" w:rsidP="00B202C2">
            <w:pPr>
              <w:rPr>
                <w:noProof/>
              </w:rPr>
            </w:pPr>
            <w:r>
              <w:rPr>
                <w:noProof/>
              </w:rPr>
              <w:t>Adequacy of response of the UCPM (in the EU)</w:t>
            </w:r>
          </w:p>
        </w:tc>
        <w:tc>
          <w:tcPr>
            <w:tcW w:w="931" w:type="dxa"/>
          </w:tcPr>
          <w:p w14:paraId="23D11C14" w14:textId="77777777" w:rsidR="00647AA9" w:rsidRPr="00C85C89" w:rsidRDefault="00647AA9" w:rsidP="00B202C2">
            <w:pPr>
              <w:jc w:val="center"/>
              <w:rPr>
                <w:noProof/>
              </w:rPr>
            </w:pPr>
            <w:r>
              <w:rPr>
                <w:noProof/>
              </w:rPr>
              <w:t>0%</w:t>
            </w:r>
          </w:p>
        </w:tc>
        <w:tc>
          <w:tcPr>
            <w:tcW w:w="1485" w:type="dxa"/>
          </w:tcPr>
          <w:p w14:paraId="282EECD4" w14:textId="77777777" w:rsidR="00647AA9" w:rsidRPr="00C85C89" w:rsidRDefault="00647AA9" w:rsidP="00B202C2">
            <w:pPr>
              <w:jc w:val="center"/>
              <w:rPr>
                <w:b/>
                <w:noProof/>
              </w:rPr>
            </w:pPr>
            <w:r>
              <w:rPr>
                <w:noProof/>
              </w:rPr>
              <w:t>14%</w:t>
            </w:r>
          </w:p>
        </w:tc>
        <w:tc>
          <w:tcPr>
            <w:tcW w:w="1491" w:type="dxa"/>
          </w:tcPr>
          <w:p w14:paraId="2B405862" w14:textId="77777777" w:rsidR="00647AA9" w:rsidRPr="00C85C89" w:rsidRDefault="00647AA9" w:rsidP="00B202C2">
            <w:pPr>
              <w:jc w:val="center"/>
              <w:rPr>
                <w:noProof/>
              </w:rPr>
            </w:pPr>
            <w:r>
              <w:rPr>
                <w:noProof/>
              </w:rPr>
              <w:t>90% annually from 2024</w:t>
            </w:r>
          </w:p>
        </w:tc>
        <w:tc>
          <w:tcPr>
            <w:tcW w:w="1530" w:type="dxa"/>
          </w:tcPr>
          <w:p w14:paraId="5E8B797F" w14:textId="77777777" w:rsidR="00647AA9" w:rsidRPr="00C85C89" w:rsidRDefault="00647AA9" w:rsidP="00B202C2">
            <w:pPr>
              <w:jc w:val="center"/>
              <w:rPr>
                <w:noProof/>
              </w:rPr>
            </w:pPr>
            <w:r>
              <w:rPr>
                <w:noProof/>
              </w:rPr>
              <w:t>Milestone achieved in 2021. 100% compared to 75%</w:t>
            </w:r>
          </w:p>
        </w:tc>
        <w:tc>
          <w:tcPr>
            <w:tcW w:w="1537" w:type="dxa"/>
          </w:tcPr>
          <w:p w14:paraId="27C0EB6F" w14:textId="77777777" w:rsidR="00647AA9" w:rsidRPr="00C85C89" w:rsidRDefault="00647AA9" w:rsidP="00B202C2">
            <w:pPr>
              <w:jc w:val="center"/>
              <w:rPr>
                <w:noProof/>
              </w:rPr>
            </w:pPr>
            <w:r>
              <w:rPr>
                <w:noProof/>
              </w:rPr>
              <w:t>On track</w:t>
            </w:r>
          </w:p>
        </w:tc>
      </w:tr>
      <w:tr w:rsidR="00647AA9" w:rsidRPr="00AC11E4" w14:paraId="21AFF676" w14:textId="77777777" w:rsidTr="00B202C2">
        <w:trPr>
          <w:cnfStyle w:val="000000010000" w:firstRow="0" w:lastRow="0" w:firstColumn="0" w:lastColumn="0" w:oddVBand="0" w:evenVBand="0" w:oddHBand="0" w:evenHBand="1" w:firstRowFirstColumn="0" w:firstRowLastColumn="0" w:lastRowFirstColumn="0" w:lastRowLastColumn="0"/>
        </w:trPr>
        <w:tc>
          <w:tcPr>
            <w:tcW w:w="2268" w:type="dxa"/>
          </w:tcPr>
          <w:p w14:paraId="4A90D550" w14:textId="77777777" w:rsidR="00647AA9" w:rsidRPr="00C85C89" w:rsidRDefault="00647AA9" w:rsidP="00B202C2">
            <w:pPr>
              <w:rPr>
                <w:noProof/>
              </w:rPr>
            </w:pPr>
            <w:r>
              <w:rPr>
                <w:noProof/>
              </w:rPr>
              <w:t>Adequacy of response of the UCPM (outside of the EU)</w:t>
            </w:r>
          </w:p>
        </w:tc>
        <w:tc>
          <w:tcPr>
            <w:tcW w:w="931" w:type="dxa"/>
          </w:tcPr>
          <w:p w14:paraId="315445D7" w14:textId="77777777" w:rsidR="00647AA9" w:rsidRPr="00C85C89" w:rsidRDefault="00647AA9" w:rsidP="00B202C2">
            <w:pPr>
              <w:jc w:val="center"/>
              <w:rPr>
                <w:noProof/>
              </w:rPr>
            </w:pPr>
            <w:r>
              <w:rPr>
                <w:noProof/>
              </w:rPr>
              <w:t>0%</w:t>
            </w:r>
          </w:p>
        </w:tc>
        <w:tc>
          <w:tcPr>
            <w:tcW w:w="1485" w:type="dxa"/>
          </w:tcPr>
          <w:p w14:paraId="0908128A" w14:textId="77777777" w:rsidR="00647AA9" w:rsidRPr="00C85C89" w:rsidRDefault="00647AA9" w:rsidP="00B202C2">
            <w:pPr>
              <w:jc w:val="center"/>
              <w:rPr>
                <w:b/>
                <w:noProof/>
              </w:rPr>
            </w:pPr>
            <w:r>
              <w:rPr>
                <w:noProof/>
              </w:rPr>
              <w:t>14%</w:t>
            </w:r>
          </w:p>
        </w:tc>
        <w:tc>
          <w:tcPr>
            <w:tcW w:w="1491" w:type="dxa"/>
          </w:tcPr>
          <w:p w14:paraId="15BBEBE9" w14:textId="77777777" w:rsidR="00647AA9" w:rsidRPr="00C85C89" w:rsidRDefault="00647AA9" w:rsidP="00B202C2">
            <w:pPr>
              <w:jc w:val="center"/>
              <w:rPr>
                <w:noProof/>
              </w:rPr>
            </w:pPr>
            <w:r>
              <w:rPr>
                <w:noProof/>
              </w:rPr>
              <w:t>86% annually</w:t>
            </w:r>
          </w:p>
        </w:tc>
        <w:tc>
          <w:tcPr>
            <w:tcW w:w="1530" w:type="dxa"/>
          </w:tcPr>
          <w:p w14:paraId="655610D3" w14:textId="77777777" w:rsidR="00647AA9" w:rsidRPr="00C85C89" w:rsidRDefault="00647AA9" w:rsidP="00B202C2">
            <w:pPr>
              <w:jc w:val="center"/>
              <w:rPr>
                <w:noProof/>
              </w:rPr>
            </w:pPr>
            <w:r>
              <w:rPr>
                <w:noProof/>
              </w:rPr>
              <w:t>Milestone achieved in 2021. 86% compared to 86%</w:t>
            </w:r>
          </w:p>
        </w:tc>
        <w:tc>
          <w:tcPr>
            <w:tcW w:w="1537" w:type="dxa"/>
          </w:tcPr>
          <w:p w14:paraId="31D05DEC" w14:textId="77777777" w:rsidR="00647AA9" w:rsidRPr="00C85C89" w:rsidRDefault="00647AA9" w:rsidP="00B202C2">
            <w:pPr>
              <w:jc w:val="center"/>
              <w:rPr>
                <w:noProof/>
              </w:rPr>
            </w:pPr>
            <w:r>
              <w:rPr>
                <w:noProof/>
              </w:rPr>
              <w:t>On track</w:t>
            </w:r>
          </w:p>
        </w:tc>
      </w:tr>
      <w:tr w:rsidR="00647AA9" w:rsidRPr="00AC11E4" w14:paraId="3A0B1496" w14:textId="77777777" w:rsidTr="00B202C2">
        <w:trPr>
          <w:cnfStyle w:val="000000100000" w:firstRow="0" w:lastRow="0" w:firstColumn="0" w:lastColumn="0" w:oddVBand="0" w:evenVBand="0" w:oddHBand="1" w:evenHBand="0" w:firstRowFirstColumn="0" w:firstRowLastColumn="0" w:lastRowFirstColumn="0" w:lastRowLastColumn="0"/>
        </w:trPr>
        <w:tc>
          <w:tcPr>
            <w:tcW w:w="2268" w:type="dxa"/>
          </w:tcPr>
          <w:p w14:paraId="768ECA88" w14:textId="77777777" w:rsidR="00647AA9" w:rsidRPr="00C85C89" w:rsidRDefault="00647AA9" w:rsidP="00B202C2">
            <w:pPr>
              <w:rPr>
                <w:noProof/>
              </w:rPr>
            </w:pPr>
            <w:r>
              <w:rPr>
                <w:noProof/>
              </w:rPr>
              <w:t>Number of committed and certified capacities included in the ECPP</w:t>
            </w:r>
          </w:p>
        </w:tc>
        <w:tc>
          <w:tcPr>
            <w:tcW w:w="931" w:type="dxa"/>
          </w:tcPr>
          <w:p w14:paraId="5EFCB00D" w14:textId="77777777" w:rsidR="00647AA9" w:rsidRPr="00C85C89" w:rsidRDefault="00647AA9" w:rsidP="00B202C2">
            <w:pPr>
              <w:jc w:val="center"/>
              <w:rPr>
                <w:noProof/>
              </w:rPr>
            </w:pPr>
            <w:r>
              <w:rPr>
                <w:noProof/>
              </w:rPr>
              <w:t>60</w:t>
            </w:r>
          </w:p>
        </w:tc>
        <w:tc>
          <w:tcPr>
            <w:tcW w:w="1485" w:type="dxa"/>
          </w:tcPr>
          <w:p w14:paraId="1EFACB40" w14:textId="77777777" w:rsidR="00647AA9" w:rsidRPr="00C85C89" w:rsidRDefault="00647AA9" w:rsidP="00B202C2">
            <w:pPr>
              <w:jc w:val="center"/>
              <w:rPr>
                <w:b/>
                <w:noProof/>
              </w:rPr>
            </w:pPr>
            <w:r>
              <w:rPr>
                <w:noProof/>
              </w:rPr>
              <w:t>&gt;</w:t>
            </w:r>
            <w:r>
              <w:rPr>
                <w:rFonts w:ascii="Calibri" w:hAnsi="Calibri" w:cs="Calibri"/>
                <w:noProof/>
              </w:rPr>
              <w:t> </w:t>
            </w:r>
            <w:r>
              <w:rPr>
                <w:noProof/>
              </w:rPr>
              <w:t>100%</w:t>
            </w:r>
          </w:p>
        </w:tc>
        <w:tc>
          <w:tcPr>
            <w:tcW w:w="1491" w:type="dxa"/>
          </w:tcPr>
          <w:p w14:paraId="165418A4" w14:textId="77777777" w:rsidR="00647AA9" w:rsidRPr="00C85C89" w:rsidRDefault="00647AA9" w:rsidP="00B202C2">
            <w:pPr>
              <w:jc w:val="center"/>
              <w:rPr>
                <w:noProof/>
              </w:rPr>
            </w:pPr>
            <w:r>
              <w:rPr>
                <w:noProof/>
              </w:rPr>
              <w:t>&gt;</w:t>
            </w:r>
            <w:r>
              <w:rPr>
                <w:rFonts w:ascii="Calibri" w:hAnsi="Calibri" w:cs="Calibri"/>
                <w:noProof/>
              </w:rPr>
              <w:t> </w:t>
            </w:r>
            <w:r>
              <w:rPr>
                <w:noProof/>
              </w:rPr>
              <w:t>60 annually</w:t>
            </w:r>
          </w:p>
        </w:tc>
        <w:tc>
          <w:tcPr>
            <w:tcW w:w="1530" w:type="dxa"/>
          </w:tcPr>
          <w:p w14:paraId="3341FC82" w14:textId="34C149EA" w:rsidR="00647AA9" w:rsidRPr="00C85C89" w:rsidRDefault="00647AA9" w:rsidP="00DC6073">
            <w:pPr>
              <w:jc w:val="center"/>
              <w:rPr>
                <w:noProof/>
              </w:rPr>
            </w:pPr>
            <w:r>
              <w:rPr>
                <w:noProof/>
              </w:rPr>
              <w:t xml:space="preserve">Target achieved in 2021. </w:t>
            </w:r>
            <w:r w:rsidR="00995A3C">
              <w:rPr>
                <w:noProof/>
              </w:rPr>
              <w:t xml:space="preserve">66 </w:t>
            </w:r>
            <w:r>
              <w:rPr>
                <w:noProof/>
              </w:rPr>
              <w:t>compared to &gt; 60</w:t>
            </w:r>
          </w:p>
        </w:tc>
        <w:tc>
          <w:tcPr>
            <w:tcW w:w="1537" w:type="dxa"/>
          </w:tcPr>
          <w:p w14:paraId="0580D229" w14:textId="77777777" w:rsidR="00647AA9" w:rsidRPr="00C85C89" w:rsidRDefault="00647AA9" w:rsidP="00B202C2">
            <w:pPr>
              <w:jc w:val="center"/>
              <w:rPr>
                <w:noProof/>
              </w:rPr>
            </w:pPr>
            <w:r>
              <w:rPr>
                <w:noProof/>
              </w:rPr>
              <w:t>On track</w:t>
            </w:r>
          </w:p>
        </w:tc>
      </w:tr>
      <w:tr w:rsidR="00647AA9" w:rsidRPr="00AC11E4" w14:paraId="7FB10658" w14:textId="77777777" w:rsidTr="00B202C2">
        <w:trPr>
          <w:cnfStyle w:val="000000010000" w:firstRow="0" w:lastRow="0" w:firstColumn="0" w:lastColumn="0" w:oddVBand="0" w:evenVBand="0" w:oddHBand="0" w:evenHBand="1" w:firstRowFirstColumn="0" w:firstRowLastColumn="0" w:lastRowFirstColumn="0" w:lastRowLastColumn="0"/>
        </w:trPr>
        <w:tc>
          <w:tcPr>
            <w:tcW w:w="2268" w:type="dxa"/>
          </w:tcPr>
          <w:p w14:paraId="56217FFA" w14:textId="77777777" w:rsidR="00647AA9" w:rsidRDefault="00647AA9" w:rsidP="00B202C2">
            <w:pPr>
              <w:rPr>
                <w:noProof/>
              </w:rPr>
            </w:pPr>
            <w:r>
              <w:rPr>
                <w:noProof/>
              </w:rPr>
              <w:t>Number of Member States that provided the Commission with a summary of risk assessments and an assessment of risk management capability</w:t>
            </w:r>
          </w:p>
        </w:tc>
        <w:tc>
          <w:tcPr>
            <w:tcW w:w="931" w:type="dxa"/>
          </w:tcPr>
          <w:p w14:paraId="5E379095" w14:textId="77777777" w:rsidR="00647AA9" w:rsidRDefault="00647AA9" w:rsidP="00B202C2">
            <w:pPr>
              <w:jc w:val="center"/>
              <w:rPr>
                <w:noProof/>
              </w:rPr>
            </w:pPr>
            <w:r>
              <w:rPr>
                <w:noProof/>
              </w:rPr>
              <w:t>27</w:t>
            </w:r>
          </w:p>
        </w:tc>
        <w:tc>
          <w:tcPr>
            <w:tcW w:w="1485" w:type="dxa"/>
          </w:tcPr>
          <w:p w14:paraId="14B27A26" w14:textId="77777777" w:rsidR="00647AA9" w:rsidRDefault="00647AA9" w:rsidP="00B202C2">
            <w:pPr>
              <w:jc w:val="center"/>
              <w:rPr>
                <w:b/>
                <w:noProof/>
              </w:rPr>
            </w:pPr>
            <w:r w:rsidRPr="000762DC">
              <w:rPr>
                <w:noProof/>
              </w:rPr>
              <w:t>&lt;</w:t>
            </w:r>
            <w:r w:rsidRPr="000762DC">
              <w:rPr>
                <w:rFonts w:ascii="Calibri" w:hAnsi="Calibri" w:cs="Calibri"/>
                <w:noProof/>
              </w:rPr>
              <w:t> </w:t>
            </w:r>
            <w:r w:rsidRPr="000762DC">
              <w:rPr>
                <w:noProof/>
              </w:rPr>
              <w:t>0%</w:t>
            </w:r>
          </w:p>
        </w:tc>
        <w:tc>
          <w:tcPr>
            <w:tcW w:w="1491" w:type="dxa"/>
          </w:tcPr>
          <w:p w14:paraId="1E04CB5D" w14:textId="77777777" w:rsidR="00647AA9" w:rsidRDefault="00647AA9" w:rsidP="00B202C2">
            <w:pPr>
              <w:jc w:val="center"/>
              <w:rPr>
                <w:noProof/>
              </w:rPr>
            </w:pPr>
            <w:r>
              <w:rPr>
                <w:noProof/>
              </w:rPr>
              <w:t>27 annually</w:t>
            </w:r>
          </w:p>
        </w:tc>
        <w:tc>
          <w:tcPr>
            <w:tcW w:w="1530" w:type="dxa"/>
          </w:tcPr>
          <w:p w14:paraId="38FA742B" w14:textId="77777777" w:rsidR="00647AA9" w:rsidRDefault="00647AA9" w:rsidP="00B202C2">
            <w:pPr>
              <w:jc w:val="center"/>
              <w:rPr>
                <w:noProof/>
              </w:rPr>
            </w:pPr>
            <w:r>
              <w:rPr>
                <w:noProof/>
              </w:rPr>
              <w:t>26 compared to 27.</w:t>
            </w:r>
          </w:p>
        </w:tc>
        <w:tc>
          <w:tcPr>
            <w:tcW w:w="1537" w:type="dxa"/>
          </w:tcPr>
          <w:p w14:paraId="7B477719" w14:textId="77777777" w:rsidR="00647AA9" w:rsidRDefault="00647AA9" w:rsidP="00B202C2">
            <w:pPr>
              <w:jc w:val="center"/>
              <w:rPr>
                <w:noProof/>
              </w:rPr>
            </w:pPr>
            <w:r>
              <w:rPr>
                <w:noProof/>
              </w:rPr>
              <w:t>Moderate progress</w:t>
            </w:r>
          </w:p>
        </w:tc>
      </w:tr>
      <w:tr w:rsidR="00647AA9" w:rsidRPr="00AC11E4" w14:paraId="43733FEC" w14:textId="77777777" w:rsidTr="00B202C2">
        <w:trPr>
          <w:cnfStyle w:val="000000100000" w:firstRow="0" w:lastRow="0" w:firstColumn="0" w:lastColumn="0" w:oddVBand="0" w:evenVBand="0" w:oddHBand="1" w:evenHBand="0" w:firstRowFirstColumn="0" w:firstRowLastColumn="0" w:lastRowFirstColumn="0" w:lastRowLastColumn="0"/>
        </w:trPr>
        <w:tc>
          <w:tcPr>
            <w:tcW w:w="2268" w:type="dxa"/>
          </w:tcPr>
          <w:p w14:paraId="454D5F5F" w14:textId="77777777" w:rsidR="00647AA9" w:rsidRDefault="00647AA9" w:rsidP="00B202C2">
            <w:pPr>
              <w:rPr>
                <w:noProof/>
              </w:rPr>
            </w:pPr>
            <w:r>
              <w:rPr>
                <w:noProof/>
              </w:rPr>
              <w:t>Level of awareness of EU citizens of the risk of their region</w:t>
            </w:r>
          </w:p>
        </w:tc>
        <w:tc>
          <w:tcPr>
            <w:tcW w:w="931" w:type="dxa"/>
          </w:tcPr>
          <w:p w14:paraId="44508DA9" w14:textId="77777777" w:rsidR="00647AA9" w:rsidRDefault="00647AA9" w:rsidP="00B202C2">
            <w:pPr>
              <w:jc w:val="center"/>
              <w:rPr>
                <w:noProof/>
              </w:rPr>
            </w:pPr>
            <w:r>
              <w:rPr>
                <w:noProof/>
              </w:rPr>
              <w:t>Not available</w:t>
            </w:r>
          </w:p>
        </w:tc>
        <w:tc>
          <w:tcPr>
            <w:tcW w:w="1485" w:type="dxa"/>
          </w:tcPr>
          <w:p w14:paraId="6157778A" w14:textId="77777777" w:rsidR="00647AA9" w:rsidRDefault="00647AA9" w:rsidP="00B202C2">
            <w:pPr>
              <w:jc w:val="center"/>
              <w:rPr>
                <w:b/>
                <w:noProof/>
              </w:rPr>
            </w:pPr>
          </w:p>
        </w:tc>
        <w:tc>
          <w:tcPr>
            <w:tcW w:w="1491" w:type="dxa"/>
          </w:tcPr>
          <w:p w14:paraId="7391DF97" w14:textId="77777777" w:rsidR="00647AA9" w:rsidRDefault="00647AA9" w:rsidP="00B202C2">
            <w:pPr>
              <w:jc w:val="center"/>
              <w:rPr>
                <w:noProof/>
              </w:rPr>
            </w:pPr>
            <w:r>
              <w:rPr>
                <w:noProof/>
              </w:rPr>
              <w:t>&gt;</w:t>
            </w:r>
            <w:r>
              <w:rPr>
                <w:rFonts w:ascii="Calibri" w:hAnsi="Calibri" w:cs="Calibri"/>
                <w:noProof/>
              </w:rPr>
              <w:t> </w:t>
            </w:r>
            <w:r>
              <w:rPr>
                <w:noProof/>
              </w:rPr>
              <w:t>64%</w:t>
            </w:r>
          </w:p>
        </w:tc>
        <w:tc>
          <w:tcPr>
            <w:tcW w:w="1530" w:type="dxa"/>
          </w:tcPr>
          <w:p w14:paraId="3E3BAABA" w14:textId="77777777" w:rsidR="00647AA9" w:rsidRDefault="00647AA9" w:rsidP="00B202C2">
            <w:pPr>
              <w:jc w:val="center"/>
              <w:rPr>
                <w:noProof/>
              </w:rPr>
            </w:pPr>
          </w:p>
        </w:tc>
        <w:tc>
          <w:tcPr>
            <w:tcW w:w="1537" w:type="dxa"/>
          </w:tcPr>
          <w:p w14:paraId="1211799D" w14:textId="77777777" w:rsidR="00647AA9" w:rsidRDefault="00647AA9" w:rsidP="00B202C2">
            <w:pPr>
              <w:jc w:val="center"/>
              <w:rPr>
                <w:noProof/>
              </w:rPr>
            </w:pPr>
            <w:r>
              <w:rPr>
                <w:noProof/>
              </w:rPr>
              <w:t>No data</w:t>
            </w:r>
          </w:p>
        </w:tc>
      </w:tr>
    </w:tbl>
    <w:p w14:paraId="376809F1" w14:textId="762C1B36" w:rsidR="00647AA9" w:rsidRDefault="00647AA9" w:rsidP="00647AA9">
      <w:pPr>
        <w:pStyle w:val="FootnoteText"/>
        <w:spacing w:before="120"/>
        <w:rPr>
          <w:noProof/>
        </w:rPr>
      </w:pPr>
      <w:r>
        <w:rPr>
          <w:noProof/>
        </w:rPr>
        <w:t xml:space="preserve">(*) % of years for which the milestones or target </w:t>
      </w:r>
      <w:r w:rsidR="00AA5CAB">
        <w:rPr>
          <w:noProof/>
        </w:rPr>
        <w:t xml:space="preserve">have </w:t>
      </w:r>
      <w:r>
        <w:rPr>
          <w:noProof/>
        </w:rPr>
        <w:t>been achieved during the 2021-2027 period.</w:t>
      </w:r>
    </w:p>
    <w:p w14:paraId="2D5227C9" w14:textId="77777777" w:rsidR="00647AA9" w:rsidRDefault="00647AA9" w:rsidP="00647AA9">
      <w:pPr>
        <w:pStyle w:val="ppoListHyphened-L1"/>
        <w:numPr>
          <w:ilvl w:val="0"/>
          <w:numId w:val="0"/>
        </w:numPr>
        <w:ind w:left="357" w:hanging="357"/>
        <w:rPr>
          <w:noProof/>
        </w:rPr>
      </w:pPr>
    </w:p>
    <w:p w14:paraId="43CD1D91" w14:textId="77777777" w:rsidR="00647AA9" w:rsidRDefault="00647AA9" w:rsidP="00647AA9">
      <w:pPr>
        <w:pStyle w:val="ppoListHyphened-L1"/>
        <w:numPr>
          <w:ilvl w:val="0"/>
          <w:numId w:val="0"/>
        </w:numPr>
        <w:ind w:left="357" w:hanging="357"/>
        <w:rPr>
          <w:noProof/>
        </w:rPr>
      </w:pPr>
      <w:r>
        <w:rPr>
          <w:noProof/>
        </w:rPr>
        <w:t xml:space="preserve">Performance in the </w:t>
      </w:r>
      <w:r w:rsidRPr="0073413A">
        <w:rPr>
          <w:bCs/>
          <w:noProof/>
        </w:rPr>
        <w:t>internal dimension</w:t>
      </w:r>
      <w:r>
        <w:rPr>
          <w:bCs/>
          <w:noProof/>
        </w:rPr>
        <w:t>.</w:t>
      </w:r>
    </w:p>
    <w:p w14:paraId="2EF40B75" w14:textId="77777777" w:rsidR="00647AA9" w:rsidRDefault="00647AA9" w:rsidP="00647AA9">
      <w:pPr>
        <w:pStyle w:val="ppoListHyphened-L1"/>
        <w:rPr>
          <w:noProof/>
        </w:rPr>
      </w:pPr>
      <w:r>
        <w:rPr>
          <w:noProof/>
        </w:rPr>
        <w:t xml:space="preserve">In the area of </w:t>
      </w:r>
      <w:r w:rsidRPr="007F75EB">
        <w:rPr>
          <w:noProof/>
          <w:u w:val="single"/>
        </w:rPr>
        <w:t>prevention</w:t>
      </w:r>
      <w:r>
        <w:rPr>
          <w:noProof/>
        </w:rPr>
        <w:t>, the UCPM continues to be instrumental in fostering an EU-wide culture of prevention. Member States have generally become more aware of the need to strengthen prevention policies and have undertaken reforms in their national civil protection structures to emphasise the role of prevention. In this respect, the 2020 EuroBarometer survey reveals a positive trend between 2015 and 2020. The prevention strand also includes fostering cooperation and coordination of activities at cross-border level. In 2021, the UCPM funded nine projects implemented by partners from 16 Member States and participating states focusing on the development of cross</w:t>
      </w:r>
      <w:r>
        <w:rPr>
          <w:noProof/>
        </w:rPr>
        <w:noBreakHyphen/>
        <w:t>border risk assessments, improved regional and cross-sectoral coordination and preparation for marine pollution accidents.</w:t>
      </w:r>
    </w:p>
    <w:p w14:paraId="636861CA" w14:textId="77777777" w:rsidR="00647AA9" w:rsidRDefault="00647AA9" w:rsidP="00647AA9">
      <w:pPr>
        <w:pStyle w:val="ppoListHyphened-L1"/>
        <w:rPr>
          <w:noProof/>
        </w:rPr>
      </w:pPr>
      <w:r>
        <w:rPr>
          <w:noProof/>
        </w:rPr>
        <w:t xml:space="preserve">In the area of </w:t>
      </w:r>
      <w:r w:rsidRPr="00EA1A5D">
        <w:rPr>
          <w:noProof/>
          <w:u w:val="single"/>
        </w:rPr>
        <w:t>preparedness</w:t>
      </w:r>
      <w:r>
        <w:rPr>
          <w:noProof/>
        </w:rPr>
        <w:t xml:space="preserve">, the trend clearly shows the growing importance of the UCPM among Member States when it comes to preparedness for disasters. The number and diversity of registered capacities in the ECPP is the highest ever, reaching in certain areas the maximum required at EU level. The concrete implementation of the revised UCPM legislation has strengthened the preparedness component of the UCPM through enhanced financing for the ECPP and the progressive development of rescEU capacities in various areas, complementing national capacities. Every year, a sophisticated training and exercise programme provides experts and capacities with the required competences to improve their </w:t>
      </w:r>
      <w:r w:rsidRPr="001C144A">
        <w:rPr>
          <w:noProof/>
        </w:rPr>
        <w:t>respon</w:t>
      </w:r>
      <w:r>
        <w:rPr>
          <w:noProof/>
        </w:rPr>
        <w:t>se to disasters through enhanced coordination, compatibility and complementarity. To support the coordination efforts of Member States, participating states and the UCPM, the k</w:t>
      </w:r>
      <w:r w:rsidRPr="001F44DC">
        <w:rPr>
          <w:noProof/>
        </w:rPr>
        <w:t xml:space="preserve">nowledge </w:t>
      </w:r>
      <w:r>
        <w:rPr>
          <w:noProof/>
        </w:rPr>
        <w:t>n</w:t>
      </w:r>
      <w:r w:rsidRPr="001F44DC">
        <w:rPr>
          <w:noProof/>
        </w:rPr>
        <w:t>etwork</w:t>
      </w:r>
      <w:r>
        <w:rPr>
          <w:noProof/>
        </w:rPr>
        <w:t xml:space="preserve"> was officially established in 2021.</w:t>
      </w:r>
    </w:p>
    <w:p w14:paraId="367C7DDE" w14:textId="77777777" w:rsidR="00647AA9" w:rsidRDefault="00647AA9" w:rsidP="00647AA9">
      <w:pPr>
        <w:pStyle w:val="ppoListHyphened-L1"/>
        <w:rPr>
          <w:noProof/>
        </w:rPr>
      </w:pPr>
      <w:r>
        <w:rPr>
          <w:noProof/>
        </w:rPr>
        <w:t xml:space="preserve">Concerning the </w:t>
      </w:r>
      <w:r w:rsidRPr="000F7AC9">
        <w:rPr>
          <w:noProof/>
          <w:u w:val="single"/>
        </w:rPr>
        <w:t>response</w:t>
      </w:r>
      <w:r>
        <w:rPr>
          <w:noProof/>
        </w:rPr>
        <w:t xml:space="preserve"> strand, the UCPM continued to lead the response to the COVID-19 pandemic and its different waves, using tools and capacities to respond both in and outside of the EU. The UCPM was activated 114 times, which is an absolute record in the history of UCPM, of which 36 were in the EU. Out of 114 activations, 69 (61%) were related to COVID</w:t>
      </w:r>
      <w:r>
        <w:rPr>
          <w:noProof/>
        </w:rPr>
        <w:noBreakHyphen/>
        <w:t>19. The UCPM had a 100% response rate within Europe. Sixty requests were partially or fully met by offers of assistance from Member States, participating states or the rescEU medical stockpile. In total, the UCPM facilitated the delivery of over 200</w:t>
      </w:r>
      <w:r>
        <w:rPr>
          <w:rFonts w:ascii="Calibri" w:hAnsi="Calibri" w:cs="Calibri"/>
          <w:noProof/>
        </w:rPr>
        <w:t> </w:t>
      </w:r>
      <w:r>
        <w:rPr>
          <w:noProof/>
        </w:rPr>
        <w:t>million items of medical equipment, including 6</w:t>
      </w:r>
      <w:r>
        <w:rPr>
          <w:rFonts w:ascii="Calibri" w:hAnsi="Calibri"/>
          <w:noProof/>
        </w:rPr>
        <w:t> </w:t>
      </w:r>
      <w:r>
        <w:rPr>
          <w:noProof/>
        </w:rPr>
        <w:t xml:space="preserve">million items from the rescEU stockpile. In addition to COVID-19 aid, assistance was provided to Belgium </w:t>
      </w:r>
      <w:r w:rsidRPr="00556FAC">
        <w:rPr>
          <w:noProof/>
        </w:rPr>
        <w:t>wh</w:t>
      </w:r>
      <w:r>
        <w:rPr>
          <w:noProof/>
        </w:rPr>
        <w:t>en</w:t>
      </w:r>
      <w:r w:rsidRPr="00556FAC">
        <w:rPr>
          <w:noProof/>
        </w:rPr>
        <w:t xml:space="preserve"> </w:t>
      </w:r>
      <w:r>
        <w:rPr>
          <w:noProof/>
        </w:rPr>
        <w:t xml:space="preserve">it </w:t>
      </w:r>
      <w:r w:rsidRPr="00556FAC">
        <w:rPr>
          <w:noProof/>
        </w:rPr>
        <w:t>suffered from floods</w:t>
      </w:r>
      <w:r>
        <w:rPr>
          <w:noProof/>
        </w:rPr>
        <w:t xml:space="preserve">. </w:t>
      </w:r>
    </w:p>
    <w:p w14:paraId="60F56E4F" w14:textId="77777777" w:rsidR="00647AA9" w:rsidRDefault="00647AA9" w:rsidP="00647AA9">
      <w:pPr>
        <w:pStyle w:val="ppoListHyphened-L1"/>
        <w:numPr>
          <w:ilvl w:val="0"/>
          <w:numId w:val="0"/>
        </w:numPr>
        <w:rPr>
          <w:noProof/>
        </w:rPr>
      </w:pPr>
    </w:p>
    <w:p w14:paraId="4295C389" w14:textId="77777777" w:rsidR="00647AA9" w:rsidRDefault="00647AA9" w:rsidP="00647AA9">
      <w:pPr>
        <w:pStyle w:val="ppoListHyphened-L1"/>
        <w:numPr>
          <w:ilvl w:val="0"/>
          <w:numId w:val="0"/>
        </w:numPr>
        <w:rPr>
          <w:noProof/>
        </w:rPr>
      </w:pPr>
      <w:r>
        <w:rPr>
          <w:noProof/>
        </w:rPr>
        <w:t xml:space="preserve">Performance in the </w:t>
      </w:r>
      <w:r w:rsidRPr="0073413A">
        <w:rPr>
          <w:bCs/>
          <w:noProof/>
        </w:rPr>
        <w:t>external dimension</w:t>
      </w:r>
      <w:r>
        <w:rPr>
          <w:bCs/>
          <w:noProof/>
        </w:rPr>
        <w:t>.</w:t>
      </w:r>
    </w:p>
    <w:p w14:paraId="067B3BC2" w14:textId="77777777" w:rsidR="00647AA9" w:rsidRDefault="00647AA9" w:rsidP="00647AA9">
      <w:pPr>
        <w:pStyle w:val="ppoListHyphened-L1"/>
        <w:rPr>
          <w:noProof/>
        </w:rPr>
      </w:pPr>
      <w:r>
        <w:rPr>
          <w:noProof/>
        </w:rPr>
        <w:t xml:space="preserve">The focus stayed on strengthening cooperation with the immediate neighbourhood, notably with the beneficiary countries of the </w:t>
      </w:r>
      <w:r w:rsidRPr="0095082A">
        <w:rPr>
          <w:noProof/>
        </w:rPr>
        <w:t>Instrument for Pre-accession Assistance</w:t>
      </w:r>
      <w:r w:rsidRPr="00E463EE">
        <w:rPr>
          <w:noProof/>
        </w:rPr>
        <w:t xml:space="preserve"> (</w:t>
      </w:r>
      <w:r w:rsidRPr="0053127D">
        <w:rPr>
          <w:noProof/>
        </w:rPr>
        <w:t xml:space="preserve">particularly Albania, </w:t>
      </w:r>
      <w:r w:rsidRPr="00E463EE">
        <w:rPr>
          <w:noProof/>
        </w:rPr>
        <w:t>Bosnia and Herzegovina, Kosovo</w:t>
      </w:r>
      <w:r>
        <w:rPr>
          <w:rFonts w:ascii="Calibri" w:hAnsi="Calibri" w:cs="Calibri"/>
          <w:noProof/>
        </w:rPr>
        <w:t> </w:t>
      </w:r>
      <w:r w:rsidRPr="0073413A">
        <w:rPr>
          <w:rFonts w:cs="Calibri"/>
          <w:noProof/>
        </w:rPr>
        <w:t>(</w:t>
      </w:r>
      <w:r w:rsidRPr="0073413A">
        <w:rPr>
          <w:rStyle w:val="FootnoteReference"/>
          <w:rFonts w:cs="Calibri"/>
          <w:noProof/>
        </w:rPr>
        <w:footnoteReference w:id="9"/>
      </w:r>
      <w:r w:rsidRPr="0073413A">
        <w:rPr>
          <w:rFonts w:cs="Calibri"/>
          <w:noProof/>
        </w:rPr>
        <w:t>)</w:t>
      </w:r>
      <w:r w:rsidRPr="008C3DFA">
        <w:rPr>
          <w:noProof/>
        </w:rPr>
        <w:t xml:space="preserve"> and Turkey</w:t>
      </w:r>
      <w:r>
        <w:rPr>
          <w:noProof/>
        </w:rPr>
        <w:t xml:space="preserve">) as well as the southern and eastern neighbourhoods, where new phases of regional programmes in the western Balkans and the eastern neighbourhood were launched or are in preparation. The dialogue with the </w:t>
      </w:r>
      <w:r w:rsidRPr="005A5272">
        <w:rPr>
          <w:noProof/>
        </w:rPr>
        <w:t>Union for the Mediterranean</w:t>
      </w:r>
      <w:r>
        <w:rPr>
          <w:noProof/>
        </w:rPr>
        <w:t xml:space="preserve"> continued to build on the positive exchanges from recent years, delivering concrete results in the form of specific workshops around various areas related to disaster management, such as working groups on volunteers and engaging citizens or workshops on the future of cooperation in the Mediterranean area. </w:t>
      </w:r>
      <w:r w:rsidRPr="005A5272">
        <w:rPr>
          <w:noProof/>
        </w:rPr>
        <w:t>Emphasis was also p</w:t>
      </w:r>
      <w:r>
        <w:rPr>
          <w:noProof/>
        </w:rPr>
        <w:t xml:space="preserve">laced on continuing financing prevention and preparedness projects in non-EU countries with a cross-border dimension. Such initiatives have been instrumental in promoting cooperation at the technical level, developing networks and </w:t>
      </w:r>
      <w:r w:rsidRPr="005A5272">
        <w:rPr>
          <w:noProof/>
        </w:rPr>
        <w:t xml:space="preserve">promoting </w:t>
      </w:r>
      <w:r>
        <w:rPr>
          <w:noProof/>
        </w:rPr>
        <w:t xml:space="preserve">the building of </w:t>
      </w:r>
      <w:r w:rsidRPr="005A5272">
        <w:rPr>
          <w:noProof/>
        </w:rPr>
        <w:t>capacity</w:t>
      </w:r>
      <w:r>
        <w:rPr>
          <w:noProof/>
        </w:rPr>
        <w:t>. There were continuing efforts to increase the availability and use of scientific knowledge on disasters, to expand available data to strengthen the early warning and information systems for natural disasters (e.g. droughts, floods, forest fires, tropical cyclones or severe weather) and to make extensive use of the services and information provided via the Copernicus programme.</w:t>
      </w:r>
    </w:p>
    <w:p w14:paraId="40B044EA" w14:textId="77777777" w:rsidR="00647AA9" w:rsidRDefault="00647AA9" w:rsidP="00647AA9">
      <w:pPr>
        <w:pStyle w:val="ppoListHyphened-L1"/>
        <w:rPr>
          <w:noProof/>
        </w:rPr>
      </w:pPr>
      <w:r>
        <w:rPr>
          <w:noProof/>
        </w:rPr>
        <w:t xml:space="preserve">Concerning </w:t>
      </w:r>
      <w:r w:rsidRPr="00097242">
        <w:rPr>
          <w:noProof/>
          <w:u w:val="single"/>
        </w:rPr>
        <w:t>response</w:t>
      </w:r>
      <w:r>
        <w:rPr>
          <w:noProof/>
        </w:rPr>
        <w:t xml:space="preserve">, given the increasingly unpredictable nature of disasters within and outside of the EU’s borders, the UCPM is activated more and more often. An activation of the UCPM and the offer of rapid support </w:t>
      </w:r>
      <w:bookmarkStart w:id="112" w:name="_Hlk101451993"/>
      <w:r>
        <w:rPr>
          <w:noProof/>
        </w:rPr>
        <w:t xml:space="preserve">contributes to showcasing </w:t>
      </w:r>
      <w:r w:rsidRPr="00930948">
        <w:rPr>
          <w:noProof/>
        </w:rPr>
        <w:t>E</w:t>
      </w:r>
      <w:r>
        <w:rPr>
          <w:noProof/>
        </w:rPr>
        <w:t xml:space="preserve">U solidarity with non-EU countries </w:t>
      </w:r>
      <w:bookmarkEnd w:id="112"/>
      <w:r>
        <w:rPr>
          <w:noProof/>
        </w:rPr>
        <w:t xml:space="preserve">in times of crisis. Non-EU countries account for around two thirds of the UCPM activations, which demonstrates its international relevance and the capacity and readiness of the Member States to send assistance and expertise to non-EU countries in need. </w:t>
      </w:r>
    </w:p>
    <w:p w14:paraId="45508AC4" w14:textId="77777777" w:rsidR="00647AA9" w:rsidRDefault="00647AA9" w:rsidP="00647AA9">
      <w:pPr>
        <w:pStyle w:val="ppoListHyphened-L1"/>
        <w:rPr>
          <w:noProof/>
        </w:rPr>
      </w:pPr>
      <w:r>
        <w:rPr>
          <w:noProof/>
        </w:rPr>
        <w:t xml:space="preserve">The UCPM replied positively to 87% of the requests for assistance from </w:t>
      </w:r>
      <w:r w:rsidRPr="00DE054E">
        <w:rPr>
          <w:noProof/>
        </w:rPr>
        <w:t>outside</w:t>
      </w:r>
      <w:r>
        <w:rPr>
          <w:noProof/>
        </w:rPr>
        <w:t xml:space="preserve"> of</w:t>
      </w:r>
      <w:r w:rsidRPr="00DE054E">
        <w:rPr>
          <w:noProof/>
        </w:rPr>
        <w:t xml:space="preserve"> Europe</w:t>
      </w:r>
      <w:r>
        <w:rPr>
          <w:noProof/>
        </w:rPr>
        <w:t>. The UCPM mainly supported the Member States that were most heavily affected through the delivery of vaccines and personal protective/medical equipment under the framework of the rescEU stockpiling. In addition to the COVID</w:t>
      </w:r>
      <w:r>
        <w:rPr>
          <w:noProof/>
        </w:rPr>
        <w:noBreakHyphen/>
        <w:t>related activations, these were connected to the repatriation of EU and non-EU citizens, volcanic eruptions, Ebola outbreaks, forest fires, floods, tropical cyclones, refugee influx, medicine shortages, oil spills and maritime pollution and technological disasters. Over 38</w:t>
      </w:r>
      <w:r>
        <w:rPr>
          <w:rFonts w:ascii="Calibri" w:hAnsi="Calibri" w:cs="Calibri"/>
          <w:noProof/>
        </w:rPr>
        <w:t> </w:t>
      </w:r>
      <w:r>
        <w:rPr>
          <w:noProof/>
        </w:rPr>
        <w:t>million vaccine doses were offered for sharing through the UCPM, of which almost 32</w:t>
      </w:r>
      <w:r>
        <w:rPr>
          <w:rFonts w:ascii="Calibri" w:hAnsi="Calibri" w:cs="Calibri"/>
          <w:noProof/>
        </w:rPr>
        <w:t> </w:t>
      </w:r>
      <w:r>
        <w:rPr>
          <w:noProof/>
        </w:rPr>
        <w:t xml:space="preserve">million doses were delivered to over 40 non-EU countries. Assistance via the UCPM was also provided to Haiti following an earthquake. </w:t>
      </w:r>
    </w:p>
    <w:p w14:paraId="3DE85F2A" w14:textId="77777777" w:rsidR="00647AA9" w:rsidRDefault="00647AA9" w:rsidP="00647AA9">
      <w:pPr>
        <w:pStyle w:val="ppoListHyphened-L1"/>
        <w:numPr>
          <w:ilvl w:val="0"/>
          <w:numId w:val="0"/>
        </w:numPr>
        <w:rPr>
          <w:noProof/>
        </w:rPr>
      </w:pPr>
    </w:p>
    <w:p w14:paraId="16979F8F" w14:textId="77777777" w:rsidR="00647AA9" w:rsidRDefault="00647AA9" w:rsidP="00647AA9">
      <w:pPr>
        <w:pStyle w:val="ppoListHyphened-L1"/>
        <w:numPr>
          <w:ilvl w:val="0"/>
          <w:numId w:val="0"/>
        </w:numPr>
        <w:rPr>
          <w:noProof/>
        </w:rPr>
      </w:pPr>
      <w:r>
        <w:rPr>
          <w:noProof/>
        </w:rPr>
        <w:t>Areas for improvement.</w:t>
      </w:r>
    </w:p>
    <w:p w14:paraId="51D0E77F" w14:textId="77777777" w:rsidR="00647AA9" w:rsidRDefault="00647AA9" w:rsidP="00647AA9">
      <w:pPr>
        <w:pStyle w:val="ppoListHyphened-L1"/>
        <w:rPr>
          <w:noProof/>
        </w:rPr>
      </w:pPr>
      <w:r>
        <w:rPr>
          <w:noProof/>
        </w:rPr>
        <w:t>The large-scale and unforeseen nature of the COVID-19 pandemic put the UCPM to the test and revealed some areas for possible improvements. In the aftermath of the first wave, a new legislative proposal was made and entered into force in May 2021. This gave the Commission additional elements of initiative and a higher autonomy in certain cases, adjusted the collective planning for large-scale and cross-boundary emergencies and enhanced the budgetary flexibility to rapidly react and adjust to major crises.</w:t>
      </w:r>
    </w:p>
    <w:p w14:paraId="564DD5F7" w14:textId="77777777" w:rsidR="00647AA9" w:rsidRPr="006E27ED" w:rsidRDefault="00647AA9" w:rsidP="00647AA9">
      <w:pPr>
        <w:pStyle w:val="ppoListHyphened-L1"/>
        <w:rPr>
          <w:noProof/>
        </w:rPr>
      </w:pPr>
      <w:r>
        <w:rPr>
          <w:noProof/>
        </w:rPr>
        <w:t xml:space="preserve">The evaluation of the 2014-2020 </w:t>
      </w:r>
      <w:bookmarkStart w:id="113" w:name="_Hlk101513249"/>
      <w:r>
        <w:rPr>
          <w:noProof/>
        </w:rPr>
        <w:t>prevention and preparedness projects’ programme</w:t>
      </w:r>
      <w:bookmarkEnd w:id="113"/>
      <w:r>
        <w:rPr>
          <w:noProof/>
        </w:rPr>
        <w:t xml:space="preserve">, published in September 2021, </w:t>
      </w:r>
      <w:r w:rsidRPr="006E27ED">
        <w:rPr>
          <w:noProof/>
        </w:rPr>
        <w:t xml:space="preserve">provided </w:t>
      </w:r>
      <w:r>
        <w:rPr>
          <w:noProof/>
        </w:rPr>
        <w:t xml:space="preserve">the following </w:t>
      </w:r>
      <w:r w:rsidRPr="006E27ED">
        <w:rPr>
          <w:noProof/>
        </w:rPr>
        <w:t xml:space="preserve">main recommendations: </w:t>
      </w:r>
      <w:r>
        <w:rPr>
          <w:noProof/>
        </w:rPr>
        <w:t>(1) i</w:t>
      </w:r>
      <w:r w:rsidRPr="006E27ED">
        <w:rPr>
          <w:noProof/>
        </w:rPr>
        <w:t xml:space="preserve">ncrease awareness, access to and engagement with ongoing and past EU-funded projects on civil protection prevention and preparedness and their results; </w:t>
      </w:r>
      <w:r>
        <w:rPr>
          <w:noProof/>
        </w:rPr>
        <w:t xml:space="preserve">(2) </w:t>
      </w:r>
      <w:r w:rsidRPr="006E27ED">
        <w:rPr>
          <w:noProof/>
        </w:rPr>
        <w:t xml:space="preserve">establish an internal </w:t>
      </w:r>
      <w:r>
        <w:rPr>
          <w:noProof/>
        </w:rPr>
        <w:t>p</w:t>
      </w:r>
      <w:r w:rsidRPr="003E3235">
        <w:rPr>
          <w:noProof/>
        </w:rPr>
        <w:t xml:space="preserve">lanning, </w:t>
      </w:r>
      <w:r>
        <w:rPr>
          <w:noProof/>
        </w:rPr>
        <w:t>m</w:t>
      </w:r>
      <w:r w:rsidRPr="003E3235">
        <w:rPr>
          <w:noProof/>
        </w:rPr>
        <w:t xml:space="preserve">onitoring, </w:t>
      </w:r>
      <w:r>
        <w:rPr>
          <w:noProof/>
        </w:rPr>
        <w:t>e</w:t>
      </w:r>
      <w:r w:rsidRPr="003E3235">
        <w:rPr>
          <w:noProof/>
        </w:rPr>
        <w:t xml:space="preserve">valuation and </w:t>
      </w:r>
      <w:r>
        <w:rPr>
          <w:noProof/>
        </w:rPr>
        <w:t>r</w:t>
      </w:r>
      <w:r w:rsidRPr="003E3235">
        <w:rPr>
          <w:noProof/>
        </w:rPr>
        <w:t>eporting</w:t>
      </w:r>
      <w:r w:rsidRPr="006E27ED">
        <w:rPr>
          <w:noProof/>
        </w:rPr>
        <w:t xml:space="preserve"> framework to assess the performance and quality of the </w:t>
      </w:r>
      <w:r w:rsidRPr="002D5179">
        <w:rPr>
          <w:noProof/>
        </w:rPr>
        <w:t>p</w:t>
      </w:r>
      <w:r w:rsidRPr="00D549C1">
        <w:rPr>
          <w:noProof/>
        </w:rPr>
        <w:t>rogramme</w:t>
      </w:r>
      <w:r w:rsidRPr="006E27ED">
        <w:rPr>
          <w:noProof/>
        </w:rPr>
        <w:t xml:space="preserve">; </w:t>
      </w:r>
      <w:r>
        <w:rPr>
          <w:noProof/>
        </w:rPr>
        <w:t xml:space="preserve">and (3) </w:t>
      </w:r>
      <w:r w:rsidRPr="006E27ED">
        <w:rPr>
          <w:noProof/>
        </w:rPr>
        <w:t>introduce the possibility to apply for project extensions and expansions</w:t>
      </w:r>
      <w:r>
        <w:rPr>
          <w:noProof/>
        </w:rPr>
        <w:t>,</w:t>
      </w:r>
      <w:r w:rsidRPr="006E27ED">
        <w:rPr>
          <w:noProof/>
        </w:rPr>
        <w:t xml:space="preserve"> raise awareness o</w:t>
      </w:r>
      <w:r>
        <w:rPr>
          <w:noProof/>
        </w:rPr>
        <w:t>f</w:t>
      </w:r>
      <w:r w:rsidRPr="006E27ED">
        <w:rPr>
          <w:noProof/>
        </w:rPr>
        <w:t xml:space="preserve"> the </w:t>
      </w:r>
      <w:r>
        <w:rPr>
          <w:noProof/>
        </w:rPr>
        <w:t>p</w:t>
      </w:r>
      <w:r w:rsidRPr="006E27ED">
        <w:rPr>
          <w:noProof/>
        </w:rPr>
        <w:t xml:space="preserve">rogramme and provide guidance on how to prepare successful applications. </w:t>
      </w:r>
    </w:p>
    <w:p w14:paraId="031654FA" w14:textId="77777777" w:rsidR="00647AA9" w:rsidRPr="006E27ED" w:rsidRDefault="00647AA9" w:rsidP="00647AA9">
      <w:pPr>
        <w:pStyle w:val="ppoListHyphened-L1"/>
        <w:rPr>
          <w:noProof/>
        </w:rPr>
      </w:pPr>
      <w:r w:rsidRPr="006E27ED">
        <w:rPr>
          <w:noProof/>
        </w:rPr>
        <w:t>The C</w:t>
      </w:r>
      <w:r>
        <w:rPr>
          <w:noProof/>
        </w:rPr>
        <w:t>OVID</w:t>
      </w:r>
      <w:r w:rsidRPr="006E27ED">
        <w:rPr>
          <w:noProof/>
        </w:rPr>
        <w:t>-19 pandemic continued to significant</w:t>
      </w:r>
      <w:r>
        <w:rPr>
          <w:noProof/>
        </w:rPr>
        <w:t>ly affect</w:t>
      </w:r>
      <w:r w:rsidRPr="006E27ED">
        <w:rPr>
          <w:noProof/>
        </w:rPr>
        <w:t xml:space="preserve"> UCPM activities. Based on lessons learned during the </w:t>
      </w:r>
      <w:r>
        <w:rPr>
          <w:noProof/>
        </w:rPr>
        <w:t>previous</w:t>
      </w:r>
      <w:r w:rsidRPr="006E27ED">
        <w:rPr>
          <w:noProof/>
        </w:rPr>
        <w:t xml:space="preserve"> year</w:t>
      </w:r>
      <w:r>
        <w:rPr>
          <w:noProof/>
        </w:rPr>
        <w:t>,</w:t>
      </w:r>
      <w:r w:rsidRPr="006E27ED">
        <w:rPr>
          <w:noProof/>
        </w:rPr>
        <w:t xml:space="preserve"> adaptation became easier. However, with the evolution of the pandemic different challenges occurred and needed to be tackled. While response time improved from 2020, internal and external response times still remain higher than </w:t>
      </w:r>
      <w:r>
        <w:rPr>
          <w:noProof/>
        </w:rPr>
        <w:t xml:space="preserve">their corresponding </w:t>
      </w:r>
      <w:r w:rsidRPr="006E27ED">
        <w:rPr>
          <w:noProof/>
        </w:rPr>
        <w:t>pre</w:t>
      </w:r>
      <w:r>
        <w:rPr>
          <w:noProof/>
        </w:rPr>
        <w:noBreakHyphen/>
      </w:r>
      <w:r w:rsidRPr="006E27ED">
        <w:rPr>
          <w:noProof/>
        </w:rPr>
        <w:t xml:space="preserve">pandemic levels. </w:t>
      </w:r>
      <w:r>
        <w:rPr>
          <w:noProof/>
        </w:rPr>
        <w:t>T</w:t>
      </w:r>
      <w:r w:rsidRPr="006E27ED">
        <w:rPr>
          <w:noProof/>
        </w:rPr>
        <w:t>he UCPM facilitated the delivery of millions of personal protective equipment items, medical countermeasures and vaccines to Member States</w:t>
      </w:r>
      <w:r>
        <w:rPr>
          <w:noProof/>
        </w:rPr>
        <w:t>,</w:t>
      </w:r>
      <w:r w:rsidRPr="006E27ED">
        <w:rPr>
          <w:noProof/>
        </w:rPr>
        <w:t xml:space="preserve"> </w:t>
      </w:r>
      <w:r>
        <w:rPr>
          <w:noProof/>
        </w:rPr>
        <w:t>p</w:t>
      </w:r>
      <w:r w:rsidRPr="006E27ED">
        <w:rPr>
          <w:noProof/>
        </w:rPr>
        <w:t xml:space="preserve">articipating </w:t>
      </w:r>
      <w:r>
        <w:rPr>
          <w:noProof/>
        </w:rPr>
        <w:t>s</w:t>
      </w:r>
      <w:r w:rsidRPr="006E27ED">
        <w:rPr>
          <w:noProof/>
        </w:rPr>
        <w:t xml:space="preserve">tates </w:t>
      </w:r>
      <w:r>
        <w:rPr>
          <w:noProof/>
        </w:rPr>
        <w:t>and</w:t>
      </w:r>
      <w:r w:rsidRPr="006E27ED">
        <w:rPr>
          <w:noProof/>
        </w:rPr>
        <w:t xml:space="preserve"> non-EU countries. Other areas </w:t>
      </w:r>
      <w:r>
        <w:rPr>
          <w:noProof/>
        </w:rPr>
        <w:t xml:space="preserve">were </w:t>
      </w:r>
      <w:r w:rsidRPr="006E27ED">
        <w:rPr>
          <w:noProof/>
        </w:rPr>
        <w:t xml:space="preserve">particularly affected by the pandemic are the ones related to training and exercises, given the restrictions in place. The </w:t>
      </w:r>
      <w:r>
        <w:rPr>
          <w:noProof/>
        </w:rPr>
        <w:t>provision</w:t>
      </w:r>
      <w:r w:rsidRPr="006E27ED">
        <w:rPr>
          <w:noProof/>
        </w:rPr>
        <w:t xml:space="preserve"> of prevention-related information and the certification of </w:t>
      </w:r>
      <w:r w:rsidRPr="008C7D91">
        <w:rPr>
          <w:noProof/>
        </w:rPr>
        <w:t>ECPP</w:t>
      </w:r>
      <w:r w:rsidRPr="00A05F07">
        <w:rPr>
          <w:noProof/>
        </w:rPr>
        <w:t xml:space="preserve"> </w:t>
      </w:r>
      <w:r w:rsidRPr="006E27ED">
        <w:rPr>
          <w:noProof/>
        </w:rPr>
        <w:t xml:space="preserve">capacities </w:t>
      </w:r>
      <w:r>
        <w:rPr>
          <w:noProof/>
        </w:rPr>
        <w:t xml:space="preserve">were </w:t>
      </w:r>
      <w:r w:rsidRPr="006E27ED">
        <w:rPr>
          <w:noProof/>
        </w:rPr>
        <w:t xml:space="preserve">nearly brought to a standstill due to the pandemic. </w:t>
      </w:r>
      <w:r>
        <w:rPr>
          <w:noProof/>
        </w:rPr>
        <w:t>M</w:t>
      </w:r>
      <w:r w:rsidRPr="006E27ED">
        <w:rPr>
          <w:noProof/>
        </w:rPr>
        <w:t xml:space="preserve">any of the initially planned communication actions </w:t>
      </w:r>
      <w:r>
        <w:rPr>
          <w:noProof/>
        </w:rPr>
        <w:t xml:space="preserve">also </w:t>
      </w:r>
      <w:r w:rsidRPr="006E27ED">
        <w:rPr>
          <w:noProof/>
        </w:rPr>
        <w:t>had to be revised or postponed.</w:t>
      </w:r>
    </w:p>
    <w:p w14:paraId="0AC6B20C" w14:textId="77777777" w:rsidR="00647AA9" w:rsidRPr="00040D99" w:rsidRDefault="00647AA9" w:rsidP="00647AA9">
      <w:pPr>
        <w:spacing w:after="160" w:line="259" w:lineRule="auto"/>
        <w:rPr>
          <w:rFonts w:eastAsiaTheme="majorEastAsia" w:cstheme="majorBidi"/>
          <w:noProof/>
          <w:color w:val="016A13" w:themeColor="accent1" w:themeShade="BF"/>
          <w:sz w:val="48"/>
          <w:szCs w:val="32"/>
        </w:rPr>
      </w:pPr>
      <w:r w:rsidRPr="00040D99">
        <w:rPr>
          <w:noProof/>
        </w:rPr>
        <w:br w:type="page"/>
      </w:r>
    </w:p>
    <w:p w14:paraId="03A924D2" w14:textId="77777777" w:rsidR="00647AA9" w:rsidRPr="00040D99" w:rsidRDefault="00647AA9" w:rsidP="00647AA9">
      <w:pPr>
        <w:pStyle w:val="ppoHeading4Green"/>
        <w:rPr>
          <w:noProof/>
        </w:rPr>
      </w:pPr>
      <w:r w:rsidRPr="00040D99">
        <w:rPr>
          <w:noProof/>
        </w:rPr>
        <w:t>M</w:t>
      </w:r>
      <w:r>
        <w:rPr>
          <w:noProof/>
        </w:rPr>
        <w:t xml:space="preserve">ULTIANNUAL </w:t>
      </w:r>
      <w:r w:rsidRPr="00040D99">
        <w:rPr>
          <w:noProof/>
        </w:rPr>
        <w:t>F</w:t>
      </w:r>
      <w:r>
        <w:rPr>
          <w:noProof/>
        </w:rPr>
        <w:t xml:space="preserve">INANCIAL </w:t>
      </w:r>
      <w:r w:rsidRPr="00040D99">
        <w:rPr>
          <w:noProof/>
        </w:rPr>
        <w:t>F</w:t>
      </w:r>
      <w:r>
        <w:rPr>
          <w:noProof/>
        </w:rPr>
        <w:t>RAMEWORK</w:t>
      </w:r>
      <w:r w:rsidRPr="00040D99">
        <w:rPr>
          <w:noProof/>
        </w:rPr>
        <w:t xml:space="preserve"> 2014-2020</w:t>
      </w:r>
      <w:r>
        <w:rPr>
          <w:rFonts w:ascii="Calibri" w:hAnsi="Calibri" w:cs="Calibri"/>
          <w:noProof/>
        </w:rPr>
        <w:t> –</w:t>
      </w:r>
      <w:r>
        <w:rPr>
          <w:noProof/>
        </w:rPr>
        <w:t xml:space="preserve"> </w:t>
      </w:r>
      <w:r w:rsidRPr="0084507A">
        <w:rPr>
          <w:noProof/>
        </w:rPr>
        <w:t>UNION CIVIL PROTECTION MECHANISM</w:t>
      </w:r>
    </w:p>
    <w:p w14:paraId="0AF64813" w14:textId="77777777" w:rsidR="00647AA9" w:rsidRDefault="00647AA9" w:rsidP="00647AA9">
      <w:pPr>
        <w:rPr>
          <w:noProof/>
        </w:rPr>
      </w:pPr>
      <w:r w:rsidRPr="00DF5373">
        <w:rPr>
          <w:rFonts w:eastAsiaTheme="minorEastAsia"/>
          <w:noProof/>
        </w:rPr>
        <w:t xml:space="preserve">The </w:t>
      </w:r>
      <w:r>
        <w:rPr>
          <w:rFonts w:eastAsiaTheme="minorEastAsia"/>
          <w:noProof/>
        </w:rPr>
        <w:t xml:space="preserve">goal of the UCPM </w:t>
      </w:r>
      <w:r w:rsidRPr="00DF5373">
        <w:rPr>
          <w:rFonts w:eastAsiaTheme="minorEastAsia"/>
          <w:noProof/>
        </w:rPr>
        <w:t>is to support, coordinate and supplement the actions in the field of civil protection, with a view to improving the effectiveness of systems for preventing,</w:t>
      </w:r>
      <w:r>
        <w:rPr>
          <w:rFonts w:eastAsiaTheme="minorEastAsia"/>
          <w:noProof/>
        </w:rPr>
        <w:t xml:space="preserve"> </w:t>
      </w:r>
      <w:r w:rsidRPr="00DF5373">
        <w:rPr>
          <w:rFonts w:eastAsiaTheme="minorEastAsia"/>
          <w:noProof/>
        </w:rPr>
        <w:t>preparing for and responding to natural and man-made disasters.</w:t>
      </w:r>
      <w:r>
        <w:rPr>
          <w:rFonts w:eastAsiaTheme="minorEastAsia"/>
          <w:noProof/>
        </w:rPr>
        <w:t xml:space="preserve"> It </w:t>
      </w:r>
      <w:r w:rsidRPr="00DF5373">
        <w:rPr>
          <w:rFonts w:eastAsiaTheme="minorEastAsia"/>
          <w:noProof/>
        </w:rPr>
        <w:t xml:space="preserve">facilitates disaster response cooperation among 33 European states (the Member States, </w:t>
      </w:r>
      <w:r w:rsidRPr="002709D9">
        <w:rPr>
          <w:rFonts w:eastAsiaTheme="minorEastAsia"/>
          <w:noProof/>
        </w:rPr>
        <w:t>Iceland, Norway, Serbia, North Macedonia, Montenegro</w:t>
      </w:r>
      <w:r w:rsidRPr="002709D9" w:rsidDel="006D7316">
        <w:rPr>
          <w:rFonts w:eastAsiaTheme="minorEastAsia"/>
          <w:noProof/>
        </w:rPr>
        <w:t xml:space="preserve"> </w:t>
      </w:r>
      <w:r w:rsidRPr="002709D9">
        <w:rPr>
          <w:rFonts w:eastAsiaTheme="minorEastAsia"/>
          <w:noProof/>
        </w:rPr>
        <w:t>and Turkey</w:t>
      </w:r>
      <w:r>
        <w:rPr>
          <w:rFonts w:eastAsiaTheme="minorEastAsia"/>
          <w:noProof/>
        </w:rPr>
        <w:t>). T</w:t>
      </w:r>
      <w:r w:rsidRPr="00DF5373">
        <w:rPr>
          <w:rFonts w:eastAsiaTheme="minorEastAsia"/>
          <w:noProof/>
        </w:rPr>
        <w:t>he</w:t>
      </w:r>
      <w:r>
        <w:rPr>
          <w:rFonts w:eastAsiaTheme="minorEastAsia"/>
          <w:noProof/>
        </w:rPr>
        <w:t xml:space="preserve"> </w:t>
      </w:r>
      <w:r w:rsidRPr="00DF5373">
        <w:rPr>
          <w:rFonts w:eastAsiaTheme="minorEastAsia"/>
          <w:noProof/>
        </w:rPr>
        <w:t>framework</w:t>
      </w:r>
      <w:r>
        <w:rPr>
          <w:rFonts w:eastAsiaTheme="minorEastAsia"/>
          <w:noProof/>
        </w:rPr>
        <w:t xml:space="preserve"> also </w:t>
      </w:r>
      <w:r w:rsidRPr="00DF5373">
        <w:rPr>
          <w:rFonts w:eastAsiaTheme="minorEastAsia"/>
          <w:noProof/>
        </w:rPr>
        <w:t>appl</w:t>
      </w:r>
      <w:r>
        <w:rPr>
          <w:rFonts w:eastAsiaTheme="minorEastAsia"/>
          <w:noProof/>
        </w:rPr>
        <w:t>ied</w:t>
      </w:r>
      <w:r w:rsidRPr="00DF5373">
        <w:rPr>
          <w:rFonts w:eastAsiaTheme="minorEastAsia"/>
          <w:noProof/>
        </w:rPr>
        <w:t xml:space="preserve"> to the United Kingdom during the transitional period that ended on 31</w:t>
      </w:r>
      <w:r>
        <w:rPr>
          <w:rFonts w:ascii="Calibri" w:eastAsiaTheme="minorEastAsia" w:hAnsi="Calibri" w:cs="Calibri"/>
          <w:noProof/>
        </w:rPr>
        <w:t> </w:t>
      </w:r>
      <w:r w:rsidRPr="00DF5373">
        <w:rPr>
          <w:rFonts w:eastAsiaTheme="minorEastAsia"/>
          <w:noProof/>
        </w:rPr>
        <w:t xml:space="preserve">December 2020. </w:t>
      </w:r>
      <w:r>
        <w:rPr>
          <w:rFonts w:eastAsiaTheme="minorEastAsia"/>
          <w:noProof/>
        </w:rPr>
        <w:t>The United Kingdom does not currently participate in the UCPM.</w:t>
      </w:r>
    </w:p>
    <w:p w14:paraId="2537C98A" w14:textId="77777777" w:rsidR="00647AA9" w:rsidRPr="00040D99" w:rsidRDefault="00647AA9" w:rsidP="00647AA9">
      <w:pPr>
        <w:rPr>
          <w:rFonts w:eastAsiaTheme="minorEastAsia"/>
          <w:noProof/>
        </w:rPr>
      </w:pPr>
    </w:p>
    <w:p w14:paraId="683B6E64" w14:textId="77777777" w:rsidR="00647AA9" w:rsidRPr="00040D99" w:rsidRDefault="00647AA9" w:rsidP="00647AA9">
      <w:pPr>
        <w:pStyle w:val="ppoHeading5"/>
        <w:rPr>
          <w:noProof/>
        </w:rPr>
      </w:pPr>
      <w:r w:rsidRPr="00040D99">
        <w:rPr>
          <w:noProof/>
        </w:rPr>
        <w:t xml:space="preserve">Budget </w:t>
      </w:r>
      <w:r w:rsidRPr="005B10E0">
        <w:rPr>
          <w:noProof/>
        </w:rPr>
        <w:t>implementation</w:t>
      </w:r>
    </w:p>
    <w:p w14:paraId="4B06D6EB" w14:textId="77777777" w:rsidR="00647AA9" w:rsidRPr="00040D99" w:rsidRDefault="00647AA9" w:rsidP="00647AA9">
      <w:pPr>
        <w:pStyle w:val="ppoTableTabletitle"/>
        <w:rPr>
          <w:noProof/>
        </w:rPr>
      </w:pPr>
      <w:r>
        <w:rPr>
          <w:noProof/>
        </w:rPr>
        <w:t xml:space="preserve">Heading 3: </w:t>
      </w:r>
      <w:r w:rsidRPr="00040D99">
        <w:rPr>
          <w:noProof/>
        </w:rPr>
        <w:t>Cumulative implementation rate at the end of 2021</w:t>
      </w:r>
      <w:r>
        <w:rPr>
          <w:noProof/>
        </w:rPr>
        <w:t xml:space="preserve"> </w:t>
      </w:r>
      <w:r w:rsidRPr="00045449">
        <w:rPr>
          <w:noProof/>
          <w:lang w:val="en-IE"/>
        </w:rPr>
        <w:t>(million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647AA9" w:rsidRPr="00040D99" w14:paraId="19737993" w14:textId="77777777" w:rsidTr="00B20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606FDCC5" w14:textId="77777777" w:rsidR="00647AA9" w:rsidRPr="00724FDD" w:rsidRDefault="00647AA9" w:rsidP="00B202C2">
            <w:pPr>
              <w:rPr>
                <w:noProof/>
              </w:rPr>
            </w:pPr>
          </w:p>
        </w:tc>
        <w:tc>
          <w:tcPr>
            <w:tcW w:w="2410" w:type="dxa"/>
          </w:tcPr>
          <w:p w14:paraId="3E7564E2" w14:textId="77777777" w:rsidR="00647AA9" w:rsidRPr="00724FDD" w:rsidRDefault="00647AA9" w:rsidP="00B202C2">
            <w:pPr>
              <w:cnfStyle w:val="100000000000" w:firstRow="1" w:lastRow="0" w:firstColumn="0" w:lastColumn="0" w:oddVBand="0" w:evenVBand="0" w:oddHBand="0" w:evenHBand="0" w:firstRowFirstColumn="0" w:firstRowLastColumn="0" w:lastRowFirstColumn="0" w:lastRowLastColumn="0"/>
              <w:rPr>
                <w:noProof/>
              </w:rPr>
            </w:pPr>
            <w:r w:rsidRPr="00724FDD">
              <w:rPr>
                <w:noProof/>
              </w:rPr>
              <w:t>Implementation</w:t>
            </w:r>
          </w:p>
        </w:tc>
        <w:tc>
          <w:tcPr>
            <w:tcW w:w="2410" w:type="dxa"/>
          </w:tcPr>
          <w:p w14:paraId="38ABFA7C" w14:textId="4FADEE35" w:rsidR="00647AA9" w:rsidRPr="00724FDD" w:rsidRDefault="00A84801" w:rsidP="00B202C2">
            <w:pPr>
              <w:cnfStyle w:val="100000000000" w:firstRow="1" w:lastRow="0" w:firstColumn="0" w:lastColumn="0" w:oddVBand="0" w:evenVBand="0" w:oddHBand="0" w:evenHBand="0" w:firstRowFirstColumn="0" w:firstRowLastColumn="0" w:lastRowFirstColumn="0" w:lastRowLastColumn="0"/>
              <w:rPr>
                <w:noProof/>
              </w:rPr>
            </w:pPr>
            <w:r>
              <w:rPr>
                <w:noProof/>
              </w:rPr>
              <w:t xml:space="preserve">2014-2020 </w:t>
            </w:r>
            <w:r w:rsidR="00647AA9" w:rsidRPr="00724FDD">
              <w:rPr>
                <w:noProof/>
              </w:rPr>
              <w:t>Budget</w:t>
            </w:r>
          </w:p>
        </w:tc>
        <w:tc>
          <w:tcPr>
            <w:tcW w:w="2410" w:type="dxa"/>
          </w:tcPr>
          <w:p w14:paraId="38B52C5B" w14:textId="77777777" w:rsidR="00647AA9" w:rsidRPr="00724FDD" w:rsidRDefault="00647AA9" w:rsidP="00B202C2">
            <w:pPr>
              <w:cnfStyle w:val="100000000000" w:firstRow="1" w:lastRow="0" w:firstColumn="0" w:lastColumn="0" w:oddVBand="0" w:evenVBand="0" w:oddHBand="0" w:evenHBand="0" w:firstRowFirstColumn="0" w:firstRowLastColumn="0" w:lastRowFirstColumn="0" w:lastRowLastColumn="0"/>
              <w:rPr>
                <w:noProof/>
              </w:rPr>
            </w:pPr>
            <w:r w:rsidRPr="00724FDD">
              <w:rPr>
                <w:noProof/>
              </w:rPr>
              <w:t>Implementation rate</w:t>
            </w:r>
          </w:p>
        </w:tc>
      </w:tr>
      <w:tr w:rsidR="00647AA9" w:rsidRPr="00040D99" w14:paraId="3484F7E0" w14:textId="77777777" w:rsidTr="00B202C2">
        <w:trPr>
          <w:trHeight w:val="563"/>
        </w:trPr>
        <w:tc>
          <w:tcPr>
            <w:cnfStyle w:val="001000000000" w:firstRow="0" w:lastRow="0" w:firstColumn="1" w:lastColumn="0" w:oddVBand="0" w:evenVBand="0" w:oddHBand="0" w:evenHBand="0" w:firstRowFirstColumn="0" w:firstRowLastColumn="0" w:lastRowFirstColumn="0" w:lastRowLastColumn="0"/>
            <w:tcW w:w="2409" w:type="dxa"/>
          </w:tcPr>
          <w:p w14:paraId="7E0BC00F" w14:textId="77777777" w:rsidR="00647AA9" w:rsidRPr="0016020D" w:rsidRDefault="00647AA9" w:rsidP="00B202C2">
            <w:pPr>
              <w:jc w:val="center"/>
              <w:rPr>
                <w:rFonts w:ascii="Calibri" w:hAnsi="Calibri" w:cs="Calibri"/>
                <w:b w:val="0"/>
                <w:noProof/>
              </w:rPr>
            </w:pPr>
            <w:r w:rsidRPr="0016020D">
              <w:rPr>
                <w:b w:val="0"/>
                <w:noProof/>
              </w:rPr>
              <w:t>Internal dimension (</w:t>
            </w:r>
            <w:r w:rsidRPr="009A08C3">
              <w:rPr>
                <w:noProof/>
              </w:rPr>
              <w:t>heading</w:t>
            </w:r>
            <w:r w:rsidRPr="009A08C3">
              <w:rPr>
                <w:rFonts w:ascii="Calibri" w:hAnsi="Calibri" w:cs="Calibri"/>
                <w:noProof/>
              </w:rPr>
              <w:t> 3):</w:t>
            </w:r>
          </w:p>
        </w:tc>
        <w:tc>
          <w:tcPr>
            <w:tcW w:w="2410" w:type="dxa"/>
          </w:tcPr>
          <w:p w14:paraId="23D4007A" w14:textId="77777777" w:rsidR="00647AA9" w:rsidRDefault="00647AA9" w:rsidP="00B202C2">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noProof/>
                <w:color w:val="000000"/>
              </w:rPr>
            </w:pPr>
          </w:p>
        </w:tc>
        <w:tc>
          <w:tcPr>
            <w:tcW w:w="2410" w:type="dxa"/>
          </w:tcPr>
          <w:p w14:paraId="17231A12" w14:textId="77777777" w:rsidR="00647AA9" w:rsidRPr="67608C9D" w:rsidRDefault="00647AA9" w:rsidP="00B202C2">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noProof/>
                <w:color w:val="000000"/>
              </w:rPr>
            </w:pPr>
          </w:p>
        </w:tc>
        <w:tc>
          <w:tcPr>
            <w:tcW w:w="2410" w:type="dxa"/>
          </w:tcPr>
          <w:p w14:paraId="38ABDE89" w14:textId="77777777" w:rsidR="00647AA9" w:rsidRDefault="00647AA9" w:rsidP="00B202C2">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noProof/>
                <w:color w:val="000000"/>
              </w:rPr>
            </w:pPr>
          </w:p>
        </w:tc>
      </w:tr>
      <w:tr w:rsidR="00647AA9" w:rsidRPr="00040D99" w14:paraId="2AF44ACF"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6C261880" w14:textId="77777777" w:rsidR="00647AA9" w:rsidRPr="00724FDD" w:rsidRDefault="00647AA9" w:rsidP="00B202C2">
            <w:pPr>
              <w:jc w:val="center"/>
              <w:rPr>
                <w:noProof/>
              </w:rPr>
            </w:pPr>
            <w:r w:rsidRPr="00724FDD">
              <w:rPr>
                <w:noProof/>
              </w:rPr>
              <w:t>Commitment</w:t>
            </w:r>
            <w:r>
              <w:rPr>
                <w:noProof/>
              </w:rPr>
              <w:t>s</w:t>
            </w:r>
          </w:p>
        </w:tc>
        <w:tc>
          <w:tcPr>
            <w:tcW w:w="2410" w:type="dxa"/>
          </w:tcPr>
          <w:tbl>
            <w:tblPr>
              <w:tblStyle w:val="TableGrid"/>
              <w:tblW w:w="0" w:type="auto"/>
              <w:tblLook w:val="06A0" w:firstRow="1" w:lastRow="0" w:firstColumn="1" w:lastColumn="0" w:noHBand="1" w:noVBand="1"/>
            </w:tblPr>
            <w:tblGrid>
              <w:gridCol w:w="2194"/>
            </w:tblGrid>
            <w:tr w:rsidR="00647AA9" w14:paraId="2BB27724" w14:textId="77777777" w:rsidTr="00B202C2">
              <w:trPr>
                <w:trHeight w:val="285"/>
              </w:trPr>
              <w:tc>
                <w:tcPr>
                  <w:tcW w:w="2290" w:type="dxa"/>
                  <w:tcBorders>
                    <w:top w:val="nil"/>
                    <w:left w:val="nil"/>
                    <w:bottom w:val="nil"/>
                    <w:right w:val="nil"/>
                  </w:tcBorders>
                  <w:vAlign w:val="bottom"/>
                </w:tcPr>
                <w:p w14:paraId="0C86D553" w14:textId="77777777" w:rsidR="00647AA9" w:rsidRDefault="00647AA9" w:rsidP="00B202C2">
                  <w:pPr>
                    <w:jc w:val="right"/>
                    <w:rPr>
                      <w:noProof/>
                    </w:rPr>
                  </w:pPr>
                  <w:r>
                    <w:rPr>
                      <w:rFonts w:ascii="Calibri" w:hAnsi="Calibri" w:cs="Calibri"/>
                      <w:noProof/>
                      <w:color w:val="000000"/>
                    </w:rPr>
                    <w:t>729.0</w:t>
                  </w:r>
                </w:p>
              </w:tc>
            </w:tr>
          </w:tbl>
          <w:p w14:paraId="78917D70" w14:textId="77777777" w:rsidR="00647AA9" w:rsidRPr="00724FDD" w:rsidRDefault="00647AA9"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647AA9" w14:paraId="33523653" w14:textId="77777777" w:rsidTr="00B202C2">
              <w:trPr>
                <w:trHeight w:val="285"/>
              </w:trPr>
              <w:tc>
                <w:tcPr>
                  <w:tcW w:w="2290" w:type="dxa"/>
                  <w:tcBorders>
                    <w:top w:val="nil"/>
                    <w:left w:val="nil"/>
                    <w:bottom w:val="nil"/>
                    <w:right w:val="nil"/>
                  </w:tcBorders>
                  <w:vAlign w:val="bottom"/>
                </w:tcPr>
                <w:p w14:paraId="008617F8" w14:textId="77777777" w:rsidR="00647AA9" w:rsidRDefault="00647AA9" w:rsidP="00B202C2">
                  <w:pPr>
                    <w:jc w:val="right"/>
                    <w:rPr>
                      <w:noProof/>
                    </w:rPr>
                  </w:pPr>
                  <w:r w:rsidRPr="67608C9D">
                    <w:rPr>
                      <w:rFonts w:ascii="Calibri" w:hAnsi="Calibri" w:cs="Calibri"/>
                      <w:noProof/>
                      <w:color w:val="000000"/>
                    </w:rPr>
                    <w:t>766</w:t>
                  </w:r>
                  <w:r>
                    <w:rPr>
                      <w:rFonts w:ascii="Calibri" w:hAnsi="Calibri" w:cs="Calibri"/>
                      <w:noProof/>
                      <w:color w:val="000000"/>
                    </w:rPr>
                    <w:t>.5</w:t>
                  </w:r>
                </w:p>
              </w:tc>
            </w:tr>
          </w:tbl>
          <w:p w14:paraId="73FACE97" w14:textId="77777777" w:rsidR="00647AA9" w:rsidRPr="00724FDD" w:rsidRDefault="00647AA9"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647AA9" w14:paraId="2A183CA2" w14:textId="77777777" w:rsidTr="00B202C2">
              <w:trPr>
                <w:trHeight w:val="285"/>
              </w:trPr>
              <w:tc>
                <w:tcPr>
                  <w:tcW w:w="2290" w:type="dxa"/>
                  <w:tcBorders>
                    <w:top w:val="nil"/>
                    <w:left w:val="nil"/>
                    <w:bottom w:val="nil"/>
                    <w:right w:val="nil"/>
                  </w:tcBorders>
                  <w:vAlign w:val="bottom"/>
                </w:tcPr>
                <w:p w14:paraId="77D46449" w14:textId="77777777" w:rsidR="00647AA9" w:rsidRDefault="00647AA9" w:rsidP="00B202C2">
                  <w:pPr>
                    <w:jc w:val="right"/>
                    <w:rPr>
                      <w:noProof/>
                    </w:rPr>
                  </w:pPr>
                  <w:r>
                    <w:rPr>
                      <w:rFonts w:ascii="Calibri" w:hAnsi="Calibri" w:cs="Calibri"/>
                      <w:noProof/>
                      <w:color w:val="000000"/>
                    </w:rPr>
                    <w:t>95</w:t>
                  </w:r>
                  <w:r w:rsidRPr="67608C9D">
                    <w:rPr>
                      <w:rFonts w:ascii="Calibri" w:hAnsi="Calibri" w:cs="Calibri"/>
                      <w:noProof/>
                      <w:color w:val="000000"/>
                    </w:rPr>
                    <w:t>%</w:t>
                  </w:r>
                </w:p>
              </w:tc>
            </w:tr>
          </w:tbl>
          <w:p w14:paraId="7EDACCEB" w14:textId="77777777" w:rsidR="00647AA9" w:rsidRPr="00724FDD" w:rsidRDefault="00647AA9" w:rsidP="00B202C2">
            <w:pPr>
              <w:jc w:val="center"/>
              <w:cnfStyle w:val="000000000000" w:firstRow="0" w:lastRow="0" w:firstColumn="0" w:lastColumn="0" w:oddVBand="0" w:evenVBand="0" w:oddHBand="0" w:evenHBand="0" w:firstRowFirstColumn="0" w:firstRowLastColumn="0" w:lastRowFirstColumn="0" w:lastRowLastColumn="0"/>
              <w:rPr>
                <w:noProof/>
              </w:rPr>
            </w:pPr>
          </w:p>
        </w:tc>
      </w:tr>
      <w:tr w:rsidR="00647AA9" w:rsidRPr="00040D99" w14:paraId="34964F93"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78E6AF5A" w14:textId="77777777" w:rsidR="00647AA9" w:rsidRPr="00724FDD" w:rsidRDefault="00647AA9" w:rsidP="00B202C2">
            <w:pPr>
              <w:jc w:val="center"/>
              <w:rPr>
                <w:noProof/>
              </w:rPr>
            </w:pPr>
            <w:r w:rsidRPr="00724FDD">
              <w:rPr>
                <w:noProof/>
              </w:rPr>
              <w:t>Payments</w:t>
            </w:r>
          </w:p>
        </w:tc>
        <w:tc>
          <w:tcPr>
            <w:tcW w:w="2410" w:type="dxa"/>
          </w:tcPr>
          <w:tbl>
            <w:tblPr>
              <w:tblStyle w:val="TableGrid"/>
              <w:tblW w:w="0" w:type="auto"/>
              <w:tblLook w:val="06A0" w:firstRow="1" w:lastRow="0" w:firstColumn="1" w:lastColumn="0" w:noHBand="1" w:noVBand="1"/>
            </w:tblPr>
            <w:tblGrid>
              <w:gridCol w:w="2194"/>
            </w:tblGrid>
            <w:tr w:rsidR="00647AA9" w14:paraId="2F12E1AE" w14:textId="77777777" w:rsidTr="00B202C2">
              <w:trPr>
                <w:trHeight w:val="285"/>
              </w:trPr>
              <w:tc>
                <w:tcPr>
                  <w:tcW w:w="2290" w:type="dxa"/>
                  <w:tcBorders>
                    <w:top w:val="nil"/>
                    <w:left w:val="nil"/>
                    <w:bottom w:val="nil"/>
                    <w:right w:val="nil"/>
                  </w:tcBorders>
                  <w:vAlign w:val="bottom"/>
                </w:tcPr>
                <w:p w14:paraId="44E20CD3" w14:textId="77777777" w:rsidR="00647AA9" w:rsidRDefault="00647AA9" w:rsidP="00B202C2">
                  <w:pPr>
                    <w:jc w:val="right"/>
                    <w:rPr>
                      <w:noProof/>
                    </w:rPr>
                  </w:pPr>
                  <w:r w:rsidRPr="67608C9D">
                    <w:rPr>
                      <w:rFonts w:ascii="Calibri" w:hAnsi="Calibri" w:cs="Calibri"/>
                      <w:noProof/>
                      <w:color w:val="000000"/>
                    </w:rPr>
                    <w:t>429</w:t>
                  </w:r>
                  <w:r>
                    <w:rPr>
                      <w:rFonts w:ascii="Calibri" w:hAnsi="Calibri" w:cs="Calibri"/>
                      <w:noProof/>
                      <w:color w:val="000000"/>
                    </w:rPr>
                    <w:t>.5</w:t>
                  </w:r>
                </w:p>
              </w:tc>
            </w:tr>
          </w:tbl>
          <w:p w14:paraId="0268A0B0" w14:textId="77777777" w:rsidR="00647AA9" w:rsidRPr="00724FDD" w:rsidRDefault="00647AA9"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02E93690" w14:textId="77777777" w:rsidR="00647AA9" w:rsidRPr="00724FDD" w:rsidRDefault="00647AA9"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647AA9" w14:paraId="4F86A382" w14:textId="77777777" w:rsidTr="00B202C2">
              <w:trPr>
                <w:trHeight w:val="285"/>
              </w:trPr>
              <w:tc>
                <w:tcPr>
                  <w:tcW w:w="2235" w:type="dxa"/>
                  <w:tcBorders>
                    <w:top w:val="nil"/>
                    <w:left w:val="nil"/>
                    <w:bottom w:val="nil"/>
                    <w:right w:val="nil"/>
                  </w:tcBorders>
                  <w:vAlign w:val="bottom"/>
                </w:tcPr>
                <w:p w14:paraId="47DEF5C0" w14:textId="77777777" w:rsidR="00647AA9" w:rsidRDefault="00647AA9" w:rsidP="00B202C2">
                  <w:pPr>
                    <w:jc w:val="right"/>
                    <w:rPr>
                      <w:noProof/>
                    </w:rPr>
                  </w:pPr>
                  <w:r>
                    <w:rPr>
                      <w:rFonts w:ascii="Calibri" w:hAnsi="Calibri" w:cs="Calibri"/>
                      <w:noProof/>
                      <w:color w:val="000000"/>
                    </w:rPr>
                    <w:t>56</w:t>
                  </w:r>
                  <w:r w:rsidRPr="67608C9D">
                    <w:rPr>
                      <w:rFonts w:ascii="Calibri" w:hAnsi="Calibri" w:cs="Calibri"/>
                      <w:noProof/>
                      <w:color w:val="000000"/>
                    </w:rPr>
                    <w:t>%</w:t>
                  </w:r>
                </w:p>
              </w:tc>
            </w:tr>
          </w:tbl>
          <w:p w14:paraId="7B3B7F79" w14:textId="77777777" w:rsidR="00647AA9" w:rsidRPr="00724FDD" w:rsidRDefault="00647AA9" w:rsidP="00B202C2">
            <w:pPr>
              <w:jc w:val="center"/>
              <w:cnfStyle w:val="000000000000" w:firstRow="0" w:lastRow="0" w:firstColumn="0" w:lastColumn="0" w:oddVBand="0" w:evenVBand="0" w:oddHBand="0" w:evenHBand="0" w:firstRowFirstColumn="0" w:firstRowLastColumn="0" w:lastRowFirstColumn="0" w:lastRowLastColumn="0"/>
              <w:rPr>
                <w:noProof/>
              </w:rPr>
            </w:pPr>
          </w:p>
        </w:tc>
      </w:tr>
      <w:tr w:rsidR="00647AA9" w:rsidRPr="00040D99" w14:paraId="2EEA1AB2" w14:textId="77777777" w:rsidTr="00B202C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2409" w:type="dxa"/>
            <w:shd w:val="clear" w:color="auto" w:fill="FFFFFF" w:themeFill="background1"/>
          </w:tcPr>
          <w:p w14:paraId="057795BE" w14:textId="77777777" w:rsidR="00647AA9" w:rsidRPr="0016020D" w:rsidRDefault="00647AA9" w:rsidP="00B202C2">
            <w:pPr>
              <w:jc w:val="center"/>
              <w:rPr>
                <w:rFonts w:ascii="Calibri" w:hAnsi="Calibri" w:cs="Calibri"/>
                <w:b w:val="0"/>
                <w:noProof/>
              </w:rPr>
            </w:pPr>
            <w:r>
              <w:rPr>
                <w:b w:val="0"/>
                <w:noProof/>
              </w:rPr>
              <w:t>Ex</w:t>
            </w:r>
            <w:r w:rsidRPr="0016020D">
              <w:rPr>
                <w:b w:val="0"/>
                <w:noProof/>
              </w:rPr>
              <w:t>ternal dimension (</w:t>
            </w:r>
            <w:r>
              <w:rPr>
                <w:b w:val="0"/>
                <w:noProof/>
              </w:rPr>
              <w:t>h</w:t>
            </w:r>
            <w:r w:rsidRPr="0016020D">
              <w:rPr>
                <w:b w:val="0"/>
                <w:noProof/>
              </w:rPr>
              <w:t>eading</w:t>
            </w:r>
            <w:r w:rsidRPr="0016020D">
              <w:rPr>
                <w:rFonts w:ascii="Calibri" w:hAnsi="Calibri" w:cs="Calibri"/>
                <w:b w:val="0"/>
                <w:noProof/>
              </w:rPr>
              <w:t> </w:t>
            </w:r>
            <w:r>
              <w:rPr>
                <w:rFonts w:ascii="Calibri" w:hAnsi="Calibri" w:cs="Calibri"/>
                <w:b w:val="0"/>
                <w:noProof/>
              </w:rPr>
              <w:t>4</w:t>
            </w:r>
            <w:r w:rsidRPr="0016020D">
              <w:rPr>
                <w:rFonts w:ascii="Calibri" w:hAnsi="Calibri" w:cs="Calibri"/>
                <w:b w:val="0"/>
                <w:noProof/>
              </w:rPr>
              <w:t>):</w:t>
            </w:r>
          </w:p>
        </w:tc>
        <w:tc>
          <w:tcPr>
            <w:tcW w:w="2410" w:type="dxa"/>
            <w:shd w:val="clear" w:color="auto" w:fill="FFFFFF" w:themeFill="background1"/>
          </w:tcPr>
          <w:p w14:paraId="57B85D9C" w14:textId="77777777" w:rsidR="00647AA9" w:rsidRDefault="00647AA9" w:rsidP="00B202C2">
            <w:pPr>
              <w:jc w:val="right"/>
              <w:cnfStyle w:val="000000010000" w:firstRow="0" w:lastRow="0" w:firstColumn="0" w:lastColumn="0" w:oddVBand="0" w:evenVBand="0" w:oddHBand="0" w:evenHBand="1" w:firstRowFirstColumn="0" w:firstRowLastColumn="0" w:lastRowFirstColumn="0" w:lastRowLastColumn="0"/>
              <w:rPr>
                <w:rFonts w:ascii="Calibri" w:eastAsia="Calibri" w:hAnsi="Calibri" w:cs="Calibri"/>
                <w:noProof/>
                <w:color w:val="000000"/>
              </w:rPr>
            </w:pPr>
          </w:p>
        </w:tc>
        <w:tc>
          <w:tcPr>
            <w:tcW w:w="2410" w:type="dxa"/>
            <w:shd w:val="clear" w:color="auto" w:fill="FFFFFF" w:themeFill="background1"/>
          </w:tcPr>
          <w:p w14:paraId="56EBFD5E" w14:textId="77777777" w:rsidR="00647AA9" w:rsidRPr="67608C9D" w:rsidRDefault="00647AA9" w:rsidP="00B202C2">
            <w:pPr>
              <w:jc w:val="right"/>
              <w:cnfStyle w:val="000000010000" w:firstRow="0" w:lastRow="0" w:firstColumn="0" w:lastColumn="0" w:oddVBand="0" w:evenVBand="0" w:oddHBand="0" w:evenHBand="1" w:firstRowFirstColumn="0" w:firstRowLastColumn="0" w:lastRowFirstColumn="0" w:lastRowLastColumn="0"/>
              <w:rPr>
                <w:rFonts w:ascii="Calibri" w:eastAsia="Calibri" w:hAnsi="Calibri" w:cs="Calibri"/>
                <w:noProof/>
                <w:color w:val="000000"/>
              </w:rPr>
            </w:pPr>
          </w:p>
        </w:tc>
        <w:tc>
          <w:tcPr>
            <w:tcW w:w="2410" w:type="dxa"/>
            <w:shd w:val="clear" w:color="auto" w:fill="FFFFFF" w:themeFill="background1"/>
          </w:tcPr>
          <w:p w14:paraId="3663D4DE" w14:textId="77777777" w:rsidR="00647AA9" w:rsidRDefault="00647AA9" w:rsidP="00B202C2">
            <w:pPr>
              <w:jc w:val="right"/>
              <w:cnfStyle w:val="000000010000" w:firstRow="0" w:lastRow="0" w:firstColumn="0" w:lastColumn="0" w:oddVBand="0" w:evenVBand="0" w:oddHBand="0" w:evenHBand="1" w:firstRowFirstColumn="0" w:firstRowLastColumn="0" w:lastRowFirstColumn="0" w:lastRowLastColumn="0"/>
              <w:rPr>
                <w:rFonts w:ascii="Calibri" w:eastAsia="Calibri" w:hAnsi="Calibri" w:cs="Calibri"/>
                <w:noProof/>
                <w:color w:val="000000"/>
              </w:rPr>
            </w:pPr>
          </w:p>
        </w:tc>
      </w:tr>
      <w:tr w:rsidR="00647AA9" w:rsidRPr="00040D99" w14:paraId="0C4272CF"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660EF488" w14:textId="77777777" w:rsidR="00647AA9" w:rsidRPr="0086153A" w:rsidRDefault="00647AA9" w:rsidP="00B202C2">
            <w:pPr>
              <w:jc w:val="center"/>
              <w:rPr>
                <w:noProof/>
              </w:rPr>
            </w:pPr>
            <w:r w:rsidRPr="0086153A">
              <w:rPr>
                <w:noProof/>
              </w:rPr>
              <w:t>Commitment</w:t>
            </w:r>
            <w:r>
              <w:rPr>
                <w:noProof/>
              </w:rPr>
              <w:t>s</w:t>
            </w:r>
          </w:p>
        </w:tc>
        <w:tc>
          <w:tcPr>
            <w:tcW w:w="2410" w:type="dxa"/>
          </w:tcPr>
          <w:tbl>
            <w:tblPr>
              <w:tblStyle w:val="TableGrid"/>
              <w:tblW w:w="0" w:type="auto"/>
              <w:tblLook w:val="06A0" w:firstRow="1" w:lastRow="0" w:firstColumn="1" w:lastColumn="0" w:noHBand="1" w:noVBand="1"/>
            </w:tblPr>
            <w:tblGrid>
              <w:gridCol w:w="2194"/>
            </w:tblGrid>
            <w:tr w:rsidR="00647AA9" w14:paraId="1DB7FAF5" w14:textId="77777777" w:rsidTr="00B202C2">
              <w:trPr>
                <w:trHeight w:val="285"/>
              </w:trPr>
              <w:tc>
                <w:tcPr>
                  <w:tcW w:w="2290" w:type="dxa"/>
                  <w:tcBorders>
                    <w:top w:val="nil"/>
                    <w:left w:val="nil"/>
                    <w:bottom w:val="nil"/>
                    <w:right w:val="nil"/>
                  </w:tcBorders>
                  <w:vAlign w:val="bottom"/>
                </w:tcPr>
                <w:p w14:paraId="66C7E563" w14:textId="77777777" w:rsidR="00647AA9" w:rsidRDefault="00647AA9" w:rsidP="00B202C2">
                  <w:pPr>
                    <w:jc w:val="right"/>
                    <w:rPr>
                      <w:noProof/>
                    </w:rPr>
                  </w:pPr>
                  <w:r w:rsidRPr="67608C9D">
                    <w:rPr>
                      <w:rFonts w:ascii="Calibri" w:hAnsi="Calibri" w:cs="Calibri"/>
                      <w:noProof/>
                      <w:color w:val="000000"/>
                    </w:rPr>
                    <w:t>155</w:t>
                  </w:r>
                  <w:r>
                    <w:rPr>
                      <w:rFonts w:ascii="Calibri" w:hAnsi="Calibri" w:cs="Calibri"/>
                      <w:noProof/>
                      <w:color w:val="000000"/>
                    </w:rPr>
                    <w:t>.6</w:t>
                  </w:r>
                </w:p>
              </w:tc>
            </w:tr>
          </w:tbl>
          <w:p w14:paraId="36234360" w14:textId="77777777" w:rsidR="00647AA9" w:rsidRPr="0086153A" w:rsidRDefault="00647AA9"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647AA9" w14:paraId="0338E665" w14:textId="77777777" w:rsidTr="00B202C2">
              <w:trPr>
                <w:trHeight w:val="285"/>
              </w:trPr>
              <w:tc>
                <w:tcPr>
                  <w:tcW w:w="2290" w:type="dxa"/>
                  <w:tcBorders>
                    <w:top w:val="nil"/>
                    <w:left w:val="nil"/>
                    <w:bottom w:val="nil"/>
                    <w:right w:val="nil"/>
                  </w:tcBorders>
                  <w:vAlign w:val="bottom"/>
                </w:tcPr>
                <w:p w14:paraId="01DC8076" w14:textId="77777777" w:rsidR="00647AA9" w:rsidRDefault="00647AA9" w:rsidP="00B202C2">
                  <w:pPr>
                    <w:jc w:val="right"/>
                    <w:rPr>
                      <w:noProof/>
                    </w:rPr>
                  </w:pPr>
                  <w:r w:rsidRPr="67608C9D">
                    <w:rPr>
                      <w:rFonts w:ascii="Calibri" w:hAnsi="Calibri" w:cs="Calibri"/>
                      <w:noProof/>
                      <w:color w:val="000000"/>
                    </w:rPr>
                    <w:t>157</w:t>
                  </w:r>
                  <w:r>
                    <w:rPr>
                      <w:rFonts w:ascii="Calibri" w:hAnsi="Calibri" w:cs="Calibri"/>
                      <w:noProof/>
                      <w:color w:val="000000"/>
                    </w:rPr>
                    <w:t>.7</w:t>
                  </w:r>
                </w:p>
              </w:tc>
            </w:tr>
          </w:tbl>
          <w:p w14:paraId="38EB54A9" w14:textId="77777777" w:rsidR="00647AA9" w:rsidRPr="0086153A" w:rsidRDefault="00647AA9"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647AA9" w14:paraId="3B319C8F" w14:textId="77777777" w:rsidTr="00B202C2">
              <w:trPr>
                <w:trHeight w:val="285"/>
              </w:trPr>
              <w:tc>
                <w:tcPr>
                  <w:tcW w:w="2290" w:type="dxa"/>
                  <w:tcBorders>
                    <w:top w:val="nil"/>
                    <w:left w:val="nil"/>
                    <w:bottom w:val="nil"/>
                    <w:right w:val="nil"/>
                  </w:tcBorders>
                  <w:vAlign w:val="bottom"/>
                </w:tcPr>
                <w:p w14:paraId="371BA910" w14:textId="77777777" w:rsidR="00647AA9" w:rsidRDefault="00647AA9" w:rsidP="00B202C2">
                  <w:pPr>
                    <w:jc w:val="right"/>
                    <w:rPr>
                      <w:noProof/>
                    </w:rPr>
                  </w:pPr>
                  <w:r>
                    <w:rPr>
                      <w:rFonts w:ascii="Calibri" w:hAnsi="Calibri" w:cs="Calibri"/>
                      <w:noProof/>
                      <w:color w:val="000000"/>
                    </w:rPr>
                    <w:t>99</w:t>
                  </w:r>
                  <w:r w:rsidRPr="67608C9D">
                    <w:rPr>
                      <w:rFonts w:ascii="Calibri" w:hAnsi="Calibri" w:cs="Calibri"/>
                      <w:noProof/>
                      <w:color w:val="000000"/>
                    </w:rPr>
                    <w:t>%</w:t>
                  </w:r>
                </w:p>
              </w:tc>
            </w:tr>
          </w:tbl>
          <w:p w14:paraId="794FFA4E" w14:textId="77777777" w:rsidR="00647AA9" w:rsidRPr="0086153A" w:rsidRDefault="00647AA9" w:rsidP="00B202C2">
            <w:pPr>
              <w:jc w:val="center"/>
              <w:cnfStyle w:val="000000000000" w:firstRow="0" w:lastRow="0" w:firstColumn="0" w:lastColumn="0" w:oddVBand="0" w:evenVBand="0" w:oddHBand="0" w:evenHBand="0" w:firstRowFirstColumn="0" w:firstRowLastColumn="0" w:lastRowFirstColumn="0" w:lastRowLastColumn="0"/>
              <w:rPr>
                <w:noProof/>
              </w:rPr>
            </w:pPr>
          </w:p>
        </w:tc>
      </w:tr>
      <w:tr w:rsidR="00647AA9" w:rsidRPr="00040D99" w14:paraId="0529E61E"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6C3B1509" w14:textId="77777777" w:rsidR="00647AA9" w:rsidRPr="0086153A" w:rsidRDefault="00647AA9" w:rsidP="00B202C2">
            <w:pPr>
              <w:jc w:val="center"/>
              <w:rPr>
                <w:noProof/>
              </w:rPr>
            </w:pPr>
            <w:r w:rsidRPr="0086153A">
              <w:rPr>
                <w:noProof/>
              </w:rPr>
              <w:t>Payments</w:t>
            </w:r>
          </w:p>
        </w:tc>
        <w:tc>
          <w:tcPr>
            <w:tcW w:w="2410" w:type="dxa"/>
          </w:tcPr>
          <w:tbl>
            <w:tblPr>
              <w:tblStyle w:val="TableGrid"/>
              <w:tblW w:w="0" w:type="auto"/>
              <w:tblLook w:val="06A0" w:firstRow="1" w:lastRow="0" w:firstColumn="1" w:lastColumn="0" w:noHBand="1" w:noVBand="1"/>
            </w:tblPr>
            <w:tblGrid>
              <w:gridCol w:w="2194"/>
            </w:tblGrid>
            <w:tr w:rsidR="00647AA9" w14:paraId="52E0379B" w14:textId="77777777" w:rsidTr="00B202C2">
              <w:trPr>
                <w:trHeight w:val="285"/>
              </w:trPr>
              <w:tc>
                <w:tcPr>
                  <w:tcW w:w="2290" w:type="dxa"/>
                  <w:tcBorders>
                    <w:top w:val="nil"/>
                    <w:left w:val="nil"/>
                    <w:bottom w:val="nil"/>
                    <w:right w:val="nil"/>
                  </w:tcBorders>
                  <w:vAlign w:val="bottom"/>
                </w:tcPr>
                <w:p w14:paraId="31A2F00F" w14:textId="77777777" w:rsidR="00647AA9" w:rsidRDefault="00647AA9" w:rsidP="00B202C2">
                  <w:pPr>
                    <w:jc w:val="right"/>
                    <w:rPr>
                      <w:noProof/>
                    </w:rPr>
                  </w:pPr>
                  <w:r w:rsidRPr="67608C9D">
                    <w:rPr>
                      <w:rFonts w:ascii="Calibri" w:hAnsi="Calibri" w:cs="Calibri"/>
                      <w:noProof/>
                      <w:color w:val="000000"/>
                    </w:rPr>
                    <w:t>123</w:t>
                  </w:r>
                  <w:r>
                    <w:rPr>
                      <w:rFonts w:ascii="Calibri" w:hAnsi="Calibri" w:cs="Calibri"/>
                      <w:noProof/>
                      <w:color w:val="000000"/>
                    </w:rPr>
                    <w:t>.9</w:t>
                  </w:r>
                </w:p>
              </w:tc>
            </w:tr>
          </w:tbl>
          <w:p w14:paraId="7EC20C12" w14:textId="77777777" w:rsidR="00647AA9" w:rsidRPr="0086153A" w:rsidRDefault="00647AA9"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75561BC7" w14:textId="77777777" w:rsidR="00647AA9" w:rsidRPr="0086153A" w:rsidRDefault="00647AA9"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647AA9" w14:paraId="28E93EFA" w14:textId="77777777" w:rsidTr="00B202C2">
              <w:trPr>
                <w:trHeight w:val="285"/>
              </w:trPr>
              <w:tc>
                <w:tcPr>
                  <w:tcW w:w="2235" w:type="dxa"/>
                  <w:tcBorders>
                    <w:top w:val="nil"/>
                    <w:left w:val="nil"/>
                    <w:bottom w:val="nil"/>
                    <w:right w:val="nil"/>
                  </w:tcBorders>
                  <w:vAlign w:val="bottom"/>
                </w:tcPr>
                <w:p w14:paraId="03748A46" w14:textId="77777777" w:rsidR="00647AA9" w:rsidRDefault="00647AA9" w:rsidP="00B202C2">
                  <w:pPr>
                    <w:jc w:val="right"/>
                    <w:rPr>
                      <w:noProof/>
                    </w:rPr>
                  </w:pPr>
                  <w:r>
                    <w:rPr>
                      <w:rFonts w:ascii="Calibri" w:hAnsi="Calibri" w:cs="Calibri"/>
                      <w:noProof/>
                      <w:color w:val="000000"/>
                    </w:rPr>
                    <w:t>79</w:t>
                  </w:r>
                  <w:r w:rsidRPr="67608C9D">
                    <w:rPr>
                      <w:rFonts w:ascii="Calibri" w:hAnsi="Calibri" w:cs="Calibri"/>
                      <w:noProof/>
                      <w:color w:val="000000"/>
                    </w:rPr>
                    <w:t>%</w:t>
                  </w:r>
                </w:p>
              </w:tc>
            </w:tr>
          </w:tbl>
          <w:p w14:paraId="1721C25B" w14:textId="77777777" w:rsidR="00647AA9" w:rsidRPr="0086153A" w:rsidRDefault="00647AA9" w:rsidP="00B202C2">
            <w:pPr>
              <w:jc w:val="center"/>
              <w:cnfStyle w:val="000000000000" w:firstRow="0" w:lastRow="0" w:firstColumn="0" w:lastColumn="0" w:oddVBand="0" w:evenVBand="0" w:oddHBand="0" w:evenHBand="0" w:firstRowFirstColumn="0" w:firstRowLastColumn="0" w:lastRowFirstColumn="0" w:lastRowLastColumn="0"/>
              <w:rPr>
                <w:noProof/>
              </w:rPr>
            </w:pPr>
          </w:p>
        </w:tc>
      </w:tr>
    </w:tbl>
    <w:p w14:paraId="336DC432" w14:textId="77777777" w:rsidR="00647AA9" w:rsidRDefault="00647AA9" w:rsidP="00647AA9">
      <w:pPr>
        <w:pStyle w:val="ppoListHyphened-L1"/>
        <w:numPr>
          <w:ilvl w:val="0"/>
          <w:numId w:val="0"/>
        </w:numPr>
        <w:ind w:left="357"/>
        <w:rPr>
          <w:noProof/>
          <w:lang w:val="en-IE"/>
        </w:rPr>
      </w:pPr>
    </w:p>
    <w:p w14:paraId="150C8DF4" w14:textId="77777777" w:rsidR="00647AA9" w:rsidRPr="00596967" w:rsidRDefault="00647AA9" w:rsidP="00647AA9">
      <w:pPr>
        <w:pStyle w:val="ppoListHyphened-L1"/>
        <w:rPr>
          <w:noProof/>
          <w:lang w:val="en-IE"/>
        </w:rPr>
      </w:pPr>
      <w:r w:rsidRPr="00596967">
        <w:rPr>
          <w:noProof/>
          <w:lang w:val="en-IE"/>
        </w:rPr>
        <w:t xml:space="preserve">In a context </w:t>
      </w:r>
      <w:r>
        <w:rPr>
          <w:noProof/>
          <w:lang w:val="en-IE"/>
        </w:rPr>
        <w:t>where</w:t>
      </w:r>
      <w:r w:rsidRPr="00596967">
        <w:rPr>
          <w:noProof/>
          <w:lang w:val="en-IE"/>
        </w:rPr>
        <w:t xml:space="preserve"> the scope for action was widened considerably to foster the EU’s capacity to respond to crises</w:t>
      </w:r>
      <w:r>
        <w:rPr>
          <w:rFonts w:ascii="Calibri" w:hAnsi="Calibri" w:cs="Calibri"/>
          <w:noProof/>
          <w:lang w:val="en-IE"/>
        </w:rPr>
        <w:t> –</w:t>
      </w:r>
      <w:r w:rsidRPr="00596967">
        <w:rPr>
          <w:noProof/>
          <w:lang w:val="en-IE"/>
        </w:rPr>
        <w:t xml:space="preserve"> with a substantially increased budget to fund new operations (the legal basis was amended in 2018)</w:t>
      </w:r>
      <w:r>
        <w:rPr>
          <w:rFonts w:ascii="Calibri" w:hAnsi="Calibri" w:cs="Calibri"/>
          <w:noProof/>
          <w:lang w:val="en-IE"/>
        </w:rPr>
        <w:t> –</w:t>
      </w:r>
      <w:r w:rsidRPr="00596967">
        <w:rPr>
          <w:noProof/>
          <w:lang w:val="en-IE"/>
        </w:rPr>
        <w:t xml:space="preserve"> implementation under</w:t>
      </w:r>
      <w:r>
        <w:rPr>
          <w:rFonts w:ascii="Calibri" w:hAnsi="Calibri" w:cs="Calibri"/>
          <w:noProof/>
          <w:lang w:val="en-IE"/>
        </w:rPr>
        <w:t xml:space="preserve"> h</w:t>
      </w:r>
      <w:r w:rsidRPr="00596967">
        <w:rPr>
          <w:noProof/>
          <w:lang w:val="en-IE"/>
        </w:rPr>
        <w:t>eading</w:t>
      </w:r>
      <w:r>
        <w:rPr>
          <w:rFonts w:ascii="Calibri" w:hAnsi="Calibri" w:cs="Calibri"/>
          <w:noProof/>
          <w:lang w:val="en-IE"/>
        </w:rPr>
        <w:t> </w:t>
      </w:r>
      <w:r w:rsidRPr="00596967">
        <w:rPr>
          <w:noProof/>
          <w:lang w:val="en-IE"/>
        </w:rPr>
        <w:t>3</w:t>
      </w:r>
      <w:r>
        <w:rPr>
          <w:noProof/>
          <w:lang w:val="en-IE"/>
        </w:rPr>
        <w:t xml:space="preserve"> </w:t>
      </w:r>
      <w:r w:rsidRPr="00596967">
        <w:rPr>
          <w:noProof/>
          <w:lang w:val="en-IE"/>
        </w:rPr>
        <w:t>reached a level of 95%</w:t>
      </w:r>
      <w:r>
        <w:rPr>
          <w:noProof/>
          <w:lang w:val="en-IE"/>
        </w:rPr>
        <w:t xml:space="preserve"> and</w:t>
      </w:r>
      <w:r w:rsidRPr="00596967">
        <w:rPr>
          <w:noProof/>
          <w:lang w:val="en-IE"/>
        </w:rPr>
        <w:t xml:space="preserve"> implementation under</w:t>
      </w:r>
      <w:r>
        <w:rPr>
          <w:rFonts w:ascii="Calibri" w:hAnsi="Calibri" w:cs="Calibri"/>
          <w:noProof/>
          <w:lang w:val="en-IE"/>
        </w:rPr>
        <w:t xml:space="preserve"> h</w:t>
      </w:r>
      <w:r w:rsidRPr="00596967">
        <w:rPr>
          <w:noProof/>
          <w:lang w:val="en-IE"/>
        </w:rPr>
        <w:t>eading</w:t>
      </w:r>
      <w:r>
        <w:rPr>
          <w:rFonts w:ascii="Calibri" w:hAnsi="Calibri" w:cs="Calibri"/>
          <w:noProof/>
          <w:lang w:val="en-IE"/>
        </w:rPr>
        <w:t> </w:t>
      </w:r>
      <w:r w:rsidRPr="00596967">
        <w:rPr>
          <w:noProof/>
          <w:lang w:val="en-IE"/>
        </w:rPr>
        <w:t>4</w:t>
      </w:r>
      <w:r>
        <w:rPr>
          <w:rFonts w:ascii="Calibri" w:hAnsi="Calibri" w:cs="Calibri"/>
          <w:noProof/>
          <w:lang w:val="en-IE"/>
        </w:rPr>
        <w:t xml:space="preserve"> </w:t>
      </w:r>
      <w:r w:rsidRPr="00596967">
        <w:rPr>
          <w:noProof/>
          <w:lang w:val="en-IE"/>
        </w:rPr>
        <w:t>reached a level of 99%.</w:t>
      </w:r>
    </w:p>
    <w:p w14:paraId="1DAE90AD" w14:textId="77777777" w:rsidR="00647AA9" w:rsidRPr="007F39D0" w:rsidRDefault="00647AA9" w:rsidP="00647AA9">
      <w:pPr>
        <w:pStyle w:val="ppoListHyphened-L1"/>
        <w:rPr>
          <w:noProof/>
          <w:lang w:val="en-IE"/>
        </w:rPr>
      </w:pPr>
      <w:r w:rsidRPr="007F39D0">
        <w:rPr>
          <w:noProof/>
          <w:lang w:val="en-IE"/>
        </w:rPr>
        <w:t>In 2020</w:t>
      </w:r>
      <w:r>
        <w:rPr>
          <w:noProof/>
          <w:lang w:val="en-IE"/>
        </w:rPr>
        <w:t>,</w:t>
      </w:r>
      <w:r w:rsidRPr="007F39D0">
        <w:rPr>
          <w:noProof/>
          <w:lang w:val="en-IE"/>
        </w:rPr>
        <w:t xml:space="preserve"> the </w:t>
      </w:r>
      <w:r>
        <w:rPr>
          <w:noProof/>
          <w:lang w:val="en-IE"/>
        </w:rPr>
        <w:t>b</w:t>
      </w:r>
      <w:r w:rsidRPr="007F39D0">
        <w:rPr>
          <w:noProof/>
          <w:lang w:val="en-IE"/>
        </w:rPr>
        <w:t xml:space="preserve">udget implementation was characterised by challenges relating to COVID-19, resulting in an unprecedented number of 102 </w:t>
      </w:r>
      <w:r>
        <w:rPr>
          <w:noProof/>
          <w:lang w:val="en-IE"/>
        </w:rPr>
        <w:t xml:space="preserve">UCPM </w:t>
      </w:r>
      <w:r w:rsidRPr="007F39D0">
        <w:rPr>
          <w:noProof/>
          <w:lang w:val="en-IE"/>
        </w:rPr>
        <w:t xml:space="preserve">activations. The UCPM </w:t>
      </w:r>
      <w:r>
        <w:rPr>
          <w:noProof/>
          <w:lang w:val="en-IE"/>
        </w:rPr>
        <w:t>consequently</w:t>
      </w:r>
      <w:r w:rsidRPr="007F39D0">
        <w:rPr>
          <w:noProof/>
          <w:lang w:val="en-IE"/>
        </w:rPr>
        <w:t xml:space="preserve"> received several budgetary reinforcements</w:t>
      </w:r>
      <w:r>
        <w:rPr>
          <w:noProof/>
          <w:lang w:val="en-IE"/>
        </w:rPr>
        <w:t xml:space="preserve"> </w:t>
      </w:r>
      <w:r w:rsidRPr="007F39D0">
        <w:rPr>
          <w:noProof/>
          <w:lang w:val="en-IE"/>
        </w:rPr>
        <w:t xml:space="preserve">under both </w:t>
      </w:r>
      <w:r>
        <w:rPr>
          <w:noProof/>
          <w:lang w:val="en-IE"/>
        </w:rPr>
        <w:t>headings,</w:t>
      </w:r>
      <w:r w:rsidRPr="007F39D0">
        <w:rPr>
          <w:noProof/>
          <w:lang w:val="en-IE"/>
        </w:rPr>
        <w:t xml:space="preserve"> totalling EUR</w:t>
      </w:r>
      <w:r>
        <w:rPr>
          <w:rFonts w:ascii="Calibri" w:hAnsi="Calibri" w:cs="Calibri"/>
          <w:noProof/>
          <w:lang w:val="en-IE"/>
        </w:rPr>
        <w:t> </w:t>
      </w:r>
      <w:r w:rsidRPr="007F39D0">
        <w:rPr>
          <w:noProof/>
          <w:lang w:val="en-IE"/>
        </w:rPr>
        <w:t>442</w:t>
      </w:r>
      <w:r>
        <w:rPr>
          <w:rFonts w:ascii="Calibri" w:hAnsi="Calibri" w:cs="Calibri"/>
          <w:noProof/>
          <w:lang w:val="en-IE"/>
        </w:rPr>
        <w:t> </w:t>
      </w:r>
      <w:r w:rsidRPr="007F39D0">
        <w:rPr>
          <w:noProof/>
          <w:lang w:val="en-IE"/>
        </w:rPr>
        <w:t>million through two amending budgets (EUR</w:t>
      </w:r>
      <w:r>
        <w:rPr>
          <w:rFonts w:ascii="Calibri" w:hAnsi="Calibri" w:cs="Calibri"/>
          <w:noProof/>
          <w:lang w:val="en-IE"/>
        </w:rPr>
        <w:t> </w:t>
      </w:r>
      <w:r w:rsidRPr="007F39D0">
        <w:rPr>
          <w:noProof/>
          <w:lang w:val="en-IE"/>
        </w:rPr>
        <w:t>415</w:t>
      </w:r>
      <w:r>
        <w:rPr>
          <w:rFonts w:ascii="Calibri" w:hAnsi="Calibri" w:cs="Calibri"/>
          <w:noProof/>
          <w:lang w:val="en-IE"/>
        </w:rPr>
        <w:t> </w:t>
      </w:r>
      <w:r w:rsidRPr="007F39D0">
        <w:rPr>
          <w:noProof/>
          <w:lang w:val="en-IE"/>
        </w:rPr>
        <w:t>million) and redeployments from other instruments (EUR</w:t>
      </w:r>
      <w:r>
        <w:rPr>
          <w:rFonts w:ascii="Calibri" w:hAnsi="Calibri" w:cs="Calibri"/>
          <w:noProof/>
          <w:lang w:val="en-IE"/>
        </w:rPr>
        <w:t> </w:t>
      </w:r>
      <w:r w:rsidRPr="007F39D0">
        <w:rPr>
          <w:noProof/>
          <w:lang w:val="en-IE"/>
        </w:rPr>
        <w:t>27</w:t>
      </w:r>
      <w:r>
        <w:rPr>
          <w:rFonts w:ascii="Calibri" w:hAnsi="Calibri" w:cs="Calibri"/>
          <w:noProof/>
          <w:lang w:val="en-IE"/>
        </w:rPr>
        <w:t> </w:t>
      </w:r>
      <w:r w:rsidRPr="007F39D0">
        <w:rPr>
          <w:noProof/>
          <w:lang w:val="en-IE"/>
        </w:rPr>
        <w:t xml:space="preserve">million). </w:t>
      </w:r>
      <w:r>
        <w:rPr>
          <w:noProof/>
          <w:lang w:val="en-IE"/>
        </w:rPr>
        <w:t>The</w:t>
      </w:r>
      <w:r w:rsidRPr="007F39D0">
        <w:rPr>
          <w:noProof/>
          <w:lang w:val="en-IE"/>
        </w:rPr>
        <w:t xml:space="preserve"> reinforcements funded the creation of the first-ever emergency stockpile of medical equipment (protective equipment, ventilators, etc.) and the repatriation of EU citizens stranded in non-EU countries. The increased budget largely explains the low implementation of payment appropriations in 2014-2020 (45%), as the majority of related payments were made from 2021 onwards.</w:t>
      </w:r>
    </w:p>
    <w:p w14:paraId="4CF0F7D1" w14:textId="77777777" w:rsidR="00647AA9" w:rsidRDefault="00647AA9" w:rsidP="00647AA9">
      <w:pPr>
        <w:pStyle w:val="ppoListHyphened-L1"/>
        <w:rPr>
          <w:noProof/>
          <w:lang w:val="en-IE"/>
        </w:rPr>
      </w:pPr>
      <w:r w:rsidRPr="00277401">
        <w:rPr>
          <w:noProof/>
          <w:lang w:val="en-IE"/>
        </w:rPr>
        <w:t>The unused amounts at the end of year 2020, corresponding to recovery orders cashed in 2020, were carried over and fully used in 2021. In addition, EUR</w:t>
      </w:r>
      <w:r w:rsidRPr="00490B15">
        <w:rPr>
          <w:rFonts w:ascii="Calibri" w:hAnsi="Calibri" w:cs="Calibri"/>
          <w:noProof/>
          <w:lang w:val="en-IE"/>
        </w:rPr>
        <w:t> </w:t>
      </w:r>
      <w:r w:rsidRPr="00277401">
        <w:rPr>
          <w:noProof/>
          <w:lang w:val="en-IE"/>
        </w:rPr>
        <w:t>7.2</w:t>
      </w:r>
      <w:r w:rsidRPr="00490B15">
        <w:rPr>
          <w:rFonts w:ascii="Calibri" w:hAnsi="Calibri" w:cs="Calibri"/>
          <w:noProof/>
          <w:lang w:val="en-IE"/>
        </w:rPr>
        <w:t> </w:t>
      </w:r>
      <w:r w:rsidRPr="00277401">
        <w:rPr>
          <w:noProof/>
          <w:lang w:val="en-IE"/>
        </w:rPr>
        <w:t>million still had to be contracted at the end of 2020, which was fully implemented in 2021.</w:t>
      </w:r>
    </w:p>
    <w:p w14:paraId="535FE4E4" w14:textId="77777777" w:rsidR="00647AA9" w:rsidRPr="00223FB7" w:rsidRDefault="00647AA9" w:rsidP="00647AA9">
      <w:pPr>
        <w:pStyle w:val="ppoListHyphened-L1"/>
        <w:rPr>
          <w:noProof/>
          <w:lang w:val="en-IE"/>
        </w:rPr>
      </w:pPr>
      <w:r w:rsidRPr="00277401">
        <w:rPr>
          <w:noProof/>
          <w:lang w:val="en-IE"/>
        </w:rPr>
        <w:t>On the payment side, commitments in the amount of EUR</w:t>
      </w:r>
      <w:r w:rsidRPr="00490B15">
        <w:rPr>
          <w:rFonts w:ascii="Calibri" w:hAnsi="Calibri" w:cs="Calibri"/>
          <w:noProof/>
          <w:lang w:val="en-IE"/>
        </w:rPr>
        <w:t> </w:t>
      </w:r>
      <w:r w:rsidRPr="00277401">
        <w:rPr>
          <w:noProof/>
          <w:lang w:val="en-IE"/>
        </w:rPr>
        <w:t>282</w:t>
      </w:r>
      <w:r w:rsidRPr="00490B15">
        <w:rPr>
          <w:rFonts w:ascii="Calibri" w:hAnsi="Calibri" w:cs="Calibri"/>
          <w:noProof/>
          <w:lang w:val="en-IE"/>
        </w:rPr>
        <w:t> </w:t>
      </w:r>
      <w:r w:rsidRPr="00277401">
        <w:rPr>
          <w:noProof/>
          <w:lang w:val="en-IE"/>
        </w:rPr>
        <w:t>million still had to be paid under heading</w:t>
      </w:r>
      <w:r w:rsidRPr="00490B15">
        <w:rPr>
          <w:rFonts w:ascii="Calibri" w:hAnsi="Calibri" w:cs="Calibri"/>
          <w:noProof/>
          <w:lang w:val="en-IE"/>
        </w:rPr>
        <w:t> </w:t>
      </w:r>
      <w:r w:rsidRPr="00277401">
        <w:rPr>
          <w:noProof/>
          <w:lang w:val="en-IE"/>
        </w:rPr>
        <w:t>3 and EUR</w:t>
      </w:r>
      <w:r w:rsidRPr="00490B15">
        <w:rPr>
          <w:rFonts w:ascii="Calibri" w:hAnsi="Calibri" w:cs="Calibri"/>
          <w:noProof/>
          <w:lang w:val="en-IE"/>
        </w:rPr>
        <w:t> </w:t>
      </w:r>
      <w:r w:rsidRPr="00277401">
        <w:rPr>
          <w:noProof/>
          <w:lang w:val="en-IE"/>
        </w:rPr>
        <w:t>22.4</w:t>
      </w:r>
      <w:r w:rsidRPr="00490B15">
        <w:rPr>
          <w:rFonts w:ascii="Calibri" w:hAnsi="Calibri" w:cs="Calibri"/>
          <w:noProof/>
          <w:lang w:val="en-IE"/>
        </w:rPr>
        <w:t> </w:t>
      </w:r>
      <w:r w:rsidRPr="00277401">
        <w:rPr>
          <w:noProof/>
          <w:lang w:val="en-IE"/>
        </w:rPr>
        <w:t>million under heading</w:t>
      </w:r>
      <w:r w:rsidRPr="00490B15">
        <w:rPr>
          <w:rFonts w:ascii="Calibri" w:hAnsi="Calibri" w:cs="Calibri"/>
          <w:noProof/>
          <w:lang w:val="en-IE"/>
        </w:rPr>
        <w:t> </w:t>
      </w:r>
      <w:r w:rsidRPr="00277401">
        <w:rPr>
          <w:noProof/>
          <w:lang w:val="en-IE"/>
        </w:rPr>
        <w:t>4</w:t>
      </w:r>
      <w:r w:rsidRPr="00223FB7">
        <w:rPr>
          <w:noProof/>
          <w:lang w:val="en-IE"/>
        </w:rPr>
        <w:t>.</w:t>
      </w:r>
    </w:p>
    <w:p w14:paraId="20DCE21C" w14:textId="77777777" w:rsidR="00647AA9" w:rsidRPr="00040D99" w:rsidRDefault="00647AA9" w:rsidP="00647AA9">
      <w:pPr>
        <w:pStyle w:val="ppoHeading5"/>
        <w:rPr>
          <w:noProof/>
        </w:rPr>
      </w:pPr>
      <w:r w:rsidRPr="00040D99">
        <w:rPr>
          <w:noProof/>
        </w:rPr>
        <w:t>Performance assessment</w:t>
      </w:r>
    </w:p>
    <w:p w14:paraId="54DB197F" w14:textId="77777777" w:rsidR="00647AA9" w:rsidRPr="00040D99" w:rsidRDefault="00647AA9" w:rsidP="00647AA9">
      <w:pPr>
        <w:pStyle w:val="ppoHeading6"/>
        <w:rPr>
          <w:noProof/>
        </w:rPr>
      </w:pPr>
      <w:r w:rsidRPr="00040D99">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647AA9" w:rsidRPr="00040D99" w14:paraId="032D193C" w14:textId="77777777" w:rsidTr="00B202C2">
        <w:trPr>
          <w:cnfStyle w:val="100000000000" w:firstRow="1" w:lastRow="0" w:firstColumn="0" w:lastColumn="0" w:oddVBand="0" w:evenVBand="0" w:oddHBand="0" w:evenHBand="0" w:firstRowFirstColumn="0" w:firstRowLastColumn="0" w:lastRowFirstColumn="0" w:lastRowLastColumn="0"/>
        </w:trPr>
        <w:tc>
          <w:tcPr>
            <w:tcW w:w="2330" w:type="dxa"/>
          </w:tcPr>
          <w:p w14:paraId="746E085B" w14:textId="77777777" w:rsidR="00647AA9" w:rsidRPr="00724FDD" w:rsidRDefault="00647AA9" w:rsidP="00B202C2">
            <w:pPr>
              <w:rPr>
                <w:noProof/>
              </w:rPr>
            </w:pPr>
          </w:p>
        </w:tc>
        <w:tc>
          <w:tcPr>
            <w:tcW w:w="1100" w:type="dxa"/>
          </w:tcPr>
          <w:p w14:paraId="3C43887D" w14:textId="77777777" w:rsidR="00647AA9" w:rsidRPr="00724FDD" w:rsidRDefault="00647AA9" w:rsidP="00B202C2">
            <w:pPr>
              <w:rPr>
                <w:noProof/>
              </w:rPr>
            </w:pPr>
            <w:r w:rsidRPr="00724FDD">
              <w:rPr>
                <w:noProof/>
              </w:rPr>
              <w:t>Baseline</w:t>
            </w:r>
          </w:p>
        </w:tc>
        <w:tc>
          <w:tcPr>
            <w:tcW w:w="1526" w:type="dxa"/>
          </w:tcPr>
          <w:p w14:paraId="05D7FFF3" w14:textId="77777777" w:rsidR="00647AA9" w:rsidRPr="00724FDD" w:rsidRDefault="00647AA9" w:rsidP="00B202C2">
            <w:pPr>
              <w:rPr>
                <w:noProof/>
              </w:rPr>
            </w:pPr>
            <w:r w:rsidRPr="00724FDD">
              <w:rPr>
                <w:noProof/>
              </w:rPr>
              <w:t>Progress</w:t>
            </w:r>
            <w:r>
              <w:rPr>
                <w:rFonts w:ascii="Calibri" w:hAnsi="Calibri" w:cs="Calibri"/>
                <w:noProof/>
              </w:rPr>
              <w:t> </w:t>
            </w:r>
            <w:r>
              <w:rPr>
                <w:noProof/>
              </w:rPr>
              <w:t>(*)</w:t>
            </w:r>
          </w:p>
        </w:tc>
        <w:tc>
          <w:tcPr>
            <w:tcW w:w="1532" w:type="dxa"/>
          </w:tcPr>
          <w:p w14:paraId="4A82CD44" w14:textId="77777777" w:rsidR="00647AA9" w:rsidRPr="00724FDD" w:rsidRDefault="00647AA9" w:rsidP="00B202C2">
            <w:pPr>
              <w:rPr>
                <w:noProof/>
              </w:rPr>
            </w:pPr>
            <w:r w:rsidRPr="00724FDD">
              <w:rPr>
                <w:noProof/>
              </w:rPr>
              <w:t>Target</w:t>
            </w:r>
          </w:p>
        </w:tc>
        <w:tc>
          <w:tcPr>
            <w:tcW w:w="1572" w:type="dxa"/>
          </w:tcPr>
          <w:p w14:paraId="17098831" w14:textId="77777777" w:rsidR="00647AA9" w:rsidRPr="00724FDD" w:rsidRDefault="00647AA9" w:rsidP="00B202C2">
            <w:pPr>
              <w:rPr>
                <w:noProof/>
              </w:rPr>
            </w:pPr>
            <w:r w:rsidRPr="00724FDD">
              <w:rPr>
                <w:noProof/>
              </w:rPr>
              <w:t>Results</w:t>
            </w:r>
          </w:p>
        </w:tc>
        <w:tc>
          <w:tcPr>
            <w:tcW w:w="1579" w:type="dxa"/>
          </w:tcPr>
          <w:p w14:paraId="63BA7526" w14:textId="77777777" w:rsidR="00647AA9" w:rsidRPr="00724FDD" w:rsidRDefault="00647AA9" w:rsidP="00B202C2">
            <w:pPr>
              <w:rPr>
                <w:noProof/>
              </w:rPr>
            </w:pPr>
            <w:r w:rsidRPr="00724FDD">
              <w:rPr>
                <w:noProof/>
              </w:rPr>
              <w:t>Assessment</w:t>
            </w:r>
          </w:p>
        </w:tc>
      </w:tr>
      <w:tr w:rsidR="00647AA9" w:rsidRPr="00040D99" w14:paraId="7834E34D" w14:textId="77777777" w:rsidTr="00B202C2">
        <w:trPr>
          <w:cnfStyle w:val="000000100000" w:firstRow="0" w:lastRow="0" w:firstColumn="0" w:lastColumn="0" w:oddVBand="0" w:evenVBand="0" w:oddHBand="1" w:evenHBand="0" w:firstRowFirstColumn="0" w:firstRowLastColumn="0" w:lastRowFirstColumn="0" w:lastRowLastColumn="0"/>
        </w:trPr>
        <w:tc>
          <w:tcPr>
            <w:tcW w:w="2330" w:type="dxa"/>
          </w:tcPr>
          <w:p w14:paraId="742DD1E2" w14:textId="77777777" w:rsidR="00647AA9" w:rsidRPr="00724FDD" w:rsidRDefault="00647AA9" w:rsidP="00B202C2">
            <w:pPr>
              <w:rPr>
                <w:noProof/>
              </w:rPr>
            </w:pPr>
            <w:r>
              <w:rPr>
                <w:noProof/>
              </w:rPr>
              <w:t>Average speed of civil protection assistance interventions inside the EU (in hours)</w:t>
            </w:r>
          </w:p>
        </w:tc>
        <w:tc>
          <w:tcPr>
            <w:tcW w:w="1100" w:type="dxa"/>
          </w:tcPr>
          <w:p w14:paraId="1CD9C910" w14:textId="77777777" w:rsidR="00647AA9" w:rsidRPr="00724FDD" w:rsidRDefault="00647AA9" w:rsidP="00B202C2">
            <w:pPr>
              <w:jc w:val="center"/>
              <w:rPr>
                <w:noProof/>
              </w:rPr>
            </w:pPr>
          </w:p>
        </w:tc>
        <w:tc>
          <w:tcPr>
            <w:tcW w:w="1526" w:type="dxa"/>
          </w:tcPr>
          <w:p w14:paraId="6A031BE3" w14:textId="77777777" w:rsidR="00647AA9" w:rsidRPr="00724FDD" w:rsidRDefault="00647AA9" w:rsidP="00B202C2">
            <w:pPr>
              <w:jc w:val="center"/>
              <w:rPr>
                <w:b/>
                <w:noProof/>
              </w:rPr>
            </w:pPr>
            <w:r>
              <w:rPr>
                <w:noProof/>
              </w:rPr>
              <w:t>86%</w:t>
            </w:r>
          </w:p>
        </w:tc>
        <w:tc>
          <w:tcPr>
            <w:tcW w:w="1532" w:type="dxa"/>
          </w:tcPr>
          <w:p w14:paraId="1451D2B2" w14:textId="77777777" w:rsidR="00647AA9" w:rsidRPr="00724FDD" w:rsidRDefault="00647AA9" w:rsidP="00B202C2">
            <w:pPr>
              <w:jc w:val="center"/>
              <w:rPr>
                <w:noProof/>
              </w:rPr>
            </w:pPr>
            <w:r>
              <w:rPr>
                <w:noProof/>
              </w:rPr>
              <w:t>12</w:t>
            </w:r>
            <w:r>
              <w:rPr>
                <w:rFonts w:ascii="Calibri" w:hAnsi="Calibri" w:cs="Calibri"/>
                <w:noProof/>
              </w:rPr>
              <w:t> </w:t>
            </w:r>
            <w:r>
              <w:rPr>
                <w:noProof/>
              </w:rPr>
              <w:t>hours</w:t>
            </w:r>
          </w:p>
        </w:tc>
        <w:tc>
          <w:tcPr>
            <w:tcW w:w="1572" w:type="dxa"/>
          </w:tcPr>
          <w:p w14:paraId="220CBA7A" w14:textId="77777777" w:rsidR="00647AA9" w:rsidRPr="00724FDD" w:rsidRDefault="00647AA9" w:rsidP="00B202C2">
            <w:pPr>
              <w:jc w:val="center"/>
              <w:rPr>
                <w:noProof/>
              </w:rPr>
            </w:pPr>
            <w:r>
              <w:rPr>
                <w:noProof/>
              </w:rPr>
              <w:t>Milestones achieved in 6 out of 7 years from 2015 to 2021.</w:t>
            </w:r>
          </w:p>
        </w:tc>
        <w:tc>
          <w:tcPr>
            <w:tcW w:w="1579" w:type="dxa"/>
          </w:tcPr>
          <w:p w14:paraId="5D5A9C8E" w14:textId="77777777" w:rsidR="00647AA9" w:rsidRPr="00724FDD" w:rsidRDefault="00647AA9" w:rsidP="00B202C2">
            <w:pPr>
              <w:jc w:val="center"/>
              <w:rPr>
                <w:noProof/>
              </w:rPr>
            </w:pPr>
            <w:r>
              <w:rPr>
                <w:noProof/>
              </w:rPr>
              <w:t>Moderate progress</w:t>
            </w:r>
          </w:p>
        </w:tc>
      </w:tr>
      <w:tr w:rsidR="00647AA9" w:rsidRPr="00040D99" w14:paraId="5BD76DB4" w14:textId="77777777" w:rsidTr="00B202C2">
        <w:trPr>
          <w:cnfStyle w:val="000000010000" w:firstRow="0" w:lastRow="0" w:firstColumn="0" w:lastColumn="0" w:oddVBand="0" w:evenVBand="0" w:oddHBand="0" w:evenHBand="1" w:firstRowFirstColumn="0" w:firstRowLastColumn="0" w:lastRowFirstColumn="0" w:lastRowLastColumn="0"/>
        </w:trPr>
        <w:tc>
          <w:tcPr>
            <w:tcW w:w="2330" w:type="dxa"/>
          </w:tcPr>
          <w:p w14:paraId="2000FA82" w14:textId="77777777" w:rsidR="00647AA9" w:rsidRDefault="00647AA9" w:rsidP="00B202C2">
            <w:pPr>
              <w:rPr>
                <w:noProof/>
              </w:rPr>
            </w:pPr>
            <w:r>
              <w:rPr>
                <w:noProof/>
              </w:rPr>
              <w:t>Average speed of civil protection assistance interventions outside of the EU, from acceptance of offer to deployment (in hours)</w:t>
            </w:r>
          </w:p>
        </w:tc>
        <w:tc>
          <w:tcPr>
            <w:tcW w:w="1100" w:type="dxa"/>
          </w:tcPr>
          <w:p w14:paraId="609718AD" w14:textId="77777777" w:rsidR="00647AA9" w:rsidRDefault="00647AA9" w:rsidP="00B202C2">
            <w:pPr>
              <w:jc w:val="center"/>
              <w:rPr>
                <w:noProof/>
              </w:rPr>
            </w:pPr>
          </w:p>
        </w:tc>
        <w:tc>
          <w:tcPr>
            <w:tcW w:w="1526" w:type="dxa"/>
          </w:tcPr>
          <w:p w14:paraId="1F9AA1AE" w14:textId="77777777" w:rsidR="00647AA9" w:rsidRDefault="00647AA9" w:rsidP="00B202C2">
            <w:pPr>
              <w:jc w:val="center"/>
              <w:rPr>
                <w:b/>
                <w:noProof/>
              </w:rPr>
            </w:pPr>
            <w:r>
              <w:rPr>
                <w:noProof/>
              </w:rPr>
              <w:t>71%</w:t>
            </w:r>
          </w:p>
        </w:tc>
        <w:tc>
          <w:tcPr>
            <w:tcW w:w="1532" w:type="dxa"/>
          </w:tcPr>
          <w:p w14:paraId="0A395B38" w14:textId="77777777" w:rsidR="00647AA9" w:rsidRDefault="00647AA9" w:rsidP="00B202C2">
            <w:pPr>
              <w:jc w:val="center"/>
              <w:rPr>
                <w:noProof/>
              </w:rPr>
            </w:pPr>
            <w:r>
              <w:rPr>
                <w:noProof/>
              </w:rPr>
              <w:t>48</w:t>
            </w:r>
            <w:r>
              <w:rPr>
                <w:rFonts w:ascii="Calibri" w:hAnsi="Calibri" w:cs="Calibri"/>
                <w:noProof/>
              </w:rPr>
              <w:t> </w:t>
            </w:r>
            <w:r>
              <w:rPr>
                <w:noProof/>
              </w:rPr>
              <w:t>hours</w:t>
            </w:r>
          </w:p>
        </w:tc>
        <w:tc>
          <w:tcPr>
            <w:tcW w:w="1572" w:type="dxa"/>
          </w:tcPr>
          <w:p w14:paraId="556D2000" w14:textId="77777777" w:rsidR="00647AA9" w:rsidRDefault="00647AA9" w:rsidP="00B202C2">
            <w:pPr>
              <w:jc w:val="center"/>
              <w:rPr>
                <w:noProof/>
              </w:rPr>
            </w:pPr>
            <w:r>
              <w:rPr>
                <w:noProof/>
              </w:rPr>
              <w:t>Milestones achieved in 5 out of 7 years from 2015 to 2021</w:t>
            </w:r>
          </w:p>
        </w:tc>
        <w:tc>
          <w:tcPr>
            <w:tcW w:w="1579" w:type="dxa"/>
          </w:tcPr>
          <w:p w14:paraId="567183BA" w14:textId="77777777" w:rsidR="00647AA9" w:rsidRDefault="00647AA9" w:rsidP="00B202C2">
            <w:pPr>
              <w:jc w:val="center"/>
              <w:rPr>
                <w:noProof/>
              </w:rPr>
            </w:pPr>
            <w:r>
              <w:rPr>
                <w:noProof/>
              </w:rPr>
              <w:t>Deserves attention</w:t>
            </w:r>
          </w:p>
        </w:tc>
      </w:tr>
    </w:tbl>
    <w:p w14:paraId="72988B3F" w14:textId="151CD849" w:rsidR="00647AA9" w:rsidRDefault="00647AA9" w:rsidP="00647AA9">
      <w:pPr>
        <w:pStyle w:val="FootnoteText"/>
        <w:spacing w:before="120"/>
        <w:rPr>
          <w:noProof/>
        </w:rPr>
      </w:pPr>
      <w:r>
        <w:rPr>
          <w:noProof/>
        </w:rPr>
        <w:t xml:space="preserve">(*) % of years for which the milestones or target </w:t>
      </w:r>
      <w:r w:rsidR="00AA5CAB">
        <w:rPr>
          <w:noProof/>
        </w:rPr>
        <w:t xml:space="preserve">have </w:t>
      </w:r>
      <w:r>
        <w:rPr>
          <w:noProof/>
        </w:rPr>
        <w:t>been achieved during the 2014-2021 period.</w:t>
      </w:r>
    </w:p>
    <w:p w14:paraId="6122EF90" w14:textId="77777777" w:rsidR="00647AA9" w:rsidRPr="00040D99" w:rsidRDefault="00647AA9" w:rsidP="00647AA9">
      <w:pPr>
        <w:pStyle w:val="ppoListHyphened-L1"/>
        <w:spacing w:before="360"/>
        <w:rPr>
          <w:noProof/>
        </w:rPr>
      </w:pPr>
      <w:r w:rsidRPr="00C14AA9">
        <w:rPr>
          <w:noProof/>
        </w:rPr>
        <w:t xml:space="preserve">UCPM projects </w:t>
      </w:r>
      <w:r>
        <w:rPr>
          <w:noProof/>
        </w:rPr>
        <w:t xml:space="preserve">that started </w:t>
      </w:r>
      <w:r w:rsidRPr="00C14AA9">
        <w:rPr>
          <w:noProof/>
        </w:rPr>
        <w:t xml:space="preserve">under the previous </w:t>
      </w:r>
      <w:r>
        <w:rPr>
          <w:noProof/>
        </w:rPr>
        <w:t>multiannual financial framework</w:t>
      </w:r>
      <w:r w:rsidRPr="00C14AA9">
        <w:rPr>
          <w:noProof/>
        </w:rPr>
        <w:t xml:space="preserve"> (2014-2020) continued in the same conditions under the current </w:t>
      </w:r>
      <w:r>
        <w:rPr>
          <w:noProof/>
        </w:rPr>
        <w:t>multiannual financial framework</w:t>
      </w:r>
      <w:r w:rsidRPr="00C14AA9">
        <w:rPr>
          <w:noProof/>
        </w:rPr>
        <w:t xml:space="preserve"> (2021-2027). For information on the</w:t>
      </w:r>
      <w:r>
        <w:rPr>
          <w:noProof/>
        </w:rPr>
        <w:t xml:space="preserve"> performance of the previous programme,</w:t>
      </w:r>
      <w:r w:rsidRPr="00C14AA9">
        <w:rPr>
          <w:noProof/>
        </w:rPr>
        <w:t xml:space="preserve"> pl</w:t>
      </w:r>
      <w:r>
        <w:rPr>
          <w:noProof/>
        </w:rPr>
        <w:t>ease refer to the active programme performance section above</w:t>
      </w:r>
      <w:r w:rsidRPr="00C14AA9">
        <w:rPr>
          <w:noProof/>
        </w:rPr>
        <w:t>.</w:t>
      </w:r>
    </w:p>
    <w:p w14:paraId="1E50E5F5" w14:textId="41DBD714" w:rsidR="00D40083" w:rsidRPr="001D0AB7" w:rsidRDefault="00D40083" w:rsidP="00AF1C52">
      <w:pPr>
        <w:pStyle w:val="ppoListHyphened-L1"/>
        <w:spacing w:after="160" w:line="259" w:lineRule="auto"/>
        <w:rPr>
          <w:noProof/>
          <w:lang w:val="en-IE"/>
        </w:rPr>
      </w:pPr>
    </w:p>
    <w:p w14:paraId="47B254D6" w14:textId="77777777" w:rsidR="00C04EEB" w:rsidRDefault="00C04EEB" w:rsidP="005C4C84">
      <w:pPr>
        <w:pStyle w:val="ppoListHyphened-L1"/>
        <w:numPr>
          <w:ilvl w:val="0"/>
          <w:numId w:val="69"/>
        </w:numPr>
        <w:rPr>
          <w:noProof/>
        </w:rPr>
        <w:sectPr w:rsidR="00C04EEB" w:rsidSect="00D40083">
          <w:headerReference w:type="even" r:id="rId247"/>
          <w:headerReference w:type="default" r:id="rId248"/>
          <w:footerReference w:type="even" r:id="rId249"/>
          <w:footerReference w:type="default" r:id="rId250"/>
          <w:headerReference w:type="first" r:id="rId251"/>
          <w:footerReference w:type="first" r:id="rId252"/>
          <w:pgSz w:w="11906" w:h="16838" w:code="9"/>
          <w:pgMar w:top="1134" w:right="1134" w:bottom="964" w:left="1134" w:header="431" w:footer="431" w:gutter="0"/>
          <w:cols w:space="720"/>
          <w:titlePg/>
          <w:docGrid w:linePitch="360"/>
        </w:sectPr>
      </w:pPr>
    </w:p>
    <w:p w14:paraId="353FF987" w14:textId="566EC367" w:rsidR="00C04EEB" w:rsidRPr="00064BAE" w:rsidRDefault="00C04EEB" w:rsidP="00C04EEB">
      <w:pPr>
        <w:pStyle w:val="StyleppoHeading3WhiteLeft0cm"/>
        <w:rPr>
          <w:noProof/>
          <w:sz w:val="40"/>
          <w:szCs w:val="40"/>
        </w:rPr>
      </w:pPr>
    </w:p>
    <w:p w14:paraId="72548BC1" w14:textId="77777777" w:rsidR="00C04EEB" w:rsidRPr="00064BAE" w:rsidRDefault="00C04EEB" w:rsidP="00C04EEB">
      <w:pPr>
        <w:pStyle w:val="StyleppoHeading3WhiteLeft0cm"/>
        <w:rPr>
          <w:noProof/>
          <w:sz w:val="60"/>
          <w:szCs w:val="60"/>
        </w:rPr>
      </w:pPr>
      <w:bookmarkStart w:id="114" w:name="_Toc102086347"/>
      <w:r w:rsidRPr="00064BAE">
        <w:rPr>
          <w:noProof/>
          <w:sz w:val="60"/>
          <w:szCs w:val="60"/>
        </w:rPr>
        <w:t>EU4HEALTH</w:t>
      </w:r>
      <w:bookmarkEnd w:id="114"/>
    </w:p>
    <w:p w14:paraId="3082518B" w14:textId="77777777" w:rsidR="00C04EEB" w:rsidRPr="00064BAE" w:rsidRDefault="00C04EEB" w:rsidP="00C04EEB">
      <w:pPr>
        <w:pStyle w:val="StyleppoProgrammenameWhiteLeft01cm"/>
        <w:rPr>
          <w:noProof/>
        </w:rPr>
      </w:pPr>
      <w:r w:rsidRPr="00064BAE">
        <w:rPr>
          <w:noProof/>
        </w:rPr>
        <w:t>EU PROGRAMME FOR A HEALTHIER AND SAFER UNION</w:t>
      </w:r>
    </w:p>
    <w:p w14:paraId="2D4931F5" w14:textId="77777777" w:rsidR="00C04EEB" w:rsidRPr="00064BAE" w:rsidRDefault="00C04EEB" w:rsidP="00C04EEB">
      <w:pPr>
        <w:pStyle w:val="ppoHeading4Green"/>
        <w:rPr>
          <w:noProof/>
        </w:rPr>
      </w:pPr>
      <w:r w:rsidRPr="00064BAE">
        <w:rPr>
          <w:noProof/>
        </w:rPr>
        <w:t>Programme in a nutshell</w:t>
      </w:r>
    </w:p>
    <w:p w14:paraId="79C66C17" w14:textId="77777777" w:rsidR="00C04EEB" w:rsidRPr="00064BAE" w:rsidRDefault="00C04EEB" w:rsidP="00C04EEB">
      <w:pPr>
        <w:pStyle w:val="ppoHeading5"/>
        <w:rPr>
          <w:noProof/>
        </w:rPr>
      </w:pPr>
      <w:r w:rsidRPr="00064BAE">
        <w:rPr>
          <w:noProof/>
        </w:rPr>
        <w:t>Concrete examples of achievements</w:t>
      </w:r>
      <w:r w:rsidRPr="00064BAE">
        <w:rPr>
          <w:rFonts w:ascii="Calibri" w:hAnsi="Calibri" w:cs="Calibri"/>
          <w:noProof/>
        </w:rPr>
        <w:t> </w:t>
      </w:r>
      <w:r w:rsidRPr="00064BAE">
        <w:rPr>
          <w:noProof/>
        </w:rPr>
        <w:t>(*)</w:t>
      </w:r>
    </w:p>
    <w:tbl>
      <w:tblPr>
        <w:tblStyle w:val="PPO2021"/>
        <w:tblW w:w="9639" w:type="dxa"/>
        <w:tblInd w:w="0" w:type="dxa"/>
        <w:tblLook w:val="0200" w:firstRow="0" w:lastRow="0" w:firstColumn="0" w:lastColumn="0" w:noHBand="1" w:noVBand="0"/>
      </w:tblPr>
      <w:tblGrid>
        <w:gridCol w:w="2410"/>
        <w:gridCol w:w="2409"/>
        <w:gridCol w:w="2410"/>
        <w:gridCol w:w="2410"/>
      </w:tblGrid>
      <w:tr w:rsidR="00C04EEB" w:rsidRPr="00064BAE" w14:paraId="67E480EE" w14:textId="77777777" w:rsidTr="00AD7F08">
        <w:tc>
          <w:tcPr>
            <w:tcW w:w="2410" w:type="dxa"/>
            <w:tcBorders>
              <w:bottom w:val="single" w:sz="4" w:space="0" w:color="8C8C8C"/>
            </w:tcBorders>
          </w:tcPr>
          <w:p w14:paraId="4C2DBA8C" w14:textId="77777777" w:rsidR="00C04EEB" w:rsidRPr="00064BAE" w:rsidRDefault="00C04EEB" w:rsidP="00B202C2">
            <w:pPr>
              <w:pStyle w:val="ppoTableacheivementvalue"/>
              <w:rPr>
                <w:noProof/>
              </w:rPr>
            </w:pPr>
            <w:bookmarkStart w:id="115" w:name="_Hlk101529339"/>
            <w:r w:rsidRPr="00064BAE">
              <w:rPr>
                <w:noProof/>
              </w:rPr>
              <w:t>1</w:t>
            </w:r>
            <w:r w:rsidRPr="00064BAE">
              <w:rPr>
                <w:rFonts w:ascii="Calibri" w:hAnsi="Calibri" w:cs="Calibri"/>
                <w:noProof/>
              </w:rPr>
              <w:t> </w:t>
            </w:r>
            <w:r w:rsidRPr="00064BAE">
              <w:rPr>
                <w:noProof/>
              </w:rPr>
              <w:t>185</w:t>
            </w:r>
          </w:p>
          <w:p w14:paraId="115A6102" w14:textId="77777777" w:rsidR="00C04EEB" w:rsidRPr="00064BAE" w:rsidRDefault="00C04EEB" w:rsidP="00962E3C">
            <w:pPr>
              <w:jc w:val="left"/>
              <w:rPr>
                <w:noProof/>
              </w:rPr>
            </w:pPr>
            <w:r w:rsidRPr="00064BAE">
              <w:rPr>
                <w:noProof/>
              </w:rPr>
              <w:t>healthcare providers and centres of expertise joined the 24 European reference networks established</w:t>
            </w:r>
            <w:bookmarkEnd w:id="115"/>
            <w:r>
              <w:rPr>
                <w:noProof/>
              </w:rPr>
              <w:t xml:space="preserve"> under the third health programme (2014-2020)</w:t>
            </w:r>
            <w:r w:rsidRPr="00064BAE">
              <w:rPr>
                <w:noProof/>
              </w:rPr>
              <w:t>.</w:t>
            </w:r>
          </w:p>
        </w:tc>
        <w:tc>
          <w:tcPr>
            <w:cnfStyle w:val="000001000000" w:firstRow="0" w:lastRow="0" w:firstColumn="0" w:lastColumn="0" w:oddVBand="0" w:evenVBand="1" w:oddHBand="0" w:evenHBand="0" w:firstRowFirstColumn="0" w:firstRowLastColumn="0" w:lastRowFirstColumn="0" w:lastRowLastColumn="0"/>
            <w:tcW w:w="2409" w:type="dxa"/>
          </w:tcPr>
          <w:p w14:paraId="53483C87" w14:textId="77777777" w:rsidR="00C04EEB" w:rsidRPr="00064BAE" w:rsidRDefault="00C04EEB" w:rsidP="00B202C2">
            <w:pPr>
              <w:pStyle w:val="ppoTableacheivementvalue"/>
              <w:rPr>
                <w:noProof/>
              </w:rPr>
            </w:pPr>
            <w:r w:rsidRPr="00064BAE">
              <w:rPr>
                <w:noProof/>
              </w:rPr>
              <w:t>36</w:t>
            </w:r>
          </w:p>
          <w:p w14:paraId="1546E6BB" w14:textId="763D76E3" w:rsidR="00C04EEB" w:rsidRPr="00064BAE" w:rsidRDefault="00C04EEB" w:rsidP="00962E3C">
            <w:pPr>
              <w:jc w:val="left"/>
              <w:rPr>
                <w:noProof/>
              </w:rPr>
            </w:pPr>
            <w:r w:rsidRPr="00064BAE">
              <w:rPr>
                <w:noProof/>
              </w:rPr>
              <w:t>European countries (including all 27 EU Member States) were assessed in the context of the 202</w:t>
            </w:r>
            <w:r w:rsidR="00BA5DAF">
              <w:rPr>
                <w:noProof/>
              </w:rPr>
              <w:t>0</w:t>
            </w:r>
            <w:r w:rsidRPr="00064BAE">
              <w:rPr>
                <w:noProof/>
              </w:rPr>
              <w:t xml:space="preserve"> edition of </w:t>
            </w:r>
            <w:r w:rsidRPr="00064BAE">
              <w:rPr>
                <w:i/>
                <w:noProof/>
              </w:rPr>
              <w:t>Health at a Glance</w:t>
            </w:r>
            <w:r w:rsidRPr="00064BAE">
              <w:rPr>
                <w:noProof/>
              </w:rPr>
              <w:t xml:space="preserve"> on the comparative health status of their citizens and on the health impact of air pollution</w:t>
            </w:r>
            <w:r>
              <w:rPr>
                <w:noProof/>
              </w:rPr>
              <w:t xml:space="preserve"> under the third health programme (2014-2020)</w:t>
            </w:r>
            <w:r w:rsidRPr="00064BAE">
              <w:rPr>
                <w:noProof/>
              </w:rPr>
              <w:t>.</w:t>
            </w:r>
          </w:p>
        </w:tc>
        <w:tc>
          <w:tcPr>
            <w:tcW w:w="2410" w:type="dxa"/>
            <w:tcBorders>
              <w:bottom w:val="single" w:sz="4" w:space="0" w:color="8C8C8C"/>
            </w:tcBorders>
          </w:tcPr>
          <w:p w14:paraId="5C0E45AF" w14:textId="77777777" w:rsidR="00C04EEB" w:rsidRPr="00064BAE" w:rsidRDefault="00C04EEB" w:rsidP="00B202C2">
            <w:pPr>
              <w:pStyle w:val="ppoTableacheivementvalue"/>
              <w:cnfStyle w:val="000000000000" w:firstRow="0" w:lastRow="0" w:firstColumn="0" w:lastColumn="0" w:oddVBand="0" w:evenVBand="0" w:oddHBand="0" w:evenHBand="0" w:firstRowFirstColumn="0" w:firstRowLastColumn="0" w:lastRowFirstColumn="0" w:lastRowLastColumn="0"/>
              <w:rPr>
                <w:noProof/>
              </w:rPr>
            </w:pPr>
            <w:bookmarkStart w:id="116" w:name="_Hlk101529404"/>
            <w:r w:rsidRPr="00064BAE">
              <w:rPr>
                <w:noProof/>
              </w:rPr>
              <w:t>27</w:t>
            </w:r>
          </w:p>
          <w:p w14:paraId="2A943BCB" w14:textId="77777777" w:rsidR="00C04EEB" w:rsidRPr="00064BAE" w:rsidRDefault="00C04EEB" w:rsidP="00962E3C">
            <w:pPr>
              <w:jc w:val="left"/>
              <w:cnfStyle w:val="000000000000" w:firstRow="0" w:lastRow="0" w:firstColumn="0" w:lastColumn="0" w:oddVBand="0" w:evenVBand="0" w:oddHBand="0" w:evenHBand="0" w:firstRowFirstColumn="0" w:firstRowLastColumn="0" w:lastRowFirstColumn="0" w:lastRowLastColumn="0"/>
              <w:rPr>
                <w:noProof/>
              </w:rPr>
            </w:pPr>
            <w:r w:rsidRPr="00064BAE">
              <w:rPr>
                <w:noProof/>
              </w:rPr>
              <w:t xml:space="preserve">joint reports (13 assessments and 14 early dialogues) were produced in the </w:t>
            </w:r>
            <w:bookmarkEnd w:id="116"/>
            <w:r w:rsidRPr="00064BAE">
              <w:rPr>
                <w:noProof/>
              </w:rPr>
              <w:t>context of EU cooperation on health technology assessment and with financial support provided to the European Network for Health Technology Assessment</w:t>
            </w:r>
            <w:r w:rsidRPr="00064BAE" w:rsidDel="00064BAE">
              <w:rPr>
                <w:noProof/>
              </w:rPr>
              <w:t xml:space="preserve"> </w:t>
            </w:r>
            <w:r w:rsidRPr="00A031EC">
              <w:rPr>
                <w:noProof/>
              </w:rPr>
              <w:t>joint action</w:t>
            </w:r>
            <w:r>
              <w:rPr>
                <w:rFonts w:ascii="Calibri" w:hAnsi="Calibri" w:cs="Calibri"/>
                <w:noProof/>
              </w:rPr>
              <w:t> </w:t>
            </w:r>
            <w:r>
              <w:rPr>
                <w:noProof/>
              </w:rPr>
              <w:t>3 under the third health programme (2014-2020)</w:t>
            </w:r>
            <w:r w:rsidRPr="00064BAE">
              <w:rPr>
                <w:noProof/>
              </w:rPr>
              <w:t>.</w:t>
            </w:r>
          </w:p>
        </w:tc>
        <w:tc>
          <w:tcPr>
            <w:cnfStyle w:val="000001000000" w:firstRow="0" w:lastRow="0" w:firstColumn="0" w:lastColumn="0" w:oddVBand="0" w:evenVBand="1" w:oddHBand="0" w:evenHBand="0" w:firstRowFirstColumn="0" w:firstRowLastColumn="0" w:lastRowFirstColumn="0" w:lastRowLastColumn="0"/>
            <w:tcW w:w="2410" w:type="dxa"/>
          </w:tcPr>
          <w:p w14:paraId="13C69FD5" w14:textId="77777777" w:rsidR="00C04EEB" w:rsidRPr="00064BAE" w:rsidRDefault="00C04EEB" w:rsidP="00B202C2">
            <w:pPr>
              <w:pStyle w:val="ppoTableacheivementvalue"/>
              <w:rPr>
                <w:noProof/>
              </w:rPr>
            </w:pPr>
            <w:r w:rsidRPr="00064BAE">
              <w:rPr>
                <w:noProof/>
              </w:rPr>
              <w:t>23</w:t>
            </w:r>
          </w:p>
          <w:p w14:paraId="45EE73FD" w14:textId="77777777" w:rsidR="00C04EEB" w:rsidRPr="00064BAE" w:rsidRDefault="00C04EEB" w:rsidP="00962E3C">
            <w:pPr>
              <w:jc w:val="left"/>
              <w:rPr>
                <w:noProof/>
              </w:rPr>
            </w:pPr>
            <w:r w:rsidRPr="00064BAE">
              <w:rPr>
                <w:noProof/>
              </w:rPr>
              <w:t>Member States are using the tools and mechanisms identified to contribute to effective results in their health systems</w:t>
            </w:r>
            <w:r>
              <w:rPr>
                <w:noProof/>
              </w:rPr>
              <w:t xml:space="preserve"> under the third health programme (2014-2020)</w:t>
            </w:r>
            <w:r w:rsidRPr="00064BAE">
              <w:rPr>
                <w:noProof/>
              </w:rPr>
              <w:t>.</w:t>
            </w:r>
          </w:p>
        </w:tc>
      </w:tr>
      <w:tr w:rsidR="00C04EEB" w:rsidRPr="00064BAE" w14:paraId="5044B50E" w14:textId="77777777" w:rsidTr="00AD7F08">
        <w:tc>
          <w:tcPr>
            <w:tcW w:w="2410" w:type="dxa"/>
            <w:tcBorders>
              <w:bottom w:val="single" w:sz="4" w:space="0" w:color="8C8C8C"/>
            </w:tcBorders>
          </w:tcPr>
          <w:p w14:paraId="44332A5D" w14:textId="6993907B" w:rsidR="00C04EEB" w:rsidRPr="00064BAE" w:rsidRDefault="00C04EEB" w:rsidP="00B202C2">
            <w:pPr>
              <w:pStyle w:val="ppoTableacheivementvalue"/>
              <w:rPr>
                <w:noProof/>
              </w:rPr>
            </w:pPr>
            <w:r w:rsidRPr="00064BAE">
              <w:rPr>
                <w:noProof/>
              </w:rPr>
              <w:t>2</w:t>
            </w:r>
            <w:r w:rsidRPr="00064BAE">
              <w:rPr>
                <w:rFonts w:ascii="Calibri" w:hAnsi="Calibri" w:cs="Calibri"/>
                <w:noProof/>
              </w:rPr>
              <w:t> </w:t>
            </w:r>
            <w:r w:rsidRPr="00064BAE">
              <w:rPr>
                <w:noProof/>
              </w:rPr>
              <w:t>000</w:t>
            </w:r>
          </w:p>
          <w:p w14:paraId="79ED0DF2" w14:textId="77777777" w:rsidR="00C04EEB" w:rsidRPr="00064BAE" w:rsidRDefault="00C04EEB" w:rsidP="00962E3C">
            <w:pPr>
              <w:jc w:val="left"/>
              <w:rPr>
                <w:noProof/>
              </w:rPr>
            </w:pPr>
            <w:r w:rsidRPr="00064BAE">
              <w:rPr>
                <w:noProof/>
              </w:rPr>
              <w:t xml:space="preserve">contacts </w:t>
            </w:r>
            <w:r>
              <w:rPr>
                <w:noProof/>
              </w:rPr>
              <w:t>were</w:t>
            </w:r>
            <w:r w:rsidRPr="00064BAE">
              <w:rPr>
                <w:noProof/>
              </w:rPr>
              <w:t xml:space="preserve"> made with stakeholders within and outside the EU informing them about the legislative changes made by the new EU legislation on medical devices and </w:t>
            </w:r>
            <w:r w:rsidRPr="004F6FD1">
              <w:rPr>
                <w:i/>
                <w:iCs/>
                <w:noProof/>
              </w:rPr>
              <w:t>in vitro</w:t>
            </w:r>
            <w:r w:rsidRPr="00064BAE">
              <w:rPr>
                <w:noProof/>
              </w:rPr>
              <w:t xml:space="preserve"> diagnostic medical devices</w:t>
            </w:r>
            <w:r>
              <w:rPr>
                <w:noProof/>
              </w:rPr>
              <w:t xml:space="preserve"> under the third health programme (2014-2020)</w:t>
            </w:r>
            <w:r w:rsidRPr="00064BAE">
              <w:rPr>
                <w:noProof/>
              </w:rPr>
              <w:t>.</w:t>
            </w:r>
          </w:p>
        </w:tc>
        <w:tc>
          <w:tcPr>
            <w:cnfStyle w:val="000001000000" w:firstRow="0" w:lastRow="0" w:firstColumn="0" w:lastColumn="0" w:oddVBand="0" w:evenVBand="1" w:oddHBand="0" w:evenHBand="0" w:firstRowFirstColumn="0" w:firstRowLastColumn="0" w:lastRowFirstColumn="0" w:lastRowLastColumn="0"/>
            <w:tcW w:w="2409" w:type="dxa"/>
            <w:shd w:val="clear" w:color="auto" w:fill="F2F2F2"/>
          </w:tcPr>
          <w:p w14:paraId="163CE6CA" w14:textId="77777777" w:rsidR="00C04EEB" w:rsidRPr="00064BAE" w:rsidRDefault="00C04EEB" w:rsidP="00B202C2">
            <w:pPr>
              <w:jc w:val="center"/>
              <w:rPr>
                <w:noProof/>
                <w:sz w:val="28"/>
                <w:szCs w:val="28"/>
              </w:rPr>
            </w:pPr>
            <w:r w:rsidRPr="00064BAE">
              <w:rPr>
                <w:noProof/>
                <w:sz w:val="28"/>
                <w:szCs w:val="28"/>
              </w:rPr>
              <w:t>EUR</w:t>
            </w:r>
            <w:r w:rsidRPr="00064BAE">
              <w:rPr>
                <w:rFonts w:ascii="Calibri" w:hAnsi="Calibri" w:cs="Calibri"/>
                <w:noProof/>
                <w:sz w:val="28"/>
                <w:szCs w:val="28"/>
              </w:rPr>
              <w:t> </w:t>
            </w:r>
            <w:r w:rsidRPr="00064BAE">
              <w:rPr>
                <w:noProof/>
                <w:sz w:val="28"/>
                <w:szCs w:val="28"/>
              </w:rPr>
              <w:t>100</w:t>
            </w:r>
            <w:r w:rsidRPr="00064BAE">
              <w:rPr>
                <w:rFonts w:ascii="Calibri" w:hAnsi="Calibri" w:cs="Calibri"/>
                <w:noProof/>
                <w:sz w:val="28"/>
                <w:szCs w:val="28"/>
              </w:rPr>
              <w:t> </w:t>
            </w:r>
            <w:r w:rsidRPr="00064BAE">
              <w:rPr>
                <w:noProof/>
                <w:sz w:val="28"/>
                <w:szCs w:val="28"/>
              </w:rPr>
              <w:t>million</w:t>
            </w:r>
          </w:p>
          <w:p w14:paraId="396EA02F" w14:textId="2F06DD59" w:rsidR="00C04EEB" w:rsidRPr="00064BAE" w:rsidRDefault="00C04EEB" w:rsidP="00962E3C">
            <w:pPr>
              <w:jc w:val="left"/>
              <w:rPr>
                <w:noProof/>
              </w:rPr>
            </w:pPr>
            <w:r>
              <w:rPr>
                <w:noProof/>
              </w:rPr>
              <w:t>has been</w:t>
            </w:r>
            <w:r w:rsidRPr="00064BAE">
              <w:rPr>
                <w:noProof/>
              </w:rPr>
              <w:t xml:space="preserve"> dedicated to investment in health crisis preparedness, based on the lessons learned during the COVID-19 pandemic</w:t>
            </w:r>
            <w:r>
              <w:rPr>
                <w:noProof/>
              </w:rPr>
              <w:t xml:space="preserve"> under the EU4</w:t>
            </w:r>
            <w:r w:rsidR="00E06866">
              <w:rPr>
                <w:noProof/>
              </w:rPr>
              <w:t>H</w:t>
            </w:r>
            <w:r>
              <w:rPr>
                <w:noProof/>
              </w:rPr>
              <w:t>ealth programme (2021-2027)</w:t>
            </w:r>
            <w:r w:rsidRPr="00064BAE">
              <w:rPr>
                <w:noProof/>
              </w:rPr>
              <w:t>.</w:t>
            </w:r>
          </w:p>
        </w:tc>
        <w:tc>
          <w:tcPr>
            <w:tcW w:w="2410" w:type="dxa"/>
            <w:tcBorders>
              <w:bottom w:val="single" w:sz="4" w:space="0" w:color="8C8C8C"/>
            </w:tcBorders>
            <w:shd w:val="clear" w:color="auto" w:fill="FFFFFF" w:themeFill="background1"/>
          </w:tcPr>
          <w:p w14:paraId="64040BE1" w14:textId="77777777" w:rsidR="00C04EEB" w:rsidRPr="00064BAE" w:rsidRDefault="00C04EEB" w:rsidP="00B202C2">
            <w:pPr>
              <w:jc w:val="center"/>
              <w:cnfStyle w:val="000000000000" w:firstRow="0" w:lastRow="0" w:firstColumn="0" w:lastColumn="0" w:oddVBand="0" w:evenVBand="0" w:oddHBand="0" w:evenHBand="0" w:firstRowFirstColumn="0" w:firstRowLastColumn="0" w:lastRowFirstColumn="0" w:lastRowLastColumn="0"/>
              <w:rPr>
                <w:noProof/>
                <w:sz w:val="28"/>
                <w:szCs w:val="28"/>
              </w:rPr>
            </w:pPr>
            <w:r w:rsidRPr="00064BAE">
              <w:rPr>
                <w:noProof/>
                <w:sz w:val="28"/>
                <w:szCs w:val="28"/>
              </w:rPr>
              <w:t>EUR</w:t>
            </w:r>
            <w:r w:rsidRPr="00064BAE">
              <w:rPr>
                <w:rFonts w:ascii="Calibri" w:hAnsi="Calibri" w:cs="Calibri"/>
                <w:noProof/>
                <w:sz w:val="28"/>
                <w:szCs w:val="28"/>
              </w:rPr>
              <w:t> </w:t>
            </w:r>
            <w:r w:rsidRPr="00064BAE">
              <w:rPr>
                <w:noProof/>
                <w:sz w:val="28"/>
                <w:szCs w:val="28"/>
              </w:rPr>
              <w:t>100</w:t>
            </w:r>
            <w:r w:rsidRPr="00064BAE">
              <w:rPr>
                <w:rFonts w:ascii="Calibri" w:hAnsi="Calibri" w:cs="Calibri"/>
                <w:noProof/>
                <w:sz w:val="28"/>
                <w:szCs w:val="28"/>
              </w:rPr>
              <w:t> </w:t>
            </w:r>
            <w:r w:rsidRPr="00064BAE">
              <w:rPr>
                <w:noProof/>
                <w:sz w:val="28"/>
                <w:szCs w:val="28"/>
              </w:rPr>
              <w:t>million</w:t>
            </w:r>
          </w:p>
          <w:p w14:paraId="0A48AAA8" w14:textId="356674FA" w:rsidR="00C04EEB" w:rsidRPr="00064BAE" w:rsidRDefault="00C04EEB" w:rsidP="00962E3C">
            <w:pPr>
              <w:jc w:val="left"/>
              <w:cnfStyle w:val="000000000000" w:firstRow="0" w:lastRow="0" w:firstColumn="0" w:lastColumn="0" w:oddVBand="0" w:evenVBand="0" w:oddHBand="0" w:evenHBand="0" w:firstRowFirstColumn="0" w:firstRowLastColumn="0" w:lastRowFirstColumn="0" w:lastRowLastColumn="0"/>
              <w:rPr>
                <w:noProof/>
              </w:rPr>
            </w:pPr>
            <w:r w:rsidRPr="00064BAE">
              <w:rPr>
                <w:noProof/>
              </w:rPr>
              <w:t>has been allocated to support decisive action to reduce the impact of cancer (as presented in Europe’s beating cancer plan)</w:t>
            </w:r>
            <w:r>
              <w:rPr>
                <w:noProof/>
              </w:rPr>
              <w:t xml:space="preserve"> under the EU4</w:t>
            </w:r>
            <w:r w:rsidR="00E06866">
              <w:rPr>
                <w:noProof/>
              </w:rPr>
              <w:t>H</w:t>
            </w:r>
            <w:r>
              <w:rPr>
                <w:noProof/>
              </w:rPr>
              <w:t>ealth programme (2021-27)</w:t>
            </w:r>
            <w:r w:rsidRPr="00064BAE">
              <w:rPr>
                <w:noProof/>
              </w:rPr>
              <w:t>.</w:t>
            </w:r>
          </w:p>
        </w:tc>
        <w:tc>
          <w:tcPr>
            <w:cnfStyle w:val="000001000000" w:firstRow="0" w:lastRow="0" w:firstColumn="0" w:lastColumn="0" w:oddVBand="0" w:evenVBand="1" w:oddHBand="0" w:evenHBand="0" w:firstRowFirstColumn="0" w:firstRowLastColumn="0" w:lastRowFirstColumn="0" w:lastRowLastColumn="0"/>
            <w:tcW w:w="2410" w:type="dxa"/>
            <w:shd w:val="clear" w:color="auto" w:fill="F2F2F2"/>
          </w:tcPr>
          <w:p w14:paraId="20C7A26F" w14:textId="77777777" w:rsidR="00C04EEB" w:rsidRPr="00064BAE" w:rsidRDefault="00C04EEB" w:rsidP="00B202C2">
            <w:pPr>
              <w:jc w:val="center"/>
              <w:rPr>
                <w:noProof/>
                <w:sz w:val="28"/>
                <w:szCs w:val="28"/>
              </w:rPr>
            </w:pPr>
            <w:r w:rsidRPr="00064BAE">
              <w:rPr>
                <w:noProof/>
                <w:sz w:val="28"/>
                <w:szCs w:val="28"/>
              </w:rPr>
              <w:t>EUR</w:t>
            </w:r>
            <w:r w:rsidRPr="00064BAE">
              <w:rPr>
                <w:rFonts w:ascii="Calibri" w:hAnsi="Calibri" w:cs="Calibri"/>
                <w:noProof/>
                <w:sz w:val="28"/>
                <w:szCs w:val="28"/>
              </w:rPr>
              <w:t> </w:t>
            </w:r>
            <w:r w:rsidRPr="00064BAE">
              <w:rPr>
                <w:noProof/>
                <w:sz w:val="28"/>
                <w:szCs w:val="28"/>
              </w:rPr>
              <w:t>70</w:t>
            </w:r>
            <w:r w:rsidRPr="00064BAE">
              <w:rPr>
                <w:rFonts w:ascii="Calibri" w:hAnsi="Calibri" w:cs="Calibri"/>
                <w:noProof/>
                <w:sz w:val="28"/>
                <w:szCs w:val="28"/>
              </w:rPr>
              <w:t> </w:t>
            </w:r>
            <w:r w:rsidRPr="00064BAE">
              <w:rPr>
                <w:noProof/>
                <w:sz w:val="28"/>
                <w:szCs w:val="28"/>
              </w:rPr>
              <w:t>million</w:t>
            </w:r>
          </w:p>
          <w:p w14:paraId="25AF4708" w14:textId="36A265E6" w:rsidR="00C04EEB" w:rsidRPr="00064BAE" w:rsidRDefault="00C04EEB" w:rsidP="00962E3C">
            <w:pPr>
              <w:jc w:val="left"/>
              <w:rPr>
                <w:noProof/>
              </w:rPr>
            </w:pPr>
            <w:r>
              <w:rPr>
                <w:noProof/>
              </w:rPr>
              <w:t>has been</w:t>
            </w:r>
            <w:r w:rsidRPr="00064BAE">
              <w:rPr>
                <w:noProof/>
              </w:rPr>
              <w:t xml:space="preserve"> made available for joint actions with Member States to promote the involvement of and cooperation among Member States on addressing health challenges</w:t>
            </w:r>
            <w:r>
              <w:rPr>
                <w:noProof/>
              </w:rPr>
              <w:t xml:space="preserve"> under the EU4</w:t>
            </w:r>
            <w:r w:rsidR="00E06866">
              <w:rPr>
                <w:noProof/>
              </w:rPr>
              <w:t>H</w:t>
            </w:r>
            <w:r>
              <w:rPr>
                <w:noProof/>
              </w:rPr>
              <w:t>ealth programme (2021-27)</w:t>
            </w:r>
            <w:r w:rsidRPr="00064BAE">
              <w:rPr>
                <w:noProof/>
              </w:rPr>
              <w:t>.</w:t>
            </w:r>
          </w:p>
        </w:tc>
      </w:tr>
    </w:tbl>
    <w:p w14:paraId="76E2A7EF" w14:textId="77777777" w:rsidR="00C04EEB" w:rsidRPr="00064BAE" w:rsidRDefault="00C04EEB" w:rsidP="00C04EEB">
      <w:pPr>
        <w:pStyle w:val="FootnoteText"/>
        <w:rPr>
          <w:rFonts w:eastAsiaTheme="minorEastAsia"/>
          <w:noProof/>
        </w:rPr>
      </w:pPr>
      <w:r w:rsidRPr="00064BAE">
        <w:rPr>
          <w:rFonts w:eastAsiaTheme="minorEastAsia"/>
          <w:noProof/>
        </w:rPr>
        <w:t xml:space="preserve">(*) </w:t>
      </w:r>
      <w:r w:rsidRPr="00064BAE">
        <w:rPr>
          <w:rFonts w:eastAsiaTheme="minorEastAsia"/>
          <w:noProof/>
        </w:rPr>
        <w:tab/>
        <w:t>Key achievements in the table state which period they relate to. Many come from the implementation of the predecessor programmes under the 2014-2020 multiannual financial framework. This is expected and is due to the multiannual life cycle of EU programmes and the projects they finance, where results often follow only after completion of the programmes.</w:t>
      </w:r>
    </w:p>
    <w:p w14:paraId="70517176" w14:textId="77777777" w:rsidR="00C04EEB" w:rsidRPr="00064BAE" w:rsidRDefault="00C04EEB" w:rsidP="00C04EEB">
      <w:pPr>
        <w:pStyle w:val="ppoHeading5"/>
        <w:rPr>
          <w:noProof/>
        </w:rPr>
      </w:pPr>
      <w:r w:rsidRPr="00064BAE">
        <w:rPr>
          <w:noProof/>
        </w:rPr>
        <w:t>Budget for 2021-2027</w:t>
      </w:r>
    </w:p>
    <w:p w14:paraId="7F7A9C99" w14:textId="77777777" w:rsidR="00C04EEB" w:rsidRPr="00064BAE" w:rsidRDefault="00C04EEB" w:rsidP="00C04EEB">
      <w:pPr>
        <w:pStyle w:val="ppoTableTabletitle"/>
        <w:ind w:left="284"/>
        <w:rPr>
          <w:noProof/>
        </w:rPr>
      </w:pPr>
      <w:r w:rsidRPr="00064BAE">
        <w:rPr>
          <w:noProof/>
        </w:rPr>
        <w:t>(million EUR)</w:t>
      </w:r>
    </w:p>
    <w:tbl>
      <w:tblPr>
        <w:tblStyle w:val="PlainTable2"/>
        <w:tblW w:w="0" w:type="auto"/>
        <w:tblInd w:w="288" w:type="dxa"/>
        <w:tblLook w:val="04A0" w:firstRow="1" w:lastRow="0" w:firstColumn="1" w:lastColumn="0" w:noHBand="0" w:noVBand="1"/>
      </w:tblPr>
      <w:tblGrid>
        <w:gridCol w:w="4788"/>
        <w:gridCol w:w="2610"/>
      </w:tblGrid>
      <w:tr w:rsidR="00C04EEB" w:rsidRPr="00064BAE" w14:paraId="62247A82" w14:textId="77777777" w:rsidTr="00B202C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1DD6869B" w14:textId="77777777" w:rsidR="00C04EEB" w:rsidRPr="00064BAE" w:rsidRDefault="00C04EEB" w:rsidP="00B202C2">
            <w:pPr>
              <w:spacing w:before="120" w:after="120"/>
              <w:rPr>
                <w:noProof/>
              </w:rPr>
            </w:pPr>
            <w:r w:rsidRPr="00064BAE">
              <w:rPr>
                <w:rFonts w:cs="Calibri"/>
                <w:noProof/>
                <w:color w:val="000000"/>
              </w:rPr>
              <w:t>Financial programming</w:t>
            </w:r>
          </w:p>
        </w:tc>
        <w:tc>
          <w:tcPr>
            <w:tcW w:w="2610" w:type="dxa"/>
            <w:shd w:val="clear" w:color="auto" w:fill="auto"/>
            <w:vAlign w:val="bottom"/>
          </w:tcPr>
          <w:p w14:paraId="49F6A6E0" w14:textId="77777777" w:rsidR="00C04EEB" w:rsidRDefault="00C04EEB" w:rsidP="00B202C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3 096.5</w:t>
            </w:r>
          </w:p>
          <w:p w14:paraId="166CAC8E" w14:textId="77777777" w:rsidR="00C04EEB" w:rsidRPr="00064BAE" w:rsidRDefault="00C04EEB" w:rsidP="00B202C2">
            <w:pPr>
              <w:spacing w:before="120" w:after="120"/>
              <w:jc w:val="center"/>
              <w:cnfStyle w:val="100000000000" w:firstRow="1" w:lastRow="0" w:firstColumn="0" w:lastColumn="0" w:oddVBand="0" w:evenVBand="0" w:oddHBand="0" w:evenHBand="0" w:firstRowFirstColumn="0" w:firstRowLastColumn="0" w:lastRowFirstColumn="0" w:lastRowLastColumn="0"/>
              <w:rPr>
                <w:b w:val="0"/>
                <w:noProof/>
              </w:rPr>
            </w:pPr>
          </w:p>
        </w:tc>
      </w:tr>
      <w:tr w:rsidR="00C04EEB" w:rsidRPr="00064BAE" w14:paraId="37CE783E" w14:textId="77777777" w:rsidTr="00B202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2C7CAC89" w14:textId="77777777" w:rsidR="00C04EEB" w:rsidRPr="00064BAE" w:rsidRDefault="00C04EEB" w:rsidP="00B202C2">
            <w:pPr>
              <w:spacing w:before="120" w:after="120"/>
              <w:rPr>
                <w:b w:val="0"/>
                <w:noProof/>
              </w:rPr>
            </w:pPr>
            <w:r w:rsidRPr="00064BAE">
              <w:rPr>
                <w:rFonts w:cs="Calibri"/>
                <w:noProof/>
                <w:color w:val="000000"/>
              </w:rPr>
              <w:t>NextGenerationEU</w:t>
            </w:r>
          </w:p>
        </w:tc>
        <w:tc>
          <w:tcPr>
            <w:tcW w:w="2610" w:type="dxa"/>
            <w:vAlign w:val="bottom"/>
          </w:tcPr>
          <w:p w14:paraId="45F3DF68" w14:textId="77777777" w:rsidR="00C04EEB" w:rsidRPr="00064BAE" w:rsidRDefault="00C04EEB" w:rsidP="00B202C2">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064BAE">
              <w:rPr>
                <w:rFonts w:cs="Calibri"/>
                <w:noProof/>
                <w:color w:val="000000"/>
              </w:rPr>
              <w:t>0</w:t>
            </w:r>
          </w:p>
        </w:tc>
      </w:tr>
      <w:tr w:rsidR="00C04EEB" w:rsidRPr="00064BAE" w14:paraId="1B2A2FEA" w14:textId="77777777" w:rsidTr="00B202C2">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06E7A5BD" w14:textId="77777777" w:rsidR="00C04EEB" w:rsidRPr="00064BAE" w:rsidRDefault="00C04EEB" w:rsidP="00B202C2">
            <w:pPr>
              <w:spacing w:before="120" w:after="120"/>
              <w:rPr>
                <w:b w:val="0"/>
                <w:noProof/>
              </w:rPr>
            </w:pPr>
            <w:r w:rsidRPr="00064BAE">
              <w:rPr>
                <w:noProof/>
              </w:rPr>
              <w:t>Decommitments made available again</w:t>
            </w:r>
            <w:r w:rsidRPr="00064BAE">
              <w:rPr>
                <w:rFonts w:cs="Calibri"/>
                <w:noProof/>
                <w:color w:val="000000"/>
              </w:rPr>
              <w:t xml:space="preserve"> (*)</w:t>
            </w:r>
          </w:p>
        </w:tc>
        <w:tc>
          <w:tcPr>
            <w:tcW w:w="2610" w:type="dxa"/>
            <w:vAlign w:val="bottom"/>
          </w:tcPr>
          <w:p w14:paraId="7FCDF483" w14:textId="77777777" w:rsidR="00C04EEB" w:rsidRPr="00064BAE" w:rsidRDefault="00C04EEB" w:rsidP="00B202C2">
            <w:pPr>
              <w:spacing w:before="120" w:after="120"/>
              <w:jc w:val="center"/>
              <w:cnfStyle w:val="000000000000" w:firstRow="0" w:lastRow="0" w:firstColumn="0" w:lastColumn="0" w:oddVBand="0" w:evenVBand="0" w:oddHBand="0" w:evenHBand="0" w:firstRowFirstColumn="0" w:firstRowLastColumn="0" w:lastRowFirstColumn="0" w:lastRowLastColumn="0"/>
              <w:rPr>
                <w:noProof/>
              </w:rPr>
            </w:pPr>
            <w:r>
              <w:rPr>
                <w:rFonts w:cs="Calibri"/>
                <w:noProof/>
                <w:color w:val="000000"/>
              </w:rPr>
              <w:t>N/A</w:t>
            </w:r>
          </w:p>
        </w:tc>
      </w:tr>
      <w:tr w:rsidR="00C04EEB" w:rsidRPr="00064BAE" w14:paraId="1A131F40" w14:textId="77777777" w:rsidTr="00B202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3C7CF442" w14:textId="77777777" w:rsidR="00C04EEB" w:rsidRPr="00064BAE" w:rsidRDefault="00C04EEB" w:rsidP="00B202C2">
            <w:pPr>
              <w:spacing w:before="120" w:after="120"/>
              <w:rPr>
                <w:noProof/>
              </w:rPr>
            </w:pPr>
            <w:r w:rsidRPr="00064BAE">
              <w:rPr>
                <w:rFonts w:cs="Calibri"/>
                <w:noProof/>
                <w:color w:val="000000"/>
              </w:rPr>
              <w:t>Contributions from other countries and entities</w:t>
            </w:r>
          </w:p>
        </w:tc>
        <w:tc>
          <w:tcPr>
            <w:tcW w:w="2610" w:type="dxa"/>
            <w:vAlign w:val="bottom"/>
          </w:tcPr>
          <w:p w14:paraId="20B3500F" w14:textId="77777777" w:rsidR="00C04EEB" w:rsidRPr="00064BAE" w:rsidRDefault="00C04EEB" w:rsidP="00B202C2">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064BAE">
              <w:rPr>
                <w:rFonts w:cs="Calibri"/>
                <w:noProof/>
                <w:color w:val="000000"/>
              </w:rPr>
              <w:t>8.7</w:t>
            </w:r>
          </w:p>
        </w:tc>
      </w:tr>
      <w:tr w:rsidR="00C04EEB" w:rsidRPr="00064BAE" w14:paraId="65A50ED0" w14:textId="77777777" w:rsidTr="00B202C2">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2F2F2" w:themeFill="background1" w:themeFillShade="F2"/>
            <w:vAlign w:val="bottom"/>
          </w:tcPr>
          <w:p w14:paraId="6AA29EE2" w14:textId="77777777" w:rsidR="00C04EEB" w:rsidRPr="00064BAE" w:rsidRDefault="00C04EEB" w:rsidP="00B202C2">
            <w:pPr>
              <w:spacing w:before="120" w:after="120"/>
              <w:rPr>
                <w:noProof/>
              </w:rPr>
            </w:pPr>
            <w:r w:rsidRPr="00064BAE">
              <w:rPr>
                <w:rFonts w:cs="Calibri"/>
                <w:noProof/>
                <w:color w:val="000000"/>
              </w:rPr>
              <w:t>Total budget for 2021-2027</w:t>
            </w:r>
          </w:p>
        </w:tc>
        <w:tc>
          <w:tcPr>
            <w:tcW w:w="2610" w:type="dxa"/>
            <w:shd w:val="clear" w:color="auto" w:fill="F2F2F2" w:themeFill="background1" w:themeFillShade="F2"/>
            <w:vAlign w:val="bottom"/>
          </w:tcPr>
          <w:p w14:paraId="7BB62CA0" w14:textId="77777777" w:rsidR="00C04EEB" w:rsidRDefault="00C04EEB" w:rsidP="00B202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noProof/>
                <w:color w:val="000000"/>
              </w:rPr>
            </w:pPr>
            <w:r>
              <w:rPr>
                <w:rFonts w:ascii="Calibri" w:hAnsi="Calibri" w:cs="Calibri"/>
                <w:b/>
                <w:bCs/>
                <w:noProof/>
                <w:color w:val="000000"/>
              </w:rPr>
              <w:t>3 105.3</w:t>
            </w:r>
          </w:p>
          <w:p w14:paraId="16DADEE1" w14:textId="77777777" w:rsidR="00C04EEB" w:rsidRPr="00064BAE" w:rsidRDefault="00C04EEB" w:rsidP="00B202C2">
            <w:pPr>
              <w:spacing w:before="120" w:after="120"/>
              <w:jc w:val="center"/>
              <w:cnfStyle w:val="000000000000" w:firstRow="0" w:lastRow="0" w:firstColumn="0" w:lastColumn="0" w:oddVBand="0" w:evenVBand="0" w:oddHBand="0" w:evenHBand="0" w:firstRowFirstColumn="0" w:firstRowLastColumn="0" w:lastRowFirstColumn="0" w:lastRowLastColumn="0"/>
              <w:rPr>
                <w:b/>
                <w:noProof/>
              </w:rPr>
            </w:pPr>
          </w:p>
        </w:tc>
      </w:tr>
    </w:tbl>
    <w:p w14:paraId="083640CB" w14:textId="77777777" w:rsidR="00C04EEB" w:rsidRPr="00064BAE" w:rsidRDefault="00C04EEB" w:rsidP="00C04EEB">
      <w:pPr>
        <w:tabs>
          <w:tab w:val="left" w:pos="6793"/>
        </w:tabs>
        <w:rPr>
          <w:noProof/>
          <w:sz w:val="18"/>
          <w:szCs w:val="18"/>
        </w:rPr>
      </w:pPr>
      <w:r w:rsidRPr="00064BAE">
        <w:rPr>
          <w:noProof/>
          <w:sz w:val="18"/>
          <w:szCs w:val="18"/>
        </w:rPr>
        <w:t>(*) Only Article</w:t>
      </w:r>
      <w:r w:rsidRPr="00064BAE">
        <w:rPr>
          <w:rFonts w:ascii="Calibri" w:hAnsi="Calibri" w:cs="Calibri"/>
          <w:noProof/>
          <w:sz w:val="18"/>
          <w:szCs w:val="18"/>
        </w:rPr>
        <w:t> </w:t>
      </w:r>
      <w:r w:rsidRPr="00064BAE">
        <w:rPr>
          <w:noProof/>
          <w:sz w:val="18"/>
          <w:szCs w:val="18"/>
        </w:rPr>
        <w:t>15(3) of the financial regulation.</w:t>
      </w:r>
    </w:p>
    <w:p w14:paraId="24606F8F" w14:textId="77777777" w:rsidR="00C04EEB" w:rsidRPr="00064BAE" w:rsidRDefault="00C04EEB" w:rsidP="00C04EEB">
      <w:pPr>
        <w:pStyle w:val="ppoHeading5"/>
        <w:rPr>
          <w:noProof/>
        </w:rPr>
      </w:pPr>
      <w:r w:rsidRPr="00064BAE">
        <w:rPr>
          <w:noProof/>
        </w:rPr>
        <w:t>Rationale and design of the programme</w:t>
      </w:r>
    </w:p>
    <w:p w14:paraId="22A48330" w14:textId="0F2C028C" w:rsidR="00C04EEB" w:rsidRPr="00064BAE" w:rsidRDefault="00C04EEB" w:rsidP="00C04EEB">
      <w:pPr>
        <w:rPr>
          <w:rFonts w:eastAsiaTheme="minorEastAsia"/>
          <w:noProof/>
        </w:rPr>
      </w:pPr>
      <w:r w:rsidRPr="00064BAE">
        <w:rPr>
          <w:rFonts w:eastAsiaTheme="minorEastAsia"/>
          <w:noProof/>
        </w:rPr>
        <w:t>The EU4</w:t>
      </w:r>
      <w:r w:rsidR="00E06866">
        <w:rPr>
          <w:rFonts w:eastAsiaTheme="minorEastAsia"/>
          <w:noProof/>
        </w:rPr>
        <w:t>H</w:t>
      </w:r>
      <w:r w:rsidRPr="00064BAE">
        <w:rPr>
          <w:rFonts w:eastAsiaTheme="minorEastAsia"/>
          <w:noProof/>
        </w:rPr>
        <w:t>ealth programme is a key instrument for delivering a comprehensive response to the health needs of EU citizens, reflecting the lessons learned from both the COVID 19 crisis and previous health programmes.</w:t>
      </w:r>
    </w:p>
    <w:p w14:paraId="1C4991CB" w14:textId="77777777" w:rsidR="00C04EEB" w:rsidRPr="00064BAE" w:rsidRDefault="00C04EEB" w:rsidP="00C04EEB">
      <w:pPr>
        <w:pStyle w:val="ppoHeading6"/>
        <w:rPr>
          <w:noProof/>
        </w:rPr>
      </w:pPr>
      <w:r w:rsidRPr="00064BAE">
        <w:rPr>
          <w:noProof/>
        </w:rPr>
        <w:t>Challenge</w:t>
      </w:r>
    </w:p>
    <w:p w14:paraId="4D6AEBEA" w14:textId="77777777" w:rsidR="00C04EEB" w:rsidRPr="00064BAE" w:rsidRDefault="00C04EEB" w:rsidP="00C04EEB">
      <w:pPr>
        <w:rPr>
          <w:noProof/>
        </w:rPr>
      </w:pPr>
      <w:r w:rsidRPr="00064BAE">
        <w:rPr>
          <w:noProof/>
        </w:rPr>
        <w:t>The COVID-19 pandemic has caused an unprecedented health crisis in Europe, straining national health systems and resulting in severe human suffering and socioeconomic consequences. The crisis revealed both the fragility of national health systems and health disparities across population groups, Member States and regions. It also demonstrated the importance of coordination among European countries to protect people’s health and the need for a forceful EU approach for a safer Europe, both during crises and in normal times.</w:t>
      </w:r>
    </w:p>
    <w:p w14:paraId="19E961AD" w14:textId="77777777" w:rsidR="00C04EEB" w:rsidRPr="00064BAE" w:rsidRDefault="00C04EEB" w:rsidP="00C04EEB">
      <w:pPr>
        <w:rPr>
          <w:noProof/>
        </w:rPr>
      </w:pPr>
      <w:r w:rsidRPr="00064BAE">
        <w:rPr>
          <w:noProof/>
        </w:rPr>
        <w:t>The EU has a central role to play in accelerating progress, coordination and cooperation in relation to tackling health challenges in Europe.</w:t>
      </w:r>
    </w:p>
    <w:p w14:paraId="2954F261" w14:textId="266A6E1B" w:rsidR="00C04EEB" w:rsidRPr="00064BAE" w:rsidRDefault="00C04EEB" w:rsidP="00C04EEB">
      <w:pPr>
        <w:rPr>
          <w:noProof/>
        </w:rPr>
      </w:pPr>
      <w:r w:rsidRPr="00064BAE">
        <w:rPr>
          <w:noProof/>
        </w:rPr>
        <w:t>Health is an investment, and the EU4</w:t>
      </w:r>
      <w:r w:rsidR="00E06866">
        <w:rPr>
          <w:noProof/>
        </w:rPr>
        <w:t>H</w:t>
      </w:r>
      <w:r w:rsidRPr="00064BAE">
        <w:rPr>
          <w:noProof/>
        </w:rPr>
        <w:t>ealth programme is the largest ever EU investment in health. It is a clear message that people’s health is an EU priority.</w:t>
      </w:r>
    </w:p>
    <w:p w14:paraId="3AE3467C" w14:textId="5C0ED2F4" w:rsidR="00C04EEB" w:rsidRPr="00064BAE" w:rsidRDefault="00C04EEB" w:rsidP="00C04EEB">
      <w:pPr>
        <w:rPr>
          <w:noProof/>
        </w:rPr>
      </w:pPr>
      <w:r w:rsidRPr="00064BAE">
        <w:rPr>
          <w:noProof/>
        </w:rPr>
        <w:t>EU4</w:t>
      </w:r>
      <w:r w:rsidR="00E06866">
        <w:rPr>
          <w:noProof/>
        </w:rPr>
        <w:t>H</w:t>
      </w:r>
      <w:r w:rsidRPr="00064BAE">
        <w:rPr>
          <w:noProof/>
        </w:rPr>
        <w:t>ealth will support and complement national policies and will optimise its added value by co-funding actions in relation to which there are advantages and efficiency gains from collaboration and cooperation at the EU level and actions that have an impact on the internal market. The programme will pave the way towards a strong European health union in which all Member States prepare and respond in a timely manner to health crises; medical supplies</w:t>
      </w:r>
      <w:r w:rsidRPr="00064BAE">
        <w:rPr>
          <w:rFonts w:ascii="Calibri" w:hAnsi="Calibri" w:cs="Calibri"/>
          <w:noProof/>
        </w:rPr>
        <w:t> </w:t>
      </w:r>
      <w:r w:rsidRPr="00064BAE">
        <w:rPr>
          <w:noProof/>
        </w:rPr>
        <w:t>– including crisis-relevant products</w:t>
      </w:r>
      <w:r w:rsidRPr="00064BAE">
        <w:rPr>
          <w:rFonts w:ascii="Calibri" w:hAnsi="Calibri" w:cs="Calibri"/>
          <w:noProof/>
        </w:rPr>
        <w:t> </w:t>
      </w:r>
      <w:r w:rsidRPr="00064BAE">
        <w:rPr>
          <w:noProof/>
        </w:rPr>
        <w:t>– are available, affordable and innovative; and all Member States work together to improve health systems and fight communicable and non-communicable diseases.</w:t>
      </w:r>
    </w:p>
    <w:p w14:paraId="3C13D552" w14:textId="77777777" w:rsidR="00C04EEB" w:rsidRPr="00064BAE" w:rsidRDefault="00C04EEB" w:rsidP="00C04EEB">
      <w:pPr>
        <w:pStyle w:val="ppoHeading6"/>
        <w:rPr>
          <w:noProof/>
        </w:rPr>
      </w:pPr>
      <w:r w:rsidRPr="00064BAE">
        <w:rPr>
          <w:noProof/>
        </w:rPr>
        <w:t>Mission</w:t>
      </w:r>
    </w:p>
    <w:p w14:paraId="5FEB6F32" w14:textId="3FBFCFFB" w:rsidR="00C04EEB" w:rsidRPr="00064BAE" w:rsidRDefault="00C04EEB" w:rsidP="00C04EEB">
      <w:pPr>
        <w:rPr>
          <w:noProof/>
        </w:rPr>
      </w:pPr>
      <w:r w:rsidRPr="00064BAE">
        <w:rPr>
          <w:noProof/>
        </w:rPr>
        <w:t>EU4</w:t>
      </w:r>
      <w:r w:rsidR="00E06866">
        <w:rPr>
          <w:noProof/>
        </w:rPr>
        <w:t>H</w:t>
      </w:r>
      <w:r w:rsidRPr="00064BAE">
        <w:rPr>
          <w:noProof/>
        </w:rPr>
        <w:t>ealth will provide the means and the instruments for delivering on the EU health policy. Four general objectives represent the breath and the ambitions of the programme:</w:t>
      </w:r>
    </w:p>
    <w:p w14:paraId="6615CB25" w14:textId="77777777" w:rsidR="00C04EEB" w:rsidRPr="00064BAE" w:rsidRDefault="00C04EEB" w:rsidP="00C04EEB">
      <w:pPr>
        <w:pStyle w:val="ppoListHyphened-L1"/>
        <w:rPr>
          <w:noProof/>
        </w:rPr>
      </w:pPr>
      <w:r w:rsidRPr="00064BAE">
        <w:rPr>
          <w:noProof/>
        </w:rPr>
        <w:t>improve and foster health in the EU;</w:t>
      </w:r>
    </w:p>
    <w:p w14:paraId="6D1F3F8D" w14:textId="2FF48269" w:rsidR="00C04EEB" w:rsidRPr="00064BAE" w:rsidRDefault="00C04EEB" w:rsidP="00C04EEB">
      <w:pPr>
        <w:pStyle w:val="ppoListHyphened-L1"/>
        <w:rPr>
          <w:noProof/>
        </w:rPr>
      </w:pPr>
      <w:r w:rsidRPr="00064BAE">
        <w:rPr>
          <w:noProof/>
        </w:rPr>
        <w:t xml:space="preserve">protect people </w:t>
      </w:r>
      <w:r w:rsidR="00E06866">
        <w:rPr>
          <w:noProof/>
        </w:rPr>
        <w:t xml:space="preserve">in the EU </w:t>
      </w:r>
      <w:r w:rsidRPr="00064BAE">
        <w:rPr>
          <w:noProof/>
        </w:rPr>
        <w:t>from serious cross-border health threats;</w:t>
      </w:r>
    </w:p>
    <w:p w14:paraId="62D600C0" w14:textId="3C9A94E5" w:rsidR="00C04EEB" w:rsidRPr="00064BAE" w:rsidRDefault="00C04EEB" w:rsidP="00C04EEB">
      <w:pPr>
        <w:pStyle w:val="ppoListHyphened-L1"/>
        <w:rPr>
          <w:noProof/>
        </w:rPr>
      </w:pPr>
      <w:r w:rsidRPr="00064BAE">
        <w:rPr>
          <w:noProof/>
        </w:rPr>
        <w:t xml:space="preserve">improve </w:t>
      </w:r>
      <w:r w:rsidR="00E06866" w:rsidRPr="00CE798F">
        <w:rPr>
          <w:noProof/>
        </w:rPr>
        <w:t xml:space="preserve">availability, accessibility and affordability </w:t>
      </w:r>
      <w:r w:rsidR="00E06866">
        <w:rPr>
          <w:noProof/>
        </w:rPr>
        <w:t xml:space="preserve">of </w:t>
      </w:r>
      <w:r w:rsidRPr="00064BAE">
        <w:rPr>
          <w:noProof/>
        </w:rPr>
        <w:t>medicinal products, medical devices and crisis-relevant products;</w:t>
      </w:r>
    </w:p>
    <w:p w14:paraId="46E7C1C2" w14:textId="77777777" w:rsidR="00C04EEB" w:rsidRPr="00064BAE" w:rsidRDefault="00C04EEB" w:rsidP="00C04EEB">
      <w:pPr>
        <w:pStyle w:val="ppoListHyphened-L1"/>
        <w:rPr>
          <w:noProof/>
        </w:rPr>
      </w:pPr>
      <w:r w:rsidRPr="00064BAE">
        <w:rPr>
          <w:noProof/>
        </w:rPr>
        <w:t>strengthen health systems.</w:t>
      </w:r>
    </w:p>
    <w:p w14:paraId="4400FA8E" w14:textId="22E8E48A" w:rsidR="00C04EEB" w:rsidRPr="00064BAE" w:rsidRDefault="00C04EEB" w:rsidP="00C04EEB">
      <w:pPr>
        <w:rPr>
          <w:noProof/>
        </w:rPr>
      </w:pPr>
      <w:r w:rsidRPr="00064BAE">
        <w:rPr>
          <w:noProof/>
        </w:rPr>
        <w:t>EU4</w:t>
      </w:r>
      <w:r w:rsidR="00E06866">
        <w:rPr>
          <w:noProof/>
        </w:rPr>
        <w:t>H</w:t>
      </w:r>
      <w:r w:rsidRPr="00064BAE">
        <w:rPr>
          <w:noProof/>
        </w:rPr>
        <w:t>ealth will help Member States reach the United Nations’ sustainable development goals (in particular goal No</w:t>
      </w:r>
      <w:r w:rsidRPr="00064BAE">
        <w:rPr>
          <w:rFonts w:ascii="Calibri" w:hAnsi="Calibri" w:cs="Calibri"/>
          <w:noProof/>
        </w:rPr>
        <w:t> </w:t>
      </w:r>
      <w:r w:rsidRPr="00064BAE">
        <w:rPr>
          <w:noProof/>
        </w:rPr>
        <w:t>3 ‘Ensure healthy lives and promote well-being for all at all ages’) and apply, where relevant, the ‘</w:t>
      </w:r>
      <w:r w:rsidR="00E06866">
        <w:rPr>
          <w:noProof/>
        </w:rPr>
        <w:t>O</w:t>
      </w:r>
      <w:r w:rsidRPr="00064BAE">
        <w:rPr>
          <w:noProof/>
        </w:rPr>
        <w:t xml:space="preserve">ne </w:t>
      </w:r>
      <w:r w:rsidR="00E06866">
        <w:rPr>
          <w:noProof/>
        </w:rPr>
        <w:t>H</w:t>
      </w:r>
      <w:r w:rsidRPr="00064BAE">
        <w:rPr>
          <w:noProof/>
        </w:rPr>
        <w:t>ealth’ approach, recognising that human health is connected to animal health and to the environment.</w:t>
      </w:r>
    </w:p>
    <w:p w14:paraId="7498F392" w14:textId="77777777" w:rsidR="00C04EEB" w:rsidRPr="00064BAE" w:rsidRDefault="00C04EEB" w:rsidP="00C04EEB">
      <w:pPr>
        <w:pStyle w:val="ppoHeading6"/>
        <w:rPr>
          <w:noProof/>
        </w:rPr>
      </w:pPr>
      <w:r w:rsidRPr="00064BAE">
        <w:rPr>
          <w:noProof/>
        </w:rPr>
        <w:t>Objectives</w:t>
      </w:r>
    </w:p>
    <w:p w14:paraId="2AC52E03" w14:textId="77777777" w:rsidR="00C04EEB" w:rsidRPr="00064BAE" w:rsidRDefault="00C04EEB" w:rsidP="00C04EEB">
      <w:pPr>
        <w:rPr>
          <w:noProof/>
        </w:rPr>
      </w:pPr>
      <w:r w:rsidRPr="00064BAE">
        <w:rPr>
          <w:noProof/>
        </w:rPr>
        <w:t>Ten specific objectives identify key areas of intervention under the four general objectives mentioned above.</w:t>
      </w:r>
    </w:p>
    <w:p w14:paraId="6982FA3C" w14:textId="77777777" w:rsidR="00C04EEB" w:rsidRPr="00064BAE" w:rsidRDefault="00C04EEB" w:rsidP="00C04EEB">
      <w:pPr>
        <w:pStyle w:val="ListParagraph"/>
        <w:numPr>
          <w:ilvl w:val="0"/>
          <w:numId w:val="78"/>
        </w:numPr>
        <w:rPr>
          <w:noProof/>
        </w:rPr>
      </w:pPr>
      <w:r w:rsidRPr="00064BAE">
        <w:rPr>
          <w:noProof/>
        </w:rPr>
        <w:t>In synergy with other relevant EU actions, supporting action on disease prevention, on health promotion and on addressing health determinants.</w:t>
      </w:r>
    </w:p>
    <w:p w14:paraId="60C6C522" w14:textId="77777777" w:rsidR="00C04EEB" w:rsidRPr="00064BAE" w:rsidRDefault="00C04EEB" w:rsidP="00C04EEB">
      <w:pPr>
        <w:pStyle w:val="ListParagraph"/>
        <w:numPr>
          <w:ilvl w:val="0"/>
          <w:numId w:val="78"/>
        </w:numPr>
        <w:rPr>
          <w:noProof/>
        </w:rPr>
      </w:pPr>
      <w:r w:rsidRPr="00064BAE">
        <w:rPr>
          <w:noProof/>
        </w:rPr>
        <w:t>Strengthening the capability of the EU for the prevention of, preparedness for and rapid response to serious cross-border threats to health in accordance with relevant EU legislation and improving the management of health crises.</w:t>
      </w:r>
    </w:p>
    <w:p w14:paraId="4485946D" w14:textId="77777777" w:rsidR="00C04EEB" w:rsidRPr="00064BAE" w:rsidRDefault="00C04EEB" w:rsidP="00C04EEB">
      <w:pPr>
        <w:pStyle w:val="ListParagraph"/>
        <w:numPr>
          <w:ilvl w:val="0"/>
          <w:numId w:val="78"/>
        </w:numPr>
        <w:rPr>
          <w:noProof/>
        </w:rPr>
      </w:pPr>
      <w:r w:rsidRPr="00064BAE">
        <w:rPr>
          <w:noProof/>
        </w:rPr>
        <w:t>Supporting action to enhance the availability, accessibility and affordability of medicinal products, medical devices and crisis-relevant products by encouraging sustainable production and supply chains and innovation in the EU, while supporting the prudent and efficient use of medicinal products, in particular antimicrobials. Supporting the development of medicinal products that are less harmful for the environment and the environmentally friendly production and disposal of medicinal products and medical devices.</w:t>
      </w:r>
    </w:p>
    <w:p w14:paraId="539BE2BA" w14:textId="77777777" w:rsidR="00C04EEB" w:rsidRPr="00064BAE" w:rsidRDefault="00C04EEB" w:rsidP="00C04EEB">
      <w:pPr>
        <w:pStyle w:val="ListParagraph"/>
        <w:numPr>
          <w:ilvl w:val="0"/>
          <w:numId w:val="78"/>
        </w:numPr>
        <w:rPr>
          <w:noProof/>
        </w:rPr>
      </w:pPr>
      <w:r w:rsidRPr="00064BAE">
        <w:rPr>
          <w:noProof/>
        </w:rPr>
        <w:t>Supporting actions complementing national stockpiling of essential crisis-relevant products, at the EU level, where needed, in synergy with other EU instruments, programmes and funds, without prejudice to Member State competences and in close cooperation with the relevant EU bodies.</w:t>
      </w:r>
    </w:p>
    <w:p w14:paraId="1E55DE34" w14:textId="77777777" w:rsidR="00C04EEB" w:rsidRPr="00064BAE" w:rsidRDefault="00C04EEB" w:rsidP="00C04EEB">
      <w:pPr>
        <w:pStyle w:val="ListParagraph"/>
        <w:numPr>
          <w:ilvl w:val="0"/>
          <w:numId w:val="78"/>
        </w:numPr>
        <w:rPr>
          <w:noProof/>
        </w:rPr>
      </w:pPr>
      <w:r w:rsidRPr="00064BAE">
        <w:rPr>
          <w:noProof/>
        </w:rPr>
        <w:t>Establishing a structure and training resources for a reserve of medical, healthcare and support staff allocated voluntarily by Member States, for mobilisation in the event of a health crisis, in synergy with other EU instruments, programmes and funds, without prejudice to Member State competences and in close cooperation with the European Centre for Disease Prevention and Control.</w:t>
      </w:r>
    </w:p>
    <w:p w14:paraId="5F3A2231" w14:textId="77777777" w:rsidR="00C04EEB" w:rsidRPr="00064BAE" w:rsidRDefault="00C04EEB" w:rsidP="00C04EEB">
      <w:pPr>
        <w:pStyle w:val="ListParagraph"/>
        <w:numPr>
          <w:ilvl w:val="0"/>
          <w:numId w:val="78"/>
        </w:numPr>
        <w:rPr>
          <w:noProof/>
        </w:rPr>
      </w:pPr>
      <w:r w:rsidRPr="00064BAE">
        <w:rPr>
          <w:noProof/>
        </w:rPr>
        <w:t>Strengthening the use and reuse of health data for the provision of healthcare and for research and innovation; promoting the uptake of digital tools and services and the digital transformation of healthcare systems, including by supporting the creation of a European health data space.</w:t>
      </w:r>
    </w:p>
    <w:p w14:paraId="543E9F92" w14:textId="77777777" w:rsidR="00C04EEB" w:rsidRPr="00064BAE" w:rsidRDefault="00C04EEB" w:rsidP="00C04EEB">
      <w:pPr>
        <w:pStyle w:val="ListParagraph"/>
        <w:numPr>
          <w:ilvl w:val="0"/>
          <w:numId w:val="78"/>
        </w:numPr>
        <w:rPr>
          <w:noProof/>
        </w:rPr>
      </w:pPr>
      <w:r w:rsidRPr="00064BAE">
        <w:rPr>
          <w:noProof/>
        </w:rPr>
        <w:t>Enhancing access to high-quality, patient-centred, outcome-based healthcare and related care services, with the aim of achieving universal health coverage.</w:t>
      </w:r>
    </w:p>
    <w:p w14:paraId="017C81DA" w14:textId="77777777" w:rsidR="00C04EEB" w:rsidRPr="00064BAE" w:rsidRDefault="00C04EEB" w:rsidP="00C04EEB">
      <w:pPr>
        <w:pStyle w:val="ListParagraph"/>
        <w:numPr>
          <w:ilvl w:val="0"/>
          <w:numId w:val="78"/>
        </w:numPr>
        <w:rPr>
          <w:noProof/>
        </w:rPr>
      </w:pPr>
      <w:r w:rsidRPr="00064BAE">
        <w:rPr>
          <w:noProof/>
        </w:rPr>
        <w:t>Supporting the development, implementation, enforcement and, where necessary, revision of EU health legislation; supporting the provision of valid, reliable and comparable high-quality data for evidence-based decision-making and monitoring; and promoting the use of health impact assessments of other relevant EU policies.</w:t>
      </w:r>
    </w:p>
    <w:p w14:paraId="208E4B8F" w14:textId="77777777" w:rsidR="00C04EEB" w:rsidRPr="00064BAE" w:rsidRDefault="00C04EEB" w:rsidP="00C04EEB">
      <w:pPr>
        <w:pStyle w:val="ListParagraph"/>
        <w:numPr>
          <w:ilvl w:val="0"/>
          <w:numId w:val="78"/>
        </w:numPr>
        <w:rPr>
          <w:noProof/>
        </w:rPr>
      </w:pPr>
      <w:r w:rsidRPr="00064BAE">
        <w:rPr>
          <w:noProof/>
        </w:rPr>
        <w:t>Supporting integrated work among Member States, and in particular their health systems.</w:t>
      </w:r>
    </w:p>
    <w:p w14:paraId="0DF56BBE" w14:textId="77777777" w:rsidR="00C04EEB" w:rsidRPr="00064BAE" w:rsidRDefault="00C04EEB" w:rsidP="00C04EEB">
      <w:pPr>
        <w:pStyle w:val="ListParagraph"/>
        <w:numPr>
          <w:ilvl w:val="0"/>
          <w:numId w:val="78"/>
        </w:numPr>
        <w:rPr>
          <w:noProof/>
        </w:rPr>
      </w:pPr>
      <w:r w:rsidRPr="00064BAE">
        <w:rPr>
          <w:noProof/>
        </w:rPr>
        <w:t>Supporting global commitments and health initiatives by reinforcing the EU’s support for action by international organisations, in particular action by the World Health Organization, and fostering cooperation with non-EU countries.</w:t>
      </w:r>
    </w:p>
    <w:p w14:paraId="1B331F3F" w14:textId="5B94498A" w:rsidR="00C04EEB" w:rsidRPr="00064BAE" w:rsidRDefault="00C04EEB" w:rsidP="00C04EEB">
      <w:pPr>
        <w:rPr>
          <w:noProof/>
        </w:rPr>
      </w:pPr>
      <w:r w:rsidRPr="00064BAE">
        <w:rPr>
          <w:noProof/>
        </w:rPr>
        <w:t>Health challenges are cross-dimensional by nature, and EU4</w:t>
      </w:r>
      <w:r w:rsidR="00E06866">
        <w:rPr>
          <w:noProof/>
        </w:rPr>
        <w:t>H</w:t>
      </w:r>
      <w:r w:rsidRPr="00064BAE">
        <w:rPr>
          <w:noProof/>
        </w:rPr>
        <w:t>ealth is implemented on the basis of overall consistency, synergy and complementarity with EU programmes, policies, instruments and actions.</w:t>
      </w:r>
    </w:p>
    <w:p w14:paraId="13426D19" w14:textId="77777777" w:rsidR="00C04EEB" w:rsidRPr="00064BAE" w:rsidRDefault="00C04EEB" w:rsidP="00C04EEB">
      <w:pPr>
        <w:pStyle w:val="ppoHeading6"/>
        <w:rPr>
          <w:noProof/>
        </w:rPr>
      </w:pPr>
      <w:r w:rsidRPr="00064BAE">
        <w:rPr>
          <w:noProof/>
        </w:rPr>
        <w:t>Actions</w:t>
      </w:r>
    </w:p>
    <w:p w14:paraId="76601290" w14:textId="62D610F1" w:rsidR="00C04EEB" w:rsidRPr="00064BAE" w:rsidRDefault="00C04EEB" w:rsidP="00C04EEB">
      <w:pPr>
        <w:rPr>
          <w:noProof/>
        </w:rPr>
      </w:pPr>
      <w:r w:rsidRPr="00064BAE">
        <w:rPr>
          <w:noProof/>
        </w:rPr>
        <w:t>Responding to the complexity of health issues, EU4</w:t>
      </w:r>
      <w:r w:rsidR="00E06866">
        <w:rPr>
          <w:noProof/>
        </w:rPr>
        <w:t>H</w:t>
      </w:r>
      <w:r w:rsidRPr="00064BAE">
        <w:rPr>
          <w:noProof/>
        </w:rPr>
        <w:t>ealth will initially support a broad range of actions and initiatives under four overarching strands, namely: (1) crisis preparedness; (2) disease prevention; (3) health systems and the healthcare workforce; and (4) digital. Cancer is a major initiative and a transversal strand.</w:t>
      </w:r>
    </w:p>
    <w:p w14:paraId="5EB50287" w14:textId="77777777" w:rsidR="00C04EEB" w:rsidRPr="00064BAE" w:rsidRDefault="00C04EEB" w:rsidP="00C04EEB">
      <w:pPr>
        <w:pStyle w:val="ppoHeading6"/>
        <w:rPr>
          <w:noProof/>
        </w:rPr>
      </w:pPr>
      <w:r w:rsidRPr="00064BAE">
        <w:rPr>
          <w:noProof/>
        </w:rPr>
        <w:t>Delivery mode</w:t>
      </w:r>
    </w:p>
    <w:p w14:paraId="612EDFF7" w14:textId="4954D746" w:rsidR="00C04EEB" w:rsidRPr="00064BAE" w:rsidRDefault="00C04EEB" w:rsidP="00C04EEB">
      <w:pPr>
        <w:rPr>
          <w:noProof/>
        </w:rPr>
      </w:pPr>
      <w:r w:rsidRPr="00064BAE">
        <w:rPr>
          <w:noProof/>
        </w:rPr>
        <w:t>EU4</w:t>
      </w:r>
      <w:r w:rsidR="00E06866">
        <w:rPr>
          <w:noProof/>
        </w:rPr>
        <w:t>H</w:t>
      </w:r>
      <w:r w:rsidRPr="00064BAE">
        <w:rPr>
          <w:noProof/>
        </w:rPr>
        <w:t>ealth will be implemented under both direct management (mainly by the European Health and Digital Executive Agency) and indirect management.</w:t>
      </w:r>
    </w:p>
    <w:p w14:paraId="5E52E849" w14:textId="77777777" w:rsidR="00C04EEB" w:rsidRPr="00064BAE" w:rsidRDefault="00C04EEB" w:rsidP="00C04EEB">
      <w:pPr>
        <w:pStyle w:val="ppoHeading6"/>
        <w:rPr>
          <w:noProof/>
        </w:rPr>
      </w:pPr>
      <w:r w:rsidRPr="00064BAE">
        <w:rPr>
          <w:noProof/>
        </w:rPr>
        <w:t>LINK TO THE 2014-2020 multiannual financial framework</w:t>
      </w:r>
    </w:p>
    <w:p w14:paraId="2DA62564" w14:textId="0A859F37" w:rsidR="00C04EEB" w:rsidRPr="00064BAE" w:rsidRDefault="00C04EEB" w:rsidP="00C04EEB">
      <w:pPr>
        <w:rPr>
          <w:noProof/>
        </w:rPr>
      </w:pPr>
      <w:r w:rsidRPr="00064BAE">
        <w:rPr>
          <w:noProof/>
        </w:rPr>
        <w:t>EU4</w:t>
      </w:r>
      <w:r w:rsidR="00E06866">
        <w:rPr>
          <w:noProof/>
        </w:rPr>
        <w:t>H</w:t>
      </w:r>
      <w:r w:rsidRPr="00064BAE">
        <w:rPr>
          <w:noProof/>
        </w:rPr>
        <w:t>ealth is a new programme. It builds on the positive results of the third health programme under the 2014-2020 multiannual financial framework and continues many actions from that programme (enhanced crisis preparedness; support for Europe’s beating cancer action plan; support for the pharmaceuticals strategy), albeit with key new aspects. Relative to its predecessor, EU4</w:t>
      </w:r>
      <w:r w:rsidR="00E06866">
        <w:rPr>
          <w:noProof/>
        </w:rPr>
        <w:t>H</w:t>
      </w:r>
      <w:r w:rsidRPr="00064BAE">
        <w:rPr>
          <w:noProof/>
        </w:rPr>
        <w:t>ealth features an unprecedented level of investment and covers a much broader scope.</w:t>
      </w:r>
    </w:p>
    <w:p w14:paraId="59F5443E" w14:textId="77777777" w:rsidR="00C04EEB" w:rsidRPr="00064BAE" w:rsidRDefault="00C04EEB" w:rsidP="00C04EEB">
      <w:pPr>
        <w:pStyle w:val="ppoHeading6"/>
        <w:rPr>
          <w:noProof/>
        </w:rPr>
      </w:pPr>
      <w:r w:rsidRPr="00064BAE">
        <w:rPr>
          <w:noProof/>
        </w:rPr>
        <w:t>Impact assessment</w:t>
      </w:r>
    </w:p>
    <w:p w14:paraId="3147F356" w14:textId="3BC27005" w:rsidR="00C04EEB" w:rsidRPr="00064BAE" w:rsidRDefault="00C04EEB" w:rsidP="00C04EEB">
      <w:pPr>
        <w:rPr>
          <w:noProof/>
        </w:rPr>
      </w:pPr>
      <w:bookmarkStart w:id="117" w:name="_Hlk101533422"/>
      <w:r w:rsidRPr="00064BAE">
        <w:rPr>
          <w:noProof/>
        </w:rPr>
        <w:t xml:space="preserve">The impact assessment </w:t>
      </w:r>
      <w:r>
        <w:rPr>
          <w:noProof/>
        </w:rPr>
        <w:t xml:space="preserve">was </w:t>
      </w:r>
      <w:r w:rsidRPr="00064BAE">
        <w:rPr>
          <w:noProof/>
        </w:rPr>
        <w:t>carried out in 2018 for the initial health programme proposal,</w:t>
      </w:r>
      <w:r>
        <w:rPr>
          <w:noProof/>
        </w:rPr>
        <w:t xml:space="preserve"> and</w:t>
      </w:r>
      <w:r w:rsidRPr="00064BAE">
        <w:rPr>
          <w:noProof/>
        </w:rPr>
        <w:t xml:space="preserve"> a strand under the European Social Fund Plus remained valid for the new standalone EU4</w:t>
      </w:r>
      <w:r w:rsidR="00E06866">
        <w:rPr>
          <w:noProof/>
        </w:rPr>
        <w:t>H</w:t>
      </w:r>
      <w:r w:rsidRPr="00064BAE">
        <w:rPr>
          <w:noProof/>
        </w:rPr>
        <w:t>ealth programme.</w:t>
      </w:r>
      <w:bookmarkEnd w:id="117"/>
      <w:r w:rsidRPr="00064BAE">
        <w:rPr>
          <w:noProof/>
        </w:rPr>
        <w:t xml:space="preserve"> The current objectives retain all of the health objectives from the initial proposal, with priority given to crisis preparedness</w:t>
      </w:r>
      <w:r w:rsidR="00E06866">
        <w:rPr>
          <w:noProof/>
        </w:rPr>
        <w:t xml:space="preserve"> and response</w:t>
      </w:r>
      <w:r w:rsidRPr="00064BAE">
        <w:rPr>
          <w:noProof/>
        </w:rPr>
        <w:t>. They have been aligned with the political priorities on cancer and pharmaceuticals.</w:t>
      </w:r>
    </w:p>
    <w:p w14:paraId="304F0AE7" w14:textId="77777777" w:rsidR="00C04EEB" w:rsidRPr="00064BAE" w:rsidRDefault="00C04EEB" w:rsidP="00C04EEB">
      <w:pPr>
        <w:rPr>
          <w:noProof/>
        </w:rPr>
      </w:pPr>
      <w:r w:rsidRPr="00064BAE">
        <w:rPr>
          <w:noProof/>
        </w:rPr>
        <w:t xml:space="preserve">For the European Social Fund Plus impact assessment, please see: </w:t>
      </w:r>
      <w:hyperlink r:id="rId253" w:history="1">
        <w:r w:rsidRPr="00064BAE">
          <w:rPr>
            <w:rStyle w:val="Hyperlink"/>
            <w:noProof/>
          </w:rPr>
          <w:t>https://europa.eu/!uV97Jw</w:t>
        </w:r>
      </w:hyperlink>
    </w:p>
    <w:p w14:paraId="6361FF88" w14:textId="77777777" w:rsidR="00C04EEB" w:rsidRPr="00064BAE" w:rsidRDefault="00C04EEB" w:rsidP="00C04EEB">
      <w:pPr>
        <w:pStyle w:val="ppoHeading6"/>
        <w:rPr>
          <w:noProof/>
        </w:rPr>
      </w:pPr>
      <w:r w:rsidRPr="00064BAE">
        <w:rPr>
          <w:noProof/>
        </w:rPr>
        <w:t>WEBSITE FOR more information</w:t>
      </w:r>
    </w:p>
    <w:p w14:paraId="4194E66A" w14:textId="77777777" w:rsidR="00C04EEB" w:rsidRPr="00064BAE" w:rsidRDefault="00E01E9B" w:rsidP="00C04EEB">
      <w:pPr>
        <w:rPr>
          <w:noProof/>
        </w:rPr>
      </w:pPr>
      <w:hyperlink r:id="rId254" w:history="1">
        <w:r w:rsidR="00C04EEB" w:rsidRPr="00064BAE">
          <w:rPr>
            <w:rStyle w:val="Hyperlink"/>
            <w:noProof/>
          </w:rPr>
          <w:t>https://europa.eu/!RU73Pq</w:t>
        </w:r>
      </w:hyperlink>
    </w:p>
    <w:p w14:paraId="08583A77" w14:textId="77777777" w:rsidR="00C04EEB" w:rsidRPr="00064BAE" w:rsidRDefault="00C04EEB" w:rsidP="00C04EEB">
      <w:pPr>
        <w:pStyle w:val="ppoHeading5"/>
        <w:rPr>
          <w:noProof/>
        </w:rPr>
      </w:pPr>
      <w:r w:rsidRPr="00064BAE">
        <w:rPr>
          <w:rFonts w:eastAsiaTheme="minorEastAsia"/>
          <w:noProof/>
        </w:rPr>
        <w:t>Legal basis</w:t>
      </w:r>
    </w:p>
    <w:p w14:paraId="3BC7A56C" w14:textId="77777777" w:rsidR="00C04EEB" w:rsidRPr="00064BAE" w:rsidRDefault="00C04EEB" w:rsidP="00C04EEB">
      <w:pPr>
        <w:rPr>
          <w:noProof/>
        </w:rPr>
      </w:pPr>
      <w:r w:rsidRPr="00064BAE">
        <w:rPr>
          <w:noProof/>
        </w:rPr>
        <w:t>Regulation (EU) 2021/522 of the European Parliament and of the Council.</w:t>
      </w:r>
    </w:p>
    <w:p w14:paraId="7521F0EE" w14:textId="77777777" w:rsidR="00C04EEB" w:rsidRPr="00064BAE" w:rsidRDefault="00C04EEB" w:rsidP="00C04EEB">
      <w:pPr>
        <w:pStyle w:val="ppoHeading4Green"/>
        <w:rPr>
          <w:caps/>
          <w:noProof/>
        </w:rPr>
      </w:pPr>
      <w:r w:rsidRPr="00064BAE">
        <w:rPr>
          <w:noProof/>
        </w:rPr>
        <w:t>Implementation and performance</w:t>
      </w:r>
    </w:p>
    <w:p w14:paraId="3224CC5A" w14:textId="77777777" w:rsidR="00C04EEB" w:rsidRPr="00064BAE" w:rsidRDefault="00C04EEB" w:rsidP="00C04EEB">
      <w:pPr>
        <w:pStyle w:val="ppoHeading5"/>
        <w:rPr>
          <w:noProof/>
        </w:rPr>
      </w:pPr>
      <w:r w:rsidRPr="00064BAE">
        <w:rPr>
          <w:noProof/>
        </w:rPr>
        <w:t>Budget</w:t>
      </w:r>
    </w:p>
    <w:p w14:paraId="48C07621" w14:textId="77777777" w:rsidR="00C04EEB" w:rsidRPr="00064BAE" w:rsidRDefault="00C04EEB" w:rsidP="00C04EEB">
      <w:pPr>
        <w:pStyle w:val="ppoTableTabletitle"/>
        <w:rPr>
          <w:noProof/>
        </w:rPr>
      </w:pPr>
      <w:r w:rsidRPr="00064BAE">
        <w:rPr>
          <w:noProof/>
        </w:rPr>
        <w:t>Budget programming (million 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C04EEB" w:rsidRPr="00064BAE" w14:paraId="2A45E032" w14:textId="77777777" w:rsidTr="00B202C2">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1A80BD3D" w14:textId="77777777" w:rsidR="00C04EEB" w:rsidRPr="00064BAE" w:rsidRDefault="00C04EEB" w:rsidP="00B202C2">
            <w:pPr>
              <w:rPr>
                <w:noProof/>
              </w:rPr>
            </w:pPr>
          </w:p>
        </w:tc>
        <w:tc>
          <w:tcPr>
            <w:tcW w:w="943" w:type="dxa"/>
            <w:noWrap/>
            <w:hideMark/>
          </w:tcPr>
          <w:p w14:paraId="57E87A31" w14:textId="77777777" w:rsidR="00C04EEB" w:rsidRPr="00064BAE" w:rsidRDefault="00C04EEB" w:rsidP="00B202C2">
            <w:pPr>
              <w:rPr>
                <w:noProof/>
              </w:rPr>
            </w:pPr>
            <w:r w:rsidRPr="00064BAE">
              <w:rPr>
                <w:noProof/>
              </w:rPr>
              <w:t>2021</w:t>
            </w:r>
          </w:p>
        </w:tc>
        <w:tc>
          <w:tcPr>
            <w:tcW w:w="944" w:type="dxa"/>
            <w:noWrap/>
            <w:hideMark/>
          </w:tcPr>
          <w:p w14:paraId="0CA48A03" w14:textId="77777777" w:rsidR="00C04EEB" w:rsidRPr="00064BAE" w:rsidRDefault="00C04EEB" w:rsidP="00B202C2">
            <w:pPr>
              <w:rPr>
                <w:noProof/>
              </w:rPr>
            </w:pPr>
            <w:r w:rsidRPr="00064BAE">
              <w:rPr>
                <w:noProof/>
              </w:rPr>
              <w:t>2022</w:t>
            </w:r>
          </w:p>
        </w:tc>
        <w:tc>
          <w:tcPr>
            <w:tcW w:w="943" w:type="dxa"/>
            <w:noWrap/>
            <w:hideMark/>
          </w:tcPr>
          <w:p w14:paraId="1F4F5142" w14:textId="77777777" w:rsidR="00C04EEB" w:rsidRPr="00064BAE" w:rsidRDefault="00C04EEB" w:rsidP="00B202C2">
            <w:pPr>
              <w:rPr>
                <w:noProof/>
              </w:rPr>
            </w:pPr>
            <w:r w:rsidRPr="00064BAE">
              <w:rPr>
                <w:noProof/>
              </w:rPr>
              <w:t>2023</w:t>
            </w:r>
          </w:p>
        </w:tc>
        <w:tc>
          <w:tcPr>
            <w:tcW w:w="944" w:type="dxa"/>
            <w:noWrap/>
            <w:hideMark/>
          </w:tcPr>
          <w:p w14:paraId="40ED2559" w14:textId="77777777" w:rsidR="00C04EEB" w:rsidRPr="00064BAE" w:rsidRDefault="00C04EEB" w:rsidP="00B202C2">
            <w:pPr>
              <w:rPr>
                <w:noProof/>
              </w:rPr>
            </w:pPr>
            <w:r w:rsidRPr="00064BAE">
              <w:rPr>
                <w:noProof/>
              </w:rPr>
              <w:t>2024</w:t>
            </w:r>
          </w:p>
        </w:tc>
        <w:tc>
          <w:tcPr>
            <w:tcW w:w="944" w:type="dxa"/>
            <w:noWrap/>
            <w:hideMark/>
          </w:tcPr>
          <w:p w14:paraId="64BE8F09" w14:textId="77777777" w:rsidR="00C04EEB" w:rsidRPr="00064BAE" w:rsidRDefault="00C04EEB" w:rsidP="00B202C2">
            <w:pPr>
              <w:rPr>
                <w:noProof/>
              </w:rPr>
            </w:pPr>
            <w:r w:rsidRPr="00064BAE">
              <w:rPr>
                <w:noProof/>
              </w:rPr>
              <w:t>2025</w:t>
            </w:r>
          </w:p>
        </w:tc>
        <w:tc>
          <w:tcPr>
            <w:tcW w:w="943" w:type="dxa"/>
            <w:noWrap/>
            <w:hideMark/>
          </w:tcPr>
          <w:p w14:paraId="7D8245F3" w14:textId="77777777" w:rsidR="00C04EEB" w:rsidRPr="00064BAE" w:rsidRDefault="00C04EEB" w:rsidP="00B202C2">
            <w:pPr>
              <w:rPr>
                <w:noProof/>
              </w:rPr>
            </w:pPr>
            <w:r w:rsidRPr="00064BAE">
              <w:rPr>
                <w:noProof/>
              </w:rPr>
              <w:t>2026</w:t>
            </w:r>
          </w:p>
        </w:tc>
        <w:tc>
          <w:tcPr>
            <w:tcW w:w="944" w:type="dxa"/>
            <w:noWrap/>
            <w:hideMark/>
          </w:tcPr>
          <w:p w14:paraId="09C27AE2" w14:textId="77777777" w:rsidR="00C04EEB" w:rsidRPr="00064BAE" w:rsidRDefault="00C04EEB" w:rsidP="00B202C2">
            <w:pPr>
              <w:rPr>
                <w:noProof/>
              </w:rPr>
            </w:pPr>
            <w:r w:rsidRPr="00064BAE">
              <w:rPr>
                <w:noProof/>
              </w:rPr>
              <w:t>2027</w:t>
            </w:r>
          </w:p>
        </w:tc>
        <w:tc>
          <w:tcPr>
            <w:tcW w:w="944" w:type="dxa"/>
            <w:noWrap/>
            <w:hideMark/>
          </w:tcPr>
          <w:p w14:paraId="04F0F078" w14:textId="77777777" w:rsidR="00C04EEB" w:rsidRPr="00064BAE" w:rsidRDefault="00C04EEB" w:rsidP="00B202C2">
            <w:pPr>
              <w:rPr>
                <w:noProof/>
              </w:rPr>
            </w:pPr>
            <w:r w:rsidRPr="00064BAE">
              <w:rPr>
                <w:noProof/>
              </w:rPr>
              <w:t>Total</w:t>
            </w:r>
          </w:p>
        </w:tc>
      </w:tr>
      <w:tr w:rsidR="00C04EEB" w:rsidRPr="00064BAE" w14:paraId="22BC1650" w14:textId="77777777" w:rsidTr="00B202C2">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55B6A545" w14:textId="77777777" w:rsidR="00C04EEB" w:rsidRPr="00064BAE" w:rsidRDefault="00C04EEB" w:rsidP="00B202C2">
            <w:pPr>
              <w:rPr>
                <w:noProof/>
              </w:rPr>
            </w:pPr>
            <w:r w:rsidRPr="00064BAE">
              <w:rPr>
                <w:noProof/>
              </w:rPr>
              <w:t>Financial programming</w:t>
            </w:r>
          </w:p>
        </w:tc>
        <w:tc>
          <w:tcPr>
            <w:tcW w:w="943" w:type="dxa"/>
            <w:noWrap/>
            <w:vAlign w:val="bottom"/>
            <w:hideMark/>
          </w:tcPr>
          <w:p w14:paraId="5AEF305E" w14:textId="77777777" w:rsidR="00C04EEB" w:rsidRPr="00064BAE" w:rsidRDefault="00C04EEB" w:rsidP="00B202C2">
            <w:pPr>
              <w:jc w:val="center"/>
              <w:rPr>
                <w:noProof/>
              </w:rPr>
            </w:pPr>
            <w:r>
              <w:rPr>
                <w:rFonts w:ascii="Calibri" w:hAnsi="Calibri" w:cs="Calibri"/>
                <w:noProof/>
                <w:color w:val="000000"/>
              </w:rPr>
              <w:t>329.1</w:t>
            </w:r>
          </w:p>
        </w:tc>
        <w:tc>
          <w:tcPr>
            <w:tcW w:w="944" w:type="dxa"/>
            <w:noWrap/>
            <w:vAlign w:val="bottom"/>
            <w:hideMark/>
          </w:tcPr>
          <w:p w14:paraId="251F59FF" w14:textId="77777777" w:rsidR="00C04EEB" w:rsidRPr="00064BAE" w:rsidRDefault="00C04EEB" w:rsidP="00B202C2">
            <w:pPr>
              <w:jc w:val="center"/>
              <w:rPr>
                <w:noProof/>
              </w:rPr>
            </w:pPr>
            <w:r>
              <w:rPr>
                <w:rFonts w:ascii="Calibri" w:hAnsi="Calibri" w:cs="Calibri"/>
                <w:noProof/>
                <w:color w:val="000000"/>
              </w:rPr>
              <w:t>839.7</w:t>
            </w:r>
          </w:p>
        </w:tc>
        <w:tc>
          <w:tcPr>
            <w:tcW w:w="943" w:type="dxa"/>
            <w:noWrap/>
            <w:vAlign w:val="bottom"/>
            <w:hideMark/>
          </w:tcPr>
          <w:p w14:paraId="3ECC48EE" w14:textId="77777777" w:rsidR="00C04EEB" w:rsidRPr="00064BAE" w:rsidRDefault="00C04EEB" w:rsidP="00B202C2">
            <w:pPr>
              <w:jc w:val="center"/>
              <w:rPr>
                <w:noProof/>
              </w:rPr>
            </w:pPr>
            <w:r>
              <w:rPr>
                <w:rFonts w:ascii="Calibri" w:hAnsi="Calibri" w:cs="Calibri"/>
                <w:noProof/>
                <w:color w:val="000000"/>
              </w:rPr>
              <w:t>731.8</w:t>
            </w:r>
          </w:p>
        </w:tc>
        <w:tc>
          <w:tcPr>
            <w:tcW w:w="944" w:type="dxa"/>
            <w:noWrap/>
            <w:vAlign w:val="bottom"/>
            <w:hideMark/>
          </w:tcPr>
          <w:p w14:paraId="3E169C44" w14:textId="77777777" w:rsidR="00C04EEB" w:rsidRPr="00064BAE" w:rsidRDefault="00C04EEB" w:rsidP="00B202C2">
            <w:pPr>
              <w:jc w:val="center"/>
              <w:rPr>
                <w:noProof/>
              </w:rPr>
            </w:pPr>
            <w:r>
              <w:rPr>
                <w:rFonts w:ascii="Calibri" w:hAnsi="Calibri" w:cs="Calibri"/>
                <w:noProof/>
                <w:color w:val="000000"/>
              </w:rPr>
              <w:t>308.1</w:t>
            </w:r>
          </w:p>
        </w:tc>
        <w:tc>
          <w:tcPr>
            <w:tcW w:w="944" w:type="dxa"/>
            <w:noWrap/>
            <w:vAlign w:val="bottom"/>
            <w:hideMark/>
          </w:tcPr>
          <w:p w14:paraId="0475B353" w14:textId="77777777" w:rsidR="00C04EEB" w:rsidRPr="00064BAE" w:rsidRDefault="00C04EEB" w:rsidP="00B202C2">
            <w:pPr>
              <w:jc w:val="center"/>
              <w:rPr>
                <w:noProof/>
              </w:rPr>
            </w:pPr>
            <w:r>
              <w:rPr>
                <w:rFonts w:ascii="Calibri" w:hAnsi="Calibri" w:cs="Calibri"/>
                <w:noProof/>
                <w:color w:val="000000"/>
              </w:rPr>
              <w:t>318.1</w:t>
            </w:r>
          </w:p>
        </w:tc>
        <w:tc>
          <w:tcPr>
            <w:tcW w:w="943" w:type="dxa"/>
            <w:noWrap/>
            <w:vAlign w:val="bottom"/>
            <w:hideMark/>
          </w:tcPr>
          <w:p w14:paraId="326D29BB" w14:textId="77777777" w:rsidR="00C04EEB" w:rsidRPr="00064BAE" w:rsidRDefault="00C04EEB" w:rsidP="00B202C2">
            <w:pPr>
              <w:jc w:val="center"/>
              <w:rPr>
                <w:noProof/>
              </w:rPr>
            </w:pPr>
            <w:r>
              <w:rPr>
                <w:rFonts w:ascii="Calibri" w:hAnsi="Calibri" w:cs="Calibri"/>
                <w:noProof/>
                <w:color w:val="000000"/>
              </w:rPr>
              <w:t>326.2</w:t>
            </w:r>
          </w:p>
        </w:tc>
        <w:tc>
          <w:tcPr>
            <w:tcW w:w="944" w:type="dxa"/>
            <w:noWrap/>
            <w:vAlign w:val="bottom"/>
            <w:hideMark/>
          </w:tcPr>
          <w:p w14:paraId="20E6B5B7" w14:textId="77777777" w:rsidR="00C04EEB" w:rsidRPr="00064BAE" w:rsidRDefault="00C04EEB" w:rsidP="00B202C2">
            <w:pPr>
              <w:jc w:val="center"/>
              <w:rPr>
                <w:noProof/>
              </w:rPr>
            </w:pPr>
            <w:r>
              <w:rPr>
                <w:rFonts w:ascii="Calibri" w:hAnsi="Calibri" w:cs="Calibri"/>
                <w:noProof/>
                <w:color w:val="000000"/>
              </w:rPr>
              <w:t>243.7</w:t>
            </w:r>
          </w:p>
        </w:tc>
        <w:tc>
          <w:tcPr>
            <w:tcW w:w="944" w:type="dxa"/>
            <w:noWrap/>
            <w:vAlign w:val="bottom"/>
            <w:hideMark/>
          </w:tcPr>
          <w:p w14:paraId="4DD5EB98" w14:textId="77777777" w:rsidR="00C04EEB" w:rsidRPr="00064BAE" w:rsidRDefault="00C04EEB" w:rsidP="00B202C2">
            <w:pPr>
              <w:jc w:val="center"/>
              <w:rPr>
                <w:noProof/>
              </w:rPr>
            </w:pPr>
            <w:r>
              <w:rPr>
                <w:rFonts w:ascii="Calibri" w:hAnsi="Calibri" w:cs="Calibri"/>
                <w:noProof/>
                <w:color w:val="000000"/>
              </w:rPr>
              <w:t>3 096.5</w:t>
            </w:r>
          </w:p>
        </w:tc>
      </w:tr>
      <w:tr w:rsidR="00C04EEB" w:rsidRPr="00064BAE" w14:paraId="52E07138" w14:textId="77777777" w:rsidTr="00B202C2">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24B0CAB7" w14:textId="77777777" w:rsidR="00C04EEB" w:rsidRPr="00064BAE" w:rsidRDefault="00C04EEB" w:rsidP="00B202C2">
            <w:pPr>
              <w:rPr>
                <w:noProof/>
              </w:rPr>
            </w:pPr>
            <w:r w:rsidRPr="00064BAE">
              <w:rPr>
                <w:noProof/>
              </w:rPr>
              <w:t>NextGenerationEU</w:t>
            </w:r>
          </w:p>
        </w:tc>
        <w:tc>
          <w:tcPr>
            <w:tcW w:w="943" w:type="dxa"/>
            <w:noWrap/>
            <w:hideMark/>
          </w:tcPr>
          <w:p w14:paraId="2D5D852E" w14:textId="77777777" w:rsidR="00C04EEB" w:rsidRPr="00064BAE" w:rsidRDefault="00C04EEB" w:rsidP="00B202C2">
            <w:pPr>
              <w:jc w:val="center"/>
              <w:rPr>
                <w:noProof/>
              </w:rPr>
            </w:pPr>
          </w:p>
        </w:tc>
        <w:tc>
          <w:tcPr>
            <w:tcW w:w="944" w:type="dxa"/>
            <w:noWrap/>
            <w:hideMark/>
          </w:tcPr>
          <w:p w14:paraId="77CB001D" w14:textId="77777777" w:rsidR="00C04EEB" w:rsidRPr="00064BAE" w:rsidRDefault="00C04EEB" w:rsidP="00B202C2">
            <w:pPr>
              <w:jc w:val="center"/>
              <w:rPr>
                <w:noProof/>
              </w:rPr>
            </w:pPr>
          </w:p>
        </w:tc>
        <w:tc>
          <w:tcPr>
            <w:tcW w:w="943" w:type="dxa"/>
            <w:noWrap/>
            <w:hideMark/>
          </w:tcPr>
          <w:p w14:paraId="41D04089" w14:textId="77777777" w:rsidR="00C04EEB" w:rsidRPr="00064BAE" w:rsidRDefault="00C04EEB" w:rsidP="00B202C2">
            <w:pPr>
              <w:jc w:val="center"/>
              <w:rPr>
                <w:noProof/>
              </w:rPr>
            </w:pPr>
          </w:p>
        </w:tc>
        <w:tc>
          <w:tcPr>
            <w:tcW w:w="944" w:type="dxa"/>
            <w:noWrap/>
            <w:hideMark/>
          </w:tcPr>
          <w:p w14:paraId="6D48A61A" w14:textId="77777777" w:rsidR="00C04EEB" w:rsidRPr="00064BAE" w:rsidRDefault="00C04EEB" w:rsidP="00B202C2">
            <w:pPr>
              <w:jc w:val="center"/>
              <w:rPr>
                <w:noProof/>
              </w:rPr>
            </w:pPr>
          </w:p>
        </w:tc>
        <w:tc>
          <w:tcPr>
            <w:tcW w:w="944" w:type="dxa"/>
            <w:noWrap/>
            <w:hideMark/>
          </w:tcPr>
          <w:p w14:paraId="17192796" w14:textId="77777777" w:rsidR="00C04EEB" w:rsidRPr="00064BAE" w:rsidRDefault="00C04EEB" w:rsidP="00B202C2">
            <w:pPr>
              <w:jc w:val="center"/>
              <w:rPr>
                <w:noProof/>
              </w:rPr>
            </w:pPr>
          </w:p>
        </w:tc>
        <w:tc>
          <w:tcPr>
            <w:tcW w:w="943" w:type="dxa"/>
            <w:noWrap/>
            <w:hideMark/>
          </w:tcPr>
          <w:p w14:paraId="3B106DF3" w14:textId="77777777" w:rsidR="00C04EEB" w:rsidRPr="00064BAE" w:rsidRDefault="00C04EEB" w:rsidP="00B202C2">
            <w:pPr>
              <w:jc w:val="center"/>
              <w:rPr>
                <w:noProof/>
              </w:rPr>
            </w:pPr>
          </w:p>
        </w:tc>
        <w:tc>
          <w:tcPr>
            <w:tcW w:w="944" w:type="dxa"/>
            <w:noWrap/>
            <w:hideMark/>
          </w:tcPr>
          <w:p w14:paraId="0056CF8F" w14:textId="77777777" w:rsidR="00C04EEB" w:rsidRPr="00064BAE" w:rsidRDefault="00C04EEB" w:rsidP="00B202C2">
            <w:pPr>
              <w:jc w:val="center"/>
              <w:rPr>
                <w:noProof/>
              </w:rPr>
            </w:pPr>
          </w:p>
        </w:tc>
        <w:tc>
          <w:tcPr>
            <w:tcW w:w="944" w:type="dxa"/>
            <w:noWrap/>
            <w:hideMark/>
          </w:tcPr>
          <w:p w14:paraId="1D6550FB" w14:textId="77777777" w:rsidR="00C04EEB" w:rsidRPr="00064BAE" w:rsidRDefault="00C04EEB" w:rsidP="00B202C2">
            <w:pPr>
              <w:jc w:val="center"/>
              <w:rPr>
                <w:noProof/>
              </w:rPr>
            </w:pPr>
          </w:p>
        </w:tc>
      </w:tr>
      <w:tr w:rsidR="00C04EEB" w:rsidRPr="00064BAE" w14:paraId="4C892D32" w14:textId="77777777" w:rsidTr="00B202C2">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076456E0" w14:textId="77777777" w:rsidR="00C04EEB" w:rsidRPr="00064BAE" w:rsidRDefault="00C04EEB" w:rsidP="00B202C2">
            <w:pPr>
              <w:rPr>
                <w:noProof/>
              </w:rPr>
            </w:pPr>
            <w:r w:rsidRPr="00064BAE">
              <w:rPr>
                <w:noProof/>
              </w:rPr>
              <w:t>Decommitments made available again (*)</w:t>
            </w:r>
          </w:p>
        </w:tc>
        <w:tc>
          <w:tcPr>
            <w:tcW w:w="943" w:type="dxa"/>
            <w:noWrap/>
            <w:hideMark/>
          </w:tcPr>
          <w:p w14:paraId="2F658793" w14:textId="77777777" w:rsidR="00C04EEB" w:rsidRPr="00064BAE" w:rsidRDefault="00C04EEB" w:rsidP="00B202C2">
            <w:pPr>
              <w:jc w:val="center"/>
              <w:rPr>
                <w:noProof/>
              </w:rPr>
            </w:pPr>
            <w:r>
              <w:rPr>
                <w:noProof/>
              </w:rPr>
              <w:t>N/A</w:t>
            </w:r>
          </w:p>
        </w:tc>
        <w:tc>
          <w:tcPr>
            <w:tcW w:w="944" w:type="dxa"/>
            <w:noWrap/>
            <w:hideMark/>
          </w:tcPr>
          <w:p w14:paraId="650ECEB8" w14:textId="77777777" w:rsidR="00C04EEB" w:rsidRPr="00064BAE" w:rsidRDefault="00C04EEB" w:rsidP="00B202C2">
            <w:pPr>
              <w:jc w:val="center"/>
              <w:rPr>
                <w:noProof/>
              </w:rPr>
            </w:pPr>
          </w:p>
        </w:tc>
        <w:tc>
          <w:tcPr>
            <w:tcW w:w="943" w:type="dxa"/>
            <w:noWrap/>
            <w:hideMark/>
          </w:tcPr>
          <w:p w14:paraId="041D4B27" w14:textId="77777777" w:rsidR="00C04EEB" w:rsidRPr="00064BAE" w:rsidRDefault="00C04EEB" w:rsidP="00B202C2">
            <w:pPr>
              <w:jc w:val="center"/>
              <w:rPr>
                <w:noProof/>
              </w:rPr>
            </w:pPr>
          </w:p>
        </w:tc>
        <w:tc>
          <w:tcPr>
            <w:tcW w:w="944" w:type="dxa"/>
            <w:noWrap/>
            <w:hideMark/>
          </w:tcPr>
          <w:p w14:paraId="72D8D6A1" w14:textId="77777777" w:rsidR="00C04EEB" w:rsidRPr="00064BAE" w:rsidRDefault="00C04EEB" w:rsidP="00B202C2">
            <w:pPr>
              <w:jc w:val="center"/>
              <w:rPr>
                <w:noProof/>
              </w:rPr>
            </w:pPr>
          </w:p>
        </w:tc>
        <w:tc>
          <w:tcPr>
            <w:tcW w:w="944" w:type="dxa"/>
            <w:noWrap/>
            <w:hideMark/>
          </w:tcPr>
          <w:p w14:paraId="03AED8ED" w14:textId="77777777" w:rsidR="00C04EEB" w:rsidRPr="00064BAE" w:rsidRDefault="00C04EEB" w:rsidP="00B202C2">
            <w:pPr>
              <w:jc w:val="center"/>
              <w:rPr>
                <w:noProof/>
              </w:rPr>
            </w:pPr>
          </w:p>
        </w:tc>
        <w:tc>
          <w:tcPr>
            <w:tcW w:w="943" w:type="dxa"/>
            <w:noWrap/>
            <w:hideMark/>
          </w:tcPr>
          <w:p w14:paraId="65C4A814" w14:textId="77777777" w:rsidR="00C04EEB" w:rsidRPr="00064BAE" w:rsidRDefault="00C04EEB" w:rsidP="00B202C2">
            <w:pPr>
              <w:jc w:val="center"/>
              <w:rPr>
                <w:noProof/>
              </w:rPr>
            </w:pPr>
          </w:p>
        </w:tc>
        <w:tc>
          <w:tcPr>
            <w:tcW w:w="944" w:type="dxa"/>
            <w:noWrap/>
            <w:hideMark/>
          </w:tcPr>
          <w:p w14:paraId="4470F902" w14:textId="77777777" w:rsidR="00C04EEB" w:rsidRPr="00064BAE" w:rsidRDefault="00C04EEB" w:rsidP="00B202C2">
            <w:pPr>
              <w:jc w:val="center"/>
              <w:rPr>
                <w:noProof/>
              </w:rPr>
            </w:pPr>
          </w:p>
        </w:tc>
        <w:tc>
          <w:tcPr>
            <w:tcW w:w="944" w:type="dxa"/>
            <w:noWrap/>
            <w:hideMark/>
          </w:tcPr>
          <w:p w14:paraId="3D0D913A" w14:textId="77777777" w:rsidR="00C04EEB" w:rsidRPr="00064BAE" w:rsidRDefault="00C04EEB" w:rsidP="00B202C2">
            <w:pPr>
              <w:jc w:val="center"/>
              <w:rPr>
                <w:noProof/>
              </w:rPr>
            </w:pPr>
            <w:r>
              <w:rPr>
                <w:noProof/>
              </w:rPr>
              <w:t>N/A</w:t>
            </w:r>
          </w:p>
        </w:tc>
      </w:tr>
      <w:tr w:rsidR="00C04EEB" w:rsidRPr="00064BAE" w14:paraId="5CA6AC86" w14:textId="77777777" w:rsidTr="00B202C2">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4597A9CF" w14:textId="77777777" w:rsidR="00C04EEB" w:rsidRPr="00064BAE" w:rsidRDefault="00C04EEB" w:rsidP="00B202C2">
            <w:pPr>
              <w:rPr>
                <w:noProof/>
              </w:rPr>
            </w:pPr>
            <w:r w:rsidRPr="00064BAE">
              <w:rPr>
                <w:noProof/>
              </w:rPr>
              <w:t>Contributions from other countries and entities</w:t>
            </w:r>
          </w:p>
        </w:tc>
        <w:tc>
          <w:tcPr>
            <w:tcW w:w="943" w:type="dxa"/>
            <w:noWrap/>
            <w:hideMark/>
          </w:tcPr>
          <w:p w14:paraId="665A5173" w14:textId="77777777" w:rsidR="00C04EEB" w:rsidRPr="00064BAE" w:rsidRDefault="00C04EEB" w:rsidP="00B202C2">
            <w:pPr>
              <w:jc w:val="center"/>
              <w:rPr>
                <w:noProof/>
              </w:rPr>
            </w:pPr>
            <w:r w:rsidRPr="00064BAE">
              <w:rPr>
                <w:noProof/>
              </w:rPr>
              <w:t>8.7</w:t>
            </w:r>
          </w:p>
        </w:tc>
        <w:tc>
          <w:tcPr>
            <w:tcW w:w="944" w:type="dxa"/>
            <w:noWrap/>
            <w:hideMark/>
          </w:tcPr>
          <w:p w14:paraId="31F38E28" w14:textId="77777777" w:rsidR="00C04EEB" w:rsidRPr="00064BAE" w:rsidRDefault="00C04EEB" w:rsidP="00B202C2">
            <w:pPr>
              <w:jc w:val="center"/>
              <w:rPr>
                <w:noProof/>
              </w:rPr>
            </w:pPr>
            <w:r>
              <w:rPr>
                <w:noProof/>
              </w:rPr>
              <w:t>p.m.</w:t>
            </w:r>
          </w:p>
        </w:tc>
        <w:tc>
          <w:tcPr>
            <w:tcW w:w="943" w:type="dxa"/>
            <w:noWrap/>
            <w:hideMark/>
          </w:tcPr>
          <w:p w14:paraId="67A16527" w14:textId="77777777" w:rsidR="00C04EEB" w:rsidRPr="00064BAE" w:rsidRDefault="00C04EEB" w:rsidP="00B202C2">
            <w:pPr>
              <w:jc w:val="center"/>
              <w:rPr>
                <w:noProof/>
              </w:rPr>
            </w:pPr>
            <w:r>
              <w:rPr>
                <w:noProof/>
              </w:rPr>
              <w:t>p.m.</w:t>
            </w:r>
          </w:p>
        </w:tc>
        <w:tc>
          <w:tcPr>
            <w:tcW w:w="944" w:type="dxa"/>
            <w:noWrap/>
            <w:hideMark/>
          </w:tcPr>
          <w:p w14:paraId="35B27417" w14:textId="77777777" w:rsidR="00C04EEB" w:rsidRPr="00064BAE" w:rsidRDefault="00C04EEB" w:rsidP="00B202C2">
            <w:pPr>
              <w:jc w:val="center"/>
              <w:rPr>
                <w:noProof/>
              </w:rPr>
            </w:pPr>
            <w:r>
              <w:rPr>
                <w:noProof/>
              </w:rPr>
              <w:t>p.m.</w:t>
            </w:r>
          </w:p>
        </w:tc>
        <w:tc>
          <w:tcPr>
            <w:tcW w:w="944" w:type="dxa"/>
            <w:noWrap/>
            <w:hideMark/>
          </w:tcPr>
          <w:p w14:paraId="1A1C77EA" w14:textId="77777777" w:rsidR="00C04EEB" w:rsidRPr="00064BAE" w:rsidRDefault="00C04EEB" w:rsidP="00B202C2">
            <w:pPr>
              <w:jc w:val="center"/>
              <w:rPr>
                <w:noProof/>
              </w:rPr>
            </w:pPr>
            <w:r>
              <w:rPr>
                <w:noProof/>
              </w:rPr>
              <w:t>p.m.</w:t>
            </w:r>
          </w:p>
        </w:tc>
        <w:tc>
          <w:tcPr>
            <w:tcW w:w="943" w:type="dxa"/>
            <w:noWrap/>
            <w:hideMark/>
          </w:tcPr>
          <w:p w14:paraId="51311284" w14:textId="77777777" w:rsidR="00C04EEB" w:rsidRPr="00064BAE" w:rsidRDefault="00C04EEB" w:rsidP="00B202C2">
            <w:pPr>
              <w:jc w:val="center"/>
              <w:rPr>
                <w:noProof/>
              </w:rPr>
            </w:pPr>
            <w:r>
              <w:rPr>
                <w:noProof/>
              </w:rPr>
              <w:t>p.m.</w:t>
            </w:r>
          </w:p>
        </w:tc>
        <w:tc>
          <w:tcPr>
            <w:tcW w:w="944" w:type="dxa"/>
            <w:noWrap/>
            <w:hideMark/>
          </w:tcPr>
          <w:p w14:paraId="62A028DE" w14:textId="77777777" w:rsidR="00C04EEB" w:rsidRPr="00064BAE" w:rsidRDefault="00C04EEB" w:rsidP="00B202C2">
            <w:pPr>
              <w:jc w:val="center"/>
              <w:rPr>
                <w:noProof/>
              </w:rPr>
            </w:pPr>
            <w:r>
              <w:rPr>
                <w:noProof/>
              </w:rPr>
              <w:t>p.m.</w:t>
            </w:r>
          </w:p>
        </w:tc>
        <w:tc>
          <w:tcPr>
            <w:tcW w:w="944" w:type="dxa"/>
            <w:noWrap/>
            <w:hideMark/>
          </w:tcPr>
          <w:p w14:paraId="354CC176" w14:textId="77777777" w:rsidR="00C04EEB" w:rsidRPr="00064BAE" w:rsidRDefault="00C04EEB" w:rsidP="00B202C2">
            <w:pPr>
              <w:jc w:val="center"/>
              <w:rPr>
                <w:noProof/>
              </w:rPr>
            </w:pPr>
            <w:r w:rsidRPr="00064BAE">
              <w:rPr>
                <w:noProof/>
              </w:rPr>
              <w:t>8.7</w:t>
            </w:r>
          </w:p>
        </w:tc>
      </w:tr>
      <w:tr w:rsidR="00C04EEB" w:rsidRPr="00064BAE" w14:paraId="241DE05C" w14:textId="77777777" w:rsidTr="00B202C2">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013576A9" w14:textId="77777777" w:rsidR="00C04EEB" w:rsidRPr="00064BAE" w:rsidRDefault="00C04EEB" w:rsidP="00B202C2">
            <w:pPr>
              <w:rPr>
                <w:noProof/>
              </w:rPr>
            </w:pPr>
            <w:r w:rsidRPr="00064BAE">
              <w:rPr>
                <w:noProof/>
              </w:rPr>
              <w:t>Total</w:t>
            </w:r>
          </w:p>
        </w:tc>
        <w:tc>
          <w:tcPr>
            <w:tcW w:w="943" w:type="dxa"/>
            <w:noWrap/>
            <w:vAlign w:val="bottom"/>
            <w:hideMark/>
          </w:tcPr>
          <w:p w14:paraId="7B15ED09" w14:textId="77777777" w:rsidR="00C04EEB" w:rsidRPr="00064BAE" w:rsidRDefault="00C04EEB" w:rsidP="00B202C2">
            <w:pPr>
              <w:jc w:val="center"/>
              <w:rPr>
                <w:noProof/>
              </w:rPr>
            </w:pPr>
            <w:r>
              <w:rPr>
                <w:rFonts w:ascii="Calibri" w:hAnsi="Calibri" w:cs="Calibri"/>
                <w:b/>
                <w:bCs/>
                <w:noProof/>
                <w:color w:val="000000"/>
              </w:rPr>
              <w:t>337.8</w:t>
            </w:r>
          </w:p>
        </w:tc>
        <w:tc>
          <w:tcPr>
            <w:tcW w:w="944" w:type="dxa"/>
            <w:noWrap/>
            <w:vAlign w:val="bottom"/>
            <w:hideMark/>
          </w:tcPr>
          <w:p w14:paraId="13336297" w14:textId="77777777" w:rsidR="00C04EEB" w:rsidRPr="00064BAE" w:rsidRDefault="00C04EEB" w:rsidP="00B202C2">
            <w:pPr>
              <w:jc w:val="center"/>
              <w:rPr>
                <w:noProof/>
              </w:rPr>
            </w:pPr>
            <w:r>
              <w:rPr>
                <w:rFonts w:ascii="Calibri" w:hAnsi="Calibri" w:cs="Calibri"/>
                <w:b/>
                <w:bCs/>
                <w:noProof/>
                <w:color w:val="000000"/>
              </w:rPr>
              <w:t>839.7</w:t>
            </w:r>
          </w:p>
        </w:tc>
        <w:tc>
          <w:tcPr>
            <w:tcW w:w="943" w:type="dxa"/>
            <w:noWrap/>
            <w:vAlign w:val="bottom"/>
            <w:hideMark/>
          </w:tcPr>
          <w:p w14:paraId="355A04A9" w14:textId="77777777" w:rsidR="00C04EEB" w:rsidRPr="00064BAE" w:rsidRDefault="00C04EEB" w:rsidP="00B202C2">
            <w:pPr>
              <w:jc w:val="center"/>
              <w:rPr>
                <w:noProof/>
              </w:rPr>
            </w:pPr>
            <w:r>
              <w:rPr>
                <w:rFonts w:ascii="Calibri" w:hAnsi="Calibri" w:cs="Calibri"/>
                <w:b/>
                <w:bCs/>
                <w:noProof/>
                <w:color w:val="000000"/>
              </w:rPr>
              <w:t>731.8</w:t>
            </w:r>
          </w:p>
        </w:tc>
        <w:tc>
          <w:tcPr>
            <w:tcW w:w="944" w:type="dxa"/>
            <w:noWrap/>
            <w:vAlign w:val="bottom"/>
            <w:hideMark/>
          </w:tcPr>
          <w:p w14:paraId="59719E03" w14:textId="77777777" w:rsidR="00C04EEB" w:rsidRPr="00064BAE" w:rsidRDefault="00C04EEB" w:rsidP="00B202C2">
            <w:pPr>
              <w:jc w:val="center"/>
              <w:rPr>
                <w:noProof/>
              </w:rPr>
            </w:pPr>
            <w:r>
              <w:rPr>
                <w:rFonts w:ascii="Calibri" w:hAnsi="Calibri" w:cs="Calibri"/>
                <w:b/>
                <w:bCs/>
                <w:noProof/>
                <w:color w:val="000000"/>
              </w:rPr>
              <w:t>308.1</w:t>
            </w:r>
          </w:p>
        </w:tc>
        <w:tc>
          <w:tcPr>
            <w:tcW w:w="944" w:type="dxa"/>
            <w:noWrap/>
            <w:vAlign w:val="bottom"/>
            <w:hideMark/>
          </w:tcPr>
          <w:p w14:paraId="76C7B207" w14:textId="77777777" w:rsidR="00C04EEB" w:rsidRPr="00064BAE" w:rsidRDefault="00C04EEB" w:rsidP="00B202C2">
            <w:pPr>
              <w:jc w:val="center"/>
              <w:rPr>
                <w:noProof/>
              </w:rPr>
            </w:pPr>
            <w:r>
              <w:rPr>
                <w:rFonts w:ascii="Calibri" w:hAnsi="Calibri" w:cs="Calibri"/>
                <w:b/>
                <w:bCs/>
                <w:noProof/>
                <w:color w:val="000000"/>
              </w:rPr>
              <w:t>318.1</w:t>
            </w:r>
          </w:p>
        </w:tc>
        <w:tc>
          <w:tcPr>
            <w:tcW w:w="943" w:type="dxa"/>
            <w:noWrap/>
            <w:vAlign w:val="bottom"/>
            <w:hideMark/>
          </w:tcPr>
          <w:p w14:paraId="6605A7AF" w14:textId="77777777" w:rsidR="00C04EEB" w:rsidRPr="00064BAE" w:rsidRDefault="00C04EEB" w:rsidP="00B202C2">
            <w:pPr>
              <w:jc w:val="center"/>
              <w:rPr>
                <w:noProof/>
              </w:rPr>
            </w:pPr>
            <w:r>
              <w:rPr>
                <w:rFonts w:ascii="Calibri" w:hAnsi="Calibri" w:cs="Calibri"/>
                <w:b/>
                <w:bCs/>
                <w:noProof/>
                <w:color w:val="000000"/>
              </w:rPr>
              <w:t>326.2</w:t>
            </w:r>
          </w:p>
        </w:tc>
        <w:tc>
          <w:tcPr>
            <w:tcW w:w="944" w:type="dxa"/>
            <w:noWrap/>
            <w:vAlign w:val="bottom"/>
            <w:hideMark/>
          </w:tcPr>
          <w:p w14:paraId="01FEC935" w14:textId="77777777" w:rsidR="00C04EEB" w:rsidRPr="00064BAE" w:rsidRDefault="00C04EEB" w:rsidP="00B202C2">
            <w:pPr>
              <w:jc w:val="center"/>
              <w:rPr>
                <w:noProof/>
              </w:rPr>
            </w:pPr>
            <w:r>
              <w:rPr>
                <w:rFonts w:ascii="Calibri" w:hAnsi="Calibri" w:cs="Calibri"/>
                <w:b/>
                <w:bCs/>
                <w:noProof/>
                <w:color w:val="000000"/>
              </w:rPr>
              <w:t>243.7</w:t>
            </w:r>
          </w:p>
        </w:tc>
        <w:tc>
          <w:tcPr>
            <w:tcW w:w="944" w:type="dxa"/>
            <w:noWrap/>
            <w:vAlign w:val="bottom"/>
            <w:hideMark/>
          </w:tcPr>
          <w:p w14:paraId="2679A78F" w14:textId="77777777" w:rsidR="00C04EEB" w:rsidRPr="00064BAE" w:rsidRDefault="00C04EEB" w:rsidP="00B202C2">
            <w:pPr>
              <w:jc w:val="center"/>
              <w:rPr>
                <w:noProof/>
              </w:rPr>
            </w:pPr>
            <w:r>
              <w:rPr>
                <w:rFonts w:ascii="Calibri" w:hAnsi="Calibri" w:cs="Calibri"/>
                <w:b/>
                <w:bCs/>
                <w:noProof/>
                <w:color w:val="000000"/>
              </w:rPr>
              <w:t>3 105.3</w:t>
            </w:r>
          </w:p>
        </w:tc>
      </w:tr>
    </w:tbl>
    <w:p w14:paraId="2934F7E0" w14:textId="77777777" w:rsidR="00C04EEB" w:rsidRPr="00064BAE" w:rsidRDefault="00C04EEB" w:rsidP="00C04EEB">
      <w:pPr>
        <w:tabs>
          <w:tab w:val="left" w:pos="6793"/>
        </w:tabs>
        <w:rPr>
          <w:noProof/>
          <w:sz w:val="18"/>
          <w:szCs w:val="18"/>
        </w:rPr>
      </w:pPr>
      <w:r w:rsidRPr="00064BAE">
        <w:rPr>
          <w:noProof/>
          <w:sz w:val="18"/>
          <w:szCs w:val="18"/>
        </w:rPr>
        <w:t>(*) Only Article</w:t>
      </w:r>
      <w:r w:rsidRPr="00064BAE">
        <w:rPr>
          <w:rFonts w:ascii="Calibri" w:hAnsi="Calibri" w:cs="Calibri"/>
          <w:noProof/>
          <w:sz w:val="18"/>
          <w:szCs w:val="18"/>
        </w:rPr>
        <w:t> </w:t>
      </w:r>
      <w:r w:rsidRPr="00064BAE">
        <w:rPr>
          <w:noProof/>
          <w:sz w:val="18"/>
          <w:szCs w:val="18"/>
        </w:rPr>
        <w:t>15(3) of the financial regulation.</w:t>
      </w:r>
    </w:p>
    <w:p w14:paraId="701606AB" w14:textId="3B260473" w:rsidR="00C04EEB" w:rsidRPr="00064BAE" w:rsidRDefault="00C04EEB" w:rsidP="00C04EEB">
      <w:pPr>
        <w:pStyle w:val="ppoTableTabletitle"/>
        <w:jc w:val="center"/>
        <w:rPr>
          <w:noProof/>
        </w:rPr>
      </w:pPr>
      <w:r w:rsidRPr="00304A2B">
        <w:rPr>
          <w:rStyle w:val="ppocharGreentext24pt"/>
          <w:noProof/>
          <w:color w:val="auto"/>
          <w:sz w:val="22"/>
          <w:szCs w:val="22"/>
        </w:rPr>
        <w:t>Financial programming</w:t>
      </w:r>
      <w:r w:rsidR="004C4764">
        <w:rPr>
          <w:rStyle w:val="ppocharGreentext24pt"/>
          <w:noProof/>
          <w:color w:val="auto"/>
          <w:sz w:val="22"/>
          <w:szCs w:val="22"/>
        </w:rPr>
        <w:t>:</w:t>
      </w:r>
      <w:r w:rsidRPr="00304A2B">
        <w:rPr>
          <w:rStyle w:val="ppocharGreentext24pt"/>
          <w:noProof/>
          <w:color w:val="auto"/>
          <w:sz w:val="22"/>
          <w:szCs w:val="22"/>
        </w:rPr>
        <w:t xml:space="preserve"> </w:t>
      </w:r>
      <w:r w:rsidRPr="21792045">
        <w:rPr>
          <w:rStyle w:val="ppocharGreentext24pt"/>
          <w:noProof/>
        </w:rPr>
        <w:t>-</w:t>
      </w:r>
      <w:r w:rsidRPr="21792045">
        <w:rPr>
          <w:rStyle w:val="ppocharGreentext24pt"/>
          <w:rFonts w:ascii="Calibri" w:hAnsi="Calibri" w:cs="Calibri"/>
          <w:noProof/>
        </w:rPr>
        <w:t> </w:t>
      </w:r>
      <w:r w:rsidRPr="21792045">
        <w:rPr>
          <w:rStyle w:val="ppocharGreentext24pt"/>
          <w:noProof/>
        </w:rPr>
        <w:t>EUR</w:t>
      </w:r>
      <w:r w:rsidRPr="21792045">
        <w:rPr>
          <w:rStyle w:val="ppocharGreentext24pt"/>
          <w:rFonts w:ascii="Calibri" w:hAnsi="Calibri" w:cs="Calibri"/>
          <w:noProof/>
        </w:rPr>
        <w:t> 214.8 </w:t>
      </w:r>
      <w:r w:rsidRPr="21792045">
        <w:rPr>
          <w:rStyle w:val="ppocharGreentext24pt"/>
          <w:noProof/>
        </w:rPr>
        <w:t>million (-</w:t>
      </w:r>
      <w:r w:rsidRPr="21792045">
        <w:rPr>
          <w:rStyle w:val="ppocharGreentext24pt"/>
          <w:rFonts w:ascii="Calibri" w:hAnsi="Calibri" w:cs="Calibri"/>
          <w:noProof/>
        </w:rPr>
        <w:t> </w:t>
      </w:r>
      <w:r w:rsidRPr="21792045">
        <w:rPr>
          <w:rStyle w:val="ppocharGreentext24pt"/>
          <w:noProof/>
        </w:rPr>
        <w:t xml:space="preserve">9%) </w:t>
      </w:r>
      <w:r>
        <w:rPr>
          <w:noProof/>
        </w:rPr>
        <w:t>compared to the legal basis. *</w:t>
      </w:r>
    </w:p>
    <w:p w14:paraId="180AB41A" w14:textId="60A650B3" w:rsidR="00C04EEB" w:rsidRPr="00304A2B" w:rsidRDefault="00C04EEB" w:rsidP="00304A2B">
      <w:pPr>
        <w:rPr>
          <w:noProof/>
          <w:sz w:val="18"/>
          <w:szCs w:val="18"/>
        </w:rPr>
      </w:pPr>
      <w:r w:rsidRPr="00304A2B">
        <w:rPr>
          <w:noProof/>
          <w:sz w:val="18"/>
          <w:szCs w:val="18"/>
        </w:rPr>
        <w:t xml:space="preserve">* </w:t>
      </w:r>
      <w:r w:rsidR="00427FAC">
        <w:rPr>
          <w:noProof/>
          <w:sz w:val="18"/>
          <w:szCs w:val="18"/>
        </w:rPr>
        <w:t>Top-ups pursuant to Art. 5 MFF Regulation</w:t>
      </w:r>
      <w:r w:rsidRPr="00304A2B">
        <w:rPr>
          <w:noProof/>
          <w:sz w:val="18"/>
          <w:szCs w:val="18"/>
        </w:rPr>
        <w:t xml:space="preserve"> are excluded from financial programming in this comparison. </w:t>
      </w:r>
    </w:p>
    <w:p w14:paraId="6DAC0529" w14:textId="77777777" w:rsidR="00C04EEB" w:rsidRPr="00064BAE" w:rsidRDefault="00C04EEB" w:rsidP="00C04EEB">
      <w:pPr>
        <w:pStyle w:val="ppoTableTabletitle"/>
        <w:rPr>
          <w:b/>
          <w:noProof/>
        </w:rPr>
      </w:pPr>
      <w:r w:rsidRPr="00064BAE">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C04EEB" w:rsidRPr="00064BAE" w14:paraId="11F19517" w14:textId="77777777" w:rsidTr="00B202C2">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7B4EED2D" w14:textId="77777777" w:rsidR="00C04EEB" w:rsidRPr="00064BAE" w:rsidRDefault="00C04EEB" w:rsidP="00B202C2">
            <w:pPr>
              <w:rPr>
                <w:noProof/>
              </w:rPr>
            </w:pPr>
          </w:p>
        </w:tc>
        <w:tc>
          <w:tcPr>
            <w:tcW w:w="2410" w:type="dxa"/>
          </w:tcPr>
          <w:p w14:paraId="1DEDDE25" w14:textId="77777777" w:rsidR="00C04EEB" w:rsidRPr="00064BAE" w:rsidRDefault="00C04EEB" w:rsidP="00B202C2">
            <w:pPr>
              <w:cnfStyle w:val="100000000000" w:firstRow="1" w:lastRow="0" w:firstColumn="0" w:lastColumn="0" w:oddVBand="0" w:evenVBand="0" w:oddHBand="0" w:evenHBand="0" w:firstRowFirstColumn="0" w:firstRowLastColumn="0" w:lastRowFirstColumn="0" w:lastRowLastColumn="0"/>
              <w:rPr>
                <w:noProof/>
              </w:rPr>
            </w:pPr>
            <w:r w:rsidRPr="00064BAE">
              <w:rPr>
                <w:noProof/>
              </w:rPr>
              <w:t>Implementation</w:t>
            </w:r>
          </w:p>
        </w:tc>
        <w:tc>
          <w:tcPr>
            <w:tcW w:w="2410" w:type="dxa"/>
          </w:tcPr>
          <w:p w14:paraId="49700297" w14:textId="67853F7A" w:rsidR="00C04EEB" w:rsidRPr="00064BAE" w:rsidRDefault="00A84801" w:rsidP="00B202C2">
            <w:pPr>
              <w:cnfStyle w:val="100000000000" w:firstRow="1" w:lastRow="0" w:firstColumn="0" w:lastColumn="0" w:oddVBand="0" w:evenVBand="0" w:oddHBand="0" w:evenHBand="0" w:firstRowFirstColumn="0" w:firstRowLastColumn="0" w:lastRowFirstColumn="0" w:lastRowLastColumn="0"/>
              <w:rPr>
                <w:noProof/>
              </w:rPr>
            </w:pPr>
            <w:r>
              <w:rPr>
                <w:noProof/>
              </w:rPr>
              <w:t xml:space="preserve">2021-2027 </w:t>
            </w:r>
            <w:r w:rsidR="00C04EEB" w:rsidRPr="00064BAE">
              <w:rPr>
                <w:noProof/>
              </w:rPr>
              <w:t>Budget</w:t>
            </w:r>
          </w:p>
        </w:tc>
        <w:tc>
          <w:tcPr>
            <w:tcW w:w="2410" w:type="dxa"/>
          </w:tcPr>
          <w:p w14:paraId="692029D4" w14:textId="77777777" w:rsidR="00C04EEB" w:rsidRPr="00064BAE" w:rsidRDefault="00C04EEB" w:rsidP="00B202C2">
            <w:pPr>
              <w:cnfStyle w:val="100000000000" w:firstRow="1" w:lastRow="0" w:firstColumn="0" w:lastColumn="0" w:oddVBand="0" w:evenVBand="0" w:oddHBand="0" w:evenHBand="0" w:firstRowFirstColumn="0" w:firstRowLastColumn="0" w:lastRowFirstColumn="0" w:lastRowLastColumn="0"/>
              <w:rPr>
                <w:noProof/>
              </w:rPr>
            </w:pPr>
            <w:r w:rsidRPr="00064BAE">
              <w:rPr>
                <w:noProof/>
              </w:rPr>
              <w:t>Implementation rate</w:t>
            </w:r>
          </w:p>
        </w:tc>
      </w:tr>
      <w:tr w:rsidR="00C04EEB" w:rsidRPr="00064BAE" w14:paraId="2EB194B2"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7BF15C7B" w14:textId="77777777" w:rsidR="00C04EEB" w:rsidRPr="00064BAE" w:rsidRDefault="00C04EEB" w:rsidP="00B202C2">
            <w:pPr>
              <w:jc w:val="center"/>
              <w:rPr>
                <w:noProof/>
              </w:rPr>
            </w:pPr>
            <w:r w:rsidRPr="00064BAE">
              <w:rPr>
                <w:noProof/>
              </w:rPr>
              <w:t>Commitments</w:t>
            </w:r>
          </w:p>
        </w:tc>
        <w:tc>
          <w:tcPr>
            <w:tcW w:w="2410" w:type="dxa"/>
          </w:tcPr>
          <w:tbl>
            <w:tblPr>
              <w:tblStyle w:val="TableGrid"/>
              <w:tblW w:w="0" w:type="auto"/>
              <w:tblLook w:val="06A0" w:firstRow="1" w:lastRow="0" w:firstColumn="1" w:lastColumn="0" w:noHBand="1" w:noVBand="1"/>
            </w:tblPr>
            <w:tblGrid>
              <w:gridCol w:w="2194"/>
            </w:tblGrid>
            <w:tr w:rsidR="00C04EEB" w:rsidRPr="00064BAE" w14:paraId="46F8F597" w14:textId="77777777" w:rsidTr="00B202C2">
              <w:trPr>
                <w:trHeight w:val="285"/>
              </w:trPr>
              <w:tc>
                <w:tcPr>
                  <w:tcW w:w="2290" w:type="dxa"/>
                  <w:tcBorders>
                    <w:top w:val="nil"/>
                    <w:left w:val="nil"/>
                    <w:bottom w:val="nil"/>
                    <w:right w:val="nil"/>
                  </w:tcBorders>
                  <w:vAlign w:val="bottom"/>
                </w:tcPr>
                <w:p w14:paraId="7575E5AC" w14:textId="77777777" w:rsidR="00C04EEB" w:rsidRPr="00064BAE" w:rsidRDefault="00C04EEB" w:rsidP="00B202C2">
                  <w:pPr>
                    <w:jc w:val="right"/>
                    <w:rPr>
                      <w:noProof/>
                    </w:rPr>
                  </w:pPr>
                  <w:r w:rsidRPr="00064BAE">
                    <w:rPr>
                      <w:rFonts w:ascii="Calibri" w:hAnsi="Calibri" w:cs="Calibri"/>
                      <w:noProof/>
                      <w:color w:val="000000"/>
                    </w:rPr>
                    <w:t>337.8</w:t>
                  </w:r>
                </w:p>
              </w:tc>
            </w:tr>
          </w:tbl>
          <w:p w14:paraId="57F2704E" w14:textId="77777777" w:rsidR="00C04EEB" w:rsidRPr="00064BAE" w:rsidRDefault="00C04EEB"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C04EEB" w:rsidRPr="00064BAE" w14:paraId="32893641" w14:textId="77777777" w:rsidTr="00B202C2">
              <w:trPr>
                <w:trHeight w:val="285"/>
              </w:trPr>
              <w:tc>
                <w:tcPr>
                  <w:tcW w:w="2290" w:type="dxa"/>
                  <w:tcBorders>
                    <w:top w:val="nil"/>
                    <w:left w:val="nil"/>
                    <w:bottom w:val="nil"/>
                    <w:right w:val="nil"/>
                  </w:tcBorders>
                  <w:vAlign w:val="bottom"/>
                </w:tcPr>
                <w:p w14:paraId="0ACB40FF" w14:textId="77777777" w:rsidR="00C04EEB" w:rsidRPr="00064BAE" w:rsidRDefault="00C04EEB" w:rsidP="00B202C2">
                  <w:pPr>
                    <w:jc w:val="right"/>
                    <w:rPr>
                      <w:rFonts w:ascii="Calibri" w:hAnsi="Calibri" w:cs="Calibri"/>
                      <w:noProof/>
                    </w:rPr>
                  </w:pPr>
                  <w:r w:rsidRPr="0F457B34">
                    <w:rPr>
                      <w:rFonts w:ascii="Calibri" w:hAnsi="Calibri" w:cs="Calibri"/>
                      <w:noProof/>
                      <w:color w:val="000000"/>
                    </w:rPr>
                    <w:t>3 105.3</w:t>
                  </w:r>
                </w:p>
              </w:tc>
            </w:tr>
          </w:tbl>
          <w:p w14:paraId="54F31741" w14:textId="77777777" w:rsidR="00C04EEB" w:rsidRPr="00064BAE" w:rsidRDefault="00C04EEB"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C04EEB" w:rsidRPr="00064BAE" w14:paraId="23F37704" w14:textId="77777777" w:rsidTr="00B202C2">
              <w:trPr>
                <w:trHeight w:val="285"/>
              </w:trPr>
              <w:tc>
                <w:tcPr>
                  <w:tcW w:w="2290" w:type="dxa"/>
                  <w:tcBorders>
                    <w:top w:val="nil"/>
                    <w:left w:val="nil"/>
                    <w:bottom w:val="nil"/>
                    <w:right w:val="nil"/>
                  </w:tcBorders>
                  <w:vAlign w:val="bottom"/>
                </w:tcPr>
                <w:p w14:paraId="0CD008EF" w14:textId="77777777" w:rsidR="00C04EEB" w:rsidRPr="00064BAE" w:rsidRDefault="00C04EEB" w:rsidP="00B202C2">
                  <w:pPr>
                    <w:jc w:val="right"/>
                    <w:rPr>
                      <w:noProof/>
                    </w:rPr>
                  </w:pPr>
                  <w:r w:rsidRPr="00064BAE">
                    <w:rPr>
                      <w:rFonts w:ascii="Calibri" w:hAnsi="Calibri" w:cs="Calibri"/>
                      <w:noProof/>
                      <w:color w:val="000000"/>
                    </w:rPr>
                    <w:t>1</w:t>
                  </w:r>
                  <w:r w:rsidRPr="0F457B34">
                    <w:rPr>
                      <w:rFonts w:ascii="Calibri" w:hAnsi="Calibri" w:cs="Calibri"/>
                      <w:noProof/>
                      <w:color w:val="000000"/>
                    </w:rPr>
                    <w:t>1</w:t>
                  </w:r>
                  <w:r w:rsidRPr="00064BAE">
                    <w:rPr>
                      <w:rFonts w:ascii="Calibri" w:hAnsi="Calibri" w:cs="Calibri"/>
                      <w:noProof/>
                      <w:color w:val="000000"/>
                    </w:rPr>
                    <w:t>%</w:t>
                  </w:r>
                </w:p>
              </w:tc>
            </w:tr>
          </w:tbl>
          <w:p w14:paraId="4E29A526" w14:textId="77777777" w:rsidR="00C04EEB" w:rsidRPr="00064BAE" w:rsidRDefault="00C04EEB" w:rsidP="00B202C2">
            <w:pPr>
              <w:jc w:val="center"/>
              <w:cnfStyle w:val="000000000000" w:firstRow="0" w:lastRow="0" w:firstColumn="0" w:lastColumn="0" w:oddVBand="0" w:evenVBand="0" w:oddHBand="0" w:evenHBand="0" w:firstRowFirstColumn="0" w:firstRowLastColumn="0" w:lastRowFirstColumn="0" w:lastRowLastColumn="0"/>
              <w:rPr>
                <w:noProof/>
              </w:rPr>
            </w:pPr>
          </w:p>
        </w:tc>
      </w:tr>
      <w:tr w:rsidR="00C04EEB" w:rsidRPr="00064BAE" w14:paraId="5D660E28"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6DA24E19" w14:textId="77777777" w:rsidR="00C04EEB" w:rsidRPr="00064BAE" w:rsidRDefault="00C04EEB" w:rsidP="00B202C2">
            <w:pPr>
              <w:jc w:val="center"/>
              <w:rPr>
                <w:noProof/>
              </w:rPr>
            </w:pPr>
            <w:r w:rsidRPr="00064BAE">
              <w:rPr>
                <w:noProof/>
              </w:rPr>
              <w:t>Payments</w:t>
            </w:r>
          </w:p>
        </w:tc>
        <w:tc>
          <w:tcPr>
            <w:tcW w:w="2410" w:type="dxa"/>
          </w:tcPr>
          <w:tbl>
            <w:tblPr>
              <w:tblStyle w:val="TableGrid"/>
              <w:tblW w:w="0" w:type="auto"/>
              <w:tblLook w:val="06A0" w:firstRow="1" w:lastRow="0" w:firstColumn="1" w:lastColumn="0" w:noHBand="1" w:noVBand="1"/>
            </w:tblPr>
            <w:tblGrid>
              <w:gridCol w:w="2194"/>
            </w:tblGrid>
            <w:tr w:rsidR="00C04EEB" w:rsidRPr="00064BAE" w14:paraId="03B52411" w14:textId="77777777" w:rsidTr="00B202C2">
              <w:trPr>
                <w:trHeight w:val="285"/>
              </w:trPr>
              <w:tc>
                <w:tcPr>
                  <w:tcW w:w="2290" w:type="dxa"/>
                  <w:tcBorders>
                    <w:top w:val="nil"/>
                    <w:left w:val="nil"/>
                    <w:bottom w:val="nil"/>
                    <w:right w:val="nil"/>
                  </w:tcBorders>
                  <w:vAlign w:val="bottom"/>
                </w:tcPr>
                <w:p w14:paraId="069B0255" w14:textId="77777777" w:rsidR="00C04EEB" w:rsidRPr="00064BAE" w:rsidRDefault="00C04EEB" w:rsidP="00B202C2">
                  <w:pPr>
                    <w:jc w:val="right"/>
                    <w:rPr>
                      <w:noProof/>
                    </w:rPr>
                  </w:pPr>
                  <w:r w:rsidRPr="00064BAE">
                    <w:rPr>
                      <w:rFonts w:ascii="Calibri" w:hAnsi="Calibri" w:cs="Calibri"/>
                      <w:noProof/>
                      <w:color w:val="000000"/>
                    </w:rPr>
                    <w:t>11.6</w:t>
                  </w:r>
                </w:p>
              </w:tc>
            </w:tr>
          </w:tbl>
          <w:p w14:paraId="57354198" w14:textId="77777777" w:rsidR="00C04EEB" w:rsidRPr="00064BAE" w:rsidRDefault="00C04EEB"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31223E82" w14:textId="77777777" w:rsidR="00C04EEB" w:rsidRPr="00064BAE" w:rsidRDefault="00C04EEB"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C04EEB" w:rsidRPr="00064BAE" w14:paraId="5F5FD4FE" w14:textId="77777777" w:rsidTr="00B202C2">
              <w:trPr>
                <w:trHeight w:val="285"/>
              </w:trPr>
              <w:tc>
                <w:tcPr>
                  <w:tcW w:w="2235" w:type="dxa"/>
                  <w:tcBorders>
                    <w:top w:val="nil"/>
                    <w:left w:val="nil"/>
                    <w:bottom w:val="nil"/>
                    <w:right w:val="nil"/>
                  </w:tcBorders>
                  <w:vAlign w:val="bottom"/>
                </w:tcPr>
                <w:p w14:paraId="09C4D659" w14:textId="77777777" w:rsidR="00C04EEB" w:rsidRPr="00064BAE" w:rsidRDefault="00C04EEB" w:rsidP="00B202C2">
                  <w:pPr>
                    <w:jc w:val="right"/>
                    <w:rPr>
                      <w:noProof/>
                    </w:rPr>
                  </w:pPr>
                  <w:r w:rsidRPr="00064BAE">
                    <w:rPr>
                      <w:rFonts w:ascii="Calibri" w:hAnsi="Calibri" w:cs="Calibri"/>
                      <w:noProof/>
                      <w:color w:val="000000"/>
                    </w:rPr>
                    <w:t>0 %</w:t>
                  </w:r>
                </w:p>
              </w:tc>
            </w:tr>
          </w:tbl>
          <w:p w14:paraId="7A7B0B1B" w14:textId="77777777" w:rsidR="00C04EEB" w:rsidRPr="00064BAE" w:rsidRDefault="00C04EEB" w:rsidP="00B202C2">
            <w:pPr>
              <w:jc w:val="center"/>
              <w:cnfStyle w:val="000000000000" w:firstRow="0" w:lastRow="0" w:firstColumn="0" w:lastColumn="0" w:oddVBand="0" w:evenVBand="0" w:oddHBand="0" w:evenHBand="0" w:firstRowFirstColumn="0" w:firstRowLastColumn="0" w:lastRowFirstColumn="0" w:lastRowLastColumn="0"/>
              <w:rPr>
                <w:noProof/>
              </w:rPr>
            </w:pPr>
          </w:p>
        </w:tc>
      </w:tr>
    </w:tbl>
    <w:p w14:paraId="2F39FE68" w14:textId="77777777" w:rsidR="00C04EEB" w:rsidRPr="00064BAE" w:rsidRDefault="00C04EEB" w:rsidP="00C04EEB">
      <w:pPr>
        <w:pStyle w:val="ppoTableTabletitle"/>
        <w:rPr>
          <w:b/>
          <w:noProof/>
        </w:rPr>
      </w:pPr>
      <w:r w:rsidRPr="00064BAE">
        <w:rPr>
          <w:noProof/>
        </w:rPr>
        <w:t>Voted budget implementation in 2021 (million EUR):</w:t>
      </w:r>
    </w:p>
    <w:tbl>
      <w:tblPr>
        <w:tblStyle w:val="PPO2021"/>
        <w:tblW w:w="3683" w:type="pct"/>
        <w:tblInd w:w="79" w:type="dxa"/>
        <w:tblLook w:val="04A0" w:firstRow="1" w:lastRow="0" w:firstColumn="1" w:lastColumn="0" w:noHBand="0" w:noVBand="1"/>
      </w:tblPr>
      <w:tblGrid>
        <w:gridCol w:w="2419"/>
        <w:gridCol w:w="2419"/>
        <w:gridCol w:w="2420"/>
      </w:tblGrid>
      <w:tr w:rsidR="00C04EEB" w:rsidRPr="00064BAE" w14:paraId="6B5C2C38" w14:textId="77777777" w:rsidTr="00B202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5EE1A882" w14:textId="77777777" w:rsidR="00C04EEB" w:rsidRPr="00064BAE" w:rsidRDefault="00C04EEB" w:rsidP="00B202C2">
            <w:pPr>
              <w:rPr>
                <w:noProof/>
              </w:rPr>
            </w:pPr>
          </w:p>
        </w:tc>
        <w:tc>
          <w:tcPr>
            <w:tcW w:w="2419" w:type="dxa"/>
          </w:tcPr>
          <w:p w14:paraId="120A5D12" w14:textId="77777777" w:rsidR="00C04EEB" w:rsidRPr="00064BAE" w:rsidRDefault="00C04EEB" w:rsidP="00B202C2">
            <w:pPr>
              <w:cnfStyle w:val="100000000000" w:firstRow="1" w:lastRow="0" w:firstColumn="0" w:lastColumn="0" w:oddVBand="0" w:evenVBand="0" w:oddHBand="0" w:evenHBand="0" w:firstRowFirstColumn="0" w:firstRowLastColumn="0" w:lastRowFirstColumn="0" w:lastRowLastColumn="0"/>
              <w:rPr>
                <w:noProof/>
              </w:rPr>
            </w:pPr>
            <w:r w:rsidRPr="00064BAE">
              <w:rPr>
                <w:noProof/>
              </w:rPr>
              <w:t>Voted budget implementation</w:t>
            </w:r>
          </w:p>
        </w:tc>
        <w:tc>
          <w:tcPr>
            <w:tcW w:w="2420" w:type="dxa"/>
          </w:tcPr>
          <w:p w14:paraId="32A126D9" w14:textId="77777777" w:rsidR="00C04EEB" w:rsidRPr="00064BAE" w:rsidRDefault="00C04EEB" w:rsidP="00B202C2">
            <w:pPr>
              <w:cnfStyle w:val="100000000000" w:firstRow="1" w:lastRow="0" w:firstColumn="0" w:lastColumn="0" w:oddVBand="0" w:evenVBand="0" w:oddHBand="0" w:evenHBand="0" w:firstRowFirstColumn="0" w:firstRowLastColumn="0" w:lastRowFirstColumn="0" w:lastRowLastColumn="0"/>
              <w:rPr>
                <w:noProof/>
              </w:rPr>
            </w:pPr>
            <w:r w:rsidRPr="00064BAE">
              <w:rPr>
                <w:noProof/>
              </w:rPr>
              <w:t>Initial voted budget</w:t>
            </w:r>
          </w:p>
        </w:tc>
      </w:tr>
      <w:tr w:rsidR="00C04EEB" w:rsidRPr="00064BAE" w14:paraId="4048EEE8" w14:textId="77777777" w:rsidTr="00B20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4A1954EF" w14:textId="77777777" w:rsidR="00C04EEB" w:rsidRPr="00064BAE" w:rsidRDefault="00C04EEB" w:rsidP="00B202C2">
            <w:pPr>
              <w:jc w:val="center"/>
              <w:rPr>
                <w:noProof/>
              </w:rPr>
            </w:pPr>
            <w:r w:rsidRPr="00064BAE">
              <w:rPr>
                <w:noProof/>
              </w:rPr>
              <w:t>Commitments</w:t>
            </w:r>
          </w:p>
        </w:tc>
        <w:tc>
          <w:tcPr>
            <w:tcW w:w="2419" w:type="dxa"/>
          </w:tcPr>
          <w:p w14:paraId="48DC2094" w14:textId="77777777" w:rsidR="00C04EEB" w:rsidRPr="00064BAE" w:rsidRDefault="00C04EEB" w:rsidP="00B202C2">
            <w:pPr>
              <w:jc w:val="center"/>
              <w:cnfStyle w:val="000000100000" w:firstRow="0" w:lastRow="0" w:firstColumn="0" w:lastColumn="0" w:oddVBand="0" w:evenVBand="0" w:oddHBand="1" w:evenHBand="0" w:firstRowFirstColumn="0" w:firstRowLastColumn="0" w:lastRowFirstColumn="0" w:lastRowLastColumn="0"/>
              <w:rPr>
                <w:noProof/>
              </w:rPr>
            </w:pPr>
            <w:r w:rsidRPr="00064BAE">
              <w:rPr>
                <w:noProof/>
              </w:rPr>
              <w:t>329.1</w:t>
            </w:r>
          </w:p>
        </w:tc>
        <w:tc>
          <w:tcPr>
            <w:tcW w:w="2420" w:type="dxa"/>
          </w:tcPr>
          <w:p w14:paraId="3FDA99BE" w14:textId="77777777" w:rsidR="00C04EEB" w:rsidRPr="00064BAE" w:rsidRDefault="00C04EEB" w:rsidP="00B202C2">
            <w:pPr>
              <w:jc w:val="center"/>
              <w:cnfStyle w:val="000000100000" w:firstRow="0" w:lastRow="0" w:firstColumn="0" w:lastColumn="0" w:oddVBand="0" w:evenVBand="0" w:oddHBand="1" w:evenHBand="0" w:firstRowFirstColumn="0" w:firstRowLastColumn="0" w:lastRowFirstColumn="0" w:lastRowLastColumn="0"/>
              <w:rPr>
                <w:noProof/>
              </w:rPr>
            </w:pPr>
            <w:r w:rsidRPr="00064BAE">
              <w:rPr>
                <w:noProof/>
              </w:rPr>
              <w:t>327.5</w:t>
            </w:r>
          </w:p>
        </w:tc>
      </w:tr>
      <w:tr w:rsidR="00C04EEB" w:rsidRPr="00064BAE" w14:paraId="025299F7" w14:textId="77777777" w:rsidTr="00B20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49020ECD" w14:textId="77777777" w:rsidR="00C04EEB" w:rsidRPr="00064BAE" w:rsidRDefault="00C04EEB" w:rsidP="00B202C2">
            <w:pPr>
              <w:jc w:val="center"/>
              <w:rPr>
                <w:noProof/>
              </w:rPr>
            </w:pPr>
            <w:r w:rsidRPr="00064BAE">
              <w:rPr>
                <w:noProof/>
              </w:rPr>
              <w:t>Payments</w:t>
            </w:r>
          </w:p>
        </w:tc>
        <w:tc>
          <w:tcPr>
            <w:tcW w:w="2419" w:type="dxa"/>
          </w:tcPr>
          <w:p w14:paraId="6EFEA41D" w14:textId="77777777" w:rsidR="00C04EEB" w:rsidRPr="00064BAE" w:rsidRDefault="00C04EEB" w:rsidP="00B202C2">
            <w:pPr>
              <w:jc w:val="center"/>
              <w:cnfStyle w:val="000000010000" w:firstRow="0" w:lastRow="0" w:firstColumn="0" w:lastColumn="0" w:oddVBand="0" w:evenVBand="0" w:oddHBand="0" w:evenHBand="1" w:firstRowFirstColumn="0" w:firstRowLastColumn="0" w:lastRowFirstColumn="0" w:lastRowLastColumn="0"/>
              <w:rPr>
                <w:noProof/>
              </w:rPr>
            </w:pPr>
            <w:r w:rsidRPr="00064BAE">
              <w:rPr>
                <w:noProof/>
              </w:rPr>
              <w:t>9.7</w:t>
            </w:r>
          </w:p>
        </w:tc>
        <w:tc>
          <w:tcPr>
            <w:tcW w:w="2420" w:type="dxa"/>
          </w:tcPr>
          <w:p w14:paraId="39EADDFA" w14:textId="77777777" w:rsidR="00C04EEB" w:rsidRPr="00064BAE" w:rsidRDefault="00C04EEB" w:rsidP="00B202C2">
            <w:pPr>
              <w:jc w:val="center"/>
              <w:cnfStyle w:val="000000010000" w:firstRow="0" w:lastRow="0" w:firstColumn="0" w:lastColumn="0" w:oddVBand="0" w:evenVBand="0" w:oddHBand="0" w:evenHBand="1" w:firstRowFirstColumn="0" w:firstRowLastColumn="0" w:lastRowFirstColumn="0" w:lastRowLastColumn="0"/>
              <w:rPr>
                <w:noProof/>
              </w:rPr>
            </w:pPr>
            <w:r w:rsidRPr="00064BAE">
              <w:rPr>
                <w:noProof/>
              </w:rPr>
              <w:t>76.3</w:t>
            </w:r>
          </w:p>
        </w:tc>
      </w:tr>
    </w:tbl>
    <w:p w14:paraId="35E9398D" w14:textId="4E461898" w:rsidR="00C04EEB" w:rsidRPr="00064BAE" w:rsidRDefault="00C04EEB" w:rsidP="00C04EEB">
      <w:pPr>
        <w:pStyle w:val="ppoListHyphened-L1"/>
        <w:rPr>
          <w:noProof/>
        </w:rPr>
      </w:pPr>
      <w:r w:rsidRPr="00064BAE">
        <w:rPr>
          <w:noProof/>
        </w:rPr>
        <w:t>Considering the late adoption of the 2021 annual work programme, in June 2021, and the establishment of the</w:t>
      </w:r>
      <w:r w:rsidR="00E06866">
        <w:rPr>
          <w:noProof/>
        </w:rPr>
        <w:t xml:space="preserve"> </w:t>
      </w:r>
      <w:r w:rsidRPr="00064BAE">
        <w:rPr>
          <w:noProof/>
        </w:rPr>
        <w:t xml:space="preserve">European Health and Digital Executive Agency in February 2021 and the </w:t>
      </w:r>
      <w:r w:rsidR="00E06866">
        <w:rPr>
          <w:noProof/>
        </w:rPr>
        <w:t>Commission’s</w:t>
      </w:r>
      <w:r w:rsidR="00E06866" w:rsidRPr="00064BAE">
        <w:rPr>
          <w:noProof/>
        </w:rPr>
        <w:t xml:space="preserve"> </w:t>
      </w:r>
      <w:r w:rsidRPr="00064BAE">
        <w:rPr>
          <w:noProof/>
        </w:rPr>
        <w:t>Health Emergency Preparedness and Response Authority on 1</w:t>
      </w:r>
      <w:r w:rsidR="00E06866">
        <w:rPr>
          <w:noProof/>
        </w:rPr>
        <w:t>6</w:t>
      </w:r>
      <w:r w:rsidRPr="00064BAE">
        <w:rPr>
          <w:rFonts w:ascii="Calibri" w:hAnsi="Calibri" w:cs="Calibri"/>
          <w:noProof/>
        </w:rPr>
        <w:t> </w:t>
      </w:r>
      <w:r w:rsidR="00E06866">
        <w:rPr>
          <w:noProof/>
        </w:rPr>
        <w:t>September</w:t>
      </w:r>
      <w:r w:rsidR="00E06866" w:rsidRPr="00064BAE">
        <w:rPr>
          <w:noProof/>
        </w:rPr>
        <w:t xml:space="preserve"> </w:t>
      </w:r>
      <w:r w:rsidRPr="00064BAE">
        <w:rPr>
          <w:noProof/>
        </w:rPr>
        <w:t>2021, the actions envisaged under the EU4</w:t>
      </w:r>
      <w:r w:rsidR="00E06866">
        <w:rPr>
          <w:noProof/>
        </w:rPr>
        <w:t>H</w:t>
      </w:r>
      <w:r w:rsidRPr="00064BAE">
        <w:rPr>
          <w:noProof/>
        </w:rPr>
        <w:t>ealth programme have begun with a slight delay. Therefore, and given the lead time for the signature of grant agreements (up to 9</w:t>
      </w:r>
      <w:r w:rsidRPr="00064BAE">
        <w:rPr>
          <w:rFonts w:ascii="Calibri" w:hAnsi="Calibri" w:cs="Calibri"/>
          <w:noProof/>
        </w:rPr>
        <w:t> </w:t>
      </w:r>
      <w:r w:rsidRPr="00064BAE">
        <w:rPr>
          <w:noProof/>
        </w:rPr>
        <w:t>months) and for procurement actions, only a small amount of payment appropriations were needed in 2021.</w:t>
      </w:r>
    </w:p>
    <w:p w14:paraId="4F519F21" w14:textId="722A58C1" w:rsidR="00C04EEB" w:rsidRPr="00064BAE" w:rsidRDefault="00C04EEB" w:rsidP="00C04EEB">
      <w:pPr>
        <w:pStyle w:val="ppoListHyphened-L1"/>
        <w:rPr>
          <w:noProof/>
        </w:rPr>
      </w:pPr>
      <w:r w:rsidRPr="00064BAE">
        <w:rPr>
          <w:noProof/>
        </w:rPr>
        <w:t xml:space="preserve">In 2021, </w:t>
      </w:r>
      <w:bookmarkStart w:id="118" w:name="_Hlk101533786"/>
      <w:r w:rsidRPr="00064BAE">
        <w:rPr>
          <w:noProof/>
        </w:rPr>
        <w:t xml:space="preserve">a significant proportion of the fresh payment credits </w:t>
      </w:r>
      <w:r w:rsidRPr="00A031EC">
        <w:rPr>
          <w:noProof/>
        </w:rPr>
        <w:t xml:space="preserve">were </w:t>
      </w:r>
      <w:r>
        <w:rPr>
          <w:noProof/>
        </w:rPr>
        <w:t>provided</w:t>
      </w:r>
      <w:r w:rsidRPr="00A031EC">
        <w:rPr>
          <w:noProof/>
        </w:rPr>
        <w:t xml:space="preserve"> to</w:t>
      </w:r>
      <w:r w:rsidRPr="00064BAE">
        <w:rPr>
          <w:noProof/>
        </w:rPr>
        <w:t xml:space="preserve"> </w:t>
      </w:r>
      <w:r>
        <w:rPr>
          <w:noProof/>
        </w:rPr>
        <w:t xml:space="preserve">fund </w:t>
      </w:r>
      <w:r w:rsidRPr="00064BAE">
        <w:rPr>
          <w:noProof/>
        </w:rPr>
        <w:t xml:space="preserve">the expert panel meetings </w:t>
      </w:r>
      <w:bookmarkEnd w:id="118"/>
      <w:r w:rsidRPr="00064BAE">
        <w:rPr>
          <w:noProof/>
        </w:rPr>
        <w:t>on effective ways of investing in health and for a few activities under the European Database for Medical Devices. Along with the initial implementation of the EU4</w:t>
      </w:r>
      <w:r w:rsidR="00E06866">
        <w:rPr>
          <w:noProof/>
        </w:rPr>
        <w:t>H</w:t>
      </w:r>
      <w:r w:rsidRPr="00064BAE">
        <w:rPr>
          <w:noProof/>
        </w:rPr>
        <w:t>ealth programme, a significant number of activities from the third health programme were also finalised in 2021, with a total budget of EUR</w:t>
      </w:r>
      <w:r w:rsidRPr="00064BAE">
        <w:rPr>
          <w:rFonts w:ascii="Calibri" w:hAnsi="Calibri" w:cs="Calibri"/>
          <w:noProof/>
        </w:rPr>
        <w:t> </w:t>
      </w:r>
      <w:r w:rsidRPr="00064BAE">
        <w:rPr>
          <w:noProof/>
        </w:rPr>
        <w:t>47.1</w:t>
      </w:r>
      <w:r w:rsidRPr="00064BAE">
        <w:rPr>
          <w:rFonts w:ascii="Calibri" w:hAnsi="Calibri" w:cs="Calibri"/>
          <w:noProof/>
        </w:rPr>
        <w:t> </w:t>
      </w:r>
      <w:r w:rsidRPr="00064BAE">
        <w:rPr>
          <w:noProof/>
        </w:rPr>
        <w:t>million.</w:t>
      </w:r>
    </w:p>
    <w:p w14:paraId="09529BB8" w14:textId="77777777" w:rsidR="00C04EEB" w:rsidRPr="00064BAE" w:rsidRDefault="00C04EEB" w:rsidP="00C04EEB">
      <w:pPr>
        <w:pStyle w:val="ppoListHyphened-L1"/>
        <w:rPr>
          <w:noProof/>
        </w:rPr>
      </w:pPr>
      <w:r w:rsidRPr="00064BAE">
        <w:rPr>
          <w:noProof/>
        </w:rPr>
        <w:t>The 2022 annual work programme was adopted on 14</w:t>
      </w:r>
      <w:r w:rsidRPr="00064BAE">
        <w:rPr>
          <w:rFonts w:ascii="Calibri" w:hAnsi="Calibri" w:cs="Calibri"/>
          <w:noProof/>
        </w:rPr>
        <w:t> </w:t>
      </w:r>
      <w:r w:rsidRPr="00064BAE">
        <w:rPr>
          <w:noProof/>
        </w:rPr>
        <w:t>January 2022.</w:t>
      </w:r>
    </w:p>
    <w:p w14:paraId="412C9672" w14:textId="77777777" w:rsidR="00C04EEB" w:rsidRPr="00064BAE" w:rsidRDefault="00C04EEB" w:rsidP="00C04EEB">
      <w:pPr>
        <w:pStyle w:val="ppoHeading5"/>
        <w:rPr>
          <w:noProof/>
        </w:rPr>
      </w:pPr>
      <w:r w:rsidRPr="00064BAE">
        <w:rPr>
          <w:noProof/>
        </w:rPr>
        <w:t>Contribution to horizontal priorities</w:t>
      </w:r>
    </w:p>
    <w:p w14:paraId="66945A85" w14:textId="77777777" w:rsidR="00C04EEB" w:rsidRPr="00064BAE" w:rsidRDefault="00C04EEB" w:rsidP="00C04EEB">
      <w:pPr>
        <w:pStyle w:val="ppoTableTabletitle"/>
        <w:rPr>
          <w:noProof/>
        </w:rPr>
      </w:pPr>
      <w:r w:rsidRPr="00064BAE">
        <w:rPr>
          <w:noProof/>
        </w:rPr>
        <w:t>EU budget contribution in 2021 (million EUR):</w:t>
      </w:r>
    </w:p>
    <w:tbl>
      <w:tblPr>
        <w:tblStyle w:val="PPO2021"/>
        <w:tblW w:w="9639" w:type="dxa"/>
        <w:tblInd w:w="0" w:type="dxa"/>
        <w:tblLook w:val="0420" w:firstRow="1" w:lastRow="0" w:firstColumn="0" w:lastColumn="0" w:noHBand="0" w:noVBand="1"/>
      </w:tblPr>
      <w:tblGrid>
        <w:gridCol w:w="3213"/>
        <w:gridCol w:w="3213"/>
        <w:gridCol w:w="3213"/>
      </w:tblGrid>
      <w:tr w:rsidR="00C04EEB" w:rsidRPr="00064BAE" w14:paraId="7F045583" w14:textId="77777777" w:rsidTr="00B202C2">
        <w:trPr>
          <w:cnfStyle w:val="100000000000" w:firstRow="1" w:lastRow="0" w:firstColumn="0" w:lastColumn="0" w:oddVBand="0" w:evenVBand="0" w:oddHBand="0" w:evenHBand="0" w:firstRowFirstColumn="0" w:firstRowLastColumn="0" w:lastRowFirstColumn="0" w:lastRowLastColumn="0"/>
          <w:tblHeader/>
        </w:trPr>
        <w:tc>
          <w:tcPr>
            <w:tcW w:w="3213" w:type="dxa"/>
          </w:tcPr>
          <w:p w14:paraId="6461889D" w14:textId="77777777" w:rsidR="00C04EEB" w:rsidRPr="00064BAE" w:rsidRDefault="00C04EEB" w:rsidP="00B202C2">
            <w:pPr>
              <w:rPr>
                <w:noProof/>
              </w:rPr>
            </w:pPr>
            <w:r w:rsidRPr="00064BAE">
              <w:rPr>
                <w:noProof/>
              </w:rPr>
              <w:t>Climate</w:t>
            </w:r>
          </w:p>
        </w:tc>
        <w:tc>
          <w:tcPr>
            <w:tcW w:w="3213" w:type="dxa"/>
          </w:tcPr>
          <w:p w14:paraId="0CC2E93F" w14:textId="77777777" w:rsidR="00C04EEB" w:rsidRPr="00064BAE" w:rsidRDefault="00C04EEB" w:rsidP="00B202C2">
            <w:pPr>
              <w:rPr>
                <w:noProof/>
              </w:rPr>
            </w:pPr>
            <w:r w:rsidRPr="00064BAE">
              <w:rPr>
                <w:noProof/>
              </w:rPr>
              <w:t>Biodiversity</w:t>
            </w:r>
          </w:p>
        </w:tc>
        <w:tc>
          <w:tcPr>
            <w:tcW w:w="3213" w:type="dxa"/>
          </w:tcPr>
          <w:p w14:paraId="2C7AD32E" w14:textId="77777777" w:rsidR="00C04EEB" w:rsidRPr="00064BAE" w:rsidRDefault="00C04EEB" w:rsidP="00B202C2">
            <w:pPr>
              <w:rPr>
                <w:noProof/>
              </w:rPr>
            </w:pPr>
            <w:r w:rsidRPr="00064BAE">
              <w:rPr>
                <w:noProof/>
              </w:rPr>
              <w:t>Gender equality (*)</w:t>
            </w:r>
          </w:p>
        </w:tc>
      </w:tr>
      <w:tr w:rsidR="00C04EEB" w:rsidRPr="00064BAE" w14:paraId="3D72E8D9" w14:textId="77777777" w:rsidTr="00B202C2">
        <w:trPr>
          <w:cnfStyle w:val="000000100000" w:firstRow="0" w:lastRow="0" w:firstColumn="0" w:lastColumn="0" w:oddVBand="0" w:evenVBand="0" w:oddHBand="1" w:evenHBand="0" w:firstRowFirstColumn="0" w:firstRowLastColumn="0" w:lastRowFirstColumn="0" w:lastRowLastColumn="0"/>
        </w:trPr>
        <w:tc>
          <w:tcPr>
            <w:tcW w:w="3213" w:type="dxa"/>
          </w:tcPr>
          <w:p w14:paraId="64517F91" w14:textId="77777777" w:rsidR="00C04EEB" w:rsidRPr="00064BAE" w:rsidRDefault="00C04EEB" w:rsidP="00B202C2">
            <w:pPr>
              <w:jc w:val="center"/>
              <w:rPr>
                <w:noProof/>
              </w:rPr>
            </w:pPr>
            <w:r w:rsidRPr="00064BAE">
              <w:rPr>
                <w:noProof/>
              </w:rPr>
              <w:t>0</w:t>
            </w:r>
          </w:p>
        </w:tc>
        <w:tc>
          <w:tcPr>
            <w:tcW w:w="3213" w:type="dxa"/>
          </w:tcPr>
          <w:p w14:paraId="2597DCFB" w14:textId="77777777" w:rsidR="00C04EEB" w:rsidRPr="00064BAE" w:rsidRDefault="00C04EEB" w:rsidP="00B202C2">
            <w:pPr>
              <w:jc w:val="center"/>
              <w:rPr>
                <w:noProof/>
              </w:rPr>
            </w:pPr>
            <w:r w:rsidRPr="00064BAE">
              <w:rPr>
                <w:noProof/>
              </w:rPr>
              <w:t>0</w:t>
            </w:r>
          </w:p>
        </w:tc>
        <w:tc>
          <w:tcPr>
            <w:tcW w:w="3213" w:type="dxa"/>
          </w:tcPr>
          <w:p w14:paraId="421C1CD0" w14:textId="77777777" w:rsidR="00BA5DAF" w:rsidRDefault="00C04EEB" w:rsidP="001223CC">
            <w:pPr>
              <w:jc w:val="center"/>
              <w:rPr>
                <w:noProof/>
              </w:rPr>
            </w:pPr>
            <w:r w:rsidRPr="00064BAE">
              <w:rPr>
                <w:noProof/>
              </w:rPr>
              <w:t>Score 0*: 3</w:t>
            </w:r>
            <w:r w:rsidR="00BA5DAF">
              <w:rPr>
                <w:noProof/>
              </w:rPr>
              <w:t>18.0</w:t>
            </w:r>
          </w:p>
          <w:p w14:paraId="4E0553F6" w14:textId="40EBE53D" w:rsidR="00C04EEB" w:rsidRPr="00064BAE" w:rsidRDefault="00BA5DAF" w:rsidP="001223CC">
            <w:pPr>
              <w:jc w:val="center"/>
              <w:rPr>
                <w:noProof/>
              </w:rPr>
            </w:pPr>
            <w:r>
              <w:rPr>
                <w:noProof/>
              </w:rPr>
              <w:t>Score 0: 11.1</w:t>
            </w:r>
          </w:p>
        </w:tc>
      </w:tr>
    </w:tbl>
    <w:p w14:paraId="7C5B968F" w14:textId="77777777" w:rsidR="00C04EEB" w:rsidRPr="00064BAE" w:rsidRDefault="00C04EEB" w:rsidP="00C04EEB">
      <w:pPr>
        <w:pStyle w:val="FootnoteText"/>
        <w:rPr>
          <w:noProof/>
        </w:rPr>
      </w:pPr>
      <w:r w:rsidRPr="00064BAE">
        <w:rPr>
          <w:noProof/>
        </w:rPr>
        <w:t>(*) Based on the applied gender contribution methodology, the following scores are attributed at the most granular level of intervention possible:</w:t>
      </w:r>
    </w:p>
    <w:p w14:paraId="60ABE1F6" w14:textId="77777777" w:rsidR="00C04EEB" w:rsidRPr="00064BAE" w:rsidRDefault="00C04EEB" w:rsidP="00C04EEB">
      <w:pPr>
        <w:pStyle w:val="FootnoteText"/>
        <w:numPr>
          <w:ilvl w:val="0"/>
          <w:numId w:val="38"/>
        </w:numPr>
        <w:spacing w:after="60" w:line="264" w:lineRule="auto"/>
        <w:jc w:val="left"/>
        <w:rPr>
          <w:noProof/>
        </w:rPr>
      </w:pPr>
      <w:r w:rsidRPr="00064BAE">
        <w:rPr>
          <w:noProof/>
        </w:rPr>
        <w:t>2: interventions the principal objective of which is to improve gender equality;</w:t>
      </w:r>
    </w:p>
    <w:p w14:paraId="3D087781" w14:textId="77777777" w:rsidR="00C04EEB" w:rsidRPr="00064BAE" w:rsidRDefault="00C04EEB" w:rsidP="00C04EEB">
      <w:pPr>
        <w:pStyle w:val="FootnoteText"/>
        <w:numPr>
          <w:ilvl w:val="0"/>
          <w:numId w:val="38"/>
        </w:numPr>
        <w:spacing w:after="60" w:line="264" w:lineRule="auto"/>
        <w:jc w:val="left"/>
        <w:rPr>
          <w:noProof/>
        </w:rPr>
      </w:pPr>
      <w:r w:rsidRPr="00064BAE">
        <w:rPr>
          <w:noProof/>
        </w:rPr>
        <w:t>1: interventions that have gender equality as an important and deliberate objective but not as the main reason for the intervention;</w:t>
      </w:r>
    </w:p>
    <w:p w14:paraId="08DD613D" w14:textId="77777777" w:rsidR="00C04EEB" w:rsidRPr="00064BAE" w:rsidRDefault="00C04EEB" w:rsidP="00C04EEB">
      <w:pPr>
        <w:pStyle w:val="FootnoteText"/>
        <w:numPr>
          <w:ilvl w:val="0"/>
          <w:numId w:val="38"/>
        </w:numPr>
        <w:spacing w:after="60" w:line="264" w:lineRule="auto"/>
        <w:jc w:val="left"/>
        <w:rPr>
          <w:noProof/>
        </w:rPr>
      </w:pPr>
      <w:r w:rsidRPr="00064BAE">
        <w:rPr>
          <w:noProof/>
        </w:rPr>
        <w:t>0: non-targeted interventions;</w:t>
      </w:r>
    </w:p>
    <w:p w14:paraId="2FE81EAD" w14:textId="77777777" w:rsidR="00C04EEB" w:rsidRPr="00064BAE" w:rsidRDefault="00C04EEB" w:rsidP="00C04EEB">
      <w:pPr>
        <w:pStyle w:val="FootnoteText"/>
        <w:numPr>
          <w:ilvl w:val="0"/>
          <w:numId w:val="38"/>
        </w:numPr>
        <w:spacing w:after="60" w:line="264" w:lineRule="auto"/>
        <w:jc w:val="left"/>
        <w:rPr>
          <w:noProof/>
        </w:rPr>
      </w:pPr>
      <w:r w:rsidRPr="00064BAE">
        <w:rPr>
          <w:noProof/>
        </w:rPr>
        <w:t>0*: score to be assigned to interventions with a likely but not yet clear positive impact on gender equality.</w:t>
      </w:r>
    </w:p>
    <w:p w14:paraId="76EDB18E" w14:textId="77777777" w:rsidR="00C04EEB" w:rsidRPr="00064BAE" w:rsidRDefault="00C04EEB" w:rsidP="00C04EEB">
      <w:pPr>
        <w:pStyle w:val="ppoHeading5"/>
        <w:rPr>
          <w:noProof/>
        </w:rPr>
      </w:pPr>
      <w:r w:rsidRPr="00064BAE">
        <w:rPr>
          <w:noProof/>
        </w:rPr>
        <w:t>Performance assessment</w:t>
      </w:r>
    </w:p>
    <w:p w14:paraId="17C18535" w14:textId="77777777" w:rsidR="00C04EEB" w:rsidRPr="00064BAE" w:rsidRDefault="00C04EEB" w:rsidP="00C04EEB">
      <w:pPr>
        <w:pStyle w:val="ppoHeading6"/>
        <w:rPr>
          <w:noProof/>
        </w:rPr>
      </w:pPr>
      <w:r w:rsidRPr="00064BAE">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C04EEB" w:rsidRPr="00064BAE" w14:paraId="545886BC" w14:textId="77777777" w:rsidTr="00B202C2">
        <w:trPr>
          <w:cnfStyle w:val="100000000000" w:firstRow="1" w:lastRow="0" w:firstColumn="0" w:lastColumn="0" w:oddVBand="0" w:evenVBand="0" w:oddHBand="0" w:evenHBand="0" w:firstRowFirstColumn="0" w:firstRowLastColumn="0" w:lastRowFirstColumn="0" w:lastRowLastColumn="0"/>
        </w:trPr>
        <w:tc>
          <w:tcPr>
            <w:tcW w:w="2330" w:type="dxa"/>
          </w:tcPr>
          <w:p w14:paraId="761FF607" w14:textId="77777777" w:rsidR="00C04EEB" w:rsidRPr="00064BAE" w:rsidRDefault="00C04EEB" w:rsidP="00B202C2">
            <w:pPr>
              <w:rPr>
                <w:noProof/>
              </w:rPr>
            </w:pPr>
          </w:p>
        </w:tc>
        <w:tc>
          <w:tcPr>
            <w:tcW w:w="1100" w:type="dxa"/>
          </w:tcPr>
          <w:p w14:paraId="432E5817" w14:textId="77777777" w:rsidR="00C04EEB" w:rsidRPr="00064BAE" w:rsidRDefault="00C04EEB" w:rsidP="00B202C2">
            <w:pPr>
              <w:rPr>
                <w:noProof/>
              </w:rPr>
            </w:pPr>
            <w:r w:rsidRPr="00064BAE">
              <w:rPr>
                <w:noProof/>
              </w:rPr>
              <w:t>Baseline</w:t>
            </w:r>
          </w:p>
        </w:tc>
        <w:tc>
          <w:tcPr>
            <w:tcW w:w="1526" w:type="dxa"/>
          </w:tcPr>
          <w:p w14:paraId="63F63369" w14:textId="77777777" w:rsidR="00C04EEB" w:rsidRPr="00064BAE" w:rsidRDefault="00C04EEB" w:rsidP="00B202C2">
            <w:pPr>
              <w:rPr>
                <w:noProof/>
              </w:rPr>
            </w:pPr>
            <w:r w:rsidRPr="00064BAE">
              <w:rPr>
                <w:noProof/>
              </w:rPr>
              <w:t>Progress (*)</w:t>
            </w:r>
          </w:p>
        </w:tc>
        <w:tc>
          <w:tcPr>
            <w:tcW w:w="1532" w:type="dxa"/>
          </w:tcPr>
          <w:p w14:paraId="771F20CD" w14:textId="77777777" w:rsidR="00C04EEB" w:rsidRPr="00064BAE" w:rsidRDefault="00C04EEB" w:rsidP="00B202C2">
            <w:pPr>
              <w:rPr>
                <w:noProof/>
              </w:rPr>
            </w:pPr>
            <w:r w:rsidRPr="00064BAE">
              <w:rPr>
                <w:noProof/>
              </w:rPr>
              <w:t>Target</w:t>
            </w:r>
          </w:p>
        </w:tc>
        <w:tc>
          <w:tcPr>
            <w:tcW w:w="1572" w:type="dxa"/>
          </w:tcPr>
          <w:p w14:paraId="003A5AA1" w14:textId="77777777" w:rsidR="00C04EEB" w:rsidRPr="00064BAE" w:rsidRDefault="00C04EEB" w:rsidP="00B202C2">
            <w:pPr>
              <w:rPr>
                <w:noProof/>
              </w:rPr>
            </w:pPr>
            <w:r w:rsidRPr="00064BAE">
              <w:rPr>
                <w:noProof/>
              </w:rPr>
              <w:t>Results</w:t>
            </w:r>
          </w:p>
        </w:tc>
        <w:tc>
          <w:tcPr>
            <w:tcW w:w="1579" w:type="dxa"/>
          </w:tcPr>
          <w:p w14:paraId="59B3733B" w14:textId="77777777" w:rsidR="00C04EEB" w:rsidRPr="00064BAE" w:rsidRDefault="00C04EEB" w:rsidP="00B202C2">
            <w:pPr>
              <w:rPr>
                <w:noProof/>
              </w:rPr>
            </w:pPr>
            <w:r w:rsidRPr="00064BAE">
              <w:rPr>
                <w:noProof/>
              </w:rPr>
              <w:t>Assessment</w:t>
            </w:r>
          </w:p>
        </w:tc>
      </w:tr>
      <w:tr w:rsidR="00A54B7D" w:rsidRPr="00064BAE" w14:paraId="51B1211D" w14:textId="77777777" w:rsidTr="00B202C2">
        <w:trPr>
          <w:cnfStyle w:val="000000100000" w:firstRow="0" w:lastRow="0" w:firstColumn="0" w:lastColumn="0" w:oddVBand="0" w:evenVBand="0" w:oddHBand="1" w:evenHBand="0" w:firstRowFirstColumn="0" w:firstRowLastColumn="0" w:lastRowFirstColumn="0" w:lastRowLastColumn="0"/>
        </w:trPr>
        <w:tc>
          <w:tcPr>
            <w:tcW w:w="2330" w:type="dxa"/>
          </w:tcPr>
          <w:p w14:paraId="6335BC87" w14:textId="77777777" w:rsidR="00A54B7D" w:rsidRPr="00064BAE" w:rsidRDefault="00A54B7D" w:rsidP="00A54B7D">
            <w:pPr>
              <w:rPr>
                <w:noProof/>
              </w:rPr>
            </w:pPr>
            <w:r>
              <w:rPr>
                <w:noProof/>
              </w:rPr>
              <w:t xml:space="preserve">Number of </w:t>
            </w:r>
            <w:r w:rsidRPr="004F6FD1">
              <w:rPr>
                <w:noProof/>
              </w:rPr>
              <w:t>Member States implementing best practices regarding health promotion, disease prevention and addressing health inequalities</w:t>
            </w:r>
          </w:p>
        </w:tc>
        <w:tc>
          <w:tcPr>
            <w:tcW w:w="1100" w:type="dxa"/>
          </w:tcPr>
          <w:p w14:paraId="1F8E65E8" w14:textId="7DD6C40D" w:rsidR="00A54B7D" w:rsidRPr="00064BAE" w:rsidRDefault="00A54B7D" w:rsidP="00A54B7D">
            <w:pPr>
              <w:jc w:val="center"/>
              <w:rPr>
                <w:noProof/>
              </w:rPr>
            </w:pPr>
            <w:r>
              <w:rPr>
                <w:noProof/>
              </w:rPr>
              <w:t>0</w:t>
            </w:r>
          </w:p>
        </w:tc>
        <w:tc>
          <w:tcPr>
            <w:tcW w:w="1526" w:type="dxa"/>
          </w:tcPr>
          <w:p w14:paraId="34E8271C" w14:textId="77777777" w:rsidR="00A54B7D" w:rsidRPr="00064BAE" w:rsidRDefault="00A54B7D" w:rsidP="00A54B7D">
            <w:pPr>
              <w:jc w:val="center"/>
              <w:rPr>
                <w:b/>
                <w:noProof/>
              </w:rPr>
            </w:pPr>
          </w:p>
        </w:tc>
        <w:tc>
          <w:tcPr>
            <w:tcW w:w="1532" w:type="dxa"/>
          </w:tcPr>
          <w:p w14:paraId="49312EFE" w14:textId="72102BC7" w:rsidR="00A54B7D" w:rsidRPr="00064BAE" w:rsidRDefault="00A54B7D" w:rsidP="00A54B7D">
            <w:pPr>
              <w:jc w:val="center"/>
              <w:rPr>
                <w:noProof/>
              </w:rPr>
            </w:pPr>
            <w:r>
              <w:rPr>
                <w:noProof/>
              </w:rPr>
              <w:t>27</w:t>
            </w:r>
          </w:p>
        </w:tc>
        <w:tc>
          <w:tcPr>
            <w:tcW w:w="1572" w:type="dxa"/>
          </w:tcPr>
          <w:p w14:paraId="7EE4AD99" w14:textId="70916811" w:rsidR="00A54B7D" w:rsidRPr="00064BAE" w:rsidRDefault="00A54B7D" w:rsidP="00A54B7D">
            <w:pPr>
              <w:jc w:val="center"/>
              <w:rPr>
                <w:noProof/>
              </w:rPr>
            </w:pPr>
            <w:r>
              <w:rPr>
                <w:noProof/>
              </w:rPr>
              <w:t>No results</w:t>
            </w:r>
          </w:p>
        </w:tc>
        <w:tc>
          <w:tcPr>
            <w:tcW w:w="1579" w:type="dxa"/>
          </w:tcPr>
          <w:p w14:paraId="25E4B2EE" w14:textId="113FAD37" w:rsidR="00A54B7D" w:rsidRPr="00064BAE" w:rsidRDefault="00A54B7D" w:rsidP="00A54B7D">
            <w:pPr>
              <w:jc w:val="center"/>
              <w:rPr>
                <w:noProof/>
              </w:rPr>
            </w:pPr>
            <w:r>
              <w:rPr>
                <w:noProof/>
              </w:rPr>
              <w:t>No data</w:t>
            </w:r>
          </w:p>
        </w:tc>
      </w:tr>
      <w:tr w:rsidR="00A54B7D" w:rsidRPr="00064BAE" w14:paraId="1B7BDA42" w14:textId="77777777" w:rsidTr="00B202C2">
        <w:trPr>
          <w:cnfStyle w:val="000000010000" w:firstRow="0" w:lastRow="0" w:firstColumn="0" w:lastColumn="0" w:oddVBand="0" w:evenVBand="0" w:oddHBand="0" w:evenHBand="1" w:firstRowFirstColumn="0" w:firstRowLastColumn="0" w:lastRowFirstColumn="0" w:lastRowLastColumn="0"/>
        </w:trPr>
        <w:tc>
          <w:tcPr>
            <w:tcW w:w="2330" w:type="dxa"/>
          </w:tcPr>
          <w:p w14:paraId="13502869" w14:textId="77777777" w:rsidR="00A54B7D" w:rsidRPr="00064BAE" w:rsidRDefault="00A54B7D" w:rsidP="00A54B7D">
            <w:pPr>
              <w:rPr>
                <w:noProof/>
              </w:rPr>
            </w:pPr>
            <w:r>
              <w:rPr>
                <w:noProof/>
              </w:rPr>
              <w:t xml:space="preserve">Number of </w:t>
            </w:r>
            <w:r w:rsidRPr="004F6FD1">
              <w:rPr>
                <w:noProof/>
              </w:rPr>
              <w:t>Member States with improved preparedness and response planning</w:t>
            </w:r>
          </w:p>
        </w:tc>
        <w:tc>
          <w:tcPr>
            <w:tcW w:w="1100" w:type="dxa"/>
          </w:tcPr>
          <w:p w14:paraId="052AF394" w14:textId="332C274D" w:rsidR="00A54B7D" w:rsidRPr="00064BAE" w:rsidRDefault="00A54B7D" w:rsidP="00A54B7D">
            <w:pPr>
              <w:jc w:val="center"/>
              <w:rPr>
                <w:noProof/>
              </w:rPr>
            </w:pPr>
            <w:r>
              <w:rPr>
                <w:noProof/>
              </w:rPr>
              <w:t>0</w:t>
            </w:r>
          </w:p>
        </w:tc>
        <w:tc>
          <w:tcPr>
            <w:tcW w:w="1526" w:type="dxa"/>
          </w:tcPr>
          <w:p w14:paraId="5BCF276A" w14:textId="77777777" w:rsidR="00A54B7D" w:rsidRPr="00064BAE" w:rsidRDefault="00A54B7D" w:rsidP="00A54B7D">
            <w:pPr>
              <w:jc w:val="center"/>
              <w:rPr>
                <w:b/>
                <w:noProof/>
              </w:rPr>
            </w:pPr>
          </w:p>
        </w:tc>
        <w:tc>
          <w:tcPr>
            <w:tcW w:w="1532" w:type="dxa"/>
          </w:tcPr>
          <w:p w14:paraId="3528059E" w14:textId="47AE034F" w:rsidR="00A54B7D" w:rsidRPr="00064BAE" w:rsidRDefault="00A54B7D" w:rsidP="00A54B7D">
            <w:pPr>
              <w:jc w:val="center"/>
              <w:rPr>
                <w:noProof/>
              </w:rPr>
            </w:pPr>
            <w:r>
              <w:rPr>
                <w:noProof/>
              </w:rPr>
              <w:t>27</w:t>
            </w:r>
          </w:p>
        </w:tc>
        <w:tc>
          <w:tcPr>
            <w:tcW w:w="1572" w:type="dxa"/>
          </w:tcPr>
          <w:p w14:paraId="5B6C5EC1" w14:textId="2E239D15" w:rsidR="00A54B7D" w:rsidRPr="00064BAE" w:rsidRDefault="00A54B7D" w:rsidP="00A54B7D">
            <w:pPr>
              <w:jc w:val="center"/>
              <w:rPr>
                <w:noProof/>
              </w:rPr>
            </w:pPr>
            <w:r>
              <w:rPr>
                <w:noProof/>
              </w:rPr>
              <w:t>No results</w:t>
            </w:r>
          </w:p>
        </w:tc>
        <w:tc>
          <w:tcPr>
            <w:tcW w:w="1579" w:type="dxa"/>
          </w:tcPr>
          <w:p w14:paraId="677C0294" w14:textId="76296677" w:rsidR="00A54B7D" w:rsidRPr="00064BAE" w:rsidRDefault="00A54B7D" w:rsidP="00A54B7D">
            <w:pPr>
              <w:jc w:val="center"/>
              <w:rPr>
                <w:noProof/>
              </w:rPr>
            </w:pPr>
            <w:r>
              <w:rPr>
                <w:noProof/>
              </w:rPr>
              <w:t>No data</w:t>
            </w:r>
          </w:p>
        </w:tc>
      </w:tr>
      <w:tr w:rsidR="00A54B7D" w:rsidRPr="00064BAE" w14:paraId="74091EC2" w14:textId="77777777" w:rsidTr="00B202C2">
        <w:trPr>
          <w:cnfStyle w:val="000000100000" w:firstRow="0" w:lastRow="0" w:firstColumn="0" w:lastColumn="0" w:oddVBand="0" w:evenVBand="0" w:oddHBand="1" w:evenHBand="0" w:firstRowFirstColumn="0" w:firstRowLastColumn="0" w:lastRowFirstColumn="0" w:lastRowLastColumn="0"/>
        </w:trPr>
        <w:tc>
          <w:tcPr>
            <w:tcW w:w="2330" w:type="dxa"/>
          </w:tcPr>
          <w:p w14:paraId="7970DE6E" w14:textId="77777777" w:rsidR="00A54B7D" w:rsidRPr="00064BAE" w:rsidRDefault="00A54B7D" w:rsidP="00A54B7D">
            <w:pPr>
              <w:rPr>
                <w:noProof/>
              </w:rPr>
            </w:pPr>
            <w:r>
              <w:rPr>
                <w:noProof/>
              </w:rPr>
              <w:t>Number of s</w:t>
            </w:r>
            <w:r w:rsidRPr="00B94B0C">
              <w:rPr>
                <w:noProof/>
              </w:rPr>
              <w:t>hortages of medicinal products in the Member States as reported through the single point of contact network</w:t>
            </w:r>
          </w:p>
        </w:tc>
        <w:tc>
          <w:tcPr>
            <w:tcW w:w="1100" w:type="dxa"/>
          </w:tcPr>
          <w:p w14:paraId="7A121499" w14:textId="3FEC8320" w:rsidR="00A54B7D" w:rsidRPr="00064BAE" w:rsidRDefault="00A54B7D" w:rsidP="00A54B7D">
            <w:pPr>
              <w:jc w:val="center"/>
              <w:rPr>
                <w:noProof/>
              </w:rPr>
            </w:pPr>
            <w:r>
              <w:rPr>
                <w:noProof/>
              </w:rPr>
              <w:t>52</w:t>
            </w:r>
          </w:p>
        </w:tc>
        <w:tc>
          <w:tcPr>
            <w:tcW w:w="1526" w:type="dxa"/>
          </w:tcPr>
          <w:p w14:paraId="22AD2E7D" w14:textId="77777777" w:rsidR="00A54B7D" w:rsidRPr="00064BAE" w:rsidRDefault="00A54B7D" w:rsidP="00A54B7D">
            <w:pPr>
              <w:jc w:val="center"/>
              <w:rPr>
                <w:b/>
                <w:noProof/>
              </w:rPr>
            </w:pPr>
          </w:p>
        </w:tc>
        <w:tc>
          <w:tcPr>
            <w:tcW w:w="1532" w:type="dxa"/>
          </w:tcPr>
          <w:p w14:paraId="68DD4374" w14:textId="15D7F5A5" w:rsidR="00A54B7D" w:rsidRPr="00064BAE" w:rsidRDefault="00A54B7D" w:rsidP="00A54B7D">
            <w:pPr>
              <w:jc w:val="center"/>
              <w:rPr>
                <w:noProof/>
              </w:rPr>
            </w:pPr>
            <w:r>
              <w:rPr>
                <w:noProof/>
              </w:rPr>
              <w:t>Reduction</w:t>
            </w:r>
          </w:p>
        </w:tc>
        <w:tc>
          <w:tcPr>
            <w:tcW w:w="1572" w:type="dxa"/>
          </w:tcPr>
          <w:p w14:paraId="0B71B560" w14:textId="75937AF9" w:rsidR="00A54B7D" w:rsidRPr="00064BAE" w:rsidRDefault="00A54B7D" w:rsidP="00A54B7D">
            <w:pPr>
              <w:jc w:val="center"/>
              <w:rPr>
                <w:noProof/>
              </w:rPr>
            </w:pPr>
            <w:r>
              <w:rPr>
                <w:noProof/>
              </w:rPr>
              <w:t>No results</w:t>
            </w:r>
          </w:p>
        </w:tc>
        <w:tc>
          <w:tcPr>
            <w:tcW w:w="1579" w:type="dxa"/>
          </w:tcPr>
          <w:p w14:paraId="2447DD7F" w14:textId="2B4129B1" w:rsidR="00A54B7D" w:rsidRPr="00064BAE" w:rsidRDefault="00A54B7D" w:rsidP="00A54B7D">
            <w:pPr>
              <w:jc w:val="center"/>
              <w:rPr>
                <w:noProof/>
              </w:rPr>
            </w:pPr>
            <w:r>
              <w:rPr>
                <w:noProof/>
              </w:rPr>
              <w:t>No data</w:t>
            </w:r>
          </w:p>
        </w:tc>
      </w:tr>
      <w:tr w:rsidR="00A54B7D" w:rsidRPr="00064BAE" w14:paraId="3DF7A2C3" w14:textId="77777777" w:rsidTr="00B202C2">
        <w:trPr>
          <w:cnfStyle w:val="000000010000" w:firstRow="0" w:lastRow="0" w:firstColumn="0" w:lastColumn="0" w:oddVBand="0" w:evenVBand="0" w:oddHBand="0" w:evenHBand="1" w:firstRowFirstColumn="0" w:firstRowLastColumn="0" w:lastRowFirstColumn="0" w:lastRowLastColumn="0"/>
        </w:trPr>
        <w:tc>
          <w:tcPr>
            <w:tcW w:w="2330" w:type="dxa"/>
          </w:tcPr>
          <w:p w14:paraId="1CEDFF93" w14:textId="77777777" w:rsidR="00A54B7D" w:rsidRPr="00064BAE" w:rsidRDefault="00A54B7D" w:rsidP="00A54B7D">
            <w:pPr>
              <w:rPr>
                <w:noProof/>
              </w:rPr>
            </w:pPr>
            <w:r w:rsidRPr="00B94B0C">
              <w:rPr>
                <w:noProof/>
              </w:rPr>
              <w:t>EU Laboratory capacity index (EULabCap)</w:t>
            </w:r>
          </w:p>
        </w:tc>
        <w:tc>
          <w:tcPr>
            <w:tcW w:w="1100" w:type="dxa"/>
          </w:tcPr>
          <w:p w14:paraId="7172710F" w14:textId="6F6F2768" w:rsidR="00A54B7D" w:rsidRPr="00064BAE" w:rsidRDefault="00A54B7D" w:rsidP="00A54B7D">
            <w:pPr>
              <w:jc w:val="center"/>
              <w:rPr>
                <w:noProof/>
              </w:rPr>
            </w:pPr>
            <w:r w:rsidRPr="001171AC">
              <w:rPr>
                <w:noProof/>
              </w:rPr>
              <w:t>7.8</w:t>
            </w:r>
          </w:p>
        </w:tc>
        <w:tc>
          <w:tcPr>
            <w:tcW w:w="1526" w:type="dxa"/>
          </w:tcPr>
          <w:p w14:paraId="4E68314D" w14:textId="77777777" w:rsidR="00A54B7D" w:rsidRPr="00064BAE" w:rsidRDefault="00A54B7D" w:rsidP="00A54B7D">
            <w:pPr>
              <w:jc w:val="center"/>
              <w:rPr>
                <w:b/>
                <w:noProof/>
              </w:rPr>
            </w:pPr>
          </w:p>
        </w:tc>
        <w:tc>
          <w:tcPr>
            <w:tcW w:w="1532" w:type="dxa"/>
          </w:tcPr>
          <w:p w14:paraId="0E3843B2" w14:textId="66308685" w:rsidR="00A54B7D" w:rsidRPr="00064BAE" w:rsidRDefault="00A54B7D" w:rsidP="00A54B7D">
            <w:pPr>
              <w:jc w:val="center"/>
              <w:rPr>
                <w:noProof/>
              </w:rPr>
            </w:pPr>
            <w:r>
              <w:rPr>
                <w:noProof/>
              </w:rPr>
              <w:t>8</w:t>
            </w:r>
          </w:p>
        </w:tc>
        <w:tc>
          <w:tcPr>
            <w:tcW w:w="1572" w:type="dxa"/>
          </w:tcPr>
          <w:p w14:paraId="1F89CCA6" w14:textId="795BE441" w:rsidR="00A54B7D" w:rsidRPr="00064BAE" w:rsidRDefault="00A54B7D" w:rsidP="00A54B7D">
            <w:pPr>
              <w:jc w:val="center"/>
              <w:rPr>
                <w:noProof/>
              </w:rPr>
            </w:pPr>
            <w:r>
              <w:rPr>
                <w:noProof/>
              </w:rPr>
              <w:t>No results</w:t>
            </w:r>
          </w:p>
        </w:tc>
        <w:tc>
          <w:tcPr>
            <w:tcW w:w="1579" w:type="dxa"/>
          </w:tcPr>
          <w:p w14:paraId="047CACA3" w14:textId="0F7B0ABA" w:rsidR="00A54B7D" w:rsidRPr="00064BAE" w:rsidRDefault="00A54B7D" w:rsidP="00A54B7D">
            <w:pPr>
              <w:jc w:val="center"/>
              <w:rPr>
                <w:noProof/>
              </w:rPr>
            </w:pPr>
            <w:r>
              <w:rPr>
                <w:noProof/>
              </w:rPr>
              <w:t>No data</w:t>
            </w:r>
          </w:p>
        </w:tc>
      </w:tr>
      <w:tr w:rsidR="00A54B7D" w:rsidRPr="00064BAE" w14:paraId="4A133DA4" w14:textId="77777777" w:rsidTr="00B202C2">
        <w:trPr>
          <w:cnfStyle w:val="000000100000" w:firstRow="0" w:lastRow="0" w:firstColumn="0" w:lastColumn="0" w:oddVBand="0" w:evenVBand="0" w:oddHBand="1" w:evenHBand="0" w:firstRowFirstColumn="0" w:firstRowLastColumn="0" w:lastRowFirstColumn="0" w:lastRowLastColumn="0"/>
        </w:trPr>
        <w:tc>
          <w:tcPr>
            <w:tcW w:w="2330" w:type="dxa"/>
          </w:tcPr>
          <w:p w14:paraId="602BD97F" w14:textId="77777777" w:rsidR="00A54B7D" w:rsidRPr="00064BAE" w:rsidRDefault="00A54B7D" w:rsidP="00A54B7D">
            <w:pPr>
              <w:rPr>
                <w:noProof/>
              </w:rPr>
            </w:pPr>
            <w:r w:rsidRPr="00064BAE">
              <w:rPr>
                <w:noProof/>
              </w:rPr>
              <w:t xml:space="preserve">Number of </w:t>
            </w:r>
            <w:r w:rsidRPr="00B94B0C">
              <w:rPr>
                <w:noProof/>
              </w:rPr>
              <w:t>Member States participating in the European health data space</w:t>
            </w:r>
          </w:p>
        </w:tc>
        <w:tc>
          <w:tcPr>
            <w:tcW w:w="1100" w:type="dxa"/>
          </w:tcPr>
          <w:p w14:paraId="0D43C1FE" w14:textId="1647B73F" w:rsidR="00A54B7D" w:rsidRPr="00064BAE" w:rsidRDefault="00A54B7D" w:rsidP="00A54B7D">
            <w:pPr>
              <w:jc w:val="center"/>
              <w:rPr>
                <w:noProof/>
              </w:rPr>
            </w:pPr>
            <w:r>
              <w:rPr>
                <w:noProof/>
              </w:rPr>
              <w:t>0</w:t>
            </w:r>
          </w:p>
        </w:tc>
        <w:tc>
          <w:tcPr>
            <w:tcW w:w="1526" w:type="dxa"/>
          </w:tcPr>
          <w:p w14:paraId="7B75F37A" w14:textId="77777777" w:rsidR="00A54B7D" w:rsidRPr="00064BAE" w:rsidRDefault="00A54B7D" w:rsidP="00A54B7D">
            <w:pPr>
              <w:jc w:val="center"/>
              <w:rPr>
                <w:b/>
                <w:noProof/>
              </w:rPr>
            </w:pPr>
          </w:p>
        </w:tc>
        <w:tc>
          <w:tcPr>
            <w:tcW w:w="1532" w:type="dxa"/>
          </w:tcPr>
          <w:p w14:paraId="770A9716" w14:textId="73938597" w:rsidR="00A54B7D" w:rsidRPr="00064BAE" w:rsidRDefault="00A54B7D" w:rsidP="00A54B7D">
            <w:pPr>
              <w:jc w:val="center"/>
              <w:rPr>
                <w:noProof/>
              </w:rPr>
            </w:pPr>
            <w:r>
              <w:rPr>
                <w:noProof/>
              </w:rPr>
              <w:t>27</w:t>
            </w:r>
          </w:p>
        </w:tc>
        <w:tc>
          <w:tcPr>
            <w:tcW w:w="1572" w:type="dxa"/>
          </w:tcPr>
          <w:p w14:paraId="6C532C4A" w14:textId="73EB2FE6" w:rsidR="00A54B7D" w:rsidRPr="00064BAE" w:rsidRDefault="00A54B7D" w:rsidP="00A54B7D">
            <w:pPr>
              <w:jc w:val="center"/>
              <w:rPr>
                <w:noProof/>
              </w:rPr>
            </w:pPr>
            <w:r>
              <w:rPr>
                <w:noProof/>
              </w:rPr>
              <w:t>No results</w:t>
            </w:r>
          </w:p>
        </w:tc>
        <w:tc>
          <w:tcPr>
            <w:tcW w:w="1579" w:type="dxa"/>
          </w:tcPr>
          <w:p w14:paraId="4DD6F21E" w14:textId="3A1A2C81" w:rsidR="00A54B7D" w:rsidRPr="00064BAE" w:rsidRDefault="00A54B7D" w:rsidP="00A54B7D">
            <w:pPr>
              <w:jc w:val="center"/>
              <w:rPr>
                <w:noProof/>
              </w:rPr>
            </w:pPr>
            <w:r>
              <w:rPr>
                <w:noProof/>
              </w:rPr>
              <w:t>No data</w:t>
            </w:r>
          </w:p>
        </w:tc>
      </w:tr>
      <w:tr w:rsidR="00A54B7D" w:rsidRPr="00064BAE" w14:paraId="12730B24" w14:textId="77777777" w:rsidTr="00B202C2">
        <w:trPr>
          <w:cnfStyle w:val="000000010000" w:firstRow="0" w:lastRow="0" w:firstColumn="0" w:lastColumn="0" w:oddVBand="0" w:evenVBand="0" w:oddHBand="0" w:evenHBand="1" w:firstRowFirstColumn="0" w:firstRowLastColumn="0" w:lastRowFirstColumn="0" w:lastRowLastColumn="0"/>
        </w:trPr>
        <w:tc>
          <w:tcPr>
            <w:tcW w:w="2330" w:type="dxa"/>
          </w:tcPr>
          <w:p w14:paraId="5F30A720" w14:textId="77777777" w:rsidR="00A54B7D" w:rsidRPr="00064BAE" w:rsidRDefault="00A54B7D" w:rsidP="00A54B7D">
            <w:pPr>
              <w:rPr>
                <w:noProof/>
              </w:rPr>
            </w:pPr>
            <w:r w:rsidRPr="00B94B0C">
              <w:rPr>
                <w:noProof/>
              </w:rPr>
              <w:t>N</w:t>
            </w:r>
            <w:r>
              <w:rPr>
                <w:noProof/>
              </w:rPr>
              <w:t>umber</w:t>
            </w:r>
            <w:r w:rsidRPr="00B94B0C">
              <w:rPr>
                <w:noProof/>
              </w:rPr>
              <w:t xml:space="preserve"> of HTA reports jointly carried out </w:t>
            </w:r>
          </w:p>
        </w:tc>
        <w:tc>
          <w:tcPr>
            <w:tcW w:w="1100" w:type="dxa"/>
          </w:tcPr>
          <w:p w14:paraId="68885BB3" w14:textId="584DA61B" w:rsidR="00A54B7D" w:rsidRPr="00064BAE" w:rsidRDefault="00A54B7D" w:rsidP="00A54B7D">
            <w:pPr>
              <w:jc w:val="center"/>
              <w:rPr>
                <w:noProof/>
              </w:rPr>
            </w:pPr>
            <w:r>
              <w:rPr>
                <w:noProof/>
              </w:rPr>
              <w:t>0</w:t>
            </w:r>
          </w:p>
        </w:tc>
        <w:tc>
          <w:tcPr>
            <w:tcW w:w="1526" w:type="dxa"/>
          </w:tcPr>
          <w:p w14:paraId="5232E381" w14:textId="77777777" w:rsidR="00A54B7D" w:rsidRPr="00064BAE" w:rsidRDefault="00A54B7D" w:rsidP="00A54B7D">
            <w:pPr>
              <w:jc w:val="center"/>
              <w:rPr>
                <w:b/>
                <w:noProof/>
              </w:rPr>
            </w:pPr>
          </w:p>
        </w:tc>
        <w:tc>
          <w:tcPr>
            <w:tcW w:w="1532" w:type="dxa"/>
          </w:tcPr>
          <w:p w14:paraId="054EA0E9" w14:textId="07F30ED3" w:rsidR="00A54B7D" w:rsidRPr="00064BAE" w:rsidRDefault="00A54B7D" w:rsidP="00A54B7D">
            <w:pPr>
              <w:jc w:val="center"/>
              <w:rPr>
                <w:noProof/>
              </w:rPr>
            </w:pPr>
            <w:r>
              <w:rPr>
                <w:noProof/>
              </w:rPr>
              <w:t>Progress</w:t>
            </w:r>
          </w:p>
        </w:tc>
        <w:tc>
          <w:tcPr>
            <w:tcW w:w="1572" w:type="dxa"/>
          </w:tcPr>
          <w:p w14:paraId="347FC457" w14:textId="01842F44" w:rsidR="00A54B7D" w:rsidRPr="00064BAE" w:rsidRDefault="00A54B7D" w:rsidP="00A54B7D">
            <w:pPr>
              <w:jc w:val="center"/>
              <w:rPr>
                <w:noProof/>
              </w:rPr>
            </w:pPr>
            <w:r>
              <w:rPr>
                <w:noProof/>
              </w:rPr>
              <w:t>No results</w:t>
            </w:r>
          </w:p>
        </w:tc>
        <w:tc>
          <w:tcPr>
            <w:tcW w:w="1579" w:type="dxa"/>
          </w:tcPr>
          <w:p w14:paraId="249C1234" w14:textId="2FA75DAC" w:rsidR="00A54B7D" w:rsidRPr="00064BAE" w:rsidRDefault="00A54B7D" w:rsidP="00A54B7D">
            <w:pPr>
              <w:jc w:val="center"/>
              <w:rPr>
                <w:noProof/>
              </w:rPr>
            </w:pPr>
            <w:r>
              <w:rPr>
                <w:noProof/>
              </w:rPr>
              <w:t>No data</w:t>
            </w:r>
          </w:p>
        </w:tc>
      </w:tr>
      <w:tr w:rsidR="00A54B7D" w:rsidRPr="00064BAE" w14:paraId="733BBD37" w14:textId="77777777" w:rsidTr="00B202C2">
        <w:trPr>
          <w:cnfStyle w:val="000000100000" w:firstRow="0" w:lastRow="0" w:firstColumn="0" w:lastColumn="0" w:oddVBand="0" w:evenVBand="0" w:oddHBand="1" w:evenHBand="0" w:firstRowFirstColumn="0" w:firstRowLastColumn="0" w:lastRowFirstColumn="0" w:lastRowLastColumn="0"/>
        </w:trPr>
        <w:tc>
          <w:tcPr>
            <w:tcW w:w="2330" w:type="dxa"/>
          </w:tcPr>
          <w:p w14:paraId="627F2B09" w14:textId="77777777" w:rsidR="00A54B7D" w:rsidRPr="00064BAE" w:rsidRDefault="00A54B7D" w:rsidP="00A54B7D">
            <w:pPr>
              <w:rPr>
                <w:noProof/>
              </w:rPr>
            </w:pPr>
            <w:r w:rsidRPr="00B94B0C">
              <w:rPr>
                <w:noProof/>
              </w:rPr>
              <w:t>N</w:t>
            </w:r>
            <w:r>
              <w:rPr>
                <w:noProof/>
              </w:rPr>
              <w:t>umber</w:t>
            </w:r>
            <w:r w:rsidRPr="00B94B0C">
              <w:rPr>
                <w:noProof/>
              </w:rPr>
              <w:t xml:space="preserve"> of health impact assessments of Union policies</w:t>
            </w:r>
          </w:p>
        </w:tc>
        <w:tc>
          <w:tcPr>
            <w:tcW w:w="1100" w:type="dxa"/>
          </w:tcPr>
          <w:p w14:paraId="43A2D2A2" w14:textId="35EA38D2" w:rsidR="00A54B7D" w:rsidRPr="00064BAE" w:rsidRDefault="00A54B7D" w:rsidP="00A54B7D">
            <w:pPr>
              <w:jc w:val="center"/>
              <w:rPr>
                <w:noProof/>
              </w:rPr>
            </w:pPr>
            <w:r>
              <w:rPr>
                <w:noProof/>
              </w:rPr>
              <w:t>0</w:t>
            </w:r>
          </w:p>
        </w:tc>
        <w:tc>
          <w:tcPr>
            <w:tcW w:w="1526" w:type="dxa"/>
          </w:tcPr>
          <w:p w14:paraId="58776CF0" w14:textId="77777777" w:rsidR="00A54B7D" w:rsidRPr="00064BAE" w:rsidRDefault="00A54B7D" w:rsidP="00A54B7D">
            <w:pPr>
              <w:jc w:val="center"/>
              <w:rPr>
                <w:b/>
                <w:noProof/>
              </w:rPr>
            </w:pPr>
          </w:p>
        </w:tc>
        <w:tc>
          <w:tcPr>
            <w:tcW w:w="1532" w:type="dxa"/>
          </w:tcPr>
          <w:p w14:paraId="789B1617" w14:textId="70A905D2" w:rsidR="00A54B7D" w:rsidRPr="00064BAE" w:rsidRDefault="00A54B7D" w:rsidP="00A54B7D">
            <w:pPr>
              <w:jc w:val="center"/>
              <w:rPr>
                <w:noProof/>
              </w:rPr>
            </w:pPr>
            <w:r>
              <w:rPr>
                <w:noProof/>
              </w:rPr>
              <w:t xml:space="preserve">Progress </w:t>
            </w:r>
          </w:p>
        </w:tc>
        <w:tc>
          <w:tcPr>
            <w:tcW w:w="1572" w:type="dxa"/>
          </w:tcPr>
          <w:p w14:paraId="70AB6790" w14:textId="0E070874" w:rsidR="00A54B7D" w:rsidRPr="00064BAE" w:rsidRDefault="00A54B7D" w:rsidP="00A54B7D">
            <w:pPr>
              <w:jc w:val="center"/>
              <w:rPr>
                <w:noProof/>
              </w:rPr>
            </w:pPr>
            <w:r>
              <w:rPr>
                <w:noProof/>
              </w:rPr>
              <w:t>No results</w:t>
            </w:r>
          </w:p>
        </w:tc>
        <w:tc>
          <w:tcPr>
            <w:tcW w:w="1579" w:type="dxa"/>
          </w:tcPr>
          <w:p w14:paraId="7AB0FF36" w14:textId="1824AD81" w:rsidR="00A54B7D" w:rsidRPr="00064BAE" w:rsidRDefault="00A54B7D" w:rsidP="00A54B7D">
            <w:pPr>
              <w:jc w:val="center"/>
              <w:rPr>
                <w:noProof/>
              </w:rPr>
            </w:pPr>
            <w:r>
              <w:rPr>
                <w:noProof/>
              </w:rPr>
              <w:t>No data</w:t>
            </w:r>
          </w:p>
        </w:tc>
      </w:tr>
      <w:tr w:rsidR="00A54B7D" w:rsidRPr="00064BAE" w14:paraId="5B3738FE" w14:textId="77777777" w:rsidTr="00B202C2">
        <w:trPr>
          <w:cnfStyle w:val="000000010000" w:firstRow="0" w:lastRow="0" w:firstColumn="0" w:lastColumn="0" w:oddVBand="0" w:evenVBand="0" w:oddHBand="0" w:evenHBand="1" w:firstRowFirstColumn="0" w:firstRowLastColumn="0" w:lastRowFirstColumn="0" w:lastRowLastColumn="0"/>
        </w:trPr>
        <w:tc>
          <w:tcPr>
            <w:tcW w:w="2330" w:type="dxa"/>
          </w:tcPr>
          <w:p w14:paraId="55D6D7E5" w14:textId="77777777" w:rsidR="00A54B7D" w:rsidRPr="00064BAE" w:rsidRDefault="00A54B7D" w:rsidP="00A54B7D">
            <w:pPr>
              <w:rPr>
                <w:noProof/>
              </w:rPr>
            </w:pPr>
            <w:r w:rsidRPr="00B94B0C">
              <w:rPr>
                <w:noProof/>
              </w:rPr>
              <w:t>N</w:t>
            </w:r>
            <w:r>
              <w:rPr>
                <w:noProof/>
              </w:rPr>
              <w:t>umber</w:t>
            </w:r>
            <w:r w:rsidRPr="00B94B0C">
              <w:rPr>
                <w:noProof/>
              </w:rPr>
              <w:t xml:space="preserve"> of audits conducted in the Union and in third countries to ensure good manufacturing practices and good clinical practices (Union control)</w:t>
            </w:r>
          </w:p>
        </w:tc>
        <w:tc>
          <w:tcPr>
            <w:tcW w:w="1100" w:type="dxa"/>
          </w:tcPr>
          <w:p w14:paraId="2E256234" w14:textId="7592900D" w:rsidR="00A54B7D" w:rsidRPr="00064BAE" w:rsidRDefault="00A54B7D" w:rsidP="00A54B7D">
            <w:pPr>
              <w:jc w:val="center"/>
              <w:rPr>
                <w:noProof/>
              </w:rPr>
            </w:pPr>
            <w:r>
              <w:rPr>
                <w:noProof/>
              </w:rPr>
              <w:t>0</w:t>
            </w:r>
          </w:p>
        </w:tc>
        <w:tc>
          <w:tcPr>
            <w:tcW w:w="1526" w:type="dxa"/>
          </w:tcPr>
          <w:p w14:paraId="6B3541F3" w14:textId="77777777" w:rsidR="00A54B7D" w:rsidRPr="00064BAE" w:rsidRDefault="00A54B7D" w:rsidP="00A54B7D">
            <w:pPr>
              <w:jc w:val="center"/>
              <w:rPr>
                <w:b/>
                <w:noProof/>
              </w:rPr>
            </w:pPr>
          </w:p>
        </w:tc>
        <w:tc>
          <w:tcPr>
            <w:tcW w:w="1532" w:type="dxa"/>
          </w:tcPr>
          <w:p w14:paraId="752FF80B" w14:textId="200F40E3" w:rsidR="00A54B7D" w:rsidRPr="00064BAE" w:rsidRDefault="00A54B7D" w:rsidP="00A54B7D">
            <w:pPr>
              <w:jc w:val="center"/>
              <w:rPr>
                <w:noProof/>
              </w:rPr>
            </w:pPr>
            <w:r>
              <w:rPr>
                <w:noProof/>
              </w:rPr>
              <w:t>To be defined</w:t>
            </w:r>
          </w:p>
        </w:tc>
        <w:tc>
          <w:tcPr>
            <w:tcW w:w="1572" w:type="dxa"/>
          </w:tcPr>
          <w:p w14:paraId="4C4BA612" w14:textId="5551772B" w:rsidR="00A54B7D" w:rsidRPr="00064BAE" w:rsidRDefault="00A54B7D" w:rsidP="00A54B7D">
            <w:pPr>
              <w:jc w:val="center"/>
              <w:rPr>
                <w:noProof/>
              </w:rPr>
            </w:pPr>
            <w:r>
              <w:rPr>
                <w:noProof/>
              </w:rPr>
              <w:t>No results</w:t>
            </w:r>
          </w:p>
        </w:tc>
        <w:tc>
          <w:tcPr>
            <w:tcW w:w="1579" w:type="dxa"/>
          </w:tcPr>
          <w:p w14:paraId="0D2EE5EC" w14:textId="3BE2CE35" w:rsidR="00A54B7D" w:rsidRPr="00064BAE" w:rsidRDefault="00A54B7D" w:rsidP="00A54B7D">
            <w:pPr>
              <w:jc w:val="center"/>
              <w:rPr>
                <w:noProof/>
              </w:rPr>
            </w:pPr>
            <w:r>
              <w:rPr>
                <w:noProof/>
              </w:rPr>
              <w:t>No data</w:t>
            </w:r>
          </w:p>
        </w:tc>
      </w:tr>
      <w:tr w:rsidR="00A54B7D" w:rsidRPr="00064BAE" w14:paraId="20A0DF09" w14:textId="77777777" w:rsidTr="00B202C2">
        <w:trPr>
          <w:cnfStyle w:val="000000100000" w:firstRow="0" w:lastRow="0" w:firstColumn="0" w:lastColumn="0" w:oddVBand="0" w:evenVBand="0" w:oddHBand="1" w:evenHBand="0" w:firstRowFirstColumn="0" w:firstRowLastColumn="0" w:lastRowFirstColumn="0" w:lastRowLastColumn="0"/>
        </w:trPr>
        <w:tc>
          <w:tcPr>
            <w:tcW w:w="2330" w:type="dxa"/>
          </w:tcPr>
          <w:p w14:paraId="70925332" w14:textId="77777777" w:rsidR="00A54B7D" w:rsidRPr="00064BAE" w:rsidRDefault="00A54B7D" w:rsidP="00A54B7D">
            <w:pPr>
              <w:rPr>
                <w:noProof/>
              </w:rPr>
            </w:pPr>
            <w:r w:rsidRPr="00B94B0C">
              <w:rPr>
                <w:noProof/>
              </w:rPr>
              <w:t>N</w:t>
            </w:r>
            <w:r>
              <w:rPr>
                <w:noProof/>
              </w:rPr>
              <w:t>umber</w:t>
            </w:r>
            <w:r w:rsidRPr="00B94B0C">
              <w:rPr>
                <w:noProof/>
              </w:rPr>
              <w:t xml:space="preserve"> patients diagnosed and treated by the members of ERNs</w:t>
            </w:r>
          </w:p>
        </w:tc>
        <w:tc>
          <w:tcPr>
            <w:tcW w:w="1100" w:type="dxa"/>
          </w:tcPr>
          <w:p w14:paraId="388E86B9" w14:textId="12AD32AB" w:rsidR="00A54B7D" w:rsidRPr="00064BAE" w:rsidRDefault="00A54B7D" w:rsidP="00A54B7D">
            <w:pPr>
              <w:jc w:val="center"/>
              <w:rPr>
                <w:noProof/>
              </w:rPr>
            </w:pPr>
            <w:r>
              <w:rPr>
                <w:noProof/>
              </w:rPr>
              <w:t>0</w:t>
            </w:r>
          </w:p>
        </w:tc>
        <w:tc>
          <w:tcPr>
            <w:tcW w:w="1526" w:type="dxa"/>
          </w:tcPr>
          <w:p w14:paraId="4ED32DDD" w14:textId="77777777" w:rsidR="00A54B7D" w:rsidRPr="00064BAE" w:rsidRDefault="00A54B7D" w:rsidP="00A54B7D">
            <w:pPr>
              <w:jc w:val="center"/>
              <w:rPr>
                <w:b/>
                <w:noProof/>
              </w:rPr>
            </w:pPr>
          </w:p>
        </w:tc>
        <w:tc>
          <w:tcPr>
            <w:tcW w:w="1532" w:type="dxa"/>
          </w:tcPr>
          <w:p w14:paraId="16935C24" w14:textId="6FD8993C" w:rsidR="00A54B7D" w:rsidRPr="00064BAE" w:rsidRDefault="00A54B7D" w:rsidP="00A54B7D">
            <w:pPr>
              <w:jc w:val="center"/>
              <w:rPr>
                <w:noProof/>
              </w:rPr>
            </w:pPr>
            <w:r>
              <w:rPr>
                <w:noProof/>
              </w:rPr>
              <w:t>Progress</w:t>
            </w:r>
          </w:p>
        </w:tc>
        <w:tc>
          <w:tcPr>
            <w:tcW w:w="1572" w:type="dxa"/>
          </w:tcPr>
          <w:p w14:paraId="2E42974A" w14:textId="31AD5E99" w:rsidR="00A54B7D" w:rsidRPr="00064BAE" w:rsidRDefault="00A54B7D" w:rsidP="00A54B7D">
            <w:pPr>
              <w:jc w:val="center"/>
              <w:rPr>
                <w:noProof/>
              </w:rPr>
            </w:pPr>
            <w:r>
              <w:rPr>
                <w:noProof/>
              </w:rPr>
              <w:t>No results</w:t>
            </w:r>
          </w:p>
        </w:tc>
        <w:tc>
          <w:tcPr>
            <w:tcW w:w="1579" w:type="dxa"/>
          </w:tcPr>
          <w:p w14:paraId="4BB2ACED" w14:textId="66596EDB" w:rsidR="00A54B7D" w:rsidRPr="00064BAE" w:rsidRDefault="00A54B7D" w:rsidP="00A54B7D">
            <w:pPr>
              <w:jc w:val="center"/>
              <w:rPr>
                <w:noProof/>
              </w:rPr>
            </w:pPr>
            <w:r>
              <w:rPr>
                <w:noProof/>
              </w:rPr>
              <w:t>No data</w:t>
            </w:r>
          </w:p>
        </w:tc>
      </w:tr>
    </w:tbl>
    <w:p w14:paraId="56991510" w14:textId="77777777" w:rsidR="00C04EEB" w:rsidRPr="00064BAE" w:rsidRDefault="00C04EEB" w:rsidP="00C04EEB">
      <w:pPr>
        <w:pStyle w:val="FootnoteText"/>
        <w:rPr>
          <w:noProof/>
        </w:rPr>
      </w:pPr>
      <w:r w:rsidRPr="00064BAE">
        <w:rPr>
          <w:noProof/>
        </w:rPr>
        <w:t>(*) % of target achieved by the end of 2021.</w:t>
      </w:r>
    </w:p>
    <w:p w14:paraId="49C9FAE0" w14:textId="77777777" w:rsidR="00C04EEB" w:rsidRDefault="00C04EEB" w:rsidP="00C04EEB">
      <w:pPr>
        <w:pStyle w:val="FootnoteText"/>
        <w:spacing w:before="120"/>
        <w:rPr>
          <w:noProof/>
        </w:rPr>
      </w:pPr>
    </w:p>
    <w:p w14:paraId="64AA4B13" w14:textId="77777777" w:rsidR="00C04EEB" w:rsidRPr="00064BAE" w:rsidRDefault="00C04EEB" w:rsidP="00C04EEB">
      <w:pPr>
        <w:pStyle w:val="ppoListHyphened-L1"/>
        <w:rPr>
          <w:noProof/>
        </w:rPr>
      </w:pPr>
      <w:r w:rsidRPr="00064BAE">
        <w:rPr>
          <w:noProof/>
        </w:rPr>
        <w:t>2021 was the first year of implementation of the programme, and the 2021 work programme was adopted only 3</w:t>
      </w:r>
      <w:r w:rsidRPr="00064BAE">
        <w:rPr>
          <w:rFonts w:ascii="Calibri" w:hAnsi="Calibri" w:cs="Calibri"/>
          <w:noProof/>
        </w:rPr>
        <w:t> </w:t>
      </w:r>
      <w:r w:rsidRPr="00064BAE">
        <w:rPr>
          <w:noProof/>
        </w:rPr>
        <w:t>months after the adoption of the legal basis. In 2021, the processes for ensuring the functioning of the programme were put into operation.</w:t>
      </w:r>
    </w:p>
    <w:p w14:paraId="740F00B9" w14:textId="32258340" w:rsidR="00C04EEB" w:rsidRPr="00064BAE" w:rsidRDefault="00C04EEB" w:rsidP="00C04EEB">
      <w:pPr>
        <w:pStyle w:val="ppoListHyphened-L1"/>
        <w:rPr>
          <w:noProof/>
        </w:rPr>
      </w:pPr>
      <w:r w:rsidRPr="00064BAE">
        <w:rPr>
          <w:noProof/>
        </w:rPr>
        <w:t xml:space="preserve">More than one third of the funds (34.0%) were allocated to safeguard against, prepare for and respond to future health crises. Under the crisis preparedness strand, including aspects drawn from the experience of the COVID-19 pandemic, funded actions aim to enhance the preparedness of Member States for future health crises; to address medicine shortages; to support clinical trials for COVID-19 therapeutics; to improve the capacity to detect infectious diseases; and </w:t>
      </w:r>
      <w:r w:rsidR="00BA5DAF">
        <w:rPr>
          <w:noProof/>
        </w:rPr>
        <w:t>the</w:t>
      </w:r>
      <w:r w:rsidR="00BA5DAF" w:rsidRPr="00064BAE">
        <w:rPr>
          <w:noProof/>
        </w:rPr>
        <w:t xml:space="preserve"> </w:t>
      </w:r>
      <w:r w:rsidRPr="00064BAE">
        <w:rPr>
          <w:noProof/>
        </w:rPr>
        <w:t>prepar</w:t>
      </w:r>
      <w:r w:rsidR="00BA5DAF">
        <w:rPr>
          <w:noProof/>
        </w:rPr>
        <w:t>atory activities</w:t>
      </w:r>
      <w:r w:rsidRPr="00064BAE">
        <w:rPr>
          <w:noProof/>
        </w:rPr>
        <w:t xml:space="preserve"> </w:t>
      </w:r>
      <w:r w:rsidR="00BA5DAF">
        <w:rPr>
          <w:noProof/>
        </w:rPr>
        <w:t xml:space="preserve">for </w:t>
      </w:r>
      <w:r w:rsidRPr="00064BAE">
        <w:rPr>
          <w:noProof/>
        </w:rPr>
        <w:t>the Health Emergency Preparedness and Response Authority.</w:t>
      </w:r>
    </w:p>
    <w:p w14:paraId="7E9BBDD4" w14:textId="77777777" w:rsidR="00C04EEB" w:rsidRPr="00064BAE" w:rsidRDefault="00C04EEB" w:rsidP="00C04EEB">
      <w:pPr>
        <w:pStyle w:val="ppoListHyphened-L1"/>
        <w:rPr>
          <w:noProof/>
        </w:rPr>
      </w:pPr>
      <w:r w:rsidRPr="00064BAE">
        <w:rPr>
          <w:noProof/>
        </w:rPr>
        <w:t xml:space="preserve">Roughly another third (32.5%) of the 2021 work programme budget is aimed at action under the disease prevention and health promotion strand, including the flagship initiatives of Europe’s beating cancer plan on the prevention and detection of cancer, and at collecting, sharing and implementing best practices on health promotion and the prevention of non-communicable diseases, along with related risk factors. In addition, the 2021 work programme </w:t>
      </w:r>
      <w:bookmarkStart w:id="119" w:name="_Hlk101535187"/>
      <w:r w:rsidRPr="00064BAE">
        <w:rPr>
          <w:noProof/>
        </w:rPr>
        <w:t xml:space="preserve">supported the </w:t>
      </w:r>
      <w:bookmarkStart w:id="120" w:name="_Hlk101535581"/>
      <w:r w:rsidRPr="00064BAE">
        <w:rPr>
          <w:noProof/>
        </w:rPr>
        <w:t>creation of a</w:t>
      </w:r>
      <w:r>
        <w:rPr>
          <w:noProof/>
        </w:rPr>
        <w:t>n online</w:t>
      </w:r>
      <w:r w:rsidRPr="00064BAE">
        <w:rPr>
          <w:noProof/>
        </w:rPr>
        <w:t xml:space="preserve"> </w:t>
      </w:r>
      <w:bookmarkStart w:id="121" w:name="_Hlk101534963"/>
      <w:bookmarkEnd w:id="119"/>
      <w:r w:rsidRPr="00064BAE">
        <w:rPr>
          <w:noProof/>
        </w:rPr>
        <w:t>disease knowledge gate</w:t>
      </w:r>
      <w:bookmarkEnd w:id="120"/>
      <w:bookmarkEnd w:id="121"/>
      <w:r w:rsidRPr="00064BAE">
        <w:rPr>
          <w:noProof/>
        </w:rPr>
        <w:t xml:space="preserve"> and the implementation of the tobacco products directive. These interventions will contribute to improving and fostering health in the EU, reducing inequalities, promoting healthy lifestyles and improving access to healthcare.</w:t>
      </w:r>
    </w:p>
    <w:p w14:paraId="37CE5B56" w14:textId="77777777" w:rsidR="00C04EEB" w:rsidRPr="00064BAE" w:rsidRDefault="00C04EEB" w:rsidP="00C04EEB">
      <w:pPr>
        <w:pStyle w:val="ppoListHyphened-L1"/>
        <w:rPr>
          <w:noProof/>
        </w:rPr>
      </w:pPr>
      <w:r w:rsidRPr="00064BAE">
        <w:rPr>
          <w:noProof/>
        </w:rPr>
        <w:t>Action on health systems and the health workforce, with a budget of EUR</w:t>
      </w:r>
      <w:r w:rsidRPr="00064BAE">
        <w:rPr>
          <w:rFonts w:ascii="Calibri" w:hAnsi="Calibri" w:cs="Calibri"/>
          <w:noProof/>
        </w:rPr>
        <w:t> </w:t>
      </w:r>
      <w:r w:rsidRPr="00064BAE">
        <w:rPr>
          <w:noProof/>
        </w:rPr>
        <w:t>68.5</w:t>
      </w:r>
      <w:r w:rsidRPr="00064BAE">
        <w:rPr>
          <w:rFonts w:ascii="Calibri" w:hAnsi="Calibri" w:cs="Calibri"/>
          <w:noProof/>
        </w:rPr>
        <w:t> </w:t>
      </w:r>
      <w:r w:rsidRPr="00064BAE">
        <w:rPr>
          <w:noProof/>
        </w:rPr>
        <w:t>million, was directed towards strengthening national health systems; implementing the new pharmaceutical strategy for Europe and legislation on pharmaceutical and medical devices; and improving the European reference networks.</w:t>
      </w:r>
    </w:p>
    <w:p w14:paraId="0292CCAF" w14:textId="77777777" w:rsidR="00C04EEB" w:rsidRPr="00064BAE" w:rsidRDefault="00C04EEB" w:rsidP="00C04EEB">
      <w:pPr>
        <w:pStyle w:val="ppoListHyphened-L1"/>
        <w:rPr>
          <w:noProof/>
        </w:rPr>
      </w:pPr>
      <w:r w:rsidRPr="00064BAE">
        <w:rPr>
          <w:noProof/>
        </w:rPr>
        <w:t>The digital strand has been allocated around EUR</w:t>
      </w:r>
      <w:r w:rsidRPr="00064BAE">
        <w:rPr>
          <w:rFonts w:ascii="Calibri" w:hAnsi="Calibri" w:cs="Calibri"/>
          <w:noProof/>
        </w:rPr>
        <w:t> </w:t>
      </w:r>
      <w:r w:rsidRPr="00064BAE">
        <w:rPr>
          <w:noProof/>
        </w:rPr>
        <w:t>32</w:t>
      </w:r>
      <w:r w:rsidRPr="00064BAE">
        <w:rPr>
          <w:rFonts w:ascii="Calibri" w:hAnsi="Calibri" w:cs="Calibri"/>
          <w:noProof/>
        </w:rPr>
        <w:t> </w:t>
      </w:r>
      <w:r w:rsidRPr="00064BAE">
        <w:rPr>
          <w:noProof/>
        </w:rPr>
        <w:t>million to establish the European health data space, involving the infrastructure and the governance of primary and secondary use of data. Patient access and data interoperability will be supported. This is a first critical investment in advancing the digital transformation of health systems to complement healthcare and make it more effective.</w:t>
      </w:r>
    </w:p>
    <w:p w14:paraId="54C31244" w14:textId="77777777" w:rsidR="00C04EEB" w:rsidRPr="00064BAE" w:rsidRDefault="00C04EEB" w:rsidP="00C04EEB">
      <w:pPr>
        <w:pStyle w:val="ppoHeading4Green"/>
        <w:rPr>
          <w:noProof/>
        </w:rPr>
      </w:pPr>
      <w:r w:rsidRPr="00064BAE">
        <w:rPr>
          <w:noProof/>
        </w:rPr>
        <w:t>2014-2020 multiannual financial framework</w:t>
      </w:r>
      <w:r w:rsidRPr="00064BAE">
        <w:rPr>
          <w:rFonts w:ascii="Calibri" w:hAnsi="Calibri" w:cs="Calibri"/>
          <w:noProof/>
        </w:rPr>
        <w:t> </w:t>
      </w:r>
      <w:r w:rsidRPr="00064BAE">
        <w:rPr>
          <w:noProof/>
        </w:rPr>
        <w:t>– health programme</w:t>
      </w:r>
    </w:p>
    <w:p w14:paraId="5AA0997D" w14:textId="77777777" w:rsidR="00C04EEB" w:rsidRPr="00064BAE" w:rsidRDefault="00C04EEB" w:rsidP="00C04EEB">
      <w:pPr>
        <w:rPr>
          <w:rFonts w:eastAsiaTheme="minorEastAsia"/>
          <w:noProof/>
        </w:rPr>
      </w:pPr>
      <w:r w:rsidRPr="00064BAE">
        <w:rPr>
          <w:rFonts w:eastAsiaTheme="minorEastAsia"/>
          <w:noProof/>
        </w:rPr>
        <w:t>The third programme for EU action in the area of health (2014-2020) is a financial instrument for policy coordination at EU level. It aims to complement, support and add value to Member States’ policies for improving the health of their citizens, reducing health inequalities, encouraging innovation in health and increasing the sustainability of their health systems.</w:t>
      </w:r>
    </w:p>
    <w:p w14:paraId="5E2D38A2" w14:textId="77777777" w:rsidR="00C04EEB" w:rsidRPr="00064BAE" w:rsidRDefault="00C04EEB" w:rsidP="00C04EEB">
      <w:pPr>
        <w:pStyle w:val="ppoHeading5"/>
        <w:rPr>
          <w:noProof/>
        </w:rPr>
      </w:pPr>
      <w:r w:rsidRPr="00064BAE">
        <w:rPr>
          <w:noProof/>
        </w:rPr>
        <w:t>Budget</w:t>
      </w:r>
    </w:p>
    <w:p w14:paraId="07E29218" w14:textId="77777777" w:rsidR="00C04EEB" w:rsidRPr="00064BAE" w:rsidRDefault="00C04EEB" w:rsidP="00C04EEB">
      <w:pPr>
        <w:spacing w:before="120" w:after="120"/>
        <w:rPr>
          <w:noProof/>
        </w:rPr>
      </w:pPr>
      <w:r w:rsidRPr="00064BAE">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C04EEB" w:rsidRPr="00064BAE" w14:paraId="53604627" w14:textId="77777777" w:rsidTr="00B20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1A0B6422" w14:textId="77777777" w:rsidR="00C04EEB" w:rsidRPr="00064BAE" w:rsidRDefault="00C04EEB" w:rsidP="00B202C2">
            <w:pPr>
              <w:rPr>
                <w:noProof/>
              </w:rPr>
            </w:pPr>
          </w:p>
        </w:tc>
        <w:tc>
          <w:tcPr>
            <w:tcW w:w="2410" w:type="dxa"/>
          </w:tcPr>
          <w:p w14:paraId="420D35C8" w14:textId="77777777" w:rsidR="00C04EEB" w:rsidRPr="00064BAE" w:rsidRDefault="00C04EEB" w:rsidP="00B202C2">
            <w:pPr>
              <w:cnfStyle w:val="100000000000" w:firstRow="1" w:lastRow="0" w:firstColumn="0" w:lastColumn="0" w:oddVBand="0" w:evenVBand="0" w:oddHBand="0" w:evenHBand="0" w:firstRowFirstColumn="0" w:firstRowLastColumn="0" w:lastRowFirstColumn="0" w:lastRowLastColumn="0"/>
              <w:rPr>
                <w:noProof/>
              </w:rPr>
            </w:pPr>
            <w:r w:rsidRPr="00064BAE">
              <w:rPr>
                <w:noProof/>
              </w:rPr>
              <w:t>Implementation</w:t>
            </w:r>
          </w:p>
        </w:tc>
        <w:tc>
          <w:tcPr>
            <w:tcW w:w="2410" w:type="dxa"/>
          </w:tcPr>
          <w:p w14:paraId="0FD513CC" w14:textId="26E1444E" w:rsidR="00C04EEB" w:rsidRPr="00064BAE" w:rsidRDefault="00A84801" w:rsidP="00B202C2">
            <w:pPr>
              <w:cnfStyle w:val="100000000000" w:firstRow="1" w:lastRow="0" w:firstColumn="0" w:lastColumn="0" w:oddVBand="0" w:evenVBand="0" w:oddHBand="0" w:evenHBand="0" w:firstRowFirstColumn="0" w:firstRowLastColumn="0" w:lastRowFirstColumn="0" w:lastRowLastColumn="0"/>
              <w:rPr>
                <w:noProof/>
              </w:rPr>
            </w:pPr>
            <w:r>
              <w:rPr>
                <w:noProof/>
                <w:lang w:val="en-IE"/>
              </w:rPr>
              <w:t xml:space="preserve">2014-2020 </w:t>
            </w:r>
            <w:r w:rsidR="00C04EEB" w:rsidRPr="00064BAE">
              <w:rPr>
                <w:noProof/>
              </w:rPr>
              <w:t>Budget</w:t>
            </w:r>
          </w:p>
        </w:tc>
        <w:tc>
          <w:tcPr>
            <w:tcW w:w="2410" w:type="dxa"/>
          </w:tcPr>
          <w:p w14:paraId="7C65404A" w14:textId="77777777" w:rsidR="00C04EEB" w:rsidRPr="00064BAE" w:rsidRDefault="00C04EEB" w:rsidP="00B202C2">
            <w:pPr>
              <w:cnfStyle w:val="100000000000" w:firstRow="1" w:lastRow="0" w:firstColumn="0" w:lastColumn="0" w:oddVBand="0" w:evenVBand="0" w:oddHBand="0" w:evenHBand="0" w:firstRowFirstColumn="0" w:firstRowLastColumn="0" w:lastRowFirstColumn="0" w:lastRowLastColumn="0"/>
              <w:rPr>
                <w:noProof/>
              </w:rPr>
            </w:pPr>
            <w:r w:rsidRPr="00064BAE">
              <w:rPr>
                <w:noProof/>
              </w:rPr>
              <w:t>Implementation rate</w:t>
            </w:r>
          </w:p>
        </w:tc>
      </w:tr>
      <w:tr w:rsidR="00C04EEB" w:rsidRPr="00064BAE" w14:paraId="756167C1"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2F7015F8" w14:textId="77777777" w:rsidR="00C04EEB" w:rsidRPr="00064BAE" w:rsidRDefault="00C04EEB" w:rsidP="00B202C2">
            <w:pPr>
              <w:jc w:val="center"/>
              <w:rPr>
                <w:noProof/>
              </w:rPr>
            </w:pPr>
            <w:r w:rsidRPr="00064BAE">
              <w:rPr>
                <w:noProof/>
              </w:rPr>
              <w:t>Commitments</w:t>
            </w:r>
          </w:p>
        </w:tc>
        <w:tc>
          <w:tcPr>
            <w:tcW w:w="2410" w:type="dxa"/>
          </w:tcPr>
          <w:tbl>
            <w:tblPr>
              <w:tblStyle w:val="TableGrid"/>
              <w:tblW w:w="0" w:type="auto"/>
              <w:tblLook w:val="06A0" w:firstRow="1" w:lastRow="0" w:firstColumn="1" w:lastColumn="0" w:noHBand="1" w:noVBand="1"/>
            </w:tblPr>
            <w:tblGrid>
              <w:gridCol w:w="2194"/>
            </w:tblGrid>
            <w:tr w:rsidR="00C04EEB" w:rsidRPr="00064BAE" w14:paraId="0F21BB19" w14:textId="77777777" w:rsidTr="00B202C2">
              <w:trPr>
                <w:trHeight w:val="285"/>
              </w:trPr>
              <w:tc>
                <w:tcPr>
                  <w:tcW w:w="2290" w:type="dxa"/>
                  <w:tcBorders>
                    <w:top w:val="nil"/>
                    <w:left w:val="nil"/>
                    <w:bottom w:val="nil"/>
                    <w:right w:val="nil"/>
                  </w:tcBorders>
                  <w:vAlign w:val="bottom"/>
                </w:tcPr>
                <w:p w14:paraId="7A078FBA" w14:textId="77777777" w:rsidR="00C04EEB" w:rsidRPr="00064BAE" w:rsidRDefault="00C04EEB" w:rsidP="00B202C2">
                  <w:pPr>
                    <w:jc w:val="right"/>
                    <w:rPr>
                      <w:noProof/>
                    </w:rPr>
                  </w:pPr>
                  <w:r w:rsidRPr="00064BAE">
                    <w:rPr>
                      <w:rFonts w:ascii="Calibri" w:hAnsi="Calibri" w:cs="Calibri"/>
                      <w:noProof/>
                      <w:color w:val="000000"/>
                    </w:rPr>
                    <w:t>452.1</w:t>
                  </w:r>
                </w:p>
              </w:tc>
            </w:tr>
          </w:tbl>
          <w:p w14:paraId="1C13708C" w14:textId="77777777" w:rsidR="00C04EEB" w:rsidRPr="00064BAE" w:rsidRDefault="00C04EEB"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C04EEB" w:rsidRPr="00064BAE" w14:paraId="6BC67348" w14:textId="77777777" w:rsidTr="00B202C2">
              <w:trPr>
                <w:trHeight w:val="285"/>
              </w:trPr>
              <w:tc>
                <w:tcPr>
                  <w:tcW w:w="2290" w:type="dxa"/>
                  <w:tcBorders>
                    <w:top w:val="nil"/>
                    <w:left w:val="nil"/>
                    <w:bottom w:val="nil"/>
                    <w:right w:val="nil"/>
                  </w:tcBorders>
                  <w:vAlign w:val="bottom"/>
                </w:tcPr>
                <w:p w14:paraId="30D162C2" w14:textId="642900AB" w:rsidR="00C04EEB" w:rsidRPr="00064BAE" w:rsidRDefault="00C04EEB" w:rsidP="00B202C2">
                  <w:pPr>
                    <w:jc w:val="right"/>
                    <w:rPr>
                      <w:noProof/>
                    </w:rPr>
                  </w:pPr>
                  <w:r w:rsidRPr="00064BAE">
                    <w:rPr>
                      <w:rFonts w:ascii="Calibri" w:hAnsi="Calibri" w:cs="Calibri"/>
                      <w:noProof/>
                      <w:color w:val="000000"/>
                    </w:rPr>
                    <w:t>452.</w:t>
                  </w:r>
                </w:p>
              </w:tc>
            </w:tr>
          </w:tbl>
          <w:p w14:paraId="374183F2" w14:textId="77777777" w:rsidR="00C04EEB" w:rsidRPr="00064BAE" w:rsidRDefault="00C04EEB"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C04EEB" w:rsidRPr="00064BAE" w14:paraId="45088FAE" w14:textId="77777777" w:rsidTr="00B202C2">
              <w:trPr>
                <w:trHeight w:val="285"/>
              </w:trPr>
              <w:tc>
                <w:tcPr>
                  <w:tcW w:w="2290" w:type="dxa"/>
                  <w:tcBorders>
                    <w:top w:val="nil"/>
                    <w:left w:val="nil"/>
                    <w:bottom w:val="nil"/>
                    <w:right w:val="nil"/>
                  </w:tcBorders>
                  <w:vAlign w:val="bottom"/>
                </w:tcPr>
                <w:p w14:paraId="676FBF3E" w14:textId="77777777" w:rsidR="00C04EEB" w:rsidRPr="00064BAE" w:rsidRDefault="00C04EEB" w:rsidP="00B202C2">
                  <w:pPr>
                    <w:jc w:val="right"/>
                    <w:rPr>
                      <w:noProof/>
                    </w:rPr>
                  </w:pPr>
                  <w:r w:rsidRPr="00064BAE">
                    <w:rPr>
                      <w:rFonts w:ascii="Calibri" w:hAnsi="Calibri" w:cs="Calibri"/>
                      <w:noProof/>
                      <w:color w:val="000000"/>
                    </w:rPr>
                    <w:t>100%</w:t>
                  </w:r>
                </w:p>
              </w:tc>
            </w:tr>
          </w:tbl>
          <w:p w14:paraId="747CDE19" w14:textId="77777777" w:rsidR="00C04EEB" w:rsidRPr="00064BAE" w:rsidRDefault="00C04EEB" w:rsidP="00B202C2">
            <w:pPr>
              <w:jc w:val="center"/>
              <w:cnfStyle w:val="000000000000" w:firstRow="0" w:lastRow="0" w:firstColumn="0" w:lastColumn="0" w:oddVBand="0" w:evenVBand="0" w:oddHBand="0" w:evenHBand="0" w:firstRowFirstColumn="0" w:firstRowLastColumn="0" w:lastRowFirstColumn="0" w:lastRowLastColumn="0"/>
              <w:rPr>
                <w:noProof/>
              </w:rPr>
            </w:pPr>
          </w:p>
        </w:tc>
      </w:tr>
      <w:tr w:rsidR="00C04EEB" w:rsidRPr="00064BAE" w14:paraId="4F1DE9AC"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34D64EED" w14:textId="77777777" w:rsidR="00C04EEB" w:rsidRPr="00064BAE" w:rsidRDefault="00C04EEB" w:rsidP="00B202C2">
            <w:pPr>
              <w:jc w:val="center"/>
              <w:rPr>
                <w:noProof/>
              </w:rPr>
            </w:pPr>
            <w:r w:rsidRPr="00064BAE">
              <w:rPr>
                <w:noProof/>
              </w:rPr>
              <w:t>Payments</w:t>
            </w:r>
          </w:p>
        </w:tc>
        <w:tc>
          <w:tcPr>
            <w:tcW w:w="2410" w:type="dxa"/>
          </w:tcPr>
          <w:tbl>
            <w:tblPr>
              <w:tblStyle w:val="TableGrid"/>
              <w:tblW w:w="0" w:type="auto"/>
              <w:tblLook w:val="06A0" w:firstRow="1" w:lastRow="0" w:firstColumn="1" w:lastColumn="0" w:noHBand="1" w:noVBand="1"/>
            </w:tblPr>
            <w:tblGrid>
              <w:gridCol w:w="2194"/>
            </w:tblGrid>
            <w:tr w:rsidR="00C04EEB" w:rsidRPr="00064BAE" w14:paraId="0C397497" w14:textId="77777777" w:rsidTr="00B202C2">
              <w:trPr>
                <w:trHeight w:val="285"/>
              </w:trPr>
              <w:tc>
                <w:tcPr>
                  <w:tcW w:w="2290" w:type="dxa"/>
                  <w:tcBorders>
                    <w:top w:val="nil"/>
                    <w:left w:val="nil"/>
                    <w:bottom w:val="nil"/>
                    <w:right w:val="nil"/>
                  </w:tcBorders>
                  <w:vAlign w:val="bottom"/>
                </w:tcPr>
                <w:p w14:paraId="1C9E9EA9" w14:textId="77777777" w:rsidR="00C04EEB" w:rsidRPr="00064BAE" w:rsidRDefault="00C04EEB" w:rsidP="00B202C2">
                  <w:pPr>
                    <w:jc w:val="right"/>
                    <w:rPr>
                      <w:noProof/>
                    </w:rPr>
                  </w:pPr>
                  <w:r w:rsidRPr="00064BAE">
                    <w:rPr>
                      <w:rFonts w:ascii="Calibri" w:hAnsi="Calibri" w:cs="Calibri"/>
                      <w:noProof/>
                      <w:color w:val="000000"/>
                    </w:rPr>
                    <w:t>352.3</w:t>
                  </w:r>
                </w:p>
              </w:tc>
            </w:tr>
          </w:tbl>
          <w:p w14:paraId="133A8B5E" w14:textId="77777777" w:rsidR="00C04EEB" w:rsidRPr="00064BAE" w:rsidRDefault="00C04EEB"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480145B4" w14:textId="77777777" w:rsidR="00C04EEB" w:rsidRPr="00064BAE" w:rsidRDefault="00C04EEB"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C04EEB" w:rsidRPr="00064BAE" w14:paraId="541A90C3" w14:textId="77777777" w:rsidTr="00B202C2">
              <w:trPr>
                <w:trHeight w:val="285"/>
              </w:trPr>
              <w:tc>
                <w:tcPr>
                  <w:tcW w:w="2235" w:type="dxa"/>
                  <w:tcBorders>
                    <w:top w:val="nil"/>
                    <w:left w:val="nil"/>
                    <w:bottom w:val="nil"/>
                    <w:right w:val="nil"/>
                  </w:tcBorders>
                  <w:vAlign w:val="bottom"/>
                </w:tcPr>
                <w:p w14:paraId="73DBD8D6" w14:textId="77777777" w:rsidR="00C04EEB" w:rsidRPr="00064BAE" w:rsidRDefault="00C04EEB" w:rsidP="00B202C2">
                  <w:pPr>
                    <w:jc w:val="right"/>
                    <w:rPr>
                      <w:noProof/>
                    </w:rPr>
                  </w:pPr>
                  <w:r w:rsidRPr="00064BAE">
                    <w:rPr>
                      <w:rFonts w:ascii="Calibri" w:hAnsi="Calibri" w:cs="Calibri"/>
                      <w:noProof/>
                      <w:color w:val="000000"/>
                    </w:rPr>
                    <w:t>78%</w:t>
                  </w:r>
                </w:p>
              </w:tc>
            </w:tr>
          </w:tbl>
          <w:p w14:paraId="1A306EF8" w14:textId="77777777" w:rsidR="00C04EEB" w:rsidRPr="00064BAE" w:rsidRDefault="00C04EEB" w:rsidP="00B202C2">
            <w:pPr>
              <w:jc w:val="center"/>
              <w:cnfStyle w:val="000000000000" w:firstRow="0" w:lastRow="0" w:firstColumn="0" w:lastColumn="0" w:oddVBand="0" w:evenVBand="0" w:oddHBand="0" w:evenHBand="0" w:firstRowFirstColumn="0" w:firstRowLastColumn="0" w:lastRowFirstColumn="0" w:lastRowLastColumn="0"/>
              <w:rPr>
                <w:noProof/>
              </w:rPr>
            </w:pPr>
          </w:p>
        </w:tc>
      </w:tr>
    </w:tbl>
    <w:p w14:paraId="499A538F" w14:textId="77777777" w:rsidR="00C04EEB" w:rsidRPr="00064BAE" w:rsidRDefault="00C04EEB" w:rsidP="00C04EEB">
      <w:pPr>
        <w:rPr>
          <w:rFonts w:eastAsiaTheme="minorEastAsia"/>
          <w:noProof/>
        </w:rPr>
      </w:pPr>
    </w:p>
    <w:p w14:paraId="40847A41" w14:textId="7419F0CA" w:rsidR="00C04EEB" w:rsidRPr="00064BAE" w:rsidRDefault="00C04EEB" w:rsidP="00C04EEB">
      <w:pPr>
        <w:pStyle w:val="ppoListHyphened-L1"/>
        <w:rPr>
          <w:noProof/>
        </w:rPr>
      </w:pPr>
      <w:r w:rsidRPr="00064BAE">
        <w:rPr>
          <w:noProof/>
        </w:rPr>
        <w:t>The entire budget (EUR</w:t>
      </w:r>
      <w:r w:rsidRPr="00064BAE">
        <w:rPr>
          <w:rFonts w:ascii="Calibri" w:hAnsi="Calibri" w:cs="Calibri"/>
          <w:noProof/>
        </w:rPr>
        <w:t> </w:t>
      </w:r>
      <w:r w:rsidRPr="00064BAE">
        <w:rPr>
          <w:noProof/>
        </w:rPr>
        <w:t>452.3</w:t>
      </w:r>
      <w:r w:rsidR="00BA5DAF">
        <w:rPr>
          <w:noProof/>
        </w:rPr>
        <w:t>5</w:t>
      </w:r>
      <w:r w:rsidRPr="00064BAE">
        <w:rPr>
          <w:noProof/>
        </w:rPr>
        <w:t xml:space="preserve"> million for 2014-2020) was committed by the first quarter of 2021 through projects and other actions pursuing the programme’s objectives.</w:t>
      </w:r>
    </w:p>
    <w:p w14:paraId="3552D945" w14:textId="77777777" w:rsidR="00C04EEB" w:rsidRPr="00064BAE" w:rsidRDefault="00C04EEB" w:rsidP="00C04EEB">
      <w:pPr>
        <w:pStyle w:val="ppoListHyphened-L1"/>
        <w:rPr>
          <w:noProof/>
        </w:rPr>
      </w:pPr>
      <w:r w:rsidRPr="00064BAE">
        <w:rPr>
          <w:noProof/>
        </w:rPr>
        <w:t>By the end of 2021, 78% of the total budget (i.e. EUR</w:t>
      </w:r>
      <w:r w:rsidRPr="00064BAE">
        <w:rPr>
          <w:rFonts w:ascii="Calibri" w:hAnsi="Calibri" w:cs="Calibri"/>
          <w:noProof/>
        </w:rPr>
        <w:t> </w:t>
      </w:r>
      <w:r w:rsidRPr="00064BAE">
        <w:rPr>
          <w:noProof/>
        </w:rPr>
        <w:t>352.3</w:t>
      </w:r>
      <w:r w:rsidRPr="00064BAE">
        <w:rPr>
          <w:rFonts w:ascii="Calibri" w:hAnsi="Calibri" w:cs="Calibri"/>
          <w:noProof/>
        </w:rPr>
        <w:t> </w:t>
      </w:r>
      <w:r w:rsidRPr="00064BAE">
        <w:rPr>
          <w:noProof/>
        </w:rPr>
        <w:t>million) had been paid to participants and/or beneficiaries or for the procurement of necessary services. The outstanding payments (22% of the budget, or EUR</w:t>
      </w:r>
      <w:r w:rsidRPr="00064BAE">
        <w:rPr>
          <w:rFonts w:ascii="Calibri" w:hAnsi="Calibri" w:cs="Calibri"/>
          <w:noProof/>
        </w:rPr>
        <w:t> </w:t>
      </w:r>
      <w:r w:rsidRPr="00064BAE">
        <w:rPr>
          <w:noProof/>
        </w:rPr>
        <w:t>99.8</w:t>
      </w:r>
      <w:r w:rsidRPr="00064BAE">
        <w:rPr>
          <w:rFonts w:ascii="Calibri" w:hAnsi="Calibri" w:cs="Calibri"/>
          <w:noProof/>
        </w:rPr>
        <w:t> </w:t>
      </w:r>
      <w:r w:rsidRPr="00064BAE">
        <w:rPr>
          <w:noProof/>
        </w:rPr>
        <w:t>million) are for projects or actions launched in the last 2-3</w:t>
      </w:r>
      <w:r w:rsidRPr="00064BAE">
        <w:rPr>
          <w:rFonts w:ascii="Calibri" w:hAnsi="Calibri" w:cs="Calibri"/>
          <w:noProof/>
        </w:rPr>
        <w:t> </w:t>
      </w:r>
      <w:r w:rsidRPr="00064BAE">
        <w:rPr>
          <w:noProof/>
        </w:rPr>
        <w:t>years of the 2014-2020 multiannual financial framework, which have not yet been completed and therefore have not led to final payments by the Commission.</w:t>
      </w:r>
    </w:p>
    <w:p w14:paraId="4665F4BF" w14:textId="77777777" w:rsidR="00C04EEB" w:rsidRPr="00064BAE" w:rsidRDefault="00C04EEB" w:rsidP="00C04EEB">
      <w:pPr>
        <w:pStyle w:val="ppoHeading5"/>
        <w:rPr>
          <w:noProof/>
        </w:rPr>
      </w:pPr>
      <w:bookmarkStart w:id="122" w:name="_Toc94522865"/>
      <w:r w:rsidRPr="00064BAE">
        <w:rPr>
          <w:noProof/>
        </w:rPr>
        <w:t>Performance assessment</w:t>
      </w:r>
      <w:bookmarkEnd w:id="122"/>
    </w:p>
    <w:p w14:paraId="506B2491" w14:textId="77777777" w:rsidR="00C04EEB" w:rsidRPr="00064BAE" w:rsidRDefault="00C04EEB" w:rsidP="00C04EEB">
      <w:pPr>
        <w:pStyle w:val="ppoHeading6"/>
        <w:rPr>
          <w:noProof/>
        </w:rPr>
      </w:pPr>
      <w:bookmarkStart w:id="123" w:name="_Toc94522866"/>
      <w:r w:rsidRPr="00064BAE">
        <w:rPr>
          <w:noProof/>
        </w:rPr>
        <w:t>Key performance indicators</w:t>
      </w:r>
      <w:bookmarkEnd w:id="123"/>
    </w:p>
    <w:tbl>
      <w:tblPr>
        <w:tblStyle w:val="PPO2021"/>
        <w:tblW w:w="9639" w:type="dxa"/>
        <w:tblInd w:w="0" w:type="dxa"/>
        <w:tblLook w:val="0420" w:firstRow="1" w:lastRow="0" w:firstColumn="0" w:lastColumn="0" w:noHBand="0" w:noVBand="1"/>
      </w:tblPr>
      <w:tblGrid>
        <w:gridCol w:w="2260"/>
        <w:gridCol w:w="1111"/>
        <w:gridCol w:w="1540"/>
        <w:gridCol w:w="1547"/>
        <w:gridCol w:w="1587"/>
        <w:gridCol w:w="1594"/>
      </w:tblGrid>
      <w:tr w:rsidR="00C04EEB" w:rsidRPr="00064BAE" w14:paraId="23BEABA1" w14:textId="77777777" w:rsidTr="00B202C2">
        <w:trPr>
          <w:cnfStyle w:val="100000000000" w:firstRow="1" w:lastRow="0" w:firstColumn="0" w:lastColumn="0" w:oddVBand="0" w:evenVBand="0" w:oddHBand="0" w:evenHBand="0" w:firstRowFirstColumn="0" w:firstRowLastColumn="0" w:lastRowFirstColumn="0" w:lastRowLastColumn="0"/>
        </w:trPr>
        <w:tc>
          <w:tcPr>
            <w:tcW w:w="2260" w:type="dxa"/>
          </w:tcPr>
          <w:p w14:paraId="3966BF12" w14:textId="77777777" w:rsidR="00C04EEB" w:rsidRPr="00064BAE" w:rsidRDefault="00C04EEB" w:rsidP="00B202C2">
            <w:pPr>
              <w:rPr>
                <w:noProof/>
              </w:rPr>
            </w:pPr>
          </w:p>
        </w:tc>
        <w:tc>
          <w:tcPr>
            <w:tcW w:w="1111" w:type="dxa"/>
          </w:tcPr>
          <w:p w14:paraId="35BCDAB3" w14:textId="77777777" w:rsidR="00C04EEB" w:rsidRPr="00064BAE" w:rsidRDefault="00C04EEB" w:rsidP="00B202C2">
            <w:pPr>
              <w:rPr>
                <w:noProof/>
              </w:rPr>
            </w:pPr>
            <w:r w:rsidRPr="00064BAE">
              <w:rPr>
                <w:noProof/>
              </w:rPr>
              <w:t>Baseline</w:t>
            </w:r>
          </w:p>
        </w:tc>
        <w:tc>
          <w:tcPr>
            <w:tcW w:w="1540" w:type="dxa"/>
          </w:tcPr>
          <w:p w14:paraId="291ED19B" w14:textId="77777777" w:rsidR="00C04EEB" w:rsidRPr="00064BAE" w:rsidRDefault="00C04EEB" w:rsidP="00B202C2">
            <w:pPr>
              <w:rPr>
                <w:noProof/>
              </w:rPr>
            </w:pPr>
            <w:r w:rsidRPr="00064BAE">
              <w:rPr>
                <w:noProof/>
              </w:rPr>
              <w:t>Progress</w:t>
            </w:r>
            <w:r w:rsidRPr="00064BAE">
              <w:rPr>
                <w:rFonts w:ascii="Calibri" w:hAnsi="Calibri" w:cs="Calibri"/>
                <w:noProof/>
              </w:rPr>
              <w:t> </w:t>
            </w:r>
            <w:r w:rsidRPr="00064BAE">
              <w:rPr>
                <w:noProof/>
              </w:rPr>
              <w:t>(*)</w:t>
            </w:r>
          </w:p>
        </w:tc>
        <w:tc>
          <w:tcPr>
            <w:tcW w:w="1547" w:type="dxa"/>
          </w:tcPr>
          <w:p w14:paraId="1E5BF337" w14:textId="77777777" w:rsidR="00C04EEB" w:rsidRPr="00064BAE" w:rsidRDefault="00C04EEB" w:rsidP="00B202C2">
            <w:pPr>
              <w:rPr>
                <w:noProof/>
              </w:rPr>
            </w:pPr>
            <w:r w:rsidRPr="00064BAE">
              <w:rPr>
                <w:noProof/>
              </w:rPr>
              <w:t>Target</w:t>
            </w:r>
          </w:p>
        </w:tc>
        <w:tc>
          <w:tcPr>
            <w:tcW w:w="1587" w:type="dxa"/>
          </w:tcPr>
          <w:p w14:paraId="488E3888" w14:textId="77777777" w:rsidR="00C04EEB" w:rsidRPr="00064BAE" w:rsidRDefault="00C04EEB" w:rsidP="00B202C2">
            <w:pPr>
              <w:rPr>
                <w:noProof/>
              </w:rPr>
            </w:pPr>
            <w:r w:rsidRPr="00064BAE">
              <w:rPr>
                <w:noProof/>
              </w:rPr>
              <w:t>Results</w:t>
            </w:r>
          </w:p>
        </w:tc>
        <w:tc>
          <w:tcPr>
            <w:tcW w:w="1594" w:type="dxa"/>
          </w:tcPr>
          <w:p w14:paraId="131B920D" w14:textId="77777777" w:rsidR="00C04EEB" w:rsidRPr="00064BAE" w:rsidRDefault="00C04EEB" w:rsidP="00B202C2">
            <w:pPr>
              <w:rPr>
                <w:noProof/>
              </w:rPr>
            </w:pPr>
            <w:r w:rsidRPr="00064BAE">
              <w:rPr>
                <w:noProof/>
              </w:rPr>
              <w:t>Assessment</w:t>
            </w:r>
          </w:p>
        </w:tc>
      </w:tr>
      <w:tr w:rsidR="00C04EEB" w:rsidRPr="00064BAE" w14:paraId="02B82A49" w14:textId="77777777" w:rsidTr="00B202C2">
        <w:trPr>
          <w:cnfStyle w:val="000000100000" w:firstRow="0" w:lastRow="0" w:firstColumn="0" w:lastColumn="0" w:oddVBand="0" w:evenVBand="0" w:oddHBand="1" w:evenHBand="0" w:firstRowFirstColumn="0" w:firstRowLastColumn="0" w:lastRowFirstColumn="0" w:lastRowLastColumn="0"/>
        </w:trPr>
        <w:tc>
          <w:tcPr>
            <w:tcW w:w="2260" w:type="dxa"/>
          </w:tcPr>
          <w:p w14:paraId="64CB0E16" w14:textId="77777777" w:rsidR="00C04EEB" w:rsidRPr="00064BAE" w:rsidRDefault="00C04EEB" w:rsidP="00B202C2">
            <w:pPr>
              <w:rPr>
                <w:noProof/>
              </w:rPr>
            </w:pPr>
            <w:r w:rsidRPr="00064BAE">
              <w:rPr>
                <w:noProof/>
              </w:rPr>
              <w:t>Widening of established European reference networks</w:t>
            </w:r>
          </w:p>
        </w:tc>
        <w:tc>
          <w:tcPr>
            <w:tcW w:w="1111" w:type="dxa"/>
          </w:tcPr>
          <w:p w14:paraId="5CE85096" w14:textId="77777777" w:rsidR="00C04EEB" w:rsidRPr="00064BAE" w:rsidRDefault="00C04EEB" w:rsidP="00B202C2">
            <w:pPr>
              <w:jc w:val="center"/>
              <w:rPr>
                <w:noProof/>
              </w:rPr>
            </w:pPr>
            <w:r w:rsidRPr="00064BAE">
              <w:rPr>
                <w:noProof/>
              </w:rPr>
              <w:t>0</w:t>
            </w:r>
          </w:p>
        </w:tc>
        <w:tc>
          <w:tcPr>
            <w:tcW w:w="1540" w:type="dxa"/>
          </w:tcPr>
          <w:p w14:paraId="5768683A" w14:textId="77777777" w:rsidR="00C04EEB" w:rsidRPr="00064BAE" w:rsidRDefault="00C04EEB" w:rsidP="00B202C2">
            <w:pPr>
              <w:jc w:val="center"/>
              <w:rPr>
                <w:b/>
                <w:noProof/>
              </w:rPr>
            </w:pPr>
            <w:r w:rsidRPr="00064BAE">
              <w:rPr>
                <w:noProof/>
              </w:rPr>
              <w:t>78%</w:t>
            </w:r>
          </w:p>
        </w:tc>
        <w:tc>
          <w:tcPr>
            <w:tcW w:w="1547" w:type="dxa"/>
          </w:tcPr>
          <w:p w14:paraId="5B735BD3" w14:textId="77777777" w:rsidR="00C04EEB" w:rsidRPr="00064BAE" w:rsidRDefault="00C04EEB" w:rsidP="00B202C2">
            <w:pPr>
              <w:jc w:val="center"/>
              <w:rPr>
                <w:noProof/>
              </w:rPr>
            </w:pPr>
            <w:r w:rsidRPr="00064BAE">
              <w:rPr>
                <w:noProof/>
              </w:rPr>
              <w:t>1</w:t>
            </w:r>
            <w:r w:rsidRPr="00064BAE">
              <w:rPr>
                <w:rFonts w:ascii="Calibri" w:hAnsi="Calibri" w:cs="Calibri"/>
                <w:noProof/>
              </w:rPr>
              <w:t> </w:t>
            </w:r>
            <w:r w:rsidRPr="00064BAE">
              <w:rPr>
                <w:noProof/>
              </w:rPr>
              <w:t>450</w:t>
            </w:r>
          </w:p>
        </w:tc>
        <w:tc>
          <w:tcPr>
            <w:tcW w:w="1587" w:type="dxa"/>
          </w:tcPr>
          <w:p w14:paraId="739696EC" w14:textId="77777777" w:rsidR="00C04EEB" w:rsidRPr="00064BAE" w:rsidRDefault="00C04EEB" w:rsidP="00B202C2">
            <w:pPr>
              <w:jc w:val="center"/>
              <w:rPr>
                <w:noProof/>
              </w:rPr>
            </w:pPr>
            <w:r w:rsidRPr="00064BAE">
              <w:rPr>
                <w:noProof/>
              </w:rPr>
              <w:t>1</w:t>
            </w:r>
            <w:r w:rsidRPr="00064BAE">
              <w:rPr>
                <w:rFonts w:ascii="Calibri" w:hAnsi="Calibri" w:cs="Calibri"/>
                <w:noProof/>
              </w:rPr>
              <w:t> </w:t>
            </w:r>
            <w:r w:rsidRPr="00064BAE">
              <w:rPr>
                <w:noProof/>
              </w:rPr>
              <w:t>134 healthcare units joined reference networks, compared to a target of 1</w:t>
            </w:r>
            <w:r w:rsidRPr="00064BAE">
              <w:rPr>
                <w:rFonts w:ascii="Calibri" w:hAnsi="Calibri" w:cs="Calibri"/>
                <w:noProof/>
              </w:rPr>
              <w:t> </w:t>
            </w:r>
            <w:r w:rsidRPr="00064BAE">
              <w:rPr>
                <w:noProof/>
              </w:rPr>
              <w:t>450</w:t>
            </w:r>
          </w:p>
        </w:tc>
        <w:tc>
          <w:tcPr>
            <w:tcW w:w="1594" w:type="dxa"/>
          </w:tcPr>
          <w:p w14:paraId="7328E3CD" w14:textId="77777777" w:rsidR="00C04EEB" w:rsidRPr="00064BAE" w:rsidRDefault="00C04EEB" w:rsidP="00B202C2">
            <w:pPr>
              <w:jc w:val="center"/>
              <w:rPr>
                <w:noProof/>
              </w:rPr>
            </w:pPr>
            <w:r w:rsidRPr="00064BAE">
              <w:rPr>
                <w:noProof/>
              </w:rPr>
              <w:t>On track</w:t>
            </w:r>
          </w:p>
        </w:tc>
      </w:tr>
    </w:tbl>
    <w:p w14:paraId="6E3ADAE7" w14:textId="77777777" w:rsidR="00C04EEB" w:rsidRPr="00064BAE" w:rsidRDefault="00C04EEB" w:rsidP="00C04EEB">
      <w:pPr>
        <w:pStyle w:val="FootnoteText"/>
        <w:rPr>
          <w:noProof/>
        </w:rPr>
      </w:pPr>
      <w:r w:rsidRPr="00064BAE">
        <w:rPr>
          <w:noProof/>
        </w:rPr>
        <w:t>(*) % of target achieved by the end of 2021.</w:t>
      </w:r>
    </w:p>
    <w:p w14:paraId="62ECCC73" w14:textId="77777777" w:rsidR="00C04EEB" w:rsidRPr="00064BAE" w:rsidRDefault="00C04EEB" w:rsidP="00C04EEB">
      <w:pPr>
        <w:pStyle w:val="ppoListHyphened-L1"/>
        <w:rPr>
          <w:noProof/>
        </w:rPr>
      </w:pPr>
      <w:r w:rsidRPr="00064BAE">
        <w:rPr>
          <w:noProof/>
        </w:rPr>
        <w:t>According to the midterm evaluation of 2017, the third health programme has been performing well and has been implemented effectively, contributing to better health protection through its policies and activities. The programme has efficiently addressed the Commission’s priorities on the implementation of best practices for health promotion and disease prevention, crisis preparedness and risk management, the production and communication of relevant information within the framework of the EU semester, the fostering of mental health, and health and innovation.</w:t>
      </w:r>
    </w:p>
    <w:p w14:paraId="316C445A" w14:textId="140B98D5" w:rsidR="00C04EEB" w:rsidRPr="00064BAE" w:rsidRDefault="00C04EEB" w:rsidP="00C04EEB">
      <w:pPr>
        <w:pStyle w:val="ppoListHyphened-L1"/>
        <w:rPr>
          <w:noProof/>
        </w:rPr>
      </w:pPr>
      <w:r w:rsidRPr="00064BAE">
        <w:rPr>
          <w:noProof/>
        </w:rPr>
        <w:t xml:space="preserve">In the 2014-2020 period, the European Court of Auditors published several reports assessing the implementation of the health programme. In </w:t>
      </w:r>
      <w:r w:rsidRPr="004F6FD1">
        <w:rPr>
          <w:i/>
          <w:iCs/>
          <w:noProof/>
        </w:rPr>
        <w:t>EU Actions for Cross-border Healthcare</w:t>
      </w:r>
      <w:r w:rsidRPr="00064BAE">
        <w:rPr>
          <w:rFonts w:ascii="Calibri" w:hAnsi="Calibri" w:cs="Calibri"/>
          <w:i/>
          <w:iCs/>
          <w:noProof/>
        </w:rPr>
        <w:t> </w:t>
      </w:r>
      <w:r w:rsidRPr="004F6FD1">
        <w:rPr>
          <w:i/>
          <w:iCs/>
          <w:noProof/>
        </w:rPr>
        <w:t>– Special report 07/2019</w:t>
      </w:r>
      <w:r w:rsidRPr="00064BAE">
        <w:rPr>
          <w:noProof/>
        </w:rPr>
        <w:t>, the Court found that ‘EU actions in cross-border healthcare enhanced cooperation between Member States</w:t>
      </w:r>
      <w:r w:rsidRPr="00064BAE">
        <w:rPr>
          <w:rFonts w:ascii="Calibri" w:hAnsi="Calibri" w:cs="Calibri"/>
          <w:noProof/>
        </w:rPr>
        <w:t> </w:t>
      </w:r>
      <w:r w:rsidRPr="004F6FD1">
        <w:rPr>
          <w:rFonts w:cs="Calibri"/>
          <w:noProof/>
        </w:rPr>
        <w:t>…</w:t>
      </w:r>
      <w:r w:rsidRPr="00064BAE">
        <w:rPr>
          <w:noProof/>
        </w:rPr>
        <w:t xml:space="preserve"> The Commission has overseen the implementation of the Cross-border Healthcare Directive well.’ The special report also identified certain shortcomings and improvements that were necessary in terms of reducing administrative burden and the long-term financial sustainability of the European reference networks. In </w:t>
      </w:r>
      <w:r w:rsidRPr="004F6FD1">
        <w:rPr>
          <w:i/>
          <w:iCs/>
          <w:noProof/>
        </w:rPr>
        <w:t>Addressing Antimicrobial Resistance</w:t>
      </w:r>
      <w:r w:rsidRPr="004F6FD1">
        <w:rPr>
          <w:rFonts w:ascii="Calibri" w:hAnsi="Calibri" w:cs="Calibri"/>
          <w:i/>
          <w:iCs/>
          <w:noProof/>
        </w:rPr>
        <w:t> </w:t>
      </w:r>
      <w:r w:rsidRPr="004F6FD1">
        <w:rPr>
          <w:i/>
          <w:iCs/>
          <w:noProof/>
        </w:rPr>
        <w:t>– Special report 21/2019</w:t>
      </w:r>
      <w:r w:rsidRPr="00064BAE">
        <w:rPr>
          <w:noProof/>
        </w:rPr>
        <w:t xml:space="preserve"> the Court emphasised: ‘Fighting against antimicrobial resistance is complicated</w:t>
      </w:r>
      <w:r w:rsidRPr="00064BAE">
        <w:rPr>
          <w:rFonts w:ascii="Calibri" w:hAnsi="Calibri" w:cs="Calibri"/>
          <w:noProof/>
        </w:rPr>
        <w:t> </w:t>
      </w:r>
      <w:r w:rsidRPr="00064BAE">
        <w:rPr>
          <w:noProof/>
        </w:rPr>
        <w:t>… The Commission and [European Centre for Disease Prevention and Control] support to strengthen Member States One Health approach to [antimicrobial resistance] was valuable’. However, it also pointed out some challenges, particularly with regard to the sustainable implementation of the results in the Member States. These were addressed in the new EU4</w:t>
      </w:r>
      <w:r w:rsidR="00E06866">
        <w:rPr>
          <w:noProof/>
        </w:rPr>
        <w:t>H</w:t>
      </w:r>
      <w:r w:rsidRPr="00064BAE">
        <w:rPr>
          <w:noProof/>
        </w:rPr>
        <w:t>ealth programme.</w:t>
      </w:r>
    </w:p>
    <w:p w14:paraId="2186EBBE" w14:textId="77777777" w:rsidR="00C04EEB" w:rsidRPr="00064BAE" w:rsidRDefault="00C04EEB" w:rsidP="00C04EEB">
      <w:pPr>
        <w:pStyle w:val="ppoListHyphened-L1"/>
        <w:rPr>
          <w:noProof/>
        </w:rPr>
      </w:pPr>
      <w:r w:rsidRPr="00064BAE">
        <w:rPr>
          <w:noProof/>
        </w:rPr>
        <w:t>While reorienting and gearing a proportion of its resources towards fighting the COVID-19 pandemic, the third health programme continued to implement its main actions with a view to enhancing and further consolidating key achievements over the 2014-2020 implementation period.</w:t>
      </w:r>
    </w:p>
    <w:p w14:paraId="500E9098" w14:textId="77777777" w:rsidR="00C04EEB" w:rsidRPr="004F6FD1" w:rsidRDefault="00C04EEB" w:rsidP="00C04EEB">
      <w:pPr>
        <w:pStyle w:val="ppoListHyphened-L1"/>
        <w:rPr>
          <w:iCs/>
          <w:noProof/>
        </w:rPr>
      </w:pPr>
      <w:r w:rsidRPr="00064BAE">
        <w:rPr>
          <w:noProof/>
        </w:rPr>
        <w:t xml:space="preserve">With regard to </w:t>
      </w:r>
      <w:r w:rsidRPr="00064BAE">
        <w:rPr>
          <w:iCs/>
          <w:noProof/>
        </w:rPr>
        <w:t>o</w:t>
      </w:r>
      <w:r w:rsidRPr="004F6FD1">
        <w:rPr>
          <w:iCs/>
          <w:noProof/>
        </w:rPr>
        <w:t xml:space="preserve">bjective 1 </w:t>
      </w:r>
      <w:r w:rsidRPr="00064BAE">
        <w:rPr>
          <w:iCs/>
          <w:noProof/>
        </w:rPr>
        <w:t>‘</w:t>
      </w:r>
      <w:r w:rsidRPr="004F6FD1">
        <w:rPr>
          <w:iCs/>
          <w:noProof/>
        </w:rPr>
        <w:t>promote health, prevent diseases and foster supportive environments for healthy lifestyles</w:t>
      </w:r>
      <w:r w:rsidRPr="00064BAE">
        <w:rPr>
          <w:iCs/>
          <w:noProof/>
        </w:rPr>
        <w:t>’</w:t>
      </w:r>
      <w:r w:rsidRPr="004F6FD1">
        <w:rPr>
          <w:iCs/>
          <w:noProof/>
        </w:rPr>
        <w:t xml:space="preserve">, the targets were reached in all </w:t>
      </w:r>
      <w:r w:rsidRPr="00064BAE">
        <w:rPr>
          <w:iCs/>
          <w:noProof/>
        </w:rPr>
        <w:t>respects</w:t>
      </w:r>
      <w:r w:rsidRPr="004F6FD1">
        <w:rPr>
          <w:iCs/>
          <w:noProof/>
        </w:rPr>
        <w:t xml:space="preserve"> except the number of Member States involved in the European accreditation scheme for breast cancer</w:t>
      </w:r>
      <w:r w:rsidRPr="004F6FD1">
        <w:rPr>
          <w:rFonts w:ascii="Calibri" w:hAnsi="Calibri"/>
          <w:iCs/>
          <w:noProof/>
        </w:rPr>
        <w:t>.</w:t>
      </w:r>
    </w:p>
    <w:p w14:paraId="59CDF660" w14:textId="77777777" w:rsidR="00C04EEB" w:rsidRPr="004F6FD1" w:rsidRDefault="00C04EEB" w:rsidP="00C04EEB">
      <w:pPr>
        <w:pStyle w:val="ppoListHyphened-L1"/>
        <w:rPr>
          <w:iCs/>
          <w:noProof/>
        </w:rPr>
      </w:pPr>
      <w:r w:rsidRPr="00064BAE">
        <w:rPr>
          <w:noProof/>
        </w:rPr>
        <w:t xml:space="preserve">With regard </w:t>
      </w:r>
      <w:r w:rsidRPr="004F6FD1">
        <w:rPr>
          <w:iCs/>
          <w:noProof/>
        </w:rPr>
        <w:t xml:space="preserve">to </w:t>
      </w:r>
      <w:r w:rsidRPr="00064BAE">
        <w:rPr>
          <w:iCs/>
          <w:noProof/>
        </w:rPr>
        <w:t>o</w:t>
      </w:r>
      <w:r w:rsidRPr="004F6FD1">
        <w:rPr>
          <w:iCs/>
          <w:noProof/>
        </w:rPr>
        <w:t xml:space="preserve">bjective 2 </w:t>
      </w:r>
      <w:r w:rsidRPr="00064BAE">
        <w:rPr>
          <w:iCs/>
          <w:noProof/>
        </w:rPr>
        <w:t>‘</w:t>
      </w:r>
      <w:r w:rsidRPr="004F6FD1">
        <w:rPr>
          <w:iCs/>
          <w:noProof/>
        </w:rPr>
        <w:t xml:space="preserve">protect </w:t>
      </w:r>
      <w:r w:rsidRPr="00064BAE">
        <w:rPr>
          <w:iCs/>
          <w:noProof/>
        </w:rPr>
        <w:t>EU</w:t>
      </w:r>
      <w:r w:rsidRPr="004F6FD1">
        <w:rPr>
          <w:iCs/>
          <w:noProof/>
        </w:rPr>
        <w:t xml:space="preserve"> citizens from serious cross-border health threats</w:t>
      </w:r>
      <w:r w:rsidRPr="00064BAE">
        <w:rPr>
          <w:iCs/>
          <w:noProof/>
        </w:rPr>
        <w:t>’</w:t>
      </w:r>
      <w:r w:rsidRPr="004F6FD1">
        <w:rPr>
          <w:iCs/>
          <w:noProof/>
        </w:rPr>
        <w:t xml:space="preserve">, </w:t>
      </w:r>
      <w:bookmarkStart w:id="124" w:name="_Hlk101537612"/>
      <w:r w:rsidRPr="004F6FD1">
        <w:rPr>
          <w:iCs/>
          <w:noProof/>
        </w:rPr>
        <w:t>the target of 28 Member States integrating coherent approaches in the design of their preparedness plans was achieved in 2020</w:t>
      </w:r>
      <w:bookmarkEnd w:id="124"/>
      <w:r w:rsidRPr="004F6FD1">
        <w:rPr>
          <w:iCs/>
          <w:noProof/>
        </w:rPr>
        <w:t>.</w:t>
      </w:r>
    </w:p>
    <w:p w14:paraId="4D71B4F0" w14:textId="77777777" w:rsidR="00C04EEB" w:rsidRPr="004F6FD1" w:rsidRDefault="00C04EEB" w:rsidP="00C04EEB">
      <w:pPr>
        <w:pStyle w:val="ppoListHyphened-L1"/>
        <w:rPr>
          <w:iCs/>
          <w:noProof/>
        </w:rPr>
      </w:pPr>
      <w:r w:rsidRPr="00064BAE">
        <w:rPr>
          <w:noProof/>
        </w:rPr>
        <w:t xml:space="preserve">With regard </w:t>
      </w:r>
      <w:r w:rsidRPr="004F6FD1">
        <w:rPr>
          <w:iCs/>
          <w:noProof/>
        </w:rPr>
        <w:t xml:space="preserve">to </w:t>
      </w:r>
      <w:r w:rsidRPr="00064BAE">
        <w:rPr>
          <w:iCs/>
          <w:noProof/>
        </w:rPr>
        <w:t>o</w:t>
      </w:r>
      <w:r w:rsidRPr="004F6FD1">
        <w:rPr>
          <w:iCs/>
          <w:noProof/>
        </w:rPr>
        <w:t xml:space="preserve">bjective 3 </w:t>
      </w:r>
      <w:r w:rsidRPr="00064BAE">
        <w:rPr>
          <w:iCs/>
          <w:noProof/>
        </w:rPr>
        <w:t>‘</w:t>
      </w:r>
      <w:r w:rsidRPr="004F6FD1">
        <w:rPr>
          <w:iCs/>
          <w:noProof/>
        </w:rPr>
        <w:t>support public health capacity-building and contribute to innovative, efficient and sustainable health systems</w:t>
      </w:r>
      <w:r w:rsidRPr="00064BAE">
        <w:rPr>
          <w:iCs/>
          <w:noProof/>
        </w:rPr>
        <w:t>’</w:t>
      </w:r>
      <w:r w:rsidRPr="004F6FD1">
        <w:rPr>
          <w:iCs/>
          <w:noProof/>
        </w:rPr>
        <w:t xml:space="preserve">, </w:t>
      </w:r>
      <w:bookmarkStart w:id="125" w:name="_Hlk101537818"/>
      <w:r w:rsidRPr="004F6FD1">
        <w:rPr>
          <w:iCs/>
          <w:noProof/>
        </w:rPr>
        <w:t xml:space="preserve">41 </w:t>
      </w:r>
      <w:r>
        <w:rPr>
          <w:iCs/>
          <w:noProof/>
        </w:rPr>
        <w:t xml:space="preserve">notices of </w:t>
      </w:r>
      <w:r w:rsidRPr="00F51E5F">
        <w:rPr>
          <w:noProof/>
        </w:rPr>
        <w:t>advice</w:t>
      </w:r>
      <w:r w:rsidRPr="004F6FD1">
        <w:rPr>
          <w:iCs/>
          <w:noProof/>
        </w:rPr>
        <w:t xml:space="preserve"> were produced </w:t>
      </w:r>
      <w:bookmarkEnd w:id="125"/>
      <w:r w:rsidRPr="004F6FD1">
        <w:rPr>
          <w:iCs/>
          <w:noProof/>
        </w:rPr>
        <w:t>and 23 Member States used the tools and mechanisms identified in order to contribute to effective results in their health systems.</w:t>
      </w:r>
    </w:p>
    <w:p w14:paraId="1E3742E4" w14:textId="77777777" w:rsidR="00C04EEB" w:rsidRPr="004F6FD1" w:rsidRDefault="00C04EEB" w:rsidP="00C04EEB">
      <w:pPr>
        <w:pStyle w:val="ppoListHyphened-L1"/>
        <w:rPr>
          <w:iCs/>
          <w:noProof/>
        </w:rPr>
      </w:pPr>
      <w:r w:rsidRPr="00064BAE">
        <w:rPr>
          <w:noProof/>
        </w:rPr>
        <w:t xml:space="preserve">With regard </w:t>
      </w:r>
      <w:r w:rsidRPr="004F6FD1">
        <w:rPr>
          <w:iCs/>
          <w:noProof/>
        </w:rPr>
        <w:t xml:space="preserve">to </w:t>
      </w:r>
      <w:r w:rsidRPr="00064BAE">
        <w:rPr>
          <w:iCs/>
          <w:noProof/>
        </w:rPr>
        <w:t>o</w:t>
      </w:r>
      <w:r w:rsidRPr="004F6FD1">
        <w:rPr>
          <w:iCs/>
          <w:noProof/>
        </w:rPr>
        <w:t xml:space="preserve">bjective 4 </w:t>
      </w:r>
      <w:r w:rsidRPr="00064BAE">
        <w:rPr>
          <w:iCs/>
          <w:noProof/>
        </w:rPr>
        <w:t>‘</w:t>
      </w:r>
      <w:r w:rsidRPr="004F6FD1">
        <w:rPr>
          <w:iCs/>
          <w:noProof/>
        </w:rPr>
        <w:t>facilitate access to better and safer healthcare for EU citizens</w:t>
      </w:r>
      <w:r w:rsidRPr="00064BAE">
        <w:rPr>
          <w:iCs/>
          <w:noProof/>
        </w:rPr>
        <w:t>’</w:t>
      </w:r>
      <w:r w:rsidRPr="004F6FD1">
        <w:rPr>
          <w:iCs/>
          <w:noProof/>
        </w:rPr>
        <w:t>, 30 European reference networks were established in accordance with Directive 2011/24/EU</w:t>
      </w:r>
      <w:r w:rsidRPr="00064BAE">
        <w:rPr>
          <w:iCs/>
          <w:noProof/>
        </w:rPr>
        <w:t>,</w:t>
      </w:r>
      <w:r w:rsidRPr="004F6FD1">
        <w:rPr>
          <w:iCs/>
          <w:noProof/>
        </w:rPr>
        <w:t xml:space="preserve"> 1</w:t>
      </w:r>
      <w:r w:rsidRPr="00064BAE">
        <w:rPr>
          <w:rFonts w:ascii="Calibri" w:hAnsi="Calibri" w:cs="Calibri"/>
          <w:iCs/>
          <w:noProof/>
        </w:rPr>
        <w:t> </w:t>
      </w:r>
      <w:r w:rsidRPr="004F6FD1">
        <w:rPr>
          <w:iCs/>
          <w:noProof/>
        </w:rPr>
        <w:t xml:space="preserve">185 healthcare providers and centres of expertise joined European reference networks and </w:t>
      </w:r>
      <w:r w:rsidRPr="00064BAE">
        <w:rPr>
          <w:iCs/>
          <w:noProof/>
        </w:rPr>
        <w:t xml:space="preserve">all </w:t>
      </w:r>
      <w:r w:rsidRPr="004F6FD1">
        <w:rPr>
          <w:iCs/>
          <w:noProof/>
        </w:rPr>
        <w:t>28 Member States used the tools developed.</w:t>
      </w:r>
    </w:p>
    <w:p w14:paraId="6433BC34" w14:textId="77777777" w:rsidR="00703728" w:rsidRDefault="00703728" w:rsidP="00C04EEB">
      <w:pPr>
        <w:pStyle w:val="ppoListHyphened-L1"/>
        <w:numPr>
          <w:ilvl w:val="0"/>
          <w:numId w:val="0"/>
        </w:numPr>
        <w:rPr>
          <w:noProof/>
        </w:rPr>
        <w:sectPr w:rsidR="00703728" w:rsidSect="00D40083">
          <w:headerReference w:type="even" r:id="rId255"/>
          <w:headerReference w:type="default" r:id="rId256"/>
          <w:footerReference w:type="even" r:id="rId257"/>
          <w:footerReference w:type="default" r:id="rId258"/>
          <w:headerReference w:type="first" r:id="rId259"/>
          <w:footerReference w:type="first" r:id="rId260"/>
          <w:pgSz w:w="11906" w:h="16838" w:code="9"/>
          <w:pgMar w:top="1134" w:right="1134" w:bottom="964" w:left="1134" w:header="431" w:footer="431" w:gutter="0"/>
          <w:cols w:space="720"/>
          <w:titlePg/>
          <w:docGrid w:linePitch="360"/>
        </w:sectPr>
      </w:pPr>
    </w:p>
    <w:p w14:paraId="2E093D49" w14:textId="77777777" w:rsidR="00703728" w:rsidRPr="008676AE" w:rsidRDefault="00703728" w:rsidP="00703728">
      <w:pPr>
        <w:pStyle w:val="StyleppoHeading3WhiteLeft0cm"/>
        <w:rPr>
          <w:noProof/>
          <w:sz w:val="40"/>
          <w:szCs w:val="40"/>
          <w:lang w:val="en-IE"/>
        </w:rPr>
      </w:pPr>
    </w:p>
    <w:p w14:paraId="3380ED37" w14:textId="77777777" w:rsidR="00703728" w:rsidRPr="008676AE" w:rsidRDefault="00703728" w:rsidP="00703728">
      <w:pPr>
        <w:pStyle w:val="StyleppoHeading3WhiteLeft0cm"/>
        <w:rPr>
          <w:noProof/>
          <w:sz w:val="60"/>
          <w:szCs w:val="60"/>
          <w:lang w:val="en-IE"/>
        </w:rPr>
      </w:pPr>
      <w:bookmarkStart w:id="126" w:name="_Toc102086348"/>
      <w:r w:rsidRPr="008676AE">
        <w:rPr>
          <w:noProof/>
          <w:sz w:val="60"/>
          <w:szCs w:val="60"/>
          <w:lang w:val="en-IE"/>
        </w:rPr>
        <w:t>ESI</w:t>
      </w:r>
      <w:bookmarkEnd w:id="126"/>
    </w:p>
    <w:p w14:paraId="04D4A114" w14:textId="03712415" w:rsidR="00703728" w:rsidRPr="008676AE" w:rsidRDefault="00703728" w:rsidP="00703728">
      <w:pPr>
        <w:pStyle w:val="StyleppoProgrammenameWhiteLeft01cm"/>
        <w:rPr>
          <w:noProof/>
          <w:lang w:val="en-IE"/>
        </w:rPr>
      </w:pPr>
      <w:r w:rsidRPr="008676AE">
        <w:rPr>
          <w:noProof/>
          <w:lang w:val="en-IE"/>
        </w:rPr>
        <w:t>E</w:t>
      </w:r>
      <w:r>
        <w:rPr>
          <w:noProof/>
          <w:lang w:val="en-IE"/>
        </w:rPr>
        <w:t>MERGENCY</w:t>
      </w:r>
      <w:r w:rsidRPr="008676AE">
        <w:rPr>
          <w:noProof/>
          <w:lang w:val="en-IE"/>
        </w:rPr>
        <w:t xml:space="preserve"> </w:t>
      </w:r>
      <w:r>
        <w:rPr>
          <w:noProof/>
          <w:lang w:val="en-IE"/>
        </w:rPr>
        <w:t>SUPPORT INSTRUMENT</w:t>
      </w:r>
    </w:p>
    <w:p w14:paraId="6C342BD8" w14:textId="77777777" w:rsidR="00703728" w:rsidRPr="008676AE" w:rsidRDefault="00703728" w:rsidP="00703728">
      <w:pPr>
        <w:pStyle w:val="ppoHeading4Green"/>
        <w:rPr>
          <w:noProof/>
          <w:lang w:val="en-IE"/>
        </w:rPr>
      </w:pPr>
      <w:r w:rsidRPr="008676AE">
        <w:rPr>
          <w:noProof/>
          <w:lang w:val="en-IE"/>
        </w:rPr>
        <w:t>Programme in a nutshell</w:t>
      </w:r>
    </w:p>
    <w:p w14:paraId="4081CCE4" w14:textId="77777777" w:rsidR="00703728" w:rsidRPr="008676AE" w:rsidRDefault="00703728" w:rsidP="00703728">
      <w:pPr>
        <w:pStyle w:val="ppoHeading5"/>
        <w:rPr>
          <w:noProof/>
          <w:lang w:val="en-IE"/>
        </w:rPr>
      </w:pPr>
      <w:r w:rsidRPr="008676AE">
        <w:rPr>
          <w:noProof/>
          <w:lang w:val="en-IE"/>
        </w:rPr>
        <w:t>Concrete examples of achievements</w:t>
      </w:r>
      <w:r>
        <w:rPr>
          <w:rFonts w:ascii="Calibri" w:hAnsi="Calibri" w:cs="Calibri"/>
          <w:noProof/>
          <w:lang w:val="en-IE"/>
        </w:rPr>
        <w:t> </w:t>
      </w:r>
      <w:r>
        <w:rPr>
          <w:noProof/>
          <w:lang w:val="en-IE"/>
        </w:rPr>
        <w:t>(</w:t>
      </w:r>
      <w:r w:rsidRPr="008676AE">
        <w:rPr>
          <w:noProof/>
          <w:lang w:val="en-IE"/>
        </w:rPr>
        <w:t>*</w:t>
      </w:r>
      <w:r>
        <w:rPr>
          <w:noProof/>
          <w:lang w:val="en-IE"/>
        </w:rPr>
        <w:t>)</w:t>
      </w:r>
    </w:p>
    <w:tbl>
      <w:tblPr>
        <w:tblStyle w:val="PPO2021"/>
        <w:tblW w:w="9639" w:type="dxa"/>
        <w:tblInd w:w="0" w:type="dxa"/>
        <w:tblLook w:val="0200" w:firstRow="0" w:lastRow="0" w:firstColumn="0" w:lastColumn="0" w:noHBand="1" w:noVBand="0"/>
      </w:tblPr>
      <w:tblGrid>
        <w:gridCol w:w="2410"/>
        <w:gridCol w:w="2409"/>
        <w:gridCol w:w="2410"/>
        <w:gridCol w:w="2410"/>
      </w:tblGrid>
      <w:tr w:rsidR="00703728" w:rsidRPr="008676AE" w14:paraId="7EAD7227" w14:textId="77777777" w:rsidTr="00AD7F08">
        <w:tc>
          <w:tcPr>
            <w:tcW w:w="2410" w:type="dxa"/>
          </w:tcPr>
          <w:p w14:paraId="4E9E0F82" w14:textId="77777777" w:rsidR="00703728" w:rsidRPr="008676AE" w:rsidRDefault="00703728" w:rsidP="00B202C2">
            <w:pPr>
              <w:pStyle w:val="ppoTableacheivementvalue"/>
              <w:rPr>
                <w:noProof/>
                <w:lang w:val="en-IE"/>
              </w:rPr>
            </w:pPr>
            <w:r w:rsidRPr="008676AE">
              <w:rPr>
                <w:noProof/>
                <w:lang w:val="en-IE"/>
              </w:rPr>
              <w:t>1</w:t>
            </w:r>
            <w:r>
              <w:rPr>
                <w:rFonts w:ascii="Calibri" w:hAnsi="Calibri" w:cs="Calibri"/>
                <w:noProof/>
                <w:lang w:val="en-IE"/>
              </w:rPr>
              <w:t> </w:t>
            </w:r>
            <w:r w:rsidRPr="008676AE">
              <w:rPr>
                <w:noProof/>
                <w:lang w:val="en-IE"/>
              </w:rPr>
              <w:t>500</w:t>
            </w:r>
          </w:p>
          <w:p w14:paraId="20C5CF69" w14:textId="77777777" w:rsidR="00703728" w:rsidRPr="008676AE" w:rsidRDefault="00703728" w:rsidP="00962E3C">
            <w:pPr>
              <w:jc w:val="left"/>
              <w:rPr>
                <w:noProof/>
                <w:lang w:val="en-IE"/>
              </w:rPr>
            </w:pPr>
            <w:bookmarkStart w:id="127" w:name="_Hlk101787987"/>
            <w:r w:rsidRPr="008676AE">
              <w:rPr>
                <w:noProof/>
                <w:lang w:val="en-IE"/>
              </w:rPr>
              <w:t>medical cargo transport operations deliver</w:t>
            </w:r>
            <w:r>
              <w:rPr>
                <w:noProof/>
                <w:lang w:val="en-IE"/>
              </w:rPr>
              <w:t>ed</w:t>
            </w:r>
            <w:r w:rsidRPr="008676AE">
              <w:rPr>
                <w:noProof/>
                <w:lang w:val="en-IE"/>
              </w:rPr>
              <w:t xml:space="preserve"> medical supplies </w:t>
            </w:r>
            <w:r>
              <w:rPr>
                <w:noProof/>
                <w:lang w:val="en-IE"/>
              </w:rPr>
              <w:t>from</w:t>
            </w:r>
            <w:r w:rsidRPr="008676AE">
              <w:rPr>
                <w:noProof/>
                <w:lang w:val="en-IE"/>
              </w:rPr>
              <w:t xml:space="preserve"> April </w:t>
            </w:r>
            <w:r>
              <w:rPr>
                <w:noProof/>
                <w:lang w:val="en-IE"/>
              </w:rPr>
              <w:t xml:space="preserve">2020 to </w:t>
            </w:r>
            <w:r w:rsidRPr="001C41C8">
              <w:rPr>
                <w:noProof/>
                <w:lang w:val="en-IE"/>
              </w:rPr>
              <w:t xml:space="preserve">January </w:t>
            </w:r>
            <w:r w:rsidRPr="0045221B">
              <w:rPr>
                <w:noProof/>
                <w:lang w:val="en-IE"/>
              </w:rPr>
              <w:t>202</w:t>
            </w:r>
            <w:r w:rsidRPr="001C41C8">
              <w:rPr>
                <w:noProof/>
                <w:lang w:val="en-IE"/>
              </w:rPr>
              <w:t>2</w:t>
            </w:r>
            <w:bookmarkEnd w:id="127"/>
            <w:r w:rsidRPr="0045221B">
              <w:rPr>
                <w:noProof/>
                <w:lang w:val="en-IE"/>
              </w:rPr>
              <w:t>.</w:t>
            </w:r>
          </w:p>
        </w:tc>
        <w:tc>
          <w:tcPr>
            <w:cnfStyle w:val="000001000000" w:firstRow="0" w:lastRow="0" w:firstColumn="0" w:lastColumn="0" w:oddVBand="0" w:evenVBand="1" w:oddHBand="0" w:evenHBand="0" w:firstRowFirstColumn="0" w:firstRowLastColumn="0" w:lastRowFirstColumn="0" w:lastRowLastColumn="0"/>
            <w:tcW w:w="2409" w:type="dxa"/>
          </w:tcPr>
          <w:p w14:paraId="5FB2B92C" w14:textId="77777777" w:rsidR="00703728" w:rsidRPr="008676AE" w:rsidRDefault="00703728" w:rsidP="00B202C2">
            <w:pPr>
              <w:pStyle w:val="ppoTableacheivementvalue"/>
              <w:rPr>
                <w:noProof/>
                <w:lang w:val="en-IE"/>
              </w:rPr>
            </w:pPr>
            <w:bookmarkStart w:id="128" w:name="_Hlk101787945"/>
            <w:r w:rsidRPr="008676AE">
              <w:rPr>
                <w:noProof/>
                <w:lang w:val="en-IE"/>
              </w:rPr>
              <w:t>800</w:t>
            </w:r>
          </w:p>
          <w:p w14:paraId="6676B881" w14:textId="77777777" w:rsidR="00703728" w:rsidRPr="008676AE" w:rsidRDefault="00703728" w:rsidP="00962E3C">
            <w:pPr>
              <w:jc w:val="left"/>
              <w:rPr>
                <w:noProof/>
                <w:lang w:val="en-IE"/>
              </w:rPr>
            </w:pPr>
            <w:r w:rsidRPr="008676AE">
              <w:rPr>
                <w:noProof/>
                <w:lang w:val="en-IE"/>
              </w:rPr>
              <w:t xml:space="preserve">medical personnel and patients were transported </w:t>
            </w:r>
            <w:r>
              <w:rPr>
                <w:noProof/>
                <w:lang w:val="en-IE"/>
              </w:rPr>
              <w:t>from</w:t>
            </w:r>
            <w:r w:rsidRPr="008676AE">
              <w:rPr>
                <w:noProof/>
                <w:lang w:val="en-IE"/>
              </w:rPr>
              <w:t xml:space="preserve"> April</w:t>
            </w:r>
            <w:r>
              <w:rPr>
                <w:rFonts w:ascii="Calibri" w:hAnsi="Calibri" w:cs="Calibri"/>
                <w:noProof/>
                <w:lang w:val="en-IE"/>
              </w:rPr>
              <w:t xml:space="preserve"> </w:t>
            </w:r>
            <w:r w:rsidRPr="001C41C8">
              <w:rPr>
                <w:noProof/>
                <w:lang w:val="en-IE"/>
              </w:rPr>
              <w:t>2020 to</w:t>
            </w:r>
            <w:r>
              <w:rPr>
                <w:rFonts w:ascii="Calibri" w:hAnsi="Calibri" w:cs="Calibri"/>
                <w:noProof/>
                <w:lang w:val="en-IE"/>
              </w:rPr>
              <w:t xml:space="preserve"> </w:t>
            </w:r>
            <w:r w:rsidRPr="001C41C8">
              <w:rPr>
                <w:noProof/>
                <w:lang w:val="en-IE"/>
              </w:rPr>
              <w:t>January 2022</w:t>
            </w:r>
            <w:r w:rsidRPr="0045221B">
              <w:rPr>
                <w:noProof/>
                <w:lang w:val="en-IE"/>
              </w:rPr>
              <w:t>.</w:t>
            </w:r>
            <w:bookmarkEnd w:id="128"/>
          </w:p>
        </w:tc>
        <w:tc>
          <w:tcPr>
            <w:tcW w:w="2410" w:type="dxa"/>
            <w:tcBorders>
              <w:bottom w:val="single" w:sz="4" w:space="0" w:color="8C8C8C"/>
            </w:tcBorders>
          </w:tcPr>
          <w:p w14:paraId="73911FCD" w14:textId="77777777" w:rsidR="00703728" w:rsidRPr="008676AE" w:rsidRDefault="00703728" w:rsidP="00B202C2">
            <w:pPr>
              <w:pStyle w:val="ppoTableacheivementvalue"/>
              <w:cnfStyle w:val="000000000000" w:firstRow="0" w:lastRow="0" w:firstColumn="0" w:lastColumn="0" w:oddVBand="0" w:evenVBand="0" w:oddHBand="0" w:evenHBand="0" w:firstRowFirstColumn="0" w:firstRowLastColumn="0" w:lastRowFirstColumn="0" w:lastRowLastColumn="0"/>
              <w:rPr>
                <w:noProof/>
                <w:lang w:val="en-IE"/>
              </w:rPr>
            </w:pPr>
            <w:r w:rsidRPr="008676AE">
              <w:rPr>
                <w:noProof/>
                <w:lang w:val="en-IE"/>
              </w:rPr>
              <w:t>23</w:t>
            </w:r>
            <w:r>
              <w:rPr>
                <w:rFonts w:ascii="Calibri" w:hAnsi="Calibri" w:cs="Calibri"/>
                <w:noProof/>
                <w:lang w:val="en-IE"/>
              </w:rPr>
              <w:t> </w:t>
            </w:r>
            <w:r w:rsidRPr="008676AE">
              <w:rPr>
                <w:noProof/>
                <w:lang w:val="en-IE"/>
              </w:rPr>
              <w:t>million</w:t>
            </w:r>
          </w:p>
          <w:p w14:paraId="217DEDBE" w14:textId="77777777" w:rsidR="00703728" w:rsidRPr="008676AE" w:rsidRDefault="00703728" w:rsidP="00962E3C">
            <w:pPr>
              <w:jc w:val="left"/>
              <w:cnfStyle w:val="000000000000" w:firstRow="0" w:lastRow="0" w:firstColumn="0" w:lastColumn="0" w:oddVBand="0" w:evenVBand="0" w:oddHBand="0" w:evenHBand="0" w:firstRowFirstColumn="0" w:firstRowLastColumn="0" w:lastRowFirstColumn="0" w:lastRowLastColumn="0"/>
              <w:rPr>
                <w:noProof/>
                <w:lang w:val="en-IE"/>
              </w:rPr>
            </w:pPr>
            <w:r w:rsidRPr="008676AE">
              <w:rPr>
                <w:noProof/>
                <w:lang w:val="en-IE"/>
              </w:rPr>
              <w:t>rapid antigen tests were purchased</w:t>
            </w:r>
            <w:r>
              <w:rPr>
                <w:noProof/>
                <w:lang w:val="en-IE"/>
              </w:rPr>
              <w:t>,</w:t>
            </w:r>
            <w:r w:rsidRPr="008676AE">
              <w:rPr>
                <w:noProof/>
                <w:lang w:val="en-IE"/>
              </w:rPr>
              <w:t xml:space="preserve"> with deliveries start</w:t>
            </w:r>
            <w:r>
              <w:rPr>
                <w:noProof/>
                <w:lang w:val="en-IE"/>
              </w:rPr>
              <w:t>ing</w:t>
            </w:r>
            <w:r w:rsidRPr="008676AE">
              <w:rPr>
                <w:noProof/>
                <w:lang w:val="en-IE"/>
              </w:rPr>
              <w:t xml:space="preserve"> in February 2021.</w:t>
            </w:r>
          </w:p>
        </w:tc>
        <w:tc>
          <w:tcPr>
            <w:cnfStyle w:val="000001000000" w:firstRow="0" w:lastRow="0" w:firstColumn="0" w:lastColumn="0" w:oddVBand="0" w:evenVBand="1" w:oddHBand="0" w:evenHBand="0" w:firstRowFirstColumn="0" w:firstRowLastColumn="0" w:lastRowFirstColumn="0" w:lastRowLastColumn="0"/>
            <w:tcW w:w="2410" w:type="dxa"/>
          </w:tcPr>
          <w:p w14:paraId="771645A5" w14:textId="77777777" w:rsidR="00703728" w:rsidRPr="008676AE" w:rsidRDefault="00703728" w:rsidP="00B202C2">
            <w:pPr>
              <w:pStyle w:val="ppoTableacheivementvalue"/>
              <w:rPr>
                <w:noProof/>
                <w:lang w:val="en-IE"/>
              </w:rPr>
            </w:pPr>
            <w:r w:rsidRPr="008676AE">
              <w:rPr>
                <w:noProof/>
                <w:lang w:val="en-IE"/>
              </w:rPr>
              <w:t>10</w:t>
            </w:r>
            <w:r>
              <w:rPr>
                <w:rFonts w:ascii="Calibri" w:hAnsi="Calibri" w:cs="Calibri"/>
                <w:noProof/>
                <w:lang w:val="en-IE"/>
              </w:rPr>
              <w:t> </w:t>
            </w:r>
            <w:r w:rsidRPr="008676AE">
              <w:rPr>
                <w:noProof/>
                <w:lang w:val="en-IE"/>
              </w:rPr>
              <w:t>million</w:t>
            </w:r>
          </w:p>
          <w:p w14:paraId="2C7AD0EA" w14:textId="77777777" w:rsidR="00703728" w:rsidRPr="008676AE" w:rsidRDefault="00703728" w:rsidP="00962E3C">
            <w:pPr>
              <w:jc w:val="left"/>
              <w:rPr>
                <w:noProof/>
                <w:lang w:val="en-IE"/>
              </w:rPr>
            </w:pPr>
            <w:r w:rsidRPr="008676AE">
              <w:rPr>
                <w:noProof/>
                <w:lang w:val="en-IE"/>
              </w:rPr>
              <w:t xml:space="preserve">masks for healthcare workers </w:t>
            </w:r>
            <w:r>
              <w:rPr>
                <w:noProof/>
                <w:lang w:val="en-IE"/>
              </w:rPr>
              <w:t xml:space="preserve">were </w:t>
            </w:r>
            <w:r w:rsidRPr="008676AE">
              <w:rPr>
                <w:noProof/>
                <w:lang w:val="en-IE"/>
              </w:rPr>
              <w:t>distributed to Member States from July to October 2020.</w:t>
            </w:r>
          </w:p>
        </w:tc>
      </w:tr>
      <w:tr w:rsidR="00703728" w:rsidRPr="008676AE" w14:paraId="024662F2" w14:textId="77777777" w:rsidTr="00AD7F08">
        <w:tc>
          <w:tcPr>
            <w:tcW w:w="2410" w:type="dxa"/>
          </w:tcPr>
          <w:p w14:paraId="5F013781" w14:textId="1BF2EEC2" w:rsidR="00703728" w:rsidRPr="008676AE" w:rsidRDefault="00703728" w:rsidP="00B202C2">
            <w:pPr>
              <w:pStyle w:val="ppoTableacheivementvalue"/>
              <w:rPr>
                <w:noProof/>
                <w:lang w:val="en-IE"/>
              </w:rPr>
            </w:pPr>
            <w:r w:rsidRPr="008676AE">
              <w:rPr>
                <w:noProof/>
                <w:lang w:val="en-IE"/>
              </w:rPr>
              <w:t>1</w:t>
            </w:r>
            <w:r w:rsidR="00BA5DAF">
              <w:rPr>
                <w:noProof/>
                <w:lang w:val="en-IE"/>
              </w:rPr>
              <w:t>5</w:t>
            </w:r>
            <w:r>
              <w:rPr>
                <w:rFonts w:ascii="Calibri" w:hAnsi="Calibri" w:cs="Calibri"/>
                <w:noProof/>
                <w:lang w:val="en-IE"/>
              </w:rPr>
              <w:t> </w:t>
            </w:r>
            <w:r w:rsidRPr="008676AE">
              <w:rPr>
                <w:noProof/>
                <w:lang w:val="en-IE"/>
              </w:rPr>
              <w:t>000</w:t>
            </w:r>
          </w:p>
          <w:p w14:paraId="4CBB3B16" w14:textId="77777777" w:rsidR="00703728" w:rsidRPr="008676AE" w:rsidRDefault="00703728" w:rsidP="00962E3C">
            <w:pPr>
              <w:jc w:val="left"/>
              <w:rPr>
                <w:noProof/>
                <w:lang w:val="en-IE"/>
              </w:rPr>
            </w:pPr>
            <w:r w:rsidRPr="008676AE">
              <w:rPr>
                <w:noProof/>
                <w:lang w:val="en-IE"/>
              </w:rPr>
              <w:t xml:space="preserve">doctors and nurses were trained to support and assist </w:t>
            </w:r>
            <w:r>
              <w:rPr>
                <w:noProof/>
                <w:lang w:val="en-IE"/>
              </w:rPr>
              <w:t>i</w:t>
            </w:r>
            <w:r w:rsidRPr="008676AE">
              <w:rPr>
                <w:noProof/>
                <w:lang w:val="en-IE"/>
              </w:rPr>
              <w:t xml:space="preserve">ntensive </w:t>
            </w:r>
            <w:r>
              <w:rPr>
                <w:noProof/>
                <w:lang w:val="en-IE"/>
              </w:rPr>
              <w:t>c</w:t>
            </w:r>
            <w:r w:rsidRPr="008676AE">
              <w:rPr>
                <w:noProof/>
                <w:lang w:val="en-IE"/>
              </w:rPr>
              <w:t xml:space="preserve">are </w:t>
            </w:r>
            <w:r>
              <w:rPr>
                <w:noProof/>
                <w:lang w:val="en-IE"/>
              </w:rPr>
              <w:t>u</w:t>
            </w:r>
            <w:r w:rsidRPr="008676AE">
              <w:rPr>
                <w:noProof/>
                <w:lang w:val="en-IE"/>
              </w:rPr>
              <w:t>nits in 750 hospitals across the EU from August 2020 to May 2021.</w:t>
            </w:r>
          </w:p>
        </w:tc>
        <w:tc>
          <w:tcPr>
            <w:cnfStyle w:val="000001000000" w:firstRow="0" w:lastRow="0" w:firstColumn="0" w:lastColumn="0" w:oddVBand="0" w:evenVBand="1" w:oddHBand="0" w:evenHBand="0" w:firstRowFirstColumn="0" w:firstRowLastColumn="0" w:lastRowFirstColumn="0" w:lastRowLastColumn="0"/>
            <w:tcW w:w="2409" w:type="dxa"/>
            <w:shd w:val="clear" w:color="auto" w:fill="F2F2F2"/>
          </w:tcPr>
          <w:p w14:paraId="45D6920F" w14:textId="0E41E0F3" w:rsidR="00703728" w:rsidRPr="008676AE" w:rsidRDefault="00B450EC" w:rsidP="00B202C2">
            <w:pPr>
              <w:pStyle w:val="ppoTableacheivementvalue"/>
              <w:rPr>
                <w:noProof/>
                <w:lang w:val="en-IE"/>
              </w:rPr>
            </w:pPr>
            <w:r>
              <w:rPr>
                <w:noProof/>
                <w:lang w:val="en-IE"/>
              </w:rPr>
              <w:t>4</w:t>
            </w:r>
            <w:r w:rsidR="00703728" w:rsidRPr="008676AE">
              <w:rPr>
                <w:noProof/>
                <w:lang w:val="en-IE"/>
              </w:rPr>
              <w:t>.</w:t>
            </w:r>
            <w:r w:rsidR="00BA5DAF">
              <w:rPr>
                <w:noProof/>
                <w:lang w:val="en-IE"/>
              </w:rPr>
              <w:t>6</w:t>
            </w:r>
            <w:r w:rsidR="00703728">
              <w:rPr>
                <w:rFonts w:ascii="Calibri" w:hAnsi="Calibri" w:cs="Calibri"/>
                <w:noProof/>
                <w:lang w:val="en-IE"/>
              </w:rPr>
              <w:t> </w:t>
            </w:r>
            <w:r w:rsidR="00703728" w:rsidRPr="008676AE">
              <w:rPr>
                <w:noProof/>
                <w:lang w:val="en-IE"/>
              </w:rPr>
              <w:t>billion</w:t>
            </w:r>
          </w:p>
          <w:p w14:paraId="53AE25D6" w14:textId="77777777" w:rsidR="00703728" w:rsidRPr="008676AE" w:rsidRDefault="00703728" w:rsidP="00962E3C">
            <w:pPr>
              <w:jc w:val="left"/>
              <w:rPr>
                <w:noProof/>
                <w:lang w:val="en-IE"/>
              </w:rPr>
            </w:pPr>
            <w:bookmarkStart w:id="129" w:name="_Hlk101787966"/>
            <w:r w:rsidRPr="008676AE">
              <w:rPr>
                <w:noProof/>
                <w:lang w:val="en-IE"/>
              </w:rPr>
              <w:t>doses of</w:t>
            </w:r>
            <w:r>
              <w:rPr>
                <w:noProof/>
                <w:lang w:val="en-IE"/>
              </w:rPr>
              <w:t xml:space="preserve"> COVID</w:t>
            </w:r>
            <w:r>
              <w:rPr>
                <w:noProof/>
                <w:lang w:val="en-IE"/>
              </w:rPr>
              <w:noBreakHyphen/>
              <w:t>19</w:t>
            </w:r>
            <w:r w:rsidRPr="008676AE">
              <w:rPr>
                <w:noProof/>
                <w:lang w:val="en-IE"/>
              </w:rPr>
              <w:t xml:space="preserve"> vaccines were secured for delivery</w:t>
            </w:r>
            <w:r>
              <w:rPr>
                <w:noProof/>
                <w:lang w:val="en-IE"/>
              </w:rPr>
              <w:t xml:space="preserve"> under the ESI, which</w:t>
            </w:r>
            <w:r w:rsidRPr="008676AE">
              <w:rPr>
                <w:noProof/>
                <w:lang w:val="en-IE"/>
              </w:rPr>
              <w:t xml:space="preserve"> start</w:t>
            </w:r>
            <w:r>
              <w:rPr>
                <w:noProof/>
                <w:lang w:val="en-IE"/>
              </w:rPr>
              <w:t>ed</w:t>
            </w:r>
            <w:r w:rsidRPr="008676AE">
              <w:rPr>
                <w:noProof/>
                <w:lang w:val="en-IE"/>
              </w:rPr>
              <w:t xml:space="preserve"> in December 2020.</w:t>
            </w:r>
            <w:bookmarkEnd w:id="129"/>
          </w:p>
        </w:tc>
        <w:tc>
          <w:tcPr>
            <w:tcW w:w="2410" w:type="dxa"/>
            <w:tcBorders>
              <w:bottom w:val="nil"/>
            </w:tcBorders>
            <w:shd w:val="clear" w:color="auto" w:fill="FFFFFF" w:themeFill="background1"/>
          </w:tcPr>
          <w:p w14:paraId="5AEE5B28" w14:textId="77777777" w:rsidR="00703728" w:rsidRPr="008676AE" w:rsidRDefault="00703728" w:rsidP="00B202C2">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cnfStyle w:val="000001000000" w:firstRow="0" w:lastRow="0" w:firstColumn="0" w:lastColumn="0" w:oddVBand="0" w:evenVBand="1" w:oddHBand="0" w:evenHBand="0" w:firstRowFirstColumn="0" w:firstRowLastColumn="0" w:lastRowFirstColumn="0" w:lastRowLastColumn="0"/>
            <w:tcW w:w="2410" w:type="dxa"/>
            <w:tcBorders>
              <w:bottom w:val="nil"/>
            </w:tcBorders>
            <w:shd w:val="clear" w:color="auto" w:fill="FFFFFF" w:themeFill="background1"/>
          </w:tcPr>
          <w:p w14:paraId="052BF443" w14:textId="77777777" w:rsidR="00703728" w:rsidRPr="008676AE" w:rsidRDefault="00703728" w:rsidP="00B202C2">
            <w:pPr>
              <w:rPr>
                <w:noProof/>
                <w:lang w:val="en-IE"/>
              </w:rPr>
            </w:pPr>
          </w:p>
        </w:tc>
      </w:tr>
    </w:tbl>
    <w:p w14:paraId="614E7EA8" w14:textId="77777777" w:rsidR="00703728" w:rsidRPr="00045449" w:rsidRDefault="00703728" w:rsidP="00703728">
      <w:pPr>
        <w:pStyle w:val="FootnoteText"/>
        <w:rPr>
          <w:rFonts w:eastAsiaTheme="minorEastAsia"/>
          <w:noProof/>
          <w:lang w:val="en-IE"/>
        </w:rPr>
      </w:pPr>
      <w:r w:rsidRPr="00045449">
        <w:rPr>
          <w:rFonts w:eastAsiaTheme="minorEastAsia"/>
          <w:noProof/>
          <w:lang w:val="en-IE"/>
        </w:rPr>
        <w:t>(*)</w:t>
      </w:r>
      <w:r>
        <w:rPr>
          <w:rFonts w:eastAsiaTheme="minorEastAsia"/>
          <w:noProof/>
          <w:lang w:val="en-IE"/>
        </w:rPr>
        <w:tab/>
      </w:r>
      <w:r w:rsidRPr="00045449">
        <w:rPr>
          <w:rFonts w:eastAsiaTheme="minorEastAsia"/>
          <w:noProof/>
          <w:lang w:val="en-IE"/>
        </w:rPr>
        <w:t>Key achievements in the table state which period they relate to. Many come from the implementation of the predecessor programmes under the 2014-2020 multiannual financial framework. This is expected and is due to the multiannual life cycle of EU programmes and the projects they finance, where results often follow only after completion of the programmes.</w:t>
      </w:r>
    </w:p>
    <w:p w14:paraId="1B5DDB56" w14:textId="77777777" w:rsidR="00703728" w:rsidRPr="008676AE" w:rsidRDefault="00703728" w:rsidP="00703728">
      <w:pPr>
        <w:pStyle w:val="ppoHeading5"/>
        <w:rPr>
          <w:noProof/>
          <w:lang w:val="en-IE"/>
        </w:rPr>
      </w:pPr>
      <w:r w:rsidRPr="008676AE">
        <w:rPr>
          <w:noProof/>
          <w:lang w:val="en-IE"/>
        </w:rPr>
        <w:t xml:space="preserve">Budget </w:t>
      </w:r>
      <w:r>
        <w:rPr>
          <w:noProof/>
          <w:lang w:val="en-IE"/>
        </w:rPr>
        <w:t xml:space="preserve">for </w:t>
      </w:r>
      <w:r w:rsidRPr="008676AE">
        <w:rPr>
          <w:noProof/>
          <w:lang w:val="en-IE"/>
        </w:rPr>
        <w:t>2021-2027</w:t>
      </w:r>
    </w:p>
    <w:p w14:paraId="7AB436B9" w14:textId="77777777" w:rsidR="00703728" w:rsidRPr="008676AE" w:rsidRDefault="00703728" w:rsidP="00703728">
      <w:pPr>
        <w:pStyle w:val="ppoTableTabletitle"/>
        <w:ind w:left="284"/>
        <w:rPr>
          <w:noProof/>
          <w:lang w:val="en-IE"/>
        </w:rPr>
      </w:pPr>
      <w:r w:rsidRPr="008676AE">
        <w:rPr>
          <w:noProof/>
          <w:lang w:val="en-IE"/>
        </w:rPr>
        <w:t>(</w:t>
      </w:r>
      <w:r>
        <w:rPr>
          <w:noProof/>
          <w:lang w:val="en-IE"/>
        </w:rPr>
        <w:t>million EUR</w:t>
      </w:r>
      <w:r w:rsidRPr="008676AE">
        <w:rPr>
          <w:noProof/>
          <w:lang w:val="en-IE"/>
        </w:rPr>
        <w:t>)</w:t>
      </w:r>
    </w:p>
    <w:tbl>
      <w:tblPr>
        <w:tblStyle w:val="PlainTable2"/>
        <w:tblW w:w="0" w:type="auto"/>
        <w:tblInd w:w="288" w:type="dxa"/>
        <w:tblLook w:val="04A0" w:firstRow="1" w:lastRow="0" w:firstColumn="1" w:lastColumn="0" w:noHBand="0" w:noVBand="1"/>
      </w:tblPr>
      <w:tblGrid>
        <w:gridCol w:w="4788"/>
        <w:gridCol w:w="2610"/>
      </w:tblGrid>
      <w:tr w:rsidR="00703728" w:rsidRPr="008676AE" w14:paraId="1C7FB62C" w14:textId="77777777" w:rsidTr="00B202C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6EA45828" w14:textId="77777777" w:rsidR="00703728" w:rsidRPr="008676AE" w:rsidRDefault="00703728" w:rsidP="00B202C2">
            <w:pPr>
              <w:spacing w:before="120" w:after="120"/>
              <w:rPr>
                <w:noProof/>
                <w:lang w:val="en-IE"/>
              </w:rPr>
            </w:pPr>
            <w:r w:rsidRPr="008676AE">
              <w:rPr>
                <w:rFonts w:cs="Calibri"/>
                <w:noProof/>
                <w:color w:val="000000"/>
                <w:lang w:val="en-IE"/>
              </w:rPr>
              <w:t>Financial programming</w:t>
            </w:r>
          </w:p>
        </w:tc>
        <w:tc>
          <w:tcPr>
            <w:tcW w:w="2610" w:type="dxa"/>
            <w:shd w:val="clear" w:color="auto" w:fill="auto"/>
            <w:vAlign w:val="bottom"/>
          </w:tcPr>
          <w:p w14:paraId="31D6E799" w14:textId="77777777" w:rsidR="00703728" w:rsidRPr="008676AE" w:rsidRDefault="00703728" w:rsidP="00B202C2">
            <w:pPr>
              <w:spacing w:before="120" w:after="120"/>
              <w:jc w:val="center"/>
              <w:cnfStyle w:val="100000000000" w:firstRow="1" w:lastRow="0" w:firstColumn="0" w:lastColumn="0" w:oddVBand="0" w:evenVBand="0" w:oddHBand="0" w:evenHBand="0" w:firstRowFirstColumn="0" w:firstRowLastColumn="0" w:lastRowFirstColumn="0" w:lastRowLastColumn="0"/>
              <w:rPr>
                <w:b w:val="0"/>
                <w:noProof/>
                <w:lang w:val="en-IE"/>
              </w:rPr>
            </w:pPr>
            <w:r w:rsidRPr="008676AE">
              <w:rPr>
                <w:rFonts w:cs="Calibri"/>
                <w:b w:val="0"/>
                <w:noProof/>
                <w:color w:val="000000"/>
                <w:lang w:val="en-IE"/>
              </w:rPr>
              <w:t>231.7</w:t>
            </w:r>
          </w:p>
        </w:tc>
      </w:tr>
      <w:tr w:rsidR="00703728" w:rsidRPr="008676AE" w14:paraId="6BFBC1D8" w14:textId="77777777" w:rsidTr="00B202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6A7C6470" w14:textId="77777777" w:rsidR="00703728" w:rsidRPr="008676AE" w:rsidRDefault="00703728" w:rsidP="00B202C2">
            <w:pPr>
              <w:spacing w:before="120" w:after="120"/>
              <w:rPr>
                <w:b w:val="0"/>
                <w:noProof/>
                <w:lang w:val="en-IE"/>
              </w:rPr>
            </w:pPr>
            <w:r w:rsidRPr="008676AE">
              <w:rPr>
                <w:rFonts w:cs="Calibri"/>
                <w:noProof/>
                <w:color w:val="000000"/>
                <w:lang w:val="en-IE"/>
              </w:rPr>
              <w:t>NextGenerationEU</w:t>
            </w:r>
          </w:p>
        </w:tc>
        <w:tc>
          <w:tcPr>
            <w:tcW w:w="2610" w:type="dxa"/>
            <w:vAlign w:val="bottom"/>
          </w:tcPr>
          <w:p w14:paraId="41260E34" w14:textId="77777777" w:rsidR="00703728" w:rsidRPr="008676AE" w:rsidRDefault="00703728" w:rsidP="00B202C2">
            <w:pPr>
              <w:spacing w:before="120" w:after="120"/>
              <w:jc w:val="center"/>
              <w:cnfStyle w:val="000000100000" w:firstRow="0" w:lastRow="0" w:firstColumn="0" w:lastColumn="0" w:oddVBand="0" w:evenVBand="0" w:oddHBand="1" w:evenHBand="0" w:firstRowFirstColumn="0" w:firstRowLastColumn="0" w:lastRowFirstColumn="0" w:lastRowLastColumn="0"/>
              <w:rPr>
                <w:noProof/>
                <w:lang w:val="en-IE"/>
              </w:rPr>
            </w:pPr>
            <w:r w:rsidRPr="008676AE">
              <w:rPr>
                <w:rFonts w:cs="Calibri"/>
                <w:noProof/>
                <w:color w:val="000000"/>
                <w:lang w:val="en-IE"/>
              </w:rPr>
              <w:t>0</w:t>
            </w:r>
          </w:p>
        </w:tc>
      </w:tr>
      <w:tr w:rsidR="00703728" w:rsidRPr="008676AE" w14:paraId="016F9C64" w14:textId="77777777" w:rsidTr="00B202C2">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34487D52" w14:textId="77777777" w:rsidR="00703728" w:rsidRPr="008676AE" w:rsidRDefault="00703728" w:rsidP="00B202C2">
            <w:pPr>
              <w:spacing w:before="120" w:after="120"/>
              <w:rPr>
                <w:b w:val="0"/>
                <w:noProof/>
                <w:lang w:val="en-IE"/>
              </w:rPr>
            </w:pPr>
            <w:r w:rsidRPr="008676AE">
              <w:rPr>
                <w:noProof/>
                <w:lang w:val="en-IE"/>
              </w:rPr>
              <w:t>Decommitments made available again</w:t>
            </w:r>
            <w:r>
              <w:rPr>
                <w:rFonts w:ascii="Calibri" w:hAnsi="Calibri" w:cs="Calibri"/>
                <w:noProof/>
                <w:color w:val="000000"/>
                <w:lang w:val="en-IE"/>
              </w:rPr>
              <w:t> </w:t>
            </w:r>
            <w:r>
              <w:rPr>
                <w:rFonts w:cs="Calibri"/>
                <w:noProof/>
                <w:color w:val="000000"/>
                <w:lang w:val="en-IE"/>
              </w:rPr>
              <w:t>(</w:t>
            </w:r>
            <w:r w:rsidRPr="008676AE">
              <w:rPr>
                <w:rFonts w:cs="Calibri"/>
                <w:noProof/>
                <w:color w:val="000000"/>
                <w:lang w:val="en-IE"/>
              </w:rPr>
              <w:t>*</w:t>
            </w:r>
            <w:r>
              <w:rPr>
                <w:rFonts w:cs="Calibri"/>
                <w:noProof/>
                <w:color w:val="000000"/>
                <w:lang w:val="en-IE"/>
              </w:rPr>
              <w:t>)</w:t>
            </w:r>
          </w:p>
        </w:tc>
        <w:tc>
          <w:tcPr>
            <w:tcW w:w="2610" w:type="dxa"/>
            <w:vAlign w:val="bottom"/>
          </w:tcPr>
          <w:p w14:paraId="5BFC8462" w14:textId="67906001" w:rsidR="00703728" w:rsidRPr="008676AE" w:rsidRDefault="00703728" w:rsidP="00B202C2">
            <w:pPr>
              <w:spacing w:before="120" w:after="120"/>
              <w:jc w:val="center"/>
              <w:cnfStyle w:val="000000000000" w:firstRow="0" w:lastRow="0" w:firstColumn="0" w:lastColumn="0" w:oddVBand="0" w:evenVBand="0" w:oddHBand="0" w:evenHBand="0" w:firstRowFirstColumn="0" w:firstRowLastColumn="0" w:lastRowFirstColumn="0" w:lastRowLastColumn="0"/>
              <w:rPr>
                <w:noProof/>
                <w:lang w:val="en-IE"/>
              </w:rPr>
            </w:pPr>
            <w:r>
              <w:rPr>
                <w:rFonts w:cs="Calibri"/>
                <w:noProof/>
                <w:color w:val="000000"/>
                <w:lang w:val="en-IE"/>
              </w:rPr>
              <w:t>N/A</w:t>
            </w:r>
          </w:p>
        </w:tc>
      </w:tr>
      <w:tr w:rsidR="00703728" w:rsidRPr="008676AE" w14:paraId="799B660C" w14:textId="77777777" w:rsidTr="00B202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31CF5450" w14:textId="77777777" w:rsidR="00703728" w:rsidRPr="008676AE" w:rsidRDefault="00703728" w:rsidP="00B202C2">
            <w:pPr>
              <w:spacing w:before="120" w:after="120"/>
              <w:rPr>
                <w:noProof/>
                <w:lang w:val="en-IE"/>
              </w:rPr>
            </w:pPr>
            <w:r w:rsidRPr="008676AE">
              <w:rPr>
                <w:rFonts w:cs="Calibri"/>
                <w:noProof/>
                <w:color w:val="000000"/>
                <w:lang w:val="en-IE"/>
              </w:rPr>
              <w:t>Contributions from other countries and entities</w:t>
            </w:r>
          </w:p>
        </w:tc>
        <w:tc>
          <w:tcPr>
            <w:tcW w:w="2610" w:type="dxa"/>
            <w:vAlign w:val="bottom"/>
          </w:tcPr>
          <w:p w14:paraId="79E24C70" w14:textId="77777777" w:rsidR="00703728" w:rsidRPr="008676AE" w:rsidRDefault="00703728" w:rsidP="00B202C2">
            <w:pPr>
              <w:spacing w:before="120" w:after="120"/>
              <w:jc w:val="center"/>
              <w:cnfStyle w:val="000000100000" w:firstRow="0" w:lastRow="0" w:firstColumn="0" w:lastColumn="0" w:oddVBand="0" w:evenVBand="0" w:oddHBand="1" w:evenHBand="0" w:firstRowFirstColumn="0" w:firstRowLastColumn="0" w:lastRowFirstColumn="0" w:lastRowLastColumn="0"/>
              <w:rPr>
                <w:noProof/>
                <w:lang w:val="en-IE"/>
              </w:rPr>
            </w:pPr>
            <w:r w:rsidRPr="008676AE">
              <w:rPr>
                <w:rFonts w:cs="Calibri"/>
                <w:noProof/>
                <w:color w:val="000000"/>
                <w:lang w:val="en-IE"/>
              </w:rPr>
              <w:t>416.6</w:t>
            </w:r>
          </w:p>
        </w:tc>
      </w:tr>
      <w:tr w:rsidR="00703728" w:rsidRPr="008676AE" w14:paraId="0D7FADE8" w14:textId="77777777" w:rsidTr="00B202C2">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2F2F2" w:themeFill="background1" w:themeFillShade="F2"/>
            <w:vAlign w:val="bottom"/>
          </w:tcPr>
          <w:p w14:paraId="59A6DE9B" w14:textId="77777777" w:rsidR="00703728" w:rsidRPr="008676AE" w:rsidRDefault="00703728" w:rsidP="00B202C2">
            <w:pPr>
              <w:spacing w:before="120" w:after="120"/>
              <w:rPr>
                <w:noProof/>
                <w:lang w:val="en-IE"/>
              </w:rPr>
            </w:pPr>
            <w:r>
              <w:rPr>
                <w:rFonts w:cs="Calibri"/>
                <w:noProof/>
                <w:color w:val="000000"/>
                <w:lang w:val="en-IE"/>
              </w:rPr>
              <w:t>T</w:t>
            </w:r>
            <w:r w:rsidRPr="008676AE">
              <w:rPr>
                <w:rFonts w:cs="Calibri"/>
                <w:noProof/>
                <w:color w:val="000000"/>
                <w:lang w:val="en-IE"/>
              </w:rPr>
              <w:t xml:space="preserve">otal budget </w:t>
            </w:r>
            <w:r>
              <w:rPr>
                <w:rFonts w:cs="Calibri"/>
                <w:noProof/>
                <w:color w:val="000000"/>
                <w:lang w:val="en-IE"/>
              </w:rPr>
              <w:t xml:space="preserve">for </w:t>
            </w:r>
            <w:r w:rsidRPr="008676AE">
              <w:rPr>
                <w:rFonts w:cs="Calibri"/>
                <w:noProof/>
                <w:color w:val="000000"/>
                <w:lang w:val="en-IE"/>
              </w:rPr>
              <w:t>2021-2027</w:t>
            </w:r>
          </w:p>
        </w:tc>
        <w:tc>
          <w:tcPr>
            <w:tcW w:w="2610" w:type="dxa"/>
            <w:shd w:val="clear" w:color="auto" w:fill="F2F2F2" w:themeFill="background1" w:themeFillShade="F2"/>
            <w:vAlign w:val="bottom"/>
          </w:tcPr>
          <w:p w14:paraId="71B6D113" w14:textId="77777777" w:rsidR="00703728" w:rsidRPr="008676AE" w:rsidRDefault="00703728" w:rsidP="00B202C2">
            <w:pPr>
              <w:spacing w:before="120" w:after="120"/>
              <w:jc w:val="center"/>
              <w:cnfStyle w:val="000000000000" w:firstRow="0" w:lastRow="0" w:firstColumn="0" w:lastColumn="0" w:oddVBand="0" w:evenVBand="0" w:oddHBand="0" w:evenHBand="0" w:firstRowFirstColumn="0" w:firstRowLastColumn="0" w:lastRowFirstColumn="0" w:lastRowLastColumn="0"/>
              <w:rPr>
                <w:b/>
                <w:noProof/>
                <w:lang w:val="en-IE"/>
              </w:rPr>
            </w:pPr>
            <w:r w:rsidRPr="008676AE">
              <w:rPr>
                <w:rFonts w:cs="Calibri"/>
                <w:b/>
                <w:noProof/>
                <w:color w:val="000000"/>
                <w:lang w:val="en-IE"/>
              </w:rPr>
              <w:t>648.3</w:t>
            </w:r>
          </w:p>
        </w:tc>
      </w:tr>
    </w:tbl>
    <w:p w14:paraId="763F5540" w14:textId="77777777" w:rsidR="00703728" w:rsidRPr="002A4508" w:rsidRDefault="00703728" w:rsidP="00703728">
      <w:pPr>
        <w:tabs>
          <w:tab w:val="left" w:pos="6793"/>
        </w:tabs>
        <w:rPr>
          <w:noProof/>
          <w:sz w:val="18"/>
          <w:szCs w:val="18"/>
          <w:lang w:val="en-IE"/>
        </w:rPr>
      </w:pPr>
      <w:r>
        <w:rPr>
          <w:noProof/>
          <w:sz w:val="18"/>
          <w:szCs w:val="18"/>
          <w:lang w:val="en-IE"/>
        </w:rPr>
        <w:t>(</w:t>
      </w:r>
      <w:r w:rsidRPr="002A4508">
        <w:rPr>
          <w:noProof/>
          <w:sz w:val="18"/>
          <w:szCs w:val="18"/>
          <w:lang w:val="en-IE"/>
        </w:rPr>
        <w:t>*</w:t>
      </w:r>
      <w:r>
        <w:rPr>
          <w:noProof/>
          <w:sz w:val="18"/>
          <w:szCs w:val="18"/>
          <w:lang w:val="en-IE"/>
        </w:rPr>
        <w:t>)</w:t>
      </w:r>
      <w:r w:rsidRPr="002A4508">
        <w:rPr>
          <w:noProof/>
          <w:sz w:val="18"/>
          <w:szCs w:val="18"/>
          <w:lang w:val="en-IE"/>
        </w:rPr>
        <w:t xml:space="preserve"> Only Article</w:t>
      </w:r>
      <w:r w:rsidRPr="002A4508">
        <w:rPr>
          <w:rFonts w:ascii="Calibri" w:hAnsi="Calibri" w:cs="Calibri"/>
          <w:noProof/>
          <w:sz w:val="18"/>
          <w:szCs w:val="18"/>
          <w:lang w:val="en-IE"/>
        </w:rPr>
        <w:t> </w:t>
      </w:r>
      <w:r w:rsidRPr="002A4508">
        <w:rPr>
          <w:noProof/>
          <w:sz w:val="18"/>
          <w:szCs w:val="18"/>
          <w:lang w:val="en-IE"/>
        </w:rPr>
        <w:t xml:space="preserve">15(3) of the financial </w:t>
      </w:r>
      <w:r w:rsidRPr="00045449">
        <w:rPr>
          <w:noProof/>
          <w:sz w:val="18"/>
          <w:szCs w:val="18"/>
          <w:lang w:val="en-IE"/>
        </w:rPr>
        <w:t>r</w:t>
      </w:r>
      <w:r w:rsidRPr="002A4508">
        <w:rPr>
          <w:noProof/>
          <w:sz w:val="18"/>
          <w:szCs w:val="18"/>
          <w:lang w:val="en-IE"/>
        </w:rPr>
        <w:t>egulation</w:t>
      </w:r>
      <w:r w:rsidRPr="00045449">
        <w:rPr>
          <w:noProof/>
          <w:sz w:val="18"/>
          <w:szCs w:val="18"/>
          <w:lang w:val="en-IE"/>
        </w:rPr>
        <w:t>.</w:t>
      </w:r>
    </w:p>
    <w:p w14:paraId="76B66C63" w14:textId="77777777" w:rsidR="00703728" w:rsidRPr="008676AE" w:rsidRDefault="00703728" w:rsidP="00703728">
      <w:pPr>
        <w:pStyle w:val="ppoHeading5"/>
        <w:rPr>
          <w:noProof/>
          <w:lang w:val="en-IE"/>
        </w:rPr>
      </w:pPr>
      <w:r w:rsidRPr="008676AE">
        <w:rPr>
          <w:noProof/>
          <w:lang w:val="en-IE"/>
        </w:rPr>
        <w:t>Rationale and design of the programme</w:t>
      </w:r>
    </w:p>
    <w:p w14:paraId="4F6900C8" w14:textId="77777777" w:rsidR="00703728" w:rsidRPr="008676AE" w:rsidRDefault="00703728" w:rsidP="00703728">
      <w:pPr>
        <w:rPr>
          <w:rFonts w:eastAsiaTheme="minorEastAsia"/>
          <w:noProof/>
          <w:lang w:val="en-IE"/>
        </w:rPr>
      </w:pPr>
      <w:r w:rsidRPr="008676AE">
        <w:rPr>
          <w:rFonts w:eastAsiaTheme="minorEastAsia"/>
          <w:noProof/>
          <w:lang w:val="en-IE"/>
        </w:rPr>
        <w:t>The instrument is designed to allow for a comprehensive and flexible response to the urgent, evolving and diverse needs</w:t>
      </w:r>
      <w:r>
        <w:rPr>
          <w:rFonts w:eastAsiaTheme="minorEastAsia"/>
          <w:noProof/>
          <w:lang w:val="en-IE"/>
        </w:rPr>
        <w:t xml:space="preserve"> that arose</w:t>
      </w:r>
      <w:r w:rsidRPr="008676AE">
        <w:rPr>
          <w:rFonts w:eastAsiaTheme="minorEastAsia"/>
          <w:noProof/>
          <w:lang w:val="en-IE"/>
        </w:rPr>
        <w:t xml:space="preserve"> during the pandemic. It complements the efforts of Member States, in close cooperation and consultation with them, and is activated only in exceptional circumstances where no other instrument available to Member States and to the </w:t>
      </w:r>
      <w:r>
        <w:rPr>
          <w:rFonts w:eastAsiaTheme="minorEastAsia"/>
          <w:noProof/>
          <w:lang w:val="en-IE"/>
        </w:rPr>
        <w:t>EU</w:t>
      </w:r>
      <w:r w:rsidRPr="008676AE">
        <w:rPr>
          <w:rFonts w:eastAsiaTheme="minorEastAsia"/>
          <w:noProof/>
          <w:lang w:val="en-IE"/>
        </w:rPr>
        <w:t xml:space="preserve"> is sufficient.</w:t>
      </w:r>
    </w:p>
    <w:p w14:paraId="0A4FEB60" w14:textId="77777777" w:rsidR="00703728" w:rsidRPr="008676AE" w:rsidRDefault="00703728" w:rsidP="00703728">
      <w:pPr>
        <w:pStyle w:val="ppoHeading6"/>
        <w:rPr>
          <w:noProof/>
          <w:lang w:val="en-IE"/>
        </w:rPr>
      </w:pPr>
      <w:r w:rsidRPr="008676AE">
        <w:rPr>
          <w:noProof/>
          <w:lang w:val="en-IE"/>
        </w:rPr>
        <w:t>Challenge</w:t>
      </w:r>
    </w:p>
    <w:p w14:paraId="370578E0" w14:textId="77777777" w:rsidR="00703728" w:rsidRPr="008676AE" w:rsidRDefault="00703728" w:rsidP="00703728">
      <w:pPr>
        <w:rPr>
          <w:noProof/>
          <w:lang w:val="en-IE"/>
        </w:rPr>
      </w:pPr>
      <w:r w:rsidRPr="008676AE">
        <w:rPr>
          <w:noProof/>
          <w:lang w:val="en-IE"/>
        </w:rPr>
        <w:t>The COVID</w:t>
      </w:r>
      <w:r>
        <w:rPr>
          <w:noProof/>
          <w:lang w:val="en-IE"/>
        </w:rPr>
        <w:noBreakHyphen/>
      </w:r>
      <w:r w:rsidRPr="008676AE">
        <w:rPr>
          <w:noProof/>
          <w:lang w:val="en-IE"/>
        </w:rPr>
        <w:t>19 pandemic led to an unprecedented loss of life in the EU. Member States adopted exceptional measures to limit the spread of the virus</w:t>
      </w:r>
      <w:r>
        <w:rPr>
          <w:noProof/>
          <w:lang w:val="en-IE"/>
        </w:rPr>
        <w:t>, which</w:t>
      </w:r>
      <w:r w:rsidRPr="008676AE">
        <w:rPr>
          <w:noProof/>
          <w:lang w:val="en-IE"/>
        </w:rPr>
        <w:t xml:space="preserve"> </w:t>
      </w:r>
      <w:r>
        <w:rPr>
          <w:noProof/>
          <w:lang w:val="en-IE"/>
        </w:rPr>
        <w:t>had</w:t>
      </w:r>
      <w:r w:rsidRPr="008676AE">
        <w:rPr>
          <w:noProof/>
          <w:lang w:val="en-IE"/>
        </w:rPr>
        <w:t xml:space="preserve"> unprecedented consequences for society and the economy. National healthcare systems in particular have been, and still are, under severe strain</w:t>
      </w:r>
      <w:r>
        <w:rPr>
          <w:noProof/>
          <w:lang w:val="en-IE"/>
        </w:rPr>
        <w:t>,</w:t>
      </w:r>
      <w:r w:rsidRPr="008676AE">
        <w:rPr>
          <w:noProof/>
          <w:lang w:val="en-IE"/>
        </w:rPr>
        <w:t xml:space="preserve"> </w:t>
      </w:r>
      <w:r>
        <w:rPr>
          <w:noProof/>
          <w:lang w:val="en-IE"/>
        </w:rPr>
        <w:t>with</w:t>
      </w:r>
      <w:r w:rsidRPr="008676AE">
        <w:rPr>
          <w:noProof/>
          <w:lang w:val="en-IE"/>
        </w:rPr>
        <w:t xml:space="preserve"> Member States fac</w:t>
      </w:r>
      <w:r>
        <w:rPr>
          <w:noProof/>
          <w:lang w:val="en-IE"/>
        </w:rPr>
        <w:t>ing</w:t>
      </w:r>
      <w:r w:rsidRPr="008676AE">
        <w:rPr>
          <w:noProof/>
          <w:lang w:val="en-IE"/>
        </w:rPr>
        <w:t xml:space="preserve"> </w:t>
      </w:r>
      <w:r>
        <w:rPr>
          <w:noProof/>
          <w:lang w:val="en-IE"/>
        </w:rPr>
        <w:t xml:space="preserve">an </w:t>
      </w:r>
      <w:r w:rsidRPr="008676AE">
        <w:rPr>
          <w:noProof/>
          <w:lang w:val="en-IE"/>
        </w:rPr>
        <w:t xml:space="preserve">urgent and high need for medical supplies, treatments and vaccines, additional hospital beds and </w:t>
      </w:r>
      <w:r>
        <w:rPr>
          <w:noProof/>
          <w:lang w:val="en-IE"/>
        </w:rPr>
        <w:t xml:space="preserve">an increased </w:t>
      </w:r>
      <w:r w:rsidRPr="008676AE">
        <w:rPr>
          <w:noProof/>
          <w:lang w:val="en-IE"/>
        </w:rPr>
        <w:t>workforce.</w:t>
      </w:r>
    </w:p>
    <w:p w14:paraId="67FAE949" w14:textId="77777777" w:rsidR="00703728" w:rsidRPr="008676AE" w:rsidRDefault="00703728" w:rsidP="00703728">
      <w:pPr>
        <w:rPr>
          <w:noProof/>
          <w:lang w:val="en-IE"/>
        </w:rPr>
      </w:pPr>
      <w:r w:rsidRPr="008676AE">
        <w:rPr>
          <w:noProof/>
          <w:lang w:val="en-IE"/>
        </w:rPr>
        <w:t>On 14</w:t>
      </w:r>
      <w:r>
        <w:rPr>
          <w:rFonts w:ascii="Calibri" w:hAnsi="Calibri" w:cs="Calibri"/>
          <w:noProof/>
          <w:lang w:val="en-IE"/>
        </w:rPr>
        <w:t> </w:t>
      </w:r>
      <w:r w:rsidRPr="008676AE">
        <w:rPr>
          <w:noProof/>
          <w:lang w:val="en-IE"/>
        </w:rPr>
        <w:t>April 2020, the Council</w:t>
      </w:r>
      <w:r>
        <w:rPr>
          <w:noProof/>
          <w:lang w:val="en-IE"/>
        </w:rPr>
        <w:t xml:space="preserve"> of the European Union</w:t>
      </w:r>
      <w:r w:rsidRPr="008676AE">
        <w:rPr>
          <w:noProof/>
          <w:lang w:val="en-IE"/>
        </w:rPr>
        <w:t xml:space="preserve"> adopted Council Regulation (EU) 2020/521</w:t>
      </w:r>
      <w:r>
        <w:rPr>
          <w:noProof/>
          <w:lang w:val="en-IE"/>
        </w:rPr>
        <w:t>,</w:t>
      </w:r>
      <w:r w:rsidRPr="008676AE">
        <w:rPr>
          <w:noProof/>
          <w:lang w:val="en-IE"/>
        </w:rPr>
        <w:t xml:space="preserve"> activating emergency support under Council Regulation (EU) 2016/369 to finance </w:t>
      </w:r>
      <w:r>
        <w:rPr>
          <w:noProof/>
          <w:lang w:val="en-IE"/>
        </w:rPr>
        <w:t xml:space="preserve">the </w:t>
      </w:r>
      <w:r w:rsidRPr="008676AE">
        <w:rPr>
          <w:noProof/>
          <w:lang w:val="en-IE"/>
        </w:rPr>
        <w:t>expenditure necessary to address the COVID</w:t>
      </w:r>
      <w:r>
        <w:rPr>
          <w:rFonts w:ascii="Cambria Math" w:hAnsi="Cambria Math" w:cs="Cambria Math"/>
          <w:noProof/>
          <w:lang w:val="en-IE"/>
        </w:rPr>
        <w:noBreakHyphen/>
      </w:r>
      <w:r w:rsidRPr="008676AE">
        <w:rPr>
          <w:noProof/>
          <w:lang w:val="en-IE"/>
        </w:rPr>
        <w:t xml:space="preserve">19 pandemic. Unlike other programmes, the Emergency Support Instrument (ESI) is activated independently of the multiannual financial framework for the period </w:t>
      </w:r>
      <w:r>
        <w:rPr>
          <w:noProof/>
          <w:lang w:val="en-IE"/>
        </w:rPr>
        <w:t xml:space="preserve">from </w:t>
      </w:r>
      <w:r w:rsidRPr="008676AE">
        <w:rPr>
          <w:noProof/>
          <w:lang w:val="en-IE"/>
        </w:rPr>
        <w:t>1</w:t>
      </w:r>
      <w:r>
        <w:rPr>
          <w:rFonts w:ascii="Calibri" w:hAnsi="Calibri" w:cs="Calibri"/>
          <w:noProof/>
          <w:lang w:val="en-IE"/>
        </w:rPr>
        <w:t> </w:t>
      </w:r>
      <w:r w:rsidRPr="008676AE">
        <w:rPr>
          <w:noProof/>
          <w:lang w:val="en-IE"/>
        </w:rPr>
        <w:t>February 2020 to 31</w:t>
      </w:r>
      <w:r>
        <w:rPr>
          <w:rFonts w:ascii="Calibri" w:hAnsi="Calibri" w:cs="Calibri"/>
          <w:noProof/>
          <w:lang w:val="en-IE"/>
        </w:rPr>
        <w:t> </w:t>
      </w:r>
      <w:r w:rsidRPr="008676AE">
        <w:rPr>
          <w:noProof/>
          <w:lang w:val="en-IE"/>
        </w:rPr>
        <w:t xml:space="preserve">January 2022. </w:t>
      </w:r>
      <w:r>
        <w:rPr>
          <w:noProof/>
          <w:lang w:val="en-IE"/>
        </w:rPr>
        <w:t xml:space="preserve">A total of </w:t>
      </w:r>
      <w:r w:rsidRPr="008676AE">
        <w:rPr>
          <w:noProof/>
          <w:lang w:val="en-IE"/>
        </w:rPr>
        <w:t>EUR</w:t>
      </w:r>
      <w:r w:rsidRPr="008676AE">
        <w:rPr>
          <w:rFonts w:ascii="Calibri" w:hAnsi="Calibri" w:cs="Calibri"/>
          <w:noProof/>
          <w:lang w:val="en-IE"/>
        </w:rPr>
        <w:t> </w:t>
      </w:r>
      <w:r w:rsidRPr="008676AE">
        <w:rPr>
          <w:noProof/>
          <w:lang w:val="en-IE"/>
        </w:rPr>
        <w:t>2</w:t>
      </w:r>
      <w:r>
        <w:rPr>
          <w:rFonts w:ascii="Calibri" w:hAnsi="Calibri" w:cs="Calibri"/>
          <w:noProof/>
          <w:lang w:val="en-IE"/>
        </w:rPr>
        <w:t>.</w:t>
      </w:r>
      <w:r w:rsidRPr="008676AE">
        <w:rPr>
          <w:noProof/>
          <w:lang w:val="en-IE"/>
        </w:rPr>
        <w:t>7</w:t>
      </w:r>
      <w:r w:rsidRPr="008676AE">
        <w:rPr>
          <w:rFonts w:ascii="Calibri" w:hAnsi="Calibri" w:cs="Calibri"/>
          <w:noProof/>
          <w:lang w:val="en-IE"/>
        </w:rPr>
        <w:t> </w:t>
      </w:r>
      <w:r>
        <w:rPr>
          <w:noProof/>
          <w:lang w:val="en-IE"/>
        </w:rPr>
        <w:t>billion</w:t>
      </w:r>
      <w:r w:rsidRPr="008676AE">
        <w:rPr>
          <w:noProof/>
          <w:lang w:val="en-IE"/>
        </w:rPr>
        <w:t xml:space="preserve"> </w:t>
      </w:r>
      <w:r>
        <w:rPr>
          <w:noProof/>
          <w:lang w:val="en-IE"/>
        </w:rPr>
        <w:t>was</w:t>
      </w:r>
      <w:r w:rsidRPr="008676AE">
        <w:rPr>
          <w:noProof/>
          <w:lang w:val="en-IE"/>
        </w:rPr>
        <w:t xml:space="preserve"> mobilised under the 2020 budget. Furthermore, by 15</w:t>
      </w:r>
      <w:r>
        <w:rPr>
          <w:rFonts w:ascii="Calibri" w:hAnsi="Calibri" w:cs="Calibri"/>
          <w:noProof/>
          <w:lang w:val="en-IE"/>
        </w:rPr>
        <w:t> </w:t>
      </w:r>
      <w:r w:rsidRPr="008676AE">
        <w:rPr>
          <w:noProof/>
          <w:lang w:val="en-IE"/>
        </w:rPr>
        <w:t xml:space="preserve">December 2020 the Member States </w:t>
      </w:r>
      <w:r>
        <w:rPr>
          <w:noProof/>
          <w:lang w:val="en-IE"/>
        </w:rPr>
        <w:t xml:space="preserve">had </w:t>
      </w:r>
      <w:r w:rsidRPr="008676AE">
        <w:rPr>
          <w:noProof/>
          <w:lang w:val="en-IE"/>
        </w:rPr>
        <w:t xml:space="preserve">made contributions </w:t>
      </w:r>
      <w:r>
        <w:rPr>
          <w:noProof/>
          <w:lang w:val="en-IE"/>
        </w:rPr>
        <w:t>amounting to</w:t>
      </w:r>
      <w:r w:rsidRPr="008676AE">
        <w:rPr>
          <w:noProof/>
          <w:lang w:val="en-IE"/>
        </w:rPr>
        <w:t xml:space="preserve"> EUR</w:t>
      </w:r>
      <w:r w:rsidRPr="008676AE">
        <w:rPr>
          <w:rFonts w:ascii="Calibri" w:hAnsi="Calibri" w:cs="Calibri"/>
          <w:noProof/>
          <w:lang w:val="en-IE"/>
        </w:rPr>
        <w:t> </w:t>
      </w:r>
      <w:r w:rsidRPr="008676AE">
        <w:rPr>
          <w:noProof/>
          <w:lang w:val="en-IE"/>
        </w:rPr>
        <w:t>750</w:t>
      </w:r>
      <w:r w:rsidRPr="008676AE">
        <w:rPr>
          <w:rFonts w:ascii="Calibri" w:hAnsi="Calibri" w:cs="Calibri"/>
          <w:noProof/>
          <w:lang w:val="en-IE"/>
        </w:rPr>
        <w:t> </w:t>
      </w:r>
      <w:r>
        <w:rPr>
          <w:noProof/>
          <w:lang w:val="en-IE"/>
        </w:rPr>
        <w:t>million</w:t>
      </w:r>
      <w:r w:rsidRPr="008676AE">
        <w:rPr>
          <w:noProof/>
          <w:lang w:val="en-IE"/>
        </w:rPr>
        <w:t xml:space="preserve"> </w:t>
      </w:r>
      <w:r>
        <w:rPr>
          <w:noProof/>
          <w:lang w:val="en-IE"/>
        </w:rPr>
        <w:t>in</w:t>
      </w:r>
      <w:r w:rsidRPr="008676AE">
        <w:rPr>
          <w:noProof/>
          <w:lang w:val="en-IE"/>
        </w:rPr>
        <w:t xml:space="preserve"> external assigned revenue. </w:t>
      </w:r>
      <w:r>
        <w:rPr>
          <w:noProof/>
          <w:lang w:val="en-IE"/>
        </w:rPr>
        <w:t>With</w:t>
      </w:r>
      <w:r w:rsidRPr="008676AE">
        <w:rPr>
          <w:noProof/>
          <w:lang w:val="en-IE"/>
        </w:rPr>
        <w:t xml:space="preserve"> many Member States </w:t>
      </w:r>
      <w:r>
        <w:rPr>
          <w:noProof/>
          <w:lang w:val="en-IE"/>
        </w:rPr>
        <w:t>facing</w:t>
      </w:r>
      <w:r w:rsidRPr="008676AE">
        <w:rPr>
          <w:noProof/>
          <w:lang w:val="en-IE"/>
        </w:rPr>
        <w:t xml:space="preserve"> a third wave of infections</w:t>
      </w:r>
      <w:r>
        <w:rPr>
          <w:noProof/>
          <w:lang w:val="en-IE"/>
        </w:rPr>
        <w:t xml:space="preserve"> at the time</w:t>
      </w:r>
      <w:r w:rsidRPr="008676AE">
        <w:rPr>
          <w:noProof/>
          <w:lang w:val="en-IE"/>
        </w:rPr>
        <w:t xml:space="preserve">, including as a result of new variants emerging in the first quarter of 2021, the </w:t>
      </w:r>
      <w:r>
        <w:rPr>
          <w:noProof/>
          <w:lang w:val="en-IE"/>
        </w:rPr>
        <w:t xml:space="preserve">European </w:t>
      </w:r>
      <w:r w:rsidRPr="008676AE">
        <w:rPr>
          <w:noProof/>
          <w:lang w:val="en-IE"/>
        </w:rPr>
        <w:t>Commission proposed to reinforce the ESI in 2021 with an additional EUR</w:t>
      </w:r>
      <w:r w:rsidRPr="008676AE">
        <w:rPr>
          <w:rFonts w:ascii="Calibri" w:hAnsi="Calibri" w:cs="Calibri"/>
          <w:noProof/>
          <w:lang w:val="en-IE"/>
        </w:rPr>
        <w:t> </w:t>
      </w:r>
      <w:r w:rsidRPr="008676AE">
        <w:rPr>
          <w:noProof/>
          <w:lang w:val="en-IE"/>
        </w:rPr>
        <w:t>231</w:t>
      </w:r>
      <w:r>
        <w:rPr>
          <w:noProof/>
          <w:lang w:val="en-IE"/>
        </w:rPr>
        <w:t>.</w:t>
      </w:r>
      <w:r w:rsidRPr="008676AE">
        <w:rPr>
          <w:noProof/>
          <w:lang w:val="en-IE"/>
        </w:rPr>
        <w:t>7</w:t>
      </w:r>
      <w:r>
        <w:rPr>
          <w:noProof/>
          <w:lang w:val="en-IE"/>
        </w:rPr>
        <w:t xml:space="preserve"> million</w:t>
      </w:r>
      <w:r w:rsidRPr="008676AE">
        <w:rPr>
          <w:noProof/>
          <w:lang w:val="en-IE"/>
        </w:rPr>
        <w:t xml:space="preserve"> from the EU budget to finance actions such as the interoperability of EU</w:t>
      </w:r>
      <w:r w:rsidRPr="008676AE">
        <w:rPr>
          <w:rFonts w:ascii="Calibri" w:hAnsi="Calibri" w:cs="Calibri"/>
          <w:noProof/>
          <w:lang w:val="en-IE"/>
        </w:rPr>
        <w:t> </w:t>
      </w:r>
      <w:r w:rsidRPr="008676AE">
        <w:rPr>
          <w:noProof/>
          <w:lang w:val="en-IE"/>
        </w:rPr>
        <w:t xml:space="preserve">Digital </w:t>
      </w:r>
      <w:r>
        <w:rPr>
          <w:noProof/>
          <w:lang w:val="en-IE"/>
        </w:rPr>
        <w:t>COVID</w:t>
      </w:r>
      <w:r w:rsidRPr="008676AE">
        <w:rPr>
          <w:noProof/>
          <w:lang w:val="en-IE"/>
        </w:rPr>
        <w:t xml:space="preserve"> certificates, an EU wastewater monitoring system, the further development of the passenger locator form exchange platform and digital platforms, and grants to Member States to support </w:t>
      </w:r>
      <w:r>
        <w:rPr>
          <w:noProof/>
          <w:lang w:val="en-IE"/>
        </w:rPr>
        <w:t xml:space="preserve">the </w:t>
      </w:r>
      <w:r w:rsidRPr="008676AE">
        <w:rPr>
          <w:noProof/>
          <w:lang w:val="en-IE"/>
        </w:rPr>
        <w:t xml:space="preserve">accessibility </w:t>
      </w:r>
      <w:r>
        <w:rPr>
          <w:noProof/>
          <w:lang w:val="en-IE"/>
        </w:rPr>
        <w:t>of</w:t>
      </w:r>
      <w:r w:rsidRPr="008676AE">
        <w:rPr>
          <w:noProof/>
          <w:lang w:val="en-IE"/>
        </w:rPr>
        <w:t xml:space="preserve"> tests for the delivery of EU Digital COVID </w:t>
      </w:r>
      <w:r>
        <w:rPr>
          <w:noProof/>
          <w:lang w:val="en-IE"/>
        </w:rPr>
        <w:t>C</w:t>
      </w:r>
      <w:r w:rsidRPr="008676AE">
        <w:rPr>
          <w:noProof/>
          <w:lang w:val="en-IE"/>
        </w:rPr>
        <w:t>ertificates. The situation evolv</w:t>
      </w:r>
      <w:r>
        <w:rPr>
          <w:noProof/>
          <w:lang w:val="en-IE"/>
        </w:rPr>
        <w:t>ed</w:t>
      </w:r>
      <w:r w:rsidRPr="008676AE">
        <w:rPr>
          <w:noProof/>
          <w:lang w:val="en-IE"/>
        </w:rPr>
        <w:t xml:space="preserve"> in 2021 with a fourth, fifth and, in some countries, sixth wave, and </w:t>
      </w:r>
      <w:r>
        <w:rPr>
          <w:noProof/>
          <w:lang w:val="en-IE"/>
        </w:rPr>
        <w:t>a decision was made</w:t>
      </w:r>
      <w:r w:rsidRPr="008676AE">
        <w:rPr>
          <w:noProof/>
          <w:lang w:val="en-IE"/>
        </w:rPr>
        <w:t xml:space="preserve"> to allocate the remaining ESI funds to vaccine donations to </w:t>
      </w:r>
      <w:r>
        <w:rPr>
          <w:noProof/>
          <w:lang w:val="en-IE"/>
        </w:rPr>
        <w:t>non-EU</w:t>
      </w:r>
      <w:r w:rsidRPr="008676AE">
        <w:rPr>
          <w:noProof/>
          <w:lang w:val="en-IE"/>
        </w:rPr>
        <w:t xml:space="preserve"> countries </w:t>
      </w:r>
      <w:r>
        <w:rPr>
          <w:noProof/>
          <w:lang w:val="en-IE"/>
        </w:rPr>
        <w:t>and to the</w:t>
      </w:r>
      <w:r w:rsidRPr="008676AE">
        <w:rPr>
          <w:noProof/>
          <w:lang w:val="en-IE"/>
        </w:rPr>
        <w:t xml:space="preserve"> characterisation of the highly contagious </w:t>
      </w:r>
      <w:r>
        <w:rPr>
          <w:noProof/>
          <w:lang w:val="en-IE"/>
        </w:rPr>
        <w:t>O</w:t>
      </w:r>
      <w:r w:rsidRPr="008676AE">
        <w:rPr>
          <w:noProof/>
          <w:lang w:val="en-IE"/>
        </w:rPr>
        <w:t xml:space="preserve">micron variant that appeared at </w:t>
      </w:r>
      <w:r>
        <w:rPr>
          <w:noProof/>
          <w:lang w:val="en-IE"/>
        </w:rPr>
        <w:t xml:space="preserve">the </w:t>
      </w:r>
      <w:r w:rsidRPr="008676AE">
        <w:rPr>
          <w:noProof/>
          <w:lang w:val="en-IE"/>
        </w:rPr>
        <w:t xml:space="preserve">end </w:t>
      </w:r>
      <w:r>
        <w:rPr>
          <w:noProof/>
          <w:lang w:val="en-IE"/>
        </w:rPr>
        <w:t xml:space="preserve">of </w:t>
      </w:r>
      <w:r w:rsidRPr="008676AE">
        <w:rPr>
          <w:noProof/>
          <w:lang w:val="en-IE"/>
        </w:rPr>
        <w:t>November 2021.</w:t>
      </w:r>
    </w:p>
    <w:p w14:paraId="1FD49367" w14:textId="77777777" w:rsidR="00703728" w:rsidRPr="008676AE" w:rsidRDefault="00703728" w:rsidP="00703728">
      <w:pPr>
        <w:pStyle w:val="ppoHeading6"/>
        <w:rPr>
          <w:noProof/>
          <w:lang w:val="en-IE"/>
        </w:rPr>
      </w:pPr>
      <w:r w:rsidRPr="008676AE">
        <w:rPr>
          <w:noProof/>
          <w:lang w:val="en-IE"/>
        </w:rPr>
        <w:t>Mission</w:t>
      </w:r>
    </w:p>
    <w:p w14:paraId="39278FE4" w14:textId="77777777" w:rsidR="00703728" w:rsidRPr="008676AE" w:rsidRDefault="00703728" w:rsidP="00703728">
      <w:pPr>
        <w:rPr>
          <w:noProof/>
          <w:lang w:val="en-IE"/>
        </w:rPr>
      </w:pPr>
      <w:r w:rsidRPr="008676AE">
        <w:rPr>
          <w:noProof/>
          <w:lang w:val="en-IE"/>
        </w:rPr>
        <w:t xml:space="preserve">The nature and consequences of the pandemic are </w:t>
      </w:r>
      <w:r>
        <w:rPr>
          <w:noProof/>
          <w:lang w:val="en-IE"/>
        </w:rPr>
        <w:t>wide-reaching</w:t>
      </w:r>
      <w:r w:rsidRPr="008676AE">
        <w:rPr>
          <w:noProof/>
          <w:lang w:val="en-IE"/>
        </w:rPr>
        <w:t xml:space="preserve"> and transnational, affecting all Member States given the quick spread of the virus and requiring a comprehensive response to allow the EU as a whole to address the crisis in a spirit of solidarity. Actions taken by the Member States alone, including with EU financial support </w:t>
      </w:r>
      <w:r>
        <w:rPr>
          <w:noProof/>
          <w:lang w:val="en-IE"/>
        </w:rPr>
        <w:t>from</w:t>
      </w:r>
      <w:r w:rsidRPr="008676AE">
        <w:rPr>
          <w:noProof/>
          <w:lang w:val="en-IE"/>
        </w:rPr>
        <w:t xml:space="preserve"> other EU instruments, are not sufficient.</w:t>
      </w:r>
    </w:p>
    <w:p w14:paraId="3DC7DD85" w14:textId="77777777" w:rsidR="00703728" w:rsidRPr="008676AE" w:rsidRDefault="00703728" w:rsidP="00703728">
      <w:pPr>
        <w:rPr>
          <w:noProof/>
          <w:lang w:val="en-IE"/>
        </w:rPr>
      </w:pPr>
      <w:r w:rsidRPr="008676AE">
        <w:rPr>
          <w:noProof/>
          <w:lang w:val="en-IE"/>
        </w:rPr>
        <w:t>The general objective is to provide needs-based emergency support, complementing the efforts of Member States aimed at preserving life, preventing and alleviating human suffering, and maintaining human dignity, wherever the need arises as a result of the pandemic.</w:t>
      </w:r>
    </w:p>
    <w:p w14:paraId="3789F9EE" w14:textId="77777777" w:rsidR="00703728" w:rsidRPr="008676AE" w:rsidRDefault="00703728" w:rsidP="00703728">
      <w:pPr>
        <w:rPr>
          <w:noProof/>
          <w:lang w:val="en-IE"/>
        </w:rPr>
      </w:pPr>
      <w:r w:rsidRPr="008676AE">
        <w:rPr>
          <w:noProof/>
          <w:lang w:val="en-IE"/>
        </w:rPr>
        <w:t xml:space="preserve">The </w:t>
      </w:r>
      <w:r>
        <w:rPr>
          <w:noProof/>
          <w:lang w:val="en-IE"/>
        </w:rPr>
        <w:t>ESI</w:t>
      </w:r>
      <w:r w:rsidRPr="008676AE">
        <w:rPr>
          <w:noProof/>
          <w:lang w:val="en-IE"/>
        </w:rPr>
        <w:t xml:space="preserve"> provides added value by directly supporting the Member States through targeted measures that can be deployed strategically and in a coordinated manner to deliver greater impact in mitigating the large-scale consequences of the pandemic.</w:t>
      </w:r>
    </w:p>
    <w:p w14:paraId="4345E54B" w14:textId="77777777" w:rsidR="00703728" w:rsidRPr="008676AE" w:rsidRDefault="00703728" w:rsidP="00703728">
      <w:pPr>
        <w:pStyle w:val="ppoHeading6"/>
        <w:rPr>
          <w:noProof/>
          <w:lang w:val="en-IE"/>
        </w:rPr>
      </w:pPr>
      <w:r w:rsidRPr="008676AE">
        <w:rPr>
          <w:noProof/>
          <w:lang w:val="en-IE"/>
        </w:rPr>
        <w:t>Objectives</w:t>
      </w:r>
    </w:p>
    <w:p w14:paraId="6B7A532C" w14:textId="77777777" w:rsidR="00703728" w:rsidRPr="008676AE" w:rsidRDefault="00703728" w:rsidP="00703728">
      <w:pPr>
        <w:rPr>
          <w:noProof/>
          <w:lang w:val="en-IE"/>
        </w:rPr>
      </w:pPr>
      <w:r w:rsidRPr="008676AE">
        <w:rPr>
          <w:noProof/>
          <w:lang w:val="en-IE"/>
        </w:rPr>
        <w:t xml:space="preserve">The legal basis of the ESI does not set out </w:t>
      </w:r>
      <w:r>
        <w:rPr>
          <w:noProof/>
          <w:lang w:val="en-IE"/>
        </w:rPr>
        <w:t xml:space="preserve">any </w:t>
      </w:r>
      <w:r w:rsidRPr="008676AE">
        <w:rPr>
          <w:noProof/>
          <w:lang w:val="en-IE"/>
        </w:rPr>
        <w:t xml:space="preserve">specific objectives, as it is designed to allow for a comprehensive and flexible response to the urgent, evolving and diverse needs </w:t>
      </w:r>
      <w:r>
        <w:rPr>
          <w:noProof/>
          <w:lang w:val="en-IE"/>
        </w:rPr>
        <w:t>arising from</w:t>
      </w:r>
      <w:r w:rsidRPr="008676AE">
        <w:rPr>
          <w:noProof/>
          <w:lang w:val="en-IE"/>
        </w:rPr>
        <w:t xml:space="preserve"> an emergency</w:t>
      </w:r>
      <w:r>
        <w:rPr>
          <w:rFonts w:ascii="Calibri" w:hAnsi="Calibri" w:cs="Calibri"/>
          <w:noProof/>
          <w:lang w:val="en-IE"/>
        </w:rPr>
        <w:t> </w:t>
      </w:r>
      <w:r w:rsidRPr="008676AE">
        <w:rPr>
          <w:noProof/>
          <w:lang w:val="en-IE"/>
        </w:rPr>
        <w:t>– in this case the COVID</w:t>
      </w:r>
      <w:r>
        <w:rPr>
          <w:noProof/>
          <w:lang w:val="en-IE"/>
        </w:rPr>
        <w:noBreakHyphen/>
      </w:r>
      <w:r w:rsidRPr="008676AE">
        <w:rPr>
          <w:noProof/>
          <w:lang w:val="en-IE"/>
        </w:rPr>
        <w:t xml:space="preserve">19 pandemic. In line with the legal basis, the Commission closely cooperated with the Member States </w:t>
      </w:r>
      <w:r>
        <w:rPr>
          <w:noProof/>
          <w:lang w:val="en-IE"/>
        </w:rPr>
        <w:t>o</w:t>
      </w:r>
      <w:r w:rsidRPr="008676AE">
        <w:rPr>
          <w:noProof/>
          <w:lang w:val="en-IE"/>
        </w:rPr>
        <w:t>n the implementation of the instrument. It regularly exchanged views with the Member States on their needs and how these were being taken into account in the programm</w:t>
      </w:r>
      <w:r>
        <w:rPr>
          <w:noProof/>
          <w:lang w:val="en-IE"/>
        </w:rPr>
        <w:t>e</w:t>
      </w:r>
      <w:r w:rsidRPr="008676AE">
        <w:rPr>
          <w:noProof/>
          <w:lang w:val="en-IE"/>
        </w:rPr>
        <w:t xml:space="preserve">, and informed them of the state of play of the actions to be financed by the instrument. This cooperation and exchange </w:t>
      </w:r>
      <w:r>
        <w:rPr>
          <w:noProof/>
          <w:lang w:val="en-IE"/>
        </w:rPr>
        <w:t>influenced</w:t>
      </w:r>
      <w:r w:rsidRPr="008676AE">
        <w:rPr>
          <w:noProof/>
          <w:lang w:val="en-IE"/>
        </w:rPr>
        <w:t xml:space="preserve"> the choice of actions to be prioritised. The European Parliament was also kept informed</w:t>
      </w:r>
      <w:r>
        <w:rPr>
          <w:noProof/>
          <w:lang w:val="en-IE"/>
        </w:rPr>
        <w:t xml:space="preserve"> on the implementation of the instrument</w:t>
      </w:r>
      <w:r w:rsidRPr="008676AE">
        <w:rPr>
          <w:noProof/>
          <w:lang w:val="en-IE"/>
        </w:rPr>
        <w:t>.</w:t>
      </w:r>
    </w:p>
    <w:p w14:paraId="4ED5B286" w14:textId="77777777" w:rsidR="00703728" w:rsidRPr="008676AE" w:rsidRDefault="00703728" w:rsidP="00703728">
      <w:pPr>
        <w:pStyle w:val="ppoHeading6"/>
        <w:rPr>
          <w:noProof/>
          <w:lang w:val="en-IE"/>
        </w:rPr>
      </w:pPr>
      <w:r w:rsidRPr="008676AE">
        <w:rPr>
          <w:noProof/>
          <w:lang w:val="en-IE"/>
        </w:rPr>
        <w:t>Actions</w:t>
      </w:r>
    </w:p>
    <w:p w14:paraId="772E9C1D" w14:textId="77777777" w:rsidR="00703728" w:rsidRPr="008676AE" w:rsidRDefault="00703728" w:rsidP="00703728">
      <w:pPr>
        <w:rPr>
          <w:noProof/>
          <w:lang w:val="en-IE"/>
        </w:rPr>
      </w:pPr>
      <w:r w:rsidRPr="008676AE">
        <w:rPr>
          <w:noProof/>
          <w:lang w:val="en-IE"/>
        </w:rPr>
        <w:t>In line with the broad scope of possible interventions provided for by the legal bas</w:t>
      </w:r>
      <w:r>
        <w:rPr>
          <w:noProof/>
          <w:lang w:val="en-IE"/>
        </w:rPr>
        <w:t>is</w:t>
      </w:r>
      <w:r w:rsidRPr="008676AE">
        <w:rPr>
          <w:noProof/>
          <w:lang w:val="en-IE"/>
        </w:rPr>
        <w:t xml:space="preserve"> and its needs-based rationale, the </w:t>
      </w:r>
      <w:r>
        <w:rPr>
          <w:noProof/>
          <w:lang w:val="en-IE"/>
        </w:rPr>
        <w:t>ESI</w:t>
      </w:r>
      <w:r w:rsidRPr="008676AE">
        <w:rPr>
          <w:noProof/>
          <w:lang w:val="en-IE"/>
        </w:rPr>
        <w:t xml:space="preserve"> is financing a strategically chosen range of actions, reflecting the needs expressed by Member States during </w:t>
      </w:r>
      <w:r>
        <w:rPr>
          <w:noProof/>
          <w:lang w:val="en-IE"/>
        </w:rPr>
        <w:t xml:space="preserve">its </w:t>
      </w:r>
      <w:r w:rsidRPr="008676AE">
        <w:rPr>
          <w:noProof/>
          <w:lang w:val="en-IE"/>
        </w:rPr>
        <w:t>consultations with them</w:t>
      </w:r>
      <w:r>
        <w:rPr>
          <w:noProof/>
          <w:lang w:val="en-IE"/>
        </w:rPr>
        <w:t>. These actions are</w:t>
      </w:r>
      <w:r w:rsidRPr="008676AE">
        <w:rPr>
          <w:noProof/>
          <w:lang w:val="en-IE"/>
        </w:rPr>
        <w:t xml:space="preserve"> focused on respons</w:t>
      </w:r>
      <w:r>
        <w:rPr>
          <w:noProof/>
          <w:lang w:val="en-IE"/>
        </w:rPr>
        <w:t>iveness,</w:t>
      </w:r>
      <w:r w:rsidRPr="008676AE">
        <w:rPr>
          <w:noProof/>
          <w:lang w:val="en-IE"/>
        </w:rPr>
        <w:t xml:space="preserve"> increased preparedness and bringing fast, targeted and tangible impact with maximum EU added value. The following actions were allocated funding in 2021:</w:t>
      </w:r>
    </w:p>
    <w:p w14:paraId="5227F1C8" w14:textId="77777777" w:rsidR="00703728" w:rsidRPr="008676AE" w:rsidRDefault="00703728" w:rsidP="00703728">
      <w:pPr>
        <w:spacing w:after="0"/>
        <w:ind w:left="284" w:hanging="284"/>
        <w:rPr>
          <w:noProof/>
          <w:lang w:val="en-IE"/>
        </w:rPr>
      </w:pPr>
      <w:r w:rsidRPr="008676AE">
        <w:rPr>
          <w:noProof/>
          <w:lang w:val="en-IE"/>
        </w:rPr>
        <w:t xml:space="preserve">1. </w:t>
      </w:r>
      <w:r w:rsidRPr="008676AE">
        <w:rPr>
          <w:noProof/>
          <w:lang w:val="en-IE"/>
        </w:rPr>
        <w:tab/>
        <w:t>fund</w:t>
      </w:r>
      <w:r>
        <w:rPr>
          <w:noProof/>
          <w:lang w:val="en-IE"/>
        </w:rPr>
        <w:t>ing a</w:t>
      </w:r>
      <w:r w:rsidRPr="008676AE">
        <w:rPr>
          <w:noProof/>
          <w:lang w:val="en-IE"/>
        </w:rPr>
        <w:t xml:space="preserve">dvanced </w:t>
      </w:r>
      <w:r>
        <w:rPr>
          <w:noProof/>
          <w:lang w:val="en-IE"/>
        </w:rPr>
        <w:t>p</w:t>
      </w:r>
      <w:r w:rsidRPr="008676AE">
        <w:rPr>
          <w:noProof/>
          <w:lang w:val="en-IE"/>
        </w:rPr>
        <w:t xml:space="preserve">urchase </w:t>
      </w:r>
      <w:r>
        <w:rPr>
          <w:noProof/>
          <w:lang w:val="en-IE"/>
        </w:rPr>
        <w:t>a</w:t>
      </w:r>
      <w:r w:rsidRPr="008676AE">
        <w:rPr>
          <w:noProof/>
          <w:lang w:val="en-IE"/>
        </w:rPr>
        <w:t>greements with COVID</w:t>
      </w:r>
      <w:r>
        <w:rPr>
          <w:noProof/>
          <w:lang w:val="en-IE"/>
        </w:rPr>
        <w:noBreakHyphen/>
      </w:r>
      <w:r w:rsidRPr="008676AE">
        <w:rPr>
          <w:noProof/>
          <w:lang w:val="en-IE"/>
        </w:rPr>
        <w:t>19 vaccine developers</w:t>
      </w:r>
      <w:r>
        <w:rPr>
          <w:noProof/>
          <w:lang w:val="en-IE"/>
        </w:rPr>
        <w:t>;</w:t>
      </w:r>
    </w:p>
    <w:p w14:paraId="61735933" w14:textId="77777777" w:rsidR="00703728" w:rsidRPr="008676AE" w:rsidRDefault="00703728" w:rsidP="00703728">
      <w:pPr>
        <w:spacing w:after="0"/>
        <w:ind w:left="284" w:hanging="284"/>
        <w:rPr>
          <w:noProof/>
          <w:lang w:val="en-IE"/>
        </w:rPr>
      </w:pPr>
      <w:r w:rsidRPr="008676AE">
        <w:rPr>
          <w:noProof/>
          <w:lang w:val="en-IE"/>
        </w:rPr>
        <w:t>2.</w:t>
      </w:r>
      <w:r w:rsidRPr="008676AE">
        <w:rPr>
          <w:noProof/>
          <w:lang w:val="en-IE"/>
        </w:rPr>
        <w:tab/>
      </w:r>
      <w:r>
        <w:rPr>
          <w:noProof/>
          <w:lang w:val="en-IE"/>
        </w:rPr>
        <w:t>the d</w:t>
      </w:r>
      <w:r w:rsidRPr="008676AE">
        <w:rPr>
          <w:noProof/>
          <w:lang w:val="en-IE"/>
        </w:rPr>
        <w:t xml:space="preserve">evelopment of </w:t>
      </w:r>
      <w:r>
        <w:rPr>
          <w:noProof/>
          <w:lang w:val="en-IE"/>
        </w:rPr>
        <w:t xml:space="preserve">EU </w:t>
      </w:r>
      <w:r w:rsidRPr="001C41C8">
        <w:rPr>
          <w:noProof/>
          <w:lang w:val="en-IE"/>
        </w:rPr>
        <w:t>D</w:t>
      </w:r>
      <w:r w:rsidRPr="0016289E">
        <w:rPr>
          <w:noProof/>
          <w:lang w:val="en-IE"/>
        </w:rPr>
        <w:t xml:space="preserve">igital </w:t>
      </w:r>
      <w:r w:rsidRPr="001C41C8">
        <w:rPr>
          <w:noProof/>
          <w:lang w:val="en-IE"/>
        </w:rPr>
        <w:t>COVID</w:t>
      </w:r>
      <w:r w:rsidRPr="0016289E">
        <w:rPr>
          <w:noProof/>
          <w:lang w:val="en-IE"/>
        </w:rPr>
        <w:t xml:space="preserve"> </w:t>
      </w:r>
      <w:r w:rsidRPr="001C41C8">
        <w:rPr>
          <w:noProof/>
          <w:lang w:val="en-IE"/>
        </w:rPr>
        <w:t>C</w:t>
      </w:r>
      <w:r w:rsidRPr="0016289E">
        <w:rPr>
          <w:noProof/>
          <w:lang w:val="en-IE"/>
        </w:rPr>
        <w:t>ertificates</w:t>
      </w:r>
      <w:r w:rsidRPr="008676AE">
        <w:rPr>
          <w:noProof/>
          <w:lang w:val="en-IE"/>
        </w:rPr>
        <w:t xml:space="preserve"> underpinning </w:t>
      </w:r>
      <w:r>
        <w:rPr>
          <w:noProof/>
          <w:lang w:val="en-IE"/>
        </w:rPr>
        <w:t xml:space="preserve">the </w:t>
      </w:r>
      <w:r w:rsidRPr="008676AE">
        <w:rPr>
          <w:noProof/>
          <w:lang w:val="en-IE"/>
        </w:rPr>
        <w:t>free movement of persons</w:t>
      </w:r>
      <w:r>
        <w:rPr>
          <w:noProof/>
          <w:lang w:val="en-IE"/>
        </w:rPr>
        <w:t>;</w:t>
      </w:r>
    </w:p>
    <w:p w14:paraId="2131E7AD" w14:textId="77777777" w:rsidR="00703728" w:rsidRPr="008676AE" w:rsidRDefault="00703728" w:rsidP="00703728">
      <w:pPr>
        <w:spacing w:after="0"/>
        <w:ind w:left="284" w:hanging="284"/>
        <w:rPr>
          <w:noProof/>
          <w:lang w:val="en-IE"/>
        </w:rPr>
      </w:pPr>
      <w:r w:rsidRPr="008676AE">
        <w:rPr>
          <w:noProof/>
          <w:lang w:val="en-IE"/>
        </w:rPr>
        <w:t>3.</w:t>
      </w:r>
      <w:r w:rsidRPr="008676AE">
        <w:rPr>
          <w:noProof/>
          <w:lang w:val="en-IE"/>
        </w:rPr>
        <w:tab/>
      </w:r>
      <w:r>
        <w:rPr>
          <w:noProof/>
          <w:lang w:val="en-IE"/>
        </w:rPr>
        <w:t>w</w:t>
      </w:r>
      <w:r w:rsidRPr="008676AE">
        <w:rPr>
          <w:noProof/>
          <w:lang w:val="en-IE"/>
        </w:rPr>
        <w:t>astewater monitoring</w:t>
      </w:r>
      <w:r>
        <w:rPr>
          <w:noProof/>
          <w:lang w:val="en-IE"/>
        </w:rPr>
        <w:t>;</w:t>
      </w:r>
    </w:p>
    <w:p w14:paraId="12918BC7" w14:textId="77777777" w:rsidR="00703728" w:rsidRPr="008676AE" w:rsidRDefault="00703728" w:rsidP="00703728">
      <w:pPr>
        <w:spacing w:after="0"/>
        <w:ind w:left="284" w:hanging="284"/>
        <w:rPr>
          <w:noProof/>
          <w:lang w:val="en-IE"/>
        </w:rPr>
      </w:pPr>
      <w:r w:rsidRPr="008676AE">
        <w:rPr>
          <w:noProof/>
          <w:lang w:val="en-IE"/>
        </w:rPr>
        <w:t>4.</w:t>
      </w:r>
      <w:r w:rsidRPr="008676AE">
        <w:rPr>
          <w:noProof/>
          <w:lang w:val="en-IE"/>
        </w:rPr>
        <w:tab/>
      </w:r>
      <w:r>
        <w:rPr>
          <w:noProof/>
          <w:lang w:val="en-IE"/>
        </w:rPr>
        <w:t>f</w:t>
      </w:r>
      <w:r w:rsidRPr="008676AE">
        <w:rPr>
          <w:noProof/>
          <w:lang w:val="en-IE"/>
        </w:rPr>
        <w:t xml:space="preserve">urther development of the </w:t>
      </w:r>
      <w:r>
        <w:rPr>
          <w:noProof/>
          <w:lang w:val="en-IE"/>
        </w:rPr>
        <w:t>p</w:t>
      </w:r>
      <w:r w:rsidRPr="008676AE">
        <w:rPr>
          <w:noProof/>
          <w:lang w:val="en-IE"/>
        </w:rPr>
        <w:t xml:space="preserve">assenger </w:t>
      </w:r>
      <w:r>
        <w:rPr>
          <w:noProof/>
          <w:lang w:val="en-IE"/>
        </w:rPr>
        <w:t>l</w:t>
      </w:r>
      <w:r w:rsidRPr="008676AE">
        <w:rPr>
          <w:noProof/>
          <w:lang w:val="en-IE"/>
        </w:rPr>
        <w:t xml:space="preserve">ocator </w:t>
      </w:r>
      <w:r>
        <w:rPr>
          <w:noProof/>
          <w:lang w:val="en-IE"/>
        </w:rPr>
        <w:t>f</w:t>
      </w:r>
      <w:r w:rsidRPr="008676AE">
        <w:rPr>
          <w:noProof/>
          <w:lang w:val="en-IE"/>
        </w:rPr>
        <w:t>orm exchange platform</w:t>
      </w:r>
      <w:r>
        <w:rPr>
          <w:noProof/>
          <w:lang w:val="en-IE"/>
        </w:rPr>
        <w:t>;</w:t>
      </w:r>
    </w:p>
    <w:p w14:paraId="74AC000C" w14:textId="77777777" w:rsidR="00703728" w:rsidRPr="008676AE" w:rsidRDefault="00703728" w:rsidP="00703728">
      <w:pPr>
        <w:spacing w:after="0"/>
        <w:ind w:left="284" w:hanging="284"/>
        <w:rPr>
          <w:noProof/>
          <w:lang w:val="en-IE"/>
        </w:rPr>
      </w:pPr>
      <w:r w:rsidRPr="008676AE">
        <w:rPr>
          <w:noProof/>
          <w:lang w:val="en-IE"/>
        </w:rPr>
        <w:t>5.</w:t>
      </w:r>
      <w:r w:rsidRPr="008676AE">
        <w:rPr>
          <w:noProof/>
          <w:lang w:val="en-IE"/>
        </w:rPr>
        <w:tab/>
      </w:r>
      <w:bookmarkStart w:id="130" w:name="_Hlk101870838"/>
      <w:r>
        <w:rPr>
          <w:noProof/>
          <w:lang w:val="en-IE"/>
        </w:rPr>
        <w:t>f</w:t>
      </w:r>
      <w:r w:rsidRPr="008676AE">
        <w:rPr>
          <w:noProof/>
          <w:lang w:val="en-IE"/>
        </w:rPr>
        <w:t xml:space="preserve">unding the purchase for donation to Member States of specialised RT-PCR assays </w:t>
      </w:r>
      <w:r>
        <w:rPr>
          <w:noProof/>
          <w:lang w:val="en-IE"/>
        </w:rPr>
        <w:t>to</w:t>
      </w:r>
      <w:r w:rsidRPr="008676AE">
        <w:rPr>
          <w:noProof/>
          <w:lang w:val="en-IE"/>
        </w:rPr>
        <w:t xml:space="preserve"> identify variants</w:t>
      </w:r>
      <w:r>
        <w:rPr>
          <w:noProof/>
          <w:lang w:val="en-IE"/>
        </w:rPr>
        <w:t>;</w:t>
      </w:r>
      <w:bookmarkEnd w:id="130"/>
    </w:p>
    <w:p w14:paraId="058AB364" w14:textId="77777777" w:rsidR="00703728" w:rsidRPr="008676AE" w:rsidRDefault="00703728" w:rsidP="00703728">
      <w:pPr>
        <w:spacing w:after="0"/>
        <w:ind w:left="284" w:hanging="284"/>
        <w:rPr>
          <w:noProof/>
          <w:lang w:val="en-IE"/>
        </w:rPr>
      </w:pPr>
      <w:r w:rsidRPr="008676AE">
        <w:rPr>
          <w:noProof/>
          <w:lang w:val="en-IE"/>
        </w:rPr>
        <w:t>6.</w:t>
      </w:r>
      <w:r w:rsidRPr="008676AE">
        <w:rPr>
          <w:noProof/>
          <w:lang w:val="en-IE"/>
        </w:rPr>
        <w:tab/>
      </w:r>
      <w:r>
        <w:rPr>
          <w:noProof/>
          <w:lang w:val="en-IE"/>
        </w:rPr>
        <w:t xml:space="preserve">the provision of test </w:t>
      </w:r>
      <w:r w:rsidRPr="008676AE">
        <w:rPr>
          <w:noProof/>
          <w:lang w:val="en-IE"/>
        </w:rPr>
        <w:t>accessibility for the delivery of EU Digital COVID Certificates</w:t>
      </w:r>
      <w:r>
        <w:rPr>
          <w:noProof/>
          <w:lang w:val="en-IE"/>
        </w:rPr>
        <w:t>;</w:t>
      </w:r>
    </w:p>
    <w:p w14:paraId="3510AD84" w14:textId="77777777" w:rsidR="00703728" w:rsidRPr="008676AE" w:rsidRDefault="00703728" w:rsidP="00703728">
      <w:pPr>
        <w:spacing w:after="0"/>
        <w:ind w:left="284" w:hanging="284"/>
        <w:rPr>
          <w:noProof/>
          <w:lang w:val="en-IE"/>
        </w:rPr>
      </w:pPr>
      <w:r w:rsidRPr="008676AE">
        <w:rPr>
          <w:noProof/>
          <w:lang w:val="en-IE"/>
        </w:rPr>
        <w:t>7.</w:t>
      </w:r>
      <w:r w:rsidRPr="008676AE">
        <w:rPr>
          <w:noProof/>
          <w:lang w:val="en-IE"/>
        </w:rPr>
        <w:tab/>
      </w:r>
      <w:r>
        <w:rPr>
          <w:noProof/>
          <w:lang w:val="en-IE"/>
        </w:rPr>
        <w:t>v</w:t>
      </w:r>
      <w:r w:rsidRPr="008676AE">
        <w:rPr>
          <w:noProof/>
          <w:lang w:val="en-IE"/>
        </w:rPr>
        <w:t>accine procurement in order to contribute to global immunisation efforts against COVID</w:t>
      </w:r>
      <w:r>
        <w:rPr>
          <w:noProof/>
          <w:lang w:val="en-IE"/>
        </w:rPr>
        <w:noBreakHyphen/>
      </w:r>
      <w:r w:rsidRPr="008676AE">
        <w:rPr>
          <w:noProof/>
          <w:lang w:val="en-IE"/>
        </w:rPr>
        <w:t>19 in low and lower middle-income countries</w:t>
      </w:r>
      <w:r>
        <w:rPr>
          <w:noProof/>
          <w:lang w:val="en-IE"/>
        </w:rPr>
        <w:t>;</w:t>
      </w:r>
    </w:p>
    <w:p w14:paraId="5BDD5E8B" w14:textId="77777777" w:rsidR="00703728" w:rsidRPr="008676AE" w:rsidRDefault="00703728" w:rsidP="00703728">
      <w:pPr>
        <w:spacing w:after="0"/>
        <w:ind w:left="284" w:hanging="284"/>
        <w:rPr>
          <w:noProof/>
          <w:lang w:val="en-IE"/>
        </w:rPr>
      </w:pPr>
      <w:r w:rsidRPr="008676AE">
        <w:rPr>
          <w:noProof/>
          <w:lang w:val="en-IE"/>
        </w:rPr>
        <w:t>8.</w:t>
      </w:r>
      <w:r w:rsidRPr="008676AE">
        <w:rPr>
          <w:noProof/>
          <w:lang w:val="en-IE"/>
        </w:rPr>
        <w:tab/>
      </w:r>
      <w:r>
        <w:rPr>
          <w:noProof/>
          <w:lang w:val="en-IE"/>
        </w:rPr>
        <w:t>g</w:t>
      </w:r>
      <w:r w:rsidRPr="008676AE">
        <w:rPr>
          <w:noProof/>
          <w:lang w:val="en-IE"/>
        </w:rPr>
        <w:t>rants to research institutes to analyse the characteristics of the Omicron variant</w:t>
      </w:r>
      <w:r>
        <w:rPr>
          <w:noProof/>
          <w:lang w:val="en-IE"/>
        </w:rPr>
        <w:t>;</w:t>
      </w:r>
    </w:p>
    <w:p w14:paraId="5680E02C" w14:textId="77777777" w:rsidR="00703728" w:rsidRPr="008676AE" w:rsidRDefault="00703728" w:rsidP="00703728">
      <w:pPr>
        <w:spacing w:after="0"/>
        <w:ind w:left="284" w:hanging="284"/>
        <w:rPr>
          <w:noProof/>
          <w:lang w:val="en-IE"/>
        </w:rPr>
      </w:pPr>
      <w:r w:rsidRPr="008676AE">
        <w:rPr>
          <w:noProof/>
          <w:lang w:val="en-IE"/>
        </w:rPr>
        <w:t>9.</w:t>
      </w:r>
      <w:r w:rsidRPr="008676AE">
        <w:rPr>
          <w:noProof/>
          <w:lang w:val="en-IE"/>
        </w:rPr>
        <w:tab/>
      </w:r>
      <w:r>
        <w:rPr>
          <w:noProof/>
          <w:lang w:val="en-IE"/>
        </w:rPr>
        <w:t>the r</w:t>
      </w:r>
      <w:r w:rsidRPr="008676AE">
        <w:rPr>
          <w:noProof/>
          <w:lang w:val="en-IE"/>
        </w:rPr>
        <w:t>evocation of false Digital COVID</w:t>
      </w:r>
      <w:r>
        <w:rPr>
          <w:noProof/>
          <w:lang w:val="en-IE"/>
        </w:rPr>
        <w:noBreakHyphen/>
      </w:r>
      <w:r w:rsidRPr="008676AE">
        <w:rPr>
          <w:noProof/>
          <w:lang w:val="en-IE"/>
        </w:rPr>
        <w:t xml:space="preserve">19 </w:t>
      </w:r>
      <w:r>
        <w:rPr>
          <w:noProof/>
          <w:lang w:val="en-IE"/>
        </w:rPr>
        <w:t>C</w:t>
      </w:r>
      <w:r w:rsidRPr="008676AE">
        <w:rPr>
          <w:noProof/>
          <w:lang w:val="en-IE"/>
        </w:rPr>
        <w:t xml:space="preserve">ertificates and the continuity and good functioning </w:t>
      </w:r>
      <w:r>
        <w:rPr>
          <w:noProof/>
          <w:lang w:val="en-IE"/>
        </w:rPr>
        <w:t xml:space="preserve">of </w:t>
      </w:r>
      <w:r w:rsidRPr="008676AE">
        <w:rPr>
          <w:noProof/>
          <w:lang w:val="en-IE"/>
        </w:rPr>
        <w:t xml:space="preserve">the EU </w:t>
      </w:r>
      <w:r>
        <w:rPr>
          <w:noProof/>
          <w:lang w:val="en-IE"/>
        </w:rPr>
        <w:t>Digital COVID Certificate</w:t>
      </w:r>
      <w:r w:rsidRPr="008676AE">
        <w:rPr>
          <w:noProof/>
          <w:lang w:val="en-IE"/>
        </w:rPr>
        <w:t xml:space="preserve"> system.</w:t>
      </w:r>
    </w:p>
    <w:p w14:paraId="2924E47B" w14:textId="77777777" w:rsidR="00703728" w:rsidRPr="008676AE" w:rsidRDefault="00703728" w:rsidP="00703728">
      <w:pPr>
        <w:pStyle w:val="ppoHeading6"/>
        <w:rPr>
          <w:noProof/>
          <w:lang w:val="en-IE"/>
        </w:rPr>
      </w:pPr>
      <w:r w:rsidRPr="008676AE">
        <w:rPr>
          <w:noProof/>
          <w:lang w:val="en-IE"/>
        </w:rPr>
        <w:t>Delivery mode</w:t>
      </w:r>
    </w:p>
    <w:p w14:paraId="075E1D20" w14:textId="77777777" w:rsidR="00703728" w:rsidRPr="008676AE" w:rsidRDefault="00703728" w:rsidP="00703728">
      <w:pPr>
        <w:rPr>
          <w:noProof/>
          <w:lang w:val="en-IE"/>
        </w:rPr>
      </w:pPr>
      <w:r w:rsidRPr="008676AE">
        <w:rPr>
          <w:noProof/>
          <w:lang w:val="en-IE"/>
        </w:rPr>
        <w:t>A specific internal governance arrangement was put in place, including a steering committee composed of the co-delegated authorising officers, together with the Secretariat-General and the Directorate-General for Budget, to provide strategic coordination of the ESI. The ESI is centrally managed by the Commission and implemented mostly through direct management.</w:t>
      </w:r>
    </w:p>
    <w:p w14:paraId="40901151" w14:textId="77777777" w:rsidR="00703728" w:rsidRPr="008676AE" w:rsidRDefault="00703728" w:rsidP="00703728">
      <w:pPr>
        <w:pStyle w:val="ppoHeading6"/>
        <w:rPr>
          <w:noProof/>
          <w:lang w:val="en-IE"/>
        </w:rPr>
      </w:pPr>
      <w:r w:rsidRPr="008676AE">
        <w:rPr>
          <w:noProof/>
          <w:lang w:val="en-IE"/>
        </w:rPr>
        <w:t xml:space="preserve">LINK TO THE 2014-2020 </w:t>
      </w:r>
      <w:r>
        <w:rPr>
          <w:noProof/>
          <w:lang w:val="en-IE"/>
        </w:rPr>
        <w:t>multiannual financial framework</w:t>
      </w:r>
    </w:p>
    <w:p w14:paraId="71F52F35" w14:textId="39543333" w:rsidR="00703728" w:rsidRPr="008676AE" w:rsidRDefault="00703728" w:rsidP="00703728">
      <w:pPr>
        <w:rPr>
          <w:noProof/>
          <w:lang w:val="en-IE"/>
        </w:rPr>
      </w:pPr>
      <w:r w:rsidRPr="008676AE">
        <w:rPr>
          <w:noProof/>
          <w:lang w:val="en-IE"/>
        </w:rPr>
        <w:t xml:space="preserve">The </w:t>
      </w:r>
      <w:r>
        <w:rPr>
          <w:noProof/>
          <w:lang w:val="en-IE"/>
        </w:rPr>
        <w:t>ESI</w:t>
      </w:r>
      <w:r w:rsidRPr="008676AE">
        <w:rPr>
          <w:noProof/>
          <w:lang w:val="en-IE"/>
        </w:rPr>
        <w:t xml:space="preserve"> is activated independently from the multiannual financing framework. It spans both the 2014-2020 and 2021-2027 periods. The present activation of the instrument, currently aimed </w:t>
      </w:r>
      <w:r>
        <w:rPr>
          <w:noProof/>
          <w:lang w:val="en-IE"/>
        </w:rPr>
        <w:t>at</w:t>
      </w:r>
      <w:r w:rsidRPr="008676AE">
        <w:rPr>
          <w:noProof/>
          <w:lang w:val="en-IE"/>
        </w:rPr>
        <w:t xml:space="preserve"> help</w:t>
      </w:r>
      <w:r>
        <w:rPr>
          <w:noProof/>
          <w:lang w:val="en-IE"/>
        </w:rPr>
        <w:t>ing</w:t>
      </w:r>
      <w:r w:rsidRPr="008676AE">
        <w:rPr>
          <w:noProof/>
          <w:lang w:val="en-IE"/>
        </w:rPr>
        <w:t xml:space="preserve"> </w:t>
      </w:r>
      <w:r>
        <w:rPr>
          <w:noProof/>
          <w:lang w:val="en-IE"/>
        </w:rPr>
        <w:t>to fight</w:t>
      </w:r>
      <w:r w:rsidRPr="008676AE">
        <w:rPr>
          <w:noProof/>
          <w:lang w:val="en-IE"/>
        </w:rPr>
        <w:t xml:space="preserve"> the COVID</w:t>
      </w:r>
      <w:r>
        <w:rPr>
          <w:noProof/>
          <w:lang w:val="en-IE"/>
        </w:rPr>
        <w:noBreakHyphen/>
      </w:r>
      <w:r w:rsidRPr="008676AE">
        <w:rPr>
          <w:noProof/>
          <w:lang w:val="en-IE"/>
        </w:rPr>
        <w:t>19 crisis, expire</w:t>
      </w:r>
      <w:r w:rsidR="00BA5DAF">
        <w:rPr>
          <w:noProof/>
          <w:lang w:val="en-IE"/>
        </w:rPr>
        <w:t>d</w:t>
      </w:r>
      <w:r w:rsidRPr="008676AE">
        <w:rPr>
          <w:noProof/>
          <w:lang w:val="en-IE"/>
        </w:rPr>
        <w:t xml:space="preserve"> on 31</w:t>
      </w:r>
      <w:r>
        <w:rPr>
          <w:rFonts w:ascii="Calibri" w:hAnsi="Calibri" w:cs="Calibri"/>
          <w:noProof/>
          <w:lang w:val="en-IE"/>
        </w:rPr>
        <w:t> </w:t>
      </w:r>
      <w:r w:rsidRPr="008676AE">
        <w:rPr>
          <w:noProof/>
          <w:lang w:val="en-IE"/>
        </w:rPr>
        <w:t>January 2022</w:t>
      </w:r>
      <w:r>
        <w:rPr>
          <w:noProof/>
          <w:lang w:val="en-IE"/>
        </w:rPr>
        <w:t>;</w:t>
      </w:r>
      <w:r w:rsidRPr="008676AE">
        <w:rPr>
          <w:noProof/>
          <w:lang w:val="en-IE"/>
        </w:rPr>
        <w:t xml:space="preserve"> the actions currently financed are expected to be covered by the new generation of programmes, in particular EU4Health, as appropriate.</w:t>
      </w:r>
    </w:p>
    <w:p w14:paraId="6620FBD6" w14:textId="77777777" w:rsidR="00703728" w:rsidRPr="008676AE" w:rsidRDefault="00703728" w:rsidP="00703728">
      <w:pPr>
        <w:pStyle w:val="ppoHeading6"/>
        <w:rPr>
          <w:noProof/>
          <w:lang w:val="en-IE"/>
        </w:rPr>
      </w:pPr>
      <w:r w:rsidRPr="008676AE">
        <w:rPr>
          <w:noProof/>
          <w:lang w:val="en-IE"/>
        </w:rPr>
        <w:t>Impact assessment</w:t>
      </w:r>
    </w:p>
    <w:p w14:paraId="1A6A3D0D" w14:textId="77777777" w:rsidR="00703728" w:rsidRPr="008676AE" w:rsidRDefault="00703728" w:rsidP="00703728">
      <w:pPr>
        <w:rPr>
          <w:noProof/>
          <w:lang w:val="en-IE"/>
        </w:rPr>
      </w:pPr>
      <w:r w:rsidRPr="008676AE">
        <w:rPr>
          <w:noProof/>
          <w:lang w:val="en-IE"/>
        </w:rPr>
        <w:t>The 2016-2019 activation of the ESI in response to the refugee crisis in Greece was subject to an evaluation in 2019.</w:t>
      </w:r>
    </w:p>
    <w:p w14:paraId="78B4DC4F" w14:textId="77777777" w:rsidR="00703728" w:rsidRDefault="00703728" w:rsidP="00703728">
      <w:pPr>
        <w:rPr>
          <w:noProof/>
          <w:lang w:val="en-IE"/>
        </w:rPr>
      </w:pPr>
      <w:r w:rsidRPr="008676AE">
        <w:rPr>
          <w:noProof/>
          <w:lang w:val="en-IE"/>
        </w:rPr>
        <w:t xml:space="preserve">For further information, see: </w:t>
      </w:r>
      <w:hyperlink r:id="rId261" w:history="1">
        <w:r w:rsidRPr="00FD60C4">
          <w:rPr>
            <w:rStyle w:val="Hyperlink"/>
            <w:noProof/>
            <w:lang w:val="en-IE"/>
          </w:rPr>
          <w:t>https://europa.eu/!Vq34DU</w:t>
        </w:r>
      </w:hyperlink>
      <w:r>
        <w:rPr>
          <w:noProof/>
          <w:lang w:val="en-IE"/>
        </w:rPr>
        <w:t>.</w:t>
      </w:r>
    </w:p>
    <w:p w14:paraId="4D74B291" w14:textId="77777777" w:rsidR="00703728" w:rsidRPr="008676AE" w:rsidRDefault="00703728" w:rsidP="00703728">
      <w:pPr>
        <w:rPr>
          <w:noProof/>
          <w:lang w:val="en-IE"/>
        </w:rPr>
      </w:pPr>
    </w:p>
    <w:p w14:paraId="10F345DC" w14:textId="77777777" w:rsidR="00703728" w:rsidRPr="008676AE" w:rsidRDefault="00703728" w:rsidP="00703728">
      <w:pPr>
        <w:pStyle w:val="ppoHeading6"/>
        <w:rPr>
          <w:noProof/>
          <w:lang w:val="en-IE"/>
        </w:rPr>
      </w:pPr>
      <w:r w:rsidRPr="008676AE">
        <w:rPr>
          <w:noProof/>
          <w:lang w:val="en-IE"/>
        </w:rPr>
        <w:t>WEBSITE FOR more information</w:t>
      </w:r>
    </w:p>
    <w:p w14:paraId="5FCBD2F3" w14:textId="77777777" w:rsidR="00703728" w:rsidRPr="008676AE" w:rsidRDefault="00E01E9B" w:rsidP="00703728">
      <w:pPr>
        <w:rPr>
          <w:noProof/>
          <w:lang w:val="en-IE"/>
        </w:rPr>
      </w:pPr>
      <w:hyperlink r:id="rId262" w:history="1">
        <w:r w:rsidR="00703728" w:rsidRPr="008676AE">
          <w:rPr>
            <w:rStyle w:val="Hyperlink"/>
            <w:noProof/>
            <w:lang w:val="en-IE"/>
          </w:rPr>
          <w:t>https://europa.eu/!TD74kT</w:t>
        </w:r>
      </w:hyperlink>
    </w:p>
    <w:p w14:paraId="29689FCD" w14:textId="77777777" w:rsidR="00703728" w:rsidRPr="008676AE" w:rsidRDefault="00703728" w:rsidP="00703728">
      <w:pPr>
        <w:pStyle w:val="ppoHeading5"/>
        <w:rPr>
          <w:noProof/>
          <w:lang w:val="en-IE"/>
        </w:rPr>
      </w:pPr>
      <w:r w:rsidRPr="008676AE">
        <w:rPr>
          <w:rFonts w:eastAsiaTheme="minorEastAsia"/>
          <w:noProof/>
          <w:lang w:val="en-IE"/>
        </w:rPr>
        <w:t xml:space="preserve">Legal </w:t>
      </w:r>
      <w:r>
        <w:rPr>
          <w:rFonts w:eastAsiaTheme="minorEastAsia"/>
          <w:noProof/>
          <w:lang w:val="en-IE"/>
        </w:rPr>
        <w:t>b</w:t>
      </w:r>
      <w:r w:rsidRPr="008676AE">
        <w:rPr>
          <w:rFonts w:eastAsiaTheme="minorEastAsia"/>
          <w:noProof/>
          <w:lang w:val="en-IE"/>
        </w:rPr>
        <w:t>as</w:t>
      </w:r>
      <w:r>
        <w:rPr>
          <w:rFonts w:eastAsiaTheme="minorEastAsia"/>
          <w:noProof/>
          <w:lang w:val="en-IE"/>
        </w:rPr>
        <w:t>is</w:t>
      </w:r>
    </w:p>
    <w:p w14:paraId="2DC7480D" w14:textId="77777777" w:rsidR="00703728" w:rsidRPr="008676AE" w:rsidRDefault="00703728" w:rsidP="00703728">
      <w:pPr>
        <w:rPr>
          <w:noProof/>
          <w:lang w:val="en-IE"/>
        </w:rPr>
      </w:pPr>
      <w:r w:rsidRPr="008676AE">
        <w:rPr>
          <w:noProof/>
          <w:lang w:val="en-IE"/>
        </w:rPr>
        <w:t>Council Regulation (EU) 2016/369 and Council Regulation (EU) 2020/521</w:t>
      </w:r>
      <w:r>
        <w:rPr>
          <w:noProof/>
          <w:lang w:val="en-IE"/>
        </w:rPr>
        <w:t>,</w:t>
      </w:r>
      <w:r w:rsidRPr="008676AE">
        <w:rPr>
          <w:noProof/>
          <w:lang w:val="en-IE"/>
        </w:rPr>
        <w:t xml:space="preserve"> activating the emergency support under Regulation (EU) 2016/369</w:t>
      </w:r>
      <w:r>
        <w:rPr>
          <w:noProof/>
          <w:lang w:val="en-IE"/>
        </w:rPr>
        <w:t>.</w:t>
      </w:r>
    </w:p>
    <w:p w14:paraId="5123E6A0" w14:textId="77777777" w:rsidR="00703728" w:rsidRPr="008676AE" w:rsidRDefault="00703728" w:rsidP="00703728">
      <w:pPr>
        <w:pStyle w:val="ppoHeading4Green"/>
        <w:rPr>
          <w:caps/>
          <w:noProof/>
          <w:lang w:val="en-IE"/>
        </w:rPr>
      </w:pPr>
      <w:r w:rsidRPr="008676AE">
        <w:rPr>
          <w:noProof/>
          <w:lang w:val="en-IE"/>
        </w:rPr>
        <w:t>Implementation and performance</w:t>
      </w:r>
    </w:p>
    <w:p w14:paraId="69536209" w14:textId="77777777" w:rsidR="00703728" w:rsidRPr="008676AE" w:rsidRDefault="00703728" w:rsidP="00703728">
      <w:pPr>
        <w:pStyle w:val="ppoHeading5"/>
        <w:rPr>
          <w:noProof/>
          <w:lang w:val="en-IE"/>
        </w:rPr>
      </w:pPr>
      <w:r w:rsidRPr="008676AE">
        <w:rPr>
          <w:noProof/>
          <w:lang w:val="en-IE"/>
        </w:rPr>
        <w:t>Budget</w:t>
      </w:r>
    </w:p>
    <w:p w14:paraId="3EE4F246" w14:textId="77777777" w:rsidR="00703728" w:rsidRPr="008676AE" w:rsidRDefault="00703728" w:rsidP="00703728">
      <w:pPr>
        <w:pStyle w:val="ppoTableTabletitle"/>
        <w:rPr>
          <w:noProof/>
          <w:lang w:val="en-IE"/>
        </w:rPr>
      </w:pPr>
      <w:r w:rsidRPr="008676AE">
        <w:rPr>
          <w:noProof/>
          <w:lang w:val="en-IE"/>
        </w:rPr>
        <w:t>Budget programming (</w:t>
      </w:r>
      <w:r>
        <w:rPr>
          <w:noProof/>
          <w:lang w:val="en-IE"/>
        </w:rPr>
        <w:t>million EUR</w:t>
      </w:r>
      <w:r w:rsidRPr="008676AE">
        <w:rPr>
          <w:noProof/>
          <w:lang w:val="en-IE"/>
        </w:rPr>
        <w:t>):</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703728" w:rsidRPr="008676AE" w14:paraId="62591F4A" w14:textId="77777777" w:rsidTr="00B202C2">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702F3CB2" w14:textId="77777777" w:rsidR="00703728" w:rsidRPr="008676AE" w:rsidRDefault="00703728" w:rsidP="00B202C2">
            <w:pPr>
              <w:rPr>
                <w:noProof/>
                <w:lang w:val="en-IE"/>
              </w:rPr>
            </w:pPr>
          </w:p>
        </w:tc>
        <w:tc>
          <w:tcPr>
            <w:tcW w:w="943" w:type="dxa"/>
            <w:noWrap/>
            <w:hideMark/>
          </w:tcPr>
          <w:p w14:paraId="5F386DA0" w14:textId="77777777" w:rsidR="00703728" w:rsidRPr="008676AE" w:rsidRDefault="00703728" w:rsidP="00B202C2">
            <w:pPr>
              <w:rPr>
                <w:noProof/>
                <w:lang w:val="en-IE"/>
              </w:rPr>
            </w:pPr>
            <w:r w:rsidRPr="008676AE">
              <w:rPr>
                <w:noProof/>
                <w:lang w:val="en-IE"/>
              </w:rPr>
              <w:t>2021</w:t>
            </w:r>
          </w:p>
        </w:tc>
        <w:tc>
          <w:tcPr>
            <w:tcW w:w="944" w:type="dxa"/>
            <w:noWrap/>
            <w:hideMark/>
          </w:tcPr>
          <w:p w14:paraId="12D281CC" w14:textId="77777777" w:rsidR="00703728" w:rsidRPr="008676AE" w:rsidRDefault="00703728" w:rsidP="00B202C2">
            <w:pPr>
              <w:rPr>
                <w:noProof/>
                <w:lang w:val="en-IE"/>
              </w:rPr>
            </w:pPr>
            <w:r w:rsidRPr="008676AE">
              <w:rPr>
                <w:noProof/>
                <w:lang w:val="en-IE"/>
              </w:rPr>
              <w:t>2022</w:t>
            </w:r>
          </w:p>
        </w:tc>
        <w:tc>
          <w:tcPr>
            <w:tcW w:w="943" w:type="dxa"/>
            <w:noWrap/>
            <w:hideMark/>
          </w:tcPr>
          <w:p w14:paraId="30CA2D73" w14:textId="77777777" w:rsidR="00703728" w:rsidRPr="008676AE" w:rsidRDefault="00703728" w:rsidP="00B202C2">
            <w:pPr>
              <w:rPr>
                <w:noProof/>
                <w:lang w:val="en-IE"/>
              </w:rPr>
            </w:pPr>
            <w:r w:rsidRPr="008676AE">
              <w:rPr>
                <w:noProof/>
                <w:lang w:val="en-IE"/>
              </w:rPr>
              <w:t>2023</w:t>
            </w:r>
          </w:p>
        </w:tc>
        <w:tc>
          <w:tcPr>
            <w:tcW w:w="944" w:type="dxa"/>
            <w:noWrap/>
            <w:hideMark/>
          </w:tcPr>
          <w:p w14:paraId="573E7369" w14:textId="77777777" w:rsidR="00703728" w:rsidRPr="008676AE" w:rsidRDefault="00703728" w:rsidP="00B202C2">
            <w:pPr>
              <w:rPr>
                <w:noProof/>
                <w:lang w:val="en-IE"/>
              </w:rPr>
            </w:pPr>
            <w:r w:rsidRPr="008676AE">
              <w:rPr>
                <w:noProof/>
                <w:lang w:val="en-IE"/>
              </w:rPr>
              <w:t>2024</w:t>
            </w:r>
          </w:p>
        </w:tc>
        <w:tc>
          <w:tcPr>
            <w:tcW w:w="944" w:type="dxa"/>
            <w:noWrap/>
            <w:hideMark/>
          </w:tcPr>
          <w:p w14:paraId="11DE6CCC" w14:textId="77777777" w:rsidR="00703728" w:rsidRPr="008676AE" w:rsidRDefault="00703728" w:rsidP="00B202C2">
            <w:pPr>
              <w:rPr>
                <w:noProof/>
                <w:lang w:val="en-IE"/>
              </w:rPr>
            </w:pPr>
            <w:r w:rsidRPr="008676AE">
              <w:rPr>
                <w:noProof/>
                <w:lang w:val="en-IE"/>
              </w:rPr>
              <w:t>2025</w:t>
            </w:r>
          </w:p>
        </w:tc>
        <w:tc>
          <w:tcPr>
            <w:tcW w:w="943" w:type="dxa"/>
            <w:noWrap/>
            <w:hideMark/>
          </w:tcPr>
          <w:p w14:paraId="1D0085EF" w14:textId="77777777" w:rsidR="00703728" w:rsidRPr="008676AE" w:rsidRDefault="00703728" w:rsidP="00B202C2">
            <w:pPr>
              <w:rPr>
                <w:noProof/>
                <w:lang w:val="en-IE"/>
              </w:rPr>
            </w:pPr>
            <w:r w:rsidRPr="008676AE">
              <w:rPr>
                <w:noProof/>
                <w:lang w:val="en-IE"/>
              </w:rPr>
              <w:t>2026</w:t>
            </w:r>
          </w:p>
        </w:tc>
        <w:tc>
          <w:tcPr>
            <w:tcW w:w="944" w:type="dxa"/>
            <w:noWrap/>
            <w:hideMark/>
          </w:tcPr>
          <w:p w14:paraId="381EE1AA" w14:textId="77777777" w:rsidR="00703728" w:rsidRPr="008676AE" w:rsidRDefault="00703728" w:rsidP="00B202C2">
            <w:pPr>
              <w:rPr>
                <w:noProof/>
                <w:lang w:val="en-IE"/>
              </w:rPr>
            </w:pPr>
            <w:r w:rsidRPr="008676AE">
              <w:rPr>
                <w:noProof/>
                <w:lang w:val="en-IE"/>
              </w:rPr>
              <w:t>2027</w:t>
            </w:r>
          </w:p>
        </w:tc>
        <w:tc>
          <w:tcPr>
            <w:tcW w:w="944" w:type="dxa"/>
            <w:noWrap/>
            <w:hideMark/>
          </w:tcPr>
          <w:p w14:paraId="13C4074F" w14:textId="77777777" w:rsidR="00703728" w:rsidRPr="008676AE" w:rsidRDefault="00703728" w:rsidP="00B202C2">
            <w:pPr>
              <w:rPr>
                <w:noProof/>
                <w:lang w:val="en-IE"/>
              </w:rPr>
            </w:pPr>
            <w:r w:rsidRPr="008676AE">
              <w:rPr>
                <w:noProof/>
                <w:lang w:val="en-IE"/>
              </w:rPr>
              <w:t>Total</w:t>
            </w:r>
          </w:p>
        </w:tc>
      </w:tr>
      <w:tr w:rsidR="00703728" w:rsidRPr="008676AE" w14:paraId="1A590B04" w14:textId="77777777" w:rsidTr="00B202C2">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10123F90" w14:textId="77777777" w:rsidR="00703728" w:rsidRPr="008676AE" w:rsidRDefault="00703728" w:rsidP="00B202C2">
            <w:pPr>
              <w:rPr>
                <w:noProof/>
                <w:lang w:val="en-IE"/>
              </w:rPr>
            </w:pPr>
            <w:r w:rsidRPr="008676AE">
              <w:rPr>
                <w:noProof/>
                <w:lang w:val="en-IE"/>
              </w:rPr>
              <w:t>Financial programming</w:t>
            </w:r>
          </w:p>
        </w:tc>
        <w:tc>
          <w:tcPr>
            <w:tcW w:w="943" w:type="dxa"/>
            <w:noWrap/>
            <w:hideMark/>
          </w:tcPr>
          <w:p w14:paraId="271D3D72" w14:textId="77777777" w:rsidR="00703728" w:rsidRPr="008676AE" w:rsidRDefault="00703728" w:rsidP="00B202C2">
            <w:pPr>
              <w:jc w:val="center"/>
              <w:rPr>
                <w:noProof/>
                <w:lang w:val="en-IE"/>
              </w:rPr>
            </w:pPr>
            <w:r w:rsidRPr="008676AE">
              <w:rPr>
                <w:noProof/>
                <w:lang w:val="en-IE"/>
              </w:rPr>
              <w:t>231.7</w:t>
            </w:r>
          </w:p>
        </w:tc>
        <w:tc>
          <w:tcPr>
            <w:tcW w:w="944" w:type="dxa"/>
            <w:noWrap/>
            <w:hideMark/>
          </w:tcPr>
          <w:p w14:paraId="27CB18DB" w14:textId="77777777" w:rsidR="00703728" w:rsidRPr="008676AE" w:rsidRDefault="00703728" w:rsidP="00B202C2">
            <w:pPr>
              <w:jc w:val="center"/>
              <w:rPr>
                <w:noProof/>
                <w:lang w:val="en-IE"/>
              </w:rPr>
            </w:pPr>
          </w:p>
        </w:tc>
        <w:tc>
          <w:tcPr>
            <w:tcW w:w="943" w:type="dxa"/>
            <w:noWrap/>
            <w:hideMark/>
          </w:tcPr>
          <w:p w14:paraId="35854640" w14:textId="77777777" w:rsidR="00703728" w:rsidRPr="008676AE" w:rsidRDefault="00703728" w:rsidP="00B202C2">
            <w:pPr>
              <w:jc w:val="center"/>
              <w:rPr>
                <w:noProof/>
                <w:lang w:val="en-IE"/>
              </w:rPr>
            </w:pPr>
          </w:p>
        </w:tc>
        <w:tc>
          <w:tcPr>
            <w:tcW w:w="944" w:type="dxa"/>
            <w:noWrap/>
            <w:hideMark/>
          </w:tcPr>
          <w:p w14:paraId="54E4E409" w14:textId="77777777" w:rsidR="00703728" w:rsidRPr="008676AE" w:rsidRDefault="00703728" w:rsidP="00B202C2">
            <w:pPr>
              <w:jc w:val="center"/>
              <w:rPr>
                <w:noProof/>
                <w:lang w:val="en-IE"/>
              </w:rPr>
            </w:pPr>
          </w:p>
        </w:tc>
        <w:tc>
          <w:tcPr>
            <w:tcW w:w="944" w:type="dxa"/>
            <w:noWrap/>
            <w:hideMark/>
          </w:tcPr>
          <w:p w14:paraId="6C0CFE7D" w14:textId="77777777" w:rsidR="00703728" w:rsidRPr="008676AE" w:rsidRDefault="00703728" w:rsidP="00B202C2">
            <w:pPr>
              <w:jc w:val="center"/>
              <w:rPr>
                <w:noProof/>
                <w:lang w:val="en-IE"/>
              </w:rPr>
            </w:pPr>
          </w:p>
        </w:tc>
        <w:tc>
          <w:tcPr>
            <w:tcW w:w="943" w:type="dxa"/>
            <w:noWrap/>
            <w:hideMark/>
          </w:tcPr>
          <w:p w14:paraId="498BFDB7" w14:textId="77777777" w:rsidR="00703728" w:rsidRPr="008676AE" w:rsidRDefault="00703728" w:rsidP="00B202C2">
            <w:pPr>
              <w:jc w:val="center"/>
              <w:rPr>
                <w:noProof/>
                <w:lang w:val="en-IE"/>
              </w:rPr>
            </w:pPr>
          </w:p>
        </w:tc>
        <w:tc>
          <w:tcPr>
            <w:tcW w:w="944" w:type="dxa"/>
            <w:noWrap/>
            <w:hideMark/>
          </w:tcPr>
          <w:p w14:paraId="1A913C82" w14:textId="77777777" w:rsidR="00703728" w:rsidRPr="008676AE" w:rsidRDefault="00703728" w:rsidP="00B202C2">
            <w:pPr>
              <w:jc w:val="center"/>
              <w:rPr>
                <w:noProof/>
                <w:lang w:val="en-IE"/>
              </w:rPr>
            </w:pPr>
          </w:p>
        </w:tc>
        <w:tc>
          <w:tcPr>
            <w:tcW w:w="944" w:type="dxa"/>
            <w:noWrap/>
            <w:hideMark/>
          </w:tcPr>
          <w:p w14:paraId="50CB17B3" w14:textId="77777777" w:rsidR="00703728" w:rsidRPr="008676AE" w:rsidRDefault="00703728" w:rsidP="00B202C2">
            <w:pPr>
              <w:jc w:val="center"/>
              <w:rPr>
                <w:noProof/>
                <w:lang w:val="en-IE"/>
              </w:rPr>
            </w:pPr>
            <w:r w:rsidRPr="008676AE">
              <w:rPr>
                <w:noProof/>
                <w:lang w:val="en-IE"/>
              </w:rPr>
              <w:t>231.7</w:t>
            </w:r>
          </w:p>
        </w:tc>
      </w:tr>
      <w:tr w:rsidR="00703728" w:rsidRPr="008676AE" w14:paraId="79DBD925" w14:textId="77777777" w:rsidTr="00B202C2">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65085BE3" w14:textId="77777777" w:rsidR="00703728" w:rsidRPr="008676AE" w:rsidRDefault="00703728" w:rsidP="00B202C2">
            <w:pPr>
              <w:rPr>
                <w:noProof/>
                <w:lang w:val="en-IE"/>
              </w:rPr>
            </w:pPr>
            <w:r w:rsidRPr="008676AE">
              <w:rPr>
                <w:noProof/>
                <w:lang w:val="en-IE"/>
              </w:rPr>
              <w:t>NextGenerationEU</w:t>
            </w:r>
          </w:p>
        </w:tc>
        <w:tc>
          <w:tcPr>
            <w:tcW w:w="943" w:type="dxa"/>
            <w:noWrap/>
            <w:hideMark/>
          </w:tcPr>
          <w:p w14:paraId="0CB9FF97" w14:textId="77777777" w:rsidR="00703728" w:rsidRPr="008676AE" w:rsidRDefault="00703728" w:rsidP="00B202C2">
            <w:pPr>
              <w:jc w:val="center"/>
              <w:rPr>
                <w:noProof/>
                <w:lang w:val="en-IE"/>
              </w:rPr>
            </w:pPr>
          </w:p>
        </w:tc>
        <w:tc>
          <w:tcPr>
            <w:tcW w:w="944" w:type="dxa"/>
            <w:noWrap/>
            <w:hideMark/>
          </w:tcPr>
          <w:p w14:paraId="568EFB74" w14:textId="77777777" w:rsidR="00703728" w:rsidRPr="008676AE" w:rsidRDefault="00703728" w:rsidP="00B202C2">
            <w:pPr>
              <w:jc w:val="center"/>
              <w:rPr>
                <w:noProof/>
                <w:lang w:val="en-IE"/>
              </w:rPr>
            </w:pPr>
          </w:p>
        </w:tc>
        <w:tc>
          <w:tcPr>
            <w:tcW w:w="943" w:type="dxa"/>
            <w:noWrap/>
            <w:hideMark/>
          </w:tcPr>
          <w:p w14:paraId="46516270" w14:textId="77777777" w:rsidR="00703728" w:rsidRPr="008676AE" w:rsidRDefault="00703728" w:rsidP="00B202C2">
            <w:pPr>
              <w:jc w:val="center"/>
              <w:rPr>
                <w:noProof/>
                <w:lang w:val="en-IE"/>
              </w:rPr>
            </w:pPr>
          </w:p>
        </w:tc>
        <w:tc>
          <w:tcPr>
            <w:tcW w:w="944" w:type="dxa"/>
            <w:noWrap/>
            <w:hideMark/>
          </w:tcPr>
          <w:p w14:paraId="3B3A3F99" w14:textId="77777777" w:rsidR="00703728" w:rsidRPr="008676AE" w:rsidRDefault="00703728" w:rsidP="00B202C2">
            <w:pPr>
              <w:jc w:val="center"/>
              <w:rPr>
                <w:noProof/>
                <w:lang w:val="en-IE"/>
              </w:rPr>
            </w:pPr>
          </w:p>
        </w:tc>
        <w:tc>
          <w:tcPr>
            <w:tcW w:w="944" w:type="dxa"/>
            <w:noWrap/>
            <w:hideMark/>
          </w:tcPr>
          <w:p w14:paraId="44A6B36A" w14:textId="77777777" w:rsidR="00703728" w:rsidRPr="008676AE" w:rsidRDefault="00703728" w:rsidP="00B202C2">
            <w:pPr>
              <w:jc w:val="center"/>
              <w:rPr>
                <w:noProof/>
                <w:lang w:val="en-IE"/>
              </w:rPr>
            </w:pPr>
          </w:p>
        </w:tc>
        <w:tc>
          <w:tcPr>
            <w:tcW w:w="943" w:type="dxa"/>
            <w:noWrap/>
            <w:hideMark/>
          </w:tcPr>
          <w:p w14:paraId="4A3DB363" w14:textId="77777777" w:rsidR="00703728" w:rsidRPr="008676AE" w:rsidRDefault="00703728" w:rsidP="00B202C2">
            <w:pPr>
              <w:jc w:val="center"/>
              <w:rPr>
                <w:noProof/>
                <w:lang w:val="en-IE"/>
              </w:rPr>
            </w:pPr>
          </w:p>
        </w:tc>
        <w:tc>
          <w:tcPr>
            <w:tcW w:w="944" w:type="dxa"/>
            <w:noWrap/>
            <w:hideMark/>
          </w:tcPr>
          <w:p w14:paraId="3C17BA8D" w14:textId="77777777" w:rsidR="00703728" w:rsidRPr="008676AE" w:rsidRDefault="00703728" w:rsidP="00B202C2">
            <w:pPr>
              <w:jc w:val="center"/>
              <w:rPr>
                <w:noProof/>
                <w:lang w:val="en-IE"/>
              </w:rPr>
            </w:pPr>
          </w:p>
        </w:tc>
        <w:tc>
          <w:tcPr>
            <w:tcW w:w="944" w:type="dxa"/>
            <w:noWrap/>
            <w:hideMark/>
          </w:tcPr>
          <w:p w14:paraId="755C880A" w14:textId="77777777" w:rsidR="00703728" w:rsidRPr="008676AE" w:rsidRDefault="00703728" w:rsidP="00B202C2">
            <w:pPr>
              <w:jc w:val="center"/>
              <w:rPr>
                <w:noProof/>
                <w:lang w:val="en-IE"/>
              </w:rPr>
            </w:pPr>
          </w:p>
        </w:tc>
      </w:tr>
      <w:tr w:rsidR="00703728" w:rsidRPr="008676AE" w14:paraId="0F615778" w14:textId="77777777" w:rsidTr="00B202C2">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022667D7" w14:textId="77777777" w:rsidR="00703728" w:rsidRPr="008676AE" w:rsidRDefault="00703728" w:rsidP="00B202C2">
            <w:pPr>
              <w:rPr>
                <w:noProof/>
                <w:lang w:val="en-IE"/>
              </w:rPr>
            </w:pPr>
            <w:r w:rsidRPr="008676AE">
              <w:rPr>
                <w:noProof/>
                <w:lang w:val="en-IE"/>
              </w:rPr>
              <w:t>Decommitments made available again</w:t>
            </w:r>
            <w:r>
              <w:rPr>
                <w:rFonts w:ascii="Calibri" w:hAnsi="Calibri" w:cs="Calibri"/>
                <w:noProof/>
                <w:lang w:val="en-IE"/>
              </w:rPr>
              <w:t> </w:t>
            </w:r>
            <w:r>
              <w:rPr>
                <w:noProof/>
                <w:lang w:val="en-IE"/>
              </w:rPr>
              <w:t>(</w:t>
            </w:r>
            <w:r w:rsidRPr="008676AE">
              <w:rPr>
                <w:noProof/>
                <w:lang w:val="en-IE"/>
              </w:rPr>
              <w:t>*</w:t>
            </w:r>
            <w:r>
              <w:rPr>
                <w:noProof/>
                <w:lang w:val="en-IE"/>
              </w:rPr>
              <w:t>)</w:t>
            </w:r>
          </w:p>
        </w:tc>
        <w:tc>
          <w:tcPr>
            <w:tcW w:w="943" w:type="dxa"/>
            <w:noWrap/>
            <w:hideMark/>
          </w:tcPr>
          <w:p w14:paraId="166A5F47" w14:textId="77777777" w:rsidR="00703728" w:rsidRPr="008676AE" w:rsidRDefault="00703728" w:rsidP="00B202C2">
            <w:pPr>
              <w:jc w:val="center"/>
              <w:rPr>
                <w:noProof/>
                <w:lang w:val="en-IE"/>
              </w:rPr>
            </w:pPr>
            <w:r>
              <w:rPr>
                <w:noProof/>
                <w:lang w:val="en-IE"/>
              </w:rPr>
              <w:t>N/A</w:t>
            </w:r>
          </w:p>
        </w:tc>
        <w:tc>
          <w:tcPr>
            <w:tcW w:w="944" w:type="dxa"/>
            <w:noWrap/>
            <w:hideMark/>
          </w:tcPr>
          <w:p w14:paraId="09D5D4CE" w14:textId="77777777" w:rsidR="00703728" w:rsidRPr="008676AE" w:rsidRDefault="00703728" w:rsidP="00B202C2">
            <w:pPr>
              <w:jc w:val="center"/>
              <w:rPr>
                <w:noProof/>
                <w:lang w:val="en-IE"/>
              </w:rPr>
            </w:pPr>
          </w:p>
        </w:tc>
        <w:tc>
          <w:tcPr>
            <w:tcW w:w="943" w:type="dxa"/>
            <w:noWrap/>
            <w:hideMark/>
          </w:tcPr>
          <w:p w14:paraId="6B519B2E" w14:textId="77777777" w:rsidR="00703728" w:rsidRPr="008676AE" w:rsidRDefault="00703728" w:rsidP="00B202C2">
            <w:pPr>
              <w:jc w:val="center"/>
              <w:rPr>
                <w:noProof/>
                <w:lang w:val="en-IE"/>
              </w:rPr>
            </w:pPr>
          </w:p>
        </w:tc>
        <w:tc>
          <w:tcPr>
            <w:tcW w:w="944" w:type="dxa"/>
            <w:noWrap/>
            <w:hideMark/>
          </w:tcPr>
          <w:p w14:paraId="34BB2454" w14:textId="77777777" w:rsidR="00703728" w:rsidRPr="008676AE" w:rsidRDefault="00703728" w:rsidP="00B202C2">
            <w:pPr>
              <w:jc w:val="center"/>
              <w:rPr>
                <w:noProof/>
                <w:lang w:val="en-IE"/>
              </w:rPr>
            </w:pPr>
          </w:p>
        </w:tc>
        <w:tc>
          <w:tcPr>
            <w:tcW w:w="944" w:type="dxa"/>
            <w:noWrap/>
            <w:hideMark/>
          </w:tcPr>
          <w:p w14:paraId="0A6D84A8" w14:textId="77777777" w:rsidR="00703728" w:rsidRPr="008676AE" w:rsidRDefault="00703728" w:rsidP="00B202C2">
            <w:pPr>
              <w:jc w:val="center"/>
              <w:rPr>
                <w:noProof/>
                <w:lang w:val="en-IE"/>
              </w:rPr>
            </w:pPr>
          </w:p>
        </w:tc>
        <w:tc>
          <w:tcPr>
            <w:tcW w:w="943" w:type="dxa"/>
            <w:noWrap/>
            <w:hideMark/>
          </w:tcPr>
          <w:p w14:paraId="2686E837" w14:textId="77777777" w:rsidR="00703728" w:rsidRPr="008676AE" w:rsidRDefault="00703728" w:rsidP="00B202C2">
            <w:pPr>
              <w:jc w:val="center"/>
              <w:rPr>
                <w:noProof/>
                <w:lang w:val="en-IE"/>
              </w:rPr>
            </w:pPr>
          </w:p>
        </w:tc>
        <w:tc>
          <w:tcPr>
            <w:tcW w:w="944" w:type="dxa"/>
            <w:noWrap/>
            <w:hideMark/>
          </w:tcPr>
          <w:p w14:paraId="20874EE3" w14:textId="77777777" w:rsidR="00703728" w:rsidRPr="008676AE" w:rsidRDefault="00703728" w:rsidP="00B202C2">
            <w:pPr>
              <w:jc w:val="center"/>
              <w:rPr>
                <w:noProof/>
                <w:lang w:val="en-IE"/>
              </w:rPr>
            </w:pPr>
          </w:p>
        </w:tc>
        <w:tc>
          <w:tcPr>
            <w:tcW w:w="944" w:type="dxa"/>
            <w:noWrap/>
            <w:hideMark/>
          </w:tcPr>
          <w:p w14:paraId="01EA2A31" w14:textId="77777777" w:rsidR="00703728" w:rsidRPr="008676AE" w:rsidRDefault="00703728" w:rsidP="00B202C2">
            <w:pPr>
              <w:jc w:val="center"/>
              <w:rPr>
                <w:noProof/>
                <w:lang w:val="en-IE"/>
              </w:rPr>
            </w:pPr>
            <w:r>
              <w:rPr>
                <w:noProof/>
                <w:lang w:val="en-IE"/>
              </w:rPr>
              <w:t>N/A</w:t>
            </w:r>
          </w:p>
        </w:tc>
      </w:tr>
      <w:tr w:rsidR="00703728" w:rsidRPr="008676AE" w14:paraId="4689C48A" w14:textId="77777777" w:rsidTr="00B202C2">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24655CE1" w14:textId="77777777" w:rsidR="00703728" w:rsidRPr="008676AE" w:rsidRDefault="00703728" w:rsidP="00B202C2">
            <w:pPr>
              <w:rPr>
                <w:noProof/>
                <w:lang w:val="en-IE"/>
              </w:rPr>
            </w:pPr>
            <w:r w:rsidRPr="008676AE">
              <w:rPr>
                <w:noProof/>
                <w:lang w:val="en-IE"/>
              </w:rPr>
              <w:t>Contributions from other countries and entities</w:t>
            </w:r>
          </w:p>
        </w:tc>
        <w:tc>
          <w:tcPr>
            <w:tcW w:w="943" w:type="dxa"/>
            <w:noWrap/>
            <w:hideMark/>
          </w:tcPr>
          <w:p w14:paraId="5FA8FCC0" w14:textId="77777777" w:rsidR="00703728" w:rsidRPr="008676AE" w:rsidRDefault="00703728" w:rsidP="00B202C2">
            <w:pPr>
              <w:jc w:val="center"/>
              <w:rPr>
                <w:noProof/>
                <w:lang w:val="en-IE"/>
              </w:rPr>
            </w:pPr>
            <w:r w:rsidRPr="008676AE">
              <w:rPr>
                <w:noProof/>
                <w:lang w:val="en-IE"/>
              </w:rPr>
              <w:t>416.6</w:t>
            </w:r>
          </w:p>
        </w:tc>
        <w:tc>
          <w:tcPr>
            <w:tcW w:w="944" w:type="dxa"/>
            <w:noWrap/>
            <w:hideMark/>
          </w:tcPr>
          <w:p w14:paraId="70F549DB" w14:textId="611A5088" w:rsidR="00703728" w:rsidRPr="008676AE" w:rsidRDefault="00995A3C" w:rsidP="00B202C2">
            <w:pPr>
              <w:jc w:val="center"/>
              <w:rPr>
                <w:noProof/>
                <w:lang w:val="en-IE"/>
              </w:rPr>
            </w:pPr>
            <w:r>
              <w:rPr>
                <w:noProof/>
                <w:lang w:val="en-IE"/>
              </w:rPr>
              <w:t>p.m.</w:t>
            </w:r>
          </w:p>
        </w:tc>
        <w:tc>
          <w:tcPr>
            <w:tcW w:w="943" w:type="dxa"/>
            <w:noWrap/>
            <w:hideMark/>
          </w:tcPr>
          <w:p w14:paraId="0D1F5D48" w14:textId="3279FE3F" w:rsidR="00703728" w:rsidRPr="008676AE" w:rsidRDefault="00995A3C" w:rsidP="00B202C2">
            <w:pPr>
              <w:jc w:val="center"/>
              <w:rPr>
                <w:noProof/>
                <w:lang w:val="en-IE"/>
              </w:rPr>
            </w:pPr>
            <w:r>
              <w:rPr>
                <w:noProof/>
                <w:lang w:val="en-IE"/>
              </w:rPr>
              <w:t>p.m.</w:t>
            </w:r>
          </w:p>
        </w:tc>
        <w:tc>
          <w:tcPr>
            <w:tcW w:w="944" w:type="dxa"/>
            <w:noWrap/>
            <w:hideMark/>
          </w:tcPr>
          <w:p w14:paraId="074A5D6A" w14:textId="23AD0953" w:rsidR="00703728" w:rsidRPr="008676AE" w:rsidRDefault="00995A3C" w:rsidP="00B202C2">
            <w:pPr>
              <w:jc w:val="center"/>
              <w:rPr>
                <w:noProof/>
                <w:lang w:val="en-IE"/>
              </w:rPr>
            </w:pPr>
            <w:r>
              <w:rPr>
                <w:noProof/>
                <w:lang w:val="en-IE"/>
              </w:rPr>
              <w:t>p.m.</w:t>
            </w:r>
          </w:p>
        </w:tc>
        <w:tc>
          <w:tcPr>
            <w:tcW w:w="944" w:type="dxa"/>
            <w:noWrap/>
            <w:hideMark/>
          </w:tcPr>
          <w:p w14:paraId="4AEE5F35" w14:textId="5A782DD4" w:rsidR="00703728" w:rsidRPr="008676AE" w:rsidRDefault="00995A3C" w:rsidP="00B202C2">
            <w:pPr>
              <w:jc w:val="center"/>
              <w:rPr>
                <w:noProof/>
                <w:lang w:val="en-IE"/>
              </w:rPr>
            </w:pPr>
            <w:r>
              <w:rPr>
                <w:noProof/>
                <w:lang w:val="en-IE"/>
              </w:rPr>
              <w:t>p.m.</w:t>
            </w:r>
          </w:p>
        </w:tc>
        <w:tc>
          <w:tcPr>
            <w:tcW w:w="943" w:type="dxa"/>
            <w:noWrap/>
            <w:hideMark/>
          </w:tcPr>
          <w:p w14:paraId="35C75AD5" w14:textId="4F143ED4" w:rsidR="00703728" w:rsidRPr="008676AE" w:rsidRDefault="00995A3C" w:rsidP="00B202C2">
            <w:pPr>
              <w:jc w:val="center"/>
              <w:rPr>
                <w:noProof/>
                <w:lang w:val="en-IE"/>
              </w:rPr>
            </w:pPr>
            <w:r>
              <w:rPr>
                <w:noProof/>
                <w:lang w:val="en-IE"/>
              </w:rPr>
              <w:t>p.m.</w:t>
            </w:r>
          </w:p>
        </w:tc>
        <w:tc>
          <w:tcPr>
            <w:tcW w:w="944" w:type="dxa"/>
            <w:noWrap/>
            <w:hideMark/>
          </w:tcPr>
          <w:p w14:paraId="3BF46A68" w14:textId="01B122BB" w:rsidR="00703728" w:rsidRPr="008676AE" w:rsidRDefault="00995A3C" w:rsidP="00B202C2">
            <w:pPr>
              <w:jc w:val="center"/>
              <w:rPr>
                <w:noProof/>
                <w:lang w:val="en-IE"/>
              </w:rPr>
            </w:pPr>
            <w:r>
              <w:rPr>
                <w:noProof/>
                <w:lang w:val="en-IE"/>
              </w:rPr>
              <w:t>p.m.</w:t>
            </w:r>
          </w:p>
        </w:tc>
        <w:tc>
          <w:tcPr>
            <w:tcW w:w="944" w:type="dxa"/>
            <w:noWrap/>
            <w:hideMark/>
          </w:tcPr>
          <w:p w14:paraId="2AA2E722" w14:textId="77777777" w:rsidR="00703728" w:rsidRPr="008676AE" w:rsidRDefault="00703728" w:rsidP="00B202C2">
            <w:pPr>
              <w:jc w:val="center"/>
              <w:rPr>
                <w:noProof/>
                <w:lang w:val="en-IE"/>
              </w:rPr>
            </w:pPr>
            <w:r w:rsidRPr="008676AE">
              <w:rPr>
                <w:noProof/>
                <w:lang w:val="en-IE"/>
              </w:rPr>
              <w:t>416.6</w:t>
            </w:r>
          </w:p>
        </w:tc>
      </w:tr>
    </w:tbl>
    <w:p w14:paraId="2E45BD06" w14:textId="77777777" w:rsidR="00703728" w:rsidRPr="002A4508" w:rsidRDefault="00703728" w:rsidP="00703728">
      <w:pPr>
        <w:tabs>
          <w:tab w:val="left" w:pos="6793"/>
        </w:tabs>
        <w:rPr>
          <w:noProof/>
          <w:sz w:val="18"/>
          <w:szCs w:val="18"/>
          <w:lang w:val="en-IE"/>
        </w:rPr>
      </w:pPr>
      <w:r>
        <w:rPr>
          <w:noProof/>
          <w:sz w:val="18"/>
          <w:szCs w:val="18"/>
          <w:lang w:val="en-IE"/>
        </w:rPr>
        <w:t>(</w:t>
      </w:r>
      <w:r w:rsidRPr="002A4508">
        <w:rPr>
          <w:noProof/>
          <w:sz w:val="18"/>
          <w:szCs w:val="18"/>
          <w:lang w:val="en-IE"/>
        </w:rPr>
        <w:t>*</w:t>
      </w:r>
      <w:r>
        <w:rPr>
          <w:noProof/>
          <w:sz w:val="18"/>
          <w:szCs w:val="18"/>
          <w:lang w:val="en-IE"/>
        </w:rPr>
        <w:t>)</w:t>
      </w:r>
      <w:r w:rsidRPr="002A4508">
        <w:rPr>
          <w:noProof/>
          <w:sz w:val="18"/>
          <w:szCs w:val="18"/>
          <w:lang w:val="en-IE"/>
        </w:rPr>
        <w:t xml:space="preserve"> Only Article</w:t>
      </w:r>
      <w:r w:rsidRPr="002A4508">
        <w:rPr>
          <w:rFonts w:ascii="Calibri" w:hAnsi="Calibri" w:cs="Calibri"/>
          <w:noProof/>
          <w:sz w:val="18"/>
          <w:szCs w:val="18"/>
          <w:lang w:val="en-IE"/>
        </w:rPr>
        <w:t> </w:t>
      </w:r>
      <w:r w:rsidRPr="002A4508">
        <w:rPr>
          <w:noProof/>
          <w:sz w:val="18"/>
          <w:szCs w:val="18"/>
          <w:lang w:val="en-IE"/>
        </w:rPr>
        <w:t xml:space="preserve">15(3) of the financial </w:t>
      </w:r>
      <w:r w:rsidRPr="00045449">
        <w:rPr>
          <w:noProof/>
          <w:sz w:val="18"/>
          <w:szCs w:val="18"/>
          <w:lang w:val="en-IE"/>
        </w:rPr>
        <w:t>r</w:t>
      </w:r>
      <w:r w:rsidRPr="002A4508">
        <w:rPr>
          <w:noProof/>
          <w:sz w:val="18"/>
          <w:szCs w:val="18"/>
          <w:lang w:val="en-IE"/>
        </w:rPr>
        <w:t>egulation</w:t>
      </w:r>
      <w:r w:rsidRPr="00045449">
        <w:rPr>
          <w:noProof/>
          <w:sz w:val="18"/>
          <w:szCs w:val="18"/>
          <w:lang w:val="en-IE"/>
        </w:rPr>
        <w:t>.</w:t>
      </w:r>
    </w:p>
    <w:p w14:paraId="54C5CDE7" w14:textId="77777777" w:rsidR="00703728" w:rsidRPr="008676AE" w:rsidRDefault="00703728" w:rsidP="00703728">
      <w:pPr>
        <w:pStyle w:val="ppoTableTabletitle"/>
        <w:rPr>
          <w:b/>
          <w:noProof/>
          <w:lang w:val="en-IE"/>
        </w:rPr>
      </w:pPr>
      <w:r w:rsidRPr="008676AE">
        <w:rPr>
          <w:noProof/>
          <w:lang w:val="en-IE"/>
        </w:rPr>
        <w:t>Voted budget implementation in 2021 (</w:t>
      </w:r>
      <w:r>
        <w:rPr>
          <w:noProof/>
          <w:lang w:val="en-IE"/>
        </w:rPr>
        <w:t>million EUR</w:t>
      </w:r>
      <w:r w:rsidRPr="008676AE">
        <w:rPr>
          <w:noProof/>
          <w:lang w:val="en-IE"/>
        </w:rPr>
        <w:t>):</w:t>
      </w:r>
    </w:p>
    <w:tbl>
      <w:tblPr>
        <w:tblStyle w:val="PPO2021"/>
        <w:tblW w:w="3683" w:type="pct"/>
        <w:tblInd w:w="79" w:type="dxa"/>
        <w:tblLook w:val="04A0" w:firstRow="1" w:lastRow="0" w:firstColumn="1" w:lastColumn="0" w:noHBand="0" w:noVBand="1"/>
      </w:tblPr>
      <w:tblGrid>
        <w:gridCol w:w="2419"/>
        <w:gridCol w:w="2419"/>
        <w:gridCol w:w="2420"/>
      </w:tblGrid>
      <w:tr w:rsidR="00703728" w:rsidRPr="008676AE" w14:paraId="44531FDE" w14:textId="77777777" w:rsidTr="00B202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43790896" w14:textId="77777777" w:rsidR="00703728" w:rsidRPr="008676AE" w:rsidRDefault="00703728" w:rsidP="00B202C2">
            <w:pPr>
              <w:rPr>
                <w:noProof/>
                <w:lang w:val="en-IE"/>
              </w:rPr>
            </w:pPr>
          </w:p>
        </w:tc>
        <w:tc>
          <w:tcPr>
            <w:tcW w:w="2419" w:type="dxa"/>
          </w:tcPr>
          <w:p w14:paraId="154B2B07" w14:textId="77777777" w:rsidR="00703728" w:rsidRPr="008676AE" w:rsidRDefault="00703728" w:rsidP="00B202C2">
            <w:pPr>
              <w:cnfStyle w:val="100000000000" w:firstRow="1" w:lastRow="0" w:firstColumn="0" w:lastColumn="0" w:oddVBand="0" w:evenVBand="0" w:oddHBand="0" w:evenHBand="0" w:firstRowFirstColumn="0" w:firstRowLastColumn="0" w:lastRowFirstColumn="0" w:lastRowLastColumn="0"/>
              <w:rPr>
                <w:noProof/>
                <w:lang w:val="en-IE"/>
              </w:rPr>
            </w:pPr>
            <w:r w:rsidRPr="008676AE">
              <w:rPr>
                <w:noProof/>
                <w:lang w:val="en-IE"/>
              </w:rPr>
              <w:t>Voted budget implementation</w:t>
            </w:r>
          </w:p>
        </w:tc>
        <w:tc>
          <w:tcPr>
            <w:tcW w:w="2420" w:type="dxa"/>
          </w:tcPr>
          <w:p w14:paraId="7FBE586C" w14:textId="77777777" w:rsidR="00703728" w:rsidRPr="008676AE" w:rsidRDefault="00703728" w:rsidP="00B202C2">
            <w:pPr>
              <w:cnfStyle w:val="100000000000" w:firstRow="1" w:lastRow="0" w:firstColumn="0" w:lastColumn="0" w:oddVBand="0" w:evenVBand="0" w:oddHBand="0" w:evenHBand="0" w:firstRowFirstColumn="0" w:firstRowLastColumn="0" w:lastRowFirstColumn="0" w:lastRowLastColumn="0"/>
              <w:rPr>
                <w:noProof/>
                <w:lang w:val="en-IE"/>
              </w:rPr>
            </w:pPr>
            <w:r w:rsidRPr="008676AE">
              <w:rPr>
                <w:noProof/>
                <w:lang w:val="en-IE"/>
              </w:rPr>
              <w:t>Initial voted budget</w:t>
            </w:r>
          </w:p>
        </w:tc>
      </w:tr>
      <w:tr w:rsidR="00703728" w:rsidRPr="008676AE" w14:paraId="6C393958" w14:textId="77777777" w:rsidTr="00B20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43FA7292" w14:textId="77777777" w:rsidR="00703728" w:rsidRPr="008676AE" w:rsidRDefault="00703728" w:rsidP="00B202C2">
            <w:pPr>
              <w:jc w:val="center"/>
              <w:rPr>
                <w:noProof/>
                <w:lang w:val="en-IE"/>
              </w:rPr>
            </w:pPr>
            <w:r w:rsidRPr="008676AE">
              <w:rPr>
                <w:noProof/>
                <w:lang w:val="en-IE"/>
              </w:rPr>
              <w:t>Commitments</w:t>
            </w:r>
          </w:p>
        </w:tc>
        <w:tc>
          <w:tcPr>
            <w:tcW w:w="2419" w:type="dxa"/>
          </w:tcPr>
          <w:p w14:paraId="7A0A2C98" w14:textId="77777777" w:rsidR="00703728" w:rsidRPr="008676AE" w:rsidRDefault="00703728" w:rsidP="00B202C2">
            <w:pPr>
              <w:jc w:val="center"/>
              <w:cnfStyle w:val="000000100000" w:firstRow="0" w:lastRow="0" w:firstColumn="0" w:lastColumn="0" w:oddVBand="0" w:evenVBand="0" w:oddHBand="1" w:evenHBand="0" w:firstRowFirstColumn="0" w:firstRowLastColumn="0" w:lastRowFirstColumn="0" w:lastRowLastColumn="0"/>
              <w:rPr>
                <w:noProof/>
                <w:lang w:val="en-IE"/>
              </w:rPr>
            </w:pPr>
            <w:r w:rsidRPr="008676AE">
              <w:rPr>
                <w:noProof/>
                <w:lang w:val="en-IE"/>
              </w:rPr>
              <w:t>231.7</w:t>
            </w:r>
          </w:p>
        </w:tc>
        <w:tc>
          <w:tcPr>
            <w:tcW w:w="2420" w:type="dxa"/>
          </w:tcPr>
          <w:p w14:paraId="735DB016" w14:textId="77777777" w:rsidR="00703728" w:rsidRPr="008676AE" w:rsidRDefault="00703728" w:rsidP="00B202C2">
            <w:pPr>
              <w:jc w:val="center"/>
              <w:cnfStyle w:val="000000100000" w:firstRow="0" w:lastRow="0" w:firstColumn="0" w:lastColumn="0" w:oddVBand="0" w:evenVBand="0" w:oddHBand="1" w:evenHBand="0" w:firstRowFirstColumn="0" w:firstRowLastColumn="0" w:lastRowFirstColumn="0" w:lastRowLastColumn="0"/>
              <w:rPr>
                <w:noProof/>
                <w:lang w:val="en-IE"/>
              </w:rPr>
            </w:pPr>
            <w:r w:rsidRPr="008676AE">
              <w:rPr>
                <w:noProof/>
                <w:lang w:val="en-IE"/>
              </w:rPr>
              <w:t>0.0</w:t>
            </w:r>
          </w:p>
        </w:tc>
      </w:tr>
      <w:tr w:rsidR="00703728" w:rsidRPr="008676AE" w14:paraId="47395397" w14:textId="77777777" w:rsidTr="00B20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6A59E0D3" w14:textId="77777777" w:rsidR="00703728" w:rsidRPr="008676AE" w:rsidRDefault="00703728" w:rsidP="00B202C2">
            <w:pPr>
              <w:jc w:val="center"/>
              <w:rPr>
                <w:noProof/>
                <w:lang w:val="en-IE"/>
              </w:rPr>
            </w:pPr>
            <w:r w:rsidRPr="008676AE">
              <w:rPr>
                <w:noProof/>
                <w:lang w:val="en-IE"/>
              </w:rPr>
              <w:t>Payments</w:t>
            </w:r>
          </w:p>
        </w:tc>
        <w:tc>
          <w:tcPr>
            <w:tcW w:w="2419" w:type="dxa"/>
          </w:tcPr>
          <w:p w14:paraId="1512E23C" w14:textId="77777777" w:rsidR="00703728" w:rsidRPr="008676AE" w:rsidRDefault="00703728" w:rsidP="00B202C2">
            <w:pPr>
              <w:jc w:val="center"/>
              <w:cnfStyle w:val="000000010000" w:firstRow="0" w:lastRow="0" w:firstColumn="0" w:lastColumn="0" w:oddVBand="0" w:evenVBand="0" w:oddHBand="0" w:evenHBand="1" w:firstRowFirstColumn="0" w:firstRowLastColumn="0" w:lastRowFirstColumn="0" w:lastRowLastColumn="0"/>
              <w:rPr>
                <w:noProof/>
                <w:lang w:val="en-IE"/>
              </w:rPr>
            </w:pPr>
            <w:r w:rsidRPr="008676AE">
              <w:rPr>
                <w:noProof/>
                <w:lang w:val="en-IE"/>
              </w:rPr>
              <w:t>313.6</w:t>
            </w:r>
          </w:p>
        </w:tc>
        <w:tc>
          <w:tcPr>
            <w:tcW w:w="2420" w:type="dxa"/>
          </w:tcPr>
          <w:p w14:paraId="107DDAA3" w14:textId="77777777" w:rsidR="00703728" w:rsidRPr="008676AE" w:rsidRDefault="00703728" w:rsidP="00B202C2">
            <w:pPr>
              <w:jc w:val="center"/>
              <w:cnfStyle w:val="000000010000" w:firstRow="0" w:lastRow="0" w:firstColumn="0" w:lastColumn="0" w:oddVBand="0" w:evenVBand="0" w:oddHBand="0" w:evenHBand="1" w:firstRowFirstColumn="0" w:firstRowLastColumn="0" w:lastRowFirstColumn="0" w:lastRowLastColumn="0"/>
              <w:rPr>
                <w:noProof/>
                <w:lang w:val="en-IE"/>
              </w:rPr>
            </w:pPr>
            <w:r w:rsidRPr="008676AE">
              <w:rPr>
                <w:noProof/>
                <w:lang w:val="en-IE"/>
              </w:rPr>
              <w:t>90.0</w:t>
            </w:r>
          </w:p>
        </w:tc>
      </w:tr>
    </w:tbl>
    <w:p w14:paraId="7D48A06B" w14:textId="77777777" w:rsidR="00703728" w:rsidRPr="008676AE" w:rsidRDefault="00703728" w:rsidP="00703728">
      <w:pPr>
        <w:pStyle w:val="ppoListHyphened-L1"/>
        <w:numPr>
          <w:ilvl w:val="0"/>
          <w:numId w:val="0"/>
        </w:numPr>
        <w:ind w:left="357"/>
        <w:rPr>
          <w:noProof/>
          <w:lang w:val="en-IE"/>
        </w:rPr>
      </w:pPr>
    </w:p>
    <w:p w14:paraId="663F1D88" w14:textId="77777777" w:rsidR="00703728" w:rsidRPr="008676AE" w:rsidRDefault="00703728" w:rsidP="00703728">
      <w:pPr>
        <w:pStyle w:val="ppoListHyphened-L1"/>
        <w:rPr>
          <w:noProof/>
          <w:lang w:val="en-IE"/>
        </w:rPr>
      </w:pPr>
      <w:r w:rsidRPr="008676AE">
        <w:rPr>
          <w:noProof/>
          <w:lang w:val="en-IE"/>
        </w:rPr>
        <w:t>The programme was set up in 2020 for a limited period of time (due to end in January 2022).</w:t>
      </w:r>
    </w:p>
    <w:p w14:paraId="1E5CE391" w14:textId="0C4E102B" w:rsidR="00703728" w:rsidRPr="008676AE" w:rsidRDefault="00703728" w:rsidP="00703728">
      <w:pPr>
        <w:pStyle w:val="ppoListHyphened-L1"/>
        <w:rPr>
          <w:noProof/>
          <w:lang w:val="en-IE"/>
        </w:rPr>
      </w:pPr>
      <w:r w:rsidRPr="008676AE">
        <w:rPr>
          <w:noProof/>
          <w:lang w:val="en-IE"/>
        </w:rPr>
        <w:t>The programme was financed with EUR</w:t>
      </w:r>
      <w:r>
        <w:rPr>
          <w:rFonts w:ascii="Calibri" w:hAnsi="Calibri" w:cs="Calibri"/>
          <w:noProof/>
          <w:lang w:val="en-IE"/>
        </w:rPr>
        <w:t> </w:t>
      </w:r>
      <w:r w:rsidRPr="008676AE">
        <w:rPr>
          <w:noProof/>
          <w:lang w:val="en-IE"/>
        </w:rPr>
        <w:t>2.7</w:t>
      </w:r>
      <w:r>
        <w:rPr>
          <w:rFonts w:ascii="Calibri" w:hAnsi="Calibri" w:cs="Calibri"/>
          <w:noProof/>
          <w:lang w:val="en-IE"/>
        </w:rPr>
        <w:t> </w:t>
      </w:r>
      <w:r w:rsidRPr="008676AE">
        <w:rPr>
          <w:noProof/>
          <w:lang w:val="en-IE"/>
        </w:rPr>
        <w:t xml:space="preserve">billion from the 2014-2020 </w:t>
      </w:r>
      <w:r>
        <w:rPr>
          <w:noProof/>
          <w:lang w:val="en-IE"/>
        </w:rPr>
        <w:t>multiannual financial framework</w:t>
      </w:r>
      <w:r w:rsidRPr="008676AE">
        <w:rPr>
          <w:noProof/>
          <w:lang w:val="en-IE"/>
        </w:rPr>
        <w:t xml:space="preserve"> and EUR</w:t>
      </w:r>
      <w:r>
        <w:rPr>
          <w:rFonts w:ascii="Calibri" w:hAnsi="Calibri" w:cs="Calibri"/>
          <w:noProof/>
          <w:lang w:val="en-IE"/>
        </w:rPr>
        <w:t> </w:t>
      </w:r>
      <w:r w:rsidRPr="008676AE">
        <w:rPr>
          <w:noProof/>
          <w:lang w:val="en-IE"/>
        </w:rPr>
        <w:t>750</w:t>
      </w:r>
      <w:r>
        <w:rPr>
          <w:rFonts w:ascii="Calibri" w:hAnsi="Calibri" w:cs="Calibri"/>
          <w:noProof/>
          <w:lang w:val="en-IE"/>
        </w:rPr>
        <w:t> </w:t>
      </w:r>
      <w:r w:rsidRPr="008676AE">
        <w:rPr>
          <w:noProof/>
          <w:lang w:val="en-IE"/>
        </w:rPr>
        <w:t>million from Member States’ contributions (external assigned revenue). Of this envelope, total commitments amount</w:t>
      </w:r>
      <w:r>
        <w:rPr>
          <w:noProof/>
          <w:lang w:val="en-IE"/>
        </w:rPr>
        <w:t>ing</w:t>
      </w:r>
      <w:r w:rsidRPr="008676AE">
        <w:rPr>
          <w:noProof/>
          <w:lang w:val="en-IE"/>
        </w:rPr>
        <w:t xml:space="preserve"> to </w:t>
      </w:r>
      <w:r w:rsidRPr="00E705FE">
        <w:rPr>
          <w:noProof/>
          <w:lang w:val="en-IE"/>
        </w:rPr>
        <w:t xml:space="preserve">EUR </w:t>
      </w:r>
      <w:r w:rsidR="001A6387">
        <w:rPr>
          <w:noProof/>
          <w:lang w:val="en-IE"/>
        </w:rPr>
        <w:t>3 billion</w:t>
      </w:r>
      <w:r w:rsidR="001A6387" w:rsidRPr="006F409B">
        <w:rPr>
          <w:noProof/>
          <w:lang w:val="en-IE"/>
        </w:rPr>
        <w:t xml:space="preserve"> </w:t>
      </w:r>
      <w:r w:rsidRPr="001C41C8">
        <w:rPr>
          <w:noProof/>
          <w:lang w:val="en-IE"/>
        </w:rPr>
        <w:t xml:space="preserve">were used in 2020 to </w:t>
      </w:r>
      <w:r w:rsidRPr="008676AE">
        <w:rPr>
          <w:noProof/>
          <w:lang w:val="en-IE"/>
        </w:rPr>
        <w:t xml:space="preserve">expand the portfolio of </w:t>
      </w:r>
      <w:r>
        <w:rPr>
          <w:noProof/>
          <w:lang w:val="en-IE"/>
        </w:rPr>
        <w:t>a</w:t>
      </w:r>
      <w:r w:rsidRPr="008676AE">
        <w:rPr>
          <w:noProof/>
          <w:lang w:val="en-IE"/>
        </w:rPr>
        <w:t xml:space="preserve">dvance </w:t>
      </w:r>
      <w:r>
        <w:rPr>
          <w:noProof/>
          <w:lang w:val="en-IE"/>
        </w:rPr>
        <w:t>p</w:t>
      </w:r>
      <w:r w:rsidRPr="008676AE">
        <w:rPr>
          <w:noProof/>
          <w:lang w:val="en-IE"/>
        </w:rPr>
        <w:t xml:space="preserve">urchase </w:t>
      </w:r>
      <w:r>
        <w:rPr>
          <w:noProof/>
          <w:lang w:val="en-IE"/>
        </w:rPr>
        <w:t>a</w:t>
      </w:r>
      <w:r w:rsidRPr="008676AE">
        <w:rPr>
          <w:noProof/>
          <w:lang w:val="en-IE"/>
        </w:rPr>
        <w:t>greements with promising vaccine candidates.</w:t>
      </w:r>
    </w:p>
    <w:p w14:paraId="6C93007F" w14:textId="77777777" w:rsidR="00703728" w:rsidRPr="008676AE" w:rsidRDefault="00703728" w:rsidP="00703728">
      <w:pPr>
        <w:pStyle w:val="ppoListHyphened-L1"/>
        <w:rPr>
          <w:noProof/>
          <w:lang w:val="en-IE"/>
        </w:rPr>
      </w:pPr>
      <w:r>
        <w:rPr>
          <w:noProof/>
          <w:lang w:val="en-IE"/>
        </w:rPr>
        <w:t>Regarding</w:t>
      </w:r>
      <w:r w:rsidRPr="008676AE">
        <w:rPr>
          <w:noProof/>
          <w:lang w:val="en-IE"/>
        </w:rPr>
        <w:t xml:space="preserve"> payments, the initially voted budget credits of EUR</w:t>
      </w:r>
      <w:r>
        <w:rPr>
          <w:rFonts w:ascii="Calibri" w:hAnsi="Calibri" w:cs="Calibri"/>
          <w:noProof/>
          <w:lang w:val="en-IE"/>
        </w:rPr>
        <w:t> </w:t>
      </w:r>
      <w:r w:rsidRPr="008676AE">
        <w:rPr>
          <w:noProof/>
          <w:lang w:val="en-IE"/>
        </w:rPr>
        <w:t>1</w:t>
      </w:r>
      <w:r>
        <w:rPr>
          <w:rFonts w:ascii="Calibri" w:hAnsi="Calibri" w:cs="Calibri"/>
          <w:noProof/>
          <w:lang w:val="en-IE"/>
        </w:rPr>
        <w:t> </w:t>
      </w:r>
      <w:r w:rsidRPr="008676AE">
        <w:rPr>
          <w:noProof/>
          <w:lang w:val="en-IE"/>
        </w:rPr>
        <w:t>380</w:t>
      </w:r>
      <w:r>
        <w:rPr>
          <w:rFonts w:ascii="Calibri" w:hAnsi="Calibri" w:cs="Calibri"/>
          <w:noProof/>
          <w:lang w:val="en-IE"/>
        </w:rPr>
        <w:t> </w:t>
      </w:r>
      <w:r>
        <w:rPr>
          <w:noProof/>
          <w:lang w:val="en-IE"/>
        </w:rPr>
        <w:t>million</w:t>
      </w:r>
      <w:r w:rsidRPr="008676AE">
        <w:rPr>
          <w:noProof/>
          <w:lang w:val="en-IE"/>
        </w:rPr>
        <w:t xml:space="preserve"> for 2020 proved inadequate in view of the needs to make prompt payments in connection to emergency support and advance purchase agreements with vaccine producers. In response, the ESI payment envelope was expanded twice, in July 2020 with the transfer of EUR</w:t>
      </w:r>
      <w:r>
        <w:rPr>
          <w:rFonts w:ascii="Calibri" w:hAnsi="Calibri" w:cs="Calibri"/>
          <w:noProof/>
          <w:lang w:val="en-IE"/>
        </w:rPr>
        <w:t> </w:t>
      </w:r>
      <w:r w:rsidRPr="008676AE">
        <w:rPr>
          <w:noProof/>
          <w:lang w:val="en-IE"/>
        </w:rPr>
        <w:t>140</w:t>
      </w:r>
      <w:r>
        <w:rPr>
          <w:rFonts w:ascii="Calibri" w:hAnsi="Calibri" w:cs="Calibri"/>
          <w:noProof/>
          <w:lang w:val="en-IE"/>
        </w:rPr>
        <w:t> </w:t>
      </w:r>
      <w:r>
        <w:rPr>
          <w:noProof/>
          <w:lang w:val="en-IE"/>
        </w:rPr>
        <w:t>million</w:t>
      </w:r>
      <w:r w:rsidRPr="008676AE">
        <w:rPr>
          <w:noProof/>
          <w:lang w:val="en-IE"/>
        </w:rPr>
        <w:t xml:space="preserve"> from </w:t>
      </w:r>
      <w:r>
        <w:rPr>
          <w:noProof/>
          <w:lang w:val="en-IE"/>
        </w:rPr>
        <w:t xml:space="preserve">the </w:t>
      </w:r>
      <w:r w:rsidRPr="001C41C8">
        <w:rPr>
          <w:noProof/>
          <w:lang w:val="en-IE"/>
        </w:rPr>
        <w:t>Directorate-General for Migration and Home Affairs</w:t>
      </w:r>
      <w:r w:rsidRPr="008676AE">
        <w:rPr>
          <w:noProof/>
          <w:lang w:val="en-IE"/>
        </w:rPr>
        <w:t>’ budget lines, and in September 2020 with a transfer of EUR</w:t>
      </w:r>
      <w:r>
        <w:rPr>
          <w:rFonts w:ascii="Calibri" w:hAnsi="Calibri" w:cs="Calibri"/>
          <w:noProof/>
          <w:lang w:val="en-IE"/>
        </w:rPr>
        <w:t> </w:t>
      </w:r>
      <w:r w:rsidRPr="008676AE">
        <w:rPr>
          <w:noProof/>
          <w:lang w:val="en-IE"/>
        </w:rPr>
        <w:t>1</w:t>
      </w:r>
      <w:r>
        <w:rPr>
          <w:rFonts w:ascii="Calibri" w:hAnsi="Calibri" w:cs="Calibri"/>
          <w:noProof/>
          <w:lang w:val="en-IE"/>
        </w:rPr>
        <w:t> </w:t>
      </w:r>
      <w:r w:rsidRPr="008676AE">
        <w:rPr>
          <w:noProof/>
          <w:lang w:val="en-IE"/>
        </w:rPr>
        <w:t>090</w:t>
      </w:r>
      <w:r>
        <w:rPr>
          <w:rFonts w:ascii="Calibri" w:hAnsi="Calibri" w:cs="Calibri"/>
          <w:noProof/>
          <w:lang w:val="en-IE"/>
        </w:rPr>
        <w:t> </w:t>
      </w:r>
      <w:r>
        <w:rPr>
          <w:noProof/>
          <w:lang w:val="en-IE"/>
        </w:rPr>
        <w:t>million</w:t>
      </w:r>
      <w:r w:rsidRPr="008676AE">
        <w:rPr>
          <w:noProof/>
          <w:lang w:val="en-IE"/>
        </w:rPr>
        <w:t xml:space="preserve"> in payments credits in the context of </w:t>
      </w:r>
      <w:r>
        <w:rPr>
          <w:noProof/>
          <w:lang w:val="en-IE"/>
        </w:rPr>
        <w:t>a</w:t>
      </w:r>
      <w:r w:rsidRPr="008676AE">
        <w:rPr>
          <w:noProof/>
          <w:lang w:val="en-IE"/>
        </w:rPr>
        <w:t xml:space="preserve">mending </w:t>
      </w:r>
      <w:r>
        <w:rPr>
          <w:noProof/>
          <w:lang w:val="en-IE"/>
        </w:rPr>
        <w:t>b</w:t>
      </w:r>
      <w:r w:rsidRPr="008676AE">
        <w:rPr>
          <w:noProof/>
          <w:lang w:val="en-IE"/>
        </w:rPr>
        <w:t xml:space="preserve">udget </w:t>
      </w:r>
      <w:r>
        <w:rPr>
          <w:noProof/>
          <w:lang w:val="en-IE"/>
        </w:rPr>
        <w:t>No</w:t>
      </w:r>
      <w:r>
        <w:rPr>
          <w:rFonts w:ascii="Calibri" w:hAnsi="Calibri" w:cs="Calibri"/>
          <w:noProof/>
          <w:lang w:val="en-IE"/>
        </w:rPr>
        <w:t> </w:t>
      </w:r>
      <w:r w:rsidRPr="008676AE">
        <w:rPr>
          <w:noProof/>
          <w:lang w:val="en-IE"/>
        </w:rPr>
        <w:t>8/2020. This brought the total available payment credits to EUR</w:t>
      </w:r>
      <w:r>
        <w:rPr>
          <w:rFonts w:ascii="Calibri" w:hAnsi="Calibri" w:cs="Calibri"/>
          <w:noProof/>
          <w:lang w:val="en-IE"/>
        </w:rPr>
        <w:t> </w:t>
      </w:r>
      <w:r w:rsidRPr="008676AE">
        <w:rPr>
          <w:noProof/>
          <w:lang w:val="en-IE"/>
        </w:rPr>
        <w:t>2</w:t>
      </w:r>
      <w:r>
        <w:rPr>
          <w:rFonts w:ascii="Calibri" w:hAnsi="Calibri" w:cs="Calibri"/>
          <w:noProof/>
          <w:lang w:val="en-IE"/>
        </w:rPr>
        <w:t> </w:t>
      </w:r>
      <w:r w:rsidRPr="008676AE">
        <w:rPr>
          <w:noProof/>
          <w:lang w:val="en-IE"/>
        </w:rPr>
        <w:t>610</w:t>
      </w:r>
      <w:r>
        <w:rPr>
          <w:rFonts w:ascii="Calibri" w:hAnsi="Calibri" w:cs="Calibri"/>
          <w:noProof/>
          <w:lang w:val="en-IE"/>
        </w:rPr>
        <w:t> </w:t>
      </w:r>
      <w:r>
        <w:rPr>
          <w:noProof/>
          <w:lang w:val="en-IE"/>
        </w:rPr>
        <w:t>million</w:t>
      </w:r>
      <w:r w:rsidRPr="008676AE">
        <w:rPr>
          <w:noProof/>
          <w:lang w:val="en-IE"/>
        </w:rPr>
        <w:t xml:space="preserve">. Of this, some </w:t>
      </w:r>
      <w:bookmarkStart w:id="131" w:name="_Hlk101868368"/>
      <w:r w:rsidRPr="008676AE">
        <w:rPr>
          <w:noProof/>
          <w:lang w:val="en-IE"/>
        </w:rPr>
        <w:t>EUR</w:t>
      </w:r>
      <w:r>
        <w:rPr>
          <w:rFonts w:ascii="Calibri" w:hAnsi="Calibri" w:cs="Calibri"/>
          <w:noProof/>
          <w:lang w:val="en-IE"/>
        </w:rPr>
        <w:t> </w:t>
      </w:r>
      <w:r w:rsidRPr="008676AE">
        <w:rPr>
          <w:noProof/>
          <w:lang w:val="en-IE"/>
        </w:rPr>
        <w:t>2</w:t>
      </w:r>
      <w:r>
        <w:rPr>
          <w:rFonts w:ascii="Calibri" w:hAnsi="Calibri" w:cs="Calibri"/>
          <w:noProof/>
          <w:lang w:val="en-IE"/>
        </w:rPr>
        <w:t> </w:t>
      </w:r>
      <w:r w:rsidRPr="008676AE">
        <w:rPr>
          <w:noProof/>
          <w:lang w:val="en-IE"/>
        </w:rPr>
        <w:t>231</w:t>
      </w:r>
      <w:r>
        <w:rPr>
          <w:rFonts w:ascii="Calibri" w:hAnsi="Calibri" w:cs="Calibri"/>
          <w:noProof/>
          <w:lang w:val="en-IE"/>
        </w:rPr>
        <w:t> </w:t>
      </w:r>
      <w:r>
        <w:rPr>
          <w:noProof/>
          <w:lang w:val="en-IE"/>
        </w:rPr>
        <w:t>million</w:t>
      </w:r>
      <w:r w:rsidRPr="008676AE">
        <w:rPr>
          <w:noProof/>
          <w:lang w:val="en-IE"/>
        </w:rPr>
        <w:t xml:space="preserve"> </w:t>
      </w:r>
      <w:bookmarkEnd w:id="131"/>
      <w:r w:rsidRPr="008676AE">
        <w:rPr>
          <w:noProof/>
          <w:lang w:val="en-IE"/>
        </w:rPr>
        <w:t>had been executed by the end of 2020 (85% implementation rate</w:t>
      </w:r>
      <w:r>
        <w:rPr>
          <w:noProof/>
          <w:lang w:val="en-IE"/>
        </w:rPr>
        <w:t>)</w:t>
      </w:r>
      <w:r w:rsidRPr="008676AE">
        <w:rPr>
          <w:noProof/>
          <w:lang w:val="en-IE"/>
        </w:rPr>
        <w:t>.</w:t>
      </w:r>
    </w:p>
    <w:p w14:paraId="5E870BA2" w14:textId="77777777" w:rsidR="00703728" w:rsidRPr="008676AE" w:rsidRDefault="00703728" w:rsidP="00703728">
      <w:pPr>
        <w:pStyle w:val="ppoListHyphened-L1"/>
        <w:rPr>
          <w:noProof/>
          <w:lang w:val="en-IE"/>
        </w:rPr>
      </w:pPr>
      <w:r w:rsidRPr="008676AE">
        <w:rPr>
          <w:noProof/>
          <w:lang w:val="en-IE"/>
        </w:rPr>
        <w:t>In 2021, the Commission proposed to reinforce the ESI with an additional EUR</w:t>
      </w:r>
      <w:r>
        <w:rPr>
          <w:rFonts w:ascii="Calibri" w:hAnsi="Calibri" w:cs="Calibri"/>
          <w:noProof/>
          <w:lang w:val="en-IE"/>
        </w:rPr>
        <w:t> </w:t>
      </w:r>
      <w:r w:rsidRPr="008676AE">
        <w:rPr>
          <w:noProof/>
          <w:lang w:val="en-IE"/>
        </w:rPr>
        <w:t>231</w:t>
      </w:r>
      <w:r>
        <w:rPr>
          <w:rFonts w:ascii="Calibri" w:hAnsi="Calibri" w:cs="Calibri"/>
          <w:noProof/>
          <w:lang w:val="en-IE"/>
        </w:rPr>
        <w:t>.</w:t>
      </w:r>
      <w:r w:rsidRPr="008676AE">
        <w:rPr>
          <w:noProof/>
          <w:lang w:val="en-IE"/>
        </w:rPr>
        <w:t>7</w:t>
      </w:r>
      <w:r>
        <w:rPr>
          <w:noProof/>
          <w:lang w:val="en-IE"/>
        </w:rPr>
        <w:t xml:space="preserve"> million</w:t>
      </w:r>
      <w:r w:rsidRPr="008676AE">
        <w:rPr>
          <w:noProof/>
          <w:lang w:val="en-IE"/>
        </w:rPr>
        <w:t xml:space="preserve"> in commitment appropriations (EUR</w:t>
      </w:r>
      <w:r>
        <w:rPr>
          <w:rFonts w:ascii="Calibri" w:hAnsi="Calibri" w:cs="Calibri"/>
          <w:noProof/>
          <w:lang w:val="en-IE"/>
        </w:rPr>
        <w:t> </w:t>
      </w:r>
      <w:r w:rsidRPr="008676AE">
        <w:rPr>
          <w:noProof/>
          <w:lang w:val="en-IE"/>
        </w:rPr>
        <w:t>75</w:t>
      </w:r>
      <w:r>
        <w:rPr>
          <w:rFonts w:ascii="Calibri" w:hAnsi="Calibri" w:cs="Calibri"/>
          <w:noProof/>
          <w:lang w:val="en-IE"/>
        </w:rPr>
        <w:t>.</w:t>
      </w:r>
      <w:r w:rsidRPr="008676AE">
        <w:rPr>
          <w:noProof/>
          <w:lang w:val="en-IE"/>
        </w:rPr>
        <w:t>5</w:t>
      </w:r>
      <w:r>
        <w:rPr>
          <w:noProof/>
          <w:lang w:val="en-IE"/>
        </w:rPr>
        <w:t xml:space="preserve"> million</w:t>
      </w:r>
      <w:r w:rsidRPr="008676AE">
        <w:rPr>
          <w:noProof/>
          <w:lang w:val="en-IE"/>
        </w:rPr>
        <w:t xml:space="preserve"> as a budgetary transfer from the Solidarity and Emergency Aid Reserve and EUR</w:t>
      </w:r>
      <w:r>
        <w:rPr>
          <w:rFonts w:ascii="Calibri" w:hAnsi="Calibri" w:cs="Calibri"/>
          <w:noProof/>
          <w:lang w:val="en-IE"/>
        </w:rPr>
        <w:t> </w:t>
      </w:r>
      <w:r w:rsidRPr="008676AE">
        <w:rPr>
          <w:noProof/>
          <w:lang w:val="en-IE"/>
        </w:rPr>
        <w:t>156</w:t>
      </w:r>
      <w:r>
        <w:rPr>
          <w:noProof/>
          <w:lang w:val="en-IE"/>
        </w:rPr>
        <w:t>.</w:t>
      </w:r>
      <w:r w:rsidRPr="008676AE">
        <w:rPr>
          <w:noProof/>
          <w:lang w:val="en-IE"/>
        </w:rPr>
        <w:t>2</w:t>
      </w:r>
      <w:r>
        <w:rPr>
          <w:noProof/>
          <w:lang w:val="en-IE"/>
        </w:rPr>
        <w:t xml:space="preserve"> million</w:t>
      </w:r>
      <w:r w:rsidRPr="008676AE">
        <w:rPr>
          <w:noProof/>
          <w:lang w:val="en-IE"/>
        </w:rPr>
        <w:t xml:space="preserve"> under </w:t>
      </w:r>
      <w:r>
        <w:rPr>
          <w:noProof/>
          <w:lang w:val="en-IE"/>
        </w:rPr>
        <w:t>d</w:t>
      </w:r>
      <w:r w:rsidRPr="008676AE">
        <w:rPr>
          <w:noProof/>
          <w:lang w:val="en-IE"/>
        </w:rPr>
        <w:t xml:space="preserve">raft </w:t>
      </w:r>
      <w:r>
        <w:rPr>
          <w:noProof/>
          <w:lang w:val="en-IE"/>
        </w:rPr>
        <w:t>a</w:t>
      </w:r>
      <w:r w:rsidRPr="008676AE">
        <w:rPr>
          <w:noProof/>
          <w:lang w:val="en-IE"/>
        </w:rPr>
        <w:t xml:space="preserve">mending </w:t>
      </w:r>
      <w:r>
        <w:rPr>
          <w:noProof/>
          <w:lang w:val="en-IE"/>
        </w:rPr>
        <w:t>b</w:t>
      </w:r>
      <w:r w:rsidRPr="008676AE">
        <w:rPr>
          <w:noProof/>
          <w:lang w:val="en-IE"/>
        </w:rPr>
        <w:t xml:space="preserve">udget </w:t>
      </w:r>
      <w:r>
        <w:rPr>
          <w:noProof/>
          <w:lang w:val="en-IE"/>
        </w:rPr>
        <w:t>No</w:t>
      </w:r>
      <w:r>
        <w:rPr>
          <w:rFonts w:ascii="Calibri" w:hAnsi="Calibri" w:cs="Calibri"/>
          <w:noProof/>
          <w:lang w:val="en-IE"/>
        </w:rPr>
        <w:t> </w:t>
      </w:r>
      <w:r w:rsidRPr="008676AE">
        <w:rPr>
          <w:noProof/>
          <w:lang w:val="en-IE"/>
        </w:rPr>
        <w:t>2</w:t>
      </w:r>
      <w:r>
        <w:rPr>
          <w:noProof/>
          <w:lang w:val="en-IE"/>
        </w:rPr>
        <w:t>/2021</w:t>
      </w:r>
      <w:r w:rsidRPr="008676AE">
        <w:rPr>
          <w:noProof/>
          <w:lang w:val="en-IE"/>
        </w:rPr>
        <w:t>). The objective of this reinforcement was to support new actions and create a reserve of EUR</w:t>
      </w:r>
      <w:r>
        <w:rPr>
          <w:rFonts w:ascii="Calibri" w:hAnsi="Calibri" w:cs="Calibri"/>
          <w:noProof/>
          <w:lang w:val="en-IE"/>
        </w:rPr>
        <w:t> </w:t>
      </w:r>
      <w:r w:rsidRPr="008676AE">
        <w:rPr>
          <w:noProof/>
          <w:lang w:val="en-IE"/>
        </w:rPr>
        <w:t>100</w:t>
      </w:r>
      <w:r>
        <w:rPr>
          <w:rFonts w:ascii="Calibri" w:hAnsi="Calibri" w:cs="Calibri"/>
          <w:noProof/>
          <w:lang w:val="en-IE"/>
        </w:rPr>
        <w:t> </w:t>
      </w:r>
      <w:r>
        <w:rPr>
          <w:noProof/>
          <w:lang w:val="en-IE"/>
        </w:rPr>
        <w:t>million</w:t>
      </w:r>
      <w:r w:rsidRPr="008676AE">
        <w:rPr>
          <w:noProof/>
          <w:lang w:val="en-IE"/>
        </w:rPr>
        <w:t xml:space="preserve"> for emerging needs. This reserve has been consequently allocated to grants to Member States to support </w:t>
      </w:r>
      <w:r>
        <w:rPr>
          <w:noProof/>
          <w:lang w:val="en-IE"/>
        </w:rPr>
        <w:t xml:space="preserve">the </w:t>
      </w:r>
      <w:r w:rsidRPr="008676AE">
        <w:rPr>
          <w:noProof/>
          <w:lang w:val="en-IE"/>
        </w:rPr>
        <w:t>accessibility of test</w:t>
      </w:r>
      <w:r>
        <w:rPr>
          <w:noProof/>
          <w:lang w:val="en-IE"/>
        </w:rPr>
        <w:t>s</w:t>
      </w:r>
      <w:r w:rsidRPr="008676AE">
        <w:rPr>
          <w:noProof/>
          <w:lang w:val="en-IE"/>
        </w:rPr>
        <w:t xml:space="preserve"> for the delivery of EU Digital </w:t>
      </w:r>
      <w:r>
        <w:rPr>
          <w:noProof/>
          <w:lang w:val="en-IE"/>
        </w:rPr>
        <w:t>COVID</w:t>
      </w:r>
      <w:r w:rsidRPr="008676AE">
        <w:rPr>
          <w:noProof/>
          <w:lang w:val="en-IE"/>
        </w:rPr>
        <w:t xml:space="preserve"> Certificate</w:t>
      </w:r>
      <w:r>
        <w:rPr>
          <w:noProof/>
          <w:lang w:val="en-IE"/>
        </w:rPr>
        <w:t>s</w:t>
      </w:r>
      <w:r w:rsidRPr="008676AE">
        <w:rPr>
          <w:noProof/>
          <w:lang w:val="en-IE"/>
        </w:rPr>
        <w:t xml:space="preserve">. The budget that was not implemented, together with the unused external assigned revenue, was allocated for example to </w:t>
      </w:r>
      <w:r>
        <w:rPr>
          <w:noProof/>
          <w:lang w:val="en-IE"/>
        </w:rPr>
        <w:t xml:space="preserve">the </w:t>
      </w:r>
      <w:r w:rsidRPr="008676AE">
        <w:rPr>
          <w:noProof/>
          <w:lang w:val="en-IE"/>
        </w:rPr>
        <w:t>donation of vaccines to low and middle</w:t>
      </w:r>
      <w:r>
        <w:rPr>
          <w:noProof/>
          <w:lang w:val="en-IE"/>
        </w:rPr>
        <w:t>-</w:t>
      </w:r>
      <w:r w:rsidRPr="008676AE">
        <w:rPr>
          <w:noProof/>
          <w:lang w:val="en-IE"/>
        </w:rPr>
        <w:t>income countries.</w:t>
      </w:r>
    </w:p>
    <w:p w14:paraId="7DD63DA9" w14:textId="77777777" w:rsidR="00703728" w:rsidRPr="008676AE" w:rsidRDefault="00703728" w:rsidP="00703728">
      <w:pPr>
        <w:pStyle w:val="ppoListHyphened-L1"/>
        <w:rPr>
          <w:noProof/>
          <w:lang w:val="en-IE"/>
        </w:rPr>
      </w:pPr>
      <w:r w:rsidRPr="008676AE">
        <w:rPr>
          <w:noProof/>
          <w:lang w:val="en-IE"/>
        </w:rPr>
        <w:t>The 2021 voted payment appropriations (EUR</w:t>
      </w:r>
      <w:r w:rsidRPr="001C41C8">
        <w:rPr>
          <w:rFonts w:ascii="Calibri" w:hAnsi="Calibri" w:cs="Calibri"/>
          <w:noProof/>
          <w:lang w:val="en-IE"/>
        </w:rPr>
        <w:t> </w:t>
      </w:r>
      <w:r w:rsidRPr="008676AE">
        <w:rPr>
          <w:noProof/>
          <w:lang w:val="en-IE"/>
        </w:rPr>
        <w:t>90</w:t>
      </w:r>
      <w:r>
        <w:rPr>
          <w:rFonts w:ascii="Calibri" w:hAnsi="Calibri" w:cs="Calibri"/>
          <w:noProof/>
          <w:lang w:val="en-IE"/>
        </w:rPr>
        <w:t> </w:t>
      </w:r>
      <w:r>
        <w:rPr>
          <w:noProof/>
          <w:lang w:val="en-IE"/>
        </w:rPr>
        <w:t>million</w:t>
      </w:r>
      <w:r w:rsidRPr="008676AE">
        <w:rPr>
          <w:noProof/>
          <w:lang w:val="en-IE"/>
        </w:rPr>
        <w:t xml:space="preserve">) were not sufficient to honour some outstanding commitments. </w:t>
      </w:r>
      <w:bookmarkStart w:id="132" w:name="_Hlk101796881"/>
      <w:r w:rsidRPr="008676AE">
        <w:rPr>
          <w:noProof/>
          <w:lang w:val="en-IE"/>
        </w:rPr>
        <w:t>Therefore, some EUR</w:t>
      </w:r>
      <w:r>
        <w:rPr>
          <w:rFonts w:ascii="Calibri" w:hAnsi="Calibri" w:cs="Calibri"/>
          <w:noProof/>
          <w:lang w:val="en-IE"/>
        </w:rPr>
        <w:t> </w:t>
      </w:r>
      <w:r w:rsidRPr="008676AE">
        <w:rPr>
          <w:noProof/>
          <w:lang w:val="en-IE"/>
        </w:rPr>
        <w:t>378</w:t>
      </w:r>
      <w:r>
        <w:rPr>
          <w:rFonts w:ascii="Calibri" w:hAnsi="Calibri" w:cs="Calibri"/>
          <w:noProof/>
          <w:lang w:val="en-IE"/>
        </w:rPr>
        <w:t>.</w:t>
      </w:r>
      <w:r w:rsidRPr="008676AE">
        <w:rPr>
          <w:noProof/>
          <w:lang w:val="en-IE"/>
        </w:rPr>
        <w:t>8</w:t>
      </w:r>
      <w:r>
        <w:rPr>
          <w:rFonts w:ascii="Calibri" w:hAnsi="Calibri" w:cs="Calibri"/>
          <w:noProof/>
          <w:lang w:val="en-IE"/>
        </w:rPr>
        <w:t> </w:t>
      </w:r>
      <w:r w:rsidRPr="001C41C8">
        <w:rPr>
          <w:noProof/>
          <w:lang w:val="en-IE"/>
        </w:rPr>
        <w:t>million</w:t>
      </w:r>
      <w:r w:rsidRPr="008676AE">
        <w:rPr>
          <w:noProof/>
          <w:lang w:val="en-IE"/>
        </w:rPr>
        <w:t xml:space="preserve"> in payment appropriations was carried over in the context of the Commission decision on </w:t>
      </w:r>
      <w:r>
        <w:rPr>
          <w:noProof/>
          <w:lang w:val="en-IE"/>
        </w:rPr>
        <w:t xml:space="preserve">the </w:t>
      </w:r>
      <w:r w:rsidRPr="008676AE">
        <w:rPr>
          <w:noProof/>
          <w:lang w:val="en-IE"/>
        </w:rPr>
        <w:t xml:space="preserve">non-automatic carryover of </w:t>
      </w:r>
      <w:r>
        <w:rPr>
          <w:noProof/>
          <w:lang w:val="en-IE"/>
        </w:rPr>
        <w:t xml:space="preserve">2020 </w:t>
      </w:r>
      <w:r w:rsidRPr="008676AE">
        <w:rPr>
          <w:noProof/>
          <w:lang w:val="en-IE"/>
        </w:rPr>
        <w:t>appropriations</w:t>
      </w:r>
      <w:bookmarkEnd w:id="132"/>
      <w:r w:rsidRPr="008676AE">
        <w:rPr>
          <w:noProof/>
          <w:lang w:val="en-IE"/>
        </w:rPr>
        <w:t>. Most of the remaining payments were executed by</w:t>
      </w:r>
      <w:r>
        <w:rPr>
          <w:noProof/>
          <w:lang w:val="en-IE"/>
        </w:rPr>
        <w:t xml:space="preserve"> the</w:t>
      </w:r>
      <w:r w:rsidRPr="008676AE">
        <w:rPr>
          <w:noProof/>
          <w:lang w:val="en-IE"/>
        </w:rPr>
        <w:t xml:space="preserve"> end of 2021. However, payment credits will still be needed in 2022 (and 2023) to honour obligations.</w:t>
      </w:r>
    </w:p>
    <w:p w14:paraId="1F08673F" w14:textId="77777777" w:rsidR="00703728" w:rsidRPr="008676AE" w:rsidRDefault="00703728" w:rsidP="00703728">
      <w:pPr>
        <w:pStyle w:val="ppoListHyphened-L1"/>
        <w:rPr>
          <w:noProof/>
          <w:lang w:val="en-IE"/>
        </w:rPr>
      </w:pPr>
      <w:r w:rsidRPr="008676AE">
        <w:rPr>
          <w:noProof/>
          <w:lang w:val="en-IE"/>
        </w:rPr>
        <w:t xml:space="preserve">There are no voted commitment appropriations in the EU budget 2021 for the </w:t>
      </w:r>
      <w:r>
        <w:rPr>
          <w:noProof/>
          <w:lang w:val="en-IE"/>
        </w:rPr>
        <w:t>ESI</w:t>
      </w:r>
      <w:r w:rsidRPr="008676AE">
        <w:rPr>
          <w:noProof/>
          <w:lang w:val="en-IE"/>
        </w:rPr>
        <w:t>.</w:t>
      </w:r>
    </w:p>
    <w:p w14:paraId="206D9044" w14:textId="77777777" w:rsidR="00703728" w:rsidRDefault="00703728" w:rsidP="00703728">
      <w:pPr>
        <w:pStyle w:val="ppoListHyphened-L1"/>
        <w:rPr>
          <w:noProof/>
          <w:lang w:val="en-IE"/>
        </w:rPr>
      </w:pPr>
      <w:r w:rsidRPr="008676AE">
        <w:rPr>
          <w:noProof/>
          <w:lang w:val="en-IE"/>
        </w:rPr>
        <w:t>The instrument expired on 31</w:t>
      </w:r>
      <w:r>
        <w:rPr>
          <w:rFonts w:ascii="Calibri" w:hAnsi="Calibri" w:cs="Calibri"/>
          <w:noProof/>
          <w:lang w:val="en-IE"/>
        </w:rPr>
        <w:t> </w:t>
      </w:r>
      <w:r w:rsidRPr="008676AE">
        <w:rPr>
          <w:noProof/>
          <w:lang w:val="en-IE"/>
        </w:rPr>
        <w:t>January 2022 and hence no commitment appropriations were requested for 2022.</w:t>
      </w:r>
    </w:p>
    <w:p w14:paraId="264432E8" w14:textId="77777777" w:rsidR="00703728" w:rsidRPr="0092790A" w:rsidRDefault="00703728" w:rsidP="00703728">
      <w:pPr>
        <w:pStyle w:val="ppoListHyphened-L1"/>
        <w:jc w:val="both"/>
        <w:rPr>
          <w:noProof/>
        </w:rPr>
      </w:pPr>
      <w:r w:rsidRPr="0092790A">
        <w:rPr>
          <w:noProof/>
        </w:rPr>
        <w:t xml:space="preserve">ESI is an emergency support instrument intended to cover the financing of emergency support operations to respond to the urgent and exceptional needs in Member States as a result of a natural or man-made disaster, in case of activation by the Council under the </w:t>
      </w:r>
      <w:r>
        <w:rPr>
          <w:noProof/>
        </w:rPr>
        <w:t>e</w:t>
      </w:r>
      <w:r w:rsidRPr="0092790A">
        <w:rPr>
          <w:noProof/>
        </w:rPr>
        <w:t xml:space="preserve">mergency </w:t>
      </w:r>
      <w:r>
        <w:rPr>
          <w:noProof/>
        </w:rPr>
        <w:t>s</w:t>
      </w:r>
      <w:r w:rsidRPr="0092790A">
        <w:rPr>
          <w:noProof/>
        </w:rPr>
        <w:t xml:space="preserve">upport </w:t>
      </w:r>
      <w:r>
        <w:rPr>
          <w:noProof/>
        </w:rPr>
        <w:t>r</w:t>
      </w:r>
      <w:r w:rsidRPr="0092790A">
        <w:rPr>
          <w:noProof/>
        </w:rPr>
        <w:t>egulation (</w:t>
      </w:r>
      <w:r w:rsidRPr="001C41C8">
        <w:rPr>
          <w:noProof/>
        </w:rPr>
        <w:t>Regulation</w:t>
      </w:r>
      <w:r w:rsidRPr="001C41C8">
        <w:rPr>
          <w:rFonts w:ascii="Calibri" w:hAnsi="Calibri" w:cs="Calibri"/>
          <w:noProof/>
        </w:rPr>
        <w:t> </w:t>
      </w:r>
      <w:r w:rsidRPr="001C41C8">
        <w:rPr>
          <w:noProof/>
        </w:rPr>
        <w:t>(EU)</w:t>
      </w:r>
      <w:r>
        <w:rPr>
          <w:rFonts w:ascii="Arial" w:hAnsi="Arial" w:cs="Arial"/>
          <w:noProof/>
          <w:color w:val="4D5156"/>
          <w:sz w:val="21"/>
          <w:szCs w:val="21"/>
          <w:shd w:val="clear" w:color="auto" w:fill="FFFFFF"/>
        </w:rPr>
        <w:t xml:space="preserve"> </w:t>
      </w:r>
      <w:r w:rsidRPr="0092790A">
        <w:rPr>
          <w:noProof/>
        </w:rPr>
        <w:t xml:space="preserve">2016/369). In the context of the outbreak of </w:t>
      </w:r>
      <w:r>
        <w:rPr>
          <w:noProof/>
        </w:rPr>
        <w:t xml:space="preserve">the </w:t>
      </w:r>
      <w:r w:rsidRPr="0092790A">
        <w:rPr>
          <w:noProof/>
        </w:rPr>
        <w:t>COVID</w:t>
      </w:r>
      <w:r>
        <w:rPr>
          <w:noProof/>
        </w:rPr>
        <w:noBreakHyphen/>
      </w:r>
      <w:r w:rsidRPr="0092790A">
        <w:rPr>
          <w:noProof/>
        </w:rPr>
        <w:t>19 crisis, the ESI was activated in April 2020</w:t>
      </w:r>
      <w:r w:rsidRPr="003B6D4E">
        <w:rPr>
          <w:noProof/>
        </w:rPr>
        <w:t xml:space="preserve"> with a budget of </w:t>
      </w:r>
      <w:r>
        <w:rPr>
          <w:noProof/>
        </w:rPr>
        <w:t>EUR</w:t>
      </w:r>
      <w:r>
        <w:rPr>
          <w:rFonts w:ascii="Calibri" w:hAnsi="Calibri" w:cs="Calibri"/>
          <w:noProof/>
        </w:rPr>
        <w:t> </w:t>
      </w:r>
      <w:r w:rsidRPr="003B6D4E">
        <w:rPr>
          <w:noProof/>
        </w:rPr>
        <w:t>2.7</w:t>
      </w:r>
      <w:r>
        <w:rPr>
          <w:rFonts w:ascii="Calibri" w:hAnsi="Calibri" w:cs="Calibri"/>
          <w:noProof/>
        </w:rPr>
        <w:t> </w:t>
      </w:r>
      <w:r w:rsidRPr="003B6D4E">
        <w:rPr>
          <w:noProof/>
        </w:rPr>
        <w:t>billion</w:t>
      </w:r>
      <w:r w:rsidRPr="0092790A">
        <w:rPr>
          <w:noProof/>
        </w:rPr>
        <w:t xml:space="preserve">, in order to provide a needs-based emergency response, complementing the response of the affected Member States. </w:t>
      </w:r>
      <w:r w:rsidRPr="003B6D4E">
        <w:rPr>
          <w:noProof/>
        </w:rPr>
        <w:t xml:space="preserve">This budget was increased </w:t>
      </w:r>
      <w:r>
        <w:rPr>
          <w:noProof/>
        </w:rPr>
        <w:t>by</w:t>
      </w:r>
      <w:r w:rsidRPr="003B6D4E">
        <w:rPr>
          <w:noProof/>
        </w:rPr>
        <w:t xml:space="preserve"> </w:t>
      </w:r>
      <w:r>
        <w:rPr>
          <w:noProof/>
        </w:rPr>
        <w:t>EUR</w:t>
      </w:r>
      <w:r>
        <w:rPr>
          <w:rFonts w:ascii="Calibri" w:hAnsi="Calibri" w:cs="Calibri"/>
          <w:noProof/>
        </w:rPr>
        <w:t> </w:t>
      </w:r>
      <w:r w:rsidRPr="003B6D4E">
        <w:rPr>
          <w:noProof/>
        </w:rPr>
        <w:t>750</w:t>
      </w:r>
      <w:r>
        <w:rPr>
          <w:rFonts w:ascii="Calibri" w:hAnsi="Calibri" w:cs="Calibri"/>
          <w:noProof/>
        </w:rPr>
        <w:t> </w:t>
      </w:r>
      <w:r w:rsidRPr="003B6D4E">
        <w:rPr>
          <w:noProof/>
        </w:rPr>
        <w:t xml:space="preserve">million in December 2020 with the contributions from Member States. Moreover, subsequent </w:t>
      </w:r>
      <w:r w:rsidRPr="0092790A">
        <w:rPr>
          <w:noProof/>
        </w:rPr>
        <w:t xml:space="preserve">actions </w:t>
      </w:r>
      <w:r w:rsidRPr="003B6D4E">
        <w:rPr>
          <w:noProof/>
        </w:rPr>
        <w:t xml:space="preserve">as a result of the </w:t>
      </w:r>
      <w:r>
        <w:rPr>
          <w:noProof/>
        </w:rPr>
        <w:t>h</w:t>
      </w:r>
      <w:r w:rsidRPr="003B6D4E">
        <w:rPr>
          <w:noProof/>
        </w:rPr>
        <w:t xml:space="preserve">ealth crisis </w:t>
      </w:r>
      <w:r w:rsidRPr="0092790A">
        <w:rPr>
          <w:noProof/>
        </w:rPr>
        <w:t xml:space="preserve">were </w:t>
      </w:r>
      <w:r>
        <w:rPr>
          <w:noProof/>
        </w:rPr>
        <w:t>planned</w:t>
      </w:r>
      <w:r w:rsidRPr="0092790A">
        <w:rPr>
          <w:noProof/>
        </w:rPr>
        <w:t xml:space="preserve"> under the EU4Health programme, therefore no commitment appropriations were voted under the </w:t>
      </w:r>
      <w:r>
        <w:rPr>
          <w:noProof/>
        </w:rPr>
        <w:t>ESI</w:t>
      </w:r>
      <w:r w:rsidRPr="0092790A">
        <w:rPr>
          <w:noProof/>
        </w:rPr>
        <w:t xml:space="preserve"> as of 2021.</w:t>
      </w:r>
    </w:p>
    <w:p w14:paraId="2161BC95" w14:textId="77777777" w:rsidR="00703728" w:rsidRPr="0092790A" w:rsidRDefault="00703728" w:rsidP="00703728">
      <w:pPr>
        <w:pStyle w:val="ppoListHyphened-L1"/>
        <w:jc w:val="both"/>
        <w:rPr>
          <w:noProof/>
        </w:rPr>
      </w:pPr>
      <w:r w:rsidRPr="0092790A">
        <w:rPr>
          <w:noProof/>
        </w:rPr>
        <w:t>As regards the payment appropriations voted in 2021, they were intended to address the actions started in 2020 under the ESI, ensuring a proper EU response to the health crisis.</w:t>
      </w:r>
    </w:p>
    <w:p w14:paraId="501EDD0D" w14:textId="77777777" w:rsidR="00703728" w:rsidRPr="008676AE" w:rsidRDefault="00703728" w:rsidP="00703728">
      <w:pPr>
        <w:pStyle w:val="ppoHeading5"/>
        <w:rPr>
          <w:noProof/>
          <w:lang w:val="en-IE"/>
        </w:rPr>
      </w:pPr>
      <w:r w:rsidRPr="008676AE">
        <w:rPr>
          <w:noProof/>
          <w:lang w:val="en-IE"/>
        </w:rPr>
        <w:t>Contribution to horizontal priorities</w:t>
      </w:r>
    </w:p>
    <w:p w14:paraId="4B131CFB" w14:textId="77777777" w:rsidR="00703728" w:rsidRPr="008676AE" w:rsidRDefault="00703728" w:rsidP="00703728">
      <w:pPr>
        <w:pStyle w:val="ppoTableTabletitle"/>
        <w:rPr>
          <w:noProof/>
          <w:lang w:val="en-IE"/>
        </w:rPr>
      </w:pPr>
      <w:r w:rsidRPr="008676AE">
        <w:rPr>
          <w:noProof/>
          <w:lang w:val="en-IE"/>
        </w:rPr>
        <w:t>EU budget contribution in 2021 (</w:t>
      </w:r>
      <w:r>
        <w:rPr>
          <w:noProof/>
          <w:lang w:val="en-IE"/>
        </w:rPr>
        <w:t>million EUR</w:t>
      </w:r>
      <w:r w:rsidRPr="008676AE">
        <w:rPr>
          <w:noProof/>
          <w:lang w:val="en-IE"/>
        </w:rPr>
        <w:t>):</w:t>
      </w:r>
    </w:p>
    <w:tbl>
      <w:tblPr>
        <w:tblStyle w:val="PPO2021"/>
        <w:tblW w:w="9639" w:type="dxa"/>
        <w:tblInd w:w="0" w:type="dxa"/>
        <w:tblLook w:val="0420" w:firstRow="1" w:lastRow="0" w:firstColumn="0" w:lastColumn="0" w:noHBand="0" w:noVBand="1"/>
      </w:tblPr>
      <w:tblGrid>
        <w:gridCol w:w="3213"/>
        <w:gridCol w:w="3213"/>
        <w:gridCol w:w="3213"/>
      </w:tblGrid>
      <w:tr w:rsidR="00703728" w:rsidRPr="008676AE" w14:paraId="22C922CB" w14:textId="77777777" w:rsidTr="00B202C2">
        <w:trPr>
          <w:cnfStyle w:val="100000000000" w:firstRow="1" w:lastRow="0" w:firstColumn="0" w:lastColumn="0" w:oddVBand="0" w:evenVBand="0" w:oddHBand="0" w:evenHBand="0" w:firstRowFirstColumn="0" w:firstRowLastColumn="0" w:lastRowFirstColumn="0" w:lastRowLastColumn="0"/>
          <w:tblHeader/>
        </w:trPr>
        <w:tc>
          <w:tcPr>
            <w:tcW w:w="3213" w:type="dxa"/>
          </w:tcPr>
          <w:p w14:paraId="374B9A2F" w14:textId="77777777" w:rsidR="00703728" w:rsidRPr="008676AE" w:rsidRDefault="00703728" w:rsidP="00B202C2">
            <w:pPr>
              <w:rPr>
                <w:noProof/>
                <w:lang w:val="en-IE"/>
              </w:rPr>
            </w:pPr>
            <w:r w:rsidRPr="008676AE">
              <w:rPr>
                <w:noProof/>
                <w:lang w:val="en-IE"/>
              </w:rPr>
              <w:t>Climate</w:t>
            </w:r>
          </w:p>
        </w:tc>
        <w:tc>
          <w:tcPr>
            <w:tcW w:w="3213" w:type="dxa"/>
          </w:tcPr>
          <w:p w14:paraId="6A66BE1C" w14:textId="77777777" w:rsidR="00703728" w:rsidRPr="008676AE" w:rsidRDefault="00703728" w:rsidP="00B202C2">
            <w:pPr>
              <w:rPr>
                <w:noProof/>
                <w:lang w:val="en-IE"/>
              </w:rPr>
            </w:pPr>
            <w:r w:rsidRPr="008676AE">
              <w:rPr>
                <w:noProof/>
                <w:lang w:val="en-IE"/>
              </w:rPr>
              <w:t>Biodiversity</w:t>
            </w:r>
          </w:p>
        </w:tc>
        <w:tc>
          <w:tcPr>
            <w:tcW w:w="3213" w:type="dxa"/>
          </w:tcPr>
          <w:p w14:paraId="02982B7E" w14:textId="77777777" w:rsidR="00703728" w:rsidRPr="008676AE" w:rsidRDefault="00703728" w:rsidP="00B202C2">
            <w:pPr>
              <w:rPr>
                <w:noProof/>
                <w:lang w:val="en-IE"/>
              </w:rPr>
            </w:pPr>
            <w:r w:rsidRPr="008676AE">
              <w:rPr>
                <w:noProof/>
                <w:lang w:val="en-IE"/>
              </w:rPr>
              <w:t>Gender equality</w:t>
            </w:r>
            <w:r>
              <w:rPr>
                <w:rFonts w:ascii="Calibri" w:hAnsi="Calibri" w:cs="Calibri"/>
                <w:noProof/>
                <w:lang w:val="en-IE"/>
              </w:rPr>
              <w:t> </w:t>
            </w:r>
            <w:r>
              <w:rPr>
                <w:noProof/>
                <w:lang w:val="en-IE"/>
              </w:rPr>
              <w:t>(</w:t>
            </w:r>
            <w:r w:rsidRPr="008676AE">
              <w:rPr>
                <w:noProof/>
                <w:lang w:val="en-IE"/>
              </w:rPr>
              <w:t>*</w:t>
            </w:r>
            <w:r>
              <w:rPr>
                <w:noProof/>
                <w:lang w:val="en-IE"/>
              </w:rPr>
              <w:t>)</w:t>
            </w:r>
          </w:p>
        </w:tc>
      </w:tr>
      <w:tr w:rsidR="00703728" w:rsidRPr="008676AE" w14:paraId="1E2C84CB" w14:textId="77777777" w:rsidTr="00B202C2">
        <w:trPr>
          <w:cnfStyle w:val="000000100000" w:firstRow="0" w:lastRow="0" w:firstColumn="0" w:lastColumn="0" w:oddVBand="0" w:evenVBand="0" w:oddHBand="1" w:evenHBand="0" w:firstRowFirstColumn="0" w:firstRowLastColumn="0" w:lastRowFirstColumn="0" w:lastRowLastColumn="0"/>
        </w:trPr>
        <w:tc>
          <w:tcPr>
            <w:tcW w:w="3213" w:type="dxa"/>
          </w:tcPr>
          <w:tbl>
            <w:tblPr>
              <w:tblStyle w:val="TableGrid"/>
              <w:tblW w:w="0" w:type="auto"/>
              <w:tblLook w:val="06A0" w:firstRow="1" w:lastRow="0" w:firstColumn="1" w:lastColumn="0" w:noHBand="1" w:noVBand="1"/>
            </w:tblPr>
            <w:tblGrid>
              <w:gridCol w:w="1935"/>
            </w:tblGrid>
            <w:tr w:rsidR="00703728" w:rsidRPr="008676AE" w14:paraId="0F0B899B" w14:textId="77777777" w:rsidTr="00B202C2">
              <w:trPr>
                <w:trHeight w:val="285"/>
              </w:trPr>
              <w:tc>
                <w:tcPr>
                  <w:tcW w:w="1935" w:type="dxa"/>
                  <w:tcBorders>
                    <w:top w:val="nil"/>
                    <w:left w:val="nil"/>
                    <w:bottom w:val="nil"/>
                    <w:right w:val="nil"/>
                  </w:tcBorders>
                  <w:vAlign w:val="bottom"/>
                </w:tcPr>
                <w:p w14:paraId="19488B0F" w14:textId="77777777" w:rsidR="00703728" w:rsidRPr="008676AE" w:rsidRDefault="00703728" w:rsidP="00B202C2">
                  <w:pPr>
                    <w:jc w:val="right"/>
                    <w:rPr>
                      <w:noProof/>
                      <w:lang w:val="en-IE"/>
                    </w:rPr>
                  </w:pPr>
                  <w:r w:rsidRPr="008676AE">
                    <w:rPr>
                      <w:rFonts w:ascii="Calibri" w:hAnsi="Calibri" w:cs="Calibri"/>
                      <w:noProof/>
                      <w:color w:val="000000"/>
                      <w:lang w:val="en-IE"/>
                    </w:rPr>
                    <w:t>0.3</w:t>
                  </w:r>
                </w:p>
              </w:tc>
            </w:tr>
          </w:tbl>
          <w:p w14:paraId="48AAB9E7" w14:textId="77777777" w:rsidR="00703728" w:rsidRPr="008676AE" w:rsidRDefault="00703728" w:rsidP="00B202C2">
            <w:pPr>
              <w:jc w:val="center"/>
              <w:rPr>
                <w:noProof/>
                <w:lang w:val="en-IE"/>
              </w:rPr>
            </w:pPr>
          </w:p>
        </w:tc>
        <w:tc>
          <w:tcPr>
            <w:tcW w:w="3213" w:type="dxa"/>
          </w:tcPr>
          <w:p w14:paraId="58AAAE67" w14:textId="77777777" w:rsidR="00703728" w:rsidRPr="008676AE" w:rsidRDefault="00703728" w:rsidP="00B202C2">
            <w:pPr>
              <w:jc w:val="center"/>
              <w:rPr>
                <w:noProof/>
                <w:lang w:val="en-IE"/>
              </w:rPr>
            </w:pPr>
            <w:r w:rsidRPr="008676AE">
              <w:rPr>
                <w:noProof/>
                <w:lang w:val="en-IE"/>
              </w:rPr>
              <w:t>0</w:t>
            </w:r>
          </w:p>
        </w:tc>
        <w:tc>
          <w:tcPr>
            <w:tcW w:w="3213" w:type="dxa"/>
          </w:tcPr>
          <w:p w14:paraId="793AAE5A" w14:textId="29CF019D" w:rsidR="00703728" w:rsidRDefault="00703728" w:rsidP="00304A2B">
            <w:pPr>
              <w:jc w:val="center"/>
              <w:rPr>
                <w:noProof/>
                <w:lang w:val="en-IE"/>
              </w:rPr>
            </w:pPr>
            <w:r w:rsidRPr="008676AE">
              <w:rPr>
                <w:noProof/>
                <w:lang w:val="en-IE"/>
              </w:rPr>
              <w:t xml:space="preserve">Score 0*: </w:t>
            </w:r>
            <w:r w:rsidR="001A6387">
              <w:rPr>
                <w:noProof/>
                <w:lang w:val="en-IE"/>
              </w:rPr>
              <w:t>8</w:t>
            </w:r>
          </w:p>
          <w:p w14:paraId="26F19D4E" w14:textId="007F85DB" w:rsidR="001A6387" w:rsidRPr="008676AE" w:rsidRDefault="001A6387" w:rsidP="00304A2B">
            <w:pPr>
              <w:jc w:val="center"/>
              <w:rPr>
                <w:noProof/>
                <w:lang w:val="en-IE"/>
              </w:rPr>
            </w:pPr>
            <w:r>
              <w:rPr>
                <w:noProof/>
                <w:lang w:val="en-IE"/>
              </w:rPr>
              <w:t>Score 0: 224</w:t>
            </w:r>
          </w:p>
        </w:tc>
      </w:tr>
    </w:tbl>
    <w:p w14:paraId="2CEF0FDA" w14:textId="77777777" w:rsidR="00703728" w:rsidRPr="00045449" w:rsidRDefault="00703728" w:rsidP="00703728">
      <w:pPr>
        <w:pStyle w:val="FootnoteText"/>
        <w:rPr>
          <w:noProof/>
          <w:lang w:val="en-IE"/>
        </w:rPr>
      </w:pPr>
      <w:r w:rsidRPr="00045449">
        <w:rPr>
          <w:noProof/>
          <w:lang w:val="en-IE"/>
        </w:rPr>
        <w:t>(*)</w:t>
      </w:r>
      <w:r>
        <w:rPr>
          <w:noProof/>
          <w:lang w:val="en-IE"/>
        </w:rPr>
        <w:tab/>
      </w:r>
      <w:r w:rsidRPr="00045449">
        <w:rPr>
          <w:noProof/>
          <w:lang w:val="en-IE"/>
        </w:rPr>
        <w:t>Based on the applied gender contribution methodology, the following scores are attributed at the most granular level of intervention possible:</w:t>
      </w:r>
    </w:p>
    <w:p w14:paraId="6A3FE932" w14:textId="77777777" w:rsidR="00703728" w:rsidRPr="00045449" w:rsidRDefault="00703728" w:rsidP="00703728">
      <w:pPr>
        <w:pStyle w:val="FootnoteText"/>
        <w:numPr>
          <w:ilvl w:val="0"/>
          <w:numId w:val="38"/>
        </w:numPr>
        <w:spacing w:after="60" w:line="264" w:lineRule="auto"/>
        <w:jc w:val="left"/>
        <w:rPr>
          <w:noProof/>
          <w:lang w:val="en-IE"/>
        </w:rPr>
      </w:pPr>
      <w:r w:rsidRPr="00045449">
        <w:rPr>
          <w:noProof/>
          <w:lang w:val="en-IE"/>
        </w:rPr>
        <w:t>2: interventions the principal objective of which is to improve gender equality;</w:t>
      </w:r>
    </w:p>
    <w:p w14:paraId="30E21C8D" w14:textId="77777777" w:rsidR="00703728" w:rsidRPr="00045449" w:rsidRDefault="00703728" w:rsidP="00703728">
      <w:pPr>
        <w:pStyle w:val="FootnoteText"/>
        <w:numPr>
          <w:ilvl w:val="0"/>
          <w:numId w:val="38"/>
        </w:numPr>
        <w:spacing w:after="60" w:line="264" w:lineRule="auto"/>
        <w:jc w:val="left"/>
        <w:rPr>
          <w:noProof/>
          <w:lang w:val="en-IE"/>
        </w:rPr>
      </w:pPr>
      <w:r w:rsidRPr="00045449">
        <w:rPr>
          <w:noProof/>
          <w:lang w:val="en-IE"/>
        </w:rPr>
        <w:t>1: interventions that have gender equality as an important and deliberate objective but not as the main reason for the intervention;</w:t>
      </w:r>
    </w:p>
    <w:p w14:paraId="6D6E0A96" w14:textId="77777777" w:rsidR="00703728" w:rsidRPr="00045449" w:rsidRDefault="00703728" w:rsidP="00703728">
      <w:pPr>
        <w:pStyle w:val="FootnoteText"/>
        <w:numPr>
          <w:ilvl w:val="0"/>
          <w:numId w:val="38"/>
        </w:numPr>
        <w:spacing w:after="60" w:line="264" w:lineRule="auto"/>
        <w:jc w:val="left"/>
        <w:rPr>
          <w:noProof/>
          <w:lang w:val="en-IE"/>
        </w:rPr>
      </w:pPr>
      <w:r w:rsidRPr="00045449">
        <w:rPr>
          <w:noProof/>
          <w:lang w:val="en-IE"/>
        </w:rPr>
        <w:t>0: non-targeted interventions;</w:t>
      </w:r>
    </w:p>
    <w:p w14:paraId="319913A1" w14:textId="77777777" w:rsidR="00703728" w:rsidRPr="00045449" w:rsidRDefault="00703728" w:rsidP="00703728">
      <w:pPr>
        <w:pStyle w:val="FootnoteText"/>
        <w:numPr>
          <w:ilvl w:val="0"/>
          <w:numId w:val="38"/>
        </w:numPr>
        <w:spacing w:after="60" w:line="264" w:lineRule="auto"/>
        <w:jc w:val="left"/>
        <w:rPr>
          <w:noProof/>
          <w:lang w:val="en-IE"/>
        </w:rPr>
      </w:pPr>
      <w:r w:rsidRPr="00045449">
        <w:rPr>
          <w:noProof/>
          <w:lang w:val="en-IE"/>
        </w:rPr>
        <w:t>0*: score to be assigned to interventions with a likely but not yet clear positive impact on gender equality.</w:t>
      </w:r>
    </w:p>
    <w:p w14:paraId="5892DA22" w14:textId="77777777" w:rsidR="00703728" w:rsidRPr="008676AE" w:rsidRDefault="00703728" w:rsidP="00703728">
      <w:pPr>
        <w:pStyle w:val="ppoHeading5"/>
        <w:rPr>
          <w:noProof/>
          <w:lang w:val="en-IE"/>
        </w:rPr>
      </w:pPr>
      <w:r w:rsidRPr="008676AE">
        <w:rPr>
          <w:noProof/>
          <w:lang w:val="en-IE"/>
        </w:rPr>
        <w:t>Performance assessment</w:t>
      </w:r>
    </w:p>
    <w:p w14:paraId="14C7319B" w14:textId="77777777" w:rsidR="00703728" w:rsidRPr="008676AE" w:rsidRDefault="00703728" w:rsidP="00703728">
      <w:pPr>
        <w:pStyle w:val="ppoListHyphened-L1"/>
        <w:rPr>
          <w:noProof/>
          <w:lang w:val="en-IE"/>
        </w:rPr>
      </w:pPr>
      <w:r w:rsidRPr="008676AE">
        <w:rPr>
          <w:noProof/>
          <w:lang w:val="en-IE"/>
        </w:rPr>
        <w:t>The ESI is needs-based, in the context of a quickly evolving pandemic. No performance framework or indicators are prescribed in the legal bas</w:t>
      </w:r>
      <w:r>
        <w:rPr>
          <w:noProof/>
          <w:lang w:val="en-IE"/>
        </w:rPr>
        <w:t>is</w:t>
      </w:r>
      <w:r w:rsidRPr="008676AE">
        <w:rPr>
          <w:noProof/>
          <w:lang w:val="en-IE"/>
        </w:rPr>
        <w:t>, since the instrument was designed to be maximally adaptable to emerging needs. The breadth of scope and possible interventions, in the context of a quickly evolving epidemiological situation, made for a challenging implementation landscape, also taking into account the limited EU competences in the health domain.</w:t>
      </w:r>
    </w:p>
    <w:p w14:paraId="38C6C653" w14:textId="77777777" w:rsidR="00703728" w:rsidRPr="008676AE" w:rsidRDefault="00703728" w:rsidP="00703728">
      <w:pPr>
        <w:pStyle w:val="ppoListHyphened-L1"/>
        <w:rPr>
          <w:noProof/>
          <w:lang w:val="en-IE"/>
        </w:rPr>
      </w:pPr>
      <w:r w:rsidRPr="008676AE">
        <w:rPr>
          <w:noProof/>
          <w:lang w:val="en-IE"/>
        </w:rPr>
        <w:t>Nevertheless, the ESI has proven its effectiveness in quickly mobilising resources towards the identified needs. The flexibility of the instrument, together with the mandate given to the Commission to centrally manage the funding, allowed its quick deployment.</w:t>
      </w:r>
    </w:p>
    <w:p w14:paraId="3CB32EC7" w14:textId="2D16DEF4" w:rsidR="00703728" w:rsidRPr="008676AE" w:rsidRDefault="00703728" w:rsidP="00703728">
      <w:pPr>
        <w:pStyle w:val="ppoListHyphened-L1"/>
        <w:rPr>
          <w:noProof/>
          <w:lang w:val="en-IE"/>
        </w:rPr>
      </w:pPr>
      <w:r w:rsidRPr="008676AE">
        <w:rPr>
          <w:noProof/>
          <w:lang w:val="en-IE"/>
        </w:rPr>
        <w:t>The major focus of the instrument (around 70% of funding) has been on the vaccines initiative, which allowed the conclusion at an early stage of advance purchase agreements with pharmaceutical companies developing COVID</w:t>
      </w:r>
      <w:r>
        <w:rPr>
          <w:noProof/>
          <w:lang w:val="en-IE"/>
        </w:rPr>
        <w:noBreakHyphen/>
      </w:r>
      <w:r w:rsidRPr="008676AE">
        <w:rPr>
          <w:noProof/>
          <w:lang w:val="en-IE"/>
        </w:rPr>
        <w:t xml:space="preserve">19 vaccines, providing the necessary investment to advance the scientific progress and production capacities, as a result of which </w:t>
      </w:r>
      <w:r w:rsidR="00B450EC">
        <w:rPr>
          <w:noProof/>
          <w:lang w:val="en-IE"/>
        </w:rPr>
        <w:t>4</w:t>
      </w:r>
      <w:r w:rsidRPr="008676AE">
        <w:rPr>
          <w:noProof/>
          <w:lang w:val="en-IE"/>
        </w:rPr>
        <w:t>.6</w:t>
      </w:r>
      <w:r>
        <w:rPr>
          <w:rFonts w:ascii="Calibri" w:hAnsi="Calibri" w:cs="Calibri"/>
          <w:noProof/>
          <w:lang w:val="en-IE"/>
        </w:rPr>
        <w:t> </w:t>
      </w:r>
      <w:r w:rsidRPr="008676AE">
        <w:rPr>
          <w:noProof/>
          <w:lang w:val="en-IE"/>
        </w:rPr>
        <w:t>billion doses of COVID</w:t>
      </w:r>
      <w:r>
        <w:rPr>
          <w:noProof/>
          <w:lang w:val="en-IE"/>
        </w:rPr>
        <w:noBreakHyphen/>
      </w:r>
      <w:r w:rsidRPr="008676AE">
        <w:rPr>
          <w:noProof/>
          <w:lang w:val="en-IE"/>
        </w:rPr>
        <w:t xml:space="preserve">19 vaccines were secured for Member States. Funds were also </w:t>
      </w:r>
      <w:r w:rsidR="00B450EC">
        <w:rPr>
          <w:noProof/>
          <w:lang w:val="en-IE"/>
        </w:rPr>
        <w:t>allocated to vaccine sharing mechanism in order to secure</w:t>
      </w:r>
      <w:r w:rsidRPr="008676AE">
        <w:rPr>
          <w:noProof/>
          <w:lang w:val="en-IE"/>
        </w:rPr>
        <w:t xml:space="preserve"> 200</w:t>
      </w:r>
      <w:r>
        <w:rPr>
          <w:rFonts w:ascii="Calibri" w:hAnsi="Calibri" w:cs="Calibri"/>
          <w:noProof/>
          <w:lang w:val="en-IE"/>
        </w:rPr>
        <w:t> </w:t>
      </w:r>
      <w:r w:rsidRPr="008676AE">
        <w:rPr>
          <w:noProof/>
          <w:lang w:val="en-IE"/>
        </w:rPr>
        <w:t>million vaccine doses and auxiliary material in low and lower-middle income countries.</w:t>
      </w:r>
    </w:p>
    <w:p w14:paraId="41164CDA" w14:textId="77777777" w:rsidR="00703728" w:rsidRPr="008676AE" w:rsidRDefault="00703728" w:rsidP="00703728">
      <w:pPr>
        <w:pStyle w:val="ppoListHyphened-L1"/>
        <w:rPr>
          <w:noProof/>
          <w:lang w:val="en-IE"/>
        </w:rPr>
      </w:pPr>
      <w:bookmarkStart w:id="133" w:name="_Hlk101870910"/>
      <w:r w:rsidRPr="008676AE">
        <w:rPr>
          <w:noProof/>
          <w:lang w:val="en-IE"/>
        </w:rPr>
        <w:t xml:space="preserve">The instrument allowed individual Member States to engage with </w:t>
      </w:r>
      <w:r>
        <w:rPr>
          <w:noProof/>
          <w:lang w:val="en-IE"/>
        </w:rPr>
        <w:t xml:space="preserve">vaccine </w:t>
      </w:r>
      <w:r w:rsidRPr="008676AE">
        <w:rPr>
          <w:noProof/>
          <w:lang w:val="en-IE"/>
        </w:rPr>
        <w:t>developers to secure supplies</w:t>
      </w:r>
      <w:r>
        <w:rPr>
          <w:noProof/>
          <w:lang w:val="en-IE"/>
        </w:rPr>
        <w:t>,</w:t>
      </w:r>
      <w:r w:rsidRPr="008676AE">
        <w:rPr>
          <w:noProof/>
          <w:lang w:val="en-IE"/>
        </w:rPr>
        <w:t xml:space="preserve"> and leveraged the scale </w:t>
      </w:r>
      <w:r>
        <w:rPr>
          <w:noProof/>
          <w:lang w:val="en-IE"/>
        </w:rPr>
        <w:t>of the</w:t>
      </w:r>
      <w:r w:rsidRPr="008676AE">
        <w:rPr>
          <w:noProof/>
          <w:lang w:val="en-IE"/>
        </w:rPr>
        <w:t xml:space="preserve"> EU</w:t>
      </w:r>
      <w:r>
        <w:rPr>
          <w:noProof/>
          <w:lang w:val="en-IE"/>
        </w:rPr>
        <w:t>’s</w:t>
      </w:r>
      <w:r w:rsidRPr="008676AE">
        <w:rPr>
          <w:noProof/>
          <w:lang w:val="en-IE"/>
        </w:rPr>
        <w:t xml:space="preserve"> investment to reduce prices and obtain contractual conditions on issues such as liability and capacity increase, </w:t>
      </w:r>
      <w:r>
        <w:rPr>
          <w:noProof/>
          <w:lang w:val="en-IE"/>
        </w:rPr>
        <w:t>in order to</w:t>
      </w:r>
      <w:r w:rsidRPr="008676AE">
        <w:rPr>
          <w:noProof/>
          <w:lang w:val="en-IE"/>
        </w:rPr>
        <w:t xml:space="preserve"> mitigate Member States’ risks going forward</w:t>
      </w:r>
      <w:bookmarkEnd w:id="133"/>
      <w:r w:rsidRPr="008676AE">
        <w:rPr>
          <w:noProof/>
          <w:lang w:val="en-IE"/>
        </w:rPr>
        <w:t>. At the same time, the advance purchase agreements funded by the instrument are by nature risky investments. Whil</w:t>
      </w:r>
      <w:r>
        <w:rPr>
          <w:noProof/>
          <w:lang w:val="en-IE"/>
        </w:rPr>
        <w:t>e</w:t>
      </w:r>
      <w:r w:rsidRPr="008676AE">
        <w:rPr>
          <w:noProof/>
          <w:lang w:val="en-IE"/>
        </w:rPr>
        <w:t xml:space="preserve"> the Commission designed a portfolio of contracts with the most promising candidates across a wide range of technologies, there was no guarantee that individual vaccines would be successful </w:t>
      </w:r>
      <w:r>
        <w:rPr>
          <w:noProof/>
          <w:lang w:val="en-IE"/>
        </w:rPr>
        <w:t>or</w:t>
      </w:r>
      <w:r w:rsidRPr="008676AE">
        <w:rPr>
          <w:noProof/>
          <w:lang w:val="en-IE"/>
        </w:rPr>
        <w:t xml:space="preserve"> authorised in the EU, or that producers would be able to step up their production at the levels they had committed to.</w:t>
      </w:r>
    </w:p>
    <w:p w14:paraId="0F8F28C1" w14:textId="77777777" w:rsidR="00703728" w:rsidRPr="008676AE" w:rsidRDefault="00703728" w:rsidP="00703728">
      <w:pPr>
        <w:pStyle w:val="ppoListHyphened-L1"/>
        <w:rPr>
          <w:noProof/>
          <w:lang w:val="en-IE"/>
        </w:rPr>
      </w:pPr>
      <w:r w:rsidRPr="008676AE">
        <w:rPr>
          <w:noProof/>
          <w:lang w:val="en-IE"/>
        </w:rPr>
        <w:t>The instrument delivered some 10</w:t>
      </w:r>
      <w:r>
        <w:rPr>
          <w:rFonts w:ascii="Calibri" w:hAnsi="Calibri" w:cs="Calibri"/>
          <w:noProof/>
          <w:lang w:val="en-IE"/>
        </w:rPr>
        <w:t> </w:t>
      </w:r>
      <w:r w:rsidRPr="008676AE">
        <w:rPr>
          <w:noProof/>
          <w:lang w:val="en-IE"/>
        </w:rPr>
        <w:t xml:space="preserve">million masks to medical staff in the early phase of the crisis, when the pressure on </w:t>
      </w:r>
      <w:r>
        <w:rPr>
          <w:noProof/>
          <w:lang w:val="en-IE"/>
        </w:rPr>
        <w:t xml:space="preserve">the supply of </w:t>
      </w:r>
      <w:r w:rsidRPr="008676AE">
        <w:rPr>
          <w:noProof/>
          <w:lang w:val="en-IE"/>
        </w:rPr>
        <w:t xml:space="preserve">equipment was </w:t>
      </w:r>
      <w:r>
        <w:rPr>
          <w:noProof/>
          <w:lang w:val="en-IE"/>
        </w:rPr>
        <w:t>at its highest</w:t>
      </w:r>
      <w:r w:rsidRPr="008676AE">
        <w:rPr>
          <w:noProof/>
          <w:lang w:val="en-IE"/>
        </w:rPr>
        <w:t>.</w:t>
      </w:r>
    </w:p>
    <w:p w14:paraId="021B3AA0" w14:textId="77777777" w:rsidR="00703728" w:rsidRPr="008676AE" w:rsidRDefault="00703728" w:rsidP="00703728">
      <w:pPr>
        <w:pStyle w:val="ppoListHyphened-L1"/>
        <w:rPr>
          <w:noProof/>
          <w:lang w:val="en-IE"/>
        </w:rPr>
      </w:pPr>
      <w:r w:rsidRPr="008676AE">
        <w:rPr>
          <w:noProof/>
          <w:lang w:val="en-IE"/>
        </w:rPr>
        <w:t>The programme also allowed all Member States to have access to the therapeutic Remdesivir and to procure and donate over 23</w:t>
      </w:r>
      <w:r>
        <w:rPr>
          <w:rFonts w:ascii="Calibri" w:hAnsi="Calibri" w:cs="Calibri"/>
          <w:noProof/>
          <w:lang w:val="en-IE"/>
        </w:rPr>
        <w:t> </w:t>
      </w:r>
      <w:r w:rsidRPr="008676AE">
        <w:rPr>
          <w:noProof/>
          <w:lang w:val="en-IE"/>
        </w:rPr>
        <w:t>million rapid antigen tests</w:t>
      </w:r>
      <w:r w:rsidRPr="008F14DA">
        <w:rPr>
          <w:noProof/>
          <w:lang w:val="en-IE"/>
        </w:rPr>
        <w:t xml:space="preserve"> </w:t>
      </w:r>
      <w:r w:rsidRPr="008676AE">
        <w:rPr>
          <w:noProof/>
          <w:lang w:val="en-IE"/>
        </w:rPr>
        <w:t xml:space="preserve">to the interested Member States. </w:t>
      </w:r>
      <w:bookmarkStart w:id="134" w:name="_Hlk101871106"/>
      <w:r>
        <w:rPr>
          <w:noProof/>
          <w:lang w:val="en-IE"/>
        </w:rPr>
        <w:t>It</w:t>
      </w:r>
      <w:r w:rsidRPr="008676AE">
        <w:rPr>
          <w:noProof/>
          <w:lang w:val="en-IE"/>
        </w:rPr>
        <w:t xml:space="preserve"> also financed clinical trials </w:t>
      </w:r>
      <w:r>
        <w:rPr>
          <w:noProof/>
          <w:lang w:val="en-IE"/>
        </w:rPr>
        <w:t>to</w:t>
      </w:r>
      <w:r w:rsidRPr="008676AE">
        <w:rPr>
          <w:noProof/>
          <w:lang w:val="en-IE"/>
        </w:rPr>
        <w:t xml:space="preserve"> test repurposed medicines,</w:t>
      </w:r>
      <w:r>
        <w:rPr>
          <w:noProof/>
          <w:lang w:val="en-IE"/>
        </w:rPr>
        <w:t xml:space="preserve"> the</w:t>
      </w:r>
      <w:r w:rsidRPr="008676AE">
        <w:rPr>
          <w:noProof/>
          <w:lang w:val="en-IE"/>
        </w:rPr>
        <w:t xml:space="preserve"> use of convalescent C</w:t>
      </w:r>
      <w:r>
        <w:rPr>
          <w:noProof/>
          <w:lang w:val="en-IE"/>
        </w:rPr>
        <w:t>OVID</w:t>
      </w:r>
      <w:r>
        <w:rPr>
          <w:noProof/>
          <w:lang w:val="en-IE"/>
        </w:rPr>
        <w:noBreakHyphen/>
      </w:r>
      <w:r w:rsidRPr="008676AE">
        <w:rPr>
          <w:noProof/>
          <w:lang w:val="en-IE"/>
        </w:rPr>
        <w:t>19 patients’ plasma</w:t>
      </w:r>
      <w:r>
        <w:rPr>
          <w:noProof/>
          <w:lang w:val="en-IE"/>
        </w:rPr>
        <w:t>, the</w:t>
      </w:r>
      <w:r w:rsidRPr="008676AE">
        <w:rPr>
          <w:noProof/>
          <w:lang w:val="en-IE"/>
        </w:rPr>
        <w:t xml:space="preserve"> EU wastewater monitoring system </w:t>
      </w:r>
      <w:r>
        <w:rPr>
          <w:noProof/>
          <w:lang w:val="en-IE"/>
        </w:rPr>
        <w:t>and</w:t>
      </w:r>
      <w:r w:rsidRPr="008676AE">
        <w:rPr>
          <w:noProof/>
          <w:lang w:val="en-IE"/>
        </w:rPr>
        <w:t xml:space="preserve"> the urgent characterisation of the SARS</w:t>
      </w:r>
      <w:r>
        <w:rPr>
          <w:noProof/>
          <w:lang w:val="en-IE"/>
        </w:rPr>
        <w:t>-</w:t>
      </w:r>
      <w:r w:rsidRPr="008676AE">
        <w:rPr>
          <w:noProof/>
          <w:lang w:val="en-IE"/>
        </w:rPr>
        <w:t>CoV</w:t>
      </w:r>
      <w:r>
        <w:rPr>
          <w:noProof/>
          <w:lang w:val="en-IE"/>
        </w:rPr>
        <w:t>-</w:t>
      </w:r>
      <w:r w:rsidRPr="008676AE">
        <w:rPr>
          <w:noProof/>
          <w:lang w:val="en-IE"/>
        </w:rPr>
        <w:t xml:space="preserve">2 </w:t>
      </w:r>
      <w:r>
        <w:rPr>
          <w:noProof/>
          <w:lang w:val="en-IE"/>
        </w:rPr>
        <w:t>O</w:t>
      </w:r>
      <w:r w:rsidRPr="008676AE">
        <w:rPr>
          <w:noProof/>
          <w:lang w:val="en-IE"/>
        </w:rPr>
        <w:t>micron variant</w:t>
      </w:r>
      <w:r>
        <w:rPr>
          <w:rFonts w:ascii="Calibri" w:hAnsi="Calibri" w:cs="Calibri"/>
          <w:noProof/>
          <w:lang w:val="en-IE"/>
        </w:rPr>
        <w:t xml:space="preserve">. </w:t>
      </w:r>
      <w:bookmarkEnd w:id="134"/>
      <w:r w:rsidRPr="00CE50B4">
        <w:rPr>
          <w:noProof/>
          <w:lang w:val="en-IE"/>
        </w:rPr>
        <w:t>All of these</w:t>
      </w:r>
      <w:r>
        <w:rPr>
          <w:rFonts w:ascii="Calibri" w:hAnsi="Calibri" w:cs="Calibri"/>
          <w:noProof/>
          <w:lang w:val="en-IE"/>
        </w:rPr>
        <w:t xml:space="preserve"> </w:t>
      </w:r>
      <w:r>
        <w:rPr>
          <w:noProof/>
          <w:lang w:val="en-IE"/>
        </w:rPr>
        <w:t xml:space="preserve">initiatives </w:t>
      </w:r>
      <w:r w:rsidRPr="008676AE">
        <w:rPr>
          <w:noProof/>
          <w:lang w:val="en-IE"/>
        </w:rPr>
        <w:t xml:space="preserve">would have been unlikely to be financed in </w:t>
      </w:r>
      <w:r>
        <w:rPr>
          <w:noProof/>
          <w:lang w:val="en-IE"/>
        </w:rPr>
        <w:t>the</w:t>
      </w:r>
      <w:r w:rsidRPr="008676AE">
        <w:rPr>
          <w:noProof/>
          <w:lang w:val="en-IE"/>
        </w:rPr>
        <w:t xml:space="preserve"> absence</w:t>
      </w:r>
      <w:r>
        <w:rPr>
          <w:noProof/>
          <w:lang w:val="en-IE"/>
        </w:rPr>
        <w:t xml:space="preserve"> of this programme</w:t>
      </w:r>
      <w:r w:rsidRPr="008676AE">
        <w:rPr>
          <w:noProof/>
          <w:lang w:val="en-IE"/>
        </w:rPr>
        <w:t>.</w:t>
      </w:r>
    </w:p>
    <w:p w14:paraId="69A4BCAD" w14:textId="77777777" w:rsidR="00703728" w:rsidRPr="008676AE" w:rsidRDefault="00703728" w:rsidP="00703728">
      <w:pPr>
        <w:pStyle w:val="ppoListHyphened-L1"/>
        <w:rPr>
          <w:noProof/>
          <w:lang w:val="en-IE"/>
        </w:rPr>
      </w:pPr>
      <w:r>
        <w:rPr>
          <w:noProof/>
          <w:lang w:val="en-IE"/>
        </w:rPr>
        <w:t>I</w:t>
      </w:r>
      <w:r w:rsidRPr="008676AE">
        <w:rPr>
          <w:noProof/>
          <w:lang w:val="en-IE"/>
        </w:rPr>
        <w:t>n total over 1</w:t>
      </w:r>
      <w:r>
        <w:rPr>
          <w:rFonts w:ascii="Calibri" w:hAnsi="Calibri" w:cs="Calibri"/>
          <w:noProof/>
          <w:lang w:val="en-IE"/>
        </w:rPr>
        <w:t> </w:t>
      </w:r>
      <w:r w:rsidRPr="008676AE">
        <w:rPr>
          <w:noProof/>
          <w:lang w:val="en-IE"/>
        </w:rPr>
        <w:t>000 flights and 500 operations have been funded</w:t>
      </w:r>
      <w:r w:rsidRPr="008676AE" w:rsidDel="00BE6D5F">
        <w:rPr>
          <w:noProof/>
          <w:lang w:val="en-IE"/>
        </w:rPr>
        <w:t xml:space="preserve"> </w:t>
      </w:r>
      <w:r>
        <w:rPr>
          <w:noProof/>
          <w:lang w:val="en-IE"/>
        </w:rPr>
        <w:t>u</w:t>
      </w:r>
      <w:r w:rsidRPr="008676AE">
        <w:rPr>
          <w:noProof/>
          <w:lang w:val="en-IE"/>
        </w:rPr>
        <w:t xml:space="preserve">nder the </w:t>
      </w:r>
      <w:r>
        <w:rPr>
          <w:noProof/>
          <w:lang w:val="en-IE"/>
        </w:rPr>
        <w:t>m</w:t>
      </w:r>
      <w:r w:rsidRPr="008676AE">
        <w:rPr>
          <w:noProof/>
          <w:lang w:val="en-IE"/>
        </w:rPr>
        <w:t xml:space="preserve">obility </w:t>
      </w:r>
      <w:r>
        <w:rPr>
          <w:noProof/>
          <w:lang w:val="en-IE"/>
        </w:rPr>
        <w:t>p</w:t>
      </w:r>
      <w:r w:rsidRPr="008676AE">
        <w:rPr>
          <w:noProof/>
          <w:lang w:val="en-IE"/>
        </w:rPr>
        <w:t xml:space="preserve">ackage, which provided support for </w:t>
      </w:r>
      <w:r>
        <w:rPr>
          <w:noProof/>
          <w:lang w:val="en-IE"/>
        </w:rPr>
        <w:t xml:space="preserve">the </w:t>
      </w:r>
      <w:r w:rsidRPr="008676AE">
        <w:rPr>
          <w:noProof/>
          <w:lang w:val="en-IE"/>
        </w:rPr>
        <w:t>cargo transport of COVID</w:t>
      </w:r>
      <w:r>
        <w:rPr>
          <w:noProof/>
          <w:lang w:val="en-IE"/>
        </w:rPr>
        <w:noBreakHyphen/>
      </w:r>
      <w:r w:rsidRPr="008676AE">
        <w:rPr>
          <w:noProof/>
          <w:lang w:val="en-IE"/>
        </w:rPr>
        <w:t>19</w:t>
      </w:r>
      <w:r>
        <w:rPr>
          <w:noProof/>
          <w:lang w:val="en-IE"/>
        </w:rPr>
        <w:t>-</w:t>
      </w:r>
      <w:r w:rsidRPr="008676AE">
        <w:rPr>
          <w:noProof/>
          <w:lang w:val="en-IE"/>
        </w:rPr>
        <w:t xml:space="preserve">related medical items, </w:t>
      </w:r>
      <w:r>
        <w:rPr>
          <w:noProof/>
          <w:lang w:val="en-IE"/>
        </w:rPr>
        <w:t xml:space="preserve">the </w:t>
      </w:r>
      <w:r w:rsidRPr="008676AE">
        <w:rPr>
          <w:noProof/>
          <w:lang w:val="en-IE"/>
        </w:rPr>
        <w:t xml:space="preserve">transport of medical personnel and </w:t>
      </w:r>
      <w:r>
        <w:rPr>
          <w:noProof/>
          <w:lang w:val="en-IE"/>
        </w:rPr>
        <w:t xml:space="preserve">the </w:t>
      </w:r>
      <w:r w:rsidRPr="008676AE">
        <w:rPr>
          <w:noProof/>
          <w:lang w:val="en-IE"/>
        </w:rPr>
        <w:t xml:space="preserve">transfer of patients. </w:t>
      </w:r>
      <w:r>
        <w:rPr>
          <w:noProof/>
          <w:lang w:val="en-IE"/>
        </w:rPr>
        <w:t>The</w:t>
      </w:r>
      <w:r w:rsidRPr="008676AE">
        <w:rPr>
          <w:noProof/>
          <w:lang w:val="en-IE"/>
        </w:rPr>
        <w:t xml:space="preserve"> transport of more than 450 health workers and approximately 350 patients was </w:t>
      </w:r>
      <w:r>
        <w:rPr>
          <w:noProof/>
          <w:lang w:val="en-IE"/>
        </w:rPr>
        <w:t>facilitated</w:t>
      </w:r>
      <w:r w:rsidRPr="008676AE">
        <w:rPr>
          <w:noProof/>
          <w:lang w:val="en-IE"/>
        </w:rPr>
        <w:t>.</w:t>
      </w:r>
    </w:p>
    <w:p w14:paraId="6FE72DA9" w14:textId="77777777" w:rsidR="00703728" w:rsidRPr="008676AE" w:rsidRDefault="00703728" w:rsidP="00703728">
      <w:pPr>
        <w:pStyle w:val="ppoListHyphened-L1"/>
        <w:rPr>
          <w:noProof/>
          <w:lang w:val="en-IE"/>
        </w:rPr>
      </w:pPr>
      <w:r w:rsidRPr="008676AE">
        <w:rPr>
          <w:noProof/>
          <w:lang w:val="en-IE"/>
        </w:rPr>
        <w:t>The instrument provided support for the development of interoperability between national contact tracing apps and</w:t>
      </w:r>
      <w:r>
        <w:rPr>
          <w:noProof/>
          <w:lang w:val="en-IE"/>
        </w:rPr>
        <w:t xml:space="preserve"> the</w:t>
      </w:r>
      <w:r w:rsidRPr="008676AE">
        <w:rPr>
          <w:noProof/>
          <w:lang w:val="en-IE"/>
        </w:rPr>
        <w:t xml:space="preserve"> stepping up of testing capacity across the seven Member States that expressed an interest. </w:t>
      </w:r>
      <w:r>
        <w:rPr>
          <w:noProof/>
          <w:lang w:val="en-IE"/>
        </w:rPr>
        <w:t xml:space="preserve">A total of </w:t>
      </w:r>
      <w:r w:rsidRPr="008676AE">
        <w:rPr>
          <w:noProof/>
          <w:lang w:val="en-IE"/>
        </w:rPr>
        <w:t>9</w:t>
      </w:r>
      <w:r>
        <w:rPr>
          <w:rFonts w:ascii="Calibri" w:hAnsi="Calibri" w:cs="Calibri"/>
          <w:noProof/>
          <w:lang w:val="en-IE"/>
        </w:rPr>
        <w:t> </w:t>
      </w:r>
      <w:r w:rsidRPr="008676AE">
        <w:rPr>
          <w:noProof/>
          <w:lang w:val="en-IE"/>
        </w:rPr>
        <w:t xml:space="preserve">222 volunteers and professionals have been trained in testing techniques, in addition to </w:t>
      </w:r>
      <w:r>
        <w:rPr>
          <w:noProof/>
          <w:lang w:val="en-IE"/>
        </w:rPr>
        <w:t xml:space="preserve">the </w:t>
      </w:r>
      <w:r w:rsidRPr="008676AE">
        <w:rPr>
          <w:noProof/>
          <w:lang w:val="en-IE"/>
        </w:rPr>
        <w:t>1</w:t>
      </w:r>
      <w:r w:rsidRPr="008676AE">
        <w:rPr>
          <w:rFonts w:ascii="Calibri" w:hAnsi="Calibri" w:cs="Calibri"/>
          <w:noProof/>
          <w:lang w:val="en-IE"/>
        </w:rPr>
        <w:t> </w:t>
      </w:r>
      <w:r w:rsidRPr="008676AE">
        <w:rPr>
          <w:noProof/>
          <w:lang w:val="en-IE"/>
        </w:rPr>
        <w:t xml:space="preserve">795 mobile testing teams </w:t>
      </w:r>
      <w:r>
        <w:rPr>
          <w:noProof/>
          <w:lang w:val="en-IE"/>
        </w:rPr>
        <w:t xml:space="preserve">established </w:t>
      </w:r>
      <w:r w:rsidRPr="008676AE">
        <w:rPr>
          <w:noProof/>
          <w:lang w:val="en-IE"/>
        </w:rPr>
        <w:t>and 1</w:t>
      </w:r>
      <w:r>
        <w:rPr>
          <w:rFonts w:ascii="Calibri" w:hAnsi="Calibri" w:cs="Calibri"/>
          <w:noProof/>
          <w:lang w:val="en-IE"/>
        </w:rPr>
        <w:t> </w:t>
      </w:r>
      <w:r w:rsidRPr="008676AE">
        <w:rPr>
          <w:noProof/>
          <w:lang w:val="en-IE"/>
        </w:rPr>
        <w:t>263</w:t>
      </w:r>
      <w:r>
        <w:rPr>
          <w:rFonts w:ascii="Calibri" w:hAnsi="Calibri" w:cs="Calibri"/>
          <w:noProof/>
          <w:lang w:val="en-IE"/>
        </w:rPr>
        <w:t> </w:t>
      </w:r>
      <w:r w:rsidRPr="008676AE">
        <w:rPr>
          <w:noProof/>
          <w:lang w:val="en-IE"/>
        </w:rPr>
        <w:t xml:space="preserve">309 tests conducted. The activities were implemented from July 2020 to end September 2021. The instrument financed grants to 24 interested Member States </w:t>
      </w:r>
      <w:r>
        <w:rPr>
          <w:noProof/>
          <w:lang w:val="en-IE"/>
        </w:rPr>
        <w:t>so that they could</w:t>
      </w:r>
      <w:r w:rsidRPr="008676AE">
        <w:rPr>
          <w:noProof/>
          <w:lang w:val="en-IE"/>
        </w:rPr>
        <w:t xml:space="preserve"> join the EU gateway for issuing Digital </w:t>
      </w:r>
      <w:r>
        <w:rPr>
          <w:noProof/>
          <w:lang w:val="en-IE"/>
        </w:rPr>
        <w:t>COVID</w:t>
      </w:r>
      <w:r w:rsidRPr="008676AE">
        <w:rPr>
          <w:noProof/>
          <w:lang w:val="en-IE"/>
        </w:rPr>
        <w:t xml:space="preserve"> Certificates as a proof of vaccination, recovery or negative test, between 29</w:t>
      </w:r>
      <w:r>
        <w:rPr>
          <w:rFonts w:ascii="Calibri" w:hAnsi="Calibri" w:cs="Calibri"/>
          <w:noProof/>
          <w:lang w:val="en-IE"/>
        </w:rPr>
        <w:t> </w:t>
      </w:r>
      <w:r w:rsidRPr="008676AE">
        <w:rPr>
          <w:noProof/>
          <w:lang w:val="en-IE"/>
        </w:rPr>
        <w:t>March and 31</w:t>
      </w:r>
      <w:r>
        <w:rPr>
          <w:rFonts w:ascii="Calibri" w:hAnsi="Calibri" w:cs="Calibri"/>
          <w:noProof/>
          <w:lang w:val="en-IE"/>
        </w:rPr>
        <w:t> </w:t>
      </w:r>
      <w:r w:rsidRPr="008676AE">
        <w:rPr>
          <w:noProof/>
          <w:lang w:val="en-IE"/>
        </w:rPr>
        <w:t xml:space="preserve">December 2021. Additionally, grants to 18 Member States supported </w:t>
      </w:r>
      <w:r>
        <w:rPr>
          <w:noProof/>
          <w:lang w:val="en-IE"/>
        </w:rPr>
        <w:t xml:space="preserve">the </w:t>
      </w:r>
      <w:r w:rsidRPr="008676AE">
        <w:rPr>
          <w:noProof/>
          <w:lang w:val="en-IE"/>
        </w:rPr>
        <w:t xml:space="preserve">accessibility of tests for the delivery of the Digital </w:t>
      </w:r>
      <w:r>
        <w:rPr>
          <w:noProof/>
          <w:lang w:val="en-IE"/>
        </w:rPr>
        <w:t>COVID</w:t>
      </w:r>
      <w:r w:rsidRPr="008676AE">
        <w:rPr>
          <w:noProof/>
          <w:lang w:val="en-IE"/>
        </w:rPr>
        <w:t xml:space="preserve"> Certificate, for the period </w:t>
      </w:r>
      <w:r>
        <w:rPr>
          <w:noProof/>
          <w:lang w:val="en-IE"/>
        </w:rPr>
        <w:t xml:space="preserve">from </w:t>
      </w:r>
      <w:r w:rsidRPr="008676AE">
        <w:rPr>
          <w:noProof/>
          <w:lang w:val="en-IE"/>
        </w:rPr>
        <w:t>1</w:t>
      </w:r>
      <w:r>
        <w:rPr>
          <w:rFonts w:ascii="Calibri" w:hAnsi="Calibri" w:cs="Calibri"/>
          <w:noProof/>
          <w:lang w:val="en-IE"/>
        </w:rPr>
        <w:t> </w:t>
      </w:r>
      <w:r w:rsidRPr="008676AE">
        <w:rPr>
          <w:noProof/>
          <w:lang w:val="en-IE"/>
        </w:rPr>
        <w:t>June</w:t>
      </w:r>
      <w:r>
        <w:rPr>
          <w:noProof/>
          <w:lang w:val="en-IE"/>
        </w:rPr>
        <w:t xml:space="preserve"> to </w:t>
      </w:r>
      <w:r w:rsidRPr="008676AE">
        <w:rPr>
          <w:noProof/>
          <w:lang w:val="en-IE"/>
        </w:rPr>
        <w:t>31</w:t>
      </w:r>
      <w:r>
        <w:rPr>
          <w:rFonts w:ascii="Calibri" w:hAnsi="Calibri" w:cs="Calibri"/>
          <w:noProof/>
          <w:lang w:val="en-IE"/>
        </w:rPr>
        <w:t> </w:t>
      </w:r>
      <w:r w:rsidRPr="008676AE">
        <w:rPr>
          <w:noProof/>
          <w:lang w:val="en-IE"/>
        </w:rPr>
        <w:t>October 2021.</w:t>
      </w:r>
    </w:p>
    <w:p w14:paraId="12CFA40F" w14:textId="77777777" w:rsidR="00703728" w:rsidRPr="008676AE" w:rsidRDefault="00703728" w:rsidP="00703728">
      <w:pPr>
        <w:pStyle w:val="ppoListHyphened-L1"/>
        <w:rPr>
          <w:noProof/>
          <w:lang w:val="en-IE"/>
        </w:rPr>
      </w:pPr>
      <w:r w:rsidRPr="008676AE">
        <w:rPr>
          <w:noProof/>
          <w:lang w:val="en-IE"/>
        </w:rPr>
        <w:t>The provi</w:t>
      </w:r>
      <w:r>
        <w:rPr>
          <w:noProof/>
          <w:lang w:val="en-IE"/>
        </w:rPr>
        <w:t>sion of</w:t>
      </w:r>
      <w:r w:rsidRPr="008676AE">
        <w:rPr>
          <w:noProof/>
          <w:lang w:val="en-IE"/>
        </w:rPr>
        <w:t xml:space="preserve"> training in intensive care skills has proved very successful to increase the regular </w:t>
      </w:r>
      <w:r>
        <w:rPr>
          <w:noProof/>
          <w:lang w:val="en-IE"/>
        </w:rPr>
        <w:t>i</w:t>
      </w:r>
      <w:r w:rsidRPr="008676AE">
        <w:rPr>
          <w:noProof/>
          <w:lang w:val="en-IE"/>
        </w:rPr>
        <w:t xml:space="preserve">ntensive </w:t>
      </w:r>
      <w:r>
        <w:rPr>
          <w:noProof/>
          <w:lang w:val="en-IE"/>
        </w:rPr>
        <w:t>c</w:t>
      </w:r>
      <w:r w:rsidRPr="008676AE">
        <w:rPr>
          <w:noProof/>
          <w:lang w:val="en-IE"/>
        </w:rPr>
        <w:t xml:space="preserve">are </w:t>
      </w:r>
      <w:r>
        <w:rPr>
          <w:noProof/>
          <w:lang w:val="en-IE"/>
        </w:rPr>
        <w:t>u</w:t>
      </w:r>
      <w:r w:rsidRPr="008676AE">
        <w:rPr>
          <w:noProof/>
          <w:lang w:val="en-IE"/>
        </w:rPr>
        <w:t>nit staff</w:t>
      </w:r>
      <w:r>
        <w:rPr>
          <w:noProof/>
          <w:lang w:val="en-IE"/>
        </w:rPr>
        <w:t xml:space="preserve">’s </w:t>
      </w:r>
      <w:r w:rsidRPr="008676AE">
        <w:rPr>
          <w:noProof/>
          <w:lang w:val="en-IE"/>
        </w:rPr>
        <w:t>capacity to take care of COVID</w:t>
      </w:r>
      <w:r>
        <w:rPr>
          <w:noProof/>
          <w:lang w:val="en-IE"/>
        </w:rPr>
        <w:noBreakHyphen/>
      </w:r>
      <w:r w:rsidRPr="008676AE">
        <w:rPr>
          <w:noProof/>
          <w:lang w:val="en-IE"/>
        </w:rPr>
        <w:t>19 patients. With the collaboration of the European Society of Intensive Care Medicine, more than 17</w:t>
      </w:r>
      <w:r>
        <w:rPr>
          <w:rFonts w:ascii="Calibri" w:hAnsi="Calibri" w:cs="Calibri"/>
          <w:noProof/>
          <w:lang w:val="en-IE"/>
        </w:rPr>
        <w:t> </w:t>
      </w:r>
      <w:r w:rsidRPr="008676AE">
        <w:rPr>
          <w:noProof/>
          <w:lang w:val="en-IE"/>
        </w:rPr>
        <w:t xml:space="preserve">000 professionals were trained in 24 EU Member States and the </w:t>
      </w:r>
      <w:r>
        <w:rPr>
          <w:noProof/>
          <w:lang w:val="en-IE"/>
        </w:rPr>
        <w:t>United Kingdom</w:t>
      </w:r>
      <w:r w:rsidRPr="008676AE">
        <w:rPr>
          <w:noProof/>
          <w:lang w:val="en-IE"/>
        </w:rPr>
        <w:t xml:space="preserve">, in 717 hospitals </w:t>
      </w:r>
      <w:r>
        <w:rPr>
          <w:noProof/>
          <w:lang w:val="en-IE"/>
        </w:rPr>
        <w:t>during</w:t>
      </w:r>
      <w:r w:rsidRPr="008676AE">
        <w:rPr>
          <w:noProof/>
          <w:lang w:val="en-IE"/>
        </w:rPr>
        <w:t xml:space="preserve"> the period from August 2020 to May 2021. </w:t>
      </w:r>
      <w:r>
        <w:rPr>
          <w:noProof/>
          <w:lang w:val="en-IE"/>
        </w:rPr>
        <w:t xml:space="preserve">A total of </w:t>
      </w:r>
      <w:r w:rsidRPr="008676AE">
        <w:rPr>
          <w:noProof/>
          <w:lang w:val="en-IE"/>
        </w:rPr>
        <w:t>5</w:t>
      </w:r>
      <w:r>
        <w:rPr>
          <w:rFonts w:ascii="Calibri" w:hAnsi="Calibri" w:cs="Calibri"/>
          <w:noProof/>
          <w:lang w:val="en-IE"/>
        </w:rPr>
        <w:t> </w:t>
      </w:r>
      <w:r w:rsidRPr="008676AE">
        <w:rPr>
          <w:noProof/>
          <w:lang w:val="en-IE"/>
        </w:rPr>
        <w:t>696 doctors and 6</w:t>
      </w:r>
      <w:r>
        <w:rPr>
          <w:rFonts w:ascii="Calibri" w:hAnsi="Calibri" w:cs="Calibri"/>
          <w:noProof/>
          <w:lang w:val="en-IE"/>
        </w:rPr>
        <w:t> </w:t>
      </w:r>
      <w:r w:rsidRPr="008676AE">
        <w:rPr>
          <w:noProof/>
          <w:lang w:val="en-IE"/>
        </w:rPr>
        <w:t xml:space="preserve">400 registered nurses were certified. </w:t>
      </w:r>
      <w:r>
        <w:rPr>
          <w:noProof/>
          <w:lang w:val="en-IE"/>
        </w:rPr>
        <w:t>After</w:t>
      </w:r>
      <w:r w:rsidRPr="008676AE">
        <w:rPr>
          <w:noProof/>
          <w:lang w:val="en-IE"/>
        </w:rPr>
        <w:t xml:space="preserve"> the Commission received </w:t>
      </w:r>
      <w:r>
        <w:rPr>
          <w:noProof/>
          <w:lang w:val="en-IE"/>
        </w:rPr>
        <w:t xml:space="preserve">requests </w:t>
      </w:r>
      <w:r w:rsidRPr="008676AE">
        <w:rPr>
          <w:noProof/>
          <w:lang w:val="en-IE"/>
        </w:rPr>
        <w:t xml:space="preserve">from </w:t>
      </w:r>
      <w:r>
        <w:rPr>
          <w:noProof/>
          <w:lang w:val="en-IE"/>
        </w:rPr>
        <w:t>non-EU</w:t>
      </w:r>
      <w:r w:rsidRPr="008676AE">
        <w:rPr>
          <w:noProof/>
          <w:lang w:val="en-IE"/>
        </w:rPr>
        <w:t xml:space="preserve"> countries and international organisations to benefit from the established system and access the training platform, an assignment agreement settl</w:t>
      </w:r>
      <w:r>
        <w:rPr>
          <w:noProof/>
          <w:lang w:val="en-IE"/>
        </w:rPr>
        <w:t>ing</w:t>
      </w:r>
      <w:r w:rsidRPr="008676AE">
        <w:rPr>
          <w:noProof/>
          <w:lang w:val="en-IE"/>
        </w:rPr>
        <w:t xml:space="preserve"> the transfer of rights from the </w:t>
      </w:r>
      <w:r>
        <w:rPr>
          <w:noProof/>
          <w:lang w:val="en-IE"/>
        </w:rPr>
        <w:t>Commission</w:t>
      </w:r>
      <w:r w:rsidRPr="008676AE">
        <w:rPr>
          <w:noProof/>
          <w:lang w:val="en-IE"/>
        </w:rPr>
        <w:t xml:space="preserve"> to </w:t>
      </w:r>
      <w:r>
        <w:rPr>
          <w:noProof/>
          <w:lang w:val="en-IE"/>
        </w:rPr>
        <w:t xml:space="preserve">the </w:t>
      </w:r>
      <w:r w:rsidRPr="008676AE">
        <w:rPr>
          <w:noProof/>
          <w:lang w:val="en-IE"/>
        </w:rPr>
        <w:t>European Society of Intensive Care Medicine was signed.</w:t>
      </w:r>
    </w:p>
    <w:p w14:paraId="42D58A12" w14:textId="77777777" w:rsidR="00703728" w:rsidRPr="008676AE" w:rsidRDefault="00703728" w:rsidP="00703728">
      <w:pPr>
        <w:pStyle w:val="ppoListHyphened-L1"/>
        <w:rPr>
          <w:noProof/>
          <w:lang w:val="en-IE"/>
        </w:rPr>
      </w:pPr>
      <w:bookmarkStart w:id="135" w:name="_Hlk99015706"/>
      <w:r w:rsidRPr="008676AE">
        <w:rPr>
          <w:noProof/>
          <w:lang w:val="en-IE"/>
        </w:rPr>
        <w:t xml:space="preserve">The instrument has also funded the supply of at least 200 </w:t>
      </w:r>
      <w:r>
        <w:rPr>
          <w:noProof/>
          <w:lang w:val="en-IE"/>
        </w:rPr>
        <w:t>ultraviolet</w:t>
      </w:r>
      <w:r w:rsidRPr="008676AE">
        <w:rPr>
          <w:noProof/>
          <w:lang w:val="en-IE"/>
        </w:rPr>
        <w:t xml:space="preserve"> disinfecting robots to hospitals across the </w:t>
      </w:r>
      <w:r>
        <w:rPr>
          <w:noProof/>
          <w:lang w:val="en-IE"/>
        </w:rPr>
        <w:t>EU</w:t>
      </w:r>
      <w:r w:rsidRPr="008676AE">
        <w:rPr>
          <w:noProof/>
          <w:lang w:val="en-IE"/>
        </w:rPr>
        <w:t>, providing efficient and effective solutions to ensure the safety of healthcare environments and their staff.</w:t>
      </w:r>
      <w:r>
        <w:rPr>
          <w:noProof/>
          <w:lang w:val="en-IE"/>
        </w:rPr>
        <w:t xml:space="preserve"> A total of</w:t>
      </w:r>
      <w:r w:rsidRPr="008676AE">
        <w:rPr>
          <w:noProof/>
          <w:lang w:val="en-IE"/>
        </w:rPr>
        <w:t xml:space="preserve"> 301 robots were delivered to hospitals in all 27 Member States.</w:t>
      </w:r>
      <w:r>
        <w:rPr>
          <w:noProof/>
          <w:lang w:val="en-IE"/>
        </w:rPr>
        <w:t xml:space="preserve"> </w:t>
      </w:r>
      <w:bookmarkStart w:id="136" w:name="_Hlk101789973"/>
      <w:r>
        <w:rPr>
          <w:noProof/>
          <w:lang w:val="en-IE"/>
        </w:rPr>
        <w:t>Four robots weren’t delivered as the hospitals concerned showed no interest</w:t>
      </w:r>
      <w:r w:rsidRPr="008676AE">
        <w:rPr>
          <w:noProof/>
          <w:lang w:val="en-IE"/>
        </w:rPr>
        <w:t xml:space="preserve"> </w:t>
      </w:r>
      <w:bookmarkStart w:id="137" w:name="_Hlk101789887"/>
      <w:r>
        <w:rPr>
          <w:noProof/>
          <w:lang w:val="en-IE"/>
        </w:rPr>
        <w:t>in</w:t>
      </w:r>
      <w:r w:rsidRPr="008676AE">
        <w:rPr>
          <w:noProof/>
          <w:lang w:val="en-IE"/>
        </w:rPr>
        <w:t xml:space="preserve"> </w:t>
      </w:r>
      <w:r>
        <w:rPr>
          <w:noProof/>
          <w:lang w:val="en-IE"/>
        </w:rPr>
        <w:t>them</w:t>
      </w:r>
      <w:bookmarkEnd w:id="136"/>
      <w:bookmarkEnd w:id="137"/>
      <w:r w:rsidRPr="008676AE">
        <w:rPr>
          <w:noProof/>
          <w:lang w:val="en-IE"/>
        </w:rPr>
        <w:t>.</w:t>
      </w:r>
    </w:p>
    <w:bookmarkEnd w:id="135"/>
    <w:p w14:paraId="151EBE57" w14:textId="77777777" w:rsidR="00703728" w:rsidRPr="008676AE" w:rsidRDefault="00703728" w:rsidP="00703728">
      <w:pPr>
        <w:pStyle w:val="ppoListHyphened-L1"/>
        <w:rPr>
          <w:noProof/>
          <w:lang w:val="en-IE"/>
        </w:rPr>
      </w:pPr>
      <w:r w:rsidRPr="008676AE">
        <w:rPr>
          <w:noProof/>
          <w:lang w:val="en-IE"/>
        </w:rPr>
        <w:t>Whil</w:t>
      </w:r>
      <w:r>
        <w:rPr>
          <w:noProof/>
          <w:lang w:val="en-IE"/>
        </w:rPr>
        <w:t>e</w:t>
      </w:r>
      <w:r w:rsidRPr="008676AE">
        <w:rPr>
          <w:noProof/>
          <w:lang w:val="en-IE"/>
        </w:rPr>
        <w:t xml:space="preserve"> the instrument ha</w:t>
      </w:r>
      <w:r>
        <w:rPr>
          <w:noProof/>
          <w:lang w:val="en-IE"/>
        </w:rPr>
        <w:t>s</w:t>
      </w:r>
      <w:r w:rsidRPr="008676AE">
        <w:rPr>
          <w:noProof/>
          <w:lang w:val="en-IE"/>
        </w:rPr>
        <w:t xml:space="preserve"> only been operational since April 2020, the European Court of Auditors’ review on the EU’s initial contribution to the public health response</w:t>
      </w:r>
      <w:r>
        <w:rPr>
          <w:noProof/>
          <w:lang w:val="en-IE"/>
        </w:rPr>
        <w:t xml:space="preserve"> </w:t>
      </w:r>
      <w:r w:rsidRPr="008676AE">
        <w:rPr>
          <w:noProof/>
          <w:lang w:val="en-IE"/>
        </w:rPr>
        <w:t>(01/2021), published in January</w:t>
      </w:r>
      <w:r w:rsidRPr="008676AE">
        <w:rPr>
          <w:rFonts w:ascii="Calibri" w:hAnsi="Calibri" w:cs="Calibri"/>
          <w:noProof/>
          <w:lang w:val="en-IE"/>
        </w:rPr>
        <w:t> </w:t>
      </w:r>
      <w:r w:rsidRPr="008676AE">
        <w:rPr>
          <w:noProof/>
          <w:lang w:val="en-IE"/>
        </w:rPr>
        <w:t>2021, acknowledged the role of the instrument in complementing Member States</w:t>
      </w:r>
      <w:r w:rsidRPr="008676AE">
        <w:rPr>
          <w:rFonts w:cs="EC Square Sans Pro"/>
          <w:noProof/>
          <w:lang w:val="en-IE"/>
        </w:rPr>
        <w:t>’</w:t>
      </w:r>
      <w:r w:rsidRPr="008676AE">
        <w:rPr>
          <w:noProof/>
          <w:lang w:val="en-IE"/>
        </w:rPr>
        <w:t xml:space="preserve"> and other EU responses. The Court did not make recommendations but acknowledged that it was a challenge for the EU to rapidly complement the measures taken within its formal remit </w:t>
      </w:r>
      <w:r>
        <w:rPr>
          <w:noProof/>
          <w:lang w:val="en-IE"/>
        </w:rPr>
        <w:t>with</w:t>
      </w:r>
      <w:r w:rsidRPr="008676AE">
        <w:rPr>
          <w:noProof/>
          <w:lang w:val="en-IE"/>
        </w:rPr>
        <w:t xml:space="preserve"> additional actions, as public health is primarily a national competence. With regard to the Commission’s financial support to vaccine development, the Court highlighted that the Commission mitigated the inherent risk linked to vaccine development by investing in a range of vaccine technologies and companies.</w:t>
      </w:r>
    </w:p>
    <w:p w14:paraId="5778D55D" w14:textId="77777777" w:rsidR="00703728" w:rsidRPr="008676AE" w:rsidRDefault="00703728" w:rsidP="00703728">
      <w:pPr>
        <w:pStyle w:val="ppoListHyphened-L1"/>
        <w:numPr>
          <w:ilvl w:val="0"/>
          <w:numId w:val="0"/>
        </w:numPr>
        <w:ind w:left="357"/>
        <w:rPr>
          <w:noProof/>
          <w:lang w:val="en-IE"/>
        </w:rPr>
      </w:pPr>
    </w:p>
    <w:p w14:paraId="490DE74A" w14:textId="33B28F64" w:rsidR="00C04EEB" w:rsidRPr="00703728" w:rsidRDefault="00C04EEB" w:rsidP="00C04EEB">
      <w:pPr>
        <w:pStyle w:val="ppoListHyphened-L1"/>
        <w:numPr>
          <w:ilvl w:val="0"/>
          <w:numId w:val="0"/>
        </w:numPr>
        <w:rPr>
          <w:noProof/>
          <w:lang w:val="en-IE"/>
        </w:rPr>
      </w:pPr>
    </w:p>
    <w:p w14:paraId="567DD95B" w14:textId="77777777" w:rsidR="008C407A" w:rsidRDefault="008C407A" w:rsidP="005C4C84">
      <w:pPr>
        <w:pStyle w:val="ppoListHyphened-L1"/>
        <w:numPr>
          <w:ilvl w:val="0"/>
          <w:numId w:val="69"/>
        </w:numPr>
        <w:rPr>
          <w:noProof/>
        </w:rPr>
        <w:sectPr w:rsidR="008C407A" w:rsidSect="00D40083">
          <w:headerReference w:type="even" r:id="rId263"/>
          <w:headerReference w:type="default" r:id="rId264"/>
          <w:footerReference w:type="even" r:id="rId265"/>
          <w:footerReference w:type="default" r:id="rId266"/>
          <w:headerReference w:type="first" r:id="rId267"/>
          <w:footerReference w:type="first" r:id="rId268"/>
          <w:pgSz w:w="11906" w:h="16838" w:code="9"/>
          <w:pgMar w:top="1134" w:right="1134" w:bottom="964" w:left="1134" w:header="431" w:footer="431" w:gutter="0"/>
          <w:cols w:space="720"/>
          <w:titlePg/>
          <w:docGrid w:linePitch="360"/>
        </w:sectPr>
      </w:pPr>
    </w:p>
    <w:p w14:paraId="008899BB" w14:textId="77777777" w:rsidR="008C407A" w:rsidRPr="002F5B03" w:rsidRDefault="008C407A" w:rsidP="008C407A">
      <w:pPr>
        <w:pStyle w:val="StyleppoHeading3WhiteLeft0cm"/>
        <w:rPr>
          <w:noProof/>
          <w:sz w:val="40"/>
          <w:szCs w:val="40"/>
        </w:rPr>
      </w:pPr>
    </w:p>
    <w:p w14:paraId="137E4E56" w14:textId="77777777" w:rsidR="008C407A" w:rsidRPr="002F5B03" w:rsidRDefault="008C407A" w:rsidP="008C407A">
      <w:pPr>
        <w:pStyle w:val="StyleppoHeading3WhiteLeft0cm"/>
        <w:rPr>
          <w:noProof/>
          <w:sz w:val="60"/>
          <w:szCs w:val="60"/>
        </w:rPr>
      </w:pPr>
      <w:bookmarkStart w:id="138" w:name="_Toc102086349"/>
      <w:r w:rsidRPr="002F5B03">
        <w:rPr>
          <w:noProof/>
          <w:sz w:val="60"/>
          <w:szCs w:val="60"/>
        </w:rPr>
        <w:t>ESF+</w:t>
      </w:r>
      <w:bookmarkEnd w:id="138"/>
    </w:p>
    <w:p w14:paraId="02F443EE" w14:textId="7032B85A" w:rsidR="008C407A" w:rsidRPr="002F5B03" w:rsidRDefault="008C407A" w:rsidP="008C407A">
      <w:pPr>
        <w:pStyle w:val="StyleppoProgrammenameWhiteLeft01cm"/>
        <w:rPr>
          <w:noProof/>
        </w:rPr>
      </w:pPr>
      <w:r w:rsidRPr="002F5B03">
        <w:rPr>
          <w:noProof/>
        </w:rPr>
        <w:t>EUROPEAN SOCIAL FUND+</w:t>
      </w:r>
    </w:p>
    <w:p w14:paraId="6FDEB7A2" w14:textId="77777777" w:rsidR="008C407A" w:rsidRPr="002F5B03" w:rsidRDefault="008C407A" w:rsidP="008C407A">
      <w:pPr>
        <w:pStyle w:val="ppoHeading4Green"/>
        <w:rPr>
          <w:noProof/>
        </w:rPr>
      </w:pPr>
      <w:r w:rsidRPr="002F5B03">
        <w:rPr>
          <w:noProof/>
        </w:rPr>
        <w:t>Programme in a nutshell</w:t>
      </w:r>
    </w:p>
    <w:p w14:paraId="483CC874" w14:textId="77777777" w:rsidR="008C407A" w:rsidRPr="002F5B03" w:rsidRDefault="008C407A" w:rsidP="008C407A">
      <w:pPr>
        <w:pStyle w:val="ppoHeading5"/>
        <w:rPr>
          <w:noProof/>
        </w:rPr>
      </w:pPr>
      <w:r w:rsidRPr="002F5B03">
        <w:rPr>
          <w:noProof/>
        </w:rPr>
        <w:t>Concrete examples of achievements</w:t>
      </w:r>
      <w:r w:rsidRPr="002F5B03">
        <w:rPr>
          <w:rFonts w:ascii="Calibri" w:hAnsi="Calibri" w:cs="Calibri"/>
          <w:noProof/>
        </w:rPr>
        <w:t> (</w:t>
      </w:r>
      <w:r w:rsidRPr="002F5B03">
        <w:rPr>
          <w:noProof/>
        </w:rPr>
        <w:t>*)</w:t>
      </w:r>
    </w:p>
    <w:tbl>
      <w:tblPr>
        <w:tblStyle w:val="PPO2021"/>
        <w:tblW w:w="9639" w:type="dxa"/>
        <w:tblInd w:w="0" w:type="dxa"/>
        <w:tblLook w:val="0200" w:firstRow="0" w:lastRow="0" w:firstColumn="0" w:lastColumn="0" w:noHBand="1" w:noVBand="0"/>
      </w:tblPr>
      <w:tblGrid>
        <w:gridCol w:w="2410"/>
        <w:gridCol w:w="2409"/>
        <w:gridCol w:w="2410"/>
        <w:gridCol w:w="2410"/>
      </w:tblGrid>
      <w:tr w:rsidR="008C407A" w:rsidRPr="002F5B03" w14:paraId="69443BE2" w14:textId="77777777" w:rsidTr="00AD7F08">
        <w:tc>
          <w:tcPr>
            <w:tcW w:w="2410" w:type="dxa"/>
            <w:tcBorders>
              <w:bottom w:val="single" w:sz="4" w:space="0" w:color="8C8C8C"/>
            </w:tcBorders>
          </w:tcPr>
          <w:p w14:paraId="5EE2E3C1" w14:textId="77777777" w:rsidR="008C407A" w:rsidRPr="002F5B03" w:rsidRDefault="008C407A" w:rsidP="00B202C2">
            <w:pPr>
              <w:pStyle w:val="ppoTableacheivementvalue"/>
              <w:rPr>
                <w:noProof/>
              </w:rPr>
            </w:pPr>
            <w:r w:rsidRPr="002F5B03">
              <w:rPr>
                <w:noProof/>
              </w:rPr>
              <w:t>45.3</w:t>
            </w:r>
            <w:r w:rsidRPr="002F5B03">
              <w:rPr>
                <w:rFonts w:ascii="Calibri" w:hAnsi="Calibri" w:cs="Calibri"/>
                <w:noProof/>
              </w:rPr>
              <w:t> </w:t>
            </w:r>
            <w:r w:rsidRPr="002F5B03">
              <w:rPr>
                <w:noProof/>
              </w:rPr>
              <w:t>million</w:t>
            </w:r>
          </w:p>
          <w:p w14:paraId="4148463E" w14:textId="77777777" w:rsidR="008C407A" w:rsidRPr="002F5B03" w:rsidRDefault="008C407A" w:rsidP="00962E3C">
            <w:pPr>
              <w:jc w:val="left"/>
              <w:rPr>
                <w:noProof/>
              </w:rPr>
            </w:pPr>
            <w:r w:rsidRPr="002F5B03">
              <w:rPr>
                <w:noProof/>
              </w:rPr>
              <w:t>people had been supported by the European Social Fund and by Youth Employment Initiative actions by the end of 2020.</w:t>
            </w:r>
          </w:p>
        </w:tc>
        <w:tc>
          <w:tcPr>
            <w:cnfStyle w:val="000001000000" w:firstRow="0" w:lastRow="0" w:firstColumn="0" w:lastColumn="0" w:oddVBand="0" w:evenVBand="1" w:oddHBand="0" w:evenHBand="0" w:firstRowFirstColumn="0" w:firstRowLastColumn="0" w:lastRowFirstColumn="0" w:lastRowLastColumn="0"/>
            <w:tcW w:w="2409" w:type="dxa"/>
          </w:tcPr>
          <w:p w14:paraId="0CBB9E48" w14:textId="77777777" w:rsidR="008C407A" w:rsidRPr="002F5B03" w:rsidRDefault="008C407A" w:rsidP="00B202C2">
            <w:pPr>
              <w:pStyle w:val="ppoTableacheivementvalue"/>
              <w:rPr>
                <w:noProof/>
              </w:rPr>
            </w:pPr>
            <w:r w:rsidRPr="002F5B03">
              <w:rPr>
                <w:noProof/>
              </w:rPr>
              <w:t>5.4</w:t>
            </w:r>
            <w:r w:rsidRPr="002F5B03">
              <w:rPr>
                <w:rFonts w:ascii="Calibri" w:hAnsi="Calibri" w:cs="Calibri"/>
                <w:noProof/>
              </w:rPr>
              <w:t> </w:t>
            </w:r>
            <w:r w:rsidRPr="002F5B03">
              <w:rPr>
                <w:noProof/>
              </w:rPr>
              <w:t>million</w:t>
            </w:r>
          </w:p>
          <w:p w14:paraId="14B3D6E6" w14:textId="77777777" w:rsidR="008C407A" w:rsidRPr="002F5B03" w:rsidRDefault="008C407A" w:rsidP="00962E3C">
            <w:pPr>
              <w:jc w:val="left"/>
              <w:rPr>
                <w:noProof/>
              </w:rPr>
            </w:pPr>
            <w:r w:rsidRPr="002F5B03">
              <w:rPr>
                <w:noProof/>
              </w:rPr>
              <w:t>people had found a job (including being self-employed) thanks to the European Social Fund</w:t>
            </w:r>
            <w:r w:rsidRPr="002F5B03" w:rsidDel="004D6267">
              <w:rPr>
                <w:noProof/>
              </w:rPr>
              <w:t xml:space="preserve"> </w:t>
            </w:r>
            <w:r w:rsidRPr="002F5B03">
              <w:rPr>
                <w:noProof/>
              </w:rPr>
              <w:t>and Youth Employment Initiative actions by the end of 2020.</w:t>
            </w:r>
          </w:p>
        </w:tc>
        <w:tc>
          <w:tcPr>
            <w:tcW w:w="2410" w:type="dxa"/>
            <w:tcBorders>
              <w:bottom w:val="single" w:sz="4" w:space="0" w:color="8C8C8C"/>
            </w:tcBorders>
          </w:tcPr>
          <w:p w14:paraId="5247E582" w14:textId="77777777" w:rsidR="008C407A" w:rsidRPr="002F5B03" w:rsidRDefault="008C407A" w:rsidP="00B202C2">
            <w:pPr>
              <w:pStyle w:val="ppoTableacheivementvalue"/>
              <w:cnfStyle w:val="000000000000" w:firstRow="0" w:lastRow="0" w:firstColumn="0" w:lastColumn="0" w:oddVBand="0" w:evenVBand="0" w:oddHBand="0" w:evenHBand="0" w:firstRowFirstColumn="0" w:firstRowLastColumn="0" w:lastRowFirstColumn="0" w:lastRowLastColumn="0"/>
              <w:rPr>
                <w:noProof/>
              </w:rPr>
            </w:pPr>
            <w:r w:rsidRPr="002F5B03">
              <w:rPr>
                <w:noProof/>
              </w:rPr>
              <w:t>7.4</w:t>
            </w:r>
            <w:r w:rsidRPr="002F5B03">
              <w:rPr>
                <w:rFonts w:ascii="Calibri" w:hAnsi="Calibri" w:cs="Calibri"/>
                <w:noProof/>
              </w:rPr>
              <w:t> </w:t>
            </w:r>
            <w:r w:rsidRPr="002F5B03">
              <w:rPr>
                <w:noProof/>
              </w:rPr>
              <w:t>million</w:t>
            </w:r>
          </w:p>
          <w:p w14:paraId="2B3C8FA8" w14:textId="77777777" w:rsidR="008C407A" w:rsidRPr="002F5B03" w:rsidRDefault="008C407A" w:rsidP="00962E3C">
            <w:pPr>
              <w:jc w:val="left"/>
              <w:cnfStyle w:val="000000000000" w:firstRow="0" w:lastRow="0" w:firstColumn="0" w:lastColumn="0" w:oddVBand="0" w:evenVBand="0" w:oddHBand="0" w:evenHBand="0" w:firstRowFirstColumn="0" w:firstRowLastColumn="0" w:lastRowFirstColumn="0" w:lastRowLastColumn="0"/>
              <w:rPr>
                <w:noProof/>
              </w:rPr>
            </w:pPr>
            <w:r w:rsidRPr="002F5B03">
              <w:rPr>
                <w:noProof/>
              </w:rPr>
              <w:t>people had gained a qualification thanks to the European Social Fund</w:t>
            </w:r>
            <w:r w:rsidRPr="002F5B03" w:rsidDel="004D6267">
              <w:rPr>
                <w:noProof/>
              </w:rPr>
              <w:t xml:space="preserve"> </w:t>
            </w:r>
            <w:r w:rsidRPr="002F5B03">
              <w:rPr>
                <w:noProof/>
              </w:rPr>
              <w:t>and Youth Employment Initiative actions by the end of 2020.</w:t>
            </w:r>
          </w:p>
        </w:tc>
        <w:tc>
          <w:tcPr>
            <w:cnfStyle w:val="000001000000" w:firstRow="0" w:lastRow="0" w:firstColumn="0" w:lastColumn="0" w:oddVBand="0" w:evenVBand="1" w:oddHBand="0" w:evenHBand="0" w:firstRowFirstColumn="0" w:firstRowLastColumn="0" w:lastRowFirstColumn="0" w:lastRowLastColumn="0"/>
            <w:tcW w:w="2410" w:type="dxa"/>
          </w:tcPr>
          <w:p w14:paraId="4D5FFB4B" w14:textId="77777777" w:rsidR="008C407A" w:rsidRPr="002F5B03" w:rsidRDefault="008C407A" w:rsidP="00B202C2">
            <w:pPr>
              <w:pStyle w:val="ppoTableacheivementvalue"/>
              <w:rPr>
                <w:noProof/>
              </w:rPr>
            </w:pPr>
            <w:r w:rsidRPr="002F5B03">
              <w:rPr>
                <w:noProof/>
              </w:rPr>
              <w:t>2.2</w:t>
            </w:r>
            <w:r w:rsidRPr="002F5B03">
              <w:rPr>
                <w:rFonts w:ascii="Calibri" w:hAnsi="Calibri" w:cs="Calibri"/>
                <w:noProof/>
              </w:rPr>
              <w:t> </w:t>
            </w:r>
            <w:r w:rsidRPr="002F5B03">
              <w:rPr>
                <w:noProof/>
              </w:rPr>
              <w:t>million</w:t>
            </w:r>
          </w:p>
          <w:p w14:paraId="76384F39" w14:textId="77777777" w:rsidR="008C407A" w:rsidRPr="002F5B03" w:rsidRDefault="008C407A" w:rsidP="00962E3C">
            <w:pPr>
              <w:jc w:val="left"/>
              <w:rPr>
                <w:noProof/>
              </w:rPr>
            </w:pPr>
            <w:r w:rsidRPr="002F5B03">
              <w:rPr>
                <w:noProof/>
              </w:rPr>
              <w:t>participants were in education or training thanks to the European Social Fund</w:t>
            </w:r>
            <w:r w:rsidRPr="002F5B03" w:rsidDel="004D6267">
              <w:rPr>
                <w:noProof/>
              </w:rPr>
              <w:t xml:space="preserve"> </w:t>
            </w:r>
            <w:r w:rsidRPr="002F5B03">
              <w:rPr>
                <w:noProof/>
              </w:rPr>
              <w:t>and Youth Employment Initiative support by the end of 2020.</w:t>
            </w:r>
          </w:p>
        </w:tc>
      </w:tr>
      <w:tr w:rsidR="008C407A" w:rsidRPr="002F5B03" w14:paraId="085719E7" w14:textId="77777777" w:rsidTr="00AD7F08">
        <w:tc>
          <w:tcPr>
            <w:tcW w:w="2410" w:type="dxa"/>
            <w:tcBorders>
              <w:bottom w:val="single" w:sz="4" w:space="0" w:color="8C8C8C"/>
            </w:tcBorders>
          </w:tcPr>
          <w:p w14:paraId="79BA48CE" w14:textId="77777777" w:rsidR="008C407A" w:rsidRPr="002F5B03" w:rsidRDefault="008C407A" w:rsidP="00B202C2">
            <w:pPr>
              <w:pStyle w:val="ppoTableacheivementvalue"/>
              <w:rPr>
                <w:noProof/>
              </w:rPr>
            </w:pPr>
            <w:r w:rsidRPr="002F5B03">
              <w:rPr>
                <w:noProof/>
              </w:rPr>
              <w:t>15</w:t>
            </w:r>
            <w:r w:rsidRPr="002F5B03">
              <w:rPr>
                <w:rFonts w:ascii="Calibri" w:hAnsi="Calibri" w:cs="Calibri"/>
                <w:noProof/>
              </w:rPr>
              <w:t> </w:t>
            </w:r>
            <w:r w:rsidRPr="002F5B03">
              <w:rPr>
                <w:noProof/>
              </w:rPr>
              <w:t>million</w:t>
            </w:r>
          </w:p>
          <w:p w14:paraId="7A8802C4" w14:textId="77777777" w:rsidR="008C407A" w:rsidRPr="002F5B03" w:rsidRDefault="008C407A" w:rsidP="00962E3C">
            <w:pPr>
              <w:jc w:val="left"/>
              <w:rPr>
                <w:noProof/>
              </w:rPr>
            </w:pPr>
            <w:r w:rsidRPr="002F5B03">
              <w:rPr>
                <w:noProof/>
              </w:rPr>
              <w:t>people benefited from food assistance in 2020 under the Fund for European Aid to the Most Deprived.</w:t>
            </w:r>
          </w:p>
        </w:tc>
        <w:tc>
          <w:tcPr>
            <w:cnfStyle w:val="000001000000" w:firstRow="0" w:lastRow="0" w:firstColumn="0" w:lastColumn="0" w:oddVBand="0" w:evenVBand="1" w:oddHBand="0" w:evenHBand="0" w:firstRowFirstColumn="0" w:firstRowLastColumn="0" w:lastRowFirstColumn="0" w:lastRowLastColumn="0"/>
            <w:tcW w:w="2409" w:type="dxa"/>
            <w:shd w:val="clear" w:color="auto" w:fill="F2F2F2"/>
          </w:tcPr>
          <w:p w14:paraId="4EDF03D3" w14:textId="77777777" w:rsidR="008C407A" w:rsidRPr="002F5B03" w:rsidRDefault="008C407A" w:rsidP="00B202C2">
            <w:pPr>
              <w:pStyle w:val="ppoTableacheivementvalue"/>
              <w:rPr>
                <w:noProof/>
              </w:rPr>
            </w:pPr>
            <w:r w:rsidRPr="002F5B03">
              <w:rPr>
                <w:noProof/>
              </w:rPr>
              <w:t>1.96</w:t>
            </w:r>
            <w:r w:rsidRPr="002F5B03">
              <w:rPr>
                <w:rFonts w:ascii="Calibri" w:hAnsi="Calibri" w:cs="Calibri"/>
                <w:noProof/>
              </w:rPr>
              <w:t> </w:t>
            </w:r>
            <w:r w:rsidRPr="002F5B03">
              <w:rPr>
                <w:noProof/>
              </w:rPr>
              <w:t>million</w:t>
            </w:r>
          </w:p>
          <w:p w14:paraId="5CA2A1C6" w14:textId="77777777" w:rsidR="008C407A" w:rsidRPr="002F5B03" w:rsidRDefault="008C407A" w:rsidP="00962E3C">
            <w:pPr>
              <w:jc w:val="left"/>
              <w:rPr>
                <w:noProof/>
              </w:rPr>
            </w:pPr>
            <w:r w:rsidRPr="002F5B03">
              <w:rPr>
                <w:noProof/>
              </w:rPr>
              <w:t>people received material assistance under the Fund for European Aid to the Most Deprived in 2020.</w:t>
            </w:r>
          </w:p>
        </w:tc>
        <w:tc>
          <w:tcPr>
            <w:tcW w:w="2410" w:type="dxa"/>
            <w:tcBorders>
              <w:bottom w:val="single" w:sz="4" w:space="0" w:color="8C8C8C"/>
            </w:tcBorders>
            <w:shd w:val="clear" w:color="auto" w:fill="FFFFFF" w:themeFill="background1"/>
          </w:tcPr>
          <w:p w14:paraId="662506E3" w14:textId="77777777" w:rsidR="008C407A" w:rsidRPr="002F5B03" w:rsidRDefault="008C407A" w:rsidP="00B202C2">
            <w:pPr>
              <w:pStyle w:val="ppoTableacheivementvalue"/>
              <w:cnfStyle w:val="000000000000" w:firstRow="0" w:lastRow="0" w:firstColumn="0" w:lastColumn="0" w:oddVBand="0" w:evenVBand="0" w:oddHBand="0" w:evenHBand="0" w:firstRowFirstColumn="0" w:firstRowLastColumn="0" w:lastRowFirstColumn="0" w:lastRowLastColumn="0"/>
              <w:rPr>
                <w:noProof/>
              </w:rPr>
            </w:pPr>
            <w:r w:rsidRPr="002F5B03">
              <w:rPr>
                <w:noProof/>
              </w:rPr>
              <w:t>12</w:t>
            </w:r>
            <w:r w:rsidRPr="002F5B03">
              <w:rPr>
                <w:rFonts w:ascii="Calibri" w:hAnsi="Calibri" w:cs="Calibri"/>
                <w:noProof/>
              </w:rPr>
              <w:t> </w:t>
            </w:r>
            <w:r w:rsidRPr="002F5B03">
              <w:rPr>
                <w:noProof/>
              </w:rPr>
              <w:t>149</w:t>
            </w:r>
          </w:p>
          <w:p w14:paraId="35862A20" w14:textId="77777777" w:rsidR="008C407A" w:rsidRPr="002F5B03" w:rsidRDefault="008C407A" w:rsidP="00962E3C">
            <w:pPr>
              <w:pStyle w:val="ppoTableacheivementvalue"/>
              <w:jc w:val="left"/>
              <w:cnfStyle w:val="000000000000" w:firstRow="0" w:lastRow="0" w:firstColumn="0" w:lastColumn="0" w:oddVBand="0" w:evenVBand="0" w:oddHBand="0" w:evenHBand="0" w:firstRowFirstColumn="0" w:firstRowLastColumn="0" w:lastRowFirstColumn="0" w:lastRowLastColumn="0"/>
              <w:rPr>
                <w:noProof/>
                <w:sz w:val="22"/>
                <w:szCs w:val="22"/>
              </w:rPr>
            </w:pPr>
            <w:r w:rsidRPr="002F5B03">
              <w:rPr>
                <w:noProof/>
                <w:sz w:val="22"/>
                <w:szCs w:val="22"/>
              </w:rPr>
              <w:t>job placements had been obtained since the start of the targeted mobility schemes in 2015 and ‘Your first EURES job’ by the end of the first semester of 2021 under the Employment and Social Innovation programme.</w:t>
            </w:r>
          </w:p>
        </w:tc>
        <w:tc>
          <w:tcPr>
            <w:cnfStyle w:val="000001000000" w:firstRow="0" w:lastRow="0" w:firstColumn="0" w:lastColumn="0" w:oddVBand="0" w:evenVBand="1" w:oddHBand="0" w:evenHBand="0" w:firstRowFirstColumn="0" w:firstRowLastColumn="0" w:lastRowFirstColumn="0" w:lastRowLastColumn="0"/>
            <w:tcW w:w="2410" w:type="dxa"/>
            <w:shd w:val="clear" w:color="auto" w:fill="F2F2F2"/>
          </w:tcPr>
          <w:p w14:paraId="770AEA88" w14:textId="77777777" w:rsidR="008C407A" w:rsidRPr="002F5B03" w:rsidRDefault="008C407A" w:rsidP="00B202C2">
            <w:pPr>
              <w:pStyle w:val="ppoTableacheivementvalue"/>
              <w:rPr>
                <w:noProof/>
              </w:rPr>
            </w:pPr>
            <w:r w:rsidRPr="002F5B03">
              <w:rPr>
                <w:noProof/>
              </w:rPr>
              <w:t>EUR</w:t>
            </w:r>
            <w:r w:rsidRPr="002F5B03">
              <w:rPr>
                <w:rFonts w:ascii="Calibri" w:hAnsi="Calibri" w:cs="Calibri"/>
                <w:noProof/>
              </w:rPr>
              <w:t> </w:t>
            </w:r>
            <w:r w:rsidRPr="002F5B03">
              <w:rPr>
                <w:noProof/>
              </w:rPr>
              <w:t>1.2</w:t>
            </w:r>
            <w:r w:rsidRPr="002F5B03">
              <w:rPr>
                <w:rFonts w:ascii="Calibri" w:hAnsi="Calibri" w:cs="Calibri"/>
                <w:noProof/>
              </w:rPr>
              <w:t> </w:t>
            </w:r>
            <w:r w:rsidRPr="002F5B03">
              <w:rPr>
                <w:noProof/>
              </w:rPr>
              <w:t>billion</w:t>
            </w:r>
          </w:p>
          <w:p w14:paraId="78D46C99" w14:textId="77777777" w:rsidR="008C407A" w:rsidRPr="002F5B03" w:rsidRDefault="008C407A" w:rsidP="00962E3C">
            <w:pPr>
              <w:pStyle w:val="ppoTableacheivementvalue"/>
              <w:jc w:val="left"/>
              <w:rPr>
                <w:noProof/>
              </w:rPr>
            </w:pPr>
            <w:r w:rsidRPr="002F5B03">
              <w:rPr>
                <w:noProof/>
                <w:sz w:val="22"/>
                <w:szCs w:val="22"/>
              </w:rPr>
              <w:t>worth of loans were awarded to 97</w:t>
            </w:r>
            <w:r w:rsidRPr="002F5B03">
              <w:rPr>
                <w:rFonts w:ascii="Calibri" w:hAnsi="Calibri" w:cs="Calibri"/>
                <w:noProof/>
                <w:sz w:val="22"/>
                <w:szCs w:val="22"/>
              </w:rPr>
              <w:t> </w:t>
            </w:r>
            <w:r w:rsidRPr="002F5B03">
              <w:rPr>
                <w:noProof/>
                <w:sz w:val="22"/>
                <w:szCs w:val="22"/>
              </w:rPr>
              <w:t>271 microenterprises between 2014 and 2020 thanks to EUR</w:t>
            </w:r>
            <w:r w:rsidRPr="002F5B03">
              <w:rPr>
                <w:rFonts w:ascii="Calibri" w:hAnsi="Calibri" w:cs="Calibri"/>
                <w:noProof/>
                <w:sz w:val="22"/>
                <w:szCs w:val="22"/>
              </w:rPr>
              <w:t> </w:t>
            </w:r>
            <w:r w:rsidRPr="002F5B03">
              <w:rPr>
                <w:noProof/>
                <w:sz w:val="22"/>
                <w:szCs w:val="22"/>
              </w:rPr>
              <w:t>222.7</w:t>
            </w:r>
            <w:r w:rsidRPr="002F5B03">
              <w:rPr>
                <w:rFonts w:ascii="Calibri" w:hAnsi="Calibri" w:cs="Calibri"/>
                <w:noProof/>
                <w:sz w:val="22"/>
                <w:szCs w:val="22"/>
              </w:rPr>
              <w:t> </w:t>
            </w:r>
            <w:r w:rsidRPr="002F5B03">
              <w:rPr>
                <w:noProof/>
                <w:sz w:val="22"/>
                <w:szCs w:val="22"/>
              </w:rPr>
              <w:t>million in guarantees for 104 microfinance intermediaries under the Employment and Social Innovation programme.</w:t>
            </w:r>
          </w:p>
        </w:tc>
      </w:tr>
    </w:tbl>
    <w:p w14:paraId="10897130" w14:textId="77777777" w:rsidR="008C407A" w:rsidRPr="002F5B03" w:rsidRDefault="008C407A" w:rsidP="008C407A">
      <w:pPr>
        <w:pStyle w:val="FootnoteText"/>
        <w:rPr>
          <w:rFonts w:eastAsiaTheme="minorEastAsia"/>
          <w:noProof/>
        </w:rPr>
      </w:pPr>
      <w:r w:rsidRPr="002F5B03">
        <w:rPr>
          <w:rFonts w:eastAsiaTheme="minorEastAsia"/>
          <w:noProof/>
        </w:rPr>
        <w:t>(*)</w:t>
      </w:r>
      <w:r w:rsidRPr="002F5B03">
        <w:rPr>
          <w:rFonts w:eastAsiaTheme="minorEastAsia"/>
          <w:noProof/>
        </w:rPr>
        <w:tab/>
        <w:t>Key achievements in the table state which period they relate to. Many come from the implementation of the predecessor programmes under the 2014-2020 multiannual financial framework. This is expected and is due to the multiannual life cycle of EU programmes and the projects they finance, where results often follow only after completion of the programmes.</w:t>
      </w:r>
    </w:p>
    <w:p w14:paraId="03C7EFBF" w14:textId="77777777" w:rsidR="008C407A" w:rsidRPr="002F5B03" w:rsidRDefault="008C407A" w:rsidP="008C407A">
      <w:pPr>
        <w:pStyle w:val="ppoHeading5"/>
        <w:rPr>
          <w:noProof/>
        </w:rPr>
      </w:pPr>
      <w:r w:rsidRPr="002F5B03">
        <w:rPr>
          <w:noProof/>
        </w:rPr>
        <w:t>Budget for 2021-2027</w:t>
      </w:r>
    </w:p>
    <w:p w14:paraId="2845136F" w14:textId="77777777" w:rsidR="008C407A" w:rsidRPr="002F5B03" w:rsidRDefault="008C407A" w:rsidP="008C407A">
      <w:pPr>
        <w:pStyle w:val="ppoTableTabletitle"/>
        <w:ind w:left="284"/>
        <w:rPr>
          <w:noProof/>
        </w:rPr>
      </w:pPr>
      <w:r>
        <w:rPr>
          <w:noProof/>
        </w:rPr>
        <w:t xml:space="preserve">ESF+ </w:t>
      </w:r>
      <w:r w:rsidRPr="002F5B03">
        <w:rPr>
          <w:noProof/>
        </w:rPr>
        <w:t>(million EUR)</w:t>
      </w:r>
    </w:p>
    <w:tbl>
      <w:tblPr>
        <w:tblStyle w:val="PlainTable2"/>
        <w:tblW w:w="0" w:type="auto"/>
        <w:tblInd w:w="288" w:type="dxa"/>
        <w:tblLook w:val="04A0" w:firstRow="1" w:lastRow="0" w:firstColumn="1" w:lastColumn="0" w:noHBand="0" w:noVBand="1"/>
      </w:tblPr>
      <w:tblGrid>
        <w:gridCol w:w="4788"/>
        <w:gridCol w:w="2610"/>
      </w:tblGrid>
      <w:tr w:rsidR="008C407A" w:rsidRPr="002F5B03" w14:paraId="56980E38" w14:textId="77777777" w:rsidTr="00B202C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7D0740C5" w14:textId="77777777" w:rsidR="008C407A" w:rsidRPr="002F5B03" w:rsidRDefault="008C407A" w:rsidP="00B202C2">
            <w:pPr>
              <w:spacing w:before="120" w:after="120"/>
              <w:rPr>
                <w:noProof/>
              </w:rPr>
            </w:pPr>
            <w:r w:rsidRPr="002F5B03">
              <w:rPr>
                <w:rFonts w:cs="Calibri"/>
                <w:noProof/>
                <w:color w:val="000000"/>
              </w:rPr>
              <w:t>Financial programming</w:t>
            </w:r>
          </w:p>
        </w:tc>
        <w:tc>
          <w:tcPr>
            <w:tcW w:w="2610" w:type="dxa"/>
            <w:shd w:val="clear" w:color="auto" w:fill="auto"/>
            <w:vAlign w:val="bottom"/>
          </w:tcPr>
          <w:p w14:paraId="1A4CAF4B" w14:textId="77777777" w:rsidR="008C407A" w:rsidRDefault="008C407A" w:rsidP="00B202C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98 957.9</w:t>
            </w:r>
          </w:p>
          <w:p w14:paraId="0AED8F1D" w14:textId="61EFD1CE" w:rsidR="008C407A" w:rsidRPr="002F5B03" w:rsidRDefault="008C407A" w:rsidP="00B202C2">
            <w:pPr>
              <w:spacing w:before="120" w:after="120"/>
              <w:jc w:val="center"/>
              <w:cnfStyle w:val="100000000000" w:firstRow="1" w:lastRow="0" w:firstColumn="0" w:lastColumn="0" w:oddVBand="0" w:evenVBand="0" w:oddHBand="0" w:evenHBand="0" w:firstRowFirstColumn="0" w:firstRowLastColumn="0" w:lastRowFirstColumn="0" w:lastRowLastColumn="0"/>
              <w:rPr>
                <w:rFonts w:cs="Calibri"/>
                <w:b w:val="0"/>
                <w:bCs w:val="0"/>
                <w:noProof/>
                <w:color w:val="000000"/>
              </w:rPr>
            </w:pPr>
          </w:p>
        </w:tc>
      </w:tr>
      <w:tr w:rsidR="008C407A" w:rsidRPr="002F5B03" w14:paraId="375C27D2" w14:textId="77777777" w:rsidTr="00B202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22666D83" w14:textId="77777777" w:rsidR="008C407A" w:rsidRPr="002F5B03" w:rsidRDefault="008C407A" w:rsidP="00B202C2">
            <w:pPr>
              <w:spacing w:before="120" w:after="120"/>
              <w:rPr>
                <w:b w:val="0"/>
                <w:noProof/>
              </w:rPr>
            </w:pPr>
            <w:r w:rsidRPr="002F5B03">
              <w:rPr>
                <w:rFonts w:cs="Calibri"/>
                <w:noProof/>
                <w:color w:val="000000"/>
              </w:rPr>
              <w:t>NextGenerationEU</w:t>
            </w:r>
          </w:p>
        </w:tc>
        <w:tc>
          <w:tcPr>
            <w:tcW w:w="2610" w:type="dxa"/>
            <w:vAlign w:val="bottom"/>
          </w:tcPr>
          <w:p w14:paraId="4E83F509" w14:textId="4850A6E0" w:rsidR="008C407A" w:rsidRPr="002F5B03" w:rsidRDefault="008C407A" w:rsidP="00B202C2">
            <w:pPr>
              <w:spacing w:before="120" w:after="120"/>
              <w:jc w:val="center"/>
              <w:cnfStyle w:val="000000100000" w:firstRow="0" w:lastRow="0" w:firstColumn="0" w:lastColumn="0" w:oddVBand="0" w:evenVBand="0" w:oddHBand="1" w:evenHBand="0" w:firstRowFirstColumn="0" w:firstRowLastColumn="0" w:lastRowFirstColumn="0" w:lastRowLastColumn="0"/>
              <w:rPr>
                <w:rFonts w:cs="Calibri"/>
                <w:noProof/>
                <w:color w:val="000000"/>
              </w:rPr>
            </w:pPr>
          </w:p>
        </w:tc>
      </w:tr>
      <w:tr w:rsidR="008C407A" w:rsidRPr="002F5B03" w14:paraId="19E0BEE5" w14:textId="77777777" w:rsidTr="00B202C2">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65707D0D" w14:textId="4B01A1D7" w:rsidR="008C407A" w:rsidRPr="002F5B03" w:rsidRDefault="008C407A" w:rsidP="00B202C2">
            <w:pPr>
              <w:spacing w:before="120" w:after="120"/>
              <w:rPr>
                <w:b w:val="0"/>
                <w:noProof/>
              </w:rPr>
            </w:pPr>
            <w:r w:rsidRPr="002F5B03">
              <w:rPr>
                <w:noProof/>
              </w:rPr>
              <w:t>Decommitments made available again (*)</w:t>
            </w:r>
          </w:p>
        </w:tc>
        <w:tc>
          <w:tcPr>
            <w:tcW w:w="2610" w:type="dxa"/>
            <w:vAlign w:val="bottom"/>
          </w:tcPr>
          <w:p w14:paraId="277A4CCB" w14:textId="77777777" w:rsidR="008C407A" w:rsidRPr="002F5B03" w:rsidRDefault="008C407A" w:rsidP="00B202C2">
            <w:pPr>
              <w:spacing w:before="120" w:after="120"/>
              <w:jc w:val="center"/>
              <w:cnfStyle w:val="000000000000" w:firstRow="0" w:lastRow="0" w:firstColumn="0" w:lastColumn="0" w:oddVBand="0" w:evenVBand="0" w:oddHBand="0" w:evenHBand="0" w:firstRowFirstColumn="0" w:firstRowLastColumn="0" w:lastRowFirstColumn="0" w:lastRowLastColumn="0"/>
              <w:rPr>
                <w:rFonts w:cs="Calibri"/>
                <w:noProof/>
                <w:color w:val="000000"/>
              </w:rPr>
            </w:pPr>
            <w:r>
              <w:rPr>
                <w:rFonts w:cs="Calibri"/>
                <w:noProof/>
                <w:color w:val="000000"/>
              </w:rPr>
              <w:t>N/A</w:t>
            </w:r>
          </w:p>
        </w:tc>
      </w:tr>
      <w:tr w:rsidR="008C407A" w:rsidRPr="002F5B03" w14:paraId="076BC5A7" w14:textId="77777777" w:rsidTr="00B202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5E08250A" w14:textId="77777777" w:rsidR="008C407A" w:rsidRPr="002F5B03" w:rsidRDefault="008C407A" w:rsidP="00B202C2">
            <w:pPr>
              <w:spacing w:before="120" w:after="120"/>
              <w:rPr>
                <w:noProof/>
              </w:rPr>
            </w:pPr>
            <w:r w:rsidRPr="002F5B03">
              <w:rPr>
                <w:rFonts w:cs="Calibri"/>
                <w:noProof/>
                <w:color w:val="000000"/>
              </w:rPr>
              <w:t>Contributions from other countries and entities</w:t>
            </w:r>
          </w:p>
        </w:tc>
        <w:tc>
          <w:tcPr>
            <w:tcW w:w="2610" w:type="dxa"/>
            <w:vAlign w:val="bottom"/>
          </w:tcPr>
          <w:p w14:paraId="7981E644" w14:textId="77777777" w:rsidR="008C407A" w:rsidRPr="002F5B03" w:rsidRDefault="008C407A" w:rsidP="00B202C2">
            <w:pPr>
              <w:spacing w:before="120" w:after="120"/>
              <w:jc w:val="center"/>
              <w:cnfStyle w:val="000000100000" w:firstRow="0" w:lastRow="0" w:firstColumn="0" w:lastColumn="0" w:oddVBand="0" w:evenVBand="0" w:oddHBand="1" w:evenHBand="0" w:firstRowFirstColumn="0" w:firstRowLastColumn="0" w:lastRowFirstColumn="0" w:lastRowLastColumn="0"/>
              <w:rPr>
                <w:rFonts w:cs="Calibri"/>
                <w:noProof/>
                <w:color w:val="000000"/>
              </w:rPr>
            </w:pPr>
            <w:r w:rsidRPr="002F5B03">
              <w:rPr>
                <w:rFonts w:cs="Calibri"/>
                <w:noProof/>
                <w:color w:val="000000"/>
              </w:rPr>
              <w:t>2.7</w:t>
            </w:r>
          </w:p>
        </w:tc>
      </w:tr>
      <w:tr w:rsidR="008C407A" w:rsidRPr="002F5B03" w14:paraId="71F28997" w14:textId="77777777" w:rsidTr="00B202C2">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CFCFC" w:themeFill="background2" w:themeFillTint="33"/>
            <w:vAlign w:val="bottom"/>
          </w:tcPr>
          <w:p w14:paraId="4C8A5063" w14:textId="77777777" w:rsidR="008C407A" w:rsidRPr="002F5B03" w:rsidRDefault="008C407A" w:rsidP="00B202C2">
            <w:pPr>
              <w:spacing w:before="120" w:after="120"/>
              <w:rPr>
                <w:noProof/>
              </w:rPr>
            </w:pPr>
            <w:r w:rsidRPr="002F5B03">
              <w:rPr>
                <w:rFonts w:cs="Calibri"/>
                <w:noProof/>
                <w:color w:val="000000"/>
              </w:rPr>
              <w:t>Total budget for 2021-2027</w:t>
            </w:r>
          </w:p>
        </w:tc>
        <w:tc>
          <w:tcPr>
            <w:tcW w:w="2610" w:type="dxa"/>
            <w:shd w:val="clear" w:color="auto" w:fill="FCFCFC" w:themeFill="background2" w:themeFillTint="33"/>
            <w:vAlign w:val="bottom"/>
          </w:tcPr>
          <w:p w14:paraId="713AD30F" w14:textId="77777777" w:rsidR="008C407A" w:rsidRDefault="008C407A" w:rsidP="00B202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98 960.7</w:t>
            </w:r>
          </w:p>
          <w:p w14:paraId="78BFD245" w14:textId="18AA90AC" w:rsidR="008C407A" w:rsidRPr="002F5B03" w:rsidRDefault="008C407A" w:rsidP="00B202C2">
            <w:pPr>
              <w:spacing w:before="120" w:after="120"/>
              <w:jc w:val="center"/>
              <w:cnfStyle w:val="000000000000" w:firstRow="0" w:lastRow="0" w:firstColumn="0" w:lastColumn="0" w:oddVBand="0" w:evenVBand="0" w:oddHBand="0" w:evenHBand="0" w:firstRowFirstColumn="0" w:firstRowLastColumn="0" w:lastRowFirstColumn="0" w:lastRowLastColumn="0"/>
              <w:rPr>
                <w:rFonts w:cs="Calibri"/>
                <w:b/>
                <w:bCs/>
                <w:noProof/>
                <w:color w:val="000000"/>
              </w:rPr>
            </w:pPr>
          </w:p>
        </w:tc>
      </w:tr>
    </w:tbl>
    <w:p w14:paraId="00954EAF" w14:textId="77777777" w:rsidR="008C407A" w:rsidRPr="002F5B03" w:rsidRDefault="008C407A" w:rsidP="008C407A">
      <w:pPr>
        <w:jc w:val="center"/>
        <w:rPr>
          <w:rFonts w:eastAsiaTheme="minorEastAsia"/>
          <w:noProof/>
        </w:rPr>
      </w:pPr>
    </w:p>
    <w:p w14:paraId="7AF8478B" w14:textId="77777777" w:rsidR="008C407A" w:rsidRDefault="008C407A" w:rsidP="008C407A">
      <w:pPr>
        <w:pStyle w:val="FootnoteText"/>
        <w:rPr>
          <w:rFonts w:eastAsiaTheme="minorEastAsia"/>
          <w:noProof/>
        </w:rPr>
      </w:pPr>
      <w:r w:rsidRPr="002F5B03">
        <w:rPr>
          <w:rFonts w:eastAsiaTheme="minorEastAsia"/>
          <w:noProof/>
        </w:rPr>
        <w:t>(*) Article</w:t>
      </w:r>
      <w:r w:rsidRPr="002F5B03">
        <w:rPr>
          <w:rFonts w:ascii="Calibri" w:eastAsiaTheme="minorEastAsia" w:hAnsi="Calibri" w:cs="Calibri"/>
          <w:noProof/>
        </w:rPr>
        <w:t> </w:t>
      </w:r>
      <w:r w:rsidRPr="002F5B03">
        <w:rPr>
          <w:rFonts w:eastAsiaTheme="minorEastAsia"/>
          <w:noProof/>
        </w:rPr>
        <w:t>15(3) of the financial regulation.</w:t>
      </w:r>
    </w:p>
    <w:p w14:paraId="21DD93A3" w14:textId="77777777" w:rsidR="008C407A" w:rsidRDefault="008C407A" w:rsidP="008C407A">
      <w:pPr>
        <w:pStyle w:val="FootnoteText"/>
        <w:rPr>
          <w:rFonts w:eastAsiaTheme="minorEastAsia"/>
          <w:noProof/>
        </w:rPr>
      </w:pPr>
    </w:p>
    <w:p w14:paraId="4C75A80F" w14:textId="6173F5BB" w:rsidR="008C407A" w:rsidRPr="002F5B03" w:rsidRDefault="008C407A" w:rsidP="008C407A">
      <w:pPr>
        <w:pStyle w:val="ppoTableTabletitle"/>
        <w:ind w:left="284"/>
        <w:rPr>
          <w:noProof/>
        </w:rPr>
      </w:pPr>
      <w:r>
        <w:rPr>
          <w:noProof/>
        </w:rPr>
        <w:t>R</w:t>
      </w:r>
      <w:r w:rsidRPr="002F5B03">
        <w:rPr>
          <w:noProof/>
        </w:rPr>
        <w:t xml:space="preserve">ecovery assistance for cohesion and the territories of Europe programme </w:t>
      </w:r>
      <w:r w:rsidR="0017337B">
        <w:rPr>
          <w:noProof/>
        </w:rPr>
        <w:t>(REACT-EU)</w:t>
      </w:r>
      <w:r w:rsidR="0017337B" w:rsidRPr="002F5B03">
        <w:rPr>
          <w:noProof/>
        </w:rPr>
        <w:t xml:space="preserve"> </w:t>
      </w:r>
      <w:r w:rsidRPr="002F5B03">
        <w:rPr>
          <w:noProof/>
        </w:rPr>
        <w:t>under the ESF (million EUR)</w:t>
      </w:r>
    </w:p>
    <w:tbl>
      <w:tblPr>
        <w:tblStyle w:val="PlainTable2"/>
        <w:tblW w:w="0" w:type="auto"/>
        <w:tblInd w:w="288" w:type="dxa"/>
        <w:tblLook w:val="04A0" w:firstRow="1" w:lastRow="0" w:firstColumn="1" w:lastColumn="0" w:noHBand="0" w:noVBand="1"/>
      </w:tblPr>
      <w:tblGrid>
        <w:gridCol w:w="4788"/>
        <w:gridCol w:w="2610"/>
      </w:tblGrid>
      <w:tr w:rsidR="008C407A" w:rsidRPr="002F5B03" w14:paraId="5A2581A7" w14:textId="77777777" w:rsidTr="00B202C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58BD2B1A" w14:textId="77777777" w:rsidR="008C407A" w:rsidRPr="002F5B03" w:rsidRDefault="008C407A" w:rsidP="00B202C2">
            <w:pPr>
              <w:spacing w:before="120" w:after="120"/>
              <w:rPr>
                <w:noProof/>
              </w:rPr>
            </w:pPr>
            <w:r w:rsidRPr="002F5B03">
              <w:rPr>
                <w:rFonts w:cs="Calibri"/>
                <w:noProof/>
                <w:color w:val="000000"/>
              </w:rPr>
              <w:t>Financial programming</w:t>
            </w:r>
          </w:p>
        </w:tc>
        <w:tc>
          <w:tcPr>
            <w:tcW w:w="2610" w:type="dxa"/>
            <w:shd w:val="clear" w:color="auto" w:fill="auto"/>
            <w:vAlign w:val="bottom"/>
          </w:tcPr>
          <w:p w14:paraId="6C2B749C" w14:textId="77777777" w:rsidR="008C407A" w:rsidRPr="002F5B03" w:rsidRDefault="008C407A" w:rsidP="00304A2B">
            <w:pPr>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noProof/>
                <w:color w:val="000000"/>
              </w:rPr>
            </w:pPr>
          </w:p>
        </w:tc>
      </w:tr>
      <w:tr w:rsidR="008C407A" w:rsidRPr="002F5B03" w14:paraId="406D7C73" w14:textId="77777777" w:rsidTr="00B202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6BEBBC9B" w14:textId="77777777" w:rsidR="008C407A" w:rsidRPr="002F5B03" w:rsidRDefault="008C407A" w:rsidP="00B202C2">
            <w:pPr>
              <w:spacing w:before="120" w:after="120"/>
              <w:rPr>
                <w:b w:val="0"/>
                <w:noProof/>
              </w:rPr>
            </w:pPr>
            <w:r w:rsidRPr="002F5B03">
              <w:rPr>
                <w:rFonts w:cs="Calibri"/>
                <w:noProof/>
                <w:color w:val="000000"/>
              </w:rPr>
              <w:t>NextGenerationEU</w:t>
            </w:r>
          </w:p>
        </w:tc>
        <w:tc>
          <w:tcPr>
            <w:tcW w:w="2610" w:type="dxa"/>
            <w:vAlign w:val="bottom"/>
          </w:tcPr>
          <w:p w14:paraId="4DAF7773" w14:textId="77777777" w:rsidR="008C407A" w:rsidRDefault="008C407A" w:rsidP="00B202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rPr>
            </w:pPr>
            <w:r>
              <w:rPr>
                <w:rFonts w:ascii="Calibri" w:hAnsi="Calibri" w:cs="Calibri"/>
                <w:noProof/>
                <w:color w:val="000000"/>
              </w:rPr>
              <w:t>19 161.4</w:t>
            </w:r>
          </w:p>
          <w:p w14:paraId="5F865B68" w14:textId="77777777" w:rsidR="008C407A" w:rsidRPr="002F5B03" w:rsidRDefault="008C407A" w:rsidP="00304A2B">
            <w:pPr>
              <w:spacing w:before="120" w:after="120"/>
              <w:jc w:val="left"/>
              <w:cnfStyle w:val="000000100000" w:firstRow="0" w:lastRow="0" w:firstColumn="0" w:lastColumn="0" w:oddVBand="0" w:evenVBand="0" w:oddHBand="1" w:evenHBand="0" w:firstRowFirstColumn="0" w:firstRowLastColumn="0" w:lastRowFirstColumn="0" w:lastRowLastColumn="0"/>
              <w:rPr>
                <w:rFonts w:cs="Calibri"/>
                <w:noProof/>
                <w:color w:val="000000"/>
              </w:rPr>
            </w:pPr>
          </w:p>
        </w:tc>
      </w:tr>
      <w:tr w:rsidR="008C407A" w:rsidRPr="002F5B03" w14:paraId="14A4D6D4" w14:textId="77777777" w:rsidTr="00B202C2">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434C0F2F" w14:textId="77777777" w:rsidR="008C407A" w:rsidRPr="002F5B03" w:rsidRDefault="008C407A" w:rsidP="00B202C2">
            <w:pPr>
              <w:spacing w:before="120" w:after="120"/>
              <w:rPr>
                <w:b w:val="0"/>
                <w:noProof/>
              </w:rPr>
            </w:pPr>
            <w:r w:rsidRPr="002F5B03">
              <w:rPr>
                <w:noProof/>
              </w:rPr>
              <w:t>Decommitments made available again (*)</w:t>
            </w:r>
          </w:p>
        </w:tc>
        <w:tc>
          <w:tcPr>
            <w:tcW w:w="2610" w:type="dxa"/>
            <w:vAlign w:val="bottom"/>
          </w:tcPr>
          <w:p w14:paraId="57EF5BE2" w14:textId="77777777" w:rsidR="008C407A" w:rsidRPr="002F5B03" w:rsidRDefault="008C407A" w:rsidP="00B202C2">
            <w:pPr>
              <w:spacing w:before="120" w:after="120"/>
              <w:jc w:val="center"/>
              <w:cnfStyle w:val="000000000000" w:firstRow="0" w:lastRow="0" w:firstColumn="0" w:lastColumn="0" w:oddVBand="0" w:evenVBand="0" w:oddHBand="0" w:evenHBand="0" w:firstRowFirstColumn="0" w:firstRowLastColumn="0" w:lastRowFirstColumn="0" w:lastRowLastColumn="0"/>
              <w:rPr>
                <w:rFonts w:cs="Calibri"/>
                <w:noProof/>
                <w:color w:val="000000"/>
              </w:rPr>
            </w:pPr>
            <w:r>
              <w:rPr>
                <w:rFonts w:cs="Calibri"/>
                <w:noProof/>
                <w:color w:val="000000"/>
              </w:rPr>
              <w:t>N/A</w:t>
            </w:r>
          </w:p>
        </w:tc>
      </w:tr>
      <w:tr w:rsidR="008C407A" w:rsidRPr="002F5B03" w14:paraId="78A6D14A" w14:textId="77777777" w:rsidTr="00B202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12D241CF" w14:textId="77777777" w:rsidR="008C407A" w:rsidRPr="002F5B03" w:rsidRDefault="008C407A" w:rsidP="00B202C2">
            <w:pPr>
              <w:spacing w:before="120" w:after="120"/>
              <w:rPr>
                <w:noProof/>
              </w:rPr>
            </w:pPr>
            <w:r w:rsidRPr="002F5B03">
              <w:rPr>
                <w:rFonts w:cs="Calibri"/>
                <w:noProof/>
                <w:color w:val="000000"/>
              </w:rPr>
              <w:t>Contributions from other countries and entities</w:t>
            </w:r>
          </w:p>
        </w:tc>
        <w:tc>
          <w:tcPr>
            <w:tcW w:w="2610" w:type="dxa"/>
            <w:vAlign w:val="bottom"/>
          </w:tcPr>
          <w:p w14:paraId="27335DEB" w14:textId="77777777" w:rsidR="008C407A" w:rsidRPr="002F5B03" w:rsidRDefault="008C407A" w:rsidP="00B202C2">
            <w:pPr>
              <w:spacing w:before="120" w:after="120"/>
              <w:jc w:val="center"/>
              <w:cnfStyle w:val="000000100000" w:firstRow="0" w:lastRow="0" w:firstColumn="0" w:lastColumn="0" w:oddVBand="0" w:evenVBand="0" w:oddHBand="1" w:evenHBand="0" w:firstRowFirstColumn="0" w:firstRowLastColumn="0" w:lastRowFirstColumn="0" w:lastRowLastColumn="0"/>
              <w:rPr>
                <w:rFonts w:cs="Calibri"/>
                <w:noProof/>
                <w:color w:val="000000"/>
              </w:rPr>
            </w:pPr>
          </w:p>
        </w:tc>
      </w:tr>
      <w:tr w:rsidR="008C407A" w:rsidRPr="002F5B03" w14:paraId="0D9A7BC4" w14:textId="77777777" w:rsidTr="00B202C2">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CFCFC" w:themeFill="background2" w:themeFillTint="33"/>
            <w:vAlign w:val="bottom"/>
          </w:tcPr>
          <w:p w14:paraId="32B80AAE" w14:textId="77777777" w:rsidR="008C407A" w:rsidRPr="002F5B03" w:rsidRDefault="008C407A" w:rsidP="00B202C2">
            <w:pPr>
              <w:spacing w:before="120" w:after="120"/>
              <w:rPr>
                <w:noProof/>
              </w:rPr>
            </w:pPr>
            <w:r w:rsidRPr="002F5B03">
              <w:rPr>
                <w:rFonts w:cs="Calibri"/>
                <w:noProof/>
                <w:color w:val="000000"/>
              </w:rPr>
              <w:t>Total budget for 2021-2027</w:t>
            </w:r>
          </w:p>
        </w:tc>
        <w:tc>
          <w:tcPr>
            <w:tcW w:w="2610" w:type="dxa"/>
            <w:shd w:val="clear" w:color="auto" w:fill="FCFCFC" w:themeFill="background2" w:themeFillTint="33"/>
            <w:vAlign w:val="bottom"/>
          </w:tcPr>
          <w:p w14:paraId="597E865B" w14:textId="77777777" w:rsidR="008C407A" w:rsidRDefault="008C407A" w:rsidP="00B202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19 161.4</w:t>
            </w:r>
          </w:p>
          <w:p w14:paraId="65F54665" w14:textId="77777777" w:rsidR="008C407A" w:rsidRPr="002F5B03" w:rsidRDefault="008C407A" w:rsidP="00304A2B">
            <w:pPr>
              <w:spacing w:before="120" w:after="120"/>
              <w:jc w:val="left"/>
              <w:cnfStyle w:val="000000000000" w:firstRow="0" w:lastRow="0" w:firstColumn="0" w:lastColumn="0" w:oddVBand="0" w:evenVBand="0" w:oddHBand="0" w:evenHBand="0" w:firstRowFirstColumn="0" w:firstRowLastColumn="0" w:lastRowFirstColumn="0" w:lastRowLastColumn="0"/>
              <w:rPr>
                <w:rFonts w:cs="Calibri"/>
                <w:b/>
                <w:bCs/>
                <w:noProof/>
                <w:color w:val="000000"/>
              </w:rPr>
            </w:pPr>
          </w:p>
        </w:tc>
      </w:tr>
    </w:tbl>
    <w:p w14:paraId="7A8AD754" w14:textId="77777777" w:rsidR="008C407A" w:rsidRPr="002F5B03" w:rsidRDefault="008C407A" w:rsidP="008C407A">
      <w:pPr>
        <w:pStyle w:val="FootnoteText"/>
        <w:rPr>
          <w:rFonts w:eastAsiaTheme="minorEastAsia"/>
          <w:noProof/>
        </w:rPr>
      </w:pPr>
      <w:r w:rsidRPr="002F5B03">
        <w:rPr>
          <w:rFonts w:eastAsiaTheme="minorEastAsia"/>
          <w:noProof/>
        </w:rPr>
        <w:t>(*) Article</w:t>
      </w:r>
      <w:r w:rsidRPr="002F5B03">
        <w:rPr>
          <w:rFonts w:ascii="Calibri" w:eastAsiaTheme="minorEastAsia" w:hAnsi="Calibri" w:cs="Calibri"/>
          <w:noProof/>
        </w:rPr>
        <w:t> </w:t>
      </w:r>
      <w:r w:rsidRPr="002F5B03">
        <w:rPr>
          <w:rFonts w:eastAsiaTheme="minorEastAsia"/>
          <w:noProof/>
        </w:rPr>
        <w:t>15(3) of the financial regulation.</w:t>
      </w:r>
    </w:p>
    <w:p w14:paraId="3B73BC82" w14:textId="77777777" w:rsidR="008C407A" w:rsidRPr="002F5B03" w:rsidRDefault="008C407A" w:rsidP="008C407A">
      <w:pPr>
        <w:pStyle w:val="FootnoteText"/>
        <w:rPr>
          <w:rFonts w:eastAsiaTheme="minorEastAsia"/>
          <w:noProof/>
        </w:rPr>
      </w:pPr>
    </w:p>
    <w:p w14:paraId="62139EF7" w14:textId="77777777" w:rsidR="008C407A" w:rsidRPr="002F5B03" w:rsidRDefault="008C407A" w:rsidP="008C407A">
      <w:pPr>
        <w:pStyle w:val="ppoHeading5"/>
        <w:rPr>
          <w:noProof/>
        </w:rPr>
      </w:pPr>
      <w:r w:rsidRPr="002F5B03">
        <w:rPr>
          <w:noProof/>
        </w:rPr>
        <w:t>Rationale and design of the programme</w:t>
      </w:r>
    </w:p>
    <w:p w14:paraId="25C65E78" w14:textId="77777777" w:rsidR="008C407A" w:rsidRPr="002F5B03" w:rsidRDefault="008C407A" w:rsidP="008C407A">
      <w:pPr>
        <w:spacing w:after="120"/>
        <w:rPr>
          <w:noProof/>
        </w:rPr>
      </w:pPr>
      <w:r w:rsidRPr="002F5B03">
        <w:rPr>
          <w:noProof/>
        </w:rPr>
        <w:t>The European Social Fund+ (ESF+) is the EU's main instrument for investing in people’s employment, education and skills, and in social inclusion to support economic, social and territorial cohesion in the EU.</w:t>
      </w:r>
    </w:p>
    <w:p w14:paraId="4622FB48" w14:textId="77777777" w:rsidR="008C407A" w:rsidRPr="002F5B03" w:rsidRDefault="008C407A" w:rsidP="008C407A">
      <w:pPr>
        <w:spacing w:after="120"/>
        <w:rPr>
          <w:noProof/>
        </w:rPr>
      </w:pPr>
      <w:r w:rsidRPr="002F5B03">
        <w:rPr>
          <w:noProof/>
        </w:rPr>
        <w:t>The responsibility for employment and social policy lies primarily with the Member States. The EU mostly supports and complements Member States’ efforts by co-financing projects at the national and regional levels using ESF+ resources.</w:t>
      </w:r>
    </w:p>
    <w:p w14:paraId="470EE341" w14:textId="77777777" w:rsidR="008C407A" w:rsidRPr="002F5B03" w:rsidRDefault="008C407A" w:rsidP="008C407A">
      <w:pPr>
        <w:pStyle w:val="ppoHeading6"/>
        <w:rPr>
          <w:noProof/>
        </w:rPr>
      </w:pPr>
      <w:r w:rsidRPr="002F5B03">
        <w:rPr>
          <w:noProof/>
        </w:rPr>
        <w:t>Challenge</w:t>
      </w:r>
    </w:p>
    <w:p w14:paraId="2131163F" w14:textId="77777777" w:rsidR="008C407A" w:rsidRPr="002F5B03" w:rsidRDefault="008C407A" w:rsidP="008C407A">
      <w:pPr>
        <w:rPr>
          <w:noProof/>
        </w:rPr>
      </w:pPr>
      <w:r w:rsidRPr="002F5B03">
        <w:rPr>
          <w:noProof/>
        </w:rPr>
        <w:t>The EU’s relevance, resilience and success in the decades to come will depend on its ability to remain competitive in the global economy and to ensure high levels of employment, education and training, health, social inclusion and active participation in society. This in turn requires the EU to invest in people, tackle various social challenges (including unemployment and persistently high rates of poverty and social exclusion of marginalised groups, such as Roma and migrants) and ensure fair labour mobility.</w:t>
      </w:r>
    </w:p>
    <w:p w14:paraId="732F3C5C" w14:textId="77777777" w:rsidR="008C407A" w:rsidRPr="002F5B03" w:rsidRDefault="008C407A" w:rsidP="008C407A">
      <w:pPr>
        <w:rPr>
          <w:noProof/>
        </w:rPr>
      </w:pPr>
      <w:r w:rsidRPr="002F5B03">
        <w:rPr>
          <w:noProof/>
        </w:rPr>
        <w:t>Ample evidence demonstrates that, given the scale and effect of the challenges</w:t>
      </w:r>
      <w:r w:rsidRPr="009A31FF">
        <w:rPr>
          <w:bCs/>
          <w:noProof/>
        </w:rPr>
        <w:t>,</w:t>
      </w:r>
      <w:r w:rsidRPr="002F5B03">
        <w:rPr>
          <w:noProof/>
        </w:rPr>
        <w:t xml:space="preserve"> EU policies aiming at promoting social cohesion and social rights would not have been implemented without complementary EU investment. EU-level support of Member States’ efforts helps promote reforms that are beneficial to individual Member States and the EU as a whole.</w:t>
      </w:r>
    </w:p>
    <w:p w14:paraId="762B8E94" w14:textId="77777777" w:rsidR="008C407A" w:rsidRPr="002F5B03" w:rsidRDefault="008C407A" w:rsidP="008C407A">
      <w:pPr>
        <w:pStyle w:val="ppoHeading6"/>
        <w:rPr>
          <w:noProof/>
        </w:rPr>
      </w:pPr>
      <w:r w:rsidRPr="002F5B03">
        <w:rPr>
          <w:noProof/>
        </w:rPr>
        <w:t>Mission</w:t>
      </w:r>
    </w:p>
    <w:p w14:paraId="0009B908" w14:textId="77777777" w:rsidR="008C407A" w:rsidRPr="002F5B03" w:rsidRDefault="008C407A" w:rsidP="008C407A">
      <w:pPr>
        <w:rPr>
          <w:noProof/>
        </w:rPr>
      </w:pPr>
      <w:r w:rsidRPr="002F5B03">
        <w:rPr>
          <w:noProof/>
        </w:rPr>
        <w:t>The ESF+ aims at tackling the above challenges to advance towards a more social and inclusive EU, as envisaged in the European Pillar of Social Rights.</w:t>
      </w:r>
    </w:p>
    <w:p w14:paraId="100C25BA" w14:textId="77777777" w:rsidR="008C407A" w:rsidRPr="002F5B03" w:rsidRDefault="008C407A" w:rsidP="008C407A">
      <w:pPr>
        <w:pStyle w:val="ppoHeading6"/>
        <w:rPr>
          <w:noProof/>
        </w:rPr>
      </w:pPr>
      <w:r w:rsidRPr="002F5B03">
        <w:rPr>
          <w:noProof/>
        </w:rPr>
        <w:t>Objectives</w:t>
      </w:r>
    </w:p>
    <w:p w14:paraId="3D0FFE6E" w14:textId="77777777" w:rsidR="008C407A" w:rsidRPr="002F5B03" w:rsidRDefault="008C407A" w:rsidP="008C407A">
      <w:pPr>
        <w:rPr>
          <w:noProof/>
        </w:rPr>
      </w:pPr>
      <w:r w:rsidRPr="002F5B03">
        <w:rPr>
          <w:noProof/>
        </w:rPr>
        <w:t>The specific objectives of the ESF+ are to:</w:t>
      </w:r>
    </w:p>
    <w:p w14:paraId="29A08963" w14:textId="77777777" w:rsidR="008C407A" w:rsidRPr="002F5B03" w:rsidRDefault="008C407A" w:rsidP="008C407A">
      <w:pPr>
        <w:pStyle w:val="ppoListArabic1aiii-L1"/>
        <w:numPr>
          <w:ilvl w:val="0"/>
          <w:numId w:val="79"/>
        </w:numPr>
        <w:rPr>
          <w:rFonts w:eastAsia="EC Square Sans Pro" w:cs="EC Square Sans Pro"/>
          <w:noProof/>
        </w:rPr>
      </w:pPr>
      <w:r w:rsidRPr="002F5B03">
        <w:rPr>
          <w:noProof/>
        </w:rPr>
        <w:t xml:space="preserve">improve access to employment and activation measures for all </w:t>
      </w:r>
      <w:r w:rsidRPr="002F5B03">
        <w:rPr>
          <w:rFonts w:eastAsiaTheme="minorEastAsia"/>
          <w:noProof/>
        </w:rPr>
        <w:t>jobseekers in the labour market</w:t>
      </w:r>
      <w:r w:rsidRPr="002F5B03">
        <w:rPr>
          <w:noProof/>
        </w:rPr>
        <w:t>, in particular the young (e.g. through the implementation of the ‘youth guarantee’), long-term unemployed people, disadvantaged groups and inactive people, and promote self-employment and the social economy;</w:t>
      </w:r>
    </w:p>
    <w:p w14:paraId="0EC370E9" w14:textId="77777777" w:rsidR="008C407A" w:rsidRPr="002F5B03" w:rsidRDefault="008C407A" w:rsidP="008C407A">
      <w:pPr>
        <w:pStyle w:val="ppoListArabic1aiii-L1"/>
        <w:numPr>
          <w:ilvl w:val="0"/>
          <w:numId w:val="79"/>
        </w:numPr>
        <w:rPr>
          <w:rFonts w:eastAsia="EC Square Sans Pro" w:cs="EC Square Sans Pro"/>
          <w:noProof/>
        </w:rPr>
      </w:pPr>
      <w:r w:rsidRPr="002F5B03">
        <w:rPr>
          <w:noProof/>
        </w:rPr>
        <w:t>modernise labour market institutions and services to assess and anticipate skills needs and ensure timely and tailor-made assistance and support for labour market matching, transitions and mobility;</w:t>
      </w:r>
    </w:p>
    <w:p w14:paraId="7ACF5B3B" w14:textId="77777777" w:rsidR="008C407A" w:rsidRPr="002F5B03" w:rsidRDefault="008C407A" w:rsidP="008C407A">
      <w:pPr>
        <w:pStyle w:val="ppoListArabic1aiii-L1"/>
        <w:numPr>
          <w:ilvl w:val="0"/>
          <w:numId w:val="79"/>
        </w:numPr>
        <w:rPr>
          <w:rFonts w:eastAsia="EC Square Sans Pro" w:cs="EC Square Sans Pro"/>
          <w:noProof/>
        </w:rPr>
      </w:pPr>
      <w:r w:rsidRPr="002F5B03">
        <w:rPr>
          <w:noProof/>
        </w:rPr>
        <w:t>promote gender-balanced labour market participation, equal working conditions and a better work–life balance, including through affordable care for children and other dependents;</w:t>
      </w:r>
    </w:p>
    <w:p w14:paraId="7FEBD64C" w14:textId="77777777" w:rsidR="008C407A" w:rsidRPr="002F5B03" w:rsidRDefault="008C407A" w:rsidP="008C407A">
      <w:pPr>
        <w:pStyle w:val="ppoListArabic1aiii-L1"/>
        <w:numPr>
          <w:ilvl w:val="0"/>
          <w:numId w:val="79"/>
        </w:numPr>
        <w:rPr>
          <w:rFonts w:eastAsia="EC Square Sans Pro" w:cs="EC Square Sans Pro"/>
          <w:noProof/>
        </w:rPr>
      </w:pPr>
      <w:r w:rsidRPr="002F5B03">
        <w:rPr>
          <w:noProof/>
        </w:rPr>
        <w:t>promote the adaptation to change by workers, enterprises and entrepreneurs, active and healthy ageing and a healthy working environment;</w:t>
      </w:r>
    </w:p>
    <w:p w14:paraId="15892928" w14:textId="77777777" w:rsidR="008C407A" w:rsidRPr="002F5B03" w:rsidRDefault="008C407A" w:rsidP="008C407A">
      <w:pPr>
        <w:pStyle w:val="ppoListArabic1aiii-L1"/>
        <w:numPr>
          <w:ilvl w:val="0"/>
          <w:numId w:val="79"/>
        </w:numPr>
        <w:rPr>
          <w:rFonts w:eastAsia="EC Square Sans Pro" w:cs="EC Square Sans Pro"/>
          <w:noProof/>
        </w:rPr>
      </w:pPr>
      <w:r w:rsidRPr="002F5B03">
        <w:rPr>
          <w:noProof/>
        </w:rPr>
        <w:t>improve the quality, inclusiveness, effectiveness and labour market relevance of education and training systems, so as to support the acquisition of key competences and promote dual-training systems and apprenticeships;</w:t>
      </w:r>
    </w:p>
    <w:p w14:paraId="49FCADA3" w14:textId="77777777" w:rsidR="008C407A" w:rsidRPr="002F5B03" w:rsidRDefault="008C407A" w:rsidP="008C407A">
      <w:pPr>
        <w:pStyle w:val="ppoListArabic1aiii-L1"/>
        <w:numPr>
          <w:ilvl w:val="0"/>
          <w:numId w:val="79"/>
        </w:numPr>
        <w:rPr>
          <w:rFonts w:eastAsia="EC Square Sans Pro" w:cs="EC Square Sans Pro"/>
          <w:noProof/>
        </w:rPr>
      </w:pPr>
      <w:r w:rsidRPr="002F5B03">
        <w:rPr>
          <w:noProof/>
        </w:rPr>
        <w:t>promote equal access to and completion of quality and inclusive education, training and learning, in particular for disadvantaged groups, throughout the various stages of life;</w:t>
      </w:r>
    </w:p>
    <w:p w14:paraId="7D9E1257" w14:textId="77777777" w:rsidR="008C407A" w:rsidRPr="002F5B03" w:rsidRDefault="008C407A" w:rsidP="008C407A">
      <w:pPr>
        <w:pStyle w:val="ppoListArabic1aiii-L1"/>
        <w:numPr>
          <w:ilvl w:val="0"/>
          <w:numId w:val="79"/>
        </w:numPr>
        <w:rPr>
          <w:rFonts w:eastAsia="EC Square Sans Pro" w:cs="EC Square Sans Pro"/>
          <w:noProof/>
        </w:rPr>
      </w:pPr>
      <w:r w:rsidRPr="002F5B03">
        <w:rPr>
          <w:noProof/>
        </w:rPr>
        <w:t>promote lifelong learning, in particular flexible upskilling and reskilling opportunities for all, taking into account entrepreneurial and digital skills; better anticipate change and new skills requirements based on labour market needs; facilitate career transitions; and promote professional mobility;</w:t>
      </w:r>
    </w:p>
    <w:p w14:paraId="3432826D" w14:textId="77777777" w:rsidR="008C407A" w:rsidRPr="002F5B03" w:rsidRDefault="008C407A" w:rsidP="008C407A">
      <w:pPr>
        <w:pStyle w:val="ppoListArabic1aiii-L1"/>
        <w:numPr>
          <w:ilvl w:val="0"/>
          <w:numId w:val="79"/>
        </w:numPr>
        <w:rPr>
          <w:rFonts w:eastAsia="EC Square Sans Pro" w:cs="EC Square Sans Pro"/>
          <w:noProof/>
        </w:rPr>
      </w:pPr>
      <w:r w:rsidRPr="002F5B03">
        <w:rPr>
          <w:noProof/>
        </w:rPr>
        <w:t>foster active inclusion with a view to promoting equal opportunities, non-discrimination and active participation and improving employability, in particular for disadvantaged groups;</w:t>
      </w:r>
    </w:p>
    <w:p w14:paraId="10C25BF4" w14:textId="77777777" w:rsidR="008C407A" w:rsidRPr="002F5B03" w:rsidRDefault="008C407A" w:rsidP="008C407A">
      <w:pPr>
        <w:pStyle w:val="ppoListArabic1aiii-L1"/>
        <w:numPr>
          <w:ilvl w:val="0"/>
          <w:numId w:val="79"/>
        </w:numPr>
        <w:rPr>
          <w:rFonts w:eastAsia="EC Square Sans Pro" w:cs="EC Square Sans Pro"/>
          <w:noProof/>
        </w:rPr>
      </w:pPr>
      <w:r w:rsidRPr="002F5B03">
        <w:rPr>
          <w:noProof/>
        </w:rPr>
        <w:t>promote the socioeconomic integration of non-EU-country nationals, including migrants;</w:t>
      </w:r>
    </w:p>
    <w:p w14:paraId="0B4E56A4" w14:textId="77777777" w:rsidR="008C407A" w:rsidRPr="002F5B03" w:rsidRDefault="008C407A" w:rsidP="008C407A">
      <w:pPr>
        <w:pStyle w:val="ppoListArabic1aiii-L1"/>
        <w:numPr>
          <w:ilvl w:val="0"/>
          <w:numId w:val="79"/>
        </w:numPr>
        <w:rPr>
          <w:rFonts w:eastAsia="EC Square Sans Pro" w:cs="EC Square Sans Pro"/>
          <w:noProof/>
        </w:rPr>
      </w:pPr>
      <w:r w:rsidRPr="002F5B03">
        <w:rPr>
          <w:noProof/>
        </w:rPr>
        <w:t>promote the socioeconomic integration of marginalised communities, such as Roma people;</w:t>
      </w:r>
    </w:p>
    <w:p w14:paraId="575E917E" w14:textId="77777777" w:rsidR="008C407A" w:rsidRPr="002F5B03" w:rsidRDefault="008C407A" w:rsidP="008C407A">
      <w:pPr>
        <w:pStyle w:val="ppoListArabic1aiii-L1"/>
        <w:numPr>
          <w:ilvl w:val="0"/>
          <w:numId w:val="79"/>
        </w:numPr>
        <w:rPr>
          <w:rFonts w:eastAsia="EC Square Sans Pro" w:cs="EC Square Sans Pro"/>
          <w:noProof/>
        </w:rPr>
      </w:pPr>
      <w:r w:rsidRPr="002F5B03">
        <w:rPr>
          <w:noProof/>
        </w:rPr>
        <w:t>enhance equal and timely access to quality, sustainable and affordable services, including services that promote access to housing and person-centred care, including healthcare; modernise and promote access to social protection, with a particular focus on children and disadvantaged groups; and improve accessibility (including for people</w:t>
      </w:r>
      <w:r w:rsidRPr="002F5B03" w:rsidDel="00B2399A">
        <w:rPr>
          <w:noProof/>
        </w:rPr>
        <w:t xml:space="preserve"> </w:t>
      </w:r>
      <w:r w:rsidRPr="002F5B03">
        <w:rPr>
          <w:noProof/>
        </w:rPr>
        <w:t>with disabilities) to and the effectiveness and resilience of healthcare systems and long-term-care services;</w:t>
      </w:r>
    </w:p>
    <w:p w14:paraId="6200664A" w14:textId="77777777" w:rsidR="008C407A" w:rsidRPr="002F5B03" w:rsidRDefault="008C407A" w:rsidP="008C407A">
      <w:pPr>
        <w:pStyle w:val="ppoListArabic1aiii-L1"/>
        <w:numPr>
          <w:ilvl w:val="0"/>
          <w:numId w:val="79"/>
        </w:numPr>
        <w:rPr>
          <w:rFonts w:eastAsia="EC Square Sans Pro" w:cs="EC Square Sans Pro"/>
          <w:noProof/>
        </w:rPr>
      </w:pPr>
      <w:r w:rsidRPr="002F5B03">
        <w:rPr>
          <w:noProof/>
        </w:rPr>
        <w:t>promote the social integration of people at risk of poverty or social exclusion, including the most deprived people and children;</w:t>
      </w:r>
    </w:p>
    <w:p w14:paraId="446104B7" w14:textId="77777777" w:rsidR="008C407A" w:rsidRPr="002F5B03" w:rsidRDefault="008C407A" w:rsidP="008C407A">
      <w:pPr>
        <w:pStyle w:val="ppoListArabic1aiii-L1"/>
        <w:numPr>
          <w:ilvl w:val="0"/>
          <w:numId w:val="79"/>
        </w:numPr>
        <w:rPr>
          <w:rFonts w:eastAsia="EC Square Sans Pro" w:cs="EC Square Sans Pro"/>
          <w:noProof/>
        </w:rPr>
      </w:pPr>
      <w:r w:rsidRPr="002F5B03">
        <w:rPr>
          <w:noProof/>
        </w:rPr>
        <w:t>address material deprivation by providing food or basic material assistance to the most deprived, including children, and to provide accompanying measures supporting their social inclusion.</w:t>
      </w:r>
    </w:p>
    <w:p w14:paraId="58FEC688" w14:textId="77777777" w:rsidR="008C407A" w:rsidRPr="002F5B03" w:rsidRDefault="008C407A" w:rsidP="008C407A">
      <w:pPr>
        <w:rPr>
          <w:noProof/>
        </w:rPr>
      </w:pPr>
      <w:r w:rsidRPr="002F5B03">
        <w:rPr>
          <w:noProof/>
        </w:rPr>
        <w:t>The Employment and Social Innovation (EaSI) strand of the ESF+ (direct management) supports evidence-based policymaking, social experimentation, capacity-building and mutual-learning activities, along with job placements under the targeted mobility scheme.</w:t>
      </w:r>
    </w:p>
    <w:p w14:paraId="41133862" w14:textId="77777777" w:rsidR="008C407A" w:rsidRPr="002F5B03" w:rsidRDefault="008C407A" w:rsidP="008C407A">
      <w:pPr>
        <w:pStyle w:val="ppoHeading6"/>
        <w:rPr>
          <w:noProof/>
        </w:rPr>
      </w:pPr>
      <w:r w:rsidRPr="002F5B03">
        <w:rPr>
          <w:noProof/>
        </w:rPr>
        <w:t>Actions</w:t>
      </w:r>
    </w:p>
    <w:p w14:paraId="1966CD70" w14:textId="77777777" w:rsidR="008C407A" w:rsidRPr="002F5B03" w:rsidRDefault="008C407A" w:rsidP="008C407A">
      <w:pPr>
        <w:rPr>
          <w:noProof/>
        </w:rPr>
      </w:pPr>
      <w:r w:rsidRPr="002F5B03">
        <w:rPr>
          <w:noProof/>
        </w:rPr>
        <w:t>The ESF+ carries out a variety of interventions described in national and regional programmes, including vocational education and training, active labour market policies, building the capacity of public employment services, social inclusion activities, distribution of food and goods, etc. Under direct management, it supports experimentation, social entrepreneurship, fair labour mobility and evidence-based policymaking.</w:t>
      </w:r>
    </w:p>
    <w:p w14:paraId="17E40041" w14:textId="77777777" w:rsidR="008C407A" w:rsidRPr="002F5B03" w:rsidRDefault="008C407A" w:rsidP="008C407A">
      <w:pPr>
        <w:pStyle w:val="ppoHeading6"/>
        <w:rPr>
          <w:noProof/>
        </w:rPr>
      </w:pPr>
      <w:r w:rsidRPr="002F5B03">
        <w:rPr>
          <w:noProof/>
        </w:rPr>
        <w:t>Delivery mode</w:t>
      </w:r>
    </w:p>
    <w:p w14:paraId="20EA8ACB" w14:textId="77777777" w:rsidR="008C407A" w:rsidRPr="002F5B03" w:rsidRDefault="008C407A" w:rsidP="008C407A">
      <w:pPr>
        <w:rPr>
          <w:noProof/>
        </w:rPr>
      </w:pPr>
      <w:r w:rsidRPr="002F5B03">
        <w:rPr>
          <w:noProof/>
        </w:rPr>
        <w:t>The ESF+ is implemented under shared and direct management. The Directorate-General for Employment, Social Affairs and Inclusion is the lead DG for the Commission.</w:t>
      </w:r>
    </w:p>
    <w:p w14:paraId="60DB44AB" w14:textId="77777777" w:rsidR="008C407A" w:rsidRPr="002F5B03" w:rsidRDefault="008C407A" w:rsidP="008C407A">
      <w:pPr>
        <w:pStyle w:val="ppoHeading6"/>
        <w:rPr>
          <w:noProof/>
        </w:rPr>
      </w:pPr>
      <w:r w:rsidRPr="002F5B03">
        <w:rPr>
          <w:noProof/>
        </w:rPr>
        <w:t>LINK TO THE 2014-2020 multiannual financial framework</w:t>
      </w:r>
    </w:p>
    <w:p w14:paraId="56E6336E" w14:textId="77777777" w:rsidR="008C407A" w:rsidRPr="002F5B03" w:rsidRDefault="008C407A" w:rsidP="008C407A">
      <w:pPr>
        <w:rPr>
          <w:noProof/>
        </w:rPr>
      </w:pPr>
      <w:r w:rsidRPr="002F5B03">
        <w:rPr>
          <w:noProof/>
        </w:rPr>
        <w:t>The ESF+ merges several funds/programmes from the 2014-2020 multiannual financial framework, namely the European Social Fund (ESF), the Youth Employment Initiative, the Fund for European Aid to the Most Deprived (FEAD) and EaSI.</w:t>
      </w:r>
    </w:p>
    <w:p w14:paraId="584FDE99" w14:textId="77777777" w:rsidR="008C407A" w:rsidRPr="002F5B03" w:rsidRDefault="008C407A" w:rsidP="008C407A">
      <w:pPr>
        <w:pStyle w:val="ppoHeading6"/>
        <w:rPr>
          <w:noProof/>
        </w:rPr>
      </w:pPr>
      <w:r w:rsidRPr="002F5B03">
        <w:rPr>
          <w:noProof/>
        </w:rPr>
        <w:t>Impact assessment</w:t>
      </w:r>
    </w:p>
    <w:p w14:paraId="0B1B730B" w14:textId="77777777" w:rsidR="008C407A" w:rsidRPr="002F5B03" w:rsidRDefault="008C407A" w:rsidP="008C407A">
      <w:pPr>
        <w:rPr>
          <w:noProof/>
        </w:rPr>
      </w:pPr>
      <w:r w:rsidRPr="002F5B03">
        <w:rPr>
          <w:noProof/>
        </w:rPr>
        <w:t>The impact assessment of the ESF+ was carried out in 2018.</w:t>
      </w:r>
    </w:p>
    <w:p w14:paraId="37193035" w14:textId="77777777" w:rsidR="008C407A" w:rsidRPr="002F5B03" w:rsidRDefault="008C407A" w:rsidP="008C407A">
      <w:pPr>
        <w:rPr>
          <w:noProof/>
        </w:rPr>
      </w:pPr>
      <w:r w:rsidRPr="002F5B03">
        <w:rPr>
          <w:noProof/>
        </w:rPr>
        <w:t xml:space="preserve">For further information please consult: </w:t>
      </w:r>
      <w:hyperlink r:id="rId269" w:history="1">
        <w:r w:rsidRPr="002F5B03">
          <w:rPr>
            <w:rStyle w:val="Hyperlink"/>
            <w:noProof/>
          </w:rPr>
          <w:t>https://europa.eu/!uV97Jw</w:t>
        </w:r>
      </w:hyperlink>
    </w:p>
    <w:p w14:paraId="5C5B3878" w14:textId="77777777" w:rsidR="008C407A" w:rsidRPr="002F5B03" w:rsidRDefault="008C407A" w:rsidP="008C407A">
      <w:pPr>
        <w:pStyle w:val="ppoHeading6"/>
        <w:rPr>
          <w:noProof/>
        </w:rPr>
      </w:pPr>
      <w:r w:rsidRPr="002F5B03">
        <w:rPr>
          <w:noProof/>
        </w:rPr>
        <w:t>WEBSITE FOR more information</w:t>
      </w:r>
    </w:p>
    <w:p w14:paraId="32923DEB" w14:textId="77777777" w:rsidR="008C407A" w:rsidRPr="002F5B03" w:rsidRDefault="00E01E9B" w:rsidP="008C407A">
      <w:pPr>
        <w:rPr>
          <w:noProof/>
        </w:rPr>
      </w:pPr>
      <w:hyperlink r:id="rId270" w:history="1">
        <w:r w:rsidR="008C407A" w:rsidRPr="002F5B03">
          <w:rPr>
            <w:rStyle w:val="Hyperlink"/>
            <w:noProof/>
          </w:rPr>
          <w:t>https://europa.eu/!djQfMd</w:t>
        </w:r>
      </w:hyperlink>
    </w:p>
    <w:p w14:paraId="2F5E308C" w14:textId="77777777" w:rsidR="008C407A" w:rsidRPr="002F5B03" w:rsidRDefault="008C407A" w:rsidP="008C407A">
      <w:pPr>
        <w:pStyle w:val="ppoHeading5"/>
        <w:rPr>
          <w:noProof/>
        </w:rPr>
      </w:pPr>
      <w:r w:rsidRPr="002F5B03">
        <w:rPr>
          <w:rFonts w:eastAsiaTheme="minorEastAsia"/>
          <w:noProof/>
        </w:rPr>
        <w:t>Legal basis</w:t>
      </w:r>
    </w:p>
    <w:p w14:paraId="4B792BF9" w14:textId="77777777" w:rsidR="008C407A" w:rsidRPr="002F5B03" w:rsidRDefault="008C407A" w:rsidP="008C407A">
      <w:pPr>
        <w:rPr>
          <w:noProof/>
        </w:rPr>
      </w:pPr>
      <w:r w:rsidRPr="002F5B03">
        <w:rPr>
          <w:noProof/>
        </w:rPr>
        <w:t>Regulation (EU) 2021/1057 of the European Parliament and of the Council.</w:t>
      </w:r>
    </w:p>
    <w:p w14:paraId="0298C361" w14:textId="77777777" w:rsidR="008C407A" w:rsidRPr="002F5B03" w:rsidRDefault="008C407A" w:rsidP="008C407A">
      <w:pPr>
        <w:pStyle w:val="ppoHeading4Green"/>
        <w:rPr>
          <w:caps/>
          <w:noProof/>
        </w:rPr>
      </w:pPr>
      <w:r w:rsidRPr="002F5B03">
        <w:rPr>
          <w:noProof/>
        </w:rPr>
        <w:t>Implementation and performance</w:t>
      </w:r>
    </w:p>
    <w:p w14:paraId="398C2480" w14:textId="77777777" w:rsidR="008C407A" w:rsidRPr="002F5B03" w:rsidRDefault="008C407A" w:rsidP="008C407A">
      <w:pPr>
        <w:pStyle w:val="ppoHeading5"/>
        <w:rPr>
          <w:noProof/>
        </w:rPr>
      </w:pPr>
      <w:r w:rsidRPr="002F5B03">
        <w:rPr>
          <w:noProof/>
        </w:rPr>
        <w:t>Budget implementation</w:t>
      </w:r>
    </w:p>
    <w:p w14:paraId="5061082F" w14:textId="77777777" w:rsidR="008C407A" w:rsidRPr="002F5B03" w:rsidRDefault="008C407A" w:rsidP="008C407A">
      <w:pPr>
        <w:pStyle w:val="ppoTableTabletitle"/>
        <w:rPr>
          <w:noProof/>
        </w:rPr>
      </w:pPr>
      <w:r w:rsidRPr="002F5B03">
        <w:rPr>
          <w:noProof/>
        </w:rPr>
        <w:t>Budget programming of the ESF+ (million EUR):</w:t>
      </w:r>
    </w:p>
    <w:tbl>
      <w:tblPr>
        <w:tblStyle w:val="PPO2021"/>
        <w:tblW w:w="9639" w:type="dxa"/>
        <w:tblInd w:w="0" w:type="dxa"/>
        <w:tblLayout w:type="fixed"/>
        <w:tblLook w:val="0420" w:firstRow="1" w:lastRow="0" w:firstColumn="0" w:lastColumn="0" w:noHBand="0" w:noVBand="1"/>
      </w:tblPr>
      <w:tblGrid>
        <w:gridCol w:w="1981"/>
        <w:gridCol w:w="1052"/>
        <w:gridCol w:w="944"/>
        <w:gridCol w:w="943"/>
        <w:gridCol w:w="944"/>
        <w:gridCol w:w="944"/>
        <w:gridCol w:w="943"/>
        <w:gridCol w:w="944"/>
        <w:gridCol w:w="944"/>
      </w:tblGrid>
      <w:tr w:rsidR="008C407A" w:rsidRPr="002F5B03" w14:paraId="0D54DB9F" w14:textId="77777777" w:rsidTr="00B202C2">
        <w:trPr>
          <w:cnfStyle w:val="100000000000" w:firstRow="1" w:lastRow="0" w:firstColumn="0" w:lastColumn="0" w:oddVBand="0" w:evenVBand="0" w:oddHBand="0" w:evenHBand="0" w:firstRowFirstColumn="0" w:firstRowLastColumn="0" w:lastRowFirstColumn="0" w:lastRowLastColumn="0"/>
          <w:trHeight w:val="290"/>
          <w:tblHeader/>
        </w:trPr>
        <w:tc>
          <w:tcPr>
            <w:tcW w:w="1981" w:type="dxa"/>
            <w:noWrap/>
            <w:hideMark/>
          </w:tcPr>
          <w:p w14:paraId="3583E112" w14:textId="77777777" w:rsidR="008C407A" w:rsidRPr="002F5B03" w:rsidRDefault="008C407A" w:rsidP="00B202C2">
            <w:pPr>
              <w:rPr>
                <w:noProof/>
              </w:rPr>
            </w:pPr>
          </w:p>
        </w:tc>
        <w:tc>
          <w:tcPr>
            <w:tcW w:w="1052" w:type="dxa"/>
            <w:noWrap/>
            <w:hideMark/>
          </w:tcPr>
          <w:p w14:paraId="1F5E3BE5" w14:textId="77777777" w:rsidR="008C407A" w:rsidRPr="002F5B03" w:rsidRDefault="008C407A" w:rsidP="00B202C2">
            <w:pPr>
              <w:rPr>
                <w:noProof/>
              </w:rPr>
            </w:pPr>
            <w:r w:rsidRPr="002F5B03">
              <w:rPr>
                <w:noProof/>
              </w:rPr>
              <w:t>2021</w:t>
            </w:r>
          </w:p>
        </w:tc>
        <w:tc>
          <w:tcPr>
            <w:tcW w:w="944" w:type="dxa"/>
            <w:noWrap/>
            <w:hideMark/>
          </w:tcPr>
          <w:p w14:paraId="7D2C772F" w14:textId="77777777" w:rsidR="008C407A" w:rsidRPr="002F5B03" w:rsidRDefault="008C407A" w:rsidP="00B202C2">
            <w:pPr>
              <w:rPr>
                <w:noProof/>
              </w:rPr>
            </w:pPr>
            <w:r w:rsidRPr="002F5B03">
              <w:rPr>
                <w:noProof/>
              </w:rPr>
              <w:t>2022</w:t>
            </w:r>
          </w:p>
        </w:tc>
        <w:tc>
          <w:tcPr>
            <w:tcW w:w="943" w:type="dxa"/>
            <w:noWrap/>
            <w:hideMark/>
          </w:tcPr>
          <w:p w14:paraId="2DE552B7" w14:textId="77777777" w:rsidR="008C407A" w:rsidRPr="002F5B03" w:rsidRDefault="008C407A" w:rsidP="00B202C2">
            <w:pPr>
              <w:rPr>
                <w:noProof/>
              </w:rPr>
            </w:pPr>
            <w:r w:rsidRPr="002F5B03">
              <w:rPr>
                <w:noProof/>
              </w:rPr>
              <w:t>2023</w:t>
            </w:r>
          </w:p>
        </w:tc>
        <w:tc>
          <w:tcPr>
            <w:tcW w:w="944" w:type="dxa"/>
            <w:noWrap/>
            <w:hideMark/>
          </w:tcPr>
          <w:p w14:paraId="51A30E12" w14:textId="77777777" w:rsidR="008C407A" w:rsidRPr="002F5B03" w:rsidRDefault="008C407A" w:rsidP="00B202C2">
            <w:pPr>
              <w:rPr>
                <w:noProof/>
              </w:rPr>
            </w:pPr>
            <w:r w:rsidRPr="002F5B03">
              <w:rPr>
                <w:noProof/>
              </w:rPr>
              <w:t>2024</w:t>
            </w:r>
          </w:p>
        </w:tc>
        <w:tc>
          <w:tcPr>
            <w:tcW w:w="944" w:type="dxa"/>
            <w:noWrap/>
            <w:hideMark/>
          </w:tcPr>
          <w:p w14:paraId="775FAF56" w14:textId="77777777" w:rsidR="008C407A" w:rsidRPr="002F5B03" w:rsidRDefault="008C407A" w:rsidP="00B202C2">
            <w:pPr>
              <w:rPr>
                <w:noProof/>
              </w:rPr>
            </w:pPr>
            <w:r w:rsidRPr="002F5B03">
              <w:rPr>
                <w:noProof/>
              </w:rPr>
              <w:t>2025</w:t>
            </w:r>
          </w:p>
        </w:tc>
        <w:tc>
          <w:tcPr>
            <w:tcW w:w="943" w:type="dxa"/>
            <w:noWrap/>
            <w:hideMark/>
          </w:tcPr>
          <w:p w14:paraId="2CD67E8A" w14:textId="77777777" w:rsidR="008C407A" w:rsidRPr="002F5B03" w:rsidRDefault="008C407A" w:rsidP="00B202C2">
            <w:pPr>
              <w:rPr>
                <w:noProof/>
              </w:rPr>
            </w:pPr>
            <w:r w:rsidRPr="002F5B03">
              <w:rPr>
                <w:noProof/>
              </w:rPr>
              <w:t>2026</w:t>
            </w:r>
          </w:p>
        </w:tc>
        <w:tc>
          <w:tcPr>
            <w:tcW w:w="944" w:type="dxa"/>
            <w:noWrap/>
            <w:hideMark/>
          </w:tcPr>
          <w:p w14:paraId="3BC13732" w14:textId="77777777" w:rsidR="008C407A" w:rsidRPr="002F5B03" w:rsidRDefault="008C407A" w:rsidP="00B202C2">
            <w:pPr>
              <w:rPr>
                <w:noProof/>
              </w:rPr>
            </w:pPr>
            <w:r w:rsidRPr="002F5B03">
              <w:rPr>
                <w:noProof/>
              </w:rPr>
              <w:t>2027</w:t>
            </w:r>
          </w:p>
        </w:tc>
        <w:tc>
          <w:tcPr>
            <w:tcW w:w="944" w:type="dxa"/>
            <w:noWrap/>
            <w:hideMark/>
          </w:tcPr>
          <w:p w14:paraId="7E6F4271" w14:textId="77777777" w:rsidR="008C407A" w:rsidRPr="002F5B03" w:rsidRDefault="008C407A" w:rsidP="00B202C2">
            <w:pPr>
              <w:rPr>
                <w:noProof/>
              </w:rPr>
            </w:pPr>
            <w:r w:rsidRPr="002F5B03">
              <w:rPr>
                <w:noProof/>
              </w:rPr>
              <w:t>Total</w:t>
            </w:r>
          </w:p>
        </w:tc>
      </w:tr>
      <w:tr w:rsidR="008C407A" w:rsidRPr="002F5B03" w14:paraId="28D22EDB" w14:textId="77777777" w:rsidTr="00304A2B">
        <w:trPr>
          <w:cnfStyle w:val="000000100000" w:firstRow="0" w:lastRow="0" w:firstColumn="0" w:lastColumn="0" w:oddVBand="0" w:evenVBand="0" w:oddHBand="1" w:evenHBand="0" w:firstRowFirstColumn="0" w:firstRowLastColumn="0" w:lastRowFirstColumn="0" w:lastRowLastColumn="0"/>
          <w:trHeight w:val="290"/>
        </w:trPr>
        <w:tc>
          <w:tcPr>
            <w:tcW w:w="1981" w:type="dxa"/>
            <w:noWrap/>
            <w:hideMark/>
          </w:tcPr>
          <w:p w14:paraId="0B7A0BE7" w14:textId="77777777" w:rsidR="008C407A" w:rsidRPr="002F5B03" w:rsidRDefault="008C407A" w:rsidP="00B202C2">
            <w:pPr>
              <w:rPr>
                <w:noProof/>
              </w:rPr>
            </w:pPr>
            <w:r w:rsidRPr="002F5B03">
              <w:rPr>
                <w:noProof/>
              </w:rPr>
              <w:t>Financial programming (*)</w:t>
            </w:r>
          </w:p>
        </w:tc>
        <w:tc>
          <w:tcPr>
            <w:tcW w:w="1052" w:type="dxa"/>
            <w:noWrap/>
            <w:vAlign w:val="bottom"/>
            <w:hideMark/>
          </w:tcPr>
          <w:p w14:paraId="642745AD" w14:textId="627CC89C" w:rsidR="008C407A" w:rsidRPr="002F5B03" w:rsidRDefault="008C407A" w:rsidP="00B202C2">
            <w:pPr>
              <w:jc w:val="center"/>
              <w:rPr>
                <w:noProof/>
              </w:rPr>
            </w:pPr>
            <w:r>
              <w:rPr>
                <w:rFonts w:ascii="Calibri" w:hAnsi="Calibri" w:cs="Calibri"/>
                <w:noProof/>
                <w:color w:val="000000"/>
              </w:rPr>
              <w:t>174.0</w:t>
            </w:r>
          </w:p>
        </w:tc>
        <w:tc>
          <w:tcPr>
            <w:tcW w:w="944" w:type="dxa"/>
            <w:noWrap/>
            <w:vAlign w:val="bottom"/>
            <w:hideMark/>
          </w:tcPr>
          <w:p w14:paraId="51A8F6DB" w14:textId="02C9B9C2" w:rsidR="008C407A" w:rsidRPr="002F5B03" w:rsidRDefault="008C407A" w:rsidP="00B202C2">
            <w:pPr>
              <w:jc w:val="center"/>
              <w:rPr>
                <w:noProof/>
              </w:rPr>
            </w:pPr>
            <w:r>
              <w:rPr>
                <w:rFonts w:ascii="Calibri" w:hAnsi="Calibri" w:cs="Calibri"/>
                <w:noProof/>
                <w:color w:val="000000"/>
              </w:rPr>
              <w:t>16 455.8</w:t>
            </w:r>
          </w:p>
        </w:tc>
        <w:tc>
          <w:tcPr>
            <w:tcW w:w="943" w:type="dxa"/>
            <w:noWrap/>
            <w:vAlign w:val="bottom"/>
            <w:hideMark/>
          </w:tcPr>
          <w:p w14:paraId="5A1316CF" w14:textId="7B73357D" w:rsidR="008C407A" w:rsidRPr="002F5B03" w:rsidRDefault="008C407A" w:rsidP="00B202C2">
            <w:pPr>
              <w:jc w:val="center"/>
              <w:rPr>
                <w:noProof/>
              </w:rPr>
            </w:pPr>
            <w:r>
              <w:rPr>
                <w:rFonts w:ascii="Calibri" w:hAnsi="Calibri" w:cs="Calibri"/>
                <w:noProof/>
                <w:color w:val="000000"/>
              </w:rPr>
              <w:t>16 819.0</w:t>
            </w:r>
          </w:p>
        </w:tc>
        <w:tc>
          <w:tcPr>
            <w:tcW w:w="944" w:type="dxa"/>
            <w:noWrap/>
            <w:vAlign w:val="bottom"/>
            <w:hideMark/>
          </w:tcPr>
          <w:p w14:paraId="295EE894" w14:textId="381BAF5B" w:rsidR="008C407A" w:rsidRPr="002F5B03" w:rsidRDefault="008C407A" w:rsidP="00B202C2">
            <w:pPr>
              <w:jc w:val="center"/>
              <w:rPr>
                <w:noProof/>
              </w:rPr>
            </w:pPr>
            <w:r>
              <w:rPr>
                <w:rFonts w:ascii="Calibri" w:hAnsi="Calibri" w:cs="Calibri"/>
                <w:noProof/>
                <w:color w:val="000000"/>
              </w:rPr>
              <w:t>17 280.7</w:t>
            </w:r>
          </w:p>
        </w:tc>
        <w:tc>
          <w:tcPr>
            <w:tcW w:w="944" w:type="dxa"/>
            <w:noWrap/>
            <w:vAlign w:val="bottom"/>
            <w:hideMark/>
          </w:tcPr>
          <w:p w14:paraId="390D4664" w14:textId="7AFFCD25" w:rsidR="008C407A" w:rsidRPr="002F5B03" w:rsidRDefault="008C407A" w:rsidP="00B202C2">
            <w:pPr>
              <w:jc w:val="center"/>
              <w:rPr>
                <w:noProof/>
              </w:rPr>
            </w:pPr>
            <w:r>
              <w:rPr>
                <w:rFonts w:ascii="Calibri" w:hAnsi="Calibri" w:cs="Calibri"/>
                <w:noProof/>
                <w:color w:val="000000"/>
              </w:rPr>
              <w:t>17 727.9</w:t>
            </w:r>
          </w:p>
        </w:tc>
        <w:tc>
          <w:tcPr>
            <w:tcW w:w="943" w:type="dxa"/>
            <w:noWrap/>
            <w:vAlign w:val="bottom"/>
            <w:hideMark/>
          </w:tcPr>
          <w:p w14:paraId="4D522EE3" w14:textId="69E70192" w:rsidR="008C407A" w:rsidRPr="002F5B03" w:rsidRDefault="008C407A" w:rsidP="00B202C2">
            <w:pPr>
              <w:jc w:val="center"/>
              <w:rPr>
                <w:noProof/>
              </w:rPr>
            </w:pPr>
            <w:r>
              <w:rPr>
                <w:rFonts w:ascii="Calibri" w:hAnsi="Calibri" w:cs="Calibri"/>
                <w:noProof/>
                <w:color w:val="000000"/>
              </w:rPr>
              <w:t>15 012.6</w:t>
            </w:r>
          </w:p>
        </w:tc>
        <w:tc>
          <w:tcPr>
            <w:tcW w:w="944" w:type="dxa"/>
            <w:noWrap/>
            <w:vAlign w:val="bottom"/>
            <w:hideMark/>
          </w:tcPr>
          <w:p w14:paraId="64DD9C05" w14:textId="26D9B3ED" w:rsidR="008C407A" w:rsidRPr="002F5B03" w:rsidRDefault="008C407A" w:rsidP="00B202C2">
            <w:pPr>
              <w:jc w:val="center"/>
              <w:rPr>
                <w:noProof/>
              </w:rPr>
            </w:pPr>
            <w:r>
              <w:rPr>
                <w:rFonts w:ascii="Calibri" w:hAnsi="Calibri" w:cs="Calibri"/>
                <w:noProof/>
                <w:color w:val="000000"/>
              </w:rPr>
              <w:t>15 487.9</w:t>
            </w:r>
          </w:p>
        </w:tc>
        <w:tc>
          <w:tcPr>
            <w:tcW w:w="944" w:type="dxa"/>
            <w:noWrap/>
            <w:vAlign w:val="bottom"/>
            <w:hideMark/>
          </w:tcPr>
          <w:p w14:paraId="24B758B0" w14:textId="7A77341E" w:rsidR="008C407A" w:rsidRPr="002F5B03" w:rsidRDefault="008C407A" w:rsidP="00B202C2">
            <w:pPr>
              <w:jc w:val="center"/>
              <w:rPr>
                <w:noProof/>
              </w:rPr>
            </w:pPr>
            <w:r>
              <w:rPr>
                <w:rFonts w:ascii="Calibri" w:hAnsi="Calibri" w:cs="Calibri"/>
                <w:noProof/>
                <w:color w:val="000000"/>
              </w:rPr>
              <w:t>98 957.9</w:t>
            </w:r>
          </w:p>
        </w:tc>
      </w:tr>
      <w:tr w:rsidR="008C407A" w:rsidRPr="002F5B03" w14:paraId="766F0B37" w14:textId="77777777" w:rsidTr="00B202C2">
        <w:trPr>
          <w:cnfStyle w:val="000000010000" w:firstRow="0" w:lastRow="0" w:firstColumn="0" w:lastColumn="0" w:oddVBand="0" w:evenVBand="0" w:oddHBand="0" w:evenHBand="1" w:firstRowFirstColumn="0" w:firstRowLastColumn="0" w:lastRowFirstColumn="0" w:lastRowLastColumn="0"/>
          <w:trHeight w:val="290"/>
        </w:trPr>
        <w:tc>
          <w:tcPr>
            <w:tcW w:w="1981" w:type="dxa"/>
            <w:noWrap/>
            <w:hideMark/>
          </w:tcPr>
          <w:p w14:paraId="225C5603" w14:textId="77777777" w:rsidR="008C407A" w:rsidRPr="002F5B03" w:rsidRDefault="008C407A" w:rsidP="00B202C2">
            <w:pPr>
              <w:rPr>
                <w:noProof/>
              </w:rPr>
            </w:pPr>
            <w:r w:rsidRPr="002F5B03">
              <w:rPr>
                <w:noProof/>
              </w:rPr>
              <w:t>NextGenerationEU</w:t>
            </w:r>
          </w:p>
        </w:tc>
        <w:tc>
          <w:tcPr>
            <w:tcW w:w="1052" w:type="dxa"/>
            <w:noWrap/>
            <w:hideMark/>
          </w:tcPr>
          <w:p w14:paraId="4B5C6B62" w14:textId="46911F08" w:rsidR="008C407A" w:rsidRPr="002F5B03" w:rsidRDefault="008C407A" w:rsidP="00B202C2">
            <w:pPr>
              <w:jc w:val="center"/>
              <w:rPr>
                <w:noProof/>
              </w:rPr>
            </w:pPr>
          </w:p>
        </w:tc>
        <w:tc>
          <w:tcPr>
            <w:tcW w:w="944" w:type="dxa"/>
            <w:noWrap/>
            <w:hideMark/>
          </w:tcPr>
          <w:p w14:paraId="33907494" w14:textId="37715FF9" w:rsidR="008C407A" w:rsidRPr="002F5B03" w:rsidRDefault="008C407A" w:rsidP="00B202C2">
            <w:pPr>
              <w:jc w:val="center"/>
              <w:rPr>
                <w:noProof/>
              </w:rPr>
            </w:pPr>
          </w:p>
        </w:tc>
        <w:tc>
          <w:tcPr>
            <w:tcW w:w="943" w:type="dxa"/>
            <w:noWrap/>
            <w:hideMark/>
          </w:tcPr>
          <w:p w14:paraId="47D533C6" w14:textId="77777777" w:rsidR="008C407A" w:rsidRPr="002F5B03" w:rsidRDefault="008C407A" w:rsidP="00B202C2">
            <w:pPr>
              <w:jc w:val="center"/>
              <w:rPr>
                <w:noProof/>
              </w:rPr>
            </w:pPr>
          </w:p>
        </w:tc>
        <w:tc>
          <w:tcPr>
            <w:tcW w:w="944" w:type="dxa"/>
            <w:noWrap/>
            <w:hideMark/>
          </w:tcPr>
          <w:p w14:paraId="592FFCE2" w14:textId="77777777" w:rsidR="008C407A" w:rsidRPr="002F5B03" w:rsidRDefault="008C407A" w:rsidP="00B202C2">
            <w:pPr>
              <w:jc w:val="center"/>
              <w:rPr>
                <w:noProof/>
              </w:rPr>
            </w:pPr>
          </w:p>
        </w:tc>
        <w:tc>
          <w:tcPr>
            <w:tcW w:w="944" w:type="dxa"/>
            <w:noWrap/>
            <w:hideMark/>
          </w:tcPr>
          <w:p w14:paraId="21054EA8" w14:textId="77777777" w:rsidR="008C407A" w:rsidRPr="002F5B03" w:rsidRDefault="008C407A" w:rsidP="00B202C2">
            <w:pPr>
              <w:jc w:val="center"/>
              <w:rPr>
                <w:noProof/>
              </w:rPr>
            </w:pPr>
          </w:p>
        </w:tc>
        <w:tc>
          <w:tcPr>
            <w:tcW w:w="943" w:type="dxa"/>
            <w:noWrap/>
            <w:hideMark/>
          </w:tcPr>
          <w:p w14:paraId="63A753BA" w14:textId="77777777" w:rsidR="008C407A" w:rsidRPr="002F5B03" w:rsidRDefault="008C407A" w:rsidP="00B202C2">
            <w:pPr>
              <w:jc w:val="center"/>
              <w:rPr>
                <w:noProof/>
              </w:rPr>
            </w:pPr>
          </w:p>
        </w:tc>
        <w:tc>
          <w:tcPr>
            <w:tcW w:w="944" w:type="dxa"/>
            <w:noWrap/>
            <w:hideMark/>
          </w:tcPr>
          <w:p w14:paraId="2543F877" w14:textId="77777777" w:rsidR="008C407A" w:rsidRPr="002F5B03" w:rsidRDefault="008C407A" w:rsidP="00B202C2">
            <w:pPr>
              <w:jc w:val="center"/>
              <w:rPr>
                <w:noProof/>
              </w:rPr>
            </w:pPr>
          </w:p>
        </w:tc>
        <w:tc>
          <w:tcPr>
            <w:tcW w:w="944" w:type="dxa"/>
            <w:noWrap/>
            <w:hideMark/>
          </w:tcPr>
          <w:p w14:paraId="3B9FA44E" w14:textId="755D0C20" w:rsidR="008C407A" w:rsidRPr="002F5B03" w:rsidRDefault="008C407A" w:rsidP="00B202C2">
            <w:pPr>
              <w:jc w:val="center"/>
              <w:rPr>
                <w:noProof/>
              </w:rPr>
            </w:pPr>
          </w:p>
        </w:tc>
      </w:tr>
      <w:tr w:rsidR="008C407A" w:rsidRPr="002F5B03" w14:paraId="142A669A" w14:textId="77777777" w:rsidTr="00B202C2">
        <w:trPr>
          <w:cnfStyle w:val="000000100000" w:firstRow="0" w:lastRow="0" w:firstColumn="0" w:lastColumn="0" w:oddVBand="0" w:evenVBand="0" w:oddHBand="1" w:evenHBand="0" w:firstRowFirstColumn="0" w:firstRowLastColumn="0" w:lastRowFirstColumn="0" w:lastRowLastColumn="0"/>
          <w:trHeight w:val="290"/>
        </w:trPr>
        <w:tc>
          <w:tcPr>
            <w:tcW w:w="1981" w:type="dxa"/>
            <w:noWrap/>
            <w:hideMark/>
          </w:tcPr>
          <w:p w14:paraId="1D0E36BE" w14:textId="77777777" w:rsidR="008C407A" w:rsidRPr="002F5B03" w:rsidRDefault="008C407A" w:rsidP="00B202C2">
            <w:pPr>
              <w:rPr>
                <w:noProof/>
              </w:rPr>
            </w:pPr>
            <w:r w:rsidRPr="002F5B03">
              <w:rPr>
                <w:noProof/>
              </w:rPr>
              <w:t>Decommitments made available again (*)</w:t>
            </w:r>
          </w:p>
        </w:tc>
        <w:tc>
          <w:tcPr>
            <w:tcW w:w="1052" w:type="dxa"/>
            <w:noWrap/>
          </w:tcPr>
          <w:p w14:paraId="4556D0F1" w14:textId="77777777" w:rsidR="008C407A" w:rsidRPr="002F5B03" w:rsidRDefault="008C407A" w:rsidP="00B202C2">
            <w:pPr>
              <w:jc w:val="center"/>
              <w:rPr>
                <w:noProof/>
              </w:rPr>
            </w:pPr>
            <w:r>
              <w:rPr>
                <w:noProof/>
              </w:rPr>
              <w:t>N/A</w:t>
            </w:r>
          </w:p>
        </w:tc>
        <w:tc>
          <w:tcPr>
            <w:tcW w:w="944" w:type="dxa"/>
            <w:noWrap/>
          </w:tcPr>
          <w:p w14:paraId="2E9A970D" w14:textId="77777777" w:rsidR="008C407A" w:rsidRPr="002F5B03" w:rsidRDefault="008C407A" w:rsidP="00B202C2">
            <w:pPr>
              <w:jc w:val="center"/>
              <w:rPr>
                <w:noProof/>
              </w:rPr>
            </w:pPr>
          </w:p>
        </w:tc>
        <w:tc>
          <w:tcPr>
            <w:tcW w:w="943" w:type="dxa"/>
            <w:noWrap/>
          </w:tcPr>
          <w:p w14:paraId="7BA19DF8" w14:textId="77777777" w:rsidR="008C407A" w:rsidRPr="002F5B03" w:rsidRDefault="008C407A" w:rsidP="00B202C2">
            <w:pPr>
              <w:jc w:val="center"/>
              <w:rPr>
                <w:noProof/>
              </w:rPr>
            </w:pPr>
          </w:p>
        </w:tc>
        <w:tc>
          <w:tcPr>
            <w:tcW w:w="944" w:type="dxa"/>
            <w:noWrap/>
          </w:tcPr>
          <w:p w14:paraId="0236218B" w14:textId="77777777" w:rsidR="008C407A" w:rsidRPr="002F5B03" w:rsidRDefault="008C407A" w:rsidP="00B202C2">
            <w:pPr>
              <w:jc w:val="center"/>
              <w:rPr>
                <w:noProof/>
              </w:rPr>
            </w:pPr>
          </w:p>
        </w:tc>
        <w:tc>
          <w:tcPr>
            <w:tcW w:w="944" w:type="dxa"/>
            <w:noWrap/>
          </w:tcPr>
          <w:p w14:paraId="71B17B14" w14:textId="77777777" w:rsidR="008C407A" w:rsidRPr="002F5B03" w:rsidRDefault="008C407A" w:rsidP="00B202C2">
            <w:pPr>
              <w:jc w:val="center"/>
              <w:rPr>
                <w:noProof/>
              </w:rPr>
            </w:pPr>
          </w:p>
        </w:tc>
        <w:tc>
          <w:tcPr>
            <w:tcW w:w="943" w:type="dxa"/>
            <w:noWrap/>
          </w:tcPr>
          <w:p w14:paraId="40CBA734" w14:textId="77777777" w:rsidR="008C407A" w:rsidRPr="002F5B03" w:rsidRDefault="008C407A" w:rsidP="00B202C2">
            <w:pPr>
              <w:jc w:val="center"/>
              <w:rPr>
                <w:noProof/>
              </w:rPr>
            </w:pPr>
          </w:p>
        </w:tc>
        <w:tc>
          <w:tcPr>
            <w:tcW w:w="944" w:type="dxa"/>
            <w:noWrap/>
          </w:tcPr>
          <w:p w14:paraId="5FDA46E3" w14:textId="77777777" w:rsidR="008C407A" w:rsidRPr="002F5B03" w:rsidRDefault="008C407A" w:rsidP="00B202C2">
            <w:pPr>
              <w:jc w:val="center"/>
              <w:rPr>
                <w:noProof/>
              </w:rPr>
            </w:pPr>
          </w:p>
        </w:tc>
        <w:tc>
          <w:tcPr>
            <w:tcW w:w="944" w:type="dxa"/>
            <w:noWrap/>
          </w:tcPr>
          <w:p w14:paraId="53DE59DD" w14:textId="77777777" w:rsidR="008C407A" w:rsidRPr="002F5B03" w:rsidRDefault="008C407A" w:rsidP="00B202C2">
            <w:pPr>
              <w:jc w:val="center"/>
              <w:rPr>
                <w:noProof/>
              </w:rPr>
            </w:pPr>
            <w:r>
              <w:rPr>
                <w:noProof/>
              </w:rPr>
              <w:t>N/A</w:t>
            </w:r>
          </w:p>
        </w:tc>
      </w:tr>
      <w:tr w:rsidR="008C407A" w:rsidRPr="002F5B03" w14:paraId="046762ED" w14:textId="77777777" w:rsidTr="00B202C2">
        <w:trPr>
          <w:cnfStyle w:val="000000010000" w:firstRow="0" w:lastRow="0" w:firstColumn="0" w:lastColumn="0" w:oddVBand="0" w:evenVBand="0" w:oddHBand="0" w:evenHBand="1" w:firstRowFirstColumn="0" w:firstRowLastColumn="0" w:lastRowFirstColumn="0" w:lastRowLastColumn="0"/>
          <w:trHeight w:val="290"/>
        </w:trPr>
        <w:tc>
          <w:tcPr>
            <w:tcW w:w="1981" w:type="dxa"/>
            <w:noWrap/>
            <w:hideMark/>
          </w:tcPr>
          <w:p w14:paraId="39AEEA54" w14:textId="77777777" w:rsidR="008C407A" w:rsidRPr="002F5B03" w:rsidRDefault="008C407A" w:rsidP="00B202C2">
            <w:pPr>
              <w:rPr>
                <w:noProof/>
              </w:rPr>
            </w:pPr>
            <w:r w:rsidRPr="002F5B03">
              <w:rPr>
                <w:noProof/>
              </w:rPr>
              <w:t>Contributions from other countries and entities</w:t>
            </w:r>
          </w:p>
        </w:tc>
        <w:tc>
          <w:tcPr>
            <w:tcW w:w="1052" w:type="dxa"/>
            <w:noWrap/>
            <w:hideMark/>
          </w:tcPr>
          <w:p w14:paraId="06605DD4" w14:textId="77777777" w:rsidR="008C407A" w:rsidRPr="002F5B03" w:rsidRDefault="008C407A" w:rsidP="00B202C2">
            <w:pPr>
              <w:jc w:val="center"/>
              <w:rPr>
                <w:noProof/>
              </w:rPr>
            </w:pPr>
            <w:r w:rsidRPr="002F5B03">
              <w:rPr>
                <w:noProof/>
              </w:rPr>
              <w:t>2.7</w:t>
            </w:r>
          </w:p>
        </w:tc>
        <w:tc>
          <w:tcPr>
            <w:tcW w:w="944" w:type="dxa"/>
            <w:noWrap/>
            <w:hideMark/>
          </w:tcPr>
          <w:p w14:paraId="39FC422B" w14:textId="77777777" w:rsidR="008C407A" w:rsidRPr="002F5B03" w:rsidRDefault="008C407A" w:rsidP="00B202C2">
            <w:pPr>
              <w:jc w:val="center"/>
              <w:rPr>
                <w:noProof/>
              </w:rPr>
            </w:pPr>
            <w:r>
              <w:rPr>
                <w:noProof/>
              </w:rPr>
              <w:t>p.m.</w:t>
            </w:r>
          </w:p>
        </w:tc>
        <w:tc>
          <w:tcPr>
            <w:tcW w:w="943" w:type="dxa"/>
            <w:noWrap/>
            <w:hideMark/>
          </w:tcPr>
          <w:p w14:paraId="1D832F49" w14:textId="77777777" w:rsidR="008C407A" w:rsidRPr="002F5B03" w:rsidRDefault="008C407A" w:rsidP="00B202C2">
            <w:pPr>
              <w:jc w:val="center"/>
              <w:rPr>
                <w:noProof/>
              </w:rPr>
            </w:pPr>
            <w:r>
              <w:rPr>
                <w:noProof/>
              </w:rPr>
              <w:t>p.m.</w:t>
            </w:r>
          </w:p>
        </w:tc>
        <w:tc>
          <w:tcPr>
            <w:tcW w:w="944" w:type="dxa"/>
            <w:noWrap/>
            <w:hideMark/>
          </w:tcPr>
          <w:p w14:paraId="4CB9B7D2" w14:textId="77777777" w:rsidR="008C407A" w:rsidRPr="002F5B03" w:rsidRDefault="008C407A" w:rsidP="00B202C2">
            <w:pPr>
              <w:jc w:val="center"/>
              <w:rPr>
                <w:noProof/>
              </w:rPr>
            </w:pPr>
            <w:r>
              <w:rPr>
                <w:noProof/>
              </w:rPr>
              <w:t>p.m.</w:t>
            </w:r>
          </w:p>
        </w:tc>
        <w:tc>
          <w:tcPr>
            <w:tcW w:w="944" w:type="dxa"/>
            <w:noWrap/>
            <w:hideMark/>
          </w:tcPr>
          <w:p w14:paraId="0BCDC4E4" w14:textId="77777777" w:rsidR="008C407A" w:rsidRPr="002F5B03" w:rsidRDefault="008C407A" w:rsidP="00B202C2">
            <w:pPr>
              <w:jc w:val="center"/>
              <w:rPr>
                <w:noProof/>
              </w:rPr>
            </w:pPr>
            <w:r>
              <w:rPr>
                <w:noProof/>
              </w:rPr>
              <w:t>p.m.</w:t>
            </w:r>
          </w:p>
        </w:tc>
        <w:tc>
          <w:tcPr>
            <w:tcW w:w="943" w:type="dxa"/>
            <w:noWrap/>
            <w:hideMark/>
          </w:tcPr>
          <w:p w14:paraId="70070AE2" w14:textId="77777777" w:rsidR="008C407A" w:rsidRPr="002F5B03" w:rsidRDefault="008C407A" w:rsidP="00B202C2">
            <w:pPr>
              <w:jc w:val="center"/>
              <w:rPr>
                <w:noProof/>
              </w:rPr>
            </w:pPr>
            <w:r>
              <w:rPr>
                <w:noProof/>
              </w:rPr>
              <w:t>p.m.</w:t>
            </w:r>
          </w:p>
        </w:tc>
        <w:tc>
          <w:tcPr>
            <w:tcW w:w="944" w:type="dxa"/>
            <w:noWrap/>
            <w:hideMark/>
          </w:tcPr>
          <w:p w14:paraId="593978CF" w14:textId="77777777" w:rsidR="008C407A" w:rsidRPr="002F5B03" w:rsidRDefault="008C407A" w:rsidP="00B202C2">
            <w:pPr>
              <w:jc w:val="center"/>
              <w:rPr>
                <w:noProof/>
              </w:rPr>
            </w:pPr>
            <w:r>
              <w:rPr>
                <w:noProof/>
              </w:rPr>
              <w:t>p.m.</w:t>
            </w:r>
          </w:p>
        </w:tc>
        <w:tc>
          <w:tcPr>
            <w:tcW w:w="944" w:type="dxa"/>
            <w:noWrap/>
            <w:hideMark/>
          </w:tcPr>
          <w:p w14:paraId="0CDC8F05" w14:textId="77777777" w:rsidR="008C407A" w:rsidRPr="002F5B03" w:rsidRDefault="008C407A" w:rsidP="00B202C2">
            <w:pPr>
              <w:jc w:val="center"/>
              <w:rPr>
                <w:noProof/>
              </w:rPr>
            </w:pPr>
            <w:r w:rsidRPr="002F5B03">
              <w:rPr>
                <w:noProof/>
              </w:rPr>
              <w:t>2.7</w:t>
            </w:r>
          </w:p>
        </w:tc>
      </w:tr>
      <w:tr w:rsidR="008C407A" w:rsidRPr="002F5B03" w14:paraId="58B6CB9F" w14:textId="77777777" w:rsidTr="00304A2B">
        <w:trPr>
          <w:cnfStyle w:val="000000100000" w:firstRow="0" w:lastRow="0" w:firstColumn="0" w:lastColumn="0" w:oddVBand="0" w:evenVBand="0" w:oddHBand="1" w:evenHBand="0" w:firstRowFirstColumn="0" w:firstRowLastColumn="0" w:lastRowFirstColumn="0" w:lastRowLastColumn="0"/>
          <w:trHeight w:val="290"/>
        </w:trPr>
        <w:tc>
          <w:tcPr>
            <w:tcW w:w="1981" w:type="dxa"/>
            <w:noWrap/>
            <w:vAlign w:val="bottom"/>
          </w:tcPr>
          <w:p w14:paraId="0D4AC2BE" w14:textId="77777777" w:rsidR="008C407A" w:rsidRPr="002F5B03" w:rsidRDefault="008C407A" w:rsidP="00B202C2">
            <w:pPr>
              <w:rPr>
                <w:noProof/>
              </w:rPr>
            </w:pPr>
            <w:r>
              <w:rPr>
                <w:rFonts w:ascii="Calibri" w:hAnsi="Calibri" w:cs="Calibri"/>
                <w:b/>
                <w:bCs/>
                <w:noProof/>
                <w:color w:val="000000"/>
              </w:rPr>
              <w:t>Total</w:t>
            </w:r>
          </w:p>
        </w:tc>
        <w:tc>
          <w:tcPr>
            <w:tcW w:w="1052" w:type="dxa"/>
            <w:noWrap/>
            <w:vAlign w:val="bottom"/>
          </w:tcPr>
          <w:p w14:paraId="081D9FAF" w14:textId="77777777" w:rsidR="008C407A" w:rsidRDefault="008C407A" w:rsidP="00B202C2">
            <w:pPr>
              <w:jc w:val="center"/>
              <w:rPr>
                <w:rFonts w:ascii="Calibri" w:hAnsi="Calibri" w:cs="Calibri"/>
                <w:noProof/>
                <w:color w:val="000000"/>
              </w:rPr>
            </w:pPr>
            <w:r>
              <w:rPr>
                <w:rFonts w:ascii="Calibri" w:hAnsi="Calibri" w:cs="Calibri"/>
                <w:noProof/>
                <w:color w:val="000000"/>
              </w:rPr>
              <w:t>176.7</w:t>
            </w:r>
          </w:p>
          <w:p w14:paraId="7383B9F0" w14:textId="77777777" w:rsidR="008C407A" w:rsidRPr="002F5B03" w:rsidRDefault="008C407A" w:rsidP="00B202C2">
            <w:pPr>
              <w:jc w:val="center"/>
              <w:rPr>
                <w:noProof/>
              </w:rPr>
            </w:pPr>
          </w:p>
        </w:tc>
        <w:tc>
          <w:tcPr>
            <w:tcW w:w="944" w:type="dxa"/>
            <w:noWrap/>
            <w:vAlign w:val="bottom"/>
          </w:tcPr>
          <w:p w14:paraId="1F812353" w14:textId="77777777" w:rsidR="008C407A" w:rsidRDefault="008C407A" w:rsidP="00B202C2">
            <w:pPr>
              <w:jc w:val="center"/>
              <w:rPr>
                <w:noProof/>
              </w:rPr>
            </w:pPr>
            <w:r>
              <w:rPr>
                <w:rFonts w:ascii="Calibri" w:hAnsi="Calibri" w:cs="Calibri"/>
                <w:noProof/>
                <w:color w:val="000000"/>
              </w:rPr>
              <w:t>16 455.8</w:t>
            </w:r>
          </w:p>
        </w:tc>
        <w:tc>
          <w:tcPr>
            <w:tcW w:w="943" w:type="dxa"/>
            <w:noWrap/>
            <w:vAlign w:val="bottom"/>
          </w:tcPr>
          <w:p w14:paraId="3834F9CD" w14:textId="77777777" w:rsidR="008C407A" w:rsidRDefault="008C407A" w:rsidP="00B202C2">
            <w:pPr>
              <w:jc w:val="center"/>
              <w:rPr>
                <w:noProof/>
              </w:rPr>
            </w:pPr>
            <w:r>
              <w:rPr>
                <w:rFonts w:ascii="Calibri" w:hAnsi="Calibri" w:cs="Calibri"/>
                <w:noProof/>
                <w:color w:val="000000"/>
              </w:rPr>
              <w:t>16 819.0</w:t>
            </w:r>
          </w:p>
        </w:tc>
        <w:tc>
          <w:tcPr>
            <w:tcW w:w="944" w:type="dxa"/>
            <w:noWrap/>
            <w:vAlign w:val="bottom"/>
          </w:tcPr>
          <w:p w14:paraId="635FEE5C" w14:textId="77777777" w:rsidR="008C407A" w:rsidRDefault="008C407A" w:rsidP="00B202C2">
            <w:pPr>
              <w:jc w:val="center"/>
              <w:rPr>
                <w:noProof/>
              </w:rPr>
            </w:pPr>
            <w:r>
              <w:rPr>
                <w:rFonts w:ascii="Calibri" w:hAnsi="Calibri" w:cs="Calibri"/>
                <w:noProof/>
                <w:color w:val="000000"/>
              </w:rPr>
              <w:t>17 280.7</w:t>
            </w:r>
          </w:p>
        </w:tc>
        <w:tc>
          <w:tcPr>
            <w:tcW w:w="944" w:type="dxa"/>
            <w:noWrap/>
            <w:vAlign w:val="bottom"/>
          </w:tcPr>
          <w:p w14:paraId="724824CC" w14:textId="77777777" w:rsidR="008C407A" w:rsidRDefault="008C407A" w:rsidP="00B202C2">
            <w:pPr>
              <w:jc w:val="center"/>
              <w:rPr>
                <w:noProof/>
              </w:rPr>
            </w:pPr>
            <w:r>
              <w:rPr>
                <w:rFonts w:ascii="Calibri" w:hAnsi="Calibri" w:cs="Calibri"/>
                <w:noProof/>
                <w:color w:val="000000"/>
              </w:rPr>
              <w:t>17 727.9</w:t>
            </w:r>
          </w:p>
        </w:tc>
        <w:tc>
          <w:tcPr>
            <w:tcW w:w="943" w:type="dxa"/>
            <w:noWrap/>
            <w:vAlign w:val="bottom"/>
          </w:tcPr>
          <w:p w14:paraId="54B89D18" w14:textId="77777777" w:rsidR="008C407A" w:rsidRDefault="008C407A" w:rsidP="00B202C2">
            <w:pPr>
              <w:jc w:val="center"/>
              <w:rPr>
                <w:noProof/>
              </w:rPr>
            </w:pPr>
            <w:r>
              <w:rPr>
                <w:rFonts w:ascii="Calibri" w:hAnsi="Calibri" w:cs="Calibri"/>
                <w:noProof/>
                <w:color w:val="000000"/>
              </w:rPr>
              <w:t>15 012.6</w:t>
            </w:r>
          </w:p>
        </w:tc>
        <w:tc>
          <w:tcPr>
            <w:tcW w:w="944" w:type="dxa"/>
            <w:noWrap/>
            <w:vAlign w:val="bottom"/>
          </w:tcPr>
          <w:p w14:paraId="496F8CA4" w14:textId="77777777" w:rsidR="008C407A" w:rsidRDefault="008C407A" w:rsidP="00B202C2">
            <w:pPr>
              <w:jc w:val="center"/>
              <w:rPr>
                <w:noProof/>
              </w:rPr>
            </w:pPr>
            <w:r>
              <w:rPr>
                <w:rFonts w:ascii="Calibri" w:hAnsi="Calibri" w:cs="Calibri"/>
                <w:noProof/>
                <w:color w:val="000000"/>
              </w:rPr>
              <w:t>15 487.9</w:t>
            </w:r>
          </w:p>
        </w:tc>
        <w:tc>
          <w:tcPr>
            <w:tcW w:w="944" w:type="dxa"/>
            <w:noWrap/>
            <w:vAlign w:val="bottom"/>
          </w:tcPr>
          <w:p w14:paraId="57735122" w14:textId="77777777" w:rsidR="008C407A" w:rsidRDefault="008C407A" w:rsidP="00B202C2">
            <w:pPr>
              <w:jc w:val="center"/>
              <w:rPr>
                <w:rFonts w:ascii="Calibri" w:hAnsi="Calibri" w:cs="Calibri"/>
                <w:noProof/>
                <w:color w:val="000000"/>
              </w:rPr>
            </w:pPr>
            <w:r>
              <w:rPr>
                <w:rFonts w:ascii="Calibri" w:hAnsi="Calibri" w:cs="Calibri"/>
                <w:noProof/>
                <w:color w:val="000000"/>
              </w:rPr>
              <w:t>98 960.7</w:t>
            </w:r>
          </w:p>
          <w:p w14:paraId="7DFC7238" w14:textId="77777777" w:rsidR="008C407A" w:rsidRPr="002F5B03" w:rsidRDefault="008C407A" w:rsidP="00B202C2">
            <w:pPr>
              <w:jc w:val="center"/>
              <w:rPr>
                <w:noProof/>
              </w:rPr>
            </w:pPr>
          </w:p>
        </w:tc>
      </w:tr>
    </w:tbl>
    <w:p w14:paraId="77AE8792" w14:textId="77777777" w:rsidR="008C407A" w:rsidRPr="002F5B03" w:rsidRDefault="008C407A" w:rsidP="008C407A">
      <w:pPr>
        <w:pStyle w:val="FootnoteText"/>
        <w:rPr>
          <w:rFonts w:eastAsiaTheme="minorEastAsia"/>
          <w:noProof/>
        </w:rPr>
      </w:pPr>
      <w:r w:rsidRPr="002F5B03">
        <w:rPr>
          <w:rFonts w:eastAsiaTheme="minorEastAsia"/>
          <w:noProof/>
        </w:rPr>
        <w:t>(*) Article</w:t>
      </w:r>
      <w:r w:rsidRPr="002F5B03">
        <w:rPr>
          <w:rFonts w:ascii="Calibri" w:eastAsiaTheme="minorEastAsia" w:hAnsi="Calibri" w:cs="Calibri"/>
          <w:noProof/>
        </w:rPr>
        <w:t> </w:t>
      </w:r>
      <w:r w:rsidRPr="002F5B03">
        <w:rPr>
          <w:rFonts w:eastAsiaTheme="minorEastAsia"/>
          <w:noProof/>
        </w:rPr>
        <w:t>15(3) of the financial regulation.</w:t>
      </w:r>
    </w:p>
    <w:p w14:paraId="7D93F30E" w14:textId="38A6DE87" w:rsidR="008C407A" w:rsidRDefault="008C407A" w:rsidP="006F409B">
      <w:pPr>
        <w:pStyle w:val="FootnoteText"/>
        <w:rPr>
          <w:rFonts w:ascii="Calibri" w:eastAsiaTheme="minorEastAsia" w:hAnsi="Calibri" w:cs="Calibri"/>
          <w:noProof/>
        </w:rPr>
      </w:pPr>
      <w:r w:rsidRPr="006F409B">
        <w:rPr>
          <w:rFonts w:ascii="Calibri" w:eastAsiaTheme="minorEastAsia" w:hAnsi="Calibri" w:cs="Calibri"/>
          <w:noProof/>
        </w:rPr>
        <w:t>(</w:t>
      </w:r>
      <w:r w:rsidR="002B4E37" w:rsidRPr="002F5B03">
        <w:rPr>
          <w:rFonts w:eastAsiaTheme="minorEastAsia"/>
          <w:noProof/>
        </w:rPr>
        <w:t>*</w:t>
      </w:r>
      <w:r w:rsidR="002B4E37">
        <w:rPr>
          <w:rFonts w:eastAsiaTheme="minorEastAsia"/>
          <w:noProof/>
        </w:rPr>
        <w:t>*</w:t>
      </w:r>
      <w:r w:rsidRPr="006F409B">
        <w:rPr>
          <w:rFonts w:ascii="Calibri" w:eastAsiaTheme="minorEastAsia" w:hAnsi="Calibri" w:cs="Calibri"/>
          <w:noProof/>
        </w:rPr>
        <w:t>) These amounts take into account the contribution of the ESF+ to the Just Transition Fund, the Border Management and Visa Instrument and other instruments (if any). The total does not include financing under the recovery assistance for cohesion and the territories of Europe programme.</w:t>
      </w:r>
    </w:p>
    <w:p w14:paraId="3220314E" w14:textId="77777777" w:rsidR="002B4E37" w:rsidRPr="006F409B" w:rsidRDefault="002B4E37" w:rsidP="006F409B">
      <w:pPr>
        <w:pStyle w:val="FootnoteText"/>
        <w:rPr>
          <w:rFonts w:ascii="Calibri" w:eastAsiaTheme="minorEastAsia" w:hAnsi="Calibri" w:cs="Calibri"/>
          <w:noProof/>
        </w:rPr>
      </w:pPr>
    </w:p>
    <w:p w14:paraId="2FE06C94" w14:textId="74B3A17A" w:rsidR="008C407A" w:rsidRPr="002F5B03" w:rsidRDefault="008C407A" w:rsidP="00304A2B">
      <w:pPr>
        <w:rPr>
          <w:noProof/>
        </w:rPr>
      </w:pPr>
      <w:r w:rsidRPr="002F5B03">
        <w:rPr>
          <w:noProof/>
        </w:rPr>
        <w:t xml:space="preserve">Budget programming of the recovery assistance for cohesion and the territories of Europe programme </w:t>
      </w:r>
      <w:r w:rsidR="0017337B">
        <w:rPr>
          <w:noProof/>
        </w:rPr>
        <w:t xml:space="preserve">(REACT-EU) </w:t>
      </w:r>
      <w:r w:rsidRPr="002F5B03">
        <w:rPr>
          <w:noProof/>
        </w:rPr>
        <w:t>under the ESF (million EUR):</w:t>
      </w:r>
    </w:p>
    <w:tbl>
      <w:tblPr>
        <w:tblStyle w:val="PPO2021"/>
        <w:tblW w:w="9639" w:type="dxa"/>
        <w:tblInd w:w="0" w:type="dxa"/>
        <w:tblLayout w:type="fixed"/>
        <w:tblLook w:val="0420" w:firstRow="1" w:lastRow="0" w:firstColumn="0" w:lastColumn="0" w:noHBand="0" w:noVBand="1"/>
      </w:tblPr>
      <w:tblGrid>
        <w:gridCol w:w="1981"/>
        <w:gridCol w:w="1052"/>
        <w:gridCol w:w="944"/>
        <w:gridCol w:w="943"/>
        <w:gridCol w:w="944"/>
        <w:gridCol w:w="944"/>
        <w:gridCol w:w="943"/>
        <w:gridCol w:w="944"/>
        <w:gridCol w:w="944"/>
      </w:tblGrid>
      <w:tr w:rsidR="008C407A" w:rsidRPr="002F5B03" w14:paraId="68CA57DA" w14:textId="77777777" w:rsidTr="00B202C2">
        <w:trPr>
          <w:cnfStyle w:val="100000000000" w:firstRow="1" w:lastRow="0" w:firstColumn="0" w:lastColumn="0" w:oddVBand="0" w:evenVBand="0" w:oddHBand="0" w:evenHBand="0" w:firstRowFirstColumn="0" w:firstRowLastColumn="0" w:lastRowFirstColumn="0" w:lastRowLastColumn="0"/>
          <w:trHeight w:val="290"/>
          <w:tblHeader/>
        </w:trPr>
        <w:tc>
          <w:tcPr>
            <w:tcW w:w="1981" w:type="dxa"/>
            <w:noWrap/>
            <w:hideMark/>
          </w:tcPr>
          <w:p w14:paraId="4FB2336B" w14:textId="77777777" w:rsidR="008C407A" w:rsidRPr="002F5B03" w:rsidRDefault="008C407A" w:rsidP="00B202C2">
            <w:pPr>
              <w:rPr>
                <w:noProof/>
              </w:rPr>
            </w:pPr>
          </w:p>
        </w:tc>
        <w:tc>
          <w:tcPr>
            <w:tcW w:w="1052" w:type="dxa"/>
            <w:noWrap/>
            <w:hideMark/>
          </w:tcPr>
          <w:p w14:paraId="026B7EEB" w14:textId="77777777" w:rsidR="008C407A" w:rsidRPr="002F5B03" w:rsidRDefault="008C407A" w:rsidP="00B202C2">
            <w:pPr>
              <w:rPr>
                <w:noProof/>
              </w:rPr>
            </w:pPr>
            <w:r w:rsidRPr="002F5B03">
              <w:rPr>
                <w:noProof/>
              </w:rPr>
              <w:t>2021</w:t>
            </w:r>
          </w:p>
        </w:tc>
        <w:tc>
          <w:tcPr>
            <w:tcW w:w="944" w:type="dxa"/>
            <w:noWrap/>
            <w:hideMark/>
          </w:tcPr>
          <w:p w14:paraId="70F0B830" w14:textId="77777777" w:rsidR="008C407A" w:rsidRPr="002F5B03" w:rsidRDefault="008C407A" w:rsidP="00B202C2">
            <w:pPr>
              <w:rPr>
                <w:noProof/>
              </w:rPr>
            </w:pPr>
            <w:r w:rsidRPr="002F5B03">
              <w:rPr>
                <w:noProof/>
              </w:rPr>
              <w:t>2022</w:t>
            </w:r>
          </w:p>
        </w:tc>
        <w:tc>
          <w:tcPr>
            <w:tcW w:w="943" w:type="dxa"/>
            <w:noWrap/>
            <w:hideMark/>
          </w:tcPr>
          <w:p w14:paraId="5DD6F9D5" w14:textId="77777777" w:rsidR="008C407A" w:rsidRPr="002F5B03" w:rsidRDefault="008C407A" w:rsidP="00B202C2">
            <w:pPr>
              <w:rPr>
                <w:noProof/>
              </w:rPr>
            </w:pPr>
            <w:r w:rsidRPr="002F5B03">
              <w:rPr>
                <w:noProof/>
              </w:rPr>
              <w:t>2023</w:t>
            </w:r>
          </w:p>
        </w:tc>
        <w:tc>
          <w:tcPr>
            <w:tcW w:w="944" w:type="dxa"/>
            <w:noWrap/>
            <w:hideMark/>
          </w:tcPr>
          <w:p w14:paraId="1B3B3C9E" w14:textId="77777777" w:rsidR="008C407A" w:rsidRPr="002F5B03" w:rsidRDefault="008C407A" w:rsidP="00B202C2">
            <w:pPr>
              <w:rPr>
                <w:noProof/>
              </w:rPr>
            </w:pPr>
            <w:r w:rsidRPr="002F5B03">
              <w:rPr>
                <w:noProof/>
              </w:rPr>
              <w:t>2024</w:t>
            </w:r>
          </w:p>
        </w:tc>
        <w:tc>
          <w:tcPr>
            <w:tcW w:w="944" w:type="dxa"/>
            <w:noWrap/>
            <w:hideMark/>
          </w:tcPr>
          <w:p w14:paraId="4A9143E0" w14:textId="77777777" w:rsidR="008C407A" w:rsidRPr="002F5B03" w:rsidRDefault="008C407A" w:rsidP="00B202C2">
            <w:pPr>
              <w:rPr>
                <w:noProof/>
              </w:rPr>
            </w:pPr>
            <w:r w:rsidRPr="002F5B03">
              <w:rPr>
                <w:noProof/>
              </w:rPr>
              <w:t>2025</w:t>
            </w:r>
          </w:p>
        </w:tc>
        <w:tc>
          <w:tcPr>
            <w:tcW w:w="943" w:type="dxa"/>
            <w:noWrap/>
            <w:hideMark/>
          </w:tcPr>
          <w:p w14:paraId="41E5D758" w14:textId="77777777" w:rsidR="008C407A" w:rsidRPr="002F5B03" w:rsidRDefault="008C407A" w:rsidP="00B202C2">
            <w:pPr>
              <w:rPr>
                <w:noProof/>
              </w:rPr>
            </w:pPr>
            <w:r w:rsidRPr="002F5B03">
              <w:rPr>
                <w:noProof/>
              </w:rPr>
              <w:t>2026</w:t>
            </w:r>
          </w:p>
        </w:tc>
        <w:tc>
          <w:tcPr>
            <w:tcW w:w="944" w:type="dxa"/>
            <w:noWrap/>
            <w:hideMark/>
          </w:tcPr>
          <w:p w14:paraId="2983252F" w14:textId="77777777" w:rsidR="008C407A" w:rsidRPr="002F5B03" w:rsidRDefault="008C407A" w:rsidP="00B202C2">
            <w:pPr>
              <w:rPr>
                <w:noProof/>
              </w:rPr>
            </w:pPr>
            <w:r w:rsidRPr="002F5B03">
              <w:rPr>
                <w:noProof/>
              </w:rPr>
              <w:t>2027</w:t>
            </w:r>
          </w:p>
        </w:tc>
        <w:tc>
          <w:tcPr>
            <w:tcW w:w="944" w:type="dxa"/>
            <w:noWrap/>
            <w:hideMark/>
          </w:tcPr>
          <w:p w14:paraId="27364A3A" w14:textId="77777777" w:rsidR="008C407A" w:rsidRPr="002F5B03" w:rsidRDefault="008C407A" w:rsidP="00B202C2">
            <w:pPr>
              <w:rPr>
                <w:noProof/>
              </w:rPr>
            </w:pPr>
            <w:r w:rsidRPr="002F5B03">
              <w:rPr>
                <w:noProof/>
              </w:rPr>
              <w:t>Total</w:t>
            </w:r>
          </w:p>
        </w:tc>
      </w:tr>
      <w:tr w:rsidR="008C407A" w:rsidRPr="002F5B03" w14:paraId="2F066EC1" w14:textId="77777777" w:rsidTr="00B202C2">
        <w:trPr>
          <w:cnfStyle w:val="000000100000" w:firstRow="0" w:lastRow="0" w:firstColumn="0" w:lastColumn="0" w:oddVBand="0" w:evenVBand="0" w:oddHBand="1" w:evenHBand="0" w:firstRowFirstColumn="0" w:firstRowLastColumn="0" w:lastRowFirstColumn="0" w:lastRowLastColumn="0"/>
          <w:trHeight w:val="290"/>
        </w:trPr>
        <w:tc>
          <w:tcPr>
            <w:tcW w:w="1981" w:type="dxa"/>
            <w:noWrap/>
            <w:hideMark/>
          </w:tcPr>
          <w:p w14:paraId="35993CA8" w14:textId="77777777" w:rsidR="008C407A" w:rsidRPr="002F5B03" w:rsidRDefault="008C407A" w:rsidP="00B202C2">
            <w:pPr>
              <w:rPr>
                <w:noProof/>
              </w:rPr>
            </w:pPr>
            <w:r w:rsidRPr="002F5B03">
              <w:rPr>
                <w:noProof/>
              </w:rPr>
              <w:t>Financial programming (*)</w:t>
            </w:r>
          </w:p>
        </w:tc>
        <w:tc>
          <w:tcPr>
            <w:tcW w:w="1052" w:type="dxa"/>
            <w:noWrap/>
            <w:vAlign w:val="bottom"/>
            <w:hideMark/>
          </w:tcPr>
          <w:p w14:paraId="52B8D98A" w14:textId="77777777" w:rsidR="008C407A" w:rsidRPr="002F5B03" w:rsidRDefault="008C407A" w:rsidP="00B202C2">
            <w:pPr>
              <w:jc w:val="center"/>
              <w:rPr>
                <w:noProof/>
              </w:rPr>
            </w:pPr>
          </w:p>
        </w:tc>
        <w:tc>
          <w:tcPr>
            <w:tcW w:w="944" w:type="dxa"/>
            <w:noWrap/>
            <w:vAlign w:val="bottom"/>
            <w:hideMark/>
          </w:tcPr>
          <w:p w14:paraId="187E5B2D" w14:textId="77777777" w:rsidR="008C407A" w:rsidRPr="002F5B03" w:rsidRDefault="008C407A" w:rsidP="00B202C2">
            <w:pPr>
              <w:jc w:val="center"/>
              <w:rPr>
                <w:noProof/>
              </w:rPr>
            </w:pPr>
          </w:p>
        </w:tc>
        <w:tc>
          <w:tcPr>
            <w:tcW w:w="943" w:type="dxa"/>
            <w:noWrap/>
            <w:vAlign w:val="bottom"/>
            <w:hideMark/>
          </w:tcPr>
          <w:p w14:paraId="427C913C" w14:textId="77777777" w:rsidR="008C407A" w:rsidRPr="002F5B03" w:rsidRDefault="008C407A" w:rsidP="00B202C2">
            <w:pPr>
              <w:jc w:val="center"/>
              <w:rPr>
                <w:noProof/>
              </w:rPr>
            </w:pPr>
          </w:p>
        </w:tc>
        <w:tc>
          <w:tcPr>
            <w:tcW w:w="944" w:type="dxa"/>
            <w:noWrap/>
            <w:vAlign w:val="bottom"/>
            <w:hideMark/>
          </w:tcPr>
          <w:p w14:paraId="3FDC7401" w14:textId="77777777" w:rsidR="008C407A" w:rsidRPr="002F5B03" w:rsidRDefault="008C407A" w:rsidP="00B202C2">
            <w:pPr>
              <w:jc w:val="center"/>
              <w:rPr>
                <w:noProof/>
              </w:rPr>
            </w:pPr>
          </w:p>
        </w:tc>
        <w:tc>
          <w:tcPr>
            <w:tcW w:w="944" w:type="dxa"/>
            <w:noWrap/>
            <w:vAlign w:val="bottom"/>
            <w:hideMark/>
          </w:tcPr>
          <w:p w14:paraId="075B0F9A" w14:textId="77777777" w:rsidR="008C407A" w:rsidRPr="002F5B03" w:rsidRDefault="008C407A" w:rsidP="00B202C2">
            <w:pPr>
              <w:jc w:val="center"/>
              <w:rPr>
                <w:noProof/>
              </w:rPr>
            </w:pPr>
          </w:p>
        </w:tc>
        <w:tc>
          <w:tcPr>
            <w:tcW w:w="943" w:type="dxa"/>
            <w:noWrap/>
            <w:vAlign w:val="bottom"/>
            <w:hideMark/>
          </w:tcPr>
          <w:p w14:paraId="4B723420" w14:textId="77777777" w:rsidR="008C407A" w:rsidRPr="002F5B03" w:rsidRDefault="008C407A" w:rsidP="00B202C2">
            <w:pPr>
              <w:jc w:val="center"/>
              <w:rPr>
                <w:noProof/>
              </w:rPr>
            </w:pPr>
          </w:p>
        </w:tc>
        <w:tc>
          <w:tcPr>
            <w:tcW w:w="944" w:type="dxa"/>
            <w:noWrap/>
            <w:vAlign w:val="bottom"/>
            <w:hideMark/>
          </w:tcPr>
          <w:p w14:paraId="77469DC4" w14:textId="77777777" w:rsidR="008C407A" w:rsidRPr="002F5B03" w:rsidRDefault="008C407A" w:rsidP="00B202C2">
            <w:pPr>
              <w:jc w:val="center"/>
              <w:rPr>
                <w:noProof/>
              </w:rPr>
            </w:pPr>
          </w:p>
        </w:tc>
        <w:tc>
          <w:tcPr>
            <w:tcW w:w="944" w:type="dxa"/>
            <w:noWrap/>
            <w:vAlign w:val="bottom"/>
            <w:hideMark/>
          </w:tcPr>
          <w:p w14:paraId="6B1F68DA" w14:textId="77777777" w:rsidR="008C407A" w:rsidRPr="002F5B03" w:rsidRDefault="008C407A" w:rsidP="00B202C2">
            <w:pPr>
              <w:jc w:val="center"/>
              <w:rPr>
                <w:noProof/>
              </w:rPr>
            </w:pPr>
          </w:p>
        </w:tc>
      </w:tr>
      <w:tr w:rsidR="008C407A" w:rsidRPr="002F5B03" w14:paraId="6939DA6D" w14:textId="77777777" w:rsidTr="00B202C2">
        <w:trPr>
          <w:cnfStyle w:val="000000010000" w:firstRow="0" w:lastRow="0" w:firstColumn="0" w:lastColumn="0" w:oddVBand="0" w:evenVBand="0" w:oddHBand="0" w:evenHBand="1" w:firstRowFirstColumn="0" w:firstRowLastColumn="0" w:lastRowFirstColumn="0" w:lastRowLastColumn="0"/>
          <w:trHeight w:val="290"/>
        </w:trPr>
        <w:tc>
          <w:tcPr>
            <w:tcW w:w="1981" w:type="dxa"/>
            <w:noWrap/>
            <w:hideMark/>
          </w:tcPr>
          <w:p w14:paraId="24D3A9D2" w14:textId="77777777" w:rsidR="008C407A" w:rsidRPr="002F5B03" w:rsidRDefault="008C407A" w:rsidP="00B202C2">
            <w:pPr>
              <w:rPr>
                <w:noProof/>
              </w:rPr>
            </w:pPr>
            <w:r w:rsidRPr="002F5B03">
              <w:rPr>
                <w:noProof/>
              </w:rPr>
              <w:t>NextGenerationEU</w:t>
            </w:r>
          </w:p>
        </w:tc>
        <w:tc>
          <w:tcPr>
            <w:tcW w:w="1052" w:type="dxa"/>
            <w:noWrap/>
            <w:hideMark/>
          </w:tcPr>
          <w:p w14:paraId="6726B09B" w14:textId="77777777" w:rsidR="008C407A" w:rsidRDefault="008C407A" w:rsidP="00B202C2">
            <w:pPr>
              <w:jc w:val="center"/>
              <w:rPr>
                <w:rFonts w:ascii="Calibri" w:hAnsi="Calibri" w:cs="Calibri"/>
                <w:noProof/>
                <w:color w:val="000000"/>
              </w:rPr>
            </w:pPr>
            <w:r>
              <w:rPr>
                <w:rFonts w:ascii="Calibri" w:hAnsi="Calibri" w:cs="Calibri"/>
                <w:noProof/>
                <w:color w:val="000000"/>
              </w:rPr>
              <w:t>15 918.1</w:t>
            </w:r>
          </w:p>
          <w:p w14:paraId="525229E9" w14:textId="77777777" w:rsidR="008C407A" w:rsidRPr="002F5B03" w:rsidRDefault="008C407A" w:rsidP="00B202C2">
            <w:pPr>
              <w:jc w:val="center"/>
              <w:rPr>
                <w:noProof/>
              </w:rPr>
            </w:pPr>
          </w:p>
        </w:tc>
        <w:tc>
          <w:tcPr>
            <w:tcW w:w="944" w:type="dxa"/>
            <w:noWrap/>
            <w:hideMark/>
          </w:tcPr>
          <w:p w14:paraId="351EB64C" w14:textId="77777777" w:rsidR="008C407A" w:rsidRPr="002F5B03" w:rsidRDefault="008C407A" w:rsidP="00B202C2">
            <w:pPr>
              <w:jc w:val="center"/>
              <w:rPr>
                <w:noProof/>
              </w:rPr>
            </w:pPr>
            <w:r w:rsidRPr="002F5B03">
              <w:rPr>
                <w:noProof/>
              </w:rPr>
              <w:t>3</w:t>
            </w:r>
            <w:r w:rsidRPr="002F5B03">
              <w:rPr>
                <w:rFonts w:ascii="Calibri" w:hAnsi="Calibri" w:cs="Calibri"/>
                <w:noProof/>
              </w:rPr>
              <w:t> </w:t>
            </w:r>
            <w:r w:rsidRPr="002F5B03">
              <w:rPr>
                <w:noProof/>
              </w:rPr>
              <w:t>243.3</w:t>
            </w:r>
          </w:p>
        </w:tc>
        <w:tc>
          <w:tcPr>
            <w:tcW w:w="943" w:type="dxa"/>
            <w:noWrap/>
            <w:hideMark/>
          </w:tcPr>
          <w:p w14:paraId="7644559A" w14:textId="77777777" w:rsidR="008C407A" w:rsidRPr="002F5B03" w:rsidRDefault="008C407A" w:rsidP="00B202C2">
            <w:pPr>
              <w:jc w:val="center"/>
              <w:rPr>
                <w:noProof/>
              </w:rPr>
            </w:pPr>
          </w:p>
        </w:tc>
        <w:tc>
          <w:tcPr>
            <w:tcW w:w="944" w:type="dxa"/>
            <w:noWrap/>
            <w:hideMark/>
          </w:tcPr>
          <w:p w14:paraId="3694E68A" w14:textId="77777777" w:rsidR="008C407A" w:rsidRPr="002F5B03" w:rsidRDefault="008C407A" w:rsidP="00B202C2">
            <w:pPr>
              <w:jc w:val="center"/>
              <w:rPr>
                <w:noProof/>
              </w:rPr>
            </w:pPr>
          </w:p>
        </w:tc>
        <w:tc>
          <w:tcPr>
            <w:tcW w:w="944" w:type="dxa"/>
            <w:noWrap/>
            <w:hideMark/>
          </w:tcPr>
          <w:p w14:paraId="095CFDB3" w14:textId="77777777" w:rsidR="008C407A" w:rsidRPr="002F5B03" w:rsidRDefault="008C407A" w:rsidP="00B202C2">
            <w:pPr>
              <w:jc w:val="center"/>
              <w:rPr>
                <w:noProof/>
              </w:rPr>
            </w:pPr>
          </w:p>
        </w:tc>
        <w:tc>
          <w:tcPr>
            <w:tcW w:w="943" w:type="dxa"/>
            <w:noWrap/>
            <w:hideMark/>
          </w:tcPr>
          <w:p w14:paraId="4F7D6D08" w14:textId="77777777" w:rsidR="008C407A" w:rsidRPr="002F5B03" w:rsidRDefault="008C407A" w:rsidP="00B202C2">
            <w:pPr>
              <w:jc w:val="center"/>
              <w:rPr>
                <w:noProof/>
              </w:rPr>
            </w:pPr>
          </w:p>
        </w:tc>
        <w:tc>
          <w:tcPr>
            <w:tcW w:w="944" w:type="dxa"/>
            <w:noWrap/>
            <w:hideMark/>
          </w:tcPr>
          <w:p w14:paraId="19CC9DCE" w14:textId="77777777" w:rsidR="008C407A" w:rsidRPr="002F5B03" w:rsidRDefault="008C407A" w:rsidP="00B202C2">
            <w:pPr>
              <w:jc w:val="center"/>
              <w:rPr>
                <w:noProof/>
              </w:rPr>
            </w:pPr>
          </w:p>
        </w:tc>
        <w:tc>
          <w:tcPr>
            <w:tcW w:w="944" w:type="dxa"/>
            <w:noWrap/>
            <w:hideMark/>
          </w:tcPr>
          <w:p w14:paraId="59CEAFC4" w14:textId="77777777" w:rsidR="008C407A" w:rsidRPr="00304A2B" w:rsidRDefault="008C407A" w:rsidP="00B202C2">
            <w:pPr>
              <w:jc w:val="center"/>
              <w:rPr>
                <w:rFonts w:ascii="Calibri" w:hAnsi="Calibri" w:cs="Calibri"/>
                <w:noProof/>
                <w:color w:val="000000"/>
              </w:rPr>
            </w:pPr>
            <w:r>
              <w:rPr>
                <w:rFonts w:ascii="Calibri" w:hAnsi="Calibri" w:cs="Calibri"/>
                <w:noProof/>
                <w:color w:val="000000"/>
              </w:rPr>
              <w:t>19 161.4</w:t>
            </w:r>
          </w:p>
        </w:tc>
      </w:tr>
      <w:tr w:rsidR="008C407A" w:rsidRPr="002F5B03" w14:paraId="1F7426F1" w14:textId="77777777" w:rsidTr="00B202C2">
        <w:trPr>
          <w:cnfStyle w:val="000000100000" w:firstRow="0" w:lastRow="0" w:firstColumn="0" w:lastColumn="0" w:oddVBand="0" w:evenVBand="0" w:oddHBand="1" w:evenHBand="0" w:firstRowFirstColumn="0" w:firstRowLastColumn="0" w:lastRowFirstColumn="0" w:lastRowLastColumn="0"/>
          <w:trHeight w:val="290"/>
        </w:trPr>
        <w:tc>
          <w:tcPr>
            <w:tcW w:w="1981" w:type="dxa"/>
            <w:noWrap/>
            <w:hideMark/>
          </w:tcPr>
          <w:p w14:paraId="6B7D7AD6" w14:textId="77777777" w:rsidR="008C407A" w:rsidRPr="002F5B03" w:rsidRDefault="008C407A" w:rsidP="00B202C2">
            <w:pPr>
              <w:rPr>
                <w:noProof/>
              </w:rPr>
            </w:pPr>
            <w:r w:rsidRPr="002F5B03">
              <w:rPr>
                <w:noProof/>
              </w:rPr>
              <w:t>Decommitments made available again (*)</w:t>
            </w:r>
          </w:p>
        </w:tc>
        <w:tc>
          <w:tcPr>
            <w:tcW w:w="1052" w:type="dxa"/>
            <w:noWrap/>
          </w:tcPr>
          <w:p w14:paraId="47DE4B85" w14:textId="77777777" w:rsidR="008C407A" w:rsidRPr="002F5B03" w:rsidRDefault="008C407A" w:rsidP="00B202C2">
            <w:pPr>
              <w:jc w:val="center"/>
              <w:rPr>
                <w:noProof/>
              </w:rPr>
            </w:pPr>
            <w:r>
              <w:rPr>
                <w:noProof/>
              </w:rPr>
              <w:t>N/A</w:t>
            </w:r>
          </w:p>
        </w:tc>
        <w:tc>
          <w:tcPr>
            <w:tcW w:w="944" w:type="dxa"/>
            <w:noWrap/>
          </w:tcPr>
          <w:p w14:paraId="3603F6D2" w14:textId="77777777" w:rsidR="008C407A" w:rsidRPr="002F5B03" w:rsidRDefault="008C407A" w:rsidP="00B202C2">
            <w:pPr>
              <w:jc w:val="center"/>
              <w:rPr>
                <w:noProof/>
              </w:rPr>
            </w:pPr>
          </w:p>
        </w:tc>
        <w:tc>
          <w:tcPr>
            <w:tcW w:w="943" w:type="dxa"/>
            <w:noWrap/>
          </w:tcPr>
          <w:p w14:paraId="5120B765" w14:textId="77777777" w:rsidR="008C407A" w:rsidRPr="002F5B03" w:rsidRDefault="008C407A" w:rsidP="00B202C2">
            <w:pPr>
              <w:jc w:val="center"/>
              <w:rPr>
                <w:noProof/>
              </w:rPr>
            </w:pPr>
          </w:p>
        </w:tc>
        <w:tc>
          <w:tcPr>
            <w:tcW w:w="944" w:type="dxa"/>
            <w:noWrap/>
          </w:tcPr>
          <w:p w14:paraId="6F28871D" w14:textId="77777777" w:rsidR="008C407A" w:rsidRPr="002F5B03" w:rsidRDefault="008C407A" w:rsidP="00B202C2">
            <w:pPr>
              <w:jc w:val="center"/>
              <w:rPr>
                <w:noProof/>
              </w:rPr>
            </w:pPr>
          </w:p>
        </w:tc>
        <w:tc>
          <w:tcPr>
            <w:tcW w:w="944" w:type="dxa"/>
            <w:noWrap/>
          </w:tcPr>
          <w:p w14:paraId="00D4532F" w14:textId="77777777" w:rsidR="008C407A" w:rsidRPr="002F5B03" w:rsidRDefault="008C407A" w:rsidP="00B202C2">
            <w:pPr>
              <w:jc w:val="center"/>
              <w:rPr>
                <w:noProof/>
              </w:rPr>
            </w:pPr>
          </w:p>
        </w:tc>
        <w:tc>
          <w:tcPr>
            <w:tcW w:w="943" w:type="dxa"/>
            <w:noWrap/>
          </w:tcPr>
          <w:p w14:paraId="6C87D80F" w14:textId="77777777" w:rsidR="008C407A" w:rsidRPr="002F5B03" w:rsidRDefault="008C407A" w:rsidP="00B202C2">
            <w:pPr>
              <w:jc w:val="center"/>
              <w:rPr>
                <w:noProof/>
              </w:rPr>
            </w:pPr>
          </w:p>
        </w:tc>
        <w:tc>
          <w:tcPr>
            <w:tcW w:w="944" w:type="dxa"/>
            <w:noWrap/>
          </w:tcPr>
          <w:p w14:paraId="3278BB2D" w14:textId="77777777" w:rsidR="008C407A" w:rsidRPr="002F5B03" w:rsidRDefault="008C407A" w:rsidP="00B202C2">
            <w:pPr>
              <w:jc w:val="center"/>
              <w:rPr>
                <w:noProof/>
              </w:rPr>
            </w:pPr>
          </w:p>
        </w:tc>
        <w:tc>
          <w:tcPr>
            <w:tcW w:w="944" w:type="dxa"/>
            <w:noWrap/>
          </w:tcPr>
          <w:p w14:paraId="5CB178CD" w14:textId="77777777" w:rsidR="008C407A" w:rsidRPr="002F5B03" w:rsidRDefault="008C407A" w:rsidP="00B202C2">
            <w:pPr>
              <w:jc w:val="center"/>
              <w:rPr>
                <w:noProof/>
              </w:rPr>
            </w:pPr>
            <w:r>
              <w:rPr>
                <w:noProof/>
              </w:rPr>
              <w:t>N/A</w:t>
            </w:r>
          </w:p>
        </w:tc>
      </w:tr>
      <w:tr w:rsidR="008C407A" w:rsidRPr="002F5B03" w14:paraId="72EBF05F" w14:textId="77777777" w:rsidTr="00B202C2">
        <w:trPr>
          <w:cnfStyle w:val="000000010000" w:firstRow="0" w:lastRow="0" w:firstColumn="0" w:lastColumn="0" w:oddVBand="0" w:evenVBand="0" w:oddHBand="0" w:evenHBand="1" w:firstRowFirstColumn="0" w:firstRowLastColumn="0" w:lastRowFirstColumn="0" w:lastRowLastColumn="0"/>
          <w:trHeight w:val="290"/>
        </w:trPr>
        <w:tc>
          <w:tcPr>
            <w:tcW w:w="1981" w:type="dxa"/>
            <w:noWrap/>
            <w:hideMark/>
          </w:tcPr>
          <w:p w14:paraId="4606B68E" w14:textId="77777777" w:rsidR="008C407A" w:rsidRPr="002F5B03" w:rsidRDefault="008C407A" w:rsidP="00B202C2">
            <w:pPr>
              <w:rPr>
                <w:noProof/>
              </w:rPr>
            </w:pPr>
            <w:r w:rsidRPr="002F5B03">
              <w:rPr>
                <w:noProof/>
              </w:rPr>
              <w:t>Contributions from other countries and entities</w:t>
            </w:r>
          </w:p>
        </w:tc>
        <w:tc>
          <w:tcPr>
            <w:tcW w:w="1052" w:type="dxa"/>
            <w:noWrap/>
            <w:hideMark/>
          </w:tcPr>
          <w:p w14:paraId="0A96389C" w14:textId="77777777" w:rsidR="008C407A" w:rsidRPr="002F5B03" w:rsidRDefault="008C407A" w:rsidP="00B202C2">
            <w:pPr>
              <w:jc w:val="center"/>
              <w:rPr>
                <w:noProof/>
              </w:rPr>
            </w:pPr>
          </w:p>
        </w:tc>
        <w:tc>
          <w:tcPr>
            <w:tcW w:w="944" w:type="dxa"/>
            <w:noWrap/>
            <w:hideMark/>
          </w:tcPr>
          <w:p w14:paraId="4006760A" w14:textId="77777777" w:rsidR="008C407A" w:rsidRPr="002F5B03" w:rsidRDefault="008C407A" w:rsidP="00B202C2">
            <w:pPr>
              <w:jc w:val="center"/>
              <w:rPr>
                <w:noProof/>
              </w:rPr>
            </w:pPr>
          </w:p>
        </w:tc>
        <w:tc>
          <w:tcPr>
            <w:tcW w:w="943" w:type="dxa"/>
            <w:noWrap/>
            <w:hideMark/>
          </w:tcPr>
          <w:p w14:paraId="52EB2E68" w14:textId="77777777" w:rsidR="008C407A" w:rsidRPr="002F5B03" w:rsidRDefault="008C407A" w:rsidP="00B202C2">
            <w:pPr>
              <w:jc w:val="center"/>
              <w:rPr>
                <w:noProof/>
              </w:rPr>
            </w:pPr>
          </w:p>
        </w:tc>
        <w:tc>
          <w:tcPr>
            <w:tcW w:w="944" w:type="dxa"/>
            <w:noWrap/>
            <w:hideMark/>
          </w:tcPr>
          <w:p w14:paraId="23601E48" w14:textId="77777777" w:rsidR="008C407A" w:rsidRPr="002F5B03" w:rsidRDefault="008C407A" w:rsidP="00B202C2">
            <w:pPr>
              <w:jc w:val="center"/>
              <w:rPr>
                <w:noProof/>
              </w:rPr>
            </w:pPr>
          </w:p>
        </w:tc>
        <w:tc>
          <w:tcPr>
            <w:tcW w:w="944" w:type="dxa"/>
            <w:noWrap/>
            <w:hideMark/>
          </w:tcPr>
          <w:p w14:paraId="3976631C" w14:textId="77777777" w:rsidR="008C407A" w:rsidRPr="002F5B03" w:rsidRDefault="008C407A" w:rsidP="00B202C2">
            <w:pPr>
              <w:jc w:val="center"/>
              <w:rPr>
                <w:noProof/>
              </w:rPr>
            </w:pPr>
          </w:p>
        </w:tc>
        <w:tc>
          <w:tcPr>
            <w:tcW w:w="943" w:type="dxa"/>
            <w:noWrap/>
            <w:hideMark/>
          </w:tcPr>
          <w:p w14:paraId="0DC4F06F" w14:textId="77777777" w:rsidR="008C407A" w:rsidRPr="002F5B03" w:rsidRDefault="008C407A" w:rsidP="00B202C2">
            <w:pPr>
              <w:jc w:val="center"/>
              <w:rPr>
                <w:noProof/>
              </w:rPr>
            </w:pPr>
          </w:p>
        </w:tc>
        <w:tc>
          <w:tcPr>
            <w:tcW w:w="944" w:type="dxa"/>
            <w:noWrap/>
            <w:hideMark/>
          </w:tcPr>
          <w:p w14:paraId="57487BD5" w14:textId="77777777" w:rsidR="008C407A" w:rsidRPr="002F5B03" w:rsidRDefault="008C407A" w:rsidP="00B202C2">
            <w:pPr>
              <w:jc w:val="center"/>
              <w:rPr>
                <w:noProof/>
              </w:rPr>
            </w:pPr>
          </w:p>
        </w:tc>
        <w:tc>
          <w:tcPr>
            <w:tcW w:w="944" w:type="dxa"/>
            <w:noWrap/>
            <w:hideMark/>
          </w:tcPr>
          <w:p w14:paraId="12C38C59" w14:textId="77777777" w:rsidR="008C407A" w:rsidRPr="002F5B03" w:rsidRDefault="008C407A" w:rsidP="00B202C2">
            <w:pPr>
              <w:jc w:val="center"/>
              <w:rPr>
                <w:noProof/>
              </w:rPr>
            </w:pPr>
          </w:p>
        </w:tc>
      </w:tr>
    </w:tbl>
    <w:p w14:paraId="607155A2" w14:textId="77777777" w:rsidR="008C407A" w:rsidRPr="002F5B03" w:rsidRDefault="008C407A" w:rsidP="008C407A">
      <w:pPr>
        <w:rPr>
          <w:noProof/>
        </w:rPr>
      </w:pPr>
    </w:p>
    <w:p w14:paraId="76EF220E" w14:textId="77777777" w:rsidR="008C407A" w:rsidRPr="002F5B03" w:rsidRDefault="008C407A" w:rsidP="008C407A">
      <w:pPr>
        <w:pStyle w:val="ppoTableTabletitle"/>
        <w:rPr>
          <w:noProof/>
        </w:rPr>
      </w:pPr>
      <w:r w:rsidRPr="002F5B03">
        <w:rPr>
          <w:noProof/>
        </w:rPr>
        <w:t>Cumulative implementation rate of the ESF+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8C407A" w:rsidRPr="002F5B03" w14:paraId="485BC999" w14:textId="77777777" w:rsidTr="00B202C2">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4EFA7D1A" w14:textId="77777777" w:rsidR="008C407A" w:rsidRPr="002F5B03" w:rsidRDefault="008C407A" w:rsidP="00B202C2">
            <w:pPr>
              <w:rPr>
                <w:noProof/>
              </w:rPr>
            </w:pPr>
          </w:p>
        </w:tc>
        <w:tc>
          <w:tcPr>
            <w:tcW w:w="2410" w:type="dxa"/>
          </w:tcPr>
          <w:p w14:paraId="7A9E3EC2" w14:textId="77777777" w:rsidR="008C407A" w:rsidRPr="002F5B03" w:rsidRDefault="008C407A" w:rsidP="00B202C2">
            <w:pPr>
              <w:cnfStyle w:val="100000000000" w:firstRow="1" w:lastRow="0" w:firstColumn="0" w:lastColumn="0" w:oddVBand="0" w:evenVBand="0" w:oddHBand="0" w:evenHBand="0" w:firstRowFirstColumn="0" w:firstRowLastColumn="0" w:lastRowFirstColumn="0" w:lastRowLastColumn="0"/>
              <w:rPr>
                <w:noProof/>
              </w:rPr>
            </w:pPr>
            <w:r w:rsidRPr="002F5B03">
              <w:rPr>
                <w:noProof/>
              </w:rPr>
              <w:t>Implementation</w:t>
            </w:r>
          </w:p>
        </w:tc>
        <w:tc>
          <w:tcPr>
            <w:tcW w:w="2410" w:type="dxa"/>
          </w:tcPr>
          <w:p w14:paraId="23DAA365" w14:textId="77777777" w:rsidR="008C407A" w:rsidRPr="002F5B03" w:rsidRDefault="008C407A" w:rsidP="00B202C2">
            <w:pPr>
              <w:cnfStyle w:val="100000000000" w:firstRow="1" w:lastRow="0" w:firstColumn="0" w:lastColumn="0" w:oddVBand="0" w:evenVBand="0" w:oddHBand="0" w:evenHBand="0" w:firstRowFirstColumn="0" w:firstRowLastColumn="0" w:lastRowFirstColumn="0" w:lastRowLastColumn="0"/>
              <w:rPr>
                <w:noProof/>
              </w:rPr>
            </w:pPr>
            <w:r w:rsidRPr="002F5B03">
              <w:rPr>
                <w:noProof/>
              </w:rPr>
              <w:t>Budget</w:t>
            </w:r>
          </w:p>
        </w:tc>
        <w:tc>
          <w:tcPr>
            <w:tcW w:w="2410" w:type="dxa"/>
          </w:tcPr>
          <w:p w14:paraId="15BB2A8B" w14:textId="77777777" w:rsidR="008C407A" w:rsidRPr="002F5B03" w:rsidRDefault="008C407A" w:rsidP="00B202C2">
            <w:pPr>
              <w:cnfStyle w:val="100000000000" w:firstRow="1" w:lastRow="0" w:firstColumn="0" w:lastColumn="0" w:oddVBand="0" w:evenVBand="0" w:oddHBand="0" w:evenHBand="0" w:firstRowFirstColumn="0" w:firstRowLastColumn="0" w:lastRowFirstColumn="0" w:lastRowLastColumn="0"/>
              <w:rPr>
                <w:noProof/>
              </w:rPr>
            </w:pPr>
            <w:r w:rsidRPr="002F5B03">
              <w:rPr>
                <w:noProof/>
              </w:rPr>
              <w:t>Implementation rate</w:t>
            </w:r>
          </w:p>
        </w:tc>
      </w:tr>
      <w:tr w:rsidR="008C407A" w:rsidRPr="002F5B03" w14:paraId="46EF6508"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0451C7C8" w14:textId="77777777" w:rsidR="008C407A" w:rsidRPr="002F5B03" w:rsidRDefault="008C407A" w:rsidP="00B202C2">
            <w:pPr>
              <w:jc w:val="center"/>
              <w:rPr>
                <w:noProof/>
              </w:rPr>
            </w:pPr>
            <w:r w:rsidRPr="002F5B03">
              <w:rPr>
                <w:noProof/>
              </w:rPr>
              <w:t>Commitment</w:t>
            </w:r>
          </w:p>
        </w:tc>
        <w:tc>
          <w:tcPr>
            <w:tcW w:w="2410" w:type="dxa"/>
          </w:tcPr>
          <w:p w14:paraId="5069E4EC" w14:textId="794AE975" w:rsidR="008C407A" w:rsidRPr="002F5B03" w:rsidRDefault="008C407A" w:rsidP="009B3221">
            <w:pPr>
              <w:jc w:val="center"/>
              <w:cnfStyle w:val="000000000000" w:firstRow="0" w:lastRow="0" w:firstColumn="0" w:lastColumn="0" w:oddVBand="0" w:evenVBand="0" w:oddHBand="0" w:evenHBand="0" w:firstRowFirstColumn="0" w:firstRowLastColumn="0" w:lastRowFirstColumn="0" w:lastRowLastColumn="0"/>
              <w:rPr>
                <w:noProof/>
              </w:rPr>
            </w:pPr>
            <w:r>
              <w:rPr>
                <w:noProof/>
              </w:rPr>
              <w:t>14</w:t>
            </w:r>
            <w:r w:rsidR="00102ED0">
              <w:rPr>
                <w:noProof/>
              </w:rPr>
              <w:t>5</w:t>
            </w:r>
            <w:r>
              <w:rPr>
                <w:noProof/>
              </w:rPr>
              <w:t>.</w:t>
            </w:r>
            <w:r w:rsidR="00102ED0">
              <w:rPr>
                <w:noProof/>
              </w:rPr>
              <w:t>7</w:t>
            </w:r>
          </w:p>
          <w:p w14:paraId="09802474"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14032D24" w14:textId="5BCA0728"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rFonts w:eastAsia="EC Square Sans Pro" w:cs="EC Square Sans Pro"/>
                <w:noProof/>
              </w:rPr>
            </w:pPr>
            <w:r>
              <w:rPr>
                <w:noProof/>
              </w:rPr>
              <w:t>98 9</w:t>
            </w:r>
            <w:r w:rsidR="00102ED0">
              <w:rPr>
                <w:noProof/>
              </w:rPr>
              <w:t>60</w:t>
            </w:r>
            <w:r>
              <w:rPr>
                <w:noProof/>
              </w:rPr>
              <w:t>.</w:t>
            </w:r>
            <w:r w:rsidR="00102ED0">
              <w:rPr>
                <w:noProof/>
              </w:rPr>
              <w:t>7</w:t>
            </w:r>
          </w:p>
          <w:p w14:paraId="58E77DFE"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p>
          <w:p w14:paraId="43D950CA"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02FD3538"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r w:rsidRPr="002F5B03">
              <w:rPr>
                <w:noProof/>
              </w:rPr>
              <w:t>0%</w:t>
            </w:r>
          </w:p>
        </w:tc>
      </w:tr>
      <w:tr w:rsidR="008C407A" w:rsidRPr="002F5B03" w14:paraId="5F8FF436"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6903CCE2" w14:textId="77777777" w:rsidR="008C407A" w:rsidRPr="002F5B03" w:rsidRDefault="008C407A" w:rsidP="00B202C2">
            <w:pPr>
              <w:jc w:val="center"/>
              <w:rPr>
                <w:noProof/>
              </w:rPr>
            </w:pPr>
            <w:r w:rsidRPr="002F5B03">
              <w:rPr>
                <w:noProof/>
              </w:rPr>
              <w:t>Payments</w:t>
            </w:r>
          </w:p>
        </w:tc>
        <w:tc>
          <w:tcPr>
            <w:tcW w:w="2410" w:type="dxa"/>
          </w:tcPr>
          <w:p w14:paraId="51D7D6F0" w14:textId="708166E4" w:rsidR="008C407A" w:rsidRPr="002F5B03" w:rsidRDefault="008C407A" w:rsidP="009B3221">
            <w:pPr>
              <w:jc w:val="center"/>
              <w:cnfStyle w:val="000000000000" w:firstRow="0" w:lastRow="0" w:firstColumn="0" w:lastColumn="0" w:oddVBand="0" w:evenVBand="0" w:oddHBand="0" w:evenHBand="0" w:firstRowFirstColumn="0" w:firstRowLastColumn="0" w:lastRowFirstColumn="0" w:lastRowLastColumn="0"/>
              <w:rPr>
                <w:rFonts w:eastAsia="EC Square Sans Pro" w:cs="EC Square Sans Pro"/>
                <w:noProof/>
              </w:rPr>
            </w:pPr>
            <w:r>
              <w:rPr>
                <w:noProof/>
              </w:rPr>
              <w:t>5.</w:t>
            </w:r>
            <w:r w:rsidR="00102ED0">
              <w:rPr>
                <w:noProof/>
              </w:rPr>
              <w:t>4</w:t>
            </w:r>
          </w:p>
          <w:p w14:paraId="605D910C"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00926DBA"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0C882F6C"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r w:rsidRPr="002F5B03">
              <w:rPr>
                <w:noProof/>
              </w:rPr>
              <w:t>0%</w:t>
            </w:r>
          </w:p>
        </w:tc>
      </w:tr>
    </w:tbl>
    <w:p w14:paraId="3098A6E1" w14:textId="2F551F1B" w:rsidR="008C407A" w:rsidRPr="002F5B03" w:rsidRDefault="008C407A" w:rsidP="008C407A">
      <w:pPr>
        <w:pStyle w:val="ppoTableTabletitle"/>
        <w:rPr>
          <w:noProof/>
        </w:rPr>
      </w:pPr>
      <w:r w:rsidRPr="002F5B03">
        <w:rPr>
          <w:noProof/>
        </w:rPr>
        <w:t xml:space="preserve">Cumulative implementation rate of the recovery assistance for cohesion and the territories of Europe programme </w:t>
      </w:r>
      <w:r w:rsidR="0017337B">
        <w:rPr>
          <w:noProof/>
        </w:rPr>
        <w:t xml:space="preserve">(REACT-EU) </w:t>
      </w:r>
      <w:r w:rsidRPr="002F5B03">
        <w:rPr>
          <w:noProof/>
        </w:rPr>
        <w:t>under the ESF at the end of 2021 (million EUR):</w:t>
      </w:r>
    </w:p>
    <w:tbl>
      <w:tblPr>
        <w:tblStyle w:val="PPO2021"/>
        <w:tblW w:w="0" w:type="auto"/>
        <w:tblInd w:w="0" w:type="dxa"/>
        <w:tblLook w:val="06A0" w:firstRow="1" w:lastRow="0" w:firstColumn="1" w:lastColumn="0" w:noHBand="1" w:noVBand="1"/>
      </w:tblPr>
      <w:tblGrid>
        <w:gridCol w:w="2409"/>
        <w:gridCol w:w="2410"/>
        <w:gridCol w:w="2410"/>
        <w:gridCol w:w="2410"/>
      </w:tblGrid>
      <w:tr w:rsidR="008C407A" w:rsidRPr="002F5B03" w14:paraId="5EBC0046" w14:textId="77777777" w:rsidTr="00B202C2">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9" w:type="dxa"/>
          </w:tcPr>
          <w:p w14:paraId="6B46CD11" w14:textId="77777777" w:rsidR="008C407A" w:rsidRPr="002F5B03" w:rsidRDefault="008C407A" w:rsidP="00B202C2">
            <w:pPr>
              <w:rPr>
                <w:noProof/>
              </w:rPr>
            </w:pPr>
          </w:p>
        </w:tc>
        <w:tc>
          <w:tcPr>
            <w:tcW w:w="2410" w:type="dxa"/>
          </w:tcPr>
          <w:p w14:paraId="16360262" w14:textId="77777777" w:rsidR="008C407A" w:rsidRPr="002F5B03" w:rsidRDefault="008C407A" w:rsidP="00B202C2">
            <w:pPr>
              <w:cnfStyle w:val="100000000000" w:firstRow="1" w:lastRow="0" w:firstColumn="0" w:lastColumn="0" w:oddVBand="0" w:evenVBand="0" w:oddHBand="0" w:evenHBand="0" w:firstRowFirstColumn="0" w:firstRowLastColumn="0" w:lastRowFirstColumn="0" w:lastRowLastColumn="0"/>
              <w:rPr>
                <w:noProof/>
              </w:rPr>
            </w:pPr>
            <w:r w:rsidRPr="002F5B03">
              <w:rPr>
                <w:noProof/>
              </w:rPr>
              <w:t>Implementation</w:t>
            </w:r>
          </w:p>
        </w:tc>
        <w:tc>
          <w:tcPr>
            <w:tcW w:w="2410" w:type="dxa"/>
          </w:tcPr>
          <w:p w14:paraId="31063129" w14:textId="77777777" w:rsidR="008C407A" w:rsidRPr="002F5B03" w:rsidRDefault="008C407A" w:rsidP="00B202C2">
            <w:pPr>
              <w:cnfStyle w:val="100000000000" w:firstRow="1" w:lastRow="0" w:firstColumn="0" w:lastColumn="0" w:oddVBand="0" w:evenVBand="0" w:oddHBand="0" w:evenHBand="0" w:firstRowFirstColumn="0" w:firstRowLastColumn="0" w:lastRowFirstColumn="0" w:lastRowLastColumn="0"/>
              <w:rPr>
                <w:noProof/>
              </w:rPr>
            </w:pPr>
            <w:r w:rsidRPr="002F5B03">
              <w:rPr>
                <w:noProof/>
              </w:rPr>
              <w:t>Budget</w:t>
            </w:r>
          </w:p>
        </w:tc>
        <w:tc>
          <w:tcPr>
            <w:tcW w:w="2410" w:type="dxa"/>
          </w:tcPr>
          <w:p w14:paraId="5598B747" w14:textId="77777777" w:rsidR="008C407A" w:rsidRPr="002F5B03" w:rsidRDefault="008C407A" w:rsidP="00B202C2">
            <w:pPr>
              <w:cnfStyle w:val="100000000000" w:firstRow="1" w:lastRow="0" w:firstColumn="0" w:lastColumn="0" w:oddVBand="0" w:evenVBand="0" w:oddHBand="0" w:evenHBand="0" w:firstRowFirstColumn="0" w:firstRowLastColumn="0" w:lastRowFirstColumn="0" w:lastRowLastColumn="0"/>
              <w:rPr>
                <w:noProof/>
              </w:rPr>
            </w:pPr>
            <w:r w:rsidRPr="002F5B03">
              <w:rPr>
                <w:noProof/>
              </w:rPr>
              <w:t>Implementation rate</w:t>
            </w:r>
          </w:p>
        </w:tc>
      </w:tr>
      <w:tr w:rsidR="008C407A" w:rsidRPr="002F5B03" w14:paraId="5E5CA32C"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6D636354" w14:textId="77777777" w:rsidR="008C407A" w:rsidRPr="002F5B03" w:rsidRDefault="008C407A" w:rsidP="00B202C2">
            <w:pPr>
              <w:jc w:val="center"/>
              <w:rPr>
                <w:noProof/>
              </w:rPr>
            </w:pPr>
            <w:r w:rsidRPr="002F5B03">
              <w:rPr>
                <w:noProof/>
              </w:rPr>
              <w:t>Commitment</w:t>
            </w:r>
          </w:p>
        </w:tc>
        <w:tc>
          <w:tcPr>
            <w:tcW w:w="2410" w:type="dxa"/>
          </w:tcPr>
          <w:p w14:paraId="18E68EEB"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r w:rsidRPr="002F5B03">
              <w:rPr>
                <w:noProof/>
              </w:rPr>
              <w:t>15</w:t>
            </w:r>
            <w:r w:rsidRPr="002F5B03">
              <w:rPr>
                <w:rFonts w:ascii="Calibri" w:hAnsi="Calibri" w:cs="Calibri"/>
                <w:noProof/>
              </w:rPr>
              <w:t> </w:t>
            </w:r>
            <w:r w:rsidRPr="002F5B03">
              <w:rPr>
                <w:noProof/>
              </w:rPr>
              <w:t>434.9</w:t>
            </w:r>
          </w:p>
          <w:p w14:paraId="60059B85"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p>
          <w:p w14:paraId="522C2877"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03192D55" w14:textId="77777777" w:rsidR="008C407A" w:rsidRDefault="008C407A" w:rsidP="00B202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19 161.4</w:t>
            </w:r>
          </w:p>
          <w:p w14:paraId="52F54E39"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p>
          <w:p w14:paraId="27C6BB99"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p>
          <w:p w14:paraId="0E179CB9"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3AE42B44" w14:textId="7B5379FE"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r>
              <w:rPr>
                <w:noProof/>
              </w:rPr>
              <w:t>81</w:t>
            </w:r>
            <w:r w:rsidRPr="002F5B03">
              <w:rPr>
                <w:noProof/>
              </w:rPr>
              <w:t>%</w:t>
            </w:r>
          </w:p>
        </w:tc>
      </w:tr>
      <w:tr w:rsidR="008C407A" w:rsidRPr="002F5B03" w14:paraId="4F73E08C"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22ECB62A" w14:textId="77777777" w:rsidR="008C407A" w:rsidRPr="002F5B03" w:rsidRDefault="008C407A" w:rsidP="00B202C2">
            <w:pPr>
              <w:jc w:val="center"/>
              <w:rPr>
                <w:noProof/>
              </w:rPr>
            </w:pPr>
            <w:r w:rsidRPr="002F5B03">
              <w:rPr>
                <w:noProof/>
              </w:rPr>
              <w:t>Payments</w:t>
            </w:r>
          </w:p>
        </w:tc>
        <w:tc>
          <w:tcPr>
            <w:tcW w:w="2410" w:type="dxa"/>
          </w:tcPr>
          <w:p w14:paraId="6E15214D" w14:textId="14A8FDDC" w:rsidR="008C407A" w:rsidRPr="002F5B03" w:rsidRDefault="008C407A" w:rsidP="009B3221">
            <w:pPr>
              <w:jc w:val="center"/>
              <w:cnfStyle w:val="000000000000" w:firstRow="0" w:lastRow="0" w:firstColumn="0" w:lastColumn="0" w:oddVBand="0" w:evenVBand="0" w:oddHBand="0" w:evenHBand="0" w:firstRowFirstColumn="0" w:firstRowLastColumn="0" w:lastRowFirstColumn="0" w:lastRowLastColumn="0"/>
              <w:rPr>
                <w:rFonts w:eastAsia="EC Square Sans Pro" w:cs="EC Square Sans Pro"/>
                <w:noProof/>
              </w:rPr>
            </w:pPr>
            <w:r>
              <w:rPr>
                <w:noProof/>
              </w:rPr>
              <w:t>2</w:t>
            </w:r>
            <w:r w:rsidRPr="410B50E8">
              <w:rPr>
                <w:rFonts w:ascii="Calibri" w:hAnsi="Calibri" w:cs="Calibri"/>
                <w:noProof/>
              </w:rPr>
              <w:t> </w:t>
            </w:r>
            <w:r>
              <w:rPr>
                <w:noProof/>
              </w:rPr>
              <w:t>08</w:t>
            </w:r>
            <w:r w:rsidR="00102ED0">
              <w:rPr>
                <w:noProof/>
              </w:rPr>
              <w:t>1</w:t>
            </w:r>
            <w:r>
              <w:rPr>
                <w:noProof/>
              </w:rPr>
              <w:t>.</w:t>
            </w:r>
            <w:r w:rsidR="00102ED0">
              <w:rPr>
                <w:noProof/>
              </w:rPr>
              <w:t>1</w:t>
            </w:r>
          </w:p>
          <w:p w14:paraId="3BAB8215"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p>
          <w:p w14:paraId="3DAA23E4"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432FA783"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163A2396" w14:textId="2EA265BF"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r>
              <w:rPr>
                <w:noProof/>
              </w:rPr>
              <w:t>11</w:t>
            </w:r>
            <w:r w:rsidRPr="002F5B03">
              <w:rPr>
                <w:noProof/>
              </w:rPr>
              <w:t>%</w:t>
            </w:r>
          </w:p>
        </w:tc>
      </w:tr>
    </w:tbl>
    <w:p w14:paraId="2B7A3766" w14:textId="77777777" w:rsidR="008C407A" w:rsidRDefault="008C407A" w:rsidP="008C407A">
      <w:pPr>
        <w:rPr>
          <w:noProof/>
        </w:rPr>
      </w:pPr>
    </w:p>
    <w:p w14:paraId="0AAC040C" w14:textId="77777777" w:rsidR="008C407A" w:rsidRPr="002F5B03" w:rsidRDefault="008C407A" w:rsidP="008C407A">
      <w:pPr>
        <w:rPr>
          <w:noProof/>
        </w:rPr>
      </w:pPr>
    </w:p>
    <w:p w14:paraId="0423F87C" w14:textId="77777777" w:rsidR="008C407A" w:rsidRPr="002F5B03" w:rsidRDefault="008C407A" w:rsidP="008C407A">
      <w:pPr>
        <w:pStyle w:val="ppoTableTabletitle"/>
        <w:rPr>
          <w:noProof/>
        </w:rPr>
      </w:pPr>
      <w:r w:rsidRPr="002F5B03">
        <w:rPr>
          <w:noProof/>
        </w:rPr>
        <w:t>Voted budget implementation in 2021 (million EUR):</w:t>
      </w:r>
    </w:p>
    <w:tbl>
      <w:tblPr>
        <w:tblStyle w:val="PPO2021"/>
        <w:tblW w:w="3683" w:type="pct"/>
        <w:tblInd w:w="79" w:type="dxa"/>
        <w:tblLook w:val="04A0" w:firstRow="1" w:lastRow="0" w:firstColumn="1" w:lastColumn="0" w:noHBand="0" w:noVBand="1"/>
      </w:tblPr>
      <w:tblGrid>
        <w:gridCol w:w="2419"/>
        <w:gridCol w:w="2419"/>
        <w:gridCol w:w="2420"/>
      </w:tblGrid>
      <w:tr w:rsidR="008C407A" w:rsidRPr="002F5B03" w14:paraId="0980833C" w14:textId="77777777" w:rsidTr="00B202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73006265" w14:textId="77777777" w:rsidR="008C407A" w:rsidRPr="002F5B03" w:rsidRDefault="008C407A" w:rsidP="00B202C2">
            <w:pPr>
              <w:rPr>
                <w:noProof/>
              </w:rPr>
            </w:pPr>
          </w:p>
        </w:tc>
        <w:tc>
          <w:tcPr>
            <w:tcW w:w="2419" w:type="dxa"/>
          </w:tcPr>
          <w:p w14:paraId="70CBA31E" w14:textId="77777777" w:rsidR="008C407A" w:rsidRPr="002F5B03" w:rsidRDefault="008C407A" w:rsidP="00B202C2">
            <w:pPr>
              <w:cnfStyle w:val="100000000000" w:firstRow="1" w:lastRow="0" w:firstColumn="0" w:lastColumn="0" w:oddVBand="0" w:evenVBand="0" w:oddHBand="0" w:evenHBand="0" w:firstRowFirstColumn="0" w:firstRowLastColumn="0" w:lastRowFirstColumn="0" w:lastRowLastColumn="0"/>
              <w:rPr>
                <w:noProof/>
              </w:rPr>
            </w:pPr>
            <w:r w:rsidRPr="002F5B03">
              <w:rPr>
                <w:noProof/>
              </w:rPr>
              <w:t>Voted budget implementation</w:t>
            </w:r>
          </w:p>
        </w:tc>
        <w:tc>
          <w:tcPr>
            <w:tcW w:w="2420" w:type="dxa"/>
          </w:tcPr>
          <w:p w14:paraId="4F3D9B6D" w14:textId="77777777" w:rsidR="008C407A" w:rsidRPr="002F5B03" w:rsidRDefault="008C407A" w:rsidP="00B202C2">
            <w:pPr>
              <w:cnfStyle w:val="100000000000" w:firstRow="1" w:lastRow="0" w:firstColumn="0" w:lastColumn="0" w:oddVBand="0" w:evenVBand="0" w:oddHBand="0" w:evenHBand="0" w:firstRowFirstColumn="0" w:firstRowLastColumn="0" w:lastRowFirstColumn="0" w:lastRowLastColumn="0"/>
              <w:rPr>
                <w:noProof/>
              </w:rPr>
            </w:pPr>
            <w:r w:rsidRPr="002F5B03">
              <w:rPr>
                <w:noProof/>
              </w:rPr>
              <w:t>Initial voted budget</w:t>
            </w:r>
          </w:p>
        </w:tc>
      </w:tr>
      <w:tr w:rsidR="008C407A" w:rsidRPr="002F5B03" w14:paraId="43506FC0" w14:textId="77777777" w:rsidTr="00B20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22375816" w14:textId="77777777" w:rsidR="008C407A" w:rsidRPr="002F5B03" w:rsidRDefault="008C407A" w:rsidP="00B202C2">
            <w:pPr>
              <w:jc w:val="center"/>
              <w:rPr>
                <w:noProof/>
              </w:rPr>
            </w:pPr>
            <w:r w:rsidRPr="002F5B03">
              <w:rPr>
                <w:noProof/>
              </w:rPr>
              <w:t>Commitments</w:t>
            </w:r>
          </w:p>
        </w:tc>
        <w:tc>
          <w:tcPr>
            <w:tcW w:w="2419" w:type="dxa"/>
          </w:tcPr>
          <w:p w14:paraId="403AFBD0" w14:textId="77777777" w:rsidR="008C407A" w:rsidRPr="002F5B03" w:rsidRDefault="008C407A" w:rsidP="00B202C2">
            <w:pPr>
              <w:jc w:val="center"/>
              <w:cnfStyle w:val="000000100000" w:firstRow="0" w:lastRow="0" w:firstColumn="0" w:lastColumn="0" w:oddVBand="0" w:evenVBand="0" w:oddHBand="1" w:evenHBand="0" w:firstRowFirstColumn="0" w:firstRowLastColumn="0" w:lastRowFirstColumn="0" w:lastRowLastColumn="0"/>
              <w:rPr>
                <w:noProof/>
              </w:rPr>
            </w:pPr>
            <w:r w:rsidRPr="002F5B03">
              <w:rPr>
                <w:noProof/>
              </w:rPr>
              <w:t>143.1</w:t>
            </w:r>
          </w:p>
        </w:tc>
        <w:tc>
          <w:tcPr>
            <w:tcW w:w="2420" w:type="dxa"/>
          </w:tcPr>
          <w:p w14:paraId="31DB40C4" w14:textId="77777777" w:rsidR="008C407A" w:rsidRPr="002F5B03" w:rsidRDefault="008C407A" w:rsidP="00B202C2">
            <w:pPr>
              <w:jc w:val="center"/>
              <w:cnfStyle w:val="000000100000" w:firstRow="0" w:lastRow="0" w:firstColumn="0" w:lastColumn="0" w:oddVBand="0" w:evenVBand="0" w:oddHBand="1" w:evenHBand="0" w:firstRowFirstColumn="0" w:firstRowLastColumn="0" w:lastRowFirstColumn="0" w:lastRowLastColumn="0"/>
              <w:rPr>
                <w:noProof/>
              </w:rPr>
            </w:pPr>
            <w:r w:rsidRPr="002F5B03">
              <w:rPr>
                <w:noProof/>
              </w:rPr>
              <w:t>12</w:t>
            </w:r>
            <w:r w:rsidRPr="002F5B03">
              <w:rPr>
                <w:rFonts w:ascii="Calibri" w:hAnsi="Calibri" w:cs="Calibri"/>
                <w:noProof/>
              </w:rPr>
              <w:t> </w:t>
            </w:r>
            <w:r w:rsidRPr="002F5B03">
              <w:rPr>
                <w:noProof/>
              </w:rPr>
              <w:t>914.6</w:t>
            </w:r>
          </w:p>
        </w:tc>
      </w:tr>
      <w:tr w:rsidR="008C407A" w:rsidRPr="002F5B03" w14:paraId="6EB51BCA" w14:textId="77777777" w:rsidTr="00B20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7FDBFCB3" w14:textId="77777777" w:rsidR="008C407A" w:rsidRPr="002F5B03" w:rsidRDefault="008C407A" w:rsidP="00B202C2">
            <w:pPr>
              <w:jc w:val="center"/>
              <w:rPr>
                <w:noProof/>
              </w:rPr>
            </w:pPr>
            <w:r w:rsidRPr="002F5B03">
              <w:rPr>
                <w:noProof/>
              </w:rPr>
              <w:t>Payments</w:t>
            </w:r>
          </w:p>
        </w:tc>
        <w:tc>
          <w:tcPr>
            <w:tcW w:w="2419" w:type="dxa"/>
          </w:tcPr>
          <w:p w14:paraId="357A6B12" w14:textId="77777777" w:rsidR="008C407A" w:rsidRPr="002F5B03" w:rsidRDefault="008C407A" w:rsidP="00B202C2">
            <w:pPr>
              <w:jc w:val="center"/>
              <w:cnfStyle w:val="000000010000" w:firstRow="0" w:lastRow="0" w:firstColumn="0" w:lastColumn="0" w:oddVBand="0" w:evenVBand="0" w:oddHBand="0" w:evenHBand="1" w:firstRowFirstColumn="0" w:firstRowLastColumn="0" w:lastRowFirstColumn="0" w:lastRowLastColumn="0"/>
              <w:rPr>
                <w:noProof/>
              </w:rPr>
            </w:pPr>
            <w:r w:rsidRPr="002F5B03">
              <w:rPr>
                <w:noProof/>
              </w:rPr>
              <w:t>4.9</w:t>
            </w:r>
          </w:p>
        </w:tc>
        <w:tc>
          <w:tcPr>
            <w:tcW w:w="2420" w:type="dxa"/>
          </w:tcPr>
          <w:p w14:paraId="346A57BF" w14:textId="77777777" w:rsidR="008C407A" w:rsidRPr="002F5B03" w:rsidRDefault="008C407A" w:rsidP="00B202C2">
            <w:pPr>
              <w:jc w:val="center"/>
              <w:cnfStyle w:val="000000010000" w:firstRow="0" w:lastRow="0" w:firstColumn="0" w:lastColumn="0" w:oddVBand="0" w:evenVBand="0" w:oddHBand="0" w:evenHBand="1" w:firstRowFirstColumn="0" w:firstRowLastColumn="0" w:lastRowFirstColumn="0" w:lastRowLastColumn="0"/>
              <w:rPr>
                <w:noProof/>
              </w:rPr>
            </w:pPr>
            <w:r w:rsidRPr="002F5B03">
              <w:rPr>
                <w:noProof/>
              </w:rPr>
              <w:t>552.8</w:t>
            </w:r>
          </w:p>
        </w:tc>
      </w:tr>
    </w:tbl>
    <w:p w14:paraId="34F819AE" w14:textId="77777777" w:rsidR="008C407A" w:rsidRPr="002F5B03" w:rsidRDefault="008C407A" w:rsidP="008C407A">
      <w:pPr>
        <w:pStyle w:val="ppoListHyphened-L1"/>
        <w:rPr>
          <w:noProof/>
        </w:rPr>
      </w:pPr>
      <w:r w:rsidRPr="002F5B03">
        <w:rPr>
          <w:noProof/>
        </w:rPr>
        <w:t>In the shared management strand of the ESF+, significant delays materialised at the start of implementation. The most common reasons for the delays in the preparation of the 2021-2027 programming documents are:</w:t>
      </w:r>
    </w:p>
    <w:p w14:paraId="2CFE0772" w14:textId="77777777" w:rsidR="008C407A" w:rsidRPr="002F5B03" w:rsidRDefault="008C407A" w:rsidP="008C407A">
      <w:pPr>
        <w:pStyle w:val="ppoListHyphened-L1"/>
        <w:numPr>
          <w:ilvl w:val="0"/>
          <w:numId w:val="80"/>
        </w:numPr>
        <w:rPr>
          <w:noProof/>
        </w:rPr>
      </w:pPr>
      <w:r w:rsidRPr="002F5B03">
        <w:rPr>
          <w:noProof/>
        </w:rPr>
        <w:t>the delay in the adoption of the ESF+ regulation (adopted on 24</w:t>
      </w:r>
      <w:r w:rsidRPr="002F5B03">
        <w:rPr>
          <w:rFonts w:ascii="Calibri" w:hAnsi="Calibri" w:cs="Calibri"/>
          <w:noProof/>
        </w:rPr>
        <w:t> </w:t>
      </w:r>
      <w:r w:rsidRPr="002F5B03">
        <w:rPr>
          <w:noProof/>
        </w:rPr>
        <w:t>June 2021);</w:t>
      </w:r>
    </w:p>
    <w:p w14:paraId="28707516" w14:textId="23FE3435" w:rsidR="008C407A" w:rsidRPr="002F5B03" w:rsidRDefault="008C407A" w:rsidP="008C407A">
      <w:pPr>
        <w:pStyle w:val="ppoListHyphened-L1"/>
        <w:numPr>
          <w:ilvl w:val="0"/>
          <w:numId w:val="80"/>
        </w:numPr>
        <w:rPr>
          <w:noProof/>
        </w:rPr>
      </w:pPr>
      <w:r w:rsidRPr="002F5B03">
        <w:rPr>
          <w:noProof/>
        </w:rPr>
        <w:t xml:space="preserve">the priority given by the Member States to the recovery assistance for cohesion and the territories of Europe programme </w:t>
      </w:r>
      <w:r w:rsidR="0017337B" w:rsidRPr="00B70B0E">
        <w:rPr>
          <w:noProof/>
        </w:rPr>
        <w:t xml:space="preserve">(REACT-EU) </w:t>
      </w:r>
      <w:r w:rsidRPr="002F5B03">
        <w:rPr>
          <w:noProof/>
        </w:rPr>
        <w:t>and/or the Recovery and Resilience Facility, given that the possibility to receive support under the former elapses in 2023;</w:t>
      </w:r>
    </w:p>
    <w:p w14:paraId="7D488A35" w14:textId="77777777" w:rsidR="008C407A" w:rsidRPr="002F5B03" w:rsidRDefault="008C407A" w:rsidP="008C407A">
      <w:pPr>
        <w:pStyle w:val="ppoListHyphened-L1"/>
        <w:numPr>
          <w:ilvl w:val="0"/>
          <w:numId w:val="80"/>
        </w:numPr>
        <w:rPr>
          <w:noProof/>
        </w:rPr>
      </w:pPr>
      <w:r w:rsidRPr="002F5B03">
        <w:rPr>
          <w:noProof/>
        </w:rPr>
        <w:t>the extensive reprogramming efforts concerning the Coronavirus Response Investment Initiatives</w:t>
      </w:r>
      <w:r w:rsidRPr="002F5B03">
        <w:rPr>
          <w:rFonts w:ascii="Calibri" w:hAnsi="Calibri" w:cs="Calibri"/>
          <w:noProof/>
        </w:rPr>
        <w:t> –</w:t>
      </w:r>
      <w:r w:rsidRPr="002F5B03">
        <w:rPr>
          <w:noProof/>
        </w:rPr>
        <w:t xml:space="preserve"> as a result, the focus of managing authorities shifted from ESF+ programming to Coronavirus Response Investment Initiative Plus amendments in order to provide an immediate response to the COVID-19 crisis;</w:t>
      </w:r>
    </w:p>
    <w:p w14:paraId="62EAFC74" w14:textId="77777777" w:rsidR="008C407A" w:rsidRPr="002F5B03" w:rsidRDefault="008C407A" w:rsidP="008C407A">
      <w:pPr>
        <w:pStyle w:val="ListParagraph"/>
        <w:numPr>
          <w:ilvl w:val="0"/>
          <w:numId w:val="80"/>
        </w:numPr>
        <w:jc w:val="both"/>
        <w:rPr>
          <w:noProof/>
        </w:rPr>
      </w:pPr>
      <w:r w:rsidRPr="002F5B03">
        <w:rPr>
          <w:noProof/>
        </w:rPr>
        <w:t>problems stemming from the need to activate different funding sources for similar or complementary purposes;</w:t>
      </w:r>
    </w:p>
    <w:p w14:paraId="6BE3C8E0" w14:textId="77777777" w:rsidR="008C407A" w:rsidRPr="002F5B03" w:rsidRDefault="008C407A" w:rsidP="008C407A">
      <w:pPr>
        <w:pStyle w:val="ppoListHyphened-L1"/>
        <w:numPr>
          <w:ilvl w:val="0"/>
          <w:numId w:val="80"/>
        </w:numPr>
        <w:rPr>
          <w:noProof/>
        </w:rPr>
      </w:pPr>
      <w:r w:rsidRPr="002F5B03">
        <w:rPr>
          <w:noProof/>
        </w:rPr>
        <w:t>the absence of agreement between national entities on the allocation of the ESF+ to different programmes;</w:t>
      </w:r>
    </w:p>
    <w:p w14:paraId="1C9E384E" w14:textId="77777777" w:rsidR="008C407A" w:rsidRPr="002F5B03" w:rsidRDefault="008C407A" w:rsidP="008C407A">
      <w:pPr>
        <w:pStyle w:val="ppoListHyphened-L1"/>
        <w:numPr>
          <w:ilvl w:val="0"/>
          <w:numId w:val="80"/>
        </w:numPr>
        <w:rPr>
          <w:noProof/>
        </w:rPr>
      </w:pPr>
      <w:r w:rsidRPr="002F5B03">
        <w:rPr>
          <w:noProof/>
        </w:rPr>
        <w:t>pending decisions on the Just Transition Fund (eligible area of support, scope for intervention, agreement after regional elections, etc.); and</w:t>
      </w:r>
    </w:p>
    <w:p w14:paraId="7CE2D6C8" w14:textId="77777777" w:rsidR="008C407A" w:rsidRPr="002F5B03" w:rsidRDefault="008C407A" w:rsidP="008C407A">
      <w:pPr>
        <w:pStyle w:val="ppoListHyphened-L1"/>
        <w:numPr>
          <w:ilvl w:val="0"/>
          <w:numId w:val="80"/>
        </w:numPr>
        <w:rPr>
          <w:noProof/>
        </w:rPr>
      </w:pPr>
      <w:r w:rsidRPr="002F5B03">
        <w:rPr>
          <w:noProof/>
        </w:rPr>
        <w:t>administrative delays due to governmental changes in around 10 Member States.</w:t>
      </w:r>
    </w:p>
    <w:p w14:paraId="2556BDAE" w14:textId="321F9C7E" w:rsidR="008C407A" w:rsidRPr="002F5B03" w:rsidRDefault="008C407A" w:rsidP="008C407A">
      <w:pPr>
        <w:pStyle w:val="ppoListHyphened-L1"/>
        <w:rPr>
          <w:noProof/>
        </w:rPr>
      </w:pPr>
      <w:r w:rsidRPr="002F5B03">
        <w:rPr>
          <w:noProof/>
        </w:rPr>
        <w:t>As a result of the above delays, the budget allocated in 2021 to the shared management strand of the ESF+ could not be utilised. The implementation of the shared management strand is expected to start in 2022 with the adoption of programmes, for which a pre-financing amount of 0.5% will be paid. In addition, the first interim payments are expected in 2023, depending on the level of implementation on the ground.</w:t>
      </w:r>
    </w:p>
    <w:p w14:paraId="0BB77BFA" w14:textId="77777777" w:rsidR="008C407A" w:rsidRPr="002F5B03" w:rsidRDefault="008C407A" w:rsidP="008C407A">
      <w:pPr>
        <w:pStyle w:val="ppoListHyphened-L1"/>
        <w:rPr>
          <w:noProof/>
        </w:rPr>
      </w:pPr>
      <w:r w:rsidRPr="002F5B03">
        <w:rPr>
          <w:noProof/>
        </w:rPr>
        <w:t>As regards the direct management strand of the ESF+ (EaSI), in 2021 there were delays in the implementation due to the late entry into force of the ESF+ regulation, the impact of the pandemic on meetings and the ability of some of the stakeholders to take part in EaSI calls for proposals. However, the Commission anticipated the preparatory steps by initiating the programming exercise as early as May 2020. The financing decision for 2021 was thus adopted in June 2021, so that implementation could start as soon as possible.</w:t>
      </w:r>
    </w:p>
    <w:p w14:paraId="191BEF67" w14:textId="77777777" w:rsidR="008C407A" w:rsidRPr="002F5B03" w:rsidRDefault="008C407A" w:rsidP="008C407A">
      <w:pPr>
        <w:pStyle w:val="ppoListHyphened-L1"/>
        <w:rPr>
          <w:noProof/>
        </w:rPr>
      </w:pPr>
      <w:r w:rsidRPr="002F5B03">
        <w:rPr>
          <w:noProof/>
        </w:rPr>
        <w:t>DG Employment, Social Affairs and Inclusion’s proposal for the 2023 draft budget acknowledges the difficulties encountered in 2021 and reflects the assessment of the 2022 budget execution. In order to ensure 100% execution from 2023 on, without any abnormal backlog, it was decided to reduce the amount of commitments requested. The cut has been carefully weighted so as not to negatively affect the delivery of the programmes’ objectives in the long term.</w:t>
      </w:r>
    </w:p>
    <w:p w14:paraId="5FBC0421" w14:textId="77777777" w:rsidR="008C407A" w:rsidRPr="002F5B03" w:rsidRDefault="008C407A" w:rsidP="008C407A">
      <w:pPr>
        <w:pStyle w:val="ppoListHyphened-L1"/>
        <w:rPr>
          <w:noProof/>
        </w:rPr>
      </w:pPr>
      <w:r w:rsidRPr="002F5B03">
        <w:rPr>
          <w:noProof/>
        </w:rPr>
        <w:t>Seven calls for proposals were published in 2021, all to be awarded in 2022. In 2022 and 2023, EaSI will continue to support the implementation of the European Pillar of Social Rights. Activities will be programmed and implemented to support the effectiveness of employment and social policies. EaSI will keep supporting evidence-based policymaking through the funding of statistical data on working conditions, as well as studies. In 2022, the Commission will allocate EUR</w:t>
      </w:r>
      <w:r w:rsidRPr="002F5B03">
        <w:rPr>
          <w:rFonts w:ascii="Calibri" w:hAnsi="Calibri" w:cs="Calibri"/>
          <w:noProof/>
        </w:rPr>
        <w:t> </w:t>
      </w:r>
      <w:r w:rsidRPr="002F5B03">
        <w:rPr>
          <w:noProof/>
        </w:rPr>
        <w:t>48</w:t>
      </w:r>
      <w:r w:rsidRPr="002F5B03">
        <w:rPr>
          <w:rFonts w:ascii="Calibri" w:hAnsi="Calibri" w:cs="Calibri"/>
          <w:noProof/>
        </w:rPr>
        <w:t> </w:t>
      </w:r>
      <w:r w:rsidRPr="002F5B03">
        <w:rPr>
          <w:noProof/>
        </w:rPr>
        <w:t>million in grants, EUR</w:t>
      </w:r>
      <w:r w:rsidRPr="002F5B03">
        <w:rPr>
          <w:rFonts w:ascii="Calibri" w:hAnsi="Calibri" w:cs="Calibri"/>
          <w:noProof/>
        </w:rPr>
        <w:t> </w:t>
      </w:r>
      <w:r w:rsidRPr="002F5B03">
        <w:rPr>
          <w:noProof/>
        </w:rPr>
        <w:t>48</w:t>
      </w:r>
      <w:r w:rsidRPr="002F5B03">
        <w:rPr>
          <w:rFonts w:ascii="Calibri" w:hAnsi="Calibri" w:cs="Calibri"/>
          <w:noProof/>
        </w:rPr>
        <w:t> </w:t>
      </w:r>
      <w:r w:rsidRPr="002F5B03">
        <w:rPr>
          <w:noProof/>
        </w:rPr>
        <w:t>million in procurement and EUR</w:t>
      </w:r>
      <w:r w:rsidRPr="002F5B03">
        <w:rPr>
          <w:rFonts w:ascii="Calibri" w:hAnsi="Calibri" w:cs="Calibri"/>
          <w:noProof/>
        </w:rPr>
        <w:t> </w:t>
      </w:r>
      <w:r w:rsidRPr="002F5B03">
        <w:rPr>
          <w:noProof/>
        </w:rPr>
        <w:t>22</w:t>
      </w:r>
      <w:r w:rsidRPr="002F5B03">
        <w:rPr>
          <w:rFonts w:ascii="Calibri" w:hAnsi="Calibri" w:cs="Calibri"/>
          <w:noProof/>
        </w:rPr>
        <w:t> </w:t>
      </w:r>
      <w:r w:rsidRPr="002F5B03">
        <w:rPr>
          <w:noProof/>
        </w:rPr>
        <w:t>million in indirect management.</w:t>
      </w:r>
    </w:p>
    <w:p w14:paraId="4AF74B4A" w14:textId="77777777" w:rsidR="008C407A" w:rsidRPr="002F5B03" w:rsidRDefault="008C407A" w:rsidP="008C407A">
      <w:pPr>
        <w:pStyle w:val="ppoListHyphened-L1"/>
        <w:rPr>
          <w:noProof/>
        </w:rPr>
      </w:pPr>
      <w:r w:rsidRPr="002F5B03">
        <w:rPr>
          <w:noProof/>
        </w:rPr>
        <w:t>EaSI will continue activities to enhance cooperation in tackling undeclared work under Decision (EU) 2016/344. It will also continue to support the implementation of the EURES regulation (Regulation (EU) 2016/589). Action to support targeted mobility schemes and cross-border cooperation will be stepped up, building on the experiences gained in previous years. However, the support provided to the EURES network will no longer be funded under EaSI as the European Labour Authority will take it over under the current multiannual financial framework.</w:t>
      </w:r>
    </w:p>
    <w:p w14:paraId="0C1045E7" w14:textId="01C350C3" w:rsidR="008C407A" w:rsidRPr="002F5B03" w:rsidRDefault="008C407A" w:rsidP="008C407A">
      <w:pPr>
        <w:pStyle w:val="ppoListHyphened-L1"/>
        <w:rPr>
          <w:noProof/>
        </w:rPr>
      </w:pPr>
      <w:r w:rsidRPr="002F5B03">
        <w:rPr>
          <w:noProof/>
        </w:rPr>
        <w:t xml:space="preserve">The recovery assistance for cohesion and the territories of Europe programme </w:t>
      </w:r>
      <w:r w:rsidR="0017337B" w:rsidRPr="00B70B0E">
        <w:rPr>
          <w:noProof/>
        </w:rPr>
        <w:t xml:space="preserve">(REACT-EU) </w:t>
      </w:r>
      <w:r w:rsidRPr="002F5B03">
        <w:rPr>
          <w:noProof/>
        </w:rPr>
        <w:t>will ensure a smooth transition between the 2014-2020 and 2021-2027 periods. It will provide financial support to the Member States to help them recover from the economic and social consequences of the COVID-19 crisis. In 2021, an initial pre-financing amount of 11% was paid upon the adoption of the related programmes (both ESF and FEAD) to help Member States put quick and efficient delivery in place for recovery measures.</w:t>
      </w:r>
    </w:p>
    <w:p w14:paraId="67567799" w14:textId="77777777" w:rsidR="008C407A" w:rsidRPr="002F5B03" w:rsidRDefault="008C407A" w:rsidP="008C407A">
      <w:pPr>
        <w:pStyle w:val="ppoHeading5"/>
        <w:rPr>
          <w:noProof/>
        </w:rPr>
      </w:pPr>
      <w:r w:rsidRPr="002F5B03">
        <w:rPr>
          <w:noProof/>
        </w:rPr>
        <w:t>Contribution to horizontal priorities</w:t>
      </w:r>
    </w:p>
    <w:p w14:paraId="7B3709C3" w14:textId="3CFE0B27" w:rsidR="008C407A" w:rsidRPr="002F5B03" w:rsidRDefault="008C407A" w:rsidP="008C407A">
      <w:pPr>
        <w:pStyle w:val="ppoTableTabletitle"/>
        <w:rPr>
          <w:noProof/>
        </w:rPr>
      </w:pPr>
      <w:r w:rsidRPr="002F5B03">
        <w:rPr>
          <w:noProof/>
        </w:rPr>
        <w:t>EU budget contribution in 2021 (excluding the shared management strand, for which the programmes will only be adopted in 2022) (million EUR):</w:t>
      </w:r>
    </w:p>
    <w:tbl>
      <w:tblPr>
        <w:tblStyle w:val="PPO2021"/>
        <w:tblW w:w="9639" w:type="dxa"/>
        <w:tblInd w:w="0" w:type="dxa"/>
        <w:tblLook w:val="0420" w:firstRow="1" w:lastRow="0" w:firstColumn="0" w:lastColumn="0" w:noHBand="0" w:noVBand="1"/>
      </w:tblPr>
      <w:tblGrid>
        <w:gridCol w:w="3213"/>
        <w:gridCol w:w="3213"/>
        <w:gridCol w:w="3213"/>
      </w:tblGrid>
      <w:tr w:rsidR="008C407A" w:rsidRPr="002F5B03" w14:paraId="07492F09" w14:textId="77777777" w:rsidTr="00B202C2">
        <w:trPr>
          <w:cnfStyle w:val="100000000000" w:firstRow="1" w:lastRow="0" w:firstColumn="0" w:lastColumn="0" w:oddVBand="0" w:evenVBand="0" w:oddHBand="0" w:evenHBand="0" w:firstRowFirstColumn="0" w:firstRowLastColumn="0" w:lastRowFirstColumn="0" w:lastRowLastColumn="0"/>
          <w:tblHeader/>
        </w:trPr>
        <w:tc>
          <w:tcPr>
            <w:tcW w:w="3213" w:type="dxa"/>
          </w:tcPr>
          <w:p w14:paraId="097E6E3C" w14:textId="77777777" w:rsidR="008C407A" w:rsidRPr="002F5B03" w:rsidRDefault="008C407A" w:rsidP="00B202C2">
            <w:pPr>
              <w:rPr>
                <w:noProof/>
              </w:rPr>
            </w:pPr>
            <w:r w:rsidRPr="002F5B03">
              <w:rPr>
                <w:noProof/>
              </w:rPr>
              <w:t>Climate</w:t>
            </w:r>
          </w:p>
        </w:tc>
        <w:tc>
          <w:tcPr>
            <w:tcW w:w="3213" w:type="dxa"/>
          </w:tcPr>
          <w:p w14:paraId="5257B8F4" w14:textId="77777777" w:rsidR="008C407A" w:rsidRPr="002F5B03" w:rsidRDefault="008C407A" w:rsidP="00B202C2">
            <w:pPr>
              <w:rPr>
                <w:noProof/>
              </w:rPr>
            </w:pPr>
            <w:r w:rsidRPr="002F5B03">
              <w:rPr>
                <w:noProof/>
              </w:rPr>
              <w:t>Biodiversity</w:t>
            </w:r>
          </w:p>
        </w:tc>
        <w:tc>
          <w:tcPr>
            <w:tcW w:w="3213" w:type="dxa"/>
          </w:tcPr>
          <w:p w14:paraId="0A5F5B96" w14:textId="77777777" w:rsidR="008C407A" w:rsidRPr="002F5B03" w:rsidRDefault="008C407A" w:rsidP="00B202C2">
            <w:pPr>
              <w:rPr>
                <w:noProof/>
              </w:rPr>
            </w:pPr>
            <w:r w:rsidRPr="002F5B03">
              <w:rPr>
                <w:noProof/>
              </w:rPr>
              <w:t>Gender equality</w:t>
            </w:r>
            <w:r w:rsidRPr="002F5B03">
              <w:rPr>
                <w:rFonts w:ascii="Calibri" w:hAnsi="Calibri" w:cs="Calibri"/>
                <w:noProof/>
              </w:rPr>
              <w:t> (</w:t>
            </w:r>
            <w:r w:rsidRPr="002F5B03">
              <w:rPr>
                <w:noProof/>
              </w:rPr>
              <w:t>*)</w:t>
            </w:r>
          </w:p>
        </w:tc>
      </w:tr>
      <w:tr w:rsidR="008C407A" w:rsidRPr="002F5B03" w14:paraId="3332EA00" w14:textId="77777777" w:rsidTr="00B202C2">
        <w:trPr>
          <w:cnfStyle w:val="000000100000" w:firstRow="0" w:lastRow="0" w:firstColumn="0" w:lastColumn="0" w:oddVBand="0" w:evenVBand="0" w:oddHBand="1" w:evenHBand="0" w:firstRowFirstColumn="0" w:firstRowLastColumn="0" w:lastRowFirstColumn="0" w:lastRowLastColumn="0"/>
        </w:trPr>
        <w:tc>
          <w:tcPr>
            <w:tcW w:w="3213" w:type="dxa"/>
          </w:tcPr>
          <w:p w14:paraId="1D9E1FD3" w14:textId="0EA23121" w:rsidR="008C407A" w:rsidRPr="002F5B03" w:rsidRDefault="008C407A" w:rsidP="00B202C2">
            <w:pPr>
              <w:jc w:val="center"/>
              <w:rPr>
                <w:noProof/>
              </w:rPr>
            </w:pPr>
            <w:r w:rsidRPr="002F5B03">
              <w:rPr>
                <w:noProof/>
              </w:rPr>
              <w:t>0.2</w:t>
            </w:r>
            <w:r w:rsidR="00194625">
              <w:rPr>
                <w:noProof/>
              </w:rPr>
              <w:t>2</w:t>
            </w:r>
          </w:p>
        </w:tc>
        <w:tc>
          <w:tcPr>
            <w:tcW w:w="3213" w:type="dxa"/>
          </w:tcPr>
          <w:p w14:paraId="563793EE" w14:textId="77777777" w:rsidR="008C407A" w:rsidRPr="002F5B03" w:rsidRDefault="008C407A" w:rsidP="00B202C2">
            <w:pPr>
              <w:jc w:val="center"/>
              <w:rPr>
                <w:noProof/>
              </w:rPr>
            </w:pPr>
            <w:r w:rsidRPr="002F5B03">
              <w:rPr>
                <w:noProof/>
              </w:rPr>
              <w:t>0.00</w:t>
            </w:r>
          </w:p>
        </w:tc>
        <w:tc>
          <w:tcPr>
            <w:tcW w:w="3213" w:type="dxa"/>
          </w:tcPr>
          <w:p w14:paraId="2D32E6BB" w14:textId="78FEA77E" w:rsidR="008C407A" w:rsidRPr="002F5B03" w:rsidRDefault="008C407A" w:rsidP="00B202C2">
            <w:pPr>
              <w:jc w:val="center"/>
              <w:rPr>
                <w:noProof/>
              </w:rPr>
            </w:pPr>
            <w:r w:rsidRPr="002F5B03">
              <w:rPr>
                <w:noProof/>
              </w:rPr>
              <w:t>Score 0*: EUR</w:t>
            </w:r>
            <w:r w:rsidRPr="002F5B03">
              <w:rPr>
                <w:rFonts w:ascii="Calibri" w:hAnsi="Calibri" w:cs="Calibri"/>
                <w:noProof/>
              </w:rPr>
              <w:t> </w:t>
            </w:r>
            <w:r w:rsidR="00283F23">
              <w:rPr>
                <w:noProof/>
              </w:rPr>
              <w:t>143.1</w:t>
            </w:r>
            <w:r w:rsidRPr="002F5B03">
              <w:rPr>
                <w:rFonts w:ascii="Calibri" w:hAnsi="Calibri" w:cs="Calibri"/>
                <w:noProof/>
              </w:rPr>
              <w:t> </w:t>
            </w:r>
            <w:r w:rsidRPr="002F5B03">
              <w:rPr>
                <w:noProof/>
              </w:rPr>
              <w:t>million</w:t>
            </w:r>
          </w:p>
          <w:p w14:paraId="14CA6289" w14:textId="77777777" w:rsidR="008C407A" w:rsidRPr="002F5B03" w:rsidRDefault="008C407A" w:rsidP="00B202C2">
            <w:pPr>
              <w:jc w:val="center"/>
              <w:rPr>
                <w:noProof/>
              </w:rPr>
            </w:pPr>
            <w:r w:rsidRPr="002F5B03">
              <w:rPr>
                <w:noProof/>
              </w:rPr>
              <w:t>Score 1: 0</w:t>
            </w:r>
          </w:p>
        </w:tc>
      </w:tr>
    </w:tbl>
    <w:p w14:paraId="4347DFBC" w14:textId="77777777" w:rsidR="008C407A" w:rsidRPr="002F5B03" w:rsidRDefault="008C407A" w:rsidP="008C407A">
      <w:pPr>
        <w:pStyle w:val="FootnoteText"/>
        <w:rPr>
          <w:noProof/>
        </w:rPr>
      </w:pPr>
      <w:r w:rsidRPr="002F5B03">
        <w:rPr>
          <w:noProof/>
        </w:rPr>
        <w:t>(*)</w:t>
      </w:r>
      <w:r w:rsidRPr="002F5B03">
        <w:rPr>
          <w:noProof/>
        </w:rPr>
        <w:tab/>
        <w:t>Based on the applied gender contribution methodology, the following scores are attributed at the most granular level of intervention possible:</w:t>
      </w:r>
    </w:p>
    <w:p w14:paraId="375F120E" w14:textId="77777777" w:rsidR="008C407A" w:rsidRPr="002F5B03" w:rsidRDefault="008C407A" w:rsidP="008C407A">
      <w:pPr>
        <w:pStyle w:val="FootnoteText"/>
        <w:numPr>
          <w:ilvl w:val="0"/>
          <w:numId w:val="38"/>
        </w:numPr>
        <w:spacing w:after="60" w:line="264" w:lineRule="auto"/>
        <w:jc w:val="left"/>
        <w:rPr>
          <w:noProof/>
        </w:rPr>
      </w:pPr>
      <w:r w:rsidRPr="002F5B03">
        <w:rPr>
          <w:noProof/>
        </w:rPr>
        <w:t>2: interventions the principal objective of which is to improve gender equality;</w:t>
      </w:r>
    </w:p>
    <w:p w14:paraId="554465FF" w14:textId="77777777" w:rsidR="008C407A" w:rsidRPr="002F5B03" w:rsidRDefault="008C407A" w:rsidP="008C407A">
      <w:pPr>
        <w:pStyle w:val="FootnoteText"/>
        <w:numPr>
          <w:ilvl w:val="0"/>
          <w:numId w:val="38"/>
        </w:numPr>
        <w:spacing w:after="60" w:line="264" w:lineRule="auto"/>
        <w:jc w:val="left"/>
        <w:rPr>
          <w:noProof/>
        </w:rPr>
      </w:pPr>
      <w:r w:rsidRPr="002F5B03">
        <w:rPr>
          <w:noProof/>
        </w:rPr>
        <w:t>1: interventions that have gender equality as an important and deliberate objective but not as the main reason for the intervention;</w:t>
      </w:r>
    </w:p>
    <w:p w14:paraId="3C09C958" w14:textId="77777777" w:rsidR="008C407A" w:rsidRPr="002F5B03" w:rsidRDefault="008C407A" w:rsidP="008C407A">
      <w:pPr>
        <w:pStyle w:val="FootnoteText"/>
        <w:numPr>
          <w:ilvl w:val="0"/>
          <w:numId w:val="38"/>
        </w:numPr>
        <w:spacing w:after="60" w:line="264" w:lineRule="auto"/>
        <w:jc w:val="left"/>
        <w:rPr>
          <w:noProof/>
        </w:rPr>
      </w:pPr>
      <w:r w:rsidRPr="002F5B03">
        <w:rPr>
          <w:noProof/>
        </w:rPr>
        <w:t>0: non-targeted interventions;</w:t>
      </w:r>
    </w:p>
    <w:p w14:paraId="5E7E0969" w14:textId="77777777" w:rsidR="008C407A" w:rsidRPr="002F5B03" w:rsidRDefault="008C407A" w:rsidP="008C407A">
      <w:pPr>
        <w:pStyle w:val="FootnoteText"/>
        <w:numPr>
          <w:ilvl w:val="0"/>
          <w:numId w:val="38"/>
        </w:numPr>
        <w:spacing w:after="60" w:line="264" w:lineRule="auto"/>
        <w:jc w:val="left"/>
        <w:rPr>
          <w:noProof/>
        </w:rPr>
      </w:pPr>
      <w:r w:rsidRPr="002F5B03">
        <w:rPr>
          <w:noProof/>
        </w:rPr>
        <w:t>0*: score to be assigned to interventions with a likely but not yet clear positive impact on gender equality.</w:t>
      </w:r>
    </w:p>
    <w:p w14:paraId="243BF62F" w14:textId="77777777" w:rsidR="008C407A" w:rsidRPr="002F5B03" w:rsidRDefault="008C407A" w:rsidP="008C407A">
      <w:pPr>
        <w:pStyle w:val="ppoHeading5"/>
        <w:rPr>
          <w:noProof/>
        </w:rPr>
      </w:pPr>
      <w:r w:rsidRPr="002F5B03">
        <w:rPr>
          <w:noProof/>
        </w:rPr>
        <w:t>Performance assessment</w:t>
      </w:r>
    </w:p>
    <w:p w14:paraId="2B603846" w14:textId="77777777" w:rsidR="008C407A" w:rsidRPr="002F5B03" w:rsidRDefault="008C407A" w:rsidP="008C407A">
      <w:pPr>
        <w:pStyle w:val="ppoHeading6"/>
        <w:rPr>
          <w:noProof/>
        </w:rPr>
      </w:pPr>
      <w:r w:rsidRPr="002F5B03">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8C407A" w:rsidRPr="002F5B03" w14:paraId="69C9F598" w14:textId="77777777" w:rsidTr="00B202C2">
        <w:trPr>
          <w:cnfStyle w:val="100000000000" w:firstRow="1" w:lastRow="0" w:firstColumn="0" w:lastColumn="0" w:oddVBand="0" w:evenVBand="0" w:oddHBand="0" w:evenHBand="0" w:firstRowFirstColumn="0" w:firstRowLastColumn="0" w:lastRowFirstColumn="0" w:lastRowLastColumn="0"/>
        </w:trPr>
        <w:tc>
          <w:tcPr>
            <w:tcW w:w="2330" w:type="dxa"/>
          </w:tcPr>
          <w:p w14:paraId="255BAF0C" w14:textId="77777777" w:rsidR="008C407A" w:rsidRPr="002F5B03" w:rsidRDefault="008C407A" w:rsidP="00B202C2">
            <w:pPr>
              <w:rPr>
                <w:noProof/>
              </w:rPr>
            </w:pPr>
          </w:p>
        </w:tc>
        <w:tc>
          <w:tcPr>
            <w:tcW w:w="1100" w:type="dxa"/>
          </w:tcPr>
          <w:p w14:paraId="49571C20" w14:textId="77777777" w:rsidR="008C407A" w:rsidRPr="002F5B03" w:rsidRDefault="008C407A" w:rsidP="00B202C2">
            <w:pPr>
              <w:rPr>
                <w:noProof/>
              </w:rPr>
            </w:pPr>
            <w:r w:rsidRPr="002F5B03">
              <w:rPr>
                <w:noProof/>
              </w:rPr>
              <w:t>Baseline</w:t>
            </w:r>
          </w:p>
        </w:tc>
        <w:tc>
          <w:tcPr>
            <w:tcW w:w="1526" w:type="dxa"/>
          </w:tcPr>
          <w:p w14:paraId="2DDEDD61" w14:textId="77777777" w:rsidR="008C407A" w:rsidRPr="002F5B03" w:rsidRDefault="008C407A" w:rsidP="00B202C2">
            <w:pPr>
              <w:rPr>
                <w:noProof/>
              </w:rPr>
            </w:pPr>
            <w:r w:rsidRPr="002F5B03">
              <w:rPr>
                <w:noProof/>
              </w:rPr>
              <w:t>Progress</w:t>
            </w:r>
            <w:r w:rsidRPr="002F5B03">
              <w:rPr>
                <w:rFonts w:ascii="Calibri" w:hAnsi="Calibri" w:cs="Calibri"/>
                <w:noProof/>
              </w:rPr>
              <w:t> (*)</w:t>
            </w:r>
          </w:p>
        </w:tc>
        <w:tc>
          <w:tcPr>
            <w:tcW w:w="1532" w:type="dxa"/>
          </w:tcPr>
          <w:p w14:paraId="59DF9F57" w14:textId="77777777" w:rsidR="008C407A" w:rsidRPr="002F5B03" w:rsidRDefault="008C407A" w:rsidP="00B202C2">
            <w:pPr>
              <w:rPr>
                <w:noProof/>
              </w:rPr>
            </w:pPr>
            <w:r w:rsidRPr="002F5B03">
              <w:rPr>
                <w:noProof/>
              </w:rPr>
              <w:t>Target</w:t>
            </w:r>
          </w:p>
        </w:tc>
        <w:tc>
          <w:tcPr>
            <w:tcW w:w="1572" w:type="dxa"/>
          </w:tcPr>
          <w:p w14:paraId="72F0A2EC" w14:textId="77777777" w:rsidR="008C407A" w:rsidRPr="002F5B03" w:rsidRDefault="008C407A" w:rsidP="00B202C2">
            <w:pPr>
              <w:rPr>
                <w:noProof/>
              </w:rPr>
            </w:pPr>
            <w:r w:rsidRPr="002F5B03">
              <w:rPr>
                <w:noProof/>
              </w:rPr>
              <w:t>Results</w:t>
            </w:r>
          </w:p>
        </w:tc>
        <w:tc>
          <w:tcPr>
            <w:tcW w:w="1579" w:type="dxa"/>
          </w:tcPr>
          <w:p w14:paraId="14A71B2B" w14:textId="77777777" w:rsidR="008C407A" w:rsidRPr="002F5B03" w:rsidRDefault="008C407A" w:rsidP="00B202C2">
            <w:pPr>
              <w:rPr>
                <w:noProof/>
              </w:rPr>
            </w:pPr>
            <w:r w:rsidRPr="002F5B03">
              <w:rPr>
                <w:noProof/>
              </w:rPr>
              <w:t>Assessment</w:t>
            </w:r>
          </w:p>
        </w:tc>
      </w:tr>
      <w:tr w:rsidR="008C407A" w:rsidRPr="002F5B03" w14:paraId="448E6CEB" w14:textId="77777777" w:rsidTr="00B202C2">
        <w:trPr>
          <w:cnfStyle w:val="000000100000" w:firstRow="0" w:lastRow="0" w:firstColumn="0" w:lastColumn="0" w:oddVBand="0" w:evenVBand="0" w:oddHBand="1" w:evenHBand="0" w:firstRowFirstColumn="0" w:firstRowLastColumn="0" w:lastRowFirstColumn="0" w:lastRowLastColumn="0"/>
        </w:trPr>
        <w:tc>
          <w:tcPr>
            <w:tcW w:w="2330" w:type="dxa"/>
          </w:tcPr>
          <w:p w14:paraId="03DFB22C" w14:textId="77777777" w:rsidR="008C407A" w:rsidRPr="002F5B03" w:rsidRDefault="008C407A" w:rsidP="00B202C2">
            <w:pPr>
              <w:rPr>
                <w:noProof/>
              </w:rPr>
            </w:pPr>
            <w:r w:rsidRPr="002F5B03">
              <w:rPr>
                <w:noProof/>
              </w:rPr>
              <w:t>Unemployed, including long-term unemployed, participants reached</w:t>
            </w:r>
          </w:p>
        </w:tc>
        <w:tc>
          <w:tcPr>
            <w:tcW w:w="1100" w:type="dxa"/>
          </w:tcPr>
          <w:p w14:paraId="37C2EF51" w14:textId="77777777" w:rsidR="008C407A" w:rsidRPr="002F5B03" w:rsidRDefault="008C407A" w:rsidP="00B202C2">
            <w:pPr>
              <w:jc w:val="center"/>
              <w:rPr>
                <w:noProof/>
              </w:rPr>
            </w:pPr>
          </w:p>
        </w:tc>
        <w:tc>
          <w:tcPr>
            <w:tcW w:w="1526" w:type="dxa"/>
          </w:tcPr>
          <w:p w14:paraId="4C63CC25" w14:textId="77777777" w:rsidR="008C407A" w:rsidRPr="002F5B03" w:rsidRDefault="008C407A" w:rsidP="00B202C2">
            <w:pPr>
              <w:jc w:val="center"/>
              <w:rPr>
                <w:b/>
                <w:noProof/>
              </w:rPr>
            </w:pPr>
          </w:p>
        </w:tc>
        <w:tc>
          <w:tcPr>
            <w:tcW w:w="1532" w:type="dxa"/>
          </w:tcPr>
          <w:p w14:paraId="2B9B797D" w14:textId="77777777" w:rsidR="008C407A" w:rsidRPr="002F5B03" w:rsidRDefault="008C407A" w:rsidP="00B202C2">
            <w:pPr>
              <w:jc w:val="center"/>
              <w:rPr>
                <w:noProof/>
              </w:rPr>
            </w:pPr>
          </w:p>
        </w:tc>
        <w:tc>
          <w:tcPr>
            <w:tcW w:w="1572" w:type="dxa"/>
          </w:tcPr>
          <w:p w14:paraId="06908648" w14:textId="50A31F8A" w:rsidR="008C407A" w:rsidRPr="002F5B03" w:rsidRDefault="00E96362" w:rsidP="00B202C2">
            <w:pPr>
              <w:jc w:val="center"/>
              <w:rPr>
                <w:noProof/>
              </w:rPr>
            </w:pPr>
            <w:r>
              <w:rPr>
                <w:noProof/>
              </w:rPr>
              <w:t>No results</w:t>
            </w:r>
          </w:p>
        </w:tc>
        <w:tc>
          <w:tcPr>
            <w:tcW w:w="1579" w:type="dxa"/>
          </w:tcPr>
          <w:p w14:paraId="717C31C6" w14:textId="10F38214" w:rsidR="008C407A" w:rsidRPr="002F5B03" w:rsidRDefault="00E96362" w:rsidP="00B202C2">
            <w:pPr>
              <w:jc w:val="center"/>
              <w:rPr>
                <w:noProof/>
              </w:rPr>
            </w:pPr>
            <w:r>
              <w:rPr>
                <w:noProof/>
              </w:rPr>
              <w:t>No data</w:t>
            </w:r>
          </w:p>
        </w:tc>
      </w:tr>
      <w:tr w:rsidR="00E96362" w:rsidRPr="002F5B03" w14:paraId="290680BB" w14:textId="77777777" w:rsidTr="00B202C2">
        <w:trPr>
          <w:cnfStyle w:val="000000010000" w:firstRow="0" w:lastRow="0" w:firstColumn="0" w:lastColumn="0" w:oddVBand="0" w:evenVBand="0" w:oddHBand="0" w:evenHBand="1" w:firstRowFirstColumn="0" w:firstRowLastColumn="0" w:lastRowFirstColumn="0" w:lastRowLastColumn="0"/>
        </w:trPr>
        <w:tc>
          <w:tcPr>
            <w:tcW w:w="2330" w:type="dxa"/>
          </w:tcPr>
          <w:p w14:paraId="26F5541B" w14:textId="77777777" w:rsidR="00E96362" w:rsidRPr="002F5B03" w:rsidRDefault="00E96362" w:rsidP="00E96362">
            <w:pPr>
              <w:rPr>
                <w:noProof/>
              </w:rPr>
            </w:pPr>
            <w:r w:rsidRPr="002F5B03">
              <w:rPr>
                <w:noProof/>
              </w:rPr>
              <w:t>Number of participants aged 55</w:t>
            </w:r>
            <w:r w:rsidRPr="002F5B03">
              <w:rPr>
                <w:rFonts w:ascii="Calibri" w:hAnsi="Calibri" w:cs="Calibri"/>
                <w:noProof/>
              </w:rPr>
              <w:t> </w:t>
            </w:r>
            <w:r w:rsidRPr="002F5B03">
              <w:rPr>
                <w:noProof/>
              </w:rPr>
              <w:t>years and above reached</w:t>
            </w:r>
          </w:p>
        </w:tc>
        <w:tc>
          <w:tcPr>
            <w:tcW w:w="1100" w:type="dxa"/>
          </w:tcPr>
          <w:p w14:paraId="2CA85664" w14:textId="77777777" w:rsidR="00E96362" w:rsidRPr="002F5B03" w:rsidRDefault="00E96362" w:rsidP="00E96362">
            <w:pPr>
              <w:jc w:val="center"/>
              <w:rPr>
                <w:noProof/>
              </w:rPr>
            </w:pPr>
          </w:p>
        </w:tc>
        <w:tc>
          <w:tcPr>
            <w:tcW w:w="1526" w:type="dxa"/>
          </w:tcPr>
          <w:p w14:paraId="51071836" w14:textId="77777777" w:rsidR="00E96362" w:rsidRPr="002F5B03" w:rsidRDefault="00E96362" w:rsidP="00E96362">
            <w:pPr>
              <w:jc w:val="center"/>
              <w:rPr>
                <w:b/>
                <w:noProof/>
              </w:rPr>
            </w:pPr>
          </w:p>
        </w:tc>
        <w:tc>
          <w:tcPr>
            <w:tcW w:w="1532" w:type="dxa"/>
          </w:tcPr>
          <w:p w14:paraId="1838C050" w14:textId="77777777" w:rsidR="00E96362" w:rsidRPr="002F5B03" w:rsidRDefault="00E96362" w:rsidP="00E96362">
            <w:pPr>
              <w:jc w:val="center"/>
              <w:rPr>
                <w:noProof/>
              </w:rPr>
            </w:pPr>
          </w:p>
        </w:tc>
        <w:tc>
          <w:tcPr>
            <w:tcW w:w="1572" w:type="dxa"/>
          </w:tcPr>
          <w:p w14:paraId="543677BB" w14:textId="251AB666" w:rsidR="00E96362" w:rsidRPr="002F5B03" w:rsidRDefault="00E96362" w:rsidP="00E96362">
            <w:pPr>
              <w:jc w:val="center"/>
              <w:rPr>
                <w:noProof/>
              </w:rPr>
            </w:pPr>
            <w:r>
              <w:rPr>
                <w:noProof/>
              </w:rPr>
              <w:t>No results</w:t>
            </w:r>
          </w:p>
        </w:tc>
        <w:tc>
          <w:tcPr>
            <w:tcW w:w="1579" w:type="dxa"/>
          </w:tcPr>
          <w:p w14:paraId="489C2364" w14:textId="0CD439B4" w:rsidR="00E96362" w:rsidRPr="002F5B03" w:rsidRDefault="00E96362" w:rsidP="00E96362">
            <w:pPr>
              <w:jc w:val="center"/>
              <w:rPr>
                <w:noProof/>
              </w:rPr>
            </w:pPr>
            <w:r>
              <w:rPr>
                <w:noProof/>
              </w:rPr>
              <w:t>No data</w:t>
            </w:r>
          </w:p>
        </w:tc>
      </w:tr>
      <w:tr w:rsidR="00E96362" w:rsidRPr="002F5B03" w14:paraId="6C8D90D9" w14:textId="77777777" w:rsidTr="00B202C2">
        <w:trPr>
          <w:cnfStyle w:val="000000100000" w:firstRow="0" w:lastRow="0" w:firstColumn="0" w:lastColumn="0" w:oddVBand="0" w:evenVBand="0" w:oddHBand="1" w:evenHBand="0" w:firstRowFirstColumn="0" w:firstRowLastColumn="0" w:lastRowFirstColumn="0" w:lastRowLastColumn="0"/>
        </w:trPr>
        <w:tc>
          <w:tcPr>
            <w:tcW w:w="2330" w:type="dxa"/>
          </w:tcPr>
          <w:p w14:paraId="798551C2" w14:textId="77777777" w:rsidR="00E96362" w:rsidRPr="002F5B03" w:rsidRDefault="00E96362" w:rsidP="00E96362">
            <w:pPr>
              <w:rPr>
                <w:noProof/>
              </w:rPr>
            </w:pPr>
            <w:r w:rsidRPr="002F5B03">
              <w:rPr>
                <w:noProof/>
              </w:rPr>
              <w:t>Young people aged 18-29</w:t>
            </w:r>
            <w:r w:rsidRPr="002F5B03">
              <w:rPr>
                <w:rFonts w:ascii="Calibri" w:hAnsi="Calibri" w:cs="Calibri"/>
                <w:noProof/>
              </w:rPr>
              <w:t> </w:t>
            </w:r>
            <w:r w:rsidRPr="002F5B03">
              <w:rPr>
                <w:noProof/>
              </w:rPr>
              <w:t>years reached</w:t>
            </w:r>
          </w:p>
        </w:tc>
        <w:tc>
          <w:tcPr>
            <w:tcW w:w="1100" w:type="dxa"/>
          </w:tcPr>
          <w:p w14:paraId="0A9E78CA" w14:textId="77777777" w:rsidR="00E96362" w:rsidRPr="002F5B03" w:rsidRDefault="00E96362" w:rsidP="00E96362">
            <w:pPr>
              <w:jc w:val="center"/>
              <w:rPr>
                <w:noProof/>
              </w:rPr>
            </w:pPr>
          </w:p>
        </w:tc>
        <w:tc>
          <w:tcPr>
            <w:tcW w:w="1526" w:type="dxa"/>
          </w:tcPr>
          <w:p w14:paraId="7C8C93DA" w14:textId="77777777" w:rsidR="00E96362" w:rsidRPr="002F5B03" w:rsidRDefault="00E96362" w:rsidP="00E96362">
            <w:pPr>
              <w:jc w:val="center"/>
              <w:rPr>
                <w:b/>
                <w:noProof/>
              </w:rPr>
            </w:pPr>
          </w:p>
        </w:tc>
        <w:tc>
          <w:tcPr>
            <w:tcW w:w="1532" w:type="dxa"/>
          </w:tcPr>
          <w:p w14:paraId="3811146C" w14:textId="77777777" w:rsidR="00E96362" w:rsidRPr="002F5B03" w:rsidRDefault="00E96362" w:rsidP="00E96362">
            <w:pPr>
              <w:jc w:val="center"/>
              <w:rPr>
                <w:noProof/>
              </w:rPr>
            </w:pPr>
          </w:p>
        </w:tc>
        <w:tc>
          <w:tcPr>
            <w:tcW w:w="1572" w:type="dxa"/>
          </w:tcPr>
          <w:p w14:paraId="02494164" w14:textId="6751B583" w:rsidR="00E96362" w:rsidRPr="002F5B03" w:rsidRDefault="00E96362" w:rsidP="00E96362">
            <w:pPr>
              <w:jc w:val="center"/>
              <w:rPr>
                <w:noProof/>
              </w:rPr>
            </w:pPr>
            <w:r>
              <w:rPr>
                <w:noProof/>
              </w:rPr>
              <w:t>No results</w:t>
            </w:r>
          </w:p>
        </w:tc>
        <w:tc>
          <w:tcPr>
            <w:tcW w:w="1579" w:type="dxa"/>
          </w:tcPr>
          <w:p w14:paraId="4F5E37C0" w14:textId="44AD5A07" w:rsidR="00E96362" w:rsidRPr="002F5B03" w:rsidRDefault="00E96362" w:rsidP="00E96362">
            <w:pPr>
              <w:jc w:val="center"/>
              <w:rPr>
                <w:noProof/>
              </w:rPr>
            </w:pPr>
            <w:r>
              <w:rPr>
                <w:noProof/>
              </w:rPr>
              <w:t>No data</w:t>
            </w:r>
          </w:p>
        </w:tc>
      </w:tr>
      <w:tr w:rsidR="00E96362" w:rsidRPr="002F5B03" w14:paraId="33155731" w14:textId="77777777" w:rsidTr="00B202C2">
        <w:trPr>
          <w:cnfStyle w:val="000000010000" w:firstRow="0" w:lastRow="0" w:firstColumn="0" w:lastColumn="0" w:oddVBand="0" w:evenVBand="0" w:oddHBand="0" w:evenHBand="1" w:firstRowFirstColumn="0" w:firstRowLastColumn="0" w:lastRowFirstColumn="0" w:lastRowLastColumn="0"/>
        </w:trPr>
        <w:tc>
          <w:tcPr>
            <w:tcW w:w="2330" w:type="dxa"/>
          </w:tcPr>
          <w:p w14:paraId="0DFACC59" w14:textId="77777777" w:rsidR="00E96362" w:rsidRPr="002F5B03" w:rsidRDefault="00E96362" w:rsidP="00E96362">
            <w:pPr>
              <w:rPr>
                <w:noProof/>
              </w:rPr>
            </w:pPr>
            <w:r w:rsidRPr="002F5B03">
              <w:rPr>
                <w:noProof/>
              </w:rPr>
              <w:t>Participants with lower-secondary education or less (ISCED 0-2) reached</w:t>
            </w:r>
          </w:p>
        </w:tc>
        <w:tc>
          <w:tcPr>
            <w:tcW w:w="1100" w:type="dxa"/>
          </w:tcPr>
          <w:p w14:paraId="697E1B04" w14:textId="77777777" w:rsidR="00E96362" w:rsidRPr="002F5B03" w:rsidRDefault="00E96362" w:rsidP="00E96362">
            <w:pPr>
              <w:jc w:val="center"/>
              <w:rPr>
                <w:noProof/>
              </w:rPr>
            </w:pPr>
          </w:p>
        </w:tc>
        <w:tc>
          <w:tcPr>
            <w:tcW w:w="1526" w:type="dxa"/>
          </w:tcPr>
          <w:p w14:paraId="25DF5A7F" w14:textId="77777777" w:rsidR="00E96362" w:rsidRPr="002F5B03" w:rsidRDefault="00E96362" w:rsidP="00E96362">
            <w:pPr>
              <w:jc w:val="center"/>
              <w:rPr>
                <w:b/>
                <w:noProof/>
              </w:rPr>
            </w:pPr>
          </w:p>
        </w:tc>
        <w:tc>
          <w:tcPr>
            <w:tcW w:w="1532" w:type="dxa"/>
          </w:tcPr>
          <w:p w14:paraId="049F7F26" w14:textId="77777777" w:rsidR="00E96362" w:rsidRPr="002F5B03" w:rsidRDefault="00E96362" w:rsidP="00E96362">
            <w:pPr>
              <w:jc w:val="center"/>
              <w:rPr>
                <w:noProof/>
              </w:rPr>
            </w:pPr>
          </w:p>
        </w:tc>
        <w:tc>
          <w:tcPr>
            <w:tcW w:w="1572" w:type="dxa"/>
          </w:tcPr>
          <w:p w14:paraId="75DD9371" w14:textId="0088CA6A" w:rsidR="00E96362" w:rsidRPr="002F5B03" w:rsidRDefault="00E96362" w:rsidP="00E96362">
            <w:pPr>
              <w:jc w:val="center"/>
              <w:rPr>
                <w:noProof/>
              </w:rPr>
            </w:pPr>
            <w:r>
              <w:rPr>
                <w:noProof/>
              </w:rPr>
              <w:t>No results</w:t>
            </w:r>
          </w:p>
        </w:tc>
        <w:tc>
          <w:tcPr>
            <w:tcW w:w="1579" w:type="dxa"/>
          </w:tcPr>
          <w:p w14:paraId="506E508F" w14:textId="1AC9EFE5" w:rsidR="00E96362" w:rsidRPr="002F5B03" w:rsidRDefault="00E96362" w:rsidP="00E96362">
            <w:pPr>
              <w:jc w:val="center"/>
              <w:rPr>
                <w:noProof/>
              </w:rPr>
            </w:pPr>
            <w:r>
              <w:rPr>
                <w:noProof/>
              </w:rPr>
              <w:t>No data</w:t>
            </w:r>
          </w:p>
        </w:tc>
      </w:tr>
      <w:tr w:rsidR="00E96362" w:rsidRPr="002F5B03" w14:paraId="074A4F98" w14:textId="77777777" w:rsidTr="00B202C2">
        <w:trPr>
          <w:cnfStyle w:val="000000100000" w:firstRow="0" w:lastRow="0" w:firstColumn="0" w:lastColumn="0" w:oddVBand="0" w:evenVBand="0" w:oddHBand="1" w:evenHBand="0" w:firstRowFirstColumn="0" w:firstRowLastColumn="0" w:lastRowFirstColumn="0" w:lastRowLastColumn="0"/>
        </w:trPr>
        <w:tc>
          <w:tcPr>
            <w:tcW w:w="2330" w:type="dxa"/>
          </w:tcPr>
          <w:p w14:paraId="54BEB317" w14:textId="77777777" w:rsidR="00E96362" w:rsidRPr="002F5B03" w:rsidRDefault="00E96362" w:rsidP="00E96362">
            <w:pPr>
              <w:rPr>
                <w:noProof/>
              </w:rPr>
            </w:pPr>
            <w:r w:rsidRPr="002F5B03">
              <w:rPr>
                <w:noProof/>
              </w:rPr>
              <w:t>Participants considered part of disadvantaged groups reached (participants with a foreign background, minorities including participants from the Roma community, non-EU-country nationals)</w:t>
            </w:r>
          </w:p>
        </w:tc>
        <w:tc>
          <w:tcPr>
            <w:tcW w:w="1100" w:type="dxa"/>
          </w:tcPr>
          <w:p w14:paraId="32E94D5A" w14:textId="77777777" w:rsidR="00E96362" w:rsidRPr="002F5B03" w:rsidRDefault="00E96362" w:rsidP="00E96362">
            <w:pPr>
              <w:jc w:val="center"/>
              <w:rPr>
                <w:noProof/>
              </w:rPr>
            </w:pPr>
          </w:p>
        </w:tc>
        <w:tc>
          <w:tcPr>
            <w:tcW w:w="1526" w:type="dxa"/>
          </w:tcPr>
          <w:p w14:paraId="3B4940ED" w14:textId="77777777" w:rsidR="00E96362" w:rsidRPr="002F5B03" w:rsidRDefault="00E96362" w:rsidP="00E96362">
            <w:pPr>
              <w:jc w:val="center"/>
              <w:rPr>
                <w:b/>
                <w:noProof/>
              </w:rPr>
            </w:pPr>
          </w:p>
        </w:tc>
        <w:tc>
          <w:tcPr>
            <w:tcW w:w="1532" w:type="dxa"/>
          </w:tcPr>
          <w:p w14:paraId="044C85AA" w14:textId="77777777" w:rsidR="00E96362" w:rsidRPr="002F5B03" w:rsidRDefault="00E96362" w:rsidP="00E96362">
            <w:pPr>
              <w:jc w:val="center"/>
              <w:rPr>
                <w:noProof/>
              </w:rPr>
            </w:pPr>
          </w:p>
        </w:tc>
        <w:tc>
          <w:tcPr>
            <w:tcW w:w="1572" w:type="dxa"/>
          </w:tcPr>
          <w:p w14:paraId="06B07BC4" w14:textId="391F9D1C" w:rsidR="00E96362" w:rsidRPr="002F5B03" w:rsidRDefault="00E96362" w:rsidP="00E96362">
            <w:pPr>
              <w:jc w:val="center"/>
              <w:rPr>
                <w:noProof/>
              </w:rPr>
            </w:pPr>
            <w:r>
              <w:rPr>
                <w:noProof/>
              </w:rPr>
              <w:t>No results</w:t>
            </w:r>
          </w:p>
        </w:tc>
        <w:tc>
          <w:tcPr>
            <w:tcW w:w="1579" w:type="dxa"/>
          </w:tcPr>
          <w:p w14:paraId="3B88B9BD" w14:textId="0CDB0368" w:rsidR="00E96362" w:rsidRPr="002F5B03" w:rsidRDefault="00E96362" w:rsidP="00E96362">
            <w:pPr>
              <w:jc w:val="center"/>
              <w:rPr>
                <w:noProof/>
              </w:rPr>
            </w:pPr>
            <w:r>
              <w:rPr>
                <w:noProof/>
              </w:rPr>
              <w:t>No data</w:t>
            </w:r>
          </w:p>
        </w:tc>
      </w:tr>
      <w:tr w:rsidR="00E96362" w:rsidRPr="002F5B03" w14:paraId="137E3C4A" w14:textId="77777777" w:rsidTr="00B202C2">
        <w:trPr>
          <w:cnfStyle w:val="000000010000" w:firstRow="0" w:lastRow="0" w:firstColumn="0" w:lastColumn="0" w:oddVBand="0" w:evenVBand="0" w:oddHBand="0" w:evenHBand="1" w:firstRowFirstColumn="0" w:firstRowLastColumn="0" w:lastRowFirstColumn="0" w:lastRowLastColumn="0"/>
        </w:trPr>
        <w:tc>
          <w:tcPr>
            <w:tcW w:w="2330" w:type="dxa"/>
          </w:tcPr>
          <w:p w14:paraId="48DC3C15" w14:textId="77777777" w:rsidR="00E96362" w:rsidRPr="002F5B03" w:rsidRDefault="00E96362" w:rsidP="00E96362">
            <w:pPr>
              <w:rPr>
                <w:noProof/>
              </w:rPr>
            </w:pPr>
            <w:r w:rsidRPr="002F5B03">
              <w:rPr>
                <w:noProof/>
              </w:rPr>
              <w:t>Quantity of food distributed</w:t>
            </w:r>
          </w:p>
        </w:tc>
        <w:tc>
          <w:tcPr>
            <w:tcW w:w="1100" w:type="dxa"/>
          </w:tcPr>
          <w:p w14:paraId="43F9BE81" w14:textId="77777777" w:rsidR="00E96362" w:rsidRPr="002F5B03" w:rsidRDefault="00E96362" w:rsidP="00E96362">
            <w:pPr>
              <w:jc w:val="center"/>
              <w:rPr>
                <w:noProof/>
              </w:rPr>
            </w:pPr>
          </w:p>
        </w:tc>
        <w:tc>
          <w:tcPr>
            <w:tcW w:w="1526" w:type="dxa"/>
          </w:tcPr>
          <w:p w14:paraId="5F0E42A3" w14:textId="77777777" w:rsidR="00E96362" w:rsidRPr="002F5B03" w:rsidRDefault="00E96362" w:rsidP="00E96362">
            <w:pPr>
              <w:jc w:val="center"/>
              <w:rPr>
                <w:b/>
                <w:noProof/>
              </w:rPr>
            </w:pPr>
          </w:p>
        </w:tc>
        <w:tc>
          <w:tcPr>
            <w:tcW w:w="1532" w:type="dxa"/>
          </w:tcPr>
          <w:p w14:paraId="411F5702" w14:textId="77777777" w:rsidR="00E96362" w:rsidRPr="002F5B03" w:rsidRDefault="00E96362" w:rsidP="00E96362">
            <w:pPr>
              <w:jc w:val="center"/>
              <w:rPr>
                <w:noProof/>
              </w:rPr>
            </w:pPr>
          </w:p>
        </w:tc>
        <w:tc>
          <w:tcPr>
            <w:tcW w:w="1572" w:type="dxa"/>
          </w:tcPr>
          <w:p w14:paraId="6A59C1DD" w14:textId="03E61854" w:rsidR="00E96362" w:rsidRPr="002F5B03" w:rsidRDefault="00E96362" w:rsidP="00E96362">
            <w:pPr>
              <w:jc w:val="center"/>
              <w:rPr>
                <w:noProof/>
              </w:rPr>
            </w:pPr>
            <w:r>
              <w:rPr>
                <w:noProof/>
              </w:rPr>
              <w:t>No results</w:t>
            </w:r>
          </w:p>
        </w:tc>
        <w:tc>
          <w:tcPr>
            <w:tcW w:w="1579" w:type="dxa"/>
          </w:tcPr>
          <w:p w14:paraId="106F28D5" w14:textId="2D40121B" w:rsidR="00E96362" w:rsidRPr="002F5B03" w:rsidRDefault="00E96362" w:rsidP="00E96362">
            <w:pPr>
              <w:jc w:val="center"/>
              <w:rPr>
                <w:noProof/>
              </w:rPr>
            </w:pPr>
            <w:r>
              <w:rPr>
                <w:noProof/>
              </w:rPr>
              <w:t>No data</w:t>
            </w:r>
          </w:p>
        </w:tc>
      </w:tr>
      <w:tr w:rsidR="00E96362" w:rsidRPr="002F5B03" w14:paraId="43EAF9BF" w14:textId="77777777" w:rsidTr="00B202C2">
        <w:trPr>
          <w:cnfStyle w:val="000000100000" w:firstRow="0" w:lastRow="0" w:firstColumn="0" w:lastColumn="0" w:oddVBand="0" w:evenVBand="0" w:oddHBand="1" w:evenHBand="0" w:firstRowFirstColumn="0" w:firstRowLastColumn="0" w:lastRowFirstColumn="0" w:lastRowLastColumn="0"/>
        </w:trPr>
        <w:tc>
          <w:tcPr>
            <w:tcW w:w="2330" w:type="dxa"/>
          </w:tcPr>
          <w:p w14:paraId="6CDB8C3E" w14:textId="77777777" w:rsidR="00E96362" w:rsidRPr="002F5B03" w:rsidRDefault="00E96362" w:rsidP="00E96362">
            <w:pPr>
              <w:rPr>
                <w:noProof/>
              </w:rPr>
            </w:pPr>
            <w:r w:rsidRPr="002F5B03">
              <w:rPr>
                <w:noProof/>
              </w:rPr>
              <w:t>Number of children below 18</w:t>
            </w:r>
            <w:r w:rsidRPr="002F5B03">
              <w:rPr>
                <w:rFonts w:ascii="Calibri" w:hAnsi="Calibri" w:cs="Calibri"/>
                <w:noProof/>
              </w:rPr>
              <w:t> </w:t>
            </w:r>
            <w:r w:rsidRPr="002F5B03">
              <w:rPr>
                <w:noProof/>
              </w:rPr>
              <w:t>years of age benefiting from food, material or voucher support</w:t>
            </w:r>
          </w:p>
        </w:tc>
        <w:tc>
          <w:tcPr>
            <w:tcW w:w="1100" w:type="dxa"/>
          </w:tcPr>
          <w:p w14:paraId="3DA00A8E" w14:textId="77777777" w:rsidR="00E96362" w:rsidRPr="002F5B03" w:rsidRDefault="00E96362" w:rsidP="00E96362">
            <w:pPr>
              <w:jc w:val="center"/>
              <w:rPr>
                <w:noProof/>
              </w:rPr>
            </w:pPr>
          </w:p>
        </w:tc>
        <w:tc>
          <w:tcPr>
            <w:tcW w:w="1526" w:type="dxa"/>
          </w:tcPr>
          <w:p w14:paraId="3FC1AFF2" w14:textId="77777777" w:rsidR="00E96362" w:rsidRPr="002F5B03" w:rsidRDefault="00E96362" w:rsidP="00E96362">
            <w:pPr>
              <w:jc w:val="center"/>
              <w:rPr>
                <w:b/>
                <w:noProof/>
              </w:rPr>
            </w:pPr>
          </w:p>
        </w:tc>
        <w:tc>
          <w:tcPr>
            <w:tcW w:w="1532" w:type="dxa"/>
          </w:tcPr>
          <w:p w14:paraId="04879FE6" w14:textId="77777777" w:rsidR="00E96362" w:rsidRPr="002F5B03" w:rsidRDefault="00E96362" w:rsidP="00E96362">
            <w:pPr>
              <w:jc w:val="center"/>
              <w:rPr>
                <w:noProof/>
              </w:rPr>
            </w:pPr>
          </w:p>
        </w:tc>
        <w:tc>
          <w:tcPr>
            <w:tcW w:w="1572" w:type="dxa"/>
          </w:tcPr>
          <w:p w14:paraId="620DEAE2" w14:textId="673B7ED8" w:rsidR="00E96362" w:rsidRPr="002F5B03" w:rsidRDefault="00E96362" w:rsidP="00E96362">
            <w:pPr>
              <w:jc w:val="center"/>
              <w:rPr>
                <w:noProof/>
              </w:rPr>
            </w:pPr>
            <w:r>
              <w:rPr>
                <w:noProof/>
              </w:rPr>
              <w:t>No results</w:t>
            </w:r>
          </w:p>
        </w:tc>
        <w:tc>
          <w:tcPr>
            <w:tcW w:w="1579" w:type="dxa"/>
          </w:tcPr>
          <w:p w14:paraId="4AF8C002" w14:textId="707E21AC" w:rsidR="00E96362" w:rsidRPr="002F5B03" w:rsidRDefault="00E96362" w:rsidP="00E96362">
            <w:pPr>
              <w:jc w:val="center"/>
              <w:rPr>
                <w:noProof/>
              </w:rPr>
            </w:pPr>
            <w:r>
              <w:rPr>
                <w:noProof/>
              </w:rPr>
              <w:t>No data</w:t>
            </w:r>
          </w:p>
        </w:tc>
      </w:tr>
      <w:tr w:rsidR="00E96362" w:rsidRPr="002F5B03" w14:paraId="7A88C29D" w14:textId="77777777" w:rsidTr="00B202C2">
        <w:trPr>
          <w:cnfStyle w:val="000000010000" w:firstRow="0" w:lastRow="0" w:firstColumn="0" w:lastColumn="0" w:oddVBand="0" w:evenVBand="0" w:oddHBand="0" w:evenHBand="1" w:firstRowFirstColumn="0" w:firstRowLastColumn="0" w:lastRowFirstColumn="0" w:lastRowLastColumn="0"/>
        </w:trPr>
        <w:tc>
          <w:tcPr>
            <w:tcW w:w="2330" w:type="dxa"/>
          </w:tcPr>
          <w:p w14:paraId="287BF93E" w14:textId="77777777" w:rsidR="00E96362" w:rsidRPr="002F5B03" w:rsidRDefault="00E96362" w:rsidP="00E96362">
            <w:pPr>
              <w:rPr>
                <w:noProof/>
              </w:rPr>
            </w:pPr>
            <w:r w:rsidRPr="002F5B03">
              <w:rPr>
                <w:noProof/>
              </w:rPr>
              <w:t>Number of information-sharing and mutual-learning activities</w:t>
            </w:r>
          </w:p>
        </w:tc>
        <w:tc>
          <w:tcPr>
            <w:tcW w:w="1100" w:type="dxa"/>
          </w:tcPr>
          <w:p w14:paraId="371585BB" w14:textId="77777777" w:rsidR="00E96362" w:rsidRPr="002F5B03" w:rsidRDefault="00E96362" w:rsidP="00E96362">
            <w:pPr>
              <w:jc w:val="center"/>
              <w:rPr>
                <w:noProof/>
              </w:rPr>
            </w:pPr>
          </w:p>
        </w:tc>
        <w:tc>
          <w:tcPr>
            <w:tcW w:w="1526" w:type="dxa"/>
          </w:tcPr>
          <w:p w14:paraId="4FB83857" w14:textId="77777777" w:rsidR="00E96362" w:rsidRPr="002F5B03" w:rsidRDefault="00E96362" w:rsidP="00E96362">
            <w:pPr>
              <w:jc w:val="center"/>
              <w:rPr>
                <w:b/>
                <w:noProof/>
              </w:rPr>
            </w:pPr>
          </w:p>
        </w:tc>
        <w:tc>
          <w:tcPr>
            <w:tcW w:w="1532" w:type="dxa"/>
          </w:tcPr>
          <w:p w14:paraId="6956408A" w14:textId="77777777" w:rsidR="00E96362" w:rsidRPr="002F5B03" w:rsidRDefault="00E96362" w:rsidP="00E96362">
            <w:pPr>
              <w:jc w:val="center"/>
              <w:rPr>
                <w:noProof/>
              </w:rPr>
            </w:pPr>
          </w:p>
        </w:tc>
        <w:tc>
          <w:tcPr>
            <w:tcW w:w="1572" w:type="dxa"/>
          </w:tcPr>
          <w:p w14:paraId="2CF6CD4B" w14:textId="4BEE2D61" w:rsidR="00E96362" w:rsidRPr="002F5B03" w:rsidRDefault="00E96362" w:rsidP="00E96362">
            <w:pPr>
              <w:jc w:val="center"/>
              <w:rPr>
                <w:noProof/>
              </w:rPr>
            </w:pPr>
            <w:r>
              <w:rPr>
                <w:noProof/>
              </w:rPr>
              <w:t>No results</w:t>
            </w:r>
          </w:p>
        </w:tc>
        <w:tc>
          <w:tcPr>
            <w:tcW w:w="1579" w:type="dxa"/>
          </w:tcPr>
          <w:p w14:paraId="132E83F3" w14:textId="0B4FCCF1" w:rsidR="00E96362" w:rsidRPr="002F5B03" w:rsidRDefault="00E96362" w:rsidP="00E96362">
            <w:pPr>
              <w:jc w:val="center"/>
              <w:rPr>
                <w:noProof/>
              </w:rPr>
            </w:pPr>
            <w:r>
              <w:rPr>
                <w:noProof/>
              </w:rPr>
              <w:t>No data</w:t>
            </w:r>
          </w:p>
        </w:tc>
      </w:tr>
      <w:tr w:rsidR="00E96362" w:rsidRPr="002F5B03" w14:paraId="4A5954F0" w14:textId="77777777" w:rsidTr="00B202C2">
        <w:trPr>
          <w:cnfStyle w:val="000000100000" w:firstRow="0" w:lastRow="0" w:firstColumn="0" w:lastColumn="0" w:oddVBand="0" w:evenVBand="0" w:oddHBand="1" w:evenHBand="0" w:firstRowFirstColumn="0" w:firstRowLastColumn="0" w:lastRowFirstColumn="0" w:lastRowLastColumn="0"/>
        </w:trPr>
        <w:tc>
          <w:tcPr>
            <w:tcW w:w="2330" w:type="dxa"/>
          </w:tcPr>
          <w:p w14:paraId="6B9EE9DC" w14:textId="77777777" w:rsidR="00E96362" w:rsidRPr="002F5B03" w:rsidRDefault="00E96362" w:rsidP="00E96362">
            <w:pPr>
              <w:rPr>
                <w:noProof/>
              </w:rPr>
            </w:pPr>
            <w:r w:rsidRPr="002F5B03">
              <w:rPr>
                <w:noProof/>
              </w:rPr>
              <w:t>Number of social experimentations</w:t>
            </w:r>
          </w:p>
        </w:tc>
        <w:tc>
          <w:tcPr>
            <w:tcW w:w="1100" w:type="dxa"/>
          </w:tcPr>
          <w:p w14:paraId="4A7E7B42" w14:textId="77777777" w:rsidR="00E96362" w:rsidRPr="002F5B03" w:rsidRDefault="00E96362" w:rsidP="00E96362">
            <w:pPr>
              <w:jc w:val="center"/>
              <w:rPr>
                <w:noProof/>
              </w:rPr>
            </w:pPr>
          </w:p>
        </w:tc>
        <w:tc>
          <w:tcPr>
            <w:tcW w:w="1526" w:type="dxa"/>
          </w:tcPr>
          <w:p w14:paraId="714B60D3" w14:textId="77777777" w:rsidR="00E96362" w:rsidRPr="002F5B03" w:rsidRDefault="00E96362" w:rsidP="00E96362">
            <w:pPr>
              <w:jc w:val="center"/>
              <w:rPr>
                <w:b/>
                <w:noProof/>
              </w:rPr>
            </w:pPr>
          </w:p>
        </w:tc>
        <w:tc>
          <w:tcPr>
            <w:tcW w:w="1532" w:type="dxa"/>
          </w:tcPr>
          <w:p w14:paraId="73CE7449" w14:textId="77777777" w:rsidR="00E96362" w:rsidRPr="002F5B03" w:rsidRDefault="00E96362" w:rsidP="00E96362">
            <w:pPr>
              <w:jc w:val="center"/>
              <w:rPr>
                <w:noProof/>
              </w:rPr>
            </w:pPr>
          </w:p>
        </w:tc>
        <w:tc>
          <w:tcPr>
            <w:tcW w:w="1572" w:type="dxa"/>
          </w:tcPr>
          <w:p w14:paraId="52501B9D" w14:textId="04509532" w:rsidR="00E96362" w:rsidRPr="002F5B03" w:rsidRDefault="00E96362" w:rsidP="00E96362">
            <w:pPr>
              <w:jc w:val="center"/>
              <w:rPr>
                <w:noProof/>
              </w:rPr>
            </w:pPr>
            <w:r>
              <w:rPr>
                <w:noProof/>
              </w:rPr>
              <w:t>No results</w:t>
            </w:r>
          </w:p>
        </w:tc>
        <w:tc>
          <w:tcPr>
            <w:tcW w:w="1579" w:type="dxa"/>
          </w:tcPr>
          <w:p w14:paraId="6640430E" w14:textId="227845D4" w:rsidR="00E96362" w:rsidRPr="002F5B03" w:rsidRDefault="00E96362" w:rsidP="00E96362">
            <w:pPr>
              <w:jc w:val="center"/>
              <w:rPr>
                <w:noProof/>
              </w:rPr>
            </w:pPr>
            <w:r>
              <w:rPr>
                <w:noProof/>
              </w:rPr>
              <w:t>No data</w:t>
            </w:r>
          </w:p>
        </w:tc>
      </w:tr>
    </w:tbl>
    <w:p w14:paraId="601C67C2" w14:textId="77777777" w:rsidR="008C407A" w:rsidRPr="002F5B03" w:rsidRDefault="008C407A" w:rsidP="008C407A">
      <w:pPr>
        <w:pStyle w:val="FootnoteText"/>
        <w:spacing w:before="120"/>
        <w:rPr>
          <w:noProof/>
        </w:rPr>
      </w:pPr>
      <w:r w:rsidRPr="002F5B03">
        <w:rPr>
          <w:noProof/>
        </w:rPr>
        <w:t>(*) % of target achieved by the end of 2021.</w:t>
      </w:r>
    </w:p>
    <w:p w14:paraId="3CC55EE2" w14:textId="77777777" w:rsidR="008C407A" w:rsidRPr="002F5B03" w:rsidRDefault="008C407A" w:rsidP="008C407A">
      <w:pPr>
        <w:pStyle w:val="FootnoteText"/>
        <w:spacing w:before="120"/>
        <w:rPr>
          <w:noProof/>
        </w:rPr>
      </w:pPr>
    </w:p>
    <w:p w14:paraId="7AD5E308" w14:textId="77777777" w:rsidR="008C407A" w:rsidRPr="002F5B03" w:rsidRDefault="008C407A" w:rsidP="008C407A">
      <w:pPr>
        <w:pStyle w:val="ppoListHyphened-L1"/>
        <w:rPr>
          <w:noProof/>
        </w:rPr>
      </w:pPr>
      <w:r w:rsidRPr="002F5B03">
        <w:rPr>
          <w:noProof/>
        </w:rPr>
        <w:t>Performance assessments for the shared management strand and the direct management strand of the ESF+ will be provided once the implementation has started.</w:t>
      </w:r>
    </w:p>
    <w:p w14:paraId="7A73AF6D" w14:textId="77777777" w:rsidR="008C407A" w:rsidRPr="002F5B03" w:rsidRDefault="008C407A" w:rsidP="008C407A">
      <w:pPr>
        <w:pStyle w:val="ppoListHyphened-L1"/>
        <w:rPr>
          <w:noProof/>
        </w:rPr>
      </w:pPr>
      <w:r w:rsidRPr="002F5B03">
        <w:rPr>
          <w:noProof/>
        </w:rPr>
        <w:t>At the reporting date, none of the ESF+ programmes under the shared management strand had been adopted by the Commission. However, with eligibility starting retroactively on 1</w:t>
      </w:r>
      <w:r w:rsidRPr="002F5B03">
        <w:rPr>
          <w:rFonts w:ascii="Calibri" w:hAnsi="Calibri" w:cs="Calibri"/>
          <w:noProof/>
        </w:rPr>
        <w:t> </w:t>
      </w:r>
      <w:r w:rsidRPr="002F5B03">
        <w:rPr>
          <w:noProof/>
        </w:rPr>
        <w:t>January 2021, Member States will have a backlog of ongoing operations to be included in the ESF+ programmes. This should partially compensate for the delays in the programming phase.</w:t>
      </w:r>
    </w:p>
    <w:p w14:paraId="431DDCD0" w14:textId="77777777" w:rsidR="008C407A" w:rsidRPr="002F5B03" w:rsidRDefault="008C407A" w:rsidP="008C407A">
      <w:pPr>
        <w:pStyle w:val="ppoListHyphened-L1"/>
        <w:rPr>
          <w:noProof/>
        </w:rPr>
      </w:pPr>
      <w:r w:rsidRPr="002F5B03">
        <w:rPr>
          <w:noProof/>
        </w:rPr>
        <w:t>With regard to the direct management strand, support structures are being established, such as the EaSI national contact points in each country providing information about EaSI calls, projects and results to improve the participation in the EaSI strand and to assist in upscaling, mainstreaming and/or replicating EaSI project results, for instance by using other funds. Furthermore, additional subsets of indicators have been designed by DG Employment, Social Affairs and Inclusion as part of the performance framework of the EaSI strand. Input and output indicators will become available at the end of 2022, by which time the measures under the 2021 work programme will have been implemented and finalised.</w:t>
      </w:r>
    </w:p>
    <w:p w14:paraId="6BACE6E9" w14:textId="77777777" w:rsidR="008C407A" w:rsidRPr="002F5B03" w:rsidRDefault="008C407A" w:rsidP="008C407A">
      <w:pPr>
        <w:pStyle w:val="ppoHeading4Green"/>
        <w:rPr>
          <w:noProof/>
        </w:rPr>
      </w:pPr>
      <w:r w:rsidRPr="002F5B03">
        <w:rPr>
          <w:noProof/>
        </w:rPr>
        <w:t xml:space="preserve">2014-2020 multiannual financial framework – </w:t>
      </w:r>
      <w:r w:rsidRPr="002F5B03">
        <w:rPr>
          <w:rFonts w:eastAsiaTheme="minorEastAsia"/>
          <w:noProof/>
        </w:rPr>
        <w:t>European Social Fund</w:t>
      </w:r>
    </w:p>
    <w:p w14:paraId="63236032" w14:textId="77777777" w:rsidR="008C407A" w:rsidRPr="002F5B03" w:rsidRDefault="008C407A" w:rsidP="008C407A">
      <w:pPr>
        <w:rPr>
          <w:rFonts w:eastAsiaTheme="minorEastAsia"/>
          <w:noProof/>
        </w:rPr>
      </w:pPr>
      <w:r w:rsidRPr="002F5B03">
        <w:rPr>
          <w:rFonts w:asciiTheme="minorHAnsi" w:hAnsiTheme="minorHAnsi"/>
          <w:noProof/>
        </w:rPr>
        <w:t xml:space="preserve">The </w:t>
      </w:r>
      <w:r w:rsidRPr="002F5B03">
        <w:rPr>
          <w:rFonts w:eastAsiaTheme="minorEastAsia"/>
          <w:noProof/>
        </w:rPr>
        <w:t>ESF is the EU’s main 2014-2020 multiannual financial framework instrument for supporting jobs, helping people get better jobs, ensuring fairer job opportunities for all and supporting upskilling and reskilling. It works by investing in the EU’s human capital</w:t>
      </w:r>
      <w:r w:rsidRPr="002F5B03">
        <w:rPr>
          <w:rFonts w:ascii="Calibri" w:eastAsiaTheme="minorEastAsia" w:hAnsi="Calibri" w:cs="Calibri"/>
          <w:noProof/>
        </w:rPr>
        <w:t> </w:t>
      </w:r>
      <w:r w:rsidRPr="002F5B03">
        <w:rPr>
          <w:rFonts w:eastAsiaTheme="minorEastAsia"/>
          <w:noProof/>
        </w:rPr>
        <w:t>– its workers, its young people and all those seeking a job. ESF financing improves job prospects for millions of people, in particular those who find it difficult to get work.</w:t>
      </w:r>
    </w:p>
    <w:p w14:paraId="5F2E3933" w14:textId="77777777" w:rsidR="008C407A" w:rsidRPr="002F5B03" w:rsidRDefault="008C407A" w:rsidP="008C407A">
      <w:pPr>
        <w:pStyle w:val="ppoHeading5"/>
        <w:rPr>
          <w:noProof/>
        </w:rPr>
      </w:pPr>
      <w:r w:rsidRPr="002F5B03">
        <w:rPr>
          <w:noProof/>
        </w:rPr>
        <w:t>Budget implementation</w:t>
      </w:r>
    </w:p>
    <w:p w14:paraId="0B554DF8" w14:textId="77777777" w:rsidR="008C407A" w:rsidRPr="002F5B03" w:rsidRDefault="008C407A" w:rsidP="008C407A">
      <w:pPr>
        <w:pStyle w:val="ppoTableTabletitle"/>
        <w:rPr>
          <w:noProof/>
        </w:rPr>
      </w:pPr>
      <w:r w:rsidRPr="002F5B03">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8C407A" w:rsidRPr="002F5B03" w14:paraId="1AA852F8" w14:textId="77777777" w:rsidTr="00B20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629CE0E8" w14:textId="77777777" w:rsidR="008C407A" w:rsidRPr="002F5B03" w:rsidRDefault="008C407A" w:rsidP="00B202C2">
            <w:pPr>
              <w:rPr>
                <w:noProof/>
              </w:rPr>
            </w:pPr>
          </w:p>
        </w:tc>
        <w:tc>
          <w:tcPr>
            <w:tcW w:w="2410" w:type="dxa"/>
          </w:tcPr>
          <w:p w14:paraId="376D1EDD" w14:textId="77777777" w:rsidR="008C407A" w:rsidRPr="002F5B03" w:rsidRDefault="008C407A" w:rsidP="00B202C2">
            <w:pPr>
              <w:cnfStyle w:val="100000000000" w:firstRow="1" w:lastRow="0" w:firstColumn="0" w:lastColumn="0" w:oddVBand="0" w:evenVBand="0" w:oddHBand="0" w:evenHBand="0" w:firstRowFirstColumn="0" w:firstRowLastColumn="0" w:lastRowFirstColumn="0" w:lastRowLastColumn="0"/>
              <w:rPr>
                <w:noProof/>
              </w:rPr>
            </w:pPr>
            <w:r w:rsidRPr="002F5B03">
              <w:rPr>
                <w:noProof/>
              </w:rPr>
              <w:t>Implementation</w:t>
            </w:r>
          </w:p>
        </w:tc>
        <w:tc>
          <w:tcPr>
            <w:tcW w:w="2410" w:type="dxa"/>
          </w:tcPr>
          <w:p w14:paraId="7045E46A" w14:textId="6969F976" w:rsidR="008C407A" w:rsidRPr="002F5B03" w:rsidRDefault="00A84801" w:rsidP="00B202C2">
            <w:pPr>
              <w:cnfStyle w:val="100000000000" w:firstRow="1" w:lastRow="0" w:firstColumn="0" w:lastColumn="0" w:oddVBand="0" w:evenVBand="0" w:oddHBand="0" w:evenHBand="0" w:firstRowFirstColumn="0" w:firstRowLastColumn="0" w:lastRowFirstColumn="0" w:lastRowLastColumn="0"/>
              <w:rPr>
                <w:noProof/>
              </w:rPr>
            </w:pPr>
            <w:r>
              <w:rPr>
                <w:noProof/>
                <w:lang w:val="en-IE"/>
              </w:rPr>
              <w:t xml:space="preserve">2014-2020 </w:t>
            </w:r>
            <w:r w:rsidR="008C407A" w:rsidRPr="002F5B03">
              <w:rPr>
                <w:noProof/>
              </w:rPr>
              <w:t>Budget</w:t>
            </w:r>
          </w:p>
        </w:tc>
        <w:tc>
          <w:tcPr>
            <w:tcW w:w="2410" w:type="dxa"/>
          </w:tcPr>
          <w:p w14:paraId="4458B86F" w14:textId="77777777" w:rsidR="008C407A" w:rsidRPr="002F5B03" w:rsidRDefault="008C407A" w:rsidP="00B202C2">
            <w:pPr>
              <w:cnfStyle w:val="100000000000" w:firstRow="1" w:lastRow="0" w:firstColumn="0" w:lastColumn="0" w:oddVBand="0" w:evenVBand="0" w:oddHBand="0" w:evenHBand="0" w:firstRowFirstColumn="0" w:firstRowLastColumn="0" w:lastRowFirstColumn="0" w:lastRowLastColumn="0"/>
              <w:rPr>
                <w:noProof/>
              </w:rPr>
            </w:pPr>
            <w:r w:rsidRPr="002F5B03">
              <w:rPr>
                <w:noProof/>
              </w:rPr>
              <w:t>Implementation rate</w:t>
            </w:r>
          </w:p>
        </w:tc>
      </w:tr>
      <w:tr w:rsidR="008C407A" w:rsidRPr="002F5B03" w14:paraId="01288977"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4683A300" w14:textId="77777777" w:rsidR="008C407A" w:rsidRPr="002F5B03" w:rsidRDefault="008C407A" w:rsidP="00B202C2">
            <w:pPr>
              <w:jc w:val="center"/>
              <w:rPr>
                <w:noProof/>
              </w:rPr>
            </w:pPr>
            <w:r w:rsidRPr="002F5B03">
              <w:rPr>
                <w:noProof/>
              </w:rPr>
              <w:t>Commitment</w:t>
            </w:r>
          </w:p>
        </w:tc>
        <w:tc>
          <w:tcPr>
            <w:tcW w:w="2410" w:type="dxa"/>
          </w:tcPr>
          <w:p w14:paraId="4311059A"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r w:rsidRPr="002F5B03">
              <w:rPr>
                <w:noProof/>
              </w:rPr>
              <w:t>93</w:t>
            </w:r>
            <w:r w:rsidRPr="002F5B03">
              <w:rPr>
                <w:rFonts w:ascii="Calibri" w:hAnsi="Calibri" w:cs="Calibri"/>
                <w:noProof/>
              </w:rPr>
              <w:t> </w:t>
            </w:r>
            <w:r w:rsidRPr="002F5B03">
              <w:rPr>
                <w:noProof/>
              </w:rPr>
              <w:t>619.5</w:t>
            </w:r>
          </w:p>
        </w:tc>
        <w:tc>
          <w:tcPr>
            <w:tcW w:w="2410" w:type="dxa"/>
          </w:tcPr>
          <w:p w14:paraId="7F10AD2C"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r w:rsidRPr="002F5B03">
              <w:rPr>
                <w:noProof/>
              </w:rPr>
              <w:t>93</w:t>
            </w:r>
            <w:r w:rsidRPr="002F5B03">
              <w:rPr>
                <w:rFonts w:ascii="Calibri" w:hAnsi="Calibri" w:cs="Calibri"/>
                <w:noProof/>
              </w:rPr>
              <w:t> </w:t>
            </w:r>
            <w:r w:rsidRPr="002F5B03">
              <w:rPr>
                <w:noProof/>
              </w:rPr>
              <w:t>630.5</w:t>
            </w:r>
          </w:p>
        </w:tc>
        <w:tc>
          <w:tcPr>
            <w:tcW w:w="2410" w:type="dxa"/>
          </w:tcPr>
          <w:p w14:paraId="3DD07515"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r w:rsidRPr="002F5B03">
              <w:rPr>
                <w:noProof/>
              </w:rPr>
              <w:t>100%</w:t>
            </w:r>
          </w:p>
        </w:tc>
      </w:tr>
      <w:tr w:rsidR="008C407A" w:rsidRPr="002F5B03" w14:paraId="06EADF18"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0B2E3DC0" w14:textId="77777777" w:rsidR="008C407A" w:rsidRPr="002F5B03" w:rsidRDefault="008C407A" w:rsidP="00B202C2">
            <w:pPr>
              <w:jc w:val="center"/>
              <w:rPr>
                <w:noProof/>
              </w:rPr>
            </w:pPr>
            <w:r w:rsidRPr="002F5B03">
              <w:rPr>
                <w:noProof/>
              </w:rPr>
              <w:t>Payments</w:t>
            </w:r>
          </w:p>
        </w:tc>
        <w:tc>
          <w:tcPr>
            <w:tcW w:w="2410" w:type="dxa"/>
          </w:tcPr>
          <w:p w14:paraId="0803A5FA"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r w:rsidRPr="002F5B03">
              <w:rPr>
                <w:noProof/>
              </w:rPr>
              <w:t>73</w:t>
            </w:r>
            <w:r w:rsidRPr="002F5B03">
              <w:rPr>
                <w:rFonts w:ascii="Calibri" w:hAnsi="Calibri" w:cs="Calibri"/>
                <w:noProof/>
              </w:rPr>
              <w:t> </w:t>
            </w:r>
            <w:r w:rsidRPr="002F5B03">
              <w:rPr>
                <w:noProof/>
              </w:rPr>
              <w:t>353.0</w:t>
            </w:r>
          </w:p>
        </w:tc>
        <w:tc>
          <w:tcPr>
            <w:tcW w:w="2410" w:type="dxa"/>
          </w:tcPr>
          <w:p w14:paraId="0F0321C8"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0633A919"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r w:rsidRPr="002F5B03">
              <w:rPr>
                <w:noProof/>
              </w:rPr>
              <w:t>78%</w:t>
            </w:r>
          </w:p>
        </w:tc>
      </w:tr>
    </w:tbl>
    <w:p w14:paraId="7B7D3D9F" w14:textId="77777777" w:rsidR="008C407A" w:rsidRPr="002F5B03" w:rsidRDefault="008C407A" w:rsidP="008C407A">
      <w:pPr>
        <w:spacing w:before="120" w:after="120"/>
        <w:rPr>
          <w:noProof/>
          <w:color w:val="5BA95B"/>
        </w:rPr>
      </w:pPr>
    </w:p>
    <w:p w14:paraId="0EB1F12B" w14:textId="5C6C72D3" w:rsidR="008C407A" w:rsidRPr="002F5B03" w:rsidRDefault="008C407A" w:rsidP="008C407A">
      <w:pPr>
        <w:pStyle w:val="ppoListHyphened-L1"/>
        <w:rPr>
          <w:rFonts w:eastAsiaTheme="minorEastAsia"/>
          <w:noProof/>
        </w:rPr>
      </w:pPr>
      <w:r w:rsidRPr="002F5B03">
        <w:rPr>
          <w:noProof/>
        </w:rPr>
        <w:t>The ESF has now reached cruising speed and the difficulties relating to implementation, such as the late start of programmes at the beginning of the 2014-2020 programming period, have been addressed.</w:t>
      </w:r>
    </w:p>
    <w:p w14:paraId="5B7DA5CF" w14:textId="77777777" w:rsidR="008C407A" w:rsidRPr="002F5B03" w:rsidRDefault="008C407A" w:rsidP="008C407A">
      <w:pPr>
        <w:pStyle w:val="ppoListHyphened-L1"/>
        <w:rPr>
          <w:noProof/>
        </w:rPr>
      </w:pPr>
      <w:r w:rsidRPr="002F5B03">
        <w:rPr>
          <w:noProof/>
        </w:rPr>
        <w:t xml:space="preserve">Implementation progress and challenges were addressed in the regular ESF Technical Working Group and ESF Committee meetings. </w:t>
      </w:r>
      <w:r w:rsidRPr="002F5B03">
        <w:rPr>
          <w:bCs/>
          <w:noProof/>
        </w:rPr>
        <w:t>The main challenges identified were linked to implementation starting slowly, to the high level of complexity associated with ESF management and to the need for the active involvement of stakeholders and their representatives at all stages of</w:t>
      </w:r>
      <w:r w:rsidRPr="002F5B03">
        <w:rPr>
          <w:rFonts w:ascii="Calibri" w:hAnsi="Calibri" w:cs="Calibri"/>
          <w:bCs/>
          <w:noProof/>
        </w:rPr>
        <w:t xml:space="preserve"> the </w:t>
      </w:r>
      <w:r w:rsidRPr="002F5B03">
        <w:rPr>
          <w:bCs/>
          <w:noProof/>
        </w:rPr>
        <w:t xml:space="preserve">projects. Discussions focused, for example, on promoting the use of simplified cost options in ESF programmes and getting all relevant stakeholders more involved by sharing best practices. These challenges will be further addressed in the 2021-2027 programming period, with the aim of continuing to simplify the implementation. </w:t>
      </w:r>
      <w:r w:rsidRPr="002F5B03">
        <w:rPr>
          <w:noProof/>
        </w:rPr>
        <w:t>For instance, the regulation for 2021-2027 facilitates the roll-over of existing designations of implementing authorities. Programming will also be simplified through streamlined partnership agreements and programmes and through lighter procedures for programme amendments. The 2021-2027 rules allow for an increased focus on results and for easier payments through the more extensive use of simplified cost options and financing not linked to costs.</w:t>
      </w:r>
    </w:p>
    <w:p w14:paraId="7E4ECFF6" w14:textId="5C2FEEA2" w:rsidR="008C407A" w:rsidRPr="002F5B03" w:rsidRDefault="008C407A" w:rsidP="008C407A">
      <w:pPr>
        <w:pStyle w:val="ppoListHyphened-L1"/>
        <w:rPr>
          <w:noProof/>
        </w:rPr>
      </w:pPr>
      <w:r w:rsidRPr="002F5B03">
        <w:rPr>
          <w:noProof/>
        </w:rPr>
        <w:t xml:space="preserve">By mid January 2022, all amendments concerning the 2021 allocation for recovery assistance for cohesion and the territories of Europe </w:t>
      </w:r>
      <w:r w:rsidR="0017337B" w:rsidRPr="00B70B0E">
        <w:rPr>
          <w:noProof/>
        </w:rPr>
        <w:t xml:space="preserve">(REACT-EU) </w:t>
      </w:r>
      <w:r w:rsidRPr="002F5B03">
        <w:rPr>
          <w:noProof/>
        </w:rPr>
        <w:t>had been adopted. DG Employment, Social Affairs and Inclusion worked in close contact with the managing authorities to make sure that ESF</w:t>
      </w:r>
      <w:r w:rsidRPr="002F5B03">
        <w:rPr>
          <w:rFonts w:ascii="Calibri" w:hAnsi="Calibri" w:cs="Calibri"/>
          <w:noProof/>
        </w:rPr>
        <w:t> </w:t>
      </w:r>
      <w:r w:rsidRPr="002F5B03">
        <w:rPr>
          <w:noProof/>
        </w:rPr>
        <w:t>/ Youth Employment Initiative resources were swiftly mobilised to allow for a prompt response to the COVID-19 crisis and a swift recovery.</w:t>
      </w:r>
    </w:p>
    <w:p w14:paraId="308D016F" w14:textId="45B13310" w:rsidR="008C407A" w:rsidRPr="002F5B03" w:rsidRDefault="008C407A" w:rsidP="008C407A">
      <w:pPr>
        <w:pStyle w:val="ppoListHyphened-L1"/>
        <w:rPr>
          <w:noProof/>
        </w:rPr>
      </w:pPr>
      <w:r w:rsidRPr="002F5B03">
        <w:rPr>
          <w:noProof/>
        </w:rPr>
        <w:t>By the end of 2021, the overall ESF project selection rate, including for the additional allocation for recovery assistance for cohesion and the territories of Europe</w:t>
      </w:r>
      <w:r w:rsidR="0017337B">
        <w:rPr>
          <w:noProof/>
        </w:rPr>
        <w:t xml:space="preserve"> </w:t>
      </w:r>
      <w:r w:rsidR="0017337B" w:rsidRPr="00B70B0E">
        <w:rPr>
          <w:noProof/>
        </w:rPr>
        <w:t>(REACT-EU</w:t>
      </w:r>
      <w:r w:rsidRPr="002F5B03">
        <w:rPr>
          <w:noProof/>
        </w:rPr>
        <w:t>, stood at 105%. In 2021, nearly EUR</w:t>
      </w:r>
      <w:r w:rsidRPr="002F5B03">
        <w:rPr>
          <w:rFonts w:ascii="Calibri" w:hAnsi="Calibri" w:cs="Calibri"/>
          <w:noProof/>
        </w:rPr>
        <w:t> </w:t>
      </w:r>
      <w:r w:rsidRPr="002F5B03">
        <w:rPr>
          <w:noProof/>
        </w:rPr>
        <w:t>14.6</w:t>
      </w:r>
      <w:r w:rsidRPr="002F5B03">
        <w:rPr>
          <w:rFonts w:ascii="Calibri" w:hAnsi="Calibri" w:cs="Calibri"/>
          <w:noProof/>
        </w:rPr>
        <w:t> </w:t>
      </w:r>
      <w:r w:rsidRPr="002F5B03">
        <w:rPr>
          <w:noProof/>
        </w:rPr>
        <w:t>billion had been paid to the 2014-2020 ESF programmes, along with nearly EUR</w:t>
      </w:r>
      <w:r w:rsidRPr="002F5B03">
        <w:rPr>
          <w:rFonts w:ascii="Calibri" w:hAnsi="Calibri" w:cs="Calibri"/>
          <w:noProof/>
        </w:rPr>
        <w:t> </w:t>
      </w:r>
      <w:r w:rsidRPr="002F5B03">
        <w:rPr>
          <w:noProof/>
        </w:rPr>
        <w:t>320</w:t>
      </w:r>
      <w:r w:rsidRPr="002F5B03">
        <w:rPr>
          <w:rFonts w:ascii="Calibri" w:hAnsi="Calibri" w:cs="Calibri"/>
          <w:noProof/>
        </w:rPr>
        <w:t> </w:t>
      </w:r>
      <w:r w:rsidRPr="002F5B03">
        <w:rPr>
          <w:noProof/>
        </w:rPr>
        <w:t xml:space="preserve">million for </w:t>
      </w:r>
      <w:r w:rsidR="0017337B" w:rsidRPr="00B70B0E">
        <w:rPr>
          <w:noProof/>
        </w:rPr>
        <w:t>REACT-EU</w:t>
      </w:r>
      <w:r w:rsidRPr="002F5B03">
        <w:rPr>
          <w:noProof/>
        </w:rPr>
        <w:t xml:space="preserve">, lifting the absorption rate to 61% (total payments made compared to allocation, including </w:t>
      </w:r>
      <w:r w:rsidR="0017337B" w:rsidRPr="00B70B0E">
        <w:rPr>
          <w:noProof/>
        </w:rPr>
        <w:t>REACT-EU</w:t>
      </w:r>
      <w:r w:rsidRPr="002F5B03">
        <w:rPr>
          <w:noProof/>
        </w:rPr>
        <w:t>). The level of ESF expenditure certified to the Commission remained high in 2021. This confirms that a mature phase of implementation has been reached for the majority of programmes. Implementation has not been affected by the COVID-19 health crisis thanks to the effects of the programme amendments to the Coronavirus Response Investment Initiatives and the higher flexibility provided for all European structural and investment funds.</w:t>
      </w:r>
    </w:p>
    <w:p w14:paraId="2C7CDCE9" w14:textId="77777777" w:rsidR="008C407A" w:rsidRPr="002F5B03" w:rsidRDefault="008C407A" w:rsidP="008C407A">
      <w:pPr>
        <w:pStyle w:val="ppoListHyphened-L1"/>
        <w:rPr>
          <w:noProof/>
        </w:rPr>
      </w:pPr>
      <w:r w:rsidRPr="002F5B03">
        <w:rPr>
          <w:noProof/>
        </w:rPr>
        <w:t>In regard to the Youth Employment Initiative, the mature phase of implementation continued in 2021. By the end of 2021, the total eligible cost of Youth Employment Initiative operations selected for support was EUR</w:t>
      </w:r>
      <w:r w:rsidRPr="002F5B03">
        <w:rPr>
          <w:rFonts w:ascii="Calibri" w:hAnsi="Calibri" w:cs="Calibri"/>
          <w:noProof/>
        </w:rPr>
        <w:t> </w:t>
      </w:r>
      <w:r w:rsidRPr="002F5B03">
        <w:rPr>
          <w:noProof/>
        </w:rPr>
        <w:t>11.3</w:t>
      </w:r>
      <w:r w:rsidRPr="002F5B03">
        <w:rPr>
          <w:rFonts w:ascii="Calibri" w:hAnsi="Calibri" w:cs="Calibri"/>
          <w:noProof/>
        </w:rPr>
        <w:t> </w:t>
      </w:r>
      <w:r w:rsidRPr="002F5B03">
        <w:rPr>
          <w:noProof/>
        </w:rPr>
        <w:t>billion, and more than EUR</w:t>
      </w:r>
      <w:r w:rsidRPr="002F5B03">
        <w:rPr>
          <w:rFonts w:ascii="Calibri" w:hAnsi="Calibri" w:cs="Calibri"/>
          <w:noProof/>
        </w:rPr>
        <w:t> </w:t>
      </w:r>
      <w:r w:rsidRPr="002F5B03">
        <w:rPr>
          <w:noProof/>
        </w:rPr>
        <w:t>7.3</w:t>
      </w:r>
      <w:r w:rsidRPr="002F5B03">
        <w:rPr>
          <w:rFonts w:ascii="Calibri" w:hAnsi="Calibri" w:cs="Calibri"/>
          <w:noProof/>
        </w:rPr>
        <w:t> </w:t>
      </w:r>
      <w:r w:rsidRPr="002F5B03">
        <w:rPr>
          <w:noProof/>
        </w:rPr>
        <w:t>billion had been declared by beneficiaries. By the end of 2021, nearly EUR</w:t>
      </w:r>
      <w:r w:rsidRPr="002F5B03">
        <w:rPr>
          <w:rFonts w:ascii="Calibri" w:hAnsi="Calibri" w:cs="Calibri"/>
          <w:noProof/>
        </w:rPr>
        <w:t> </w:t>
      </w:r>
      <w:r w:rsidRPr="002F5B03">
        <w:rPr>
          <w:noProof/>
        </w:rPr>
        <w:t>4.5</w:t>
      </w:r>
      <w:r w:rsidRPr="002F5B03">
        <w:rPr>
          <w:rFonts w:ascii="Calibri" w:hAnsi="Calibri" w:cs="Calibri"/>
          <w:noProof/>
        </w:rPr>
        <w:t> </w:t>
      </w:r>
      <w:r w:rsidRPr="002F5B03">
        <w:rPr>
          <w:noProof/>
        </w:rPr>
        <w:t>billion had been paid to the Member States in relation to the Youth Employment Initiative (including interim payments and pre-financing).</w:t>
      </w:r>
    </w:p>
    <w:p w14:paraId="4D33AB76" w14:textId="77777777" w:rsidR="008C407A" w:rsidRPr="002F5B03" w:rsidRDefault="008C407A" w:rsidP="008C407A">
      <w:pPr>
        <w:pStyle w:val="ppoListHyphened-L1"/>
        <w:rPr>
          <w:noProof/>
        </w:rPr>
      </w:pPr>
      <w:r w:rsidRPr="002F5B03">
        <w:rPr>
          <w:noProof/>
        </w:rPr>
        <w:t>According to the 2020 annual implementation reports, the differences among the various types of region, which were significant in the early years of implementation, have now almost entirely disappeared. The implementation of the ESF</w:t>
      </w:r>
      <w:r w:rsidRPr="002F5B03">
        <w:rPr>
          <w:rFonts w:ascii="Calibri" w:hAnsi="Calibri" w:cs="Calibri"/>
          <w:noProof/>
        </w:rPr>
        <w:t> </w:t>
      </w:r>
      <w:r w:rsidRPr="002F5B03">
        <w:rPr>
          <w:noProof/>
        </w:rPr>
        <w:t>/ Youth Employment Initiative is picking up steam in Member States and regions that were lagging behind. However, some differences still exist in terms of expenditure declared, for instance due to capacity constraints on the part of Member State authorities. Implementation weaknesses are regularly addressed bilaterally by DG Employment, Social Affairs and Inclusion’s geographical desk officers in the context of ESF implementation and ESF+ programming negotiations with managing authorities.</w:t>
      </w:r>
    </w:p>
    <w:p w14:paraId="5245BF62" w14:textId="3A00C980" w:rsidR="008C407A" w:rsidRPr="002F5B03" w:rsidRDefault="008C407A" w:rsidP="008C407A">
      <w:pPr>
        <w:pStyle w:val="ppoListHyphened-L1"/>
        <w:rPr>
          <w:noProof/>
        </w:rPr>
      </w:pPr>
      <w:r w:rsidRPr="002F5B03">
        <w:rPr>
          <w:noProof/>
        </w:rPr>
        <w:t>The use of financial instruments also increased. Eleven Member States had included them in their programmes for the 2014-2020 period by the end of 2020, mainly under thematic objective 8 ‘Employment’ (EUR</w:t>
      </w:r>
      <w:r w:rsidRPr="002F5B03">
        <w:rPr>
          <w:rFonts w:ascii="Calibri" w:hAnsi="Calibri" w:cs="Calibri"/>
          <w:noProof/>
        </w:rPr>
        <w:t> </w:t>
      </w:r>
      <w:r w:rsidRPr="002F5B03">
        <w:rPr>
          <w:noProof/>
        </w:rPr>
        <w:t>377</w:t>
      </w:r>
      <w:r w:rsidRPr="002F5B03">
        <w:rPr>
          <w:rFonts w:ascii="Calibri" w:hAnsi="Calibri" w:cs="Calibri"/>
          <w:noProof/>
        </w:rPr>
        <w:t> </w:t>
      </w:r>
      <w:r w:rsidRPr="002F5B03">
        <w:rPr>
          <w:noProof/>
        </w:rPr>
        <w:t>million). In 2014-2020 their use was extended to all thematic objectives, and was intensified thanks to improved and more flexible implementation options. The increased take-up of financial instruments was also due to a joint initiative of the European Commission and the European Investment Bank aiming at building capacity within the ESF managing authorities.</w:t>
      </w:r>
    </w:p>
    <w:p w14:paraId="58CBF38F" w14:textId="4B3F016D" w:rsidR="008C407A" w:rsidRPr="002F5B03" w:rsidRDefault="008C407A" w:rsidP="008C407A">
      <w:pPr>
        <w:pStyle w:val="ppoListHyphened-L1"/>
        <w:rPr>
          <w:noProof/>
        </w:rPr>
      </w:pPr>
      <w:r w:rsidRPr="002F5B03">
        <w:rPr>
          <w:noProof/>
        </w:rPr>
        <w:t>In 2022, DG Employment, Social Affairs and Inclusion will continue providing technical and policy guidance on the programmes through the monitoring committees to ensure that they are on track to deliver the expected results.</w:t>
      </w:r>
    </w:p>
    <w:p w14:paraId="234B9070" w14:textId="77777777" w:rsidR="008C407A" w:rsidRPr="002F5B03" w:rsidRDefault="008C407A" w:rsidP="008C407A">
      <w:pPr>
        <w:pStyle w:val="ppoListHyphened-L1"/>
        <w:rPr>
          <w:noProof/>
        </w:rPr>
      </w:pPr>
      <w:r w:rsidRPr="002F5B03">
        <w:rPr>
          <w:noProof/>
        </w:rPr>
        <w:t>DG Employment, Social Affairs and Inclusion will run the ESF Transnational Cooperation Platform until its conclusion in July 2022. This is the framework for activities relating to transnational cooperation between the Member States’ ESF managing authorities and other stakeholders involved in ESF planning, implementation and monitoring. It concerns four communities of practice: employment, education and skills; social inclusion; social innovation; and result-based management. Its aim is to foster mutual learning and good practices, while paving the way for the 2021-2027 programming period and ESF+. Due to the pandemic, all activities took place online. After July 2022, and during the 2021-2027 period, transnational cooperation activities will take place under the ESF social innovation+ initiative. With a budget of EUR</w:t>
      </w:r>
      <w:r w:rsidRPr="002F5B03">
        <w:rPr>
          <w:rFonts w:ascii="Calibri" w:hAnsi="Calibri" w:cs="Calibri"/>
          <w:noProof/>
        </w:rPr>
        <w:t> </w:t>
      </w:r>
      <w:r w:rsidRPr="002F5B03">
        <w:rPr>
          <w:noProof/>
        </w:rPr>
        <w:t>197</w:t>
      </w:r>
      <w:r w:rsidRPr="002F5B03">
        <w:rPr>
          <w:rFonts w:ascii="Calibri" w:hAnsi="Calibri" w:cs="Calibri"/>
          <w:noProof/>
        </w:rPr>
        <w:t> </w:t>
      </w:r>
      <w:r w:rsidRPr="002F5B03">
        <w:rPr>
          <w:noProof/>
        </w:rPr>
        <w:t>million, the initiative will be implemented under indirect management by the Lithuanian European Social Fund Agency. The first activities of the initiative are expected to start in the second half of 2022.</w:t>
      </w:r>
    </w:p>
    <w:p w14:paraId="24F0EA36" w14:textId="77777777" w:rsidR="008C407A" w:rsidRPr="002F5B03" w:rsidRDefault="008C407A" w:rsidP="008C407A">
      <w:pPr>
        <w:pStyle w:val="ppoListHyphened-L1"/>
        <w:rPr>
          <w:noProof/>
        </w:rPr>
      </w:pPr>
      <w:r w:rsidRPr="002F5B03">
        <w:rPr>
          <w:noProof/>
        </w:rPr>
        <w:t>The implementation of the programmes is expected to continue at cruising speed in 2022, reinforcing the positive trend observed in 2021. Project selection rates and interim payment requests are expected to increase further. The gap between the project selection rate on the ground and the implementation rate of the ESF is expected to reduce significantly in 2022 and 2023. According to the Member States’ forecasts, EUR</w:t>
      </w:r>
      <w:r w:rsidRPr="002F5B03">
        <w:rPr>
          <w:rFonts w:ascii="Calibri" w:hAnsi="Calibri" w:cs="Calibri"/>
          <w:noProof/>
        </w:rPr>
        <w:t> </w:t>
      </w:r>
      <w:r w:rsidRPr="002F5B03">
        <w:rPr>
          <w:noProof/>
        </w:rPr>
        <w:t>13.4</w:t>
      </w:r>
      <w:r w:rsidRPr="002F5B03">
        <w:rPr>
          <w:rFonts w:ascii="Calibri" w:hAnsi="Calibri" w:cs="Calibri"/>
          <w:noProof/>
        </w:rPr>
        <w:t> </w:t>
      </w:r>
      <w:r w:rsidRPr="002F5B03">
        <w:rPr>
          <w:noProof/>
        </w:rPr>
        <w:t>billion is expected to be sent to the Commission for reimbursement in 2022, lifting the implementation rate to 75% of the total envelope. An additional EUR</w:t>
      </w:r>
      <w:r w:rsidRPr="002F5B03">
        <w:rPr>
          <w:rFonts w:ascii="Calibri" w:hAnsi="Calibri" w:cs="Calibri"/>
          <w:noProof/>
        </w:rPr>
        <w:t> </w:t>
      </w:r>
      <w:r w:rsidRPr="002F5B03">
        <w:rPr>
          <w:noProof/>
        </w:rPr>
        <w:t>12.5</w:t>
      </w:r>
      <w:r w:rsidRPr="002F5B03">
        <w:rPr>
          <w:rFonts w:ascii="Calibri" w:hAnsi="Calibri" w:cs="Calibri"/>
          <w:noProof/>
        </w:rPr>
        <w:t> </w:t>
      </w:r>
      <w:r w:rsidRPr="002F5B03">
        <w:rPr>
          <w:noProof/>
        </w:rPr>
        <w:t>billion is expected to be requested for reimbursement in 2023, further raising the ESF’s implementation rate to 88%. The COVID-19 crisis is not expected to affect the level of interim payments in 2022 and 2023. Moreover, DG Employment, Social Affairs and Inclusion will continue its work on assessing programme amendment requests submitted by Member States to ensure that the ESF and Youth Employment Initiative programmes are policy and result oriented.</w:t>
      </w:r>
    </w:p>
    <w:p w14:paraId="4955E512" w14:textId="77777777" w:rsidR="008C407A" w:rsidRPr="002F5B03" w:rsidRDefault="008C407A" w:rsidP="008C407A">
      <w:pPr>
        <w:pStyle w:val="ppoListHyphened-L1"/>
        <w:rPr>
          <w:noProof/>
        </w:rPr>
      </w:pPr>
      <w:r w:rsidRPr="002F5B03">
        <w:rPr>
          <w:noProof/>
        </w:rPr>
        <w:t>Member States will submit their annual implementation reports in 2022 with information updated as at the end of 2021. These will contain both quantitative and qualitative evidence on the implementation of the ESF.</w:t>
      </w:r>
    </w:p>
    <w:p w14:paraId="7F41BA01" w14:textId="4B2688D7" w:rsidR="008C407A" w:rsidRPr="002F5B03" w:rsidRDefault="008C407A" w:rsidP="008C407A">
      <w:pPr>
        <w:pStyle w:val="ppoListHyphened-L1"/>
        <w:rPr>
          <w:noProof/>
        </w:rPr>
      </w:pPr>
      <w:r w:rsidRPr="002F5B03">
        <w:rPr>
          <w:rFonts w:eastAsiaTheme="minorEastAsia"/>
          <w:noProof/>
        </w:rPr>
        <w:t xml:space="preserve">In March 2022, in order to help Member States and regions to provide emergency support to people fleeing from Russia's invasion of Ukraine, the Commission adopted the cohesion’s action for refugees in Europe initiative. The initiative introduced the necessary flexibility into the 2014-2020 cohesion policy rules to allow the swift reallocation of available funding to provide such emergency support. To complement this initiative, the Commission has proposed to increase by EUR 3.4 billion the total amount of pre-financing from </w:t>
      </w:r>
      <w:r w:rsidR="0017337B">
        <w:rPr>
          <w:rFonts w:eastAsiaTheme="minorEastAsia"/>
          <w:noProof/>
        </w:rPr>
        <w:t>REACT-EU</w:t>
      </w:r>
      <w:r w:rsidRPr="002F5B03">
        <w:rPr>
          <w:rFonts w:eastAsiaTheme="minorEastAsia"/>
          <w:noProof/>
        </w:rPr>
        <w:t>. The impact of the crisis in Ukraine will be known in the coming years, once the Member States submit their annual implementation reports.</w:t>
      </w:r>
    </w:p>
    <w:p w14:paraId="1789A9BC" w14:textId="77777777" w:rsidR="008C407A" w:rsidRPr="002F5B03" w:rsidRDefault="008C407A" w:rsidP="008C407A">
      <w:pPr>
        <w:pStyle w:val="ppoHeading5"/>
        <w:rPr>
          <w:noProof/>
        </w:rPr>
      </w:pPr>
      <w:r w:rsidRPr="002F5B03">
        <w:rPr>
          <w:noProof/>
        </w:rPr>
        <w:t>Performance assessment</w:t>
      </w:r>
    </w:p>
    <w:p w14:paraId="17413E08" w14:textId="77777777" w:rsidR="008C407A" w:rsidRPr="002F5B03" w:rsidRDefault="008C407A" w:rsidP="008C407A">
      <w:pPr>
        <w:pStyle w:val="ppoHeading6"/>
        <w:rPr>
          <w:noProof/>
        </w:rPr>
      </w:pPr>
      <w:r w:rsidRPr="002F5B03">
        <w:rPr>
          <w:noProof/>
        </w:rPr>
        <w:t>Key performance indicators</w:t>
      </w:r>
    </w:p>
    <w:tbl>
      <w:tblPr>
        <w:tblStyle w:val="PPO2021"/>
        <w:tblW w:w="9639" w:type="dxa"/>
        <w:tblInd w:w="0" w:type="dxa"/>
        <w:tblLook w:val="0420" w:firstRow="1" w:lastRow="0" w:firstColumn="0" w:lastColumn="0" w:noHBand="0" w:noVBand="1"/>
      </w:tblPr>
      <w:tblGrid>
        <w:gridCol w:w="2260"/>
        <w:gridCol w:w="1111"/>
        <w:gridCol w:w="1540"/>
        <w:gridCol w:w="1547"/>
        <w:gridCol w:w="1587"/>
        <w:gridCol w:w="1594"/>
      </w:tblGrid>
      <w:tr w:rsidR="008C407A" w:rsidRPr="002F5B03" w14:paraId="1C012092" w14:textId="77777777" w:rsidTr="00B202C2">
        <w:trPr>
          <w:cnfStyle w:val="100000000000" w:firstRow="1" w:lastRow="0" w:firstColumn="0" w:lastColumn="0" w:oddVBand="0" w:evenVBand="0" w:oddHBand="0" w:evenHBand="0" w:firstRowFirstColumn="0" w:firstRowLastColumn="0" w:lastRowFirstColumn="0" w:lastRowLastColumn="0"/>
        </w:trPr>
        <w:tc>
          <w:tcPr>
            <w:tcW w:w="2260" w:type="dxa"/>
          </w:tcPr>
          <w:p w14:paraId="3CF57D3E" w14:textId="77777777" w:rsidR="008C407A" w:rsidRPr="002F5B03" w:rsidRDefault="008C407A" w:rsidP="00B202C2">
            <w:pPr>
              <w:rPr>
                <w:noProof/>
              </w:rPr>
            </w:pPr>
          </w:p>
        </w:tc>
        <w:tc>
          <w:tcPr>
            <w:tcW w:w="1111" w:type="dxa"/>
          </w:tcPr>
          <w:p w14:paraId="30D2802D" w14:textId="77777777" w:rsidR="008C407A" w:rsidRPr="002F5B03" w:rsidRDefault="008C407A" w:rsidP="00B202C2">
            <w:pPr>
              <w:rPr>
                <w:noProof/>
              </w:rPr>
            </w:pPr>
            <w:r w:rsidRPr="002F5B03">
              <w:rPr>
                <w:noProof/>
              </w:rPr>
              <w:t>Baseline</w:t>
            </w:r>
          </w:p>
        </w:tc>
        <w:tc>
          <w:tcPr>
            <w:tcW w:w="1540" w:type="dxa"/>
          </w:tcPr>
          <w:p w14:paraId="168C1139" w14:textId="77777777" w:rsidR="008C407A" w:rsidRPr="009A31FF" w:rsidRDefault="008C407A" w:rsidP="00B202C2">
            <w:pPr>
              <w:rPr>
                <w:rFonts w:ascii="Calibri" w:hAnsi="Calibri" w:cs="Calibri"/>
                <w:noProof/>
              </w:rPr>
            </w:pPr>
            <w:r w:rsidRPr="002F5B03">
              <w:rPr>
                <w:noProof/>
              </w:rPr>
              <w:t>Progress</w:t>
            </w:r>
            <w:r w:rsidRPr="002F5B03">
              <w:rPr>
                <w:rFonts w:ascii="Calibri" w:hAnsi="Calibri" w:cs="Calibri"/>
                <w:noProof/>
              </w:rPr>
              <w:t> (*)</w:t>
            </w:r>
          </w:p>
        </w:tc>
        <w:tc>
          <w:tcPr>
            <w:tcW w:w="1547" w:type="dxa"/>
          </w:tcPr>
          <w:p w14:paraId="167D6724" w14:textId="77777777" w:rsidR="008C407A" w:rsidRPr="002F5B03" w:rsidRDefault="008C407A" w:rsidP="00B202C2">
            <w:pPr>
              <w:rPr>
                <w:noProof/>
              </w:rPr>
            </w:pPr>
            <w:r w:rsidRPr="002F5B03">
              <w:rPr>
                <w:noProof/>
              </w:rPr>
              <w:t>Target</w:t>
            </w:r>
          </w:p>
        </w:tc>
        <w:tc>
          <w:tcPr>
            <w:tcW w:w="1587" w:type="dxa"/>
          </w:tcPr>
          <w:p w14:paraId="63EA82BA" w14:textId="77777777" w:rsidR="008C407A" w:rsidRPr="002F5B03" w:rsidRDefault="008C407A" w:rsidP="00B202C2">
            <w:pPr>
              <w:rPr>
                <w:noProof/>
              </w:rPr>
            </w:pPr>
            <w:r w:rsidRPr="002F5B03">
              <w:rPr>
                <w:noProof/>
              </w:rPr>
              <w:t>Results</w:t>
            </w:r>
          </w:p>
        </w:tc>
        <w:tc>
          <w:tcPr>
            <w:tcW w:w="1594" w:type="dxa"/>
          </w:tcPr>
          <w:p w14:paraId="36A611AE" w14:textId="77777777" w:rsidR="008C407A" w:rsidRPr="002F5B03" w:rsidRDefault="008C407A" w:rsidP="00B202C2">
            <w:pPr>
              <w:rPr>
                <w:noProof/>
              </w:rPr>
            </w:pPr>
            <w:r w:rsidRPr="002F5B03">
              <w:rPr>
                <w:noProof/>
              </w:rPr>
              <w:t>Assessment</w:t>
            </w:r>
          </w:p>
        </w:tc>
      </w:tr>
      <w:tr w:rsidR="008C407A" w:rsidRPr="002F5B03" w14:paraId="7771EB8F" w14:textId="77777777" w:rsidTr="00B202C2">
        <w:trPr>
          <w:cnfStyle w:val="000000100000" w:firstRow="0" w:lastRow="0" w:firstColumn="0" w:lastColumn="0" w:oddVBand="0" w:evenVBand="0" w:oddHBand="1" w:evenHBand="0" w:firstRowFirstColumn="0" w:firstRowLastColumn="0" w:lastRowFirstColumn="0" w:lastRowLastColumn="0"/>
        </w:trPr>
        <w:tc>
          <w:tcPr>
            <w:tcW w:w="2260" w:type="dxa"/>
          </w:tcPr>
          <w:p w14:paraId="724B4B24" w14:textId="77777777" w:rsidR="008C407A" w:rsidRPr="002F5B03" w:rsidRDefault="008C407A" w:rsidP="00B202C2">
            <w:pPr>
              <w:rPr>
                <w:noProof/>
              </w:rPr>
            </w:pPr>
            <w:r w:rsidRPr="002F5B03">
              <w:rPr>
                <w:noProof/>
              </w:rPr>
              <w:t>Participants in employment, including self-employment, upon leaving the ESF intervention</w:t>
            </w:r>
          </w:p>
        </w:tc>
        <w:tc>
          <w:tcPr>
            <w:tcW w:w="1111" w:type="dxa"/>
          </w:tcPr>
          <w:p w14:paraId="4D8E9691" w14:textId="77777777" w:rsidR="008C407A" w:rsidRPr="002F5B03" w:rsidRDefault="008C407A" w:rsidP="00B202C2">
            <w:pPr>
              <w:jc w:val="center"/>
              <w:rPr>
                <w:noProof/>
              </w:rPr>
            </w:pPr>
            <w:r w:rsidRPr="002F5B03">
              <w:rPr>
                <w:noProof/>
              </w:rPr>
              <w:t>0%</w:t>
            </w:r>
          </w:p>
        </w:tc>
        <w:tc>
          <w:tcPr>
            <w:tcW w:w="1540" w:type="dxa"/>
          </w:tcPr>
          <w:p w14:paraId="7233277E" w14:textId="77777777" w:rsidR="008C407A" w:rsidRPr="002F5B03" w:rsidRDefault="008C407A" w:rsidP="00B202C2">
            <w:pPr>
              <w:jc w:val="center"/>
              <w:rPr>
                <w:b/>
                <w:noProof/>
              </w:rPr>
            </w:pPr>
            <w:r w:rsidRPr="002F5B03">
              <w:rPr>
                <w:noProof/>
              </w:rPr>
              <w:t>&gt; 100%</w:t>
            </w:r>
          </w:p>
        </w:tc>
        <w:tc>
          <w:tcPr>
            <w:tcW w:w="1547" w:type="dxa"/>
          </w:tcPr>
          <w:p w14:paraId="2F7EFF6A" w14:textId="77777777" w:rsidR="008C407A" w:rsidRPr="002F5B03" w:rsidRDefault="008C407A" w:rsidP="00B202C2">
            <w:pPr>
              <w:jc w:val="center"/>
              <w:rPr>
                <w:noProof/>
              </w:rPr>
            </w:pPr>
            <w:r w:rsidRPr="002F5B03">
              <w:rPr>
                <w:noProof/>
              </w:rPr>
              <w:t>24% in 2023</w:t>
            </w:r>
          </w:p>
        </w:tc>
        <w:tc>
          <w:tcPr>
            <w:tcW w:w="1587" w:type="dxa"/>
          </w:tcPr>
          <w:p w14:paraId="36195C0D" w14:textId="77777777" w:rsidR="008C407A" w:rsidRPr="002F5B03" w:rsidRDefault="008C407A" w:rsidP="00B202C2">
            <w:pPr>
              <w:jc w:val="center"/>
              <w:rPr>
                <w:noProof/>
              </w:rPr>
            </w:pPr>
            <w:r w:rsidRPr="002F5B03">
              <w:rPr>
                <w:noProof/>
              </w:rPr>
              <w:t>29% of participants compared to a target of 24%</w:t>
            </w:r>
          </w:p>
        </w:tc>
        <w:tc>
          <w:tcPr>
            <w:tcW w:w="1594" w:type="dxa"/>
          </w:tcPr>
          <w:p w14:paraId="05ED30B3" w14:textId="77777777" w:rsidR="008C407A" w:rsidRPr="002F5B03" w:rsidRDefault="008C407A" w:rsidP="00B202C2">
            <w:pPr>
              <w:jc w:val="center"/>
              <w:rPr>
                <w:noProof/>
              </w:rPr>
            </w:pPr>
            <w:r w:rsidRPr="002F5B03">
              <w:rPr>
                <w:noProof/>
              </w:rPr>
              <w:t>On track</w:t>
            </w:r>
          </w:p>
        </w:tc>
      </w:tr>
      <w:tr w:rsidR="008C407A" w:rsidRPr="002F5B03" w14:paraId="6BEA9636" w14:textId="77777777" w:rsidTr="00B202C2">
        <w:trPr>
          <w:cnfStyle w:val="000000010000" w:firstRow="0" w:lastRow="0" w:firstColumn="0" w:lastColumn="0" w:oddVBand="0" w:evenVBand="0" w:oddHBand="0" w:evenHBand="1" w:firstRowFirstColumn="0" w:firstRowLastColumn="0" w:lastRowFirstColumn="0" w:lastRowLastColumn="0"/>
        </w:trPr>
        <w:tc>
          <w:tcPr>
            <w:tcW w:w="2260" w:type="dxa"/>
          </w:tcPr>
          <w:p w14:paraId="6866D76A" w14:textId="77777777" w:rsidR="008C407A" w:rsidRPr="002F5B03" w:rsidRDefault="008C407A" w:rsidP="00B202C2">
            <w:pPr>
              <w:rPr>
                <w:noProof/>
              </w:rPr>
            </w:pPr>
            <w:r w:rsidRPr="002F5B03">
              <w:rPr>
                <w:noProof/>
              </w:rPr>
              <w:t>Participants gaining a qualification upon leaving the ESF intervention in education, training and vocational training for skills and lifelong learning</w:t>
            </w:r>
          </w:p>
        </w:tc>
        <w:tc>
          <w:tcPr>
            <w:tcW w:w="1111" w:type="dxa"/>
          </w:tcPr>
          <w:p w14:paraId="4C62F11F" w14:textId="77777777" w:rsidR="008C407A" w:rsidRPr="002F5B03" w:rsidRDefault="008C407A" w:rsidP="00B202C2">
            <w:pPr>
              <w:jc w:val="center"/>
              <w:rPr>
                <w:noProof/>
              </w:rPr>
            </w:pPr>
            <w:r w:rsidRPr="002F5B03">
              <w:rPr>
                <w:noProof/>
              </w:rPr>
              <w:t>0%</w:t>
            </w:r>
          </w:p>
        </w:tc>
        <w:tc>
          <w:tcPr>
            <w:tcW w:w="1540" w:type="dxa"/>
          </w:tcPr>
          <w:p w14:paraId="0AC91685" w14:textId="77777777" w:rsidR="008C407A" w:rsidRPr="002F5B03" w:rsidRDefault="008C407A" w:rsidP="00B202C2">
            <w:pPr>
              <w:jc w:val="center"/>
              <w:rPr>
                <w:b/>
                <w:noProof/>
              </w:rPr>
            </w:pPr>
            <w:r w:rsidRPr="002F5B03">
              <w:rPr>
                <w:noProof/>
              </w:rPr>
              <w:t>&gt; 100%</w:t>
            </w:r>
          </w:p>
        </w:tc>
        <w:tc>
          <w:tcPr>
            <w:tcW w:w="1547" w:type="dxa"/>
          </w:tcPr>
          <w:p w14:paraId="5F71A124" w14:textId="77777777" w:rsidR="008C407A" w:rsidRPr="002F5B03" w:rsidRDefault="008C407A" w:rsidP="00B202C2">
            <w:pPr>
              <w:jc w:val="center"/>
              <w:rPr>
                <w:noProof/>
              </w:rPr>
            </w:pPr>
            <w:r w:rsidRPr="002F5B03">
              <w:rPr>
                <w:noProof/>
              </w:rPr>
              <w:t>23% in 2023</w:t>
            </w:r>
          </w:p>
        </w:tc>
        <w:tc>
          <w:tcPr>
            <w:tcW w:w="1587" w:type="dxa"/>
          </w:tcPr>
          <w:p w14:paraId="253FBE18" w14:textId="77777777" w:rsidR="008C407A" w:rsidRPr="002F5B03" w:rsidRDefault="008C407A" w:rsidP="00B202C2">
            <w:pPr>
              <w:jc w:val="center"/>
              <w:rPr>
                <w:noProof/>
              </w:rPr>
            </w:pPr>
            <w:r w:rsidRPr="002F5B03">
              <w:rPr>
                <w:noProof/>
              </w:rPr>
              <w:t>26% of participants compared to a target of 23%</w:t>
            </w:r>
          </w:p>
        </w:tc>
        <w:tc>
          <w:tcPr>
            <w:tcW w:w="1594" w:type="dxa"/>
          </w:tcPr>
          <w:p w14:paraId="196C544C" w14:textId="77777777" w:rsidR="008C407A" w:rsidRPr="002F5B03" w:rsidRDefault="008C407A" w:rsidP="00B202C2">
            <w:pPr>
              <w:jc w:val="center"/>
              <w:rPr>
                <w:noProof/>
              </w:rPr>
            </w:pPr>
            <w:r w:rsidRPr="002F5B03">
              <w:rPr>
                <w:noProof/>
              </w:rPr>
              <w:t>On track</w:t>
            </w:r>
          </w:p>
        </w:tc>
      </w:tr>
      <w:tr w:rsidR="008C407A" w:rsidRPr="002F5B03" w14:paraId="64760B1D" w14:textId="77777777" w:rsidTr="00B202C2">
        <w:trPr>
          <w:cnfStyle w:val="000000100000" w:firstRow="0" w:lastRow="0" w:firstColumn="0" w:lastColumn="0" w:oddVBand="0" w:evenVBand="0" w:oddHBand="1" w:evenHBand="0" w:firstRowFirstColumn="0" w:firstRowLastColumn="0" w:lastRowFirstColumn="0" w:lastRowLastColumn="0"/>
        </w:trPr>
        <w:tc>
          <w:tcPr>
            <w:tcW w:w="2260" w:type="dxa"/>
          </w:tcPr>
          <w:p w14:paraId="21919513" w14:textId="77777777" w:rsidR="008C407A" w:rsidRPr="002F5B03" w:rsidRDefault="008C407A" w:rsidP="00B202C2">
            <w:pPr>
              <w:rPr>
                <w:noProof/>
              </w:rPr>
            </w:pPr>
            <w:r w:rsidRPr="002F5B03">
              <w:rPr>
                <w:noProof/>
              </w:rPr>
              <w:t>Inactive young people not in employment, education or training gaining a qualification or in employment upon leaving the Youth Employment Initiative intervention</w:t>
            </w:r>
          </w:p>
        </w:tc>
        <w:tc>
          <w:tcPr>
            <w:tcW w:w="1111" w:type="dxa"/>
          </w:tcPr>
          <w:p w14:paraId="6910AC54" w14:textId="77777777" w:rsidR="008C407A" w:rsidRPr="002F5B03" w:rsidRDefault="008C407A" w:rsidP="00B202C2">
            <w:pPr>
              <w:jc w:val="center"/>
              <w:rPr>
                <w:noProof/>
              </w:rPr>
            </w:pPr>
            <w:r w:rsidRPr="002F5B03">
              <w:rPr>
                <w:noProof/>
              </w:rPr>
              <w:t>0</w:t>
            </w:r>
          </w:p>
        </w:tc>
        <w:tc>
          <w:tcPr>
            <w:tcW w:w="1540" w:type="dxa"/>
          </w:tcPr>
          <w:p w14:paraId="3FAFF5B9" w14:textId="77777777" w:rsidR="008C407A" w:rsidRPr="002F5B03" w:rsidRDefault="008C407A" w:rsidP="00B202C2">
            <w:pPr>
              <w:jc w:val="center"/>
              <w:rPr>
                <w:b/>
                <w:noProof/>
              </w:rPr>
            </w:pPr>
            <w:r w:rsidRPr="002F5B03">
              <w:rPr>
                <w:noProof/>
              </w:rPr>
              <w:t>&gt; 100%</w:t>
            </w:r>
          </w:p>
        </w:tc>
        <w:tc>
          <w:tcPr>
            <w:tcW w:w="1547" w:type="dxa"/>
          </w:tcPr>
          <w:p w14:paraId="5C728090" w14:textId="77777777" w:rsidR="008C407A" w:rsidRPr="002F5B03" w:rsidRDefault="008C407A" w:rsidP="00B202C2">
            <w:pPr>
              <w:jc w:val="center"/>
              <w:rPr>
                <w:noProof/>
              </w:rPr>
            </w:pPr>
            <w:r w:rsidRPr="002F5B03">
              <w:rPr>
                <w:noProof/>
              </w:rPr>
              <w:t>0.26 m in 2020</w:t>
            </w:r>
          </w:p>
        </w:tc>
        <w:tc>
          <w:tcPr>
            <w:tcW w:w="1587" w:type="dxa"/>
          </w:tcPr>
          <w:p w14:paraId="2FBB03A8" w14:textId="77777777" w:rsidR="008C407A" w:rsidRPr="002F5B03" w:rsidRDefault="008C407A" w:rsidP="00B202C2">
            <w:pPr>
              <w:jc w:val="center"/>
              <w:rPr>
                <w:noProof/>
              </w:rPr>
            </w:pPr>
            <w:r w:rsidRPr="002F5B03">
              <w:rPr>
                <w:noProof/>
              </w:rPr>
              <w:t>0.26 million compared to 0.26 million inactive participants</w:t>
            </w:r>
          </w:p>
        </w:tc>
        <w:tc>
          <w:tcPr>
            <w:tcW w:w="1594" w:type="dxa"/>
          </w:tcPr>
          <w:p w14:paraId="34881AB9" w14:textId="77777777" w:rsidR="008C407A" w:rsidRPr="002F5B03" w:rsidRDefault="008C407A" w:rsidP="00B202C2">
            <w:pPr>
              <w:jc w:val="center"/>
              <w:rPr>
                <w:noProof/>
              </w:rPr>
            </w:pPr>
            <w:r w:rsidRPr="002F5B03">
              <w:rPr>
                <w:noProof/>
              </w:rPr>
              <w:t>Achieved</w:t>
            </w:r>
          </w:p>
        </w:tc>
      </w:tr>
    </w:tbl>
    <w:p w14:paraId="1F95448F" w14:textId="77777777" w:rsidR="008C407A" w:rsidRPr="002F5B03" w:rsidRDefault="008C407A" w:rsidP="008C407A">
      <w:pPr>
        <w:pStyle w:val="FootnoteText"/>
        <w:rPr>
          <w:noProof/>
          <w:color w:val="BBB931"/>
        </w:rPr>
      </w:pPr>
      <w:r w:rsidRPr="002F5B03">
        <w:rPr>
          <w:noProof/>
        </w:rPr>
        <w:t>(*) % of target achieved by the end of 2020.</w:t>
      </w:r>
    </w:p>
    <w:p w14:paraId="3C73E071" w14:textId="77777777" w:rsidR="008C407A" w:rsidRPr="002F5B03" w:rsidRDefault="008C407A" w:rsidP="008C407A">
      <w:pPr>
        <w:pStyle w:val="ppoListHyphened-L1"/>
        <w:rPr>
          <w:noProof/>
        </w:rPr>
      </w:pPr>
      <w:r w:rsidRPr="002F5B03">
        <w:rPr>
          <w:noProof/>
        </w:rPr>
        <w:t>With an overall budget of EUR</w:t>
      </w:r>
      <w:r w:rsidRPr="002F5B03">
        <w:rPr>
          <w:rFonts w:ascii="Calibri" w:hAnsi="Calibri" w:cs="Calibri"/>
          <w:noProof/>
        </w:rPr>
        <w:t> </w:t>
      </w:r>
      <w:r w:rsidRPr="002F5B03">
        <w:rPr>
          <w:noProof/>
        </w:rPr>
        <w:t>133.7</w:t>
      </w:r>
      <w:r w:rsidRPr="002F5B03">
        <w:rPr>
          <w:rFonts w:ascii="Calibri" w:hAnsi="Calibri" w:cs="Calibri"/>
          <w:noProof/>
        </w:rPr>
        <w:t> </w:t>
      </w:r>
      <w:r w:rsidRPr="002F5B03">
        <w:rPr>
          <w:noProof/>
        </w:rPr>
        <w:t>billion (from the EU and the national share), the ESF has recorded a positive trend in implementation. Available data relating to the ESF’s financial implementation by the end of 2021 suggest that, thanks to the Coronavirus Response Investment Initiatives and initiatives</w:t>
      </w:r>
      <w:r w:rsidRPr="002F5B03" w:rsidDel="004D6267">
        <w:rPr>
          <w:noProof/>
        </w:rPr>
        <w:t xml:space="preserve"> </w:t>
      </w:r>
      <w:r w:rsidRPr="002F5B03">
        <w:rPr>
          <w:noProof/>
        </w:rPr>
        <w:t>relating to the recovery assistance for cohesion and the territories of Europe programme, the rate of implementation has not slowed down in the exceptional circumstances of the COVID-19 pandemic.</w:t>
      </w:r>
    </w:p>
    <w:p w14:paraId="44761542" w14:textId="77777777" w:rsidR="008C407A" w:rsidRPr="002F5B03" w:rsidRDefault="008C407A" w:rsidP="008C407A">
      <w:pPr>
        <w:pStyle w:val="ppoListHyphened-L1"/>
        <w:rPr>
          <w:noProof/>
        </w:rPr>
      </w:pPr>
      <w:r w:rsidRPr="002F5B03">
        <w:rPr>
          <w:noProof/>
        </w:rPr>
        <w:t>The ESF has been successfully promoting sustainable and quality employment (specific objective</w:t>
      </w:r>
      <w:r w:rsidRPr="002F5B03">
        <w:rPr>
          <w:rFonts w:ascii="Calibri" w:hAnsi="Calibri" w:cs="Calibri"/>
          <w:noProof/>
        </w:rPr>
        <w:t> </w:t>
      </w:r>
      <w:r w:rsidRPr="002F5B03">
        <w:rPr>
          <w:noProof/>
        </w:rPr>
        <w:t>1), having supported 17</w:t>
      </w:r>
      <w:r w:rsidRPr="002F5B03">
        <w:rPr>
          <w:rFonts w:ascii="Calibri" w:hAnsi="Calibri" w:cs="Calibri"/>
          <w:noProof/>
        </w:rPr>
        <w:t> </w:t>
      </w:r>
      <w:r w:rsidRPr="002F5B03">
        <w:rPr>
          <w:noProof/>
        </w:rPr>
        <w:t>million participants by the end of 2020. This marks a steady increase since 2016 and a significant improvement compared to 2019 (14</w:t>
      </w:r>
      <w:r w:rsidRPr="002F5B03">
        <w:rPr>
          <w:rFonts w:ascii="Calibri" w:hAnsi="Calibri" w:cs="Calibri"/>
          <w:noProof/>
        </w:rPr>
        <w:t> </w:t>
      </w:r>
      <w:r w:rsidRPr="002F5B03">
        <w:rPr>
          <w:noProof/>
        </w:rPr>
        <w:t>million participants). The trend reflects the fact that an acceleration in implementation and in the achievement of outputs and/or results typically takes place after the midterm. Moreover, all Member States had implemented relevant projects/operations by the end of 2020. These usually consist of relatively short interventions, the results/outputs of which materialise faster. Also, the ESF programmes from the 2007-2013 period have been fully implemented, allowing managing authorities to focus on the 2014-2020 ESF programmes.</w:t>
      </w:r>
    </w:p>
    <w:p w14:paraId="011A6663" w14:textId="77777777" w:rsidR="008C407A" w:rsidRPr="002F5B03" w:rsidRDefault="008C407A" w:rsidP="008C407A">
      <w:pPr>
        <w:pStyle w:val="ppoListHyphened-L1"/>
        <w:rPr>
          <w:noProof/>
        </w:rPr>
      </w:pPr>
      <w:r w:rsidRPr="002F5B03">
        <w:rPr>
          <w:noProof/>
        </w:rPr>
        <w:t>In the field of social inclusion (specific objective</w:t>
      </w:r>
      <w:r w:rsidRPr="002F5B03">
        <w:rPr>
          <w:rFonts w:ascii="Calibri" w:hAnsi="Calibri" w:cs="Calibri"/>
          <w:noProof/>
        </w:rPr>
        <w:t> </w:t>
      </w:r>
      <w:r w:rsidRPr="002F5B03">
        <w:rPr>
          <w:noProof/>
        </w:rPr>
        <w:t>2), the ESF contributes to reducing poverty in the EU by targeting specific groups such as low-skilled people, (long-term) unemployed people, older people, people with disabilities and people with a migrant/foreign background. The project selection rate of 98.1% by the end of 2020 shows that progress is relatively well underway, with only limited differences among Member States. In 2021 the selection rate increased significantly, with an average of 100%. DG Employment, Social Affairs and Inclusion accompanied the managing authorities in reprogramming the different programmes to include COVID-19 support measures, notably short-time work schemes and the option of 100% co-financing in the 2020-2021 accounting year. DG Employment, Social Affairs and Inclusion geographical desk officers are in close bilateral contact with managing authorities to ensure all implementation challenges are effectively addressed. At the EU level, 40% of all ESF participants supported by the end of 2020 were considered to be part of disadvantaged groups. This value is in line with the target (40%). The indicator shows that the ESF is successfully reaching and supporting the most vulnerable groups, and thus provided an important contribution to the headline target of lifting people out of the risk of poverty or social exclusion. The evaluation of ESF support for social inclusion, finalised in 2020, showed that the provision of personalised support is costly and requires more intense training of providers. However, sufficient time and personalised support for participants are crucial to ensure needs are met and to generate the desired results. For these reasons, DG Employment, Social Affairs and Inclusion will continue promoting the use of long-term strategies on long-term unemployment and the implementation of more person-centred approaches, and will advocate against the use of institutional care, including under the ESF+. Moreover, under the ESF+, Member States will have to allocate at least 25% of their ESF+ resources to promote social inclusion. DG Employment, Social Affairs and Inclusion will use evidence on costs from the current programming period and will continue advocating for personal support in the ESF+ programme negotiations, because this approach has proved to be more effective in the long run.</w:t>
      </w:r>
    </w:p>
    <w:p w14:paraId="6CD69C89" w14:textId="77777777" w:rsidR="008C407A" w:rsidRPr="002F5B03" w:rsidRDefault="008C407A" w:rsidP="008C407A">
      <w:pPr>
        <w:pStyle w:val="ppoListHyphened-L1"/>
        <w:rPr>
          <w:noProof/>
        </w:rPr>
      </w:pPr>
      <w:r w:rsidRPr="002F5B03">
        <w:rPr>
          <w:noProof/>
        </w:rPr>
        <w:t>In the field of education and training (specific objective</w:t>
      </w:r>
      <w:r w:rsidRPr="002F5B03">
        <w:rPr>
          <w:rFonts w:ascii="Calibri" w:hAnsi="Calibri" w:cs="Calibri"/>
          <w:noProof/>
        </w:rPr>
        <w:t> </w:t>
      </w:r>
      <w:r w:rsidRPr="002F5B03">
        <w:rPr>
          <w:noProof/>
        </w:rPr>
        <w:t xml:space="preserve">3), implementation is relatively high across all regions, with the project selection rate by the end of 2020 of 100% or more in most Member States and types of region. In terms of participation and target achievement rates, no substantial differences were observed. All Member States that programmed interventions under this objective now report participation. </w:t>
      </w:r>
      <w:r w:rsidRPr="00012185">
        <w:rPr>
          <w:noProof/>
        </w:rPr>
        <w:t>In total, 16.9</w:t>
      </w:r>
      <w:r w:rsidRPr="00012185">
        <w:rPr>
          <w:rFonts w:ascii="Calibri" w:hAnsi="Calibri" w:cs="Calibri"/>
          <w:noProof/>
        </w:rPr>
        <w:t> </w:t>
      </w:r>
      <w:r w:rsidRPr="00012185">
        <w:rPr>
          <w:noProof/>
        </w:rPr>
        <w:t xml:space="preserve">million participants were recorded for all operations in the field by the end of 2020, </w:t>
      </w:r>
      <w:r>
        <w:rPr>
          <w:noProof/>
        </w:rPr>
        <w:t>with</w:t>
      </w:r>
      <w:r w:rsidRPr="00012185">
        <w:rPr>
          <w:noProof/>
        </w:rPr>
        <w:t xml:space="preserve"> 6.2</w:t>
      </w:r>
      <w:r w:rsidRPr="00012185">
        <w:rPr>
          <w:rFonts w:ascii="Calibri" w:hAnsi="Calibri" w:cs="Calibri"/>
          <w:noProof/>
        </w:rPr>
        <w:t> </w:t>
      </w:r>
      <w:r w:rsidRPr="00012185">
        <w:rPr>
          <w:noProof/>
        </w:rPr>
        <w:t xml:space="preserve">million </w:t>
      </w:r>
      <w:r>
        <w:rPr>
          <w:noProof/>
        </w:rPr>
        <w:t xml:space="preserve">of them </w:t>
      </w:r>
      <w:r w:rsidRPr="00012185">
        <w:rPr>
          <w:noProof/>
        </w:rPr>
        <w:t>hav</w:t>
      </w:r>
      <w:r>
        <w:rPr>
          <w:noProof/>
        </w:rPr>
        <w:t>ing</w:t>
      </w:r>
      <w:r w:rsidRPr="00012185">
        <w:rPr>
          <w:noProof/>
        </w:rPr>
        <w:t xml:space="preserve"> reached an individual short-term result.</w:t>
      </w:r>
      <w:r w:rsidRPr="002F5B03">
        <w:rPr>
          <w:noProof/>
        </w:rPr>
        <w:t xml:space="preserve"> This represents an improvement compared to 2019 (13.4</w:t>
      </w:r>
      <w:r w:rsidRPr="002F5B03">
        <w:rPr>
          <w:rFonts w:ascii="Calibri" w:hAnsi="Calibri" w:cs="Calibri"/>
          <w:noProof/>
        </w:rPr>
        <w:t> </w:t>
      </w:r>
      <w:r w:rsidRPr="002F5B03">
        <w:rPr>
          <w:noProof/>
        </w:rPr>
        <w:t>million). The increase in the rate of implementation and in the achievement of outputs and/or results is attributable to the same reasons as for specific objective</w:t>
      </w:r>
      <w:r w:rsidRPr="002F5B03">
        <w:rPr>
          <w:rFonts w:ascii="Calibri" w:hAnsi="Calibri" w:cs="Calibri"/>
          <w:noProof/>
        </w:rPr>
        <w:t> </w:t>
      </w:r>
      <w:r w:rsidRPr="002F5B03">
        <w:rPr>
          <w:noProof/>
        </w:rPr>
        <w:t>1. In terms of immediate results, more than 4.3</w:t>
      </w:r>
      <w:r w:rsidRPr="002F5B03">
        <w:rPr>
          <w:rFonts w:ascii="Calibri" w:hAnsi="Calibri" w:cs="Calibri"/>
          <w:noProof/>
        </w:rPr>
        <w:t> </w:t>
      </w:r>
      <w:r w:rsidRPr="002F5B03">
        <w:rPr>
          <w:noProof/>
        </w:rPr>
        <w:t>million participants gained a qualification with support of ESF investments with an education objective, while another 1.2</w:t>
      </w:r>
      <w:r w:rsidRPr="002F5B03">
        <w:rPr>
          <w:rFonts w:ascii="Calibri" w:hAnsi="Calibri" w:cs="Calibri"/>
          <w:noProof/>
        </w:rPr>
        <w:t> </w:t>
      </w:r>
      <w:r w:rsidRPr="002F5B03">
        <w:rPr>
          <w:noProof/>
        </w:rPr>
        <w:t>million participants were in education/training upon leaving the intervention. In all Member States, COVID-19 measures had an impact on progress in relation to implementing education investments. For instance, many education providers were unable to offer training. Projects adapted to these consequences by adjusting training offers and education programmes, for example by introducing distance learning.</w:t>
      </w:r>
    </w:p>
    <w:p w14:paraId="004012EF" w14:textId="77777777" w:rsidR="008C407A" w:rsidRPr="002F5B03" w:rsidRDefault="008C407A" w:rsidP="008C407A">
      <w:pPr>
        <w:pStyle w:val="ppoListHyphened-L1"/>
        <w:rPr>
          <w:noProof/>
        </w:rPr>
      </w:pPr>
      <w:r w:rsidRPr="002F5B03">
        <w:rPr>
          <w:noProof/>
        </w:rPr>
        <w:t>Institutional capacity investments (specific objective</w:t>
      </w:r>
      <w:r w:rsidRPr="002F5B03">
        <w:rPr>
          <w:rFonts w:ascii="Calibri" w:hAnsi="Calibri" w:cs="Calibri"/>
          <w:noProof/>
        </w:rPr>
        <w:t> </w:t>
      </w:r>
      <w:r w:rsidRPr="002F5B03">
        <w:rPr>
          <w:noProof/>
        </w:rPr>
        <w:t>4) supported 61</w:t>
      </w:r>
      <w:r w:rsidRPr="002F5B03">
        <w:rPr>
          <w:rFonts w:ascii="Calibri" w:hAnsi="Calibri" w:cs="Calibri"/>
          <w:noProof/>
        </w:rPr>
        <w:t> </w:t>
      </w:r>
      <w:r w:rsidRPr="002F5B03">
        <w:rPr>
          <w:noProof/>
        </w:rPr>
        <w:t>365 projects as of 2020 (compared to 27</w:t>
      </w:r>
      <w:r w:rsidRPr="002F5B03">
        <w:rPr>
          <w:rFonts w:ascii="Calibri" w:hAnsi="Calibri" w:cs="Calibri"/>
          <w:noProof/>
        </w:rPr>
        <w:t> </w:t>
      </w:r>
      <w:r w:rsidRPr="002F5B03">
        <w:rPr>
          <w:noProof/>
        </w:rPr>
        <w:t>644 in 2018), targeting public administrations or public services at the national, regional or local level. In terms of individual results, such interventions mainly contributed to public officials gaining a certain type of qualification (229</w:t>
      </w:r>
      <w:r w:rsidRPr="002F5B03">
        <w:rPr>
          <w:rFonts w:ascii="Calibri" w:hAnsi="Calibri" w:cs="Calibri"/>
          <w:noProof/>
        </w:rPr>
        <w:t> </w:t>
      </w:r>
      <w:r w:rsidRPr="002F5B03">
        <w:rPr>
          <w:noProof/>
        </w:rPr>
        <w:t>277), but the most meaningful results are procedural in kind, such as a shorter amount of time required for certain operations or specific positive results for organisations, public administrations, the judiciary and civil-society organisations such as implementing information technology systems, revising or simplifying procedures and increasing regulatory scrutiny.</w:t>
      </w:r>
    </w:p>
    <w:p w14:paraId="35230DB4" w14:textId="77777777" w:rsidR="008C407A" w:rsidRPr="002F5B03" w:rsidRDefault="008C407A" w:rsidP="008C407A">
      <w:pPr>
        <w:pStyle w:val="ppoListHyphened-L1"/>
        <w:rPr>
          <w:noProof/>
        </w:rPr>
      </w:pPr>
      <w:r w:rsidRPr="002F5B03">
        <w:rPr>
          <w:noProof/>
        </w:rPr>
        <w:t>In the field of support for young people not in employment, education or training (specific objective</w:t>
      </w:r>
      <w:r w:rsidRPr="002F5B03">
        <w:rPr>
          <w:rFonts w:ascii="Calibri" w:hAnsi="Calibri" w:cs="Calibri"/>
          <w:noProof/>
        </w:rPr>
        <w:t> </w:t>
      </w:r>
      <w:r w:rsidRPr="002F5B03">
        <w:rPr>
          <w:noProof/>
        </w:rPr>
        <w:t>5), by the end of 2020 a total of 3.4</w:t>
      </w:r>
      <w:r w:rsidRPr="002F5B03">
        <w:rPr>
          <w:rFonts w:ascii="Calibri" w:hAnsi="Calibri" w:cs="Calibri"/>
          <w:noProof/>
        </w:rPr>
        <w:t> </w:t>
      </w:r>
      <w:r w:rsidRPr="002F5B03">
        <w:rPr>
          <w:noProof/>
        </w:rPr>
        <w:t>million young people had benefited from Youth Employment Initiative support. At the EU level, participants are well balanced from a gender perspective. The outputs and results under this objective indicate a positive trend in implementation and good progress in reaching the targets. The findings of the relevant ESF</w:t>
      </w:r>
      <w:r w:rsidRPr="002F5B03">
        <w:rPr>
          <w:rFonts w:ascii="Calibri" w:hAnsi="Calibri" w:cs="Calibri"/>
          <w:noProof/>
        </w:rPr>
        <w:t> </w:t>
      </w:r>
      <w:r w:rsidRPr="002F5B03">
        <w:rPr>
          <w:noProof/>
        </w:rPr>
        <w:t>/ Youth Employment Initiative evaluation highlight that integrated pathways are needed to provide better support to disadvantaged groups across all ESF programmes. This will be addressed in the ESF+ through a specific focus on youth employment. Member States with a level of young people not in employment, education or training above the EU average should devote at least 12.5% of their ESF+ resources to helping them get a qualification or a good-quality job. All other Member States must allocate an appropriate amount of their ESF+ resources to targeted actions to support youth employment measures. Moreover, under the ESF+, DG Employment, Social Affairs and Inclusion intends to support better outreach to young people not in employment, education or training, a person-centred approach and more inclusive measures. In this regard, the directorate-general will launch the ‘aim, learn, master, achieve’ initiative, working on scaling up a cross-border youth mobility scheme for those young people not in employment, education or training who are most disadvantaged due to personal or structural reasons. By giving them the opportunity to create new connections across Europe, this initiative will foster their inclusion in society and help them find their way to the job market in their home countries more easily. Member States will be able to programme activities in their ESF+ measures at the national or regional level as from 2022. A call for proposals will be launched in the fourth quarter of 2022 as a one-off initiative to help implement the transnational partnerships and serve as a pilot scheme for a few Member States facing obstacles in relation to ‘aim, learn, master, achieve’ programming in 2022.</w:t>
      </w:r>
    </w:p>
    <w:p w14:paraId="1CD172AF" w14:textId="77777777" w:rsidR="008C407A" w:rsidRPr="002F5B03" w:rsidRDefault="008C407A" w:rsidP="008C407A">
      <w:pPr>
        <w:pStyle w:val="ppoListHyphened-L1"/>
        <w:rPr>
          <w:noProof/>
        </w:rPr>
      </w:pPr>
      <w:r w:rsidRPr="002F5B03">
        <w:rPr>
          <w:noProof/>
        </w:rPr>
        <w:t xml:space="preserve">Concerning the response to the COVID-19 crisis, the ESF was primarily used to support people affected by the crisis and to increase the capacity of social and healthcare services. </w:t>
      </w:r>
      <w:bookmarkStart w:id="139" w:name="_Hlk101531415"/>
      <w:bookmarkStart w:id="140" w:name="_Hlk101531529"/>
      <w:r w:rsidRPr="002F5B03">
        <w:rPr>
          <w:noProof/>
        </w:rPr>
        <w:t xml:space="preserve">This was pursued through support </w:t>
      </w:r>
      <w:bookmarkEnd w:id="139"/>
      <w:r w:rsidRPr="002F5B03">
        <w:rPr>
          <w:noProof/>
        </w:rPr>
        <w:t xml:space="preserve">for short-time work schemes, </w:t>
      </w:r>
      <w:r w:rsidRPr="00012185">
        <w:rPr>
          <w:noProof/>
        </w:rPr>
        <w:t>supplementary wage</w:t>
      </w:r>
      <w:r>
        <w:rPr>
          <w:noProof/>
        </w:rPr>
        <w:t>s</w:t>
      </w:r>
      <w:r w:rsidRPr="00012185">
        <w:rPr>
          <w:noProof/>
        </w:rPr>
        <w:t xml:space="preserve"> for healthcare personnel</w:t>
      </w:r>
      <w:r>
        <w:rPr>
          <w:noProof/>
        </w:rPr>
        <w:t>,</w:t>
      </w:r>
      <w:r w:rsidRPr="00012185">
        <w:rPr>
          <w:noProof/>
        </w:rPr>
        <w:t xml:space="preserve"> </w:t>
      </w:r>
      <w:r>
        <w:rPr>
          <w:noProof/>
        </w:rPr>
        <w:t xml:space="preserve">funding for </w:t>
      </w:r>
      <w:r w:rsidRPr="00012185">
        <w:rPr>
          <w:noProof/>
        </w:rPr>
        <w:t>healthcare equipment</w:t>
      </w:r>
      <w:r w:rsidRPr="002F5B03">
        <w:rPr>
          <w:noProof/>
        </w:rPr>
        <w:t xml:space="preserve"> and improved access to healthcare and social services for vulnerable groups.</w:t>
      </w:r>
      <w:bookmarkEnd w:id="140"/>
      <w:r w:rsidRPr="002F5B03">
        <w:rPr>
          <w:noProof/>
        </w:rPr>
        <w:t xml:space="preserve"> Overall, thanks to the flexibility and additional resources introduced by the Coronavirus Response Investment Initiative Plus and recovery assistance for cohesion and the territories of Europe initiatives, no negative effect on ESF performance was noticed by the end of 2020, according to the latest Member State annual implementation reports.</w:t>
      </w:r>
    </w:p>
    <w:p w14:paraId="2A295F98" w14:textId="77777777" w:rsidR="008C407A" w:rsidRPr="002F5B03" w:rsidRDefault="008C407A" w:rsidP="008C407A">
      <w:pPr>
        <w:pStyle w:val="ppoListHyphened-L1"/>
        <w:rPr>
          <w:noProof/>
        </w:rPr>
      </w:pPr>
      <w:r w:rsidRPr="002F5B03">
        <w:rPr>
          <w:noProof/>
        </w:rPr>
        <w:t>The COVID-19 pandemic has shown that special attention needs to be paid to vulnerable groups, as they have been hit the hardest by the crisis and risk being left behind. The need to further support the development of digital skills across the EU has also become evident. Member States should focus on these target groups and priorities for medium- and long-term recovery through ESF, recovery assistance for cohesion and the territories of Europe and ESF+ programming. The ESF+ regulation sets out thematic concentration requirements that will ensure an increased focus on actions promoting social inclusion, fighting poverty and developing the skills needed for the digital and green transitions. It also includes a more ambitious requirement for investing in young people and addressing child poverty. Moreover, learning from the COVID-19 crisis, a derogation article was added to the ESF+ regulation setting out the possibility to adopt temporary measures to respond to possible future exceptional and unusual circumstances.</w:t>
      </w:r>
    </w:p>
    <w:p w14:paraId="104510A8" w14:textId="77777777" w:rsidR="008C407A" w:rsidRPr="002F5B03" w:rsidRDefault="008C407A" w:rsidP="008C407A">
      <w:pPr>
        <w:pStyle w:val="ppoHeading4Green"/>
        <w:rPr>
          <w:noProof/>
        </w:rPr>
      </w:pPr>
      <w:r w:rsidRPr="002F5B03">
        <w:rPr>
          <w:noProof/>
        </w:rPr>
        <w:t>2014-2020 multiannual financial framework – Fund for European Aid to the Most Deprived</w:t>
      </w:r>
    </w:p>
    <w:p w14:paraId="449CA69E" w14:textId="77777777" w:rsidR="008C407A" w:rsidRPr="002F5B03" w:rsidRDefault="008C407A" w:rsidP="008C407A">
      <w:pPr>
        <w:pStyle w:val="PPObodyText"/>
        <w:spacing w:after="480"/>
        <w:rPr>
          <w:noProof/>
        </w:rPr>
      </w:pPr>
      <w:r w:rsidRPr="002F5B03">
        <w:rPr>
          <w:rFonts w:ascii="EC Square Sans Pro" w:hAnsi="EC Square Sans Pro" w:cstheme="minorBidi"/>
          <w:noProof/>
          <w:color w:val="auto"/>
          <w:sz w:val="22"/>
          <w:szCs w:val="22"/>
        </w:rPr>
        <w:t>FEAD supports EU Member States’ measures to provide assistance (including food, clothing and other essential items for personal use, such as shoes, soap and shampoo) to the most deprived. Material assistance goes hand in hand with social inclusion measures, such as guidance and support to help people out of poverty. National authorities may also support stand-alone social inclusion measures that help the most deprived people integrate better into society.</w:t>
      </w:r>
    </w:p>
    <w:p w14:paraId="48B0CDF8" w14:textId="77777777" w:rsidR="008C407A" w:rsidRPr="002F5B03" w:rsidRDefault="008C407A" w:rsidP="008C407A">
      <w:pPr>
        <w:pStyle w:val="ppoHeading5"/>
        <w:rPr>
          <w:noProof/>
        </w:rPr>
      </w:pPr>
      <w:r w:rsidRPr="002F5B03">
        <w:rPr>
          <w:noProof/>
        </w:rPr>
        <w:t>Budget implementation</w:t>
      </w:r>
    </w:p>
    <w:p w14:paraId="41DA8360" w14:textId="77777777" w:rsidR="008C407A" w:rsidRPr="002F5B03" w:rsidRDefault="008C407A" w:rsidP="008C407A">
      <w:pPr>
        <w:pStyle w:val="ppoTableTabletitle"/>
        <w:rPr>
          <w:noProof/>
        </w:rPr>
      </w:pPr>
      <w:r w:rsidRPr="002F5B03">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8C407A" w:rsidRPr="002F5B03" w14:paraId="2274061D" w14:textId="77777777" w:rsidTr="00B20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76EEE35F" w14:textId="77777777" w:rsidR="008C407A" w:rsidRPr="002F5B03" w:rsidRDefault="008C407A" w:rsidP="00B202C2">
            <w:pPr>
              <w:rPr>
                <w:noProof/>
              </w:rPr>
            </w:pPr>
          </w:p>
        </w:tc>
        <w:tc>
          <w:tcPr>
            <w:tcW w:w="2410" w:type="dxa"/>
          </w:tcPr>
          <w:p w14:paraId="4595AA20" w14:textId="77777777" w:rsidR="008C407A" w:rsidRPr="002F5B03" w:rsidRDefault="008C407A" w:rsidP="00B202C2">
            <w:pPr>
              <w:cnfStyle w:val="100000000000" w:firstRow="1" w:lastRow="0" w:firstColumn="0" w:lastColumn="0" w:oddVBand="0" w:evenVBand="0" w:oddHBand="0" w:evenHBand="0" w:firstRowFirstColumn="0" w:firstRowLastColumn="0" w:lastRowFirstColumn="0" w:lastRowLastColumn="0"/>
              <w:rPr>
                <w:noProof/>
              </w:rPr>
            </w:pPr>
            <w:r w:rsidRPr="002F5B03">
              <w:rPr>
                <w:noProof/>
              </w:rPr>
              <w:t>Implementation</w:t>
            </w:r>
          </w:p>
        </w:tc>
        <w:tc>
          <w:tcPr>
            <w:tcW w:w="2410" w:type="dxa"/>
          </w:tcPr>
          <w:p w14:paraId="19AC55C9" w14:textId="1265F948" w:rsidR="008C407A" w:rsidRPr="002F5B03" w:rsidRDefault="00A84801" w:rsidP="00B202C2">
            <w:pPr>
              <w:cnfStyle w:val="100000000000" w:firstRow="1" w:lastRow="0" w:firstColumn="0" w:lastColumn="0" w:oddVBand="0" w:evenVBand="0" w:oddHBand="0" w:evenHBand="0" w:firstRowFirstColumn="0" w:firstRowLastColumn="0" w:lastRowFirstColumn="0" w:lastRowLastColumn="0"/>
              <w:rPr>
                <w:noProof/>
              </w:rPr>
            </w:pPr>
            <w:r>
              <w:rPr>
                <w:noProof/>
                <w:lang w:val="en-IE"/>
              </w:rPr>
              <w:t xml:space="preserve">2014-2020 </w:t>
            </w:r>
            <w:r w:rsidR="008C407A" w:rsidRPr="002F5B03">
              <w:rPr>
                <w:noProof/>
              </w:rPr>
              <w:t>Budget</w:t>
            </w:r>
          </w:p>
        </w:tc>
        <w:tc>
          <w:tcPr>
            <w:tcW w:w="2410" w:type="dxa"/>
          </w:tcPr>
          <w:p w14:paraId="0363B06D" w14:textId="77777777" w:rsidR="008C407A" w:rsidRPr="002F5B03" w:rsidRDefault="008C407A" w:rsidP="00B202C2">
            <w:pPr>
              <w:cnfStyle w:val="100000000000" w:firstRow="1" w:lastRow="0" w:firstColumn="0" w:lastColumn="0" w:oddVBand="0" w:evenVBand="0" w:oddHBand="0" w:evenHBand="0" w:firstRowFirstColumn="0" w:firstRowLastColumn="0" w:lastRowFirstColumn="0" w:lastRowLastColumn="0"/>
              <w:rPr>
                <w:noProof/>
              </w:rPr>
            </w:pPr>
            <w:r w:rsidRPr="002F5B03">
              <w:rPr>
                <w:noProof/>
              </w:rPr>
              <w:t>Implementation rate</w:t>
            </w:r>
          </w:p>
        </w:tc>
      </w:tr>
      <w:tr w:rsidR="008C407A" w:rsidRPr="002F5B03" w14:paraId="410EF951"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581B4912" w14:textId="77777777" w:rsidR="008C407A" w:rsidRPr="002F5B03" w:rsidRDefault="008C407A" w:rsidP="00B202C2">
            <w:pPr>
              <w:jc w:val="center"/>
              <w:rPr>
                <w:noProof/>
              </w:rPr>
            </w:pPr>
            <w:r w:rsidRPr="002F5B03">
              <w:rPr>
                <w:noProof/>
              </w:rPr>
              <w:t>Commitment</w:t>
            </w:r>
          </w:p>
        </w:tc>
        <w:tc>
          <w:tcPr>
            <w:tcW w:w="2410" w:type="dxa"/>
          </w:tcPr>
          <w:p w14:paraId="29CF1CC5"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r w:rsidRPr="002F5B03">
              <w:rPr>
                <w:noProof/>
              </w:rPr>
              <w:t>3</w:t>
            </w:r>
            <w:r w:rsidRPr="002F5B03">
              <w:rPr>
                <w:rFonts w:ascii="Calibri" w:hAnsi="Calibri" w:cs="Calibri"/>
                <w:noProof/>
              </w:rPr>
              <w:t> </w:t>
            </w:r>
            <w:r w:rsidRPr="002F5B03">
              <w:rPr>
                <w:noProof/>
              </w:rPr>
              <w:t>813.7</w:t>
            </w:r>
          </w:p>
        </w:tc>
        <w:tc>
          <w:tcPr>
            <w:tcW w:w="2410" w:type="dxa"/>
          </w:tcPr>
          <w:p w14:paraId="098F7442"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r w:rsidRPr="002F5B03">
              <w:rPr>
                <w:noProof/>
              </w:rPr>
              <w:t>3</w:t>
            </w:r>
            <w:r w:rsidRPr="002F5B03">
              <w:rPr>
                <w:rFonts w:ascii="Calibri" w:hAnsi="Calibri" w:cs="Calibri"/>
                <w:noProof/>
              </w:rPr>
              <w:t> </w:t>
            </w:r>
            <w:r w:rsidRPr="002F5B03">
              <w:rPr>
                <w:noProof/>
              </w:rPr>
              <w:t>813.7</w:t>
            </w:r>
          </w:p>
        </w:tc>
        <w:tc>
          <w:tcPr>
            <w:tcW w:w="2410" w:type="dxa"/>
          </w:tcPr>
          <w:p w14:paraId="5F6BAE6A"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r w:rsidRPr="002F5B03">
              <w:rPr>
                <w:noProof/>
              </w:rPr>
              <w:t>100%</w:t>
            </w:r>
          </w:p>
        </w:tc>
      </w:tr>
      <w:tr w:rsidR="008C407A" w:rsidRPr="002F5B03" w14:paraId="0D5CCF7C"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767F65F9" w14:textId="77777777" w:rsidR="008C407A" w:rsidRPr="002F5B03" w:rsidRDefault="008C407A" w:rsidP="00B202C2">
            <w:pPr>
              <w:jc w:val="center"/>
              <w:rPr>
                <w:noProof/>
              </w:rPr>
            </w:pPr>
            <w:r w:rsidRPr="002F5B03">
              <w:rPr>
                <w:noProof/>
              </w:rPr>
              <w:t>Payments</w:t>
            </w:r>
          </w:p>
        </w:tc>
        <w:tc>
          <w:tcPr>
            <w:tcW w:w="2410" w:type="dxa"/>
          </w:tcPr>
          <w:p w14:paraId="10780196"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r w:rsidRPr="002F5B03">
              <w:rPr>
                <w:noProof/>
              </w:rPr>
              <w:t>2</w:t>
            </w:r>
            <w:r w:rsidRPr="002F5B03">
              <w:rPr>
                <w:rFonts w:ascii="Calibri" w:hAnsi="Calibri" w:cs="Calibri"/>
                <w:noProof/>
              </w:rPr>
              <w:t> </w:t>
            </w:r>
            <w:r w:rsidRPr="002F5B03">
              <w:rPr>
                <w:noProof/>
              </w:rPr>
              <w:t>931.1</w:t>
            </w:r>
          </w:p>
        </w:tc>
        <w:tc>
          <w:tcPr>
            <w:tcW w:w="2410" w:type="dxa"/>
          </w:tcPr>
          <w:p w14:paraId="66E1A258"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791DF56A"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r w:rsidRPr="002F5B03">
              <w:rPr>
                <w:noProof/>
              </w:rPr>
              <w:t>77%</w:t>
            </w:r>
          </w:p>
        </w:tc>
      </w:tr>
    </w:tbl>
    <w:p w14:paraId="3C9071C8" w14:textId="77777777" w:rsidR="008C407A" w:rsidRPr="002F5B03" w:rsidRDefault="008C407A" w:rsidP="008C407A">
      <w:pPr>
        <w:spacing w:before="120" w:after="120"/>
        <w:rPr>
          <w:noProof/>
          <w:color w:val="5BA95B"/>
        </w:rPr>
      </w:pPr>
    </w:p>
    <w:p w14:paraId="0C69E62B" w14:textId="77777777" w:rsidR="008C407A" w:rsidRPr="002F5B03" w:rsidRDefault="008C407A" w:rsidP="008C407A">
      <w:pPr>
        <w:pStyle w:val="ppoListHyphened-L1"/>
        <w:rPr>
          <w:noProof/>
        </w:rPr>
      </w:pPr>
      <w:r w:rsidRPr="002F5B03">
        <w:rPr>
          <w:noProof/>
        </w:rPr>
        <w:t>In 2020, almost 15</w:t>
      </w:r>
      <w:r w:rsidRPr="002F5B03">
        <w:rPr>
          <w:rFonts w:ascii="Calibri" w:hAnsi="Calibri" w:cs="Calibri"/>
          <w:noProof/>
        </w:rPr>
        <w:t> </w:t>
      </w:r>
      <w:r w:rsidRPr="002F5B03">
        <w:rPr>
          <w:noProof/>
        </w:rPr>
        <w:t>million</w:t>
      </w:r>
      <w:r w:rsidRPr="002F5B03" w:rsidDel="0071609A">
        <w:rPr>
          <w:noProof/>
        </w:rPr>
        <w:t xml:space="preserve"> </w:t>
      </w:r>
      <w:r w:rsidRPr="002F5B03">
        <w:rPr>
          <w:noProof/>
        </w:rPr>
        <w:t>people benefited from FEAD food assistance (with around 430</w:t>
      </w:r>
      <w:r w:rsidRPr="002F5B03">
        <w:rPr>
          <w:rFonts w:ascii="Calibri" w:hAnsi="Calibri" w:cs="Calibri"/>
          <w:noProof/>
        </w:rPr>
        <w:t> </w:t>
      </w:r>
      <w:r w:rsidRPr="002F5B03">
        <w:rPr>
          <w:noProof/>
        </w:rPr>
        <w:t>000</w:t>
      </w:r>
      <w:r w:rsidRPr="002F5B03">
        <w:rPr>
          <w:rFonts w:ascii="Calibri" w:hAnsi="Calibri" w:cs="Calibri"/>
          <w:noProof/>
        </w:rPr>
        <w:t> </w:t>
      </w:r>
      <w:r w:rsidRPr="002F5B03">
        <w:rPr>
          <w:noProof/>
        </w:rPr>
        <w:t>tonnes of food being distributed, compared to approximately 350</w:t>
      </w:r>
      <w:r w:rsidRPr="002F5B03">
        <w:rPr>
          <w:rFonts w:ascii="Calibri" w:hAnsi="Calibri" w:cs="Calibri"/>
          <w:noProof/>
        </w:rPr>
        <w:t> </w:t>
      </w:r>
      <w:r w:rsidRPr="002F5B03">
        <w:rPr>
          <w:noProof/>
        </w:rPr>
        <w:t>000</w:t>
      </w:r>
      <w:r w:rsidRPr="002F5B03">
        <w:rPr>
          <w:rFonts w:ascii="Calibri" w:hAnsi="Calibri" w:cs="Calibri"/>
          <w:noProof/>
        </w:rPr>
        <w:t> </w:t>
      </w:r>
      <w:r w:rsidRPr="002F5B03">
        <w:rPr>
          <w:noProof/>
        </w:rPr>
        <w:t>tonnes in 2019), approximately 1</w:t>
      </w:r>
      <w:r w:rsidRPr="002F5B03">
        <w:rPr>
          <w:rFonts w:ascii="Calibri" w:hAnsi="Calibri" w:cs="Calibri"/>
          <w:noProof/>
        </w:rPr>
        <w:t>.</w:t>
      </w:r>
      <w:r w:rsidRPr="002F5B03">
        <w:rPr>
          <w:noProof/>
        </w:rPr>
        <w:t>96</w:t>
      </w:r>
      <w:r w:rsidRPr="002F5B03">
        <w:rPr>
          <w:rFonts w:ascii="Calibri" w:hAnsi="Calibri" w:cs="Calibri"/>
          <w:noProof/>
        </w:rPr>
        <w:t> </w:t>
      </w:r>
      <w:r w:rsidRPr="002F5B03">
        <w:rPr>
          <w:noProof/>
        </w:rPr>
        <w:t>million received material assistance (800</w:t>
      </w:r>
      <w:r w:rsidRPr="002F5B03">
        <w:rPr>
          <w:rFonts w:ascii="Calibri" w:hAnsi="Calibri" w:cs="Calibri"/>
          <w:noProof/>
        </w:rPr>
        <w:t> </w:t>
      </w:r>
      <w:r w:rsidRPr="002F5B03">
        <w:rPr>
          <w:noProof/>
        </w:rPr>
        <w:t>000 in 2019) and around 30</w:t>
      </w:r>
      <w:r w:rsidRPr="002F5B03">
        <w:rPr>
          <w:rFonts w:ascii="Calibri" w:hAnsi="Calibri" w:cs="Calibri"/>
          <w:noProof/>
        </w:rPr>
        <w:t> </w:t>
      </w:r>
      <w:r w:rsidRPr="002F5B03">
        <w:rPr>
          <w:noProof/>
        </w:rPr>
        <w:t>000 benefited from social inclusion support.</w:t>
      </w:r>
    </w:p>
    <w:p w14:paraId="55AFB14C" w14:textId="77777777" w:rsidR="008C407A" w:rsidRPr="002F5B03" w:rsidRDefault="008C407A" w:rsidP="008C407A">
      <w:pPr>
        <w:pStyle w:val="ppoListHyphened-L1"/>
        <w:rPr>
          <w:noProof/>
        </w:rPr>
      </w:pPr>
      <w:r w:rsidRPr="002F5B03">
        <w:rPr>
          <w:noProof/>
        </w:rPr>
        <w:t>Regarding financial implementation, the total committed eligible public expenditure was EUR</w:t>
      </w:r>
      <w:r w:rsidRPr="002F5B03">
        <w:rPr>
          <w:rFonts w:ascii="Calibri" w:hAnsi="Calibri" w:cs="Calibri"/>
          <w:noProof/>
        </w:rPr>
        <w:t> </w:t>
      </w:r>
      <w:r w:rsidRPr="002F5B03">
        <w:rPr>
          <w:noProof/>
        </w:rPr>
        <w:t>643</w:t>
      </w:r>
      <w:r w:rsidRPr="002F5B03">
        <w:rPr>
          <w:rFonts w:ascii="Calibri" w:hAnsi="Calibri" w:cs="Calibri"/>
          <w:noProof/>
        </w:rPr>
        <w:t> </w:t>
      </w:r>
      <w:r w:rsidRPr="002F5B03">
        <w:rPr>
          <w:noProof/>
        </w:rPr>
        <w:t>million in 2020 (EUR</w:t>
      </w:r>
      <w:r w:rsidRPr="002F5B03">
        <w:rPr>
          <w:rFonts w:ascii="Calibri" w:hAnsi="Calibri" w:cs="Calibri"/>
          <w:noProof/>
        </w:rPr>
        <w:t> </w:t>
      </w:r>
      <w:r w:rsidRPr="002F5B03">
        <w:rPr>
          <w:noProof/>
        </w:rPr>
        <w:t>608</w:t>
      </w:r>
      <w:r w:rsidRPr="002F5B03">
        <w:rPr>
          <w:rFonts w:ascii="Calibri" w:hAnsi="Calibri" w:cs="Calibri"/>
          <w:noProof/>
        </w:rPr>
        <w:t> </w:t>
      </w:r>
      <w:r w:rsidRPr="002F5B03">
        <w:rPr>
          <w:noProof/>
        </w:rPr>
        <w:t>million in 2019). At the end of 2020, the cumulative funds committed from 2014 to 2020 amounted to nearly EUR</w:t>
      </w:r>
      <w:r w:rsidRPr="002F5B03">
        <w:rPr>
          <w:rFonts w:ascii="Calibri" w:hAnsi="Calibri" w:cs="Calibri"/>
          <w:noProof/>
        </w:rPr>
        <w:t> </w:t>
      </w:r>
      <w:r w:rsidRPr="002F5B03">
        <w:rPr>
          <w:noProof/>
        </w:rPr>
        <w:t>3.9</w:t>
      </w:r>
      <w:r w:rsidRPr="002F5B03">
        <w:rPr>
          <w:rFonts w:ascii="Calibri" w:hAnsi="Calibri" w:cs="Calibri"/>
          <w:noProof/>
        </w:rPr>
        <w:t> </w:t>
      </w:r>
      <w:r w:rsidRPr="002F5B03">
        <w:rPr>
          <w:noProof/>
        </w:rPr>
        <w:t xml:space="preserve">billion, or 85% of the total resources of the programmes </w:t>
      </w:r>
      <w:r w:rsidRPr="002F5B03">
        <w:rPr>
          <w:rFonts w:eastAsiaTheme="minorEastAsia"/>
          <w:noProof/>
        </w:rPr>
        <w:t>(including EU funds and national co-financing)</w:t>
      </w:r>
      <w:r w:rsidRPr="002F5B03">
        <w:rPr>
          <w:noProof/>
        </w:rPr>
        <w:t>. The approximately EUR</w:t>
      </w:r>
      <w:r w:rsidRPr="002F5B03">
        <w:rPr>
          <w:rFonts w:ascii="Calibri" w:hAnsi="Calibri" w:cs="Calibri"/>
          <w:noProof/>
        </w:rPr>
        <w:t> </w:t>
      </w:r>
      <w:r w:rsidRPr="002F5B03">
        <w:rPr>
          <w:noProof/>
        </w:rPr>
        <w:t>552.2</w:t>
      </w:r>
      <w:r w:rsidRPr="002F5B03">
        <w:rPr>
          <w:rFonts w:ascii="Calibri" w:hAnsi="Calibri" w:cs="Calibri"/>
          <w:noProof/>
        </w:rPr>
        <w:t> </w:t>
      </w:r>
      <w:r w:rsidRPr="002F5B03">
        <w:rPr>
          <w:noProof/>
        </w:rPr>
        <w:t>million paid to beneficiaries in 2020 marks a notable increase compared to previous years (EUR</w:t>
      </w:r>
      <w:r w:rsidRPr="002F5B03">
        <w:rPr>
          <w:rFonts w:ascii="Calibri" w:hAnsi="Calibri" w:cs="Calibri"/>
          <w:noProof/>
        </w:rPr>
        <w:t> </w:t>
      </w:r>
      <w:r w:rsidRPr="002F5B03">
        <w:rPr>
          <w:noProof/>
        </w:rPr>
        <w:t>478.5</w:t>
      </w:r>
      <w:r w:rsidRPr="002F5B03">
        <w:rPr>
          <w:rFonts w:ascii="Calibri" w:hAnsi="Calibri" w:cs="Calibri"/>
          <w:noProof/>
        </w:rPr>
        <w:t> </w:t>
      </w:r>
      <w:r w:rsidRPr="002F5B03">
        <w:rPr>
          <w:noProof/>
        </w:rPr>
        <w:t>million in 2019). This increase is mainly due to operations restarting in Romania and to the increased demand triggered by the COVID-19 crisis, which worsened conditions for vulnerable people already in receipt of FEAD support and led new people to seek support. The profile of target groups remained broadly stable.</w:t>
      </w:r>
    </w:p>
    <w:p w14:paraId="50319ADB" w14:textId="77777777" w:rsidR="008C407A" w:rsidRPr="002F5B03" w:rsidRDefault="008C407A" w:rsidP="008C407A">
      <w:pPr>
        <w:pStyle w:val="ppoListHyphened-L1"/>
        <w:rPr>
          <w:noProof/>
        </w:rPr>
      </w:pPr>
      <w:r w:rsidRPr="002F5B03">
        <w:rPr>
          <w:noProof/>
        </w:rPr>
        <w:t>In 2020, the onset of the COVID-19 crisis resulted in lower expenditure declarations by Member States. During the second quarter of 2020 they represented EUR</w:t>
      </w:r>
      <w:r w:rsidRPr="002F5B03">
        <w:rPr>
          <w:rFonts w:ascii="Calibri" w:hAnsi="Calibri" w:cs="Calibri"/>
          <w:noProof/>
        </w:rPr>
        <w:t> </w:t>
      </w:r>
      <w:r w:rsidRPr="002F5B03">
        <w:rPr>
          <w:noProof/>
        </w:rPr>
        <w:t>51</w:t>
      </w:r>
      <w:r w:rsidRPr="002F5B03">
        <w:rPr>
          <w:rFonts w:ascii="Calibri" w:hAnsi="Calibri" w:cs="Calibri"/>
          <w:noProof/>
        </w:rPr>
        <w:t> </w:t>
      </w:r>
      <w:r w:rsidRPr="002F5B03">
        <w:rPr>
          <w:noProof/>
        </w:rPr>
        <w:t>million, less than half of the corresponding amount from 2019 (EUR</w:t>
      </w:r>
      <w:r w:rsidRPr="002F5B03">
        <w:rPr>
          <w:rFonts w:ascii="Calibri" w:hAnsi="Calibri" w:cs="Calibri"/>
          <w:noProof/>
        </w:rPr>
        <w:t> </w:t>
      </w:r>
      <w:r w:rsidRPr="002F5B03">
        <w:rPr>
          <w:noProof/>
        </w:rPr>
        <w:t>128</w:t>
      </w:r>
      <w:r w:rsidRPr="002F5B03">
        <w:rPr>
          <w:rFonts w:ascii="Calibri" w:hAnsi="Calibri" w:cs="Calibri"/>
          <w:noProof/>
        </w:rPr>
        <w:t> </w:t>
      </w:r>
      <w:r w:rsidRPr="002F5B03">
        <w:rPr>
          <w:noProof/>
        </w:rPr>
        <w:t>million). Thanks to various amendments, testifying to the flexibility and adaptability of FEAD, implementation rates recovered in the second half of 2020. In the end, the total FEAD amount declared during 2020 was only slightly lower than the total amount declared during 2019 (EUR</w:t>
      </w:r>
      <w:r w:rsidRPr="002F5B03">
        <w:rPr>
          <w:rFonts w:ascii="Calibri" w:hAnsi="Calibri" w:cs="Calibri"/>
          <w:noProof/>
        </w:rPr>
        <w:t> </w:t>
      </w:r>
      <w:r w:rsidRPr="002F5B03">
        <w:rPr>
          <w:noProof/>
        </w:rPr>
        <w:t>549</w:t>
      </w:r>
      <w:r w:rsidRPr="002F5B03">
        <w:rPr>
          <w:rFonts w:ascii="Calibri" w:hAnsi="Calibri" w:cs="Calibri"/>
          <w:noProof/>
        </w:rPr>
        <w:t> </w:t>
      </w:r>
      <w:r w:rsidRPr="002F5B03">
        <w:rPr>
          <w:noProof/>
        </w:rPr>
        <w:t>million compared to EUR</w:t>
      </w:r>
      <w:r w:rsidRPr="002F5B03">
        <w:rPr>
          <w:rFonts w:ascii="Calibri" w:hAnsi="Calibri" w:cs="Calibri"/>
          <w:noProof/>
        </w:rPr>
        <w:t> </w:t>
      </w:r>
      <w:r w:rsidRPr="002F5B03">
        <w:rPr>
          <w:noProof/>
        </w:rPr>
        <w:t>573</w:t>
      </w:r>
      <w:r w:rsidRPr="002F5B03">
        <w:rPr>
          <w:rFonts w:ascii="Calibri" w:hAnsi="Calibri" w:cs="Calibri"/>
          <w:noProof/>
        </w:rPr>
        <w:t> </w:t>
      </w:r>
      <w:r w:rsidRPr="002F5B03">
        <w:rPr>
          <w:noProof/>
        </w:rPr>
        <w:t>million during 2019). The total amount paid for FEAD in 2021 increased to EUR</w:t>
      </w:r>
      <w:r w:rsidRPr="002F5B03">
        <w:rPr>
          <w:rFonts w:ascii="Calibri" w:hAnsi="Calibri" w:cs="Calibri"/>
          <w:noProof/>
        </w:rPr>
        <w:t> </w:t>
      </w:r>
      <w:r w:rsidRPr="002F5B03">
        <w:rPr>
          <w:noProof/>
        </w:rPr>
        <w:t>610.8</w:t>
      </w:r>
      <w:r w:rsidRPr="002F5B03">
        <w:rPr>
          <w:rFonts w:ascii="Calibri" w:hAnsi="Calibri" w:cs="Calibri"/>
          <w:noProof/>
        </w:rPr>
        <w:t> </w:t>
      </w:r>
      <w:r w:rsidRPr="002F5B03">
        <w:rPr>
          <w:noProof/>
        </w:rPr>
        <w:t>million due to the extra resources (EUR</w:t>
      </w:r>
      <w:r w:rsidRPr="002F5B03">
        <w:rPr>
          <w:rFonts w:ascii="Calibri" w:hAnsi="Calibri" w:cs="Calibri"/>
          <w:noProof/>
        </w:rPr>
        <w:t> </w:t>
      </w:r>
      <w:r w:rsidRPr="002F5B03">
        <w:rPr>
          <w:noProof/>
        </w:rPr>
        <w:t>81</w:t>
      </w:r>
      <w:r w:rsidRPr="002F5B03">
        <w:rPr>
          <w:rFonts w:ascii="Calibri" w:hAnsi="Calibri" w:cs="Calibri"/>
          <w:noProof/>
        </w:rPr>
        <w:t> </w:t>
      </w:r>
      <w:r w:rsidRPr="002F5B03">
        <w:rPr>
          <w:noProof/>
        </w:rPr>
        <w:t>million) made available under the recovery assistance for cohesion and the territories of Europe programme.</w:t>
      </w:r>
    </w:p>
    <w:p w14:paraId="1A0EB321" w14:textId="77777777" w:rsidR="008C407A" w:rsidRPr="002F5B03" w:rsidRDefault="008C407A" w:rsidP="008C407A">
      <w:pPr>
        <w:pStyle w:val="ppoListHyphened-L1"/>
        <w:rPr>
          <w:noProof/>
        </w:rPr>
      </w:pPr>
      <w:r w:rsidRPr="002F5B03">
        <w:rPr>
          <w:noProof/>
        </w:rPr>
        <w:t>In 2022 and 2023, FEAD is expected to continue to support a similar number of people among the target groups of the most deprived, as the consequences of the COVID-19 crisis continue disproportionally to affect the most vulnerable people in the society. Based on Member States’ forecasts, including the additional credits</w:t>
      </w:r>
      <w:r w:rsidRPr="002F5B03" w:rsidDel="004D6267">
        <w:rPr>
          <w:noProof/>
        </w:rPr>
        <w:t xml:space="preserve"> </w:t>
      </w:r>
      <w:r w:rsidRPr="002F5B03">
        <w:rPr>
          <w:noProof/>
        </w:rPr>
        <w:t>for the recovery assistance for cohesion and the territories of Europe programme, the implementation rate is expected to increase to 84% in 2022 and to be close to 100% in 2023.</w:t>
      </w:r>
    </w:p>
    <w:p w14:paraId="40FABE39" w14:textId="77777777" w:rsidR="008C407A" w:rsidRPr="002F5B03" w:rsidRDefault="008C407A" w:rsidP="008C407A">
      <w:pPr>
        <w:pStyle w:val="ppoListHyphened-L1"/>
        <w:rPr>
          <w:noProof/>
        </w:rPr>
      </w:pPr>
      <w:r w:rsidRPr="002F5B03">
        <w:rPr>
          <w:noProof/>
        </w:rPr>
        <w:t xml:space="preserve">As part of the </w:t>
      </w:r>
      <w:r w:rsidRPr="002F5B03">
        <w:rPr>
          <w:rFonts w:eastAsiaTheme="minorEastAsia"/>
          <w:noProof/>
        </w:rPr>
        <w:t xml:space="preserve">cohesion’s action for refugees in Europe </w:t>
      </w:r>
      <w:r w:rsidRPr="002F5B03">
        <w:rPr>
          <w:noProof/>
        </w:rPr>
        <w:t>initiative, funding from FEAD will also be crucial in order to provide much-needed food and basic material assistance to the people fleeing Russia’s invasion of Ukraine.</w:t>
      </w:r>
    </w:p>
    <w:p w14:paraId="6E606440" w14:textId="77777777" w:rsidR="008C407A" w:rsidRPr="002F5B03" w:rsidRDefault="008C407A" w:rsidP="008C407A">
      <w:pPr>
        <w:pStyle w:val="ppoHeading5"/>
        <w:rPr>
          <w:noProof/>
        </w:rPr>
      </w:pPr>
      <w:r w:rsidRPr="002F5B03">
        <w:rPr>
          <w:noProof/>
        </w:rPr>
        <w:t>Performance assessment</w:t>
      </w:r>
    </w:p>
    <w:p w14:paraId="02F2D966" w14:textId="77777777" w:rsidR="008C407A" w:rsidRPr="002F5B03" w:rsidRDefault="008C407A" w:rsidP="008C407A">
      <w:pPr>
        <w:pStyle w:val="ppoHeading6"/>
        <w:rPr>
          <w:noProof/>
        </w:rPr>
      </w:pPr>
      <w:r w:rsidRPr="002F5B03">
        <w:rPr>
          <w:noProof/>
        </w:rPr>
        <w:t>Key performance indicators</w:t>
      </w:r>
    </w:p>
    <w:tbl>
      <w:tblPr>
        <w:tblStyle w:val="PPO2021"/>
        <w:tblW w:w="9639" w:type="dxa"/>
        <w:tblInd w:w="0" w:type="dxa"/>
        <w:tblLook w:val="0420" w:firstRow="1" w:lastRow="0" w:firstColumn="0" w:lastColumn="0" w:noHBand="0" w:noVBand="1"/>
      </w:tblPr>
      <w:tblGrid>
        <w:gridCol w:w="2260"/>
        <w:gridCol w:w="1111"/>
        <w:gridCol w:w="1540"/>
        <w:gridCol w:w="1547"/>
        <w:gridCol w:w="1587"/>
        <w:gridCol w:w="1594"/>
      </w:tblGrid>
      <w:tr w:rsidR="008C407A" w:rsidRPr="002F5B03" w14:paraId="0A16AFF0" w14:textId="77777777" w:rsidTr="00B202C2">
        <w:trPr>
          <w:cnfStyle w:val="100000000000" w:firstRow="1" w:lastRow="0" w:firstColumn="0" w:lastColumn="0" w:oddVBand="0" w:evenVBand="0" w:oddHBand="0" w:evenHBand="0" w:firstRowFirstColumn="0" w:firstRowLastColumn="0" w:lastRowFirstColumn="0" w:lastRowLastColumn="0"/>
        </w:trPr>
        <w:tc>
          <w:tcPr>
            <w:tcW w:w="2260" w:type="dxa"/>
          </w:tcPr>
          <w:p w14:paraId="398AD221" w14:textId="77777777" w:rsidR="008C407A" w:rsidRPr="002F5B03" w:rsidRDefault="008C407A" w:rsidP="00B202C2">
            <w:pPr>
              <w:rPr>
                <w:noProof/>
              </w:rPr>
            </w:pPr>
          </w:p>
        </w:tc>
        <w:tc>
          <w:tcPr>
            <w:tcW w:w="1111" w:type="dxa"/>
          </w:tcPr>
          <w:p w14:paraId="1DAC1F0C" w14:textId="77777777" w:rsidR="008C407A" w:rsidRPr="002F5B03" w:rsidRDefault="008C407A" w:rsidP="00B202C2">
            <w:pPr>
              <w:rPr>
                <w:noProof/>
              </w:rPr>
            </w:pPr>
            <w:r w:rsidRPr="002F5B03">
              <w:rPr>
                <w:noProof/>
              </w:rPr>
              <w:t>Baseline</w:t>
            </w:r>
          </w:p>
        </w:tc>
        <w:tc>
          <w:tcPr>
            <w:tcW w:w="1540" w:type="dxa"/>
          </w:tcPr>
          <w:p w14:paraId="6F2FDEC8" w14:textId="77777777" w:rsidR="008C407A" w:rsidRPr="009A31FF" w:rsidRDefault="008C407A" w:rsidP="00B202C2">
            <w:pPr>
              <w:rPr>
                <w:rFonts w:ascii="Calibri" w:hAnsi="Calibri" w:cs="Calibri"/>
                <w:noProof/>
              </w:rPr>
            </w:pPr>
            <w:r w:rsidRPr="002F5B03">
              <w:rPr>
                <w:noProof/>
              </w:rPr>
              <w:t>Progress</w:t>
            </w:r>
            <w:r w:rsidRPr="002F5B03">
              <w:rPr>
                <w:rFonts w:ascii="Calibri" w:hAnsi="Calibri" w:cs="Calibri"/>
                <w:noProof/>
              </w:rPr>
              <w:t> (*)</w:t>
            </w:r>
          </w:p>
        </w:tc>
        <w:tc>
          <w:tcPr>
            <w:tcW w:w="1547" w:type="dxa"/>
          </w:tcPr>
          <w:p w14:paraId="1A828D2E" w14:textId="77777777" w:rsidR="008C407A" w:rsidRPr="002F5B03" w:rsidRDefault="008C407A" w:rsidP="00B202C2">
            <w:pPr>
              <w:rPr>
                <w:noProof/>
              </w:rPr>
            </w:pPr>
            <w:r w:rsidRPr="002F5B03">
              <w:rPr>
                <w:noProof/>
              </w:rPr>
              <w:t>Target</w:t>
            </w:r>
          </w:p>
        </w:tc>
        <w:tc>
          <w:tcPr>
            <w:tcW w:w="1587" w:type="dxa"/>
          </w:tcPr>
          <w:p w14:paraId="1D6ECE31" w14:textId="77777777" w:rsidR="008C407A" w:rsidRPr="009A31FF" w:rsidRDefault="008C407A" w:rsidP="00B202C2">
            <w:pPr>
              <w:rPr>
                <w:rFonts w:ascii="Calibri" w:hAnsi="Calibri" w:cs="Calibri"/>
                <w:noProof/>
              </w:rPr>
            </w:pPr>
            <w:r w:rsidRPr="002F5B03">
              <w:rPr>
                <w:noProof/>
              </w:rPr>
              <w:t>Results</w:t>
            </w:r>
          </w:p>
        </w:tc>
        <w:tc>
          <w:tcPr>
            <w:tcW w:w="1594" w:type="dxa"/>
          </w:tcPr>
          <w:p w14:paraId="3EE8F548" w14:textId="77777777" w:rsidR="008C407A" w:rsidRPr="002F5B03" w:rsidRDefault="008C407A" w:rsidP="00B202C2">
            <w:pPr>
              <w:rPr>
                <w:noProof/>
              </w:rPr>
            </w:pPr>
            <w:r w:rsidRPr="002F5B03">
              <w:rPr>
                <w:noProof/>
              </w:rPr>
              <w:t>Assessment</w:t>
            </w:r>
          </w:p>
        </w:tc>
      </w:tr>
      <w:tr w:rsidR="008C407A" w:rsidRPr="002F5B03" w14:paraId="56BFA680" w14:textId="77777777" w:rsidTr="00B202C2">
        <w:trPr>
          <w:cnfStyle w:val="000000100000" w:firstRow="0" w:lastRow="0" w:firstColumn="0" w:lastColumn="0" w:oddVBand="0" w:evenVBand="0" w:oddHBand="1" w:evenHBand="0" w:firstRowFirstColumn="0" w:firstRowLastColumn="0" w:lastRowFirstColumn="0" w:lastRowLastColumn="0"/>
        </w:trPr>
        <w:tc>
          <w:tcPr>
            <w:tcW w:w="2260" w:type="dxa"/>
          </w:tcPr>
          <w:p w14:paraId="2368496E" w14:textId="205C7C92" w:rsidR="008C407A" w:rsidRPr="002F5B03" w:rsidRDefault="00B23E89" w:rsidP="00B202C2">
            <w:pPr>
              <w:rPr>
                <w:noProof/>
              </w:rPr>
            </w:pPr>
            <w:r w:rsidRPr="00B23E89">
              <w:rPr>
                <w:noProof/>
              </w:rPr>
              <w:t>Number of persons receiving assistance from the Fund</w:t>
            </w:r>
          </w:p>
        </w:tc>
        <w:tc>
          <w:tcPr>
            <w:tcW w:w="1111" w:type="dxa"/>
          </w:tcPr>
          <w:p w14:paraId="72D5C01F" w14:textId="77777777" w:rsidR="008C407A" w:rsidRPr="002F5B03" w:rsidRDefault="008C407A" w:rsidP="00B202C2">
            <w:pPr>
              <w:jc w:val="center"/>
              <w:rPr>
                <w:noProof/>
              </w:rPr>
            </w:pPr>
            <w:r w:rsidRPr="002F5B03">
              <w:rPr>
                <w:noProof/>
              </w:rPr>
              <w:t>0</w:t>
            </w:r>
          </w:p>
        </w:tc>
        <w:tc>
          <w:tcPr>
            <w:tcW w:w="1540" w:type="dxa"/>
          </w:tcPr>
          <w:p w14:paraId="0D386A30" w14:textId="77777777" w:rsidR="008C407A" w:rsidRPr="002F5B03" w:rsidRDefault="008C407A" w:rsidP="00B202C2">
            <w:pPr>
              <w:jc w:val="center"/>
              <w:rPr>
                <w:b/>
                <w:noProof/>
              </w:rPr>
            </w:pPr>
            <w:r w:rsidRPr="002F5B03">
              <w:rPr>
                <w:noProof/>
              </w:rPr>
              <w:t>&gt; 100%</w:t>
            </w:r>
          </w:p>
        </w:tc>
        <w:tc>
          <w:tcPr>
            <w:tcW w:w="1547" w:type="dxa"/>
          </w:tcPr>
          <w:p w14:paraId="484E6FE8" w14:textId="77777777" w:rsidR="008C407A" w:rsidRPr="002F5B03" w:rsidRDefault="008C407A" w:rsidP="00B202C2">
            <w:pPr>
              <w:jc w:val="center"/>
              <w:rPr>
                <w:noProof/>
              </w:rPr>
            </w:pPr>
            <w:r w:rsidRPr="002F5B03">
              <w:rPr>
                <w:noProof/>
              </w:rPr>
              <w:t>12.7 m in 2020</w:t>
            </w:r>
          </w:p>
        </w:tc>
        <w:tc>
          <w:tcPr>
            <w:tcW w:w="1587" w:type="dxa"/>
          </w:tcPr>
          <w:p w14:paraId="0427E12A" w14:textId="4DA6700E" w:rsidR="008C407A" w:rsidRPr="002F5B03" w:rsidRDefault="008C407A" w:rsidP="00B202C2">
            <w:pPr>
              <w:jc w:val="center"/>
              <w:rPr>
                <w:noProof/>
              </w:rPr>
            </w:pPr>
            <w:r w:rsidRPr="002F5B03">
              <w:rPr>
                <w:noProof/>
              </w:rPr>
              <w:t>1</w:t>
            </w:r>
            <w:r w:rsidR="002B4E37">
              <w:rPr>
                <w:noProof/>
              </w:rPr>
              <w:t>6</w:t>
            </w:r>
            <w:r w:rsidRPr="002F5B03">
              <w:rPr>
                <w:noProof/>
              </w:rPr>
              <w:t>.</w:t>
            </w:r>
            <w:r w:rsidR="002B4E37">
              <w:rPr>
                <w:noProof/>
              </w:rPr>
              <w:t>9</w:t>
            </w:r>
            <w:r w:rsidRPr="002F5B03">
              <w:rPr>
                <w:noProof/>
              </w:rPr>
              <w:t xml:space="preserve"> million compared to 12.7 million</w:t>
            </w:r>
            <w:r w:rsidR="002B4E37">
              <w:rPr>
                <w:noProof/>
              </w:rPr>
              <w:t xml:space="preserve"> (**)</w:t>
            </w:r>
          </w:p>
        </w:tc>
        <w:tc>
          <w:tcPr>
            <w:tcW w:w="1594" w:type="dxa"/>
          </w:tcPr>
          <w:p w14:paraId="08F5BF7C" w14:textId="0525A46D" w:rsidR="008C407A" w:rsidRPr="002F5B03" w:rsidRDefault="002B4E37" w:rsidP="00B202C2">
            <w:pPr>
              <w:jc w:val="center"/>
              <w:rPr>
                <w:noProof/>
              </w:rPr>
            </w:pPr>
            <w:r>
              <w:rPr>
                <w:noProof/>
              </w:rPr>
              <w:t>Achieved</w:t>
            </w:r>
          </w:p>
        </w:tc>
      </w:tr>
    </w:tbl>
    <w:p w14:paraId="11636E05" w14:textId="1C8B99AD" w:rsidR="008C407A" w:rsidRDefault="008C407A" w:rsidP="008C407A">
      <w:pPr>
        <w:pStyle w:val="FootnoteText"/>
        <w:rPr>
          <w:noProof/>
        </w:rPr>
      </w:pPr>
      <w:r w:rsidRPr="002F5B03">
        <w:rPr>
          <w:noProof/>
        </w:rPr>
        <w:t xml:space="preserve">(*) </w:t>
      </w:r>
      <w:bookmarkStart w:id="141" w:name="_Hlk100740321"/>
      <w:r w:rsidRPr="002F5B03">
        <w:rPr>
          <w:noProof/>
        </w:rPr>
        <w:t>Average of results for 2014-2020 compared to target.</w:t>
      </w:r>
      <w:bookmarkEnd w:id="141"/>
    </w:p>
    <w:p w14:paraId="32934EBA" w14:textId="29777E72" w:rsidR="002B4E37" w:rsidRPr="002F5B03" w:rsidRDefault="002B4E37" w:rsidP="008C407A">
      <w:pPr>
        <w:pStyle w:val="FootnoteText"/>
        <w:rPr>
          <w:noProof/>
        </w:rPr>
      </w:pPr>
      <w:r>
        <w:rPr>
          <w:noProof/>
        </w:rPr>
        <w:t xml:space="preserve">(**) </w:t>
      </w:r>
      <w:r w:rsidRPr="002B4E37">
        <w:rPr>
          <w:noProof/>
        </w:rPr>
        <w:t>A person may be recipient of multiple forms of FEAD support and thus reported for more than once.</w:t>
      </w:r>
    </w:p>
    <w:p w14:paraId="2E807069" w14:textId="77777777" w:rsidR="008C407A" w:rsidRPr="002F5B03" w:rsidRDefault="008C407A" w:rsidP="008C407A">
      <w:pPr>
        <w:pStyle w:val="ppoListHyphened-L1"/>
        <w:rPr>
          <w:noProof/>
        </w:rPr>
      </w:pPr>
      <w:r w:rsidRPr="002F5B03">
        <w:rPr>
          <w:noProof/>
        </w:rPr>
        <w:t>According to the 2020 FEAD annual implementation reports, the fund contributed substantially to alleviating the worst forms of poverty in the EU and promoting social inclusion for those on the margins of society. Notably, it addressed food deprivation, child poverty and homelessness.</w:t>
      </w:r>
    </w:p>
    <w:p w14:paraId="106547A3" w14:textId="77777777" w:rsidR="008C407A" w:rsidRPr="002F5B03" w:rsidRDefault="008C407A" w:rsidP="008C407A">
      <w:pPr>
        <w:pStyle w:val="ppoListHyphened-L1"/>
        <w:rPr>
          <w:noProof/>
        </w:rPr>
      </w:pPr>
      <w:r w:rsidRPr="002F5B03">
        <w:rPr>
          <w:noProof/>
        </w:rPr>
        <w:t>The support provided by FEAD in 2020 increased, reflecting the impact of the COVID-19 crisis, which aggravated the conditions for existing vulnerable people in receipt of FEAD support and led additional people to seek food aid, including people with precarious jobs (e.g. short-term contracts, temporary or informal work), independent workers and disadvantaged tertiary education students.</w:t>
      </w:r>
    </w:p>
    <w:p w14:paraId="1879E360" w14:textId="77777777" w:rsidR="008C407A" w:rsidRPr="002F5B03" w:rsidRDefault="008C407A" w:rsidP="008C407A">
      <w:pPr>
        <w:pStyle w:val="ppoListHyphened-L1"/>
        <w:rPr>
          <w:noProof/>
        </w:rPr>
      </w:pPr>
      <w:r w:rsidRPr="002F5B03">
        <w:rPr>
          <w:noProof/>
        </w:rPr>
        <w:t>FEAD is well on track to achieve its objectives. Challenges in implementation relating to capacity issues on the part of partner organisations, along with logistical challenges, were mainly connected to the COVID-19 crisis. They were partly tackled by the increased flexibility and reduced administrative burden introduced by the 2020 FEAD amendments. Strong cooperation between managing authorities and partner organisations also proved to be essential in addressing challenges.</w:t>
      </w:r>
    </w:p>
    <w:p w14:paraId="1714A555" w14:textId="77777777" w:rsidR="008C407A" w:rsidRPr="002F5B03" w:rsidRDefault="008C407A" w:rsidP="008C407A">
      <w:pPr>
        <w:pStyle w:val="ppoListHyphened-L1"/>
        <w:rPr>
          <w:noProof/>
        </w:rPr>
      </w:pPr>
      <w:r w:rsidRPr="002F5B03">
        <w:rPr>
          <w:noProof/>
        </w:rPr>
        <w:t>The findings of a 2017 structured survey on end recipients, of an external evaluation</w:t>
      </w:r>
      <w:r w:rsidRPr="009A31FF">
        <w:rPr>
          <w:noProof/>
        </w:rPr>
        <w:t xml:space="preserve"> </w:t>
      </w:r>
      <w:r w:rsidRPr="002F5B03">
        <w:rPr>
          <w:noProof/>
        </w:rPr>
        <w:t>and of the open public consultation were used for FEAD’s midterm evaluation, and fed into the negotiations for the 2021-2027 programmes. Furthermore, the second round of the structured survey on FEAD end recipients is to be carried out</w:t>
      </w:r>
      <w:r w:rsidRPr="002F5B03">
        <w:rPr>
          <w:iCs/>
          <w:noProof/>
        </w:rPr>
        <w:t xml:space="preserve"> </w:t>
      </w:r>
      <w:r w:rsidRPr="002F5B03">
        <w:rPr>
          <w:noProof/>
        </w:rPr>
        <w:t>in 2022. The results of this survey can be used by the managing authorities to conduct evaluations and draw lessons at the national level. Furthermore, the aggregated EU</w:t>
      </w:r>
      <w:r w:rsidRPr="002F5B03">
        <w:rPr>
          <w:noProof/>
        </w:rPr>
        <w:noBreakHyphen/>
        <w:t xml:space="preserve">level results of this survey will feed into the </w:t>
      </w:r>
      <w:r w:rsidRPr="009A31FF">
        <w:rPr>
          <w:i/>
          <w:iCs/>
          <w:noProof/>
        </w:rPr>
        <w:t>ex post</w:t>
      </w:r>
      <w:r w:rsidRPr="002F5B03">
        <w:rPr>
          <w:noProof/>
        </w:rPr>
        <w:t xml:space="preserve"> evaluation of FEAD, which will be conducted by the Commission.</w:t>
      </w:r>
    </w:p>
    <w:p w14:paraId="0E175DFC" w14:textId="77777777" w:rsidR="008C407A" w:rsidRPr="002F5B03" w:rsidRDefault="008C407A" w:rsidP="008C407A">
      <w:pPr>
        <w:pStyle w:val="ppoListHyphened-L1"/>
        <w:rPr>
          <w:noProof/>
        </w:rPr>
      </w:pPr>
      <w:r w:rsidRPr="002F5B03">
        <w:rPr>
          <w:noProof/>
        </w:rPr>
        <w:t>Based on FEAD’s midterm evaluation, stakeholders value the fund’s flexibility and less-stringent administrative requirements, along with the established networks and operational delivery modes. Low thresholds allow FEAD to provide aid to people not reached by social services, such as homeless people, and to respond quickly to emerging needs and crises. The midterm evaluation recommended that the 2021-2027 programmes maintain both the focus on these target groups and the existing flexibility. Furthermore, it found that FEAD’s merger with the ESF will allow synergies and open up potential pathways for basic support relating to social inclusion. This will lead to people receiving training and finding work, when the target groups are the same. In addition, the evaluation recommended that Member States follow the regulation closely and avoid introducing requirements at national level that go beyond the requirements of the regulation, resulting in narrower definitions of eligibility.</w:t>
      </w:r>
    </w:p>
    <w:p w14:paraId="317D578D" w14:textId="77777777" w:rsidR="008C407A" w:rsidRPr="002F5B03" w:rsidRDefault="008C407A" w:rsidP="008C407A">
      <w:pPr>
        <w:pStyle w:val="ppoListHyphened-L1"/>
        <w:rPr>
          <w:noProof/>
        </w:rPr>
      </w:pPr>
      <w:r w:rsidRPr="002F5B03">
        <w:rPr>
          <w:noProof/>
        </w:rPr>
        <w:t>The preliminary findings of the ongoing ‘Study supporting the monitoring of FEAD – data collection systems implemented by Member States’ confirm the findings of FEAD’s midterm evaluation.</w:t>
      </w:r>
    </w:p>
    <w:p w14:paraId="30948F3F" w14:textId="77777777" w:rsidR="008C407A" w:rsidRPr="002F5B03" w:rsidRDefault="008C407A" w:rsidP="008C407A">
      <w:pPr>
        <w:pStyle w:val="ppoListHyphened-L1"/>
        <w:rPr>
          <w:noProof/>
        </w:rPr>
      </w:pPr>
      <w:r w:rsidRPr="002F5B03">
        <w:rPr>
          <w:noProof/>
        </w:rPr>
        <w:t>These challenges are tackled in the new ESF+ regulation, whereby FEAD operations are integrated into the ESF+. As a result, ESF and FEAD objectives are merged into a single list. This is expected to simplify funding and increase synergy and complementarity between employment, education, social inclusion and support to the most deprived. Specific rules apply to support relating to material deprivation to keep it as streamlined as possible. In addition, simplified monitoring requirements are applied for specific objectives targeting the most deprived. Annual implementation reports will be replaced by the reporting of data via IT tools to allow for regular exchanges between the Commission and the programme authorities, whereas evaluations will be mandatory for all specific objectives.</w:t>
      </w:r>
    </w:p>
    <w:p w14:paraId="093E0FD5" w14:textId="77777777" w:rsidR="0067341E" w:rsidRDefault="0067341E">
      <w:pPr>
        <w:spacing w:after="0"/>
        <w:jc w:val="left"/>
        <w:rPr>
          <w:rFonts w:eastAsiaTheme="majorEastAsia" w:cstheme="majorBidi"/>
          <w:noProof/>
          <w:color w:val="19854D"/>
          <w:sz w:val="48"/>
          <w:szCs w:val="32"/>
          <w:lang w:eastAsia="en-GB"/>
        </w:rPr>
      </w:pPr>
      <w:r>
        <w:rPr>
          <w:noProof/>
        </w:rPr>
        <w:br w:type="page"/>
      </w:r>
    </w:p>
    <w:p w14:paraId="4E482141" w14:textId="7AB4E83B" w:rsidR="008C407A" w:rsidRPr="002F5B03" w:rsidRDefault="008C407A" w:rsidP="008C407A">
      <w:pPr>
        <w:pStyle w:val="ppoHeading4Green"/>
        <w:rPr>
          <w:noProof/>
        </w:rPr>
      </w:pPr>
      <w:r w:rsidRPr="002F5B03">
        <w:rPr>
          <w:noProof/>
        </w:rPr>
        <w:t>2014-2020 multiannual financial framework – Employment and Social Innovation</w:t>
      </w:r>
    </w:p>
    <w:p w14:paraId="40308B63" w14:textId="77777777" w:rsidR="008C407A" w:rsidRPr="002F5B03" w:rsidRDefault="008C407A" w:rsidP="008C407A">
      <w:pPr>
        <w:pStyle w:val="PPObodyText"/>
        <w:spacing w:after="240"/>
        <w:rPr>
          <w:rFonts w:ascii="EC Square Sans Pro" w:hAnsi="EC Square Sans Pro" w:cstheme="minorBidi"/>
          <w:noProof/>
          <w:color w:val="auto"/>
          <w:sz w:val="22"/>
          <w:szCs w:val="22"/>
        </w:rPr>
      </w:pPr>
      <w:r w:rsidRPr="002F5B03">
        <w:rPr>
          <w:rFonts w:ascii="EC Square Sans Pro" w:hAnsi="EC Square Sans Pro" w:cstheme="minorBidi"/>
          <w:noProof/>
          <w:color w:val="auto"/>
          <w:sz w:val="22"/>
          <w:szCs w:val="22"/>
        </w:rPr>
        <w:t>The EaSI programme is a financing instrument at the EU level promoting a high level of quality and sustainable employment, guaranteeing adequate and decent social protection, combating social exclusion and poverty and improving working conditions. EaSI has three axes, supporting respectively the modernisation of employment and social policies (Progress axis), job mobility (EURES axis) and access to microfinance and social entrepreneurship (microfinance</w:t>
      </w:r>
      <w:r w:rsidRPr="002F5B03">
        <w:rPr>
          <w:rFonts w:ascii="Calibri" w:hAnsi="Calibri" w:cs="Calibri"/>
          <w:noProof/>
          <w:color w:val="auto"/>
          <w:sz w:val="22"/>
          <w:szCs w:val="22"/>
        </w:rPr>
        <w:t> </w:t>
      </w:r>
      <w:r w:rsidRPr="002F5B03">
        <w:rPr>
          <w:rFonts w:ascii="EC Square Sans Pro" w:hAnsi="EC Square Sans Pro" w:cstheme="minorBidi"/>
          <w:noProof/>
          <w:color w:val="auto"/>
          <w:sz w:val="22"/>
          <w:szCs w:val="22"/>
        </w:rPr>
        <w:t>/ social entrepreneurship axis).</w:t>
      </w:r>
    </w:p>
    <w:p w14:paraId="21602777" w14:textId="77777777" w:rsidR="008C407A" w:rsidRPr="002F5B03" w:rsidRDefault="008C407A" w:rsidP="008C407A">
      <w:pPr>
        <w:pStyle w:val="ppoHeading5"/>
        <w:rPr>
          <w:noProof/>
        </w:rPr>
      </w:pPr>
      <w:r w:rsidRPr="002F5B03">
        <w:rPr>
          <w:noProof/>
        </w:rPr>
        <w:t>Budget implementation</w:t>
      </w:r>
    </w:p>
    <w:p w14:paraId="00D6B330" w14:textId="77777777" w:rsidR="008C407A" w:rsidRPr="002F5B03" w:rsidRDefault="008C407A" w:rsidP="008C407A">
      <w:pPr>
        <w:spacing w:before="120" w:after="120"/>
        <w:rPr>
          <w:noProof/>
        </w:rPr>
      </w:pPr>
      <w:r w:rsidRPr="002F5B03">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8C407A" w:rsidRPr="002F5B03" w14:paraId="5768B47F" w14:textId="77777777" w:rsidTr="00B20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47A4D955" w14:textId="77777777" w:rsidR="008C407A" w:rsidRPr="002F5B03" w:rsidRDefault="008C407A" w:rsidP="00B202C2">
            <w:pPr>
              <w:rPr>
                <w:noProof/>
              </w:rPr>
            </w:pPr>
          </w:p>
        </w:tc>
        <w:tc>
          <w:tcPr>
            <w:tcW w:w="2410" w:type="dxa"/>
          </w:tcPr>
          <w:p w14:paraId="1A3261C2" w14:textId="77777777" w:rsidR="008C407A" w:rsidRPr="002F5B03" w:rsidRDefault="008C407A" w:rsidP="00B202C2">
            <w:pPr>
              <w:cnfStyle w:val="100000000000" w:firstRow="1" w:lastRow="0" w:firstColumn="0" w:lastColumn="0" w:oddVBand="0" w:evenVBand="0" w:oddHBand="0" w:evenHBand="0" w:firstRowFirstColumn="0" w:firstRowLastColumn="0" w:lastRowFirstColumn="0" w:lastRowLastColumn="0"/>
              <w:rPr>
                <w:noProof/>
              </w:rPr>
            </w:pPr>
            <w:r w:rsidRPr="002F5B03">
              <w:rPr>
                <w:noProof/>
              </w:rPr>
              <w:t>Implementation</w:t>
            </w:r>
          </w:p>
        </w:tc>
        <w:tc>
          <w:tcPr>
            <w:tcW w:w="2410" w:type="dxa"/>
          </w:tcPr>
          <w:p w14:paraId="19DD002F" w14:textId="19DAC611" w:rsidR="008C407A" w:rsidRPr="002F5B03" w:rsidRDefault="00A84801" w:rsidP="00B202C2">
            <w:pPr>
              <w:cnfStyle w:val="100000000000" w:firstRow="1" w:lastRow="0" w:firstColumn="0" w:lastColumn="0" w:oddVBand="0" w:evenVBand="0" w:oddHBand="0" w:evenHBand="0" w:firstRowFirstColumn="0" w:firstRowLastColumn="0" w:lastRowFirstColumn="0" w:lastRowLastColumn="0"/>
              <w:rPr>
                <w:noProof/>
              </w:rPr>
            </w:pPr>
            <w:r>
              <w:rPr>
                <w:noProof/>
                <w:lang w:val="en-IE"/>
              </w:rPr>
              <w:t xml:space="preserve">2014-2020 </w:t>
            </w:r>
            <w:r w:rsidR="008C407A" w:rsidRPr="002F5B03">
              <w:rPr>
                <w:noProof/>
              </w:rPr>
              <w:t>Budget</w:t>
            </w:r>
          </w:p>
        </w:tc>
        <w:tc>
          <w:tcPr>
            <w:tcW w:w="2410" w:type="dxa"/>
          </w:tcPr>
          <w:p w14:paraId="4E5CC119" w14:textId="77777777" w:rsidR="008C407A" w:rsidRPr="002F5B03" w:rsidRDefault="008C407A" w:rsidP="00B202C2">
            <w:pPr>
              <w:cnfStyle w:val="100000000000" w:firstRow="1" w:lastRow="0" w:firstColumn="0" w:lastColumn="0" w:oddVBand="0" w:evenVBand="0" w:oddHBand="0" w:evenHBand="0" w:firstRowFirstColumn="0" w:firstRowLastColumn="0" w:lastRowFirstColumn="0" w:lastRowLastColumn="0"/>
              <w:rPr>
                <w:noProof/>
              </w:rPr>
            </w:pPr>
            <w:r w:rsidRPr="002F5B03">
              <w:rPr>
                <w:noProof/>
              </w:rPr>
              <w:t>Implementation rate</w:t>
            </w:r>
          </w:p>
        </w:tc>
      </w:tr>
      <w:tr w:rsidR="008C407A" w:rsidRPr="002F5B03" w14:paraId="61B99923"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66E152DD" w14:textId="77777777" w:rsidR="008C407A" w:rsidRPr="002F5B03" w:rsidRDefault="008C407A" w:rsidP="00B202C2">
            <w:pPr>
              <w:jc w:val="center"/>
              <w:rPr>
                <w:noProof/>
              </w:rPr>
            </w:pPr>
            <w:r w:rsidRPr="002F5B03">
              <w:rPr>
                <w:noProof/>
              </w:rPr>
              <w:t>Commitment</w:t>
            </w:r>
          </w:p>
        </w:tc>
        <w:tc>
          <w:tcPr>
            <w:tcW w:w="2410" w:type="dxa"/>
          </w:tcPr>
          <w:p w14:paraId="6D34C33F"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r w:rsidRPr="002F5B03">
              <w:rPr>
                <w:noProof/>
              </w:rPr>
              <w:t>882.7</w:t>
            </w:r>
          </w:p>
        </w:tc>
        <w:tc>
          <w:tcPr>
            <w:tcW w:w="2410" w:type="dxa"/>
          </w:tcPr>
          <w:p w14:paraId="1C33355C"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r w:rsidRPr="002F5B03">
              <w:rPr>
                <w:noProof/>
              </w:rPr>
              <w:t>899.6</w:t>
            </w:r>
          </w:p>
        </w:tc>
        <w:tc>
          <w:tcPr>
            <w:tcW w:w="2410" w:type="dxa"/>
          </w:tcPr>
          <w:p w14:paraId="7392CC6E"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r w:rsidRPr="002F5B03">
              <w:rPr>
                <w:noProof/>
              </w:rPr>
              <w:t>98%</w:t>
            </w:r>
          </w:p>
        </w:tc>
      </w:tr>
      <w:tr w:rsidR="008C407A" w:rsidRPr="002F5B03" w14:paraId="65AA11AB"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2834B340" w14:textId="77777777" w:rsidR="008C407A" w:rsidRPr="002F5B03" w:rsidRDefault="008C407A" w:rsidP="00B202C2">
            <w:pPr>
              <w:jc w:val="center"/>
              <w:rPr>
                <w:noProof/>
              </w:rPr>
            </w:pPr>
            <w:r w:rsidRPr="002F5B03">
              <w:rPr>
                <w:noProof/>
              </w:rPr>
              <w:t>Payments</w:t>
            </w:r>
          </w:p>
        </w:tc>
        <w:tc>
          <w:tcPr>
            <w:tcW w:w="2410" w:type="dxa"/>
          </w:tcPr>
          <w:p w14:paraId="08CD686F"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r w:rsidRPr="002F5B03">
              <w:rPr>
                <w:noProof/>
              </w:rPr>
              <w:t>693.6</w:t>
            </w:r>
          </w:p>
        </w:tc>
        <w:tc>
          <w:tcPr>
            <w:tcW w:w="2410" w:type="dxa"/>
          </w:tcPr>
          <w:p w14:paraId="4B2C170E"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757D5EC8" w14:textId="77777777" w:rsidR="008C407A" w:rsidRPr="002F5B03" w:rsidRDefault="008C407A" w:rsidP="00B202C2">
            <w:pPr>
              <w:jc w:val="center"/>
              <w:cnfStyle w:val="000000000000" w:firstRow="0" w:lastRow="0" w:firstColumn="0" w:lastColumn="0" w:oddVBand="0" w:evenVBand="0" w:oddHBand="0" w:evenHBand="0" w:firstRowFirstColumn="0" w:firstRowLastColumn="0" w:lastRowFirstColumn="0" w:lastRowLastColumn="0"/>
              <w:rPr>
                <w:noProof/>
              </w:rPr>
            </w:pPr>
            <w:r w:rsidRPr="002F5B03">
              <w:rPr>
                <w:noProof/>
              </w:rPr>
              <w:t>77%</w:t>
            </w:r>
          </w:p>
        </w:tc>
      </w:tr>
    </w:tbl>
    <w:p w14:paraId="4874C66E" w14:textId="77777777" w:rsidR="008C407A" w:rsidRPr="002F5B03" w:rsidRDefault="008C407A" w:rsidP="008C407A">
      <w:pPr>
        <w:pStyle w:val="ppoListHyphened-L1"/>
        <w:rPr>
          <w:noProof/>
        </w:rPr>
      </w:pPr>
      <w:r w:rsidRPr="002F5B03">
        <w:rPr>
          <w:noProof/>
        </w:rPr>
        <w:t>Up to the end of 2020, EaSI had committed close to EUR</w:t>
      </w:r>
      <w:r w:rsidRPr="002F5B03">
        <w:rPr>
          <w:rFonts w:ascii="Calibri" w:hAnsi="Calibri" w:cs="Calibri"/>
          <w:noProof/>
        </w:rPr>
        <w:t> </w:t>
      </w:r>
      <w:r w:rsidRPr="002F5B03">
        <w:rPr>
          <w:noProof/>
        </w:rPr>
        <w:t>879</w:t>
      </w:r>
      <w:r w:rsidRPr="002F5B03">
        <w:rPr>
          <w:rFonts w:ascii="Calibri" w:hAnsi="Calibri" w:cs="Calibri"/>
          <w:noProof/>
        </w:rPr>
        <w:t> </w:t>
      </w:r>
      <w:r w:rsidRPr="002F5B03">
        <w:rPr>
          <w:noProof/>
        </w:rPr>
        <w:t>million. Of this, 57.5% supported activities under the Progress axis, 20.5% supported activities under the EURES axis and 22% supported activities under the microfinance</w:t>
      </w:r>
      <w:r w:rsidRPr="002F5B03">
        <w:rPr>
          <w:rFonts w:ascii="Calibri" w:hAnsi="Calibri" w:cs="Calibri"/>
          <w:noProof/>
        </w:rPr>
        <w:t xml:space="preserve"> / </w:t>
      </w:r>
      <w:r w:rsidRPr="002F5B03">
        <w:rPr>
          <w:noProof/>
        </w:rPr>
        <w:t>social entrepreneurship axis. Therefore, EaSI is broadly on track to achieve the targeted distribution of its funds between its axes.</w:t>
      </w:r>
    </w:p>
    <w:p w14:paraId="42ED46B9" w14:textId="77777777" w:rsidR="008C407A" w:rsidRPr="002F5B03" w:rsidRDefault="008C407A" w:rsidP="008C407A">
      <w:pPr>
        <w:pStyle w:val="ppoListHyphened-L1"/>
        <w:rPr>
          <w:noProof/>
        </w:rPr>
      </w:pPr>
      <w:r w:rsidRPr="002F5B03">
        <w:rPr>
          <w:noProof/>
        </w:rPr>
        <w:t>In 2021, the Progress axis focused on gathering evidence through studies, analyses and statistics to shape policy developments. The axis fostered a shared understanding of policy options through policy debates. It also promoted the involvement of civil society by providing financial support for 23 key EU-level non-governmental organisations via 23 operating grants.</w:t>
      </w:r>
      <w:bookmarkStart w:id="142" w:name="_Hlk93658757"/>
    </w:p>
    <w:p w14:paraId="23BEFC1A" w14:textId="77777777" w:rsidR="008C407A" w:rsidRPr="002F5B03" w:rsidRDefault="008C407A" w:rsidP="008C407A">
      <w:pPr>
        <w:pStyle w:val="ppoListHyphened-L1"/>
        <w:rPr>
          <w:noProof/>
        </w:rPr>
      </w:pPr>
      <w:r w:rsidRPr="002F5B03">
        <w:rPr>
          <w:noProof/>
        </w:rPr>
        <w:t>In 2021, the EURES axis supported the European Job Mobility Portal and training courses on EURES services, and provided horizontal support to the member organisations of the EURES network. It continued financing cross-border partnerships supporting mobility for frontier workers in the cross</w:t>
      </w:r>
      <w:r w:rsidRPr="002F5B03">
        <w:rPr>
          <w:noProof/>
        </w:rPr>
        <w:noBreakHyphen/>
        <w:t>border regions, along with targeted mobility schemes. The 13 EURES calls for proposals launched between 2014 and 2020 resulted in 94 contracts. Activities under the thematic section focusing on cross-border partnerships have not reached the minimum indicative target for financial commitments, mainly due to the quality of the applications received under the call for proposals. Furthermore, as indicated in the intra-mobility report, cross-border commuting affects certain Member States to a higher degree, with newer Member States affected to a much lesser extent. This affects the level of demand, the proposals submitted and the projects implemented.</w:t>
      </w:r>
    </w:p>
    <w:bookmarkEnd w:id="142"/>
    <w:p w14:paraId="70DA4390" w14:textId="77777777" w:rsidR="008C407A" w:rsidRPr="002F5B03" w:rsidRDefault="008C407A" w:rsidP="008C407A">
      <w:pPr>
        <w:pStyle w:val="ppoListHyphened-L1"/>
        <w:rPr>
          <w:noProof/>
        </w:rPr>
      </w:pPr>
      <w:r w:rsidRPr="002F5B03">
        <w:rPr>
          <w:noProof/>
        </w:rPr>
        <w:t xml:space="preserve">In response to the COVID-19 crisis, deadlines were extended under the calls for proposals launched in 2020, resulting in delays in the implementation of projects and the award of grants, which were finalised in 2021. Out of the seven calls included under the 2020 work programme, six were launched in 2020, resulting in 132 agreements. In order to support the organisations, payments were processed more speedily thanks to: (1) the use of e-signatories and the acceptance of e-documents; and (2) the greater reliance on </w:t>
      </w:r>
      <w:r w:rsidRPr="009A31FF">
        <w:rPr>
          <w:i/>
          <w:iCs/>
          <w:noProof/>
        </w:rPr>
        <w:t>ex post</w:t>
      </w:r>
      <w:r w:rsidRPr="002F5B03">
        <w:rPr>
          <w:noProof/>
        </w:rPr>
        <w:t xml:space="preserve"> verification. Furthermore, a call strengthening the role of social partners in mitigating the impact of the COVID-19 crisis was introduced in the 2020 work programme and was launched in February 2021.</w:t>
      </w:r>
    </w:p>
    <w:p w14:paraId="005EEE84" w14:textId="77777777" w:rsidR="008C407A" w:rsidRPr="002F5B03" w:rsidRDefault="008C407A" w:rsidP="008C407A">
      <w:pPr>
        <w:pStyle w:val="ppoListHyphened-L1"/>
        <w:rPr>
          <w:noProof/>
        </w:rPr>
      </w:pPr>
      <w:r w:rsidRPr="002F5B03">
        <w:rPr>
          <w:noProof/>
        </w:rPr>
        <w:t>The EaSI financial instruments, implemented by the European Investment Fund, continued to support microenterprises and social enterprises in 2021.</w:t>
      </w:r>
    </w:p>
    <w:p w14:paraId="54F0F387" w14:textId="77777777" w:rsidR="008C407A" w:rsidRPr="002F5B03" w:rsidRDefault="008C407A" w:rsidP="008C407A">
      <w:pPr>
        <w:pStyle w:val="ppoListHyphened-L1"/>
        <w:numPr>
          <w:ilvl w:val="0"/>
          <w:numId w:val="83"/>
        </w:numPr>
        <w:rPr>
          <w:noProof/>
        </w:rPr>
      </w:pPr>
      <w:r w:rsidRPr="002F5B03">
        <w:rPr>
          <w:noProof/>
        </w:rPr>
        <w:t>In 2020, the delegation agreement between the Commission and the European Investment Fund for the EaSI guarantee was amended to introduce COVID-19 support measures allowing for a higher level of risk sharing. Between its launch and 30</w:t>
      </w:r>
      <w:r w:rsidRPr="002F5B03">
        <w:rPr>
          <w:rFonts w:ascii="Calibri" w:hAnsi="Calibri" w:cs="Calibri"/>
          <w:noProof/>
        </w:rPr>
        <w:t> </w:t>
      </w:r>
      <w:r w:rsidRPr="002F5B03">
        <w:rPr>
          <w:noProof/>
        </w:rPr>
        <w:t>September 2021, guarantee agreements worth EUR</w:t>
      </w:r>
      <w:r w:rsidRPr="002F5B03">
        <w:rPr>
          <w:rFonts w:ascii="Calibri" w:hAnsi="Calibri" w:cs="Calibri"/>
          <w:noProof/>
        </w:rPr>
        <w:t> </w:t>
      </w:r>
      <w:r w:rsidRPr="002F5B03">
        <w:rPr>
          <w:noProof/>
        </w:rPr>
        <w:t>401</w:t>
      </w:r>
      <w:r w:rsidRPr="002F5B03">
        <w:rPr>
          <w:rFonts w:ascii="Calibri" w:hAnsi="Calibri" w:cs="Calibri"/>
          <w:noProof/>
        </w:rPr>
        <w:t> </w:t>
      </w:r>
      <w:r w:rsidRPr="002F5B03">
        <w:rPr>
          <w:noProof/>
        </w:rPr>
        <w:t>million were signed with 114 financial intermediaries in 31 countries, which resulted in a total of 154</w:t>
      </w:r>
      <w:r w:rsidRPr="002F5B03">
        <w:rPr>
          <w:rFonts w:ascii="Calibri" w:hAnsi="Calibri" w:cs="Calibri"/>
          <w:noProof/>
        </w:rPr>
        <w:t> </w:t>
      </w:r>
      <w:r w:rsidRPr="002F5B03">
        <w:rPr>
          <w:noProof/>
        </w:rPr>
        <w:t>137 loans to micro- and social enterprises worth EUR</w:t>
      </w:r>
      <w:r w:rsidRPr="002F5B03">
        <w:rPr>
          <w:rFonts w:ascii="Calibri" w:hAnsi="Calibri" w:cs="Calibri"/>
          <w:noProof/>
        </w:rPr>
        <w:t> </w:t>
      </w:r>
      <w:r w:rsidRPr="002F5B03">
        <w:rPr>
          <w:noProof/>
        </w:rPr>
        <w:t>2.5</w:t>
      </w:r>
      <w:r w:rsidRPr="002F5B03">
        <w:rPr>
          <w:rFonts w:ascii="Calibri" w:hAnsi="Calibri" w:cs="Calibri"/>
          <w:noProof/>
        </w:rPr>
        <w:t> </w:t>
      </w:r>
      <w:r w:rsidRPr="002F5B03">
        <w:rPr>
          <w:noProof/>
        </w:rPr>
        <w:t>billion.</w:t>
      </w:r>
    </w:p>
    <w:p w14:paraId="3ABB5704" w14:textId="77777777" w:rsidR="008C407A" w:rsidRPr="002F5B03" w:rsidRDefault="008C407A" w:rsidP="008C407A">
      <w:pPr>
        <w:pStyle w:val="ppoListHyphened-L1"/>
        <w:numPr>
          <w:ilvl w:val="0"/>
          <w:numId w:val="83"/>
        </w:numPr>
        <w:rPr>
          <w:noProof/>
        </w:rPr>
      </w:pPr>
      <w:r w:rsidRPr="002F5B03">
        <w:rPr>
          <w:noProof/>
        </w:rPr>
        <w:t>Under the EaSI capacity-building instrument, 17 transactions for an aggregated amount of EUR</w:t>
      </w:r>
      <w:r w:rsidRPr="002F5B03">
        <w:rPr>
          <w:rFonts w:ascii="Calibri" w:hAnsi="Calibri" w:cs="Calibri"/>
          <w:noProof/>
        </w:rPr>
        <w:t> </w:t>
      </w:r>
      <w:r w:rsidRPr="002F5B03">
        <w:rPr>
          <w:noProof/>
        </w:rPr>
        <w:t>39</w:t>
      </w:r>
      <w:r w:rsidRPr="002F5B03">
        <w:rPr>
          <w:rFonts w:ascii="Calibri" w:hAnsi="Calibri" w:cs="Calibri"/>
          <w:noProof/>
        </w:rPr>
        <w:t> </w:t>
      </w:r>
      <w:r w:rsidRPr="002F5B03">
        <w:rPr>
          <w:noProof/>
        </w:rPr>
        <w:t>million were signed in June 2021 with financial intermediaries in 10 countries, of which nine were in the EU and one was in a candidate country (Serbia).</w:t>
      </w:r>
    </w:p>
    <w:p w14:paraId="4005F591" w14:textId="77777777" w:rsidR="008C407A" w:rsidRPr="002F5B03" w:rsidRDefault="008C407A" w:rsidP="008C407A">
      <w:pPr>
        <w:pStyle w:val="ppoListHyphened-L1"/>
        <w:numPr>
          <w:ilvl w:val="0"/>
          <w:numId w:val="83"/>
        </w:numPr>
        <w:rPr>
          <w:noProof/>
        </w:rPr>
      </w:pPr>
      <w:r w:rsidRPr="002F5B03">
        <w:rPr>
          <w:noProof/>
        </w:rPr>
        <w:t>Under the EaSI funded instrument, 13 transactions for an aggregate amount of EUR</w:t>
      </w:r>
      <w:r w:rsidRPr="002F5B03">
        <w:rPr>
          <w:rFonts w:ascii="Calibri" w:hAnsi="Calibri" w:cs="Calibri"/>
          <w:noProof/>
        </w:rPr>
        <w:t> </w:t>
      </w:r>
      <w:r w:rsidRPr="002F5B03">
        <w:rPr>
          <w:noProof/>
        </w:rPr>
        <w:t>83.6</w:t>
      </w:r>
      <w:r w:rsidRPr="002F5B03">
        <w:rPr>
          <w:rFonts w:ascii="Calibri" w:hAnsi="Calibri" w:cs="Calibri"/>
          <w:noProof/>
        </w:rPr>
        <w:t> </w:t>
      </w:r>
      <w:r w:rsidRPr="002F5B03">
        <w:rPr>
          <w:noProof/>
        </w:rPr>
        <w:t>million had been concluded by the end of 2021, and four additional transactions worth EUR</w:t>
      </w:r>
      <w:r w:rsidRPr="002F5B03">
        <w:rPr>
          <w:rFonts w:ascii="Calibri" w:hAnsi="Calibri" w:cs="Calibri"/>
          <w:noProof/>
        </w:rPr>
        <w:t> </w:t>
      </w:r>
      <w:r w:rsidRPr="002F5B03">
        <w:rPr>
          <w:noProof/>
        </w:rPr>
        <w:t>19.9</w:t>
      </w:r>
      <w:r w:rsidRPr="002F5B03">
        <w:rPr>
          <w:rFonts w:ascii="Calibri" w:hAnsi="Calibri" w:cs="Calibri"/>
          <w:noProof/>
        </w:rPr>
        <w:t> </w:t>
      </w:r>
      <w:r w:rsidRPr="002F5B03">
        <w:rPr>
          <w:noProof/>
        </w:rPr>
        <w:t>million were in the pipeline.</w:t>
      </w:r>
    </w:p>
    <w:p w14:paraId="3FAA8F99" w14:textId="77777777" w:rsidR="008C407A" w:rsidRPr="002F5B03" w:rsidRDefault="008C407A" w:rsidP="008C407A">
      <w:pPr>
        <w:pStyle w:val="ppoListHyphened-L1"/>
        <w:rPr>
          <w:noProof/>
        </w:rPr>
      </w:pPr>
      <w:r w:rsidRPr="002F5B03">
        <w:rPr>
          <w:noProof/>
        </w:rPr>
        <w:t>The EaSI financial instruments will continue to be implemented until the end of their implementation period. The support measures introduced in 2020 to counter the impact of the COVID-19 crisis will be implemented at least until 30</w:t>
      </w:r>
      <w:r w:rsidRPr="002F5B03">
        <w:rPr>
          <w:rFonts w:ascii="Calibri" w:hAnsi="Calibri" w:cs="Calibri"/>
          <w:noProof/>
        </w:rPr>
        <w:t> </w:t>
      </w:r>
      <w:r w:rsidRPr="002F5B03">
        <w:rPr>
          <w:noProof/>
        </w:rPr>
        <w:t>June 2022, in line with the extension of the State Aid Temporary Framework. As for EaSI technical assistance, some operations under the existing framework contracts will still be supported in 2022. However, the advisory services and technical support for microfinance intermediaries and social enterprise finance providers will be offered under the InvestEU Advisory Hub.</w:t>
      </w:r>
    </w:p>
    <w:p w14:paraId="0D53A4D8" w14:textId="77777777" w:rsidR="008C407A" w:rsidRPr="002F5B03" w:rsidRDefault="008C407A" w:rsidP="008C407A">
      <w:pPr>
        <w:pStyle w:val="ppoListHyphened-L1"/>
        <w:rPr>
          <w:noProof/>
        </w:rPr>
      </w:pPr>
      <w:r w:rsidRPr="002F5B03">
        <w:rPr>
          <w:noProof/>
        </w:rPr>
        <w:t>In the 2021-2027 programming period, EaSI is a strand of the ESF+ and is no longer structured in axes. The successor activities under the former microfinance and social entrepreneurship axes will be implemented under the InvestEU Fund.</w:t>
      </w:r>
    </w:p>
    <w:p w14:paraId="5CE7B827" w14:textId="77777777" w:rsidR="008C407A" w:rsidRPr="002F5B03" w:rsidRDefault="008C407A" w:rsidP="008C407A">
      <w:pPr>
        <w:pStyle w:val="ppoListHyphened-L1"/>
        <w:rPr>
          <w:noProof/>
        </w:rPr>
      </w:pPr>
      <w:r w:rsidRPr="002F5B03">
        <w:rPr>
          <w:noProof/>
        </w:rPr>
        <w:t>DG Employment, Social Affairs and Inclusion’s proposal for the 2023 draft budget fully acknowledges the difficulties encountered in 2021 and reflects the result of the assessment on the execution of the 2022 budget. Furthermore, it takes into account the urgent need for funding to support the people fleeing Russia’s invasion of Ukraine. Therefore, in order to ensure 100% execution from 2023 on, without any abnormal backlog, and to contribute to the common effort to pool funding for refugees from the war, DG Employment, Social Affairs and Inclusion decided to reduce the amount of commitments requested. The cut has been carefully weighted so that it will not negatively affect the objectives of the programmes in the long term.</w:t>
      </w:r>
    </w:p>
    <w:p w14:paraId="40908729" w14:textId="77777777" w:rsidR="008C407A" w:rsidRPr="002F5B03" w:rsidRDefault="008C407A" w:rsidP="008C407A">
      <w:pPr>
        <w:pStyle w:val="ppoHeading5"/>
        <w:rPr>
          <w:noProof/>
        </w:rPr>
      </w:pPr>
      <w:r w:rsidRPr="002F5B03">
        <w:rPr>
          <w:noProof/>
        </w:rPr>
        <w:t>Performance assessment</w:t>
      </w:r>
    </w:p>
    <w:p w14:paraId="039E0551" w14:textId="77777777" w:rsidR="008C407A" w:rsidRPr="002F5B03" w:rsidRDefault="008C407A" w:rsidP="008C407A">
      <w:pPr>
        <w:pStyle w:val="ppoHeading6"/>
        <w:rPr>
          <w:noProof/>
        </w:rPr>
      </w:pPr>
      <w:r w:rsidRPr="002F5B03">
        <w:rPr>
          <w:noProof/>
        </w:rPr>
        <w:t>Key performance indicators</w:t>
      </w:r>
    </w:p>
    <w:tbl>
      <w:tblPr>
        <w:tblStyle w:val="PPO2021"/>
        <w:tblW w:w="9639" w:type="dxa"/>
        <w:tblInd w:w="0" w:type="dxa"/>
        <w:tblLook w:val="0420" w:firstRow="1" w:lastRow="0" w:firstColumn="0" w:lastColumn="0" w:noHBand="0" w:noVBand="1"/>
      </w:tblPr>
      <w:tblGrid>
        <w:gridCol w:w="2260"/>
        <w:gridCol w:w="1111"/>
        <w:gridCol w:w="1540"/>
        <w:gridCol w:w="1547"/>
        <w:gridCol w:w="1587"/>
        <w:gridCol w:w="1594"/>
      </w:tblGrid>
      <w:tr w:rsidR="008C407A" w:rsidRPr="002F5B03" w14:paraId="184B2384" w14:textId="77777777" w:rsidTr="00B202C2">
        <w:trPr>
          <w:cnfStyle w:val="100000000000" w:firstRow="1" w:lastRow="0" w:firstColumn="0" w:lastColumn="0" w:oddVBand="0" w:evenVBand="0" w:oddHBand="0" w:evenHBand="0" w:firstRowFirstColumn="0" w:firstRowLastColumn="0" w:lastRowFirstColumn="0" w:lastRowLastColumn="0"/>
        </w:trPr>
        <w:tc>
          <w:tcPr>
            <w:tcW w:w="2260" w:type="dxa"/>
          </w:tcPr>
          <w:p w14:paraId="603EAA99" w14:textId="77777777" w:rsidR="008C407A" w:rsidRPr="002F5B03" w:rsidRDefault="008C407A" w:rsidP="00B202C2">
            <w:pPr>
              <w:rPr>
                <w:noProof/>
              </w:rPr>
            </w:pPr>
          </w:p>
        </w:tc>
        <w:tc>
          <w:tcPr>
            <w:tcW w:w="1111" w:type="dxa"/>
          </w:tcPr>
          <w:p w14:paraId="5F2395EF" w14:textId="77777777" w:rsidR="008C407A" w:rsidRPr="002F5B03" w:rsidRDefault="008C407A" w:rsidP="00B202C2">
            <w:pPr>
              <w:rPr>
                <w:noProof/>
              </w:rPr>
            </w:pPr>
            <w:r w:rsidRPr="002F5B03">
              <w:rPr>
                <w:noProof/>
              </w:rPr>
              <w:t>Baseline</w:t>
            </w:r>
          </w:p>
        </w:tc>
        <w:tc>
          <w:tcPr>
            <w:tcW w:w="1540" w:type="dxa"/>
          </w:tcPr>
          <w:p w14:paraId="733BD04E" w14:textId="77777777" w:rsidR="008C407A" w:rsidRPr="002F5B03" w:rsidRDefault="008C407A" w:rsidP="00B202C2">
            <w:pPr>
              <w:rPr>
                <w:noProof/>
              </w:rPr>
            </w:pPr>
            <w:r w:rsidRPr="002F5B03">
              <w:rPr>
                <w:noProof/>
              </w:rPr>
              <w:t>Progress</w:t>
            </w:r>
            <w:r w:rsidRPr="002F5B03">
              <w:rPr>
                <w:rFonts w:ascii="Calibri" w:hAnsi="Calibri" w:cs="Calibri"/>
                <w:noProof/>
              </w:rPr>
              <w:t> (*)</w:t>
            </w:r>
          </w:p>
        </w:tc>
        <w:tc>
          <w:tcPr>
            <w:tcW w:w="1547" w:type="dxa"/>
          </w:tcPr>
          <w:p w14:paraId="58B34269" w14:textId="77777777" w:rsidR="008C407A" w:rsidRPr="002F5B03" w:rsidRDefault="008C407A" w:rsidP="00B202C2">
            <w:pPr>
              <w:rPr>
                <w:noProof/>
              </w:rPr>
            </w:pPr>
            <w:r w:rsidRPr="002F5B03">
              <w:rPr>
                <w:noProof/>
              </w:rPr>
              <w:t>Target</w:t>
            </w:r>
          </w:p>
        </w:tc>
        <w:tc>
          <w:tcPr>
            <w:tcW w:w="1587" w:type="dxa"/>
          </w:tcPr>
          <w:p w14:paraId="70079C92" w14:textId="77777777" w:rsidR="008C407A" w:rsidRPr="002F5B03" w:rsidRDefault="008C407A" w:rsidP="00B202C2">
            <w:pPr>
              <w:rPr>
                <w:noProof/>
              </w:rPr>
            </w:pPr>
            <w:r w:rsidRPr="002F5B03">
              <w:rPr>
                <w:noProof/>
              </w:rPr>
              <w:t>Results</w:t>
            </w:r>
          </w:p>
        </w:tc>
        <w:tc>
          <w:tcPr>
            <w:tcW w:w="1594" w:type="dxa"/>
          </w:tcPr>
          <w:p w14:paraId="6F0E727D" w14:textId="77777777" w:rsidR="008C407A" w:rsidRPr="002F5B03" w:rsidRDefault="008C407A" w:rsidP="00B202C2">
            <w:pPr>
              <w:rPr>
                <w:noProof/>
              </w:rPr>
            </w:pPr>
            <w:r w:rsidRPr="002F5B03">
              <w:rPr>
                <w:noProof/>
              </w:rPr>
              <w:t>Assessment</w:t>
            </w:r>
          </w:p>
        </w:tc>
      </w:tr>
      <w:tr w:rsidR="008C407A" w:rsidRPr="002F5B03" w14:paraId="332646B0" w14:textId="77777777" w:rsidTr="00B202C2">
        <w:trPr>
          <w:cnfStyle w:val="000000100000" w:firstRow="0" w:lastRow="0" w:firstColumn="0" w:lastColumn="0" w:oddVBand="0" w:evenVBand="0" w:oddHBand="1" w:evenHBand="0" w:firstRowFirstColumn="0" w:firstRowLastColumn="0" w:lastRowFirstColumn="0" w:lastRowLastColumn="0"/>
        </w:trPr>
        <w:tc>
          <w:tcPr>
            <w:tcW w:w="2260" w:type="dxa"/>
          </w:tcPr>
          <w:p w14:paraId="159E4D68" w14:textId="77777777" w:rsidR="008C407A" w:rsidRPr="002F5B03" w:rsidRDefault="008C407A" w:rsidP="00B202C2">
            <w:pPr>
              <w:rPr>
                <w:noProof/>
              </w:rPr>
            </w:pPr>
            <w:r w:rsidRPr="002F5B03">
              <w:rPr>
                <w:noProof/>
              </w:rPr>
              <w:t>Businesses created or consolidated – EaSI microfinance guarantee</w:t>
            </w:r>
          </w:p>
        </w:tc>
        <w:tc>
          <w:tcPr>
            <w:tcW w:w="1111" w:type="dxa"/>
          </w:tcPr>
          <w:p w14:paraId="750C4913" w14:textId="77777777" w:rsidR="008C407A" w:rsidRPr="002F5B03" w:rsidRDefault="008C407A" w:rsidP="00B202C2">
            <w:pPr>
              <w:jc w:val="center"/>
              <w:rPr>
                <w:noProof/>
              </w:rPr>
            </w:pPr>
            <w:r w:rsidRPr="002F5B03">
              <w:rPr>
                <w:noProof/>
              </w:rPr>
              <w:t>0</w:t>
            </w:r>
          </w:p>
        </w:tc>
        <w:tc>
          <w:tcPr>
            <w:tcW w:w="1540" w:type="dxa"/>
          </w:tcPr>
          <w:p w14:paraId="735C43E0" w14:textId="77777777" w:rsidR="008C407A" w:rsidRPr="002F5B03" w:rsidRDefault="008C407A" w:rsidP="00B202C2">
            <w:pPr>
              <w:jc w:val="center"/>
              <w:rPr>
                <w:b/>
                <w:noProof/>
              </w:rPr>
            </w:pPr>
            <w:r w:rsidRPr="002F5B03">
              <w:rPr>
                <w:noProof/>
              </w:rPr>
              <w:t>&gt; 100%</w:t>
            </w:r>
          </w:p>
        </w:tc>
        <w:tc>
          <w:tcPr>
            <w:tcW w:w="1547" w:type="dxa"/>
          </w:tcPr>
          <w:p w14:paraId="35A4F0D2" w14:textId="77777777" w:rsidR="008C407A" w:rsidRPr="002F5B03" w:rsidRDefault="008C407A" w:rsidP="00B202C2">
            <w:pPr>
              <w:jc w:val="center"/>
              <w:rPr>
                <w:noProof/>
              </w:rPr>
            </w:pPr>
            <w:r w:rsidRPr="002F5B03">
              <w:rPr>
                <w:noProof/>
              </w:rPr>
              <w:t>41</w:t>
            </w:r>
            <w:r w:rsidRPr="002F5B03">
              <w:rPr>
                <w:rFonts w:ascii="Calibri" w:hAnsi="Calibri" w:cs="Calibri"/>
                <w:noProof/>
              </w:rPr>
              <w:t> </w:t>
            </w:r>
            <w:r w:rsidRPr="002F5B03">
              <w:rPr>
                <w:noProof/>
              </w:rPr>
              <w:t>000 in 2020</w:t>
            </w:r>
          </w:p>
        </w:tc>
        <w:tc>
          <w:tcPr>
            <w:tcW w:w="1587" w:type="dxa"/>
          </w:tcPr>
          <w:p w14:paraId="13B7794A" w14:textId="77777777" w:rsidR="008C407A" w:rsidRPr="002F5B03" w:rsidRDefault="008C407A" w:rsidP="00B202C2">
            <w:pPr>
              <w:jc w:val="center"/>
              <w:rPr>
                <w:noProof/>
              </w:rPr>
            </w:pPr>
            <w:r w:rsidRPr="002F5B03">
              <w:rPr>
                <w:noProof/>
              </w:rPr>
              <w:t>131</w:t>
            </w:r>
            <w:r w:rsidRPr="002F5B03">
              <w:rPr>
                <w:rFonts w:ascii="Calibri" w:hAnsi="Calibri" w:cs="Calibri"/>
                <w:noProof/>
              </w:rPr>
              <w:t> </w:t>
            </w:r>
            <w:r w:rsidRPr="002F5B03">
              <w:rPr>
                <w:noProof/>
              </w:rPr>
              <w:t>769 compared to a target of 41</w:t>
            </w:r>
            <w:r w:rsidRPr="002F5B03">
              <w:rPr>
                <w:rFonts w:ascii="Calibri" w:hAnsi="Calibri" w:cs="Calibri"/>
                <w:noProof/>
              </w:rPr>
              <w:t> </w:t>
            </w:r>
            <w:r w:rsidRPr="002F5B03">
              <w:rPr>
                <w:noProof/>
              </w:rPr>
              <w:t>000</w:t>
            </w:r>
          </w:p>
        </w:tc>
        <w:tc>
          <w:tcPr>
            <w:tcW w:w="1594" w:type="dxa"/>
          </w:tcPr>
          <w:p w14:paraId="00B4CCED" w14:textId="77777777" w:rsidR="008C407A" w:rsidRPr="002F5B03" w:rsidRDefault="008C407A" w:rsidP="00B202C2">
            <w:pPr>
              <w:jc w:val="center"/>
              <w:rPr>
                <w:noProof/>
              </w:rPr>
            </w:pPr>
            <w:r w:rsidRPr="002F5B03">
              <w:rPr>
                <w:noProof/>
              </w:rPr>
              <w:t>On track</w:t>
            </w:r>
          </w:p>
        </w:tc>
      </w:tr>
      <w:tr w:rsidR="008C407A" w:rsidRPr="002F5B03" w14:paraId="327E8042" w14:textId="77777777" w:rsidTr="00B202C2">
        <w:trPr>
          <w:cnfStyle w:val="000000010000" w:firstRow="0" w:lastRow="0" w:firstColumn="0" w:lastColumn="0" w:oddVBand="0" w:evenVBand="0" w:oddHBand="0" w:evenHBand="1" w:firstRowFirstColumn="0" w:firstRowLastColumn="0" w:lastRowFirstColumn="0" w:lastRowLastColumn="0"/>
        </w:trPr>
        <w:tc>
          <w:tcPr>
            <w:tcW w:w="2260" w:type="dxa"/>
          </w:tcPr>
          <w:p w14:paraId="5E729651" w14:textId="77777777" w:rsidR="008C407A" w:rsidRPr="002F5B03" w:rsidRDefault="008C407A" w:rsidP="00B202C2">
            <w:pPr>
              <w:rPr>
                <w:noProof/>
              </w:rPr>
            </w:pPr>
            <w:r w:rsidRPr="002F5B03">
              <w:rPr>
                <w:noProof/>
              </w:rPr>
              <w:t>Businesses created or consolidated – social EaSI social entrepreneurship guarantee</w:t>
            </w:r>
          </w:p>
        </w:tc>
        <w:tc>
          <w:tcPr>
            <w:tcW w:w="1111" w:type="dxa"/>
          </w:tcPr>
          <w:p w14:paraId="6CFD9899" w14:textId="77777777" w:rsidR="008C407A" w:rsidRPr="002F5B03" w:rsidRDefault="008C407A" w:rsidP="00B202C2">
            <w:pPr>
              <w:jc w:val="center"/>
              <w:rPr>
                <w:noProof/>
              </w:rPr>
            </w:pPr>
            <w:r w:rsidRPr="002F5B03">
              <w:rPr>
                <w:noProof/>
              </w:rPr>
              <w:t>0</w:t>
            </w:r>
          </w:p>
        </w:tc>
        <w:tc>
          <w:tcPr>
            <w:tcW w:w="1540" w:type="dxa"/>
          </w:tcPr>
          <w:p w14:paraId="57D40EC8" w14:textId="77777777" w:rsidR="008C407A" w:rsidRPr="002F5B03" w:rsidRDefault="008C407A" w:rsidP="00B202C2">
            <w:pPr>
              <w:jc w:val="center"/>
              <w:rPr>
                <w:b/>
                <w:noProof/>
              </w:rPr>
            </w:pPr>
            <w:r w:rsidRPr="002F5B03">
              <w:rPr>
                <w:noProof/>
              </w:rPr>
              <w:t>&gt; 100%</w:t>
            </w:r>
          </w:p>
        </w:tc>
        <w:tc>
          <w:tcPr>
            <w:tcW w:w="1547" w:type="dxa"/>
          </w:tcPr>
          <w:p w14:paraId="7D47E964" w14:textId="77777777" w:rsidR="008C407A" w:rsidRPr="002F5B03" w:rsidRDefault="008C407A" w:rsidP="00B202C2">
            <w:pPr>
              <w:jc w:val="center"/>
              <w:rPr>
                <w:noProof/>
              </w:rPr>
            </w:pPr>
            <w:r w:rsidRPr="002F5B03">
              <w:rPr>
                <w:noProof/>
              </w:rPr>
              <w:t>1</w:t>
            </w:r>
            <w:r w:rsidRPr="002F5B03">
              <w:rPr>
                <w:rFonts w:ascii="Calibri" w:hAnsi="Calibri" w:cs="Calibri"/>
                <w:noProof/>
              </w:rPr>
              <w:t> </w:t>
            </w:r>
            <w:r w:rsidRPr="002F5B03">
              <w:rPr>
                <w:noProof/>
              </w:rPr>
              <w:t>100 in 2020</w:t>
            </w:r>
          </w:p>
        </w:tc>
        <w:tc>
          <w:tcPr>
            <w:tcW w:w="1587" w:type="dxa"/>
          </w:tcPr>
          <w:p w14:paraId="4AD1A042" w14:textId="77777777" w:rsidR="008C407A" w:rsidRPr="002F5B03" w:rsidRDefault="008C407A" w:rsidP="00B202C2">
            <w:pPr>
              <w:jc w:val="center"/>
              <w:rPr>
                <w:noProof/>
              </w:rPr>
            </w:pPr>
            <w:r w:rsidRPr="002F5B03">
              <w:rPr>
                <w:noProof/>
              </w:rPr>
              <w:t>4</w:t>
            </w:r>
            <w:r w:rsidRPr="002F5B03">
              <w:rPr>
                <w:rFonts w:ascii="Calibri" w:hAnsi="Calibri" w:cs="Calibri"/>
                <w:noProof/>
              </w:rPr>
              <w:t> </w:t>
            </w:r>
            <w:r w:rsidRPr="002F5B03">
              <w:rPr>
                <w:noProof/>
              </w:rPr>
              <w:t>783 compared to a target of 1</w:t>
            </w:r>
            <w:r w:rsidRPr="002F5B03">
              <w:rPr>
                <w:rFonts w:ascii="Calibri" w:hAnsi="Calibri" w:cs="Calibri"/>
                <w:noProof/>
              </w:rPr>
              <w:t> </w:t>
            </w:r>
            <w:r w:rsidRPr="002F5B03">
              <w:rPr>
                <w:noProof/>
              </w:rPr>
              <w:t>100</w:t>
            </w:r>
          </w:p>
        </w:tc>
        <w:tc>
          <w:tcPr>
            <w:tcW w:w="1594" w:type="dxa"/>
          </w:tcPr>
          <w:p w14:paraId="66FDD26D" w14:textId="77777777" w:rsidR="008C407A" w:rsidRPr="002F5B03" w:rsidRDefault="008C407A" w:rsidP="00B202C2">
            <w:pPr>
              <w:jc w:val="center"/>
              <w:rPr>
                <w:noProof/>
              </w:rPr>
            </w:pPr>
            <w:r w:rsidRPr="002F5B03">
              <w:rPr>
                <w:noProof/>
              </w:rPr>
              <w:t>On track</w:t>
            </w:r>
          </w:p>
        </w:tc>
      </w:tr>
    </w:tbl>
    <w:p w14:paraId="3A0B2397" w14:textId="77777777" w:rsidR="008C407A" w:rsidRPr="002F5B03" w:rsidRDefault="008C407A" w:rsidP="008C407A">
      <w:pPr>
        <w:pStyle w:val="FootnoteText"/>
        <w:rPr>
          <w:noProof/>
          <w:color w:val="BBB931"/>
        </w:rPr>
      </w:pPr>
      <w:r w:rsidRPr="002F5B03">
        <w:rPr>
          <w:rFonts w:ascii="Calibri" w:hAnsi="Calibri" w:cs="Calibri"/>
          <w:noProof/>
        </w:rPr>
        <w:t xml:space="preserve">(*) </w:t>
      </w:r>
      <w:r w:rsidRPr="002F5B03">
        <w:rPr>
          <w:noProof/>
        </w:rPr>
        <w:t>% of target achieved by the end of 2021</w:t>
      </w:r>
      <w:r>
        <w:rPr>
          <w:noProof/>
        </w:rPr>
        <w:t>.</w:t>
      </w:r>
    </w:p>
    <w:p w14:paraId="586139DC" w14:textId="77777777" w:rsidR="008C407A" w:rsidRPr="002F5B03" w:rsidRDefault="008C407A" w:rsidP="008C407A">
      <w:pPr>
        <w:pStyle w:val="ppoListHyphened-L1"/>
        <w:rPr>
          <w:noProof/>
        </w:rPr>
      </w:pPr>
      <w:r w:rsidRPr="002F5B03">
        <w:rPr>
          <w:bCs/>
          <w:noProof/>
        </w:rPr>
        <w:t xml:space="preserve">Compared to 2019, values for the integration of all the horizontal principles showed an increasing trend, paying particular attention to vulnerable groups. </w:t>
      </w:r>
      <w:r w:rsidRPr="002F5B03">
        <w:rPr>
          <w:noProof/>
        </w:rPr>
        <w:t>However, the scaling-up of EaSI projects is hindered by inadequate follow-up in terms of promoting the projects and their results. EaSI’s efforts to this end will be amplified under the ESF+ through the European Competence Centre on Social Innovation, a database of social innovation projects and the creation of national contact points to guide applicants and beneficiaries. Furthermore, EaSI calls for proposal will be published on the Funding and Tenders portal. This will provide each project with a dedicated place to make its results available to a wider audience. Furthermore, the merger of EaSI into the ESF+ could facilitate the uptake of EaSI projects by the ESF+ managing authorities for further support.</w:t>
      </w:r>
    </w:p>
    <w:p w14:paraId="24F59D3E" w14:textId="77777777" w:rsidR="008C407A" w:rsidRPr="002F5B03" w:rsidRDefault="008C407A" w:rsidP="008C407A">
      <w:pPr>
        <w:pStyle w:val="ppoListHyphened-L1"/>
        <w:rPr>
          <w:b/>
          <w:noProof/>
        </w:rPr>
      </w:pPr>
      <w:r w:rsidRPr="002F5B03">
        <w:rPr>
          <w:b/>
          <w:noProof/>
        </w:rPr>
        <w:t xml:space="preserve">Progress axis. </w:t>
      </w:r>
      <w:r w:rsidRPr="002F5B03">
        <w:rPr>
          <w:noProof/>
        </w:rPr>
        <w:t>The 2020 EaSI stakeholder surveys show that EaSI’s stakeholders provided positive feedback on its deliverables. Throughout the reporting period, EaSI continued to support the development and dissemination of both high-quality comparative analytical knowledge and policy initiatives in the field of employment and social affairs.</w:t>
      </w:r>
    </w:p>
    <w:p w14:paraId="7D9E11B6" w14:textId="77777777" w:rsidR="008C407A" w:rsidRPr="002F5B03" w:rsidRDefault="008C407A" w:rsidP="008C407A">
      <w:pPr>
        <w:pStyle w:val="ppoListHyphened-L1"/>
        <w:rPr>
          <w:b/>
          <w:noProof/>
        </w:rPr>
      </w:pPr>
      <w:r w:rsidRPr="002F5B03">
        <w:rPr>
          <w:b/>
          <w:noProof/>
        </w:rPr>
        <w:t xml:space="preserve">EURES axis. </w:t>
      </w:r>
      <w:r w:rsidRPr="002F5B03">
        <w:rPr>
          <w:bCs/>
          <w:noProof/>
        </w:rPr>
        <w:t>In 2019-2020, EURES acted as a catalyst for the provision of transparent labour market information and for the effective recruitment and placing of workers. In 2020, 1</w:t>
      </w:r>
      <w:r w:rsidRPr="002F5B03">
        <w:rPr>
          <w:rFonts w:ascii="Calibri" w:hAnsi="Calibri" w:cs="Calibri"/>
          <w:bCs/>
          <w:noProof/>
        </w:rPr>
        <w:t> </w:t>
      </w:r>
      <w:r w:rsidRPr="002F5B03">
        <w:rPr>
          <w:bCs/>
          <w:noProof/>
        </w:rPr>
        <w:t>189</w:t>
      </w:r>
      <w:r w:rsidRPr="002F5B03">
        <w:rPr>
          <w:rFonts w:ascii="Calibri" w:hAnsi="Calibri" w:cs="Calibri"/>
          <w:bCs/>
          <w:noProof/>
        </w:rPr>
        <w:t> </w:t>
      </w:r>
      <w:r w:rsidRPr="002F5B03">
        <w:rPr>
          <w:bCs/>
          <w:noProof/>
        </w:rPr>
        <w:t>798 jobseekers were registered on the EURES portal. This marks a significant increase (+</w:t>
      </w:r>
      <w:r w:rsidRPr="002F5B03">
        <w:rPr>
          <w:rFonts w:ascii="Calibri" w:hAnsi="Calibri" w:cs="Calibri"/>
          <w:bCs/>
          <w:noProof/>
        </w:rPr>
        <w:t> </w:t>
      </w:r>
      <w:r w:rsidRPr="002F5B03">
        <w:rPr>
          <w:bCs/>
          <w:noProof/>
        </w:rPr>
        <w:t xml:space="preserve">110.2%) compared to 2019. However, the number of employers </w:t>
      </w:r>
      <w:r w:rsidRPr="002F5B03">
        <w:rPr>
          <w:noProof/>
        </w:rPr>
        <w:t>registered</w:t>
      </w:r>
      <w:r w:rsidRPr="002F5B03">
        <w:rPr>
          <w:bCs/>
          <w:noProof/>
        </w:rPr>
        <w:t xml:space="preserve"> increased by only 3%. The major increase in the number of registered jobseekers can be directly related to changes in the labour market due to the COVID-19 crisis and its dampening immediate effect on mobility patterns.</w:t>
      </w:r>
      <w:r w:rsidRPr="009A31FF">
        <w:rPr>
          <w:bCs/>
          <w:noProof/>
        </w:rPr>
        <w:t xml:space="preserve"> </w:t>
      </w:r>
      <w:r w:rsidRPr="002F5B03">
        <w:rPr>
          <w:bCs/>
          <w:noProof/>
        </w:rPr>
        <w:t>Cross-border partnerships reported 195</w:t>
      </w:r>
      <w:r w:rsidRPr="002F5B03">
        <w:rPr>
          <w:rFonts w:ascii="Calibri" w:hAnsi="Calibri" w:cs="Calibri"/>
          <w:bCs/>
          <w:noProof/>
        </w:rPr>
        <w:t> </w:t>
      </w:r>
      <w:r w:rsidRPr="002F5B03">
        <w:rPr>
          <w:bCs/>
          <w:noProof/>
        </w:rPr>
        <w:t>060 contacts with jobseekers and job changers in 2019-2020. Targeted mobility schemes (such as Your First EURES Job), in comparison, provided services to several hundred jobseekers per year</w:t>
      </w:r>
      <w:r w:rsidRPr="002F5B03">
        <w:rPr>
          <w:rFonts w:ascii="Calibri" w:hAnsi="Calibri" w:cs="Calibri"/>
          <w:bCs/>
          <w:noProof/>
        </w:rPr>
        <w:t> </w:t>
      </w:r>
      <w:r w:rsidRPr="002F5B03">
        <w:rPr>
          <w:bCs/>
          <w:noProof/>
        </w:rPr>
        <w:t xml:space="preserve">/ per scheme, but were more targeted and customised. </w:t>
      </w:r>
      <w:bookmarkStart w:id="143" w:name="_Hlk100744465"/>
      <w:r w:rsidRPr="00012185">
        <w:rPr>
          <w:bCs/>
          <w:noProof/>
        </w:rPr>
        <w:t xml:space="preserve">0.76% </w:t>
      </w:r>
      <w:r>
        <w:rPr>
          <w:bCs/>
          <w:noProof/>
        </w:rPr>
        <w:t xml:space="preserve">of </w:t>
      </w:r>
      <w:r w:rsidRPr="00012185">
        <w:rPr>
          <w:bCs/>
          <w:noProof/>
        </w:rPr>
        <w:t xml:space="preserve">contacts facilitated </w:t>
      </w:r>
      <w:r>
        <w:rPr>
          <w:bCs/>
          <w:noProof/>
        </w:rPr>
        <w:t>by c</w:t>
      </w:r>
      <w:r w:rsidRPr="002F5B03">
        <w:rPr>
          <w:bCs/>
          <w:noProof/>
        </w:rPr>
        <w:t xml:space="preserve">ross-border partnerships </w:t>
      </w:r>
      <w:r>
        <w:rPr>
          <w:bCs/>
          <w:noProof/>
        </w:rPr>
        <w:t>resulted in actual placements, along with</w:t>
      </w:r>
      <w:r w:rsidRPr="00012185">
        <w:rPr>
          <w:bCs/>
          <w:noProof/>
        </w:rPr>
        <w:t xml:space="preserve"> 29.1% of </w:t>
      </w:r>
      <w:r w:rsidRPr="002F5B03">
        <w:rPr>
          <w:bCs/>
          <w:noProof/>
        </w:rPr>
        <w:t>targeted mobility schemes</w:t>
      </w:r>
      <w:bookmarkEnd w:id="143"/>
      <w:r w:rsidRPr="002F5B03">
        <w:rPr>
          <w:bCs/>
          <w:noProof/>
        </w:rPr>
        <w:t>.</w:t>
      </w:r>
    </w:p>
    <w:p w14:paraId="0FBEFD16" w14:textId="77777777" w:rsidR="00EB0337" w:rsidRDefault="008C407A" w:rsidP="00E73D04">
      <w:pPr>
        <w:pStyle w:val="ppoListHyphened-L1"/>
        <w:rPr>
          <w:noProof/>
        </w:rPr>
        <w:sectPr w:rsidR="00EB0337" w:rsidSect="00D40083">
          <w:headerReference w:type="even" r:id="rId271"/>
          <w:headerReference w:type="default" r:id="rId272"/>
          <w:footerReference w:type="even" r:id="rId273"/>
          <w:footerReference w:type="default" r:id="rId274"/>
          <w:headerReference w:type="first" r:id="rId275"/>
          <w:footerReference w:type="first" r:id="rId276"/>
          <w:pgSz w:w="11906" w:h="16838" w:code="9"/>
          <w:pgMar w:top="1134" w:right="1134" w:bottom="964" w:left="1134" w:header="431" w:footer="431" w:gutter="0"/>
          <w:cols w:space="720"/>
          <w:titlePg/>
          <w:docGrid w:linePitch="360"/>
        </w:sectPr>
      </w:pPr>
      <w:r w:rsidRPr="002F5B03">
        <w:rPr>
          <w:b/>
          <w:noProof/>
        </w:rPr>
        <w:t>Microfinance</w:t>
      </w:r>
      <w:r w:rsidRPr="002F5B03">
        <w:rPr>
          <w:rFonts w:ascii="Calibri" w:hAnsi="Calibri" w:cs="Calibri"/>
          <w:b/>
          <w:noProof/>
        </w:rPr>
        <w:t> </w:t>
      </w:r>
      <w:r w:rsidRPr="002F5B03">
        <w:rPr>
          <w:b/>
          <w:noProof/>
        </w:rPr>
        <w:t xml:space="preserve">/ social entrepreneurship axis. </w:t>
      </w:r>
      <w:r w:rsidRPr="002F5B03">
        <w:rPr>
          <w:noProof/>
        </w:rPr>
        <w:t>In the reporting period, EaSI continued to provide added value to expand access to and the availability of microfinance, while support for increasing the overall availability of and access to finance for social enterprises gained momentum. A wide range of support activities relating to advisory and technical assistance were offered to microfinance institutions. A significant increase in support for people from non-EU countries was observed (22.1% in 2020, compared to 14.3% in 2019 and 11.9% in 2018). A slight but steady increase in the category of people aged 51</w:t>
      </w:r>
      <w:r w:rsidRPr="002F5B03">
        <w:rPr>
          <w:rFonts w:ascii="Calibri" w:hAnsi="Calibri" w:cs="Calibri"/>
          <w:noProof/>
        </w:rPr>
        <w:t> </w:t>
      </w:r>
      <w:r w:rsidRPr="002F5B03">
        <w:rPr>
          <w:noProof/>
        </w:rPr>
        <w:t>years and above can also be seen. However, support for women, unemployed or inactive people and people aged less than 25</w:t>
      </w:r>
      <w:r w:rsidRPr="002F5B03">
        <w:rPr>
          <w:rFonts w:ascii="Calibri" w:hAnsi="Calibri" w:cs="Calibri"/>
          <w:noProof/>
        </w:rPr>
        <w:t> </w:t>
      </w:r>
      <w:r w:rsidRPr="002F5B03">
        <w:rPr>
          <w:noProof/>
        </w:rPr>
        <w:t>years is decreasing, while people with disabilities received a somewhat equal amount of financing from 2018 to 2020. The reporting is subject to limitations because a large number of applicants for EU microfinance and social entrepreneurship support under the EaSI programme are legal persons (enterprises) and therefore do not provide social data (e.g. gender, age, employment status).</w:t>
      </w:r>
    </w:p>
    <w:p w14:paraId="12FE5F32" w14:textId="77777777" w:rsidR="00EB0337" w:rsidRPr="00825275" w:rsidRDefault="00EB0337" w:rsidP="00EB0337">
      <w:pPr>
        <w:pStyle w:val="StyleppoHeading3WhiteLeft0cm"/>
        <w:rPr>
          <w:noProof/>
          <w:sz w:val="40"/>
          <w:szCs w:val="40"/>
        </w:rPr>
      </w:pPr>
    </w:p>
    <w:p w14:paraId="4396B83D" w14:textId="77777777" w:rsidR="00EB0337" w:rsidRPr="00825275" w:rsidRDefault="00EB0337" w:rsidP="00EB0337">
      <w:pPr>
        <w:pStyle w:val="StyleppoHeading3WhiteLeft0cm"/>
        <w:rPr>
          <w:noProof/>
          <w:sz w:val="60"/>
          <w:szCs w:val="60"/>
        </w:rPr>
      </w:pPr>
      <w:bookmarkStart w:id="144" w:name="_Toc102086350"/>
      <w:r w:rsidRPr="00825275">
        <w:rPr>
          <w:noProof/>
          <w:sz w:val="60"/>
          <w:szCs w:val="60"/>
        </w:rPr>
        <w:t>ERASMUS+</w:t>
      </w:r>
      <w:bookmarkEnd w:id="144"/>
    </w:p>
    <w:p w14:paraId="0826C30C" w14:textId="77777777" w:rsidR="00EB0337" w:rsidRPr="00040D99" w:rsidRDefault="00EB0337" w:rsidP="00EB0337">
      <w:pPr>
        <w:pStyle w:val="StyleppoProgrammenameWhiteLeft01cm"/>
        <w:rPr>
          <w:noProof/>
        </w:rPr>
      </w:pPr>
      <w:r>
        <w:rPr>
          <w:noProof/>
        </w:rPr>
        <w:t>ERASMUS+ PROGRAMME</w:t>
      </w:r>
    </w:p>
    <w:p w14:paraId="52155064" w14:textId="77777777" w:rsidR="00EB0337" w:rsidRPr="00351CB7" w:rsidRDefault="00EB0337" w:rsidP="00EB0337">
      <w:pPr>
        <w:pStyle w:val="ppoHeading4Green"/>
        <w:rPr>
          <w:noProof/>
        </w:rPr>
      </w:pPr>
      <w:r w:rsidRPr="00351CB7">
        <w:rPr>
          <w:noProof/>
        </w:rPr>
        <w:t>Programme in a nutshell</w:t>
      </w:r>
    </w:p>
    <w:p w14:paraId="16B9EC8A" w14:textId="77777777" w:rsidR="00EB0337" w:rsidRPr="00040D99" w:rsidRDefault="00EB0337" w:rsidP="00EB0337">
      <w:pPr>
        <w:spacing w:after="480"/>
        <w:rPr>
          <w:rFonts w:eastAsiaTheme="minorEastAsia"/>
          <w:noProof/>
          <w:color w:val="FFFFFF" w:themeColor="background1"/>
          <w:sz w:val="32"/>
        </w:rPr>
        <w:sectPr w:rsidR="00EB0337" w:rsidRPr="00040D99" w:rsidSect="00B202C2">
          <w:headerReference w:type="even" r:id="rId277"/>
          <w:headerReference w:type="default" r:id="rId278"/>
          <w:footerReference w:type="even" r:id="rId279"/>
          <w:footerReference w:type="default" r:id="rId280"/>
          <w:headerReference w:type="first" r:id="rId281"/>
          <w:footerReference w:type="first" r:id="rId282"/>
          <w:pgSz w:w="11906" w:h="16838" w:code="9"/>
          <w:pgMar w:top="1134" w:right="1134" w:bottom="964" w:left="1134" w:header="431" w:footer="431" w:gutter="0"/>
          <w:cols w:space="720"/>
          <w:docGrid w:linePitch="360"/>
        </w:sectPr>
      </w:pPr>
    </w:p>
    <w:p w14:paraId="75B4264C" w14:textId="77777777" w:rsidR="00EB0337" w:rsidRPr="00040D99" w:rsidRDefault="00EB0337" w:rsidP="00EB0337">
      <w:pPr>
        <w:pStyle w:val="ppoHeading5"/>
        <w:rPr>
          <w:noProof/>
        </w:rPr>
      </w:pPr>
      <w:r>
        <w:rPr>
          <w:noProof/>
        </w:rPr>
        <w:t>Concrete examples of achievements</w:t>
      </w:r>
      <w:r>
        <w:rPr>
          <w:rFonts w:ascii="Calibri" w:hAnsi="Calibri" w:cs="Calibri"/>
          <w:noProof/>
        </w:rPr>
        <w:t> (</w:t>
      </w:r>
      <w:r>
        <w:rPr>
          <w:noProof/>
        </w:rPr>
        <w:t>*)</w:t>
      </w:r>
    </w:p>
    <w:tbl>
      <w:tblPr>
        <w:tblStyle w:val="PPO2021"/>
        <w:tblW w:w="9639" w:type="dxa"/>
        <w:tblInd w:w="108" w:type="dxa"/>
        <w:tblLook w:val="0200" w:firstRow="0" w:lastRow="0" w:firstColumn="0" w:lastColumn="0" w:noHBand="1" w:noVBand="0"/>
      </w:tblPr>
      <w:tblGrid>
        <w:gridCol w:w="1650"/>
        <w:gridCol w:w="2984"/>
        <w:gridCol w:w="2021"/>
        <w:gridCol w:w="2984"/>
      </w:tblGrid>
      <w:tr w:rsidR="00EB0337" w:rsidRPr="00040D99" w14:paraId="283F8400" w14:textId="77777777" w:rsidTr="00AD7F08">
        <w:tc>
          <w:tcPr>
            <w:tcW w:w="0" w:type="dxa"/>
          </w:tcPr>
          <w:p w14:paraId="1B2E2C58" w14:textId="77777777" w:rsidR="00EB0337" w:rsidRPr="0076270C" w:rsidRDefault="00EB0337" w:rsidP="00B202C2">
            <w:pPr>
              <w:pStyle w:val="ppoTableacheivementvalue"/>
              <w:rPr>
                <w:noProof/>
              </w:rPr>
            </w:pPr>
            <w:r w:rsidRPr="00BD4DD9">
              <w:rPr>
                <w:noProof/>
              </w:rPr>
              <w:t>2.6 million</w:t>
            </w:r>
          </w:p>
          <w:p w14:paraId="5567F3D3" w14:textId="77777777" w:rsidR="00EB0337" w:rsidRPr="0076270C" w:rsidRDefault="00EB0337" w:rsidP="00962E3C">
            <w:pPr>
              <w:jc w:val="left"/>
              <w:rPr>
                <w:noProof/>
              </w:rPr>
            </w:pPr>
            <w:r w:rsidRPr="00BD4DD9">
              <w:rPr>
                <w:noProof/>
              </w:rPr>
              <w:t xml:space="preserve">European </w:t>
            </w:r>
            <w:r>
              <w:rPr>
                <w:noProof/>
              </w:rPr>
              <w:t>s</w:t>
            </w:r>
            <w:r w:rsidRPr="00BD4DD9">
              <w:rPr>
                <w:noProof/>
              </w:rPr>
              <w:t xml:space="preserve">tudent </w:t>
            </w:r>
            <w:r>
              <w:rPr>
                <w:noProof/>
              </w:rPr>
              <w:t>c</w:t>
            </w:r>
            <w:r w:rsidRPr="00BD4DD9">
              <w:rPr>
                <w:noProof/>
              </w:rPr>
              <w:t>ards</w:t>
            </w:r>
            <w:r>
              <w:rPr>
                <w:noProof/>
              </w:rPr>
              <w:t xml:space="preserve"> had been issued by universities and other institutions by the end of 2021.</w:t>
            </w:r>
          </w:p>
        </w:tc>
        <w:tc>
          <w:tcPr>
            <w:cnfStyle w:val="000001000000" w:firstRow="0" w:lastRow="0" w:firstColumn="0" w:lastColumn="0" w:oddVBand="0" w:evenVBand="1" w:oddHBand="0" w:evenHBand="0" w:firstRowFirstColumn="0" w:firstRowLastColumn="0" w:lastRowFirstColumn="0" w:lastRowLastColumn="0"/>
            <w:tcW w:w="2371" w:type="dxa"/>
            <w:shd w:val="clear" w:color="auto" w:fill="F2F2F2"/>
          </w:tcPr>
          <w:p w14:paraId="1001C6EA" w14:textId="77777777" w:rsidR="00EB0337" w:rsidRPr="0076270C" w:rsidRDefault="00EB0337" w:rsidP="00B202C2">
            <w:pPr>
              <w:pStyle w:val="ppoTableacheivementvalue"/>
              <w:rPr>
                <w:noProof/>
              </w:rPr>
            </w:pPr>
            <w:r w:rsidRPr="00BD4DD9">
              <w:rPr>
                <w:noProof/>
              </w:rPr>
              <w:t>284</w:t>
            </w:r>
          </w:p>
          <w:p w14:paraId="2F38A9A5" w14:textId="77777777" w:rsidR="00EB0337" w:rsidRPr="0076270C" w:rsidRDefault="00EB0337" w:rsidP="00962E3C">
            <w:pPr>
              <w:jc w:val="left"/>
              <w:rPr>
                <w:noProof/>
              </w:rPr>
            </w:pPr>
            <w:r w:rsidRPr="00BD4DD9">
              <w:rPr>
                <w:noProof/>
              </w:rPr>
              <w:t xml:space="preserve">higher education institutions </w:t>
            </w:r>
            <w:r>
              <w:rPr>
                <w:noProof/>
              </w:rPr>
              <w:t>had taken part in</w:t>
            </w:r>
            <w:r w:rsidRPr="00BD4DD9">
              <w:rPr>
                <w:noProof/>
              </w:rPr>
              <w:t xml:space="preserve"> the European </w:t>
            </w:r>
            <w:r>
              <w:rPr>
                <w:noProof/>
              </w:rPr>
              <w:t>u</w:t>
            </w:r>
            <w:r w:rsidRPr="00BD4DD9">
              <w:rPr>
                <w:noProof/>
              </w:rPr>
              <w:t>niversities initiative</w:t>
            </w:r>
            <w:r>
              <w:rPr>
                <w:noProof/>
              </w:rPr>
              <w:t xml:space="preserve"> by the end of 2021.</w:t>
            </w:r>
          </w:p>
        </w:tc>
        <w:tc>
          <w:tcPr>
            <w:tcW w:w="0" w:type="dxa"/>
            <w:tcBorders>
              <w:bottom w:val="single" w:sz="4" w:space="0" w:color="8C8C8C"/>
            </w:tcBorders>
          </w:tcPr>
          <w:p w14:paraId="2BD0DFFB" w14:textId="77777777" w:rsidR="00EB0337" w:rsidRPr="0076270C" w:rsidRDefault="00EB0337" w:rsidP="00B202C2">
            <w:pPr>
              <w:pStyle w:val="ppoTableacheivementvalue"/>
              <w:cnfStyle w:val="000000000000" w:firstRow="0" w:lastRow="0" w:firstColumn="0" w:lastColumn="0" w:oddVBand="0" w:evenVBand="0" w:oddHBand="0" w:evenHBand="0" w:firstRowFirstColumn="0" w:firstRowLastColumn="0" w:lastRowFirstColumn="0" w:lastRowLastColumn="0"/>
              <w:rPr>
                <w:noProof/>
              </w:rPr>
            </w:pPr>
            <w:r w:rsidRPr="00BD4DD9">
              <w:rPr>
                <w:noProof/>
              </w:rPr>
              <w:t>270</w:t>
            </w:r>
            <w:r>
              <w:rPr>
                <w:rFonts w:ascii="Calibri" w:hAnsi="Calibri" w:cs="Calibri"/>
                <w:noProof/>
              </w:rPr>
              <w:t> </w:t>
            </w:r>
            <w:r w:rsidRPr="00BD4DD9">
              <w:rPr>
                <w:noProof/>
              </w:rPr>
              <w:t>000</w:t>
            </w:r>
          </w:p>
          <w:p w14:paraId="072D6D24" w14:textId="77777777" w:rsidR="00EB0337" w:rsidRDefault="00EB0337" w:rsidP="00962E3C">
            <w:pPr>
              <w:jc w:val="left"/>
              <w:cnfStyle w:val="000000000000" w:firstRow="0" w:lastRow="0" w:firstColumn="0" w:lastColumn="0" w:oddVBand="0" w:evenVBand="0" w:oddHBand="0" w:evenHBand="0" w:firstRowFirstColumn="0" w:firstRowLastColumn="0" w:lastRowFirstColumn="0" w:lastRowLastColumn="0"/>
              <w:rPr>
                <w:noProof/>
              </w:rPr>
            </w:pPr>
            <w:r w:rsidRPr="00BD4DD9">
              <w:rPr>
                <w:noProof/>
              </w:rPr>
              <w:t>short</w:t>
            </w:r>
            <w:r>
              <w:rPr>
                <w:noProof/>
              </w:rPr>
              <w:t>-</w:t>
            </w:r>
            <w:r w:rsidRPr="00BD4DD9">
              <w:rPr>
                <w:noProof/>
              </w:rPr>
              <w:t xml:space="preserve">term mobilities </w:t>
            </w:r>
            <w:r>
              <w:rPr>
                <w:noProof/>
              </w:rPr>
              <w:t xml:space="preserve">were awarded </w:t>
            </w:r>
            <w:r w:rsidRPr="00BD4DD9">
              <w:rPr>
                <w:noProof/>
              </w:rPr>
              <w:t xml:space="preserve">between </w:t>
            </w:r>
            <w:r>
              <w:rPr>
                <w:noProof/>
              </w:rPr>
              <w:t xml:space="preserve">programme and partner countries under the </w:t>
            </w:r>
            <w:r w:rsidRPr="00BD4DD9">
              <w:rPr>
                <w:noProof/>
              </w:rPr>
              <w:t>2014-2020</w:t>
            </w:r>
            <w:r>
              <w:rPr>
                <w:noProof/>
              </w:rPr>
              <w:t xml:space="preserve"> programme.</w:t>
            </w:r>
          </w:p>
          <w:p w14:paraId="74C0A018" w14:textId="77777777" w:rsidR="00EB0337" w:rsidRPr="00122860" w:rsidRDefault="00EB0337" w:rsidP="00B202C2">
            <w:pPr>
              <w:ind w:firstLine="720"/>
              <w:cnfStyle w:val="000000000000" w:firstRow="0" w:lastRow="0" w:firstColumn="0" w:lastColumn="0" w:oddVBand="0" w:evenVBand="0" w:oddHBand="0" w:evenHBand="0" w:firstRowFirstColumn="0" w:firstRowLastColumn="0" w:lastRowFirstColumn="0" w:lastRowLastColumn="0"/>
              <w:rPr>
                <w:noProof/>
              </w:rPr>
            </w:pPr>
          </w:p>
        </w:tc>
        <w:tc>
          <w:tcPr>
            <w:cnfStyle w:val="000001000000" w:firstRow="0" w:lastRow="0" w:firstColumn="0" w:lastColumn="0" w:oddVBand="0" w:evenVBand="1" w:oddHBand="0" w:evenHBand="0" w:firstRowFirstColumn="0" w:firstRowLastColumn="0" w:lastRowFirstColumn="0" w:lastRowLastColumn="0"/>
            <w:tcW w:w="2371" w:type="dxa"/>
          </w:tcPr>
          <w:p w14:paraId="1CCAA465" w14:textId="77777777" w:rsidR="00EB0337" w:rsidRPr="0076270C" w:rsidRDefault="00EB0337" w:rsidP="00B202C2">
            <w:pPr>
              <w:pStyle w:val="ppoTableacheivementvalue"/>
              <w:rPr>
                <w:noProof/>
              </w:rPr>
            </w:pPr>
            <w:r>
              <w:rPr>
                <w:noProof/>
              </w:rPr>
              <w:t>94%</w:t>
            </w:r>
          </w:p>
          <w:p w14:paraId="25116AEB" w14:textId="77777777" w:rsidR="00EB0337" w:rsidRPr="00BD4DD9" w:rsidRDefault="00EB0337" w:rsidP="00962E3C">
            <w:pPr>
              <w:jc w:val="left"/>
              <w:rPr>
                <w:noProof/>
                <w:lang w:val="en-US"/>
              </w:rPr>
            </w:pPr>
            <w:r w:rsidRPr="00BD4DD9">
              <w:rPr>
                <w:noProof/>
              </w:rPr>
              <w:t xml:space="preserve">of participants in youth mobility activities declared that they increased </w:t>
            </w:r>
            <w:r>
              <w:rPr>
                <w:noProof/>
              </w:rPr>
              <w:t xml:space="preserve">their </w:t>
            </w:r>
            <w:r w:rsidRPr="00BD4DD9">
              <w:rPr>
                <w:noProof/>
              </w:rPr>
              <w:t>skills</w:t>
            </w:r>
            <w:r>
              <w:rPr>
                <w:noProof/>
              </w:rPr>
              <w:t xml:space="preserve"> under the </w:t>
            </w:r>
            <w:r w:rsidRPr="00BD4DD9">
              <w:rPr>
                <w:noProof/>
              </w:rPr>
              <w:t>2014-2020</w:t>
            </w:r>
            <w:r>
              <w:rPr>
                <w:noProof/>
              </w:rPr>
              <w:t xml:space="preserve"> programme.</w:t>
            </w:r>
          </w:p>
        </w:tc>
      </w:tr>
      <w:tr w:rsidR="00EB0337" w:rsidRPr="00040D99" w14:paraId="4857B06D" w14:textId="77777777" w:rsidTr="00AD7F08">
        <w:tc>
          <w:tcPr>
            <w:tcW w:w="0" w:type="dxa"/>
          </w:tcPr>
          <w:p w14:paraId="27B7CA8B" w14:textId="77777777" w:rsidR="00EB0337" w:rsidRPr="0076270C" w:rsidRDefault="00EB0337" w:rsidP="00B202C2">
            <w:pPr>
              <w:pStyle w:val="ppoTableacheivementvalue"/>
              <w:rPr>
                <w:noProof/>
              </w:rPr>
            </w:pPr>
            <w:r>
              <w:rPr>
                <w:noProof/>
              </w:rPr>
              <w:t>900</w:t>
            </w:r>
            <w:r>
              <w:rPr>
                <w:rFonts w:ascii="Calibri" w:hAnsi="Calibri" w:cs="Calibri"/>
                <w:noProof/>
              </w:rPr>
              <w:t> </w:t>
            </w:r>
            <w:r>
              <w:rPr>
                <w:noProof/>
              </w:rPr>
              <w:t>000</w:t>
            </w:r>
          </w:p>
          <w:p w14:paraId="50E20878" w14:textId="77777777" w:rsidR="00EB0337" w:rsidRPr="0076270C" w:rsidRDefault="00EB0337" w:rsidP="00962E3C">
            <w:pPr>
              <w:jc w:val="left"/>
              <w:rPr>
                <w:noProof/>
              </w:rPr>
            </w:pPr>
            <w:r>
              <w:rPr>
                <w:noProof/>
              </w:rPr>
              <w:t xml:space="preserve">vocational education and training </w:t>
            </w:r>
            <w:r w:rsidRPr="00F161F5">
              <w:rPr>
                <w:noProof/>
              </w:rPr>
              <w:t>mobilities</w:t>
            </w:r>
            <w:r w:rsidRPr="006308D6">
              <w:rPr>
                <w:noProof/>
              </w:rPr>
              <w:t xml:space="preserve"> were awarded </w:t>
            </w:r>
            <w:r>
              <w:rPr>
                <w:noProof/>
              </w:rPr>
              <w:t xml:space="preserve">under the </w:t>
            </w:r>
            <w:r w:rsidRPr="00BD4DD9">
              <w:rPr>
                <w:noProof/>
              </w:rPr>
              <w:t>2014-2020</w:t>
            </w:r>
            <w:r>
              <w:rPr>
                <w:noProof/>
              </w:rPr>
              <w:t xml:space="preserve"> programme.</w:t>
            </w:r>
          </w:p>
        </w:tc>
        <w:tc>
          <w:tcPr>
            <w:cnfStyle w:val="000001000000" w:firstRow="0" w:lastRow="0" w:firstColumn="0" w:lastColumn="0" w:oddVBand="0" w:evenVBand="1" w:oddHBand="0" w:evenHBand="0" w:firstRowFirstColumn="0" w:firstRowLastColumn="0" w:lastRowFirstColumn="0" w:lastRowLastColumn="0"/>
            <w:tcW w:w="0" w:type="dxa"/>
            <w:tcBorders>
              <w:bottom w:val="single" w:sz="4" w:space="0" w:color="808080"/>
            </w:tcBorders>
            <w:shd w:val="clear" w:color="auto" w:fill="F2F2F2"/>
          </w:tcPr>
          <w:p w14:paraId="0A6BB27F" w14:textId="77777777" w:rsidR="00EB0337" w:rsidRPr="0076270C" w:rsidRDefault="00EB0337" w:rsidP="00B202C2">
            <w:pPr>
              <w:pStyle w:val="ppoTableacheivementvalue"/>
              <w:rPr>
                <w:noProof/>
              </w:rPr>
            </w:pPr>
            <w:r>
              <w:rPr>
                <w:noProof/>
              </w:rPr>
              <w:t>760</w:t>
            </w:r>
            <w:r>
              <w:rPr>
                <w:rFonts w:ascii="Calibri" w:hAnsi="Calibri" w:cs="Calibri"/>
                <w:noProof/>
              </w:rPr>
              <w:t> </w:t>
            </w:r>
            <w:r>
              <w:rPr>
                <w:noProof/>
              </w:rPr>
              <w:t>000</w:t>
            </w:r>
          </w:p>
          <w:p w14:paraId="60AB6FE0" w14:textId="77777777" w:rsidR="00EB0337" w:rsidRPr="0076270C" w:rsidRDefault="00EB0337" w:rsidP="00962E3C">
            <w:pPr>
              <w:jc w:val="left"/>
              <w:rPr>
                <w:noProof/>
              </w:rPr>
            </w:pPr>
            <w:r w:rsidRPr="005161C4">
              <w:rPr>
                <w:noProof/>
              </w:rPr>
              <w:t>young people</w:t>
            </w:r>
            <w:r>
              <w:rPr>
                <w:noProof/>
              </w:rPr>
              <w:t xml:space="preserve"> were</w:t>
            </w:r>
            <w:r w:rsidRPr="005161C4">
              <w:rPr>
                <w:noProof/>
              </w:rPr>
              <w:t xml:space="preserve"> involved in </w:t>
            </w:r>
            <w:r>
              <w:rPr>
                <w:noProof/>
              </w:rPr>
              <w:t>y</w:t>
            </w:r>
            <w:r w:rsidRPr="005161C4">
              <w:rPr>
                <w:noProof/>
              </w:rPr>
              <w:t xml:space="preserve">outh </w:t>
            </w:r>
            <w:r>
              <w:rPr>
                <w:noProof/>
              </w:rPr>
              <w:t>e</w:t>
            </w:r>
            <w:r w:rsidRPr="005161C4">
              <w:rPr>
                <w:noProof/>
              </w:rPr>
              <w:t>xchanges</w:t>
            </w:r>
            <w:r>
              <w:rPr>
                <w:noProof/>
              </w:rPr>
              <w:t xml:space="preserve"> under the </w:t>
            </w:r>
            <w:r w:rsidRPr="00BD4DD9">
              <w:rPr>
                <w:noProof/>
              </w:rPr>
              <w:t>2014-2020</w:t>
            </w:r>
            <w:r>
              <w:rPr>
                <w:noProof/>
              </w:rPr>
              <w:t xml:space="preserve"> programme.</w:t>
            </w:r>
          </w:p>
        </w:tc>
        <w:tc>
          <w:tcPr>
            <w:tcW w:w="0" w:type="dxa"/>
            <w:tcBorders>
              <w:bottom w:val="single" w:sz="4" w:space="0" w:color="808080"/>
            </w:tcBorders>
            <w:shd w:val="clear" w:color="auto" w:fill="FFFFFF" w:themeFill="background1"/>
          </w:tcPr>
          <w:p w14:paraId="2BEFD7FE" w14:textId="77777777" w:rsidR="00EB0337" w:rsidRPr="0076270C" w:rsidRDefault="00EB0337" w:rsidP="00B202C2">
            <w:pPr>
              <w:pStyle w:val="ppoTableacheivementvalue"/>
              <w:cnfStyle w:val="000000000000" w:firstRow="0" w:lastRow="0" w:firstColumn="0" w:lastColumn="0" w:oddVBand="0" w:evenVBand="0" w:oddHBand="0" w:evenHBand="0" w:firstRowFirstColumn="0" w:firstRowLastColumn="0" w:lastRowFirstColumn="0" w:lastRowLastColumn="0"/>
              <w:rPr>
                <w:noProof/>
              </w:rPr>
            </w:pPr>
            <w:r>
              <w:rPr>
                <w:noProof/>
              </w:rPr>
              <w:t>39%</w:t>
            </w:r>
          </w:p>
          <w:p w14:paraId="2B3DE92A" w14:textId="77777777" w:rsidR="00EB0337" w:rsidRPr="0076270C" w:rsidRDefault="00EB0337" w:rsidP="00962E3C">
            <w:pPr>
              <w:jc w:val="left"/>
              <w:cnfStyle w:val="000000000000" w:firstRow="0" w:lastRow="0" w:firstColumn="0" w:lastColumn="0" w:oddVBand="0" w:evenVBand="0" w:oddHBand="0" w:evenHBand="0" w:firstRowFirstColumn="0" w:firstRowLastColumn="0" w:lastRowFirstColumn="0" w:lastRowLastColumn="0"/>
              <w:rPr>
                <w:noProof/>
              </w:rPr>
            </w:pPr>
            <w:r w:rsidRPr="00420041">
              <w:rPr>
                <w:noProof/>
              </w:rPr>
              <w:t>of participants in youth mobility activities</w:t>
            </w:r>
            <w:r>
              <w:rPr>
                <w:noProof/>
              </w:rPr>
              <w:t xml:space="preserve"> under the </w:t>
            </w:r>
            <w:r w:rsidRPr="00BD4DD9">
              <w:rPr>
                <w:noProof/>
              </w:rPr>
              <w:t>2014-2020</w:t>
            </w:r>
            <w:r>
              <w:rPr>
                <w:noProof/>
              </w:rPr>
              <w:t xml:space="preserve"> programme came from an underprivileged background.</w:t>
            </w:r>
          </w:p>
        </w:tc>
        <w:tc>
          <w:tcPr>
            <w:cnfStyle w:val="000001000000" w:firstRow="0" w:lastRow="0" w:firstColumn="0" w:lastColumn="0" w:oddVBand="0" w:evenVBand="1" w:oddHBand="0" w:evenHBand="0" w:firstRowFirstColumn="0" w:firstRowLastColumn="0" w:lastRowFirstColumn="0" w:lastRowLastColumn="0"/>
            <w:tcW w:w="0" w:type="dxa"/>
            <w:tcBorders>
              <w:bottom w:val="nil"/>
            </w:tcBorders>
            <w:shd w:val="clear" w:color="auto" w:fill="FFFFFF" w:themeFill="background1"/>
          </w:tcPr>
          <w:p w14:paraId="0126CB73" w14:textId="77777777" w:rsidR="00EB0337" w:rsidRPr="0076270C" w:rsidRDefault="00EB0337" w:rsidP="00B202C2">
            <w:pPr>
              <w:rPr>
                <w:noProof/>
              </w:rPr>
            </w:pPr>
          </w:p>
        </w:tc>
      </w:tr>
    </w:tbl>
    <w:p w14:paraId="67182189" w14:textId="77777777" w:rsidR="00EB0337" w:rsidRPr="00040D99" w:rsidRDefault="00EB0337" w:rsidP="00EB0337">
      <w:pPr>
        <w:pStyle w:val="FootnoteText"/>
        <w:rPr>
          <w:rFonts w:eastAsiaTheme="minorEastAsia"/>
          <w:noProof/>
        </w:rPr>
      </w:pPr>
      <w:r>
        <w:rPr>
          <w:rFonts w:eastAsiaTheme="minorEastAsia"/>
          <w:noProof/>
        </w:rPr>
        <w:t xml:space="preserve">(*) </w:t>
      </w:r>
      <w:r>
        <w:rPr>
          <w:rFonts w:eastAsiaTheme="minorEastAsia"/>
          <w:noProof/>
        </w:rPr>
        <w:tab/>
      </w:r>
      <w:r w:rsidRPr="00CA5FD3">
        <w:rPr>
          <w:rFonts w:eastAsiaTheme="minorEastAsia"/>
          <w:noProof/>
        </w:rPr>
        <w:t xml:space="preserve">Key achievements in the table state which period they relate to. Many come from the implementation of the predecessor programmes under the 2014-2020 </w:t>
      </w:r>
      <w:r>
        <w:rPr>
          <w:rFonts w:eastAsiaTheme="minorEastAsia"/>
          <w:noProof/>
        </w:rPr>
        <w:t>multiannual financial framework</w:t>
      </w:r>
      <w:r w:rsidRPr="00CA5FD3">
        <w:rPr>
          <w:rFonts w:eastAsiaTheme="minorEastAsia"/>
          <w:noProof/>
        </w:rPr>
        <w:t xml:space="preserve">. This is expected and </w:t>
      </w:r>
      <w:r>
        <w:rPr>
          <w:rFonts w:eastAsiaTheme="minorEastAsia"/>
          <w:noProof/>
        </w:rPr>
        <w:t xml:space="preserve">is </w:t>
      </w:r>
      <w:r w:rsidRPr="00CA5FD3">
        <w:rPr>
          <w:rFonts w:eastAsiaTheme="minorEastAsia"/>
          <w:noProof/>
        </w:rPr>
        <w:t>due to the multiannual life</w:t>
      </w:r>
      <w:r>
        <w:rPr>
          <w:rFonts w:eastAsiaTheme="minorEastAsia"/>
          <w:noProof/>
        </w:rPr>
        <w:t xml:space="preserve"> </w:t>
      </w:r>
      <w:r w:rsidRPr="00CA5FD3">
        <w:rPr>
          <w:rFonts w:eastAsiaTheme="minorEastAsia"/>
          <w:noProof/>
        </w:rPr>
        <w:t>cycle of EU programmes and the projects they finan</w:t>
      </w:r>
      <w:r>
        <w:rPr>
          <w:rFonts w:eastAsiaTheme="minorEastAsia"/>
          <w:noProof/>
        </w:rPr>
        <w:t>ce,</w:t>
      </w:r>
      <w:r w:rsidRPr="00CA5FD3">
        <w:rPr>
          <w:rFonts w:eastAsiaTheme="minorEastAsia"/>
          <w:noProof/>
        </w:rPr>
        <w:t xml:space="preserve"> where results often follow only after completion of the programmes.</w:t>
      </w:r>
    </w:p>
    <w:p w14:paraId="23CB6534" w14:textId="77777777" w:rsidR="00EB0337" w:rsidRDefault="00EB0337" w:rsidP="00EB0337">
      <w:pPr>
        <w:pStyle w:val="ppoHeading5"/>
        <w:rPr>
          <w:noProof/>
        </w:rPr>
      </w:pPr>
      <w:r w:rsidRPr="00040D99">
        <w:rPr>
          <w:noProof/>
        </w:rPr>
        <w:t xml:space="preserve">Budget </w:t>
      </w:r>
      <w:r>
        <w:rPr>
          <w:noProof/>
        </w:rPr>
        <w:t xml:space="preserve">for </w:t>
      </w:r>
      <w:r w:rsidRPr="00040D99">
        <w:rPr>
          <w:noProof/>
        </w:rPr>
        <w:t>2021-2027</w:t>
      </w:r>
    </w:p>
    <w:p w14:paraId="4CF64CF6" w14:textId="77777777" w:rsidR="00EB0337" w:rsidRPr="009359FF" w:rsidRDefault="00EB0337" w:rsidP="00EB0337">
      <w:pPr>
        <w:pStyle w:val="ppoTableTabletitle"/>
        <w:ind w:left="284"/>
        <w:rPr>
          <w:noProof/>
        </w:rPr>
      </w:pPr>
      <w:r>
        <w:rPr>
          <w:noProof/>
        </w:rPr>
        <w:t>(million</w:t>
      </w:r>
      <w:r w:rsidRPr="00E9375E">
        <w:rPr>
          <w:noProof/>
        </w:rPr>
        <w:t xml:space="preserve"> </w:t>
      </w:r>
      <w:r>
        <w:rPr>
          <w:noProof/>
        </w:rPr>
        <w:t>EUR)</w:t>
      </w:r>
    </w:p>
    <w:tbl>
      <w:tblPr>
        <w:tblStyle w:val="PlainTable2"/>
        <w:tblW w:w="0" w:type="auto"/>
        <w:tblInd w:w="288" w:type="dxa"/>
        <w:tblLook w:val="04A0" w:firstRow="1" w:lastRow="0" w:firstColumn="1" w:lastColumn="0" w:noHBand="0" w:noVBand="1"/>
      </w:tblPr>
      <w:tblGrid>
        <w:gridCol w:w="4788"/>
        <w:gridCol w:w="2610"/>
      </w:tblGrid>
      <w:tr w:rsidR="00EB0337" w:rsidRPr="00214876" w14:paraId="274C1B32" w14:textId="77777777" w:rsidTr="00B202C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1FF367BD" w14:textId="77777777" w:rsidR="00EB0337" w:rsidRPr="00214876" w:rsidRDefault="00EB0337" w:rsidP="00B202C2">
            <w:pPr>
              <w:spacing w:before="120" w:after="120"/>
              <w:rPr>
                <w:noProof/>
              </w:rPr>
            </w:pPr>
            <w:r w:rsidRPr="00214876">
              <w:rPr>
                <w:rFonts w:cs="Calibri"/>
                <w:noProof/>
                <w:color w:val="000000"/>
              </w:rPr>
              <w:t>Financial programming</w:t>
            </w:r>
            <w:r>
              <w:rPr>
                <w:rFonts w:ascii="Calibri" w:hAnsi="Calibri" w:cs="Calibri"/>
                <w:noProof/>
                <w:color w:val="000000"/>
              </w:rPr>
              <w:t> </w:t>
            </w:r>
            <w:r>
              <w:rPr>
                <w:rFonts w:cs="Calibri"/>
                <w:noProof/>
                <w:color w:val="000000"/>
              </w:rPr>
              <w:t>(*)</w:t>
            </w:r>
          </w:p>
        </w:tc>
        <w:tc>
          <w:tcPr>
            <w:tcW w:w="2610" w:type="dxa"/>
            <w:shd w:val="clear" w:color="auto" w:fill="auto"/>
            <w:vAlign w:val="bottom"/>
          </w:tcPr>
          <w:p w14:paraId="66514197" w14:textId="77777777" w:rsidR="00CF2823" w:rsidRDefault="00CF2823" w:rsidP="00CF2823">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25 175.4</w:t>
            </w:r>
          </w:p>
          <w:p w14:paraId="35375888" w14:textId="28BA6F37" w:rsidR="00EB0337" w:rsidRPr="00214876" w:rsidRDefault="00EB0337" w:rsidP="00B202C2">
            <w:pPr>
              <w:spacing w:before="120" w:after="120"/>
              <w:jc w:val="center"/>
              <w:cnfStyle w:val="100000000000" w:firstRow="1" w:lastRow="0" w:firstColumn="0" w:lastColumn="0" w:oddVBand="0" w:evenVBand="0" w:oddHBand="0" w:evenHBand="0" w:firstRowFirstColumn="0" w:firstRowLastColumn="0" w:lastRowFirstColumn="0" w:lastRowLastColumn="0"/>
              <w:rPr>
                <w:b w:val="0"/>
                <w:noProof/>
              </w:rPr>
            </w:pPr>
          </w:p>
        </w:tc>
      </w:tr>
      <w:tr w:rsidR="00EB0337" w:rsidRPr="00214876" w14:paraId="30EFE2BE" w14:textId="77777777" w:rsidTr="00B202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2DBC1313" w14:textId="77777777" w:rsidR="00EB0337" w:rsidRPr="00214876" w:rsidRDefault="00EB0337" w:rsidP="00B202C2">
            <w:pPr>
              <w:spacing w:before="120" w:after="120"/>
              <w:rPr>
                <w:b w:val="0"/>
                <w:noProof/>
              </w:rPr>
            </w:pPr>
            <w:r w:rsidRPr="00214876">
              <w:rPr>
                <w:rFonts w:cs="Calibri"/>
                <w:noProof/>
                <w:color w:val="000000"/>
              </w:rPr>
              <w:t>NextGenerationEU</w:t>
            </w:r>
          </w:p>
        </w:tc>
        <w:tc>
          <w:tcPr>
            <w:tcW w:w="2610" w:type="dxa"/>
            <w:vAlign w:val="bottom"/>
          </w:tcPr>
          <w:p w14:paraId="23348570" w14:textId="77777777" w:rsidR="00EB0337" w:rsidRPr="00214876" w:rsidRDefault="00EB0337" w:rsidP="00B202C2">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Pr>
                <w:rFonts w:cs="Calibri"/>
                <w:noProof/>
                <w:color w:val="000000"/>
              </w:rPr>
              <w:t>0</w:t>
            </w:r>
          </w:p>
        </w:tc>
      </w:tr>
      <w:tr w:rsidR="00EB0337" w:rsidRPr="00214876" w14:paraId="6A9D47E4" w14:textId="77777777" w:rsidTr="00B202C2">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7DDA70AE" w14:textId="77777777" w:rsidR="00EB0337" w:rsidRPr="00214876" w:rsidRDefault="00EB0337" w:rsidP="00B202C2">
            <w:pPr>
              <w:spacing w:before="120" w:after="120"/>
              <w:rPr>
                <w:b w:val="0"/>
                <w:noProof/>
              </w:rPr>
            </w:pPr>
            <w:r w:rsidRPr="00807AC3">
              <w:rPr>
                <w:noProof/>
              </w:rPr>
              <w:t>Decommitments made available again</w:t>
            </w:r>
            <w:r>
              <w:rPr>
                <w:rFonts w:ascii="Calibri" w:hAnsi="Calibri" w:cs="Calibri"/>
                <w:noProof/>
              </w:rPr>
              <w:t> </w:t>
            </w:r>
            <w:r>
              <w:rPr>
                <w:noProof/>
              </w:rPr>
              <w:t>(</w:t>
            </w:r>
            <w:r w:rsidRPr="00807AC3">
              <w:rPr>
                <w:noProof/>
              </w:rPr>
              <w:t>*</w:t>
            </w:r>
            <w:r>
              <w:rPr>
                <w:noProof/>
              </w:rPr>
              <w:t>*)</w:t>
            </w:r>
          </w:p>
        </w:tc>
        <w:tc>
          <w:tcPr>
            <w:tcW w:w="2610" w:type="dxa"/>
            <w:vAlign w:val="bottom"/>
          </w:tcPr>
          <w:p w14:paraId="4021C55D" w14:textId="134961FB" w:rsidR="00EB0337" w:rsidRPr="00214876" w:rsidRDefault="00EB0337" w:rsidP="00B202C2">
            <w:pPr>
              <w:spacing w:before="120" w:after="120"/>
              <w:jc w:val="center"/>
              <w:cnfStyle w:val="000000000000" w:firstRow="0" w:lastRow="0" w:firstColumn="0" w:lastColumn="0" w:oddVBand="0" w:evenVBand="0" w:oddHBand="0" w:evenHBand="0" w:firstRowFirstColumn="0" w:firstRowLastColumn="0" w:lastRowFirstColumn="0" w:lastRowLastColumn="0"/>
              <w:rPr>
                <w:noProof/>
              </w:rPr>
            </w:pPr>
            <w:r>
              <w:rPr>
                <w:rFonts w:cs="Calibri"/>
                <w:noProof/>
                <w:color w:val="000000"/>
              </w:rPr>
              <w:t>N/A</w:t>
            </w:r>
          </w:p>
        </w:tc>
      </w:tr>
      <w:tr w:rsidR="00EB0337" w:rsidRPr="00214876" w14:paraId="5366AE08" w14:textId="77777777" w:rsidTr="00B202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2EDBDE21" w14:textId="77777777" w:rsidR="00EB0337" w:rsidRPr="00214876" w:rsidRDefault="00EB0337" w:rsidP="00B202C2">
            <w:pPr>
              <w:spacing w:before="120" w:after="120"/>
              <w:rPr>
                <w:noProof/>
              </w:rPr>
            </w:pPr>
            <w:r w:rsidRPr="00214876">
              <w:rPr>
                <w:rFonts w:cs="Calibri"/>
                <w:noProof/>
                <w:color w:val="000000"/>
              </w:rPr>
              <w:t>Contributions from other countries and entities</w:t>
            </w:r>
          </w:p>
        </w:tc>
        <w:tc>
          <w:tcPr>
            <w:tcW w:w="2610" w:type="dxa"/>
            <w:vAlign w:val="bottom"/>
          </w:tcPr>
          <w:p w14:paraId="43E56BD5" w14:textId="77777777" w:rsidR="00EB0337" w:rsidRPr="00214876" w:rsidRDefault="00EB0337" w:rsidP="00B202C2">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214876">
              <w:rPr>
                <w:rFonts w:cs="Calibri"/>
                <w:noProof/>
                <w:color w:val="000000"/>
              </w:rPr>
              <w:t>2</w:t>
            </w:r>
            <w:r>
              <w:rPr>
                <w:rFonts w:cs="Calibri"/>
                <w:noProof/>
                <w:color w:val="000000"/>
              </w:rPr>
              <w:t>56</w:t>
            </w:r>
          </w:p>
        </w:tc>
      </w:tr>
      <w:tr w:rsidR="00EB0337" w:rsidRPr="00214876" w14:paraId="4A811DC1" w14:textId="77777777" w:rsidTr="00B202C2">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CFCFC" w:themeFill="background2" w:themeFillTint="33"/>
            <w:vAlign w:val="bottom"/>
          </w:tcPr>
          <w:p w14:paraId="252F5913" w14:textId="77777777" w:rsidR="00EB0337" w:rsidRPr="00214876" w:rsidRDefault="00EB0337" w:rsidP="00B202C2">
            <w:pPr>
              <w:spacing w:before="120" w:after="120"/>
              <w:rPr>
                <w:noProof/>
              </w:rPr>
            </w:pPr>
            <w:r>
              <w:rPr>
                <w:rFonts w:cs="Calibri"/>
                <w:noProof/>
                <w:color w:val="000000"/>
              </w:rPr>
              <w:t>T</w:t>
            </w:r>
            <w:r w:rsidRPr="00214876">
              <w:rPr>
                <w:rFonts w:cs="Calibri"/>
                <w:noProof/>
                <w:color w:val="000000"/>
              </w:rPr>
              <w:t xml:space="preserve">otal budget </w:t>
            </w:r>
            <w:r>
              <w:rPr>
                <w:rFonts w:cs="Calibri"/>
                <w:noProof/>
                <w:color w:val="000000"/>
              </w:rPr>
              <w:t xml:space="preserve">for </w:t>
            </w:r>
            <w:r w:rsidRPr="00214876">
              <w:rPr>
                <w:rFonts w:cs="Calibri"/>
                <w:noProof/>
                <w:color w:val="000000"/>
              </w:rPr>
              <w:t>2021-2027</w:t>
            </w:r>
          </w:p>
        </w:tc>
        <w:tc>
          <w:tcPr>
            <w:tcW w:w="2610" w:type="dxa"/>
            <w:shd w:val="clear" w:color="auto" w:fill="FCFCFC" w:themeFill="background2" w:themeFillTint="33"/>
            <w:vAlign w:val="bottom"/>
          </w:tcPr>
          <w:p w14:paraId="545635B3" w14:textId="77777777" w:rsidR="00CF2823" w:rsidRDefault="00CF2823" w:rsidP="00CF2823">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noProof/>
                <w:color w:val="000000"/>
              </w:rPr>
            </w:pPr>
            <w:r>
              <w:rPr>
                <w:rFonts w:ascii="Calibri" w:hAnsi="Calibri" w:cs="Calibri"/>
                <w:b/>
                <w:bCs/>
                <w:noProof/>
                <w:color w:val="000000"/>
              </w:rPr>
              <w:t>25 431.3</w:t>
            </w:r>
          </w:p>
          <w:p w14:paraId="51AF3B41" w14:textId="6FF969C6" w:rsidR="00EB0337" w:rsidRPr="00214876" w:rsidRDefault="00EB0337" w:rsidP="00B202C2">
            <w:pPr>
              <w:spacing w:before="120" w:after="120"/>
              <w:jc w:val="center"/>
              <w:cnfStyle w:val="000000000000" w:firstRow="0" w:lastRow="0" w:firstColumn="0" w:lastColumn="0" w:oddVBand="0" w:evenVBand="0" w:oddHBand="0" w:evenHBand="0" w:firstRowFirstColumn="0" w:firstRowLastColumn="0" w:lastRowFirstColumn="0" w:lastRowLastColumn="0"/>
              <w:rPr>
                <w:b/>
                <w:bCs/>
                <w:noProof/>
              </w:rPr>
            </w:pPr>
          </w:p>
        </w:tc>
      </w:tr>
    </w:tbl>
    <w:p w14:paraId="565F5997" w14:textId="77777777" w:rsidR="00EB0337" w:rsidRPr="00040D99" w:rsidRDefault="00EB0337" w:rsidP="00EB0337">
      <w:pPr>
        <w:jc w:val="center"/>
        <w:rPr>
          <w:rFonts w:eastAsiaTheme="minorEastAsia"/>
          <w:noProof/>
        </w:rPr>
      </w:pPr>
    </w:p>
    <w:p w14:paraId="22FCE5F3" w14:textId="77777777" w:rsidR="00EB0337" w:rsidRDefault="00EB0337" w:rsidP="00EB0337">
      <w:pPr>
        <w:pStyle w:val="FootnoteText"/>
        <w:rPr>
          <w:rFonts w:eastAsiaTheme="minorEastAsia"/>
          <w:noProof/>
        </w:rPr>
      </w:pPr>
      <w:r>
        <w:rPr>
          <w:rFonts w:eastAsiaTheme="minorEastAsia"/>
          <w:noProof/>
        </w:rPr>
        <w:t xml:space="preserve">(*) </w:t>
      </w:r>
      <w:r>
        <w:rPr>
          <w:rFonts w:eastAsiaTheme="minorEastAsia"/>
          <w:noProof/>
        </w:rPr>
        <w:tab/>
      </w:r>
      <w:r w:rsidRPr="001C47C1">
        <w:rPr>
          <w:rFonts w:eastAsiaTheme="minorEastAsia"/>
          <w:noProof/>
        </w:rPr>
        <w:t>The financial programming includes the voted amounts of fines pursuant to Art</w:t>
      </w:r>
      <w:r>
        <w:rPr>
          <w:rFonts w:eastAsiaTheme="minorEastAsia"/>
          <w:noProof/>
        </w:rPr>
        <w:t>icle</w:t>
      </w:r>
      <w:r>
        <w:rPr>
          <w:rFonts w:ascii="Calibri" w:eastAsiaTheme="minorEastAsia" w:hAnsi="Calibri" w:cs="Calibri"/>
          <w:noProof/>
        </w:rPr>
        <w:t> </w:t>
      </w:r>
      <w:r w:rsidRPr="001C47C1">
        <w:rPr>
          <w:rFonts w:eastAsiaTheme="minorEastAsia"/>
          <w:noProof/>
        </w:rPr>
        <w:t xml:space="preserve">5 of the </w:t>
      </w:r>
      <w:r>
        <w:rPr>
          <w:rFonts w:eastAsiaTheme="minorEastAsia"/>
          <w:noProof/>
        </w:rPr>
        <w:t>f</w:t>
      </w:r>
      <w:r w:rsidRPr="001C47C1">
        <w:rPr>
          <w:rFonts w:eastAsiaTheme="minorEastAsia"/>
          <w:noProof/>
        </w:rPr>
        <w:t xml:space="preserve">inancial </w:t>
      </w:r>
      <w:r>
        <w:rPr>
          <w:rFonts w:eastAsiaTheme="minorEastAsia"/>
          <w:noProof/>
        </w:rPr>
        <w:t>r</w:t>
      </w:r>
      <w:r w:rsidRPr="001C47C1">
        <w:rPr>
          <w:rFonts w:eastAsiaTheme="minorEastAsia"/>
          <w:noProof/>
        </w:rPr>
        <w:t>egulation (i.e. for 2022</w:t>
      </w:r>
      <w:r>
        <w:rPr>
          <w:rFonts w:eastAsiaTheme="minorEastAsia"/>
          <w:noProof/>
        </w:rPr>
        <w:t xml:space="preserve"> and 2023</w:t>
      </w:r>
      <w:r w:rsidRPr="001C47C1">
        <w:rPr>
          <w:rFonts w:eastAsiaTheme="minorEastAsia"/>
          <w:noProof/>
        </w:rPr>
        <w:t xml:space="preserve"> only)</w:t>
      </w:r>
      <w:r>
        <w:rPr>
          <w:rFonts w:eastAsiaTheme="minorEastAsia"/>
          <w:noProof/>
        </w:rPr>
        <w:t>.</w:t>
      </w:r>
    </w:p>
    <w:p w14:paraId="5B0E6AED" w14:textId="77777777" w:rsidR="00EB0337" w:rsidRPr="006652B9" w:rsidRDefault="00EB0337" w:rsidP="00EB0337">
      <w:pPr>
        <w:tabs>
          <w:tab w:val="left" w:pos="6793"/>
        </w:tabs>
        <w:rPr>
          <w:noProof/>
          <w:sz w:val="18"/>
          <w:szCs w:val="18"/>
          <w:lang w:val="en-IE"/>
        </w:rPr>
      </w:pPr>
      <w:r>
        <w:rPr>
          <w:noProof/>
          <w:sz w:val="18"/>
          <w:szCs w:val="18"/>
        </w:rPr>
        <w:t>(</w:t>
      </w:r>
      <w:r w:rsidRPr="006652B9">
        <w:rPr>
          <w:noProof/>
          <w:sz w:val="18"/>
          <w:szCs w:val="18"/>
          <w:lang w:val="en-IE"/>
        </w:rPr>
        <w:t>**</w:t>
      </w:r>
      <w:r>
        <w:rPr>
          <w:noProof/>
          <w:sz w:val="18"/>
          <w:szCs w:val="18"/>
          <w:lang w:val="en-IE"/>
        </w:rPr>
        <w:t>)</w:t>
      </w:r>
      <w:r w:rsidRPr="006652B9">
        <w:rPr>
          <w:noProof/>
          <w:sz w:val="18"/>
          <w:szCs w:val="18"/>
          <w:lang w:val="en-IE"/>
        </w:rPr>
        <w:t xml:space="preserve"> Only Art</w:t>
      </w:r>
      <w:r>
        <w:rPr>
          <w:noProof/>
          <w:sz w:val="18"/>
          <w:szCs w:val="18"/>
          <w:lang w:val="en-IE"/>
        </w:rPr>
        <w:t>icle</w:t>
      </w:r>
      <w:r>
        <w:rPr>
          <w:rFonts w:ascii="Calibri" w:hAnsi="Calibri" w:cs="Calibri"/>
          <w:noProof/>
          <w:sz w:val="18"/>
          <w:szCs w:val="18"/>
          <w:lang w:val="en-IE"/>
        </w:rPr>
        <w:t> </w:t>
      </w:r>
      <w:r w:rsidRPr="006652B9">
        <w:rPr>
          <w:noProof/>
          <w:sz w:val="18"/>
          <w:szCs w:val="18"/>
          <w:lang w:val="en-IE"/>
        </w:rPr>
        <w:t>15</w:t>
      </w:r>
      <w:r>
        <w:rPr>
          <w:noProof/>
          <w:sz w:val="18"/>
          <w:szCs w:val="18"/>
          <w:lang w:val="en-IE"/>
        </w:rPr>
        <w:t>(</w:t>
      </w:r>
      <w:r w:rsidRPr="006652B9">
        <w:rPr>
          <w:noProof/>
          <w:sz w:val="18"/>
          <w:szCs w:val="18"/>
          <w:lang w:val="en-IE"/>
        </w:rPr>
        <w:t>3</w:t>
      </w:r>
      <w:r>
        <w:rPr>
          <w:noProof/>
          <w:sz w:val="18"/>
          <w:szCs w:val="18"/>
          <w:lang w:val="en-IE"/>
        </w:rPr>
        <w:t>) of the</w:t>
      </w:r>
      <w:r w:rsidRPr="006652B9">
        <w:rPr>
          <w:noProof/>
          <w:sz w:val="18"/>
          <w:szCs w:val="18"/>
          <w:lang w:val="en-IE"/>
        </w:rPr>
        <w:t xml:space="preserve"> </w:t>
      </w:r>
      <w:r>
        <w:rPr>
          <w:noProof/>
          <w:sz w:val="18"/>
          <w:szCs w:val="18"/>
          <w:lang w:val="en-IE"/>
        </w:rPr>
        <w:t>f</w:t>
      </w:r>
      <w:r w:rsidRPr="006652B9">
        <w:rPr>
          <w:noProof/>
          <w:sz w:val="18"/>
          <w:szCs w:val="18"/>
          <w:lang w:val="en-IE"/>
        </w:rPr>
        <w:t xml:space="preserve">inancial </w:t>
      </w:r>
      <w:r>
        <w:rPr>
          <w:noProof/>
          <w:sz w:val="18"/>
          <w:szCs w:val="18"/>
          <w:lang w:val="en-IE"/>
        </w:rPr>
        <w:t>r</w:t>
      </w:r>
      <w:r w:rsidRPr="006652B9">
        <w:rPr>
          <w:noProof/>
          <w:sz w:val="18"/>
          <w:szCs w:val="18"/>
          <w:lang w:val="en-IE"/>
        </w:rPr>
        <w:t>egulation</w:t>
      </w:r>
      <w:r>
        <w:rPr>
          <w:noProof/>
          <w:sz w:val="18"/>
          <w:szCs w:val="18"/>
          <w:lang w:val="en-IE"/>
        </w:rPr>
        <w:t>.</w:t>
      </w:r>
    </w:p>
    <w:p w14:paraId="5328E328" w14:textId="77777777" w:rsidR="00EB0337" w:rsidRPr="00040D99" w:rsidRDefault="00EB0337" w:rsidP="00EB0337">
      <w:pPr>
        <w:pStyle w:val="FootnoteText"/>
        <w:ind w:left="0" w:firstLine="0"/>
        <w:rPr>
          <w:rFonts w:eastAsiaTheme="minorEastAsia"/>
          <w:noProof/>
        </w:rPr>
      </w:pPr>
    </w:p>
    <w:p w14:paraId="629F664C" w14:textId="77777777" w:rsidR="00EB0337" w:rsidRPr="00040D99" w:rsidRDefault="00EB0337" w:rsidP="00EB0337">
      <w:pPr>
        <w:pStyle w:val="ppoHeading5"/>
        <w:rPr>
          <w:noProof/>
        </w:rPr>
      </w:pPr>
      <w:r w:rsidRPr="00040D99">
        <w:rPr>
          <w:noProof/>
        </w:rPr>
        <w:t>Rationale and design of the programme</w:t>
      </w:r>
    </w:p>
    <w:p w14:paraId="1824599D" w14:textId="77777777" w:rsidR="00EB0337" w:rsidRPr="00040D99" w:rsidRDefault="00EB0337" w:rsidP="00EB0337">
      <w:pPr>
        <w:rPr>
          <w:rFonts w:eastAsiaTheme="minorEastAsia"/>
          <w:noProof/>
        </w:rPr>
      </w:pPr>
      <w:r w:rsidRPr="5757C4F7">
        <w:rPr>
          <w:rFonts w:eastAsiaTheme="minorEastAsia"/>
          <w:noProof/>
        </w:rPr>
        <w:t>Erasmus+ is the EU</w:t>
      </w:r>
      <w:r>
        <w:rPr>
          <w:rFonts w:eastAsiaTheme="minorEastAsia"/>
          <w:noProof/>
        </w:rPr>
        <w:t>’</w:t>
      </w:r>
      <w:r w:rsidRPr="5757C4F7">
        <w:rPr>
          <w:rFonts w:eastAsiaTheme="minorEastAsia"/>
          <w:noProof/>
        </w:rPr>
        <w:t xml:space="preserve">s programme to support mobility and cooperation in education, training, youth and sport in Europe. The 2021-2027 programme places a strong focus on social inclusion, the green and digital transitions, and on promoting young people’s participation in democratic life. It supports priorities and activities set out inter alia in the European </w:t>
      </w:r>
      <w:r>
        <w:rPr>
          <w:rFonts w:eastAsiaTheme="minorEastAsia"/>
          <w:noProof/>
        </w:rPr>
        <w:t>e</w:t>
      </w:r>
      <w:r w:rsidRPr="5757C4F7">
        <w:rPr>
          <w:rFonts w:eastAsiaTheme="minorEastAsia"/>
          <w:noProof/>
        </w:rPr>
        <w:t xml:space="preserve">ducation </w:t>
      </w:r>
      <w:r>
        <w:rPr>
          <w:rFonts w:eastAsiaTheme="minorEastAsia"/>
          <w:noProof/>
        </w:rPr>
        <w:t>a</w:t>
      </w:r>
      <w:r w:rsidRPr="5757C4F7">
        <w:rPr>
          <w:rFonts w:eastAsiaTheme="minorEastAsia"/>
          <w:noProof/>
        </w:rPr>
        <w:t xml:space="preserve">rea, </w:t>
      </w:r>
      <w:r>
        <w:rPr>
          <w:rFonts w:eastAsiaTheme="minorEastAsia"/>
          <w:noProof/>
        </w:rPr>
        <w:t>the d</w:t>
      </w:r>
      <w:r w:rsidRPr="5757C4F7">
        <w:rPr>
          <w:rFonts w:eastAsiaTheme="minorEastAsia"/>
          <w:noProof/>
        </w:rPr>
        <w:t xml:space="preserve">igital </w:t>
      </w:r>
      <w:r>
        <w:rPr>
          <w:rFonts w:eastAsiaTheme="minorEastAsia"/>
          <w:noProof/>
        </w:rPr>
        <w:t>e</w:t>
      </w:r>
      <w:r w:rsidRPr="5757C4F7">
        <w:rPr>
          <w:rFonts w:eastAsiaTheme="minorEastAsia"/>
          <w:noProof/>
        </w:rPr>
        <w:t xml:space="preserve">ducation </w:t>
      </w:r>
      <w:r>
        <w:rPr>
          <w:rFonts w:eastAsiaTheme="minorEastAsia"/>
          <w:noProof/>
        </w:rPr>
        <w:t>a</w:t>
      </w:r>
      <w:r w:rsidRPr="5757C4F7">
        <w:rPr>
          <w:rFonts w:eastAsiaTheme="minorEastAsia"/>
          <w:noProof/>
        </w:rPr>
        <w:t xml:space="preserve">ction </w:t>
      </w:r>
      <w:r>
        <w:rPr>
          <w:rFonts w:eastAsiaTheme="minorEastAsia"/>
          <w:noProof/>
        </w:rPr>
        <w:t>p</w:t>
      </w:r>
      <w:r w:rsidRPr="5757C4F7">
        <w:rPr>
          <w:rFonts w:eastAsiaTheme="minorEastAsia"/>
          <w:noProof/>
        </w:rPr>
        <w:t xml:space="preserve">lan and the European </w:t>
      </w:r>
      <w:r>
        <w:rPr>
          <w:rFonts w:eastAsiaTheme="minorEastAsia"/>
          <w:noProof/>
        </w:rPr>
        <w:t>s</w:t>
      </w:r>
      <w:r w:rsidRPr="5757C4F7">
        <w:rPr>
          <w:rFonts w:eastAsiaTheme="minorEastAsia"/>
          <w:noProof/>
        </w:rPr>
        <w:t xml:space="preserve">kills </w:t>
      </w:r>
      <w:r>
        <w:rPr>
          <w:rFonts w:eastAsiaTheme="minorEastAsia"/>
          <w:noProof/>
        </w:rPr>
        <w:t>a</w:t>
      </w:r>
      <w:r w:rsidRPr="5757C4F7">
        <w:rPr>
          <w:rFonts w:eastAsiaTheme="minorEastAsia"/>
          <w:noProof/>
        </w:rPr>
        <w:t>genda.</w:t>
      </w:r>
    </w:p>
    <w:p w14:paraId="458E9402" w14:textId="77777777" w:rsidR="00EB0337" w:rsidRPr="00040D99" w:rsidRDefault="00EB0337" w:rsidP="00EB0337">
      <w:pPr>
        <w:pStyle w:val="ppoHeading6"/>
        <w:jc w:val="both"/>
        <w:rPr>
          <w:noProof/>
        </w:rPr>
      </w:pPr>
      <w:r w:rsidRPr="00040D99">
        <w:rPr>
          <w:noProof/>
        </w:rPr>
        <w:t>Challenge</w:t>
      </w:r>
    </w:p>
    <w:p w14:paraId="09D0DE81" w14:textId="77777777" w:rsidR="00EB0337" w:rsidRDefault="00EB0337" w:rsidP="00EB0337">
      <w:pPr>
        <w:rPr>
          <w:noProof/>
        </w:rPr>
      </w:pPr>
      <w:r>
        <w:rPr>
          <w:noProof/>
        </w:rPr>
        <w:t xml:space="preserve">Cultivating an understanding </w:t>
      </w:r>
      <w:r w:rsidRPr="00EF5B13">
        <w:rPr>
          <w:noProof/>
        </w:rPr>
        <w:t xml:space="preserve">of </w:t>
      </w:r>
      <w:r w:rsidRPr="00E9375E">
        <w:rPr>
          <w:noProof/>
        </w:rPr>
        <w:t>and appreciation</w:t>
      </w:r>
      <w:r>
        <w:rPr>
          <w:noProof/>
        </w:rPr>
        <w:t xml:space="preserve"> for the EU and European values requires encouraging Europeans (young people, school pupils, apprentices, students, adults and sportspeople, along with their teachers and educators) to study and train abroad. This will equip them with the necessary set of knowledge, skills and competences, from a lifelong learning perspective, to make them resilient, support high employment rates and foster social cohesion. Giving</w:t>
      </w:r>
      <w:r w:rsidRPr="00DE120A">
        <w:rPr>
          <w:noProof/>
        </w:rPr>
        <w:t xml:space="preserve"> </w:t>
      </w:r>
      <w:r>
        <w:rPr>
          <w:noProof/>
        </w:rPr>
        <w:t xml:space="preserve">people with </w:t>
      </w:r>
      <w:r w:rsidRPr="00DE120A">
        <w:rPr>
          <w:noProof/>
        </w:rPr>
        <w:t>otherwise</w:t>
      </w:r>
      <w:r>
        <w:rPr>
          <w:noProof/>
        </w:rPr>
        <w:t xml:space="preserve"> fewer opportunities access to such experiences in all fields of education, training, youth and sport is especially important.</w:t>
      </w:r>
    </w:p>
    <w:p w14:paraId="2CF4C32C" w14:textId="77777777" w:rsidR="00EB0337" w:rsidRDefault="00EB0337" w:rsidP="00EB0337">
      <w:pPr>
        <w:rPr>
          <w:noProof/>
        </w:rPr>
      </w:pPr>
      <w:r>
        <w:rPr>
          <w:noProof/>
        </w:rPr>
        <w:t>The added value of tackling this challenge at the EU level stems from the fact that national programmes cannot offer comparable scale, scope and/or coverage in terms of sectors and countries. Indeed, the mid-term evaluation of the 2014-2020 Erasmus+ programme found that, in the absence of this EU programme, mobility of learners and staff, and European cooperation in the sectors covered by the programme, would be substantially reduced.</w:t>
      </w:r>
    </w:p>
    <w:p w14:paraId="44F02D53" w14:textId="77777777" w:rsidR="00EB0337" w:rsidRPr="00040D99" w:rsidRDefault="00EB0337" w:rsidP="00EB0337">
      <w:pPr>
        <w:pStyle w:val="ppoHeading6"/>
        <w:rPr>
          <w:noProof/>
        </w:rPr>
      </w:pPr>
      <w:r>
        <w:rPr>
          <w:noProof/>
        </w:rPr>
        <w:t>Mission</w:t>
      </w:r>
    </w:p>
    <w:p w14:paraId="4D07A7C9" w14:textId="77777777" w:rsidR="00EB0337" w:rsidRDefault="00EB0337" w:rsidP="00EB0337">
      <w:pPr>
        <w:rPr>
          <w:noProof/>
        </w:rPr>
      </w:pPr>
      <w:r>
        <w:rPr>
          <w:noProof/>
        </w:rPr>
        <w:t>The general objective of Erasmus+ is to support, through lifelong learning, the educational, professional and personal development of people in education, training, youth and sport, in Europe and beyond, thereby contributing to sustainable growth, quality jobs and social cohesion, driving innovation and strengthening European identity and active citizenship.</w:t>
      </w:r>
    </w:p>
    <w:p w14:paraId="39BCB3AB" w14:textId="77777777" w:rsidR="00EB0337" w:rsidRPr="00040D99" w:rsidRDefault="00EB0337" w:rsidP="00EB0337">
      <w:pPr>
        <w:pStyle w:val="ppoHeading6"/>
        <w:rPr>
          <w:noProof/>
        </w:rPr>
      </w:pPr>
      <w:r w:rsidRPr="00040D99">
        <w:rPr>
          <w:noProof/>
        </w:rPr>
        <w:t>Objectives</w:t>
      </w:r>
    </w:p>
    <w:p w14:paraId="1745854F" w14:textId="77777777" w:rsidR="00EB0337" w:rsidRDefault="00EB0337" w:rsidP="00EB0337">
      <w:pPr>
        <w:rPr>
          <w:noProof/>
        </w:rPr>
      </w:pPr>
      <w:r>
        <w:rPr>
          <w:noProof/>
        </w:rPr>
        <w:t>Erasmus+ has the following specific objectives:</w:t>
      </w:r>
    </w:p>
    <w:p w14:paraId="6117E789" w14:textId="77777777" w:rsidR="00EB0337" w:rsidRDefault="00EB0337" w:rsidP="006F409B">
      <w:pPr>
        <w:pStyle w:val="ppoListArabic1aiii-L1"/>
        <w:numPr>
          <w:ilvl w:val="0"/>
          <w:numId w:val="123"/>
        </w:numPr>
        <w:jc w:val="both"/>
        <w:rPr>
          <w:noProof/>
        </w:rPr>
      </w:pPr>
      <w:r>
        <w:rPr>
          <w:noProof/>
        </w:rPr>
        <w:t>To offer learning mobility opportunities to individuals and groups, and foster cooperation, quality, inclusion and equity, excellence, creativity and innovation at the level of organisations and policies in the field of education and training;</w:t>
      </w:r>
    </w:p>
    <w:p w14:paraId="6D1A69AE" w14:textId="77777777" w:rsidR="00EB0337" w:rsidRDefault="00EB0337" w:rsidP="00EB0337">
      <w:pPr>
        <w:pStyle w:val="ppoListArabic1aiii-L1"/>
        <w:numPr>
          <w:ilvl w:val="0"/>
          <w:numId w:val="40"/>
        </w:numPr>
        <w:jc w:val="both"/>
        <w:rPr>
          <w:noProof/>
        </w:rPr>
      </w:pPr>
      <w:r>
        <w:rPr>
          <w:noProof/>
        </w:rPr>
        <w:t>To offer non-formal and informal learning mobility opportunities involving active participation to young people, and foster cooperation, quality, inclusion, creativity and innovation at the level of organisations and policies in the field of youth;</w:t>
      </w:r>
    </w:p>
    <w:p w14:paraId="29551C2B" w14:textId="77777777" w:rsidR="00EB0337" w:rsidRDefault="00EB0337" w:rsidP="00EB0337">
      <w:pPr>
        <w:pStyle w:val="ppoListArabic1aiii-L1"/>
        <w:numPr>
          <w:ilvl w:val="0"/>
          <w:numId w:val="40"/>
        </w:numPr>
        <w:jc w:val="both"/>
        <w:rPr>
          <w:noProof/>
        </w:rPr>
      </w:pPr>
      <w:r>
        <w:rPr>
          <w:noProof/>
        </w:rPr>
        <w:t>To offer learning mobility opportunities to sport staff, and foster cooperation, quality, inclusion, creativity and innovation at the level of sport organisations and sport policies.</w:t>
      </w:r>
    </w:p>
    <w:p w14:paraId="41265D16" w14:textId="77777777" w:rsidR="00EB0337" w:rsidRPr="00040D99" w:rsidRDefault="00EB0337" w:rsidP="00EB0337">
      <w:pPr>
        <w:pStyle w:val="ppoHeading6"/>
        <w:jc w:val="both"/>
        <w:rPr>
          <w:noProof/>
        </w:rPr>
      </w:pPr>
      <w:r w:rsidRPr="00040D99">
        <w:rPr>
          <w:noProof/>
        </w:rPr>
        <w:t>Actions</w:t>
      </w:r>
    </w:p>
    <w:p w14:paraId="77CDE90F" w14:textId="77777777" w:rsidR="00EB0337" w:rsidRDefault="00EB0337" w:rsidP="00EB0337">
      <w:pPr>
        <w:rPr>
          <w:noProof/>
        </w:rPr>
      </w:pPr>
      <w:r>
        <w:rPr>
          <w:noProof/>
        </w:rPr>
        <w:t>The objectives of the programme shall be pursued through the following three key actions:</w:t>
      </w:r>
    </w:p>
    <w:p w14:paraId="3172DD03" w14:textId="77777777" w:rsidR="00EB0337" w:rsidRDefault="00EB0337" w:rsidP="00EB0337">
      <w:pPr>
        <w:pStyle w:val="ppoListArabic1aiii-L2"/>
        <w:numPr>
          <w:ilvl w:val="1"/>
          <w:numId w:val="40"/>
        </w:numPr>
        <w:jc w:val="both"/>
        <w:rPr>
          <w:noProof/>
        </w:rPr>
      </w:pPr>
      <w:r>
        <w:rPr>
          <w:noProof/>
        </w:rPr>
        <w:t>learning mobility (key action</w:t>
      </w:r>
      <w:r>
        <w:rPr>
          <w:rFonts w:ascii="Calibri" w:hAnsi="Calibri" w:cs="Calibri"/>
          <w:noProof/>
        </w:rPr>
        <w:t> </w:t>
      </w:r>
      <w:r>
        <w:rPr>
          <w:noProof/>
        </w:rPr>
        <w:t>1);</w:t>
      </w:r>
    </w:p>
    <w:p w14:paraId="1E95799C" w14:textId="77777777" w:rsidR="00EB0337" w:rsidRDefault="00EB0337" w:rsidP="00EB0337">
      <w:pPr>
        <w:pStyle w:val="ppoListArabic1aiii-L2"/>
        <w:numPr>
          <w:ilvl w:val="1"/>
          <w:numId w:val="40"/>
        </w:numPr>
        <w:jc w:val="both"/>
        <w:rPr>
          <w:noProof/>
        </w:rPr>
      </w:pPr>
      <w:r>
        <w:rPr>
          <w:noProof/>
        </w:rPr>
        <w:t>cooperation among organisations and institutions (key action</w:t>
      </w:r>
      <w:r>
        <w:rPr>
          <w:rFonts w:ascii="Calibri" w:hAnsi="Calibri" w:cs="Calibri"/>
          <w:noProof/>
        </w:rPr>
        <w:t> </w:t>
      </w:r>
      <w:r>
        <w:rPr>
          <w:noProof/>
        </w:rPr>
        <w:t>2);</w:t>
      </w:r>
    </w:p>
    <w:p w14:paraId="67670E04" w14:textId="77777777" w:rsidR="00EB0337" w:rsidRDefault="00EB0337" w:rsidP="00EB0337">
      <w:pPr>
        <w:pStyle w:val="ppoListArabic1aiii-L2"/>
        <w:numPr>
          <w:ilvl w:val="1"/>
          <w:numId w:val="40"/>
        </w:numPr>
        <w:rPr>
          <w:noProof/>
        </w:rPr>
      </w:pPr>
      <w:r>
        <w:rPr>
          <w:noProof/>
        </w:rPr>
        <w:t>support for policy development and cooperation (key action</w:t>
      </w:r>
      <w:r>
        <w:rPr>
          <w:rFonts w:ascii="Calibri" w:hAnsi="Calibri" w:cs="Calibri"/>
          <w:noProof/>
        </w:rPr>
        <w:t> </w:t>
      </w:r>
      <w:r>
        <w:rPr>
          <w:noProof/>
        </w:rPr>
        <w:t>3).</w:t>
      </w:r>
    </w:p>
    <w:p w14:paraId="7791A011" w14:textId="77777777" w:rsidR="00EB0337" w:rsidRDefault="00EB0337" w:rsidP="00EB0337">
      <w:pPr>
        <w:rPr>
          <w:noProof/>
        </w:rPr>
      </w:pPr>
      <w:r>
        <w:rPr>
          <w:noProof/>
        </w:rPr>
        <w:t>The objectives shall also be pursued through Jean Monnet actions, which support teaching, learning, research and debates on European integration matters, including on the EU’s future challenges and opportunities.</w:t>
      </w:r>
    </w:p>
    <w:p w14:paraId="28B6AC9B" w14:textId="77777777" w:rsidR="00EB0337" w:rsidRPr="00040D99" w:rsidRDefault="00EB0337" w:rsidP="00EB0337">
      <w:pPr>
        <w:pStyle w:val="ppoHeading6"/>
        <w:rPr>
          <w:noProof/>
        </w:rPr>
      </w:pPr>
      <w:r w:rsidRPr="00040D99">
        <w:rPr>
          <w:noProof/>
        </w:rPr>
        <w:t>Delivery mode</w:t>
      </w:r>
    </w:p>
    <w:p w14:paraId="030876AD" w14:textId="77777777" w:rsidR="00EB0337" w:rsidRDefault="00EB0337" w:rsidP="00EB0337">
      <w:pPr>
        <w:rPr>
          <w:noProof/>
        </w:rPr>
      </w:pPr>
      <w:r>
        <w:rPr>
          <w:noProof/>
        </w:rPr>
        <w:t>Erasmus+ is implemented directly by the European Commission under the leadership of the Directorate-General for Education, Youth, Sport and Culture, in cooperation with the Directorate-General for Employment, Social Affairs and Inclusion for parts of the programme concerning skills and qualifications policy, adult learning and vocational education and training, and with the Education, Audiovisual and Culture Executive Agency as concerns indirect centralised management. Most of the programme is implemented through indirect management via the Erasmus+ national agencies. The latter help to bring the programme closer to its target audience, to take into account the diversity of national education systems, and to better align European and national priorities. The Directorate-General for Education, Youth, Sport and Culture bears the overall responsibility for the supervision and coordination of the agencies in charge of implementing the programme.</w:t>
      </w:r>
    </w:p>
    <w:p w14:paraId="76BD7F72" w14:textId="77777777" w:rsidR="00EB0337" w:rsidRPr="00040D99" w:rsidRDefault="00EB0337" w:rsidP="00EB0337">
      <w:pPr>
        <w:pStyle w:val="ppoHeading6"/>
        <w:rPr>
          <w:noProof/>
        </w:rPr>
      </w:pPr>
      <w:r>
        <w:rPr>
          <w:noProof/>
        </w:rPr>
        <w:t>LINK WITH THE 2021-2027 multiannual financial framework</w:t>
      </w:r>
    </w:p>
    <w:p w14:paraId="5ECF25E3" w14:textId="77777777" w:rsidR="00EB0337" w:rsidRDefault="00EB0337" w:rsidP="00EB0337">
      <w:pPr>
        <w:rPr>
          <w:noProof/>
        </w:rPr>
      </w:pPr>
      <w:r>
        <w:rPr>
          <w:noProof/>
        </w:rPr>
        <w:t>Based on lessons learned from the current programme, Erasmus+ 2021-2027 aims to be more inclusive and accessible, more forward-looking, more digital, simpler and greener, and more international, while continuing to support lifelong learning and innovative education and training in Europe. It offers reinforced opportunities for transnational learning mobility and cooperation, including through the European universities initiative and the centres for vocational excellence, and offers new opportunities for school pupils, adult learners, young people and sport staff. The programme will give more attention to fields that are strategic to Europe’s knowledge creation and sustainable growth, by targeting mobility and cooperation projects in strategic forward-looking sectors (climate change, clean energy, digitisation, artificial intelligence, bioscience, etc.), thus contributing to the development of crucial skills, increasing Europe’s innovation capacity and tackling societal challenges.</w:t>
      </w:r>
    </w:p>
    <w:p w14:paraId="4BED4E68" w14:textId="77777777" w:rsidR="00EB0337" w:rsidRDefault="00EB0337" w:rsidP="00EB0337">
      <w:pPr>
        <w:pStyle w:val="ppoHeading6"/>
        <w:rPr>
          <w:noProof/>
        </w:rPr>
      </w:pPr>
      <w:r w:rsidRPr="00040D99">
        <w:rPr>
          <w:noProof/>
        </w:rPr>
        <w:t>Impact assessment</w:t>
      </w:r>
    </w:p>
    <w:p w14:paraId="69E5B68F" w14:textId="77777777" w:rsidR="00EB0337" w:rsidRDefault="00EB0337" w:rsidP="00EB0337">
      <w:pPr>
        <w:rPr>
          <w:noProof/>
        </w:rPr>
      </w:pPr>
      <w:r>
        <w:rPr>
          <w:noProof/>
        </w:rPr>
        <w:t>The impact assessment of the Erasmus+ programme was carried out in 2018.</w:t>
      </w:r>
    </w:p>
    <w:p w14:paraId="2C99706E" w14:textId="77777777" w:rsidR="00EB0337" w:rsidRDefault="00EB0337" w:rsidP="00EB0337">
      <w:pPr>
        <w:rPr>
          <w:noProof/>
        </w:rPr>
      </w:pPr>
      <w:r>
        <w:rPr>
          <w:noProof/>
        </w:rPr>
        <w:t xml:space="preserve">For further information, please consult: </w:t>
      </w:r>
      <w:hyperlink r:id="rId283" w:history="1">
        <w:r w:rsidRPr="00E475C5">
          <w:rPr>
            <w:rStyle w:val="Hyperlink"/>
            <w:noProof/>
          </w:rPr>
          <w:t>https://europa.eu/!xV33fD</w:t>
        </w:r>
      </w:hyperlink>
      <w:r>
        <w:rPr>
          <w:noProof/>
        </w:rPr>
        <w:t>.</w:t>
      </w:r>
    </w:p>
    <w:p w14:paraId="157AF5B1" w14:textId="77777777" w:rsidR="00EB0337" w:rsidRPr="00AD0B44" w:rsidRDefault="00EB0337" w:rsidP="00EB0337">
      <w:pPr>
        <w:rPr>
          <w:noProof/>
          <w:lang w:eastAsia="en-GB"/>
        </w:rPr>
      </w:pPr>
    </w:p>
    <w:p w14:paraId="293056F4" w14:textId="77777777" w:rsidR="00EB0337" w:rsidRPr="00040D99" w:rsidRDefault="00EB0337" w:rsidP="00EB0337">
      <w:pPr>
        <w:pStyle w:val="ppoHeading6"/>
        <w:jc w:val="both"/>
        <w:rPr>
          <w:noProof/>
        </w:rPr>
      </w:pPr>
      <w:r>
        <w:rPr>
          <w:noProof/>
        </w:rPr>
        <w:t>WEBSITE FOR more information</w:t>
      </w:r>
    </w:p>
    <w:p w14:paraId="3E848557" w14:textId="77777777" w:rsidR="00EB0337" w:rsidRDefault="00E01E9B" w:rsidP="00EB0337">
      <w:pPr>
        <w:rPr>
          <w:noProof/>
        </w:rPr>
      </w:pPr>
      <w:hyperlink r:id="rId284" w:history="1">
        <w:r w:rsidR="00EB0337" w:rsidRPr="00596B77">
          <w:rPr>
            <w:rStyle w:val="Hyperlink"/>
            <w:noProof/>
          </w:rPr>
          <w:t>https://europa.eu/!DR46Yh</w:t>
        </w:r>
      </w:hyperlink>
    </w:p>
    <w:p w14:paraId="7CFC2502" w14:textId="77777777" w:rsidR="00EB0337" w:rsidRPr="00A7747C" w:rsidRDefault="00EB0337" w:rsidP="00EB0337">
      <w:pPr>
        <w:pStyle w:val="ppoHeading5"/>
        <w:jc w:val="both"/>
        <w:rPr>
          <w:noProof/>
        </w:rPr>
      </w:pPr>
      <w:r w:rsidRPr="00A7747C">
        <w:rPr>
          <w:rFonts w:eastAsiaTheme="minorEastAsia"/>
          <w:noProof/>
        </w:rPr>
        <w:t xml:space="preserve">Legal </w:t>
      </w:r>
      <w:r>
        <w:rPr>
          <w:rFonts w:eastAsiaTheme="minorEastAsia"/>
          <w:noProof/>
        </w:rPr>
        <w:t>b</w:t>
      </w:r>
      <w:r w:rsidRPr="00A7747C">
        <w:rPr>
          <w:rFonts w:eastAsiaTheme="minorEastAsia"/>
          <w:noProof/>
        </w:rPr>
        <w:t>as</w:t>
      </w:r>
      <w:r>
        <w:rPr>
          <w:rFonts w:eastAsiaTheme="minorEastAsia"/>
          <w:noProof/>
        </w:rPr>
        <w:t>is</w:t>
      </w:r>
    </w:p>
    <w:p w14:paraId="7024A5B9" w14:textId="77777777" w:rsidR="00EB0337" w:rsidRDefault="00EB0337" w:rsidP="00EB0337">
      <w:pPr>
        <w:rPr>
          <w:noProof/>
        </w:rPr>
      </w:pPr>
      <w:r w:rsidRPr="00902DD0">
        <w:rPr>
          <w:noProof/>
        </w:rPr>
        <w:t xml:space="preserve">Regulation </w:t>
      </w:r>
      <w:r>
        <w:rPr>
          <w:noProof/>
        </w:rPr>
        <w:t>(EU) 2021/817</w:t>
      </w:r>
      <w:r w:rsidRPr="00A7747C">
        <w:rPr>
          <w:noProof/>
        </w:rPr>
        <w:t xml:space="preserve"> of the Europea</w:t>
      </w:r>
      <w:r>
        <w:rPr>
          <w:noProof/>
        </w:rPr>
        <w:t>n Parliament and of the Council.</w:t>
      </w:r>
    </w:p>
    <w:p w14:paraId="48F6AEE8" w14:textId="77777777" w:rsidR="00EB0337" w:rsidRPr="00040D99" w:rsidRDefault="00EB0337" w:rsidP="00EB0337">
      <w:pPr>
        <w:pStyle w:val="ppoHeading4Green"/>
        <w:rPr>
          <w:caps/>
          <w:noProof/>
        </w:rPr>
      </w:pPr>
      <w:r w:rsidRPr="00040D99">
        <w:rPr>
          <w:noProof/>
        </w:rPr>
        <w:t>Implementation and performance</w:t>
      </w:r>
    </w:p>
    <w:p w14:paraId="3AA0C822" w14:textId="77777777" w:rsidR="00EB0337" w:rsidRPr="00040D99" w:rsidRDefault="00EB0337" w:rsidP="00EB0337">
      <w:pPr>
        <w:pStyle w:val="ppoHeading5"/>
        <w:rPr>
          <w:noProof/>
        </w:rPr>
      </w:pPr>
      <w:r w:rsidRPr="00040D99">
        <w:rPr>
          <w:noProof/>
        </w:rPr>
        <w:t>Budget</w:t>
      </w:r>
    </w:p>
    <w:p w14:paraId="452A8FA0" w14:textId="77777777" w:rsidR="00EB0337" w:rsidRPr="00040D99" w:rsidRDefault="00EB0337" w:rsidP="00EB0337">
      <w:pPr>
        <w:pStyle w:val="ppoTableTabletitle"/>
        <w:rPr>
          <w:noProof/>
        </w:rPr>
      </w:pPr>
      <w:r w:rsidRPr="00807AC3">
        <w:rPr>
          <w:noProof/>
        </w:rPr>
        <w:t>Budget programming</w:t>
      </w:r>
      <w:r>
        <w:rPr>
          <w:noProof/>
        </w:rPr>
        <w:t xml:space="preserve"> (million</w:t>
      </w:r>
      <w:r w:rsidRPr="006652B9">
        <w:rPr>
          <w:noProof/>
        </w:rPr>
        <w:t xml:space="preserve"> </w:t>
      </w:r>
      <w:r>
        <w:rPr>
          <w:noProof/>
        </w:rPr>
        <w:t>EUR):</w:t>
      </w:r>
    </w:p>
    <w:tbl>
      <w:tblPr>
        <w:tblStyle w:val="PPO2021"/>
        <w:tblW w:w="9924" w:type="dxa"/>
        <w:tblInd w:w="108" w:type="dxa"/>
        <w:tblLayout w:type="fixed"/>
        <w:tblLook w:val="0420" w:firstRow="1" w:lastRow="0" w:firstColumn="0" w:lastColumn="0" w:noHBand="0" w:noVBand="1"/>
      </w:tblPr>
      <w:tblGrid>
        <w:gridCol w:w="2090"/>
        <w:gridCol w:w="943"/>
        <w:gridCol w:w="944"/>
        <w:gridCol w:w="943"/>
        <w:gridCol w:w="944"/>
        <w:gridCol w:w="944"/>
        <w:gridCol w:w="943"/>
        <w:gridCol w:w="944"/>
        <w:gridCol w:w="1229"/>
      </w:tblGrid>
      <w:tr w:rsidR="00EB0337" w:rsidRPr="00040D99" w14:paraId="28490625" w14:textId="77777777" w:rsidTr="00B202C2">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0CD4CDB6" w14:textId="77777777" w:rsidR="00EB0337" w:rsidRPr="00807AC3" w:rsidRDefault="00EB0337" w:rsidP="00B202C2">
            <w:pPr>
              <w:rPr>
                <w:noProof/>
              </w:rPr>
            </w:pPr>
          </w:p>
        </w:tc>
        <w:tc>
          <w:tcPr>
            <w:tcW w:w="943" w:type="dxa"/>
            <w:noWrap/>
            <w:hideMark/>
          </w:tcPr>
          <w:p w14:paraId="5AE477C3" w14:textId="77777777" w:rsidR="00EB0337" w:rsidRPr="00807AC3" w:rsidRDefault="00EB0337" w:rsidP="00B202C2">
            <w:pPr>
              <w:rPr>
                <w:noProof/>
              </w:rPr>
            </w:pPr>
            <w:r w:rsidRPr="00807AC3">
              <w:rPr>
                <w:noProof/>
              </w:rPr>
              <w:t>2021</w:t>
            </w:r>
          </w:p>
        </w:tc>
        <w:tc>
          <w:tcPr>
            <w:tcW w:w="944" w:type="dxa"/>
            <w:noWrap/>
            <w:hideMark/>
          </w:tcPr>
          <w:p w14:paraId="09D359F9" w14:textId="77777777" w:rsidR="00EB0337" w:rsidRPr="00807AC3" w:rsidRDefault="00EB0337" w:rsidP="00B202C2">
            <w:pPr>
              <w:rPr>
                <w:noProof/>
              </w:rPr>
            </w:pPr>
            <w:r w:rsidRPr="00807AC3">
              <w:rPr>
                <w:noProof/>
              </w:rPr>
              <w:t>2022</w:t>
            </w:r>
          </w:p>
        </w:tc>
        <w:tc>
          <w:tcPr>
            <w:tcW w:w="943" w:type="dxa"/>
            <w:noWrap/>
            <w:hideMark/>
          </w:tcPr>
          <w:p w14:paraId="0C2F48AD" w14:textId="77777777" w:rsidR="00EB0337" w:rsidRPr="00807AC3" w:rsidRDefault="00EB0337" w:rsidP="00B202C2">
            <w:pPr>
              <w:rPr>
                <w:noProof/>
              </w:rPr>
            </w:pPr>
            <w:r w:rsidRPr="00807AC3">
              <w:rPr>
                <w:noProof/>
              </w:rPr>
              <w:t>2023</w:t>
            </w:r>
          </w:p>
        </w:tc>
        <w:tc>
          <w:tcPr>
            <w:tcW w:w="944" w:type="dxa"/>
            <w:noWrap/>
            <w:hideMark/>
          </w:tcPr>
          <w:p w14:paraId="0D03D690" w14:textId="77777777" w:rsidR="00EB0337" w:rsidRPr="00807AC3" w:rsidRDefault="00EB0337" w:rsidP="00B202C2">
            <w:pPr>
              <w:rPr>
                <w:noProof/>
              </w:rPr>
            </w:pPr>
            <w:r w:rsidRPr="00807AC3">
              <w:rPr>
                <w:noProof/>
              </w:rPr>
              <w:t>2024</w:t>
            </w:r>
          </w:p>
        </w:tc>
        <w:tc>
          <w:tcPr>
            <w:tcW w:w="944" w:type="dxa"/>
            <w:noWrap/>
            <w:hideMark/>
          </w:tcPr>
          <w:p w14:paraId="674B1140" w14:textId="77777777" w:rsidR="00EB0337" w:rsidRPr="00807AC3" w:rsidRDefault="00EB0337" w:rsidP="00B202C2">
            <w:pPr>
              <w:rPr>
                <w:noProof/>
              </w:rPr>
            </w:pPr>
            <w:r w:rsidRPr="00807AC3">
              <w:rPr>
                <w:noProof/>
              </w:rPr>
              <w:t>2025</w:t>
            </w:r>
          </w:p>
        </w:tc>
        <w:tc>
          <w:tcPr>
            <w:tcW w:w="943" w:type="dxa"/>
            <w:noWrap/>
            <w:hideMark/>
          </w:tcPr>
          <w:p w14:paraId="45E1B445" w14:textId="77777777" w:rsidR="00EB0337" w:rsidRPr="00807AC3" w:rsidRDefault="00EB0337" w:rsidP="00B202C2">
            <w:pPr>
              <w:rPr>
                <w:noProof/>
              </w:rPr>
            </w:pPr>
            <w:r w:rsidRPr="00807AC3">
              <w:rPr>
                <w:noProof/>
              </w:rPr>
              <w:t>2026</w:t>
            </w:r>
          </w:p>
        </w:tc>
        <w:tc>
          <w:tcPr>
            <w:tcW w:w="944" w:type="dxa"/>
            <w:noWrap/>
            <w:hideMark/>
          </w:tcPr>
          <w:p w14:paraId="7ECD83BE" w14:textId="77777777" w:rsidR="00EB0337" w:rsidRPr="00807AC3" w:rsidRDefault="00EB0337" w:rsidP="00B202C2">
            <w:pPr>
              <w:rPr>
                <w:noProof/>
              </w:rPr>
            </w:pPr>
            <w:r w:rsidRPr="00807AC3">
              <w:rPr>
                <w:noProof/>
              </w:rPr>
              <w:t>2027</w:t>
            </w:r>
          </w:p>
        </w:tc>
        <w:tc>
          <w:tcPr>
            <w:tcW w:w="1229" w:type="dxa"/>
            <w:noWrap/>
            <w:hideMark/>
          </w:tcPr>
          <w:p w14:paraId="2D441792" w14:textId="77777777" w:rsidR="00EB0337" w:rsidRPr="00807AC3" w:rsidRDefault="00EB0337" w:rsidP="00B202C2">
            <w:pPr>
              <w:rPr>
                <w:noProof/>
              </w:rPr>
            </w:pPr>
            <w:r w:rsidRPr="00807AC3">
              <w:rPr>
                <w:noProof/>
              </w:rPr>
              <w:t>Total</w:t>
            </w:r>
          </w:p>
        </w:tc>
      </w:tr>
      <w:tr w:rsidR="00CF2823" w:rsidRPr="00040D99" w14:paraId="72272408" w14:textId="77777777" w:rsidTr="00304A2B">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147D8592" w14:textId="77777777" w:rsidR="00CF2823" w:rsidRPr="00807AC3" w:rsidRDefault="00CF2823" w:rsidP="00CF2823">
            <w:pPr>
              <w:rPr>
                <w:noProof/>
              </w:rPr>
            </w:pPr>
            <w:r w:rsidRPr="00807AC3">
              <w:rPr>
                <w:noProof/>
              </w:rPr>
              <w:t>Financial programming</w:t>
            </w:r>
          </w:p>
        </w:tc>
        <w:tc>
          <w:tcPr>
            <w:tcW w:w="943" w:type="dxa"/>
            <w:noWrap/>
            <w:vAlign w:val="bottom"/>
            <w:hideMark/>
          </w:tcPr>
          <w:p w14:paraId="2E79FA7F" w14:textId="15EBD1E0" w:rsidR="00CF2823" w:rsidRPr="00807AC3" w:rsidRDefault="00CF2823" w:rsidP="00CF2823">
            <w:pPr>
              <w:jc w:val="center"/>
              <w:rPr>
                <w:noProof/>
              </w:rPr>
            </w:pPr>
            <w:r>
              <w:rPr>
                <w:rFonts w:ascii="Calibri" w:hAnsi="Calibri" w:cs="Calibri"/>
                <w:noProof/>
                <w:color w:val="000000"/>
              </w:rPr>
              <w:t>2 663.0</w:t>
            </w:r>
          </w:p>
        </w:tc>
        <w:tc>
          <w:tcPr>
            <w:tcW w:w="944" w:type="dxa"/>
            <w:noWrap/>
            <w:vAlign w:val="bottom"/>
            <w:hideMark/>
          </w:tcPr>
          <w:p w14:paraId="188BA66B" w14:textId="29117E98" w:rsidR="00CF2823" w:rsidRPr="00807AC3" w:rsidRDefault="00CF2823" w:rsidP="00CF2823">
            <w:pPr>
              <w:jc w:val="center"/>
              <w:rPr>
                <w:noProof/>
              </w:rPr>
            </w:pPr>
            <w:r>
              <w:rPr>
                <w:rFonts w:ascii="Calibri" w:hAnsi="Calibri" w:cs="Calibri"/>
                <w:noProof/>
                <w:color w:val="000000"/>
              </w:rPr>
              <w:t>3 401.7</w:t>
            </w:r>
          </w:p>
        </w:tc>
        <w:tc>
          <w:tcPr>
            <w:tcW w:w="943" w:type="dxa"/>
            <w:noWrap/>
            <w:vAlign w:val="bottom"/>
            <w:hideMark/>
          </w:tcPr>
          <w:p w14:paraId="407C06E7" w14:textId="7E7FD648" w:rsidR="00CF2823" w:rsidRPr="00807AC3" w:rsidRDefault="00CF2823" w:rsidP="00CF2823">
            <w:pPr>
              <w:jc w:val="center"/>
              <w:rPr>
                <w:noProof/>
              </w:rPr>
            </w:pPr>
            <w:r>
              <w:rPr>
                <w:rFonts w:ascii="Calibri" w:hAnsi="Calibri" w:cs="Calibri"/>
                <w:noProof/>
                <w:color w:val="000000"/>
              </w:rPr>
              <w:t>3 560.5</w:t>
            </w:r>
          </w:p>
        </w:tc>
        <w:tc>
          <w:tcPr>
            <w:tcW w:w="944" w:type="dxa"/>
            <w:noWrap/>
            <w:vAlign w:val="bottom"/>
            <w:hideMark/>
          </w:tcPr>
          <w:p w14:paraId="71218FF3" w14:textId="094C8092" w:rsidR="00CF2823" w:rsidRPr="00807AC3" w:rsidRDefault="00CF2823" w:rsidP="00CF2823">
            <w:pPr>
              <w:jc w:val="center"/>
              <w:rPr>
                <w:noProof/>
              </w:rPr>
            </w:pPr>
            <w:r>
              <w:rPr>
                <w:rFonts w:ascii="Calibri" w:hAnsi="Calibri" w:cs="Calibri"/>
                <w:noProof/>
                <w:color w:val="000000"/>
              </w:rPr>
              <w:t>3 487.1</w:t>
            </w:r>
          </w:p>
        </w:tc>
        <w:tc>
          <w:tcPr>
            <w:tcW w:w="944" w:type="dxa"/>
            <w:noWrap/>
            <w:vAlign w:val="bottom"/>
            <w:hideMark/>
          </w:tcPr>
          <w:p w14:paraId="2F9C5AC9" w14:textId="56ED109E" w:rsidR="00CF2823" w:rsidRPr="00807AC3" w:rsidRDefault="00CF2823" w:rsidP="00CF2823">
            <w:pPr>
              <w:jc w:val="center"/>
              <w:rPr>
                <w:noProof/>
              </w:rPr>
            </w:pPr>
            <w:r>
              <w:rPr>
                <w:rFonts w:ascii="Calibri" w:hAnsi="Calibri" w:cs="Calibri"/>
                <w:noProof/>
                <w:color w:val="000000"/>
              </w:rPr>
              <w:t>3 676.0</w:t>
            </w:r>
          </w:p>
        </w:tc>
        <w:tc>
          <w:tcPr>
            <w:tcW w:w="943" w:type="dxa"/>
            <w:noWrap/>
            <w:vAlign w:val="bottom"/>
            <w:hideMark/>
          </w:tcPr>
          <w:p w14:paraId="1C538E17" w14:textId="5FA36459" w:rsidR="00CF2823" w:rsidRPr="00807AC3" w:rsidRDefault="00CF2823" w:rsidP="00CF2823">
            <w:pPr>
              <w:jc w:val="center"/>
              <w:rPr>
                <w:noProof/>
              </w:rPr>
            </w:pPr>
            <w:r>
              <w:rPr>
                <w:rFonts w:ascii="Calibri" w:hAnsi="Calibri" w:cs="Calibri"/>
                <w:noProof/>
                <w:color w:val="000000"/>
              </w:rPr>
              <w:t>3 868.6</w:t>
            </w:r>
          </w:p>
        </w:tc>
        <w:tc>
          <w:tcPr>
            <w:tcW w:w="944" w:type="dxa"/>
            <w:noWrap/>
            <w:vAlign w:val="bottom"/>
            <w:hideMark/>
          </w:tcPr>
          <w:p w14:paraId="4C7EBD41" w14:textId="1A4D9A34" w:rsidR="00CF2823" w:rsidRPr="00807AC3" w:rsidRDefault="00CF2823" w:rsidP="00CF2823">
            <w:pPr>
              <w:jc w:val="center"/>
              <w:rPr>
                <w:noProof/>
              </w:rPr>
            </w:pPr>
            <w:r>
              <w:rPr>
                <w:rFonts w:ascii="Calibri" w:hAnsi="Calibri" w:cs="Calibri"/>
                <w:noProof/>
                <w:color w:val="000000"/>
              </w:rPr>
              <w:t>4 518.4</w:t>
            </w:r>
          </w:p>
        </w:tc>
        <w:tc>
          <w:tcPr>
            <w:tcW w:w="1229" w:type="dxa"/>
            <w:noWrap/>
            <w:vAlign w:val="bottom"/>
            <w:hideMark/>
          </w:tcPr>
          <w:p w14:paraId="352F4998" w14:textId="2E2177A3" w:rsidR="00CF2823" w:rsidRPr="00807AC3" w:rsidRDefault="00CF2823" w:rsidP="00CF2823">
            <w:pPr>
              <w:jc w:val="center"/>
              <w:rPr>
                <w:noProof/>
              </w:rPr>
            </w:pPr>
            <w:r>
              <w:rPr>
                <w:rFonts w:ascii="Calibri" w:hAnsi="Calibri" w:cs="Calibri"/>
                <w:noProof/>
                <w:color w:val="000000"/>
              </w:rPr>
              <w:t>25 175.4</w:t>
            </w:r>
          </w:p>
        </w:tc>
      </w:tr>
      <w:tr w:rsidR="00EB0337" w:rsidRPr="00040D99" w14:paraId="2317D5AB" w14:textId="77777777" w:rsidTr="00B202C2">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629E429C" w14:textId="77777777" w:rsidR="00EB0337" w:rsidRPr="00807AC3" w:rsidRDefault="00EB0337" w:rsidP="00B202C2">
            <w:pPr>
              <w:rPr>
                <w:noProof/>
              </w:rPr>
            </w:pPr>
            <w:r w:rsidRPr="00807AC3">
              <w:rPr>
                <w:noProof/>
              </w:rPr>
              <w:t>NextGenerationEU</w:t>
            </w:r>
          </w:p>
        </w:tc>
        <w:tc>
          <w:tcPr>
            <w:tcW w:w="943" w:type="dxa"/>
            <w:noWrap/>
            <w:hideMark/>
          </w:tcPr>
          <w:p w14:paraId="6C6E56AD" w14:textId="77777777" w:rsidR="00EB0337" w:rsidRPr="00807AC3" w:rsidRDefault="00EB0337" w:rsidP="00B202C2">
            <w:pPr>
              <w:jc w:val="center"/>
              <w:rPr>
                <w:noProof/>
              </w:rPr>
            </w:pPr>
          </w:p>
        </w:tc>
        <w:tc>
          <w:tcPr>
            <w:tcW w:w="944" w:type="dxa"/>
            <w:noWrap/>
            <w:hideMark/>
          </w:tcPr>
          <w:p w14:paraId="60001C4A" w14:textId="77777777" w:rsidR="00EB0337" w:rsidRPr="00807AC3" w:rsidRDefault="00EB0337" w:rsidP="00B202C2">
            <w:pPr>
              <w:jc w:val="center"/>
              <w:rPr>
                <w:noProof/>
              </w:rPr>
            </w:pPr>
          </w:p>
        </w:tc>
        <w:tc>
          <w:tcPr>
            <w:tcW w:w="943" w:type="dxa"/>
            <w:noWrap/>
            <w:hideMark/>
          </w:tcPr>
          <w:p w14:paraId="7F4A1D05" w14:textId="77777777" w:rsidR="00EB0337" w:rsidRPr="00807AC3" w:rsidRDefault="00EB0337" w:rsidP="00B202C2">
            <w:pPr>
              <w:jc w:val="center"/>
              <w:rPr>
                <w:noProof/>
              </w:rPr>
            </w:pPr>
          </w:p>
        </w:tc>
        <w:tc>
          <w:tcPr>
            <w:tcW w:w="944" w:type="dxa"/>
            <w:noWrap/>
            <w:hideMark/>
          </w:tcPr>
          <w:p w14:paraId="5948365C" w14:textId="77777777" w:rsidR="00EB0337" w:rsidRPr="00807AC3" w:rsidRDefault="00EB0337" w:rsidP="00B202C2">
            <w:pPr>
              <w:jc w:val="center"/>
              <w:rPr>
                <w:noProof/>
              </w:rPr>
            </w:pPr>
          </w:p>
        </w:tc>
        <w:tc>
          <w:tcPr>
            <w:tcW w:w="944" w:type="dxa"/>
            <w:noWrap/>
            <w:hideMark/>
          </w:tcPr>
          <w:p w14:paraId="425A56D7" w14:textId="77777777" w:rsidR="00EB0337" w:rsidRPr="00807AC3" w:rsidRDefault="00EB0337" w:rsidP="00B202C2">
            <w:pPr>
              <w:jc w:val="center"/>
              <w:rPr>
                <w:noProof/>
              </w:rPr>
            </w:pPr>
          </w:p>
        </w:tc>
        <w:tc>
          <w:tcPr>
            <w:tcW w:w="943" w:type="dxa"/>
            <w:noWrap/>
            <w:hideMark/>
          </w:tcPr>
          <w:p w14:paraId="1EC253C5" w14:textId="77777777" w:rsidR="00EB0337" w:rsidRPr="00807AC3" w:rsidRDefault="00EB0337" w:rsidP="00B202C2">
            <w:pPr>
              <w:jc w:val="center"/>
              <w:rPr>
                <w:noProof/>
              </w:rPr>
            </w:pPr>
          </w:p>
        </w:tc>
        <w:tc>
          <w:tcPr>
            <w:tcW w:w="944" w:type="dxa"/>
            <w:noWrap/>
            <w:hideMark/>
          </w:tcPr>
          <w:p w14:paraId="201461FE" w14:textId="77777777" w:rsidR="00EB0337" w:rsidRPr="00807AC3" w:rsidRDefault="00EB0337" w:rsidP="00B202C2">
            <w:pPr>
              <w:jc w:val="center"/>
              <w:rPr>
                <w:noProof/>
              </w:rPr>
            </w:pPr>
          </w:p>
        </w:tc>
        <w:tc>
          <w:tcPr>
            <w:tcW w:w="1229" w:type="dxa"/>
            <w:noWrap/>
            <w:hideMark/>
          </w:tcPr>
          <w:p w14:paraId="4900144E" w14:textId="77777777" w:rsidR="00EB0337" w:rsidRPr="00807AC3" w:rsidRDefault="00EB0337" w:rsidP="00B202C2">
            <w:pPr>
              <w:jc w:val="center"/>
              <w:rPr>
                <w:noProof/>
              </w:rPr>
            </w:pPr>
          </w:p>
        </w:tc>
      </w:tr>
      <w:tr w:rsidR="00EB0337" w:rsidRPr="00040D99" w14:paraId="768F03B4" w14:textId="77777777" w:rsidTr="00B202C2">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646CD916" w14:textId="77777777" w:rsidR="00EB0337" w:rsidRPr="00807AC3" w:rsidRDefault="00EB0337" w:rsidP="00B202C2">
            <w:pPr>
              <w:rPr>
                <w:noProof/>
              </w:rPr>
            </w:pPr>
            <w:r w:rsidRPr="00807AC3">
              <w:rPr>
                <w:noProof/>
              </w:rPr>
              <w:t>Decommitments made available again</w:t>
            </w:r>
            <w:r>
              <w:rPr>
                <w:rFonts w:ascii="Calibri" w:hAnsi="Calibri" w:cs="Calibri"/>
                <w:noProof/>
              </w:rPr>
              <w:t> </w:t>
            </w:r>
            <w:r>
              <w:rPr>
                <w:noProof/>
              </w:rPr>
              <w:t>(</w:t>
            </w:r>
            <w:r w:rsidRPr="00807AC3">
              <w:rPr>
                <w:noProof/>
              </w:rPr>
              <w:t>*</w:t>
            </w:r>
            <w:r>
              <w:rPr>
                <w:noProof/>
              </w:rPr>
              <w:t>)</w:t>
            </w:r>
          </w:p>
        </w:tc>
        <w:tc>
          <w:tcPr>
            <w:tcW w:w="943" w:type="dxa"/>
            <w:noWrap/>
            <w:hideMark/>
          </w:tcPr>
          <w:p w14:paraId="3ED10446" w14:textId="77777777" w:rsidR="00EB0337" w:rsidRPr="00807AC3" w:rsidRDefault="00EB0337" w:rsidP="00B202C2">
            <w:pPr>
              <w:jc w:val="center"/>
              <w:rPr>
                <w:noProof/>
              </w:rPr>
            </w:pPr>
            <w:r>
              <w:rPr>
                <w:noProof/>
              </w:rPr>
              <w:t>N/A</w:t>
            </w:r>
          </w:p>
        </w:tc>
        <w:tc>
          <w:tcPr>
            <w:tcW w:w="944" w:type="dxa"/>
            <w:noWrap/>
            <w:hideMark/>
          </w:tcPr>
          <w:p w14:paraId="739DBEC1" w14:textId="77777777" w:rsidR="00EB0337" w:rsidRPr="00807AC3" w:rsidRDefault="00EB0337" w:rsidP="00B202C2">
            <w:pPr>
              <w:jc w:val="center"/>
              <w:rPr>
                <w:noProof/>
              </w:rPr>
            </w:pPr>
          </w:p>
        </w:tc>
        <w:tc>
          <w:tcPr>
            <w:tcW w:w="943" w:type="dxa"/>
            <w:noWrap/>
            <w:hideMark/>
          </w:tcPr>
          <w:p w14:paraId="05ABDD57" w14:textId="77777777" w:rsidR="00EB0337" w:rsidRPr="00807AC3" w:rsidRDefault="00EB0337" w:rsidP="00B202C2">
            <w:pPr>
              <w:jc w:val="center"/>
              <w:rPr>
                <w:noProof/>
              </w:rPr>
            </w:pPr>
          </w:p>
        </w:tc>
        <w:tc>
          <w:tcPr>
            <w:tcW w:w="944" w:type="dxa"/>
            <w:noWrap/>
            <w:hideMark/>
          </w:tcPr>
          <w:p w14:paraId="2D570363" w14:textId="77777777" w:rsidR="00EB0337" w:rsidRPr="00807AC3" w:rsidRDefault="00EB0337" w:rsidP="00B202C2">
            <w:pPr>
              <w:jc w:val="center"/>
              <w:rPr>
                <w:noProof/>
              </w:rPr>
            </w:pPr>
          </w:p>
        </w:tc>
        <w:tc>
          <w:tcPr>
            <w:tcW w:w="944" w:type="dxa"/>
            <w:noWrap/>
            <w:hideMark/>
          </w:tcPr>
          <w:p w14:paraId="7E29A9F4" w14:textId="77777777" w:rsidR="00EB0337" w:rsidRPr="00807AC3" w:rsidRDefault="00EB0337" w:rsidP="00B202C2">
            <w:pPr>
              <w:jc w:val="center"/>
              <w:rPr>
                <w:noProof/>
              </w:rPr>
            </w:pPr>
          </w:p>
        </w:tc>
        <w:tc>
          <w:tcPr>
            <w:tcW w:w="943" w:type="dxa"/>
            <w:noWrap/>
            <w:hideMark/>
          </w:tcPr>
          <w:p w14:paraId="1F69F04D" w14:textId="77777777" w:rsidR="00EB0337" w:rsidRPr="00807AC3" w:rsidRDefault="00EB0337" w:rsidP="00B202C2">
            <w:pPr>
              <w:jc w:val="center"/>
              <w:rPr>
                <w:noProof/>
              </w:rPr>
            </w:pPr>
          </w:p>
        </w:tc>
        <w:tc>
          <w:tcPr>
            <w:tcW w:w="944" w:type="dxa"/>
            <w:noWrap/>
            <w:hideMark/>
          </w:tcPr>
          <w:p w14:paraId="3E347AC9" w14:textId="77777777" w:rsidR="00EB0337" w:rsidRPr="00807AC3" w:rsidRDefault="00EB0337" w:rsidP="00B202C2">
            <w:pPr>
              <w:jc w:val="center"/>
              <w:rPr>
                <w:noProof/>
              </w:rPr>
            </w:pPr>
          </w:p>
        </w:tc>
        <w:tc>
          <w:tcPr>
            <w:tcW w:w="1229" w:type="dxa"/>
            <w:noWrap/>
            <w:hideMark/>
          </w:tcPr>
          <w:p w14:paraId="7E574F6D" w14:textId="77777777" w:rsidR="00EB0337" w:rsidRPr="00807AC3" w:rsidRDefault="00EB0337" w:rsidP="00B202C2">
            <w:pPr>
              <w:jc w:val="center"/>
              <w:rPr>
                <w:noProof/>
              </w:rPr>
            </w:pPr>
            <w:r>
              <w:rPr>
                <w:noProof/>
              </w:rPr>
              <w:t>N/A</w:t>
            </w:r>
          </w:p>
        </w:tc>
      </w:tr>
      <w:tr w:rsidR="00EB0337" w:rsidRPr="00040D99" w14:paraId="75BD01A0" w14:textId="77777777" w:rsidTr="00B202C2">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678DFB03" w14:textId="77777777" w:rsidR="00EB0337" w:rsidRPr="00807AC3" w:rsidRDefault="00EB0337" w:rsidP="00B202C2">
            <w:pPr>
              <w:rPr>
                <w:noProof/>
              </w:rPr>
            </w:pPr>
            <w:r w:rsidRPr="00807AC3">
              <w:rPr>
                <w:noProof/>
              </w:rPr>
              <w:t>Contributions from other countries and entities</w:t>
            </w:r>
          </w:p>
        </w:tc>
        <w:tc>
          <w:tcPr>
            <w:tcW w:w="943" w:type="dxa"/>
            <w:noWrap/>
            <w:hideMark/>
          </w:tcPr>
          <w:p w14:paraId="4CE38E36" w14:textId="77777777" w:rsidR="00EB0337" w:rsidRPr="00807AC3" w:rsidRDefault="00EB0337" w:rsidP="00B202C2">
            <w:pPr>
              <w:jc w:val="center"/>
              <w:rPr>
                <w:noProof/>
              </w:rPr>
            </w:pPr>
            <w:r>
              <w:rPr>
                <w:noProof/>
              </w:rPr>
              <w:t>256.0</w:t>
            </w:r>
          </w:p>
        </w:tc>
        <w:tc>
          <w:tcPr>
            <w:tcW w:w="944" w:type="dxa"/>
            <w:noWrap/>
            <w:hideMark/>
          </w:tcPr>
          <w:p w14:paraId="50D38B94" w14:textId="77777777" w:rsidR="00EB0337" w:rsidRPr="00807AC3" w:rsidRDefault="00EB0337" w:rsidP="00B202C2">
            <w:pPr>
              <w:jc w:val="center"/>
              <w:rPr>
                <w:noProof/>
              </w:rPr>
            </w:pPr>
            <w:r>
              <w:rPr>
                <w:noProof/>
              </w:rPr>
              <w:t>p.m.</w:t>
            </w:r>
          </w:p>
        </w:tc>
        <w:tc>
          <w:tcPr>
            <w:tcW w:w="943" w:type="dxa"/>
            <w:noWrap/>
            <w:hideMark/>
          </w:tcPr>
          <w:p w14:paraId="5E9E7E10" w14:textId="77777777" w:rsidR="00EB0337" w:rsidRPr="00807AC3" w:rsidRDefault="00EB0337" w:rsidP="00B202C2">
            <w:pPr>
              <w:jc w:val="center"/>
              <w:rPr>
                <w:noProof/>
              </w:rPr>
            </w:pPr>
            <w:r>
              <w:rPr>
                <w:noProof/>
              </w:rPr>
              <w:t>p.m.</w:t>
            </w:r>
          </w:p>
        </w:tc>
        <w:tc>
          <w:tcPr>
            <w:tcW w:w="944" w:type="dxa"/>
            <w:noWrap/>
            <w:hideMark/>
          </w:tcPr>
          <w:p w14:paraId="015708BA" w14:textId="77777777" w:rsidR="00EB0337" w:rsidRPr="00807AC3" w:rsidRDefault="00EB0337" w:rsidP="00B202C2">
            <w:pPr>
              <w:jc w:val="center"/>
              <w:rPr>
                <w:noProof/>
              </w:rPr>
            </w:pPr>
            <w:r>
              <w:rPr>
                <w:noProof/>
              </w:rPr>
              <w:t>p.m.</w:t>
            </w:r>
          </w:p>
        </w:tc>
        <w:tc>
          <w:tcPr>
            <w:tcW w:w="944" w:type="dxa"/>
            <w:noWrap/>
            <w:hideMark/>
          </w:tcPr>
          <w:p w14:paraId="02F6840B" w14:textId="77777777" w:rsidR="00EB0337" w:rsidRPr="00807AC3" w:rsidRDefault="00EB0337" w:rsidP="00B202C2">
            <w:pPr>
              <w:jc w:val="center"/>
              <w:rPr>
                <w:noProof/>
              </w:rPr>
            </w:pPr>
            <w:r>
              <w:rPr>
                <w:noProof/>
              </w:rPr>
              <w:t>p.m.</w:t>
            </w:r>
          </w:p>
        </w:tc>
        <w:tc>
          <w:tcPr>
            <w:tcW w:w="943" w:type="dxa"/>
            <w:noWrap/>
            <w:hideMark/>
          </w:tcPr>
          <w:p w14:paraId="46343D83" w14:textId="77777777" w:rsidR="00EB0337" w:rsidRPr="00807AC3" w:rsidRDefault="00EB0337" w:rsidP="00B202C2">
            <w:pPr>
              <w:jc w:val="center"/>
              <w:rPr>
                <w:noProof/>
              </w:rPr>
            </w:pPr>
            <w:r>
              <w:rPr>
                <w:noProof/>
              </w:rPr>
              <w:t>p.m.</w:t>
            </w:r>
          </w:p>
        </w:tc>
        <w:tc>
          <w:tcPr>
            <w:tcW w:w="944" w:type="dxa"/>
            <w:noWrap/>
            <w:hideMark/>
          </w:tcPr>
          <w:p w14:paraId="5D28B3AC" w14:textId="77777777" w:rsidR="00EB0337" w:rsidRPr="00807AC3" w:rsidRDefault="00EB0337" w:rsidP="00B202C2">
            <w:pPr>
              <w:jc w:val="center"/>
              <w:rPr>
                <w:noProof/>
              </w:rPr>
            </w:pPr>
            <w:r>
              <w:rPr>
                <w:noProof/>
              </w:rPr>
              <w:t>p.m.</w:t>
            </w:r>
          </w:p>
        </w:tc>
        <w:tc>
          <w:tcPr>
            <w:tcW w:w="1229" w:type="dxa"/>
            <w:noWrap/>
            <w:hideMark/>
          </w:tcPr>
          <w:p w14:paraId="7D81C059" w14:textId="77777777" w:rsidR="00EB0337" w:rsidRPr="00807AC3" w:rsidRDefault="00EB0337" w:rsidP="00B202C2">
            <w:pPr>
              <w:jc w:val="center"/>
              <w:rPr>
                <w:noProof/>
              </w:rPr>
            </w:pPr>
            <w:r>
              <w:rPr>
                <w:noProof/>
              </w:rPr>
              <w:t>256.0</w:t>
            </w:r>
          </w:p>
        </w:tc>
      </w:tr>
      <w:tr w:rsidR="00CF2823" w:rsidRPr="00040D99" w14:paraId="2504FD68" w14:textId="77777777" w:rsidTr="00304A2B">
        <w:trPr>
          <w:cnfStyle w:val="000000100000" w:firstRow="0" w:lastRow="0" w:firstColumn="0" w:lastColumn="0" w:oddVBand="0" w:evenVBand="0" w:oddHBand="1" w:evenHBand="0" w:firstRowFirstColumn="0" w:firstRowLastColumn="0" w:lastRowFirstColumn="0" w:lastRowLastColumn="0"/>
          <w:trHeight w:val="290"/>
        </w:trPr>
        <w:tc>
          <w:tcPr>
            <w:tcW w:w="2090" w:type="dxa"/>
            <w:noWrap/>
            <w:vAlign w:val="bottom"/>
          </w:tcPr>
          <w:p w14:paraId="6EF45B85" w14:textId="77777777" w:rsidR="00CF2823" w:rsidRPr="00807AC3" w:rsidRDefault="00CF2823" w:rsidP="00CF2823">
            <w:pPr>
              <w:rPr>
                <w:noProof/>
              </w:rPr>
            </w:pPr>
            <w:r>
              <w:rPr>
                <w:rFonts w:ascii="Calibri" w:hAnsi="Calibri" w:cs="Calibri"/>
                <w:b/>
                <w:bCs/>
                <w:noProof/>
                <w:color w:val="000000"/>
              </w:rPr>
              <w:t>Total</w:t>
            </w:r>
          </w:p>
        </w:tc>
        <w:tc>
          <w:tcPr>
            <w:tcW w:w="943" w:type="dxa"/>
            <w:noWrap/>
            <w:vAlign w:val="bottom"/>
          </w:tcPr>
          <w:p w14:paraId="2F67FC06" w14:textId="77777777" w:rsidR="00CF2823" w:rsidRDefault="00CF2823" w:rsidP="00CF2823">
            <w:pPr>
              <w:jc w:val="center"/>
              <w:rPr>
                <w:noProof/>
              </w:rPr>
            </w:pPr>
            <w:r>
              <w:rPr>
                <w:rFonts w:ascii="Calibri" w:hAnsi="Calibri" w:cs="Calibri"/>
                <w:b/>
                <w:bCs/>
                <w:noProof/>
                <w:color w:val="000000"/>
              </w:rPr>
              <w:t>2 919.0</w:t>
            </w:r>
          </w:p>
        </w:tc>
        <w:tc>
          <w:tcPr>
            <w:tcW w:w="944" w:type="dxa"/>
            <w:noWrap/>
            <w:vAlign w:val="bottom"/>
          </w:tcPr>
          <w:p w14:paraId="433C2BA6" w14:textId="77777777" w:rsidR="00CF2823" w:rsidRDefault="00CF2823" w:rsidP="00CF2823">
            <w:pPr>
              <w:jc w:val="center"/>
              <w:rPr>
                <w:noProof/>
              </w:rPr>
            </w:pPr>
            <w:r>
              <w:rPr>
                <w:rFonts w:ascii="Calibri" w:hAnsi="Calibri" w:cs="Calibri"/>
                <w:b/>
                <w:bCs/>
                <w:noProof/>
                <w:color w:val="000000"/>
              </w:rPr>
              <w:t>3 401.7</w:t>
            </w:r>
          </w:p>
        </w:tc>
        <w:tc>
          <w:tcPr>
            <w:tcW w:w="943" w:type="dxa"/>
            <w:noWrap/>
            <w:vAlign w:val="bottom"/>
          </w:tcPr>
          <w:p w14:paraId="7663655B" w14:textId="54F76B46" w:rsidR="00CF2823" w:rsidRDefault="00CF2823" w:rsidP="00CF2823">
            <w:pPr>
              <w:jc w:val="center"/>
              <w:rPr>
                <w:noProof/>
              </w:rPr>
            </w:pPr>
            <w:r>
              <w:rPr>
                <w:rFonts w:ascii="Calibri" w:hAnsi="Calibri" w:cs="Calibri"/>
                <w:b/>
                <w:bCs/>
                <w:noProof/>
                <w:color w:val="000000"/>
              </w:rPr>
              <w:t>3 560.5</w:t>
            </w:r>
          </w:p>
        </w:tc>
        <w:tc>
          <w:tcPr>
            <w:tcW w:w="944" w:type="dxa"/>
            <w:noWrap/>
            <w:vAlign w:val="bottom"/>
          </w:tcPr>
          <w:p w14:paraId="5E343D08" w14:textId="32DB4C13" w:rsidR="00CF2823" w:rsidRDefault="00CF2823" w:rsidP="00CF2823">
            <w:pPr>
              <w:jc w:val="center"/>
              <w:rPr>
                <w:noProof/>
              </w:rPr>
            </w:pPr>
            <w:r>
              <w:rPr>
                <w:rFonts w:ascii="Calibri" w:hAnsi="Calibri" w:cs="Calibri"/>
                <w:b/>
                <w:bCs/>
                <w:noProof/>
                <w:color w:val="000000"/>
              </w:rPr>
              <w:t>3 487.1</w:t>
            </w:r>
          </w:p>
        </w:tc>
        <w:tc>
          <w:tcPr>
            <w:tcW w:w="944" w:type="dxa"/>
            <w:noWrap/>
            <w:vAlign w:val="bottom"/>
          </w:tcPr>
          <w:p w14:paraId="1516482E" w14:textId="2202411B" w:rsidR="00CF2823" w:rsidRDefault="00CF2823" w:rsidP="00CF2823">
            <w:pPr>
              <w:jc w:val="center"/>
              <w:rPr>
                <w:noProof/>
              </w:rPr>
            </w:pPr>
            <w:r>
              <w:rPr>
                <w:rFonts w:ascii="Calibri" w:hAnsi="Calibri" w:cs="Calibri"/>
                <w:b/>
                <w:bCs/>
                <w:noProof/>
                <w:color w:val="000000"/>
              </w:rPr>
              <w:t>3 676.0</w:t>
            </w:r>
          </w:p>
        </w:tc>
        <w:tc>
          <w:tcPr>
            <w:tcW w:w="943" w:type="dxa"/>
            <w:noWrap/>
            <w:vAlign w:val="bottom"/>
          </w:tcPr>
          <w:p w14:paraId="12DBD23F" w14:textId="4B88783B" w:rsidR="00CF2823" w:rsidRDefault="00CF2823" w:rsidP="00CF2823">
            <w:pPr>
              <w:jc w:val="center"/>
              <w:rPr>
                <w:noProof/>
              </w:rPr>
            </w:pPr>
            <w:r>
              <w:rPr>
                <w:rFonts w:ascii="Calibri" w:hAnsi="Calibri" w:cs="Calibri"/>
                <w:b/>
                <w:bCs/>
                <w:noProof/>
                <w:color w:val="000000"/>
              </w:rPr>
              <w:t>3 868.6</w:t>
            </w:r>
          </w:p>
        </w:tc>
        <w:tc>
          <w:tcPr>
            <w:tcW w:w="944" w:type="dxa"/>
            <w:noWrap/>
            <w:vAlign w:val="bottom"/>
          </w:tcPr>
          <w:p w14:paraId="161D83F2" w14:textId="4D795DF4" w:rsidR="00CF2823" w:rsidRDefault="00CF2823" w:rsidP="00CF2823">
            <w:pPr>
              <w:jc w:val="center"/>
              <w:rPr>
                <w:noProof/>
              </w:rPr>
            </w:pPr>
            <w:r>
              <w:rPr>
                <w:rFonts w:ascii="Calibri" w:hAnsi="Calibri" w:cs="Calibri"/>
                <w:b/>
                <w:bCs/>
                <w:noProof/>
                <w:color w:val="000000"/>
              </w:rPr>
              <w:t>4 518.4</w:t>
            </w:r>
          </w:p>
        </w:tc>
        <w:tc>
          <w:tcPr>
            <w:tcW w:w="1229" w:type="dxa"/>
            <w:noWrap/>
            <w:vAlign w:val="bottom"/>
          </w:tcPr>
          <w:p w14:paraId="055B9237" w14:textId="44163068" w:rsidR="00CF2823" w:rsidRDefault="00CF2823" w:rsidP="00CF2823">
            <w:pPr>
              <w:jc w:val="center"/>
              <w:rPr>
                <w:noProof/>
              </w:rPr>
            </w:pPr>
            <w:r>
              <w:rPr>
                <w:rFonts w:ascii="Calibri" w:hAnsi="Calibri" w:cs="Calibri"/>
                <w:b/>
                <w:bCs/>
                <w:noProof/>
                <w:color w:val="000000"/>
              </w:rPr>
              <w:t>25 431.3</w:t>
            </w:r>
          </w:p>
        </w:tc>
      </w:tr>
    </w:tbl>
    <w:p w14:paraId="4B7A45D0" w14:textId="77777777" w:rsidR="00EB0337" w:rsidRPr="00EF5B13" w:rsidRDefault="00EB0337" w:rsidP="00EB0337">
      <w:pPr>
        <w:tabs>
          <w:tab w:val="left" w:pos="6793"/>
        </w:tabs>
        <w:rPr>
          <w:noProof/>
          <w:sz w:val="18"/>
          <w:szCs w:val="18"/>
          <w:lang w:val="en-IE"/>
        </w:rPr>
      </w:pPr>
      <w:r>
        <w:rPr>
          <w:noProof/>
          <w:sz w:val="18"/>
          <w:szCs w:val="18"/>
          <w:lang w:val="en-IE"/>
        </w:rPr>
        <w:t>(</w:t>
      </w:r>
      <w:r w:rsidRPr="00EF5B13">
        <w:rPr>
          <w:noProof/>
          <w:sz w:val="18"/>
          <w:szCs w:val="18"/>
          <w:lang w:val="en-IE"/>
        </w:rPr>
        <w:t>*</w:t>
      </w:r>
      <w:r>
        <w:rPr>
          <w:noProof/>
          <w:sz w:val="18"/>
          <w:szCs w:val="18"/>
          <w:lang w:val="en-IE"/>
        </w:rPr>
        <w:t>)</w:t>
      </w:r>
      <w:r w:rsidRPr="00EF5B13">
        <w:rPr>
          <w:noProof/>
          <w:sz w:val="18"/>
          <w:szCs w:val="18"/>
          <w:lang w:val="en-IE"/>
        </w:rPr>
        <w:t xml:space="preserve"> Only Article 15(3) of the </w:t>
      </w:r>
      <w:r>
        <w:rPr>
          <w:noProof/>
          <w:sz w:val="18"/>
          <w:szCs w:val="18"/>
          <w:lang w:val="en-IE"/>
        </w:rPr>
        <w:t>f</w:t>
      </w:r>
      <w:r w:rsidRPr="00EF5B13">
        <w:rPr>
          <w:noProof/>
          <w:sz w:val="18"/>
          <w:szCs w:val="18"/>
          <w:lang w:val="en-IE"/>
        </w:rPr>
        <w:t xml:space="preserve">inancial </w:t>
      </w:r>
      <w:r>
        <w:rPr>
          <w:noProof/>
          <w:sz w:val="18"/>
          <w:szCs w:val="18"/>
          <w:lang w:val="en-IE"/>
        </w:rPr>
        <w:t>r</w:t>
      </w:r>
      <w:r w:rsidRPr="00EF5B13">
        <w:rPr>
          <w:noProof/>
          <w:sz w:val="18"/>
          <w:szCs w:val="18"/>
          <w:lang w:val="en-IE"/>
        </w:rPr>
        <w:t>egulation</w:t>
      </w:r>
      <w:r>
        <w:rPr>
          <w:noProof/>
          <w:sz w:val="18"/>
          <w:szCs w:val="18"/>
          <w:lang w:val="en-IE"/>
        </w:rPr>
        <w:t>.</w:t>
      </w:r>
    </w:p>
    <w:p w14:paraId="2CD51DE5" w14:textId="77777777" w:rsidR="00EB0337" w:rsidRPr="00040D99" w:rsidRDefault="00EB0337" w:rsidP="00EB0337">
      <w:pPr>
        <w:rPr>
          <w:noProof/>
        </w:rPr>
      </w:pPr>
    </w:p>
    <w:p w14:paraId="06E8B229" w14:textId="224BECA9" w:rsidR="00EB0337" w:rsidRPr="00FC5764" w:rsidRDefault="00EB0337" w:rsidP="00304A2B">
      <w:pPr>
        <w:pStyle w:val="ppoTableTabletitle"/>
        <w:jc w:val="center"/>
        <w:rPr>
          <w:noProof/>
          <w:lang w:val="en-IE"/>
        </w:rPr>
      </w:pPr>
      <w:r w:rsidRPr="00304A2B">
        <w:rPr>
          <w:rFonts w:ascii="Calibri" w:eastAsia="Calibri" w:hAnsi="Calibri" w:cs="Calibri"/>
          <w:noProof/>
          <w:lang w:val="en-US"/>
        </w:rPr>
        <w:t>Financial programming</w:t>
      </w:r>
      <w:r w:rsidR="004C4764">
        <w:rPr>
          <w:rFonts w:ascii="Calibri" w:eastAsia="Calibri" w:hAnsi="Calibri" w:cs="Calibri"/>
          <w:noProof/>
          <w:lang w:val="en-US"/>
        </w:rPr>
        <w:t>:</w:t>
      </w:r>
      <w:r w:rsidRPr="00304A2B">
        <w:rPr>
          <w:rFonts w:ascii="Calibri" w:eastAsia="Calibri" w:hAnsi="Calibri" w:cs="Calibri"/>
          <w:noProof/>
          <w:lang w:val="en-US"/>
        </w:rPr>
        <w:t xml:space="preserve"> </w:t>
      </w:r>
      <w:r w:rsidRPr="47F96951">
        <w:rPr>
          <w:rStyle w:val="ppocharGreentext24pt"/>
          <w:noProof/>
        </w:rPr>
        <w:t>+ EUR</w:t>
      </w:r>
      <w:r w:rsidRPr="47F96951">
        <w:rPr>
          <w:rStyle w:val="ppocharGreentext24pt"/>
          <w:rFonts w:ascii="Calibri" w:hAnsi="Calibri" w:cs="Calibri"/>
          <w:noProof/>
        </w:rPr>
        <w:t> </w:t>
      </w:r>
      <w:r w:rsidR="00FF59F7" w:rsidRPr="00FF59F7">
        <w:rPr>
          <w:rStyle w:val="ppocharGreentext24pt"/>
          <w:noProof/>
        </w:rPr>
        <w:t>94.1</w:t>
      </w:r>
      <w:r w:rsidR="00FF59F7" w:rsidRPr="00FF59F7" w:rsidDel="00FF59F7">
        <w:rPr>
          <w:rStyle w:val="ppocharGreentext24pt"/>
          <w:noProof/>
        </w:rPr>
        <w:t xml:space="preserve"> </w:t>
      </w:r>
      <w:r w:rsidRPr="47F96951">
        <w:rPr>
          <w:rStyle w:val="ppocharGreentext24pt"/>
          <w:noProof/>
        </w:rPr>
        <w:t xml:space="preserve">million (+0%) </w:t>
      </w:r>
      <w:r w:rsidRPr="47F96951">
        <w:rPr>
          <w:noProof/>
          <w:lang w:val="en-IE"/>
        </w:rPr>
        <w:t>compared to the legal basis.*</w:t>
      </w:r>
    </w:p>
    <w:p w14:paraId="28078BD0" w14:textId="6772CDB9" w:rsidR="00EB0337" w:rsidRDefault="00EB0337" w:rsidP="00304A2B">
      <w:pPr>
        <w:rPr>
          <w:noProof/>
          <w:sz w:val="18"/>
          <w:szCs w:val="18"/>
          <w:lang w:val="en-IE"/>
        </w:rPr>
      </w:pPr>
      <w:r w:rsidRPr="00304A2B">
        <w:rPr>
          <w:noProof/>
          <w:sz w:val="18"/>
          <w:szCs w:val="18"/>
          <w:lang w:val="en-IE"/>
        </w:rPr>
        <w:t xml:space="preserve">* </w:t>
      </w:r>
      <w:r w:rsidR="00427FAC">
        <w:rPr>
          <w:noProof/>
          <w:sz w:val="18"/>
          <w:szCs w:val="18"/>
          <w:lang w:val="en-IE"/>
        </w:rPr>
        <w:t>Top-ups pursuant to Art. 5 MFF Regulation</w:t>
      </w:r>
      <w:r w:rsidRPr="00304A2B">
        <w:rPr>
          <w:noProof/>
          <w:sz w:val="18"/>
          <w:szCs w:val="18"/>
          <w:lang w:val="en-IE"/>
        </w:rPr>
        <w:t xml:space="preserve"> are excluded from financial programming in this comparison</w:t>
      </w:r>
      <w:r w:rsidRPr="47F96951">
        <w:rPr>
          <w:noProof/>
          <w:sz w:val="18"/>
          <w:szCs w:val="18"/>
          <w:lang w:val="en-IE"/>
        </w:rPr>
        <w:t>.</w:t>
      </w:r>
    </w:p>
    <w:p w14:paraId="448B77E3" w14:textId="77777777" w:rsidR="00EB0337" w:rsidRDefault="00EB0337" w:rsidP="00EB0337">
      <w:pPr>
        <w:rPr>
          <w:noProof/>
          <w:lang w:val="en-IE"/>
        </w:rPr>
      </w:pPr>
    </w:p>
    <w:p w14:paraId="35832AB0" w14:textId="77777777" w:rsidR="00EB0337" w:rsidRPr="00691FA6" w:rsidRDefault="00EB0337" w:rsidP="00EB0337">
      <w:pPr>
        <w:pStyle w:val="ppoTableTabletitle"/>
        <w:rPr>
          <w:noProof/>
        </w:rPr>
      </w:pPr>
      <w:r w:rsidRPr="00040D99">
        <w:rPr>
          <w:noProof/>
        </w:rPr>
        <w:t>Cumulative implementation rate at the end of 2021</w:t>
      </w:r>
      <w:r>
        <w:rPr>
          <w:noProof/>
        </w:rPr>
        <w:t xml:space="preserve"> (million</w:t>
      </w:r>
      <w:r w:rsidRPr="006652B9">
        <w:rPr>
          <w:noProof/>
        </w:rPr>
        <w:t xml:space="preserve"> </w:t>
      </w:r>
      <w:r>
        <w:rPr>
          <w:noProof/>
        </w:rPr>
        <w:t>EUR):</w:t>
      </w:r>
    </w:p>
    <w:tbl>
      <w:tblPr>
        <w:tblStyle w:val="PPO2021"/>
        <w:tblW w:w="9639" w:type="dxa"/>
        <w:tblInd w:w="108" w:type="dxa"/>
        <w:tblLook w:val="06A0" w:firstRow="1" w:lastRow="0" w:firstColumn="1" w:lastColumn="0" w:noHBand="1" w:noVBand="1"/>
      </w:tblPr>
      <w:tblGrid>
        <w:gridCol w:w="2409"/>
        <w:gridCol w:w="2410"/>
        <w:gridCol w:w="2410"/>
        <w:gridCol w:w="2410"/>
      </w:tblGrid>
      <w:tr w:rsidR="00EB0337" w:rsidRPr="00040D99" w14:paraId="4C004C82" w14:textId="77777777" w:rsidTr="00B202C2">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04097902" w14:textId="77777777" w:rsidR="00EB0337" w:rsidRPr="00807AC3" w:rsidRDefault="00EB0337" w:rsidP="00B202C2">
            <w:pPr>
              <w:rPr>
                <w:noProof/>
              </w:rPr>
            </w:pPr>
          </w:p>
        </w:tc>
        <w:tc>
          <w:tcPr>
            <w:tcW w:w="2410" w:type="dxa"/>
          </w:tcPr>
          <w:p w14:paraId="7A73F7BF" w14:textId="77777777" w:rsidR="00EB0337" w:rsidRPr="00807AC3" w:rsidRDefault="00EB0337" w:rsidP="00B202C2">
            <w:pPr>
              <w:cnfStyle w:val="100000000000" w:firstRow="1" w:lastRow="0" w:firstColumn="0" w:lastColumn="0" w:oddVBand="0" w:evenVBand="0" w:oddHBand="0" w:evenHBand="0" w:firstRowFirstColumn="0" w:firstRowLastColumn="0" w:lastRowFirstColumn="0" w:lastRowLastColumn="0"/>
              <w:rPr>
                <w:noProof/>
              </w:rPr>
            </w:pPr>
            <w:r w:rsidRPr="00807AC3">
              <w:rPr>
                <w:noProof/>
              </w:rPr>
              <w:t>Implementation</w:t>
            </w:r>
          </w:p>
        </w:tc>
        <w:tc>
          <w:tcPr>
            <w:tcW w:w="2410" w:type="dxa"/>
          </w:tcPr>
          <w:p w14:paraId="4DF4592A" w14:textId="480238AD" w:rsidR="00EB0337" w:rsidRPr="00807AC3" w:rsidRDefault="00A84801" w:rsidP="00B202C2">
            <w:pPr>
              <w:cnfStyle w:val="100000000000" w:firstRow="1" w:lastRow="0" w:firstColumn="0" w:lastColumn="0" w:oddVBand="0" w:evenVBand="0" w:oddHBand="0" w:evenHBand="0" w:firstRowFirstColumn="0" w:firstRowLastColumn="0" w:lastRowFirstColumn="0" w:lastRowLastColumn="0"/>
              <w:rPr>
                <w:noProof/>
              </w:rPr>
            </w:pPr>
            <w:r>
              <w:rPr>
                <w:noProof/>
              </w:rPr>
              <w:t xml:space="preserve">2021-2027 </w:t>
            </w:r>
            <w:r w:rsidR="00EB0337" w:rsidRPr="00807AC3">
              <w:rPr>
                <w:noProof/>
              </w:rPr>
              <w:t>Budget</w:t>
            </w:r>
          </w:p>
        </w:tc>
        <w:tc>
          <w:tcPr>
            <w:tcW w:w="2410" w:type="dxa"/>
          </w:tcPr>
          <w:p w14:paraId="320D86FC" w14:textId="77777777" w:rsidR="00EB0337" w:rsidRPr="00807AC3" w:rsidRDefault="00EB0337" w:rsidP="00B202C2">
            <w:pPr>
              <w:cnfStyle w:val="100000000000" w:firstRow="1" w:lastRow="0" w:firstColumn="0" w:lastColumn="0" w:oddVBand="0" w:evenVBand="0" w:oddHBand="0" w:evenHBand="0" w:firstRowFirstColumn="0" w:firstRowLastColumn="0" w:lastRowFirstColumn="0" w:lastRowLastColumn="0"/>
              <w:rPr>
                <w:noProof/>
              </w:rPr>
            </w:pPr>
            <w:r w:rsidRPr="00807AC3">
              <w:rPr>
                <w:noProof/>
              </w:rPr>
              <w:t>Implementation rate</w:t>
            </w:r>
          </w:p>
        </w:tc>
      </w:tr>
      <w:tr w:rsidR="00EB0337" w:rsidRPr="00040D99" w14:paraId="4A39656B"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428404B2" w14:textId="77777777" w:rsidR="00EB0337" w:rsidRPr="00807AC3" w:rsidRDefault="00EB0337" w:rsidP="00B202C2">
            <w:pPr>
              <w:jc w:val="center"/>
              <w:rPr>
                <w:noProof/>
              </w:rPr>
            </w:pPr>
            <w:r w:rsidRPr="00807AC3">
              <w:rPr>
                <w:noProof/>
              </w:rPr>
              <w:t>Commitment</w:t>
            </w:r>
            <w:r>
              <w:rPr>
                <w:noProof/>
              </w:rPr>
              <w:t>s</w:t>
            </w:r>
          </w:p>
        </w:tc>
        <w:tc>
          <w:tcPr>
            <w:tcW w:w="2410" w:type="dxa"/>
          </w:tcPr>
          <w:tbl>
            <w:tblPr>
              <w:tblStyle w:val="TableGrid"/>
              <w:tblW w:w="0" w:type="auto"/>
              <w:tblLook w:val="06A0" w:firstRow="1" w:lastRow="0" w:firstColumn="1" w:lastColumn="0" w:noHBand="1" w:noVBand="1"/>
            </w:tblPr>
            <w:tblGrid>
              <w:gridCol w:w="2194"/>
            </w:tblGrid>
            <w:tr w:rsidR="00EB0337" w14:paraId="0525BF94" w14:textId="77777777" w:rsidTr="00B202C2">
              <w:trPr>
                <w:trHeight w:val="285"/>
              </w:trPr>
              <w:tc>
                <w:tcPr>
                  <w:tcW w:w="2290" w:type="dxa"/>
                  <w:tcBorders>
                    <w:top w:val="nil"/>
                    <w:left w:val="nil"/>
                    <w:bottom w:val="nil"/>
                    <w:right w:val="nil"/>
                  </w:tcBorders>
                  <w:vAlign w:val="bottom"/>
                </w:tcPr>
                <w:p w14:paraId="5DB508F6" w14:textId="77777777" w:rsidR="00EB0337" w:rsidRDefault="00EB0337" w:rsidP="00B202C2">
                  <w:pPr>
                    <w:spacing w:before="100" w:after="100"/>
                    <w:jc w:val="center"/>
                    <w:rPr>
                      <w:noProof/>
                    </w:rPr>
                  </w:pPr>
                  <w:r w:rsidRPr="008F43FC">
                    <w:rPr>
                      <w:noProof/>
                    </w:rPr>
                    <w:t>2</w:t>
                  </w:r>
                  <w:r>
                    <w:rPr>
                      <w:rFonts w:ascii="Calibri" w:hAnsi="Calibri" w:cs="Calibri"/>
                      <w:noProof/>
                    </w:rPr>
                    <w:t> </w:t>
                  </w:r>
                  <w:r w:rsidRPr="008F43FC">
                    <w:rPr>
                      <w:noProof/>
                    </w:rPr>
                    <w:t>812.2</w:t>
                  </w:r>
                </w:p>
              </w:tc>
            </w:tr>
          </w:tbl>
          <w:p w14:paraId="14334E0F" w14:textId="77777777" w:rsidR="00EB0337" w:rsidRPr="00807AC3" w:rsidRDefault="00EB0337"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EB0337" w14:paraId="19C1173C" w14:textId="77777777" w:rsidTr="00B202C2">
              <w:trPr>
                <w:trHeight w:val="285"/>
              </w:trPr>
              <w:tc>
                <w:tcPr>
                  <w:tcW w:w="2290" w:type="dxa"/>
                  <w:tcBorders>
                    <w:top w:val="nil"/>
                    <w:left w:val="nil"/>
                    <w:bottom w:val="nil"/>
                    <w:right w:val="nil"/>
                  </w:tcBorders>
                  <w:vAlign w:val="bottom"/>
                </w:tcPr>
                <w:p w14:paraId="0F465F42" w14:textId="284DA6B9" w:rsidR="00EB0337" w:rsidRDefault="00EB0337" w:rsidP="00B202C2">
                  <w:pPr>
                    <w:spacing w:before="100" w:after="100"/>
                    <w:jc w:val="center"/>
                    <w:rPr>
                      <w:noProof/>
                    </w:rPr>
                  </w:pPr>
                  <w:r>
                    <w:rPr>
                      <w:noProof/>
                    </w:rPr>
                    <w:t>25 372.7</w:t>
                  </w:r>
                </w:p>
              </w:tc>
            </w:tr>
          </w:tbl>
          <w:p w14:paraId="1FA50B60" w14:textId="77777777" w:rsidR="00EB0337" w:rsidRPr="00807AC3" w:rsidRDefault="00EB0337"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EB0337" w14:paraId="6367E725" w14:textId="77777777" w:rsidTr="00B202C2">
              <w:trPr>
                <w:trHeight w:val="285"/>
              </w:trPr>
              <w:tc>
                <w:tcPr>
                  <w:tcW w:w="2290" w:type="dxa"/>
                  <w:tcBorders>
                    <w:top w:val="nil"/>
                    <w:left w:val="nil"/>
                    <w:bottom w:val="nil"/>
                    <w:right w:val="nil"/>
                  </w:tcBorders>
                  <w:vAlign w:val="bottom"/>
                </w:tcPr>
                <w:p w14:paraId="19B22CA8" w14:textId="77777777" w:rsidR="00EB0337" w:rsidRDefault="00EB0337" w:rsidP="00B202C2">
                  <w:pPr>
                    <w:spacing w:before="100" w:after="100"/>
                    <w:jc w:val="center"/>
                    <w:rPr>
                      <w:noProof/>
                    </w:rPr>
                  </w:pPr>
                  <w:r w:rsidRPr="008F43FC">
                    <w:rPr>
                      <w:noProof/>
                    </w:rPr>
                    <w:t>11%</w:t>
                  </w:r>
                </w:p>
              </w:tc>
            </w:tr>
          </w:tbl>
          <w:p w14:paraId="241B6689" w14:textId="77777777" w:rsidR="00EB0337" w:rsidRPr="00807AC3" w:rsidRDefault="00EB0337" w:rsidP="00B202C2">
            <w:pPr>
              <w:jc w:val="center"/>
              <w:cnfStyle w:val="000000000000" w:firstRow="0" w:lastRow="0" w:firstColumn="0" w:lastColumn="0" w:oddVBand="0" w:evenVBand="0" w:oddHBand="0" w:evenHBand="0" w:firstRowFirstColumn="0" w:firstRowLastColumn="0" w:lastRowFirstColumn="0" w:lastRowLastColumn="0"/>
              <w:rPr>
                <w:noProof/>
              </w:rPr>
            </w:pPr>
          </w:p>
        </w:tc>
      </w:tr>
      <w:tr w:rsidR="00EB0337" w:rsidRPr="00040D99" w14:paraId="365DD331"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16F496EF" w14:textId="77777777" w:rsidR="00EB0337" w:rsidRPr="00807AC3" w:rsidRDefault="00EB0337" w:rsidP="00B202C2">
            <w:pPr>
              <w:jc w:val="center"/>
              <w:rPr>
                <w:noProof/>
              </w:rPr>
            </w:pPr>
            <w:r w:rsidRPr="00807AC3">
              <w:rPr>
                <w:noProof/>
              </w:rPr>
              <w:t>Payments</w:t>
            </w:r>
          </w:p>
        </w:tc>
        <w:tc>
          <w:tcPr>
            <w:tcW w:w="2410" w:type="dxa"/>
          </w:tcPr>
          <w:tbl>
            <w:tblPr>
              <w:tblStyle w:val="TableGrid"/>
              <w:tblW w:w="0" w:type="auto"/>
              <w:tblLook w:val="06A0" w:firstRow="1" w:lastRow="0" w:firstColumn="1" w:lastColumn="0" w:noHBand="1" w:noVBand="1"/>
            </w:tblPr>
            <w:tblGrid>
              <w:gridCol w:w="2194"/>
            </w:tblGrid>
            <w:tr w:rsidR="00EB0337" w14:paraId="3587AE12" w14:textId="77777777" w:rsidTr="00B202C2">
              <w:trPr>
                <w:trHeight w:val="285"/>
              </w:trPr>
              <w:tc>
                <w:tcPr>
                  <w:tcW w:w="2290" w:type="dxa"/>
                  <w:tcBorders>
                    <w:top w:val="nil"/>
                    <w:left w:val="nil"/>
                    <w:bottom w:val="nil"/>
                    <w:right w:val="nil"/>
                  </w:tcBorders>
                  <w:vAlign w:val="bottom"/>
                </w:tcPr>
                <w:p w14:paraId="404F193A" w14:textId="77777777" w:rsidR="00EB0337" w:rsidRDefault="00EB0337" w:rsidP="00B202C2">
                  <w:pPr>
                    <w:spacing w:before="100" w:after="100"/>
                    <w:jc w:val="center"/>
                    <w:rPr>
                      <w:noProof/>
                    </w:rPr>
                  </w:pPr>
                  <w:r w:rsidRPr="008F43FC">
                    <w:rPr>
                      <w:noProof/>
                    </w:rPr>
                    <w:t>1</w:t>
                  </w:r>
                  <w:r>
                    <w:rPr>
                      <w:rFonts w:ascii="Calibri" w:hAnsi="Calibri" w:cs="Calibri"/>
                      <w:noProof/>
                    </w:rPr>
                    <w:t> </w:t>
                  </w:r>
                  <w:r w:rsidRPr="008F43FC">
                    <w:rPr>
                      <w:noProof/>
                    </w:rPr>
                    <w:t>842.2</w:t>
                  </w:r>
                </w:p>
              </w:tc>
            </w:tr>
          </w:tbl>
          <w:p w14:paraId="312DC6E0" w14:textId="77777777" w:rsidR="00EB0337" w:rsidRPr="00807AC3" w:rsidRDefault="00EB0337"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44334D27" w14:textId="77777777" w:rsidR="00EB0337" w:rsidRPr="00807AC3" w:rsidRDefault="00EB0337"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EB0337" w14:paraId="13C39BAA" w14:textId="77777777" w:rsidTr="00B202C2">
              <w:trPr>
                <w:trHeight w:val="285"/>
              </w:trPr>
              <w:tc>
                <w:tcPr>
                  <w:tcW w:w="2235" w:type="dxa"/>
                  <w:tcBorders>
                    <w:top w:val="nil"/>
                    <w:left w:val="nil"/>
                    <w:bottom w:val="nil"/>
                    <w:right w:val="nil"/>
                  </w:tcBorders>
                  <w:vAlign w:val="bottom"/>
                </w:tcPr>
                <w:p w14:paraId="7F239978" w14:textId="77777777" w:rsidR="00EB0337" w:rsidRDefault="00EB0337" w:rsidP="00B202C2">
                  <w:pPr>
                    <w:spacing w:before="100" w:after="100"/>
                    <w:jc w:val="center"/>
                    <w:rPr>
                      <w:noProof/>
                    </w:rPr>
                  </w:pPr>
                  <w:r w:rsidRPr="008F43FC">
                    <w:rPr>
                      <w:noProof/>
                    </w:rPr>
                    <w:t>7%</w:t>
                  </w:r>
                </w:p>
              </w:tc>
            </w:tr>
          </w:tbl>
          <w:p w14:paraId="52378107" w14:textId="77777777" w:rsidR="00EB0337" w:rsidRPr="00807AC3" w:rsidRDefault="00EB0337" w:rsidP="00B202C2">
            <w:pPr>
              <w:jc w:val="center"/>
              <w:cnfStyle w:val="000000000000" w:firstRow="0" w:lastRow="0" w:firstColumn="0" w:lastColumn="0" w:oddVBand="0" w:evenVBand="0" w:oddHBand="0" w:evenHBand="0" w:firstRowFirstColumn="0" w:firstRowLastColumn="0" w:lastRowFirstColumn="0" w:lastRowLastColumn="0"/>
              <w:rPr>
                <w:noProof/>
              </w:rPr>
            </w:pPr>
          </w:p>
        </w:tc>
      </w:tr>
    </w:tbl>
    <w:p w14:paraId="487BDCFC" w14:textId="77777777" w:rsidR="00EB0337" w:rsidRPr="00040D99" w:rsidRDefault="00EB0337" w:rsidP="00EB0337">
      <w:pPr>
        <w:pStyle w:val="ppoTableTabletitle"/>
        <w:rPr>
          <w:noProof/>
        </w:rPr>
      </w:pPr>
      <w:r w:rsidRPr="00040D99">
        <w:rPr>
          <w:noProof/>
        </w:rPr>
        <w:t>Voted budget implementation in 2021</w:t>
      </w:r>
      <w:r>
        <w:rPr>
          <w:noProof/>
        </w:rPr>
        <w:t xml:space="preserve"> (million</w:t>
      </w:r>
      <w:r w:rsidRPr="00B546D8">
        <w:rPr>
          <w:noProof/>
        </w:rPr>
        <w:t xml:space="preserve"> </w:t>
      </w:r>
      <w:r>
        <w:rPr>
          <w:noProof/>
        </w:rPr>
        <w:t>EUR):</w:t>
      </w:r>
    </w:p>
    <w:tbl>
      <w:tblPr>
        <w:tblStyle w:val="PPO2021"/>
        <w:tblW w:w="3683" w:type="pct"/>
        <w:tblInd w:w="79" w:type="dxa"/>
        <w:tblLook w:val="04A0" w:firstRow="1" w:lastRow="0" w:firstColumn="1" w:lastColumn="0" w:noHBand="0" w:noVBand="1"/>
      </w:tblPr>
      <w:tblGrid>
        <w:gridCol w:w="2429"/>
        <w:gridCol w:w="2439"/>
        <w:gridCol w:w="2390"/>
      </w:tblGrid>
      <w:tr w:rsidR="00EB0337" w:rsidRPr="00040D99" w14:paraId="688AF3FD" w14:textId="77777777" w:rsidTr="00B202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5" w:type="dxa"/>
          </w:tcPr>
          <w:p w14:paraId="52D995C0" w14:textId="77777777" w:rsidR="00EB0337" w:rsidRPr="0017374C" w:rsidRDefault="00EB0337" w:rsidP="00B202C2">
            <w:pPr>
              <w:rPr>
                <w:noProof/>
              </w:rPr>
            </w:pPr>
          </w:p>
        </w:tc>
        <w:tc>
          <w:tcPr>
            <w:tcW w:w="2386" w:type="dxa"/>
          </w:tcPr>
          <w:p w14:paraId="0052B74D" w14:textId="77777777" w:rsidR="00EB0337" w:rsidRPr="0017374C" w:rsidRDefault="00EB0337" w:rsidP="00B202C2">
            <w:pPr>
              <w:cnfStyle w:val="100000000000" w:firstRow="1" w:lastRow="0" w:firstColumn="0" w:lastColumn="0" w:oddVBand="0" w:evenVBand="0" w:oddHBand="0" w:evenHBand="0" w:firstRowFirstColumn="0" w:firstRowLastColumn="0" w:lastRowFirstColumn="0" w:lastRowLastColumn="0"/>
              <w:rPr>
                <w:noProof/>
              </w:rPr>
            </w:pPr>
            <w:r w:rsidRPr="0017374C">
              <w:rPr>
                <w:noProof/>
              </w:rPr>
              <w:t>Voted budget implementation</w:t>
            </w:r>
          </w:p>
        </w:tc>
        <w:tc>
          <w:tcPr>
            <w:tcW w:w="2338" w:type="dxa"/>
          </w:tcPr>
          <w:p w14:paraId="004EC291" w14:textId="77777777" w:rsidR="00EB0337" w:rsidRPr="0017374C" w:rsidRDefault="00EB0337" w:rsidP="00B202C2">
            <w:pPr>
              <w:cnfStyle w:val="100000000000" w:firstRow="1" w:lastRow="0" w:firstColumn="0" w:lastColumn="0" w:oddVBand="0" w:evenVBand="0" w:oddHBand="0" w:evenHBand="0" w:firstRowFirstColumn="0" w:firstRowLastColumn="0" w:lastRowFirstColumn="0" w:lastRowLastColumn="0"/>
              <w:rPr>
                <w:noProof/>
              </w:rPr>
            </w:pPr>
            <w:r w:rsidRPr="0017374C">
              <w:rPr>
                <w:noProof/>
              </w:rPr>
              <w:t>Initial voted budget</w:t>
            </w:r>
          </w:p>
        </w:tc>
      </w:tr>
      <w:tr w:rsidR="00EB0337" w:rsidRPr="00040D99" w14:paraId="38E83CEA" w14:textId="77777777" w:rsidTr="00B20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5" w:type="dxa"/>
          </w:tcPr>
          <w:p w14:paraId="35BF2BC8" w14:textId="77777777" w:rsidR="00EB0337" w:rsidRPr="00D22296" w:rsidRDefault="00EB0337" w:rsidP="00B202C2">
            <w:pPr>
              <w:jc w:val="center"/>
              <w:rPr>
                <w:noProof/>
              </w:rPr>
            </w:pPr>
            <w:r w:rsidRPr="00D22296">
              <w:rPr>
                <w:noProof/>
              </w:rPr>
              <w:t>Commitments</w:t>
            </w:r>
          </w:p>
        </w:tc>
        <w:tc>
          <w:tcPr>
            <w:tcW w:w="2386" w:type="dxa"/>
          </w:tcPr>
          <w:p w14:paraId="01FF67AF" w14:textId="77777777" w:rsidR="00EB0337" w:rsidRPr="00817183" w:rsidRDefault="00EB0337" w:rsidP="00B202C2">
            <w:pPr>
              <w:jc w:val="center"/>
              <w:cnfStyle w:val="000000100000" w:firstRow="0" w:lastRow="0" w:firstColumn="0" w:lastColumn="0" w:oddVBand="0" w:evenVBand="0" w:oddHBand="1" w:evenHBand="0" w:firstRowFirstColumn="0" w:firstRowLastColumn="0" w:lastRowFirstColumn="0" w:lastRowLastColumn="0"/>
              <w:rPr>
                <w:noProof/>
              </w:rPr>
            </w:pPr>
            <w:r w:rsidRPr="00817183">
              <w:rPr>
                <w:noProof/>
              </w:rPr>
              <w:t>2</w:t>
            </w:r>
            <w:r>
              <w:rPr>
                <w:rFonts w:ascii="Calibri" w:hAnsi="Calibri" w:cs="Calibri"/>
                <w:noProof/>
              </w:rPr>
              <w:t> </w:t>
            </w:r>
            <w:r w:rsidRPr="00817183">
              <w:rPr>
                <w:noProof/>
              </w:rPr>
              <w:t>662.9</w:t>
            </w:r>
          </w:p>
        </w:tc>
        <w:tc>
          <w:tcPr>
            <w:tcW w:w="2338" w:type="dxa"/>
          </w:tcPr>
          <w:p w14:paraId="3E3957C0" w14:textId="77777777" w:rsidR="00EB0337" w:rsidRPr="00D22296" w:rsidRDefault="00EB0337" w:rsidP="00B202C2">
            <w:pPr>
              <w:jc w:val="center"/>
              <w:cnfStyle w:val="000000100000" w:firstRow="0" w:lastRow="0" w:firstColumn="0" w:lastColumn="0" w:oddVBand="0" w:evenVBand="0" w:oddHBand="1" w:evenHBand="0" w:firstRowFirstColumn="0" w:firstRowLastColumn="0" w:lastRowFirstColumn="0" w:lastRowLastColumn="0"/>
              <w:rPr>
                <w:noProof/>
              </w:rPr>
            </w:pPr>
            <w:r w:rsidRPr="00817183">
              <w:rPr>
                <w:noProof/>
              </w:rPr>
              <w:t>2</w:t>
            </w:r>
            <w:r>
              <w:rPr>
                <w:rFonts w:ascii="Calibri" w:hAnsi="Calibri" w:cs="Calibri"/>
                <w:noProof/>
              </w:rPr>
              <w:t> </w:t>
            </w:r>
            <w:r w:rsidRPr="00D22296">
              <w:rPr>
                <w:noProof/>
              </w:rPr>
              <w:t>662.6</w:t>
            </w:r>
          </w:p>
        </w:tc>
      </w:tr>
      <w:tr w:rsidR="00EB0337" w:rsidRPr="00040D99" w14:paraId="0DDD27D1" w14:textId="77777777" w:rsidTr="00B20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5" w:type="dxa"/>
          </w:tcPr>
          <w:p w14:paraId="4075B786" w14:textId="77777777" w:rsidR="00EB0337" w:rsidRPr="0017374C" w:rsidRDefault="00EB0337" w:rsidP="00B202C2">
            <w:pPr>
              <w:jc w:val="center"/>
              <w:rPr>
                <w:noProof/>
              </w:rPr>
            </w:pPr>
            <w:r w:rsidRPr="0017374C">
              <w:rPr>
                <w:noProof/>
              </w:rPr>
              <w:t>Payments</w:t>
            </w:r>
          </w:p>
        </w:tc>
        <w:tc>
          <w:tcPr>
            <w:tcW w:w="2386" w:type="dxa"/>
          </w:tcPr>
          <w:p w14:paraId="7F0E5356" w14:textId="77777777" w:rsidR="00EB0337" w:rsidRPr="0017374C" w:rsidRDefault="00EB0337" w:rsidP="00B202C2">
            <w:pPr>
              <w:jc w:val="center"/>
              <w:cnfStyle w:val="000000010000" w:firstRow="0" w:lastRow="0" w:firstColumn="0" w:lastColumn="0" w:oddVBand="0" w:evenVBand="0" w:oddHBand="0" w:evenHBand="1" w:firstRowFirstColumn="0" w:firstRowLastColumn="0" w:lastRowFirstColumn="0" w:lastRowLastColumn="0"/>
              <w:rPr>
                <w:noProof/>
              </w:rPr>
            </w:pPr>
            <w:r>
              <w:rPr>
                <w:noProof/>
              </w:rPr>
              <w:t>1</w:t>
            </w:r>
            <w:r>
              <w:rPr>
                <w:rFonts w:ascii="Calibri" w:hAnsi="Calibri" w:cs="Calibri"/>
                <w:noProof/>
              </w:rPr>
              <w:t> </w:t>
            </w:r>
            <w:r>
              <w:rPr>
                <w:noProof/>
              </w:rPr>
              <w:t>787.4</w:t>
            </w:r>
          </w:p>
        </w:tc>
        <w:tc>
          <w:tcPr>
            <w:tcW w:w="2338" w:type="dxa"/>
          </w:tcPr>
          <w:p w14:paraId="63A00B44" w14:textId="77777777" w:rsidR="00EB0337" w:rsidRPr="0017374C" w:rsidRDefault="00EB0337" w:rsidP="00B202C2">
            <w:pPr>
              <w:jc w:val="center"/>
              <w:cnfStyle w:val="000000010000" w:firstRow="0" w:lastRow="0" w:firstColumn="0" w:lastColumn="0" w:oddVBand="0" w:evenVBand="0" w:oddHBand="0" w:evenHBand="1" w:firstRowFirstColumn="0" w:firstRowLastColumn="0" w:lastRowFirstColumn="0" w:lastRowLastColumn="0"/>
              <w:rPr>
                <w:noProof/>
              </w:rPr>
            </w:pPr>
            <w:r>
              <w:rPr>
                <w:noProof/>
              </w:rPr>
              <w:t>2</w:t>
            </w:r>
            <w:r>
              <w:rPr>
                <w:rFonts w:ascii="Calibri" w:hAnsi="Calibri" w:cs="Calibri"/>
                <w:noProof/>
              </w:rPr>
              <w:t> </w:t>
            </w:r>
            <w:r>
              <w:rPr>
                <w:noProof/>
              </w:rPr>
              <w:t>034.2</w:t>
            </w:r>
          </w:p>
        </w:tc>
      </w:tr>
    </w:tbl>
    <w:p w14:paraId="784D36EB" w14:textId="77777777" w:rsidR="00EB0337" w:rsidRDefault="00EB0337" w:rsidP="00EB0337">
      <w:pPr>
        <w:pStyle w:val="ppoListHyphened-L1"/>
        <w:spacing w:before="360"/>
        <w:jc w:val="both"/>
        <w:rPr>
          <w:noProof/>
        </w:rPr>
      </w:pPr>
      <w:r>
        <w:rPr>
          <w:noProof/>
        </w:rPr>
        <w:t>The first year of the implementation of the Erasmus+ programme has been exceptionally challenging in terms of budget management. The late adoption of the programme regulation has pushed back the start of the activities to the second half of the year, affecting the budget management in 2021 and shifting some payments initially planned in 2021 to 2022.</w:t>
      </w:r>
    </w:p>
    <w:p w14:paraId="4540C5D7" w14:textId="77777777" w:rsidR="00EB0337" w:rsidRDefault="00EB0337" w:rsidP="00EB0337">
      <w:pPr>
        <w:pStyle w:val="ppoListHyphened-L1"/>
        <w:jc w:val="both"/>
        <w:rPr>
          <w:noProof/>
        </w:rPr>
      </w:pPr>
      <w:r w:rsidRPr="005E37BE">
        <w:rPr>
          <w:noProof/>
        </w:rPr>
        <w:t xml:space="preserve">As a result, a very close monitoring approach, </w:t>
      </w:r>
      <w:r w:rsidRPr="00EB7DB7">
        <w:rPr>
          <w:noProof/>
        </w:rPr>
        <w:t xml:space="preserve">namely </w:t>
      </w:r>
      <w:r>
        <w:rPr>
          <w:noProof/>
        </w:rPr>
        <w:t>of</w:t>
      </w:r>
      <w:r w:rsidRPr="00EB7DB7">
        <w:rPr>
          <w:noProof/>
        </w:rPr>
        <w:t xml:space="preserve"> national agencies</w:t>
      </w:r>
      <w:r w:rsidRPr="005E37BE">
        <w:rPr>
          <w:noProof/>
        </w:rPr>
        <w:t xml:space="preserve">, allowed to promptly return the unnecessary payment appropriations detected in the revision of forecasts and ensured </w:t>
      </w:r>
      <w:r w:rsidRPr="004962AF">
        <w:rPr>
          <w:noProof/>
        </w:rPr>
        <w:t>the</w:t>
      </w:r>
      <w:r w:rsidRPr="005E37BE">
        <w:rPr>
          <w:noProof/>
        </w:rPr>
        <w:t xml:space="preserve"> full use </w:t>
      </w:r>
      <w:r w:rsidRPr="004962AF">
        <w:rPr>
          <w:noProof/>
        </w:rPr>
        <w:t xml:space="preserve">of </w:t>
      </w:r>
      <w:r w:rsidRPr="005E37BE">
        <w:rPr>
          <w:noProof/>
        </w:rPr>
        <w:t xml:space="preserve">the remaining available payment appropriations in </w:t>
      </w:r>
      <w:r w:rsidRPr="004962AF">
        <w:rPr>
          <w:noProof/>
        </w:rPr>
        <w:t xml:space="preserve">the </w:t>
      </w:r>
      <w:r w:rsidRPr="005E37BE">
        <w:rPr>
          <w:noProof/>
        </w:rPr>
        <w:t>EU budget by year’s end.</w:t>
      </w:r>
      <w:r>
        <w:rPr>
          <w:noProof/>
        </w:rPr>
        <w:t xml:space="preserve"> Moreover, this exceptional situation had no influence on the funding absorption capacity of the Erasmus+ programme, for which all the </w:t>
      </w:r>
      <w:r w:rsidRPr="005E37BE">
        <w:rPr>
          <w:noProof/>
        </w:rPr>
        <w:t>commitments appropriations</w:t>
      </w:r>
      <w:r>
        <w:rPr>
          <w:noProof/>
        </w:rPr>
        <w:t xml:space="preserve"> of the 2021 EU-voted budget have been implemented. In 2021, more than 65% of the committed amounts (</w:t>
      </w:r>
      <w:r w:rsidRPr="00B546D8">
        <w:rPr>
          <w:noProof/>
        </w:rPr>
        <w:t>EUR</w:t>
      </w:r>
      <w:r>
        <w:rPr>
          <w:rFonts w:ascii="Calibri" w:hAnsi="Calibri" w:cs="Calibri"/>
          <w:noProof/>
        </w:rPr>
        <w:t> </w:t>
      </w:r>
      <w:r w:rsidRPr="00B546D8">
        <w:rPr>
          <w:noProof/>
        </w:rPr>
        <w:t>2</w:t>
      </w:r>
      <w:r>
        <w:rPr>
          <w:noProof/>
        </w:rPr>
        <w:t>.812</w:t>
      </w:r>
      <w:r>
        <w:rPr>
          <w:rFonts w:ascii="Calibri" w:hAnsi="Calibri" w:cs="Calibri"/>
          <w:noProof/>
        </w:rPr>
        <w:t> </w:t>
      </w:r>
      <w:r>
        <w:rPr>
          <w:noProof/>
        </w:rPr>
        <w:t>billion) was paid (EUR</w:t>
      </w:r>
      <w:r>
        <w:rPr>
          <w:rFonts w:ascii="Calibri" w:hAnsi="Calibri" w:cs="Calibri"/>
          <w:noProof/>
        </w:rPr>
        <w:t> </w:t>
      </w:r>
      <w:r>
        <w:rPr>
          <w:noProof/>
        </w:rPr>
        <w:t>1.842</w:t>
      </w:r>
      <w:r>
        <w:rPr>
          <w:rFonts w:ascii="Calibri" w:hAnsi="Calibri" w:cs="Calibri"/>
          <w:noProof/>
        </w:rPr>
        <w:t> </w:t>
      </w:r>
      <w:r>
        <w:rPr>
          <w:noProof/>
        </w:rPr>
        <w:t>billion).</w:t>
      </w:r>
    </w:p>
    <w:p w14:paraId="60F2954E" w14:textId="77777777" w:rsidR="00EB0337" w:rsidRPr="00040D99" w:rsidRDefault="00EB0337" w:rsidP="00EB0337">
      <w:pPr>
        <w:pStyle w:val="ppoListHyphened-L1"/>
        <w:jc w:val="both"/>
        <w:rPr>
          <w:noProof/>
        </w:rPr>
      </w:pPr>
      <w:r>
        <w:rPr>
          <w:noProof/>
        </w:rPr>
        <w:t xml:space="preserve">The 2022 payment appropriations will be used </w:t>
      </w:r>
      <w:r w:rsidRPr="007065AA">
        <w:rPr>
          <w:noProof/>
        </w:rPr>
        <w:t>on the one hand</w:t>
      </w:r>
      <w:r>
        <w:rPr>
          <w:noProof/>
        </w:rPr>
        <w:t xml:space="preserve"> to cover the payments regarding the 2022 commitments, and on the other hand to cover the payments regarding ongoing projects from 2021, including some payments initially planned in 2021 and shifted to 2022 for the reasons exposed above.</w:t>
      </w:r>
    </w:p>
    <w:p w14:paraId="5556C71F" w14:textId="77777777" w:rsidR="00EB0337" w:rsidRPr="00040D99" w:rsidRDefault="00EB0337" w:rsidP="00EB0337">
      <w:pPr>
        <w:pStyle w:val="ppoHeading5"/>
        <w:rPr>
          <w:noProof/>
        </w:rPr>
      </w:pPr>
      <w:r w:rsidRPr="00040D99">
        <w:rPr>
          <w:noProof/>
        </w:rPr>
        <w:t>Contribution to horizontal priorities</w:t>
      </w:r>
    </w:p>
    <w:p w14:paraId="7D21DEC7" w14:textId="77777777" w:rsidR="00EB0337" w:rsidRPr="00040D99" w:rsidRDefault="00EB0337" w:rsidP="00EB0337">
      <w:pPr>
        <w:pStyle w:val="ppoTableTabletitle"/>
        <w:rPr>
          <w:noProof/>
        </w:rPr>
      </w:pPr>
      <w:r w:rsidRPr="00040D99">
        <w:rPr>
          <w:noProof/>
        </w:rPr>
        <w:t>EU budget contribution in 2021</w:t>
      </w:r>
      <w:r>
        <w:rPr>
          <w:noProof/>
        </w:rPr>
        <w:t xml:space="preserve"> (million EUR):</w:t>
      </w:r>
    </w:p>
    <w:tbl>
      <w:tblPr>
        <w:tblStyle w:val="PPO2021"/>
        <w:tblW w:w="9639" w:type="dxa"/>
        <w:tblInd w:w="108" w:type="dxa"/>
        <w:tblLook w:val="0420" w:firstRow="1" w:lastRow="0" w:firstColumn="0" w:lastColumn="0" w:noHBand="0" w:noVBand="1"/>
      </w:tblPr>
      <w:tblGrid>
        <w:gridCol w:w="3213"/>
        <w:gridCol w:w="3213"/>
        <w:gridCol w:w="3213"/>
      </w:tblGrid>
      <w:tr w:rsidR="00EB0337" w:rsidRPr="00040D99" w14:paraId="236FC98D" w14:textId="77777777" w:rsidTr="00B202C2">
        <w:trPr>
          <w:cnfStyle w:val="100000000000" w:firstRow="1" w:lastRow="0" w:firstColumn="0" w:lastColumn="0" w:oddVBand="0" w:evenVBand="0" w:oddHBand="0" w:evenHBand="0" w:firstRowFirstColumn="0" w:firstRowLastColumn="0" w:lastRowFirstColumn="0" w:lastRowLastColumn="0"/>
          <w:tblHeader/>
        </w:trPr>
        <w:tc>
          <w:tcPr>
            <w:tcW w:w="3213" w:type="dxa"/>
          </w:tcPr>
          <w:p w14:paraId="176C756D" w14:textId="77777777" w:rsidR="00EB0337" w:rsidRPr="00BD731A" w:rsidRDefault="00EB0337" w:rsidP="00B202C2">
            <w:pPr>
              <w:rPr>
                <w:noProof/>
              </w:rPr>
            </w:pPr>
            <w:r w:rsidRPr="00BD731A">
              <w:rPr>
                <w:noProof/>
              </w:rPr>
              <w:t>Climate</w:t>
            </w:r>
          </w:p>
        </w:tc>
        <w:tc>
          <w:tcPr>
            <w:tcW w:w="3213" w:type="dxa"/>
          </w:tcPr>
          <w:p w14:paraId="36E19743" w14:textId="77777777" w:rsidR="00EB0337" w:rsidRPr="00BD731A" w:rsidRDefault="00EB0337" w:rsidP="00B202C2">
            <w:pPr>
              <w:rPr>
                <w:noProof/>
              </w:rPr>
            </w:pPr>
            <w:r w:rsidRPr="00BD731A">
              <w:rPr>
                <w:noProof/>
              </w:rPr>
              <w:t>Biodiversity</w:t>
            </w:r>
          </w:p>
        </w:tc>
        <w:tc>
          <w:tcPr>
            <w:tcW w:w="3213" w:type="dxa"/>
          </w:tcPr>
          <w:p w14:paraId="0774B5D1" w14:textId="77777777" w:rsidR="00EB0337" w:rsidRPr="00BD731A" w:rsidRDefault="00EB0337" w:rsidP="00B202C2">
            <w:pPr>
              <w:rPr>
                <w:noProof/>
              </w:rPr>
            </w:pPr>
            <w:r w:rsidRPr="00BD731A">
              <w:rPr>
                <w:noProof/>
              </w:rPr>
              <w:t>Gender equality</w:t>
            </w:r>
            <w:r>
              <w:rPr>
                <w:rFonts w:ascii="Calibri" w:hAnsi="Calibri" w:cs="Calibri"/>
                <w:noProof/>
              </w:rPr>
              <w:t> (</w:t>
            </w:r>
            <w:r>
              <w:rPr>
                <w:noProof/>
              </w:rPr>
              <w:t>*)</w:t>
            </w:r>
          </w:p>
        </w:tc>
      </w:tr>
      <w:tr w:rsidR="00EB0337" w:rsidRPr="00040D99" w14:paraId="4BDB9ECA" w14:textId="77777777" w:rsidTr="00B202C2">
        <w:trPr>
          <w:cnfStyle w:val="000000100000" w:firstRow="0" w:lastRow="0" w:firstColumn="0" w:lastColumn="0" w:oddVBand="0" w:evenVBand="0" w:oddHBand="1" w:evenHBand="0" w:firstRowFirstColumn="0" w:firstRowLastColumn="0" w:lastRowFirstColumn="0" w:lastRowLastColumn="0"/>
        </w:trPr>
        <w:tc>
          <w:tcPr>
            <w:tcW w:w="3213" w:type="dxa"/>
          </w:tcPr>
          <w:tbl>
            <w:tblPr>
              <w:tblStyle w:val="TableGrid"/>
              <w:tblW w:w="0" w:type="auto"/>
              <w:tblLook w:val="06A0" w:firstRow="1" w:lastRow="0" w:firstColumn="1" w:lastColumn="0" w:noHBand="1" w:noVBand="1"/>
            </w:tblPr>
            <w:tblGrid>
              <w:gridCol w:w="1935"/>
            </w:tblGrid>
            <w:tr w:rsidR="00EB0337" w:rsidRPr="007906A8" w14:paraId="4F77BE27" w14:textId="77777777" w:rsidTr="00B202C2">
              <w:trPr>
                <w:trHeight w:val="285"/>
              </w:trPr>
              <w:tc>
                <w:tcPr>
                  <w:tcW w:w="1935" w:type="dxa"/>
                  <w:tcBorders>
                    <w:top w:val="nil"/>
                    <w:left w:val="nil"/>
                    <w:bottom w:val="nil"/>
                    <w:right w:val="nil"/>
                  </w:tcBorders>
                  <w:vAlign w:val="bottom"/>
                </w:tcPr>
                <w:p w14:paraId="1293E9A9" w14:textId="7F4372D6" w:rsidR="00EB0337" w:rsidRPr="007906A8" w:rsidRDefault="00EB0337" w:rsidP="00B202C2">
                  <w:pPr>
                    <w:spacing w:before="100" w:after="100"/>
                    <w:jc w:val="right"/>
                    <w:rPr>
                      <w:noProof/>
                    </w:rPr>
                  </w:pPr>
                  <w:r w:rsidRPr="007906A8">
                    <w:rPr>
                      <w:noProof/>
                    </w:rPr>
                    <w:t>169.</w:t>
                  </w:r>
                  <w:r w:rsidR="00194625">
                    <w:rPr>
                      <w:noProof/>
                    </w:rPr>
                    <w:t>4</w:t>
                  </w:r>
                </w:p>
              </w:tc>
            </w:tr>
          </w:tbl>
          <w:p w14:paraId="3FC6BC21" w14:textId="77777777" w:rsidR="00EB0337" w:rsidRPr="007906A8" w:rsidRDefault="00EB0337" w:rsidP="00B202C2">
            <w:pPr>
              <w:jc w:val="right"/>
              <w:rPr>
                <w:noProof/>
              </w:rPr>
            </w:pPr>
          </w:p>
        </w:tc>
        <w:tc>
          <w:tcPr>
            <w:tcW w:w="3213" w:type="dxa"/>
          </w:tcPr>
          <w:p w14:paraId="462C0F49" w14:textId="77777777" w:rsidR="00EB0337" w:rsidRPr="007906A8" w:rsidRDefault="00EB0337" w:rsidP="00B202C2">
            <w:pPr>
              <w:jc w:val="center"/>
              <w:rPr>
                <w:noProof/>
              </w:rPr>
            </w:pPr>
            <w:r w:rsidRPr="007906A8">
              <w:rPr>
                <w:noProof/>
              </w:rPr>
              <w:t>0</w:t>
            </w:r>
          </w:p>
        </w:tc>
        <w:tc>
          <w:tcPr>
            <w:tcW w:w="3213" w:type="dxa"/>
          </w:tcPr>
          <w:p w14:paraId="2353406F" w14:textId="77777777" w:rsidR="00EB0337" w:rsidRPr="007906A8" w:rsidRDefault="00EB0337" w:rsidP="00B202C2">
            <w:pPr>
              <w:jc w:val="center"/>
              <w:rPr>
                <w:noProof/>
              </w:rPr>
            </w:pPr>
            <w:r w:rsidRPr="007906A8">
              <w:rPr>
                <w:noProof/>
              </w:rPr>
              <w:t>Score 0*: 2</w:t>
            </w:r>
            <w:r>
              <w:rPr>
                <w:rFonts w:ascii="Calibri" w:hAnsi="Calibri" w:cs="Calibri"/>
                <w:noProof/>
              </w:rPr>
              <w:t> </w:t>
            </w:r>
            <w:r w:rsidRPr="007906A8">
              <w:rPr>
                <w:noProof/>
              </w:rPr>
              <w:t>663</w:t>
            </w:r>
            <w:r w:rsidRPr="007906A8">
              <w:rPr>
                <w:noProof/>
              </w:rPr>
              <w:tab/>
            </w:r>
          </w:p>
        </w:tc>
      </w:tr>
    </w:tbl>
    <w:p w14:paraId="43679BA0" w14:textId="77777777" w:rsidR="00EB0337" w:rsidRPr="00982726" w:rsidRDefault="00EB0337" w:rsidP="00EB0337">
      <w:pPr>
        <w:pStyle w:val="FootnoteText"/>
        <w:rPr>
          <w:noProof/>
        </w:rPr>
      </w:pPr>
      <w:r>
        <w:rPr>
          <w:noProof/>
        </w:rPr>
        <w:t>(*)</w:t>
      </w:r>
      <w:r>
        <w:rPr>
          <w:noProof/>
        </w:rPr>
        <w:tab/>
      </w:r>
      <w:r w:rsidRPr="00982726">
        <w:rPr>
          <w:noProof/>
        </w:rPr>
        <w:t xml:space="preserve">Based on the </w:t>
      </w:r>
      <w:r>
        <w:rPr>
          <w:noProof/>
        </w:rPr>
        <w:t xml:space="preserve">applied gender contribution </w:t>
      </w:r>
      <w:r w:rsidRPr="00982726">
        <w:rPr>
          <w:noProof/>
        </w:rPr>
        <w:t>methodology</w:t>
      </w:r>
      <w:r>
        <w:rPr>
          <w:noProof/>
        </w:rPr>
        <w:t>,</w:t>
      </w:r>
      <w:r w:rsidRPr="00982726">
        <w:rPr>
          <w:noProof/>
        </w:rPr>
        <w:t xml:space="preserve"> the following scores are attributed at the most granular level of intervention possible:</w:t>
      </w:r>
    </w:p>
    <w:p w14:paraId="78CA26B5" w14:textId="77777777" w:rsidR="00EB0337" w:rsidRPr="00982726" w:rsidRDefault="00EB0337" w:rsidP="00EB0337">
      <w:pPr>
        <w:pStyle w:val="FootnoteText"/>
        <w:numPr>
          <w:ilvl w:val="0"/>
          <w:numId w:val="38"/>
        </w:numPr>
        <w:spacing w:after="60" w:line="264" w:lineRule="auto"/>
        <w:jc w:val="left"/>
        <w:rPr>
          <w:noProof/>
        </w:rPr>
      </w:pPr>
      <w:r>
        <w:rPr>
          <w:noProof/>
        </w:rPr>
        <w:t>2:</w:t>
      </w:r>
      <w:r w:rsidRPr="00982726">
        <w:rPr>
          <w:noProof/>
        </w:rPr>
        <w:t xml:space="preserve"> </w:t>
      </w:r>
      <w:r>
        <w:rPr>
          <w:noProof/>
        </w:rPr>
        <w:t>i</w:t>
      </w:r>
      <w:r w:rsidRPr="00982726">
        <w:rPr>
          <w:noProof/>
        </w:rPr>
        <w:t xml:space="preserve">nterventions </w:t>
      </w:r>
      <w:r>
        <w:rPr>
          <w:noProof/>
        </w:rPr>
        <w:t>the</w:t>
      </w:r>
      <w:r w:rsidRPr="00982726">
        <w:rPr>
          <w:noProof/>
        </w:rPr>
        <w:t xml:space="preserve"> principal objective </w:t>
      </w:r>
      <w:r>
        <w:rPr>
          <w:noProof/>
        </w:rPr>
        <w:t xml:space="preserve">of which </w:t>
      </w:r>
      <w:r w:rsidRPr="00982726">
        <w:rPr>
          <w:noProof/>
        </w:rPr>
        <w:t>is to improve gender equality;</w:t>
      </w:r>
    </w:p>
    <w:p w14:paraId="7E3BE8EF" w14:textId="77777777" w:rsidR="00EB0337" w:rsidRPr="00982726" w:rsidRDefault="00EB0337" w:rsidP="00EB0337">
      <w:pPr>
        <w:pStyle w:val="FootnoteText"/>
        <w:numPr>
          <w:ilvl w:val="0"/>
          <w:numId w:val="38"/>
        </w:numPr>
        <w:spacing w:after="60" w:line="264" w:lineRule="auto"/>
        <w:jc w:val="left"/>
        <w:rPr>
          <w:noProof/>
        </w:rPr>
      </w:pPr>
      <w:r>
        <w:rPr>
          <w:noProof/>
        </w:rPr>
        <w:t>1:</w:t>
      </w:r>
      <w:r w:rsidRPr="00982726">
        <w:rPr>
          <w:noProof/>
        </w:rPr>
        <w:t xml:space="preserve"> </w:t>
      </w:r>
      <w:r>
        <w:rPr>
          <w:noProof/>
        </w:rPr>
        <w:t>i</w:t>
      </w:r>
      <w:r w:rsidRPr="00982726">
        <w:rPr>
          <w:noProof/>
        </w:rPr>
        <w:t xml:space="preserve">nterventions </w:t>
      </w:r>
      <w:r>
        <w:rPr>
          <w:noProof/>
        </w:rPr>
        <w:t>that have</w:t>
      </w:r>
      <w:r w:rsidRPr="00982726">
        <w:rPr>
          <w:noProof/>
        </w:rPr>
        <w:t xml:space="preserve"> gender equality as an important and deliberate objective but not as the main reason for the intervention;</w:t>
      </w:r>
    </w:p>
    <w:p w14:paraId="5B640A57" w14:textId="77777777" w:rsidR="00EB0337" w:rsidRPr="00982726" w:rsidRDefault="00EB0337" w:rsidP="00EB0337">
      <w:pPr>
        <w:pStyle w:val="FootnoteText"/>
        <w:numPr>
          <w:ilvl w:val="0"/>
          <w:numId w:val="38"/>
        </w:numPr>
        <w:spacing w:after="60" w:line="264" w:lineRule="auto"/>
        <w:jc w:val="left"/>
        <w:rPr>
          <w:noProof/>
        </w:rPr>
      </w:pPr>
      <w:r>
        <w:rPr>
          <w:noProof/>
        </w:rPr>
        <w:t>0:</w:t>
      </w:r>
      <w:r w:rsidRPr="00982726">
        <w:rPr>
          <w:noProof/>
        </w:rPr>
        <w:t xml:space="preserve"> </w:t>
      </w:r>
      <w:r>
        <w:rPr>
          <w:noProof/>
        </w:rPr>
        <w:t>n</w:t>
      </w:r>
      <w:r w:rsidRPr="00982726">
        <w:rPr>
          <w:noProof/>
        </w:rPr>
        <w:t>o</w:t>
      </w:r>
      <w:r>
        <w:rPr>
          <w:noProof/>
        </w:rPr>
        <w:t>n-</w:t>
      </w:r>
      <w:r w:rsidRPr="00982726">
        <w:rPr>
          <w:noProof/>
        </w:rPr>
        <w:t>targeted interventions;</w:t>
      </w:r>
    </w:p>
    <w:p w14:paraId="27ED8CA4" w14:textId="77777777" w:rsidR="00EB0337" w:rsidRPr="00982726" w:rsidRDefault="00EB0337" w:rsidP="00EB0337">
      <w:pPr>
        <w:pStyle w:val="FootnoteText"/>
        <w:numPr>
          <w:ilvl w:val="0"/>
          <w:numId w:val="38"/>
        </w:numPr>
        <w:spacing w:after="60" w:line="264" w:lineRule="auto"/>
        <w:jc w:val="left"/>
        <w:rPr>
          <w:noProof/>
        </w:rPr>
      </w:pPr>
      <w:r>
        <w:rPr>
          <w:noProof/>
        </w:rPr>
        <w:t>0*:</w:t>
      </w:r>
      <w:r w:rsidRPr="00982726">
        <w:rPr>
          <w:noProof/>
        </w:rPr>
        <w:t xml:space="preserve"> </w:t>
      </w:r>
      <w:r>
        <w:rPr>
          <w:noProof/>
        </w:rPr>
        <w:t>s</w:t>
      </w:r>
      <w:r w:rsidRPr="00982726">
        <w:rPr>
          <w:noProof/>
        </w:rPr>
        <w:t xml:space="preserve">core to be assigned to interventions with </w:t>
      </w:r>
      <w:r>
        <w:rPr>
          <w:noProof/>
        </w:rPr>
        <w:t xml:space="preserve">a </w:t>
      </w:r>
      <w:r w:rsidRPr="00982726">
        <w:rPr>
          <w:noProof/>
        </w:rPr>
        <w:t>likely but not yet clear positive impact on gender equality.</w:t>
      </w:r>
    </w:p>
    <w:p w14:paraId="5F392BAB" w14:textId="77777777" w:rsidR="00EB0337" w:rsidRPr="00040D99" w:rsidRDefault="00EB0337" w:rsidP="00EB0337">
      <w:pPr>
        <w:pStyle w:val="ppoHeading5"/>
        <w:rPr>
          <w:noProof/>
        </w:rPr>
      </w:pPr>
      <w:r w:rsidRPr="00040D99">
        <w:rPr>
          <w:noProof/>
        </w:rPr>
        <w:t>Performance assessment</w:t>
      </w:r>
    </w:p>
    <w:p w14:paraId="2F4D32E3" w14:textId="77777777" w:rsidR="00EB0337" w:rsidRPr="00040D99" w:rsidRDefault="00EB0337" w:rsidP="00EB0337">
      <w:pPr>
        <w:pStyle w:val="ppoHeading6"/>
        <w:rPr>
          <w:noProof/>
        </w:rPr>
      </w:pPr>
      <w:r w:rsidRPr="00040D99">
        <w:rPr>
          <w:noProof/>
        </w:rPr>
        <w:t>Key performance indicators</w:t>
      </w:r>
    </w:p>
    <w:tbl>
      <w:tblPr>
        <w:tblStyle w:val="PPO2021"/>
        <w:tblW w:w="9639" w:type="dxa"/>
        <w:tblInd w:w="108" w:type="dxa"/>
        <w:tblLook w:val="0420" w:firstRow="1" w:lastRow="0" w:firstColumn="0" w:lastColumn="0" w:noHBand="0" w:noVBand="1"/>
      </w:tblPr>
      <w:tblGrid>
        <w:gridCol w:w="2330"/>
        <w:gridCol w:w="1100"/>
        <w:gridCol w:w="1526"/>
        <w:gridCol w:w="1532"/>
        <w:gridCol w:w="1572"/>
        <w:gridCol w:w="1579"/>
      </w:tblGrid>
      <w:tr w:rsidR="00EB0337" w:rsidRPr="00AC11E4" w14:paraId="5A26DAFA" w14:textId="77777777" w:rsidTr="00B202C2">
        <w:trPr>
          <w:cnfStyle w:val="100000000000" w:firstRow="1" w:lastRow="0" w:firstColumn="0" w:lastColumn="0" w:oddVBand="0" w:evenVBand="0" w:oddHBand="0" w:evenHBand="0" w:firstRowFirstColumn="0" w:firstRowLastColumn="0" w:lastRowFirstColumn="0" w:lastRowLastColumn="0"/>
        </w:trPr>
        <w:tc>
          <w:tcPr>
            <w:tcW w:w="2330" w:type="dxa"/>
          </w:tcPr>
          <w:p w14:paraId="3FA5FA4B" w14:textId="77777777" w:rsidR="00EB0337" w:rsidRPr="00884C9A" w:rsidRDefault="00EB0337" w:rsidP="00B202C2">
            <w:pPr>
              <w:rPr>
                <w:noProof/>
              </w:rPr>
            </w:pPr>
          </w:p>
        </w:tc>
        <w:tc>
          <w:tcPr>
            <w:tcW w:w="1100" w:type="dxa"/>
          </w:tcPr>
          <w:p w14:paraId="5D7FE231" w14:textId="77777777" w:rsidR="00EB0337" w:rsidRPr="00884C9A" w:rsidRDefault="00EB0337" w:rsidP="00B202C2">
            <w:pPr>
              <w:rPr>
                <w:noProof/>
              </w:rPr>
            </w:pPr>
            <w:r w:rsidRPr="00884C9A">
              <w:rPr>
                <w:noProof/>
              </w:rPr>
              <w:t>Baseline</w:t>
            </w:r>
          </w:p>
        </w:tc>
        <w:tc>
          <w:tcPr>
            <w:tcW w:w="1526" w:type="dxa"/>
          </w:tcPr>
          <w:p w14:paraId="0E154E91" w14:textId="77777777" w:rsidR="00EB0337" w:rsidRPr="00884C9A" w:rsidRDefault="00EB0337" w:rsidP="00B202C2">
            <w:pPr>
              <w:rPr>
                <w:noProof/>
              </w:rPr>
            </w:pPr>
            <w:r w:rsidRPr="00884C9A">
              <w:rPr>
                <w:noProof/>
              </w:rPr>
              <w:t>Progress</w:t>
            </w:r>
          </w:p>
        </w:tc>
        <w:tc>
          <w:tcPr>
            <w:tcW w:w="1532" w:type="dxa"/>
          </w:tcPr>
          <w:p w14:paraId="6273BF34" w14:textId="77777777" w:rsidR="00EB0337" w:rsidRPr="00884C9A" w:rsidRDefault="00EB0337" w:rsidP="00B202C2">
            <w:pPr>
              <w:rPr>
                <w:noProof/>
              </w:rPr>
            </w:pPr>
            <w:r w:rsidRPr="00884C9A">
              <w:rPr>
                <w:noProof/>
              </w:rPr>
              <w:t>Target</w:t>
            </w:r>
          </w:p>
        </w:tc>
        <w:tc>
          <w:tcPr>
            <w:tcW w:w="1572" w:type="dxa"/>
          </w:tcPr>
          <w:p w14:paraId="0D7B2661" w14:textId="77777777" w:rsidR="00EB0337" w:rsidRPr="00884C9A" w:rsidRDefault="00EB0337" w:rsidP="00B202C2">
            <w:pPr>
              <w:rPr>
                <w:noProof/>
              </w:rPr>
            </w:pPr>
            <w:r w:rsidRPr="00884C9A">
              <w:rPr>
                <w:noProof/>
              </w:rPr>
              <w:t>Results</w:t>
            </w:r>
          </w:p>
        </w:tc>
        <w:tc>
          <w:tcPr>
            <w:tcW w:w="1579" w:type="dxa"/>
          </w:tcPr>
          <w:p w14:paraId="487C0DB6" w14:textId="77777777" w:rsidR="00EB0337" w:rsidRPr="00884C9A" w:rsidRDefault="00EB0337" w:rsidP="00B202C2">
            <w:pPr>
              <w:rPr>
                <w:noProof/>
              </w:rPr>
            </w:pPr>
            <w:r w:rsidRPr="00884C9A">
              <w:rPr>
                <w:noProof/>
              </w:rPr>
              <w:t>Assessment</w:t>
            </w:r>
          </w:p>
        </w:tc>
      </w:tr>
      <w:tr w:rsidR="00EB0337" w:rsidRPr="00AC11E4" w14:paraId="11812B20" w14:textId="77777777" w:rsidTr="00B202C2">
        <w:trPr>
          <w:cnfStyle w:val="000000100000" w:firstRow="0" w:lastRow="0" w:firstColumn="0" w:lastColumn="0" w:oddVBand="0" w:evenVBand="0" w:oddHBand="1" w:evenHBand="0" w:firstRowFirstColumn="0" w:firstRowLastColumn="0" w:lastRowFirstColumn="0" w:lastRowLastColumn="0"/>
        </w:trPr>
        <w:tc>
          <w:tcPr>
            <w:tcW w:w="2330" w:type="dxa"/>
          </w:tcPr>
          <w:p w14:paraId="1FAB9D30" w14:textId="77777777" w:rsidR="00EB0337" w:rsidRPr="00884C9A" w:rsidRDefault="00EB0337" w:rsidP="00B202C2">
            <w:pPr>
              <w:rPr>
                <w:noProof/>
              </w:rPr>
            </w:pPr>
            <w:r>
              <w:rPr>
                <w:noProof/>
              </w:rPr>
              <w:t>Number of participants in learning mobility activities</w:t>
            </w:r>
            <w:r>
              <w:rPr>
                <w:rFonts w:ascii="Calibri" w:hAnsi="Calibri" w:cs="Calibri"/>
                <w:noProof/>
              </w:rPr>
              <w:t> </w:t>
            </w:r>
            <w:r w:rsidRPr="007C4296">
              <w:rPr>
                <w:noProof/>
              </w:rPr>
              <w:t>–</w:t>
            </w:r>
            <w:r>
              <w:rPr>
                <w:noProof/>
              </w:rPr>
              <w:t xml:space="preserve"> learners</w:t>
            </w:r>
          </w:p>
        </w:tc>
        <w:tc>
          <w:tcPr>
            <w:tcW w:w="1100" w:type="dxa"/>
          </w:tcPr>
          <w:p w14:paraId="15B9F14A" w14:textId="6BA67D77" w:rsidR="00EB0337" w:rsidRDefault="00333F6C" w:rsidP="00B202C2">
            <w:pPr>
              <w:jc w:val="center"/>
              <w:rPr>
                <w:noProof/>
              </w:rPr>
            </w:pPr>
            <w:r>
              <w:rPr>
                <w:noProof/>
              </w:rPr>
              <w:t>0</w:t>
            </w:r>
          </w:p>
          <w:p w14:paraId="196A55DD" w14:textId="77777777" w:rsidR="00EB0337" w:rsidRPr="007C3C1E" w:rsidRDefault="00EB0337" w:rsidP="00B202C2">
            <w:pPr>
              <w:rPr>
                <w:noProof/>
              </w:rPr>
            </w:pPr>
          </w:p>
        </w:tc>
        <w:tc>
          <w:tcPr>
            <w:tcW w:w="1526" w:type="dxa"/>
          </w:tcPr>
          <w:p w14:paraId="1F6CB8AF" w14:textId="77777777" w:rsidR="00EB0337" w:rsidRPr="00724FDD" w:rsidRDefault="00EB0337" w:rsidP="00B202C2">
            <w:pPr>
              <w:jc w:val="center"/>
              <w:rPr>
                <w:b/>
                <w:noProof/>
              </w:rPr>
            </w:pPr>
          </w:p>
        </w:tc>
        <w:tc>
          <w:tcPr>
            <w:tcW w:w="1532" w:type="dxa"/>
          </w:tcPr>
          <w:p w14:paraId="28F5CA4C" w14:textId="0FE924FF" w:rsidR="00EB0337" w:rsidRPr="00884C9A" w:rsidRDefault="00333F6C" w:rsidP="00B202C2">
            <w:pPr>
              <w:jc w:val="center"/>
              <w:rPr>
                <w:noProof/>
              </w:rPr>
            </w:pPr>
            <w:r>
              <w:rPr>
                <w:noProof/>
              </w:rPr>
              <w:t>5.355 million in 2027</w:t>
            </w:r>
          </w:p>
        </w:tc>
        <w:tc>
          <w:tcPr>
            <w:tcW w:w="1572" w:type="dxa"/>
          </w:tcPr>
          <w:p w14:paraId="785E8C57" w14:textId="2700DD29" w:rsidR="00EB0337" w:rsidRPr="00884C9A" w:rsidRDefault="00333F6C" w:rsidP="00B202C2">
            <w:pPr>
              <w:jc w:val="center"/>
              <w:rPr>
                <w:noProof/>
              </w:rPr>
            </w:pPr>
            <w:r>
              <w:rPr>
                <w:noProof/>
              </w:rPr>
              <w:t>No results</w:t>
            </w:r>
          </w:p>
        </w:tc>
        <w:tc>
          <w:tcPr>
            <w:tcW w:w="1579" w:type="dxa"/>
          </w:tcPr>
          <w:p w14:paraId="5E3AD16D" w14:textId="28C04949" w:rsidR="00EB0337" w:rsidRPr="00884C9A" w:rsidRDefault="00333F6C" w:rsidP="00B202C2">
            <w:pPr>
              <w:jc w:val="center"/>
              <w:rPr>
                <w:noProof/>
              </w:rPr>
            </w:pPr>
            <w:r>
              <w:rPr>
                <w:noProof/>
              </w:rPr>
              <w:t>No data</w:t>
            </w:r>
          </w:p>
        </w:tc>
      </w:tr>
      <w:tr w:rsidR="00333F6C" w:rsidRPr="00AC11E4" w14:paraId="414E7786" w14:textId="77777777" w:rsidTr="00B202C2">
        <w:trPr>
          <w:cnfStyle w:val="000000010000" w:firstRow="0" w:lastRow="0" w:firstColumn="0" w:lastColumn="0" w:oddVBand="0" w:evenVBand="0" w:oddHBand="0" w:evenHBand="1" w:firstRowFirstColumn="0" w:firstRowLastColumn="0" w:lastRowFirstColumn="0" w:lastRowLastColumn="0"/>
        </w:trPr>
        <w:tc>
          <w:tcPr>
            <w:tcW w:w="2330" w:type="dxa"/>
          </w:tcPr>
          <w:p w14:paraId="23602D03" w14:textId="77777777" w:rsidR="00333F6C" w:rsidRPr="00884C9A" w:rsidRDefault="00333F6C" w:rsidP="00333F6C">
            <w:pPr>
              <w:rPr>
                <w:noProof/>
              </w:rPr>
            </w:pPr>
            <w:r>
              <w:rPr>
                <w:noProof/>
              </w:rPr>
              <w:t>Number of participants in learning mobility activities</w:t>
            </w:r>
            <w:r>
              <w:rPr>
                <w:rFonts w:ascii="Calibri" w:hAnsi="Calibri" w:cs="Calibri"/>
                <w:noProof/>
              </w:rPr>
              <w:t> </w:t>
            </w:r>
            <w:r w:rsidRPr="007C4296">
              <w:rPr>
                <w:noProof/>
              </w:rPr>
              <w:t>–</w:t>
            </w:r>
            <w:r>
              <w:rPr>
                <w:noProof/>
              </w:rPr>
              <w:t xml:space="preserve"> staff</w:t>
            </w:r>
          </w:p>
        </w:tc>
        <w:tc>
          <w:tcPr>
            <w:tcW w:w="1100" w:type="dxa"/>
          </w:tcPr>
          <w:p w14:paraId="3BABA362" w14:textId="4FC7704C" w:rsidR="00333F6C" w:rsidRPr="00884C9A" w:rsidRDefault="00333F6C" w:rsidP="00333F6C">
            <w:pPr>
              <w:jc w:val="center"/>
              <w:rPr>
                <w:noProof/>
              </w:rPr>
            </w:pPr>
            <w:r>
              <w:rPr>
                <w:noProof/>
              </w:rPr>
              <w:t>0</w:t>
            </w:r>
          </w:p>
        </w:tc>
        <w:tc>
          <w:tcPr>
            <w:tcW w:w="1526" w:type="dxa"/>
          </w:tcPr>
          <w:p w14:paraId="42A7B188" w14:textId="77777777" w:rsidR="00333F6C" w:rsidRPr="00724FDD" w:rsidRDefault="00333F6C" w:rsidP="00333F6C">
            <w:pPr>
              <w:jc w:val="center"/>
              <w:rPr>
                <w:b/>
                <w:noProof/>
              </w:rPr>
            </w:pPr>
          </w:p>
        </w:tc>
        <w:tc>
          <w:tcPr>
            <w:tcW w:w="1532" w:type="dxa"/>
          </w:tcPr>
          <w:p w14:paraId="36527A76" w14:textId="06DA0CD2" w:rsidR="00333F6C" w:rsidRPr="00884C9A" w:rsidRDefault="00333F6C" w:rsidP="00333F6C">
            <w:pPr>
              <w:jc w:val="center"/>
              <w:rPr>
                <w:noProof/>
              </w:rPr>
            </w:pPr>
            <w:r>
              <w:rPr>
                <w:noProof/>
              </w:rPr>
              <w:t>1.396 million in 2027</w:t>
            </w:r>
          </w:p>
        </w:tc>
        <w:tc>
          <w:tcPr>
            <w:tcW w:w="1572" w:type="dxa"/>
          </w:tcPr>
          <w:p w14:paraId="1530C25C" w14:textId="603E60F4" w:rsidR="00333F6C" w:rsidRPr="00884C9A" w:rsidRDefault="00333F6C" w:rsidP="00333F6C">
            <w:pPr>
              <w:jc w:val="center"/>
              <w:rPr>
                <w:noProof/>
              </w:rPr>
            </w:pPr>
            <w:r>
              <w:rPr>
                <w:noProof/>
              </w:rPr>
              <w:t>No results</w:t>
            </w:r>
          </w:p>
        </w:tc>
        <w:tc>
          <w:tcPr>
            <w:tcW w:w="1579" w:type="dxa"/>
          </w:tcPr>
          <w:p w14:paraId="0A9CED76" w14:textId="541A55DE" w:rsidR="00333F6C" w:rsidRPr="00884C9A" w:rsidRDefault="00333F6C" w:rsidP="00333F6C">
            <w:pPr>
              <w:jc w:val="center"/>
              <w:rPr>
                <w:noProof/>
              </w:rPr>
            </w:pPr>
            <w:r>
              <w:rPr>
                <w:noProof/>
              </w:rPr>
              <w:t>No data</w:t>
            </w:r>
          </w:p>
        </w:tc>
      </w:tr>
      <w:tr w:rsidR="00333F6C" w:rsidRPr="00AC11E4" w14:paraId="4A92AF49" w14:textId="77777777" w:rsidTr="00B202C2">
        <w:trPr>
          <w:cnfStyle w:val="000000100000" w:firstRow="0" w:lastRow="0" w:firstColumn="0" w:lastColumn="0" w:oddVBand="0" w:evenVBand="0" w:oddHBand="1" w:evenHBand="0" w:firstRowFirstColumn="0" w:firstRowLastColumn="0" w:lastRowFirstColumn="0" w:lastRowLastColumn="0"/>
        </w:trPr>
        <w:tc>
          <w:tcPr>
            <w:tcW w:w="2330" w:type="dxa"/>
          </w:tcPr>
          <w:p w14:paraId="7A4C173C" w14:textId="77777777" w:rsidR="00333F6C" w:rsidRPr="00884C9A" w:rsidRDefault="00333F6C" w:rsidP="00333F6C">
            <w:pPr>
              <w:rPr>
                <w:noProof/>
              </w:rPr>
            </w:pPr>
            <w:r>
              <w:rPr>
                <w:noProof/>
              </w:rPr>
              <w:t xml:space="preserve">Number of participants in virtual learning </w:t>
            </w:r>
          </w:p>
        </w:tc>
        <w:tc>
          <w:tcPr>
            <w:tcW w:w="1100" w:type="dxa"/>
          </w:tcPr>
          <w:p w14:paraId="5424448B" w14:textId="09ACB8D9" w:rsidR="00333F6C" w:rsidRPr="00884C9A" w:rsidRDefault="00333F6C" w:rsidP="00333F6C">
            <w:pPr>
              <w:jc w:val="center"/>
              <w:rPr>
                <w:noProof/>
              </w:rPr>
            </w:pPr>
            <w:r>
              <w:rPr>
                <w:noProof/>
              </w:rPr>
              <w:t>0</w:t>
            </w:r>
          </w:p>
        </w:tc>
        <w:tc>
          <w:tcPr>
            <w:tcW w:w="1526" w:type="dxa"/>
          </w:tcPr>
          <w:p w14:paraId="0E666A22" w14:textId="77777777" w:rsidR="00333F6C" w:rsidRPr="00724FDD" w:rsidRDefault="00333F6C" w:rsidP="00333F6C">
            <w:pPr>
              <w:jc w:val="center"/>
              <w:rPr>
                <w:b/>
                <w:noProof/>
              </w:rPr>
            </w:pPr>
          </w:p>
        </w:tc>
        <w:tc>
          <w:tcPr>
            <w:tcW w:w="1532" w:type="dxa"/>
          </w:tcPr>
          <w:p w14:paraId="0A024178" w14:textId="73DD9A16" w:rsidR="00333F6C" w:rsidRPr="00884C9A" w:rsidRDefault="00333F6C" w:rsidP="00333F6C">
            <w:pPr>
              <w:jc w:val="center"/>
              <w:rPr>
                <w:noProof/>
              </w:rPr>
            </w:pPr>
            <w:r>
              <w:rPr>
                <w:noProof/>
              </w:rPr>
              <w:t>224 300 in 2027</w:t>
            </w:r>
          </w:p>
        </w:tc>
        <w:tc>
          <w:tcPr>
            <w:tcW w:w="1572" w:type="dxa"/>
          </w:tcPr>
          <w:p w14:paraId="13964507" w14:textId="115D0EB3" w:rsidR="00333F6C" w:rsidRPr="00884C9A" w:rsidRDefault="00333F6C" w:rsidP="00333F6C">
            <w:pPr>
              <w:jc w:val="center"/>
              <w:rPr>
                <w:noProof/>
              </w:rPr>
            </w:pPr>
            <w:r>
              <w:rPr>
                <w:noProof/>
              </w:rPr>
              <w:t>No results</w:t>
            </w:r>
          </w:p>
        </w:tc>
        <w:tc>
          <w:tcPr>
            <w:tcW w:w="1579" w:type="dxa"/>
          </w:tcPr>
          <w:p w14:paraId="06E2EC5F" w14:textId="3A09B5D4" w:rsidR="00333F6C" w:rsidRPr="00884C9A" w:rsidRDefault="00333F6C" w:rsidP="00333F6C">
            <w:pPr>
              <w:jc w:val="center"/>
              <w:rPr>
                <w:noProof/>
              </w:rPr>
            </w:pPr>
            <w:r>
              <w:rPr>
                <w:noProof/>
              </w:rPr>
              <w:t>No data</w:t>
            </w:r>
          </w:p>
        </w:tc>
      </w:tr>
      <w:tr w:rsidR="00333F6C" w:rsidRPr="00AC11E4" w14:paraId="2BDDEC26" w14:textId="77777777" w:rsidTr="00B202C2">
        <w:trPr>
          <w:cnfStyle w:val="000000010000" w:firstRow="0" w:lastRow="0" w:firstColumn="0" w:lastColumn="0" w:oddVBand="0" w:evenVBand="0" w:oddHBand="0" w:evenHBand="1" w:firstRowFirstColumn="0" w:firstRowLastColumn="0" w:lastRowFirstColumn="0" w:lastRowLastColumn="0"/>
        </w:trPr>
        <w:tc>
          <w:tcPr>
            <w:tcW w:w="2330" w:type="dxa"/>
          </w:tcPr>
          <w:p w14:paraId="785B54E3" w14:textId="77777777" w:rsidR="00333F6C" w:rsidRPr="00724FDD" w:rsidRDefault="00333F6C" w:rsidP="00333F6C">
            <w:pPr>
              <w:rPr>
                <w:noProof/>
              </w:rPr>
            </w:pPr>
            <w:r>
              <w:rPr>
                <w:noProof/>
              </w:rPr>
              <w:t>Number of organisations and institutions taking part in the programme</w:t>
            </w:r>
          </w:p>
        </w:tc>
        <w:tc>
          <w:tcPr>
            <w:tcW w:w="1100" w:type="dxa"/>
          </w:tcPr>
          <w:p w14:paraId="62D492B5" w14:textId="187FD070" w:rsidR="00333F6C" w:rsidRPr="00884C9A" w:rsidRDefault="00333F6C" w:rsidP="00333F6C">
            <w:pPr>
              <w:jc w:val="center"/>
              <w:rPr>
                <w:noProof/>
              </w:rPr>
            </w:pPr>
            <w:r>
              <w:rPr>
                <w:noProof/>
              </w:rPr>
              <w:t>0</w:t>
            </w:r>
          </w:p>
        </w:tc>
        <w:tc>
          <w:tcPr>
            <w:tcW w:w="1526" w:type="dxa"/>
          </w:tcPr>
          <w:p w14:paraId="100D088B" w14:textId="77777777" w:rsidR="00333F6C" w:rsidRPr="00724FDD" w:rsidRDefault="00333F6C" w:rsidP="00333F6C">
            <w:pPr>
              <w:jc w:val="center"/>
              <w:rPr>
                <w:b/>
                <w:noProof/>
              </w:rPr>
            </w:pPr>
          </w:p>
        </w:tc>
        <w:tc>
          <w:tcPr>
            <w:tcW w:w="1532" w:type="dxa"/>
          </w:tcPr>
          <w:p w14:paraId="5F0D675A" w14:textId="3B05F3C6" w:rsidR="00333F6C" w:rsidRPr="00884C9A" w:rsidRDefault="00333F6C" w:rsidP="00333F6C">
            <w:pPr>
              <w:jc w:val="center"/>
              <w:rPr>
                <w:noProof/>
              </w:rPr>
            </w:pPr>
            <w:r>
              <w:rPr>
                <w:noProof/>
              </w:rPr>
              <w:t>2 200 in 2027</w:t>
            </w:r>
          </w:p>
        </w:tc>
        <w:tc>
          <w:tcPr>
            <w:tcW w:w="1572" w:type="dxa"/>
          </w:tcPr>
          <w:p w14:paraId="2042E401" w14:textId="219166D3" w:rsidR="00333F6C" w:rsidRPr="00884C9A" w:rsidRDefault="00333F6C" w:rsidP="00333F6C">
            <w:pPr>
              <w:jc w:val="center"/>
              <w:rPr>
                <w:noProof/>
              </w:rPr>
            </w:pPr>
            <w:r>
              <w:rPr>
                <w:noProof/>
              </w:rPr>
              <w:t>No results</w:t>
            </w:r>
          </w:p>
        </w:tc>
        <w:tc>
          <w:tcPr>
            <w:tcW w:w="1579" w:type="dxa"/>
          </w:tcPr>
          <w:p w14:paraId="4131BAF4" w14:textId="62227A34" w:rsidR="00333F6C" w:rsidRPr="00884C9A" w:rsidRDefault="00333F6C" w:rsidP="00333F6C">
            <w:pPr>
              <w:jc w:val="center"/>
              <w:rPr>
                <w:noProof/>
              </w:rPr>
            </w:pPr>
            <w:r>
              <w:rPr>
                <w:noProof/>
              </w:rPr>
              <w:t>No data</w:t>
            </w:r>
          </w:p>
        </w:tc>
      </w:tr>
      <w:tr w:rsidR="00333F6C" w:rsidRPr="00AC11E4" w14:paraId="7FDA4E7F" w14:textId="77777777" w:rsidTr="00B202C2">
        <w:trPr>
          <w:cnfStyle w:val="000000100000" w:firstRow="0" w:lastRow="0" w:firstColumn="0" w:lastColumn="0" w:oddVBand="0" w:evenVBand="0" w:oddHBand="1" w:evenHBand="0" w:firstRowFirstColumn="0" w:firstRowLastColumn="0" w:lastRowFirstColumn="0" w:lastRowLastColumn="0"/>
        </w:trPr>
        <w:tc>
          <w:tcPr>
            <w:tcW w:w="2330" w:type="dxa"/>
          </w:tcPr>
          <w:p w14:paraId="7BB9288C" w14:textId="77777777" w:rsidR="00333F6C" w:rsidRPr="00884C9A" w:rsidRDefault="00333F6C" w:rsidP="00333F6C">
            <w:pPr>
              <w:rPr>
                <w:noProof/>
              </w:rPr>
            </w:pPr>
            <w:r>
              <w:rPr>
                <w:noProof/>
              </w:rPr>
              <w:t xml:space="preserve">Number of people </w:t>
            </w:r>
            <w:r w:rsidRPr="001931DF">
              <w:rPr>
                <w:noProof/>
              </w:rPr>
              <w:t xml:space="preserve">with fewer opportunities taking part in activities </w:t>
            </w:r>
          </w:p>
        </w:tc>
        <w:tc>
          <w:tcPr>
            <w:tcW w:w="1100" w:type="dxa"/>
          </w:tcPr>
          <w:p w14:paraId="09556C4A" w14:textId="2D7C789C" w:rsidR="00333F6C" w:rsidRPr="00884C9A" w:rsidRDefault="00333F6C" w:rsidP="00333F6C">
            <w:pPr>
              <w:jc w:val="center"/>
              <w:rPr>
                <w:noProof/>
              </w:rPr>
            </w:pPr>
            <w:r>
              <w:rPr>
                <w:noProof/>
              </w:rPr>
              <w:t>0</w:t>
            </w:r>
          </w:p>
        </w:tc>
        <w:tc>
          <w:tcPr>
            <w:tcW w:w="1526" w:type="dxa"/>
          </w:tcPr>
          <w:p w14:paraId="2D27F5E0" w14:textId="77777777" w:rsidR="00333F6C" w:rsidRPr="00724FDD" w:rsidRDefault="00333F6C" w:rsidP="00333F6C">
            <w:pPr>
              <w:jc w:val="center"/>
              <w:rPr>
                <w:b/>
                <w:noProof/>
              </w:rPr>
            </w:pPr>
          </w:p>
        </w:tc>
        <w:tc>
          <w:tcPr>
            <w:tcW w:w="1532" w:type="dxa"/>
          </w:tcPr>
          <w:p w14:paraId="7110658B" w14:textId="71CFA924" w:rsidR="00333F6C" w:rsidRPr="00884C9A" w:rsidRDefault="00333F6C" w:rsidP="00333F6C">
            <w:pPr>
              <w:jc w:val="center"/>
              <w:rPr>
                <w:noProof/>
              </w:rPr>
            </w:pPr>
            <w:r>
              <w:rPr>
                <w:noProof/>
              </w:rPr>
              <w:t>2 760 in 2027</w:t>
            </w:r>
          </w:p>
        </w:tc>
        <w:tc>
          <w:tcPr>
            <w:tcW w:w="1572" w:type="dxa"/>
          </w:tcPr>
          <w:p w14:paraId="1D14772A" w14:textId="5FB6F6A7" w:rsidR="00333F6C" w:rsidRPr="00884C9A" w:rsidRDefault="00333F6C" w:rsidP="00333F6C">
            <w:pPr>
              <w:jc w:val="center"/>
              <w:rPr>
                <w:noProof/>
              </w:rPr>
            </w:pPr>
            <w:r>
              <w:rPr>
                <w:noProof/>
              </w:rPr>
              <w:t>No results</w:t>
            </w:r>
          </w:p>
        </w:tc>
        <w:tc>
          <w:tcPr>
            <w:tcW w:w="1579" w:type="dxa"/>
          </w:tcPr>
          <w:p w14:paraId="352C4EDD" w14:textId="092155BD" w:rsidR="00333F6C" w:rsidRPr="00884C9A" w:rsidRDefault="00333F6C" w:rsidP="00333F6C">
            <w:pPr>
              <w:jc w:val="center"/>
              <w:rPr>
                <w:noProof/>
              </w:rPr>
            </w:pPr>
            <w:r>
              <w:rPr>
                <w:noProof/>
              </w:rPr>
              <w:t>No data</w:t>
            </w:r>
          </w:p>
        </w:tc>
      </w:tr>
      <w:tr w:rsidR="00333F6C" w:rsidRPr="00AC11E4" w14:paraId="2E964120" w14:textId="77777777" w:rsidTr="00B202C2">
        <w:trPr>
          <w:cnfStyle w:val="000000010000" w:firstRow="0" w:lastRow="0" w:firstColumn="0" w:lastColumn="0" w:oddVBand="0" w:evenVBand="0" w:oddHBand="0" w:evenHBand="1" w:firstRowFirstColumn="0" w:firstRowLastColumn="0" w:lastRowFirstColumn="0" w:lastRowLastColumn="0"/>
        </w:trPr>
        <w:tc>
          <w:tcPr>
            <w:tcW w:w="2330" w:type="dxa"/>
          </w:tcPr>
          <w:p w14:paraId="750252A6" w14:textId="77777777" w:rsidR="00333F6C" w:rsidRPr="00884C9A" w:rsidRDefault="00333F6C" w:rsidP="00333F6C">
            <w:pPr>
              <w:rPr>
                <w:noProof/>
              </w:rPr>
            </w:pPr>
            <w:r w:rsidRPr="002A3BD7">
              <w:rPr>
                <w:noProof/>
              </w:rPr>
              <w:t xml:space="preserve">The number of small-scale partnerships supported </w:t>
            </w:r>
            <w:r>
              <w:rPr>
                <w:noProof/>
              </w:rPr>
              <w:t>by the programme</w:t>
            </w:r>
          </w:p>
        </w:tc>
        <w:tc>
          <w:tcPr>
            <w:tcW w:w="1100" w:type="dxa"/>
          </w:tcPr>
          <w:p w14:paraId="75299586" w14:textId="1A6F3FEE" w:rsidR="00333F6C" w:rsidRPr="00884C9A" w:rsidRDefault="00333F6C" w:rsidP="00333F6C">
            <w:pPr>
              <w:jc w:val="center"/>
              <w:rPr>
                <w:noProof/>
              </w:rPr>
            </w:pPr>
            <w:r>
              <w:rPr>
                <w:noProof/>
              </w:rPr>
              <w:t>0</w:t>
            </w:r>
          </w:p>
        </w:tc>
        <w:tc>
          <w:tcPr>
            <w:tcW w:w="1526" w:type="dxa"/>
          </w:tcPr>
          <w:p w14:paraId="575A332F" w14:textId="77777777" w:rsidR="00333F6C" w:rsidRPr="00724FDD" w:rsidRDefault="00333F6C" w:rsidP="00333F6C">
            <w:pPr>
              <w:jc w:val="center"/>
              <w:rPr>
                <w:b/>
                <w:noProof/>
              </w:rPr>
            </w:pPr>
          </w:p>
        </w:tc>
        <w:tc>
          <w:tcPr>
            <w:tcW w:w="1532" w:type="dxa"/>
          </w:tcPr>
          <w:p w14:paraId="3A6A7581" w14:textId="5E8591DB" w:rsidR="00333F6C" w:rsidRPr="00884C9A" w:rsidRDefault="00333F6C" w:rsidP="00333F6C">
            <w:pPr>
              <w:jc w:val="center"/>
              <w:rPr>
                <w:noProof/>
              </w:rPr>
            </w:pPr>
            <w:r>
              <w:rPr>
                <w:noProof/>
              </w:rPr>
              <w:t>8 700 in 2027</w:t>
            </w:r>
          </w:p>
        </w:tc>
        <w:tc>
          <w:tcPr>
            <w:tcW w:w="1572" w:type="dxa"/>
          </w:tcPr>
          <w:p w14:paraId="212AB121" w14:textId="5EE2EACE" w:rsidR="00333F6C" w:rsidRPr="00884C9A" w:rsidRDefault="00333F6C" w:rsidP="00333F6C">
            <w:pPr>
              <w:jc w:val="center"/>
              <w:rPr>
                <w:noProof/>
              </w:rPr>
            </w:pPr>
            <w:r>
              <w:rPr>
                <w:noProof/>
              </w:rPr>
              <w:t>No results</w:t>
            </w:r>
          </w:p>
        </w:tc>
        <w:tc>
          <w:tcPr>
            <w:tcW w:w="1579" w:type="dxa"/>
          </w:tcPr>
          <w:p w14:paraId="7DD9FB9A" w14:textId="4256D50D" w:rsidR="00333F6C" w:rsidRPr="00884C9A" w:rsidRDefault="00333F6C" w:rsidP="00333F6C">
            <w:pPr>
              <w:jc w:val="center"/>
              <w:rPr>
                <w:noProof/>
              </w:rPr>
            </w:pPr>
            <w:r>
              <w:rPr>
                <w:noProof/>
              </w:rPr>
              <w:t>No data</w:t>
            </w:r>
          </w:p>
        </w:tc>
      </w:tr>
      <w:tr w:rsidR="00333F6C" w:rsidRPr="00AC11E4" w14:paraId="49580C8B" w14:textId="77777777" w:rsidTr="00B202C2">
        <w:trPr>
          <w:cnfStyle w:val="000000100000" w:firstRow="0" w:lastRow="0" w:firstColumn="0" w:lastColumn="0" w:oddVBand="0" w:evenVBand="0" w:oddHBand="1" w:evenHBand="0" w:firstRowFirstColumn="0" w:firstRowLastColumn="0" w:lastRowFirstColumn="0" w:lastRowLastColumn="0"/>
        </w:trPr>
        <w:tc>
          <w:tcPr>
            <w:tcW w:w="2330" w:type="dxa"/>
          </w:tcPr>
          <w:p w14:paraId="554D3DF8" w14:textId="77777777" w:rsidR="00333F6C" w:rsidRPr="00884C9A" w:rsidRDefault="00333F6C" w:rsidP="00333F6C">
            <w:pPr>
              <w:rPr>
                <w:noProof/>
              </w:rPr>
            </w:pPr>
            <w:r w:rsidRPr="007D34AF">
              <w:rPr>
                <w:noProof/>
              </w:rPr>
              <w:t xml:space="preserve">The share of projects addressing climate objectives under </w:t>
            </w:r>
            <w:r>
              <w:rPr>
                <w:noProof/>
              </w:rPr>
              <w:t>cooperation projects</w:t>
            </w:r>
          </w:p>
        </w:tc>
        <w:tc>
          <w:tcPr>
            <w:tcW w:w="1100" w:type="dxa"/>
          </w:tcPr>
          <w:p w14:paraId="0F4F28AA" w14:textId="796EA443" w:rsidR="00333F6C" w:rsidRPr="00884C9A" w:rsidRDefault="00333F6C" w:rsidP="00333F6C">
            <w:pPr>
              <w:jc w:val="center"/>
              <w:rPr>
                <w:noProof/>
              </w:rPr>
            </w:pPr>
            <w:r>
              <w:rPr>
                <w:noProof/>
              </w:rPr>
              <w:t>0%</w:t>
            </w:r>
          </w:p>
        </w:tc>
        <w:tc>
          <w:tcPr>
            <w:tcW w:w="1526" w:type="dxa"/>
          </w:tcPr>
          <w:p w14:paraId="6AD7C5DE" w14:textId="77777777" w:rsidR="00333F6C" w:rsidRPr="00724FDD" w:rsidRDefault="00333F6C" w:rsidP="00333F6C">
            <w:pPr>
              <w:jc w:val="center"/>
              <w:rPr>
                <w:b/>
                <w:noProof/>
              </w:rPr>
            </w:pPr>
          </w:p>
        </w:tc>
        <w:tc>
          <w:tcPr>
            <w:tcW w:w="1532" w:type="dxa"/>
          </w:tcPr>
          <w:p w14:paraId="72CEB3C1" w14:textId="670015D8" w:rsidR="00333F6C" w:rsidRPr="00884C9A" w:rsidRDefault="00333F6C" w:rsidP="00333F6C">
            <w:pPr>
              <w:jc w:val="center"/>
              <w:rPr>
                <w:noProof/>
              </w:rPr>
            </w:pPr>
            <w:r>
              <w:rPr>
                <w:noProof/>
              </w:rPr>
              <w:t>20% in 2027</w:t>
            </w:r>
          </w:p>
        </w:tc>
        <w:tc>
          <w:tcPr>
            <w:tcW w:w="1572" w:type="dxa"/>
          </w:tcPr>
          <w:p w14:paraId="7ED2F8B5" w14:textId="18382300" w:rsidR="00333F6C" w:rsidRPr="00884C9A" w:rsidRDefault="00333F6C" w:rsidP="00333F6C">
            <w:pPr>
              <w:jc w:val="center"/>
              <w:rPr>
                <w:noProof/>
              </w:rPr>
            </w:pPr>
            <w:r>
              <w:rPr>
                <w:noProof/>
              </w:rPr>
              <w:t>No results</w:t>
            </w:r>
          </w:p>
        </w:tc>
        <w:tc>
          <w:tcPr>
            <w:tcW w:w="1579" w:type="dxa"/>
          </w:tcPr>
          <w:p w14:paraId="7E9C32DC" w14:textId="3CA37138" w:rsidR="00333F6C" w:rsidRPr="00884C9A" w:rsidRDefault="00333F6C" w:rsidP="00333F6C">
            <w:pPr>
              <w:jc w:val="center"/>
              <w:rPr>
                <w:noProof/>
              </w:rPr>
            </w:pPr>
            <w:r>
              <w:rPr>
                <w:noProof/>
              </w:rPr>
              <w:t>No data</w:t>
            </w:r>
          </w:p>
        </w:tc>
      </w:tr>
    </w:tbl>
    <w:p w14:paraId="51E61C9E" w14:textId="77777777" w:rsidR="00EB0337" w:rsidRPr="00C20F3F" w:rsidRDefault="00EB0337" w:rsidP="00EB0337">
      <w:pPr>
        <w:pStyle w:val="ppoListHyphened-L1"/>
        <w:numPr>
          <w:ilvl w:val="0"/>
          <w:numId w:val="0"/>
        </w:numPr>
        <w:ind w:left="357"/>
        <w:jc w:val="both"/>
        <w:rPr>
          <w:rFonts w:eastAsia="EC Square Sans Pro" w:cs="EC Square Sans Pro"/>
          <w:noProof/>
        </w:rPr>
      </w:pPr>
    </w:p>
    <w:p w14:paraId="03E4B75D" w14:textId="77777777" w:rsidR="00EB0337" w:rsidRPr="00EB7DB7" w:rsidRDefault="00EB0337" w:rsidP="00EB0337">
      <w:pPr>
        <w:pStyle w:val="ppoListHyphened-L1"/>
        <w:jc w:val="both"/>
        <w:rPr>
          <w:rFonts w:eastAsia="EC Square Sans Pro" w:cs="EC Square Sans Pro"/>
          <w:bCs/>
          <w:noProof/>
        </w:rPr>
      </w:pPr>
      <w:r>
        <w:rPr>
          <w:noProof/>
        </w:rPr>
        <w:t xml:space="preserve">2021 started as an atypical year in terms of performance of the programme, but </w:t>
      </w:r>
      <w:r w:rsidRPr="008F43FC">
        <w:rPr>
          <w:noProof/>
        </w:rPr>
        <w:t xml:space="preserve">the Commission took mitigating measures to minimise </w:t>
      </w:r>
      <w:r>
        <w:rPr>
          <w:noProof/>
        </w:rPr>
        <w:t xml:space="preserve">the </w:t>
      </w:r>
      <w:r w:rsidRPr="008F43FC">
        <w:rPr>
          <w:noProof/>
        </w:rPr>
        <w:t>consequences of th</w:t>
      </w:r>
      <w:r>
        <w:rPr>
          <w:noProof/>
        </w:rPr>
        <w:t>e late adoption of the legal basis in May 2021</w:t>
      </w:r>
      <w:r w:rsidRPr="008F43FC">
        <w:rPr>
          <w:noProof/>
        </w:rPr>
        <w:t xml:space="preserve">, in cooperation with national authorities, national agencies and the </w:t>
      </w:r>
      <w:r>
        <w:rPr>
          <w:noProof/>
        </w:rPr>
        <w:t>e</w:t>
      </w:r>
      <w:r w:rsidRPr="008F43FC">
        <w:rPr>
          <w:noProof/>
        </w:rPr>
        <w:t xml:space="preserve">xecutive </w:t>
      </w:r>
      <w:r>
        <w:rPr>
          <w:noProof/>
        </w:rPr>
        <w:t>a</w:t>
      </w:r>
      <w:r w:rsidRPr="008F43FC">
        <w:rPr>
          <w:noProof/>
        </w:rPr>
        <w:t>gency.</w:t>
      </w:r>
      <w:r>
        <w:rPr>
          <w:noProof/>
        </w:rPr>
        <w:t xml:space="preserve"> This enabled both the continuity of support for the education and training, youth and sport sectors and the launch of the main new actions and formats of the programme, for instance </w:t>
      </w:r>
      <w:r>
        <w:rPr>
          <w:noProof/>
          <w:sz w:val="23"/>
          <w:szCs w:val="23"/>
        </w:rPr>
        <w:t xml:space="preserve">the reinforced use of </w:t>
      </w:r>
      <w:r w:rsidRPr="00EF5B13">
        <w:rPr>
          <w:bCs/>
          <w:noProof/>
          <w:sz w:val="23"/>
          <w:szCs w:val="23"/>
        </w:rPr>
        <w:t>mobility accreditation processes</w:t>
      </w:r>
      <w:r w:rsidRPr="00EB7DB7">
        <w:rPr>
          <w:bCs/>
          <w:noProof/>
          <w:sz w:val="23"/>
          <w:szCs w:val="23"/>
        </w:rPr>
        <w:t xml:space="preserve"> and support to </w:t>
      </w:r>
      <w:r w:rsidRPr="00EF5B13">
        <w:rPr>
          <w:bCs/>
          <w:noProof/>
        </w:rPr>
        <w:t>small-scale partnerships.</w:t>
      </w:r>
    </w:p>
    <w:p w14:paraId="785B15B7" w14:textId="77777777" w:rsidR="00EB0337" w:rsidRDefault="00EB0337" w:rsidP="00EB0337">
      <w:pPr>
        <w:pStyle w:val="ppoListHyphened-L1"/>
        <w:jc w:val="both"/>
        <w:rPr>
          <w:noProof/>
        </w:rPr>
      </w:pPr>
      <w:r w:rsidRPr="003F2C60">
        <w:rPr>
          <w:noProof/>
        </w:rPr>
        <w:t xml:space="preserve">Given the delay in the negotiation of the external instruments and the adoption of the legal basis, only a limited number of </w:t>
      </w:r>
      <w:r>
        <w:rPr>
          <w:noProof/>
        </w:rPr>
        <w:t>h</w:t>
      </w:r>
      <w:r w:rsidRPr="004962AF">
        <w:rPr>
          <w:noProof/>
        </w:rPr>
        <w:t>eading 6</w:t>
      </w:r>
      <w:r>
        <w:rPr>
          <w:noProof/>
        </w:rPr>
        <w:t xml:space="preserve"> </w:t>
      </w:r>
      <w:r>
        <w:rPr>
          <w:noProof/>
        </w:rPr>
        <w:noBreakHyphen/>
      </w:r>
      <w:r w:rsidRPr="003F2C60">
        <w:rPr>
          <w:noProof/>
        </w:rPr>
        <w:t xml:space="preserve">funded international actions were made available in 2021. The whole range of international actions (including new actions such as capacity building in </w:t>
      </w:r>
      <w:r>
        <w:rPr>
          <w:noProof/>
        </w:rPr>
        <w:t>vocational education and training</w:t>
      </w:r>
      <w:r w:rsidRPr="003F2C60">
        <w:rPr>
          <w:noProof/>
        </w:rPr>
        <w:t xml:space="preserve"> and sport) ha</w:t>
      </w:r>
      <w:r>
        <w:rPr>
          <w:noProof/>
        </w:rPr>
        <w:t>s</w:t>
      </w:r>
      <w:r w:rsidRPr="003F2C60">
        <w:rPr>
          <w:noProof/>
        </w:rPr>
        <w:t xml:space="preserve"> become available as of the 2022 Erasmus+ calls.</w:t>
      </w:r>
    </w:p>
    <w:p w14:paraId="595D10C1" w14:textId="77777777" w:rsidR="00EB0337" w:rsidRDefault="00EB0337" w:rsidP="00EB0337">
      <w:pPr>
        <w:pStyle w:val="ppoListHyphened-L1"/>
        <w:numPr>
          <w:ilvl w:val="0"/>
          <w:numId w:val="0"/>
        </w:numPr>
        <w:ind w:left="357"/>
        <w:jc w:val="both"/>
        <w:rPr>
          <w:noProof/>
        </w:rPr>
      </w:pPr>
      <w:r>
        <w:rPr>
          <w:noProof/>
        </w:rPr>
        <w:t>In 2021, the COVID-19 pandemic continued to</w:t>
      </w:r>
      <w:r w:rsidRPr="00BD28AB">
        <w:rPr>
          <w:noProof/>
        </w:rPr>
        <w:t xml:space="preserve"> </w:t>
      </w:r>
      <w:r>
        <w:rPr>
          <w:noProof/>
        </w:rPr>
        <w:t xml:space="preserve">heavily impact the actions financed under the programme </w:t>
      </w:r>
      <w:r w:rsidRPr="00EF5B13">
        <w:rPr>
          <w:noProof/>
        </w:rPr>
        <w:t>for mobility opportunities</w:t>
      </w:r>
      <w:r>
        <w:rPr>
          <w:noProof/>
        </w:rPr>
        <w:t xml:space="preserve">, yet reorientation measures were implemented to mitigate its effects as much as possible. </w:t>
      </w:r>
      <w:r w:rsidRPr="00EF5B13">
        <w:rPr>
          <w:noProof/>
        </w:rPr>
        <w:t xml:space="preserve">This was translated in budgetary terms as an overall reduction of the mobility budget </w:t>
      </w:r>
      <w:r>
        <w:rPr>
          <w:noProof/>
        </w:rPr>
        <w:t>set</w:t>
      </w:r>
      <w:r w:rsidRPr="00EF5B13">
        <w:rPr>
          <w:noProof/>
        </w:rPr>
        <w:t xml:space="preserve"> under key action</w:t>
      </w:r>
      <w:r>
        <w:rPr>
          <w:rFonts w:ascii="Calibri" w:hAnsi="Calibri" w:cs="Calibri"/>
          <w:noProof/>
        </w:rPr>
        <w:t> </w:t>
      </w:r>
      <w:r w:rsidRPr="00EF5B13">
        <w:rPr>
          <w:noProof/>
        </w:rPr>
        <w:t>1, to the benefit of partnerships under key action</w:t>
      </w:r>
      <w:r>
        <w:rPr>
          <w:rFonts w:ascii="Calibri" w:hAnsi="Calibri" w:cs="Calibri"/>
          <w:noProof/>
        </w:rPr>
        <w:t> </w:t>
      </w:r>
      <w:r w:rsidRPr="00EF5B13">
        <w:rPr>
          <w:noProof/>
        </w:rPr>
        <w:t>2.</w:t>
      </w:r>
    </w:p>
    <w:p w14:paraId="62589EF1" w14:textId="77777777" w:rsidR="00EB0337" w:rsidRPr="00EB7DB7" w:rsidRDefault="00EB0337" w:rsidP="00EB0337">
      <w:pPr>
        <w:pStyle w:val="ppoListHyphened-L1"/>
        <w:jc w:val="both"/>
        <w:rPr>
          <w:bCs/>
          <w:noProof/>
        </w:rPr>
      </w:pPr>
      <w:r>
        <w:rPr>
          <w:noProof/>
        </w:rPr>
        <w:t xml:space="preserve">In 2021, the Commission successfully concluded negotiations with the Member States on the new framework for European cooperation in education and training for the next decade. With a view to effectively contributing to the achievement of </w:t>
      </w:r>
      <w:r w:rsidRPr="00EF5B13">
        <w:rPr>
          <w:bCs/>
          <w:noProof/>
        </w:rPr>
        <w:t>the European education area by 2025</w:t>
      </w:r>
      <w:r>
        <w:rPr>
          <w:noProof/>
        </w:rPr>
        <w:t xml:space="preserve">, seven European education area strategic framework working groups have been launched in November 2021 as part of the strategic framework for European cooperation in education and training towards the European education area and beyond (2021-2030). </w:t>
      </w:r>
      <w:r w:rsidRPr="00EB7DB7">
        <w:rPr>
          <w:noProof/>
        </w:rPr>
        <w:t xml:space="preserve">The </w:t>
      </w:r>
      <w:r w:rsidRPr="00EF5B13">
        <w:rPr>
          <w:noProof/>
        </w:rPr>
        <w:t>European universities initiative</w:t>
      </w:r>
      <w:r>
        <w:rPr>
          <w:noProof/>
        </w:rPr>
        <w:t xml:space="preserve"> is paving the way for the transformation of higher education by building the universities of the future. So far 41 European universities were selected under Erasmus+. 2021 also saw the roll-out of the </w:t>
      </w:r>
      <w:r w:rsidRPr="00EF5B13">
        <w:rPr>
          <w:bCs/>
          <w:noProof/>
        </w:rPr>
        <w:t>centres of vocational excellence</w:t>
      </w:r>
      <w:r w:rsidRPr="00EB7DB7">
        <w:rPr>
          <w:bCs/>
          <w:noProof/>
        </w:rPr>
        <w:t xml:space="preserve"> and the launch of the </w:t>
      </w:r>
      <w:r w:rsidRPr="00EF5B13">
        <w:rPr>
          <w:bCs/>
          <w:noProof/>
        </w:rPr>
        <w:t>Erasmus+ teacher academies.</w:t>
      </w:r>
    </w:p>
    <w:p w14:paraId="7CD673CA" w14:textId="77777777" w:rsidR="00EB0337" w:rsidRPr="00EB7DB7" w:rsidRDefault="00EB0337" w:rsidP="00EB0337">
      <w:pPr>
        <w:pStyle w:val="ppoListHyphened-L1"/>
        <w:jc w:val="both"/>
        <w:rPr>
          <w:bCs/>
          <w:noProof/>
        </w:rPr>
      </w:pPr>
      <w:r w:rsidRPr="00EF5B13">
        <w:rPr>
          <w:bCs/>
          <w:noProof/>
        </w:rPr>
        <w:t>The European student card initiative</w:t>
      </w:r>
      <w:r w:rsidRPr="00EB7DB7">
        <w:rPr>
          <w:bCs/>
          <w:noProof/>
        </w:rPr>
        <w:t xml:space="preserve"> aims at making it as easy as possible for students across Europe to be mobile. Through its key components</w:t>
      </w:r>
      <w:r w:rsidRPr="00EB7DB7">
        <w:rPr>
          <w:rFonts w:ascii="Calibri" w:hAnsi="Calibri" w:cs="Calibri"/>
          <w:bCs/>
          <w:noProof/>
        </w:rPr>
        <w:t> </w:t>
      </w:r>
      <w:r w:rsidRPr="00EB7DB7">
        <w:rPr>
          <w:bCs/>
          <w:noProof/>
        </w:rPr>
        <w:t>– the Erasmus+ mobile app, the European student card and the digitalisation of the student mobility management</w:t>
      </w:r>
      <w:r w:rsidRPr="00EB7DB7">
        <w:rPr>
          <w:rFonts w:ascii="Calibri" w:hAnsi="Calibri" w:cs="Calibri"/>
          <w:bCs/>
          <w:noProof/>
        </w:rPr>
        <w:t> </w:t>
      </w:r>
      <w:r w:rsidRPr="00EB7DB7">
        <w:rPr>
          <w:bCs/>
          <w:noProof/>
        </w:rPr>
        <w:t xml:space="preserve">– the initiative constitutes a real revolution for the simplification of the way universities manage student mobility. By the end of 2021, the </w:t>
      </w:r>
      <w:r w:rsidRPr="00EF5B13">
        <w:rPr>
          <w:bCs/>
          <w:noProof/>
        </w:rPr>
        <w:t>Erasmus+ mobile app</w:t>
      </w:r>
      <w:r w:rsidRPr="00EB7DB7">
        <w:rPr>
          <w:bCs/>
          <w:noProof/>
        </w:rPr>
        <w:t xml:space="preserve"> had been downloaded more than 138</w:t>
      </w:r>
      <w:r w:rsidRPr="00EB7DB7">
        <w:rPr>
          <w:rFonts w:ascii="Calibri" w:hAnsi="Calibri" w:cs="Calibri"/>
          <w:bCs/>
          <w:noProof/>
        </w:rPr>
        <w:t> </w:t>
      </w:r>
      <w:r w:rsidRPr="00EB7DB7">
        <w:rPr>
          <w:bCs/>
          <w:noProof/>
        </w:rPr>
        <w:t>800</w:t>
      </w:r>
      <w:r w:rsidRPr="00EB7DB7">
        <w:rPr>
          <w:rFonts w:ascii="Calibri" w:hAnsi="Calibri" w:cs="Calibri"/>
          <w:bCs/>
          <w:noProof/>
        </w:rPr>
        <w:t xml:space="preserve"> </w:t>
      </w:r>
      <w:r w:rsidRPr="00EB7DB7">
        <w:rPr>
          <w:bCs/>
          <w:noProof/>
        </w:rPr>
        <w:t>times and more than 2</w:t>
      </w:r>
      <w:r w:rsidRPr="00EB7DB7">
        <w:rPr>
          <w:rFonts w:ascii="Calibri" w:hAnsi="Calibri" w:cs="Calibri"/>
          <w:bCs/>
          <w:noProof/>
        </w:rPr>
        <w:t> </w:t>
      </w:r>
      <w:r w:rsidRPr="00EB7DB7">
        <w:rPr>
          <w:bCs/>
          <w:noProof/>
        </w:rPr>
        <w:t>600</w:t>
      </w:r>
      <w:r w:rsidRPr="00EB7DB7">
        <w:rPr>
          <w:rFonts w:ascii="Calibri" w:hAnsi="Calibri" w:cs="Calibri"/>
          <w:bCs/>
          <w:noProof/>
        </w:rPr>
        <w:t> </w:t>
      </w:r>
      <w:r w:rsidRPr="00EB7DB7">
        <w:rPr>
          <w:bCs/>
          <w:noProof/>
        </w:rPr>
        <w:t>000</w:t>
      </w:r>
      <w:r w:rsidRPr="00EB7DB7">
        <w:rPr>
          <w:rFonts w:ascii="Calibri" w:hAnsi="Calibri" w:cs="Calibri"/>
          <w:bCs/>
          <w:noProof/>
        </w:rPr>
        <w:t xml:space="preserve"> </w:t>
      </w:r>
      <w:r w:rsidRPr="00EB7DB7">
        <w:rPr>
          <w:bCs/>
          <w:noProof/>
        </w:rPr>
        <w:t>European student cards were produced.</w:t>
      </w:r>
    </w:p>
    <w:p w14:paraId="4A251055" w14:textId="77777777" w:rsidR="00EB0337" w:rsidRPr="00EB7DB7" w:rsidRDefault="00EB0337" w:rsidP="00EB0337">
      <w:pPr>
        <w:pStyle w:val="ppoListHyphened-L1"/>
        <w:jc w:val="both"/>
        <w:rPr>
          <w:bCs/>
          <w:noProof/>
        </w:rPr>
      </w:pPr>
      <w:r w:rsidRPr="00EB7DB7">
        <w:rPr>
          <w:bCs/>
          <w:noProof/>
        </w:rPr>
        <w:t xml:space="preserve">In 2021, the Directorate-General for Education, Youth, Sport and Culture started the implementation of the </w:t>
      </w:r>
      <w:r w:rsidRPr="00EF5B13">
        <w:rPr>
          <w:bCs/>
          <w:noProof/>
        </w:rPr>
        <w:t xml:space="preserve">digital education action plan 2021-2027, </w:t>
      </w:r>
      <w:r w:rsidRPr="00EB7DB7">
        <w:rPr>
          <w:bCs/>
          <w:noProof/>
        </w:rPr>
        <w:t>building on the achievements of the previous plan. One of the main actions was the publication and award of an open call for support services for the digital education hub, which will see its full roll</w:t>
      </w:r>
      <w:r w:rsidRPr="00EB7DB7">
        <w:rPr>
          <w:bCs/>
          <w:noProof/>
        </w:rPr>
        <w:noBreakHyphen/>
        <w:t>out in 2022. Other key actions were the extension of the successful ‘Selfie’ self-reflection tool for teachers (‘Selfie for Teachers’) to help them further develop their digital skills; and the digital education hackathon, which took place on 9-10</w:t>
      </w:r>
      <w:r w:rsidRPr="00EB7DB7">
        <w:rPr>
          <w:rFonts w:ascii="Calibri" w:hAnsi="Calibri" w:cs="Calibri"/>
          <w:bCs/>
          <w:noProof/>
        </w:rPr>
        <w:t> </w:t>
      </w:r>
      <w:r w:rsidRPr="00EB7DB7">
        <w:rPr>
          <w:bCs/>
          <w:noProof/>
        </w:rPr>
        <w:t>November for a third year in more than 50</w:t>
      </w:r>
      <w:r w:rsidRPr="00EB7DB7">
        <w:rPr>
          <w:rFonts w:ascii="Calibri" w:hAnsi="Calibri" w:cs="Calibri"/>
          <w:bCs/>
          <w:noProof/>
        </w:rPr>
        <w:t xml:space="preserve"> </w:t>
      </w:r>
      <w:r w:rsidRPr="00EB7DB7">
        <w:rPr>
          <w:bCs/>
          <w:noProof/>
        </w:rPr>
        <w:t>locations across 32</w:t>
      </w:r>
      <w:r w:rsidRPr="00EB7DB7">
        <w:rPr>
          <w:rFonts w:ascii="Calibri" w:hAnsi="Calibri" w:cs="Calibri"/>
          <w:bCs/>
          <w:noProof/>
        </w:rPr>
        <w:t xml:space="preserve"> </w:t>
      </w:r>
      <w:r w:rsidRPr="00EB7DB7">
        <w:rPr>
          <w:bCs/>
          <w:noProof/>
        </w:rPr>
        <w:t>countries globally, engaging just under 2</w:t>
      </w:r>
      <w:r w:rsidRPr="00EB7DB7">
        <w:rPr>
          <w:rFonts w:ascii="Calibri" w:hAnsi="Calibri" w:cs="Calibri"/>
          <w:bCs/>
          <w:noProof/>
        </w:rPr>
        <w:t> </w:t>
      </w:r>
      <w:r w:rsidRPr="00EB7DB7">
        <w:rPr>
          <w:bCs/>
          <w:noProof/>
        </w:rPr>
        <w:t>500</w:t>
      </w:r>
      <w:r w:rsidRPr="00EB7DB7">
        <w:rPr>
          <w:rFonts w:ascii="Calibri" w:hAnsi="Calibri" w:cs="Calibri"/>
          <w:bCs/>
          <w:noProof/>
        </w:rPr>
        <w:t> </w:t>
      </w:r>
      <w:r w:rsidRPr="00EB7DB7">
        <w:rPr>
          <w:bCs/>
          <w:noProof/>
        </w:rPr>
        <w:t>participants.</w:t>
      </w:r>
    </w:p>
    <w:p w14:paraId="0AF061C7" w14:textId="77777777" w:rsidR="00EB0337" w:rsidRPr="00EB7DB7" w:rsidRDefault="00EB0337" w:rsidP="00EB0337">
      <w:pPr>
        <w:pStyle w:val="ppoListHyphened-L1"/>
        <w:jc w:val="both"/>
        <w:rPr>
          <w:bCs/>
          <w:noProof/>
        </w:rPr>
      </w:pPr>
      <w:r w:rsidRPr="00EB7DB7">
        <w:rPr>
          <w:bCs/>
          <w:noProof/>
        </w:rPr>
        <w:t xml:space="preserve">The 2021 call for </w:t>
      </w:r>
      <w:r w:rsidRPr="00EF5B13">
        <w:rPr>
          <w:bCs/>
          <w:noProof/>
        </w:rPr>
        <w:t>Erasmus Mundus</w:t>
      </w:r>
      <w:r w:rsidRPr="00EB7DB7">
        <w:rPr>
          <w:bCs/>
          <w:noProof/>
        </w:rPr>
        <w:t xml:space="preserve"> </w:t>
      </w:r>
      <w:r>
        <w:rPr>
          <w:bCs/>
          <w:noProof/>
        </w:rPr>
        <w:t xml:space="preserve">applications </w:t>
      </w:r>
      <w:r w:rsidRPr="00EB7DB7">
        <w:rPr>
          <w:bCs/>
          <w:noProof/>
        </w:rPr>
        <w:t>included major changes in order to make its joint masters more attractive, sustainable, inclusive and international, and to simplify its application process and management. These changes are symbolised by the shift from the Erasmus+ key action</w:t>
      </w:r>
      <w:r w:rsidRPr="00EB7DB7">
        <w:rPr>
          <w:rFonts w:ascii="Calibri" w:hAnsi="Calibri" w:cs="Calibri"/>
          <w:bCs/>
          <w:noProof/>
        </w:rPr>
        <w:t> </w:t>
      </w:r>
      <w:r w:rsidRPr="00EB7DB7">
        <w:rPr>
          <w:bCs/>
          <w:noProof/>
        </w:rPr>
        <w:t>1 to key</w:t>
      </w:r>
      <w:r w:rsidRPr="00EB7DB7">
        <w:rPr>
          <w:rFonts w:ascii="Calibri" w:hAnsi="Calibri" w:cs="Calibri"/>
          <w:bCs/>
          <w:noProof/>
        </w:rPr>
        <w:t xml:space="preserve"> </w:t>
      </w:r>
      <w:r w:rsidRPr="00EB7DB7">
        <w:rPr>
          <w:bCs/>
          <w:noProof/>
        </w:rPr>
        <w:t>action</w:t>
      </w:r>
      <w:r w:rsidRPr="00EB7DB7">
        <w:rPr>
          <w:rFonts w:ascii="Calibri" w:hAnsi="Calibri" w:cs="Calibri"/>
          <w:bCs/>
          <w:noProof/>
        </w:rPr>
        <w:t> </w:t>
      </w:r>
      <w:r w:rsidRPr="00EB7DB7">
        <w:rPr>
          <w:bCs/>
          <w:noProof/>
        </w:rPr>
        <w:t>2, highlighting the component of cooperation between higher education institutions while still maintaining student mobility. The new set of measures</w:t>
      </w:r>
      <w:r w:rsidRPr="00EB7DB7">
        <w:rPr>
          <w:rFonts w:ascii="Calibri" w:hAnsi="Calibri" w:cs="Calibri"/>
          <w:bCs/>
          <w:noProof/>
        </w:rPr>
        <w:t> </w:t>
      </w:r>
      <w:r w:rsidRPr="00EB7DB7">
        <w:rPr>
          <w:bCs/>
          <w:noProof/>
        </w:rPr>
        <w:t>– the Erasmus Mundus design measures</w:t>
      </w:r>
      <w:r w:rsidRPr="00EB7DB7">
        <w:rPr>
          <w:rFonts w:ascii="Calibri" w:hAnsi="Calibri" w:cs="Calibri"/>
          <w:bCs/>
          <w:noProof/>
        </w:rPr>
        <w:t> </w:t>
      </w:r>
      <w:r w:rsidRPr="00EB7DB7">
        <w:rPr>
          <w:bCs/>
          <w:noProof/>
        </w:rPr>
        <w:t>– proved the demand for such a bridging activity, with 148 applications received, including 41 from non-EU countries not associated with the programme.</w:t>
      </w:r>
    </w:p>
    <w:p w14:paraId="42E3BB0D" w14:textId="77777777" w:rsidR="00EB0337" w:rsidRPr="00EB7DB7" w:rsidRDefault="00EB0337" w:rsidP="00EB0337">
      <w:pPr>
        <w:pStyle w:val="ppoListHyphened-L1"/>
        <w:jc w:val="both"/>
        <w:rPr>
          <w:bCs/>
          <w:noProof/>
        </w:rPr>
      </w:pPr>
      <w:r w:rsidRPr="00EB7DB7">
        <w:rPr>
          <w:bCs/>
          <w:noProof/>
        </w:rPr>
        <w:t xml:space="preserve">In 2021 the new </w:t>
      </w:r>
      <w:r w:rsidRPr="00EF5B13">
        <w:rPr>
          <w:bCs/>
          <w:noProof/>
        </w:rPr>
        <w:t>Jean Monnet</w:t>
      </w:r>
      <w:r w:rsidRPr="00EB7DB7">
        <w:rPr>
          <w:bCs/>
          <w:noProof/>
        </w:rPr>
        <w:t xml:space="preserve"> activities for other levels of education and training were launched for the first time: 20 Jean Monnet teacher training activities and two Jean Monnet networks for other levels of education and training could be selected for funding under the Erasmus+ call for 2021.</w:t>
      </w:r>
    </w:p>
    <w:p w14:paraId="358BBE8F" w14:textId="77777777" w:rsidR="00EB0337" w:rsidRPr="00EB7DB7" w:rsidRDefault="00EB0337" w:rsidP="00EB0337">
      <w:pPr>
        <w:pStyle w:val="ppoListHyphened-L1"/>
        <w:jc w:val="both"/>
        <w:rPr>
          <w:rFonts w:eastAsia="EC Square Sans Pro" w:cs="EC Square Sans Pro"/>
          <w:bCs/>
          <w:noProof/>
        </w:rPr>
      </w:pPr>
      <w:r w:rsidRPr="00EF5B13">
        <w:rPr>
          <w:bCs/>
          <w:noProof/>
        </w:rPr>
        <w:t>The EU youth strategy 2019-2027</w:t>
      </w:r>
      <w:r w:rsidRPr="00EB7DB7">
        <w:rPr>
          <w:bCs/>
          <w:noProof/>
        </w:rPr>
        <w:t xml:space="preserve"> was rolled out and adapted to take into account the major impact of COVID-19 on the youth sector</w:t>
      </w:r>
      <w:r w:rsidRPr="00EF5B13">
        <w:rPr>
          <w:bCs/>
          <w:noProof/>
        </w:rPr>
        <w:t xml:space="preserve">. </w:t>
      </w:r>
      <w:r w:rsidRPr="00EB7DB7">
        <w:rPr>
          <w:bCs/>
          <w:noProof/>
        </w:rPr>
        <w:t>After the forced break from activities in 2020 due to the disruptive impact of the pandemic on mobility, the</w:t>
      </w:r>
      <w:r w:rsidRPr="00EF5B13">
        <w:rPr>
          <w:bCs/>
          <w:noProof/>
        </w:rPr>
        <w:t xml:space="preserve"> DiscoverEU</w:t>
      </w:r>
      <w:r w:rsidRPr="00EB7DB7">
        <w:rPr>
          <w:bCs/>
          <w:noProof/>
        </w:rPr>
        <w:t xml:space="preserve"> call in October 2021 enjoyed overwhelming success with three times more participants (over 330</w:t>
      </w:r>
      <w:r w:rsidRPr="00EB7DB7">
        <w:rPr>
          <w:rFonts w:ascii="Calibri" w:hAnsi="Calibri" w:cs="Calibri"/>
          <w:bCs/>
          <w:noProof/>
        </w:rPr>
        <w:t> </w:t>
      </w:r>
      <w:r w:rsidRPr="00EB7DB7">
        <w:rPr>
          <w:bCs/>
          <w:noProof/>
        </w:rPr>
        <w:t xml:space="preserve">000) and nearly as many young people as in the previous four rounds combined. </w:t>
      </w:r>
      <w:r w:rsidRPr="00EF5B13">
        <w:rPr>
          <w:bCs/>
          <w:noProof/>
        </w:rPr>
        <w:t>Youth participation activities</w:t>
      </w:r>
      <w:r w:rsidRPr="00EB7DB7">
        <w:rPr>
          <w:bCs/>
          <w:noProof/>
        </w:rPr>
        <w:t xml:space="preserve"> have also been launched in 2021; this new programme action aims to enhance young people’s skills, competences and active citizenship, and complements the existing support</w:t>
      </w:r>
      <w:r w:rsidRPr="00EF5B13">
        <w:rPr>
          <w:bCs/>
          <w:noProof/>
        </w:rPr>
        <w:t xml:space="preserve"> </w:t>
      </w:r>
      <w:r w:rsidRPr="00EB7DB7">
        <w:rPr>
          <w:bCs/>
          <w:noProof/>
        </w:rPr>
        <w:t xml:space="preserve">to non-formal learning activities, such as </w:t>
      </w:r>
      <w:r w:rsidRPr="00EF5B13">
        <w:rPr>
          <w:bCs/>
          <w:noProof/>
        </w:rPr>
        <w:t>youth exchanges</w:t>
      </w:r>
      <w:r w:rsidRPr="00EB7DB7">
        <w:rPr>
          <w:bCs/>
          <w:noProof/>
        </w:rPr>
        <w:t xml:space="preserve"> bringing together young people from different countries to exchange and learn outside their formal educational system.</w:t>
      </w:r>
    </w:p>
    <w:p w14:paraId="4D1A4FD0" w14:textId="77777777" w:rsidR="00EB0337" w:rsidRPr="00EB7DB7" w:rsidRDefault="00EB0337" w:rsidP="00EB0337">
      <w:pPr>
        <w:pStyle w:val="ppoListHyphened-L1"/>
        <w:jc w:val="both"/>
        <w:rPr>
          <w:bCs/>
          <w:noProof/>
        </w:rPr>
      </w:pPr>
      <w:r w:rsidRPr="00EB7DB7">
        <w:rPr>
          <w:bCs/>
          <w:noProof/>
        </w:rPr>
        <w:t xml:space="preserve">The </w:t>
      </w:r>
      <w:r w:rsidRPr="00EF5B13">
        <w:rPr>
          <w:bCs/>
          <w:noProof/>
        </w:rPr>
        <w:t>European week of sport</w:t>
      </w:r>
      <w:r w:rsidRPr="00EB7DB7">
        <w:rPr>
          <w:bCs/>
          <w:noProof/>
        </w:rPr>
        <w:t xml:space="preserve"> saw national coordinating bodies and partners organise 42</w:t>
      </w:r>
      <w:r w:rsidRPr="00EB7DB7">
        <w:rPr>
          <w:rFonts w:ascii="Calibri" w:hAnsi="Calibri" w:cs="Calibri"/>
          <w:bCs/>
          <w:noProof/>
        </w:rPr>
        <w:t> </w:t>
      </w:r>
      <w:r w:rsidRPr="00EB7DB7">
        <w:rPr>
          <w:bCs/>
          <w:noProof/>
        </w:rPr>
        <w:t xml:space="preserve">620 events all over Europe and beyond. The #Beactive awards supported projects and individuals dedicated to promoting sport and physical activity across Europe. To highlight inspiring examples of the promotion of equality, diversity and social inclusion in sport, the Directorate-General for Education, Youth, Sport and Culture, with the support of </w:t>
      </w:r>
      <w:r w:rsidRPr="00EF5B13">
        <w:rPr>
          <w:bCs/>
          <w:noProof/>
        </w:rPr>
        <w:t>European Education</w:t>
      </w:r>
      <w:r w:rsidRPr="00EB7DB7">
        <w:rPr>
          <w:bCs/>
          <w:noProof/>
        </w:rPr>
        <w:t>, Audiovisual</w:t>
      </w:r>
      <w:r w:rsidRPr="00EF5B13">
        <w:rPr>
          <w:bCs/>
          <w:noProof/>
        </w:rPr>
        <w:t xml:space="preserve"> and Culture Executive Agency</w:t>
      </w:r>
      <w:r w:rsidRPr="00EB7DB7">
        <w:rPr>
          <w:bCs/>
          <w:noProof/>
        </w:rPr>
        <w:t>, launched a new edition of the #BeInclusive EU sport awards.</w:t>
      </w:r>
    </w:p>
    <w:p w14:paraId="0574AC91" w14:textId="77777777" w:rsidR="00EB0337" w:rsidRPr="00040D99" w:rsidRDefault="00EB0337" w:rsidP="00EB0337">
      <w:pPr>
        <w:spacing w:after="160" w:line="259" w:lineRule="auto"/>
        <w:rPr>
          <w:rFonts w:eastAsiaTheme="majorEastAsia" w:cstheme="majorBidi"/>
          <w:noProof/>
          <w:color w:val="016A13" w:themeColor="accent1" w:themeShade="BF"/>
          <w:sz w:val="48"/>
          <w:szCs w:val="32"/>
        </w:rPr>
      </w:pPr>
      <w:r w:rsidRPr="00040D99">
        <w:rPr>
          <w:noProof/>
        </w:rPr>
        <w:br w:type="page"/>
      </w:r>
    </w:p>
    <w:p w14:paraId="680CED85" w14:textId="77777777" w:rsidR="00EB0337" w:rsidRPr="00040D99" w:rsidRDefault="00EB0337" w:rsidP="00EB0337">
      <w:pPr>
        <w:pStyle w:val="ppoHeading4Green"/>
        <w:rPr>
          <w:noProof/>
        </w:rPr>
      </w:pPr>
      <w:r w:rsidRPr="00040D99">
        <w:rPr>
          <w:noProof/>
        </w:rPr>
        <w:t>M</w:t>
      </w:r>
      <w:r>
        <w:rPr>
          <w:noProof/>
        </w:rPr>
        <w:t>ULTIANNUAL FINANCIAL FRAMEWORK</w:t>
      </w:r>
      <w:r w:rsidRPr="00040D99">
        <w:rPr>
          <w:noProof/>
        </w:rPr>
        <w:t xml:space="preserve"> 2014-2020</w:t>
      </w:r>
      <w:r>
        <w:rPr>
          <w:rFonts w:ascii="Calibri" w:hAnsi="Calibri" w:cs="Calibri"/>
          <w:noProof/>
        </w:rPr>
        <w:t> </w:t>
      </w:r>
      <w:r w:rsidRPr="00040D99">
        <w:rPr>
          <w:noProof/>
        </w:rPr>
        <w:t xml:space="preserve">– </w:t>
      </w:r>
      <w:r>
        <w:rPr>
          <w:noProof/>
        </w:rPr>
        <w:t>ERASMUS+</w:t>
      </w:r>
    </w:p>
    <w:p w14:paraId="53010605" w14:textId="77777777" w:rsidR="00EB0337" w:rsidRPr="00040D99" w:rsidRDefault="00EB0337" w:rsidP="00EB0337">
      <w:pPr>
        <w:rPr>
          <w:rFonts w:eastAsiaTheme="minorEastAsia"/>
          <w:noProof/>
        </w:rPr>
      </w:pPr>
      <w:r w:rsidRPr="00D10490">
        <w:rPr>
          <w:rFonts w:eastAsiaTheme="minorEastAsia"/>
          <w:noProof/>
        </w:rPr>
        <w:t xml:space="preserve">Erasmus+ is the EU programme in the fields of education, training, youth and sport, projecting a positive image of the </w:t>
      </w:r>
      <w:r>
        <w:rPr>
          <w:rFonts w:eastAsiaTheme="minorEastAsia"/>
          <w:noProof/>
        </w:rPr>
        <w:t>EU</w:t>
      </w:r>
      <w:r w:rsidRPr="00D10490">
        <w:rPr>
          <w:rFonts w:eastAsiaTheme="minorEastAsia"/>
          <w:noProof/>
        </w:rPr>
        <w:t xml:space="preserve"> well beyond its borders.</w:t>
      </w:r>
    </w:p>
    <w:p w14:paraId="6950CD93" w14:textId="77777777" w:rsidR="00EB0337" w:rsidRPr="00040D99" w:rsidRDefault="00EB0337" w:rsidP="00EB0337">
      <w:pPr>
        <w:pStyle w:val="ppoHeading5"/>
        <w:rPr>
          <w:noProof/>
        </w:rPr>
      </w:pPr>
      <w:r w:rsidRPr="00040D99">
        <w:rPr>
          <w:noProof/>
        </w:rPr>
        <w:t>Budget</w:t>
      </w:r>
    </w:p>
    <w:p w14:paraId="5BEB5F7C" w14:textId="77777777" w:rsidR="00EB0337" w:rsidRPr="00040D99" w:rsidRDefault="00EB0337" w:rsidP="00EB0337">
      <w:pPr>
        <w:pStyle w:val="ppoTableTabletitle"/>
        <w:rPr>
          <w:noProof/>
        </w:rPr>
      </w:pPr>
      <w:r w:rsidRPr="00040D99">
        <w:rPr>
          <w:noProof/>
        </w:rPr>
        <w:t>Cumulative implementation rate at the end of 2021</w:t>
      </w:r>
      <w:r>
        <w:rPr>
          <w:noProof/>
        </w:rPr>
        <w:t xml:space="preserve"> (million</w:t>
      </w:r>
      <w:r w:rsidRPr="0021506C">
        <w:rPr>
          <w:noProof/>
        </w:rPr>
        <w:t xml:space="preserve"> </w:t>
      </w:r>
      <w:r>
        <w:rPr>
          <w:noProof/>
        </w:rPr>
        <w:t>EUR):</w:t>
      </w:r>
    </w:p>
    <w:tbl>
      <w:tblPr>
        <w:tblStyle w:val="PPO2021"/>
        <w:tblW w:w="9639" w:type="dxa"/>
        <w:tblInd w:w="108" w:type="dxa"/>
        <w:tblLook w:val="06A0" w:firstRow="1" w:lastRow="0" w:firstColumn="1" w:lastColumn="0" w:noHBand="1" w:noVBand="1"/>
      </w:tblPr>
      <w:tblGrid>
        <w:gridCol w:w="2409"/>
        <w:gridCol w:w="2410"/>
        <w:gridCol w:w="2410"/>
        <w:gridCol w:w="2410"/>
      </w:tblGrid>
      <w:tr w:rsidR="00EB0337" w:rsidRPr="00040D99" w14:paraId="1AE79D9E" w14:textId="77777777" w:rsidTr="00B20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6FBB0524" w14:textId="77777777" w:rsidR="00EB0337" w:rsidRPr="00724FDD" w:rsidRDefault="00EB0337" w:rsidP="00B202C2">
            <w:pPr>
              <w:rPr>
                <w:noProof/>
              </w:rPr>
            </w:pPr>
          </w:p>
        </w:tc>
        <w:tc>
          <w:tcPr>
            <w:tcW w:w="2410" w:type="dxa"/>
          </w:tcPr>
          <w:p w14:paraId="74C121E6" w14:textId="77777777" w:rsidR="00EB0337" w:rsidRPr="00724FDD" w:rsidRDefault="00EB0337" w:rsidP="00B202C2">
            <w:pPr>
              <w:cnfStyle w:val="100000000000" w:firstRow="1" w:lastRow="0" w:firstColumn="0" w:lastColumn="0" w:oddVBand="0" w:evenVBand="0" w:oddHBand="0" w:evenHBand="0" w:firstRowFirstColumn="0" w:firstRowLastColumn="0" w:lastRowFirstColumn="0" w:lastRowLastColumn="0"/>
              <w:rPr>
                <w:noProof/>
              </w:rPr>
            </w:pPr>
            <w:r w:rsidRPr="00724FDD">
              <w:rPr>
                <w:noProof/>
              </w:rPr>
              <w:t>Implementation</w:t>
            </w:r>
          </w:p>
        </w:tc>
        <w:tc>
          <w:tcPr>
            <w:tcW w:w="2410" w:type="dxa"/>
          </w:tcPr>
          <w:p w14:paraId="303E5D15" w14:textId="7D40C98A" w:rsidR="00EB0337" w:rsidRPr="00724FDD" w:rsidRDefault="00A84801" w:rsidP="00B202C2">
            <w:pPr>
              <w:cnfStyle w:val="100000000000" w:firstRow="1" w:lastRow="0" w:firstColumn="0" w:lastColumn="0" w:oddVBand="0" w:evenVBand="0" w:oddHBand="0" w:evenHBand="0" w:firstRowFirstColumn="0" w:firstRowLastColumn="0" w:lastRowFirstColumn="0" w:lastRowLastColumn="0"/>
              <w:rPr>
                <w:noProof/>
              </w:rPr>
            </w:pPr>
            <w:r>
              <w:rPr>
                <w:noProof/>
                <w:lang w:val="en-IE"/>
              </w:rPr>
              <w:t xml:space="preserve">2014-2020 </w:t>
            </w:r>
            <w:r w:rsidR="00EB0337" w:rsidRPr="00724FDD">
              <w:rPr>
                <w:noProof/>
              </w:rPr>
              <w:t>Budget</w:t>
            </w:r>
          </w:p>
        </w:tc>
        <w:tc>
          <w:tcPr>
            <w:tcW w:w="2410" w:type="dxa"/>
          </w:tcPr>
          <w:p w14:paraId="6385B117" w14:textId="77777777" w:rsidR="00EB0337" w:rsidRPr="00724FDD" w:rsidRDefault="00EB0337" w:rsidP="00B202C2">
            <w:pPr>
              <w:cnfStyle w:val="100000000000" w:firstRow="1" w:lastRow="0" w:firstColumn="0" w:lastColumn="0" w:oddVBand="0" w:evenVBand="0" w:oddHBand="0" w:evenHBand="0" w:firstRowFirstColumn="0" w:firstRowLastColumn="0" w:lastRowFirstColumn="0" w:lastRowLastColumn="0"/>
              <w:rPr>
                <w:noProof/>
              </w:rPr>
            </w:pPr>
            <w:r w:rsidRPr="00724FDD">
              <w:rPr>
                <w:noProof/>
              </w:rPr>
              <w:t>Implementation rate</w:t>
            </w:r>
          </w:p>
        </w:tc>
      </w:tr>
      <w:tr w:rsidR="00EB0337" w:rsidRPr="00040D99" w14:paraId="4E20DF14"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42967D35" w14:textId="77777777" w:rsidR="00EB0337" w:rsidRPr="00724FDD" w:rsidRDefault="00EB0337" w:rsidP="00B202C2">
            <w:pPr>
              <w:jc w:val="center"/>
              <w:rPr>
                <w:noProof/>
              </w:rPr>
            </w:pPr>
            <w:r w:rsidRPr="00724FDD">
              <w:rPr>
                <w:noProof/>
              </w:rPr>
              <w:t>Commitment</w:t>
            </w:r>
            <w:r>
              <w:rPr>
                <w:noProof/>
              </w:rPr>
              <w:t>s</w:t>
            </w:r>
          </w:p>
        </w:tc>
        <w:tc>
          <w:tcPr>
            <w:tcW w:w="2410" w:type="dxa"/>
          </w:tcPr>
          <w:tbl>
            <w:tblPr>
              <w:tblStyle w:val="TableGrid"/>
              <w:tblW w:w="0" w:type="auto"/>
              <w:tblLook w:val="06A0" w:firstRow="1" w:lastRow="0" w:firstColumn="1" w:lastColumn="0" w:noHBand="1" w:noVBand="1"/>
            </w:tblPr>
            <w:tblGrid>
              <w:gridCol w:w="2194"/>
            </w:tblGrid>
            <w:tr w:rsidR="00EB0337" w14:paraId="2B2EC58B" w14:textId="77777777" w:rsidTr="00B202C2">
              <w:trPr>
                <w:trHeight w:val="285"/>
              </w:trPr>
              <w:tc>
                <w:tcPr>
                  <w:tcW w:w="2290" w:type="dxa"/>
                  <w:tcBorders>
                    <w:top w:val="nil"/>
                    <w:left w:val="nil"/>
                    <w:bottom w:val="nil"/>
                    <w:right w:val="nil"/>
                  </w:tcBorders>
                  <w:vAlign w:val="bottom"/>
                </w:tcPr>
                <w:p w14:paraId="224E26AF" w14:textId="77777777" w:rsidR="00EB0337" w:rsidRDefault="00EB0337" w:rsidP="00B202C2">
                  <w:pPr>
                    <w:spacing w:before="100" w:after="100"/>
                    <w:jc w:val="center"/>
                    <w:rPr>
                      <w:noProof/>
                    </w:rPr>
                  </w:pPr>
                  <w:r w:rsidRPr="0033169C">
                    <w:rPr>
                      <w:noProof/>
                    </w:rPr>
                    <w:t>14</w:t>
                  </w:r>
                  <w:r>
                    <w:rPr>
                      <w:rFonts w:ascii="Calibri" w:hAnsi="Calibri" w:cs="Calibri"/>
                      <w:noProof/>
                    </w:rPr>
                    <w:t> </w:t>
                  </w:r>
                  <w:r w:rsidRPr="0033169C">
                    <w:rPr>
                      <w:noProof/>
                    </w:rPr>
                    <w:t>958.1</w:t>
                  </w:r>
                </w:p>
              </w:tc>
            </w:tr>
          </w:tbl>
          <w:p w14:paraId="3C5D214A" w14:textId="77777777" w:rsidR="00EB0337" w:rsidRPr="00724FDD" w:rsidRDefault="00EB0337"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EB0337" w14:paraId="45ABE73E" w14:textId="77777777" w:rsidTr="00B202C2">
              <w:trPr>
                <w:trHeight w:val="285"/>
              </w:trPr>
              <w:tc>
                <w:tcPr>
                  <w:tcW w:w="2290" w:type="dxa"/>
                  <w:tcBorders>
                    <w:top w:val="nil"/>
                    <w:left w:val="nil"/>
                    <w:bottom w:val="nil"/>
                    <w:right w:val="nil"/>
                  </w:tcBorders>
                  <w:vAlign w:val="bottom"/>
                </w:tcPr>
                <w:p w14:paraId="5BD2EBC6" w14:textId="77777777" w:rsidR="00EB0337" w:rsidRDefault="00EB0337" w:rsidP="00B202C2">
                  <w:pPr>
                    <w:spacing w:before="100" w:after="100"/>
                    <w:jc w:val="center"/>
                    <w:rPr>
                      <w:noProof/>
                    </w:rPr>
                  </w:pPr>
                  <w:r w:rsidRPr="0033169C">
                    <w:rPr>
                      <w:noProof/>
                    </w:rPr>
                    <w:t>14</w:t>
                  </w:r>
                  <w:r>
                    <w:rPr>
                      <w:rFonts w:ascii="Calibri" w:hAnsi="Calibri" w:cs="Calibri"/>
                      <w:noProof/>
                    </w:rPr>
                    <w:t> </w:t>
                  </w:r>
                  <w:r w:rsidRPr="0033169C">
                    <w:rPr>
                      <w:noProof/>
                    </w:rPr>
                    <w:t>958.1</w:t>
                  </w:r>
                </w:p>
              </w:tc>
            </w:tr>
          </w:tbl>
          <w:p w14:paraId="6ED306F8" w14:textId="77777777" w:rsidR="00EB0337" w:rsidRPr="00724FDD" w:rsidRDefault="00EB0337"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EB0337" w14:paraId="3477F24A" w14:textId="77777777" w:rsidTr="00B202C2">
              <w:trPr>
                <w:trHeight w:val="285"/>
              </w:trPr>
              <w:tc>
                <w:tcPr>
                  <w:tcW w:w="2290" w:type="dxa"/>
                  <w:tcBorders>
                    <w:top w:val="nil"/>
                    <w:left w:val="nil"/>
                    <w:bottom w:val="nil"/>
                    <w:right w:val="nil"/>
                  </w:tcBorders>
                  <w:vAlign w:val="bottom"/>
                </w:tcPr>
                <w:p w14:paraId="30BF42F1" w14:textId="77777777" w:rsidR="00EB0337" w:rsidRDefault="00EB0337" w:rsidP="00B202C2">
                  <w:pPr>
                    <w:spacing w:before="100" w:after="100"/>
                    <w:jc w:val="center"/>
                    <w:rPr>
                      <w:noProof/>
                    </w:rPr>
                  </w:pPr>
                  <w:r w:rsidRPr="0033169C">
                    <w:rPr>
                      <w:noProof/>
                    </w:rPr>
                    <w:t>100%</w:t>
                  </w:r>
                </w:p>
              </w:tc>
            </w:tr>
          </w:tbl>
          <w:p w14:paraId="7896D972" w14:textId="77777777" w:rsidR="00EB0337" w:rsidRPr="00724FDD" w:rsidRDefault="00EB0337" w:rsidP="00B202C2">
            <w:pPr>
              <w:jc w:val="center"/>
              <w:cnfStyle w:val="000000000000" w:firstRow="0" w:lastRow="0" w:firstColumn="0" w:lastColumn="0" w:oddVBand="0" w:evenVBand="0" w:oddHBand="0" w:evenHBand="0" w:firstRowFirstColumn="0" w:firstRowLastColumn="0" w:lastRowFirstColumn="0" w:lastRowLastColumn="0"/>
              <w:rPr>
                <w:noProof/>
              </w:rPr>
            </w:pPr>
          </w:p>
        </w:tc>
      </w:tr>
      <w:tr w:rsidR="00EB0337" w:rsidRPr="00040D99" w14:paraId="1EEC9869"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5E1AD50F" w14:textId="77777777" w:rsidR="00EB0337" w:rsidRPr="00724FDD" w:rsidRDefault="00EB0337" w:rsidP="00B202C2">
            <w:pPr>
              <w:jc w:val="center"/>
              <w:rPr>
                <w:noProof/>
              </w:rPr>
            </w:pPr>
            <w:r w:rsidRPr="00724FDD">
              <w:rPr>
                <w:noProof/>
              </w:rPr>
              <w:t>Payments</w:t>
            </w:r>
          </w:p>
        </w:tc>
        <w:tc>
          <w:tcPr>
            <w:tcW w:w="2410" w:type="dxa"/>
          </w:tcPr>
          <w:tbl>
            <w:tblPr>
              <w:tblStyle w:val="TableGrid"/>
              <w:tblW w:w="0" w:type="auto"/>
              <w:tblLook w:val="06A0" w:firstRow="1" w:lastRow="0" w:firstColumn="1" w:lastColumn="0" w:noHBand="1" w:noVBand="1"/>
            </w:tblPr>
            <w:tblGrid>
              <w:gridCol w:w="2194"/>
            </w:tblGrid>
            <w:tr w:rsidR="00EB0337" w14:paraId="4EB56B5A" w14:textId="77777777" w:rsidTr="00B202C2">
              <w:trPr>
                <w:trHeight w:val="285"/>
              </w:trPr>
              <w:tc>
                <w:tcPr>
                  <w:tcW w:w="2290" w:type="dxa"/>
                  <w:tcBorders>
                    <w:top w:val="nil"/>
                    <w:left w:val="nil"/>
                    <w:bottom w:val="nil"/>
                    <w:right w:val="nil"/>
                  </w:tcBorders>
                  <w:vAlign w:val="bottom"/>
                </w:tcPr>
                <w:p w14:paraId="466C95A3" w14:textId="77777777" w:rsidR="00EB0337" w:rsidRDefault="00EB0337" w:rsidP="00B202C2">
                  <w:pPr>
                    <w:spacing w:before="100" w:after="100"/>
                    <w:jc w:val="center"/>
                    <w:rPr>
                      <w:noProof/>
                    </w:rPr>
                  </w:pPr>
                  <w:r w:rsidRPr="0033169C">
                    <w:rPr>
                      <w:noProof/>
                    </w:rPr>
                    <w:t>14</w:t>
                  </w:r>
                  <w:r>
                    <w:rPr>
                      <w:rFonts w:ascii="Calibri" w:hAnsi="Calibri" w:cs="Calibri"/>
                      <w:noProof/>
                    </w:rPr>
                    <w:t> </w:t>
                  </w:r>
                  <w:r w:rsidRPr="0033169C">
                    <w:rPr>
                      <w:noProof/>
                    </w:rPr>
                    <w:t>179.3</w:t>
                  </w:r>
                </w:p>
              </w:tc>
            </w:tr>
          </w:tbl>
          <w:p w14:paraId="20E42D12" w14:textId="77777777" w:rsidR="00EB0337" w:rsidRPr="00724FDD" w:rsidRDefault="00EB0337"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6CA1C90E" w14:textId="77777777" w:rsidR="00EB0337" w:rsidRPr="00724FDD" w:rsidRDefault="00EB0337"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EB0337" w14:paraId="5BB0E85D" w14:textId="77777777" w:rsidTr="00B202C2">
              <w:trPr>
                <w:trHeight w:val="285"/>
              </w:trPr>
              <w:tc>
                <w:tcPr>
                  <w:tcW w:w="2235" w:type="dxa"/>
                  <w:tcBorders>
                    <w:top w:val="nil"/>
                    <w:left w:val="nil"/>
                    <w:bottom w:val="nil"/>
                    <w:right w:val="nil"/>
                  </w:tcBorders>
                  <w:vAlign w:val="bottom"/>
                </w:tcPr>
                <w:p w14:paraId="15AAFCCC" w14:textId="77777777" w:rsidR="00EB0337" w:rsidRDefault="00EB0337" w:rsidP="00B202C2">
                  <w:pPr>
                    <w:spacing w:before="100" w:after="100"/>
                    <w:jc w:val="center"/>
                    <w:rPr>
                      <w:noProof/>
                    </w:rPr>
                  </w:pPr>
                  <w:r w:rsidRPr="0033169C">
                    <w:rPr>
                      <w:noProof/>
                    </w:rPr>
                    <w:t>95%</w:t>
                  </w:r>
                </w:p>
              </w:tc>
            </w:tr>
          </w:tbl>
          <w:p w14:paraId="2CCF11DA" w14:textId="77777777" w:rsidR="00EB0337" w:rsidRPr="00724FDD" w:rsidRDefault="00EB0337" w:rsidP="00B202C2">
            <w:pPr>
              <w:jc w:val="center"/>
              <w:cnfStyle w:val="000000000000" w:firstRow="0" w:lastRow="0" w:firstColumn="0" w:lastColumn="0" w:oddVBand="0" w:evenVBand="0" w:oddHBand="0" w:evenHBand="0" w:firstRowFirstColumn="0" w:firstRowLastColumn="0" w:lastRowFirstColumn="0" w:lastRowLastColumn="0"/>
              <w:rPr>
                <w:noProof/>
              </w:rPr>
            </w:pPr>
          </w:p>
        </w:tc>
      </w:tr>
    </w:tbl>
    <w:p w14:paraId="759FC12B" w14:textId="77777777" w:rsidR="00EB0337" w:rsidRDefault="00EB0337" w:rsidP="00EB0337">
      <w:pPr>
        <w:pStyle w:val="ppoListHyphened-L1"/>
        <w:spacing w:before="360"/>
        <w:jc w:val="both"/>
        <w:rPr>
          <w:noProof/>
        </w:rPr>
      </w:pPr>
      <w:r>
        <w:rPr>
          <w:noProof/>
        </w:rPr>
        <w:t>The programme had a strong absorption capacity, consuming 100% of its available commitment appropriations and 95% of its payment appropriations.</w:t>
      </w:r>
    </w:p>
    <w:p w14:paraId="0CC28456" w14:textId="77777777" w:rsidR="00EB0337" w:rsidRPr="00EB7DB7" w:rsidRDefault="00EB0337" w:rsidP="00EB0337">
      <w:pPr>
        <w:pStyle w:val="ppoListHyphened-L1"/>
        <w:jc w:val="both"/>
        <w:rPr>
          <w:bCs/>
          <w:noProof/>
        </w:rPr>
      </w:pPr>
      <w:r w:rsidRPr="00EF5B13">
        <w:rPr>
          <w:bCs/>
          <w:noProof/>
        </w:rPr>
        <w:t>To respond to the emergency in the early days of the COVID-19 pandemic,</w:t>
      </w:r>
      <w:r w:rsidRPr="00EB7DB7">
        <w:rPr>
          <w:bCs/>
          <w:noProof/>
        </w:rPr>
        <w:t xml:space="preserve"> maximum flexibility and support measures within the applicable legal framework were applied to the participants and beneficiary organisations to adapt to the extraordinary circumstances. These included the reshaping of priorities and increased flexibility in terms of international actions.</w:t>
      </w:r>
    </w:p>
    <w:p w14:paraId="1D5B9882" w14:textId="77777777" w:rsidR="00EB0337" w:rsidRPr="00EB7DB7" w:rsidRDefault="00EB0337" w:rsidP="00EB0337">
      <w:pPr>
        <w:pStyle w:val="ppoListHyphened-L1"/>
        <w:jc w:val="both"/>
        <w:rPr>
          <w:bCs/>
          <w:noProof/>
        </w:rPr>
      </w:pPr>
      <w:r w:rsidRPr="00EF5B13">
        <w:rPr>
          <w:bCs/>
          <w:noProof/>
        </w:rPr>
        <w:t>Priorities were reshaped</w:t>
      </w:r>
      <w:r w:rsidRPr="00EB7DB7">
        <w:rPr>
          <w:bCs/>
          <w:noProof/>
        </w:rPr>
        <w:t xml:space="preserve"> with the aim of protecting the beneficiaries and participants and supporting Member States and non-EU countries associated with the programme to communicate and exchange practices needed for an immediate response, but also in view of setting new and innovative policies in education and training, youth and sport.</w:t>
      </w:r>
    </w:p>
    <w:p w14:paraId="5DF66EB8" w14:textId="77777777" w:rsidR="00EB0337" w:rsidRPr="00EB7DB7" w:rsidRDefault="00EB0337" w:rsidP="00EB0337">
      <w:pPr>
        <w:pStyle w:val="ppoListHyphened-L1"/>
        <w:jc w:val="both"/>
        <w:rPr>
          <w:bCs/>
          <w:noProof/>
        </w:rPr>
      </w:pPr>
      <w:r w:rsidRPr="00EF5B13">
        <w:rPr>
          <w:bCs/>
          <w:noProof/>
        </w:rPr>
        <w:t>International actions</w:t>
      </w:r>
      <w:r w:rsidRPr="00EB7DB7">
        <w:rPr>
          <w:bCs/>
          <w:noProof/>
        </w:rPr>
        <w:t xml:space="preserve"> with partner countries were more severely affected by the COVID-19 pandemic than those in </w:t>
      </w:r>
      <w:r>
        <w:rPr>
          <w:bCs/>
          <w:noProof/>
        </w:rPr>
        <w:t>the EU</w:t>
      </w:r>
      <w:r w:rsidRPr="00EB7DB7">
        <w:rPr>
          <w:bCs/>
          <w:noProof/>
        </w:rPr>
        <w:t xml:space="preserve">. Some reasons include the closing of borders, the disruption of air routes, the limited functioning of consulates and the difficulties to obtain visas. </w:t>
      </w:r>
      <w:r w:rsidRPr="00EF5B13">
        <w:rPr>
          <w:bCs/>
          <w:noProof/>
        </w:rPr>
        <w:t>Flexibility arrangements</w:t>
      </w:r>
      <w:r w:rsidRPr="00EB7DB7">
        <w:rPr>
          <w:bCs/>
          <w:noProof/>
        </w:rPr>
        <w:t xml:space="preserve"> for the participat</w:t>
      </w:r>
      <w:r>
        <w:rPr>
          <w:bCs/>
          <w:noProof/>
        </w:rPr>
        <w:t>ing</w:t>
      </w:r>
      <w:r w:rsidRPr="00EB7DB7">
        <w:rPr>
          <w:bCs/>
          <w:noProof/>
        </w:rPr>
        <w:t xml:space="preserve"> </w:t>
      </w:r>
      <w:r>
        <w:rPr>
          <w:bCs/>
          <w:noProof/>
        </w:rPr>
        <w:t>h</w:t>
      </w:r>
      <w:r w:rsidRPr="00EF5B13">
        <w:rPr>
          <w:bCs/>
          <w:noProof/>
        </w:rPr>
        <w:t>igher education institutions and individuals</w:t>
      </w:r>
      <w:r w:rsidRPr="00EB7DB7">
        <w:rPr>
          <w:bCs/>
          <w:noProof/>
        </w:rPr>
        <w:t xml:space="preserve"> were put in place</w:t>
      </w:r>
      <w:r>
        <w:rPr>
          <w:bCs/>
          <w:noProof/>
        </w:rPr>
        <w:t>, and</w:t>
      </w:r>
      <w:r w:rsidRPr="00EB7DB7">
        <w:rPr>
          <w:bCs/>
          <w:noProof/>
        </w:rPr>
        <w:t xml:space="preserve"> students </w:t>
      </w:r>
      <w:r>
        <w:rPr>
          <w:bCs/>
          <w:noProof/>
        </w:rPr>
        <w:t>were</w:t>
      </w:r>
      <w:r w:rsidRPr="00EB7DB7">
        <w:rPr>
          <w:bCs/>
          <w:noProof/>
        </w:rPr>
        <w:t xml:space="preserve"> allowed to keep their Erasmus+ grants while completing their course through remote studying arrangements and/or in case they still ha</w:t>
      </w:r>
      <w:r>
        <w:rPr>
          <w:bCs/>
          <w:noProof/>
        </w:rPr>
        <w:t>d</w:t>
      </w:r>
      <w:r w:rsidRPr="00EB7DB7">
        <w:rPr>
          <w:bCs/>
          <w:noProof/>
        </w:rPr>
        <w:t xml:space="preserve"> expenses linked to their stay in the destination country, such as rent.</w:t>
      </w:r>
    </w:p>
    <w:p w14:paraId="52026B39" w14:textId="77777777" w:rsidR="00EB0337" w:rsidRPr="00040D99" w:rsidRDefault="00EB0337" w:rsidP="00EB0337">
      <w:pPr>
        <w:pStyle w:val="ppoHeading6"/>
        <w:rPr>
          <w:noProof/>
        </w:rPr>
      </w:pPr>
      <w:r w:rsidRPr="00040D99">
        <w:rPr>
          <w:noProof/>
        </w:rPr>
        <w:t>Key performance indicators</w:t>
      </w:r>
    </w:p>
    <w:tbl>
      <w:tblPr>
        <w:tblStyle w:val="PPO2021"/>
        <w:tblW w:w="9639" w:type="dxa"/>
        <w:tblInd w:w="108" w:type="dxa"/>
        <w:tblLook w:val="0420" w:firstRow="1" w:lastRow="0" w:firstColumn="0" w:lastColumn="0" w:noHBand="0" w:noVBand="1"/>
      </w:tblPr>
      <w:tblGrid>
        <w:gridCol w:w="2330"/>
        <w:gridCol w:w="1100"/>
        <w:gridCol w:w="1526"/>
        <w:gridCol w:w="1532"/>
        <w:gridCol w:w="1572"/>
        <w:gridCol w:w="1579"/>
      </w:tblGrid>
      <w:tr w:rsidR="00EB0337" w:rsidRPr="00040D99" w14:paraId="1C1147FF" w14:textId="77777777" w:rsidTr="00B202C2">
        <w:trPr>
          <w:cnfStyle w:val="100000000000" w:firstRow="1" w:lastRow="0" w:firstColumn="0" w:lastColumn="0" w:oddVBand="0" w:evenVBand="0" w:oddHBand="0" w:evenHBand="0" w:firstRowFirstColumn="0" w:firstRowLastColumn="0" w:lastRowFirstColumn="0" w:lastRowLastColumn="0"/>
        </w:trPr>
        <w:tc>
          <w:tcPr>
            <w:tcW w:w="2268" w:type="dxa"/>
          </w:tcPr>
          <w:p w14:paraId="41D85681" w14:textId="77777777" w:rsidR="00EB0337" w:rsidRPr="00724FDD" w:rsidRDefault="00EB0337" w:rsidP="00B202C2">
            <w:pPr>
              <w:rPr>
                <w:noProof/>
              </w:rPr>
            </w:pPr>
          </w:p>
        </w:tc>
        <w:tc>
          <w:tcPr>
            <w:tcW w:w="931" w:type="dxa"/>
          </w:tcPr>
          <w:p w14:paraId="237B62D0" w14:textId="77777777" w:rsidR="00EB0337" w:rsidRPr="00724FDD" w:rsidRDefault="00EB0337" w:rsidP="00B202C2">
            <w:pPr>
              <w:rPr>
                <w:noProof/>
              </w:rPr>
            </w:pPr>
            <w:r w:rsidRPr="00724FDD">
              <w:rPr>
                <w:noProof/>
              </w:rPr>
              <w:t>Baseline</w:t>
            </w:r>
          </w:p>
        </w:tc>
        <w:tc>
          <w:tcPr>
            <w:tcW w:w="1485" w:type="dxa"/>
          </w:tcPr>
          <w:p w14:paraId="4F8A9822" w14:textId="77777777" w:rsidR="00EB0337" w:rsidRPr="00EF5B13" w:rsidRDefault="00EB0337" w:rsidP="00B202C2">
            <w:pPr>
              <w:rPr>
                <w:rFonts w:ascii="Calibri" w:hAnsi="Calibri" w:cs="Calibri"/>
                <w:noProof/>
              </w:rPr>
            </w:pPr>
            <w:r w:rsidRPr="00724FDD">
              <w:rPr>
                <w:noProof/>
              </w:rPr>
              <w:t>Progress</w:t>
            </w:r>
            <w:r>
              <w:rPr>
                <w:rFonts w:ascii="Calibri" w:hAnsi="Calibri" w:cs="Calibri"/>
                <w:noProof/>
              </w:rPr>
              <w:t> (*)</w:t>
            </w:r>
          </w:p>
        </w:tc>
        <w:tc>
          <w:tcPr>
            <w:tcW w:w="1491" w:type="dxa"/>
          </w:tcPr>
          <w:p w14:paraId="12FB30A3" w14:textId="77777777" w:rsidR="00EB0337" w:rsidRPr="00724FDD" w:rsidRDefault="00EB0337" w:rsidP="00B202C2">
            <w:pPr>
              <w:rPr>
                <w:noProof/>
              </w:rPr>
            </w:pPr>
            <w:r w:rsidRPr="00724FDD">
              <w:rPr>
                <w:noProof/>
              </w:rPr>
              <w:t>Target</w:t>
            </w:r>
          </w:p>
        </w:tc>
        <w:tc>
          <w:tcPr>
            <w:tcW w:w="1530" w:type="dxa"/>
          </w:tcPr>
          <w:p w14:paraId="4985A05A" w14:textId="77777777" w:rsidR="00EB0337" w:rsidRPr="00724FDD" w:rsidRDefault="00EB0337" w:rsidP="00B202C2">
            <w:pPr>
              <w:rPr>
                <w:noProof/>
              </w:rPr>
            </w:pPr>
            <w:r w:rsidRPr="00724FDD">
              <w:rPr>
                <w:noProof/>
              </w:rPr>
              <w:t>Results</w:t>
            </w:r>
          </w:p>
        </w:tc>
        <w:tc>
          <w:tcPr>
            <w:tcW w:w="1537" w:type="dxa"/>
          </w:tcPr>
          <w:p w14:paraId="26656CF2" w14:textId="77777777" w:rsidR="00EB0337" w:rsidRPr="00724FDD" w:rsidRDefault="00EB0337" w:rsidP="00B202C2">
            <w:pPr>
              <w:rPr>
                <w:noProof/>
              </w:rPr>
            </w:pPr>
            <w:r w:rsidRPr="00724FDD">
              <w:rPr>
                <w:noProof/>
              </w:rPr>
              <w:t>Assessment</w:t>
            </w:r>
          </w:p>
        </w:tc>
      </w:tr>
      <w:tr w:rsidR="00EB0337" w:rsidRPr="00040D99" w14:paraId="4E0C0276" w14:textId="77777777" w:rsidTr="00B202C2">
        <w:trPr>
          <w:cnfStyle w:val="000000100000" w:firstRow="0" w:lastRow="0" w:firstColumn="0" w:lastColumn="0" w:oddVBand="0" w:evenVBand="0" w:oddHBand="1" w:evenHBand="0" w:firstRowFirstColumn="0" w:firstRowLastColumn="0" w:lastRowFirstColumn="0" w:lastRowLastColumn="0"/>
        </w:trPr>
        <w:tc>
          <w:tcPr>
            <w:tcW w:w="2268" w:type="dxa"/>
          </w:tcPr>
          <w:p w14:paraId="5E03D16F" w14:textId="77777777" w:rsidR="00EB0337" w:rsidRPr="00724FDD" w:rsidRDefault="00EB0337" w:rsidP="00B202C2">
            <w:pPr>
              <w:rPr>
                <w:noProof/>
              </w:rPr>
            </w:pPr>
            <w:r>
              <w:rPr>
                <w:noProof/>
              </w:rPr>
              <w:t>Higher education</w:t>
            </w:r>
            <w:r>
              <w:rPr>
                <w:rFonts w:ascii="Calibri" w:hAnsi="Calibri" w:cs="Calibri"/>
                <w:noProof/>
              </w:rPr>
              <w:t> </w:t>
            </w:r>
            <w:r>
              <w:rPr>
                <w:noProof/>
              </w:rPr>
              <w:t>– learners (in thousands)</w:t>
            </w:r>
            <w:r>
              <w:rPr>
                <w:rFonts w:ascii="Calibri" w:hAnsi="Calibri" w:cs="Calibri"/>
                <w:noProof/>
              </w:rPr>
              <w:t> </w:t>
            </w:r>
            <w:r>
              <w:rPr>
                <w:noProof/>
              </w:rPr>
              <w:t>(</w:t>
            </w:r>
            <w:r w:rsidRPr="00DD46B6">
              <w:rPr>
                <w:noProof/>
                <w:vertAlign w:val="superscript"/>
              </w:rPr>
              <w:t>1</w:t>
            </w:r>
            <w:r>
              <w:rPr>
                <w:noProof/>
              </w:rPr>
              <w:t>)</w:t>
            </w:r>
          </w:p>
        </w:tc>
        <w:tc>
          <w:tcPr>
            <w:tcW w:w="931" w:type="dxa"/>
          </w:tcPr>
          <w:p w14:paraId="53867A52" w14:textId="77777777" w:rsidR="00EB0337" w:rsidRPr="00724FDD" w:rsidRDefault="00EB0337" w:rsidP="00B202C2">
            <w:pPr>
              <w:jc w:val="center"/>
              <w:rPr>
                <w:noProof/>
              </w:rPr>
            </w:pPr>
            <w:r>
              <w:rPr>
                <w:noProof/>
              </w:rPr>
              <w:t>0%</w:t>
            </w:r>
          </w:p>
        </w:tc>
        <w:tc>
          <w:tcPr>
            <w:tcW w:w="1485" w:type="dxa"/>
          </w:tcPr>
          <w:p w14:paraId="690F8450" w14:textId="77777777" w:rsidR="00EB0337" w:rsidRPr="00B93805" w:rsidRDefault="00EB0337" w:rsidP="00B202C2">
            <w:pPr>
              <w:jc w:val="center"/>
              <w:rPr>
                <w:noProof/>
              </w:rPr>
            </w:pPr>
            <w:r w:rsidRPr="00B93805">
              <w:rPr>
                <w:noProof/>
              </w:rPr>
              <w:t>97%</w:t>
            </w:r>
          </w:p>
        </w:tc>
        <w:tc>
          <w:tcPr>
            <w:tcW w:w="1491" w:type="dxa"/>
          </w:tcPr>
          <w:p w14:paraId="1353D9D1" w14:textId="77777777" w:rsidR="00EB0337" w:rsidRPr="00724FDD" w:rsidRDefault="00EB0337" w:rsidP="00B202C2">
            <w:pPr>
              <w:jc w:val="center"/>
              <w:rPr>
                <w:noProof/>
              </w:rPr>
            </w:pPr>
            <w:r w:rsidRPr="00B93805">
              <w:rPr>
                <w:noProof/>
              </w:rPr>
              <w:t>2</w:t>
            </w:r>
            <w:r>
              <w:rPr>
                <w:rFonts w:ascii="Calibri" w:hAnsi="Calibri" w:cs="Calibri"/>
                <w:noProof/>
              </w:rPr>
              <w:t> </w:t>
            </w:r>
            <w:r w:rsidRPr="00B93805">
              <w:rPr>
                <w:noProof/>
              </w:rPr>
              <w:t>080</w:t>
            </w:r>
            <w:r w:rsidRPr="00B93805">
              <w:rPr>
                <w:rFonts w:asciiTheme="minorHAnsi" w:eastAsiaTheme="minorEastAsia" w:hAnsiTheme="minorHAnsi"/>
                <w:noProof/>
                <w:lang w:eastAsia="en-GB"/>
              </w:rPr>
              <w:t xml:space="preserve"> in 2020</w:t>
            </w:r>
          </w:p>
        </w:tc>
        <w:tc>
          <w:tcPr>
            <w:tcW w:w="1530" w:type="dxa"/>
          </w:tcPr>
          <w:p w14:paraId="12D7D7DB" w14:textId="77777777" w:rsidR="00EB0337" w:rsidRPr="00724FDD" w:rsidRDefault="00EB0337" w:rsidP="00B202C2">
            <w:pPr>
              <w:jc w:val="center"/>
              <w:rPr>
                <w:noProof/>
              </w:rPr>
            </w:pPr>
            <w:r w:rsidRPr="00B93805">
              <w:rPr>
                <w:rFonts w:asciiTheme="minorHAnsi" w:eastAsiaTheme="minorEastAsia" w:hAnsiTheme="minorHAnsi"/>
                <w:noProof/>
                <w:lang w:eastAsia="en-GB"/>
              </w:rPr>
              <w:t>2</w:t>
            </w:r>
            <w:r>
              <w:rPr>
                <w:rFonts w:asciiTheme="minorHAnsi" w:eastAsiaTheme="minorEastAsia" w:hAnsiTheme="minorHAnsi"/>
                <w:noProof/>
                <w:lang w:eastAsia="en-GB"/>
              </w:rPr>
              <w:t> </w:t>
            </w:r>
            <w:r w:rsidRPr="00B93805">
              <w:rPr>
                <w:rFonts w:asciiTheme="minorHAnsi" w:eastAsiaTheme="minorEastAsia" w:hAnsiTheme="minorHAnsi"/>
                <w:noProof/>
                <w:lang w:eastAsia="en-GB"/>
              </w:rPr>
              <w:t>009 thousand higher education learners compared to a target of 2</w:t>
            </w:r>
            <w:r>
              <w:rPr>
                <w:rFonts w:asciiTheme="minorHAnsi" w:eastAsiaTheme="minorEastAsia" w:hAnsiTheme="minorHAnsi"/>
                <w:noProof/>
                <w:lang w:eastAsia="en-GB"/>
              </w:rPr>
              <w:t> </w:t>
            </w:r>
            <w:r w:rsidRPr="00B93805">
              <w:rPr>
                <w:rFonts w:asciiTheme="minorHAnsi" w:eastAsiaTheme="minorEastAsia" w:hAnsiTheme="minorHAnsi"/>
                <w:noProof/>
                <w:lang w:eastAsia="en-GB"/>
              </w:rPr>
              <w:t>080 thousand</w:t>
            </w:r>
          </w:p>
        </w:tc>
        <w:tc>
          <w:tcPr>
            <w:tcW w:w="1537" w:type="dxa"/>
          </w:tcPr>
          <w:p w14:paraId="7D80B77C" w14:textId="77777777" w:rsidR="00EB0337" w:rsidRPr="00724FDD" w:rsidRDefault="00EB0337" w:rsidP="00B202C2">
            <w:pPr>
              <w:jc w:val="center"/>
              <w:rPr>
                <w:noProof/>
              </w:rPr>
            </w:pPr>
            <w:r>
              <w:rPr>
                <w:noProof/>
              </w:rPr>
              <w:t>On track</w:t>
            </w:r>
          </w:p>
        </w:tc>
      </w:tr>
      <w:tr w:rsidR="00EB0337" w:rsidRPr="00040D99" w14:paraId="61C1B8F5" w14:textId="77777777" w:rsidTr="00B202C2">
        <w:trPr>
          <w:cnfStyle w:val="000000010000" w:firstRow="0" w:lastRow="0" w:firstColumn="0" w:lastColumn="0" w:oddVBand="0" w:evenVBand="0" w:oddHBand="0" w:evenHBand="1" w:firstRowFirstColumn="0" w:firstRowLastColumn="0" w:lastRowFirstColumn="0" w:lastRowLastColumn="0"/>
        </w:trPr>
        <w:tc>
          <w:tcPr>
            <w:tcW w:w="2268" w:type="dxa"/>
          </w:tcPr>
          <w:p w14:paraId="3DC750CB" w14:textId="77777777" w:rsidR="00EB0337" w:rsidRPr="00724FDD" w:rsidRDefault="00EB0337" w:rsidP="00B202C2">
            <w:pPr>
              <w:rPr>
                <w:noProof/>
              </w:rPr>
            </w:pPr>
            <w:r>
              <w:rPr>
                <w:noProof/>
              </w:rPr>
              <w:t>Vocational education and training</w:t>
            </w:r>
            <w:r>
              <w:rPr>
                <w:rFonts w:ascii="Calibri" w:hAnsi="Calibri" w:cs="Calibri"/>
                <w:noProof/>
              </w:rPr>
              <w:t> </w:t>
            </w:r>
            <w:r>
              <w:rPr>
                <w:noProof/>
              </w:rPr>
              <w:t>– learners (in thousands)</w:t>
            </w:r>
            <w:r>
              <w:rPr>
                <w:rFonts w:ascii="Calibri" w:hAnsi="Calibri" w:cs="Calibri"/>
                <w:noProof/>
              </w:rPr>
              <w:t> </w:t>
            </w:r>
            <w:r>
              <w:rPr>
                <w:noProof/>
              </w:rPr>
              <w:t>(</w:t>
            </w:r>
            <w:r w:rsidRPr="00DD46B6">
              <w:rPr>
                <w:noProof/>
                <w:vertAlign w:val="superscript"/>
              </w:rPr>
              <w:t>1</w:t>
            </w:r>
            <w:r>
              <w:rPr>
                <w:noProof/>
              </w:rPr>
              <w:t>)</w:t>
            </w:r>
          </w:p>
        </w:tc>
        <w:tc>
          <w:tcPr>
            <w:tcW w:w="931" w:type="dxa"/>
          </w:tcPr>
          <w:p w14:paraId="2273531D" w14:textId="77777777" w:rsidR="00EB0337" w:rsidRPr="00724FDD" w:rsidRDefault="00EB0337" w:rsidP="00B202C2">
            <w:pPr>
              <w:jc w:val="center"/>
              <w:rPr>
                <w:noProof/>
              </w:rPr>
            </w:pPr>
            <w:r>
              <w:rPr>
                <w:noProof/>
              </w:rPr>
              <w:t>0%</w:t>
            </w:r>
          </w:p>
        </w:tc>
        <w:tc>
          <w:tcPr>
            <w:tcW w:w="1485" w:type="dxa"/>
          </w:tcPr>
          <w:p w14:paraId="3D48516F" w14:textId="77777777" w:rsidR="00EB0337" w:rsidRPr="00B93805" w:rsidRDefault="00EB0337" w:rsidP="00B202C2">
            <w:pPr>
              <w:jc w:val="center"/>
              <w:rPr>
                <w:noProof/>
              </w:rPr>
            </w:pPr>
            <w:r w:rsidRPr="00B93805">
              <w:rPr>
                <w:noProof/>
              </w:rPr>
              <w:t>&gt;</w:t>
            </w:r>
            <w:r>
              <w:rPr>
                <w:rFonts w:ascii="Calibri" w:hAnsi="Calibri" w:cs="Calibri"/>
                <w:noProof/>
              </w:rPr>
              <w:t> </w:t>
            </w:r>
            <w:r w:rsidRPr="00B93805">
              <w:rPr>
                <w:noProof/>
              </w:rPr>
              <w:t>100%</w:t>
            </w:r>
          </w:p>
        </w:tc>
        <w:tc>
          <w:tcPr>
            <w:tcW w:w="1491" w:type="dxa"/>
          </w:tcPr>
          <w:p w14:paraId="1A68D742" w14:textId="77777777" w:rsidR="00EB0337" w:rsidRPr="00724FDD" w:rsidRDefault="00EB0337" w:rsidP="00B202C2">
            <w:pPr>
              <w:jc w:val="center"/>
              <w:rPr>
                <w:noProof/>
              </w:rPr>
            </w:pPr>
            <w:r w:rsidRPr="00B93805">
              <w:rPr>
                <w:noProof/>
              </w:rPr>
              <w:t>674</w:t>
            </w:r>
            <w:r w:rsidRPr="00B93805">
              <w:rPr>
                <w:rFonts w:asciiTheme="minorHAnsi" w:eastAsiaTheme="minorEastAsia" w:hAnsiTheme="minorHAnsi"/>
                <w:noProof/>
                <w:lang w:eastAsia="en-GB"/>
              </w:rPr>
              <w:t xml:space="preserve"> in 2020</w:t>
            </w:r>
          </w:p>
        </w:tc>
        <w:tc>
          <w:tcPr>
            <w:tcW w:w="1530" w:type="dxa"/>
          </w:tcPr>
          <w:p w14:paraId="4316C0D7" w14:textId="77777777" w:rsidR="00EB0337" w:rsidRPr="00724FDD" w:rsidRDefault="00EB0337" w:rsidP="00B202C2">
            <w:pPr>
              <w:jc w:val="center"/>
              <w:rPr>
                <w:noProof/>
              </w:rPr>
            </w:pPr>
            <w:r w:rsidRPr="00B93805">
              <w:rPr>
                <w:rFonts w:asciiTheme="minorHAnsi" w:eastAsiaTheme="minorEastAsia" w:hAnsiTheme="minorHAnsi"/>
                <w:noProof/>
                <w:lang w:eastAsia="en-GB"/>
              </w:rPr>
              <w:t>858 thousand learners in vocational education and training compared to a target of</w:t>
            </w:r>
            <w:r>
              <w:rPr>
                <w:rFonts w:asciiTheme="minorHAnsi" w:eastAsiaTheme="minorEastAsia" w:hAnsiTheme="minorHAnsi"/>
                <w:noProof/>
                <w:lang w:eastAsia="en-GB"/>
              </w:rPr>
              <w:t xml:space="preserve"> </w:t>
            </w:r>
            <w:r w:rsidRPr="00B93805">
              <w:rPr>
                <w:rFonts w:asciiTheme="minorHAnsi" w:eastAsiaTheme="minorEastAsia" w:hAnsiTheme="minorHAnsi"/>
                <w:noProof/>
                <w:lang w:eastAsia="en-GB"/>
              </w:rPr>
              <w:t>674 thousand</w:t>
            </w:r>
          </w:p>
        </w:tc>
        <w:tc>
          <w:tcPr>
            <w:tcW w:w="1537" w:type="dxa"/>
          </w:tcPr>
          <w:p w14:paraId="5AF0C4FB" w14:textId="77777777" w:rsidR="00EB0337" w:rsidRPr="00724FDD" w:rsidRDefault="00EB0337" w:rsidP="00B202C2">
            <w:pPr>
              <w:jc w:val="center"/>
              <w:rPr>
                <w:noProof/>
              </w:rPr>
            </w:pPr>
            <w:r>
              <w:rPr>
                <w:noProof/>
              </w:rPr>
              <w:t>Achieved</w:t>
            </w:r>
          </w:p>
        </w:tc>
      </w:tr>
      <w:tr w:rsidR="00EB0337" w:rsidRPr="00040D99" w14:paraId="24FDB2AC" w14:textId="77777777" w:rsidTr="00B202C2">
        <w:trPr>
          <w:cnfStyle w:val="000000100000" w:firstRow="0" w:lastRow="0" w:firstColumn="0" w:lastColumn="0" w:oddVBand="0" w:evenVBand="0" w:oddHBand="1" w:evenHBand="0" w:firstRowFirstColumn="0" w:firstRowLastColumn="0" w:lastRowFirstColumn="0" w:lastRowLastColumn="0"/>
        </w:trPr>
        <w:tc>
          <w:tcPr>
            <w:tcW w:w="2268" w:type="dxa"/>
          </w:tcPr>
          <w:p w14:paraId="5FE17ECC" w14:textId="77777777" w:rsidR="00EB0337" w:rsidRPr="00724FDD" w:rsidRDefault="00EB0337" w:rsidP="00B202C2">
            <w:pPr>
              <w:rPr>
                <w:noProof/>
              </w:rPr>
            </w:pPr>
            <w:r>
              <w:rPr>
                <w:noProof/>
              </w:rPr>
              <w:t>Number of staff supported (in thousands)</w:t>
            </w:r>
            <w:r>
              <w:rPr>
                <w:rFonts w:ascii="Calibri" w:hAnsi="Calibri" w:cs="Calibri"/>
                <w:noProof/>
              </w:rPr>
              <w:t> </w:t>
            </w:r>
            <w:r>
              <w:rPr>
                <w:noProof/>
              </w:rPr>
              <w:t>(</w:t>
            </w:r>
            <w:r w:rsidRPr="00DD46B6">
              <w:rPr>
                <w:noProof/>
                <w:vertAlign w:val="superscript"/>
              </w:rPr>
              <w:t>1</w:t>
            </w:r>
            <w:r>
              <w:rPr>
                <w:noProof/>
              </w:rPr>
              <w:t>)</w:t>
            </w:r>
          </w:p>
        </w:tc>
        <w:tc>
          <w:tcPr>
            <w:tcW w:w="931" w:type="dxa"/>
          </w:tcPr>
          <w:p w14:paraId="68CA323F" w14:textId="77777777" w:rsidR="00EB0337" w:rsidRPr="00724FDD" w:rsidRDefault="00EB0337" w:rsidP="00B202C2">
            <w:pPr>
              <w:jc w:val="center"/>
              <w:rPr>
                <w:noProof/>
              </w:rPr>
            </w:pPr>
            <w:r>
              <w:rPr>
                <w:noProof/>
              </w:rPr>
              <w:t>0%</w:t>
            </w:r>
          </w:p>
        </w:tc>
        <w:tc>
          <w:tcPr>
            <w:tcW w:w="1485" w:type="dxa"/>
          </w:tcPr>
          <w:p w14:paraId="2FF6886F" w14:textId="77777777" w:rsidR="00EB0337" w:rsidRPr="00B93805" w:rsidRDefault="00EB0337" w:rsidP="00B202C2">
            <w:pPr>
              <w:jc w:val="center"/>
              <w:rPr>
                <w:noProof/>
              </w:rPr>
            </w:pPr>
            <w:r w:rsidRPr="00B93805">
              <w:rPr>
                <w:noProof/>
              </w:rPr>
              <w:t>&gt;</w:t>
            </w:r>
            <w:r>
              <w:rPr>
                <w:rFonts w:ascii="Calibri" w:hAnsi="Calibri" w:cs="Calibri"/>
                <w:noProof/>
              </w:rPr>
              <w:t> </w:t>
            </w:r>
            <w:r w:rsidRPr="00B93805">
              <w:rPr>
                <w:noProof/>
              </w:rPr>
              <w:t>100%</w:t>
            </w:r>
          </w:p>
        </w:tc>
        <w:tc>
          <w:tcPr>
            <w:tcW w:w="1491" w:type="dxa"/>
          </w:tcPr>
          <w:p w14:paraId="1FDCD33B" w14:textId="77777777" w:rsidR="00EB0337" w:rsidRPr="00724FDD" w:rsidRDefault="00EB0337" w:rsidP="00B202C2">
            <w:pPr>
              <w:jc w:val="center"/>
              <w:rPr>
                <w:noProof/>
              </w:rPr>
            </w:pPr>
            <w:r w:rsidRPr="00B93805">
              <w:rPr>
                <w:noProof/>
              </w:rPr>
              <w:t>650</w:t>
            </w:r>
            <w:r w:rsidRPr="00B93805">
              <w:rPr>
                <w:rFonts w:asciiTheme="minorHAnsi" w:eastAsiaTheme="minorEastAsia" w:hAnsiTheme="minorHAnsi"/>
                <w:noProof/>
                <w:lang w:eastAsia="en-GB"/>
              </w:rPr>
              <w:t xml:space="preserve"> in 2020</w:t>
            </w:r>
          </w:p>
        </w:tc>
        <w:tc>
          <w:tcPr>
            <w:tcW w:w="1530" w:type="dxa"/>
          </w:tcPr>
          <w:p w14:paraId="75A04E28" w14:textId="77777777" w:rsidR="00EB0337" w:rsidRPr="00724FDD" w:rsidRDefault="00EB0337" w:rsidP="00B202C2">
            <w:pPr>
              <w:jc w:val="center"/>
              <w:rPr>
                <w:noProof/>
              </w:rPr>
            </w:pPr>
            <w:r w:rsidRPr="00B93805">
              <w:rPr>
                <w:rFonts w:asciiTheme="minorHAnsi" w:eastAsiaTheme="minorEastAsia" w:hAnsiTheme="minorHAnsi"/>
                <w:noProof/>
                <w:lang w:eastAsia="en-GB"/>
              </w:rPr>
              <w:t>817 thousand staff supported compared to a target of 650 thousand</w:t>
            </w:r>
          </w:p>
        </w:tc>
        <w:tc>
          <w:tcPr>
            <w:tcW w:w="1537" w:type="dxa"/>
          </w:tcPr>
          <w:p w14:paraId="21E33890" w14:textId="77777777" w:rsidR="00EB0337" w:rsidRPr="00724FDD" w:rsidRDefault="00EB0337" w:rsidP="00B202C2">
            <w:pPr>
              <w:jc w:val="center"/>
              <w:rPr>
                <w:noProof/>
              </w:rPr>
            </w:pPr>
            <w:r>
              <w:rPr>
                <w:noProof/>
              </w:rPr>
              <w:t>Achieved</w:t>
            </w:r>
          </w:p>
        </w:tc>
      </w:tr>
      <w:tr w:rsidR="00EB0337" w:rsidRPr="00040D99" w14:paraId="497BD799" w14:textId="77777777" w:rsidTr="00B202C2">
        <w:trPr>
          <w:cnfStyle w:val="000000010000" w:firstRow="0" w:lastRow="0" w:firstColumn="0" w:lastColumn="0" w:oddVBand="0" w:evenVBand="0" w:oddHBand="0" w:evenHBand="1" w:firstRowFirstColumn="0" w:firstRowLastColumn="0" w:lastRowFirstColumn="0" w:lastRowLastColumn="0"/>
        </w:trPr>
        <w:tc>
          <w:tcPr>
            <w:tcW w:w="2268" w:type="dxa"/>
          </w:tcPr>
          <w:p w14:paraId="33BC3977" w14:textId="77777777" w:rsidR="00EB0337" w:rsidRPr="00724FDD" w:rsidRDefault="00EB0337" w:rsidP="00B202C2">
            <w:pPr>
              <w:rPr>
                <w:noProof/>
              </w:rPr>
            </w:pPr>
            <w:r>
              <w:rPr>
                <w:noProof/>
              </w:rPr>
              <w:t>Participants who declare an increase in skills</w:t>
            </w:r>
          </w:p>
        </w:tc>
        <w:tc>
          <w:tcPr>
            <w:tcW w:w="931" w:type="dxa"/>
          </w:tcPr>
          <w:p w14:paraId="56F560EC" w14:textId="77777777" w:rsidR="00EB0337" w:rsidRPr="00724FDD" w:rsidRDefault="00EB0337" w:rsidP="00B202C2">
            <w:pPr>
              <w:jc w:val="center"/>
              <w:rPr>
                <w:noProof/>
              </w:rPr>
            </w:pPr>
            <w:r>
              <w:rPr>
                <w:noProof/>
              </w:rPr>
              <w:t>0%</w:t>
            </w:r>
          </w:p>
        </w:tc>
        <w:tc>
          <w:tcPr>
            <w:tcW w:w="1485" w:type="dxa"/>
          </w:tcPr>
          <w:p w14:paraId="1E941DA5" w14:textId="77777777" w:rsidR="00EB0337" w:rsidRPr="00B93805" w:rsidRDefault="00EB0337" w:rsidP="00B202C2">
            <w:pPr>
              <w:jc w:val="center"/>
              <w:rPr>
                <w:noProof/>
              </w:rPr>
            </w:pPr>
            <w:r w:rsidRPr="00B93805">
              <w:rPr>
                <w:noProof/>
              </w:rPr>
              <w:t>&gt;</w:t>
            </w:r>
            <w:r>
              <w:rPr>
                <w:rFonts w:ascii="Calibri" w:hAnsi="Calibri" w:cs="Calibri"/>
                <w:noProof/>
              </w:rPr>
              <w:t> </w:t>
            </w:r>
            <w:r w:rsidRPr="00B93805">
              <w:rPr>
                <w:noProof/>
              </w:rPr>
              <w:t>100%</w:t>
            </w:r>
          </w:p>
        </w:tc>
        <w:tc>
          <w:tcPr>
            <w:tcW w:w="1491" w:type="dxa"/>
          </w:tcPr>
          <w:p w14:paraId="3342099A" w14:textId="77777777" w:rsidR="00EB0337" w:rsidRPr="00724FDD" w:rsidRDefault="00EB0337" w:rsidP="00B202C2">
            <w:pPr>
              <w:jc w:val="center"/>
              <w:rPr>
                <w:noProof/>
              </w:rPr>
            </w:pPr>
            <w:r w:rsidRPr="00B93805">
              <w:rPr>
                <w:noProof/>
              </w:rPr>
              <w:t>88%</w:t>
            </w:r>
            <w:r w:rsidRPr="00B93805">
              <w:rPr>
                <w:rFonts w:asciiTheme="minorHAnsi" w:eastAsiaTheme="minorEastAsia" w:hAnsiTheme="minorHAnsi"/>
                <w:noProof/>
                <w:lang w:eastAsia="en-GB"/>
              </w:rPr>
              <w:t xml:space="preserve"> in 2020</w:t>
            </w:r>
          </w:p>
        </w:tc>
        <w:tc>
          <w:tcPr>
            <w:tcW w:w="1530" w:type="dxa"/>
          </w:tcPr>
          <w:p w14:paraId="07771770" w14:textId="77777777" w:rsidR="00EB0337" w:rsidRPr="00724FDD" w:rsidRDefault="00EB0337" w:rsidP="00B202C2">
            <w:pPr>
              <w:jc w:val="center"/>
              <w:rPr>
                <w:noProof/>
              </w:rPr>
            </w:pPr>
            <w:r w:rsidRPr="00B93805">
              <w:rPr>
                <w:rFonts w:asciiTheme="minorHAnsi" w:eastAsiaTheme="minorEastAsia" w:hAnsiTheme="minorHAnsi"/>
                <w:noProof/>
                <w:lang w:eastAsia="en-GB"/>
              </w:rPr>
              <w:t>95% compared to a target of 88%</w:t>
            </w:r>
          </w:p>
        </w:tc>
        <w:tc>
          <w:tcPr>
            <w:tcW w:w="1537" w:type="dxa"/>
          </w:tcPr>
          <w:p w14:paraId="7ECAE9E4" w14:textId="77777777" w:rsidR="00EB0337" w:rsidRPr="00724FDD" w:rsidRDefault="00EB0337" w:rsidP="00B202C2">
            <w:pPr>
              <w:jc w:val="center"/>
              <w:rPr>
                <w:noProof/>
              </w:rPr>
            </w:pPr>
            <w:r>
              <w:rPr>
                <w:noProof/>
              </w:rPr>
              <w:t>Achieved</w:t>
            </w:r>
          </w:p>
        </w:tc>
      </w:tr>
      <w:tr w:rsidR="00EB0337" w:rsidRPr="00040D99" w14:paraId="7F79EF4B" w14:textId="77777777" w:rsidTr="00B202C2">
        <w:trPr>
          <w:cnfStyle w:val="000000100000" w:firstRow="0" w:lastRow="0" w:firstColumn="0" w:lastColumn="0" w:oddVBand="0" w:evenVBand="0" w:oddHBand="1" w:evenHBand="0" w:firstRowFirstColumn="0" w:firstRowLastColumn="0" w:lastRowFirstColumn="0" w:lastRowLastColumn="0"/>
        </w:trPr>
        <w:tc>
          <w:tcPr>
            <w:tcW w:w="2268" w:type="dxa"/>
          </w:tcPr>
          <w:p w14:paraId="2F0AE784" w14:textId="77777777" w:rsidR="00EB0337" w:rsidRPr="00724FDD" w:rsidRDefault="00EB0337" w:rsidP="00B202C2">
            <w:pPr>
              <w:rPr>
                <w:noProof/>
              </w:rPr>
            </w:pPr>
            <w:r w:rsidRPr="00511C3D">
              <w:rPr>
                <w:noProof/>
              </w:rPr>
              <w:t>Participants who have received a certificate or diploma</w:t>
            </w:r>
            <w:r w:rsidRPr="00EF5B13">
              <w:rPr>
                <w:rFonts w:ascii="Calibri" w:hAnsi="Calibri" w:cs="Calibri"/>
                <w:noProof/>
              </w:rPr>
              <w:t> </w:t>
            </w:r>
            <w:r w:rsidRPr="00EF5B13">
              <w:rPr>
                <w:noProof/>
              </w:rPr>
              <w:t>(</w:t>
            </w:r>
            <w:r w:rsidRPr="00EF5B13">
              <w:rPr>
                <w:noProof/>
                <w:vertAlign w:val="superscript"/>
              </w:rPr>
              <w:t>2</w:t>
            </w:r>
            <w:r w:rsidRPr="00EF5B13">
              <w:rPr>
                <w:noProof/>
              </w:rPr>
              <w:t>)</w:t>
            </w:r>
          </w:p>
        </w:tc>
        <w:tc>
          <w:tcPr>
            <w:tcW w:w="931" w:type="dxa"/>
          </w:tcPr>
          <w:p w14:paraId="5060921D" w14:textId="77777777" w:rsidR="00EB0337" w:rsidRPr="00724FDD" w:rsidRDefault="00EB0337" w:rsidP="00B202C2">
            <w:pPr>
              <w:jc w:val="center"/>
              <w:rPr>
                <w:noProof/>
              </w:rPr>
            </w:pPr>
            <w:r>
              <w:rPr>
                <w:noProof/>
              </w:rPr>
              <w:t>0%</w:t>
            </w:r>
          </w:p>
        </w:tc>
        <w:tc>
          <w:tcPr>
            <w:tcW w:w="1485" w:type="dxa"/>
          </w:tcPr>
          <w:p w14:paraId="23D2303D" w14:textId="77777777" w:rsidR="00EB0337" w:rsidRPr="00B93805" w:rsidRDefault="00EB0337" w:rsidP="00B202C2">
            <w:pPr>
              <w:jc w:val="center"/>
              <w:rPr>
                <w:noProof/>
              </w:rPr>
            </w:pPr>
            <w:r w:rsidRPr="00B93805">
              <w:rPr>
                <w:noProof/>
              </w:rPr>
              <w:t>&gt;</w:t>
            </w:r>
            <w:r>
              <w:rPr>
                <w:rFonts w:ascii="Calibri" w:hAnsi="Calibri" w:cs="Calibri"/>
                <w:noProof/>
              </w:rPr>
              <w:t> </w:t>
            </w:r>
            <w:r w:rsidRPr="00B93805">
              <w:rPr>
                <w:noProof/>
              </w:rPr>
              <w:t>100%</w:t>
            </w:r>
          </w:p>
        </w:tc>
        <w:tc>
          <w:tcPr>
            <w:tcW w:w="1491" w:type="dxa"/>
          </w:tcPr>
          <w:p w14:paraId="5191557F" w14:textId="77777777" w:rsidR="00EB0337" w:rsidRPr="00724FDD" w:rsidRDefault="00EB0337" w:rsidP="00B202C2">
            <w:pPr>
              <w:jc w:val="center"/>
              <w:rPr>
                <w:noProof/>
              </w:rPr>
            </w:pPr>
            <w:r w:rsidRPr="00B93805">
              <w:rPr>
                <w:noProof/>
              </w:rPr>
              <w:t>69%</w:t>
            </w:r>
            <w:r w:rsidRPr="00B93805">
              <w:rPr>
                <w:rFonts w:asciiTheme="minorHAnsi" w:eastAsiaTheme="minorEastAsia" w:hAnsiTheme="minorHAnsi"/>
                <w:noProof/>
                <w:lang w:eastAsia="en-GB"/>
              </w:rPr>
              <w:t xml:space="preserve"> in2020</w:t>
            </w:r>
          </w:p>
        </w:tc>
        <w:tc>
          <w:tcPr>
            <w:tcW w:w="1530" w:type="dxa"/>
          </w:tcPr>
          <w:p w14:paraId="4F89D1F6" w14:textId="77777777" w:rsidR="00EB0337" w:rsidRPr="00724FDD" w:rsidRDefault="00EB0337" w:rsidP="00B202C2">
            <w:pPr>
              <w:jc w:val="center"/>
              <w:rPr>
                <w:noProof/>
              </w:rPr>
            </w:pPr>
            <w:r w:rsidRPr="00B93805">
              <w:rPr>
                <w:rFonts w:asciiTheme="minorHAnsi" w:eastAsiaTheme="minorEastAsia" w:hAnsiTheme="minorHAnsi"/>
                <w:noProof/>
                <w:lang w:eastAsia="en-GB"/>
              </w:rPr>
              <w:t>91% of participants compared to a target of 69%</w:t>
            </w:r>
          </w:p>
        </w:tc>
        <w:tc>
          <w:tcPr>
            <w:tcW w:w="1537" w:type="dxa"/>
          </w:tcPr>
          <w:p w14:paraId="7548A8A0" w14:textId="77777777" w:rsidR="00EB0337" w:rsidRPr="00724FDD" w:rsidRDefault="00EB0337" w:rsidP="00B202C2">
            <w:pPr>
              <w:jc w:val="center"/>
              <w:rPr>
                <w:noProof/>
              </w:rPr>
            </w:pPr>
            <w:r>
              <w:rPr>
                <w:noProof/>
              </w:rPr>
              <w:t>Achieved</w:t>
            </w:r>
          </w:p>
        </w:tc>
      </w:tr>
      <w:tr w:rsidR="00EB0337" w:rsidRPr="00040D99" w14:paraId="5D9D7AA1" w14:textId="77777777" w:rsidTr="00B202C2">
        <w:trPr>
          <w:cnfStyle w:val="000000010000" w:firstRow="0" w:lastRow="0" w:firstColumn="0" w:lastColumn="0" w:oddVBand="0" w:evenVBand="0" w:oddHBand="0" w:evenHBand="1" w:firstRowFirstColumn="0" w:firstRowLastColumn="0" w:lastRowFirstColumn="0" w:lastRowLastColumn="0"/>
        </w:trPr>
        <w:tc>
          <w:tcPr>
            <w:tcW w:w="2268" w:type="dxa"/>
          </w:tcPr>
          <w:p w14:paraId="03DE031D" w14:textId="77777777" w:rsidR="00EB0337" w:rsidRPr="00724FDD" w:rsidRDefault="00EB0337" w:rsidP="00B202C2">
            <w:pPr>
              <w:rPr>
                <w:noProof/>
              </w:rPr>
            </w:pPr>
            <w:r>
              <w:rPr>
                <w:noProof/>
              </w:rPr>
              <w:t>Youth staff supported (in thousands)</w:t>
            </w:r>
          </w:p>
        </w:tc>
        <w:tc>
          <w:tcPr>
            <w:tcW w:w="931" w:type="dxa"/>
          </w:tcPr>
          <w:p w14:paraId="772A348B" w14:textId="77777777" w:rsidR="00EB0337" w:rsidRPr="00724FDD" w:rsidRDefault="00EB0337" w:rsidP="00B202C2">
            <w:pPr>
              <w:jc w:val="center"/>
              <w:rPr>
                <w:noProof/>
              </w:rPr>
            </w:pPr>
            <w:r>
              <w:rPr>
                <w:noProof/>
              </w:rPr>
              <w:t>0%</w:t>
            </w:r>
          </w:p>
        </w:tc>
        <w:tc>
          <w:tcPr>
            <w:tcW w:w="1485" w:type="dxa"/>
          </w:tcPr>
          <w:p w14:paraId="292E9D80" w14:textId="77777777" w:rsidR="00EB0337" w:rsidRPr="00B93805" w:rsidRDefault="00EB0337" w:rsidP="00B202C2">
            <w:pPr>
              <w:jc w:val="center"/>
              <w:rPr>
                <w:noProof/>
              </w:rPr>
            </w:pPr>
            <w:r w:rsidRPr="00B93805">
              <w:rPr>
                <w:noProof/>
              </w:rPr>
              <w:t>&gt;</w:t>
            </w:r>
            <w:r>
              <w:rPr>
                <w:rFonts w:ascii="Calibri" w:hAnsi="Calibri" w:cs="Calibri"/>
                <w:noProof/>
              </w:rPr>
              <w:t> </w:t>
            </w:r>
            <w:r w:rsidRPr="00B93805">
              <w:rPr>
                <w:noProof/>
              </w:rPr>
              <w:t>100%</w:t>
            </w:r>
          </w:p>
        </w:tc>
        <w:tc>
          <w:tcPr>
            <w:tcW w:w="1491" w:type="dxa"/>
          </w:tcPr>
          <w:p w14:paraId="7C5D0BA4" w14:textId="77777777" w:rsidR="00EB0337" w:rsidRPr="00724FDD" w:rsidRDefault="00EB0337" w:rsidP="00B202C2">
            <w:pPr>
              <w:jc w:val="center"/>
              <w:rPr>
                <w:noProof/>
              </w:rPr>
            </w:pPr>
            <w:r w:rsidRPr="00B93805">
              <w:rPr>
                <w:noProof/>
              </w:rPr>
              <w:t>162</w:t>
            </w:r>
            <w:r w:rsidRPr="00B93805">
              <w:rPr>
                <w:rFonts w:asciiTheme="minorHAnsi" w:eastAsiaTheme="minorEastAsia" w:hAnsiTheme="minorHAnsi"/>
                <w:noProof/>
                <w:lang w:eastAsia="en-GB"/>
              </w:rPr>
              <w:t xml:space="preserve"> in 2020</w:t>
            </w:r>
          </w:p>
        </w:tc>
        <w:tc>
          <w:tcPr>
            <w:tcW w:w="1530" w:type="dxa"/>
          </w:tcPr>
          <w:p w14:paraId="1894921C" w14:textId="77777777" w:rsidR="00EB0337" w:rsidRPr="00724FDD" w:rsidRDefault="00EB0337" w:rsidP="00B202C2">
            <w:pPr>
              <w:jc w:val="center"/>
              <w:rPr>
                <w:noProof/>
              </w:rPr>
            </w:pPr>
            <w:r w:rsidRPr="00B93805">
              <w:rPr>
                <w:rFonts w:asciiTheme="minorHAnsi" w:eastAsiaTheme="minorEastAsia" w:hAnsiTheme="minorHAnsi"/>
                <w:noProof/>
                <w:lang w:eastAsia="en-GB"/>
              </w:rPr>
              <w:t>242 thousand staff supported compared to a target of</w:t>
            </w:r>
            <w:r>
              <w:rPr>
                <w:rFonts w:asciiTheme="minorHAnsi" w:eastAsiaTheme="minorEastAsia" w:hAnsiTheme="minorHAnsi"/>
                <w:noProof/>
                <w:lang w:eastAsia="en-GB"/>
              </w:rPr>
              <w:t xml:space="preserve"> </w:t>
            </w:r>
            <w:r w:rsidRPr="00B93805">
              <w:rPr>
                <w:rFonts w:asciiTheme="minorHAnsi" w:eastAsiaTheme="minorEastAsia" w:hAnsiTheme="minorHAnsi"/>
                <w:noProof/>
                <w:lang w:eastAsia="en-GB"/>
              </w:rPr>
              <w:t>162 thousand</w:t>
            </w:r>
          </w:p>
        </w:tc>
        <w:tc>
          <w:tcPr>
            <w:tcW w:w="1537" w:type="dxa"/>
          </w:tcPr>
          <w:p w14:paraId="16B5F5A5" w14:textId="77777777" w:rsidR="00EB0337" w:rsidRPr="00724FDD" w:rsidRDefault="00EB0337" w:rsidP="00B202C2">
            <w:pPr>
              <w:jc w:val="center"/>
              <w:rPr>
                <w:noProof/>
              </w:rPr>
            </w:pPr>
            <w:r>
              <w:rPr>
                <w:noProof/>
              </w:rPr>
              <w:t>Achieved</w:t>
            </w:r>
          </w:p>
        </w:tc>
      </w:tr>
      <w:tr w:rsidR="00EB0337" w:rsidRPr="00040D99" w14:paraId="40685BA6" w14:textId="77777777" w:rsidTr="00B202C2">
        <w:trPr>
          <w:cnfStyle w:val="000000100000" w:firstRow="0" w:lastRow="0" w:firstColumn="0" w:lastColumn="0" w:oddVBand="0" w:evenVBand="0" w:oddHBand="1" w:evenHBand="0" w:firstRowFirstColumn="0" w:firstRowLastColumn="0" w:lastRowFirstColumn="0" w:lastRowLastColumn="0"/>
        </w:trPr>
        <w:tc>
          <w:tcPr>
            <w:tcW w:w="2268" w:type="dxa"/>
          </w:tcPr>
          <w:p w14:paraId="7D765B76" w14:textId="77777777" w:rsidR="00EB0337" w:rsidRDefault="00EB0337" w:rsidP="00B202C2">
            <w:pPr>
              <w:rPr>
                <w:noProof/>
              </w:rPr>
            </w:pPr>
            <w:r>
              <w:rPr>
                <w:noProof/>
              </w:rPr>
              <w:t>Long-term mobility results</w:t>
            </w:r>
            <w:r>
              <w:rPr>
                <w:rFonts w:ascii="Calibri" w:hAnsi="Calibri" w:cs="Calibri"/>
                <w:noProof/>
              </w:rPr>
              <w:t> </w:t>
            </w:r>
            <w:r>
              <w:rPr>
                <w:noProof/>
              </w:rPr>
              <w:t>– share of participants who declare improved language skills</w:t>
            </w:r>
            <w:r w:rsidRPr="00FD63A4">
              <w:rPr>
                <w:noProof/>
              </w:rPr>
              <w:t xml:space="preserve"> (</w:t>
            </w:r>
            <w:r w:rsidRPr="00FD63A4">
              <w:rPr>
                <w:noProof/>
                <w:vertAlign w:val="superscript"/>
              </w:rPr>
              <w:t>3</w:t>
            </w:r>
            <w:r w:rsidRPr="00FD63A4">
              <w:rPr>
                <w:noProof/>
              </w:rPr>
              <w:t>)</w:t>
            </w:r>
          </w:p>
        </w:tc>
        <w:tc>
          <w:tcPr>
            <w:tcW w:w="931" w:type="dxa"/>
          </w:tcPr>
          <w:p w14:paraId="409FAA10" w14:textId="77777777" w:rsidR="00EB0337" w:rsidRPr="00724FDD" w:rsidRDefault="00EB0337" w:rsidP="00B202C2">
            <w:pPr>
              <w:jc w:val="center"/>
              <w:rPr>
                <w:noProof/>
              </w:rPr>
            </w:pPr>
            <w:r>
              <w:rPr>
                <w:noProof/>
              </w:rPr>
              <w:t>0%</w:t>
            </w:r>
          </w:p>
        </w:tc>
        <w:tc>
          <w:tcPr>
            <w:tcW w:w="1485" w:type="dxa"/>
          </w:tcPr>
          <w:p w14:paraId="484C0CBE" w14:textId="77777777" w:rsidR="00EB0337" w:rsidRPr="00B93805" w:rsidRDefault="00EB0337" w:rsidP="00B202C2">
            <w:pPr>
              <w:jc w:val="center"/>
              <w:rPr>
                <w:noProof/>
              </w:rPr>
            </w:pPr>
            <w:r w:rsidRPr="00B93805">
              <w:rPr>
                <w:noProof/>
              </w:rPr>
              <w:t>98%</w:t>
            </w:r>
          </w:p>
        </w:tc>
        <w:tc>
          <w:tcPr>
            <w:tcW w:w="1491" w:type="dxa"/>
          </w:tcPr>
          <w:p w14:paraId="2891A234" w14:textId="77777777" w:rsidR="00EB0337" w:rsidRPr="00724FDD" w:rsidRDefault="00EB0337" w:rsidP="00B202C2">
            <w:pPr>
              <w:jc w:val="center"/>
              <w:rPr>
                <w:noProof/>
              </w:rPr>
            </w:pPr>
            <w:r w:rsidRPr="00B93805">
              <w:rPr>
                <w:noProof/>
              </w:rPr>
              <w:t>98%</w:t>
            </w:r>
            <w:r w:rsidRPr="00B93805">
              <w:rPr>
                <w:rFonts w:asciiTheme="minorHAnsi" w:eastAsiaTheme="minorEastAsia" w:hAnsiTheme="minorHAnsi"/>
                <w:noProof/>
                <w:lang w:eastAsia="en-GB"/>
              </w:rPr>
              <w:t xml:space="preserve"> in 2020</w:t>
            </w:r>
          </w:p>
        </w:tc>
        <w:tc>
          <w:tcPr>
            <w:tcW w:w="1530" w:type="dxa"/>
          </w:tcPr>
          <w:p w14:paraId="76085BCF" w14:textId="77777777" w:rsidR="00EB0337" w:rsidRPr="00724FDD" w:rsidRDefault="00EB0337" w:rsidP="00B202C2">
            <w:pPr>
              <w:jc w:val="center"/>
              <w:rPr>
                <w:noProof/>
              </w:rPr>
            </w:pPr>
            <w:r w:rsidRPr="00B93805">
              <w:rPr>
                <w:rFonts w:asciiTheme="minorHAnsi" w:eastAsiaTheme="minorEastAsia" w:hAnsiTheme="minorHAnsi"/>
                <w:noProof/>
                <w:lang w:eastAsia="en-GB"/>
              </w:rPr>
              <w:t>96% of participants compared to a target of 98%</w:t>
            </w:r>
          </w:p>
        </w:tc>
        <w:tc>
          <w:tcPr>
            <w:tcW w:w="1537" w:type="dxa"/>
          </w:tcPr>
          <w:p w14:paraId="39B719DF" w14:textId="77777777" w:rsidR="00EB0337" w:rsidRDefault="00EB0337" w:rsidP="00B202C2">
            <w:pPr>
              <w:jc w:val="center"/>
              <w:rPr>
                <w:noProof/>
              </w:rPr>
            </w:pPr>
            <w:r>
              <w:rPr>
                <w:noProof/>
              </w:rPr>
              <w:t>On track</w:t>
            </w:r>
          </w:p>
        </w:tc>
      </w:tr>
      <w:tr w:rsidR="00EB0337" w:rsidRPr="00040D99" w14:paraId="3D52DFD0" w14:textId="77777777" w:rsidTr="00B202C2">
        <w:trPr>
          <w:cnfStyle w:val="000000010000" w:firstRow="0" w:lastRow="0" w:firstColumn="0" w:lastColumn="0" w:oddVBand="0" w:evenVBand="0" w:oddHBand="0" w:evenHBand="1" w:firstRowFirstColumn="0" w:firstRowLastColumn="0" w:lastRowFirstColumn="0" w:lastRowLastColumn="0"/>
        </w:trPr>
        <w:tc>
          <w:tcPr>
            <w:tcW w:w="2268" w:type="dxa"/>
          </w:tcPr>
          <w:p w14:paraId="7E90CEC3" w14:textId="77777777" w:rsidR="00EB0337" w:rsidRDefault="00EB0337" w:rsidP="00B202C2">
            <w:pPr>
              <w:rPr>
                <w:noProof/>
              </w:rPr>
            </w:pPr>
            <w:r>
              <w:rPr>
                <w:noProof/>
              </w:rPr>
              <w:t>Partner country higher education institutions involved in mobility and cooperation actions</w:t>
            </w:r>
            <w:r>
              <w:rPr>
                <w:noProof/>
                <w:color w:val="2B579A"/>
                <w:shd w:val="clear" w:color="auto" w:fill="E6E6E6"/>
              </w:rPr>
              <w:t xml:space="preserve"> </w:t>
            </w:r>
            <w:r w:rsidRPr="00FD63A4">
              <w:rPr>
                <w:noProof/>
              </w:rPr>
              <w:t>(</w:t>
            </w:r>
            <w:r>
              <w:rPr>
                <w:noProof/>
                <w:vertAlign w:val="superscript"/>
              </w:rPr>
              <w:t>4</w:t>
            </w:r>
            <w:r w:rsidRPr="00FD63A4">
              <w:rPr>
                <w:noProof/>
              </w:rPr>
              <w:t>)</w:t>
            </w:r>
          </w:p>
        </w:tc>
        <w:tc>
          <w:tcPr>
            <w:tcW w:w="931" w:type="dxa"/>
          </w:tcPr>
          <w:p w14:paraId="1458F86B" w14:textId="77777777" w:rsidR="00EB0337" w:rsidRPr="00724FDD" w:rsidRDefault="00EB0337" w:rsidP="00B202C2">
            <w:pPr>
              <w:jc w:val="center"/>
              <w:rPr>
                <w:noProof/>
              </w:rPr>
            </w:pPr>
            <w:r>
              <w:rPr>
                <w:noProof/>
              </w:rPr>
              <w:t>0</w:t>
            </w:r>
          </w:p>
        </w:tc>
        <w:tc>
          <w:tcPr>
            <w:tcW w:w="1485" w:type="dxa"/>
          </w:tcPr>
          <w:p w14:paraId="343ED1CD" w14:textId="77777777" w:rsidR="00EB0337" w:rsidRPr="00B93805" w:rsidRDefault="00EB0337" w:rsidP="00B202C2">
            <w:pPr>
              <w:jc w:val="center"/>
              <w:rPr>
                <w:noProof/>
              </w:rPr>
            </w:pPr>
            <w:r w:rsidRPr="00B93805">
              <w:rPr>
                <w:noProof/>
              </w:rPr>
              <w:t>70%</w:t>
            </w:r>
          </w:p>
        </w:tc>
        <w:tc>
          <w:tcPr>
            <w:tcW w:w="1491" w:type="dxa"/>
          </w:tcPr>
          <w:p w14:paraId="69037066" w14:textId="77777777" w:rsidR="00EB0337" w:rsidRPr="00724FDD" w:rsidRDefault="00EB0337" w:rsidP="00B202C2">
            <w:pPr>
              <w:jc w:val="center"/>
              <w:rPr>
                <w:noProof/>
              </w:rPr>
            </w:pPr>
            <w:r w:rsidRPr="00B93805">
              <w:rPr>
                <w:noProof/>
              </w:rPr>
              <w:t>1</w:t>
            </w:r>
            <w:r>
              <w:rPr>
                <w:rFonts w:ascii="Calibri" w:hAnsi="Calibri" w:cs="Calibri"/>
                <w:noProof/>
              </w:rPr>
              <w:t> </w:t>
            </w:r>
            <w:r w:rsidRPr="00B93805">
              <w:rPr>
                <w:noProof/>
              </w:rPr>
              <w:t>300</w:t>
            </w:r>
            <w:r w:rsidRPr="00B93805">
              <w:rPr>
                <w:rFonts w:asciiTheme="minorHAnsi" w:eastAsiaTheme="minorEastAsia" w:hAnsiTheme="minorHAnsi"/>
                <w:noProof/>
                <w:lang w:eastAsia="en-GB"/>
              </w:rPr>
              <w:t xml:space="preserve"> in 2020</w:t>
            </w:r>
          </w:p>
        </w:tc>
        <w:tc>
          <w:tcPr>
            <w:tcW w:w="1530" w:type="dxa"/>
          </w:tcPr>
          <w:p w14:paraId="43FBEB78" w14:textId="77777777" w:rsidR="00EB0337" w:rsidRPr="00724FDD" w:rsidRDefault="00EB0337" w:rsidP="00B202C2">
            <w:pPr>
              <w:jc w:val="center"/>
              <w:rPr>
                <w:noProof/>
              </w:rPr>
            </w:pPr>
            <w:r w:rsidRPr="00B93805">
              <w:rPr>
                <w:rFonts w:asciiTheme="minorHAnsi" w:eastAsiaTheme="minorEastAsia" w:hAnsiTheme="minorHAnsi"/>
                <w:noProof/>
                <w:lang w:eastAsia="en-GB"/>
              </w:rPr>
              <w:t>910 institutions compared to a target of 1</w:t>
            </w:r>
            <w:r>
              <w:rPr>
                <w:rFonts w:asciiTheme="minorHAnsi" w:eastAsiaTheme="minorEastAsia" w:hAnsiTheme="minorHAnsi"/>
                <w:noProof/>
                <w:lang w:eastAsia="en-GB"/>
              </w:rPr>
              <w:t> </w:t>
            </w:r>
            <w:r w:rsidRPr="00B93805">
              <w:rPr>
                <w:rFonts w:asciiTheme="minorHAnsi" w:eastAsiaTheme="minorEastAsia" w:hAnsiTheme="minorHAnsi"/>
                <w:noProof/>
                <w:lang w:eastAsia="en-GB"/>
              </w:rPr>
              <w:t>300</w:t>
            </w:r>
          </w:p>
        </w:tc>
        <w:tc>
          <w:tcPr>
            <w:tcW w:w="1537" w:type="dxa"/>
          </w:tcPr>
          <w:p w14:paraId="32854272" w14:textId="77777777" w:rsidR="00EB0337" w:rsidRDefault="00EB0337" w:rsidP="00B202C2">
            <w:pPr>
              <w:jc w:val="center"/>
              <w:rPr>
                <w:noProof/>
              </w:rPr>
            </w:pPr>
            <w:r>
              <w:rPr>
                <w:noProof/>
              </w:rPr>
              <w:t>Moderate progress</w:t>
            </w:r>
          </w:p>
        </w:tc>
      </w:tr>
    </w:tbl>
    <w:p w14:paraId="2F610495" w14:textId="77777777" w:rsidR="00EB0337" w:rsidRDefault="00EB0337" w:rsidP="00EB0337">
      <w:pPr>
        <w:pStyle w:val="FootnoteText"/>
        <w:rPr>
          <w:noProof/>
        </w:rPr>
      </w:pPr>
      <w:r>
        <w:rPr>
          <w:noProof/>
        </w:rPr>
        <w:t xml:space="preserve">(*) </w:t>
      </w:r>
      <w:r w:rsidRPr="00040D99">
        <w:rPr>
          <w:noProof/>
        </w:rPr>
        <w:t>% of target achieved by the end of 2020</w:t>
      </w:r>
    </w:p>
    <w:p w14:paraId="37F98FB0" w14:textId="77777777" w:rsidR="00EB0337" w:rsidRDefault="00EB0337" w:rsidP="00EB0337">
      <w:pPr>
        <w:pStyle w:val="FootnoteText"/>
        <w:rPr>
          <w:noProof/>
        </w:rPr>
      </w:pPr>
    </w:p>
    <w:p w14:paraId="7C0A1851" w14:textId="77777777" w:rsidR="00EB0337" w:rsidRDefault="00EB0337" w:rsidP="00EB0337">
      <w:pPr>
        <w:pStyle w:val="FootnoteText"/>
        <w:rPr>
          <w:noProof/>
        </w:rPr>
      </w:pPr>
      <w:r>
        <w:rPr>
          <w:noProof/>
        </w:rPr>
        <w:t>(1) Cumulative results for 2014-2020 compared to cumulative targets for 2014-2020.</w:t>
      </w:r>
    </w:p>
    <w:p w14:paraId="2A53E346" w14:textId="77777777" w:rsidR="00EB0337" w:rsidRDefault="00EB0337" w:rsidP="00EB0337">
      <w:pPr>
        <w:pStyle w:val="FootnoteText"/>
        <w:rPr>
          <w:noProof/>
        </w:rPr>
      </w:pPr>
      <w:r>
        <w:rPr>
          <w:noProof/>
        </w:rPr>
        <w:t>(2) Higher education is not included.</w:t>
      </w:r>
    </w:p>
    <w:p w14:paraId="6F42B40B" w14:textId="77777777" w:rsidR="00EB0337" w:rsidRDefault="00EB0337" w:rsidP="00EB0337">
      <w:pPr>
        <w:pStyle w:val="FootnoteText"/>
        <w:rPr>
          <w:noProof/>
        </w:rPr>
      </w:pPr>
      <w:r>
        <w:rPr>
          <w:noProof/>
        </w:rPr>
        <w:t xml:space="preserve">(3) Values based on education and training only, as youth is now reported under the </w:t>
      </w:r>
      <w:r w:rsidRPr="00536EE5">
        <w:rPr>
          <w:noProof/>
        </w:rPr>
        <w:t>European Solidarity Corps</w:t>
      </w:r>
      <w:r>
        <w:rPr>
          <w:noProof/>
        </w:rPr>
        <w:t>.</w:t>
      </w:r>
    </w:p>
    <w:p w14:paraId="6D01EC00" w14:textId="77777777" w:rsidR="00EB0337" w:rsidRPr="00040D99" w:rsidRDefault="00EB0337" w:rsidP="00EB0337">
      <w:pPr>
        <w:pStyle w:val="FootnoteText"/>
        <w:rPr>
          <w:noProof/>
        </w:rPr>
      </w:pPr>
      <w:r>
        <w:rPr>
          <w:noProof/>
        </w:rPr>
        <w:t>(4) Latest result from 2018.</w:t>
      </w:r>
    </w:p>
    <w:p w14:paraId="7DC7AC50" w14:textId="77777777" w:rsidR="00EB0337" w:rsidRPr="00040D99" w:rsidRDefault="00EB0337" w:rsidP="00EB0337">
      <w:pPr>
        <w:pStyle w:val="FootnoteText"/>
        <w:rPr>
          <w:noProof/>
        </w:rPr>
      </w:pPr>
    </w:p>
    <w:p w14:paraId="702A840D" w14:textId="77777777" w:rsidR="00EB0337" w:rsidRDefault="00EB0337" w:rsidP="00EB0337">
      <w:pPr>
        <w:pStyle w:val="ppoListHyphened-L1"/>
        <w:jc w:val="both"/>
        <w:rPr>
          <w:noProof/>
        </w:rPr>
      </w:pPr>
      <w:r>
        <w:rPr>
          <w:noProof/>
        </w:rPr>
        <w:t xml:space="preserve">The 2014-2020 Erasmus+ programme built on the experience of previous programmes that had been, for the first time, brought together under the name of Erasmus+, resulting in massive simplification of the transnational support for education and training, youth and sport. Through immersive learning experiences, Erasmus+ has contributed to developing skills and competences, while offering over the last three decades life-changing experiences to close to </w:t>
      </w:r>
      <w:r w:rsidRPr="00EF5B13">
        <w:rPr>
          <w:noProof/>
        </w:rPr>
        <w:t>12.5</w:t>
      </w:r>
      <w:r w:rsidRPr="00EF5B13">
        <w:rPr>
          <w:rFonts w:ascii="Calibri" w:hAnsi="Calibri" w:cs="Calibri"/>
          <w:noProof/>
        </w:rPr>
        <w:t> </w:t>
      </w:r>
      <w:r w:rsidRPr="00EF5B13">
        <w:rPr>
          <w:noProof/>
        </w:rPr>
        <w:t>million</w:t>
      </w:r>
      <w:r w:rsidRPr="00EF5B13">
        <w:rPr>
          <w:rFonts w:ascii="Calibri" w:hAnsi="Calibri" w:cs="Calibri"/>
          <w:noProof/>
        </w:rPr>
        <w:t xml:space="preserve"> </w:t>
      </w:r>
      <w:r w:rsidRPr="00EF5B13">
        <w:rPr>
          <w:noProof/>
        </w:rPr>
        <w:t>people</w:t>
      </w:r>
      <w:r>
        <w:rPr>
          <w:noProof/>
        </w:rPr>
        <w:t xml:space="preserve"> to study, train or learn abroad. Along the years, the programme has demonstrated an outstanding track record not only in terms of numbers, constantly meeting or exceeding expectations across fields and actions, but also in terms of social impact.</w:t>
      </w:r>
    </w:p>
    <w:p w14:paraId="2A18E4D4" w14:textId="77777777" w:rsidR="00EB0337" w:rsidRDefault="00EB0337" w:rsidP="00EB0337">
      <w:pPr>
        <w:pStyle w:val="ppoListHyphened-L1"/>
        <w:jc w:val="both"/>
        <w:rPr>
          <w:noProof/>
        </w:rPr>
      </w:pPr>
      <w:r>
        <w:rPr>
          <w:noProof/>
        </w:rPr>
        <w:t>Due to the nature of its activities, the 2014-2020 programme was hit hard by the COVID-19 pandemic. As described above, important adaptation measures were undertaken in order to mitigate the effects of the pandemic. The programme’s mobility strand was particularly impacted, with a drop to 350</w:t>
      </w:r>
      <w:r>
        <w:rPr>
          <w:rFonts w:ascii="Calibri" w:hAnsi="Calibri" w:cs="Calibri"/>
          <w:noProof/>
        </w:rPr>
        <w:t> </w:t>
      </w:r>
      <w:r>
        <w:rPr>
          <w:noProof/>
        </w:rPr>
        <w:t>000 physical mobility periods in 2020.</w:t>
      </w:r>
    </w:p>
    <w:p w14:paraId="180F6778" w14:textId="77777777" w:rsidR="00EB0337" w:rsidRDefault="00EB0337" w:rsidP="00EB0337">
      <w:pPr>
        <w:pStyle w:val="ppoListHyphened-L1"/>
        <w:jc w:val="both"/>
        <w:rPr>
          <w:noProof/>
        </w:rPr>
      </w:pPr>
      <w:r>
        <w:rPr>
          <w:noProof/>
        </w:rPr>
        <w:t>In August 2020, the Erasmus+ programme featured two specific calls for proposals, each providing EUR</w:t>
      </w:r>
      <w:r>
        <w:rPr>
          <w:rFonts w:ascii="Calibri" w:hAnsi="Calibri" w:cs="Calibri"/>
          <w:noProof/>
        </w:rPr>
        <w:t> </w:t>
      </w:r>
      <w:r>
        <w:rPr>
          <w:noProof/>
        </w:rPr>
        <w:t>100</w:t>
      </w:r>
      <w:r>
        <w:rPr>
          <w:rFonts w:ascii="Calibri" w:hAnsi="Calibri" w:cs="Calibri"/>
          <w:noProof/>
        </w:rPr>
        <w:t> </w:t>
      </w:r>
      <w:r>
        <w:rPr>
          <w:noProof/>
        </w:rPr>
        <w:t>million to respond to the educational challenges resulting from the COVID-19 pandemic. The two calls received a total of 4</w:t>
      </w:r>
      <w:r>
        <w:rPr>
          <w:rFonts w:ascii="Calibri" w:hAnsi="Calibri" w:cs="Calibri"/>
          <w:noProof/>
        </w:rPr>
        <w:t> </w:t>
      </w:r>
      <w:r>
        <w:rPr>
          <w:noProof/>
        </w:rPr>
        <w:t>430 applications, out of which 1</w:t>
      </w:r>
      <w:r>
        <w:rPr>
          <w:rFonts w:ascii="Calibri" w:hAnsi="Calibri" w:cs="Calibri"/>
          <w:noProof/>
        </w:rPr>
        <w:t> </w:t>
      </w:r>
      <w:r>
        <w:rPr>
          <w:noProof/>
        </w:rPr>
        <w:t>201 projects were contracted.</w:t>
      </w:r>
    </w:p>
    <w:p w14:paraId="4CE5C268" w14:textId="77777777" w:rsidR="00FB2994" w:rsidRDefault="00FB2994" w:rsidP="00E73D04">
      <w:pPr>
        <w:pStyle w:val="ppoListHyphened-L1"/>
        <w:rPr>
          <w:b/>
          <w:noProof/>
        </w:rPr>
        <w:sectPr w:rsidR="00FB2994" w:rsidSect="00B202C2">
          <w:headerReference w:type="even" r:id="rId285"/>
          <w:headerReference w:type="default" r:id="rId286"/>
          <w:footerReference w:type="even" r:id="rId287"/>
          <w:footerReference w:type="default" r:id="rId288"/>
          <w:headerReference w:type="first" r:id="rId289"/>
          <w:footerReference w:type="first" r:id="rId290"/>
          <w:type w:val="continuous"/>
          <w:pgSz w:w="11906" w:h="16838" w:code="9"/>
          <w:pgMar w:top="1134" w:right="1134" w:bottom="964" w:left="1134" w:header="431" w:footer="431" w:gutter="0"/>
          <w:cols w:space="720"/>
          <w:titlePg/>
          <w:docGrid w:linePitch="360"/>
        </w:sectPr>
      </w:pPr>
    </w:p>
    <w:p w14:paraId="22A388FA" w14:textId="77777777" w:rsidR="00FB2994" w:rsidRPr="001A26C5" w:rsidRDefault="00FB2994" w:rsidP="00FB2994">
      <w:pPr>
        <w:pStyle w:val="StyleppoHeading3WhiteLeft0cm"/>
        <w:jc w:val="both"/>
        <w:rPr>
          <w:noProof/>
          <w:sz w:val="40"/>
          <w:szCs w:val="40"/>
        </w:rPr>
      </w:pPr>
    </w:p>
    <w:p w14:paraId="76CA9FA1" w14:textId="6D24EF30" w:rsidR="00FB2994" w:rsidRDefault="00FB2994" w:rsidP="0083214A">
      <w:pPr>
        <w:pStyle w:val="StyleppoHeading3WhiteLeft0cm"/>
        <w:rPr>
          <w:noProof/>
          <w:sz w:val="60"/>
          <w:szCs w:val="60"/>
        </w:rPr>
      </w:pPr>
      <w:bookmarkStart w:id="145" w:name="_Toc102086351"/>
      <w:r w:rsidRPr="0083214A">
        <w:rPr>
          <w:noProof/>
          <w:sz w:val="60"/>
          <w:szCs w:val="60"/>
        </w:rPr>
        <w:t>EUROPEAN SOLIDARITY CORPS</w:t>
      </w:r>
      <w:bookmarkEnd w:id="145"/>
    </w:p>
    <w:p w14:paraId="3CF8E4F2" w14:textId="77777777" w:rsidR="0083214A" w:rsidRPr="0083214A" w:rsidRDefault="0083214A" w:rsidP="0083214A">
      <w:pPr>
        <w:pStyle w:val="StyleppoHeading3WhiteLeft0cm"/>
        <w:rPr>
          <w:noProof/>
          <w:sz w:val="32"/>
          <w:szCs w:val="32"/>
        </w:rPr>
      </w:pPr>
    </w:p>
    <w:p w14:paraId="788D2715" w14:textId="77777777" w:rsidR="00FB2994" w:rsidRPr="00351CB7" w:rsidRDefault="00FB2994" w:rsidP="00FB2994">
      <w:pPr>
        <w:pStyle w:val="ppoHeading4Green"/>
        <w:jc w:val="both"/>
        <w:rPr>
          <w:noProof/>
        </w:rPr>
      </w:pPr>
      <w:r w:rsidRPr="00351CB7">
        <w:rPr>
          <w:noProof/>
        </w:rPr>
        <w:t>Programme in a nutshell</w:t>
      </w:r>
    </w:p>
    <w:p w14:paraId="5A213B2D" w14:textId="77777777" w:rsidR="00FB2994" w:rsidRPr="00040D99" w:rsidRDefault="00FB2994" w:rsidP="00FB2994">
      <w:pPr>
        <w:spacing w:after="480"/>
        <w:rPr>
          <w:rFonts w:eastAsiaTheme="minorEastAsia"/>
          <w:noProof/>
          <w:color w:val="FFFFFF" w:themeColor="background1"/>
          <w:sz w:val="32"/>
        </w:rPr>
        <w:sectPr w:rsidR="00FB2994" w:rsidRPr="00040D99" w:rsidSect="00B202C2">
          <w:headerReference w:type="even" r:id="rId291"/>
          <w:headerReference w:type="default" r:id="rId292"/>
          <w:footerReference w:type="even" r:id="rId293"/>
          <w:footerReference w:type="default" r:id="rId294"/>
          <w:headerReference w:type="first" r:id="rId295"/>
          <w:footerReference w:type="first" r:id="rId296"/>
          <w:pgSz w:w="11906" w:h="16838" w:code="9"/>
          <w:pgMar w:top="1134" w:right="1134" w:bottom="964" w:left="1134" w:header="431" w:footer="431" w:gutter="0"/>
          <w:cols w:space="720"/>
          <w:docGrid w:linePitch="360"/>
        </w:sectPr>
      </w:pPr>
    </w:p>
    <w:p w14:paraId="47E81293" w14:textId="77777777" w:rsidR="00FB2994" w:rsidRPr="00040D99" w:rsidRDefault="00FB2994" w:rsidP="00FB2994">
      <w:pPr>
        <w:pStyle w:val="ppoHeading5"/>
        <w:jc w:val="both"/>
        <w:rPr>
          <w:noProof/>
        </w:rPr>
      </w:pPr>
      <w:r w:rsidRPr="00040D99">
        <w:rPr>
          <w:noProof/>
        </w:rPr>
        <w:t>Concrete examples of achievements</w:t>
      </w:r>
      <w:r>
        <w:rPr>
          <w:rFonts w:ascii="Calibri" w:hAnsi="Calibri" w:cs="Calibri"/>
          <w:noProof/>
        </w:rPr>
        <w:t> (</w:t>
      </w:r>
      <w:r>
        <w:rPr>
          <w:noProof/>
        </w:rPr>
        <w:t>*)</w:t>
      </w:r>
    </w:p>
    <w:tbl>
      <w:tblPr>
        <w:tblStyle w:val="PPO2021"/>
        <w:tblW w:w="9639" w:type="dxa"/>
        <w:tblInd w:w="0" w:type="dxa"/>
        <w:tblLook w:val="0200" w:firstRow="0" w:lastRow="0" w:firstColumn="0" w:lastColumn="0" w:noHBand="1" w:noVBand="0"/>
      </w:tblPr>
      <w:tblGrid>
        <w:gridCol w:w="2410"/>
        <w:gridCol w:w="2409"/>
        <w:gridCol w:w="2410"/>
        <w:gridCol w:w="2410"/>
      </w:tblGrid>
      <w:tr w:rsidR="00FB2994" w:rsidRPr="00040D99" w14:paraId="3C3FBF60" w14:textId="77777777" w:rsidTr="00B202C2">
        <w:tc>
          <w:tcPr>
            <w:tcW w:w="2410" w:type="dxa"/>
          </w:tcPr>
          <w:p w14:paraId="2D1D7A74" w14:textId="77777777" w:rsidR="00FB2994" w:rsidRPr="0076270C" w:rsidRDefault="00FB2994" w:rsidP="00B202C2">
            <w:pPr>
              <w:pStyle w:val="ppoTableacheivementvalue"/>
              <w:jc w:val="both"/>
              <w:rPr>
                <w:noProof/>
              </w:rPr>
            </w:pPr>
            <w:r>
              <w:rPr>
                <w:noProof/>
              </w:rPr>
              <w:t>456</w:t>
            </w:r>
            <w:r>
              <w:rPr>
                <w:rFonts w:ascii="Calibri" w:hAnsi="Calibri" w:cs="Calibri"/>
                <w:noProof/>
              </w:rPr>
              <w:t> </w:t>
            </w:r>
            <w:r>
              <w:rPr>
                <w:noProof/>
              </w:rPr>
              <w:t>275</w:t>
            </w:r>
          </w:p>
          <w:p w14:paraId="5EEF80F1" w14:textId="77777777" w:rsidR="00FB2994" w:rsidRPr="0076270C" w:rsidRDefault="00FB2994" w:rsidP="00962E3C">
            <w:pPr>
              <w:jc w:val="left"/>
              <w:rPr>
                <w:noProof/>
              </w:rPr>
            </w:pPr>
            <w:r>
              <w:rPr>
                <w:noProof/>
              </w:rPr>
              <w:t>young people expressed interest in joining by registering with the 2018-2020 European Solidarity Corps.</w:t>
            </w:r>
          </w:p>
        </w:tc>
        <w:tc>
          <w:tcPr>
            <w:cnfStyle w:val="000001000000" w:firstRow="0" w:lastRow="0" w:firstColumn="0" w:lastColumn="0" w:oddVBand="0" w:evenVBand="1" w:oddHBand="0" w:evenHBand="0" w:firstRowFirstColumn="0" w:firstRowLastColumn="0" w:lastRowFirstColumn="0" w:lastRowLastColumn="0"/>
            <w:tcW w:w="2409" w:type="dxa"/>
          </w:tcPr>
          <w:p w14:paraId="25327E5C" w14:textId="77777777" w:rsidR="00FB2994" w:rsidRPr="0076270C" w:rsidRDefault="00FB2994" w:rsidP="00B202C2">
            <w:pPr>
              <w:pStyle w:val="ppoTableacheivementvalue"/>
              <w:jc w:val="both"/>
              <w:rPr>
                <w:noProof/>
              </w:rPr>
            </w:pPr>
            <w:r>
              <w:rPr>
                <w:noProof/>
              </w:rPr>
              <w:t>41%</w:t>
            </w:r>
          </w:p>
          <w:p w14:paraId="1D265CFA" w14:textId="77777777" w:rsidR="00FB2994" w:rsidRPr="0076270C" w:rsidRDefault="00FB2994" w:rsidP="00962E3C">
            <w:pPr>
              <w:jc w:val="left"/>
              <w:rPr>
                <w:noProof/>
              </w:rPr>
            </w:pPr>
            <w:r>
              <w:rPr>
                <w:noProof/>
              </w:rPr>
              <w:t>of participants involved in the 2018-2020 European Solidarity Corps programme were young people with fewer opportunities.</w:t>
            </w:r>
          </w:p>
        </w:tc>
        <w:tc>
          <w:tcPr>
            <w:tcW w:w="2410" w:type="dxa"/>
            <w:tcBorders>
              <w:bottom w:val="single" w:sz="4" w:space="0" w:color="8C8C8C"/>
            </w:tcBorders>
          </w:tcPr>
          <w:p w14:paraId="63C99638" w14:textId="77777777" w:rsidR="00FB2994" w:rsidRPr="0076270C" w:rsidRDefault="00FB2994" w:rsidP="00B202C2">
            <w:pPr>
              <w:pStyle w:val="ppoTableacheivementvalue"/>
              <w:jc w:val="both"/>
              <w:cnfStyle w:val="000000000000" w:firstRow="0" w:lastRow="0" w:firstColumn="0" w:lastColumn="0" w:oddVBand="0" w:evenVBand="0" w:oddHBand="0" w:evenHBand="0" w:firstRowFirstColumn="0" w:firstRowLastColumn="0" w:lastRowFirstColumn="0" w:lastRowLastColumn="0"/>
              <w:rPr>
                <w:noProof/>
              </w:rPr>
            </w:pPr>
            <w:r>
              <w:rPr>
                <w:noProof/>
              </w:rPr>
              <w:t>55</w:t>
            </w:r>
            <w:r>
              <w:rPr>
                <w:rFonts w:ascii="Calibri" w:hAnsi="Calibri" w:cs="Calibri"/>
                <w:noProof/>
              </w:rPr>
              <w:t> </w:t>
            </w:r>
            <w:r>
              <w:rPr>
                <w:noProof/>
              </w:rPr>
              <w:t>901</w:t>
            </w:r>
          </w:p>
          <w:p w14:paraId="4794D369" w14:textId="77777777" w:rsidR="00FB2994" w:rsidRPr="0076270C" w:rsidRDefault="00FB2994" w:rsidP="00962E3C">
            <w:pPr>
              <w:jc w:val="left"/>
              <w:cnfStyle w:val="000000000000" w:firstRow="0" w:lastRow="0" w:firstColumn="0" w:lastColumn="0" w:oddVBand="0" w:evenVBand="0" w:oddHBand="0" w:evenHBand="0" w:firstRowFirstColumn="0" w:firstRowLastColumn="0" w:lastRowFirstColumn="0" w:lastRowLastColumn="0"/>
              <w:rPr>
                <w:noProof/>
              </w:rPr>
            </w:pPr>
            <w:r>
              <w:rPr>
                <w:noProof/>
              </w:rPr>
              <w:t>opportunities for young people were created under European Solidarity Corps since October 2018 to date.</w:t>
            </w:r>
          </w:p>
        </w:tc>
        <w:tc>
          <w:tcPr>
            <w:cnfStyle w:val="000001000000" w:firstRow="0" w:lastRow="0" w:firstColumn="0" w:lastColumn="0" w:oddVBand="0" w:evenVBand="1" w:oddHBand="0" w:evenHBand="0" w:firstRowFirstColumn="0" w:firstRowLastColumn="0" w:lastRowFirstColumn="0" w:lastRowLastColumn="0"/>
            <w:tcW w:w="2410" w:type="dxa"/>
          </w:tcPr>
          <w:p w14:paraId="337F40A8" w14:textId="77777777" w:rsidR="00FB2994" w:rsidRPr="0076270C" w:rsidRDefault="00FB2994" w:rsidP="00B202C2">
            <w:pPr>
              <w:pStyle w:val="ppoTableacheivementvalue"/>
              <w:jc w:val="both"/>
              <w:rPr>
                <w:noProof/>
              </w:rPr>
            </w:pPr>
            <w:r>
              <w:rPr>
                <w:noProof/>
              </w:rPr>
              <w:t>1</w:t>
            </w:r>
            <w:r>
              <w:rPr>
                <w:rFonts w:ascii="Calibri" w:hAnsi="Calibri" w:cs="Calibri"/>
                <w:noProof/>
              </w:rPr>
              <w:t> </w:t>
            </w:r>
            <w:r>
              <w:rPr>
                <w:noProof/>
              </w:rPr>
              <w:t>173</w:t>
            </w:r>
          </w:p>
          <w:p w14:paraId="33E03AE2" w14:textId="77777777" w:rsidR="00FB2994" w:rsidRPr="0076270C" w:rsidRDefault="00FB2994" w:rsidP="00962E3C">
            <w:pPr>
              <w:jc w:val="left"/>
              <w:rPr>
                <w:noProof/>
              </w:rPr>
            </w:pPr>
            <w:r>
              <w:rPr>
                <w:noProof/>
              </w:rPr>
              <w:t>deployments were financed under the 2014-2020 EU Aid Volunteers programme throughout the overall period.</w:t>
            </w:r>
          </w:p>
        </w:tc>
      </w:tr>
      <w:tr w:rsidR="00FB2994" w:rsidRPr="00040D99" w14:paraId="0DE8BB01" w14:textId="77777777" w:rsidTr="00B202C2">
        <w:tc>
          <w:tcPr>
            <w:tcW w:w="2410" w:type="dxa"/>
          </w:tcPr>
          <w:p w14:paraId="749DA674" w14:textId="77777777" w:rsidR="00FB2994" w:rsidRPr="0076270C" w:rsidRDefault="00FB2994" w:rsidP="00B202C2">
            <w:pPr>
              <w:pStyle w:val="ppoTableacheivementvalue"/>
              <w:jc w:val="both"/>
              <w:rPr>
                <w:noProof/>
              </w:rPr>
            </w:pPr>
            <w:r>
              <w:rPr>
                <w:noProof/>
              </w:rPr>
              <w:t>72%</w:t>
            </w:r>
          </w:p>
          <w:p w14:paraId="5F07B583" w14:textId="77777777" w:rsidR="00FB2994" w:rsidRPr="0076270C" w:rsidRDefault="00FB2994" w:rsidP="00962E3C">
            <w:pPr>
              <w:jc w:val="left"/>
              <w:rPr>
                <w:noProof/>
              </w:rPr>
            </w:pPr>
            <w:r>
              <w:rPr>
                <w:noProof/>
              </w:rPr>
              <w:t>of the total number of EU Aid Volunteers deployed under the 2014-2020 programme were women.</w:t>
            </w:r>
          </w:p>
        </w:tc>
        <w:tc>
          <w:tcPr>
            <w:cnfStyle w:val="000001000000" w:firstRow="0" w:lastRow="0" w:firstColumn="0" w:lastColumn="0" w:oddVBand="0" w:evenVBand="1" w:oddHBand="0" w:evenHBand="0" w:firstRowFirstColumn="0" w:firstRowLastColumn="0" w:lastRowFirstColumn="0" w:lastRowLastColumn="0"/>
            <w:tcW w:w="2409" w:type="dxa"/>
            <w:tcBorders>
              <w:bottom w:val="nil"/>
            </w:tcBorders>
            <w:shd w:val="clear" w:color="auto" w:fill="FFFFFF" w:themeFill="background1"/>
          </w:tcPr>
          <w:p w14:paraId="45CB48B8" w14:textId="77777777" w:rsidR="00FB2994" w:rsidRPr="0076270C" w:rsidRDefault="00FB2994" w:rsidP="00B202C2">
            <w:pPr>
              <w:rPr>
                <w:noProof/>
              </w:rPr>
            </w:pPr>
          </w:p>
        </w:tc>
        <w:tc>
          <w:tcPr>
            <w:tcW w:w="2410" w:type="dxa"/>
            <w:tcBorders>
              <w:bottom w:val="nil"/>
            </w:tcBorders>
            <w:shd w:val="clear" w:color="auto" w:fill="FFFFFF" w:themeFill="background1"/>
          </w:tcPr>
          <w:p w14:paraId="22B1846D" w14:textId="77777777" w:rsidR="00FB2994" w:rsidRPr="0076270C" w:rsidRDefault="00FB2994" w:rsidP="00B202C2">
            <w:pPr>
              <w:cnfStyle w:val="000000000000" w:firstRow="0" w:lastRow="0" w:firstColumn="0" w:lastColumn="0" w:oddVBand="0" w:evenVBand="0" w:oddHBand="0" w:evenHBand="0" w:firstRowFirstColumn="0" w:firstRowLastColumn="0" w:lastRowFirstColumn="0" w:lastRowLastColumn="0"/>
              <w:rPr>
                <w:noProof/>
              </w:rPr>
            </w:pPr>
          </w:p>
        </w:tc>
        <w:tc>
          <w:tcPr>
            <w:cnfStyle w:val="000001000000" w:firstRow="0" w:lastRow="0" w:firstColumn="0" w:lastColumn="0" w:oddVBand="0" w:evenVBand="1" w:oddHBand="0" w:evenHBand="0" w:firstRowFirstColumn="0" w:firstRowLastColumn="0" w:lastRowFirstColumn="0" w:lastRowLastColumn="0"/>
            <w:tcW w:w="2410" w:type="dxa"/>
            <w:tcBorders>
              <w:bottom w:val="nil"/>
            </w:tcBorders>
            <w:shd w:val="clear" w:color="auto" w:fill="FFFFFF" w:themeFill="background1"/>
          </w:tcPr>
          <w:p w14:paraId="0F320B50" w14:textId="77777777" w:rsidR="00FB2994" w:rsidRPr="0076270C" w:rsidRDefault="00FB2994" w:rsidP="00B202C2">
            <w:pPr>
              <w:rPr>
                <w:noProof/>
              </w:rPr>
            </w:pPr>
          </w:p>
        </w:tc>
      </w:tr>
    </w:tbl>
    <w:p w14:paraId="345ADF05" w14:textId="77777777" w:rsidR="00FB2994" w:rsidRPr="00040D99" w:rsidRDefault="00FB2994" w:rsidP="00FB2994">
      <w:pPr>
        <w:pStyle w:val="FootnoteText"/>
        <w:rPr>
          <w:rFonts w:eastAsiaTheme="minorEastAsia"/>
          <w:noProof/>
        </w:rPr>
      </w:pPr>
      <w:r>
        <w:rPr>
          <w:rFonts w:eastAsiaTheme="minorEastAsia"/>
          <w:noProof/>
        </w:rPr>
        <w:t>(*)</w:t>
      </w:r>
      <w:r>
        <w:rPr>
          <w:rFonts w:eastAsiaTheme="minorEastAsia"/>
          <w:noProof/>
        </w:rPr>
        <w:tab/>
      </w:r>
      <w:r w:rsidRPr="00CA5FD3">
        <w:rPr>
          <w:rFonts w:eastAsiaTheme="minorEastAsia"/>
          <w:noProof/>
        </w:rPr>
        <w:t xml:space="preserve">Key achievements in the table state which period they relate to. Many come from the implementation of the predecessor programmes under the 2014-2020 </w:t>
      </w:r>
      <w:r>
        <w:rPr>
          <w:rFonts w:eastAsiaTheme="minorEastAsia"/>
          <w:noProof/>
        </w:rPr>
        <w:t>multiannual financial framework</w:t>
      </w:r>
      <w:r w:rsidRPr="00CA5FD3">
        <w:rPr>
          <w:rFonts w:eastAsiaTheme="minorEastAsia"/>
          <w:noProof/>
        </w:rPr>
        <w:t>. This is expected and</w:t>
      </w:r>
      <w:r>
        <w:rPr>
          <w:rFonts w:eastAsiaTheme="minorEastAsia"/>
          <w:noProof/>
        </w:rPr>
        <w:t xml:space="preserve"> is</w:t>
      </w:r>
      <w:r w:rsidRPr="00CA5FD3">
        <w:rPr>
          <w:rFonts w:eastAsiaTheme="minorEastAsia"/>
          <w:noProof/>
        </w:rPr>
        <w:t xml:space="preserve"> due to the multiannual life</w:t>
      </w:r>
      <w:r>
        <w:rPr>
          <w:rFonts w:eastAsiaTheme="minorEastAsia"/>
          <w:noProof/>
        </w:rPr>
        <w:t xml:space="preserve"> </w:t>
      </w:r>
      <w:r w:rsidRPr="00CA5FD3">
        <w:rPr>
          <w:rFonts w:eastAsiaTheme="minorEastAsia"/>
          <w:noProof/>
        </w:rPr>
        <w:t>cycle of EU programmes and the projects they finan</w:t>
      </w:r>
      <w:r>
        <w:rPr>
          <w:rFonts w:eastAsiaTheme="minorEastAsia"/>
          <w:noProof/>
        </w:rPr>
        <w:t>ce,</w:t>
      </w:r>
      <w:r w:rsidRPr="00CA5FD3">
        <w:rPr>
          <w:rFonts w:eastAsiaTheme="minorEastAsia"/>
          <w:noProof/>
        </w:rPr>
        <w:t xml:space="preserve"> where results often follow only after completion of the programmes.</w:t>
      </w:r>
    </w:p>
    <w:p w14:paraId="1D2A8B80" w14:textId="77777777" w:rsidR="00FB2994" w:rsidRDefault="00FB2994" w:rsidP="00FB2994">
      <w:pPr>
        <w:pStyle w:val="ppoHeading5"/>
        <w:jc w:val="both"/>
        <w:rPr>
          <w:noProof/>
        </w:rPr>
      </w:pPr>
      <w:r w:rsidRPr="00040D99">
        <w:rPr>
          <w:noProof/>
        </w:rPr>
        <w:t xml:space="preserve">Budget </w:t>
      </w:r>
      <w:r>
        <w:rPr>
          <w:noProof/>
        </w:rPr>
        <w:t xml:space="preserve">for </w:t>
      </w:r>
      <w:r w:rsidRPr="00040D99">
        <w:rPr>
          <w:noProof/>
        </w:rPr>
        <w:t>2021-2027</w:t>
      </w:r>
    </w:p>
    <w:p w14:paraId="04366853" w14:textId="77777777" w:rsidR="00FB2994" w:rsidRPr="009359FF" w:rsidRDefault="00FB2994" w:rsidP="00FB2994">
      <w:pPr>
        <w:pStyle w:val="ppoTableTabletitle"/>
        <w:ind w:left="284"/>
        <w:rPr>
          <w:noProof/>
        </w:rPr>
      </w:pPr>
      <w:r>
        <w:rPr>
          <w:noProof/>
        </w:rPr>
        <w:t>(million</w:t>
      </w:r>
      <w:r w:rsidRPr="009546E6">
        <w:rPr>
          <w:noProof/>
        </w:rPr>
        <w:t xml:space="preserve"> </w:t>
      </w:r>
      <w:r>
        <w:rPr>
          <w:noProof/>
        </w:rPr>
        <w:t>EUR)</w:t>
      </w:r>
    </w:p>
    <w:tbl>
      <w:tblPr>
        <w:tblStyle w:val="PlainTable2"/>
        <w:tblW w:w="0" w:type="auto"/>
        <w:tblInd w:w="288" w:type="dxa"/>
        <w:tblLook w:val="04A0" w:firstRow="1" w:lastRow="0" w:firstColumn="1" w:lastColumn="0" w:noHBand="0" w:noVBand="1"/>
      </w:tblPr>
      <w:tblGrid>
        <w:gridCol w:w="4788"/>
        <w:gridCol w:w="2610"/>
      </w:tblGrid>
      <w:tr w:rsidR="00FB2994" w:rsidRPr="00214876" w14:paraId="5045245A" w14:textId="77777777" w:rsidTr="00B202C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364CDBD2" w14:textId="77777777" w:rsidR="00FB2994" w:rsidRPr="00214876" w:rsidRDefault="00FB2994" w:rsidP="00B202C2">
            <w:pPr>
              <w:spacing w:before="120" w:after="120"/>
              <w:rPr>
                <w:noProof/>
              </w:rPr>
            </w:pPr>
            <w:r w:rsidRPr="00214876">
              <w:rPr>
                <w:rFonts w:cs="Calibri"/>
                <w:noProof/>
                <w:color w:val="000000"/>
              </w:rPr>
              <w:t>Financial programming</w:t>
            </w:r>
          </w:p>
        </w:tc>
        <w:tc>
          <w:tcPr>
            <w:tcW w:w="2610" w:type="dxa"/>
            <w:shd w:val="clear" w:color="auto" w:fill="auto"/>
            <w:vAlign w:val="bottom"/>
          </w:tcPr>
          <w:p w14:paraId="3D99CC73" w14:textId="77777777" w:rsidR="00FB2994" w:rsidRPr="00214876" w:rsidRDefault="00FB2994" w:rsidP="00B202C2">
            <w:pPr>
              <w:spacing w:before="120" w:after="120"/>
              <w:cnfStyle w:val="100000000000" w:firstRow="1" w:lastRow="0" w:firstColumn="0" w:lastColumn="0" w:oddVBand="0" w:evenVBand="0" w:oddHBand="0" w:evenHBand="0" w:firstRowFirstColumn="0" w:firstRowLastColumn="0" w:lastRowFirstColumn="0" w:lastRowLastColumn="0"/>
              <w:rPr>
                <w:b w:val="0"/>
                <w:noProof/>
              </w:rPr>
            </w:pPr>
            <w:r>
              <w:rPr>
                <w:rFonts w:cs="Calibri"/>
                <w:b w:val="0"/>
                <w:noProof/>
                <w:color w:val="000000"/>
              </w:rPr>
              <w:t>1</w:t>
            </w:r>
            <w:r>
              <w:rPr>
                <w:rFonts w:ascii="Calibri" w:hAnsi="Calibri" w:cs="Calibri"/>
                <w:b w:val="0"/>
                <w:noProof/>
                <w:color w:val="000000"/>
              </w:rPr>
              <w:t> </w:t>
            </w:r>
            <w:r>
              <w:rPr>
                <w:rFonts w:cs="Calibri"/>
                <w:b w:val="0"/>
                <w:noProof/>
                <w:color w:val="000000"/>
              </w:rPr>
              <w:t>012.0</w:t>
            </w:r>
          </w:p>
        </w:tc>
      </w:tr>
      <w:tr w:rsidR="00FB2994" w:rsidRPr="00214876" w14:paraId="7BC12FCB" w14:textId="77777777" w:rsidTr="00B202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079082F7" w14:textId="77777777" w:rsidR="00FB2994" w:rsidRPr="00214876" w:rsidRDefault="00FB2994" w:rsidP="00B202C2">
            <w:pPr>
              <w:spacing w:before="120" w:after="120"/>
              <w:rPr>
                <w:b w:val="0"/>
                <w:noProof/>
              </w:rPr>
            </w:pPr>
            <w:r w:rsidRPr="00214876">
              <w:rPr>
                <w:rFonts w:cs="Calibri"/>
                <w:noProof/>
                <w:color w:val="000000"/>
              </w:rPr>
              <w:t>NextGenerationEU</w:t>
            </w:r>
          </w:p>
        </w:tc>
        <w:tc>
          <w:tcPr>
            <w:tcW w:w="2610" w:type="dxa"/>
            <w:vAlign w:val="bottom"/>
          </w:tcPr>
          <w:p w14:paraId="4DFCF148" w14:textId="77777777" w:rsidR="00FB2994" w:rsidRPr="00214876" w:rsidRDefault="00FB2994" w:rsidP="00B202C2">
            <w:pPr>
              <w:spacing w:before="120" w:after="120"/>
              <w:cnfStyle w:val="000000100000" w:firstRow="0" w:lastRow="0" w:firstColumn="0" w:lastColumn="0" w:oddVBand="0" w:evenVBand="0" w:oddHBand="1" w:evenHBand="0" w:firstRowFirstColumn="0" w:firstRowLastColumn="0" w:lastRowFirstColumn="0" w:lastRowLastColumn="0"/>
              <w:rPr>
                <w:noProof/>
              </w:rPr>
            </w:pPr>
            <w:r>
              <w:rPr>
                <w:rFonts w:cs="Calibri"/>
                <w:noProof/>
                <w:color w:val="000000"/>
              </w:rPr>
              <w:t>0</w:t>
            </w:r>
          </w:p>
        </w:tc>
      </w:tr>
      <w:tr w:rsidR="00FB2994" w:rsidRPr="00214876" w14:paraId="50A82514" w14:textId="77777777" w:rsidTr="00B202C2">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3D537A61" w14:textId="77777777" w:rsidR="00FB2994" w:rsidRPr="00214876" w:rsidRDefault="00FB2994" w:rsidP="00B202C2">
            <w:pPr>
              <w:spacing w:before="120" w:after="120"/>
              <w:rPr>
                <w:b w:val="0"/>
                <w:noProof/>
              </w:rPr>
            </w:pPr>
            <w:r w:rsidRPr="00807AC3">
              <w:rPr>
                <w:noProof/>
              </w:rPr>
              <w:t>Decommitments made available again</w:t>
            </w:r>
            <w:r>
              <w:rPr>
                <w:rFonts w:ascii="Calibri" w:hAnsi="Calibri" w:cs="Calibri"/>
                <w:noProof/>
                <w:color w:val="000000"/>
              </w:rPr>
              <w:t> (</w:t>
            </w:r>
            <w:r w:rsidRPr="00214876">
              <w:rPr>
                <w:rFonts w:cs="Calibri"/>
                <w:noProof/>
                <w:color w:val="000000"/>
              </w:rPr>
              <w:t>*</w:t>
            </w:r>
            <w:r>
              <w:rPr>
                <w:rFonts w:cs="Calibri"/>
                <w:noProof/>
                <w:color w:val="000000"/>
              </w:rPr>
              <w:t>)</w:t>
            </w:r>
          </w:p>
        </w:tc>
        <w:tc>
          <w:tcPr>
            <w:tcW w:w="2610" w:type="dxa"/>
            <w:vAlign w:val="bottom"/>
          </w:tcPr>
          <w:p w14:paraId="468AA9FD" w14:textId="4601D489" w:rsidR="00FB2994" w:rsidRPr="00214876" w:rsidRDefault="00FB2994" w:rsidP="00B202C2">
            <w:pPr>
              <w:spacing w:before="120" w:after="120"/>
              <w:cnfStyle w:val="000000000000" w:firstRow="0" w:lastRow="0" w:firstColumn="0" w:lastColumn="0" w:oddVBand="0" w:evenVBand="0" w:oddHBand="0" w:evenHBand="0" w:firstRowFirstColumn="0" w:firstRowLastColumn="0" w:lastRowFirstColumn="0" w:lastRowLastColumn="0"/>
              <w:rPr>
                <w:noProof/>
              </w:rPr>
            </w:pPr>
            <w:r>
              <w:rPr>
                <w:noProof/>
              </w:rPr>
              <w:t>N/A</w:t>
            </w:r>
          </w:p>
        </w:tc>
      </w:tr>
      <w:tr w:rsidR="00FB2994" w:rsidRPr="00214876" w14:paraId="3DF0AD6A" w14:textId="77777777" w:rsidTr="00B202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5DA345C2" w14:textId="77777777" w:rsidR="00FB2994" w:rsidRPr="00214876" w:rsidRDefault="00FB2994" w:rsidP="00B202C2">
            <w:pPr>
              <w:spacing w:before="120" w:after="120"/>
              <w:rPr>
                <w:noProof/>
              </w:rPr>
            </w:pPr>
            <w:r w:rsidRPr="00214876">
              <w:rPr>
                <w:rFonts w:cs="Calibri"/>
                <w:noProof/>
                <w:color w:val="000000"/>
              </w:rPr>
              <w:t>Contributions from other countries and entities</w:t>
            </w:r>
          </w:p>
        </w:tc>
        <w:tc>
          <w:tcPr>
            <w:tcW w:w="2610" w:type="dxa"/>
            <w:vAlign w:val="bottom"/>
          </w:tcPr>
          <w:p w14:paraId="5BB806FB" w14:textId="77777777" w:rsidR="00FB2994" w:rsidRPr="00214876" w:rsidRDefault="00FB2994" w:rsidP="00B202C2">
            <w:pPr>
              <w:spacing w:before="120" w:after="120"/>
              <w:cnfStyle w:val="000000100000" w:firstRow="0" w:lastRow="0" w:firstColumn="0" w:lastColumn="0" w:oddVBand="0" w:evenVBand="0" w:oddHBand="1" w:evenHBand="0" w:firstRowFirstColumn="0" w:firstRowLastColumn="0" w:lastRowFirstColumn="0" w:lastRowLastColumn="0"/>
              <w:rPr>
                <w:noProof/>
              </w:rPr>
            </w:pPr>
            <w:r>
              <w:rPr>
                <w:rFonts w:cs="Calibri"/>
                <w:noProof/>
                <w:color w:val="000000"/>
              </w:rPr>
              <w:t>11.0</w:t>
            </w:r>
          </w:p>
        </w:tc>
      </w:tr>
      <w:tr w:rsidR="00FB2994" w:rsidRPr="00214876" w14:paraId="4A223B6D" w14:textId="77777777" w:rsidTr="00B202C2">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2F2F2" w:themeFill="background1" w:themeFillShade="F2"/>
            <w:vAlign w:val="bottom"/>
          </w:tcPr>
          <w:p w14:paraId="55399A5E" w14:textId="77777777" w:rsidR="00FB2994" w:rsidRPr="00214876" w:rsidRDefault="00FB2994" w:rsidP="00B202C2">
            <w:pPr>
              <w:spacing w:before="120" w:after="120"/>
              <w:rPr>
                <w:noProof/>
              </w:rPr>
            </w:pPr>
            <w:r>
              <w:rPr>
                <w:rFonts w:cs="Calibri"/>
                <w:noProof/>
                <w:color w:val="000000"/>
              </w:rPr>
              <w:t>T</w:t>
            </w:r>
            <w:r w:rsidRPr="00214876">
              <w:rPr>
                <w:rFonts w:cs="Calibri"/>
                <w:noProof/>
                <w:color w:val="000000"/>
              </w:rPr>
              <w:t>otal budget</w:t>
            </w:r>
            <w:r>
              <w:rPr>
                <w:rFonts w:cs="Calibri"/>
                <w:noProof/>
                <w:color w:val="000000"/>
              </w:rPr>
              <w:t xml:space="preserve"> for</w:t>
            </w:r>
            <w:r w:rsidRPr="00214876">
              <w:rPr>
                <w:rFonts w:cs="Calibri"/>
                <w:noProof/>
                <w:color w:val="000000"/>
              </w:rPr>
              <w:t xml:space="preserve"> 2021-2027</w:t>
            </w:r>
          </w:p>
        </w:tc>
        <w:tc>
          <w:tcPr>
            <w:tcW w:w="2610" w:type="dxa"/>
            <w:shd w:val="clear" w:color="auto" w:fill="F2F2F2" w:themeFill="background1" w:themeFillShade="F2"/>
            <w:vAlign w:val="bottom"/>
          </w:tcPr>
          <w:p w14:paraId="1DE3E057" w14:textId="77777777" w:rsidR="00FB2994" w:rsidRPr="00214876" w:rsidRDefault="00FB2994" w:rsidP="00B202C2">
            <w:pPr>
              <w:spacing w:before="120" w:after="120"/>
              <w:cnfStyle w:val="000000000000" w:firstRow="0" w:lastRow="0" w:firstColumn="0" w:lastColumn="0" w:oddVBand="0" w:evenVBand="0" w:oddHBand="0" w:evenHBand="0" w:firstRowFirstColumn="0" w:firstRowLastColumn="0" w:lastRowFirstColumn="0" w:lastRowLastColumn="0"/>
              <w:rPr>
                <w:b/>
                <w:noProof/>
              </w:rPr>
            </w:pPr>
            <w:r>
              <w:rPr>
                <w:rFonts w:cs="Calibri"/>
                <w:b/>
                <w:noProof/>
                <w:color w:val="000000"/>
              </w:rPr>
              <w:t>1</w:t>
            </w:r>
            <w:r>
              <w:rPr>
                <w:rFonts w:ascii="Calibri" w:hAnsi="Calibri" w:cs="Calibri"/>
                <w:b/>
                <w:noProof/>
                <w:color w:val="000000"/>
              </w:rPr>
              <w:t> </w:t>
            </w:r>
            <w:r>
              <w:rPr>
                <w:rFonts w:cs="Calibri"/>
                <w:b/>
                <w:noProof/>
                <w:color w:val="000000"/>
              </w:rPr>
              <w:t>023.0</w:t>
            </w:r>
          </w:p>
        </w:tc>
      </w:tr>
    </w:tbl>
    <w:p w14:paraId="1E4EABED" w14:textId="77777777" w:rsidR="00FB2994" w:rsidRPr="00040D99" w:rsidRDefault="00FB2994" w:rsidP="00FB2994">
      <w:pPr>
        <w:rPr>
          <w:rFonts w:eastAsiaTheme="minorEastAsia"/>
          <w:noProof/>
        </w:rPr>
      </w:pPr>
    </w:p>
    <w:p w14:paraId="4B266915" w14:textId="77777777" w:rsidR="00FB2994" w:rsidRPr="00BD539A" w:rsidRDefault="00FB2994" w:rsidP="00FB2994">
      <w:pPr>
        <w:tabs>
          <w:tab w:val="left" w:pos="6793"/>
        </w:tabs>
        <w:rPr>
          <w:noProof/>
          <w:sz w:val="18"/>
          <w:szCs w:val="18"/>
          <w:lang w:val="en-IE"/>
        </w:rPr>
      </w:pPr>
      <w:r w:rsidRPr="00BD539A">
        <w:rPr>
          <w:noProof/>
          <w:sz w:val="18"/>
          <w:szCs w:val="18"/>
          <w:lang w:val="en-IE"/>
        </w:rPr>
        <w:t>(*) Only Article</w:t>
      </w:r>
      <w:r w:rsidRPr="00BD539A">
        <w:rPr>
          <w:rFonts w:ascii="Calibri" w:hAnsi="Calibri" w:cs="Calibri"/>
          <w:noProof/>
          <w:sz w:val="18"/>
          <w:szCs w:val="18"/>
          <w:lang w:val="en-IE"/>
        </w:rPr>
        <w:t> </w:t>
      </w:r>
      <w:r w:rsidRPr="00BD539A">
        <w:rPr>
          <w:noProof/>
          <w:sz w:val="18"/>
          <w:szCs w:val="18"/>
          <w:lang w:val="en-IE"/>
        </w:rPr>
        <w:t xml:space="preserve">15(3) of the financial </w:t>
      </w:r>
      <w:r>
        <w:rPr>
          <w:noProof/>
          <w:sz w:val="18"/>
          <w:szCs w:val="18"/>
          <w:lang w:val="en-IE"/>
        </w:rPr>
        <w:t>r</w:t>
      </w:r>
      <w:r w:rsidRPr="00BD539A">
        <w:rPr>
          <w:noProof/>
          <w:sz w:val="18"/>
          <w:szCs w:val="18"/>
          <w:lang w:val="en-IE"/>
        </w:rPr>
        <w:t>egulation</w:t>
      </w:r>
      <w:r>
        <w:rPr>
          <w:noProof/>
          <w:sz w:val="18"/>
          <w:szCs w:val="18"/>
          <w:lang w:val="en-IE"/>
        </w:rPr>
        <w:t>.</w:t>
      </w:r>
    </w:p>
    <w:p w14:paraId="1B9A1722" w14:textId="77777777" w:rsidR="00FB2994" w:rsidRPr="00040D99" w:rsidRDefault="00FB2994" w:rsidP="00FB2994">
      <w:pPr>
        <w:pStyle w:val="ppoHeading5"/>
        <w:jc w:val="both"/>
        <w:rPr>
          <w:noProof/>
        </w:rPr>
      </w:pPr>
      <w:r w:rsidRPr="00040D99">
        <w:rPr>
          <w:noProof/>
        </w:rPr>
        <w:t>Rationale and design of the programme</w:t>
      </w:r>
    </w:p>
    <w:p w14:paraId="0176384A" w14:textId="77777777" w:rsidR="00FB2994" w:rsidRPr="000461B9" w:rsidRDefault="00FB2994" w:rsidP="00FB2994">
      <w:pPr>
        <w:rPr>
          <w:rFonts w:eastAsiaTheme="minorEastAsia"/>
          <w:noProof/>
        </w:rPr>
      </w:pPr>
      <w:r w:rsidRPr="000461B9">
        <w:rPr>
          <w:rFonts w:eastAsiaTheme="minorEastAsia"/>
          <w:noProof/>
        </w:rPr>
        <w:t xml:space="preserve">The European </w:t>
      </w:r>
      <w:r>
        <w:rPr>
          <w:rFonts w:eastAsiaTheme="minorEastAsia"/>
          <w:noProof/>
        </w:rPr>
        <w:t xml:space="preserve">Solidarity Corps </w:t>
      </w:r>
      <w:r w:rsidRPr="000461B9">
        <w:rPr>
          <w:rFonts w:eastAsiaTheme="minorEastAsia"/>
          <w:noProof/>
        </w:rPr>
        <w:t xml:space="preserve">finances projects </w:t>
      </w:r>
      <w:r w:rsidRPr="009546E6">
        <w:rPr>
          <w:rFonts w:eastAsiaTheme="minorEastAsia"/>
          <w:noProof/>
        </w:rPr>
        <w:t xml:space="preserve">to </w:t>
      </w:r>
      <w:r>
        <w:rPr>
          <w:rFonts w:eastAsiaTheme="minorEastAsia"/>
          <w:noProof/>
        </w:rPr>
        <w:t>give</w:t>
      </w:r>
      <w:r w:rsidRPr="009546E6">
        <w:rPr>
          <w:rFonts w:eastAsiaTheme="minorEastAsia"/>
          <w:noProof/>
        </w:rPr>
        <w:t xml:space="preserve"> young people </w:t>
      </w:r>
      <w:r>
        <w:rPr>
          <w:rFonts w:eastAsiaTheme="minorEastAsia"/>
          <w:noProof/>
        </w:rPr>
        <w:t xml:space="preserve">a chance </w:t>
      </w:r>
      <w:r w:rsidRPr="00BD539A">
        <w:rPr>
          <w:rFonts w:eastAsiaTheme="minorEastAsia"/>
          <w:noProof/>
        </w:rPr>
        <w:t xml:space="preserve">to take part </w:t>
      </w:r>
      <w:r w:rsidRPr="009546E6">
        <w:rPr>
          <w:rFonts w:eastAsiaTheme="minorEastAsia"/>
          <w:noProof/>
        </w:rPr>
        <w:t xml:space="preserve">in solidary activities addressing societal challenges through volunteering or </w:t>
      </w:r>
      <w:r w:rsidRPr="00BD539A">
        <w:rPr>
          <w:rFonts w:eastAsiaTheme="minorEastAsia"/>
          <w:noProof/>
        </w:rPr>
        <w:t>to</w:t>
      </w:r>
      <w:r w:rsidRPr="009546E6">
        <w:rPr>
          <w:rFonts w:eastAsiaTheme="minorEastAsia"/>
          <w:noProof/>
        </w:rPr>
        <w:t xml:space="preserve"> set up their own solidary projects</w:t>
      </w:r>
      <w:r w:rsidRPr="000461B9">
        <w:rPr>
          <w:rFonts w:eastAsiaTheme="minorEastAsia"/>
          <w:noProof/>
        </w:rPr>
        <w:t xml:space="preserve">. </w:t>
      </w:r>
      <w:r>
        <w:rPr>
          <w:rFonts w:eastAsiaTheme="minorEastAsia"/>
          <w:noProof/>
        </w:rPr>
        <w:t>It provides supports</w:t>
      </w:r>
      <w:r w:rsidRPr="000461B9">
        <w:rPr>
          <w:rFonts w:eastAsiaTheme="minorEastAsia"/>
          <w:noProof/>
        </w:rPr>
        <w:t xml:space="preserve"> </w:t>
      </w:r>
      <w:r>
        <w:rPr>
          <w:rFonts w:eastAsiaTheme="minorEastAsia"/>
          <w:noProof/>
        </w:rPr>
        <w:t xml:space="preserve">to </w:t>
      </w:r>
      <w:r w:rsidRPr="000461B9">
        <w:rPr>
          <w:rFonts w:eastAsiaTheme="minorEastAsia"/>
          <w:noProof/>
        </w:rPr>
        <w:t xml:space="preserve">young people wishing to engage in solidary activities </w:t>
      </w:r>
      <w:r>
        <w:rPr>
          <w:rFonts w:eastAsiaTheme="minorEastAsia"/>
          <w:noProof/>
        </w:rPr>
        <w:t xml:space="preserve">in a variety of areas, </w:t>
      </w:r>
      <w:r w:rsidRPr="000461B9">
        <w:rPr>
          <w:rFonts w:eastAsiaTheme="minorEastAsia"/>
          <w:noProof/>
        </w:rPr>
        <w:t xml:space="preserve">from helping the disadvantaged </w:t>
      </w:r>
      <w:r>
        <w:rPr>
          <w:rFonts w:eastAsiaTheme="minorEastAsia"/>
          <w:noProof/>
        </w:rPr>
        <w:t>and</w:t>
      </w:r>
      <w:r w:rsidRPr="000461B9">
        <w:rPr>
          <w:rFonts w:eastAsiaTheme="minorEastAsia"/>
          <w:noProof/>
        </w:rPr>
        <w:t xml:space="preserve"> </w:t>
      </w:r>
      <w:r>
        <w:rPr>
          <w:rFonts w:eastAsiaTheme="minorEastAsia"/>
          <w:noProof/>
        </w:rPr>
        <w:t xml:space="preserve">delivering </w:t>
      </w:r>
      <w:r w:rsidRPr="000461B9">
        <w:rPr>
          <w:rFonts w:eastAsiaTheme="minorEastAsia"/>
          <w:noProof/>
        </w:rPr>
        <w:t xml:space="preserve">humanitarian aid </w:t>
      </w:r>
      <w:r>
        <w:rPr>
          <w:rFonts w:eastAsiaTheme="minorEastAsia"/>
          <w:noProof/>
        </w:rPr>
        <w:t>to</w:t>
      </w:r>
      <w:r w:rsidRPr="000461B9">
        <w:rPr>
          <w:rFonts w:eastAsiaTheme="minorEastAsia"/>
          <w:noProof/>
        </w:rPr>
        <w:t xml:space="preserve"> contributing to health and environmental action across the EU and beyond.</w:t>
      </w:r>
    </w:p>
    <w:p w14:paraId="2F5A268E" w14:textId="77777777" w:rsidR="00FB2994" w:rsidRPr="00040D99" w:rsidRDefault="00FB2994" w:rsidP="00FB2994">
      <w:pPr>
        <w:pStyle w:val="ppoHeading6"/>
        <w:jc w:val="both"/>
        <w:rPr>
          <w:noProof/>
        </w:rPr>
      </w:pPr>
      <w:r w:rsidRPr="00040D99">
        <w:rPr>
          <w:noProof/>
        </w:rPr>
        <w:t>Challenge</w:t>
      </w:r>
    </w:p>
    <w:p w14:paraId="3085EDDB" w14:textId="77777777" w:rsidR="00FB2994" w:rsidRDefault="00FB2994" w:rsidP="00FB2994">
      <w:pPr>
        <w:rPr>
          <w:noProof/>
        </w:rPr>
      </w:pPr>
      <w:r>
        <w:rPr>
          <w:noProof/>
        </w:rPr>
        <w:t>The EU is built on solidarity, a shared value strongly felt throughout European society. Solidarity is a fundamental pillar of the European integration project, providing a clear compass to guide EU citizens, and especially the young ones, in their aspirations for a better EU. Many young people wish to engage in solidarity activities. Communities have unmet needs that could be addressed by involving younger generations in such activities, and many organisations engaged in solidarity initiatives are looking for motivated youngsters to help with their efforts. These imbalances of supply and demand require attention.</w:t>
      </w:r>
    </w:p>
    <w:p w14:paraId="1D02A87D" w14:textId="77777777" w:rsidR="00FB2994" w:rsidRDefault="00FB2994" w:rsidP="00FB2994">
      <w:pPr>
        <w:rPr>
          <w:noProof/>
        </w:rPr>
      </w:pPr>
      <w:r>
        <w:rPr>
          <w:noProof/>
        </w:rPr>
        <w:t>In the absence of measures to bring organisations and young people together to promote solidarity, there is a risk that a major potential for solidarity activities goes untapped. This could result in an unnecessary welfare loss to organisations, young people and society as a whole. Furthermore, there is room for improvement by simplifying processes and there are efficiency gains to be derived from economies of scale and scope.</w:t>
      </w:r>
    </w:p>
    <w:p w14:paraId="0A068EE7" w14:textId="77777777" w:rsidR="00FB2994" w:rsidRDefault="00FB2994" w:rsidP="00FB2994">
      <w:pPr>
        <w:rPr>
          <w:noProof/>
        </w:rPr>
      </w:pPr>
      <w:r>
        <w:rPr>
          <w:noProof/>
        </w:rPr>
        <w:t>Whereas tackling socio-economic issues is primarily the responsibility of Member States, intervention at the EU level enhances the European, cross-border dimension of solidarity, complementing existing national and regional public and private policies, programmes and activities without creating competition or substitution effects. This intervention also helps identify shared challenges, stimulate cooperation and transnational mobility, encourage synergies, and promote the sharing of good practices and mutual learning in addition to supporting an EU-wide approach to social innovation, where there is clear added value to European solutions.</w:t>
      </w:r>
    </w:p>
    <w:p w14:paraId="38A4FAB0" w14:textId="77777777" w:rsidR="00FB2994" w:rsidRPr="00040D99" w:rsidRDefault="00FB2994" w:rsidP="00FB2994">
      <w:pPr>
        <w:pStyle w:val="ppoHeading6"/>
        <w:jc w:val="both"/>
        <w:rPr>
          <w:noProof/>
        </w:rPr>
      </w:pPr>
      <w:r w:rsidRPr="00040D99">
        <w:rPr>
          <w:noProof/>
        </w:rPr>
        <w:t>Mission</w:t>
      </w:r>
    </w:p>
    <w:p w14:paraId="2C320E10" w14:textId="77777777" w:rsidR="00FB2994" w:rsidRDefault="00FB2994" w:rsidP="00FB2994">
      <w:pPr>
        <w:rPr>
          <w:noProof/>
        </w:rPr>
      </w:pPr>
      <w:r>
        <w:rPr>
          <w:noProof/>
        </w:rPr>
        <w:t>Against this background, the European Solidarity Corps brings together young people and organisations to build a more inclusive society, supporting vulnerable people and responding to societal and humanitarian challenges. It offers an inspiring and empowering experience for young people who want to help, learn and develop, and provides a single entry point for such solidarity activities across the EU and beyond.</w:t>
      </w:r>
    </w:p>
    <w:p w14:paraId="17524EFC" w14:textId="77777777" w:rsidR="00FB2994" w:rsidRPr="00040D99" w:rsidRDefault="00FB2994" w:rsidP="00FB2994">
      <w:pPr>
        <w:pStyle w:val="ppoHeading6"/>
        <w:jc w:val="both"/>
        <w:rPr>
          <w:noProof/>
        </w:rPr>
      </w:pPr>
      <w:r w:rsidRPr="00040D99">
        <w:rPr>
          <w:noProof/>
        </w:rPr>
        <w:t>Objectives</w:t>
      </w:r>
    </w:p>
    <w:p w14:paraId="4BACE4D9" w14:textId="77777777" w:rsidR="00FB2994" w:rsidRDefault="00FB2994" w:rsidP="00FB2994">
      <w:pPr>
        <w:rPr>
          <w:noProof/>
        </w:rPr>
      </w:pPr>
      <w:r>
        <w:rPr>
          <w:noProof/>
        </w:rPr>
        <w:t>The programme has the following specific objectives:</w:t>
      </w:r>
    </w:p>
    <w:p w14:paraId="42D447BA" w14:textId="77777777" w:rsidR="00FB2994" w:rsidRDefault="00FB2994" w:rsidP="006F409B">
      <w:pPr>
        <w:pStyle w:val="ppoListArabic1aiii-L1"/>
        <w:numPr>
          <w:ilvl w:val="0"/>
          <w:numId w:val="124"/>
        </w:numPr>
        <w:jc w:val="both"/>
        <w:rPr>
          <w:noProof/>
        </w:rPr>
      </w:pPr>
      <w:r>
        <w:rPr>
          <w:noProof/>
        </w:rPr>
        <w:t>to provide young people, including those with fewer opportunities, with easily accessible opportunities to engage in solidarity activities in the EU and abroad;</w:t>
      </w:r>
    </w:p>
    <w:p w14:paraId="64D07DD0" w14:textId="77777777" w:rsidR="00FB2994" w:rsidRDefault="00FB2994" w:rsidP="00FB2994">
      <w:pPr>
        <w:pStyle w:val="ppoListArabic1aiii-L1"/>
        <w:numPr>
          <w:ilvl w:val="0"/>
          <w:numId w:val="40"/>
        </w:numPr>
        <w:jc w:val="both"/>
        <w:rPr>
          <w:noProof/>
        </w:rPr>
      </w:pPr>
      <w:r>
        <w:rPr>
          <w:noProof/>
        </w:rPr>
        <w:t>to improve and properly validate their competences and facilitate their employability and transition into the labour market.</w:t>
      </w:r>
    </w:p>
    <w:p w14:paraId="2D778D33" w14:textId="77777777" w:rsidR="00FB2994" w:rsidRDefault="00FB2994" w:rsidP="00FB2994">
      <w:pPr>
        <w:pStyle w:val="ppoHeading6"/>
        <w:jc w:val="both"/>
        <w:rPr>
          <w:noProof/>
        </w:rPr>
      </w:pPr>
    </w:p>
    <w:p w14:paraId="5E70A1EF" w14:textId="77777777" w:rsidR="00FB2994" w:rsidRPr="00040D99" w:rsidRDefault="00FB2994" w:rsidP="00FB2994">
      <w:pPr>
        <w:pStyle w:val="ppoHeading6"/>
        <w:jc w:val="both"/>
        <w:rPr>
          <w:noProof/>
        </w:rPr>
      </w:pPr>
      <w:r w:rsidRPr="00040D99">
        <w:rPr>
          <w:noProof/>
        </w:rPr>
        <w:t>Actions</w:t>
      </w:r>
    </w:p>
    <w:p w14:paraId="220147CF" w14:textId="77777777" w:rsidR="00FB2994" w:rsidRDefault="00FB2994" w:rsidP="00FB2994">
      <w:pPr>
        <w:rPr>
          <w:noProof/>
        </w:rPr>
      </w:pPr>
      <w:bookmarkStart w:id="146" w:name="_Hlk101266096"/>
      <w:r w:rsidRPr="00BD539A">
        <w:rPr>
          <w:noProof/>
        </w:rPr>
        <w:t>T</w:t>
      </w:r>
      <w:r w:rsidRPr="0034502F">
        <w:rPr>
          <w:noProof/>
        </w:rPr>
        <w:t>he European Solidarity Corps includes the following strands:</w:t>
      </w:r>
    </w:p>
    <w:p w14:paraId="262C9EF3" w14:textId="77777777" w:rsidR="00FB2994" w:rsidRDefault="00FB2994" w:rsidP="00FB2994">
      <w:pPr>
        <w:pStyle w:val="ppoListHyphened-L1"/>
        <w:jc w:val="both"/>
        <w:rPr>
          <w:noProof/>
        </w:rPr>
      </w:pPr>
      <w:r>
        <w:rPr>
          <w:noProof/>
        </w:rPr>
        <w:t>participation of young people in solidarity activities addressing societal challenges:</w:t>
      </w:r>
    </w:p>
    <w:p w14:paraId="18DAA673" w14:textId="77777777" w:rsidR="00FB2994" w:rsidRPr="009A1113" w:rsidRDefault="00FB2994" w:rsidP="00FB2994">
      <w:pPr>
        <w:pStyle w:val="ppoListHyphened-L2"/>
        <w:jc w:val="both"/>
        <w:rPr>
          <w:noProof/>
        </w:rPr>
      </w:pPr>
      <w:r>
        <w:rPr>
          <w:noProof/>
        </w:rPr>
        <w:t>volunteering,</w:t>
      </w:r>
    </w:p>
    <w:p w14:paraId="173038E9" w14:textId="77777777" w:rsidR="00FB2994" w:rsidRDefault="00FB2994" w:rsidP="00FB2994">
      <w:pPr>
        <w:pStyle w:val="ppoListHyphened-L2"/>
        <w:jc w:val="both"/>
        <w:rPr>
          <w:noProof/>
        </w:rPr>
      </w:pPr>
      <w:r>
        <w:rPr>
          <w:noProof/>
        </w:rPr>
        <w:t>solidarity projects;</w:t>
      </w:r>
    </w:p>
    <w:p w14:paraId="3003FFCA" w14:textId="77777777" w:rsidR="00FB2994" w:rsidRDefault="00FB2994" w:rsidP="00FB2994">
      <w:pPr>
        <w:pStyle w:val="ppoListHyphened-L1"/>
        <w:jc w:val="both"/>
        <w:rPr>
          <w:noProof/>
        </w:rPr>
      </w:pPr>
      <w:r>
        <w:rPr>
          <w:noProof/>
        </w:rPr>
        <w:t>participation of young people in solidarity activities related to</w:t>
      </w:r>
      <w:r w:rsidRPr="00FE6D30">
        <w:rPr>
          <w:noProof/>
        </w:rPr>
        <w:t xml:space="preserve"> </w:t>
      </w:r>
      <w:r>
        <w:rPr>
          <w:noProof/>
        </w:rPr>
        <w:t>humanitarian aid;</w:t>
      </w:r>
    </w:p>
    <w:p w14:paraId="2478A441" w14:textId="77777777" w:rsidR="00FB2994" w:rsidRDefault="00FB2994" w:rsidP="00FB2994">
      <w:pPr>
        <w:pStyle w:val="ppoListHyphened-L1"/>
        <w:jc w:val="both"/>
        <w:rPr>
          <w:noProof/>
        </w:rPr>
      </w:pPr>
      <w:r>
        <w:rPr>
          <w:noProof/>
        </w:rPr>
        <w:t>networking activities;</w:t>
      </w:r>
    </w:p>
    <w:p w14:paraId="43420A1C" w14:textId="77777777" w:rsidR="00FB2994" w:rsidRDefault="00FB2994" w:rsidP="00FB2994">
      <w:pPr>
        <w:pStyle w:val="ppoListHyphened-L1"/>
        <w:jc w:val="both"/>
        <w:rPr>
          <w:noProof/>
        </w:rPr>
      </w:pPr>
      <w:r>
        <w:rPr>
          <w:noProof/>
        </w:rPr>
        <w:t>quality and support measures.</w:t>
      </w:r>
    </w:p>
    <w:bookmarkEnd w:id="146"/>
    <w:p w14:paraId="578AAC5D" w14:textId="77777777" w:rsidR="00FB2994" w:rsidRPr="00040D99" w:rsidRDefault="00FB2994" w:rsidP="00FB2994">
      <w:pPr>
        <w:pStyle w:val="ppoHeading6"/>
        <w:jc w:val="both"/>
        <w:rPr>
          <w:noProof/>
        </w:rPr>
      </w:pPr>
      <w:r w:rsidRPr="00040D99">
        <w:rPr>
          <w:noProof/>
        </w:rPr>
        <w:t>Delivery mode</w:t>
      </w:r>
    </w:p>
    <w:p w14:paraId="7E033D9A" w14:textId="77777777" w:rsidR="00FB2994" w:rsidRDefault="00FB2994" w:rsidP="00FB2994">
      <w:pPr>
        <w:rPr>
          <w:noProof/>
        </w:rPr>
      </w:pPr>
      <w:r>
        <w:rPr>
          <w:noProof/>
        </w:rPr>
        <w:t>The European Solidarity Corps is implemented directly both by the European Commission, under the leadership of the European Commission’s Directorate-General for Education and Culture (which bears the overall responsibility for supervision and coordination), and by the Education, Audiovisual and Culture Executive Agency. Some of the programme’s activities are implemented in indirect management with the support of a network of national agencies, which brings the programme closer to its target audience, adapting it to the different national education systems, and offers the possibility to align it with national priorities.</w:t>
      </w:r>
    </w:p>
    <w:p w14:paraId="5D5F4AA2" w14:textId="77777777" w:rsidR="00FB2994" w:rsidRPr="00040D99" w:rsidRDefault="00FB2994" w:rsidP="00FB2994">
      <w:pPr>
        <w:pStyle w:val="ppoHeading6"/>
        <w:jc w:val="both"/>
        <w:rPr>
          <w:noProof/>
        </w:rPr>
      </w:pPr>
      <w:r>
        <w:rPr>
          <w:noProof/>
        </w:rPr>
        <w:t>LINK TO THE 2014-2020 multiannual financial framework</w:t>
      </w:r>
    </w:p>
    <w:p w14:paraId="2BBF1546" w14:textId="77777777" w:rsidR="00FB2994" w:rsidRDefault="00FB2994" w:rsidP="00FB2994">
      <w:pPr>
        <w:rPr>
          <w:noProof/>
        </w:rPr>
      </w:pPr>
      <w:r>
        <w:rPr>
          <w:noProof/>
        </w:rPr>
        <w:t>The European Solidarity Corps builds on achievements of the predecessor programme in its first years of existence and on the EU Aid Volunteers initiative, further consolidating efforts to have a single entry point for young people wishing to engage in solidarity activities and extending the scope to cover volunteering activities in support of humanitarian aid operations.</w:t>
      </w:r>
    </w:p>
    <w:p w14:paraId="5C9FF1E6" w14:textId="77777777" w:rsidR="00FB2994" w:rsidRDefault="00FB2994" w:rsidP="00FB2994">
      <w:pPr>
        <w:rPr>
          <w:noProof/>
        </w:rPr>
      </w:pPr>
      <w:r>
        <w:rPr>
          <w:noProof/>
        </w:rPr>
        <w:t>Its inclusion and diversity framework will help further improve access to solidarity opportunities, especially for participants with fewer opportunities. The programme will also give more emphasis to the Commission’s priorities and contribute to the EU’s sustainable growth and digitalisation.</w:t>
      </w:r>
    </w:p>
    <w:p w14:paraId="7F0FEBBA" w14:textId="77777777" w:rsidR="00FB2994" w:rsidRDefault="00FB2994" w:rsidP="00FB2994">
      <w:pPr>
        <w:pStyle w:val="ppoHeading6"/>
        <w:jc w:val="both"/>
        <w:rPr>
          <w:noProof/>
        </w:rPr>
      </w:pPr>
      <w:r w:rsidRPr="00040D99">
        <w:rPr>
          <w:noProof/>
        </w:rPr>
        <w:t>Impact assessment</w:t>
      </w:r>
    </w:p>
    <w:p w14:paraId="20D34358" w14:textId="77777777" w:rsidR="00FB2994" w:rsidRDefault="00FB2994" w:rsidP="00FB2994">
      <w:pPr>
        <w:rPr>
          <w:noProof/>
        </w:rPr>
      </w:pPr>
      <w:r w:rsidRPr="00BD539A">
        <w:rPr>
          <w:i/>
          <w:iCs/>
          <w:noProof/>
        </w:rPr>
        <w:t>Ex ante</w:t>
      </w:r>
      <w:r>
        <w:rPr>
          <w:noProof/>
        </w:rPr>
        <w:t xml:space="preserve"> evaluation of the European Solidarity Corps programme: </w:t>
      </w:r>
      <w:hyperlink r:id="rId297" w:history="1">
        <w:r w:rsidRPr="009B50D0">
          <w:rPr>
            <w:rStyle w:val="Hyperlink"/>
            <w:noProof/>
          </w:rPr>
          <w:t>https://europa.eu/!ht93mJ</w:t>
        </w:r>
      </w:hyperlink>
      <w:r>
        <w:rPr>
          <w:noProof/>
        </w:rPr>
        <w:t>.</w:t>
      </w:r>
    </w:p>
    <w:p w14:paraId="63CB5BB6" w14:textId="77777777" w:rsidR="00FB2994" w:rsidRPr="00040D99" w:rsidRDefault="00FB2994" w:rsidP="00FB2994">
      <w:pPr>
        <w:pStyle w:val="ppoHeading6"/>
        <w:jc w:val="both"/>
        <w:rPr>
          <w:noProof/>
        </w:rPr>
      </w:pPr>
      <w:r>
        <w:rPr>
          <w:noProof/>
        </w:rPr>
        <w:t>WEBSITE FOR more information</w:t>
      </w:r>
    </w:p>
    <w:p w14:paraId="0B8A3FAB" w14:textId="77777777" w:rsidR="00FB2994" w:rsidRDefault="00E01E9B" w:rsidP="00FB2994">
      <w:pPr>
        <w:rPr>
          <w:noProof/>
          <w:lang w:val="en-US"/>
        </w:rPr>
      </w:pPr>
      <w:hyperlink r:id="rId298" w:history="1">
        <w:r w:rsidR="00FB2994" w:rsidRPr="002F3C03">
          <w:rPr>
            <w:rStyle w:val="Hyperlink"/>
            <w:noProof/>
            <w:lang w:val="en-US"/>
          </w:rPr>
          <w:t>https://europa.eu/youth/solidarity</w:t>
        </w:r>
      </w:hyperlink>
    </w:p>
    <w:p w14:paraId="51B941D6" w14:textId="77777777" w:rsidR="00FB2994" w:rsidRPr="002F3C03" w:rsidRDefault="00FB2994" w:rsidP="00FB2994">
      <w:pPr>
        <w:pStyle w:val="ppoHeading5"/>
        <w:jc w:val="both"/>
        <w:rPr>
          <w:noProof/>
          <w:lang w:val="en-US"/>
        </w:rPr>
      </w:pPr>
      <w:r w:rsidRPr="002F3C03">
        <w:rPr>
          <w:rFonts w:eastAsiaTheme="minorEastAsia"/>
          <w:noProof/>
          <w:lang w:val="en-US"/>
        </w:rPr>
        <w:t xml:space="preserve">Legal </w:t>
      </w:r>
      <w:r>
        <w:rPr>
          <w:rFonts w:eastAsiaTheme="minorEastAsia"/>
          <w:noProof/>
          <w:lang w:val="en-US"/>
        </w:rPr>
        <w:t>b</w:t>
      </w:r>
      <w:r w:rsidRPr="002F3C03">
        <w:rPr>
          <w:rFonts w:eastAsiaTheme="minorEastAsia"/>
          <w:noProof/>
          <w:lang w:val="en-US"/>
        </w:rPr>
        <w:t>as</w:t>
      </w:r>
      <w:r>
        <w:rPr>
          <w:rFonts w:eastAsiaTheme="minorEastAsia"/>
          <w:noProof/>
          <w:lang w:val="en-US"/>
        </w:rPr>
        <w:t>is</w:t>
      </w:r>
    </w:p>
    <w:p w14:paraId="4B1F89DB" w14:textId="77777777" w:rsidR="00FB2994" w:rsidRDefault="00FB2994" w:rsidP="00FB2994">
      <w:pPr>
        <w:rPr>
          <w:noProof/>
        </w:rPr>
      </w:pPr>
      <w:r w:rsidRPr="00902DD0">
        <w:rPr>
          <w:noProof/>
        </w:rPr>
        <w:t xml:space="preserve">Regulation </w:t>
      </w:r>
      <w:r>
        <w:rPr>
          <w:noProof/>
        </w:rPr>
        <w:t>(EU) 2021/888</w:t>
      </w:r>
      <w:r w:rsidRPr="00A7747C">
        <w:rPr>
          <w:noProof/>
        </w:rPr>
        <w:t xml:space="preserve"> of the Europea</w:t>
      </w:r>
      <w:r>
        <w:rPr>
          <w:noProof/>
        </w:rPr>
        <w:t>n Parliament and of the Council.</w:t>
      </w:r>
    </w:p>
    <w:p w14:paraId="13F86B9B" w14:textId="77777777" w:rsidR="00FB2994" w:rsidRPr="00040D99" w:rsidRDefault="00FB2994" w:rsidP="00FB2994">
      <w:pPr>
        <w:pStyle w:val="ppoHeading4Green"/>
        <w:jc w:val="both"/>
        <w:rPr>
          <w:caps/>
          <w:noProof/>
        </w:rPr>
      </w:pPr>
      <w:r w:rsidRPr="00040D99">
        <w:rPr>
          <w:noProof/>
        </w:rPr>
        <w:t>Implementation and performance</w:t>
      </w:r>
    </w:p>
    <w:p w14:paraId="3C44D301" w14:textId="77777777" w:rsidR="00FB2994" w:rsidRPr="00040D99" w:rsidRDefault="00FB2994" w:rsidP="00FB2994">
      <w:pPr>
        <w:pStyle w:val="ppoHeading5"/>
        <w:jc w:val="both"/>
        <w:rPr>
          <w:noProof/>
        </w:rPr>
      </w:pPr>
      <w:r w:rsidRPr="00040D99">
        <w:rPr>
          <w:noProof/>
        </w:rPr>
        <w:t>Budget</w:t>
      </w:r>
    </w:p>
    <w:p w14:paraId="375FA1F5" w14:textId="77777777" w:rsidR="00FB2994" w:rsidRPr="00040D99" w:rsidRDefault="00FB2994" w:rsidP="00FB2994">
      <w:pPr>
        <w:pStyle w:val="ppoTableTabletitle"/>
        <w:jc w:val="both"/>
        <w:rPr>
          <w:noProof/>
        </w:rPr>
      </w:pPr>
      <w:r w:rsidRPr="00807AC3">
        <w:rPr>
          <w:noProof/>
        </w:rPr>
        <w:t>Budget programming</w:t>
      </w:r>
      <w:r>
        <w:rPr>
          <w:noProof/>
        </w:rPr>
        <w:t xml:space="preserve"> (million</w:t>
      </w:r>
      <w:r w:rsidRPr="00A06D8B">
        <w:rPr>
          <w:noProof/>
        </w:rPr>
        <w:t xml:space="preserve"> </w:t>
      </w:r>
      <w:r>
        <w:rPr>
          <w:noProof/>
        </w:rPr>
        <w:t>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FB2994" w:rsidRPr="00040D99" w14:paraId="638D815C" w14:textId="77777777" w:rsidTr="00B202C2">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6AD5109D" w14:textId="77777777" w:rsidR="00FB2994" w:rsidRPr="00807AC3" w:rsidRDefault="00FB2994" w:rsidP="00B202C2">
            <w:pPr>
              <w:rPr>
                <w:noProof/>
              </w:rPr>
            </w:pPr>
          </w:p>
        </w:tc>
        <w:tc>
          <w:tcPr>
            <w:tcW w:w="943" w:type="dxa"/>
            <w:noWrap/>
            <w:hideMark/>
          </w:tcPr>
          <w:p w14:paraId="0AEB445C" w14:textId="77777777" w:rsidR="00FB2994" w:rsidRPr="00807AC3" w:rsidRDefault="00FB2994" w:rsidP="00B202C2">
            <w:pPr>
              <w:rPr>
                <w:noProof/>
              </w:rPr>
            </w:pPr>
            <w:r w:rsidRPr="00807AC3">
              <w:rPr>
                <w:noProof/>
              </w:rPr>
              <w:t>2021</w:t>
            </w:r>
          </w:p>
        </w:tc>
        <w:tc>
          <w:tcPr>
            <w:tcW w:w="944" w:type="dxa"/>
            <w:noWrap/>
            <w:hideMark/>
          </w:tcPr>
          <w:p w14:paraId="7EAA317E" w14:textId="77777777" w:rsidR="00FB2994" w:rsidRPr="00807AC3" w:rsidRDefault="00FB2994" w:rsidP="00B202C2">
            <w:pPr>
              <w:rPr>
                <w:noProof/>
              </w:rPr>
            </w:pPr>
            <w:r w:rsidRPr="00807AC3">
              <w:rPr>
                <w:noProof/>
              </w:rPr>
              <w:t>2022</w:t>
            </w:r>
          </w:p>
        </w:tc>
        <w:tc>
          <w:tcPr>
            <w:tcW w:w="943" w:type="dxa"/>
            <w:noWrap/>
            <w:hideMark/>
          </w:tcPr>
          <w:p w14:paraId="6239B831" w14:textId="77777777" w:rsidR="00FB2994" w:rsidRPr="00807AC3" w:rsidRDefault="00FB2994" w:rsidP="00B202C2">
            <w:pPr>
              <w:rPr>
                <w:noProof/>
              </w:rPr>
            </w:pPr>
            <w:r w:rsidRPr="00807AC3">
              <w:rPr>
                <w:noProof/>
              </w:rPr>
              <w:t>2023</w:t>
            </w:r>
          </w:p>
        </w:tc>
        <w:tc>
          <w:tcPr>
            <w:tcW w:w="944" w:type="dxa"/>
            <w:noWrap/>
            <w:hideMark/>
          </w:tcPr>
          <w:p w14:paraId="5B5C0EBC" w14:textId="77777777" w:rsidR="00FB2994" w:rsidRPr="00807AC3" w:rsidRDefault="00FB2994" w:rsidP="00B202C2">
            <w:pPr>
              <w:rPr>
                <w:noProof/>
              </w:rPr>
            </w:pPr>
            <w:r w:rsidRPr="00807AC3">
              <w:rPr>
                <w:noProof/>
              </w:rPr>
              <w:t>2024</w:t>
            </w:r>
          </w:p>
        </w:tc>
        <w:tc>
          <w:tcPr>
            <w:tcW w:w="944" w:type="dxa"/>
            <w:noWrap/>
            <w:hideMark/>
          </w:tcPr>
          <w:p w14:paraId="75AE2174" w14:textId="77777777" w:rsidR="00FB2994" w:rsidRPr="00807AC3" w:rsidRDefault="00FB2994" w:rsidP="00B202C2">
            <w:pPr>
              <w:rPr>
                <w:noProof/>
              </w:rPr>
            </w:pPr>
            <w:r w:rsidRPr="00807AC3">
              <w:rPr>
                <w:noProof/>
              </w:rPr>
              <w:t>2025</w:t>
            </w:r>
          </w:p>
        </w:tc>
        <w:tc>
          <w:tcPr>
            <w:tcW w:w="943" w:type="dxa"/>
            <w:noWrap/>
            <w:hideMark/>
          </w:tcPr>
          <w:p w14:paraId="34465335" w14:textId="77777777" w:rsidR="00FB2994" w:rsidRPr="00807AC3" w:rsidRDefault="00FB2994" w:rsidP="00B202C2">
            <w:pPr>
              <w:rPr>
                <w:noProof/>
              </w:rPr>
            </w:pPr>
            <w:r w:rsidRPr="00807AC3">
              <w:rPr>
                <w:noProof/>
              </w:rPr>
              <w:t>2026</w:t>
            </w:r>
          </w:p>
        </w:tc>
        <w:tc>
          <w:tcPr>
            <w:tcW w:w="944" w:type="dxa"/>
            <w:noWrap/>
            <w:hideMark/>
          </w:tcPr>
          <w:p w14:paraId="08F2D9AC" w14:textId="77777777" w:rsidR="00FB2994" w:rsidRPr="00807AC3" w:rsidRDefault="00FB2994" w:rsidP="00B202C2">
            <w:pPr>
              <w:rPr>
                <w:noProof/>
              </w:rPr>
            </w:pPr>
            <w:r w:rsidRPr="00807AC3">
              <w:rPr>
                <w:noProof/>
              </w:rPr>
              <w:t>2027</w:t>
            </w:r>
          </w:p>
        </w:tc>
        <w:tc>
          <w:tcPr>
            <w:tcW w:w="944" w:type="dxa"/>
            <w:noWrap/>
            <w:hideMark/>
          </w:tcPr>
          <w:p w14:paraId="67953E8C" w14:textId="77777777" w:rsidR="00FB2994" w:rsidRPr="00807AC3" w:rsidRDefault="00FB2994" w:rsidP="00B202C2">
            <w:pPr>
              <w:rPr>
                <w:noProof/>
              </w:rPr>
            </w:pPr>
            <w:r w:rsidRPr="00807AC3">
              <w:rPr>
                <w:noProof/>
              </w:rPr>
              <w:t>Total</w:t>
            </w:r>
          </w:p>
        </w:tc>
      </w:tr>
      <w:tr w:rsidR="00FB2994" w:rsidRPr="00040D99" w14:paraId="2464D473" w14:textId="77777777" w:rsidTr="00B202C2">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46A893F8" w14:textId="77777777" w:rsidR="00FB2994" w:rsidRPr="00807AC3" w:rsidRDefault="00FB2994" w:rsidP="00B202C2">
            <w:pPr>
              <w:rPr>
                <w:noProof/>
              </w:rPr>
            </w:pPr>
            <w:r w:rsidRPr="00807AC3">
              <w:rPr>
                <w:noProof/>
              </w:rPr>
              <w:t>Financial programming</w:t>
            </w:r>
          </w:p>
        </w:tc>
        <w:tc>
          <w:tcPr>
            <w:tcW w:w="943" w:type="dxa"/>
            <w:noWrap/>
            <w:hideMark/>
          </w:tcPr>
          <w:p w14:paraId="4C415A00" w14:textId="77777777" w:rsidR="00FB2994" w:rsidRPr="00807AC3" w:rsidRDefault="00FB2994" w:rsidP="00B202C2">
            <w:pPr>
              <w:rPr>
                <w:noProof/>
              </w:rPr>
            </w:pPr>
            <w:r w:rsidRPr="003A3512">
              <w:rPr>
                <w:noProof/>
              </w:rPr>
              <w:t>135</w:t>
            </w:r>
            <w:r>
              <w:rPr>
                <w:noProof/>
              </w:rPr>
              <w:t>.</w:t>
            </w:r>
            <w:r w:rsidRPr="003A3512">
              <w:rPr>
                <w:noProof/>
              </w:rPr>
              <w:t>7</w:t>
            </w:r>
          </w:p>
        </w:tc>
        <w:tc>
          <w:tcPr>
            <w:tcW w:w="944" w:type="dxa"/>
            <w:noWrap/>
            <w:hideMark/>
          </w:tcPr>
          <w:p w14:paraId="022681BA" w14:textId="77777777" w:rsidR="00FB2994" w:rsidRPr="00807AC3" w:rsidRDefault="00FB2994" w:rsidP="00B202C2">
            <w:pPr>
              <w:rPr>
                <w:noProof/>
              </w:rPr>
            </w:pPr>
            <w:r w:rsidRPr="003A3512">
              <w:rPr>
                <w:noProof/>
              </w:rPr>
              <w:t>141</w:t>
            </w:r>
            <w:r>
              <w:rPr>
                <w:noProof/>
              </w:rPr>
              <w:t>.</w:t>
            </w:r>
            <w:r w:rsidRPr="003A3512">
              <w:rPr>
                <w:noProof/>
              </w:rPr>
              <w:t>4</w:t>
            </w:r>
          </w:p>
        </w:tc>
        <w:tc>
          <w:tcPr>
            <w:tcW w:w="943" w:type="dxa"/>
            <w:noWrap/>
            <w:hideMark/>
          </w:tcPr>
          <w:p w14:paraId="1A4B7A3D" w14:textId="77777777" w:rsidR="00FB2994" w:rsidRPr="00807AC3" w:rsidRDefault="00FB2994" w:rsidP="00B202C2">
            <w:pPr>
              <w:rPr>
                <w:noProof/>
              </w:rPr>
            </w:pPr>
            <w:r w:rsidRPr="003A3512">
              <w:rPr>
                <w:noProof/>
              </w:rPr>
              <w:t>141</w:t>
            </w:r>
            <w:r>
              <w:rPr>
                <w:noProof/>
              </w:rPr>
              <w:t>.</w:t>
            </w:r>
            <w:r w:rsidRPr="003A3512">
              <w:rPr>
                <w:noProof/>
              </w:rPr>
              <w:t>2</w:t>
            </w:r>
          </w:p>
        </w:tc>
        <w:tc>
          <w:tcPr>
            <w:tcW w:w="944" w:type="dxa"/>
            <w:noWrap/>
            <w:hideMark/>
          </w:tcPr>
          <w:p w14:paraId="5C9D3C72" w14:textId="77777777" w:rsidR="00FB2994" w:rsidRPr="00807AC3" w:rsidRDefault="00FB2994" w:rsidP="00B202C2">
            <w:pPr>
              <w:rPr>
                <w:noProof/>
              </w:rPr>
            </w:pPr>
            <w:r w:rsidRPr="003A3512">
              <w:rPr>
                <w:noProof/>
              </w:rPr>
              <w:t>144</w:t>
            </w:r>
            <w:r>
              <w:rPr>
                <w:noProof/>
              </w:rPr>
              <w:t>.</w:t>
            </w:r>
            <w:r w:rsidRPr="003A3512">
              <w:rPr>
                <w:noProof/>
              </w:rPr>
              <w:t>0</w:t>
            </w:r>
          </w:p>
        </w:tc>
        <w:tc>
          <w:tcPr>
            <w:tcW w:w="944" w:type="dxa"/>
            <w:noWrap/>
            <w:hideMark/>
          </w:tcPr>
          <w:p w14:paraId="1724BA6F" w14:textId="77777777" w:rsidR="00FB2994" w:rsidRPr="00807AC3" w:rsidRDefault="00FB2994" w:rsidP="00B202C2">
            <w:pPr>
              <w:rPr>
                <w:noProof/>
              </w:rPr>
            </w:pPr>
            <w:r w:rsidRPr="003A3512">
              <w:rPr>
                <w:noProof/>
              </w:rPr>
              <w:t>146</w:t>
            </w:r>
            <w:r>
              <w:rPr>
                <w:noProof/>
              </w:rPr>
              <w:t>.</w:t>
            </w:r>
            <w:r w:rsidRPr="003A3512">
              <w:rPr>
                <w:noProof/>
              </w:rPr>
              <w:t>9</w:t>
            </w:r>
          </w:p>
        </w:tc>
        <w:tc>
          <w:tcPr>
            <w:tcW w:w="943" w:type="dxa"/>
            <w:noWrap/>
            <w:hideMark/>
          </w:tcPr>
          <w:p w14:paraId="7710DFB4" w14:textId="77777777" w:rsidR="00FB2994" w:rsidRPr="00807AC3" w:rsidRDefault="00FB2994" w:rsidP="00B202C2">
            <w:pPr>
              <w:rPr>
                <w:noProof/>
              </w:rPr>
            </w:pPr>
            <w:r w:rsidRPr="003A3512">
              <w:rPr>
                <w:noProof/>
              </w:rPr>
              <w:t>149</w:t>
            </w:r>
            <w:r>
              <w:rPr>
                <w:noProof/>
              </w:rPr>
              <w:t>.</w:t>
            </w:r>
            <w:r w:rsidRPr="003A3512">
              <w:rPr>
                <w:noProof/>
              </w:rPr>
              <w:t>8</w:t>
            </w:r>
          </w:p>
        </w:tc>
        <w:tc>
          <w:tcPr>
            <w:tcW w:w="944" w:type="dxa"/>
            <w:noWrap/>
            <w:hideMark/>
          </w:tcPr>
          <w:p w14:paraId="5D63031C" w14:textId="77777777" w:rsidR="00FB2994" w:rsidRPr="00807AC3" w:rsidRDefault="00FB2994" w:rsidP="00B202C2">
            <w:pPr>
              <w:rPr>
                <w:noProof/>
              </w:rPr>
            </w:pPr>
            <w:r w:rsidRPr="003A3512">
              <w:rPr>
                <w:noProof/>
              </w:rPr>
              <w:t>152</w:t>
            </w:r>
            <w:r>
              <w:rPr>
                <w:noProof/>
              </w:rPr>
              <w:t>.</w:t>
            </w:r>
            <w:r w:rsidRPr="003A3512">
              <w:rPr>
                <w:noProof/>
              </w:rPr>
              <w:t>9</w:t>
            </w:r>
          </w:p>
        </w:tc>
        <w:tc>
          <w:tcPr>
            <w:tcW w:w="944" w:type="dxa"/>
            <w:noWrap/>
            <w:hideMark/>
          </w:tcPr>
          <w:p w14:paraId="3A7B39CA" w14:textId="77777777" w:rsidR="00FB2994" w:rsidRPr="00807AC3" w:rsidRDefault="00FB2994" w:rsidP="00B202C2">
            <w:pPr>
              <w:rPr>
                <w:noProof/>
              </w:rPr>
            </w:pPr>
            <w:r w:rsidRPr="003A3512">
              <w:rPr>
                <w:noProof/>
              </w:rPr>
              <w:t>1</w:t>
            </w:r>
            <w:r>
              <w:rPr>
                <w:rFonts w:ascii="Calibri" w:hAnsi="Calibri" w:cs="Calibri"/>
                <w:noProof/>
              </w:rPr>
              <w:t> </w:t>
            </w:r>
            <w:r w:rsidRPr="003A3512">
              <w:rPr>
                <w:noProof/>
              </w:rPr>
              <w:t>012</w:t>
            </w:r>
            <w:r>
              <w:rPr>
                <w:noProof/>
              </w:rPr>
              <w:t>.</w:t>
            </w:r>
            <w:r w:rsidRPr="003A3512">
              <w:rPr>
                <w:noProof/>
              </w:rPr>
              <w:t>0</w:t>
            </w:r>
          </w:p>
        </w:tc>
      </w:tr>
      <w:tr w:rsidR="00FB2994" w:rsidRPr="00040D99" w14:paraId="4D52B949" w14:textId="77777777" w:rsidTr="00B202C2">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4B36FFFE" w14:textId="77777777" w:rsidR="00FB2994" w:rsidRPr="00807AC3" w:rsidRDefault="00FB2994" w:rsidP="00B202C2">
            <w:pPr>
              <w:rPr>
                <w:noProof/>
              </w:rPr>
            </w:pPr>
            <w:r w:rsidRPr="00807AC3">
              <w:rPr>
                <w:noProof/>
              </w:rPr>
              <w:t>NextGenerationEU</w:t>
            </w:r>
          </w:p>
        </w:tc>
        <w:tc>
          <w:tcPr>
            <w:tcW w:w="943" w:type="dxa"/>
            <w:noWrap/>
            <w:hideMark/>
          </w:tcPr>
          <w:p w14:paraId="1807804D" w14:textId="77777777" w:rsidR="00FB2994" w:rsidRPr="00807AC3" w:rsidRDefault="00FB2994" w:rsidP="00B202C2">
            <w:pPr>
              <w:rPr>
                <w:noProof/>
              </w:rPr>
            </w:pPr>
          </w:p>
        </w:tc>
        <w:tc>
          <w:tcPr>
            <w:tcW w:w="944" w:type="dxa"/>
            <w:noWrap/>
            <w:hideMark/>
          </w:tcPr>
          <w:p w14:paraId="72D1D952" w14:textId="77777777" w:rsidR="00FB2994" w:rsidRPr="00807AC3" w:rsidRDefault="00FB2994" w:rsidP="00B202C2">
            <w:pPr>
              <w:rPr>
                <w:noProof/>
              </w:rPr>
            </w:pPr>
          </w:p>
        </w:tc>
        <w:tc>
          <w:tcPr>
            <w:tcW w:w="943" w:type="dxa"/>
            <w:noWrap/>
            <w:hideMark/>
          </w:tcPr>
          <w:p w14:paraId="778B0656" w14:textId="77777777" w:rsidR="00FB2994" w:rsidRPr="00807AC3" w:rsidRDefault="00FB2994" w:rsidP="00B202C2">
            <w:pPr>
              <w:rPr>
                <w:noProof/>
              </w:rPr>
            </w:pPr>
          </w:p>
        </w:tc>
        <w:tc>
          <w:tcPr>
            <w:tcW w:w="944" w:type="dxa"/>
            <w:noWrap/>
            <w:hideMark/>
          </w:tcPr>
          <w:p w14:paraId="2B7F12A5" w14:textId="77777777" w:rsidR="00FB2994" w:rsidRPr="00807AC3" w:rsidRDefault="00FB2994" w:rsidP="00B202C2">
            <w:pPr>
              <w:rPr>
                <w:noProof/>
              </w:rPr>
            </w:pPr>
          </w:p>
        </w:tc>
        <w:tc>
          <w:tcPr>
            <w:tcW w:w="944" w:type="dxa"/>
            <w:noWrap/>
            <w:hideMark/>
          </w:tcPr>
          <w:p w14:paraId="44FB1217" w14:textId="77777777" w:rsidR="00FB2994" w:rsidRPr="00807AC3" w:rsidRDefault="00FB2994" w:rsidP="00B202C2">
            <w:pPr>
              <w:rPr>
                <w:noProof/>
              </w:rPr>
            </w:pPr>
          </w:p>
        </w:tc>
        <w:tc>
          <w:tcPr>
            <w:tcW w:w="943" w:type="dxa"/>
            <w:noWrap/>
            <w:hideMark/>
          </w:tcPr>
          <w:p w14:paraId="6EF1E780" w14:textId="77777777" w:rsidR="00FB2994" w:rsidRPr="00807AC3" w:rsidRDefault="00FB2994" w:rsidP="00B202C2">
            <w:pPr>
              <w:rPr>
                <w:noProof/>
              </w:rPr>
            </w:pPr>
          </w:p>
        </w:tc>
        <w:tc>
          <w:tcPr>
            <w:tcW w:w="944" w:type="dxa"/>
            <w:noWrap/>
            <w:hideMark/>
          </w:tcPr>
          <w:p w14:paraId="514B0FF6" w14:textId="77777777" w:rsidR="00FB2994" w:rsidRPr="00807AC3" w:rsidRDefault="00FB2994" w:rsidP="00B202C2">
            <w:pPr>
              <w:rPr>
                <w:noProof/>
              </w:rPr>
            </w:pPr>
          </w:p>
        </w:tc>
        <w:tc>
          <w:tcPr>
            <w:tcW w:w="944" w:type="dxa"/>
            <w:noWrap/>
            <w:hideMark/>
          </w:tcPr>
          <w:p w14:paraId="47B030F3" w14:textId="77777777" w:rsidR="00FB2994" w:rsidRPr="00807AC3" w:rsidRDefault="00FB2994" w:rsidP="00B202C2">
            <w:pPr>
              <w:rPr>
                <w:noProof/>
              </w:rPr>
            </w:pPr>
          </w:p>
        </w:tc>
      </w:tr>
      <w:tr w:rsidR="00FB2994" w:rsidRPr="00040D99" w14:paraId="1F4DFC6A" w14:textId="77777777" w:rsidTr="00B202C2">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799B0BA5" w14:textId="77777777" w:rsidR="00FB2994" w:rsidRPr="00807AC3" w:rsidRDefault="00FB2994" w:rsidP="00B202C2">
            <w:pPr>
              <w:rPr>
                <w:noProof/>
              </w:rPr>
            </w:pPr>
            <w:r w:rsidRPr="00807AC3">
              <w:rPr>
                <w:noProof/>
              </w:rPr>
              <w:t>Decommitments made available again</w:t>
            </w:r>
            <w:r>
              <w:rPr>
                <w:rFonts w:ascii="Calibri" w:hAnsi="Calibri" w:cs="Calibri"/>
                <w:noProof/>
              </w:rPr>
              <w:t> (</w:t>
            </w:r>
            <w:r w:rsidRPr="00807AC3">
              <w:rPr>
                <w:noProof/>
              </w:rPr>
              <w:t>*</w:t>
            </w:r>
            <w:r>
              <w:rPr>
                <w:noProof/>
              </w:rPr>
              <w:t>)</w:t>
            </w:r>
          </w:p>
        </w:tc>
        <w:tc>
          <w:tcPr>
            <w:tcW w:w="943" w:type="dxa"/>
            <w:noWrap/>
            <w:hideMark/>
          </w:tcPr>
          <w:p w14:paraId="4C1AA8E2" w14:textId="77777777" w:rsidR="00FB2994" w:rsidRPr="00807AC3" w:rsidRDefault="00FB2994" w:rsidP="00B202C2">
            <w:pPr>
              <w:rPr>
                <w:noProof/>
              </w:rPr>
            </w:pPr>
            <w:r>
              <w:rPr>
                <w:noProof/>
              </w:rPr>
              <w:t>N/A</w:t>
            </w:r>
          </w:p>
        </w:tc>
        <w:tc>
          <w:tcPr>
            <w:tcW w:w="944" w:type="dxa"/>
            <w:noWrap/>
            <w:hideMark/>
          </w:tcPr>
          <w:p w14:paraId="35CDCE54" w14:textId="77777777" w:rsidR="00FB2994" w:rsidRPr="00807AC3" w:rsidRDefault="00FB2994" w:rsidP="00B202C2">
            <w:pPr>
              <w:rPr>
                <w:noProof/>
              </w:rPr>
            </w:pPr>
          </w:p>
        </w:tc>
        <w:tc>
          <w:tcPr>
            <w:tcW w:w="943" w:type="dxa"/>
            <w:noWrap/>
            <w:hideMark/>
          </w:tcPr>
          <w:p w14:paraId="33713965" w14:textId="77777777" w:rsidR="00FB2994" w:rsidRPr="00807AC3" w:rsidRDefault="00FB2994" w:rsidP="00B202C2">
            <w:pPr>
              <w:rPr>
                <w:noProof/>
              </w:rPr>
            </w:pPr>
          </w:p>
        </w:tc>
        <w:tc>
          <w:tcPr>
            <w:tcW w:w="944" w:type="dxa"/>
            <w:noWrap/>
            <w:hideMark/>
          </w:tcPr>
          <w:p w14:paraId="19B3991B" w14:textId="77777777" w:rsidR="00FB2994" w:rsidRPr="00807AC3" w:rsidRDefault="00FB2994" w:rsidP="00B202C2">
            <w:pPr>
              <w:rPr>
                <w:noProof/>
              </w:rPr>
            </w:pPr>
          </w:p>
        </w:tc>
        <w:tc>
          <w:tcPr>
            <w:tcW w:w="944" w:type="dxa"/>
            <w:noWrap/>
            <w:hideMark/>
          </w:tcPr>
          <w:p w14:paraId="1A056A3E" w14:textId="77777777" w:rsidR="00FB2994" w:rsidRPr="00807AC3" w:rsidRDefault="00FB2994" w:rsidP="00B202C2">
            <w:pPr>
              <w:rPr>
                <w:noProof/>
              </w:rPr>
            </w:pPr>
          </w:p>
        </w:tc>
        <w:tc>
          <w:tcPr>
            <w:tcW w:w="943" w:type="dxa"/>
            <w:noWrap/>
            <w:hideMark/>
          </w:tcPr>
          <w:p w14:paraId="5CC9804C" w14:textId="77777777" w:rsidR="00FB2994" w:rsidRPr="00807AC3" w:rsidRDefault="00FB2994" w:rsidP="00B202C2">
            <w:pPr>
              <w:rPr>
                <w:noProof/>
              </w:rPr>
            </w:pPr>
          </w:p>
        </w:tc>
        <w:tc>
          <w:tcPr>
            <w:tcW w:w="944" w:type="dxa"/>
            <w:noWrap/>
            <w:hideMark/>
          </w:tcPr>
          <w:p w14:paraId="394BD128" w14:textId="77777777" w:rsidR="00FB2994" w:rsidRPr="00807AC3" w:rsidRDefault="00FB2994" w:rsidP="00B202C2">
            <w:pPr>
              <w:rPr>
                <w:noProof/>
              </w:rPr>
            </w:pPr>
          </w:p>
        </w:tc>
        <w:tc>
          <w:tcPr>
            <w:tcW w:w="944" w:type="dxa"/>
            <w:noWrap/>
            <w:hideMark/>
          </w:tcPr>
          <w:p w14:paraId="2CA3B470" w14:textId="77777777" w:rsidR="00FB2994" w:rsidRPr="00807AC3" w:rsidRDefault="00FB2994" w:rsidP="00B202C2">
            <w:pPr>
              <w:rPr>
                <w:noProof/>
              </w:rPr>
            </w:pPr>
            <w:r>
              <w:rPr>
                <w:noProof/>
              </w:rPr>
              <w:t>N/A</w:t>
            </w:r>
          </w:p>
        </w:tc>
      </w:tr>
      <w:tr w:rsidR="00FB2994" w:rsidRPr="00040D99" w14:paraId="78EA2D60" w14:textId="77777777" w:rsidTr="00B202C2">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0DD92C2D" w14:textId="77777777" w:rsidR="00FB2994" w:rsidRPr="00807AC3" w:rsidRDefault="00FB2994" w:rsidP="00B202C2">
            <w:pPr>
              <w:rPr>
                <w:noProof/>
              </w:rPr>
            </w:pPr>
            <w:r w:rsidRPr="00807AC3">
              <w:rPr>
                <w:noProof/>
              </w:rPr>
              <w:t>Contributions from other countries and entities</w:t>
            </w:r>
          </w:p>
        </w:tc>
        <w:tc>
          <w:tcPr>
            <w:tcW w:w="943" w:type="dxa"/>
            <w:noWrap/>
            <w:hideMark/>
          </w:tcPr>
          <w:p w14:paraId="5F8080A1" w14:textId="77777777" w:rsidR="00FB2994" w:rsidRPr="00807AC3" w:rsidRDefault="00FB2994" w:rsidP="00B202C2">
            <w:pPr>
              <w:rPr>
                <w:noProof/>
              </w:rPr>
            </w:pPr>
            <w:r>
              <w:rPr>
                <w:noProof/>
              </w:rPr>
              <w:t>11.0</w:t>
            </w:r>
          </w:p>
        </w:tc>
        <w:tc>
          <w:tcPr>
            <w:tcW w:w="944" w:type="dxa"/>
            <w:noWrap/>
            <w:hideMark/>
          </w:tcPr>
          <w:p w14:paraId="5FD388DD" w14:textId="77777777" w:rsidR="00FB2994" w:rsidRPr="00807AC3" w:rsidRDefault="00FB2994" w:rsidP="00B202C2">
            <w:pPr>
              <w:rPr>
                <w:noProof/>
              </w:rPr>
            </w:pPr>
            <w:r>
              <w:rPr>
                <w:noProof/>
              </w:rPr>
              <w:t>p.m.</w:t>
            </w:r>
          </w:p>
        </w:tc>
        <w:tc>
          <w:tcPr>
            <w:tcW w:w="943" w:type="dxa"/>
            <w:noWrap/>
            <w:hideMark/>
          </w:tcPr>
          <w:p w14:paraId="51366119" w14:textId="77777777" w:rsidR="00FB2994" w:rsidRPr="00807AC3" w:rsidRDefault="00FB2994" w:rsidP="00B202C2">
            <w:pPr>
              <w:rPr>
                <w:noProof/>
              </w:rPr>
            </w:pPr>
            <w:r>
              <w:rPr>
                <w:noProof/>
              </w:rPr>
              <w:t>p.m.</w:t>
            </w:r>
          </w:p>
        </w:tc>
        <w:tc>
          <w:tcPr>
            <w:tcW w:w="944" w:type="dxa"/>
            <w:noWrap/>
            <w:hideMark/>
          </w:tcPr>
          <w:p w14:paraId="2E37DB9E" w14:textId="77777777" w:rsidR="00FB2994" w:rsidRPr="00807AC3" w:rsidRDefault="00FB2994" w:rsidP="00B202C2">
            <w:pPr>
              <w:rPr>
                <w:noProof/>
              </w:rPr>
            </w:pPr>
            <w:r>
              <w:rPr>
                <w:noProof/>
              </w:rPr>
              <w:t>p.m.</w:t>
            </w:r>
          </w:p>
        </w:tc>
        <w:tc>
          <w:tcPr>
            <w:tcW w:w="944" w:type="dxa"/>
            <w:noWrap/>
            <w:hideMark/>
          </w:tcPr>
          <w:p w14:paraId="2FF10694" w14:textId="77777777" w:rsidR="00FB2994" w:rsidRPr="00807AC3" w:rsidRDefault="00FB2994" w:rsidP="00B202C2">
            <w:pPr>
              <w:rPr>
                <w:noProof/>
              </w:rPr>
            </w:pPr>
            <w:r>
              <w:rPr>
                <w:noProof/>
              </w:rPr>
              <w:t>p.m.</w:t>
            </w:r>
          </w:p>
        </w:tc>
        <w:tc>
          <w:tcPr>
            <w:tcW w:w="943" w:type="dxa"/>
            <w:noWrap/>
            <w:hideMark/>
          </w:tcPr>
          <w:p w14:paraId="4C962EDC" w14:textId="77777777" w:rsidR="00FB2994" w:rsidRPr="00807AC3" w:rsidRDefault="00FB2994" w:rsidP="00B202C2">
            <w:pPr>
              <w:rPr>
                <w:noProof/>
              </w:rPr>
            </w:pPr>
            <w:r>
              <w:rPr>
                <w:noProof/>
              </w:rPr>
              <w:t>p.m.</w:t>
            </w:r>
          </w:p>
        </w:tc>
        <w:tc>
          <w:tcPr>
            <w:tcW w:w="944" w:type="dxa"/>
            <w:noWrap/>
            <w:hideMark/>
          </w:tcPr>
          <w:p w14:paraId="3890989F" w14:textId="77777777" w:rsidR="00FB2994" w:rsidRPr="00807AC3" w:rsidRDefault="00FB2994" w:rsidP="00B202C2">
            <w:pPr>
              <w:rPr>
                <w:noProof/>
              </w:rPr>
            </w:pPr>
            <w:r>
              <w:rPr>
                <w:noProof/>
              </w:rPr>
              <w:t>p.m.</w:t>
            </w:r>
          </w:p>
        </w:tc>
        <w:tc>
          <w:tcPr>
            <w:tcW w:w="944" w:type="dxa"/>
            <w:noWrap/>
            <w:hideMark/>
          </w:tcPr>
          <w:p w14:paraId="1E3BD86A" w14:textId="77777777" w:rsidR="00FB2994" w:rsidRPr="00807AC3" w:rsidRDefault="00FB2994" w:rsidP="00B202C2">
            <w:pPr>
              <w:rPr>
                <w:noProof/>
              </w:rPr>
            </w:pPr>
            <w:r>
              <w:rPr>
                <w:noProof/>
              </w:rPr>
              <w:t>11.0</w:t>
            </w:r>
          </w:p>
        </w:tc>
      </w:tr>
      <w:tr w:rsidR="00FB2994" w:rsidRPr="00040D99" w14:paraId="52F3AE70" w14:textId="77777777" w:rsidTr="00B202C2">
        <w:trPr>
          <w:cnfStyle w:val="000000100000" w:firstRow="0" w:lastRow="0" w:firstColumn="0" w:lastColumn="0" w:oddVBand="0" w:evenVBand="0" w:oddHBand="1" w:evenHBand="0" w:firstRowFirstColumn="0" w:firstRowLastColumn="0" w:lastRowFirstColumn="0" w:lastRowLastColumn="0"/>
          <w:trHeight w:val="290"/>
        </w:trPr>
        <w:tc>
          <w:tcPr>
            <w:tcW w:w="2090" w:type="dxa"/>
            <w:noWrap/>
          </w:tcPr>
          <w:p w14:paraId="4ADBB808" w14:textId="77777777" w:rsidR="00FB2994" w:rsidRPr="00807AC3" w:rsidRDefault="00FB2994" w:rsidP="00B202C2">
            <w:pPr>
              <w:rPr>
                <w:noProof/>
              </w:rPr>
            </w:pPr>
            <w:r w:rsidRPr="00857150">
              <w:rPr>
                <w:noProof/>
              </w:rPr>
              <w:t xml:space="preserve"> Total</w:t>
            </w:r>
          </w:p>
        </w:tc>
        <w:tc>
          <w:tcPr>
            <w:tcW w:w="943" w:type="dxa"/>
            <w:noWrap/>
          </w:tcPr>
          <w:p w14:paraId="6A2FE3FE" w14:textId="77777777" w:rsidR="00FB2994" w:rsidRDefault="00FB2994" w:rsidP="00B202C2">
            <w:pPr>
              <w:rPr>
                <w:noProof/>
              </w:rPr>
            </w:pPr>
            <w:r w:rsidRPr="00857150">
              <w:rPr>
                <w:noProof/>
              </w:rPr>
              <w:t>146.7</w:t>
            </w:r>
          </w:p>
        </w:tc>
        <w:tc>
          <w:tcPr>
            <w:tcW w:w="944" w:type="dxa"/>
            <w:noWrap/>
          </w:tcPr>
          <w:p w14:paraId="4A4A865A" w14:textId="77777777" w:rsidR="00FB2994" w:rsidRDefault="00FB2994" w:rsidP="00B202C2">
            <w:pPr>
              <w:rPr>
                <w:noProof/>
              </w:rPr>
            </w:pPr>
            <w:r w:rsidRPr="00857150">
              <w:rPr>
                <w:noProof/>
              </w:rPr>
              <w:t>141.4</w:t>
            </w:r>
          </w:p>
        </w:tc>
        <w:tc>
          <w:tcPr>
            <w:tcW w:w="943" w:type="dxa"/>
            <w:noWrap/>
          </w:tcPr>
          <w:p w14:paraId="281106EF" w14:textId="77777777" w:rsidR="00FB2994" w:rsidRDefault="00FB2994" w:rsidP="00B202C2">
            <w:pPr>
              <w:rPr>
                <w:noProof/>
              </w:rPr>
            </w:pPr>
            <w:r w:rsidRPr="00857150">
              <w:rPr>
                <w:noProof/>
              </w:rPr>
              <w:t>141.2</w:t>
            </w:r>
          </w:p>
        </w:tc>
        <w:tc>
          <w:tcPr>
            <w:tcW w:w="944" w:type="dxa"/>
            <w:noWrap/>
          </w:tcPr>
          <w:p w14:paraId="3043C94E" w14:textId="77777777" w:rsidR="00FB2994" w:rsidRDefault="00FB2994" w:rsidP="00B202C2">
            <w:pPr>
              <w:rPr>
                <w:noProof/>
              </w:rPr>
            </w:pPr>
            <w:r w:rsidRPr="00857150">
              <w:rPr>
                <w:noProof/>
              </w:rPr>
              <w:t>144.0</w:t>
            </w:r>
          </w:p>
        </w:tc>
        <w:tc>
          <w:tcPr>
            <w:tcW w:w="944" w:type="dxa"/>
            <w:noWrap/>
          </w:tcPr>
          <w:p w14:paraId="338E7DF1" w14:textId="77777777" w:rsidR="00FB2994" w:rsidRDefault="00FB2994" w:rsidP="00B202C2">
            <w:pPr>
              <w:rPr>
                <w:noProof/>
              </w:rPr>
            </w:pPr>
            <w:r w:rsidRPr="00857150">
              <w:rPr>
                <w:noProof/>
              </w:rPr>
              <w:t>146.9</w:t>
            </w:r>
          </w:p>
        </w:tc>
        <w:tc>
          <w:tcPr>
            <w:tcW w:w="943" w:type="dxa"/>
            <w:noWrap/>
          </w:tcPr>
          <w:p w14:paraId="7C8260C3" w14:textId="77777777" w:rsidR="00FB2994" w:rsidRDefault="00FB2994" w:rsidP="00B202C2">
            <w:pPr>
              <w:rPr>
                <w:noProof/>
              </w:rPr>
            </w:pPr>
            <w:r w:rsidRPr="00857150">
              <w:rPr>
                <w:noProof/>
              </w:rPr>
              <w:t>149.8</w:t>
            </w:r>
          </w:p>
        </w:tc>
        <w:tc>
          <w:tcPr>
            <w:tcW w:w="944" w:type="dxa"/>
            <w:noWrap/>
          </w:tcPr>
          <w:p w14:paraId="30C70D5B" w14:textId="77777777" w:rsidR="00FB2994" w:rsidRDefault="00FB2994" w:rsidP="00B202C2">
            <w:pPr>
              <w:rPr>
                <w:noProof/>
              </w:rPr>
            </w:pPr>
            <w:r w:rsidRPr="00857150">
              <w:rPr>
                <w:noProof/>
              </w:rPr>
              <w:t>152.9</w:t>
            </w:r>
          </w:p>
        </w:tc>
        <w:tc>
          <w:tcPr>
            <w:tcW w:w="944" w:type="dxa"/>
            <w:noWrap/>
          </w:tcPr>
          <w:p w14:paraId="5F5820EB" w14:textId="77777777" w:rsidR="00FB2994" w:rsidRDefault="00FB2994" w:rsidP="00B202C2">
            <w:pPr>
              <w:rPr>
                <w:noProof/>
              </w:rPr>
            </w:pPr>
            <w:r w:rsidRPr="00857150">
              <w:rPr>
                <w:noProof/>
              </w:rPr>
              <w:t>1 023.0</w:t>
            </w:r>
          </w:p>
        </w:tc>
      </w:tr>
    </w:tbl>
    <w:p w14:paraId="6977DB12" w14:textId="77777777" w:rsidR="00FB2994" w:rsidRPr="00BD539A" w:rsidRDefault="00FB2994" w:rsidP="00FB2994">
      <w:pPr>
        <w:tabs>
          <w:tab w:val="left" w:pos="6793"/>
        </w:tabs>
        <w:rPr>
          <w:noProof/>
          <w:sz w:val="18"/>
          <w:szCs w:val="18"/>
          <w:lang w:val="en-IE"/>
        </w:rPr>
      </w:pPr>
      <w:r w:rsidRPr="64D07B96">
        <w:rPr>
          <w:noProof/>
          <w:sz w:val="18"/>
          <w:szCs w:val="18"/>
          <w:lang w:val="en-IE"/>
        </w:rPr>
        <w:t>(*) Only Article</w:t>
      </w:r>
      <w:r w:rsidRPr="64D07B96">
        <w:rPr>
          <w:rFonts w:ascii="Calibri" w:hAnsi="Calibri" w:cs="Calibri"/>
          <w:noProof/>
          <w:sz w:val="18"/>
          <w:szCs w:val="18"/>
          <w:lang w:val="en-IE"/>
        </w:rPr>
        <w:t> </w:t>
      </w:r>
      <w:r w:rsidRPr="64D07B96">
        <w:rPr>
          <w:noProof/>
          <w:sz w:val="18"/>
          <w:szCs w:val="18"/>
          <w:lang w:val="en-IE"/>
        </w:rPr>
        <w:t>15(3) of the financial regulation.</w:t>
      </w:r>
    </w:p>
    <w:p w14:paraId="361C4052" w14:textId="5085ADB6" w:rsidR="00FB2994" w:rsidRDefault="00FB2994" w:rsidP="00304A2B">
      <w:pPr>
        <w:pStyle w:val="ppoTableTabletitle"/>
        <w:jc w:val="both"/>
        <w:rPr>
          <w:noProof/>
        </w:rPr>
      </w:pPr>
      <w:r w:rsidRPr="00304A2B">
        <w:rPr>
          <w:noProof/>
          <w:lang w:val="en-IE"/>
        </w:rPr>
        <w:t>Financial programming</w:t>
      </w:r>
      <w:r w:rsidR="004C4764">
        <w:rPr>
          <w:noProof/>
          <w:lang w:val="en-IE"/>
        </w:rPr>
        <w:t>:</w:t>
      </w:r>
      <w:r w:rsidRPr="64D07B96">
        <w:rPr>
          <w:noProof/>
          <w:color w:val="CC3595"/>
          <w:lang w:val="en-IE"/>
        </w:rPr>
        <w:t xml:space="preserve"> </w:t>
      </w:r>
      <w:r w:rsidRPr="64D07B96">
        <w:rPr>
          <w:rStyle w:val="ppocharGreentext24pt"/>
          <w:noProof/>
        </w:rPr>
        <w:t>+ EUR</w:t>
      </w:r>
      <w:r w:rsidRPr="64D07B96">
        <w:rPr>
          <w:rStyle w:val="ppocharGreentext24pt"/>
          <w:rFonts w:ascii="Calibri" w:hAnsi="Calibri" w:cs="Calibri"/>
          <w:noProof/>
        </w:rPr>
        <w:t> </w:t>
      </w:r>
      <w:r w:rsidRPr="64D07B96">
        <w:rPr>
          <w:rStyle w:val="ppocharGreentext24pt"/>
          <w:noProof/>
        </w:rPr>
        <w:t>3</w:t>
      </w:r>
      <w:r w:rsidRPr="64D07B96">
        <w:rPr>
          <w:rStyle w:val="ppocharGreentext24pt"/>
          <w:rFonts w:ascii="Calibri" w:hAnsi="Calibri" w:cs="Calibri"/>
          <w:noProof/>
        </w:rPr>
        <w:t> </w:t>
      </w:r>
      <w:r w:rsidRPr="64D07B96">
        <w:rPr>
          <w:rStyle w:val="ppocharGreentext24pt"/>
          <w:noProof/>
        </w:rPr>
        <w:t xml:space="preserve">million (+0%) </w:t>
      </w:r>
      <w:r w:rsidRPr="64D07B96">
        <w:rPr>
          <w:noProof/>
          <w:lang w:val="en-IE"/>
        </w:rPr>
        <w:t>compared to the legal basis.</w:t>
      </w:r>
    </w:p>
    <w:p w14:paraId="74DC4A26" w14:textId="77777777" w:rsidR="00FB2994" w:rsidRPr="00040D99" w:rsidRDefault="00FB2994" w:rsidP="00FB2994">
      <w:pPr>
        <w:pStyle w:val="ppoTableTabletitle"/>
        <w:jc w:val="both"/>
        <w:rPr>
          <w:noProof/>
        </w:rPr>
      </w:pPr>
      <w:r w:rsidRPr="00040D99">
        <w:rPr>
          <w:noProof/>
        </w:rPr>
        <w:t>Cumulative implementation rate at the end of 2021</w:t>
      </w:r>
      <w:r>
        <w:rPr>
          <w:noProof/>
        </w:rPr>
        <w:t xml:space="preserve"> (million</w:t>
      </w:r>
      <w:r w:rsidRPr="00F5634E">
        <w:rPr>
          <w:noProof/>
        </w:rPr>
        <w:t xml:space="preserve"> </w:t>
      </w:r>
      <w:r>
        <w:rPr>
          <w:noProof/>
        </w:rPr>
        <w:t>EUR):</w:t>
      </w:r>
    </w:p>
    <w:tbl>
      <w:tblPr>
        <w:tblStyle w:val="PPO2021"/>
        <w:tblW w:w="9639" w:type="dxa"/>
        <w:tblInd w:w="0" w:type="dxa"/>
        <w:tblLook w:val="06A0" w:firstRow="1" w:lastRow="0" w:firstColumn="1" w:lastColumn="0" w:noHBand="1" w:noVBand="1"/>
      </w:tblPr>
      <w:tblGrid>
        <w:gridCol w:w="2409"/>
        <w:gridCol w:w="2410"/>
        <w:gridCol w:w="2410"/>
        <w:gridCol w:w="2410"/>
      </w:tblGrid>
      <w:tr w:rsidR="00FB2994" w:rsidRPr="00040D99" w14:paraId="5DC43145" w14:textId="77777777" w:rsidTr="00B202C2">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42159522" w14:textId="77777777" w:rsidR="00FB2994" w:rsidRPr="00807AC3" w:rsidRDefault="00FB2994" w:rsidP="00B202C2">
            <w:pPr>
              <w:rPr>
                <w:noProof/>
              </w:rPr>
            </w:pPr>
          </w:p>
        </w:tc>
        <w:tc>
          <w:tcPr>
            <w:tcW w:w="2410" w:type="dxa"/>
          </w:tcPr>
          <w:p w14:paraId="5107009C" w14:textId="77777777" w:rsidR="00FB2994" w:rsidRPr="00807AC3" w:rsidRDefault="00FB2994" w:rsidP="00B202C2">
            <w:pPr>
              <w:cnfStyle w:val="100000000000" w:firstRow="1" w:lastRow="0" w:firstColumn="0" w:lastColumn="0" w:oddVBand="0" w:evenVBand="0" w:oddHBand="0" w:evenHBand="0" w:firstRowFirstColumn="0" w:firstRowLastColumn="0" w:lastRowFirstColumn="0" w:lastRowLastColumn="0"/>
              <w:rPr>
                <w:noProof/>
              </w:rPr>
            </w:pPr>
            <w:r w:rsidRPr="00807AC3">
              <w:rPr>
                <w:noProof/>
              </w:rPr>
              <w:t>Implementation</w:t>
            </w:r>
          </w:p>
        </w:tc>
        <w:tc>
          <w:tcPr>
            <w:tcW w:w="2410" w:type="dxa"/>
          </w:tcPr>
          <w:p w14:paraId="14AF308C" w14:textId="2747017A" w:rsidR="00FB2994" w:rsidRPr="00807AC3" w:rsidRDefault="00A84801" w:rsidP="00B202C2">
            <w:pPr>
              <w:cnfStyle w:val="100000000000" w:firstRow="1" w:lastRow="0" w:firstColumn="0" w:lastColumn="0" w:oddVBand="0" w:evenVBand="0" w:oddHBand="0" w:evenHBand="0" w:firstRowFirstColumn="0" w:firstRowLastColumn="0" w:lastRowFirstColumn="0" w:lastRowLastColumn="0"/>
              <w:rPr>
                <w:noProof/>
              </w:rPr>
            </w:pPr>
            <w:r>
              <w:rPr>
                <w:noProof/>
              </w:rPr>
              <w:t xml:space="preserve">2021-2027 </w:t>
            </w:r>
            <w:r w:rsidR="00FB2994" w:rsidRPr="00807AC3">
              <w:rPr>
                <w:noProof/>
              </w:rPr>
              <w:t>Budget</w:t>
            </w:r>
          </w:p>
        </w:tc>
        <w:tc>
          <w:tcPr>
            <w:tcW w:w="2410" w:type="dxa"/>
          </w:tcPr>
          <w:p w14:paraId="1FE63677" w14:textId="77777777" w:rsidR="00FB2994" w:rsidRPr="00807AC3" w:rsidRDefault="00FB2994" w:rsidP="00B202C2">
            <w:pPr>
              <w:cnfStyle w:val="100000000000" w:firstRow="1" w:lastRow="0" w:firstColumn="0" w:lastColumn="0" w:oddVBand="0" w:evenVBand="0" w:oddHBand="0" w:evenHBand="0" w:firstRowFirstColumn="0" w:firstRowLastColumn="0" w:lastRowFirstColumn="0" w:lastRowLastColumn="0"/>
              <w:rPr>
                <w:noProof/>
              </w:rPr>
            </w:pPr>
            <w:r w:rsidRPr="00807AC3">
              <w:rPr>
                <w:noProof/>
              </w:rPr>
              <w:t>Implementation rate</w:t>
            </w:r>
          </w:p>
        </w:tc>
      </w:tr>
      <w:tr w:rsidR="00FB2994" w:rsidRPr="00040D99" w14:paraId="523B413E"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4AA30D31" w14:textId="77777777" w:rsidR="00FB2994" w:rsidRPr="00807AC3" w:rsidRDefault="00FB2994" w:rsidP="00B202C2">
            <w:pPr>
              <w:rPr>
                <w:noProof/>
              </w:rPr>
            </w:pPr>
            <w:r w:rsidRPr="00807AC3">
              <w:rPr>
                <w:noProof/>
              </w:rPr>
              <w:t>Commitment</w:t>
            </w:r>
            <w:r>
              <w:rPr>
                <w:noProof/>
              </w:rPr>
              <w:t>s</w:t>
            </w:r>
          </w:p>
        </w:tc>
        <w:tc>
          <w:tcPr>
            <w:tcW w:w="2410" w:type="dxa"/>
          </w:tcPr>
          <w:tbl>
            <w:tblPr>
              <w:tblStyle w:val="TableGrid"/>
              <w:tblW w:w="0" w:type="auto"/>
              <w:tblLook w:val="06A0" w:firstRow="1" w:lastRow="0" w:firstColumn="1" w:lastColumn="0" w:noHBand="1" w:noVBand="1"/>
            </w:tblPr>
            <w:tblGrid>
              <w:gridCol w:w="2194"/>
            </w:tblGrid>
            <w:tr w:rsidR="00FB2994" w14:paraId="1D7691BA" w14:textId="77777777" w:rsidTr="00B202C2">
              <w:trPr>
                <w:trHeight w:val="285"/>
              </w:trPr>
              <w:tc>
                <w:tcPr>
                  <w:tcW w:w="2290" w:type="dxa"/>
                  <w:tcBorders>
                    <w:top w:val="nil"/>
                    <w:left w:val="nil"/>
                    <w:bottom w:val="nil"/>
                    <w:right w:val="nil"/>
                  </w:tcBorders>
                  <w:vAlign w:val="bottom"/>
                </w:tcPr>
                <w:p w14:paraId="6C3DE491" w14:textId="77777777" w:rsidR="00FB2994" w:rsidRDefault="00FB2994" w:rsidP="00B202C2">
                  <w:pPr>
                    <w:rPr>
                      <w:noProof/>
                    </w:rPr>
                  </w:pPr>
                  <w:r w:rsidRPr="00047337">
                    <w:rPr>
                      <w:noProof/>
                    </w:rPr>
                    <w:t>136.0</w:t>
                  </w:r>
                </w:p>
              </w:tc>
            </w:tr>
          </w:tbl>
          <w:p w14:paraId="68C15A92" w14:textId="77777777" w:rsidR="00FB2994" w:rsidRPr="00807AC3" w:rsidRDefault="00FB2994" w:rsidP="00B202C2">
            <w:pP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FB2994" w14:paraId="442B1F97" w14:textId="77777777" w:rsidTr="00B202C2">
              <w:trPr>
                <w:trHeight w:val="285"/>
              </w:trPr>
              <w:tc>
                <w:tcPr>
                  <w:tcW w:w="2290" w:type="dxa"/>
                  <w:tcBorders>
                    <w:top w:val="nil"/>
                    <w:left w:val="nil"/>
                    <w:bottom w:val="nil"/>
                    <w:right w:val="nil"/>
                  </w:tcBorders>
                  <w:vAlign w:val="bottom"/>
                </w:tcPr>
                <w:p w14:paraId="5CBC7040" w14:textId="77777777" w:rsidR="00FB2994" w:rsidRDefault="00FB2994" w:rsidP="00B202C2">
                  <w:pPr>
                    <w:rPr>
                      <w:noProof/>
                    </w:rPr>
                  </w:pPr>
                  <w:r w:rsidRPr="00047337">
                    <w:rPr>
                      <w:noProof/>
                    </w:rPr>
                    <w:t>1</w:t>
                  </w:r>
                  <w:r>
                    <w:rPr>
                      <w:rFonts w:ascii="Calibri" w:hAnsi="Calibri" w:cs="Calibri"/>
                      <w:noProof/>
                    </w:rPr>
                    <w:t> </w:t>
                  </w:r>
                  <w:r w:rsidRPr="00047337">
                    <w:rPr>
                      <w:noProof/>
                    </w:rPr>
                    <w:t>023.0</w:t>
                  </w:r>
                </w:p>
              </w:tc>
            </w:tr>
          </w:tbl>
          <w:p w14:paraId="4567C39D" w14:textId="77777777" w:rsidR="00FB2994" w:rsidRPr="00807AC3" w:rsidRDefault="00FB2994" w:rsidP="00B202C2">
            <w:pP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FB2994" w14:paraId="74DD94FE" w14:textId="77777777" w:rsidTr="00B202C2">
              <w:trPr>
                <w:trHeight w:val="285"/>
              </w:trPr>
              <w:tc>
                <w:tcPr>
                  <w:tcW w:w="2290" w:type="dxa"/>
                  <w:tcBorders>
                    <w:top w:val="nil"/>
                    <w:left w:val="nil"/>
                    <w:bottom w:val="nil"/>
                    <w:right w:val="nil"/>
                  </w:tcBorders>
                  <w:vAlign w:val="bottom"/>
                </w:tcPr>
                <w:p w14:paraId="38C83D1F" w14:textId="77777777" w:rsidR="00FB2994" w:rsidRDefault="00FB2994" w:rsidP="00B202C2">
                  <w:pPr>
                    <w:rPr>
                      <w:noProof/>
                    </w:rPr>
                  </w:pPr>
                  <w:r w:rsidRPr="00047337">
                    <w:rPr>
                      <w:noProof/>
                    </w:rPr>
                    <w:t>13%</w:t>
                  </w:r>
                </w:p>
              </w:tc>
            </w:tr>
          </w:tbl>
          <w:p w14:paraId="73A9C018" w14:textId="77777777" w:rsidR="00FB2994" w:rsidRPr="00807AC3" w:rsidRDefault="00FB2994" w:rsidP="00B202C2">
            <w:pPr>
              <w:cnfStyle w:val="000000000000" w:firstRow="0" w:lastRow="0" w:firstColumn="0" w:lastColumn="0" w:oddVBand="0" w:evenVBand="0" w:oddHBand="0" w:evenHBand="0" w:firstRowFirstColumn="0" w:firstRowLastColumn="0" w:lastRowFirstColumn="0" w:lastRowLastColumn="0"/>
              <w:rPr>
                <w:noProof/>
              </w:rPr>
            </w:pPr>
          </w:p>
        </w:tc>
      </w:tr>
      <w:tr w:rsidR="00FB2994" w:rsidRPr="00040D99" w14:paraId="76155F7A"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4642D059" w14:textId="77777777" w:rsidR="00FB2994" w:rsidRPr="00807AC3" w:rsidRDefault="00FB2994" w:rsidP="00B202C2">
            <w:pPr>
              <w:rPr>
                <w:noProof/>
              </w:rPr>
            </w:pPr>
            <w:r w:rsidRPr="00807AC3">
              <w:rPr>
                <w:noProof/>
              </w:rPr>
              <w:t>Payments</w:t>
            </w:r>
          </w:p>
        </w:tc>
        <w:tc>
          <w:tcPr>
            <w:tcW w:w="2410" w:type="dxa"/>
          </w:tcPr>
          <w:tbl>
            <w:tblPr>
              <w:tblStyle w:val="TableGrid"/>
              <w:tblW w:w="0" w:type="auto"/>
              <w:tblLook w:val="06A0" w:firstRow="1" w:lastRow="0" w:firstColumn="1" w:lastColumn="0" w:noHBand="1" w:noVBand="1"/>
            </w:tblPr>
            <w:tblGrid>
              <w:gridCol w:w="2194"/>
            </w:tblGrid>
            <w:tr w:rsidR="00FB2994" w14:paraId="0565C208" w14:textId="77777777" w:rsidTr="00B202C2">
              <w:trPr>
                <w:trHeight w:val="285"/>
              </w:trPr>
              <w:tc>
                <w:tcPr>
                  <w:tcW w:w="2290" w:type="dxa"/>
                  <w:tcBorders>
                    <w:top w:val="nil"/>
                    <w:left w:val="nil"/>
                    <w:bottom w:val="nil"/>
                    <w:right w:val="nil"/>
                  </w:tcBorders>
                  <w:vAlign w:val="bottom"/>
                </w:tcPr>
                <w:p w14:paraId="0C3FC498" w14:textId="77777777" w:rsidR="00FB2994" w:rsidRDefault="00FB2994" w:rsidP="00B202C2">
                  <w:pPr>
                    <w:rPr>
                      <w:noProof/>
                    </w:rPr>
                  </w:pPr>
                  <w:r w:rsidRPr="00047337">
                    <w:rPr>
                      <w:noProof/>
                    </w:rPr>
                    <w:t>75.4</w:t>
                  </w:r>
                </w:p>
              </w:tc>
            </w:tr>
          </w:tbl>
          <w:p w14:paraId="2BD152F9" w14:textId="77777777" w:rsidR="00FB2994" w:rsidRPr="00807AC3" w:rsidRDefault="00FB2994" w:rsidP="00B202C2">
            <w:pP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1868D86D" w14:textId="77777777" w:rsidR="00FB2994" w:rsidRPr="00807AC3" w:rsidRDefault="00FB2994" w:rsidP="00B202C2">
            <w:pP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FB2994" w14:paraId="7EFA9937" w14:textId="77777777" w:rsidTr="00B202C2">
              <w:trPr>
                <w:trHeight w:val="285"/>
              </w:trPr>
              <w:tc>
                <w:tcPr>
                  <w:tcW w:w="2235" w:type="dxa"/>
                  <w:tcBorders>
                    <w:top w:val="nil"/>
                    <w:left w:val="nil"/>
                    <w:bottom w:val="nil"/>
                    <w:right w:val="nil"/>
                  </w:tcBorders>
                  <w:vAlign w:val="bottom"/>
                </w:tcPr>
                <w:p w14:paraId="09438965" w14:textId="77777777" w:rsidR="00FB2994" w:rsidRDefault="00FB2994" w:rsidP="00B202C2">
                  <w:pPr>
                    <w:rPr>
                      <w:noProof/>
                    </w:rPr>
                  </w:pPr>
                  <w:r w:rsidRPr="00047337">
                    <w:rPr>
                      <w:noProof/>
                    </w:rPr>
                    <w:t>7%</w:t>
                  </w:r>
                </w:p>
              </w:tc>
            </w:tr>
          </w:tbl>
          <w:p w14:paraId="6ED4D5A7" w14:textId="77777777" w:rsidR="00FB2994" w:rsidRPr="00807AC3" w:rsidRDefault="00FB2994" w:rsidP="00B202C2">
            <w:pPr>
              <w:cnfStyle w:val="000000000000" w:firstRow="0" w:lastRow="0" w:firstColumn="0" w:lastColumn="0" w:oddVBand="0" w:evenVBand="0" w:oddHBand="0" w:evenHBand="0" w:firstRowFirstColumn="0" w:firstRowLastColumn="0" w:lastRowFirstColumn="0" w:lastRowLastColumn="0"/>
              <w:rPr>
                <w:noProof/>
              </w:rPr>
            </w:pPr>
          </w:p>
        </w:tc>
      </w:tr>
    </w:tbl>
    <w:p w14:paraId="2CFCB63F" w14:textId="77777777" w:rsidR="00FB2994" w:rsidRPr="00040D99" w:rsidRDefault="00FB2994" w:rsidP="00FB2994">
      <w:pPr>
        <w:pStyle w:val="ppoTableTabletitle"/>
        <w:jc w:val="both"/>
        <w:rPr>
          <w:b/>
          <w:noProof/>
        </w:rPr>
      </w:pPr>
      <w:r w:rsidRPr="00040D99">
        <w:rPr>
          <w:noProof/>
        </w:rPr>
        <w:t>Voted budget implementation in 2021:</w:t>
      </w:r>
    </w:p>
    <w:tbl>
      <w:tblPr>
        <w:tblStyle w:val="PPO2021"/>
        <w:tblW w:w="3683" w:type="pct"/>
        <w:tblInd w:w="79" w:type="dxa"/>
        <w:tblLook w:val="04A0" w:firstRow="1" w:lastRow="0" w:firstColumn="1" w:lastColumn="0" w:noHBand="0" w:noVBand="1"/>
      </w:tblPr>
      <w:tblGrid>
        <w:gridCol w:w="2419"/>
        <w:gridCol w:w="2419"/>
        <w:gridCol w:w="2420"/>
      </w:tblGrid>
      <w:tr w:rsidR="00FB2994" w:rsidRPr="00040D99" w14:paraId="7D3C8451" w14:textId="77777777" w:rsidTr="00B202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75E84A27" w14:textId="77777777" w:rsidR="00FB2994" w:rsidRPr="0017374C" w:rsidRDefault="00FB2994" w:rsidP="00B202C2">
            <w:pPr>
              <w:rPr>
                <w:noProof/>
              </w:rPr>
            </w:pPr>
          </w:p>
        </w:tc>
        <w:tc>
          <w:tcPr>
            <w:tcW w:w="2419" w:type="dxa"/>
          </w:tcPr>
          <w:p w14:paraId="6B71AE01" w14:textId="77777777" w:rsidR="00FB2994" w:rsidRPr="0017374C" w:rsidRDefault="00FB2994" w:rsidP="00B202C2">
            <w:pPr>
              <w:cnfStyle w:val="100000000000" w:firstRow="1" w:lastRow="0" w:firstColumn="0" w:lastColumn="0" w:oddVBand="0" w:evenVBand="0" w:oddHBand="0" w:evenHBand="0" w:firstRowFirstColumn="0" w:firstRowLastColumn="0" w:lastRowFirstColumn="0" w:lastRowLastColumn="0"/>
              <w:rPr>
                <w:noProof/>
              </w:rPr>
            </w:pPr>
            <w:r w:rsidRPr="0017374C">
              <w:rPr>
                <w:noProof/>
              </w:rPr>
              <w:t>Voted budget implementation</w:t>
            </w:r>
          </w:p>
        </w:tc>
        <w:tc>
          <w:tcPr>
            <w:tcW w:w="2420" w:type="dxa"/>
          </w:tcPr>
          <w:p w14:paraId="032D55AD" w14:textId="77777777" w:rsidR="00FB2994" w:rsidRPr="0017374C" w:rsidRDefault="00FB2994" w:rsidP="00B202C2">
            <w:pPr>
              <w:cnfStyle w:val="100000000000" w:firstRow="1" w:lastRow="0" w:firstColumn="0" w:lastColumn="0" w:oddVBand="0" w:evenVBand="0" w:oddHBand="0" w:evenHBand="0" w:firstRowFirstColumn="0" w:firstRowLastColumn="0" w:lastRowFirstColumn="0" w:lastRowLastColumn="0"/>
              <w:rPr>
                <w:noProof/>
              </w:rPr>
            </w:pPr>
            <w:r w:rsidRPr="0017374C">
              <w:rPr>
                <w:noProof/>
              </w:rPr>
              <w:t>Initial voted budget</w:t>
            </w:r>
          </w:p>
        </w:tc>
      </w:tr>
      <w:tr w:rsidR="00FB2994" w:rsidRPr="00040D99" w14:paraId="087B558C" w14:textId="77777777" w:rsidTr="00B20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15AD19A8" w14:textId="77777777" w:rsidR="00FB2994" w:rsidRPr="0017374C" w:rsidRDefault="00FB2994" w:rsidP="00B202C2">
            <w:pPr>
              <w:rPr>
                <w:noProof/>
              </w:rPr>
            </w:pPr>
            <w:r w:rsidRPr="0017374C">
              <w:rPr>
                <w:noProof/>
              </w:rPr>
              <w:t>Commitments</w:t>
            </w:r>
          </w:p>
        </w:tc>
        <w:tc>
          <w:tcPr>
            <w:tcW w:w="2419" w:type="dxa"/>
          </w:tcPr>
          <w:p w14:paraId="2CBE00BF" w14:textId="77777777" w:rsidR="00FB2994" w:rsidRPr="0017374C" w:rsidRDefault="00FB2994" w:rsidP="00B202C2">
            <w:pPr>
              <w:cnfStyle w:val="000000100000" w:firstRow="0" w:lastRow="0" w:firstColumn="0" w:lastColumn="0" w:oddVBand="0" w:evenVBand="0" w:oddHBand="1" w:evenHBand="0" w:firstRowFirstColumn="0" w:firstRowLastColumn="0" w:lastRowFirstColumn="0" w:lastRowLastColumn="0"/>
              <w:rPr>
                <w:noProof/>
              </w:rPr>
            </w:pPr>
            <w:r>
              <w:rPr>
                <w:noProof/>
              </w:rPr>
              <w:t>135.7</w:t>
            </w:r>
          </w:p>
        </w:tc>
        <w:tc>
          <w:tcPr>
            <w:tcW w:w="2420" w:type="dxa"/>
          </w:tcPr>
          <w:p w14:paraId="102F7A81" w14:textId="77777777" w:rsidR="00FB2994" w:rsidRPr="0017374C" w:rsidRDefault="00FB2994" w:rsidP="00B202C2">
            <w:pPr>
              <w:cnfStyle w:val="000000100000" w:firstRow="0" w:lastRow="0" w:firstColumn="0" w:lastColumn="0" w:oddVBand="0" w:evenVBand="0" w:oddHBand="1" w:evenHBand="0" w:firstRowFirstColumn="0" w:firstRowLastColumn="0" w:lastRowFirstColumn="0" w:lastRowLastColumn="0"/>
              <w:rPr>
                <w:noProof/>
              </w:rPr>
            </w:pPr>
            <w:r>
              <w:rPr>
                <w:noProof/>
              </w:rPr>
              <w:t>135.7</w:t>
            </w:r>
          </w:p>
        </w:tc>
      </w:tr>
      <w:tr w:rsidR="00FB2994" w:rsidRPr="00040D99" w14:paraId="248F18FB" w14:textId="77777777" w:rsidTr="00B20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7E8D958D" w14:textId="77777777" w:rsidR="00FB2994" w:rsidRPr="0017374C" w:rsidRDefault="00FB2994" w:rsidP="00B202C2">
            <w:pPr>
              <w:rPr>
                <w:noProof/>
              </w:rPr>
            </w:pPr>
            <w:r w:rsidRPr="0017374C">
              <w:rPr>
                <w:noProof/>
              </w:rPr>
              <w:t>Payments</w:t>
            </w:r>
          </w:p>
        </w:tc>
        <w:tc>
          <w:tcPr>
            <w:tcW w:w="2419" w:type="dxa"/>
          </w:tcPr>
          <w:p w14:paraId="18AF3D2F" w14:textId="77777777" w:rsidR="00FB2994" w:rsidRPr="0017374C" w:rsidRDefault="00FB2994" w:rsidP="00B202C2">
            <w:pPr>
              <w:cnfStyle w:val="000000010000" w:firstRow="0" w:lastRow="0" w:firstColumn="0" w:lastColumn="0" w:oddVBand="0" w:evenVBand="0" w:oddHBand="0" w:evenHBand="1" w:firstRowFirstColumn="0" w:firstRowLastColumn="0" w:lastRowFirstColumn="0" w:lastRowLastColumn="0"/>
              <w:rPr>
                <w:noProof/>
              </w:rPr>
            </w:pPr>
            <w:r>
              <w:rPr>
                <w:noProof/>
              </w:rPr>
              <w:t>75.0</w:t>
            </w:r>
          </w:p>
        </w:tc>
        <w:tc>
          <w:tcPr>
            <w:tcW w:w="2420" w:type="dxa"/>
          </w:tcPr>
          <w:p w14:paraId="15CAEA66" w14:textId="77777777" w:rsidR="00FB2994" w:rsidRPr="0017374C" w:rsidRDefault="00FB2994" w:rsidP="00B202C2">
            <w:pPr>
              <w:cnfStyle w:val="000000010000" w:firstRow="0" w:lastRow="0" w:firstColumn="0" w:lastColumn="0" w:oddVBand="0" w:evenVBand="0" w:oddHBand="0" w:evenHBand="1" w:firstRowFirstColumn="0" w:firstRowLastColumn="0" w:lastRowFirstColumn="0" w:lastRowLastColumn="0"/>
              <w:rPr>
                <w:noProof/>
              </w:rPr>
            </w:pPr>
            <w:r>
              <w:rPr>
                <w:noProof/>
              </w:rPr>
              <w:t>90.7</w:t>
            </w:r>
          </w:p>
        </w:tc>
      </w:tr>
    </w:tbl>
    <w:p w14:paraId="20BE2B6E" w14:textId="77777777" w:rsidR="00FB2994" w:rsidRDefault="00FB2994" w:rsidP="00FB2994">
      <w:pPr>
        <w:pStyle w:val="ppoListHyphened-L1"/>
        <w:spacing w:before="360"/>
        <w:jc w:val="both"/>
        <w:rPr>
          <w:noProof/>
        </w:rPr>
      </w:pPr>
      <w:r>
        <w:rPr>
          <w:noProof/>
        </w:rPr>
        <w:t xml:space="preserve">The late adoption of the legal basis in May 2021 (linked to the delayed adoption of the multiannual financial framework) resulted in some delays in implementation, even though the Commission took mitigating measures to minimise consequences as much as possible, in cooperation with national authorities, national agencies and the </w:t>
      </w:r>
      <w:r w:rsidRPr="00BD539A">
        <w:rPr>
          <w:noProof/>
        </w:rPr>
        <w:t>e</w:t>
      </w:r>
      <w:r w:rsidRPr="00984707">
        <w:rPr>
          <w:noProof/>
        </w:rPr>
        <w:t xml:space="preserve">xecutive </w:t>
      </w:r>
      <w:r w:rsidRPr="00BD539A">
        <w:rPr>
          <w:noProof/>
        </w:rPr>
        <w:t>a</w:t>
      </w:r>
      <w:r w:rsidRPr="00984707">
        <w:rPr>
          <w:noProof/>
        </w:rPr>
        <w:t>gency.</w:t>
      </w:r>
    </w:p>
    <w:p w14:paraId="3A94D10F" w14:textId="77777777" w:rsidR="00FB2994" w:rsidRDefault="00FB2994" w:rsidP="00FB2994">
      <w:pPr>
        <w:pStyle w:val="ppoListHyphened-L1"/>
        <w:jc w:val="both"/>
        <w:rPr>
          <w:noProof/>
        </w:rPr>
      </w:pPr>
      <w:r>
        <w:rPr>
          <w:noProof/>
        </w:rPr>
        <w:t>The first year of the implementation of the European Solidarity Corps programme was exceptionally challenging in terms of budget management. The late adoption of the programme regulation pushed back the start of the activities (calls, selection, contracts, payments) to the second half of the year, affecting the budget management in 2021 and shifting some payments initially planned in 2021 to 2022.</w:t>
      </w:r>
    </w:p>
    <w:p w14:paraId="7A250BD4" w14:textId="77777777" w:rsidR="00FB2994" w:rsidRPr="00040D99" w:rsidRDefault="00FB2994" w:rsidP="00FB2994">
      <w:pPr>
        <w:pStyle w:val="ppoListHyphened-L1"/>
        <w:jc w:val="both"/>
        <w:rPr>
          <w:noProof/>
        </w:rPr>
      </w:pPr>
      <w:r>
        <w:rPr>
          <w:noProof/>
        </w:rPr>
        <w:t>As a result, a very close monitoring approach, namely of national agencies, allowed to promptly return the unnecessary payment appropriations detected in the revision of forecasts and ensured the full use of the remaining available payment appropriations in the EU budget at year end. Moreover, this exceptional situation had no influence on the funding absorption capacity of the European Solidarity Corps programme, for which all the commitments appropriations of the 2021 EU voted budget have been implemented. In 2021, about 55% of the budget committed (EUR</w:t>
      </w:r>
      <w:r>
        <w:rPr>
          <w:rFonts w:ascii="Calibri" w:hAnsi="Calibri" w:cs="Calibri"/>
          <w:noProof/>
        </w:rPr>
        <w:t> </w:t>
      </w:r>
      <w:r>
        <w:rPr>
          <w:noProof/>
        </w:rPr>
        <w:t>136</w:t>
      </w:r>
      <w:r>
        <w:rPr>
          <w:rFonts w:ascii="Calibri" w:hAnsi="Calibri" w:cs="Calibri"/>
          <w:noProof/>
        </w:rPr>
        <w:t> </w:t>
      </w:r>
      <w:r>
        <w:rPr>
          <w:noProof/>
        </w:rPr>
        <w:t>million) was paid (EUR</w:t>
      </w:r>
      <w:r>
        <w:rPr>
          <w:rFonts w:ascii="Calibri" w:hAnsi="Calibri" w:cs="Calibri"/>
          <w:noProof/>
        </w:rPr>
        <w:t> </w:t>
      </w:r>
      <w:r>
        <w:rPr>
          <w:noProof/>
        </w:rPr>
        <w:t>75.4</w:t>
      </w:r>
      <w:r>
        <w:rPr>
          <w:rFonts w:ascii="Calibri" w:hAnsi="Calibri" w:cs="Calibri"/>
          <w:noProof/>
        </w:rPr>
        <w:t> </w:t>
      </w:r>
      <w:r>
        <w:rPr>
          <w:noProof/>
        </w:rPr>
        <w:t>million). This results in a cumulative implementation rate of 13% in terms of commitment appropriations and 7% in terms of payment appropriations for the entire period, which is highly satisfactory considering the challenges faced by the programme (delayed adoption, the COVID</w:t>
      </w:r>
      <w:r>
        <w:rPr>
          <w:noProof/>
        </w:rPr>
        <w:noBreakHyphen/>
        <w:t>19 pandemic, etc.).</w:t>
      </w:r>
    </w:p>
    <w:p w14:paraId="7A43CCFB" w14:textId="77777777" w:rsidR="00FB2994" w:rsidRPr="00040D99" w:rsidRDefault="00FB2994" w:rsidP="00FB2994">
      <w:pPr>
        <w:pStyle w:val="ppoHeading5"/>
        <w:jc w:val="both"/>
        <w:rPr>
          <w:noProof/>
        </w:rPr>
      </w:pPr>
      <w:r w:rsidRPr="00040D99">
        <w:rPr>
          <w:noProof/>
        </w:rPr>
        <w:t>Contribution to horizontal priorities</w:t>
      </w:r>
    </w:p>
    <w:p w14:paraId="161BBAE3" w14:textId="77777777" w:rsidR="00FB2994" w:rsidRPr="00040D99" w:rsidRDefault="00FB2994" w:rsidP="00FB2994">
      <w:pPr>
        <w:pStyle w:val="ppoTableTabletitle"/>
        <w:jc w:val="both"/>
        <w:rPr>
          <w:noProof/>
        </w:rPr>
      </w:pPr>
      <w:r w:rsidRPr="00040D99">
        <w:rPr>
          <w:noProof/>
        </w:rPr>
        <w:t>EU budget contribution in 2021</w:t>
      </w:r>
      <w:r>
        <w:rPr>
          <w:noProof/>
        </w:rPr>
        <w:t xml:space="preserve"> (million</w:t>
      </w:r>
      <w:r w:rsidRPr="00F5634E">
        <w:rPr>
          <w:noProof/>
        </w:rPr>
        <w:t xml:space="preserve"> </w:t>
      </w:r>
      <w:r>
        <w:rPr>
          <w:noProof/>
        </w:rPr>
        <w:t>EUR):</w:t>
      </w:r>
    </w:p>
    <w:tbl>
      <w:tblPr>
        <w:tblStyle w:val="PPO2021"/>
        <w:tblW w:w="9639" w:type="dxa"/>
        <w:tblInd w:w="0" w:type="dxa"/>
        <w:tblLook w:val="0420" w:firstRow="1" w:lastRow="0" w:firstColumn="0" w:lastColumn="0" w:noHBand="0" w:noVBand="1"/>
      </w:tblPr>
      <w:tblGrid>
        <w:gridCol w:w="3213"/>
        <w:gridCol w:w="3213"/>
        <w:gridCol w:w="3213"/>
      </w:tblGrid>
      <w:tr w:rsidR="00FB2994" w:rsidRPr="00040D99" w14:paraId="024AA11C" w14:textId="77777777" w:rsidTr="00B202C2">
        <w:trPr>
          <w:cnfStyle w:val="100000000000" w:firstRow="1" w:lastRow="0" w:firstColumn="0" w:lastColumn="0" w:oddVBand="0" w:evenVBand="0" w:oddHBand="0" w:evenHBand="0" w:firstRowFirstColumn="0" w:firstRowLastColumn="0" w:lastRowFirstColumn="0" w:lastRowLastColumn="0"/>
          <w:tblHeader/>
        </w:trPr>
        <w:tc>
          <w:tcPr>
            <w:tcW w:w="3213" w:type="dxa"/>
          </w:tcPr>
          <w:p w14:paraId="40DD5A20" w14:textId="77777777" w:rsidR="00FB2994" w:rsidRPr="00BD731A" w:rsidRDefault="00FB2994" w:rsidP="00B202C2">
            <w:pPr>
              <w:rPr>
                <w:noProof/>
              </w:rPr>
            </w:pPr>
            <w:r w:rsidRPr="00BD731A">
              <w:rPr>
                <w:noProof/>
              </w:rPr>
              <w:t>Climate</w:t>
            </w:r>
          </w:p>
        </w:tc>
        <w:tc>
          <w:tcPr>
            <w:tcW w:w="3213" w:type="dxa"/>
          </w:tcPr>
          <w:p w14:paraId="06D7584B" w14:textId="77777777" w:rsidR="00FB2994" w:rsidRPr="00BD731A" w:rsidRDefault="00FB2994" w:rsidP="00B202C2">
            <w:pPr>
              <w:rPr>
                <w:noProof/>
              </w:rPr>
            </w:pPr>
            <w:r w:rsidRPr="00BD731A">
              <w:rPr>
                <w:noProof/>
              </w:rPr>
              <w:t>Biodiversity</w:t>
            </w:r>
          </w:p>
        </w:tc>
        <w:tc>
          <w:tcPr>
            <w:tcW w:w="3213" w:type="dxa"/>
          </w:tcPr>
          <w:p w14:paraId="0E62E07C" w14:textId="77777777" w:rsidR="00FB2994" w:rsidRPr="00BD731A" w:rsidRDefault="00FB2994" w:rsidP="00B202C2">
            <w:pPr>
              <w:rPr>
                <w:noProof/>
              </w:rPr>
            </w:pPr>
            <w:r w:rsidRPr="00BD731A">
              <w:rPr>
                <w:noProof/>
              </w:rPr>
              <w:t>Gender equality</w:t>
            </w:r>
            <w:r>
              <w:rPr>
                <w:rFonts w:ascii="Calibri" w:hAnsi="Calibri" w:cs="Calibri"/>
                <w:noProof/>
              </w:rPr>
              <w:t> </w:t>
            </w:r>
            <w:r>
              <w:rPr>
                <w:noProof/>
              </w:rPr>
              <w:t>(*)</w:t>
            </w:r>
          </w:p>
        </w:tc>
      </w:tr>
      <w:tr w:rsidR="00FB2994" w:rsidRPr="00040D99" w14:paraId="21EF1E57" w14:textId="77777777" w:rsidTr="00B202C2">
        <w:trPr>
          <w:cnfStyle w:val="000000100000" w:firstRow="0" w:lastRow="0" w:firstColumn="0" w:lastColumn="0" w:oddVBand="0" w:evenVBand="0" w:oddHBand="1" w:evenHBand="0" w:firstRowFirstColumn="0" w:firstRowLastColumn="0" w:lastRowFirstColumn="0" w:lastRowLastColumn="0"/>
        </w:trPr>
        <w:tc>
          <w:tcPr>
            <w:tcW w:w="3213" w:type="dxa"/>
          </w:tcPr>
          <w:tbl>
            <w:tblPr>
              <w:tblStyle w:val="TableGrid"/>
              <w:tblW w:w="0" w:type="auto"/>
              <w:tblLook w:val="06A0" w:firstRow="1" w:lastRow="0" w:firstColumn="1" w:lastColumn="0" w:noHBand="1" w:noVBand="1"/>
            </w:tblPr>
            <w:tblGrid>
              <w:gridCol w:w="1935"/>
            </w:tblGrid>
            <w:tr w:rsidR="00FB2994" w14:paraId="759CD8E9" w14:textId="77777777" w:rsidTr="00B202C2">
              <w:trPr>
                <w:trHeight w:val="285"/>
              </w:trPr>
              <w:tc>
                <w:tcPr>
                  <w:tcW w:w="1935" w:type="dxa"/>
                  <w:tcBorders>
                    <w:top w:val="nil"/>
                    <w:left w:val="nil"/>
                    <w:bottom w:val="nil"/>
                    <w:right w:val="nil"/>
                  </w:tcBorders>
                  <w:vAlign w:val="bottom"/>
                </w:tcPr>
                <w:p w14:paraId="04135B29" w14:textId="77777777" w:rsidR="00FB2994" w:rsidRDefault="00FB2994" w:rsidP="00B202C2">
                  <w:pPr>
                    <w:spacing w:before="100" w:after="100"/>
                    <w:rPr>
                      <w:noProof/>
                    </w:rPr>
                  </w:pPr>
                  <w:r w:rsidRPr="00047337">
                    <w:rPr>
                      <w:noProof/>
                    </w:rPr>
                    <w:t>15.7</w:t>
                  </w:r>
                </w:p>
              </w:tc>
            </w:tr>
          </w:tbl>
          <w:p w14:paraId="1D3A4924" w14:textId="77777777" w:rsidR="00FB2994" w:rsidRPr="00BD731A" w:rsidRDefault="00FB2994" w:rsidP="00B202C2">
            <w:pPr>
              <w:rPr>
                <w:noProof/>
              </w:rPr>
            </w:pPr>
          </w:p>
        </w:tc>
        <w:tc>
          <w:tcPr>
            <w:tcW w:w="3213" w:type="dxa"/>
          </w:tcPr>
          <w:p w14:paraId="6014A100" w14:textId="77777777" w:rsidR="00FB2994" w:rsidRPr="00BD731A" w:rsidRDefault="00FB2994" w:rsidP="00B202C2">
            <w:pPr>
              <w:rPr>
                <w:noProof/>
              </w:rPr>
            </w:pPr>
            <w:r>
              <w:rPr>
                <w:noProof/>
              </w:rPr>
              <w:t>0</w:t>
            </w:r>
          </w:p>
        </w:tc>
        <w:tc>
          <w:tcPr>
            <w:tcW w:w="3213" w:type="dxa"/>
          </w:tcPr>
          <w:p w14:paraId="12715C50" w14:textId="77777777" w:rsidR="00FB2994" w:rsidRPr="00BD731A" w:rsidRDefault="00FB2994" w:rsidP="00B202C2">
            <w:pPr>
              <w:rPr>
                <w:noProof/>
              </w:rPr>
            </w:pPr>
            <w:r w:rsidRPr="00417B4D">
              <w:rPr>
                <w:noProof/>
              </w:rPr>
              <w:t>Score 0*: 136</w:t>
            </w:r>
          </w:p>
        </w:tc>
      </w:tr>
    </w:tbl>
    <w:p w14:paraId="6D6BA8B3" w14:textId="77777777" w:rsidR="00FB2994" w:rsidRPr="00982726" w:rsidRDefault="00FB2994" w:rsidP="00FB2994">
      <w:pPr>
        <w:pStyle w:val="FootnoteText"/>
        <w:rPr>
          <w:noProof/>
        </w:rPr>
      </w:pPr>
      <w:r>
        <w:rPr>
          <w:noProof/>
        </w:rPr>
        <w:t>(*)</w:t>
      </w:r>
      <w:r>
        <w:rPr>
          <w:noProof/>
        </w:rPr>
        <w:tab/>
      </w:r>
      <w:r w:rsidRPr="00982726">
        <w:rPr>
          <w:noProof/>
        </w:rPr>
        <w:t xml:space="preserve">Based on the </w:t>
      </w:r>
      <w:r>
        <w:rPr>
          <w:noProof/>
        </w:rPr>
        <w:t xml:space="preserve">applied gender contribution </w:t>
      </w:r>
      <w:r w:rsidRPr="00982726">
        <w:rPr>
          <w:noProof/>
        </w:rPr>
        <w:t>methodology</w:t>
      </w:r>
      <w:r>
        <w:rPr>
          <w:noProof/>
        </w:rPr>
        <w:t>,</w:t>
      </w:r>
      <w:r w:rsidRPr="00982726">
        <w:rPr>
          <w:noProof/>
        </w:rPr>
        <w:t xml:space="preserve"> the following scores are attributed at the most granular level of intervention possible: </w:t>
      </w:r>
    </w:p>
    <w:p w14:paraId="5633C49A" w14:textId="77777777" w:rsidR="00FB2994" w:rsidRPr="00982726" w:rsidRDefault="00FB2994" w:rsidP="00FB2994">
      <w:pPr>
        <w:pStyle w:val="FootnoteText"/>
        <w:numPr>
          <w:ilvl w:val="0"/>
          <w:numId w:val="38"/>
        </w:numPr>
        <w:spacing w:after="60" w:line="264" w:lineRule="auto"/>
        <w:jc w:val="left"/>
        <w:rPr>
          <w:noProof/>
        </w:rPr>
      </w:pPr>
      <w:r>
        <w:rPr>
          <w:noProof/>
        </w:rPr>
        <w:t>2:</w:t>
      </w:r>
      <w:r w:rsidRPr="00982726">
        <w:rPr>
          <w:noProof/>
        </w:rPr>
        <w:t xml:space="preserve"> </w:t>
      </w:r>
      <w:r>
        <w:rPr>
          <w:noProof/>
        </w:rPr>
        <w:t>i</w:t>
      </w:r>
      <w:r w:rsidRPr="00982726">
        <w:rPr>
          <w:noProof/>
        </w:rPr>
        <w:t xml:space="preserve">nterventions </w:t>
      </w:r>
      <w:r>
        <w:rPr>
          <w:noProof/>
        </w:rPr>
        <w:t>the</w:t>
      </w:r>
      <w:r w:rsidRPr="00982726">
        <w:rPr>
          <w:noProof/>
        </w:rPr>
        <w:t xml:space="preserve"> principal objective</w:t>
      </w:r>
      <w:r>
        <w:rPr>
          <w:noProof/>
        </w:rPr>
        <w:t xml:space="preserve"> of which</w:t>
      </w:r>
      <w:r w:rsidRPr="00982726">
        <w:rPr>
          <w:noProof/>
        </w:rPr>
        <w:t xml:space="preserve"> is to improve gender equality;</w:t>
      </w:r>
    </w:p>
    <w:p w14:paraId="1B0A1F3D" w14:textId="77777777" w:rsidR="00FB2994" w:rsidRPr="00982726" w:rsidRDefault="00FB2994" w:rsidP="00FB2994">
      <w:pPr>
        <w:pStyle w:val="FootnoteText"/>
        <w:numPr>
          <w:ilvl w:val="0"/>
          <w:numId w:val="38"/>
        </w:numPr>
        <w:spacing w:after="60" w:line="264" w:lineRule="auto"/>
        <w:jc w:val="left"/>
        <w:rPr>
          <w:noProof/>
        </w:rPr>
      </w:pPr>
      <w:r>
        <w:rPr>
          <w:noProof/>
        </w:rPr>
        <w:t>1:</w:t>
      </w:r>
      <w:r w:rsidRPr="00982726">
        <w:rPr>
          <w:noProof/>
        </w:rPr>
        <w:t xml:space="preserve"> </w:t>
      </w:r>
      <w:r>
        <w:rPr>
          <w:noProof/>
        </w:rPr>
        <w:t>i</w:t>
      </w:r>
      <w:r w:rsidRPr="00982726">
        <w:rPr>
          <w:noProof/>
        </w:rPr>
        <w:t xml:space="preserve">nterventions </w:t>
      </w:r>
      <w:r>
        <w:rPr>
          <w:noProof/>
        </w:rPr>
        <w:t>that have</w:t>
      </w:r>
      <w:r w:rsidRPr="00982726">
        <w:rPr>
          <w:noProof/>
        </w:rPr>
        <w:t xml:space="preserve"> gender equality as an important and deliberate objective but not as the main reason for the intervention;</w:t>
      </w:r>
    </w:p>
    <w:p w14:paraId="6E5D3216" w14:textId="77777777" w:rsidR="00FB2994" w:rsidRPr="00982726" w:rsidRDefault="00FB2994" w:rsidP="00FB2994">
      <w:pPr>
        <w:pStyle w:val="FootnoteText"/>
        <w:numPr>
          <w:ilvl w:val="0"/>
          <w:numId w:val="38"/>
        </w:numPr>
        <w:spacing w:after="60" w:line="264" w:lineRule="auto"/>
        <w:jc w:val="left"/>
        <w:rPr>
          <w:noProof/>
        </w:rPr>
      </w:pPr>
      <w:r>
        <w:rPr>
          <w:noProof/>
        </w:rPr>
        <w:t>0:</w:t>
      </w:r>
      <w:r w:rsidRPr="00982726">
        <w:rPr>
          <w:noProof/>
        </w:rPr>
        <w:t xml:space="preserve"> </w:t>
      </w:r>
      <w:r>
        <w:rPr>
          <w:noProof/>
        </w:rPr>
        <w:t>n</w:t>
      </w:r>
      <w:r w:rsidRPr="00982726">
        <w:rPr>
          <w:noProof/>
        </w:rPr>
        <w:t>o</w:t>
      </w:r>
      <w:r>
        <w:rPr>
          <w:noProof/>
        </w:rPr>
        <w:t>n-</w:t>
      </w:r>
      <w:r w:rsidRPr="00982726">
        <w:rPr>
          <w:noProof/>
        </w:rPr>
        <w:t>targeted interventions</w:t>
      </w:r>
      <w:r>
        <w:rPr>
          <w:noProof/>
        </w:rPr>
        <w:t>;</w:t>
      </w:r>
    </w:p>
    <w:p w14:paraId="08576869" w14:textId="77777777" w:rsidR="00FB2994" w:rsidRPr="00982726" w:rsidRDefault="00FB2994" w:rsidP="00FB2994">
      <w:pPr>
        <w:pStyle w:val="FootnoteText"/>
        <w:numPr>
          <w:ilvl w:val="0"/>
          <w:numId w:val="38"/>
        </w:numPr>
        <w:spacing w:after="60" w:line="264" w:lineRule="auto"/>
        <w:jc w:val="left"/>
        <w:rPr>
          <w:noProof/>
        </w:rPr>
      </w:pPr>
      <w:r>
        <w:rPr>
          <w:noProof/>
        </w:rPr>
        <w:t>0*:</w:t>
      </w:r>
      <w:r w:rsidRPr="00982726">
        <w:rPr>
          <w:noProof/>
        </w:rPr>
        <w:t xml:space="preserve"> </w:t>
      </w:r>
      <w:r>
        <w:rPr>
          <w:noProof/>
        </w:rPr>
        <w:t>s</w:t>
      </w:r>
      <w:r w:rsidRPr="00982726">
        <w:rPr>
          <w:noProof/>
        </w:rPr>
        <w:t>core to be assigned to interventions with</w:t>
      </w:r>
      <w:r>
        <w:rPr>
          <w:noProof/>
        </w:rPr>
        <w:t xml:space="preserve"> a</w:t>
      </w:r>
      <w:r w:rsidRPr="00982726">
        <w:rPr>
          <w:noProof/>
        </w:rPr>
        <w:t xml:space="preserve"> likely but not yet clear positive impact on gender equality.</w:t>
      </w:r>
    </w:p>
    <w:p w14:paraId="1C4D45B6" w14:textId="77777777" w:rsidR="00FB2994" w:rsidRPr="00040D99" w:rsidRDefault="00FB2994" w:rsidP="00FB2994">
      <w:pPr>
        <w:pStyle w:val="ppoHeading5"/>
        <w:jc w:val="both"/>
        <w:rPr>
          <w:noProof/>
        </w:rPr>
      </w:pPr>
      <w:r w:rsidRPr="00040D99">
        <w:rPr>
          <w:noProof/>
        </w:rPr>
        <w:t>Performance assessment</w:t>
      </w:r>
    </w:p>
    <w:p w14:paraId="5B78081E" w14:textId="77777777" w:rsidR="00FB2994" w:rsidRPr="00040D99" w:rsidRDefault="00FB2994" w:rsidP="00FB2994">
      <w:pPr>
        <w:pStyle w:val="ppoHeading6"/>
        <w:jc w:val="both"/>
        <w:rPr>
          <w:noProof/>
        </w:rPr>
      </w:pPr>
      <w:r w:rsidRPr="00040D99">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FB2994" w:rsidRPr="00AC11E4" w14:paraId="6054F99D" w14:textId="77777777" w:rsidTr="00B202C2">
        <w:trPr>
          <w:cnfStyle w:val="100000000000" w:firstRow="1" w:lastRow="0" w:firstColumn="0" w:lastColumn="0" w:oddVBand="0" w:evenVBand="0" w:oddHBand="0" w:evenHBand="0" w:firstRowFirstColumn="0" w:firstRowLastColumn="0" w:lastRowFirstColumn="0" w:lastRowLastColumn="0"/>
        </w:trPr>
        <w:tc>
          <w:tcPr>
            <w:tcW w:w="2330" w:type="dxa"/>
          </w:tcPr>
          <w:p w14:paraId="26DC5F29" w14:textId="77777777" w:rsidR="00FB2994" w:rsidRPr="00884C9A" w:rsidRDefault="00FB2994" w:rsidP="00B202C2">
            <w:pPr>
              <w:rPr>
                <w:noProof/>
              </w:rPr>
            </w:pPr>
          </w:p>
        </w:tc>
        <w:tc>
          <w:tcPr>
            <w:tcW w:w="1100" w:type="dxa"/>
          </w:tcPr>
          <w:p w14:paraId="6F3B6FD3" w14:textId="77777777" w:rsidR="00FB2994" w:rsidRPr="00884C9A" w:rsidRDefault="00FB2994" w:rsidP="00B202C2">
            <w:pPr>
              <w:rPr>
                <w:noProof/>
              </w:rPr>
            </w:pPr>
            <w:r w:rsidRPr="00884C9A">
              <w:rPr>
                <w:noProof/>
              </w:rPr>
              <w:t>Baseline</w:t>
            </w:r>
          </w:p>
        </w:tc>
        <w:tc>
          <w:tcPr>
            <w:tcW w:w="1526" w:type="dxa"/>
          </w:tcPr>
          <w:p w14:paraId="563DD9E0" w14:textId="65058FFA" w:rsidR="00FB2994" w:rsidRPr="00884C9A" w:rsidRDefault="00FB2994" w:rsidP="00B202C2">
            <w:pPr>
              <w:rPr>
                <w:noProof/>
              </w:rPr>
            </w:pPr>
            <w:r w:rsidRPr="00884C9A">
              <w:rPr>
                <w:noProof/>
              </w:rPr>
              <w:t>Progress</w:t>
            </w:r>
            <w:r w:rsidR="00FD6362">
              <w:rPr>
                <w:noProof/>
              </w:rPr>
              <w:t xml:space="preserve"> (*)</w:t>
            </w:r>
          </w:p>
        </w:tc>
        <w:tc>
          <w:tcPr>
            <w:tcW w:w="1532" w:type="dxa"/>
          </w:tcPr>
          <w:p w14:paraId="1DDC59B1" w14:textId="77777777" w:rsidR="00FB2994" w:rsidRPr="00884C9A" w:rsidRDefault="00FB2994" w:rsidP="00B202C2">
            <w:pPr>
              <w:rPr>
                <w:noProof/>
              </w:rPr>
            </w:pPr>
            <w:r w:rsidRPr="00884C9A">
              <w:rPr>
                <w:noProof/>
              </w:rPr>
              <w:t>Target</w:t>
            </w:r>
          </w:p>
        </w:tc>
        <w:tc>
          <w:tcPr>
            <w:tcW w:w="1572" w:type="dxa"/>
          </w:tcPr>
          <w:p w14:paraId="2969A3AF" w14:textId="77777777" w:rsidR="00FB2994" w:rsidRPr="00884C9A" w:rsidRDefault="00FB2994" w:rsidP="00B202C2">
            <w:pPr>
              <w:rPr>
                <w:noProof/>
              </w:rPr>
            </w:pPr>
            <w:r w:rsidRPr="00884C9A">
              <w:rPr>
                <w:noProof/>
              </w:rPr>
              <w:t>Results</w:t>
            </w:r>
          </w:p>
        </w:tc>
        <w:tc>
          <w:tcPr>
            <w:tcW w:w="1579" w:type="dxa"/>
          </w:tcPr>
          <w:p w14:paraId="54B935E2" w14:textId="77777777" w:rsidR="00FB2994" w:rsidRPr="00884C9A" w:rsidRDefault="00FB2994" w:rsidP="00B202C2">
            <w:pPr>
              <w:rPr>
                <w:noProof/>
              </w:rPr>
            </w:pPr>
            <w:r w:rsidRPr="00884C9A">
              <w:rPr>
                <w:noProof/>
              </w:rPr>
              <w:t>Assessment</w:t>
            </w:r>
          </w:p>
        </w:tc>
      </w:tr>
      <w:tr w:rsidR="00FB2994" w:rsidRPr="00AC11E4" w14:paraId="2EC80C7C" w14:textId="77777777" w:rsidTr="00B202C2">
        <w:trPr>
          <w:cnfStyle w:val="000000100000" w:firstRow="0" w:lastRow="0" w:firstColumn="0" w:lastColumn="0" w:oddVBand="0" w:evenVBand="0" w:oddHBand="1" w:evenHBand="0" w:firstRowFirstColumn="0" w:firstRowLastColumn="0" w:lastRowFirstColumn="0" w:lastRowLastColumn="0"/>
        </w:trPr>
        <w:tc>
          <w:tcPr>
            <w:tcW w:w="2330" w:type="dxa"/>
          </w:tcPr>
          <w:p w14:paraId="36F8E60F" w14:textId="77777777" w:rsidR="00FB2994" w:rsidRPr="00884C9A" w:rsidRDefault="00FB2994" w:rsidP="00B202C2">
            <w:pPr>
              <w:rPr>
                <w:noProof/>
              </w:rPr>
            </w:pPr>
            <w:r>
              <w:rPr>
                <w:noProof/>
              </w:rPr>
              <w:t>Number of participants in solidarity activities</w:t>
            </w:r>
          </w:p>
        </w:tc>
        <w:tc>
          <w:tcPr>
            <w:tcW w:w="1100" w:type="dxa"/>
          </w:tcPr>
          <w:p w14:paraId="059EA81E" w14:textId="46F0EFC2" w:rsidR="00FB2994" w:rsidRPr="00884C9A" w:rsidRDefault="00E456C4" w:rsidP="00304A2B">
            <w:pPr>
              <w:jc w:val="center"/>
              <w:rPr>
                <w:noProof/>
              </w:rPr>
            </w:pPr>
            <w:r>
              <w:rPr>
                <w:noProof/>
              </w:rPr>
              <w:t>0</w:t>
            </w:r>
          </w:p>
        </w:tc>
        <w:tc>
          <w:tcPr>
            <w:tcW w:w="1526" w:type="dxa"/>
          </w:tcPr>
          <w:p w14:paraId="32A43222" w14:textId="55C2D1EE" w:rsidR="00FB2994" w:rsidRPr="00724FDD" w:rsidRDefault="00FB2994" w:rsidP="00304A2B">
            <w:pPr>
              <w:jc w:val="center"/>
              <w:rPr>
                <w:b/>
                <w:noProof/>
              </w:rPr>
            </w:pPr>
          </w:p>
        </w:tc>
        <w:tc>
          <w:tcPr>
            <w:tcW w:w="1532" w:type="dxa"/>
          </w:tcPr>
          <w:p w14:paraId="602414C5" w14:textId="13755137" w:rsidR="00FB2994" w:rsidRPr="00884C9A" w:rsidRDefault="00CA00DD" w:rsidP="00304A2B">
            <w:pPr>
              <w:jc w:val="center"/>
              <w:rPr>
                <w:noProof/>
              </w:rPr>
            </w:pPr>
            <w:r>
              <w:rPr>
                <w:noProof/>
              </w:rPr>
              <w:t>179 776 in 2027</w:t>
            </w:r>
          </w:p>
        </w:tc>
        <w:tc>
          <w:tcPr>
            <w:tcW w:w="1572" w:type="dxa"/>
          </w:tcPr>
          <w:p w14:paraId="633DC246" w14:textId="2DFC7CB1" w:rsidR="00FB2994" w:rsidRPr="00884C9A" w:rsidRDefault="007F4F1B" w:rsidP="00304A2B">
            <w:pPr>
              <w:jc w:val="center"/>
              <w:rPr>
                <w:noProof/>
              </w:rPr>
            </w:pPr>
            <w:r>
              <w:rPr>
                <w:noProof/>
              </w:rPr>
              <w:t>No results</w:t>
            </w:r>
          </w:p>
        </w:tc>
        <w:tc>
          <w:tcPr>
            <w:tcW w:w="1579" w:type="dxa"/>
          </w:tcPr>
          <w:p w14:paraId="5352E92C" w14:textId="4A4854FD" w:rsidR="00FB2994" w:rsidRPr="00884C9A" w:rsidRDefault="002D0AB8" w:rsidP="00304A2B">
            <w:pPr>
              <w:jc w:val="center"/>
              <w:rPr>
                <w:noProof/>
              </w:rPr>
            </w:pPr>
            <w:r>
              <w:rPr>
                <w:noProof/>
              </w:rPr>
              <w:t>No data</w:t>
            </w:r>
          </w:p>
        </w:tc>
      </w:tr>
      <w:tr w:rsidR="002D0AB8" w:rsidRPr="00AC11E4" w14:paraId="2250FCA0" w14:textId="77777777" w:rsidTr="00B202C2">
        <w:trPr>
          <w:cnfStyle w:val="000000010000" w:firstRow="0" w:lastRow="0" w:firstColumn="0" w:lastColumn="0" w:oddVBand="0" w:evenVBand="0" w:oddHBand="0" w:evenHBand="1" w:firstRowFirstColumn="0" w:firstRowLastColumn="0" w:lastRowFirstColumn="0" w:lastRowLastColumn="0"/>
        </w:trPr>
        <w:tc>
          <w:tcPr>
            <w:tcW w:w="2330" w:type="dxa"/>
          </w:tcPr>
          <w:p w14:paraId="4B93C02C" w14:textId="77777777" w:rsidR="002D0AB8" w:rsidRPr="00884C9A" w:rsidRDefault="002D0AB8" w:rsidP="002D0AB8">
            <w:pPr>
              <w:rPr>
                <w:noProof/>
              </w:rPr>
            </w:pPr>
            <w:r>
              <w:rPr>
                <w:noProof/>
              </w:rPr>
              <w:t>Number of organisations holding a quality label</w:t>
            </w:r>
          </w:p>
        </w:tc>
        <w:tc>
          <w:tcPr>
            <w:tcW w:w="1100" w:type="dxa"/>
          </w:tcPr>
          <w:p w14:paraId="7E402AA0" w14:textId="0426F220" w:rsidR="002D0AB8" w:rsidRPr="00884C9A" w:rsidRDefault="002D0AB8" w:rsidP="002D0AB8">
            <w:pPr>
              <w:jc w:val="center"/>
              <w:rPr>
                <w:noProof/>
              </w:rPr>
            </w:pPr>
            <w:r>
              <w:rPr>
                <w:noProof/>
              </w:rPr>
              <w:t>0</w:t>
            </w:r>
          </w:p>
        </w:tc>
        <w:tc>
          <w:tcPr>
            <w:tcW w:w="1526" w:type="dxa"/>
          </w:tcPr>
          <w:p w14:paraId="7EB049BC" w14:textId="53F13AB6" w:rsidR="002D0AB8" w:rsidRPr="00724FDD" w:rsidRDefault="002D0AB8" w:rsidP="002D0AB8">
            <w:pPr>
              <w:jc w:val="center"/>
              <w:rPr>
                <w:b/>
                <w:noProof/>
              </w:rPr>
            </w:pPr>
          </w:p>
        </w:tc>
        <w:tc>
          <w:tcPr>
            <w:tcW w:w="1532" w:type="dxa"/>
          </w:tcPr>
          <w:p w14:paraId="4C09BD30" w14:textId="33A87986" w:rsidR="002D0AB8" w:rsidRPr="00884C9A" w:rsidRDefault="002D0AB8" w:rsidP="002D0AB8">
            <w:pPr>
              <w:jc w:val="center"/>
              <w:rPr>
                <w:noProof/>
              </w:rPr>
            </w:pPr>
            <w:r>
              <w:rPr>
                <w:noProof/>
              </w:rPr>
              <w:t>21 000 in 2027</w:t>
            </w:r>
          </w:p>
        </w:tc>
        <w:tc>
          <w:tcPr>
            <w:tcW w:w="1572" w:type="dxa"/>
          </w:tcPr>
          <w:p w14:paraId="2CABB913" w14:textId="686638EC" w:rsidR="002D0AB8" w:rsidRPr="00884C9A" w:rsidRDefault="002D0AB8" w:rsidP="002D0AB8">
            <w:pPr>
              <w:jc w:val="center"/>
              <w:rPr>
                <w:noProof/>
              </w:rPr>
            </w:pPr>
            <w:r w:rsidRPr="007A1621">
              <w:rPr>
                <w:noProof/>
              </w:rPr>
              <w:t>No results</w:t>
            </w:r>
          </w:p>
        </w:tc>
        <w:tc>
          <w:tcPr>
            <w:tcW w:w="1579" w:type="dxa"/>
          </w:tcPr>
          <w:p w14:paraId="52E7D130" w14:textId="34A2A9A6" w:rsidR="002D0AB8" w:rsidRPr="00884C9A" w:rsidRDefault="002D0AB8" w:rsidP="002D0AB8">
            <w:pPr>
              <w:jc w:val="center"/>
              <w:rPr>
                <w:noProof/>
              </w:rPr>
            </w:pPr>
            <w:r w:rsidRPr="007471A2">
              <w:rPr>
                <w:noProof/>
              </w:rPr>
              <w:t>No data</w:t>
            </w:r>
          </w:p>
        </w:tc>
      </w:tr>
      <w:tr w:rsidR="002D0AB8" w:rsidRPr="00AC11E4" w14:paraId="19860BAA" w14:textId="77777777" w:rsidTr="00B202C2">
        <w:trPr>
          <w:cnfStyle w:val="000000100000" w:firstRow="0" w:lastRow="0" w:firstColumn="0" w:lastColumn="0" w:oddVBand="0" w:evenVBand="0" w:oddHBand="1" w:evenHBand="0" w:firstRowFirstColumn="0" w:firstRowLastColumn="0" w:lastRowFirstColumn="0" w:lastRowLastColumn="0"/>
        </w:trPr>
        <w:tc>
          <w:tcPr>
            <w:tcW w:w="2330" w:type="dxa"/>
          </w:tcPr>
          <w:p w14:paraId="17F845F7" w14:textId="77777777" w:rsidR="002D0AB8" w:rsidRPr="00884C9A" w:rsidRDefault="002D0AB8" w:rsidP="002D0AB8">
            <w:pPr>
              <w:rPr>
                <w:noProof/>
              </w:rPr>
            </w:pPr>
            <w:r>
              <w:rPr>
                <w:noProof/>
              </w:rPr>
              <w:t>Share of participants with fewer opportunities</w:t>
            </w:r>
          </w:p>
        </w:tc>
        <w:tc>
          <w:tcPr>
            <w:tcW w:w="1100" w:type="dxa"/>
          </w:tcPr>
          <w:p w14:paraId="2AA0E548" w14:textId="68A2C6B6" w:rsidR="002D0AB8" w:rsidRPr="00884C9A" w:rsidRDefault="002D0AB8" w:rsidP="002D0AB8">
            <w:pPr>
              <w:jc w:val="center"/>
              <w:rPr>
                <w:noProof/>
              </w:rPr>
            </w:pPr>
            <w:r>
              <w:rPr>
                <w:noProof/>
              </w:rPr>
              <w:t>0%</w:t>
            </w:r>
          </w:p>
        </w:tc>
        <w:tc>
          <w:tcPr>
            <w:tcW w:w="1526" w:type="dxa"/>
          </w:tcPr>
          <w:p w14:paraId="7988B8BE" w14:textId="5F531F11" w:rsidR="002D0AB8" w:rsidRPr="00724FDD" w:rsidRDefault="002D0AB8" w:rsidP="002D0AB8">
            <w:pPr>
              <w:jc w:val="center"/>
              <w:rPr>
                <w:b/>
                <w:noProof/>
              </w:rPr>
            </w:pPr>
          </w:p>
        </w:tc>
        <w:tc>
          <w:tcPr>
            <w:tcW w:w="1532" w:type="dxa"/>
          </w:tcPr>
          <w:p w14:paraId="0D245D11" w14:textId="5DDE891E" w:rsidR="002D0AB8" w:rsidRPr="00884C9A" w:rsidRDefault="002D0AB8" w:rsidP="002D0AB8">
            <w:pPr>
              <w:jc w:val="center"/>
              <w:rPr>
                <w:noProof/>
              </w:rPr>
            </w:pPr>
            <w:r>
              <w:rPr>
                <w:noProof/>
              </w:rPr>
              <w:t>30% annually from 2022</w:t>
            </w:r>
          </w:p>
        </w:tc>
        <w:tc>
          <w:tcPr>
            <w:tcW w:w="1572" w:type="dxa"/>
          </w:tcPr>
          <w:p w14:paraId="47131B62" w14:textId="136AE809" w:rsidR="002D0AB8" w:rsidRPr="00884C9A" w:rsidRDefault="002D0AB8" w:rsidP="002D0AB8">
            <w:pPr>
              <w:jc w:val="center"/>
              <w:rPr>
                <w:noProof/>
              </w:rPr>
            </w:pPr>
            <w:r w:rsidRPr="007A1621">
              <w:rPr>
                <w:noProof/>
              </w:rPr>
              <w:t>No results</w:t>
            </w:r>
          </w:p>
        </w:tc>
        <w:tc>
          <w:tcPr>
            <w:tcW w:w="1579" w:type="dxa"/>
          </w:tcPr>
          <w:p w14:paraId="430E6002" w14:textId="07546F20" w:rsidR="002D0AB8" w:rsidRPr="00884C9A" w:rsidRDefault="002D0AB8" w:rsidP="002D0AB8">
            <w:pPr>
              <w:jc w:val="center"/>
              <w:rPr>
                <w:noProof/>
              </w:rPr>
            </w:pPr>
            <w:r w:rsidRPr="007471A2">
              <w:rPr>
                <w:noProof/>
              </w:rPr>
              <w:t>No data</w:t>
            </w:r>
          </w:p>
        </w:tc>
      </w:tr>
      <w:tr w:rsidR="002D0AB8" w:rsidRPr="00AC11E4" w14:paraId="3F9F6526" w14:textId="77777777" w:rsidTr="00B202C2">
        <w:trPr>
          <w:cnfStyle w:val="000000010000" w:firstRow="0" w:lastRow="0" w:firstColumn="0" w:lastColumn="0" w:oddVBand="0" w:evenVBand="0" w:oddHBand="0" w:evenHBand="1" w:firstRowFirstColumn="0" w:firstRowLastColumn="0" w:lastRowFirstColumn="0" w:lastRowLastColumn="0"/>
        </w:trPr>
        <w:tc>
          <w:tcPr>
            <w:tcW w:w="2330" w:type="dxa"/>
          </w:tcPr>
          <w:p w14:paraId="467A318E" w14:textId="77777777" w:rsidR="002D0AB8" w:rsidRPr="00724FDD" w:rsidRDefault="002D0AB8" w:rsidP="002D0AB8">
            <w:pPr>
              <w:rPr>
                <w:noProof/>
              </w:rPr>
            </w:pPr>
            <w:r>
              <w:rPr>
                <w:noProof/>
                <w:lang w:eastAsia="en-IE"/>
              </w:rPr>
              <w:t>Share of activities that address climate objectives</w:t>
            </w:r>
          </w:p>
        </w:tc>
        <w:tc>
          <w:tcPr>
            <w:tcW w:w="1100" w:type="dxa"/>
          </w:tcPr>
          <w:p w14:paraId="58CBE249" w14:textId="7C83137E" w:rsidR="002D0AB8" w:rsidRPr="00884C9A" w:rsidRDefault="002D0AB8" w:rsidP="002D0AB8">
            <w:pPr>
              <w:jc w:val="center"/>
              <w:rPr>
                <w:noProof/>
              </w:rPr>
            </w:pPr>
            <w:r>
              <w:rPr>
                <w:noProof/>
              </w:rPr>
              <w:t>0%</w:t>
            </w:r>
          </w:p>
        </w:tc>
        <w:tc>
          <w:tcPr>
            <w:tcW w:w="1526" w:type="dxa"/>
          </w:tcPr>
          <w:p w14:paraId="20B4F239" w14:textId="4D37C789" w:rsidR="002D0AB8" w:rsidRPr="00724FDD" w:rsidRDefault="002D0AB8" w:rsidP="002D0AB8">
            <w:pPr>
              <w:jc w:val="center"/>
              <w:rPr>
                <w:b/>
                <w:noProof/>
              </w:rPr>
            </w:pPr>
          </w:p>
        </w:tc>
        <w:tc>
          <w:tcPr>
            <w:tcW w:w="1532" w:type="dxa"/>
          </w:tcPr>
          <w:p w14:paraId="58BD372B" w14:textId="549A63F5" w:rsidR="002D0AB8" w:rsidRPr="00884C9A" w:rsidRDefault="002D0AB8" w:rsidP="002D0AB8">
            <w:pPr>
              <w:jc w:val="center"/>
              <w:rPr>
                <w:noProof/>
              </w:rPr>
            </w:pPr>
            <w:r>
              <w:rPr>
                <w:noProof/>
              </w:rPr>
              <w:t>15% annually from 2026</w:t>
            </w:r>
          </w:p>
        </w:tc>
        <w:tc>
          <w:tcPr>
            <w:tcW w:w="1572" w:type="dxa"/>
          </w:tcPr>
          <w:p w14:paraId="6DFA4AE1" w14:textId="6FEEB359" w:rsidR="002D0AB8" w:rsidRPr="00884C9A" w:rsidRDefault="002D0AB8" w:rsidP="002D0AB8">
            <w:pPr>
              <w:tabs>
                <w:tab w:val="left" w:pos="486"/>
                <w:tab w:val="center" w:pos="678"/>
              </w:tabs>
              <w:jc w:val="center"/>
              <w:rPr>
                <w:noProof/>
              </w:rPr>
            </w:pPr>
            <w:r w:rsidRPr="007A1621">
              <w:rPr>
                <w:noProof/>
              </w:rPr>
              <w:t>No results</w:t>
            </w:r>
          </w:p>
        </w:tc>
        <w:tc>
          <w:tcPr>
            <w:tcW w:w="1579" w:type="dxa"/>
          </w:tcPr>
          <w:p w14:paraId="361786E9" w14:textId="336362B5" w:rsidR="002D0AB8" w:rsidRPr="00884C9A" w:rsidRDefault="002D0AB8" w:rsidP="002D0AB8">
            <w:pPr>
              <w:jc w:val="center"/>
              <w:rPr>
                <w:noProof/>
              </w:rPr>
            </w:pPr>
            <w:r w:rsidRPr="007471A2">
              <w:rPr>
                <w:noProof/>
              </w:rPr>
              <w:t>No data</w:t>
            </w:r>
          </w:p>
        </w:tc>
      </w:tr>
    </w:tbl>
    <w:p w14:paraId="2902BB5E" w14:textId="37C5209C" w:rsidR="00FD6362" w:rsidRPr="000D0ED7" w:rsidRDefault="00FD6362" w:rsidP="00FD6362">
      <w:pPr>
        <w:pStyle w:val="FootnoteText"/>
        <w:rPr>
          <w:noProof/>
          <w:lang w:val="en-IE"/>
        </w:rPr>
      </w:pPr>
      <w:r>
        <w:rPr>
          <w:noProof/>
          <w:lang w:val="en-IE"/>
        </w:rPr>
        <w:t xml:space="preserve">(*) </w:t>
      </w:r>
      <w:r w:rsidRPr="000D0ED7">
        <w:rPr>
          <w:noProof/>
          <w:lang w:val="en-IE"/>
        </w:rPr>
        <w:t>% of target achieved by the end of 2021.</w:t>
      </w:r>
    </w:p>
    <w:p w14:paraId="0C0B1088" w14:textId="77777777" w:rsidR="00FD6362" w:rsidRPr="00304A2B" w:rsidRDefault="00FD6362" w:rsidP="00304A2B">
      <w:pPr>
        <w:pStyle w:val="ppoListHyphened-L1"/>
        <w:numPr>
          <w:ilvl w:val="0"/>
          <w:numId w:val="0"/>
        </w:numPr>
        <w:spacing w:after="0"/>
        <w:ind w:left="357" w:hanging="357"/>
        <w:jc w:val="both"/>
        <w:rPr>
          <w:rFonts w:ascii="Times New Roman" w:hAnsi="Times New Roman" w:cs="Times New Roman"/>
          <w:b/>
          <w:noProof/>
          <w:sz w:val="20"/>
          <w:szCs w:val="20"/>
          <w:u w:val="single"/>
          <w:lang w:val="en-IE"/>
        </w:rPr>
      </w:pPr>
    </w:p>
    <w:p w14:paraId="60F827BD" w14:textId="510D733F" w:rsidR="00FB2994" w:rsidRPr="00A84865" w:rsidRDefault="00FB2994" w:rsidP="00FB2994">
      <w:pPr>
        <w:pStyle w:val="ppoListHyphened-L1"/>
        <w:spacing w:after="0"/>
        <w:jc w:val="both"/>
        <w:rPr>
          <w:rFonts w:ascii="Times New Roman" w:hAnsi="Times New Roman" w:cs="Times New Roman"/>
          <w:b/>
          <w:noProof/>
          <w:sz w:val="20"/>
          <w:szCs w:val="20"/>
          <w:u w:val="single"/>
        </w:rPr>
      </w:pPr>
      <w:r>
        <w:rPr>
          <w:noProof/>
        </w:rPr>
        <w:t>The late adoption of the programme’s legal basis delayed the publication of the 2021 call and consequently the selection of the related proposals. As a result, projects were awarded and contracted later than in a usual year. At the time of the publication of this document, it is too early to report on the performance of the 2021-2027 programme.</w:t>
      </w:r>
    </w:p>
    <w:p w14:paraId="2B195BB2" w14:textId="77777777" w:rsidR="00FB2994" w:rsidRPr="00A84865" w:rsidRDefault="00FB2994" w:rsidP="00FB2994">
      <w:pPr>
        <w:pStyle w:val="ppoListHyphened-L1"/>
        <w:spacing w:after="0"/>
        <w:jc w:val="both"/>
        <w:rPr>
          <w:noProof/>
        </w:rPr>
      </w:pPr>
      <w:r w:rsidRPr="00A84865">
        <w:rPr>
          <w:noProof/>
        </w:rPr>
        <w:t>Building on past experience, the programme implementation scheme is evolving to become more efficient and address issues n</w:t>
      </w:r>
      <w:r>
        <w:rPr>
          <w:noProof/>
        </w:rPr>
        <w:t>oticed in the previous multiannual financial framework. In 2021</w:t>
      </w:r>
      <w:r w:rsidRPr="00A84865">
        <w:rPr>
          <w:noProof/>
        </w:rPr>
        <w:t>, a specific priority</w:t>
      </w:r>
      <w:r>
        <w:rPr>
          <w:noProof/>
        </w:rPr>
        <w:t>,</w:t>
      </w:r>
      <w:r w:rsidRPr="00A84865">
        <w:rPr>
          <w:noProof/>
        </w:rPr>
        <w:t xml:space="preserve"> ‘Prevention, promotion and support in the field of health’</w:t>
      </w:r>
      <w:r>
        <w:rPr>
          <w:noProof/>
        </w:rPr>
        <w:t>,</w:t>
      </w:r>
      <w:r w:rsidRPr="00A84865">
        <w:rPr>
          <w:noProof/>
        </w:rPr>
        <w:t xml:space="preserve"> was added to mobilise volunteers in addressing the impact of the pandemic and </w:t>
      </w:r>
      <w:r>
        <w:rPr>
          <w:noProof/>
        </w:rPr>
        <w:t xml:space="preserve">the </w:t>
      </w:r>
      <w:r w:rsidRPr="00A84865">
        <w:rPr>
          <w:noProof/>
        </w:rPr>
        <w:t>recovery.</w:t>
      </w:r>
    </w:p>
    <w:p w14:paraId="06DF93EF" w14:textId="77777777" w:rsidR="00FB2994" w:rsidRDefault="00FB2994" w:rsidP="00FB2994">
      <w:pPr>
        <w:pStyle w:val="ppoListHyphened-L1"/>
        <w:spacing w:after="0"/>
        <w:jc w:val="both"/>
        <w:rPr>
          <w:noProof/>
        </w:rPr>
      </w:pPr>
      <w:r w:rsidRPr="00A84865">
        <w:rPr>
          <w:noProof/>
        </w:rPr>
        <w:t>The main novelty is the launch of the European Voluntary Humanitarian Aid Corps, a new</w:t>
      </w:r>
      <w:r>
        <w:rPr>
          <w:noProof/>
        </w:rPr>
        <w:t>,</w:t>
      </w:r>
      <w:r w:rsidRPr="00A84865">
        <w:rPr>
          <w:noProof/>
        </w:rPr>
        <w:t xml:space="preserve"> centralised action that will allow the deployment of young volunteers in </w:t>
      </w:r>
      <w:r>
        <w:rPr>
          <w:noProof/>
        </w:rPr>
        <w:t>non-EU</w:t>
      </w:r>
      <w:r w:rsidRPr="00A84865">
        <w:rPr>
          <w:noProof/>
        </w:rPr>
        <w:t xml:space="preserve"> countries. Following intense preparatory work in the 2021 </w:t>
      </w:r>
      <w:r>
        <w:rPr>
          <w:noProof/>
        </w:rPr>
        <w:t>a</w:t>
      </w:r>
      <w:r w:rsidRPr="00A84865">
        <w:rPr>
          <w:noProof/>
        </w:rPr>
        <w:t xml:space="preserve">nnual </w:t>
      </w:r>
      <w:r>
        <w:rPr>
          <w:noProof/>
        </w:rPr>
        <w:t>w</w:t>
      </w:r>
      <w:r w:rsidRPr="00A84865">
        <w:rPr>
          <w:noProof/>
        </w:rPr>
        <w:t xml:space="preserve">ork </w:t>
      </w:r>
      <w:r>
        <w:rPr>
          <w:noProof/>
        </w:rPr>
        <w:t>p</w:t>
      </w:r>
      <w:r w:rsidRPr="00A84865">
        <w:rPr>
          <w:noProof/>
        </w:rPr>
        <w:t xml:space="preserve">rogramme, the 2022 </w:t>
      </w:r>
      <w:r>
        <w:rPr>
          <w:noProof/>
        </w:rPr>
        <w:t xml:space="preserve">annual </w:t>
      </w:r>
      <w:r w:rsidRPr="00A84865">
        <w:rPr>
          <w:noProof/>
        </w:rPr>
        <w:t>work programme includes the first call for proposals</w:t>
      </w:r>
      <w:r>
        <w:rPr>
          <w:noProof/>
        </w:rPr>
        <w:t>,</w:t>
      </w:r>
      <w:r w:rsidRPr="00A84865">
        <w:rPr>
          <w:noProof/>
        </w:rPr>
        <w:t xml:space="preserve"> enabling organisations to request funding for their projects in the area of humanitarian aid.</w:t>
      </w:r>
    </w:p>
    <w:p w14:paraId="4A3AEA40" w14:textId="77777777" w:rsidR="00FB2994" w:rsidRPr="00A84865" w:rsidRDefault="00FB2994" w:rsidP="00FB2994">
      <w:pPr>
        <w:pStyle w:val="ppoListHyphened-L1"/>
        <w:jc w:val="both"/>
        <w:rPr>
          <w:noProof/>
        </w:rPr>
      </w:pPr>
      <w:r>
        <w:rPr>
          <w:noProof/>
        </w:rPr>
        <w:t>During the active programme,</w:t>
      </w:r>
      <w:r w:rsidRPr="005068B2">
        <w:rPr>
          <w:noProof/>
        </w:rPr>
        <w:t xml:space="preserve"> the European Voluntary Service and the European Solidarity Corps</w:t>
      </w:r>
      <w:r>
        <w:rPr>
          <w:noProof/>
        </w:rPr>
        <w:t xml:space="preserve"> were merged to provide better coherence in this field and address the deficiencies of the previous programmes. </w:t>
      </w:r>
      <w:r w:rsidRPr="0013247F">
        <w:rPr>
          <w:noProof/>
        </w:rPr>
        <w:t>With respect to the predecessor</w:t>
      </w:r>
      <w:r>
        <w:rPr>
          <w:noProof/>
        </w:rPr>
        <w:t xml:space="preserve">, corrective measures were put in place for the new humanitarian aid strand to prevent the low take-up experienced by the corresponding strand in the 2014-2020 multiannual financial framework, the </w:t>
      </w:r>
      <w:r w:rsidRPr="00DF267E">
        <w:rPr>
          <w:noProof/>
        </w:rPr>
        <w:t>EU Aid Volunteers initiative</w:t>
      </w:r>
      <w:r>
        <w:rPr>
          <w:noProof/>
        </w:rPr>
        <w:t>. Concerning training in particular, a new and much more effective training cycle was devised. A deeper integration with the features of other European Solidarity Corps strands was ensured. The deadline for the 2022 humanitarian aid applications is in May and further assessment will be available after that date.</w:t>
      </w:r>
    </w:p>
    <w:p w14:paraId="51397C74" w14:textId="77777777" w:rsidR="00FB2994" w:rsidRPr="00040D99" w:rsidRDefault="00FB2994" w:rsidP="00FB2994">
      <w:pPr>
        <w:pStyle w:val="ppoListHyphened-L1"/>
        <w:numPr>
          <w:ilvl w:val="0"/>
          <w:numId w:val="0"/>
        </w:numPr>
        <w:jc w:val="both"/>
        <w:rPr>
          <w:noProof/>
        </w:rPr>
      </w:pPr>
    </w:p>
    <w:p w14:paraId="25685ADD" w14:textId="77777777" w:rsidR="00FB2994" w:rsidRPr="00040D99" w:rsidRDefault="00FB2994" w:rsidP="00FB2994">
      <w:pPr>
        <w:spacing w:after="160" w:line="259" w:lineRule="auto"/>
        <w:rPr>
          <w:rFonts w:eastAsiaTheme="majorEastAsia" w:cstheme="majorBidi"/>
          <w:noProof/>
          <w:color w:val="016A13" w:themeColor="accent1" w:themeShade="BF"/>
          <w:sz w:val="48"/>
          <w:szCs w:val="32"/>
        </w:rPr>
      </w:pPr>
      <w:r w:rsidRPr="00040D99">
        <w:rPr>
          <w:noProof/>
        </w:rPr>
        <w:br w:type="page"/>
      </w:r>
    </w:p>
    <w:p w14:paraId="2F729944" w14:textId="77777777" w:rsidR="00FB2994" w:rsidRPr="00040D99" w:rsidRDefault="00FB2994" w:rsidP="00FB2994">
      <w:pPr>
        <w:pStyle w:val="ppoHeading4Green"/>
        <w:jc w:val="both"/>
        <w:rPr>
          <w:noProof/>
        </w:rPr>
      </w:pPr>
      <w:r w:rsidRPr="00040D99">
        <w:rPr>
          <w:noProof/>
        </w:rPr>
        <w:t>2014-2020</w:t>
      </w:r>
      <w:r>
        <w:rPr>
          <w:noProof/>
        </w:rPr>
        <w:t xml:space="preserve"> multiannual financial framework</w:t>
      </w:r>
      <w:r>
        <w:rPr>
          <w:rFonts w:ascii="Calibri" w:hAnsi="Calibri" w:cs="Calibri"/>
          <w:noProof/>
        </w:rPr>
        <w:t> </w:t>
      </w:r>
      <w:r w:rsidRPr="00040D99">
        <w:rPr>
          <w:noProof/>
        </w:rPr>
        <w:t xml:space="preserve">– </w:t>
      </w:r>
      <w:r>
        <w:rPr>
          <w:noProof/>
        </w:rPr>
        <w:t>European Solidarity Corps</w:t>
      </w:r>
    </w:p>
    <w:p w14:paraId="5A6E9C65" w14:textId="77777777" w:rsidR="00FB2994" w:rsidRPr="00040D99" w:rsidRDefault="00FB2994" w:rsidP="00FB2994">
      <w:pPr>
        <w:rPr>
          <w:rFonts w:eastAsiaTheme="minorEastAsia"/>
          <w:noProof/>
        </w:rPr>
      </w:pPr>
      <w:r>
        <w:rPr>
          <w:rFonts w:eastAsiaTheme="minorEastAsia"/>
          <w:noProof/>
        </w:rPr>
        <w:t>The former European Solidarity Corps was a programme aimed at giving</w:t>
      </w:r>
      <w:r>
        <w:rPr>
          <w:noProof/>
        </w:rPr>
        <w:t xml:space="preserve"> young people the chance to take part in a range of solidarity activities that address challenging situations across the EU, such as rebuilding communities following natural disasters and addressing social issues such as social exclusion, poverty and health, and demographic challenges. The European Solidarity Corps supported volunteering, traineeships and job placements in a wide range of sectors engaged in solidarity and provided young people with opportunities to set up their own solidarity projects or volunteer as a group.</w:t>
      </w:r>
    </w:p>
    <w:p w14:paraId="6072AE99" w14:textId="77777777" w:rsidR="00FB2994" w:rsidRPr="00040D99" w:rsidRDefault="00FB2994" w:rsidP="00FB2994">
      <w:pPr>
        <w:pStyle w:val="ppoHeading5"/>
        <w:jc w:val="both"/>
        <w:rPr>
          <w:noProof/>
        </w:rPr>
      </w:pPr>
      <w:r w:rsidRPr="00040D99">
        <w:rPr>
          <w:noProof/>
        </w:rPr>
        <w:t>Budget</w:t>
      </w:r>
    </w:p>
    <w:p w14:paraId="2AA1109B" w14:textId="77777777" w:rsidR="00FB2994" w:rsidRPr="00040D99" w:rsidRDefault="00FB2994" w:rsidP="00FB2994">
      <w:pPr>
        <w:pStyle w:val="ppoTableTabletitle"/>
        <w:jc w:val="both"/>
        <w:rPr>
          <w:noProof/>
        </w:rPr>
      </w:pPr>
      <w:r w:rsidRPr="00040D99">
        <w:rPr>
          <w:noProof/>
        </w:rPr>
        <w:t>Cumulative implementation rate at the end of 2021</w:t>
      </w:r>
      <w:r>
        <w:rPr>
          <w:noProof/>
        </w:rPr>
        <w:t xml:space="preserve"> (million</w:t>
      </w:r>
      <w:r w:rsidRPr="00EB4E3B">
        <w:rPr>
          <w:noProof/>
        </w:rPr>
        <w:t xml:space="preserve"> </w:t>
      </w:r>
      <w:r>
        <w:rPr>
          <w:noProof/>
        </w:rPr>
        <w:t>EUR):</w:t>
      </w:r>
    </w:p>
    <w:tbl>
      <w:tblPr>
        <w:tblStyle w:val="PPO2021"/>
        <w:tblW w:w="9639" w:type="dxa"/>
        <w:tblInd w:w="0" w:type="dxa"/>
        <w:tblLook w:val="06A0" w:firstRow="1" w:lastRow="0" w:firstColumn="1" w:lastColumn="0" w:noHBand="1" w:noVBand="1"/>
      </w:tblPr>
      <w:tblGrid>
        <w:gridCol w:w="2409"/>
        <w:gridCol w:w="2410"/>
        <w:gridCol w:w="2410"/>
        <w:gridCol w:w="2410"/>
      </w:tblGrid>
      <w:tr w:rsidR="00FB2994" w:rsidRPr="00040D99" w14:paraId="2237F281" w14:textId="77777777" w:rsidTr="00B20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0006C8CE" w14:textId="77777777" w:rsidR="00FB2994" w:rsidRPr="00724FDD" w:rsidRDefault="00FB2994" w:rsidP="00B202C2">
            <w:pPr>
              <w:rPr>
                <w:noProof/>
              </w:rPr>
            </w:pPr>
          </w:p>
        </w:tc>
        <w:tc>
          <w:tcPr>
            <w:tcW w:w="2410" w:type="dxa"/>
          </w:tcPr>
          <w:p w14:paraId="1F5226AF" w14:textId="77777777" w:rsidR="00FB2994" w:rsidRPr="00724FDD" w:rsidRDefault="00FB2994" w:rsidP="00B202C2">
            <w:pPr>
              <w:cnfStyle w:val="100000000000" w:firstRow="1" w:lastRow="0" w:firstColumn="0" w:lastColumn="0" w:oddVBand="0" w:evenVBand="0" w:oddHBand="0" w:evenHBand="0" w:firstRowFirstColumn="0" w:firstRowLastColumn="0" w:lastRowFirstColumn="0" w:lastRowLastColumn="0"/>
              <w:rPr>
                <w:noProof/>
              </w:rPr>
            </w:pPr>
            <w:r w:rsidRPr="00724FDD">
              <w:rPr>
                <w:noProof/>
              </w:rPr>
              <w:t>Implementation</w:t>
            </w:r>
          </w:p>
        </w:tc>
        <w:tc>
          <w:tcPr>
            <w:tcW w:w="2410" w:type="dxa"/>
          </w:tcPr>
          <w:p w14:paraId="2DA2C29F" w14:textId="74002195" w:rsidR="00FB2994" w:rsidRPr="00724FDD" w:rsidRDefault="00A84801" w:rsidP="00B202C2">
            <w:pPr>
              <w:cnfStyle w:val="100000000000" w:firstRow="1" w:lastRow="0" w:firstColumn="0" w:lastColumn="0" w:oddVBand="0" w:evenVBand="0" w:oddHBand="0" w:evenHBand="0" w:firstRowFirstColumn="0" w:firstRowLastColumn="0" w:lastRowFirstColumn="0" w:lastRowLastColumn="0"/>
              <w:rPr>
                <w:noProof/>
              </w:rPr>
            </w:pPr>
            <w:r>
              <w:rPr>
                <w:noProof/>
                <w:lang w:val="en-IE"/>
              </w:rPr>
              <w:t xml:space="preserve">2014-2020 </w:t>
            </w:r>
            <w:r w:rsidR="00FB2994" w:rsidRPr="00724FDD">
              <w:rPr>
                <w:noProof/>
              </w:rPr>
              <w:t>Budget</w:t>
            </w:r>
          </w:p>
        </w:tc>
        <w:tc>
          <w:tcPr>
            <w:tcW w:w="2410" w:type="dxa"/>
          </w:tcPr>
          <w:p w14:paraId="581113F8" w14:textId="77777777" w:rsidR="00FB2994" w:rsidRPr="00724FDD" w:rsidRDefault="00FB2994" w:rsidP="00B202C2">
            <w:pPr>
              <w:cnfStyle w:val="100000000000" w:firstRow="1" w:lastRow="0" w:firstColumn="0" w:lastColumn="0" w:oddVBand="0" w:evenVBand="0" w:oddHBand="0" w:evenHBand="0" w:firstRowFirstColumn="0" w:firstRowLastColumn="0" w:lastRowFirstColumn="0" w:lastRowLastColumn="0"/>
              <w:rPr>
                <w:noProof/>
              </w:rPr>
            </w:pPr>
            <w:r w:rsidRPr="00724FDD">
              <w:rPr>
                <w:noProof/>
              </w:rPr>
              <w:t>Implementation rate</w:t>
            </w:r>
          </w:p>
        </w:tc>
      </w:tr>
      <w:tr w:rsidR="00FB2994" w:rsidRPr="00040D99" w14:paraId="22913745"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575EF76F" w14:textId="77777777" w:rsidR="00FB2994" w:rsidRPr="00724FDD" w:rsidRDefault="00FB2994" w:rsidP="00B202C2">
            <w:pPr>
              <w:rPr>
                <w:noProof/>
              </w:rPr>
            </w:pPr>
            <w:r w:rsidRPr="00724FDD">
              <w:rPr>
                <w:noProof/>
              </w:rPr>
              <w:t>Commitment</w:t>
            </w:r>
            <w:r>
              <w:rPr>
                <w:noProof/>
              </w:rPr>
              <w:t>s</w:t>
            </w:r>
          </w:p>
        </w:tc>
        <w:tc>
          <w:tcPr>
            <w:tcW w:w="2410" w:type="dxa"/>
          </w:tcPr>
          <w:tbl>
            <w:tblPr>
              <w:tblStyle w:val="TableGrid"/>
              <w:tblW w:w="0" w:type="auto"/>
              <w:tblLook w:val="06A0" w:firstRow="1" w:lastRow="0" w:firstColumn="1" w:lastColumn="0" w:noHBand="1" w:noVBand="1"/>
            </w:tblPr>
            <w:tblGrid>
              <w:gridCol w:w="2194"/>
            </w:tblGrid>
            <w:tr w:rsidR="00FB2994" w14:paraId="54E82EBF" w14:textId="77777777" w:rsidTr="00B202C2">
              <w:trPr>
                <w:trHeight w:val="285"/>
              </w:trPr>
              <w:tc>
                <w:tcPr>
                  <w:tcW w:w="2290" w:type="dxa"/>
                  <w:tcBorders>
                    <w:top w:val="nil"/>
                    <w:left w:val="nil"/>
                    <w:bottom w:val="nil"/>
                    <w:right w:val="nil"/>
                  </w:tcBorders>
                  <w:vAlign w:val="bottom"/>
                </w:tcPr>
                <w:p w14:paraId="71473C7B" w14:textId="77777777" w:rsidR="00FB2994" w:rsidRDefault="00FB2994" w:rsidP="00B202C2">
                  <w:pPr>
                    <w:spacing w:before="100" w:after="100"/>
                    <w:rPr>
                      <w:noProof/>
                    </w:rPr>
                  </w:pPr>
                  <w:r w:rsidRPr="00772CFE">
                    <w:rPr>
                      <w:noProof/>
                    </w:rPr>
                    <w:t>352.0</w:t>
                  </w:r>
                </w:p>
              </w:tc>
            </w:tr>
          </w:tbl>
          <w:p w14:paraId="6A563D29" w14:textId="77777777" w:rsidR="00FB2994" w:rsidRPr="00724FDD" w:rsidRDefault="00FB2994" w:rsidP="00B202C2">
            <w:pP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FB2994" w14:paraId="71CC6313" w14:textId="77777777" w:rsidTr="00B202C2">
              <w:trPr>
                <w:trHeight w:val="285"/>
              </w:trPr>
              <w:tc>
                <w:tcPr>
                  <w:tcW w:w="2290" w:type="dxa"/>
                  <w:tcBorders>
                    <w:top w:val="nil"/>
                    <w:left w:val="nil"/>
                    <w:bottom w:val="nil"/>
                    <w:right w:val="nil"/>
                  </w:tcBorders>
                  <w:vAlign w:val="bottom"/>
                </w:tcPr>
                <w:p w14:paraId="09753DB1" w14:textId="77777777" w:rsidR="00FB2994" w:rsidRDefault="00FB2994" w:rsidP="00B202C2">
                  <w:pPr>
                    <w:spacing w:before="100" w:after="100"/>
                    <w:rPr>
                      <w:noProof/>
                    </w:rPr>
                  </w:pPr>
                  <w:r w:rsidRPr="00772CFE">
                    <w:rPr>
                      <w:noProof/>
                    </w:rPr>
                    <w:t>352.2</w:t>
                  </w:r>
                </w:p>
              </w:tc>
            </w:tr>
          </w:tbl>
          <w:p w14:paraId="4901BD73" w14:textId="77777777" w:rsidR="00FB2994" w:rsidRPr="00724FDD" w:rsidRDefault="00FB2994" w:rsidP="00B202C2">
            <w:pP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FB2994" w14:paraId="0792A20B" w14:textId="77777777" w:rsidTr="00B202C2">
              <w:trPr>
                <w:trHeight w:val="285"/>
              </w:trPr>
              <w:tc>
                <w:tcPr>
                  <w:tcW w:w="2290" w:type="dxa"/>
                  <w:tcBorders>
                    <w:top w:val="nil"/>
                    <w:left w:val="nil"/>
                    <w:bottom w:val="nil"/>
                    <w:right w:val="nil"/>
                  </w:tcBorders>
                  <w:vAlign w:val="bottom"/>
                </w:tcPr>
                <w:p w14:paraId="62CDADD5" w14:textId="77777777" w:rsidR="00FB2994" w:rsidRDefault="00FB2994" w:rsidP="00B202C2">
                  <w:pPr>
                    <w:spacing w:before="100" w:after="100"/>
                    <w:rPr>
                      <w:noProof/>
                    </w:rPr>
                  </w:pPr>
                  <w:r w:rsidRPr="00772CFE">
                    <w:rPr>
                      <w:noProof/>
                    </w:rPr>
                    <w:t>100%</w:t>
                  </w:r>
                </w:p>
              </w:tc>
            </w:tr>
          </w:tbl>
          <w:p w14:paraId="1F5F356C" w14:textId="77777777" w:rsidR="00FB2994" w:rsidRPr="00724FDD" w:rsidRDefault="00FB2994" w:rsidP="00B202C2">
            <w:pPr>
              <w:cnfStyle w:val="000000000000" w:firstRow="0" w:lastRow="0" w:firstColumn="0" w:lastColumn="0" w:oddVBand="0" w:evenVBand="0" w:oddHBand="0" w:evenHBand="0" w:firstRowFirstColumn="0" w:firstRowLastColumn="0" w:lastRowFirstColumn="0" w:lastRowLastColumn="0"/>
              <w:rPr>
                <w:noProof/>
              </w:rPr>
            </w:pPr>
          </w:p>
        </w:tc>
      </w:tr>
      <w:tr w:rsidR="00FB2994" w:rsidRPr="00040D99" w14:paraId="229A4CA1"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38020D09" w14:textId="77777777" w:rsidR="00FB2994" w:rsidRPr="00724FDD" w:rsidRDefault="00FB2994" w:rsidP="00B202C2">
            <w:pPr>
              <w:rPr>
                <w:noProof/>
              </w:rPr>
            </w:pPr>
            <w:r w:rsidRPr="00724FDD">
              <w:rPr>
                <w:noProof/>
              </w:rPr>
              <w:t>Payments</w:t>
            </w:r>
          </w:p>
        </w:tc>
        <w:tc>
          <w:tcPr>
            <w:tcW w:w="2410" w:type="dxa"/>
          </w:tcPr>
          <w:tbl>
            <w:tblPr>
              <w:tblStyle w:val="TableGrid"/>
              <w:tblW w:w="0" w:type="auto"/>
              <w:tblLook w:val="06A0" w:firstRow="1" w:lastRow="0" w:firstColumn="1" w:lastColumn="0" w:noHBand="1" w:noVBand="1"/>
            </w:tblPr>
            <w:tblGrid>
              <w:gridCol w:w="2194"/>
            </w:tblGrid>
            <w:tr w:rsidR="00FB2994" w14:paraId="3AB8E314" w14:textId="77777777" w:rsidTr="00B202C2">
              <w:trPr>
                <w:trHeight w:val="285"/>
              </w:trPr>
              <w:tc>
                <w:tcPr>
                  <w:tcW w:w="2290" w:type="dxa"/>
                  <w:tcBorders>
                    <w:top w:val="nil"/>
                    <w:left w:val="nil"/>
                    <w:bottom w:val="nil"/>
                    <w:right w:val="nil"/>
                  </w:tcBorders>
                  <w:vAlign w:val="bottom"/>
                </w:tcPr>
                <w:p w14:paraId="41BAEA3C" w14:textId="77777777" w:rsidR="00FB2994" w:rsidRDefault="00FB2994" w:rsidP="00B202C2">
                  <w:pPr>
                    <w:spacing w:before="100" w:after="100"/>
                    <w:rPr>
                      <w:noProof/>
                    </w:rPr>
                  </w:pPr>
                  <w:r w:rsidRPr="00772CFE">
                    <w:rPr>
                      <w:noProof/>
                    </w:rPr>
                    <w:t>276.0</w:t>
                  </w:r>
                </w:p>
              </w:tc>
            </w:tr>
          </w:tbl>
          <w:p w14:paraId="61EC4397" w14:textId="77777777" w:rsidR="00FB2994" w:rsidRPr="00724FDD" w:rsidRDefault="00FB2994" w:rsidP="00B202C2">
            <w:pP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3FE9E314" w14:textId="77777777" w:rsidR="00FB2994" w:rsidRPr="00724FDD" w:rsidRDefault="00FB2994" w:rsidP="00B202C2">
            <w:pP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FB2994" w14:paraId="01D89245" w14:textId="77777777" w:rsidTr="00B202C2">
              <w:trPr>
                <w:trHeight w:val="285"/>
              </w:trPr>
              <w:tc>
                <w:tcPr>
                  <w:tcW w:w="2235" w:type="dxa"/>
                  <w:tcBorders>
                    <w:top w:val="nil"/>
                    <w:left w:val="nil"/>
                    <w:bottom w:val="nil"/>
                    <w:right w:val="nil"/>
                  </w:tcBorders>
                  <w:vAlign w:val="bottom"/>
                </w:tcPr>
                <w:p w14:paraId="0AB94D56" w14:textId="77777777" w:rsidR="00FB2994" w:rsidRDefault="00FB2994" w:rsidP="00B202C2">
                  <w:pPr>
                    <w:spacing w:before="100" w:after="100"/>
                    <w:rPr>
                      <w:noProof/>
                    </w:rPr>
                  </w:pPr>
                  <w:r w:rsidRPr="00772CFE">
                    <w:rPr>
                      <w:noProof/>
                    </w:rPr>
                    <w:t>78%</w:t>
                  </w:r>
                </w:p>
              </w:tc>
            </w:tr>
          </w:tbl>
          <w:p w14:paraId="6C70131E" w14:textId="77777777" w:rsidR="00FB2994" w:rsidRPr="00724FDD" w:rsidRDefault="00FB2994" w:rsidP="00B202C2">
            <w:pPr>
              <w:cnfStyle w:val="000000000000" w:firstRow="0" w:lastRow="0" w:firstColumn="0" w:lastColumn="0" w:oddVBand="0" w:evenVBand="0" w:oddHBand="0" w:evenHBand="0" w:firstRowFirstColumn="0" w:firstRowLastColumn="0" w:lastRowFirstColumn="0" w:lastRowLastColumn="0"/>
              <w:rPr>
                <w:noProof/>
              </w:rPr>
            </w:pPr>
          </w:p>
        </w:tc>
      </w:tr>
    </w:tbl>
    <w:p w14:paraId="147A8818" w14:textId="77777777" w:rsidR="00FB2994" w:rsidRDefault="00FB2994" w:rsidP="00FB2994">
      <w:pPr>
        <w:pStyle w:val="ppoListHyphened-L1"/>
        <w:spacing w:before="360"/>
        <w:jc w:val="both"/>
        <w:rPr>
          <w:noProof/>
        </w:rPr>
      </w:pPr>
      <w:r>
        <w:rPr>
          <w:noProof/>
        </w:rPr>
        <w:t>The European Solidarity Corps programme started in 2018 for a period of 3</w:t>
      </w:r>
      <w:r>
        <w:rPr>
          <w:rFonts w:ascii="Calibri" w:hAnsi="Calibri" w:cs="Calibri"/>
          <w:noProof/>
        </w:rPr>
        <w:t> </w:t>
      </w:r>
      <w:r>
        <w:rPr>
          <w:noProof/>
        </w:rPr>
        <w:t>years (2018-2020).</w:t>
      </w:r>
    </w:p>
    <w:p w14:paraId="3BC3BEC3" w14:textId="77777777" w:rsidR="00FB2994" w:rsidRDefault="00FB2994" w:rsidP="00FB2994">
      <w:pPr>
        <w:pStyle w:val="ppoListHyphened-L1"/>
        <w:jc w:val="both"/>
        <w:rPr>
          <w:noProof/>
        </w:rPr>
      </w:pPr>
      <w:r>
        <w:rPr>
          <w:noProof/>
        </w:rPr>
        <w:t>During the 2018-2020</w:t>
      </w:r>
      <w:r w:rsidRPr="00EB4E3B">
        <w:rPr>
          <w:noProof/>
        </w:rPr>
        <w:t xml:space="preserve"> </w:t>
      </w:r>
      <w:r>
        <w:rPr>
          <w:noProof/>
        </w:rPr>
        <w:t>period, its total budget was allocated at nearly 100%</w:t>
      </w:r>
      <w:r>
        <w:rPr>
          <w:rFonts w:ascii="Calibri" w:hAnsi="Calibri" w:cs="Calibri"/>
          <w:noProof/>
        </w:rPr>
        <w:t xml:space="preserve"> </w:t>
      </w:r>
      <w:r>
        <w:rPr>
          <w:noProof/>
        </w:rPr>
        <w:t>in terms of commitments and at about 78% in terms of payments.</w:t>
      </w:r>
    </w:p>
    <w:p w14:paraId="5F7A0199" w14:textId="77777777" w:rsidR="00FB2994" w:rsidRPr="00546ECA" w:rsidRDefault="00FB2994" w:rsidP="00FB2994">
      <w:pPr>
        <w:pStyle w:val="ppoListHyphened-L1"/>
        <w:jc w:val="both"/>
        <w:rPr>
          <w:noProof/>
        </w:rPr>
      </w:pPr>
      <w:r>
        <w:rPr>
          <w:noProof/>
        </w:rPr>
        <w:t xml:space="preserve">The late adoption of the regulation in October 2018 delayed the effective start of the programme and consequently the </w:t>
      </w:r>
      <w:r>
        <w:rPr>
          <w:noProof/>
          <w:lang w:val="en-IE"/>
        </w:rPr>
        <w:t>launch of the 2018 and 2019 calls for proposals. This slow take-off affected the implementation of the programme, which was spread over more years than initially planned, and the related payment consumption.</w:t>
      </w:r>
      <w:r w:rsidRPr="00772CFE">
        <w:rPr>
          <w:noProof/>
          <w:lang w:val="en-IE"/>
        </w:rPr>
        <w:t xml:space="preserve"> Moreover, the COVID</w:t>
      </w:r>
      <w:r>
        <w:rPr>
          <w:noProof/>
          <w:lang w:val="en-IE"/>
        </w:rPr>
        <w:noBreakHyphen/>
        <w:t>19</w:t>
      </w:r>
      <w:r w:rsidRPr="00772CFE">
        <w:rPr>
          <w:noProof/>
          <w:lang w:val="en-IE"/>
        </w:rPr>
        <w:t xml:space="preserve"> pandemic </w:t>
      </w:r>
      <w:r>
        <w:rPr>
          <w:noProof/>
          <w:lang w:val="en-IE"/>
        </w:rPr>
        <w:t>had an impact on</w:t>
      </w:r>
      <w:r w:rsidRPr="00772CFE">
        <w:rPr>
          <w:noProof/>
          <w:lang w:val="en-IE"/>
        </w:rPr>
        <w:t xml:space="preserve"> the solidarity activities </w:t>
      </w:r>
      <w:r>
        <w:rPr>
          <w:noProof/>
          <w:lang w:val="en-IE"/>
        </w:rPr>
        <w:t xml:space="preserve">in </w:t>
      </w:r>
      <w:r w:rsidRPr="00772CFE">
        <w:rPr>
          <w:noProof/>
          <w:lang w:val="en-IE"/>
        </w:rPr>
        <w:t xml:space="preserve">the last year of the programming period. </w:t>
      </w:r>
      <w:r>
        <w:rPr>
          <w:noProof/>
        </w:rPr>
        <w:t>Directorate-General for Education and Culture</w:t>
      </w:r>
      <w:r w:rsidRPr="00772CFE">
        <w:rPr>
          <w:noProof/>
          <w:lang w:val="en-IE"/>
        </w:rPr>
        <w:t xml:space="preserve"> granted extensions of the duration for ongoing projects</w:t>
      </w:r>
      <w:r>
        <w:rPr>
          <w:noProof/>
          <w:lang w:val="en-IE"/>
        </w:rPr>
        <w:t>,</w:t>
      </w:r>
      <w:r w:rsidRPr="00772CFE">
        <w:rPr>
          <w:noProof/>
          <w:lang w:val="en-IE"/>
        </w:rPr>
        <w:t xml:space="preserve"> which also</w:t>
      </w:r>
      <w:r>
        <w:rPr>
          <w:noProof/>
          <w:lang w:val="en-IE"/>
        </w:rPr>
        <w:t xml:space="preserve"> </w:t>
      </w:r>
      <w:r w:rsidRPr="00772CFE">
        <w:rPr>
          <w:noProof/>
          <w:lang w:val="en-IE"/>
        </w:rPr>
        <w:t xml:space="preserve">had </w:t>
      </w:r>
      <w:r>
        <w:rPr>
          <w:noProof/>
          <w:lang w:val="en-IE"/>
        </w:rPr>
        <w:t>the</w:t>
      </w:r>
      <w:r w:rsidRPr="00772CFE">
        <w:rPr>
          <w:noProof/>
          <w:lang w:val="en-IE"/>
        </w:rPr>
        <w:t xml:space="preserve"> technical effect of reducing</w:t>
      </w:r>
      <w:r>
        <w:rPr>
          <w:noProof/>
        </w:rPr>
        <w:t xml:space="preserve"> payments scheduled for 2021, moving them to 2022 and 2023. In some limited cases, the non-receipt of interim reports in time led to a reduced volume of payment appropriations consumed in 2021.</w:t>
      </w:r>
    </w:p>
    <w:p w14:paraId="669C44B7" w14:textId="77777777" w:rsidR="00FB2994" w:rsidRPr="00040D99" w:rsidRDefault="00FB2994" w:rsidP="00FB2994">
      <w:pPr>
        <w:pStyle w:val="ppoHeading5"/>
        <w:jc w:val="both"/>
        <w:rPr>
          <w:noProof/>
        </w:rPr>
      </w:pPr>
      <w:r w:rsidRPr="00040D99">
        <w:rPr>
          <w:noProof/>
        </w:rPr>
        <w:t>Performance assessment</w:t>
      </w:r>
    </w:p>
    <w:p w14:paraId="1404FD2B" w14:textId="77777777" w:rsidR="00FB2994" w:rsidRPr="00040D99" w:rsidRDefault="00FB2994" w:rsidP="00FB2994">
      <w:pPr>
        <w:pStyle w:val="ppoHeading6"/>
        <w:jc w:val="both"/>
        <w:rPr>
          <w:noProof/>
        </w:rPr>
      </w:pPr>
      <w:r w:rsidRPr="00040D99">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FB2994" w:rsidRPr="00040D99" w14:paraId="7D844F9D" w14:textId="77777777" w:rsidTr="00B202C2">
        <w:trPr>
          <w:cnfStyle w:val="100000000000" w:firstRow="1" w:lastRow="0" w:firstColumn="0" w:lastColumn="0" w:oddVBand="0" w:evenVBand="0" w:oddHBand="0" w:evenHBand="0" w:firstRowFirstColumn="0" w:firstRowLastColumn="0" w:lastRowFirstColumn="0" w:lastRowLastColumn="0"/>
        </w:trPr>
        <w:tc>
          <w:tcPr>
            <w:tcW w:w="2330" w:type="dxa"/>
          </w:tcPr>
          <w:p w14:paraId="1E71288D" w14:textId="77777777" w:rsidR="00FB2994" w:rsidRPr="00724FDD" w:rsidRDefault="00FB2994" w:rsidP="00B202C2">
            <w:pPr>
              <w:rPr>
                <w:noProof/>
              </w:rPr>
            </w:pPr>
          </w:p>
        </w:tc>
        <w:tc>
          <w:tcPr>
            <w:tcW w:w="1100" w:type="dxa"/>
          </w:tcPr>
          <w:p w14:paraId="762D5919" w14:textId="77777777" w:rsidR="00FB2994" w:rsidRPr="00724FDD" w:rsidRDefault="00FB2994" w:rsidP="00B202C2">
            <w:pPr>
              <w:rPr>
                <w:noProof/>
              </w:rPr>
            </w:pPr>
            <w:r w:rsidRPr="00724FDD">
              <w:rPr>
                <w:noProof/>
              </w:rPr>
              <w:t>Baseline</w:t>
            </w:r>
          </w:p>
        </w:tc>
        <w:tc>
          <w:tcPr>
            <w:tcW w:w="1526" w:type="dxa"/>
          </w:tcPr>
          <w:p w14:paraId="44C016E8" w14:textId="77777777" w:rsidR="00FB2994" w:rsidRPr="00724FDD" w:rsidRDefault="00FB2994" w:rsidP="00B202C2">
            <w:pPr>
              <w:rPr>
                <w:noProof/>
              </w:rPr>
            </w:pPr>
            <w:r w:rsidRPr="00724FDD">
              <w:rPr>
                <w:noProof/>
              </w:rPr>
              <w:t>Progress</w:t>
            </w:r>
            <w:r>
              <w:rPr>
                <w:rFonts w:ascii="Calibri" w:hAnsi="Calibri" w:cs="Calibri"/>
                <w:noProof/>
              </w:rPr>
              <w:t> </w:t>
            </w:r>
            <w:r>
              <w:rPr>
                <w:noProof/>
              </w:rPr>
              <w:t>(*)</w:t>
            </w:r>
          </w:p>
        </w:tc>
        <w:tc>
          <w:tcPr>
            <w:tcW w:w="1532" w:type="dxa"/>
          </w:tcPr>
          <w:p w14:paraId="183BA1D1" w14:textId="77777777" w:rsidR="00FB2994" w:rsidRPr="00724FDD" w:rsidRDefault="00FB2994" w:rsidP="00B202C2">
            <w:pPr>
              <w:rPr>
                <w:noProof/>
              </w:rPr>
            </w:pPr>
            <w:r w:rsidRPr="00724FDD">
              <w:rPr>
                <w:noProof/>
              </w:rPr>
              <w:t>Target</w:t>
            </w:r>
          </w:p>
        </w:tc>
        <w:tc>
          <w:tcPr>
            <w:tcW w:w="1572" w:type="dxa"/>
          </w:tcPr>
          <w:p w14:paraId="42BB991B" w14:textId="77777777" w:rsidR="00FB2994" w:rsidRPr="00BD539A" w:rsidRDefault="00FB2994" w:rsidP="00B202C2">
            <w:pPr>
              <w:rPr>
                <w:rFonts w:ascii="Calibri" w:hAnsi="Calibri" w:cs="Calibri"/>
                <w:noProof/>
              </w:rPr>
            </w:pPr>
            <w:r w:rsidRPr="00724FDD">
              <w:rPr>
                <w:noProof/>
              </w:rPr>
              <w:t>Results</w:t>
            </w:r>
          </w:p>
        </w:tc>
        <w:tc>
          <w:tcPr>
            <w:tcW w:w="1579" w:type="dxa"/>
          </w:tcPr>
          <w:p w14:paraId="31ED73E8" w14:textId="77777777" w:rsidR="00FB2994" w:rsidRPr="00724FDD" w:rsidRDefault="00FB2994" w:rsidP="00B202C2">
            <w:pPr>
              <w:rPr>
                <w:noProof/>
              </w:rPr>
            </w:pPr>
            <w:r w:rsidRPr="00724FDD">
              <w:rPr>
                <w:noProof/>
              </w:rPr>
              <w:t>Assessment</w:t>
            </w:r>
          </w:p>
        </w:tc>
      </w:tr>
      <w:tr w:rsidR="00FB2994" w:rsidRPr="00040D99" w14:paraId="29546FED" w14:textId="77777777" w:rsidTr="00B202C2">
        <w:trPr>
          <w:cnfStyle w:val="000000100000" w:firstRow="0" w:lastRow="0" w:firstColumn="0" w:lastColumn="0" w:oddVBand="0" w:evenVBand="0" w:oddHBand="1" w:evenHBand="0" w:firstRowFirstColumn="0" w:firstRowLastColumn="0" w:lastRowFirstColumn="0" w:lastRowLastColumn="0"/>
        </w:trPr>
        <w:tc>
          <w:tcPr>
            <w:tcW w:w="2330" w:type="dxa"/>
          </w:tcPr>
          <w:p w14:paraId="57EF2D0D" w14:textId="77777777" w:rsidR="00FB2994" w:rsidRPr="00724FDD" w:rsidRDefault="00FB2994" w:rsidP="00B202C2">
            <w:pPr>
              <w:rPr>
                <w:noProof/>
              </w:rPr>
            </w:pPr>
            <w:r>
              <w:rPr>
                <w:noProof/>
              </w:rPr>
              <w:t>Participants in volunteering</w:t>
            </w:r>
          </w:p>
        </w:tc>
        <w:tc>
          <w:tcPr>
            <w:tcW w:w="1100" w:type="dxa"/>
          </w:tcPr>
          <w:p w14:paraId="0DA01EAC" w14:textId="77777777" w:rsidR="00FB2994" w:rsidRPr="00724FDD" w:rsidRDefault="00FB2994" w:rsidP="00B202C2">
            <w:pPr>
              <w:jc w:val="center"/>
              <w:rPr>
                <w:noProof/>
              </w:rPr>
            </w:pPr>
            <w:r>
              <w:rPr>
                <w:noProof/>
              </w:rPr>
              <w:t>0</w:t>
            </w:r>
          </w:p>
        </w:tc>
        <w:tc>
          <w:tcPr>
            <w:tcW w:w="1526" w:type="dxa"/>
          </w:tcPr>
          <w:p w14:paraId="52C562E2" w14:textId="77777777" w:rsidR="00FB2994" w:rsidRPr="00724FDD" w:rsidRDefault="00FB2994" w:rsidP="00B202C2">
            <w:pPr>
              <w:rPr>
                <w:b/>
                <w:noProof/>
              </w:rPr>
            </w:pPr>
            <w:r>
              <w:rPr>
                <w:noProof/>
              </w:rPr>
              <w:t>42%</w:t>
            </w:r>
          </w:p>
        </w:tc>
        <w:tc>
          <w:tcPr>
            <w:tcW w:w="1532" w:type="dxa"/>
          </w:tcPr>
          <w:p w14:paraId="796F4CFE" w14:textId="77777777" w:rsidR="00FB2994" w:rsidRPr="00724FDD" w:rsidRDefault="00FB2994" w:rsidP="00B202C2">
            <w:pPr>
              <w:rPr>
                <w:noProof/>
              </w:rPr>
            </w:pPr>
            <w:r>
              <w:rPr>
                <w:noProof/>
              </w:rPr>
              <w:t>61</w:t>
            </w:r>
            <w:r>
              <w:rPr>
                <w:rFonts w:ascii="Calibri" w:hAnsi="Calibri" w:cs="Calibri"/>
                <w:noProof/>
              </w:rPr>
              <w:t> </w:t>
            </w:r>
            <w:r>
              <w:rPr>
                <w:noProof/>
              </w:rPr>
              <w:t>900</w:t>
            </w:r>
          </w:p>
        </w:tc>
        <w:tc>
          <w:tcPr>
            <w:tcW w:w="1572" w:type="dxa"/>
          </w:tcPr>
          <w:p w14:paraId="3DE9A4C2" w14:textId="77777777" w:rsidR="00FB2994" w:rsidRPr="00724FDD" w:rsidRDefault="00FB2994" w:rsidP="00B202C2">
            <w:pPr>
              <w:rPr>
                <w:noProof/>
              </w:rPr>
            </w:pPr>
            <w:r>
              <w:rPr>
                <w:noProof/>
              </w:rPr>
              <w:t>25</w:t>
            </w:r>
            <w:r>
              <w:rPr>
                <w:rFonts w:ascii="Calibri" w:hAnsi="Calibri" w:cs="Calibri"/>
                <w:noProof/>
              </w:rPr>
              <w:t> </w:t>
            </w:r>
            <w:r>
              <w:rPr>
                <w:noProof/>
              </w:rPr>
              <w:t>911 out of 61</w:t>
            </w:r>
            <w:r>
              <w:rPr>
                <w:rFonts w:ascii="Calibri" w:hAnsi="Calibri" w:cs="Calibri"/>
                <w:noProof/>
              </w:rPr>
              <w:t> </w:t>
            </w:r>
            <w:r>
              <w:rPr>
                <w:noProof/>
              </w:rPr>
              <w:t>900 participants</w:t>
            </w:r>
          </w:p>
        </w:tc>
        <w:tc>
          <w:tcPr>
            <w:tcW w:w="1579" w:type="dxa"/>
          </w:tcPr>
          <w:p w14:paraId="47628350" w14:textId="77777777" w:rsidR="00FB2994" w:rsidRPr="00724FDD" w:rsidRDefault="00FB2994" w:rsidP="00B202C2">
            <w:pPr>
              <w:rPr>
                <w:noProof/>
              </w:rPr>
            </w:pPr>
            <w:r>
              <w:rPr>
                <w:noProof/>
              </w:rPr>
              <w:t>Deserves attention</w:t>
            </w:r>
          </w:p>
        </w:tc>
      </w:tr>
      <w:tr w:rsidR="00FB2994" w:rsidRPr="00040D99" w14:paraId="28EEB748" w14:textId="77777777" w:rsidTr="00B202C2">
        <w:trPr>
          <w:cnfStyle w:val="000000010000" w:firstRow="0" w:lastRow="0" w:firstColumn="0" w:lastColumn="0" w:oddVBand="0" w:evenVBand="0" w:oddHBand="0" w:evenHBand="1" w:firstRowFirstColumn="0" w:firstRowLastColumn="0" w:lastRowFirstColumn="0" w:lastRowLastColumn="0"/>
        </w:trPr>
        <w:tc>
          <w:tcPr>
            <w:tcW w:w="2330" w:type="dxa"/>
          </w:tcPr>
          <w:p w14:paraId="2756A51A" w14:textId="77777777" w:rsidR="00FB2994" w:rsidRPr="00724FDD" w:rsidRDefault="00FB2994" w:rsidP="00B202C2">
            <w:pPr>
              <w:rPr>
                <w:noProof/>
              </w:rPr>
            </w:pPr>
            <w:r>
              <w:rPr>
                <w:noProof/>
              </w:rPr>
              <w:t>Participants in traineeships and jobs</w:t>
            </w:r>
          </w:p>
        </w:tc>
        <w:tc>
          <w:tcPr>
            <w:tcW w:w="1100" w:type="dxa"/>
          </w:tcPr>
          <w:p w14:paraId="42088D4B" w14:textId="77777777" w:rsidR="00FB2994" w:rsidRPr="00724FDD" w:rsidRDefault="00FB2994" w:rsidP="00B202C2">
            <w:pPr>
              <w:jc w:val="center"/>
              <w:rPr>
                <w:noProof/>
              </w:rPr>
            </w:pPr>
            <w:r>
              <w:rPr>
                <w:noProof/>
              </w:rPr>
              <w:t>0</w:t>
            </w:r>
          </w:p>
        </w:tc>
        <w:tc>
          <w:tcPr>
            <w:tcW w:w="1526" w:type="dxa"/>
          </w:tcPr>
          <w:p w14:paraId="5D214E96" w14:textId="77777777" w:rsidR="00FB2994" w:rsidRPr="00724FDD" w:rsidRDefault="00FB2994" w:rsidP="00B202C2">
            <w:pPr>
              <w:rPr>
                <w:b/>
                <w:noProof/>
              </w:rPr>
            </w:pPr>
            <w:r>
              <w:rPr>
                <w:noProof/>
              </w:rPr>
              <w:t>5%</w:t>
            </w:r>
          </w:p>
        </w:tc>
        <w:tc>
          <w:tcPr>
            <w:tcW w:w="1532" w:type="dxa"/>
          </w:tcPr>
          <w:p w14:paraId="61D0B040" w14:textId="77777777" w:rsidR="00FB2994" w:rsidRPr="00724FDD" w:rsidRDefault="00FB2994" w:rsidP="00B202C2">
            <w:pPr>
              <w:rPr>
                <w:noProof/>
              </w:rPr>
            </w:pPr>
            <w:r>
              <w:rPr>
                <w:noProof/>
              </w:rPr>
              <w:t>11</w:t>
            </w:r>
            <w:r>
              <w:rPr>
                <w:rFonts w:ascii="Calibri" w:hAnsi="Calibri" w:cs="Calibri"/>
                <w:noProof/>
              </w:rPr>
              <w:t> </w:t>
            </w:r>
            <w:r>
              <w:rPr>
                <w:noProof/>
              </w:rPr>
              <w:t>200</w:t>
            </w:r>
          </w:p>
        </w:tc>
        <w:tc>
          <w:tcPr>
            <w:tcW w:w="1572" w:type="dxa"/>
          </w:tcPr>
          <w:p w14:paraId="1E066656" w14:textId="77777777" w:rsidR="00FB2994" w:rsidRPr="00724FDD" w:rsidRDefault="00FB2994" w:rsidP="00B202C2">
            <w:pPr>
              <w:rPr>
                <w:noProof/>
              </w:rPr>
            </w:pPr>
            <w:r>
              <w:rPr>
                <w:noProof/>
              </w:rPr>
              <w:t>541 out of 11 200 participants</w:t>
            </w:r>
          </w:p>
        </w:tc>
        <w:tc>
          <w:tcPr>
            <w:tcW w:w="1579" w:type="dxa"/>
          </w:tcPr>
          <w:p w14:paraId="7690B7F9" w14:textId="77777777" w:rsidR="00FB2994" w:rsidRPr="00724FDD" w:rsidRDefault="00FB2994" w:rsidP="00B202C2">
            <w:pPr>
              <w:rPr>
                <w:noProof/>
              </w:rPr>
            </w:pPr>
            <w:r>
              <w:rPr>
                <w:noProof/>
              </w:rPr>
              <w:t>Deserves attention</w:t>
            </w:r>
          </w:p>
        </w:tc>
      </w:tr>
      <w:tr w:rsidR="00FB2994" w:rsidRPr="00040D99" w14:paraId="064D0E58" w14:textId="77777777" w:rsidTr="00B202C2">
        <w:trPr>
          <w:cnfStyle w:val="000000100000" w:firstRow="0" w:lastRow="0" w:firstColumn="0" w:lastColumn="0" w:oddVBand="0" w:evenVBand="0" w:oddHBand="1" w:evenHBand="0" w:firstRowFirstColumn="0" w:firstRowLastColumn="0" w:lastRowFirstColumn="0" w:lastRowLastColumn="0"/>
        </w:trPr>
        <w:tc>
          <w:tcPr>
            <w:tcW w:w="2330" w:type="dxa"/>
          </w:tcPr>
          <w:p w14:paraId="68FA0751" w14:textId="77777777" w:rsidR="00FB2994" w:rsidRPr="00724FDD" w:rsidRDefault="00FB2994" w:rsidP="00B202C2">
            <w:pPr>
              <w:rPr>
                <w:noProof/>
              </w:rPr>
            </w:pPr>
            <w:r>
              <w:rPr>
                <w:noProof/>
              </w:rPr>
              <w:t>Participants in solidarity projects</w:t>
            </w:r>
          </w:p>
        </w:tc>
        <w:tc>
          <w:tcPr>
            <w:tcW w:w="1100" w:type="dxa"/>
          </w:tcPr>
          <w:p w14:paraId="5AF7972D" w14:textId="77777777" w:rsidR="00FB2994" w:rsidRPr="00724FDD" w:rsidRDefault="00FB2994" w:rsidP="00B202C2">
            <w:pPr>
              <w:jc w:val="center"/>
              <w:rPr>
                <w:noProof/>
              </w:rPr>
            </w:pPr>
            <w:r>
              <w:rPr>
                <w:noProof/>
              </w:rPr>
              <w:t>0</w:t>
            </w:r>
          </w:p>
        </w:tc>
        <w:tc>
          <w:tcPr>
            <w:tcW w:w="1526" w:type="dxa"/>
          </w:tcPr>
          <w:p w14:paraId="676F70A3" w14:textId="77777777" w:rsidR="00FB2994" w:rsidRPr="00724FDD" w:rsidRDefault="00FB2994" w:rsidP="00B202C2">
            <w:pPr>
              <w:rPr>
                <w:b/>
                <w:noProof/>
              </w:rPr>
            </w:pPr>
            <w:r>
              <w:rPr>
                <w:noProof/>
              </w:rPr>
              <w:t>46%</w:t>
            </w:r>
          </w:p>
        </w:tc>
        <w:tc>
          <w:tcPr>
            <w:tcW w:w="1532" w:type="dxa"/>
          </w:tcPr>
          <w:p w14:paraId="39410E82" w14:textId="77777777" w:rsidR="00FB2994" w:rsidRPr="00724FDD" w:rsidRDefault="00FB2994" w:rsidP="00B202C2">
            <w:pPr>
              <w:rPr>
                <w:noProof/>
              </w:rPr>
            </w:pPr>
            <w:r>
              <w:rPr>
                <w:noProof/>
              </w:rPr>
              <w:t>18</w:t>
            </w:r>
            <w:r>
              <w:rPr>
                <w:rFonts w:ascii="Calibri" w:hAnsi="Calibri" w:cs="Calibri"/>
                <w:noProof/>
              </w:rPr>
              <w:t> </w:t>
            </w:r>
            <w:r>
              <w:rPr>
                <w:noProof/>
              </w:rPr>
              <w:t>900</w:t>
            </w:r>
          </w:p>
        </w:tc>
        <w:tc>
          <w:tcPr>
            <w:tcW w:w="1572" w:type="dxa"/>
          </w:tcPr>
          <w:p w14:paraId="0FD65D48" w14:textId="77777777" w:rsidR="00FB2994" w:rsidRPr="00724FDD" w:rsidRDefault="00FB2994" w:rsidP="00B202C2">
            <w:pPr>
              <w:rPr>
                <w:noProof/>
              </w:rPr>
            </w:pPr>
            <w:r>
              <w:rPr>
                <w:noProof/>
              </w:rPr>
              <w:t>8</w:t>
            </w:r>
            <w:r>
              <w:rPr>
                <w:rFonts w:ascii="Calibri" w:hAnsi="Calibri" w:cs="Calibri"/>
                <w:noProof/>
              </w:rPr>
              <w:t> </w:t>
            </w:r>
            <w:r>
              <w:rPr>
                <w:noProof/>
              </w:rPr>
              <w:t>629 out of 18</w:t>
            </w:r>
            <w:r>
              <w:rPr>
                <w:rFonts w:ascii="Calibri" w:hAnsi="Calibri" w:cs="Calibri"/>
                <w:noProof/>
              </w:rPr>
              <w:t> </w:t>
            </w:r>
            <w:r>
              <w:rPr>
                <w:noProof/>
              </w:rPr>
              <w:t>900 participants</w:t>
            </w:r>
          </w:p>
        </w:tc>
        <w:tc>
          <w:tcPr>
            <w:tcW w:w="1579" w:type="dxa"/>
          </w:tcPr>
          <w:p w14:paraId="2DC554A5" w14:textId="77777777" w:rsidR="00FB2994" w:rsidRPr="00724FDD" w:rsidRDefault="00FB2994" w:rsidP="00B202C2">
            <w:pPr>
              <w:rPr>
                <w:noProof/>
              </w:rPr>
            </w:pPr>
            <w:r>
              <w:rPr>
                <w:noProof/>
              </w:rPr>
              <w:t>Deserves attention</w:t>
            </w:r>
          </w:p>
        </w:tc>
      </w:tr>
    </w:tbl>
    <w:p w14:paraId="552BF59F" w14:textId="77777777" w:rsidR="00FB2994" w:rsidRPr="00040D99" w:rsidRDefault="00FB2994" w:rsidP="00FB2994">
      <w:pPr>
        <w:pStyle w:val="FootnoteText"/>
        <w:rPr>
          <w:noProof/>
        </w:rPr>
      </w:pPr>
      <w:r>
        <w:rPr>
          <w:noProof/>
        </w:rPr>
        <w:t xml:space="preserve">(*) </w:t>
      </w:r>
      <w:r w:rsidRPr="00806ECC">
        <w:rPr>
          <w:noProof/>
        </w:rPr>
        <w:t xml:space="preserve">Cumulative results for 2014-2020 compared to </w:t>
      </w:r>
      <w:r>
        <w:rPr>
          <w:noProof/>
        </w:rPr>
        <w:t>target</w:t>
      </w:r>
      <w:r w:rsidRPr="00040D99">
        <w:rPr>
          <w:noProof/>
        </w:rPr>
        <w:t>.</w:t>
      </w:r>
    </w:p>
    <w:p w14:paraId="127AC2AF" w14:textId="77777777" w:rsidR="00FB2994" w:rsidRDefault="00FB2994" w:rsidP="00FB2994">
      <w:pPr>
        <w:pStyle w:val="ppoListHyphened-L1"/>
        <w:spacing w:before="360"/>
        <w:jc w:val="both"/>
        <w:rPr>
          <w:noProof/>
        </w:rPr>
      </w:pPr>
      <w:r w:rsidRPr="00040D99">
        <w:rPr>
          <w:noProof/>
        </w:rPr>
        <w:t xml:space="preserve">The </w:t>
      </w:r>
      <w:r>
        <w:rPr>
          <w:noProof/>
        </w:rPr>
        <w:t>European Solidarity Corps builds on the achievements of the European Voluntary Service and on the first phase of the European Solidarity Corps, launched in December 2016, whereby different EU programmes have been mobilised to offer volunteering, traineeships or job activities to young people across the EU. In 2018, the first European Solidarity Corps regulation</w:t>
      </w:r>
      <w:r w:rsidRPr="00D44727">
        <w:rPr>
          <w:noProof/>
          <w:vertAlign w:val="superscript"/>
        </w:rPr>
        <w:t xml:space="preserve"> </w:t>
      </w:r>
      <w:r>
        <w:rPr>
          <w:noProof/>
        </w:rPr>
        <w:t>created a new, coherent framework for solidarity-related activities.</w:t>
      </w:r>
    </w:p>
    <w:p w14:paraId="0A8B78F6" w14:textId="77777777" w:rsidR="00FB2994" w:rsidRDefault="00FB2994" w:rsidP="00FB2994">
      <w:pPr>
        <w:pStyle w:val="ppoListHyphened-L1"/>
        <w:jc w:val="both"/>
        <w:rPr>
          <w:noProof/>
        </w:rPr>
      </w:pPr>
      <w:r>
        <w:rPr>
          <w:noProof/>
        </w:rPr>
        <w:t>The European Solidarity Corps proved successful in providing opportunities to address horizontal priorities such as inclusion (with more than 30%</w:t>
      </w:r>
      <w:r>
        <w:rPr>
          <w:rFonts w:ascii="Calibri" w:hAnsi="Calibri" w:cs="Calibri"/>
          <w:noProof/>
        </w:rPr>
        <w:t xml:space="preserve"> </w:t>
      </w:r>
      <w:r>
        <w:rPr>
          <w:noProof/>
        </w:rPr>
        <w:t>of participants being people with fewer opportunities) or climate change (13%</w:t>
      </w:r>
      <w:r>
        <w:rPr>
          <w:rFonts w:ascii="Calibri" w:hAnsi="Calibri" w:cs="Calibri"/>
          <w:noProof/>
        </w:rPr>
        <w:t xml:space="preserve"> </w:t>
      </w:r>
      <w:r>
        <w:rPr>
          <w:noProof/>
        </w:rPr>
        <w:t>of projects supported under the European Solidarity Corps address climate action, the environment and nature protection). It offered support for projects revolving around a range of solidarity (in the form of individual or team volunteering, traineeships, jobs and solidarity projects) involving young people between 18</w:t>
      </w:r>
      <w:r>
        <w:rPr>
          <w:rFonts w:ascii="Calibri" w:hAnsi="Calibri" w:cs="Calibri"/>
          <w:noProof/>
        </w:rPr>
        <w:t xml:space="preserve"> </w:t>
      </w:r>
      <w:r>
        <w:rPr>
          <w:noProof/>
        </w:rPr>
        <w:t>and 30</w:t>
      </w:r>
      <w:r w:rsidRPr="00EC1833">
        <w:rPr>
          <w:rFonts w:ascii="Calibri" w:hAnsi="Calibri" w:cs="Calibri"/>
          <w:noProof/>
        </w:rPr>
        <w:t> </w:t>
      </w:r>
      <w:r>
        <w:rPr>
          <w:noProof/>
        </w:rPr>
        <w:t>years of age.</w:t>
      </w:r>
    </w:p>
    <w:p w14:paraId="23AC307D" w14:textId="77777777" w:rsidR="00FB2994" w:rsidRDefault="00FB2994" w:rsidP="00FB2994">
      <w:pPr>
        <w:pStyle w:val="ppoListHyphened-L1"/>
        <w:jc w:val="both"/>
        <w:rPr>
          <w:noProof/>
        </w:rPr>
      </w:pPr>
      <w:bookmarkStart w:id="147" w:name="_Hlk101265553"/>
      <w:bookmarkStart w:id="148" w:name="_Hlk101266013"/>
      <w:r>
        <w:rPr>
          <w:noProof/>
        </w:rPr>
        <w:t xml:space="preserve">The ‘traineeships and jobs’ strand represented the biggest novelty under the European Solidarity Corps. While specific efforts were dedicated to promoting the corps, ensuring an understanding of the opportunities it offers, reaching out to relevant stakeholders and training potential applicants, this strand was faced with challenges </w:t>
      </w:r>
      <w:bookmarkEnd w:id="147"/>
      <w:r>
        <w:rPr>
          <w:noProof/>
        </w:rPr>
        <w:t>and did not perform as expected. In this regard, the number of projects and participants funded were lower than forecasted.</w:t>
      </w:r>
    </w:p>
    <w:p w14:paraId="1FCCEAF4" w14:textId="77777777" w:rsidR="00FB2994" w:rsidRDefault="00FB2994" w:rsidP="00FB2994">
      <w:pPr>
        <w:pStyle w:val="ppoListHyphened-L1"/>
        <w:jc w:val="both"/>
        <w:rPr>
          <w:noProof/>
        </w:rPr>
      </w:pPr>
      <w:r>
        <w:rPr>
          <w:noProof/>
        </w:rPr>
        <w:t>The performance targets had been designed with the expectation of a full 3</w:t>
      </w:r>
      <w:r>
        <w:rPr>
          <w:rFonts w:ascii="Calibri" w:hAnsi="Calibri" w:cs="Calibri"/>
          <w:noProof/>
        </w:rPr>
        <w:t> </w:t>
      </w:r>
      <w:r>
        <w:rPr>
          <w:noProof/>
        </w:rPr>
        <w:t>years of implementation over the 2018-2020</w:t>
      </w:r>
      <w:r w:rsidRPr="00C77A01">
        <w:rPr>
          <w:noProof/>
        </w:rPr>
        <w:t xml:space="preserve"> </w:t>
      </w:r>
      <w:r>
        <w:rPr>
          <w:noProof/>
        </w:rPr>
        <w:t>period. The short programme period (end of 2018-2020) had an impact on the possibilities for successful outreach to an entirely new category of stakeholders (potential participating organisations), and the ‘traineeships and jobs’ strand did not manage to carve out a niche in the relatively vast range of national and EU tools aimed at improving the employment prospects of young people.</w:t>
      </w:r>
    </w:p>
    <w:bookmarkEnd w:id="148"/>
    <w:p w14:paraId="135E4751" w14:textId="77777777" w:rsidR="00FB2994" w:rsidRPr="00EC1833" w:rsidRDefault="00FB2994" w:rsidP="00FB2994">
      <w:pPr>
        <w:pStyle w:val="ppoListHyphened-L1"/>
        <w:jc w:val="both"/>
        <w:rPr>
          <w:noProof/>
        </w:rPr>
      </w:pPr>
      <w:r>
        <w:rPr>
          <w:noProof/>
        </w:rPr>
        <w:t>Despite the difficulties the programme has faced, including the late adoption of the legal basis in October 2018 and the impact of the COVID</w:t>
      </w:r>
      <w:r>
        <w:rPr>
          <w:noProof/>
        </w:rPr>
        <w:noBreakHyphen/>
        <w:t>19 pandemic in 2020, the projects continued to be set up throughout 2019 and 2020, showing that interest from organisations remained stable. The implementation of the 2018-2020 programme continued into 2021 due to the design and duration of the actions, the timing of the publication of the 2020 call, and the effects of the pandemic, which resulted in a delayed start of certain activities.</w:t>
      </w:r>
      <w:r>
        <w:rPr>
          <w:rFonts w:ascii="Calibri" w:hAnsi="Calibri" w:cs="Calibri"/>
          <w:noProof/>
        </w:rPr>
        <w:t xml:space="preserve"> </w:t>
      </w:r>
      <w:r>
        <w:rPr>
          <w:noProof/>
        </w:rPr>
        <w:t>Some activities had to be suspended or cancelled and the duration of projects extended to enable those young people who were prevented from taking part due to the crisis to have another opportunity to do so. This also implies that a number of deployments funded by the 2020 call took place later than initially planned.</w:t>
      </w:r>
    </w:p>
    <w:p w14:paraId="22E2BC81" w14:textId="77777777" w:rsidR="00FB2994" w:rsidRDefault="00FB2994" w:rsidP="00FB2994">
      <w:pPr>
        <w:pStyle w:val="ppoListHyphened-L1"/>
        <w:jc w:val="both"/>
        <w:rPr>
          <w:noProof/>
        </w:rPr>
      </w:pPr>
      <w:r>
        <w:rPr>
          <w:noProof/>
        </w:rPr>
        <w:t>In terms of participation rates, the number of young people in volunteering projects continued to rise. In 2021, the total number of participants from the 2018–2020</w:t>
      </w:r>
      <w:r w:rsidRPr="00C77A01">
        <w:rPr>
          <w:noProof/>
        </w:rPr>
        <w:t xml:space="preserve"> </w:t>
      </w:r>
      <w:r>
        <w:rPr>
          <w:noProof/>
        </w:rPr>
        <w:t>calls exceeded 12</w:t>
      </w:r>
      <w:r>
        <w:rPr>
          <w:rFonts w:ascii="Calibri" w:hAnsi="Calibri" w:cs="Calibri"/>
          <w:noProof/>
        </w:rPr>
        <w:t> </w:t>
      </w:r>
      <w:r>
        <w:rPr>
          <w:noProof/>
        </w:rPr>
        <w:t>000. In 2021 alone, over 3</w:t>
      </w:r>
      <w:r>
        <w:rPr>
          <w:rFonts w:ascii="Arial" w:hAnsi="Arial" w:cs="Arial"/>
          <w:noProof/>
        </w:rPr>
        <w:t> </w:t>
      </w:r>
      <w:r>
        <w:rPr>
          <w:noProof/>
        </w:rPr>
        <w:t>000</w:t>
      </w:r>
      <w:r>
        <w:rPr>
          <w:rFonts w:ascii="Arial" w:hAnsi="Arial" w:cs="Arial"/>
          <w:noProof/>
        </w:rPr>
        <w:t> </w:t>
      </w:r>
      <w:r>
        <w:rPr>
          <w:noProof/>
        </w:rPr>
        <w:t>volunteering participants took part in the programme activities despite the COVID</w:t>
      </w:r>
      <w:r>
        <w:rPr>
          <w:noProof/>
        </w:rPr>
        <w:noBreakHyphen/>
        <w:t>19 restrictions. The European Solidarity Corps continued to provide relief where possible, for example providing assistance to elderly people during the pandemic.</w:t>
      </w:r>
    </w:p>
    <w:p w14:paraId="6F665EAD" w14:textId="77777777" w:rsidR="00FB2994" w:rsidRPr="00040D99" w:rsidRDefault="00FB2994" w:rsidP="00FB2994">
      <w:pPr>
        <w:pStyle w:val="ppoListHyphened-L1"/>
        <w:jc w:val="both"/>
        <w:rPr>
          <w:noProof/>
        </w:rPr>
      </w:pPr>
      <w:r>
        <w:rPr>
          <w:noProof/>
        </w:rPr>
        <w:t>Nearly 280</w:t>
      </w:r>
      <w:r>
        <w:rPr>
          <w:rFonts w:ascii="Calibri" w:hAnsi="Calibri" w:cs="Calibri"/>
          <w:noProof/>
        </w:rPr>
        <w:t> </w:t>
      </w:r>
      <w:r>
        <w:rPr>
          <w:noProof/>
        </w:rPr>
        <w:t>000</w:t>
      </w:r>
      <w:r>
        <w:rPr>
          <w:rFonts w:ascii="Calibri" w:hAnsi="Calibri" w:cs="Calibri"/>
          <w:noProof/>
        </w:rPr>
        <w:t> </w:t>
      </w:r>
      <w:r>
        <w:rPr>
          <w:noProof/>
        </w:rPr>
        <w:t>youngsters from across the EU registered with the corps. Based on the positive reception of the initiative by young people and other stakeholders in the solidarity sector, the Commission proposed an extension of the corps to the 2021-2027 programming period.</w:t>
      </w:r>
    </w:p>
    <w:p w14:paraId="39DA5436" w14:textId="77777777" w:rsidR="0067341E" w:rsidRDefault="0067341E">
      <w:pPr>
        <w:spacing w:after="0"/>
        <w:jc w:val="left"/>
        <w:rPr>
          <w:rFonts w:eastAsiaTheme="majorEastAsia" w:cstheme="majorBidi"/>
          <w:noProof/>
          <w:color w:val="19854D"/>
          <w:sz w:val="48"/>
          <w:szCs w:val="32"/>
          <w:lang w:eastAsia="en-GB"/>
        </w:rPr>
      </w:pPr>
      <w:r>
        <w:rPr>
          <w:noProof/>
        </w:rPr>
        <w:br w:type="page"/>
      </w:r>
    </w:p>
    <w:p w14:paraId="454B0D6E" w14:textId="569C00DF" w:rsidR="00FB2994" w:rsidRPr="00040D99" w:rsidRDefault="00FB2994" w:rsidP="00FB2994">
      <w:pPr>
        <w:pStyle w:val="ppoHeading4Green"/>
        <w:jc w:val="both"/>
        <w:rPr>
          <w:noProof/>
        </w:rPr>
      </w:pPr>
      <w:r w:rsidRPr="00040D99">
        <w:rPr>
          <w:noProof/>
        </w:rPr>
        <w:t>2014-2020</w:t>
      </w:r>
      <w:r>
        <w:rPr>
          <w:noProof/>
        </w:rPr>
        <w:t xml:space="preserve"> multiannual financial framework</w:t>
      </w:r>
      <w:r>
        <w:rPr>
          <w:rFonts w:ascii="Calibri" w:hAnsi="Calibri" w:cs="Calibri"/>
          <w:noProof/>
        </w:rPr>
        <w:t> </w:t>
      </w:r>
      <w:r w:rsidRPr="00040D99">
        <w:rPr>
          <w:noProof/>
        </w:rPr>
        <w:t xml:space="preserve">– </w:t>
      </w:r>
      <w:r>
        <w:rPr>
          <w:noProof/>
        </w:rPr>
        <w:t>EU Aid Volunteers</w:t>
      </w:r>
    </w:p>
    <w:p w14:paraId="6B4F1517" w14:textId="77777777" w:rsidR="00FB2994" w:rsidRPr="00040D99" w:rsidRDefault="00FB2994" w:rsidP="00FB2994">
      <w:pPr>
        <w:rPr>
          <w:rFonts w:eastAsiaTheme="minorEastAsia"/>
          <w:noProof/>
        </w:rPr>
      </w:pPr>
      <w:r>
        <w:rPr>
          <w:noProof/>
        </w:rPr>
        <w:t>The EU Aid Volunteers initiative brought together volunteers and organisations from different countries, providing practical support to humanitarian aid projects and contributing to strengthening the local capacity and resilience of disaster-affected communities. The programme incentivised and fostered collaboration and the exchange of knowledge and good practices by building partnerships between organisations in the field of humanitarian aid.</w:t>
      </w:r>
    </w:p>
    <w:p w14:paraId="53E91548" w14:textId="77777777" w:rsidR="00FB2994" w:rsidRPr="00040D99" w:rsidRDefault="00FB2994" w:rsidP="00FB2994">
      <w:pPr>
        <w:pStyle w:val="ppoHeading5"/>
        <w:jc w:val="both"/>
        <w:rPr>
          <w:noProof/>
        </w:rPr>
      </w:pPr>
      <w:r w:rsidRPr="00040D99">
        <w:rPr>
          <w:noProof/>
        </w:rPr>
        <w:t>Budget</w:t>
      </w:r>
    </w:p>
    <w:p w14:paraId="2FE243CC" w14:textId="77777777" w:rsidR="00FB2994" w:rsidRPr="00040D99" w:rsidRDefault="00FB2994" w:rsidP="00FB2994">
      <w:pPr>
        <w:pStyle w:val="ppoTableTabletitle"/>
        <w:jc w:val="both"/>
        <w:rPr>
          <w:noProof/>
        </w:rPr>
      </w:pPr>
      <w:r w:rsidRPr="00040D99">
        <w:rPr>
          <w:noProof/>
        </w:rPr>
        <w:t>Cumulative implementation rate at the end of 2021</w:t>
      </w:r>
      <w:r>
        <w:rPr>
          <w:noProof/>
        </w:rPr>
        <w:t xml:space="preserve"> (million</w:t>
      </w:r>
      <w:r w:rsidRPr="00C77A01">
        <w:rPr>
          <w:noProof/>
        </w:rPr>
        <w:t xml:space="preserve"> </w:t>
      </w:r>
      <w:r>
        <w:rPr>
          <w:noProof/>
        </w:rPr>
        <w:t>EUR):</w:t>
      </w:r>
    </w:p>
    <w:tbl>
      <w:tblPr>
        <w:tblStyle w:val="PPO2021"/>
        <w:tblW w:w="9639" w:type="dxa"/>
        <w:tblInd w:w="0" w:type="dxa"/>
        <w:tblLook w:val="06A0" w:firstRow="1" w:lastRow="0" w:firstColumn="1" w:lastColumn="0" w:noHBand="1" w:noVBand="1"/>
      </w:tblPr>
      <w:tblGrid>
        <w:gridCol w:w="2409"/>
        <w:gridCol w:w="2410"/>
        <w:gridCol w:w="2410"/>
        <w:gridCol w:w="2410"/>
      </w:tblGrid>
      <w:tr w:rsidR="00FB2994" w:rsidRPr="00040D99" w14:paraId="7A6EEA93" w14:textId="77777777" w:rsidTr="00B20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164FBE61" w14:textId="77777777" w:rsidR="00FB2994" w:rsidRPr="0086153A" w:rsidRDefault="00FB2994" w:rsidP="00B202C2">
            <w:pPr>
              <w:rPr>
                <w:noProof/>
              </w:rPr>
            </w:pPr>
          </w:p>
        </w:tc>
        <w:tc>
          <w:tcPr>
            <w:tcW w:w="2410" w:type="dxa"/>
          </w:tcPr>
          <w:p w14:paraId="0C475DD7" w14:textId="77777777" w:rsidR="00FB2994" w:rsidRPr="0086153A" w:rsidRDefault="00FB2994" w:rsidP="00B202C2">
            <w:pPr>
              <w:cnfStyle w:val="100000000000" w:firstRow="1" w:lastRow="0" w:firstColumn="0" w:lastColumn="0" w:oddVBand="0" w:evenVBand="0" w:oddHBand="0" w:evenHBand="0" w:firstRowFirstColumn="0" w:firstRowLastColumn="0" w:lastRowFirstColumn="0" w:lastRowLastColumn="0"/>
              <w:rPr>
                <w:noProof/>
              </w:rPr>
            </w:pPr>
            <w:r w:rsidRPr="0086153A">
              <w:rPr>
                <w:noProof/>
              </w:rPr>
              <w:t>Implementation</w:t>
            </w:r>
          </w:p>
        </w:tc>
        <w:tc>
          <w:tcPr>
            <w:tcW w:w="2410" w:type="dxa"/>
          </w:tcPr>
          <w:p w14:paraId="28E7C957" w14:textId="7DDB0CAA" w:rsidR="00FB2994" w:rsidRPr="0086153A" w:rsidRDefault="003821C6" w:rsidP="00B202C2">
            <w:pPr>
              <w:cnfStyle w:val="100000000000" w:firstRow="1" w:lastRow="0" w:firstColumn="0" w:lastColumn="0" w:oddVBand="0" w:evenVBand="0" w:oddHBand="0" w:evenHBand="0" w:firstRowFirstColumn="0" w:firstRowLastColumn="0" w:lastRowFirstColumn="0" w:lastRowLastColumn="0"/>
              <w:rPr>
                <w:noProof/>
              </w:rPr>
            </w:pPr>
            <w:r>
              <w:rPr>
                <w:noProof/>
                <w:lang w:val="en-IE"/>
              </w:rPr>
              <w:t xml:space="preserve">2014-2020 </w:t>
            </w:r>
            <w:r w:rsidR="00FB2994" w:rsidRPr="0086153A">
              <w:rPr>
                <w:noProof/>
              </w:rPr>
              <w:t>Budget</w:t>
            </w:r>
          </w:p>
        </w:tc>
        <w:tc>
          <w:tcPr>
            <w:tcW w:w="2410" w:type="dxa"/>
          </w:tcPr>
          <w:p w14:paraId="5F23C5FA" w14:textId="77777777" w:rsidR="00FB2994" w:rsidRPr="0086153A" w:rsidRDefault="00FB2994" w:rsidP="00B202C2">
            <w:pPr>
              <w:cnfStyle w:val="100000000000" w:firstRow="1" w:lastRow="0" w:firstColumn="0" w:lastColumn="0" w:oddVBand="0" w:evenVBand="0" w:oddHBand="0" w:evenHBand="0" w:firstRowFirstColumn="0" w:firstRowLastColumn="0" w:lastRowFirstColumn="0" w:lastRowLastColumn="0"/>
              <w:rPr>
                <w:noProof/>
              </w:rPr>
            </w:pPr>
            <w:r w:rsidRPr="0086153A">
              <w:rPr>
                <w:noProof/>
              </w:rPr>
              <w:t>Implementation rate</w:t>
            </w:r>
          </w:p>
        </w:tc>
      </w:tr>
      <w:tr w:rsidR="00FB2994" w:rsidRPr="00040D99" w14:paraId="0A82C503"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0C29F2AE" w14:textId="77777777" w:rsidR="00FB2994" w:rsidRPr="0086153A" w:rsidRDefault="00FB2994" w:rsidP="00B202C2">
            <w:pPr>
              <w:rPr>
                <w:noProof/>
              </w:rPr>
            </w:pPr>
            <w:r w:rsidRPr="0086153A">
              <w:rPr>
                <w:noProof/>
              </w:rPr>
              <w:t>Commitment</w:t>
            </w:r>
            <w:r>
              <w:rPr>
                <w:noProof/>
              </w:rPr>
              <w:t>s</w:t>
            </w:r>
          </w:p>
        </w:tc>
        <w:tc>
          <w:tcPr>
            <w:tcW w:w="2410" w:type="dxa"/>
          </w:tcPr>
          <w:tbl>
            <w:tblPr>
              <w:tblStyle w:val="TableGrid"/>
              <w:tblW w:w="0" w:type="auto"/>
              <w:tblLook w:val="06A0" w:firstRow="1" w:lastRow="0" w:firstColumn="1" w:lastColumn="0" w:noHBand="1" w:noVBand="1"/>
            </w:tblPr>
            <w:tblGrid>
              <w:gridCol w:w="2194"/>
            </w:tblGrid>
            <w:tr w:rsidR="00FB2994" w14:paraId="4D6AD3E6" w14:textId="77777777" w:rsidTr="00B202C2">
              <w:trPr>
                <w:trHeight w:val="285"/>
              </w:trPr>
              <w:tc>
                <w:tcPr>
                  <w:tcW w:w="2290" w:type="dxa"/>
                  <w:tcBorders>
                    <w:top w:val="nil"/>
                    <w:left w:val="nil"/>
                    <w:bottom w:val="nil"/>
                    <w:right w:val="nil"/>
                  </w:tcBorders>
                  <w:vAlign w:val="bottom"/>
                </w:tcPr>
                <w:p w14:paraId="404FB8A1" w14:textId="77777777" w:rsidR="00FB2994" w:rsidRDefault="00FB2994" w:rsidP="00B202C2">
                  <w:pPr>
                    <w:spacing w:before="100" w:after="100"/>
                    <w:rPr>
                      <w:noProof/>
                    </w:rPr>
                  </w:pPr>
                  <w:r w:rsidRPr="00EC1833">
                    <w:rPr>
                      <w:noProof/>
                    </w:rPr>
                    <w:t>89.2</w:t>
                  </w:r>
                </w:p>
              </w:tc>
            </w:tr>
          </w:tbl>
          <w:p w14:paraId="16500F79" w14:textId="77777777" w:rsidR="00FB2994" w:rsidRPr="0086153A" w:rsidRDefault="00FB2994" w:rsidP="00B202C2">
            <w:pP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FB2994" w14:paraId="5E138B7F" w14:textId="77777777" w:rsidTr="00B202C2">
              <w:trPr>
                <w:trHeight w:val="285"/>
              </w:trPr>
              <w:tc>
                <w:tcPr>
                  <w:tcW w:w="2290" w:type="dxa"/>
                  <w:tcBorders>
                    <w:top w:val="nil"/>
                    <w:left w:val="nil"/>
                    <w:bottom w:val="nil"/>
                    <w:right w:val="nil"/>
                  </w:tcBorders>
                  <w:vAlign w:val="bottom"/>
                </w:tcPr>
                <w:p w14:paraId="186E6489" w14:textId="77777777" w:rsidR="00FB2994" w:rsidRDefault="00FB2994" w:rsidP="00B202C2">
                  <w:pPr>
                    <w:spacing w:before="100" w:after="100"/>
                    <w:rPr>
                      <w:noProof/>
                    </w:rPr>
                  </w:pPr>
                  <w:r w:rsidRPr="00EC1833">
                    <w:rPr>
                      <w:noProof/>
                    </w:rPr>
                    <w:t>89.5</w:t>
                  </w:r>
                </w:p>
              </w:tc>
            </w:tr>
          </w:tbl>
          <w:p w14:paraId="2EDB7C07" w14:textId="77777777" w:rsidR="00FB2994" w:rsidRPr="0086153A" w:rsidRDefault="00FB2994" w:rsidP="00B202C2">
            <w:pP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FB2994" w14:paraId="547D95B1" w14:textId="77777777" w:rsidTr="00B202C2">
              <w:trPr>
                <w:trHeight w:val="285"/>
              </w:trPr>
              <w:tc>
                <w:tcPr>
                  <w:tcW w:w="2290" w:type="dxa"/>
                  <w:tcBorders>
                    <w:top w:val="nil"/>
                    <w:left w:val="nil"/>
                    <w:bottom w:val="nil"/>
                    <w:right w:val="nil"/>
                  </w:tcBorders>
                  <w:vAlign w:val="bottom"/>
                </w:tcPr>
                <w:p w14:paraId="3531D9CE" w14:textId="77777777" w:rsidR="00FB2994" w:rsidRDefault="00FB2994" w:rsidP="00B202C2">
                  <w:pPr>
                    <w:spacing w:before="100" w:after="100"/>
                    <w:rPr>
                      <w:noProof/>
                    </w:rPr>
                  </w:pPr>
                  <w:r w:rsidRPr="00EC1833">
                    <w:rPr>
                      <w:noProof/>
                    </w:rPr>
                    <w:t>100%</w:t>
                  </w:r>
                </w:p>
              </w:tc>
            </w:tr>
          </w:tbl>
          <w:p w14:paraId="70E489AE" w14:textId="77777777" w:rsidR="00FB2994" w:rsidRPr="0086153A" w:rsidRDefault="00FB2994" w:rsidP="00B202C2">
            <w:pPr>
              <w:cnfStyle w:val="000000000000" w:firstRow="0" w:lastRow="0" w:firstColumn="0" w:lastColumn="0" w:oddVBand="0" w:evenVBand="0" w:oddHBand="0" w:evenHBand="0" w:firstRowFirstColumn="0" w:firstRowLastColumn="0" w:lastRowFirstColumn="0" w:lastRowLastColumn="0"/>
              <w:rPr>
                <w:noProof/>
              </w:rPr>
            </w:pPr>
          </w:p>
        </w:tc>
      </w:tr>
      <w:tr w:rsidR="00FB2994" w:rsidRPr="00040D99" w14:paraId="4BBBE515"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55CCADAD" w14:textId="77777777" w:rsidR="00FB2994" w:rsidRPr="0086153A" w:rsidRDefault="00FB2994" w:rsidP="00B202C2">
            <w:pPr>
              <w:rPr>
                <w:noProof/>
              </w:rPr>
            </w:pPr>
            <w:r w:rsidRPr="0086153A">
              <w:rPr>
                <w:noProof/>
              </w:rPr>
              <w:t>Payments</w:t>
            </w:r>
          </w:p>
        </w:tc>
        <w:tc>
          <w:tcPr>
            <w:tcW w:w="2410" w:type="dxa"/>
          </w:tcPr>
          <w:tbl>
            <w:tblPr>
              <w:tblStyle w:val="TableGrid"/>
              <w:tblW w:w="0" w:type="auto"/>
              <w:tblLook w:val="06A0" w:firstRow="1" w:lastRow="0" w:firstColumn="1" w:lastColumn="0" w:noHBand="1" w:noVBand="1"/>
            </w:tblPr>
            <w:tblGrid>
              <w:gridCol w:w="2194"/>
            </w:tblGrid>
            <w:tr w:rsidR="00FB2994" w14:paraId="44F72127" w14:textId="77777777" w:rsidTr="00B202C2">
              <w:trPr>
                <w:trHeight w:val="285"/>
              </w:trPr>
              <w:tc>
                <w:tcPr>
                  <w:tcW w:w="2290" w:type="dxa"/>
                  <w:tcBorders>
                    <w:top w:val="nil"/>
                    <w:left w:val="nil"/>
                    <w:bottom w:val="nil"/>
                    <w:right w:val="nil"/>
                  </w:tcBorders>
                  <w:vAlign w:val="bottom"/>
                </w:tcPr>
                <w:p w14:paraId="282F986C" w14:textId="77777777" w:rsidR="00FB2994" w:rsidRDefault="00FB2994" w:rsidP="00B202C2">
                  <w:pPr>
                    <w:spacing w:before="100" w:after="100"/>
                    <w:rPr>
                      <w:noProof/>
                    </w:rPr>
                  </w:pPr>
                  <w:r w:rsidRPr="00EC1833">
                    <w:rPr>
                      <w:noProof/>
                    </w:rPr>
                    <w:t>65.7</w:t>
                  </w:r>
                </w:p>
              </w:tc>
            </w:tr>
          </w:tbl>
          <w:p w14:paraId="57BFBEAA" w14:textId="77777777" w:rsidR="00FB2994" w:rsidRPr="0086153A" w:rsidRDefault="00FB2994" w:rsidP="00B202C2">
            <w:pP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7202765E" w14:textId="77777777" w:rsidR="00FB2994" w:rsidRPr="0086153A" w:rsidRDefault="00FB2994" w:rsidP="00B202C2">
            <w:pP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FB2994" w14:paraId="5598B12B" w14:textId="77777777" w:rsidTr="00B202C2">
              <w:trPr>
                <w:trHeight w:val="285"/>
              </w:trPr>
              <w:tc>
                <w:tcPr>
                  <w:tcW w:w="2235" w:type="dxa"/>
                  <w:tcBorders>
                    <w:top w:val="nil"/>
                    <w:left w:val="nil"/>
                    <w:bottom w:val="nil"/>
                    <w:right w:val="nil"/>
                  </w:tcBorders>
                  <w:vAlign w:val="bottom"/>
                </w:tcPr>
                <w:p w14:paraId="6383E297" w14:textId="77777777" w:rsidR="00FB2994" w:rsidRDefault="00FB2994" w:rsidP="00B202C2">
                  <w:pPr>
                    <w:spacing w:before="100" w:after="100"/>
                    <w:rPr>
                      <w:noProof/>
                    </w:rPr>
                  </w:pPr>
                  <w:r w:rsidRPr="00EC1833">
                    <w:rPr>
                      <w:noProof/>
                    </w:rPr>
                    <w:t>73%</w:t>
                  </w:r>
                </w:p>
              </w:tc>
            </w:tr>
          </w:tbl>
          <w:p w14:paraId="5DD19131" w14:textId="77777777" w:rsidR="00FB2994" w:rsidRPr="0086153A" w:rsidRDefault="00FB2994" w:rsidP="00B202C2">
            <w:pPr>
              <w:cnfStyle w:val="000000000000" w:firstRow="0" w:lastRow="0" w:firstColumn="0" w:lastColumn="0" w:oddVBand="0" w:evenVBand="0" w:oddHBand="0" w:evenHBand="0" w:firstRowFirstColumn="0" w:firstRowLastColumn="0" w:lastRowFirstColumn="0" w:lastRowLastColumn="0"/>
              <w:rPr>
                <w:noProof/>
              </w:rPr>
            </w:pPr>
          </w:p>
        </w:tc>
      </w:tr>
    </w:tbl>
    <w:p w14:paraId="02504022" w14:textId="77777777" w:rsidR="00FB2994" w:rsidRPr="00040D99" w:rsidRDefault="00FB2994" w:rsidP="00FB2994">
      <w:pPr>
        <w:spacing w:before="120" w:after="120"/>
        <w:rPr>
          <w:noProof/>
          <w:color w:val="5BA95B"/>
        </w:rPr>
      </w:pPr>
    </w:p>
    <w:p w14:paraId="5BB9023C" w14:textId="77777777" w:rsidR="00FB2994" w:rsidRDefault="00FB2994" w:rsidP="00FB2994">
      <w:pPr>
        <w:pStyle w:val="ppoListHyphened-L1"/>
        <w:jc w:val="both"/>
        <w:rPr>
          <w:noProof/>
        </w:rPr>
      </w:pPr>
      <w:r w:rsidRPr="000D13D5">
        <w:rPr>
          <w:noProof/>
        </w:rPr>
        <w:t xml:space="preserve">The EU Aid Volunteers </w:t>
      </w:r>
      <w:r>
        <w:rPr>
          <w:noProof/>
        </w:rPr>
        <w:t>i</w:t>
      </w:r>
      <w:r w:rsidRPr="000D13D5">
        <w:rPr>
          <w:noProof/>
        </w:rPr>
        <w:t xml:space="preserve">nitiative was managed by </w:t>
      </w:r>
      <w:r>
        <w:rPr>
          <w:noProof/>
        </w:rPr>
        <w:t xml:space="preserve">the </w:t>
      </w:r>
      <w:r w:rsidRPr="00BD539A">
        <w:rPr>
          <w:noProof/>
        </w:rPr>
        <w:t>Directorate-General</w:t>
      </w:r>
      <w:r w:rsidRPr="00BD539A">
        <w:rPr>
          <w:rFonts w:ascii="Calibri" w:hAnsi="Calibri" w:cs="Calibri"/>
          <w:noProof/>
        </w:rPr>
        <w:t> </w:t>
      </w:r>
      <w:r w:rsidRPr="00BD539A">
        <w:rPr>
          <w:noProof/>
        </w:rPr>
        <w:t>for European Civil Protection and Humanitarian Operations</w:t>
      </w:r>
      <w:r w:rsidRPr="707D6A2D">
        <w:rPr>
          <w:noProof/>
        </w:rPr>
        <w:t>. During the 2014-2020</w:t>
      </w:r>
      <w:r w:rsidRPr="00C77A01">
        <w:rPr>
          <w:noProof/>
        </w:rPr>
        <w:t xml:space="preserve"> </w:t>
      </w:r>
      <w:r w:rsidRPr="707D6A2D">
        <w:rPr>
          <w:noProof/>
        </w:rPr>
        <w:t>period</w:t>
      </w:r>
      <w:r>
        <w:rPr>
          <w:noProof/>
        </w:rPr>
        <w:t>,</w:t>
      </w:r>
      <w:r w:rsidRPr="707D6A2D">
        <w:rPr>
          <w:noProof/>
        </w:rPr>
        <w:t xml:space="preserve"> the total EU budget was </w:t>
      </w:r>
      <w:r>
        <w:rPr>
          <w:noProof/>
        </w:rPr>
        <w:t>allocated</w:t>
      </w:r>
      <w:r w:rsidRPr="707D6A2D">
        <w:rPr>
          <w:noProof/>
        </w:rPr>
        <w:t xml:space="preserve"> at nearly 100%</w:t>
      </w:r>
      <w:r>
        <w:rPr>
          <w:rFonts w:ascii="Calibri" w:hAnsi="Calibri" w:cs="Calibri"/>
          <w:noProof/>
        </w:rPr>
        <w:t xml:space="preserve"> </w:t>
      </w:r>
      <w:r>
        <w:rPr>
          <w:noProof/>
        </w:rPr>
        <w:t xml:space="preserve">in terms of commitments and at </w:t>
      </w:r>
      <w:r w:rsidRPr="707D6A2D">
        <w:rPr>
          <w:noProof/>
        </w:rPr>
        <w:t xml:space="preserve">73% </w:t>
      </w:r>
      <w:r>
        <w:rPr>
          <w:noProof/>
        </w:rPr>
        <w:t>in terms of payments</w:t>
      </w:r>
      <w:r w:rsidRPr="707D6A2D">
        <w:rPr>
          <w:noProof/>
        </w:rPr>
        <w:t>.</w:t>
      </w:r>
    </w:p>
    <w:p w14:paraId="6397A63E" w14:textId="77777777" w:rsidR="00FB2994" w:rsidRDefault="00FB2994" w:rsidP="00FB2994">
      <w:pPr>
        <w:pStyle w:val="ppoListHyphened-L1"/>
        <w:jc w:val="both"/>
        <w:rPr>
          <w:noProof/>
        </w:rPr>
      </w:pPr>
      <w:r w:rsidRPr="707D6A2D">
        <w:rPr>
          <w:noProof/>
        </w:rPr>
        <w:t>The COVID</w:t>
      </w:r>
      <w:r>
        <w:rPr>
          <w:noProof/>
        </w:rPr>
        <w:noBreakHyphen/>
        <w:t xml:space="preserve">19 pandemic </w:t>
      </w:r>
      <w:r w:rsidRPr="707D6A2D">
        <w:rPr>
          <w:noProof/>
        </w:rPr>
        <w:t xml:space="preserve">affected the </w:t>
      </w:r>
      <w:r>
        <w:rPr>
          <w:noProof/>
        </w:rPr>
        <w:t>h</w:t>
      </w:r>
      <w:r w:rsidRPr="707D6A2D">
        <w:rPr>
          <w:noProof/>
        </w:rPr>
        <w:t xml:space="preserve">umanitarian </w:t>
      </w:r>
      <w:r>
        <w:rPr>
          <w:noProof/>
        </w:rPr>
        <w:t>v</w:t>
      </w:r>
      <w:r w:rsidRPr="707D6A2D">
        <w:rPr>
          <w:noProof/>
        </w:rPr>
        <w:t xml:space="preserve">olunteering activities </w:t>
      </w:r>
      <w:r>
        <w:rPr>
          <w:noProof/>
        </w:rPr>
        <w:t xml:space="preserve">in </w:t>
      </w:r>
      <w:r w:rsidRPr="707D6A2D">
        <w:rPr>
          <w:noProof/>
        </w:rPr>
        <w:t xml:space="preserve">the last year of </w:t>
      </w:r>
      <w:r>
        <w:rPr>
          <w:noProof/>
        </w:rPr>
        <w:t>the programming period.</w:t>
      </w:r>
      <w:r w:rsidRPr="707D6A2D">
        <w:rPr>
          <w:noProof/>
        </w:rPr>
        <w:t xml:space="preserve"> A call for proposals was cance</w:t>
      </w:r>
      <w:r>
        <w:rPr>
          <w:noProof/>
        </w:rPr>
        <w:t>l</w:t>
      </w:r>
      <w:r w:rsidRPr="707D6A2D">
        <w:rPr>
          <w:noProof/>
        </w:rPr>
        <w:t>l</w:t>
      </w:r>
      <w:r>
        <w:rPr>
          <w:noProof/>
        </w:rPr>
        <w:t>ed</w:t>
      </w:r>
      <w:r w:rsidRPr="707D6A2D">
        <w:rPr>
          <w:noProof/>
        </w:rPr>
        <w:t xml:space="preserve"> and extensions of the duration </w:t>
      </w:r>
      <w:r>
        <w:rPr>
          <w:noProof/>
        </w:rPr>
        <w:t>of</w:t>
      </w:r>
      <w:r w:rsidRPr="707D6A2D">
        <w:rPr>
          <w:noProof/>
        </w:rPr>
        <w:t xml:space="preserve"> ongoing projects were granted to beneficiaries</w:t>
      </w:r>
      <w:r>
        <w:rPr>
          <w:noProof/>
        </w:rPr>
        <w:t>, thereby</w:t>
      </w:r>
      <w:r w:rsidRPr="707D6A2D">
        <w:rPr>
          <w:noProof/>
        </w:rPr>
        <w:t xml:space="preserve"> redu</w:t>
      </w:r>
      <w:r>
        <w:rPr>
          <w:noProof/>
        </w:rPr>
        <w:t xml:space="preserve">cing payments scheduled in 2021. </w:t>
      </w:r>
      <w:r w:rsidRPr="707D6A2D">
        <w:rPr>
          <w:noProof/>
        </w:rPr>
        <w:t xml:space="preserve">The payments appropriation in 2022 and 2023 will serve to support final payments of projects and actions implemented by </w:t>
      </w:r>
      <w:r>
        <w:rPr>
          <w:noProof/>
        </w:rPr>
        <w:t xml:space="preserve">the </w:t>
      </w:r>
      <w:r w:rsidRPr="00BD539A">
        <w:rPr>
          <w:noProof/>
        </w:rPr>
        <w:t>Education, Audiovisual and Culture Executive Agency</w:t>
      </w:r>
      <w:r w:rsidRPr="707D6A2D">
        <w:rPr>
          <w:noProof/>
        </w:rPr>
        <w:t>.</w:t>
      </w:r>
    </w:p>
    <w:p w14:paraId="4BD17F53" w14:textId="77777777" w:rsidR="00FB2994" w:rsidRDefault="00FB2994" w:rsidP="00FB2994">
      <w:pPr>
        <w:pStyle w:val="ppoListHyphened-L1"/>
        <w:numPr>
          <w:ilvl w:val="0"/>
          <w:numId w:val="0"/>
        </w:numPr>
        <w:ind w:left="357"/>
        <w:jc w:val="both"/>
        <w:rPr>
          <w:noProof/>
        </w:rPr>
      </w:pPr>
    </w:p>
    <w:p w14:paraId="3F0E7516" w14:textId="77777777" w:rsidR="00FB2994" w:rsidRPr="00040D99" w:rsidRDefault="00FB2994" w:rsidP="00FB2994">
      <w:pPr>
        <w:pStyle w:val="ppoHeading5"/>
        <w:jc w:val="both"/>
        <w:rPr>
          <w:noProof/>
        </w:rPr>
      </w:pPr>
      <w:r w:rsidRPr="00040D99">
        <w:rPr>
          <w:noProof/>
        </w:rPr>
        <w:t>Performance assessment</w:t>
      </w:r>
    </w:p>
    <w:p w14:paraId="28AE8FFB" w14:textId="77777777" w:rsidR="00FB2994" w:rsidRPr="00040D99" w:rsidRDefault="00FB2994" w:rsidP="00FB2994">
      <w:pPr>
        <w:pStyle w:val="ppoHeading6"/>
        <w:jc w:val="both"/>
        <w:rPr>
          <w:noProof/>
        </w:rPr>
      </w:pPr>
      <w:r w:rsidRPr="00040D99">
        <w:rPr>
          <w:noProof/>
        </w:rPr>
        <w:t>Key performance indicators</w:t>
      </w:r>
    </w:p>
    <w:tbl>
      <w:tblPr>
        <w:tblStyle w:val="PPO2021"/>
        <w:tblW w:w="9639" w:type="dxa"/>
        <w:tblInd w:w="0" w:type="dxa"/>
        <w:tblLook w:val="0420" w:firstRow="1" w:lastRow="0" w:firstColumn="0" w:lastColumn="0" w:noHBand="0" w:noVBand="1"/>
      </w:tblPr>
      <w:tblGrid>
        <w:gridCol w:w="2260"/>
        <w:gridCol w:w="1111"/>
        <w:gridCol w:w="1540"/>
        <w:gridCol w:w="1547"/>
        <w:gridCol w:w="1587"/>
        <w:gridCol w:w="1594"/>
      </w:tblGrid>
      <w:tr w:rsidR="00FB2994" w:rsidRPr="0086153A" w14:paraId="32E4A247" w14:textId="77777777" w:rsidTr="00B202C2">
        <w:trPr>
          <w:cnfStyle w:val="100000000000" w:firstRow="1" w:lastRow="0" w:firstColumn="0" w:lastColumn="0" w:oddVBand="0" w:evenVBand="0" w:oddHBand="0" w:evenHBand="0" w:firstRowFirstColumn="0" w:firstRowLastColumn="0" w:lastRowFirstColumn="0" w:lastRowLastColumn="0"/>
        </w:trPr>
        <w:tc>
          <w:tcPr>
            <w:tcW w:w="2260" w:type="dxa"/>
          </w:tcPr>
          <w:p w14:paraId="4BD6527F" w14:textId="77777777" w:rsidR="00FB2994" w:rsidRPr="0086153A" w:rsidRDefault="00FB2994" w:rsidP="00B202C2">
            <w:pPr>
              <w:rPr>
                <w:noProof/>
              </w:rPr>
            </w:pPr>
          </w:p>
        </w:tc>
        <w:tc>
          <w:tcPr>
            <w:tcW w:w="1111" w:type="dxa"/>
          </w:tcPr>
          <w:p w14:paraId="7827A275" w14:textId="77777777" w:rsidR="00FB2994" w:rsidRPr="0086153A" w:rsidRDefault="00FB2994" w:rsidP="00B202C2">
            <w:pPr>
              <w:rPr>
                <w:noProof/>
              </w:rPr>
            </w:pPr>
            <w:r w:rsidRPr="0086153A">
              <w:rPr>
                <w:noProof/>
              </w:rPr>
              <w:t>Baseline</w:t>
            </w:r>
          </w:p>
        </w:tc>
        <w:tc>
          <w:tcPr>
            <w:tcW w:w="1540" w:type="dxa"/>
          </w:tcPr>
          <w:p w14:paraId="239057EB" w14:textId="77777777" w:rsidR="00FB2994" w:rsidRPr="0086153A" w:rsidRDefault="00FB2994" w:rsidP="00B202C2">
            <w:pPr>
              <w:rPr>
                <w:noProof/>
              </w:rPr>
            </w:pPr>
            <w:r w:rsidRPr="0086153A">
              <w:rPr>
                <w:noProof/>
              </w:rPr>
              <w:t>Progress</w:t>
            </w:r>
            <w:r>
              <w:rPr>
                <w:rFonts w:ascii="Calibri" w:hAnsi="Calibri" w:cs="Calibri"/>
                <w:noProof/>
              </w:rPr>
              <w:t> </w:t>
            </w:r>
            <w:r>
              <w:rPr>
                <w:noProof/>
              </w:rPr>
              <w:t>(*)</w:t>
            </w:r>
          </w:p>
        </w:tc>
        <w:tc>
          <w:tcPr>
            <w:tcW w:w="1547" w:type="dxa"/>
          </w:tcPr>
          <w:p w14:paraId="73899E1F" w14:textId="77777777" w:rsidR="00FB2994" w:rsidRPr="0086153A" w:rsidRDefault="00FB2994" w:rsidP="00B202C2">
            <w:pPr>
              <w:rPr>
                <w:noProof/>
              </w:rPr>
            </w:pPr>
            <w:r w:rsidRPr="0086153A">
              <w:rPr>
                <w:noProof/>
              </w:rPr>
              <w:t>Target</w:t>
            </w:r>
          </w:p>
        </w:tc>
        <w:tc>
          <w:tcPr>
            <w:tcW w:w="1587" w:type="dxa"/>
          </w:tcPr>
          <w:p w14:paraId="0183FD9B" w14:textId="77777777" w:rsidR="00FB2994" w:rsidRPr="0086153A" w:rsidRDefault="00FB2994" w:rsidP="00B202C2">
            <w:pPr>
              <w:rPr>
                <w:noProof/>
              </w:rPr>
            </w:pPr>
            <w:r w:rsidRPr="0086153A">
              <w:rPr>
                <w:noProof/>
              </w:rPr>
              <w:t>Results</w:t>
            </w:r>
          </w:p>
        </w:tc>
        <w:tc>
          <w:tcPr>
            <w:tcW w:w="1594" w:type="dxa"/>
          </w:tcPr>
          <w:p w14:paraId="3FA4DDFA" w14:textId="77777777" w:rsidR="00FB2994" w:rsidRPr="0086153A" w:rsidRDefault="00FB2994" w:rsidP="00B202C2">
            <w:pPr>
              <w:rPr>
                <w:noProof/>
              </w:rPr>
            </w:pPr>
            <w:r w:rsidRPr="0086153A">
              <w:rPr>
                <w:noProof/>
              </w:rPr>
              <w:t>Assessment</w:t>
            </w:r>
          </w:p>
        </w:tc>
      </w:tr>
      <w:tr w:rsidR="00FB2994" w:rsidRPr="0086153A" w14:paraId="3F1334CD" w14:textId="77777777" w:rsidTr="00B202C2">
        <w:trPr>
          <w:cnfStyle w:val="000000100000" w:firstRow="0" w:lastRow="0" w:firstColumn="0" w:lastColumn="0" w:oddVBand="0" w:evenVBand="0" w:oddHBand="1" w:evenHBand="0" w:firstRowFirstColumn="0" w:firstRowLastColumn="0" w:lastRowFirstColumn="0" w:lastRowLastColumn="0"/>
        </w:trPr>
        <w:tc>
          <w:tcPr>
            <w:tcW w:w="2260" w:type="dxa"/>
          </w:tcPr>
          <w:p w14:paraId="083256A9" w14:textId="77777777" w:rsidR="00FB2994" w:rsidRPr="0086153A" w:rsidRDefault="00FB2994" w:rsidP="00B202C2">
            <w:pPr>
              <w:rPr>
                <w:noProof/>
              </w:rPr>
            </w:pPr>
            <w:r>
              <w:rPr>
                <w:noProof/>
              </w:rPr>
              <w:t>Number of EU aid volunteers trained</w:t>
            </w:r>
          </w:p>
        </w:tc>
        <w:tc>
          <w:tcPr>
            <w:tcW w:w="1111" w:type="dxa"/>
          </w:tcPr>
          <w:p w14:paraId="0E335535" w14:textId="77777777" w:rsidR="00FB2994" w:rsidRPr="0086153A" w:rsidRDefault="00FB2994" w:rsidP="00B202C2">
            <w:pPr>
              <w:rPr>
                <w:noProof/>
              </w:rPr>
            </w:pPr>
          </w:p>
        </w:tc>
        <w:tc>
          <w:tcPr>
            <w:tcW w:w="1540" w:type="dxa"/>
          </w:tcPr>
          <w:p w14:paraId="6258947D" w14:textId="77777777" w:rsidR="00FB2994" w:rsidRPr="0086153A" w:rsidRDefault="00FB2994" w:rsidP="00B202C2">
            <w:pPr>
              <w:rPr>
                <w:b/>
                <w:noProof/>
              </w:rPr>
            </w:pPr>
            <w:r>
              <w:rPr>
                <w:noProof/>
              </w:rPr>
              <w:t>25%</w:t>
            </w:r>
          </w:p>
        </w:tc>
        <w:tc>
          <w:tcPr>
            <w:tcW w:w="1547" w:type="dxa"/>
          </w:tcPr>
          <w:p w14:paraId="7B456F20" w14:textId="77777777" w:rsidR="00FB2994" w:rsidRPr="0086153A" w:rsidRDefault="00FB2994" w:rsidP="00B202C2">
            <w:pPr>
              <w:rPr>
                <w:noProof/>
              </w:rPr>
            </w:pPr>
            <w:r>
              <w:rPr>
                <w:noProof/>
              </w:rPr>
              <w:t>4</w:t>
            </w:r>
            <w:r>
              <w:rPr>
                <w:rFonts w:ascii="Calibri" w:hAnsi="Calibri" w:cs="Calibri"/>
                <w:noProof/>
              </w:rPr>
              <w:t> </w:t>
            </w:r>
            <w:r>
              <w:rPr>
                <w:noProof/>
              </w:rPr>
              <w:t>300</w:t>
            </w:r>
          </w:p>
        </w:tc>
        <w:tc>
          <w:tcPr>
            <w:tcW w:w="1587" w:type="dxa"/>
          </w:tcPr>
          <w:p w14:paraId="31C51829" w14:textId="77777777" w:rsidR="00FB2994" w:rsidRPr="0086153A" w:rsidRDefault="00FB2994" w:rsidP="00B202C2">
            <w:pPr>
              <w:rPr>
                <w:noProof/>
              </w:rPr>
            </w:pPr>
            <w:r>
              <w:rPr>
                <w:noProof/>
              </w:rPr>
              <w:t>1</w:t>
            </w:r>
            <w:r>
              <w:rPr>
                <w:rFonts w:ascii="Calibri" w:hAnsi="Calibri" w:cs="Calibri"/>
                <w:noProof/>
              </w:rPr>
              <w:t> </w:t>
            </w:r>
            <w:r>
              <w:rPr>
                <w:noProof/>
              </w:rPr>
              <w:t>070 out of 4</w:t>
            </w:r>
            <w:r>
              <w:rPr>
                <w:rFonts w:ascii="Calibri" w:hAnsi="Calibri" w:cs="Calibri"/>
                <w:noProof/>
              </w:rPr>
              <w:t> </w:t>
            </w:r>
            <w:r>
              <w:rPr>
                <w:noProof/>
              </w:rPr>
              <w:t>300 volunteers trained</w:t>
            </w:r>
          </w:p>
        </w:tc>
        <w:tc>
          <w:tcPr>
            <w:tcW w:w="1594" w:type="dxa"/>
          </w:tcPr>
          <w:p w14:paraId="713CA858" w14:textId="77777777" w:rsidR="00FB2994" w:rsidRPr="0086153A" w:rsidRDefault="00FB2994" w:rsidP="00B202C2">
            <w:pPr>
              <w:rPr>
                <w:noProof/>
              </w:rPr>
            </w:pPr>
            <w:r>
              <w:rPr>
                <w:noProof/>
              </w:rPr>
              <w:t>Deserves attention</w:t>
            </w:r>
          </w:p>
        </w:tc>
      </w:tr>
      <w:tr w:rsidR="00FB2994" w:rsidRPr="0086153A" w14:paraId="5E8DC7FC" w14:textId="77777777" w:rsidTr="00B202C2">
        <w:trPr>
          <w:cnfStyle w:val="000000010000" w:firstRow="0" w:lastRow="0" w:firstColumn="0" w:lastColumn="0" w:oddVBand="0" w:evenVBand="0" w:oddHBand="0" w:evenHBand="1" w:firstRowFirstColumn="0" w:firstRowLastColumn="0" w:lastRowFirstColumn="0" w:lastRowLastColumn="0"/>
        </w:trPr>
        <w:tc>
          <w:tcPr>
            <w:tcW w:w="2260" w:type="dxa"/>
          </w:tcPr>
          <w:p w14:paraId="5EDD67A0" w14:textId="77777777" w:rsidR="00FB2994" w:rsidRPr="0086153A" w:rsidRDefault="00FB2994" w:rsidP="00B202C2">
            <w:pPr>
              <w:rPr>
                <w:noProof/>
              </w:rPr>
            </w:pPr>
            <w:r>
              <w:rPr>
                <w:noProof/>
              </w:rPr>
              <w:t>Number of EU aid volunteers deployed</w:t>
            </w:r>
          </w:p>
        </w:tc>
        <w:tc>
          <w:tcPr>
            <w:tcW w:w="1111" w:type="dxa"/>
          </w:tcPr>
          <w:p w14:paraId="6EDD4614" w14:textId="77777777" w:rsidR="00FB2994" w:rsidRPr="0086153A" w:rsidRDefault="00FB2994" w:rsidP="00B202C2">
            <w:pPr>
              <w:rPr>
                <w:noProof/>
              </w:rPr>
            </w:pPr>
          </w:p>
        </w:tc>
        <w:tc>
          <w:tcPr>
            <w:tcW w:w="1540" w:type="dxa"/>
          </w:tcPr>
          <w:p w14:paraId="39D66F1E" w14:textId="77777777" w:rsidR="00FB2994" w:rsidRPr="0086153A" w:rsidRDefault="00FB2994" w:rsidP="00B202C2">
            <w:pPr>
              <w:rPr>
                <w:b/>
                <w:noProof/>
              </w:rPr>
            </w:pPr>
            <w:r>
              <w:rPr>
                <w:noProof/>
              </w:rPr>
              <w:t>23%</w:t>
            </w:r>
          </w:p>
        </w:tc>
        <w:tc>
          <w:tcPr>
            <w:tcW w:w="1547" w:type="dxa"/>
          </w:tcPr>
          <w:p w14:paraId="7271A37E" w14:textId="77777777" w:rsidR="00FB2994" w:rsidRPr="0086153A" w:rsidRDefault="00FB2994" w:rsidP="00B202C2">
            <w:pPr>
              <w:rPr>
                <w:noProof/>
              </w:rPr>
            </w:pPr>
            <w:r>
              <w:rPr>
                <w:noProof/>
              </w:rPr>
              <w:t>4</w:t>
            </w:r>
            <w:r>
              <w:rPr>
                <w:rFonts w:ascii="Calibri" w:hAnsi="Calibri" w:cs="Calibri"/>
                <w:noProof/>
              </w:rPr>
              <w:t> </w:t>
            </w:r>
            <w:r>
              <w:rPr>
                <w:noProof/>
              </w:rPr>
              <w:t>175</w:t>
            </w:r>
          </w:p>
        </w:tc>
        <w:tc>
          <w:tcPr>
            <w:tcW w:w="1587" w:type="dxa"/>
          </w:tcPr>
          <w:p w14:paraId="0C9A1190" w14:textId="77777777" w:rsidR="00FB2994" w:rsidRPr="0086153A" w:rsidRDefault="00FB2994" w:rsidP="00B202C2">
            <w:pPr>
              <w:rPr>
                <w:noProof/>
              </w:rPr>
            </w:pPr>
            <w:r>
              <w:rPr>
                <w:noProof/>
              </w:rPr>
              <w:t>955 out of 4</w:t>
            </w:r>
            <w:r>
              <w:rPr>
                <w:rFonts w:ascii="Calibri" w:hAnsi="Calibri" w:cs="Calibri"/>
                <w:noProof/>
              </w:rPr>
              <w:t> </w:t>
            </w:r>
            <w:r>
              <w:rPr>
                <w:noProof/>
              </w:rPr>
              <w:t>175 volunteers</w:t>
            </w:r>
          </w:p>
        </w:tc>
        <w:tc>
          <w:tcPr>
            <w:tcW w:w="1594" w:type="dxa"/>
          </w:tcPr>
          <w:p w14:paraId="0DA06D4C" w14:textId="77777777" w:rsidR="00FB2994" w:rsidRPr="0086153A" w:rsidRDefault="00FB2994" w:rsidP="00B202C2">
            <w:pPr>
              <w:rPr>
                <w:noProof/>
              </w:rPr>
            </w:pPr>
            <w:r>
              <w:rPr>
                <w:noProof/>
              </w:rPr>
              <w:t>Deserves attention</w:t>
            </w:r>
          </w:p>
        </w:tc>
      </w:tr>
      <w:tr w:rsidR="00FB2994" w:rsidRPr="0086153A" w14:paraId="67AB0A9C" w14:textId="77777777" w:rsidTr="00B202C2">
        <w:trPr>
          <w:cnfStyle w:val="000000100000" w:firstRow="0" w:lastRow="0" w:firstColumn="0" w:lastColumn="0" w:oddVBand="0" w:evenVBand="0" w:oddHBand="1" w:evenHBand="0" w:firstRowFirstColumn="0" w:firstRowLastColumn="0" w:lastRowFirstColumn="0" w:lastRowLastColumn="0"/>
        </w:trPr>
        <w:tc>
          <w:tcPr>
            <w:tcW w:w="2260" w:type="dxa"/>
          </w:tcPr>
          <w:p w14:paraId="003E046A" w14:textId="77777777" w:rsidR="00FB2994" w:rsidRPr="0086153A" w:rsidRDefault="00FB2994" w:rsidP="00B202C2">
            <w:pPr>
              <w:rPr>
                <w:noProof/>
              </w:rPr>
            </w:pPr>
            <w:r>
              <w:rPr>
                <w:noProof/>
              </w:rPr>
              <w:t>Number of hosting and sending organisations participating in the EU aid volunteers initiative</w:t>
            </w:r>
          </w:p>
        </w:tc>
        <w:tc>
          <w:tcPr>
            <w:tcW w:w="1111" w:type="dxa"/>
          </w:tcPr>
          <w:p w14:paraId="663BFF44" w14:textId="77777777" w:rsidR="00FB2994" w:rsidRPr="0086153A" w:rsidRDefault="00FB2994" w:rsidP="00B202C2">
            <w:pPr>
              <w:rPr>
                <w:noProof/>
              </w:rPr>
            </w:pPr>
          </w:p>
        </w:tc>
        <w:tc>
          <w:tcPr>
            <w:tcW w:w="1540" w:type="dxa"/>
          </w:tcPr>
          <w:p w14:paraId="26BCCCB7" w14:textId="77777777" w:rsidR="00FB2994" w:rsidRPr="0086153A" w:rsidRDefault="00FB2994" w:rsidP="00B202C2">
            <w:pPr>
              <w:rPr>
                <w:b/>
                <w:noProof/>
              </w:rPr>
            </w:pPr>
            <w:r>
              <w:rPr>
                <w:noProof/>
              </w:rPr>
              <w:t>69%</w:t>
            </w:r>
          </w:p>
        </w:tc>
        <w:tc>
          <w:tcPr>
            <w:tcW w:w="1547" w:type="dxa"/>
          </w:tcPr>
          <w:p w14:paraId="340657C1" w14:textId="77777777" w:rsidR="00FB2994" w:rsidRPr="0086153A" w:rsidRDefault="00FB2994" w:rsidP="00B202C2">
            <w:pPr>
              <w:rPr>
                <w:noProof/>
              </w:rPr>
            </w:pPr>
            <w:r>
              <w:rPr>
                <w:noProof/>
              </w:rPr>
              <w:t>120</w:t>
            </w:r>
          </w:p>
        </w:tc>
        <w:tc>
          <w:tcPr>
            <w:tcW w:w="1587" w:type="dxa"/>
          </w:tcPr>
          <w:p w14:paraId="726167B1" w14:textId="77777777" w:rsidR="00FB2994" w:rsidRPr="0086153A" w:rsidRDefault="00FB2994" w:rsidP="00B202C2">
            <w:pPr>
              <w:rPr>
                <w:noProof/>
              </w:rPr>
            </w:pPr>
            <w:r>
              <w:rPr>
                <w:noProof/>
              </w:rPr>
              <w:t>439 out of 635 organisations</w:t>
            </w:r>
          </w:p>
        </w:tc>
        <w:tc>
          <w:tcPr>
            <w:tcW w:w="1594" w:type="dxa"/>
          </w:tcPr>
          <w:p w14:paraId="1DD3F6AD" w14:textId="77777777" w:rsidR="00FB2994" w:rsidRPr="0086153A" w:rsidRDefault="00FB2994" w:rsidP="00B202C2">
            <w:pPr>
              <w:rPr>
                <w:noProof/>
              </w:rPr>
            </w:pPr>
            <w:r>
              <w:rPr>
                <w:noProof/>
              </w:rPr>
              <w:t>Moderate progress</w:t>
            </w:r>
          </w:p>
        </w:tc>
      </w:tr>
    </w:tbl>
    <w:p w14:paraId="27C2F29E" w14:textId="77777777" w:rsidR="00FB2994" w:rsidRPr="00040D99" w:rsidRDefault="00FB2994" w:rsidP="00FB2994">
      <w:pPr>
        <w:pStyle w:val="FootnoteText"/>
        <w:rPr>
          <w:noProof/>
        </w:rPr>
      </w:pPr>
      <w:r>
        <w:rPr>
          <w:noProof/>
        </w:rPr>
        <w:t>(*)</w:t>
      </w:r>
      <w:r w:rsidRPr="00040D99">
        <w:rPr>
          <w:noProof/>
        </w:rPr>
        <w:t xml:space="preserve"> </w:t>
      </w:r>
      <w:r w:rsidRPr="001A6D99">
        <w:rPr>
          <w:noProof/>
        </w:rPr>
        <w:t>Cumulative results for 2014-2</w:t>
      </w:r>
      <w:r>
        <w:rPr>
          <w:noProof/>
        </w:rPr>
        <w:t>021</w:t>
      </w:r>
      <w:r w:rsidRPr="001A6D99">
        <w:rPr>
          <w:noProof/>
        </w:rPr>
        <w:t xml:space="preserve"> compared to cumu</w:t>
      </w:r>
      <w:r>
        <w:rPr>
          <w:noProof/>
        </w:rPr>
        <w:t>lative milestones for 2014-2020</w:t>
      </w:r>
      <w:r w:rsidRPr="00040D99">
        <w:rPr>
          <w:noProof/>
        </w:rPr>
        <w:t>.</w:t>
      </w:r>
    </w:p>
    <w:p w14:paraId="7CE2591B" w14:textId="77777777" w:rsidR="00FB2994" w:rsidRPr="00075CCE" w:rsidRDefault="00FB2994" w:rsidP="00FB2994">
      <w:pPr>
        <w:pStyle w:val="ppoListHyphened-L1"/>
        <w:spacing w:before="360"/>
        <w:ind w:left="360" w:hanging="360"/>
        <w:jc w:val="both"/>
        <w:rPr>
          <w:noProof/>
        </w:rPr>
      </w:pPr>
      <w:r w:rsidRPr="00075CCE">
        <w:rPr>
          <w:noProof/>
        </w:rPr>
        <w:t>After the launch of the initiative, the uptake of this new programme was below expectations. For the 2014-2020</w:t>
      </w:r>
      <w:r w:rsidRPr="009010B6">
        <w:rPr>
          <w:noProof/>
        </w:rPr>
        <w:t xml:space="preserve"> </w:t>
      </w:r>
      <w:r w:rsidRPr="00075CCE">
        <w:rPr>
          <w:noProof/>
        </w:rPr>
        <w:t>period, the EU</w:t>
      </w:r>
      <w:r>
        <w:rPr>
          <w:noProof/>
        </w:rPr>
        <w:t xml:space="preserve"> Aid Volunteers</w:t>
      </w:r>
      <w:r w:rsidRPr="00075CCE">
        <w:rPr>
          <w:noProof/>
        </w:rPr>
        <w:t xml:space="preserve"> </w:t>
      </w:r>
      <w:r>
        <w:rPr>
          <w:noProof/>
        </w:rPr>
        <w:t>i</w:t>
      </w:r>
      <w:r w:rsidRPr="00075CCE">
        <w:rPr>
          <w:noProof/>
        </w:rPr>
        <w:t xml:space="preserve">nitiative was </w:t>
      </w:r>
      <w:r>
        <w:rPr>
          <w:noProof/>
        </w:rPr>
        <w:t>granted</w:t>
      </w:r>
      <w:r w:rsidRPr="00075CCE">
        <w:rPr>
          <w:noProof/>
        </w:rPr>
        <w:t xml:space="preserve"> 141</w:t>
      </w:r>
      <w:r w:rsidRPr="0017080F">
        <w:rPr>
          <w:rFonts w:ascii="Calibri" w:hAnsi="Calibri" w:cs="Calibri"/>
          <w:noProof/>
        </w:rPr>
        <w:t> </w:t>
      </w:r>
      <w:r w:rsidRPr="00075CCE">
        <w:rPr>
          <w:noProof/>
        </w:rPr>
        <w:t>million</w:t>
      </w:r>
      <w:r>
        <w:rPr>
          <w:rFonts w:ascii="Calibri" w:hAnsi="Calibri" w:cs="Calibri"/>
          <w:noProof/>
        </w:rPr>
        <w:t> </w:t>
      </w:r>
      <w:r>
        <w:rPr>
          <w:noProof/>
        </w:rPr>
        <w:t>EUR</w:t>
      </w:r>
      <w:r w:rsidRPr="00075CCE">
        <w:rPr>
          <w:noProof/>
        </w:rPr>
        <w:t xml:space="preserve"> to finance the training of an initial target of 4</w:t>
      </w:r>
      <w:r w:rsidRPr="0017080F">
        <w:rPr>
          <w:rFonts w:ascii="Calibri" w:hAnsi="Calibri" w:cs="Calibri"/>
          <w:noProof/>
        </w:rPr>
        <w:t> </w:t>
      </w:r>
      <w:r w:rsidRPr="00075CCE">
        <w:rPr>
          <w:noProof/>
        </w:rPr>
        <w:t>400</w:t>
      </w:r>
      <w:r>
        <w:rPr>
          <w:rFonts w:ascii="Calibri" w:hAnsi="Calibri" w:cs="Calibri"/>
          <w:noProof/>
        </w:rPr>
        <w:t xml:space="preserve"> </w:t>
      </w:r>
      <w:r w:rsidRPr="00075CCE">
        <w:rPr>
          <w:noProof/>
        </w:rPr>
        <w:t>volunteers and the deployment of 4</w:t>
      </w:r>
      <w:r w:rsidRPr="0017080F">
        <w:rPr>
          <w:rFonts w:ascii="Calibri" w:hAnsi="Calibri" w:cs="Calibri"/>
          <w:noProof/>
        </w:rPr>
        <w:t> </w:t>
      </w:r>
      <w:r w:rsidRPr="00075CCE">
        <w:rPr>
          <w:noProof/>
        </w:rPr>
        <w:t>000</w:t>
      </w:r>
      <w:r w:rsidRPr="0017080F">
        <w:rPr>
          <w:rFonts w:ascii="Calibri" w:hAnsi="Calibri" w:cs="Calibri"/>
          <w:noProof/>
        </w:rPr>
        <w:t> </w:t>
      </w:r>
      <w:r w:rsidRPr="00075CCE">
        <w:rPr>
          <w:noProof/>
        </w:rPr>
        <w:t>volunteers, the provision of technical assistance and capacity building to participating organisations, and the implementation of communication and other support activities. By end of 2020, 1</w:t>
      </w:r>
      <w:r w:rsidRPr="0017080F">
        <w:rPr>
          <w:rFonts w:ascii="Calibri" w:hAnsi="Calibri" w:cs="Calibri"/>
          <w:noProof/>
        </w:rPr>
        <w:t> </w:t>
      </w:r>
      <w:r w:rsidRPr="00075CCE">
        <w:rPr>
          <w:noProof/>
        </w:rPr>
        <w:t>173</w:t>
      </w:r>
      <w:r>
        <w:rPr>
          <w:rFonts w:ascii="Calibri" w:hAnsi="Calibri" w:cs="Calibri"/>
          <w:noProof/>
        </w:rPr>
        <w:t xml:space="preserve"> </w:t>
      </w:r>
      <w:r w:rsidRPr="00075CCE">
        <w:rPr>
          <w:noProof/>
        </w:rPr>
        <w:t>deployments were financed</w:t>
      </w:r>
      <w:r>
        <w:rPr>
          <w:noProof/>
        </w:rPr>
        <w:t>,</w:t>
      </w:r>
      <w:r w:rsidRPr="00075CCE">
        <w:rPr>
          <w:noProof/>
        </w:rPr>
        <w:t xml:space="preserve"> amounting to 29% of the initial target</w:t>
      </w:r>
      <w:r>
        <w:rPr>
          <w:noProof/>
        </w:rPr>
        <w:t>,</w:t>
      </w:r>
      <w:r w:rsidRPr="00075CCE">
        <w:rPr>
          <w:noProof/>
        </w:rPr>
        <w:t xml:space="preserve"> and 788</w:t>
      </w:r>
      <w:r w:rsidRPr="0017080F">
        <w:rPr>
          <w:rFonts w:ascii="Calibri" w:hAnsi="Calibri" w:cs="Calibri"/>
          <w:noProof/>
        </w:rPr>
        <w:t> </w:t>
      </w:r>
      <w:r>
        <w:rPr>
          <w:noProof/>
        </w:rPr>
        <w:t>deployments had taken place.</w:t>
      </w:r>
    </w:p>
    <w:p w14:paraId="12816C7A" w14:textId="77777777" w:rsidR="00FB2994" w:rsidRPr="00075CCE" w:rsidRDefault="00FB2994" w:rsidP="00FB2994">
      <w:pPr>
        <w:pStyle w:val="ppoListHyphened-L1"/>
        <w:jc w:val="both"/>
        <w:rPr>
          <w:noProof/>
        </w:rPr>
      </w:pPr>
      <w:r w:rsidRPr="00075CCE">
        <w:rPr>
          <w:noProof/>
        </w:rPr>
        <w:t xml:space="preserve">The EU Aid Volunteers initiative introduced a thorough certification mechanism that requires sending and hosting organisations to prove that they have procedures and policies in place to achieve the high volunteering standards of the programme. The certification mechanism </w:t>
      </w:r>
      <w:r w:rsidRPr="001A244D">
        <w:rPr>
          <w:noProof/>
        </w:rPr>
        <w:t>did not exist</w:t>
      </w:r>
      <w:r w:rsidRPr="00075CCE">
        <w:rPr>
          <w:noProof/>
        </w:rPr>
        <w:t xml:space="preserve"> during the pilot phase. Consequently, challenging targets were set in terms of certified organisations</w:t>
      </w:r>
      <w:r>
        <w:rPr>
          <w:noProof/>
        </w:rPr>
        <w:t xml:space="preserve"> and </w:t>
      </w:r>
      <w:r w:rsidRPr="00075CCE">
        <w:rPr>
          <w:noProof/>
        </w:rPr>
        <w:t xml:space="preserve">volunteers trained and deployed, which did not </w:t>
      </w:r>
      <w:r>
        <w:rPr>
          <w:noProof/>
        </w:rPr>
        <w:t>produce satisfactory results</w:t>
      </w:r>
      <w:r w:rsidRPr="00075CCE">
        <w:rPr>
          <w:noProof/>
        </w:rPr>
        <w:t>.</w:t>
      </w:r>
    </w:p>
    <w:p w14:paraId="0A2B4DFA" w14:textId="77777777" w:rsidR="00FB2994" w:rsidRDefault="00FB2994" w:rsidP="00FB2994">
      <w:pPr>
        <w:pStyle w:val="ppoListHyphened-L1"/>
        <w:jc w:val="both"/>
        <w:rPr>
          <w:noProof/>
        </w:rPr>
      </w:pPr>
      <w:r>
        <w:rPr>
          <w:noProof/>
        </w:rPr>
        <w:t>In light of these issues, better c</w:t>
      </w:r>
      <w:r w:rsidRPr="4BFA9CFA">
        <w:rPr>
          <w:noProof/>
        </w:rPr>
        <w:t>oherence and synergies with the European Voluntary Service and the European</w:t>
      </w:r>
      <w:r w:rsidRPr="00062863">
        <w:rPr>
          <w:noProof/>
        </w:rPr>
        <w:t xml:space="preserve"> Solidarity Corps</w:t>
      </w:r>
      <w:r>
        <w:rPr>
          <w:noProof/>
        </w:rPr>
        <w:t xml:space="preserve"> gave rise to the creation </w:t>
      </w:r>
      <w:r w:rsidRPr="0001270E">
        <w:rPr>
          <w:noProof/>
        </w:rPr>
        <w:t xml:space="preserve">of a </w:t>
      </w:r>
      <w:r w:rsidRPr="0001270E">
        <w:rPr>
          <w:noProof/>
          <w:lang w:val="en-IE"/>
        </w:rPr>
        <w:t>new humanitarian aid strand</w:t>
      </w:r>
      <w:r>
        <w:rPr>
          <w:noProof/>
          <w:lang w:val="en-IE"/>
        </w:rPr>
        <w:t>:</w:t>
      </w:r>
      <w:r w:rsidRPr="0001270E">
        <w:rPr>
          <w:noProof/>
          <w:lang w:val="en-IE"/>
        </w:rPr>
        <w:t xml:space="preserve"> </w:t>
      </w:r>
      <w:r w:rsidRPr="00EF72CA">
        <w:rPr>
          <w:noProof/>
          <w:lang w:val="en-IE"/>
        </w:rPr>
        <w:t>the new European Solidarity Corps</w:t>
      </w:r>
      <w:r>
        <w:rPr>
          <w:noProof/>
        </w:rPr>
        <w:t xml:space="preserve"> (2021-2027 multiannual financial framework), which replaced the </w:t>
      </w:r>
      <w:r w:rsidRPr="006023B3">
        <w:rPr>
          <w:noProof/>
        </w:rPr>
        <w:t xml:space="preserve">EU Aid Volunteers </w:t>
      </w:r>
      <w:r>
        <w:rPr>
          <w:noProof/>
        </w:rPr>
        <w:t>i</w:t>
      </w:r>
      <w:r w:rsidRPr="006023B3">
        <w:rPr>
          <w:noProof/>
        </w:rPr>
        <w:t>nitiative</w:t>
      </w:r>
      <w:r>
        <w:rPr>
          <w:noProof/>
        </w:rPr>
        <w:t>.</w:t>
      </w:r>
    </w:p>
    <w:p w14:paraId="0904D077" w14:textId="77777777" w:rsidR="00017070" w:rsidRDefault="00017070" w:rsidP="00E73D04">
      <w:pPr>
        <w:pStyle w:val="ppoListHyphened-L1"/>
        <w:rPr>
          <w:b/>
          <w:noProof/>
        </w:rPr>
        <w:sectPr w:rsidR="00017070" w:rsidSect="00B202C2">
          <w:headerReference w:type="even" r:id="rId299"/>
          <w:headerReference w:type="default" r:id="rId300"/>
          <w:footerReference w:type="even" r:id="rId301"/>
          <w:footerReference w:type="default" r:id="rId302"/>
          <w:headerReference w:type="first" r:id="rId303"/>
          <w:footerReference w:type="first" r:id="rId304"/>
          <w:type w:val="continuous"/>
          <w:pgSz w:w="11906" w:h="16838" w:code="9"/>
          <w:pgMar w:top="1134" w:right="1134" w:bottom="964" w:left="1134" w:header="431" w:footer="431" w:gutter="0"/>
          <w:cols w:space="720"/>
          <w:titlePg/>
          <w:docGrid w:linePitch="360"/>
        </w:sectPr>
      </w:pPr>
    </w:p>
    <w:p w14:paraId="4C924F38" w14:textId="77777777" w:rsidR="004D26CD" w:rsidRPr="00596511" w:rsidRDefault="004D26CD" w:rsidP="004D26CD">
      <w:pPr>
        <w:pStyle w:val="StyleppoHeading3WhiteLeft0cm"/>
        <w:rPr>
          <w:noProof/>
          <w:sz w:val="40"/>
          <w:szCs w:val="40"/>
        </w:rPr>
      </w:pPr>
    </w:p>
    <w:p w14:paraId="23F5EB31" w14:textId="77777777" w:rsidR="004D26CD" w:rsidRPr="00596511" w:rsidRDefault="004D26CD" w:rsidP="004D26CD">
      <w:pPr>
        <w:pStyle w:val="StyleppoHeading3WhiteLeft0cm"/>
        <w:rPr>
          <w:noProof/>
          <w:sz w:val="60"/>
          <w:szCs w:val="60"/>
        </w:rPr>
      </w:pPr>
      <w:bookmarkStart w:id="149" w:name="_Toc102086352"/>
      <w:r w:rsidRPr="00596511">
        <w:rPr>
          <w:noProof/>
          <w:sz w:val="60"/>
          <w:szCs w:val="60"/>
        </w:rPr>
        <w:t>JUSTICE PROGRAMME</w:t>
      </w:r>
      <w:bookmarkEnd w:id="149"/>
    </w:p>
    <w:p w14:paraId="2C4C7418" w14:textId="77777777" w:rsidR="004D26CD" w:rsidRPr="00596511" w:rsidRDefault="004D26CD" w:rsidP="004D26CD">
      <w:pPr>
        <w:pStyle w:val="StyleppoProgrammenameWhiteLeft01cm"/>
        <w:rPr>
          <w:noProof/>
        </w:rPr>
      </w:pPr>
    </w:p>
    <w:p w14:paraId="0C0E8687" w14:textId="77777777" w:rsidR="004D26CD" w:rsidRPr="00596511" w:rsidRDefault="004D26CD" w:rsidP="004D26CD">
      <w:pPr>
        <w:pStyle w:val="ppoHeading4Green"/>
        <w:rPr>
          <w:noProof/>
        </w:rPr>
      </w:pPr>
      <w:r w:rsidRPr="00596511">
        <w:rPr>
          <w:noProof/>
        </w:rPr>
        <w:t>Programme in a nutshell</w:t>
      </w:r>
    </w:p>
    <w:p w14:paraId="244B994C" w14:textId="77777777" w:rsidR="004D26CD" w:rsidRPr="00596511" w:rsidRDefault="004D26CD" w:rsidP="004D26CD">
      <w:pPr>
        <w:spacing w:after="480"/>
        <w:rPr>
          <w:rFonts w:eastAsiaTheme="minorEastAsia"/>
          <w:noProof/>
          <w:color w:val="FFFFFF" w:themeColor="background1"/>
          <w:sz w:val="32"/>
        </w:rPr>
        <w:sectPr w:rsidR="004D26CD" w:rsidRPr="00596511" w:rsidSect="00B202C2">
          <w:headerReference w:type="even" r:id="rId305"/>
          <w:headerReference w:type="default" r:id="rId306"/>
          <w:footerReference w:type="even" r:id="rId307"/>
          <w:footerReference w:type="default" r:id="rId308"/>
          <w:headerReference w:type="first" r:id="rId309"/>
          <w:footerReference w:type="first" r:id="rId310"/>
          <w:pgSz w:w="11906" w:h="16838" w:code="9"/>
          <w:pgMar w:top="1134" w:right="1134" w:bottom="964" w:left="1134" w:header="431" w:footer="431" w:gutter="0"/>
          <w:cols w:space="720"/>
          <w:docGrid w:linePitch="360"/>
        </w:sectPr>
      </w:pPr>
    </w:p>
    <w:p w14:paraId="0344D18E" w14:textId="77777777" w:rsidR="004D26CD" w:rsidRPr="00596511" w:rsidRDefault="004D26CD" w:rsidP="004D26CD">
      <w:pPr>
        <w:pStyle w:val="ppoHeading5"/>
        <w:rPr>
          <w:noProof/>
        </w:rPr>
      </w:pPr>
      <w:r w:rsidRPr="00596511">
        <w:rPr>
          <w:noProof/>
        </w:rPr>
        <w:t>Concrete examples of achievements (*)</w:t>
      </w:r>
    </w:p>
    <w:tbl>
      <w:tblPr>
        <w:tblStyle w:val="PPO2021"/>
        <w:tblW w:w="9639" w:type="dxa"/>
        <w:tblInd w:w="0" w:type="dxa"/>
        <w:tblLook w:val="0200" w:firstRow="0" w:lastRow="0" w:firstColumn="0" w:lastColumn="0" w:noHBand="1" w:noVBand="0"/>
      </w:tblPr>
      <w:tblGrid>
        <w:gridCol w:w="2410"/>
        <w:gridCol w:w="2409"/>
        <w:gridCol w:w="2410"/>
        <w:gridCol w:w="2410"/>
      </w:tblGrid>
      <w:tr w:rsidR="004D26CD" w:rsidRPr="00596511" w14:paraId="57C17A14" w14:textId="77777777" w:rsidTr="00B202C2">
        <w:tc>
          <w:tcPr>
            <w:tcW w:w="2410" w:type="dxa"/>
          </w:tcPr>
          <w:p w14:paraId="0227D901" w14:textId="77777777" w:rsidR="004D26CD" w:rsidRPr="00596511" w:rsidRDefault="004D26CD" w:rsidP="00B202C2">
            <w:pPr>
              <w:pStyle w:val="ppoTableacheivementvalue"/>
              <w:rPr>
                <w:noProof/>
              </w:rPr>
            </w:pPr>
            <w:r w:rsidRPr="00596511">
              <w:rPr>
                <w:noProof/>
              </w:rPr>
              <w:t>4.1</w:t>
            </w:r>
            <w:r w:rsidRPr="00596511">
              <w:rPr>
                <w:rFonts w:ascii="Calibri" w:hAnsi="Calibri" w:cs="Calibri"/>
                <w:noProof/>
              </w:rPr>
              <w:t> </w:t>
            </w:r>
            <w:r w:rsidRPr="00596511">
              <w:rPr>
                <w:noProof/>
              </w:rPr>
              <w:t>million</w:t>
            </w:r>
          </w:p>
          <w:p w14:paraId="4DBCB97B" w14:textId="77777777" w:rsidR="004D26CD" w:rsidRPr="00596511" w:rsidRDefault="004D26CD" w:rsidP="00962E3C">
            <w:pPr>
              <w:jc w:val="left"/>
              <w:rPr>
                <w:noProof/>
              </w:rPr>
            </w:pPr>
            <w:r w:rsidRPr="00596511">
              <w:rPr>
                <w:noProof/>
              </w:rPr>
              <w:t>exchanges of information occurred in 2021 in the European Criminal Records Information System.</w:t>
            </w:r>
          </w:p>
        </w:tc>
        <w:tc>
          <w:tcPr>
            <w:cnfStyle w:val="000001000000" w:firstRow="0" w:lastRow="0" w:firstColumn="0" w:lastColumn="0" w:oddVBand="0" w:evenVBand="1" w:oddHBand="0" w:evenHBand="0" w:firstRowFirstColumn="0" w:firstRowLastColumn="0" w:lastRowFirstColumn="0" w:lastRowLastColumn="0"/>
            <w:tcW w:w="2409" w:type="dxa"/>
          </w:tcPr>
          <w:p w14:paraId="5C248469" w14:textId="77777777" w:rsidR="004D26CD" w:rsidRPr="00596511" w:rsidRDefault="004D26CD" w:rsidP="00B202C2">
            <w:pPr>
              <w:pStyle w:val="ppoTableacheivementvalue"/>
              <w:rPr>
                <w:noProof/>
              </w:rPr>
            </w:pPr>
            <w:r w:rsidRPr="00596511">
              <w:rPr>
                <w:noProof/>
              </w:rPr>
              <w:t>22</w:t>
            </w:r>
            <w:r w:rsidRPr="00596511">
              <w:rPr>
                <w:rFonts w:ascii="Calibri" w:hAnsi="Calibri" w:cs="Calibri"/>
                <w:noProof/>
              </w:rPr>
              <w:t> </w:t>
            </w:r>
            <w:r w:rsidRPr="00596511">
              <w:rPr>
                <w:noProof/>
              </w:rPr>
              <w:t>423</w:t>
            </w:r>
          </w:p>
          <w:p w14:paraId="7FF89572" w14:textId="77777777" w:rsidR="004D26CD" w:rsidRPr="00596511" w:rsidRDefault="004D26CD" w:rsidP="00962E3C">
            <w:pPr>
              <w:jc w:val="left"/>
              <w:rPr>
                <w:noProof/>
              </w:rPr>
            </w:pPr>
            <w:r w:rsidRPr="00596511">
              <w:rPr>
                <w:noProof/>
              </w:rPr>
              <w:t>justice professionals were trained in 2020 through the justice programme’s financial support to cross-border training activities, to the European Judicial Training Network and through the contract on anti-money laundering training for lawyers.</w:t>
            </w:r>
          </w:p>
        </w:tc>
        <w:tc>
          <w:tcPr>
            <w:tcW w:w="2410" w:type="dxa"/>
            <w:tcBorders>
              <w:bottom w:val="single" w:sz="4" w:space="0" w:color="8C8C8C"/>
            </w:tcBorders>
          </w:tcPr>
          <w:p w14:paraId="7E8A266E" w14:textId="260FD702" w:rsidR="004D26CD" w:rsidRPr="00596511" w:rsidRDefault="004D26CD" w:rsidP="00B202C2">
            <w:pPr>
              <w:pStyle w:val="ppoTableacheivementvalue"/>
              <w:cnfStyle w:val="000000000000" w:firstRow="0" w:lastRow="0" w:firstColumn="0" w:lastColumn="0" w:oddVBand="0" w:evenVBand="0" w:oddHBand="0" w:evenHBand="0" w:firstRowFirstColumn="0" w:firstRowLastColumn="0" w:lastRowFirstColumn="0" w:lastRowLastColumn="0"/>
              <w:rPr>
                <w:noProof/>
              </w:rPr>
            </w:pPr>
            <w:r w:rsidRPr="00596511">
              <w:rPr>
                <w:noProof/>
              </w:rPr>
              <w:t>4.</w:t>
            </w:r>
            <w:r w:rsidR="00331C96">
              <w:rPr>
                <w:noProof/>
              </w:rPr>
              <w:t>4</w:t>
            </w:r>
            <w:r w:rsidRPr="00596511">
              <w:rPr>
                <w:rFonts w:ascii="Calibri" w:hAnsi="Calibri" w:cs="Calibri"/>
                <w:noProof/>
              </w:rPr>
              <w:t> </w:t>
            </w:r>
            <w:r w:rsidRPr="00596511">
              <w:rPr>
                <w:noProof/>
              </w:rPr>
              <w:t>million</w:t>
            </w:r>
          </w:p>
          <w:p w14:paraId="14F13915" w14:textId="48B83162" w:rsidR="004D26CD" w:rsidRPr="00596511" w:rsidRDefault="004D26CD" w:rsidP="00962E3C">
            <w:pPr>
              <w:jc w:val="left"/>
              <w:cnfStyle w:val="000000000000" w:firstRow="0" w:lastRow="0" w:firstColumn="0" w:lastColumn="0" w:oddVBand="0" w:evenVBand="0" w:oddHBand="0" w:evenHBand="0" w:firstRowFirstColumn="0" w:firstRowLastColumn="0" w:lastRowFirstColumn="0" w:lastRowLastColumn="0"/>
              <w:rPr>
                <w:noProof/>
              </w:rPr>
            </w:pPr>
            <w:r w:rsidRPr="00596511">
              <w:rPr>
                <w:noProof/>
              </w:rPr>
              <w:t>visits were made to the e-Justice Portal in 202</w:t>
            </w:r>
            <w:r w:rsidR="00331C96">
              <w:rPr>
                <w:noProof/>
              </w:rPr>
              <w:t>1</w:t>
            </w:r>
            <w:r w:rsidRPr="00596511">
              <w:rPr>
                <w:noProof/>
              </w:rPr>
              <w:t>.</w:t>
            </w:r>
          </w:p>
        </w:tc>
        <w:tc>
          <w:tcPr>
            <w:cnfStyle w:val="000001000000" w:firstRow="0" w:lastRow="0" w:firstColumn="0" w:lastColumn="0" w:oddVBand="0" w:evenVBand="1" w:oddHBand="0" w:evenHBand="0" w:firstRowFirstColumn="0" w:firstRowLastColumn="0" w:lastRowFirstColumn="0" w:lastRowLastColumn="0"/>
            <w:tcW w:w="2410" w:type="dxa"/>
          </w:tcPr>
          <w:p w14:paraId="05279C7F" w14:textId="77777777" w:rsidR="004D26CD" w:rsidRPr="00596511" w:rsidRDefault="004D26CD" w:rsidP="00B202C2">
            <w:pPr>
              <w:pStyle w:val="ppoTableacheivementvalue"/>
              <w:rPr>
                <w:noProof/>
              </w:rPr>
            </w:pPr>
            <w:r w:rsidRPr="00596511">
              <w:rPr>
                <w:noProof/>
              </w:rPr>
              <w:t>27</w:t>
            </w:r>
          </w:p>
          <w:p w14:paraId="5BAB5AA6" w14:textId="77777777" w:rsidR="004D26CD" w:rsidRPr="00596511" w:rsidRDefault="004D26CD" w:rsidP="00962E3C">
            <w:pPr>
              <w:jc w:val="left"/>
              <w:rPr>
                <w:noProof/>
              </w:rPr>
            </w:pPr>
            <w:r w:rsidRPr="00596511">
              <w:rPr>
                <w:noProof/>
              </w:rPr>
              <w:t>victim support organisations with national coverage had been established by the end of 2020.</w:t>
            </w:r>
          </w:p>
        </w:tc>
      </w:tr>
    </w:tbl>
    <w:p w14:paraId="3475410F" w14:textId="77777777" w:rsidR="004D26CD" w:rsidRPr="00596511" w:rsidRDefault="004D26CD" w:rsidP="004D26CD">
      <w:pPr>
        <w:pStyle w:val="FootnoteText"/>
        <w:rPr>
          <w:rFonts w:eastAsiaTheme="minorEastAsia"/>
          <w:noProof/>
        </w:rPr>
      </w:pPr>
      <w:r w:rsidRPr="00596511">
        <w:rPr>
          <w:rFonts w:eastAsiaTheme="minorEastAsia"/>
          <w:noProof/>
        </w:rPr>
        <w:t xml:space="preserve">(*) </w:t>
      </w:r>
      <w:r w:rsidRPr="00596511">
        <w:rPr>
          <w:rFonts w:eastAsiaTheme="minorEastAsia"/>
          <w:noProof/>
        </w:rPr>
        <w:tab/>
        <w:t>Key achievements in the table state which period they relate to. Many come from the implementation of the predecessor programmes under the 2014-2020 multiannual financial framework. This is expected and is due to the multiannual life cycle of EU programmes and the projects they finance, where results often follow only after completion of the programmes.</w:t>
      </w:r>
    </w:p>
    <w:p w14:paraId="114DB697" w14:textId="77777777" w:rsidR="004D26CD" w:rsidRPr="00596511" w:rsidRDefault="004D26CD" w:rsidP="004D26CD">
      <w:pPr>
        <w:pStyle w:val="ppoHeading5"/>
        <w:rPr>
          <w:noProof/>
        </w:rPr>
      </w:pPr>
      <w:r w:rsidRPr="00596511">
        <w:rPr>
          <w:noProof/>
        </w:rPr>
        <w:t>Budget for 2021-2027</w:t>
      </w:r>
    </w:p>
    <w:p w14:paraId="6D628609" w14:textId="77777777" w:rsidR="004D26CD" w:rsidRPr="00596511" w:rsidRDefault="004D26CD" w:rsidP="004D26CD">
      <w:pPr>
        <w:pStyle w:val="ppoTableTabletitle"/>
        <w:ind w:left="284"/>
        <w:rPr>
          <w:noProof/>
        </w:rPr>
      </w:pPr>
      <w:r w:rsidRPr="00596511">
        <w:rPr>
          <w:noProof/>
        </w:rPr>
        <w:t>(million EUR)</w:t>
      </w:r>
    </w:p>
    <w:tbl>
      <w:tblPr>
        <w:tblStyle w:val="PlainTable2"/>
        <w:tblW w:w="0" w:type="auto"/>
        <w:tblInd w:w="288" w:type="dxa"/>
        <w:tblLook w:val="04A0" w:firstRow="1" w:lastRow="0" w:firstColumn="1" w:lastColumn="0" w:noHBand="0" w:noVBand="1"/>
      </w:tblPr>
      <w:tblGrid>
        <w:gridCol w:w="4788"/>
        <w:gridCol w:w="2610"/>
      </w:tblGrid>
      <w:tr w:rsidR="004D26CD" w:rsidRPr="00596511" w14:paraId="7DE42488" w14:textId="77777777" w:rsidTr="00B202C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77BCF689" w14:textId="77777777" w:rsidR="004D26CD" w:rsidRPr="00596511" w:rsidRDefault="004D26CD" w:rsidP="00B202C2">
            <w:pPr>
              <w:spacing w:before="120" w:after="120"/>
              <w:rPr>
                <w:noProof/>
              </w:rPr>
            </w:pPr>
            <w:r w:rsidRPr="00596511">
              <w:rPr>
                <w:rFonts w:cs="Calibri"/>
                <w:noProof/>
                <w:color w:val="000000"/>
              </w:rPr>
              <w:t>Financial programming</w:t>
            </w:r>
          </w:p>
        </w:tc>
        <w:tc>
          <w:tcPr>
            <w:tcW w:w="2610" w:type="dxa"/>
            <w:shd w:val="clear" w:color="auto" w:fill="auto"/>
            <w:vAlign w:val="bottom"/>
          </w:tcPr>
          <w:p w14:paraId="274ADBEF" w14:textId="77777777" w:rsidR="004D26CD" w:rsidRPr="00596511" w:rsidRDefault="004D26CD" w:rsidP="00B202C2">
            <w:pPr>
              <w:spacing w:before="120" w:after="120"/>
              <w:jc w:val="center"/>
              <w:cnfStyle w:val="100000000000" w:firstRow="1" w:lastRow="0" w:firstColumn="0" w:lastColumn="0" w:oddVBand="0" w:evenVBand="0" w:oddHBand="0" w:evenHBand="0" w:firstRowFirstColumn="0" w:firstRowLastColumn="0" w:lastRowFirstColumn="0" w:lastRowLastColumn="0"/>
              <w:rPr>
                <w:b w:val="0"/>
                <w:noProof/>
              </w:rPr>
            </w:pPr>
            <w:r w:rsidRPr="00596511">
              <w:rPr>
                <w:rFonts w:cs="Calibri"/>
                <w:b w:val="0"/>
                <w:noProof/>
                <w:color w:val="000000"/>
              </w:rPr>
              <w:t>299.3</w:t>
            </w:r>
          </w:p>
        </w:tc>
      </w:tr>
      <w:tr w:rsidR="004D26CD" w:rsidRPr="00596511" w14:paraId="75BCD2BD" w14:textId="77777777" w:rsidTr="00B202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345A64E7" w14:textId="77777777" w:rsidR="004D26CD" w:rsidRPr="00596511" w:rsidRDefault="004D26CD" w:rsidP="00B202C2">
            <w:pPr>
              <w:spacing w:before="120" w:after="120"/>
              <w:rPr>
                <w:b w:val="0"/>
                <w:noProof/>
              </w:rPr>
            </w:pPr>
            <w:r w:rsidRPr="00596511">
              <w:rPr>
                <w:rFonts w:cs="Calibri"/>
                <w:noProof/>
                <w:color w:val="000000"/>
              </w:rPr>
              <w:t>NextGenerationEU</w:t>
            </w:r>
          </w:p>
        </w:tc>
        <w:tc>
          <w:tcPr>
            <w:tcW w:w="2610" w:type="dxa"/>
            <w:vAlign w:val="bottom"/>
          </w:tcPr>
          <w:p w14:paraId="0ADDB030" w14:textId="77777777" w:rsidR="004D26CD" w:rsidRPr="00596511" w:rsidRDefault="004D26CD" w:rsidP="00B202C2">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596511">
              <w:rPr>
                <w:rFonts w:cs="Calibri"/>
                <w:noProof/>
                <w:color w:val="000000"/>
              </w:rPr>
              <w:t>0</w:t>
            </w:r>
          </w:p>
        </w:tc>
      </w:tr>
      <w:tr w:rsidR="004D26CD" w:rsidRPr="00596511" w14:paraId="3E6FFE29" w14:textId="77777777" w:rsidTr="00B202C2">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67ED8A6E" w14:textId="77777777" w:rsidR="004D26CD" w:rsidRPr="00596511" w:rsidRDefault="004D26CD" w:rsidP="00B202C2">
            <w:pPr>
              <w:spacing w:before="120" w:after="120"/>
              <w:rPr>
                <w:b w:val="0"/>
                <w:noProof/>
              </w:rPr>
            </w:pPr>
            <w:r w:rsidRPr="00596511">
              <w:rPr>
                <w:noProof/>
              </w:rPr>
              <w:t>Decommitments made available again</w:t>
            </w:r>
            <w:r w:rsidRPr="00596511">
              <w:rPr>
                <w:rFonts w:cs="Calibri"/>
                <w:noProof/>
                <w:color w:val="000000"/>
              </w:rPr>
              <w:t xml:space="preserve"> (*)</w:t>
            </w:r>
          </w:p>
        </w:tc>
        <w:tc>
          <w:tcPr>
            <w:tcW w:w="2610" w:type="dxa"/>
            <w:vAlign w:val="bottom"/>
          </w:tcPr>
          <w:p w14:paraId="1EE47BD9" w14:textId="4F435C21" w:rsidR="004D26CD" w:rsidRPr="00596511" w:rsidRDefault="004D26CD" w:rsidP="00B202C2">
            <w:pPr>
              <w:spacing w:before="120" w:after="120"/>
              <w:jc w:val="center"/>
              <w:cnfStyle w:val="000000000000" w:firstRow="0" w:lastRow="0" w:firstColumn="0" w:lastColumn="0" w:oddVBand="0" w:evenVBand="0" w:oddHBand="0" w:evenHBand="0" w:firstRowFirstColumn="0" w:firstRowLastColumn="0" w:lastRowFirstColumn="0" w:lastRowLastColumn="0"/>
              <w:rPr>
                <w:noProof/>
              </w:rPr>
            </w:pPr>
            <w:r>
              <w:rPr>
                <w:rFonts w:cs="Calibri"/>
                <w:noProof/>
                <w:color w:val="000000"/>
              </w:rPr>
              <w:t>N/A</w:t>
            </w:r>
          </w:p>
        </w:tc>
      </w:tr>
      <w:tr w:rsidR="004D26CD" w:rsidRPr="00596511" w14:paraId="431B05FD" w14:textId="77777777" w:rsidTr="00B202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69764BED" w14:textId="77777777" w:rsidR="004D26CD" w:rsidRPr="00596511" w:rsidRDefault="004D26CD" w:rsidP="00B202C2">
            <w:pPr>
              <w:spacing w:before="120" w:after="120"/>
              <w:rPr>
                <w:noProof/>
              </w:rPr>
            </w:pPr>
            <w:r w:rsidRPr="00596511">
              <w:rPr>
                <w:rFonts w:cs="Calibri"/>
                <w:noProof/>
                <w:color w:val="000000"/>
              </w:rPr>
              <w:t>Contributions from other countries and entities</w:t>
            </w:r>
          </w:p>
        </w:tc>
        <w:tc>
          <w:tcPr>
            <w:tcW w:w="2610" w:type="dxa"/>
            <w:vAlign w:val="bottom"/>
          </w:tcPr>
          <w:p w14:paraId="7A4BA58D" w14:textId="77777777" w:rsidR="004D26CD" w:rsidRPr="00596511" w:rsidRDefault="004D26CD" w:rsidP="00B202C2">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596511">
              <w:rPr>
                <w:rFonts w:cs="Calibri"/>
                <w:noProof/>
                <w:color w:val="000000"/>
              </w:rPr>
              <w:t>0</w:t>
            </w:r>
          </w:p>
        </w:tc>
      </w:tr>
      <w:tr w:rsidR="004D26CD" w:rsidRPr="00596511" w14:paraId="62BB27F5" w14:textId="77777777" w:rsidTr="00B202C2">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2F2F2" w:themeFill="background1" w:themeFillShade="F2"/>
            <w:vAlign w:val="bottom"/>
          </w:tcPr>
          <w:p w14:paraId="7EC186CF" w14:textId="77777777" w:rsidR="004D26CD" w:rsidRPr="00596511" w:rsidRDefault="004D26CD" w:rsidP="00B202C2">
            <w:pPr>
              <w:spacing w:before="120" w:after="120"/>
              <w:rPr>
                <w:noProof/>
              </w:rPr>
            </w:pPr>
            <w:r w:rsidRPr="00596511">
              <w:rPr>
                <w:rFonts w:cs="Calibri"/>
                <w:noProof/>
                <w:color w:val="000000"/>
              </w:rPr>
              <w:t>Total budget for 2021-2027</w:t>
            </w:r>
          </w:p>
        </w:tc>
        <w:tc>
          <w:tcPr>
            <w:tcW w:w="2610" w:type="dxa"/>
            <w:shd w:val="clear" w:color="auto" w:fill="F2F2F2" w:themeFill="background1" w:themeFillShade="F2"/>
            <w:vAlign w:val="bottom"/>
          </w:tcPr>
          <w:p w14:paraId="615DB37A" w14:textId="77777777" w:rsidR="004D26CD" w:rsidRPr="00596511" w:rsidRDefault="004D26CD" w:rsidP="00B202C2">
            <w:pPr>
              <w:spacing w:before="120" w:after="120"/>
              <w:jc w:val="center"/>
              <w:cnfStyle w:val="000000000000" w:firstRow="0" w:lastRow="0" w:firstColumn="0" w:lastColumn="0" w:oddVBand="0" w:evenVBand="0" w:oddHBand="0" w:evenHBand="0" w:firstRowFirstColumn="0" w:firstRowLastColumn="0" w:lastRowFirstColumn="0" w:lastRowLastColumn="0"/>
              <w:rPr>
                <w:b/>
                <w:noProof/>
              </w:rPr>
            </w:pPr>
            <w:r w:rsidRPr="00596511">
              <w:rPr>
                <w:rFonts w:cs="Calibri"/>
                <w:b/>
                <w:noProof/>
                <w:color w:val="000000"/>
              </w:rPr>
              <w:t>299.3</w:t>
            </w:r>
          </w:p>
        </w:tc>
      </w:tr>
    </w:tbl>
    <w:p w14:paraId="40F8DDA3" w14:textId="77777777" w:rsidR="004D26CD" w:rsidRPr="00596511" w:rsidRDefault="004D26CD" w:rsidP="004D26CD">
      <w:pPr>
        <w:tabs>
          <w:tab w:val="left" w:pos="6793"/>
        </w:tabs>
        <w:rPr>
          <w:noProof/>
          <w:sz w:val="18"/>
          <w:szCs w:val="18"/>
        </w:rPr>
      </w:pPr>
      <w:r w:rsidRPr="00596511">
        <w:rPr>
          <w:noProof/>
          <w:sz w:val="18"/>
          <w:szCs w:val="18"/>
        </w:rPr>
        <w:t>(*) Only Article</w:t>
      </w:r>
      <w:r w:rsidRPr="00596511">
        <w:rPr>
          <w:rFonts w:ascii="Calibri" w:hAnsi="Calibri" w:cs="Calibri"/>
          <w:noProof/>
          <w:sz w:val="18"/>
          <w:szCs w:val="18"/>
        </w:rPr>
        <w:t> </w:t>
      </w:r>
      <w:r w:rsidRPr="00596511">
        <w:rPr>
          <w:noProof/>
          <w:sz w:val="18"/>
          <w:szCs w:val="18"/>
        </w:rPr>
        <w:t>15(3) of the financial regulation</w:t>
      </w:r>
    </w:p>
    <w:p w14:paraId="265B84D1" w14:textId="77777777" w:rsidR="004D26CD" w:rsidRPr="00596511" w:rsidRDefault="004D26CD" w:rsidP="004D26CD">
      <w:pPr>
        <w:jc w:val="center"/>
        <w:rPr>
          <w:rFonts w:eastAsiaTheme="minorEastAsia"/>
          <w:noProof/>
        </w:rPr>
      </w:pPr>
    </w:p>
    <w:p w14:paraId="20030E29" w14:textId="77777777" w:rsidR="004D26CD" w:rsidRPr="00596511" w:rsidRDefault="004D26CD" w:rsidP="004D26CD">
      <w:pPr>
        <w:pStyle w:val="ppoHeading5"/>
        <w:rPr>
          <w:noProof/>
        </w:rPr>
      </w:pPr>
      <w:r w:rsidRPr="00596511">
        <w:rPr>
          <w:noProof/>
        </w:rPr>
        <w:t>Rationale and design of the programme</w:t>
      </w:r>
    </w:p>
    <w:p w14:paraId="3042F245" w14:textId="77777777" w:rsidR="004D26CD" w:rsidRPr="00596511" w:rsidRDefault="004D26CD" w:rsidP="004D26CD">
      <w:pPr>
        <w:rPr>
          <w:noProof/>
        </w:rPr>
      </w:pPr>
      <w:r w:rsidRPr="00596511">
        <w:rPr>
          <w:noProof/>
        </w:rPr>
        <w:t>The justice programme supports a broad range of beneficiaries that play an important role in the development of an EU area of justice. This includes, primarily, members of the judiciary and judicial staff, but also public authorities, academic/research institutes and training bodies, along with civil-society and non-profit organisations.</w:t>
      </w:r>
    </w:p>
    <w:p w14:paraId="1354FD76" w14:textId="77777777" w:rsidR="004D26CD" w:rsidRPr="00596511" w:rsidRDefault="004D26CD" w:rsidP="004D26CD">
      <w:pPr>
        <w:pStyle w:val="ppoHeading6"/>
        <w:rPr>
          <w:noProof/>
        </w:rPr>
      </w:pPr>
      <w:r w:rsidRPr="00596511">
        <w:rPr>
          <w:noProof/>
        </w:rPr>
        <w:t>Challenge</w:t>
      </w:r>
    </w:p>
    <w:p w14:paraId="3E8C5AC7" w14:textId="77777777" w:rsidR="004D26CD" w:rsidRPr="00596511" w:rsidRDefault="004D26CD" w:rsidP="004D26CD">
      <w:pPr>
        <w:rPr>
          <w:noProof/>
        </w:rPr>
      </w:pPr>
      <w:r w:rsidRPr="00596511">
        <w:rPr>
          <w:noProof/>
        </w:rPr>
        <w:t>A working EU area of justice and effective national justice systems are necessary for a flourishing internal market and for upholding the common values of the EU. Promoting EU values also means protecting them and ensuring an environment respectful of the rule of law and the independence of the judiciary, with mutual recognition and mutual trust among Member States.</w:t>
      </w:r>
    </w:p>
    <w:p w14:paraId="29836600" w14:textId="77777777" w:rsidR="004D26CD" w:rsidRPr="00596511" w:rsidRDefault="004D26CD" w:rsidP="004D26CD">
      <w:pPr>
        <w:rPr>
          <w:noProof/>
        </w:rPr>
      </w:pPr>
      <w:r w:rsidRPr="00596511">
        <w:rPr>
          <w:noProof/>
        </w:rPr>
        <w:t xml:space="preserve">In this context, several challenges persist. Judicial cooperation in civil and criminal matters is insufficient and access to justice across Member States remains difficult. Tools for collecting comparative information about the quality, independence and efficiency of Member States’ justice systems need to be improved. One major obstacle to mutual recognition and judicial cooperation is a lack of trust in other Member States’ judicial systems. There is a need to simplify and digitalise communications, access to procedures and legal information, and connection to and between national systems. The level of knowledge of the EU </w:t>
      </w:r>
      <w:r w:rsidRPr="00200FBC">
        <w:rPr>
          <w:i/>
          <w:iCs/>
          <w:noProof/>
        </w:rPr>
        <w:t>acquis</w:t>
      </w:r>
      <w:r w:rsidRPr="00596511">
        <w:rPr>
          <w:noProof/>
        </w:rPr>
        <w:t xml:space="preserve"> and of EU instruments needs to be improved across the Member States. However, national training providers tend to invest their scarce resources in training on national law rather than on EU law, and in national training activities rather than cross-border ones. In periods of economic crisis, persistent inequalities and challenges (e.g. migration) test fundamental rights and the EU’s fundamental values, including the rule of law, access to justice, space for civil society and the independence of the judiciary.</w:t>
      </w:r>
    </w:p>
    <w:p w14:paraId="30ECE272" w14:textId="77777777" w:rsidR="004D26CD" w:rsidRPr="00596511" w:rsidRDefault="004D26CD" w:rsidP="004D26CD">
      <w:pPr>
        <w:rPr>
          <w:noProof/>
        </w:rPr>
      </w:pPr>
      <w:r w:rsidRPr="00596511">
        <w:rPr>
          <w:noProof/>
        </w:rPr>
        <w:t>These challenges are common to all Member States and have cross-border dimensions. While action at the national level is important, it is through EU-level initiatives that inefficiencies, such as insufficient judicial cooperation and the incomplete implementation of EU law, can best be tackled.</w:t>
      </w:r>
    </w:p>
    <w:p w14:paraId="0AB7FE18" w14:textId="77777777" w:rsidR="004D26CD" w:rsidRPr="00596511" w:rsidRDefault="004D26CD" w:rsidP="004D26CD">
      <w:pPr>
        <w:pStyle w:val="ppoHeading6"/>
        <w:rPr>
          <w:noProof/>
        </w:rPr>
      </w:pPr>
      <w:r w:rsidRPr="00596511">
        <w:rPr>
          <w:noProof/>
        </w:rPr>
        <w:t>Mission</w:t>
      </w:r>
    </w:p>
    <w:p w14:paraId="4F9B878E" w14:textId="77777777" w:rsidR="004D26CD" w:rsidRPr="00596511" w:rsidRDefault="004D26CD" w:rsidP="004D26CD">
      <w:pPr>
        <w:rPr>
          <w:noProof/>
        </w:rPr>
      </w:pPr>
      <w:r w:rsidRPr="00596511">
        <w:rPr>
          <w:noProof/>
        </w:rPr>
        <w:t>The justice programme will support the further development of an EU area of justice based on EU’s values, the rule of law, and mutual recognition and trust. It will facilitate access to justice and promote judicial cooperation in civil and criminal matters, and the effectiveness of national justice systems.</w:t>
      </w:r>
    </w:p>
    <w:p w14:paraId="1CAC2C34" w14:textId="77777777" w:rsidR="004D26CD" w:rsidRPr="00596511" w:rsidRDefault="004D26CD" w:rsidP="004D26CD">
      <w:pPr>
        <w:pStyle w:val="ppoHeading6"/>
        <w:rPr>
          <w:noProof/>
        </w:rPr>
      </w:pPr>
      <w:r w:rsidRPr="00596511">
        <w:rPr>
          <w:noProof/>
        </w:rPr>
        <w:t>Objectives</w:t>
      </w:r>
    </w:p>
    <w:p w14:paraId="142883A9" w14:textId="77777777" w:rsidR="004D26CD" w:rsidRPr="00596511" w:rsidRDefault="004D26CD" w:rsidP="004D26CD">
      <w:pPr>
        <w:rPr>
          <w:noProof/>
        </w:rPr>
      </w:pPr>
      <w:r w:rsidRPr="00596511">
        <w:rPr>
          <w:noProof/>
        </w:rPr>
        <w:t>The specific objectives of the justice programme are to:</w:t>
      </w:r>
    </w:p>
    <w:p w14:paraId="714FA9C8" w14:textId="77777777" w:rsidR="004D26CD" w:rsidRPr="00596511" w:rsidRDefault="004D26CD" w:rsidP="006F409B">
      <w:pPr>
        <w:pStyle w:val="ppoListArabic1aiii-L1"/>
        <w:numPr>
          <w:ilvl w:val="0"/>
          <w:numId w:val="125"/>
        </w:numPr>
        <w:rPr>
          <w:noProof/>
        </w:rPr>
      </w:pPr>
      <w:r w:rsidRPr="00596511">
        <w:rPr>
          <w:noProof/>
        </w:rPr>
        <w:t>facilitate and support judicial cooperation in civil and criminal matters, and promote the rule of law, the independence and impartiality of the judiciary</w:t>
      </w:r>
      <w:r w:rsidRPr="00596511">
        <w:rPr>
          <w:rFonts w:ascii="Calibri" w:hAnsi="Calibri" w:cs="Calibri"/>
          <w:noProof/>
        </w:rPr>
        <w:t> </w:t>
      </w:r>
      <w:r w:rsidRPr="00596511">
        <w:rPr>
          <w:rFonts w:cs="EC Square Sans Pro"/>
          <w:noProof/>
        </w:rPr>
        <w:t>–</w:t>
      </w:r>
      <w:r w:rsidRPr="00596511">
        <w:rPr>
          <w:noProof/>
        </w:rPr>
        <w:t xml:space="preserve"> including by supporting the efforts to improve the effectiveness of national justice systems</w:t>
      </w:r>
      <w:r w:rsidRPr="00596511">
        <w:rPr>
          <w:rFonts w:ascii="Calibri" w:hAnsi="Calibri" w:cs="Calibri"/>
          <w:noProof/>
        </w:rPr>
        <w:t> </w:t>
      </w:r>
      <w:r w:rsidRPr="00596511">
        <w:rPr>
          <w:rFonts w:cs="EC Square Sans Pro"/>
          <w:noProof/>
        </w:rPr>
        <w:t>–</w:t>
      </w:r>
      <w:r w:rsidRPr="00596511">
        <w:rPr>
          <w:noProof/>
        </w:rPr>
        <w:t xml:space="preserve"> and the effective enforcement of decisions;</w:t>
      </w:r>
    </w:p>
    <w:p w14:paraId="18315120" w14:textId="77777777" w:rsidR="004D26CD" w:rsidRPr="00596511" w:rsidRDefault="004D26CD" w:rsidP="004D26CD">
      <w:pPr>
        <w:pStyle w:val="ppoListArabic1aiii-L1"/>
        <w:numPr>
          <w:ilvl w:val="0"/>
          <w:numId w:val="40"/>
        </w:numPr>
        <w:rPr>
          <w:noProof/>
        </w:rPr>
      </w:pPr>
      <w:r w:rsidRPr="00596511">
        <w:rPr>
          <w:noProof/>
        </w:rPr>
        <w:t>support and promote judicial training, with a view to fostering a common legal, judicial and rule-of-law culture, and the consistent and effective implementation of relevant EU legal instruments;</w:t>
      </w:r>
    </w:p>
    <w:p w14:paraId="3701E8A8" w14:textId="77777777" w:rsidR="004D26CD" w:rsidRPr="00596511" w:rsidRDefault="004D26CD" w:rsidP="004D26CD">
      <w:pPr>
        <w:pStyle w:val="ppoListArabic1aiii-L1"/>
        <w:numPr>
          <w:ilvl w:val="0"/>
          <w:numId w:val="40"/>
        </w:numPr>
        <w:rPr>
          <w:noProof/>
        </w:rPr>
      </w:pPr>
      <w:r w:rsidRPr="00596511">
        <w:rPr>
          <w:noProof/>
        </w:rPr>
        <w:t>facilitate effective and non-discriminatory access to justice and effective redress, including by electronic means (e-justice), by promoting efficient civil and criminal procedures and by promoting and supporting the rights of all victims of crime, along with the procedural rights of suspects and accused persons in criminal proceedings.</w:t>
      </w:r>
    </w:p>
    <w:p w14:paraId="5F473911" w14:textId="77777777" w:rsidR="004D26CD" w:rsidRPr="00596511" w:rsidRDefault="004D26CD" w:rsidP="004D26CD">
      <w:pPr>
        <w:pStyle w:val="ppoHeading6"/>
        <w:rPr>
          <w:noProof/>
        </w:rPr>
      </w:pPr>
      <w:r w:rsidRPr="00596511">
        <w:rPr>
          <w:noProof/>
        </w:rPr>
        <w:t>Actions</w:t>
      </w:r>
    </w:p>
    <w:p w14:paraId="4A651851" w14:textId="77777777" w:rsidR="004D26CD" w:rsidRPr="00596511" w:rsidRDefault="004D26CD" w:rsidP="004D26CD">
      <w:pPr>
        <w:rPr>
          <w:noProof/>
        </w:rPr>
      </w:pPr>
      <w:r w:rsidRPr="00596511">
        <w:rPr>
          <w:noProof/>
        </w:rPr>
        <w:t xml:space="preserve">The justice programme mainly supports activities for the judiciary and judicial staff by their representative bodies, public authorities and training bodies. It is also open to academic/research institutes and civil-society organisations that contribute to the development of an EU area of justice. </w:t>
      </w:r>
      <w:bookmarkStart w:id="150" w:name="_Hlk100757953"/>
      <w:r w:rsidRPr="00596511">
        <w:rPr>
          <w:noProof/>
        </w:rPr>
        <w:t xml:space="preserve">It funds activities to improve mutual trust, cooperation (including through information and communication technology) and knowledge of EU law. It also covers judicial cooperation instruments, the relevant case-law of the Court of Justice of the European Union and comparative law (notably through supporting the European Judicial Training Network). Finally, it assists in the understanding of civil and criminal law and the legal and judicial systems of the Member States, and in recognising potential obstacles to the smooth functioning of an EU area of justice. </w:t>
      </w:r>
      <w:bookmarkEnd w:id="150"/>
      <w:r w:rsidRPr="00596511">
        <w:rPr>
          <w:noProof/>
        </w:rPr>
        <w:t>The programme also supports relevant civil-society and non-profit organisations to ensure that all citizens have adequate access to their services and to counselling and support activities.</w:t>
      </w:r>
    </w:p>
    <w:p w14:paraId="2362BEC8" w14:textId="77777777" w:rsidR="004D26CD" w:rsidRPr="00596511" w:rsidRDefault="004D26CD" w:rsidP="004D26CD">
      <w:pPr>
        <w:pStyle w:val="ppoHeading6"/>
        <w:rPr>
          <w:noProof/>
        </w:rPr>
      </w:pPr>
      <w:r w:rsidRPr="00596511">
        <w:rPr>
          <w:noProof/>
        </w:rPr>
        <w:t>Delivery mode</w:t>
      </w:r>
    </w:p>
    <w:p w14:paraId="1E3DD2F4" w14:textId="77777777" w:rsidR="004D26CD" w:rsidRPr="00596511" w:rsidRDefault="004D26CD" w:rsidP="004D26CD">
      <w:pPr>
        <w:rPr>
          <w:noProof/>
        </w:rPr>
      </w:pPr>
      <w:r w:rsidRPr="00596511">
        <w:rPr>
          <w:noProof/>
        </w:rPr>
        <w:t>The programme will be implemented through direct management by the Commission, under the lead of Directorate-General for Justice and Consumers.</w:t>
      </w:r>
    </w:p>
    <w:p w14:paraId="44D29B61" w14:textId="77777777" w:rsidR="004D26CD" w:rsidRPr="00596511" w:rsidRDefault="004D26CD" w:rsidP="004D26CD">
      <w:pPr>
        <w:pStyle w:val="ppoHeading6"/>
        <w:rPr>
          <w:noProof/>
        </w:rPr>
      </w:pPr>
      <w:r w:rsidRPr="00596511">
        <w:rPr>
          <w:noProof/>
        </w:rPr>
        <w:t>LINK TO THE 2014-2020 multiannual financial framework</w:t>
      </w:r>
    </w:p>
    <w:p w14:paraId="5E9FAFAE" w14:textId="77777777" w:rsidR="004D26CD" w:rsidRPr="00596511" w:rsidRDefault="004D26CD" w:rsidP="004D26CD">
      <w:pPr>
        <w:rPr>
          <w:noProof/>
        </w:rPr>
      </w:pPr>
      <w:r w:rsidRPr="00596511">
        <w:rPr>
          <w:noProof/>
        </w:rPr>
        <w:t xml:space="preserve">The justice programme builds on the programme of the same name in the 2014-2020 </w:t>
      </w:r>
      <w:bookmarkStart w:id="151" w:name="_Hlk100758738"/>
      <w:r w:rsidRPr="00596511">
        <w:rPr>
          <w:noProof/>
        </w:rPr>
        <w:t>multiannual financial framework</w:t>
      </w:r>
      <w:bookmarkEnd w:id="151"/>
      <w:r w:rsidRPr="00596511">
        <w:rPr>
          <w:noProof/>
        </w:rPr>
        <w:t>, while reinforcing efforts to promote the rule of law.</w:t>
      </w:r>
    </w:p>
    <w:p w14:paraId="2F237F14" w14:textId="77777777" w:rsidR="004D26CD" w:rsidRPr="00596511" w:rsidRDefault="004D26CD" w:rsidP="004D26CD">
      <w:pPr>
        <w:pStyle w:val="ppoHeading6"/>
        <w:rPr>
          <w:noProof/>
        </w:rPr>
      </w:pPr>
      <w:r w:rsidRPr="00596511">
        <w:rPr>
          <w:noProof/>
        </w:rPr>
        <w:t>Impact assessment</w:t>
      </w:r>
    </w:p>
    <w:p w14:paraId="7FCEE612" w14:textId="77777777" w:rsidR="004D26CD" w:rsidRPr="00596511" w:rsidRDefault="004D26CD" w:rsidP="004D26CD">
      <w:pPr>
        <w:rPr>
          <w:noProof/>
        </w:rPr>
      </w:pPr>
      <w:r w:rsidRPr="00596511">
        <w:rPr>
          <w:noProof/>
        </w:rPr>
        <w:t>The impact assessment of the justice programme was carried out in 2018.</w:t>
      </w:r>
    </w:p>
    <w:p w14:paraId="3F5D4F81" w14:textId="77777777" w:rsidR="004D26CD" w:rsidRPr="00596511" w:rsidRDefault="004D26CD" w:rsidP="004D26CD">
      <w:pPr>
        <w:rPr>
          <w:noProof/>
        </w:rPr>
      </w:pPr>
      <w:r w:rsidRPr="00596511">
        <w:rPr>
          <w:noProof/>
        </w:rPr>
        <w:t xml:space="preserve">For further information please consult: </w:t>
      </w:r>
      <w:hyperlink r:id="rId311" w:history="1">
        <w:r w:rsidRPr="00596511">
          <w:rPr>
            <w:rStyle w:val="Hyperlink"/>
            <w:noProof/>
          </w:rPr>
          <w:t>https://europa.eu/!RX78mN</w:t>
        </w:r>
      </w:hyperlink>
    </w:p>
    <w:p w14:paraId="79BFD137" w14:textId="77777777" w:rsidR="004D26CD" w:rsidRPr="00596511" w:rsidRDefault="004D26CD" w:rsidP="004D26CD">
      <w:pPr>
        <w:pStyle w:val="ppoHeading6"/>
        <w:rPr>
          <w:noProof/>
        </w:rPr>
      </w:pPr>
      <w:r w:rsidRPr="00596511">
        <w:rPr>
          <w:noProof/>
        </w:rPr>
        <w:t>WEBSITE FOR more information</w:t>
      </w:r>
    </w:p>
    <w:p w14:paraId="4ECA2483" w14:textId="77777777" w:rsidR="004D26CD" w:rsidRPr="00596511" w:rsidRDefault="00E01E9B" w:rsidP="004D26CD">
      <w:pPr>
        <w:rPr>
          <w:noProof/>
        </w:rPr>
      </w:pPr>
      <w:hyperlink r:id="rId312" w:history="1">
        <w:r w:rsidR="004D26CD" w:rsidRPr="00596511">
          <w:rPr>
            <w:rStyle w:val="Hyperlink"/>
            <w:noProof/>
          </w:rPr>
          <w:t>https://europa.eu/!cH64dk</w:t>
        </w:r>
      </w:hyperlink>
      <w:r w:rsidR="004D26CD" w:rsidRPr="00596511">
        <w:rPr>
          <w:noProof/>
        </w:rPr>
        <w:t xml:space="preserve"> or </w:t>
      </w:r>
      <w:hyperlink r:id="rId313" w:history="1">
        <w:r w:rsidR="004D26CD" w:rsidRPr="00596511">
          <w:rPr>
            <w:rStyle w:val="Hyperlink"/>
            <w:noProof/>
          </w:rPr>
          <w:t>https://europa.eu/!kV86tx</w:t>
        </w:r>
      </w:hyperlink>
    </w:p>
    <w:p w14:paraId="3BE7A768" w14:textId="77777777" w:rsidR="004D26CD" w:rsidRPr="00596511" w:rsidRDefault="004D26CD" w:rsidP="004D26CD">
      <w:pPr>
        <w:pStyle w:val="ppoHeading5"/>
        <w:rPr>
          <w:noProof/>
        </w:rPr>
      </w:pPr>
      <w:r w:rsidRPr="00596511">
        <w:rPr>
          <w:rFonts w:eastAsiaTheme="minorEastAsia"/>
          <w:noProof/>
        </w:rPr>
        <w:t>Legal basis</w:t>
      </w:r>
    </w:p>
    <w:p w14:paraId="410E1740" w14:textId="77777777" w:rsidR="004D26CD" w:rsidRPr="00596511" w:rsidRDefault="004D26CD" w:rsidP="004D26CD">
      <w:pPr>
        <w:rPr>
          <w:noProof/>
        </w:rPr>
      </w:pPr>
      <w:r w:rsidRPr="00596511">
        <w:rPr>
          <w:noProof/>
        </w:rPr>
        <w:t>Regulation (EU) 2021/693 of the European Parliament and of the Council.</w:t>
      </w:r>
    </w:p>
    <w:p w14:paraId="549EBD41" w14:textId="77777777" w:rsidR="004D26CD" w:rsidRPr="00596511" w:rsidRDefault="004D26CD" w:rsidP="004D26CD">
      <w:pPr>
        <w:pStyle w:val="ppoHeading4Green"/>
        <w:rPr>
          <w:caps/>
          <w:noProof/>
        </w:rPr>
      </w:pPr>
      <w:r w:rsidRPr="00596511">
        <w:rPr>
          <w:noProof/>
        </w:rPr>
        <w:t>Implementation and performance</w:t>
      </w:r>
    </w:p>
    <w:p w14:paraId="68CF39A2" w14:textId="77777777" w:rsidR="004D26CD" w:rsidRPr="00596511" w:rsidRDefault="004D26CD" w:rsidP="004D26CD">
      <w:pPr>
        <w:pStyle w:val="ppoHeading5"/>
        <w:rPr>
          <w:noProof/>
        </w:rPr>
      </w:pPr>
      <w:r w:rsidRPr="00596511">
        <w:rPr>
          <w:noProof/>
        </w:rPr>
        <w:t>Budget</w:t>
      </w:r>
    </w:p>
    <w:p w14:paraId="70E2DF94" w14:textId="77777777" w:rsidR="004D26CD" w:rsidRPr="00596511" w:rsidRDefault="004D26CD" w:rsidP="004D26CD">
      <w:pPr>
        <w:pStyle w:val="ppoTableTabletitle"/>
        <w:rPr>
          <w:noProof/>
        </w:rPr>
      </w:pPr>
      <w:r w:rsidRPr="00596511">
        <w:rPr>
          <w:noProof/>
        </w:rPr>
        <w:t>Budget programming (million 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4D26CD" w:rsidRPr="00596511" w14:paraId="4D1BF40B" w14:textId="77777777" w:rsidTr="00B202C2">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4AA827E7" w14:textId="77777777" w:rsidR="004D26CD" w:rsidRPr="00596511" w:rsidRDefault="004D26CD" w:rsidP="00B202C2">
            <w:pPr>
              <w:rPr>
                <w:noProof/>
              </w:rPr>
            </w:pPr>
          </w:p>
        </w:tc>
        <w:tc>
          <w:tcPr>
            <w:tcW w:w="943" w:type="dxa"/>
            <w:noWrap/>
            <w:hideMark/>
          </w:tcPr>
          <w:p w14:paraId="300F9B91" w14:textId="77777777" w:rsidR="004D26CD" w:rsidRPr="00596511" w:rsidRDefault="004D26CD" w:rsidP="00B202C2">
            <w:pPr>
              <w:rPr>
                <w:noProof/>
              </w:rPr>
            </w:pPr>
            <w:r w:rsidRPr="00596511">
              <w:rPr>
                <w:noProof/>
              </w:rPr>
              <w:t>2021</w:t>
            </w:r>
          </w:p>
        </w:tc>
        <w:tc>
          <w:tcPr>
            <w:tcW w:w="944" w:type="dxa"/>
            <w:noWrap/>
            <w:hideMark/>
          </w:tcPr>
          <w:p w14:paraId="61CFCA90" w14:textId="77777777" w:rsidR="004D26CD" w:rsidRPr="00596511" w:rsidRDefault="004D26CD" w:rsidP="00B202C2">
            <w:pPr>
              <w:rPr>
                <w:noProof/>
              </w:rPr>
            </w:pPr>
            <w:r w:rsidRPr="00596511">
              <w:rPr>
                <w:noProof/>
              </w:rPr>
              <w:t>2022</w:t>
            </w:r>
          </w:p>
        </w:tc>
        <w:tc>
          <w:tcPr>
            <w:tcW w:w="943" w:type="dxa"/>
            <w:noWrap/>
            <w:hideMark/>
          </w:tcPr>
          <w:p w14:paraId="7B9ADBB0" w14:textId="77777777" w:rsidR="004D26CD" w:rsidRPr="00596511" w:rsidRDefault="004D26CD" w:rsidP="00B202C2">
            <w:pPr>
              <w:rPr>
                <w:noProof/>
              </w:rPr>
            </w:pPr>
            <w:r w:rsidRPr="00596511">
              <w:rPr>
                <w:noProof/>
              </w:rPr>
              <w:t>2023</w:t>
            </w:r>
          </w:p>
        </w:tc>
        <w:tc>
          <w:tcPr>
            <w:tcW w:w="944" w:type="dxa"/>
            <w:noWrap/>
            <w:hideMark/>
          </w:tcPr>
          <w:p w14:paraId="7EEAE5EC" w14:textId="77777777" w:rsidR="004D26CD" w:rsidRPr="00596511" w:rsidRDefault="004D26CD" w:rsidP="00B202C2">
            <w:pPr>
              <w:rPr>
                <w:noProof/>
              </w:rPr>
            </w:pPr>
            <w:r w:rsidRPr="00596511">
              <w:rPr>
                <w:noProof/>
              </w:rPr>
              <w:t>2024</w:t>
            </w:r>
          </w:p>
        </w:tc>
        <w:tc>
          <w:tcPr>
            <w:tcW w:w="944" w:type="dxa"/>
            <w:noWrap/>
            <w:hideMark/>
          </w:tcPr>
          <w:p w14:paraId="148379A9" w14:textId="77777777" w:rsidR="004D26CD" w:rsidRPr="00596511" w:rsidRDefault="004D26CD" w:rsidP="00B202C2">
            <w:pPr>
              <w:rPr>
                <w:noProof/>
              </w:rPr>
            </w:pPr>
            <w:r w:rsidRPr="00596511">
              <w:rPr>
                <w:noProof/>
              </w:rPr>
              <w:t>2025</w:t>
            </w:r>
          </w:p>
        </w:tc>
        <w:tc>
          <w:tcPr>
            <w:tcW w:w="943" w:type="dxa"/>
            <w:noWrap/>
            <w:hideMark/>
          </w:tcPr>
          <w:p w14:paraId="12DF03AA" w14:textId="77777777" w:rsidR="004D26CD" w:rsidRPr="00596511" w:rsidRDefault="004D26CD" w:rsidP="00B202C2">
            <w:pPr>
              <w:rPr>
                <w:noProof/>
              </w:rPr>
            </w:pPr>
            <w:r w:rsidRPr="00596511">
              <w:rPr>
                <w:noProof/>
              </w:rPr>
              <w:t>2026</w:t>
            </w:r>
          </w:p>
        </w:tc>
        <w:tc>
          <w:tcPr>
            <w:tcW w:w="944" w:type="dxa"/>
            <w:noWrap/>
            <w:hideMark/>
          </w:tcPr>
          <w:p w14:paraId="109C5E3D" w14:textId="77777777" w:rsidR="004D26CD" w:rsidRPr="00596511" w:rsidRDefault="004D26CD" w:rsidP="00B202C2">
            <w:pPr>
              <w:rPr>
                <w:noProof/>
              </w:rPr>
            </w:pPr>
            <w:r w:rsidRPr="00596511">
              <w:rPr>
                <w:noProof/>
              </w:rPr>
              <w:t>2027</w:t>
            </w:r>
          </w:p>
        </w:tc>
        <w:tc>
          <w:tcPr>
            <w:tcW w:w="944" w:type="dxa"/>
            <w:noWrap/>
            <w:hideMark/>
          </w:tcPr>
          <w:p w14:paraId="59D7F697" w14:textId="77777777" w:rsidR="004D26CD" w:rsidRPr="00596511" w:rsidRDefault="004D26CD" w:rsidP="00B202C2">
            <w:pPr>
              <w:rPr>
                <w:noProof/>
              </w:rPr>
            </w:pPr>
            <w:r w:rsidRPr="00596511">
              <w:rPr>
                <w:noProof/>
              </w:rPr>
              <w:t>Total</w:t>
            </w:r>
          </w:p>
        </w:tc>
      </w:tr>
      <w:tr w:rsidR="004D26CD" w:rsidRPr="00596511" w14:paraId="37A60916" w14:textId="77777777" w:rsidTr="00B202C2">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446E2722" w14:textId="77777777" w:rsidR="004D26CD" w:rsidRPr="00596511" w:rsidRDefault="004D26CD" w:rsidP="00B202C2">
            <w:pPr>
              <w:rPr>
                <w:noProof/>
              </w:rPr>
            </w:pPr>
            <w:r w:rsidRPr="00596511">
              <w:rPr>
                <w:noProof/>
              </w:rPr>
              <w:t>Financial programming</w:t>
            </w:r>
          </w:p>
        </w:tc>
        <w:tc>
          <w:tcPr>
            <w:tcW w:w="943" w:type="dxa"/>
            <w:noWrap/>
            <w:hideMark/>
          </w:tcPr>
          <w:p w14:paraId="50E014B9" w14:textId="77777777" w:rsidR="004D26CD" w:rsidRPr="00596511" w:rsidRDefault="004D26CD" w:rsidP="00B202C2">
            <w:pPr>
              <w:jc w:val="center"/>
              <w:rPr>
                <w:noProof/>
              </w:rPr>
            </w:pPr>
            <w:r w:rsidRPr="00596511">
              <w:rPr>
                <w:noProof/>
              </w:rPr>
              <w:t>46.7</w:t>
            </w:r>
          </w:p>
        </w:tc>
        <w:tc>
          <w:tcPr>
            <w:tcW w:w="944" w:type="dxa"/>
            <w:noWrap/>
            <w:hideMark/>
          </w:tcPr>
          <w:p w14:paraId="3F87E116" w14:textId="77777777" w:rsidR="004D26CD" w:rsidRPr="00596511" w:rsidRDefault="004D26CD" w:rsidP="00B202C2">
            <w:pPr>
              <w:jc w:val="center"/>
              <w:rPr>
                <w:noProof/>
              </w:rPr>
            </w:pPr>
            <w:r w:rsidRPr="00596511">
              <w:rPr>
                <w:noProof/>
              </w:rPr>
              <w:t>43.6</w:t>
            </w:r>
          </w:p>
        </w:tc>
        <w:tc>
          <w:tcPr>
            <w:tcW w:w="943" w:type="dxa"/>
            <w:noWrap/>
            <w:hideMark/>
          </w:tcPr>
          <w:p w14:paraId="5AD2E7B3" w14:textId="77777777" w:rsidR="004D26CD" w:rsidRPr="00596511" w:rsidRDefault="004D26CD" w:rsidP="00B202C2">
            <w:pPr>
              <w:jc w:val="center"/>
              <w:rPr>
                <w:noProof/>
              </w:rPr>
            </w:pPr>
            <w:r w:rsidRPr="00596511">
              <w:rPr>
                <w:noProof/>
              </w:rPr>
              <w:t>42.2</w:t>
            </w:r>
          </w:p>
        </w:tc>
        <w:tc>
          <w:tcPr>
            <w:tcW w:w="944" w:type="dxa"/>
            <w:noWrap/>
            <w:hideMark/>
          </w:tcPr>
          <w:p w14:paraId="680FAEA4" w14:textId="77777777" w:rsidR="004D26CD" w:rsidRPr="00596511" w:rsidRDefault="004D26CD" w:rsidP="00B202C2">
            <w:pPr>
              <w:jc w:val="center"/>
              <w:rPr>
                <w:noProof/>
              </w:rPr>
            </w:pPr>
            <w:r w:rsidRPr="00596511">
              <w:rPr>
                <w:noProof/>
              </w:rPr>
              <w:t>41.8</w:t>
            </w:r>
          </w:p>
        </w:tc>
        <w:tc>
          <w:tcPr>
            <w:tcW w:w="944" w:type="dxa"/>
            <w:noWrap/>
            <w:hideMark/>
          </w:tcPr>
          <w:p w14:paraId="3CABCA01" w14:textId="77777777" w:rsidR="004D26CD" w:rsidRPr="00596511" w:rsidRDefault="004D26CD" w:rsidP="00B202C2">
            <w:pPr>
              <w:jc w:val="center"/>
              <w:rPr>
                <w:noProof/>
              </w:rPr>
            </w:pPr>
            <w:r w:rsidRPr="00596511">
              <w:rPr>
                <w:noProof/>
              </w:rPr>
              <w:t>41.8</w:t>
            </w:r>
          </w:p>
        </w:tc>
        <w:tc>
          <w:tcPr>
            <w:tcW w:w="943" w:type="dxa"/>
            <w:noWrap/>
            <w:hideMark/>
          </w:tcPr>
          <w:p w14:paraId="25716EF1" w14:textId="77777777" w:rsidR="004D26CD" w:rsidRPr="00596511" w:rsidRDefault="004D26CD" w:rsidP="00B202C2">
            <w:pPr>
              <w:jc w:val="center"/>
              <w:rPr>
                <w:noProof/>
              </w:rPr>
            </w:pPr>
            <w:r w:rsidRPr="00596511">
              <w:rPr>
                <w:noProof/>
              </w:rPr>
              <w:t>41.7</w:t>
            </w:r>
          </w:p>
        </w:tc>
        <w:tc>
          <w:tcPr>
            <w:tcW w:w="944" w:type="dxa"/>
            <w:noWrap/>
            <w:hideMark/>
          </w:tcPr>
          <w:p w14:paraId="0BB9E095" w14:textId="77777777" w:rsidR="004D26CD" w:rsidRPr="00596511" w:rsidRDefault="004D26CD" w:rsidP="00B202C2">
            <w:pPr>
              <w:jc w:val="center"/>
              <w:rPr>
                <w:noProof/>
              </w:rPr>
            </w:pPr>
            <w:r w:rsidRPr="00596511">
              <w:rPr>
                <w:noProof/>
              </w:rPr>
              <w:t>41.4</w:t>
            </w:r>
          </w:p>
        </w:tc>
        <w:tc>
          <w:tcPr>
            <w:tcW w:w="944" w:type="dxa"/>
            <w:noWrap/>
            <w:hideMark/>
          </w:tcPr>
          <w:p w14:paraId="74E95D1D" w14:textId="77777777" w:rsidR="004D26CD" w:rsidRPr="00596511" w:rsidRDefault="004D26CD" w:rsidP="00B202C2">
            <w:pPr>
              <w:jc w:val="center"/>
              <w:rPr>
                <w:noProof/>
              </w:rPr>
            </w:pPr>
            <w:r w:rsidRPr="00596511">
              <w:rPr>
                <w:noProof/>
              </w:rPr>
              <w:t>299.3</w:t>
            </w:r>
          </w:p>
        </w:tc>
      </w:tr>
      <w:tr w:rsidR="004D26CD" w:rsidRPr="00596511" w14:paraId="77FFCFBC" w14:textId="77777777" w:rsidTr="00B202C2">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77B76C07" w14:textId="77777777" w:rsidR="004D26CD" w:rsidRPr="00596511" w:rsidRDefault="004D26CD" w:rsidP="00B202C2">
            <w:pPr>
              <w:rPr>
                <w:noProof/>
              </w:rPr>
            </w:pPr>
            <w:r w:rsidRPr="00596511">
              <w:rPr>
                <w:noProof/>
              </w:rPr>
              <w:t>NextGenerationEU</w:t>
            </w:r>
          </w:p>
        </w:tc>
        <w:tc>
          <w:tcPr>
            <w:tcW w:w="943" w:type="dxa"/>
            <w:noWrap/>
            <w:hideMark/>
          </w:tcPr>
          <w:p w14:paraId="52B83CFB" w14:textId="77777777" w:rsidR="004D26CD" w:rsidRPr="00596511" w:rsidRDefault="004D26CD" w:rsidP="00B202C2">
            <w:pPr>
              <w:jc w:val="center"/>
              <w:rPr>
                <w:noProof/>
              </w:rPr>
            </w:pPr>
          </w:p>
        </w:tc>
        <w:tc>
          <w:tcPr>
            <w:tcW w:w="944" w:type="dxa"/>
            <w:noWrap/>
            <w:hideMark/>
          </w:tcPr>
          <w:p w14:paraId="01084D84" w14:textId="77777777" w:rsidR="004D26CD" w:rsidRPr="00596511" w:rsidRDefault="004D26CD" w:rsidP="00B202C2">
            <w:pPr>
              <w:jc w:val="center"/>
              <w:rPr>
                <w:noProof/>
              </w:rPr>
            </w:pPr>
          </w:p>
        </w:tc>
        <w:tc>
          <w:tcPr>
            <w:tcW w:w="943" w:type="dxa"/>
            <w:noWrap/>
            <w:hideMark/>
          </w:tcPr>
          <w:p w14:paraId="36927CBF" w14:textId="77777777" w:rsidR="004D26CD" w:rsidRPr="00596511" w:rsidRDefault="004D26CD" w:rsidP="00B202C2">
            <w:pPr>
              <w:jc w:val="center"/>
              <w:rPr>
                <w:noProof/>
              </w:rPr>
            </w:pPr>
          </w:p>
        </w:tc>
        <w:tc>
          <w:tcPr>
            <w:tcW w:w="944" w:type="dxa"/>
            <w:noWrap/>
            <w:hideMark/>
          </w:tcPr>
          <w:p w14:paraId="2CC88348" w14:textId="77777777" w:rsidR="004D26CD" w:rsidRPr="00596511" w:rsidRDefault="004D26CD" w:rsidP="00B202C2">
            <w:pPr>
              <w:jc w:val="center"/>
              <w:rPr>
                <w:noProof/>
              </w:rPr>
            </w:pPr>
          </w:p>
        </w:tc>
        <w:tc>
          <w:tcPr>
            <w:tcW w:w="944" w:type="dxa"/>
            <w:noWrap/>
            <w:hideMark/>
          </w:tcPr>
          <w:p w14:paraId="23612292" w14:textId="77777777" w:rsidR="004D26CD" w:rsidRPr="00596511" w:rsidRDefault="004D26CD" w:rsidP="00B202C2">
            <w:pPr>
              <w:jc w:val="center"/>
              <w:rPr>
                <w:noProof/>
              </w:rPr>
            </w:pPr>
          </w:p>
        </w:tc>
        <w:tc>
          <w:tcPr>
            <w:tcW w:w="943" w:type="dxa"/>
            <w:noWrap/>
            <w:hideMark/>
          </w:tcPr>
          <w:p w14:paraId="60780478" w14:textId="77777777" w:rsidR="004D26CD" w:rsidRPr="00596511" w:rsidRDefault="004D26CD" w:rsidP="00B202C2">
            <w:pPr>
              <w:jc w:val="center"/>
              <w:rPr>
                <w:noProof/>
              </w:rPr>
            </w:pPr>
          </w:p>
        </w:tc>
        <w:tc>
          <w:tcPr>
            <w:tcW w:w="944" w:type="dxa"/>
            <w:noWrap/>
            <w:hideMark/>
          </w:tcPr>
          <w:p w14:paraId="775049BB" w14:textId="77777777" w:rsidR="004D26CD" w:rsidRPr="00596511" w:rsidRDefault="004D26CD" w:rsidP="00B202C2">
            <w:pPr>
              <w:jc w:val="center"/>
              <w:rPr>
                <w:noProof/>
              </w:rPr>
            </w:pPr>
          </w:p>
        </w:tc>
        <w:tc>
          <w:tcPr>
            <w:tcW w:w="944" w:type="dxa"/>
            <w:noWrap/>
            <w:hideMark/>
          </w:tcPr>
          <w:p w14:paraId="5E29787A" w14:textId="77777777" w:rsidR="004D26CD" w:rsidRPr="00596511" w:rsidRDefault="004D26CD" w:rsidP="00B202C2">
            <w:pPr>
              <w:jc w:val="center"/>
              <w:rPr>
                <w:noProof/>
              </w:rPr>
            </w:pPr>
          </w:p>
        </w:tc>
      </w:tr>
      <w:tr w:rsidR="004D26CD" w:rsidRPr="00596511" w14:paraId="74117E04" w14:textId="77777777" w:rsidTr="00B202C2">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2BD16352" w14:textId="77777777" w:rsidR="004D26CD" w:rsidRPr="00596511" w:rsidRDefault="004D26CD" w:rsidP="00B202C2">
            <w:pPr>
              <w:rPr>
                <w:noProof/>
              </w:rPr>
            </w:pPr>
            <w:r w:rsidRPr="00596511">
              <w:rPr>
                <w:noProof/>
              </w:rPr>
              <w:t>Decommitments made available again (*)</w:t>
            </w:r>
          </w:p>
        </w:tc>
        <w:tc>
          <w:tcPr>
            <w:tcW w:w="943" w:type="dxa"/>
            <w:noWrap/>
            <w:hideMark/>
          </w:tcPr>
          <w:p w14:paraId="1ADC1CBB" w14:textId="77777777" w:rsidR="004D26CD" w:rsidRPr="00596511" w:rsidRDefault="004D26CD" w:rsidP="00B202C2">
            <w:pPr>
              <w:jc w:val="center"/>
              <w:rPr>
                <w:noProof/>
              </w:rPr>
            </w:pPr>
            <w:r>
              <w:rPr>
                <w:noProof/>
              </w:rPr>
              <w:t>N/A</w:t>
            </w:r>
          </w:p>
        </w:tc>
        <w:tc>
          <w:tcPr>
            <w:tcW w:w="944" w:type="dxa"/>
            <w:noWrap/>
            <w:hideMark/>
          </w:tcPr>
          <w:p w14:paraId="0946E08B" w14:textId="77777777" w:rsidR="004D26CD" w:rsidRPr="00596511" w:rsidRDefault="004D26CD" w:rsidP="00B202C2">
            <w:pPr>
              <w:jc w:val="center"/>
              <w:rPr>
                <w:noProof/>
              </w:rPr>
            </w:pPr>
          </w:p>
        </w:tc>
        <w:tc>
          <w:tcPr>
            <w:tcW w:w="943" w:type="dxa"/>
            <w:noWrap/>
            <w:hideMark/>
          </w:tcPr>
          <w:p w14:paraId="7F20E738" w14:textId="77777777" w:rsidR="004D26CD" w:rsidRPr="00596511" w:rsidRDefault="004D26CD" w:rsidP="00B202C2">
            <w:pPr>
              <w:jc w:val="center"/>
              <w:rPr>
                <w:noProof/>
              </w:rPr>
            </w:pPr>
          </w:p>
        </w:tc>
        <w:tc>
          <w:tcPr>
            <w:tcW w:w="944" w:type="dxa"/>
            <w:noWrap/>
            <w:hideMark/>
          </w:tcPr>
          <w:p w14:paraId="2C534E6C" w14:textId="77777777" w:rsidR="004D26CD" w:rsidRPr="00596511" w:rsidRDefault="004D26CD" w:rsidP="00B202C2">
            <w:pPr>
              <w:jc w:val="center"/>
              <w:rPr>
                <w:noProof/>
              </w:rPr>
            </w:pPr>
          </w:p>
        </w:tc>
        <w:tc>
          <w:tcPr>
            <w:tcW w:w="944" w:type="dxa"/>
            <w:noWrap/>
            <w:hideMark/>
          </w:tcPr>
          <w:p w14:paraId="12F46179" w14:textId="77777777" w:rsidR="004D26CD" w:rsidRPr="00596511" w:rsidRDefault="004D26CD" w:rsidP="00B202C2">
            <w:pPr>
              <w:jc w:val="center"/>
              <w:rPr>
                <w:noProof/>
              </w:rPr>
            </w:pPr>
          </w:p>
        </w:tc>
        <w:tc>
          <w:tcPr>
            <w:tcW w:w="943" w:type="dxa"/>
            <w:noWrap/>
            <w:hideMark/>
          </w:tcPr>
          <w:p w14:paraId="444C2970" w14:textId="77777777" w:rsidR="004D26CD" w:rsidRPr="00596511" w:rsidRDefault="004D26CD" w:rsidP="00B202C2">
            <w:pPr>
              <w:jc w:val="center"/>
              <w:rPr>
                <w:noProof/>
              </w:rPr>
            </w:pPr>
          </w:p>
        </w:tc>
        <w:tc>
          <w:tcPr>
            <w:tcW w:w="944" w:type="dxa"/>
            <w:noWrap/>
            <w:hideMark/>
          </w:tcPr>
          <w:p w14:paraId="38DE764B" w14:textId="77777777" w:rsidR="004D26CD" w:rsidRPr="00596511" w:rsidRDefault="004D26CD" w:rsidP="00B202C2">
            <w:pPr>
              <w:jc w:val="center"/>
              <w:rPr>
                <w:noProof/>
              </w:rPr>
            </w:pPr>
          </w:p>
        </w:tc>
        <w:tc>
          <w:tcPr>
            <w:tcW w:w="944" w:type="dxa"/>
            <w:noWrap/>
            <w:hideMark/>
          </w:tcPr>
          <w:p w14:paraId="496CF576" w14:textId="77777777" w:rsidR="004D26CD" w:rsidRPr="00596511" w:rsidRDefault="004D26CD" w:rsidP="00B202C2">
            <w:pPr>
              <w:jc w:val="center"/>
              <w:rPr>
                <w:noProof/>
              </w:rPr>
            </w:pPr>
            <w:r>
              <w:rPr>
                <w:noProof/>
              </w:rPr>
              <w:t>N/A</w:t>
            </w:r>
          </w:p>
        </w:tc>
      </w:tr>
      <w:tr w:rsidR="004D26CD" w:rsidRPr="00596511" w14:paraId="079F83E5" w14:textId="77777777" w:rsidTr="00B202C2">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5E1C4A99" w14:textId="77777777" w:rsidR="004D26CD" w:rsidRPr="00596511" w:rsidRDefault="004D26CD" w:rsidP="00B202C2">
            <w:pPr>
              <w:rPr>
                <w:noProof/>
              </w:rPr>
            </w:pPr>
            <w:r w:rsidRPr="00596511">
              <w:rPr>
                <w:noProof/>
              </w:rPr>
              <w:t>Contributions from other countries and entities</w:t>
            </w:r>
          </w:p>
        </w:tc>
        <w:tc>
          <w:tcPr>
            <w:tcW w:w="943" w:type="dxa"/>
            <w:noWrap/>
            <w:hideMark/>
          </w:tcPr>
          <w:p w14:paraId="7E66C631" w14:textId="77777777" w:rsidR="004D26CD" w:rsidRPr="00596511" w:rsidRDefault="004D26CD" w:rsidP="00B202C2">
            <w:pPr>
              <w:jc w:val="center"/>
              <w:rPr>
                <w:noProof/>
              </w:rPr>
            </w:pPr>
            <w:r>
              <w:rPr>
                <w:noProof/>
              </w:rPr>
              <w:t>0.0</w:t>
            </w:r>
          </w:p>
        </w:tc>
        <w:tc>
          <w:tcPr>
            <w:tcW w:w="944" w:type="dxa"/>
            <w:noWrap/>
            <w:hideMark/>
          </w:tcPr>
          <w:p w14:paraId="47CE343F" w14:textId="77777777" w:rsidR="004D26CD" w:rsidRPr="00596511" w:rsidRDefault="004D26CD" w:rsidP="00B202C2">
            <w:pPr>
              <w:jc w:val="center"/>
              <w:rPr>
                <w:noProof/>
              </w:rPr>
            </w:pPr>
            <w:r>
              <w:rPr>
                <w:noProof/>
              </w:rPr>
              <w:t>p.m.</w:t>
            </w:r>
          </w:p>
        </w:tc>
        <w:tc>
          <w:tcPr>
            <w:tcW w:w="943" w:type="dxa"/>
            <w:noWrap/>
            <w:hideMark/>
          </w:tcPr>
          <w:p w14:paraId="4CB724D6" w14:textId="77777777" w:rsidR="004D26CD" w:rsidRPr="00596511" w:rsidRDefault="004D26CD" w:rsidP="00B202C2">
            <w:pPr>
              <w:jc w:val="center"/>
              <w:rPr>
                <w:noProof/>
              </w:rPr>
            </w:pPr>
            <w:r>
              <w:rPr>
                <w:noProof/>
              </w:rPr>
              <w:t>p.m.</w:t>
            </w:r>
          </w:p>
        </w:tc>
        <w:tc>
          <w:tcPr>
            <w:tcW w:w="944" w:type="dxa"/>
            <w:noWrap/>
            <w:hideMark/>
          </w:tcPr>
          <w:p w14:paraId="290CF851" w14:textId="77777777" w:rsidR="004D26CD" w:rsidRPr="00596511" w:rsidRDefault="004D26CD" w:rsidP="00B202C2">
            <w:pPr>
              <w:jc w:val="center"/>
              <w:rPr>
                <w:noProof/>
              </w:rPr>
            </w:pPr>
            <w:r>
              <w:rPr>
                <w:noProof/>
              </w:rPr>
              <w:t>p.m.</w:t>
            </w:r>
          </w:p>
        </w:tc>
        <w:tc>
          <w:tcPr>
            <w:tcW w:w="944" w:type="dxa"/>
            <w:noWrap/>
            <w:hideMark/>
          </w:tcPr>
          <w:p w14:paraId="719EF558" w14:textId="77777777" w:rsidR="004D26CD" w:rsidRPr="00596511" w:rsidRDefault="004D26CD" w:rsidP="00B202C2">
            <w:pPr>
              <w:jc w:val="center"/>
              <w:rPr>
                <w:noProof/>
              </w:rPr>
            </w:pPr>
            <w:r>
              <w:rPr>
                <w:noProof/>
              </w:rPr>
              <w:t>p.m.</w:t>
            </w:r>
          </w:p>
        </w:tc>
        <w:tc>
          <w:tcPr>
            <w:tcW w:w="943" w:type="dxa"/>
            <w:noWrap/>
            <w:hideMark/>
          </w:tcPr>
          <w:p w14:paraId="7A371A77" w14:textId="77777777" w:rsidR="004D26CD" w:rsidRPr="00596511" w:rsidRDefault="004D26CD" w:rsidP="00B202C2">
            <w:pPr>
              <w:jc w:val="center"/>
              <w:rPr>
                <w:noProof/>
              </w:rPr>
            </w:pPr>
            <w:r>
              <w:rPr>
                <w:noProof/>
              </w:rPr>
              <w:t>p.m.</w:t>
            </w:r>
          </w:p>
        </w:tc>
        <w:tc>
          <w:tcPr>
            <w:tcW w:w="944" w:type="dxa"/>
            <w:noWrap/>
            <w:hideMark/>
          </w:tcPr>
          <w:p w14:paraId="2EFF3DD8" w14:textId="77777777" w:rsidR="004D26CD" w:rsidRPr="00596511" w:rsidRDefault="004D26CD" w:rsidP="00B202C2">
            <w:pPr>
              <w:jc w:val="center"/>
              <w:rPr>
                <w:noProof/>
              </w:rPr>
            </w:pPr>
            <w:r>
              <w:rPr>
                <w:noProof/>
              </w:rPr>
              <w:t>p.m.</w:t>
            </w:r>
          </w:p>
        </w:tc>
        <w:tc>
          <w:tcPr>
            <w:tcW w:w="944" w:type="dxa"/>
            <w:noWrap/>
            <w:hideMark/>
          </w:tcPr>
          <w:p w14:paraId="10F44FA1" w14:textId="77777777" w:rsidR="004D26CD" w:rsidRPr="00596511" w:rsidRDefault="004D26CD" w:rsidP="00B202C2">
            <w:pPr>
              <w:jc w:val="center"/>
              <w:rPr>
                <w:noProof/>
              </w:rPr>
            </w:pPr>
            <w:r>
              <w:rPr>
                <w:noProof/>
              </w:rPr>
              <w:t>0.0</w:t>
            </w:r>
          </w:p>
        </w:tc>
      </w:tr>
    </w:tbl>
    <w:p w14:paraId="0D93A8B5" w14:textId="77777777" w:rsidR="004D26CD" w:rsidRPr="00596511" w:rsidRDefault="004D26CD" w:rsidP="004D26CD">
      <w:pPr>
        <w:tabs>
          <w:tab w:val="left" w:pos="6793"/>
        </w:tabs>
        <w:rPr>
          <w:noProof/>
          <w:sz w:val="18"/>
          <w:szCs w:val="18"/>
        </w:rPr>
      </w:pPr>
      <w:r w:rsidRPr="7DE98BDE">
        <w:rPr>
          <w:noProof/>
          <w:sz w:val="18"/>
          <w:szCs w:val="18"/>
        </w:rPr>
        <w:t>(*) Only Article</w:t>
      </w:r>
      <w:r w:rsidRPr="7DE98BDE">
        <w:rPr>
          <w:rFonts w:ascii="Calibri" w:hAnsi="Calibri" w:cs="Calibri"/>
          <w:noProof/>
          <w:sz w:val="18"/>
          <w:szCs w:val="18"/>
        </w:rPr>
        <w:t> </w:t>
      </w:r>
      <w:r w:rsidRPr="7DE98BDE">
        <w:rPr>
          <w:noProof/>
          <w:sz w:val="18"/>
          <w:szCs w:val="18"/>
        </w:rPr>
        <w:t>15(3) of the financial regulation.</w:t>
      </w:r>
    </w:p>
    <w:p w14:paraId="74BBEA4A" w14:textId="0D84A919" w:rsidR="004D26CD" w:rsidRPr="00596511" w:rsidRDefault="004D26CD" w:rsidP="00304A2B">
      <w:pPr>
        <w:pStyle w:val="ppoTableTabletitle"/>
        <w:jc w:val="center"/>
        <w:rPr>
          <w:noProof/>
        </w:rPr>
      </w:pPr>
      <w:r w:rsidRPr="00304A2B">
        <w:rPr>
          <w:noProof/>
        </w:rPr>
        <w:t>Financial programming</w:t>
      </w:r>
      <w:r w:rsidR="004C4764">
        <w:rPr>
          <w:noProof/>
        </w:rPr>
        <w:t>:</w:t>
      </w:r>
      <w:r w:rsidRPr="7DE98BDE">
        <w:rPr>
          <w:noProof/>
          <w:color w:val="CC3595"/>
          <w:lang w:val="en-IE"/>
        </w:rPr>
        <w:t xml:space="preserve"> </w:t>
      </w:r>
      <w:r w:rsidRPr="7DE98BDE">
        <w:rPr>
          <w:rStyle w:val="ppocharGreentext24pt"/>
          <w:noProof/>
        </w:rPr>
        <w:t>+</w:t>
      </w:r>
      <w:r w:rsidRPr="7DE98BDE">
        <w:rPr>
          <w:rStyle w:val="ppocharGreentext24pt"/>
          <w:rFonts w:ascii="Calibri" w:hAnsi="Calibri" w:cs="Calibri"/>
          <w:noProof/>
        </w:rPr>
        <w:t> </w:t>
      </w:r>
      <w:r w:rsidRPr="7DE98BDE">
        <w:rPr>
          <w:rStyle w:val="ppocharGreentext24pt"/>
          <w:noProof/>
        </w:rPr>
        <w:t>EUR</w:t>
      </w:r>
      <w:r w:rsidRPr="7DE98BDE">
        <w:rPr>
          <w:rStyle w:val="ppocharGreentext24pt"/>
          <w:rFonts w:ascii="Calibri" w:hAnsi="Calibri" w:cs="Calibri"/>
          <w:noProof/>
        </w:rPr>
        <w:t> </w:t>
      </w:r>
      <w:r w:rsidRPr="7DE98BDE">
        <w:rPr>
          <w:rStyle w:val="ppocharGreentext24pt"/>
          <w:noProof/>
        </w:rPr>
        <w:t>0.3</w:t>
      </w:r>
      <w:r w:rsidRPr="7DE98BDE">
        <w:rPr>
          <w:rStyle w:val="ppocharGreentext24pt"/>
          <w:rFonts w:ascii="Calibri" w:hAnsi="Calibri" w:cs="Calibri"/>
          <w:noProof/>
        </w:rPr>
        <w:t> </w:t>
      </w:r>
      <w:r w:rsidRPr="7DE98BDE">
        <w:rPr>
          <w:rStyle w:val="ppocharGreentext24pt"/>
          <w:noProof/>
        </w:rPr>
        <w:t>million (+</w:t>
      </w:r>
      <w:r w:rsidRPr="7DE98BDE">
        <w:rPr>
          <w:rStyle w:val="ppocharGreentext24pt"/>
          <w:rFonts w:ascii="Calibri" w:hAnsi="Calibri" w:cs="Calibri"/>
          <w:noProof/>
        </w:rPr>
        <w:t> </w:t>
      </w:r>
      <w:r w:rsidRPr="7DE98BDE">
        <w:rPr>
          <w:rStyle w:val="ppocharGreentext24pt"/>
          <w:noProof/>
        </w:rPr>
        <w:t xml:space="preserve">0%) </w:t>
      </w:r>
      <w:r>
        <w:rPr>
          <w:noProof/>
        </w:rPr>
        <w:t>compared to the legal basis.</w:t>
      </w:r>
    </w:p>
    <w:p w14:paraId="6817FE1C" w14:textId="77777777" w:rsidR="004D26CD" w:rsidRPr="00596511" w:rsidRDefault="004D26CD" w:rsidP="004D26CD">
      <w:pPr>
        <w:pStyle w:val="ppoTableTabletitle"/>
        <w:rPr>
          <w:b/>
          <w:noProof/>
        </w:rPr>
      </w:pPr>
      <w:r w:rsidRPr="00596511">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4D26CD" w:rsidRPr="00596511" w14:paraId="246DCB13" w14:textId="77777777" w:rsidTr="00B202C2">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7B7C614B" w14:textId="77777777" w:rsidR="004D26CD" w:rsidRPr="00596511" w:rsidRDefault="004D26CD" w:rsidP="00B202C2">
            <w:pPr>
              <w:rPr>
                <w:noProof/>
              </w:rPr>
            </w:pPr>
          </w:p>
        </w:tc>
        <w:tc>
          <w:tcPr>
            <w:tcW w:w="2410" w:type="dxa"/>
          </w:tcPr>
          <w:p w14:paraId="6DAD7460" w14:textId="77777777" w:rsidR="004D26CD" w:rsidRPr="00596511" w:rsidRDefault="004D26CD" w:rsidP="00B202C2">
            <w:pPr>
              <w:cnfStyle w:val="100000000000" w:firstRow="1" w:lastRow="0" w:firstColumn="0" w:lastColumn="0" w:oddVBand="0" w:evenVBand="0" w:oddHBand="0" w:evenHBand="0" w:firstRowFirstColumn="0" w:firstRowLastColumn="0" w:lastRowFirstColumn="0" w:lastRowLastColumn="0"/>
              <w:rPr>
                <w:noProof/>
              </w:rPr>
            </w:pPr>
            <w:r w:rsidRPr="00596511">
              <w:rPr>
                <w:noProof/>
              </w:rPr>
              <w:t>Implementation</w:t>
            </w:r>
          </w:p>
        </w:tc>
        <w:tc>
          <w:tcPr>
            <w:tcW w:w="2410" w:type="dxa"/>
          </w:tcPr>
          <w:p w14:paraId="32568A13" w14:textId="2EF19D09" w:rsidR="004D26CD" w:rsidRPr="00596511" w:rsidRDefault="003821C6" w:rsidP="00B202C2">
            <w:pPr>
              <w:cnfStyle w:val="100000000000" w:firstRow="1" w:lastRow="0" w:firstColumn="0" w:lastColumn="0" w:oddVBand="0" w:evenVBand="0" w:oddHBand="0" w:evenHBand="0" w:firstRowFirstColumn="0" w:firstRowLastColumn="0" w:lastRowFirstColumn="0" w:lastRowLastColumn="0"/>
              <w:rPr>
                <w:noProof/>
              </w:rPr>
            </w:pPr>
            <w:r>
              <w:rPr>
                <w:noProof/>
                <w:lang w:val="en-IE"/>
              </w:rPr>
              <w:t xml:space="preserve">2021-2027 </w:t>
            </w:r>
            <w:r w:rsidR="004D26CD" w:rsidRPr="00596511">
              <w:rPr>
                <w:noProof/>
              </w:rPr>
              <w:t>Budget</w:t>
            </w:r>
          </w:p>
        </w:tc>
        <w:tc>
          <w:tcPr>
            <w:tcW w:w="2410" w:type="dxa"/>
          </w:tcPr>
          <w:p w14:paraId="3CFBD6D7" w14:textId="77777777" w:rsidR="004D26CD" w:rsidRPr="00596511" w:rsidRDefault="004D26CD" w:rsidP="00B202C2">
            <w:pPr>
              <w:cnfStyle w:val="100000000000" w:firstRow="1" w:lastRow="0" w:firstColumn="0" w:lastColumn="0" w:oddVBand="0" w:evenVBand="0" w:oddHBand="0" w:evenHBand="0" w:firstRowFirstColumn="0" w:firstRowLastColumn="0" w:lastRowFirstColumn="0" w:lastRowLastColumn="0"/>
              <w:rPr>
                <w:noProof/>
              </w:rPr>
            </w:pPr>
            <w:r w:rsidRPr="00596511">
              <w:rPr>
                <w:noProof/>
              </w:rPr>
              <w:t>Implementation rate</w:t>
            </w:r>
          </w:p>
        </w:tc>
      </w:tr>
      <w:tr w:rsidR="004D26CD" w:rsidRPr="00596511" w14:paraId="7ACBD1B4"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231470FF" w14:textId="77777777" w:rsidR="004D26CD" w:rsidRPr="00596511" w:rsidRDefault="004D26CD" w:rsidP="00B202C2">
            <w:pPr>
              <w:jc w:val="center"/>
              <w:rPr>
                <w:noProof/>
              </w:rPr>
            </w:pPr>
            <w:r w:rsidRPr="00596511">
              <w:rPr>
                <w:noProof/>
              </w:rPr>
              <w:t>Commitments</w:t>
            </w:r>
          </w:p>
        </w:tc>
        <w:tc>
          <w:tcPr>
            <w:tcW w:w="2410" w:type="dxa"/>
          </w:tcPr>
          <w:tbl>
            <w:tblPr>
              <w:tblStyle w:val="TableGrid"/>
              <w:tblW w:w="0" w:type="auto"/>
              <w:tblLook w:val="06A0" w:firstRow="1" w:lastRow="0" w:firstColumn="1" w:lastColumn="0" w:noHBand="1" w:noVBand="1"/>
            </w:tblPr>
            <w:tblGrid>
              <w:gridCol w:w="2194"/>
            </w:tblGrid>
            <w:tr w:rsidR="004D26CD" w:rsidRPr="00596511" w14:paraId="3CDCFE26" w14:textId="77777777" w:rsidTr="00B202C2">
              <w:trPr>
                <w:trHeight w:val="285"/>
              </w:trPr>
              <w:tc>
                <w:tcPr>
                  <w:tcW w:w="2290" w:type="dxa"/>
                  <w:tcBorders>
                    <w:top w:val="nil"/>
                    <w:left w:val="nil"/>
                    <w:bottom w:val="nil"/>
                    <w:right w:val="nil"/>
                  </w:tcBorders>
                  <w:vAlign w:val="bottom"/>
                </w:tcPr>
                <w:p w14:paraId="623F98FD" w14:textId="663243BD" w:rsidR="004D26CD" w:rsidRPr="00596511" w:rsidRDefault="004C3C15" w:rsidP="00B202C2">
                  <w:pPr>
                    <w:jc w:val="right"/>
                    <w:rPr>
                      <w:noProof/>
                    </w:rPr>
                  </w:pPr>
                  <w:r>
                    <w:rPr>
                      <w:rFonts w:ascii="Calibri" w:hAnsi="Calibri" w:cs="Calibri"/>
                      <w:noProof/>
                      <w:color w:val="000000"/>
                    </w:rPr>
                    <w:t>46.7</w:t>
                  </w:r>
                </w:p>
              </w:tc>
            </w:tr>
          </w:tbl>
          <w:p w14:paraId="050EC24A" w14:textId="77777777" w:rsidR="004D26CD" w:rsidRPr="00596511" w:rsidRDefault="004D26CD"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4D26CD" w:rsidRPr="00596511" w14:paraId="13F62CD7" w14:textId="77777777" w:rsidTr="00B202C2">
              <w:trPr>
                <w:trHeight w:val="285"/>
              </w:trPr>
              <w:tc>
                <w:tcPr>
                  <w:tcW w:w="2290" w:type="dxa"/>
                  <w:tcBorders>
                    <w:top w:val="nil"/>
                    <w:left w:val="nil"/>
                    <w:bottom w:val="nil"/>
                    <w:right w:val="nil"/>
                  </w:tcBorders>
                  <w:vAlign w:val="bottom"/>
                </w:tcPr>
                <w:p w14:paraId="22403321" w14:textId="315D9D20" w:rsidR="004D26CD" w:rsidRPr="00596511" w:rsidRDefault="004C3C15" w:rsidP="00B202C2">
                  <w:pPr>
                    <w:jc w:val="right"/>
                    <w:rPr>
                      <w:noProof/>
                    </w:rPr>
                  </w:pPr>
                  <w:r w:rsidRPr="00596511">
                    <w:rPr>
                      <w:rFonts w:ascii="Calibri" w:hAnsi="Calibri" w:cs="Calibri"/>
                      <w:noProof/>
                      <w:color w:val="000000"/>
                    </w:rPr>
                    <w:t>299.3</w:t>
                  </w:r>
                </w:p>
              </w:tc>
            </w:tr>
          </w:tbl>
          <w:p w14:paraId="66230241" w14:textId="77777777" w:rsidR="004D26CD" w:rsidRPr="00596511" w:rsidRDefault="004D26CD"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4D26CD" w:rsidRPr="00596511" w14:paraId="574BA2F0" w14:textId="77777777" w:rsidTr="00B202C2">
              <w:trPr>
                <w:trHeight w:val="285"/>
              </w:trPr>
              <w:tc>
                <w:tcPr>
                  <w:tcW w:w="2290" w:type="dxa"/>
                  <w:tcBorders>
                    <w:top w:val="nil"/>
                    <w:left w:val="nil"/>
                    <w:bottom w:val="nil"/>
                    <w:right w:val="nil"/>
                  </w:tcBorders>
                  <w:vAlign w:val="bottom"/>
                </w:tcPr>
                <w:p w14:paraId="681A62C2" w14:textId="77777777" w:rsidR="004D26CD" w:rsidRPr="00596511" w:rsidRDefault="004D26CD" w:rsidP="00B202C2">
                  <w:pPr>
                    <w:jc w:val="right"/>
                    <w:rPr>
                      <w:noProof/>
                    </w:rPr>
                  </w:pPr>
                  <w:r w:rsidRPr="00596511">
                    <w:rPr>
                      <w:rFonts w:ascii="Calibri" w:hAnsi="Calibri" w:cs="Calibri"/>
                      <w:noProof/>
                      <w:color w:val="000000"/>
                    </w:rPr>
                    <w:t>16%</w:t>
                  </w:r>
                </w:p>
              </w:tc>
            </w:tr>
          </w:tbl>
          <w:p w14:paraId="0BB6B1B3" w14:textId="77777777" w:rsidR="004D26CD" w:rsidRPr="00596511" w:rsidRDefault="004D26CD" w:rsidP="00B202C2">
            <w:pPr>
              <w:jc w:val="center"/>
              <w:cnfStyle w:val="000000000000" w:firstRow="0" w:lastRow="0" w:firstColumn="0" w:lastColumn="0" w:oddVBand="0" w:evenVBand="0" w:oddHBand="0" w:evenHBand="0" w:firstRowFirstColumn="0" w:firstRowLastColumn="0" w:lastRowFirstColumn="0" w:lastRowLastColumn="0"/>
              <w:rPr>
                <w:noProof/>
              </w:rPr>
            </w:pPr>
          </w:p>
        </w:tc>
      </w:tr>
      <w:tr w:rsidR="004D26CD" w:rsidRPr="00596511" w14:paraId="4E200120"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7838D0A3" w14:textId="77777777" w:rsidR="004D26CD" w:rsidRPr="00596511" w:rsidRDefault="004D26CD" w:rsidP="00B202C2">
            <w:pPr>
              <w:jc w:val="center"/>
              <w:rPr>
                <w:noProof/>
              </w:rPr>
            </w:pPr>
            <w:r w:rsidRPr="00596511">
              <w:rPr>
                <w:noProof/>
              </w:rPr>
              <w:t>Payments</w:t>
            </w:r>
          </w:p>
        </w:tc>
        <w:tc>
          <w:tcPr>
            <w:tcW w:w="2410" w:type="dxa"/>
          </w:tcPr>
          <w:tbl>
            <w:tblPr>
              <w:tblStyle w:val="TableGrid"/>
              <w:tblW w:w="0" w:type="auto"/>
              <w:tblLook w:val="06A0" w:firstRow="1" w:lastRow="0" w:firstColumn="1" w:lastColumn="0" w:noHBand="1" w:noVBand="1"/>
            </w:tblPr>
            <w:tblGrid>
              <w:gridCol w:w="2194"/>
            </w:tblGrid>
            <w:tr w:rsidR="004D26CD" w:rsidRPr="00596511" w14:paraId="09966013" w14:textId="77777777" w:rsidTr="00B202C2">
              <w:trPr>
                <w:trHeight w:val="285"/>
              </w:trPr>
              <w:tc>
                <w:tcPr>
                  <w:tcW w:w="2290" w:type="dxa"/>
                  <w:tcBorders>
                    <w:top w:val="nil"/>
                    <w:left w:val="nil"/>
                    <w:bottom w:val="nil"/>
                    <w:right w:val="nil"/>
                  </w:tcBorders>
                  <w:vAlign w:val="bottom"/>
                </w:tcPr>
                <w:p w14:paraId="36A8ECEF" w14:textId="77777777" w:rsidR="004D26CD" w:rsidRPr="00596511" w:rsidRDefault="004D26CD" w:rsidP="00B202C2">
                  <w:pPr>
                    <w:jc w:val="right"/>
                    <w:rPr>
                      <w:noProof/>
                    </w:rPr>
                  </w:pPr>
                  <w:r w:rsidRPr="00596511">
                    <w:rPr>
                      <w:rFonts w:ascii="Calibri" w:hAnsi="Calibri" w:cs="Calibri"/>
                      <w:noProof/>
                      <w:color w:val="000000"/>
                    </w:rPr>
                    <w:t>21.0</w:t>
                  </w:r>
                </w:p>
              </w:tc>
            </w:tr>
          </w:tbl>
          <w:p w14:paraId="68F064CF" w14:textId="77777777" w:rsidR="004D26CD" w:rsidRPr="00596511" w:rsidRDefault="004D26CD"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695843F8" w14:textId="77777777" w:rsidR="004D26CD" w:rsidRPr="00596511" w:rsidRDefault="004D26CD"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4D26CD" w:rsidRPr="00596511" w14:paraId="4A627D04" w14:textId="77777777" w:rsidTr="00B202C2">
              <w:trPr>
                <w:trHeight w:val="285"/>
              </w:trPr>
              <w:tc>
                <w:tcPr>
                  <w:tcW w:w="2235" w:type="dxa"/>
                  <w:tcBorders>
                    <w:top w:val="nil"/>
                    <w:left w:val="nil"/>
                    <w:bottom w:val="nil"/>
                    <w:right w:val="nil"/>
                  </w:tcBorders>
                  <w:vAlign w:val="bottom"/>
                </w:tcPr>
                <w:p w14:paraId="7A347B13" w14:textId="77777777" w:rsidR="004D26CD" w:rsidRPr="00596511" w:rsidRDefault="004D26CD" w:rsidP="00B202C2">
                  <w:pPr>
                    <w:jc w:val="right"/>
                    <w:rPr>
                      <w:noProof/>
                    </w:rPr>
                  </w:pPr>
                  <w:r w:rsidRPr="00596511">
                    <w:rPr>
                      <w:rFonts w:ascii="Calibri" w:hAnsi="Calibri" w:cs="Calibri"/>
                      <w:noProof/>
                      <w:color w:val="000000"/>
                    </w:rPr>
                    <w:t>7%</w:t>
                  </w:r>
                </w:p>
              </w:tc>
            </w:tr>
          </w:tbl>
          <w:p w14:paraId="3F62D8B2" w14:textId="77777777" w:rsidR="004D26CD" w:rsidRPr="00596511" w:rsidRDefault="004D26CD" w:rsidP="00B202C2">
            <w:pPr>
              <w:jc w:val="center"/>
              <w:cnfStyle w:val="000000000000" w:firstRow="0" w:lastRow="0" w:firstColumn="0" w:lastColumn="0" w:oddVBand="0" w:evenVBand="0" w:oddHBand="0" w:evenHBand="0" w:firstRowFirstColumn="0" w:firstRowLastColumn="0" w:lastRowFirstColumn="0" w:lastRowLastColumn="0"/>
              <w:rPr>
                <w:noProof/>
              </w:rPr>
            </w:pPr>
          </w:p>
        </w:tc>
      </w:tr>
    </w:tbl>
    <w:p w14:paraId="3CD80802" w14:textId="77777777" w:rsidR="004D26CD" w:rsidRPr="00596511" w:rsidRDefault="004D26CD" w:rsidP="004D26CD">
      <w:pPr>
        <w:pStyle w:val="ppoTableTabletitle"/>
        <w:rPr>
          <w:b/>
          <w:noProof/>
        </w:rPr>
      </w:pPr>
      <w:r w:rsidRPr="00596511">
        <w:rPr>
          <w:noProof/>
        </w:rPr>
        <w:t>Voted budget implementation in 2021 (million EUR):</w:t>
      </w:r>
    </w:p>
    <w:tbl>
      <w:tblPr>
        <w:tblStyle w:val="PPO2021"/>
        <w:tblW w:w="3683" w:type="pct"/>
        <w:tblInd w:w="79" w:type="dxa"/>
        <w:tblLook w:val="04A0" w:firstRow="1" w:lastRow="0" w:firstColumn="1" w:lastColumn="0" w:noHBand="0" w:noVBand="1"/>
      </w:tblPr>
      <w:tblGrid>
        <w:gridCol w:w="2419"/>
        <w:gridCol w:w="2419"/>
        <w:gridCol w:w="2420"/>
      </w:tblGrid>
      <w:tr w:rsidR="004D26CD" w:rsidRPr="00596511" w14:paraId="528A7428" w14:textId="77777777" w:rsidTr="00B202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46B81755" w14:textId="77777777" w:rsidR="004D26CD" w:rsidRPr="00596511" w:rsidRDefault="004D26CD" w:rsidP="00B202C2">
            <w:pPr>
              <w:rPr>
                <w:noProof/>
              </w:rPr>
            </w:pPr>
          </w:p>
        </w:tc>
        <w:tc>
          <w:tcPr>
            <w:tcW w:w="2419" w:type="dxa"/>
          </w:tcPr>
          <w:p w14:paraId="1F63F338" w14:textId="77777777" w:rsidR="004D26CD" w:rsidRPr="00596511" w:rsidRDefault="004D26CD" w:rsidP="00B202C2">
            <w:pPr>
              <w:cnfStyle w:val="100000000000" w:firstRow="1" w:lastRow="0" w:firstColumn="0" w:lastColumn="0" w:oddVBand="0" w:evenVBand="0" w:oddHBand="0" w:evenHBand="0" w:firstRowFirstColumn="0" w:firstRowLastColumn="0" w:lastRowFirstColumn="0" w:lastRowLastColumn="0"/>
              <w:rPr>
                <w:noProof/>
              </w:rPr>
            </w:pPr>
            <w:r w:rsidRPr="00596511">
              <w:rPr>
                <w:noProof/>
              </w:rPr>
              <w:t>Voted budget implementation</w:t>
            </w:r>
          </w:p>
        </w:tc>
        <w:tc>
          <w:tcPr>
            <w:tcW w:w="2420" w:type="dxa"/>
          </w:tcPr>
          <w:p w14:paraId="58766EEE" w14:textId="77777777" w:rsidR="004D26CD" w:rsidRPr="00596511" w:rsidRDefault="004D26CD" w:rsidP="00B202C2">
            <w:pPr>
              <w:cnfStyle w:val="100000000000" w:firstRow="1" w:lastRow="0" w:firstColumn="0" w:lastColumn="0" w:oddVBand="0" w:evenVBand="0" w:oddHBand="0" w:evenHBand="0" w:firstRowFirstColumn="0" w:firstRowLastColumn="0" w:lastRowFirstColumn="0" w:lastRowLastColumn="0"/>
              <w:rPr>
                <w:noProof/>
              </w:rPr>
            </w:pPr>
            <w:r w:rsidRPr="00596511">
              <w:rPr>
                <w:noProof/>
              </w:rPr>
              <w:t>Initial voted budget</w:t>
            </w:r>
          </w:p>
        </w:tc>
      </w:tr>
      <w:tr w:rsidR="004D26CD" w:rsidRPr="00596511" w14:paraId="4332264E" w14:textId="77777777" w:rsidTr="00B20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2496F840" w14:textId="77777777" w:rsidR="004D26CD" w:rsidRPr="00596511" w:rsidRDefault="004D26CD" w:rsidP="00B202C2">
            <w:pPr>
              <w:jc w:val="center"/>
              <w:rPr>
                <w:noProof/>
              </w:rPr>
            </w:pPr>
            <w:r w:rsidRPr="00596511">
              <w:rPr>
                <w:noProof/>
              </w:rPr>
              <w:t>Commitments</w:t>
            </w:r>
          </w:p>
        </w:tc>
        <w:tc>
          <w:tcPr>
            <w:tcW w:w="2419" w:type="dxa"/>
          </w:tcPr>
          <w:p w14:paraId="4EBE814C" w14:textId="77777777" w:rsidR="004D26CD" w:rsidRPr="00596511" w:rsidRDefault="004D26CD" w:rsidP="00B202C2">
            <w:pPr>
              <w:jc w:val="center"/>
              <w:cnfStyle w:val="000000100000" w:firstRow="0" w:lastRow="0" w:firstColumn="0" w:lastColumn="0" w:oddVBand="0" w:evenVBand="0" w:oddHBand="1" w:evenHBand="0" w:firstRowFirstColumn="0" w:firstRowLastColumn="0" w:lastRowFirstColumn="0" w:lastRowLastColumn="0"/>
              <w:rPr>
                <w:noProof/>
              </w:rPr>
            </w:pPr>
            <w:r w:rsidRPr="00596511">
              <w:rPr>
                <w:noProof/>
              </w:rPr>
              <w:t>46.7</w:t>
            </w:r>
          </w:p>
        </w:tc>
        <w:tc>
          <w:tcPr>
            <w:tcW w:w="2420" w:type="dxa"/>
          </w:tcPr>
          <w:p w14:paraId="7D731679" w14:textId="77777777" w:rsidR="004D26CD" w:rsidRPr="00596511" w:rsidRDefault="004D26CD" w:rsidP="00B202C2">
            <w:pPr>
              <w:jc w:val="center"/>
              <w:cnfStyle w:val="000000100000" w:firstRow="0" w:lastRow="0" w:firstColumn="0" w:lastColumn="0" w:oddVBand="0" w:evenVBand="0" w:oddHBand="1" w:evenHBand="0" w:firstRowFirstColumn="0" w:firstRowLastColumn="0" w:lastRowFirstColumn="0" w:lastRowLastColumn="0"/>
              <w:rPr>
                <w:noProof/>
              </w:rPr>
            </w:pPr>
            <w:r w:rsidRPr="00596511">
              <w:rPr>
                <w:noProof/>
              </w:rPr>
              <w:t>46.4</w:t>
            </w:r>
          </w:p>
        </w:tc>
      </w:tr>
      <w:tr w:rsidR="004D26CD" w:rsidRPr="00596511" w14:paraId="3BA25BA2" w14:textId="77777777" w:rsidTr="00B20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75F44C09" w14:textId="77777777" w:rsidR="004D26CD" w:rsidRPr="00596511" w:rsidRDefault="004D26CD" w:rsidP="00B202C2">
            <w:pPr>
              <w:jc w:val="center"/>
              <w:rPr>
                <w:noProof/>
              </w:rPr>
            </w:pPr>
            <w:r w:rsidRPr="00596511">
              <w:rPr>
                <w:noProof/>
              </w:rPr>
              <w:t>Payments</w:t>
            </w:r>
          </w:p>
        </w:tc>
        <w:tc>
          <w:tcPr>
            <w:tcW w:w="2419" w:type="dxa"/>
          </w:tcPr>
          <w:p w14:paraId="3815DCF9" w14:textId="77777777" w:rsidR="004D26CD" w:rsidRPr="00596511" w:rsidRDefault="004D26CD" w:rsidP="00B202C2">
            <w:pPr>
              <w:jc w:val="center"/>
              <w:cnfStyle w:val="000000010000" w:firstRow="0" w:lastRow="0" w:firstColumn="0" w:lastColumn="0" w:oddVBand="0" w:evenVBand="0" w:oddHBand="0" w:evenHBand="1" w:firstRowFirstColumn="0" w:firstRowLastColumn="0" w:lastRowFirstColumn="0" w:lastRowLastColumn="0"/>
              <w:rPr>
                <w:noProof/>
              </w:rPr>
            </w:pPr>
            <w:r w:rsidRPr="00596511">
              <w:rPr>
                <w:noProof/>
              </w:rPr>
              <w:t>21.0</w:t>
            </w:r>
          </w:p>
        </w:tc>
        <w:tc>
          <w:tcPr>
            <w:tcW w:w="2420" w:type="dxa"/>
          </w:tcPr>
          <w:p w14:paraId="39CAFEEB" w14:textId="77777777" w:rsidR="004D26CD" w:rsidRPr="00596511" w:rsidRDefault="004D26CD" w:rsidP="00B202C2">
            <w:pPr>
              <w:jc w:val="center"/>
              <w:cnfStyle w:val="000000010000" w:firstRow="0" w:lastRow="0" w:firstColumn="0" w:lastColumn="0" w:oddVBand="0" w:evenVBand="0" w:oddHBand="0" w:evenHBand="1" w:firstRowFirstColumn="0" w:firstRowLastColumn="0" w:lastRowFirstColumn="0" w:lastRowLastColumn="0"/>
              <w:rPr>
                <w:noProof/>
              </w:rPr>
            </w:pPr>
            <w:r w:rsidRPr="00596511">
              <w:rPr>
                <w:noProof/>
              </w:rPr>
              <w:t>19.2</w:t>
            </w:r>
          </w:p>
        </w:tc>
      </w:tr>
    </w:tbl>
    <w:p w14:paraId="5EA21CA8" w14:textId="77777777" w:rsidR="004D26CD" w:rsidRPr="00596511" w:rsidRDefault="004D26CD" w:rsidP="004D26CD">
      <w:pPr>
        <w:pStyle w:val="ppoListHyphened-L1"/>
        <w:rPr>
          <w:noProof/>
        </w:rPr>
      </w:pPr>
      <w:r w:rsidRPr="00596511">
        <w:rPr>
          <w:noProof/>
        </w:rPr>
        <w:t>The 2021 commitment appropriations were used for individual commitments for grants from the 2021 calls for proposals. Fifty-eight grants were signed in 2021 from the 2021 calls, for an amount of EUR</w:t>
      </w:r>
      <w:r w:rsidRPr="00596511">
        <w:rPr>
          <w:rFonts w:ascii="Calibri" w:hAnsi="Calibri" w:cs="Calibri"/>
          <w:noProof/>
        </w:rPr>
        <w:t> </w:t>
      </w:r>
      <w:r w:rsidRPr="00596511">
        <w:rPr>
          <w:noProof/>
        </w:rPr>
        <w:t>26.09</w:t>
      </w:r>
      <w:r w:rsidRPr="00596511">
        <w:rPr>
          <w:rFonts w:ascii="Calibri" w:hAnsi="Calibri" w:cs="Calibri"/>
          <w:noProof/>
        </w:rPr>
        <w:t> </w:t>
      </w:r>
      <w:r w:rsidRPr="00596511">
        <w:rPr>
          <w:noProof/>
        </w:rPr>
        <w:t>million.</w:t>
      </w:r>
    </w:p>
    <w:p w14:paraId="0C324BD3" w14:textId="77777777" w:rsidR="004D26CD" w:rsidRPr="00596511" w:rsidRDefault="004D26CD" w:rsidP="004D26CD">
      <w:pPr>
        <w:pStyle w:val="ppoListHyphened-L1"/>
        <w:rPr>
          <w:noProof/>
        </w:rPr>
      </w:pPr>
      <w:r w:rsidRPr="00596511">
        <w:rPr>
          <w:noProof/>
        </w:rPr>
        <w:t>At the end of 2021, a global commitment was made for the budget to be used in 2022 to sign the remaining grants (12) from the 2021 calls, for an amount of EUR</w:t>
      </w:r>
      <w:r w:rsidRPr="00596511">
        <w:rPr>
          <w:rFonts w:ascii="Calibri" w:hAnsi="Calibri" w:cs="Calibri"/>
          <w:noProof/>
        </w:rPr>
        <w:t> </w:t>
      </w:r>
      <w:r w:rsidRPr="00596511">
        <w:rPr>
          <w:noProof/>
        </w:rPr>
        <w:t>3.14</w:t>
      </w:r>
      <w:r w:rsidRPr="00596511">
        <w:rPr>
          <w:rFonts w:ascii="Calibri" w:hAnsi="Calibri" w:cs="Calibri"/>
          <w:noProof/>
        </w:rPr>
        <w:t> </w:t>
      </w:r>
      <w:r w:rsidRPr="00596511">
        <w:rPr>
          <w:noProof/>
        </w:rPr>
        <w:t>million. The 2021 payment appropriations were used to pay the pre-financing of the grants signed in 2021 from the 2021 calls.</w:t>
      </w:r>
    </w:p>
    <w:p w14:paraId="00939B9F" w14:textId="77777777" w:rsidR="004D26CD" w:rsidRPr="00596511" w:rsidRDefault="004D26CD" w:rsidP="004D26CD">
      <w:pPr>
        <w:pStyle w:val="ppoListHyphened-L1"/>
        <w:rPr>
          <w:noProof/>
        </w:rPr>
      </w:pPr>
      <w:r w:rsidRPr="00596511">
        <w:rPr>
          <w:noProof/>
        </w:rPr>
        <w:t>The pre-financing rate for justice action grants is 65%, while it is 80% for operating grants.</w:t>
      </w:r>
    </w:p>
    <w:p w14:paraId="39C5DE8E" w14:textId="77777777" w:rsidR="004D26CD" w:rsidRPr="00596511" w:rsidRDefault="004D26CD" w:rsidP="004D26CD">
      <w:pPr>
        <w:pStyle w:val="ppoListHyphened-L1"/>
        <w:rPr>
          <w:noProof/>
        </w:rPr>
      </w:pPr>
      <w:r w:rsidRPr="00596511">
        <w:rPr>
          <w:noProof/>
        </w:rPr>
        <w:t>The programme’s implementation in 2021 was satisfactory, and the objective of DG Justice and Consumers for 2022 is to maintain the level of implementation in the years to come. Under the adopted 2022 EU budget, EUR</w:t>
      </w:r>
      <w:r w:rsidRPr="00596511">
        <w:rPr>
          <w:rFonts w:ascii="Calibri" w:hAnsi="Calibri" w:cs="Calibri"/>
          <w:noProof/>
        </w:rPr>
        <w:t> </w:t>
      </w:r>
      <w:r w:rsidRPr="00596511">
        <w:rPr>
          <w:noProof/>
        </w:rPr>
        <w:t>42.5</w:t>
      </w:r>
      <w:r w:rsidRPr="00596511">
        <w:rPr>
          <w:rFonts w:ascii="Calibri" w:hAnsi="Calibri" w:cs="Calibri"/>
          <w:noProof/>
        </w:rPr>
        <w:t> </w:t>
      </w:r>
      <w:r w:rsidRPr="00596511">
        <w:rPr>
          <w:noProof/>
        </w:rPr>
        <w:t>million will be provided for the justice programme. The 2022 calls for proposals were published in November 2021, and the submission deadlines have been set for the first semester of 2022 to allow for the yearly budget to be respected, ensuring that the 2022 calls can be processed in time.</w:t>
      </w:r>
    </w:p>
    <w:p w14:paraId="76F7C57A" w14:textId="77777777" w:rsidR="004D26CD" w:rsidRPr="00596511" w:rsidRDefault="004D26CD" w:rsidP="004D26CD">
      <w:pPr>
        <w:pStyle w:val="ppoHeading5"/>
        <w:rPr>
          <w:noProof/>
        </w:rPr>
      </w:pPr>
      <w:r w:rsidRPr="00596511">
        <w:rPr>
          <w:noProof/>
        </w:rPr>
        <w:t>Contribution to horizontal priorities</w:t>
      </w:r>
    </w:p>
    <w:p w14:paraId="1A5FC119" w14:textId="77777777" w:rsidR="004D26CD" w:rsidRPr="00596511" w:rsidRDefault="004D26CD" w:rsidP="004D26CD">
      <w:pPr>
        <w:pStyle w:val="ppoTableTabletitle"/>
        <w:rPr>
          <w:noProof/>
        </w:rPr>
      </w:pPr>
      <w:r w:rsidRPr="00596511">
        <w:rPr>
          <w:noProof/>
        </w:rPr>
        <w:t>EU budget contribution in 2021 (million EUR):</w:t>
      </w:r>
    </w:p>
    <w:tbl>
      <w:tblPr>
        <w:tblStyle w:val="PPO2021"/>
        <w:tblW w:w="9639" w:type="dxa"/>
        <w:tblInd w:w="0" w:type="dxa"/>
        <w:tblLook w:val="0420" w:firstRow="1" w:lastRow="0" w:firstColumn="0" w:lastColumn="0" w:noHBand="0" w:noVBand="1"/>
      </w:tblPr>
      <w:tblGrid>
        <w:gridCol w:w="3213"/>
        <w:gridCol w:w="3213"/>
        <w:gridCol w:w="3213"/>
      </w:tblGrid>
      <w:tr w:rsidR="004D26CD" w:rsidRPr="00596511" w14:paraId="4F53DD01" w14:textId="77777777" w:rsidTr="00B202C2">
        <w:trPr>
          <w:cnfStyle w:val="100000000000" w:firstRow="1" w:lastRow="0" w:firstColumn="0" w:lastColumn="0" w:oddVBand="0" w:evenVBand="0" w:oddHBand="0" w:evenHBand="0" w:firstRowFirstColumn="0" w:firstRowLastColumn="0" w:lastRowFirstColumn="0" w:lastRowLastColumn="0"/>
          <w:tblHeader/>
        </w:trPr>
        <w:tc>
          <w:tcPr>
            <w:tcW w:w="3213" w:type="dxa"/>
          </w:tcPr>
          <w:p w14:paraId="667FA596" w14:textId="77777777" w:rsidR="004D26CD" w:rsidRPr="00596511" w:rsidRDefault="004D26CD" w:rsidP="00B202C2">
            <w:pPr>
              <w:rPr>
                <w:noProof/>
              </w:rPr>
            </w:pPr>
            <w:r w:rsidRPr="00596511">
              <w:rPr>
                <w:noProof/>
              </w:rPr>
              <w:t>Climate</w:t>
            </w:r>
          </w:p>
        </w:tc>
        <w:tc>
          <w:tcPr>
            <w:tcW w:w="3213" w:type="dxa"/>
          </w:tcPr>
          <w:p w14:paraId="4A004C99" w14:textId="77777777" w:rsidR="004D26CD" w:rsidRPr="00596511" w:rsidRDefault="004D26CD" w:rsidP="00B202C2">
            <w:pPr>
              <w:rPr>
                <w:noProof/>
              </w:rPr>
            </w:pPr>
            <w:r w:rsidRPr="00596511">
              <w:rPr>
                <w:noProof/>
              </w:rPr>
              <w:t>Biodiversity</w:t>
            </w:r>
          </w:p>
        </w:tc>
        <w:tc>
          <w:tcPr>
            <w:tcW w:w="3213" w:type="dxa"/>
          </w:tcPr>
          <w:p w14:paraId="08877303" w14:textId="77777777" w:rsidR="004D26CD" w:rsidRPr="00596511" w:rsidRDefault="004D26CD" w:rsidP="00B202C2">
            <w:pPr>
              <w:rPr>
                <w:noProof/>
              </w:rPr>
            </w:pPr>
            <w:r w:rsidRPr="00596511">
              <w:rPr>
                <w:noProof/>
              </w:rPr>
              <w:t>Gender equality (*)</w:t>
            </w:r>
          </w:p>
        </w:tc>
      </w:tr>
      <w:tr w:rsidR="004D26CD" w:rsidRPr="00596511" w14:paraId="41BC932A" w14:textId="77777777" w:rsidTr="00B202C2">
        <w:trPr>
          <w:cnfStyle w:val="000000100000" w:firstRow="0" w:lastRow="0" w:firstColumn="0" w:lastColumn="0" w:oddVBand="0" w:evenVBand="0" w:oddHBand="1" w:evenHBand="0" w:firstRowFirstColumn="0" w:firstRowLastColumn="0" w:lastRowFirstColumn="0" w:lastRowLastColumn="0"/>
        </w:trPr>
        <w:tc>
          <w:tcPr>
            <w:tcW w:w="3213" w:type="dxa"/>
          </w:tcPr>
          <w:tbl>
            <w:tblPr>
              <w:tblStyle w:val="TableGrid"/>
              <w:tblW w:w="0" w:type="auto"/>
              <w:tblLook w:val="06A0" w:firstRow="1" w:lastRow="0" w:firstColumn="1" w:lastColumn="0" w:noHBand="1" w:noVBand="1"/>
            </w:tblPr>
            <w:tblGrid>
              <w:gridCol w:w="1935"/>
            </w:tblGrid>
            <w:tr w:rsidR="004D26CD" w:rsidRPr="00596511" w14:paraId="7683B6E2" w14:textId="77777777" w:rsidTr="00B202C2">
              <w:trPr>
                <w:trHeight w:val="285"/>
              </w:trPr>
              <w:tc>
                <w:tcPr>
                  <w:tcW w:w="1935" w:type="dxa"/>
                  <w:tcBorders>
                    <w:top w:val="nil"/>
                    <w:left w:val="nil"/>
                    <w:bottom w:val="nil"/>
                    <w:right w:val="nil"/>
                  </w:tcBorders>
                  <w:vAlign w:val="bottom"/>
                </w:tcPr>
                <w:p w14:paraId="5F5261ED" w14:textId="417533D1" w:rsidR="004D26CD" w:rsidRPr="00596511" w:rsidRDefault="004D26CD" w:rsidP="00B202C2">
                  <w:pPr>
                    <w:jc w:val="right"/>
                    <w:rPr>
                      <w:noProof/>
                    </w:rPr>
                  </w:pPr>
                  <w:r w:rsidRPr="00596511">
                    <w:rPr>
                      <w:rFonts w:ascii="Calibri" w:hAnsi="Calibri" w:cs="Calibri"/>
                      <w:noProof/>
                      <w:color w:val="000000"/>
                    </w:rPr>
                    <w:t>0</w:t>
                  </w:r>
                  <w:r w:rsidR="001956B8">
                    <w:rPr>
                      <w:rFonts w:ascii="Calibri" w:hAnsi="Calibri" w:cs="Calibri"/>
                      <w:noProof/>
                      <w:color w:val="000000"/>
                    </w:rPr>
                    <w:t>.21</w:t>
                  </w:r>
                </w:p>
              </w:tc>
            </w:tr>
          </w:tbl>
          <w:p w14:paraId="360BEA9F" w14:textId="77777777" w:rsidR="004D26CD" w:rsidRPr="00596511" w:rsidRDefault="004D26CD" w:rsidP="00B202C2">
            <w:pPr>
              <w:jc w:val="center"/>
              <w:rPr>
                <w:noProof/>
              </w:rPr>
            </w:pPr>
          </w:p>
        </w:tc>
        <w:tc>
          <w:tcPr>
            <w:tcW w:w="3213" w:type="dxa"/>
          </w:tcPr>
          <w:p w14:paraId="0234AC9C" w14:textId="77777777" w:rsidR="004D26CD" w:rsidRPr="00596511" w:rsidRDefault="004D26CD" w:rsidP="00B202C2">
            <w:pPr>
              <w:jc w:val="center"/>
              <w:rPr>
                <w:noProof/>
              </w:rPr>
            </w:pPr>
            <w:r w:rsidRPr="00596511">
              <w:rPr>
                <w:noProof/>
              </w:rPr>
              <w:t>0</w:t>
            </w:r>
          </w:p>
        </w:tc>
        <w:tc>
          <w:tcPr>
            <w:tcW w:w="3213" w:type="dxa"/>
          </w:tcPr>
          <w:p w14:paraId="39CE7DCA" w14:textId="453023A9" w:rsidR="004D26CD" w:rsidRPr="00596511" w:rsidRDefault="004D26CD" w:rsidP="00B202C2">
            <w:pPr>
              <w:jc w:val="center"/>
              <w:rPr>
                <w:noProof/>
              </w:rPr>
            </w:pPr>
            <w:r w:rsidRPr="00596511">
              <w:rPr>
                <w:noProof/>
              </w:rPr>
              <w:t>Score 0*: 46</w:t>
            </w:r>
            <w:r w:rsidR="000F4D5F">
              <w:rPr>
                <w:noProof/>
              </w:rPr>
              <w:t>.7</w:t>
            </w:r>
          </w:p>
        </w:tc>
      </w:tr>
    </w:tbl>
    <w:p w14:paraId="7A66887F" w14:textId="77777777" w:rsidR="004D26CD" w:rsidRPr="00596511" w:rsidRDefault="004D26CD" w:rsidP="004D26CD">
      <w:pPr>
        <w:pStyle w:val="FootnoteText"/>
        <w:rPr>
          <w:noProof/>
        </w:rPr>
      </w:pPr>
      <w:r w:rsidRPr="00596511">
        <w:rPr>
          <w:noProof/>
        </w:rPr>
        <w:t xml:space="preserve">(*) Based on the applied gender contribution methodology, the following scores are attributed at the most granular level of intervention possible: </w:t>
      </w:r>
    </w:p>
    <w:p w14:paraId="4A8F72F6" w14:textId="77777777" w:rsidR="004D26CD" w:rsidRPr="00596511" w:rsidRDefault="004D26CD" w:rsidP="004D26CD">
      <w:pPr>
        <w:pStyle w:val="FootnoteText"/>
        <w:numPr>
          <w:ilvl w:val="0"/>
          <w:numId w:val="38"/>
        </w:numPr>
        <w:spacing w:after="60" w:line="264" w:lineRule="auto"/>
        <w:jc w:val="left"/>
        <w:rPr>
          <w:noProof/>
        </w:rPr>
      </w:pPr>
      <w:r w:rsidRPr="00596511">
        <w:rPr>
          <w:noProof/>
        </w:rPr>
        <w:t>2: interventions the principal objective of which is to improve gender equality;</w:t>
      </w:r>
    </w:p>
    <w:p w14:paraId="7C3A26E6" w14:textId="77777777" w:rsidR="004D26CD" w:rsidRPr="00596511" w:rsidRDefault="004D26CD" w:rsidP="004D26CD">
      <w:pPr>
        <w:pStyle w:val="FootnoteText"/>
        <w:numPr>
          <w:ilvl w:val="0"/>
          <w:numId w:val="38"/>
        </w:numPr>
        <w:spacing w:after="60" w:line="264" w:lineRule="auto"/>
        <w:jc w:val="left"/>
        <w:rPr>
          <w:noProof/>
        </w:rPr>
      </w:pPr>
      <w:r w:rsidRPr="00596511">
        <w:rPr>
          <w:noProof/>
        </w:rPr>
        <w:t>1: interventions that have gender equality as an important and deliberate objective but not as the main reason for the intervention;</w:t>
      </w:r>
    </w:p>
    <w:p w14:paraId="5DF33618" w14:textId="77777777" w:rsidR="004D26CD" w:rsidRPr="00596511" w:rsidRDefault="004D26CD" w:rsidP="004D26CD">
      <w:pPr>
        <w:pStyle w:val="FootnoteText"/>
        <w:numPr>
          <w:ilvl w:val="0"/>
          <w:numId w:val="38"/>
        </w:numPr>
        <w:spacing w:after="60" w:line="264" w:lineRule="auto"/>
        <w:jc w:val="left"/>
        <w:rPr>
          <w:noProof/>
        </w:rPr>
      </w:pPr>
      <w:r w:rsidRPr="00596511">
        <w:rPr>
          <w:noProof/>
        </w:rPr>
        <w:t>0: non-targeted interventions;</w:t>
      </w:r>
    </w:p>
    <w:p w14:paraId="566F3054" w14:textId="77777777" w:rsidR="004D26CD" w:rsidRPr="00596511" w:rsidRDefault="004D26CD" w:rsidP="004D26CD">
      <w:pPr>
        <w:pStyle w:val="FootnoteText"/>
        <w:numPr>
          <w:ilvl w:val="0"/>
          <w:numId w:val="38"/>
        </w:numPr>
        <w:spacing w:after="60" w:line="264" w:lineRule="auto"/>
        <w:jc w:val="left"/>
        <w:rPr>
          <w:noProof/>
        </w:rPr>
      </w:pPr>
      <w:r w:rsidRPr="00596511">
        <w:rPr>
          <w:noProof/>
        </w:rPr>
        <w:t>0*: score to be assigned to interventions with a likely but not yet clear positive impact on gender equality.</w:t>
      </w:r>
    </w:p>
    <w:p w14:paraId="029DD8CA" w14:textId="77777777" w:rsidR="004D26CD" w:rsidRPr="00596511" w:rsidRDefault="004D26CD" w:rsidP="004D26CD">
      <w:pPr>
        <w:pStyle w:val="ppoHeading5"/>
        <w:rPr>
          <w:noProof/>
        </w:rPr>
      </w:pPr>
      <w:r w:rsidRPr="00596511">
        <w:rPr>
          <w:noProof/>
        </w:rPr>
        <w:t>Performance assessment</w:t>
      </w:r>
    </w:p>
    <w:p w14:paraId="7C9281CA" w14:textId="77777777" w:rsidR="004D26CD" w:rsidRPr="00596511" w:rsidRDefault="004D26CD" w:rsidP="004D26CD">
      <w:pPr>
        <w:pStyle w:val="ppoHeading6"/>
        <w:rPr>
          <w:noProof/>
        </w:rPr>
      </w:pPr>
      <w:r w:rsidRPr="00596511">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4D26CD" w:rsidRPr="00596511" w14:paraId="39EFC505" w14:textId="77777777" w:rsidTr="00B202C2">
        <w:trPr>
          <w:cnfStyle w:val="100000000000" w:firstRow="1" w:lastRow="0" w:firstColumn="0" w:lastColumn="0" w:oddVBand="0" w:evenVBand="0" w:oddHBand="0" w:evenHBand="0" w:firstRowFirstColumn="0" w:firstRowLastColumn="0" w:lastRowFirstColumn="0" w:lastRowLastColumn="0"/>
        </w:trPr>
        <w:tc>
          <w:tcPr>
            <w:tcW w:w="2330" w:type="dxa"/>
          </w:tcPr>
          <w:p w14:paraId="1B8A1C5F" w14:textId="77777777" w:rsidR="004D26CD" w:rsidRPr="00596511" w:rsidRDefault="004D26CD" w:rsidP="00B202C2">
            <w:pPr>
              <w:rPr>
                <w:noProof/>
              </w:rPr>
            </w:pPr>
          </w:p>
        </w:tc>
        <w:tc>
          <w:tcPr>
            <w:tcW w:w="1100" w:type="dxa"/>
          </w:tcPr>
          <w:p w14:paraId="1C6F27FA" w14:textId="77777777" w:rsidR="004D26CD" w:rsidRPr="00596511" w:rsidRDefault="004D26CD" w:rsidP="00B202C2">
            <w:pPr>
              <w:rPr>
                <w:noProof/>
              </w:rPr>
            </w:pPr>
            <w:r w:rsidRPr="00596511">
              <w:rPr>
                <w:noProof/>
              </w:rPr>
              <w:t>Baseline</w:t>
            </w:r>
          </w:p>
        </w:tc>
        <w:tc>
          <w:tcPr>
            <w:tcW w:w="1526" w:type="dxa"/>
          </w:tcPr>
          <w:p w14:paraId="6F5D75E3" w14:textId="77777777" w:rsidR="004D26CD" w:rsidRPr="00596511" w:rsidRDefault="004D26CD" w:rsidP="00B202C2">
            <w:pPr>
              <w:rPr>
                <w:noProof/>
              </w:rPr>
            </w:pPr>
            <w:r w:rsidRPr="00596511">
              <w:rPr>
                <w:noProof/>
              </w:rPr>
              <w:t>Progress (*)</w:t>
            </w:r>
          </w:p>
        </w:tc>
        <w:tc>
          <w:tcPr>
            <w:tcW w:w="1532" w:type="dxa"/>
          </w:tcPr>
          <w:p w14:paraId="6F807E06" w14:textId="77777777" w:rsidR="004D26CD" w:rsidRPr="00596511" w:rsidRDefault="004D26CD" w:rsidP="00B202C2">
            <w:pPr>
              <w:rPr>
                <w:noProof/>
              </w:rPr>
            </w:pPr>
            <w:r w:rsidRPr="00596511">
              <w:rPr>
                <w:noProof/>
              </w:rPr>
              <w:t>Target</w:t>
            </w:r>
          </w:p>
        </w:tc>
        <w:tc>
          <w:tcPr>
            <w:tcW w:w="1572" w:type="dxa"/>
          </w:tcPr>
          <w:p w14:paraId="2F6F900F" w14:textId="77777777" w:rsidR="004D26CD" w:rsidRPr="00596511" w:rsidRDefault="004D26CD" w:rsidP="00B202C2">
            <w:pPr>
              <w:rPr>
                <w:noProof/>
              </w:rPr>
            </w:pPr>
            <w:r w:rsidRPr="00596511">
              <w:rPr>
                <w:noProof/>
              </w:rPr>
              <w:t>Results</w:t>
            </w:r>
          </w:p>
        </w:tc>
        <w:tc>
          <w:tcPr>
            <w:tcW w:w="1579" w:type="dxa"/>
          </w:tcPr>
          <w:p w14:paraId="65F66E3B" w14:textId="77777777" w:rsidR="004D26CD" w:rsidRPr="00596511" w:rsidRDefault="004D26CD" w:rsidP="00B202C2">
            <w:pPr>
              <w:rPr>
                <w:noProof/>
              </w:rPr>
            </w:pPr>
            <w:r w:rsidRPr="00596511">
              <w:rPr>
                <w:noProof/>
              </w:rPr>
              <w:t>Assessment</w:t>
            </w:r>
          </w:p>
        </w:tc>
      </w:tr>
      <w:tr w:rsidR="004D26CD" w:rsidRPr="00596511" w14:paraId="411964B7" w14:textId="77777777" w:rsidTr="00B202C2">
        <w:trPr>
          <w:cnfStyle w:val="000000100000" w:firstRow="0" w:lastRow="0" w:firstColumn="0" w:lastColumn="0" w:oddVBand="0" w:evenVBand="0" w:oddHBand="1" w:evenHBand="0" w:firstRowFirstColumn="0" w:firstRowLastColumn="0" w:lastRowFirstColumn="0" w:lastRowLastColumn="0"/>
        </w:trPr>
        <w:tc>
          <w:tcPr>
            <w:tcW w:w="2330" w:type="dxa"/>
          </w:tcPr>
          <w:p w14:paraId="3E6626C2" w14:textId="77777777" w:rsidR="004D26CD" w:rsidRPr="00596511" w:rsidRDefault="004D26CD" w:rsidP="00B202C2">
            <w:pPr>
              <w:rPr>
                <w:noProof/>
              </w:rPr>
            </w:pPr>
            <w:r w:rsidRPr="00596511">
              <w:rPr>
                <w:noProof/>
              </w:rPr>
              <w:t>Exchanges of information in the European Criminal Records Information System</w:t>
            </w:r>
          </w:p>
        </w:tc>
        <w:tc>
          <w:tcPr>
            <w:tcW w:w="1100" w:type="dxa"/>
          </w:tcPr>
          <w:p w14:paraId="6FE9C76D" w14:textId="77777777" w:rsidR="004D26CD" w:rsidRPr="00596511" w:rsidRDefault="004D26CD" w:rsidP="00B202C2">
            <w:pPr>
              <w:jc w:val="center"/>
              <w:rPr>
                <w:noProof/>
              </w:rPr>
            </w:pPr>
            <w:r w:rsidRPr="00596511">
              <w:rPr>
                <w:noProof/>
              </w:rPr>
              <w:t>0</w:t>
            </w:r>
          </w:p>
        </w:tc>
        <w:tc>
          <w:tcPr>
            <w:tcW w:w="1526" w:type="dxa"/>
          </w:tcPr>
          <w:p w14:paraId="76949076" w14:textId="77777777" w:rsidR="004D26CD" w:rsidRPr="00596511" w:rsidRDefault="004D26CD" w:rsidP="00B202C2">
            <w:pPr>
              <w:jc w:val="center"/>
              <w:rPr>
                <w:b/>
                <w:noProof/>
              </w:rPr>
            </w:pPr>
            <w:r w:rsidRPr="00596511">
              <w:rPr>
                <w:noProof/>
              </w:rPr>
              <w:t>78%</w:t>
            </w:r>
          </w:p>
        </w:tc>
        <w:tc>
          <w:tcPr>
            <w:tcW w:w="1532" w:type="dxa"/>
          </w:tcPr>
          <w:p w14:paraId="3C77066A" w14:textId="77777777" w:rsidR="004D26CD" w:rsidRPr="00596511" w:rsidRDefault="004D26CD" w:rsidP="00B202C2">
            <w:pPr>
              <w:jc w:val="center"/>
              <w:rPr>
                <w:noProof/>
              </w:rPr>
            </w:pPr>
            <w:r w:rsidRPr="00596511">
              <w:rPr>
                <w:noProof/>
              </w:rPr>
              <w:t>5.2</w:t>
            </w:r>
            <w:r w:rsidRPr="00596511">
              <w:rPr>
                <w:rFonts w:ascii="Calibri" w:hAnsi="Calibri" w:cs="Calibri"/>
                <w:noProof/>
              </w:rPr>
              <w:t> </w:t>
            </w:r>
            <w:r w:rsidRPr="00596511">
              <w:rPr>
                <w:noProof/>
              </w:rPr>
              <w:t>million in 2027</w:t>
            </w:r>
          </w:p>
        </w:tc>
        <w:tc>
          <w:tcPr>
            <w:tcW w:w="1572" w:type="dxa"/>
          </w:tcPr>
          <w:p w14:paraId="3D3DDA9D" w14:textId="77777777" w:rsidR="004D26CD" w:rsidRPr="00596511" w:rsidRDefault="004D26CD" w:rsidP="00B202C2">
            <w:pPr>
              <w:jc w:val="center"/>
              <w:rPr>
                <w:noProof/>
              </w:rPr>
            </w:pPr>
            <w:r w:rsidRPr="00596511">
              <w:rPr>
                <w:noProof/>
              </w:rPr>
              <w:t>4.0</w:t>
            </w:r>
            <w:r w:rsidRPr="00596511">
              <w:rPr>
                <w:rFonts w:ascii="Calibri" w:hAnsi="Calibri" w:cs="Calibri"/>
                <w:noProof/>
              </w:rPr>
              <w:t> </w:t>
            </w:r>
            <w:r w:rsidRPr="00596511">
              <w:rPr>
                <w:noProof/>
              </w:rPr>
              <w:t>million compared to a target of 5.2</w:t>
            </w:r>
            <w:r w:rsidRPr="00596511">
              <w:rPr>
                <w:rFonts w:ascii="Calibri" w:hAnsi="Calibri" w:cs="Calibri"/>
                <w:noProof/>
              </w:rPr>
              <w:t> </w:t>
            </w:r>
            <w:r w:rsidRPr="00596511">
              <w:rPr>
                <w:noProof/>
              </w:rPr>
              <w:t>million</w:t>
            </w:r>
          </w:p>
        </w:tc>
        <w:tc>
          <w:tcPr>
            <w:tcW w:w="1579" w:type="dxa"/>
          </w:tcPr>
          <w:p w14:paraId="08F8852A" w14:textId="77777777" w:rsidR="004D26CD" w:rsidRPr="00596511" w:rsidRDefault="004D26CD" w:rsidP="00B202C2">
            <w:pPr>
              <w:jc w:val="center"/>
              <w:rPr>
                <w:noProof/>
              </w:rPr>
            </w:pPr>
            <w:r w:rsidRPr="00596511">
              <w:rPr>
                <w:noProof/>
              </w:rPr>
              <w:t>On track</w:t>
            </w:r>
          </w:p>
        </w:tc>
      </w:tr>
      <w:tr w:rsidR="004D26CD" w:rsidRPr="00596511" w14:paraId="327DCCAB" w14:textId="77777777" w:rsidTr="00B202C2">
        <w:trPr>
          <w:cnfStyle w:val="000000010000" w:firstRow="0" w:lastRow="0" w:firstColumn="0" w:lastColumn="0" w:oddVBand="0" w:evenVBand="0" w:oddHBand="0" w:evenHBand="1" w:firstRowFirstColumn="0" w:firstRowLastColumn="0" w:lastRowFirstColumn="0" w:lastRowLastColumn="0"/>
        </w:trPr>
        <w:tc>
          <w:tcPr>
            <w:tcW w:w="2330" w:type="dxa"/>
          </w:tcPr>
          <w:p w14:paraId="06398CC3" w14:textId="77777777" w:rsidR="004D26CD" w:rsidRPr="00596511" w:rsidRDefault="004D26CD" w:rsidP="00B202C2">
            <w:pPr>
              <w:rPr>
                <w:noProof/>
              </w:rPr>
            </w:pPr>
            <w:r w:rsidRPr="00596511">
              <w:rPr>
                <w:noProof/>
              </w:rPr>
              <w:t>Members of the judiciary and judicial staff who participated in training activities</w:t>
            </w:r>
          </w:p>
        </w:tc>
        <w:tc>
          <w:tcPr>
            <w:tcW w:w="1100" w:type="dxa"/>
          </w:tcPr>
          <w:p w14:paraId="68D9C4DE" w14:textId="77777777" w:rsidR="004D26CD" w:rsidRPr="00596511" w:rsidRDefault="004D26CD" w:rsidP="00B202C2">
            <w:pPr>
              <w:jc w:val="center"/>
              <w:rPr>
                <w:noProof/>
              </w:rPr>
            </w:pPr>
            <w:r w:rsidRPr="00596511">
              <w:rPr>
                <w:noProof/>
              </w:rPr>
              <w:t>0</w:t>
            </w:r>
          </w:p>
        </w:tc>
        <w:tc>
          <w:tcPr>
            <w:tcW w:w="1526" w:type="dxa"/>
          </w:tcPr>
          <w:p w14:paraId="0562630D" w14:textId="77777777" w:rsidR="004D26CD" w:rsidRPr="00596511" w:rsidRDefault="004D26CD" w:rsidP="00B202C2">
            <w:pPr>
              <w:tabs>
                <w:tab w:val="left" w:pos="608"/>
                <w:tab w:val="center" w:pos="655"/>
              </w:tabs>
              <w:rPr>
                <w:b/>
                <w:noProof/>
              </w:rPr>
            </w:pPr>
            <w:r w:rsidRPr="00596511">
              <w:rPr>
                <w:b/>
                <w:noProof/>
              </w:rPr>
              <w:tab/>
            </w:r>
            <w:r w:rsidRPr="00596511">
              <w:rPr>
                <w:b/>
                <w:noProof/>
              </w:rPr>
              <w:tab/>
            </w:r>
          </w:p>
        </w:tc>
        <w:tc>
          <w:tcPr>
            <w:tcW w:w="1532" w:type="dxa"/>
          </w:tcPr>
          <w:p w14:paraId="2A7E9A81" w14:textId="77777777" w:rsidR="004D26CD" w:rsidRPr="00596511" w:rsidRDefault="004D26CD" w:rsidP="00B202C2">
            <w:pPr>
              <w:jc w:val="center"/>
              <w:rPr>
                <w:noProof/>
              </w:rPr>
            </w:pPr>
            <w:r w:rsidRPr="00596511">
              <w:rPr>
                <w:noProof/>
              </w:rPr>
              <w:t>15</w:t>
            </w:r>
            <w:r w:rsidRPr="00596511">
              <w:rPr>
                <w:rFonts w:ascii="Calibri" w:hAnsi="Calibri" w:cs="Calibri"/>
                <w:noProof/>
              </w:rPr>
              <w:t> </w:t>
            </w:r>
            <w:r w:rsidRPr="00596511">
              <w:rPr>
                <w:noProof/>
              </w:rPr>
              <w:t>000 in 2027</w:t>
            </w:r>
          </w:p>
          <w:p w14:paraId="55FA03DB" w14:textId="77777777" w:rsidR="004D26CD" w:rsidRPr="00596511" w:rsidRDefault="004D26CD" w:rsidP="00B202C2">
            <w:pPr>
              <w:jc w:val="center"/>
              <w:rPr>
                <w:noProof/>
              </w:rPr>
            </w:pPr>
          </w:p>
        </w:tc>
        <w:tc>
          <w:tcPr>
            <w:tcW w:w="1572" w:type="dxa"/>
          </w:tcPr>
          <w:p w14:paraId="7372BCDA" w14:textId="77777777" w:rsidR="004D26CD" w:rsidRPr="00596511" w:rsidRDefault="004D26CD" w:rsidP="00B202C2">
            <w:pPr>
              <w:jc w:val="center"/>
              <w:rPr>
                <w:noProof/>
              </w:rPr>
            </w:pPr>
            <w:r w:rsidRPr="00596511">
              <w:rPr>
                <w:noProof/>
              </w:rPr>
              <w:t>No results</w:t>
            </w:r>
          </w:p>
          <w:p w14:paraId="13C3DE4D" w14:textId="77777777" w:rsidR="004D26CD" w:rsidRPr="00596511" w:rsidRDefault="004D26CD" w:rsidP="00B202C2">
            <w:pPr>
              <w:jc w:val="center"/>
              <w:rPr>
                <w:noProof/>
              </w:rPr>
            </w:pPr>
          </w:p>
        </w:tc>
        <w:tc>
          <w:tcPr>
            <w:tcW w:w="1579" w:type="dxa"/>
          </w:tcPr>
          <w:p w14:paraId="5C33E10D" w14:textId="77777777" w:rsidR="004D26CD" w:rsidRPr="00596511" w:rsidRDefault="004D26CD" w:rsidP="00B202C2">
            <w:pPr>
              <w:jc w:val="center"/>
              <w:rPr>
                <w:noProof/>
              </w:rPr>
            </w:pPr>
            <w:r w:rsidRPr="00596511">
              <w:rPr>
                <w:noProof/>
              </w:rPr>
              <w:t>No data</w:t>
            </w:r>
          </w:p>
          <w:p w14:paraId="4D4D8896" w14:textId="77777777" w:rsidR="004D26CD" w:rsidRPr="00596511" w:rsidRDefault="004D26CD" w:rsidP="00B202C2">
            <w:pPr>
              <w:jc w:val="center"/>
              <w:rPr>
                <w:noProof/>
              </w:rPr>
            </w:pPr>
          </w:p>
        </w:tc>
      </w:tr>
      <w:tr w:rsidR="004D26CD" w:rsidRPr="00596511" w14:paraId="49AE9DCF" w14:textId="77777777" w:rsidTr="00B202C2">
        <w:trPr>
          <w:cnfStyle w:val="000000100000" w:firstRow="0" w:lastRow="0" w:firstColumn="0" w:lastColumn="0" w:oddVBand="0" w:evenVBand="0" w:oddHBand="1" w:evenHBand="0" w:firstRowFirstColumn="0" w:firstRowLastColumn="0" w:lastRowFirstColumn="0" w:lastRowLastColumn="0"/>
        </w:trPr>
        <w:tc>
          <w:tcPr>
            <w:tcW w:w="2330" w:type="dxa"/>
          </w:tcPr>
          <w:p w14:paraId="1F217E5C" w14:textId="77777777" w:rsidR="004D26CD" w:rsidRPr="00596511" w:rsidRDefault="004D26CD" w:rsidP="00B202C2">
            <w:pPr>
              <w:rPr>
                <w:noProof/>
              </w:rPr>
            </w:pPr>
            <w:r w:rsidRPr="00596511">
              <w:rPr>
                <w:noProof/>
              </w:rPr>
              <w:t>Hits on the e-Justice portal / pages addressing the need for information on cross-border civil and criminal cases</w:t>
            </w:r>
          </w:p>
        </w:tc>
        <w:tc>
          <w:tcPr>
            <w:tcW w:w="1100" w:type="dxa"/>
          </w:tcPr>
          <w:p w14:paraId="62F958C6" w14:textId="77777777" w:rsidR="004D26CD" w:rsidRPr="00596511" w:rsidRDefault="004D26CD" w:rsidP="00B202C2">
            <w:pPr>
              <w:jc w:val="center"/>
              <w:rPr>
                <w:noProof/>
              </w:rPr>
            </w:pPr>
            <w:r w:rsidRPr="00596511">
              <w:rPr>
                <w:noProof/>
              </w:rPr>
              <w:t>0</w:t>
            </w:r>
          </w:p>
        </w:tc>
        <w:tc>
          <w:tcPr>
            <w:tcW w:w="1526" w:type="dxa"/>
          </w:tcPr>
          <w:p w14:paraId="12CF9D77" w14:textId="77777777" w:rsidR="004D26CD" w:rsidRPr="00596511" w:rsidRDefault="004D26CD" w:rsidP="00B202C2">
            <w:pPr>
              <w:jc w:val="center"/>
              <w:rPr>
                <w:b/>
                <w:noProof/>
              </w:rPr>
            </w:pPr>
            <w:r w:rsidRPr="00596511">
              <w:rPr>
                <w:noProof/>
              </w:rPr>
              <w:t>46%</w:t>
            </w:r>
          </w:p>
        </w:tc>
        <w:tc>
          <w:tcPr>
            <w:tcW w:w="1532" w:type="dxa"/>
          </w:tcPr>
          <w:p w14:paraId="41D8A989" w14:textId="77777777" w:rsidR="004D26CD" w:rsidRPr="00596511" w:rsidRDefault="004D26CD" w:rsidP="00B202C2">
            <w:pPr>
              <w:jc w:val="center"/>
              <w:rPr>
                <w:noProof/>
              </w:rPr>
            </w:pPr>
            <w:r w:rsidRPr="00596511">
              <w:rPr>
                <w:noProof/>
              </w:rPr>
              <w:t xml:space="preserve"> 2.8</w:t>
            </w:r>
            <w:r w:rsidRPr="00596511">
              <w:rPr>
                <w:rFonts w:ascii="Calibri" w:hAnsi="Calibri" w:cs="Calibri"/>
                <w:noProof/>
              </w:rPr>
              <w:t> </w:t>
            </w:r>
            <w:r w:rsidRPr="00596511">
              <w:rPr>
                <w:noProof/>
              </w:rPr>
              <w:t>million in 2027</w:t>
            </w:r>
          </w:p>
          <w:p w14:paraId="2FECB54D" w14:textId="77777777" w:rsidR="004D26CD" w:rsidRPr="00596511" w:rsidRDefault="004D26CD" w:rsidP="00B202C2">
            <w:pPr>
              <w:jc w:val="center"/>
              <w:rPr>
                <w:noProof/>
              </w:rPr>
            </w:pPr>
          </w:p>
        </w:tc>
        <w:tc>
          <w:tcPr>
            <w:tcW w:w="1572" w:type="dxa"/>
          </w:tcPr>
          <w:p w14:paraId="26F41E38" w14:textId="77777777" w:rsidR="004D26CD" w:rsidRPr="00596511" w:rsidRDefault="004D26CD" w:rsidP="00B202C2">
            <w:pPr>
              <w:jc w:val="center"/>
              <w:rPr>
                <w:noProof/>
              </w:rPr>
            </w:pPr>
            <w:r w:rsidRPr="00596511">
              <w:rPr>
                <w:noProof/>
              </w:rPr>
              <w:t>1.3</w:t>
            </w:r>
            <w:r w:rsidRPr="00596511">
              <w:rPr>
                <w:rFonts w:ascii="Calibri" w:hAnsi="Calibri" w:cs="Calibri"/>
                <w:noProof/>
              </w:rPr>
              <w:t> </w:t>
            </w:r>
            <w:r w:rsidRPr="00596511">
              <w:rPr>
                <w:noProof/>
              </w:rPr>
              <w:t>million compared to a target of 2.8</w:t>
            </w:r>
            <w:r w:rsidRPr="00596511">
              <w:rPr>
                <w:rFonts w:ascii="Calibri" w:hAnsi="Calibri" w:cs="Calibri"/>
                <w:noProof/>
              </w:rPr>
              <w:t> </w:t>
            </w:r>
            <w:r w:rsidRPr="00596511">
              <w:rPr>
                <w:noProof/>
              </w:rPr>
              <w:t>million</w:t>
            </w:r>
          </w:p>
        </w:tc>
        <w:tc>
          <w:tcPr>
            <w:tcW w:w="1579" w:type="dxa"/>
          </w:tcPr>
          <w:p w14:paraId="7E381C9D" w14:textId="77777777" w:rsidR="004D26CD" w:rsidRPr="00596511" w:rsidRDefault="004D26CD" w:rsidP="00B202C2">
            <w:pPr>
              <w:jc w:val="center"/>
              <w:rPr>
                <w:noProof/>
              </w:rPr>
            </w:pPr>
            <w:r w:rsidRPr="00596511">
              <w:rPr>
                <w:noProof/>
              </w:rPr>
              <w:t>On track</w:t>
            </w:r>
          </w:p>
        </w:tc>
      </w:tr>
    </w:tbl>
    <w:p w14:paraId="4AE8E1E5" w14:textId="77777777" w:rsidR="004D26CD" w:rsidRPr="00596511" w:rsidRDefault="004D26CD" w:rsidP="004D26CD">
      <w:pPr>
        <w:pStyle w:val="FootnoteText"/>
        <w:spacing w:before="120"/>
        <w:rPr>
          <w:noProof/>
        </w:rPr>
      </w:pPr>
      <w:r w:rsidRPr="00596511">
        <w:rPr>
          <w:noProof/>
        </w:rPr>
        <w:t>(*) % of target achieved by the end of 2021.</w:t>
      </w:r>
    </w:p>
    <w:p w14:paraId="632EE3E8" w14:textId="77777777" w:rsidR="004D26CD" w:rsidRPr="00596511" w:rsidRDefault="004D26CD" w:rsidP="004D26CD">
      <w:pPr>
        <w:pStyle w:val="FootnoteText"/>
        <w:ind w:left="0" w:firstLine="0"/>
        <w:rPr>
          <w:noProof/>
        </w:rPr>
      </w:pPr>
    </w:p>
    <w:p w14:paraId="18EA33B2" w14:textId="77777777" w:rsidR="004D26CD" w:rsidRPr="00596511" w:rsidRDefault="004D26CD" w:rsidP="004D26CD">
      <w:pPr>
        <w:pStyle w:val="ppoListHyphened-L1"/>
        <w:rPr>
          <w:noProof/>
        </w:rPr>
      </w:pPr>
      <w:r w:rsidRPr="00596511">
        <w:rPr>
          <w:noProof/>
        </w:rPr>
        <w:t>2021 was an extremely challenging year for programme implementation, in particular due to the transition between two multiannual financial frameworks, the very late adoption of the justice programme regulation (28</w:t>
      </w:r>
      <w:r w:rsidRPr="00596511">
        <w:rPr>
          <w:rFonts w:ascii="Calibri" w:hAnsi="Calibri" w:cs="Calibri"/>
          <w:noProof/>
        </w:rPr>
        <w:t> </w:t>
      </w:r>
      <w:r w:rsidRPr="00596511">
        <w:rPr>
          <w:noProof/>
        </w:rPr>
        <w:t>April 2021) and the continuation of the COVID-19 pandemic. Nevertheless, DG Justice and Consumers ensured that the implementation level of the justice programme was satisfactory, providing funding to public entities, NGOs, EU networks and information technology systems, and funding several key activities in support of policy and legislative developments.</w:t>
      </w:r>
    </w:p>
    <w:p w14:paraId="6BCDE32B" w14:textId="77777777" w:rsidR="004D26CD" w:rsidRPr="00596511" w:rsidRDefault="004D26CD" w:rsidP="004D26CD">
      <w:pPr>
        <w:pStyle w:val="ppoListHyphened-L1"/>
        <w:rPr>
          <w:noProof/>
        </w:rPr>
      </w:pPr>
      <w:r w:rsidRPr="00596511">
        <w:rPr>
          <w:noProof/>
        </w:rPr>
        <w:t>The 2021-2022 work programme of the justice programme provided around EUR</w:t>
      </w:r>
      <w:r w:rsidRPr="00596511">
        <w:rPr>
          <w:rFonts w:ascii="Calibri" w:hAnsi="Calibri" w:cs="Calibri"/>
          <w:noProof/>
        </w:rPr>
        <w:t> </w:t>
      </w:r>
      <w:r w:rsidRPr="00596511">
        <w:rPr>
          <w:noProof/>
        </w:rPr>
        <w:t>45.3</w:t>
      </w:r>
      <w:r w:rsidRPr="00596511">
        <w:rPr>
          <w:rFonts w:ascii="Calibri" w:hAnsi="Calibri" w:cs="Calibri"/>
          <w:noProof/>
        </w:rPr>
        <w:t> </w:t>
      </w:r>
      <w:r w:rsidRPr="00596511">
        <w:rPr>
          <w:noProof/>
        </w:rPr>
        <w:t>million for 2021 to support action promoting judicial cooperation and training and implementing projects supporting access to justice for all. Funds committed in the work programme were planned to be deployed via grants (about 73% of the total allocation) and procurement (almost 27% of the total allocation).</w:t>
      </w:r>
    </w:p>
    <w:p w14:paraId="5490C89A" w14:textId="77777777" w:rsidR="004D26CD" w:rsidRPr="00596511" w:rsidRDefault="004D26CD" w:rsidP="004D26CD">
      <w:pPr>
        <w:pStyle w:val="ppoListHyphened-L1"/>
        <w:rPr>
          <w:noProof/>
        </w:rPr>
      </w:pPr>
      <w:r w:rsidRPr="00596511">
        <w:rPr>
          <w:noProof/>
        </w:rPr>
        <w:t>The 2021 calls for proposals were launched as early as possible in 2021. Altogether, seven calls for proposals were organised in the first year of the justice programme, with a total budget of approximately EUR</w:t>
      </w:r>
      <w:r w:rsidRPr="00596511">
        <w:rPr>
          <w:rFonts w:ascii="Calibri" w:hAnsi="Calibri" w:cs="Calibri"/>
          <w:noProof/>
        </w:rPr>
        <w:t> </w:t>
      </w:r>
      <w:r w:rsidRPr="00596511">
        <w:rPr>
          <w:noProof/>
        </w:rPr>
        <w:t>33</w:t>
      </w:r>
      <w:r w:rsidRPr="00596511">
        <w:rPr>
          <w:rFonts w:ascii="Calibri" w:hAnsi="Calibri" w:cs="Calibri"/>
          <w:noProof/>
        </w:rPr>
        <w:t> </w:t>
      </w:r>
      <w:r w:rsidRPr="00596511">
        <w:rPr>
          <w:noProof/>
        </w:rPr>
        <w:t>million. Under these calls, 198 proposals were received, with 77 projects having been awarded funding. By January 2022, 57 grant agreements had already been signed.</w:t>
      </w:r>
    </w:p>
    <w:p w14:paraId="516CB002" w14:textId="77777777" w:rsidR="004D26CD" w:rsidRPr="00596511" w:rsidRDefault="004D26CD" w:rsidP="004D26CD">
      <w:pPr>
        <w:spacing w:after="160" w:line="259" w:lineRule="auto"/>
        <w:rPr>
          <w:rFonts w:eastAsiaTheme="majorEastAsia" w:cstheme="majorBidi"/>
          <w:noProof/>
          <w:color w:val="016A13" w:themeColor="accent1" w:themeShade="BF"/>
          <w:sz w:val="48"/>
          <w:szCs w:val="32"/>
        </w:rPr>
      </w:pPr>
      <w:r w:rsidRPr="00596511">
        <w:rPr>
          <w:noProof/>
        </w:rPr>
        <w:br w:type="page"/>
      </w:r>
    </w:p>
    <w:p w14:paraId="51A9246D" w14:textId="77777777" w:rsidR="004D26CD" w:rsidRPr="00596511" w:rsidRDefault="004D26CD" w:rsidP="004D26CD">
      <w:pPr>
        <w:pStyle w:val="ppoHeading4Green"/>
        <w:rPr>
          <w:noProof/>
        </w:rPr>
      </w:pPr>
      <w:r w:rsidRPr="00596511">
        <w:rPr>
          <w:noProof/>
        </w:rPr>
        <w:t>2014-2020 multiannual financial framework– Justice</w:t>
      </w:r>
    </w:p>
    <w:p w14:paraId="60E7526C" w14:textId="77777777" w:rsidR="004D26CD" w:rsidRPr="00596511" w:rsidRDefault="004D26CD" w:rsidP="004D26CD">
      <w:pPr>
        <w:rPr>
          <w:noProof/>
        </w:rPr>
      </w:pPr>
      <w:r w:rsidRPr="00596511">
        <w:rPr>
          <w:noProof/>
        </w:rPr>
        <w:t>The justice programme supports a broad range of beneficiaries that play an important role in the development of an EU area of justice. These include, primarily, members of the judiciary and judicial staff, but also public authorities, academic/research institutes and training bodies, along with civil-society and non-profit organisations.</w:t>
      </w:r>
    </w:p>
    <w:p w14:paraId="2551D77F" w14:textId="77777777" w:rsidR="004D26CD" w:rsidRPr="00596511" w:rsidRDefault="004D26CD" w:rsidP="004D26CD">
      <w:pPr>
        <w:pStyle w:val="ppoHeading5"/>
        <w:rPr>
          <w:noProof/>
        </w:rPr>
      </w:pPr>
      <w:r w:rsidRPr="00596511">
        <w:rPr>
          <w:noProof/>
        </w:rPr>
        <w:t>Budget</w:t>
      </w:r>
    </w:p>
    <w:p w14:paraId="4FC4E9F1" w14:textId="77777777" w:rsidR="004D26CD" w:rsidRPr="00596511" w:rsidRDefault="004D26CD" w:rsidP="004D26CD">
      <w:pPr>
        <w:pStyle w:val="ppoTableTabletitle"/>
        <w:rPr>
          <w:noProof/>
        </w:rPr>
      </w:pPr>
      <w:r w:rsidRPr="00596511">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4D26CD" w:rsidRPr="00596511" w14:paraId="76F75E36" w14:textId="77777777" w:rsidTr="00B20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504FB557" w14:textId="77777777" w:rsidR="004D26CD" w:rsidRPr="00596511" w:rsidRDefault="004D26CD" w:rsidP="00B202C2">
            <w:pPr>
              <w:rPr>
                <w:noProof/>
              </w:rPr>
            </w:pPr>
          </w:p>
        </w:tc>
        <w:tc>
          <w:tcPr>
            <w:tcW w:w="2410" w:type="dxa"/>
          </w:tcPr>
          <w:p w14:paraId="1CECAEF0" w14:textId="77777777" w:rsidR="004D26CD" w:rsidRPr="00596511" w:rsidRDefault="004D26CD" w:rsidP="00B202C2">
            <w:pPr>
              <w:cnfStyle w:val="100000000000" w:firstRow="1" w:lastRow="0" w:firstColumn="0" w:lastColumn="0" w:oddVBand="0" w:evenVBand="0" w:oddHBand="0" w:evenHBand="0" w:firstRowFirstColumn="0" w:firstRowLastColumn="0" w:lastRowFirstColumn="0" w:lastRowLastColumn="0"/>
              <w:rPr>
                <w:noProof/>
              </w:rPr>
            </w:pPr>
            <w:r w:rsidRPr="00596511">
              <w:rPr>
                <w:noProof/>
              </w:rPr>
              <w:t>Implementation</w:t>
            </w:r>
          </w:p>
        </w:tc>
        <w:tc>
          <w:tcPr>
            <w:tcW w:w="2410" w:type="dxa"/>
          </w:tcPr>
          <w:p w14:paraId="3EFFE8FB" w14:textId="4AD1644A" w:rsidR="004D26CD" w:rsidRPr="00596511" w:rsidRDefault="003821C6" w:rsidP="00B202C2">
            <w:pPr>
              <w:cnfStyle w:val="100000000000" w:firstRow="1" w:lastRow="0" w:firstColumn="0" w:lastColumn="0" w:oddVBand="0" w:evenVBand="0" w:oddHBand="0" w:evenHBand="0" w:firstRowFirstColumn="0" w:firstRowLastColumn="0" w:lastRowFirstColumn="0" w:lastRowLastColumn="0"/>
              <w:rPr>
                <w:noProof/>
              </w:rPr>
            </w:pPr>
            <w:r>
              <w:rPr>
                <w:noProof/>
              </w:rPr>
              <w:t xml:space="preserve">2014-2020 </w:t>
            </w:r>
            <w:r w:rsidR="004D26CD" w:rsidRPr="00596511">
              <w:rPr>
                <w:noProof/>
              </w:rPr>
              <w:t>Budget</w:t>
            </w:r>
          </w:p>
        </w:tc>
        <w:tc>
          <w:tcPr>
            <w:tcW w:w="2410" w:type="dxa"/>
          </w:tcPr>
          <w:p w14:paraId="7A99BD12" w14:textId="77777777" w:rsidR="004D26CD" w:rsidRPr="00596511" w:rsidRDefault="004D26CD" w:rsidP="00B202C2">
            <w:pPr>
              <w:cnfStyle w:val="100000000000" w:firstRow="1" w:lastRow="0" w:firstColumn="0" w:lastColumn="0" w:oddVBand="0" w:evenVBand="0" w:oddHBand="0" w:evenHBand="0" w:firstRowFirstColumn="0" w:firstRowLastColumn="0" w:lastRowFirstColumn="0" w:lastRowLastColumn="0"/>
              <w:rPr>
                <w:noProof/>
              </w:rPr>
            </w:pPr>
            <w:r w:rsidRPr="00596511">
              <w:rPr>
                <w:noProof/>
              </w:rPr>
              <w:t>Implementation rate</w:t>
            </w:r>
          </w:p>
        </w:tc>
      </w:tr>
      <w:tr w:rsidR="004D26CD" w:rsidRPr="00596511" w14:paraId="195A5C05"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0AE6356E" w14:textId="77777777" w:rsidR="004D26CD" w:rsidRPr="00596511" w:rsidRDefault="004D26CD" w:rsidP="00B202C2">
            <w:pPr>
              <w:jc w:val="center"/>
              <w:rPr>
                <w:noProof/>
              </w:rPr>
            </w:pPr>
            <w:r w:rsidRPr="00596511">
              <w:rPr>
                <w:noProof/>
              </w:rPr>
              <w:t>Commitments</w:t>
            </w:r>
          </w:p>
        </w:tc>
        <w:tc>
          <w:tcPr>
            <w:tcW w:w="2410" w:type="dxa"/>
          </w:tcPr>
          <w:p w14:paraId="3C9C8185" w14:textId="77777777" w:rsidR="004D26CD" w:rsidRPr="00200FBC" w:rsidRDefault="004D26CD" w:rsidP="00B202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333333"/>
              </w:rPr>
            </w:pPr>
            <w:r w:rsidRPr="00200FBC">
              <w:rPr>
                <w:rFonts w:eastAsia="Times New Roman" w:cs="Times New Roman"/>
                <w:noProof/>
                <w:color w:val="333333"/>
              </w:rPr>
              <w:t>317.0</w:t>
            </w:r>
          </w:p>
        </w:tc>
        <w:tc>
          <w:tcPr>
            <w:tcW w:w="2410" w:type="dxa"/>
          </w:tcPr>
          <w:p w14:paraId="5B21ACDF" w14:textId="77777777" w:rsidR="004D26CD" w:rsidRPr="00200FBC" w:rsidRDefault="004D26CD" w:rsidP="00B202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333333"/>
              </w:rPr>
            </w:pPr>
            <w:r w:rsidRPr="00200FBC">
              <w:rPr>
                <w:rFonts w:eastAsia="Times New Roman" w:cs="Times New Roman"/>
                <w:noProof/>
                <w:color w:val="333333"/>
              </w:rPr>
              <w:t>318.0</w:t>
            </w:r>
          </w:p>
        </w:tc>
        <w:tc>
          <w:tcPr>
            <w:tcW w:w="2410" w:type="dxa"/>
          </w:tcPr>
          <w:p w14:paraId="35F1D3E2" w14:textId="77777777" w:rsidR="004D26CD" w:rsidRPr="00200FBC" w:rsidRDefault="004D26CD" w:rsidP="00B202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rPr>
            </w:pPr>
            <w:r w:rsidRPr="00200FBC">
              <w:rPr>
                <w:rFonts w:eastAsia="Times New Roman" w:cs="Times New Roman"/>
                <w:noProof/>
                <w:color w:val="000000"/>
              </w:rPr>
              <w:t>100%</w:t>
            </w:r>
          </w:p>
        </w:tc>
      </w:tr>
      <w:tr w:rsidR="004D26CD" w:rsidRPr="00596511" w14:paraId="64F8A4C4" w14:textId="77777777" w:rsidTr="00B202C2">
        <w:tc>
          <w:tcPr>
            <w:cnfStyle w:val="001000000000" w:firstRow="0" w:lastRow="0" w:firstColumn="1" w:lastColumn="0" w:oddVBand="0" w:evenVBand="0" w:oddHBand="0" w:evenHBand="0" w:firstRowFirstColumn="0" w:firstRowLastColumn="0" w:lastRowFirstColumn="0" w:lastRowLastColumn="0"/>
            <w:tcW w:w="2409" w:type="dxa"/>
          </w:tcPr>
          <w:p w14:paraId="3A88FA44" w14:textId="77777777" w:rsidR="004D26CD" w:rsidRPr="00596511" w:rsidRDefault="004D26CD" w:rsidP="00B202C2">
            <w:pPr>
              <w:jc w:val="center"/>
              <w:rPr>
                <w:noProof/>
              </w:rPr>
            </w:pPr>
            <w:r w:rsidRPr="00596511">
              <w:rPr>
                <w:noProof/>
              </w:rPr>
              <w:t>Payments</w:t>
            </w:r>
          </w:p>
        </w:tc>
        <w:tc>
          <w:tcPr>
            <w:tcW w:w="2410" w:type="dxa"/>
          </w:tcPr>
          <w:p w14:paraId="33F5E35D" w14:textId="77777777" w:rsidR="004D26CD" w:rsidRPr="00200FBC" w:rsidRDefault="004D26CD" w:rsidP="00B202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333333"/>
              </w:rPr>
            </w:pPr>
            <w:r w:rsidRPr="00200FBC">
              <w:rPr>
                <w:rFonts w:eastAsia="Times New Roman" w:cs="Times New Roman"/>
                <w:noProof/>
                <w:color w:val="333333"/>
              </w:rPr>
              <w:t>241.9</w:t>
            </w:r>
          </w:p>
        </w:tc>
        <w:tc>
          <w:tcPr>
            <w:tcW w:w="2410" w:type="dxa"/>
          </w:tcPr>
          <w:p w14:paraId="7B202665" w14:textId="77777777" w:rsidR="004D26CD" w:rsidRPr="00596511" w:rsidRDefault="004D26CD" w:rsidP="00B202C2">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1B6DF910" w14:textId="77777777" w:rsidR="004D26CD" w:rsidRPr="00200FBC" w:rsidRDefault="004D26CD" w:rsidP="00B202C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rPr>
            </w:pPr>
            <w:r w:rsidRPr="00200FBC">
              <w:rPr>
                <w:rFonts w:eastAsia="Times New Roman" w:cs="Times New Roman"/>
                <w:noProof/>
                <w:color w:val="000000"/>
              </w:rPr>
              <w:t>76%</w:t>
            </w:r>
          </w:p>
        </w:tc>
      </w:tr>
    </w:tbl>
    <w:p w14:paraId="31D5D7C2" w14:textId="77777777" w:rsidR="004D26CD" w:rsidRPr="00596511" w:rsidRDefault="004D26CD" w:rsidP="004D26CD">
      <w:pPr>
        <w:pStyle w:val="ppoListHyphened-L1"/>
        <w:rPr>
          <w:noProof/>
        </w:rPr>
      </w:pPr>
      <w:r w:rsidRPr="00596511">
        <w:rPr>
          <w:noProof/>
        </w:rPr>
        <w:t>2020 was the last year of the 2014-2020 multiannual financial framework and of the 2014-2020 justice programme. Ten grants from the 2020 calls under the justice annual work programme for 2020 remained to be signed in 2021, amounting to EUR</w:t>
      </w:r>
      <w:r w:rsidRPr="00596511">
        <w:rPr>
          <w:rFonts w:ascii="Calibri" w:hAnsi="Calibri" w:cs="Calibri"/>
          <w:noProof/>
        </w:rPr>
        <w:t> </w:t>
      </w:r>
      <w:r w:rsidRPr="00596511">
        <w:rPr>
          <w:noProof/>
        </w:rPr>
        <w:t>3.85</w:t>
      </w:r>
      <w:r w:rsidRPr="00596511">
        <w:rPr>
          <w:rFonts w:ascii="Calibri" w:hAnsi="Calibri" w:cs="Calibri"/>
          <w:noProof/>
        </w:rPr>
        <w:t> </w:t>
      </w:r>
      <w:r w:rsidRPr="00596511">
        <w:rPr>
          <w:noProof/>
        </w:rPr>
        <w:t>million.</w:t>
      </w:r>
    </w:p>
    <w:p w14:paraId="73C2FE2C" w14:textId="77777777" w:rsidR="004D26CD" w:rsidRPr="00596511" w:rsidRDefault="004D26CD" w:rsidP="004D26CD">
      <w:pPr>
        <w:pStyle w:val="ppoListHyphened-L1"/>
        <w:rPr>
          <w:noProof/>
        </w:rPr>
      </w:pPr>
      <w:r w:rsidRPr="00596511">
        <w:rPr>
          <w:noProof/>
        </w:rPr>
        <w:t>The completion line (legacy line) of the justice programme is used to provide the final payments from past commitments. In 2021, 50 final payments for grants from the 2014-2020 justice programme were paid amounting to EUR</w:t>
      </w:r>
      <w:r w:rsidRPr="00596511">
        <w:rPr>
          <w:rFonts w:ascii="Calibri" w:hAnsi="Calibri" w:cs="Calibri"/>
          <w:noProof/>
        </w:rPr>
        <w:t> </w:t>
      </w:r>
      <w:r w:rsidRPr="00596511">
        <w:rPr>
          <w:noProof/>
        </w:rPr>
        <w:t>4.05</w:t>
      </w:r>
      <w:r w:rsidRPr="00596511">
        <w:rPr>
          <w:rFonts w:ascii="Calibri" w:hAnsi="Calibri" w:cs="Calibri"/>
          <w:noProof/>
        </w:rPr>
        <w:t> </w:t>
      </w:r>
      <w:r w:rsidRPr="00596511">
        <w:rPr>
          <w:noProof/>
        </w:rPr>
        <w:t>million. In 2021, the payment appropriations were also used to cover final payments on pre-2021 commitments that were still outstanding. As regards 2022, the payment appropriations will be used to cover the remaining final payments that are still outstanding.</w:t>
      </w:r>
    </w:p>
    <w:p w14:paraId="1A9DCFE1" w14:textId="77777777" w:rsidR="004D26CD" w:rsidRPr="00596511" w:rsidRDefault="004D26CD" w:rsidP="004D26CD">
      <w:pPr>
        <w:pStyle w:val="ppoListHyphened-L1"/>
        <w:rPr>
          <w:noProof/>
        </w:rPr>
      </w:pPr>
      <w:r w:rsidRPr="00596511">
        <w:rPr>
          <w:noProof/>
        </w:rPr>
        <w:t>The justice programme was affected by the COVID-19 crisis. By 31</w:t>
      </w:r>
      <w:r w:rsidRPr="00596511">
        <w:rPr>
          <w:rFonts w:ascii="Calibri" w:hAnsi="Calibri" w:cs="Calibri"/>
          <w:noProof/>
        </w:rPr>
        <w:t> </w:t>
      </w:r>
      <w:r w:rsidRPr="00596511">
        <w:rPr>
          <w:noProof/>
        </w:rPr>
        <w:t>December 2021, 138 amendments had been made, 42 of which were for reasons linked to the pandemic, mostly to request an extension of the eligibility period. This significant number of amendments signed following requests to extend the duration of grant agreements due to the COVID-19 crisis will automatically lead to the delayed budgetary execution of the corresponding payment credits.</w:t>
      </w:r>
    </w:p>
    <w:p w14:paraId="333CA1D0" w14:textId="77777777" w:rsidR="004D26CD" w:rsidRPr="00596511" w:rsidRDefault="004D26CD" w:rsidP="004D26CD">
      <w:pPr>
        <w:pStyle w:val="ppoHeading5"/>
        <w:rPr>
          <w:noProof/>
        </w:rPr>
      </w:pPr>
      <w:r w:rsidRPr="00596511">
        <w:rPr>
          <w:noProof/>
        </w:rPr>
        <w:t>Performance assessment</w:t>
      </w:r>
    </w:p>
    <w:p w14:paraId="38186F72" w14:textId="77777777" w:rsidR="004D26CD" w:rsidRPr="00596511" w:rsidRDefault="004D26CD" w:rsidP="004D26CD">
      <w:pPr>
        <w:pStyle w:val="ppoHeading6"/>
        <w:rPr>
          <w:noProof/>
        </w:rPr>
      </w:pPr>
      <w:r w:rsidRPr="00596511">
        <w:rPr>
          <w:noProof/>
        </w:rPr>
        <w:t>Key performance indicators</w:t>
      </w:r>
    </w:p>
    <w:tbl>
      <w:tblPr>
        <w:tblStyle w:val="PPO2021"/>
        <w:tblW w:w="9639" w:type="dxa"/>
        <w:tblInd w:w="0" w:type="dxa"/>
        <w:tblLook w:val="0420" w:firstRow="1" w:lastRow="0" w:firstColumn="0" w:lastColumn="0" w:noHBand="0" w:noVBand="1"/>
      </w:tblPr>
      <w:tblGrid>
        <w:gridCol w:w="2313"/>
        <w:gridCol w:w="1154"/>
        <w:gridCol w:w="1514"/>
        <w:gridCol w:w="1522"/>
        <w:gridCol w:w="1561"/>
        <w:gridCol w:w="1575"/>
      </w:tblGrid>
      <w:tr w:rsidR="004D26CD" w:rsidRPr="00596511" w14:paraId="0832C350" w14:textId="77777777" w:rsidTr="00B202C2">
        <w:trPr>
          <w:cnfStyle w:val="100000000000" w:firstRow="1" w:lastRow="0" w:firstColumn="0" w:lastColumn="0" w:oddVBand="0" w:evenVBand="0" w:oddHBand="0" w:evenHBand="0" w:firstRowFirstColumn="0" w:firstRowLastColumn="0" w:lastRowFirstColumn="0" w:lastRowLastColumn="0"/>
        </w:trPr>
        <w:tc>
          <w:tcPr>
            <w:tcW w:w="2330" w:type="dxa"/>
          </w:tcPr>
          <w:p w14:paraId="1C783BD0" w14:textId="77777777" w:rsidR="004D26CD" w:rsidRPr="00596511" w:rsidRDefault="004D26CD" w:rsidP="00B202C2">
            <w:pPr>
              <w:rPr>
                <w:noProof/>
              </w:rPr>
            </w:pPr>
          </w:p>
        </w:tc>
        <w:tc>
          <w:tcPr>
            <w:tcW w:w="1100" w:type="dxa"/>
          </w:tcPr>
          <w:p w14:paraId="4B9B5468" w14:textId="77777777" w:rsidR="004D26CD" w:rsidRPr="00596511" w:rsidRDefault="004D26CD" w:rsidP="00B202C2">
            <w:pPr>
              <w:rPr>
                <w:noProof/>
              </w:rPr>
            </w:pPr>
            <w:r w:rsidRPr="00596511">
              <w:rPr>
                <w:noProof/>
              </w:rPr>
              <w:t>Baseline</w:t>
            </w:r>
          </w:p>
        </w:tc>
        <w:tc>
          <w:tcPr>
            <w:tcW w:w="1526" w:type="dxa"/>
          </w:tcPr>
          <w:p w14:paraId="2101FC50" w14:textId="77777777" w:rsidR="004D26CD" w:rsidRPr="00596511" w:rsidRDefault="004D26CD" w:rsidP="00B202C2">
            <w:pPr>
              <w:rPr>
                <w:noProof/>
              </w:rPr>
            </w:pPr>
            <w:r w:rsidRPr="00596511">
              <w:rPr>
                <w:noProof/>
              </w:rPr>
              <w:t>Progress (*)</w:t>
            </w:r>
          </w:p>
        </w:tc>
        <w:tc>
          <w:tcPr>
            <w:tcW w:w="1532" w:type="dxa"/>
          </w:tcPr>
          <w:p w14:paraId="64395D6E" w14:textId="77777777" w:rsidR="004D26CD" w:rsidRPr="00596511" w:rsidRDefault="004D26CD" w:rsidP="00B202C2">
            <w:pPr>
              <w:rPr>
                <w:noProof/>
              </w:rPr>
            </w:pPr>
            <w:r w:rsidRPr="00596511">
              <w:rPr>
                <w:noProof/>
              </w:rPr>
              <w:t>Target</w:t>
            </w:r>
          </w:p>
        </w:tc>
        <w:tc>
          <w:tcPr>
            <w:tcW w:w="1572" w:type="dxa"/>
          </w:tcPr>
          <w:p w14:paraId="07C23309" w14:textId="77777777" w:rsidR="004D26CD" w:rsidRPr="00596511" w:rsidRDefault="004D26CD" w:rsidP="00B202C2">
            <w:pPr>
              <w:rPr>
                <w:noProof/>
              </w:rPr>
            </w:pPr>
            <w:r w:rsidRPr="00596511">
              <w:rPr>
                <w:noProof/>
              </w:rPr>
              <w:t>Results</w:t>
            </w:r>
          </w:p>
        </w:tc>
        <w:tc>
          <w:tcPr>
            <w:tcW w:w="1579" w:type="dxa"/>
          </w:tcPr>
          <w:p w14:paraId="402C8D3A" w14:textId="77777777" w:rsidR="004D26CD" w:rsidRPr="00596511" w:rsidRDefault="004D26CD" w:rsidP="00B202C2">
            <w:pPr>
              <w:rPr>
                <w:noProof/>
              </w:rPr>
            </w:pPr>
            <w:r w:rsidRPr="00596511">
              <w:rPr>
                <w:noProof/>
              </w:rPr>
              <w:t>Assessment</w:t>
            </w:r>
          </w:p>
        </w:tc>
      </w:tr>
      <w:tr w:rsidR="004D26CD" w:rsidRPr="00596511" w14:paraId="0BD82907" w14:textId="77777777" w:rsidTr="00B202C2">
        <w:trPr>
          <w:cnfStyle w:val="000000100000" w:firstRow="0" w:lastRow="0" w:firstColumn="0" w:lastColumn="0" w:oddVBand="0" w:evenVBand="0" w:oddHBand="1" w:evenHBand="0" w:firstRowFirstColumn="0" w:firstRowLastColumn="0" w:lastRowFirstColumn="0" w:lastRowLastColumn="0"/>
        </w:trPr>
        <w:tc>
          <w:tcPr>
            <w:tcW w:w="2330" w:type="dxa"/>
          </w:tcPr>
          <w:p w14:paraId="1E7B945A" w14:textId="77777777" w:rsidR="004D26CD" w:rsidRPr="00596511" w:rsidRDefault="004D26CD" w:rsidP="00B202C2">
            <w:pPr>
              <w:rPr>
                <w:noProof/>
              </w:rPr>
            </w:pPr>
            <w:r w:rsidRPr="00596511">
              <w:rPr>
                <w:noProof/>
              </w:rPr>
              <w:t>Number of items of exchange information in the European criminal records information system</w:t>
            </w:r>
          </w:p>
        </w:tc>
        <w:tc>
          <w:tcPr>
            <w:tcW w:w="1100" w:type="dxa"/>
          </w:tcPr>
          <w:p w14:paraId="05F714B2" w14:textId="77777777" w:rsidR="004D26CD" w:rsidRPr="00596511" w:rsidRDefault="004D26CD" w:rsidP="00B202C2">
            <w:pPr>
              <w:jc w:val="center"/>
              <w:rPr>
                <w:noProof/>
              </w:rPr>
            </w:pPr>
            <w:r w:rsidRPr="00596511">
              <w:rPr>
                <w:noProof/>
              </w:rPr>
              <w:t>0.3</w:t>
            </w:r>
            <w:r w:rsidRPr="00596511">
              <w:rPr>
                <w:rFonts w:ascii="Calibri" w:hAnsi="Calibri" w:cs="Calibri"/>
                <w:noProof/>
              </w:rPr>
              <w:t> </w:t>
            </w:r>
            <w:r w:rsidRPr="00596511">
              <w:rPr>
                <w:noProof/>
              </w:rPr>
              <w:t>million</w:t>
            </w:r>
          </w:p>
        </w:tc>
        <w:tc>
          <w:tcPr>
            <w:tcW w:w="1526" w:type="dxa"/>
          </w:tcPr>
          <w:p w14:paraId="72E19587" w14:textId="77777777" w:rsidR="004D26CD" w:rsidRPr="00596511" w:rsidRDefault="004D26CD" w:rsidP="00B202C2">
            <w:pPr>
              <w:jc w:val="center"/>
              <w:rPr>
                <w:b/>
                <w:noProof/>
              </w:rPr>
            </w:pPr>
            <w:r w:rsidRPr="00596511">
              <w:rPr>
                <w:noProof/>
              </w:rPr>
              <w:t>&gt; 100%</w:t>
            </w:r>
          </w:p>
        </w:tc>
        <w:tc>
          <w:tcPr>
            <w:tcW w:w="1532" w:type="dxa"/>
          </w:tcPr>
          <w:p w14:paraId="533243F8" w14:textId="77777777" w:rsidR="004D26CD" w:rsidRPr="00596511" w:rsidRDefault="004D26CD" w:rsidP="00B202C2">
            <w:pPr>
              <w:jc w:val="center"/>
              <w:rPr>
                <w:noProof/>
              </w:rPr>
            </w:pPr>
            <w:r w:rsidRPr="00596511">
              <w:rPr>
                <w:noProof/>
              </w:rPr>
              <w:t>3.5</w:t>
            </w:r>
            <w:r w:rsidRPr="00596511">
              <w:rPr>
                <w:rFonts w:ascii="Calibri" w:hAnsi="Calibri" w:cs="Calibri"/>
                <w:noProof/>
              </w:rPr>
              <w:t> </w:t>
            </w:r>
            <w:r w:rsidRPr="00596511">
              <w:rPr>
                <w:noProof/>
              </w:rPr>
              <w:t>million in 2020</w:t>
            </w:r>
          </w:p>
        </w:tc>
        <w:tc>
          <w:tcPr>
            <w:tcW w:w="1572" w:type="dxa"/>
          </w:tcPr>
          <w:p w14:paraId="4A665889" w14:textId="77777777" w:rsidR="004D26CD" w:rsidRPr="00596511" w:rsidRDefault="004D26CD" w:rsidP="00B202C2">
            <w:pPr>
              <w:jc w:val="center"/>
              <w:rPr>
                <w:noProof/>
              </w:rPr>
            </w:pPr>
            <w:r w:rsidRPr="00596511">
              <w:rPr>
                <w:noProof/>
              </w:rPr>
              <w:t>4.1</w:t>
            </w:r>
            <w:r w:rsidRPr="00596511">
              <w:rPr>
                <w:rFonts w:ascii="Calibri" w:hAnsi="Calibri" w:cs="Calibri"/>
                <w:noProof/>
              </w:rPr>
              <w:t> </w:t>
            </w:r>
            <w:r w:rsidRPr="00596511">
              <w:rPr>
                <w:noProof/>
              </w:rPr>
              <w:t>million compared to a target of 3.5</w:t>
            </w:r>
            <w:r w:rsidRPr="00596511">
              <w:rPr>
                <w:rFonts w:ascii="Calibri" w:hAnsi="Calibri" w:cs="Calibri"/>
                <w:noProof/>
              </w:rPr>
              <w:t> </w:t>
            </w:r>
            <w:r w:rsidRPr="00596511">
              <w:rPr>
                <w:noProof/>
              </w:rPr>
              <w:t>million</w:t>
            </w:r>
          </w:p>
        </w:tc>
        <w:tc>
          <w:tcPr>
            <w:tcW w:w="1579" w:type="dxa"/>
          </w:tcPr>
          <w:p w14:paraId="535F58A2" w14:textId="77777777" w:rsidR="004D26CD" w:rsidRPr="00596511" w:rsidRDefault="004D26CD" w:rsidP="00B202C2">
            <w:pPr>
              <w:jc w:val="center"/>
              <w:rPr>
                <w:noProof/>
              </w:rPr>
            </w:pPr>
            <w:r w:rsidRPr="00596511">
              <w:rPr>
                <w:noProof/>
              </w:rPr>
              <w:t>On track</w:t>
            </w:r>
          </w:p>
        </w:tc>
      </w:tr>
      <w:tr w:rsidR="004D26CD" w:rsidRPr="00596511" w14:paraId="290F3BBC" w14:textId="77777777" w:rsidTr="00B202C2">
        <w:trPr>
          <w:cnfStyle w:val="000000010000" w:firstRow="0" w:lastRow="0" w:firstColumn="0" w:lastColumn="0" w:oddVBand="0" w:evenVBand="0" w:oddHBand="0" w:evenHBand="1" w:firstRowFirstColumn="0" w:firstRowLastColumn="0" w:lastRowFirstColumn="0" w:lastRowLastColumn="0"/>
        </w:trPr>
        <w:tc>
          <w:tcPr>
            <w:tcW w:w="2330" w:type="dxa"/>
          </w:tcPr>
          <w:p w14:paraId="7EAAB3C7" w14:textId="77777777" w:rsidR="004D26CD" w:rsidRPr="00596511" w:rsidRDefault="004D26CD" w:rsidP="00B202C2">
            <w:pPr>
              <w:rPr>
                <w:noProof/>
              </w:rPr>
            </w:pPr>
            <w:r w:rsidRPr="00596511">
              <w:rPr>
                <w:noProof/>
              </w:rPr>
              <w:t>Judiciary/judicial staff training</w:t>
            </w:r>
            <w:r w:rsidRPr="00596511">
              <w:rPr>
                <w:rFonts w:ascii="Calibri" w:hAnsi="Calibri" w:cs="Calibri"/>
                <w:noProof/>
              </w:rPr>
              <w:t> </w:t>
            </w:r>
            <w:r w:rsidRPr="00596511">
              <w:rPr>
                <w:noProof/>
              </w:rPr>
              <w:t>(</w:t>
            </w:r>
            <w:r w:rsidRPr="00200FBC">
              <w:rPr>
                <w:noProof/>
              </w:rPr>
              <w:t>**</w:t>
            </w:r>
            <w:r w:rsidRPr="00596511">
              <w:rPr>
                <w:noProof/>
              </w:rPr>
              <w:t>)</w:t>
            </w:r>
          </w:p>
        </w:tc>
        <w:tc>
          <w:tcPr>
            <w:tcW w:w="1100" w:type="dxa"/>
          </w:tcPr>
          <w:p w14:paraId="75BFC902" w14:textId="77777777" w:rsidR="004D26CD" w:rsidRPr="00596511" w:rsidRDefault="004D26CD" w:rsidP="00B202C2">
            <w:pPr>
              <w:jc w:val="center"/>
              <w:rPr>
                <w:noProof/>
              </w:rPr>
            </w:pPr>
            <w:r w:rsidRPr="00596511">
              <w:rPr>
                <w:noProof/>
              </w:rPr>
              <w:t>0</w:t>
            </w:r>
          </w:p>
        </w:tc>
        <w:tc>
          <w:tcPr>
            <w:tcW w:w="1526" w:type="dxa"/>
          </w:tcPr>
          <w:p w14:paraId="598F4B55" w14:textId="77777777" w:rsidR="004D26CD" w:rsidRPr="00596511" w:rsidRDefault="004D26CD" w:rsidP="00B202C2">
            <w:pPr>
              <w:jc w:val="center"/>
              <w:rPr>
                <w:b/>
                <w:noProof/>
              </w:rPr>
            </w:pPr>
            <w:r w:rsidRPr="00596511">
              <w:rPr>
                <w:noProof/>
              </w:rPr>
              <w:t>&gt; 100%</w:t>
            </w:r>
          </w:p>
        </w:tc>
        <w:tc>
          <w:tcPr>
            <w:tcW w:w="1532" w:type="dxa"/>
          </w:tcPr>
          <w:p w14:paraId="6949F496" w14:textId="77777777" w:rsidR="004D26CD" w:rsidRPr="00596511" w:rsidRDefault="004D26CD" w:rsidP="00B202C2">
            <w:pPr>
              <w:jc w:val="center"/>
              <w:rPr>
                <w:noProof/>
              </w:rPr>
            </w:pPr>
            <w:r w:rsidRPr="00596511">
              <w:rPr>
                <w:noProof/>
              </w:rPr>
              <w:t>16</w:t>
            </w:r>
            <w:r w:rsidRPr="00596511">
              <w:rPr>
                <w:rFonts w:ascii="Calibri" w:hAnsi="Calibri" w:cs="Calibri"/>
                <w:noProof/>
              </w:rPr>
              <w:t> </w:t>
            </w:r>
            <w:r w:rsidRPr="00596511">
              <w:rPr>
                <w:noProof/>
              </w:rPr>
              <w:t>000 in 2020</w:t>
            </w:r>
          </w:p>
        </w:tc>
        <w:tc>
          <w:tcPr>
            <w:tcW w:w="1572" w:type="dxa"/>
          </w:tcPr>
          <w:p w14:paraId="5539103B" w14:textId="77777777" w:rsidR="004D26CD" w:rsidRPr="00596511" w:rsidRDefault="004D26CD" w:rsidP="00B202C2">
            <w:pPr>
              <w:jc w:val="center"/>
              <w:rPr>
                <w:noProof/>
              </w:rPr>
            </w:pPr>
            <w:r w:rsidRPr="00596511">
              <w:rPr>
                <w:noProof/>
              </w:rPr>
              <w:t>22</w:t>
            </w:r>
            <w:r w:rsidRPr="00596511">
              <w:rPr>
                <w:rFonts w:ascii="Calibri" w:hAnsi="Calibri" w:cs="Calibri"/>
                <w:noProof/>
              </w:rPr>
              <w:t> </w:t>
            </w:r>
            <w:r w:rsidRPr="00596511">
              <w:rPr>
                <w:noProof/>
              </w:rPr>
              <w:t>423 compared to a target of 16</w:t>
            </w:r>
            <w:r w:rsidRPr="00596511">
              <w:rPr>
                <w:rFonts w:ascii="Calibri" w:hAnsi="Calibri" w:cs="Calibri"/>
                <w:noProof/>
              </w:rPr>
              <w:t> </w:t>
            </w:r>
            <w:r w:rsidRPr="00596511">
              <w:rPr>
                <w:noProof/>
              </w:rPr>
              <w:t>000</w:t>
            </w:r>
          </w:p>
        </w:tc>
        <w:tc>
          <w:tcPr>
            <w:tcW w:w="1579" w:type="dxa"/>
          </w:tcPr>
          <w:p w14:paraId="09309D4D" w14:textId="77777777" w:rsidR="004D26CD" w:rsidRPr="00596511" w:rsidRDefault="004D26CD" w:rsidP="00B202C2">
            <w:pPr>
              <w:jc w:val="center"/>
              <w:rPr>
                <w:noProof/>
              </w:rPr>
            </w:pPr>
            <w:r w:rsidRPr="00596511">
              <w:rPr>
                <w:noProof/>
              </w:rPr>
              <w:t>On track</w:t>
            </w:r>
          </w:p>
        </w:tc>
      </w:tr>
      <w:tr w:rsidR="004D26CD" w:rsidRPr="00596511" w14:paraId="25ACD9D6" w14:textId="77777777" w:rsidTr="00B202C2">
        <w:trPr>
          <w:cnfStyle w:val="000000100000" w:firstRow="0" w:lastRow="0" w:firstColumn="0" w:lastColumn="0" w:oddVBand="0" w:evenVBand="0" w:oddHBand="1" w:evenHBand="0" w:firstRowFirstColumn="0" w:firstRowLastColumn="0" w:lastRowFirstColumn="0" w:lastRowLastColumn="0"/>
        </w:trPr>
        <w:tc>
          <w:tcPr>
            <w:tcW w:w="2330" w:type="dxa"/>
          </w:tcPr>
          <w:p w14:paraId="48736DF1" w14:textId="77777777" w:rsidR="004D26CD" w:rsidRPr="00596511" w:rsidRDefault="004D26CD" w:rsidP="00B202C2">
            <w:pPr>
              <w:tabs>
                <w:tab w:val="center" w:pos="1013"/>
              </w:tabs>
              <w:rPr>
                <w:noProof/>
              </w:rPr>
            </w:pPr>
            <w:r w:rsidRPr="00596511">
              <w:rPr>
                <w:noProof/>
              </w:rPr>
              <w:t>Hits on the e-Justice Portal</w:t>
            </w:r>
          </w:p>
        </w:tc>
        <w:tc>
          <w:tcPr>
            <w:tcW w:w="1100" w:type="dxa"/>
          </w:tcPr>
          <w:p w14:paraId="0F4D9DCE" w14:textId="77777777" w:rsidR="004D26CD" w:rsidRPr="00596511" w:rsidRDefault="004D26CD" w:rsidP="00B202C2">
            <w:pPr>
              <w:jc w:val="center"/>
              <w:rPr>
                <w:noProof/>
              </w:rPr>
            </w:pPr>
            <w:r w:rsidRPr="00596511">
              <w:rPr>
                <w:noProof/>
              </w:rPr>
              <w:t>0.4 m</w:t>
            </w:r>
          </w:p>
        </w:tc>
        <w:tc>
          <w:tcPr>
            <w:tcW w:w="1526" w:type="dxa"/>
          </w:tcPr>
          <w:p w14:paraId="2FABA6DA" w14:textId="77777777" w:rsidR="004D26CD" w:rsidRPr="00596511" w:rsidRDefault="004D26CD" w:rsidP="00B202C2">
            <w:pPr>
              <w:jc w:val="center"/>
              <w:rPr>
                <w:b/>
                <w:noProof/>
              </w:rPr>
            </w:pPr>
            <w:r w:rsidRPr="00596511">
              <w:rPr>
                <w:noProof/>
              </w:rPr>
              <w:t>94%</w:t>
            </w:r>
          </w:p>
        </w:tc>
        <w:tc>
          <w:tcPr>
            <w:tcW w:w="1532" w:type="dxa"/>
          </w:tcPr>
          <w:p w14:paraId="672CC9D1" w14:textId="77777777" w:rsidR="004D26CD" w:rsidRPr="00596511" w:rsidRDefault="004D26CD" w:rsidP="00B202C2">
            <w:pPr>
              <w:jc w:val="center"/>
              <w:rPr>
                <w:noProof/>
              </w:rPr>
            </w:pPr>
            <w:r w:rsidRPr="00596511">
              <w:rPr>
                <w:noProof/>
              </w:rPr>
              <w:t>4.6</w:t>
            </w:r>
            <w:r w:rsidRPr="00596511">
              <w:rPr>
                <w:rFonts w:ascii="Calibri" w:hAnsi="Calibri" w:cs="Calibri"/>
                <w:noProof/>
              </w:rPr>
              <w:t> </w:t>
            </w:r>
            <w:r w:rsidRPr="00596511">
              <w:rPr>
                <w:noProof/>
              </w:rPr>
              <w:t>million in 2020</w:t>
            </w:r>
          </w:p>
        </w:tc>
        <w:tc>
          <w:tcPr>
            <w:tcW w:w="1572" w:type="dxa"/>
          </w:tcPr>
          <w:p w14:paraId="3C4741D9" w14:textId="77777777" w:rsidR="004D26CD" w:rsidRPr="00596511" w:rsidRDefault="004D26CD" w:rsidP="00B202C2">
            <w:pPr>
              <w:jc w:val="center"/>
              <w:rPr>
                <w:noProof/>
              </w:rPr>
            </w:pPr>
            <w:r w:rsidRPr="00596511">
              <w:rPr>
                <w:noProof/>
              </w:rPr>
              <w:t>4.4</w:t>
            </w:r>
            <w:r w:rsidRPr="00596511">
              <w:rPr>
                <w:rFonts w:ascii="Calibri" w:hAnsi="Calibri" w:cs="Calibri"/>
                <w:noProof/>
              </w:rPr>
              <w:t> </w:t>
            </w:r>
            <w:r w:rsidRPr="00596511">
              <w:rPr>
                <w:noProof/>
              </w:rPr>
              <w:t>million out of 4.6</w:t>
            </w:r>
            <w:r w:rsidRPr="00596511">
              <w:rPr>
                <w:rFonts w:ascii="Calibri" w:hAnsi="Calibri" w:cs="Calibri"/>
                <w:noProof/>
              </w:rPr>
              <w:t> </w:t>
            </w:r>
            <w:r w:rsidRPr="00596511">
              <w:rPr>
                <w:noProof/>
              </w:rPr>
              <w:t>million</w:t>
            </w:r>
          </w:p>
        </w:tc>
        <w:tc>
          <w:tcPr>
            <w:tcW w:w="1579" w:type="dxa"/>
          </w:tcPr>
          <w:p w14:paraId="14B60364" w14:textId="77777777" w:rsidR="004D26CD" w:rsidRPr="00596511" w:rsidRDefault="004D26CD" w:rsidP="00B202C2">
            <w:pPr>
              <w:jc w:val="center"/>
              <w:rPr>
                <w:noProof/>
              </w:rPr>
            </w:pPr>
            <w:r w:rsidRPr="00596511">
              <w:rPr>
                <w:noProof/>
              </w:rPr>
              <w:t>On track</w:t>
            </w:r>
          </w:p>
        </w:tc>
      </w:tr>
    </w:tbl>
    <w:p w14:paraId="732DBDA8" w14:textId="77777777" w:rsidR="004D26CD" w:rsidRPr="00596511" w:rsidRDefault="004D26CD" w:rsidP="004D26CD">
      <w:pPr>
        <w:pStyle w:val="FootnoteText"/>
        <w:rPr>
          <w:noProof/>
          <w:color w:val="BBB931"/>
        </w:rPr>
      </w:pPr>
      <w:r w:rsidRPr="00596511">
        <w:rPr>
          <w:noProof/>
        </w:rPr>
        <w:t>(*) % of target achieved by the end of 2021.</w:t>
      </w:r>
    </w:p>
    <w:p w14:paraId="3CD1CAD8" w14:textId="77777777" w:rsidR="004D26CD" w:rsidRPr="00596511" w:rsidRDefault="004D26CD" w:rsidP="004D26CD">
      <w:pPr>
        <w:pStyle w:val="FootnoteText"/>
        <w:rPr>
          <w:noProof/>
        </w:rPr>
      </w:pPr>
      <w:r w:rsidRPr="00596511">
        <w:rPr>
          <w:noProof/>
        </w:rPr>
        <w:t>(</w:t>
      </w:r>
      <w:r w:rsidRPr="00200FBC">
        <w:rPr>
          <w:noProof/>
        </w:rPr>
        <w:t>**</w:t>
      </w:r>
      <w:r w:rsidRPr="00596511">
        <w:rPr>
          <w:noProof/>
        </w:rPr>
        <w:t>) % of target achieved by the end of 2020.</w:t>
      </w:r>
    </w:p>
    <w:p w14:paraId="575FA133" w14:textId="77777777" w:rsidR="004D26CD" w:rsidRPr="00596511" w:rsidRDefault="004D26CD" w:rsidP="004D26CD">
      <w:pPr>
        <w:pStyle w:val="FootnoteText"/>
        <w:rPr>
          <w:noProof/>
        </w:rPr>
      </w:pPr>
    </w:p>
    <w:p w14:paraId="0AB80E7A" w14:textId="77777777" w:rsidR="004D26CD" w:rsidRPr="00596511" w:rsidRDefault="004D26CD" w:rsidP="004D26CD">
      <w:pPr>
        <w:pStyle w:val="ppoListHyphened-L1"/>
        <w:rPr>
          <w:noProof/>
        </w:rPr>
      </w:pPr>
      <w:r w:rsidRPr="00596511">
        <w:rPr>
          <w:noProof/>
        </w:rPr>
        <w:t>The outputs from the justice programme in 2014-2020 are closely linked to the Commission’s activities relating to preparing, supporting and ensuring the correct implementation of an important number of EU legal instruments in civil and criminal law, improving their enforcement and remedy capacities in Member States and ensuring adequate cross-border and EU-level cooperation.</w:t>
      </w:r>
    </w:p>
    <w:p w14:paraId="521015D7" w14:textId="77777777" w:rsidR="004D26CD" w:rsidRPr="00596511" w:rsidRDefault="004D26CD" w:rsidP="004D26CD">
      <w:pPr>
        <w:pStyle w:val="ppoListHyphened-L1"/>
        <w:rPr>
          <w:noProof/>
        </w:rPr>
      </w:pPr>
      <w:r w:rsidRPr="00596511">
        <w:rPr>
          <w:noProof/>
        </w:rPr>
        <w:t>The proper application of EU law is a key element in allowing EU citizens and business to benefit from that law. This is achieved through both preventive action (workshops, expert meetings, stakeholder dialogues, technical guidelines for national authorities and training of justice professionals financed through the programme) and infringement procedures. The activities funded by the programme resulted in the better implementation and functioning of EU justice instruments (e.g. European Investigation Orders, European Arrest Warrants and surrender procedures, European Protection Orders, European Account Preservation Orders, family law). Analytical activities also helped prepare or accompanied new legislation, and responded to policy changes in the areas covered by the programme.</w:t>
      </w:r>
    </w:p>
    <w:p w14:paraId="4E22C9CC" w14:textId="77777777" w:rsidR="004D26CD" w:rsidRPr="00596511" w:rsidRDefault="004D26CD" w:rsidP="004D26CD">
      <w:pPr>
        <w:pStyle w:val="ppoListHyphened-L1"/>
        <w:rPr>
          <w:noProof/>
        </w:rPr>
      </w:pPr>
      <w:r w:rsidRPr="00596511">
        <w:rPr>
          <w:noProof/>
        </w:rPr>
        <w:t>The justice programme also supported activities relating to the promotion of the rule of law via all its instruments</w:t>
      </w:r>
      <w:bookmarkStart w:id="152" w:name="_Hlk100762040"/>
      <w:r w:rsidRPr="00596511">
        <w:rPr>
          <w:noProof/>
        </w:rPr>
        <w:t>. Action grants on judicial training offered training to the judiciary on the main principles and values stemming from Court of Justice of the European Union and European Court of Human Rights case-law and international documents, and such grants also funded projects to improve the quality of national judicial systems.</w:t>
      </w:r>
      <w:bookmarkEnd w:id="152"/>
    </w:p>
    <w:p w14:paraId="27A47825" w14:textId="77777777" w:rsidR="004D26CD" w:rsidRPr="00596511" w:rsidRDefault="004D26CD" w:rsidP="004D26CD">
      <w:pPr>
        <w:pStyle w:val="ppoListHyphened-L1"/>
        <w:rPr>
          <w:noProof/>
        </w:rPr>
      </w:pPr>
      <w:r w:rsidRPr="00596511">
        <w:rPr>
          <w:noProof/>
        </w:rPr>
        <w:t>The actions of the programme in relation to specific objective</w:t>
      </w:r>
      <w:r w:rsidRPr="00596511">
        <w:rPr>
          <w:rFonts w:ascii="Calibri" w:hAnsi="Calibri" w:cs="Calibri"/>
          <w:noProof/>
        </w:rPr>
        <w:t> </w:t>
      </w:r>
      <w:r w:rsidRPr="00596511">
        <w:rPr>
          <w:noProof/>
        </w:rPr>
        <w:t>1 (‘Judicial cooperation in civil and criminal matters’) are on track to achieve their goals. The programme has helped to improve the implementation and functioning of existing legislative cooperation instruments and has supported the development of several information and communication technology tools to enhance access to information.</w:t>
      </w:r>
    </w:p>
    <w:p w14:paraId="6BA1DF88" w14:textId="77777777" w:rsidR="004D26CD" w:rsidRPr="00596511" w:rsidRDefault="004D26CD" w:rsidP="004D26CD">
      <w:pPr>
        <w:pStyle w:val="ppoListHyphened-L1"/>
        <w:rPr>
          <w:noProof/>
        </w:rPr>
      </w:pPr>
      <w:r w:rsidRPr="00596511">
        <w:rPr>
          <w:noProof/>
        </w:rPr>
        <w:t>Overall, the justice programme has performed very well in achieving its goals in relation to specific objective</w:t>
      </w:r>
      <w:r w:rsidRPr="00596511">
        <w:rPr>
          <w:rFonts w:ascii="Calibri" w:hAnsi="Calibri" w:cs="Calibri"/>
          <w:noProof/>
        </w:rPr>
        <w:t> </w:t>
      </w:r>
      <w:r w:rsidRPr="00596511">
        <w:rPr>
          <w:noProof/>
        </w:rPr>
        <w:t>2 (‘Judicial training’).</w:t>
      </w:r>
    </w:p>
    <w:p w14:paraId="3C09582C" w14:textId="77777777" w:rsidR="004D26CD" w:rsidRPr="00596511" w:rsidRDefault="004D26CD" w:rsidP="004D26CD">
      <w:pPr>
        <w:pStyle w:val="ppoListHyphened-L1"/>
        <w:rPr>
          <w:noProof/>
        </w:rPr>
      </w:pPr>
      <w:r w:rsidRPr="00596511">
        <w:rPr>
          <w:noProof/>
        </w:rPr>
        <w:t>In 2020 and in 2021, most training activities took place online, adapting their delivery to the pandemic and to the travel restrictions. Online activities gave a tremendous boost to participation in the training activities supported by the programme, especially regarding attendance by lawyers. The overall number of participants reached a record level of 22</w:t>
      </w:r>
      <w:r w:rsidRPr="00596511">
        <w:rPr>
          <w:rFonts w:ascii="Calibri" w:hAnsi="Calibri" w:cs="Calibri"/>
          <w:noProof/>
        </w:rPr>
        <w:t> </w:t>
      </w:r>
      <w:r w:rsidRPr="00596511">
        <w:rPr>
          <w:noProof/>
        </w:rPr>
        <w:t>423 in 2020</w:t>
      </w:r>
      <w:r w:rsidRPr="00596511">
        <w:rPr>
          <w:rFonts w:ascii="Calibri" w:hAnsi="Calibri" w:cs="Calibri"/>
          <w:noProof/>
        </w:rPr>
        <w:t> –</w:t>
      </w:r>
      <w:r w:rsidRPr="00596511">
        <w:rPr>
          <w:noProof/>
        </w:rPr>
        <w:t xml:space="preserve"> around 7% of all the justice professionals who received training on EU law that year.</w:t>
      </w:r>
    </w:p>
    <w:p w14:paraId="4D885BE3" w14:textId="77777777" w:rsidR="004D26CD" w:rsidRPr="00596511" w:rsidRDefault="004D26CD" w:rsidP="004D26CD">
      <w:pPr>
        <w:pStyle w:val="ppoListHyphened-L1"/>
        <w:rPr>
          <w:noProof/>
        </w:rPr>
      </w:pPr>
      <w:r w:rsidRPr="00596511">
        <w:rPr>
          <w:noProof/>
        </w:rPr>
        <w:t>On the other hand, under the specific European Judicial Training Network’s annual training programmes, which are also supported via the justice programme, the number of participants dropped to 5</w:t>
      </w:r>
      <w:r w:rsidRPr="00596511">
        <w:rPr>
          <w:rFonts w:ascii="Calibri" w:hAnsi="Calibri" w:cs="Calibri"/>
          <w:noProof/>
        </w:rPr>
        <w:t> </w:t>
      </w:r>
      <w:r w:rsidRPr="00596511">
        <w:rPr>
          <w:noProof/>
        </w:rPr>
        <w:t>074 in 2020, as not all activities could be moved online. For example, most face-to-face exchanges could not take place. However, the cost-to-serve ratio (i.e. the price per person for one training day offered by the network) decreased to an exceptional level of EUR</w:t>
      </w:r>
      <w:r w:rsidRPr="00596511">
        <w:rPr>
          <w:rFonts w:ascii="Calibri" w:hAnsi="Calibri" w:cs="Calibri"/>
          <w:noProof/>
        </w:rPr>
        <w:t> </w:t>
      </w:r>
      <w:r w:rsidRPr="00596511">
        <w:rPr>
          <w:noProof/>
        </w:rPr>
        <w:t>239, as online activities are cheaper than cross-border face-to-face activities.</w:t>
      </w:r>
    </w:p>
    <w:p w14:paraId="0339ED62" w14:textId="77777777" w:rsidR="004D26CD" w:rsidRPr="00596511" w:rsidRDefault="004D26CD" w:rsidP="004D26CD">
      <w:pPr>
        <w:pStyle w:val="ppoListHyphened-L1"/>
        <w:rPr>
          <w:noProof/>
        </w:rPr>
      </w:pPr>
      <w:r w:rsidRPr="00596511">
        <w:rPr>
          <w:noProof/>
        </w:rPr>
        <w:t>The actions of the programme in relation to specific objective</w:t>
      </w:r>
      <w:r w:rsidRPr="00596511">
        <w:rPr>
          <w:rFonts w:ascii="Calibri" w:hAnsi="Calibri" w:cs="Calibri"/>
          <w:noProof/>
        </w:rPr>
        <w:t> </w:t>
      </w:r>
      <w:r w:rsidRPr="00596511">
        <w:rPr>
          <w:noProof/>
        </w:rPr>
        <w:t>3 (‘Access to justice’) are on track to achieve their goals of facilitating access to justice for all</w:t>
      </w:r>
      <w:r w:rsidRPr="00596511">
        <w:rPr>
          <w:rFonts w:ascii="Calibri" w:hAnsi="Calibri" w:cs="Calibri"/>
          <w:noProof/>
        </w:rPr>
        <w:t> </w:t>
      </w:r>
      <w:r w:rsidRPr="00596511">
        <w:rPr>
          <w:noProof/>
        </w:rPr>
        <w:t>– including promoting and supporting the rights of victims of crime</w:t>
      </w:r>
      <w:r w:rsidRPr="00596511">
        <w:rPr>
          <w:rFonts w:ascii="Calibri" w:hAnsi="Calibri" w:cs="Calibri"/>
          <w:noProof/>
        </w:rPr>
        <w:t> </w:t>
      </w:r>
      <w:r w:rsidRPr="00596511">
        <w:rPr>
          <w:noProof/>
        </w:rPr>
        <w:t>– while respecting the rights of the defence.</w:t>
      </w:r>
    </w:p>
    <w:p w14:paraId="60547AE0" w14:textId="77777777" w:rsidR="004D26CD" w:rsidRPr="00596511" w:rsidRDefault="004D26CD" w:rsidP="004D26CD">
      <w:pPr>
        <w:pStyle w:val="ppoListHyphened-L1"/>
        <w:rPr>
          <w:noProof/>
          <w:sz w:val="24"/>
          <w:szCs w:val="24"/>
        </w:rPr>
      </w:pPr>
      <w:r w:rsidRPr="00596511">
        <w:rPr>
          <w:noProof/>
        </w:rPr>
        <w:t>The European e-Justice Portal, a one-stop shop for justice matters, contributes significantly to improving and facilitating access to justice for citizens, businesses, national authorities, legal practitioners and the judiciary. Over the years, it has grown to cover more than 150 topics in a wide variety of areas.</w:t>
      </w:r>
    </w:p>
    <w:p w14:paraId="23FADF03" w14:textId="77777777" w:rsidR="004D26CD" w:rsidRPr="00596511" w:rsidRDefault="004D26CD" w:rsidP="004D26CD">
      <w:pPr>
        <w:pStyle w:val="ppoListHyphened-L1"/>
        <w:rPr>
          <w:noProof/>
        </w:rPr>
      </w:pPr>
      <w:r w:rsidRPr="00596511">
        <w:rPr>
          <w:noProof/>
        </w:rPr>
        <w:t>The COVID-19 pandemic has continued to have an impact on the implementation of the programme in relation to funds awarded via action grants or operating grants. However, a full assessment is not yet possible, since reporting for this period will only be done later at project closure or final report time.</w:t>
      </w:r>
    </w:p>
    <w:p w14:paraId="6A4A3554" w14:textId="77777777" w:rsidR="004D26CD" w:rsidRPr="00596511" w:rsidRDefault="004D26CD" w:rsidP="004D26CD">
      <w:pPr>
        <w:pStyle w:val="ppoListHyphened-L1"/>
        <w:rPr>
          <w:noProof/>
        </w:rPr>
      </w:pPr>
      <w:r w:rsidRPr="00596511">
        <w:rPr>
          <w:noProof/>
        </w:rPr>
        <w:t>Many of the programme’s beneficiaries converted activities such as training to online events as much as possible. Obviously, much less funding is needed for such events. Moreover, some activities, while not completely cancelled, were reduced in scope (e.g. the parts that were only meaningful in case of physical interaction have been delayed, or in some cases cancelled). Both factors will result in funds being recovered in upcoming years.</w:t>
      </w:r>
    </w:p>
    <w:p w14:paraId="6A25B0C4" w14:textId="77777777" w:rsidR="00B202C2" w:rsidRDefault="00B202C2" w:rsidP="00E73D04">
      <w:pPr>
        <w:pStyle w:val="ppoListHyphened-L1"/>
        <w:rPr>
          <w:b/>
          <w:noProof/>
        </w:rPr>
        <w:sectPr w:rsidR="00B202C2" w:rsidSect="00B202C2">
          <w:headerReference w:type="even" r:id="rId314"/>
          <w:headerReference w:type="default" r:id="rId315"/>
          <w:footerReference w:type="even" r:id="rId316"/>
          <w:footerReference w:type="default" r:id="rId317"/>
          <w:headerReference w:type="first" r:id="rId318"/>
          <w:footerReference w:type="first" r:id="rId319"/>
          <w:type w:val="continuous"/>
          <w:pgSz w:w="11906" w:h="16838" w:code="9"/>
          <w:pgMar w:top="1134" w:right="1134" w:bottom="964" w:left="1134" w:header="431" w:footer="431" w:gutter="0"/>
          <w:cols w:space="720"/>
          <w:titlePg/>
          <w:docGrid w:linePitch="360"/>
        </w:sectPr>
      </w:pPr>
    </w:p>
    <w:p w14:paraId="6AF3DEBD" w14:textId="77777777" w:rsidR="009E0E94" w:rsidRPr="008C1ACC" w:rsidRDefault="009E0E94" w:rsidP="009E0E94">
      <w:pPr>
        <w:pStyle w:val="StyleppoHeading3WhiteLeft0cm"/>
        <w:rPr>
          <w:noProof/>
          <w:sz w:val="40"/>
          <w:szCs w:val="40"/>
        </w:rPr>
      </w:pPr>
    </w:p>
    <w:p w14:paraId="28B4FA23" w14:textId="77777777" w:rsidR="009E0E94" w:rsidRPr="008C1ACC" w:rsidRDefault="009E0E94" w:rsidP="009E0E94">
      <w:pPr>
        <w:pStyle w:val="StyleppoHeading3WhiteLeft0cm"/>
        <w:rPr>
          <w:noProof/>
          <w:sz w:val="60"/>
          <w:szCs w:val="60"/>
        </w:rPr>
      </w:pPr>
      <w:bookmarkStart w:id="153" w:name="_Toc102086353"/>
      <w:r w:rsidRPr="008C1ACC">
        <w:rPr>
          <w:noProof/>
          <w:sz w:val="60"/>
          <w:szCs w:val="60"/>
        </w:rPr>
        <w:t>CERV</w:t>
      </w:r>
      <w:bookmarkEnd w:id="153"/>
    </w:p>
    <w:p w14:paraId="41ECE5C2" w14:textId="77777777" w:rsidR="009E0E94" w:rsidRPr="008C1ACC" w:rsidRDefault="009E0E94" w:rsidP="009E0E94">
      <w:pPr>
        <w:pStyle w:val="StyleppoProgrammenameWhiteLeft01cm"/>
        <w:rPr>
          <w:noProof/>
        </w:rPr>
      </w:pPr>
      <w:r w:rsidRPr="008C1ACC">
        <w:rPr>
          <w:noProof/>
        </w:rPr>
        <w:t>CITIZENS, EQUALITY, RIGHTS AND VALUES PROGRAMME</w:t>
      </w:r>
    </w:p>
    <w:p w14:paraId="38372389" w14:textId="77777777" w:rsidR="009E0E94" w:rsidRPr="008C1ACC" w:rsidRDefault="009E0E94" w:rsidP="009E0E94">
      <w:pPr>
        <w:pStyle w:val="ppoHeading4Green"/>
        <w:rPr>
          <w:noProof/>
        </w:rPr>
      </w:pPr>
      <w:r w:rsidRPr="008C1ACC">
        <w:rPr>
          <w:noProof/>
        </w:rPr>
        <w:t>Programme in a nutshell</w:t>
      </w:r>
    </w:p>
    <w:p w14:paraId="365B135D" w14:textId="77777777" w:rsidR="009E0E94" w:rsidRPr="008C1ACC" w:rsidRDefault="009E0E94" w:rsidP="009E0E94">
      <w:pPr>
        <w:spacing w:after="480"/>
        <w:rPr>
          <w:rFonts w:eastAsiaTheme="minorEastAsia"/>
          <w:noProof/>
          <w:color w:val="FFFFFF" w:themeColor="background1"/>
          <w:sz w:val="32"/>
        </w:rPr>
        <w:sectPr w:rsidR="009E0E94" w:rsidRPr="008C1ACC" w:rsidSect="0083214A">
          <w:headerReference w:type="even" r:id="rId320"/>
          <w:headerReference w:type="default" r:id="rId321"/>
          <w:footerReference w:type="even" r:id="rId322"/>
          <w:footerReference w:type="default" r:id="rId323"/>
          <w:headerReference w:type="first" r:id="rId324"/>
          <w:footerReference w:type="first" r:id="rId325"/>
          <w:pgSz w:w="11906" w:h="16838" w:code="9"/>
          <w:pgMar w:top="1134" w:right="1134" w:bottom="964" w:left="1134" w:header="431" w:footer="431" w:gutter="0"/>
          <w:cols w:space="720"/>
          <w:docGrid w:linePitch="360"/>
        </w:sectPr>
      </w:pPr>
    </w:p>
    <w:p w14:paraId="5F02B365" w14:textId="77777777" w:rsidR="009E0E94" w:rsidRPr="008C1ACC" w:rsidRDefault="009E0E94" w:rsidP="009E0E94">
      <w:pPr>
        <w:pStyle w:val="ppoHeading5"/>
        <w:rPr>
          <w:noProof/>
        </w:rPr>
      </w:pPr>
      <w:r w:rsidRPr="008C1ACC">
        <w:rPr>
          <w:noProof/>
        </w:rPr>
        <w:t>Concrete examples of achievements (*)</w:t>
      </w:r>
    </w:p>
    <w:tbl>
      <w:tblPr>
        <w:tblStyle w:val="PPO2021"/>
        <w:tblW w:w="9639" w:type="dxa"/>
        <w:tblInd w:w="0" w:type="dxa"/>
        <w:tblLook w:val="0200" w:firstRow="0" w:lastRow="0" w:firstColumn="0" w:lastColumn="0" w:noHBand="1" w:noVBand="0"/>
      </w:tblPr>
      <w:tblGrid>
        <w:gridCol w:w="2410"/>
        <w:gridCol w:w="2409"/>
        <w:gridCol w:w="2410"/>
        <w:gridCol w:w="2410"/>
      </w:tblGrid>
      <w:tr w:rsidR="009E0E94" w:rsidRPr="008C1ACC" w14:paraId="657EF42C" w14:textId="77777777" w:rsidTr="0083214A">
        <w:tc>
          <w:tcPr>
            <w:tcW w:w="2410" w:type="dxa"/>
          </w:tcPr>
          <w:p w14:paraId="05A91704" w14:textId="5D4B4548" w:rsidR="009E0E94" w:rsidRPr="008C1ACC" w:rsidRDefault="00F47289" w:rsidP="0083214A">
            <w:pPr>
              <w:pStyle w:val="ppoTableacheivementvalue"/>
              <w:rPr>
                <w:noProof/>
              </w:rPr>
            </w:pPr>
            <w:r>
              <w:rPr>
                <w:noProof/>
              </w:rPr>
              <w:t>54</w:t>
            </w:r>
            <w:r w:rsidR="009E0E94" w:rsidRPr="008C1ACC">
              <w:rPr>
                <w:noProof/>
              </w:rPr>
              <w:t>%</w:t>
            </w:r>
          </w:p>
          <w:p w14:paraId="42E4A874" w14:textId="2BADBC57" w:rsidR="009E0E94" w:rsidRPr="008C1ACC" w:rsidRDefault="009E0E94" w:rsidP="00962E3C">
            <w:pPr>
              <w:jc w:val="left"/>
              <w:rPr>
                <w:noProof/>
              </w:rPr>
            </w:pPr>
            <w:r w:rsidRPr="008C1ACC">
              <w:rPr>
                <w:noProof/>
              </w:rPr>
              <w:t>of Europeans in 202</w:t>
            </w:r>
            <w:r w:rsidR="00F47289">
              <w:rPr>
                <w:noProof/>
              </w:rPr>
              <w:t>1</w:t>
            </w:r>
            <w:r w:rsidRPr="008C1ACC">
              <w:rPr>
                <w:noProof/>
              </w:rPr>
              <w:t xml:space="preserve"> considered themselves well or very well informed about the rights they enjoy as citizens of the EU, up from 32% in 2014.</w:t>
            </w:r>
          </w:p>
        </w:tc>
        <w:tc>
          <w:tcPr>
            <w:cnfStyle w:val="000001000000" w:firstRow="0" w:lastRow="0" w:firstColumn="0" w:lastColumn="0" w:oddVBand="0" w:evenVBand="1" w:oddHBand="0" w:evenHBand="0" w:firstRowFirstColumn="0" w:firstRowLastColumn="0" w:lastRowFirstColumn="0" w:lastRowLastColumn="0"/>
            <w:tcW w:w="2409" w:type="dxa"/>
          </w:tcPr>
          <w:p w14:paraId="591F463A" w14:textId="77777777" w:rsidR="009E0E94" w:rsidRPr="008C1ACC" w:rsidRDefault="009E0E94" w:rsidP="0083214A">
            <w:pPr>
              <w:pStyle w:val="ppoTableacheivementvalue"/>
              <w:rPr>
                <w:noProof/>
              </w:rPr>
            </w:pPr>
            <w:r w:rsidRPr="008C1ACC">
              <w:rPr>
                <w:noProof/>
              </w:rPr>
              <w:t>139</w:t>
            </w:r>
          </w:p>
          <w:p w14:paraId="1FD601FA" w14:textId="77777777" w:rsidR="009E0E94" w:rsidRPr="008C1ACC" w:rsidRDefault="009E0E94" w:rsidP="00962E3C">
            <w:pPr>
              <w:jc w:val="left"/>
              <w:rPr>
                <w:noProof/>
              </w:rPr>
            </w:pPr>
            <w:r w:rsidRPr="008C1ACC">
              <w:rPr>
                <w:noProof/>
              </w:rPr>
              <w:t>grants were awarded to prevent and combat racism, xenophobia, homophobia and other forms of intolerance between 2014 and 2020.</w:t>
            </w:r>
          </w:p>
        </w:tc>
        <w:tc>
          <w:tcPr>
            <w:tcW w:w="2410" w:type="dxa"/>
            <w:tcBorders>
              <w:bottom w:val="single" w:sz="4" w:space="0" w:color="8C8C8C"/>
            </w:tcBorders>
          </w:tcPr>
          <w:p w14:paraId="7016A4AA" w14:textId="77777777" w:rsidR="009E0E94" w:rsidRPr="008C1ACC" w:rsidRDefault="009E0E94" w:rsidP="0083214A">
            <w:pPr>
              <w:pStyle w:val="ppoTableacheivementvalue"/>
              <w:cnfStyle w:val="000000000000" w:firstRow="0" w:lastRow="0" w:firstColumn="0" w:lastColumn="0" w:oddVBand="0" w:evenVBand="0" w:oddHBand="0" w:evenHBand="0" w:firstRowFirstColumn="0" w:firstRowLastColumn="0" w:lastRowFirstColumn="0" w:lastRowLastColumn="0"/>
              <w:rPr>
                <w:noProof/>
              </w:rPr>
            </w:pPr>
            <w:r w:rsidRPr="008C1ACC">
              <w:rPr>
                <w:noProof/>
              </w:rPr>
              <w:t>976</w:t>
            </w:r>
            <w:r w:rsidRPr="008C1ACC">
              <w:rPr>
                <w:rFonts w:ascii="Calibri" w:hAnsi="Calibri" w:cs="Calibri"/>
                <w:noProof/>
              </w:rPr>
              <w:t> </w:t>
            </w:r>
            <w:r w:rsidRPr="008C1ACC">
              <w:rPr>
                <w:noProof/>
              </w:rPr>
              <w:t>331</w:t>
            </w:r>
          </w:p>
          <w:p w14:paraId="2FB80D96" w14:textId="77777777" w:rsidR="009E0E94" w:rsidRPr="008C1ACC" w:rsidRDefault="009E0E94" w:rsidP="00962E3C">
            <w:pPr>
              <w:jc w:val="left"/>
              <w:cnfStyle w:val="000000000000" w:firstRow="0" w:lastRow="0" w:firstColumn="0" w:lastColumn="0" w:oddVBand="0" w:evenVBand="0" w:oddHBand="0" w:evenHBand="0" w:firstRowFirstColumn="0" w:firstRowLastColumn="0" w:lastRowFirstColumn="0" w:lastRowLastColumn="0"/>
              <w:rPr>
                <w:noProof/>
              </w:rPr>
            </w:pPr>
            <w:r w:rsidRPr="008C1ACC">
              <w:rPr>
                <w:noProof/>
              </w:rPr>
              <w:t>people were reached directly by the Europe for citizens programme in 2020.</w:t>
            </w:r>
          </w:p>
        </w:tc>
        <w:tc>
          <w:tcPr>
            <w:cnfStyle w:val="000001000000" w:firstRow="0" w:lastRow="0" w:firstColumn="0" w:lastColumn="0" w:oddVBand="0" w:evenVBand="1" w:oddHBand="0" w:evenHBand="0" w:firstRowFirstColumn="0" w:firstRowLastColumn="0" w:lastRowFirstColumn="0" w:lastRowLastColumn="0"/>
            <w:tcW w:w="2410" w:type="dxa"/>
          </w:tcPr>
          <w:p w14:paraId="42EE08D6" w14:textId="77777777" w:rsidR="009E0E94" w:rsidRPr="008C1ACC" w:rsidRDefault="009E0E94" w:rsidP="0083214A">
            <w:pPr>
              <w:pStyle w:val="ppoTableacheivementvalue"/>
              <w:rPr>
                <w:noProof/>
              </w:rPr>
            </w:pPr>
            <w:r w:rsidRPr="008C1ACC">
              <w:rPr>
                <w:noProof/>
              </w:rPr>
              <w:t>28</w:t>
            </w:r>
          </w:p>
          <w:p w14:paraId="40D5CF50" w14:textId="77777777" w:rsidR="009E0E94" w:rsidRPr="008C1ACC" w:rsidRDefault="009E0E94" w:rsidP="00962E3C">
            <w:pPr>
              <w:jc w:val="left"/>
              <w:rPr>
                <w:noProof/>
              </w:rPr>
            </w:pPr>
            <w:r w:rsidRPr="008C1ACC">
              <w:rPr>
                <w:noProof/>
              </w:rPr>
              <w:t>European citizens’ initiatives were registered between 2018 and 2020.</w:t>
            </w:r>
          </w:p>
        </w:tc>
      </w:tr>
    </w:tbl>
    <w:p w14:paraId="526A1A18" w14:textId="77777777" w:rsidR="009E0E94" w:rsidRPr="008C1ACC" w:rsidRDefault="009E0E94" w:rsidP="009E0E94">
      <w:pPr>
        <w:pStyle w:val="FootnoteText"/>
        <w:rPr>
          <w:rFonts w:eastAsiaTheme="minorEastAsia"/>
          <w:noProof/>
        </w:rPr>
      </w:pPr>
      <w:r w:rsidRPr="008C1ACC">
        <w:rPr>
          <w:rFonts w:eastAsiaTheme="minorEastAsia"/>
          <w:noProof/>
        </w:rPr>
        <w:t>(*)</w:t>
      </w:r>
      <w:r w:rsidRPr="008C1ACC">
        <w:rPr>
          <w:rFonts w:eastAsiaTheme="minorEastAsia"/>
          <w:noProof/>
        </w:rPr>
        <w:tab/>
        <w:t>Key achievements in the table state which period they relate to. Many come from the implementation of the predecessor programmes under the 2014-2020 multiannual financial framework. This is expected and is due to the multiannual life cycle of EU programmes and the projects they finance, where results often follow only after completion of the programmes.</w:t>
      </w:r>
    </w:p>
    <w:p w14:paraId="4B77E9F4" w14:textId="77777777" w:rsidR="009E0E94" w:rsidRPr="008C1ACC" w:rsidRDefault="009E0E94" w:rsidP="009E0E94">
      <w:pPr>
        <w:pStyle w:val="ppoHeading5"/>
        <w:rPr>
          <w:noProof/>
        </w:rPr>
      </w:pPr>
      <w:r w:rsidRPr="008C1ACC">
        <w:rPr>
          <w:noProof/>
        </w:rPr>
        <w:t>Budget for 2021-2027</w:t>
      </w:r>
    </w:p>
    <w:p w14:paraId="52570A4F" w14:textId="77777777" w:rsidR="009E0E94" w:rsidRPr="008C1ACC" w:rsidRDefault="009E0E94" w:rsidP="009E0E94">
      <w:pPr>
        <w:pStyle w:val="ppoTableTabletitle"/>
        <w:ind w:left="284"/>
        <w:rPr>
          <w:noProof/>
        </w:rPr>
      </w:pPr>
      <w:r w:rsidRPr="008C1ACC">
        <w:rPr>
          <w:noProof/>
        </w:rPr>
        <w:t>(million EUR)</w:t>
      </w:r>
    </w:p>
    <w:tbl>
      <w:tblPr>
        <w:tblStyle w:val="PlainTable2"/>
        <w:tblW w:w="0" w:type="auto"/>
        <w:tblInd w:w="288" w:type="dxa"/>
        <w:tblLook w:val="04A0" w:firstRow="1" w:lastRow="0" w:firstColumn="1" w:lastColumn="0" w:noHBand="0" w:noVBand="1"/>
      </w:tblPr>
      <w:tblGrid>
        <w:gridCol w:w="4788"/>
        <w:gridCol w:w="2610"/>
      </w:tblGrid>
      <w:tr w:rsidR="009E0E94" w:rsidRPr="008C1ACC" w14:paraId="4C2862BB" w14:textId="77777777" w:rsidTr="0083214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70335C47" w14:textId="77777777" w:rsidR="009E0E94" w:rsidRPr="008C1ACC" w:rsidRDefault="009E0E94" w:rsidP="0083214A">
            <w:pPr>
              <w:spacing w:before="120" w:after="120"/>
              <w:rPr>
                <w:noProof/>
              </w:rPr>
            </w:pPr>
            <w:r w:rsidRPr="008C1ACC">
              <w:rPr>
                <w:rFonts w:cs="Calibri"/>
                <w:noProof/>
                <w:color w:val="000000"/>
              </w:rPr>
              <w:t>Financial programming</w:t>
            </w:r>
          </w:p>
        </w:tc>
        <w:tc>
          <w:tcPr>
            <w:tcW w:w="2610" w:type="dxa"/>
            <w:shd w:val="clear" w:color="auto" w:fill="auto"/>
            <w:vAlign w:val="bottom"/>
          </w:tcPr>
          <w:p w14:paraId="7D67F8FD" w14:textId="77777777" w:rsidR="009E0E94" w:rsidRDefault="009E0E94" w:rsidP="0083214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noProof/>
                <w:color w:val="000000"/>
              </w:rPr>
            </w:pPr>
            <w:r>
              <w:rPr>
                <w:rFonts w:ascii="Calibri" w:hAnsi="Calibri" w:cs="Calibri"/>
                <w:b w:val="0"/>
                <w:bCs w:val="0"/>
                <w:noProof/>
                <w:color w:val="000000"/>
              </w:rPr>
              <w:t>894.1</w:t>
            </w:r>
          </w:p>
          <w:p w14:paraId="18C80304" w14:textId="6F61AAF1" w:rsidR="009E0E94" w:rsidRPr="008C1ACC" w:rsidRDefault="009E0E94" w:rsidP="0083214A">
            <w:pPr>
              <w:spacing w:before="120" w:after="120"/>
              <w:jc w:val="center"/>
              <w:cnfStyle w:val="100000000000" w:firstRow="1" w:lastRow="0" w:firstColumn="0" w:lastColumn="0" w:oddVBand="0" w:evenVBand="0" w:oddHBand="0" w:evenHBand="0" w:firstRowFirstColumn="0" w:firstRowLastColumn="0" w:lastRowFirstColumn="0" w:lastRowLastColumn="0"/>
              <w:rPr>
                <w:b w:val="0"/>
                <w:noProof/>
              </w:rPr>
            </w:pPr>
          </w:p>
        </w:tc>
      </w:tr>
      <w:tr w:rsidR="009E0E94" w:rsidRPr="008C1ACC" w14:paraId="316E1C01"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44607534" w14:textId="77777777" w:rsidR="009E0E94" w:rsidRPr="008C1ACC" w:rsidRDefault="009E0E94" w:rsidP="0083214A">
            <w:pPr>
              <w:spacing w:before="120" w:after="120"/>
              <w:rPr>
                <w:b w:val="0"/>
                <w:noProof/>
              </w:rPr>
            </w:pPr>
            <w:r w:rsidRPr="008C1ACC">
              <w:rPr>
                <w:rFonts w:cs="Calibri"/>
                <w:noProof/>
                <w:color w:val="000000"/>
              </w:rPr>
              <w:t>NextGenerationEU</w:t>
            </w:r>
          </w:p>
        </w:tc>
        <w:tc>
          <w:tcPr>
            <w:tcW w:w="2610" w:type="dxa"/>
            <w:vAlign w:val="bottom"/>
          </w:tcPr>
          <w:p w14:paraId="437D1A7E" w14:textId="77777777" w:rsidR="009E0E94" w:rsidRPr="008C1ACC" w:rsidRDefault="009E0E94"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8C1ACC">
              <w:rPr>
                <w:rFonts w:cs="Calibri"/>
                <w:noProof/>
                <w:color w:val="000000"/>
              </w:rPr>
              <w:t>0</w:t>
            </w:r>
          </w:p>
        </w:tc>
      </w:tr>
      <w:tr w:rsidR="009E0E94" w:rsidRPr="008C1ACC" w14:paraId="4E502804"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68353019" w14:textId="77777777" w:rsidR="009E0E94" w:rsidRPr="008C1ACC" w:rsidRDefault="009E0E94" w:rsidP="0083214A">
            <w:pPr>
              <w:spacing w:before="120" w:after="120"/>
              <w:rPr>
                <w:b w:val="0"/>
                <w:noProof/>
              </w:rPr>
            </w:pPr>
            <w:r w:rsidRPr="008C1ACC">
              <w:rPr>
                <w:noProof/>
              </w:rPr>
              <w:t>Decommitments made available again</w:t>
            </w:r>
            <w:r w:rsidRPr="008C1ACC">
              <w:rPr>
                <w:rFonts w:cs="Calibri"/>
                <w:noProof/>
                <w:color w:val="000000"/>
              </w:rPr>
              <w:t xml:space="preserve"> (*)</w:t>
            </w:r>
          </w:p>
        </w:tc>
        <w:tc>
          <w:tcPr>
            <w:tcW w:w="2610" w:type="dxa"/>
            <w:vAlign w:val="bottom"/>
          </w:tcPr>
          <w:p w14:paraId="5B8311D6" w14:textId="10E7C2FC" w:rsidR="009E0E94" w:rsidRPr="008C1ACC" w:rsidRDefault="009E0E94" w:rsidP="0083214A">
            <w:pPr>
              <w:spacing w:before="120" w:after="120"/>
              <w:jc w:val="center"/>
              <w:cnfStyle w:val="000000000000" w:firstRow="0" w:lastRow="0" w:firstColumn="0" w:lastColumn="0" w:oddVBand="0" w:evenVBand="0" w:oddHBand="0" w:evenHBand="0" w:firstRowFirstColumn="0" w:firstRowLastColumn="0" w:lastRowFirstColumn="0" w:lastRowLastColumn="0"/>
              <w:rPr>
                <w:noProof/>
              </w:rPr>
            </w:pPr>
            <w:r>
              <w:rPr>
                <w:rFonts w:cs="Calibri"/>
                <w:noProof/>
                <w:color w:val="000000"/>
              </w:rPr>
              <w:t>N/A</w:t>
            </w:r>
          </w:p>
        </w:tc>
      </w:tr>
      <w:tr w:rsidR="009E0E94" w:rsidRPr="008C1ACC" w14:paraId="5729A85B"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741C0328" w14:textId="77777777" w:rsidR="009E0E94" w:rsidRPr="008C1ACC" w:rsidRDefault="009E0E94" w:rsidP="0083214A">
            <w:pPr>
              <w:spacing w:before="120" w:after="120"/>
              <w:rPr>
                <w:noProof/>
              </w:rPr>
            </w:pPr>
            <w:r w:rsidRPr="008C1ACC">
              <w:rPr>
                <w:rFonts w:cs="Calibri"/>
                <w:noProof/>
                <w:color w:val="000000"/>
              </w:rPr>
              <w:t>Contributions from other countries and entities</w:t>
            </w:r>
          </w:p>
        </w:tc>
        <w:tc>
          <w:tcPr>
            <w:tcW w:w="2610" w:type="dxa"/>
            <w:vAlign w:val="bottom"/>
          </w:tcPr>
          <w:p w14:paraId="71B21056" w14:textId="77777777" w:rsidR="009E0E94" w:rsidRPr="008C1ACC" w:rsidRDefault="009E0E94"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8C1ACC">
              <w:rPr>
                <w:rFonts w:cs="Calibri"/>
                <w:noProof/>
                <w:color w:val="000000"/>
              </w:rPr>
              <w:t>0</w:t>
            </w:r>
          </w:p>
        </w:tc>
      </w:tr>
      <w:tr w:rsidR="009E0E94" w:rsidRPr="008C1ACC" w14:paraId="16283A1B"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2F2F2" w:themeFill="background1" w:themeFillShade="F2"/>
            <w:vAlign w:val="bottom"/>
          </w:tcPr>
          <w:p w14:paraId="742C814C" w14:textId="77777777" w:rsidR="009E0E94" w:rsidRPr="008C1ACC" w:rsidRDefault="009E0E94" w:rsidP="0083214A">
            <w:pPr>
              <w:spacing w:before="120" w:after="120"/>
              <w:rPr>
                <w:noProof/>
              </w:rPr>
            </w:pPr>
            <w:r w:rsidRPr="008C1ACC">
              <w:rPr>
                <w:rFonts w:cs="Calibri"/>
                <w:noProof/>
                <w:color w:val="000000"/>
              </w:rPr>
              <w:t>Total budget for 2021-2027</w:t>
            </w:r>
          </w:p>
        </w:tc>
        <w:tc>
          <w:tcPr>
            <w:tcW w:w="2610" w:type="dxa"/>
            <w:shd w:val="clear" w:color="auto" w:fill="F2F2F2" w:themeFill="background1" w:themeFillShade="F2"/>
            <w:vAlign w:val="bottom"/>
          </w:tcPr>
          <w:p w14:paraId="6A69436F" w14:textId="77777777" w:rsidR="009E0E94" w:rsidRDefault="009E0E94" w:rsidP="00832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noProof/>
                <w:color w:val="000000"/>
              </w:rPr>
            </w:pPr>
            <w:r>
              <w:rPr>
                <w:rFonts w:ascii="Calibri" w:hAnsi="Calibri" w:cs="Calibri"/>
                <w:b/>
                <w:bCs/>
                <w:noProof/>
                <w:color w:val="000000"/>
              </w:rPr>
              <w:t>894.1</w:t>
            </w:r>
          </w:p>
          <w:p w14:paraId="634CD8DB" w14:textId="262FF286" w:rsidR="009E0E94" w:rsidRPr="008C1ACC" w:rsidRDefault="009E0E94" w:rsidP="0083214A">
            <w:pPr>
              <w:spacing w:before="120" w:after="120"/>
              <w:jc w:val="center"/>
              <w:cnfStyle w:val="000000000000" w:firstRow="0" w:lastRow="0" w:firstColumn="0" w:lastColumn="0" w:oddVBand="0" w:evenVBand="0" w:oddHBand="0" w:evenHBand="0" w:firstRowFirstColumn="0" w:firstRowLastColumn="0" w:lastRowFirstColumn="0" w:lastRowLastColumn="0"/>
              <w:rPr>
                <w:b/>
                <w:noProof/>
              </w:rPr>
            </w:pPr>
          </w:p>
        </w:tc>
      </w:tr>
    </w:tbl>
    <w:p w14:paraId="2049CA8B" w14:textId="77777777" w:rsidR="009E0E94" w:rsidRPr="008C1ACC" w:rsidRDefault="009E0E94" w:rsidP="009E0E94">
      <w:pPr>
        <w:tabs>
          <w:tab w:val="left" w:pos="6793"/>
        </w:tabs>
        <w:rPr>
          <w:noProof/>
          <w:sz w:val="18"/>
          <w:szCs w:val="18"/>
        </w:rPr>
      </w:pPr>
      <w:r w:rsidRPr="008C1ACC">
        <w:rPr>
          <w:noProof/>
          <w:sz w:val="18"/>
          <w:szCs w:val="18"/>
        </w:rPr>
        <w:t>(*) Only Article</w:t>
      </w:r>
      <w:r w:rsidRPr="008C1ACC">
        <w:rPr>
          <w:rFonts w:ascii="Calibri" w:hAnsi="Calibri" w:cs="Calibri"/>
          <w:noProof/>
          <w:sz w:val="18"/>
          <w:szCs w:val="18"/>
        </w:rPr>
        <w:t> </w:t>
      </w:r>
      <w:r w:rsidRPr="008C1ACC">
        <w:rPr>
          <w:noProof/>
          <w:sz w:val="18"/>
          <w:szCs w:val="18"/>
        </w:rPr>
        <w:t>15(3) of the financial regulation.</w:t>
      </w:r>
    </w:p>
    <w:p w14:paraId="49EBFAD5" w14:textId="77777777" w:rsidR="009E0E94" w:rsidRPr="008C1ACC" w:rsidRDefault="009E0E94" w:rsidP="009E0E94">
      <w:pPr>
        <w:pStyle w:val="ppoHeading5"/>
        <w:rPr>
          <w:noProof/>
        </w:rPr>
      </w:pPr>
      <w:r w:rsidRPr="008C1ACC">
        <w:rPr>
          <w:noProof/>
        </w:rPr>
        <w:t>Rationale and design of the programme</w:t>
      </w:r>
    </w:p>
    <w:p w14:paraId="7D028A07" w14:textId="77777777" w:rsidR="009E0E94" w:rsidRPr="008C1ACC" w:rsidRDefault="009E0E94" w:rsidP="009E0E94">
      <w:pPr>
        <w:rPr>
          <w:rFonts w:eastAsiaTheme="minorEastAsia"/>
          <w:noProof/>
        </w:rPr>
      </w:pPr>
      <w:r w:rsidRPr="008C1ACC">
        <w:rPr>
          <w:rFonts w:eastAsiaTheme="minorEastAsia"/>
          <w:noProof/>
        </w:rPr>
        <w:t>The citizens, equality, rights and values programme (CERV) seeks to promote the rights and values of the EU.</w:t>
      </w:r>
    </w:p>
    <w:p w14:paraId="657627C6" w14:textId="77777777" w:rsidR="009E0E94" w:rsidRPr="008C1ACC" w:rsidRDefault="009E0E94" w:rsidP="009E0E94">
      <w:pPr>
        <w:pStyle w:val="ppoHeading6"/>
        <w:rPr>
          <w:noProof/>
        </w:rPr>
      </w:pPr>
      <w:r w:rsidRPr="008C1ACC">
        <w:rPr>
          <w:noProof/>
        </w:rPr>
        <w:t>Challenge</w:t>
      </w:r>
    </w:p>
    <w:p w14:paraId="00E0D33D" w14:textId="77777777" w:rsidR="009E0E94" w:rsidRPr="008C1ACC" w:rsidRDefault="009E0E94" w:rsidP="009E0E94">
      <w:pPr>
        <w:rPr>
          <w:noProof/>
        </w:rPr>
      </w:pPr>
      <w:r w:rsidRPr="008C1ACC">
        <w:rPr>
          <w:noProof/>
        </w:rPr>
        <w:t>The EU promotes peace and the well-being of its people. It is founded on the values of respect for human dignity, freedom, democracy, equality, the rule of law and respect for human rights, including the rights of people belonging to minorities. To live up to its vocation, the EU needs to remember and learn from its history and to involve people in strengthening democratic societies.</w:t>
      </w:r>
    </w:p>
    <w:p w14:paraId="4C148BBF" w14:textId="77777777" w:rsidR="009E0E94" w:rsidRPr="008C1ACC" w:rsidRDefault="009E0E94" w:rsidP="009E0E94">
      <w:pPr>
        <w:rPr>
          <w:noProof/>
        </w:rPr>
      </w:pPr>
      <w:r w:rsidRPr="008C1ACC">
        <w:rPr>
          <w:noProof/>
        </w:rPr>
        <w:t>However, emerging movements challenge the idea of open, inclusive, cohesive and democratic societies and threaten the enjoyment of rights and civic participation. In particular:</w:t>
      </w:r>
    </w:p>
    <w:p w14:paraId="4B420E41" w14:textId="77777777" w:rsidR="009E0E94" w:rsidRPr="008C1ACC" w:rsidRDefault="009E0E94" w:rsidP="009E0E94">
      <w:pPr>
        <w:pStyle w:val="ppoListHyphened-L1"/>
        <w:rPr>
          <w:noProof/>
        </w:rPr>
      </w:pPr>
      <w:r w:rsidRPr="008C1ACC">
        <w:rPr>
          <w:noProof/>
        </w:rPr>
        <w:t>inequality and discrimination on the grounds of sex, racial or ethnic origin, religion or belief, disability, age and sexual orientation still exist, and violence is still a reality in the daily lives of many women, children and other people at risk;</w:t>
      </w:r>
    </w:p>
    <w:p w14:paraId="4029C02F" w14:textId="77777777" w:rsidR="009E0E94" w:rsidRPr="008C1ACC" w:rsidRDefault="009E0E94" w:rsidP="009E0E94">
      <w:pPr>
        <w:pStyle w:val="ppoListHyphened-L1"/>
        <w:rPr>
          <w:noProof/>
        </w:rPr>
      </w:pPr>
      <w:r w:rsidRPr="008C1ACC">
        <w:rPr>
          <w:noProof/>
        </w:rPr>
        <w:t>the rights stemming from EU citizenship</w:t>
      </w:r>
      <w:r w:rsidRPr="008C1ACC">
        <w:rPr>
          <w:rFonts w:ascii="Calibri" w:hAnsi="Calibri" w:cs="Calibri"/>
          <w:noProof/>
        </w:rPr>
        <w:t> </w:t>
      </w:r>
      <w:r w:rsidRPr="008C1ACC">
        <w:rPr>
          <w:noProof/>
        </w:rPr>
        <w:t>– free movement, consular protection and electoral rights</w:t>
      </w:r>
      <w:r w:rsidRPr="008C1ACC">
        <w:rPr>
          <w:rFonts w:ascii="Calibri" w:hAnsi="Calibri" w:cs="Calibri"/>
          <w:noProof/>
        </w:rPr>
        <w:t> </w:t>
      </w:r>
      <w:r w:rsidRPr="008C1ACC">
        <w:rPr>
          <w:noProof/>
        </w:rPr>
        <w:t>– are still not fully implemented, thus hindering citizens’ political and societal participation;</w:t>
      </w:r>
    </w:p>
    <w:p w14:paraId="1CBEAC7C" w14:textId="77777777" w:rsidR="009E0E94" w:rsidRPr="008C1ACC" w:rsidRDefault="009E0E94" w:rsidP="009E0E94">
      <w:pPr>
        <w:pStyle w:val="ppoListHyphened-L1"/>
        <w:rPr>
          <w:noProof/>
        </w:rPr>
      </w:pPr>
      <w:r w:rsidRPr="008C1ACC">
        <w:rPr>
          <w:noProof/>
        </w:rPr>
        <w:t>economic crises, rising inequality and new or persisting challenges (e.g. migration) have led some to question the EU’s fundamental rights and values, including the rule of law, access to justice, space for civil society and the independence of the judiciary.</w:t>
      </w:r>
    </w:p>
    <w:p w14:paraId="59EBC99E" w14:textId="77777777" w:rsidR="009E0E94" w:rsidRPr="008C1ACC" w:rsidRDefault="009E0E94" w:rsidP="009E0E94">
      <w:pPr>
        <w:rPr>
          <w:noProof/>
        </w:rPr>
      </w:pPr>
      <w:r w:rsidRPr="008C1ACC">
        <w:rPr>
          <w:noProof/>
        </w:rPr>
        <w:t>These challenges are common to all Member States and have cross-border dimensions. While action at the national level is important, individual Member States do not have sufficient leverage to tackle these challenges on their own. Therefore, concerted efforts at the EU level are required.</w:t>
      </w:r>
    </w:p>
    <w:p w14:paraId="45A2918F" w14:textId="77777777" w:rsidR="009E0E94" w:rsidRPr="008C1ACC" w:rsidRDefault="009E0E94" w:rsidP="009E0E94">
      <w:pPr>
        <w:pStyle w:val="ppoHeading6"/>
        <w:rPr>
          <w:noProof/>
        </w:rPr>
      </w:pPr>
      <w:r w:rsidRPr="008C1ACC">
        <w:rPr>
          <w:noProof/>
        </w:rPr>
        <w:t>Mission</w:t>
      </w:r>
    </w:p>
    <w:p w14:paraId="08B6E8A7" w14:textId="77777777" w:rsidR="009E0E94" w:rsidRPr="008C1ACC" w:rsidRDefault="009E0E94" w:rsidP="009E0E94">
      <w:pPr>
        <w:rPr>
          <w:noProof/>
        </w:rPr>
      </w:pPr>
      <w:r w:rsidRPr="008C1ACC">
        <w:rPr>
          <w:noProof/>
        </w:rPr>
        <w:t>CERV seeks to protect and promote rights and values as enshrined in the EU treaties and in the EU</w:t>
      </w:r>
      <w:r w:rsidRPr="008C1ACC">
        <w:rPr>
          <w:rFonts w:ascii="Calibri" w:hAnsi="Calibri" w:cs="Calibri"/>
          <w:noProof/>
        </w:rPr>
        <w:t xml:space="preserve"> </w:t>
      </w:r>
      <w:r w:rsidRPr="008C1ACC">
        <w:rPr>
          <w:noProof/>
        </w:rPr>
        <w:t>Charter of Fundamental Rights in order to sustain open, rights-based, democratic, equal and inclusive societies based on the rule of law.</w:t>
      </w:r>
    </w:p>
    <w:p w14:paraId="6C081001" w14:textId="77777777" w:rsidR="009E0E94" w:rsidRPr="008C1ACC" w:rsidRDefault="009E0E94" w:rsidP="009E0E94">
      <w:pPr>
        <w:pStyle w:val="ppoHeading6"/>
        <w:rPr>
          <w:noProof/>
        </w:rPr>
      </w:pPr>
      <w:r w:rsidRPr="008C1ACC">
        <w:rPr>
          <w:noProof/>
        </w:rPr>
        <w:t>Objectives</w:t>
      </w:r>
    </w:p>
    <w:p w14:paraId="0C5ADF31" w14:textId="77777777" w:rsidR="009E0E94" w:rsidRPr="008C1ACC" w:rsidRDefault="009E0E94" w:rsidP="009E0E94">
      <w:pPr>
        <w:rPr>
          <w:noProof/>
        </w:rPr>
      </w:pPr>
      <w:r w:rsidRPr="008C1ACC">
        <w:rPr>
          <w:noProof/>
        </w:rPr>
        <w:t>CERV’s specific objectives, which correspond to strands, are to:</w:t>
      </w:r>
    </w:p>
    <w:p w14:paraId="153112C6" w14:textId="77777777" w:rsidR="009E0E94" w:rsidRPr="008C1ACC" w:rsidRDefault="009E0E94" w:rsidP="006F409B">
      <w:pPr>
        <w:pStyle w:val="ppoListArabic1aiii-L1"/>
        <w:numPr>
          <w:ilvl w:val="0"/>
          <w:numId w:val="126"/>
        </w:numPr>
        <w:rPr>
          <w:noProof/>
        </w:rPr>
      </w:pPr>
      <w:r w:rsidRPr="008C1ACC">
        <w:rPr>
          <w:noProof/>
        </w:rPr>
        <w:t>contribute to protecting and promoting EU values by providing financial support to civil-society organisations active at the local, regional and transnational level (Union values strand);</w:t>
      </w:r>
    </w:p>
    <w:p w14:paraId="16AA03B5" w14:textId="77777777" w:rsidR="009E0E94" w:rsidRPr="008C1ACC" w:rsidRDefault="009E0E94" w:rsidP="009E0E94">
      <w:pPr>
        <w:pStyle w:val="ppoListArabic1aiii-L1"/>
        <w:numPr>
          <w:ilvl w:val="0"/>
          <w:numId w:val="40"/>
        </w:numPr>
        <w:rPr>
          <w:noProof/>
        </w:rPr>
      </w:pPr>
      <w:r w:rsidRPr="008C1ACC">
        <w:rPr>
          <w:noProof/>
        </w:rPr>
        <w:t>promote rights, non-discrimination and equality, including gender equality, and advance gender and non-discrimination mainstreaming; protect and promote the rights of the child, the rights of people with disabilities, EU citizenship rights and the right to the protection of personal data (equality, rights and gender equality strand);</w:t>
      </w:r>
    </w:p>
    <w:p w14:paraId="135CFF10" w14:textId="77777777" w:rsidR="009E0E94" w:rsidRPr="008C1ACC" w:rsidRDefault="009E0E94" w:rsidP="009E0E94">
      <w:pPr>
        <w:pStyle w:val="ppoListArabic1aiii-L1"/>
        <w:numPr>
          <w:ilvl w:val="0"/>
          <w:numId w:val="40"/>
        </w:numPr>
        <w:rPr>
          <w:noProof/>
        </w:rPr>
      </w:pPr>
      <w:r w:rsidRPr="008C1ACC">
        <w:rPr>
          <w:noProof/>
        </w:rPr>
        <w:t>promote citizens’ engagement and participation in the democratic life of the EU and exchanges between citizens of different Member States, and raise awareness of common European history (citizens' engagement and participation strand);</w:t>
      </w:r>
    </w:p>
    <w:p w14:paraId="71B1C726" w14:textId="77777777" w:rsidR="009E0E94" w:rsidRPr="008C1ACC" w:rsidRDefault="009E0E94" w:rsidP="009E0E94">
      <w:pPr>
        <w:pStyle w:val="ppoListArabic1aiii-L1"/>
        <w:numPr>
          <w:ilvl w:val="0"/>
          <w:numId w:val="40"/>
        </w:numPr>
        <w:rPr>
          <w:noProof/>
        </w:rPr>
      </w:pPr>
      <w:r w:rsidRPr="008C1ACC">
        <w:rPr>
          <w:noProof/>
        </w:rPr>
        <w:t>fight violence, including gender-based violence and violence against children and other groups at risk (Daphne: preventing and combating gender-based violence and violence against children strand).</w:t>
      </w:r>
    </w:p>
    <w:p w14:paraId="4C3201CD" w14:textId="77777777" w:rsidR="009E0E94" w:rsidRPr="008C1ACC" w:rsidRDefault="009E0E94" w:rsidP="009E0E94">
      <w:pPr>
        <w:pStyle w:val="ppoHeading6"/>
        <w:rPr>
          <w:noProof/>
        </w:rPr>
      </w:pPr>
      <w:r w:rsidRPr="008C1ACC">
        <w:rPr>
          <w:noProof/>
        </w:rPr>
        <w:t>Actions</w:t>
      </w:r>
    </w:p>
    <w:p w14:paraId="357BFF33" w14:textId="77777777" w:rsidR="009E0E94" w:rsidRPr="008C1ACC" w:rsidRDefault="009E0E94" w:rsidP="009E0E94">
      <w:pPr>
        <w:rPr>
          <w:noProof/>
        </w:rPr>
      </w:pPr>
      <w:r w:rsidRPr="008C1ACC">
        <w:rPr>
          <w:noProof/>
        </w:rPr>
        <w:t>CERV supports a broad range of organisations that promote and protect EU values and rights, increase awareness of rights, values, principles culture, history, laws and policies, enhance capacity and foster cross-border cooperation and mutual knowledge, understanding and trust.</w:t>
      </w:r>
    </w:p>
    <w:p w14:paraId="70FA0651" w14:textId="77777777" w:rsidR="009E0E94" w:rsidRPr="008C1ACC" w:rsidRDefault="009E0E94" w:rsidP="009E0E94">
      <w:pPr>
        <w:rPr>
          <w:noProof/>
        </w:rPr>
      </w:pPr>
      <w:r w:rsidRPr="008C1ACC">
        <w:rPr>
          <w:noProof/>
        </w:rPr>
        <w:t>CERV supports training, capacity building, the exchange of good practices between Member States’ authorities and bodies, and town twinning. It supports the development of knowledge-based EU policies and legislation through surveys, studies and analyses. It also supports capacity development for key EU-level networks (notably the annual work programme of the EU Network of Equality Bodies).</w:t>
      </w:r>
    </w:p>
    <w:p w14:paraId="42D13382" w14:textId="77777777" w:rsidR="009E0E94" w:rsidRPr="008C1ACC" w:rsidRDefault="009E0E94" w:rsidP="009E0E94">
      <w:pPr>
        <w:pStyle w:val="ppoHeading6"/>
        <w:rPr>
          <w:noProof/>
        </w:rPr>
      </w:pPr>
      <w:r w:rsidRPr="008C1ACC">
        <w:rPr>
          <w:noProof/>
        </w:rPr>
        <w:t>Delivery mode</w:t>
      </w:r>
    </w:p>
    <w:p w14:paraId="6EB1D339" w14:textId="77777777" w:rsidR="009E0E94" w:rsidRPr="008C1ACC" w:rsidRDefault="009E0E94" w:rsidP="009E0E94">
      <w:pPr>
        <w:rPr>
          <w:noProof/>
        </w:rPr>
      </w:pPr>
      <w:r w:rsidRPr="008C1ACC">
        <w:rPr>
          <w:noProof/>
        </w:rPr>
        <w:t>CERV is implemented under direct management by the Commission, under the lead of the Directorate-General for Justice and Consumers. The implementation of some initiatives is entrusted to the European Education and Culture Executive Agency.</w:t>
      </w:r>
    </w:p>
    <w:p w14:paraId="3701191C" w14:textId="77777777" w:rsidR="009E0E94" w:rsidRPr="008C1ACC" w:rsidRDefault="009E0E94" w:rsidP="009E0E94">
      <w:pPr>
        <w:pStyle w:val="ppoHeading6"/>
        <w:rPr>
          <w:noProof/>
        </w:rPr>
      </w:pPr>
      <w:r w:rsidRPr="008C1ACC">
        <w:rPr>
          <w:noProof/>
        </w:rPr>
        <w:t>LINK TO THE 2014-2020 multiannual financial framework</w:t>
      </w:r>
    </w:p>
    <w:p w14:paraId="402D1420" w14:textId="77777777" w:rsidR="009E0E94" w:rsidRPr="008C1ACC" w:rsidRDefault="009E0E94" w:rsidP="009E0E94">
      <w:pPr>
        <w:rPr>
          <w:noProof/>
        </w:rPr>
      </w:pPr>
      <w:r w:rsidRPr="008C1ACC">
        <w:rPr>
          <w:noProof/>
        </w:rPr>
        <w:t>CERV is the result of the merger of two 2014-2020 multiannual financial framework funding programmes, namely the rights, equality and citizenship programme and the Europe for citizens programme, which both had a strong societal focus and were clearly related to EU values. This goal is to bring more visibility, simplification and mutual reinforcement, while acknowledging and maintaining the specificities of the single policies.</w:t>
      </w:r>
    </w:p>
    <w:p w14:paraId="1C69D802" w14:textId="77777777" w:rsidR="009E0E94" w:rsidRPr="008C1ACC" w:rsidRDefault="009E0E94" w:rsidP="009E0E94">
      <w:pPr>
        <w:pStyle w:val="ppoHeading6"/>
        <w:rPr>
          <w:noProof/>
        </w:rPr>
      </w:pPr>
      <w:r w:rsidRPr="008C1ACC">
        <w:rPr>
          <w:noProof/>
        </w:rPr>
        <w:t>Impact assessment</w:t>
      </w:r>
    </w:p>
    <w:p w14:paraId="23908A0A" w14:textId="77777777" w:rsidR="009E0E94" w:rsidRPr="008C1ACC" w:rsidRDefault="009E0E94" w:rsidP="009E0E94">
      <w:pPr>
        <w:rPr>
          <w:noProof/>
        </w:rPr>
      </w:pPr>
      <w:r w:rsidRPr="008C1ACC">
        <w:rPr>
          <w:noProof/>
        </w:rPr>
        <w:t>The impact assessment of the rights and values programme was carried out in 2018.</w:t>
      </w:r>
    </w:p>
    <w:p w14:paraId="7B0C55C8" w14:textId="77777777" w:rsidR="009E0E94" w:rsidRPr="008C1ACC" w:rsidRDefault="009E0E94" w:rsidP="009E0E94">
      <w:pPr>
        <w:rPr>
          <w:noProof/>
        </w:rPr>
      </w:pPr>
      <w:r w:rsidRPr="008C1ACC">
        <w:rPr>
          <w:noProof/>
        </w:rPr>
        <w:t xml:space="preserve">For further information please consult: </w:t>
      </w:r>
      <w:hyperlink r:id="rId326" w:history="1">
        <w:r w:rsidRPr="008C1ACC">
          <w:rPr>
            <w:rStyle w:val="Hyperlink"/>
            <w:noProof/>
          </w:rPr>
          <w:t>https://europa.eu/!RX78mN</w:t>
        </w:r>
      </w:hyperlink>
    </w:p>
    <w:p w14:paraId="2343C3AF" w14:textId="77777777" w:rsidR="009E0E94" w:rsidRPr="008C1ACC" w:rsidRDefault="009E0E94" w:rsidP="009E0E94">
      <w:pPr>
        <w:pStyle w:val="ppoHeading6"/>
        <w:rPr>
          <w:noProof/>
        </w:rPr>
      </w:pPr>
      <w:r w:rsidRPr="008C1ACC">
        <w:rPr>
          <w:noProof/>
        </w:rPr>
        <w:t>WEBSITE FOR more information</w:t>
      </w:r>
    </w:p>
    <w:p w14:paraId="79B6C4F2" w14:textId="77777777" w:rsidR="009E0E94" w:rsidRPr="008C1ACC" w:rsidRDefault="00E01E9B" w:rsidP="009E0E94">
      <w:pPr>
        <w:rPr>
          <w:noProof/>
        </w:rPr>
      </w:pPr>
      <w:hyperlink r:id="rId327" w:history="1">
        <w:r w:rsidR="009E0E94" w:rsidRPr="008C1ACC">
          <w:rPr>
            <w:rStyle w:val="Hyperlink"/>
            <w:noProof/>
          </w:rPr>
          <w:t>https://europa.eu/!cH64dk</w:t>
        </w:r>
      </w:hyperlink>
      <w:r w:rsidR="009E0E94" w:rsidRPr="008C1ACC">
        <w:rPr>
          <w:noProof/>
        </w:rPr>
        <w:t xml:space="preserve"> or </w:t>
      </w:r>
      <w:hyperlink r:id="rId328" w:history="1">
        <w:r w:rsidR="009E0E94" w:rsidRPr="008C1ACC">
          <w:rPr>
            <w:rStyle w:val="Hyperlink"/>
            <w:noProof/>
          </w:rPr>
          <w:t>https://europa.eu/!kV86tx</w:t>
        </w:r>
      </w:hyperlink>
    </w:p>
    <w:p w14:paraId="73AE76D7" w14:textId="77777777" w:rsidR="009E0E94" w:rsidRPr="008C1ACC" w:rsidRDefault="009E0E94" w:rsidP="009E0E94">
      <w:pPr>
        <w:pStyle w:val="ppoHeading5"/>
        <w:rPr>
          <w:noProof/>
        </w:rPr>
      </w:pPr>
      <w:r w:rsidRPr="008C1ACC">
        <w:rPr>
          <w:rFonts w:eastAsiaTheme="minorEastAsia"/>
          <w:noProof/>
        </w:rPr>
        <w:t>Legal basis</w:t>
      </w:r>
    </w:p>
    <w:p w14:paraId="07120AEC" w14:textId="77777777" w:rsidR="009E0E94" w:rsidRPr="008C1ACC" w:rsidRDefault="009E0E94" w:rsidP="009E0E94">
      <w:pPr>
        <w:rPr>
          <w:noProof/>
        </w:rPr>
      </w:pPr>
      <w:r w:rsidRPr="008C1ACC">
        <w:rPr>
          <w:noProof/>
        </w:rPr>
        <w:t>Regulation (EU) 2021/692 of the European Parliament and of the Council.</w:t>
      </w:r>
    </w:p>
    <w:p w14:paraId="5A39BA1A" w14:textId="77777777" w:rsidR="009E0E94" w:rsidRPr="008C1ACC" w:rsidRDefault="009E0E94" w:rsidP="009E0E94">
      <w:pPr>
        <w:pStyle w:val="ppoHeading4Green"/>
        <w:rPr>
          <w:caps/>
          <w:noProof/>
        </w:rPr>
      </w:pPr>
      <w:r w:rsidRPr="008C1ACC">
        <w:rPr>
          <w:noProof/>
        </w:rPr>
        <w:t>Implementation and performance</w:t>
      </w:r>
    </w:p>
    <w:p w14:paraId="73A56463" w14:textId="77777777" w:rsidR="009E0E94" w:rsidRPr="008C1ACC" w:rsidRDefault="009E0E94" w:rsidP="009E0E94">
      <w:pPr>
        <w:pStyle w:val="ppoHeading5"/>
        <w:rPr>
          <w:noProof/>
        </w:rPr>
      </w:pPr>
      <w:r w:rsidRPr="008C1ACC">
        <w:rPr>
          <w:noProof/>
        </w:rPr>
        <w:t>Budget</w:t>
      </w:r>
    </w:p>
    <w:p w14:paraId="2B092E37" w14:textId="77777777" w:rsidR="009E0E94" w:rsidRPr="008C1ACC" w:rsidRDefault="009E0E94" w:rsidP="009E0E94">
      <w:pPr>
        <w:pStyle w:val="ppoTableTabletitle"/>
        <w:rPr>
          <w:noProof/>
        </w:rPr>
      </w:pPr>
      <w:r w:rsidRPr="008C1ACC">
        <w:rPr>
          <w:noProof/>
        </w:rPr>
        <w:t>Budget programming (million 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9E0E94" w:rsidRPr="008C1ACC" w14:paraId="60B9D170" w14:textId="77777777" w:rsidTr="0083214A">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1A3EBE63" w14:textId="77777777" w:rsidR="009E0E94" w:rsidRPr="008C1ACC" w:rsidRDefault="009E0E94" w:rsidP="0083214A">
            <w:pPr>
              <w:rPr>
                <w:noProof/>
              </w:rPr>
            </w:pPr>
          </w:p>
        </w:tc>
        <w:tc>
          <w:tcPr>
            <w:tcW w:w="943" w:type="dxa"/>
            <w:noWrap/>
            <w:hideMark/>
          </w:tcPr>
          <w:p w14:paraId="741A9D99" w14:textId="77777777" w:rsidR="009E0E94" w:rsidRPr="008C1ACC" w:rsidRDefault="009E0E94" w:rsidP="0083214A">
            <w:pPr>
              <w:rPr>
                <w:noProof/>
              </w:rPr>
            </w:pPr>
            <w:r w:rsidRPr="008C1ACC">
              <w:rPr>
                <w:noProof/>
              </w:rPr>
              <w:t>2021</w:t>
            </w:r>
          </w:p>
        </w:tc>
        <w:tc>
          <w:tcPr>
            <w:tcW w:w="944" w:type="dxa"/>
            <w:noWrap/>
            <w:hideMark/>
          </w:tcPr>
          <w:p w14:paraId="3C1CFB48" w14:textId="77777777" w:rsidR="009E0E94" w:rsidRPr="008C1ACC" w:rsidRDefault="009E0E94" w:rsidP="0083214A">
            <w:pPr>
              <w:rPr>
                <w:noProof/>
              </w:rPr>
            </w:pPr>
            <w:r w:rsidRPr="008C1ACC">
              <w:rPr>
                <w:noProof/>
              </w:rPr>
              <w:t>2022</w:t>
            </w:r>
          </w:p>
        </w:tc>
        <w:tc>
          <w:tcPr>
            <w:tcW w:w="943" w:type="dxa"/>
            <w:noWrap/>
            <w:hideMark/>
          </w:tcPr>
          <w:p w14:paraId="3EE0C702" w14:textId="77777777" w:rsidR="009E0E94" w:rsidRPr="008C1ACC" w:rsidRDefault="009E0E94" w:rsidP="0083214A">
            <w:pPr>
              <w:rPr>
                <w:noProof/>
              </w:rPr>
            </w:pPr>
            <w:r w:rsidRPr="008C1ACC">
              <w:rPr>
                <w:noProof/>
              </w:rPr>
              <w:t>2023</w:t>
            </w:r>
          </w:p>
        </w:tc>
        <w:tc>
          <w:tcPr>
            <w:tcW w:w="944" w:type="dxa"/>
            <w:noWrap/>
            <w:hideMark/>
          </w:tcPr>
          <w:p w14:paraId="503F6700" w14:textId="77777777" w:rsidR="009E0E94" w:rsidRPr="008C1ACC" w:rsidRDefault="009E0E94" w:rsidP="0083214A">
            <w:pPr>
              <w:rPr>
                <w:noProof/>
              </w:rPr>
            </w:pPr>
            <w:r w:rsidRPr="008C1ACC">
              <w:rPr>
                <w:noProof/>
              </w:rPr>
              <w:t>2024</w:t>
            </w:r>
          </w:p>
        </w:tc>
        <w:tc>
          <w:tcPr>
            <w:tcW w:w="944" w:type="dxa"/>
            <w:noWrap/>
            <w:hideMark/>
          </w:tcPr>
          <w:p w14:paraId="2B5F4B96" w14:textId="77777777" w:rsidR="009E0E94" w:rsidRPr="008C1ACC" w:rsidRDefault="009E0E94" w:rsidP="0083214A">
            <w:pPr>
              <w:rPr>
                <w:noProof/>
              </w:rPr>
            </w:pPr>
            <w:r w:rsidRPr="008C1ACC">
              <w:rPr>
                <w:noProof/>
              </w:rPr>
              <w:t>2025</w:t>
            </w:r>
          </w:p>
        </w:tc>
        <w:tc>
          <w:tcPr>
            <w:tcW w:w="943" w:type="dxa"/>
            <w:noWrap/>
            <w:hideMark/>
          </w:tcPr>
          <w:p w14:paraId="01E37224" w14:textId="77777777" w:rsidR="009E0E94" w:rsidRPr="008C1ACC" w:rsidRDefault="009E0E94" w:rsidP="0083214A">
            <w:pPr>
              <w:rPr>
                <w:noProof/>
              </w:rPr>
            </w:pPr>
            <w:r w:rsidRPr="008C1ACC">
              <w:rPr>
                <w:noProof/>
              </w:rPr>
              <w:t>2026</w:t>
            </w:r>
          </w:p>
        </w:tc>
        <w:tc>
          <w:tcPr>
            <w:tcW w:w="944" w:type="dxa"/>
            <w:noWrap/>
            <w:hideMark/>
          </w:tcPr>
          <w:p w14:paraId="0D9E8ED8" w14:textId="77777777" w:rsidR="009E0E94" w:rsidRPr="008C1ACC" w:rsidRDefault="009E0E94" w:rsidP="0083214A">
            <w:pPr>
              <w:rPr>
                <w:noProof/>
              </w:rPr>
            </w:pPr>
            <w:r w:rsidRPr="008C1ACC">
              <w:rPr>
                <w:noProof/>
              </w:rPr>
              <w:t>2027</w:t>
            </w:r>
          </w:p>
        </w:tc>
        <w:tc>
          <w:tcPr>
            <w:tcW w:w="944" w:type="dxa"/>
            <w:noWrap/>
            <w:hideMark/>
          </w:tcPr>
          <w:p w14:paraId="16DABE0E" w14:textId="77777777" w:rsidR="009E0E94" w:rsidRPr="008C1ACC" w:rsidRDefault="009E0E94" w:rsidP="0083214A">
            <w:pPr>
              <w:rPr>
                <w:noProof/>
              </w:rPr>
            </w:pPr>
            <w:r w:rsidRPr="008C1ACC">
              <w:rPr>
                <w:noProof/>
              </w:rPr>
              <w:t>Total</w:t>
            </w:r>
          </w:p>
        </w:tc>
      </w:tr>
      <w:tr w:rsidR="009E0E94" w:rsidRPr="008C1ACC" w14:paraId="27EFFFFD" w14:textId="77777777" w:rsidTr="00304A2B">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53A491EC" w14:textId="77777777" w:rsidR="009E0E94" w:rsidRPr="008C1ACC" w:rsidRDefault="009E0E94" w:rsidP="0083214A">
            <w:pPr>
              <w:rPr>
                <w:noProof/>
              </w:rPr>
            </w:pPr>
            <w:r w:rsidRPr="008C1ACC">
              <w:rPr>
                <w:noProof/>
              </w:rPr>
              <w:t>Financial programming</w:t>
            </w:r>
          </w:p>
        </w:tc>
        <w:tc>
          <w:tcPr>
            <w:tcW w:w="943" w:type="dxa"/>
            <w:noWrap/>
            <w:hideMark/>
          </w:tcPr>
          <w:p w14:paraId="6B7EFB93" w14:textId="77777777" w:rsidR="009E0E94" w:rsidRPr="008C1ACC" w:rsidRDefault="009E0E94" w:rsidP="0083214A">
            <w:pPr>
              <w:jc w:val="center"/>
              <w:rPr>
                <w:noProof/>
              </w:rPr>
            </w:pPr>
            <w:r w:rsidRPr="008C1ACC">
              <w:rPr>
                <w:noProof/>
              </w:rPr>
              <w:t>98.9</w:t>
            </w:r>
          </w:p>
        </w:tc>
        <w:tc>
          <w:tcPr>
            <w:tcW w:w="944" w:type="dxa"/>
            <w:noWrap/>
            <w:hideMark/>
          </w:tcPr>
          <w:p w14:paraId="01862560" w14:textId="77777777" w:rsidR="009E0E94" w:rsidRPr="008C1ACC" w:rsidRDefault="009E0E94" w:rsidP="0083214A">
            <w:pPr>
              <w:jc w:val="center"/>
              <w:rPr>
                <w:noProof/>
              </w:rPr>
            </w:pPr>
            <w:r w:rsidRPr="008C1ACC">
              <w:rPr>
                <w:noProof/>
              </w:rPr>
              <w:t>214.9</w:t>
            </w:r>
          </w:p>
        </w:tc>
        <w:tc>
          <w:tcPr>
            <w:tcW w:w="943" w:type="dxa"/>
            <w:noWrap/>
            <w:vAlign w:val="bottom"/>
            <w:hideMark/>
          </w:tcPr>
          <w:p w14:paraId="125487CE" w14:textId="1877C245" w:rsidR="009E0E94" w:rsidRPr="008C1ACC" w:rsidRDefault="009E0E94" w:rsidP="0083214A">
            <w:pPr>
              <w:jc w:val="center"/>
              <w:rPr>
                <w:noProof/>
              </w:rPr>
            </w:pPr>
            <w:r>
              <w:rPr>
                <w:rFonts w:ascii="Calibri" w:hAnsi="Calibri" w:cs="Calibri"/>
                <w:noProof/>
                <w:color w:val="000000"/>
              </w:rPr>
              <w:t>212.3</w:t>
            </w:r>
          </w:p>
        </w:tc>
        <w:tc>
          <w:tcPr>
            <w:tcW w:w="944" w:type="dxa"/>
            <w:noWrap/>
            <w:vAlign w:val="bottom"/>
            <w:hideMark/>
          </w:tcPr>
          <w:p w14:paraId="4FEA9897" w14:textId="45647E66" w:rsidR="009E0E94" w:rsidRPr="008C1ACC" w:rsidRDefault="009E0E94" w:rsidP="0083214A">
            <w:pPr>
              <w:jc w:val="center"/>
              <w:rPr>
                <w:noProof/>
              </w:rPr>
            </w:pPr>
            <w:r>
              <w:rPr>
                <w:rFonts w:ascii="Calibri" w:hAnsi="Calibri" w:cs="Calibri"/>
                <w:noProof/>
                <w:color w:val="000000"/>
              </w:rPr>
              <w:t>92.1</w:t>
            </w:r>
          </w:p>
        </w:tc>
        <w:tc>
          <w:tcPr>
            <w:tcW w:w="944" w:type="dxa"/>
            <w:noWrap/>
            <w:vAlign w:val="bottom"/>
            <w:hideMark/>
          </w:tcPr>
          <w:p w14:paraId="75ECCB61" w14:textId="3B51E4C6" w:rsidR="009E0E94" w:rsidRPr="008C1ACC" w:rsidRDefault="009E0E94" w:rsidP="0083214A">
            <w:pPr>
              <w:jc w:val="center"/>
              <w:rPr>
                <w:noProof/>
              </w:rPr>
            </w:pPr>
            <w:r>
              <w:rPr>
                <w:rFonts w:ascii="Calibri" w:hAnsi="Calibri" w:cs="Calibri"/>
                <w:noProof/>
                <w:color w:val="000000"/>
              </w:rPr>
              <w:t>92.2</w:t>
            </w:r>
          </w:p>
        </w:tc>
        <w:tc>
          <w:tcPr>
            <w:tcW w:w="943" w:type="dxa"/>
            <w:noWrap/>
            <w:vAlign w:val="bottom"/>
            <w:hideMark/>
          </w:tcPr>
          <w:p w14:paraId="18434DC3" w14:textId="4FC251FA" w:rsidR="009E0E94" w:rsidRPr="008C1ACC" w:rsidRDefault="009E0E94" w:rsidP="0083214A">
            <w:pPr>
              <w:jc w:val="center"/>
              <w:rPr>
                <w:noProof/>
              </w:rPr>
            </w:pPr>
            <w:r>
              <w:rPr>
                <w:rFonts w:ascii="Calibri" w:hAnsi="Calibri" w:cs="Calibri"/>
                <w:noProof/>
                <w:color w:val="000000"/>
              </w:rPr>
              <w:t>92.2</w:t>
            </w:r>
          </w:p>
        </w:tc>
        <w:tc>
          <w:tcPr>
            <w:tcW w:w="944" w:type="dxa"/>
            <w:noWrap/>
            <w:vAlign w:val="bottom"/>
            <w:hideMark/>
          </w:tcPr>
          <w:p w14:paraId="690AFFB0" w14:textId="6CCFB9B0" w:rsidR="009E0E94" w:rsidRPr="008C1ACC" w:rsidRDefault="009E0E94" w:rsidP="0083214A">
            <w:pPr>
              <w:jc w:val="center"/>
              <w:rPr>
                <w:noProof/>
              </w:rPr>
            </w:pPr>
            <w:r>
              <w:rPr>
                <w:rFonts w:ascii="Calibri" w:hAnsi="Calibri" w:cs="Calibri"/>
                <w:noProof/>
                <w:color w:val="000000"/>
              </w:rPr>
              <w:t>91.5</w:t>
            </w:r>
          </w:p>
        </w:tc>
        <w:tc>
          <w:tcPr>
            <w:tcW w:w="944" w:type="dxa"/>
            <w:noWrap/>
            <w:vAlign w:val="bottom"/>
            <w:hideMark/>
          </w:tcPr>
          <w:p w14:paraId="65FFF893" w14:textId="781374EB" w:rsidR="009E0E94" w:rsidRPr="008C1ACC" w:rsidRDefault="009E0E94" w:rsidP="0083214A">
            <w:pPr>
              <w:jc w:val="center"/>
              <w:rPr>
                <w:noProof/>
              </w:rPr>
            </w:pPr>
            <w:r>
              <w:rPr>
                <w:rFonts w:ascii="Calibri" w:hAnsi="Calibri" w:cs="Calibri"/>
                <w:noProof/>
                <w:color w:val="000000"/>
              </w:rPr>
              <w:t>894.1</w:t>
            </w:r>
          </w:p>
        </w:tc>
      </w:tr>
      <w:tr w:rsidR="009E0E94" w:rsidRPr="008C1ACC" w14:paraId="1E83A9D2"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3D3C458E" w14:textId="77777777" w:rsidR="009E0E94" w:rsidRPr="008C1ACC" w:rsidRDefault="009E0E94" w:rsidP="0083214A">
            <w:pPr>
              <w:rPr>
                <w:noProof/>
              </w:rPr>
            </w:pPr>
            <w:r w:rsidRPr="008C1ACC">
              <w:rPr>
                <w:noProof/>
              </w:rPr>
              <w:t>NextGenerationEU</w:t>
            </w:r>
          </w:p>
        </w:tc>
        <w:tc>
          <w:tcPr>
            <w:tcW w:w="943" w:type="dxa"/>
            <w:noWrap/>
            <w:hideMark/>
          </w:tcPr>
          <w:p w14:paraId="4C453EB6" w14:textId="77777777" w:rsidR="009E0E94" w:rsidRPr="008C1ACC" w:rsidRDefault="009E0E94" w:rsidP="0083214A">
            <w:pPr>
              <w:jc w:val="center"/>
              <w:rPr>
                <w:noProof/>
              </w:rPr>
            </w:pPr>
          </w:p>
        </w:tc>
        <w:tc>
          <w:tcPr>
            <w:tcW w:w="944" w:type="dxa"/>
            <w:noWrap/>
            <w:hideMark/>
          </w:tcPr>
          <w:p w14:paraId="1783BC10" w14:textId="77777777" w:rsidR="009E0E94" w:rsidRPr="008C1ACC" w:rsidRDefault="009E0E94" w:rsidP="0083214A">
            <w:pPr>
              <w:jc w:val="center"/>
              <w:rPr>
                <w:noProof/>
              </w:rPr>
            </w:pPr>
          </w:p>
        </w:tc>
        <w:tc>
          <w:tcPr>
            <w:tcW w:w="943" w:type="dxa"/>
            <w:noWrap/>
            <w:hideMark/>
          </w:tcPr>
          <w:p w14:paraId="33D27387" w14:textId="77777777" w:rsidR="009E0E94" w:rsidRPr="008C1ACC" w:rsidRDefault="009E0E94" w:rsidP="0083214A">
            <w:pPr>
              <w:jc w:val="center"/>
              <w:rPr>
                <w:noProof/>
              </w:rPr>
            </w:pPr>
          </w:p>
        </w:tc>
        <w:tc>
          <w:tcPr>
            <w:tcW w:w="944" w:type="dxa"/>
            <w:noWrap/>
            <w:hideMark/>
          </w:tcPr>
          <w:p w14:paraId="2BA6C0FC" w14:textId="77777777" w:rsidR="009E0E94" w:rsidRPr="008C1ACC" w:rsidRDefault="009E0E94" w:rsidP="0083214A">
            <w:pPr>
              <w:jc w:val="center"/>
              <w:rPr>
                <w:noProof/>
              </w:rPr>
            </w:pPr>
          </w:p>
        </w:tc>
        <w:tc>
          <w:tcPr>
            <w:tcW w:w="944" w:type="dxa"/>
            <w:noWrap/>
            <w:hideMark/>
          </w:tcPr>
          <w:p w14:paraId="37464D34" w14:textId="77777777" w:rsidR="009E0E94" w:rsidRPr="008C1ACC" w:rsidRDefault="009E0E94" w:rsidP="0083214A">
            <w:pPr>
              <w:jc w:val="center"/>
              <w:rPr>
                <w:noProof/>
              </w:rPr>
            </w:pPr>
          </w:p>
        </w:tc>
        <w:tc>
          <w:tcPr>
            <w:tcW w:w="943" w:type="dxa"/>
            <w:noWrap/>
            <w:hideMark/>
          </w:tcPr>
          <w:p w14:paraId="1F0C8C93" w14:textId="77777777" w:rsidR="009E0E94" w:rsidRPr="008C1ACC" w:rsidRDefault="009E0E94" w:rsidP="0083214A">
            <w:pPr>
              <w:jc w:val="center"/>
              <w:rPr>
                <w:noProof/>
              </w:rPr>
            </w:pPr>
          </w:p>
        </w:tc>
        <w:tc>
          <w:tcPr>
            <w:tcW w:w="944" w:type="dxa"/>
            <w:noWrap/>
            <w:hideMark/>
          </w:tcPr>
          <w:p w14:paraId="3F799E39" w14:textId="77777777" w:rsidR="009E0E94" w:rsidRPr="008C1ACC" w:rsidRDefault="009E0E94" w:rsidP="0083214A">
            <w:pPr>
              <w:jc w:val="center"/>
              <w:rPr>
                <w:noProof/>
              </w:rPr>
            </w:pPr>
          </w:p>
        </w:tc>
        <w:tc>
          <w:tcPr>
            <w:tcW w:w="944" w:type="dxa"/>
            <w:noWrap/>
            <w:hideMark/>
          </w:tcPr>
          <w:p w14:paraId="37B7BABD" w14:textId="77777777" w:rsidR="009E0E94" w:rsidRPr="008C1ACC" w:rsidRDefault="009E0E94" w:rsidP="0083214A">
            <w:pPr>
              <w:jc w:val="center"/>
              <w:rPr>
                <w:noProof/>
              </w:rPr>
            </w:pPr>
          </w:p>
        </w:tc>
      </w:tr>
      <w:tr w:rsidR="009E0E94" w:rsidRPr="008C1ACC" w14:paraId="30F27A29"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tcPr>
          <w:p w14:paraId="3C16A9DE" w14:textId="77777777" w:rsidR="009E0E94" w:rsidRPr="008C1ACC" w:rsidRDefault="009E0E94" w:rsidP="0083214A">
            <w:pPr>
              <w:rPr>
                <w:noProof/>
              </w:rPr>
            </w:pPr>
            <w:r w:rsidRPr="008C1ACC">
              <w:rPr>
                <w:noProof/>
              </w:rPr>
              <w:t>Decommitments made available again</w:t>
            </w:r>
            <w:r w:rsidRPr="008C1ACC">
              <w:rPr>
                <w:rFonts w:ascii="Calibri" w:hAnsi="Calibri" w:cs="Calibri"/>
                <w:noProof/>
              </w:rPr>
              <w:t> (</w:t>
            </w:r>
            <w:r w:rsidRPr="008C1ACC">
              <w:rPr>
                <w:noProof/>
              </w:rPr>
              <w:t>*)</w:t>
            </w:r>
          </w:p>
        </w:tc>
        <w:tc>
          <w:tcPr>
            <w:tcW w:w="943" w:type="dxa"/>
            <w:noWrap/>
          </w:tcPr>
          <w:p w14:paraId="4C7F758D" w14:textId="77777777" w:rsidR="009E0E94" w:rsidRPr="008C1ACC" w:rsidRDefault="009E0E94" w:rsidP="0083214A">
            <w:pPr>
              <w:jc w:val="center"/>
              <w:rPr>
                <w:noProof/>
              </w:rPr>
            </w:pPr>
            <w:r>
              <w:rPr>
                <w:noProof/>
              </w:rPr>
              <w:t>N/A</w:t>
            </w:r>
          </w:p>
        </w:tc>
        <w:tc>
          <w:tcPr>
            <w:tcW w:w="944" w:type="dxa"/>
            <w:noWrap/>
          </w:tcPr>
          <w:p w14:paraId="50CD7C23" w14:textId="77777777" w:rsidR="009E0E94" w:rsidRPr="008C1ACC" w:rsidRDefault="009E0E94" w:rsidP="0083214A">
            <w:pPr>
              <w:jc w:val="center"/>
              <w:rPr>
                <w:noProof/>
              </w:rPr>
            </w:pPr>
          </w:p>
        </w:tc>
        <w:tc>
          <w:tcPr>
            <w:tcW w:w="943" w:type="dxa"/>
            <w:noWrap/>
          </w:tcPr>
          <w:p w14:paraId="7620235A" w14:textId="77777777" w:rsidR="009E0E94" w:rsidRPr="008C1ACC" w:rsidRDefault="009E0E94" w:rsidP="0083214A">
            <w:pPr>
              <w:jc w:val="center"/>
              <w:rPr>
                <w:noProof/>
              </w:rPr>
            </w:pPr>
          </w:p>
        </w:tc>
        <w:tc>
          <w:tcPr>
            <w:tcW w:w="944" w:type="dxa"/>
            <w:noWrap/>
          </w:tcPr>
          <w:p w14:paraId="49F92F54" w14:textId="77777777" w:rsidR="009E0E94" w:rsidRPr="008C1ACC" w:rsidRDefault="009E0E94" w:rsidP="0083214A">
            <w:pPr>
              <w:jc w:val="center"/>
              <w:rPr>
                <w:noProof/>
              </w:rPr>
            </w:pPr>
          </w:p>
        </w:tc>
        <w:tc>
          <w:tcPr>
            <w:tcW w:w="944" w:type="dxa"/>
            <w:noWrap/>
          </w:tcPr>
          <w:p w14:paraId="77997843" w14:textId="77777777" w:rsidR="009E0E94" w:rsidRPr="008C1ACC" w:rsidRDefault="009E0E94" w:rsidP="0083214A">
            <w:pPr>
              <w:jc w:val="center"/>
              <w:rPr>
                <w:noProof/>
              </w:rPr>
            </w:pPr>
          </w:p>
        </w:tc>
        <w:tc>
          <w:tcPr>
            <w:tcW w:w="943" w:type="dxa"/>
            <w:noWrap/>
          </w:tcPr>
          <w:p w14:paraId="55A79EDF" w14:textId="77777777" w:rsidR="009E0E94" w:rsidRPr="008C1ACC" w:rsidRDefault="009E0E94" w:rsidP="0083214A">
            <w:pPr>
              <w:jc w:val="center"/>
              <w:rPr>
                <w:noProof/>
              </w:rPr>
            </w:pPr>
          </w:p>
        </w:tc>
        <w:tc>
          <w:tcPr>
            <w:tcW w:w="944" w:type="dxa"/>
            <w:noWrap/>
          </w:tcPr>
          <w:p w14:paraId="1A86A6A8" w14:textId="77777777" w:rsidR="009E0E94" w:rsidRPr="008C1ACC" w:rsidRDefault="009E0E94" w:rsidP="0083214A">
            <w:pPr>
              <w:jc w:val="center"/>
              <w:rPr>
                <w:noProof/>
              </w:rPr>
            </w:pPr>
          </w:p>
        </w:tc>
        <w:tc>
          <w:tcPr>
            <w:tcW w:w="944" w:type="dxa"/>
            <w:noWrap/>
          </w:tcPr>
          <w:p w14:paraId="3AB4461C" w14:textId="77777777" w:rsidR="009E0E94" w:rsidRPr="008C1ACC" w:rsidRDefault="009E0E94" w:rsidP="0083214A">
            <w:pPr>
              <w:jc w:val="center"/>
              <w:rPr>
                <w:noProof/>
              </w:rPr>
            </w:pPr>
            <w:r>
              <w:rPr>
                <w:noProof/>
              </w:rPr>
              <w:t>N/A</w:t>
            </w:r>
          </w:p>
        </w:tc>
      </w:tr>
      <w:tr w:rsidR="009E0E94" w:rsidRPr="008C1ACC" w14:paraId="66B5A23D"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61455680" w14:textId="77777777" w:rsidR="009E0E94" w:rsidRPr="008C1ACC" w:rsidRDefault="009E0E94" w:rsidP="0083214A">
            <w:pPr>
              <w:rPr>
                <w:noProof/>
              </w:rPr>
            </w:pPr>
            <w:r w:rsidRPr="008C1ACC">
              <w:rPr>
                <w:noProof/>
              </w:rPr>
              <w:t>Contributions from other countries and entities</w:t>
            </w:r>
          </w:p>
        </w:tc>
        <w:tc>
          <w:tcPr>
            <w:tcW w:w="943" w:type="dxa"/>
            <w:noWrap/>
            <w:hideMark/>
          </w:tcPr>
          <w:p w14:paraId="3C146403" w14:textId="77777777" w:rsidR="009E0E94" w:rsidRPr="008C1ACC" w:rsidRDefault="009E0E94" w:rsidP="0083214A">
            <w:pPr>
              <w:jc w:val="center"/>
              <w:rPr>
                <w:noProof/>
              </w:rPr>
            </w:pPr>
            <w:r>
              <w:rPr>
                <w:noProof/>
              </w:rPr>
              <w:t>0</w:t>
            </w:r>
          </w:p>
        </w:tc>
        <w:tc>
          <w:tcPr>
            <w:tcW w:w="944" w:type="dxa"/>
            <w:noWrap/>
            <w:hideMark/>
          </w:tcPr>
          <w:p w14:paraId="754D9610" w14:textId="77777777" w:rsidR="009E0E94" w:rsidRPr="008C1ACC" w:rsidRDefault="009E0E94" w:rsidP="0083214A">
            <w:pPr>
              <w:jc w:val="center"/>
              <w:rPr>
                <w:noProof/>
              </w:rPr>
            </w:pPr>
            <w:r>
              <w:rPr>
                <w:noProof/>
              </w:rPr>
              <w:t>p.m.</w:t>
            </w:r>
          </w:p>
        </w:tc>
        <w:tc>
          <w:tcPr>
            <w:tcW w:w="943" w:type="dxa"/>
            <w:noWrap/>
            <w:hideMark/>
          </w:tcPr>
          <w:p w14:paraId="3C82CEE3" w14:textId="77777777" w:rsidR="009E0E94" w:rsidRPr="008C1ACC" w:rsidRDefault="009E0E94" w:rsidP="0083214A">
            <w:pPr>
              <w:jc w:val="center"/>
              <w:rPr>
                <w:noProof/>
              </w:rPr>
            </w:pPr>
            <w:r>
              <w:rPr>
                <w:noProof/>
              </w:rPr>
              <w:t>p.m.</w:t>
            </w:r>
          </w:p>
        </w:tc>
        <w:tc>
          <w:tcPr>
            <w:tcW w:w="944" w:type="dxa"/>
            <w:noWrap/>
            <w:hideMark/>
          </w:tcPr>
          <w:p w14:paraId="0147A3AD" w14:textId="77777777" w:rsidR="009E0E94" w:rsidRPr="008C1ACC" w:rsidRDefault="009E0E94" w:rsidP="0083214A">
            <w:pPr>
              <w:jc w:val="center"/>
              <w:rPr>
                <w:noProof/>
              </w:rPr>
            </w:pPr>
            <w:r>
              <w:rPr>
                <w:noProof/>
              </w:rPr>
              <w:t>p.m.</w:t>
            </w:r>
          </w:p>
        </w:tc>
        <w:tc>
          <w:tcPr>
            <w:tcW w:w="944" w:type="dxa"/>
            <w:noWrap/>
            <w:hideMark/>
          </w:tcPr>
          <w:p w14:paraId="345EC2B8" w14:textId="77777777" w:rsidR="009E0E94" w:rsidRPr="008C1ACC" w:rsidRDefault="009E0E94" w:rsidP="0083214A">
            <w:pPr>
              <w:jc w:val="center"/>
              <w:rPr>
                <w:noProof/>
              </w:rPr>
            </w:pPr>
            <w:r>
              <w:rPr>
                <w:noProof/>
              </w:rPr>
              <w:t>p.m.</w:t>
            </w:r>
          </w:p>
        </w:tc>
        <w:tc>
          <w:tcPr>
            <w:tcW w:w="943" w:type="dxa"/>
            <w:noWrap/>
            <w:hideMark/>
          </w:tcPr>
          <w:p w14:paraId="3260E064" w14:textId="77777777" w:rsidR="009E0E94" w:rsidRPr="008C1ACC" w:rsidRDefault="009E0E94" w:rsidP="0083214A">
            <w:pPr>
              <w:jc w:val="center"/>
              <w:rPr>
                <w:noProof/>
              </w:rPr>
            </w:pPr>
            <w:r>
              <w:rPr>
                <w:noProof/>
              </w:rPr>
              <w:t>p.m.</w:t>
            </w:r>
          </w:p>
        </w:tc>
        <w:tc>
          <w:tcPr>
            <w:tcW w:w="944" w:type="dxa"/>
            <w:noWrap/>
            <w:hideMark/>
          </w:tcPr>
          <w:p w14:paraId="498D2F9C" w14:textId="77777777" w:rsidR="009E0E94" w:rsidRPr="008C1ACC" w:rsidRDefault="009E0E94" w:rsidP="0083214A">
            <w:pPr>
              <w:jc w:val="center"/>
              <w:rPr>
                <w:noProof/>
              </w:rPr>
            </w:pPr>
            <w:r>
              <w:rPr>
                <w:noProof/>
              </w:rPr>
              <w:t>p.m.</w:t>
            </w:r>
          </w:p>
        </w:tc>
        <w:tc>
          <w:tcPr>
            <w:tcW w:w="944" w:type="dxa"/>
            <w:noWrap/>
            <w:hideMark/>
          </w:tcPr>
          <w:p w14:paraId="48685C9C" w14:textId="77777777" w:rsidR="009E0E94" w:rsidRPr="008C1ACC" w:rsidRDefault="009E0E94" w:rsidP="0083214A">
            <w:pPr>
              <w:jc w:val="center"/>
              <w:rPr>
                <w:noProof/>
              </w:rPr>
            </w:pPr>
            <w:r>
              <w:rPr>
                <w:noProof/>
              </w:rPr>
              <w:t>0</w:t>
            </w:r>
          </w:p>
        </w:tc>
      </w:tr>
    </w:tbl>
    <w:p w14:paraId="611DE8A2" w14:textId="77777777" w:rsidR="009E0E94" w:rsidRPr="008C1ACC" w:rsidRDefault="009E0E94" w:rsidP="009E0E94">
      <w:pPr>
        <w:tabs>
          <w:tab w:val="left" w:pos="6793"/>
        </w:tabs>
        <w:rPr>
          <w:noProof/>
          <w:sz w:val="18"/>
          <w:szCs w:val="18"/>
        </w:rPr>
      </w:pPr>
      <w:r w:rsidRPr="54A96DBB">
        <w:rPr>
          <w:noProof/>
          <w:sz w:val="18"/>
          <w:szCs w:val="18"/>
        </w:rPr>
        <w:t>(*) Only Article</w:t>
      </w:r>
      <w:r w:rsidRPr="54A96DBB">
        <w:rPr>
          <w:rFonts w:ascii="Calibri" w:hAnsi="Calibri" w:cs="Calibri"/>
          <w:noProof/>
          <w:sz w:val="18"/>
          <w:szCs w:val="18"/>
        </w:rPr>
        <w:t> </w:t>
      </w:r>
      <w:r w:rsidRPr="54A96DBB">
        <w:rPr>
          <w:noProof/>
          <w:sz w:val="18"/>
          <w:szCs w:val="18"/>
        </w:rPr>
        <w:t>15(3) of the financial regulation.</w:t>
      </w:r>
    </w:p>
    <w:p w14:paraId="53726CF6" w14:textId="4885ED73" w:rsidR="009E0E94" w:rsidRPr="008C1ACC" w:rsidRDefault="009E0E94" w:rsidP="00304A2B">
      <w:pPr>
        <w:pStyle w:val="ppoTableTabletitle"/>
        <w:jc w:val="center"/>
        <w:rPr>
          <w:noProof/>
        </w:rPr>
      </w:pPr>
      <w:r w:rsidRPr="00304A2B">
        <w:rPr>
          <w:noProof/>
        </w:rPr>
        <w:t>Financial programming</w:t>
      </w:r>
      <w:r w:rsidR="004C4764">
        <w:rPr>
          <w:noProof/>
        </w:rPr>
        <w:t>:</w:t>
      </w:r>
      <w:r w:rsidR="007C3D07">
        <w:rPr>
          <w:noProof/>
        </w:rPr>
        <w:t xml:space="preserve"> </w:t>
      </w:r>
      <w:r w:rsidRPr="54A96DBB">
        <w:rPr>
          <w:rStyle w:val="ppocharGreentext24pt"/>
          <w:noProof/>
        </w:rPr>
        <w:t>+ EUR 7.2 million (+</w:t>
      </w:r>
      <w:r w:rsidRPr="54A96DBB">
        <w:rPr>
          <w:rStyle w:val="ppocharGreentext24pt"/>
          <w:rFonts w:ascii="Calibri" w:hAnsi="Calibri" w:cs="Calibri"/>
          <w:noProof/>
        </w:rPr>
        <w:t> </w:t>
      </w:r>
      <w:r w:rsidRPr="54A96DBB">
        <w:rPr>
          <w:rStyle w:val="ppocharGreentext24pt"/>
          <w:noProof/>
        </w:rPr>
        <w:t xml:space="preserve">1%) </w:t>
      </w:r>
      <w:r>
        <w:rPr>
          <w:noProof/>
        </w:rPr>
        <w:t>compared to the legal basis.*</w:t>
      </w:r>
    </w:p>
    <w:p w14:paraId="67CAF899" w14:textId="3A4B2539" w:rsidR="009E0E94" w:rsidRPr="00304A2B" w:rsidRDefault="009E0E94" w:rsidP="00304A2B">
      <w:pPr>
        <w:tabs>
          <w:tab w:val="left" w:pos="6793"/>
        </w:tabs>
        <w:rPr>
          <w:noProof/>
          <w:sz w:val="18"/>
          <w:szCs w:val="18"/>
        </w:rPr>
      </w:pPr>
      <w:r w:rsidRPr="00304A2B">
        <w:rPr>
          <w:noProof/>
          <w:sz w:val="18"/>
          <w:szCs w:val="18"/>
        </w:rPr>
        <w:t xml:space="preserve">* </w:t>
      </w:r>
      <w:r w:rsidR="00427FAC">
        <w:rPr>
          <w:noProof/>
          <w:sz w:val="18"/>
          <w:szCs w:val="18"/>
        </w:rPr>
        <w:t>Top-ups pursuant to Art. 5 MFF Regulation</w:t>
      </w:r>
      <w:r w:rsidRPr="00304A2B">
        <w:rPr>
          <w:noProof/>
          <w:sz w:val="18"/>
          <w:szCs w:val="18"/>
        </w:rPr>
        <w:t xml:space="preserve"> are excluded from financial programming in this comparison.</w:t>
      </w:r>
    </w:p>
    <w:p w14:paraId="70B0009D" w14:textId="77777777" w:rsidR="009E0E94" w:rsidRPr="008C1ACC" w:rsidRDefault="009E0E94" w:rsidP="009E0E94">
      <w:pPr>
        <w:pStyle w:val="ppoTableTabletitle"/>
        <w:rPr>
          <w:b/>
          <w:noProof/>
        </w:rPr>
      </w:pPr>
      <w:r w:rsidRPr="008C1ACC">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9E0E94" w:rsidRPr="008C1ACC" w14:paraId="6BEB33BE" w14:textId="77777777" w:rsidTr="0083214A">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2B146A9E" w14:textId="77777777" w:rsidR="009E0E94" w:rsidRPr="008C1ACC" w:rsidRDefault="009E0E94" w:rsidP="0083214A">
            <w:pPr>
              <w:rPr>
                <w:noProof/>
              </w:rPr>
            </w:pPr>
          </w:p>
        </w:tc>
        <w:tc>
          <w:tcPr>
            <w:tcW w:w="2410" w:type="dxa"/>
          </w:tcPr>
          <w:p w14:paraId="494AF24F" w14:textId="77777777" w:rsidR="009E0E94" w:rsidRPr="008C1ACC" w:rsidRDefault="009E0E94" w:rsidP="0083214A">
            <w:pPr>
              <w:cnfStyle w:val="100000000000" w:firstRow="1" w:lastRow="0" w:firstColumn="0" w:lastColumn="0" w:oddVBand="0" w:evenVBand="0" w:oddHBand="0" w:evenHBand="0" w:firstRowFirstColumn="0" w:firstRowLastColumn="0" w:lastRowFirstColumn="0" w:lastRowLastColumn="0"/>
              <w:rPr>
                <w:noProof/>
              </w:rPr>
            </w:pPr>
            <w:r w:rsidRPr="008C1ACC">
              <w:rPr>
                <w:noProof/>
              </w:rPr>
              <w:t>Implementation</w:t>
            </w:r>
          </w:p>
        </w:tc>
        <w:tc>
          <w:tcPr>
            <w:tcW w:w="2410" w:type="dxa"/>
          </w:tcPr>
          <w:p w14:paraId="5B3EA268" w14:textId="302E49E1" w:rsidR="009E0E94" w:rsidRPr="008C1ACC" w:rsidRDefault="003821C6" w:rsidP="0083214A">
            <w:pPr>
              <w:cnfStyle w:val="100000000000" w:firstRow="1" w:lastRow="0" w:firstColumn="0" w:lastColumn="0" w:oddVBand="0" w:evenVBand="0" w:oddHBand="0" w:evenHBand="0" w:firstRowFirstColumn="0" w:firstRowLastColumn="0" w:lastRowFirstColumn="0" w:lastRowLastColumn="0"/>
              <w:rPr>
                <w:noProof/>
              </w:rPr>
            </w:pPr>
            <w:r>
              <w:rPr>
                <w:noProof/>
              </w:rPr>
              <w:t xml:space="preserve">2021-2027 </w:t>
            </w:r>
            <w:r w:rsidR="009E0E94" w:rsidRPr="008C1ACC">
              <w:rPr>
                <w:noProof/>
              </w:rPr>
              <w:t>Budget</w:t>
            </w:r>
          </w:p>
        </w:tc>
        <w:tc>
          <w:tcPr>
            <w:tcW w:w="2410" w:type="dxa"/>
          </w:tcPr>
          <w:p w14:paraId="0CE9443B" w14:textId="77777777" w:rsidR="009E0E94" w:rsidRPr="008C1ACC" w:rsidRDefault="009E0E94" w:rsidP="0083214A">
            <w:pPr>
              <w:cnfStyle w:val="100000000000" w:firstRow="1" w:lastRow="0" w:firstColumn="0" w:lastColumn="0" w:oddVBand="0" w:evenVBand="0" w:oddHBand="0" w:evenHBand="0" w:firstRowFirstColumn="0" w:firstRowLastColumn="0" w:lastRowFirstColumn="0" w:lastRowLastColumn="0"/>
              <w:rPr>
                <w:noProof/>
              </w:rPr>
            </w:pPr>
            <w:r w:rsidRPr="008C1ACC">
              <w:rPr>
                <w:noProof/>
              </w:rPr>
              <w:t>Implementation rate</w:t>
            </w:r>
          </w:p>
        </w:tc>
      </w:tr>
      <w:tr w:rsidR="009E0E94" w:rsidRPr="008C1ACC" w14:paraId="051FDE3C"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392CF596" w14:textId="77777777" w:rsidR="009E0E94" w:rsidRPr="008C1ACC" w:rsidRDefault="009E0E94" w:rsidP="0083214A">
            <w:pPr>
              <w:jc w:val="center"/>
              <w:rPr>
                <w:noProof/>
              </w:rPr>
            </w:pPr>
            <w:r w:rsidRPr="008C1ACC">
              <w:rPr>
                <w:noProof/>
              </w:rPr>
              <w:t>Commitment</w:t>
            </w:r>
          </w:p>
        </w:tc>
        <w:tc>
          <w:tcPr>
            <w:tcW w:w="2410" w:type="dxa"/>
          </w:tcPr>
          <w:tbl>
            <w:tblPr>
              <w:tblStyle w:val="TableGrid"/>
              <w:tblW w:w="0" w:type="auto"/>
              <w:tblLook w:val="06A0" w:firstRow="1" w:lastRow="0" w:firstColumn="1" w:lastColumn="0" w:noHBand="1" w:noVBand="1"/>
            </w:tblPr>
            <w:tblGrid>
              <w:gridCol w:w="2194"/>
            </w:tblGrid>
            <w:tr w:rsidR="009E0E94" w:rsidRPr="008C1ACC" w14:paraId="158EAFD0" w14:textId="77777777" w:rsidTr="0083214A">
              <w:trPr>
                <w:trHeight w:val="285"/>
              </w:trPr>
              <w:tc>
                <w:tcPr>
                  <w:tcW w:w="2290" w:type="dxa"/>
                  <w:tcBorders>
                    <w:top w:val="nil"/>
                    <w:left w:val="nil"/>
                    <w:bottom w:val="nil"/>
                    <w:right w:val="nil"/>
                  </w:tcBorders>
                  <w:vAlign w:val="bottom"/>
                </w:tcPr>
                <w:p w14:paraId="0CD6552F" w14:textId="77777777" w:rsidR="009E0E94" w:rsidRPr="008C1ACC" w:rsidRDefault="009E0E94" w:rsidP="0083214A">
                  <w:pPr>
                    <w:jc w:val="right"/>
                    <w:rPr>
                      <w:noProof/>
                    </w:rPr>
                  </w:pPr>
                  <w:r w:rsidRPr="008C1ACC">
                    <w:rPr>
                      <w:rFonts w:ascii="Calibri" w:hAnsi="Calibri" w:cs="Calibri"/>
                      <w:noProof/>
                      <w:color w:val="000000"/>
                    </w:rPr>
                    <w:t>98.9</w:t>
                  </w:r>
                </w:p>
              </w:tc>
            </w:tr>
          </w:tbl>
          <w:p w14:paraId="1DFB79D5" w14:textId="77777777" w:rsidR="009E0E94" w:rsidRPr="008C1ACC" w:rsidRDefault="009E0E94"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9E0E94" w:rsidRPr="008C1ACC" w14:paraId="17837D5B" w14:textId="77777777" w:rsidTr="0083214A">
              <w:trPr>
                <w:trHeight w:val="285"/>
              </w:trPr>
              <w:tc>
                <w:tcPr>
                  <w:tcW w:w="2290" w:type="dxa"/>
                  <w:tcBorders>
                    <w:top w:val="nil"/>
                    <w:left w:val="nil"/>
                    <w:bottom w:val="nil"/>
                    <w:right w:val="nil"/>
                  </w:tcBorders>
                  <w:vAlign w:val="bottom"/>
                </w:tcPr>
                <w:p w14:paraId="537DADDB" w14:textId="59A43D35" w:rsidR="009E0E94" w:rsidRPr="008C1ACC" w:rsidRDefault="009E0E94" w:rsidP="0083214A">
                  <w:pPr>
                    <w:jc w:val="right"/>
                    <w:rPr>
                      <w:noProof/>
                    </w:rPr>
                  </w:pPr>
                  <w:r w:rsidRPr="770EF297">
                    <w:rPr>
                      <w:rFonts w:ascii="Calibri" w:hAnsi="Calibri" w:cs="Calibri"/>
                      <w:noProof/>
                      <w:color w:val="000000"/>
                    </w:rPr>
                    <w:t>894.1</w:t>
                  </w:r>
                </w:p>
              </w:tc>
            </w:tr>
          </w:tbl>
          <w:p w14:paraId="2A6CDAE3" w14:textId="77777777" w:rsidR="009E0E94" w:rsidRPr="008C1ACC" w:rsidRDefault="009E0E94"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9E0E94" w:rsidRPr="008C1ACC" w14:paraId="3D3B0E88" w14:textId="77777777" w:rsidTr="0083214A">
              <w:trPr>
                <w:trHeight w:val="285"/>
              </w:trPr>
              <w:tc>
                <w:tcPr>
                  <w:tcW w:w="2290" w:type="dxa"/>
                  <w:tcBorders>
                    <w:top w:val="nil"/>
                    <w:left w:val="nil"/>
                    <w:bottom w:val="nil"/>
                    <w:right w:val="nil"/>
                  </w:tcBorders>
                  <w:vAlign w:val="bottom"/>
                </w:tcPr>
                <w:p w14:paraId="2D15ED3D" w14:textId="0CCD1092" w:rsidR="009E0E94" w:rsidRPr="008C1ACC" w:rsidRDefault="009E0E94" w:rsidP="0083214A">
                  <w:pPr>
                    <w:jc w:val="right"/>
                    <w:rPr>
                      <w:noProof/>
                    </w:rPr>
                  </w:pPr>
                  <w:r w:rsidRPr="770EF297">
                    <w:rPr>
                      <w:rFonts w:ascii="Calibri" w:hAnsi="Calibri" w:cs="Calibri"/>
                      <w:noProof/>
                      <w:color w:val="000000"/>
                    </w:rPr>
                    <w:t>11%</w:t>
                  </w:r>
                </w:p>
              </w:tc>
            </w:tr>
          </w:tbl>
          <w:p w14:paraId="1DA95B4A" w14:textId="77777777" w:rsidR="009E0E94" w:rsidRPr="008C1ACC" w:rsidRDefault="009E0E94" w:rsidP="0083214A">
            <w:pPr>
              <w:jc w:val="center"/>
              <w:cnfStyle w:val="000000000000" w:firstRow="0" w:lastRow="0" w:firstColumn="0" w:lastColumn="0" w:oddVBand="0" w:evenVBand="0" w:oddHBand="0" w:evenHBand="0" w:firstRowFirstColumn="0" w:firstRowLastColumn="0" w:lastRowFirstColumn="0" w:lastRowLastColumn="0"/>
              <w:rPr>
                <w:noProof/>
              </w:rPr>
            </w:pPr>
          </w:p>
        </w:tc>
      </w:tr>
      <w:tr w:rsidR="009E0E94" w:rsidRPr="008C1ACC" w14:paraId="6709D547"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329D47B0" w14:textId="77777777" w:rsidR="009E0E94" w:rsidRPr="008C1ACC" w:rsidRDefault="009E0E94" w:rsidP="0083214A">
            <w:pPr>
              <w:jc w:val="center"/>
              <w:rPr>
                <w:noProof/>
              </w:rPr>
            </w:pPr>
            <w:r w:rsidRPr="008C1ACC">
              <w:rPr>
                <w:noProof/>
              </w:rPr>
              <w:t>Payments</w:t>
            </w:r>
          </w:p>
        </w:tc>
        <w:tc>
          <w:tcPr>
            <w:tcW w:w="2410" w:type="dxa"/>
          </w:tcPr>
          <w:tbl>
            <w:tblPr>
              <w:tblStyle w:val="TableGrid"/>
              <w:tblW w:w="0" w:type="auto"/>
              <w:tblLook w:val="06A0" w:firstRow="1" w:lastRow="0" w:firstColumn="1" w:lastColumn="0" w:noHBand="1" w:noVBand="1"/>
            </w:tblPr>
            <w:tblGrid>
              <w:gridCol w:w="2194"/>
            </w:tblGrid>
            <w:tr w:rsidR="009E0E94" w:rsidRPr="008C1ACC" w14:paraId="1ED0B794" w14:textId="77777777" w:rsidTr="0083214A">
              <w:trPr>
                <w:trHeight w:val="285"/>
              </w:trPr>
              <w:tc>
                <w:tcPr>
                  <w:tcW w:w="2290" w:type="dxa"/>
                  <w:tcBorders>
                    <w:top w:val="nil"/>
                    <w:left w:val="nil"/>
                    <w:bottom w:val="nil"/>
                    <w:right w:val="nil"/>
                  </w:tcBorders>
                  <w:vAlign w:val="bottom"/>
                </w:tcPr>
                <w:p w14:paraId="56D40500" w14:textId="77777777" w:rsidR="009E0E94" w:rsidRPr="008C1ACC" w:rsidRDefault="009E0E94" w:rsidP="0083214A">
                  <w:pPr>
                    <w:jc w:val="right"/>
                    <w:rPr>
                      <w:noProof/>
                    </w:rPr>
                  </w:pPr>
                  <w:r w:rsidRPr="008C1ACC">
                    <w:rPr>
                      <w:rFonts w:ascii="Calibri" w:hAnsi="Calibri" w:cs="Calibri"/>
                      <w:noProof/>
                      <w:color w:val="000000"/>
                    </w:rPr>
                    <w:t>19.3</w:t>
                  </w:r>
                </w:p>
              </w:tc>
            </w:tr>
          </w:tbl>
          <w:p w14:paraId="481F75CB" w14:textId="77777777" w:rsidR="009E0E94" w:rsidRPr="008C1ACC" w:rsidRDefault="009E0E94"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79F6BC18" w14:textId="77777777" w:rsidR="009E0E94" w:rsidRPr="008C1ACC" w:rsidRDefault="009E0E94"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9E0E94" w:rsidRPr="008C1ACC" w14:paraId="129B4E1B" w14:textId="77777777" w:rsidTr="0083214A">
              <w:trPr>
                <w:trHeight w:val="285"/>
              </w:trPr>
              <w:tc>
                <w:tcPr>
                  <w:tcW w:w="2235" w:type="dxa"/>
                  <w:tcBorders>
                    <w:top w:val="nil"/>
                    <w:left w:val="nil"/>
                    <w:bottom w:val="nil"/>
                    <w:right w:val="nil"/>
                  </w:tcBorders>
                  <w:vAlign w:val="bottom"/>
                </w:tcPr>
                <w:p w14:paraId="099ACC46" w14:textId="77777777" w:rsidR="009E0E94" w:rsidRPr="008C1ACC" w:rsidRDefault="009E0E94" w:rsidP="0083214A">
                  <w:pPr>
                    <w:jc w:val="right"/>
                    <w:rPr>
                      <w:noProof/>
                    </w:rPr>
                  </w:pPr>
                  <w:r w:rsidRPr="008C1ACC">
                    <w:rPr>
                      <w:rFonts w:ascii="Calibri" w:hAnsi="Calibri" w:cs="Calibri"/>
                      <w:noProof/>
                      <w:color w:val="000000"/>
                    </w:rPr>
                    <w:t>2%</w:t>
                  </w:r>
                </w:p>
              </w:tc>
            </w:tr>
          </w:tbl>
          <w:p w14:paraId="6B102FE2" w14:textId="77777777" w:rsidR="009E0E94" w:rsidRPr="008C1ACC" w:rsidRDefault="009E0E94" w:rsidP="0083214A">
            <w:pPr>
              <w:jc w:val="center"/>
              <w:cnfStyle w:val="000000000000" w:firstRow="0" w:lastRow="0" w:firstColumn="0" w:lastColumn="0" w:oddVBand="0" w:evenVBand="0" w:oddHBand="0" w:evenHBand="0" w:firstRowFirstColumn="0" w:firstRowLastColumn="0" w:lastRowFirstColumn="0" w:lastRowLastColumn="0"/>
              <w:rPr>
                <w:noProof/>
              </w:rPr>
            </w:pPr>
          </w:p>
        </w:tc>
      </w:tr>
    </w:tbl>
    <w:p w14:paraId="7F47FF72" w14:textId="77777777" w:rsidR="009E0E94" w:rsidRPr="008C1ACC" w:rsidRDefault="009E0E94" w:rsidP="009E0E94">
      <w:pPr>
        <w:pStyle w:val="ppoTableTabletitle"/>
        <w:rPr>
          <w:b/>
          <w:noProof/>
        </w:rPr>
      </w:pPr>
      <w:r w:rsidRPr="008C1ACC">
        <w:rPr>
          <w:noProof/>
        </w:rPr>
        <w:t>Voted budget implementation in 2021 (million EUR):</w:t>
      </w:r>
    </w:p>
    <w:tbl>
      <w:tblPr>
        <w:tblStyle w:val="PPO2021"/>
        <w:tblW w:w="3683" w:type="pct"/>
        <w:tblInd w:w="79" w:type="dxa"/>
        <w:tblLook w:val="04A0" w:firstRow="1" w:lastRow="0" w:firstColumn="1" w:lastColumn="0" w:noHBand="0" w:noVBand="1"/>
      </w:tblPr>
      <w:tblGrid>
        <w:gridCol w:w="2419"/>
        <w:gridCol w:w="2419"/>
        <w:gridCol w:w="2420"/>
      </w:tblGrid>
      <w:tr w:rsidR="009E0E94" w:rsidRPr="008C1ACC" w14:paraId="2104BA94" w14:textId="77777777" w:rsidTr="008321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081FC5E2" w14:textId="77777777" w:rsidR="009E0E94" w:rsidRPr="008C1ACC" w:rsidRDefault="009E0E94" w:rsidP="0083214A">
            <w:pPr>
              <w:rPr>
                <w:noProof/>
              </w:rPr>
            </w:pPr>
          </w:p>
        </w:tc>
        <w:tc>
          <w:tcPr>
            <w:tcW w:w="2419" w:type="dxa"/>
          </w:tcPr>
          <w:p w14:paraId="45F7202E" w14:textId="77777777" w:rsidR="009E0E94" w:rsidRPr="008C1ACC" w:rsidRDefault="009E0E94" w:rsidP="0083214A">
            <w:pPr>
              <w:cnfStyle w:val="100000000000" w:firstRow="1" w:lastRow="0" w:firstColumn="0" w:lastColumn="0" w:oddVBand="0" w:evenVBand="0" w:oddHBand="0" w:evenHBand="0" w:firstRowFirstColumn="0" w:firstRowLastColumn="0" w:lastRowFirstColumn="0" w:lastRowLastColumn="0"/>
              <w:rPr>
                <w:noProof/>
              </w:rPr>
            </w:pPr>
            <w:r w:rsidRPr="008C1ACC">
              <w:rPr>
                <w:noProof/>
              </w:rPr>
              <w:t>Voted budget implementation</w:t>
            </w:r>
          </w:p>
        </w:tc>
        <w:tc>
          <w:tcPr>
            <w:tcW w:w="2420" w:type="dxa"/>
          </w:tcPr>
          <w:p w14:paraId="349A5D94" w14:textId="77777777" w:rsidR="009E0E94" w:rsidRPr="008C1ACC" w:rsidRDefault="009E0E94" w:rsidP="0083214A">
            <w:pPr>
              <w:cnfStyle w:val="100000000000" w:firstRow="1" w:lastRow="0" w:firstColumn="0" w:lastColumn="0" w:oddVBand="0" w:evenVBand="0" w:oddHBand="0" w:evenHBand="0" w:firstRowFirstColumn="0" w:firstRowLastColumn="0" w:lastRowFirstColumn="0" w:lastRowLastColumn="0"/>
              <w:rPr>
                <w:noProof/>
              </w:rPr>
            </w:pPr>
            <w:r w:rsidRPr="008C1ACC">
              <w:rPr>
                <w:noProof/>
              </w:rPr>
              <w:t>Initial voted budget</w:t>
            </w:r>
          </w:p>
        </w:tc>
      </w:tr>
      <w:tr w:rsidR="009E0E94" w:rsidRPr="008C1ACC" w14:paraId="5159A3C1" w14:textId="77777777" w:rsidTr="0083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4D768200" w14:textId="77777777" w:rsidR="009E0E94" w:rsidRPr="008C1ACC" w:rsidRDefault="009E0E94" w:rsidP="0083214A">
            <w:pPr>
              <w:jc w:val="center"/>
              <w:rPr>
                <w:noProof/>
              </w:rPr>
            </w:pPr>
            <w:r w:rsidRPr="008C1ACC">
              <w:rPr>
                <w:noProof/>
              </w:rPr>
              <w:t>Commitments</w:t>
            </w:r>
          </w:p>
        </w:tc>
        <w:tc>
          <w:tcPr>
            <w:tcW w:w="2419" w:type="dxa"/>
          </w:tcPr>
          <w:p w14:paraId="566629B8" w14:textId="77777777" w:rsidR="009E0E94" w:rsidRPr="008C1ACC" w:rsidRDefault="009E0E94" w:rsidP="0083214A">
            <w:pPr>
              <w:jc w:val="center"/>
              <w:cnfStyle w:val="000000100000" w:firstRow="0" w:lastRow="0" w:firstColumn="0" w:lastColumn="0" w:oddVBand="0" w:evenVBand="0" w:oddHBand="1" w:evenHBand="0" w:firstRowFirstColumn="0" w:firstRowLastColumn="0" w:lastRowFirstColumn="0" w:lastRowLastColumn="0"/>
              <w:rPr>
                <w:noProof/>
              </w:rPr>
            </w:pPr>
            <w:r w:rsidRPr="008C1ACC">
              <w:rPr>
                <w:noProof/>
              </w:rPr>
              <w:t>98.9</w:t>
            </w:r>
          </w:p>
        </w:tc>
        <w:tc>
          <w:tcPr>
            <w:tcW w:w="2420" w:type="dxa"/>
          </w:tcPr>
          <w:p w14:paraId="285B4B04" w14:textId="77777777" w:rsidR="009E0E94" w:rsidRPr="008C1ACC" w:rsidRDefault="009E0E94" w:rsidP="0083214A">
            <w:pPr>
              <w:jc w:val="center"/>
              <w:cnfStyle w:val="000000100000" w:firstRow="0" w:lastRow="0" w:firstColumn="0" w:lastColumn="0" w:oddVBand="0" w:evenVBand="0" w:oddHBand="1" w:evenHBand="0" w:firstRowFirstColumn="0" w:firstRowLastColumn="0" w:lastRowFirstColumn="0" w:lastRowLastColumn="0"/>
              <w:rPr>
                <w:noProof/>
              </w:rPr>
            </w:pPr>
            <w:r w:rsidRPr="008C1ACC">
              <w:rPr>
                <w:noProof/>
              </w:rPr>
              <w:t>97.2</w:t>
            </w:r>
          </w:p>
        </w:tc>
      </w:tr>
      <w:tr w:rsidR="009E0E94" w:rsidRPr="008C1ACC" w14:paraId="124AB538" w14:textId="77777777" w:rsidTr="00832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76EC1201" w14:textId="77777777" w:rsidR="009E0E94" w:rsidRPr="008C1ACC" w:rsidRDefault="009E0E94" w:rsidP="0083214A">
            <w:pPr>
              <w:jc w:val="center"/>
              <w:rPr>
                <w:noProof/>
              </w:rPr>
            </w:pPr>
            <w:r w:rsidRPr="008C1ACC">
              <w:rPr>
                <w:noProof/>
              </w:rPr>
              <w:t>Payments</w:t>
            </w:r>
          </w:p>
        </w:tc>
        <w:tc>
          <w:tcPr>
            <w:tcW w:w="2419" w:type="dxa"/>
          </w:tcPr>
          <w:p w14:paraId="597BA9F8" w14:textId="77777777" w:rsidR="009E0E94" w:rsidRPr="008C1ACC" w:rsidRDefault="009E0E94" w:rsidP="0083214A">
            <w:pPr>
              <w:jc w:val="center"/>
              <w:cnfStyle w:val="000000010000" w:firstRow="0" w:lastRow="0" w:firstColumn="0" w:lastColumn="0" w:oddVBand="0" w:evenVBand="0" w:oddHBand="0" w:evenHBand="1" w:firstRowFirstColumn="0" w:firstRowLastColumn="0" w:lastRowFirstColumn="0" w:lastRowLastColumn="0"/>
              <w:rPr>
                <w:noProof/>
              </w:rPr>
            </w:pPr>
            <w:r w:rsidRPr="008C1ACC">
              <w:rPr>
                <w:noProof/>
              </w:rPr>
              <w:t>19.3</w:t>
            </w:r>
          </w:p>
        </w:tc>
        <w:tc>
          <w:tcPr>
            <w:tcW w:w="2420" w:type="dxa"/>
          </w:tcPr>
          <w:p w14:paraId="783487CD" w14:textId="77777777" w:rsidR="009E0E94" w:rsidRPr="008C1ACC" w:rsidRDefault="009E0E94" w:rsidP="0083214A">
            <w:pPr>
              <w:jc w:val="center"/>
              <w:cnfStyle w:val="000000010000" w:firstRow="0" w:lastRow="0" w:firstColumn="0" w:lastColumn="0" w:oddVBand="0" w:evenVBand="0" w:oddHBand="0" w:evenHBand="1" w:firstRowFirstColumn="0" w:firstRowLastColumn="0" w:lastRowFirstColumn="0" w:lastRowLastColumn="0"/>
              <w:rPr>
                <w:noProof/>
              </w:rPr>
            </w:pPr>
            <w:r w:rsidRPr="008C1ACC">
              <w:rPr>
                <w:noProof/>
              </w:rPr>
              <w:t>34.5</w:t>
            </w:r>
          </w:p>
        </w:tc>
      </w:tr>
    </w:tbl>
    <w:p w14:paraId="5716CEA1" w14:textId="77777777" w:rsidR="009E0E94" w:rsidRPr="008C1ACC" w:rsidRDefault="009E0E94" w:rsidP="009E0E94">
      <w:pPr>
        <w:pStyle w:val="ppoListHyphened-L1"/>
        <w:rPr>
          <w:noProof/>
        </w:rPr>
      </w:pPr>
      <w:r w:rsidRPr="008C1ACC">
        <w:rPr>
          <w:noProof/>
        </w:rPr>
        <w:t>The 2021 commitment appropriations were used for individual commitments for grants from the 2021 calls for proposals. A total of 101 grants were signed in 2021 from the 2021 calls, amounting to EUR</w:t>
      </w:r>
      <w:r w:rsidRPr="008C1ACC">
        <w:rPr>
          <w:rFonts w:ascii="Calibri" w:hAnsi="Calibri" w:cs="Calibri"/>
          <w:noProof/>
        </w:rPr>
        <w:t> </w:t>
      </w:r>
      <w:r w:rsidRPr="008C1ACC">
        <w:rPr>
          <w:noProof/>
        </w:rPr>
        <w:t>17.6 million.</w:t>
      </w:r>
    </w:p>
    <w:p w14:paraId="2101D38D" w14:textId="77777777" w:rsidR="009E0E94" w:rsidRPr="008C1ACC" w:rsidRDefault="009E0E94" w:rsidP="009E0E94">
      <w:pPr>
        <w:pStyle w:val="ppoListHyphened-L1"/>
        <w:rPr>
          <w:noProof/>
        </w:rPr>
      </w:pPr>
      <w:r w:rsidRPr="008C1ACC">
        <w:rPr>
          <w:noProof/>
        </w:rPr>
        <w:t>A global commitment will be used in 2022 to sign the remaining grants from the 2021 calls: 267 grants are still to be signed in 2022 from the 2021 calls, amounting to EUR</w:t>
      </w:r>
      <w:r w:rsidRPr="008C1ACC">
        <w:rPr>
          <w:rFonts w:ascii="Calibri" w:hAnsi="Calibri" w:cs="Calibri"/>
          <w:noProof/>
        </w:rPr>
        <w:t> </w:t>
      </w:r>
      <w:r w:rsidRPr="008C1ACC">
        <w:rPr>
          <w:noProof/>
        </w:rPr>
        <w:t>48.9</w:t>
      </w:r>
      <w:r w:rsidRPr="008C1ACC">
        <w:rPr>
          <w:rFonts w:ascii="Calibri" w:hAnsi="Calibri" w:cs="Calibri"/>
          <w:noProof/>
        </w:rPr>
        <w:t> </w:t>
      </w:r>
      <w:r w:rsidRPr="008C1ACC">
        <w:rPr>
          <w:noProof/>
        </w:rPr>
        <w:t>million.</w:t>
      </w:r>
    </w:p>
    <w:p w14:paraId="5E1D92A0" w14:textId="77777777" w:rsidR="009E0E94" w:rsidRPr="008C1ACC" w:rsidRDefault="009E0E94" w:rsidP="009E0E94">
      <w:pPr>
        <w:pStyle w:val="ppoListHyphened-L1"/>
        <w:rPr>
          <w:noProof/>
        </w:rPr>
      </w:pPr>
      <w:r w:rsidRPr="008C1ACC">
        <w:rPr>
          <w:noProof/>
        </w:rPr>
        <w:t>The programme’s implementation in 2021 was satisfactory, and the objective is now to maintain a good level of implementation in the years to come. Under the adopted 2022 budget, there will be EUR</w:t>
      </w:r>
      <w:r w:rsidRPr="008C1ACC">
        <w:rPr>
          <w:rFonts w:ascii="Calibri" w:hAnsi="Calibri" w:cs="Calibri"/>
          <w:noProof/>
        </w:rPr>
        <w:t> </w:t>
      </w:r>
      <w:r w:rsidRPr="008C1ACC">
        <w:rPr>
          <w:noProof/>
        </w:rPr>
        <w:t>214.9</w:t>
      </w:r>
      <w:r w:rsidRPr="008C1ACC">
        <w:rPr>
          <w:rFonts w:ascii="Calibri" w:hAnsi="Calibri" w:cs="Calibri"/>
          <w:noProof/>
        </w:rPr>
        <w:t> </w:t>
      </w:r>
      <w:r w:rsidRPr="008C1ACC">
        <w:rPr>
          <w:noProof/>
        </w:rPr>
        <w:t>million available to implement activities under the CERV programme in 2022. This amount also includes the additional funds voted by the European Parliament.</w:t>
      </w:r>
    </w:p>
    <w:p w14:paraId="2F8EEC20" w14:textId="77777777" w:rsidR="009E0E94" w:rsidRPr="008C1ACC" w:rsidRDefault="009E0E94" w:rsidP="009E0E94">
      <w:pPr>
        <w:pStyle w:val="ppoListHyphened-L1"/>
        <w:rPr>
          <w:noProof/>
        </w:rPr>
      </w:pPr>
      <w:r w:rsidRPr="008C1ACC">
        <w:rPr>
          <w:noProof/>
        </w:rPr>
        <w:t>The requested appropriations for the 2023 draft budget include final payments for some grants signed in 2021, pre-financing for grants to be signed in 2023 stemming from the 2022 calls and pre-financing for grants signed in 2023 from 2023 calls.</w:t>
      </w:r>
    </w:p>
    <w:p w14:paraId="190565F6" w14:textId="77777777" w:rsidR="009E0E94" w:rsidRPr="008C1ACC" w:rsidRDefault="009E0E94" w:rsidP="009E0E94">
      <w:pPr>
        <w:pStyle w:val="ppoHeading5"/>
        <w:rPr>
          <w:noProof/>
        </w:rPr>
      </w:pPr>
      <w:r w:rsidRPr="008C1ACC">
        <w:rPr>
          <w:noProof/>
        </w:rPr>
        <w:t>Contribution to horizontal priorities</w:t>
      </w:r>
    </w:p>
    <w:p w14:paraId="7F255C24" w14:textId="77777777" w:rsidR="009E0E94" w:rsidRPr="008C1ACC" w:rsidRDefault="009E0E94" w:rsidP="009E0E94">
      <w:pPr>
        <w:pStyle w:val="ppoTableTabletitle"/>
        <w:rPr>
          <w:noProof/>
        </w:rPr>
      </w:pPr>
      <w:r w:rsidRPr="008C1ACC">
        <w:rPr>
          <w:noProof/>
        </w:rPr>
        <w:t>EU budget contribution in 2021 (million EUR):</w:t>
      </w:r>
    </w:p>
    <w:tbl>
      <w:tblPr>
        <w:tblStyle w:val="PPO2021"/>
        <w:tblW w:w="9639" w:type="dxa"/>
        <w:tblInd w:w="0" w:type="dxa"/>
        <w:tblLook w:val="0420" w:firstRow="1" w:lastRow="0" w:firstColumn="0" w:lastColumn="0" w:noHBand="0" w:noVBand="1"/>
      </w:tblPr>
      <w:tblGrid>
        <w:gridCol w:w="3213"/>
        <w:gridCol w:w="3213"/>
        <w:gridCol w:w="3213"/>
      </w:tblGrid>
      <w:tr w:rsidR="009E0E94" w:rsidRPr="008C1ACC" w14:paraId="570AAC73" w14:textId="77777777" w:rsidTr="0083214A">
        <w:trPr>
          <w:cnfStyle w:val="100000000000" w:firstRow="1" w:lastRow="0" w:firstColumn="0" w:lastColumn="0" w:oddVBand="0" w:evenVBand="0" w:oddHBand="0" w:evenHBand="0" w:firstRowFirstColumn="0" w:firstRowLastColumn="0" w:lastRowFirstColumn="0" w:lastRowLastColumn="0"/>
          <w:tblHeader/>
        </w:trPr>
        <w:tc>
          <w:tcPr>
            <w:tcW w:w="3213" w:type="dxa"/>
          </w:tcPr>
          <w:p w14:paraId="574CBFBF" w14:textId="77777777" w:rsidR="009E0E94" w:rsidRPr="008C1ACC" w:rsidRDefault="009E0E94" w:rsidP="0083214A">
            <w:pPr>
              <w:rPr>
                <w:noProof/>
              </w:rPr>
            </w:pPr>
            <w:r w:rsidRPr="008C1ACC">
              <w:rPr>
                <w:noProof/>
              </w:rPr>
              <w:t>Climate</w:t>
            </w:r>
          </w:p>
        </w:tc>
        <w:tc>
          <w:tcPr>
            <w:tcW w:w="3213" w:type="dxa"/>
          </w:tcPr>
          <w:p w14:paraId="3664E72B" w14:textId="77777777" w:rsidR="009E0E94" w:rsidRPr="008C1ACC" w:rsidRDefault="009E0E94" w:rsidP="0083214A">
            <w:pPr>
              <w:rPr>
                <w:noProof/>
              </w:rPr>
            </w:pPr>
            <w:r w:rsidRPr="008C1ACC">
              <w:rPr>
                <w:noProof/>
              </w:rPr>
              <w:t>Biodiversity</w:t>
            </w:r>
          </w:p>
        </w:tc>
        <w:tc>
          <w:tcPr>
            <w:tcW w:w="3213" w:type="dxa"/>
          </w:tcPr>
          <w:p w14:paraId="58051BDC" w14:textId="77777777" w:rsidR="009E0E94" w:rsidRPr="008C1ACC" w:rsidRDefault="009E0E94" w:rsidP="0083214A">
            <w:pPr>
              <w:rPr>
                <w:noProof/>
              </w:rPr>
            </w:pPr>
            <w:r w:rsidRPr="008C1ACC">
              <w:rPr>
                <w:noProof/>
              </w:rPr>
              <w:t>Gender equality</w:t>
            </w:r>
            <w:r w:rsidRPr="008C1ACC">
              <w:rPr>
                <w:rFonts w:ascii="Calibri" w:hAnsi="Calibri" w:cs="Calibri"/>
                <w:noProof/>
              </w:rPr>
              <w:t> </w:t>
            </w:r>
            <w:r w:rsidRPr="008C1ACC">
              <w:rPr>
                <w:noProof/>
              </w:rPr>
              <w:t>(*)</w:t>
            </w:r>
          </w:p>
        </w:tc>
      </w:tr>
      <w:tr w:rsidR="009E0E94" w:rsidRPr="008C1ACC" w14:paraId="0011BFBB" w14:textId="77777777" w:rsidTr="0083214A">
        <w:trPr>
          <w:cnfStyle w:val="000000100000" w:firstRow="0" w:lastRow="0" w:firstColumn="0" w:lastColumn="0" w:oddVBand="0" w:evenVBand="0" w:oddHBand="1" w:evenHBand="0" w:firstRowFirstColumn="0" w:firstRowLastColumn="0" w:lastRowFirstColumn="0" w:lastRowLastColumn="0"/>
        </w:trPr>
        <w:tc>
          <w:tcPr>
            <w:tcW w:w="3213" w:type="dxa"/>
          </w:tcPr>
          <w:tbl>
            <w:tblPr>
              <w:tblStyle w:val="TableGrid"/>
              <w:tblW w:w="0" w:type="auto"/>
              <w:tblLook w:val="06A0" w:firstRow="1" w:lastRow="0" w:firstColumn="1" w:lastColumn="0" w:noHBand="1" w:noVBand="1"/>
            </w:tblPr>
            <w:tblGrid>
              <w:gridCol w:w="1935"/>
            </w:tblGrid>
            <w:tr w:rsidR="009E0E94" w:rsidRPr="008C1ACC" w14:paraId="794243EB" w14:textId="77777777" w:rsidTr="0083214A">
              <w:trPr>
                <w:trHeight w:val="285"/>
              </w:trPr>
              <w:tc>
                <w:tcPr>
                  <w:tcW w:w="1935" w:type="dxa"/>
                  <w:tcBorders>
                    <w:top w:val="nil"/>
                    <w:left w:val="nil"/>
                    <w:bottom w:val="nil"/>
                    <w:right w:val="nil"/>
                  </w:tcBorders>
                  <w:vAlign w:val="bottom"/>
                </w:tcPr>
                <w:p w14:paraId="4F869656" w14:textId="59997041" w:rsidR="009E0E94" w:rsidRPr="008C1ACC" w:rsidRDefault="001956B8" w:rsidP="0083214A">
                  <w:pPr>
                    <w:jc w:val="right"/>
                    <w:rPr>
                      <w:noProof/>
                    </w:rPr>
                  </w:pPr>
                  <w:r>
                    <w:rPr>
                      <w:rFonts w:ascii="Calibri" w:hAnsi="Calibri" w:cs="Calibri"/>
                      <w:noProof/>
                      <w:color w:val="000000"/>
                    </w:rPr>
                    <w:t>0.06</w:t>
                  </w:r>
                </w:p>
              </w:tc>
            </w:tr>
          </w:tbl>
          <w:p w14:paraId="7E349709" w14:textId="77777777" w:rsidR="009E0E94" w:rsidRPr="008C1ACC" w:rsidRDefault="009E0E94" w:rsidP="0083214A">
            <w:pPr>
              <w:jc w:val="center"/>
              <w:rPr>
                <w:noProof/>
              </w:rPr>
            </w:pPr>
          </w:p>
        </w:tc>
        <w:tc>
          <w:tcPr>
            <w:tcW w:w="3213" w:type="dxa"/>
          </w:tcPr>
          <w:p w14:paraId="42934076" w14:textId="77777777" w:rsidR="009E0E94" w:rsidRPr="008C1ACC" w:rsidRDefault="009E0E94" w:rsidP="0083214A">
            <w:pPr>
              <w:jc w:val="center"/>
              <w:rPr>
                <w:noProof/>
              </w:rPr>
            </w:pPr>
            <w:r w:rsidRPr="008C1ACC">
              <w:rPr>
                <w:noProof/>
              </w:rPr>
              <w:t>0</w:t>
            </w:r>
          </w:p>
        </w:tc>
        <w:tc>
          <w:tcPr>
            <w:tcW w:w="3213" w:type="dxa"/>
          </w:tcPr>
          <w:p w14:paraId="261CC303" w14:textId="77777777" w:rsidR="009E0E94" w:rsidRPr="008C1ACC" w:rsidRDefault="009E0E94" w:rsidP="0083214A">
            <w:pPr>
              <w:jc w:val="center"/>
              <w:rPr>
                <w:noProof/>
              </w:rPr>
            </w:pPr>
            <w:r w:rsidRPr="008C1ACC">
              <w:rPr>
                <w:noProof/>
              </w:rPr>
              <w:t>Score 2: 22</w:t>
            </w:r>
          </w:p>
          <w:p w14:paraId="38722341" w14:textId="77777777" w:rsidR="009E0E94" w:rsidRDefault="009E0E94" w:rsidP="0083214A">
            <w:pPr>
              <w:jc w:val="center"/>
              <w:rPr>
                <w:noProof/>
              </w:rPr>
            </w:pPr>
            <w:r w:rsidRPr="008C1ACC">
              <w:rPr>
                <w:noProof/>
              </w:rPr>
              <w:t>Score 1: 69</w:t>
            </w:r>
          </w:p>
          <w:p w14:paraId="0DBF544D" w14:textId="77777777" w:rsidR="009E0E94" w:rsidRPr="008C1ACC" w:rsidRDefault="009E0E94" w:rsidP="0083214A">
            <w:pPr>
              <w:jc w:val="center"/>
              <w:rPr>
                <w:noProof/>
              </w:rPr>
            </w:pPr>
            <w:r>
              <w:rPr>
                <w:noProof/>
              </w:rPr>
              <w:t>Score 0: 8</w:t>
            </w:r>
          </w:p>
        </w:tc>
      </w:tr>
    </w:tbl>
    <w:p w14:paraId="43F50D6C" w14:textId="77777777" w:rsidR="009E0E94" w:rsidRPr="008C1ACC" w:rsidRDefault="009E0E94" w:rsidP="009E0E94">
      <w:pPr>
        <w:pStyle w:val="FootnoteText"/>
        <w:rPr>
          <w:noProof/>
        </w:rPr>
      </w:pPr>
      <w:r w:rsidRPr="008C1ACC">
        <w:rPr>
          <w:noProof/>
        </w:rPr>
        <w:t>(*)</w:t>
      </w:r>
      <w:r w:rsidRPr="008C1ACC">
        <w:rPr>
          <w:noProof/>
        </w:rPr>
        <w:tab/>
        <w:t>Based on the applied gender contribution methodology, the following scores are attributed at the most granular level of intervention possible:</w:t>
      </w:r>
    </w:p>
    <w:p w14:paraId="2B10D3AF" w14:textId="77777777" w:rsidR="009E0E94" w:rsidRPr="008C1ACC" w:rsidRDefault="009E0E94" w:rsidP="009E0E94">
      <w:pPr>
        <w:pStyle w:val="FootnoteText"/>
        <w:numPr>
          <w:ilvl w:val="0"/>
          <w:numId w:val="38"/>
        </w:numPr>
        <w:spacing w:after="60" w:line="264" w:lineRule="auto"/>
        <w:jc w:val="left"/>
        <w:rPr>
          <w:noProof/>
        </w:rPr>
      </w:pPr>
      <w:r w:rsidRPr="008C1ACC">
        <w:rPr>
          <w:noProof/>
        </w:rPr>
        <w:t>2: interventions the principal objective of which is to improve gender equality;</w:t>
      </w:r>
    </w:p>
    <w:p w14:paraId="3F95B3D2" w14:textId="77777777" w:rsidR="009E0E94" w:rsidRPr="008C1ACC" w:rsidRDefault="009E0E94" w:rsidP="009E0E94">
      <w:pPr>
        <w:pStyle w:val="FootnoteText"/>
        <w:numPr>
          <w:ilvl w:val="0"/>
          <w:numId w:val="38"/>
        </w:numPr>
        <w:spacing w:after="60" w:line="264" w:lineRule="auto"/>
        <w:jc w:val="left"/>
        <w:rPr>
          <w:noProof/>
        </w:rPr>
      </w:pPr>
      <w:r w:rsidRPr="008C1ACC">
        <w:rPr>
          <w:noProof/>
        </w:rPr>
        <w:t>1: interventions that have gender equality as an important and deliberate objective but not as the main reason for the intervention;</w:t>
      </w:r>
    </w:p>
    <w:p w14:paraId="6D20518F" w14:textId="77777777" w:rsidR="009E0E94" w:rsidRPr="008C1ACC" w:rsidRDefault="009E0E94" w:rsidP="009E0E94">
      <w:pPr>
        <w:pStyle w:val="FootnoteText"/>
        <w:numPr>
          <w:ilvl w:val="0"/>
          <w:numId w:val="38"/>
        </w:numPr>
        <w:spacing w:after="60" w:line="264" w:lineRule="auto"/>
        <w:jc w:val="left"/>
        <w:rPr>
          <w:noProof/>
        </w:rPr>
      </w:pPr>
      <w:r w:rsidRPr="008C1ACC">
        <w:rPr>
          <w:noProof/>
        </w:rPr>
        <w:t>0: non-targeted interventions;</w:t>
      </w:r>
    </w:p>
    <w:p w14:paraId="0BE5C5BA" w14:textId="77777777" w:rsidR="009E0E94" w:rsidRPr="008C1ACC" w:rsidRDefault="009E0E94" w:rsidP="009E0E94">
      <w:pPr>
        <w:pStyle w:val="FootnoteText"/>
        <w:numPr>
          <w:ilvl w:val="0"/>
          <w:numId w:val="38"/>
        </w:numPr>
        <w:spacing w:after="60" w:line="264" w:lineRule="auto"/>
        <w:jc w:val="left"/>
        <w:rPr>
          <w:noProof/>
        </w:rPr>
      </w:pPr>
      <w:r w:rsidRPr="008C1ACC">
        <w:rPr>
          <w:noProof/>
        </w:rPr>
        <w:t>0*: score to be assigned to interventions with a likely but not yet clear positive impact on gender equality.</w:t>
      </w:r>
    </w:p>
    <w:p w14:paraId="08DF1DE8" w14:textId="77777777" w:rsidR="009E0E94" w:rsidRPr="008C1ACC" w:rsidRDefault="009E0E94" w:rsidP="009E0E94">
      <w:pPr>
        <w:pStyle w:val="ppoHeading5"/>
        <w:rPr>
          <w:noProof/>
        </w:rPr>
      </w:pPr>
      <w:r w:rsidRPr="008C1ACC">
        <w:rPr>
          <w:noProof/>
        </w:rPr>
        <w:t>Performance assessment</w:t>
      </w:r>
    </w:p>
    <w:p w14:paraId="728AFCA2" w14:textId="77777777" w:rsidR="009E0E94" w:rsidRPr="008C1ACC" w:rsidRDefault="009E0E94" w:rsidP="009E0E94">
      <w:pPr>
        <w:pStyle w:val="ppoHeading6"/>
        <w:rPr>
          <w:noProof/>
        </w:rPr>
      </w:pPr>
      <w:r w:rsidRPr="008C1ACC">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9E0E94" w:rsidRPr="008C1ACC" w14:paraId="3F9B3775" w14:textId="77777777" w:rsidTr="0083214A">
        <w:trPr>
          <w:cnfStyle w:val="100000000000" w:firstRow="1" w:lastRow="0" w:firstColumn="0" w:lastColumn="0" w:oddVBand="0" w:evenVBand="0" w:oddHBand="0" w:evenHBand="0" w:firstRowFirstColumn="0" w:firstRowLastColumn="0" w:lastRowFirstColumn="0" w:lastRowLastColumn="0"/>
        </w:trPr>
        <w:tc>
          <w:tcPr>
            <w:tcW w:w="2268" w:type="dxa"/>
          </w:tcPr>
          <w:p w14:paraId="590ACB43" w14:textId="77777777" w:rsidR="009E0E94" w:rsidRPr="008C1ACC" w:rsidRDefault="009E0E94" w:rsidP="0083214A">
            <w:pPr>
              <w:rPr>
                <w:noProof/>
              </w:rPr>
            </w:pPr>
          </w:p>
        </w:tc>
        <w:tc>
          <w:tcPr>
            <w:tcW w:w="931" w:type="dxa"/>
          </w:tcPr>
          <w:p w14:paraId="0E249F49" w14:textId="77777777" w:rsidR="009E0E94" w:rsidRPr="008C1ACC" w:rsidRDefault="009E0E94" w:rsidP="0083214A">
            <w:pPr>
              <w:rPr>
                <w:noProof/>
              </w:rPr>
            </w:pPr>
            <w:r w:rsidRPr="008C1ACC">
              <w:rPr>
                <w:noProof/>
              </w:rPr>
              <w:t>Baseline</w:t>
            </w:r>
          </w:p>
        </w:tc>
        <w:tc>
          <w:tcPr>
            <w:tcW w:w="1485" w:type="dxa"/>
          </w:tcPr>
          <w:p w14:paraId="2DFF741C" w14:textId="77777777" w:rsidR="009E0E94" w:rsidRPr="008C1ACC" w:rsidRDefault="009E0E94" w:rsidP="0083214A">
            <w:pPr>
              <w:rPr>
                <w:noProof/>
              </w:rPr>
            </w:pPr>
            <w:r w:rsidRPr="008C1ACC">
              <w:rPr>
                <w:noProof/>
              </w:rPr>
              <w:t>Progress</w:t>
            </w:r>
            <w:r w:rsidRPr="008C1ACC">
              <w:rPr>
                <w:rFonts w:ascii="Calibri" w:hAnsi="Calibri" w:cs="Calibri"/>
                <w:noProof/>
              </w:rPr>
              <w:t> </w:t>
            </w:r>
            <w:r w:rsidRPr="008C1ACC">
              <w:rPr>
                <w:noProof/>
              </w:rPr>
              <w:t>(*)</w:t>
            </w:r>
          </w:p>
        </w:tc>
        <w:tc>
          <w:tcPr>
            <w:tcW w:w="1491" w:type="dxa"/>
          </w:tcPr>
          <w:p w14:paraId="3C161FAD" w14:textId="77777777" w:rsidR="009E0E94" w:rsidRPr="008C1ACC" w:rsidRDefault="009E0E94" w:rsidP="0083214A">
            <w:pPr>
              <w:rPr>
                <w:noProof/>
              </w:rPr>
            </w:pPr>
            <w:r w:rsidRPr="008C1ACC">
              <w:rPr>
                <w:noProof/>
              </w:rPr>
              <w:t>Target</w:t>
            </w:r>
          </w:p>
        </w:tc>
        <w:tc>
          <w:tcPr>
            <w:tcW w:w="1530" w:type="dxa"/>
          </w:tcPr>
          <w:p w14:paraId="37CA10F5" w14:textId="77777777" w:rsidR="009E0E94" w:rsidRPr="008C1ACC" w:rsidRDefault="009E0E94" w:rsidP="0083214A">
            <w:pPr>
              <w:rPr>
                <w:noProof/>
              </w:rPr>
            </w:pPr>
            <w:r w:rsidRPr="008C1ACC">
              <w:rPr>
                <w:noProof/>
              </w:rPr>
              <w:t>Results</w:t>
            </w:r>
          </w:p>
        </w:tc>
        <w:tc>
          <w:tcPr>
            <w:tcW w:w="1537" w:type="dxa"/>
          </w:tcPr>
          <w:p w14:paraId="5DF94A10" w14:textId="77777777" w:rsidR="009E0E94" w:rsidRPr="008C1ACC" w:rsidRDefault="009E0E94" w:rsidP="0083214A">
            <w:pPr>
              <w:rPr>
                <w:noProof/>
              </w:rPr>
            </w:pPr>
            <w:r w:rsidRPr="008C1ACC">
              <w:rPr>
                <w:noProof/>
              </w:rPr>
              <w:t>Assessment</w:t>
            </w:r>
          </w:p>
        </w:tc>
      </w:tr>
      <w:tr w:rsidR="009E0E94" w:rsidRPr="008C1ACC" w14:paraId="565E09BA" w14:textId="77777777" w:rsidTr="0083214A">
        <w:trPr>
          <w:cnfStyle w:val="000000100000" w:firstRow="0" w:lastRow="0" w:firstColumn="0" w:lastColumn="0" w:oddVBand="0" w:evenVBand="0" w:oddHBand="1" w:evenHBand="0" w:firstRowFirstColumn="0" w:firstRowLastColumn="0" w:lastRowFirstColumn="0" w:lastRowLastColumn="0"/>
        </w:trPr>
        <w:tc>
          <w:tcPr>
            <w:tcW w:w="2268" w:type="dxa"/>
          </w:tcPr>
          <w:p w14:paraId="40AB4FB5" w14:textId="77777777" w:rsidR="009E0E94" w:rsidRPr="008C1ACC" w:rsidRDefault="009E0E94" w:rsidP="0083214A">
            <w:pPr>
              <w:rPr>
                <w:noProof/>
              </w:rPr>
            </w:pPr>
            <w:r w:rsidRPr="008C1ACC">
              <w:rPr>
                <w:noProof/>
              </w:rPr>
              <w:t>Civil-society organisations reached by support and capacity-building activities under the Union values strand</w:t>
            </w:r>
          </w:p>
        </w:tc>
        <w:tc>
          <w:tcPr>
            <w:tcW w:w="931" w:type="dxa"/>
          </w:tcPr>
          <w:p w14:paraId="071DA22F" w14:textId="77777777" w:rsidR="009E0E94" w:rsidRPr="008C1ACC" w:rsidRDefault="009E0E94" w:rsidP="0083214A">
            <w:pPr>
              <w:jc w:val="center"/>
              <w:rPr>
                <w:noProof/>
              </w:rPr>
            </w:pPr>
            <w:r w:rsidRPr="008C1ACC">
              <w:rPr>
                <w:noProof/>
              </w:rPr>
              <w:t>0</w:t>
            </w:r>
          </w:p>
        </w:tc>
        <w:tc>
          <w:tcPr>
            <w:tcW w:w="1485" w:type="dxa"/>
          </w:tcPr>
          <w:p w14:paraId="16E386DF" w14:textId="77777777" w:rsidR="009E0E94" w:rsidRPr="008C1ACC" w:rsidRDefault="009E0E94" w:rsidP="0083214A">
            <w:pPr>
              <w:jc w:val="center"/>
              <w:rPr>
                <w:b/>
                <w:noProof/>
              </w:rPr>
            </w:pPr>
            <w:r w:rsidRPr="008C1ACC">
              <w:rPr>
                <w:noProof/>
              </w:rPr>
              <w:t>1%</w:t>
            </w:r>
          </w:p>
        </w:tc>
        <w:tc>
          <w:tcPr>
            <w:tcW w:w="1491" w:type="dxa"/>
          </w:tcPr>
          <w:p w14:paraId="31B9C96B" w14:textId="2E241845" w:rsidR="009E0E94" w:rsidRPr="008C1ACC" w:rsidRDefault="009E0E94" w:rsidP="0083214A">
            <w:pPr>
              <w:jc w:val="center"/>
              <w:rPr>
                <w:noProof/>
              </w:rPr>
            </w:pPr>
            <w:r w:rsidRPr="008C1ACC">
              <w:rPr>
                <w:noProof/>
              </w:rPr>
              <w:t>6</w:t>
            </w:r>
            <w:r w:rsidRPr="008C1ACC">
              <w:rPr>
                <w:rFonts w:ascii="Calibri" w:hAnsi="Calibri" w:cs="Calibri"/>
                <w:noProof/>
              </w:rPr>
              <w:t> </w:t>
            </w:r>
            <w:r w:rsidRPr="008C1ACC">
              <w:rPr>
                <w:noProof/>
              </w:rPr>
              <w:t>300</w:t>
            </w:r>
            <w:r w:rsidR="005E33DC">
              <w:rPr>
                <w:noProof/>
              </w:rPr>
              <w:t xml:space="preserve"> in 2027</w:t>
            </w:r>
          </w:p>
        </w:tc>
        <w:tc>
          <w:tcPr>
            <w:tcW w:w="1530" w:type="dxa"/>
          </w:tcPr>
          <w:p w14:paraId="3F70CE62" w14:textId="77777777" w:rsidR="009E0E94" w:rsidRPr="008C1ACC" w:rsidRDefault="009E0E94" w:rsidP="0083214A">
            <w:pPr>
              <w:jc w:val="center"/>
              <w:rPr>
                <w:noProof/>
              </w:rPr>
            </w:pPr>
            <w:r w:rsidRPr="008C1ACC">
              <w:rPr>
                <w:noProof/>
              </w:rPr>
              <w:t>60 compared to a target of 6</w:t>
            </w:r>
            <w:r w:rsidRPr="008C1ACC">
              <w:rPr>
                <w:rFonts w:ascii="Calibri" w:hAnsi="Calibri" w:cs="Calibri"/>
                <w:noProof/>
              </w:rPr>
              <w:t> </w:t>
            </w:r>
            <w:r w:rsidRPr="008C1ACC">
              <w:rPr>
                <w:noProof/>
              </w:rPr>
              <w:t>300</w:t>
            </w:r>
          </w:p>
        </w:tc>
        <w:tc>
          <w:tcPr>
            <w:tcW w:w="1537" w:type="dxa"/>
          </w:tcPr>
          <w:p w14:paraId="65AA6E80" w14:textId="77777777" w:rsidR="009E0E94" w:rsidRPr="008C1ACC" w:rsidRDefault="009E0E94" w:rsidP="0083214A">
            <w:pPr>
              <w:jc w:val="center"/>
              <w:rPr>
                <w:noProof/>
              </w:rPr>
            </w:pPr>
            <w:r w:rsidRPr="008C1ACC">
              <w:rPr>
                <w:noProof/>
              </w:rPr>
              <w:t>On track</w:t>
            </w:r>
          </w:p>
        </w:tc>
      </w:tr>
      <w:tr w:rsidR="009E0E94" w:rsidRPr="008C1ACC" w14:paraId="26DECE6E" w14:textId="77777777" w:rsidTr="0083214A">
        <w:trPr>
          <w:cnfStyle w:val="000000010000" w:firstRow="0" w:lastRow="0" w:firstColumn="0" w:lastColumn="0" w:oddVBand="0" w:evenVBand="0" w:oddHBand="0" w:evenHBand="1" w:firstRowFirstColumn="0" w:firstRowLastColumn="0" w:lastRowFirstColumn="0" w:lastRowLastColumn="0"/>
        </w:trPr>
        <w:tc>
          <w:tcPr>
            <w:tcW w:w="2268" w:type="dxa"/>
          </w:tcPr>
          <w:p w14:paraId="70A80D9E" w14:textId="77777777" w:rsidR="009E0E94" w:rsidRPr="008C1ACC" w:rsidRDefault="009E0E94" w:rsidP="0083214A">
            <w:pPr>
              <w:rPr>
                <w:noProof/>
              </w:rPr>
            </w:pPr>
            <w:r w:rsidRPr="008C1ACC">
              <w:rPr>
                <w:noProof/>
              </w:rPr>
              <w:t>Civil-society organisations reached by support and capacity-building activities under the equality, rights and gender equality strand</w:t>
            </w:r>
          </w:p>
        </w:tc>
        <w:tc>
          <w:tcPr>
            <w:tcW w:w="931" w:type="dxa"/>
          </w:tcPr>
          <w:p w14:paraId="7A1F598F" w14:textId="77777777" w:rsidR="009E0E94" w:rsidRPr="008C1ACC" w:rsidRDefault="009E0E94" w:rsidP="0083214A">
            <w:pPr>
              <w:jc w:val="center"/>
              <w:rPr>
                <w:noProof/>
              </w:rPr>
            </w:pPr>
            <w:r w:rsidRPr="008C1ACC">
              <w:rPr>
                <w:noProof/>
              </w:rPr>
              <w:t>0</w:t>
            </w:r>
          </w:p>
        </w:tc>
        <w:tc>
          <w:tcPr>
            <w:tcW w:w="1485" w:type="dxa"/>
          </w:tcPr>
          <w:p w14:paraId="1FBBCA32" w14:textId="77777777" w:rsidR="009E0E94" w:rsidRPr="008C1ACC" w:rsidRDefault="009E0E94" w:rsidP="0083214A">
            <w:pPr>
              <w:jc w:val="center"/>
              <w:rPr>
                <w:b/>
                <w:noProof/>
              </w:rPr>
            </w:pPr>
            <w:r w:rsidRPr="008C1ACC">
              <w:rPr>
                <w:noProof/>
              </w:rPr>
              <w:t>10%</w:t>
            </w:r>
          </w:p>
        </w:tc>
        <w:tc>
          <w:tcPr>
            <w:tcW w:w="1491" w:type="dxa"/>
          </w:tcPr>
          <w:p w14:paraId="0248B4C3" w14:textId="6839C7EC" w:rsidR="009E0E94" w:rsidRPr="008C1ACC" w:rsidRDefault="009E0E94" w:rsidP="0083214A">
            <w:pPr>
              <w:jc w:val="center"/>
              <w:rPr>
                <w:noProof/>
              </w:rPr>
            </w:pPr>
            <w:r w:rsidRPr="008C1ACC">
              <w:rPr>
                <w:noProof/>
              </w:rPr>
              <w:t>847</w:t>
            </w:r>
            <w:r w:rsidR="005E33DC">
              <w:rPr>
                <w:noProof/>
              </w:rPr>
              <w:t xml:space="preserve"> in 2027</w:t>
            </w:r>
          </w:p>
        </w:tc>
        <w:tc>
          <w:tcPr>
            <w:tcW w:w="1530" w:type="dxa"/>
          </w:tcPr>
          <w:p w14:paraId="3A4B5317" w14:textId="77777777" w:rsidR="009E0E94" w:rsidRPr="008C1ACC" w:rsidRDefault="009E0E94" w:rsidP="0083214A">
            <w:pPr>
              <w:jc w:val="center"/>
              <w:rPr>
                <w:noProof/>
              </w:rPr>
            </w:pPr>
            <w:r w:rsidRPr="008C1ACC">
              <w:rPr>
                <w:noProof/>
              </w:rPr>
              <w:t>87 compared to a target of 847</w:t>
            </w:r>
          </w:p>
        </w:tc>
        <w:tc>
          <w:tcPr>
            <w:tcW w:w="1537" w:type="dxa"/>
          </w:tcPr>
          <w:p w14:paraId="76BF6050" w14:textId="77777777" w:rsidR="009E0E94" w:rsidRPr="008C1ACC" w:rsidRDefault="009E0E94" w:rsidP="0083214A">
            <w:pPr>
              <w:tabs>
                <w:tab w:val="left" w:pos="343"/>
                <w:tab w:val="center" w:pos="681"/>
              </w:tabs>
              <w:rPr>
                <w:noProof/>
              </w:rPr>
            </w:pPr>
            <w:r w:rsidRPr="008C1ACC">
              <w:rPr>
                <w:noProof/>
              </w:rPr>
              <w:tab/>
              <w:t>On track</w:t>
            </w:r>
          </w:p>
        </w:tc>
      </w:tr>
      <w:tr w:rsidR="009E0E94" w:rsidRPr="008C1ACC" w14:paraId="4375515D" w14:textId="77777777" w:rsidTr="0083214A">
        <w:trPr>
          <w:cnfStyle w:val="000000100000" w:firstRow="0" w:lastRow="0" w:firstColumn="0" w:lastColumn="0" w:oddVBand="0" w:evenVBand="0" w:oddHBand="1" w:evenHBand="0" w:firstRowFirstColumn="0" w:firstRowLastColumn="0" w:lastRowFirstColumn="0" w:lastRowLastColumn="0"/>
        </w:trPr>
        <w:tc>
          <w:tcPr>
            <w:tcW w:w="2268" w:type="dxa"/>
          </w:tcPr>
          <w:p w14:paraId="4CA2250E" w14:textId="77777777" w:rsidR="009E0E94" w:rsidRPr="008C1ACC" w:rsidRDefault="009E0E94" w:rsidP="0083214A">
            <w:pPr>
              <w:rPr>
                <w:noProof/>
              </w:rPr>
            </w:pPr>
            <w:r w:rsidRPr="008C1ACC">
              <w:rPr>
                <w:noProof/>
              </w:rPr>
              <w:t>Civil-society organisations reached by support and capacity-building activities under the citizen’s engagement and participation strand</w:t>
            </w:r>
          </w:p>
        </w:tc>
        <w:tc>
          <w:tcPr>
            <w:tcW w:w="931" w:type="dxa"/>
          </w:tcPr>
          <w:p w14:paraId="037474CA" w14:textId="77777777" w:rsidR="009E0E94" w:rsidRPr="008C1ACC" w:rsidRDefault="009E0E94" w:rsidP="0083214A">
            <w:pPr>
              <w:jc w:val="center"/>
              <w:rPr>
                <w:noProof/>
              </w:rPr>
            </w:pPr>
            <w:r w:rsidRPr="008C1ACC">
              <w:rPr>
                <w:noProof/>
              </w:rPr>
              <w:t>0</w:t>
            </w:r>
          </w:p>
        </w:tc>
        <w:tc>
          <w:tcPr>
            <w:tcW w:w="1485" w:type="dxa"/>
          </w:tcPr>
          <w:p w14:paraId="25B10FAC" w14:textId="77777777" w:rsidR="009E0E94" w:rsidRPr="008C1ACC" w:rsidRDefault="009E0E94" w:rsidP="0083214A">
            <w:pPr>
              <w:jc w:val="center"/>
              <w:rPr>
                <w:b/>
                <w:noProof/>
              </w:rPr>
            </w:pPr>
            <w:r w:rsidRPr="008C1ACC">
              <w:rPr>
                <w:noProof/>
              </w:rPr>
              <w:t>5%</w:t>
            </w:r>
          </w:p>
        </w:tc>
        <w:tc>
          <w:tcPr>
            <w:tcW w:w="1491" w:type="dxa"/>
          </w:tcPr>
          <w:p w14:paraId="14B30C5C" w14:textId="64D7759C" w:rsidR="009E0E94" w:rsidRPr="008C1ACC" w:rsidRDefault="009E0E94" w:rsidP="0083214A">
            <w:pPr>
              <w:jc w:val="center"/>
              <w:rPr>
                <w:noProof/>
              </w:rPr>
            </w:pPr>
            <w:r w:rsidRPr="008C1ACC">
              <w:rPr>
                <w:noProof/>
              </w:rPr>
              <w:t>2</w:t>
            </w:r>
            <w:r w:rsidRPr="008C1ACC">
              <w:rPr>
                <w:rFonts w:ascii="Calibri" w:hAnsi="Calibri" w:cs="Calibri"/>
                <w:noProof/>
              </w:rPr>
              <w:t> </w:t>
            </w:r>
            <w:r w:rsidRPr="008C1ACC">
              <w:rPr>
                <w:noProof/>
              </w:rPr>
              <w:t>372</w:t>
            </w:r>
            <w:r w:rsidR="005E33DC">
              <w:rPr>
                <w:noProof/>
              </w:rPr>
              <w:t xml:space="preserve"> in 2027</w:t>
            </w:r>
          </w:p>
        </w:tc>
        <w:tc>
          <w:tcPr>
            <w:tcW w:w="1530" w:type="dxa"/>
          </w:tcPr>
          <w:p w14:paraId="33EDD4DA" w14:textId="77777777" w:rsidR="009E0E94" w:rsidRPr="008C1ACC" w:rsidRDefault="009E0E94" w:rsidP="0083214A">
            <w:pPr>
              <w:jc w:val="center"/>
              <w:rPr>
                <w:noProof/>
              </w:rPr>
            </w:pPr>
            <w:r w:rsidRPr="008C1ACC">
              <w:rPr>
                <w:noProof/>
              </w:rPr>
              <w:t>129 compared to a target of 2</w:t>
            </w:r>
            <w:r w:rsidRPr="008C1ACC">
              <w:rPr>
                <w:rFonts w:ascii="Calibri" w:hAnsi="Calibri" w:cs="Calibri"/>
                <w:noProof/>
              </w:rPr>
              <w:t> </w:t>
            </w:r>
            <w:r w:rsidRPr="008C1ACC">
              <w:rPr>
                <w:noProof/>
              </w:rPr>
              <w:t>372</w:t>
            </w:r>
          </w:p>
        </w:tc>
        <w:tc>
          <w:tcPr>
            <w:tcW w:w="1537" w:type="dxa"/>
          </w:tcPr>
          <w:p w14:paraId="460B8836" w14:textId="77777777" w:rsidR="009E0E94" w:rsidRPr="008C1ACC" w:rsidRDefault="009E0E94" w:rsidP="0083214A">
            <w:pPr>
              <w:jc w:val="center"/>
              <w:rPr>
                <w:noProof/>
              </w:rPr>
            </w:pPr>
            <w:r w:rsidRPr="008C1ACC">
              <w:rPr>
                <w:noProof/>
              </w:rPr>
              <w:t>On track</w:t>
            </w:r>
          </w:p>
        </w:tc>
      </w:tr>
      <w:tr w:rsidR="009E0E94" w:rsidRPr="008C1ACC" w14:paraId="1C7441C2" w14:textId="77777777" w:rsidTr="0083214A">
        <w:trPr>
          <w:cnfStyle w:val="000000010000" w:firstRow="0" w:lastRow="0" w:firstColumn="0" w:lastColumn="0" w:oddVBand="0" w:evenVBand="0" w:oddHBand="0" w:evenHBand="1" w:firstRowFirstColumn="0" w:firstRowLastColumn="0" w:lastRowFirstColumn="0" w:lastRowLastColumn="0"/>
        </w:trPr>
        <w:tc>
          <w:tcPr>
            <w:tcW w:w="2268" w:type="dxa"/>
          </w:tcPr>
          <w:p w14:paraId="06BF3D26" w14:textId="77777777" w:rsidR="009E0E94" w:rsidRPr="008C1ACC" w:rsidRDefault="009E0E94" w:rsidP="0083214A">
            <w:pPr>
              <w:rPr>
                <w:noProof/>
              </w:rPr>
            </w:pPr>
            <w:r w:rsidRPr="008C1ACC">
              <w:rPr>
                <w:noProof/>
              </w:rPr>
              <w:t>Civil-society organisations reached by support and capacity-building activities under the Daphne strand</w:t>
            </w:r>
          </w:p>
        </w:tc>
        <w:tc>
          <w:tcPr>
            <w:tcW w:w="931" w:type="dxa"/>
          </w:tcPr>
          <w:p w14:paraId="71997E8B" w14:textId="77777777" w:rsidR="009E0E94" w:rsidRPr="008C1ACC" w:rsidRDefault="009E0E94" w:rsidP="0083214A">
            <w:pPr>
              <w:jc w:val="center"/>
              <w:rPr>
                <w:noProof/>
              </w:rPr>
            </w:pPr>
            <w:r w:rsidRPr="008C1ACC">
              <w:rPr>
                <w:noProof/>
              </w:rPr>
              <w:t>0</w:t>
            </w:r>
          </w:p>
        </w:tc>
        <w:tc>
          <w:tcPr>
            <w:tcW w:w="1485" w:type="dxa"/>
          </w:tcPr>
          <w:p w14:paraId="28988CFD" w14:textId="77777777" w:rsidR="009E0E94" w:rsidRPr="008C1ACC" w:rsidRDefault="009E0E94" w:rsidP="0083214A">
            <w:pPr>
              <w:jc w:val="center"/>
              <w:rPr>
                <w:b/>
                <w:noProof/>
              </w:rPr>
            </w:pPr>
            <w:r w:rsidRPr="008C1ACC">
              <w:rPr>
                <w:noProof/>
              </w:rPr>
              <w:t>12%</w:t>
            </w:r>
          </w:p>
          <w:p w14:paraId="7F658E5D" w14:textId="77777777" w:rsidR="009E0E94" w:rsidRPr="008C1ACC" w:rsidRDefault="009E0E94" w:rsidP="0083214A">
            <w:pPr>
              <w:jc w:val="center"/>
              <w:rPr>
                <w:noProof/>
              </w:rPr>
            </w:pPr>
          </w:p>
        </w:tc>
        <w:tc>
          <w:tcPr>
            <w:tcW w:w="1491" w:type="dxa"/>
          </w:tcPr>
          <w:p w14:paraId="7613786C" w14:textId="3EEAA4B3" w:rsidR="009E0E94" w:rsidRPr="008C1ACC" w:rsidRDefault="009E0E94" w:rsidP="0083214A">
            <w:pPr>
              <w:jc w:val="center"/>
              <w:rPr>
                <w:noProof/>
              </w:rPr>
            </w:pPr>
            <w:r w:rsidRPr="008C1ACC">
              <w:rPr>
                <w:noProof/>
              </w:rPr>
              <w:t>1</w:t>
            </w:r>
            <w:r w:rsidRPr="008C1ACC">
              <w:rPr>
                <w:rFonts w:ascii="Calibri" w:hAnsi="Calibri" w:cs="Calibri"/>
                <w:noProof/>
              </w:rPr>
              <w:t> </w:t>
            </w:r>
            <w:r w:rsidRPr="008C1ACC">
              <w:rPr>
                <w:noProof/>
              </w:rPr>
              <w:t>120</w:t>
            </w:r>
            <w:r w:rsidR="005E33DC">
              <w:rPr>
                <w:noProof/>
              </w:rPr>
              <w:t xml:space="preserve"> in 2027</w:t>
            </w:r>
          </w:p>
          <w:p w14:paraId="63FFC423" w14:textId="77777777" w:rsidR="009E0E94" w:rsidRPr="008C1ACC" w:rsidRDefault="009E0E94" w:rsidP="0083214A">
            <w:pPr>
              <w:jc w:val="center"/>
              <w:rPr>
                <w:noProof/>
              </w:rPr>
            </w:pPr>
          </w:p>
        </w:tc>
        <w:tc>
          <w:tcPr>
            <w:tcW w:w="1530" w:type="dxa"/>
          </w:tcPr>
          <w:p w14:paraId="66146B1F" w14:textId="77777777" w:rsidR="009E0E94" w:rsidRPr="008C1ACC" w:rsidRDefault="009E0E94" w:rsidP="0083214A">
            <w:pPr>
              <w:jc w:val="center"/>
              <w:rPr>
                <w:noProof/>
              </w:rPr>
            </w:pPr>
            <w:r w:rsidRPr="008C1ACC">
              <w:rPr>
                <w:noProof/>
              </w:rPr>
              <w:t>132 compared to a target of 1</w:t>
            </w:r>
            <w:r w:rsidRPr="008C1ACC">
              <w:rPr>
                <w:rFonts w:ascii="Calibri" w:hAnsi="Calibri" w:cs="Calibri"/>
                <w:noProof/>
              </w:rPr>
              <w:t> </w:t>
            </w:r>
            <w:r w:rsidRPr="008C1ACC">
              <w:rPr>
                <w:noProof/>
              </w:rPr>
              <w:t>120</w:t>
            </w:r>
          </w:p>
        </w:tc>
        <w:tc>
          <w:tcPr>
            <w:tcW w:w="1537" w:type="dxa"/>
          </w:tcPr>
          <w:p w14:paraId="385E807E" w14:textId="77777777" w:rsidR="009E0E94" w:rsidRPr="008C1ACC" w:rsidRDefault="009E0E94" w:rsidP="0083214A">
            <w:pPr>
              <w:jc w:val="center"/>
              <w:rPr>
                <w:noProof/>
              </w:rPr>
            </w:pPr>
            <w:r w:rsidRPr="008C1ACC">
              <w:rPr>
                <w:noProof/>
              </w:rPr>
              <w:t>On track</w:t>
            </w:r>
          </w:p>
        </w:tc>
      </w:tr>
      <w:tr w:rsidR="009E0E94" w:rsidRPr="008C1ACC" w14:paraId="0C63E7FC" w14:textId="77777777" w:rsidTr="0083214A">
        <w:trPr>
          <w:cnfStyle w:val="000000100000" w:firstRow="0" w:lastRow="0" w:firstColumn="0" w:lastColumn="0" w:oddVBand="0" w:evenVBand="0" w:oddHBand="1" w:evenHBand="0" w:firstRowFirstColumn="0" w:firstRowLastColumn="0" w:lastRowFirstColumn="0" w:lastRowLastColumn="0"/>
        </w:trPr>
        <w:tc>
          <w:tcPr>
            <w:tcW w:w="2268" w:type="dxa"/>
          </w:tcPr>
          <w:p w14:paraId="330B7D1A" w14:textId="77777777" w:rsidR="009E0E94" w:rsidRPr="008C1ACC" w:rsidRDefault="009E0E94" w:rsidP="0083214A">
            <w:pPr>
              <w:rPr>
                <w:noProof/>
              </w:rPr>
            </w:pPr>
            <w:r w:rsidRPr="008C1ACC">
              <w:rPr>
                <w:noProof/>
              </w:rPr>
              <w:t>Transnational networks and initiatives focusing on European memory and heritage as a result of programme intervention</w:t>
            </w:r>
          </w:p>
        </w:tc>
        <w:tc>
          <w:tcPr>
            <w:tcW w:w="931" w:type="dxa"/>
          </w:tcPr>
          <w:p w14:paraId="5ACB2F2D" w14:textId="77777777" w:rsidR="009E0E94" w:rsidRPr="008C1ACC" w:rsidRDefault="009E0E94" w:rsidP="0083214A">
            <w:pPr>
              <w:jc w:val="center"/>
              <w:rPr>
                <w:noProof/>
              </w:rPr>
            </w:pPr>
            <w:r w:rsidRPr="008C1ACC">
              <w:rPr>
                <w:noProof/>
              </w:rPr>
              <w:t>0</w:t>
            </w:r>
          </w:p>
        </w:tc>
        <w:tc>
          <w:tcPr>
            <w:tcW w:w="1485" w:type="dxa"/>
          </w:tcPr>
          <w:p w14:paraId="3FDDBE4B" w14:textId="77777777" w:rsidR="009E0E94" w:rsidRPr="008C1ACC" w:rsidRDefault="009E0E94" w:rsidP="0083214A">
            <w:pPr>
              <w:jc w:val="center"/>
              <w:rPr>
                <w:b/>
                <w:noProof/>
              </w:rPr>
            </w:pPr>
            <w:r w:rsidRPr="008C1ACC">
              <w:rPr>
                <w:noProof/>
              </w:rPr>
              <w:t>4%</w:t>
            </w:r>
          </w:p>
        </w:tc>
        <w:tc>
          <w:tcPr>
            <w:tcW w:w="1491" w:type="dxa"/>
          </w:tcPr>
          <w:p w14:paraId="38DA2122" w14:textId="16EA9962" w:rsidR="009E0E94" w:rsidRPr="008C1ACC" w:rsidRDefault="009E0E94" w:rsidP="0083214A">
            <w:pPr>
              <w:jc w:val="center"/>
              <w:rPr>
                <w:noProof/>
              </w:rPr>
            </w:pPr>
            <w:r w:rsidRPr="008C1ACC">
              <w:rPr>
                <w:noProof/>
              </w:rPr>
              <w:t>3</w:t>
            </w:r>
            <w:r w:rsidRPr="008C1ACC">
              <w:rPr>
                <w:rFonts w:ascii="Calibri" w:hAnsi="Calibri" w:cs="Calibri"/>
                <w:noProof/>
              </w:rPr>
              <w:t> </w:t>
            </w:r>
            <w:r w:rsidRPr="008C1ACC">
              <w:rPr>
                <w:noProof/>
              </w:rPr>
              <w:t>786</w:t>
            </w:r>
            <w:r w:rsidR="005E33DC">
              <w:rPr>
                <w:noProof/>
              </w:rPr>
              <w:t xml:space="preserve"> in 2027</w:t>
            </w:r>
          </w:p>
        </w:tc>
        <w:tc>
          <w:tcPr>
            <w:tcW w:w="1530" w:type="dxa"/>
          </w:tcPr>
          <w:p w14:paraId="2335DFAF" w14:textId="77777777" w:rsidR="009E0E94" w:rsidRPr="008C1ACC" w:rsidRDefault="009E0E94" w:rsidP="0083214A">
            <w:pPr>
              <w:jc w:val="center"/>
              <w:rPr>
                <w:noProof/>
              </w:rPr>
            </w:pPr>
            <w:r w:rsidRPr="008C1ACC">
              <w:rPr>
                <w:noProof/>
              </w:rPr>
              <w:t>152 compared to a target of 3</w:t>
            </w:r>
            <w:r w:rsidRPr="008C1ACC">
              <w:rPr>
                <w:rFonts w:ascii="Calibri" w:hAnsi="Calibri" w:cs="Calibri"/>
                <w:noProof/>
              </w:rPr>
              <w:t> </w:t>
            </w:r>
            <w:r w:rsidRPr="008C1ACC">
              <w:rPr>
                <w:noProof/>
              </w:rPr>
              <w:t>786</w:t>
            </w:r>
          </w:p>
        </w:tc>
        <w:tc>
          <w:tcPr>
            <w:tcW w:w="1537" w:type="dxa"/>
          </w:tcPr>
          <w:p w14:paraId="64D2F73E" w14:textId="6E7458D5" w:rsidR="009E0E94" w:rsidRPr="008C1ACC" w:rsidRDefault="00C91561" w:rsidP="0083214A">
            <w:pPr>
              <w:jc w:val="center"/>
              <w:rPr>
                <w:noProof/>
              </w:rPr>
            </w:pPr>
            <w:r>
              <w:rPr>
                <w:noProof/>
              </w:rPr>
              <w:t>Moderate progress</w:t>
            </w:r>
          </w:p>
        </w:tc>
      </w:tr>
    </w:tbl>
    <w:p w14:paraId="6FC75595" w14:textId="77777777" w:rsidR="009E0E94" w:rsidRPr="008C1ACC" w:rsidRDefault="009E0E94" w:rsidP="009E0E94">
      <w:pPr>
        <w:pStyle w:val="FootnoteText"/>
        <w:rPr>
          <w:noProof/>
        </w:rPr>
      </w:pPr>
      <w:r w:rsidRPr="008C1ACC">
        <w:rPr>
          <w:noProof/>
        </w:rPr>
        <w:t>(*) % of target achieved by the end of 2021.</w:t>
      </w:r>
    </w:p>
    <w:p w14:paraId="4D2B2752" w14:textId="77777777" w:rsidR="009E0E94" w:rsidRPr="008C1ACC" w:rsidRDefault="009E0E94" w:rsidP="009E0E94">
      <w:pPr>
        <w:pStyle w:val="FootnoteText"/>
        <w:rPr>
          <w:noProof/>
          <w:color w:val="BBB931"/>
        </w:rPr>
      </w:pPr>
    </w:p>
    <w:p w14:paraId="0B9047BD" w14:textId="77777777" w:rsidR="009E0E94" w:rsidRPr="008C1ACC" w:rsidRDefault="009E0E94" w:rsidP="009E0E94">
      <w:pPr>
        <w:pStyle w:val="ppoListHyphened-L1"/>
        <w:rPr>
          <w:noProof/>
        </w:rPr>
      </w:pPr>
      <w:r w:rsidRPr="008C1ACC">
        <w:rPr>
          <w:noProof/>
        </w:rPr>
        <w:t>2021 was an extremely challenging year, in particular due to the transition between two multiannual financial frameworks, the very late adoption of the CERV programme regulation (28</w:t>
      </w:r>
      <w:r w:rsidRPr="008C1ACC">
        <w:rPr>
          <w:rFonts w:ascii="Calibri" w:hAnsi="Calibri" w:cs="Calibri"/>
          <w:noProof/>
        </w:rPr>
        <w:t> </w:t>
      </w:r>
      <w:r w:rsidRPr="008C1ACC">
        <w:rPr>
          <w:noProof/>
        </w:rPr>
        <w:t>April 2021) and the continuation of the COVID-19 pandemic. Nevertheless, DG Justice and Consumers ensured a satisfactory level of implementation for the CERV programme, providing funding to grassroots organisations, EU networks and IT systems, and for several key activities in support of policy and legislative developments.</w:t>
      </w:r>
    </w:p>
    <w:p w14:paraId="391CD40F" w14:textId="77777777" w:rsidR="009E0E94" w:rsidRPr="008C1ACC" w:rsidRDefault="009E0E94" w:rsidP="009E0E94">
      <w:pPr>
        <w:pStyle w:val="ppoListHyphened-L1"/>
        <w:rPr>
          <w:noProof/>
        </w:rPr>
      </w:pPr>
      <w:r w:rsidRPr="008C1ACC">
        <w:rPr>
          <w:noProof/>
        </w:rPr>
        <w:t>In order to avoid delays in implementation, a number of mitigation measures were put in place. Firstly, the work programme and the call documents were developed/finalised in parallel to the finalisation of the multiannual financial framework and CERV regulations. Secondly, as soon as the CERV regulation was adopted, targeted communication activities were launched, starting with the first CERV civil dialogue week organised for 25-28</w:t>
      </w:r>
      <w:r w:rsidRPr="008C1ACC">
        <w:rPr>
          <w:rFonts w:ascii="Calibri" w:hAnsi="Calibri" w:cs="Calibri"/>
          <w:noProof/>
        </w:rPr>
        <w:t> </w:t>
      </w:r>
      <w:r w:rsidRPr="008C1ACC">
        <w:rPr>
          <w:noProof/>
        </w:rPr>
        <w:t>May 2021 to present the programme and the upcoming calls for proposals to stakeholders and potential beneficiaries. Around 1</w:t>
      </w:r>
      <w:r w:rsidRPr="008C1ACC">
        <w:rPr>
          <w:rFonts w:ascii="Calibri" w:hAnsi="Calibri" w:cs="Calibri"/>
          <w:noProof/>
        </w:rPr>
        <w:t> </w:t>
      </w:r>
      <w:r w:rsidRPr="008C1ACC">
        <w:rPr>
          <w:noProof/>
        </w:rPr>
        <w:t>000 participants attended the various sessions of the event, which</w:t>
      </w:r>
      <w:r w:rsidRPr="008C1ACC">
        <w:rPr>
          <w:rFonts w:ascii="Calibri" w:hAnsi="Calibri" w:cs="Calibri"/>
          <w:noProof/>
        </w:rPr>
        <w:t> </w:t>
      </w:r>
      <w:r w:rsidRPr="008C1ACC">
        <w:rPr>
          <w:noProof/>
        </w:rPr>
        <w:t>– along with a high-level panel with Commissioner Reynders</w:t>
      </w:r>
      <w:r w:rsidRPr="008C1ACC">
        <w:rPr>
          <w:rFonts w:ascii="Calibri" w:hAnsi="Calibri" w:cs="Calibri"/>
          <w:noProof/>
        </w:rPr>
        <w:t> </w:t>
      </w:r>
      <w:r w:rsidRPr="008C1ACC">
        <w:rPr>
          <w:noProof/>
        </w:rPr>
        <w:t>– also included hands-on technical sessions.</w:t>
      </w:r>
    </w:p>
    <w:p w14:paraId="22001858" w14:textId="77777777" w:rsidR="009E0E94" w:rsidRPr="008C1ACC" w:rsidRDefault="009E0E94" w:rsidP="009E0E94">
      <w:pPr>
        <w:pStyle w:val="ppoListHyphened-L1"/>
        <w:rPr>
          <w:noProof/>
        </w:rPr>
      </w:pPr>
      <w:r w:rsidRPr="008C1ACC">
        <w:rPr>
          <w:noProof/>
        </w:rPr>
        <w:t>As the implementation of the new programme has just begun, the results of initiatives under the programme are not yet measurable. It will take approximately 2</w:t>
      </w:r>
      <w:r w:rsidRPr="008C1ACC">
        <w:rPr>
          <w:rFonts w:ascii="Calibri" w:hAnsi="Calibri" w:cs="Calibri"/>
          <w:noProof/>
        </w:rPr>
        <w:t> </w:t>
      </w:r>
      <w:r w:rsidRPr="008C1ACC">
        <w:rPr>
          <w:noProof/>
        </w:rPr>
        <w:t>years to have meaningful data, as projects run for 20</w:t>
      </w:r>
      <w:r w:rsidRPr="008C1ACC">
        <w:rPr>
          <w:noProof/>
        </w:rPr>
        <w:noBreakHyphen/>
        <w:t>24 months on average. Some indicator results are also not available for this reason.</w:t>
      </w:r>
    </w:p>
    <w:p w14:paraId="78B2BA16" w14:textId="77777777" w:rsidR="009E0E94" w:rsidRPr="008C1ACC" w:rsidRDefault="009E0E94" w:rsidP="009E0E94">
      <w:pPr>
        <w:pStyle w:val="ppoListHyphened-L1"/>
        <w:rPr>
          <w:noProof/>
        </w:rPr>
      </w:pPr>
      <w:r w:rsidRPr="008C1ACC">
        <w:rPr>
          <w:noProof/>
        </w:rPr>
        <w:t>2021 calls for proposals began to be launched in April 2021. Altogether, 14 calls for proposals were organised in the first year of the CERV programme, with a total budget of approximately EUR</w:t>
      </w:r>
      <w:r w:rsidRPr="008C1ACC">
        <w:rPr>
          <w:rFonts w:ascii="Calibri" w:hAnsi="Calibri" w:cs="Calibri"/>
          <w:noProof/>
        </w:rPr>
        <w:t> </w:t>
      </w:r>
      <w:r w:rsidRPr="008C1ACC">
        <w:rPr>
          <w:noProof/>
        </w:rPr>
        <w:t>73</w:t>
      </w:r>
      <w:r w:rsidRPr="008C1ACC">
        <w:rPr>
          <w:rFonts w:ascii="Calibri" w:hAnsi="Calibri" w:cs="Calibri"/>
          <w:noProof/>
        </w:rPr>
        <w:t> </w:t>
      </w:r>
      <w:r w:rsidRPr="008C1ACC">
        <w:rPr>
          <w:noProof/>
        </w:rPr>
        <w:t>million. Under these calls, 1</w:t>
      </w:r>
      <w:r w:rsidRPr="008C1ACC">
        <w:rPr>
          <w:rFonts w:ascii="Calibri" w:hAnsi="Calibri" w:cs="Calibri"/>
          <w:noProof/>
        </w:rPr>
        <w:t> </w:t>
      </w:r>
      <w:r w:rsidRPr="008C1ACC">
        <w:rPr>
          <w:noProof/>
        </w:rPr>
        <w:t>084 proposals have been received, of which 368 projects have been awarded funding. By January 2022, 101 grant agreements had already been signed.</w:t>
      </w:r>
    </w:p>
    <w:p w14:paraId="7B99E130" w14:textId="77777777" w:rsidR="009E0E94" w:rsidRPr="008C1ACC" w:rsidRDefault="009E0E94" w:rsidP="009E0E94">
      <w:pPr>
        <w:pStyle w:val="ppoListHyphened-L1"/>
        <w:rPr>
          <w:noProof/>
        </w:rPr>
      </w:pPr>
      <w:r w:rsidRPr="008C1ACC">
        <w:rPr>
          <w:noProof/>
        </w:rPr>
        <w:t>The Union values strand is new to the CERV programme (it did not exist under the predecessor rights, equality and citizenship programme and the Europe for citizens programme). In 2021, the strand provided more than EUR</w:t>
      </w:r>
      <w:r w:rsidRPr="008C1ACC">
        <w:rPr>
          <w:rFonts w:ascii="Calibri" w:hAnsi="Calibri" w:cs="Calibri"/>
          <w:noProof/>
        </w:rPr>
        <w:t> </w:t>
      </w:r>
      <w:r w:rsidRPr="008C1ACC">
        <w:rPr>
          <w:noProof/>
        </w:rPr>
        <w:t>31</w:t>
      </w:r>
      <w:r w:rsidRPr="008C1ACC">
        <w:rPr>
          <w:rFonts w:ascii="Calibri" w:hAnsi="Calibri" w:cs="Calibri"/>
          <w:noProof/>
        </w:rPr>
        <w:t> </w:t>
      </w:r>
      <w:r w:rsidRPr="008C1ACC">
        <w:rPr>
          <w:noProof/>
        </w:rPr>
        <w:t>million for initiatives</w:t>
      </w:r>
      <w:r w:rsidRPr="008C1ACC" w:rsidDel="00DE21C7">
        <w:rPr>
          <w:noProof/>
        </w:rPr>
        <w:t xml:space="preserve"> </w:t>
      </w:r>
      <w:r w:rsidRPr="008C1ACC">
        <w:rPr>
          <w:noProof/>
        </w:rPr>
        <w:t>promoting and protecting fundamental rights, the rule of law and democracy. The objective is to nurture and sustain a rights-based, equal, open, pluralist, inclusive and democratic society and to empower independent civil-society organisations, which are facing increasing challenges.</w:t>
      </w:r>
    </w:p>
    <w:p w14:paraId="5960F0BD" w14:textId="77777777" w:rsidR="009E0E94" w:rsidRPr="008C1ACC" w:rsidRDefault="009E0E94" w:rsidP="009E0E94">
      <w:pPr>
        <w:pStyle w:val="ppoListHyphened-L1"/>
        <w:rPr>
          <w:noProof/>
        </w:rPr>
      </w:pPr>
      <w:r w:rsidRPr="008C1ACC">
        <w:rPr>
          <w:noProof/>
        </w:rPr>
        <w:t>Under the equality, rights and gender equality strand, about EUR</w:t>
      </w:r>
      <w:r w:rsidRPr="008C1ACC">
        <w:rPr>
          <w:rFonts w:ascii="Calibri" w:hAnsi="Calibri" w:cs="Calibri"/>
          <w:noProof/>
        </w:rPr>
        <w:t> </w:t>
      </w:r>
      <w:r w:rsidRPr="008C1ACC">
        <w:rPr>
          <w:noProof/>
        </w:rPr>
        <w:t>27.9</w:t>
      </w:r>
      <w:r w:rsidRPr="008C1ACC">
        <w:rPr>
          <w:rFonts w:ascii="Calibri" w:hAnsi="Calibri" w:cs="Calibri"/>
          <w:noProof/>
        </w:rPr>
        <w:t> </w:t>
      </w:r>
      <w:r w:rsidRPr="008C1ACC">
        <w:rPr>
          <w:noProof/>
        </w:rPr>
        <w:t>million has been provided to support initiatives</w:t>
      </w:r>
      <w:r w:rsidRPr="008C1ACC" w:rsidDel="00DE21C7">
        <w:rPr>
          <w:noProof/>
        </w:rPr>
        <w:t xml:space="preserve"> </w:t>
      </w:r>
      <w:r w:rsidRPr="008C1ACC">
        <w:rPr>
          <w:noProof/>
        </w:rPr>
        <w:t>promoting equality, tackling discrimination and improving responses to racism and xenophobia in the form of hate speech and hate crime, both online and offline. Altogether, four calls for proposals have been organised so far.</w:t>
      </w:r>
    </w:p>
    <w:p w14:paraId="770057B3" w14:textId="77777777" w:rsidR="009E0E94" w:rsidRPr="008C1ACC" w:rsidRDefault="009E0E94" w:rsidP="009E0E94">
      <w:pPr>
        <w:pStyle w:val="ppoListHyphened-L1"/>
        <w:rPr>
          <w:noProof/>
        </w:rPr>
      </w:pPr>
      <w:r w:rsidRPr="008C1ACC">
        <w:rPr>
          <w:noProof/>
        </w:rPr>
        <w:t>The citizens’ engagement and participation strand is a successor to the Europe for citizens programme. More than EUR</w:t>
      </w:r>
      <w:r w:rsidRPr="008C1ACC">
        <w:rPr>
          <w:rFonts w:ascii="Calibri" w:hAnsi="Calibri" w:cs="Calibri"/>
          <w:noProof/>
        </w:rPr>
        <w:t> </w:t>
      </w:r>
      <w:r w:rsidRPr="008C1ACC">
        <w:rPr>
          <w:noProof/>
        </w:rPr>
        <w:t>13.4</w:t>
      </w:r>
      <w:r w:rsidRPr="008C1ACC">
        <w:rPr>
          <w:rFonts w:ascii="Calibri" w:hAnsi="Calibri" w:cs="Calibri"/>
          <w:noProof/>
        </w:rPr>
        <w:t> </w:t>
      </w:r>
      <w:r w:rsidRPr="008C1ACC">
        <w:rPr>
          <w:noProof/>
        </w:rPr>
        <w:t>million was allocated to this strand in 2021. Most of the funding was made available through calls for proposals.</w:t>
      </w:r>
    </w:p>
    <w:p w14:paraId="63317472" w14:textId="77777777" w:rsidR="009E0E94" w:rsidRPr="008C1ACC" w:rsidRDefault="009E0E94" w:rsidP="009E0E94">
      <w:pPr>
        <w:pStyle w:val="ppoListHyphened-L1"/>
        <w:rPr>
          <w:noProof/>
        </w:rPr>
      </w:pPr>
      <w:r w:rsidRPr="008C1ACC">
        <w:rPr>
          <w:noProof/>
        </w:rPr>
        <w:t>The Daphne: preventing and combating gender-based violence and violence against children strand continues the work that was carried out under the former rights, equality and citizenship programme. More than EUR</w:t>
      </w:r>
      <w:r w:rsidRPr="008C1ACC">
        <w:rPr>
          <w:rFonts w:ascii="Calibri" w:hAnsi="Calibri" w:cs="Calibri"/>
          <w:noProof/>
        </w:rPr>
        <w:t> </w:t>
      </w:r>
      <w:r w:rsidRPr="008C1ACC">
        <w:rPr>
          <w:noProof/>
        </w:rPr>
        <w:t>19.1</w:t>
      </w:r>
      <w:r w:rsidRPr="008C1ACC">
        <w:rPr>
          <w:rFonts w:ascii="Calibri" w:hAnsi="Calibri" w:cs="Calibri"/>
          <w:noProof/>
        </w:rPr>
        <w:t> </w:t>
      </w:r>
      <w:r w:rsidRPr="008C1ACC">
        <w:rPr>
          <w:noProof/>
        </w:rPr>
        <w:t>million was allocated to this strand in 2021, mostly for grants. The dedicated call for proposal, with budget of EUR</w:t>
      </w:r>
      <w:r w:rsidRPr="008C1ACC">
        <w:rPr>
          <w:rFonts w:ascii="Calibri" w:hAnsi="Calibri" w:cs="Calibri"/>
          <w:noProof/>
        </w:rPr>
        <w:t> </w:t>
      </w:r>
      <w:r w:rsidRPr="008C1ACC">
        <w:rPr>
          <w:noProof/>
        </w:rPr>
        <w:t>17.7</w:t>
      </w:r>
      <w:r w:rsidRPr="008C1ACC">
        <w:rPr>
          <w:rFonts w:ascii="Calibri" w:hAnsi="Calibri" w:cs="Calibri"/>
          <w:noProof/>
        </w:rPr>
        <w:t> </w:t>
      </w:r>
      <w:r w:rsidRPr="008C1ACC">
        <w:rPr>
          <w:noProof/>
        </w:rPr>
        <w:t>million, finances projects on early detection and prevention and support for women, children and LGBTIQ victims or potential victims of violence, with a specific focus on situations emerging from the COVID-19 pandemic.</w:t>
      </w:r>
    </w:p>
    <w:p w14:paraId="7B4D3485" w14:textId="77777777" w:rsidR="009E0E94" w:rsidRPr="008C1ACC" w:rsidRDefault="009E0E94" w:rsidP="009E0E94">
      <w:pPr>
        <w:spacing w:after="160" w:line="259" w:lineRule="auto"/>
        <w:rPr>
          <w:rFonts w:eastAsiaTheme="majorEastAsia" w:cstheme="majorBidi"/>
          <w:noProof/>
          <w:color w:val="016A13" w:themeColor="accent1" w:themeShade="BF"/>
          <w:sz w:val="48"/>
          <w:szCs w:val="32"/>
        </w:rPr>
      </w:pPr>
      <w:r w:rsidRPr="008C1ACC">
        <w:rPr>
          <w:noProof/>
        </w:rPr>
        <w:br w:type="page"/>
      </w:r>
    </w:p>
    <w:p w14:paraId="5BE4BCDD" w14:textId="77777777" w:rsidR="009E0E94" w:rsidRPr="008C1ACC" w:rsidRDefault="009E0E94" w:rsidP="009E0E94">
      <w:pPr>
        <w:pStyle w:val="ppoHeading4Green"/>
        <w:rPr>
          <w:noProof/>
        </w:rPr>
      </w:pPr>
      <w:r w:rsidRPr="008C1ACC">
        <w:rPr>
          <w:noProof/>
        </w:rPr>
        <w:t>2014-2020 multiannual financial framework – rights, equality and citizenship</w:t>
      </w:r>
    </w:p>
    <w:p w14:paraId="712E4F83" w14:textId="77777777" w:rsidR="009E0E94" w:rsidRPr="008C1ACC" w:rsidRDefault="009E0E94" w:rsidP="009E0E94">
      <w:pPr>
        <w:rPr>
          <w:rFonts w:eastAsiaTheme="minorEastAsia"/>
          <w:noProof/>
        </w:rPr>
      </w:pPr>
      <w:r w:rsidRPr="008C1ACC">
        <w:rPr>
          <w:rFonts w:eastAsiaTheme="minorEastAsia"/>
          <w:noProof/>
        </w:rPr>
        <w:t>The rights, equality and citizenship programme aimed to contribute to the further development of an EU where people’s equality and rights are promoted and protected.</w:t>
      </w:r>
    </w:p>
    <w:p w14:paraId="18AD3DA4" w14:textId="77777777" w:rsidR="009E0E94" w:rsidRPr="008C1ACC" w:rsidRDefault="009E0E94" w:rsidP="009E0E94">
      <w:pPr>
        <w:pStyle w:val="ppoHeading5"/>
        <w:rPr>
          <w:noProof/>
        </w:rPr>
      </w:pPr>
      <w:r w:rsidRPr="008C1ACC">
        <w:rPr>
          <w:noProof/>
        </w:rPr>
        <w:t>Budget</w:t>
      </w:r>
    </w:p>
    <w:p w14:paraId="49228987" w14:textId="77777777" w:rsidR="009E0E94" w:rsidRPr="008C1ACC" w:rsidRDefault="009E0E94" w:rsidP="009E0E94">
      <w:pPr>
        <w:pStyle w:val="ppoTableTabletitle"/>
        <w:rPr>
          <w:noProof/>
        </w:rPr>
      </w:pPr>
      <w:r w:rsidRPr="008C1ACC">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9E0E94" w:rsidRPr="008C1ACC" w14:paraId="3BDCD628" w14:textId="77777777" w:rsidTr="008321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4D02EEC9" w14:textId="77777777" w:rsidR="009E0E94" w:rsidRPr="008C1ACC" w:rsidRDefault="009E0E94" w:rsidP="0083214A">
            <w:pPr>
              <w:rPr>
                <w:noProof/>
              </w:rPr>
            </w:pPr>
          </w:p>
        </w:tc>
        <w:tc>
          <w:tcPr>
            <w:tcW w:w="2410" w:type="dxa"/>
          </w:tcPr>
          <w:p w14:paraId="048F80B2" w14:textId="77777777" w:rsidR="009E0E94" w:rsidRPr="008C1ACC" w:rsidRDefault="009E0E94" w:rsidP="0083214A">
            <w:pPr>
              <w:cnfStyle w:val="100000000000" w:firstRow="1" w:lastRow="0" w:firstColumn="0" w:lastColumn="0" w:oddVBand="0" w:evenVBand="0" w:oddHBand="0" w:evenHBand="0" w:firstRowFirstColumn="0" w:firstRowLastColumn="0" w:lastRowFirstColumn="0" w:lastRowLastColumn="0"/>
              <w:rPr>
                <w:noProof/>
              </w:rPr>
            </w:pPr>
            <w:r w:rsidRPr="008C1ACC">
              <w:rPr>
                <w:noProof/>
              </w:rPr>
              <w:t>Implementation</w:t>
            </w:r>
          </w:p>
        </w:tc>
        <w:tc>
          <w:tcPr>
            <w:tcW w:w="2410" w:type="dxa"/>
          </w:tcPr>
          <w:p w14:paraId="1048E0D1" w14:textId="61FC6C0F" w:rsidR="009E0E94" w:rsidRPr="008C1ACC" w:rsidRDefault="003821C6" w:rsidP="0083214A">
            <w:pPr>
              <w:cnfStyle w:val="100000000000" w:firstRow="1" w:lastRow="0" w:firstColumn="0" w:lastColumn="0" w:oddVBand="0" w:evenVBand="0" w:oddHBand="0" w:evenHBand="0" w:firstRowFirstColumn="0" w:firstRowLastColumn="0" w:lastRowFirstColumn="0" w:lastRowLastColumn="0"/>
              <w:rPr>
                <w:noProof/>
              </w:rPr>
            </w:pPr>
            <w:r>
              <w:rPr>
                <w:noProof/>
              </w:rPr>
              <w:t xml:space="preserve">2014-2020 </w:t>
            </w:r>
            <w:r w:rsidR="009E0E94" w:rsidRPr="008C1ACC">
              <w:rPr>
                <w:noProof/>
              </w:rPr>
              <w:t>Budget</w:t>
            </w:r>
          </w:p>
        </w:tc>
        <w:tc>
          <w:tcPr>
            <w:tcW w:w="2410" w:type="dxa"/>
          </w:tcPr>
          <w:p w14:paraId="56E57596" w14:textId="77777777" w:rsidR="009E0E94" w:rsidRPr="008C1ACC" w:rsidRDefault="009E0E94" w:rsidP="0083214A">
            <w:pPr>
              <w:cnfStyle w:val="100000000000" w:firstRow="1" w:lastRow="0" w:firstColumn="0" w:lastColumn="0" w:oddVBand="0" w:evenVBand="0" w:oddHBand="0" w:evenHBand="0" w:firstRowFirstColumn="0" w:firstRowLastColumn="0" w:lastRowFirstColumn="0" w:lastRowLastColumn="0"/>
              <w:rPr>
                <w:noProof/>
              </w:rPr>
            </w:pPr>
            <w:r w:rsidRPr="008C1ACC">
              <w:rPr>
                <w:noProof/>
              </w:rPr>
              <w:t>Implementation rate</w:t>
            </w:r>
          </w:p>
        </w:tc>
      </w:tr>
      <w:tr w:rsidR="009E0E94" w:rsidRPr="008C1ACC" w14:paraId="7C0F962E"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22108E21" w14:textId="77777777" w:rsidR="009E0E94" w:rsidRPr="008C1ACC" w:rsidRDefault="009E0E94" w:rsidP="0083214A">
            <w:pPr>
              <w:jc w:val="center"/>
              <w:rPr>
                <w:noProof/>
              </w:rPr>
            </w:pPr>
            <w:r w:rsidRPr="008C1ACC">
              <w:rPr>
                <w:noProof/>
              </w:rPr>
              <w:t>Commitments</w:t>
            </w:r>
          </w:p>
        </w:tc>
        <w:tc>
          <w:tcPr>
            <w:tcW w:w="2410" w:type="dxa"/>
          </w:tcPr>
          <w:tbl>
            <w:tblPr>
              <w:tblStyle w:val="TableGrid"/>
              <w:tblW w:w="0" w:type="auto"/>
              <w:tblLook w:val="06A0" w:firstRow="1" w:lastRow="0" w:firstColumn="1" w:lastColumn="0" w:noHBand="1" w:noVBand="1"/>
            </w:tblPr>
            <w:tblGrid>
              <w:gridCol w:w="2194"/>
            </w:tblGrid>
            <w:tr w:rsidR="009E0E94" w:rsidRPr="008C1ACC" w14:paraId="7D7E407D" w14:textId="77777777" w:rsidTr="0083214A">
              <w:trPr>
                <w:trHeight w:val="285"/>
              </w:trPr>
              <w:tc>
                <w:tcPr>
                  <w:tcW w:w="2290" w:type="dxa"/>
                  <w:tcBorders>
                    <w:top w:val="nil"/>
                    <w:left w:val="nil"/>
                    <w:bottom w:val="nil"/>
                    <w:right w:val="nil"/>
                  </w:tcBorders>
                  <w:vAlign w:val="bottom"/>
                </w:tcPr>
                <w:p w14:paraId="70295A68" w14:textId="77777777" w:rsidR="009E0E94" w:rsidRPr="008C1ACC" w:rsidRDefault="009E0E94" w:rsidP="0083214A">
                  <w:pPr>
                    <w:jc w:val="right"/>
                    <w:rPr>
                      <w:noProof/>
                    </w:rPr>
                  </w:pPr>
                  <w:r w:rsidRPr="008C1ACC">
                    <w:rPr>
                      <w:rFonts w:ascii="Calibri" w:hAnsi="Calibri" w:cs="Calibri"/>
                      <w:noProof/>
                      <w:color w:val="000000"/>
                    </w:rPr>
                    <w:t>432.5</w:t>
                  </w:r>
                </w:p>
              </w:tc>
            </w:tr>
          </w:tbl>
          <w:p w14:paraId="6F7CED39" w14:textId="77777777" w:rsidR="009E0E94" w:rsidRPr="008C1ACC" w:rsidRDefault="009E0E94"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9E0E94" w:rsidRPr="008C1ACC" w14:paraId="3B0F7915" w14:textId="77777777" w:rsidTr="0083214A">
              <w:trPr>
                <w:trHeight w:val="285"/>
              </w:trPr>
              <w:tc>
                <w:tcPr>
                  <w:tcW w:w="2290" w:type="dxa"/>
                  <w:tcBorders>
                    <w:top w:val="nil"/>
                    <w:left w:val="nil"/>
                    <w:bottom w:val="nil"/>
                    <w:right w:val="nil"/>
                  </w:tcBorders>
                  <w:vAlign w:val="bottom"/>
                </w:tcPr>
                <w:p w14:paraId="26A5A09D" w14:textId="77777777" w:rsidR="009E0E94" w:rsidRPr="008C1ACC" w:rsidRDefault="009E0E94" w:rsidP="0083214A">
                  <w:pPr>
                    <w:jc w:val="right"/>
                    <w:rPr>
                      <w:noProof/>
                    </w:rPr>
                  </w:pPr>
                  <w:r w:rsidRPr="008C1ACC">
                    <w:rPr>
                      <w:rFonts w:ascii="Calibri" w:hAnsi="Calibri" w:cs="Calibri"/>
                      <w:noProof/>
                      <w:color w:val="000000"/>
                    </w:rPr>
                    <w:t>435.3</w:t>
                  </w:r>
                </w:p>
              </w:tc>
            </w:tr>
          </w:tbl>
          <w:p w14:paraId="5BA4F07F" w14:textId="77777777" w:rsidR="009E0E94" w:rsidRPr="008C1ACC" w:rsidRDefault="009E0E94"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9E0E94" w:rsidRPr="008C1ACC" w14:paraId="7BC92AE2" w14:textId="77777777" w:rsidTr="0083214A">
              <w:trPr>
                <w:trHeight w:val="285"/>
              </w:trPr>
              <w:tc>
                <w:tcPr>
                  <w:tcW w:w="2290" w:type="dxa"/>
                  <w:tcBorders>
                    <w:top w:val="nil"/>
                    <w:left w:val="nil"/>
                    <w:bottom w:val="nil"/>
                    <w:right w:val="nil"/>
                  </w:tcBorders>
                  <w:vAlign w:val="bottom"/>
                </w:tcPr>
                <w:p w14:paraId="61AB181E" w14:textId="77777777" w:rsidR="009E0E94" w:rsidRPr="008C1ACC" w:rsidRDefault="009E0E94" w:rsidP="0083214A">
                  <w:pPr>
                    <w:jc w:val="right"/>
                    <w:rPr>
                      <w:noProof/>
                    </w:rPr>
                  </w:pPr>
                  <w:r w:rsidRPr="008C1ACC">
                    <w:rPr>
                      <w:rFonts w:ascii="Calibri" w:hAnsi="Calibri" w:cs="Calibri"/>
                      <w:noProof/>
                      <w:color w:val="000000"/>
                    </w:rPr>
                    <w:t>99%</w:t>
                  </w:r>
                </w:p>
              </w:tc>
            </w:tr>
          </w:tbl>
          <w:p w14:paraId="6F7F2732" w14:textId="77777777" w:rsidR="009E0E94" w:rsidRPr="008C1ACC" w:rsidRDefault="009E0E94" w:rsidP="0083214A">
            <w:pPr>
              <w:jc w:val="center"/>
              <w:cnfStyle w:val="000000000000" w:firstRow="0" w:lastRow="0" w:firstColumn="0" w:lastColumn="0" w:oddVBand="0" w:evenVBand="0" w:oddHBand="0" w:evenHBand="0" w:firstRowFirstColumn="0" w:firstRowLastColumn="0" w:lastRowFirstColumn="0" w:lastRowLastColumn="0"/>
              <w:rPr>
                <w:noProof/>
              </w:rPr>
            </w:pPr>
          </w:p>
        </w:tc>
      </w:tr>
      <w:tr w:rsidR="009E0E94" w:rsidRPr="008C1ACC" w14:paraId="4C92B0BE"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7D016E00" w14:textId="77777777" w:rsidR="009E0E94" w:rsidRPr="008C1ACC" w:rsidRDefault="009E0E94" w:rsidP="0083214A">
            <w:pPr>
              <w:jc w:val="center"/>
              <w:rPr>
                <w:noProof/>
              </w:rPr>
            </w:pPr>
            <w:r w:rsidRPr="008C1ACC">
              <w:rPr>
                <w:noProof/>
              </w:rPr>
              <w:t>Payments</w:t>
            </w:r>
          </w:p>
        </w:tc>
        <w:tc>
          <w:tcPr>
            <w:tcW w:w="2410" w:type="dxa"/>
          </w:tcPr>
          <w:tbl>
            <w:tblPr>
              <w:tblStyle w:val="TableGrid"/>
              <w:tblW w:w="0" w:type="auto"/>
              <w:tblLook w:val="06A0" w:firstRow="1" w:lastRow="0" w:firstColumn="1" w:lastColumn="0" w:noHBand="1" w:noVBand="1"/>
            </w:tblPr>
            <w:tblGrid>
              <w:gridCol w:w="2194"/>
            </w:tblGrid>
            <w:tr w:rsidR="009E0E94" w:rsidRPr="008C1ACC" w14:paraId="2140105E" w14:textId="77777777" w:rsidTr="0083214A">
              <w:trPr>
                <w:trHeight w:val="285"/>
              </w:trPr>
              <w:tc>
                <w:tcPr>
                  <w:tcW w:w="2290" w:type="dxa"/>
                  <w:tcBorders>
                    <w:top w:val="nil"/>
                    <w:left w:val="nil"/>
                    <w:bottom w:val="nil"/>
                    <w:right w:val="nil"/>
                  </w:tcBorders>
                  <w:vAlign w:val="bottom"/>
                </w:tcPr>
                <w:p w14:paraId="3AE5E99D" w14:textId="77777777" w:rsidR="009E0E94" w:rsidRPr="008C1ACC" w:rsidRDefault="009E0E94" w:rsidP="0083214A">
                  <w:pPr>
                    <w:jc w:val="right"/>
                    <w:rPr>
                      <w:noProof/>
                    </w:rPr>
                  </w:pPr>
                  <w:r w:rsidRPr="008C1ACC">
                    <w:rPr>
                      <w:rFonts w:ascii="Calibri" w:hAnsi="Calibri" w:cs="Calibri"/>
                      <w:noProof/>
                      <w:color w:val="000000"/>
                    </w:rPr>
                    <w:t>350.5</w:t>
                  </w:r>
                </w:p>
              </w:tc>
            </w:tr>
          </w:tbl>
          <w:p w14:paraId="31C0A1F1" w14:textId="77777777" w:rsidR="009E0E94" w:rsidRPr="008C1ACC" w:rsidRDefault="009E0E94"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46117271" w14:textId="77777777" w:rsidR="009E0E94" w:rsidRPr="008C1ACC" w:rsidRDefault="009E0E94"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9E0E94" w:rsidRPr="008C1ACC" w14:paraId="53EC023B" w14:textId="77777777" w:rsidTr="0083214A">
              <w:trPr>
                <w:trHeight w:val="285"/>
              </w:trPr>
              <w:tc>
                <w:tcPr>
                  <w:tcW w:w="2235" w:type="dxa"/>
                  <w:tcBorders>
                    <w:top w:val="nil"/>
                    <w:left w:val="nil"/>
                    <w:bottom w:val="nil"/>
                    <w:right w:val="nil"/>
                  </w:tcBorders>
                  <w:vAlign w:val="bottom"/>
                </w:tcPr>
                <w:p w14:paraId="2660355D" w14:textId="77777777" w:rsidR="009E0E94" w:rsidRPr="008C1ACC" w:rsidRDefault="009E0E94" w:rsidP="0083214A">
                  <w:pPr>
                    <w:jc w:val="right"/>
                    <w:rPr>
                      <w:noProof/>
                    </w:rPr>
                  </w:pPr>
                  <w:r w:rsidRPr="008C1ACC">
                    <w:rPr>
                      <w:rFonts w:ascii="Calibri" w:hAnsi="Calibri" w:cs="Calibri"/>
                      <w:noProof/>
                      <w:color w:val="000000"/>
                    </w:rPr>
                    <w:t>81%</w:t>
                  </w:r>
                </w:p>
              </w:tc>
            </w:tr>
          </w:tbl>
          <w:p w14:paraId="201E7C49" w14:textId="77777777" w:rsidR="009E0E94" w:rsidRPr="008C1ACC" w:rsidRDefault="009E0E94" w:rsidP="0083214A">
            <w:pPr>
              <w:jc w:val="center"/>
              <w:cnfStyle w:val="000000000000" w:firstRow="0" w:lastRow="0" w:firstColumn="0" w:lastColumn="0" w:oddVBand="0" w:evenVBand="0" w:oddHBand="0" w:evenHBand="0" w:firstRowFirstColumn="0" w:firstRowLastColumn="0" w:lastRowFirstColumn="0" w:lastRowLastColumn="0"/>
              <w:rPr>
                <w:noProof/>
              </w:rPr>
            </w:pPr>
          </w:p>
        </w:tc>
      </w:tr>
    </w:tbl>
    <w:p w14:paraId="32935A04" w14:textId="77777777" w:rsidR="009E0E94" w:rsidRPr="008C1ACC" w:rsidRDefault="009E0E94" w:rsidP="009E0E94">
      <w:pPr>
        <w:pStyle w:val="ppoListHyphened-L1"/>
        <w:rPr>
          <w:noProof/>
        </w:rPr>
      </w:pPr>
      <w:r w:rsidRPr="008C1ACC">
        <w:rPr>
          <w:noProof/>
        </w:rPr>
        <w:t>2020 was the final year of the 2014-2020 multiannual financial framework and of the rights, equality and citizenship programme. In 2021, 29 grants remaining from the 2020 calls for this programme were signed, amounting to EUR</w:t>
      </w:r>
      <w:r w:rsidRPr="008C1ACC">
        <w:rPr>
          <w:rFonts w:ascii="Calibri" w:hAnsi="Calibri" w:cs="Calibri"/>
          <w:noProof/>
        </w:rPr>
        <w:t> </w:t>
      </w:r>
      <w:r w:rsidRPr="008C1ACC">
        <w:rPr>
          <w:noProof/>
        </w:rPr>
        <w:t>10.2</w:t>
      </w:r>
      <w:r w:rsidRPr="008C1ACC">
        <w:rPr>
          <w:rFonts w:ascii="Calibri" w:hAnsi="Calibri" w:cs="Calibri"/>
          <w:noProof/>
        </w:rPr>
        <w:t> </w:t>
      </w:r>
      <w:r w:rsidRPr="008C1ACC">
        <w:rPr>
          <w:noProof/>
        </w:rPr>
        <w:t>million.</w:t>
      </w:r>
    </w:p>
    <w:p w14:paraId="59F121FE" w14:textId="77777777" w:rsidR="009E0E94" w:rsidRPr="008C1ACC" w:rsidRDefault="009E0E94" w:rsidP="009E0E94">
      <w:pPr>
        <w:pStyle w:val="ppoListHyphened-L1"/>
        <w:rPr>
          <w:noProof/>
        </w:rPr>
      </w:pPr>
      <w:r w:rsidRPr="008C1ACC">
        <w:rPr>
          <w:noProof/>
        </w:rPr>
        <w:t>The completion line (legacy line) of the programme is used to make the final payments from past commitments. In 2021, 114 final payments for 114 grants from the old rights, equality and citizenship programme were paid, amounting to EUR</w:t>
      </w:r>
      <w:r w:rsidRPr="008C1ACC">
        <w:rPr>
          <w:rFonts w:ascii="Calibri" w:hAnsi="Calibri" w:cs="Calibri"/>
          <w:noProof/>
        </w:rPr>
        <w:t> </w:t>
      </w:r>
      <w:r w:rsidRPr="008C1ACC">
        <w:rPr>
          <w:noProof/>
        </w:rPr>
        <w:t>5.6</w:t>
      </w:r>
      <w:r w:rsidRPr="008C1ACC">
        <w:rPr>
          <w:rFonts w:ascii="Calibri" w:hAnsi="Calibri" w:cs="Calibri"/>
          <w:noProof/>
        </w:rPr>
        <w:t> </w:t>
      </w:r>
      <w:r w:rsidRPr="008C1ACC">
        <w:rPr>
          <w:noProof/>
        </w:rPr>
        <w:t>million. In 2021, 169 amendments were made to projects under the programme. The theoretical last payment for the programme</w:t>
      </w:r>
      <w:r w:rsidRPr="008C1ACC" w:rsidDel="005C5476">
        <w:rPr>
          <w:noProof/>
        </w:rPr>
        <w:t xml:space="preserve"> </w:t>
      </w:r>
      <w:r w:rsidRPr="008C1ACC">
        <w:rPr>
          <w:noProof/>
        </w:rPr>
        <w:t>will be made in 2024.</w:t>
      </w:r>
    </w:p>
    <w:p w14:paraId="12B2059D" w14:textId="77777777" w:rsidR="009E0E94" w:rsidRPr="008C1ACC" w:rsidRDefault="009E0E94" w:rsidP="009E0E94">
      <w:pPr>
        <w:pStyle w:val="ppoHeading5"/>
        <w:rPr>
          <w:noProof/>
        </w:rPr>
      </w:pPr>
      <w:r w:rsidRPr="008C1ACC">
        <w:rPr>
          <w:noProof/>
        </w:rPr>
        <w:t>Performance assessment</w:t>
      </w:r>
    </w:p>
    <w:p w14:paraId="528E0092" w14:textId="77777777" w:rsidR="009E0E94" w:rsidRPr="008C1ACC" w:rsidRDefault="009E0E94" w:rsidP="009E0E94">
      <w:pPr>
        <w:pStyle w:val="ppoHeading6"/>
        <w:rPr>
          <w:noProof/>
        </w:rPr>
      </w:pPr>
      <w:r w:rsidRPr="008C1ACC">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9E0E94" w:rsidRPr="008C1ACC" w14:paraId="62B3ED61" w14:textId="77777777" w:rsidTr="0083214A">
        <w:trPr>
          <w:cnfStyle w:val="100000000000" w:firstRow="1" w:lastRow="0" w:firstColumn="0" w:lastColumn="0" w:oddVBand="0" w:evenVBand="0" w:oddHBand="0" w:evenHBand="0" w:firstRowFirstColumn="0" w:firstRowLastColumn="0" w:lastRowFirstColumn="0" w:lastRowLastColumn="0"/>
        </w:trPr>
        <w:tc>
          <w:tcPr>
            <w:tcW w:w="2330" w:type="dxa"/>
          </w:tcPr>
          <w:p w14:paraId="2CB8C525" w14:textId="77777777" w:rsidR="009E0E94" w:rsidRPr="008C1ACC" w:rsidRDefault="009E0E94" w:rsidP="0083214A">
            <w:pPr>
              <w:rPr>
                <w:noProof/>
              </w:rPr>
            </w:pPr>
          </w:p>
        </w:tc>
        <w:tc>
          <w:tcPr>
            <w:tcW w:w="1100" w:type="dxa"/>
          </w:tcPr>
          <w:p w14:paraId="476FE9B1" w14:textId="77777777" w:rsidR="009E0E94" w:rsidRPr="008C1ACC" w:rsidRDefault="009E0E94" w:rsidP="0083214A">
            <w:pPr>
              <w:rPr>
                <w:noProof/>
              </w:rPr>
            </w:pPr>
            <w:r w:rsidRPr="008C1ACC">
              <w:rPr>
                <w:noProof/>
              </w:rPr>
              <w:t>Baseline</w:t>
            </w:r>
          </w:p>
        </w:tc>
        <w:tc>
          <w:tcPr>
            <w:tcW w:w="1526" w:type="dxa"/>
          </w:tcPr>
          <w:p w14:paraId="2B650F8E" w14:textId="77777777" w:rsidR="009E0E94" w:rsidRPr="008C1ACC" w:rsidRDefault="009E0E94" w:rsidP="0083214A">
            <w:pPr>
              <w:rPr>
                <w:noProof/>
              </w:rPr>
            </w:pPr>
            <w:r w:rsidRPr="008C1ACC">
              <w:rPr>
                <w:noProof/>
              </w:rPr>
              <w:t>Progress</w:t>
            </w:r>
          </w:p>
        </w:tc>
        <w:tc>
          <w:tcPr>
            <w:tcW w:w="1532" w:type="dxa"/>
          </w:tcPr>
          <w:p w14:paraId="5F1295C6" w14:textId="77777777" w:rsidR="009E0E94" w:rsidRPr="008C1ACC" w:rsidRDefault="009E0E94" w:rsidP="0083214A">
            <w:pPr>
              <w:rPr>
                <w:noProof/>
              </w:rPr>
            </w:pPr>
            <w:r w:rsidRPr="008C1ACC">
              <w:rPr>
                <w:noProof/>
              </w:rPr>
              <w:t>Target</w:t>
            </w:r>
          </w:p>
        </w:tc>
        <w:tc>
          <w:tcPr>
            <w:tcW w:w="1572" w:type="dxa"/>
          </w:tcPr>
          <w:p w14:paraId="6708A8F1" w14:textId="77777777" w:rsidR="009E0E94" w:rsidRPr="008C1ACC" w:rsidRDefault="009E0E94" w:rsidP="0083214A">
            <w:pPr>
              <w:rPr>
                <w:noProof/>
              </w:rPr>
            </w:pPr>
            <w:r w:rsidRPr="008C1ACC">
              <w:rPr>
                <w:noProof/>
              </w:rPr>
              <w:t>Results</w:t>
            </w:r>
          </w:p>
        </w:tc>
        <w:tc>
          <w:tcPr>
            <w:tcW w:w="1579" w:type="dxa"/>
          </w:tcPr>
          <w:p w14:paraId="5246017D" w14:textId="77777777" w:rsidR="009E0E94" w:rsidRPr="008C1ACC" w:rsidRDefault="009E0E94" w:rsidP="0083214A">
            <w:pPr>
              <w:rPr>
                <w:noProof/>
              </w:rPr>
            </w:pPr>
            <w:r w:rsidRPr="008C1ACC">
              <w:rPr>
                <w:noProof/>
              </w:rPr>
              <w:t>Assessment</w:t>
            </w:r>
          </w:p>
        </w:tc>
      </w:tr>
      <w:tr w:rsidR="009E0E94" w:rsidRPr="008C1ACC" w14:paraId="4B79E4A7"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2BA67B54" w14:textId="77777777" w:rsidR="009E0E94" w:rsidRPr="008C1ACC" w:rsidRDefault="009E0E94" w:rsidP="0083214A">
            <w:pPr>
              <w:rPr>
                <w:noProof/>
              </w:rPr>
            </w:pPr>
            <w:r w:rsidRPr="008C1ACC">
              <w:rPr>
                <w:noProof/>
              </w:rPr>
              <w:t xml:space="preserve">Member States that set up structural coordination mechanisms on the national Roma integration strategies </w:t>
            </w:r>
          </w:p>
        </w:tc>
        <w:tc>
          <w:tcPr>
            <w:tcW w:w="1100" w:type="dxa"/>
          </w:tcPr>
          <w:p w14:paraId="2CD61E3B" w14:textId="77777777" w:rsidR="009E0E94" w:rsidRPr="008C1ACC" w:rsidRDefault="009E0E94" w:rsidP="0083214A">
            <w:pPr>
              <w:jc w:val="center"/>
              <w:rPr>
                <w:noProof/>
              </w:rPr>
            </w:pPr>
            <w:r w:rsidRPr="008C1ACC">
              <w:rPr>
                <w:noProof/>
              </w:rPr>
              <w:t>0</w:t>
            </w:r>
          </w:p>
        </w:tc>
        <w:tc>
          <w:tcPr>
            <w:tcW w:w="1526" w:type="dxa"/>
          </w:tcPr>
          <w:p w14:paraId="2D5299AC" w14:textId="77777777" w:rsidR="009E0E94" w:rsidRPr="008C1ACC" w:rsidRDefault="009E0E94" w:rsidP="0083214A">
            <w:pPr>
              <w:jc w:val="center"/>
              <w:rPr>
                <w:b/>
                <w:noProof/>
              </w:rPr>
            </w:pPr>
            <w:r w:rsidRPr="008C1ACC">
              <w:rPr>
                <w:noProof/>
              </w:rPr>
              <w:t>&gt; 100% (*)</w:t>
            </w:r>
          </w:p>
        </w:tc>
        <w:tc>
          <w:tcPr>
            <w:tcW w:w="1532" w:type="dxa"/>
          </w:tcPr>
          <w:p w14:paraId="54DE25F6" w14:textId="77777777" w:rsidR="009E0E94" w:rsidRPr="008C1ACC" w:rsidRDefault="009E0E94" w:rsidP="0083214A">
            <w:pPr>
              <w:jc w:val="center"/>
              <w:rPr>
                <w:noProof/>
              </w:rPr>
            </w:pPr>
            <w:r w:rsidRPr="008C1ACC">
              <w:rPr>
                <w:noProof/>
              </w:rPr>
              <w:t>26 in 2020</w:t>
            </w:r>
          </w:p>
        </w:tc>
        <w:tc>
          <w:tcPr>
            <w:tcW w:w="1572" w:type="dxa"/>
          </w:tcPr>
          <w:p w14:paraId="69633D55" w14:textId="77777777" w:rsidR="009E0E94" w:rsidRPr="008C1ACC" w:rsidRDefault="009E0E94" w:rsidP="0083214A">
            <w:pPr>
              <w:jc w:val="center"/>
              <w:rPr>
                <w:noProof/>
              </w:rPr>
            </w:pPr>
            <w:r w:rsidRPr="008C1ACC">
              <w:rPr>
                <w:noProof/>
              </w:rPr>
              <w:t>27 compared to a target of 26 Member States</w:t>
            </w:r>
          </w:p>
        </w:tc>
        <w:tc>
          <w:tcPr>
            <w:tcW w:w="1579" w:type="dxa"/>
          </w:tcPr>
          <w:p w14:paraId="1F34E675" w14:textId="77777777" w:rsidR="009E0E94" w:rsidRPr="008C1ACC" w:rsidRDefault="009E0E94" w:rsidP="0083214A">
            <w:pPr>
              <w:jc w:val="center"/>
              <w:rPr>
                <w:noProof/>
              </w:rPr>
            </w:pPr>
            <w:r w:rsidRPr="008C1ACC">
              <w:rPr>
                <w:noProof/>
              </w:rPr>
              <w:t>On track</w:t>
            </w:r>
          </w:p>
        </w:tc>
      </w:tr>
      <w:tr w:rsidR="009E0E94" w:rsidRPr="008C1ACC" w14:paraId="328EAC9F"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1E45C5D1" w14:textId="77777777" w:rsidR="009E0E94" w:rsidRPr="008C1ACC" w:rsidRDefault="009E0E94" w:rsidP="0083214A">
            <w:pPr>
              <w:rPr>
                <w:noProof/>
              </w:rPr>
            </w:pPr>
            <w:r w:rsidRPr="008C1ACC">
              <w:rPr>
                <w:noProof/>
              </w:rPr>
              <w:t>Perception of consumers of being protected</w:t>
            </w:r>
          </w:p>
        </w:tc>
        <w:tc>
          <w:tcPr>
            <w:tcW w:w="1100" w:type="dxa"/>
          </w:tcPr>
          <w:p w14:paraId="75C2B305" w14:textId="77777777" w:rsidR="009E0E94" w:rsidRPr="008C1ACC" w:rsidRDefault="009E0E94" w:rsidP="0083214A">
            <w:pPr>
              <w:jc w:val="center"/>
              <w:rPr>
                <w:noProof/>
              </w:rPr>
            </w:pPr>
            <w:r w:rsidRPr="008C1ACC">
              <w:rPr>
                <w:noProof/>
              </w:rPr>
              <w:t>64%</w:t>
            </w:r>
          </w:p>
        </w:tc>
        <w:tc>
          <w:tcPr>
            <w:tcW w:w="1526" w:type="dxa"/>
          </w:tcPr>
          <w:p w14:paraId="495ACDB0" w14:textId="77777777" w:rsidR="009E0E94" w:rsidRPr="008C1ACC" w:rsidRDefault="009E0E94" w:rsidP="0083214A">
            <w:pPr>
              <w:jc w:val="center"/>
              <w:rPr>
                <w:b/>
                <w:noProof/>
              </w:rPr>
            </w:pPr>
            <w:r w:rsidRPr="008C1ACC">
              <w:rPr>
                <w:noProof/>
              </w:rPr>
              <w:t>&gt; 100% (**)</w:t>
            </w:r>
          </w:p>
        </w:tc>
        <w:tc>
          <w:tcPr>
            <w:tcW w:w="1532" w:type="dxa"/>
          </w:tcPr>
          <w:p w14:paraId="3B91B0FB" w14:textId="77777777" w:rsidR="009E0E94" w:rsidRPr="008C1ACC" w:rsidRDefault="009E0E94" w:rsidP="0083214A">
            <w:pPr>
              <w:jc w:val="center"/>
              <w:rPr>
                <w:noProof/>
              </w:rPr>
            </w:pPr>
            <w:r w:rsidRPr="008C1ACC">
              <w:rPr>
                <w:noProof/>
              </w:rPr>
              <w:t>75% in 2020</w:t>
            </w:r>
          </w:p>
        </w:tc>
        <w:tc>
          <w:tcPr>
            <w:tcW w:w="1572" w:type="dxa"/>
          </w:tcPr>
          <w:p w14:paraId="5F3F5111" w14:textId="77777777" w:rsidR="009E0E94" w:rsidRPr="008C1ACC" w:rsidRDefault="009E0E94" w:rsidP="0083214A">
            <w:pPr>
              <w:jc w:val="center"/>
              <w:rPr>
                <w:noProof/>
              </w:rPr>
            </w:pPr>
            <w:r w:rsidRPr="008C1ACC">
              <w:rPr>
                <w:noProof/>
              </w:rPr>
              <w:t>81% compared to target of 75%</w:t>
            </w:r>
          </w:p>
        </w:tc>
        <w:tc>
          <w:tcPr>
            <w:tcW w:w="1579" w:type="dxa"/>
          </w:tcPr>
          <w:p w14:paraId="1B15E8BF" w14:textId="77777777" w:rsidR="009E0E94" w:rsidRPr="008C1ACC" w:rsidRDefault="009E0E94" w:rsidP="0083214A">
            <w:pPr>
              <w:jc w:val="center"/>
              <w:rPr>
                <w:noProof/>
              </w:rPr>
            </w:pPr>
            <w:r w:rsidRPr="008C1ACC">
              <w:rPr>
                <w:noProof/>
              </w:rPr>
              <w:t>On track</w:t>
            </w:r>
          </w:p>
        </w:tc>
      </w:tr>
    </w:tbl>
    <w:p w14:paraId="2681234F" w14:textId="77777777" w:rsidR="009E0E94" w:rsidRPr="008C1ACC" w:rsidRDefault="009E0E94" w:rsidP="009E0E94">
      <w:pPr>
        <w:pStyle w:val="FootnoteText"/>
        <w:rPr>
          <w:noProof/>
        </w:rPr>
      </w:pPr>
      <w:r w:rsidRPr="008C1ACC">
        <w:rPr>
          <w:noProof/>
        </w:rPr>
        <w:t>(*) % of target achieved by the end of 2021.</w:t>
      </w:r>
    </w:p>
    <w:p w14:paraId="4334557B" w14:textId="77777777" w:rsidR="009E0E94" w:rsidRPr="008C1ACC" w:rsidRDefault="009E0E94" w:rsidP="009E0E94">
      <w:pPr>
        <w:pStyle w:val="FootnoteText"/>
        <w:rPr>
          <w:noProof/>
        </w:rPr>
      </w:pPr>
      <w:r w:rsidRPr="008C1ACC">
        <w:rPr>
          <w:noProof/>
        </w:rPr>
        <w:t>(**) % of target achieved by the end of 2020.</w:t>
      </w:r>
    </w:p>
    <w:p w14:paraId="49C029F9" w14:textId="77777777" w:rsidR="009E0E94" w:rsidRPr="008C1ACC" w:rsidRDefault="009E0E94" w:rsidP="009E0E94">
      <w:pPr>
        <w:pStyle w:val="ppoListHyphened-L1"/>
        <w:rPr>
          <w:noProof/>
        </w:rPr>
      </w:pPr>
      <w:r w:rsidRPr="008C1ACC">
        <w:rPr>
          <w:noProof/>
        </w:rPr>
        <w:t>The programme provided around EUR</w:t>
      </w:r>
      <w:r w:rsidRPr="008C1ACC">
        <w:rPr>
          <w:rFonts w:ascii="Calibri" w:hAnsi="Calibri" w:cs="Calibri"/>
          <w:noProof/>
        </w:rPr>
        <w:t> </w:t>
      </w:r>
      <w:r w:rsidRPr="008C1ACC">
        <w:rPr>
          <w:noProof/>
        </w:rPr>
        <w:t>430</w:t>
      </w:r>
      <w:r w:rsidRPr="008C1ACC">
        <w:rPr>
          <w:rFonts w:ascii="Calibri" w:hAnsi="Calibri" w:cs="Calibri"/>
          <w:noProof/>
        </w:rPr>
        <w:t> </w:t>
      </w:r>
      <w:r w:rsidRPr="008C1ACC">
        <w:rPr>
          <w:noProof/>
        </w:rPr>
        <w:t>million between 2014 and 2020 in support of initiatives</w:t>
      </w:r>
      <w:r w:rsidRPr="008C1ACC" w:rsidDel="00DE21C7">
        <w:rPr>
          <w:noProof/>
        </w:rPr>
        <w:t xml:space="preserve"> </w:t>
      </w:r>
      <w:r w:rsidRPr="008C1ACC">
        <w:rPr>
          <w:noProof/>
        </w:rPr>
        <w:t>promoting justice and fundamental rights. These initiatives</w:t>
      </w:r>
      <w:r w:rsidRPr="008C1ACC" w:rsidDel="00DE21C7">
        <w:rPr>
          <w:noProof/>
        </w:rPr>
        <w:t xml:space="preserve"> </w:t>
      </w:r>
      <w:r w:rsidRPr="008C1ACC">
        <w:rPr>
          <w:noProof/>
        </w:rPr>
        <w:t>included training sessions, seminars and mutual-learning events, research and studies, and awareness-raising and media campaigns to the ultimate benefit of EU citizens. The programme succeeded in contributing to the further development of an area where equality and the rights of persons are promoted, protected and effectively implemented.</w:t>
      </w:r>
    </w:p>
    <w:p w14:paraId="6C170A93" w14:textId="77777777" w:rsidR="009E0E94" w:rsidRPr="008C1ACC" w:rsidRDefault="009E0E94" w:rsidP="009E0E94">
      <w:pPr>
        <w:pStyle w:val="ppoListHyphened-L1"/>
        <w:rPr>
          <w:noProof/>
        </w:rPr>
      </w:pPr>
      <w:r w:rsidRPr="008C1ACC">
        <w:rPr>
          <w:noProof/>
        </w:rPr>
        <w:t xml:space="preserve">In 2021, the </w:t>
      </w:r>
      <w:r w:rsidRPr="000A5730">
        <w:rPr>
          <w:i/>
          <w:iCs/>
          <w:noProof/>
        </w:rPr>
        <w:t>ex post</w:t>
      </w:r>
      <w:r w:rsidRPr="008C1ACC">
        <w:rPr>
          <w:noProof/>
        </w:rPr>
        <w:t xml:space="preserve"> evaluation looked into the performance and results of the 2014-2020 rights, equality and citizenship programme. The evaluation showed that, despite the effects of the economic crisis (which led to a general reduction in the amount of national resources and funding available for social and fundamental rights issues), the programme has proved its EU added value and its crucial role in developing a European area of equality and rights.</w:t>
      </w:r>
    </w:p>
    <w:p w14:paraId="4AFD906E" w14:textId="77777777" w:rsidR="009E0E94" w:rsidRPr="008C1ACC" w:rsidRDefault="009E0E94" w:rsidP="009E0E94">
      <w:pPr>
        <w:pStyle w:val="ppoListHyphened-L1"/>
        <w:rPr>
          <w:noProof/>
        </w:rPr>
      </w:pPr>
      <w:r w:rsidRPr="008C1ACC">
        <w:rPr>
          <w:noProof/>
        </w:rPr>
        <w:t>A complex interplay of internal and external factors hindered the programme’s performance at various times. The internal factors mainly relate to difficulties in the application process, the internal capacity of project partners and the type and quality of consortia. Common external factors relate to the impact of external shocks such as the COVID-19 pandemic and the challenge of involving public entities and stakeholders in the activities planned.</w:t>
      </w:r>
    </w:p>
    <w:p w14:paraId="7C9A9C81" w14:textId="77777777" w:rsidR="009E0E94" w:rsidRPr="008C1ACC" w:rsidRDefault="009E0E94" w:rsidP="009E0E94">
      <w:pPr>
        <w:pStyle w:val="ppoListHyphened-L1"/>
        <w:rPr>
          <w:noProof/>
        </w:rPr>
      </w:pPr>
      <w:r w:rsidRPr="008C1ACC">
        <w:rPr>
          <w:noProof/>
        </w:rPr>
        <w:t>The evaluation found that the success factors in projects under the rights, equality and citizenship programme include the quality of partnerships, bringing together organisations with complementary expertise and covering managerial and coordination skills with experience of working with target groups on the ground. Another element of success is the capacity of the projects to respond to the aims of the calls while also pursuing the longer-term strategies of the implementing organisations.</w:t>
      </w:r>
    </w:p>
    <w:p w14:paraId="52730B2E" w14:textId="77777777" w:rsidR="009E0E94" w:rsidRPr="008C1ACC" w:rsidRDefault="009E0E94" w:rsidP="009E0E94">
      <w:pPr>
        <w:pStyle w:val="ppoListHyphened-L1"/>
        <w:rPr>
          <w:noProof/>
        </w:rPr>
      </w:pPr>
      <w:r w:rsidRPr="008C1ACC">
        <w:rPr>
          <w:noProof/>
        </w:rPr>
        <w:t xml:space="preserve">As regards the baseline situation, as described in the 2011 impact assessment and the 2015 </w:t>
      </w:r>
      <w:r w:rsidRPr="000A5730">
        <w:rPr>
          <w:i/>
          <w:iCs/>
          <w:noProof/>
        </w:rPr>
        <w:t>ex post</w:t>
      </w:r>
      <w:r w:rsidRPr="008C1ACC">
        <w:rPr>
          <w:noProof/>
        </w:rPr>
        <w:t xml:space="preserve"> evaluation of the three predecessor programmes (Daphne</w:t>
      </w:r>
      <w:r w:rsidRPr="008C1ACC">
        <w:rPr>
          <w:rFonts w:ascii="Calibri" w:hAnsi="Calibri" w:cs="Calibri"/>
          <w:noProof/>
        </w:rPr>
        <w:t> </w:t>
      </w:r>
      <w:r w:rsidRPr="008C1ACC">
        <w:rPr>
          <w:noProof/>
        </w:rPr>
        <w:t>III, fundamental rights, and citizenship and progress), the evaluation evidence shows that almost all of the difficulties identified in the programme</w:t>
      </w:r>
      <w:r w:rsidRPr="008C1ACC" w:rsidDel="00DC5C1B">
        <w:rPr>
          <w:noProof/>
        </w:rPr>
        <w:t xml:space="preserve"> </w:t>
      </w:r>
      <w:r w:rsidRPr="008C1ACC">
        <w:rPr>
          <w:noProof/>
        </w:rPr>
        <w:t>were overcome, except for the geographical imbalance, which still persisted.</w:t>
      </w:r>
    </w:p>
    <w:p w14:paraId="2280C98A" w14:textId="77777777" w:rsidR="009E0E94" w:rsidRPr="008C1ACC" w:rsidRDefault="009E0E94" w:rsidP="009E0E94">
      <w:pPr>
        <w:pStyle w:val="ppoHeading4Green"/>
        <w:rPr>
          <w:noProof/>
        </w:rPr>
      </w:pPr>
      <w:r w:rsidRPr="008C1ACC">
        <w:rPr>
          <w:noProof/>
        </w:rPr>
        <w:t>2014-2020 multiannual financial framework – Europe for citizens</w:t>
      </w:r>
    </w:p>
    <w:p w14:paraId="41C08734" w14:textId="77777777" w:rsidR="009E0E94" w:rsidRPr="008C1ACC" w:rsidRDefault="009E0E94" w:rsidP="009E0E94">
      <w:pPr>
        <w:rPr>
          <w:rFonts w:eastAsiaTheme="minorEastAsia"/>
          <w:noProof/>
        </w:rPr>
      </w:pPr>
      <w:r w:rsidRPr="008C1ACC">
        <w:rPr>
          <w:rFonts w:eastAsiaTheme="minorEastAsia"/>
          <w:noProof/>
        </w:rPr>
        <w:t>The programme provided an opportunity to people in the European Union to take part in the debate on Europe and its history and to play a strong role in developing the EU. It was part of the common effort to uphold rights and values by reinforcing a rule-of-law culture in the EU.</w:t>
      </w:r>
    </w:p>
    <w:p w14:paraId="120FA817" w14:textId="77777777" w:rsidR="009E0E94" w:rsidRPr="008C1ACC" w:rsidRDefault="009E0E94" w:rsidP="009E0E94">
      <w:pPr>
        <w:pStyle w:val="ppoHeading5"/>
        <w:rPr>
          <w:noProof/>
        </w:rPr>
      </w:pPr>
      <w:r w:rsidRPr="008C1ACC">
        <w:rPr>
          <w:noProof/>
        </w:rPr>
        <w:t>Budget</w:t>
      </w:r>
    </w:p>
    <w:p w14:paraId="7DB037CB" w14:textId="77777777" w:rsidR="009E0E94" w:rsidRPr="008C1ACC" w:rsidRDefault="009E0E94" w:rsidP="009E0E94">
      <w:pPr>
        <w:pStyle w:val="ppoTableTabletitle"/>
        <w:rPr>
          <w:noProof/>
        </w:rPr>
      </w:pPr>
      <w:r w:rsidRPr="008C1ACC">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9E0E94" w:rsidRPr="008C1ACC" w14:paraId="65984BD8" w14:textId="77777777" w:rsidTr="008321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6C5964D9" w14:textId="77777777" w:rsidR="009E0E94" w:rsidRPr="008C1ACC" w:rsidRDefault="009E0E94" w:rsidP="0083214A">
            <w:pPr>
              <w:rPr>
                <w:noProof/>
              </w:rPr>
            </w:pPr>
          </w:p>
        </w:tc>
        <w:tc>
          <w:tcPr>
            <w:tcW w:w="2410" w:type="dxa"/>
          </w:tcPr>
          <w:p w14:paraId="3C7ECDA5" w14:textId="77777777" w:rsidR="009E0E94" w:rsidRPr="008C1ACC" w:rsidRDefault="009E0E94" w:rsidP="0083214A">
            <w:pPr>
              <w:cnfStyle w:val="100000000000" w:firstRow="1" w:lastRow="0" w:firstColumn="0" w:lastColumn="0" w:oddVBand="0" w:evenVBand="0" w:oddHBand="0" w:evenHBand="0" w:firstRowFirstColumn="0" w:firstRowLastColumn="0" w:lastRowFirstColumn="0" w:lastRowLastColumn="0"/>
              <w:rPr>
                <w:noProof/>
              </w:rPr>
            </w:pPr>
            <w:r w:rsidRPr="008C1ACC">
              <w:rPr>
                <w:noProof/>
              </w:rPr>
              <w:t>Implementation</w:t>
            </w:r>
          </w:p>
        </w:tc>
        <w:tc>
          <w:tcPr>
            <w:tcW w:w="2410" w:type="dxa"/>
          </w:tcPr>
          <w:p w14:paraId="67A413AC" w14:textId="63B494E8" w:rsidR="009E0E94" w:rsidRPr="008C1ACC" w:rsidRDefault="003821C6" w:rsidP="0083214A">
            <w:pPr>
              <w:cnfStyle w:val="100000000000" w:firstRow="1" w:lastRow="0" w:firstColumn="0" w:lastColumn="0" w:oddVBand="0" w:evenVBand="0" w:oddHBand="0" w:evenHBand="0" w:firstRowFirstColumn="0" w:firstRowLastColumn="0" w:lastRowFirstColumn="0" w:lastRowLastColumn="0"/>
              <w:rPr>
                <w:noProof/>
              </w:rPr>
            </w:pPr>
            <w:r>
              <w:rPr>
                <w:noProof/>
              </w:rPr>
              <w:t xml:space="preserve">2014-2020 </w:t>
            </w:r>
            <w:r w:rsidR="009E0E94" w:rsidRPr="008C1ACC">
              <w:rPr>
                <w:noProof/>
              </w:rPr>
              <w:t>Budget</w:t>
            </w:r>
          </w:p>
        </w:tc>
        <w:tc>
          <w:tcPr>
            <w:tcW w:w="2410" w:type="dxa"/>
          </w:tcPr>
          <w:p w14:paraId="1C939A6F" w14:textId="77777777" w:rsidR="009E0E94" w:rsidRPr="008C1ACC" w:rsidRDefault="009E0E94" w:rsidP="0083214A">
            <w:pPr>
              <w:cnfStyle w:val="100000000000" w:firstRow="1" w:lastRow="0" w:firstColumn="0" w:lastColumn="0" w:oddVBand="0" w:evenVBand="0" w:oddHBand="0" w:evenHBand="0" w:firstRowFirstColumn="0" w:firstRowLastColumn="0" w:lastRowFirstColumn="0" w:lastRowLastColumn="0"/>
              <w:rPr>
                <w:noProof/>
              </w:rPr>
            </w:pPr>
            <w:r w:rsidRPr="008C1ACC">
              <w:rPr>
                <w:noProof/>
              </w:rPr>
              <w:t>Implementation rate</w:t>
            </w:r>
          </w:p>
        </w:tc>
      </w:tr>
      <w:tr w:rsidR="009E0E94" w:rsidRPr="008C1ACC" w14:paraId="2F33E285"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1EA28E2A" w14:textId="77777777" w:rsidR="009E0E94" w:rsidRPr="008C1ACC" w:rsidRDefault="009E0E94" w:rsidP="0083214A">
            <w:pPr>
              <w:jc w:val="center"/>
              <w:rPr>
                <w:noProof/>
              </w:rPr>
            </w:pPr>
            <w:r w:rsidRPr="008C1ACC">
              <w:rPr>
                <w:noProof/>
              </w:rPr>
              <w:t>Commitments</w:t>
            </w:r>
          </w:p>
        </w:tc>
        <w:tc>
          <w:tcPr>
            <w:tcW w:w="2410" w:type="dxa"/>
          </w:tcPr>
          <w:tbl>
            <w:tblPr>
              <w:tblStyle w:val="TableGrid"/>
              <w:tblW w:w="0" w:type="auto"/>
              <w:tblLook w:val="06A0" w:firstRow="1" w:lastRow="0" w:firstColumn="1" w:lastColumn="0" w:noHBand="1" w:noVBand="1"/>
            </w:tblPr>
            <w:tblGrid>
              <w:gridCol w:w="2194"/>
            </w:tblGrid>
            <w:tr w:rsidR="009E0E94" w:rsidRPr="008C1ACC" w14:paraId="464EB58E" w14:textId="77777777" w:rsidTr="0083214A">
              <w:trPr>
                <w:trHeight w:val="285"/>
              </w:trPr>
              <w:tc>
                <w:tcPr>
                  <w:tcW w:w="2290" w:type="dxa"/>
                  <w:tcBorders>
                    <w:top w:val="nil"/>
                    <w:left w:val="nil"/>
                    <w:bottom w:val="nil"/>
                    <w:right w:val="nil"/>
                  </w:tcBorders>
                  <w:vAlign w:val="bottom"/>
                </w:tcPr>
                <w:p w14:paraId="5D349BED" w14:textId="77777777" w:rsidR="009E0E94" w:rsidRPr="008C1ACC" w:rsidRDefault="009E0E94" w:rsidP="0083214A">
                  <w:pPr>
                    <w:jc w:val="right"/>
                    <w:rPr>
                      <w:noProof/>
                    </w:rPr>
                  </w:pPr>
                  <w:r w:rsidRPr="008C1ACC">
                    <w:rPr>
                      <w:rFonts w:ascii="Calibri" w:hAnsi="Calibri" w:cs="Calibri"/>
                      <w:noProof/>
                      <w:color w:val="000000"/>
                    </w:rPr>
                    <w:t>195.3</w:t>
                  </w:r>
                </w:p>
              </w:tc>
            </w:tr>
          </w:tbl>
          <w:p w14:paraId="5497D5FC" w14:textId="77777777" w:rsidR="009E0E94" w:rsidRPr="008C1ACC" w:rsidRDefault="009E0E94"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9E0E94" w:rsidRPr="008C1ACC" w14:paraId="71EA239A" w14:textId="77777777" w:rsidTr="0083214A">
              <w:trPr>
                <w:trHeight w:val="285"/>
              </w:trPr>
              <w:tc>
                <w:tcPr>
                  <w:tcW w:w="2290" w:type="dxa"/>
                  <w:tcBorders>
                    <w:top w:val="nil"/>
                    <w:left w:val="nil"/>
                    <w:bottom w:val="nil"/>
                    <w:right w:val="nil"/>
                  </w:tcBorders>
                  <w:vAlign w:val="bottom"/>
                </w:tcPr>
                <w:p w14:paraId="5FF916BC" w14:textId="77777777" w:rsidR="009E0E94" w:rsidRPr="008C1ACC" w:rsidRDefault="009E0E94" w:rsidP="0083214A">
                  <w:pPr>
                    <w:jc w:val="right"/>
                    <w:rPr>
                      <w:noProof/>
                    </w:rPr>
                  </w:pPr>
                  <w:r w:rsidRPr="008C1ACC">
                    <w:rPr>
                      <w:rFonts w:ascii="Calibri" w:hAnsi="Calibri" w:cs="Calibri"/>
                      <w:noProof/>
                      <w:color w:val="000000"/>
                    </w:rPr>
                    <w:t>195.5</w:t>
                  </w:r>
                </w:p>
              </w:tc>
            </w:tr>
          </w:tbl>
          <w:p w14:paraId="3E64CE12" w14:textId="77777777" w:rsidR="009E0E94" w:rsidRPr="008C1ACC" w:rsidRDefault="009E0E94"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9E0E94" w:rsidRPr="008C1ACC" w14:paraId="590CFD30" w14:textId="77777777" w:rsidTr="0083214A">
              <w:trPr>
                <w:trHeight w:val="285"/>
              </w:trPr>
              <w:tc>
                <w:tcPr>
                  <w:tcW w:w="2290" w:type="dxa"/>
                  <w:tcBorders>
                    <w:top w:val="nil"/>
                    <w:left w:val="nil"/>
                    <w:bottom w:val="nil"/>
                    <w:right w:val="nil"/>
                  </w:tcBorders>
                  <w:vAlign w:val="bottom"/>
                </w:tcPr>
                <w:p w14:paraId="3C425D95" w14:textId="77777777" w:rsidR="009E0E94" w:rsidRPr="008C1ACC" w:rsidRDefault="009E0E94" w:rsidP="0083214A">
                  <w:pPr>
                    <w:jc w:val="right"/>
                    <w:rPr>
                      <w:noProof/>
                    </w:rPr>
                  </w:pPr>
                  <w:r w:rsidRPr="008C1ACC">
                    <w:rPr>
                      <w:rFonts w:ascii="Calibri" w:hAnsi="Calibri" w:cs="Calibri"/>
                      <w:noProof/>
                      <w:color w:val="000000"/>
                    </w:rPr>
                    <w:t>100%</w:t>
                  </w:r>
                </w:p>
              </w:tc>
            </w:tr>
          </w:tbl>
          <w:p w14:paraId="6259EF08" w14:textId="77777777" w:rsidR="009E0E94" w:rsidRPr="008C1ACC" w:rsidRDefault="009E0E94" w:rsidP="0083214A">
            <w:pPr>
              <w:jc w:val="center"/>
              <w:cnfStyle w:val="000000000000" w:firstRow="0" w:lastRow="0" w:firstColumn="0" w:lastColumn="0" w:oddVBand="0" w:evenVBand="0" w:oddHBand="0" w:evenHBand="0" w:firstRowFirstColumn="0" w:firstRowLastColumn="0" w:lastRowFirstColumn="0" w:lastRowLastColumn="0"/>
              <w:rPr>
                <w:noProof/>
              </w:rPr>
            </w:pPr>
          </w:p>
        </w:tc>
      </w:tr>
      <w:tr w:rsidR="009E0E94" w:rsidRPr="008C1ACC" w14:paraId="1FAF0AD7"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7485CF45" w14:textId="77777777" w:rsidR="009E0E94" w:rsidRPr="008C1ACC" w:rsidRDefault="009E0E94" w:rsidP="0083214A">
            <w:pPr>
              <w:jc w:val="center"/>
              <w:rPr>
                <w:noProof/>
              </w:rPr>
            </w:pPr>
            <w:r w:rsidRPr="008C1ACC">
              <w:rPr>
                <w:noProof/>
              </w:rPr>
              <w:t>Payments</w:t>
            </w:r>
          </w:p>
        </w:tc>
        <w:tc>
          <w:tcPr>
            <w:tcW w:w="2410" w:type="dxa"/>
          </w:tcPr>
          <w:tbl>
            <w:tblPr>
              <w:tblStyle w:val="TableGrid"/>
              <w:tblW w:w="0" w:type="auto"/>
              <w:tblLook w:val="06A0" w:firstRow="1" w:lastRow="0" w:firstColumn="1" w:lastColumn="0" w:noHBand="1" w:noVBand="1"/>
            </w:tblPr>
            <w:tblGrid>
              <w:gridCol w:w="2194"/>
            </w:tblGrid>
            <w:tr w:rsidR="009E0E94" w:rsidRPr="008C1ACC" w14:paraId="217269FC" w14:textId="77777777" w:rsidTr="0083214A">
              <w:trPr>
                <w:trHeight w:val="285"/>
              </w:trPr>
              <w:tc>
                <w:tcPr>
                  <w:tcW w:w="2290" w:type="dxa"/>
                  <w:tcBorders>
                    <w:top w:val="nil"/>
                    <w:left w:val="nil"/>
                    <w:bottom w:val="nil"/>
                    <w:right w:val="nil"/>
                  </w:tcBorders>
                  <w:vAlign w:val="bottom"/>
                </w:tcPr>
                <w:p w14:paraId="4C6D8ACB" w14:textId="77777777" w:rsidR="009E0E94" w:rsidRPr="008C1ACC" w:rsidRDefault="009E0E94" w:rsidP="0083214A">
                  <w:pPr>
                    <w:jc w:val="right"/>
                    <w:rPr>
                      <w:noProof/>
                    </w:rPr>
                  </w:pPr>
                  <w:r w:rsidRPr="008C1ACC">
                    <w:rPr>
                      <w:rFonts w:ascii="Calibri" w:hAnsi="Calibri" w:cs="Calibri"/>
                      <w:noProof/>
                      <w:color w:val="000000"/>
                    </w:rPr>
                    <w:t>172.6</w:t>
                  </w:r>
                </w:p>
              </w:tc>
            </w:tr>
          </w:tbl>
          <w:p w14:paraId="3D58B307" w14:textId="77777777" w:rsidR="009E0E94" w:rsidRPr="008C1ACC" w:rsidRDefault="009E0E94"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0ED8DC27" w14:textId="77777777" w:rsidR="009E0E94" w:rsidRPr="008C1ACC" w:rsidRDefault="009E0E94"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9E0E94" w:rsidRPr="008C1ACC" w14:paraId="184325F8" w14:textId="77777777" w:rsidTr="0083214A">
              <w:trPr>
                <w:trHeight w:val="285"/>
              </w:trPr>
              <w:tc>
                <w:tcPr>
                  <w:tcW w:w="2235" w:type="dxa"/>
                  <w:tcBorders>
                    <w:top w:val="nil"/>
                    <w:left w:val="nil"/>
                    <w:bottom w:val="nil"/>
                    <w:right w:val="nil"/>
                  </w:tcBorders>
                  <w:vAlign w:val="bottom"/>
                </w:tcPr>
                <w:p w14:paraId="30827805" w14:textId="77777777" w:rsidR="009E0E94" w:rsidRPr="008C1ACC" w:rsidRDefault="009E0E94" w:rsidP="0083214A">
                  <w:pPr>
                    <w:jc w:val="right"/>
                    <w:rPr>
                      <w:noProof/>
                    </w:rPr>
                  </w:pPr>
                  <w:r w:rsidRPr="008C1ACC">
                    <w:rPr>
                      <w:rFonts w:ascii="Calibri" w:hAnsi="Calibri" w:cs="Calibri"/>
                      <w:noProof/>
                      <w:color w:val="000000"/>
                    </w:rPr>
                    <w:t>88%</w:t>
                  </w:r>
                </w:p>
              </w:tc>
            </w:tr>
          </w:tbl>
          <w:p w14:paraId="63145FE0" w14:textId="77777777" w:rsidR="009E0E94" w:rsidRPr="008C1ACC" w:rsidRDefault="009E0E94" w:rsidP="0083214A">
            <w:pPr>
              <w:jc w:val="center"/>
              <w:cnfStyle w:val="000000000000" w:firstRow="0" w:lastRow="0" w:firstColumn="0" w:lastColumn="0" w:oddVBand="0" w:evenVBand="0" w:oddHBand="0" w:evenHBand="0" w:firstRowFirstColumn="0" w:firstRowLastColumn="0" w:lastRowFirstColumn="0" w:lastRowLastColumn="0"/>
              <w:rPr>
                <w:noProof/>
              </w:rPr>
            </w:pPr>
          </w:p>
        </w:tc>
      </w:tr>
    </w:tbl>
    <w:p w14:paraId="193F9441" w14:textId="77777777" w:rsidR="009E0E94" w:rsidRPr="008C1ACC" w:rsidRDefault="009E0E94" w:rsidP="009E0E94">
      <w:pPr>
        <w:pStyle w:val="ppoListHyphened-L1"/>
        <w:rPr>
          <w:noProof/>
        </w:rPr>
      </w:pPr>
      <w:r w:rsidRPr="008C1ACC">
        <w:rPr>
          <w:noProof/>
        </w:rPr>
        <w:t>In 2021, payment appropriations were used to cover the final payments on outstanding pre-2021 commitments. Numerous projects were funded in the areas of remembrance, civil society and structural support for think-tank organisations at the EU level.</w:t>
      </w:r>
    </w:p>
    <w:p w14:paraId="3727334B" w14:textId="77777777" w:rsidR="009E0E94" w:rsidRPr="008C1ACC" w:rsidRDefault="009E0E94" w:rsidP="009E0E94">
      <w:pPr>
        <w:pStyle w:val="ppoListHyphened-L1"/>
        <w:rPr>
          <w:noProof/>
        </w:rPr>
      </w:pPr>
      <w:r w:rsidRPr="008C1ACC">
        <w:rPr>
          <w:noProof/>
        </w:rPr>
        <w:t>In 2022, payment appropriations will be used to cover the remaining final payments still outstanding.</w:t>
      </w:r>
    </w:p>
    <w:p w14:paraId="75E78821" w14:textId="77777777" w:rsidR="009E0E94" w:rsidRPr="008C1ACC" w:rsidRDefault="009E0E94" w:rsidP="009E0E94">
      <w:pPr>
        <w:pStyle w:val="ppoListHyphened-L1"/>
        <w:rPr>
          <w:noProof/>
        </w:rPr>
      </w:pPr>
      <w:r w:rsidRPr="008C1ACC">
        <w:rPr>
          <w:noProof/>
        </w:rPr>
        <w:t>The Europe for citizens programme was affected by the COVID-19 crisis. By 31</w:t>
      </w:r>
      <w:r w:rsidRPr="008C1ACC">
        <w:rPr>
          <w:rFonts w:ascii="Calibri" w:hAnsi="Calibri" w:cs="Calibri"/>
          <w:noProof/>
        </w:rPr>
        <w:t> </w:t>
      </w:r>
      <w:r w:rsidRPr="008C1ACC">
        <w:rPr>
          <w:noProof/>
        </w:rPr>
        <w:t>December 2021, 402 amendments had been made, most of them relating to extensions of the eligibility period. This significant number of amendments signed, following requests for extending the duration of contracts due to the COVID-19 crisis, will lead to the delayed budgetary execution of the corresponding payment credits.</w:t>
      </w:r>
    </w:p>
    <w:p w14:paraId="4E5E498E" w14:textId="77777777" w:rsidR="009E0E94" w:rsidRPr="008C1ACC" w:rsidRDefault="009E0E94" w:rsidP="009E0E94">
      <w:pPr>
        <w:pStyle w:val="ppoHeading5"/>
        <w:rPr>
          <w:noProof/>
        </w:rPr>
      </w:pPr>
      <w:r w:rsidRPr="008C1ACC">
        <w:rPr>
          <w:noProof/>
        </w:rPr>
        <w:t>Performance assessment</w:t>
      </w:r>
    </w:p>
    <w:p w14:paraId="1238B843" w14:textId="77777777" w:rsidR="009E0E94" w:rsidRPr="008C1ACC" w:rsidRDefault="009E0E94" w:rsidP="009E0E94">
      <w:pPr>
        <w:pStyle w:val="ppoHeading6"/>
        <w:rPr>
          <w:noProof/>
        </w:rPr>
      </w:pPr>
      <w:r w:rsidRPr="008C1ACC">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9E0E94" w:rsidRPr="008C1ACC" w14:paraId="48043B1F" w14:textId="77777777" w:rsidTr="0083214A">
        <w:trPr>
          <w:cnfStyle w:val="100000000000" w:firstRow="1" w:lastRow="0" w:firstColumn="0" w:lastColumn="0" w:oddVBand="0" w:evenVBand="0" w:oddHBand="0" w:evenHBand="0" w:firstRowFirstColumn="0" w:firstRowLastColumn="0" w:lastRowFirstColumn="0" w:lastRowLastColumn="0"/>
        </w:trPr>
        <w:tc>
          <w:tcPr>
            <w:tcW w:w="2330" w:type="dxa"/>
          </w:tcPr>
          <w:p w14:paraId="2501967E" w14:textId="77777777" w:rsidR="009E0E94" w:rsidRPr="008C1ACC" w:rsidRDefault="009E0E94" w:rsidP="0083214A">
            <w:pPr>
              <w:rPr>
                <w:noProof/>
              </w:rPr>
            </w:pPr>
          </w:p>
        </w:tc>
        <w:tc>
          <w:tcPr>
            <w:tcW w:w="1100" w:type="dxa"/>
          </w:tcPr>
          <w:p w14:paraId="48F7236F" w14:textId="77777777" w:rsidR="009E0E94" w:rsidRPr="008C1ACC" w:rsidRDefault="009E0E94" w:rsidP="0083214A">
            <w:pPr>
              <w:rPr>
                <w:noProof/>
              </w:rPr>
            </w:pPr>
            <w:r w:rsidRPr="008C1ACC">
              <w:rPr>
                <w:noProof/>
              </w:rPr>
              <w:t>Baseline</w:t>
            </w:r>
          </w:p>
        </w:tc>
        <w:tc>
          <w:tcPr>
            <w:tcW w:w="1526" w:type="dxa"/>
          </w:tcPr>
          <w:p w14:paraId="4C1733FD" w14:textId="77777777" w:rsidR="009E0E94" w:rsidRPr="008C1ACC" w:rsidRDefault="009E0E94" w:rsidP="0083214A">
            <w:pPr>
              <w:rPr>
                <w:noProof/>
              </w:rPr>
            </w:pPr>
            <w:r w:rsidRPr="008C1ACC">
              <w:rPr>
                <w:noProof/>
              </w:rPr>
              <w:t>Progress (*)</w:t>
            </w:r>
          </w:p>
        </w:tc>
        <w:tc>
          <w:tcPr>
            <w:tcW w:w="1532" w:type="dxa"/>
          </w:tcPr>
          <w:p w14:paraId="31324282" w14:textId="77777777" w:rsidR="009E0E94" w:rsidRPr="008C1ACC" w:rsidRDefault="009E0E94" w:rsidP="0083214A">
            <w:pPr>
              <w:rPr>
                <w:noProof/>
              </w:rPr>
            </w:pPr>
            <w:r w:rsidRPr="008C1ACC">
              <w:rPr>
                <w:noProof/>
              </w:rPr>
              <w:t>Target</w:t>
            </w:r>
          </w:p>
        </w:tc>
        <w:tc>
          <w:tcPr>
            <w:tcW w:w="1572" w:type="dxa"/>
          </w:tcPr>
          <w:p w14:paraId="702E47A5" w14:textId="77777777" w:rsidR="009E0E94" w:rsidRPr="008C1ACC" w:rsidRDefault="009E0E94" w:rsidP="0083214A">
            <w:pPr>
              <w:rPr>
                <w:noProof/>
              </w:rPr>
            </w:pPr>
            <w:r w:rsidRPr="008C1ACC">
              <w:rPr>
                <w:noProof/>
              </w:rPr>
              <w:t>Results</w:t>
            </w:r>
          </w:p>
        </w:tc>
        <w:tc>
          <w:tcPr>
            <w:tcW w:w="1579" w:type="dxa"/>
          </w:tcPr>
          <w:p w14:paraId="3A7F7DA7" w14:textId="77777777" w:rsidR="009E0E94" w:rsidRPr="008C1ACC" w:rsidRDefault="009E0E94" w:rsidP="0083214A">
            <w:pPr>
              <w:rPr>
                <w:noProof/>
              </w:rPr>
            </w:pPr>
            <w:r w:rsidRPr="008C1ACC">
              <w:rPr>
                <w:noProof/>
              </w:rPr>
              <w:t>Assessment</w:t>
            </w:r>
          </w:p>
        </w:tc>
      </w:tr>
      <w:tr w:rsidR="009E0E94" w:rsidRPr="008C1ACC" w14:paraId="5C37A1D5"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655CEABA" w14:textId="77777777" w:rsidR="009E0E94" w:rsidRPr="008C1ACC" w:rsidRDefault="009E0E94" w:rsidP="0083214A">
            <w:pPr>
              <w:rPr>
                <w:noProof/>
              </w:rPr>
            </w:pPr>
            <w:r w:rsidRPr="008C1ACC">
              <w:rPr>
                <w:noProof/>
              </w:rPr>
              <w:t>Participants directly involved in projects</w:t>
            </w:r>
          </w:p>
        </w:tc>
        <w:tc>
          <w:tcPr>
            <w:tcW w:w="1100" w:type="dxa"/>
          </w:tcPr>
          <w:p w14:paraId="38A5D2F0" w14:textId="77777777" w:rsidR="009E0E94" w:rsidRPr="008C1ACC" w:rsidRDefault="009E0E94" w:rsidP="0083214A">
            <w:pPr>
              <w:jc w:val="center"/>
              <w:rPr>
                <w:noProof/>
              </w:rPr>
            </w:pPr>
            <w:r w:rsidRPr="008C1ACC">
              <w:rPr>
                <w:noProof/>
              </w:rPr>
              <w:t>0</w:t>
            </w:r>
          </w:p>
        </w:tc>
        <w:tc>
          <w:tcPr>
            <w:tcW w:w="1526" w:type="dxa"/>
          </w:tcPr>
          <w:p w14:paraId="4C9A1435" w14:textId="77777777" w:rsidR="009E0E94" w:rsidRPr="008C1ACC" w:rsidRDefault="009E0E94" w:rsidP="0083214A">
            <w:pPr>
              <w:jc w:val="center"/>
              <w:rPr>
                <w:b/>
                <w:noProof/>
              </w:rPr>
            </w:pPr>
            <w:r w:rsidRPr="008C1ACC">
              <w:rPr>
                <w:noProof/>
              </w:rPr>
              <w:t>75%</w:t>
            </w:r>
          </w:p>
        </w:tc>
        <w:tc>
          <w:tcPr>
            <w:tcW w:w="1532" w:type="dxa"/>
          </w:tcPr>
          <w:p w14:paraId="4E0618FC" w14:textId="77777777" w:rsidR="009E0E94" w:rsidRPr="008C1ACC" w:rsidRDefault="009E0E94" w:rsidP="0083214A">
            <w:pPr>
              <w:jc w:val="center"/>
              <w:rPr>
                <w:noProof/>
              </w:rPr>
            </w:pPr>
            <w:r w:rsidRPr="008C1ACC">
              <w:rPr>
                <w:noProof/>
              </w:rPr>
              <w:t>1.30</w:t>
            </w:r>
            <w:r w:rsidRPr="008C1ACC">
              <w:rPr>
                <w:rFonts w:ascii="Calibri" w:hAnsi="Calibri" w:cs="Calibri"/>
                <w:noProof/>
              </w:rPr>
              <w:t> </w:t>
            </w:r>
            <w:r w:rsidRPr="008C1ACC">
              <w:rPr>
                <w:noProof/>
              </w:rPr>
              <w:t xml:space="preserve">million in 2020 </w:t>
            </w:r>
          </w:p>
        </w:tc>
        <w:tc>
          <w:tcPr>
            <w:tcW w:w="1572" w:type="dxa"/>
          </w:tcPr>
          <w:p w14:paraId="5AF94C51" w14:textId="77777777" w:rsidR="009E0E94" w:rsidRPr="008C1ACC" w:rsidRDefault="009E0E94" w:rsidP="0083214A">
            <w:pPr>
              <w:jc w:val="center"/>
              <w:rPr>
                <w:noProof/>
              </w:rPr>
            </w:pPr>
            <w:r w:rsidRPr="008C1ACC">
              <w:rPr>
                <w:noProof/>
              </w:rPr>
              <w:t>0.98</w:t>
            </w:r>
            <w:r w:rsidRPr="008C1ACC">
              <w:rPr>
                <w:rFonts w:ascii="Calibri" w:hAnsi="Calibri" w:cs="Calibri"/>
                <w:noProof/>
              </w:rPr>
              <w:t> </w:t>
            </w:r>
            <w:r w:rsidRPr="008C1ACC">
              <w:rPr>
                <w:noProof/>
              </w:rPr>
              <w:t>million compared participants to a target of 1.30</w:t>
            </w:r>
            <w:r w:rsidRPr="008C1ACC">
              <w:rPr>
                <w:rFonts w:ascii="Calibri" w:hAnsi="Calibri" w:cs="Calibri"/>
                <w:noProof/>
              </w:rPr>
              <w:t> </w:t>
            </w:r>
            <w:r w:rsidRPr="008C1ACC">
              <w:rPr>
                <w:noProof/>
              </w:rPr>
              <w:t>million</w:t>
            </w:r>
          </w:p>
        </w:tc>
        <w:tc>
          <w:tcPr>
            <w:tcW w:w="1579" w:type="dxa"/>
          </w:tcPr>
          <w:p w14:paraId="28F1B849" w14:textId="77777777" w:rsidR="009E0E94" w:rsidRPr="008C1ACC" w:rsidRDefault="009E0E94" w:rsidP="0083214A">
            <w:pPr>
              <w:jc w:val="center"/>
              <w:rPr>
                <w:noProof/>
              </w:rPr>
            </w:pPr>
            <w:r w:rsidRPr="008C1ACC">
              <w:rPr>
                <w:noProof/>
              </w:rPr>
              <w:t>Moderate progress</w:t>
            </w:r>
          </w:p>
        </w:tc>
      </w:tr>
      <w:tr w:rsidR="009E0E94" w:rsidRPr="008C1ACC" w14:paraId="722D287D"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5D4855FF" w14:textId="77777777" w:rsidR="009E0E94" w:rsidRPr="008C1ACC" w:rsidRDefault="009E0E94" w:rsidP="0083214A">
            <w:pPr>
              <w:rPr>
                <w:noProof/>
              </w:rPr>
            </w:pPr>
            <w:r w:rsidRPr="008C1ACC">
              <w:rPr>
                <w:noProof/>
              </w:rPr>
              <w:t>People indirectly reached by the programme</w:t>
            </w:r>
          </w:p>
        </w:tc>
        <w:tc>
          <w:tcPr>
            <w:tcW w:w="1100" w:type="dxa"/>
          </w:tcPr>
          <w:p w14:paraId="3B180DE0" w14:textId="77777777" w:rsidR="009E0E94" w:rsidRPr="008C1ACC" w:rsidRDefault="009E0E94" w:rsidP="0083214A">
            <w:pPr>
              <w:jc w:val="center"/>
              <w:rPr>
                <w:noProof/>
              </w:rPr>
            </w:pPr>
            <w:r w:rsidRPr="008C1ACC">
              <w:rPr>
                <w:noProof/>
              </w:rPr>
              <w:t>0</w:t>
            </w:r>
          </w:p>
        </w:tc>
        <w:tc>
          <w:tcPr>
            <w:tcW w:w="1526" w:type="dxa"/>
          </w:tcPr>
          <w:p w14:paraId="24D915FB" w14:textId="77777777" w:rsidR="009E0E94" w:rsidRPr="008C1ACC" w:rsidRDefault="009E0E94" w:rsidP="0083214A">
            <w:pPr>
              <w:jc w:val="center"/>
              <w:rPr>
                <w:b/>
                <w:noProof/>
              </w:rPr>
            </w:pPr>
            <w:r w:rsidRPr="008C1ACC">
              <w:rPr>
                <w:noProof/>
              </w:rPr>
              <w:t>76%</w:t>
            </w:r>
          </w:p>
        </w:tc>
        <w:tc>
          <w:tcPr>
            <w:tcW w:w="1532" w:type="dxa"/>
          </w:tcPr>
          <w:p w14:paraId="372CFC3A" w14:textId="77777777" w:rsidR="009E0E94" w:rsidRPr="008C1ACC" w:rsidRDefault="009E0E94" w:rsidP="0083214A">
            <w:pPr>
              <w:jc w:val="center"/>
              <w:rPr>
                <w:noProof/>
              </w:rPr>
            </w:pPr>
            <w:r w:rsidRPr="008C1ACC">
              <w:rPr>
                <w:noProof/>
              </w:rPr>
              <w:t>1.55</w:t>
            </w:r>
            <w:r w:rsidRPr="008C1ACC">
              <w:rPr>
                <w:rFonts w:ascii="Calibri" w:hAnsi="Calibri" w:cs="Calibri"/>
                <w:noProof/>
              </w:rPr>
              <w:t> </w:t>
            </w:r>
            <w:r w:rsidRPr="008C1ACC">
              <w:rPr>
                <w:noProof/>
              </w:rPr>
              <w:t>million in 2020</w:t>
            </w:r>
          </w:p>
        </w:tc>
        <w:tc>
          <w:tcPr>
            <w:tcW w:w="1572" w:type="dxa"/>
          </w:tcPr>
          <w:p w14:paraId="53D4FFD5" w14:textId="77777777" w:rsidR="009E0E94" w:rsidRPr="008C1ACC" w:rsidRDefault="009E0E94" w:rsidP="0083214A">
            <w:pPr>
              <w:jc w:val="center"/>
              <w:rPr>
                <w:noProof/>
              </w:rPr>
            </w:pPr>
            <w:r w:rsidRPr="008C1ACC">
              <w:rPr>
                <w:noProof/>
              </w:rPr>
              <w:t>1.18</w:t>
            </w:r>
            <w:r w:rsidRPr="008C1ACC">
              <w:rPr>
                <w:rFonts w:ascii="Calibri" w:hAnsi="Calibri" w:cs="Calibri"/>
                <w:noProof/>
              </w:rPr>
              <w:t> </w:t>
            </w:r>
            <w:r w:rsidRPr="008C1ACC">
              <w:rPr>
                <w:noProof/>
              </w:rPr>
              <w:t>million people reached compared to a target of 1.55</w:t>
            </w:r>
            <w:r w:rsidRPr="008C1ACC">
              <w:rPr>
                <w:rFonts w:ascii="Calibri" w:hAnsi="Calibri" w:cs="Calibri"/>
                <w:noProof/>
              </w:rPr>
              <w:t> </w:t>
            </w:r>
            <w:r w:rsidRPr="008C1ACC">
              <w:rPr>
                <w:noProof/>
              </w:rPr>
              <w:t>million</w:t>
            </w:r>
          </w:p>
        </w:tc>
        <w:tc>
          <w:tcPr>
            <w:tcW w:w="1579" w:type="dxa"/>
          </w:tcPr>
          <w:p w14:paraId="2D676226" w14:textId="77777777" w:rsidR="009E0E94" w:rsidRPr="008C1ACC" w:rsidRDefault="009E0E94" w:rsidP="0083214A">
            <w:pPr>
              <w:jc w:val="center"/>
              <w:rPr>
                <w:noProof/>
              </w:rPr>
            </w:pPr>
            <w:r w:rsidRPr="008C1ACC">
              <w:rPr>
                <w:noProof/>
              </w:rPr>
              <w:t>On track</w:t>
            </w:r>
          </w:p>
        </w:tc>
      </w:tr>
    </w:tbl>
    <w:p w14:paraId="497737B3" w14:textId="77777777" w:rsidR="009E0E94" w:rsidRPr="008C1ACC" w:rsidRDefault="009E0E94" w:rsidP="009E0E94">
      <w:pPr>
        <w:pStyle w:val="FootnoteText"/>
        <w:rPr>
          <w:noProof/>
        </w:rPr>
      </w:pPr>
      <w:r w:rsidRPr="008C1ACC">
        <w:rPr>
          <w:noProof/>
        </w:rPr>
        <w:t>(*) % of target achieved by the end of 2020.</w:t>
      </w:r>
    </w:p>
    <w:p w14:paraId="7DA0A444" w14:textId="77777777" w:rsidR="009E0E94" w:rsidRPr="008C1ACC" w:rsidRDefault="009E0E94" w:rsidP="009E0E94">
      <w:pPr>
        <w:pStyle w:val="ppoListHyphened-L1"/>
        <w:rPr>
          <w:noProof/>
        </w:rPr>
      </w:pPr>
      <w:r w:rsidRPr="008C1ACC">
        <w:rPr>
          <w:noProof/>
        </w:rPr>
        <w:t>The Europe for citizens programme played a positive overall role in encouraging civic participation and democratic engagement, while strengthening the mutual sense of belonging and supporting mutual understanding and identification with Europe, thereby helping to support the European integration process in the longer term.</w:t>
      </w:r>
    </w:p>
    <w:p w14:paraId="16CAC788" w14:textId="77777777" w:rsidR="009E0E94" w:rsidRPr="008C1ACC" w:rsidRDefault="009E0E94" w:rsidP="009E0E94">
      <w:pPr>
        <w:pStyle w:val="ppoListHyphened-L1"/>
        <w:rPr>
          <w:noProof/>
        </w:rPr>
      </w:pPr>
      <w:r w:rsidRPr="008C1ACC">
        <w:rPr>
          <w:noProof/>
        </w:rPr>
        <w:t>As evidenced by the midterm evaluation, Europe for citizens has successfully demonstrated its added value at the EU level, in terms of both its impact on participants and its complementary role with regard to other EU funding programmes and policy initiatives in the fields of education, culture and EU citizenship.</w:t>
      </w:r>
    </w:p>
    <w:p w14:paraId="7C556593" w14:textId="77777777" w:rsidR="009E0E94" w:rsidRPr="008C1ACC" w:rsidRDefault="009E0E94" w:rsidP="009E0E94">
      <w:pPr>
        <w:pStyle w:val="ppoListHyphened-L1"/>
        <w:rPr>
          <w:noProof/>
        </w:rPr>
      </w:pPr>
      <w:r w:rsidRPr="008C1ACC">
        <w:rPr>
          <w:noProof/>
        </w:rPr>
        <w:t>Aspects that have been identified for improvement mostly relate to increasing the programme's visibility, amending the monitoring indicators and strengthening synergies with other relevant EU funding programmes and initiatives.</w:t>
      </w:r>
    </w:p>
    <w:p w14:paraId="7326A8F1" w14:textId="77777777" w:rsidR="009E0E94" w:rsidRPr="008C1ACC" w:rsidRDefault="009E0E94" w:rsidP="009E0E94">
      <w:pPr>
        <w:pStyle w:val="ppoListHyphened-L1"/>
        <w:rPr>
          <w:noProof/>
        </w:rPr>
      </w:pPr>
      <w:r w:rsidRPr="008C1ACC">
        <w:rPr>
          <w:noProof/>
        </w:rPr>
        <w:t>Of the 1</w:t>
      </w:r>
      <w:r w:rsidRPr="008C1ACC">
        <w:rPr>
          <w:rFonts w:ascii="Calibri" w:hAnsi="Calibri" w:cs="Calibri"/>
          <w:noProof/>
        </w:rPr>
        <w:t> </w:t>
      </w:r>
      <w:r w:rsidRPr="008C1ACC">
        <w:rPr>
          <w:noProof/>
        </w:rPr>
        <w:t>761 applications received, 419 projects were selected, and around 1</w:t>
      </w:r>
      <w:r w:rsidRPr="008C1ACC">
        <w:rPr>
          <w:rFonts w:ascii="Calibri" w:hAnsi="Calibri" w:cs="Calibri"/>
          <w:noProof/>
        </w:rPr>
        <w:t> </w:t>
      </w:r>
      <w:r w:rsidRPr="008C1ACC">
        <w:rPr>
          <w:noProof/>
        </w:rPr>
        <w:t>250</w:t>
      </w:r>
      <w:r w:rsidRPr="008C1ACC">
        <w:rPr>
          <w:rFonts w:ascii="Calibri" w:hAnsi="Calibri" w:cs="Calibri"/>
          <w:noProof/>
        </w:rPr>
        <w:t> </w:t>
      </w:r>
      <w:r w:rsidRPr="008C1ACC">
        <w:rPr>
          <w:noProof/>
        </w:rPr>
        <w:t>000 participants are expected to have been involved in the programme’s activities.</w:t>
      </w:r>
      <w:r w:rsidRPr="008C1ACC">
        <w:rPr>
          <w:rFonts w:eastAsia="Times"/>
          <w:noProof/>
          <w:lang w:eastAsia="zh-CN"/>
        </w:rPr>
        <w:t xml:space="preserve"> The number of participants is satisfactory and </w:t>
      </w:r>
      <w:r w:rsidRPr="008C1ACC">
        <w:rPr>
          <w:noProof/>
        </w:rPr>
        <w:t>suggests that the programme has contributed to achieving its general objectives.</w:t>
      </w:r>
    </w:p>
    <w:p w14:paraId="2D2C1F29" w14:textId="77777777" w:rsidR="009E0E94" w:rsidRPr="008C1ACC" w:rsidRDefault="009E0E94" w:rsidP="009E0E94">
      <w:pPr>
        <w:pStyle w:val="ppoListHyphened-L1"/>
        <w:rPr>
          <w:noProof/>
        </w:rPr>
      </w:pPr>
      <w:r w:rsidRPr="008C1ACC">
        <w:rPr>
          <w:noProof/>
        </w:rPr>
        <w:t>The Europe for citizens programme was affected by the COVID-19 crisis. This resulted in delays in implementing a certain number of projects. However, this should not impact the overall performance of projects. Where possible, projects changed their in-person events to online or hybrid meetings while staying in line with planned themes and content that impacted the schedule less heavily. For some projects, however, this was not an option, and such projects had to be delayed until sanitary conditions would allow for physical meetings in order to deliver quality results.</w:t>
      </w:r>
    </w:p>
    <w:p w14:paraId="28F34090" w14:textId="77777777" w:rsidR="006257CF" w:rsidRDefault="006257CF" w:rsidP="00E73D04">
      <w:pPr>
        <w:pStyle w:val="ppoListHyphened-L1"/>
        <w:rPr>
          <w:b/>
          <w:noProof/>
        </w:rPr>
        <w:sectPr w:rsidR="006257CF" w:rsidSect="0083214A">
          <w:headerReference w:type="even" r:id="rId329"/>
          <w:headerReference w:type="default" r:id="rId330"/>
          <w:footerReference w:type="even" r:id="rId331"/>
          <w:footerReference w:type="default" r:id="rId332"/>
          <w:headerReference w:type="first" r:id="rId333"/>
          <w:footerReference w:type="first" r:id="rId334"/>
          <w:type w:val="continuous"/>
          <w:pgSz w:w="11906" w:h="16838" w:code="9"/>
          <w:pgMar w:top="1134" w:right="1134" w:bottom="964" w:left="1134" w:header="431" w:footer="431" w:gutter="0"/>
          <w:cols w:space="720"/>
          <w:titlePg/>
          <w:docGrid w:linePitch="360"/>
        </w:sectPr>
      </w:pPr>
    </w:p>
    <w:p w14:paraId="114354D1" w14:textId="77777777" w:rsidR="006257CF" w:rsidRPr="00A460EC" w:rsidRDefault="006257CF" w:rsidP="006257CF">
      <w:pPr>
        <w:pStyle w:val="StyleppoHeading3WhiteLeft0cm"/>
        <w:rPr>
          <w:noProof/>
          <w:sz w:val="40"/>
          <w:szCs w:val="40"/>
        </w:rPr>
      </w:pPr>
    </w:p>
    <w:p w14:paraId="5F199F47" w14:textId="77777777" w:rsidR="006257CF" w:rsidRPr="00A460EC" w:rsidRDefault="006257CF" w:rsidP="006257CF">
      <w:pPr>
        <w:pStyle w:val="StyleppoHeading3WhiteLeft0cm"/>
        <w:rPr>
          <w:noProof/>
          <w:sz w:val="60"/>
          <w:szCs w:val="60"/>
        </w:rPr>
      </w:pPr>
      <w:bookmarkStart w:id="154" w:name="_Toc102086354"/>
      <w:r w:rsidRPr="00A460EC">
        <w:rPr>
          <w:noProof/>
          <w:sz w:val="60"/>
          <w:szCs w:val="60"/>
        </w:rPr>
        <w:t>CREATIVE EUROPE</w:t>
      </w:r>
      <w:bookmarkEnd w:id="154"/>
    </w:p>
    <w:p w14:paraId="75006053" w14:textId="77777777" w:rsidR="006257CF" w:rsidRPr="00A460EC" w:rsidRDefault="006257CF" w:rsidP="006257CF">
      <w:pPr>
        <w:pStyle w:val="StyleppoProgrammenameWhiteLeft01cm"/>
        <w:rPr>
          <w:noProof/>
        </w:rPr>
      </w:pPr>
      <w:r w:rsidRPr="00C81179">
        <w:rPr>
          <w:noProof/>
        </w:rPr>
        <w:t xml:space="preserve">CREATIVE </w:t>
      </w:r>
      <w:r w:rsidRPr="00A460EC">
        <w:rPr>
          <w:noProof/>
        </w:rPr>
        <w:t>EUROPE PROGRAMME</w:t>
      </w:r>
    </w:p>
    <w:p w14:paraId="2A7C41D2" w14:textId="77777777" w:rsidR="006257CF" w:rsidRPr="00A460EC" w:rsidRDefault="006257CF" w:rsidP="006257CF">
      <w:pPr>
        <w:pStyle w:val="ppoHeading4Green"/>
        <w:rPr>
          <w:noProof/>
        </w:rPr>
      </w:pPr>
      <w:r w:rsidRPr="00A460EC">
        <w:rPr>
          <w:noProof/>
        </w:rPr>
        <w:t>Programme in a nutshell</w:t>
      </w:r>
    </w:p>
    <w:p w14:paraId="7BF5DDE4" w14:textId="77777777" w:rsidR="006257CF" w:rsidRPr="00A460EC" w:rsidRDefault="006257CF" w:rsidP="006257CF">
      <w:pPr>
        <w:spacing w:after="480"/>
        <w:rPr>
          <w:rFonts w:eastAsiaTheme="minorEastAsia"/>
          <w:noProof/>
          <w:color w:val="FFFFFF" w:themeColor="background1"/>
          <w:sz w:val="32"/>
        </w:rPr>
        <w:sectPr w:rsidR="006257CF" w:rsidRPr="00A460EC" w:rsidSect="0083214A">
          <w:headerReference w:type="even" r:id="rId335"/>
          <w:headerReference w:type="default" r:id="rId336"/>
          <w:footerReference w:type="even" r:id="rId337"/>
          <w:footerReference w:type="default" r:id="rId338"/>
          <w:headerReference w:type="first" r:id="rId339"/>
          <w:footerReference w:type="first" r:id="rId340"/>
          <w:pgSz w:w="11906" w:h="16838" w:code="9"/>
          <w:pgMar w:top="1134" w:right="1134" w:bottom="964" w:left="1134" w:header="431" w:footer="431" w:gutter="0"/>
          <w:cols w:space="720"/>
          <w:docGrid w:linePitch="360"/>
        </w:sectPr>
      </w:pPr>
    </w:p>
    <w:p w14:paraId="224E7468" w14:textId="77777777" w:rsidR="006257CF" w:rsidRPr="00A460EC" w:rsidRDefault="006257CF" w:rsidP="006257CF">
      <w:pPr>
        <w:pStyle w:val="ppoHeading5"/>
        <w:rPr>
          <w:noProof/>
        </w:rPr>
      </w:pPr>
      <w:r w:rsidRPr="00C81179">
        <w:rPr>
          <w:noProof/>
        </w:rPr>
        <w:t>Concrete examples of achievements</w:t>
      </w:r>
      <w:r w:rsidRPr="00A460EC">
        <w:rPr>
          <w:rFonts w:ascii="Calibri" w:hAnsi="Calibri" w:cs="Calibri"/>
          <w:noProof/>
        </w:rPr>
        <w:t> </w:t>
      </w:r>
      <w:r w:rsidRPr="00A460EC">
        <w:rPr>
          <w:noProof/>
        </w:rPr>
        <w:t>(*)</w:t>
      </w:r>
    </w:p>
    <w:tbl>
      <w:tblPr>
        <w:tblStyle w:val="PPO2021"/>
        <w:tblW w:w="9353" w:type="dxa"/>
        <w:tblInd w:w="0" w:type="dxa"/>
        <w:tblLook w:val="0200" w:firstRow="0" w:lastRow="0" w:firstColumn="0" w:lastColumn="0" w:noHBand="1" w:noVBand="0"/>
      </w:tblPr>
      <w:tblGrid>
        <w:gridCol w:w="2409"/>
        <w:gridCol w:w="2127"/>
        <w:gridCol w:w="2409"/>
        <w:gridCol w:w="2408"/>
      </w:tblGrid>
      <w:tr w:rsidR="006257CF" w:rsidRPr="00A460EC" w14:paraId="00F4BAF7" w14:textId="77777777" w:rsidTr="0083214A">
        <w:tc>
          <w:tcPr>
            <w:tcW w:w="2409" w:type="dxa"/>
          </w:tcPr>
          <w:p w14:paraId="36D487EF" w14:textId="77777777" w:rsidR="006257CF" w:rsidRPr="006C7306" w:rsidRDefault="006257CF" w:rsidP="0083214A">
            <w:pPr>
              <w:pStyle w:val="ppoTableacheivementvalue"/>
              <w:rPr>
                <w:noProof/>
              </w:rPr>
            </w:pPr>
            <w:r w:rsidRPr="006C7306">
              <w:rPr>
                <w:noProof/>
              </w:rPr>
              <w:t>2</w:t>
            </w:r>
          </w:p>
          <w:p w14:paraId="126FA09D" w14:textId="77777777" w:rsidR="006257CF" w:rsidRPr="00A460EC" w:rsidRDefault="006257CF" w:rsidP="00962E3C">
            <w:pPr>
              <w:jc w:val="left"/>
              <w:rPr>
                <w:noProof/>
              </w:rPr>
            </w:pPr>
            <w:r w:rsidRPr="00A460EC">
              <w:rPr>
                <w:bCs/>
                <w:noProof/>
              </w:rPr>
              <w:t xml:space="preserve">European capitals of culture </w:t>
            </w:r>
            <w:r w:rsidRPr="00A460EC">
              <w:rPr>
                <w:noProof/>
              </w:rPr>
              <w:t>were selected for 2021: Rijeka (Croatia) and Galway (Ireland).</w:t>
            </w:r>
          </w:p>
        </w:tc>
        <w:tc>
          <w:tcPr>
            <w:cnfStyle w:val="000001000000" w:firstRow="0" w:lastRow="0" w:firstColumn="0" w:lastColumn="0" w:oddVBand="0" w:evenVBand="1" w:oddHBand="0" w:evenHBand="0" w:firstRowFirstColumn="0" w:firstRowLastColumn="0" w:lastRowFirstColumn="0" w:lastRowLastColumn="0"/>
            <w:tcW w:w="2127" w:type="dxa"/>
          </w:tcPr>
          <w:p w14:paraId="5F7150C5" w14:textId="77777777" w:rsidR="006257CF" w:rsidRPr="00A460EC" w:rsidRDefault="006257CF" w:rsidP="0083214A">
            <w:pPr>
              <w:pStyle w:val="ppoTableacheivementvalue"/>
              <w:rPr>
                <w:noProof/>
              </w:rPr>
            </w:pPr>
            <w:r w:rsidRPr="00A460EC">
              <w:rPr>
                <w:noProof/>
              </w:rPr>
              <w:t>3</w:t>
            </w:r>
          </w:p>
          <w:p w14:paraId="19347614" w14:textId="77777777" w:rsidR="006257CF" w:rsidRPr="00A460EC" w:rsidRDefault="006257CF" w:rsidP="00962E3C">
            <w:pPr>
              <w:jc w:val="left"/>
              <w:rPr>
                <w:noProof/>
              </w:rPr>
            </w:pPr>
            <w:r w:rsidRPr="00A460EC">
              <w:rPr>
                <w:noProof/>
              </w:rPr>
              <w:t>Oscars were awarded to movies funded by the media subprogramme in 2021.</w:t>
            </w:r>
          </w:p>
        </w:tc>
        <w:tc>
          <w:tcPr>
            <w:tcW w:w="2409" w:type="dxa"/>
          </w:tcPr>
          <w:p w14:paraId="0CA28EF2" w14:textId="77777777" w:rsidR="006257CF" w:rsidRPr="00A460EC" w:rsidRDefault="006257CF" w:rsidP="0083214A">
            <w:pPr>
              <w:pStyle w:val="ppoTableacheivementvalue"/>
              <w:cnfStyle w:val="000000000000" w:firstRow="0" w:lastRow="0" w:firstColumn="0" w:lastColumn="0" w:oddVBand="0" w:evenVBand="0" w:oddHBand="0" w:evenHBand="0" w:firstRowFirstColumn="0" w:firstRowLastColumn="0" w:lastRowFirstColumn="0" w:lastRowLastColumn="0"/>
              <w:rPr>
                <w:noProof/>
              </w:rPr>
            </w:pPr>
            <w:r w:rsidRPr="00A460EC">
              <w:rPr>
                <w:noProof/>
              </w:rPr>
              <w:t>22</w:t>
            </w:r>
          </w:p>
          <w:p w14:paraId="53529DCC" w14:textId="77777777" w:rsidR="006257CF" w:rsidRPr="00A460EC" w:rsidRDefault="006257CF" w:rsidP="00962E3C">
            <w:pPr>
              <w:jc w:val="left"/>
              <w:cnfStyle w:val="000000000000" w:firstRow="0" w:lastRow="0" w:firstColumn="0" w:lastColumn="0" w:oddVBand="0" w:evenVBand="0" w:oddHBand="0" w:evenHBand="0" w:firstRowFirstColumn="0" w:firstRowLastColumn="0" w:lastRowFirstColumn="0" w:lastRowLastColumn="0"/>
              <w:rPr>
                <w:noProof/>
              </w:rPr>
            </w:pPr>
            <w:r w:rsidRPr="00A460EC">
              <w:rPr>
                <w:noProof/>
              </w:rPr>
              <w:t>calls for proposals were published in 2021 to launch the implementation of the new programme.</w:t>
            </w:r>
          </w:p>
        </w:tc>
        <w:tc>
          <w:tcPr>
            <w:cnfStyle w:val="000001000000" w:firstRow="0" w:lastRow="0" w:firstColumn="0" w:lastColumn="0" w:oddVBand="0" w:evenVBand="1" w:oddHBand="0" w:evenHBand="0" w:firstRowFirstColumn="0" w:firstRowLastColumn="0" w:lastRowFirstColumn="0" w:lastRowLastColumn="0"/>
            <w:tcW w:w="2408" w:type="dxa"/>
          </w:tcPr>
          <w:p w14:paraId="237C8AAE" w14:textId="77777777" w:rsidR="006257CF" w:rsidRPr="00A460EC" w:rsidRDefault="006257CF" w:rsidP="0083214A">
            <w:pPr>
              <w:pStyle w:val="ppoTableacheivementvalue"/>
              <w:rPr>
                <w:noProof/>
              </w:rPr>
            </w:pPr>
            <w:r w:rsidRPr="00A460EC">
              <w:rPr>
                <w:noProof/>
              </w:rPr>
              <w:t>36</w:t>
            </w:r>
          </w:p>
          <w:p w14:paraId="7BE0FA71" w14:textId="77777777" w:rsidR="006257CF" w:rsidRPr="00A460EC" w:rsidRDefault="006257CF" w:rsidP="00962E3C">
            <w:pPr>
              <w:jc w:val="left"/>
              <w:rPr>
                <w:noProof/>
              </w:rPr>
            </w:pPr>
            <w:r w:rsidRPr="00A460EC">
              <w:rPr>
                <w:noProof/>
              </w:rPr>
              <w:t>European networks represented 4</w:t>
            </w:r>
            <w:r w:rsidRPr="00A460EC">
              <w:rPr>
                <w:rFonts w:ascii="Calibri" w:hAnsi="Calibri" w:cs="Calibri"/>
                <w:noProof/>
              </w:rPr>
              <w:t> </w:t>
            </w:r>
            <w:r w:rsidRPr="00A460EC">
              <w:rPr>
                <w:noProof/>
              </w:rPr>
              <w:t>000 organisations across all cultural sectors</w:t>
            </w:r>
            <w:r w:rsidRPr="00A460EC" w:rsidDel="00A27827">
              <w:rPr>
                <w:noProof/>
              </w:rPr>
              <w:t xml:space="preserve"> </w:t>
            </w:r>
            <w:r w:rsidRPr="00A460EC">
              <w:rPr>
                <w:noProof/>
              </w:rPr>
              <w:t>under the 2014-2020 programme.</w:t>
            </w:r>
          </w:p>
        </w:tc>
      </w:tr>
      <w:tr w:rsidR="006257CF" w:rsidRPr="00A460EC" w14:paraId="138EEEEA" w14:textId="77777777" w:rsidTr="0083214A">
        <w:tc>
          <w:tcPr>
            <w:tcW w:w="2409" w:type="dxa"/>
          </w:tcPr>
          <w:p w14:paraId="47B53739" w14:textId="77777777" w:rsidR="006257CF" w:rsidRPr="00A460EC" w:rsidRDefault="006257CF" w:rsidP="0083214A">
            <w:pPr>
              <w:pStyle w:val="ppoTableacheivementvalue"/>
              <w:rPr>
                <w:noProof/>
              </w:rPr>
            </w:pPr>
            <w:r w:rsidRPr="00A460EC">
              <w:rPr>
                <w:noProof/>
              </w:rPr>
              <w:t>68</w:t>
            </w:r>
          </w:p>
          <w:p w14:paraId="0E1466F8" w14:textId="77777777" w:rsidR="006257CF" w:rsidRPr="00A460EC" w:rsidRDefault="006257CF" w:rsidP="00962E3C">
            <w:pPr>
              <w:jc w:val="left"/>
              <w:rPr>
                <w:noProof/>
              </w:rPr>
            </w:pPr>
            <w:r w:rsidRPr="00A460EC">
              <w:rPr>
                <w:noProof/>
              </w:rPr>
              <w:t>European Cinema Night screenings were held in 2021.</w:t>
            </w:r>
          </w:p>
        </w:tc>
        <w:tc>
          <w:tcPr>
            <w:cnfStyle w:val="000001000000" w:firstRow="0" w:lastRow="0" w:firstColumn="0" w:lastColumn="0" w:oddVBand="0" w:evenVBand="1" w:oddHBand="0" w:evenHBand="0" w:firstRowFirstColumn="0" w:firstRowLastColumn="0" w:lastRowFirstColumn="0" w:lastRowLastColumn="0"/>
            <w:tcW w:w="2127" w:type="dxa"/>
          </w:tcPr>
          <w:p w14:paraId="3FBEEE31" w14:textId="77777777" w:rsidR="006257CF" w:rsidRPr="00A460EC" w:rsidRDefault="006257CF" w:rsidP="0083214A">
            <w:pPr>
              <w:pStyle w:val="ppoTableacheivementvalue"/>
              <w:rPr>
                <w:noProof/>
              </w:rPr>
            </w:pPr>
            <w:r w:rsidRPr="00A460EC">
              <w:rPr>
                <w:noProof/>
              </w:rPr>
              <w:t>EUR</w:t>
            </w:r>
            <w:r w:rsidRPr="00A460EC">
              <w:rPr>
                <w:rFonts w:ascii="Calibri" w:hAnsi="Calibri" w:cs="Calibri"/>
                <w:noProof/>
              </w:rPr>
              <w:t> </w:t>
            </w:r>
            <w:r w:rsidRPr="00A460EC">
              <w:rPr>
                <w:noProof/>
              </w:rPr>
              <w:t>460</w:t>
            </w:r>
            <w:r w:rsidRPr="00A460EC">
              <w:rPr>
                <w:rFonts w:ascii="Calibri" w:hAnsi="Calibri" w:cs="Calibri"/>
                <w:noProof/>
              </w:rPr>
              <w:t> </w:t>
            </w:r>
            <w:r w:rsidRPr="00A460EC">
              <w:rPr>
                <w:noProof/>
              </w:rPr>
              <w:t>million</w:t>
            </w:r>
          </w:p>
          <w:p w14:paraId="1AC4AD30" w14:textId="77777777" w:rsidR="006257CF" w:rsidRPr="00A460EC" w:rsidRDefault="006257CF" w:rsidP="00962E3C">
            <w:pPr>
              <w:jc w:val="left"/>
              <w:rPr>
                <w:noProof/>
              </w:rPr>
            </w:pPr>
            <w:r w:rsidRPr="00A460EC">
              <w:rPr>
                <w:bCs/>
                <w:noProof/>
              </w:rPr>
              <w:t>of new debt had been financed by the end of 2021.</w:t>
            </w:r>
          </w:p>
        </w:tc>
        <w:tc>
          <w:tcPr>
            <w:tcW w:w="2409" w:type="dxa"/>
          </w:tcPr>
          <w:p w14:paraId="0634C6AF" w14:textId="77777777" w:rsidR="006257CF" w:rsidRPr="00A460EC" w:rsidRDefault="006257CF" w:rsidP="0083214A">
            <w:pPr>
              <w:pStyle w:val="ppoTableacheivementvalue"/>
              <w:cnfStyle w:val="000000000000" w:firstRow="0" w:lastRow="0" w:firstColumn="0" w:lastColumn="0" w:oddVBand="0" w:evenVBand="0" w:oddHBand="0" w:evenHBand="0" w:firstRowFirstColumn="0" w:firstRowLastColumn="0" w:lastRowFirstColumn="0" w:lastRowLastColumn="0"/>
              <w:rPr>
                <w:noProof/>
              </w:rPr>
            </w:pPr>
            <w:r w:rsidRPr="00A460EC">
              <w:rPr>
                <w:noProof/>
              </w:rPr>
              <w:t>Nearly 13</w:t>
            </w:r>
            <w:r w:rsidRPr="00A460EC">
              <w:rPr>
                <w:rFonts w:ascii="Calibri" w:hAnsi="Calibri" w:cs="Calibri"/>
                <w:noProof/>
              </w:rPr>
              <w:t> </w:t>
            </w:r>
            <w:r w:rsidRPr="00A460EC">
              <w:rPr>
                <w:noProof/>
              </w:rPr>
              <w:t xml:space="preserve">500 </w:t>
            </w:r>
          </w:p>
          <w:p w14:paraId="31B6DC8D" w14:textId="77777777" w:rsidR="006257CF" w:rsidRPr="00A460EC" w:rsidRDefault="006257CF" w:rsidP="00962E3C">
            <w:pPr>
              <w:jc w:val="left"/>
              <w:cnfStyle w:val="000000000000" w:firstRow="0" w:lastRow="0" w:firstColumn="0" w:lastColumn="0" w:oddVBand="0" w:evenVBand="0" w:oddHBand="0" w:evenHBand="0" w:firstRowFirstColumn="0" w:firstRowLastColumn="0" w:lastRowFirstColumn="0" w:lastRowLastColumn="0"/>
              <w:rPr>
                <w:noProof/>
              </w:rPr>
            </w:pPr>
            <w:r>
              <w:rPr>
                <w:noProof/>
              </w:rPr>
              <w:t xml:space="preserve">grants </w:t>
            </w:r>
            <w:r w:rsidRPr="00A460EC">
              <w:rPr>
                <w:noProof/>
              </w:rPr>
              <w:t>were awarded to support projects and initiatives in the culture and audiovisual fields under the 2014-2020 programme.</w:t>
            </w:r>
          </w:p>
        </w:tc>
        <w:tc>
          <w:tcPr>
            <w:cnfStyle w:val="000001000000" w:firstRow="0" w:lastRow="0" w:firstColumn="0" w:lastColumn="0" w:oddVBand="0" w:evenVBand="1" w:oddHBand="0" w:evenHBand="0" w:firstRowFirstColumn="0" w:firstRowLastColumn="0" w:lastRowFirstColumn="0" w:lastRowLastColumn="0"/>
            <w:tcW w:w="2408" w:type="dxa"/>
          </w:tcPr>
          <w:p w14:paraId="4F37D0CF" w14:textId="77777777" w:rsidR="006257CF" w:rsidRPr="00A460EC" w:rsidRDefault="006257CF" w:rsidP="0083214A">
            <w:pPr>
              <w:pStyle w:val="ppoTableacheivementvalue"/>
              <w:rPr>
                <w:noProof/>
              </w:rPr>
            </w:pPr>
            <w:r w:rsidRPr="00A460EC">
              <w:rPr>
                <w:noProof/>
              </w:rPr>
              <w:t xml:space="preserve">Nearly 650 </w:t>
            </w:r>
          </w:p>
          <w:p w14:paraId="2B5268E5" w14:textId="77777777" w:rsidR="006257CF" w:rsidRPr="00A460EC" w:rsidRDefault="006257CF" w:rsidP="00962E3C">
            <w:pPr>
              <w:jc w:val="left"/>
              <w:rPr>
                <w:noProof/>
              </w:rPr>
            </w:pPr>
            <w:r>
              <w:rPr>
                <w:noProof/>
              </w:rPr>
              <w:t xml:space="preserve">Partnerships </w:t>
            </w:r>
            <w:r w:rsidRPr="00A460EC">
              <w:rPr>
                <w:noProof/>
              </w:rPr>
              <w:t>with long-term effects on 3</w:t>
            </w:r>
            <w:r w:rsidRPr="00A460EC">
              <w:rPr>
                <w:rFonts w:ascii="Calibri" w:hAnsi="Calibri" w:cs="Calibri"/>
                <w:noProof/>
              </w:rPr>
              <w:t> </w:t>
            </w:r>
            <w:r w:rsidRPr="00A460EC">
              <w:rPr>
                <w:noProof/>
              </w:rPr>
              <w:t>760 organisations were established across Europe under the 2014-2020 programme.</w:t>
            </w:r>
          </w:p>
        </w:tc>
      </w:tr>
    </w:tbl>
    <w:p w14:paraId="6D7032B0" w14:textId="77777777" w:rsidR="006257CF" w:rsidRPr="00A460EC" w:rsidRDefault="006257CF" w:rsidP="006257CF">
      <w:pPr>
        <w:pStyle w:val="FootnoteText"/>
        <w:rPr>
          <w:rFonts w:eastAsiaTheme="minorEastAsia"/>
          <w:noProof/>
        </w:rPr>
      </w:pPr>
      <w:r w:rsidRPr="00A460EC">
        <w:rPr>
          <w:rFonts w:eastAsiaTheme="minorEastAsia"/>
          <w:noProof/>
        </w:rPr>
        <w:t>(*)</w:t>
      </w:r>
      <w:r w:rsidRPr="00A460EC">
        <w:rPr>
          <w:rFonts w:eastAsiaTheme="minorEastAsia"/>
          <w:noProof/>
        </w:rPr>
        <w:tab/>
        <w:t>Key achievements in the table state which period they relate to. Many come from the implementation of the predecessor programmes under the 2014-2020 multiannual financial framework. This is expected and is due to the multiannual life cycle of EU programmes and the projects they finance, where results often follow only after completion of the programmes.</w:t>
      </w:r>
    </w:p>
    <w:p w14:paraId="0455862C" w14:textId="77777777" w:rsidR="006257CF" w:rsidRPr="00A460EC" w:rsidRDefault="006257CF" w:rsidP="006257CF">
      <w:pPr>
        <w:pStyle w:val="ppoHeading5"/>
        <w:rPr>
          <w:noProof/>
        </w:rPr>
      </w:pPr>
      <w:r w:rsidRPr="00A460EC">
        <w:rPr>
          <w:noProof/>
        </w:rPr>
        <w:t>Budget for 2021-2027</w:t>
      </w:r>
    </w:p>
    <w:p w14:paraId="6008FFC1" w14:textId="77777777" w:rsidR="006257CF" w:rsidRPr="00A460EC" w:rsidRDefault="006257CF" w:rsidP="006257CF">
      <w:pPr>
        <w:pStyle w:val="ppoTableTabletitle"/>
        <w:ind w:left="284"/>
        <w:rPr>
          <w:noProof/>
        </w:rPr>
      </w:pPr>
      <w:r w:rsidRPr="00A460EC">
        <w:rPr>
          <w:noProof/>
        </w:rPr>
        <w:t>(million EUR)</w:t>
      </w:r>
    </w:p>
    <w:tbl>
      <w:tblPr>
        <w:tblStyle w:val="PlainTable2"/>
        <w:tblW w:w="0" w:type="auto"/>
        <w:tblInd w:w="288" w:type="dxa"/>
        <w:tblLook w:val="04A0" w:firstRow="1" w:lastRow="0" w:firstColumn="1" w:lastColumn="0" w:noHBand="0" w:noVBand="1"/>
      </w:tblPr>
      <w:tblGrid>
        <w:gridCol w:w="4788"/>
        <w:gridCol w:w="2610"/>
      </w:tblGrid>
      <w:tr w:rsidR="006257CF" w:rsidRPr="00A460EC" w14:paraId="4A8D1D07" w14:textId="77777777" w:rsidTr="0083214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54486AAD" w14:textId="77777777" w:rsidR="006257CF" w:rsidRPr="00A460EC" w:rsidRDefault="006257CF" w:rsidP="0083214A">
            <w:pPr>
              <w:spacing w:before="120" w:after="120"/>
              <w:rPr>
                <w:noProof/>
              </w:rPr>
            </w:pPr>
            <w:r w:rsidRPr="00A460EC">
              <w:rPr>
                <w:rFonts w:cs="Calibri"/>
                <w:noProof/>
                <w:color w:val="000000"/>
              </w:rPr>
              <w:t>Financial programming</w:t>
            </w:r>
            <w:r w:rsidRPr="00A460EC">
              <w:rPr>
                <w:rFonts w:ascii="Calibri" w:hAnsi="Calibri" w:cs="Calibri"/>
                <w:noProof/>
                <w:color w:val="000000"/>
              </w:rPr>
              <w:t> (</w:t>
            </w:r>
            <w:r w:rsidRPr="00A460EC">
              <w:rPr>
                <w:rFonts w:cs="Calibri"/>
                <w:noProof/>
                <w:color w:val="000000"/>
              </w:rPr>
              <w:t>*)</w:t>
            </w:r>
          </w:p>
        </w:tc>
        <w:tc>
          <w:tcPr>
            <w:tcW w:w="2610" w:type="dxa"/>
            <w:shd w:val="clear" w:color="auto" w:fill="auto"/>
            <w:vAlign w:val="bottom"/>
          </w:tcPr>
          <w:p w14:paraId="79314756" w14:textId="77777777" w:rsidR="006257CF" w:rsidRDefault="006257CF" w:rsidP="0083214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2 026.3</w:t>
            </w:r>
          </w:p>
          <w:p w14:paraId="728A9BEF" w14:textId="77777777" w:rsidR="006257CF" w:rsidRPr="00A460EC" w:rsidRDefault="006257CF" w:rsidP="0083214A">
            <w:pPr>
              <w:spacing w:before="120" w:after="120"/>
              <w:jc w:val="center"/>
              <w:cnfStyle w:val="100000000000" w:firstRow="1" w:lastRow="0" w:firstColumn="0" w:lastColumn="0" w:oddVBand="0" w:evenVBand="0" w:oddHBand="0" w:evenHBand="0" w:firstRowFirstColumn="0" w:firstRowLastColumn="0" w:lastRowFirstColumn="0" w:lastRowLastColumn="0"/>
              <w:rPr>
                <w:b w:val="0"/>
                <w:noProof/>
              </w:rPr>
            </w:pPr>
          </w:p>
        </w:tc>
      </w:tr>
      <w:tr w:rsidR="006257CF" w:rsidRPr="00A460EC" w14:paraId="30133585"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229F8377" w14:textId="77777777" w:rsidR="006257CF" w:rsidRPr="00A460EC" w:rsidRDefault="006257CF" w:rsidP="0083214A">
            <w:pPr>
              <w:spacing w:before="120" w:after="120"/>
              <w:rPr>
                <w:b w:val="0"/>
                <w:noProof/>
              </w:rPr>
            </w:pPr>
            <w:r w:rsidRPr="00A460EC">
              <w:rPr>
                <w:rFonts w:cs="Calibri"/>
                <w:noProof/>
                <w:color w:val="000000"/>
              </w:rPr>
              <w:t>NextGenerationEU</w:t>
            </w:r>
          </w:p>
        </w:tc>
        <w:tc>
          <w:tcPr>
            <w:tcW w:w="2610" w:type="dxa"/>
            <w:vAlign w:val="bottom"/>
          </w:tcPr>
          <w:p w14:paraId="5C83319D" w14:textId="77777777" w:rsidR="006257CF" w:rsidRPr="00A460EC" w:rsidRDefault="006257CF"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A460EC">
              <w:rPr>
                <w:rFonts w:cs="Calibri"/>
                <w:noProof/>
                <w:color w:val="000000"/>
              </w:rPr>
              <w:t>0</w:t>
            </w:r>
          </w:p>
        </w:tc>
      </w:tr>
      <w:tr w:rsidR="006257CF" w:rsidRPr="00A460EC" w14:paraId="626C15BB"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6BF8EEDA" w14:textId="77777777" w:rsidR="006257CF" w:rsidRPr="00A460EC" w:rsidRDefault="006257CF" w:rsidP="0083214A">
            <w:pPr>
              <w:spacing w:before="120" w:after="120"/>
              <w:rPr>
                <w:b w:val="0"/>
                <w:noProof/>
              </w:rPr>
            </w:pPr>
            <w:r w:rsidRPr="00A460EC">
              <w:rPr>
                <w:noProof/>
              </w:rPr>
              <w:t>Decommitments made available again</w:t>
            </w:r>
            <w:r w:rsidRPr="00A460EC">
              <w:rPr>
                <w:rFonts w:ascii="Calibri" w:hAnsi="Calibri" w:cs="Calibri"/>
                <w:noProof/>
              </w:rPr>
              <w:t> (</w:t>
            </w:r>
            <w:r w:rsidRPr="00A460EC">
              <w:rPr>
                <w:noProof/>
              </w:rPr>
              <w:t>**)</w:t>
            </w:r>
          </w:p>
        </w:tc>
        <w:tc>
          <w:tcPr>
            <w:tcW w:w="2610" w:type="dxa"/>
            <w:vAlign w:val="bottom"/>
          </w:tcPr>
          <w:p w14:paraId="47F02299" w14:textId="77777777" w:rsidR="006257CF" w:rsidRPr="00A460EC" w:rsidRDefault="006257CF" w:rsidP="0083214A">
            <w:pPr>
              <w:spacing w:before="120" w:after="120"/>
              <w:jc w:val="center"/>
              <w:cnfStyle w:val="000000000000" w:firstRow="0" w:lastRow="0" w:firstColumn="0" w:lastColumn="0" w:oddVBand="0" w:evenVBand="0" w:oddHBand="0" w:evenHBand="0" w:firstRowFirstColumn="0" w:firstRowLastColumn="0" w:lastRowFirstColumn="0" w:lastRowLastColumn="0"/>
              <w:rPr>
                <w:noProof/>
              </w:rPr>
            </w:pPr>
            <w:r>
              <w:rPr>
                <w:rFonts w:cs="Calibri"/>
                <w:noProof/>
                <w:color w:val="000000"/>
              </w:rPr>
              <w:t>N/A</w:t>
            </w:r>
          </w:p>
        </w:tc>
      </w:tr>
      <w:tr w:rsidR="006257CF" w:rsidRPr="00A460EC" w14:paraId="55E96314"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678A9214" w14:textId="77777777" w:rsidR="006257CF" w:rsidRPr="00A460EC" w:rsidRDefault="006257CF" w:rsidP="0083214A">
            <w:pPr>
              <w:spacing w:before="120" w:after="120"/>
              <w:rPr>
                <w:noProof/>
              </w:rPr>
            </w:pPr>
            <w:r w:rsidRPr="00A460EC">
              <w:rPr>
                <w:rFonts w:cs="Calibri"/>
                <w:noProof/>
                <w:color w:val="000000"/>
              </w:rPr>
              <w:t>Contributions from other countries and entities</w:t>
            </w:r>
          </w:p>
        </w:tc>
        <w:tc>
          <w:tcPr>
            <w:tcW w:w="2610" w:type="dxa"/>
            <w:vAlign w:val="bottom"/>
          </w:tcPr>
          <w:p w14:paraId="4A12FFBA" w14:textId="77777777" w:rsidR="006257CF" w:rsidRPr="00A460EC" w:rsidRDefault="006257CF"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A460EC">
              <w:rPr>
                <w:rFonts w:cs="Calibri"/>
                <w:noProof/>
                <w:color w:val="000000"/>
              </w:rPr>
              <w:t>10.1</w:t>
            </w:r>
          </w:p>
        </w:tc>
      </w:tr>
      <w:tr w:rsidR="006257CF" w:rsidRPr="00A460EC" w14:paraId="0F979F01"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2F2F2" w:themeFill="background1" w:themeFillShade="F2"/>
            <w:vAlign w:val="bottom"/>
          </w:tcPr>
          <w:p w14:paraId="758ACE4E" w14:textId="77777777" w:rsidR="006257CF" w:rsidRPr="00A460EC" w:rsidRDefault="006257CF" w:rsidP="0083214A">
            <w:pPr>
              <w:spacing w:before="120" w:after="120"/>
              <w:rPr>
                <w:noProof/>
              </w:rPr>
            </w:pPr>
            <w:r w:rsidRPr="00A460EC">
              <w:rPr>
                <w:rFonts w:cs="Calibri"/>
                <w:noProof/>
                <w:color w:val="000000"/>
              </w:rPr>
              <w:t>Total budget for 2021-2027</w:t>
            </w:r>
          </w:p>
        </w:tc>
        <w:tc>
          <w:tcPr>
            <w:tcW w:w="2610" w:type="dxa"/>
            <w:shd w:val="clear" w:color="auto" w:fill="F2F2F2" w:themeFill="background1" w:themeFillShade="F2"/>
            <w:vAlign w:val="bottom"/>
          </w:tcPr>
          <w:p w14:paraId="4B14199C" w14:textId="77777777" w:rsidR="00CF2823" w:rsidRDefault="00CF2823" w:rsidP="00CF2823">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noProof/>
                <w:color w:val="000000"/>
              </w:rPr>
            </w:pPr>
            <w:r>
              <w:rPr>
                <w:rFonts w:ascii="Calibri" w:hAnsi="Calibri" w:cs="Calibri"/>
                <w:b/>
                <w:bCs/>
                <w:noProof/>
                <w:color w:val="000000"/>
              </w:rPr>
              <w:t>2 036.5</w:t>
            </w:r>
          </w:p>
          <w:p w14:paraId="1000F3DA" w14:textId="77777777" w:rsidR="006257CF" w:rsidRPr="00A460EC" w:rsidRDefault="006257CF" w:rsidP="0083214A">
            <w:pPr>
              <w:spacing w:before="120" w:after="120"/>
              <w:jc w:val="center"/>
              <w:cnfStyle w:val="000000000000" w:firstRow="0" w:lastRow="0" w:firstColumn="0" w:lastColumn="0" w:oddVBand="0" w:evenVBand="0" w:oddHBand="0" w:evenHBand="0" w:firstRowFirstColumn="0" w:firstRowLastColumn="0" w:lastRowFirstColumn="0" w:lastRowLastColumn="0"/>
              <w:rPr>
                <w:b/>
                <w:noProof/>
              </w:rPr>
            </w:pPr>
          </w:p>
        </w:tc>
      </w:tr>
    </w:tbl>
    <w:p w14:paraId="46BBB4AB" w14:textId="77777777" w:rsidR="006257CF" w:rsidRPr="00A460EC" w:rsidRDefault="006257CF" w:rsidP="006257CF">
      <w:pPr>
        <w:jc w:val="center"/>
        <w:rPr>
          <w:rFonts w:eastAsiaTheme="minorEastAsia"/>
          <w:noProof/>
        </w:rPr>
      </w:pPr>
    </w:p>
    <w:p w14:paraId="2A0ECCA7" w14:textId="77777777" w:rsidR="006257CF" w:rsidRPr="00A460EC" w:rsidRDefault="006257CF" w:rsidP="006257CF">
      <w:pPr>
        <w:pStyle w:val="FootnoteText"/>
        <w:rPr>
          <w:rFonts w:eastAsiaTheme="minorEastAsia"/>
          <w:noProof/>
        </w:rPr>
      </w:pPr>
      <w:r w:rsidRPr="00A460EC">
        <w:rPr>
          <w:rFonts w:eastAsiaTheme="minorEastAsia"/>
          <w:noProof/>
        </w:rPr>
        <w:t>(*)</w:t>
      </w:r>
      <w:r w:rsidRPr="00A460EC">
        <w:rPr>
          <w:rFonts w:eastAsiaTheme="minorEastAsia"/>
          <w:noProof/>
        </w:rPr>
        <w:tab/>
        <w:t>The financial programming includes the voted amounts of fines pursuant to Article</w:t>
      </w:r>
      <w:r w:rsidRPr="00A460EC">
        <w:rPr>
          <w:rFonts w:ascii="Calibri" w:eastAsiaTheme="minorEastAsia" w:hAnsi="Calibri" w:cs="Calibri"/>
          <w:noProof/>
        </w:rPr>
        <w:t> </w:t>
      </w:r>
      <w:r w:rsidRPr="00A460EC">
        <w:rPr>
          <w:rFonts w:eastAsiaTheme="minorEastAsia"/>
          <w:noProof/>
        </w:rPr>
        <w:t xml:space="preserve">5 of the financial regulation (i.e. for 2022 </w:t>
      </w:r>
      <w:r>
        <w:rPr>
          <w:rFonts w:eastAsiaTheme="minorEastAsia"/>
          <w:noProof/>
        </w:rPr>
        <w:t xml:space="preserve">and 2023 </w:t>
      </w:r>
      <w:r w:rsidRPr="00A460EC">
        <w:rPr>
          <w:rFonts w:eastAsiaTheme="minorEastAsia"/>
          <w:noProof/>
        </w:rPr>
        <w:t>only).</w:t>
      </w:r>
    </w:p>
    <w:p w14:paraId="14CDF5EB" w14:textId="77777777" w:rsidR="006257CF" w:rsidRPr="00783CAC" w:rsidRDefault="006257CF" w:rsidP="006257CF">
      <w:pPr>
        <w:tabs>
          <w:tab w:val="left" w:pos="6793"/>
        </w:tabs>
        <w:rPr>
          <w:noProof/>
          <w:sz w:val="18"/>
          <w:szCs w:val="18"/>
        </w:rPr>
      </w:pPr>
      <w:r w:rsidRPr="00A460EC">
        <w:rPr>
          <w:rFonts w:eastAsiaTheme="minorEastAsia"/>
          <w:noProof/>
        </w:rPr>
        <w:t>(**)</w:t>
      </w:r>
      <w:r w:rsidRPr="00B10183">
        <w:rPr>
          <w:noProof/>
          <w:sz w:val="18"/>
          <w:szCs w:val="18"/>
        </w:rPr>
        <w:t>Only Art</w:t>
      </w:r>
      <w:r w:rsidRPr="00783CAC">
        <w:rPr>
          <w:noProof/>
          <w:sz w:val="18"/>
          <w:szCs w:val="18"/>
        </w:rPr>
        <w:t>icle</w:t>
      </w:r>
      <w:r w:rsidRPr="00DF25A4">
        <w:rPr>
          <w:rFonts w:ascii="Calibri" w:hAnsi="Calibri" w:cs="Calibri"/>
          <w:noProof/>
          <w:sz w:val="18"/>
          <w:szCs w:val="18"/>
        </w:rPr>
        <w:t> </w:t>
      </w:r>
      <w:r w:rsidRPr="00B10183">
        <w:rPr>
          <w:noProof/>
          <w:sz w:val="18"/>
          <w:szCs w:val="18"/>
        </w:rPr>
        <w:t>15</w:t>
      </w:r>
      <w:r w:rsidRPr="00DF25A4">
        <w:rPr>
          <w:noProof/>
          <w:sz w:val="18"/>
          <w:szCs w:val="18"/>
        </w:rPr>
        <w:t>(</w:t>
      </w:r>
      <w:r w:rsidRPr="00B10183">
        <w:rPr>
          <w:noProof/>
          <w:sz w:val="18"/>
          <w:szCs w:val="18"/>
        </w:rPr>
        <w:t>3</w:t>
      </w:r>
      <w:r w:rsidRPr="00783CAC">
        <w:rPr>
          <w:noProof/>
          <w:sz w:val="18"/>
          <w:szCs w:val="18"/>
        </w:rPr>
        <w:t xml:space="preserve">) of the </w:t>
      </w:r>
      <w:r w:rsidRPr="00DF25A4">
        <w:rPr>
          <w:noProof/>
          <w:sz w:val="18"/>
          <w:szCs w:val="18"/>
        </w:rPr>
        <w:t>financial regulation</w:t>
      </w:r>
      <w:r w:rsidRPr="00B10183">
        <w:rPr>
          <w:noProof/>
          <w:sz w:val="18"/>
          <w:szCs w:val="18"/>
        </w:rPr>
        <w:t>.</w:t>
      </w:r>
    </w:p>
    <w:p w14:paraId="3C5FE448" w14:textId="77777777" w:rsidR="006257CF" w:rsidRPr="00C81179" w:rsidRDefault="006257CF" w:rsidP="006257CF">
      <w:pPr>
        <w:pStyle w:val="FootnoteText"/>
        <w:rPr>
          <w:rFonts w:eastAsiaTheme="minorEastAsia"/>
          <w:noProof/>
        </w:rPr>
      </w:pPr>
    </w:p>
    <w:p w14:paraId="45C56291" w14:textId="77777777" w:rsidR="006257CF" w:rsidRPr="00C81179" w:rsidRDefault="006257CF" w:rsidP="006257CF">
      <w:pPr>
        <w:pStyle w:val="ppoHeading5"/>
        <w:rPr>
          <w:noProof/>
        </w:rPr>
      </w:pPr>
      <w:r w:rsidRPr="00C81179">
        <w:rPr>
          <w:noProof/>
        </w:rPr>
        <w:t>Rationale and design of the programme</w:t>
      </w:r>
    </w:p>
    <w:p w14:paraId="4063284C" w14:textId="77777777" w:rsidR="006257CF" w:rsidRPr="00A460EC" w:rsidRDefault="006257CF" w:rsidP="006257CF">
      <w:pPr>
        <w:rPr>
          <w:rFonts w:eastAsiaTheme="minorEastAsia"/>
          <w:noProof/>
        </w:rPr>
      </w:pPr>
      <w:r w:rsidRPr="00C81179">
        <w:rPr>
          <w:rFonts w:eastAsiaTheme="minorEastAsia"/>
          <w:noProof/>
        </w:rPr>
        <w:t>Creative Europe is the European Commission</w:t>
      </w:r>
      <w:r w:rsidRPr="00A460EC">
        <w:rPr>
          <w:rFonts w:eastAsiaTheme="minorEastAsia"/>
          <w:noProof/>
        </w:rPr>
        <w:t>’s programme for providing support to the cultural and audiovisual sectors. It invests in actions that reinforce cultural diversity and respond to the needs and challenges of the cultural and creative sectors. The new programme contributes to the recovery of these sectors, reinforcing their efforts to become more inclusive, more digital and more environmentally sustainable.</w:t>
      </w:r>
    </w:p>
    <w:p w14:paraId="370DBA5C" w14:textId="77777777" w:rsidR="006257CF" w:rsidRPr="00A460EC" w:rsidRDefault="006257CF" w:rsidP="006257CF">
      <w:pPr>
        <w:pStyle w:val="ppoHeading6"/>
        <w:jc w:val="both"/>
        <w:rPr>
          <w:noProof/>
        </w:rPr>
      </w:pPr>
      <w:r w:rsidRPr="00A460EC">
        <w:rPr>
          <w:noProof/>
        </w:rPr>
        <w:t>Challenge</w:t>
      </w:r>
    </w:p>
    <w:p w14:paraId="24B33197" w14:textId="77777777" w:rsidR="006257CF" w:rsidRPr="00A460EC" w:rsidRDefault="006257CF" w:rsidP="006257CF">
      <w:pPr>
        <w:rPr>
          <w:noProof/>
        </w:rPr>
      </w:pPr>
      <w:r w:rsidRPr="00A460EC">
        <w:rPr>
          <w:noProof/>
        </w:rPr>
        <w:t>Cultural and linguistic diversity is a pillar of the European identity and values. European cultural and creative sectors greatly contribute to jobs and growth, and have positive spillover effects on other sectors.</w:t>
      </w:r>
    </w:p>
    <w:p w14:paraId="0982435A" w14:textId="77777777" w:rsidR="006257CF" w:rsidRPr="00A460EC" w:rsidRDefault="006257CF" w:rsidP="006257CF">
      <w:pPr>
        <w:rPr>
          <w:noProof/>
        </w:rPr>
      </w:pPr>
      <w:r w:rsidRPr="00A460EC">
        <w:rPr>
          <w:noProof/>
        </w:rPr>
        <w:t>These sectors face increasing challenges from ongoing digital transformation and unprecedented global competition, whereas their potential remains unduly constrained by market fragmentation along national lines. Action at the EU level is needed to overcome such fragmentation and brings great benefits by fostering transnational artistic creation, cross-border circulation of content and the mobility of professionals and creators; by incentivising adjustment and innovation; by facilitating the pooling of knowledge and accelerated learning; and by achieving greater critical mass and economies of scale.</w:t>
      </w:r>
    </w:p>
    <w:p w14:paraId="655E90D6" w14:textId="77777777" w:rsidR="006257CF" w:rsidRPr="00A460EC" w:rsidRDefault="006257CF" w:rsidP="006257CF">
      <w:pPr>
        <w:pStyle w:val="ppoHeading6"/>
        <w:jc w:val="both"/>
        <w:rPr>
          <w:noProof/>
        </w:rPr>
      </w:pPr>
      <w:r w:rsidRPr="00A460EC">
        <w:rPr>
          <w:noProof/>
        </w:rPr>
        <w:t>Mission</w:t>
      </w:r>
    </w:p>
    <w:p w14:paraId="77E743F8" w14:textId="77777777" w:rsidR="006257CF" w:rsidRPr="00A460EC" w:rsidRDefault="006257CF" w:rsidP="006257CF">
      <w:pPr>
        <w:rPr>
          <w:noProof/>
        </w:rPr>
      </w:pPr>
      <w:r w:rsidRPr="00A460EC">
        <w:rPr>
          <w:noProof/>
        </w:rPr>
        <w:t xml:space="preserve">Creative Europe fosters European cooperation on the promotion of cultural and linguistic diversity. </w:t>
      </w:r>
      <w:bookmarkStart w:id="155" w:name="_Hlk101349491"/>
      <w:r w:rsidRPr="00A460EC">
        <w:rPr>
          <w:noProof/>
        </w:rPr>
        <w:t>The programme intends to optimise the potential of Europe’s cultural and creative sectors by offering opportunities for operators to develop technologically and artistically innovative transborder initiatives, explore new business models and engage in partnership collaborat</w:t>
      </w:r>
      <w:r w:rsidRPr="00C81179">
        <w:rPr>
          <w:noProof/>
        </w:rPr>
        <w:t>ion modes to exchange, coproduce and distribute European works and make them accessible to a wide and diverse audience.</w:t>
      </w:r>
    </w:p>
    <w:bookmarkEnd w:id="155"/>
    <w:p w14:paraId="7E278650" w14:textId="77777777" w:rsidR="006257CF" w:rsidRPr="00A460EC" w:rsidRDefault="006257CF" w:rsidP="006257CF">
      <w:pPr>
        <w:pStyle w:val="ppoHeading6"/>
        <w:rPr>
          <w:noProof/>
        </w:rPr>
      </w:pPr>
      <w:r w:rsidRPr="00A460EC">
        <w:rPr>
          <w:noProof/>
        </w:rPr>
        <w:t>Objectives</w:t>
      </w:r>
    </w:p>
    <w:p w14:paraId="4D58A9C4" w14:textId="77777777" w:rsidR="006257CF" w:rsidRPr="00A460EC" w:rsidRDefault="006257CF" w:rsidP="006257CF">
      <w:pPr>
        <w:rPr>
          <w:noProof/>
        </w:rPr>
      </w:pPr>
      <w:r w:rsidRPr="00A460EC">
        <w:rPr>
          <w:noProof/>
        </w:rPr>
        <w:t>Creative Europe’s specific objectives are:</w:t>
      </w:r>
    </w:p>
    <w:p w14:paraId="5D75A409" w14:textId="77777777" w:rsidR="006257CF" w:rsidRPr="00A460EC" w:rsidRDefault="006257CF" w:rsidP="006257CF">
      <w:pPr>
        <w:pStyle w:val="ppoListHyphened-L1"/>
        <w:ind w:left="640"/>
        <w:jc w:val="both"/>
        <w:rPr>
          <w:noProof/>
        </w:rPr>
      </w:pPr>
      <w:r w:rsidRPr="00A460EC">
        <w:rPr>
          <w:noProof/>
        </w:rPr>
        <w:t>to safeguard, develop and promote European cultural and linguistic diversity and heritage; and</w:t>
      </w:r>
    </w:p>
    <w:p w14:paraId="0522D353" w14:textId="77777777" w:rsidR="006257CF" w:rsidRPr="00A460EC" w:rsidRDefault="006257CF" w:rsidP="006257CF">
      <w:pPr>
        <w:pStyle w:val="ppoListHyphened-L1"/>
        <w:ind w:left="640"/>
        <w:jc w:val="both"/>
        <w:rPr>
          <w:noProof/>
        </w:rPr>
      </w:pPr>
      <w:r w:rsidRPr="00A460EC">
        <w:rPr>
          <w:noProof/>
        </w:rPr>
        <w:t>to increase the competitiveness and economic potential of the cultural and creative sectors, in particular the audiovisual sector.</w:t>
      </w:r>
    </w:p>
    <w:p w14:paraId="2411D9C4" w14:textId="77777777" w:rsidR="006257CF" w:rsidRPr="00A460EC" w:rsidRDefault="006257CF" w:rsidP="006257CF">
      <w:pPr>
        <w:rPr>
          <w:noProof/>
        </w:rPr>
      </w:pPr>
      <w:r w:rsidRPr="00A460EC">
        <w:rPr>
          <w:noProof/>
        </w:rPr>
        <w:t>More specifically, it aims to:</w:t>
      </w:r>
    </w:p>
    <w:p w14:paraId="5BDBFA09" w14:textId="77777777" w:rsidR="006257CF" w:rsidRPr="00A460EC" w:rsidRDefault="006257CF" w:rsidP="006F409B">
      <w:pPr>
        <w:pStyle w:val="ppoListArabic1aiii-L1"/>
        <w:numPr>
          <w:ilvl w:val="0"/>
          <w:numId w:val="127"/>
        </w:numPr>
        <w:jc w:val="both"/>
        <w:rPr>
          <w:noProof/>
        </w:rPr>
      </w:pPr>
      <w:bookmarkStart w:id="156" w:name="_Hlk101349556"/>
      <w:r w:rsidRPr="00A460EC">
        <w:rPr>
          <w:noProof/>
        </w:rPr>
        <w:t>enhance the economic, social and external dimension of European-level cooperation, to promote diversity and strengthen competitiveness;</w:t>
      </w:r>
    </w:p>
    <w:bookmarkEnd w:id="156"/>
    <w:p w14:paraId="21141033" w14:textId="77777777" w:rsidR="006257CF" w:rsidRPr="00A460EC" w:rsidRDefault="006257CF" w:rsidP="006257CF">
      <w:pPr>
        <w:pStyle w:val="ppoListArabic1aiii-L1"/>
        <w:numPr>
          <w:ilvl w:val="0"/>
          <w:numId w:val="40"/>
        </w:numPr>
        <w:jc w:val="both"/>
        <w:rPr>
          <w:noProof/>
        </w:rPr>
      </w:pPr>
      <w:r w:rsidRPr="00A460EC">
        <w:rPr>
          <w:noProof/>
        </w:rPr>
        <w:t>promote the competitiveness and scalability of the European audiovisual industry;</w:t>
      </w:r>
    </w:p>
    <w:p w14:paraId="19BE41B5" w14:textId="77777777" w:rsidR="006257CF" w:rsidRPr="00A460EC" w:rsidRDefault="006257CF" w:rsidP="006257CF">
      <w:pPr>
        <w:pStyle w:val="ppoListArabic1aiii-L1"/>
        <w:numPr>
          <w:ilvl w:val="0"/>
          <w:numId w:val="40"/>
        </w:numPr>
        <w:jc w:val="both"/>
        <w:rPr>
          <w:noProof/>
        </w:rPr>
      </w:pPr>
      <w:r w:rsidRPr="00A460EC">
        <w:rPr>
          <w:noProof/>
        </w:rPr>
        <w:t>promote policy cooperation.</w:t>
      </w:r>
    </w:p>
    <w:p w14:paraId="32EB73AD" w14:textId="77777777" w:rsidR="006257CF" w:rsidRPr="00A460EC" w:rsidRDefault="006257CF" w:rsidP="006257CF">
      <w:pPr>
        <w:pStyle w:val="ppoHeading6"/>
        <w:jc w:val="both"/>
        <w:rPr>
          <w:noProof/>
        </w:rPr>
      </w:pPr>
      <w:r w:rsidRPr="00A460EC">
        <w:rPr>
          <w:noProof/>
        </w:rPr>
        <w:t>Actions</w:t>
      </w:r>
    </w:p>
    <w:p w14:paraId="0DC19329" w14:textId="77777777" w:rsidR="006257CF" w:rsidRPr="00A460EC" w:rsidRDefault="006257CF" w:rsidP="006257CF">
      <w:pPr>
        <w:rPr>
          <w:noProof/>
        </w:rPr>
      </w:pPr>
      <w:r w:rsidRPr="00A460EC">
        <w:rPr>
          <w:noProof/>
        </w:rPr>
        <w:t>The programme operates through three strand</w:t>
      </w:r>
      <w:r w:rsidRPr="00C81179">
        <w:rPr>
          <w:noProof/>
        </w:rPr>
        <w:t>s: the c</w:t>
      </w:r>
      <w:r w:rsidRPr="00A460EC">
        <w:rPr>
          <w:noProof/>
        </w:rPr>
        <w:t>ulture, media and cross-sectoral strands.</w:t>
      </w:r>
    </w:p>
    <w:p w14:paraId="5637412B" w14:textId="77777777" w:rsidR="006257CF" w:rsidRPr="00A460EC" w:rsidRDefault="006257CF" w:rsidP="006257CF">
      <w:pPr>
        <w:rPr>
          <w:noProof/>
        </w:rPr>
      </w:pPr>
      <w:r w:rsidRPr="00A460EC">
        <w:rPr>
          <w:noProof/>
        </w:rPr>
        <w:t xml:space="preserve">Under the </w:t>
      </w:r>
      <w:r w:rsidRPr="00C81179">
        <w:rPr>
          <w:noProof/>
        </w:rPr>
        <w:t>c</w:t>
      </w:r>
      <w:r w:rsidRPr="00A460EC">
        <w:rPr>
          <w:noProof/>
        </w:rPr>
        <w:t>ulture</w:t>
      </w:r>
      <w:r w:rsidRPr="00C81179">
        <w:rPr>
          <w:noProof/>
        </w:rPr>
        <w:t xml:space="preserve"> strand, the programme focuses on </w:t>
      </w:r>
      <w:r w:rsidRPr="00A460EC">
        <w:rPr>
          <w:noProof/>
        </w:rPr>
        <w:t>cooperative artistic projects, platforms and networks to share and promote works and opportunities. It also focuses on internationalisation through the mobility of people and through transnational activities with cultural and creative organisations.</w:t>
      </w:r>
    </w:p>
    <w:p w14:paraId="20CBEE15" w14:textId="77777777" w:rsidR="006257CF" w:rsidRPr="00A460EC" w:rsidRDefault="006257CF" w:rsidP="006257CF">
      <w:pPr>
        <w:rPr>
          <w:noProof/>
        </w:rPr>
      </w:pPr>
      <w:r w:rsidRPr="00A460EC">
        <w:rPr>
          <w:noProof/>
        </w:rPr>
        <w:t>Under the media</w:t>
      </w:r>
      <w:r w:rsidRPr="00C81179">
        <w:rPr>
          <w:noProof/>
        </w:rPr>
        <w:t xml:space="preserve"> strand, the programme focuses on the development and production of innovative audiovisual content, the distribution and promotion of trans</w:t>
      </w:r>
      <w:r w:rsidRPr="00A460EC">
        <w:rPr>
          <w:noProof/>
        </w:rPr>
        <w:t>national European works and the development of transnational networks and audiences.</w:t>
      </w:r>
    </w:p>
    <w:p w14:paraId="4A795ED7" w14:textId="77777777" w:rsidR="006257CF" w:rsidRPr="00A460EC" w:rsidRDefault="006257CF" w:rsidP="006257CF">
      <w:pPr>
        <w:rPr>
          <w:noProof/>
        </w:rPr>
      </w:pPr>
      <w:r w:rsidRPr="00A460EC">
        <w:rPr>
          <w:noProof/>
        </w:rPr>
        <w:t>Under the cross-sectoral strand, the programme supports various other activities, such as policy cooperation and cross-border collaboration in media.</w:t>
      </w:r>
    </w:p>
    <w:p w14:paraId="2D383553" w14:textId="77777777" w:rsidR="006257CF" w:rsidRPr="00A460EC" w:rsidRDefault="006257CF" w:rsidP="006257CF">
      <w:pPr>
        <w:pStyle w:val="ppoHeading6"/>
        <w:jc w:val="both"/>
        <w:rPr>
          <w:noProof/>
        </w:rPr>
      </w:pPr>
      <w:r w:rsidRPr="00A460EC">
        <w:rPr>
          <w:noProof/>
        </w:rPr>
        <w:t>Delivery mode</w:t>
      </w:r>
    </w:p>
    <w:p w14:paraId="6062751C" w14:textId="77777777" w:rsidR="006257CF" w:rsidRPr="00A460EC" w:rsidRDefault="006257CF" w:rsidP="006257CF">
      <w:pPr>
        <w:rPr>
          <w:noProof/>
        </w:rPr>
      </w:pPr>
      <w:r w:rsidRPr="00A460EC">
        <w:rPr>
          <w:noProof/>
        </w:rPr>
        <w:t xml:space="preserve">The programme is managed by the Commission (jointly by the </w:t>
      </w:r>
      <w:r w:rsidRPr="00B10183">
        <w:rPr>
          <w:noProof/>
        </w:rPr>
        <w:t xml:space="preserve">Directorate-General for Education, Youth, Sport and </w:t>
      </w:r>
      <w:r w:rsidRPr="00DF25A4">
        <w:rPr>
          <w:noProof/>
        </w:rPr>
        <w:t>Culture</w:t>
      </w:r>
      <w:r w:rsidRPr="00A460EC">
        <w:rPr>
          <w:noProof/>
        </w:rPr>
        <w:t xml:space="preserve"> and t</w:t>
      </w:r>
      <w:r w:rsidRPr="00B10183">
        <w:rPr>
          <w:noProof/>
        </w:rPr>
        <w:t>he Directorate</w:t>
      </w:r>
      <w:r w:rsidRPr="00B10183">
        <w:rPr>
          <w:noProof/>
        </w:rPr>
        <w:noBreakHyphen/>
        <w:t xml:space="preserve">General for Communications Networks, Content and </w:t>
      </w:r>
      <w:r w:rsidRPr="00DF25A4">
        <w:rPr>
          <w:noProof/>
        </w:rPr>
        <w:t>Technology</w:t>
      </w:r>
      <w:r w:rsidRPr="00A460EC">
        <w:rPr>
          <w:noProof/>
        </w:rPr>
        <w:t xml:space="preserve">) in direct management, and by the </w:t>
      </w:r>
      <w:r w:rsidRPr="00B10183">
        <w:rPr>
          <w:noProof/>
        </w:rPr>
        <w:t>Education, A</w:t>
      </w:r>
      <w:r w:rsidRPr="00C81179">
        <w:rPr>
          <w:noProof/>
        </w:rPr>
        <w:t>u</w:t>
      </w:r>
      <w:r w:rsidRPr="00B10183">
        <w:rPr>
          <w:noProof/>
        </w:rPr>
        <w:t xml:space="preserve">diovisual and Culture Executive </w:t>
      </w:r>
      <w:r w:rsidRPr="00DF25A4">
        <w:rPr>
          <w:noProof/>
        </w:rPr>
        <w:t>Agency</w:t>
      </w:r>
      <w:r w:rsidRPr="00A460EC">
        <w:rPr>
          <w:noProof/>
        </w:rPr>
        <w:t>.</w:t>
      </w:r>
    </w:p>
    <w:p w14:paraId="3C33A9B6" w14:textId="77777777" w:rsidR="006257CF" w:rsidRPr="00A460EC" w:rsidRDefault="006257CF" w:rsidP="006257CF">
      <w:pPr>
        <w:pStyle w:val="ppoHeading6"/>
        <w:jc w:val="both"/>
        <w:rPr>
          <w:noProof/>
        </w:rPr>
      </w:pPr>
      <w:r w:rsidRPr="00A460EC">
        <w:rPr>
          <w:noProof/>
        </w:rPr>
        <w:t>LINK TO THE 2014-2020 multiannual financial framework</w:t>
      </w:r>
    </w:p>
    <w:p w14:paraId="25026C3B" w14:textId="77777777" w:rsidR="006257CF" w:rsidRPr="00A460EC" w:rsidRDefault="006257CF" w:rsidP="006257CF">
      <w:pPr>
        <w:rPr>
          <w:noProof/>
        </w:rPr>
      </w:pPr>
      <w:r w:rsidRPr="00A460EC">
        <w:rPr>
          <w:noProof/>
        </w:rPr>
        <w:t xml:space="preserve">The programme aims to build on the </w:t>
      </w:r>
      <w:r>
        <w:rPr>
          <w:noProof/>
        </w:rPr>
        <w:t>C</w:t>
      </w:r>
      <w:r w:rsidRPr="00A460EC">
        <w:rPr>
          <w:noProof/>
        </w:rPr>
        <w:t>reative Europe programme</w:t>
      </w:r>
      <w:r>
        <w:rPr>
          <w:noProof/>
        </w:rPr>
        <w:t>’</w:t>
      </w:r>
      <w:r w:rsidRPr="00A460EC">
        <w:rPr>
          <w:noProof/>
        </w:rPr>
        <w:t>s 2014-2020 achievements (e.g. it delivered on the strategic EU priorities such as the Europe 2020 employment targets) and scale-up efforts.</w:t>
      </w:r>
    </w:p>
    <w:p w14:paraId="68FEE75A" w14:textId="77777777" w:rsidR="006257CF" w:rsidRPr="00A460EC" w:rsidRDefault="006257CF" w:rsidP="006257CF">
      <w:pPr>
        <w:pStyle w:val="ppoHeading6"/>
        <w:jc w:val="both"/>
        <w:rPr>
          <w:noProof/>
        </w:rPr>
      </w:pPr>
      <w:r w:rsidRPr="00A460EC">
        <w:rPr>
          <w:noProof/>
        </w:rPr>
        <w:t>Impact assessment</w:t>
      </w:r>
    </w:p>
    <w:p w14:paraId="15FE5252" w14:textId="77777777" w:rsidR="006257CF" w:rsidRPr="00A460EC" w:rsidRDefault="006257CF" w:rsidP="006257CF">
      <w:pPr>
        <w:rPr>
          <w:noProof/>
        </w:rPr>
      </w:pPr>
      <w:r w:rsidRPr="00A460EC">
        <w:rPr>
          <w:noProof/>
        </w:rPr>
        <w:t>The impact assessment of the Creative Europe programme was carried out in 2018.</w:t>
      </w:r>
    </w:p>
    <w:p w14:paraId="58A8D979" w14:textId="77777777" w:rsidR="006257CF" w:rsidRPr="00A460EC" w:rsidRDefault="006257CF" w:rsidP="006257CF">
      <w:pPr>
        <w:rPr>
          <w:noProof/>
        </w:rPr>
      </w:pPr>
      <w:bookmarkStart w:id="157" w:name="_Hlk101349646"/>
      <w:r w:rsidRPr="00A460EC">
        <w:rPr>
          <w:noProof/>
        </w:rPr>
        <w:t xml:space="preserve">For further information please consult: </w:t>
      </w:r>
      <w:hyperlink r:id="rId341" w:history="1">
        <w:r w:rsidRPr="00C81179">
          <w:rPr>
            <w:rStyle w:val="Hyperlink"/>
            <w:noProof/>
          </w:rPr>
          <w:t>SWD/2018/290 final - 2018/0207 (COD)</w:t>
        </w:r>
      </w:hyperlink>
      <w:bookmarkEnd w:id="157"/>
      <w:r w:rsidRPr="00C81179">
        <w:rPr>
          <w:noProof/>
        </w:rPr>
        <w:t>.</w:t>
      </w:r>
    </w:p>
    <w:p w14:paraId="60ABCDF2" w14:textId="77777777" w:rsidR="006257CF" w:rsidRPr="00A460EC" w:rsidRDefault="006257CF" w:rsidP="006257CF">
      <w:pPr>
        <w:pStyle w:val="ppoHeading6"/>
        <w:jc w:val="both"/>
        <w:rPr>
          <w:noProof/>
        </w:rPr>
      </w:pPr>
      <w:r w:rsidRPr="00A460EC">
        <w:rPr>
          <w:noProof/>
        </w:rPr>
        <w:t>WEBSITE FOR more information</w:t>
      </w:r>
    </w:p>
    <w:p w14:paraId="3A08B8B2" w14:textId="77777777" w:rsidR="006257CF" w:rsidRPr="00B10183" w:rsidRDefault="00E01E9B" w:rsidP="006257CF">
      <w:pPr>
        <w:rPr>
          <w:noProof/>
        </w:rPr>
      </w:pPr>
      <w:hyperlink r:id="rId342" w:history="1">
        <w:r w:rsidR="006257CF" w:rsidRPr="00B10183">
          <w:rPr>
            <w:rStyle w:val="Hyperlink"/>
            <w:noProof/>
          </w:rPr>
          <w:t>https://europa.eu/!Qr67Hk</w:t>
        </w:r>
      </w:hyperlink>
    </w:p>
    <w:p w14:paraId="7BA26132" w14:textId="77777777" w:rsidR="006257CF" w:rsidRPr="00B10183" w:rsidRDefault="006257CF" w:rsidP="006257CF">
      <w:pPr>
        <w:pStyle w:val="ppoHeading5"/>
        <w:jc w:val="both"/>
        <w:rPr>
          <w:noProof/>
        </w:rPr>
      </w:pPr>
      <w:r w:rsidRPr="00783CAC">
        <w:rPr>
          <w:rFonts w:eastAsiaTheme="minorEastAsia"/>
          <w:noProof/>
        </w:rPr>
        <w:t xml:space="preserve">Legal </w:t>
      </w:r>
      <w:r w:rsidRPr="00DF25A4">
        <w:rPr>
          <w:rFonts w:eastAsiaTheme="minorEastAsia"/>
          <w:noProof/>
        </w:rPr>
        <w:t>basis</w:t>
      </w:r>
    </w:p>
    <w:p w14:paraId="1F77C7E2" w14:textId="77777777" w:rsidR="006257CF" w:rsidRPr="00C81179" w:rsidRDefault="006257CF" w:rsidP="006257CF">
      <w:pPr>
        <w:rPr>
          <w:noProof/>
        </w:rPr>
      </w:pPr>
      <w:r w:rsidRPr="00C81179">
        <w:rPr>
          <w:noProof/>
        </w:rPr>
        <w:t>Regulation (EU) 2021/818 of the European Parliament and of the Council.</w:t>
      </w:r>
    </w:p>
    <w:p w14:paraId="513BE15F" w14:textId="77777777" w:rsidR="006257CF" w:rsidRPr="00A460EC" w:rsidRDefault="006257CF" w:rsidP="006257CF">
      <w:pPr>
        <w:pStyle w:val="ppoHeading4Green"/>
        <w:jc w:val="both"/>
        <w:rPr>
          <w:caps/>
          <w:noProof/>
        </w:rPr>
      </w:pPr>
      <w:r w:rsidRPr="00A460EC">
        <w:rPr>
          <w:noProof/>
        </w:rPr>
        <w:t>Implementation and performance</w:t>
      </w:r>
    </w:p>
    <w:p w14:paraId="0141E32A" w14:textId="77777777" w:rsidR="006257CF" w:rsidRPr="00A460EC" w:rsidRDefault="006257CF" w:rsidP="006257CF">
      <w:pPr>
        <w:pStyle w:val="ppoHeading5"/>
        <w:jc w:val="both"/>
        <w:rPr>
          <w:noProof/>
        </w:rPr>
      </w:pPr>
      <w:r w:rsidRPr="00A460EC">
        <w:rPr>
          <w:noProof/>
        </w:rPr>
        <w:t>Budget</w:t>
      </w:r>
    </w:p>
    <w:p w14:paraId="57B47A14" w14:textId="77777777" w:rsidR="006257CF" w:rsidRPr="00A460EC" w:rsidRDefault="006257CF" w:rsidP="006257CF">
      <w:pPr>
        <w:pStyle w:val="ppoTableTabletitle"/>
        <w:rPr>
          <w:noProof/>
        </w:rPr>
      </w:pPr>
      <w:r w:rsidRPr="00A460EC">
        <w:rPr>
          <w:noProof/>
        </w:rPr>
        <w:t>Budget programming (million 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6257CF" w:rsidRPr="00A460EC" w14:paraId="668706EA" w14:textId="77777777" w:rsidTr="0083214A">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41BC3778" w14:textId="77777777" w:rsidR="006257CF" w:rsidRPr="00A460EC" w:rsidRDefault="006257CF" w:rsidP="0083214A">
            <w:pPr>
              <w:rPr>
                <w:noProof/>
              </w:rPr>
            </w:pPr>
          </w:p>
        </w:tc>
        <w:tc>
          <w:tcPr>
            <w:tcW w:w="943" w:type="dxa"/>
            <w:noWrap/>
            <w:hideMark/>
          </w:tcPr>
          <w:p w14:paraId="6CA8D29A" w14:textId="77777777" w:rsidR="006257CF" w:rsidRPr="00A460EC" w:rsidRDefault="006257CF" w:rsidP="0083214A">
            <w:pPr>
              <w:rPr>
                <w:noProof/>
              </w:rPr>
            </w:pPr>
            <w:r w:rsidRPr="00A460EC">
              <w:rPr>
                <w:noProof/>
              </w:rPr>
              <w:t>2021</w:t>
            </w:r>
          </w:p>
        </w:tc>
        <w:tc>
          <w:tcPr>
            <w:tcW w:w="944" w:type="dxa"/>
            <w:noWrap/>
            <w:hideMark/>
          </w:tcPr>
          <w:p w14:paraId="23A4603F" w14:textId="77777777" w:rsidR="006257CF" w:rsidRPr="00A460EC" w:rsidRDefault="006257CF" w:rsidP="0083214A">
            <w:pPr>
              <w:rPr>
                <w:noProof/>
              </w:rPr>
            </w:pPr>
            <w:r w:rsidRPr="00A460EC">
              <w:rPr>
                <w:noProof/>
              </w:rPr>
              <w:t>2022</w:t>
            </w:r>
          </w:p>
        </w:tc>
        <w:tc>
          <w:tcPr>
            <w:tcW w:w="943" w:type="dxa"/>
            <w:noWrap/>
            <w:hideMark/>
          </w:tcPr>
          <w:p w14:paraId="740D25ED" w14:textId="77777777" w:rsidR="006257CF" w:rsidRPr="00A460EC" w:rsidRDefault="006257CF" w:rsidP="0083214A">
            <w:pPr>
              <w:rPr>
                <w:noProof/>
              </w:rPr>
            </w:pPr>
            <w:r w:rsidRPr="00A460EC">
              <w:rPr>
                <w:noProof/>
              </w:rPr>
              <w:t>2023</w:t>
            </w:r>
          </w:p>
        </w:tc>
        <w:tc>
          <w:tcPr>
            <w:tcW w:w="944" w:type="dxa"/>
            <w:noWrap/>
            <w:hideMark/>
          </w:tcPr>
          <w:p w14:paraId="3774FB85" w14:textId="77777777" w:rsidR="006257CF" w:rsidRPr="00A460EC" w:rsidRDefault="006257CF" w:rsidP="0083214A">
            <w:pPr>
              <w:rPr>
                <w:noProof/>
              </w:rPr>
            </w:pPr>
            <w:r w:rsidRPr="00A460EC">
              <w:rPr>
                <w:noProof/>
              </w:rPr>
              <w:t>2024</w:t>
            </w:r>
          </w:p>
        </w:tc>
        <w:tc>
          <w:tcPr>
            <w:tcW w:w="944" w:type="dxa"/>
            <w:noWrap/>
            <w:hideMark/>
          </w:tcPr>
          <w:p w14:paraId="1DE1F210" w14:textId="77777777" w:rsidR="006257CF" w:rsidRPr="00A460EC" w:rsidRDefault="006257CF" w:rsidP="0083214A">
            <w:pPr>
              <w:rPr>
                <w:noProof/>
              </w:rPr>
            </w:pPr>
            <w:r w:rsidRPr="00A460EC">
              <w:rPr>
                <w:noProof/>
              </w:rPr>
              <w:t>2025</w:t>
            </w:r>
          </w:p>
        </w:tc>
        <w:tc>
          <w:tcPr>
            <w:tcW w:w="943" w:type="dxa"/>
            <w:noWrap/>
            <w:hideMark/>
          </w:tcPr>
          <w:p w14:paraId="00101400" w14:textId="77777777" w:rsidR="006257CF" w:rsidRPr="00A460EC" w:rsidRDefault="006257CF" w:rsidP="0083214A">
            <w:pPr>
              <w:rPr>
                <w:noProof/>
              </w:rPr>
            </w:pPr>
            <w:r w:rsidRPr="00A460EC">
              <w:rPr>
                <w:noProof/>
              </w:rPr>
              <w:t>2026</w:t>
            </w:r>
          </w:p>
        </w:tc>
        <w:tc>
          <w:tcPr>
            <w:tcW w:w="944" w:type="dxa"/>
            <w:noWrap/>
            <w:hideMark/>
          </w:tcPr>
          <w:p w14:paraId="03DC02B8" w14:textId="77777777" w:rsidR="006257CF" w:rsidRPr="00A460EC" w:rsidRDefault="006257CF" w:rsidP="0083214A">
            <w:pPr>
              <w:rPr>
                <w:noProof/>
              </w:rPr>
            </w:pPr>
            <w:r w:rsidRPr="00A460EC">
              <w:rPr>
                <w:noProof/>
              </w:rPr>
              <w:t>2027</w:t>
            </w:r>
          </w:p>
        </w:tc>
        <w:tc>
          <w:tcPr>
            <w:tcW w:w="944" w:type="dxa"/>
            <w:noWrap/>
            <w:hideMark/>
          </w:tcPr>
          <w:p w14:paraId="2A610199" w14:textId="77777777" w:rsidR="006257CF" w:rsidRPr="00A460EC" w:rsidRDefault="006257CF" w:rsidP="0083214A">
            <w:pPr>
              <w:rPr>
                <w:noProof/>
              </w:rPr>
            </w:pPr>
            <w:r w:rsidRPr="00A460EC">
              <w:rPr>
                <w:noProof/>
              </w:rPr>
              <w:t>Total</w:t>
            </w:r>
          </w:p>
        </w:tc>
      </w:tr>
      <w:tr w:rsidR="006257CF" w:rsidRPr="00A460EC" w14:paraId="1192A5DA"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65213FCF" w14:textId="77777777" w:rsidR="006257CF" w:rsidRPr="00A460EC" w:rsidRDefault="006257CF" w:rsidP="0083214A">
            <w:pPr>
              <w:rPr>
                <w:noProof/>
              </w:rPr>
            </w:pPr>
            <w:r w:rsidRPr="00A460EC">
              <w:rPr>
                <w:noProof/>
              </w:rPr>
              <w:t>Financial programming</w:t>
            </w:r>
          </w:p>
        </w:tc>
        <w:tc>
          <w:tcPr>
            <w:tcW w:w="943" w:type="dxa"/>
            <w:noWrap/>
            <w:hideMark/>
          </w:tcPr>
          <w:p w14:paraId="4799CB41" w14:textId="77777777" w:rsidR="006257CF" w:rsidRPr="00A460EC" w:rsidRDefault="006257CF" w:rsidP="0083214A">
            <w:pPr>
              <w:jc w:val="center"/>
              <w:rPr>
                <w:noProof/>
              </w:rPr>
            </w:pPr>
            <w:r w:rsidRPr="00A460EC">
              <w:rPr>
                <w:noProof/>
              </w:rPr>
              <w:t>306.4</w:t>
            </w:r>
          </w:p>
        </w:tc>
        <w:tc>
          <w:tcPr>
            <w:tcW w:w="944" w:type="dxa"/>
            <w:noWrap/>
            <w:hideMark/>
          </w:tcPr>
          <w:p w14:paraId="72175B65" w14:textId="77777777" w:rsidR="006257CF" w:rsidRPr="00A460EC" w:rsidRDefault="006257CF" w:rsidP="0083214A">
            <w:pPr>
              <w:jc w:val="center"/>
              <w:rPr>
                <w:noProof/>
              </w:rPr>
            </w:pPr>
            <w:r w:rsidRPr="00A460EC">
              <w:rPr>
                <w:noProof/>
              </w:rPr>
              <w:t>406.5</w:t>
            </w:r>
          </w:p>
        </w:tc>
        <w:tc>
          <w:tcPr>
            <w:tcW w:w="943" w:type="dxa"/>
            <w:noWrap/>
            <w:vAlign w:val="bottom"/>
            <w:hideMark/>
          </w:tcPr>
          <w:p w14:paraId="051A2948" w14:textId="77777777" w:rsidR="006257CF" w:rsidRPr="00A460EC" w:rsidRDefault="006257CF" w:rsidP="0083214A">
            <w:pPr>
              <w:jc w:val="center"/>
              <w:rPr>
                <w:noProof/>
              </w:rPr>
            </w:pPr>
            <w:r>
              <w:rPr>
                <w:rFonts w:ascii="Calibri" w:hAnsi="Calibri" w:cs="Calibri"/>
                <w:noProof/>
                <w:color w:val="000000"/>
              </w:rPr>
              <w:t>325.3</w:t>
            </w:r>
          </w:p>
        </w:tc>
        <w:tc>
          <w:tcPr>
            <w:tcW w:w="944" w:type="dxa"/>
            <w:noWrap/>
            <w:vAlign w:val="bottom"/>
            <w:hideMark/>
          </w:tcPr>
          <w:p w14:paraId="57AE5EBC" w14:textId="77777777" w:rsidR="006257CF" w:rsidRPr="00A460EC" w:rsidRDefault="006257CF" w:rsidP="0083214A">
            <w:pPr>
              <w:jc w:val="center"/>
              <w:rPr>
                <w:noProof/>
              </w:rPr>
            </w:pPr>
            <w:r>
              <w:rPr>
                <w:rFonts w:ascii="Calibri" w:hAnsi="Calibri" w:cs="Calibri"/>
                <w:noProof/>
                <w:color w:val="000000"/>
              </w:rPr>
              <w:t>239.7</w:t>
            </w:r>
          </w:p>
        </w:tc>
        <w:tc>
          <w:tcPr>
            <w:tcW w:w="944" w:type="dxa"/>
            <w:noWrap/>
            <w:vAlign w:val="bottom"/>
            <w:hideMark/>
          </w:tcPr>
          <w:p w14:paraId="5775393F" w14:textId="77777777" w:rsidR="006257CF" w:rsidRPr="00A460EC" w:rsidRDefault="006257CF" w:rsidP="0083214A">
            <w:pPr>
              <w:jc w:val="center"/>
              <w:rPr>
                <w:noProof/>
              </w:rPr>
            </w:pPr>
            <w:r>
              <w:rPr>
                <w:rFonts w:ascii="Calibri" w:hAnsi="Calibri" w:cs="Calibri"/>
                <w:noProof/>
                <w:color w:val="000000"/>
              </w:rPr>
              <w:t>244.5</w:t>
            </w:r>
          </w:p>
        </w:tc>
        <w:tc>
          <w:tcPr>
            <w:tcW w:w="943" w:type="dxa"/>
            <w:noWrap/>
            <w:vAlign w:val="bottom"/>
            <w:hideMark/>
          </w:tcPr>
          <w:p w14:paraId="472215C1" w14:textId="77777777" w:rsidR="006257CF" w:rsidRPr="00A460EC" w:rsidRDefault="006257CF" w:rsidP="0083214A">
            <w:pPr>
              <w:jc w:val="center"/>
              <w:rPr>
                <w:noProof/>
              </w:rPr>
            </w:pPr>
            <w:r>
              <w:rPr>
                <w:rFonts w:ascii="Calibri" w:hAnsi="Calibri" w:cs="Calibri"/>
                <w:noProof/>
                <w:color w:val="000000"/>
              </w:rPr>
              <w:t>249.4</w:t>
            </w:r>
          </w:p>
        </w:tc>
        <w:tc>
          <w:tcPr>
            <w:tcW w:w="944" w:type="dxa"/>
            <w:noWrap/>
            <w:vAlign w:val="bottom"/>
            <w:hideMark/>
          </w:tcPr>
          <w:p w14:paraId="01A96E39" w14:textId="77777777" w:rsidR="006257CF" w:rsidRPr="00A460EC" w:rsidRDefault="006257CF" w:rsidP="0083214A">
            <w:pPr>
              <w:jc w:val="center"/>
              <w:rPr>
                <w:noProof/>
              </w:rPr>
            </w:pPr>
            <w:r>
              <w:rPr>
                <w:rFonts w:ascii="Calibri" w:hAnsi="Calibri" w:cs="Calibri"/>
                <w:noProof/>
                <w:color w:val="000000"/>
              </w:rPr>
              <w:t>254.6</w:t>
            </w:r>
          </w:p>
        </w:tc>
        <w:tc>
          <w:tcPr>
            <w:tcW w:w="944" w:type="dxa"/>
            <w:noWrap/>
            <w:vAlign w:val="bottom"/>
            <w:hideMark/>
          </w:tcPr>
          <w:p w14:paraId="5BF643C4" w14:textId="77777777" w:rsidR="006257CF" w:rsidRPr="00A460EC" w:rsidRDefault="006257CF" w:rsidP="0083214A">
            <w:pPr>
              <w:jc w:val="center"/>
              <w:rPr>
                <w:noProof/>
              </w:rPr>
            </w:pPr>
            <w:r>
              <w:rPr>
                <w:rFonts w:ascii="Calibri" w:hAnsi="Calibri" w:cs="Calibri"/>
                <w:noProof/>
                <w:color w:val="000000"/>
              </w:rPr>
              <w:t>2 026.3</w:t>
            </w:r>
          </w:p>
        </w:tc>
      </w:tr>
      <w:tr w:rsidR="006257CF" w:rsidRPr="00A460EC" w14:paraId="0A5A20E6"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41F14D80" w14:textId="77777777" w:rsidR="006257CF" w:rsidRPr="00A460EC" w:rsidRDefault="006257CF" w:rsidP="0083214A">
            <w:pPr>
              <w:rPr>
                <w:noProof/>
              </w:rPr>
            </w:pPr>
            <w:r w:rsidRPr="00A460EC">
              <w:rPr>
                <w:noProof/>
              </w:rPr>
              <w:t>NextGenerationEU</w:t>
            </w:r>
          </w:p>
        </w:tc>
        <w:tc>
          <w:tcPr>
            <w:tcW w:w="943" w:type="dxa"/>
            <w:noWrap/>
            <w:hideMark/>
          </w:tcPr>
          <w:p w14:paraId="6136EEE8" w14:textId="77777777" w:rsidR="006257CF" w:rsidRPr="00A460EC" w:rsidRDefault="006257CF" w:rsidP="0083214A">
            <w:pPr>
              <w:jc w:val="center"/>
              <w:rPr>
                <w:noProof/>
              </w:rPr>
            </w:pPr>
          </w:p>
        </w:tc>
        <w:tc>
          <w:tcPr>
            <w:tcW w:w="944" w:type="dxa"/>
            <w:noWrap/>
            <w:hideMark/>
          </w:tcPr>
          <w:p w14:paraId="13781818" w14:textId="77777777" w:rsidR="006257CF" w:rsidRPr="00A460EC" w:rsidRDefault="006257CF" w:rsidP="0083214A">
            <w:pPr>
              <w:jc w:val="center"/>
              <w:rPr>
                <w:noProof/>
              </w:rPr>
            </w:pPr>
          </w:p>
        </w:tc>
        <w:tc>
          <w:tcPr>
            <w:tcW w:w="943" w:type="dxa"/>
            <w:noWrap/>
            <w:hideMark/>
          </w:tcPr>
          <w:p w14:paraId="01411415" w14:textId="77777777" w:rsidR="006257CF" w:rsidRPr="00A460EC" w:rsidRDefault="006257CF" w:rsidP="0083214A">
            <w:pPr>
              <w:jc w:val="center"/>
              <w:rPr>
                <w:noProof/>
              </w:rPr>
            </w:pPr>
          </w:p>
        </w:tc>
        <w:tc>
          <w:tcPr>
            <w:tcW w:w="944" w:type="dxa"/>
            <w:noWrap/>
            <w:hideMark/>
          </w:tcPr>
          <w:p w14:paraId="38AC286B" w14:textId="77777777" w:rsidR="006257CF" w:rsidRPr="00A460EC" w:rsidRDefault="006257CF" w:rsidP="0083214A">
            <w:pPr>
              <w:jc w:val="center"/>
              <w:rPr>
                <w:noProof/>
              </w:rPr>
            </w:pPr>
          </w:p>
        </w:tc>
        <w:tc>
          <w:tcPr>
            <w:tcW w:w="944" w:type="dxa"/>
            <w:noWrap/>
            <w:hideMark/>
          </w:tcPr>
          <w:p w14:paraId="3F9772F4" w14:textId="77777777" w:rsidR="006257CF" w:rsidRPr="00A460EC" w:rsidRDefault="006257CF" w:rsidP="0083214A">
            <w:pPr>
              <w:jc w:val="center"/>
              <w:rPr>
                <w:noProof/>
              </w:rPr>
            </w:pPr>
          </w:p>
        </w:tc>
        <w:tc>
          <w:tcPr>
            <w:tcW w:w="943" w:type="dxa"/>
            <w:noWrap/>
            <w:hideMark/>
          </w:tcPr>
          <w:p w14:paraId="3021D707" w14:textId="77777777" w:rsidR="006257CF" w:rsidRPr="00A460EC" w:rsidRDefault="006257CF" w:rsidP="0083214A">
            <w:pPr>
              <w:jc w:val="center"/>
              <w:rPr>
                <w:noProof/>
              </w:rPr>
            </w:pPr>
          </w:p>
        </w:tc>
        <w:tc>
          <w:tcPr>
            <w:tcW w:w="944" w:type="dxa"/>
            <w:noWrap/>
            <w:hideMark/>
          </w:tcPr>
          <w:p w14:paraId="1D42FFF6" w14:textId="77777777" w:rsidR="006257CF" w:rsidRPr="00A460EC" w:rsidRDefault="006257CF" w:rsidP="0083214A">
            <w:pPr>
              <w:jc w:val="center"/>
              <w:rPr>
                <w:noProof/>
              </w:rPr>
            </w:pPr>
          </w:p>
        </w:tc>
        <w:tc>
          <w:tcPr>
            <w:tcW w:w="944" w:type="dxa"/>
            <w:noWrap/>
            <w:hideMark/>
          </w:tcPr>
          <w:p w14:paraId="2E6240BB" w14:textId="77777777" w:rsidR="006257CF" w:rsidRPr="00A460EC" w:rsidRDefault="006257CF" w:rsidP="0083214A">
            <w:pPr>
              <w:jc w:val="center"/>
              <w:rPr>
                <w:noProof/>
              </w:rPr>
            </w:pPr>
          </w:p>
        </w:tc>
      </w:tr>
      <w:tr w:rsidR="006257CF" w:rsidRPr="00A460EC" w14:paraId="5B559324"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3EACDEA9" w14:textId="77777777" w:rsidR="006257CF" w:rsidRPr="00A460EC" w:rsidRDefault="006257CF" w:rsidP="0083214A">
            <w:pPr>
              <w:rPr>
                <w:noProof/>
              </w:rPr>
            </w:pPr>
            <w:r w:rsidRPr="00A460EC">
              <w:rPr>
                <w:noProof/>
              </w:rPr>
              <w:t>Decommitments made available again</w:t>
            </w:r>
            <w:r w:rsidRPr="00A460EC">
              <w:rPr>
                <w:rFonts w:ascii="Calibri" w:hAnsi="Calibri" w:cs="Calibri"/>
                <w:noProof/>
              </w:rPr>
              <w:t> (</w:t>
            </w:r>
            <w:r w:rsidRPr="00A460EC">
              <w:rPr>
                <w:noProof/>
              </w:rPr>
              <w:t>*)</w:t>
            </w:r>
          </w:p>
        </w:tc>
        <w:tc>
          <w:tcPr>
            <w:tcW w:w="943" w:type="dxa"/>
            <w:noWrap/>
            <w:hideMark/>
          </w:tcPr>
          <w:p w14:paraId="08E6E1B3" w14:textId="77777777" w:rsidR="006257CF" w:rsidRPr="00A460EC" w:rsidRDefault="006257CF" w:rsidP="0083214A">
            <w:pPr>
              <w:jc w:val="center"/>
              <w:rPr>
                <w:noProof/>
              </w:rPr>
            </w:pPr>
            <w:r>
              <w:rPr>
                <w:noProof/>
              </w:rPr>
              <w:t>N/A</w:t>
            </w:r>
          </w:p>
        </w:tc>
        <w:tc>
          <w:tcPr>
            <w:tcW w:w="944" w:type="dxa"/>
            <w:noWrap/>
            <w:hideMark/>
          </w:tcPr>
          <w:p w14:paraId="1C6D3D83" w14:textId="77777777" w:rsidR="006257CF" w:rsidRPr="00A460EC" w:rsidRDefault="006257CF" w:rsidP="0083214A">
            <w:pPr>
              <w:jc w:val="center"/>
              <w:rPr>
                <w:noProof/>
              </w:rPr>
            </w:pPr>
          </w:p>
        </w:tc>
        <w:tc>
          <w:tcPr>
            <w:tcW w:w="943" w:type="dxa"/>
            <w:noWrap/>
            <w:hideMark/>
          </w:tcPr>
          <w:p w14:paraId="25DD87E2" w14:textId="77777777" w:rsidR="006257CF" w:rsidRPr="00A460EC" w:rsidRDefault="006257CF" w:rsidP="0083214A">
            <w:pPr>
              <w:jc w:val="center"/>
              <w:rPr>
                <w:noProof/>
              </w:rPr>
            </w:pPr>
          </w:p>
        </w:tc>
        <w:tc>
          <w:tcPr>
            <w:tcW w:w="944" w:type="dxa"/>
            <w:noWrap/>
            <w:hideMark/>
          </w:tcPr>
          <w:p w14:paraId="3EB2B2E8" w14:textId="77777777" w:rsidR="006257CF" w:rsidRPr="00A460EC" w:rsidRDefault="006257CF" w:rsidP="0083214A">
            <w:pPr>
              <w:jc w:val="center"/>
              <w:rPr>
                <w:noProof/>
              </w:rPr>
            </w:pPr>
          </w:p>
        </w:tc>
        <w:tc>
          <w:tcPr>
            <w:tcW w:w="944" w:type="dxa"/>
            <w:noWrap/>
            <w:hideMark/>
          </w:tcPr>
          <w:p w14:paraId="688644E5" w14:textId="77777777" w:rsidR="006257CF" w:rsidRPr="00A460EC" w:rsidRDefault="006257CF" w:rsidP="0083214A">
            <w:pPr>
              <w:jc w:val="center"/>
              <w:rPr>
                <w:noProof/>
              </w:rPr>
            </w:pPr>
          </w:p>
        </w:tc>
        <w:tc>
          <w:tcPr>
            <w:tcW w:w="943" w:type="dxa"/>
            <w:noWrap/>
            <w:hideMark/>
          </w:tcPr>
          <w:p w14:paraId="020E0480" w14:textId="77777777" w:rsidR="006257CF" w:rsidRPr="00A460EC" w:rsidRDefault="006257CF" w:rsidP="0083214A">
            <w:pPr>
              <w:jc w:val="center"/>
              <w:rPr>
                <w:noProof/>
              </w:rPr>
            </w:pPr>
          </w:p>
        </w:tc>
        <w:tc>
          <w:tcPr>
            <w:tcW w:w="944" w:type="dxa"/>
            <w:noWrap/>
            <w:hideMark/>
          </w:tcPr>
          <w:p w14:paraId="6ECF46EA" w14:textId="77777777" w:rsidR="006257CF" w:rsidRPr="00A460EC" w:rsidRDefault="006257CF" w:rsidP="0083214A">
            <w:pPr>
              <w:jc w:val="center"/>
              <w:rPr>
                <w:noProof/>
              </w:rPr>
            </w:pPr>
          </w:p>
        </w:tc>
        <w:tc>
          <w:tcPr>
            <w:tcW w:w="944" w:type="dxa"/>
            <w:noWrap/>
            <w:hideMark/>
          </w:tcPr>
          <w:p w14:paraId="20E0637E" w14:textId="77777777" w:rsidR="006257CF" w:rsidRPr="00A460EC" w:rsidRDefault="006257CF" w:rsidP="0083214A">
            <w:pPr>
              <w:jc w:val="center"/>
              <w:rPr>
                <w:noProof/>
              </w:rPr>
            </w:pPr>
            <w:r>
              <w:rPr>
                <w:noProof/>
              </w:rPr>
              <w:t>N/A</w:t>
            </w:r>
          </w:p>
        </w:tc>
      </w:tr>
      <w:tr w:rsidR="006257CF" w:rsidRPr="00A460EC" w14:paraId="6E5E3A92"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7CFAB905" w14:textId="77777777" w:rsidR="006257CF" w:rsidRPr="00A460EC" w:rsidRDefault="006257CF" w:rsidP="0083214A">
            <w:pPr>
              <w:rPr>
                <w:noProof/>
              </w:rPr>
            </w:pPr>
            <w:r w:rsidRPr="00A460EC">
              <w:rPr>
                <w:noProof/>
              </w:rPr>
              <w:t>Contributions from other countries and entities</w:t>
            </w:r>
          </w:p>
        </w:tc>
        <w:tc>
          <w:tcPr>
            <w:tcW w:w="943" w:type="dxa"/>
            <w:noWrap/>
            <w:hideMark/>
          </w:tcPr>
          <w:p w14:paraId="3998F911" w14:textId="77777777" w:rsidR="006257CF" w:rsidRPr="00A460EC" w:rsidRDefault="006257CF" w:rsidP="0083214A">
            <w:pPr>
              <w:jc w:val="center"/>
              <w:rPr>
                <w:noProof/>
              </w:rPr>
            </w:pPr>
            <w:r w:rsidRPr="00A460EC">
              <w:rPr>
                <w:noProof/>
              </w:rPr>
              <w:t>10.1</w:t>
            </w:r>
          </w:p>
        </w:tc>
        <w:tc>
          <w:tcPr>
            <w:tcW w:w="944" w:type="dxa"/>
            <w:noWrap/>
            <w:hideMark/>
          </w:tcPr>
          <w:p w14:paraId="3C97CB95" w14:textId="77777777" w:rsidR="006257CF" w:rsidRPr="00A460EC" w:rsidRDefault="006257CF" w:rsidP="0083214A">
            <w:pPr>
              <w:jc w:val="center"/>
              <w:rPr>
                <w:noProof/>
              </w:rPr>
            </w:pPr>
            <w:r>
              <w:rPr>
                <w:noProof/>
              </w:rPr>
              <w:t>p.m.</w:t>
            </w:r>
          </w:p>
        </w:tc>
        <w:tc>
          <w:tcPr>
            <w:tcW w:w="943" w:type="dxa"/>
            <w:noWrap/>
            <w:hideMark/>
          </w:tcPr>
          <w:p w14:paraId="2669D4C5" w14:textId="77777777" w:rsidR="006257CF" w:rsidRPr="00A460EC" w:rsidRDefault="006257CF" w:rsidP="0083214A">
            <w:pPr>
              <w:jc w:val="center"/>
              <w:rPr>
                <w:noProof/>
              </w:rPr>
            </w:pPr>
            <w:r>
              <w:rPr>
                <w:noProof/>
              </w:rPr>
              <w:t>p.m.</w:t>
            </w:r>
          </w:p>
        </w:tc>
        <w:tc>
          <w:tcPr>
            <w:tcW w:w="944" w:type="dxa"/>
            <w:noWrap/>
            <w:hideMark/>
          </w:tcPr>
          <w:p w14:paraId="4514418A" w14:textId="77777777" w:rsidR="006257CF" w:rsidRPr="00A460EC" w:rsidRDefault="006257CF" w:rsidP="0083214A">
            <w:pPr>
              <w:jc w:val="center"/>
              <w:rPr>
                <w:noProof/>
              </w:rPr>
            </w:pPr>
            <w:r>
              <w:rPr>
                <w:noProof/>
              </w:rPr>
              <w:t>p.m.</w:t>
            </w:r>
          </w:p>
        </w:tc>
        <w:tc>
          <w:tcPr>
            <w:tcW w:w="944" w:type="dxa"/>
            <w:noWrap/>
            <w:hideMark/>
          </w:tcPr>
          <w:p w14:paraId="352318E9" w14:textId="77777777" w:rsidR="006257CF" w:rsidRPr="00A460EC" w:rsidRDefault="006257CF" w:rsidP="0083214A">
            <w:pPr>
              <w:jc w:val="center"/>
              <w:rPr>
                <w:noProof/>
              </w:rPr>
            </w:pPr>
            <w:r>
              <w:rPr>
                <w:noProof/>
              </w:rPr>
              <w:t>p.m.</w:t>
            </w:r>
          </w:p>
        </w:tc>
        <w:tc>
          <w:tcPr>
            <w:tcW w:w="943" w:type="dxa"/>
            <w:noWrap/>
            <w:hideMark/>
          </w:tcPr>
          <w:p w14:paraId="1E7F6AF4" w14:textId="77777777" w:rsidR="006257CF" w:rsidRPr="00A460EC" w:rsidRDefault="006257CF" w:rsidP="0083214A">
            <w:pPr>
              <w:jc w:val="center"/>
              <w:rPr>
                <w:noProof/>
              </w:rPr>
            </w:pPr>
            <w:r>
              <w:rPr>
                <w:noProof/>
              </w:rPr>
              <w:t>p.m.</w:t>
            </w:r>
          </w:p>
        </w:tc>
        <w:tc>
          <w:tcPr>
            <w:tcW w:w="944" w:type="dxa"/>
            <w:noWrap/>
            <w:hideMark/>
          </w:tcPr>
          <w:p w14:paraId="1936D0FC" w14:textId="77777777" w:rsidR="006257CF" w:rsidRPr="00A460EC" w:rsidRDefault="006257CF" w:rsidP="0083214A">
            <w:pPr>
              <w:jc w:val="center"/>
              <w:rPr>
                <w:noProof/>
              </w:rPr>
            </w:pPr>
            <w:r>
              <w:rPr>
                <w:noProof/>
              </w:rPr>
              <w:t>p.m.</w:t>
            </w:r>
          </w:p>
        </w:tc>
        <w:tc>
          <w:tcPr>
            <w:tcW w:w="944" w:type="dxa"/>
            <w:noWrap/>
            <w:hideMark/>
          </w:tcPr>
          <w:p w14:paraId="66FC0BD1" w14:textId="77777777" w:rsidR="006257CF" w:rsidRPr="00A460EC" w:rsidRDefault="006257CF" w:rsidP="0083214A">
            <w:pPr>
              <w:jc w:val="center"/>
              <w:rPr>
                <w:noProof/>
              </w:rPr>
            </w:pPr>
            <w:r w:rsidRPr="00A460EC">
              <w:rPr>
                <w:noProof/>
              </w:rPr>
              <w:t>10.1</w:t>
            </w:r>
          </w:p>
        </w:tc>
      </w:tr>
      <w:tr w:rsidR="006257CF" w:rsidRPr="00A460EC" w14:paraId="6BEA2378"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vAlign w:val="bottom"/>
          </w:tcPr>
          <w:p w14:paraId="2FF9F797" w14:textId="77777777" w:rsidR="006257CF" w:rsidRPr="00A460EC" w:rsidRDefault="006257CF" w:rsidP="0083214A">
            <w:pPr>
              <w:rPr>
                <w:noProof/>
              </w:rPr>
            </w:pPr>
            <w:r>
              <w:rPr>
                <w:rFonts w:ascii="Calibri" w:hAnsi="Calibri" w:cs="Calibri"/>
                <w:b/>
                <w:bCs/>
                <w:noProof/>
                <w:color w:val="000000"/>
              </w:rPr>
              <w:t>Total</w:t>
            </w:r>
          </w:p>
        </w:tc>
        <w:tc>
          <w:tcPr>
            <w:tcW w:w="943" w:type="dxa"/>
            <w:noWrap/>
            <w:vAlign w:val="bottom"/>
          </w:tcPr>
          <w:p w14:paraId="239C1BC5" w14:textId="77777777" w:rsidR="006257CF" w:rsidRPr="00A460EC" w:rsidRDefault="006257CF" w:rsidP="0083214A">
            <w:pPr>
              <w:jc w:val="center"/>
              <w:rPr>
                <w:noProof/>
              </w:rPr>
            </w:pPr>
            <w:r>
              <w:rPr>
                <w:rFonts w:ascii="Calibri" w:hAnsi="Calibri" w:cs="Calibri"/>
                <w:b/>
                <w:bCs/>
                <w:noProof/>
                <w:color w:val="000000"/>
              </w:rPr>
              <w:t>316.5</w:t>
            </w:r>
          </w:p>
        </w:tc>
        <w:tc>
          <w:tcPr>
            <w:tcW w:w="944" w:type="dxa"/>
            <w:noWrap/>
            <w:vAlign w:val="bottom"/>
          </w:tcPr>
          <w:p w14:paraId="36E22C15" w14:textId="77777777" w:rsidR="006257CF" w:rsidRPr="00A460EC" w:rsidRDefault="006257CF" w:rsidP="0083214A">
            <w:pPr>
              <w:jc w:val="center"/>
              <w:rPr>
                <w:noProof/>
              </w:rPr>
            </w:pPr>
            <w:r>
              <w:rPr>
                <w:rFonts w:ascii="Calibri" w:hAnsi="Calibri" w:cs="Calibri"/>
                <w:b/>
                <w:bCs/>
                <w:noProof/>
                <w:color w:val="000000"/>
              </w:rPr>
              <w:t>406.5</w:t>
            </w:r>
          </w:p>
        </w:tc>
        <w:tc>
          <w:tcPr>
            <w:tcW w:w="943" w:type="dxa"/>
            <w:noWrap/>
            <w:vAlign w:val="bottom"/>
          </w:tcPr>
          <w:p w14:paraId="1DC20177" w14:textId="77777777" w:rsidR="006257CF" w:rsidRPr="00A460EC" w:rsidRDefault="006257CF" w:rsidP="0083214A">
            <w:pPr>
              <w:jc w:val="center"/>
              <w:rPr>
                <w:noProof/>
              </w:rPr>
            </w:pPr>
            <w:r>
              <w:rPr>
                <w:rFonts w:ascii="Calibri" w:hAnsi="Calibri" w:cs="Calibri"/>
                <w:b/>
                <w:bCs/>
                <w:noProof/>
                <w:color w:val="000000"/>
              </w:rPr>
              <w:t>325.3</w:t>
            </w:r>
          </w:p>
        </w:tc>
        <w:tc>
          <w:tcPr>
            <w:tcW w:w="944" w:type="dxa"/>
            <w:noWrap/>
            <w:vAlign w:val="bottom"/>
          </w:tcPr>
          <w:p w14:paraId="36BEF1EC" w14:textId="77777777" w:rsidR="006257CF" w:rsidRPr="00A460EC" w:rsidRDefault="006257CF" w:rsidP="0083214A">
            <w:pPr>
              <w:jc w:val="center"/>
              <w:rPr>
                <w:noProof/>
              </w:rPr>
            </w:pPr>
            <w:r>
              <w:rPr>
                <w:rFonts w:ascii="Calibri" w:hAnsi="Calibri" w:cs="Calibri"/>
                <w:b/>
                <w:bCs/>
                <w:noProof/>
                <w:color w:val="000000"/>
              </w:rPr>
              <w:t>239.7</w:t>
            </w:r>
          </w:p>
        </w:tc>
        <w:tc>
          <w:tcPr>
            <w:tcW w:w="944" w:type="dxa"/>
            <w:noWrap/>
            <w:vAlign w:val="bottom"/>
          </w:tcPr>
          <w:p w14:paraId="5653AD58" w14:textId="77777777" w:rsidR="006257CF" w:rsidRPr="00A460EC" w:rsidRDefault="006257CF" w:rsidP="0083214A">
            <w:pPr>
              <w:jc w:val="center"/>
              <w:rPr>
                <w:noProof/>
              </w:rPr>
            </w:pPr>
            <w:r>
              <w:rPr>
                <w:rFonts w:ascii="Calibri" w:hAnsi="Calibri" w:cs="Calibri"/>
                <w:b/>
                <w:bCs/>
                <w:noProof/>
                <w:color w:val="000000"/>
              </w:rPr>
              <w:t>244.5</w:t>
            </w:r>
          </w:p>
        </w:tc>
        <w:tc>
          <w:tcPr>
            <w:tcW w:w="943" w:type="dxa"/>
            <w:noWrap/>
            <w:vAlign w:val="bottom"/>
          </w:tcPr>
          <w:p w14:paraId="632DF52A" w14:textId="77777777" w:rsidR="006257CF" w:rsidRPr="00A460EC" w:rsidRDefault="006257CF" w:rsidP="0083214A">
            <w:pPr>
              <w:jc w:val="center"/>
              <w:rPr>
                <w:noProof/>
              </w:rPr>
            </w:pPr>
            <w:r>
              <w:rPr>
                <w:rFonts w:ascii="Calibri" w:hAnsi="Calibri" w:cs="Calibri"/>
                <w:b/>
                <w:bCs/>
                <w:noProof/>
                <w:color w:val="000000"/>
              </w:rPr>
              <w:t>249.4</w:t>
            </w:r>
          </w:p>
        </w:tc>
        <w:tc>
          <w:tcPr>
            <w:tcW w:w="944" w:type="dxa"/>
            <w:noWrap/>
            <w:vAlign w:val="bottom"/>
          </w:tcPr>
          <w:p w14:paraId="7523312F" w14:textId="77777777" w:rsidR="006257CF" w:rsidRPr="00A460EC" w:rsidRDefault="006257CF" w:rsidP="0083214A">
            <w:pPr>
              <w:jc w:val="center"/>
              <w:rPr>
                <w:noProof/>
              </w:rPr>
            </w:pPr>
            <w:r>
              <w:rPr>
                <w:rFonts w:ascii="Calibri" w:hAnsi="Calibri" w:cs="Calibri"/>
                <w:b/>
                <w:bCs/>
                <w:noProof/>
                <w:color w:val="000000"/>
              </w:rPr>
              <w:t>254.6</w:t>
            </w:r>
          </w:p>
        </w:tc>
        <w:tc>
          <w:tcPr>
            <w:tcW w:w="944" w:type="dxa"/>
            <w:noWrap/>
            <w:vAlign w:val="bottom"/>
          </w:tcPr>
          <w:p w14:paraId="6222CB9D" w14:textId="77777777" w:rsidR="006257CF" w:rsidRPr="00A460EC" w:rsidRDefault="006257CF" w:rsidP="0083214A">
            <w:pPr>
              <w:jc w:val="center"/>
              <w:rPr>
                <w:noProof/>
              </w:rPr>
            </w:pPr>
            <w:r>
              <w:rPr>
                <w:rFonts w:ascii="Calibri" w:hAnsi="Calibri" w:cs="Calibri"/>
                <w:b/>
                <w:bCs/>
                <w:noProof/>
                <w:color w:val="000000"/>
              </w:rPr>
              <w:t>2 036.5</w:t>
            </w:r>
          </w:p>
        </w:tc>
      </w:tr>
    </w:tbl>
    <w:p w14:paraId="105F9FD8" w14:textId="77777777" w:rsidR="006257CF" w:rsidRPr="00783CAC" w:rsidRDefault="006257CF" w:rsidP="006257CF">
      <w:pPr>
        <w:tabs>
          <w:tab w:val="left" w:pos="6793"/>
        </w:tabs>
        <w:rPr>
          <w:noProof/>
          <w:sz w:val="18"/>
          <w:szCs w:val="18"/>
        </w:rPr>
      </w:pPr>
      <w:r w:rsidRPr="00B10183">
        <w:rPr>
          <w:noProof/>
          <w:sz w:val="18"/>
          <w:szCs w:val="18"/>
        </w:rPr>
        <w:t>(</w:t>
      </w:r>
      <w:r w:rsidRPr="00783CAC">
        <w:rPr>
          <w:noProof/>
          <w:sz w:val="18"/>
          <w:szCs w:val="18"/>
        </w:rPr>
        <w:t>*) Only Article 15</w:t>
      </w:r>
      <w:r w:rsidRPr="00DF25A4">
        <w:rPr>
          <w:noProof/>
          <w:sz w:val="18"/>
          <w:szCs w:val="18"/>
        </w:rPr>
        <w:t>(</w:t>
      </w:r>
      <w:r w:rsidRPr="00B10183">
        <w:rPr>
          <w:noProof/>
          <w:sz w:val="18"/>
          <w:szCs w:val="18"/>
        </w:rPr>
        <w:t>3</w:t>
      </w:r>
      <w:r w:rsidRPr="00783CAC">
        <w:rPr>
          <w:noProof/>
          <w:sz w:val="18"/>
          <w:szCs w:val="18"/>
        </w:rPr>
        <w:t xml:space="preserve">) of the </w:t>
      </w:r>
      <w:r w:rsidRPr="00DF25A4">
        <w:rPr>
          <w:noProof/>
          <w:sz w:val="18"/>
          <w:szCs w:val="18"/>
        </w:rPr>
        <w:t>financial regulation</w:t>
      </w:r>
      <w:r w:rsidRPr="00B10183">
        <w:rPr>
          <w:noProof/>
          <w:sz w:val="18"/>
          <w:szCs w:val="18"/>
        </w:rPr>
        <w:t>.</w:t>
      </w:r>
    </w:p>
    <w:p w14:paraId="3F83CEA7" w14:textId="6BD045E7" w:rsidR="006257CF" w:rsidRPr="00C81179" w:rsidRDefault="006257CF" w:rsidP="006257CF">
      <w:pPr>
        <w:pStyle w:val="ppoTableTabletitle"/>
        <w:jc w:val="center"/>
        <w:rPr>
          <w:noProof/>
        </w:rPr>
      </w:pPr>
      <w:r w:rsidRPr="006C7306">
        <w:rPr>
          <w:noProof/>
        </w:rPr>
        <w:t>Financial programming</w:t>
      </w:r>
      <w:r w:rsidR="004C4764">
        <w:rPr>
          <w:noProof/>
        </w:rPr>
        <w:t>:</w:t>
      </w:r>
      <w:r w:rsidRPr="006C7306">
        <w:rPr>
          <w:noProof/>
        </w:rPr>
        <w:t xml:space="preserve"> </w:t>
      </w:r>
      <w:r w:rsidRPr="00C81179">
        <w:rPr>
          <w:rStyle w:val="ppocharGreentext24pt"/>
          <w:noProof/>
        </w:rPr>
        <w:t>+</w:t>
      </w:r>
      <w:r w:rsidRPr="00C81179">
        <w:rPr>
          <w:rStyle w:val="ppocharGreentext24pt"/>
          <w:rFonts w:ascii="Calibri" w:hAnsi="Calibri" w:cs="Calibri"/>
          <w:noProof/>
        </w:rPr>
        <w:t> </w:t>
      </w:r>
      <w:r w:rsidRPr="00A460EC">
        <w:rPr>
          <w:rStyle w:val="ppocharGreentext24pt"/>
          <w:noProof/>
        </w:rPr>
        <w:t>EUR</w:t>
      </w:r>
      <w:r w:rsidRPr="00A460EC">
        <w:rPr>
          <w:rStyle w:val="ppocharGreentext24pt"/>
          <w:rFonts w:ascii="Calibri" w:hAnsi="Calibri" w:cs="Calibri"/>
          <w:noProof/>
        </w:rPr>
        <w:t> </w:t>
      </w:r>
      <w:r w:rsidRPr="0CB2BB19">
        <w:rPr>
          <w:rStyle w:val="ppocharGreentext24pt"/>
          <w:noProof/>
        </w:rPr>
        <w:t>5.5</w:t>
      </w:r>
      <w:r w:rsidRPr="00A460EC">
        <w:rPr>
          <w:rStyle w:val="ppocharGreentext24pt"/>
          <w:rFonts w:ascii="Calibri" w:hAnsi="Calibri" w:cs="Calibri"/>
          <w:noProof/>
        </w:rPr>
        <w:t> </w:t>
      </w:r>
      <w:r w:rsidRPr="00A460EC">
        <w:rPr>
          <w:rStyle w:val="ppocharGreentext24pt"/>
          <w:noProof/>
        </w:rPr>
        <w:t>million (+</w:t>
      </w:r>
      <w:r w:rsidRPr="0CB2BB19">
        <w:rPr>
          <w:rStyle w:val="ppocharGreentext24pt"/>
          <w:noProof/>
        </w:rPr>
        <w:t>0</w:t>
      </w:r>
      <w:r w:rsidRPr="00A460EC">
        <w:rPr>
          <w:rStyle w:val="ppocharGreentext24pt"/>
          <w:noProof/>
        </w:rPr>
        <w:t xml:space="preserve">%) </w:t>
      </w:r>
      <w:r w:rsidRPr="00F22884">
        <w:rPr>
          <w:noProof/>
        </w:rPr>
        <w:t>compared to the legal basis</w:t>
      </w:r>
      <w:r>
        <w:rPr>
          <w:noProof/>
        </w:rPr>
        <w:t>.*</w:t>
      </w:r>
    </w:p>
    <w:p w14:paraId="3E9BA473" w14:textId="6FDFCE93" w:rsidR="006257CF" w:rsidRPr="006C7306" w:rsidRDefault="006257CF" w:rsidP="006257CF">
      <w:pPr>
        <w:tabs>
          <w:tab w:val="left" w:pos="6793"/>
        </w:tabs>
        <w:rPr>
          <w:noProof/>
          <w:sz w:val="18"/>
          <w:szCs w:val="18"/>
        </w:rPr>
      </w:pPr>
      <w:r w:rsidRPr="006C7306">
        <w:rPr>
          <w:noProof/>
          <w:sz w:val="18"/>
          <w:szCs w:val="18"/>
        </w:rPr>
        <w:t xml:space="preserve">* </w:t>
      </w:r>
      <w:r w:rsidR="00427FAC">
        <w:rPr>
          <w:noProof/>
          <w:sz w:val="18"/>
          <w:szCs w:val="18"/>
        </w:rPr>
        <w:t>Top-ups pursuant to Art. 5 MFF Regulation</w:t>
      </w:r>
      <w:r w:rsidRPr="006C7306">
        <w:rPr>
          <w:noProof/>
          <w:sz w:val="18"/>
          <w:szCs w:val="18"/>
        </w:rPr>
        <w:t xml:space="preserve"> are excluded from financial programming in this comparison</w:t>
      </w:r>
    </w:p>
    <w:p w14:paraId="7400AA10" w14:textId="77777777" w:rsidR="006257CF" w:rsidRDefault="006257CF" w:rsidP="006257CF">
      <w:pPr>
        <w:tabs>
          <w:tab w:val="left" w:pos="6793"/>
        </w:tabs>
        <w:rPr>
          <w:noProof/>
        </w:rPr>
      </w:pPr>
    </w:p>
    <w:p w14:paraId="5889234B" w14:textId="77777777" w:rsidR="006257CF" w:rsidRPr="00A460EC" w:rsidRDefault="006257CF" w:rsidP="006257CF">
      <w:pPr>
        <w:pStyle w:val="ppoTableTabletitle"/>
        <w:rPr>
          <w:b/>
          <w:noProof/>
        </w:rPr>
      </w:pPr>
      <w:r w:rsidRPr="00A460EC">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6257CF" w:rsidRPr="00A460EC" w14:paraId="73467999" w14:textId="77777777" w:rsidTr="0083214A">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201BDB46" w14:textId="77777777" w:rsidR="006257CF" w:rsidRPr="00A460EC" w:rsidRDefault="006257CF" w:rsidP="0083214A">
            <w:pPr>
              <w:rPr>
                <w:noProof/>
              </w:rPr>
            </w:pPr>
          </w:p>
        </w:tc>
        <w:tc>
          <w:tcPr>
            <w:tcW w:w="2410" w:type="dxa"/>
          </w:tcPr>
          <w:p w14:paraId="67B7DCE7" w14:textId="77777777" w:rsidR="006257CF" w:rsidRPr="00A460EC" w:rsidRDefault="006257CF" w:rsidP="0083214A">
            <w:pPr>
              <w:cnfStyle w:val="100000000000" w:firstRow="1" w:lastRow="0" w:firstColumn="0" w:lastColumn="0" w:oddVBand="0" w:evenVBand="0" w:oddHBand="0" w:evenHBand="0" w:firstRowFirstColumn="0" w:firstRowLastColumn="0" w:lastRowFirstColumn="0" w:lastRowLastColumn="0"/>
              <w:rPr>
                <w:noProof/>
              </w:rPr>
            </w:pPr>
            <w:r w:rsidRPr="00A460EC">
              <w:rPr>
                <w:noProof/>
              </w:rPr>
              <w:t>Implementation</w:t>
            </w:r>
          </w:p>
        </w:tc>
        <w:tc>
          <w:tcPr>
            <w:tcW w:w="2410" w:type="dxa"/>
          </w:tcPr>
          <w:p w14:paraId="13A266E8" w14:textId="5ACC30E8" w:rsidR="006257CF" w:rsidRPr="00A460EC" w:rsidRDefault="003821C6" w:rsidP="0083214A">
            <w:pPr>
              <w:cnfStyle w:val="100000000000" w:firstRow="1" w:lastRow="0" w:firstColumn="0" w:lastColumn="0" w:oddVBand="0" w:evenVBand="0" w:oddHBand="0" w:evenHBand="0" w:firstRowFirstColumn="0" w:firstRowLastColumn="0" w:lastRowFirstColumn="0" w:lastRowLastColumn="0"/>
              <w:rPr>
                <w:noProof/>
              </w:rPr>
            </w:pPr>
            <w:r>
              <w:rPr>
                <w:noProof/>
              </w:rPr>
              <w:t xml:space="preserve">2021-2027 </w:t>
            </w:r>
            <w:r w:rsidR="006257CF" w:rsidRPr="00A460EC">
              <w:rPr>
                <w:noProof/>
              </w:rPr>
              <w:t>Budget</w:t>
            </w:r>
          </w:p>
        </w:tc>
        <w:tc>
          <w:tcPr>
            <w:tcW w:w="2410" w:type="dxa"/>
          </w:tcPr>
          <w:p w14:paraId="585295B7" w14:textId="77777777" w:rsidR="006257CF" w:rsidRPr="00A460EC" w:rsidRDefault="006257CF" w:rsidP="0083214A">
            <w:pPr>
              <w:cnfStyle w:val="100000000000" w:firstRow="1" w:lastRow="0" w:firstColumn="0" w:lastColumn="0" w:oddVBand="0" w:evenVBand="0" w:oddHBand="0" w:evenHBand="0" w:firstRowFirstColumn="0" w:firstRowLastColumn="0" w:lastRowFirstColumn="0" w:lastRowLastColumn="0"/>
              <w:rPr>
                <w:noProof/>
              </w:rPr>
            </w:pPr>
            <w:r w:rsidRPr="00A460EC">
              <w:rPr>
                <w:noProof/>
              </w:rPr>
              <w:t>Implementation rate</w:t>
            </w:r>
          </w:p>
        </w:tc>
      </w:tr>
      <w:tr w:rsidR="006257CF" w:rsidRPr="00A460EC" w14:paraId="468BD9B6"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71B3E6E7" w14:textId="77777777" w:rsidR="006257CF" w:rsidRPr="00A460EC" w:rsidRDefault="006257CF" w:rsidP="0083214A">
            <w:pPr>
              <w:jc w:val="center"/>
              <w:rPr>
                <w:noProof/>
              </w:rPr>
            </w:pPr>
            <w:r w:rsidRPr="00A460EC">
              <w:rPr>
                <w:noProof/>
              </w:rPr>
              <w:t>Commitments</w:t>
            </w:r>
          </w:p>
        </w:tc>
        <w:tc>
          <w:tcPr>
            <w:tcW w:w="2410" w:type="dxa"/>
          </w:tcPr>
          <w:tbl>
            <w:tblPr>
              <w:tblStyle w:val="TableGrid"/>
              <w:tblW w:w="0" w:type="auto"/>
              <w:tblLook w:val="06A0" w:firstRow="1" w:lastRow="0" w:firstColumn="1" w:lastColumn="0" w:noHBand="1" w:noVBand="1"/>
            </w:tblPr>
            <w:tblGrid>
              <w:gridCol w:w="2194"/>
            </w:tblGrid>
            <w:tr w:rsidR="006257CF" w:rsidRPr="00A460EC" w14:paraId="3C9D817E" w14:textId="77777777" w:rsidTr="0083214A">
              <w:trPr>
                <w:trHeight w:val="285"/>
              </w:trPr>
              <w:tc>
                <w:tcPr>
                  <w:tcW w:w="2290" w:type="dxa"/>
                  <w:tcBorders>
                    <w:top w:val="nil"/>
                    <w:left w:val="nil"/>
                    <w:bottom w:val="nil"/>
                    <w:right w:val="nil"/>
                  </w:tcBorders>
                  <w:vAlign w:val="bottom"/>
                </w:tcPr>
                <w:p w14:paraId="1DAE23BB" w14:textId="77777777" w:rsidR="006257CF" w:rsidRPr="00A460EC" w:rsidRDefault="006257CF" w:rsidP="0083214A">
                  <w:pPr>
                    <w:spacing w:before="100" w:after="100"/>
                    <w:jc w:val="right"/>
                    <w:rPr>
                      <w:noProof/>
                    </w:rPr>
                  </w:pPr>
                  <w:r w:rsidRPr="00A460EC">
                    <w:rPr>
                      <w:noProof/>
                    </w:rPr>
                    <w:t>314.7</w:t>
                  </w:r>
                </w:p>
              </w:tc>
            </w:tr>
          </w:tbl>
          <w:p w14:paraId="017DA056" w14:textId="77777777" w:rsidR="006257CF" w:rsidRPr="00A460EC" w:rsidRDefault="006257CF"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6257CF" w:rsidRPr="00A460EC" w14:paraId="0794E3E3" w14:textId="77777777" w:rsidTr="0083214A">
              <w:trPr>
                <w:trHeight w:val="285"/>
              </w:trPr>
              <w:tc>
                <w:tcPr>
                  <w:tcW w:w="2290" w:type="dxa"/>
                  <w:tcBorders>
                    <w:top w:val="nil"/>
                    <w:left w:val="nil"/>
                    <w:bottom w:val="nil"/>
                    <w:right w:val="nil"/>
                  </w:tcBorders>
                  <w:vAlign w:val="bottom"/>
                </w:tcPr>
                <w:p w14:paraId="4B7CA363" w14:textId="77777777" w:rsidR="006257CF" w:rsidRPr="00A460EC" w:rsidRDefault="006257CF" w:rsidP="0083214A">
                  <w:pPr>
                    <w:spacing w:before="100" w:after="100"/>
                    <w:jc w:val="right"/>
                    <w:rPr>
                      <w:noProof/>
                    </w:rPr>
                  </w:pPr>
                  <w:r>
                    <w:rPr>
                      <w:noProof/>
                    </w:rPr>
                    <w:t>2 036.5</w:t>
                  </w:r>
                </w:p>
              </w:tc>
            </w:tr>
          </w:tbl>
          <w:p w14:paraId="75F72F03" w14:textId="77777777" w:rsidR="006257CF" w:rsidRPr="00A460EC" w:rsidRDefault="006257CF"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6257CF" w:rsidRPr="00A460EC" w14:paraId="1BA5BF11" w14:textId="77777777" w:rsidTr="0083214A">
              <w:trPr>
                <w:trHeight w:val="285"/>
              </w:trPr>
              <w:tc>
                <w:tcPr>
                  <w:tcW w:w="2290" w:type="dxa"/>
                  <w:tcBorders>
                    <w:top w:val="nil"/>
                    <w:left w:val="nil"/>
                    <w:bottom w:val="nil"/>
                    <w:right w:val="nil"/>
                  </w:tcBorders>
                  <w:vAlign w:val="bottom"/>
                </w:tcPr>
                <w:p w14:paraId="26D38518" w14:textId="77777777" w:rsidR="006257CF" w:rsidRPr="00A460EC" w:rsidRDefault="006257CF" w:rsidP="0083214A">
                  <w:pPr>
                    <w:spacing w:before="100" w:after="100"/>
                    <w:jc w:val="right"/>
                    <w:rPr>
                      <w:noProof/>
                    </w:rPr>
                  </w:pPr>
                  <w:r>
                    <w:rPr>
                      <w:noProof/>
                    </w:rPr>
                    <w:t>15%</w:t>
                  </w:r>
                </w:p>
              </w:tc>
            </w:tr>
          </w:tbl>
          <w:p w14:paraId="409F9E62" w14:textId="77777777" w:rsidR="006257CF" w:rsidRPr="00A460EC" w:rsidRDefault="006257CF" w:rsidP="0083214A">
            <w:pPr>
              <w:jc w:val="center"/>
              <w:cnfStyle w:val="000000000000" w:firstRow="0" w:lastRow="0" w:firstColumn="0" w:lastColumn="0" w:oddVBand="0" w:evenVBand="0" w:oddHBand="0" w:evenHBand="0" w:firstRowFirstColumn="0" w:firstRowLastColumn="0" w:lastRowFirstColumn="0" w:lastRowLastColumn="0"/>
              <w:rPr>
                <w:noProof/>
              </w:rPr>
            </w:pPr>
          </w:p>
        </w:tc>
      </w:tr>
      <w:tr w:rsidR="006257CF" w:rsidRPr="00A460EC" w14:paraId="69568F69"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7E2BF939" w14:textId="77777777" w:rsidR="006257CF" w:rsidRPr="00A460EC" w:rsidRDefault="006257CF" w:rsidP="0083214A">
            <w:pPr>
              <w:jc w:val="center"/>
              <w:rPr>
                <w:noProof/>
              </w:rPr>
            </w:pPr>
            <w:r w:rsidRPr="00A460EC">
              <w:rPr>
                <w:noProof/>
              </w:rPr>
              <w:t>Payments</w:t>
            </w:r>
          </w:p>
        </w:tc>
        <w:tc>
          <w:tcPr>
            <w:tcW w:w="2410" w:type="dxa"/>
          </w:tcPr>
          <w:tbl>
            <w:tblPr>
              <w:tblStyle w:val="TableGrid"/>
              <w:tblW w:w="0" w:type="auto"/>
              <w:tblLook w:val="06A0" w:firstRow="1" w:lastRow="0" w:firstColumn="1" w:lastColumn="0" w:noHBand="1" w:noVBand="1"/>
            </w:tblPr>
            <w:tblGrid>
              <w:gridCol w:w="2194"/>
            </w:tblGrid>
            <w:tr w:rsidR="006257CF" w:rsidRPr="00A460EC" w14:paraId="73A95614" w14:textId="77777777" w:rsidTr="0083214A">
              <w:trPr>
                <w:trHeight w:val="285"/>
              </w:trPr>
              <w:tc>
                <w:tcPr>
                  <w:tcW w:w="2290" w:type="dxa"/>
                  <w:tcBorders>
                    <w:top w:val="nil"/>
                    <w:left w:val="nil"/>
                    <w:bottom w:val="nil"/>
                    <w:right w:val="nil"/>
                  </w:tcBorders>
                  <w:vAlign w:val="bottom"/>
                </w:tcPr>
                <w:p w14:paraId="7805054D" w14:textId="77777777" w:rsidR="006257CF" w:rsidRPr="00A460EC" w:rsidRDefault="006257CF" w:rsidP="0083214A">
                  <w:pPr>
                    <w:spacing w:before="100" w:after="100"/>
                    <w:jc w:val="right"/>
                    <w:rPr>
                      <w:noProof/>
                    </w:rPr>
                  </w:pPr>
                  <w:r w:rsidRPr="00A460EC">
                    <w:rPr>
                      <w:noProof/>
                    </w:rPr>
                    <w:t>60.5</w:t>
                  </w:r>
                </w:p>
              </w:tc>
            </w:tr>
          </w:tbl>
          <w:p w14:paraId="425827E4" w14:textId="77777777" w:rsidR="006257CF" w:rsidRPr="00A460EC" w:rsidRDefault="006257CF"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4AFF1B96" w14:textId="77777777" w:rsidR="006257CF" w:rsidRPr="00A460EC" w:rsidRDefault="006257CF"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6257CF" w:rsidRPr="00A460EC" w14:paraId="14405E71" w14:textId="77777777" w:rsidTr="0083214A">
              <w:trPr>
                <w:trHeight w:val="285"/>
              </w:trPr>
              <w:tc>
                <w:tcPr>
                  <w:tcW w:w="2235" w:type="dxa"/>
                  <w:tcBorders>
                    <w:top w:val="nil"/>
                    <w:left w:val="nil"/>
                    <w:bottom w:val="nil"/>
                    <w:right w:val="nil"/>
                  </w:tcBorders>
                  <w:vAlign w:val="bottom"/>
                </w:tcPr>
                <w:p w14:paraId="37D22774" w14:textId="77777777" w:rsidR="006257CF" w:rsidRPr="00A460EC" w:rsidRDefault="006257CF" w:rsidP="0083214A">
                  <w:pPr>
                    <w:spacing w:before="100" w:after="100"/>
                    <w:jc w:val="right"/>
                    <w:rPr>
                      <w:noProof/>
                    </w:rPr>
                  </w:pPr>
                  <w:r w:rsidRPr="00A460EC">
                    <w:rPr>
                      <w:noProof/>
                    </w:rPr>
                    <w:t>3%</w:t>
                  </w:r>
                </w:p>
              </w:tc>
            </w:tr>
          </w:tbl>
          <w:p w14:paraId="0473CB9A" w14:textId="77777777" w:rsidR="006257CF" w:rsidRPr="00A460EC" w:rsidRDefault="006257CF" w:rsidP="0083214A">
            <w:pPr>
              <w:jc w:val="center"/>
              <w:cnfStyle w:val="000000000000" w:firstRow="0" w:lastRow="0" w:firstColumn="0" w:lastColumn="0" w:oddVBand="0" w:evenVBand="0" w:oddHBand="0" w:evenHBand="0" w:firstRowFirstColumn="0" w:firstRowLastColumn="0" w:lastRowFirstColumn="0" w:lastRowLastColumn="0"/>
              <w:rPr>
                <w:noProof/>
              </w:rPr>
            </w:pPr>
          </w:p>
        </w:tc>
      </w:tr>
    </w:tbl>
    <w:p w14:paraId="38C89F63" w14:textId="77777777" w:rsidR="006257CF" w:rsidRPr="00A460EC" w:rsidRDefault="006257CF" w:rsidP="006257CF">
      <w:pPr>
        <w:pStyle w:val="ppoTableTabletitle"/>
        <w:rPr>
          <w:b/>
          <w:noProof/>
        </w:rPr>
      </w:pPr>
      <w:r w:rsidRPr="00A460EC">
        <w:rPr>
          <w:noProof/>
        </w:rPr>
        <w:t>Voted budget implementation in 2021 (million EUR):</w:t>
      </w:r>
    </w:p>
    <w:tbl>
      <w:tblPr>
        <w:tblStyle w:val="PPO2021"/>
        <w:tblW w:w="3683" w:type="pct"/>
        <w:tblInd w:w="79" w:type="dxa"/>
        <w:tblLook w:val="04A0" w:firstRow="1" w:lastRow="0" w:firstColumn="1" w:lastColumn="0" w:noHBand="0" w:noVBand="1"/>
      </w:tblPr>
      <w:tblGrid>
        <w:gridCol w:w="2419"/>
        <w:gridCol w:w="2419"/>
        <w:gridCol w:w="2420"/>
      </w:tblGrid>
      <w:tr w:rsidR="006257CF" w:rsidRPr="00A460EC" w14:paraId="268513C4" w14:textId="77777777" w:rsidTr="008321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0397768E" w14:textId="77777777" w:rsidR="006257CF" w:rsidRPr="00A460EC" w:rsidRDefault="006257CF" w:rsidP="0083214A">
            <w:pPr>
              <w:rPr>
                <w:noProof/>
              </w:rPr>
            </w:pPr>
          </w:p>
        </w:tc>
        <w:tc>
          <w:tcPr>
            <w:tcW w:w="2419" w:type="dxa"/>
          </w:tcPr>
          <w:p w14:paraId="64ABD40A" w14:textId="77777777" w:rsidR="006257CF" w:rsidRPr="00A460EC" w:rsidRDefault="006257CF" w:rsidP="0083214A">
            <w:pPr>
              <w:cnfStyle w:val="100000000000" w:firstRow="1" w:lastRow="0" w:firstColumn="0" w:lastColumn="0" w:oddVBand="0" w:evenVBand="0" w:oddHBand="0" w:evenHBand="0" w:firstRowFirstColumn="0" w:firstRowLastColumn="0" w:lastRowFirstColumn="0" w:lastRowLastColumn="0"/>
              <w:rPr>
                <w:noProof/>
              </w:rPr>
            </w:pPr>
            <w:r w:rsidRPr="00A460EC">
              <w:rPr>
                <w:noProof/>
              </w:rPr>
              <w:t>Voted budget implementation</w:t>
            </w:r>
          </w:p>
        </w:tc>
        <w:tc>
          <w:tcPr>
            <w:tcW w:w="2420" w:type="dxa"/>
          </w:tcPr>
          <w:p w14:paraId="2EF27527" w14:textId="77777777" w:rsidR="006257CF" w:rsidRPr="00A460EC" w:rsidRDefault="006257CF" w:rsidP="0083214A">
            <w:pPr>
              <w:cnfStyle w:val="100000000000" w:firstRow="1" w:lastRow="0" w:firstColumn="0" w:lastColumn="0" w:oddVBand="0" w:evenVBand="0" w:oddHBand="0" w:evenHBand="0" w:firstRowFirstColumn="0" w:firstRowLastColumn="0" w:lastRowFirstColumn="0" w:lastRowLastColumn="0"/>
              <w:rPr>
                <w:noProof/>
              </w:rPr>
            </w:pPr>
            <w:r w:rsidRPr="00A460EC">
              <w:rPr>
                <w:noProof/>
              </w:rPr>
              <w:t>Initial voted budget</w:t>
            </w:r>
          </w:p>
        </w:tc>
      </w:tr>
      <w:tr w:rsidR="006257CF" w:rsidRPr="00A460EC" w14:paraId="6FD9F075" w14:textId="77777777" w:rsidTr="0083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5A53FB53" w14:textId="77777777" w:rsidR="006257CF" w:rsidRPr="00A460EC" w:rsidRDefault="006257CF" w:rsidP="0083214A">
            <w:pPr>
              <w:jc w:val="center"/>
              <w:rPr>
                <w:noProof/>
              </w:rPr>
            </w:pPr>
            <w:r w:rsidRPr="00A460EC">
              <w:rPr>
                <w:noProof/>
              </w:rPr>
              <w:t>Commitments</w:t>
            </w:r>
          </w:p>
        </w:tc>
        <w:tc>
          <w:tcPr>
            <w:tcW w:w="2419" w:type="dxa"/>
          </w:tcPr>
          <w:p w14:paraId="62DD9709" w14:textId="77777777" w:rsidR="006257CF" w:rsidRPr="00A460EC" w:rsidRDefault="006257CF" w:rsidP="0083214A">
            <w:pPr>
              <w:jc w:val="right"/>
              <w:cnfStyle w:val="000000100000" w:firstRow="0" w:lastRow="0" w:firstColumn="0" w:lastColumn="0" w:oddVBand="0" w:evenVBand="0" w:oddHBand="1" w:evenHBand="0" w:firstRowFirstColumn="0" w:firstRowLastColumn="0" w:lastRowFirstColumn="0" w:lastRowLastColumn="0"/>
              <w:rPr>
                <w:noProof/>
              </w:rPr>
            </w:pPr>
            <w:r w:rsidRPr="00A460EC">
              <w:rPr>
                <w:noProof/>
              </w:rPr>
              <w:t>306.3</w:t>
            </w:r>
          </w:p>
        </w:tc>
        <w:tc>
          <w:tcPr>
            <w:tcW w:w="2420" w:type="dxa"/>
          </w:tcPr>
          <w:p w14:paraId="69F82615" w14:textId="77777777" w:rsidR="006257CF" w:rsidRPr="00A460EC" w:rsidRDefault="006257CF" w:rsidP="0083214A">
            <w:pPr>
              <w:jc w:val="right"/>
              <w:cnfStyle w:val="000000100000" w:firstRow="0" w:lastRow="0" w:firstColumn="0" w:lastColumn="0" w:oddVBand="0" w:evenVBand="0" w:oddHBand="1" w:evenHBand="0" w:firstRowFirstColumn="0" w:firstRowLastColumn="0" w:lastRowFirstColumn="0" w:lastRowLastColumn="0"/>
              <w:rPr>
                <w:noProof/>
              </w:rPr>
            </w:pPr>
            <w:r w:rsidRPr="00A460EC">
              <w:rPr>
                <w:noProof/>
              </w:rPr>
              <w:t>306.4</w:t>
            </w:r>
          </w:p>
        </w:tc>
      </w:tr>
      <w:tr w:rsidR="006257CF" w:rsidRPr="00A460EC" w14:paraId="437FA0E1" w14:textId="77777777" w:rsidTr="00832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16EAA9E0" w14:textId="77777777" w:rsidR="006257CF" w:rsidRPr="00A460EC" w:rsidRDefault="006257CF" w:rsidP="0083214A">
            <w:pPr>
              <w:jc w:val="center"/>
              <w:rPr>
                <w:noProof/>
              </w:rPr>
            </w:pPr>
            <w:r w:rsidRPr="00A460EC">
              <w:rPr>
                <w:noProof/>
              </w:rPr>
              <w:t>Payments</w:t>
            </w:r>
          </w:p>
        </w:tc>
        <w:tc>
          <w:tcPr>
            <w:tcW w:w="2419" w:type="dxa"/>
          </w:tcPr>
          <w:p w14:paraId="4383A31B" w14:textId="77777777" w:rsidR="006257CF" w:rsidRPr="00A460EC" w:rsidRDefault="006257CF" w:rsidP="0083214A">
            <w:pPr>
              <w:jc w:val="right"/>
              <w:cnfStyle w:val="000000010000" w:firstRow="0" w:lastRow="0" w:firstColumn="0" w:lastColumn="0" w:oddVBand="0" w:evenVBand="0" w:oddHBand="0" w:evenHBand="1" w:firstRowFirstColumn="0" w:firstRowLastColumn="0" w:lastRowFirstColumn="0" w:lastRowLastColumn="0"/>
              <w:rPr>
                <w:noProof/>
              </w:rPr>
            </w:pPr>
            <w:r w:rsidRPr="00A460EC">
              <w:rPr>
                <w:noProof/>
              </w:rPr>
              <w:t>56.4</w:t>
            </w:r>
          </w:p>
        </w:tc>
        <w:tc>
          <w:tcPr>
            <w:tcW w:w="2420" w:type="dxa"/>
          </w:tcPr>
          <w:p w14:paraId="2C152D82" w14:textId="77777777" w:rsidR="006257CF" w:rsidRPr="00A460EC" w:rsidRDefault="006257CF" w:rsidP="0083214A">
            <w:pPr>
              <w:jc w:val="right"/>
              <w:cnfStyle w:val="000000010000" w:firstRow="0" w:lastRow="0" w:firstColumn="0" w:lastColumn="0" w:oddVBand="0" w:evenVBand="0" w:oddHBand="0" w:evenHBand="1" w:firstRowFirstColumn="0" w:firstRowLastColumn="0" w:lastRowFirstColumn="0" w:lastRowLastColumn="0"/>
              <w:rPr>
                <w:noProof/>
              </w:rPr>
            </w:pPr>
            <w:r w:rsidRPr="00A460EC">
              <w:rPr>
                <w:noProof/>
              </w:rPr>
              <w:t>147.5</w:t>
            </w:r>
          </w:p>
        </w:tc>
      </w:tr>
    </w:tbl>
    <w:p w14:paraId="124BAA9D" w14:textId="77777777" w:rsidR="006257CF" w:rsidRPr="00783CAC" w:rsidRDefault="006257CF" w:rsidP="006257CF">
      <w:pPr>
        <w:pStyle w:val="ppoListHyphened-L1"/>
        <w:spacing w:before="360"/>
        <w:ind w:left="640"/>
        <w:jc w:val="both"/>
        <w:rPr>
          <w:noProof/>
        </w:rPr>
      </w:pPr>
      <w:r w:rsidRPr="00783CAC">
        <w:rPr>
          <w:noProof/>
        </w:rPr>
        <w:t>The first year of the implementation of the Creative Europe programme has been exceptionally challenging in terms of budget management. The late adoption of the programme regulation has pushed back the start of the activities to the second half of the year, affecting the budget management in 2021 and shifting some payments initially planned in 2021 to 2022.</w:t>
      </w:r>
    </w:p>
    <w:p w14:paraId="7BDCF876" w14:textId="77777777" w:rsidR="006257CF" w:rsidRPr="00783CAC" w:rsidRDefault="006257CF" w:rsidP="006257CF">
      <w:pPr>
        <w:pStyle w:val="ppoListHyphened-L1"/>
        <w:ind w:left="640"/>
        <w:jc w:val="both"/>
        <w:rPr>
          <w:noProof/>
        </w:rPr>
      </w:pPr>
      <w:r w:rsidRPr="00783CAC">
        <w:rPr>
          <w:noProof/>
        </w:rPr>
        <w:t>As a result, a very close budget monitoring approach allowed to promptly return the unnecessary payment appropriations detected in the revision of forecasts and ensured the full use of the remaining available payment appropriations in the EU budget at year end. Moreover, this exceptional situation had no influence on the funding absorption capacity of the programme, for which all the commitments appropriations of the 2021 EU voted budget have been implemented.</w:t>
      </w:r>
    </w:p>
    <w:p w14:paraId="6734C63E" w14:textId="77777777" w:rsidR="006257CF" w:rsidRPr="00783CAC" w:rsidRDefault="006257CF" w:rsidP="006257CF">
      <w:pPr>
        <w:pStyle w:val="ppoListHyphened-L1"/>
        <w:ind w:left="640"/>
        <w:jc w:val="both"/>
        <w:rPr>
          <w:noProof/>
        </w:rPr>
      </w:pPr>
      <w:r w:rsidRPr="00783CAC">
        <w:rPr>
          <w:noProof/>
        </w:rPr>
        <w:t>The delayed start also had an impact on appropriations consumed in 2021: only about 19% (EUR</w:t>
      </w:r>
      <w:r w:rsidRPr="00783CAC">
        <w:rPr>
          <w:rFonts w:ascii="Calibri" w:hAnsi="Calibri" w:cs="Calibri"/>
          <w:noProof/>
        </w:rPr>
        <w:t> </w:t>
      </w:r>
      <w:r w:rsidRPr="00783CAC">
        <w:rPr>
          <w:noProof/>
        </w:rPr>
        <w:t>60.5</w:t>
      </w:r>
      <w:r w:rsidRPr="00783CAC">
        <w:rPr>
          <w:rFonts w:ascii="Calibri" w:hAnsi="Calibri" w:cs="Calibri"/>
          <w:noProof/>
        </w:rPr>
        <w:t> </w:t>
      </w:r>
      <w:r w:rsidRPr="00783CAC">
        <w:rPr>
          <w:noProof/>
        </w:rPr>
        <w:t>million) of the budget committed (EUR</w:t>
      </w:r>
      <w:r w:rsidRPr="00783CAC">
        <w:rPr>
          <w:rFonts w:ascii="Calibri" w:hAnsi="Calibri" w:cs="Calibri"/>
          <w:noProof/>
        </w:rPr>
        <w:t> </w:t>
      </w:r>
      <w:r w:rsidRPr="00783CAC">
        <w:rPr>
          <w:noProof/>
        </w:rPr>
        <w:t>314.7 million) in 2021 has been paid, resulting in a cumulative payment implementation rate of just 3%.</w:t>
      </w:r>
    </w:p>
    <w:p w14:paraId="6EA630A2" w14:textId="77777777" w:rsidR="006257CF" w:rsidRPr="00783CAC" w:rsidRDefault="006257CF" w:rsidP="006257CF">
      <w:pPr>
        <w:pStyle w:val="ppoListHyphened-L1"/>
        <w:ind w:left="640"/>
        <w:jc w:val="both"/>
        <w:rPr>
          <w:noProof/>
        </w:rPr>
      </w:pPr>
      <w:r w:rsidRPr="00C81179">
        <w:rPr>
          <w:rFonts w:eastAsiaTheme="minorEastAsia"/>
          <w:noProof/>
        </w:rPr>
        <w:t>The yearly profile of the 2021-2027 budget for the programme is heavily front-loaded and the 2022</w:t>
      </w:r>
      <w:r w:rsidRPr="00A460EC">
        <w:rPr>
          <w:rFonts w:ascii="Calibri" w:eastAsiaTheme="minorEastAsia" w:hAnsi="Calibri" w:cs="Calibri"/>
          <w:noProof/>
        </w:rPr>
        <w:t xml:space="preserve"> </w:t>
      </w:r>
      <w:r w:rsidRPr="00A460EC">
        <w:rPr>
          <w:rFonts w:eastAsiaTheme="minorEastAsia"/>
          <w:noProof/>
        </w:rPr>
        <w:t>budget is the highest of all 7</w:t>
      </w:r>
      <w:r w:rsidRPr="00A460EC">
        <w:rPr>
          <w:rFonts w:ascii="Calibri" w:eastAsiaTheme="minorEastAsia" w:hAnsi="Calibri" w:cs="Calibri"/>
          <w:noProof/>
        </w:rPr>
        <w:t> </w:t>
      </w:r>
      <w:r w:rsidRPr="00A460EC">
        <w:rPr>
          <w:rFonts w:eastAsiaTheme="minorEastAsia"/>
          <w:noProof/>
        </w:rPr>
        <w:t xml:space="preserve">years. </w:t>
      </w:r>
      <w:bookmarkStart w:id="158" w:name="_Hlk101349713"/>
      <w:r w:rsidRPr="00A460EC">
        <w:rPr>
          <w:rFonts w:eastAsiaTheme="minorEastAsia"/>
          <w:noProof/>
        </w:rPr>
        <w:t>This additional strengthening of the programme in its early years aims at helping the beneficiary sectors to recover from the COVID</w:t>
      </w:r>
      <w:r w:rsidRPr="00A460EC">
        <w:rPr>
          <w:rFonts w:ascii="Calibri" w:eastAsiaTheme="minorEastAsia" w:hAnsi="Calibri" w:cs="Calibri"/>
          <w:noProof/>
        </w:rPr>
        <w:noBreakHyphen/>
      </w:r>
      <w:r w:rsidRPr="00A460EC">
        <w:rPr>
          <w:rFonts w:eastAsiaTheme="minorEastAsia"/>
          <w:noProof/>
        </w:rPr>
        <w:t>19 crisis</w:t>
      </w:r>
      <w:bookmarkEnd w:id="158"/>
      <w:r w:rsidRPr="00A460EC">
        <w:rPr>
          <w:rFonts w:eastAsiaTheme="minorEastAsia"/>
          <w:noProof/>
        </w:rPr>
        <w:t>.</w:t>
      </w:r>
    </w:p>
    <w:p w14:paraId="78A49735" w14:textId="77777777" w:rsidR="006257CF" w:rsidRPr="00C81179" w:rsidRDefault="006257CF" w:rsidP="006257CF">
      <w:pPr>
        <w:pStyle w:val="ppoHeading5"/>
        <w:rPr>
          <w:noProof/>
        </w:rPr>
      </w:pPr>
      <w:r w:rsidRPr="00C81179">
        <w:rPr>
          <w:noProof/>
        </w:rPr>
        <w:t>Contribution to horizontal priorities</w:t>
      </w:r>
    </w:p>
    <w:p w14:paraId="5D49BCDF" w14:textId="77777777" w:rsidR="006257CF" w:rsidRPr="00A460EC" w:rsidRDefault="006257CF" w:rsidP="006257CF">
      <w:pPr>
        <w:pStyle w:val="ppoTableTabletitle"/>
        <w:rPr>
          <w:noProof/>
        </w:rPr>
      </w:pPr>
      <w:r w:rsidRPr="00C81179">
        <w:rPr>
          <w:noProof/>
        </w:rPr>
        <w:t>EU budget contribution in 2021 (</w:t>
      </w:r>
      <w:r w:rsidRPr="00A460EC">
        <w:rPr>
          <w:noProof/>
        </w:rPr>
        <w:t>million EUR):</w:t>
      </w:r>
    </w:p>
    <w:tbl>
      <w:tblPr>
        <w:tblStyle w:val="PPO2021"/>
        <w:tblW w:w="9639" w:type="dxa"/>
        <w:tblInd w:w="0" w:type="dxa"/>
        <w:tblLook w:val="0420" w:firstRow="1" w:lastRow="0" w:firstColumn="0" w:lastColumn="0" w:noHBand="0" w:noVBand="1"/>
      </w:tblPr>
      <w:tblGrid>
        <w:gridCol w:w="3213"/>
        <w:gridCol w:w="3213"/>
        <w:gridCol w:w="3213"/>
      </w:tblGrid>
      <w:tr w:rsidR="006257CF" w:rsidRPr="00A460EC" w14:paraId="5C9A6069" w14:textId="77777777" w:rsidTr="0083214A">
        <w:trPr>
          <w:cnfStyle w:val="100000000000" w:firstRow="1" w:lastRow="0" w:firstColumn="0" w:lastColumn="0" w:oddVBand="0" w:evenVBand="0" w:oddHBand="0" w:evenHBand="0" w:firstRowFirstColumn="0" w:firstRowLastColumn="0" w:lastRowFirstColumn="0" w:lastRowLastColumn="0"/>
          <w:tblHeader/>
        </w:trPr>
        <w:tc>
          <w:tcPr>
            <w:tcW w:w="3213" w:type="dxa"/>
          </w:tcPr>
          <w:p w14:paraId="70DF9126" w14:textId="77777777" w:rsidR="006257CF" w:rsidRPr="00A460EC" w:rsidRDefault="006257CF" w:rsidP="0083214A">
            <w:pPr>
              <w:rPr>
                <w:noProof/>
              </w:rPr>
            </w:pPr>
            <w:r w:rsidRPr="00A460EC">
              <w:rPr>
                <w:noProof/>
              </w:rPr>
              <w:t>Climate</w:t>
            </w:r>
          </w:p>
        </w:tc>
        <w:tc>
          <w:tcPr>
            <w:tcW w:w="3213" w:type="dxa"/>
          </w:tcPr>
          <w:p w14:paraId="4BD04C59" w14:textId="77777777" w:rsidR="006257CF" w:rsidRPr="00A460EC" w:rsidRDefault="006257CF" w:rsidP="0083214A">
            <w:pPr>
              <w:rPr>
                <w:noProof/>
              </w:rPr>
            </w:pPr>
            <w:r w:rsidRPr="00A460EC">
              <w:rPr>
                <w:noProof/>
              </w:rPr>
              <w:t>Biodiversity</w:t>
            </w:r>
          </w:p>
        </w:tc>
        <w:tc>
          <w:tcPr>
            <w:tcW w:w="3213" w:type="dxa"/>
          </w:tcPr>
          <w:p w14:paraId="110DE1C1" w14:textId="77777777" w:rsidR="006257CF" w:rsidRPr="00A460EC" w:rsidRDefault="006257CF" w:rsidP="0083214A">
            <w:pPr>
              <w:rPr>
                <w:noProof/>
              </w:rPr>
            </w:pPr>
            <w:r w:rsidRPr="00A460EC">
              <w:rPr>
                <w:noProof/>
              </w:rPr>
              <w:t>Gender equality</w:t>
            </w:r>
            <w:r w:rsidRPr="00A460EC">
              <w:rPr>
                <w:rFonts w:ascii="Calibri" w:hAnsi="Calibri" w:cs="Calibri"/>
                <w:noProof/>
              </w:rPr>
              <w:t> </w:t>
            </w:r>
            <w:r w:rsidRPr="00A460EC">
              <w:rPr>
                <w:noProof/>
              </w:rPr>
              <w:t>(*)</w:t>
            </w:r>
          </w:p>
        </w:tc>
      </w:tr>
      <w:tr w:rsidR="006257CF" w:rsidRPr="00A460EC" w14:paraId="6BE11B24" w14:textId="77777777" w:rsidTr="0083214A">
        <w:trPr>
          <w:cnfStyle w:val="000000100000" w:firstRow="0" w:lastRow="0" w:firstColumn="0" w:lastColumn="0" w:oddVBand="0" w:evenVBand="0" w:oddHBand="1" w:evenHBand="0" w:firstRowFirstColumn="0" w:firstRowLastColumn="0" w:lastRowFirstColumn="0" w:lastRowLastColumn="0"/>
        </w:trPr>
        <w:tc>
          <w:tcPr>
            <w:tcW w:w="3213" w:type="dxa"/>
          </w:tcPr>
          <w:tbl>
            <w:tblPr>
              <w:tblStyle w:val="TableGrid"/>
              <w:tblW w:w="0" w:type="auto"/>
              <w:tblLook w:val="06A0" w:firstRow="1" w:lastRow="0" w:firstColumn="1" w:lastColumn="0" w:noHBand="1" w:noVBand="1"/>
            </w:tblPr>
            <w:tblGrid>
              <w:gridCol w:w="1935"/>
            </w:tblGrid>
            <w:tr w:rsidR="006257CF" w:rsidRPr="00A460EC" w14:paraId="0112D2DC" w14:textId="77777777" w:rsidTr="0083214A">
              <w:trPr>
                <w:trHeight w:val="285"/>
              </w:trPr>
              <w:tc>
                <w:tcPr>
                  <w:tcW w:w="1935" w:type="dxa"/>
                  <w:tcBorders>
                    <w:top w:val="nil"/>
                    <w:left w:val="nil"/>
                    <w:bottom w:val="nil"/>
                    <w:right w:val="nil"/>
                  </w:tcBorders>
                  <w:vAlign w:val="bottom"/>
                </w:tcPr>
                <w:p w14:paraId="297177EF" w14:textId="0080E0D0" w:rsidR="006257CF" w:rsidRPr="00A460EC" w:rsidRDefault="00194625" w:rsidP="0083214A">
                  <w:pPr>
                    <w:spacing w:before="100" w:after="100"/>
                    <w:jc w:val="center"/>
                    <w:rPr>
                      <w:noProof/>
                    </w:rPr>
                  </w:pPr>
                  <w:r>
                    <w:rPr>
                      <w:noProof/>
                    </w:rPr>
                    <w:t>6.89</w:t>
                  </w:r>
                </w:p>
              </w:tc>
            </w:tr>
          </w:tbl>
          <w:p w14:paraId="4A2FFCE4" w14:textId="77777777" w:rsidR="006257CF" w:rsidRPr="00A460EC" w:rsidRDefault="006257CF" w:rsidP="0083214A">
            <w:pPr>
              <w:jc w:val="center"/>
              <w:rPr>
                <w:noProof/>
              </w:rPr>
            </w:pPr>
          </w:p>
        </w:tc>
        <w:tc>
          <w:tcPr>
            <w:tcW w:w="3213" w:type="dxa"/>
          </w:tcPr>
          <w:p w14:paraId="2E058ECC" w14:textId="77777777" w:rsidR="006257CF" w:rsidRPr="00A460EC" w:rsidRDefault="006257CF" w:rsidP="0083214A">
            <w:pPr>
              <w:jc w:val="center"/>
              <w:rPr>
                <w:noProof/>
              </w:rPr>
            </w:pPr>
            <w:r w:rsidRPr="00A460EC">
              <w:rPr>
                <w:noProof/>
              </w:rPr>
              <w:t>0</w:t>
            </w:r>
          </w:p>
        </w:tc>
        <w:tc>
          <w:tcPr>
            <w:tcW w:w="3213" w:type="dxa"/>
          </w:tcPr>
          <w:p w14:paraId="2643F07E" w14:textId="77777777" w:rsidR="006257CF" w:rsidRPr="00A460EC" w:rsidRDefault="006257CF" w:rsidP="0083214A">
            <w:pPr>
              <w:jc w:val="center"/>
              <w:rPr>
                <w:noProof/>
              </w:rPr>
            </w:pPr>
            <w:r w:rsidRPr="00A460EC">
              <w:rPr>
                <w:noProof/>
              </w:rPr>
              <w:t>Score 1: 4</w:t>
            </w:r>
          </w:p>
          <w:p w14:paraId="176DD716" w14:textId="77777777" w:rsidR="006257CF" w:rsidRPr="00A460EC" w:rsidRDefault="006257CF" w:rsidP="0083214A">
            <w:pPr>
              <w:jc w:val="center"/>
              <w:rPr>
                <w:noProof/>
              </w:rPr>
            </w:pPr>
            <w:r w:rsidRPr="00A460EC">
              <w:rPr>
                <w:noProof/>
              </w:rPr>
              <w:t>Score 0*: 302</w:t>
            </w:r>
          </w:p>
        </w:tc>
      </w:tr>
    </w:tbl>
    <w:p w14:paraId="35DB1E1A" w14:textId="77777777" w:rsidR="006257CF" w:rsidRPr="00A460EC" w:rsidRDefault="006257CF" w:rsidP="006257CF">
      <w:pPr>
        <w:pStyle w:val="FootnoteText"/>
        <w:rPr>
          <w:noProof/>
        </w:rPr>
      </w:pPr>
      <w:r w:rsidRPr="00A460EC">
        <w:rPr>
          <w:noProof/>
        </w:rPr>
        <w:t>(*)</w:t>
      </w:r>
      <w:r w:rsidRPr="00A460EC">
        <w:rPr>
          <w:noProof/>
        </w:rPr>
        <w:tab/>
        <w:t>Based on the applied gender contribution methodology, the following scores are attributed at the most granular level of intervention possible:</w:t>
      </w:r>
    </w:p>
    <w:p w14:paraId="321EA62F" w14:textId="77777777" w:rsidR="006257CF" w:rsidRPr="00A460EC" w:rsidRDefault="006257CF" w:rsidP="006257CF">
      <w:pPr>
        <w:pStyle w:val="FootnoteText"/>
        <w:numPr>
          <w:ilvl w:val="0"/>
          <w:numId w:val="38"/>
        </w:numPr>
        <w:spacing w:after="60" w:line="264" w:lineRule="auto"/>
        <w:jc w:val="left"/>
        <w:rPr>
          <w:noProof/>
        </w:rPr>
      </w:pPr>
      <w:r w:rsidRPr="00A460EC">
        <w:rPr>
          <w:noProof/>
        </w:rPr>
        <w:t>2: interventions the principal objective of which is to improve gender equality;</w:t>
      </w:r>
    </w:p>
    <w:p w14:paraId="5CDA31A3" w14:textId="77777777" w:rsidR="006257CF" w:rsidRPr="00A460EC" w:rsidRDefault="006257CF" w:rsidP="006257CF">
      <w:pPr>
        <w:pStyle w:val="FootnoteText"/>
        <w:numPr>
          <w:ilvl w:val="0"/>
          <w:numId w:val="38"/>
        </w:numPr>
        <w:spacing w:after="60" w:line="264" w:lineRule="auto"/>
        <w:jc w:val="left"/>
        <w:rPr>
          <w:noProof/>
        </w:rPr>
      </w:pPr>
      <w:r w:rsidRPr="00A460EC">
        <w:rPr>
          <w:noProof/>
        </w:rPr>
        <w:t>1: interventions that have gender equality as an important and deliberate objective but not as the main reason for the intervention;</w:t>
      </w:r>
    </w:p>
    <w:p w14:paraId="39AF2EE1" w14:textId="77777777" w:rsidR="006257CF" w:rsidRPr="00A460EC" w:rsidRDefault="006257CF" w:rsidP="006257CF">
      <w:pPr>
        <w:pStyle w:val="FootnoteText"/>
        <w:numPr>
          <w:ilvl w:val="0"/>
          <w:numId w:val="38"/>
        </w:numPr>
        <w:spacing w:after="60" w:line="264" w:lineRule="auto"/>
        <w:jc w:val="left"/>
        <w:rPr>
          <w:noProof/>
        </w:rPr>
      </w:pPr>
      <w:r w:rsidRPr="00A460EC">
        <w:rPr>
          <w:noProof/>
        </w:rPr>
        <w:t>0: non-targeted interventions;</w:t>
      </w:r>
    </w:p>
    <w:p w14:paraId="10A64076" w14:textId="77777777" w:rsidR="006257CF" w:rsidRPr="00A460EC" w:rsidRDefault="006257CF" w:rsidP="006257CF">
      <w:pPr>
        <w:pStyle w:val="FootnoteText"/>
        <w:numPr>
          <w:ilvl w:val="0"/>
          <w:numId w:val="38"/>
        </w:numPr>
        <w:spacing w:after="60" w:line="264" w:lineRule="auto"/>
        <w:jc w:val="left"/>
        <w:rPr>
          <w:noProof/>
        </w:rPr>
      </w:pPr>
      <w:r w:rsidRPr="00A460EC">
        <w:rPr>
          <w:noProof/>
        </w:rPr>
        <w:t>0*: score to be assigned to interventions with a likely but not yet clear positive impact on gender equality.</w:t>
      </w:r>
    </w:p>
    <w:p w14:paraId="5503B6B9" w14:textId="77777777" w:rsidR="006257CF" w:rsidRPr="00A460EC" w:rsidRDefault="006257CF" w:rsidP="006257CF">
      <w:pPr>
        <w:pStyle w:val="ppoHeading5"/>
        <w:rPr>
          <w:noProof/>
        </w:rPr>
      </w:pPr>
      <w:r w:rsidRPr="00A460EC">
        <w:rPr>
          <w:noProof/>
        </w:rPr>
        <w:t>Performance assessment</w:t>
      </w:r>
    </w:p>
    <w:p w14:paraId="0A85B878" w14:textId="77777777" w:rsidR="006257CF" w:rsidRPr="00A460EC" w:rsidRDefault="006257CF" w:rsidP="006257CF">
      <w:pPr>
        <w:pStyle w:val="ppoHeading6"/>
        <w:rPr>
          <w:noProof/>
        </w:rPr>
      </w:pPr>
      <w:r w:rsidRPr="00A460EC">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6257CF" w:rsidRPr="00A460EC" w14:paraId="719A46C6" w14:textId="77777777" w:rsidTr="0083214A">
        <w:trPr>
          <w:cnfStyle w:val="100000000000" w:firstRow="1" w:lastRow="0" w:firstColumn="0" w:lastColumn="0" w:oddVBand="0" w:evenVBand="0" w:oddHBand="0" w:evenHBand="0" w:firstRowFirstColumn="0" w:firstRowLastColumn="0" w:lastRowFirstColumn="0" w:lastRowLastColumn="0"/>
        </w:trPr>
        <w:tc>
          <w:tcPr>
            <w:tcW w:w="2268" w:type="dxa"/>
          </w:tcPr>
          <w:p w14:paraId="47027E3A" w14:textId="77777777" w:rsidR="006257CF" w:rsidRPr="00A460EC" w:rsidRDefault="006257CF" w:rsidP="0083214A">
            <w:pPr>
              <w:rPr>
                <w:noProof/>
              </w:rPr>
            </w:pPr>
          </w:p>
        </w:tc>
        <w:tc>
          <w:tcPr>
            <w:tcW w:w="931" w:type="dxa"/>
          </w:tcPr>
          <w:p w14:paraId="45B15E79" w14:textId="77777777" w:rsidR="006257CF" w:rsidRPr="00A460EC" w:rsidRDefault="006257CF" w:rsidP="0083214A">
            <w:pPr>
              <w:rPr>
                <w:noProof/>
              </w:rPr>
            </w:pPr>
            <w:r w:rsidRPr="00A460EC">
              <w:rPr>
                <w:noProof/>
              </w:rPr>
              <w:t>Baseline</w:t>
            </w:r>
          </w:p>
        </w:tc>
        <w:tc>
          <w:tcPr>
            <w:tcW w:w="1485" w:type="dxa"/>
          </w:tcPr>
          <w:p w14:paraId="408214E9" w14:textId="77777777" w:rsidR="006257CF" w:rsidRPr="00A460EC" w:rsidRDefault="006257CF" w:rsidP="0083214A">
            <w:pPr>
              <w:rPr>
                <w:noProof/>
              </w:rPr>
            </w:pPr>
            <w:r w:rsidRPr="00A460EC">
              <w:rPr>
                <w:noProof/>
              </w:rPr>
              <w:t>Progress</w:t>
            </w:r>
            <w:r>
              <w:rPr>
                <w:noProof/>
              </w:rPr>
              <w:t xml:space="preserve"> (*)</w:t>
            </w:r>
          </w:p>
        </w:tc>
        <w:tc>
          <w:tcPr>
            <w:tcW w:w="1491" w:type="dxa"/>
          </w:tcPr>
          <w:p w14:paraId="5968F706" w14:textId="77777777" w:rsidR="006257CF" w:rsidRPr="00A460EC" w:rsidRDefault="006257CF" w:rsidP="0083214A">
            <w:pPr>
              <w:rPr>
                <w:noProof/>
              </w:rPr>
            </w:pPr>
            <w:r w:rsidRPr="00A460EC">
              <w:rPr>
                <w:noProof/>
              </w:rPr>
              <w:t>Target</w:t>
            </w:r>
          </w:p>
        </w:tc>
        <w:tc>
          <w:tcPr>
            <w:tcW w:w="1530" w:type="dxa"/>
          </w:tcPr>
          <w:p w14:paraId="2AD98CDA" w14:textId="77777777" w:rsidR="006257CF" w:rsidRPr="00A460EC" w:rsidRDefault="006257CF" w:rsidP="0083214A">
            <w:pPr>
              <w:rPr>
                <w:noProof/>
              </w:rPr>
            </w:pPr>
            <w:r w:rsidRPr="00A460EC">
              <w:rPr>
                <w:noProof/>
              </w:rPr>
              <w:t>Results</w:t>
            </w:r>
          </w:p>
        </w:tc>
        <w:tc>
          <w:tcPr>
            <w:tcW w:w="1537" w:type="dxa"/>
          </w:tcPr>
          <w:p w14:paraId="76FD61B5" w14:textId="77777777" w:rsidR="006257CF" w:rsidRPr="00A460EC" w:rsidRDefault="006257CF" w:rsidP="0083214A">
            <w:pPr>
              <w:rPr>
                <w:noProof/>
              </w:rPr>
            </w:pPr>
            <w:r w:rsidRPr="00A460EC">
              <w:rPr>
                <w:noProof/>
              </w:rPr>
              <w:t>Assessment</w:t>
            </w:r>
          </w:p>
        </w:tc>
      </w:tr>
      <w:tr w:rsidR="006257CF" w:rsidRPr="00A460EC" w14:paraId="3575AB6D" w14:textId="77777777" w:rsidTr="0083214A">
        <w:trPr>
          <w:cnfStyle w:val="000000100000" w:firstRow="0" w:lastRow="0" w:firstColumn="0" w:lastColumn="0" w:oddVBand="0" w:evenVBand="0" w:oddHBand="1" w:evenHBand="0" w:firstRowFirstColumn="0" w:firstRowLastColumn="0" w:lastRowFirstColumn="0" w:lastRowLastColumn="0"/>
        </w:trPr>
        <w:tc>
          <w:tcPr>
            <w:tcW w:w="2268" w:type="dxa"/>
          </w:tcPr>
          <w:p w14:paraId="469A1B08" w14:textId="77777777" w:rsidR="006257CF" w:rsidRPr="00A460EC" w:rsidRDefault="006257CF" w:rsidP="0083214A">
            <w:pPr>
              <w:rPr>
                <w:noProof/>
              </w:rPr>
            </w:pPr>
            <w:r w:rsidRPr="00A460EC">
              <w:rPr>
                <w:noProof/>
              </w:rPr>
              <w:t>Transnational partnerships created with the support of the programme</w:t>
            </w:r>
          </w:p>
        </w:tc>
        <w:tc>
          <w:tcPr>
            <w:tcW w:w="931" w:type="dxa"/>
          </w:tcPr>
          <w:p w14:paraId="210BDA8C" w14:textId="77777777" w:rsidR="006257CF" w:rsidRPr="00A460EC" w:rsidRDefault="006257CF" w:rsidP="0083214A">
            <w:pPr>
              <w:jc w:val="center"/>
              <w:rPr>
                <w:noProof/>
              </w:rPr>
            </w:pPr>
            <w:r w:rsidRPr="00A460EC">
              <w:rPr>
                <w:noProof/>
              </w:rPr>
              <w:t>130</w:t>
            </w:r>
          </w:p>
        </w:tc>
        <w:tc>
          <w:tcPr>
            <w:tcW w:w="1485" w:type="dxa"/>
          </w:tcPr>
          <w:p w14:paraId="5ECC0220" w14:textId="77777777" w:rsidR="006257CF" w:rsidRPr="00F22884" w:rsidRDefault="006257CF" w:rsidP="0083214A">
            <w:pPr>
              <w:jc w:val="center"/>
              <w:rPr>
                <w:b/>
                <w:noProof/>
              </w:rPr>
            </w:pPr>
            <w:r w:rsidRPr="00F22884">
              <w:rPr>
                <w:b/>
                <w:noProof/>
              </w:rPr>
              <w:t>1</w:t>
            </w:r>
            <w:r>
              <w:rPr>
                <w:b/>
                <w:noProof/>
              </w:rPr>
              <w:t>3</w:t>
            </w:r>
            <w:r w:rsidRPr="00F22884">
              <w:rPr>
                <w:b/>
                <w:noProof/>
              </w:rPr>
              <w:t>%</w:t>
            </w:r>
          </w:p>
          <w:p w14:paraId="537A7A96" w14:textId="77777777" w:rsidR="006257CF" w:rsidRPr="00A460EC" w:rsidRDefault="006257CF" w:rsidP="0083214A">
            <w:pPr>
              <w:rPr>
                <w:noProof/>
              </w:rPr>
            </w:pPr>
          </w:p>
        </w:tc>
        <w:tc>
          <w:tcPr>
            <w:tcW w:w="1491" w:type="dxa"/>
          </w:tcPr>
          <w:p w14:paraId="1CBDBB17" w14:textId="77777777" w:rsidR="006257CF" w:rsidRPr="00A460EC" w:rsidRDefault="006257CF" w:rsidP="0083214A">
            <w:pPr>
              <w:jc w:val="center"/>
              <w:rPr>
                <w:noProof/>
              </w:rPr>
            </w:pPr>
            <w:r>
              <w:rPr>
                <w:noProof/>
              </w:rPr>
              <w:t>1 490</w:t>
            </w:r>
            <w:r w:rsidRPr="00A460EC">
              <w:rPr>
                <w:noProof/>
              </w:rPr>
              <w:t xml:space="preserve"> in 2027</w:t>
            </w:r>
          </w:p>
        </w:tc>
        <w:tc>
          <w:tcPr>
            <w:tcW w:w="1530" w:type="dxa"/>
          </w:tcPr>
          <w:p w14:paraId="35BF18BA" w14:textId="77777777" w:rsidR="006257CF" w:rsidRPr="00A460EC" w:rsidRDefault="006257CF" w:rsidP="0083214A">
            <w:pPr>
              <w:jc w:val="center"/>
              <w:rPr>
                <w:noProof/>
              </w:rPr>
            </w:pPr>
            <w:r>
              <w:rPr>
                <w:noProof/>
              </w:rPr>
              <w:t>204</w:t>
            </w:r>
            <w:r w:rsidRPr="00A460EC">
              <w:rPr>
                <w:noProof/>
              </w:rPr>
              <w:t xml:space="preserve"> compared to a target of </w:t>
            </w:r>
            <w:r>
              <w:rPr>
                <w:noProof/>
              </w:rPr>
              <w:t>1 490</w:t>
            </w:r>
          </w:p>
        </w:tc>
        <w:tc>
          <w:tcPr>
            <w:tcW w:w="1537" w:type="dxa"/>
          </w:tcPr>
          <w:p w14:paraId="7F247A53" w14:textId="77777777" w:rsidR="006257CF" w:rsidRPr="00A460EC" w:rsidRDefault="006257CF" w:rsidP="0083214A">
            <w:pPr>
              <w:jc w:val="center"/>
              <w:rPr>
                <w:noProof/>
              </w:rPr>
            </w:pPr>
            <w:r>
              <w:rPr>
                <w:noProof/>
              </w:rPr>
              <w:t>On track</w:t>
            </w:r>
          </w:p>
        </w:tc>
      </w:tr>
      <w:tr w:rsidR="006257CF" w:rsidRPr="00A460EC" w14:paraId="166B418F" w14:textId="77777777" w:rsidTr="0083214A">
        <w:trPr>
          <w:cnfStyle w:val="000000010000" w:firstRow="0" w:lastRow="0" w:firstColumn="0" w:lastColumn="0" w:oddVBand="0" w:evenVBand="0" w:oddHBand="0" w:evenHBand="1" w:firstRowFirstColumn="0" w:firstRowLastColumn="0" w:lastRowFirstColumn="0" w:lastRowLastColumn="0"/>
        </w:trPr>
        <w:tc>
          <w:tcPr>
            <w:tcW w:w="2268" w:type="dxa"/>
          </w:tcPr>
          <w:p w14:paraId="7E3E5660" w14:textId="77777777" w:rsidR="006257CF" w:rsidRPr="00A460EC" w:rsidRDefault="006257CF" w:rsidP="0083214A">
            <w:pPr>
              <w:rPr>
                <w:rFonts w:ascii="Calibri" w:eastAsia="Calibri" w:hAnsi="Calibri" w:cs="Calibri"/>
                <w:noProof/>
              </w:rPr>
            </w:pPr>
            <w:r w:rsidRPr="00A460EC">
              <w:rPr>
                <w:rFonts w:ascii="Calibri" w:eastAsia="Calibri" w:hAnsi="Calibri" w:cs="Calibri"/>
                <w:noProof/>
              </w:rPr>
              <w:t>The number of projects supported by the programme addressed to socially marginalised groups</w:t>
            </w:r>
          </w:p>
        </w:tc>
        <w:tc>
          <w:tcPr>
            <w:tcW w:w="931" w:type="dxa"/>
          </w:tcPr>
          <w:p w14:paraId="3884A2A7" w14:textId="77777777" w:rsidR="006257CF" w:rsidRPr="00A460EC" w:rsidRDefault="006257CF" w:rsidP="0083214A">
            <w:pPr>
              <w:jc w:val="center"/>
              <w:rPr>
                <w:noProof/>
              </w:rPr>
            </w:pPr>
            <w:r>
              <w:rPr>
                <w:noProof/>
              </w:rPr>
              <w:t>0</w:t>
            </w:r>
          </w:p>
        </w:tc>
        <w:tc>
          <w:tcPr>
            <w:tcW w:w="1485" w:type="dxa"/>
          </w:tcPr>
          <w:p w14:paraId="5360AB39" w14:textId="77777777" w:rsidR="006257CF" w:rsidRPr="00A460EC" w:rsidRDefault="006257CF" w:rsidP="0083214A">
            <w:pPr>
              <w:jc w:val="center"/>
              <w:rPr>
                <w:b/>
                <w:noProof/>
              </w:rPr>
            </w:pPr>
            <w:r>
              <w:rPr>
                <w:b/>
                <w:noProof/>
              </w:rPr>
              <w:t>13%</w:t>
            </w:r>
          </w:p>
        </w:tc>
        <w:tc>
          <w:tcPr>
            <w:tcW w:w="1491" w:type="dxa"/>
          </w:tcPr>
          <w:p w14:paraId="3E957948" w14:textId="77777777" w:rsidR="006257CF" w:rsidRPr="00A460EC" w:rsidRDefault="006257CF" w:rsidP="0083214A">
            <w:pPr>
              <w:jc w:val="center"/>
              <w:rPr>
                <w:noProof/>
              </w:rPr>
            </w:pPr>
            <w:r w:rsidRPr="00A460EC">
              <w:rPr>
                <w:noProof/>
              </w:rPr>
              <w:t>279</w:t>
            </w:r>
            <w:r>
              <w:rPr>
                <w:noProof/>
              </w:rPr>
              <w:t xml:space="preserve"> in 2027</w:t>
            </w:r>
          </w:p>
        </w:tc>
        <w:tc>
          <w:tcPr>
            <w:tcW w:w="1530" w:type="dxa"/>
          </w:tcPr>
          <w:p w14:paraId="075A9541" w14:textId="77777777" w:rsidR="006257CF" w:rsidRPr="00A460EC" w:rsidRDefault="006257CF" w:rsidP="0083214A">
            <w:pPr>
              <w:jc w:val="center"/>
              <w:rPr>
                <w:noProof/>
              </w:rPr>
            </w:pPr>
            <w:r>
              <w:rPr>
                <w:rFonts w:asciiTheme="minorHAnsi" w:eastAsiaTheme="minorEastAsia" w:hAnsiTheme="minorHAnsi"/>
                <w:noProof/>
                <w:lang w:eastAsia="en-GB"/>
              </w:rPr>
              <w:t>27 compared to a target of 279</w:t>
            </w:r>
          </w:p>
        </w:tc>
        <w:tc>
          <w:tcPr>
            <w:tcW w:w="1537" w:type="dxa"/>
          </w:tcPr>
          <w:p w14:paraId="391C86C7" w14:textId="77777777" w:rsidR="006257CF" w:rsidRPr="00A460EC" w:rsidRDefault="006257CF" w:rsidP="0083214A">
            <w:pPr>
              <w:jc w:val="center"/>
              <w:rPr>
                <w:noProof/>
              </w:rPr>
            </w:pPr>
            <w:r>
              <w:rPr>
                <w:noProof/>
              </w:rPr>
              <w:t>On track</w:t>
            </w:r>
          </w:p>
        </w:tc>
      </w:tr>
      <w:tr w:rsidR="006257CF" w:rsidRPr="00A460EC" w14:paraId="2879816B" w14:textId="77777777" w:rsidTr="0083214A">
        <w:trPr>
          <w:cnfStyle w:val="000000100000" w:firstRow="0" w:lastRow="0" w:firstColumn="0" w:lastColumn="0" w:oddVBand="0" w:evenVBand="0" w:oddHBand="1" w:evenHBand="0" w:firstRowFirstColumn="0" w:firstRowLastColumn="0" w:lastRowFirstColumn="0" w:lastRowLastColumn="0"/>
        </w:trPr>
        <w:tc>
          <w:tcPr>
            <w:tcW w:w="2268" w:type="dxa"/>
          </w:tcPr>
          <w:p w14:paraId="2BBEC672" w14:textId="77777777" w:rsidR="006257CF" w:rsidRPr="00A460EC" w:rsidRDefault="006257CF" w:rsidP="0083214A">
            <w:pPr>
              <w:rPr>
                <w:rFonts w:ascii="Calibri" w:eastAsia="Calibri" w:hAnsi="Calibri" w:cs="Calibri"/>
                <w:noProof/>
              </w:rPr>
            </w:pPr>
            <w:r w:rsidRPr="00A460EC">
              <w:rPr>
                <w:rFonts w:ascii="Calibri" w:eastAsia="Calibri" w:hAnsi="Calibri" w:cs="Calibri"/>
                <w:noProof/>
              </w:rPr>
              <w:t>The number of participants in learning activities supported by the programme who consider that they have improved their competences and increased their employability.</w:t>
            </w:r>
          </w:p>
        </w:tc>
        <w:tc>
          <w:tcPr>
            <w:tcW w:w="931" w:type="dxa"/>
          </w:tcPr>
          <w:p w14:paraId="50CFBF6E" w14:textId="77777777" w:rsidR="006257CF" w:rsidRPr="00A460EC" w:rsidRDefault="006257CF" w:rsidP="0083214A">
            <w:pPr>
              <w:jc w:val="center"/>
              <w:rPr>
                <w:noProof/>
              </w:rPr>
            </w:pPr>
            <w:r>
              <w:rPr>
                <w:noProof/>
              </w:rPr>
              <w:t>0</w:t>
            </w:r>
          </w:p>
        </w:tc>
        <w:tc>
          <w:tcPr>
            <w:tcW w:w="1485" w:type="dxa"/>
          </w:tcPr>
          <w:p w14:paraId="4CEFCBC2" w14:textId="77777777" w:rsidR="006257CF" w:rsidRPr="00A460EC" w:rsidRDefault="006257CF" w:rsidP="0083214A">
            <w:pPr>
              <w:jc w:val="center"/>
              <w:rPr>
                <w:b/>
                <w:noProof/>
              </w:rPr>
            </w:pPr>
          </w:p>
        </w:tc>
        <w:tc>
          <w:tcPr>
            <w:tcW w:w="1491" w:type="dxa"/>
          </w:tcPr>
          <w:p w14:paraId="2668A16D" w14:textId="77777777" w:rsidR="006257CF" w:rsidRPr="00A460EC" w:rsidRDefault="006257CF" w:rsidP="0083214A">
            <w:pPr>
              <w:jc w:val="center"/>
              <w:rPr>
                <w:noProof/>
              </w:rPr>
            </w:pPr>
            <w:r>
              <w:rPr>
                <w:noProof/>
              </w:rPr>
              <w:t>15 760 in 2027</w:t>
            </w:r>
          </w:p>
        </w:tc>
        <w:tc>
          <w:tcPr>
            <w:tcW w:w="1530" w:type="dxa"/>
          </w:tcPr>
          <w:p w14:paraId="1705A52C" w14:textId="77777777" w:rsidR="006257CF" w:rsidRPr="00A460EC" w:rsidRDefault="006257CF" w:rsidP="0083214A">
            <w:pPr>
              <w:jc w:val="center"/>
              <w:rPr>
                <w:noProof/>
              </w:rPr>
            </w:pPr>
            <w:r w:rsidRPr="00A460EC">
              <w:rPr>
                <w:rFonts w:asciiTheme="minorHAnsi" w:eastAsiaTheme="minorEastAsia" w:hAnsiTheme="minorHAnsi"/>
                <w:noProof/>
                <w:lang w:eastAsia="en-GB"/>
              </w:rPr>
              <w:t>No results</w:t>
            </w:r>
          </w:p>
        </w:tc>
        <w:tc>
          <w:tcPr>
            <w:tcW w:w="1537" w:type="dxa"/>
          </w:tcPr>
          <w:p w14:paraId="4E9E42E7" w14:textId="77777777" w:rsidR="006257CF" w:rsidRPr="00A460EC" w:rsidRDefault="006257CF" w:rsidP="0083214A">
            <w:pPr>
              <w:jc w:val="center"/>
              <w:rPr>
                <w:noProof/>
              </w:rPr>
            </w:pPr>
            <w:r w:rsidRPr="00A460EC">
              <w:rPr>
                <w:noProof/>
              </w:rPr>
              <w:t>No data</w:t>
            </w:r>
          </w:p>
        </w:tc>
      </w:tr>
      <w:tr w:rsidR="006257CF" w:rsidRPr="00A460EC" w14:paraId="6419DD73" w14:textId="77777777" w:rsidTr="0083214A">
        <w:trPr>
          <w:cnfStyle w:val="000000010000" w:firstRow="0" w:lastRow="0" w:firstColumn="0" w:lastColumn="0" w:oddVBand="0" w:evenVBand="0" w:oddHBand="0" w:evenHBand="1" w:firstRowFirstColumn="0" w:firstRowLastColumn="0" w:lastRowFirstColumn="0" w:lastRowLastColumn="0"/>
        </w:trPr>
        <w:tc>
          <w:tcPr>
            <w:tcW w:w="2268" w:type="dxa"/>
          </w:tcPr>
          <w:p w14:paraId="5866B61E" w14:textId="77777777" w:rsidR="006257CF" w:rsidRPr="00A460EC" w:rsidRDefault="006257CF" w:rsidP="0083214A">
            <w:pPr>
              <w:rPr>
                <w:rFonts w:ascii="Calibri" w:eastAsia="Calibri" w:hAnsi="Calibri" w:cs="Calibri"/>
                <w:noProof/>
              </w:rPr>
            </w:pPr>
            <w:r w:rsidRPr="00A460EC">
              <w:rPr>
                <w:rFonts w:ascii="Calibri" w:eastAsia="Calibri" w:hAnsi="Calibri" w:cs="Calibri"/>
                <w:noProof/>
              </w:rPr>
              <w:t>The number of events or activities promoting the programme</w:t>
            </w:r>
          </w:p>
        </w:tc>
        <w:tc>
          <w:tcPr>
            <w:tcW w:w="931" w:type="dxa"/>
          </w:tcPr>
          <w:p w14:paraId="77658B57" w14:textId="77777777" w:rsidR="006257CF" w:rsidRPr="00A460EC" w:rsidRDefault="006257CF" w:rsidP="0083214A">
            <w:pPr>
              <w:jc w:val="center"/>
              <w:rPr>
                <w:noProof/>
              </w:rPr>
            </w:pPr>
            <w:r>
              <w:rPr>
                <w:noProof/>
              </w:rPr>
              <w:t>0</w:t>
            </w:r>
          </w:p>
        </w:tc>
        <w:tc>
          <w:tcPr>
            <w:tcW w:w="1485" w:type="dxa"/>
          </w:tcPr>
          <w:p w14:paraId="0D9F7EC5" w14:textId="77777777" w:rsidR="006257CF" w:rsidRPr="00A460EC" w:rsidRDefault="006257CF" w:rsidP="0083214A">
            <w:pPr>
              <w:jc w:val="center"/>
              <w:rPr>
                <w:b/>
                <w:noProof/>
              </w:rPr>
            </w:pPr>
          </w:p>
        </w:tc>
        <w:tc>
          <w:tcPr>
            <w:tcW w:w="1491" w:type="dxa"/>
          </w:tcPr>
          <w:p w14:paraId="3ACF1047" w14:textId="77777777" w:rsidR="006257CF" w:rsidRPr="00A460EC" w:rsidRDefault="006257CF" w:rsidP="0083214A">
            <w:pPr>
              <w:jc w:val="center"/>
              <w:rPr>
                <w:noProof/>
              </w:rPr>
            </w:pPr>
            <w:r>
              <w:rPr>
                <w:rFonts w:asciiTheme="minorHAnsi" w:eastAsiaTheme="minorEastAsia" w:hAnsiTheme="minorHAnsi"/>
                <w:noProof/>
                <w:lang w:eastAsia="en-GB"/>
              </w:rPr>
              <w:t>2 800</w:t>
            </w:r>
            <w:r w:rsidRPr="00A460EC">
              <w:rPr>
                <w:rFonts w:asciiTheme="minorHAnsi" w:eastAsiaTheme="minorEastAsia" w:hAnsiTheme="minorHAnsi"/>
                <w:noProof/>
                <w:lang w:eastAsia="en-GB"/>
              </w:rPr>
              <w:t xml:space="preserve"> in 2027 </w:t>
            </w:r>
          </w:p>
        </w:tc>
        <w:tc>
          <w:tcPr>
            <w:tcW w:w="1530" w:type="dxa"/>
          </w:tcPr>
          <w:p w14:paraId="34B03CED" w14:textId="77777777" w:rsidR="006257CF" w:rsidRPr="00A460EC" w:rsidRDefault="006257CF" w:rsidP="0083214A">
            <w:pPr>
              <w:jc w:val="center"/>
              <w:rPr>
                <w:noProof/>
              </w:rPr>
            </w:pPr>
            <w:r w:rsidRPr="00A460EC">
              <w:rPr>
                <w:rFonts w:asciiTheme="minorHAnsi" w:eastAsiaTheme="minorEastAsia" w:hAnsiTheme="minorHAnsi"/>
                <w:noProof/>
                <w:lang w:eastAsia="en-GB"/>
              </w:rPr>
              <w:t>No results</w:t>
            </w:r>
          </w:p>
        </w:tc>
        <w:tc>
          <w:tcPr>
            <w:tcW w:w="1537" w:type="dxa"/>
          </w:tcPr>
          <w:p w14:paraId="681E0E5C" w14:textId="77777777" w:rsidR="006257CF" w:rsidRPr="00A460EC" w:rsidRDefault="006257CF" w:rsidP="0083214A">
            <w:pPr>
              <w:jc w:val="center"/>
              <w:rPr>
                <w:noProof/>
              </w:rPr>
            </w:pPr>
            <w:r w:rsidRPr="00A460EC">
              <w:rPr>
                <w:noProof/>
              </w:rPr>
              <w:t>No data</w:t>
            </w:r>
          </w:p>
        </w:tc>
      </w:tr>
    </w:tbl>
    <w:p w14:paraId="4F51728C" w14:textId="77777777" w:rsidR="006257CF" w:rsidRDefault="006257CF" w:rsidP="006257CF">
      <w:pPr>
        <w:pStyle w:val="FootnoteText"/>
        <w:spacing w:before="120"/>
        <w:rPr>
          <w:noProof/>
        </w:rPr>
      </w:pPr>
      <w:r>
        <w:rPr>
          <w:noProof/>
        </w:rPr>
        <w:t xml:space="preserve">(*) </w:t>
      </w:r>
      <w:r w:rsidRPr="008A592F">
        <w:rPr>
          <w:noProof/>
        </w:rPr>
        <w:t>% of target achieved by the end of 2021.</w:t>
      </w:r>
    </w:p>
    <w:p w14:paraId="02A442AC" w14:textId="77777777" w:rsidR="006257CF" w:rsidRPr="00A460EC" w:rsidRDefault="006257CF" w:rsidP="006257CF">
      <w:pPr>
        <w:pStyle w:val="ppoListHyphened-L1"/>
        <w:spacing w:before="360"/>
        <w:ind w:left="640"/>
        <w:jc w:val="both"/>
        <w:rPr>
          <w:noProof/>
        </w:rPr>
      </w:pPr>
      <w:r w:rsidRPr="00A460EC">
        <w:rPr>
          <w:noProof/>
        </w:rPr>
        <w:t>2021 was a transition year for Creative Europe, with a focus on translating the legal basis into operational terms. The 2021 work programme was challenging, as it included numerous novelties, such as accounting for inclusiveness and sustainability measures and introducing completely new calls for proposals and new support measures of an innovative nature (MediaInvest). Due to the delay in the adoption of the legal basis, there was also a delay in publishing the 2021 calls for proposals. The implementation of the 2021 calls for proposals also presented new challenges and required additional work in light of the first roll-out of the eGrants system. Altogether, the year was a demanding one for the programme, but the significant preparations laid the ground for smoother, more streamlined implementation adapted to the needs of the sectors.</w:t>
      </w:r>
    </w:p>
    <w:p w14:paraId="729E83D8" w14:textId="77777777" w:rsidR="006257CF" w:rsidRPr="00A460EC" w:rsidRDefault="006257CF" w:rsidP="006257CF">
      <w:pPr>
        <w:pStyle w:val="ppoListHyphened-L1"/>
        <w:ind w:left="640"/>
        <w:jc w:val="both"/>
        <w:rPr>
          <w:noProof/>
        </w:rPr>
      </w:pPr>
      <w:r w:rsidRPr="00A460EC">
        <w:rPr>
          <w:noProof/>
        </w:rPr>
        <w:t>The 2021 Creative Europe annual work programme, adopted in May 2021, allocates around EUR</w:t>
      </w:r>
      <w:r w:rsidRPr="00A460EC">
        <w:rPr>
          <w:rFonts w:ascii="Calibri" w:hAnsi="Calibri" w:cs="Calibri"/>
          <w:noProof/>
        </w:rPr>
        <w:t> </w:t>
      </w:r>
      <w:r w:rsidRPr="00A460EC">
        <w:rPr>
          <w:noProof/>
        </w:rPr>
        <w:t>300</w:t>
      </w:r>
      <w:r w:rsidRPr="00A460EC">
        <w:rPr>
          <w:rFonts w:ascii="Calibri" w:hAnsi="Calibri" w:cs="Calibri"/>
          <w:noProof/>
        </w:rPr>
        <w:t> </w:t>
      </w:r>
      <w:r w:rsidRPr="00A460EC">
        <w:rPr>
          <w:noProof/>
        </w:rPr>
        <w:t>million to the promotion of the diversity and competitiveness of the cultural and creative sectors across Europe, contributing to recovery and resilience in the wake of the COVID</w:t>
      </w:r>
      <w:r w:rsidRPr="00A460EC">
        <w:rPr>
          <w:noProof/>
        </w:rPr>
        <w:noBreakHyphen/>
        <w:t>19 pandemic.</w:t>
      </w:r>
    </w:p>
    <w:p w14:paraId="4634DAA0" w14:textId="77777777" w:rsidR="006257CF" w:rsidRPr="00A460EC" w:rsidRDefault="006257CF" w:rsidP="006257CF">
      <w:pPr>
        <w:pStyle w:val="ppoListHyphened-L1"/>
        <w:ind w:left="640"/>
        <w:jc w:val="both"/>
        <w:rPr>
          <w:noProof/>
        </w:rPr>
      </w:pPr>
      <w:r w:rsidRPr="00A460EC">
        <w:rPr>
          <w:noProof/>
        </w:rPr>
        <w:t>More than EUR</w:t>
      </w:r>
      <w:r w:rsidRPr="00A460EC">
        <w:rPr>
          <w:rFonts w:ascii="Calibri" w:hAnsi="Calibri" w:cs="Calibri"/>
          <w:noProof/>
        </w:rPr>
        <w:t> </w:t>
      </w:r>
      <w:r w:rsidRPr="00A460EC">
        <w:rPr>
          <w:noProof/>
        </w:rPr>
        <w:t>80</w:t>
      </w:r>
      <w:r w:rsidRPr="00A460EC">
        <w:rPr>
          <w:rFonts w:ascii="Calibri" w:hAnsi="Calibri" w:cs="Calibri"/>
          <w:noProof/>
        </w:rPr>
        <w:t> </w:t>
      </w:r>
      <w:r w:rsidRPr="00A460EC">
        <w:rPr>
          <w:noProof/>
        </w:rPr>
        <w:t>million (almost a 30% increase compared to 2020) were allocated to the culture subprogramme: the extra budget was used to increase existing support and introduce novelties. For instance, more budget was allocated to cooperation, to co-finance more projects and raise co-financing rates (up to 80% for small-scale partnerships), making funding more accessible for micro/small cultural organisations that were particularly hit by the pandemic. A scheme to support the circulation of literary works was enhanced to encourage more cooperation between publishers. The European Platforms scheme</w:t>
      </w:r>
      <w:r w:rsidRPr="00A460EC">
        <w:rPr>
          <w:rFonts w:ascii="Calibri" w:hAnsi="Calibri" w:cs="Calibri"/>
          <w:noProof/>
        </w:rPr>
        <w:t> </w:t>
      </w:r>
      <w:r w:rsidRPr="00A460EC">
        <w:rPr>
          <w:noProof/>
        </w:rPr>
        <w:t>– successfully introduced in the previous programme to promote emerging artists in Europe</w:t>
      </w:r>
      <w:r w:rsidRPr="00A460EC">
        <w:rPr>
          <w:rFonts w:ascii="Calibri" w:hAnsi="Calibri" w:cs="Calibri"/>
          <w:noProof/>
        </w:rPr>
        <w:t> </w:t>
      </w:r>
      <w:r w:rsidRPr="00A460EC">
        <w:rPr>
          <w:noProof/>
        </w:rPr>
        <w:t>– has been reinforced and helps artists reconnect with their audience after 2</w:t>
      </w:r>
      <w:r w:rsidRPr="00A460EC">
        <w:rPr>
          <w:rFonts w:ascii="Calibri" w:hAnsi="Calibri" w:cs="Calibri"/>
          <w:noProof/>
        </w:rPr>
        <w:t> </w:t>
      </w:r>
      <w:r w:rsidRPr="00A460EC">
        <w:rPr>
          <w:noProof/>
        </w:rPr>
        <w:t>years of COVID</w:t>
      </w:r>
      <w:r w:rsidRPr="00A460EC">
        <w:rPr>
          <w:noProof/>
        </w:rPr>
        <w:noBreakHyphen/>
        <w:t>19-related restrictions. The support to European professional networks in the culture field</w:t>
      </w:r>
      <w:r w:rsidRPr="00A460EC">
        <w:rPr>
          <w:rFonts w:ascii="Calibri" w:hAnsi="Calibri" w:cs="Calibri"/>
          <w:noProof/>
        </w:rPr>
        <w:t>,</w:t>
      </w:r>
      <w:r w:rsidRPr="00A460EC">
        <w:rPr>
          <w:noProof/>
        </w:rPr>
        <w:t xml:space="preserve"> a key tool for knowledge sharing and the dissemination of practices</w:t>
      </w:r>
      <w:r w:rsidRPr="00A460EC">
        <w:rPr>
          <w:rFonts w:ascii="Calibri" w:hAnsi="Calibri" w:cs="Calibri"/>
          <w:noProof/>
        </w:rPr>
        <w:t>,</w:t>
      </w:r>
      <w:r w:rsidRPr="00A460EC">
        <w:rPr>
          <w:noProof/>
        </w:rPr>
        <w:t xml:space="preserve"> was also increased to encourage the development of the cultural and creative sectors and accompany their digital and environmental transition.</w:t>
      </w:r>
    </w:p>
    <w:p w14:paraId="74B3FEEB" w14:textId="77777777" w:rsidR="006257CF" w:rsidRPr="00A460EC" w:rsidRDefault="006257CF" w:rsidP="006257CF">
      <w:pPr>
        <w:pStyle w:val="ppoListHyphened-L1"/>
        <w:ind w:left="640"/>
        <w:jc w:val="both"/>
        <w:rPr>
          <w:noProof/>
        </w:rPr>
      </w:pPr>
      <w:r w:rsidRPr="00A460EC">
        <w:rPr>
          <w:noProof/>
        </w:rPr>
        <w:t>Under the media subprogramme, more than EUR</w:t>
      </w:r>
      <w:r w:rsidRPr="00A460EC">
        <w:rPr>
          <w:rFonts w:ascii="Calibri" w:hAnsi="Calibri" w:cs="Calibri"/>
          <w:noProof/>
        </w:rPr>
        <w:t> </w:t>
      </w:r>
      <w:r w:rsidRPr="00A460EC">
        <w:rPr>
          <w:noProof/>
        </w:rPr>
        <w:t>154</w:t>
      </w:r>
      <w:r w:rsidRPr="00A460EC">
        <w:rPr>
          <w:rFonts w:ascii="Calibri" w:hAnsi="Calibri" w:cs="Calibri"/>
          <w:noProof/>
        </w:rPr>
        <w:t> </w:t>
      </w:r>
      <w:r w:rsidRPr="00A460EC">
        <w:rPr>
          <w:noProof/>
        </w:rPr>
        <w:t>million were dedicated to open calls for proposals in the 2021 budget compared to EUR</w:t>
      </w:r>
      <w:r w:rsidRPr="00A460EC">
        <w:rPr>
          <w:rFonts w:ascii="Calibri" w:hAnsi="Calibri" w:cs="Calibri"/>
          <w:noProof/>
        </w:rPr>
        <w:t> </w:t>
      </w:r>
      <w:r w:rsidRPr="00A460EC">
        <w:rPr>
          <w:noProof/>
        </w:rPr>
        <w:t>125</w:t>
      </w:r>
      <w:r w:rsidRPr="00A460EC">
        <w:rPr>
          <w:rFonts w:ascii="Calibri" w:hAnsi="Calibri" w:cs="Calibri"/>
          <w:noProof/>
        </w:rPr>
        <w:t> </w:t>
      </w:r>
      <w:r w:rsidRPr="00A460EC">
        <w:rPr>
          <w:noProof/>
        </w:rPr>
        <w:t>million in the 2020 budget. Several significant innovations were successfully introduced as regards the media strand, including: (1) the streamlining of calls for proposals into thematic clusters; (2) the restructuring of the calls related to the development stage of the audiovisual production chain to better reflect the needs of different market players; and (3) a new call for proposals aimed at developing innovative tools and business models for European content and companies to thrive in the digital economy.</w:t>
      </w:r>
    </w:p>
    <w:p w14:paraId="3847728F" w14:textId="77777777" w:rsidR="006257CF" w:rsidRPr="00A460EC" w:rsidRDefault="006257CF" w:rsidP="006257CF">
      <w:pPr>
        <w:pStyle w:val="ppoListHyphened-L1"/>
        <w:ind w:left="640"/>
        <w:jc w:val="both"/>
        <w:rPr>
          <w:noProof/>
        </w:rPr>
      </w:pPr>
      <w:bookmarkStart w:id="159" w:name="_Hlk101349808"/>
      <w:r w:rsidRPr="00A460EC">
        <w:rPr>
          <w:noProof/>
        </w:rPr>
        <w:t>Under the cross-sectoral subprogramme, the budget for open calls for proposals grew from EUR</w:t>
      </w:r>
      <w:r w:rsidRPr="00A460EC">
        <w:rPr>
          <w:rFonts w:ascii="Calibri" w:hAnsi="Calibri" w:cs="Calibri"/>
          <w:noProof/>
        </w:rPr>
        <w:t> </w:t>
      </w:r>
      <w:r w:rsidRPr="00A460EC">
        <w:rPr>
          <w:noProof/>
        </w:rPr>
        <w:t>3</w:t>
      </w:r>
      <w:r w:rsidRPr="00A460EC">
        <w:rPr>
          <w:rFonts w:ascii="Calibri" w:hAnsi="Calibri" w:cs="Calibri"/>
          <w:noProof/>
        </w:rPr>
        <w:t> </w:t>
      </w:r>
      <w:r w:rsidRPr="00A460EC">
        <w:rPr>
          <w:noProof/>
        </w:rPr>
        <w:t>million in 2020 to EUR</w:t>
      </w:r>
      <w:r w:rsidRPr="00A460EC">
        <w:rPr>
          <w:rFonts w:ascii="Calibri" w:hAnsi="Calibri" w:cs="Calibri"/>
          <w:noProof/>
        </w:rPr>
        <w:t> </w:t>
      </w:r>
      <w:r w:rsidRPr="00A460EC">
        <w:rPr>
          <w:noProof/>
        </w:rPr>
        <w:t>13.9</w:t>
      </w:r>
      <w:r w:rsidRPr="00A460EC">
        <w:rPr>
          <w:rFonts w:ascii="Calibri" w:hAnsi="Calibri" w:cs="Calibri"/>
          <w:noProof/>
        </w:rPr>
        <w:t> </w:t>
      </w:r>
      <w:r w:rsidRPr="00A460EC">
        <w:rPr>
          <w:noProof/>
        </w:rPr>
        <w:t>million in 2021, with a brand new added focus: journalism partnerships</w:t>
      </w:r>
      <w:bookmarkEnd w:id="159"/>
      <w:r w:rsidRPr="00A460EC">
        <w:rPr>
          <w:noProof/>
        </w:rPr>
        <w:t>. Owing to this, the programme became accessible to a brand new sector of beneficiaries: news media.</w:t>
      </w:r>
    </w:p>
    <w:p w14:paraId="2802B516" w14:textId="77777777" w:rsidR="006257CF" w:rsidRPr="00A460EC" w:rsidRDefault="006257CF" w:rsidP="006257CF">
      <w:pPr>
        <w:spacing w:after="160" w:line="259" w:lineRule="auto"/>
        <w:rPr>
          <w:rFonts w:eastAsiaTheme="majorEastAsia" w:cstheme="majorBidi"/>
          <w:noProof/>
          <w:color w:val="016A13" w:themeColor="accent1" w:themeShade="BF"/>
          <w:sz w:val="48"/>
          <w:szCs w:val="32"/>
        </w:rPr>
      </w:pPr>
      <w:r w:rsidRPr="00A460EC">
        <w:rPr>
          <w:noProof/>
        </w:rPr>
        <w:br w:type="page"/>
      </w:r>
    </w:p>
    <w:p w14:paraId="0AE9DE5E" w14:textId="77777777" w:rsidR="006257CF" w:rsidRPr="00A460EC" w:rsidRDefault="006257CF" w:rsidP="006257CF">
      <w:pPr>
        <w:pStyle w:val="ppoHeading4Green"/>
        <w:rPr>
          <w:noProof/>
        </w:rPr>
      </w:pPr>
      <w:r w:rsidRPr="00A460EC">
        <w:rPr>
          <w:noProof/>
        </w:rPr>
        <w:t>2014-2020</w:t>
      </w:r>
      <w:r w:rsidRPr="00A460EC">
        <w:rPr>
          <w:rFonts w:ascii="Calibri" w:hAnsi="Calibri" w:cs="Calibri"/>
          <w:noProof/>
        </w:rPr>
        <w:t> MULTIANNUAL FINANCIAL FRAMEWORK </w:t>
      </w:r>
      <w:r w:rsidRPr="00A460EC">
        <w:rPr>
          <w:noProof/>
        </w:rPr>
        <w:t>– CREATIVE EUROPE</w:t>
      </w:r>
    </w:p>
    <w:p w14:paraId="490479AA" w14:textId="77777777" w:rsidR="006257CF" w:rsidRPr="00A460EC" w:rsidRDefault="006257CF" w:rsidP="006257CF">
      <w:pPr>
        <w:rPr>
          <w:rFonts w:eastAsiaTheme="minorEastAsia"/>
          <w:noProof/>
        </w:rPr>
      </w:pPr>
      <w:r w:rsidRPr="00A460EC">
        <w:rPr>
          <w:noProof/>
        </w:rPr>
        <w:t xml:space="preserve">The 2014-2020 </w:t>
      </w:r>
      <w:r>
        <w:rPr>
          <w:noProof/>
        </w:rPr>
        <w:t>C</w:t>
      </w:r>
      <w:r w:rsidRPr="00A460EC">
        <w:rPr>
          <w:noProof/>
        </w:rPr>
        <w:t>reative Europe programme was aimed at safeguarding and promoting cultural diversity and strengthening competitiveness.</w:t>
      </w:r>
    </w:p>
    <w:p w14:paraId="4BBC4D77" w14:textId="77777777" w:rsidR="006257CF" w:rsidRPr="00A460EC" w:rsidRDefault="006257CF" w:rsidP="006257CF">
      <w:pPr>
        <w:pStyle w:val="ppoHeading5"/>
        <w:rPr>
          <w:noProof/>
        </w:rPr>
      </w:pPr>
      <w:r w:rsidRPr="00A460EC">
        <w:rPr>
          <w:noProof/>
        </w:rPr>
        <w:t>Budget</w:t>
      </w:r>
    </w:p>
    <w:p w14:paraId="11F4BEDA" w14:textId="77777777" w:rsidR="006257CF" w:rsidRPr="00A460EC" w:rsidRDefault="006257CF" w:rsidP="006257CF">
      <w:pPr>
        <w:pStyle w:val="ppoTableTabletitle"/>
        <w:rPr>
          <w:noProof/>
        </w:rPr>
      </w:pPr>
      <w:r w:rsidRPr="00A460EC">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6257CF" w:rsidRPr="00A460EC" w14:paraId="5E3AA31E" w14:textId="77777777" w:rsidTr="008321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754A64E5" w14:textId="77777777" w:rsidR="006257CF" w:rsidRPr="00A460EC" w:rsidRDefault="006257CF" w:rsidP="0083214A">
            <w:pPr>
              <w:rPr>
                <w:noProof/>
              </w:rPr>
            </w:pPr>
          </w:p>
        </w:tc>
        <w:tc>
          <w:tcPr>
            <w:tcW w:w="2410" w:type="dxa"/>
          </w:tcPr>
          <w:p w14:paraId="420D8BC5" w14:textId="77777777" w:rsidR="006257CF" w:rsidRPr="00A460EC" w:rsidRDefault="006257CF" w:rsidP="0083214A">
            <w:pPr>
              <w:cnfStyle w:val="100000000000" w:firstRow="1" w:lastRow="0" w:firstColumn="0" w:lastColumn="0" w:oddVBand="0" w:evenVBand="0" w:oddHBand="0" w:evenHBand="0" w:firstRowFirstColumn="0" w:firstRowLastColumn="0" w:lastRowFirstColumn="0" w:lastRowLastColumn="0"/>
              <w:rPr>
                <w:noProof/>
              </w:rPr>
            </w:pPr>
            <w:r w:rsidRPr="00A460EC">
              <w:rPr>
                <w:noProof/>
              </w:rPr>
              <w:t>Implementation</w:t>
            </w:r>
          </w:p>
        </w:tc>
        <w:tc>
          <w:tcPr>
            <w:tcW w:w="2410" w:type="dxa"/>
          </w:tcPr>
          <w:p w14:paraId="1CB7D1AC" w14:textId="1CA8A051" w:rsidR="006257CF" w:rsidRPr="00A460EC" w:rsidRDefault="003821C6" w:rsidP="0083214A">
            <w:pPr>
              <w:cnfStyle w:val="100000000000" w:firstRow="1" w:lastRow="0" w:firstColumn="0" w:lastColumn="0" w:oddVBand="0" w:evenVBand="0" w:oddHBand="0" w:evenHBand="0" w:firstRowFirstColumn="0" w:firstRowLastColumn="0" w:lastRowFirstColumn="0" w:lastRowLastColumn="0"/>
              <w:rPr>
                <w:noProof/>
              </w:rPr>
            </w:pPr>
            <w:r>
              <w:rPr>
                <w:noProof/>
              </w:rPr>
              <w:t xml:space="preserve">2014-2020 </w:t>
            </w:r>
            <w:r w:rsidR="006257CF" w:rsidRPr="00A460EC">
              <w:rPr>
                <w:noProof/>
              </w:rPr>
              <w:t>Budget</w:t>
            </w:r>
          </w:p>
        </w:tc>
        <w:tc>
          <w:tcPr>
            <w:tcW w:w="2410" w:type="dxa"/>
          </w:tcPr>
          <w:p w14:paraId="52F36370" w14:textId="77777777" w:rsidR="006257CF" w:rsidRPr="00A460EC" w:rsidRDefault="006257CF" w:rsidP="0083214A">
            <w:pPr>
              <w:cnfStyle w:val="100000000000" w:firstRow="1" w:lastRow="0" w:firstColumn="0" w:lastColumn="0" w:oddVBand="0" w:evenVBand="0" w:oddHBand="0" w:evenHBand="0" w:firstRowFirstColumn="0" w:firstRowLastColumn="0" w:lastRowFirstColumn="0" w:lastRowLastColumn="0"/>
              <w:rPr>
                <w:noProof/>
              </w:rPr>
            </w:pPr>
            <w:r w:rsidRPr="00A460EC">
              <w:rPr>
                <w:noProof/>
              </w:rPr>
              <w:t>Implementation rate</w:t>
            </w:r>
          </w:p>
        </w:tc>
      </w:tr>
      <w:tr w:rsidR="006257CF" w:rsidRPr="00A460EC" w14:paraId="522ECCB0"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0A90912A" w14:textId="77777777" w:rsidR="006257CF" w:rsidRPr="00A460EC" w:rsidRDefault="006257CF" w:rsidP="0083214A">
            <w:pPr>
              <w:jc w:val="center"/>
              <w:rPr>
                <w:noProof/>
              </w:rPr>
            </w:pPr>
            <w:r w:rsidRPr="00A460EC">
              <w:rPr>
                <w:noProof/>
              </w:rPr>
              <w:t>Commitments</w:t>
            </w:r>
          </w:p>
        </w:tc>
        <w:tc>
          <w:tcPr>
            <w:tcW w:w="2410" w:type="dxa"/>
          </w:tcPr>
          <w:tbl>
            <w:tblPr>
              <w:tblStyle w:val="TableGrid"/>
              <w:tblW w:w="0" w:type="auto"/>
              <w:tblLook w:val="06A0" w:firstRow="1" w:lastRow="0" w:firstColumn="1" w:lastColumn="0" w:noHBand="1" w:noVBand="1"/>
            </w:tblPr>
            <w:tblGrid>
              <w:gridCol w:w="2194"/>
            </w:tblGrid>
            <w:tr w:rsidR="006257CF" w:rsidRPr="00A460EC" w14:paraId="79B0CD30" w14:textId="77777777" w:rsidTr="0083214A">
              <w:trPr>
                <w:trHeight w:val="285"/>
              </w:trPr>
              <w:tc>
                <w:tcPr>
                  <w:tcW w:w="2290" w:type="dxa"/>
                  <w:tcBorders>
                    <w:top w:val="nil"/>
                    <w:left w:val="nil"/>
                    <w:bottom w:val="nil"/>
                    <w:right w:val="nil"/>
                  </w:tcBorders>
                  <w:vAlign w:val="bottom"/>
                </w:tcPr>
                <w:p w14:paraId="671DB4DF" w14:textId="77777777" w:rsidR="006257CF" w:rsidRPr="00A460EC" w:rsidRDefault="006257CF" w:rsidP="0083214A">
                  <w:pPr>
                    <w:spacing w:before="100" w:after="100"/>
                    <w:jc w:val="center"/>
                    <w:rPr>
                      <w:noProof/>
                    </w:rPr>
                  </w:pPr>
                  <w:r w:rsidRPr="00A460EC">
                    <w:rPr>
                      <w:noProof/>
                    </w:rPr>
                    <w:t>1</w:t>
                  </w:r>
                  <w:r w:rsidRPr="00A460EC">
                    <w:rPr>
                      <w:rFonts w:ascii="Calibri" w:hAnsi="Calibri" w:cs="Calibri"/>
                      <w:noProof/>
                    </w:rPr>
                    <w:t> </w:t>
                  </w:r>
                  <w:r w:rsidRPr="00A460EC">
                    <w:rPr>
                      <w:noProof/>
                    </w:rPr>
                    <w:t>487.6</w:t>
                  </w:r>
                </w:p>
              </w:tc>
            </w:tr>
          </w:tbl>
          <w:p w14:paraId="0EBCA626" w14:textId="77777777" w:rsidR="006257CF" w:rsidRPr="00A460EC" w:rsidRDefault="006257CF"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6257CF" w:rsidRPr="00A460EC" w14:paraId="5DCFAA12" w14:textId="77777777" w:rsidTr="0083214A">
              <w:trPr>
                <w:trHeight w:val="285"/>
              </w:trPr>
              <w:tc>
                <w:tcPr>
                  <w:tcW w:w="2290" w:type="dxa"/>
                  <w:tcBorders>
                    <w:top w:val="nil"/>
                    <w:left w:val="nil"/>
                    <w:bottom w:val="nil"/>
                    <w:right w:val="nil"/>
                  </w:tcBorders>
                  <w:vAlign w:val="bottom"/>
                </w:tcPr>
                <w:p w14:paraId="763EAF15" w14:textId="77777777" w:rsidR="006257CF" w:rsidRPr="00A460EC" w:rsidRDefault="006257CF" w:rsidP="0083214A">
                  <w:pPr>
                    <w:spacing w:before="100" w:after="100"/>
                    <w:jc w:val="center"/>
                    <w:rPr>
                      <w:noProof/>
                    </w:rPr>
                  </w:pPr>
                  <w:r w:rsidRPr="00A460EC">
                    <w:rPr>
                      <w:noProof/>
                    </w:rPr>
                    <w:t>1</w:t>
                  </w:r>
                  <w:r w:rsidRPr="00A460EC">
                    <w:rPr>
                      <w:rFonts w:ascii="Calibri" w:hAnsi="Calibri" w:cs="Calibri"/>
                      <w:noProof/>
                    </w:rPr>
                    <w:t> </w:t>
                  </w:r>
                  <w:r w:rsidRPr="00A460EC">
                    <w:rPr>
                      <w:noProof/>
                    </w:rPr>
                    <w:t>488.0</w:t>
                  </w:r>
                </w:p>
              </w:tc>
            </w:tr>
          </w:tbl>
          <w:p w14:paraId="02BC4EAF" w14:textId="77777777" w:rsidR="006257CF" w:rsidRPr="00A460EC" w:rsidRDefault="006257CF"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6257CF" w:rsidRPr="00A460EC" w14:paraId="1A045B9A" w14:textId="77777777" w:rsidTr="0083214A">
              <w:trPr>
                <w:trHeight w:val="285"/>
              </w:trPr>
              <w:tc>
                <w:tcPr>
                  <w:tcW w:w="2290" w:type="dxa"/>
                  <w:tcBorders>
                    <w:top w:val="nil"/>
                    <w:left w:val="nil"/>
                    <w:bottom w:val="nil"/>
                    <w:right w:val="nil"/>
                  </w:tcBorders>
                  <w:vAlign w:val="bottom"/>
                </w:tcPr>
                <w:p w14:paraId="0D233065" w14:textId="77777777" w:rsidR="006257CF" w:rsidRPr="00A460EC" w:rsidRDefault="006257CF" w:rsidP="0083214A">
                  <w:pPr>
                    <w:spacing w:before="100" w:after="100"/>
                    <w:jc w:val="center"/>
                    <w:rPr>
                      <w:noProof/>
                    </w:rPr>
                  </w:pPr>
                  <w:r w:rsidRPr="00A460EC">
                    <w:rPr>
                      <w:noProof/>
                    </w:rPr>
                    <w:t>100%</w:t>
                  </w:r>
                </w:p>
              </w:tc>
            </w:tr>
          </w:tbl>
          <w:p w14:paraId="343AE34D" w14:textId="77777777" w:rsidR="006257CF" w:rsidRPr="00A460EC" w:rsidRDefault="006257CF" w:rsidP="0083214A">
            <w:pPr>
              <w:jc w:val="center"/>
              <w:cnfStyle w:val="000000000000" w:firstRow="0" w:lastRow="0" w:firstColumn="0" w:lastColumn="0" w:oddVBand="0" w:evenVBand="0" w:oddHBand="0" w:evenHBand="0" w:firstRowFirstColumn="0" w:firstRowLastColumn="0" w:lastRowFirstColumn="0" w:lastRowLastColumn="0"/>
              <w:rPr>
                <w:noProof/>
              </w:rPr>
            </w:pPr>
          </w:p>
        </w:tc>
      </w:tr>
      <w:tr w:rsidR="006257CF" w:rsidRPr="00A460EC" w14:paraId="743C74E6"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686F579C" w14:textId="77777777" w:rsidR="006257CF" w:rsidRPr="00A460EC" w:rsidRDefault="006257CF" w:rsidP="0083214A">
            <w:pPr>
              <w:jc w:val="center"/>
              <w:rPr>
                <w:noProof/>
              </w:rPr>
            </w:pPr>
            <w:r w:rsidRPr="00A460EC">
              <w:rPr>
                <w:noProof/>
              </w:rPr>
              <w:t>Payments</w:t>
            </w:r>
          </w:p>
        </w:tc>
        <w:tc>
          <w:tcPr>
            <w:tcW w:w="2410" w:type="dxa"/>
          </w:tcPr>
          <w:tbl>
            <w:tblPr>
              <w:tblStyle w:val="TableGrid"/>
              <w:tblW w:w="0" w:type="auto"/>
              <w:tblLook w:val="06A0" w:firstRow="1" w:lastRow="0" w:firstColumn="1" w:lastColumn="0" w:noHBand="1" w:noVBand="1"/>
            </w:tblPr>
            <w:tblGrid>
              <w:gridCol w:w="2194"/>
            </w:tblGrid>
            <w:tr w:rsidR="006257CF" w:rsidRPr="00A460EC" w14:paraId="77C78381" w14:textId="77777777" w:rsidTr="0083214A">
              <w:trPr>
                <w:trHeight w:val="285"/>
              </w:trPr>
              <w:tc>
                <w:tcPr>
                  <w:tcW w:w="2290" w:type="dxa"/>
                  <w:tcBorders>
                    <w:top w:val="nil"/>
                    <w:left w:val="nil"/>
                    <w:bottom w:val="nil"/>
                    <w:right w:val="nil"/>
                  </w:tcBorders>
                  <w:vAlign w:val="bottom"/>
                </w:tcPr>
                <w:p w14:paraId="1280F1C3" w14:textId="77777777" w:rsidR="006257CF" w:rsidRPr="00A460EC" w:rsidRDefault="006257CF" w:rsidP="0083214A">
                  <w:pPr>
                    <w:spacing w:before="100" w:after="100"/>
                    <w:jc w:val="center"/>
                    <w:rPr>
                      <w:noProof/>
                    </w:rPr>
                  </w:pPr>
                  <w:r w:rsidRPr="00A460EC">
                    <w:rPr>
                      <w:noProof/>
                    </w:rPr>
                    <w:t>1</w:t>
                  </w:r>
                  <w:r w:rsidRPr="00A460EC">
                    <w:rPr>
                      <w:rFonts w:ascii="Calibri" w:hAnsi="Calibri" w:cs="Calibri"/>
                      <w:noProof/>
                    </w:rPr>
                    <w:t> </w:t>
                  </w:r>
                  <w:r w:rsidRPr="00A460EC">
                    <w:rPr>
                      <w:noProof/>
                    </w:rPr>
                    <w:t>258.1</w:t>
                  </w:r>
                </w:p>
              </w:tc>
            </w:tr>
          </w:tbl>
          <w:p w14:paraId="3C0CD883" w14:textId="77777777" w:rsidR="006257CF" w:rsidRPr="00A460EC" w:rsidRDefault="006257CF"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53DADBC0" w14:textId="77777777" w:rsidR="006257CF" w:rsidRPr="00A460EC" w:rsidRDefault="006257CF"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6257CF" w:rsidRPr="00A460EC" w14:paraId="789D2ECA" w14:textId="77777777" w:rsidTr="0083214A">
              <w:trPr>
                <w:trHeight w:val="285"/>
              </w:trPr>
              <w:tc>
                <w:tcPr>
                  <w:tcW w:w="2235" w:type="dxa"/>
                  <w:tcBorders>
                    <w:top w:val="nil"/>
                    <w:left w:val="nil"/>
                    <w:bottom w:val="nil"/>
                    <w:right w:val="nil"/>
                  </w:tcBorders>
                  <w:vAlign w:val="bottom"/>
                </w:tcPr>
                <w:p w14:paraId="0E2D3D81" w14:textId="77777777" w:rsidR="006257CF" w:rsidRPr="00A460EC" w:rsidRDefault="006257CF" w:rsidP="0083214A">
                  <w:pPr>
                    <w:spacing w:before="100" w:after="100"/>
                    <w:jc w:val="center"/>
                    <w:rPr>
                      <w:noProof/>
                    </w:rPr>
                  </w:pPr>
                  <w:r w:rsidRPr="00A460EC">
                    <w:rPr>
                      <w:noProof/>
                    </w:rPr>
                    <w:t>85%</w:t>
                  </w:r>
                </w:p>
              </w:tc>
            </w:tr>
          </w:tbl>
          <w:p w14:paraId="4118ECAD" w14:textId="77777777" w:rsidR="006257CF" w:rsidRPr="00A460EC" w:rsidRDefault="006257CF" w:rsidP="0083214A">
            <w:pPr>
              <w:jc w:val="center"/>
              <w:cnfStyle w:val="000000000000" w:firstRow="0" w:lastRow="0" w:firstColumn="0" w:lastColumn="0" w:oddVBand="0" w:evenVBand="0" w:oddHBand="0" w:evenHBand="0" w:firstRowFirstColumn="0" w:firstRowLastColumn="0" w:lastRowFirstColumn="0" w:lastRowLastColumn="0"/>
              <w:rPr>
                <w:noProof/>
              </w:rPr>
            </w:pPr>
          </w:p>
        </w:tc>
      </w:tr>
    </w:tbl>
    <w:p w14:paraId="4E5D8368" w14:textId="77777777" w:rsidR="006257CF" w:rsidRPr="00A460EC" w:rsidRDefault="006257CF" w:rsidP="006257CF">
      <w:pPr>
        <w:pStyle w:val="ppoListHyphened-L1"/>
        <w:spacing w:before="360"/>
        <w:ind w:left="640"/>
        <w:jc w:val="both"/>
        <w:rPr>
          <w:noProof/>
        </w:rPr>
      </w:pPr>
      <w:r w:rsidRPr="00A460EC">
        <w:rPr>
          <w:noProof/>
        </w:rPr>
        <w:t>The programme has been able to use all the available commitment appropriations and 85% of its available payment appropriations. This implementation rate is in line with the normal payment pattern of the programme, where some cooperation projects are running over a 48-month period. We can therefore expect payments across the finish line at least until 2025.</w:t>
      </w:r>
    </w:p>
    <w:p w14:paraId="7486FD54" w14:textId="77777777" w:rsidR="006257CF" w:rsidRPr="00A460EC" w:rsidRDefault="006257CF" w:rsidP="006257CF">
      <w:pPr>
        <w:pStyle w:val="ppoHeading5"/>
        <w:rPr>
          <w:noProof/>
        </w:rPr>
      </w:pPr>
      <w:r w:rsidRPr="00A460EC">
        <w:rPr>
          <w:noProof/>
        </w:rPr>
        <w:t>Performance assessment</w:t>
      </w:r>
    </w:p>
    <w:p w14:paraId="79B16377" w14:textId="77777777" w:rsidR="006257CF" w:rsidRPr="00A460EC" w:rsidRDefault="006257CF" w:rsidP="006257CF">
      <w:pPr>
        <w:pStyle w:val="ppoHeading6"/>
        <w:rPr>
          <w:noProof/>
        </w:rPr>
      </w:pPr>
      <w:r w:rsidRPr="00A460EC">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6257CF" w:rsidRPr="00A460EC" w14:paraId="24638AB5" w14:textId="77777777" w:rsidTr="0083214A">
        <w:trPr>
          <w:cnfStyle w:val="100000000000" w:firstRow="1" w:lastRow="0" w:firstColumn="0" w:lastColumn="0" w:oddVBand="0" w:evenVBand="0" w:oddHBand="0" w:evenHBand="0" w:firstRowFirstColumn="0" w:firstRowLastColumn="0" w:lastRowFirstColumn="0" w:lastRowLastColumn="0"/>
        </w:trPr>
        <w:tc>
          <w:tcPr>
            <w:tcW w:w="2330" w:type="dxa"/>
          </w:tcPr>
          <w:p w14:paraId="2541D86C" w14:textId="77777777" w:rsidR="006257CF" w:rsidRPr="00A460EC" w:rsidRDefault="006257CF" w:rsidP="0083214A">
            <w:pPr>
              <w:rPr>
                <w:noProof/>
              </w:rPr>
            </w:pPr>
          </w:p>
        </w:tc>
        <w:tc>
          <w:tcPr>
            <w:tcW w:w="1100" w:type="dxa"/>
          </w:tcPr>
          <w:p w14:paraId="6A187B60" w14:textId="77777777" w:rsidR="006257CF" w:rsidRPr="00A460EC" w:rsidRDefault="006257CF" w:rsidP="0083214A">
            <w:pPr>
              <w:rPr>
                <w:noProof/>
              </w:rPr>
            </w:pPr>
            <w:r w:rsidRPr="00A460EC">
              <w:rPr>
                <w:noProof/>
              </w:rPr>
              <w:t>Baseline</w:t>
            </w:r>
          </w:p>
        </w:tc>
        <w:tc>
          <w:tcPr>
            <w:tcW w:w="1526" w:type="dxa"/>
          </w:tcPr>
          <w:p w14:paraId="48421167" w14:textId="77777777" w:rsidR="006257CF" w:rsidRPr="00A460EC" w:rsidRDefault="006257CF" w:rsidP="0083214A">
            <w:pPr>
              <w:rPr>
                <w:noProof/>
              </w:rPr>
            </w:pPr>
            <w:r w:rsidRPr="00A460EC">
              <w:rPr>
                <w:noProof/>
              </w:rPr>
              <w:t>Progress</w:t>
            </w:r>
          </w:p>
        </w:tc>
        <w:tc>
          <w:tcPr>
            <w:tcW w:w="1532" w:type="dxa"/>
          </w:tcPr>
          <w:p w14:paraId="29A27C1A" w14:textId="77777777" w:rsidR="006257CF" w:rsidRPr="00A460EC" w:rsidRDefault="006257CF" w:rsidP="0083214A">
            <w:pPr>
              <w:rPr>
                <w:noProof/>
              </w:rPr>
            </w:pPr>
            <w:r w:rsidRPr="00A460EC">
              <w:rPr>
                <w:noProof/>
              </w:rPr>
              <w:t>Target</w:t>
            </w:r>
          </w:p>
        </w:tc>
        <w:tc>
          <w:tcPr>
            <w:tcW w:w="1572" w:type="dxa"/>
          </w:tcPr>
          <w:p w14:paraId="597FC98F" w14:textId="77777777" w:rsidR="006257CF" w:rsidRPr="00A460EC" w:rsidRDefault="006257CF" w:rsidP="0083214A">
            <w:pPr>
              <w:rPr>
                <w:noProof/>
              </w:rPr>
            </w:pPr>
            <w:r w:rsidRPr="00A460EC">
              <w:rPr>
                <w:noProof/>
              </w:rPr>
              <w:t>Results</w:t>
            </w:r>
          </w:p>
        </w:tc>
        <w:tc>
          <w:tcPr>
            <w:tcW w:w="1579" w:type="dxa"/>
          </w:tcPr>
          <w:p w14:paraId="1664642B" w14:textId="77777777" w:rsidR="006257CF" w:rsidRPr="00A460EC" w:rsidRDefault="006257CF" w:rsidP="0083214A">
            <w:pPr>
              <w:rPr>
                <w:noProof/>
              </w:rPr>
            </w:pPr>
            <w:r w:rsidRPr="00A460EC">
              <w:rPr>
                <w:noProof/>
              </w:rPr>
              <w:t>Assessment</w:t>
            </w:r>
          </w:p>
        </w:tc>
      </w:tr>
      <w:tr w:rsidR="006257CF" w:rsidRPr="00A460EC" w14:paraId="7D5E7041"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19CD075D" w14:textId="77777777" w:rsidR="006257CF" w:rsidRPr="00A460EC" w:rsidRDefault="006257CF" w:rsidP="0083214A">
            <w:pPr>
              <w:rPr>
                <w:noProof/>
              </w:rPr>
            </w:pPr>
            <w:r w:rsidRPr="00A460EC">
              <w:rPr>
                <w:noProof/>
              </w:rPr>
              <w:t>Admissions to screenings of non-national European films in Europe</w:t>
            </w:r>
          </w:p>
        </w:tc>
        <w:tc>
          <w:tcPr>
            <w:tcW w:w="1100" w:type="dxa"/>
          </w:tcPr>
          <w:p w14:paraId="69A04ACE" w14:textId="77777777" w:rsidR="006257CF" w:rsidRPr="00A460EC" w:rsidRDefault="006257CF" w:rsidP="0083214A">
            <w:pPr>
              <w:jc w:val="center"/>
              <w:rPr>
                <w:noProof/>
              </w:rPr>
            </w:pPr>
            <w:r w:rsidRPr="00A460EC">
              <w:rPr>
                <w:noProof/>
              </w:rPr>
              <w:t>69</w:t>
            </w:r>
            <w:r w:rsidRPr="00A460EC">
              <w:rPr>
                <w:rFonts w:ascii="Calibri" w:hAnsi="Calibri" w:cs="Calibri"/>
                <w:noProof/>
              </w:rPr>
              <w:t> </w:t>
            </w:r>
            <w:r w:rsidRPr="00A460EC">
              <w:rPr>
                <w:noProof/>
              </w:rPr>
              <w:t>m</w:t>
            </w:r>
          </w:p>
        </w:tc>
        <w:tc>
          <w:tcPr>
            <w:tcW w:w="1526" w:type="dxa"/>
          </w:tcPr>
          <w:p w14:paraId="4562C0BD" w14:textId="77777777" w:rsidR="006257CF" w:rsidRPr="00A460EC" w:rsidRDefault="006257CF" w:rsidP="0083214A">
            <w:pPr>
              <w:jc w:val="center"/>
              <w:rPr>
                <w:b/>
                <w:noProof/>
              </w:rPr>
            </w:pPr>
            <w:r w:rsidRPr="00A460EC">
              <w:rPr>
                <w:b/>
                <w:noProof/>
              </w:rPr>
              <w:t>&gt;</w:t>
            </w:r>
            <w:r w:rsidRPr="00A460EC">
              <w:rPr>
                <w:rFonts w:ascii="Calibri" w:hAnsi="Calibri" w:cs="Calibri"/>
                <w:b/>
                <w:noProof/>
              </w:rPr>
              <w:t> </w:t>
            </w:r>
            <w:r w:rsidRPr="00A460EC">
              <w:rPr>
                <w:b/>
                <w:noProof/>
              </w:rPr>
              <w:t>100%</w:t>
            </w:r>
            <w:r>
              <w:rPr>
                <w:b/>
                <w:noProof/>
              </w:rPr>
              <w:t xml:space="preserve"> (*)</w:t>
            </w:r>
          </w:p>
        </w:tc>
        <w:tc>
          <w:tcPr>
            <w:tcW w:w="1532" w:type="dxa"/>
          </w:tcPr>
          <w:p w14:paraId="7888EED2" w14:textId="77777777" w:rsidR="006257CF" w:rsidRPr="00A460EC" w:rsidRDefault="006257CF" w:rsidP="0083214A">
            <w:pPr>
              <w:jc w:val="center"/>
              <w:rPr>
                <w:noProof/>
              </w:rPr>
            </w:pPr>
            <w:r w:rsidRPr="00A460EC">
              <w:rPr>
                <w:noProof/>
              </w:rPr>
              <w:t>71</w:t>
            </w:r>
            <w:r w:rsidRPr="00A460EC">
              <w:rPr>
                <w:rFonts w:ascii="Calibri" w:hAnsi="Calibri" w:cs="Calibri"/>
                <w:noProof/>
              </w:rPr>
              <w:t> </w:t>
            </w:r>
            <w:r w:rsidRPr="00A460EC">
              <w:rPr>
                <w:noProof/>
              </w:rPr>
              <w:t>m</w:t>
            </w:r>
            <w:r>
              <w:rPr>
                <w:noProof/>
              </w:rPr>
              <w:t xml:space="preserve"> in 2020</w:t>
            </w:r>
          </w:p>
        </w:tc>
        <w:tc>
          <w:tcPr>
            <w:tcW w:w="1572" w:type="dxa"/>
          </w:tcPr>
          <w:p w14:paraId="383ED82A" w14:textId="77777777" w:rsidR="006257CF" w:rsidRPr="00A460EC" w:rsidRDefault="006257CF" w:rsidP="0083214A">
            <w:pPr>
              <w:jc w:val="center"/>
              <w:rPr>
                <w:noProof/>
              </w:rPr>
            </w:pPr>
            <w:r w:rsidRPr="00A460EC">
              <w:rPr>
                <w:noProof/>
              </w:rPr>
              <w:t>94</w:t>
            </w:r>
            <w:r w:rsidRPr="00A460EC">
              <w:rPr>
                <w:rFonts w:ascii="Calibri" w:hAnsi="Calibri" w:cs="Calibri"/>
                <w:noProof/>
              </w:rPr>
              <w:t> </w:t>
            </w:r>
            <w:r w:rsidRPr="00A460EC">
              <w:rPr>
                <w:noProof/>
              </w:rPr>
              <w:t>million compared to a target of 71</w:t>
            </w:r>
            <w:r w:rsidRPr="00A460EC">
              <w:rPr>
                <w:rFonts w:ascii="Calibri" w:hAnsi="Calibri" w:cs="Calibri"/>
                <w:noProof/>
              </w:rPr>
              <w:t> </w:t>
            </w:r>
            <w:r w:rsidRPr="00A460EC">
              <w:rPr>
                <w:noProof/>
              </w:rPr>
              <w:t>million</w:t>
            </w:r>
          </w:p>
        </w:tc>
        <w:tc>
          <w:tcPr>
            <w:tcW w:w="1579" w:type="dxa"/>
          </w:tcPr>
          <w:p w14:paraId="5DF7900F" w14:textId="77777777" w:rsidR="006257CF" w:rsidRPr="00A460EC" w:rsidRDefault="006257CF" w:rsidP="0083214A">
            <w:pPr>
              <w:jc w:val="center"/>
              <w:rPr>
                <w:noProof/>
              </w:rPr>
            </w:pPr>
            <w:r>
              <w:rPr>
                <w:noProof/>
              </w:rPr>
              <w:t>On track</w:t>
            </w:r>
          </w:p>
        </w:tc>
      </w:tr>
      <w:tr w:rsidR="006257CF" w:rsidRPr="00A460EC" w14:paraId="3F8B251F"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2B056187" w14:textId="77777777" w:rsidR="006257CF" w:rsidRPr="00A460EC" w:rsidRDefault="006257CF" w:rsidP="0083214A">
            <w:pPr>
              <w:rPr>
                <w:noProof/>
              </w:rPr>
            </w:pPr>
            <w:r w:rsidRPr="00A460EC">
              <w:rPr>
                <w:noProof/>
              </w:rPr>
              <w:t>Admissions to screenings of non-national European films in the 10 largest non-European markets</w:t>
            </w:r>
          </w:p>
        </w:tc>
        <w:tc>
          <w:tcPr>
            <w:tcW w:w="1100" w:type="dxa"/>
          </w:tcPr>
          <w:p w14:paraId="087B51E3" w14:textId="77777777" w:rsidR="006257CF" w:rsidRPr="00A460EC" w:rsidRDefault="006257CF" w:rsidP="0083214A">
            <w:pPr>
              <w:jc w:val="center"/>
              <w:rPr>
                <w:noProof/>
              </w:rPr>
            </w:pPr>
            <w:r w:rsidRPr="00A460EC">
              <w:rPr>
                <w:noProof/>
              </w:rPr>
              <w:t>61</w:t>
            </w:r>
            <w:r w:rsidRPr="00A460EC">
              <w:rPr>
                <w:rFonts w:ascii="Calibri" w:hAnsi="Calibri" w:cs="Calibri"/>
                <w:noProof/>
              </w:rPr>
              <w:t> </w:t>
            </w:r>
            <w:r w:rsidRPr="00A460EC">
              <w:rPr>
                <w:noProof/>
              </w:rPr>
              <w:t>m</w:t>
            </w:r>
          </w:p>
        </w:tc>
        <w:tc>
          <w:tcPr>
            <w:tcW w:w="1526" w:type="dxa"/>
          </w:tcPr>
          <w:p w14:paraId="7E011CC5" w14:textId="77777777" w:rsidR="006257CF" w:rsidRPr="00A460EC" w:rsidRDefault="006257CF" w:rsidP="0083214A">
            <w:pPr>
              <w:jc w:val="center"/>
              <w:rPr>
                <w:b/>
                <w:noProof/>
              </w:rPr>
            </w:pPr>
            <w:r w:rsidRPr="00A460EC">
              <w:rPr>
                <w:b/>
                <w:noProof/>
              </w:rPr>
              <w:t>&gt;</w:t>
            </w:r>
            <w:r w:rsidRPr="00A460EC">
              <w:rPr>
                <w:rFonts w:ascii="Calibri" w:hAnsi="Calibri" w:cs="Calibri"/>
                <w:b/>
                <w:noProof/>
              </w:rPr>
              <w:t> </w:t>
            </w:r>
            <w:r w:rsidRPr="00A460EC">
              <w:rPr>
                <w:b/>
                <w:noProof/>
              </w:rPr>
              <w:t>100%</w:t>
            </w:r>
            <w:r>
              <w:rPr>
                <w:b/>
                <w:noProof/>
              </w:rPr>
              <w:t xml:space="preserve"> (*)</w:t>
            </w:r>
          </w:p>
        </w:tc>
        <w:tc>
          <w:tcPr>
            <w:tcW w:w="1532" w:type="dxa"/>
          </w:tcPr>
          <w:p w14:paraId="0BB9B153" w14:textId="77777777" w:rsidR="006257CF" w:rsidRPr="00A460EC" w:rsidRDefault="006257CF" w:rsidP="0083214A">
            <w:pPr>
              <w:jc w:val="center"/>
              <w:rPr>
                <w:noProof/>
              </w:rPr>
            </w:pPr>
            <w:r w:rsidRPr="00A460EC">
              <w:rPr>
                <w:noProof/>
              </w:rPr>
              <w:t>85</w:t>
            </w:r>
            <w:r w:rsidRPr="00A460EC">
              <w:rPr>
                <w:rFonts w:ascii="Calibri" w:hAnsi="Calibri" w:cs="Calibri"/>
                <w:noProof/>
              </w:rPr>
              <w:t> </w:t>
            </w:r>
            <w:r w:rsidRPr="00A460EC">
              <w:rPr>
                <w:noProof/>
              </w:rPr>
              <w:t>m</w:t>
            </w:r>
            <w:r>
              <w:rPr>
                <w:noProof/>
              </w:rPr>
              <w:t xml:space="preserve"> in 2020</w:t>
            </w:r>
          </w:p>
        </w:tc>
        <w:tc>
          <w:tcPr>
            <w:tcW w:w="1572" w:type="dxa"/>
          </w:tcPr>
          <w:p w14:paraId="6DD46516" w14:textId="77777777" w:rsidR="006257CF" w:rsidRPr="00A460EC" w:rsidRDefault="006257CF" w:rsidP="0083214A">
            <w:pPr>
              <w:jc w:val="center"/>
              <w:rPr>
                <w:noProof/>
              </w:rPr>
            </w:pPr>
            <w:r w:rsidRPr="00A460EC">
              <w:rPr>
                <w:noProof/>
              </w:rPr>
              <w:t>8</w:t>
            </w:r>
            <w:r>
              <w:rPr>
                <w:noProof/>
              </w:rPr>
              <w:t>7</w:t>
            </w:r>
            <w:r w:rsidRPr="00A460EC">
              <w:rPr>
                <w:rFonts w:ascii="Calibri" w:hAnsi="Calibri" w:cs="Calibri"/>
                <w:noProof/>
              </w:rPr>
              <w:t> </w:t>
            </w:r>
            <w:r w:rsidRPr="00A460EC">
              <w:rPr>
                <w:noProof/>
              </w:rPr>
              <w:t>million compared to a target of 85</w:t>
            </w:r>
            <w:r w:rsidRPr="00A460EC">
              <w:rPr>
                <w:rFonts w:ascii="Calibri" w:hAnsi="Calibri" w:cs="Calibri"/>
                <w:noProof/>
              </w:rPr>
              <w:t> </w:t>
            </w:r>
            <w:r w:rsidRPr="00A460EC">
              <w:rPr>
                <w:noProof/>
              </w:rPr>
              <w:t>million</w:t>
            </w:r>
          </w:p>
        </w:tc>
        <w:tc>
          <w:tcPr>
            <w:tcW w:w="1579" w:type="dxa"/>
          </w:tcPr>
          <w:p w14:paraId="0836F614" w14:textId="77777777" w:rsidR="006257CF" w:rsidRPr="00A460EC" w:rsidRDefault="006257CF" w:rsidP="0083214A">
            <w:pPr>
              <w:jc w:val="center"/>
              <w:rPr>
                <w:noProof/>
              </w:rPr>
            </w:pPr>
            <w:r>
              <w:rPr>
                <w:noProof/>
              </w:rPr>
              <w:t>On track</w:t>
            </w:r>
          </w:p>
        </w:tc>
      </w:tr>
      <w:tr w:rsidR="006257CF" w:rsidRPr="00A460EC" w14:paraId="767153F7"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581BF784" w14:textId="77777777" w:rsidR="006257CF" w:rsidRPr="00A460EC" w:rsidRDefault="006257CF" w:rsidP="0083214A">
            <w:pPr>
              <w:rPr>
                <w:noProof/>
              </w:rPr>
            </w:pPr>
            <w:r w:rsidRPr="00A460EC">
              <w:rPr>
                <w:noProof/>
              </w:rPr>
              <w:t>Member States making use of results of the open method of coordination in their national policy development</w:t>
            </w:r>
          </w:p>
        </w:tc>
        <w:tc>
          <w:tcPr>
            <w:tcW w:w="1100" w:type="dxa"/>
          </w:tcPr>
          <w:p w14:paraId="43F37A50" w14:textId="77777777" w:rsidR="006257CF" w:rsidRPr="00A460EC" w:rsidRDefault="006257CF" w:rsidP="0083214A">
            <w:pPr>
              <w:jc w:val="center"/>
              <w:rPr>
                <w:noProof/>
              </w:rPr>
            </w:pPr>
            <w:r>
              <w:rPr>
                <w:noProof/>
              </w:rPr>
              <w:t>10</w:t>
            </w:r>
          </w:p>
        </w:tc>
        <w:tc>
          <w:tcPr>
            <w:tcW w:w="1526" w:type="dxa"/>
          </w:tcPr>
          <w:p w14:paraId="6EA83676" w14:textId="77777777" w:rsidR="006257CF" w:rsidRPr="00A460EC" w:rsidRDefault="006257CF" w:rsidP="0083214A">
            <w:pPr>
              <w:jc w:val="center"/>
              <w:rPr>
                <w:b/>
                <w:noProof/>
              </w:rPr>
            </w:pPr>
            <w:r w:rsidRPr="00A460EC">
              <w:rPr>
                <w:b/>
                <w:noProof/>
              </w:rPr>
              <w:t>&gt;</w:t>
            </w:r>
            <w:r w:rsidRPr="00A460EC">
              <w:rPr>
                <w:rFonts w:ascii="Calibri" w:hAnsi="Calibri" w:cs="Calibri"/>
                <w:b/>
                <w:noProof/>
              </w:rPr>
              <w:t> </w:t>
            </w:r>
            <w:r w:rsidRPr="00A460EC">
              <w:rPr>
                <w:b/>
                <w:noProof/>
              </w:rPr>
              <w:t>100%</w:t>
            </w:r>
            <w:r>
              <w:rPr>
                <w:b/>
                <w:noProof/>
              </w:rPr>
              <w:t xml:space="preserve"> (**)</w:t>
            </w:r>
          </w:p>
        </w:tc>
        <w:tc>
          <w:tcPr>
            <w:tcW w:w="1532" w:type="dxa"/>
          </w:tcPr>
          <w:p w14:paraId="463E402F" w14:textId="77777777" w:rsidR="006257CF" w:rsidRPr="00A460EC" w:rsidRDefault="006257CF" w:rsidP="0083214A">
            <w:pPr>
              <w:jc w:val="center"/>
              <w:rPr>
                <w:noProof/>
              </w:rPr>
            </w:pPr>
            <w:r w:rsidRPr="00A460EC">
              <w:rPr>
                <w:noProof/>
              </w:rPr>
              <w:t>20</w:t>
            </w:r>
            <w:r>
              <w:rPr>
                <w:noProof/>
              </w:rPr>
              <w:t xml:space="preserve"> in 2020</w:t>
            </w:r>
          </w:p>
        </w:tc>
        <w:tc>
          <w:tcPr>
            <w:tcW w:w="1572" w:type="dxa"/>
          </w:tcPr>
          <w:p w14:paraId="5D311387" w14:textId="77777777" w:rsidR="006257CF" w:rsidRPr="00A460EC" w:rsidRDefault="006257CF" w:rsidP="0083214A">
            <w:pPr>
              <w:jc w:val="center"/>
              <w:rPr>
                <w:noProof/>
              </w:rPr>
            </w:pPr>
            <w:r>
              <w:rPr>
                <w:noProof/>
              </w:rPr>
              <w:t>22</w:t>
            </w:r>
            <w:r w:rsidRPr="00A460EC">
              <w:rPr>
                <w:noProof/>
              </w:rPr>
              <w:t xml:space="preserve"> out of 20 Member States</w:t>
            </w:r>
          </w:p>
        </w:tc>
        <w:tc>
          <w:tcPr>
            <w:tcW w:w="1579" w:type="dxa"/>
          </w:tcPr>
          <w:p w14:paraId="3EC714AF" w14:textId="77777777" w:rsidR="006257CF" w:rsidRPr="00A460EC" w:rsidRDefault="006257CF" w:rsidP="0083214A">
            <w:pPr>
              <w:jc w:val="center"/>
              <w:rPr>
                <w:noProof/>
              </w:rPr>
            </w:pPr>
            <w:r>
              <w:rPr>
                <w:noProof/>
              </w:rPr>
              <w:t>On track</w:t>
            </w:r>
          </w:p>
        </w:tc>
      </w:tr>
    </w:tbl>
    <w:p w14:paraId="74AF1520" w14:textId="77777777" w:rsidR="006257CF" w:rsidRDefault="006257CF" w:rsidP="006257CF">
      <w:pPr>
        <w:pStyle w:val="FootnoteText"/>
        <w:rPr>
          <w:noProof/>
        </w:rPr>
      </w:pPr>
      <w:bookmarkStart w:id="160" w:name="_Hlk101349892"/>
      <w:r w:rsidRPr="00A460EC">
        <w:rPr>
          <w:noProof/>
        </w:rPr>
        <w:t>(</w:t>
      </w:r>
      <w:r>
        <w:rPr>
          <w:noProof/>
        </w:rPr>
        <w:t>*</w:t>
      </w:r>
      <w:r w:rsidRPr="00A460EC">
        <w:rPr>
          <w:noProof/>
        </w:rPr>
        <w:t>) % of target achieved by the end of 20</w:t>
      </w:r>
      <w:r>
        <w:rPr>
          <w:noProof/>
        </w:rPr>
        <w:t>18</w:t>
      </w:r>
      <w:r w:rsidRPr="00A460EC">
        <w:rPr>
          <w:noProof/>
        </w:rPr>
        <w:t>.</w:t>
      </w:r>
    </w:p>
    <w:p w14:paraId="7BCA6A20" w14:textId="77777777" w:rsidR="006257CF" w:rsidRDefault="006257CF" w:rsidP="006257CF">
      <w:pPr>
        <w:pStyle w:val="FootnoteText"/>
        <w:rPr>
          <w:noProof/>
        </w:rPr>
      </w:pPr>
      <w:r w:rsidRPr="00A460EC">
        <w:rPr>
          <w:noProof/>
        </w:rPr>
        <w:t>(</w:t>
      </w:r>
      <w:r>
        <w:rPr>
          <w:noProof/>
        </w:rPr>
        <w:t>**</w:t>
      </w:r>
      <w:r w:rsidRPr="00A460EC">
        <w:rPr>
          <w:noProof/>
        </w:rPr>
        <w:t>) % of target achieved by the end of 20</w:t>
      </w:r>
      <w:r>
        <w:rPr>
          <w:noProof/>
        </w:rPr>
        <w:t>19</w:t>
      </w:r>
      <w:r w:rsidRPr="00A460EC">
        <w:rPr>
          <w:noProof/>
        </w:rPr>
        <w:t>.</w:t>
      </w:r>
    </w:p>
    <w:p w14:paraId="1F56576C" w14:textId="77777777" w:rsidR="006257CF" w:rsidRPr="00C81179" w:rsidRDefault="006257CF" w:rsidP="006257CF">
      <w:pPr>
        <w:pStyle w:val="FootnoteText"/>
        <w:rPr>
          <w:noProof/>
          <w:color w:val="BBB931"/>
        </w:rPr>
      </w:pPr>
    </w:p>
    <w:bookmarkEnd w:id="160"/>
    <w:p w14:paraId="4E647F35" w14:textId="77777777" w:rsidR="006257CF" w:rsidRPr="00A460EC" w:rsidRDefault="006257CF" w:rsidP="006257CF">
      <w:pPr>
        <w:pStyle w:val="ppoListHyphened-L1"/>
        <w:ind w:left="640"/>
        <w:jc w:val="both"/>
        <w:rPr>
          <w:noProof/>
        </w:rPr>
      </w:pPr>
      <w:r w:rsidRPr="00A460EC">
        <w:rPr>
          <w:noProof/>
        </w:rPr>
        <w:t>The programme has a comprehensive outreach strategy, making it well recognisable among cultural, audiovisual and other creative professionals as well as the general public (audiences of European works). The regularly edited Instagram account @creativeEU reached 16</w:t>
      </w:r>
      <w:r w:rsidRPr="00A460EC">
        <w:rPr>
          <w:rFonts w:ascii="Calibri" w:hAnsi="Calibri" w:cs="Calibri"/>
          <w:noProof/>
        </w:rPr>
        <w:t> </w:t>
      </w:r>
      <w:r w:rsidRPr="00A460EC">
        <w:rPr>
          <w:noProof/>
        </w:rPr>
        <w:t>000 followers in 2021.</w:t>
      </w:r>
    </w:p>
    <w:p w14:paraId="0070FE35" w14:textId="77777777" w:rsidR="006257CF" w:rsidRPr="00A460EC" w:rsidRDefault="006257CF" w:rsidP="006257CF">
      <w:pPr>
        <w:pStyle w:val="ppoListHyphened-L1"/>
        <w:ind w:left="640"/>
        <w:jc w:val="both"/>
        <w:rPr>
          <w:noProof/>
        </w:rPr>
      </w:pPr>
      <w:r w:rsidRPr="00A460EC">
        <w:rPr>
          <w:noProof/>
        </w:rPr>
        <w:t>The agreements for the cultural and creative sectors’ guarantee facility signed between the European Investment Fund and financial intermediaries before the end of 2020 yielded the best results so far in 2021. In 2021 alone, EUR</w:t>
      </w:r>
      <w:r w:rsidRPr="00A460EC">
        <w:rPr>
          <w:rFonts w:ascii="Calibri" w:hAnsi="Calibri" w:cs="Calibri"/>
          <w:noProof/>
        </w:rPr>
        <w:t> </w:t>
      </w:r>
      <w:r w:rsidRPr="00A460EC">
        <w:rPr>
          <w:noProof/>
        </w:rPr>
        <w:t>460</w:t>
      </w:r>
      <w:r w:rsidRPr="00A460EC">
        <w:rPr>
          <w:rFonts w:ascii="Calibri" w:hAnsi="Calibri" w:cs="Calibri"/>
          <w:noProof/>
        </w:rPr>
        <w:t> </w:t>
      </w:r>
      <w:r w:rsidRPr="00A460EC">
        <w:rPr>
          <w:noProof/>
        </w:rPr>
        <w:t>million was made available to 2</w:t>
      </w:r>
      <w:r w:rsidRPr="00A460EC">
        <w:rPr>
          <w:rFonts w:ascii="Calibri" w:hAnsi="Calibri" w:cs="Calibri"/>
          <w:noProof/>
        </w:rPr>
        <w:t> </w:t>
      </w:r>
      <w:r w:rsidRPr="00A460EC">
        <w:rPr>
          <w:noProof/>
        </w:rPr>
        <w:t>272 small and medium-sized enterprises from the cultural and creative sectors, bringing the overall results since the start of the activity to EUR</w:t>
      </w:r>
      <w:r w:rsidRPr="00783CAC">
        <w:rPr>
          <w:rFonts w:ascii="Calibri" w:hAnsi="Calibri" w:cs="Calibri"/>
          <w:noProof/>
        </w:rPr>
        <w:t> </w:t>
      </w:r>
      <w:r w:rsidRPr="00C81179">
        <w:rPr>
          <w:noProof/>
        </w:rPr>
        <w:t>1.29</w:t>
      </w:r>
      <w:r w:rsidRPr="00C81179">
        <w:rPr>
          <w:rFonts w:ascii="Calibri" w:hAnsi="Calibri" w:cs="Calibri"/>
          <w:noProof/>
        </w:rPr>
        <w:t> </w:t>
      </w:r>
      <w:r w:rsidRPr="00A460EC">
        <w:rPr>
          <w:noProof/>
        </w:rPr>
        <w:t>billion and 5</w:t>
      </w:r>
      <w:r w:rsidRPr="00A460EC">
        <w:rPr>
          <w:rFonts w:ascii="Calibri" w:hAnsi="Calibri" w:cs="Calibri"/>
          <w:noProof/>
        </w:rPr>
        <w:t> </w:t>
      </w:r>
      <w:r w:rsidRPr="00A460EC">
        <w:rPr>
          <w:noProof/>
        </w:rPr>
        <w:t>898 small and medium-sized enterprises.</w:t>
      </w:r>
    </w:p>
    <w:p w14:paraId="09D4E497" w14:textId="77777777" w:rsidR="006257CF" w:rsidRPr="00A460EC" w:rsidRDefault="006257CF" w:rsidP="006257CF">
      <w:pPr>
        <w:pStyle w:val="ppoListHyphened-L1"/>
        <w:ind w:left="640"/>
        <w:jc w:val="both"/>
        <w:rPr>
          <w:noProof/>
        </w:rPr>
      </w:pPr>
      <w:r w:rsidRPr="00A460EC">
        <w:rPr>
          <w:noProof/>
        </w:rPr>
        <w:t xml:space="preserve">Year after year, media-supported audiovisual works receive some of the most prestigious recognitions in the world. Some notable examples in 2021 included three Oscar awards and 11 Oscar nominations for films supported under the 2014-2020 programme. Another outstanding achievement was registered in the video game industry: </w:t>
      </w:r>
      <w:r w:rsidRPr="00A460EC">
        <w:rPr>
          <w:i/>
          <w:noProof/>
        </w:rPr>
        <w:t>It Takes Two, a</w:t>
      </w:r>
      <w:r w:rsidRPr="00A460EC">
        <w:rPr>
          <w:noProof/>
        </w:rPr>
        <w:t xml:space="preserve"> video game about solving family problems through cooperation created by Swedish company Hazelight Games and developed with the support of the media grant, won three awards (including the main one: game of the year) at The Game Awards, the most important </w:t>
      </w:r>
      <w:r w:rsidRPr="00783CAC">
        <w:rPr>
          <w:noProof/>
        </w:rPr>
        <w:t xml:space="preserve">annual awards ceremony </w:t>
      </w:r>
      <w:r w:rsidRPr="00C81179">
        <w:rPr>
          <w:noProof/>
        </w:rPr>
        <w:t>honouring</w:t>
      </w:r>
      <w:r w:rsidRPr="00783CAC">
        <w:rPr>
          <w:noProof/>
        </w:rPr>
        <w:t xml:space="preserve"> achievements in the video game industry</w:t>
      </w:r>
      <w:r w:rsidRPr="00A460EC">
        <w:rPr>
          <w:noProof/>
        </w:rPr>
        <w:t xml:space="preserve">. </w:t>
      </w:r>
      <w:bookmarkStart w:id="161" w:name="_Hlk101350024"/>
      <w:r>
        <w:rPr>
          <w:noProof/>
        </w:rPr>
        <w:t>During the</w:t>
      </w:r>
      <w:r w:rsidRPr="00C81179">
        <w:rPr>
          <w:noProof/>
        </w:rPr>
        <w:t xml:space="preserve"> </w:t>
      </w:r>
      <w:r w:rsidRPr="00A460EC">
        <w:rPr>
          <w:noProof/>
        </w:rPr>
        <w:t xml:space="preserve">Autumn 2021 festivals season, six new titles supported by the media subprogramme </w:t>
      </w:r>
      <w:r>
        <w:rPr>
          <w:noProof/>
        </w:rPr>
        <w:t>in the</w:t>
      </w:r>
      <w:r w:rsidRPr="00A460EC">
        <w:rPr>
          <w:noProof/>
        </w:rPr>
        <w:t xml:space="preserve"> development </w:t>
      </w:r>
      <w:r>
        <w:rPr>
          <w:noProof/>
        </w:rPr>
        <w:t xml:space="preserve">phase </w:t>
      </w:r>
      <w:r w:rsidRPr="00A460EC">
        <w:rPr>
          <w:noProof/>
        </w:rPr>
        <w:t>received several nominations at the Venice Film Festival.</w:t>
      </w:r>
      <w:bookmarkEnd w:id="161"/>
    </w:p>
    <w:p w14:paraId="47522436" w14:textId="77777777" w:rsidR="006257CF" w:rsidRPr="00783CAC" w:rsidRDefault="006257CF" w:rsidP="006257CF">
      <w:pPr>
        <w:pStyle w:val="ppoListHyphened-L1"/>
        <w:ind w:left="640"/>
        <w:jc w:val="both"/>
        <w:rPr>
          <w:noProof/>
        </w:rPr>
      </w:pPr>
      <w:bookmarkStart w:id="162" w:name="_Hlk101350202"/>
      <w:r w:rsidRPr="00A460EC">
        <w:rPr>
          <w:noProof/>
        </w:rPr>
        <w:t>Media-supported works reached at least 29</w:t>
      </w:r>
      <w:r w:rsidRPr="00A460EC">
        <w:rPr>
          <w:rFonts w:ascii="Calibri" w:hAnsi="Calibri" w:cs="Calibri"/>
          <w:noProof/>
        </w:rPr>
        <w:t> </w:t>
      </w:r>
      <w:r w:rsidRPr="00A460EC">
        <w:rPr>
          <w:noProof/>
        </w:rPr>
        <w:t>million national viewers and almost 20</w:t>
      </w:r>
      <w:r w:rsidRPr="00A460EC">
        <w:rPr>
          <w:rFonts w:ascii="Calibri" w:hAnsi="Calibri" w:cs="Calibri"/>
          <w:noProof/>
        </w:rPr>
        <w:t> </w:t>
      </w:r>
      <w:r w:rsidRPr="00A460EC">
        <w:rPr>
          <w:noProof/>
        </w:rPr>
        <w:t>million viewers in other countries in 2021, based on reports by several dozens of beneficiaries of the 2020 TV content call for proposals, submitted by the end of 2021</w:t>
      </w:r>
      <w:bookmarkEnd w:id="162"/>
      <w:r w:rsidRPr="00A460EC">
        <w:rPr>
          <w:noProof/>
        </w:rPr>
        <w:t>.</w:t>
      </w:r>
    </w:p>
    <w:p w14:paraId="3544092B" w14:textId="77777777" w:rsidR="006257CF" w:rsidRPr="00783CAC" w:rsidRDefault="006257CF" w:rsidP="006257CF">
      <w:pPr>
        <w:pStyle w:val="ppoListHyphened-L1"/>
        <w:ind w:left="640"/>
        <w:jc w:val="both"/>
        <w:rPr>
          <w:noProof/>
        </w:rPr>
      </w:pPr>
      <w:r w:rsidRPr="00783CAC">
        <w:rPr>
          <w:noProof/>
        </w:rPr>
        <w:t>Under the culture subprogramme, the first edition of the journalism partnerships, aimed at improving the exchange of news of cross-border importance, funded seven high-quality applications.</w:t>
      </w:r>
    </w:p>
    <w:p w14:paraId="0E2074D1" w14:textId="77777777" w:rsidR="006257CF" w:rsidRPr="00783CAC" w:rsidRDefault="006257CF" w:rsidP="006257CF">
      <w:pPr>
        <w:pStyle w:val="ppoListHyphened-L1"/>
        <w:ind w:left="640"/>
        <w:jc w:val="both"/>
        <w:rPr>
          <w:noProof/>
        </w:rPr>
      </w:pPr>
      <w:r w:rsidRPr="00783CAC">
        <w:rPr>
          <w:noProof/>
        </w:rPr>
        <w:t xml:space="preserve">Within the </w:t>
      </w:r>
      <w:r w:rsidRPr="00783CAC">
        <w:rPr>
          <w:bCs/>
          <w:noProof/>
        </w:rPr>
        <w:t>European framework for action on cultural heritage</w:t>
      </w:r>
      <w:r w:rsidRPr="00783CAC">
        <w:rPr>
          <w:noProof/>
        </w:rPr>
        <w:t xml:space="preserve">, </w:t>
      </w:r>
      <w:r w:rsidRPr="00783CAC">
        <w:rPr>
          <w:bCs/>
          <w:noProof/>
        </w:rPr>
        <w:t xml:space="preserve">over </w:t>
      </w:r>
      <w:r w:rsidRPr="00783CAC">
        <w:rPr>
          <w:noProof/>
        </w:rPr>
        <w:t>60</w:t>
      </w:r>
      <w:r w:rsidRPr="00783CAC">
        <w:rPr>
          <w:rFonts w:ascii="Calibri" w:hAnsi="Calibri" w:cs="Calibri"/>
          <w:noProof/>
        </w:rPr>
        <w:t xml:space="preserve"> </w:t>
      </w:r>
      <w:r w:rsidRPr="00783CAC">
        <w:rPr>
          <w:noProof/>
        </w:rPr>
        <w:t>actions have been put in place to address the following five pillars: inclusiveness, sustainability, resilience, innovation and global partnerships. They include creative Europe</w:t>
      </w:r>
      <w:r w:rsidRPr="00783CAC">
        <w:rPr>
          <w:noProof/>
        </w:rPr>
        <w:noBreakHyphen/>
        <w:t>funded actions such as a joint EU-UNESCO project engaging with youth and schools on the topic of heritage (300</w:t>
      </w:r>
      <w:r w:rsidRPr="00783CAC">
        <w:rPr>
          <w:rFonts w:ascii="Calibri" w:hAnsi="Calibri" w:cs="Calibri"/>
          <w:noProof/>
        </w:rPr>
        <w:t> </w:t>
      </w:r>
      <w:r w:rsidRPr="00783CAC">
        <w:rPr>
          <w:noProof/>
        </w:rPr>
        <w:t>000 EUR), which came to an end in April</w:t>
      </w:r>
      <w:r w:rsidRPr="00783CAC">
        <w:rPr>
          <w:rFonts w:ascii="Calibri" w:hAnsi="Calibri" w:cs="Calibri"/>
          <w:noProof/>
        </w:rPr>
        <w:t> </w:t>
      </w:r>
      <w:r w:rsidRPr="00783CAC">
        <w:rPr>
          <w:noProof/>
        </w:rPr>
        <w:t>2021, or ‘cultural heritage in action’, a peer-learning programme launched by the Commission in 2020 for local and regional policymakers to exchange knowledge on cultural heritage. It produced a first catalogue of 32</w:t>
      </w:r>
      <w:r w:rsidRPr="00783CAC">
        <w:rPr>
          <w:rFonts w:ascii="Calibri" w:hAnsi="Calibri" w:cs="Calibri"/>
          <w:noProof/>
        </w:rPr>
        <w:t xml:space="preserve"> </w:t>
      </w:r>
      <w:r w:rsidRPr="00783CAC">
        <w:rPr>
          <w:noProof/>
        </w:rPr>
        <w:t>local and regional best practices on the participatory governance of cultural heritage, the adaptive reuse of built heritage and the quality of interventions on cultural heritage.</w:t>
      </w:r>
    </w:p>
    <w:p w14:paraId="0E2E2043" w14:textId="77777777" w:rsidR="006257CF" w:rsidRPr="00783CAC" w:rsidRDefault="006257CF" w:rsidP="006257CF">
      <w:pPr>
        <w:pStyle w:val="ppoListHyphened-L1"/>
        <w:ind w:left="640"/>
        <w:jc w:val="both"/>
        <w:rPr>
          <w:noProof/>
        </w:rPr>
      </w:pPr>
      <w:r w:rsidRPr="00783CAC">
        <w:rPr>
          <w:noProof/>
        </w:rPr>
        <w:t xml:space="preserve">Under the cross-sectoral programme, the cultural and </w:t>
      </w:r>
      <w:r w:rsidRPr="00F22884">
        <w:rPr>
          <w:noProof/>
        </w:rPr>
        <w:t>c</w:t>
      </w:r>
      <w:r w:rsidRPr="00783CAC">
        <w:rPr>
          <w:noProof/>
        </w:rPr>
        <w:t xml:space="preserve">reative </w:t>
      </w:r>
      <w:r w:rsidRPr="00F22884">
        <w:rPr>
          <w:noProof/>
        </w:rPr>
        <w:t>s</w:t>
      </w:r>
      <w:r w:rsidRPr="00783CAC">
        <w:rPr>
          <w:noProof/>
        </w:rPr>
        <w:t xml:space="preserve">paces and </w:t>
      </w:r>
      <w:r w:rsidRPr="00F22884">
        <w:rPr>
          <w:noProof/>
        </w:rPr>
        <w:t>c</w:t>
      </w:r>
      <w:r w:rsidRPr="00783CAC">
        <w:rPr>
          <w:noProof/>
        </w:rPr>
        <w:t>ities project (2018-2021, EUR</w:t>
      </w:r>
      <w:r w:rsidRPr="00783CAC">
        <w:rPr>
          <w:rFonts w:ascii="Calibri" w:hAnsi="Calibri" w:cs="Calibri"/>
          <w:noProof/>
        </w:rPr>
        <w:t> </w:t>
      </w:r>
      <w:r w:rsidRPr="00783CAC">
        <w:rPr>
          <w:noProof/>
        </w:rPr>
        <w:t>1.5</w:t>
      </w:r>
      <w:r w:rsidRPr="00783CAC">
        <w:rPr>
          <w:rFonts w:ascii="Calibri" w:hAnsi="Calibri" w:cs="Calibri"/>
          <w:noProof/>
        </w:rPr>
        <w:t> </w:t>
      </w:r>
      <w:r w:rsidRPr="00783CAC">
        <w:rPr>
          <w:noProof/>
        </w:rPr>
        <w:t>million) continued the implementation of its activities in 2021. The wider context of cultural centres was explored for a better use of public spaces for social regeneration through culture. Cities and regional authorities were actively involved in the project and a series of urban labs and co-creation labs were organised to develop new ways of working together involving Creative Commons licences. Due to the COVID</w:t>
      </w:r>
      <w:r w:rsidRPr="00783CAC">
        <w:rPr>
          <w:noProof/>
        </w:rPr>
        <w:noBreakHyphen/>
        <w:t>19 crisis, the remaining urban labs and other workshops took place virtually, including the project’s closing conference, which was held at the beginning of February</w:t>
      </w:r>
      <w:r w:rsidRPr="00783CAC">
        <w:rPr>
          <w:rFonts w:ascii="Calibri" w:hAnsi="Calibri" w:cs="Calibri"/>
          <w:noProof/>
        </w:rPr>
        <w:t> </w:t>
      </w:r>
      <w:r w:rsidRPr="00783CAC">
        <w:rPr>
          <w:noProof/>
        </w:rPr>
        <w:t>2021.</w:t>
      </w:r>
    </w:p>
    <w:p w14:paraId="7B459D16" w14:textId="77777777" w:rsidR="006257CF" w:rsidRDefault="006257CF" w:rsidP="00E73D04">
      <w:pPr>
        <w:pStyle w:val="ppoListHyphened-L1"/>
        <w:rPr>
          <w:b/>
          <w:noProof/>
        </w:rPr>
        <w:sectPr w:rsidR="006257CF" w:rsidSect="0083214A">
          <w:headerReference w:type="even" r:id="rId343"/>
          <w:headerReference w:type="default" r:id="rId344"/>
          <w:footerReference w:type="even" r:id="rId345"/>
          <w:footerReference w:type="default" r:id="rId346"/>
          <w:headerReference w:type="first" r:id="rId347"/>
          <w:footerReference w:type="first" r:id="rId348"/>
          <w:type w:val="continuous"/>
          <w:pgSz w:w="11906" w:h="16838" w:code="9"/>
          <w:pgMar w:top="1134" w:right="1134" w:bottom="964" w:left="1134" w:header="431" w:footer="431" w:gutter="0"/>
          <w:cols w:space="720"/>
          <w:titlePg/>
          <w:docGrid w:linePitch="360"/>
        </w:sectPr>
      </w:pPr>
    </w:p>
    <w:p w14:paraId="55757DB5" w14:textId="77777777" w:rsidR="00D642EB" w:rsidRPr="00081B65" w:rsidRDefault="00D642EB" w:rsidP="00D642EB">
      <w:pPr>
        <w:pStyle w:val="StyleppoHeading3WhiteLeft0cm"/>
        <w:rPr>
          <w:noProof/>
          <w:sz w:val="40"/>
          <w:szCs w:val="40"/>
        </w:rPr>
      </w:pPr>
    </w:p>
    <w:p w14:paraId="17647554" w14:textId="77777777" w:rsidR="00D642EB" w:rsidRPr="00081B65" w:rsidRDefault="00D642EB" w:rsidP="00D642EB">
      <w:pPr>
        <w:pStyle w:val="StyleppoHeading3WhiteLeft0cm"/>
        <w:rPr>
          <w:noProof/>
          <w:sz w:val="60"/>
          <w:szCs w:val="60"/>
        </w:rPr>
      </w:pPr>
      <w:bookmarkStart w:id="163" w:name="_Toc102086355"/>
      <w:r w:rsidRPr="00081B65">
        <w:rPr>
          <w:noProof/>
          <w:sz w:val="60"/>
          <w:szCs w:val="60"/>
        </w:rPr>
        <w:t>COMMUNICATION</w:t>
      </w:r>
      <w:bookmarkEnd w:id="163"/>
    </w:p>
    <w:p w14:paraId="03F5D290" w14:textId="77777777" w:rsidR="00D642EB" w:rsidRPr="00081B65" w:rsidRDefault="00D642EB" w:rsidP="00D642EB">
      <w:pPr>
        <w:pStyle w:val="StyleppoProgrammenameWhiteLeft01cm"/>
        <w:rPr>
          <w:noProof/>
        </w:rPr>
      </w:pPr>
      <w:r w:rsidRPr="00081B65">
        <w:rPr>
          <w:noProof/>
        </w:rPr>
        <w:t>FINANCIAL INTERVENTION OF THE COMMUNICATION POLICY AREA</w:t>
      </w:r>
    </w:p>
    <w:p w14:paraId="089B96E3" w14:textId="77777777" w:rsidR="00D642EB" w:rsidRPr="00081B65" w:rsidRDefault="00D642EB" w:rsidP="00D642EB">
      <w:pPr>
        <w:pStyle w:val="ppoHeading4Green"/>
        <w:rPr>
          <w:noProof/>
        </w:rPr>
      </w:pPr>
      <w:r w:rsidRPr="00081B65">
        <w:rPr>
          <w:noProof/>
        </w:rPr>
        <w:t>Programme in a nutshell</w:t>
      </w:r>
    </w:p>
    <w:p w14:paraId="53F83B42" w14:textId="77777777" w:rsidR="00D642EB" w:rsidRPr="00081B65" w:rsidRDefault="00D642EB" w:rsidP="00D642EB">
      <w:pPr>
        <w:spacing w:after="480"/>
        <w:rPr>
          <w:rFonts w:eastAsiaTheme="minorEastAsia"/>
          <w:noProof/>
          <w:color w:val="FFFFFF" w:themeColor="background1"/>
          <w:sz w:val="32"/>
        </w:rPr>
        <w:sectPr w:rsidR="00D642EB" w:rsidRPr="00081B65" w:rsidSect="0083214A">
          <w:headerReference w:type="even" r:id="rId349"/>
          <w:headerReference w:type="default" r:id="rId350"/>
          <w:footerReference w:type="even" r:id="rId351"/>
          <w:footerReference w:type="default" r:id="rId352"/>
          <w:headerReference w:type="first" r:id="rId353"/>
          <w:footerReference w:type="first" r:id="rId354"/>
          <w:pgSz w:w="11906" w:h="16838" w:code="9"/>
          <w:pgMar w:top="1134" w:right="1134" w:bottom="964" w:left="1134" w:header="431" w:footer="431" w:gutter="0"/>
          <w:cols w:space="720"/>
          <w:docGrid w:linePitch="360"/>
        </w:sectPr>
      </w:pPr>
    </w:p>
    <w:p w14:paraId="7506470A" w14:textId="77777777" w:rsidR="00D642EB" w:rsidRPr="00081B65" w:rsidRDefault="00D642EB" w:rsidP="00D642EB">
      <w:pPr>
        <w:pStyle w:val="ppoHeading5"/>
        <w:rPr>
          <w:noProof/>
        </w:rPr>
      </w:pPr>
      <w:r w:rsidRPr="00081B65">
        <w:rPr>
          <w:noProof/>
        </w:rPr>
        <w:t>Concrete examples of achievements</w:t>
      </w:r>
    </w:p>
    <w:tbl>
      <w:tblPr>
        <w:tblStyle w:val="PPO2021"/>
        <w:tblW w:w="9639" w:type="dxa"/>
        <w:tblInd w:w="0" w:type="dxa"/>
        <w:tblLook w:val="0200" w:firstRow="0" w:lastRow="0" w:firstColumn="0" w:lastColumn="0" w:noHBand="1" w:noVBand="0"/>
      </w:tblPr>
      <w:tblGrid>
        <w:gridCol w:w="2410"/>
        <w:gridCol w:w="2409"/>
        <w:gridCol w:w="2410"/>
        <w:gridCol w:w="2410"/>
      </w:tblGrid>
      <w:tr w:rsidR="00D642EB" w:rsidRPr="00081B65" w14:paraId="15FADD20" w14:textId="77777777" w:rsidTr="00AD7F08">
        <w:tc>
          <w:tcPr>
            <w:tcW w:w="2310" w:type="dxa"/>
          </w:tcPr>
          <w:p w14:paraId="0CE03256" w14:textId="77777777" w:rsidR="00D642EB" w:rsidRPr="00081B65" w:rsidRDefault="00D642EB" w:rsidP="0083214A">
            <w:pPr>
              <w:pStyle w:val="ppoTableacheivementvalue"/>
              <w:rPr>
                <w:noProof/>
              </w:rPr>
            </w:pPr>
            <w:r w:rsidRPr="00081B65">
              <w:rPr>
                <w:noProof/>
              </w:rPr>
              <w:t>1</w:t>
            </w:r>
            <w:r w:rsidRPr="00081B65">
              <w:rPr>
                <w:rFonts w:ascii="Calibri" w:hAnsi="Calibri" w:cs="Calibri"/>
                <w:noProof/>
              </w:rPr>
              <w:t> </w:t>
            </w:r>
            <w:r w:rsidRPr="00081B65">
              <w:rPr>
                <w:noProof/>
              </w:rPr>
              <w:t>430</w:t>
            </w:r>
          </w:p>
          <w:p w14:paraId="0FF7CFB5" w14:textId="77777777" w:rsidR="00D642EB" w:rsidRPr="00081B65" w:rsidRDefault="00D642EB" w:rsidP="00962E3C">
            <w:pPr>
              <w:jc w:val="left"/>
              <w:rPr>
                <w:noProof/>
              </w:rPr>
            </w:pPr>
            <w:r w:rsidRPr="00081B65">
              <w:rPr>
                <w:noProof/>
              </w:rPr>
              <w:t>political reporting products were provided by the representations covering reactions on EU topics in all Member States in 2021.</w:t>
            </w:r>
          </w:p>
        </w:tc>
        <w:tc>
          <w:tcPr>
            <w:cnfStyle w:val="000001000000" w:firstRow="0" w:lastRow="0" w:firstColumn="0" w:lastColumn="0" w:oddVBand="0" w:evenVBand="1" w:oddHBand="0" w:evenHBand="0" w:firstRowFirstColumn="0" w:firstRowLastColumn="0" w:lastRowFirstColumn="0" w:lastRowLastColumn="0"/>
            <w:tcW w:w="2310" w:type="dxa"/>
          </w:tcPr>
          <w:p w14:paraId="30E80AA7" w14:textId="77777777" w:rsidR="00D642EB" w:rsidRPr="00081B65" w:rsidRDefault="00D642EB" w:rsidP="0083214A">
            <w:pPr>
              <w:pStyle w:val="ppoTableacheivementvalue"/>
              <w:rPr>
                <w:noProof/>
              </w:rPr>
            </w:pPr>
            <w:r w:rsidRPr="00081B65">
              <w:rPr>
                <w:noProof/>
              </w:rPr>
              <w:t>1</w:t>
            </w:r>
            <w:r w:rsidRPr="00081B65">
              <w:rPr>
                <w:rFonts w:ascii="Calibri" w:hAnsi="Calibri" w:cs="Calibri"/>
                <w:noProof/>
              </w:rPr>
              <w:t> </w:t>
            </w:r>
            <w:r w:rsidRPr="00081B65">
              <w:rPr>
                <w:noProof/>
              </w:rPr>
              <w:t>925</w:t>
            </w:r>
          </w:p>
          <w:p w14:paraId="50ED6F79" w14:textId="77777777" w:rsidR="00D642EB" w:rsidRPr="00081B65" w:rsidRDefault="00D642EB" w:rsidP="00962E3C">
            <w:pPr>
              <w:jc w:val="left"/>
              <w:rPr>
                <w:noProof/>
              </w:rPr>
            </w:pPr>
            <w:r w:rsidRPr="00081B65">
              <w:rPr>
                <w:noProof/>
              </w:rPr>
              <w:t>audiovisual products (messages, interviews, statements, clips) were provided to the College in 2021.</w:t>
            </w:r>
          </w:p>
        </w:tc>
        <w:tc>
          <w:tcPr>
            <w:tcW w:w="2311" w:type="dxa"/>
            <w:tcBorders>
              <w:bottom w:val="single" w:sz="4" w:space="0" w:color="8C8C8C"/>
            </w:tcBorders>
          </w:tcPr>
          <w:p w14:paraId="3FDA67BF" w14:textId="77777777" w:rsidR="00D642EB" w:rsidRPr="00081B65" w:rsidRDefault="00D642EB" w:rsidP="0083214A">
            <w:pPr>
              <w:pStyle w:val="ppoTableacheivementvalue"/>
              <w:cnfStyle w:val="000000000000" w:firstRow="0" w:lastRow="0" w:firstColumn="0" w:lastColumn="0" w:oddVBand="0" w:evenVBand="0" w:oddHBand="0" w:evenHBand="0" w:firstRowFirstColumn="0" w:firstRowLastColumn="0" w:lastRowFirstColumn="0" w:lastRowLastColumn="0"/>
              <w:rPr>
                <w:noProof/>
              </w:rPr>
            </w:pPr>
            <w:r w:rsidRPr="00081B65">
              <w:rPr>
                <w:noProof/>
              </w:rPr>
              <w:t>90%</w:t>
            </w:r>
          </w:p>
          <w:p w14:paraId="38CAEEB7" w14:textId="77777777" w:rsidR="00D642EB" w:rsidRPr="00081B65" w:rsidRDefault="00D642EB" w:rsidP="00962E3C">
            <w:pPr>
              <w:jc w:val="left"/>
              <w:cnfStyle w:val="000000000000" w:firstRow="0" w:lastRow="0" w:firstColumn="0" w:lastColumn="0" w:oddVBand="0" w:evenVBand="0" w:oddHBand="0" w:evenHBand="0" w:firstRowFirstColumn="0" w:firstRowLastColumn="0" w:lastRowFirstColumn="0" w:lastRowLastColumn="0"/>
              <w:rPr>
                <w:noProof/>
              </w:rPr>
            </w:pPr>
            <w:r w:rsidRPr="00081B65">
              <w:rPr>
                <w:noProof/>
              </w:rPr>
              <w:t>of users were satisfied with the answers received from the Europe Direct Contact Centre in 2021.</w:t>
            </w:r>
          </w:p>
        </w:tc>
        <w:tc>
          <w:tcPr>
            <w:cnfStyle w:val="000001000000" w:firstRow="0" w:lastRow="0" w:firstColumn="0" w:lastColumn="0" w:oddVBand="0" w:evenVBand="1" w:oddHBand="0" w:evenHBand="0" w:firstRowFirstColumn="0" w:firstRowLastColumn="0" w:lastRowFirstColumn="0" w:lastRowLastColumn="0"/>
            <w:tcW w:w="2311" w:type="dxa"/>
          </w:tcPr>
          <w:p w14:paraId="5C34C4A3" w14:textId="03F2995E" w:rsidR="00D642EB" w:rsidRPr="00081B65" w:rsidRDefault="00D642EB" w:rsidP="0083214A">
            <w:pPr>
              <w:pStyle w:val="ppoTableacheivementvalue"/>
              <w:rPr>
                <w:noProof/>
              </w:rPr>
            </w:pPr>
            <w:r w:rsidRPr="00081B65">
              <w:rPr>
                <w:noProof/>
              </w:rPr>
              <w:t>110</w:t>
            </w:r>
            <w:r w:rsidRPr="00081B65">
              <w:rPr>
                <w:rFonts w:ascii="Calibri" w:hAnsi="Calibri" w:cs="Calibri"/>
                <w:noProof/>
              </w:rPr>
              <w:t> </w:t>
            </w:r>
            <w:r w:rsidR="00786652">
              <w:rPr>
                <w:noProof/>
              </w:rPr>
              <w:t>million</w:t>
            </w:r>
          </w:p>
          <w:p w14:paraId="6F68791A" w14:textId="77777777" w:rsidR="00D642EB" w:rsidRPr="00081B65" w:rsidRDefault="00D642EB" w:rsidP="00962E3C">
            <w:pPr>
              <w:jc w:val="left"/>
              <w:rPr>
                <w:noProof/>
              </w:rPr>
            </w:pPr>
            <w:r w:rsidRPr="00081B65">
              <w:rPr>
                <w:noProof/>
              </w:rPr>
              <w:t>visits (including repeat visits) were made to the European Commission’s core site (ec.europa.eu) in 2021.</w:t>
            </w:r>
          </w:p>
        </w:tc>
      </w:tr>
      <w:tr w:rsidR="00D642EB" w:rsidRPr="00081B65" w14:paraId="2702A17D" w14:textId="77777777" w:rsidTr="00AD7F08">
        <w:tc>
          <w:tcPr>
            <w:tcW w:w="2310" w:type="dxa"/>
          </w:tcPr>
          <w:p w14:paraId="5401BFB5" w14:textId="77777777" w:rsidR="00D642EB" w:rsidRPr="00081B65" w:rsidRDefault="00D642EB" w:rsidP="0083214A">
            <w:pPr>
              <w:pStyle w:val="ppoTableacheivementvalue"/>
              <w:rPr>
                <w:noProof/>
              </w:rPr>
            </w:pPr>
            <w:r w:rsidRPr="00081B65">
              <w:rPr>
                <w:noProof/>
              </w:rPr>
              <w:t>18</w:t>
            </w:r>
            <w:r w:rsidRPr="00081B65">
              <w:rPr>
                <w:rFonts w:ascii="Calibri" w:hAnsi="Calibri" w:cs="Calibri"/>
                <w:noProof/>
              </w:rPr>
              <w:t> </w:t>
            </w:r>
            <w:r w:rsidRPr="00081B65">
              <w:rPr>
                <w:noProof/>
              </w:rPr>
              <w:t>000</w:t>
            </w:r>
          </w:p>
          <w:p w14:paraId="62246D9A" w14:textId="77777777" w:rsidR="00D642EB" w:rsidRPr="00081B65" w:rsidRDefault="00D642EB" w:rsidP="00962E3C">
            <w:pPr>
              <w:jc w:val="left"/>
              <w:rPr>
                <w:noProof/>
              </w:rPr>
            </w:pPr>
            <w:r w:rsidRPr="00081B65">
              <w:rPr>
                <w:noProof/>
              </w:rPr>
              <w:t>visitors (including virtual visitors) visited the Visitors’ Centre in 2021.</w:t>
            </w:r>
          </w:p>
        </w:tc>
        <w:tc>
          <w:tcPr>
            <w:cnfStyle w:val="000001000000" w:firstRow="0" w:lastRow="0" w:firstColumn="0" w:lastColumn="0" w:oddVBand="0" w:evenVBand="1" w:oddHBand="0" w:evenHBand="0" w:firstRowFirstColumn="0" w:firstRowLastColumn="0" w:lastRowFirstColumn="0" w:lastRowLastColumn="0"/>
            <w:tcW w:w="2310" w:type="dxa"/>
            <w:shd w:val="clear" w:color="auto" w:fill="F2F2F2"/>
          </w:tcPr>
          <w:p w14:paraId="2A8D8789" w14:textId="77777777" w:rsidR="00D642EB" w:rsidRPr="00081B65" w:rsidRDefault="00D642EB" w:rsidP="0083214A">
            <w:pPr>
              <w:pStyle w:val="ppoTableacheivementvalue"/>
              <w:rPr>
                <w:noProof/>
              </w:rPr>
            </w:pPr>
            <w:r w:rsidRPr="00081B65">
              <w:rPr>
                <w:noProof/>
              </w:rPr>
              <w:t>8</w:t>
            </w:r>
            <w:r w:rsidRPr="00081B65">
              <w:rPr>
                <w:rFonts w:ascii="Calibri" w:hAnsi="Calibri" w:cs="Calibri"/>
                <w:noProof/>
              </w:rPr>
              <w:t> </w:t>
            </w:r>
            <w:r w:rsidRPr="00081B65">
              <w:rPr>
                <w:noProof/>
              </w:rPr>
              <w:t>000</w:t>
            </w:r>
          </w:p>
          <w:p w14:paraId="12955D67" w14:textId="77777777" w:rsidR="00D642EB" w:rsidRPr="00081B65" w:rsidRDefault="00D642EB" w:rsidP="00962E3C">
            <w:pPr>
              <w:jc w:val="left"/>
              <w:rPr>
                <w:noProof/>
              </w:rPr>
            </w:pPr>
            <w:r w:rsidRPr="00081B65">
              <w:rPr>
                <w:noProof/>
              </w:rPr>
              <w:t>events were organised by the Europe Direct Contact Centre in 2021.</w:t>
            </w:r>
          </w:p>
        </w:tc>
        <w:tc>
          <w:tcPr>
            <w:tcW w:w="2311" w:type="dxa"/>
            <w:tcBorders>
              <w:bottom w:val="nil"/>
            </w:tcBorders>
            <w:shd w:val="clear" w:color="auto" w:fill="FFFFFF" w:themeFill="background1"/>
          </w:tcPr>
          <w:p w14:paraId="072CE89A" w14:textId="77777777" w:rsidR="00D642EB" w:rsidRPr="00081B65" w:rsidRDefault="00D642EB" w:rsidP="0083214A">
            <w:pPr>
              <w:cnfStyle w:val="000000000000" w:firstRow="0" w:lastRow="0" w:firstColumn="0" w:lastColumn="0" w:oddVBand="0" w:evenVBand="0" w:oddHBand="0" w:evenHBand="0" w:firstRowFirstColumn="0" w:firstRowLastColumn="0" w:lastRowFirstColumn="0" w:lastRowLastColumn="0"/>
              <w:rPr>
                <w:noProof/>
              </w:rPr>
            </w:pPr>
          </w:p>
        </w:tc>
        <w:tc>
          <w:tcPr>
            <w:cnfStyle w:val="000001000000" w:firstRow="0" w:lastRow="0" w:firstColumn="0" w:lastColumn="0" w:oddVBand="0" w:evenVBand="1" w:oddHBand="0" w:evenHBand="0" w:firstRowFirstColumn="0" w:firstRowLastColumn="0" w:lastRowFirstColumn="0" w:lastRowLastColumn="0"/>
            <w:tcW w:w="2311" w:type="dxa"/>
            <w:tcBorders>
              <w:bottom w:val="nil"/>
            </w:tcBorders>
            <w:shd w:val="clear" w:color="auto" w:fill="FFFFFF" w:themeFill="background1"/>
          </w:tcPr>
          <w:p w14:paraId="60E4078D" w14:textId="77777777" w:rsidR="00D642EB" w:rsidRPr="00081B65" w:rsidRDefault="00D642EB" w:rsidP="0083214A">
            <w:pPr>
              <w:rPr>
                <w:noProof/>
              </w:rPr>
            </w:pPr>
          </w:p>
        </w:tc>
      </w:tr>
    </w:tbl>
    <w:p w14:paraId="2AF9F627" w14:textId="77777777" w:rsidR="00D642EB" w:rsidRPr="00081B65" w:rsidRDefault="00D642EB" w:rsidP="00D642EB">
      <w:pPr>
        <w:pStyle w:val="ppoHeading5"/>
        <w:rPr>
          <w:noProof/>
        </w:rPr>
      </w:pPr>
      <w:r w:rsidRPr="00081B65">
        <w:rPr>
          <w:noProof/>
        </w:rPr>
        <w:t>Budget for 2021-2027</w:t>
      </w:r>
    </w:p>
    <w:p w14:paraId="5265036B" w14:textId="77777777" w:rsidR="00D642EB" w:rsidRPr="00081B65" w:rsidRDefault="00D642EB" w:rsidP="00D642EB">
      <w:pPr>
        <w:pStyle w:val="ppoTableTabletitle"/>
        <w:ind w:left="284"/>
        <w:rPr>
          <w:noProof/>
        </w:rPr>
      </w:pPr>
      <w:r w:rsidRPr="00081B65">
        <w:rPr>
          <w:noProof/>
        </w:rPr>
        <w:t>(million EUR)</w:t>
      </w:r>
    </w:p>
    <w:tbl>
      <w:tblPr>
        <w:tblStyle w:val="PlainTable2"/>
        <w:tblW w:w="0" w:type="auto"/>
        <w:tblInd w:w="288" w:type="dxa"/>
        <w:tblLook w:val="04A0" w:firstRow="1" w:lastRow="0" w:firstColumn="1" w:lastColumn="0" w:noHBand="0" w:noVBand="1"/>
      </w:tblPr>
      <w:tblGrid>
        <w:gridCol w:w="4788"/>
        <w:gridCol w:w="2610"/>
      </w:tblGrid>
      <w:tr w:rsidR="00D642EB" w:rsidRPr="00081B65" w14:paraId="06397994" w14:textId="77777777" w:rsidTr="0083214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08410421" w14:textId="77777777" w:rsidR="00D642EB" w:rsidRPr="00081B65" w:rsidRDefault="00D642EB" w:rsidP="0083214A">
            <w:pPr>
              <w:spacing w:before="120" w:after="120"/>
              <w:rPr>
                <w:noProof/>
              </w:rPr>
            </w:pPr>
            <w:r w:rsidRPr="00081B65">
              <w:rPr>
                <w:rFonts w:cs="Calibri"/>
                <w:noProof/>
                <w:color w:val="000000"/>
              </w:rPr>
              <w:t>Financial programming</w:t>
            </w:r>
          </w:p>
        </w:tc>
        <w:tc>
          <w:tcPr>
            <w:tcW w:w="2610" w:type="dxa"/>
            <w:shd w:val="clear" w:color="auto" w:fill="auto"/>
            <w:vAlign w:val="bottom"/>
          </w:tcPr>
          <w:p w14:paraId="41481AD0" w14:textId="77777777" w:rsidR="00D642EB" w:rsidRPr="00081B65" w:rsidRDefault="00D642EB" w:rsidP="0083214A">
            <w:pPr>
              <w:spacing w:before="120" w:after="120"/>
              <w:jc w:val="center"/>
              <w:cnfStyle w:val="100000000000" w:firstRow="1" w:lastRow="0" w:firstColumn="0" w:lastColumn="0" w:oddVBand="0" w:evenVBand="0" w:oddHBand="0" w:evenHBand="0" w:firstRowFirstColumn="0" w:firstRowLastColumn="0" w:lastRowFirstColumn="0" w:lastRowLastColumn="0"/>
              <w:rPr>
                <w:b w:val="0"/>
                <w:noProof/>
              </w:rPr>
            </w:pPr>
            <w:r w:rsidRPr="00081B65">
              <w:rPr>
                <w:rFonts w:cs="Calibri"/>
                <w:b w:val="0"/>
                <w:noProof/>
                <w:color w:val="000000"/>
              </w:rPr>
              <w:t>766.3</w:t>
            </w:r>
          </w:p>
        </w:tc>
      </w:tr>
      <w:tr w:rsidR="00D642EB" w:rsidRPr="00081B65" w14:paraId="781F1E7D"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65F9D856" w14:textId="77777777" w:rsidR="00D642EB" w:rsidRPr="00081B65" w:rsidRDefault="00D642EB" w:rsidP="0083214A">
            <w:pPr>
              <w:spacing w:before="120" w:after="120"/>
              <w:rPr>
                <w:b w:val="0"/>
                <w:noProof/>
              </w:rPr>
            </w:pPr>
            <w:r w:rsidRPr="00081B65">
              <w:rPr>
                <w:rFonts w:cs="Calibri"/>
                <w:noProof/>
                <w:color w:val="000000"/>
              </w:rPr>
              <w:t>NextGenerationEU</w:t>
            </w:r>
          </w:p>
        </w:tc>
        <w:tc>
          <w:tcPr>
            <w:tcW w:w="2610" w:type="dxa"/>
            <w:vAlign w:val="bottom"/>
          </w:tcPr>
          <w:p w14:paraId="3CED5693" w14:textId="77777777" w:rsidR="00D642EB" w:rsidRPr="00081B65" w:rsidRDefault="00D642EB"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081B65">
              <w:rPr>
                <w:rFonts w:cs="Calibri"/>
                <w:noProof/>
                <w:color w:val="000000"/>
              </w:rPr>
              <w:t>0</w:t>
            </w:r>
          </w:p>
        </w:tc>
      </w:tr>
      <w:tr w:rsidR="00D642EB" w:rsidRPr="00081B65" w14:paraId="065025CA"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5CE1A07D" w14:textId="77777777" w:rsidR="00D642EB" w:rsidRPr="00081B65" w:rsidRDefault="00D642EB" w:rsidP="0083214A">
            <w:pPr>
              <w:spacing w:before="120" w:after="120"/>
              <w:rPr>
                <w:b w:val="0"/>
                <w:noProof/>
              </w:rPr>
            </w:pPr>
            <w:r w:rsidRPr="00081B65">
              <w:rPr>
                <w:noProof/>
              </w:rPr>
              <w:t>Decommitments made available again</w:t>
            </w:r>
            <w:r w:rsidRPr="00081B65">
              <w:rPr>
                <w:rFonts w:cs="Calibri"/>
                <w:noProof/>
                <w:color w:val="000000"/>
              </w:rPr>
              <w:t xml:space="preserve"> (*)</w:t>
            </w:r>
          </w:p>
        </w:tc>
        <w:tc>
          <w:tcPr>
            <w:tcW w:w="2610" w:type="dxa"/>
            <w:vAlign w:val="bottom"/>
          </w:tcPr>
          <w:p w14:paraId="56D6B7A5" w14:textId="77777777" w:rsidR="00D642EB" w:rsidRPr="00081B65" w:rsidRDefault="00D642EB" w:rsidP="0083214A">
            <w:pPr>
              <w:spacing w:before="120" w:after="120"/>
              <w:jc w:val="center"/>
              <w:cnfStyle w:val="000000000000" w:firstRow="0" w:lastRow="0" w:firstColumn="0" w:lastColumn="0" w:oddVBand="0" w:evenVBand="0" w:oddHBand="0" w:evenHBand="0" w:firstRowFirstColumn="0" w:firstRowLastColumn="0" w:lastRowFirstColumn="0" w:lastRowLastColumn="0"/>
              <w:rPr>
                <w:noProof/>
              </w:rPr>
            </w:pPr>
            <w:r>
              <w:rPr>
                <w:noProof/>
              </w:rPr>
              <w:t>N/A</w:t>
            </w:r>
          </w:p>
        </w:tc>
      </w:tr>
      <w:tr w:rsidR="00D642EB" w:rsidRPr="00081B65" w14:paraId="04A5F3C2"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4BC658A0" w14:textId="77777777" w:rsidR="00D642EB" w:rsidRPr="00081B65" w:rsidRDefault="00D642EB" w:rsidP="0083214A">
            <w:pPr>
              <w:spacing w:before="120" w:after="120"/>
              <w:rPr>
                <w:noProof/>
              </w:rPr>
            </w:pPr>
            <w:r w:rsidRPr="00081B65">
              <w:rPr>
                <w:rFonts w:cs="Calibri"/>
                <w:noProof/>
                <w:color w:val="000000"/>
              </w:rPr>
              <w:t>Contributions from other countries and entities</w:t>
            </w:r>
          </w:p>
        </w:tc>
        <w:tc>
          <w:tcPr>
            <w:tcW w:w="2610" w:type="dxa"/>
            <w:vAlign w:val="bottom"/>
          </w:tcPr>
          <w:p w14:paraId="1342CC57" w14:textId="77777777" w:rsidR="00D642EB" w:rsidRPr="00081B65" w:rsidRDefault="00D642EB"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081B65">
              <w:rPr>
                <w:rFonts w:cs="Calibri"/>
                <w:noProof/>
                <w:color w:val="000000"/>
              </w:rPr>
              <w:t>0</w:t>
            </w:r>
          </w:p>
        </w:tc>
      </w:tr>
      <w:tr w:rsidR="00D642EB" w:rsidRPr="00081B65" w14:paraId="7D716944"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2F2F2" w:themeFill="background1" w:themeFillShade="F2"/>
            <w:vAlign w:val="bottom"/>
          </w:tcPr>
          <w:p w14:paraId="6D851E42" w14:textId="77777777" w:rsidR="00D642EB" w:rsidRPr="00081B65" w:rsidRDefault="00D642EB" w:rsidP="0083214A">
            <w:pPr>
              <w:spacing w:before="120" w:after="120"/>
              <w:rPr>
                <w:noProof/>
              </w:rPr>
            </w:pPr>
            <w:r w:rsidRPr="00081B65">
              <w:rPr>
                <w:rFonts w:cs="Calibri"/>
                <w:noProof/>
                <w:color w:val="000000"/>
              </w:rPr>
              <w:t>Total budget for 2021-2027</w:t>
            </w:r>
          </w:p>
        </w:tc>
        <w:tc>
          <w:tcPr>
            <w:tcW w:w="2610" w:type="dxa"/>
            <w:shd w:val="clear" w:color="auto" w:fill="F2F2F2" w:themeFill="background1" w:themeFillShade="F2"/>
            <w:vAlign w:val="bottom"/>
          </w:tcPr>
          <w:p w14:paraId="26E6C071" w14:textId="77777777" w:rsidR="00D642EB" w:rsidRPr="00081B65" w:rsidRDefault="00D642EB" w:rsidP="0083214A">
            <w:pPr>
              <w:spacing w:before="120" w:after="120"/>
              <w:jc w:val="center"/>
              <w:cnfStyle w:val="000000000000" w:firstRow="0" w:lastRow="0" w:firstColumn="0" w:lastColumn="0" w:oddVBand="0" w:evenVBand="0" w:oddHBand="0" w:evenHBand="0" w:firstRowFirstColumn="0" w:firstRowLastColumn="0" w:lastRowFirstColumn="0" w:lastRowLastColumn="0"/>
              <w:rPr>
                <w:b/>
                <w:noProof/>
              </w:rPr>
            </w:pPr>
            <w:r w:rsidRPr="00081B65">
              <w:rPr>
                <w:rFonts w:cs="Calibri"/>
                <w:b/>
                <w:noProof/>
                <w:color w:val="000000"/>
              </w:rPr>
              <w:t>766.3</w:t>
            </w:r>
          </w:p>
        </w:tc>
      </w:tr>
    </w:tbl>
    <w:p w14:paraId="02E05B14" w14:textId="77777777" w:rsidR="00D642EB" w:rsidRPr="00081B65" w:rsidRDefault="00D642EB" w:rsidP="00D642EB">
      <w:pPr>
        <w:tabs>
          <w:tab w:val="left" w:pos="6793"/>
        </w:tabs>
        <w:rPr>
          <w:noProof/>
          <w:sz w:val="18"/>
          <w:szCs w:val="18"/>
        </w:rPr>
      </w:pPr>
      <w:r w:rsidRPr="00081B65">
        <w:rPr>
          <w:noProof/>
          <w:sz w:val="18"/>
          <w:szCs w:val="18"/>
        </w:rPr>
        <w:t>(*) Only Article</w:t>
      </w:r>
      <w:r w:rsidRPr="00081B65">
        <w:rPr>
          <w:rFonts w:ascii="Calibri" w:hAnsi="Calibri" w:cs="Calibri"/>
          <w:noProof/>
          <w:sz w:val="18"/>
          <w:szCs w:val="18"/>
        </w:rPr>
        <w:t> </w:t>
      </w:r>
      <w:r w:rsidRPr="00081B65">
        <w:rPr>
          <w:noProof/>
          <w:sz w:val="18"/>
          <w:szCs w:val="18"/>
        </w:rPr>
        <w:t>15(3) of the financial regulation.</w:t>
      </w:r>
    </w:p>
    <w:p w14:paraId="7412CE07" w14:textId="77777777" w:rsidR="00D642EB" w:rsidRPr="00081B65" w:rsidRDefault="00D642EB" w:rsidP="00D642EB">
      <w:pPr>
        <w:pStyle w:val="FootnoteText"/>
        <w:rPr>
          <w:rFonts w:eastAsiaTheme="minorEastAsia"/>
          <w:noProof/>
        </w:rPr>
      </w:pPr>
    </w:p>
    <w:p w14:paraId="1076D27E" w14:textId="77777777" w:rsidR="00D642EB" w:rsidRPr="00081B65" w:rsidRDefault="00D642EB" w:rsidP="00D642EB">
      <w:pPr>
        <w:pStyle w:val="ppoHeading5"/>
        <w:rPr>
          <w:noProof/>
        </w:rPr>
      </w:pPr>
      <w:r w:rsidRPr="00081B65">
        <w:rPr>
          <w:noProof/>
        </w:rPr>
        <w:t>Rationale and design of the programme</w:t>
      </w:r>
    </w:p>
    <w:p w14:paraId="3975DE33" w14:textId="77777777" w:rsidR="00D642EB" w:rsidRPr="00081B65" w:rsidRDefault="00D642EB" w:rsidP="00D642EB">
      <w:pPr>
        <w:rPr>
          <w:rFonts w:eastAsiaTheme="minorEastAsia"/>
          <w:noProof/>
        </w:rPr>
      </w:pPr>
      <w:r w:rsidRPr="00081B65">
        <w:rPr>
          <w:noProof/>
        </w:rPr>
        <w:t>The activities support the Commission’s political, corporate and interinstitutional communication of EU policies and how they help the Commission and the EU to achieve a better image.</w:t>
      </w:r>
    </w:p>
    <w:p w14:paraId="79DA2DBB" w14:textId="77777777" w:rsidR="00D642EB" w:rsidRPr="00081B65" w:rsidRDefault="00D642EB" w:rsidP="00D642EB">
      <w:pPr>
        <w:pStyle w:val="ppoHeading6"/>
        <w:rPr>
          <w:noProof/>
        </w:rPr>
      </w:pPr>
      <w:r w:rsidRPr="00081B65">
        <w:rPr>
          <w:noProof/>
        </w:rPr>
        <w:t>Challenge</w:t>
      </w:r>
    </w:p>
    <w:p w14:paraId="42194BA8" w14:textId="77777777" w:rsidR="00D642EB" w:rsidRPr="00081B65" w:rsidRDefault="00D642EB" w:rsidP="00D642EB">
      <w:pPr>
        <w:rPr>
          <w:noProof/>
        </w:rPr>
      </w:pPr>
      <w:r w:rsidRPr="00081B65">
        <w:rPr>
          <w:noProof/>
        </w:rPr>
        <w:t>To be effective, the Commission has to connect with citizens across all of the Member States to make them aware of its headline ambitions and to give them a way to feed their concerns and ideas into EU policymaking. This is particularly challenging in the post-COVID-19 economic and social context. Thus, communication in the coming years will focus on the recovery plan and NextGenerationEU, namely the green, digital and health strands.</w:t>
      </w:r>
    </w:p>
    <w:p w14:paraId="5F783516" w14:textId="77777777" w:rsidR="00D642EB" w:rsidRPr="00081B65" w:rsidRDefault="00D642EB" w:rsidP="00D642EB">
      <w:pPr>
        <w:rPr>
          <w:noProof/>
        </w:rPr>
      </w:pPr>
      <w:r w:rsidRPr="00081B65">
        <w:rPr>
          <w:noProof/>
        </w:rPr>
        <w:t>To achieve this objective, an ambitious communication effort at the Commission level is necessary, because the communication actions on European topics carried out at the national, regional and local levels are not sufficient.</w:t>
      </w:r>
    </w:p>
    <w:p w14:paraId="21996AA8" w14:textId="77777777" w:rsidR="00D642EB" w:rsidRPr="00081B65" w:rsidRDefault="00D642EB" w:rsidP="00D642EB">
      <w:pPr>
        <w:pStyle w:val="ppoHeading6"/>
        <w:rPr>
          <w:noProof/>
        </w:rPr>
      </w:pPr>
      <w:r w:rsidRPr="00081B65">
        <w:rPr>
          <w:noProof/>
        </w:rPr>
        <w:t>Mission</w:t>
      </w:r>
    </w:p>
    <w:p w14:paraId="159D6475" w14:textId="77777777" w:rsidR="00D642EB" w:rsidRPr="00081B65" w:rsidRDefault="00D642EB" w:rsidP="00D642EB">
      <w:pPr>
        <w:rPr>
          <w:noProof/>
        </w:rPr>
      </w:pPr>
      <w:r w:rsidRPr="00081B65">
        <w:rPr>
          <w:noProof/>
        </w:rPr>
        <w:t>DG Communication, as a corporate communication service, brings the EU closer to its citizens by:</w:t>
      </w:r>
    </w:p>
    <w:p w14:paraId="5223A389" w14:textId="77777777" w:rsidR="00D642EB" w:rsidRPr="00081B65" w:rsidRDefault="00D642EB" w:rsidP="00D642EB">
      <w:pPr>
        <w:pStyle w:val="ppoListHyphened-L1"/>
        <w:rPr>
          <w:noProof/>
        </w:rPr>
      </w:pPr>
      <w:r w:rsidRPr="00081B65">
        <w:rPr>
          <w:noProof/>
        </w:rPr>
        <w:t>listening: providing intelligence to the College, cabinets and services;</w:t>
      </w:r>
    </w:p>
    <w:p w14:paraId="3C45A01A" w14:textId="77777777" w:rsidR="00D642EB" w:rsidRPr="00081B65" w:rsidRDefault="00D642EB" w:rsidP="00D642EB">
      <w:pPr>
        <w:pStyle w:val="ppoListHyphened-L1"/>
        <w:rPr>
          <w:noProof/>
        </w:rPr>
      </w:pPr>
      <w:r w:rsidRPr="00081B65">
        <w:rPr>
          <w:noProof/>
        </w:rPr>
        <w:t>advising: ensuring coherence in communication and domain leadership;</w:t>
      </w:r>
    </w:p>
    <w:p w14:paraId="561BDD69" w14:textId="77777777" w:rsidR="00D642EB" w:rsidRPr="00081B65" w:rsidRDefault="00D642EB" w:rsidP="00D642EB">
      <w:pPr>
        <w:pStyle w:val="ppoListHyphened-L1"/>
        <w:rPr>
          <w:noProof/>
        </w:rPr>
      </w:pPr>
      <w:r w:rsidRPr="00081B65">
        <w:rPr>
          <w:noProof/>
        </w:rPr>
        <w:t>engaging: reaching out to and engaging with citizens.</w:t>
      </w:r>
    </w:p>
    <w:p w14:paraId="0609E86E" w14:textId="77777777" w:rsidR="00D642EB" w:rsidRPr="00081B65" w:rsidRDefault="00D642EB" w:rsidP="00D642EB">
      <w:pPr>
        <w:pStyle w:val="ppoHeading6"/>
        <w:rPr>
          <w:noProof/>
        </w:rPr>
      </w:pPr>
      <w:r w:rsidRPr="00081B65">
        <w:rPr>
          <w:noProof/>
        </w:rPr>
        <w:t>Objectives</w:t>
      </w:r>
    </w:p>
    <w:p w14:paraId="45266AEC" w14:textId="77777777" w:rsidR="00D642EB" w:rsidRPr="00081B65" w:rsidRDefault="00D642EB" w:rsidP="00D642EB">
      <w:pPr>
        <w:rPr>
          <w:noProof/>
        </w:rPr>
      </w:pPr>
      <w:r w:rsidRPr="00081B65">
        <w:rPr>
          <w:noProof/>
        </w:rPr>
        <w:t>DG Communication pursues the following five specific objectives.</w:t>
      </w:r>
    </w:p>
    <w:p w14:paraId="6DE0CAF4" w14:textId="77777777" w:rsidR="00D642EB" w:rsidRPr="00081B65" w:rsidRDefault="00D642EB" w:rsidP="00D642EB">
      <w:pPr>
        <w:pStyle w:val="ppoListArabic1aiii-L1"/>
        <w:numPr>
          <w:ilvl w:val="0"/>
          <w:numId w:val="40"/>
        </w:numPr>
        <w:rPr>
          <w:noProof/>
        </w:rPr>
      </w:pPr>
      <w:r w:rsidRPr="00081B65">
        <w:rPr>
          <w:noProof/>
        </w:rPr>
        <w:t>The College and services use country-specific intelligence, Eurobarometer results, media analysis and feedback from stakeholders/citizens to inform political decision-making.</w:t>
      </w:r>
    </w:p>
    <w:p w14:paraId="63D6F012" w14:textId="77777777" w:rsidR="00D642EB" w:rsidRPr="00081B65" w:rsidRDefault="00D642EB" w:rsidP="00D642EB">
      <w:pPr>
        <w:pStyle w:val="ppoListArabic1aiii-L1"/>
        <w:numPr>
          <w:ilvl w:val="0"/>
          <w:numId w:val="40"/>
        </w:numPr>
        <w:rPr>
          <w:noProof/>
        </w:rPr>
      </w:pPr>
      <w:r w:rsidRPr="00081B65">
        <w:rPr>
          <w:noProof/>
        </w:rPr>
        <w:t>The College receives strategic advice on communicating the political headline ambitions and on media landscapes in the Member States.</w:t>
      </w:r>
    </w:p>
    <w:p w14:paraId="47C4BF13" w14:textId="77777777" w:rsidR="00D642EB" w:rsidRPr="00081B65" w:rsidRDefault="00D642EB" w:rsidP="00D642EB">
      <w:pPr>
        <w:pStyle w:val="ppoListArabic1aiii-L1"/>
        <w:numPr>
          <w:ilvl w:val="0"/>
          <w:numId w:val="40"/>
        </w:numPr>
        <w:rPr>
          <w:noProof/>
        </w:rPr>
      </w:pPr>
      <w:r w:rsidRPr="00081B65">
        <w:rPr>
          <w:noProof/>
        </w:rPr>
        <w:t xml:space="preserve">Corporate communication of the Commission’s headline political ambitions is aligned across its </w:t>
      </w:r>
      <w:r w:rsidRPr="007E1BC4">
        <w:rPr>
          <w:noProof/>
        </w:rPr>
        <w:t>departments</w:t>
      </w:r>
      <w:r w:rsidRPr="00081B65">
        <w:rPr>
          <w:noProof/>
        </w:rPr>
        <w:t>.</w:t>
      </w:r>
    </w:p>
    <w:p w14:paraId="61E32241" w14:textId="77777777" w:rsidR="00D642EB" w:rsidRPr="00081B65" w:rsidRDefault="00D642EB" w:rsidP="00D642EB">
      <w:pPr>
        <w:pStyle w:val="ppoListArabic1aiii-L1"/>
        <w:numPr>
          <w:ilvl w:val="0"/>
          <w:numId w:val="40"/>
        </w:numPr>
        <w:rPr>
          <w:noProof/>
        </w:rPr>
      </w:pPr>
      <w:r w:rsidRPr="00081B65">
        <w:rPr>
          <w:noProof/>
        </w:rPr>
        <w:t>Meaningful and tailored messages, focused on the Commission’s headline political ambitions, are communicated to citizens, media, multipliers and stakeholders.</w:t>
      </w:r>
    </w:p>
    <w:p w14:paraId="61A5F619" w14:textId="77777777" w:rsidR="00D642EB" w:rsidRPr="00081B65" w:rsidRDefault="00D642EB" w:rsidP="00D642EB">
      <w:pPr>
        <w:pStyle w:val="ppoListArabic1aiii-L1"/>
        <w:numPr>
          <w:ilvl w:val="0"/>
          <w:numId w:val="40"/>
        </w:numPr>
        <w:rPr>
          <w:noProof/>
        </w:rPr>
      </w:pPr>
      <w:r w:rsidRPr="00081B65">
        <w:rPr>
          <w:noProof/>
        </w:rPr>
        <w:t>Citizens engage with the EU through face-to-face events and online interactive platforms, such as the Conference on the Future of Europe, thus stimulating the sharing of EU values and interest in and ownership of EU topics.</w:t>
      </w:r>
    </w:p>
    <w:p w14:paraId="36DEF8CC" w14:textId="77777777" w:rsidR="00D642EB" w:rsidRPr="00081B65" w:rsidRDefault="00D642EB" w:rsidP="00D642EB">
      <w:pPr>
        <w:pStyle w:val="ppoHeading6"/>
        <w:rPr>
          <w:noProof/>
        </w:rPr>
      </w:pPr>
      <w:r w:rsidRPr="00081B65">
        <w:rPr>
          <w:noProof/>
        </w:rPr>
        <w:t>Actions</w:t>
      </w:r>
    </w:p>
    <w:p w14:paraId="22FB6A2D" w14:textId="77777777" w:rsidR="00D642EB" w:rsidRPr="00081B65" w:rsidRDefault="00D642EB" w:rsidP="00D642EB">
      <w:pPr>
        <w:rPr>
          <w:noProof/>
        </w:rPr>
      </w:pPr>
      <w:r w:rsidRPr="00081B65">
        <w:rPr>
          <w:noProof/>
        </w:rPr>
        <w:t>DG Communication will pursue the above objectives through a variety of actions, including:</w:t>
      </w:r>
    </w:p>
    <w:p w14:paraId="2224FF70" w14:textId="77777777" w:rsidR="00D642EB" w:rsidRPr="00081B65" w:rsidRDefault="00D642EB" w:rsidP="00D642EB">
      <w:pPr>
        <w:pStyle w:val="ppoListHyphened-L1"/>
        <w:rPr>
          <w:noProof/>
        </w:rPr>
      </w:pPr>
      <w:r w:rsidRPr="00081B65">
        <w:rPr>
          <w:noProof/>
        </w:rPr>
        <w:t>providing executive and corporate communication services to the President, the College, the Spokesperson’s Service, Commission senior management and the Commission's external communication domain;</w:t>
      </w:r>
    </w:p>
    <w:p w14:paraId="00684348" w14:textId="77777777" w:rsidR="00D642EB" w:rsidRPr="00081B65" w:rsidRDefault="00D642EB" w:rsidP="00D642EB">
      <w:pPr>
        <w:pStyle w:val="ppoListHyphened-L1"/>
        <w:rPr>
          <w:noProof/>
        </w:rPr>
      </w:pPr>
      <w:r w:rsidRPr="00081B65">
        <w:rPr>
          <w:noProof/>
        </w:rPr>
        <w:t>engaging with national, regional and local authorities, media, stakeholders and citizens in general through the Commission’s representations in the Member States;</w:t>
      </w:r>
    </w:p>
    <w:p w14:paraId="3AE9E198" w14:textId="77777777" w:rsidR="00D642EB" w:rsidRPr="00081B65" w:rsidRDefault="00D642EB" w:rsidP="00D642EB">
      <w:pPr>
        <w:pStyle w:val="ppoListHyphened-L1"/>
        <w:rPr>
          <w:noProof/>
        </w:rPr>
      </w:pPr>
      <w:r w:rsidRPr="00081B65">
        <w:rPr>
          <w:noProof/>
        </w:rPr>
        <w:t>crafting communication products and services directly addressed to citizens via traditional and new media channels, along with face-to-face exchanges.</w:t>
      </w:r>
    </w:p>
    <w:p w14:paraId="39806627" w14:textId="77777777" w:rsidR="00D642EB" w:rsidRPr="00081B65" w:rsidRDefault="00D642EB" w:rsidP="00D642EB">
      <w:pPr>
        <w:pStyle w:val="ppoHeading6"/>
        <w:rPr>
          <w:noProof/>
        </w:rPr>
      </w:pPr>
      <w:r w:rsidRPr="00081B65">
        <w:rPr>
          <w:noProof/>
        </w:rPr>
        <w:t>Delivery mode</w:t>
      </w:r>
    </w:p>
    <w:p w14:paraId="0DDBB78B" w14:textId="77777777" w:rsidR="00D642EB" w:rsidRPr="00081B65" w:rsidRDefault="00D642EB" w:rsidP="00D642EB">
      <w:pPr>
        <w:rPr>
          <w:noProof/>
        </w:rPr>
      </w:pPr>
      <w:r w:rsidRPr="00081B65">
        <w:rPr>
          <w:noProof/>
        </w:rPr>
        <w:t>Within the Commission, the Directorate-General for Communication is the lead DG for implementing the activities described above (implementation through direct management and grants).</w:t>
      </w:r>
    </w:p>
    <w:p w14:paraId="411D0D03" w14:textId="77777777" w:rsidR="00D642EB" w:rsidRPr="00081B65" w:rsidRDefault="00D642EB" w:rsidP="00D642EB">
      <w:pPr>
        <w:pStyle w:val="ppoHeading6"/>
        <w:rPr>
          <w:noProof/>
        </w:rPr>
      </w:pPr>
      <w:r w:rsidRPr="00081B65">
        <w:rPr>
          <w:noProof/>
        </w:rPr>
        <w:t>LINK TO THE 2014-2020 multiannual financial framework</w:t>
      </w:r>
    </w:p>
    <w:p w14:paraId="12890ACD" w14:textId="77777777" w:rsidR="00D642EB" w:rsidRPr="00081B65" w:rsidRDefault="00D642EB" w:rsidP="00D642EB">
      <w:pPr>
        <w:rPr>
          <w:noProof/>
        </w:rPr>
      </w:pPr>
      <w:r w:rsidRPr="00081B65">
        <w:rPr>
          <w:noProof/>
        </w:rPr>
        <w:t>Communication activities are still financed by the Commission under its prerogatives. Throughout the 2014-2020 multiannual financial framework, DG Communication was under Title</w:t>
      </w:r>
      <w:r w:rsidRPr="00081B65">
        <w:rPr>
          <w:rFonts w:ascii="Calibri" w:hAnsi="Calibri" w:cs="Calibri"/>
          <w:noProof/>
        </w:rPr>
        <w:t> </w:t>
      </w:r>
      <w:r w:rsidRPr="00081B65">
        <w:rPr>
          <w:noProof/>
        </w:rPr>
        <w:t>16 of the Commission budget. Under the 2021-2027 MFF, communication activities are included within heading</w:t>
      </w:r>
      <w:r w:rsidRPr="00081B65">
        <w:rPr>
          <w:rFonts w:ascii="Calibri" w:hAnsi="Calibri" w:cs="Calibri"/>
          <w:noProof/>
        </w:rPr>
        <w:t> </w:t>
      </w:r>
      <w:r w:rsidRPr="00081B65">
        <w:rPr>
          <w:noProof/>
        </w:rPr>
        <w:t>2 ‘Cohesion and values’ under policy cluster</w:t>
      </w:r>
      <w:r w:rsidRPr="00081B65">
        <w:rPr>
          <w:rFonts w:ascii="Calibri" w:hAnsi="Calibri" w:cs="Calibri"/>
          <w:noProof/>
        </w:rPr>
        <w:t> </w:t>
      </w:r>
      <w:r w:rsidRPr="00081B65">
        <w:rPr>
          <w:noProof/>
        </w:rPr>
        <w:t>7 ‘Investing in people and values’.</w:t>
      </w:r>
    </w:p>
    <w:p w14:paraId="2E7024BA" w14:textId="77777777" w:rsidR="00D642EB" w:rsidRPr="00081B65" w:rsidRDefault="00D642EB" w:rsidP="00D642EB">
      <w:pPr>
        <w:pStyle w:val="ppoHeading6"/>
        <w:rPr>
          <w:noProof/>
        </w:rPr>
      </w:pPr>
      <w:r w:rsidRPr="00081B65">
        <w:rPr>
          <w:noProof/>
        </w:rPr>
        <w:t>Impact assessment</w:t>
      </w:r>
    </w:p>
    <w:p w14:paraId="1F3DCDA3" w14:textId="77777777" w:rsidR="00D642EB" w:rsidRPr="00081B65" w:rsidRDefault="00D642EB" w:rsidP="00D642EB">
      <w:pPr>
        <w:rPr>
          <w:noProof/>
        </w:rPr>
      </w:pPr>
    </w:p>
    <w:p w14:paraId="2106A66E" w14:textId="77777777" w:rsidR="00D642EB" w:rsidRPr="00081B65" w:rsidRDefault="00D642EB" w:rsidP="00D642EB">
      <w:pPr>
        <w:pStyle w:val="ppoHeading6"/>
        <w:rPr>
          <w:noProof/>
        </w:rPr>
      </w:pPr>
      <w:r w:rsidRPr="00081B65">
        <w:rPr>
          <w:noProof/>
        </w:rPr>
        <w:t>WEBSITE FOR more information</w:t>
      </w:r>
    </w:p>
    <w:p w14:paraId="172B96FD" w14:textId="77777777" w:rsidR="00D642EB" w:rsidRPr="00081B65" w:rsidRDefault="00E01E9B" w:rsidP="00D642EB">
      <w:pPr>
        <w:rPr>
          <w:noProof/>
        </w:rPr>
      </w:pPr>
      <w:hyperlink r:id="rId355" w:history="1">
        <w:r w:rsidR="00D642EB" w:rsidRPr="00081B65">
          <w:rPr>
            <w:rStyle w:val="Hyperlink"/>
            <w:noProof/>
          </w:rPr>
          <w:t>https://europa.eu/!mT93rB</w:t>
        </w:r>
      </w:hyperlink>
    </w:p>
    <w:p w14:paraId="7E4C3741" w14:textId="77777777" w:rsidR="00D642EB" w:rsidRPr="00081B65" w:rsidRDefault="00D642EB" w:rsidP="00D642EB">
      <w:pPr>
        <w:pStyle w:val="ppoHeading5"/>
        <w:rPr>
          <w:noProof/>
        </w:rPr>
      </w:pPr>
      <w:r w:rsidRPr="00081B65">
        <w:rPr>
          <w:rFonts w:eastAsiaTheme="minorEastAsia"/>
          <w:noProof/>
        </w:rPr>
        <w:t>Legal basis</w:t>
      </w:r>
    </w:p>
    <w:p w14:paraId="4BFD0415" w14:textId="7336F396" w:rsidR="00D642EB" w:rsidRPr="00081B65" w:rsidRDefault="008E2ABF" w:rsidP="00AC48DF">
      <w:pPr>
        <w:rPr>
          <w:caps/>
          <w:noProof/>
        </w:rPr>
      </w:pPr>
      <w:r w:rsidRPr="00B902F5">
        <w:rPr>
          <w:noProof/>
        </w:rPr>
        <w:t>Tasks are resulting from the European Commission’s prerogatives at institutional level, as provided for in Article 58(2) of Regulation (EU, Euratom) 2018/1046 of the European Parliament and of the Council of 18 July 2018 on the financial rules applicable to the general budget of the Union</w:t>
      </w:r>
      <w:r>
        <w:rPr>
          <w:noProof/>
        </w:rPr>
        <w:t xml:space="preserve">. </w:t>
      </w:r>
      <w:r w:rsidR="00D642EB" w:rsidRPr="00081B65">
        <w:rPr>
          <w:noProof/>
        </w:rPr>
        <w:t>Implementation and performance</w:t>
      </w:r>
    </w:p>
    <w:p w14:paraId="449267B4" w14:textId="77777777" w:rsidR="00D642EB" w:rsidRPr="00081B65" w:rsidRDefault="00D642EB" w:rsidP="00D642EB">
      <w:pPr>
        <w:pStyle w:val="ppoHeading5"/>
        <w:rPr>
          <w:noProof/>
        </w:rPr>
      </w:pPr>
      <w:r w:rsidRPr="00081B65">
        <w:rPr>
          <w:noProof/>
        </w:rPr>
        <w:t>Budget</w:t>
      </w:r>
    </w:p>
    <w:p w14:paraId="3FA14892" w14:textId="77777777" w:rsidR="00D642EB" w:rsidRPr="00081B65" w:rsidRDefault="00D642EB" w:rsidP="00D642EB">
      <w:pPr>
        <w:pStyle w:val="ppoTableTabletitle"/>
        <w:rPr>
          <w:noProof/>
        </w:rPr>
      </w:pPr>
      <w:r w:rsidRPr="00081B65">
        <w:rPr>
          <w:noProof/>
        </w:rPr>
        <w:t>Budget programming (million 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D642EB" w:rsidRPr="00081B65" w14:paraId="48DA1D16" w14:textId="77777777" w:rsidTr="0083214A">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2969DD43" w14:textId="77777777" w:rsidR="00D642EB" w:rsidRPr="00081B65" w:rsidRDefault="00D642EB" w:rsidP="0083214A">
            <w:pPr>
              <w:rPr>
                <w:noProof/>
              </w:rPr>
            </w:pPr>
          </w:p>
        </w:tc>
        <w:tc>
          <w:tcPr>
            <w:tcW w:w="943" w:type="dxa"/>
            <w:noWrap/>
            <w:hideMark/>
          </w:tcPr>
          <w:p w14:paraId="5D5A0D1C" w14:textId="77777777" w:rsidR="00D642EB" w:rsidRPr="00081B65" w:rsidRDefault="00D642EB" w:rsidP="0083214A">
            <w:pPr>
              <w:rPr>
                <w:noProof/>
              </w:rPr>
            </w:pPr>
            <w:r w:rsidRPr="00081B65">
              <w:rPr>
                <w:noProof/>
              </w:rPr>
              <w:t>2021</w:t>
            </w:r>
          </w:p>
        </w:tc>
        <w:tc>
          <w:tcPr>
            <w:tcW w:w="944" w:type="dxa"/>
            <w:noWrap/>
            <w:hideMark/>
          </w:tcPr>
          <w:p w14:paraId="62B5C6BC" w14:textId="77777777" w:rsidR="00D642EB" w:rsidRPr="00081B65" w:rsidRDefault="00D642EB" w:rsidP="0083214A">
            <w:pPr>
              <w:rPr>
                <w:noProof/>
              </w:rPr>
            </w:pPr>
            <w:r w:rsidRPr="00081B65">
              <w:rPr>
                <w:noProof/>
              </w:rPr>
              <w:t>2022</w:t>
            </w:r>
          </w:p>
        </w:tc>
        <w:tc>
          <w:tcPr>
            <w:tcW w:w="943" w:type="dxa"/>
            <w:noWrap/>
            <w:hideMark/>
          </w:tcPr>
          <w:p w14:paraId="7295F2C9" w14:textId="77777777" w:rsidR="00D642EB" w:rsidRPr="00081B65" w:rsidRDefault="00D642EB" w:rsidP="0083214A">
            <w:pPr>
              <w:rPr>
                <w:noProof/>
              </w:rPr>
            </w:pPr>
            <w:r w:rsidRPr="00081B65">
              <w:rPr>
                <w:noProof/>
              </w:rPr>
              <w:t>2023</w:t>
            </w:r>
          </w:p>
        </w:tc>
        <w:tc>
          <w:tcPr>
            <w:tcW w:w="944" w:type="dxa"/>
            <w:noWrap/>
            <w:hideMark/>
          </w:tcPr>
          <w:p w14:paraId="7D8FF6B6" w14:textId="77777777" w:rsidR="00D642EB" w:rsidRPr="00081B65" w:rsidRDefault="00D642EB" w:rsidP="0083214A">
            <w:pPr>
              <w:rPr>
                <w:noProof/>
              </w:rPr>
            </w:pPr>
            <w:r w:rsidRPr="00081B65">
              <w:rPr>
                <w:noProof/>
              </w:rPr>
              <w:t>2024</w:t>
            </w:r>
          </w:p>
        </w:tc>
        <w:tc>
          <w:tcPr>
            <w:tcW w:w="944" w:type="dxa"/>
            <w:noWrap/>
            <w:hideMark/>
          </w:tcPr>
          <w:p w14:paraId="16F8A153" w14:textId="77777777" w:rsidR="00D642EB" w:rsidRPr="00081B65" w:rsidRDefault="00D642EB" w:rsidP="0083214A">
            <w:pPr>
              <w:rPr>
                <w:noProof/>
              </w:rPr>
            </w:pPr>
            <w:r w:rsidRPr="00081B65">
              <w:rPr>
                <w:noProof/>
              </w:rPr>
              <w:t>2025</w:t>
            </w:r>
          </w:p>
        </w:tc>
        <w:tc>
          <w:tcPr>
            <w:tcW w:w="943" w:type="dxa"/>
            <w:noWrap/>
            <w:hideMark/>
          </w:tcPr>
          <w:p w14:paraId="5B51B4B5" w14:textId="77777777" w:rsidR="00D642EB" w:rsidRPr="00081B65" w:rsidRDefault="00D642EB" w:rsidP="0083214A">
            <w:pPr>
              <w:rPr>
                <w:noProof/>
              </w:rPr>
            </w:pPr>
            <w:r w:rsidRPr="00081B65">
              <w:rPr>
                <w:noProof/>
              </w:rPr>
              <w:t>2026</w:t>
            </w:r>
          </w:p>
        </w:tc>
        <w:tc>
          <w:tcPr>
            <w:tcW w:w="944" w:type="dxa"/>
            <w:noWrap/>
            <w:hideMark/>
          </w:tcPr>
          <w:p w14:paraId="688E6F80" w14:textId="77777777" w:rsidR="00D642EB" w:rsidRPr="00081B65" w:rsidRDefault="00D642EB" w:rsidP="0083214A">
            <w:pPr>
              <w:rPr>
                <w:noProof/>
              </w:rPr>
            </w:pPr>
            <w:r w:rsidRPr="00081B65">
              <w:rPr>
                <w:noProof/>
              </w:rPr>
              <w:t>2027</w:t>
            </w:r>
          </w:p>
        </w:tc>
        <w:tc>
          <w:tcPr>
            <w:tcW w:w="944" w:type="dxa"/>
            <w:noWrap/>
            <w:hideMark/>
          </w:tcPr>
          <w:p w14:paraId="3B5862FB" w14:textId="77777777" w:rsidR="00D642EB" w:rsidRPr="00081B65" w:rsidRDefault="00D642EB" w:rsidP="0083214A">
            <w:pPr>
              <w:rPr>
                <w:noProof/>
              </w:rPr>
            </w:pPr>
            <w:r w:rsidRPr="00081B65">
              <w:rPr>
                <w:noProof/>
              </w:rPr>
              <w:t>Total</w:t>
            </w:r>
          </w:p>
        </w:tc>
      </w:tr>
      <w:tr w:rsidR="00D642EB" w:rsidRPr="00081B65" w14:paraId="5565E29E"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729AB007" w14:textId="77777777" w:rsidR="00D642EB" w:rsidRPr="00081B65" w:rsidRDefault="00D642EB" w:rsidP="0083214A">
            <w:pPr>
              <w:rPr>
                <w:noProof/>
              </w:rPr>
            </w:pPr>
            <w:r w:rsidRPr="00081B65">
              <w:rPr>
                <w:noProof/>
              </w:rPr>
              <w:t>Financial programming</w:t>
            </w:r>
          </w:p>
        </w:tc>
        <w:tc>
          <w:tcPr>
            <w:tcW w:w="943" w:type="dxa"/>
            <w:noWrap/>
            <w:hideMark/>
          </w:tcPr>
          <w:p w14:paraId="335FF0FC" w14:textId="77777777" w:rsidR="00D642EB" w:rsidRPr="00081B65" w:rsidRDefault="00D642EB" w:rsidP="0083214A">
            <w:pPr>
              <w:jc w:val="center"/>
              <w:rPr>
                <w:noProof/>
              </w:rPr>
            </w:pPr>
            <w:r w:rsidRPr="00081B65">
              <w:rPr>
                <w:noProof/>
              </w:rPr>
              <w:t>106.7</w:t>
            </w:r>
          </w:p>
        </w:tc>
        <w:tc>
          <w:tcPr>
            <w:tcW w:w="944" w:type="dxa"/>
            <w:noWrap/>
            <w:hideMark/>
          </w:tcPr>
          <w:p w14:paraId="02ACB184" w14:textId="77777777" w:rsidR="00D642EB" w:rsidRPr="00081B65" w:rsidRDefault="00D642EB" w:rsidP="0083214A">
            <w:pPr>
              <w:jc w:val="center"/>
              <w:rPr>
                <w:noProof/>
              </w:rPr>
            </w:pPr>
            <w:r w:rsidRPr="00081B65">
              <w:rPr>
                <w:noProof/>
              </w:rPr>
              <w:t>107.6</w:t>
            </w:r>
          </w:p>
        </w:tc>
        <w:tc>
          <w:tcPr>
            <w:tcW w:w="943" w:type="dxa"/>
            <w:noWrap/>
            <w:hideMark/>
          </w:tcPr>
          <w:p w14:paraId="3622D0BF" w14:textId="77777777" w:rsidR="00D642EB" w:rsidRPr="00081B65" w:rsidRDefault="00D642EB" w:rsidP="0083214A">
            <w:pPr>
              <w:jc w:val="center"/>
              <w:rPr>
                <w:noProof/>
              </w:rPr>
            </w:pPr>
            <w:r w:rsidRPr="00081B65">
              <w:rPr>
                <w:noProof/>
              </w:rPr>
              <w:t>108.5</w:t>
            </w:r>
          </w:p>
        </w:tc>
        <w:tc>
          <w:tcPr>
            <w:tcW w:w="944" w:type="dxa"/>
            <w:noWrap/>
            <w:hideMark/>
          </w:tcPr>
          <w:p w14:paraId="70AF0747" w14:textId="77777777" w:rsidR="00D642EB" w:rsidRPr="00081B65" w:rsidRDefault="00D642EB" w:rsidP="0083214A">
            <w:pPr>
              <w:jc w:val="center"/>
              <w:rPr>
                <w:noProof/>
              </w:rPr>
            </w:pPr>
            <w:r w:rsidRPr="00081B65">
              <w:rPr>
                <w:noProof/>
              </w:rPr>
              <w:t>109.5</w:t>
            </w:r>
          </w:p>
        </w:tc>
        <w:tc>
          <w:tcPr>
            <w:tcW w:w="944" w:type="dxa"/>
            <w:noWrap/>
            <w:hideMark/>
          </w:tcPr>
          <w:p w14:paraId="05B7221D" w14:textId="77777777" w:rsidR="00D642EB" w:rsidRPr="00081B65" w:rsidRDefault="00D642EB" w:rsidP="0083214A">
            <w:pPr>
              <w:jc w:val="center"/>
              <w:rPr>
                <w:noProof/>
              </w:rPr>
            </w:pPr>
            <w:r w:rsidRPr="00081B65">
              <w:rPr>
                <w:noProof/>
              </w:rPr>
              <w:t>110.4</w:t>
            </w:r>
          </w:p>
        </w:tc>
        <w:tc>
          <w:tcPr>
            <w:tcW w:w="943" w:type="dxa"/>
            <w:noWrap/>
            <w:hideMark/>
          </w:tcPr>
          <w:p w14:paraId="5DA454A0" w14:textId="77777777" w:rsidR="00D642EB" w:rsidRPr="00081B65" w:rsidRDefault="00D642EB" w:rsidP="0083214A">
            <w:pPr>
              <w:jc w:val="center"/>
              <w:rPr>
                <w:noProof/>
              </w:rPr>
            </w:pPr>
            <w:r w:rsidRPr="00081B65">
              <w:rPr>
                <w:noProof/>
              </w:rPr>
              <w:t>111.4</w:t>
            </w:r>
          </w:p>
        </w:tc>
        <w:tc>
          <w:tcPr>
            <w:tcW w:w="944" w:type="dxa"/>
            <w:noWrap/>
            <w:hideMark/>
          </w:tcPr>
          <w:p w14:paraId="044F70C5" w14:textId="77777777" w:rsidR="00D642EB" w:rsidRPr="00081B65" w:rsidRDefault="00D642EB" w:rsidP="0083214A">
            <w:pPr>
              <w:jc w:val="center"/>
              <w:rPr>
                <w:noProof/>
              </w:rPr>
            </w:pPr>
            <w:r w:rsidRPr="00081B65">
              <w:rPr>
                <w:noProof/>
              </w:rPr>
              <w:t>112.2</w:t>
            </w:r>
          </w:p>
        </w:tc>
        <w:tc>
          <w:tcPr>
            <w:tcW w:w="944" w:type="dxa"/>
            <w:noWrap/>
            <w:hideMark/>
          </w:tcPr>
          <w:p w14:paraId="76A5E598" w14:textId="77777777" w:rsidR="00D642EB" w:rsidRPr="00081B65" w:rsidRDefault="00D642EB" w:rsidP="0083214A">
            <w:pPr>
              <w:jc w:val="center"/>
              <w:rPr>
                <w:noProof/>
              </w:rPr>
            </w:pPr>
            <w:r w:rsidRPr="00081B65">
              <w:rPr>
                <w:noProof/>
              </w:rPr>
              <w:t>766.3</w:t>
            </w:r>
          </w:p>
        </w:tc>
      </w:tr>
      <w:tr w:rsidR="00D642EB" w:rsidRPr="00081B65" w14:paraId="53069D59"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40B39E8A" w14:textId="77777777" w:rsidR="00D642EB" w:rsidRPr="00081B65" w:rsidRDefault="00D642EB" w:rsidP="0083214A">
            <w:pPr>
              <w:rPr>
                <w:noProof/>
              </w:rPr>
            </w:pPr>
            <w:r w:rsidRPr="00081B65">
              <w:rPr>
                <w:noProof/>
              </w:rPr>
              <w:t>NextGenerationEU</w:t>
            </w:r>
          </w:p>
        </w:tc>
        <w:tc>
          <w:tcPr>
            <w:tcW w:w="943" w:type="dxa"/>
            <w:noWrap/>
            <w:hideMark/>
          </w:tcPr>
          <w:p w14:paraId="45D5F77D" w14:textId="77777777" w:rsidR="00D642EB" w:rsidRPr="00081B65" w:rsidRDefault="00D642EB" w:rsidP="0083214A">
            <w:pPr>
              <w:jc w:val="center"/>
              <w:rPr>
                <w:noProof/>
              </w:rPr>
            </w:pPr>
          </w:p>
        </w:tc>
        <w:tc>
          <w:tcPr>
            <w:tcW w:w="944" w:type="dxa"/>
            <w:noWrap/>
            <w:hideMark/>
          </w:tcPr>
          <w:p w14:paraId="3C844AB4" w14:textId="77777777" w:rsidR="00D642EB" w:rsidRPr="00081B65" w:rsidRDefault="00D642EB" w:rsidP="0083214A">
            <w:pPr>
              <w:jc w:val="center"/>
              <w:rPr>
                <w:noProof/>
              </w:rPr>
            </w:pPr>
          </w:p>
        </w:tc>
        <w:tc>
          <w:tcPr>
            <w:tcW w:w="943" w:type="dxa"/>
            <w:noWrap/>
            <w:hideMark/>
          </w:tcPr>
          <w:p w14:paraId="3A32C27E" w14:textId="77777777" w:rsidR="00D642EB" w:rsidRPr="00081B65" w:rsidRDefault="00D642EB" w:rsidP="0083214A">
            <w:pPr>
              <w:jc w:val="center"/>
              <w:rPr>
                <w:noProof/>
              </w:rPr>
            </w:pPr>
          </w:p>
        </w:tc>
        <w:tc>
          <w:tcPr>
            <w:tcW w:w="944" w:type="dxa"/>
            <w:noWrap/>
            <w:hideMark/>
          </w:tcPr>
          <w:p w14:paraId="485C3337" w14:textId="77777777" w:rsidR="00D642EB" w:rsidRPr="00081B65" w:rsidRDefault="00D642EB" w:rsidP="0083214A">
            <w:pPr>
              <w:jc w:val="center"/>
              <w:rPr>
                <w:noProof/>
              </w:rPr>
            </w:pPr>
          </w:p>
        </w:tc>
        <w:tc>
          <w:tcPr>
            <w:tcW w:w="944" w:type="dxa"/>
            <w:noWrap/>
            <w:hideMark/>
          </w:tcPr>
          <w:p w14:paraId="14259DD9" w14:textId="77777777" w:rsidR="00D642EB" w:rsidRPr="00081B65" w:rsidRDefault="00D642EB" w:rsidP="0083214A">
            <w:pPr>
              <w:jc w:val="center"/>
              <w:rPr>
                <w:noProof/>
              </w:rPr>
            </w:pPr>
          </w:p>
        </w:tc>
        <w:tc>
          <w:tcPr>
            <w:tcW w:w="943" w:type="dxa"/>
            <w:noWrap/>
            <w:hideMark/>
          </w:tcPr>
          <w:p w14:paraId="022551A5" w14:textId="77777777" w:rsidR="00D642EB" w:rsidRPr="00081B65" w:rsidRDefault="00D642EB" w:rsidP="0083214A">
            <w:pPr>
              <w:jc w:val="center"/>
              <w:rPr>
                <w:noProof/>
              </w:rPr>
            </w:pPr>
          </w:p>
        </w:tc>
        <w:tc>
          <w:tcPr>
            <w:tcW w:w="944" w:type="dxa"/>
            <w:noWrap/>
            <w:hideMark/>
          </w:tcPr>
          <w:p w14:paraId="6CB9E92D" w14:textId="77777777" w:rsidR="00D642EB" w:rsidRPr="00081B65" w:rsidRDefault="00D642EB" w:rsidP="0083214A">
            <w:pPr>
              <w:jc w:val="center"/>
              <w:rPr>
                <w:noProof/>
              </w:rPr>
            </w:pPr>
          </w:p>
        </w:tc>
        <w:tc>
          <w:tcPr>
            <w:tcW w:w="944" w:type="dxa"/>
            <w:noWrap/>
            <w:hideMark/>
          </w:tcPr>
          <w:p w14:paraId="33335312" w14:textId="77777777" w:rsidR="00D642EB" w:rsidRPr="00081B65" w:rsidRDefault="00D642EB" w:rsidP="0083214A">
            <w:pPr>
              <w:jc w:val="center"/>
              <w:rPr>
                <w:noProof/>
              </w:rPr>
            </w:pPr>
          </w:p>
        </w:tc>
      </w:tr>
      <w:tr w:rsidR="00D642EB" w:rsidRPr="00081B65" w14:paraId="1A47B8D2"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3FCF47EF" w14:textId="77777777" w:rsidR="00D642EB" w:rsidRPr="00081B65" w:rsidRDefault="00D642EB" w:rsidP="0083214A">
            <w:pPr>
              <w:rPr>
                <w:noProof/>
              </w:rPr>
            </w:pPr>
            <w:r w:rsidRPr="00081B65">
              <w:rPr>
                <w:noProof/>
              </w:rPr>
              <w:t>Decommitments made available again</w:t>
            </w:r>
            <w:r w:rsidRPr="00081B65">
              <w:rPr>
                <w:rFonts w:ascii="Calibri" w:hAnsi="Calibri" w:cs="Calibri"/>
                <w:noProof/>
              </w:rPr>
              <w:t> (</w:t>
            </w:r>
            <w:r w:rsidRPr="00081B65">
              <w:rPr>
                <w:noProof/>
              </w:rPr>
              <w:t>*)</w:t>
            </w:r>
          </w:p>
        </w:tc>
        <w:tc>
          <w:tcPr>
            <w:tcW w:w="943" w:type="dxa"/>
            <w:noWrap/>
            <w:hideMark/>
          </w:tcPr>
          <w:p w14:paraId="0E07652F" w14:textId="77777777" w:rsidR="00D642EB" w:rsidRPr="00081B65" w:rsidRDefault="00D642EB" w:rsidP="0083214A">
            <w:pPr>
              <w:jc w:val="center"/>
              <w:rPr>
                <w:noProof/>
              </w:rPr>
            </w:pPr>
            <w:r>
              <w:rPr>
                <w:noProof/>
              </w:rPr>
              <w:t>N/A</w:t>
            </w:r>
          </w:p>
        </w:tc>
        <w:tc>
          <w:tcPr>
            <w:tcW w:w="944" w:type="dxa"/>
            <w:noWrap/>
            <w:hideMark/>
          </w:tcPr>
          <w:p w14:paraId="4CC168E2" w14:textId="77777777" w:rsidR="00D642EB" w:rsidRPr="00081B65" w:rsidRDefault="00D642EB" w:rsidP="0083214A">
            <w:pPr>
              <w:jc w:val="center"/>
              <w:rPr>
                <w:noProof/>
              </w:rPr>
            </w:pPr>
          </w:p>
        </w:tc>
        <w:tc>
          <w:tcPr>
            <w:tcW w:w="943" w:type="dxa"/>
            <w:noWrap/>
            <w:hideMark/>
          </w:tcPr>
          <w:p w14:paraId="32E17168" w14:textId="77777777" w:rsidR="00D642EB" w:rsidRPr="00081B65" w:rsidRDefault="00D642EB" w:rsidP="0083214A">
            <w:pPr>
              <w:jc w:val="center"/>
              <w:rPr>
                <w:noProof/>
              </w:rPr>
            </w:pPr>
          </w:p>
        </w:tc>
        <w:tc>
          <w:tcPr>
            <w:tcW w:w="944" w:type="dxa"/>
            <w:noWrap/>
            <w:hideMark/>
          </w:tcPr>
          <w:p w14:paraId="0DC86B51" w14:textId="77777777" w:rsidR="00D642EB" w:rsidRPr="00081B65" w:rsidRDefault="00D642EB" w:rsidP="0083214A">
            <w:pPr>
              <w:jc w:val="center"/>
              <w:rPr>
                <w:noProof/>
              </w:rPr>
            </w:pPr>
          </w:p>
        </w:tc>
        <w:tc>
          <w:tcPr>
            <w:tcW w:w="944" w:type="dxa"/>
            <w:noWrap/>
            <w:hideMark/>
          </w:tcPr>
          <w:p w14:paraId="5CC9AF4E" w14:textId="77777777" w:rsidR="00D642EB" w:rsidRPr="00081B65" w:rsidRDefault="00D642EB" w:rsidP="0083214A">
            <w:pPr>
              <w:jc w:val="center"/>
              <w:rPr>
                <w:noProof/>
              </w:rPr>
            </w:pPr>
          </w:p>
        </w:tc>
        <w:tc>
          <w:tcPr>
            <w:tcW w:w="943" w:type="dxa"/>
            <w:noWrap/>
            <w:hideMark/>
          </w:tcPr>
          <w:p w14:paraId="40573BF9" w14:textId="77777777" w:rsidR="00D642EB" w:rsidRPr="00081B65" w:rsidRDefault="00D642EB" w:rsidP="0083214A">
            <w:pPr>
              <w:jc w:val="center"/>
              <w:rPr>
                <w:noProof/>
              </w:rPr>
            </w:pPr>
          </w:p>
        </w:tc>
        <w:tc>
          <w:tcPr>
            <w:tcW w:w="944" w:type="dxa"/>
            <w:noWrap/>
            <w:hideMark/>
          </w:tcPr>
          <w:p w14:paraId="6DA483DD" w14:textId="77777777" w:rsidR="00D642EB" w:rsidRPr="00081B65" w:rsidRDefault="00D642EB" w:rsidP="0083214A">
            <w:pPr>
              <w:jc w:val="center"/>
              <w:rPr>
                <w:noProof/>
              </w:rPr>
            </w:pPr>
          </w:p>
        </w:tc>
        <w:tc>
          <w:tcPr>
            <w:tcW w:w="944" w:type="dxa"/>
            <w:noWrap/>
            <w:hideMark/>
          </w:tcPr>
          <w:p w14:paraId="5B63AF44" w14:textId="77777777" w:rsidR="00D642EB" w:rsidRPr="00081B65" w:rsidRDefault="00D642EB" w:rsidP="0083214A">
            <w:pPr>
              <w:jc w:val="center"/>
              <w:rPr>
                <w:noProof/>
              </w:rPr>
            </w:pPr>
            <w:r>
              <w:rPr>
                <w:noProof/>
              </w:rPr>
              <w:t>N/A</w:t>
            </w:r>
          </w:p>
        </w:tc>
      </w:tr>
      <w:tr w:rsidR="00D642EB" w:rsidRPr="00081B65" w14:paraId="43186815"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4C8A0018" w14:textId="77777777" w:rsidR="00D642EB" w:rsidRPr="00081B65" w:rsidRDefault="00D642EB" w:rsidP="0083214A">
            <w:pPr>
              <w:rPr>
                <w:noProof/>
              </w:rPr>
            </w:pPr>
            <w:r w:rsidRPr="00081B65">
              <w:rPr>
                <w:noProof/>
              </w:rPr>
              <w:t>Contributions from other countries and entities</w:t>
            </w:r>
          </w:p>
        </w:tc>
        <w:tc>
          <w:tcPr>
            <w:tcW w:w="943" w:type="dxa"/>
            <w:noWrap/>
            <w:hideMark/>
          </w:tcPr>
          <w:p w14:paraId="65326E36" w14:textId="77777777" w:rsidR="00D642EB" w:rsidRPr="00081B65" w:rsidRDefault="00D642EB" w:rsidP="0083214A">
            <w:pPr>
              <w:jc w:val="center"/>
              <w:rPr>
                <w:noProof/>
              </w:rPr>
            </w:pPr>
          </w:p>
        </w:tc>
        <w:tc>
          <w:tcPr>
            <w:tcW w:w="944" w:type="dxa"/>
            <w:noWrap/>
            <w:hideMark/>
          </w:tcPr>
          <w:p w14:paraId="5ABAF11F" w14:textId="77777777" w:rsidR="00D642EB" w:rsidRPr="00081B65" w:rsidRDefault="00D642EB" w:rsidP="0083214A">
            <w:pPr>
              <w:jc w:val="center"/>
              <w:rPr>
                <w:noProof/>
              </w:rPr>
            </w:pPr>
          </w:p>
        </w:tc>
        <w:tc>
          <w:tcPr>
            <w:tcW w:w="943" w:type="dxa"/>
            <w:noWrap/>
            <w:hideMark/>
          </w:tcPr>
          <w:p w14:paraId="50C1147E" w14:textId="77777777" w:rsidR="00D642EB" w:rsidRPr="00081B65" w:rsidRDefault="00D642EB" w:rsidP="0083214A">
            <w:pPr>
              <w:jc w:val="center"/>
              <w:rPr>
                <w:noProof/>
              </w:rPr>
            </w:pPr>
          </w:p>
        </w:tc>
        <w:tc>
          <w:tcPr>
            <w:tcW w:w="944" w:type="dxa"/>
            <w:noWrap/>
            <w:hideMark/>
          </w:tcPr>
          <w:p w14:paraId="1A3C04A3" w14:textId="77777777" w:rsidR="00D642EB" w:rsidRPr="00081B65" w:rsidRDefault="00D642EB" w:rsidP="0083214A">
            <w:pPr>
              <w:jc w:val="center"/>
              <w:rPr>
                <w:noProof/>
              </w:rPr>
            </w:pPr>
          </w:p>
        </w:tc>
        <w:tc>
          <w:tcPr>
            <w:tcW w:w="944" w:type="dxa"/>
            <w:noWrap/>
            <w:hideMark/>
          </w:tcPr>
          <w:p w14:paraId="0B8A930C" w14:textId="77777777" w:rsidR="00D642EB" w:rsidRPr="00081B65" w:rsidRDefault="00D642EB" w:rsidP="0083214A">
            <w:pPr>
              <w:jc w:val="center"/>
              <w:rPr>
                <w:noProof/>
              </w:rPr>
            </w:pPr>
          </w:p>
        </w:tc>
        <w:tc>
          <w:tcPr>
            <w:tcW w:w="943" w:type="dxa"/>
            <w:noWrap/>
            <w:hideMark/>
          </w:tcPr>
          <w:p w14:paraId="5E37DED1" w14:textId="77777777" w:rsidR="00D642EB" w:rsidRPr="00081B65" w:rsidRDefault="00D642EB" w:rsidP="0083214A">
            <w:pPr>
              <w:jc w:val="center"/>
              <w:rPr>
                <w:noProof/>
              </w:rPr>
            </w:pPr>
          </w:p>
        </w:tc>
        <w:tc>
          <w:tcPr>
            <w:tcW w:w="944" w:type="dxa"/>
            <w:noWrap/>
            <w:hideMark/>
          </w:tcPr>
          <w:p w14:paraId="206BDF41" w14:textId="77777777" w:rsidR="00D642EB" w:rsidRPr="00081B65" w:rsidRDefault="00D642EB" w:rsidP="0083214A">
            <w:pPr>
              <w:jc w:val="center"/>
              <w:rPr>
                <w:noProof/>
              </w:rPr>
            </w:pPr>
          </w:p>
        </w:tc>
        <w:tc>
          <w:tcPr>
            <w:tcW w:w="944" w:type="dxa"/>
            <w:noWrap/>
            <w:hideMark/>
          </w:tcPr>
          <w:p w14:paraId="65608698" w14:textId="77777777" w:rsidR="00D642EB" w:rsidRPr="00081B65" w:rsidRDefault="00D642EB" w:rsidP="0083214A">
            <w:pPr>
              <w:jc w:val="center"/>
              <w:rPr>
                <w:noProof/>
              </w:rPr>
            </w:pPr>
          </w:p>
        </w:tc>
      </w:tr>
    </w:tbl>
    <w:p w14:paraId="1A5DD8EE" w14:textId="77777777" w:rsidR="00D642EB" w:rsidRPr="00081B65" w:rsidRDefault="00D642EB" w:rsidP="00D642EB">
      <w:pPr>
        <w:tabs>
          <w:tab w:val="left" w:pos="6793"/>
        </w:tabs>
        <w:rPr>
          <w:noProof/>
          <w:sz w:val="18"/>
          <w:szCs w:val="18"/>
        </w:rPr>
      </w:pPr>
      <w:r w:rsidRPr="00081B65">
        <w:rPr>
          <w:noProof/>
          <w:sz w:val="18"/>
          <w:szCs w:val="18"/>
        </w:rPr>
        <w:t>(*) Only Article</w:t>
      </w:r>
      <w:r w:rsidRPr="00081B65">
        <w:rPr>
          <w:rFonts w:ascii="Calibri" w:hAnsi="Calibri" w:cs="Calibri"/>
          <w:noProof/>
          <w:sz w:val="18"/>
          <w:szCs w:val="18"/>
        </w:rPr>
        <w:t> </w:t>
      </w:r>
      <w:r w:rsidRPr="00081B65">
        <w:rPr>
          <w:noProof/>
          <w:sz w:val="18"/>
          <w:szCs w:val="18"/>
        </w:rPr>
        <w:t>15(3) of the financial regulation.</w:t>
      </w:r>
    </w:p>
    <w:p w14:paraId="1D57DA23" w14:textId="77777777" w:rsidR="00D642EB" w:rsidRPr="00081B65" w:rsidRDefault="00D642EB" w:rsidP="00D642EB">
      <w:pPr>
        <w:pStyle w:val="ppoTableTabletitle"/>
        <w:rPr>
          <w:b/>
          <w:noProof/>
        </w:rPr>
      </w:pPr>
      <w:r w:rsidRPr="00081B65">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D642EB" w:rsidRPr="00081B65" w14:paraId="3847E6F4" w14:textId="77777777" w:rsidTr="0083214A">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4E58229E" w14:textId="77777777" w:rsidR="00D642EB" w:rsidRPr="00081B65" w:rsidRDefault="00D642EB" w:rsidP="0083214A">
            <w:pPr>
              <w:rPr>
                <w:noProof/>
              </w:rPr>
            </w:pPr>
          </w:p>
        </w:tc>
        <w:tc>
          <w:tcPr>
            <w:tcW w:w="2410" w:type="dxa"/>
          </w:tcPr>
          <w:p w14:paraId="2634E031" w14:textId="77777777" w:rsidR="00D642EB" w:rsidRPr="00081B65" w:rsidRDefault="00D642EB" w:rsidP="0083214A">
            <w:pPr>
              <w:cnfStyle w:val="100000000000" w:firstRow="1" w:lastRow="0" w:firstColumn="0" w:lastColumn="0" w:oddVBand="0" w:evenVBand="0" w:oddHBand="0" w:evenHBand="0" w:firstRowFirstColumn="0" w:firstRowLastColumn="0" w:lastRowFirstColumn="0" w:lastRowLastColumn="0"/>
              <w:rPr>
                <w:noProof/>
              </w:rPr>
            </w:pPr>
            <w:r w:rsidRPr="00081B65">
              <w:rPr>
                <w:noProof/>
              </w:rPr>
              <w:t>Implementation</w:t>
            </w:r>
          </w:p>
        </w:tc>
        <w:tc>
          <w:tcPr>
            <w:tcW w:w="2410" w:type="dxa"/>
          </w:tcPr>
          <w:p w14:paraId="558974A4" w14:textId="21FCCA1B" w:rsidR="00D642EB" w:rsidRPr="00081B65" w:rsidRDefault="003821C6" w:rsidP="0083214A">
            <w:pPr>
              <w:cnfStyle w:val="100000000000" w:firstRow="1" w:lastRow="0" w:firstColumn="0" w:lastColumn="0" w:oddVBand="0" w:evenVBand="0" w:oddHBand="0" w:evenHBand="0" w:firstRowFirstColumn="0" w:firstRowLastColumn="0" w:lastRowFirstColumn="0" w:lastRowLastColumn="0"/>
              <w:rPr>
                <w:noProof/>
              </w:rPr>
            </w:pPr>
            <w:r>
              <w:rPr>
                <w:noProof/>
              </w:rPr>
              <w:t xml:space="preserve">2021-2027 </w:t>
            </w:r>
            <w:r w:rsidR="00D642EB" w:rsidRPr="00081B65">
              <w:rPr>
                <w:noProof/>
              </w:rPr>
              <w:t>Budget</w:t>
            </w:r>
          </w:p>
        </w:tc>
        <w:tc>
          <w:tcPr>
            <w:tcW w:w="2410" w:type="dxa"/>
          </w:tcPr>
          <w:p w14:paraId="154CA44D" w14:textId="77777777" w:rsidR="00D642EB" w:rsidRPr="00081B65" w:rsidRDefault="00D642EB" w:rsidP="0083214A">
            <w:pPr>
              <w:cnfStyle w:val="100000000000" w:firstRow="1" w:lastRow="0" w:firstColumn="0" w:lastColumn="0" w:oddVBand="0" w:evenVBand="0" w:oddHBand="0" w:evenHBand="0" w:firstRowFirstColumn="0" w:firstRowLastColumn="0" w:lastRowFirstColumn="0" w:lastRowLastColumn="0"/>
              <w:rPr>
                <w:noProof/>
              </w:rPr>
            </w:pPr>
            <w:r w:rsidRPr="00081B65">
              <w:rPr>
                <w:noProof/>
              </w:rPr>
              <w:t>Implementation rate</w:t>
            </w:r>
          </w:p>
        </w:tc>
      </w:tr>
      <w:tr w:rsidR="00D642EB" w:rsidRPr="00081B65" w14:paraId="4E894E32" w14:textId="77777777" w:rsidTr="0083214A">
        <w:trPr>
          <w:trHeight w:val="433"/>
        </w:trPr>
        <w:tc>
          <w:tcPr>
            <w:cnfStyle w:val="001000000000" w:firstRow="0" w:lastRow="0" w:firstColumn="1" w:lastColumn="0" w:oddVBand="0" w:evenVBand="0" w:oddHBand="0" w:evenHBand="0" w:firstRowFirstColumn="0" w:firstRowLastColumn="0" w:lastRowFirstColumn="0" w:lastRowLastColumn="0"/>
            <w:tcW w:w="2409" w:type="dxa"/>
          </w:tcPr>
          <w:p w14:paraId="3973F555" w14:textId="77777777" w:rsidR="00D642EB" w:rsidRPr="00081B65" w:rsidRDefault="00D642EB" w:rsidP="0083214A">
            <w:pPr>
              <w:jc w:val="center"/>
              <w:rPr>
                <w:noProof/>
              </w:rPr>
            </w:pPr>
            <w:r w:rsidRPr="00081B65">
              <w:rPr>
                <w:noProof/>
              </w:rPr>
              <w:t>Commitments</w:t>
            </w:r>
          </w:p>
        </w:tc>
        <w:tc>
          <w:tcPr>
            <w:tcW w:w="2410" w:type="dxa"/>
          </w:tcPr>
          <w:tbl>
            <w:tblPr>
              <w:tblStyle w:val="TableGrid"/>
              <w:tblW w:w="0" w:type="auto"/>
              <w:tblLook w:val="06A0" w:firstRow="1" w:lastRow="0" w:firstColumn="1" w:lastColumn="0" w:noHBand="1" w:noVBand="1"/>
            </w:tblPr>
            <w:tblGrid>
              <w:gridCol w:w="2194"/>
            </w:tblGrid>
            <w:tr w:rsidR="00D642EB" w:rsidRPr="00081B65" w14:paraId="6F78529E" w14:textId="77777777" w:rsidTr="0083214A">
              <w:trPr>
                <w:trHeight w:val="285"/>
              </w:trPr>
              <w:tc>
                <w:tcPr>
                  <w:tcW w:w="2290" w:type="dxa"/>
                  <w:tcBorders>
                    <w:top w:val="nil"/>
                    <w:left w:val="nil"/>
                    <w:bottom w:val="nil"/>
                    <w:right w:val="nil"/>
                  </w:tcBorders>
                  <w:vAlign w:val="bottom"/>
                </w:tcPr>
                <w:tbl>
                  <w:tblPr>
                    <w:tblStyle w:val="TableGrid"/>
                    <w:tblW w:w="0" w:type="auto"/>
                    <w:tblLook w:val="06A0" w:firstRow="1" w:lastRow="0" w:firstColumn="1" w:lastColumn="0" w:noHBand="1" w:noVBand="1"/>
                  </w:tblPr>
                  <w:tblGrid>
                    <w:gridCol w:w="1978"/>
                  </w:tblGrid>
                  <w:tr w:rsidR="00D642EB" w:rsidRPr="00081B65" w14:paraId="438D150A" w14:textId="77777777" w:rsidTr="0083214A">
                    <w:trPr>
                      <w:trHeight w:val="285"/>
                    </w:trPr>
                    <w:tc>
                      <w:tcPr>
                        <w:tcW w:w="2170" w:type="dxa"/>
                        <w:tcBorders>
                          <w:top w:val="nil"/>
                          <w:left w:val="nil"/>
                          <w:bottom w:val="nil"/>
                          <w:right w:val="nil"/>
                        </w:tcBorders>
                        <w:vAlign w:val="bottom"/>
                      </w:tcPr>
                      <w:p w14:paraId="30979DCA" w14:textId="77777777" w:rsidR="00D642EB" w:rsidRPr="00081B65" w:rsidRDefault="00D642EB" w:rsidP="0083214A">
                        <w:pPr>
                          <w:ind w:right="-50"/>
                          <w:jc w:val="right"/>
                          <w:rPr>
                            <w:rFonts w:ascii="Calibri" w:hAnsi="Calibri" w:cs="Calibri"/>
                            <w:noProof/>
                            <w:color w:val="000000"/>
                          </w:rPr>
                        </w:pPr>
                        <w:r w:rsidRPr="00081B65">
                          <w:rPr>
                            <w:rFonts w:ascii="Calibri" w:hAnsi="Calibri" w:cs="Calibri"/>
                            <w:noProof/>
                            <w:color w:val="000000"/>
                          </w:rPr>
                          <w:t>106.7</w:t>
                        </w:r>
                      </w:p>
                    </w:tc>
                  </w:tr>
                </w:tbl>
                <w:p w14:paraId="166D057D" w14:textId="77777777" w:rsidR="00D642EB" w:rsidRPr="00081B65" w:rsidRDefault="00D642EB" w:rsidP="0083214A">
                  <w:pPr>
                    <w:jc w:val="right"/>
                    <w:rPr>
                      <w:rFonts w:ascii="Calibri" w:hAnsi="Calibri" w:cs="Calibri"/>
                      <w:noProof/>
                      <w:color w:val="000000"/>
                    </w:rPr>
                  </w:pPr>
                </w:p>
              </w:tc>
            </w:tr>
          </w:tbl>
          <w:p w14:paraId="760658CD" w14:textId="77777777" w:rsidR="00D642EB" w:rsidRPr="00081B65" w:rsidRDefault="00D642EB" w:rsidP="0083214A">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noProof/>
                <w:color w:val="000000"/>
              </w:rPr>
            </w:pPr>
          </w:p>
        </w:tc>
        <w:tc>
          <w:tcPr>
            <w:tcW w:w="2410" w:type="dxa"/>
          </w:tcPr>
          <w:tbl>
            <w:tblPr>
              <w:tblStyle w:val="TableGrid"/>
              <w:tblW w:w="0" w:type="auto"/>
              <w:tblLook w:val="06A0" w:firstRow="1" w:lastRow="0" w:firstColumn="1" w:lastColumn="0" w:noHBand="1" w:noVBand="1"/>
            </w:tblPr>
            <w:tblGrid>
              <w:gridCol w:w="2194"/>
            </w:tblGrid>
            <w:tr w:rsidR="00D642EB" w:rsidRPr="00081B65" w14:paraId="7A0F25CC" w14:textId="77777777" w:rsidTr="0083214A">
              <w:trPr>
                <w:trHeight w:val="285"/>
              </w:trPr>
              <w:tc>
                <w:tcPr>
                  <w:tcW w:w="2290" w:type="dxa"/>
                  <w:tcBorders>
                    <w:top w:val="nil"/>
                    <w:left w:val="nil"/>
                    <w:bottom w:val="nil"/>
                    <w:right w:val="nil"/>
                  </w:tcBorders>
                </w:tcPr>
                <w:p w14:paraId="6C89B5C5" w14:textId="77777777" w:rsidR="00D642EB" w:rsidRPr="00081B65" w:rsidRDefault="00D642EB" w:rsidP="0083214A">
                  <w:pPr>
                    <w:jc w:val="right"/>
                    <w:rPr>
                      <w:rFonts w:ascii="Calibri" w:hAnsi="Calibri" w:cs="Calibri"/>
                      <w:noProof/>
                      <w:color w:val="000000"/>
                    </w:rPr>
                  </w:pPr>
                  <w:r w:rsidRPr="00081B65">
                    <w:rPr>
                      <w:rFonts w:ascii="Calibri" w:hAnsi="Calibri" w:cs="Calibri"/>
                      <w:noProof/>
                      <w:color w:val="000000"/>
                    </w:rPr>
                    <w:t>766.3</w:t>
                  </w:r>
                </w:p>
              </w:tc>
            </w:tr>
          </w:tbl>
          <w:p w14:paraId="3229FE38" w14:textId="77777777" w:rsidR="00D642EB" w:rsidRPr="00081B65" w:rsidRDefault="00D642EB" w:rsidP="0083214A">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noProof/>
                <w:color w:val="000000"/>
              </w:rPr>
            </w:pPr>
          </w:p>
        </w:tc>
        <w:tc>
          <w:tcPr>
            <w:tcW w:w="2410" w:type="dxa"/>
          </w:tcPr>
          <w:tbl>
            <w:tblPr>
              <w:tblStyle w:val="TableGrid"/>
              <w:tblW w:w="0" w:type="auto"/>
              <w:tblLook w:val="06A0" w:firstRow="1" w:lastRow="0" w:firstColumn="1" w:lastColumn="0" w:noHBand="1" w:noVBand="1"/>
            </w:tblPr>
            <w:tblGrid>
              <w:gridCol w:w="2194"/>
            </w:tblGrid>
            <w:tr w:rsidR="00D642EB" w:rsidRPr="00081B65" w14:paraId="7B41F5FD" w14:textId="77777777" w:rsidTr="0083214A">
              <w:trPr>
                <w:trHeight w:val="285"/>
              </w:trPr>
              <w:tc>
                <w:tcPr>
                  <w:tcW w:w="2290" w:type="dxa"/>
                  <w:tcBorders>
                    <w:top w:val="nil"/>
                    <w:left w:val="nil"/>
                    <w:bottom w:val="nil"/>
                    <w:right w:val="nil"/>
                  </w:tcBorders>
                  <w:vAlign w:val="bottom"/>
                </w:tcPr>
                <w:p w14:paraId="100A6E9B" w14:textId="77777777" w:rsidR="00D642EB" w:rsidRPr="00081B65" w:rsidRDefault="00D642EB" w:rsidP="0083214A">
                  <w:pPr>
                    <w:jc w:val="right"/>
                    <w:rPr>
                      <w:rFonts w:ascii="Calibri" w:hAnsi="Calibri" w:cs="Calibri"/>
                      <w:noProof/>
                      <w:color w:val="000000"/>
                    </w:rPr>
                  </w:pPr>
                  <w:r w:rsidRPr="00081B65">
                    <w:rPr>
                      <w:rFonts w:ascii="Calibri" w:hAnsi="Calibri" w:cs="Calibri"/>
                      <w:noProof/>
                      <w:color w:val="000000"/>
                    </w:rPr>
                    <w:t>14%</w:t>
                  </w:r>
                </w:p>
              </w:tc>
            </w:tr>
          </w:tbl>
          <w:p w14:paraId="2C86E844" w14:textId="77777777" w:rsidR="00D642EB" w:rsidRPr="00081B65" w:rsidRDefault="00D642EB" w:rsidP="0083214A">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noProof/>
                <w:color w:val="000000"/>
              </w:rPr>
            </w:pPr>
          </w:p>
        </w:tc>
      </w:tr>
      <w:tr w:rsidR="00D642EB" w:rsidRPr="00081B65" w14:paraId="5E3BAE57"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0489B7AC" w14:textId="77777777" w:rsidR="00D642EB" w:rsidRPr="00081B65" w:rsidRDefault="00D642EB" w:rsidP="0083214A">
            <w:pPr>
              <w:jc w:val="center"/>
              <w:rPr>
                <w:noProof/>
              </w:rPr>
            </w:pPr>
            <w:r w:rsidRPr="00081B65">
              <w:rPr>
                <w:noProof/>
              </w:rPr>
              <w:t>Payments</w:t>
            </w:r>
          </w:p>
        </w:tc>
        <w:tc>
          <w:tcPr>
            <w:tcW w:w="2410" w:type="dxa"/>
          </w:tcPr>
          <w:tbl>
            <w:tblPr>
              <w:tblStyle w:val="TableGrid"/>
              <w:tblW w:w="0" w:type="auto"/>
              <w:tblLook w:val="06A0" w:firstRow="1" w:lastRow="0" w:firstColumn="1" w:lastColumn="0" w:noHBand="1" w:noVBand="1"/>
            </w:tblPr>
            <w:tblGrid>
              <w:gridCol w:w="2194"/>
            </w:tblGrid>
            <w:tr w:rsidR="00D642EB" w:rsidRPr="00081B65" w14:paraId="749F448D" w14:textId="77777777" w:rsidTr="0083214A">
              <w:trPr>
                <w:trHeight w:val="285"/>
              </w:trPr>
              <w:tc>
                <w:tcPr>
                  <w:tcW w:w="2290" w:type="dxa"/>
                  <w:tcBorders>
                    <w:top w:val="nil"/>
                    <w:left w:val="nil"/>
                    <w:bottom w:val="nil"/>
                    <w:right w:val="nil"/>
                  </w:tcBorders>
                  <w:vAlign w:val="bottom"/>
                </w:tcPr>
                <w:p w14:paraId="3257FD5A" w14:textId="77777777" w:rsidR="00D642EB" w:rsidRPr="00081B65" w:rsidRDefault="00D642EB" w:rsidP="0083214A">
                  <w:pPr>
                    <w:jc w:val="right"/>
                    <w:rPr>
                      <w:noProof/>
                    </w:rPr>
                  </w:pPr>
                  <w:r w:rsidRPr="00081B65">
                    <w:rPr>
                      <w:rFonts w:ascii="Calibri" w:hAnsi="Calibri" w:cs="Calibri"/>
                      <w:noProof/>
                      <w:color w:val="000000"/>
                    </w:rPr>
                    <w:t>92.1</w:t>
                  </w:r>
                </w:p>
              </w:tc>
            </w:tr>
          </w:tbl>
          <w:p w14:paraId="1D15D3C7" w14:textId="77777777" w:rsidR="00D642EB" w:rsidRPr="00081B65" w:rsidRDefault="00D642EB" w:rsidP="0083214A">
            <w:pPr>
              <w:jc w:val="right"/>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696A4B30" w14:textId="77777777" w:rsidR="00D642EB" w:rsidRPr="00081B65" w:rsidRDefault="00D642EB" w:rsidP="0083214A">
            <w:pPr>
              <w:jc w:val="right"/>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D642EB" w:rsidRPr="00081B65" w14:paraId="20E61429" w14:textId="77777777" w:rsidTr="0083214A">
              <w:trPr>
                <w:trHeight w:val="285"/>
              </w:trPr>
              <w:tc>
                <w:tcPr>
                  <w:tcW w:w="2235" w:type="dxa"/>
                  <w:tcBorders>
                    <w:top w:val="nil"/>
                    <w:left w:val="nil"/>
                    <w:bottom w:val="nil"/>
                    <w:right w:val="nil"/>
                  </w:tcBorders>
                  <w:vAlign w:val="bottom"/>
                </w:tcPr>
                <w:p w14:paraId="2DD35EBC" w14:textId="77777777" w:rsidR="00D642EB" w:rsidRPr="00081B65" w:rsidRDefault="00D642EB" w:rsidP="0083214A">
                  <w:pPr>
                    <w:jc w:val="right"/>
                    <w:rPr>
                      <w:noProof/>
                    </w:rPr>
                  </w:pPr>
                  <w:r w:rsidRPr="00081B65">
                    <w:rPr>
                      <w:rFonts w:ascii="Calibri" w:hAnsi="Calibri" w:cs="Calibri"/>
                      <w:noProof/>
                      <w:color w:val="000000"/>
                    </w:rPr>
                    <w:t>12%</w:t>
                  </w:r>
                </w:p>
              </w:tc>
            </w:tr>
          </w:tbl>
          <w:p w14:paraId="35A035C6" w14:textId="77777777" w:rsidR="00D642EB" w:rsidRPr="00081B65" w:rsidRDefault="00D642EB" w:rsidP="0083214A">
            <w:pPr>
              <w:jc w:val="right"/>
              <w:cnfStyle w:val="000000000000" w:firstRow="0" w:lastRow="0" w:firstColumn="0" w:lastColumn="0" w:oddVBand="0" w:evenVBand="0" w:oddHBand="0" w:evenHBand="0" w:firstRowFirstColumn="0" w:firstRowLastColumn="0" w:lastRowFirstColumn="0" w:lastRowLastColumn="0"/>
              <w:rPr>
                <w:noProof/>
              </w:rPr>
            </w:pPr>
          </w:p>
        </w:tc>
      </w:tr>
    </w:tbl>
    <w:p w14:paraId="329C2F66" w14:textId="77777777" w:rsidR="00D642EB" w:rsidRPr="00081B65" w:rsidRDefault="00D642EB" w:rsidP="00D642EB">
      <w:pPr>
        <w:pStyle w:val="ppoTableTabletitle"/>
        <w:rPr>
          <w:b/>
          <w:noProof/>
        </w:rPr>
      </w:pPr>
      <w:r w:rsidRPr="00081B65">
        <w:rPr>
          <w:noProof/>
        </w:rPr>
        <w:t>Voted budget implementation in 2021 (million EUR):</w:t>
      </w:r>
    </w:p>
    <w:tbl>
      <w:tblPr>
        <w:tblStyle w:val="PPO2021"/>
        <w:tblW w:w="3683" w:type="pct"/>
        <w:tblInd w:w="79" w:type="dxa"/>
        <w:tblLook w:val="04A0" w:firstRow="1" w:lastRow="0" w:firstColumn="1" w:lastColumn="0" w:noHBand="0" w:noVBand="1"/>
      </w:tblPr>
      <w:tblGrid>
        <w:gridCol w:w="2419"/>
        <w:gridCol w:w="2419"/>
        <w:gridCol w:w="2420"/>
      </w:tblGrid>
      <w:tr w:rsidR="00D642EB" w:rsidRPr="00081B65" w14:paraId="6D5871E2" w14:textId="77777777" w:rsidTr="008321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2CD33632" w14:textId="77777777" w:rsidR="00D642EB" w:rsidRPr="00081B65" w:rsidRDefault="00D642EB" w:rsidP="0083214A">
            <w:pPr>
              <w:rPr>
                <w:noProof/>
              </w:rPr>
            </w:pPr>
          </w:p>
        </w:tc>
        <w:tc>
          <w:tcPr>
            <w:tcW w:w="2419" w:type="dxa"/>
          </w:tcPr>
          <w:p w14:paraId="3DD2E359" w14:textId="77777777" w:rsidR="00D642EB" w:rsidRPr="00081B65" w:rsidRDefault="00D642EB" w:rsidP="0083214A">
            <w:pPr>
              <w:cnfStyle w:val="100000000000" w:firstRow="1" w:lastRow="0" w:firstColumn="0" w:lastColumn="0" w:oddVBand="0" w:evenVBand="0" w:oddHBand="0" w:evenHBand="0" w:firstRowFirstColumn="0" w:firstRowLastColumn="0" w:lastRowFirstColumn="0" w:lastRowLastColumn="0"/>
              <w:rPr>
                <w:noProof/>
              </w:rPr>
            </w:pPr>
            <w:r w:rsidRPr="00081B65">
              <w:rPr>
                <w:noProof/>
              </w:rPr>
              <w:t>Voted budget implementation</w:t>
            </w:r>
          </w:p>
        </w:tc>
        <w:tc>
          <w:tcPr>
            <w:tcW w:w="2420" w:type="dxa"/>
          </w:tcPr>
          <w:p w14:paraId="5E68963C" w14:textId="77777777" w:rsidR="00D642EB" w:rsidRPr="00081B65" w:rsidRDefault="00D642EB" w:rsidP="0083214A">
            <w:pPr>
              <w:cnfStyle w:val="100000000000" w:firstRow="1" w:lastRow="0" w:firstColumn="0" w:lastColumn="0" w:oddVBand="0" w:evenVBand="0" w:oddHBand="0" w:evenHBand="0" w:firstRowFirstColumn="0" w:firstRowLastColumn="0" w:lastRowFirstColumn="0" w:lastRowLastColumn="0"/>
              <w:rPr>
                <w:noProof/>
              </w:rPr>
            </w:pPr>
            <w:r w:rsidRPr="00081B65">
              <w:rPr>
                <w:noProof/>
              </w:rPr>
              <w:t>Initial voted budget</w:t>
            </w:r>
          </w:p>
        </w:tc>
      </w:tr>
      <w:tr w:rsidR="00D642EB" w:rsidRPr="00081B65" w14:paraId="6EED41A4" w14:textId="77777777" w:rsidTr="0083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7515CF21" w14:textId="77777777" w:rsidR="00D642EB" w:rsidRPr="00081B65" w:rsidRDefault="00D642EB" w:rsidP="0083214A">
            <w:pPr>
              <w:jc w:val="center"/>
              <w:rPr>
                <w:noProof/>
              </w:rPr>
            </w:pPr>
            <w:r w:rsidRPr="00081B65">
              <w:rPr>
                <w:noProof/>
              </w:rPr>
              <w:t>Commitments</w:t>
            </w:r>
          </w:p>
        </w:tc>
        <w:tc>
          <w:tcPr>
            <w:tcW w:w="2419" w:type="dxa"/>
          </w:tcPr>
          <w:p w14:paraId="60B811B5" w14:textId="77777777" w:rsidR="00D642EB" w:rsidRPr="00081B65" w:rsidRDefault="00D642EB" w:rsidP="0083214A">
            <w:pPr>
              <w:jc w:val="right"/>
              <w:cnfStyle w:val="000000100000" w:firstRow="0" w:lastRow="0" w:firstColumn="0" w:lastColumn="0" w:oddVBand="0" w:evenVBand="0" w:oddHBand="1" w:evenHBand="0" w:firstRowFirstColumn="0" w:firstRowLastColumn="0" w:lastRowFirstColumn="0" w:lastRowLastColumn="0"/>
              <w:rPr>
                <w:noProof/>
              </w:rPr>
            </w:pPr>
            <w:r w:rsidRPr="00081B65">
              <w:rPr>
                <w:noProof/>
              </w:rPr>
              <w:t>106.7</w:t>
            </w:r>
          </w:p>
        </w:tc>
        <w:tc>
          <w:tcPr>
            <w:tcW w:w="2420" w:type="dxa"/>
          </w:tcPr>
          <w:p w14:paraId="108C3C2D" w14:textId="77777777" w:rsidR="00D642EB" w:rsidRPr="00081B65" w:rsidRDefault="00D642EB" w:rsidP="0083214A">
            <w:pPr>
              <w:jc w:val="right"/>
              <w:cnfStyle w:val="000000100000" w:firstRow="0" w:lastRow="0" w:firstColumn="0" w:lastColumn="0" w:oddVBand="0" w:evenVBand="0" w:oddHBand="1" w:evenHBand="0" w:firstRowFirstColumn="0" w:firstRowLastColumn="0" w:lastRowFirstColumn="0" w:lastRowLastColumn="0"/>
              <w:rPr>
                <w:noProof/>
              </w:rPr>
            </w:pPr>
            <w:r w:rsidRPr="00081B65">
              <w:rPr>
                <w:noProof/>
              </w:rPr>
              <w:t>106.7</w:t>
            </w:r>
          </w:p>
        </w:tc>
      </w:tr>
      <w:tr w:rsidR="00D642EB" w:rsidRPr="00081B65" w14:paraId="5014FEAB" w14:textId="77777777" w:rsidTr="00832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1EFC32BB" w14:textId="77777777" w:rsidR="00D642EB" w:rsidRPr="00081B65" w:rsidRDefault="00D642EB" w:rsidP="0083214A">
            <w:pPr>
              <w:jc w:val="center"/>
              <w:rPr>
                <w:noProof/>
              </w:rPr>
            </w:pPr>
            <w:r w:rsidRPr="00081B65">
              <w:rPr>
                <w:noProof/>
              </w:rPr>
              <w:t>Payments</w:t>
            </w:r>
          </w:p>
        </w:tc>
        <w:tc>
          <w:tcPr>
            <w:tcW w:w="2419" w:type="dxa"/>
          </w:tcPr>
          <w:p w14:paraId="4C32F70A" w14:textId="77777777" w:rsidR="00D642EB" w:rsidRPr="00081B65" w:rsidRDefault="00D642EB" w:rsidP="0083214A">
            <w:pPr>
              <w:jc w:val="right"/>
              <w:cnfStyle w:val="000000010000" w:firstRow="0" w:lastRow="0" w:firstColumn="0" w:lastColumn="0" w:oddVBand="0" w:evenVBand="0" w:oddHBand="0" w:evenHBand="1" w:firstRowFirstColumn="0" w:firstRowLastColumn="0" w:lastRowFirstColumn="0" w:lastRowLastColumn="0"/>
              <w:rPr>
                <w:noProof/>
              </w:rPr>
            </w:pPr>
            <w:r w:rsidRPr="00081B65">
              <w:rPr>
                <w:noProof/>
              </w:rPr>
              <w:t>92.1</w:t>
            </w:r>
          </w:p>
        </w:tc>
        <w:tc>
          <w:tcPr>
            <w:tcW w:w="2420" w:type="dxa"/>
          </w:tcPr>
          <w:p w14:paraId="5A3C22EF" w14:textId="77777777" w:rsidR="00D642EB" w:rsidRPr="00081B65" w:rsidRDefault="00D642EB" w:rsidP="0083214A">
            <w:pPr>
              <w:jc w:val="right"/>
              <w:cnfStyle w:val="000000010000" w:firstRow="0" w:lastRow="0" w:firstColumn="0" w:lastColumn="0" w:oddVBand="0" w:evenVBand="0" w:oddHBand="0" w:evenHBand="1" w:firstRowFirstColumn="0" w:firstRowLastColumn="0" w:lastRowFirstColumn="0" w:lastRowLastColumn="0"/>
              <w:rPr>
                <w:noProof/>
              </w:rPr>
            </w:pPr>
            <w:r w:rsidRPr="00081B65">
              <w:rPr>
                <w:noProof/>
              </w:rPr>
              <w:t>92.1</w:t>
            </w:r>
          </w:p>
        </w:tc>
      </w:tr>
    </w:tbl>
    <w:p w14:paraId="507AC9C6" w14:textId="77777777" w:rsidR="00D642EB" w:rsidRPr="00081B65" w:rsidRDefault="00D642EB" w:rsidP="00D642EB">
      <w:pPr>
        <w:pStyle w:val="ppoListHyphened-L1"/>
        <w:rPr>
          <w:noProof/>
        </w:rPr>
      </w:pPr>
      <w:r w:rsidRPr="00081B65">
        <w:rPr>
          <w:noProof/>
        </w:rPr>
        <w:t>Commitment and payment appropriations were used in 2021, with a 100% implementation rate, to finance activities along three activity strands: corporate services, representations and services to citizens.</w:t>
      </w:r>
    </w:p>
    <w:p w14:paraId="119BA11A" w14:textId="77777777" w:rsidR="00D642EB" w:rsidRPr="00081B65" w:rsidRDefault="00D642EB" w:rsidP="00D642EB">
      <w:pPr>
        <w:pStyle w:val="ppoListHyphened-L1"/>
        <w:rPr>
          <w:noProof/>
        </w:rPr>
      </w:pPr>
      <w:r w:rsidRPr="00081B65">
        <w:rPr>
          <w:noProof/>
        </w:rPr>
        <w:t>In 2021, significant budget redeployments (about 10% of DG Communication’s yearly operational budget) were carried out in favour of the Conference on the Future of Europe, for which specific funding had not been provided during the 2021 budget procedure.</w:t>
      </w:r>
    </w:p>
    <w:p w14:paraId="1A8012B4" w14:textId="77777777" w:rsidR="00D642EB" w:rsidRPr="00081B65" w:rsidRDefault="00D642EB" w:rsidP="00D642EB">
      <w:pPr>
        <w:pStyle w:val="ppoListHyphened-L1"/>
        <w:rPr>
          <w:noProof/>
        </w:rPr>
      </w:pPr>
      <w:r w:rsidRPr="00081B65">
        <w:rPr>
          <w:noProof/>
        </w:rPr>
        <w:t>In addition, the external communication actions that were funded focused on highlighting the EU’s response to the crisis by disseminating inspirational ‘recovery stories’ with real examples of EU support across Europe, while in parallel preparing the launch of the most ambitious corporate campaign for NextGenerationEU.</w:t>
      </w:r>
    </w:p>
    <w:p w14:paraId="3E5A35F8" w14:textId="77777777" w:rsidR="00D642EB" w:rsidRPr="00081B65" w:rsidRDefault="00D642EB" w:rsidP="00D642EB">
      <w:pPr>
        <w:pStyle w:val="ppoHeading5"/>
        <w:rPr>
          <w:noProof/>
        </w:rPr>
      </w:pPr>
      <w:r w:rsidRPr="00081B65">
        <w:rPr>
          <w:noProof/>
        </w:rPr>
        <w:t>Contribution to horizontal priorities</w:t>
      </w:r>
    </w:p>
    <w:p w14:paraId="25D535E0" w14:textId="77777777" w:rsidR="00D642EB" w:rsidRPr="00081B65" w:rsidRDefault="00D642EB" w:rsidP="00D642EB">
      <w:pPr>
        <w:pStyle w:val="ppoTableTabletitle"/>
        <w:rPr>
          <w:noProof/>
        </w:rPr>
      </w:pPr>
      <w:r w:rsidRPr="00081B65">
        <w:rPr>
          <w:noProof/>
        </w:rPr>
        <w:t>EU budget contribution in 2021 (million EUR):</w:t>
      </w:r>
    </w:p>
    <w:tbl>
      <w:tblPr>
        <w:tblStyle w:val="PPO2021"/>
        <w:tblW w:w="9639" w:type="dxa"/>
        <w:tblInd w:w="0" w:type="dxa"/>
        <w:tblLook w:val="0420" w:firstRow="1" w:lastRow="0" w:firstColumn="0" w:lastColumn="0" w:noHBand="0" w:noVBand="1"/>
      </w:tblPr>
      <w:tblGrid>
        <w:gridCol w:w="3213"/>
        <w:gridCol w:w="3213"/>
        <w:gridCol w:w="3213"/>
      </w:tblGrid>
      <w:tr w:rsidR="00D642EB" w:rsidRPr="00081B65" w14:paraId="1B44A5A8" w14:textId="77777777" w:rsidTr="0083214A">
        <w:trPr>
          <w:cnfStyle w:val="100000000000" w:firstRow="1" w:lastRow="0" w:firstColumn="0" w:lastColumn="0" w:oddVBand="0" w:evenVBand="0" w:oddHBand="0" w:evenHBand="0" w:firstRowFirstColumn="0" w:firstRowLastColumn="0" w:lastRowFirstColumn="0" w:lastRowLastColumn="0"/>
          <w:tblHeader/>
        </w:trPr>
        <w:tc>
          <w:tcPr>
            <w:tcW w:w="3213" w:type="dxa"/>
          </w:tcPr>
          <w:p w14:paraId="7F80907D" w14:textId="77777777" w:rsidR="00D642EB" w:rsidRPr="00081B65" w:rsidRDefault="00D642EB" w:rsidP="0083214A">
            <w:pPr>
              <w:rPr>
                <w:noProof/>
              </w:rPr>
            </w:pPr>
            <w:r w:rsidRPr="00081B65">
              <w:rPr>
                <w:noProof/>
              </w:rPr>
              <w:t>Climate</w:t>
            </w:r>
          </w:p>
        </w:tc>
        <w:tc>
          <w:tcPr>
            <w:tcW w:w="3213" w:type="dxa"/>
          </w:tcPr>
          <w:p w14:paraId="0233FB82" w14:textId="77777777" w:rsidR="00D642EB" w:rsidRPr="00081B65" w:rsidRDefault="00D642EB" w:rsidP="0083214A">
            <w:pPr>
              <w:rPr>
                <w:noProof/>
              </w:rPr>
            </w:pPr>
            <w:r w:rsidRPr="00081B65">
              <w:rPr>
                <w:noProof/>
              </w:rPr>
              <w:t>Biodiversity</w:t>
            </w:r>
          </w:p>
        </w:tc>
        <w:tc>
          <w:tcPr>
            <w:tcW w:w="3213" w:type="dxa"/>
          </w:tcPr>
          <w:p w14:paraId="1F445384" w14:textId="77777777" w:rsidR="00D642EB" w:rsidRPr="00081B65" w:rsidRDefault="00D642EB" w:rsidP="0083214A">
            <w:pPr>
              <w:rPr>
                <w:noProof/>
              </w:rPr>
            </w:pPr>
            <w:r w:rsidRPr="00081B65">
              <w:rPr>
                <w:noProof/>
              </w:rPr>
              <w:t>Gender equality (*)</w:t>
            </w:r>
          </w:p>
        </w:tc>
      </w:tr>
      <w:tr w:rsidR="00D642EB" w:rsidRPr="00081B65" w14:paraId="23C4C7E9" w14:textId="77777777" w:rsidTr="0083214A">
        <w:trPr>
          <w:cnfStyle w:val="000000100000" w:firstRow="0" w:lastRow="0" w:firstColumn="0" w:lastColumn="0" w:oddVBand="0" w:evenVBand="0" w:oddHBand="1" w:evenHBand="0" w:firstRowFirstColumn="0" w:firstRowLastColumn="0" w:lastRowFirstColumn="0" w:lastRowLastColumn="0"/>
        </w:trPr>
        <w:tc>
          <w:tcPr>
            <w:tcW w:w="3213" w:type="dxa"/>
          </w:tcPr>
          <w:tbl>
            <w:tblPr>
              <w:tblStyle w:val="TableGrid"/>
              <w:tblW w:w="0" w:type="auto"/>
              <w:jc w:val="right"/>
              <w:tblLook w:val="06A0" w:firstRow="1" w:lastRow="0" w:firstColumn="1" w:lastColumn="0" w:noHBand="1" w:noVBand="1"/>
            </w:tblPr>
            <w:tblGrid>
              <w:gridCol w:w="1935"/>
            </w:tblGrid>
            <w:tr w:rsidR="00D642EB" w:rsidRPr="00081B65" w14:paraId="49FB8CD6" w14:textId="77777777" w:rsidTr="0083214A">
              <w:trPr>
                <w:trHeight w:val="285"/>
                <w:jc w:val="right"/>
              </w:trPr>
              <w:tc>
                <w:tcPr>
                  <w:tcW w:w="1935" w:type="dxa"/>
                  <w:tcBorders>
                    <w:top w:val="nil"/>
                    <w:left w:val="nil"/>
                    <w:bottom w:val="nil"/>
                    <w:right w:val="nil"/>
                  </w:tcBorders>
                  <w:vAlign w:val="bottom"/>
                </w:tcPr>
                <w:p w14:paraId="3393D913" w14:textId="6B3D41BC" w:rsidR="00D642EB" w:rsidRPr="00081B65" w:rsidRDefault="00194625" w:rsidP="0083214A">
                  <w:pPr>
                    <w:jc w:val="right"/>
                    <w:rPr>
                      <w:noProof/>
                    </w:rPr>
                  </w:pPr>
                  <w:r>
                    <w:rPr>
                      <w:rFonts w:ascii="Calibri" w:hAnsi="Calibri" w:cs="Calibri"/>
                      <w:noProof/>
                      <w:color w:val="000000"/>
                    </w:rPr>
                    <w:t>2.44</w:t>
                  </w:r>
                </w:p>
              </w:tc>
            </w:tr>
          </w:tbl>
          <w:p w14:paraId="5256CCE6" w14:textId="77777777" w:rsidR="00D642EB" w:rsidRPr="00081B65" w:rsidRDefault="00D642EB" w:rsidP="0083214A">
            <w:pPr>
              <w:jc w:val="center"/>
              <w:rPr>
                <w:noProof/>
              </w:rPr>
            </w:pPr>
          </w:p>
        </w:tc>
        <w:tc>
          <w:tcPr>
            <w:tcW w:w="3213" w:type="dxa"/>
          </w:tcPr>
          <w:p w14:paraId="66FF879E" w14:textId="77777777" w:rsidR="00D642EB" w:rsidRPr="00081B65" w:rsidRDefault="00D642EB" w:rsidP="0083214A">
            <w:pPr>
              <w:jc w:val="center"/>
              <w:rPr>
                <w:noProof/>
              </w:rPr>
            </w:pPr>
            <w:r w:rsidRPr="00081B65">
              <w:rPr>
                <w:noProof/>
              </w:rPr>
              <w:t>0</w:t>
            </w:r>
          </w:p>
        </w:tc>
        <w:tc>
          <w:tcPr>
            <w:tcW w:w="3213" w:type="dxa"/>
          </w:tcPr>
          <w:p w14:paraId="7402A019" w14:textId="77777777" w:rsidR="00D642EB" w:rsidRPr="00081B65" w:rsidRDefault="00D642EB" w:rsidP="0083214A">
            <w:pPr>
              <w:jc w:val="center"/>
              <w:rPr>
                <w:noProof/>
              </w:rPr>
            </w:pPr>
            <w:r w:rsidRPr="00081B65">
              <w:rPr>
                <w:noProof/>
              </w:rPr>
              <w:t>Score 0*: 106.7</w:t>
            </w:r>
          </w:p>
        </w:tc>
      </w:tr>
    </w:tbl>
    <w:p w14:paraId="4F35ED9E" w14:textId="77777777" w:rsidR="00D642EB" w:rsidRPr="00081B65" w:rsidRDefault="00D642EB" w:rsidP="00D642EB">
      <w:pPr>
        <w:pStyle w:val="FootnoteText"/>
        <w:rPr>
          <w:noProof/>
        </w:rPr>
      </w:pPr>
      <w:r w:rsidRPr="00081B65">
        <w:rPr>
          <w:noProof/>
        </w:rPr>
        <w:t>(*)</w:t>
      </w:r>
      <w:r w:rsidRPr="00081B65">
        <w:rPr>
          <w:noProof/>
        </w:rPr>
        <w:tab/>
        <w:t>Based on the applied gender contribution methodology, the following scores are attributed at the most granular level of intervention possible:</w:t>
      </w:r>
    </w:p>
    <w:p w14:paraId="62E9942C" w14:textId="77777777" w:rsidR="00D642EB" w:rsidRPr="00081B65" w:rsidRDefault="00D642EB" w:rsidP="00D642EB">
      <w:pPr>
        <w:pStyle w:val="FootnoteText"/>
        <w:numPr>
          <w:ilvl w:val="0"/>
          <w:numId w:val="38"/>
        </w:numPr>
        <w:spacing w:after="60" w:line="264" w:lineRule="auto"/>
        <w:jc w:val="left"/>
        <w:rPr>
          <w:noProof/>
        </w:rPr>
      </w:pPr>
      <w:r w:rsidRPr="00081B65">
        <w:rPr>
          <w:noProof/>
        </w:rPr>
        <w:t>2: Interventions the principal objective of which is to improve gender equality.</w:t>
      </w:r>
    </w:p>
    <w:p w14:paraId="35E64AA8" w14:textId="77777777" w:rsidR="00D642EB" w:rsidRPr="00081B65" w:rsidRDefault="00D642EB" w:rsidP="00D642EB">
      <w:pPr>
        <w:pStyle w:val="FootnoteText"/>
        <w:numPr>
          <w:ilvl w:val="0"/>
          <w:numId w:val="38"/>
        </w:numPr>
        <w:spacing w:after="60" w:line="264" w:lineRule="auto"/>
        <w:jc w:val="left"/>
        <w:rPr>
          <w:noProof/>
        </w:rPr>
      </w:pPr>
      <w:r w:rsidRPr="00081B65">
        <w:rPr>
          <w:noProof/>
        </w:rPr>
        <w:t>1: Interventions that have gender equality as an important and deliberate objective but not as the main reason for the intervention.</w:t>
      </w:r>
    </w:p>
    <w:p w14:paraId="5ECACD5F" w14:textId="77777777" w:rsidR="00D642EB" w:rsidRPr="00081B65" w:rsidRDefault="00D642EB" w:rsidP="00D642EB">
      <w:pPr>
        <w:pStyle w:val="FootnoteText"/>
        <w:numPr>
          <w:ilvl w:val="0"/>
          <w:numId w:val="38"/>
        </w:numPr>
        <w:spacing w:after="60" w:line="264" w:lineRule="auto"/>
        <w:jc w:val="left"/>
        <w:rPr>
          <w:noProof/>
        </w:rPr>
      </w:pPr>
      <w:r w:rsidRPr="00081B65">
        <w:rPr>
          <w:noProof/>
        </w:rPr>
        <w:t>0: Non-targeted interventions.</w:t>
      </w:r>
    </w:p>
    <w:p w14:paraId="25359426" w14:textId="77777777" w:rsidR="00D642EB" w:rsidRPr="00081B65" w:rsidRDefault="00D642EB" w:rsidP="00D642EB">
      <w:pPr>
        <w:pStyle w:val="FootnoteText"/>
        <w:numPr>
          <w:ilvl w:val="0"/>
          <w:numId w:val="38"/>
        </w:numPr>
        <w:spacing w:after="60" w:line="264" w:lineRule="auto"/>
        <w:jc w:val="left"/>
        <w:rPr>
          <w:noProof/>
        </w:rPr>
      </w:pPr>
      <w:r w:rsidRPr="00081B65">
        <w:rPr>
          <w:noProof/>
        </w:rPr>
        <w:t>0*: Score to be assigned to interventions with likely but not yet clear positive impact on gender equality.</w:t>
      </w:r>
    </w:p>
    <w:p w14:paraId="13813918" w14:textId="77777777" w:rsidR="00D642EB" w:rsidRPr="00081B65" w:rsidRDefault="00D642EB" w:rsidP="00D642EB">
      <w:pPr>
        <w:pStyle w:val="ppoHeading5"/>
        <w:rPr>
          <w:noProof/>
        </w:rPr>
      </w:pPr>
      <w:r w:rsidRPr="00081B65">
        <w:rPr>
          <w:noProof/>
        </w:rPr>
        <w:t>Performance assessment</w:t>
      </w:r>
    </w:p>
    <w:p w14:paraId="5F78058A" w14:textId="77777777" w:rsidR="00D642EB" w:rsidRPr="00081B65" w:rsidRDefault="00D642EB" w:rsidP="00D642EB">
      <w:pPr>
        <w:pStyle w:val="ppoHeading6"/>
        <w:rPr>
          <w:noProof/>
        </w:rPr>
      </w:pPr>
      <w:r w:rsidRPr="00081B65">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D642EB" w:rsidRPr="00081B65" w14:paraId="53B3E20C" w14:textId="77777777" w:rsidTr="0083214A">
        <w:trPr>
          <w:cnfStyle w:val="100000000000" w:firstRow="1" w:lastRow="0" w:firstColumn="0" w:lastColumn="0" w:oddVBand="0" w:evenVBand="0" w:oddHBand="0" w:evenHBand="0" w:firstRowFirstColumn="0" w:firstRowLastColumn="0" w:lastRowFirstColumn="0" w:lastRowLastColumn="0"/>
        </w:trPr>
        <w:tc>
          <w:tcPr>
            <w:tcW w:w="2268" w:type="dxa"/>
          </w:tcPr>
          <w:p w14:paraId="1A796556" w14:textId="77777777" w:rsidR="00D642EB" w:rsidRPr="00081B65" w:rsidRDefault="00D642EB" w:rsidP="0083214A">
            <w:pPr>
              <w:rPr>
                <w:noProof/>
              </w:rPr>
            </w:pPr>
          </w:p>
        </w:tc>
        <w:tc>
          <w:tcPr>
            <w:tcW w:w="931" w:type="dxa"/>
          </w:tcPr>
          <w:p w14:paraId="3E3164CA" w14:textId="77777777" w:rsidR="00D642EB" w:rsidRPr="00081B65" w:rsidRDefault="00D642EB" w:rsidP="0083214A">
            <w:pPr>
              <w:rPr>
                <w:noProof/>
              </w:rPr>
            </w:pPr>
            <w:r w:rsidRPr="00081B65">
              <w:rPr>
                <w:noProof/>
              </w:rPr>
              <w:t>Baseline</w:t>
            </w:r>
          </w:p>
        </w:tc>
        <w:tc>
          <w:tcPr>
            <w:tcW w:w="1485" w:type="dxa"/>
          </w:tcPr>
          <w:p w14:paraId="07F47D57" w14:textId="77777777" w:rsidR="00D642EB" w:rsidRPr="00081B65" w:rsidRDefault="00D642EB" w:rsidP="0083214A">
            <w:pPr>
              <w:rPr>
                <w:noProof/>
              </w:rPr>
            </w:pPr>
            <w:r w:rsidRPr="00081B65">
              <w:rPr>
                <w:noProof/>
              </w:rPr>
              <w:t>Progress</w:t>
            </w:r>
            <w:r>
              <w:rPr>
                <w:noProof/>
              </w:rPr>
              <w:t xml:space="preserve"> (*)</w:t>
            </w:r>
          </w:p>
        </w:tc>
        <w:tc>
          <w:tcPr>
            <w:tcW w:w="1491" w:type="dxa"/>
          </w:tcPr>
          <w:p w14:paraId="497931EB" w14:textId="77777777" w:rsidR="00D642EB" w:rsidRPr="00081B65" w:rsidRDefault="00D642EB" w:rsidP="0083214A">
            <w:pPr>
              <w:rPr>
                <w:noProof/>
              </w:rPr>
            </w:pPr>
            <w:r w:rsidRPr="00081B65">
              <w:rPr>
                <w:noProof/>
              </w:rPr>
              <w:t>Target</w:t>
            </w:r>
          </w:p>
        </w:tc>
        <w:tc>
          <w:tcPr>
            <w:tcW w:w="1530" w:type="dxa"/>
          </w:tcPr>
          <w:p w14:paraId="497CF0DE" w14:textId="77777777" w:rsidR="00D642EB" w:rsidRPr="00081B65" w:rsidRDefault="00D642EB" w:rsidP="0083214A">
            <w:pPr>
              <w:rPr>
                <w:noProof/>
              </w:rPr>
            </w:pPr>
            <w:r w:rsidRPr="00081B65">
              <w:rPr>
                <w:noProof/>
              </w:rPr>
              <w:t>Results</w:t>
            </w:r>
          </w:p>
        </w:tc>
        <w:tc>
          <w:tcPr>
            <w:tcW w:w="1537" w:type="dxa"/>
          </w:tcPr>
          <w:p w14:paraId="59314F16" w14:textId="77777777" w:rsidR="00D642EB" w:rsidRPr="00081B65" w:rsidRDefault="00D642EB" w:rsidP="0083214A">
            <w:pPr>
              <w:rPr>
                <w:noProof/>
              </w:rPr>
            </w:pPr>
            <w:r w:rsidRPr="00081B65">
              <w:rPr>
                <w:noProof/>
              </w:rPr>
              <w:t>Assessment</w:t>
            </w:r>
          </w:p>
        </w:tc>
      </w:tr>
      <w:tr w:rsidR="00D642EB" w:rsidRPr="00081B65" w14:paraId="4FA5A74A" w14:textId="77777777" w:rsidTr="0083214A">
        <w:trPr>
          <w:cnfStyle w:val="000000100000" w:firstRow="0" w:lastRow="0" w:firstColumn="0" w:lastColumn="0" w:oddVBand="0" w:evenVBand="0" w:oddHBand="1" w:evenHBand="0" w:firstRowFirstColumn="0" w:firstRowLastColumn="0" w:lastRowFirstColumn="0" w:lastRowLastColumn="0"/>
        </w:trPr>
        <w:tc>
          <w:tcPr>
            <w:tcW w:w="2268" w:type="dxa"/>
          </w:tcPr>
          <w:p w14:paraId="36F3C525" w14:textId="77777777" w:rsidR="00D642EB" w:rsidRPr="00081B65" w:rsidRDefault="00D642EB" w:rsidP="0083214A">
            <w:pPr>
              <w:rPr>
                <w:noProof/>
              </w:rPr>
            </w:pPr>
            <w:r w:rsidRPr="00081B65">
              <w:rPr>
                <w:noProof/>
              </w:rPr>
              <w:t>Political reporting products provided by the representations covering reactions on EU topics in all Member States</w:t>
            </w:r>
          </w:p>
        </w:tc>
        <w:tc>
          <w:tcPr>
            <w:tcW w:w="931" w:type="dxa"/>
          </w:tcPr>
          <w:p w14:paraId="40DEEDAA" w14:textId="77777777" w:rsidR="00D642EB" w:rsidRPr="00081B65" w:rsidRDefault="00D642EB" w:rsidP="0083214A">
            <w:pPr>
              <w:jc w:val="center"/>
              <w:rPr>
                <w:noProof/>
              </w:rPr>
            </w:pPr>
            <w:r w:rsidRPr="00081B65">
              <w:rPr>
                <w:noProof/>
              </w:rPr>
              <w:t>0</w:t>
            </w:r>
          </w:p>
        </w:tc>
        <w:tc>
          <w:tcPr>
            <w:tcW w:w="1485" w:type="dxa"/>
          </w:tcPr>
          <w:p w14:paraId="435068B3" w14:textId="77777777" w:rsidR="00D642EB" w:rsidRPr="00081B65" w:rsidRDefault="00D642EB" w:rsidP="0083214A">
            <w:pPr>
              <w:jc w:val="center"/>
              <w:rPr>
                <w:b/>
                <w:noProof/>
              </w:rPr>
            </w:pPr>
            <w:r w:rsidRPr="00081B65">
              <w:rPr>
                <w:b/>
                <w:noProof/>
              </w:rPr>
              <w:t>14%</w:t>
            </w:r>
          </w:p>
        </w:tc>
        <w:tc>
          <w:tcPr>
            <w:tcW w:w="1491" w:type="dxa"/>
          </w:tcPr>
          <w:p w14:paraId="7ECD81FA" w14:textId="77777777" w:rsidR="00D642EB" w:rsidRPr="00081B65" w:rsidRDefault="00D642EB" w:rsidP="0083214A">
            <w:pPr>
              <w:jc w:val="center"/>
              <w:rPr>
                <w:noProof/>
              </w:rPr>
            </w:pPr>
            <w:r w:rsidRPr="00081B65">
              <w:rPr>
                <w:noProof/>
              </w:rPr>
              <w:t>1</w:t>
            </w:r>
            <w:r w:rsidRPr="00081B65">
              <w:rPr>
                <w:rFonts w:ascii="Calibri" w:hAnsi="Calibri" w:cs="Calibri"/>
                <w:noProof/>
              </w:rPr>
              <w:t> </w:t>
            </w:r>
            <w:r w:rsidRPr="00081B65">
              <w:rPr>
                <w:noProof/>
              </w:rPr>
              <w:t>200 annually from 2022</w:t>
            </w:r>
          </w:p>
        </w:tc>
        <w:tc>
          <w:tcPr>
            <w:tcW w:w="1530" w:type="dxa"/>
          </w:tcPr>
          <w:p w14:paraId="2D0043B1" w14:textId="77777777" w:rsidR="00D642EB" w:rsidRPr="00081B65" w:rsidRDefault="00D642EB" w:rsidP="0083214A">
            <w:pPr>
              <w:jc w:val="center"/>
              <w:rPr>
                <w:noProof/>
              </w:rPr>
            </w:pPr>
            <w:r w:rsidRPr="00081B65">
              <w:rPr>
                <w:noProof/>
              </w:rPr>
              <w:t>Milestone achieved in 2021. 1</w:t>
            </w:r>
            <w:r w:rsidRPr="00081B65">
              <w:rPr>
                <w:rFonts w:ascii="Calibri" w:hAnsi="Calibri" w:cs="Calibri"/>
                <w:noProof/>
              </w:rPr>
              <w:t> </w:t>
            </w:r>
            <w:r w:rsidRPr="00081B65">
              <w:rPr>
                <w:noProof/>
              </w:rPr>
              <w:t>430 compared to a milestone of 1</w:t>
            </w:r>
            <w:r w:rsidRPr="00081B65">
              <w:rPr>
                <w:rFonts w:ascii="Calibri" w:hAnsi="Calibri" w:cs="Calibri"/>
                <w:noProof/>
              </w:rPr>
              <w:t> </w:t>
            </w:r>
            <w:r w:rsidRPr="00081B65">
              <w:rPr>
                <w:noProof/>
              </w:rPr>
              <w:t>060</w:t>
            </w:r>
          </w:p>
        </w:tc>
        <w:tc>
          <w:tcPr>
            <w:tcW w:w="1537" w:type="dxa"/>
          </w:tcPr>
          <w:p w14:paraId="7E31981E" w14:textId="77777777" w:rsidR="00D642EB" w:rsidRPr="00081B65" w:rsidRDefault="00D642EB" w:rsidP="0083214A">
            <w:pPr>
              <w:jc w:val="center"/>
              <w:rPr>
                <w:noProof/>
              </w:rPr>
            </w:pPr>
            <w:r w:rsidRPr="00081B65">
              <w:rPr>
                <w:noProof/>
              </w:rPr>
              <w:t>On track</w:t>
            </w:r>
          </w:p>
        </w:tc>
      </w:tr>
      <w:tr w:rsidR="00D642EB" w:rsidRPr="00081B65" w14:paraId="626A01F7" w14:textId="77777777" w:rsidTr="0083214A">
        <w:trPr>
          <w:cnfStyle w:val="000000010000" w:firstRow="0" w:lastRow="0" w:firstColumn="0" w:lastColumn="0" w:oddVBand="0" w:evenVBand="0" w:oddHBand="0" w:evenHBand="1" w:firstRowFirstColumn="0" w:firstRowLastColumn="0" w:lastRowFirstColumn="0" w:lastRowLastColumn="0"/>
        </w:trPr>
        <w:tc>
          <w:tcPr>
            <w:tcW w:w="2268" w:type="dxa"/>
          </w:tcPr>
          <w:p w14:paraId="210FAD68" w14:textId="77777777" w:rsidR="00D642EB" w:rsidRPr="00081B65" w:rsidRDefault="00D642EB" w:rsidP="0083214A">
            <w:pPr>
              <w:tabs>
                <w:tab w:val="center" w:pos="1057"/>
              </w:tabs>
              <w:rPr>
                <w:noProof/>
              </w:rPr>
            </w:pPr>
            <w:r w:rsidRPr="00081B65">
              <w:rPr>
                <w:noProof/>
              </w:rPr>
              <w:t>Audiovisual products provided to the College (messages, interviews, statements, clips)</w:t>
            </w:r>
          </w:p>
        </w:tc>
        <w:tc>
          <w:tcPr>
            <w:tcW w:w="931" w:type="dxa"/>
          </w:tcPr>
          <w:p w14:paraId="717C3B5B" w14:textId="77777777" w:rsidR="00D642EB" w:rsidRPr="00081B65" w:rsidRDefault="00D642EB" w:rsidP="0083214A">
            <w:pPr>
              <w:jc w:val="center"/>
              <w:rPr>
                <w:noProof/>
              </w:rPr>
            </w:pPr>
            <w:r w:rsidRPr="00081B65">
              <w:rPr>
                <w:noProof/>
              </w:rPr>
              <w:t>0</w:t>
            </w:r>
          </w:p>
        </w:tc>
        <w:tc>
          <w:tcPr>
            <w:tcW w:w="1485" w:type="dxa"/>
          </w:tcPr>
          <w:p w14:paraId="45FE0453" w14:textId="77777777" w:rsidR="00D642EB" w:rsidRPr="00081B65" w:rsidRDefault="00D642EB" w:rsidP="0083214A">
            <w:pPr>
              <w:jc w:val="center"/>
              <w:rPr>
                <w:b/>
                <w:noProof/>
              </w:rPr>
            </w:pPr>
            <w:r w:rsidRPr="00081B65">
              <w:rPr>
                <w:b/>
                <w:noProof/>
              </w:rPr>
              <w:t>14%</w:t>
            </w:r>
          </w:p>
        </w:tc>
        <w:tc>
          <w:tcPr>
            <w:tcW w:w="1491" w:type="dxa"/>
          </w:tcPr>
          <w:p w14:paraId="3CF8BE24" w14:textId="77777777" w:rsidR="00D642EB" w:rsidRPr="00081B65" w:rsidRDefault="00D642EB" w:rsidP="0083214A">
            <w:pPr>
              <w:jc w:val="center"/>
              <w:rPr>
                <w:noProof/>
              </w:rPr>
            </w:pPr>
            <w:r w:rsidRPr="00081B65">
              <w:rPr>
                <w:noProof/>
              </w:rPr>
              <w:t>1</w:t>
            </w:r>
            <w:r w:rsidRPr="00081B65">
              <w:rPr>
                <w:rFonts w:ascii="Calibri" w:hAnsi="Calibri" w:cs="Calibri"/>
                <w:noProof/>
              </w:rPr>
              <w:t> </w:t>
            </w:r>
            <w:r w:rsidRPr="00081B65">
              <w:rPr>
                <w:noProof/>
              </w:rPr>
              <w:t>000 annually from 2022</w:t>
            </w:r>
          </w:p>
        </w:tc>
        <w:tc>
          <w:tcPr>
            <w:tcW w:w="1530" w:type="dxa"/>
          </w:tcPr>
          <w:p w14:paraId="2DA34AB0" w14:textId="77777777" w:rsidR="00D642EB" w:rsidRPr="00081B65" w:rsidRDefault="00D642EB" w:rsidP="0083214A">
            <w:pPr>
              <w:jc w:val="center"/>
              <w:rPr>
                <w:noProof/>
              </w:rPr>
            </w:pPr>
            <w:r w:rsidRPr="00081B65">
              <w:rPr>
                <w:noProof/>
              </w:rPr>
              <w:t>Milestone achieved in 2021. 1</w:t>
            </w:r>
            <w:r w:rsidRPr="00081B65">
              <w:rPr>
                <w:rFonts w:ascii="Calibri" w:hAnsi="Calibri" w:cs="Calibri"/>
                <w:noProof/>
              </w:rPr>
              <w:t> </w:t>
            </w:r>
            <w:r w:rsidRPr="00081B65">
              <w:rPr>
                <w:noProof/>
              </w:rPr>
              <w:t>925 compared to a milestone of 850</w:t>
            </w:r>
          </w:p>
        </w:tc>
        <w:tc>
          <w:tcPr>
            <w:tcW w:w="1537" w:type="dxa"/>
          </w:tcPr>
          <w:p w14:paraId="6C751315" w14:textId="77777777" w:rsidR="00D642EB" w:rsidRPr="00081B65" w:rsidRDefault="00D642EB" w:rsidP="0083214A">
            <w:pPr>
              <w:jc w:val="center"/>
              <w:rPr>
                <w:noProof/>
              </w:rPr>
            </w:pPr>
            <w:r w:rsidRPr="00081B65">
              <w:rPr>
                <w:noProof/>
              </w:rPr>
              <w:t>On track</w:t>
            </w:r>
          </w:p>
        </w:tc>
      </w:tr>
      <w:tr w:rsidR="00D642EB" w:rsidRPr="00081B65" w14:paraId="20618457" w14:textId="77777777" w:rsidTr="0083214A">
        <w:trPr>
          <w:cnfStyle w:val="000000100000" w:firstRow="0" w:lastRow="0" w:firstColumn="0" w:lastColumn="0" w:oddVBand="0" w:evenVBand="0" w:oddHBand="1" w:evenHBand="0" w:firstRowFirstColumn="0" w:firstRowLastColumn="0" w:lastRowFirstColumn="0" w:lastRowLastColumn="0"/>
        </w:trPr>
        <w:tc>
          <w:tcPr>
            <w:tcW w:w="2268" w:type="dxa"/>
          </w:tcPr>
          <w:p w14:paraId="17DA4BF5" w14:textId="77777777" w:rsidR="00D642EB" w:rsidRPr="00081B65" w:rsidRDefault="00D642EB" w:rsidP="0083214A">
            <w:pPr>
              <w:rPr>
                <w:noProof/>
              </w:rPr>
            </w:pPr>
            <w:r w:rsidRPr="00081B65">
              <w:rPr>
                <w:noProof/>
              </w:rPr>
              <w:t>Target audience able to recall the messages of corporate campaigns</w:t>
            </w:r>
          </w:p>
        </w:tc>
        <w:tc>
          <w:tcPr>
            <w:tcW w:w="931" w:type="dxa"/>
          </w:tcPr>
          <w:p w14:paraId="2CA0A6B5" w14:textId="77777777" w:rsidR="00D642EB" w:rsidRPr="00081B65" w:rsidRDefault="00D642EB" w:rsidP="0083214A">
            <w:pPr>
              <w:jc w:val="center"/>
              <w:rPr>
                <w:noProof/>
              </w:rPr>
            </w:pPr>
            <w:r w:rsidRPr="00081B65">
              <w:rPr>
                <w:noProof/>
              </w:rPr>
              <w:t>0%</w:t>
            </w:r>
          </w:p>
        </w:tc>
        <w:tc>
          <w:tcPr>
            <w:tcW w:w="1485" w:type="dxa"/>
          </w:tcPr>
          <w:p w14:paraId="2A284A24" w14:textId="77777777" w:rsidR="00D642EB" w:rsidRPr="00081B65" w:rsidRDefault="00D642EB" w:rsidP="0083214A">
            <w:pPr>
              <w:jc w:val="center"/>
              <w:rPr>
                <w:b/>
                <w:noProof/>
              </w:rPr>
            </w:pPr>
            <w:r w:rsidRPr="00081B65">
              <w:rPr>
                <w:b/>
                <w:noProof/>
              </w:rPr>
              <w:t>14%</w:t>
            </w:r>
          </w:p>
        </w:tc>
        <w:tc>
          <w:tcPr>
            <w:tcW w:w="1491" w:type="dxa"/>
          </w:tcPr>
          <w:p w14:paraId="66B11F7E" w14:textId="77777777" w:rsidR="00D642EB" w:rsidRPr="00081B65" w:rsidRDefault="00D642EB" w:rsidP="0083214A">
            <w:pPr>
              <w:jc w:val="center"/>
              <w:rPr>
                <w:noProof/>
              </w:rPr>
            </w:pPr>
            <w:r w:rsidRPr="00081B65">
              <w:rPr>
                <w:noProof/>
              </w:rPr>
              <w:t>25% annually from 2024</w:t>
            </w:r>
          </w:p>
        </w:tc>
        <w:tc>
          <w:tcPr>
            <w:tcW w:w="1530" w:type="dxa"/>
          </w:tcPr>
          <w:p w14:paraId="34120B80" w14:textId="77777777" w:rsidR="00D642EB" w:rsidRPr="00081B65" w:rsidRDefault="00D642EB" w:rsidP="0083214A">
            <w:pPr>
              <w:jc w:val="center"/>
              <w:rPr>
                <w:noProof/>
              </w:rPr>
            </w:pPr>
            <w:r w:rsidRPr="00081B65">
              <w:rPr>
                <w:noProof/>
              </w:rPr>
              <w:t>Milestone achieved in 2021. 47% compared to a milestone of 22%</w:t>
            </w:r>
          </w:p>
        </w:tc>
        <w:tc>
          <w:tcPr>
            <w:tcW w:w="1537" w:type="dxa"/>
          </w:tcPr>
          <w:p w14:paraId="33500877" w14:textId="77777777" w:rsidR="00D642EB" w:rsidRPr="00081B65" w:rsidRDefault="00D642EB" w:rsidP="0083214A">
            <w:pPr>
              <w:jc w:val="center"/>
              <w:rPr>
                <w:noProof/>
              </w:rPr>
            </w:pPr>
            <w:r w:rsidRPr="00081B65">
              <w:rPr>
                <w:noProof/>
              </w:rPr>
              <w:t>On track</w:t>
            </w:r>
          </w:p>
        </w:tc>
      </w:tr>
      <w:tr w:rsidR="00D642EB" w:rsidRPr="00081B65" w14:paraId="3D41411B" w14:textId="77777777" w:rsidTr="0083214A">
        <w:trPr>
          <w:cnfStyle w:val="000000010000" w:firstRow="0" w:lastRow="0" w:firstColumn="0" w:lastColumn="0" w:oddVBand="0" w:evenVBand="0" w:oddHBand="0" w:evenHBand="1" w:firstRowFirstColumn="0" w:firstRowLastColumn="0" w:lastRowFirstColumn="0" w:lastRowLastColumn="0"/>
        </w:trPr>
        <w:tc>
          <w:tcPr>
            <w:tcW w:w="2268" w:type="dxa"/>
          </w:tcPr>
          <w:p w14:paraId="581EBF8B" w14:textId="77777777" w:rsidR="00D642EB" w:rsidRPr="00081B65" w:rsidRDefault="00D642EB" w:rsidP="0083214A">
            <w:pPr>
              <w:rPr>
                <w:noProof/>
              </w:rPr>
            </w:pPr>
            <w:r w:rsidRPr="00081B65">
              <w:rPr>
                <w:noProof/>
              </w:rPr>
              <w:t>Users satisfied with the answers received from the Europe Direct Contact Centre</w:t>
            </w:r>
          </w:p>
        </w:tc>
        <w:tc>
          <w:tcPr>
            <w:tcW w:w="931" w:type="dxa"/>
          </w:tcPr>
          <w:p w14:paraId="2EA70B58" w14:textId="77777777" w:rsidR="00D642EB" w:rsidRPr="00081B65" w:rsidRDefault="00D642EB" w:rsidP="0083214A">
            <w:pPr>
              <w:jc w:val="center"/>
              <w:rPr>
                <w:noProof/>
              </w:rPr>
            </w:pPr>
            <w:r w:rsidRPr="00081B65">
              <w:rPr>
                <w:noProof/>
              </w:rPr>
              <w:t>0%</w:t>
            </w:r>
          </w:p>
        </w:tc>
        <w:tc>
          <w:tcPr>
            <w:tcW w:w="1485" w:type="dxa"/>
          </w:tcPr>
          <w:p w14:paraId="596AEC42" w14:textId="77777777" w:rsidR="00D642EB" w:rsidRPr="00081B65" w:rsidRDefault="00D642EB" w:rsidP="0083214A">
            <w:pPr>
              <w:jc w:val="center"/>
              <w:rPr>
                <w:b/>
                <w:noProof/>
              </w:rPr>
            </w:pPr>
            <w:r w:rsidRPr="00081B65">
              <w:rPr>
                <w:b/>
                <w:noProof/>
              </w:rPr>
              <w:t>14%</w:t>
            </w:r>
          </w:p>
        </w:tc>
        <w:tc>
          <w:tcPr>
            <w:tcW w:w="1491" w:type="dxa"/>
          </w:tcPr>
          <w:p w14:paraId="75F69024" w14:textId="77777777" w:rsidR="00D642EB" w:rsidRPr="00081B65" w:rsidRDefault="00D642EB" w:rsidP="0083214A">
            <w:pPr>
              <w:jc w:val="center"/>
              <w:rPr>
                <w:noProof/>
              </w:rPr>
            </w:pPr>
            <w:r w:rsidRPr="00081B65">
              <w:rPr>
                <w:noProof/>
              </w:rPr>
              <w:t>86% annually from 2024</w:t>
            </w:r>
          </w:p>
        </w:tc>
        <w:tc>
          <w:tcPr>
            <w:tcW w:w="1530" w:type="dxa"/>
          </w:tcPr>
          <w:p w14:paraId="0F04B210" w14:textId="77777777" w:rsidR="00D642EB" w:rsidRPr="00081B65" w:rsidRDefault="00D642EB" w:rsidP="0083214A">
            <w:pPr>
              <w:jc w:val="center"/>
              <w:rPr>
                <w:noProof/>
              </w:rPr>
            </w:pPr>
            <w:r w:rsidRPr="00081B65">
              <w:rPr>
                <w:noProof/>
              </w:rPr>
              <w:t>Milestone achieved in 2021. 90% compared to a milestone of 83%</w:t>
            </w:r>
          </w:p>
        </w:tc>
        <w:tc>
          <w:tcPr>
            <w:tcW w:w="1537" w:type="dxa"/>
          </w:tcPr>
          <w:p w14:paraId="422FC264" w14:textId="77777777" w:rsidR="00D642EB" w:rsidRPr="00081B65" w:rsidRDefault="00D642EB" w:rsidP="0083214A">
            <w:pPr>
              <w:jc w:val="center"/>
              <w:rPr>
                <w:noProof/>
              </w:rPr>
            </w:pPr>
            <w:r w:rsidRPr="00081B65">
              <w:rPr>
                <w:noProof/>
              </w:rPr>
              <w:t>On track</w:t>
            </w:r>
          </w:p>
        </w:tc>
      </w:tr>
      <w:tr w:rsidR="00D642EB" w:rsidRPr="00081B65" w14:paraId="113A4065" w14:textId="77777777" w:rsidTr="0083214A">
        <w:trPr>
          <w:cnfStyle w:val="000000100000" w:firstRow="0" w:lastRow="0" w:firstColumn="0" w:lastColumn="0" w:oddVBand="0" w:evenVBand="0" w:oddHBand="1" w:evenHBand="0" w:firstRowFirstColumn="0" w:firstRowLastColumn="0" w:lastRowFirstColumn="0" w:lastRowLastColumn="0"/>
        </w:trPr>
        <w:tc>
          <w:tcPr>
            <w:tcW w:w="2268" w:type="dxa"/>
          </w:tcPr>
          <w:p w14:paraId="0B6B8D4A" w14:textId="77777777" w:rsidR="00D642EB" w:rsidRPr="00081B65" w:rsidRDefault="00D642EB" w:rsidP="0083214A">
            <w:pPr>
              <w:rPr>
                <w:noProof/>
              </w:rPr>
            </w:pPr>
            <w:r w:rsidRPr="00081B65">
              <w:rPr>
                <w:noProof/>
              </w:rPr>
              <w:t>Engagement rate on social media (average view duration (seconds) on YouTube)</w:t>
            </w:r>
          </w:p>
        </w:tc>
        <w:tc>
          <w:tcPr>
            <w:tcW w:w="931" w:type="dxa"/>
          </w:tcPr>
          <w:p w14:paraId="3818199D" w14:textId="77777777" w:rsidR="00D642EB" w:rsidRPr="00081B65" w:rsidRDefault="00D642EB" w:rsidP="0083214A">
            <w:pPr>
              <w:jc w:val="center"/>
              <w:rPr>
                <w:noProof/>
              </w:rPr>
            </w:pPr>
            <w:r w:rsidRPr="00081B65">
              <w:rPr>
                <w:noProof/>
              </w:rPr>
              <w:t>0</w:t>
            </w:r>
          </w:p>
        </w:tc>
        <w:tc>
          <w:tcPr>
            <w:tcW w:w="1485" w:type="dxa"/>
          </w:tcPr>
          <w:p w14:paraId="0F9B6BB0" w14:textId="77777777" w:rsidR="00D642EB" w:rsidRPr="00081B65" w:rsidRDefault="00D642EB" w:rsidP="0083214A">
            <w:pPr>
              <w:jc w:val="center"/>
              <w:rPr>
                <w:b/>
                <w:noProof/>
              </w:rPr>
            </w:pPr>
            <w:r w:rsidRPr="00081B65">
              <w:rPr>
                <w:b/>
                <w:noProof/>
              </w:rPr>
              <w:t>0%</w:t>
            </w:r>
          </w:p>
        </w:tc>
        <w:tc>
          <w:tcPr>
            <w:tcW w:w="1491" w:type="dxa"/>
          </w:tcPr>
          <w:p w14:paraId="587EF5A2" w14:textId="77777777" w:rsidR="00D642EB" w:rsidRPr="00081B65" w:rsidRDefault="00D642EB" w:rsidP="0083214A">
            <w:pPr>
              <w:jc w:val="center"/>
              <w:rPr>
                <w:noProof/>
              </w:rPr>
            </w:pPr>
            <w:r w:rsidRPr="00081B65">
              <w:rPr>
                <w:noProof/>
              </w:rPr>
              <w:t>60 seconds annually</w:t>
            </w:r>
          </w:p>
        </w:tc>
        <w:tc>
          <w:tcPr>
            <w:tcW w:w="1530" w:type="dxa"/>
          </w:tcPr>
          <w:p w14:paraId="19A2389F" w14:textId="77777777" w:rsidR="00D642EB" w:rsidRPr="00081B65" w:rsidRDefault="00D642EB" w:rsidP="0083214A">
            <w:pPr>
              <w:jc w:val="center"/>
              <w:rPr>
                <w:noProof/>
              </w:rPr>
            </w:pPr>
            <w:r w:rsidRPr="00081B65">
              <w:rPr>
                <w:noProof/>
              </w:rPr>
              <w:t>Milestone not achieved in 2021. 36 compared to a milestone of 60</w:t>
            </w:r>
          </w:p>
        </w:tc>
        <w:tc>
          <w:tcPr>
            <w:tcW w:w="1537" w:type="dxa"/>
          </w:tcPr>
          <w:p w14:paraId="7F62ED65" w14:textId="77777777" w:rsidR="00D642EB" w:rsidRPr="00081B65" w:rsidRDefault="00D642EB" w:rsidP="0083214A">
            <w:pPr>
              <w:jc w:val="center"/>
              <w:rPr>
                <w:noProof/>
              </w:rPr>
            </w:pPr>
            <w:r w:rsidRPr="00081B65">
              <w:rPr>
                <w:noProof/>
              </w:rPr>
              <w:t>Moderate progress</w:t>
            </w:r>
          </w:p>
        </w:tc>
      </w:tr>
    </w:tbl>
    <w:p w14:paraId="02C50A2F" w14:textId="77777777" w:rsidR="00D642EB" w:rsidRPr="00081B65" w:rsidRDefault="00D642EB" w:rsidP="00D642EB">
      <w:pPr>
        <w:pStyle w:val="FootnoteText"/>
        <w:spacing w:before="120"/>
        <w:rPr>
          <w:noProof/>
        </w:rPr>
      </w:pPr>
      <w:r>
        <w:rPr>
          <w:noProof/>
        </w:rPr>
        <w:t xml:space="preserve">(*) </w:t>
      </w:r>
      <w:r w:rsidRPr="00081B65">
        <w:rPr>
          <w:noProof/>
        </w:rPr>
        <w:t>% of years for which the milestones or target was achieved during the 2021-2027 period.</w:t>
      </w:r>
    </w:p>
    <w:p w14:paraId="5C2455FC" w14:textId="77777777" w:rsidR="00D642EB" w:rsidRPr="00081B65" w:rsidRDefault="00D642EB" w:rsidP="00D642EB">
      <w:pPr>
        <w:pStyle w:val="ppoListHyphened-L1"/>
        <w:spacing w:before="360"/>
        <w:rPr>
          <w:noProof/>
        </w:rPr>
      </w:pPr>
      <w:r w:rsidRPr="00081B65">
        <w:rPr>
          <w:noProof/>
        </w:rPr>
        <w:t>The actions in 2021 ensured that the College received high-quality communication advice and intelligence, and provided information and communication services addressing citizens directly, with messages aligned with the Commission priorities.</w:t>
      </w:r>
    </w:p>
    <w:p w14:paraId="79038521" w14:textId="77777777" w:rsidR="00D642EB" w:rsidRPr="00081B65" w:rsidRDefault="00D642EB" w:rsidP="00D642EB">
      <w:pPr>
        <w:pStyle w:val="ppoListHyphened-L1"/>
        <w:rPr>
          <w:noProof/>
        </w:rPr>
      </w:pPr>
      <w:r w:rsidRPr="00081B65">
        <w:rPr>
          <w:noProof/>
        </w:rPr>
        <w:t>In 2021, the Commission’s priorities focused on navigating out of the global pandemic and the economic crisis and towards a greener, more digital and more socially just Europe. In this challenging context, the role of the corporate communication campaigns was essential in raising awareness on the EU’s recovery plan as a once-in-a-lifetime opportunity for the EU to emerge from the pandemic stronger, greener and more digital.</w:t>
      </w:r>
    </w:p>
    <w:p w14:paraId="17173901" w14:textId="77777777" w:rsidR="00D642EB" w:rsidRPr="00081B65" w:rsidRDefault="00D642EB" w:rsidP="00D642EB">
      <w:pPr>
        <w:pStyle w:val="ppoListHyphened-L1"/>
        <w:rPr>
          <w:noProof/>
        </w:rPr>
      </w:pPr>
      <w:r w:rsidRPr="00081B65">
        <w:rPr>
          <w:noProof/>
        </w:rPr>
        <w:t>The external communication actions focused on highlighting the EU’s response to the crisis by disseminating inspirational ‘recovery stories’ with real examples of EU support across Europe, while in parallel preparing the launch of its most ambitious corporate campaign, NextGenerationEU. The objective of the campaign is to raise awareness of the EU’s recovery plan.</w:t>
      </w:r>
    </w:p>
    <w:p w14:paraId="70F29222" w14:textId="77777777" w:rsidR="00D642EB" w:rsidRPr="00081B65" w:rsidRDefault="00D642EB" w:rsidP="00D642EB">
      <w:pPr>
        <w:pStyle w:val="ppoListHyphened-L1"/>
        <w:rPr>
          <w:noProof/>
        </w:rPr>
      </w:pPr>
      <w:r w:rsidRPr="00081B65">
        <w:rPr>
          <w:noProof/>
        </w:rPr>
        <w:t>In 2021, significant progress was made in the fight against disinformation, which was especially relevant in the context of the infodemic relating to the COVID-19 pandemic.</w:t>
      </w:r>
    </w:p>
    <w:p w14:paraId="24DD1A17" w14:textId="77777777" w:rsidR="00D642EB" w:rsidRPr="00081B65" w:rsidRDefault="00D642EB" w:rsidP="00D642EB">
      <w:pPr>
        <w:pStyle w:val="ppoListHyphened-L1"/>
        <w:rPr>
          <w:noProof/>
        </w:rPr>
      </w:pPr>
      <w:r w:rsidRPr="00081B65">
        <w:rPr>
          <w:noProof/>
        </w:rPr>
        <w:t>The large number of political reporting products provided in 2021 by the representations covering reactions in all Member States on EU topics reflects intensified efforts at the level of representations to improve on the quality and timeliness of information for decision-making at the College level. The representations informed the EU’s actions by reporting on the situation on the ground across the Member States. This helped increase outreach at the national, regional and local levels.</w:t>
      </w:r>
    </w:p>
    <w:p w14:paraId="513EA205" w14:textId="77777777" w:rsidR="00D642EB" w:rsidRPr="00081B65" w:rsidRDefault="00D642EB" w:rsidP="00D642EB">
      <w:pPr>
        <w:pStyle w:val="ppoListHyphened-L1"/>
        <w:rPr>
          <w:noProof/>
        </w:rPr>
      </w:pPr>
      <w:r w:rsidRPr="00081B65">
        <w:rPr>
          <w:noProof/>
        </w:rPr>
        <w:t>The number of audiovisual products provided to the College (messages, interviews, statements, clips) in 2021 exceeded the target of 850. This was mainly driven by the COVID-19 pandemic: the demand for audiovisual services and video productions replacing face-to-face meetings and events increased. The successful coordination and integration of audiovisual products with social media continued, and resulted in more than 110 corporate videos and around 180 social media videos.</w:t>
      </w:r>
    </w:p>
    <w:p w14:paraId="6ADA8676" w14:textId="77777777" w:rsidR="00D642EB" w:rsidRPr="00081B65" w:rsidRDefault="00D642EB" w:rsidP="00D642EB">
      <w:pPr>
        <w:pStyle w:val="ppoListHyphened-L1"/>
        <w:rPr>
          <w:noProof/>
        </w:rPr>
      </w:pPr>
      <w:r w:rsidRPr="00081B65">
        <w:rPr>
          <w:noProof/>
        </w:rPr>
        <w:t>Users were quite satisfied with the answers received from the Europe Direct Contact Centre in 2021. The satisfaction rate recorded in 2021 was 90% against a target of 83%.</w:t>
      </w:r>
    </w:p>
    <w:p w14:paraId="5C65453E" w14:textId="77777777" w:rsidR="00D642EB" w:rsidRPr="00081B65" w:rsidRDefault="00D642EB" w:rsidP="00D642EB">
      <w:pPr>
        <w:pStyle w:val="ppoListHyphened-L1"/>
        <w:rPr>
          <w:noProof/>
        </w:rPr>
      </w:pPr>
      <w:r w:rsidRPr="00081B65">
        <w:rPr>
          <w:noProof/>
        </w:rPr>
        <w:t>In 2021, the average view duration (seconds) on YouTube was 36</w:t>
      </w:r>
      <w:r w:rsidRPr="00081B65">
        <w:rPr>
          <w:rFonts w:ascii="Calibri" w:hAnsi="Calibri" w:cs="Calibri"/>
          <w:noProof/>
        </w:rPr>
        <w:t> </w:t>
      </w:r>
      <w:r w:rsidRPr="00081B65">
        <w:rPr>
          <w:noProof/>
        </w:rPr>
        <w:t>seconds against a target of 64.2</w:t>
      </w:r>
      <w:r w:rsidRPr="00081B65">
        <w:rPr>
          <w:rFonts w:ascii="Calibri" w:hAnsi="Calibri" w:cs="Calibri"/>
          <w:noProof/>
        </w:rPr>
        <w:t> </w:t>
      </w:r>
      <w:r w:rsidRPr="00081B65">
        <w:rPr>
          <w:noProof/>
        </w:rPr>
        <w:t>seconds. This lower-than-expected average view duration is due to fewer resources being invested in managing the Commission’s YouTube account.</w:t>
      </w:r>
    </w:p>
    <w:p w14:paraId="341E366A" w14:textId="77777777" w:rsidR="00D642EB" w:rsidRPr="00081B65" w:rsidRDefault="00D642EB" w:rsidP="00D642EB">
      <w:pPr>
        <w:pStyle w:val="ppoListHyphened-L1"/>
        <w:rPr>
          <w:noProof/>
        </w:rPr>
      </w:pPr>
      <w:r w:rsidRPr="00081B65">
        <w:rPr>
          <w:noProof/>
        </w:rPr>
        <w:t>The Visitors’ Centre was completely refurbished in 2021, with a view to its planned reopening in 2022. The New European Bauhaus-inspired premises, design, concept and visitor journey further improve the centre’s capacity to receive physical, virtual and hybrid visitors in future.</w:t>
      </w:r>
    </w:p>
    <w:p w14:paraId="454313F7" w14:textId="77777777" w:rsidR="00D642EB" w:rsidRDefault="00D642EB" w:rsidP="00E73D04">
      <w:pPr>
        <w:pStyle w:val="ppoListHyphened-L1"/>
        <w:rPr>
          <w:b/>
          <w:noProof/>
        </w:rPr>
        <w:sectPr w:rsidR="00D642EB" w:rsidSect="0083214A">
          <w:headerReference w:type="even" r:id="rId356"/>
          <w:headerReference w:type="default" r:id="rId357"/>
          <w:footerReference w:type="even" r:id="rId358"/>
          <w:footerReference w:type="default" r:id="rId359"/>
          <w:headerReference w:type="first" r:id="rId360"/>
          <w:footerReference w:type="first" r:id="rId361"/>
          <w:type w:val="continuous"/>
          <w:pgSz w:w="11906" w:h="16838" w:code="9"/>
          <w:pgMar w:top="1134" w:right="1134" w:bottom="964" w:left="1134" w:header="431" w:footer="431" w:gutter="0"/>
          <w:cols w:space="720"/>
          <w:titlePg/>
          <w:docGrid w:linePitch="360"/>
        </w:sectPr>
      </w:pPr>
    </w:p>
    <w:p w14:paraId="08D5D0A1" w14:textId="77777777" w:rsidR="00C843A6" w:rsidRPr="00D236B2" w:rsidRDefault="00C843A6" w:rsidP="00C843A6">
      <w:pPr>
        <w:pStyle w:val="StyleppoHeading3WhiteLeft0cm"/>
        <w:rPr>
          <w:noProof/>
          <w:sz w:val="40"/>
          <w:szCs w:val="40"/>
        </w:rPr>
      </w:pPr>
    </w:p>
    <w:p w14:paraId="0DB16AA3" w14:textId="77777777" w:rsidR="00C843A6" w:rsidRPr="00D236B2" w:rsidRDefault="00C843A6" w:rsidP="00C843A6">
      <w:pPr>
        <w:pStyle w:val="StyleppoHeading3WhiteLeft0cm"/>
        <w:rPr>
          <w:noProof/>
          <w:sz w:val="60"/>
          <w:szCs w:val="60"/>
        </w:rPr>
      </w:pPr>
      <w:bookmarkStart w:id="164" w:name="_Toc102086356"/>
      <w:r w:rsidRPr="00D236B2">
        <w:rPr>
          <w:noProof/>
          <w:sz w:val="60"/>
          <w:szCs w:val="60"/>
        </w:rPr>
        <w:t>CAP</w:t>
      </w:r>
      <w:bookmarkEnd w:id="164"/>
    </w:p>
    <w:p w14:paraId="6A54A0E4" w14:textId="77777777" w:rsidR="00C843A6" w:rsidRPr="00040D99" w:rsidRDefault="00C843A6" w:rsidP="00C843A6">
      <w:pPr>
        <w:pStyle w:val="StyleppoProgrammenameWhiteLeft01cm"/>
        <w:rPr>
          <w:noProof/>
        </w:rPr>
      </w:pPr>
      <w:r>
        <w:rPr>
          <w:noProof/>
        </w:rPr>
        <w:t>COMMON AGRICULTURAL POLICY</w:t>
      </w:r>
    </w:p>
    <w:p w14:paraId="4BAD3513" w14:textId="77777777" w:rsidR="00C843A6" w:rsidRPr="00351CB7" w:rsidRDefault="00C843A6" w:rsidP="00C843A6">
      <w:pPr>
        <w:pStyle w:val="ppoHeading4NaturalGreen"/>
        <w:rPr>
          <w:noProof/>
        </w:rPr>
      </w:pPr>
      <w:r w:rsidRPr="00351CB7">
        <w:rPr>
          <w:noProof/>
        </w:rPr>
        <w:t>Programme in a nutshell</w:t>
      </w:r>
    </w:p>
    <w:p w14:paraId="4EDA0978" w14:textId="77777777" w:rsidR="00C843A6" w:rsidRPr="00040D99" w:rsidRDefault="00C843A6" w:rsidP="00C843A6">
      <w:pPr>
        <w:spacing w:after="480"/>
        <w:rPr>
          <w:rFonts w:eastAsiaTheme="minorEastAsia"/>
          <w:noProof/>
          <w:color w:val="FFFFFF" w:themeColor="background1"/>
          <w:sz w:val="32"/>
        </w:rPr>
        <w:sectPr w:rsidR="00C843A6" w:rsidRPr="00040D99" w:rsidSect="0083214A">
          <w:headerReference w:type="even" r:id="rId362"/>
          <w:headerReference w:type="default" r:id="rId363"/>
          <w:footerReference w:type="even" r:id="rId364"/>
          <w:footerReference w:type="default" r:id="rId365"/>
          <w:headerReference w:type="first" r:id="rId366"/>
          <w:footerReference w:type="first" r:id="rId367"/>
          <w:pgSz w:w="11906" w:h="16838" w:code="9"/>
          <w:pgMar w:top="1134" w:right="1134" w:bottom="964" w:left="1134" w:header="431" w:footer="431" w:gutter="0"/>
          <w:cols w:space="720"/>
          <w:docGrid w:linePitch="360"/>
        </w:sectPr>
      </w:pPr>
    </w:p>
    <w:p w14:paraId="1DAA2C31" w14:textId="77777777" w:rsidR="00C843A6" w:rsidRPr="00040D99" w:rsidRDefault="00C843A6" w:rsidP="00C843A6">
      <w:pPr>
        <w:pStyle w:val="ppoHeading5"/>
        <w:rPr>
          <w:noProof/>
        </w:rPr>
      </w:pPr>
      <w:r w:rsidRPr="00040D99">
        <w:rPr>
          <w:noProof/>
        </w:rPr>
        <w:t>Concrete examples of achievements</w:t>
      </w:r>
    </w:p>
    <w:tbl>
      <w:tblPr>
        <w:tblStyle w:val="PPO2021"/>
        <w:tblW w:w="9639" w:type="dxa"/>
        <w:tblInd w:w="0" w:type="dxa"/>
        <w:tblLook w:val="0200" w:firstRow="0" w:lastRow="0" w:firstColumn="0" w:lastColumn="0" w:noHBand="1" w:noVBand="0"/>
      </w:tblPr>
      <w:tblGrid>
        <w:gridCol w:w="2410"/>
        <w:gridCol w:w="2409"/>
        <w:gridCol w:w="2410"/>
        <w:gridCol w:w="2410"/>
      </w:tblGrid>
      <w:tr w:rsidR="00C843A6" w:rsidRPr="00040D99" w14:paraId="65ED4554" w14:textId="77777777" w:rsidTr="00962E3C">
        <w:tc>
          <w:tcPr>
            <w:tcW w:w="2310" w:type="dxa"/>
            <w:tcBorders>
              <w:bottom w:val="single" w:sz="4" w:space="0" w:color="8C8C8C"/>
            </w:tcBorders>
          </w:tcPr>
          <w:p w14:paraId="246E2759" w14:textId="2E0BDEAF" w:rsidR="00C843A6" w:rsidRPr="0076270C" w:rsidRDefault="00C1546E" w:rsidP="0083214A">
            <w:pPr>
              <w:pStyle w:val="ppoTableacheivementvalue"/>
              <w:rPr>
                <w:noProof/>
              </w:rPr>
            </w:pPr>
            <w:r>
              <w:rPr>
                <w:noProof/>
              </w:rPr>
              <w:t>5.</w:t>
            </w:r>
            <w:r w:rsidR="00653BB2">
              <w:rPr>
                <w:noProof/>
              </w:rPr>
              <w:t>6</w:t>
            </w:r>
            <w:r w:rsidR="00C843A6">
              <w:rPr>
                <w:rFonts w:ascii="Calibri" w:hAnsi="Calibri" w:cs="Calibri"/>
                <w:noProof/>
              </w:rPr>
              <w:t> </w:t>
            </w:r>
            <w:r w:rsidR="00C843A6" w:rsidRPr="002D4532">
              <w:rPr>
                <w:noProof/>
              </w:rPr>
              <w:t>million</w:t>
            </w:r>
          </w:p>
          <w:p w14:paraId="30E8491D" w14:textId="0B3A8EE3" w:rsidR="00C843A6" w:rsidRPr="0076270C" w:rsidRDefault="00C843A6" w:rsidP="00962E3C">
            <w:pPr>
              <w:jc w:val="left"/>
              <w:rPr>
                <w:noProof/>
              </w:rPr>
            </w:pPr>
            <w:r>
              <w:rPr>
                <w:noProof/>
              </w:rPr>
              <w:t>f</w:t>
            </w:r>
            <w:r w:rsidRPr="002D4532">
              <w:rPr>
                <w:noProof/>
              </w:rPr>
              <w:t xml:space="preserve">armers benefited from direct payments in </w:t>
            </w:r>
            <w:r w:rsidR="00C1546E">
              <w:rPr>
                <w:noProof/>
              </w:rPr>
              <w:t xml:space="preserve">financial year </w:t>
            </w:r>
            <w:r w:rsidRPr="002D4532">
              <w:rPr>
                <w:noProof/>
              </w:rPr>
              <w:t>202</w:t>
            </w:r>
            <w:r w:rsidR="00C1546E">
              <w:rPr>
                <w:noProof/>
              </w:rPr>
              <w:t>1</w:t>
            </w:r>
            <w:r>
              <w:rPr>
                <w:noProof/>
              </w:rPr>
              <w:t>.</w:t>
            </w:r>
          </w:p>
        </w:tc>
        <w:tc>
          <w:tcPr>
            <w:cnfStyle w:val="000001000000" w:firstRow="0" w:lastRow="0" w:firstColumn="0" w:lastColumn="0" w:oddVBand="0" w:evenVBand="1" w:oddHBand="0" w:evenHBand="0" w:firstRowFirstColumn="0" w:firstRowLastColumn="0" w:lastRowFirstColumn="0" w:lastRowLastColumn="0"/>
            <w:tcW w:w="2310" w:type="dxa"/>
          </w:tcPr>
          <w:p w14:paraId="5A49B7D3" w14:textId="77777777" w:rsidR="00C843A6" w:rsidRPr="0076270C" w:rsidRDefault="00C843A6" w:rsidP="0083214A">
            <w:pPr>
              <w:pStyle w:val="ppoTableacheivementvalue"/>
              <w:rPr>
                <w:noProof/>
              </w:rPr>
            </w:pPr>
            <w:r>
              <w:rPr>
                <w:noProof/>
              </w:rPr>
              <w:t>400</w:t>
            </w:r>
            <w:r>
              <w:rPr>
                <w:rFonts w:ascii="Calibri" w:hAnsi="Calibri" w:cs="Calibri"/>
                <w:noProof/>
              </w:rPr>
              <w:t> </w:t>
            </w:r>
            <w:r>
              <w:rPr>
                <w:noProof/>
              </w:rPr>
              <w:t>000</w:t>
            </w:r>
          </w:p>
          <w:p w14:paraId="591DEEC5" w14:textId="77777777" w:rsidR="00C843A6" w:rsidRPr="0076270C" w:rsidRDefault="00C843A6" w:rsidP="00962E3C">
            <w:pPr>
              <w:jc w:val="left"/>
              <w:rPr>
                <w:noProof/>
              </w:rPr>
            </w:pPr>
            <w:r w:rsidRPr="00C45626">
              <w:rPr>
                <w:noProof/>
              </w:rPr>
              <w:t>farmers benefit</w:t>
            </w:r>
            <w:r>
              <w:rPr>
                <w:noProof/>
              </w:rPr>
              <w:t>ed</w:t>
            </w:r>
            <w:r w:rsidRPr="00C45626">
              <w:rPr>
                <w:noProof/>
              </w:rPr>
              <w:t xml:space="preserve"> from the young farmers scheme in 2020</w:t>
            </w:r>
            <w:r w:rsidRPr="0076270C">
              <w:rPr>
                <w:noProof/>
              </w:rPr>
              <w:t>.</w:t>
            </w:r>
          </w:p>
        </w:tc>
        <w:tc>
          <w:tcPr>
            <w:tcW w:w="2311" w:type="dxa"/>
            <w:tcBorders>
              <w:bottom w:val="single" w:sz="4" w:space="0" w:color="8C8C8C"/>
            </w:tcBorders>
          </w:tcPr>
          <w:p w14:paraId="6C5DE297" w14:textId="77777777" w:rsidR="00C843A6" w:rsidRPr="0076270C" w:rsidRDefault="00C843A6" w:rsidP="0083214A">
            <w:pPr>
              <w:pStyle w:val="ppoTableacheivementvalue"/>
              <w:cnfStyle w:val="000000000000" w:firstRow="0" w:lastRow="0" w:firstColumn="0" w:lastColumn="0" w:oddVBand="0" w:evenVBand="0" w:oddHBand="0" w:evenHBand="0" w:firstRowFirstColumn="0" w:firstRowLastColumn="0" w:lastRowFirstColumn="0" w:lastRowLastColumn="0"/>
              <w:rPr>
                <w:noProof/>
              </w:rPr>
            </w:pPr>
            <w:r>
              <w:rPr>
                <w:noProof/>
              </w:rPr>
              <w:t>18.9</w:t>
            </w:r>
            <w:r>
              <w:rPr>
                <w:rFonts w:ascii="Calibri" w:hAnsi="Calibri" w:cs="Calibri"/>
                <w:noProof/>
              </w:rPr>
              <w:t> </w:t>
            </w:r>
            <w:r w:rsidRPr="0076270C">
              <w:rPr>
                <w:noProof/>
              </w:rPr>
              <w:t>million</w:t>
            </w:r>
          </w:p>
          <w:p w14:paraId="68CAB1B1" w14:textId="77777777" w:rsidR="00C843A6" w:rsidRPr="0076270C" w:rsidRDefault="00C843A6" w:rsidP="00962E3C">
            <w:pPr>
              <w:jc w:val="left"/>
              <w:cnfStyle w:val="000000000000" w:firstRow="0" w:lastRow="0" w:firstColumn="0" w:lastColumn="0" w:oddVBand="0" w:evenVBand="0" w:oddHBand="0" w:evenHBand="0" w:firstRowFirstColumn="0" w:firstRowLastColumn="0" w:lastRowFirstColumn="0" w:lastRowLastColumn="0"/>
              <w:rPr>
                <w:noProof/>
              </w:rPr>
            </w:pPr>
            <w:r w:rsidRPr="00C45626">
              <w:rPr>
                <w:noProof/>
              </w:rPr>
              <w:t xml:space="preserve">beehives </w:t>
            </w:r>
            <w:r>
              <w:rPr>
                <w:noProof/>
              </w:rPr>
              <w:t xml:space="preserve">were </w:t>
            </w:r>
            <w:r w:rsidRPr="00C45626">
              <w:rPr>
                <w:noProof/>
              </w:rPr>
              <w:t>supported in 2020</w:t>
            </w:r>
            <w:r w:rsidRPr="0076270C">
              <w:rPr>
                <w:noProof/>
              </w:rPr>
              <w:t>.</w:t>
            </w:r>
          </w:p>
        </w:tc>
        <w:tc>
          <w:tcPr>
            <w:cnfStyle w:val="000001000000" w:firstRow="0" w:lastRow="0" w:firstColumn="0" w:lastColumn="0" w:oddVBand="0" w:evenVBand="1" w:oddHBand="0" w:evenHBand="0" w:firstRowFirstColumn="0" w:firstRowLastColumn="0" w:lastRowFirstColumn="0" w:lastRowLastColumn="0"/>
            <w:tcW w:w="2311" w:type="dxa"/>
          </w:tcPr>
          <w:p w14:paraId="430FB070" w14:textId="77777777" w:rsidR="00C843A6" w:rsidRPr="0076270C" w:rsidRDefault="00C843A6" w:rsidP="0083214A">
            <w:pPr>
              <w:pStyle w:val="ppoTableacheivementvalue"/>
              <w:rPr>
                <w:noProof/>
              </w:rPr>
            </w:pPr>
            <w:r>
              <w:rPr>
                <w:noProof/>
              </w:rPr>
              <w:t>17.1%</w:t>
            </w:r>
          </w:p>
          <w:p w14:paraId="4BF08A0F" w14:textId="77777777" w:rsidR="00C843A6" w:rsidRPr="0076270C" w:rsidRDefault="00C843A6" w:rsidP="00962E3C">
            <w:pPr>
              <w:jc w:val="left"/>
              <w:rPr>
                <w:noProof/>
              </w:rPr>
            </w:pPr>
            <w:r w:rsidRPr="002D4532">
              <w:rPr>
                <w:noProof/>
              </w:rPr>
              <w:t>of agricultural land w</w:t>
            </w:r>
            <w:r>
              <w:rPr>
                <w:noProof/>
              </w:rPr>
              <w:t xml:space="preserve">as </w:t>
            </w:r>
            <w:r w:rsidRPr="002D4532">
              <w:rPr>
                <w:noProof/>
              </w:rPr>
              <w:t>covered by management contracts contributing to biodiversity</w:t>
            </w:r>
            <w:r>
              <w:rPr>
                <w:noProof/>
              </w:rPr>
              <w:t xml:space="preserve"> in 2020.</w:t>
            </w:r>
          </w:p>
        </w:tc>
      </w:tr>
      <w:tr w:rsidR="00C843A6" w:rsidRPr="00040D99" w14:paraId="7F29A967" w14:textId="77777777" w:rsidTr="00962E3C">
        <w:tc>
          <w:tcPr>
            <w:tcW w:w="2310" w:type="dxa"/>
            <w:tcBorders>
              <w:bottom w:val="single" w:sz="4" w:space="0" w:color="8C8C8C"/>
            </w:tcBorders>
          </w:tcPr>
          <w:p w14:paraId="5A898639" w14:textId="77777777" w:rsidR="00C843A6" w:rsidRPr="0076270C" w:rsidRDefault="00C843A6" w:rsidP="0083214A">
            <w:pPr>
              <w:pStyle w:val="ppoTableacheivementvalue"/>
              <w:rPr>
                <w:noProof/>
              </w:rPr>
            </w:pPr>
            <w:r>
              <w:rPr>
                <w:noProof/>
              </w:rPr>
              <w:t>3.8</w:t>
            </w:r>
            <w:r>
              <w:rPr>
                <w:rFonts w:ascii="Calibri" w:hAnsi="Calibri" w:cs="Calibri"/>
                <w:noProof/>
              </w:rPr>
              <w:t> </w:t>
            </w:r>
            <w:r w:rsidRPr="0076270C">
              <w:rPr>
                <w:noProof/>
              </w:rPr>
              <w:t>million</w:t>
            </w:r>
          </w:p>
          <w:p w14:paraId="68EF2952" w14:textId="77777777" w:rsidR="00C843A6" w:rsidRPr="0076270C" w:rsidRDefault="00C843A6" w:rsidP="00962E3C">
            <w:pPr>
              <w:jc w:val="left"/>
              <w:rPr>
                <w:noProof/>
              </w:rPr>
            </w:pPr>
            <w:r w:rsidRPr="002D4532">
              <w:rPr>
                <w:noProof/>
              </w:rPr>
              <w:t xml:space="preserve">hectares were under land-management contracts targeting </w:t>
            </w:r>
            <w:r>
              <w:rPr>
                <w:noProof/>
              </w:rPr>
              <w:t xml:space="preserve">the </w:t>
            </w:r>
            <w:r w:rsidRPr="002D4532">
              <w:rPr>
                <w:noProof/>
              </w:rPr>
              <w:t>reduction of greenhouse gases or ammonia emissions</w:t>
            </w:r>
            <w:r>
              <w:rPr>
                <w:noProof/>
              </w:rPr>
              <w:t xml:space="preserve"> in 2020.</w:t>
            </w:r>
          </w:p>
        </w:tc>
        <w:tc>
          <w:tcPr>
            <w:cnfStyle w:val="000001000000" w:firstRow="0" w:lastRow="0" w:firstColumn="0" w:lastColumn="0" w:oddVBand="0" w:evenVBand="1" w:oddHBand="0" w:evenHBand="0" w:firstRowFirstColumn="0" w:firstRowLastColumn="0" w:lastRowFirstColumn="0" w:lastRowLastColumn="0"/>
            <w:tcW w:w="2310" w:type="dxa"/>
            <w:shd w:val="clear" w:color="auto" w:fill="F2F2F2"/>
          </w:tcPr>
          <w:p w14:paraId="3A112F38" w14:textId="77777777" w:rsidR="00C843A6" w:rsidRPr="0076270C" w:rsidRDefault="00C843A6" w:rsidP="0083214A">
            <w:pPr>
              <w:pStyle w:val="ppoTableacheivementvalue"/>
              <w:rPr>
                <w:noProof/>
              </w:rPr>
            </w:pPr>
            <w:r>
              <w:rPr>
                <w:noProof/>
              </w:rPr>
              <w:t>2</w:t>
            </w:r>
            <w:r>
              <w:rPr>
                <w:rFonts w:ascii="Calibri" w:hAnsi="Calibri" w:cs="Calibri"/>
                <w:noProof/>
              </w:rPr>
              <w:t> </w:t>
            </w:r>
            <w:r w:rsidRPr="0076270C">
              <w:rPr>
                <w:noProof/>
              </w:rPr>
              <w:t>million</w:t>
            </w:r>
          </w:p>
          <w:p w14:paraId="404D378F" w14:textId="77777777" w:rsidR="00C843A6" w:rsidRPr="0076270C" w:rsidRDefault="00C843A6" w:rsidP="00962E3C">
            <w:pPr>
              <w:jc w:val="left"/>
              <w:rPr>
                <w:noProof/>
              </w:rPr>
            </w:pPr>
            <w:r w:rsidRPr="00D57457">
              <w:rPr>
                <w:noProof/>
              </w:rPr>
              <w:t xml:space="preserve">hectares of agricultural and forest land </w:t>
            </w:r>
            <w:r>
              <w:rPr>
                <w:noProof/>
              </w:rPr>
              <w:t xml:space="preserve">were </w:t>
            </w:r>
            <w:r w:rsidRPr="00D57457">
              <w:rPr>
                <w:noProof/>
              </w:rPr>
              <w:t>covered by management contracts contributing to carbon sequestration or conservation</w:t>
            </w:r>
            <w:r>
              <w:rPr>
                <w:noProof/>
              </w:rPr>
              <w:t xml:space="preserve"> in 2020.</w:t>
            </w:r>
          </w:p>
        </w:tc>
        <w:tc>
          <w:tcPr>
            <w:tcW w:w="2311" w:type="dxa"/>
            <w:tcBorders>
              <w:bottom w:val="single" w:sz="4" w:space="0" w:color="8C8C8C"/>
            </w:tcBorders>
            <w:shd w:val="clear" w:color="auto" w:fill="FFFFFF" w:themeFill="background1"/>
          </w:tcPr>
          <w:p w14:paraId="6D5935F9" w14:textId="77777777" w:rsidR="00C843A6" w:rsidRPr="0076270C" w:rsidRDefault="00C843A6" w:rsidP="0083214A">
            <w:pPr>
              <w:pStyle w:val="ppoTableacheivementvalue"/>
              <w:cnfStyle w:val="000000000000" w:firstRow="0" w:lastRow="0" w:firstColumn="0" w:lastColumn="0" w:oddVBand="0" w:evenVBand="0" w:oddHBand="0" w:evenHBand="0" w:firstRowFirstColumn="0" w:firstRowLastColumn="0" w:lastRowFirstColumn="0" w:lastRowLastColumn="0"/>
              <w:rPr>
                <w:noProof/>
              </w:rPr>
            </w:pPr>
            <w:r w:rsidRPr="00D57457">
              <w:rPr>
                <w:noProof/>
              </w:rPr>
              <w:t>869</w:t>
            </w:r>
            <w:r>
              <w:rPr>
                <w:rFonts w:ascii="Calibri" w:hAnsi="Calibri" w:cs="Calibri"/>
                <w:noProof/>
              </w:rPr>
              <w:t> </w:t>
            </w:r>
            <w:r w:rsidRPr="00D57457">
              <w:rPr>
                <w:noProof/>
              </w:rPr>
              <w:t>000</w:t>
            </w:r>
          </w:p>
          <w:p w14:paraId="1278872C" w14:textId="77777777" w:rsidR="00C843A6" w:rsidRPr="0076270C" w:rsidRDefault="00C843A6" w:rsidP="00962E3C">
            <w:pPr>
              <w:jc w:val="left"/>
              <w:cnfStyle w:val="000000000000" w:firstRow="0" w:lastRow="0" w:firstColumn="0" w:lastColumn="0" w:oddVBand="0" w:evenVBand="0" w:oddHBand="0" w:evenHBand="0" w:firstRowFirstColumn="0" w:firstRowLastColumn="0" w:lastRowFirstColumn="0" w:lastRowLastColumn="0"/>
              <w:rPr>
                <w:noProof/>
              </w:rPr>
            </w:pPr>
            <w:r w:rsidRPr="00D57457">
              <w:rPr>
                <w:noProof/>
              </w:rPr>
              <w:t>hectares of irrigated land had switched to more efficient irrigation systems</w:t>
            </w:r>
            <w:r>
              <w:rPr>
                <w:noProof/>
              </w:rPr>
              <w:t xml:space="preserve"> in 2020.</w:t>
            </w:r>
          </w:p>
        </w:tc>
        <w:tc>
          <w:tcPr>
            <w:cnfStyle w:val="000001000000" w:firstRow="0" w:lastRow="0" w:firstColumn="0" w:lastColumn="0" w:oddVBand="0" w:evenVBand="1" w:oddHBand="0" w:evenHBand="0" w:firstRowFirstColumn="0" w:firstRowLastColumn="0" w:lastRowFirstColumn="0" w:lastRowLastColumn="0"/>
            <w:tcW w:w="2311" w:type="dxa"/>
            <w:shd w:val="clear" w:color="auto" w:fill="F2F2F2"/>
          </w:tcPr>
          <w:p w14:paraId="34E6643F" w14:textId="77777777" w:rsidR="00C843A6" w:rsidRPr="0076270C" w:rsidRDefault="00C843A6" w:rsidP="0083214A">
            <w:pPr>
              <w:pStyle w:val="ppoTableacheivementvalue"/>
              <w:rPr>
                <w:noProof/>
              </w:rPr>
            </w:pPr>
            <w:r>
              <w:rPr>
                <w:noProof/>
              </w:rPr>
              <w:t>1.8</w:t>
            </w:r>
            <w:r w:rsidRPr="0076270C">
              <w:rPr>
                <w:noProof/>
              </w:rPr>
              <w:t xml:space="preserve"> million</w:t>
            </w:r>
          </w:p>
          <w:p w14:paraId="05A0A6BF" w14:textId="77777777" w:rsidR="00C843A6" w:rsidRPr="0076270C" w:rsidRDefault="00C843A6" w:rsidP="00962E3C">
            <w:pPr>
              <w:jc w:val="left"/>
              <w:rPr>
                <w:noProof/>
              </w:rPr>
            </w:pPr>
            <w:r>
              <w:rPr>
                <w:noProof/>
              </w:rPr>
              <w:t>beneficiaries received vocational training in agriculture in 2020, the 2025 target being 3.9</w:t>
            </w:r>
            <w:r>
              <w:rPr>
                <w:rFonts w:ascii="Calibri" w:hAnsi="Calibri" w:cs="Calibri"/>
                <w:noProof/>
              </w:rPr>
              <w:t> </w:t>
            </w:r>
            <w:r>
              <w:rPr>
                <w:noProof/>
              </w:rPr>
              <w:t>million.</w:t>
            </w:r>
          </w:p>
        </w:tc>
      </w:tr>
    </w:tbl>
    <w:p w14:paraId="7C54C136" w14:textId="77777777" w:rsidR="00C843A6" w:rsidRDefault="00C843A6" w:rsidP="00C843A6">
      <w:pPr>
        <w:pStyle w:val="ppoHeading5"/>
        <w:rPr>
          <w:noProof/>
        </w:rPr>
      </w:pPr>
      <w:r w:rsidRPr="00040D99">
        <w:rPr>
          <w:noProof/>
        </w:rPr>
        <w:t xml:space="preserve">Budget </w:t>
      </w:r>
      <w:r>
        <w:rPr>
          <w:noProof/>
        </w:rPr>
        <w:t xml:space="preserve">for </w:t>
      </w:r>
      <w:r w:rsidRPr="00040D99">
        <w:rPr>
          <w:noProof/>
        </w:rPr>
        <w:t>2021-2027</w:t>
      </w:r>
    </w:p>
    <w:p w14:paraId="5A852AED" w14:textId="77777777" w:rsidR="00C843A6" w:rsidRPr="009359FF" w:rsidRDefault="00C843A6" w:rsidP="00C843A6">
      <w:pPr>
        <w:pStyle w:val="ppoTableTabletitle"/>
        <w:ind w:left="284"/>
        <w:rPr>
          <w:noProof/>
        </w:rPr>
      </w:pPr>
      <w:r>
        <w:rPr>
          <w:noProof/>
        </w:rPr>
        <w:t>(million EUR)</w:t>
      </w:r>
    </w:p>
    <w:tbl>
      <w:tblPr>
        <w:tblStyle w:val="PlainTable2"/>
        <w:tblW w:w="0" w:type="auto"/>
        <w:tblInd w:w="288" w:type="dxa"/>
        <w:tblLook w:val="04A0" w:firstRow="1" w:lastRow="0" w:firstColumn="1" w:lastColumn="0" w:noHBand="0" w:noVBand="1"/>
      </w:tblPr>
      <w:tblGrid>
        <w:gridCol w:w="4788"/>
        <w:gridCol w:w="2610"/>
      </w:tblGrid>
      <w:tr w:rsidR="00C843A6" w:rsidRPr="00214876" w14:paraId="480E62D4" w14:textId="77777777" w:rsidTr="0083214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41CCBF1B" w14:textId="77777777" w:rsidR="00C843A6" w:rsidRPr="00214876" w:rsidRDefault="00C843A6" w:rsidP="0083214A">
            <w:pPr>
              <w:spacing w:before="120" w:after="120"/>
              <w:rPr>
                <w:noProof/>
              </w:rPr>
            </w:pPr>
            <w:r w:rsidRPr="00214876">
              <w:rPr>
                <w:rFonts w:cs="Calibri"/>
                <w:noProof/>
                <w:color w:val="000000"/>
              </w:rPr>
              <w:t>Financial programming</w:t>
            </w:r>
          </w:p>
        </w:tc>
        <w:tc>
          <w:tcPr>
            <w:tcW w:w="2610" w:type="dxa"/>
            <w:shd w:val="clear" w:color="auto" w:fill="auto"/>
            <w:vAlign w:val="bottom"/>
          </w:tcPr>
          <w:p w14:paraId="66CC560F" w14:textId="156F9949" w:rsidR="00C843A6" w:rsidRPr="00214876" w:rsidRDefault="00C843A6" w:rsidP="0083214A">
            <w:pPr>
              <w:spacing w:before="120" w:after="120"/>
              <w:jc w:val="center"/>
              <w:cnfStyle w:val="100000000000" w:firstRow="1" w:lastRow="0" w:firstColumn="0" w:lastColumn="0" w:oddVBand="0" w:evenVBand="0" w:oddHBand="0" w:evenHBand="0" w:firstRowFirstColumn="0" w:firstRowLastColumn="0" w:lastRowFirstColumn="0" w:lastRowLastColumn="0"/>
              <w:rPr>
                <w:b w:val="0"/>
                <w:noProof/>
              </w:rPr>
            </w:pPr>
            <w:r w:rsidRPr="00085214">
              <w:rPr>
                <w:rFonts w:cs="Calibri"/>
                <w:b w:val="0"/>
                <w:noProof/>
                <w:color w:val="000000"/>
              </w:rPr>
              <w:t>378 262.9</w:t>
            </w:r>
          </w:p>
        </w:tc>
      </w:tr>
      <w:tr w:rsidR="00C843A6" w:rsidRPr="00214876" w14:paraId="342CC6CF"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6AF22FA3" w14:textId="77777777" w:rsidR="00C843A6" w:rsidRPr="00214876" w:rsidRDefault="00C843A6" w:rsidP="0083214A">
            <w:pPr>
              <w:spacing w:before="120" w:after="120"/>
              <w:rPr>
                <w:b w:val="0"/>
                <w:noProof/>
              </w:rPr>
            </w:pPr>
            <w:r w:rsidRPr="00214876">
              <w:rPr>
                <w:rFonts w:cs="Calibri"/>
                <w:noProof/>
                <w:color w:val="000000"/>
              </w:rPr>
              <w:t>NextGenerationEU</w:t>
            </w:r>
          </w:p>
        </w:tc>
        <w:tc>
          <w:tcPr>
            <w:tcW w:w="2610" w:type="dxa"/>
            <w:vAlign w:val="bottom"/>
          </w:tcPr>
          <w:p w14:paraId="681A6B23" w14:textId="77777777" w:rsidR="00C843A6" w:rsidRDefault="00C843A6" w:rsidP="00832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rPr>
            </w:pPr>
            <w:r>
              <w:rPr>
                <w:rFonts w:ascii="Calibri" w:hAnsi="Calibri" w:cs="Calibri"/>
                <w:noProof/>
                <w:color w:val="000000"/>
              </w:rPr>
              <w:t>8 070.5</w:t>
            </w:r>
          </w:p>
          <w:p w14:paraId="588CFF58" w14:textId="4FD08145" w:rsidR="00C843A6" w:rsidRPr="00214876" w:rsidRDefault="00C843A6"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p>
        </w:tc>
      </w:tr>
      <w:tr w:rsidR="00C843A6" w:rsidRPr="00214876" w14:paraId="5D1C0A00"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34D3C5FF" w14:textId="77777777" w:rsidR="00C843A6" w:rsidRPr="00214876" w:rsidRDefault="00C843A6" w:rsidP="0083214A">
            <w:pPr>
              <w:spacing w:before="120" w:after="120"/>
              <w:rPr>
                <w:b w:val="0"/>
                <w:noProof/>
              </w:rPr>
            </w:pPr>
            <w:r w:rsidRPr="00807AC3">
              <w:rPr>
                <w:noProof/>
              </w:rPr>
              <w:t xml:space="preserve">Decommitments </w:t>
            </w:r>
            <w:r>
              <w:rPr>
                <w:noProof/>
              </w:rPr>
              <w:t>made available again</w:t>
            </w:r>
            <w:r>
              <w:rPr>
                <w:rFonts w:ascii="Calibri" w:hAnsi="Calibri" w:cs="Calibri"/>
                <w:noProof/>
              </w:rPr>
              <w:t> </w:t>
            </w:r>
            <w:r>
              <w:rPr>
                <w:noProof/>
              </w:rPr>
              <w:t>(</w:t>
            </w:r>
            <w:r w:rsidRPr="00214876">
              <w:rPr>
                <w:rFonts w:cs="Calibri"/>
                <w:noProof/>
                <w:color w:val="000000"/>
              </w:rPr>
              <w:t>*</w:t>
            </w:r>
            <w:r>
              <w:rPr>
                <w:rFonts w:cs="Calibri"/>
                <w:noProof/>
                <w:color w:val="000000"/>
              </w:rPr>
              <w:t>)</w:t>
            </w:r>
          </w:p>
        </w:tc>
        <w:tc>
          <w:tcPr>
            <w:tcW w:w="2610" w:type="dxa"/>
            <w:vAlign w:val="bottom"/>
          </w:tcPr>
          <w:p w14:paraId="3B5F9676" w14:textId="77777777" w:rsidR="00C843A6" w:rsidRPr="00214876" w:rsidRDefault="00C843A6" w:rsidP="0083214A">
            <w:pPr>
              <w:spacing w:before="120" w:after="120"/>
              <w:jc w:val="center"/>
              <w:cnfStyle w:val="000000000000" w:firstRow="0" w:lastRow="0" w:firstColumn="0" w:lastColumn="0" w:oddVBand="0" w:evenVBand="0" w:oddHBand="0" w:evenHBand="0" w:firstRowFirstColumn="0" w:firstRowLastColumn="0" w:lastRowFirstColumn="0" w:lastRowLastColumn="0"/>
              <w:rPr>
                <w:noProof/>
              </w:rPr>
            </w:pPr>
            <w:r>
              <w:rPr>
                <w:rFonts w:cs="Calibri"/>
                <w:noProof/>
                <w:color w:val="000000"/>
              </w:rPr>
              <w:t>N/A</w:t>
            </w:r>
          </w:p>
        </w:tc>
      </w:tr>
      <w:tr w:rsidR="00C843A6" w:rsidRPr="00214876" w14:paraId="21438E0F"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17B899BD" w14:textId="77777777" w:rsidR="00C843A6" w:rsidRPr="00214876" w:rsidRDefault="00C843A6" w:rsidP="0083214A">
            <w:pPr>
              <w:spacing w:before="120" w:after="120"/>
              <w:rPr>
                <w:noProof/>
              </w:rPr>
            </w:pPr>
            <w:r w:rsidRPr="00214876">
              <w:rPr>
                <w:rFonts w:cs="Calibri"/>
                <w:noProof/>
                <w:color w:val="000000"/>
              </w:rPr>
              <w:t>Contributions from other countries and entities</w:t>
            </w:r>
          </w:p>
        </w:tc>
        <w:tc>
          <w:tcPr>
            <w:tcW w:w="2610" w:type="dxa"/>
            <w:vAlign w:val="bottom"/>
          </w:tcPr>
          <w:p w14:paraId="1FEEA52E" w14:textId="77777777" w:rsidR="00C843A6" w:rsidRPr="00214876" w:rsidRDefault="00C843A6"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Pr>
                <w:rFonts w:cs="Calibri"/>
                <w:noProof/>
                <w:color w:val="000000"/>
              </w:rPr>
              <w:t>0.0</w:t>
            </w:r>
          </w:p>
        </w:tc>
      </w:tr>
      <w:tr w:rsidR="00C843A6" w:rsidRPr="00214876" w14:paraId="61804DDE"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2F2F2" w:themeFill="background1" w:themeFillShade="F2"/>
            <w:vAlign w:val="bottom"/>
          </w:tcPr>
          <w:p w14:paraId="37AD9FB4" w14:textId="77777777" w:rsidR="00C843A6" w:rsidRPr="00214876" w:rsidRDefault="00C843A6" w:rsidP="0083214A">
            <w:pPr>
              <w:spacing w:before="120" w:after="120"/>
              <w:rPr>
                <w:noProof/>
              </w:rPr>
            </w:pPr>
            <w:r>
              <w:rPr>
                <w:rFonts w:cs="Calibri"/>
                <w:noProof/>
                <w:color w:val="000000"/>
              </w:rPr>
              <w:t>T</w:t>
            </w:r>
            <w:r w:rsidRPr="00214876">
              <w:rPr>
                <w:rFonts w:cs="Calibri"/>
                <w:noProof/>
                <w:color w:val="000000"/>
              </w:rPr>
              <w:t xml:space="preserve">otal budget </w:t>
            </w:r>
            <w:r>
              <w:rPr>
                <w:rFonts w:cs="Calibri"/>
                <w:noProof/>
                <w:color w:val="000000"/>
              </w:rPr>
              <w:t xml:space="preserve">for </w:t>
            </w:r>
            <w:r w:rsidRPr="00214876">
              <w:rPr>
                <w:rFonts w:cs="Calibri"/>
                <w:noProof/>
                <w:color w:val="000000"/>
              </w:rPr>
              <w:t>2021-2027</w:t>
            </w:r>
          </w:p>
        </w:tc>
        <w:tc>
          <w:tcPr>
            <w:tcW w:w="2610" w:type="dxa"/>
            <w:shd w:val="clear" w:color="auto" w:fill="F2F2F2" w:themeFill="background1" w:themeFillShade="F2"/>
            <w:vAlign w:val="bottom"/>
          </w:tcPr>
          <w:p w14:paraId="1AD49675" w14:textId="77777777" w:rsidR="00C843A6" w:rsidRDefault="00C843A6" w:rsidP="00832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386 333.4</w:t>
            </w:r>
          </w:p>
          <w:p w14:paraId="689CC6B7" w14:textId="25BF64DB" w:rsidR="00C843A6" w:rsidRPr="00214876" w:rsidRDefault="00C843A6" w:rsidP="0083214A">
            <w:pPr>
              <w:spacing w:before="120" w:after="120"/>
              <w:jc w:val="center"/>
              <w:cnfStyle w:val="000000000000" w:firstRow="0" w:lastRow="0" w:firstColumn="0" w:lastColumn="0" w:oddVBand="0" w:evenVBand="0" w:oddHBand="0" w:evenHBand="0" w:firstRowFirstColumn="0" w:firstRowLastColumn="0" w:lastRowFirstColumn="0" w:lastRowLastColumn="0"/>
              <w:rPr>
                <w:b/>
                <w:noProof/>
              </w:rPr>
            </w:pPr>
          </w:p>
        </w:tc>
      </w:tr>
    </w:tbl>
    <w:p w14:paraId="1238335D" w14:textId="77777777" w:rsidR="00C843A6" w:rsidRPr="002A4508" w:rsidRDefault="00C843A6" w:rsidP="00C843A6">
      <w:pPr>
        <w:tabs>
          <w:tab w:val="left" w:pos="6793"/>
        </w:tabs>
        <w:rPr>
          <w:noProof/>
          <w:sz w:val="18"/>
          <w:szCs w:val="18"/>
          <w:lang w:val="en-IE"/>
        </w:rPr>
      </w:pPr>
      <w:r>
        <w:rPr>
          <w:noProof/>
          <w:sz w:val="18"/>
          <w:szCs w:val="18"/>
          <w:lang w:val="en-IE"/>
        </w:rPr>
        <w:t>(</w:t>
      </w:r>
      <w:r w:rsidRPr="002A4508">
        <w:rPr>
          <w:noProof/>
          <w:sz w:val="18"/>
          <w:szCs w:val="18"/>
          <w:lang w:val="en-IE"/>
        </w:rPr>
        <w:t>*</w:t>
      </w:r>
      <w:r>
        <w:rPr>
          <w:noProof/>
          <w:sz w:val="18"/>
          <w:szCs w:val="18"/>
          <w:lang w:val="en-IE"/>
        </w:rPr>
        <w:t>)</w:t>
      </w:r>
      <w:r w:rsidRPr="002A4508">
        <w:rPr>
          <w:noProof/>
          <w:sz w:val="18"/>
          <w:szCs w:val="18"/>
          <w:lang w:val="en-IE"/>
        </w:rPr>
        <w:t xml:space="preserve"> Only Article</w:t>
      </w:r>
      <w:r w:rsidRPr="002A4508">
        <w:rPr>
          <w:rFonts w:ascii="Calibri" w:hAnsi="Calibri" w:cs="Calibri"/>
          <w:noProof/>
          <w:sz w:val="18"/>
          <w:szCs w:val="18"/>
          <w:lang w:val="en-IE"/>
        </w:rPr>
        <w:t> </w:t>
      </w:r>
      <w:r w:rsidRPr="002A4508">
        <w:rPr>
          <w:noProof/>
          <w:sz w:val="18"/>
          <w:szCs w:val="18"/>
          <w:lang w:val="en-IE"/>
        </w:rPr>
        <w:t xml:space="preserve">15(3) of the financial </w:t>
      </w:r>
      <w:r w:rsidRPr="00045449">
        <w:rPr>
          <w:noProof/>
          <w:sz w:val="18"/>
          <w:szCs w:val="18"/>
          <w:lang w:val="en-IE"/>
        </w:rPr>
        <w:t>r</w:t>
      </w:r>
      <w:r w:rsidRPr="002A4508">
        <w:rPr>
          <w:noProof/>
          <w:sz w:val="18"/>
          <w:szCs w:val="18"/>
          <w:lang w:val="en-IE"/>
        </w:rPr>
        <w:t>egulation</w:t>
      </w:r>
      <w:r w:rsidRPr="00045449">
        <w:rPr>
          <w:noProof/>
          <w:sz w:val="18"/>
          <w:szCs w:val="18"/>
          <w:lang w:val="en-IE"/>
        </w:rPr>
        <w:t>.</w:t>
      </w:r>
    </w:p>
    <w:p w14:paraId="111737FA" w14:textId="77777777" w:rsidR="00C843A6" w:rsidRPr="00040D99" w:rsidRDefault="00C843A6" w:rsidP="00C843A6">
      <w:pPr>
        <w:pStyle w:val="ppoHeading5"/>
        <w:rPr>
          <w:noProof/>
        </w:rPr>
      </w:pPr>
      <w:r w:rsidRPr="00040D99">
        <w:rPr>
          <w:noProof/>
        </w:rPr>
        <w:t>Rationale and design of the programme</w:t>
      </w:r>
    </w:p>
    <w:p w14:paraId="42CB2658" w14:textId="60884B04" w:rsidR="00C843A6" w:rsidRPr="008B1FA5" w:rsidRDefault="00C843A6" w:rsidP="00C843A6">
      <w:pPr>
        <w:rPr>
          <w:rFonts w:eastAsiaTheme="minorEastAsia"/>
          <w:noProof/>
        </w:rPr>
      </w:pPr>
      <w:r>
        <w:rPr>
          <w:rFonts w:eastAsiaTheme="minorEastAsia"/>
          <w:noProof/>
        </w:rPr>
        <w:t>The c</w:t>
      </w:r>
      <w:r w:rsidRPr="009A23D8">
        <w:rPr>
          <w:rFonts w:eastAsiaTheme="minorEastAsia"/>
          <w:noProof/>
        </w:rPr>
        <w:t xml:space="preserve">ommon </w:t>
      </w:r>
      <w:r>
        <w:rPr>
          <w:rFonts w:eastAsiaTheme="minorEastAsia"/>
          <w:noProof/>
        </w:rPr>
        <w:t>a</w:t>
      </w:r>
      <w:r w:rsidRPr="009A23D8">
        <w:rPr>
          <w:rFonts w:eastAsiaTheme="minorEastAsia"/>
          <w:noProof/>
        </w:rPr>
        <w:t xml:space="preserve">gricultural </w:t>
      </w:r>
      <w:r>
        <w:rPr>
          <w:rFonts w:eastAsiaTheme="minorEastAsia"/>
          <w:noProof/>
        </w:rPr>
        <w:t>p</w:t>
      </w:r>
      <w:r w:rsidRPr="009A23D8">
        <w:rPr>
          <w:rFonts w:eastAsiaTheme="minorEastAsia"/>
          <w:noProof/>
        </w:rPr>
        <w:t>olicy</w:t>
      </w:r>
      <w:r>
        <w:rPr>
          <w:rFonts w:eastAsiaTheme="minorEastAsia"/>
          <w:noProof/>
        </w:rPr>
        <w:t xml:space="preserve"> (CAP) consists of two funds: the </w:t>
      </w:r>
      <w:r w:rsidRPr="00132A75">
        <w:rPr>
          <w:rFonts w:eastAsiaTheme="minorEastAsia"/>
          <w:noProof/>
        </w:rPr>
        <w:t>European Agricultural Guarantee Fund (EAGF) and the European Agricultural Fund for Rural Development (EAFRD)</w:t>
      </w:r>
      <w:r>
        <w:rPr>
          <w:rFonts w:eastAsiaTheme="minorEastAsia"/>
          <w:noProof/>
        </w:rPr>
        <w:t>. In order to</w:t>
      </w:r>
      <w:r w:rsidRPr="008B1FA5">
        <w:rPr>
          <w:rFonts w:eastAsiaTheme="minorEastAsia"/>
          <w:noProof/>
        </w:rPr>
        <w:t xml:space="preserve"> improve the sustainable development of farming, food and rural areas</w:t>
      </w:r>
      <w:r w:rsidR="004D27B7">
        <w:rPr>
          <w:rFonts w:eastAsiaTheme="minorEastAsia"/>
          <w:noProof/>
        </w:rPr>
        <w:t>, the policy</w:t>
      </w:r>
      <w:r>
        <w:rPr>
          <w:rFonts w:eastAsiaTheme="minorEastAsia"/>
          <w:noProof/>
        </w:rPr>
        <w:t xml:space="preserve"> (1) fosters</w:t>
      </w:r>
      <w:r w:rsidRPr="008B1FA5">
        <w:rPr>
          <w:rFonts w:eastAsiaTheme="minorEastAsia"/>
          <w:noProof/>
        </w:rPr>
        <w:t xml:space="preserve"> a smart, competitive, resilient and diversified agricultural sector </w:t>
      </w:r>
      <w:r>
        <w:rPr>
          <w:rFonts w:eastAsiaTheme="minorEastAsia"/>
          <w:noProof/>
        </w:rPr>
        <w:t>that ensures</w:t>
      </w:r>
      <w:r w:rsidRPr="008B1FA5">
        <w:rPr>
          <w:rFonts w:eastAsiaTheme="minorEastAsia"/>
          <w:noProof/>
        </w:rPr>
        <w:t xml:space="preserve"> long-term food security</w:t>
      </w:r>
      <w:r>
        <w:rPr>
          <w:rFonts w:eastAsiaTheme="minorEastAsia"/>
          <w:noProof/>
        </w:rPr>
        <w:t xml:space="preserve">; (2) </w:t>
      </w:r>
      <w:r w:rsidRPr="008B1FA5">
        <w:rPr>
          <w:rFonts w:eastAsiaTheme="minorEastAsia"/>
          <w:noProof/>
        </w:rPr>
        <w:t>support</w:t>
      </w:r>
      <w:r>
        <w:rPr>
          <w:rFonts w:eastAsiaTheme="minorEastAsia"/>
          <w:noProof/>
        </w:rPr>
        <w:t>s</w:t>
      </w:r>
      <w:r w:rsidRPr="008B1FA5">
        <w:rPr>
          <w:rFonts w:eastAsiaTheme="minorEastAsia"/>
          <w:noProof/>
        </w:rPr>
        <w:t xml:space="preserve"> and strengthen</w:t>
      </w:r>
      <w:r>
        <w:rPr>
          <w:rFonts w:eastAsiaTheme="minorEastAsia"/>
          <w:noProof/>
        </w:rPr>
        <w:t>s</w:t>
      </w:r>
      <w:r w:rsidRPr="008B1FA5">
        <w:rPr>
          <w:rFonts w:eastAsiaTheme="minorEastAsia"/>
          <w:noProof/>
        </w:rPr>
        <w:t xml:space="preserve"> environmental protection</w:t>
      </w:r>
      <w:r>
        <w:rPr>
          <w:rFonts w:eastAsiaTheme="minorEastAsia"/>
          <w:noProof/>
        </w:rPr>
        <w:t xml:space="preserve">; and (3) </w:t>
      </w:r>
      <w:r w:rsidRPr="008B1FA5">
        <w:rPr>
          <w:rFonts w:eastAsiaTheme="minorEastAsia"/>
          <w:noProof/>
        </w:rPr>
        <w:t>strengthen</w:t>
      </w:r>
      <w:r>
        <w:rPr>
          <w:rFonts w:eastAsiaTheme="minorEastAsia"/>
          <w:noProof/>
        </w:rPr>
        <w:t xml:space="preserve">s </w:t>
      </w:r>
      <w:r w:rsidRPr="008B1FA5">
        <w:rPr>
          <w:rFonts w:eastAsiaTheme="minorEastAsia"/>
          <w:noProof/>
        </w:rPr>
        <w:t>the socioeconomic fabric of rural areas</w:t>
      </w:r>
      <w:r>
        <w:rPr>
          <w:rFonts w:eastAsiaTheme="minorEastAsia"/>
          <w:noProof/>
        </w:rPr>
        <w:t>.</w:t>
      </w:r>
    </w:p>
    <w:p w14:paraId="068AE479" w14:textId="77777777" w:rsidR="00C843A6" w:rsidRPr="00040D99" w:rsidRDefault="00C843A6" w:rsidP="00C843A6">
      <w:pPr>
        <w:pStyle w:val="ppoHeading6"/>
        <w:rPr>
          <w:noProof/>
        </w:rPr>
      </w:pPr>
      <w:r w:rsidRPr="00040D99">
        <w:rPr>
          <w:noProof/>
        </w:rPr>
        <w:t>Challenge</w:t>
      </w:r>
    </w:p>
    <w:p w14:paraId="196BBC05" w14:textId="77777777" w:rsidR="00C843A6" w:rsidRDefault="00C843A6" w:rsidP="00C843A6">
      <w:pPr>
        <w:rPr>
          <w:noProof/>
        </w:rPr>
      </w:pPr>
      <w:r>
        <w:rPr>
          <w:noProof/>
        </w:rPr>
        <w:t>The EAGF preserves a level playing field in the single market for agricultural products and enables a stronger common position in trade negotiations. Moreover, it responds more effectively and efficiently to cross-border challenges such as underpinning food security, mitigating and adapting to climate change, caring for natural resources such as soil and water, restoring biodiversity and strengthening economic and social cohesion. The EAGF supports balanced territorial development and encourages smart, sustainable and inclusive growth: analysis shows that less or no EAGF support would result in a higher concentration of agricultural production, meaning that small farmers and farmers in less profitable areas would go out of business and larger farms would become even bigger and more intensive. This would have a negative effect on jobs in rural areas (especially where job creation is difficult) and on the environment and the climate due to intensification.</w:t>
      </w:r>
    </w:p>
    <w:p w14:paraId="5518B8EC" w14:textId="77777777" w:rsidR="00C843A6" w:rsidRPr="00040D99" w:rsidRDefault="00C843A6" w:rsidP="00C843A6">
      <w:pPr>
        <w:rPr>
          <w:noProof/>
        </w:rPr>
      </w:pPr>
      <w:r>
        <w:rPr>
          <w:noProof/>
        </w:rPr>
        <w:t xml:space="preserve">The EAFRD finances rural development programmes that make a vital contribution to the economic, social and environmental performance of the EU in rural areas. Rural development programmes take into account national and regional specificities and ensure a consistent, coherent and results-oriented approach to a number of cross-border issues. The performance and results of the EAFRD are enhanced by the </w:t>
      </w:r>
      <w:r w:rsidRPr="004940DF">
        <w:rPr>
          <w:noProof/>
        </w:rPr>
        <w:t>European Network for Rural Development</w:t>
      </w:r>
      <w:r>
        <w:rPr>
          <w:noProof/>
        </w:rPr>
        <w:t>, which allows for the exchange of experiences and best practices between national and regional authorities.</w:t>
      </w:r>
    </w:p>
    <w:p w14:paraId="307B1CE9" w14:textId="77777777" w:rsidR="00C843A6" w:rsidRPr="00040D99" w:rsidRDefault="00C843A6" w:rsidP="00C843A6">
      <w:pPr>
        <w:pStyle w:val="ppoHeading6"/>
        <w:rPr>
          <w:noProof/>
        </w:rPr>
      </w:pPr>
      <w:r w:rsidRPr="00040D99">
        <w:rPr>
          <w:noProof/>
        </w:rPr>
        <w:t>Mission</w:t>
      </w:r>
    </w:p>
    <w:p w14:paraId="7E10F50D" w14:textId="77777777" w:rsidR="00C843A6" w:rsidRPr="00040D99" w:rsidRDefault="00C843A6" w:rsidP="00C843A6">
      <w:pPr>
        <w:rPr>
          <w:noProof/>
        </w:rPr>
      </w:pPr>
      <w:r>
        <w:rPr>
          <w:noProof/>
        </w:rPr>
        <w:t xml:space="preserve">The CAP aims to support a resilient, sustainable and competitive agricultural sector, to ensure production of high-quality, </w:t>
      </w:r>
      <w:bookmarkStart w:id="165" w:name="_Hlk101792965"/>
      <w:r>
        <w:rPr>
          <w:noProof/>
        </w:rPr>
        <w:t xml:space="preserve">safe and affordable food for </w:t>
      </w:r>
      <w:r w:rsidRPr="00C32F52">
        <w:rPr>
          <w:noProof/>
        </w:rPr>
        <w:t>E</w:t>
      </w:r>
      <w:r>
        <w:rPr>
          <w:noProof/>
        </w:rPr>
        <w:t>U citizens</w:t>
      </w:r>
      <w:bookmarkEnd w:id="165"/>
      <w:r>
        <w:rPr>
          <w:noProof/>
        </w:rPr>
        <w:t xml:space="preserve"> and a strong socioeconomic fabric in rural areas.</w:t>
      </w:r>
    </w:p>
    <w:p w14:paraId="6B95EED4" w14:textId="77777777" w:rsidR="00C843A6" w:rsidRPr="00040D99" w:rsidRDefault="00C843A6" w:rsidP="00C843A6">
      <w:pPr>
        <w:pStyle w:val="ppoHeading6"/>
        <w:rPr>
          <w:noProof/>
        </w:rPr>
      </w:pPr>
      <w:r w:rsidRPr="00040D99">
        <w:rPr>
          <w:noProof/>
        </w:rPr>
        <w:t>Objectives</w:t>
      </w:r>
    </w:p>
    <w:p w14:paraId="71F825A3" w14:textId="77777777" w:rsidR="00C843A6" w:rsidRPr="00A51E2B" w:rsidRDefault="00C843A6" w:rsidP="00C843A6">
      <w:pPr>
        <w:pStyle w:val="ppoHeading6"/>
        <w:ind w:left="0"/>
        <w:rPr>
          <w:rFonts w:eastAsiaTheme="minorHAnsi" w:cstheme="minorBidi"/>
          <w:caps w:val="0"/>
          <w:noProof/>
          <w:sz w:val="22"/>
          <w:szCs w:val="22"/>
          <w:lang w:eastAsia="en-US"/>
        </w:rPr>
      </w:pPr>
      <w:r w:rsidRPr="00A51E2B">
        <w:rPr>
          <w:rFonts w:eastAsiaTheme="minorHAnsi" w:cstheme="minorBidi"/>
          <w:caps w:val="0"/>
          <w:noProof/>
          <w:sz w:val="22"/>
          <w:szCs w:val="22"/>
          <w:lang w:eastAsia="en-US"/>
        </w:rPr>
        <w:t xml:space="preserve">The CAP has </w:t>
      </w:r>
      <w:r>
        <w:rPr>
          <w:rFonts w:eastAsiaTheme="minorHAnsi" w:cstheme="minorBidi"/>
          <w:caps w:val="0"/>
          <w:noProof/>
          <w:sz w:val="22"/>
          <w:szCs w:val="22"/>
          <w:lang w:eastAsia="en-US"/>
        </w:rPr>
        <w:t>three</w:t>
      </w:r>
      <w:r w:rsidRPr="00A51E2B">
        <w:rPr>
          <w:rFonts w:eastAsiaTheme="minorHAnsi" w:cstheme="minorBidi"/>
          <w:caps w:val="0"/>
          <w:noProof/>
          <w:sz w:val="22"/>
          <w:szCs w:val="22"/>
          <w:lang w:eastAsia="en-US"/>
        </w:rPr>
        <w:t xml:space="preserve"> general objectives:</w:t>
      </w:r>
    </w:p>
    <w:p w14:paraId="57C8CA56" w14:textId="77777777" w:rsidR="00C843A6" w:rsidRPr="00161115" w:rsidRDefault="00C843A6" w:rsidP="00C843A6">
      <w:pPr>
        <w:pStyle w:val="ppoHeading6"/>
        <w:numPr>
          <w:ilvl w:val="0"/>
          <w:numId w:val="99"/>
        </w:numPr>
        <w:ind w:left="284" w:hanging="284"/>
        <w:rPr>
          <w:rFonts w:eastAsiaTheme="minorHAnsi" w:cstheme="minorBidi"/>
          <w:caps w:val="0"/>
          <w:noProof/>
          <w:sz w:val="22"/>
          <w:szCs w:val="22"/>
          <w:lang w:eastAsia="en-US"/>
        </w:rPr>
      </w:pPr>
      <w:r w:rsidRPr="00161115">
        <w:rPr>
          <w:rFonts w:eastAsiaTheme="minorHAnsi" w:cstheme="minorBidi"/>
          <w:caps w:val="0"/>
          <w:noProof/>
          <w:sz w:val="22"/>
          <w:szCs w:val="22"/>
          <w:lang w:eastAsia="en-US"/>
        </w:rPr>
        <w:t>viable food production, with a focus on agricultural income, agricultural productivity and price stability;</w:t>
      </w:r>
    </w:p>
    <w:p w14:paraId="4D072347" w14:textId="77777777" w:rsidR="00C843A6" w:rsidRPr="001022EE" w:rsidRDefault="00C843A6" w:rsidP="00C843A6">
      <w:pPr>
        <w:pStyle w:val="ppoHeading6"/>
        <w:numPr>
          <w:ilvl w:val="0"/>
          <w:numId w:val="99"/>
        </w:numPr>
        <w:ind w:left="284" w:hanging="284"/>
        <w:rPr>
          <w:rFonts w:eastAsiaTheme="minorHAnsi" w:cstheme="minorBidi"/>
          <w:caps w:val="0"/>
          <w:noProof/>
          <w:sz w:val="22"/>
          <w:szCs w:val="22"/>
          <w:lang w:eastAsia="en-US"/>
        </w:rPr>
      </w:pPr>
      <w:r w:rsidRPr="001022EE">
        <w:rPr>
          <w:rFonts w:eastAsiaTheme="minorHAnsi" w:cstheme="minorBidi"/>
          <w:caps w:val="0"/>
          <w:noProof/>
          <w:sz w:val="22"/>
          <w:szCs w:val="22"/>
          <w:lang w:eastAsia="en-US"/>
        </w:rPr>
        <w:t>sustainable management of natural resources and climate action, with a focus on greenhouse gas emissions, biodiversity, soil and water;</w:t>
      </w:r>
    </w:p>
    <w:p w14:paraId="25E1330F" w14:textId="77777777" w:rsidR="00C843A6" w:rsidRPr="001022EE" w:rsidRDefault="00C843A6" w:rsidP="00C843A6">
      <w:pPr>
        <w:pStyle w:val="ppoHeading6"/>
        <w:numPr>
          <w:ilvl w:val="0"/>
          <w:numId w:val="99"/>
        </w:numPr>
        <w:ind w:left="284" w:hanging="284"/>
        <w:rPr>
          <w:noProof/>
        </w:rPr>
      </w:pPr>
      <w:r w:rsidRPr="001022EE">
        <w:rPr>
          <w:rFonts w:eastAsiaTheme="minorHAnsi" w:cstheme="minorBidi"/>
          <w:caps w:val="0"/>
          <w:noProof/>
          <w:sz w:val="22"/>
          <w:szCs w:val="22"/>
          <w:lang w:eastAsia="en-US"/>
        </w:rPr>
        <w:t>balanced territorial development, with a focus on rural employment, growth and poverty in rural areas</w:t>
      </w:r>
      <w:r w:rsidRPr="004940DF">
        <w:rPr>
          <w:rFonts w:eastAsiaTheme="minorHAnsi" w:cstheme="minorBidi"/>
          <w:caps w:val="0"/>
          <w:noProof/>
          <w:sz w:val="22"/>
          <w:szCs w:val="22"/>
          <w:lang w:eastAsia="en-US"/>
        </w:rPr>
        <w:t>.</w:t>
      </w:r>
    </w:p>
    <w:p w14:paraId="4B709F3D" w14:textId="77777777" w:rsidR="00C843A6" w:rsidRDefault="00C843A6" w:rsidP="00C843A6">
      <w:pPr>
        <w:rPr>
          <w:noProof/>
        </w:rPr>
      </w:pPr>
      <w:r>
        <w:rPr>
          <w:noProof/>
        </w:rPr>
        <w:t xml:space="preserve">The EAFRD part of the CAP has six key objectives: </w:t>
      </w:r>
    </w:p>
    <w:p w14:paraId="3A99CA5E" w14:textId="77777777" w:rsidR="00C843A6" w:rsidRDefault="00C843A6" w:rsidP="004D27B7">
      <w:pPr>
        <w:pStyle w:val="ppoListArabic1aiii-L1"/>
        <w:numPr>
          <w:ilvl w:val="0"/>
          <w:numId w:val="136"/>
        </w:numPr>
        <w:rPr>
          <w:noProof/>
        </w:rPr>
      </w:pPr>
      <w:r>
        <w:rPr>
          <w:noProof/>
        </w:rPr>
        <w:t>fostering knowledge transfer and innovation in agriculture, forestry and rural areas;</w:t>
      </w:r>
    </w:p>
    <w:p w14:paraId="38F53E82" w14:textId="67B2CD44" w:rsidR="00C843A6" w:rsidRDefault="00C843A6" w:rsidP="00C843A6">
      <w:pPr>
        <w:pStyle w:val="ppoListArabic1aiii-L1"/>
        <w:numPr>
          <w:ilvl w:val="0"/>
          <w:numId w:val="40"/>
        </w:numPr>
        <w:rPr>
          <w:noProof/>
        </w:rPr>
      </w:pPr>
      <w:r>
        <w:rPr>
          <w:noProof/>
        </w:rPr>
        <w:t xml:space="preserve">enhancing farm viability and competitiveness of all types of agriculture in all regions and promoting innovative farm technologies and </w:t>
      </w:r>
      <w:r w:rsidR="004D27B7">
        <w:rPr>
          <w:noProof/>
        </w:rPr>
        <w:t xml:space="preserve">the </w:t>
      </w:r>
      <w:r>
        <w:rPr>
          <w:noProof/>
        </w:rPr>
        <w:t>sustainable management</w:t>
      </w:r>
      <w:r w:rsidR="00C1546E">
        <w:rPr>
          <w:noProof/>
        </w:rPr>
        <w:t xml:space="preserve"> of forests</w:t>
      </w:r>
      <w:r>
        <w:rPr>
          <w:noProof/>
        </w:rPr>
        <w:t>;</w:t>
      </w:r>
    </w:p>
    <w:p w14:paraId="336BCA35" w14:textId="77777777" w:rsidR="00C843A6" w:rsidRDefault="00C843A6" w:rsidP="00C843A6">
      <w:pPr>
        <w:pStyle w:val="ppoListArabic1aiii-L1"/>
        <w:numPr>
          <w:ilvl w:val="0"/>
          <w:numId w:val="40"/>
        </w:numPr>
        <w:rPr>
          <w:noProof/>
        </w:rPr>
      </w:pPr>
      <w:r>
        <w:rPr>
          <w:noProof/>
        </w:rPr>
        <w:t>promoting food chain organisation, including processing and marketing of agricultural products, animal welfare and risk management in agriculture;</w:t>
      </w:r>
    </w:p>
    <w:p w14:paraId="493929F2" w14:textId="77777777" w:rsidR="00C843A6" w:rsidRDefault="00C843A6" w:rsidP="00C843A6">
      <w:pPr>
        <w:pStyle w:val="ppoListArabic1aiii-L1"/>
        <w:numPr>
          <w:ilvl w:val="0"/>
          <w:numId w:val="40"/>
        </w:numPr>
        <w:rPr>
          <w:noProof/>
        </w:rPr>
      </w:pPr>
      <w:r>
        <w:rPr>
          <w:noProof/>
        </w:rPr>
        <w:t>restoring, preserving and enhancing ecosystems related to agriculture and forestry;</w:t>
      </w:r>
    </w:p>
    <w:p w14:paraId="310B08D3" w14:textId="77777777" w:rsidR="00C843A6" w:rsidRDefault="00C843A6" w:rsidP="00C843A6">
      <w:pPr>
        <w:pStyle w:val="ppoListArabic1aiii-L1"/>
        <w:numPr>
          <w:ilvl w:val="0"/>
          <w:numId w:val="40"/>
        </w:numPr>
        <w:rPr>
          <w:noProof/>
        </w:rPr>
      </w:pPr>
      <w:r>
        <w:rPr>
          <w:noProof/>
        </w:rPr>
        <w:t>promoting resource efficiency and supporting the shift towards a low-carbon and climate-resilient economy in the agriculture, food and forestry sectors;</w:t>
      </w:r>
    </w:p>
    <w:p w14:paraId="0F5E4D50" w14:textId="77777777" w:rsidR="00C843A6" w:rsidRDefault="00C843A6" w:rsidP="00C843A6">
      <w:pPr>
        <w:pStyle w:val="ppoListArabic1aiii-L1"/>
        <w:numPr>
          <w:ilvl w:val="0"/>
          <w:numId w:val="40"/>
        </w:numPr>
        <w:rPr>
          <w:noProof/>
        </w:rPr>
      </w:pPr>
      <w:r>
        <w:rPr>
          <w:noProof/>
        </w:rPr>
        <w:t>promoting social inclusion, poverty reduction and economic development in rural areas.</w:t>
      </w:r>
    </w:p>
    <w:p w14:paraId="2FC8B48E" w14:textId="3EBDD166" w:rsidR="00C843A6" w:rsidRDefault="00C843A6" w:rsidP="00C843A6">
      <w:pPr>
        <w:pStyle w:val="ppoListArabic1aiii-L1"/>
        <w:numPr>
          <w:ilvl w:val="0"/>
          <w:numId w:val="0"/>
        </w:numPr>
        <w:rPr>
          <w:noProof/>
        </w:rPr>
      </w:pPr>
      <w:r>
        <w:rPr>
          <w:noProof/>
        </w:rPr>
        <w:t xml:space="preserve">The EAGF part of the CAP </w:t>
      </w:r>
      <w:r w:rsidR="00C1546E">
        <w:rPr>
          <w:noProof/>
        </w:rPr>
        <w:t xml:space="preserve">the following </w:t>
      </w:r>
      <w:r>
        <w:rPr>
          <w:noProof/>
        </w:rPr>
        <w:t>objectives:</w:t>
      </w:r>
    </w:p>
    <w:p w14:paraId="01F15A28" w14:textId="23E9A6D1" w:rsidR="00C843A6" w:rsidRDefault="00C843A6" w:rsidP="004D27B7">
      <w:pPr>
        <w:pStyle w:val="ppoListArabic1aiii-L1"/>
        <w:numPr>
          <w:ilvl w:val="0"/>
          <w:numId w:val="137"/>
        </w:numPr>
        <w:rPr>
          <w:noProof/>
        </w:rPr>
      </w:pPr>
      <w:r>
        <w:rPr>
          <w:noProof/>
        </w:rPr>
        <w:t>to improve the competitiveness of the agricultural sector and enhance its value share in the food chain;</w:t>
      </w:r>
    </w:p>
    <w:p w14:paraId="231C691B" w14:textId="77777777" w:rsidR="00C843A6" w:rsidRDefault="00C843A6" w:rsidP="00C843A6">
      <w:pPr>
        <w:pStyle w:val="ppoListArabic1aiii-L1"/>
        <w:numPr>
          <w:ilvl w:val="0"/>
          <w:numId w:val="40"/>
        </w:numPr>
        <w:rPr>
          <w:noProof/>
        </w:rPr>
      </w:pPr>
      <w:r>
        <w:rPr>
          <w:noProof/>
        </w:rPr>
        <w:t xml:space="preserve">to foster market stability, to </w:t>
      </w:r>
      <w:r w:rsidRPr="0007471C">
        <w:rPr>
          <w:noProof/>
        </w:rPr>
        <w:t>better reflect</w:t>
      </w:r>
      <w:r>
        <w:rPr>
          <w:noProof/>
        </w:rPr>
        <w:t xml:space="preserve"> consumer expectations and to sustain the stability of farmers’ income by providing direct income support;</w:t>
      </w:r>
    </w:p>
    <w:p w14:paraId="13F8E99C" w14:textId="77777777" w:rsidR="00C843A6" w:rsidRDefault="00C843A6" w:rsidP="00C843A6">
      <w:pPr>
        <w:pStyle w:val="ppoListArabic1aiii-L1"/>
        <w:numPr>
          <w:ilvl w:val="0"/>
          <w:numId w:val="40"/>
        </w:numPr>
        <w:rPr>
          <w:noProof/>
        </w:rPr>
      </w:pPr>
      <w:r>
        <w:rPr>
          <w:noProof/>
        </w:rPr>
        <w:t>to promote more market-oriented agriculture by ensuring a significant level of decoupled income support;</w:t>
      </w:r>
    </w:p>
    <w:p w14:paraId="4F26C403" w14:textId="77777777" w:rsidR="00C843A6" w:rsidRDefault="00C843A6" w:rsidP="00C843A6">
      <w:pPr>
        <w:pStyle w:val="ppoListArabic1aiii-L1"/>
        <w:numPr>
          <w:ilvl w:val="0"/>
          <w:numId w:val="40"/>
        </w:numPr>
        <w:rPr>
          <w:noProof/>
        </w:rPr>
      </w:pPr>
      <w:r>
        <w:rPr>
          <w:noProof/>
        </w:rPr>
        <w:t>to contribute to the enhancement of the environmental performance of the common agricultural policy;</w:t>
      </w:r>
    </w:p>
    <w:p w14:paraId="1D3A85BA" w14:textId="2D328A2B" w:rsidR="00C843A6" w:rsidRDefault="00C843A6" w:rsidP="00C843A6">
      <w:pPr>
        <w:pStyle w:val="ppoListArabic1aiii-L1"/>
        <w:numPr>
          <w:ilvl w:val="0"/>
          <w:numId w:val="40"/>
        </w:numPr>
        <w:rPr>
          <w:noProof/>
        </w:rPr>
      </w:pPr>
      <w:r>
        <w:rPr>
          <w:noProof/>
        </w:rPr>
        <w:t xml:space="preserve">to promote local agricultural production and to ensure </w:t>
      </w:r>
      <w:r w:rsidR="00C1546E">
        <w:rPr>
          <w:noProof/>
        </w:rPr>
        <w:t xml:space="preserve">a </w:t>
      </w:r>
      <w:r w:rsidR="00653BB2">
        <w:rPr>
          <w:noProof/>
        </w:rPr>
        <w:t xml:space="preserve">fair </w:t>
      </w:r>
      <w:r w:rsidR="00C1546E">
        <w:rPr>
          <w:noProof/>
        </w:rPr>
        <w:t>level of prices</w:t>
      </w:r>
      <w:r>
        <w:rPr>
          <w:noProof/>
        </w:rPr>
        <w:t xml:space="preserve"> for commodities for direct consumption and for processing by local industries in the outermost regions of the EU and on the Aegean islands;</w:t>
      </w:r>
    </w:p>
    <w:p w14:paraId="6928F3DB" w14:textId="77489952" w:rsidR="00C843A6" w:rsidRDefault="00C843A6" w:rsidP="00C843A6">
      <w:pPr>
        <w:pStyle w:val="ppoListArabic1aiii-L1"/>
        <w:numPr>
          <w:ilvl w:val="0"/>
          <w:numId w:val="40"/>
        </w:numPr>
        <w:rPr>
          <w:noProof/>
        </w:rPr>
      </w:pPr>
      <w:r>
        <w:rPr>
          <w:noProof/>
        </w:rPr>
        <w:t xml:space="preserve">to provide the Commission with reasonable assurances that Member States have </w:t>
      </w:r>
      <w:r w:rsidR="00C1546E">
        <w:rPr>
          <w:noProof/>
        </w:rPr>
        <w:t xml:space="preserve">put in place </w:t>
      </w:r>
      <w:r>
        <w:rPr>
          <w:noProof/>
        </w:rPr>
        <w:t>management and control systems in conformity with EU rules;</w:t>
      </w:r>
    </w:p>
    <w:p w14:paraId="631FF6BE" w14:textId="77777777" w:rsidR="00C843A6" w:rsidRDefault="00C843A6" w:rsidP="00C843A6">
      <w:pPr>
        <w:pStyle w:val="ppoListArabic1aiii-L1"/>
        <w:numPr>
          <w:ilvl w:val="0"/>
          <w:numId w:val="40"/>
        </w:numPr>
        <w:rPr>
          <w:noProof/>
        </w:rPr>
      </w:pPr>
      <w:r>
        <w:rPr>
          <w:noProof/>
        </w:rPr>
        <w:t>to inform and increase awareness of the common agricultural policy by maintaining an effective and regular dialogue with stakeholders, civil society and specific target audiences;</w:t>
      </w:r>
    </w:p>
    <w:p w14:paraId="5C49BD39" w14:textId="77777777" w:rsidR="00C843A6" w:rsidRPr="00040D99" w:rsidRDefault="00C843A6" w:rsidP="00C843A6">
      <w:pPr>
        <w:pStyle w:val="ppoListArabic1aiii-L1"/>
        <w:numPr>
          <w:ilvl w:val="0"/>
          <w:numId w:val="40"/>
        </w:numPr>
        <w:rPr>
          <w:noProof/>
        </w:rPr>
      </w:pPr>
      <w:r>
        <w:rPr>
          <w:noProof/>
        </w:rPr>
        <w:t xml:space="preserve">to facilitate </w:t>
      </w:r>
      <w:r w:rsidRPr="00C57F5E">
        <w:rPr>
          <w:noProof/>
        </w:rPr>
        <w:t>decision-making</w:t>
      </w:r>
      <w:r>
        <w:rPr>
          <w:noProof/>
        </w:rPr>
        <w:t xml:space="preserve"> on strategic choices for the common agricultural policy and to support other activities of </w:t>
      </w:r>
      <w:r w:rsidRPr="00F62CC8">
        <w:rPr>
          <w:noProof/>
        </w:rPr>
        <w:t>DG</w:t>
      </w:r>
      <w:r>
        <w:rPr>
          <w:noProof/>
        </w:rPr>
        <w:t xml:space="preserve"> </w:t>
      </w:r>
      <w:r w:rsidRPr="00F62CC8">
        <w:rPr>
          <w:noProof/>
        </w:rPr>
        <w:t>Agriculture and Rural Development</w:t>
      </w:r>
      <w:r>
        <w:rPr>
          <w:noProof/>
        </w:rPr>
        <w:t xml:space="preserve"> by means of economic and policy analyses and studies.</w:t>
      </w:r>
    </w:p>
    <w:p w14:paraId="13ED2A9F" w14:textId="77777777" w:rsidR="00C843A6" w:rsidRPr="00040D99" w:rsidRDefault="00C843A6" w:rsidP="00C843A6">
      <w:pPr>
        <w:pStyle w:val="ppoHeading6"/>
        <w:rPr>
          <w:noProof/>
        </w:rPr>
      </w:pPr>
      <w:r w:rsidRPr="00040D99">
        <w:rPr>
          <w:noProof/>
        </w:rPr>
        <w:t>Actions</w:t>
      </w:r>
    </w:p>
    <w:p w14:paraId="0C88D35B" w14:textId="77777777" w:rsidR="00C843A6" w:rsidRDefault="00C843A6" w:rsidP="00C843A6">
      <w:pPr>
        <w:rPr>
          <w:noProof/>
        </w:rPr>
      </w:pPr>
      <w:r>
        <w:rPr>
          <w:noProof/>
        </w:rPr>
        <w:t>The EAFRD pursues its objectives in the following ways.</w:t>
      </w:r>
    </w:p>
    <w:p w14:paraId="7821095F" w14:textId="77777777" w:rsidR="00C843A6" w:rsidRDefault="00C843A6" w:rsidP="00C843A6">
      <w:pPr>
        <w:pStyle w:val="ListParagraph"/>
        <w:numPr>
          <w:ilvl w:val="0"/>
          <w:numId w:val="98"/>
        </w:numPr>
        <w:rPr>
          <w:noProof/>
        </w:rPr>
      </w:pPr>
      <w:r w:rsidRPr="006B7027">
        <w:rPr>
          <w:b/>
          <w:bCs/>
          <w:noProof/>
        </w:rPr>
        <w:t>Financing the EU’s contribution to rural development programmes.</w:t>
      </w:r>
      <w:r>
        <w:rPr>
          <w:noProof/>
        </w:rPr>
        <w:t xml:space="preserve"> These programmes contribute to smart, sustainable and inclusive growth in the EU by supporting farms, the food and forestry sectors and other entities operating in rural areas</w:t>
      </w:r>
      <w:r>
        <w:rPr>
          <w:rFonts w:ascii="Calibri" w:hAnsi="Calibri" w:cs="Calibri"/>
          <w:noProof/>
        </w:rPr>
        <w:t> –</w:t>
      </w:r>
      <w:r>
        <w:rPr>
          <w:noProof/>
        </w:rPr>
        <w:t xml:space="preserve"> such as non-agricultural businesses, non-governmental organisations and local authorities</w:t>
      </w:r>
      <w:r>
        <w:rPr>
          <w:rFonts w:ascii="Calibri" w:hAnsi="Calibri" w:cs="Calibri"/>
          <w:noProof/>
        </w:rPr>
        <w:t> –</w:t>
      </w:r>
      <w:r>
        <w:rPr>
          <w:noProof/>
        </w:rPr>
        <w:t xml:space="preserve"> by fostering knowledge transfer and innovation, investing in green technologies, skills and training, promoting entrepreneurship and networking, supporting the preservation of natural resources, promoting environmentally sustainable land management, enhancing ecosystems and maintaining landscapes attractive for tourism. </w:t>
      </w:r>
    </w:p>
    <w:p w14:paraId="26716E03" w14:textId="77777777" w:rsidR="00C843A6" w:rsidRDefault="00C843A6" w:rsidP="00C843A6">
      <w:pPr>
        <w:pStyle w:val="ListParagraph"/>
        <w:numPr>
          <w:ilvl w:val="0"/>
          <w:numId w:val="98"/>
        </w:numPr>
        <w:rPr>
          <w:noProof/>
        </w:rPr>
      </w:pPr>
      <w:r w:rsidRPr="006B7027">
        <w:rPr>
          <w:b/>
          <w:bCs/>
          <w:noProof/>
        </w:rPr>
        <w:t>Supporting the shift towards a low carbon and a climate-resilient economy.</w:t>
      </w:r>
      <w:r>
        <w:rPr>
          <w:noProof/>
        </w:rPr>
        <w:t xml:space="preserve"> EAFRD support helps farmers and rural businesses to reduce greenhouse gas and ammonia emissions, adapt to climate change consequences and manage renewable resources and waste, thus making a direct contribution to the e</w:t>
      </w:r>
      <w:r w:rsidRPr="001D0F66">
        <w:rPr>
          <w:noProof/>
        </w:rPr>
        <w:t xml:space="preserve">nergy </w:t>
      </w:r>
      <w:r>
        <w:rPr>
          <w:noProof/>
        </w:rPr>
        <w:t>u</w:t>
      </w:r>
      <w:r w:rsidRPr="001D0F66">
        <w:rPr>
          <w:noProof/>
        </w:rPr>
        <w:t>nion</w:t>
      </w:r>
      <w:r>
        <w:rPr>
          <w:noProof/>
        </w:rPr>
        <w:t>.</w:t>
      </w:r>
    </w:p>
    <w:p w14:paraId="68961D2A" w14:textId="77777777" w:rsidR="00C843A6" w:rsidRPr="00040D99" w:rsidRDefault="00C843A6" w:rsidP="00C843A6">
      <w:pPr>
        <w:pStyle w:val="ListParagraph"/>
        <w:numPr>
          <w:ilvl w:val="0"/>
          <w:numId w:val="98"/>
        </w:numPr>
        <w:rPr>
          <w:noProof/>
        </w:rPr>
      </w:pPr>
      <w:r w:rsidRPr="006B7027">
        <w:rPr>
          <w:b/>
          <w:bCs/>
          <w:noProof/>
        </w:rPr>
        <w:t>Supporting other programmes</w:t>
      </w:r>
      <w:r>
        <w:rPr>
          <w:b/>
          <w:bCs/>
          <w:noProof/>
        </w:rPr>
        <w:t>.</w:t>
      </w:r>
      <w:r>
        <w:rPr>
          <w:noProof/>
        </w:rPr>
        <w:t xml:space="preserve"> Examples include the d</w:t>
      </w:r>
      <w:r w:rsidRPr="00F04A4A">
        <w:rPr>
          <w:noProof/>
        </w:rPr>
        <w:t xml:space="preserve">igital </w:t>
      </w:r>
      <w:r>
        <w:rPr>
          <w:noProof/>
        </w:rPr>
        <w:t>s</w:t>
      </w:r>
      <w:r w:rsidRPr="00F04A4A">
        <w:rPr>
          <w:noProof/>
        </w:rPr>
        <w:t xml:space="preserve">ingle </w:t>
      </w:r>
      <w:r>
        <w:rPr>
          <w:noProof/>
        </w:rPr>
        <w:t>m</w:t>
      </w:r>
      <w:r w:rsidRPr="00F04A4A">
        <w:rPr>
          <w:noProof/>
        </w:rPr>
        <w:t>arket</w:t>
      </w:r>
      <w:r>
        <w:rPr>
          <w:noProof/>
        </w:rPr>
        <w:t xml:space="preserve"> (by supporting broadband infrastructure and various </w:t>
      </w:r>
      <w:r w:rsidRPr="006B7027">
        <w:rPr>
          <w:noProof/>
        </w:rPr>
        <w:t>information and communications technology</w:t>
      </w:r>
      <w:r>
        <w:rPr>
          <w:noProof/>
        </w:rPr>
        <w:t xml:space="preserve"> solutions in rural areas) and the </w:t>
      </w:r>
      <w:r w:rsidRPr="002E65AF">
        <w:rPr>
          <w:noProof/>
        </w:rPr>
        <w:t xml:space="preserve">European </w:t>
      </w:r>
      <w:r>
        <w:rPr>
          <w:noProof/>
        </w:rPr>
        <w:t>i</w:t>
      </w:r>
      <w:r w:rsidRPr="002E65AF">
        <w:rPr>
          <w:noProof/>
        </w:rPr>
        <w:t xml:space="preserve">nnovation </w:t>
      </w:r>
      <w:r>
        <w:rPr>
          <w:noProof/>
        </w:rPr>
        <w:t>p</w:t>
      </w:r>
      <w:r w:rsidRPr="002E65AF">
        <w:rPr>
          <w:noProof/>
        </w:rPr>
        <w:t xml:space="preserve">artnership for </w:t>
      </w:r>
      <w:r>
        <w:rPr>
          <w:noProof/>
        </w:rPr>
        <w:t>a</w:t>
      </w:r>
      <w:r w:rsidRPr="002E65AF">
        <w:rPr>
          <w:noProof/>
        </w:rPr>
        <w:t>griculture</w:t>
      </w:r>
      <w:r>
        <w:rPr>
          <w:noProof/>
        </w:rPr>
        <w:t xml:space="preserve"> (by supporting its interactive innovation projects). The EAFRD also contributes to the Europe 2020 objectives (e.g. by encouraging innovation and entrepreneurship, promoting inclusiveness and increasing the impact of EU-funded research on the economy).</w:t>
      </w:r>
    </w:p>
    <w:p w14:paraId="61E9B750" w14:textId="77777777" w:rsidR="00C843A6" w:rsidRPr="00D0522B" w:rsidRDefault="00C843A6" w:rsidP="00C843A6">
      <w:pPr>
        <w:rPr>
          <w:noProof/>
        </w:rPr>
      </w:pPr>
      <w:r w:rsidRPr="00D0522B">
        <w:rPr>
          <w:noProof/>
        </w:rPr>
        <w:t xml:space="preserve">The EAGF </w:t>
      </w:r>
      <w:r>
        <w:rPr>
          <w:noProof/>
        </w:rPr>
        <w:t>pursues its objectives by:</w:t>
      </w:r>
      <w:r w:rsidDel="005E6322">
        <w:rPr>
          <w:noProof/>
        </w:rPr>
        <w:t xml:space="preserve"> </w:t>
      </w:r>
    </w:p>
    <w:p w14:paraId="5E2A56D8" w14:textId="77777777" w:rsidR="00C843A6" w:rsidRDefault="00C843A6" w:rsidP="00C843A6">
      <w:pPr>
        <w:pStyle w:val="ListParagraph"/>
        <w:numPr>
          <w:ilvl w:val="0"/>
          <w:numId w:val="97"/>
        </w:numPr>
        <w:rPr>
          <w:noProof/>
        </w:rPr>
      </w:pPr>
      <w:r w:rsidRPr="00D0522B">
        <w:rPr>
          <w:noProof/>
        </w:rPr>
        <w:t>Direct payments</w:t>
      </w:r>
      <w:r>
        <w:rPr>
          <w:noProof/>
        </w:rPr>
        <w:t xml:space="preserve">, which </w:t>
      </w:r>
      <w:r w:rsidRPr="00D0522B">
        <w:rPr>
          <w:noProof/>
        </w:rPr>
        <w:t>provid</w:t>
      </w:r>
      <w:r>
        <w:rPr>
          <w:noProof/>
        </w:rPr>
        <w:t>e</w:t>
      </w:r>
      <w:r w:rsidRPr="00D0522B">
        <w:rPr>
          <w:noProof/>
        </w:rPr>
        <w:t xml:space="preserve"> a basic protection of farm income against the particular shocks to which agricultur</w:t>
      </w:r>
      <w:r>
        <w:rPr>
          <w:noProof/>
        </w:rPr>
        <w:t xml:space="preserve">e is exposed, such as </w:t>
      </w:r>
      <w:r w:rsidRPr="00D0522B">
        <w:rPr>
          <w:noProof/>
        </w:rPr>
        <w:t xml:space="preserve">price and weather. </w:t>
      </w:r>
      <w:r>
        <w:rPr>
          <w:noProof/>
        </w:rPr>
        <w:t xml:space="preserve">Direct payments are linked </w:t>
      </w:r>
      <w:r w:rsidRPr="00D0522B">
        <w:rPr>
          <w:noProof/>
        </w:rPr>
        <w:t>to standards concerning the environment, food safety, animal and plant health and animal welfare throughout the EU. Furthermore</w:t>
      </w:r>
      <w:r>
        <w:rPr>
          <w:noProof/>
        </w:rPr>
        <w:t xml:space="preserve">, through the </w:t>
      </w:r>
      <w:r w:rsidRPr="00D0522B">
        <w:rPr>
          <w:noProof/>
        </w:rPr>
        <w:t>‘greening’ layer</w:t>
      </w:r>
      <w:r>
        <w:rPr>
          <w:noProof/>
        </w:rPr>
        <w:t xml:space="preserve">, </w:t>
      </w:r>
      <w:r w:rsidRPr="00D0522B">
        <w:rPr>
          <w:noProof/>
        </w:rPr>
        <w:t>direct payments reward farmers for additional environmental care related to crop diversity, permanent grassland and ecologically beneficial zones or landscape features.</w:t>
      </w:r>
      <w:r>
        <w:rPr>
          <w:noProof/>
        </w:rPr>
        <w:t xml:space="preserve"> </w:t>
      </w:r>
    </w:p>
    <w:p w14:paraId="1952940F" w14:textId="77777777" w:rsidR="00C843A6" w:rsidRDefault="00C843A6" w:rsidP="00C843A6">
      <w:pPr>
        <w:pStyle w:val="ListParagraph"/>
        <w:numPr>
          <w:ilvl w:val="0"/>
          <w:numId w:val="97"/>
        </w:numPr>
        <w:rPr>
          <w:noProof/>
        </w:rPr>
      </w:pPr>
      <w:r w:rsidRPr="00D0522B">
        <w:rPr>
          <w:noProof/>
        </w:rPr>
        <w:t xml:space="preserve">The </w:t>
      </w:r>
      <w:r>
        <w:rPr>
          <w:noProof/>
        </w:rPr>
        <w:t>c</w:t>
      </w:r>
      <w:r w:rsidRPr="004E3831">
        <w:rPr>
          <w:noProof/>
        </w:rPr>
        <w:t xml:space="preserve">ommon </w:t>
      </w:r>
      <w:r>
        <w:rPr>
          <w:noProof/>
        </w:rPr>
        <w:t>m</w:t>
      </w:r>
      <w:r w:rsidRPr="004E3831">
        <w:rPr>
          <w:noProof/>
        </w:rPr>
        <w:t xml:space="preserve">arket </w:t>
      </w:r>
      <w:r>
        <w:rPr>
          <w:noProof/>
        </w:rPr>
        <w:t>o</w:t>
      </w:r>
      <w:r w:rsidRPr="004E3831">
        <w:rPr>
          <w:noProof/>
        </w:rPr>
        <w:t>rganisation</w:t>
      </w:r>
      <w:r>
        <w:rPr>
          <w:noProof/>
        </w:rPr>
        <w:t>,</w:t>
      </w:r>
      <w:r w:rsidRPr="00D0522B">
        <w:rPr>
          <w:noProof/>
        </w:rPr>
        <w:t xml:space="preserve"> </w:t>
      </w:r>
      <w:r>
        <w:rPr>
          <w:noProof/>
        </w:rPr>
        <w:t xml:space="preserve">which </w:t>
      </w:r>
      <w:r w:rsidRPr="00D0522B">
        <w:rPr>
          <w:noProof/>
        </w:rPr>
        <w:t>provid</w:t>
      </w:r>
      <w:r>
        <w:rPr>
          <w:noProof/>
        </w:rPr>
        <w:t>es</w:t>
      </w:r>
      <w:r w:rsidRPr="00D0522B">
        <w:rPr>
          <w:noProof/>
        </w:rPr>
        <w:t xml:space="preserve"> a framework of rules on issues such as market support measures, product standards, labelling and producer cooperation.</w:t>
      </w:r>
    </w:p>
    <w:p w14:paraId="1006B308" w14:textId="77777777" w:rsidR="00C843A6" w:rsidRPr="00040D99" w:rsidRDefault="00C843A6" w:rsidP="00C843A6">
      <w:pPr>
        <w:pStyle w:val="ppoHeading6"/>
        <w:rPr>
          <w:noProof/>
        </w:rPr>
      </w:pPr>
      <w:r w:rsidRPr="00040D99">
        <w:rPr>
          <w:noProof/>
        </w:rPr>
        <w:t>Delivery mode</w:t>
      </w:r>
    </w:p>
    <w:p w14:paraId="6C0EFA7E" w14:textId="77777777" w:rsidR="00C843A6" w:rsidRDefault="00C843A6" w:rsidP="00C843A6">
      <w:pPr>
        <w:rPr>
          <w:noProof/>
        </w:rPr>
      </w:pPr>
      <w:r>
        <w:rPr>
          <w:noProof/>
        </w:rPr>
        <w:t xml:space="preserve">The implementation of the programme is in shared management. </w:t>
      </w:r>
      <w:r w:rsidRPr="00F62CC8">
        <w:rPr>
          <w:noProof/>
        </w:rPr>
        <w:t>DG</w:t>
      </w:r>
      <w:r>
        <w:rPr>
          <w:noProof/>
        </w:rPr>
        <w:t xml:space="preserve"> </w:t>
      </w:r>
      <w:r w:rsidRPr="00F62CC8">
        <w:rPr>
          <w:noProof/>
        </w:rPr>
        <w:t>Agriculture and Rural Development</w:t>
      </w:r>
      <w:r>
        <w:rPr>
          <w:noProof/>
        </w:rPr>
        <w:t xml:space="preserve"> is the lead for the Commission.</w:t>
      </w:r>
    </w:p>
    <w:p w14:paraId="15ACA3A5" w14:textId="77777777" w:rsidR="00C843A6" w:rsidRPr="00040D99" w:rsidRDefault="00C843A6" w:rsidP="00C843A6">
      <w:pPr>
        <w:pStyle w:val="ppoHeading6"/>
        <w:rPr>
          <w:noProof/>
        </w:rPr>
      </w:pPr>
      <w:r>
        <w:rPr>
          <w:noProof/>
        </w:rPr>
        <w:t>LINK TO THE 2014-2020 MULTIANNUAL FINANCIAL FRAMEWORK</w:t>
      </w:r>
    </w:p>
    <w:p w14:paraId="1B0EABC3" w14:textId="07B74955" w:rsidR="00C843A6" w:rsidRPr="00040D99" w:rsidRDefault="00C843A6" w:rsidP="00C843A6">
      <w:pPr>
        <w:rPr>
          <w:noProof/>
        </w:rPr>
      </w:pPr>
      <w:r>
        <w:rPr>
          <w:noProof/>
        </w:rPr>
        <w:t>T</w:t>
      </w:r>
      <w:r w:rsidRPr="00A74A6E">
        <w:rPr>
          <w:noProof/>
        </w:rPr>
        <w:t xml:space="preserve">he </w:t>
      </w:r>
      <w:r>
        <w:rPr>
          <w:noProof/>
        </w:rPr>
        <w:t xml:space="preserve">application of the </w:t>
      </w:r>
      <w:r w:rsidR="00C1546E">
        <w:rPr>
          <w:noProof/>
        </w:rPr>
        <w:t xml:space="preserve">current </w:t>
      </w:r>
      <w:r w:rsidRPr="00A74A6E">
        <w:rPr>
          <w:noProof/>
        </w:rPr>
        <w:t>CAP regulations</w:t>
      </w:r>
      <w:r>
        <w:rPr>
          <w:noProof/>
        </w:rPr>
        <w:t xml:space="preserve"> will continue through the end of 2022</w:t>
      </w:r>
      <w:r w:rsidRPr="00A74A6E">
        <w:rPr>
          <w:noProof/>
        </w:rPr>
        <w:t xml:space="preserve"> within the budgetary framework of </w:t>
      </w:r>
      <w:r>
        <w:rPr>
          <w:noProof/>
        </w:rPr>
        <w:t>the 2021-2027 multiannual financial framework</w:t>
      </w:r>
      <w:r w:rsidRPr="00A74A6E">
        <w:rPr>
          <w:noProof/>
        </w:rPr>
        <w:t>.</w:t>
      </w:r>
      <w:r>
        <w:rPr>
          <w:noProof/>
        </w:rPr>
        <w:t xml:space="preserve"> The new CAP, which will be implemented fro</w:t>
      </w:r>
      <w:r w:rsidR="004D27B7">
        <w:rPr>
          <w:noProof/>
        </w:rPr>
        <w:t>m 2023 for the 2023-2027 period,</w:t>
      </w:r>
      <w:r>
        <w:rPr>
          <w:noProof/>
        </w:rPr>
        <w:t xml:space="preserve"> has been designed to address the challenges identified for the 2021</w:t>
      </w:r>
      <w:r>
        <w:rPr>
          <w:noProof/>
        </w:rPr>
        <w:noBreakHyphen/>
        <w:t xml:space="preserve">2027 period. </w:t>
      </w:r>
      <w:r w:rsidR="004D27B7">
        <w:rPr>
          <w:noProof/>
        </w:rPr>
        <w:t>The central element</w:t>
      </w:r>
      <w:r w:rsidRPr="00A905BE">
        <w:rPr>
          <w:noProof/>
        </w:rPr>
        <w:t xml:space="preserve"> of the CAP </w:t>
      </w:r>
      <w:r w:rsidR="00C1546E">
        <w:rPr>
          <w:noProof/>
        </w:rPr>
        <w:t>will be the</w:t>
      </w:r>
      <w:r w:rsidR="00C1546E" w:rsidRPr="00A905BE">
        <w:rPr>
          <w:noProof/>
        </w:rPr>
        <w:t xml:space="preserve"> </w:t>
      </w:r>
      <w:r w:rsidRPr="00A905BE">
        <w:rPr>
          <w:noProof/>
        </w:rPr>
        <w:t xml:space="preserve">new performance-based delivery model, </w:t>
      </w:r>
      <w:r w:rsidRPr="004B5015">
        <w:rPr>
          <w:noProof/>
        </w:rPr>
        <w:t>focusing</w:t>
      </w:r>
      <w:r w:rsidR="004D27B7">
        <w:rPr>
          <w:noProof/>
        </w:rPr>
        <w:t xml:space="preserve"> on results rather than</w:t>
      </w:r>
      <w:r w:rsidRPr="00A905BE">
        <w:rPr>
          <w:noProof/>
        </w:rPr>
        <w:t xml:space="preserve"> compliance and 28 national CAP strategic plans</w:t>
      </w:r>
      <w:r>
        <w:rPr>
          <w:noProof/>
        </w:rPr>
        <w:t xml:space="preserve"> (one for each Member State except Belgium, where there is one for Wallonia and one for Flanders).</w:t>
      </w:r>
    </w:p>
    <w:p w14:paraId="1CE021DF" w14:textId="77777777" w:rsidR="00C843A6" w:rsidRPr="00040D99" w:rsidRDefault="00C843A6" w:rsidP="00C843A6">
      <w:pPr>
        <w:pStyle w:val="ppoHeading6"/>
        <w:rPr>
          <w:noProof/>
        </w:rPr>
      </w:pPr>
      <w:r w:rsidRPr="00040D99">
        <w:rPr>
          <w:noProof/>
        </w:rPr>
        <w:t>Impact assessment</w:t>
      </w:r>
    </w:p>
    <w:p w14:paraId="5D802D2B" w14:textId="77777777" w:rsidR="00C843A6" w:rsidRDefault="00C843A6" w:rsidP="00C843A6">
      <w:pPr>
        <w:rPr>
          <w:noProof/>
        </w:rPr>
      </w:pPr>
      <w:r>
        <w:rPr>
          <w:noProof/>
        </w:rPr>
        <w:t xml:space="preserve">The impact assessment of the EAGF and EAFRD was carried out in April 2018. Please see </w:t>
      </w:r>
      <w:hyperlink r:id="rId368" w:history="1">
        <w:r w:rsidRPr="006F0F28">
          <w:rPr>
            <w:rStyle w:val="Hyperlink"/>
            <w:noProof/>
          </w:rPr>
          <w:t>https://europa.eu/!Rd79mr</w:t>
        </w:r>
      </w:hyperlink>
    </w:p>
    <w:p w14:paraId="1951BD90" w14:textId="77777777" w:rsidR="00C843A6" w:rsidRPr="00040D99" w:rsidRDefault="00C843A6" w:rsidP="00C843A6">
      <w:pPr>
        <w:pStyle w:val="ppoHeading6"/>
        <w:rPr>
          <w:noProof/>
        </w:rPr>
      </w:pPr>
      <w:r>
        <w:rPr>
          <w:noProof/>
        </w:rPr>
        <w:t>WEBSITE FOR more information</w:t>
      </w:r>
    </w:p>
    <w:p w14:paraId="6FE20936" w14:textId="77777777" w:rsidR="00C843A6" w:rsidRPr="005E5E8D" w:rsidRDefault="00E01E9B" w:rsidP="00C843A6">
      <w:pPr>
        <w:rPr>
          <w:noProof/>
          <w:lang w:val="en-US"/>
        </w:rPr>
      </w:pPr>
      <w:hyperlink r:id="rId369" w:history="1">
        <w:r w:rsidR="00C843A6" w:rsidRPr="005E5E8D">
          <w:rPr>
            <w:rStyle w:val="Hyperlink"/>
            <w:noProof/>
            <w:lang w:val="en-US"/>
          </w:rPr>
          <w:t>https://europa.eu/!hNKPwT</w:t>
        </w:r>
      </w:hyperlink>
    </w:p>
    <w:p w14:paraId="4D885CE5" w14:textId="77777777" w:rsidR="00C843A6" w:rsidRPr="005E5E8D" w:rsidRDefault="00C843A6" w:rsidP="00C843A6">
      <w:pPr>
        <w:pStyle w:val="ppoHeading5"/>
        <w:rPr>
          <w:noProof/>
          <w:lang w:val="en-US"/>
        </w:rPr>
      </w:pPr>
      <w:r w:rsidRPr="005E5E8D">
        <w:rPr>
          <w:rFonts w:eastAsiaTheme="minorEastAsia"/>
          <w:noProof/>
          <w:lang w:val="en-US"/>
        </w:rPr>
        <w:t>Legal basis</w:t>
      </w:r>
    </w:p>
    <w:p w14:paraId="036095D6" w14:textId="77777777" w:rsidR="00C843A6" w:rsidRDefault="00C843A6" w:rsidP="00C843A6">
      <w:pPr>
        <w:rPr>
          <w:noProof/>
        </w:rPr>
      </w:pPr>
      <w:r w:rsidRPr="00A74A6E">
        <w:rPr>
          <w:noProof/>
        </w:rPr>
        <w:t>Regulation (EU)</w:t>
      </w:r>
      <w:r>
        <w:rPr>
          <w:rFonts w:ascii="Calibri" w:hAnsi="Calibri" w:cs="Calibri"/>
          <w:noProof/>
        </w:rPr>
        <w:t> </w:t>
      </w:r>
      <w:r w:rsidRPr="00A74A6E">
        <w:rPr>
          <w:noProof/>
        </w:rPr>
        <w:t>1306/2013</w:t>
      </w:r>
      <w:r>
        <w:rPr>
          <w:noProof/>
        </w:rPr>
        <w:t xml:space="preserve"> </w:t>
      </w:r>
      <w:r w:rsidRPr="00040D99">
        <w:rPr>
          <w:noProof/>
        </w:rPr>
        <w:t>of the European Parliament and of the Council</w:t>
      </w:r>
      <w:r>
        <w:rPr>
          <w:noProof/>
        </w:rPr>
        <w:t>.</w:t>
      </w:r>
    </w:p>
    <w:p w14:paraId="2B60E1A6" w14:textId="77777777" w:rsidR="00C843A6" w:rsidRPr="00040D99" w:rsidRDefault="00C843A6" w:rsidP="00C843A6">
      <w:pPr>
        <w:rPr>
          <w:noProof/>
        </w:rPr>
      </w:pPr>
      <w:r w:rsidRPr="00A74A6E">
        <w:rPr>
          <w:noProof/>
        </w:rPr>
        <w:t>Regulation (EU)</w:t>
      </w:r>
      <w:r>
        <w:rPr>
          <w:rFonts w:ascii="Calibri" w:hAnsi="Calibri" w:cs="Calibri"/>
          <w:noProof/>
        </w:rPr>
        <w:t> </w:t>
      </w:r>
      <w:r w:rsidRPr="00A74A6E">
        <w:rPr>
          <w:noProof/>
        </w:rPr>
        <w:t>130</w:t>
      </w:r>
      <w:r>
        <w:rPr>
          <w:noProof/>
        </w:rPr>
        <w:t>7</w:t>
      </w:r>
      <w:r w:rsidRPr="00A74A6E">
        <w:rPr>
          <w:noProof/>
        </w:rPr>
        <w:t>/2013</w:t>
      </w:r>
      <w:r>
        <w:rPr>
          <w:noProof/>
        </w:rPr>
        <w:t xml:space="preserve"> </w:t>
      </w:r>
      <w:r w:rsidRPr="00040D99">
        <w:rPr>
          <w:noProof/>
        </w:rPr>
        <w:t>of the European Parliament and of the Council</w:t>
      </w:r>
      <w:r>
        <w:rPr>
          <w:noProof/>
        </w:rPr>
        <w:t>.</w:t>
      </w:r>
    </w:p>
    <w:p w14:paraId="3EBD6BE8" w14:textId="77777777" w:rsidR="00C843A6" w:rsidRDefault="00C843A6" w:rsidP="00C843A6">
      <w:pPr>
        <w:rPr>
          <w:noProof/>
        </w:rPr>
      </w:pPr>
      <w:r w:rsidRPr="00A74A6E">
        <w:rPr>
          <w:noProof/>
        </w:rPr>
        <w:t>Regulation (EU)</w:t>
      </w:r>
      <w:r>
        <w:rPr>
          <w:rFonts w:ascii="Calibri" w:hAnsi="Calibri" w:cs="Calibri"/>
          <w:noProof/>
        </w:rPr>
        <w:t> </w:t>
      </w:r>
      <w:r w:rsidRPr="00A74A6E">
        <w:rPr>
          <w:noProof/>
        </w:rPr>
        <w:t>130</w:t>
      </w:r>
      <w:r>
        <w:rPr>
          <w:noProof/>
        </w:rPr>
        <w:t>8</w:t>
      </w:r>
      <w:r w:rsidRPr="00A74A6E">
        <w:rPr>
          <w:noProof/>
        </w:rPr>
        <w:t>/2013</w:t>
      </w:r>
      <w:r>
        <w:rPr>
          <w:noProof/>
        </w:rPr>
        <w:t xml:space="preserve"> </w:t>
      </w:r>
      <w:r w:rsidRPr="00040D99">
        <w:rPr>
          <w:noProof/>
        </w:rPr>
        <w:t>of the European Parliament and of the Council</w:t>
      </w:r>
      <w:r>
        <w:rPr>
          <w:noProof/>
        </w:rPr>
        <w:t>.</w:t>
      </w:r>
    </w:p>
    <w:p w14:paraId="03E16B84" w14:textId="77777777" w:rsidR="00C843A6" w:rsidRPr="00040D99" w:rsidRDefault="00C843A6" w:rsidP="00C843A6">
      <w:pPr>
        <w:rPr>
          <w:noProof/>
        </w:rPr>
      </w:pPr>
      <w:r w:rsidRPr="00A74A6E">
        <w:rPr>
          <w:noProof/>
        </w:rPr>
        <w:t>Regulation (EU)</w:t>
      </w:r>
      <w:r>
        <w:rPr>
          <w:rFonts w:ascii="Calibri" w:hAnsi="Calibri" w:cs="Calibri"/>
          <w:noProof/>
        </w:rPr>
        <w:t> </w:t>
      </w:r>
      <w:r w:rsidRPr="00A74A6E">
        <w:rPr>
          <w:noProof/>
        </w:rPr>
        <w:t>130</w:t>
      </w:r>
      <w:r>
        <w:rPr>
          <w:noProof/>
        </w:rPr>
        <w:t>5</w:t>
      </w:r>
      <w:r w:rsidRPr="00A74A6E">
        <w:rPr>
          <w:noProof/>
        </w:rPr>
        <w:t>/2013</w:t>
      </w:r>
      <w:r>
        <w:rPr>
          <w:noProof/>
        </w:rPr>
        <w:t xml:space="preserve"> </w:t>
      </w:r>
      <w:r w:rsidRPr="00040D99">
        <w:rPr>
          <w:noProof/>
        </w:rPr>
        <w:t>of the European Parliament and of the Council</w:t>
      </w:r>
      <w:r>
        <w:rPr>
          <w:noProof/>
        </w:rPr>
        <w:t>.</w:t>
      </w:r>
    </w:p>
    <w:p w14:paraId="79E65E52" w14:textId="77777777" w:rsidR="00C843A6" w:rsidRPr="00040D99" w:rsidRDefault="00C843A6" w:rsidP="00C843A6">
      <w:pPr>
        <w:rPr>
          <w:noProof/>
        </w:rPr>
      </w:pPr>
      <w:r w:rsidRPr="00A74A6E">
        <w:rPr>
          <w:noProof/>
        </w:rPr>
        <w:t>Regulation (EU)</w:t>
      </w:r>
      <w:r>
        <w:rPr>
          <w:rFonts w:ascii="Calibri" w:hAnsi="Calibri" w:cs="Calibri"/>
          <w:noProof/>
        </w:rPr>
        <w:t> </w:t>
      </w:r>
      <w:r>
        <w:rPr>
          <w:noProof/>
        </w:rPr>
        <w:t>2020</w:t>
      </w:r>
      <w:r w:rsidRPr="00A74A6E">
        <w:rPr>
          <w:noProof/>
        </w:rPr>
        <w:t>/</w:t>
      </w:r>
      <w:r>
        <w:rPr>
          <w:noProof/>
        </w:rPr>
        <w:t xml:space="preserve">2220 </w:t>
      </w:r>
      <w:r w:rsidRPr="00040D99">
        <w:rPr>
          <w:noProof/>
        </w:rPr>
        <w:t>of the European Parliament and of the Council</w:t>
      </w:r>
      <w:r>
        <w:rPr>
          <w:noProof/>
        </w:rPr>
        <w:t>.</w:t>
      </w:r>
    </w:p>
    <w:p w14:paraId="15BD78E9" w14:textId="77777777" w:rsidR="00C843A6" w:rsidRPr="00040D99" w:rsidRDefault="00C843A6" w:rsidP="00C843A6">
      <w:pPr>
        <w:pStyle w:val="ppoHeading4NaturalGreen"/>
        <w:rPr>
          <w:caps/>
          <w:noProof/>
        </w:rPr>
      </w:pPr>
      <w:r w:rsidRPr="00040D99">
        <w:rPr>
          <w:noProof/>
        </w:rPr>
        <w:t xml:space="preserve">Implementation and performance </w:t>
      </w:r>
    </w:p>
    <w:p w14:paraId="20D445B5" w14:textId="77777777" w:rsidR="00C843A6" w:rsidRPr="00040D99" w:rsidRDefault="00C843A6" w:rsidP="00C843A6">
      <w:pPr>
        <w:pStyle w:val="ppoHeading5"/>
        <w:rPr>
          <w:noProof/>
        </w:rPr>
      </w:pPr>
      <w:r w:rsidRPr="00040D99">
        <w:rPr>
          <w:noProof/>
        </w:rPr>
        <w:t xml:space="preserve">Budget </w:t>
      </w:r>
    </w:p>
    <w:p w14:paraId="0A82FA0A" w14:textId="77777777" w:rsidR="00C843A6" w:rsidRPr="00040D99" w:rsidRDefault="00C843A6" w:rsidP="00C843A6">
      <w:pPr>
        <w:pStyle w:val="ppoTableTabletitle"/>
        <w:rPr>
          <w:noProof/>
        </w:rPr>
      </w:pPr>
      <w:r w:rsidRPr="00807AC3">
        <w:rPr>
          <w:noProof/>
        </w:rPr>
        <w:t>Budget programming</w:t>
      </w:r>
      <w:r>
        <w:rPr>
          <w:noProof/>
        </w:rPr>
        <w:t xml:space="preserve"> (million EUR):</w:t>
      </w:r>
    </w:p>
    <w:tbl>
      <w:tblPr>
        <w:tblStyle w:val="PPO2021"/>
        <w:tblW w:w="9850"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1155"/>
      </w:tblGrid>
      <w:tr w:rsidR="00C843A6" w:rsidRPr="00040D99" w14:paraId="45659402" w14:textId="77777777" w:rsidTr="0083214A">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5DBEF778" w14:textId="77777777" w:rsidR="00C843A6" w:rsidRPr="00807AC3" w:rsidRDefault="00C843A6" w:rsidP="0083214A">
            <w:pPr>
              <w:rPr>
                <w:noProof/>
              </w:rPr>
            </w:pPr>
          </w:p>
        </w:tc>
        <w:tc>
          <w:tcPr>
            <w:tcW w:w="943" w:type="dxa"/>
            <w:noWrap/>
            <w:hideMark/>
          </w:tcPr>
          <w:p w14:paraId="0228AC63" w14:textId="77777777" w:rsidR="00C843A6" w:rsidRPr="00807AC3" w:rsidRDefault="00C843A6" w:rsidP="0083214A">
            <w:pPr>
              <w:rPr>
                <w:noProof/>
              </w:rPr>
            </w:pPr>
            <w:r w:rsidRPr="00807AC3">
              <w:rPr>
                <w:noProof/>
              </w:rPr>
              <w:t>2021</w:t>
            </w:r>
          </w:p>
        </w:tc>
        <w:tc>
          <w:tcPr>
            <w:tcW w:w="944" w:type="dxa"/>
            <w:noWrap/>
            <w:hideMark/>
          </w:tcPr>
          <w:p w14:paraId="6D69F3C1" w14:textId="77777777" w:rsidR="00C843A6" w:rsidRPr="00807AC3" w:rsidRDefault="00C843A6" w:rsidP="0083214A">
            <w:pPr>
              <w:rPr>
                <w:noProof/>
              </w:rPr>
            </w:pPr>
            <w:r w:rsidRPr="00807AC3">
              <w:rPr>
                <w:noProof/>
              </w:rPr>
              <w:t>2022</w:t>
            </w:r>
          </w:p>
        </w:tc>
        <w:tc>
          <w:tcPr>
            <w:tcW w:w="943" w:type="dxa"/>
            <w:noWrap/>
            <w:hideMark/>
          </w:tcPr>
          <w:p w14:paraId="14B93040" w14:textId="77777777" w:rsidR="00C843A6" w:rsidRPr="00807AC3" w:rsidRDefault="00C843A6" w:rsidP="0083214A">
            <w:pPr>
              <w:rPr>
                <w:noProof/>
              </w:rPr>
            </w:pPr>
            <w:r w:rsidRPr="00807AC3">
              <w:rPr>
                <w:noProof/>
              </w:rPr>
              <w:t>2023</w:t>
            </w:r>
          </w:p>
        </w:tc>
        <w:tc>
          <w:tcPr>
            <w:tcW w:w="944" w:type="dxa"/>
            <w:noWrap/>
            <w:hideMark/>
          </w:tcPr>
          <w:p w14:paraId="1F7CB87B" w14:textId="77777777" w:rsidR="00C843A6" w:rsidRPr="00807AC3" w:rsidRDefault="00C843A6" w:rsidP="0083214A">
            <w:pPr>
              <w:rPr>
                <w:noProof/>
              </w:rPr>
            </w:pPr>
            <w:r w:rsidRPr="00807AC3">
              <w:rPr>
                <w:noProof/>
              </w:rPr>
              <w:t>2024</w:t>
            </w:r>
          </w:p>
        </w:tc>
        <w:tc>
          <w:tcPr>
            <w:tcW w:w="944" w:type="dxa"/>
            <w:noWrap/>
            <w:hideMark/>
          </w:tcPr>
          <w:p w14:paraId="0EBE0720" w14:textId="77777777" w:rsidR="00C843A6" w:rsidRPr="00807AC3" w:rsidRDefault="00C843A6" w:rsidP="0083214A">
            <w:pPr>
              <w:rPr>
                <w:noProof/>
              </w:rPr>
            </w:pPr>
            <w:r w:rsidRPr="00807AC3">
              <w:rPr>
                <w:noProof/>
              </w:rPr>
              <w:t>2025</w:t>
            </w:r>
          </w:p>
        </w:tc>
        <w:tc>
          <w:tcPr>
            <w:tcW w:w="943" w:type="dxa"/>
            <w:noWrap/>
            <w:hideMark/>
          </w:tcPr>
          <w:p w14:paraId="2B241232" w14:textId="77777777" w:rsidR="00C843A6" w:rsidRPr="00807AC3" w:rsidRDefault="00C843A6" w:rsidP="0083214A">
            <w:pPr>
              <w:rPr>
                <w:noProof/>
              </w:rPr>
            </w:pPr>
            <w:r w:rsidRPr="00807AC3">
              <w:rPr>
                <w:noProof/>
              </w:rPr>
              <w:t>2026</w:t>
            </w:r>
          </w:p>
        </w:tc>
        <w:tc>
          <w:tcPr>
            <w:tcW w:w="944" w:type="dxa"/>
            <w:noWrap/>
            <w:hideMark/>
          </w:tcPr>
          <w:p w14:paraId="21DACB27" w14:textId="77777777" w:rsidR="00C843A6" w:rsidRPr="00807AC3" w:rsidRDefault="00C843A6" w:rsidP="0083214A">
            <w:pPr>
              <w:rPr>
                <w:noProof/>
              </w:rPr>
            </w:pPr>
            <w:r w:rsidRPr="00807AC3">
              <w:rPr>
                <w:noProof/>
              </w:rPr>
              <w:t>2027</w:t>
            </w:r>
          </w:p>
        </w:tc>
        <w:tc>
          <w:tcPr>
            <w:tcW w:w="1155" w:type="dxa"/>
            <w:noWrap/>
            <w:hideMark/>
          </w:tcPr>
          <w:p w14:paraId="61B0597A" w14:textId="77777777" w:rsidR="00C843A6" w:rsidRPr="00807AC3" w:rsidRDefault="00C843A6" w:rsidP="0083214A">
            <w:pPr>
              <w:rPr>
                <w:noProof/>
              </w:rPr>
            </w:pPr>
            <w:r w:rsidRPr="00807AC3">
              <w:rPr>
                <w:noProof/>
              </w:rPr>
              <w:t>Total</w:t>
            </w:r>
          </w:p>
        </w:tc>
      </w:tr>
      <w:tr w:rsidR="00C843A6" w:rsidRPr="00040D99" w14:paraId="26EDF105"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64EBDFC6" w14:textId="77777777" w:rsidR="00C843A6" w:rsidRPr="00807AC3" w:rsidRDefault="00C843A6" w:rsidP="0083214A">
            <w:pPr>
              <w:rPr>
                <w:noProof/>
              </w:rPr>
            </w:pPr>
            <w:r w:rsidRPr="00807AC3">
              <w:rPr>
                <w:noProof/>
              </w:rPr>
              <w:t>Financial programming</w:t>
            </w:r>
          </w:p>
        </w:tc>
        <w:tc>
          <w:tcPr>
            <w:tcW w:w="943" w:type="dxa"/>
            <w:noWrap/>
            <w:hideMark/>
          </w:tcPr>
          <w:p w14:paraId="47F4A0F8" w14:textId="6A57977D" w:rsidR="00C843A6" w:rsidRPr="00FD74C3" w:rsidRDefault="00C843A6" w:rsidP="0083214A">
            <w:pPr>
              <w:jc w:val="center"/>
              <w:rPr>
                <w:noProof/>
                <w:sz w:val="18"/>
                <w:szCs w:val="18"/>
              </w:rPr>
            </w:pPr>
            <w:r w:rsidRPr="006672F9">
              <w:rPr>
                <w:noProof/>
              </w:rPr>
              <w:t>55 712.9</w:t>
            </w:r>
          </w:p>
        </w:tc>
        <w:tc>
          <w:tcPr>
            <w:tcW w:w="944" w:type="dxa"/>
            <w:noWrap/>
            <w:hideMark/>
          </w:tcPr>
          <w:p w14:paraId="0ED03578" w14:textId="252FA5BF" w:rsidR="00C843A6" w:rsidRPr="00FD74C3" w:rsidRDefault="00C843A6" w:rsidP="0083214A">
            <w:pPr>
              <w:jc w:val="center"/>
              <w:rPr>
                <w:noProof/>
                <w:sz w:val="18"/>
                <w:szCs w:val="18"/>
              </w:rPr>
            </w:pPr>
            <w:r w:rsidRPr="006672F9">
              <w:rPr>
                <w:noProof/>
              </w:rPr>
              <w:t>53 096.6</w:t>
            </w:r>
          </w:p>
        </w:tc>
        <w:tc>
          <w:tcPr>
            <w:tcW w:w="943" w:type="dxa"/>
            <w:noWrap/>
            <w:hideMark/>
          </w:tcPr>
          <w:p w14:paraId="649FFB3B" w14:textId="0796E268" w:rsidR="00C843A6" w:rsidRPr="00FD74C3" w:rsidRDefault="00C843A6" w:rsidP="0083214A">
            <w:pPr>
              <w:jc w:val="center"/>
              <w:rPr>
                <w:noProof/>
                <w:sz w:val="18"/>
                <w:szCs w:val="18"/>
              </w:rPr>
            </w:pPr>
            <w:r w:rsidRPr="006672F9">
              <w:rPr>
                <w:noProof/>
              </w:rPr>
              <w:t>53 626.9</w:t>
            </w:r>
          </w:p>
        </w:tc>
        <w:tc>
          <w:tcPr>
            <w:tcW w:w="944" w:type="dxa"/>
            <w:noWrap/>
            <w:hideMark/>
          </w:tcPr>
          <w:p w14:paraId="687600F0" w14:textId="41A7FCA7" w:rsidR="00C843A6" w:rsidRPr="00FD74C3" w:rsidRDefault="00C843A6" w:rsidP="0083214A">
            <w:pPr>
              <w:jc w:val="center"/>
              <w:rPr>
                <w:noProof/>
                <w:sz w:val="18"/>
                <w:szCs w:val="18"/>
              </w:rPr>
            </w:pPr>
            <w:r w:rsidRPr="006672F9">
              <w:rPr>
                <w:noProof/>
              </w:rPr>
              <w:t>53 757.9</w:t>
            </w:r>
          </w:p>
        </w:tc>
        <w:tc>
          <w:tcPr>
            <w:tcW w:w="944" w:type="dxa"/>
            <w:noWrap/>
            <w:hideMark/>
          </w:tcPr>
          <w:p w14:paraId="120EF6B8" w14:textId="18E8B6A9" w:rsidR="00C843A6" w:rsidRPr="00FD74C3" w:rsidRDefault="00C843A6" w:rsidP="0083214A">
            <w:pPr>
              <w:jc w:val="center"/>
              <w:rPr>
                <w:noProof/>
                <w:sz w:val="18"/>
                <w:szCs w:val="18"/>
              </w:rPr>
            </w:pPr>
            <w:r w:rsidRPr="006672F9">
              <w:rPr>
                <w:noProof/>
              </w:rPr>
              <w:t>53 890.9</w:t>
            </w:r>
          </w:p>
        </w:tc>
        <w:tc>
          <w:tcPr>
            <w:tcW w:w="943" w:type="dxa"/>
            <w:noWrap/>
            <w:hideMark/>
          </w:tcPr>
          <w:p w14:paraId="631BAA29" w14:textId="6C198A83" w:rsidR="00C843A6" w:rsidRPr="00FD74C3" w:rsidRDefault="00C843A6" w:rsidP="0083214A">
            <w:pPr>
              <w:jc w:val="center"/>
              <w:rPr>
                <w:noProof/>
                <w:sz w:val="18"/>
                <w:szCs w:val="18"/>
              </w:rPr>
            </w:pPr>
            <w:r w:rsidRPr="006672F9">
              <w:rPr>
                <w:noProof/>
              </w:rPr>
              <w:t>54 021.9</w:t>
            </w:r>
          </w:p>
        </w:tc>
        <w:tc>
          <w:tcPr>
            <w:tcW w:w="944" w:type="dxa"/>
            <w:noWrap/>
            <w:hideMark/>
          </w:tcPr>
          <w:p w14:paraId="375BE560" w14:textId="775C26CD" w:rsidR="00C843A6" w:rsidRPr="00FD74C3" w:rsidRDefault="00C843A6" w:rsidP="0083214A">
            <w:pPr>
              <w:jc w:val="center"/>
              <w:rPr>
                <w:noProof/>
                <w:sz w:val="18"/>
                <w:szCs w:val="18"/>
              </w:rPr>
            </w:pPr>
            <w:r w:rsidRPr="006672F9">
              <w:rPr>
                <w:noProof/>
              </w:rPr>
              <w:t>54 155.9</w:t>
            </w:r>
          </w:p>
        </w:tc>
        <w:tc>
          <w:tcPr>
            <w:tcW w:w="1155" w:type="dxa"/>
            <w:noWrap/>
            <w:hideMark/>
          </w:tcPr>
          <w:p w14:paraId="5B7B5EBA" w14:textId="23929DC4" w:rsidR="00C843A6" w:rsidRPr="00FD74C3" w:rsidRDefault="00C843A6" w:rsidP="0083214A">
            <w:pPr>
              <w:jc w:val="center"/>
              <w:rPr>
                <w:noProof/>
                <w:sz w:val="18"/>
                <w:szCs w:val="18"/>
              </w:rPr>
            </w:pPr>
            <w:r w:rsidRPr="006672F9">
              <w:rPr>
                <w:noProof/>
              </w:rPr>
              <w:t>378 262.9</w:t>
            </w:r>
          </w:p>
        </w:tc>
      </w:tr>
      <w:tr w:rsidR="00C843A6" w:rsidRPr="00040D99" w14:paraId="20F06B03" w14:textId="77777777" w:rsidTr="00304A2B">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1144126E" w14:textId="77777777" w:rsidR="00C843A6" w:rsidRPr="00807AC3" w:rsidRDefault="00C843A6" w:rsidP="0083214A">
            <w:pPr>
              <w:rPr>
                <w:noProof/>
              </w:rPr>
            </w:pPr>
            <w:r w:rsidRPr="00807AC3">
              <w:rPr>
                <w:noProof/>
              </w:rPr>
              <w:t>NextGenerationEU</w:t>
            </w:r>
          </w:p>
        </w:tc>
        <w:tc>
          <w:tcPr>
            <w:tcW w:w="943" w:type="dxa"/>
            <w:noWrap/>
            <w:vAlign w:val="bottom"/>
            <w:hideMark/>
          </w:tcPr>
          <w:p w14:paraId="7B83AF9E" w14:textId="42E2DA4A" w:rsidR="00C843A6" w:rsidRPr="0096477E" w:rsidRDefault="00C843A6" w:rsidP="0083214A">
            <w:pPr>
              <w:jc w:val="center"/>
              <w:rPr>
                <w:noProof/>
                <w:sz w:val="18"/>
                <w:szCs w:val="18"/>
              </w:rPr>
            </w:pPr>
            <w:r>
              <w:rPr>
                <w:rFonts w:ascii="Calibri" w:hAnsi="Calibri" w:cs="Calibri"/>
                <w:noProof/>
                <w:color w:val="000000"/>
              </w:rPr>
              <w:t>2 387.7</w:t>
            </w:r>
          </w:p>
        </w:tc>
        <w:tc>
          <w:tcPr>
            <w:tcW w:w="944" w:type="dxa"/>
            <w:noWrap/>
            <w:vAlign w:val="bottom"/>
            <w:hideMark/>
          </w:tcPr>
          <w:p w14:paraId="05F5404E" w14:textId="405380AC" w:rsidR="00C843A6" w:rsidRPr="0096477E" w:rsidRDefault="00C843A6" w:rsidP="0083214A">
            <w:pPr>
              <w:jc w:val="center"/>
              <w:rPr>
                <w:noProof/>
                <w:sz w:val="18"/>
                <w:szCs w:val="18"/>
              </w:rPr>
            </w:pPr>
            <w:r>
              <w:rPr>
                <w:rFonts w:ascii="Calibri" w:hAnsi="Calibri" w:cs="Calibri"/>
                <w:noProof/>
                <w:color w:val="000000"/>
              </w:rPr>
              <w:t>5 682.8</w:t>
            </w:r>
          </w:p>
        </w:tc>
        <w:tc>
          <w:tcPr>
            <w:tcW w:w="943" w:type="dxa"/>
            <w:noWrap/>
            <w:hideMark/>
          </w:tcPr>
          <w:p w14:paraId="2CB0A636" w14:textId="77777777" w:rsidR="00C843A6" w:rsidRPr="0096477E" w:rsidRDefault="00C843A6" w:rsidP="0083214A">
            <w:pPr>
              <w:jc w:val="center"/>
              <w:rPr>
                <w:noProof/>
                <w:sz w:val="18"/>
                <w:szCs w:val="18"/>
              </w:rPr>
            </w:pPr>
          </w:p>
        </w:tc>
        <w:tc>
          <w:tcPr>
            <w:tcW w:w="944" w:type="dxa"/>
            <w:noWrap/>
            <w:hideMark/>
          </w:tcPr>
          <w:p w14:paraId="0FE53019" w14:textId="77777777" w:rsidR="00C843A6" w:rsidRPr="0096477E" w:rsidRDefault="00C843A6" w:rsidP="0083214A">
            <w:pPr>
              <w:jc w:val="center"/>
              <w:rPr>
                <w:noProof/>
                <w:sz w:val="18"/>
                <w:szCs w:val="18"/>
              </w:rPr>
            </w:pPr>
          </w:p>
        </w:tc>
        <w:tc>
          <w:tcPr>
            <w:tcW w:w="944" w:type="dxa"/>
            <w:noWrap/>
            <w:hideMark/>
          </w:tcPr>
          <w:p w14:paraId="6672F7AF" w14:textId="77777777" w:rsidR="00C843A6" w:rsidRPr="0096477E" w:rsidRDefault="00C843A6" w:rsidP="0083214A">
            <w:pPr>
              <w:jc w:val="center"/>
              <w:rPr>
                <w:noProof/>
                <w:sz w:val="18"/>
                <w:szCs w:val="18"/>
              </w:rPr>
            </w:pPr>
          </w:p>
        </w:tc>
        <w:tc>
          <w:tcPr>
            <w:tcW w:w="943" w:type="dxa"/>
            <w:noWrap/>
            <w:hideMark/>
          </w:tcPr>
          <w:p w14:paraId="6394F526" w14:textId="77777777" w:rsidR="00C843A6" w:rsidRPr="0096477E" w:rsidRDefault="00C843A6" w:rsidP="0083214A">
            <w:pPr>
              <w:jc w:val="center"/>
              <w:rPr>
                <w:noProof/>
                <w:sz w:val="18"/>
                <w:szCs w:val="18"/>
              </w:rPr>
            </w:pPr>
          </w:p>
        </w:tc>
        <w:tc>
          <w:tcPr>
            <w:tcW w:w="944" w:type="dxa"/>
            <w:noWrap/>
            <w:hideMark/>
          </w:tcPr>
          <w:p w14:paraId="648DA751" w14:textId="77777777" w:rsidR="00C843A6" w:rsidRPr="0096477E" w:rsidRDefault="00C843A6" w:rsidP="0083214A">
            <w:pPr>
              <w:jc w:val="center"/>
              <w:rPr>
                <w:noProof/>
                <w:sz w:val="18"/>
                <w:szCs w:val="18"/>
              </w:rPr>
            </w:pPr>
          </w:p>
        </w:tc>
        <w:tc>
          <w:tcPr>
            <w:tcW w:w="1155" w:type="dxa"/>
            <w:noWrap/>
            <w:hideMark/>
          </w:tcPr>
          <w:p w14:paraId="2958B993" w14:textId="77777777" w:rsidR="00C843A6" w:rsidRDefault="00C843A6" w:rsidP="0083214A">
            <w:pPr>
              <w:jc w:val="center"/>
              <w:rPr>
                <w:rFonts w:ascii="Calibri" w:hAnsi="Calibri" w:cs="Calibri"/>
                <w:noProof/>
                <w:color w:val="000000"/>
              </w:rPr>
            </w:pPr>
            <w:r>
              <w:rPr>
                <w:rFonts w:ascii="Calibri" w:hAnsi="Calibri" w:cs="Calibri"/>
                <w:noProof/>
                <w:color w:val="000000"/>
              </w:rPr>
              <w:t>8 070.5</w:t>
            </w:r>
          </w:p>
          <w:p w14:paraId="4BD40C80" w14:textId="21166FB7" w:rsidR="00C843A6" w:rsidRPr="0096477E" w:rsidRDefault="00C843A6" w:rsidP="0083214A">
            <w:pPr>
              <w:jc w:val="center"/>
              <w:rPr>
                <w:noProof/>
                <w:sz w:val="18"/>
                <w:szCs w:val="18"/>
              </w:rPr>
            </w:pPr>
          </w:p>
        </w:tc>
      </w:tr>
      <w:tr w:rsidR="00C843A6" w:rsidRPr="00040D99" w14:paraId="624642D4"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424603C4" w14:textId="77777777" w:rsidR="00C843A6" w:rsidRPr="00807AC3" w:rsidRDefault="00C843A6" w:rsidP="0083214A">
            <w:pPr>
              <w:rPr>
                <w:noProof/>
              </w:rPr>
            </w:pPr>
            <w:r w:rsidRPr="00807AC3">
              <w:rPr>
                <w:noProof/>
              </w:rPr>
              <w:t>Decommitments made available again</w:t>
            </w:r>
            <w:r>
              <w:rPr>
                <w:rFonts w:ascii="Calibri" w:hAnsi="Calibri" w:cs="Calibri"/>
                <w:noProof/>
              </w:rPr>
              <w:t> </w:t>
            </w:r>
            <w:r>
              <w:rPr>
                <w:noProof/>
              </w:rPr>
              <w:t>(</w:t>
            </w:r>
            <w:r w:rsidRPr="00807AC3">
              <w:rPr>
                <w:noProof/>
              </w:rPr>
              <w:t>*</w:t>
            </w:r>
            <w:r>
              <w:rPr>
                <w:noProof/>
              </w:rPr>
              <w:t>)</w:t>
            </w:r>
          </w:p>
        </w:tc>
        <w:tc>
          <w:tcPr>
            <w:tcW w:w="943" w:type="dxa"/>
            <w:noWrap/>
            <w:hideMark/>
          </w:tcPr>
          <w:p w14:paraId="130B6074" w14:textId="77777777" w:rsidR="00C843A6" w:rsidRPr="00807AC3" w:rsidRDefault="00C843A6" w:rsidP="0083214A">
            <w:pPr>
              <w:jc w:val="center"/>
              <w:rPr>
                <w:noProof/>
              </w:rPr>
            </w:pPr>
            <w:r>
              <w:rPr>
                <w:noProof/>
              </w:rPr>
              <w:t>N/A</w:t>
            </w:r>
          </w:p>
        </w:tc>
        <w:tc>
          <w:tcPr>
            <w:tcW w:w="944" w:type="dxa"/>
            <w:noWrap/>
            <w:hideMark/>
          </w:tcPr>
          <w:p w14:paraId="36800B59" w14:textId="77777777" w:rsidR="00C843A6" w:rsidRPr="00807AC3" w:rsidRDefault="00C843A6" w:rsidP="0083214A">
            <w:pPr>
              <w:jc w:val="center"/>
              <w:rPr>
                <w:noProof/>
              </w:rPr>
            </w:pPr>
          </w:p>
        </w:tc>
        <w:tc>
          <w:tcPr>
            <w:tcW w:w="943" w:type="dxa"/>
            <w:noWrap/>
            <w:hideMark/>
          </w:tcPr>
          <w:p w14:paraId="69401A90" w14:textId="77777777" w:rsidR="00C843A6" w:rsidRPr="00807AC3" w:rsidRDefault="00C843A6" w:rsidP="0083214A">
            <w:pPr>
              <w:jc w:val="center"/>
              <w:rPr>
                <w:noProof/>
              </w:rPr>
            </w:pPr>
          </w:p>
        </w:tc>
        <w:tc>
          <w:tcPr>
            <w:tcW w:w="944" w:type="dxa"/>
            <w:noWrap/>
            <w:hideMark/>
          </w:tcPr>
          <w:p w14:paraId="5B480038" w14:textId="77777777" w:rsidR="00C843A6" w:rsidRPr="00807AC3" w:rsidRDefault="00C843A6" w:rsidP="0083214A">
            <w:pPr>
              <w:jc w:val="center"/>
              <w:rPr>
                <w:noProof/>
              </w:rPr>
            </w:pPr>
          </w:p>
        </w:tc>
        <w:tc>
          <w:tcPr>
            <w:tcW w:w="944" w:type="dxa"/>
            <w:noWrap/>
            <w:hideMark/>
          </w:tcPr>
          <w:p w14:paraId="743D527C" w14:textId="77777777" w:rsidR="00C843A6" w:rsidRPr="00807AC3" w:rsidRDefault="00C843A6" w:rsidP="0083214A">
            <w:pPr>
              <w:jc w:val="center"/>
              <w:rPr>
                <w:noProof/>
              </w:rPr>
            </w:pPr>
          </w:p>
        </w:tc>
        <w:tc>
          <w:tcPr>
            <w:tcW w:w="943" w:type="dxa"/>
            <w:noWrap/>
            <w:hideMark/>
          </w:tcPr>
          <w:p w14:paraId="6F925FB2" w14:textId="77777777" w:rsidR="00C843A6" w:rsidRPr="00807AC3" w:rsidRDefault="00C843A6" w:rsidP="0083214A">
            <w:pPr>
              <w:jc w:val="center"/>
              <w:rPr>
                <w:noProof/>
              </w:rPr>
            </w:pPr>
          </w:p>
        </w:tc>
        <w:tc>
          <w:tcPr>
            <w:tcW w:w="944" w:type="dxa"/>
            <w:noWrap/>
            <w:hideMark/>
          </w:tcPr>
          <w:p w14:paraId="5D6E2B38" w14:textId="77777777" w:rsidR="00C843A6" w:rsidRPr="00807AC3" w:rsidRDefault="00C843A6" w:rsidP="0083214A">
            <w:pPr>
              <w:jc w:val="center"/>
              <w:rPr>
                <w:noProof/>
              </w:rPr>
            </w:pPr>
          </w:p>
        </w:tc>
        <w:tc>
          <w:tcPr>
            <w:tcW w:w="1155" w:type="dxa"/>
            <w:noWrap/>
            <w:hideMark/>
          </w:tcPr>
          <w:p w14:paraId="667CF169" w14:textId="77777777" w:rsidR="00C843A6" w:rsidRPr="00807AC3" w:rsidRDefault="00C843A6" w:rsidP="0083214A">
            <w:pPr>
              <w:jc w:val="center"/>
              <w:rPr>
                <w:noProof/>
              </w:rPr>
            </w:pPr>
            <w:r>
              <w:rPr>
                <w:noProof/>
              </w:rPr>
              <w:t>N/A</w:t>
            </w:r>
          </w:p>
        </w:tc>
      </w:tr>
      <w:tr w:rsidR="00C843A6" w:rsidRPr="00040D99" w14:paraId="3C7B9BCF"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3C7E9841" w14:textId="77777777" w:rsidR="00C843A6" w:rsidRPr="00807AC3" w:rsidRDefault="00C843A6" w:rsidP="0083214A">
            <w:pPr>
              <w:rPr>
                <w:noProof/>
              </w:rPr>
            </w:pPr>
            <w:r w:rsidRPr="00807AC3">
              <w:rPr>
                <w:noProof/>
              </w:rPr>
              <w:t>Contributions from other countries and entities</w:t>
            </w:r>
          </w:p>
        </w:tc>
        <w:tc>
          <w:tcPr>
            <w:tcW w:w="943" w:type="dxa"/>
            <w:noWrap/>
            <w:hideMark/>
          </w:tcPr>
          <w:p w14:paraId="5FA3DC43" w14:textId="77777777" w:rsidR="00C843A6" w:rsidRPr="00807AC3" w:rsidRDefault="00C843A6" w:rsidP="0083214A">
            <w:pPr>
              <w:jc w:val="center"/>
              <w:rPr>
                <w:noProof/>
              </w:rPr>
            </w:pPr>
            <w:r>
              <w:rPr>
                <w:noProof/>
              </w:rPr>
              <w:t>0.0</w:t>
            </w:r>
          </w:p>
        </w:tc>
        <w:tc>
          <w:tcPr>
            <w:tcW w:w="944" w:type="dxa"/>
            <w:noWrap/>
            <w:hideMark/>
          </w:tcPr>
          <w:p w14:paraId="2C45F0B3" w14:textId="77777777" w:rsidR="00C843A6" w:rsidRPr="00807AC3" w:rsidRDefault="00C843A6" w:rsidP="0083214A">
            <w:pPr>
              <w:jc w:val="center"/>
              <w:rPr>
                <w:noProof/>
              </w:rPr>
            </w:pPr>
            <w:r>
              <w:rPr>
                <w:noProof/>
              </w:rPr>
              <w:t>p.m.</w:t>
            </w:r>
          </w:p>
        </w:tc>
        <w:tc>
          <w:tcPr>
            <w:tcW w:w="943" w:type="dxa"/>
            <w:noWrap/>
            <w:hideMark/>
          </w:tcPr>
          <w:p w14:paraId="122FCE42" w14:textId="77777777" w:rsidR="00C843A6" w:rsidRPr="00807AC3" w:rsidRDefault="00C843A6" w:rsidP="0083214A">
            <w:pPr>
              <w:jc w:val="center"/>
              <w:rPr>
                <w:noProof/>
              </w:rPr>
            </w:pPr>
            <w:r>
              <w:rPr>
                <w:noProof/>
              </w:rPr>
              <w:t>p.m.</w:t>
            </w:r>
          </w:p>
        </w:tc>
        <w:tc>
          <w:tcPr>
            <w:tcW w:w="944" w:type="dxa"/>
            <w:noWrap/>
            <w:hideMark/>
          </w:tcPr>
          <w:p w14:paraId="4F087B8A" w14:textId="77777777" w:rsidR="00C843A6" w:rsidRPr="00807AC3" w:rsidRDefault="00C843A6" w:rsidP="0083214A">
            <w:pPr>
              <w:jc w:val="center"/>
              <w:rPr>
                <w:noProof/>
              </w:rPr>
            </w:pPr>
            <w:r>
              <w:rPr>
                <w:noProof/>
              </w:rPr>
              <w:t>p.m.</w:t>
            </w:r>
          </w:p>
        </w:tc>
        <w:tc>
          <w:tcPr>
            <w:tcW w:w="944" w:type="dxa"/>
            <w:noWrap/>
            <w:hideMark/>
          </w:tcPr>
          <w:p w14:paraId="13783481" w14:textId="77777777" w:rsidR="00C843A6" w:rsidRPr="00807AC3" w:rsidRDefault="00C843A6" w:rsidP="0083214A">
            <w:pPr>
              <w:jc w:val="center"/>
              <w:rPr>
                <w:noProof/>
              </w:rPr>
            </w:pPr>
            <w:r>
              <w:rPr>
                <w:noProof/>
              </w:rPr>
              <w:t>p.m.</w:t>
            </w:r>
          </w:p>
        </w:tc>
        <w:tc>
          <w:tcPr>
            <w:tcW w:w="943" w:type="dxa"/>
            <w:noWrap/>
            <w:hideMark/>
          </w:tcPr>
          <w:p w14:paraId="0582E467" w14:textId="77777777" w:rsidR="00C843A6" w:rsidRPr="00807AC3" w:rsidRDefault="00C843A6" w:rsidP="0083214A">
            <w:pPr>
              <w:jc w:val="center"/>
              <w:rPr>
                <w:noProof/>
              </w:rPr>
            </w:pPr>
            <w:r>
              <w:rPr>
                <w:noProof/>
              </w:rPr>
              <w:t>p.m.</w:t>
            </w:r>
          </w:p>
        </w:tc>
        <w:tc>
          <w:tcPr>
            <w:tcW w:w="944" w:type="dxa"/>
            <w:noWrap/>
            <w:hideMark/>
          </w:tcPr>
          <w:p w14:paraId="0980E4FD" w14:textId="77777777" w:rsidR="00C843A6" w:rsidRPr="00807AC3" w:rsidRDefault="00C843A6" w:rsidP="0083214A">
            <w:pPr>
              <w:jc w:val="center"/>
              <w:rPr>
                <w:noProof/>
              </w:rPr>
            </w:pPr>
            <w:r>
              <w:rPr>
                <w:noProof/>
              </w:rPr>
              <w:t>p.m.</w:t>
            </w:r>
          </w:p>
        </w:tc>
        <w:tc>
          <w:tcPr>
            <w:tcW w:w="1155" w:type="dxa"/>
            <w:noWrap/>
            <w:hideMark/>
          </w:tcPr>
          <w:p w14:paraId="30DD7FC6" w14:textId="77777777" w:rsidR="00C843A6" w:rsidRPr="00807AC3" w:rsidRDefault="00C843A6" w:rsidP="0083214A">
            <w:pPr>
              <w:jc w:val="center"/>
              <w:rPr>
                <w:noProof/>
              </w:rPr>
            </w:pPr>
            <w:r>
              <w:rPr>
                <w:noProof/>
              </w:rPr>
              <w:t>0.0</w:t>
            </w:r>
          </w:p>
        </w:tc>
      </w:tr>
      <w:tr w:rsidR="00C843A6" w:rsidRPr="00040D99" w14:paraId="16D35C94"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tcPr>
          <w:p w14:paraId="6D15159C" w14:textId="77777777" w:rsidR="00C843A6" w:rsidRPr="00807AC3" w:rsidRDefault="00C843A6" w:rsidP="0083214A">
            <w:pPr>
              <w:rPr>
                <w:noProof/>
              </w:rPr>
            </w:pPr>
            <w:r w:rsidRPr="009936D0">
              <w:rPr>
                <w:noProof/>
              </w:rPr>
              <w:t>Total</w:t>
            </w:r>
          </w:p>
        </w:tc>
        <w:tc>
          <w:tcPr>
            <w:tcW w:w="943" w:type="dxa"/>
            <w:noWrap/>
          </w:tcPr>
          <w:p w14:paraId="5CEAF177" w14:textId="77777777" w:rsidR="00C843A6" w:rsidRDefault="00C843A6" w:rsidP="0083214A">
            <w:pPr>
              <w:jc w:val="center"/>
              <w:rPr>
                <w:noProof/>
              </w:rPr>
            </w:pPr>
            <w:r w:rsidRPr="009936D0">
              <w:rPr>
                <w:noProof/>
              </w:rPr>
              <w:t>58 100.7</w:t>
            </w:r>
          </w:p>
        </w:tc>
        <w:tc>
          <w:tcPr>
            <w:tcW w:w="944" w:type="dxa"/>
            <w:noWrap/>
          </w:tcPr>
          <w:p w14:paraId="3C3E3C5F" w14:textId="77777777" w:rsidR="00C843A6" w:rsidRDefault="00C843A6" w:rsidP="0083214A">
            <w:pPr>
              <w:jc w:val="center"/>
              <w:rPr>
                <w:noProof/>
              </w:rPr>
            </w:pPr>
            <w:r w:rsidRPr="009936D0">
              <w:rPr>
                <w:noProof/>
              </w:rPr>
              <w:t>58 779.3</w:t>
            </w:r>
          </w:p>
        </w:tc>
        <w:tc>
          <w:tcPr>
            <w:tcW w:w="943" w:type="dxa"/>
            <w:noWrap/>
          </w:tcPr>
          <w:p w14:paraId="3A9ECFB2" w14:textId="77777777" w:rsidR="00C843A6" w:rsidRDefault="00C843A6" w:rsidP="0083214A">
            <w:pPr>
              <w:jc w:val="center"/>
              <w:rPr>
                <w:noProof/>
              </w:rPr>
            </w:pPr>
            <w:r w:rsidRPr="009936D0">
              <w:rPr>
                <w:noProof/>
              </w:rPr>
              <w:t>53 626.9</w:t>
            </w:r>
          </w:p>
        </w:tc>
        <w:tc>
          <w:tcPr>
            <w:tcW w:w="944" w:type="dxa"/>
            <w:noWrap/>
          </w:tcPr>
          <w:p w14:paraId="7992A891" w14:textId="77777777" w:rsidR="00C843A6" w:rsidRDefault="00C843A6" w:rsidP="0083214A">
            <w:pPr>
              <w:jc w:val="center"/>
              <w:rPr>
                <w:noProof/>
              </w:rPr>
            </w:pPr>
            <w:r w:rsidRPr="009936D0">
              <w:rPr>
                <w:noProof/>
              </w:rPr>
              <w:t>53 757.9</w:t>
            </w:r>
          </w:p>
        </w:tc>
        <w:tc>
          <w:tcPr>
            <w:tcW w:w="944" w:type="dxa"/>
            <w:noWrap/>
          </w:tcPr>
          <w:p w14:paraId="0A59B8C4" w14:textId="77777777" w:rsidR="00C843A6" w:rsidRDefault="00C843A6" w:rsidP="0083214A">
            <w:pPr>
              <w:jc w:val="center"/>
              <w:rPr>
                <w:noProof/>
              </w:rPr>
            </w:pPr>
            <w:r w:rsidRPr="009936D0">
              <w:rPr>
                <w:noProof/>
              </w:rPr>
              <w:t>53 890.9</w:t>
            </w:r>
          </w:p>
        </w:tc>
        <w:tc>
          <w:tcPr>
            <w:tcW w:w="943" w:type="dxa"/>
            <w:noWrap/>
          </w:tcPr>
          <w:p w14:paraId="2F11F4DF" w14:textId="77777777" w:rsidR="00C843A6" w:rsidRDefault="00C843A6" w:rsidP="0083214A">
            <w:pPr>
              <w:jc w:val="center"/>
              <w:rPr>
                <w:noProof/>
              </w:rPr>
            </w:pPr>
            <w:r w:rsidRPr="009936D0">
              <w:rPr>
                <w:noProof/>
              </w:rPr>
              <w:t>54 021.9</w:t>
            </w:r>
          </w:p>
        </w:tc>
        <w:tc>
          <w:tcPr>
            <w:tcW w:w="944" w:type="dxa"/>
            <w:noWrap/>
          </w:tcPr>
          <w:p w14:paraId="5EEBD54B" w14:textId="77777777" w:rsidR="00C843A6" w:rsidRDefault="00C843A6" w:rsidP="0083214A">
            <w:pPr>
              <w:jc w:val="center"/>
              <w:rPr>
                <w:noProof/>
              </w:rPr>
            </w:pPr>
            <w:r w:rsidRPr="009936D0">
              <w:rPr>
                <w:noProof/>
              </w:rPr>
              <w:t>54 155.9</w:t>
            </w:r>
          </w:p>
        </w:tc>
        <w:tc>
          <w:tcPr>
            <w:tcW w:w="1155" w:type="dxa"/>
            <w:noWrap/>
          </w:tcPr>
          <w:p w14:paraId="186286A0" w14:textId="77777777" w:rsidR="00C843A6" w:rsidRDefault="00C843A6" w:rsidP="0083214A">
            <w:pPr>
              <w:jc w:val="center"/>
              <w:rPr>
                <w:noProof/>
              </w:rPr>
            </w:pPr>
            <w:r w:rsidRPr="009936D0">
              <w:rPr>
                <w:noProof/>
              </w:rPr>
              <w:t>386 333.4</w:t>
            </w:r>
          </w:p>
        </w:tc>
      </w:tr>
    </w:tbl>
    <w:p w14:paraId="459352F0" w14:textId="77777777" w:rsidR="00C843A6" w:rsidRPr="002A4508" w:rsidRDefault="00C843A6" w:rsidP="00C843A6">
      <w:pPr>
        <w:tabs>
          <w:tab w:val="left" w:pos="6793"/>
        </w:tabs>
        <w:rPr>
          <w:noProof/>
          <w:sz w:val="18"/>
          <w:szCs w:val="18"/>
          <w:lang w:val="en-IE"/>
        </w:rPr>
      </w:pPr>
      <w:r w:rsidRPr="60F1805C">
        <w:rPr>
          <w:noProof/>
          <w:sz w:val="18"/>
          <w:szCs w:val="18"/>
          <w:lang w:val="en-IE"/>
        </w:rPr>
        <w:t>(*) Only Article</w:t>
      </w:r>
      <w:r w:rsidRPr="60F1805C">
        <w:rPr>
          <w:rFonts w:ascii="Calibri" w:hAnsi="Calibri" w:cs="Calibri"/>
          <w:noProof/>
          <w:sz w:val="18"/>
          <w:szCs w:val="18"/>
          <w:lang w:val="en-IE"/>
        </w:rPr>
        <w:t> </w:t>
      </w:r>
      <w:r w:rsidRPr="60F1805C">
        <w:rPr>
          <w:noProof/>
          <w:sz w:val="18"/>
          <w:szCs w:val="18"/>
          <w:lang w:val="en-IE"/>
        </w:rPr>
        <w:t>15(3) of the financial regulation.</w:t>
      </w:r>
    </w:p>
    <w:p w14:paraId="3FE18B5E" w14:textId="365072D5" w:rsidR="00C843A6" w:rsidRDefault="00C843A6" w:rsidP="00C843A6">
      <w:pPr>
        <w:pStyle w:val="ppoTableTabletitle"/>
        <w:jc w:val="center"/>
        <w:rPr>
          <w:noProof/>
        </w:rPr>
      </w:pPr>
      <w:r w:rsidRPr="2E1B9D5B">
        <w:rPr>
          <w:noProof/>
          <w:lang w:val="en-IE"/>
        </w:rPr>
        <w:t>Financial programming</w:t>
      </w:r>
      <w:r w:rsidR="004C4764">
        <w:rPr>
          <w:noProof/>
          <w:lang w:val="en-IE"/>
        </w:rPr>
        <w:t>:</w:t>
      </w:r>
      <w:r w:rsidRPr="2E1B9D5B">
        <w:rPr>
          <w:noProof/>
          <w:color w:val="CC3595"/>
          <w:lang w:val="en-IE"/>
        </w:rPr>
        <w:t xml:space="preserve"> </w:t>
      </w:r>
      <w:r w:rsidR="00F4328E" w:rsidRPr="00D539B7">
        <w:rPr>
          <w:rStyle w:val="ppocharNaturalGreentext24pt"/>
          <w:noProof/>
        </w:rPr>
        <w:t>- 26</w:t>
      </w:r>
      <w:r w:rsidR="00F4328E">
        <w:rPr>
          <w:rStyle w:val="ppocharNaturalGreentext24pt"/>
          <w:noProof/>
        </w:rPr>
        <w:t xml:space="preserve">8.3 million (- 0%) </w:t>
      </w:r>
      <w:r w:rsidRPr="2E1B9D5B">
        <w:rPr>
          <w:noProof/>
          <w:lang w:val="en-IE"/>
        </w:rPr>
        <w:t>compared to the legal basis.</w:t>
      </w:r>
    </w:p>
    <w:p w14:paraId="4AAC683E" w14:textId="77777777" w:rsidR="00C843A6" w:rsidRPr="00040D99" w:rsidRDefault="00C843A6" w:rsidP="00C843A6">
      <w:pPr>
        <w:pStyle w:val="ppoTableTabletitle"/>
        <w:rPr>
          <w:b/>
          <w:noProof/>
        </w:rPr>
      </w:pPr>
      <w:r w:rsidRPr="00040D99">
        <w:rPr>
          <w:noProof/>
        </w:rPr>
        <w:t>Cumulative implementation rate at the end of 2021</w:t>
      </w:r>
      <w:r>
        <w:rPr>
          <w:noProof/>
        </w:rPr>
        <w:t xml:space="preserve"> (million EUR)</w:t>
      </w:r>
      <w:r w:rsidRPr="00040D99">
        <w:rPr>
          <w:noProof/>
        </w:rPr>
        <w:t>:</w:t>
      </w:r>
    </w:p>
    <w:tbl>
      <w:tblPr>
        <w:tblStyle w:val="PPO2021"/>
        <w:tblW w:w="9639" w:type="dxa"/>
        <w:tblInd w:w="0" w:type="dxa"/>
        <w:tblLook w:val="06A0" w:firstRow="1" w:lastRow="0" w:firstColumn="1" w:lastColumn="0" w:noHBand="1" w:noVBand="1"/>
      </w:tblPr>
      <w:tblGrid>
        <w:gridCol w:w="2409"/>
        <w:gridCol w:w="2410"/>
        <w:gridCol w:w="2410"/>
        <w:gridCol w:w="2410"/>
      </w:tblGrid>
      <w:tr w:rsidR="00C843A6" w:rsidRPr="00040D99" w14:paraId="5982FBA5" w14:textId="77777777" w:rsidTr="0083214A">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5327FD38" w14:textId="77777777" w:rsidR="00C843A6" w:rsidRPr="00807AC3" w:rsidRDefault="00C843A6" w:rsidP="0083214A">
            <w:pPr>
              <w:rPr>
                <w:noProof/>
              </w:rPr>
            </w:pPr>
          </w:p>
        </w:tc>
        <w:tc>
          <w:tcPr>
            <w:tcW w:w="2410" w:type="dxa"/>
          </w:tcPr>
          <w:p w14:paraId="402A405C" w14:textId="77777777" w:rsidR="00C843A6" w:rsidRPr="00807AC3" w:rsidRDefault="00C843A6" w:rsidP="0083214A">
            <w:pPr>
              <w:cnfStyle w:val="100000000000" w:firstRow="1" w:lastRow="0" w:firstColumn="0" w:lastColumn="0" w:oddVBand="0" w:evenVBand="0" w:oddHBand="0" w:evenHBand="0" w:firstRowFirstColumn="0" w:firstRowLastColumn="0" w:lastRowFirstColumn="0" w:lastRowLastColumn="0"/>
              <w:rPr>
                <w:noProof/>
              </w:rPr>
            </w:pPr>
            <w:r w:rsidRPr="00807AC3">
              <w:rPr>
                <w:noProof/>
              </w:rPr>
              <w:t>Implementation</w:t>
            </w:r>
          </w:p>
        </w:tc>
        <w:tc>
          <w:tcPr>
            <w:tcW w:w="2410" w:type="dxa"/>
          </w:tcPr>
          <w:p w14:paraId="2FF3DC4B" w14:textId="1CC2D594" w:rsidR="00C843A6" w:rsidRPr="00807AC3" w:rsidRDefault="003821C6" w:rsidP="0083214A">
            <w:pPr>
              <w:cnfStyle w:val="100000000000" w:firstRow="1" w:lastRow="0" w:firstColumn="0" w:lastColumn="0" w:oddVBand="0" w:evenVBand="0" w:oddHBand="0" w:evenHBand="0" w:firstRowFirstColumn="0" w:firstRowLastColumn="0" w:lastRowFirstColumn="0" w:lastRowLastColumn="0"/>
              <w:rPr>
                <w:noProof/>
              </w:rPr>
            </w:pPr>
            <w:r>
              <w:rPr>
                <w:noProof/>
              </w:rPr>
              <w:t xml:space="preserve">2021-2027 </w:t>
            </w:r>
            <w:r w:rsidR="00C843A6" w:rsidRPr="00807AC3">
              <w:rPr>
                <w:noProof/>
              </w:rPr>
              <w:t>Budget</w:t>
            </w:r>
          </w:p>
        </w:tc>
        <w:tc>
          <w:tcPr>
            <w:tcW w:w="2410" w:type="dxa"/>
          </w:tcPr>
          <w:p w14:paraId="3956FF0A" w14:textId="77777777" w:rsidR="00C843A6" w:rsidRPr="00807AC3" w:rsidRDefault="00C843A6" w:rsidP="0083214A">
            <w:pPr>
              <w:cnfStyle w:val="100000000000" w:firstRow="1" w:lastRow="0" w:firstColumn="0" w:lastColumn="0" w:oddVBand="0" w:evenVBand="0" w:oddHBand="0" w:evenHBand="0" w:firstRowFirstColumn="0" w:firstRowLastColumn="0" w:lastRowFirstColumn="0" w:lastRowLastColumn="0"/>
              <w:rPr>
                <w:noProof/>
              </w:rPr>
            </w:pPr>
            <w:r w:rsidRPr="00807AC3">
              <w:rPr>
                <w:noProof/>
              </w:rPr>
              <w:t>Implementation rate</w:t>
            </w:r>
          </w:p>
        </w:tc>
      </w:tr>
      <w:tr w:rsidR="00C843A6" w:rsidRPr="00040D99" w14:paraId="3EB4B976"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10FCE10E" w14:textId="77777777" w:rsidR="00C843A6" w:rsidRPr="00807AC3" w:rsidRDefault="00C843A6" w:rsidP="0083214A">
            <w:pPr>
              <w:jc w:val="center"/>
              <w:rPr>
                <w:noProof/>
              </w:rPr>
            </w:pPr>
            <w:r w:rsidRPr="00807AC3">
              <w:rPr>
                <w:noProof/>
              </w:rPr>
              <w:t>Commitment</w:t>
            </w:r>
            <w:r>
              <w:rPr>
                <w:noProof/>
              </w:rPr>
              <w:t>s</w:t>
            </w:r>
          </w:p>
        </w:tc>
        <w:tc>
          <w:tcPr>
            <w:tcW w:w="2410" w:type="dxa"/>
          </w:tcPr>
          <w:tbl>
            <w:tblPr>
              <w:tblStyle w:val="TableGrid"/>
              <w:tblW w:w="0" w:type="auto"/>
              <w:tblLook w:val="06A0" w:firstRow="1" w:lastRow="0" w:firstColumn="1" w:lastColumn="0" w:noHBand="1" w:noVBand="1"/>
            </w:tblPr>
            <w:tblGrid>
              <w:gridCol w:w="2194"/>
            </w:tblGrid>
            <w:tr w:rsidR="00C843A6" w14:paraId="0A6E3FBD" w14:textId="77777777" w:rsidTr="0083214A">
              <w:trPr>
                <w:trHeight w:val="285"/>
              </w:trPr>
              <w:tc>
                <w:tcPr>
                  <w:tcW w:w="2290" w:type="dxa"/>
                  <w:tcBorders>
                    <w:top w:val="nil"/>
                    <w:left w:val="nil"/>
                    <w:bottom w:val="nil"/>
                    <w:right w:val="nil"/>
                  </w:tcBorders>
                </w:tcPr>
                <w:p w14:paraId="50529014" w14:textId="77777777" w:rsidR="00C843A6" w:rsidRDefault="00C843A6" w:rsidP="0083214A">
                  <w:pPr>
                    <w:jc w:val="right"/>
                    <w:rPr>
                      <w:noProof/>
                    </w:rPr>
                  </w:pPr>
                  <w:r w:rsidRPr="00206B1A">
                    <w:rPr>
                      <w:rFonts w:ascii="Calibri" w:hAnsi="Calibri" w:cs="Calibri"/>
                      <w:noProof/>
                      <w:color w:val="000000"/>
                    </w:rPr>
                    <w:t>57</w:t>
                  </w:r>
                  <w:r>
                    <w:rPr>
                      <w:rFonts w:ascii="Calibri" w:hAnsi="Calibri" w:cs="Calibri"/>
                      <w:noProof/>
                      <w:color w:val="000000"/>
                    </w:rPr>
                    <w:t> </w:t>
                  </w:r>
                  <w:r w:rsidRPr="00206B1A">
                    <w:rPr>
                      <w:rFonts w:ascii="Calibri" w:hAnsi="Calibri" w:cs="Calibri"/>
                      <w:noProof/>
                      <w:color w:val="000000"/>
                    </w:rPr>
                    <w:t>388</w:t>
                  </w:r>
                  <w:r>
                    <w:rPr>
                      <w:rFonts w:ascii="Calibri" w:hAnsi="Calibri" w:cs="Calibri"/>
                      <w:noProof/>
                      <w:color w:val="000000"/>
                    </w:rPr>
                    <w:t>.9</w:t>
                  </w:r>
                </w:p>
              </w:tc>
            </w:tr>
          </w:tbl>
          <w:p w14:paraId="428FDB6D" w14:textId="77777777" w:rsidR="00C843A6" w:rsidRPr="00807AC3" w:rsidRDefault="00C843A6" w:rsidP="0083214A">
            <w:pPr>
              <w:jc w:val="right"/>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C843A6" w14:paraId="23B8BE5D" w14:textId="77777777" w:rsidTr="0083214A">
              <w:trPr>
                <w:trHeight w:val="285"/>
              </w:trPr>
              <w:tc>
                <w:tcPr>
                  <w:tcW w:w="2290" w:type="dxa"/>
                  <w:tcBorders>
                    <w:top w:val="nil"/>
                    <w:left w:val="nil"/>
                    <w:bottom w:val="nil"/>
                    <w:right w:val="nil"/>
                  </w:tcBorders>
                </w:tcPr>
                <w:p w14:paraId="23E1AD0E" w14:textId="1D34D589" w:rsidR="00C843A6" w:rsidRDefault="00C843A6" w:rsidP="0083214A">
                  <w:pPr>
                    <w:jc w:val="right"/>
                    <w:rPr>
                      <w:noProof/>
                    </w:rPr>
                  </w:pPr>
                  <w:r w:rsidRPr="009936D0">
                    <w:rPr>
                      <w:noProof/>
                    </w:rPr>
                    <w:t>386 333.4</w:t>
                  </w:r>
                </w:p>
              </w:tc>
            </w:tr>
          </w:tbl>
          <w:p w14:paraId="016BCC2E" w14:textId="77777777" w:rsidR="00C843A6" w:rsidRPr="00807AC3" w:rsidRDefault="00C843A6" w:rsidP="0083214A">
            <w:pPr>
              <w:jc w:val="right"/>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C843A6" w14:paraId="437CAA88" w14:textId="77777777" w:rsidTr="0083214A">
              <w:trPr>
                <w:trHeight w:val="285"/>
              </w:trPr>
              <w:tc>
                <w:tcPr>
                  <w:tcW w:w="2290" w:type="dxa"/>
                  <w:tcBorders>
                    <w:top w:val="nil"/>
                    <w:left w:val="nil"/>
                    <w:bottom w:val="nil"/>
                    <w:right w:val="nil"/>
                  </w:tcBorders>
                </w:tcPr>
                <w:p w14:paraId="1F84C4C0" w14:textId="77777777" w:rsidR="00C843A6" w:rsidRDefault="00C843A6" w:rsidP="0083214A">
                  <w:pPr>
                    <w:ind w:left="720"/>
                    <w:jc w:val="right"/>
                    <w:rPr>
                      <w:noProof/>
                    </w:rPr>
                  </w:pPr>
                  <w:r>
                    <w:rPr>
                      <w:rFonts w:ascii="Calibri" w:hAnsi="Calibri" w:cs="Calibri"/>
                      <w:noProof/>
                      <w:color w:val="000000"/>
                    </w:rPr>
                    <w:t>14</w:t>
                  </w:r>
                  <w:r w:rsidRPr="00206B1A">
                    <w:rPr>
                      <w:rFonts w:ascii="Calibri" w:hAnsi="Calibri" w:cs="Calibri"/>
                      <w:noProof/>
                      <w:color w:val="000000"/>
                    </w:rPr>
                    <w:t>%</w:t>
                  </w:r>
                </w:p>
              </w:tc>
            </w:tr>
          </w:tbl>
          <w:p w14:paraId="20A6EBE7" w14:textId="77777777" w:rsidR="00C843A6" w:rsidRPr="00807AC3" w:rsidRDefault="00C843A6" w:rsidP="0083214A">
            <w:pPr>
              <w:jc w:val="right"/>
              <w:cnfStyle w:val="000000000000" w:firstRow="0" w:lastRow="0" w:firstColumn="0" w:lastColumn="0" w:oddVBand="0" w:evenVBand="0" w:oddHBand="0" w:evenHBand="0" w:firstRowFirstColumn="0" w:firstRowLastColumn="0" w:lastRowFirstColumn="0" w:lastRowLastColumn="0"/>
              <w:rPr>
                <w:noProof/>
              </w:rPr>
            </w:pPr>
          </w:p>
        </w:tc>
      </w:tr>
      <w:tr w:rsidR="00C843A6" w:rsidRPr="00040D99" w14:paraId="650F1384"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363BB4B7" w14:textId="77777777" w:rsidR="00C843A6" w:rsidRPr="00807AC3" w:rsidRDefault="00C843A6" w:rsidP="0083214A">
            <w:pPr>
              <w:jc w:val="center"/>
              <w:rPr>
                <w:noProof/>
              </w:rPr>
            </w:pPr>
            <w:r w:rsidRPr="00807AC3">
              <w:rPr>
                <w:noProof/>
              </w:rPr>
              <w:t>Payments</w:t>
            </w:r>
          </w:p>
        </w:tc>
        <w:tc>
          <w:tcPr>
            <w:tcW w:w="2410" w:type="dxa"/>
          </w:tcPr>
          <w:tbl>
            <w:tblPr>
              <w:tblStyle w:val="TableGrid"/>
              <w:tblW w:w="0" w:type="auto"/>
              <w:tblLook w:val="06A0" w:firstRow="1" w:lastRow="0" w:firstColumn="1" w:lastColumn="0" w:noHBand="1" w:noVBand="1"/>
            </w:tblPr>
            <w:tblGrid>
              <w:gridCol w:w="2194"/>
            </w:tblGrid>
            <w:tr w:rsidR="00C843A6" w14:paraId="67D47E1B" w14:textId="77777777" w:rsidTr="0083214A">
              <w:trPr>
                <w:trHeight w:val="285"/>
              </w:trPr>
              <w:tc>
                <w:tcPr>
                  <w:tcW w:w="2290" w:type="dxa"/>
                  <w:tcBorders>
                    <w:top w:val="nil"/>
                    <w:left w:val="nil"/>
                    <w:bottom w:val="nil"/>
                    <w:right w:val="nil"/>
                  </w:tcBorders>
                </w:tcPr>
                <w:p w14:paraId="2B90A9F2" w14:textId="77777777" w:rsidR="00C843A6" w:rsidRDefault="00C843A6" w:rsidP="0083214A">
                  <w:pPr>
                    <w:jc w:val="right"/>
                    <w:rPr>
                      <w:noProof/>
                    </w:rPr>
                  </w:pPr>
                  <w:r w:rsidRPr="00206B1A">
                    <w:rPr>
                      <w:rFonts w:ascii="Calibri" w:hAnsi="Calibri" w:cs="Calibri"/>
                      <w:noProof/>
                      <w:color w:val="000000"/>
                    </w:rPr>
                    <w:t>54</w:t>
                  </w:r>
                  <w:r>
                    <w:rPr>
                      <w:rFonts w:ascii="Calibri" w:hAnsi="Calibri" w:cs="Calibri"/>
                      <w:noProof/>
                      <w:color w:val="000000"/>
                    </w:rPr>
                    <w:t> </w:t>
                  </w:r>
                  <w:r w:rsidRPr="00206B1A">
                    <w:rPr>
                      <w:rFonts w:ascii="Calibri" w:hAnsi="Calibri" w:cs="Calibri"/>
                      <w:noProof/>
                      <w:color w:val="000000"/>
                    </w:rPr>
                    <w:t>006</w:t>
                  </w:r>
                  <w:r>
                    <w:rPr>
                      <w:rFonts w:ascii="Calibri" w:hAnsi="Calibri" w:cs="Calibri"/>
                      <w:noProof/>
                      <w:color w:val="000000"/>
                    </w:rPr>
                    <w:t>.2</w:t>
                  </w:r>
                </w:p>
              </w:tc>
            </w:tr>
          </w:tbl>
          <w:p w14:paraId="5DF6BFCD" w14:textId="77777777" w:rsidR="00C843A6" w:rsidRPr="00807AC3" w:rsidRDefault="00C843A6" w:rsidP="0083214A">
            <w:pPr>
              <w:jc w:val="right"/>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5E290E30" w14:textId="77777777" w:rsidR="00C843A6" w:rsidRPr="00807AC3" w:rsidRDefault="00C843A6" w:rsidP="0083214A">
            <w:pPr>
              <w:jc w:val="right"/>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2145" w:type="dxa"/>
              <w:tblLook w:val="06A0" w:firstRow="1" w:lastRow="0" w:firstColumn="1" w:lastColumn="0" w:noHBand="1" w:noVBand="1"/>
            </w:tblPr>
            <w:tblGrid>
              <w:gridCol w:w="2145"/>
            </w:tblGrid>
            <w:tr w:rsidR="00C843A6" w14:paraId="1B1A8C64" w14:textId="77777777" w:rsidTr="0083214A">
              <w:trPr>
                <w:trHeight w:val="285"/>
              </w:trPr>
              <w:tc>
                <w:tcPr>
                  <w:tcW w:w="2145" w:type="dxa"/>
                  <w:tcBorders>
                    <w:top w:val="nil"/>
                    <w:left w:val="nil"/>
                    <w:bottom w:val="nil"/>
                    <w:right w:val="nil"/>
                  </w:tcBorders>
                </w:tcPr>
                <w:p w14:paraId="681224CC" w14:textId="77777777" w:rsidR="00C843A6" w:rsidRDefault="00C843A6" w:rsidP="0083214A">
                  <w:pPr>
                    <w:ind w:left="720"/>
                    <w:jc w:val="right"/>
                    <w:rPr>
                      <w:noProof/>
                    </w:rPr>
                  </w:pPr>
                  <w:r>
                    <w:rPr>
                      <w:rFonts w:ascii="Calibri" w:hAnsi="Calibri" w:cs="Calibri"/>
                      <w:noProof/>
                      <w:color w:val="000000"/>
                    </w:rPr>
                    <w:t>13</w:t>
                  </w:r>
                  <w:r w:rsidRPr="00206B1A">
                    <w:rPr>
                      <w:rFonts w:ascii="Calibri" w:hAnsi="Calibri" w:cs="Calibri"/>
                      <w:noProof/>
                      <w:color w:val="000000"/>
                    </w:rPr>
                    <w:t>%</w:t>
                  </w:r>
                </w:p>
              </w:tc>
            </w:tr>
          </w:tbl>
          <w:p w14:paraId="6488897B" w14:textId="77777777" w:rsidR="00C843A6" w:rsidRPr="00807AC3" w:rsidRDefault="00C843A6" w:rsidP="0083214A">
            <w:pPr>
              <w:jc w:val="right"/>
              <w:cnfStyle w:val="000000000000" w:firstRow="0" w:lastRow="0" w:firstColumn="0" w:lastColumn="0" w:oddVBand="0" w:evenVBand="0" w:oddHBand="0" w:evenHBand="0" w:firstRowFirstColumn="0" w:firstRowLastColumn="0" w:lastRowFirstColumn="0" w:lastRowLastColumn="0"/>
              <w:rPr>
                <w:noProof/>
              </w:rPr>
            </w:pPr>
          </w:p>
        </w:tc>
      </w:tr>
    </w:tbl>
    <w:p w14:paraId="0E6C9502" w14:textId="77777777" w:rsidR="00C843A6" w:rsidRPr="00040D99" w:rsidRDefault="00C843A6" w:rsidP="00C843A6">
      <w:pPr>
        <w:pStyle w:val="ppoTableTabletitle"/>
        <w:rPr>
          <w:b/>
          <w:noProof/>
        </w:rPr>
      </w:pPr>
      <w:r w:rsidRPr="00040D99">
        <w:rPr>
          <w:noProof/>
        </w:rPr>
        <w:t>Voted budget implementation in 2021</w:t>
      </w:r>
      <w:r>
        <w:rPr>
          <w:noProof/>
        </w:rPr>
        <w:t xml:space="preserve"> (million EUR)</w:t>
      </w:r>
      <w:r w:rsidRPr="00040D99">
        <w:rPr>
          <w:noProof/>
        </w:rPr>
        <w:t>:</w:t>
      </w:r>
    </w:p>
    <w:tbl>
      <w:tblPr>
        <w:tblStyle w:val="PPO2021"/>
        <w:tblW w:w="3683" w:type="pct"/>
        <w:tblInd w:w="79" w:type="dxa"/>
        <w:tblLook w:val="04A0" w:firstRow="1" w:lastRow="0" w:firstColumn="1" w:lastColumn="0" w:noHBand="0" w:noVBand="1"/>
      </w:tblPr>
      <w:tblGrid>
        <w:gridCol w:w="2419"/>
        <w:gridCol w:w="2419"/>
        <w:gridCol w:w="2420"/>
      </w:tblGrid>
      <w:tr w:rsidR="00C843A6" w:rsidRPr="00040D99" w14:paraId="5142CA93" w14:textId="77777777" w:rsidTr="008321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769D3056" w14:textId="77777777" w:rsidR="00C843A6" w:rsidRPr="0017374C" w:rsidRDefault="00C843A6" w:rsidP="0083214A">
            <w:pPr>
              <w:rPr>
                <w:noProof/>
              </w:rPr>
            </w:pPr>
          </w:p>
        </w:tc>
        <w:tc>
          <w:tcPr>
            <w:tcW w:w="2419" w:type="dxa"/>
          </w:tcPr>
          <w:p w14:paraId="07543F71" w14:textId="77777777" w:rsidR="00C843A6" w:rsidRPr="0017374C" w:rsidRDefault="00C843A6" w:rsidP="0083214A">
            <w:pPr>
              <w:cnfStyle w:val="100000000000" w:firstRow="1" w:lastRow="0" w:firstColumn="0" w:lastColumn="0" w:oddVBand="0" w:evenVBand="0" w:oddHBand="0" w:evenHBand="0" w:firstRowFirstColumn="0" w:firstRowLastColumn="0" w:lastRowFirstColumn="0" w:lastRowLastColumn="0"/>
              <w:rPr>
                <w:noProof/>
              </w:rPr>
            </w:pPr>
            <w:r w:rsidRPr="0017374C">
              <w:rPr>
                <w:noProof/>
              </w:rPr>
              <w:t>Voted budget implementation</w:t>
            </w:r>
          </w:p>
        </w:tc>
        <w:tc>
          <w:tcPr>
            <w:tcW w:w="2420" w:type="dxa"/>
          </w:tcPr>
          <w:p w14:paraId="4612909E" w14:textId="77777777" w:rsidR="00C843A6" w:rsidRPr="0017374C" w:rsidRDefault="00C843A6" w:rsidP="0083214A">
            <w:pPr>
              <w:cnfStyle w:val="100000000000" w:firstRow="1" w:lastRow="0" w:firstColumn="0" w:lastColumn="0" w:oddVBand="0" w:evenVBand="0" w:oddHBand="0" w:evenHBand="0" w:firstRowFirstColumn="0" w:firstRowLastColumn="0" w:lastRowFirstColumn="0" w:lastRowLastColumn="0"/>
              <w:rPr>
                <w:noProof/>
              </w:rPr>
            </w:pPr>
            <w:r w:rsidRPr="0017374C">
              <w:rPr>
                <w:noProof/>
              </w:rPr>
              <w:t>Initial voted budget</w:t>
            </w:r>
          </w:p>
        </w:tc>
      </w:tr>
      <w:tr w:rsidR="00C843A6" w:rsidRPr="00040D99" w14:paraId="3A716537" w14:textId="77777777" w:rsidTr="0083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0A6246B1" w14:textId="77777777" w:rsidR="00C843A6" w:rsidRPr="0017374C" w:rsidRDefault="00C843A6" w:rsidP="0083214A">
            <w:pPr>
              <w:jc w:val="center"/>
              <w:rPr>
                <w:noProof/>
              </w:rPr>
            </w:pPr>
            <w:r w:rsidRPr="0017374C">
              <w:rPr>
                <w:noProof/>
              </w:rPr>
              <w:t>Commitments</w:t>
            </w:r>
          </w:p>
        </w:tc>
        <w:tc>
          <w:tcPr>
            <w:tcW w:w="2419" w:type="dxa"/>
          </w:tcPr>
          <w:p w14:paraId="773EAD3E" w14:textId="77777777" w:rsidR="00C843A6" w:rsidRPr="0017374C" w:rsidRDefault="00C843A6" w:rsidP="0083214A">
            <w:pPr>
              <w:jc w:val="center"/>
              <w:cnfStyle w:val="000000100000" w:firstRow="0" w:lastRow="0" w:firstColumn="0" w:lastColumn="0" w:oddVBand="0" w:evenVBand="0" w:oddHBand="1" w:evenHBand="0" w:firstRowFirstColumn="0" w:firstRowLastColumn="0" w:lastRowFirstColumn="0" w:lastRowLastColumn="0"/>
              <w:rPr>
                <w:noProof/>
              </w:rPr>
            </w:pPr>
            <w:r w:rsidRPr="00340442">
              <w:rPr>
                <w:noProof/>
              </w:rPr>
              <w:t>55</w:t>
            </w:r>
            <w:r>
              <w:rPr>
                <w:rFonts w:ascii="Calibri" w:hAnsi="Calibri" w:cs="Calibri"/>
                <w:noProof/>
              </w:rPr>
              <w:t> </w:t>
            </w:r>
            <w:r w:rsidRPr="00340442">
              <w:rPr>
                <w:noProof/>
              </w:rPr>
              <w:t>023</w:t>
            </w:r>
            <w:r>
              <w:rPr>
                <w:noProof/>
              </w:rPr>
              <w:t>.</w:t>
            </w:r>
            <w:r w:rsidRPr="00340442">
              <w:rPr>
                <w:noProof/>
              </w:rPr>
              <w:t>2</w:t>
            </w:r>
          </w:p>
        </w:tc>
        <w:tc>
          <w:tcPr>
            <w:tcW w:w="2420" w:type="dxa"/>
          </w:tcPr>
          <w:p w14:paraId="3A892586" w14:textId="77777777" w:rsidR="00C843A6" w:rsidRPr="0017374C" w:rsidRDefault="00C843A6" w:rsidP="0083214A">
            <w:pPr>
              <w:jc w:val="center"/>
              <w:cnfStyle w:val="000000100000" w:firstRow="0" w:lastRow="0" w:firstColumn="0" w:lastColumn="0" w:oddVBand="0" w:evenVBand="0" w:oddHBand="1" w:evenHBand="0" w:firstRowFirstColumn="0" w:firstRowLastColumn="0" w:lastRowFirstColumn="0" w:lastRowLastColumn="0"/>
              <w:rPr>
                <w:noProof/>
              </w:rPr>
            </w:pPr>
            <w:r w:rsidRPr="00340442">
              <w:rPr>
                <w:noProof/>
              </w:rPr>
              <w:t>55</w:t>
            </w:r>
            <w:r>
              <w:rPr>
                <w:rFonts w:ascii="Calibri" w:hAnsi="Calibri" w:cs="Calibri"/>
                <w:noProof/>
              </w:rPr>
              <w:t> </w:t>
            </w:r>
            <w:r w:rsidRPr="00340442">
              <w:rPr>
                <w:noProof/>
              </w:rPr>
              <w:t>752</w:t>
            </w:r>
            <w:r>
              <w:rPr>
                <w:noProof/>
              </w:rPr>
              <w:t>.</w:t>
            </w:r>
            <w:r w:rsidRPr="00340442">
              <w:rPr>
                <w:noProof/>
              </w:rPr>
              <w:t>5</w:t>
            </w:r>
          </w:p>
        </w:tc>
      </w:tr>
      <w:tr w:rsidR="00C843A6" w:rsidRPr="00040D99" w14:paraId="1731BD54" w14:textId="77777777" w:rsidTr="00832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2B44B929" w14:textId="77777777" w:rsidR="00C843A6" w:rsidRPr="0017374C" w:rsidRDefault="00C843A6" w:rsidP="0083214A">
            <w:pPr>
              <w:jc w:val="center"/>
              <w:rPr>
                <w:noProof/>
              </w:rPr>
            </w:pPr>
            <w:r w:rsidRPr="0017374C">
              <w:rPr>
                <w:noProof/>
              </w:rPr>
              <w:t>Payments</w:t>
            </w:r>
          </w:p>
        </w:tc>
        <w:tc>
          <w:tcPr>
            <w:tcW w:w="2419" w:type="dxa"/>
          </w:tcPr>
          <w:p w14:paraId="06802CFE" w14:textId="77777777" w:rsidR="00C843A6" w:rsidRPr="0017374C" w:rsidRDefault="00C843A6" w:rsidP="0083214A">
            <w:pPr>
              <w:jc w:val="center"/>
              <w:cnfStyle w:val="000000010000" w:firstRow="0" w:lastRow="0" w:firstColumn="0" w:lastColumn="0" w:oddVBand="0" w:evenVBand="0" w:oddHBand="0" w:evenHBand="1" w:firstRowFirstColumn="0" w:firstRowLastColumn="0" w:lastRowFirstColumn="0" w:lastRowLastColumn="0"/>
              <w:rPr>
                <w:noProof/>
              </w:rPr>
            </w:pPr>
            <w:r w:rsidRPr="003C1F26">
              <w:rPr>
                <w:noProof/>
              </w:rPr>
              <w:t>53</w:t>
            </w:r>
            <w:r>
              <w:rPr>
                <w:rFonts w:ascii="Calibri" w:hAnsi="Calibri" w:cs="Calibri"/>
                <w:noProof/>
              </w:rPr>
              <w:t> </w:t>
            </w:r>
            <w:r w:rsidRPr="003C1F26">
              <w:rPr>
                <w:noProof/>
              </w:rPr>
              <w:t>940</w:t>
            </w:r>
            <w:r>
              <w:rPr>
                <w:noProof/>
              </w:rPr>
              <w:t>.</w:t>
            </w:r>
            <w:r w:rsidRPr="003C1F26">
              <w:rPr>
                <w:noProof/>
              </w:rPr>
              <w:t>7</w:t>
            </w:r>
          </w:p>
        </w:tc>
        <w:tc>
          <w:tcPr>
            <w:tcW w:w="2420" w:type="dxa"/>
          </w:tcPr>
          <w:p w14:paraId="7E4AD09B" w14:textId="77777777" w:rsidR="00C843A6" w:rsidRPr="0017374C" w:rsidRDefault="00C843A6" w:rsidP="0083214A">
            <w:pPr>
              <w:jc w:val="center"/>
              <w:cnfStyle w:val="000000010000" w:firstRow="0" w:lastRow="0" w:firstColumn="0" w:lastColumn="0" w:oddVBand="0" w:evenVBand="0" w:oddHBand="0" w:evenHBand="1" w:firstRowFirstColumn="0" w:firstRowLastColumn="0" w:lastRowFirstColumn="0" w:lastRowLastColumn="0"/>
              <w:rPr>
                <w:noProof/>
              </w:rPr>
            </w:pPr>
            <w:r w:rsidRPr="003C1F26">
              <w:rPr>
                <w:noProof/>
              </w:rPr>
              <w:t>55</w:t>
            </w:r>
            <w:r>
              <w:rPr>
                <w:rFonts w:ascii="Calibri" w:hAnsi="Calibri" w:cs="Calibri"/>
                <w:noProof/>
              </w:rPr>
              <w:t> </w:t>
            </w:r>
            <w:r w:rsidRPr="003C1F26">
              <w:rPr>
                <w:noProof/>
              </w:rPr>
              <w:t>408</w:t>
            </w:r>
            <w:r>
              <w:rPr>
                <w:noProof/>
              </w:rPr>
              <w:t>.</w:t>
            </w:r>
            <w:r w:rsidRPr="003C1F26">
              <w:rPr>
                <w:noProof/>
              </w:rPr>
              <w:t>3</w:t>
            </w:r>
          </w:p>
        </w:tc>
      </w:tr>
    </w:tbl>
    <w:p w14:paraId="6A38EC19" w14:textId="77777777" w:rsidR="00C843A6" w:rsidRDefault="00C843A6" w:rsidP="00C843A6">
      <w:pPr>
        <w:pStyle w:val="ppoListHyphened-L1"/>
        <w:numPr>
          <w:ilvl w:val="0"/>
          <w:numId w:val="0"/>
        </w:numPr>
        <w:ind w:left="357" w:hanging="357"/>
        <w:rPr>
          <w:noProof/>
        </w:rPr>
      </w:pPr>
      <w:r>
        <w:rPr>
          <w:noProof/>
        </w:rPr>
        <w:t>As regards the EAGF:</w:t>
      </w:r>
    </w:p>
    <w:p w14:paraId="24C657D8" w14:textId="1D84F9B4" w:rsidR="00C843A6" w:rsidRPr="00040D99" w:rsidRDefault="00C843A6" w:rsidP="00C843A6">
      <w:pPr>
        <w:pStyle w:val="ppoListHyphened-L1"/>
        <w:rPr>
          <w:noProof/>
        </w:rPr>
      </w:pPr>
      <w:r>
        <w:rPr>
          <w:noProof/>
        </w:rPr>
        <w:t>S</w:t>
      </w:r>
      <w:r w:rsidRPr="00AA78E4">
        <w:rPr>
          <w:noProof/>
        </w:rPr>
        <w:t>ector-specific support programmes</w:t>
      </w:r>
      <w:r>
        <w:rPr>
          <w:noProof/>
        </w:rPr>
        <w:t>, implementing the market expenditure,</w:t>
      </w:r>
      <w:r w:rsidRPr="00AA78E4">
        <w:rPr>
          <w:noProof/>
        </w:rPr>
        <w:t xml:space="preserve"> are operating at various points in their respective life cycle</w:t>
      </w:r>
      <w:r>
        <w:rPr>
          <w:noProof/>
        </w:rPr>
        <w:t>. For example, the wine national support programme follows a 5</w:t>
      </w:r>
      <w:r>
        <w:rPr>
          <w:noProof/>
        </w:rPr>
        <w:noBreakHyphen/>
        <w:t xml:space="preserve">year cycle, whereas the </w:t>
      </w:r>
      <w:r w:rsidRPr="00E86D22">
        <w:rPr>
          <w:noProof/>
        </w:rPr>
        <w:t xml:space="preserve">programmes </w:t>
      </w:r>
      <w:r>
        <w:rPr>
          <w:noProof/>
        </w:rPr>
        <w:t>for support to</w:t>
      </w:r>
      <w:r w:rsidRPr="00E86D22">
        <w:rPr>
          <w:noProof/>
        </w:rPr>
        <w:t xml:space="preserve"> producer organisations in the fruit and vegetable sector </w:t>
      </w:r>
      <w:r>
        <w:rPr>
          <w:noProof/>
        </w:rPr>
        <w:t>are annual</w:t>
      </w:r>
      <w:r w:rsidRPr="00040D99">
        <w:rPr>
          <w:noProof/>
        </w:rPr>
        <w:t>.</w:t>
      </w:r>
      <w:r>
        <w:rPr>
          <w:noProof/>
        </w:rPr>
        <w:t xml:space="preserve"> As to the direct payments, </w:t>
      </w:r>
      <w:r w:rsidRPr="00AA78E4">
        <w:rPr>
          <w:noProof/>
        </w:rPr>
        <w:t>Commission services have assisted Member States in preparing and implementing the direct payments</w:t>
      </w:r>
      <w:r>
        <w:rPr>
          <w:noProof/>
        </w:rPr>
        <w:t>; implementation of payments has thus gradually reached a high level.</w:t>
      </w:r>
    </w:p>
    <w:p w14:paraId="6824CE5C" w14:textId="77777777" w:rsidR="00C843A6" w:rsidRPr="00C156A9" w:rsidRDefault="00C843A6" w:rsidP="00C843A6">
      <w:pPr>
        <w:pStyle w:val="ppoListHyphened-L1"/>
        <w:rPr>
          <w:noProof/>
          <w:lang w:eastAsia="fr-BE"/>
        </w:rPr>
      </w:pPr>
      <w:r w:rsidRPr="00A045B6">
        <w:rPr>
          <w:noProof/>
        </w:rPr>
        <w:t>Between 2013 and 201</w:t>
      </w:r>
      <w:r>
        <w:rPr>
          <w:noProof/>
        </w:rPr>
        <w:t>9, the average EU factor income</w:t>
      </w:r>
      <w:r w:rsidRPr="00A045B6">
        <w:rPr>
          <w:noProof/>
        </w:rPr>
        <w:t xml:space="preserve"> per worker increased by 15% in real terms</w:t>
      </w:r>
      <w:r>
        <w:rPr>
          <w:noProof/>
        </w:rPr>
        <w:t xml:space="preserve">, </w:t>
      </w:r>
      <w:r w:rsidRPr="00A045B6">
        <w:rPr>
          <w:noProof/>
        </w:rPr>
        <w:t>mainly due to major gains in labour productivity</w:t>
      </w:r>
      <w:r>
        <w:rPr>
          <w:noProof/>
        </w:rPr>
        <w:t xml:space="preserve">. </w:t>
      </w:r>
      <w:r w:rsidRPr="00A045B6">
        <w:rPr>
          <w:noProof/>
        </w:rPr>
        <w:t xml:space="preserve">The CAP as a whole has helped </w:t>
      </w:r>
      <w:r>
        <w:rPr>
          <w:noProof/>
        </w:rPr>
        <w:t xml:space="preserve">to </w:t>
      </w:r>
      <w:r w:rsidRPr="00A045B6">
        <w:rPr>
          <w:noProof/>
        </w:rPr>
        <w:t xml:space="preserve">support and stabilise farm income. </w:t>
      </w:r>
      <w:r>
        <w:rPr>
          <w:noProof/>
        </w:rPr>
        <w:t xml:space="preserve">Overall, since </w:t>
      </w:r>
      <w:r w:rsidRPr="00A045B6">
        <w:rPr>
          <w:noProof/>
        </w:rPr>
        <w:t xml:space="preserve">2014, EU price volatility has been lower than </w:t>
      </w:r>
      <w:r>
        <w:rPr>
          <w:noProof/>
        </w:rPr>
        <w:t xml:space="preserve">price volatility on the international markets </w:t>
      </w:r>
      <w:r w:rsidRPr="00A045B6">
        <w:rPr>
          <w:noProof/>
        </w:rPr>
        <w:t>for all produ</w:t>
      </w:r>
      <w:r>
        <w:rPr>
          <w:noProof/>
        </w:rPr>
        <w:t xml:space="preserve">cts. </w:t>
      </w:r>
      <w:r w:rsidRPr="00C156A9">
        <w:rPr>
          <w:noProof/>
          <w:lang w:eastAsia="fr-BE"/>
        </w:rPr>
        <w:t>Direct payments and rural development support represent close to 50% of farmers’ income in mountain areas and CAP funding helps to make farms viable in the most remote rural areas. Nevertheless, the high level of total income support in mountain areas does not fully compensate for the income gap with non-mountain areas.</w:t>
      </w:r>
    </w:p>
    <w:p w14:paraId="670D97E8" w14:textId="77777777" w:rsidR="00C843A6" w:rsidRDefault="00C843A6" w:rsidP="00C843A6">
      <w:pPr>
        <w:pStyle w:val="ppoListHyphened-L1"/>
        <w:rPr>
          <w:noProof/>
        </w:rPr>
      </w:pPr>
      <w:r w:rsidRPr="00992BD8">
        <w:rPr>
          <w:noProof/>
        </w:rPr>
        <w:t xml:space="preserve">The CAP continued to make a significant contribution to food security by achieving productivity gains and resilience in trade markets. </w:t>
      </w:r>
      <w:r>
        <w:rPr>
          <w:noProof/>
        </w:rPr>
        <w:t xml:space="preserve">It </w:t>
      </w:r>
      <w:r w:rsidRPr="00992BD8">
        <w:rPr>
          <w:noProof/>
        </w:rPr>
        <w:t>also provided support to improve supply chain organisation</w:t>
      </w:r>
      <w:r>
        <w:rPr>
          <w:noProof/>
        </w:rPr>
        <w:t xml:space="preserve">. </w:t>
      </w:r>
      <w:r w:rsidRPr="00992BD8">
        <w:rPr>
          <w:noProof/>
        </w:rPr>
        <w:t xml:space="preserve">The EU accounted for 18% of global </w:t>
      </w:r>
      <w:r w:rsidRPr="00634F70">
        <w:rPr>
          <w:noProof/>
        </w:rPr>
        <w:t>agri-food</w:t>
      </w:r>
      <w:r w:rsidRPr="00992BD8">
        <w:rPr>
          <w:noProof/>
        </w:rPr>
        <w:t xml:space="preserve"> exports in 2019</w:t>
      </w:r>
      <w:r>
        <w:rPr>
          <w:noProof/>
        </w:rPr>
        <w:t>, despite some adverse e</w:t>
      </w:r>
      <w:r w:rsidRPr="00992BD8">
        <w:rPr>
          <w:noProof/>
        </w:rPr>
        <w:t xml:space="preserve">xternal factors (including the Russian import ban on EU products) </w:t>
      </w:r>
      <w:r>
        <w:rPr>
          <w:noProof/>
        </w:rPr>
        <w:t xml:space="preserve">that </w:t>
      </w:r>
      <w:r w:rsidRPr="00992BD8">
        <w:rPr>
          <w:noProof/>
        </w:rPr>
        <w:t>weaken</w:t>
      </w:r>
      <w:r>
        <w:rPr>
          <w:noProof/>
        </w:rPr>
        <w:t>ed</w:t>
      </w:r>
      <w:r w:rsidRPr="00992BD8">
        <w:rPr>
          <w:noProof/>
        </w:rPr>
        <w:t xml:space="preserve"> the competitive position of the EU’s agric</w:t>
      </w:r>
      <w:r>
        <w:rPr>
          <w:noProof/>
        </w:rPr>
        <w:t xml:space="preserve">ultural farm sector </w:t>
      </w:r>
      <w:r w:rsidRPr="00992BD8">
        <w:rPr>
          <w:noProof/>
        </w:rPr>
        <w:t>to some extent</w:t>
      </w:r>
      <w:r>
        <w:rPr>
          <w:noProof/>
        </w:rPr>
        <w:t>.</w:t>
      </w:r>
    </w:p>
    <w:p w14:paraId="0F897C1F" w14:textId="77777777" w:rsidR="00C843A6" w:rsidRPr="00C156A9" w:rsidRDefault="00C843A6" w:rsidP="00C843A6">
      <w:pPr>
        <w:pStyle w:val="ppoListHyphened-L1"/>
        <w:rPr>
          <w:noProof/>
        </w:rPr>
      </w:pPr>
      <w:r w:rsidRPr="00C156A9">
        <w:rPr>
          <w:noProof/>
        </w:rPr>
        <w:t>The CAP provide</w:t>
      </w:r>
      <w:r>
        <w:rPr>
          <w:noProof/>
        </w:rPr>
        <w:t>d</w:t>
      </w:r>
      <w:r w:rsidRPr="00C156A9">
        <w:rPr>
          <w:noProof/>
        </w:rPr>
        <w:t xml:space="preserve"> an extensive level of ‘baseline protection’ for the environment via mandatory cross</w:t>
      </w:r>
      <w:r>
        <w:rPr>
          <w:noProof/>
        </w:rPr>
        <w:noBreakHyphen/>
      </w:r>
      <w:r w:rsidRPr="00C156A9">
        <w:rPr>
          <w:noProof/>
        </w:rPr>
        <w:t>compliance and greening obligations</w:t>
      </w:r>
      <w:r>
        <w:rPr>
          <w:noProof/>
        </w:rPr>
        <w:t>, which together comprised more than 80%</w:t>
      </w:r>
      <w:r w:rsidRPr="00C156A9">
        <w:rPr>
          <w:noProof/>
        </w:rPr>
        <w:t xml:space="preserve"> </w:t>
      </w:r>
      <w:r>
        <w:rPr>
          <w:noProof/>
        </w:rPr>
        <w:t xml:space="preserve">of </w:t>
      </w:r>
      <w:r w:rsidRPr="00C156A9">
        <w:rPr>
          <w:noProof/>
        </w:rPr>
        <w:t>the EU’s agricultural land</w:t>
      </w:r>
      <w:r>
        <w:rPr>
          <w:noProof/>
        </w:rPr>
        <w:t xml:space="preserve">. </w:t>
      </w:r>
      <w:r w:rsidRPr="00C156A9">
        <w:rPr>
          <w:noProof/>
        </w:rPr>
        <w:t xml:space="preserve">It </w:t>
      </w:r>
      <w:r>
        <w:rPr>
          <w:noProof/>
        </w:rPr>
        <w:t>also provided</w:t>
      </w:r>
      <w:r w:rsidRPr="00C156A9">
        <w:rPr>
          <w:noProof/>
        </w:rPr>
        <w:t xml:space="preserve"> for more targeted but voluntary commi</w:t>
      </w:r>
      <w:r>
        <w:rPr>
          <w:noProof/>
        </w:rPr>
        <w:t>tments under rural development, such as</w:t>
      </w:r>
      <w:r w:rsidRPr="00C156A9">
        <w:rPr>
          <w:noProof/>
        </w:rPr>
        <w:t xml:space="preserve"> </w:t>
      </w:r>
      <w:r w:rsidRPr="00634F70">
        <w:rPr>
          <w:noProof/>
        </w:rPr>
        <w:t>agri-environment</w:t>
      </w:r>
      <w:r>
        <w:rPr>
          <w:noProof/>
        </w:rPr>
        <w:t xml:space="preserve"> </w:t>
      </w:r>
      <w:r w:rsidRPr="00634F70">
        <w:rPr>
          <w:noProof/>
        </w:rPr>
        <w:t>climate</w:t>
      </w:r>
      <w:r w:rsidRPr="00C156A9">
        <w:rPr>
          <w:noProof/>
        </w:rPr>
        <w:t xml:space="preserve"> measures and organic farming</w:t>
      </w:r>
      <w:r>
        <w:rPr>
          <w:noProof/>
        </w:rPr>
        <w:t>.</w:t>
      </w:r>
      <w:r w:rsidRPr="00C156A9">
        <w:rPr>
          <w:noProof/>
        </w:rPr>
        <w:t xml:space="preserve"> </w:t>
      </w:r>
      <w:r>
        <w:rPr>
          <w:noProof/>
        </w:rPr>
        <w:t xml:space="preserve">Support was decoupled from production and linked to </w:t>
      </w:r>
      <w:r w:rsidRPr="0093347A">
        <w:rPr>
          <w:noProof/>
        </w:rPr>
        <w:t>compliance with standard environmental and climate practices</w:t>
      </w:r>
      <w:r>
        <w:rPr>
          <w:noProof/>
        </w:rPr>
        <w:t xml:space="preserve"> and was therefore </w:t>
      </w:r>
      <w:r w:rsidRPr="0093347A">
        <w:rPr>
          <w:noProof/>
        </w:rPr>
        <w:t>not an incentive to increase production intensity</w:t>
      </w:r>
      <w:r>
        <w:rPr>
          <w:noProof/>
        </w:rPr>
        <w:t>. Since CAP payments are conditional to respecting a basic set of environment-related rules, the CAP helps</w:t>
      </w:r>
      <w:r w:rsidRPr="0093347A">
        <w:rPr>
          <w:noProof/>
        </w:rPr>
        <w:t xml:space="preserve"> enforce the implementation of existing legislation relevant for the environment</w:t>
      </w:r>
      <w:r>
        <w:rPr>
          <w:noProof/>
        </w:rPr>
        <w:t>.</w:t>
      </w:r>
    </w:p>
    <w:p w14:paraId="286B66C3" w14:textId="77777777" w:rsidR="00C843A6" w:rsidRDefault="00C843A6" w:rsidP="00C843A6">
      <w:pPr>
        <w:pStyle w:val="ppoListHyphened-L1"/>
        <w:rPr>
          <w:noProof/>
        </w:rPr>
      </w:pPr>
      <w:r w:rsidRPr="00C156A9">
        <w:rPr>
          <w:noProof/>
        </w:rPr>
        <w:t xml:space="preserve">The CAP has facilitated generational renewal by supporting the </w:t>
      </w:r>
      <w:r>
        <w:rPr>
          <w:noProof/>
        </w:rPr>
        <w:t>economic sustainability of jobs. While it</w:t>
      </w:r>
      <w:r w:rsidRPr="00C156A9">
        <w:rPr>
          <w:noProof/>
        </w:rPr>
        <w:t xml:space="preserve"> mainly support</w:t>
      </w:r>
      <w:r>
        <w:rPr>
          <w:noProof/>
        </w:rPr>
        <w:t>s</w:t>
      </w:r>
      <w:r w:rsidRPr="00C156A9">
        <w:rPr>
          <w:noProof/>
        </w:rPr>
        <w:t xml:space="preserve"> farming, evidence shows the significant spill-over effects on the wider rural economy, because it boosts local spending and provides employment. CAP support can be key to improve infrastructure, services and connectivity, especially in remote areas</w:t>
      </w:r>
      <w:r>
        <w:rPr>
          <w:noProof/>
        </w:rPr>
        <w:t>, and can also help</w:t>
      </w:r>
      <w:r w:rsidRPr="00C156A9">
        <w:rPr>
          <w:noProof/>
        </w:rPr>
        <w:t xml:space="preserve"> slow the rate of depopulation and land abandonment in the EU. </w:t>
      </w:r>
      <w:r>
        <w:rPr>
          <w:noProof/>
        </w:rPr>
        <w:t>However</w:t>
      </w:r>
      <w:r w:rsidRPr="00DF10BF">
        <w:rPr>
          <w:noProof/>
        </w:rPr>
        <w:t xml:space="preserve">, </w:t>
      </w:r>
      <w:r>
        <w:rPr>
          <w:noProof/>
        </w:rPr>
        <w:t>the CAP support</w:t>
      </w:r>
      <w:r w:rsidRPr="00DF10BF">
        <w:rPr>
          <w:noProof/>
        </w:rPr>
        <w:t xml:space="preserve"> is insufficient on its own to remove the</w:t>
      </w:r>
      <w:r>
        <w:rPr>
          <w:noProof/>
        </w:rPr>
        <w:t xml:space="preserve"> main entry barriers to farming, namely</w:t>
      </w:r>
      <w:r w:rsidRPr="00DF10BF">
        <w:rPr>
          <w:noProof/>
        </w:rPr>
        <w:t xml:space="preserve"> </w:t>
      </w:r>
      <w:r>
        <w:rPr>
          <w:noProof/>
        </w:rPr>
        <w:t xml:space="preserve">limited </w:t>
      </w:r>
      <w:r w:rsidRPr="00DF10BF">
        <w:rPr>
          <w:noProof/>
        </w:rPr>
        <w:t xml:space="preserve">access to land and capital and the </w:t>
      </w:r>
      <w:r>
        <w:rPr>
          <w:noProof/>
        </w:rPr>
        <w:t>(perceived) disadvantages</w:t>
      </w:r>
      <w:r w:rsidRPr="00DF10BF">
        <w:rPr>
          <w:noProof/>
        </w:rPr>
        <w:t xml:space="preserve"> of </w:t>
      </w:r>
      <w:r>
        <w:rPr>
          <w:noProof/>
        </w:rPr>
        <w:t xml:space="preserve">the </w:t>
      </w:r>
      <w:r w:rsidRPr="00DF10BF">
        <w:rPr>
          <w:noProof/>
        </w:rPr>
        <w:t xml:space="preserve">working and living conditions of rural areas. </w:t>
      </w:r>
    </w:p>
    <w:p w14:paraId="3B5214D7" w14:textId="77777777" w:rsidR="00C843A6" w:rsidRDefault="00C843A6" w:rsidP="00C843A6">
      <w:pPr>
        <w:pStyle w:val="ppoListHyphened-L1"/>
        <w:numPr>
          <w:ilvl w:val="0"/>
          <w:numId w:val="0"/>
        </w:numPr>
        <w:rPr>
          <w:noProof/>
        </w:rPr>
      </w:pPr>
    </w:p>
    <w:p w14:paraId="56F65951" w14:textId="77777777" w:rsidR="00C843A6" w:rsidRPr="002736DE" w:rsidRDefault="00C843A6" w:rsidP="00C843A6">
      <w:pPr>
        <w:pStyle w:val="ppoListHyphened-L1"/>
        <w:numPr>
          <w:ilvl w:val="0"/>
          <w:numId w:val="0"/>
        </w:numPr>
        <w:rPr>
          <w:noProof/>
        </w:rPr>
      </w:pPr>
      <w:r>
        <w:rPr>
          <w:noProof/>
        </w:rPr>
        <w:t>As regards the EAFRD:</w:t>
      </w:r>
    </w:p>
    <w:p w14:paraId="43CD50C4" w14:textId="116C2E3C" w:rsidR="00C843A6" w:rsidRPr="00FA73BE" w:rsidRDefault="00C843A6" w:rsidP="00C843A6">
      <w:pPr>
        <w:pStyle w:val="ppoListHyphened-L1"/>
        <w:rPr>
          <w:noProof/>
        </w:rPr>
      </w:pPr>
      <w:r>
        <w:rPr>
          <w:noProof/>
        </w:rPr>
        <w:t>T</w:t>
      </w:r>
      <w:r w:rsidRPr="0033660C">
        <w:rPr>
          <w:noProof/>
          <w:lang w:val="en-IE"/>
        </w:rPr>
        <w:t xml:space="preserve">he implementation of the 2014-2022 rural development programmes </w:t>
      </w:r>
      <w:r>
        <w:rPr>
          <w:noProof/>
          <w:lang w:val="en-IE"/>
        </w:rPr>
        <w:t>continues</w:t>
      </w:r>
      <w:r w:rsidRPr="0033660C">
        <w:rPr>
          <w:noProof/>
          <w:lang w:val="en-IE"/>
        </w:rPr>
        <w:t xml:space="preserve"> at </w:t>
      </w:r>
      <w:r>
        <w:rPr>
          <w:noProof/>
          <w:lang w:val="en-IE"/>
        </w:rPr>
        <w:t>a satisfactory pace.</w:t>
      </w:r>
      <w:r w:rsidRPr="0033660C">
        <w:rPr>
          <w:noProof/>
          <w:lang w:val="en-IE"/>
        </w:rPr>
        <w:t xml:space="preserve"> </w:t>
      </w:r>
      <w:r>
        <w:rPr>
          <w:noProof/>
          <w:lang w:val="en-IE"/>
        </w:rPr>
        <w:t>A</w:t>
      </w:r>
      <w:r w:rsidRPr="00FD4D92">
        <w:rPr>
          <w:noProof/>
          <w:lang w:val="en-IE"/>
        </w:rPr>
        <w:t xml:space="preserve"> number of initiatives were launched to improve efficiency and effectiveness of EAFRD expenditure and to ensure a smooth transition with the CAP </w:t>
      </w:r>
      <w:r>
        <w:rPr>
          <w:noProof/>
          <w:lang w:val="en-IE"/>
        </w:rPr>
        <w:t>s</w:t>
      </w:r>
      <w:r w:rsidRPr="0017211F">
        <w:rPr>
          <w:noProof/>
          <w:lang w:val="en-IE"/>
        </w:rPr>
        <w:t xml:space="preserve">trategic </w:t>
      </w:r>
      <w:r>
        <w:rPr>
          <w:noProof/>
          <w:lang w:val="en-IE"/>
        </w:rPr>
        <w:t>p</w:t>
      </w:r>
      <w:r w:rsidRPr="0017211F">
        <w:rPr>
          <w:noProof/>
          <w:lang w:val="en-IE"/>
        </w:rPr>
        <w:t>lans</w:t>
      </w:r>
      <w:r>
        <w:rPr>
          <w:noProof/>
          <w:lang w:val="en-IE"/>
        </w:rPr>
        <w:t xml:space="preserve">. Examples of these are the amendments to the basic act as a response to the COVID-19 crisis, reductions in the administrative burden, the sharing of best practices and experience between stakeholders and </w:t>
      </w:r>
      <w:r w:rsidRPr="006B7027">
        <w:rPr>
          <w:i/>
          <w:iCs/>
          <w:noProof/>
          <w:lang w:val="en-IE"/>
        </w:rPr>
        <w:t>ex ante</w:t>
      </w:r>
      <w:r w:rsidRPr="00AA78E4">
        <w:rPr>
          <w:noProof/>
          <w:lang w:val="en-IE"/>
        </w:rPr>
        <w:t xml:space="preserve"> assessment</w:t>
      </w:r>
      <w:r>
        <w:rPr>
          <w:noProof/>
          <w:lang w:val="en-IE"/>
        </w:rPr>
        <w:t>s</w:t>
      </w:r>
      <w:r w:rsidRPr="00AA78E4">
        <w:rPr>
          <w:noProof/>
          <w:lang w:val="en-IE"/>
        </w:rPr>
        <w:t xml:space="preserve"> of the rural development measures by Member States</w:t>
      </w:r>
      <w:r>
        <w:rPr>
          <w:noProof/>
          <w:lang w:val="en-IE"/>
        </w:rPr>
        <w:t xml:space="preserve">. However, </w:t>
      </w:r>
      <w:r w:rsidRPr="00FA73BE">
        <w:rPr>
          <w:noProof/>
          <w:lang w:val="en-IE"/>
        </w:rPr>
        <w:t xml:space="preserve">measures </w:t>
      </w:r>
      <w:r>
        <w:rPr>
          <w:noProof/>
          <w:lang w:val="en-IE"/>
        </w:rPr>
        <w:t xml:space="preserve">in the form of investments </w:t>
      </w:r>
      <w:r w:rsidRPr="00FA73BE">
        <w:rPr>
          <w:noProof/>
          <w:lang w:val="en-IE"/>
        </w:rPr>
        <w:t>take a longer time to be fully implemented compared to annual</w:t>
      </w:r>
      <w:r>
        <w:rPr>
          <w:noProof/>
          <w:lang w:val="en-IE"/>
        </w:rPr>
        <w:t xml:space="preserve"> (or ‘current’) </w:t>
      </w:r>
      <w:r w:rsidRPr="00FA73BE">
        <w:rPr>
          <w:noProof/>
          <w:lang w:val="en-IE"/>
        </w:rPr>
        <w:t xml:space="preserve">measures, which explains to a large extent the persistent gap </w:t>
      </w:r>
      <w:r w:rsidRPr="00B655F1">
        <w:rPr>
          <w:noProof/>
          <w:lang w:val="en-IE"/>
        </w:rPr>
        <w:t>vis-</w:t>
      </w:r>
      <w:r>
        <w:rPr>
          <w:noProof/>
          <w:lang w:val="en-IE"/>
        </w:rPr>
        <w:t>à</w:t>
      </w:r>
      <w:r w:rsidRPr="00B655F1">
        <w:rPr>
          <w:noProof/>
          <w:lang w:val="en-IE"/>
        </w:rPr>
        <w:t>-vis</w:t>
      </w:r>
      <w:r w:rsidRPr="00FA73BE">
        <w:rPr>
          <w:noProof/>
          <w:lang w:val="en-IE"/>
        </w:rPr>
        <w:t xml:space="preserve"> the targets.</w:t>
      </w:r>
    </w:p>
    <w:p w14:paraId="36A04EF6" w14:textId="77777777" w:rsidR="00C843A6" w:rsidRPr="009C57FF" w:rsidRDefault="00C843A6" w:rsidP="00C843A6">
      <w:pPr>
        <w:pStyle w:val="ppoListHyphened-L1"/>
        <w:rPr>
          <w:noProof/>
        </w:rPr>
      </w:pPr>
      <w:r>
        <w:rPr>
          <w:noProof/>
          <w:lang w:val="en-IE"/>
        </w:rPr>
        <w:t xml:space="preserve">The </w:t>
      </w:r>
      <w:r w:rsidRPr="00FA73BE">
        <w:rPr>
          <w:noProof/>
          <w:lang w:val="en-IE"/>
        </w:rPr>
        <w:t>uptake and achievement of results is not yet fully in place</w:t>
      </w:r>
      <w:r>
        <w:rPr>
          <w:noProof/>
          <w:lang w:val="en-IE"/>
        </w:rPr>
        <w:t xml:space="preserve"> for the cross-cutting objective of </w:t>
      </w:r>
      <w:r w:rsidRPr="006B7027">
        <w:rPr>
          <w:iCs/>
          <w:noProof/>
          <w:lang w:val="en-IE"/>
        </w:rPr>
        <w:t>transferring knowledge and fostering innovation in rural areas.</w:t>
      </w:r>
      <w:r>
        <w:rPr>
          <w:noProof/>
          <w:lang w:val="en-IE"/>
        </w:rPr>
        <w:t xml:space="preserve"> This can partly be explained by the type of actions contributing towards the objective</w:t>
      </w:r>
      <w:r>
        <w:rPr>
          <w:rFonts w:ascii="Calibri" w:hAnsi="Calibri" w:cs="Calibri"/>
          <w:noProof/>
          <w:lang w:val="en-IE"/>
        </w:rPr>
        <w:t> –</w:t>
      </w:r>
      <w:r>
        <w:rPr>
          <w:noProof/>
          <w:lang w:val="en-IE"/>
        </w:rPr>
        <w:t xml:space="preserve"> as they need a lot of preparatory work </w:t>
      </w:r>
      <w:r w:rsidRPr="00FA73BE">
        <w:rPr>
          <w:noProof/>
          <w:lang w:val="en-IE"/>
        </w:rPr>
        <w:t>with reportable results emerging only at a later stage</w:t>
      </w:r>
      <w:r>
        <w:rPr>
          <w:rFonts w:ascii="Calibri" w:hAnsi="Calibri" w:cs="Calibri"/>
          <w:noProof/>
          <w:lang w:val="en-IE"/>
        </w:rPr>
        <w:t> –</w:t>
      </w:r>
      <w:r>
        <w:rPr>
          <w:noProof/>
          <w:lang w:val="en-IE"/>
        </w:rPr>
        <w:t xml:space="preserve"> and by long administrative procedures in some Member States.</w:t>
      </w:r>
    </w:p>
    <w:p w14:paraId="3F021274" w14:textId="77777777" w:rsidR="00C843A6" w:rsidRPr="003B08B8" w:rsidRDefault="00C843A6" w:rsidP="00C843A6">
      <w:pPr>
        <w:pStyle w:val="ppoListHyphened-L1"/>
        <w:rPr>
          <w:noProof/>
        </w:rPr>
      </w:pPr>
      <w:r>
        <w:rPr>
          <w:noProof/>
        </w:rPr>
        <w:t xml:space="preserve">For the objective of </w:t>
      </w:r>
      <w:r w:rsidRPr="006B7027">
        <w:rPr>
          <w:iCs/>
          <w:noProof/>
        </w:rPr>
        <w:t>improving farm viability and competitiveness,</w:t>
      </w:r>
      <w:r w:rsidRPr="003B08B8">
        <w:rPr>
          <w:noProof/>
        </w:rPr>
        <w:t xml:space="preserve"> </w:t>
      </w:r>
      <w:r>
        <w:rPr>
          <w:noProof/>
        </w:rPr>
        <w:t>th</w:t>
      </w:r>
      <w:r w:rsidRPr="003B08B8">
        <w:rPr>
          <w:noProof/>
        </w:rPr>
        <w:t>e level of achievement of the targets continues to be satisfactory</w:t>
      </w:r>
      <w:r>
        <w:rPr>
          <w:noProof/>
        </w:rPr>
        <w:t>; i</w:t>
      </w:r>
      <w:r w:rsidRPr="003B08B8">
        <w:rPr>
          <w:noProof/>
        </w:rPr>
        <w:t>nvestment support increases the economic performance and market parti</w:t>
      </w:r>
      <w:r>
        <w:rPr>
          <w:noProof/>
        </w:rPr>
        <w:t>cipation of the supported farms and</w:t>
      </w:r>
      <w:r w:rsidRPr="003B08B8">
        <w:rPr>
          <w:noProof/>
        </w:rPr>
        <w:t xml:space="preserve"> may also </w:t>
      </w:r>
      <w:r>
        <w:rPr>
          <w:noProof/>
        </w:rPr>
        <w:t>bring about</w:t>
      </w:r>
      <w:r w:rsidRPr="003B08B8">
        <w:rPr>
          <w:noProof/>
        </w:rPr>
        <w:t xml:space="preserve"> environmental benefits.</w:t>
      </w:r>
    </w:p>
    <w:p w14:paraId="4D8AB2DF" w14:textId="77777777" w:rsidR="00C843A6" w:rsidRDefault="00C843A6" w:rsidP="00C843A6">
      <w:pPr>
        <w:pStyle w:val="ppoListHyphened-L1"/>
        <w:rPr>
          <w:noProof/>
        </w:rPr>
      </w:pPr>
      <w:r>
        <w:rPr>
          <w:noProof/>
        </w:rPr>
        <w:t xml:space="preserve">As to the objective of </w:t>
      </w:r>
      <w:r w:rsidRPr="006B7027">
        <w:rPr>
          <w:iCs/>
          <w:noProof/>
        </w:rPr>
        <w:t>promoting food chain organisation</w:t>
      </w:r>
      <w:r w:rsidRPr="005E1525">
        <w:rPr>
          <w:iCs/>
          <w:noProof/>
        </w:rPr>
        <w:t>,</w:t>
      </w:r>
      <w:r>
        <w:rPr>
          <w:noProof/>
        </w:rPr>
        <w:t xml:space="preserve"> </w:t>
      </w:r>
      <w:r w:rsidRPr="00284B18">
        <w:rPr>
          <w:noProof/>
        </w:rPr>
        <w:t xml:space="preserve">Member States report several achievements, such as better integration in the food supply chain and </w:t>
      </w:r>
      <w:r>
        <w:rPr>
          <w:noProof/>
        </w:rPr>
        <w:t xml:space="preserve">the </w:t>
      </w:r>
      <w:r w:rsidRPr="00284B18">
        <w:rPr>
          <w:noProof/>
        </w:rPr>
        <w:t xml:space="preserve">introduction of quality schemes, </w:t>
      </w:r>
      <w:r>
        <w:rPr>
          <w:noProof/>
        </w:rPr>
        <w:t xml:space="preserve">increased </w:t>
      </w:r>
      <w:r w:rsidRPr="00284B18">
        <w:rPr>
          <w:noProof/>
        </w:rPr>
        <w:t xml:space="preserve">quality of food production, promotion of local markets and short supply, </w:t>
      </w:r>
      <w:r>
        <w:rPr>
          <w:noProof/>
        </w:rPr>
        <w:t xml:space="preserve">increased </w:t>
      </w:r>
      <w:r w:rsidRPr="00284B18">
        <w:rPr>
          <w:noProof/>
        </w:rPr>
        <w:t xml:space="preserve">participation of farms in risk prevention and management schemes and </w:t>
      </w:r>
      <w:r>
        <w:rPr>
          <w:noProof/>
        </w:rPr>
        <w:t xml:space="preserve">greater </w:t>
      </w:r>
      <w:r w:rsidRPr="00284B18">
        <w:rPr>
          <w:noProof/>
        </w:rPr>
        <w:t>prevention of risks from flooding.</w:t>
      </w:r>
    </w:p>
    <w:p w14:paraId="5CFD00D5" w14:textId="77777777" w:rsidR="00C843A6" w:rsidRDefault="00C843A6" w:rsidP="00C843A6">
      <w:pPr>
        <w:pStyle w:val="ppoListHyphened-L1"/>
        <w:rPr>
          <w:noProof/>
        </w:rPr>
      </w:pPr>
      <w:r>
        <w:rPr>
          <w:noProof/>
        </w:rPr>
        <w:t xml:space="preserve">The largest share of the fund is allocated to the </w:t>
      </w:r>
      <w:r w:rsidRPr="009C57FF">
        <w:rPr>
          <w:noProof/>
        </w:rPr>
        <w:t>objective</w:t>
      </w:r>
      <w:r>
        <w:rPr>
          <w:noProof/>
        </w:rPr>
        <w:t xml:space="preserve"> of </w:t>
      </w:r>
      <w:r w:rsidRPr="006B7027">
        <w:rPr>
          <w:iCs/>
          <w:noProof/>
        </w:rPr>
        <w:t>restoring, preserving and enhancing ecosystems</w:t>
      </w:r>
      <w:r w:rsidRPr="005E1525">
        <w:rPr>
          <w:iCs/>
          <w:noProof/>
        </w:rPr>
        <w:t>.</w:t>
      </w:r>
      <w:r>
        <w:rPr>
          <w:noProof/>
        </w:rPr>
        <w:t xml:space="preserve"> Here, reported achievements include an increased area of </w:t>
      </w:r>
      <w:r w:rsidRPr="00284B18">
        <w:rPr>
          <w:noProof/>
        </w:rPr>
        <w:t>agricultural and forest land covered with management contracts to enhance biodiversity and l</w:t>
      </w:r>
      <w:r>
        <w:rPr>
          <w:noProof/>
        </w:rPr>
        <w:t>andscape;</w:t>
      </w:r>
      <w:r w:rsidRPr="00284B18">
        <w:rPr>
          <w:noProof/>
        </w:rPr>
        <w:t xml:space="preserve"> restoring, preserving, and</w:t>
      </w:r>
      <w:r>
        <w:rPr>
          <w:noProof/>
        </w:rPr>
        <w:t xml:space="preserve"> enhancing biodiversity; </w:t>
      </w:r>
      <w:r w:rsidRPr="00284B18">
        <w:rPr>
          <w:noProof/>
        </w:rPr>
        <w:t>improvement of water quality and management</w:t>
      </w:r>
      <w:r>
        <w:rPr>
          <w:noProof/>
        </w:rPr>
        <w:t xml:space="preserve">; </w:t>
      </w:r>
      <w:r w:rsidRPr="00284B18">
        <w:rPr>
          <w:noProof/>
        </w:rPr>
        <w:t>prevention of soil erosion and improvement of soil management</w:t>
      </w:r>
      <w:r>
        <w:rPr>
          <w:noProof/>
        </w:rPr>
        <w:t>;</w:t>
      </w:r>
      <w:r w:rsidRPr="00284B18">
        <w:rPr>
          <w:noProof/>
        </w:rPr>
        <w:t xml:space="preserve"> and preservation of genetic species in grasslands and livestock.</w:t>
      </w:r>
    </w:p>
    <w:p w14:paraId="7115D3D4" w14:textId="7E365DFA" w:rsidR="00C843A6" w:rsidRDefault="00C843A6" w:rsidP="00C843A6">
      <w:pPr>
        <w:pStyle w:val="ppoListHyphened-L1"/>
        <w:rPr>
          <w:noProof/>
        </w:rPr>
      </w:pPr>
      <w:r>
        <w:rPr>
          <w:noProof/>
        </w:rPr>
        <w:t xml:space="preserve">For the objective of </w:t>
      </w:r>
      <w:r w:rsidRPr="006B7027">
        <w:rPr>
          <w:iCs/>
          <w:noProof/>
        </w:rPr>
        <w:t>promoting resource efficiency and supporting the shift towards a low</w:t>
      </w:r>
      <w:r>
        <w:rPr>
          <w:iCs/>
          <w:noProof/>
        </w:rPr>
        <w:t>-</w:t>
      </w:r>
      <w:r w:rsidRPr="006B7027">
        <w:rPr>
          <w:iCs/>
          <w:noProof/>
        </w:rPr>
        <w:t>carbon and climate</w:t>
      </w:r>
      <w:r>
        <w:rPr>
          <w:iCs/>
          <w:noProof/>
        </w:rPr>
        <w:t>-</w:t>
      </w:r>
      <w:r w:rsidRPr="006B7027">
        <w:rPr>
          <w:iCs/>
          <w:noProof/>
        </w:rPr>
        <w:t>resilient economy</w:t>
      </w:r>
      <w:r w:rsidRPr="005E1525">
        <w:rPr>
          <w:iCs/>
          <w:noProof/>
        </w:rPr>
        <w:t>,</w:t>
      </w:r>
      <w:r>
        <w:rPr>
          <w:noProof/>
        </w:rPr>
        <w:t xml:space="preserve"> </w:t>
      </w:r>
      <w:r w:rsidRPr="00435A0A">
        <w:rPr>
          <w:noProof/>
        </w:rPr>
        <w:t xml:space="preserve">uptake </w:t>
      </w:r>
      <w:r>
        <w:rPr>
          <w:noProof/>
        </w:rPr>
        <w:t>was generally lower than planned. This was</w:t>
      </w:r>
      <w:r w:rsidRPr="00435A0A">
        <w:rPr>
          <w:noProof/>
        </w:rPr>
        <w:t xml:space="preserve"> due to the nature of the interventions </w:t>
      </w:r>
      <w:r>
        <w:rPr>
          <w:noProof/>
        </w:rPr>
        <w:t>as</w:t>
      </w:r>
      <w:r w:rsidRPr="00435A0A">
        <w:rPr>
          <w:noProof/>
        </w:rPr>
        <w:t xml:space="preserve"> inves</w:t>
      </w:r>
      <w:r w:rsidR="004D27B7">
        <w:rPr>
          <w:noProof/>
        </w:rPr>
        <w:t xml:space="preserve">tment projects </w:t>
      </w:r>
      <w:r w:rsidRPr="00435A0A">
        <w:rPr>
          <w:noProof/>
        </w:rPr>
        <w:t xml:space="preserve">can take some time to materialise. Implementation delays have been </w:t>
      </w:r>
      <w:r>
        <w:rPr>
          <w:noProof/>
        </w:rPr>
        <w:t xml:space="preserve">the </w:t>
      </w:r>
      <w:r w:rsidRPr="00435A0A">
        <w:rPr>
          <w:noProof/>
        </w:rPr>
        <w:t>subject to continuous dialogue with the Member States.</w:t>
      </w:r>
    </w:p>
    <w:p w14:paraId="6D6C4DCB" w14:textId="77777777" w:rsidR="00C843A6" w:rsidRPr="00040D99" w:rsidRDefault="00C843A6" w:rsidP="00C843A6">
      <w:pPr>
        <w:pStyle w:val="ppoListHyphened-L1"/>
        <w:rPr>
          <w:noProof/>
        </w:rPr>
      </w:pPr>
      <w:r>
        <w:rPr>
          <w:noProof/>
        </w:rPr>
        <w:t xml:space="preserve">In the objective of </w:t>
      </w:r>
      <w:r w:rsidRPr="006B7027">
        <w:rPr>
          <w:iCs/>
          <w:noProof/>
        </w:rPr>
        <w:t>promoting social inclusion, poverty reduction and economic development in rural areas</w:t>
      </w:r>
      <w:r w:rsidRPr="005E1525">
        <w:rPr>
          <w:iCs/>
          <w:noProof/>
        </w:rPr>
        <w:t>,</w:t>
      </w:r>
      <w:r w:rsidRPr="00A77C18">
        <w:rPr>
          <w:noProof/>
        </w:rPr>
        <w:t xml:space="preserve"> several achievements related to small enterprises and jobs have been reported, such as diversification, creation and development of small enterprises</w:t>
      </w:r>
      <w:r>
        <w:rPr>
          <w:noProof/>
        </w:rPr>
        <w:t xml:space="preserve"> and</w:t>
      </w:r>
      <w:r w:rsidRPr="00A77C18">
        <w:rPr>
          <w:noProof/>
        </w:rPr>
        <w:t xml:space="preserve"> job creation and maintenance in rural areas. </w:t>
      </w:r>
      <w:bookmarkStart w:id="166" w:name="_Hlk101862456"/>
      <w:r>
        <w:rPr>
          <w:noProof/>
        </w:rPr>
        <w:t>There has also been progress in</w:t>
      </w:r>
      <w:r w:rsidRPr="006D7200">
        <w:rPr>
          <w:noProof/>
        </w:rPr>
        <w:t xml:space="preserve"> development and access</w:t>
      </w:r>
      <w:r w:rsidRPr="00A77C18">
        <w:rPr>
          <w:noProof/>
        </w:rPr>
        <w:t xml:space="preserve"> to services and local infrastructure in rural areas</w:t>
      </w:r>
      <w:bookmarkEnd w:id="166"/>
      <w:r w:rsidRPr="00A77C18">
        <w:rPr>
          <w:noProof/>
        </w:rPr>
        <w:t xml:space="preserve">, participation in local development strategies, employment opportunities created via local development strategies, broadband expansion and better use of </w:t>
      </w:r>
      <w:r w:rsidRPr="004E7F4A">
        <w:rPr>
          <w:noProof/>
        </w:rPr>
        <w:t>information and communications technology</w:t>
      </w:r>
      <w:r>
        <w:rPr>
          <w:noProof/>
        </w:rPr>
        <w:t xml:space="preserve"> in rural areas. The indicator value for services/infrastructures is relatively low, partly due to the fact that many of these projects are large and may require several years to be implemented. </w:t>
      </w:r>
    </w:p>
    <w:p w14:paraId="6EF16698" w14:textId="77777777" w:rsidR="00C843A6" w:rsidRPr="00040D99" w:rsidRDefault="00C843A6" w:rsidP="00C843A6">
      <w:pPr>
        <w:pStyle w:val="ppoHeading5"/>
        <w:rPr>
          <w:noProof/>
        </w:rPr>
      </w:pPr>
      <w:r w:rsidRPr="00040D99">
        <w:rPr>
          <w:noProof/>
        </w:rPr>
        <w:t>Contribution to horizontal priorities</w:t>
      </w:r>
    </w:p>
    <w:p w14:paraId="3DF9CD2E" w14:textId="77777777" w:rsidR="00C843A6" w:rsidRPr="00040D99" w:rsidRDefault="00C843A6" w:rsidP="00C843A6">
      <w:pPr>
        <w:pStyle w:val="ppoTableTabletitle"/>
        <w:rPr>
          <w:noProof/>
        </w:rPr>
      </w:pPr>
      <w:r w:rsidRPr="00040D99">
        <w:rPr>
          <w:noProof/>
        </w:rPr>
        <w:t>EU budget contribution in 2021</w:t>
      </w:r>
      <w:r>
        <w:rPr>
          <w:noProof/>
        </w:rPr>
        <w:t xml:space="preserve"> (million EUR)</w:t>
      </w:r>
      <w:r w:rsidRPr="00040D99">
        <w:rPr>
          <w:noProof/>
        </w:rPr>
        <w:t>:</w:t>
      </w:r>
    </w:p>
    <w:tbl>
      <w:tblPr>
        <w:tblStyle w:val="PPO2021"/>
        <w:tblW w:w="9639" w:type="dxa"/>
        <w:tblInd w:w="0" w:type="dxa"/>
        <w:tblLook w:val="0420" w:firstRow="1" w:lastRow="0" w:firstColumn="0" w:lastColumn="0" w:noHBand="0" w:noVBand="1"/>
      </w:tblPr>
      <w:tblGrid>
        <w:gridCol w:w="3213"/>
        <w:gridCol w:w="3213"/>
        <w:gridCol w:w="3213"/>
      </w:tblGrid>
      <w:tr w:rsidR="00C843A6" w:rsidRPr="00040D99" w14:paraId="6BD9C57B" w14:textId="77777777" w:rsidTr="0083214A">
        <w:trPr>
          <w:cnfStyle w:val="100000000000" w:firstRow="1" w:lastRow="0" w:firstColumn="0" w:lastColumn="0" w:oddVBand="0" w:evenVBand="0" w:oddHBand="0" w:evenHBand="0" w:firstRowFirstColumn="0" w:firstRowLastColumn="0" w:lastRowFirstColumn="0" w:lastRowLastColumn="0"/>
          <w:tblHeader/>
        </w:trPr>
        <w:tc>
          <w:tcPr>
            <w:tcW w:w="3213" w:type="dxa"/>
          </w:tcPr>
          <w:p w14:paraId="33413035" w14:textId="77777777" w:rsidR="00C843A6" w:rsidRPr="00BD731A" w:rsidRDefault="00C843A6" w:rsidP="0083214A">
            <w:pPr>
              <w:rPr>
                <w:noProof/>
              </w:rPr>
            </w:pPr>
            <w:r w:rsidRPr="00BD731A">
              <w:rPr>
                <w:noProof/>
              </w:rPr>
              <w:t>Climate</w:t>
            </w:r>
          </w:p>
        </w:tc>
        <w:tc>
          <w:tcPr>
            <w:tcW w:w="3213" w:type="dxa"/>
          </w:tcPr>
          <w:p w14:paraId="66E33A91" w14:textId="77777777" w:rsidR="00C843A6" w:rsidRPr="00BD731A" w:rsidRDefault="00C843A6" w:rsidP="0083214A">
            <w:pPr>
              <w:rPr>
                <w:noProof/>
              </w:rPr>
            </w:pPr>
            <w:r w:rsidRPr="00BD731A">
              <w:rPr>
                <w:noProof/>
              </w:rPr>
              <w:t>Biodiversity</w:t>
            </w:r>
          </w:p>
        </w:tc>
        <w:tc>
          <w:tcPr>
            <w:tcW w:w="3213" w:type="dxa"/>
          </w:tcPr>
          <w:p w14:paraId="364ABA4C" w14:textId="77777777" w:rsidR="00C843A6" w:rsidRPr="00BD731A" w:rsidRDefault="00C843A6" w:rsidP="0083214A">
            <w:pPr>
              <w:rPr>
                <w:noProof/>
              </w:rPr>
            </w:pPr>
            <w:r w:rsidRPr="00BD731A">
              <w:rPr>
                <w:noProof/>
              </w:rPr>
              <w:t>Gender equality</w:t>
            </w:r>
            <w:r>
              <w:rPr>
                <w:rFonts w:ascii="Calibri" w:hAnsi="Calibri" w:cs="Calibri"/>
                <w:noProof/>
              </w:rPr>
              <w:t> </w:t>
            </w:r>
            <w:r>
              <w:rPr>
                <w:noProof/>
              </w:rPr>
              <w:t>(*)</w:t>
            </w:r>
          </w:p>
        </w:tc>
      </w:tr>
      <w:tr w:rsidR="00C843A6" w:rsidRPr="00040D99" w14:paraId="2C3DBD4E" w14:textId="77777777" w:rsidTr="0083214A">
        <w:trPr>
          <w:cnfStyle w:val="000000100000" w:firstRow="0" w:lastRow="0" w:firstColumn="0" w:lastColumn="0" w:oddVBand="0" w:evenVBand="0" w:oddHBand="1" w:evenHBand="0" w:firstRowFirstColumn="0" w:firstRowLastColumn="0" w:lastRowFirstColumn="0" w:lastRowLastColumn="0"/>
        </w:trPr>
        <w:tc>
          <w:tcPr>
            <w:tcW w:w="3213" w:type="dxa"/>
          </w:tcPr>
          <w:tbl>
            <w:tblPr>
              <w:tblStyle w:val="TableGrid"/>
              <w:tblW w:w="0" w:type="auto"/>
              <w:tblLook w:val="06A0" w:firstRow="1" w:lastRow="0" w:firstColumn="1" w:lastColumn="0" w:noHBand="1" w:noVBand="1"/>
            </w:tblPr>
            <w:tblGrid>
              <w:gridCol w:w="1935"/>
            </w:tblGrid>
            <w:tr w:rsidR="00C843A6" w14:paraId="0D3851C9" w14:textId="77777777" w:rsidTr="0083214A">
              <w:trPr>
                <w:trHeight w:val="285"/>
              </w:trPr>
              <w:tc>
                <w:tcPr>
                  <w:tcW w:w="1935" w:type="dxa"/>
                  <w:tcBorders>
                    <w:top w:val="nil"/>
                    <w:left w:val="nil"/>
                    <w:bottom w:val="nil"/>
                    <w:right w:val="nil"/>
                  </w:tcBorders>
                  <w:vAlign w:val="center"/>
                </w:tcPr>
                <w:p w14:paraId="1C79F1A7" w14:textId="6CEBC875" w:rsidR="00C843A6" w:rsidRDefault="001956B8" w:rsidP="0083214A">
                  <w:pPr>
                    <w:jc w:val="right"/>
                    <w:rPr>
                      <w:noProof/>
                    </w:rPr>
                  </w:pPr>
                  <w:r>
                    <w:rPr>
                      <w:rFonts w:ascii="Calibri" w:hAnsi="Calibri" w:cs="Calibri"/>
                      <w:noProof/>
                      <w:color w:val="000000"/>
                    </w:rPr>
                    <w:t>25 996.37</w:t>
                  </w:r>
                </w:p>
              </w:tc>
            </w:tr>
          </w:tbl>
          <w:p w14:paraId="44A655C0" w14:textId="77777777" w:rsidR="00C843A6" w:rsidRPr="00BD731A" w:rsidRDefault="00C843A6" w:rsidP="0083214A">
            <w:pPr>
              <w:jc w:val="center"/>
              <w:rPr>
                <w:noProof/>
              </w:rPr>
            </w:pPr>
          </w:p>
        </w:tc>
        <w:tc>
          <w:tcPr>
            <w:tcW w:w="3213" w:type="dxa"/>
          </w:tcPr>
          <w:p w14:paraId="3C347666" w14:textId="77777777" w:rsidR="00C843A6" w:rsidRPr="00BD731A" w:rsidRDefault="00C843A6" w:rsidP="0083214A">
            <w:pPr>
              <w:jc w:val="center"/>
              <w:rPr>
                <w:noProof/>
              </w:rPr>
            </w:pPr>
            <w:r>
              <w:rPr>
                <w:noProof/>
              </w:rPr>
              <w:t>9</w:t>
            </w:r>
            <w:r w:rsidRPr="18DA0CEC">
              <w:rPr>
                <w:rFonts w:ascii="Calibri" w:hAnsi="Calibri" w:cs="Calibri"/>
                <w:noProof/>
              </w:rPr>
              <w:t> </w:t>
            </w:r>
            <w:r>
              <w:rPr>
                <w:noProof/>
              </w:rPr>
              <w:t>942.9</w:t>
            </w:r>
          </w:p>
        </w:tc>
        <w:tc>
          <w:tcPr>
            <w:tcW w:w="3213" w:type="dxa"/>
          </w:tcPr>
          <w:p w14:paraId="43AF041E" w14:textId="77777777" w:rsidR="00C843A6" w:rsidRPr="00BD731A" w:rsidRDefault="00C843A6" w:rsidP="0083214A">
            <w:pPr>
              <w:jc w:val="center"/>
              <w:rPr>
                <w:noProof/>
              </w:rPr>
            </w:pPr>
            <w:r>
              <w:rPr>
                <w:noProof/>
              </w:rPr>
              <w:t>Score</w:t>
            </w:r>
            <w:r w:rsidRPr="18DA0CEC">
              <w:rPr>
                <w:rFonts w:ascii="Calibri" w:hAnsi="Calibri" w:cs="Calibri"/>
                <w:noProof/>
              </w:rPr>
              <w:t> </w:t>
            </w:r>
            <w:r>
              <w:rPr>
                <w:noProof/>
              </w:rPr>
              <w:t>0*: 55</w:t>
            </w:r>
            <w:r w:rsidRPr="18DA0CEC">
              <w:rPr>
                <w:rFonts w:ascii="Calibri" w:hAnsi="Calibri" w:cs="Calibri"/>
                <w:noProof/>
              </w:rPr>
              <w:t> </w:t>
            </w:r>
            <w:r>
              <w:rPr>
                <w:noProof/>
              </w:rPr>
              <w:t>023.2</w:t>
            </w:r>
          </w:p>
        </w:tc>
      </w:tr>
    </w:tbl>
    <w:p w14:paraId="57941AF9" w14:textId="77777777" w:rsidR="00C843A6" w:rsidRPr="00045449" w:rsidRDefault="00C843A6" w:rsidP="00C843A6">
      <w:pPr>
        <w:pStyle w:val="FootnoteText"/>
        <w:rPr>
          <w:noProof/>
          <w:lang w:val="en-IE"/>
        </w:rPr>
      </w:pPr>
      <w:r w:rsidRPr="00045449">
        <w:rPr>
          <w:noProof/>
          <w:lang w:val="en-IE"/>
        </w:rPr>
        <w:t xml:space="preserve">(*) Based on the applied gender contribution methodology, the following scores are attributed at the most granular level of intervention possible: </w:t>
      </w:r>
    </w:p>
    <w:p w14:paraId="67DBA0CA" w14:textId="77777777" w:rsidR="00C843A6" w:rsidRPr="00045449" w:rsidRDefault="00C843A6" w:rsidP="00C843A6">
      <w:pPr>
        <w:pStyle w:val="FootnoteText"/>
        <w:numPr>
          <w:ilvl w:val="0"/>
          <w:numId w:val="38"/>
        </w:numPr>
        <w:spacing w:after="60" w:line="264" w:lineRule="auto"/>
        <w:jc w:val="left"/>
        <w:rPr>
          <w:noProof/>
          <w:lang w:val="en-IE"/>
        </w:rPr>
      </w:pPr>
      <w:r w:rsidRPr="00045449">
        <w:rPr>
          <w:noProof/>
          <w:lang w:val="en-IE"/>
        </w:rPr>
        <w:t>2: interventions the principal objective of which is to improve gender equality;</w:t>
      </w:r>
    </w:p>
    <w:p w14:paraId="6FB45985" w14:textId="77777777" w:rsidR="00C843A6" w:rsidRPr="00045449" w:rsidRDefault="00C843A6" w:rsidP="00C843A6">
      <w:pPr>
        <w:pStyle w:val="FootnoteText"/>
        <w:numPr>
          <w:ilvl w:val="0"/>
          <w:numId w:val="38"/>
        </w:numPr>
        <w:spacing w:after="60" w:line="264" w:lineRule="auto"/>
        <w:jc w:val="left"/>
        <w:rPr>
          <w:noProof/>
          <w:lang w:val="en-IE"/>
        </w:rPr>
      </w:pPr>
      <w:r w:rsidRPr="00045449">
        <w:rPr>
          <w:noProof/>
          <w:lang w:val="en-IE"/>
        </w:rPr>
        <w:t>1: interventions that have gender equality as an important and deliberate objective but not as the main reason for the intervention;</w:t>
      </w:r>
    </w:p>
    <w:p w14:paraId="74DB31FC" w14:textId="77777777" w:rsidR="00C843A6" w:rsidRPr="00045449" w:rsidRDefault="00C843A6" w:rsidP="00C843A6">
      <w:pPr>
        <w:pStyle w:val="FootnoteText"/>
        <w:numPr>
          <w:ilvl w:val="0"/>
          <w:numId w:val="38"/>
        </w:numPr>
        <w:spacing w:after="60" w:line="264" w:lineRule="auto"/>
        <w:jc w:val="left"/>
        <w:rPr>
          <w:noProof/>
          <w:lang w:val="en-IE"/>
        </w:rPr>
      </w:pPr>
      <w:r w:rsidRPr="00045449">
        <w:rPr>
          <w:noProof/>
          <w:lang w:val="en-IE"/>
        </w:rPr>
        <w:t xml:space="preserve">0: non-targeted interventions; </w:t>
      </w:r>
    </w:p>
    <w:p w14:paraId="18197554" w14:textId="77777777" w:rsidR="00C843A6" w:rsidRPr="00045449" w:rsidRDefault="00C843A6" w:rsidP="00C843A6">
      <w:pPr>
        <w:pStyle w:val="FootnoteText"/>
        <w:numPr>
          <w:ilvl w:val="0"/>
          <w:numId w:val="38"/>
        </w:numPr>
        <w:spacing w:after="60" w:line="264" w:lineRule="auto"/>
        <w:jc w:val="left"/>
        <w:rPr>
          <w:noProof/>
          <w:lang w:val="en-IE"/>
        </w:rPr>
      </w:pPr>
      <w:r w:rsidRPr="00045449">
        <w:rPr>
          <w:noProof/>
          <w:lang w:val="en-IE"/>
        </w:rPr>
        <w:t>0*: score to be assigned to interventions with a likely but not yet clear positive impact on gender equality.</w:t>
      </w:r>
    </w:p>
    <w:p w14:paraId="23B6D6D5" w14:textId="77777777" w:rsidR="00C843A6" w:rsidRPr="00040D99" w:rsidRDefault="00C843A6" w:rsidP="00C843A6">
      <w:pPr>
        <w:pStyle w:val="ppoHeading5"/>
        <w:rPr>
          <w:noProof/>
        </w:rPr>
      </w:pPr>
      <w:r w:rsidRPr="00040D99">
        <w:rPr>
          <w:noProof/>
        </w:rPr>
        <w:t>Performance assessment</w:t>
      </w:r>
    </w:p>
    <w:p w14:paraId="385C6F83" w14:textId="77777777" w:rsidR="00C843A6" w:rsidRPr="00040D99" w:rsidRDefault="00C843A6" w:rsidP="00C843A6">
      <w:pPr>
        <w:pStyle w:val="ppoHeading6"/>
        <w:rPr>
          <w:noProof/>
        </w:rPr>
      </w:pPr>
      <w:r w:rsidRPr="00040D99">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C843A6" w:rsidRPr="00AC11E4" w14:paraId="7CEA9239" w14:textId="77777777" w:rsidTr="0083214A">
        <w:trPr>
          <w:cnfStyle w:val="100000000000" w:firstRow="1" w:lastRow="0" w:firstColumn="0" w:lastColumn="0" w:oddVBand="0" w:evenVBand="0" w:oddHBand="0" w:evenHBand="0" w:firstRowFirstColumn="0" w:firstRowLastColumn="0" w:lastRowFirstColumn="0" w:lastRowLastColumn="0"/>
        </w:trPr>
        <w:tc>
          <w:tcPr>
            <w:tcW w:w="2330" w:type="dxa"/>
          </w:tcPr>
          <w:p w14:paraId="4D2ECF07" w14:textId="77777777" w:rsidR="00C843A6" w:rsidRPr="00884C9A" w:rsidRDefault="00C843A6" w:rsidP="0083214A">
            <w:pPr>
              <w:rPr>
                <w:noProof/>
              </w:rPr>
            </w:pPr>
          </w:p>
        </w:tc>
        <w:tc>
          <w:tcPr>
            <w:tcW w:w="1100" w:type="dxa"/>
          </w:tcPr>
          <w:p w14:paraId="17C9229A" w14:textId="77777777" w:rsidR="00C843A6" w:rsidRPr="00884C9A" w:rsidRDefault="00C843A6" w:rsidP="0083214A">
            <w:pPr>
              <w:rPr>
                <w:noProof/>
              </w:rPr>
            </w:pPr>
            <w:r w:rsidRPr="00884C9A">
              <w:rPr>
                <w:noProof/>
              </w:rPr>
              <w:t>Baseline</w:t>
            </w:r>
          </w:p>
        </w:tc>
        <w:tc>
          <w:tcPr>
            <w:tcW w:w="1526" w:type="dxa"/>
          </w:tcPr>
          <w:p w14:paraId="1A41265E" w14:textId="77777777" w:rsidR="00C843A6" w:rsidRPr="00884C9A" w:rsidRDefault="00C843A6" w:rsidP="0083214A">
            <w:pPr>
              <w:rPr>
                <w:noProof/>
              </w:rPr>
            </w:pPr>
            <w:r w:rsidRPr="00884C9A">
              <w:rPr>
                <w:noProof/>
              </w:rPr>
              <w:t>Progress</w:t>
            </w:r>
            <w:r>
              <w:rPr>
                <w:rFonts w:ascii="Calibri" w:hAnsi="Calibri" w:cs="Calibri"/>
                <w:noProof/>
              </w:rPr>
              <w:t> </w:t>
            </w:r>
            <w:r>
              <w:rPr>
                <w:noProof/>
              </w:rPr>
              <w:t>(*)</w:t>
            </w:r>
          </w:p>
        </w:tc>
        <w:tc>
          <w:tcPr>
            <w:tcW w:w="1532" w:type="dxa"/>
          </w:tcPr>
          <w:p w14:paraId="5069B55F" w14:textId="77777777" w:rsidR="00C843A6" w:rsidRPr="00884C9A" w:rsidRDefault="00C843A6" w:rsidP="0083214A">
            <w:pPr>
              <w:rPr>
                <w:noProof/>
              </w:rPr>
            </w:pPr>
            <w:r w:rsidRPr="00884C9A">
              <w:rPr>
                <w:noProof/>
              </w:rPr>
              <w:t>Target</w:t>
            </w:r>
          </w:p>
        </w:tc>
        <w:tc>
          <w:tcPr>
            <w:tcW w:w="1572" w:type="dxa"/>
          </w:tcPr>
          <w:p w14:paraId="025FD375" w14:textId="77777777" w:rsidR="00C843A6" w:rsidRPr="00884C9A" w:rsidRDefault="00C843A6" w:rsidP="0083214A">
            <w:pPr>
              <w:rPr>
                <w:noProof/>
              </w:rPr>
            </w:pPr>
            <w:r w:rsidRPr="00884C9A">
              <w:rPr>
                <w:noProof/>
              </w:rPr>
              <w:t>Results</w:t>
            </w:r>
          </w:p>
        </w:tc>
        <w:tc>
          <w:tcPr>
            <w:tcW w:w="1579" w:type="dxa"/>
          </w:tcPr>
          <w:p w14:paraId="313FF018" w14:textId="77777777" w:rsidR="00C843A6" w:rsidRPr="00884C9A" w:rsidRDefault="00C843A6" w:rsidP="0083214A">
            <w:pPr>
              <w:rPr>
                <w:noProof/>
              </w:rPr>
            </w:pPr>
            <w:r w:rsidRPr="00884C9A">
              <w:rPr>
                <w:noProof/>
              </w:rPr>
              <w:t>Assessment</w:t>
            </w:r>
          </w:p>
        </w:tc>
      </w:tr>
      <w:tr w:rsidR="00C843A6" w:rsidRPr="00AC11E4" w14:paraId="26C9154D"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4DF88CD1" w14:textId="77777777" w:rsidR="00C843A6" w:rsidRPr="00884C9A" w:rsidRDefault="00C843A6" w:rsidP="0083214A">
            <w:pPr>
              <w:rPr>
                <w:noProof/>
              </w:rPr>
            </w:pPr>
            <w:r>
              <w:rPr>
                <w:noProof/>
              </w:rPr>
              <w:t>To increase agricultural factor income</w:t>
            </w:r>
          </w:p>
        </w:tc>
        <w:tc>
          <w:tcPr>
            <w:tcW w:w="1100" w:type="dxa"/>
          </w:tcPr>
          <w:p w14:paraId="533F0E5C" w14:textId="77777777" w:rsidR="00C843A6" w:rsidRPr="00884C9A" w:rsidRDefault="00C843A6" w:rsidP="0083214A">
            <w:pPr>
              <w:jc w:val="center"/>
              <w:rPr>
                <w:noProof/>
              </w:rPr>
            </w:pPr>
            <w:r>
              <w:rPr>
                <w:noProof/>
              </w:rPr>
              <w:t>2013: 111.8</w:t>
            </w:r>
          </w:p>
        </w:tc>
        <w:tc>
          <w:tcPr>
            <w:tcW w:w="1526" w:type="dxa"/>
          </w:tcPr>
          <w:p w14:paraId="3516B07F" w14:textId="77777777" w:rsidR="00C843A6" w:rsidRPr="00724FDD" w:rsidRDefault="00C843A6" w:rsidP="0083214A">
            <w:pPr>
              <w:jc w:val="center"/>
              <w:rPr>
                <w:b/>
                <w:noProof/>
              </w:rPr>
            </w:pPr>
            <w:r>
              <w:rPr>
                <w:noProof/>
              </w:rPr>
              <w:t>&gt;</w:t>
            </w:r>
            <w:r>
              <w:rPr>
                <w:rFonts w:ascii="Calibri" w:hAnsi="Calibri" w:cs="Calibri"/>
                <w:noProof/>
              </w:rPr>
              <w:t> </w:t>
            </w:r>
            <w:r>
              <w:rPr>
                <w:noProof/>
              </w:rPr>
              <w:t>100% (**)</w:t>
            </w:r>
          </w:p>
        </w:tc>
        <w:tc>
          <w:tcPr>
            <w:tcW w:w="1532" w:type="dxa"/>
          </w:tcPr>
          <w:p w14:paraId="427DC025" w14:textId="77777777" w:rsidR="00C843A6" w:rsidRPr="00884C9A" w:rsidRDefault="00C843A6" w:rsidP="0083214A">
            <w:pPr>
              <w:jc w:val="center"/>
              <w:rPr>
                <w:noProof/>
              </w:rPr>
            </w:pPr>
            <w:r>
              <w:rPr>
                <w:noProof/>
              </w:rPr>
              <w:t>Overall increase in the long term</w:t>
            </w:r>
          </w:p>
        </w:tc>
        <w:tc>
          <w:tcPr>
            <w:tcW w:w="1572" w:type="dxa"/>
          </w:tcPr>
          <w:p w14:paraId="6D411445" w14:textId="06C04A24" w:rsidR="00C843A6" w:rsidRPr="00884C9A" w:rsidRDefault="00C843A6" w:rsidP="0083214A">
            <w:pPr>
              <w:jc w:val="center"/>
              <w:rPr>
                <w:noProof/>
              </w:rPr>
            </w:pPr>
            <w:r w:rsidRPr="00C86E2A">
              <w:rPr>
                <w:noProof/>
              </w:rPr>
              <w:t xml:space="preserve">Index </w:t>
            </w:r>
            <w:r>
              <w:rPr>
                <w:noProof/>
              </w:rPr>
              <w:t>above the baseline</w:t>
            </w:r>
            <w:r w:rsidRPr="00C86E2A">
              <w:rPr>
                <w:noProof/>
              </w:rPr>
              <w:t xml:space="preserve"> each year from 2014 to 2021. 2021 index value: 132</w:t>
            </w:r>
            <w:r>
              <w:rPr>
                <w:noProof/>
              </w:rPr>
              <w:t xml:space="preserve"> </w:t>
            </w:r>
          </w:p>
        </w:tc>
        <w:tc>
          <w:tcPr>
            <w:tcW w:w="1579" w:type="dxa"/>
          </w:tcPr>
          <w:p w14:paraId="74B38A2F" w14:textId="77777777" w:rsidR="00C843A6" w:rsidRPr="00884C9A" w:rsidRDefault="00C843A6" w:rsidP="0083214A">
            <w:pPr>
              <w:jc w:val="center"/>
              <w:rPr>
                <w:noProof/>
              </w:rPr>
            </w:pPr>
            <w:r>
              <w:rPr>
                <w:noProof/>
              </w:rPr>
              <w:t>On track</w:t>
            </w:r>
          </w:p>
        </w:tc>
      </w:tr>
      <w:tr w:rsidR="00C843A6" w:rsidRPr="00AC11E4" w14:paraId="476665FE"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0B42F7ED" w14:textId="77777777" w:rsidR="00C843A6" w:rsidRPr="00884C9A" w:rsidRDefault="00C843A6" w:rsidP="0083214A">
            <w:pPr>
              <w:rPr>
                <w:noProof/>
              </w:rPr>
            </w:pPr>
            <w:r>
              <w:rPr>
                <w:noProof/>
              </w:rPr>
              <w:t>To increase agricultural productivity</w:t>
            </w:r>
          </w:p>
        </w:tc>
        <w:tc>
          <w:tcPr>
            <w:tcW w:w="1100" w:type="dxa"/>
          </w:tcPr>
          <w:p w14:paraId="232E077B" w14:textId="77777777" w:rsidR="00C843A6" w:rsidRPr="00884C9A" w:rsidRDefault="00C843A6" w:rsidP="0083214A">
            <w:pPr>
              <w:jc w:val="center"/>
              <w:rPr>
                <w:noProof/>
              </w:rPr>
            </w:pPr>
            <w:r>
              <w:rPr>
                <w:noProof/>
              </w:rPr>
              <w:t>2005: 100</w:t>
            </w:r>
          </w:p>
        </w:tc>
        <w:tc>
          <w:tcPr>
            <w:tcW w:w="1526" w:type="dxa"/>
          </w:tcPr>
          <w:p w14:paraId="37E1BEFE" w14:textId="77777777" w:rsidR="00C843A6" w:rsidRPr="00724FDD" w:rsidRDefault="00C843A6" w:rsidP="0083214A">
            <w:pPr>
              <w:jc w:val="center"/>
              <w:rPr>
                <w:b/>
                <w:noProof/>
              </w:rPr>
            </w:pPr>
            <w:r>
              <w:rPr>
                <w:noProof/>
              </w:rPr>
              <w:t>&gt;</w:t>
            </w:r>
            <w:r>
              <w:rPr>
                <w:rFonts w:ascii="Calibri" w:hAnsi="Calibri" w:cs="Calibri"/>
                <w:noProof/>
              </w:rPr>
              <w:t> </w:t>
            </w:r>
            <w:r>
              <w:rPr>
                <w:noProof/>
              </w:rPr>
              <w:t>100% (***)</w:t>
            </w:r>
          </w:p>
        </w:tc>
        <w:tc>
          <w:tcPr>
            <w:tcW w:w="1532" w:type="dxa"/>
          </w:tcPr>
          <w:p w14:paraId="6A68F0C9" w14:textId="77777777" w:rsidR="00C843A6" w:rsidRPr="00884C9A" w:rsidRDefault="00C843A6" w:rsidP="0083214A">
            <w:pPr>
              <w:jc w:val="center"/>
              <w:rPr>
                <w:noProof/>
              </w:rPr>
            </w:pPr>
            <w:r>
              <w:rPr>
                <w:noProof/>
              </w:rPr>
              <w:t>Overall increase in the long term</w:t>
            </w:r>
          </w:p>
        </w:tc>
        <w:tc>
          <w:tcPr>
            <w:tcW w:w="1572" w:type="dxa"/>
          </w:tcPr>
          <w:p w14:paraId="56EA390B" w14:textId="119E99AC" w:rsidR="00C843A6" w:rsidRPr="00884C9A" w:rsidRDefault="00C843A6" w:rsidP="0083214A">
            <w:pPr>
              <w:jc w:val="center"/>
              <w:rPr>
                <w:noProof/>
              </w:rPr>
            </w:pPr>
            <w:r>
              <w:rPr>
                <w:noProof/>
              </w:rPr>
              <w:t>Index above the baseline each year from 2014 to 20</w:t>
            </w:r>
            <w:r w:rsidR="00333CB9">
              <w:rPr>
                <w:noProof/>
              </w:rPr>
              <w:t>20</w:t>
            </w:r>
            <w:r>
              <w:rPr>
                <w:noProof/>
              </w:rPr>
              <w:t>. 20</w:t>
            </w:r>
            <w:r w:rsidR="00333CB9">
              <w:rPr>
                <w:noProof/>
              </w:rPr>
              <w:t>20</w:t>
            </w:r>
            <w:r>
              <w:rPr>
                <w:noProof/>
              </w:rPr>
              <w:t xml:space="preserve"> index value: 10</w:t>
            </w:r>
            <w:r w:rsidR="00333CB9">
              <w:rPr>
                <w:noProof/>
              </w:rPr>
              <w:t>7</w:t>
            </w:r>
            <w:r>
              <w:rPr>
                <w:noProof/>
              </w:rPr>
              <w:t>.</w:t>
            </w:r>
            <w:r w:rsidR="00333CB9">
              <w:rPr>
                <w:noProof/>
              </w:rPr>
              <w:t>5</w:t>
            </w:r>
            <w:r>
              <w:rPr>
                <w:noProof/>
              </w:rPr>
              <w:t xml:space="preserve"> </w:t>
            </w:r>
          </w:p>
        </w:tc>
        <w:tc>
          <w:tcPr>
            <w:tcW w:w="1579" w:type="dxa"/>
          </w:tcPr>
          <w:p w14:paraId="729B35A8" w14:textId="77777777" w:rsidR="00C843A6" w:rsidRPr="00884C9A" w:rsidRDefault="00C843A6" w:rsidP="0083214A">
            <w:pPr>
              <w:jc w:val="center"/>
              <w:rPr>
                <w:noProof/>
              </w:rPr>
            </w:pPr>
            <w:r>
              <w:rPr>
                <w:noProof/>
              </w:rPr>
              <w:t>On track</w:t>
            </w:r>
          </w:p>
        </w:tc>
      </w:tr>
      <w:tr w:rsidR="00C843A6" w:rsidRPr="00AC11E4" w14:paraId="224102B9"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3E6393C5" w14:textId="77777777" w:rsidR="00C843A6" w:rsidRPr="00884C9A" w:rsidRDefault="00C843A6" w:rsidP="0083214A">
            <w:pPr>
              <w:rPr>
                <w:noProof/>
              </w:rPr>
            </w:pPr>
            <w:r>
              <w:rPr>
                <w:noProof/>
              </w:rPr>
              <w:t>To increase the rural employment rate</w:t>
            </w:r>
          </w:p>
        </w:tc>
        <w:tc>
          <w:tcPr>
            <w:tcW w:w="1100" w:type="dxa"/>
          </w:tcPr>
          <w:p w14:paraId="0D28C5E2" w14:textId="77777777" w:rsidR="00C843A6" w:rsidRPr="00884C9A" w:rsidRDefault="00C843A6" w:rsidP="0083214A">
            <w:pPr>
              <w:jc w:val="center"/>
              <w:rPr>
                <w:noProof/>
              </w:rPr>
            </w:pPr>
            <w:r>
              <w:rPr>
                <w:noProof/>
              </w:rPr>
              <w:t>2013: 63.5%</w:t>
            </w:r>
          </w:p>
        </w:tc>
        <w:tc>
          <w:tcPr>
            <w:tcW w:w="1526" w:type="dxa"/>
          </w:tcPr>
          <w:p w14:paraId="703C365B" w14:textId="77777777" w:rsidR="00C843A6" w:rsidRPr="00724FDD" w:rsidRDefault="00C843A6" w:rsidP="0083214A">
            <w:pPr>
              <w:jc w:val="center"/>
              <w:rPr>
                <w:b/>
                <w:noProof/>
              </w:rPr>
            </w:pPr>
            <w:r>
              <w:rPr>
                <w:noProof/>
              </w:rPr>
              <w:t>&gt;</w:t>
            </w:r>
            <w:r>
              <w:rPr>
                <w:rFonts w:ascii="Calibri" w:hAnsi="Calibri" w:cs="Calibri"/>
                <w:noProof/>
              </w:rPr>
              <w:t> </w:t>
            </w:r>
            <w:r>
              <w:rPr>
                <w:noProof/>
              </w:rPr>
              <w:t>100%</w:t>
            </w:r>
          </w:p>
        </w:tc>
        <w:tc>
          <w:tcPr>
            <w:tcW w:w="1532" w:type="dxa"/>
          </w:tcPr>
          <w:p w14:paraId="50FE374B" w14:textId="77777777" w:rsidR="00C843A6" w:rsidRPr="00884C9A" w:rsidRDefault="00C843A6" w:rsidP="0083214A">
            <w:pPr>
              <w:jc w:val="center"/>
              <w:rPr>
                <w:noProof/>
              </w:rPr>
            </w:pPr>
            <w:r>
              <w:rPr>
                <w:noProof/>
              </w:rPr>
              <w:t>Overall increase in the long term</w:t>
            </w:r>
          </w:p>
        </w:tc>
        <w:tc>
          <w:tcPr>
            <w:tcW w:w="1572" w:type="dxa"/>
          </w:tcPr>
          <w:p w14:paraId="439C2A5D" w14:textId="0C7A0380" w:rsidR="00C843A6" w:rsidRPr="00884C9A" w:rsidRDefault="00C843A6" w:rsidP="0083214A">
            <w:pPr>
              <w:jc w:val="center"/>
              <w:rPr>
                <w:noProof/>
              </w:rPr>
            </w:pPr>
            <w:r>
              <w:rPr>
                <w:noProof/>
              </w:rPr>
              <w:t xml:space="preserve">Index above the baseline each year from 2014 to 2020. 2020 index value: 0.68 </w:t>
            </w:r>
          </w:p>
        </w:tc>
        <w:tc>
          <w:tcPr>
            <w:tcW w:w="1579" w:type="dxa"/>
          </w:tcPr>
          <w:p w14:paraId="5911FDC3" w14:textId="77777777" w:rsidR="00C843A6" w:rsidRPr="00884C9A" w:rsidRDefault="00C843A6" w:rsidP="0083214A">
            <w:pPr>
              <w:jc w:val="center"/>
              <w:rPr>
                <w:noProof/>
              </w:rPr>
            </w:pPr>
            <w:r>
              <w:rPr>
                <w:noProof/>
              </w:rPr>
              <w:t>On track</w:t>
            </w:r>
          </w:p>
        </w:tc>
      </w:tr>
      <w:tr w:rsidR="00C843A6" w:rsidRPr="00AC11E4" w14:paraId="7BB10373"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331247BA" w14:textId="77777777" w:rsidR="00C843A6" w:rsidRPr="00724FDD" w:rsidRDefault="00C843A6" w:rsidP="0083214A">
            <w:pPr>
              <w:rPr>
                <w:noProof/>
              </w:rPr>
            </w:pPr>
            <w:r w:rsidRPr="00271574">
              <w:rPr>
                <w:noProof/>
              </w:rPr>
              <w:t>Support for investment in restructuring</w:t>
            </w:r>
          </w:p>
        </w:tc>
        <w:tc>
          <w:tcPr>
            <w:tcW w:w="1100" w:type="dxa"/>
          </w:tcPr>
          <w:p w14:paraId="5F568036" w14:textId="77777777" w:rsidR="00C843A6" w:rsidRPr="00884C9A" w:rsidRDefault="00C843A6" w:rsidP="0083214A">
            <w:pPr>
              <w:jc w:val="center"/>
              <w:rPr>
                <w:noProof/>
              </w:rPr>
            </w:pPr>
            <w:r>
              <w:rPr>
                <w:noProof/>
              </w:rPr>
              <w:t>0%</w:t>
            </w:r>
          </w:p>
        </w:tc>
        <w:tc>
          <w:tcPr>
            <w:tcW w:w="1526" w:type="dxa"/>
          </w:tcPr>
          <w:p w14:paraId="14818910" w14:textId="77777777" w:rsidR="00C843A6" w:rsidRPr="00724FDD" w:rsidRDefault="00C843A6" w:rsidP="0083214A">
            <w:pPr>
              <w:jc w:val="center"/>
              <w:rPr>
                <w:b/>
                <w:noProof/>
              </w:rPr>
            </w:pPr>
            <w:r>
              <w:rPr>
                <w:noProof/>
              </w:rPr>
              <w:t>66%</w:t>
            </w:r>
          </w:p>
        </w:tc>
        <w:tc>
          <w:tcPr>
            <w:tcW w:w="1532" w:type="dxa"/>
          </w:tcPr>
          <w:p w14:paraId="4873DE70" w14:textId="77777777" w:rsidR="00C843A6" w:rsidRPr="00884C9A" w:rsidRDefault="00C843A6" w:rsidP="0083214A">
            <w:pPr>
              <w:jc w:val="center"/>
              <w:rPr>
                <w:noProof/>
              </w:rPr>
            </w:pPr>
            <w:r>
              <w:rPr>
                <w:noProof/>
              </w:rPr>
              <w:t>2.7% in 2025</w:t>
            </w:r>
          </w:p>
        </w:tc>
        <w:tc>
          <w:tcPr>
            <w:tcW w:w="1572" w:type="dxa"/>
          </w:tcPr>
          <w:p w14:paraId="20294E4C" w14:textId="77777777" w:rsidR="00C843A6" w:rsidRPr="00884C9A" w:rsidRDefault="00C843A6" w:rsidP="0083214A">
            <w:pPr>
              <w:jc w:val="center"/>
              <w:rPr>
                <w:noProof/>
              </w:rPr>
            </w:pPr>
            <w:r>
              <w:rPr>
                <w:noProof/>
              </w:rPr>
              <w:t>Support reached 1.8% of agricultural holdings out of 2.7%</w:t>
            </w:r>
          </w:p>
        </w:tc>
        <w:tc>
          <w:tcPr>
            <w:tcW w:w="1579" w:type="dxa"/>
          </w:tcPr>
          <w:p w14:paraId="6BAD8AC1" w14:textId="77777777" w:rsidR="00C843A6" w:rsidRPr="00884C9A" w:rsidRDefault="00C843A6" w:rsidP="0083214A">
            <w:pPr>
              <w:jc w:val="center"/>
              <w:rPr>
                <w:noProof/>
              </w:rPr>
            </w:pPr>
            <w:r>
              <w:rPr>
                <w:noProof/>
              </w:rPr>
              <w:t>On track</w:t>
            </w:r>
          </w:p>
        </w:tc>
      </w:tr>
      <w:tr w:rsidR="00C843A6" w:rsidRPr="00AC11E4" w14:paraId="05A8CAD3"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50DE3E00" w14:textId="77777777" w:rsidR="00C843A6" w:rsidRPr="00884C9A" w:rsidRDefault="00C843A6" w:rsidP="0083214A">
            <w:pPr>
              <w:rPr>
                <w:noProof/>
              </w:rPr>
            </w:pPr>
            <w:r>
              <w:rPr>
                <w:noProof/>
              </w:rPr>
              <w:t>Business development plan for young farmers</w:t>
            </w:r>
          </w:p>
        </w:tc>
        <w:tc>
          <w:tcPr>
            <w:tcW w:w="1100" w:type="dxa"/>
          </w:tcPr>
          <w:p w14:paraId="78FD5D23" w14:textId="77777777" w:rsidR="00C843A6" w:rsidRPr="00884C9A" w:rsidRDefault="00C843A6" w:rsidP="0083214A">
            <w:pPr>
              <w:jc w:val="center"/>
              <w:rPr>
                <w:noProof/>
              </w:rPr>
            </w:pPr>
            <w:r>
              <w:rPr>
                <w:noProof/>
              </w:rPr>
              <w:t>0%</w:t>
            </w:r>
          </w:p>
        </w:tc>
        <w:tc>
          <w:tcPr>
            <w:tcW w:w="1526" w:type="dxa"/>
          </w:tcPr>
          <w:p w14:paraId="2AEB116F" w14:textId="77777777" w:rsidR="00C843A6" w:rsidRPr="00724FDD" w:rsidRDefault="00C843A6" w:rsidP="0083214A">
            <w:pPr>
              <w:jc w:val="center"/>
              <w:rPr>
                <w:b/>
                <w:noProof/>
              </w:rPr>
            </w:pPr>
            <w:r w:rsidRPr="00F00F7E">
              <w:rPr>
                <w:noProof/>
              </w:rPr>
              <w:t>89%</w:t>
            </w:r>
          </w:p>
        </w:tc>
        <w:tc>
          <w:tcPr>
            <w:tcW w:w="1532" w:type="dxa"/>
          </w:tcPr>
          <w:p w14:paraId="1708A3C5" w14:textId="77777777" w:rsidR="00C843A6" w:rsidRPr="00884C9A" w:rsidRDefault="00C843A6" w:rsidP="0083214A">
            <w:pPr>
              <w:jc w:val="center"/>
              <w:rPr>
                <w:noProof/>
              </w:rPr>
            </w:pPr>
            <w:r>
              <w:rPr>
                <w:noProof/>
              </w:rPr>
              <w:t>1.6% in 2025</w:t>
            </w:r>
          </w:p>
        </w:tc>
        <w:tc>
          <w:tcPr>
            <w:tcW w:w="1572" w:type="dxa"/>
          </w:tcPr>
          <w:p w14:paraId="417F8B3E" w14:textId="77777777" w:rsidR="00C843A6" w:rsidRPr="00884C9A" w:rsidRDefault="00C843A6" w:rsidP="0083214A">
            <w:pPr>
              <w:jc w:val="center"/>
              <w:rPr>
                <w:noProof/>
              </w:rPr>
            </w:pPr>
            <w:r>
              <w:rPr>
                <w:noProof/>
              </w:rPr>
              <w:t>Support reached 1.4% of agricultural holdings out of 1.6%</w:t>
            </w:r>
          </w:p>
        </w:tc>
        <w:tc>
          <w:tcPr>
            <w:tcW w:w="1579" w:type="dxa"/>
          </w:tcPr>
          <w:p w14:paraId="550D98B9" w14:textId="77777777" w:rsidR="00C843A6" w:rsidRPr="00884C9A" w:rsidRDefault="00C843A6" w:rsidP="0083214A">
            <w:pPr>
              <w:jc w:val="center"/>
              <w:rPr>
                <w:noProof/>
              </w:rPr>
            </w:pPr>
            <w:r>
              <w:rPr>
                <w:noProof/>
              </w:rPr>
              <w:t>On track</w:t>
            </w:r>
          </w:p>
        </w:tc>
      </w:tr>
      <w:tr w:rsidR="00C843A6" w:rsidRPr="00AC11E4" w14:paraId="7842829E"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3779BD6C" w14:textId="77777777" w:rsidR="00C843A6" w:rsidRPr="00884C9A" w:rsidRDefault="00C843A6" w:rsidP="0083214A">
            <w:pPr>
              <w:rPr>
                <w:noProof/>
              </w:rPr>
            </w:pPr>
            <w:r>
              <w:rPr>
                <w:noProof/>
              </w:rPr>
              <w:t>Contributing to biodiversity and landscapes</w:t>
            </w:r>
            <w:r>
              <w:rPr>
                <w:rFonts w:ascii="Calibri" w:hAnsi="Calibri" w:cs="Calibri"/>
                <w:noProof/>
              </w:rPr>
              <w:t> –</w:t>
            </w:r>
            <w:r>
              <w:rPr>
                <w:noProof/>
              </w:rPr>
              <w:t xml:space="preserve"> agricultural land</w:t>
            </w:r>
          </w:p>
        </w:tc>
        <w:tc>
          <w:tcPr>
            <w:tcW w:w="1100" w:type="dxa"/>
          </w:tcPr>
          <w:p w14:paraId="5464979F" w14:textId="77777777" w:rsidR="00C843A6" w:rsidRPr="00884C9A" w:rsidRDefault="00C843A6" w:rsidP="0083214A">
            <w:pPr>
              <w:jc w:val="center"/>
              <w:rPr>
                <w:noProof/>
              </w:rPr>
            </w:pPr>
            <w:r>
              <w:rPr>
                <w:noProof/>
              </w:rPr>
              <w:t>0%</w:t>
            </w:r>
          </w:p>
        </w:tc>
        <w:tc>
          <w:tcPr>
            <w:tcW w:w="1526" w:type="dxa"/>
          </w:tcPr>
          <w:p w14:paraId="3219A23A" w14:textId="77777777" w:rsidR="00C843A6" w:rsidRPr="00724FDD" w:rsidRDefault="00C843A6" w:rsidP="0083214A">
            <w:pPr>
              <w:jc w:val="center"/>
              <w:rPr>
                <w:b/>
                <w:noProof/>
              </w:rPr>
            </w:pPr>
            <w:r>
              <w:rPr>
                <w:noProof/>
              </w:rPr>
              <w:t>89%</w:t>
            </w:r>
          </w:p>
        </w:tc>
        <w:tc>
          <w:tcPr>
            <w:tcW w:w="1532" w:type="dxa"/>
          </w:tcPr>
          <w:p w14:paraId="1C716164" w14:textId="77777777" w:rsidR="00C843A6" w:rsidRPr="00884C9A" w:rsidRDefault="00C843A6" w:rsidP="0083214A">
            <w:pPr>
              <w:jc w:val="center"/>
              <w:rPr>
                <w:noProof/>
              </w:rPr>
            </w:pPr>
            <w:r>
              <w:rPr>
                <w:noProof/>
              </w:rPr>
              <w:t>19.2% in 2025</w:t>
            </w:r>
          </w:p>
        </w:tc>
        <w:tc>
          <w:tcPr>
            <w:tcW w:w="1572" w:type="dxa"/>
          </w:tcPr>
          <w:p w14:paraId="44B1F665" w14:textId="77777777" w:rsidR="00C843A6" w:rsidRPr="00884C9A" w:rsidRDefault="00C843A6" w:rsidP="0083214A">
            <w:pPr>
              <w:jc w:val="center"/>
              <w:rPr>
                <w:noProof/>
              </w:rPr>
            </w:pPr>
            <w:r>
              <w:rPr>
                <w:noProof/>
              </w:rPr>
              <w:t>17.0% of agricultural land reached compared to target of 19.2%</w:t>
            </w:r>
          </w:p>
        </w:tc>
        <w:tc>
          <w:tcPr>
            <w:tcW w:w="1579" w:type="dxa"/>
          </w:tcPr>
          <w:p w14:paraId="7A465BF3" w14:textId="77777777" w:rsidR="00C843A6" w:rsidRPr="00884C9A" w:rsidRDefault="00C843A6" w:rsidP="0083214A">
            <w:pPr>
              <w:jc w:val="center"/>
              <w:rPr>
                <w:noProof/>
              </w:rPr>
            </w:pPr>
            <w:r w:rsidRPr="00C86E2A">
              <w:rPr>
                <w:noProof/>
              </w:rPr>
              <w:t>On track</w:t>
            </w:r>
          </w:p>
        </w:tc>
      </w:tr>
      <w:tr w:rsidR="00C843A6" w:rsidRPr="00AC11E4" w14:paraId="3454852D"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2A99E5A7" w14:textId="77777777" w:rsidR="00C843A6" w:rsidRPr="00884C9A" w:rsidRDefault="00C843A6" w:rsidP="0083214A">
            <w:pPr>
              <w:rPr>
                <w:noProof/>
              </w:rPr>
            </w:pPr>
            <w:r>
              <w:rPr>
                <w:noProof/>
              </w:rPr>
              <w:t>Improving water management</w:t>
            </w:r>
            <w:r>
              <w:rPr>
                <w:rFonts w:ascii="Calibri" w:hAnsi="Calibri" w:cs="Calibri"/>
                <w:noProof/>
              </w:rPr>
              <w:t> –</w:t>
            </w:r>
            <w:r>
              <w:rPr>
                <w:noProof/>
              </w:rPr>
              <w:t xml:space="preserve"> agricultural land</w:t>
            </w:r>
          </w:p>
        </w:tc>
        <w:tc>
          <w:tcPr>
            <w:tcW w:w="1100" w:type="dxa"/>
          </w:tcPr>
          <w:p w14:paraId="6D0C140D" w14:textId="77777777" w:rsidR="00C843A6" w:rsidRPr="00884C9A" w:rsidRDefault="00C843A6" w:rsidP="0083214A">
            <w:pPr>
              <w:jc w:val="center"/>
              <w:rPr>
                <w:noProof/>
              </w:rPr>
            </w:pPr>
            <w:r>
              <w:rPr>
                <w:noProof/>
              </w:rPr>
              <w:t>0%</w:t>
            </w:r>
          </w:p>
        </w:tc>
        <w:tc>
          <w:tcPr>
            <w:tcW w:w="1526" w:type="dxa"/>
          </w:tcPr>
          <w:p w14:paraId="036A3581" w14:textId="77777777" w:rsidR="00C843A6" w:rsidRPr="00724FDD" w:rsidRDefault="00C843A6" w:rsidP="0083214A">
            <w:pPr>
              <w:jc w:val="center"/>
              <w:rPr>
                <w:b/>
                <w:noProof/>
              </w:rPr>
            </w:pPr>
            <w:r>
              <w:rPr>
                <w:noProof/>
              </w:rPr>
              <w:t>84%</w:t>
            </w:r>
          </w:p>
        </w:tc>
        <w:tc>
          <w:tcPr>
            <w:tcW w:w="1532" w:type="dxa"/>
          </w:tcPr>
          <w:p w14:paraId="1C93563B" w14:textId="77777777" w:rsidR="00C843A6" w:rsidRPr="00884C9A" w:rsidRDefault="00C843A6" w:rsidP="0083214A">
            <w:pPr>
              <w:jc w:val="center"/>
              <w:rPr>
                <w:noProof/>
              </w:rPr>
            </w:pPr>
            <w:r>
              <w:rPr>
                <w:noProof/>
              </w:rPr>
              <w:t>16.8% in 2025</w:t>
            </w:r>
          </w:p>
        </w:tc>
        <w:tc>
          <w:tcPr>
            <w:tcW w:w="1572" w:type="dxa"/>
          </w:tcPr>
          <w:p w14:paraId="5B5FCA08" w14:textId="77777777" w:rsidR="00C843A6" w:rsidRPr="00884C9A" w:rsidRDefault="00C843A6" w:rsidP="0083214A">
            <w:pPr>
              <w:jc w:val="center"/>
              <w:rPr>
                <w:noProof/>
              </w:rPr>
            </w:pPr>
            <w:r>
              <w:rPr>
                <w:noProof/>
              </w:rPr>
              <w:t>14.1% of agricultural land reached out of 16.8%</w:t>
            </w:r>
          </w:p>
        </w:tc>
        <w:tc>
          <w:tcPr>
            <w:tcW w:w="1579" w:type="dxa"/>
          </w:tcPr>
          <w:p w14:paraId="04D68261" w14:textId="77777777" w:rsidR="00C843A6" w:rsidRPr="00884C9A" w:rsidRDefault="00C843A6" w:rsidP="0083214A">
            <w:pPr>
              <w:jc w:val="center"/>
              <w:rPr>
                <w:noProof/>
              </w:rPr>
            </w:pPr>
            <w:r w:rsidRPr="00E82672">
              <w:rPr>
                <w:noProof/>
              </w:rPr>
              <w:t>On track</w:t>
            </w:r>
          </w:p>
        </w:tc>
      </w:tr>
      <w:tr w:rsidR="00C843A6" w:rsidRPr="00AC11E4" w14:paraId="76D1C193"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2985E332" w14:textId="77777777" w:rsidR="00C843A6" w:rsidRPr="00884C9A" w:rsidRDefault="00C843A6" w:rsidP="0083214A">
            <w:pPr>
              <w:rPr>
                <w:noProof/>
              </w:rPr>
            </w:pPr>
            <w:r>
              <w:rPr>
                <w:noProof/>
              </w:rPr>
              <w:t>Preventing soil erosion and improving soil management</w:t>
            </w:r>
            <w:r>
              <w:rPr>
                <w:rFonts w:ascii="Calibri" w:hAnsi="Calibri" w:cs="Calibri"/>
                <w:noProof/>
              </w:rPr>
              <w:t> </w:t>
            </w:r>
            <w:r>
              <w:rPr>
                <w:noProof/>
              </w:rPr>
              <w:t>– agricultural land</w:t>
            </w:r>
          </w:p>
        </w:tc>
        <w:tc>
          <w:tcPr>
            <w:tcW w:w="1100" w:type="dxa"/>
          </w:tcPr>
          <w:p w14:paraId="1069B275" w14:textId="77777777" w:rsidR="00C843A6" w:rsidRPr="00884C9A" w:rsidRDefault="00C843A6" w:rsidP="0083214A">
            <w:pPr>
              <w:jc w:val="center"/>
              <w:rPr>
                <w:noProof/>
              </w:rPr>
            </w:pPr>
            <w:r>
              <w:rPr>
                <w:noProof/>
              </w:rPr>
              <w:t>0%</w:t>
            </w:r>
          </w:p>
        </w:tc>
        <w:tc>
          <w:tcPr>
            <w:tcW w:w="1526" w:type="dxa"/>
          </w:tcPr>
          <w:p w14:paraId="41EFFC4F" w14:textId="77777777" w:rsidR="00C843A6" w:rsidRPr="00724FDD" w:rsidRDefault="00C843A6" w:rsidP="0083214A">
            <w:pPr>
              <w:jc w:val="center"/>
              <w:rPr>
                <w:b/>
                <w:noProof/>
              </w:rPr>
            </w:pPr>
            <w:r>
              <w:rPr>
                <w:noProof/>
              </w:rPr>
              <w:t>85%</w:t>
            </w:r>
          </w:p>
        </w:tc>
        <w:tc>
          <w:tcPr>
            <w:tcW w:w="1532" w:type="dxa"/>
          </w:tcPr>
          <w:p w14:paraId="2EAF3951" w14:textId="77777777" w:rsidR="00C843A6" w:rsidRPr="00884C9A" w:rsidRDefault="00C843A6" w:rsidP="0083214A">
            <w:pPr>
              <w:jc w:val="center"/>
              <w:rPr>
                <w:noProof/>
              </w:rPr>
            </w:pPr>
            <w:r>
              <w:rPr>
                <w:noProof/>
              </w:rPr>
              <w:t>15.8% in 2025</w:t>
            </w:r>
          </w:p>
        </w:tc>
        <w:tc>
          <w:tcPr>
            <w:tcW w:w="1572" w:type="dxa"/>
          </w:tcPr>
          <w:p w14:paraId="1336B15E" w14:textId="77777777" w:rsidR="00C843A6" w:rsidRPr="00884C9A" w:rsidRDefault="00C843A6" w:rsidP="0083214A">
            <w:pPr>
              <w:jc w:val="center"/>
              <w:rPr>
                <w:noProof/>
              </w:rPr>
            </w:pPr>
            <w:r>
              <w:rPr>
                <w:noProof/>
              </w:rPr>
              <w:t>13.5% of agricultural land reached compared to target of 15.8%</w:t>
            </w:r>
          </w:p>
        </w:tc>
        <w:tc>
          <w:tcPr>
            <w:tcW w:w="1579" w:type="dxa"/>
          </w:tcPr>
          <w:p w14:paraId="343F2DEE" w14:textId="77777777" w:rsidR="00C843A6" w:rsidRPr="00884C9A" w:rsidRDefault="00C843A6" w:rsidP="0083214A">
            <w:pPr>
              <w:jc w:val="center"/>
              <w:rPr>
                <w:noProof/>
              </w:rPr>
            </w:pPr>
            <w:r>
              <w:rPr>
                <w:noProof/>
              </w:rPr>
              <w:t>On track</w:t>
            </w:r>
          </w:p>
        </w:tc>
      </w:tr>
      <w:tr w:rsidR="00C843A6" w:rsidRPr="00AC11E4" w14:paraId="5B4A2A2C"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67FC147E" w14:textId="77777777" w:rsidR="00C843A6" w:rsidRPr="00884C9A" w:rsidRDefault="00C843A6" w:rsidP="0083214A">
            <w:pPr>
              <w:rPr>
                <w:noProof/>
              </w:rPr>
            </w:pPr>
            <w:r>
              <w:rPr>
                <w:noProof/>
              </w:rPr>
              <w:t>New or improved services/infrastructure</w:t>
            </w:r>
          </w:p>
        </w:tc>
        <w:tc>
          <w:tcPr>
            <w:tcW w:w="1100" w:type="dxa"/>
          </w:tcPr>
          <w:p w14:paraId="4CAB1BC9" w14:textId="77777777" w:rsidR="00C843A6" w:rsidRPr="00884C9A" w:rsidRDefault="00C843A6" w:rsidP="0083214A">
            <w:pPr>
              <w:jc w:val="center"/>
              <w:rPr>
                <w:noProof/>
              </w:rPr>
            </w:pPr>
          </w:p>
        </w:tc>
        <w:tc>
          <w:tcPr>
            <w:tcW w:w="1526" w:type="dxa"/>
          </w:tcPr>
          <w:p w14:paraId="5B55CB14" w14:textId="77777777" w:rsidR="00C843A6" w:rsidRPr="00724FDD" w:rsidRDefault="00C843A6" w:rsidP="0083214A">
            <w:pPr>
              <w:jc w:val="center"/>
              <w:rPr>
                <w:b/>
                <w:noProof/>
              </w:rPr>
            </w:pPr>
            <w:r>
              <w:rPr>
                <w:noProof/>
              </w:rPr>
              <w:t>&gt;</w:t>
            </w:r>
            <w:r>
              <w:rPr>
                <w:rFonts w:ascii="Calibri" w:hAnsi="Calibri" w:cs="Calibri"/>
                <w:noProof/>
              </w:rPr>
              <w:t> </w:t>
            </w:r>
            <w:r>
              <w:rPr>
                <w:noProof/>
              </w:rPr>
              <w:t>100%</w:t>
            </w:r>
          </w:p>
        </w:tc>
        <w:tc>
          <w:tcPr>
            <w:tcW w:w="1532" w:type="dxa"/>
          </w:tcPr>
          <w:p w14:paraId="055CAF09" w14:textId="77777777" w:rsidR="00C843A6" w:rsidRPr="00884C9A" w:rsidRDefault="00C843A6" w:rsidP="0083214A">
            <w:pPr>
              <w:jc w:val="center"/>
              <w:rPr>
                <w:noProof/>
              </w:rPr>
            </w:pPr>
            <w:r>
              <w:rPr>
                <w:noProof/>
              </w:rPr>
              <w:t>18.8% in 2025</w:t>
            </w:r>
          </w:p>
        </w:tc>
        <w:tc>
          <w:tcPr>
            <w:tcW w:w="1572" w:type="dxa"/>
          </w:tcPr>
          <w:p w14:paraId="4FB3ADE8" w14:textId="77777777" w:rsidR="00C843A6" w:rsidRPr="00884C9A" w:rsidRDefault="00C843A6" w:rsidP="0083214A">
            <w:pPr>
              <w:jc w:val="center"/>
              <w:rPr>
                <w:noProof/>
              </w:rPr>
            </w:pPr>
            <w:r>
              <w:rPr>
                <w:noProof/>
              </w:rPr>
              <w:t>21.2% of rural population reached out of 18.8%</w:t>
            </w:r>
          </w:p>
        </w:tc>
        <w:tc>
          <w:tcPr>
            <w:tcW w:w="1579" w:type="dxa"/>
          </w:tcPr>
          <w:p w14:paraId="3B237B9E" w14:textId="77777777" w:rsidR="00C843A6" w:rsidRPr="00884C9A" w:rsidRDefault="00C843A6" w:rsidP="0083214A">
            <w:pPr>
              <w:jc w:val="center"/>
              <w:rPr>
                <w:noProof/>
              </w:rPr>
            </w:pPr>
            <w:r>
              <w:rPr>
                <w:noProof/>
              </w:rPr>
              <w:t>On track</w:t>
            </w:r>
          </w:p>
        </w:tc>
      </w:tr>
    </w:tbl>
    <w:p w14:paraId="4740C8A7" w14:textId="77777777" w:rsidR="00C843A6" w:rsidRDefault="00C843A6" w:rsidP="00C843A6">
      <w:pPr>
        <w:pStyle w:val="FootnoteText"/>
        <w:spacing w:before="120"/>
        <w:rPr>
          <w:noProof/>
        </w:rPr>
      </w:pPr>
    </w:p>
    <w:p w14:paraId="1B5E9360" w14:textId="77777777" w:rsidR="00C843A6" w:rsidRDefault="00C843A6" w:rsidP="00C843A6">
      <w:pPr>
        <w:pStyle w:val="FootnoteText"/>
        <w:rPr>
          <w:noProof/>
        </w:rPr>
      </w:pPr>
      <w:r>
        <w:rPr>
          <w:noProof/>
        </w:rPr>
        <w:t xml:space="preserve">(*) </w:t>
      </w:r>
      <w:r w:rsidRPr="00040D99">
        <w:rPr>
          <w:noProof/>
        </w:rPr>
        <w:t>% of ta</w:t>
      </w:r>
      <w:r>
        <w:rPr>
          <w:noProof/>
        </w:rPr>
        <w:t>rget achieved by the end of 2020.</w:t>
      </w:r>
    </w:p>
    <w:p w14:paraId="16488226" w14:textId="77777777" w:rsidR="00C843A6" w:rsidRDefault="00C843A6" w:rsidP="00C843A6">
      <w:pPr>
        <w:pStyle w:val="FootnoteText"/>
        <w:rPr>
          <w:noProof/>
        </w:rPr>
      </w:pPr>
      <w:r>
        <w:rPr>
          <w:noProof/>
        </w:rPr>
        <w:t>(**) Latest results in 2021.</w:t>
      </w:r>
    </w:p>
    <w:p w14:paraId="76B5AF16" w14:textId="77777777" w:rsidR="00C843A6" w:rsidRPr="00040D99" w:rsidRDefault="00C843A6" w:rsidP="00C843A6">
      <w:pPr>
        <w:pStyle w:val="FootnoteText"/>
        <w:rPr>
          <w:noProof/>
        </w:rPr>
      </w:pPr>
      <w:r>
        <w:rPr>
          <w:noProof/>
        </w:rPr>
        <w:t>(***) Latest results in 2019.</w:t>
      </w:r>
    </w:p>
    <w:p w14:paraId="5AE41C61" w14:textId="77777777" w:rsidR="00C8386A" w:rsidRDefault="00C8386A" w:rsidP="00E73D04">
      <w:pPr>
        <w:pStyle w:val="ppoListHyphened-L1"/>
        <w:rPr>
          <w:b/>
          <w:noProof/>
        </w:rPr>
        <w:sectPr w:rsidR="00C8386A" w:rsidSect="0083214A">
          <w:headerReference w:type="even" r:id="rId370"/>
          <w:headerReference w:type="default" r:id="rId371"/>
          <w:footerReference w:type="even" r:id="rId372"/>
          <w:footerReference w:type="default" r:id="rId373"/>
          <w:headerReference w:type="first" r:id="rId374"/>
          <w:footerReference w:type="first" r:id="rId375"/>
          <w:type w:val="continuous"/>
          <w:pgSz w:w="11906" w:h="16838" w:code="9"/>
          <w:pgMar w:top="1134" w:right="1134" w:bottom="964" w:left="1134" w:header="431" w:footer="431" w:gutter="0"/>
          <w:cols w:space="720"/>
          <w:titlePg/>
          <w:docGrid w:linePitch="360"/>
        </w:sectPr>
      </w:pPr>
    </w:p>
    <w:p w14:paraId="7B0877F3" w14:textId="77777777" w:rsidR="00C8386A" w:rsidRPr="00C8386A" w:rsidRDefault="00C8386A" w:rsidP="00C8386A">
      <w:pPr>
        <w:pStyle w:val="StyleppoHeading3WhiteLeft0cm"/>
        <w:rPr>
          <w:noProof/>
          <w:sz w:val="40"/>
          <w:szCs w:val="40"/>
        </w:rPr>
      </w:pPr>
    </w:p>
    <w:p w14:paraId="0EEE8CC2" w14:textId="77777777" w:rsidR="00C8386A" w:rsidRPr="00A76F48" w:rsidRDefault="00C8386A" w:rsidP="00C8386A">
      <w:pPr>
        <w:pStyle w:val="StyleppoHeading3WhiteLeft0cm"/>
        <w:rPr>
          <w:noProof/>
          <w:sz w:val="60"/>
          <w:szCs w:val="60"/>
        </w:rPr>
      </w:pPr>
      <w:bookmarkStart w:id="167" w:name="_Toc102086357"/>
      <w:r w:rsidRPr="00A76F48">
        <w:rPr>
          <w:noProof/>
          <w:sz w:val="60"/>
          <w:szCs w:val="60"/>
        </w:rPr>
        <w:t>EMFAF</w:t>
      </w:r>
      <w:bookmarkEnd w:id="167"/>
    </w:p>
    <w:p w14:paraId="709A9C1B" w14:textId="77777777" w:rsidR="00C8386A" w:rsidRPr="00A76F48" w:rsidRDefault="00C8386A" w:rsidP="00C8386A">
      <w:pPr>
        <w:pStyle w:val="StyleppoProgrammenameWhiteLeft01cm"/>
        <w:rPr>
          <w:noProof/>
        </w:rPr>
      </w:pPr>
      <w:r w:rsidRPr="00A76F48">
        <w:rPr>
          <w:noProof/>
        </w:rPr>
        <w:t>EUROPEAN MARITIME FISHERIES AND AQUACULTURE FUND</w:t>
      </w:r>
    </w:p>
    <w:p w14:paraId="7663A966" w14:textId="77777777" w:rsidR="00C8386A" w:rsidRPr="00A76F48" w:rsidRDefault="00C8386A" w:rsidP="00C8386A">
      <w:pPr>
        <w:pStyle w:val="ppoHeading4NaturalGreen"/>
        <w:rPr>
          <w:noProof/>
        </w:rPr>
      </w:pPr>
      <w:r w:rsidRPr="00A76F48">
        <w:rPr>
          <w:noProof/>
        </w:rPr>
        <w:t>Programme in a nutshell</w:t>
      </w:r>
    </w:p>
    <w:p w14:paraId="686695FA" w14:textId="77777777" w:rsidR="00C8386A" w:rsidRPr="00A76F48" w:rsidRDefault="00C8386A" w:rsidP="00C8386A">
      <w:pPr>
        <w:spacing w:after="480"/>
        <w:rPr>
          <w:rFonts w:eastAsiaTheme="minorEastAsia"/>
          <w:noProof/>
          <w:color w:val="FFFFFF" w:themeColor="background1"/>
          <w:sz w:val="32"/>
        </w:rPr>
        <w:sectPr w:rsidR="00C8386A" w:rsidRPr="00A76F48" w:rsidSect="0083214A">
          <w:headerReference w:type="even" r:id="rId376"/>
          <w:headerReference w:type="default" r:id="rId377"/>
          <w:footerReference w:type="even" r:id="rId378"/>
          <w:footerReference w:type="default" r:id="rId379"/>
          <w:headerReference w:type="first" r:id="rId380"/>
          <w:footerReference w:type="first" r:id="rId381"/>
          <w:pgSz w:w="11906" w:h="16838" w:code="9"/>
          <w:pgMar w:top="1134" w:right="1134" w:bottom="964" w:left="1134" w:header="431" w:footer="431" w:gutter="0"/>
          <w:cols w:space="720"/>
          <w:docGrid w:linePitch="360"/>
        </w:sectPr>
      </w:pPr>
    </w:p>
    <w:p w14:paraId="429495A0" w14:textId="77777777" w:rsidR="00C8386A" w:rsidRPr="00A76F48" w:rsidRDefault="00C8386A" w:rsidP="00C8386A">
      <w:pPr>
        <w:pStyle w:val="ppoHeading5"/>
        <w:ind w:left="0"/>
        <w:rPr>
          <w:noProof/>
        </w:rPr>
      </w:pPr>
      <w:r w:rsidRPr="00A76F48">
        <w:rPr>
          <w:noProof/>
        </w:rPr>
        <w:t>Concrete examples of achievements (*)</w:t>
      </w:r>
    </w:p>
    <w:tbl>
      <w:tblPr>
        <w:tblStyle w:val="PPO2021"/>
        <w:tblW w:w="9639" w:type="dxa"/>
        <w:tblInd w:w="0" w:type="dxa"/>
        <w:tblLook w:val="0200" w:firstRow="0" w:lastRow="0" w:firstColumn="0" w:lastColumn="0" w:noHBand="1" w:noVBand="0"/>
      </w:tblPr>
      <w:tblGrid>
        <w:gridCol w:w="2410"/>
        <w:gridCol w:w="2409"/>
        <w:gridCol w:w="2410"/>
        <w:gridCol w:w="2410"/>
      </w:tblGrid>
      <w:tr w:rsidR="00C8386A" w:rsidRPr="00A76F48" w14:paraId="407EFA49" w14:textId="77777777" w:rsidTr="00786652">
        <w:tc>
          <w:tcPr>
            <w:tcW w:w="2410" w:type="dxa"/>
            <w:tcBorders>
              <w:bottom w:val="single" w:sz="4" w:space="0" w:color="8C8C8C"/>
            </w:tcBorders>
          </w:tcPr>
          <w:p w14:paraId="593CF3FD" w14:textId="77777777" w:rsidR="00C8386A" w:rsidRPr="00A76F48" w:rsidRDefault="00C8386A" w:rsidP="0083214A">
            <w:pPr>
              <w:pStyle w:val="ppoTableacheivementvalue"/>
              <w:rPr>
                <w:noProof/>
              </w:rPr>
            </w:pPr>
            <w:r w:rsidRPr="00A76F48">
              <w:rPr>
                <w:noProof/>
              </w:rPr>
              <w:t>13</w:t>
            </w:r>
            <w:r w:rsidRPr="00A76F48">
              <w:rPr>
                <w:rFonts w:ascii="Calibri" w:hAnsi="Calibri" w:cs="Calibri"/>
                <w:noProof/>
              </w:rPr>
              <w:t> </w:t>
            </w:r>
            <w:r w:rsidRPr="00A76F48">
              <w:rPr>
                <w:noProof/>
              </w:rPr>
              <w:t>123</w:t>
            </w:r>
          </w:p>
          <w:p w14:paraId="12691B16" w14:textId="77777777" w:rsidR="00C8386A" w:rsidRPr="00A76F48" w:rsidRDefault="00C8386A" w:rsidP="00B40193">
            <w:pPr>
              <w:jc w:val="left"/>
              <w:rPr>
                <w:noProof/>
              </w:rPr>
            </w:pPr>
            <w:r w:rsidRPr="00A76F48">
              <w:rPr>
                <w:noProof/>
              </w:rPr>
              <w:t>fishing vessels (about 25% of the EU fleet) benefited from the EMFF between 2014 and 2020. 41% of the vessels supported belonged to the small-scale coastal fishing fleet.</w:t>
            </w:r>
          </w:p>
        </w:tc>
        <w:tc>
          <w:tcPr>
            <w:cnfStyle w:val="000001000000" w:firstRow="0" w:lastRow="0" w:firstColumn="0" w:lastColumn="0" w:oddVBand="0" w:evenVBand="1" w:oddHBand="0" w:evenHBand="0" w:firstRowFirstColumn="0" w:firstRowLastColumn="0" w:lastRowFirstColumn="0" w:lastRowLastColumn="0"/>
            <w:tcW w:w="2409" w:type="dxa"/>
          </w:tcPr>
          <w:p w14:paraId="6540DD3A" w14:textId="77777777" w:rsidR="00C8386A" w:rsidRPr="00A76F48" w:rsidRDefault="00C8386A" w:rsidP="0083214A">
            <w:pPr>
              <w:pStyle w:val="ppoTableacheivementvalue"/>
              <w:rPr>
                <w:noProof/>
              </w:rPr>
            </w:pPr>
            <w:r w:rsidRPr="00A76F48">
              <w:rPr>
                <w:noProof/>
              </w:rPr>
              <w:t>153</w:t>
            </w:r>
            <w:r w:rsidRPr="00A76F48">
              <w:rPr>
                <w:rFonts w:ascii="Calibri" w:hAnsi="Calibri" w:cs="Calibri"/>
                <w:noProof/>
              </w:rPr>
              <w:t> </w:t>
            </w:r>
            <w:r w:rsidRPr="00A76F48">
              <w:rPr>
                <w:noProof/>
              </w:rPr>
              <w:t>000</w:t>
            </w:r>
          </w:p>
          <w:p w14:paraId="0473E9CB" w14:textId="77777777" w:rsidR="00C8386A" w:rsidRPr="00A76F48" w:rsidRDefault="00C8386A" w:rsidP="00B40193">
            <w:pPr>
              <w:jc w:val="left"/>
              <w:rPr>
                <w:noProof/>
              </w:rPr>
            </w:pPr>
            <w:r w:rsidRPr="00A76F48">
              <w:rPr>
                <w:noProof/>
              </w:rPr>
              <w:t>fishermen and 460</w:t>
            </w:r>
            <w:r w:rsidRPr="00A76F48">
              <w:rPr>
                <w:rFonts w:ascii="Calibri" w:hAnsi="Calibri" w:cs="Calibri"/>
                <w:noProof/>
              </w:rPr>
              <w:t> </w:t>
            </w:r>
            <w:r w:rsidRPr="00A76F48">
              <w:rPr>
                <w:noProof/>
              </w:rPr>
              <w:t>000 members of producer organisations benefited from the EMFF between 2014 and 2020.</w:t>
            </w:r>
          </w:p>
        </w:tc>
        <w:tc>
          <w:tcPr>
            <w:tcW w:w="2410" w:type="dxa"/>
            <w:tcBorders>
              <w:bottom w:val="single" w:sz="4" w:space="0" w:color="8C8C8C"/>
            </w:tcBorders>
          </w:tcPr>
          <w:p w14:paraId="6DDCBD8D" w14:textId="77777777" w:rsidR="00C8386A" w:rsidRPr="00A76F48" w:rsidRDefault="00C8386A" w:rsidP="0083214A">
            <w:pPr>
              <w:pStyle w:val="ppoTableacheivementvalue"/>
              <w:cnfStyle w:val="000000000000" w:firstRow="0" w:lastRow="0" w:firstColumn="0" w:lastColumn="0" w:oddVBand="0" w:evenVBand="0" w:oddHBand="0" w:evenHBand="0" w:firstRowFirstColumn="0" w:firstRowLastColumn="0" w:lastRowFirstColumn="0" w:lastRowLastColumn="0"/>
              <w:rPr>
                <w:noProof/>
              </w:rPr>
            </w:pPr>
            <w:r w:rsidRPr="00A76F48">
              <w:rPr>
                <w:noProof/>
              </w:rPr>
              <w:t>68</w:t>
            </w:r>
            <w:r w:rsidRPr="00A76F48">
              <w:rPr>
                <w:rFonts w:ascii="Calibri" w:hAnsi="Calibri" w:cs="Calibri"/>
                <w:noProof/>
              </w:rPr>
              <w:t> </w:t>
            </w:r>
            <w:r w:rsidRPr="00A76F48">
              <w:rPr>
                <w:noProof/>
              </w:rPr>
              <w:t>413</w:t>
            </w:r>
          </w:p>
          <w:p w14:paraId="4860BBE4" w14:textId="77777777" w:rsidR="00C8386A" w:rsidRPr="00A76F48" w:rsidRDefault="00C8386A" w:rsidP="00B40193">
            <w:pPr>
              <w:jc w:val="left"/>
              <w:cnfStyle w:val="000000000000" w:firstRow="0" w:lastRow="0" w:firstColumn="0" w:lastColumn="0" w:oddVBand="0" w:evenVBand="0" w:oddHBand="0" w:evenHBand="0" w:firstRowFirstColumn="0" w:firstRowLastColumn="0" w:lastRowFirstColumn="0" w:lastRowLastColumn="0"/>
              <w:rPr>
                <w:noProof/>
              </w:rPr>
            </w:pPr>
            <w:r w:rsidRPr="00A76F48">
              <w:rPr>
                <w:noProof/>
              </w:rPr>
              <w:t>operations were selected to receive funding under the EMFF between 2014 and 2020, almost 49</w:t>
            </w:r>
            <w:r w:rsidRPr="00A76F48">
              <w:rPr>
                <w:rFonts w:ascii="Calibri" w:hAnsi="Calibri" w:cs="Calibri"/>
                <w:noProof/>
              </w:rPr>
              <w:t> </w:t>
            </w:r>
            <w:r w:rsidRPr="00A76F48">
              <w:rPr>
                <w:noProof/>
              </w:rPr>
              <w:t>000 of which were addressed to SMEs or private persons.</w:t>
            </w:r>
          </w:p>
        </w:tc>
        <w:tc>
          <w:tcPr>
            <w:cnfStyle w:val="000001000000" w:firstRow="0" w:lastRow="0" w:firstColumn="0" w:lastColumn="0" w:oddVBand="0" w:evenVBand="1" w:oddHBand="0" w:evenHBand="0" w:firstRowFirstColumn="0" w:firstRowLastColumn="0" w:lastRowFirstColumn="0" w:lastRowLastColumn="0"/>
            <w:tcW w:w="2410" w:type="dxa"/>
          </w:tcPr>
          <w:p w14:paraId="4214E26F" w14:textId="77777777" w:rsidR="00C8386A" w:rsidRPr="00A76F48" w:rsidRDefault="00C8386A" w:rsidP="0083214A">
            <w:pPr>
              <w:pStyle w:val="ppoTableacheivementvalue"/>
              <w:rPr>
                <w:noProof/>
              </w:rPr>
            </w:pPr>
            <w:r w:rsidRPr="00A76F48">
              <w:rPr>
                <w:noProof/>
              </w:rPr>
              <w:t>EUR</w:t>
            </w:r>
            <w:r w:rsidRPr="00A76F48">
              <w:rPr>
                <w:rFonts w:ascii="Calibri" w:hAnsi="Calibri" w:cs="Calibri"/>
                <w:noProof/>
              </w:rPr>
              <w:t> </w:t>
            </w:r>
            <w:r w:rsidRPr="00A76F48">
              <w:rPr>
                <w:noProof/>
              </w:rPr>
              <w:t>227</w:t>
            </w:r>
            <w:r w:rsidRPr="00A76F48">
              <w:rPr>
                <w:rFonts w:ascii="Calibri" w:hAnsi="Calibri" w:cs="Calibri"/>
                <w:noProof/>
              </w:rPr>
              <w:t> </w:t>
            </w:r>
            <w:r w:rsidRPr="00A76F48">
              <w:rPr>
                <w:noProof/>
              </w:rPr>
              <w:t>million</w:t>
            </w:r>
          </w:p>
          <w:p w14:paraId="363F968A" w14:textId="77777777" w:rsidR="00C8386A" w:rsidRPr="00A76F48" w:rsidRDefault="00C8386A" w:rsidP="00B40193">
            <w:pPr>
              <w:jc w:val="left"/>
              <w:rPr>
                <w:noProof/>
              </w:rPr>
            </w:pPr>
            <w:r w:rsidRPr="00A76F48">
              <w:rPr>
                <w:noProof/>
              </w:rPr>
              <w:t>was contributed by the EMFF to support innovation and new technologies through 1</w:t>
            </w:r>
            <w:r w:rsidRPr="00A76F48">
              <w:rPr>
                <w:rFonts w:ascii="Calibri" w:hAnsi="Calibri" w:cs="Calibri"/>
                <w:noProof/>
              </w:rPr>
              <w:t> </w:t>
            </w:r>
            <w:r w:rsidRPr="00A76F48">
              <w:rPr>
                <w:noProof/>
              </w:rPr>
              <w:t>092 operations between 2014 and 2020.</w:t>
            </w:r>
          </w:p>
        </w:tc>
      </w:tr>
      <w:tr w:rsidR="00C8386A" w:rsidRPr="00A76F48" w14:paraId="7E7F4FA7" w14:textId="77777777" w:rsidTr="00786652">
        <w:tc>
          <w:tcPr>
            <w:tcW w:w="2410" w:type="dxa"/>
            <w:tcBorders>
              <w:bottom w:val="single" w:sz="4" w:space="0" w:color="8C8C8C"/>
            </w:tcBorders>
          </w:tcPr>
          <w:p w14:paraId="6254874D" w14:textId="77777777" w:rsidR="00C8386A" w:rsidRPr="00A76F48" w:rsidRDefault="00C8386A" w:rsidP="0083214A">
            <w:pPr>
              <w:pStyle w:val="ppoTableacheivementvalue"/>
              <w:rPr>
                <w:noProof/>
              </w:rPr>
            </w:pPr>
            <w:r w:rsidRPr="00A76F48">
              <w:rPr>
                <w:noProof/>
              </w:rPr>
              <w:t>9</w:t>
            </w:r>
            <w:r w:rsidRPr="00A76F48">
              <w:rPr>
                <w:rFonts w:ascii="Calibri" w:hAnsi="Calibri" w:cs="Calibri"/>
                <w:noProof/>
              </w:rPr>
              <w:t> </w:t>
            </w:r>
            <w:r w:rsidRPr="00A76F48">
              <w:rPr>
                <w:noProof/>
              </w:rPr>
              <w:t>654</w:t>
            </w:r>
          </w:p>
          <w:p w14:paraId="5FD78B6F" w14:textId="77777777" w:rsidR="00C8386A" w:rsidRPr="00A76F48" w:rsidRDefault="00C8386A" w:rsidP="00B40193">
            <w:pPr>
              <w:jc w:val="left"/>
              <w:rPr>
                <w:noProof/>
              </w:rPr>
            </w:pPr>
            <w:r w:rsidRPr="00A76F48">
              <w:rPr>
                <w:noProof/>
              </w:rPr>
              <w:t>projects addressing the environment and resource efficiency were selected between 2014 and 2020, with an EMFF contribution of EUR</w:t>
            </w:r>
            <w:r w:rsidRPr="00A76F48">
              <w:rPr>
                <w:rFonts w:ascii="Calibri" w:hAnsi="Calibri" w:cs="Calibri"/>
                <w:noProof/>
              </w:rPr>
              <w:t> </w:t>
            </w:r>
            <w:r w:rsidRPr="00A76F48">
              <w:rPr>
                <w:noProof/>
              </w:rPr>
              <w:t>1</w:t>
            </w:r>
            <w:r w:rsidRPr="00A76F48">
              <w:rPr>
                <w:rFonts w:ascii="Calibri" w:hAnsi="Calibri" w:cs="Calibri"/>
                <w:noProof/>
              </w:rPr>
              <w:t> </w:t>
            </w:r>
            <w:r w:rsidRPr="00A76F48">
              <w:rPr>
                <w:noProof/>
              </w:rPr>
              <w:t>513</w:t>
            </w:r>
            <w:r w:rsidRPr="00A76F48">
              <w:rPr>
                <w:rFonts w:ascii="Calibri" w:hAnsi="Calibri" w:cs="Calibri"/>
                <w:noProof/>
              </w:rPr>
              <w:t> </w:t>
            </w:r>
            <w:r w:rsidRPr="00A76F48">
              <w:rPr>
                <w:noProof/>
              </w:rPr>
              <w:t>million.</w:t>
            </w:r>
          </w:p>
        </w:tc>
        <w:tc>
          <w:tcPr>
            <w:cnfStyle w:val="000001000000" w:firstRow="0" w:lastRow="0" w:firstColumn="0" w:lastColumn="0" w:oddVBand="0" w:evenVBand="1" w:oddHBand="0" w:evenHBand="0" w:firstRowFirstColumn="0" w:firstRowLastColumn="0" w:lastRowFirstColumn="0" w:lastRowLastColumn="0"/>
            <w:tcW w:w="2409" w:type="dxa"/>
            <w:shd w:val="clear" w:color="auto" w:fill="F2F2F2"/>
          </w:tcPr>
          <w:p w14:paraId="6B0D01D4" w14:textId="77777777" w:rsidR="00C8386A" w:rsidRPr="00A76F48" w:rsidRDefault="00C8386A" w:rsidP="0083214A">
            <w:pPr>
              <w:pStyle w:val="ppoTableacheivementvalue"/>
              <w:rPr>
                <w:noProof/>
              </w:rPr>
            </w:pPr>
            <w:r w:rsidRPr="00A76F48">
              <w:rPr>
                <w:noProof/>
              </w:rPr>
              <w:t>6</w:t>
            </w:r>
            <w:r w:rsidRPr="00A76F48">
              <w:rPr>
                <w:rFonts w:ascii="Calibri" w:hAnsi="Calibri" w:cs="Calibri"/>
                <w:noProof/>
              </w:rPr>
              <w:t> </w:t>
            </w:r>
            <w:r w:rsidRPr="00A76F48">
              <w:rPr>
                <w:noProof/>
              </w:rPr>
              <w:t>067</w:t>
            </w:r>
          </w:p>
          <w:p w14:paraId="6D0C206B" w14:textId="77777777" w:rsidR="00C8386A" w:rsidRPr="00A76F48" w:rsidRDefault="00C8386A" w:rsidP="00B40193">
            <w:pPr>
              <w:jc w:val="left"/>
              <w:rPr>
                <w:noProof/>
              </w:rPr>
            </w:pPr>
            <w:r w:rsidRPr="00A76F48">
              <w:rPr>
                <w:noProof/>
              </w:rPr>
              <w:t>operations were supported relating to better management of Natura 2000 and other marine protected areas between 2014 and 2020, with an EMFF contribution of EUR</w:t>
            </w:r>
            <w:r w:rsidRPr="00A76F48">
              <w:rPr>
                <w:rFonts w:ascii="Calibri" w:hAnsi="Calibri" w:cs="Calibri"/>
                <w:noProof/>
              </w:rPr>
              <w:t> </w:t>
            </w:r>
            <w:r w:rsidRPr="00A76F48">
              <w:rPr>
                <w:noProof/>
              </w:rPr>
              <w:t>274</w:t>
            </w:r>
            <w:r w:rsidRPr="00A76F48">
              <w:rPr>
                <w:rFonts w:ascii="Calibri" w:hAnsi="Calibri" w:cs="Calibri"/>
                <w:noProof/>
              </w:rPr>
              <w:t> </w:t>
            </w:r>
            <w:r w:rsidRPr="00A76F48">
              <w:rPr>
                <w:noProof/>
              </w:rPr>
              <w:t>million.</w:t>
            </w:r>
          </w:p>
        </w:tc>
        <w:tc>
          <w:tcPr>
            <w:tcW w:w="2410" w:type="dxa"/>
            <w:tcBorders>
              <w:bottom w:val="single" w:sz="4" w:space="0" w:color="8C8C8C"/>
            </w:tcBorders>
            <w:shd w:val="clear" w:color="auto" w:fill="FFFFFF" w:themeFill="background1"/>
          </w:tcPr>
          <w:p w14:paraId="05449333" w14:textId="77777777" w:rsidR="00C8386A" w:rsidRPr="00A76F48" w:rsidRDefault="00C8386A" w:rsidP="0083214A">
            <w:pPr>
              <w:pStyle w:val="ppoTableacheivementvalue"/>
              <w:cnfStyle w:val="000000000000" w:firstRow="0" w:lastRow="0" w:firstColumn="0" w:lastColumn="0" w:oddVBand="0" w:evenVBand="0" w:oddHBand="0" w:evenHBand="0" w:firstRowFirstColumn="0" w:firstRowLastColumn="0" w:lastRowFirstColumn="0" w:lastRowLastColumn="0"/>
              <w:rPr>
                <w:noProof/>
              </w:rPr>
            </w:pPr>
            <w:r w:rsidRPr="00A76F48">
              <w:rPr>
                <w:noProof/>
              </w:rPr>
              <w:t>111</w:t>
            </w:r>
            <w:r w:rsidRPr="00A76F48">
              <w:rPr>
                <w:rFonts w:ascii="Calibri" w:hAnsi="Calibri" w:cs="Calibri"/>
                <w:noProof/>
              </w:rPr>
              <w:t> </w:t>
            </w:r>
            <w:r w:rsidRPr="00A76F48">
              <w:rPr>
                <w:noProof/>
              </w:rPr>
              <w:t>000</w:t>
            </w:r>
          </w:p>
          <w:p w14:paraId="32CFB56A" w14:textId="77777777" w:rsidR="00C8386A" w:rsidRPr="00A76F48" w:rsidRDefault="00C8386A" w:rsidP="00B40193">
            <w:pPr>
              <w:jc w:val="left"/>
              <w:cnfStyle w:val="000000000000" w:firstRow="0" w:lastRow="0" w:firstColumn="0" w:lastColumn="0" w:oddVBand="0" w:evenVBand="0" w:oddHBand="0" w:evenHBand="0" w:firstRowFirstColumn="0" w:firstRowLastColumn="0" w:lastRowFirstColumn="0" w:lastRowLastColumn="0"/>
              <w:rPr>
                <w:noProof/>
              </w:rPr>
            </w:pPr>
            <w:r w:rsidRPr="00A76F48">
              <w:rPr>
                <w:noProof/>
              </w:rPr>
              <w:t>employees of processing companies benefited from the EMFF between 2014 and 2020.</w:t>
            </w:r>
          </w:p>
        </w:tc>
        <w:tc>
          <w:tcPr>
            <w:cnfStyle w:val="000001000000" w:firstRow="0" w:lastRow="0" w:firstColumn="0" w:lastColumn="0" w:oddVBand="0" w:evenVBand="1" w:oddHBand="0" w:evenHBand="0" w:firstRowFirstColumn="0" w:firstRowLastColumn="0" w:lastRowFirstColumn="0" w:lastRowLastColumn="0"/>
            <w:tcW w:w="2410" w:type="dxa"/>
            <w:tcBorders>
              <w:bottom w:val="nil"/>
            </w:tcBorders>
            <w:shd w:val="clear" w:color="auto" w:fill="auto"/>
          </w:tcPr>
          <w:p w14:paraId="656F6B96" w14:textId="77777777" w:rsidR="00C8386A" w:rsidRPr="00A76F48" w:rsidRDefault="00C8386A" w:rsidP="0083214A">
            <w:pPr>
              <w:rPr>
                <w:noProof/>
              </w:rPr>
            </w:pPr>
          </w:p>
        </w:tc>
      </w:tr>
    </w:tbl>
    <w:p w14:paraId="751FA4AA" w14:textId="77777777" w:rsidR="00C8386A" w:rsidRPr="00A76F48" w:rsidRDefault="00C8386A" w:rsidP="00C8386A">
      <w:pPr>
        <w:pStyle w:val="FootnoteText"/>
        <w:rPr>
          <w:rFonts w:eastAsiaTheme="minorEastAsia"/>
          <w:noProof/>
        </w:rPr>
      </w:pPr>
      <w:r w:rsidRPr="00A76F48">
        <w:rPr>
          <w:rFonts w:eastAsiaTheme="minorEastAsia"/>
          <w:noProof/>
        </w:rPr>
        <w:t>(*)</w:t>
      </w:r>
      <w:r w:rsidRPr="00A76F48">
        <w:rPr>
          <w:rFonts w:eastAsiaTheme="minorEastAsia"/>
          <w:noProof/>
        </w:rPr>
        <w:tab/>
        <w:t>Key achievements in the table state which period they relate to. Many come from the implementation of the predecessor programmes under the 2014-2020 multiannual financial framework. This is expected and is due to the multiannual life cycle of EU programmes and the projects they finance, where results often follow only after completion of the programmes.</w:t>
      </w:r>
    </w:p>
    <w:p w14:paraId="59FCF648" w14:textId="77777777" w:rsidR="00C8386A" w:rsidRPr="00A76F48" w:rsidRDefault="00C8386A" w:rsidP="00C8386A">
      <w:pPr>
        <w:pStyle w:val="ppoHeading5"/>
        <w:rPr>
          <w:noProof/>
        </w:rPr>
      </w:pPr>
      <w:r w:rsidRPr="00A76F48">
        <w:rPr>
          <w:noProof/>
        </w:rPr>
        <w:t>Budget for 2021-2027</w:t>
      </w:r>
    </w:p>
    <w:p w14:paraId="588110FB" w14:textId="77777777" w:rsidR="00C8386A" w:rsidRPr="00A76F48" w:rsidRDefault="00C8386A" w:rsidP="00C8386A">
      <w:pPr>
        <w:pStyle w:val="ppoTableTabletitle"/>
        <w:ind w:left="284"/>
        <w:rPr>
          <w:noProof/>
        </w:rPr>
      </w:pPr>
      <w:r w:rsidRPr="00A76F48">
        <w:rPr>
          <w:noProof/>
        </w:rPr>
        <w:t>(million EUR)</w:t>
      </w:r>
    </w:p>
    <w:tbl>
      <w:tblPr>
        <w:tblStyle w:val="PlainTable2"/>
        <w:tblW w:w="0" w:type="auto"/>
        <w:tblInd w:w="288" w:type="dxa"/>
        <w:tblLook w:val="04A0" w:firstRow="1" w:lastRow="0" w:firstColumn="1" w:lastColumn="0" w:noHBand="0" w:noVBand="1"/>
      </w:tblPr>
      <w:tblGrid>
        <w:gridCol w:w="4788"/>
        <w:gridCol w:w="2610"/>
      </w:tblGrid>
      <w:tr w:rsidR="00C8386A" w:rsidRPr="00A76F48" w14:paraId="1E7CCAAF" w14:textId="77777777" w:rsidTr="0083214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6A754B71" w14:textId="77777777" w:rsidR="00C8386A" w:rsidRPr="00A76F48" w:rsidRDefault="00C8386A" w:rsidP="0083214A">
            <w:pPr>
              <w:spacing w:before="120" w:after="120"/>
              <w:rPr>
                <w:noProof/>
              </w:rPr>
            </w:pPr>
            <w:r w:rsidRPr="00A76F48">
              <w:rPr>
                <w:rFonts w:cs="Calibri"/>
                <w:noProof/>
                <w:color w:val="000000"/>
              </w:rPr>
              <w:t>Financial programming</w:t>
            </w:r>
          </w:p>
        </w:tc>
        <w:tc>
          <w:tcPr>
            <w:tcW w:w="2610" w:type="dxa"/>
            <w:shd w:val="clear" w:color="auto" w:fill="auto"/>
            <w:vAlign w:val="bottom"/>
          </w:tcPr>
          <w:p w14:paraId="30DC1B39" w14:textId="77777777" w:rsidR="00C8386A" w:rsidRDefault="00C8386A" w:rsidP="0083214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6 072.6</w:t>
            </w:r>
          </w:p>
          <w:p w14:paraId="070D2623" w14:textId="0EF0B367" w:rsidR="00C8386A" w:rsidRPr="00A76F48" w:rsidRDefault="00C8386A" w:rsidP="0083214A">
            <w:pPr>
              <w:spacing w:before="120" w:after="120"/>
              <w:jc w:val="center"/>
              <w:cnfStyle w:val="100000000000" w:firstRow="1" w:lastRow="0" w:firstColumn="0" w:lastColumn="0" w:oddVBand="0" w:evenVBand="0" w:oddHBand="0" w:evenHBand="0" w:firstRowFirstColumn="0" w:firstRowLastColumn="0" w:lastRowFirstColumn="0" w:lastRowLastColumn="0"/>
              <w:rPr>
                <w:b w:val="0"/>
                <w:noProof/>
              </w:rPr>
            </w:pPr>
          </w:p>
        </w:tc>
      </w:tr>
      <w:tr w:rsidR="00C8386A" w:rsidRPr="00A76F48" w14:paraId="66E220F1"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3478575E" w14:textId="77777777" w:rsidR="00C8386A" w:rsidRPr="00A76F48" w:rsidRDefault="00C8386A" w:rsidP="0083214A">
            <w:pPr>
              <w:spacing w:before="120" w:after="120"/>
              <w:rPr>
                <w:b w:val="0"/>
                <w:noProof/>
              </w:rPr>
            </w:pPr>
            <w:r w:rsidRPr="00A76F48">
              <w:rPr>
                <w:rFonts w:cs="Calibri"/>
                <w:noProof/>
                <w:color w:val="000000"/>
              </w:rPr>
              <w:t>NextGenerationEU</w:t>
            </w:r>
          </w:p>
        </w:tc>
        <w:tc>
          <w:tcPr>
            <w:tcW w:w="2610" w:type="dxa"/>
            <w:vAlign w:val="bottom"/>
          </w:tcPr>
          <w:p w14:paraId="07BC890B" w14:textId="77777777" w:rsidR="00C8386A" w:rsidRPr="00A76F48" w:rsidRDefault="00C8386A"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A76F48">
              <w:rPr>
                <w:rFonts w:cs="Calibri"/>
                <w:noProof/>
                <w:color w:val="000000"/>
              </w:rPr>
              <w:t>0</w:t>
            </w:r>
          </w:p>
        </w:tc>
      </w:tr>
      <w:tr w:rsidR="00C8386A" w:rsidRPr="00A76F48" w14:paraId="36F7B2A8"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0C16B55D" w14:textId="77777777" w:rsidR="00C8386A" w:rsidRPr="00A76F48" w:rsidRDefault="00C8386A" w:rsidP="0083214A">
            <w:pPr>
              <w:spacing w:before="120" w:after="120"/>
              <w:rPr>
                <w:b w:val="0"/>
                <w:noProof/>
              </w:rPr>
            </w:pPr>
            <w:r w:rsidRPr="00A76F48">
              <w:rPr>
                <w:noProof/>
              </w:rPr>
              <w:t>Decommitments made available again</w:t>
            </w:r>
            <w:r w:rsidRPr="00A76F48">
              <w:rPr>
                <w:rFonts w:ascii="Calibri" w:hAnsi="Calibri" w:cs="Calibri"/>
                <w:noProof/>
              </w:rPr>
              <w:t> (</w:t>
            </w:r>
            <w:r w:rsidRPr="00A76F48">
              <w:rPr>
                <w:noProof/>
              </w:rPr>
              <w:t>*)</w:t>
            </w:r>
          </w:p>
        </w:tc>
        <w:tc>
          <w:tcPr>
            <w:tcW w:w="2610" w:type="dxa"/>
            <w:vAlign w:val="bottom"/>
          </w:tcPr>
          <w:p w14:paraId="5E387545" w14:textId="431F2699" w:rsidR="00C8386A" w:rsidRPr="00A76F48" w:rsidRDefault="00C8386A" w:rsidP="0083214A">
            <w:pPr>
              <w:spacing w:before="120" w:after="120"/>
              <w:jc w:val="center"/>
              <w:cnfStyle w:val="000000000000" w:firstRow="0" w:lastRow="0" w:firstColumn="0" w:lastColumn="0" w:oddVBand="0" w:evenVBand="0" w:oddHBand="0" w:evenHBand="0" w:firstRowFirstColumn="0" w:firstRowLastColumn="0" w:lastRowFirstColumn="0" w:lastRowLastColumn="0"/>
              <w:rPr>
                <w:noProof/>
              </w:rPr>
            </w:pPr>
            <w:r>
              <w:rPr>
                <w:rFonts w:cs="Calibri"/>
                <w:noProof/>
                <w:color w:val="000000"/>
              </w:rPr>
              <w:t>N/A</w:t>
            </w:r>
          </w:p>
        </w:tc>
      </w:tr>
      <w:tr w:rsidR="00C8386A" w:rsidRPr="00A76F48" w14:paraId="0F34172A"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578DA1A9" w14:textId="77777777" w:rsidR="00C8386A" w:rsidRPr="00A76F48" w:rsidRDefault="00C8386A" w:rsidP="0083214A">
            <w:pPr>
              <w:spacing w:before="120" w:after="120"/>
              <w:rPr>
                <w:noProof/>
              </w:rPr>
            </w:pPr>
            <w:r w:rsidRPr="00A76F48">
              <w:rPr>
                <w:rFonts w:cs="Calibri"/>
                <w:noProof/>
                <w:color w:val="000000"/>
              </w:rPr>
              <w:t>Contributions from other countries and entities</w:t>
            </w:r>
          </w:p>
        </w:tc>
        <w:tc>
          <w:tcPr>
            <w:tcW w:w="2610" w:type="dxa"/>
            <w:vAlign w:val="bottom"/>
          </w:tcPr>
          <w:p w14:paraId="6F7FA6EF" w14:textId="77777777" w:rsidR="00C8386A" w:rsidRPr="00A76F48" w:rsidRDefault="00C8386A"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A76F48">
              <w:rPr>
                <w:rFonts w:cs="Calibri"/>
                <w:noProof/>
                <w:color w:val="000000"/>
              </w:rPr>
              <w:t>0</w:t>
            </w:r>
          </w:p>
        </w:tc>
      </w:tr>
      <w:tr w:rsidR="00C8386A" w:rsidRPr="00A76F48" w14:paraId="5D5DBF12"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2F2F2" w:themeFill="background1" w:themeFillShade="F2"/>
            <w:vAlign w:val="bottom"/>
          </w:tcPr>
          <w:p w14:paraId="5C694EF1" w14:textId="77777777" w:rsidR="00C8386A" w:rsidRPr="00A76F48" w:rsidRDefault="00C8386A" w:rsidP="0083214A">
            <w:pPr>
              <w:spacing w:before="120" w:after="120"/>
              <w:rPr>
                <w:noProof/>
              </w:rPr>
            </w:pPr>
            <w:r w:rsidRPr="00A76F48">
              <w:rPr>
                <w:rFonts w:cs="Calibri"/>
                <w:noProof/>
                <w:color w:val="000000"/>
              </w:rPr>
              <w:t>Total budget for 2021-2027</w:t>
            </w:r>
          </w:p>
        </w:tc>
        <w:tc>
          <w:tcPr>
            <w:tcW w:w="2610" w:type="dxa"/>
            <w:shd w:val="clear" w:color="auto" w:fill="F2F2F2" w:themeFill="background1" w:themeFillShade="F2"/>
            <w:vAlign w:val="bottom"/>
          </w:tcPr>
          <w:p w14:paraId="4F066597" w14:textId="77777777" w:rsidR="00C8386A" w:rsidRDefault="00C8386A" w:rsidP="00832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6 072.6</w:t>
            </w:r>
          </w:p>
          <w:p w14:paraId="43743D3A" w14:textId="1D188D8E" w:rsidR="00C8386A" w:rsidRPr="00A76F48" w:rsidRDefault="00C8386A" w:rsidP="0083214A">
            <w:pPr>
              <w:spacing w:before="120" w:after="120"/>
              <w:jc w:val="center"/>
              <w:cnfStyle w:val="000000000000" w:firstRow="0" w:lastRow="0" w:firstColumn="0" w:lastColumn="0" w:oddVBand="0" w:evenVBand="0" w:oddHBand="0" w:evenHBand="0" w:firstRowFirstColumn="0" w:firstRowLastColumn="0" w:lastRowFirstColumn="0" w:lastRowLastColumn="0"/>
              <w:rPr>
                <w:b/>
                <w:noProof/>
              </w:rPr>
            </w:pPr>
          </w:p>
        </w:tc>
      </w:tr>
    </w:tbl>
    <w:p w14:paraId="7078100B" w14:textId="77777777" w:rsidR="00C8386A" w:rsidRPr="00A76F48" w:rsidRDefault="00C8386A" w:rsidP="00C8386A">
      <w:pPr>
        <w:pStyle w:val="FootnoteText"/>
        <w:rPr>
          <w:rFonts w:eastAsiaTheme="minorEastAsia"/>
          <w:noProof/>
          <w:szCs w:val="18"/>
        </w:rPr>
      </w:pPr>
      <w:r w:rsidRPr="00A76F48">
        <w:rPr>
          <w:noProof/>
          <w:szCs w:val="18"/>
        </w:rPr>
        <w:t>(*) Only Article</w:t>
      </w:r>
      <w:r w:rsidRPr="00A76F48">
        <w:rPr>
          <w:rFonts w:ascii="Calibri" w:hAnsi="Calibri" w:cs="Calibri"/>
          <w:noProof/>
          <w:szCs w:val="18"/>
        </w:rPr>
        <w:t> </w:t>
      </w:r>
      <w:r w:rsidRPr="00A76F48">
        <w:rPr>
          <w:noProof/>
          <w:szCs w:val="18"/>
        </w:rPr>
        <w:t>15(3) of the financial regulation.</w:t>
      </w:r>
    </w:p>
    <w:p w14:paraId="490C7586" w14:textId="77777777" w:rsidR="00C8386A" w:rsidRPr="00A76F48" w:rsidRDefault="00C8386A" w:rsidP="00C8386A">
      <w:pPr>
        <w:pStyle w:val="ppoHeading5"/>
        <w:rPr>
          <w:noProof/>
        </w:rPr>
      </w:pPr>
      <w:r w:rsidRPr="00A76F48">
        <w:rPr>
          <w:noProof/>
        </w:rPr>
        <w:t>Rationale and design of the programme</w:t>
      </w:r>
    </w:p>
    <w:p w14:paraId="7E057582" w14:textId="77777777" w:rsidR="00C8386A" w:rsidRPr="00A76F48" w:rsidRDefault="00C8386A" w:rsidP="00C8386A">
      <w:pPr>
        <w:rPr>
          <w:rFonts w:eastAsiaTheme="minorEastAsia"/>
          <w:noProof/>
        </w:rPr>
      </w:pPr>
      <w:r w:rsidRPr="00A76F48">
        <w:rPr>
          <w:rFonts w:eastAsiaTheme="minorEastAsia"/>
          <w:noProof/>
        </w:rPr>
        <w:t xml:space="preserve">The </w:t>
      </w:r>
      <w:r w:rsidRPr="00A76F48">
        <w:rPr>
          <w:noProof/>
        </w:rPr>
        <w:t xml:space="preserve">European Maritime Fisheries and Aquaculture Fund (EMFAF) </w:t>
      </w:r>
      <w:r w:rsidRPr="00A76F48">
        <w:rPr>
          <w:rFonts w:eastAsiaTheme="minorEastAsia"/>
          <w:noProof/>
        </w:rPr>
        <w:t>supports the common fisheries policy, the EU maritime policy and the EU agenda for international ocean governance.</w:t>
      </w:r>
    </w:p>
    <w:p w14:paraId="327A08A5" w14:textId="77777777" w:rsidR="00C8386A" w:rsidRPr="00A76F48" w:rsidRDefault="00C8386A" w:rsidP="00C8386A">
      <w:pPr>
        <w:pStyle w:val="ppoHeading6"/>
        <w:rPr>
          <w:noProof/>
        </w:rPr>
      </w:pPr>
      <w:r w:rsidRPr="00A76F48">
        <w:rPr>
          <w:noProof/>
        </w:rPr>
        <w:t>Challenge</w:t>
      </w:r>
    </w:p>
    <w:p w14:paraId="0EAA64B5" w14:textId="77777777" w:rsidR="00C8386A" w:rsidRPr="00A76F48" w:rsidRDefault="00C8386A" w:rsidP="00C8386A">
      <w:pPr>
        <w:rPr>
          <w:noProof/>
        </w:rPr>
      </w:pPr>
      <w:r w:rsidRPr="00A76F48">
        <w:rPr>
          <w:noProof/>
        </w:rPr>
        <w:t>As a global ocean actor and a major producer of seafood, the EU has a responsibility to protect and sustainably use the oceans and their resources. This is also in its socioeconomic interest regarding the availability of food supplies, the competitiveness of the maritime economy and the livelihood of coastal communities.</w:t>
      </w:r>
    </w:p>
    <w:p w14:paraId="39E62129" w14:textId="77777777" w:rsidR="00C8386A" w:rsidRPr="00A76F48" w:rsidRDefault="00C8386A" w:rsidP="00C8386A">
      <w:pPr>
        <w:rPr>
          <w:noProof/>
        </w:rPr>
      </w:pPr>
      <w:r w:rsidRPr="00A76F48">
        <w:rPr>
          <w:noProof/>
        </w:rPr>
        <w:t>In this respect, the EMFAF for 2021-2027 supports the common fisheries policy, the EU maritime policy and the EU’s international commitments for international ocean governance. Such support is an enabler of sustainable fisheries and the conservation of marine biological resources, of food security through the supply of seafood products, of the growth of a sustainable blue economy and of healthy, safe, secure, clean and sustainably managed seas and oceans. It also contributes to the achievement of the United Nations’ sustainable development goal 14 (‘conserve and sustainably use the oceans, seas and marine resources’), to which the EU is committed.</w:t>
      </w:r>
    </w:p>
    <w:p w14:paraId="4C92FE95" w14:textId="77777777" w:rsidR="00C8386A" w:rsidRPr="00A76F48" w:rsidRDefault="00C8386A" w:rsidP="00C8386A">
      <w:pPr>
        <w:pStyle w:val="ppoHeading6"/>
        <w:rPr>
          <w:noProof/>
        </w:rPr>
      </w:pPr>
      <w:r w:rsidRPr="00A76F48">
        <w:rPr>
          <w:noProof/>
        </w:rPr>
        <w:t>Mission</w:t>
      </w:r>
    </w:p>
    <w:p w14:paraId="3E3D680E" w14:textId="77777777" w:rsidR="00C8386A" w:rsidRPr="00A76F48" w:rsidRDefault="00C8386A" w:rsidP="00C8386A">
      <w:pPr>
        <w:pStyle w:val="ppoListHyphened-L1"/>
        <w:numPr>
          <w:ilvl w:val="0"/>
          <w:numId w:val="0"/>
        </w:numPr>
        <w:rPr>
          <w:noProof/>
        </w:rPr>
      </w:pPr>
      <w:r w:rsidRPr="00A76F48">
        <w:rPr>
          <w:noProof/>
        </w:rPr>
        <w:t>The EMFAF provides EU financial support for the objectives of the common fisheries policy, which seeks to manage the EU fishing fleet and fish stocks efficiently and sustainably. The EMFAF also supports the implementation of the EU’s maritime policy and the strengthening of international ocean governance. A sustainable blue economy boosts investment, jobs and growth, fosters research and innovation and contributes to energy security through ocean energy. Moreover, safe and secure seas and oceans are essential for efficient border control and for the global fight against maritime crime, thereby addressing citizens’ security concerns.</w:t>
      </w:r>
    </w:p>
    <w:p w14:paraId="54CDB754" w14:textId="77777777" w:rsidR="00C8386A" w:rsidRPr="00A76F48" w:rsidRDefault="00C8386A" w:rsidP="00C8386A">
      <w:pPr>
        <w:pStyle w:val="ppoListHyphened-L1"/>
        <w:numPr>
          <w:ilvl w:val="0"/>
          <w:numId w:val="0"/>
        </w:numPr>
        <w:rPr>
          <w:noProof/>
        </w:rPr>
      </w:pPr>
      <w:r w:rsidRPr="00A76F48">
        <w:rPr>
          <w:noProof/>
        </w:rPr>
        <w:t>The EMFAF also contributes to the implementation of the European Green Deal, and in particular the farm-to-fork strategy and the EU biodiversity strategy for 2030, along with the EU strategy for adaptation to climate change.</w:t>
      </w:r>
    </w:p>
    <w:p w14:paraId="72FEEDF9" w14:textId="77777777" w:rsidR="00C8386A" w:rsidRPr="00A76F48" w:rsidRDefault="00C8386A" w:rsidP="00C8386A">
      <w:pPr>
        <w:pStyle w:val="ppoHeading6"/>
        <w:rPr>
          <w:noProof/>
        </w:rPr>
      </w:pPr>
      <w:r w:rsidRPr="00A76F48">
        <w:rPr>
          <w:noProof/>
        </w:rPr>
        <w:t>Objectives</w:t>
      </w:r>
    </w:p>
    <w:p w14:paraId="38FC6F34" w14:textId="77777777" w:rsidR="00C8386A" w:rsidRPr="00A76F48" w:rsidRDefault="00C8386A" w:rsidP="00C8386A">
      <w:pPr>
        <w:pStyle w:val="ppoListArabic1aiii-L1"/>
        <w:numPr>
          <w:ilvl w:val="0"/>
          <w:numId w:val="0"/>
        </w:numPr>
        <w:rPr>
          <w:noProof/>
        </w:rPr>
      </w:pPr>
      <w:bookmarkStart w:id="168" w:name="_Hlk101347693"/>
      <w:r w:rsidRPr="00A76F48">
        <w:rPr>
          <w:noProof/>
        </w:rPr>
        <w:t xml:space="preserve">The EMFAF supports the common fisheries policy, the EU maritime policy and the EU agenda for international ocean governance </w:t>
      </w:r>
      <w:r>
        <w:rPr>
          <w:noProof/>
        </w:rPr>
        <w:t>under</w:t>
      </w:r>
      <w:r w:rsidRPr="00A76F48">
        <w:rPr>
          <w:noProof/>
        </w:rPr>
        <w:t xml:space="preserve"> the following four priorities</w:t>
      </w:r>
      <w:bookmarkEnd w:id="168"/>
      <w:r w:rsidRPr="00A76F48">
        <w:rPr>
          <w:noProof/>
        </w:rPr>
        <w:t>:</w:t>
      </w:r>
    </w:p>
    <w:p w14:paraId="47430092" w14:textId="77777777" w:rsidR="00C8386A" w:rsidRPr="00A76F48" w:rsidRDefault="00C8386A" w:rsidP="00C8386A">
      <w:pPr>
        <w:pStyle w:val="ppoListArabic1aiii-L1"/>
        <w:numPr>
          <w:ilvl w:val="0"/>
          <w:numId w:val="40"/>
        </w:numPr>
        <w:rPr>
          <w:noProof/>
        </w:rPr>
      </w:pPr>
      <w:r w:rsidRPr="00A76F48">
        <w:rPr>
          <w:noProof/>
        </w:rPr>
        <w:t>fostering sustainable fisheries and the restoration and conservation of aquatic biological resources;</w:t>
      </w:r>
    </w:p>
    <w:p w14:paraId="7079C358" w14:textId="77777777" w:rsidR="00C8386A" w:rsidRPr="00A76F48" w:rsidRDefault="00C8386A" w:rsidP="00C8386A">
      <w:pPr>
        <w:pStyle w:val="ppoListArabic1aiii-L1"/>
        <w:numPr>
          <w:ilvl w:val="0"/>
          <w:numId w:val="40"/>
        </w:numPr>
        <w:rPr>
          <w:noProof/>
        </w:rPr>
      </w:pPr>
      <w:r w:rsidRPr="00A76F48">
        <w:rPr>
          <w:noProof/>
        </w:rPr>
        <w:t>fostering sustainable aquaculture activities and processing and marketing fisheries and aquaculture products, thus contributing to food security in the EU;</w:t>
      </w:r>
    </w:p>
    <w:p w14:paraId="0A47ECCD" w14:textId="77777777" w:rsidR="00C8386A" w:rsidRPr="00A76F48" w:rsidRDefault="00C8386A" w:rsidP="00C8386A">
      <w:pPr>
        <w:pStyle w:val="ppoListArabic1aiii-L1"/>
        <w:numPr>
          <w:ilvl w:val="0"/>
          <w:numId w:val="40"/>
        </w:numPr>
        <w:rPr>
          <w:noProof/>
        </w:rPr>
      </w:pPr>
      <w:r w:rsidRPr="00A76F48">
        <w:rPr>
          <w:noProof/>
        </w:rPr>
        <w:t>enabling a sustainable blue economy in coastal, island and inland areas and fostering the development of fishing and aquaculture communities;</w:t>
      </w:r>
    </w:p>
    <w:p w14:paraId="04542242" w14:textId="77777777" w:rsidR="00C8386A" w:rsidRPr="00A76F48" w:rsidRDefault="00C8386A" w:rsidP="00C8386A">
      <w:pPr>
        <w:pStyle w:val="ppoListArabic1aiii-L1"/>
        <w:numPr>
          <w:ilvl w:val="0"/>
          <w:numId w:val="40"/>
        </w:numPr>
        <w:rPr>
          <w:noProof/>
        </w:rPr>
      </w:pPr>
      <w:r w:rsidRPr="00A76F48">
        <w:rPr>
          <w:noProof/>
        </w:rPr>
        <w:t>strengthening international ocean governance and enabling seas and oceans to be safe, secure, clean and sustainably managed.</w:t>
      </w:r>
    </w:p>
    <w:p w14:paraId="2AB2F0C8" w14:textId="77777777" w:rsidR="00C8386A" w:rsidRPr="00A76F48" w:rsidRDefault="00C8386A" w:rsidP="00C8386A">
      <w:pPr>
        <w:pStyle w:val="ppoListArabic1aiii-L1"/>
        <w:numPr>
          <w:ilvl w:val="0"/>
          <w:numId w:val="0"/>
        </w:numPr>
        <w:rPr>
          <w:noProof/>
        </w:rPr>
      </w:pPr>
      <w:r w:rsidRPr="00A76F48">
        <w:rPr>
          <w:noProof/>
        </w:rPr>
        <w:t>The EMFAF also contributes to the implementation to the European Green Deal, and in particular to the farm-to-fork strategy and the EU biodiversity strategy for 2030, including their external dimension, but also for the preparation of the EU strategy for adaptation to climate change.</w:t>
      </w:r>
    </w:p>
    <w:p w14:paraId="2DCBE1FA" w14:textId="77777777" w:rsidR="00C8386A" w:rsidRPr="00A76F48" w:rsidRDefault="00C8386A" w:rsidP="00C8386A">
      <w:pPr>
        <w:pStyle w:val="ppoHeading6"/>
        <w:rPr>
          <w:noProof/>
        </w:rPr>
      </w:pPr>
      <w:r w:rsidRPr="00A76F48">
        <w:rPr>
          <w:noProof/>
        </w:rPr>
        <w:t>Actions</w:t>
      </w:r>
    </w:p>
    <w:p w14:paraId="01A90BF1" w14:textId="77777777" w:rsidR="00C8386A" w:rsidRPr="00A76F48" w:rsidRDefault="00C8386A" w:rsidP="00C8386A">
      <w:pPr>
        <w:rPr>
          <w:noProof/>
        </w:rPr>
      </w:pPr>
      <w:r w:rsidRPr="00A76F48">
        <w:rPr>
          <w:noProof/>
        </w:rPr>
        <w:t>The EMFAF regulation defines four distinct priorities for the programme.</w:t>
      </w:r>
    </w:p>
    <w:p w14:paraId="4D3BC10A" w14:textId="77777777" w:rsidR="00C8386A" w:rsidRPr="007F4601" w:rsidRDefault="00C8386A" w:rsidP="00C8386A">
      <w:pPr>
        <w:rPr>
          <w:bCs/>
          <w:noProof/>
        </w:rPr>
      </w:pPr>
      <w:r w:rsidRPr="00A76F48">
        <w:rPr>
          <w:noProof/>
        </w:rPr>
        <w:t>Under priority</w:t>
      </w:r>
      <w:r w:rsidRPr="00A76F48">
        <w:rPr>
          <w:rFonts w:ascii="Calibri" w:hAnsi="Calibri" w:cs="Calibri"/>
          <w:noProof/>
        </w:rPr>
        <w:t> </w:t>
      </w:r>
      <w:r w:rsidRPr="00A76F48">
        <w:rPr>
          <w:noProof/>
        </w:rPr>
        <w:t xml:space="preserve">1, the EMFAF should ensure that </w:t>
      </w:r>
      <w:r w:rsidRPr="007F4601">
        <w:rPr>
          <w:bCs/>
          <w:noProof/>
        </w:rPr>
        <w:t>fishing activities are environmentally sustainable in the long</w:t>
      </w:r>
      <w:r w:rsidRPr="00A76F48">
        <w:rPr>
          <w:bCs/>
          <w:noProof/>
        </w:rPr>
        <w:t xml:space="preserve"> </w:t>
      </w:r>
      <w:r w:rsidRPr="007F4601">
        <w:rPr>
          <w:bCs/>
          <w:noProof/>
        </w:rPr>
        <w:t>term and managed in a way that is consistent with the objectives of achieving economic, social and employment benefits and of cont</w:t>
      </w:r>
      <w:r w:rsidRPr="00A76F48">
        <w:rPr>
          <w:bCs/>
          <w:noProof/>
        </w:rPr>
        <w:t>ributing to the availability of food supplies. In p</w:t>
      </w:r>
      <w:r w:rsidRPr="007F4601">
        <w:rPr>
          <w:bCs/>
          <w:noProof/>
        </w:rPr>
        <w:t xml:space="preserve">articular, it aims to achieve and maintain sustainable fishing based on the </w:t>
      </w:r>
      <w:r w:rsidRPr="00A76F48">
        <w:rPr>
          <w:bCs/>
          <w:noProof/>
        </w:rPr>
        <w:t>m</w:t>
      </w:r>
      <w:r w:rsidRPr="007F4601">
        <w:rPr>
          <w:bCs/>
          <w:noProof/>
        </w:rPr>
        <w:t xml:space="preserve">aximum </w:t>
      </w:r>
      <w:r w:rsidRPr="00A76F48">
        <w:rPr>
          <w:bCs/>
          <w:noProof/>
        </w:rPr>
        <w:t>s</w:t>
      </w:r>
      <w:r w:rsidRPr="007F4601">
        <w:rPr>
          <w:bCs/>
          <w:noProof/>
        </w:rPr>
        <w:t xml:space="preserve">ustainable </w:t>
      </w:r>
      <w:r w:rsidRPr="00A76F48">
        <w:rPr>
          <w:bCs/>
          <w:noProof/>
        </w:rPr>
        <w:t>y</w:t>
      </w:r>
      <w:r w:rsidRPr="007F4601">
        <w:rPr>
          <w:bCs/>
          <w:noProof/>
        </w:rPr>
        <w:t>ield and to minimise the negative impacts of fishing activities on the marine ecosystem. Th</w:t>
      </w:r>
      <w:r w:rsidRPr="00A76F48">
        <w:rPr>
          <w:bCs/>
          <w:noProof/>
        </w:rPr>
        <w:t>is</w:t>
      </w:r>
      <w:r w:rsidRPr="007F4601">
        <w:rPr>
          <w:bCs/>
          <w:noProof/>
        </w:rPr>
        <w:t xml:space="preserve"> support includes innovation and investment in low-impact, climate</w:t>
      </w:r>
      <w:r w:rsidRPr="00A76F48">
        <w:rPr>
          <w:bCs/>
          <w:noProof/>
        </w:rPr>
        <w:t>-</w:t>
      </w:r>
      <w:r w:rsidRPr="007F4601">
        <w:rPr>
          <w:bCs/>
          <w:noProof/>
        </w:rPr>
        <w:t>resilient and low-carbon fishing practices and techniques.</w:t>
      </w:r>
    </w:p>
    <w:p w14:paraId="08698816" w14:textId="77777777" w:rsidR="00C8386A" w:rsidRPr="007F4601" w:rsidRDefault="00C8386A" w:rsidP="00C8386A">
      <w:pPr>
        <w:rPr>
          <w:bCs/>
          <w:noProof/>
        </w:rPr>
      </w:pPr>
      <w:r w:rsidRPr="007F4601">
        <w:rPr>
          <w:bCs/>
          <w:noProof/>
        </w:rPr>
        <w:t>Under priority</w:t>
      </w:r>
      <w:r w:rsidRPr="007F4601">
        <w:rPr>
          <w:rFonts w:ascii="Calibri" w:hAnsi="Calibri" w:cs="Calibri"/>
          <w:bCs/>
          <w:noProof/>
        </w:rPr>
        <w:t> </w:t>
      </w:r>
      <w:r w:rsidRPr="007F4601">
        <w:rPr>
          <w:bCs/>
          <w:noProof/>
        </w:rPr>
        <w:t xml:space="preserve">2, the fund may support the promotion of sustainable aquaculture and the marketing, quality and added </w:t>
      </w:r>
      <w:r w:rsidRPr="00A76F48">
        <w:rPr>
          <w:bCs/>
          <w:noProof/>
        </w:rPr>
        <w:t xml:space="preserve">value </w:t>
      </w:r>
      <w:r w:rsidRPr="007F4601">
        <w:rPr>
          <w:bCs/>
          <w:noProof/>
        </w:rPr>
        <w:t xml:space="preserve">of fishery and aquaculture products, </w:t>
      </w:r>
      <w:r w:rsidRPr="00A76F48">
        <w:rPr>
          <w:bCs/>
          <w:noProof/>
        </w:rPr>
        <w:t xml:space="preserve">along with </w:t>
      </w:r>
      <w:r w:rsidRPr="007F4601">
        <w:rPr>
          <w:bCs/>
          <w:noProof/>
        </w:rPr>
        <w:t>the processing of these products.</w:t>
      </w:r>
    </w:p>
    <w:p w14:paraId="53965EB3" w14:textId="77777777" w:rsidR="00C8386A" w:rsidRPr="007F4601" w:rsidRDefault="00C8386A" w:rsidP="00C8386A">
      <w:pPr>
        <w:rPr>
          <w:bCs/>
          <w:noProof/>
        </w:rPr>
      </w:pPr>
      <w:r w:rsidRPr="007F4601">
        <w:rPr>
          <w:bCs/>
          <w:noProof/>
        </w:rPr>
        <w:t>Under priority</w:t>
      </w:r>
      <w:r w:rsidRPr="007F4601">
        <w:rPr>
          <w:rFonts w:ascii="Calibri" w:hAnsi="Calibri" w:cs="Calibri"/>
          <w:bCs/>
          <w:noProof/>
        </w:rPr>
        <w:t> </w:t>
      </w:r>
      <w:r w:rsidRPr="007F4601">
        <w:rPr>
          <w:bCs/>
          <w:noProof/>
        </w:rPr>
        <w:t>3, it may support action that contribute</w:t>
      </w:r>
      <w:r w:rsidRPr="00A76F48">
        <w:rPr>
          <w:bCs/>
          <w:noProof/>
        </w:rPr>
        <w:t>s</w:t>
      </w:r>
      <w:r w:rsidRPr="007F4601">
        <w:rPr>
          <w:bCs/>
          <w:noProof/>
        </w:rPr>
        <w:t xml:space="preserve"> to enabling sustainable blue economies in coastal, island and inland areas and to fostering the sustainable development of fishing and aquaculture communities.</w:t>
      </w:r>
    </w:p>
    <w:p w14:paraId="4ABBE765" w14:textId="77777777" w:rsidR="00C8386A" w:rsidRPr="00A76F48" w:rsidRDefault="00C8386A" w:rsidP="00C8386A">
      <w:pPr>
        <w:rPr>
          <w:noProof/>
        </w:rPr>
      </w:pPr>
      <w:r w:rsidRPr="007F4601">
        <w:rPr>
          <w:bCs/>
          <w:noProof/>
        </w:rPr>
        <w:t>Under priority</w:t>
      </w:r>
      <w:r w:rsidRPr="007F4601">
        <w:rPr>
          <w:rFonts w:ascii="Calibri" w:hAnsi="Calibri" w:cs="Calibri"/>
          <w:bCs/>
          <w:noProof/>
        </w:rPr>
        <w:t> </w:t>
      </w:r>
      <w:r w:rsidRPr="007F4601">
        <w:rPr>
          <w:bCs/>
          <w:noProof/>
        </w:rPr>
        <w:t>4, the EMFAF may support action to strengthen international ocean governance</w:t>
      </w:r>
      <w:r w:rsidRPr="00A76F48">
        <w:rPr>
          <w:noProof/>
        </w:rPr>
        <w:t xml:space="preserve"> and enable safe, secure, clean and sustainably managed seas and oceans through the promotion of marine knowledge, maritime surveillance and coastguard cooperation.</w:t>
      </w:r>
    </w:p>
    <w:p w14:paraId="25A8FCE3" w14:textId="77777777" w:rsidR="00C8386A" w:rsidRPr="00A76F48" w:rsidRDefault="00C8386A" w:rsidP="00C8386A">
      <w:pPr>
        <w:pStyle w:val="ppoHeading6"/>
        <w:rPr>
          <w:noProof/>
        </w:rPr>
      </w:pPr>
      <w:r w:rsidRPr="00A76F48">
        <w:rPr>
          <w:noProof/>
        </w:rPr>
        <w:t>Delivery mode</w:t>
      </w:r>
    </w:p>
    <w:p w14:paraId="5EFA5938" w14:textId="77777777" w:rsidR="00C8386A" w:rsidRPr="00A76F48" w:rsidRDefault="00C8386A" w:rsidP="00C8386A">
      <w:pPr>
        <w:rPr>
          <w:noProof/>
        </w:rPr>
      </w:pPr>
      <w:r w:rsidRPr="00A76F48">
        <w:rPr>
          <w:noProof/>
        </w:rPr>
        <w:t xml:space="preserve">As during the 2014-2020 programming period, the EMFAF will mainly be managed under shared </w:t>
      </w:r>
      <w:r w:rsidRPr="007F4601">
        <w:rPr>
          <w:bCs/>
          <w:noProof/>
        </w:rPr>
        <w:t>management</w:t>
      </w:r>
      <w:r w:rsidRPr="00A76F48">
        <w:rPr>
          <w:noProof/>
        </w:rPr>
        <w:t xml:space="preserve"> (87% of the budget allocation), where the common provisions regulation lays down common provisions on the European Regional Development Fund, the European Social Fund Plus, the Cohesion Fund, the Just Transition Fund, the EMFAF, the Asylum and Migration Fund, the Internal Security Fund and the Border Management and Visa Instrument. Thus, the EMFAF shares common rules with the other European structural and investment funds covered by the common provisions regulation, providing for common objectives, principles and rules related to planning, programming, monitoring and reporting. The EMFAF further specifies details within this framework, including the common result indicators, types of interventions and climate coefficients that must be used when planning and reporting.</w:t>
      </w:r>
    </w:p>
    <w:p w14:paraId="453DA17E" w14:textId="77777777" w:rsidR="00C8386A" w:rsidRPr="00A76F48" w:rsidRDefault="00C8386A" w:rsidP="00C8386A">
      <w:pPr>
        <w:rPr>
          <w:noProof/>
        </w:rPr>
      </w:pPr>
      <w:r w:rsidRPr="00A76F48">
        <w:rPr>
          <w:noProof/>
        </w:rPr>
        <w:t>The remaining part of the financial envelope (13%) is implemented through direct or indirect management modes. The direct management part of the fund will either be managed directly by the European Commission or delegated to an executive agency. This part of the fund will finance common-fisheries-policy-related projects, market intelligence, scientific advice, a sustainable blue economy and international ocean governance, along with contributions to international organisations or to the functioning of the advisory councils. The budget under direct management shares the same set of common result indicators and principles as shared management to allow full and consistent reporting on the achievements of the EMFAF as a whole.</w:t>
      </w:r>
    </w:p>
    <w:p w14:paraId="68694B0B" w14:textId="77777777" w:rsidR="00C8386A" w:rsidRPr="00A76F48" w:rsidRDefault="00C8386A" w:rsidP="00C8386A">
      <w:pPr>
        <w:pStyle w:val="ppoHeading6"/>
        <w:rPr>
          <w:noProof/>
        </w:rPr>
      </w:pPr>
      <w:r w:rsidRPr="00A76F48">
        <w:rPr>
          <w:noProof/>
        </w:rPr>
        <w:t>LINK TO THE 2014-2020 multiannual financial framework</w:t>
      </w:r>
    </w:p>
    <w:p w14:paraId="2A70D0E5" w14:textId="77777777" w:rsidR="00C8386A" w:rsidRPr="00A76F48" w:rsidRDefault="00C8386A" w:rsidP="00C8386A">
      <w:pPr>
        <w:rPr>
          <w:noProof/>
        </w:rPr>
      </w:pPr>
      <w:r w:rsidRPr="00A76F48">
        <w:rPr>
          <w:noProof/>
        </w:rPr>
        <w:t xml:space="preserve">The EMFAF builds on the experience of the </w:t>
      </w:r>
      <w:r w:rsidRPr="00A76F48">
        <w:rPr>
          <w:rFonts w:eastAsiaTheme="minorEastAsia"/>
          <w:noProof/>
        </w:rPr>
        <w:t xml:space="preserve">European Maritime and Fisheries Fund (EMFF) </w:t>
      </w:r>
      <w:r w:rsidRPr="00A76F48">
        <w:rPr>
          <w:noProof/>
        </w:rPr>
        <w:t>for 2014-2020, with a simplified structure, giving Member States more control and with a novel focus on strengthening international ocean governance.</w:t>
      </w:r>
    </w:p>
    <w:p w14:paraId="450AAA3F" w14:textId="77777777" w:rsidR="00C8386A" w:rsidRPr="00A76F48" w:rsidRDefault="00C8386A" w:rsidP="00C8386A">
      <w:pPr>
        <w:pStyle w:val="ppoHeading6"/>
        <w:rPr>
          <w:noProof/>
        </w:rPr>
      </w:pPr>
      <w:r w:rsidRPr="00A76F48">
        <w:rPr>
          <w:noProof/>
        </w:rPr>
        <w:t>Impact assessment</w:t>
      </w:r>
    </w:p>
    <w:p w14:paraId="4532108C" w14:textId="77777777" w:rsidR="00C8386A" w:rsidRPr="00A76F48" w:rsidRDefault="00C8386A" w:rsidP="00C8386A">
      <w:pPr>
        <w:rPr>
          <w:noProof/>
        </w:rPr>
      </w:pPr>
      <w:r w:rsidRPr="00A76F48">
        <w:rPr>
          <w:noProof/>
        </w:rPr>
        <w:t>The impact assessment for the Commission’s proposal for the EMFF 2021-2027 was carried out in 2018.</w:t>
      </w:r>
    </w:p>
    <w:p w14:paraId="2CB1A6A6" w14:textId="77777777" w:rsidR="00C8386A" w:rsidRPr="00A76F48" w:rsidRDefault="00C8386A" w:rsidP="00C8386A">
      <w:pPr>
        <w:rPr>
          <w:noProof/>
        </w:rPr>
      </w:pPr>
      <w:r w:rsidRPr="00A76F48">
        <w:rPr>
          <w:noProof/>
        </w:rPr>
        <w:t xml:space="preserve">For further information please consult: </w:t>
      </w:r>
      <w:hyperlink r:id="rId382" w:history="1">
        <w:r w:rsidRPr="00A76F48">
          <w:rPr>
            <w:rStyle w:val="Hyperlink"/>
            <w:noProof/>
          </w:rPr>
          <w:t>https://europa.eu/!Un66pR</w:t>
        </w:r>
      </w:hyperlink>
    </w:p>
    <w:p w14:paraId="3652F556" w14:textId="77777777" w:rsidR="00C8386A" w:rsidRPr="00A76F48" w:rsidRDefault="00C8386A" w:rsidP="00C8386A">
      <w:pPr>
        <w:pStyle w:val="ppoHeading6"/>
        <w:rPr>
          <w:noProof/>
        </w:rPr>
      </w:pPr>
      <w:r w:rsidRPr="00A76F48">
        <w:rPr>
          <w:noProof/>
        </w:rPr>
        <w:t>WEBSITE FOR more information</w:t>
      </w:r>
    </w:p>
    <w:p w14:paraId="279AC593" w14:textId="77777777" w:rsidR="00C8386A" w:rsidRPr="00A76F48" w:rsidRDefault="00E01E9B" w:rsidP="00C8386A">
      <w:pPr>
        <w:rPr>
          <w:noProof/>
        </w:rPr>
      </w:pPr>
      <w:hyperlink r:id="rId383" w:history="1">
        <w:r w:rsidR="00C8386A" w:rsidRPr="00A76F48">
          <w:rPr>
            <w:rStyle w:val="Hyperlink"/>
            <w:noProof/>
          </w:rPr>
          <w:t>https://europa.eu/!bC48kW</w:t>
        </w:r>
      </w:hyperlink>
    </w:p>
    <w:p w14:paraId="779A705D" w14:textId="77777777" w:rsidR="00C8386A" w:rsidRPr="00A76F48" w:rsidRDefault="00C8386A" w:rsidP="00C8386A">
      <w:pPr>
        <w:pStyle w:val="ppoHeading5"/>
        <w:rPr>
          <w:noProof/>
        </w:rPr>
      </w:pPr>
      <w:r w:rsidRPr="00A76F48">
        <w:rPr>
          <w:rFonts w:eastAsiaTheme="minorEastAsia"/>
          <w:noProof/>
        </w:rPr>
        <w:t>Legal basis</w:t>
      </w:r>
    </w:p>
    <w:p w14:paraId="7AD5A96D" w14:textId="77777777" w:rsidR="00C8386A" w:rsidRPr="00A76F48" w:rsidRDefault="00C8386A" w:rsidP="00C8386A">
      <w:pPr>
        <w:rPr>
          <w:noProof/>
        </w:rPr>
      </w:pPr>
      <w:r w:rsidRPr="00A76F48">
        <w:rPr>
          <w:noProof/>
        </w:rPr>
        <w:t>Regulation (EU) 2021/1139 of the European Parliament and of the Council.</w:t>
      </w:r>
    </w:p>
    <w:p w14:paraId="71D1AE5C" w14:textId="77777777" w:rsidR="00C8386A" w:rsidRPr="00A76F48" w:rsidRDefault="00C8386A" w:rsidP="00C8386A">
      <w:pPr>
        <w:pStyle w:val="ppoHeading4NaturalGreen"/>
        <w:rPr>
          <w:caps/>
          <w:noProof/>
        </w:rPr>
      </w:pPr>
      <w:r w:rsidRPr="00A76F48">
        <w:rPr>
          <w:noProof/>
        </w:rPr>
        <w:t>Implementation and performance</w:t>
      </w:r>
    </w:p>
    <w:p w14:paraId="141AF1B1" w14:textId="77777777" w:rsidR="00C8386A" w:rsidRPr="00A76F48" w:rsidRDefault="00C8386A" w:rsidP="00C8386A">
      <w:pPr>
        <w:pStyle w:val="ppoHeading5"/>
        <w:rPr>
          <w:noProof/>
        </w:rPr>
      </w:pPr>
      <w:r w:rsidRPr="00A76F48">
        <w:rPr>
          <w:noProof/>
        </w:rPr>
        <w:t>Budget</w:t>
      </w:r>
    </w:p>
    <w:p w14:paraId="68B6C6ED" w14:textId="77777777" w:rsidR="00C8386A" w:rsidRPr="00A76F48" w:rsidRDefault="00C8386A" w:rsidP="00C8386A">
      <w:pPr>
        <w:pStyle w:val="ppoTableTabletitle"/>
        <w:rPr>
          <w:noProof/>
        </w:rPr>
      </w:pPr>
      <w:r w:rsidRPr="00A76F48">
        <w:rPr>
          <w:noProof/>
        </w:rPr>
        <w:t>Budget programming (million 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C8386A" w:rsidRPr="00A76F48" w14:paraId="63D86978" w14:textId="77777777" w:rsidTr="0083214A">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46FA51B5" w14:textId="77777777" w:rsidR="00C8386A" w:rsidRPr="00A76F48" w:rsidRDefault="00C8386A" w:rsidP="0083214A">
            <w:pPr>
              <w:rPr>
                <w:noProof/>
              </w:rPr>
            </w:pPr>
          </w:p>
        </w:tc>
        <w:tc>
          <w:tcPr>
            <w:tcW w:w="943" w:type="dxa"/>
            <w:noWrap/>
            <w:hideMark/>
          </w:tcPr>
          <w:p w14:paraId="0C1D5DE8" w14:textId="77777777" w:rsidR="00C8386A" w:rsidRPr="00A76F48" w:rsidRDefault="00C8386A" w:rsidP="0083214A">
            <w:pPr>
              <w:rPr>
                <w:noProof/>
              </w:rPr>
            </w:pPr>
            <w:r w:rsidRPr="00A76F48">
              <w:rPr>
                <w:noProof/>
              </w:rPr>
              <w:t>2021</w:t>
            </w:r>
          </w:p>
        </w:tc>
        <w:tc>
          <w:tcPr>
            <w:tcW w:w="944" w:type="dxa"/>
            <w:noWrap/>
            <w:hideMark/>
          </w:tcPr>
          <w:p w14:paraId="5DA835E4" w14:textId="77777777" w:rsidR="00C8386A" w:rsidRPr="00A76F48" w:rsidRDefault="00C8386A" w:rsidP="0083214A">
            <w:pPr>
              <w:rPr>
                <w:noProof/>
              </w:rPr>
            </w:pPr>
            <w:r w:rsidRPr="00A76F48">
              <w:rPr>
                <w:noProof/>
              </w:rPr>
              <w:t>2022</w:t>
            </w:r>
          </w:p>
        </w:tc>
        <w:tc>
          <w:tcPr>
            <w:tcW w:w="943" w:type="dxa"/>
            <w:noWrap/>
            <w:hideMark/>
          </w:tcPr>
          <w:p w14:paraId="192856E7" w14:textId="77777777" w:rsidR="00C8386A" w:rsidRPr="00A76F48" w:rsidRDefault="00C8386A" w:rsidP="0083214A">
            <w:pPr>
              <w:rPr>
                <w:noProof/>
              </w:rPr>
            </w:pPr>
            <w:r w:rsidRPr="00A76F48">
              <w:rPr>
                <w:noProof/>
              </w:rPr>
              <w:t>2023</w:t>
            </w:r>
          </w:p>
        </w:tc>
        <w:tc>
          <w:tcPr>
            <w:tcW w:w="944" w:type="dxa"/>
            <w:noWrap/>
            <w:hideMark/>
          </w:tcPr>
          <w:p w14:paraId="3B9AA50C" w14:textId="77777777" w:rsidR="00C8386A" w:rsidRPr="00A76F48" w:rsidRDefault="00C8386A" w:rsidP="0083214A">
            <w:pPr>
              <w:rPr>
                <w:noProof/>
              </w:rPr>
            </w:pPr>
            <w:r w:rsidRPr="00A76F48">
              <w:rPr>
                <w:noProof/>
              </w:rPr>
              <w:t>2024</w:t>
            </w:r>
          </w:p>
        </w:tc>
        <w:tc>
          <w:tcPr>
            <w:tcW w:w="944" w:type="dxa"/>
            <w:noWrap/>
            <w:hideMark/>
          </w:tcPr>
          <w:p w14:paraId="36BAA1FD" w14:textId="77777777" w:rsidR="00C8386A" w:rsidRPr="00A76F48" w:rsidRDefault="00C8386A" w:rsidP="0083214A">
            <w:pPr>
              <w:rPr>
                <w:noProof/>
              </w:rPr>
            </w:pPr>
            <w:r w:rsidRPr="00A76F48">
              <w:rPr>
                <w:noProof/>
              </w:rPr>
              <w:t>2025</w:t>
            </w:r>
          </w:p>
        </w:tc>
        <w:tc>
          <w:tcPr>
            <w:tcW w:w="943" w:type="dxa"/>
            <w:noWrap/>
            <w:hideMark/>
          </w:tcPr>
          <w:p w14:paraId="30E53E94" w14:textId="77777777" w:rsidR="00C8386A" w:rsidRPr="00A76F48" w:rsidRDefault="00C8386A" w:rsidP="0083214A">
            <w:pPr>
              <w:rPr>
                <w:noProof/>
              </w:rPr>
            </w:pPr>
            <w:r w:rsidRPr="00A76F48">
              <w:rPr>
                <w:noProof/>
              </w:rPr>
              <w:t>2026</w:t>
            </w:r>
          </w:p>
        </w:tc>
        <w:tc>
          <w:tcPr>
            <w:tcW w:w="944" w:type="dxa"/>
            <w:noWrap/>
            <w:hideMark/>
          </w:tcPr>
          <w:p w14:paraId="659E7B2C" w14:textId="77777777" w:rsidR="00C8386A" w:rsidRPr="00A76F48" w:rsidRDefault="00C8386A" w:rsidP="0083214A">
            <w:pPr>
              <w:rPr>
                <w:noProof/>
              </w:rPr>
            </w:pPr>
            <w:r w:rsidRPr="00A76F48">
              <w:rPr>
                <w:noProof/>
              </w:rPr>
              <w:t>2027</w:t>
            </w:r>
          </w:p>
        </w:tc>
        <w:tc>
          <w:tcPr>
            <w:tcW w:w="944" w:type="dxa"/>
            <w:noWrap/>
            <w:hideMark/>
          </w:tcPr>
          <w:p w14:paraId="0BE824CC" w14:textId="77777777" w:rsidR="00C8386A" w:rsidRPr="00A76F48" w:rsidRDefault="00C8386A" w:rsidP="0083214A">
            <w:pPr>
              <w:rPr>
                <w:noProof/>
              </w:rPr>
            </w:pPr>
            <w:r w:rsidRPr="00A76F48">
              <w:rPr>
                <w:noProof/>
              </w:rPr>
              <w:t>Total</w:t>
            </w:r>
          </w:p>
        </w:tc>
      </w:tr>
      <w:tr w:rsidR="00C8386A" w:rsidRPr="00A76F48" w14:paraId="14064D36" w14:textId="77777777" w:rsidTr="00304A2B">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005305C0" w14:textId="77777777" w:rsidR="00C8386A" w:rsidRPr="00A76F48" w:rsidRDefault="00C8386A" w:rsidP="0083214A">
            <w:pPr>
              <w:rPr>
                <w:noProof/>
              </w:rPr>
            </w:pPr>
            <w:r w:rsidRPr="00A76F48">
              <w:rPr>
                <w:noProof/>
              </w:rPr>
              <w:t>Financial programming</w:t>
            </w:r>
          </w:p>
        </w:tc>
        <w:tc>
          <w:tcPr>
            <w:tcW w:w="943" w:type="dxa"/>
            <w:noWrap/>
            <w:hideMark/>
          </w:tcPr>
          <w:p w14:paraId="0C105279" w14:textId="77777777" w:rsidR="00C8386A" w:rsidRPr="00A76F48" w:rsidRDefault="00C8386A" w:rsidP="0083214A">
            <w:pPr>
              <w:jc w:val="center"/>
              <w:rPr>
                <w:noProof/>
              </w:rPr>
            </w:pPr>
            <w:r w:rsidRPr="00A76F48">
              <w:rPr>
                <w:noProof/>
              </w:rPr>
              <w:t>109.1</w:t>
            </w:r>
          </w:p>
        </w:tc>
        <w:tc>
          <w:tcPr>
            <w:tcW w:w="944" w:type="dxa"/>
            <w:noWrap/>
            <w:vAlign w:val="bottom"/>
            <w:hideMark/>
          </w:tcPr>
          <w:p w14:paraId="69389684" w14:textId="7A1BA16A" w:rsidR="00C8386A" w:rsidRPr="00A76F48" w:rsidRDefault="00C8386A" w:rsidP="0083214A">
            <w:pPr>
              <w:jc w:val="center"/>
              <w:rPr>
                <w:noProof/>
              </w:rPr>
            </w:pPr>
            <w:r>
              <w:rPr>
                <w:rFonts w:ascii="Calibri" w:hAnsi="Calibri" w:cs="Calibri"/>
                <w:noProof/>
                <w:color w:val="000000"/>
              </w:rPr>
              <w:t>1 133.9</w:t>
            </w:r>
          </w:p>
        </w:tc>
        <w:tc>
          <w:tcPr>
            <w:tcW w:w="943" w:type="dxa"/>
            <w:noWrap/>
            <w:vAlign w:val="bottom"/>
            <w:hideMark/>
          </w:tcPr>
          <w:p w14:paraId="3AF334C3" w14:textId="32404F51" w:rsidR="00C8386A" w:rsidRPr="00A76F48" w:rsidRDefault="00C8386A" w:rsidP="0083214A">
            <w:pPr>
              <w:jc w:val="center"/>
              <w:rPr>
                <w:noProof/>
              </w:rPr>
            </w:pPr>
            <w:r>
              <w:rPr>
                <w:rFonts w:ascii="Calibri" w:hAnsi="Calibri" w:cs="Calibri"/>
                <w:noProof/>
                <w:color w:val="000000"/>
              </w:rPr>
              <w:t>1 100.7</w:t>
            </w:r>
          </w:p>
        </w:tc>
        <w:tc>
          <w:tcPr>
            <w:tcW w:w="944" w:type="dxa"/>
            <w:noWrap/>
            <w:vAlign w:val="bottom"/>
            <w:hideMark/>
          </w:tcPr>
          <w:p w14:paraId="1F3C0032" w14:textId="5C963B3B" w:rsidR="00C8386A" w:rsidRPr="00A76F48" w:rsidRDefault="00C8386A" w:rsidP="0083214A">
            <w:pPr>
              <w:jc w:val="center"/>
              <w:rPr>
                <w:noProof/>
              </w:rPr>
            </w:pPr>
            <w:r>
              <w:rPr>
                <w:rFonts w:ascii="Calibri" w:hAnsi="Calibri" w:cs="Calibri"/>
                <w:noProof/>
                <w:color w:val="000000"/>
              </w:rPr>
              <w:t>1 067.7</w:t>
            </w:r>
          </w:p>
        </w:tc>
        <w:tc>
          <w:tcPr>
            <w:tcW w:w="944" w:type="dxa"/>
            <w:noWrap/>
            <w:vAlign w:val="bottom"/>
            <w:hideMark/>
          </w:tcPr>
          <w:p w14:paraId="5BE05275" w14:textId="0A6B1C4E" w:rsidR="00C8386A" w:rsidRPr="00A76F48" w:rsidRDefault="00C8386A" w:rsidP="0083214A">
            <w:pPr>
              <w:jc w:val="center"/>
              <w:rPr>
                <w:noProof/>
              </w:rPr>
            </w:pPr>
            <w:r>
              <w:rPr>
                <w:rFonts w:ascii="Calibri" w:hAnsi="Calibri" w:cs="Calibri"/>
                <w:noProof/>
                <w:color w:val="000000"/>
              </w:rPr>
              <w:t>980.0</w:t>
            </w:r>
          </w:p>
        </w:tc>
        <w:tc>
          <w:tcPr>
            <w:tcW w:w="943" w:type="dxa"/>
            <w:noWrap/>
            <w:vAlign w:val="bottom"/>
            <w:hideMark/>
          </w:tcPr>
          <w:p w14:paraId="47C8399B" w14:textId="4A2995F5" w:rsidR="00C8386A" w:rsidRPr="00A76F48" w:rsidRDefault="00C8386A" w:rsidP="0083214A">
            <w:pPr>
              <w:jc w:val="center"/>
              <w:rPr>
                <w:noProof/>
              </w:rPr>
            </w:pPr>
            <w:r>
              <w:rPr>
                <w:rFonts w:ascii="Calibri" w:hAnsi="Calibri" w:cs="Calibri"/>
                <w:noProof/>
                <w:color w:val="000000"/>
              </w:rPr>
              <w:t>834.4</w:t>
            </w:r>
          </w:p>
        </w:tc>
        <w:tc>
          <w:tcPr>
            <w:tcW w:w="944" w:type="dxa"/>
            <w:noWrap/>
            <w:vAlign w:val="bottom"/>
            <w:hideMark/>
          </w:tcPr>
          <w:p w14:paraId="6756C6BF" w14:textId="386AA5A1" w:rsidR="00C8386A" w:rsidRPr="00A76F48" w:rsidRDefault="00C8386A" w:rsidP="0083214A">
            <w:pPr>
              <w:jc w:val="center"/>
              <w:rPr>
                <w:noProof/>
              </w:rPr>
            </w:pPr>
            <w:r>
              <w:rPr>
                <w:rFonts w:ascii="Calibri" w:hAnsi="Calibri" w:cs="Calibri"/>
                <w:noProof/>
                <w:color w:val="000000"/>
              </w:rPr>
              <w:t>846.7</w:t>
            </w:r>
          </w:p>
        </w:tc>
        <w:tc>
          <w:tcPr>
            <w:tcW w:w="944" w:type="dxa"/>
            <w:noWrap/>
            <w:vAlign w:val="bottom"/>
            <w:hideMark/>
          </w:tcPr>
          <w:p w14:paraId="07138C9E" w14:textId="66A463EA" w:rsidR="00C8386A" w:rsidRPr="00A76F48" w:rsidRDefault="00C8386A" w:rsidP="0083214A">
            <w:pPr>
              <w:jc w:val="center"/>
              <w:rPr>
                <w:noProof/>
              </w:rPr>
            </w:pPr>
            <w:r>
              <w:rPr>
                <w:rFonts w:ascii="Calibri" w:hAnsi="Calibri" w:cs="Calibri"/>
                <w:noProof/>
                <w:color w:val="000000"/>
              </w:rPr>
              <w:t>6 072.6</w:t>
            </w:r>
          </w:p>
        </w:tc>
      </w:tr>
      <w:tr w:rsidR="00C8386A" w:rsidRPr="00A76F48" w14:paraId="25B4AE0D"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50CCD2DA" w14:textId="77777777" w:rsidR="00C8386A" w:rsidRPr="00A76F48" w:rsidRDefault="00C8386A" w:rsidP="0083214A">
            <w:pPr>
              <w:rPr>
                <w:noProof/>
              </w:rPr>
            </w:pPr>
            <w:r w:rsidRPr="00A76F48">
              <w:rPr>
                <w:noProof/>
              </w:rPr>
              <w:t>NextGenerationEU</w:t>
            </w:r>
          </w:p>
        </w:tc>
        <w:tc>
          <w:tcPr>
            <w:tcW w:w="943" w:type="dxa"/>
            <w:noWrap/>
            <w:hideMark/>
          </w:tcPr>
          <w:p w14:paraId="5CC1E4E9" w14:textId="77777777" w:rsidR="00C8386A" w:rsidRPr="00A76F48" w:rsidRDefault="00C8386A" w:rsidP="0083214A">
            <w:pPr>
              <w:jc w:val="center"/>
              <w:rPr>
                <w:noProof/>
              </w:rPr>
            </w:pPr>
          </w:p>
        </w:tc>
        <w:tc>
          <w:tcPr>
            <w:tcW w:w="944" w:type="dxa"/>
            <w:noWrap/>
            <w:hideMark/>
          </w:tcPr>
          <w:p w14:paraId="1577B82E" w14:textId="77777777" w:rsidR="00C8386A" w:rsidRPr="00A76F48" w:rsidRDefault="00C8386A" w:rsidP="0083214A">
            <w:pPr>
              <w:jc w:val="center"/>
              <w:rPr>
                <w:noProof/>
              </w:rPr>
            </w:pPr>
          </w:p>
        </w:tc>
        <w:tc>
          <w:tcPr>
            <w:tcW w:w="943" w:type="dxa"/>
            <w:noWrap/>
            <w:hideMark/>
          </w:tcPr>
          <w:p w14:paraId="2CE18804" w14:textId="77777777" w:rsidR="00C8386A" w:rsidRPr="00A76F48" w:rsidRDefault="00C8386A" w:rsidP="0083214A">
            <w:pPr>
              <w:jc w:val="center"/>
              <w:rPr>
                <w:noProof/>
              </w:rPr>
            </w:pPr>
          </w:p>
        </w:tc>
        <w:tc>
          <w:tcPr>
            <w:tcW w:w="944" w:type="dxa"/>
            <w:noWrap/>
            <w:hideMark/>
          </w:tcPr>
          <w:p w14:paraId="632BC9FB" w14:textId="77777777" w:rsidR="00C8386A" w:rsidRPr="00A76F48" w:rsidRDefault="00C8386A" w:rsidP="0083214A">
            <w:pPr>
              <w:jc w:val="center"/>
              <w:rPr>
                <w:noProof/>
              </w:rPr>
            </w:pPr>
          </w:p>
        </w:tc>
        <w:tc>
          <w:tcPr>
            <w:tcW w:w="944" w:type="dxa"/>
            <w:noWrap/>
            <w:hideMark/>
          </w:tcPr>
          <w:p w14:paraId="21F09BCB" w14:textId="77777777" w:rsidR="00C8386A" w:rsidRPr="00A76F48" w:rsidRDefault="00C8386A" w:rsidP="0083214A">
            <w:pPr>
              <w:jc w:val="center"/>
              <w:rPr>
                <w:noProof/>
              </w:rPr>
            </w:pPr>
          </w:p>
        </w:tc>
        <w:tc>
          <w:tcPr>
            <w:tcW w:w="943" w:type="dxa"/>
            <w:noWrap/>
            <w:hideMark/>
          </w:tcPr>
          <w:p w14:paraId="26958D05" w14:textId="77777777" w:rsidR="00C8386A" w:rsidRPr="00A76F48" w:rsidRDefault="00C8386A" w:rsidP="0083214A">
            <w:pPr>
              <w:jc w:val="center"/>
              <w:rPr>
                <w:noProof/>
              </w:rPr>
            </w:pPr>
          </w:p>
        </w:tc>
        <w:tc>
          <w:tcPr>
            <w:tcW w:w="944" w:type="dxa"/>
            <w:noWrap/>
            <w:hideMark/>
          </w:tcPr>
          <w:p w14:paraId="524FBD3A" w14:textId="77777777" w:rsidR="00C8386A" w:rsidRPr="00A76F48" w:rsidRDefault="00C8386A" w:rsidP="0083214A">
            <w:pPr>
              <w:jc w:val="center"/>
              <w:rPr>
                <w:noProof/>
              </w:rPr>
            </w:pPr>
          </w:p>
        </w:tc>
        <w:tc>
          <w:tcPr>
            <w:tcW w:w="944" w:type="dxa"/>
            <w:noWrap/>
            <w:hideMark/>
          </w:tcPr>
          <w:p w14:paraId="581B2DB0" w14:textId="77777777" w:rsidR="00C8386A" w:rsidRPr="00A76F48" w:rsidRDefault="00C8386A" w:rsidP="0083214A">
            <w:pPr>
              <w:jc w:val="center"/>
              <w:rPr>
                <w:noProof/>
              </w:rPr>
            </w:pPr>
          </w:p>
        </w:tc>
      </w:tr>
      <w:tr w:rsidR="00C8386A" w:rsidRPr="00A76F48" w14:paraId="5F30F1B1"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1F85FEE4" w14:textId="77777777" w:rsidR="00C8386A" w:rsidRPr="00A76F48" w:rsidRDefault="00C8386A" w:rsidP="0083214A">
            <w:pPr>
              <w:rPr>
                <w:noProof/>
              </w:rPr>
            </w:pPr>
            <w:r w:rsidRPr="00A76F48">
              <w:rPr>
                <w:noProof/>
              </w:rPr>
              <w:t>Decommitments made available again</w:t>
            </w:r>
            <w:r w:rsidRPr="00A76F48">
              <w:rPr>
                <w:rFonts w:ascii="Calibri" w:hAnsi="Calibri" w:cs="Calibri"/>
                <w:noProof/>
              </w:rPr>
              <w:t> (</w:t>
            </w:r>
            <w:r w:rsidRPr="00A76F48">
              <w:rPr>
                <w:noProof/>
              </w:rPr>
              <w:t>*)</w:t>
            </w:r>
          </w:p>
        </w:tc>
        <w:tc>
          <w:tcPr>
            <w:tcW w:w="943" w:type="dxa"/>
            <w:noWrap/>
            <w:hideMark/>
          </w:tcPr>
          <w:p w14:paraId="72904652" w14:textId="77777777" w:rsidR="00C8386A" w:rsidRPr="00A76F48" w:rsidRDefault="00C8386A" w:rsidP="0083214A">
            <w:pPr>
              <w:jc w:val="center"/>
              <w:rPr>
                <w:noProof/>
              </w:rPr>
            </w:pPr>
            <w:r>
              <w:rPr>
                <w:noProof/>
              </w:rPr>
              <w:t>N/A</w:t>
            </w:r>
          </w:p>
        </w:tc>
        <w:tc>
          <w:tcPr>
            <w:tcW w:w="944" w:type="dxa"/>
            <w:noWrap/>
            <w:hideMark/>
          </w:tcPr>
          <w:p w14:paraId="23E69B4C" w14:textId="77777777" w:rsidR="00C8386A" w:rsidRPr="00A76F48" w:rsidRDefault="00C8386A" w:rsidP="0083214A">
            <w:pPr>
              <w:jc w:val="center"/>
              <w:rPr>
                <w:noProof/>
              </w:rPr>
            </w:pPr>
          </w:p>
        </w:tc>
        <w:tc>
          <w:tcPr>
            <w:tcW w:w="943" w:type="dxa"/>
            <w:noWrap/>
            <w:hideMark/>
          </w:tcPr>
          <w:p w14:paraId="60E06E7A" w14:textId="77777777" w:rsidR="00C8386A" w:rsidRPr="00A76F48" w:rsidRDefault="00C8386A" w:rsidP="0083214A">
            <w:pPr>
              <w:jc w:val="center"/>
              <w:rPr>
                <w:noProof/>
              </w:rPr>
            </w:pPr>
          </w:p>
        </w:tc>
        <w:tc>
          <w:tcPr>
            <w:tcW w:w="944" w:type="dxa"/>
            <w:noWrap/>
            <w:hideMark/>
          </w:tcPr>
          <w:p w14:paraId="1CFB1D2F" w14:textId="77777777" w:rsidR="00C8386A" w:rsidRPr="00A76F48" w:rsidRDefault="00C8386A" w:rsidP="0083214A">
            <w:pPr>
              <w:jc w:val="center"/>
              <w:rPr>
                <w:noProof/>
              </w:rPr>
            </w:pPr>
          </w:p>
        </w:tc>
        <w:tc>
          <w:tcPr>
            <w:tcW w:w="944" w:type="dxa"/>
            <w:noWrap/>
            <w:hideMark/>
          </w:tcPr>
          <w:p w14:paraId="689B45E6" w14:textId="77777777" w:rsidR="00C8386A" w:rsidRPr="00A76F48" w:rsidRDefault="00C8386A" w:rsidP="0083214A">
            <w:pPr>
              <w:jc w:val="center"/>
              <w:rPr>
                <w:noProof/>
              </w:rPr>
            </w:pPr>
          </w:p>
        </w:tc>
        <w:tc>
          <w:tcPr>
            <w:tcW w:w="943" w:type="dxa"/>
            <w:noWrap/>
            <w:hideMark/>
          </w:tcPr>
          <w:p w14:paraId="27D580BE" w14:textId="77777777" w:rsidR="00C8386A" w:rsidRPr="00A76F48" w:rsidRDefault="00C8386A" w:rsidP="0083214A">
            <w:pPr>
              <w:jc w:val="center"/>
              <w:rPr>
                <w:noProof/>
              </w:rPr>
            </w:pPr>
          </w:p>
        </w:tc>
        <w:tc>
          <w:tcPr>
            <w:tcW w:w="944" w:type="dxa"/>
            <w:noWrap/>
            <w:hideMark/>
          </w:tcPr>
          <w:p w14:paraId="44B8B9FC" w14:textId="77777777" w:rsidR="00C8386A" w:rsidRPr="00A76F48" w:rsidRDefault="00C8386A" w:rsidP="0083214A">
            <w:pPr>
              <w:jc w:val="center"/>
              <w:rPr>
                <w:noProof/>
              </w:rPr>
            </w:pPr>
          </w:p>
        </w:tc>
        <w:tc>
          <w:tcPr>
            <w:tcW w:w="944" w:type="dxa"/>
            <w:noWrap/>
            <w:hideMark/>
          </w:tcPr>
          <w:p w14:paraId="7DC3E4E4" w14:textId="77777777" w:rsidR="00C8386A" w:rsidRPr="00A76F48" w:rsidRDefault="00C8386A" w:rsidP="0083214A">
            <w:pPr>
              <w:jc w:val="center"/>
              <w:rPr>
                <w:noProof/>
              </w:rPr>
            </w:pPr>
            <w:r>
              <w:rPr>
                <w:noProof/>
              </w:rPr>
              <w:t>N/A</w:t>
            </w:r>
          </w:p>
        </w:tc>
      </w:tr>
      <w:tr w:rsidR="00C8386A" w:rsidRPr="00A76F48" w14:paraId="11327954"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73B4FEAC" w14:textId="77777777" w:rsidR="00C8386A" w:rsidRPr="00A76F48" w:rsidRDefault="00C8386A" w:rsidP="0083214A">
            <w:pPr>
              <w:rPr>
                <w:noProof/>
              </w:rPr>
            </w:pPr>
            <w:r w:rsidRPr="00A76F48">
              <w:rPr>
                <w:noProof/>
              </w:rPr>
              <w:t>Contributions from other countries and entities</w:t>
            </w:r>
          </w:p>
        </w:tc>
        <w:tc>
          <w:tcPr>
            <w:tcW w:w="943" w:type="dxa"/>
            <w:noWrap/>
            <w:hideMark/>
          </w:tcPr>
          <w:p w14:paraId="019AF17E" w14:textId="77777777" w:rsidR="00C8386A" w:rsidRPr="00A76F48" w:rsidRDefault="00C8386A" w:rsidP="0083214A">
            <w:pPr>
              <w:jc w:val="center"/>
              <w:rPr>
                <w:noProof/>
              </w:rPr>
            </w:pPr>
            <w:r>
              <w:rPr>
                <w:noProof/>
              </w:rPr>
              <w:t>0.0</w:t>
            </w:r>
          </w:p>
        </w:tc>
        <w:tc>
          <w:tcPr>
            <w:tcW w:w="944" w:type="dxa"/>
            <w:noWrap/>
            <w:hideMark/>
          </w:tcPr>
          <w:p w14:paraId="302F1C8E" w14:textId="77777777" w:rsidR="00C8386A" w:rsidRPr="00A76F48" w:rsidRDefault="00C8386A" w:rsidP="0083214A">
            <w:pPr>
              <w:jc w:val="center"/>
              <w:rPr>
                <w:noProof/>
              </w:rPr>
            </w:pPr>
            <w:r>
              <w:rPr>
                <w:noProof/>
              </w:rPr>
              <w:t>p.m.</w:t>
            </w:r>
          </w:p>
        </w:tc>
        <w:tc>
          <w:tcPr>
            <w:tcW w:w="943" w:type="dxa"/>
            <w:noWrap/>
            <w:hideMark/>
          </w:tcPr>
          <w:p w14:paraId="1A674CC1" w14:textId="77777777" w:rsidR="00C8386A" w:rsidRPr="00A76F48" w:rsidRDefault="00C8386A" w:rsidP="0083214A">
            <w:pPr>
              <w:jc w:val="center"/>
              <w:rPr>
                <w:noProof/>
              </w:rPr>
            </w:pPr>
            <w:r>
              <w:rPr>
                <w:noProof/>
              </w:rPr>
              <w:t>p.m.</w:t>
            </w:r>
          </w:p>
        </w:tc>
        <w:tc>
          <w:tcPr>
            <w:tcW w:w="944" w:type="dxa"/>
            <w:noWrap/>
            <w:hideMark/>
          </w:tcPr>
          <w:p w14:paraId="07F84CF0" w14:textId="77777777" w:rsidR="00C8386A" w:rsidRPr="00A76F48" w:rsidRDefault="00C8386A" w:rsidP="0083214A">
            <w:pPr>
              <w:jc w:val="center"/>
              <w:rPr>
                <w:noProof/>
              </w:rPr>
            </w:pPr>
            <w:r>
              <w:rPr>
                <w:noProof/>
              </w:rPr>
              <w:t>p.m.</w:t>
            </w:r>
          </w:p>
        </w:tc>
        <w:tc>
          <w:tcPr>
            <w:tcW w:w="944" w:type="dxa"/>
            <w:noWrap/>
            <w:hideMark/>
          </w:tcPr>
          <w:p w14:paraId="5BAC5396" w14:textId="77777777" w:rsidR="00C8386A" w:rsidRPr="00A76F48" w:rsidRDefault="00C8386A" w:rsidP="0083214A">
            <w:pPr>
              <w:jc w:val="center"/>
              <w:rPr>
                <w:noProof/>
              </w:rPr>
            </w:pPr>
            <w:r>
              <w:rPr>
                <w:noProof/>
              </w:rPr>
              <w:t>p.m.</w:t>
            </w:r>
          </w:p>
        </w:tc>
        <w:tc>
          <w:tcPr>
            <w:tcW w:w="943" w:type="dxa"/>
            <w:noWrap/>
            <w:hideMark/>
          </w:tcPr>
          <w:p w14:paraId="7D0F931E" w14:textId="77777777" w:rsidR="00C8386A" w:rsidRPr="00A76F48" w:rsidRDefault="00C8386A" w:rsidP="0083214A">
            <w:pPr>
              <w:jc w:val="center"/>
              <w:rPr>
                <w:noProof/>
              </w:rPr>
            </w:pPr>
            <w:r>
              <w:rPr>
                <w:noProof/>
              </w:rPr>
              <w:t>p.m.</w:t>
            </w:r>
          </w:p>
        </w:tc>
        <w:tc>
          <w:tcPr>
            <w:tcW w:w="944" w:type="dxa"/>
            <w:noWrap/>
            <w:hideMark/>
          </w:tcPr>
          <w:p w14:paraId="598BE487" w14:textId="77777777" w:rsidR="00C8386A" w:rsidRPr="00A76F48" w:rsidRDefault="00C8386A" w:rsidP="0083214A">
            <w:pPr>
              <w:jc w:val="center"/>
              <w:rPr>
                <w:noProof/>
              </w:rPr>
            </w:pPr>
            <w:r>
              <w:rPr>
                <w:noProof/>
              </w:rPr>
              <w:t>p.m.</w:t>
            </w:r>
          </w:p>
        </w:tc>
        <w:tc>
          <w:tcPr>
            <w:tcW w:w="944" w:type="dxa"/>
            <w:noWrap/>
            <w:hideMark/>
          </w:tcPr>
          <w:p w14:paraId="66CAE7FB" w14:textId="77777777" w:rsidR="00C8386A" w:rsidRPr="00A76F48" w:rsidRDefault="00C8386A" w:rsidP="0083214A">
            <w:pPr>
              <w:jc w:val="center"/>
              <w:rPr>
                <w:noProof/>
              </w:rPr>
            </w:pPr>
            <w:r>
              <w:rPr>
                <w:noProof/>
              </w:rPr>
              <w:t>0.0</w:t>
            </w:r>
          </w:p>
        </w:tc>
      </w:tr>
    </w:tbl>
    <w:p w14:paraId="586549A1" w14:textId="77777777" w:rsidR="00C8386A" w:rsidRPr="00A76F48" w:rsidRDefault="00C8386A" w:rsidP="00C8386A">
      <w:pPr>
        <w:rPr>
          <w:noProof/>
        </w:rPr>
      </w:pPr>
      <w:r w:rsidRPr="653F6B71">
        <w:rPr>
          <w:noProof/>
          <w:sz w:val="18"/>
          <w:szCs w:val="18"/>
        </w:rPr>
        <w:t>(*) Only Article</w:t>
      </w:r>
      <w:r w:rsidRPr="653F6B71">
        <w:rPr>
          <w:rFonts w:ascii="Calibri" w:hAnsi="Calibri" w:cs="Calibri"/>
          <w:noProof/>
          <w:sz w:val="18"/>
          <w:szCs w:val="18"/>
        </w:rPr>
        <w:t> </w:t>
      </w:r>
      <w:r w:rsidRPr="653F6B71">
        <w:rPr>
          <w:noProof/>
          <w:sz w:val="18"/>
          <w:szCs w:val="18"/>
        </w:rPr>
        <w:t>15(3) of the financial regulation.</w:t>
      </w:r>
    </w:p>
    <w:p w14:paraId="40C69595" w14:textId="0C582D92" w:rsidR="00C8386A" w:rsidRPr="00A76F48" w:rsidRDefault="00C8386A" w:rsidP="00304A2B">
      <w:pPr>
        <w:pStyle w:val="ppoTableTabletitle"/>
        <w:ind w:left="720"/>
        <w:rPr>
          <w:noProof/>
        </w:rPr>
      </w:pPr>
      <w:r w:rsidRPr="00304A2B">
        <w:rPr>
          <w:noProof/>
        </w:rPr>
        <w:t>Financial programming</w:t>
      </w:r>
      <w:r w:rsidR="004C4764">
        <w:rPr>
          <w:noProof/>
        </w:rPr>
        <w:t>:</w:t>
      </w:r>
      <w:r w:rsidRPr="653F6B71">
        <w:rPr>
          <w:noProof/>
          <w:color w:val="CC3595"/>
          <w:lang w:val="en-IE"/>
        </w:rPr>
        <w:t xml:space="preserve"> </w:t>
      </w:r>
      <w:r w:rsidRPr="653F6B71">
        <w:rPr>
          <w:rStyle w:val="ppocharNaturalGreentext24pt"/>
          <w:noProof/>
        </w:rPr>
        <w:t>–</w:t>
      </w:r>
      <w:r w:rsidRPr="653F6B71">
        <w:rPr>
          <w:rStyle w:val="ppocharNaturalGreentext24pt"/>
          <w:rFonts w:ascii="Calibri" w:hAnsi="Calibri" w:cs="Calibri"/>
          <w:noProof/>
        </w:rPr>
        <w:t> </w:t>
      </w:r>
      <w:r w:rsidRPr="653F6B71">
        <w:rPr>
          <w:rStyle w:val="ppocharNaturalGreentext24pt"/>
          <w:noProof/>
        </w:rPr>
        <w:t>EUR</w:t>
      </w:r>
      <w:r w:rsidRPr="653F6B71">
        <w:rPr>
          <w:rStyle w:val="ppocharNaturalGreentext24pt"/>
          <w:rFonts w:ascii="Calibri" w:hAnsi="Calibri" w:cs="Calibri"/>
          <w:noProof/>
        </w:rPr>
        <w:t> 35.4 </w:t>
      </w:r>
      <w:r w:rsidRPr="653F6B71">
        <w:rPr>
          <w:rStyle w:val="ppocharNaturalGreentext24pt"/>
          <w:noProof/>
        </w:rPr>
        <w:t>million (–</w:t>
      </w:r>
      <w:r w:rsidRPr="653F6B71">
        <w:rPr>
          <w:rStyle w:val="ppocharNaturalGreentext24pt"/>
          <w:rFonts w:ascii="Calibri" w:hAnsi="Calibri" w:cs="Calibri"/>
          <w:noProof/>
        </w:rPr>
        <w:t> 1</w:t>
      </w:r>
      <w:r w:rsidRPr="653F6B71">
        <w:rPr>
          <w:rStyle w:val="ppocharNaturalGreentext24pt"/>
          <w:noProof/>
        </w:rPr>
        <w:t xml:space="preserve">%) </w:t>
      </w:r>
      <w:r>
        <w:rPr>
          <w:noProof/>
        </w:rPr>
        <w:t>compared to the legal basis.</w:t>
      </w:r>
    </w:p>
    <w:p w14:paraId="1D6544C8" w14:textId="77777777" w:rsidR="00C8386A" w:rsidRPr="00A76F48" w:rsidRDefault="00C8386A" w:rsidP="00C8386A">
      <w:pPr>
        <w:pStyle w:val="ppoTableTabletitle"/>
        <w:rPr>
          <w:b/>
          <w:noProof/>
        </w:rPr>
      </w:pPr>
      <w:r w:rsidRPr="00A76F48">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C8386A" w:rsidRPr="00A76F48" w14:paraId="2860A553" w14:textId="77777777" w:rsidTr="0083214A">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510C635A" w14:textId="77777777" w:rsidR="00C8386A" w:rsidRPr="00A76F48" w:rsidRDefault="00C8386A" w:rsidP="0083214A">
            <w:pPr>
              <w:rPr>
                <w:noProof/>
              </w:rPr>
            </w:pPr>
          </w:p>
        </w:tc>
        <w:tc>
          <w:tcPr>
            <w:tcW w:w="2410" w:type="dxa"/>
          </w:tcPr>
          <w:p w14:paraId="634C6476" w14:textId="77777777" w:rsidR="00C8386A" w:rsidRPr="00A76F48" w:rsidRDefault="00C8386A" w:rsidP="0083214A">
            <w:pPr>
              <w:cnfStyle w:val="100000000000" w:firstRow="1" w:lastRow="0" w:firstColumn="0" w:lastColumn="0" w:oddVBand="0" w:evenVBand="0" w:oddHBand="0" w:evenHBand="0" w:firstRowFirstColumn="0" w:firstRowLastColumn="0" w:lastRowFirstColumn="0" w:lastRowLastColumn="0"/>
              <w:rPr>
                <w:noProof/>
              </w:rPr>
            </w:pPr>
            <w:r w:rsidRPr="00A76F48">
              <w:rPr>
                <w:noProof/>
              </w:rPr>
              <w:t>Implementation</w:t>
            </w:r>
          </w:p>
        </w:tc>
        <w:tc>
          <w:tcPr>
            <w:tcW w:w="2410" w:type="dxa"/>
          </w:tcPr>
          <w:p w14:paraId="04B6EADF" w14:textId="2EB8A2C9" w:rsidR="00C8386A" w:rsidRPr="00A76F48" w:rsidRDefault="003821C6" w:rsidP="0083214A">
            <w:pPr>
              <w:cnfStyle w:val="100000000000" w:firstRow="1" w:lastRow="0" w:firstColumn="0" w:lastColumn="0" w:oddVBand="0" w:evenVBand="0" w:oddHBand="0" w:evenHBand="0" w:firstRowFirstColumn="0" w:firstRowLastColumn="0" w:lastRowFirstColumn="0" w:lastRowLastColumn="0"/>
              <w:rPr>
                <w:noProof/>
              </w:rPr>
            </w:pPr>
            <w:r>
              <w:rPr>
                <w:noProof/>
              </w:rPr>
              <w:t xml:space="preserve">2021-2027 </w:t>
            </w:r>
            <w:r w:rsidR="00C8386A" w:rsidRPr="00A76F48">
              <w:rPr>
                <w:noProof/>
              </w:rPr>
              <w:t>Budget</w:t>
            </w:r>
          </w:p>
        </w:tc>
        <w:tc>
          <w:tcPr>
            <w:tcW w:w="2410" w:type="dxa"/>
          </w:tcPr>
          <w:p w14:paraId="785D24FB" w14:textId="77777777" w:rsidR="00C8386A" w:rsidRPr="00A76F48" w:rsidRDefault="00C8386A" w:rsidP="0083214A">
            <w:pPr>
              <w:cnfStyle w:val="100000000000" w:firstRow="1" w:lastRow="0" w:firstColumn="0" w:lastColumn="0" w:oddVBand="0" w:evenVBand="0" w:oddHBand="0" w:evenHBand="0" w:firstRowFirstColumn="0" w:firstRowLastColumn="0" w:lastRowFirstColumn="0" w:lastRowLastColumn="0"/>
              <w:rPr>
                <w:noProof/>
              </w:rPr>
            </w:pPr>
            <w:r w:rsidRPr="00A76F48">
              <w:rPr>
                <w:noProof/>
              </w:rPr>
              <w:t>Implementation rate</w:t>
            </w:r>
          </w:p>
        </w:tc>
      </w:tr>
      <w:tr w:rsidR="00C8386A" w:rsidRPr="00A76F48" w14:paraId="767407DD"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1EB3299C" w14:textId="77777777" w:rsidR="00C8386A" w:rsidRPr="00A76F48" w:rsidRDefault="00C8386A" w:rsidP="0083214A">
            <w:pPr>
              <w:jc w:val="center"/>
              <w:rPr>
                <w:noProof/>
              </w:rPr>
            </w:pPr>
            <w:r w:rsidRPr="00A76F48">
              <w:rPr>
                <w:noProof/>
              </w:rPr>
              <w:t>Commitments</w:t>
            </w:r>
          </w:p>
        </w:tc>
        <w:tc>
          <w:tcPr>
            <w:tcW w:w="2410" w:type="dxa"/>
          </w:tcPr>
          <w:p w14:paraId="5A5011F3" w14:textId="77777777" w:rsidR="00C8386A" w:rsidRPr="00A76F48" w:rsidRDefault="00C8386A" w:rsidP="0083214A">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noProof/>
                <w:color w:val="000000"/>
              </w:rPr>
            </w:pPr>
            <w:r w:rsidRPr="00A76F48">
              <w:rPr>
                <w:rFonts w:ascii="Calibri" w:eastAsia="Calibri" w:hAnsi="Calibri" w:cs="Calibri"/>
                <w:noProof/>
                <w:color w:val="000000"/>
              </w:rPr>
              <w:t>106.5</w:t>
            </w:r>
          </w:p>
          <w:p w14:paraId="4CCD6DAB" w14:textId="77777777" w:rsidR="00C8386A" w:rsidRPr="00A76F48" w:rsidRDefault="00C8386A"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jc w:val="right"/>
              <w:tblLook w:val="06A0" w:firstRow="1" w:lastRow="0" w:firstColumn="1" w:lastColumn="0" w:noHBand="1" w:noVBand="1"/>
            </w:tblPr>
            <w:tblGrid>
              <w:gridCol w:w="2194"/>
            </w:tblGrid>
            <w:tr w:rsidR="00C8386A" w:rsidRPr="00A76F48" w14:paraId="4E6CE729" w14:textId="77777777" w:rsidTr="0083214A">
              <w:trPr>
                <w:trHeight w:val="285"/>
                <w:jc w:val="right"/>
              </w:trPr>
              <w:tc>
                <w:tcPr>
                  <w:tcW w:w="2290" w:type="dxa"/>
                  <w:tcBorders>
                    <w:top w:val="nil"/>
                    <w:left w:val="nil"/>
                    <w:bottom w:val="nil"/>
                    <w:right w:val="nil"/>
                  </w:tcBorders>
                  <w:vAlign w:val="bottom"/>
                </w:tcPr>
                <w:tbl>
                  <w:tblPr>
                    <w:tblStyle w:val="TableGrid"/>
                    <w:tblW w:w="0" w:type="auto"/>
                    <w:tblLook w:val="06A0" w:firstRow="1" w:lastRow="0" w:firstColumn="1" w:lastColumn="0" w:noHBand="1" w:noVBand="1"/>
                  </w:tblPr>
                  <w:tblGrid>
                    <w:gridCol w:w="1978"/>
                  </w:tblGrid>
                  <w:tr w:rsidR="00C8386A" w:rsidRPr="00A76F48" w14:paraId="7A607C74" w14:textId="77777777" w:rsidTr="0083214A">
                    <w:trPr>
                      <w:trHeight w:val="285"/>
                    </w:trPr>
                    <w:tc>
                      <w:tcPr>
                        <w:tcW w:w="2170" w:type="dxa"/>
                        <w:tcBorders>
                          <w:top w:val="nil"/>
                          <w:left w:val="nil"/>
                          <w:bottom w:val="nil"/>
                          <w:right w:val="nil"/>
                        </w:tcBorders>
                        <w:vAlign w:val="bottom"/>
                      </w:tcPr>
                      <w:p w14:paraId="7FF52384" w14:textId="2DD90066" w:rsidR="00C8386A" w:rsidRPr="00A76F48" w:rsidRDefault="00C8386A" w:rsidP="0083214A">
                        <w:pPr>
                          <w:jc w:val="right"/>
                          <w:rPr>
                            <w:noProof/>
                          </w:rPr>
                        </w:pPr>
                        <w:r w:rsidRPr="1FFC0421">
                          <w:rPr>
                            <w:rFonts w:ascii="Calibri" w:hAnsi="Calibri" w:cs="Calibri"/>
                            <w:noProof/>
                            <w:color w:val="000000"/>
                          </w:rPr>
                          <w:t>6 072.6</w:t>
                        </w:r>
                      </w:p>
                    </w:tc>
                  </w:tr>
                </w:tbl>
                <w:p w14:paraId="629377EF" w14:textId="77777777" w:rsidR="00C8386A" w:rsidRPr="00A76F48" w:rsidRDefault="00C8386A" w:rsidP="0083214A">
                  <w:pPr>
                    <w:rPr>
                      <w:rFonts w:ascii="Calibri" w:hAnsi="Calibri" w:cs="Calibri"/>
                      <w:noProof/>
                      <w:color w:val="000000"/>
                    </w:rPr>
                  </w:pPr>
                </w:p>
              </w:tc>
            </w:tr>
          </w:tbl>
          <w:p w14:paraId="42ECF9D8" w14:textId="77777777" w:rsidR="00C8386A" w:rsidRPr="00A76F48" w:rsidRDefault="00C8386A"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1839A72B" w14:textId="77777777" w:rsidR="00C8386A" w:rsidRPr="00A76F48" w:rsidRDefault="00C8386A" w:rsidP="0083214A">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noProof/>
                <w:color w:val="000000"/>
              </w:rPr>
            </w:pPr>
            <w:r w:rsidRPr="00A76F48">
              <w:rPr>
                <w:rFonts w:ascii="Calibri" w:eastAsia="Calibri" w:hAnsi="Calibri" w:cs="Calibri"/>
                <w:noProof/>
                <w:color w:val="000000"/>
              </w:rPr>
              <w:t>2%</w:t>
            </w:r>
          </w:p>
          <w:p w14:paraId="76CECBF9" w14:textId="77777777" w:rsidR="00C8386A" w:rsidRPr="00A76F48" w:rsidRDefault="00C8386A" w:rsidP="0083214A">
            <w:pPr>
              <w:jc w:val="center"/>
              <w:cnfStyle w:val="000000000000" w:firstRow="0" w:lastRow="0" w:firstColumn="0" w:lastColumn="0" w:oddVBand="0" w:evenVBand="0" w:oddHBand="0" w:evenHBand="0" w:firstRowFirstColumn="0" w:firstRowLastColumn="0" w:lastRowFirstColumn="0" w:lastRowLastColumn="0"/>
              <w:rPr>
                <w:noProof/>
              </w:rPr>
            </w:pPr>
          </w:p>
        </w:tc>
      </w:tr>
      <w:tr w:rsidR="00C8386A" w:rsidRPr="00A76F48" w14:paraId="3A813D5D"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5C5EA597" w14:textId="77777777" w:rsidR="00C8386A" w:rsidRPr="00A76F48" w:rsidRDefault="00C8386A" w:rsidP="0083214A">
            <w:pPr>
              <w:jc w:val="center"/>
              <w:rPr>
                <w:noProof/>
              </w:rPr>
            </w:pPr>
            <w:r w:rsidRPr="00A76F48">
              <w:rPr>
                <w:noProof/>
              </w:rPr>
              <w:t>Payments</w:t>
            </w:r>
          </w:p>
        </w:tc>
        <w:tc>
          <w:tcPr>
            <w:tcW w:w="2410" w:type="dxa"/>
          </w:tcPr>
          <w:tbl>
            <w:tblPr>
              <w:tblStyle w:val="TableGrid"/>
              <w:tblW w:w="0" w:type="auto"/>
              <w:tblLook w:val="06A0" w:firstRow="1" w:lastRow="0" w:firstColumn="1" w:lastColumn="0" w:noHBand="1" w:noVBand="1"/>
            </w:tblPr>
            <w:tblGrid>
              <w:gridCol w:w="2194"/>
            </w:tblGrid>
            <w:tr w:rsidR="00C8386A" w:rsidRPr="00A76F48" w14:paraId="3E414693" w14:textId="77777777" w:rsidTr="0083214A">
              <w:trPr>
                <w:trHeight w:val="285"/>
              </w:trPr>
              <w:tc>
                <w:tcPr>
                  <w:tcW w:w="2290" w:type="dxa"/>
                  <w:tcBorders>
                    <w:top w:val="nil"/>
                    <w:left w:val="nil"/>
                    <w:bottom w:val="nil"/>
                    <w:right w:val="nil"/>
                  </w:tcBorders>
                  <w:vAlign w:val="bottom"/>
                </w:tcPr>
                <w:p w14:paraId="360378E2" w14:textId="77777777" w:rsidR="00C8386A" w:rsidRPr="00A76F48" w:rsidRDefault="00C8386A" w:rsidP="0083214A">
                  <w:pPr>
                    <w:jc w:val="right"/>
                    <w:rPr>
                      <w:noProof/>
                    </w:rPr>
                  </w:pPr>
                  <w:r w:rsidRPr="00A76F48">
                    <w:rPr>
                      <w:rFonts w:ascii="Calibri" w:hAnsi="Calibri" w:cs="Calibri"/>
                      <w:noProof/>
                      <w:color w:val="000000"/>
                    </w:rPr>
                    <w:t>11.1</w:t>
                  </w:r>
                </w:p>
              </w:tc>
            </w:tr>
          </w:tbl>
          <w:p w14:paraId="693D5263" w14:textId="77777777" w:rsidR="00C8386A" w:rsidRPr="00A76F48" w:rsidRDefault="00C8386A"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708E89C3" w14:textId="77777777" w:rsidR="00C8386A" w:rsidRPr="00A76F48" w:rsidRDefault="00C8386A"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C8386A" w:rsidRPr="00A76F48" w14:paraId="0CE76068" w14:textId="77777777" w:rsidTr="0083214A">
              <w:trPr>
                <w:trHeight w:val="285"/>
              </w:trPr>
              <w:tc>
                <w:tcPr>
                  <w:tcW w:w="2235" w:type="dxa"/>
                  <w:tcBorders>
                    <w:top w:val="nil"/>
                    <w:left w:val="nil"/>
                    <w:bottom w:val="nil"/>
                    <w:right w:val="nil"/>
                  </w:tcBorders>
                  <w:vAlign w:val="bottom"/>
                </w:tcPr>
                <w:p w14:paraId="2747E9F7" w14:textId="77777777" w:rsidR="00C8386A" w:rsidRPr="00A76F48" w:rsidRDefault="00C8386A" w:rsidP="0083214A">
                  <w:pPr>
                    <w:ind w:right="-79"/>
                    <w:jc w:val="right"/>
                    <w:rPr>
                      <w:noProof/>
                    </w:rPr>
                  </w:pPr>
                  <w:r w:rsidRPr="00A76F48">
                    <w:rPr>
                      <w:rFonts w:ascii="Calibri" w:hAnsi="Calibri" w:cs="Calibri"/>
                      <w:noProof/>
                      <w:color w:val="000000"/>
                    </w:rPr>
                    <w:t>0%</w:t>
                  </w:r>
                </w:p>
              </w:tc>
            </w:tr>
          </w:tbl>
          <w:p w14:paraId="236A27B0" w14:textId="77777777" w:rsidR="00C8386A" w:rsidRPr="00A76F48" w:rsidRDefault="00C8386A" w:rsidP="0083214A">
            <w:pPr>
              <w:jc w:val="center"/>
              <w:cnfStyle w:val="000000000000" w:firstRow="0" w:lastRow="0" w:firstColumn="0" w:lastColumn="0" w:oddVBand="0" w:evenVBand="0" w:oddHBand="0" w:evenHBand="0" w:firstRowFirstColumn="0" w:firstRowLastColumn="0" w:lastRowFirstColumn="0" w:lastRowLastColumn="0"/>
              <w:rPr>
                <w:noProof/>
              </w:rPr>
            </w:pPr>
          </w:p>
        </w:tc>
      </w:tr>
    </w:tbl>
    <w:p w14:paraId="0B1BFBFE" w14:textId="77777777" w:rsidR="00C8386A" w:rsidRPr="00A76F48" w:rsidRDefault="00C8386A" w:rsidP="00C8386A">
      <w:pPr>
        <w:pStyle w:val="ppoTableTabletitle"/>
        <w:rPr>
          <w:b/>
          <w:noProof/>
        </w:rPr>
      </w:pPr>
      <w:r w:rsidRPr="00A76F48">
        <w:rPr>
          <w:noProof/>
        </w:rPr>
        <w:t>Voted budget implementation in 2021 (million EUR):</w:t>
      </w:r>
    </w:p>
    <w:tbl>
      <w:tblPr>
        <w:tblStyle w:val="PPO2021"/>
        <w:tblW w:w="3683" w:type="pct"/>
        <w:tblInd w:w="79" w:type="dxa"/>
        <w:tblLook w:val="04A0" w:firstRow="1" w:lastRow="0" w:firstColumn="1" w:lastColumn="0" w:noHBand="0" w:noVBand="1"/>
      </w:tblPr>
      <w:tblGrid>
        <w:gridCol w:w="2419"/>
        <w:gridCol w:w="2419"/>
        <w:gridCol w:w="2420"/>
      </w:tblGrid>
      <w:tr w:rsidR="00C8386A" w:rsidRPr="00A76F48" w14:paraId="514CEC72" w14:textId="77777777" w:rsidTr="008321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4B9F05A1" w14:textId="77777777" w:rsidR="00C8386A" w:rsidRPr="00A76F48" w:rsidRDefault="00C8386A" w:rsidP="0083214A">
            <w:pPr>
              <w:rPr>
                <w:noProof/>
              </w:rPr>
            </w:pPr>
          </w:p>
        </w:tc>
        <w:tc>
          <w:tcPr>
            <w:tcW w:w="2419" w:type="dxa"/>
          </w:tcPr>
          <w:p w14:paraId="2EA7E0D5" w14:textId="77777777" w:rsidR="00C8386A" w:rsidRPr="00A76F48" w:rsidRDefault="00C8386A" w:rsidP="0083214A">
            <w:pPr>
              <w:cnfStyle w:val="100000000000" w:firstRow="1" w:lastRow="0" w:firstColumn="0" w:lastColumn="0" w:oddVBand="0" w:evenVBand="0" w:oddHBand="0" w:evenHBand="0" w:firstRowFirstColumn="0" w:firstRowLastColumn="0" w:lastRowFirstColumn="0" w:lastRowLastColumn="0"/>
              <w:rPr>
                <w:noProof/>
              </w:rPr>
            </w:pPr>
            <w:r w:rsidRPr="00A76F48">
              <w:rPr>
                <w:noProof/>
              </w:rPr>
              <w:t>Voted budget implementation</w:t>
            </w:r>
          </w:p>
        </w:tc>
        <w:tc>
          <w:tcPr>
            <w:tcW w:w="2420" w:type="dxa"/>
          </w:tcPr>
          <w:p w14:paraId="79692211" w14:textId="77777777" w:rsidR="00C8386A" w:rsidRPr="00A76F48" w:rsidRDefault="00C8386A" w:rsidP="0083214A">
            <w:pPr>
              <w:cnfStyle w:val="100000000000" w:firstRow="1" w:lastRow="0" w:firstColumn="0" w:lastColumn="0" w:oddVBand="0" w:evenVBand="0" w:oddHBand="0" w:evenHBand="0" w:firstRowFirstColumn="0" w:firstRowLastColumn="0" w:lastRowFirstColumn="0" w:lastRowLastColumn="0"/>
              <w:rPr>
                <w:noProof/>
              </w:rPr>
            </w:pPr>
            <w:r w:rsidRPr="00A76F48">
              <w:rPr>
                <w:noProof/>
              </w:rPr>
              <w:t>Initial voted budget</w:t>
            </w:r>
          </w:p>
        </w:tc>
      </w:tr>
      <w:tr w:rsidR="00C8386A" w:rsidRPr="00A76F48" w14:paraId="1E518FC8" w14:textId="77777777" w:rsidTr="0083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0F17BE70" w14:textId="77777777" w:rsidR="00C8386A" w:rsidRPr="00A76F48" w:rsidRDefault="00C8386A" w:rsidP="0083214A">
            <w:pPr>
              <w:jc w:val="center"/>
              <w:rPr>
                <w:noProof/>
              </w:rPr>
            </w:pPr>
            <w:r w:rsidRPr="00A76F48">
              <w:rPr>
                <w:noProof/>
              </w:rPr>
              <w:t>Commitments</w:t>
            </w:r>
          </w:p>
        </w:tc>
        <w:tc>
          <w:tcPr>
            <w:tcW w:w="2419" w:type="dxa"/>
          </w:tcPr>
          <w:p w14:paraId="1CF18D2E" w14:textId="77777777" w:rsidR="00C8386A" w:rsidRPr="00A76F48" w:rsidRDefault="00C8386A" w:rsidP="0083214A">
            <w:pPr>
              <w:jc w:val="right"/>
              <w:cnfStyle w:val="000000100000" w:firstRow="0" w:lastRow="0" w:firstColumn="0" w:lastColumn="0" w:oddVBand="0" w:evenVBand="0" w:oddHBand="1" w:evenHBand="0" w:firstRowFirstColumn="0" w:firstRowLastColumn="0" w:lastRowFirstColumn="0" w:lastRowLastColumn="0"/>
              <w:rPr>
                <w:noProof/>
              </w:rPr>
            </w:pPr>
            <w:r w:rsidRPr="00A76F48">
              <w:rPr>
                <w:noProof/>
              </w:rPr>
              <w:t>106.5</w:t>
            </w:r>
          </w:p>
        </w:tc>
        <w:tc>
          <w:tcPr>
            <w:tcW w:w="2420" w:type="dxa"/>
          </w:tcPr>
          <w:p w14:paraId="79C1E3EA" w14:textId="77777777" w:rsidR="00C8386A" w:rsidRPr="00A76F48" w:rsidRDefault="00C8386A" w:rsidP="0083214A">
            <w:pPr>
              <w:jc w:val="right"/>
              <w:cnfStyle w:val="000000100000" w:firstRow="0" w:lastRow="0" w:firstColumn="0" w:lastColumn="0" w:oddVBand="0" w:evenVBand="0" w:oddHBand="1" w:evenHBand="0" w:firstRowFirstColumn="0" w:firstRowLastColumn="0" w:lastRowFirstColumn="0" w:lastRowLastColumn="0"/>
              <w:rPr>
                <w:noProof/>
              </w:rPr>
            </w:pPr>
            <w:r w:rsidRPr="00A76F48">
              <w:rPr>
                <w:noProof/>
              </w:rPr>
              <w:t>760.7</w:t>
            </w:r>
          </w:p>
        </w:tc>
      </w:tr>
      <w:tr w:rsidR="00C8386A" w:rsidRPr="00A76F48" w14:paraId="7DE7350D" w14:textId="77777777" w:rsidTr="00832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3A05A43A" w14:textId="77777777" w:rsidR="00C8386A" w:rsidRPr="00A76F48" w:rsidRDefault="00C8386A" w:rsidP="0083214A">
            <w:pPr>
              <w:jc w:val="center"/>
              <w:rPr>
                <w:noProof/>
              </w:rPr>
            </w:pPr>
            <w:r w:rsidRPr="00A76F48">
              <w:rPr>
                <w:noProof/>
              </w:rPr>
              <w:t>Payments</w:t>
            </w:r>
          </w:p>
        </w:tc>
        <w:tc>
          <w:tcPr>
            <w:tcW w:w="2419" w:type="dxa"/>
          </w:tcPr>
          <w:p w14:paraId="057A243C" w14:textId="77777777" w:rsidR="00C8386A" w:rsidRPr="00A76F48" w:rsidRDefault="00C8386A" w:rsidP="0083214A">
            <w:pPr>
              <w:jc w:val="right"/>
              <w:cnfStyle w:val="000000010000" w:firstRow="0" w:lastRow="0" w:firstColumn="0" w:lastColumn="0" w:oddVBand="0" w:evenVBand="0" w:oddHBand="0" w:evenHBand="1" w:firstRowFirstColumn="0" w:firstRowLastColumn="0" w:lastRowFirstColumn="0" w:lastRowLastColumn="0"/>
              <w:rPr>
                <w:noProof/>
              </w:rPr>
            </w:pPr>
            <w:r w:rsidRPr="00A76F48">
              <w:rPr>
                <w:noProof/>
              </w:rPr>
              <w:t>11.1</w:t>
            </w:r>
          </w:p>
        </w:tc>
        <w:tc>
          <w:tcPr>
            <w:tcW w:w="2420" w:type="dxa"/>
          </w:tcPr>
          <w:p w14:paraId="39CCB923" w14:textId="77777777" w:rsidR="00C8386A" w:rsidRPr="00A76F48" w:rsidRDefault="00C8386A" w:rsidP="0083214A">
            <w:pPr>
              <w:jc w:val="right"/>
              <w:cnfStyle w:val="000000010000" w:firstRow="0" w:lastRow="0" w:firstColumn="0" w:lastColumn="0" w:oddVBand="0" w:evenVBand="0" w:oddHBand="0" w:evenHBand="1" w:firstRowFirstColumn="0" w:firstRowLastColumn="0" w:lastRowFirstColumn="0" w:lastRowLastColumn="0"/>
              <w:rPr>
                <w:noProof/>
              </w:rPr>
            </w:pPr>
            <w:r w:rsidRPr="00A76F48">
              <w:rPr>
                <w:noProof/>
              </w:rPr>
              <w:t>53.0</w:t>
            </w:r>
          </w:p>
        </w:tc>
      </w:tr>
    </w:tbl>
    <w:p w14:paraId="29EB1C8D" w14:textId="77777777" w:rsidR="00C8386A" w:rsidRPr="00A76F48" w:rsidRDefault="00C8386A" w:rsidP="00C8386A">
      <w:pPr>
        <w:pStyle w:val="ppoListHyphened-L1"/>
        <w:rPr>
          <w:noProof/>
        </w:rPr>
      </w:pPr>
      <w:r w:rsidRPr="00A76F48">
        <w:rPr>
          <w:noProof/>
        </w:rPr>
        <w:t xml:space="preserve">With regard to </w:t>
      </w:r>
      <w:r w:rsidRPr="00EB2E5B">
        <w:rPr>
          <w:bCs/>
          <w:noProof/>
        </w:rPr>
        <w:t>shared management</w:t>
      </w:r>
      <w:r w:rsidRPr="00A76F48">
        <w:rPr>
          <w:noProof/>
        </w:rPr>
        <w:t>, the EMFAF regulation and the common provisions regulation were both only adopted in mid 2021. Although drafts of 2021-2027 programmes had been submitted beforehand, experience from previous programming periods shows that the process leading to their final adoption may last up to 2</w:t>
      </w:r>
      <w:r w:rsidRPr="00A76F48">
        <w:rPr>
          <w:rFonts w:ascii="Calibri" w:hAnsi="Calibri" w:cs="Calibri"/>
          <w:noProof/>
        </w:rPr>
        <w:t> </w:t>
      </w:r>
      <w:r w:rsidRPr="00A76F48">
        <w:rPr>
          <w:noProof/>
        </w:rPr>
        <w:t>years. The EMFAF programming process was also slowed by the delayed work on partnership agreements, the emphasis given to the preparation of Recovery and Resilience Facility plans and the focus of the most impacted Member States on Brexit Adjustment Reserve support.</w:t>
      </w:r>
    </w:p>
    <w:p w14:paraId="3BB30532" w14:textId="77777777" w:rsidR="00C8386A" w:rsidRPr="00A76F48" w:rsidRDefault="00C8386A" w:rsidP="00C8386A">
      <w:pPr>
        <w:pStyle w:val="ppoListHyphened-L1"/>
        <w:rPr>
          <w:noProof/>
        </w:rPr>
      </w:pPr>
      <w:r w:rsidRPr="00A76F48">
        <w:rPr>
          <w:noProof/>
        </w:rPr>
        <w:t>The successful implementation of fisheries, aquaculture and maritime policies and the development of coastal communities continue, as Member States also remain focused on the disbursement of EMFF funds.</w:t>
      </w:r>
    </w:p>
    <w:p w14:paraId="5DDB1CF0" w14:textId="77777777" w:rsidR="00C8386A" w:rsidRPr="00A76F48" w:rsidRDefault="00C8386A" w:rsidP="00C8386A">
      <w:pPr>
        <w:pStyle w:val="ppoListHyphened-L1"/>
        <w:rPr>
          <w:noProof/>
        </w:rPr>
      </w:pPr>
      <w:r w:rsidRPr="00A76F48">
        <w:rPr>
          <w:noProof/>
        </w:rPr>
        <w:t xml:space="preserve">When it comes to EMFAF </w:t>
      </w:r>
      <w:r w:rsidRPr="00EB2E5B">
        <w:rPr>
          <w:bCs/>
          <w:noProof/>
        </w:rPr>
        <w:t>direct/indirect management</w:t>
      </w:r>
      <w:r w:rsidRPr="00A76F48">
        <w:rPr>
          <w:noProof/>
        </w:rPr>
        <w:t>, 98% of the budgetary appropriations have been implemented, thus achieving all of the objectives of the underlying work programmes. This has resulted in various initiatives launched in the fields of maritime policy, scientific advice, international ocean governance, voluntary contributions to regional fisheries organisations and contributions to the initiatives managed by the United Nations agencies. The multiannual financial programming for the period until 2027 provides for a horizontal financing trend, with no big fluctuations.</w:t>
      </w:r>
    </w:p>
    <w:p w14:paraId="39F211DB" w14:textId="77777777" w:rsidR="00C8386A" w:rsidRPr="00A76F48" w:rsidRDefault="00C8386A" w:rsidP="00C8386A">
      <w:pPr>
        <w:pStyle w:val="ppoHeading5"/>
        <w:rPr>
          <w:noProof/>
        </w:rPr>
      </w:pPr>
      <w:r w:rsidRPr="00A76F48">
        <w:rPr>
          <w:noProof/>
        </w:rPr>
        <w:t>Contribution to horizontal priorities</w:t>
      </w:r>
    </w:p>
    <w:p w14:paraId="16A3E344" w14:textId="77777777" w:rsidR="00C8386A" w:rsidRPr="00A76F48" w:rsidRDefault="00C8386A" w:rsidP="00C8386A">
      <w:pPr>
        <w:pStyle w:val="ppoTableTabletitle"/>
        <w:rPr>
          <w:noProof/>
        </w:rPr>
      </w:pPr>
      <w:r w:rsidRPr="00A76F48">
        <w:rPr>
          <w:noProof/>
        </w:rPr>
        <w:t>EU budget contribution in 2021 (million EUR):</w:t>
      </w:r>
    </w:p>
    <w:tbl>
      <w:tblPr>
        <w:tblStyle w:val="PPO2021"/>
        <w:tblW w:w="9639" w:type="dxa"/>
        <w:tblInd w:w="0" w:type="dxa"/>
        <w:tblLook w:val="0420" w:firstRow="1" w:lastRow="0" w:firstColumn="0" w:lastColumn="0" w:noHBand="0" w:noVBand="1"/>
      </w:tblPr>
      <w:tblGrid>
        <w:gridCol w:w="3213"/>
        <w:gridCol w:w="3213"/>
        <w:gridCol w:w="3213"/>
      </w:tblGrid>
      <w:tr w:rsidR="00C8386A" w:rsidRPr="00A76F48" w14:paraId="1903008E" w14:textId="77777777" w:rsidTr="0083214A">
        <w:trPr>
          <w:cnfStyle w:val="100000000000" w:firstRow="1" w:lastRow="0" w:firstColumn="0" w:lastColumn="0" w:oddVBand="0" w:evenVBand="0" w:oddHBand="0" w:evenHBand="0" w:firstRowFirstColumn="0" w:firstRowLastColumn="0" w:lastRowFirstColumn="0" w:lastRowLastColumn="0"/>
          <w:tblHeader/>
        </w:trPr>
        <w:tc>
          <w:tcPr>
            <w:tcW w:w="3213" w:type="dxa"/>
          </w:tcPr>
          <w:p w14:paraId="28525FFA" w14:textId="77777777" w:rsidR="00C8386A" w:rsidRPr="00A76F48" w:rsidRDefault="00C8386A" w:rsidP="0083214A">
            <w:pPr>
              <w:rPr>
                <w:noProof/>
              </w:rPr>
            </w:pPr>
            <w:r w:rsidRPr="00A76F48">
              <w:rPr>
                <w:noProof/>
              </w:rPr>
              <w:t>Climate</w:t>
            </w:r>
          </w:p>
        </w:tc>
        <w:tc>
          <w:tcPr>
            <w:tcW w:w="3213" w:type="dxa"/>
          </w:tcPr>
          <w:p w14:paraId="7B38BD1A" w14:textId="77777777" w:rsidR="00C8386A" w:rsidRPr="00A76F48" w:rsidRDefault="00C8386A" w:rsidP="0083214A">
            <w:pPr>
              <w:rPr>
                <w:noProof/>
              </w:rPr>
            </w:pPr>
            <w:r w:rsidRPr="00A76F48">
              <w:rPr>
                <w:noProof/>
              </w:rPr>
              <w:t>Biodiversity</w:t>
            </w:r>
          </w:p>
        </w:tc>
        <w:tc>
          <w:tcPr>
            <w:tcW w:w="3213" w:type="dxa"/>
          </w:tcPr>
          <w:p w14:paraId="4ABB92FE" w14:textId="77777777" w:rsidR="00C8386A" w:rsidRPr="00A76F48" w:rsidRDefault="00C8386A" w:rsidP="0083214A">
            <w:pPr>
              <w:rPr>
                <w:noProof/>
              </w:rPr>
            </w:pPr>
            <w:r w:rsidRPr="00A76F48">
              <w:rPr>
                <w:noProof/>
              </w:rPr>
              <w:t>Gender equality (*)</w:t>
            </w:r>
          </w:p>
        </w:tc>
      </w:tr>
      <w:tr w:rsidR="00C8386A" w:rsidRPr="00A76F48" w14:paraId="41FA08B8" w14:textId="77777777" w:rsidTr="0083214A">
        <w:trPr>
          <w:cnfStyle w:val="000000100000" w:firstRow="0" w:lastRow="0" w:firstColumn="0" w:lastColumn="0" w:oddVBand="0" w:evenVBand="0" w:oddHBand="1" w:evenHBand="0" w:firstRowFirstColumn="0" w:firstRowLastColumn="0" w:lastRowFirstColumn="0" w:lastRowLastColumn="0"/>
        </w:trPr>
        <w:tc>
          <w:tcPr>
            <w:tcW w:w="3213" w:type="dxa"/>
          </w:tcPr>
          <w:tbl>
            <w:tblPr>
              <w:tblStyle w:val="TableGrid"/>
              <w:tblW w:w="0" w:type="auto"/>
              <w:tblLook w:val="06A0" w:firstRow="1" w:lastRow="0" w:firstColumn="1" w:lastColumn="0" w:noHBand="1" w:noVBand="1"/>
            </w:tblPr>
            <w:tblGrid>
              <w:gridCol w:w="1935"/>
            </w:tblGrid>
            <w:tr w:rsidR="00C8386A" w:rsidRPr="00A76F48" w14:paraId="5BAB4A7E" w14:textId="77777777" w:rsidTr="0083214A">
              <w:trPr>
                <w:trHeight w:val="285"/>
              </w:trPr>
              <w:tc>
                <w:tcPr>
                  <w:tcW w:w="1935" w:type="dxa"/>
                  <w:tcBorders>
                    <w:top w:val="nil"/>
                    <w:left w:val="nil"/>
                    <w:bottom w:val="nil"/>
                    <w:right w:val="nil"/>
                  </w:tcBorders>
                  <w:vAlign w:val="bottom"/>
                </w:tcPr>
                <w:p w14:paraId="2338F8BE" w14:textId="2C7610DD" w:rsidR="00C8386A" w:rsidRPr="00A76F48" w:rsidRDefault="00C8386A" w:rsidP="0083214A">
                  <w:pPr>
                    <w:jc w:val="right"/>
                    <w:rPr>
                      <w:noProof/>
                    </w:rPr>
                  </w:pPr>
                  <w:r w:rsidRPr="00A76F48">
                    <w:rPr>
                      <w:rFonts w:ascii="Calibri" w:hAnsi="Calibri" w:cs="Calibri"/>
                      <w:noProof/>
                      <w:color w:val="000000"/>
                    </w:rPr>
                    <w:t>4</w:t>
                  </w:r>
                  <w:r w:rsidR="00194625">
                    <w:rPr>
                      <w:rFonts w:ascii="Calibri" w:hAnsi="Calibri" w:cs="Calibri"/>
                      <w:noProof/>
                      <w:color w:val="000000"/>
                    </w:rPr>
                    <w:t>8.37</w:t>
                  </w:r>
                </w:p>
              </w:tc>
            </w:tr>
          </w:tbl>
          <w:p w14:paraId="5555A9D3" w14:textId="77777777" w:rsidR="00C8386A" w:rsidRPr="00A76F48" w:rsidRDefault="00C8386A" w:rsidP="0083214A">
            <w:pPr>
              <w:jc w:val="center"/>
              <w:rPr>
                <w:noProof/>
              </w:rPr>
            </w:pPr>
          </w:p>
        </w:tc>
        <w:tc>
          <w:tcPr>
            <w:tcW w:w="3213" w:type="dxa"/>
          </w:tcPr>
          <w:p w14:paraId="5260ECA0" w14:textId="77777777" w:rsidR="00C8386A" w:rsidRPr="00A76F48" w:rsidRDefault="00C8386A" w:rsidP="0083214A">
            <w:pPr>
              <w:jc w:val="center"/>
              <w:rPr>
                <w:noProof/>
              </w:rPr>
            </w:pPr>
            <w:r w:rsidRPr="00A76F48">
              <w:rPr>
                <w:noProof/>
              </w:rPr>
              <w:t>16.79</w:t>
            </w:r>
          </w:p>
        </w:tc>
        <w:tc>
          <w:tcPr>
            <w:tcW w:w="3213" w:type="dxa"/>
          </w:tcPr>
          <w:p w14:paraId="6B62A252" w14:textId="3FE4F8D4" w:rsidR="00C8386A" w:rsidRPr="00A76F48" w:rsidRDefault="00C8386A" w:rsidP="0083214A">
            <w:pPr>
              <w:jc w:val="center"/>
              <w:rPr>
                <w:noProof/>
              </w:rPr>
            </w:pPr>
            <w:r w:rsidRPr="00A76F48">
              <w:rPr>
                <w:noProof/>
              </w:rPr>
              <w:t xml:space="preserve">Score 0*: </w:t>
            </w:r>
            <w:r w:rsidR="00283F23">
              <w:rPr>
                <w:noProof/>
              </w:rPr>
              <w:t>106.5</w:t>
            </w:r>
          </w:p>
        </w:tc>
      </w:tr>
    </w:tbl>
    <w:p w14:paraId="302D4819" w14:textId="77777777" w:rsidR="00C8386A" w:rsidRPr="00A76F48" w:rsidRDefault="00C8386A" w:rsidP="00C8386A">
      <w:pPr>
        <w:pStyle w:val="FootnoteText"/>
        <w:rPr>
          <w:noProof/>
        </w:rPr>
      </w:pPr>
      <w:r w:rsidRPr="00A76F48">
        <w:rPr>
          <w:noProof/>
        </w:rPr>
        <w:t>(*)</w:t>
      </w:r>
      <w:r w:rsidRPr="00A76F48">
        <w:rPr>
          <w:noProof/>
        </w:rPr>
        <w:tab/>
        <w:t>Based on the applied gender contribution methodology, the following scores are attributed at the most granular level of intervention possible:</w:t>
      </w:r>
    </w:p>
    <w:p w14:paraId="5433A4F9" w14:textId="77777777" w:rsidR="00C8386A" w:rsidRPr="00A76F48" w:rsidRDefault="00C8386A" w:rsidP="00C8386A">
      <w:pPr>
        <w:pStyle w:val="FootnoteText"/>
        <w:numPr>
          <w:ilvl w:val="0"/>
          <w:numId w:val="38"/>
        </w:numPr>
        <w:spacing w:after="60" w:line="264" w:lineRule="auto"/>
        <w:jc w:val="left"/>
        <w:rPr>
          <w:noProof/>
        </w:rPr>
      </w:pPr>
      <w:r w:rsidRPr="00A76F48">
        <w:rPr>
          <w:noProof/>
        </w:rPr>
        <w:t>2: interventions the principal objective of which is to improve gender equality;</w:t>
      </w:r>
    </w:p>
    <w:p w14:paraId="5C4CBFA5" w14:textId="77777777" w:rsidR="00C8386A" w:rsidRPr="00A76F48" w:rsidRDefault="00C8386A" w:rsidP="00C8386A">
      <w:pPr>
        <w:pStyle w:val="FootnoteText"/>
        <w:numPr>
          <w:ilvl w:val="0"/>
          <w:numId w:val="38"/>
        </w:numPr>
        <w:spacing w:after="60" w:line="264" w:lineRule="auto"/>
        <w:jc w:val="left"/>
        <w:rPr>
          <w:noProof/>
        </w:rPr>
      </w:pPr>
      <w:r w:rsidRPr="00A76F48">
        <w:rPr>
          <w:noProof/>
        </w:rPr>
        <w:t>1: interventions that have gender equality as an important and deliberate objective but not as the main reason for the intervention;</w:t>
      </w:r>
    </w:p>
    <w:p w14:paraId="0760F8F5" w14:textId="77777777" w:rsidR="00C8386A" w:rsidRPr="00A76F48" w:rsidRDefault="00C8386A" w:rsidP="00C8386A">
      <w:pPr>
        <w:pStyle w:val="FootnoteText"/>
        <w:numPr>
          <w:ilvl w:val="0"/>
          <w:numId w:val="38"/>
        </w:numPr>
        <w:spacing w:after="60" w:line="264" w:lineRule="auto"/>
        <w:jc w:val="left"/>
        <w:rPr>
          <w:noProof/>
        </w:rPr>
      </w:pPr>
      <w:r w:rsidRPr="00A76F48">
        <w:rPr>
          <w:noProof/>
        </w:rPr>
        <w:t>0: non-targeted interventions;</w:t>
      </w:r>
    </w:p>
    <w:p w14:paraId="2E3B8494" w14:textId="77777777" w:rsidR="00C8386A" w:rsidRPr="00A76F48" w:rsidRDefault="00C8386A" w:rsidP="00C8386A">
      <w:pPr>
        <w:pStyle w:val="FootnoteText"/>
        <w:numPr>
          <w:ilvl w:val="0"/>
          <w:numId w:val="38"/>
        </w:numPr>
        <w:spacing w:after="60" w:line="264" w:lineRule="auto"/>
        <w:jc w:val="left"/>
        <w:rPr>
          <w:noProof/>
        </w:rPr>
      </w:pPr>
      <w:r w:rsidRPr="00A76F48">
        <w:rPr>
          <w:noProof/>
        </w:rPr>
        <w:t>0*: score to be assigned to interventions with a likely but not yet clear positive impact on gender equality.</w:t>
      </w:r>
    </w:p>
    <w:p w14:paraId="3C59F6BC" w14:textId="77777777" w:rsidR="00C8386A" w:rsidRPr="00A76F48" w:rsidRDefault="00C8386A" w:rsidP="00C8386A">
      <w:pPr>
        <w:pStyle w:val="ppoHeading5"/>
        <w:rPr>
          <w:noProof/>
        </w:rPr>
      </w:pPr>
      <w:r w:rsidRPr="00A76F48">
        <w:rPr>
          <w:noProof/>
        </w:rPr>
        <w:t>Performance assessment</w:t>
      </w:r>
    </w:p>
    <w:p w14:paraId="625B6363" w14:textId="77777777" w:rsidR="00C8386A" w:rsidRPr="00A76F48" w:rsidRDefault="00C8386A" w:rsidP="00C8386A">
      <w:pPr>
        <w:keepNext/>
        <w:keepLines/>
        <w:spacing w:before="240"/>
        <w:ind w:left="357"/>
        <w:outlineLvl w:val="5"/>
        <w:rPr>
          <w:rFonts w:eastAsiaTheme="majorEastAsia" w:cstheme="majorBidi"/>
          <w:caps/>
          <w:noProof/>
          <w:sz w:val="32"/>
          <w:szCs w:val="24"/>
          <w:lang w:eastAsia="en-GB"/>
        </w:rPr>
      </w:pPr>
      <w:r w:rsidRPr="00A76F48">
        <w:rPr>
          <w:rFonts w:eastAsiaTheme="majorEastAsia" w:cstheme="majorBidi"/>
          <w:caps/>
          <w:noProof/>
          <w:sz w:val="32"/>
          <w:szCs w:val="24"/>
          <w:lang w:eastAsia="en-GB"/>
        </w:rPr>
        <w:t>Key performance indicators</w:t>
      </w:r>
      <w:r w:rsidRPr="00A76F48">
        <w:rPr>
          <w:rFonts w:ascii="Calibri" w:eastAsiaTheme="majorEastAsia" w:hAnsi="Calibri" w:cs="Calibri"/>
          <w:caps/>
          <w:noProof/>
          <w:sz w:val="32"/>
          <w:szCs w:val="24"/>
          <w:lang w:eastAsia="en-GB"/>
        </w:rPr>
        <w:t> (</w:t>
      </w:r>
      <w:r w:rsidRPr="00A76F48">
        <w:rPr>
          <w:rFonts w:eastAsiaTheme="majorEastAsia" w:cstheme="majorBidi"/>
          <w:caps/>
          <w:noProof/>
          <w:sz w:val="32"/>
          <w:szCs w:val="24"/>
          <w:lang w:eastAsia="en-GB"/>
        </w:rPr>
        <w:t>*)</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C8386A" w:rsidRPr="00A76F48" w14:paraId="5D39700B" w14:textId="77777777" w:rsidTr="00244B68">
        <w:trPr>
          <w:cnfStyle w:val="100000000000" w:firstRow="1" w:lastRow="0" w:firstColumn="0" w:lastColumn="0" w:oddVBand="0" w:evenVBand="0" w:oddHBand="0" w:evenHBand="0" w:firstRowFirstColumn="0" w:firstRowLastColumn="0" w:lastRowFirstColumn="0" w:lastRowLastColumn="0"/>
        </w:trPr>
        <w:tc>
          <w:tcPr>
            <w:tcW w:w="2330" w:type="dxa"/>
          </w:tcPr>
          <w:p w14:paraId="6700A5AE" w14:textId="77777777" w:rsidR="00C8386A" w:rsidRPr="00A76F48" w:rsidRDefault="00C8386A" w:rsidP="0083214A">
            <w:pPr>
              <w:rPr>
                <w:noProof/>
              </w:rPr>
            </w:pPr>
          </w:p>
        </w:tc>
        <w:tc>
          <w:tcPr>
            <w:tcW w:w="1100" w:type="dxa"/>
          </w:tcPr>
          <w:p w14:paraId="1EE0E073" w14:textId="77777777" w:rsidR="00C8386A" w:rsidRPr="00A76F48" w:rsidRDefault="00C8386A" w:rsidP="0083214A">
            <w:pPr>
              <w:rPr>
                <w:noProof/>
              </w:rPr>
            </w:pPr>
            <w:r w:rsidRPr="00A76F48">
              <w:rPr>
                <w:noProof/>
              </w:rPr>
              <w:t>Baseline</w:t>
            </w:r>
          </w:p>
        </w:tc>
        <w:tc>
          <w:tcPr>
            <w:tcW w:w="1526" w:type="dxa"/>
          </w:tcPr>
          <w:p w14:paraId="340F6642" w14:textId="77777777" w:rsidR="00C8386A" w:rsidRPr="00EB2E5B" w:rsidRDefault="00C8386A" w:rsidP="0083214A">
            <w:pPr>
              <w:rPr>
                <w:rFonts w:ascii="Calibri" w:hAnsi="Calibri" w:cs="Calibri"/>
                <w:noProof/>
              </w:rPr>
            </w:pPr>
            <w:r w:rsidRPr="00A76F48">
              <w:rPr>
                <w:noProof/>
              </w:rPr>
              <w:t>Progress</w:t>
            </w:r>
          </w:p>
        </w:tc>
        <w:tc>
          <w:tcPr>
            <w:tcW w:w="1532" w:type="dxa"/>
          </w:tcPr>
          <w:p w14:paraId="4DD2BA95" w14:textId="77777777" w:rsidR="00C8386A" w:rsidRPr="00A76F48" w:rsidRDefault="00C8386A" w:rsidP="0083214A">
            <w:pPr>
              <w:rPr>
                <w:noProof/>
              </w:rPr>
            </w:pPr>
            <w:r w:rsidRPr="00A76F48">
              <w:rPr>
                <w:noProof/>
              </w:rPr>
              <w:t>Target</w:t>
            </w:r>
          </w:p>
        </w:tc>
        <w:tc>
          <w:tcPr>
            <w:tcW w:w="1572" w:type="dxa"/>
          </w:tcPr>
          <w:p w14:paraId="284CC058" w14:textId="77777777" w:rsidR="00C8386A" w:rsidRPr="00A76F48" w:rsidRDefault="00C8386A" w:rsidP="0083214A">
            <w:pPr>
              <w:rPr>
                <w:noProof/>
              </w:rPr>
            </w:pPr>
            <w:r w:rsidRPr="00A76F48">
              <w:rPr>
                <w:noProof/>
              </w:rPr>
              <w:t>Results</w:t>
            </w:r>
          </w:p>
        </w:tc>
        <w:tc>
          <w:tcPr>
            <w:tcW w:w="1579" w:type="dxa"/>
          </w:tcPr>
          <w:p w14:paraId="237BBE1F" w14:textId="77777777" w:rsidR="00C8386A" w:rsidRPr="00A76F48" w:rsidRDefault="00C8386A" w:rsidP="0083214A">
            <w:pPr>
              <w:rPr>
                <w:noProof/>
              </w:rPr>
            </w:pPr>
            <w:r w:rsidRPr="00A76F48">
              <w:rPr>
                <w:noProof/>
              </w:rPr>
              <w:t>Assessment</w:t>
            </w:r>
          </w:p>
        </w:tc>
      </w:tr>
      <w:tr w:rsidR="00C8386A" w:rsidRPr="00A76F48" w14:paraId="12864F27" w14:textId="77777777" w:rsidTr="00244B68">
        <w:trPr>
          <w:cnfStyle w:val="000000100000" w:firstRow="0" w:lastRow="0" w:firstColumn="0" w:lastColumn="0" w:oddVBand="0" w:evenVBand="0" w:oddHBand="1" w:evenHBand="0" w:firstRowFirstColumn="0" w:firstRowLastColumn="0" w:lastRowFirstColumn="0" w:lastRowLastColumn="0"/>
        </w:trPr>
        <w:tc>
          <w:tcPr>
            <w:tcW w:w="2330" w:type="dxa"/>
          </w:tcPr>
          <w:p w14:paraId="7F8C4C74" w14:textId="77777777" w:rsidR="00C8386A" w:rsidRPr="00A76F48" w:rsidRDefault="00C8386A" w:rsidP="0083214A">
            <w:pPr>
              <w:rPr>
                <w:noProof/>
              </w:rPr>
            </w:pPr>
            <w:r w:rsidRPr="00A76F48">
              <w:rPr>
                <w:noProof/>
              </w:rPr>
              <w:t>Businesses created</w:t>
            </w:r>
          </w:p>
        </w:tc>
        <w:tc>
          <w:tcPr>
            <w:tcW w:w="1100" w:type="dxa"/>
          </w:tcPr>
          <w:p w14:paraId="445E0503" w14:textId="77777777" w:rsidR="00C8386A" w:rsidRPr="00A76F48" w:rsidRDefault="00C8386A" w:rsidP="0083214A">
            <w:pPr>
              <w:jc w:val="center"/>
              <w:rPr>
                <w:noProof/>
              </w:rPr>
            </w:pPr>
          </w:p>
        </w:tc>
        <w:tc>
          <w:tcPr>
            <w:tcW w:w="1526" w:type="dxa"/>
          </w:tcPr>
          <w:p w14:paraId="65F31C21" w14:textId="77777777" w:rsidR="00C8386A" w:rsidRPr="00A76F48" w:rsidRDefault="00C8386A" w:rsidP="0083214A">
            <w:pPr>
              <w:jc w:val="center"/>
              <w:rPr>
                <w:b/>
                <w:noProof/>
              </w:rPr>
            </w:pPr>
          </w:p>
        </w:tc>
        <w:tc>
          <w:tcPr>
            <w:tcW w:w="1532" w:type="dxa"/>
          </w:tcPr>
          <w:p w14:paraId="3A8B083D" w14:textId="77777777" w:rsidR="00C8386A" w:rsidRPr="00A76F48" w:rsidRDefault="00C8386A" w:rsidP="0083214A">
            <w:pPr>
              <w:jc w:val="center"/>
              <w:rPr>
                <w:noProof/>
              </w:rPr>
            </w:pPr>
          </w:p>
        </w:tc>
        <w:tc>
          <w:tcPr>
            <w:tcW w:w="1572" w:type="dxa"/>
          </w:tcPr>
          <w:p w14:paraId="02C7D55F" w14:textId="1D9F4DF4" w:rsidR="00C8386A" w:rsidRPr="00A76F48" w:rsidRDefault="00244B68" w:rsidP="0083214A">
            <w:pPr>
              <w:jc w:val="center"/>
              <w:rPr>
                <w:noProof/>
              </w:rPr>
            </w:pPr>
            <w:r>
              <w:rPr>
                <w:noProof/>
              </w:rPr>
              <w:t>No results</w:t>
            </w:r>
          </w:p>
        </w:tc>
        <w:tc>
          <w:tcPr>
            <w:tcW w:w="1579" w:type="dxa"/>
          </w:tcPr>
          <w:p w14:paraId="47513C62" w14:textId="416C9F14" w:rsidR="00C8386A" w:rsidRPr="00A76F48" w:rsidRDefault="00244B68" w:rsidP="0083214A">
            <w:pPr>
              <w:jc w:val="center"/>
              <w:rPr>
                <w:noProof/>
              </w:rPr>
            </w:pPr>
            <w:r>
              <w:rPr>
                <w:noProof/>
              </w:rPr>
              <w:t>No data</w:t>
            </w:r>
          </w:p>
        </w:tc>
      </w:tr>
      <w:tr w:rsidR="00244B68" w:rsidRPr="00A76F48" w14:paraId="1D90C08E" w14:textId="77777777" w:rsidTr="00244B68">
        <w:trPr>
          <w:cnfStyle w:val="000000010000" w:firstRow="0" w:lastRow="0" w:firstColumn="0" w:lastColumn="0" w:oddVBand="0" w:evenVBand="0" w:oddHBand="0" w:evenHBand="1" w:firstRowFirstColumn="0" w:firstRowLastColumn="0" w:lastRowFirstColumn="0" w:lastRowLastColumn="0"/>
        </w:trPr>
        <w:tc>
          <w:tcPr>
            <w:tcW w:w="2330" w:type="dxa"/>
          </w:tcPr>
          <w:p w14:paraId="45974397" w14:textId="77777777" w:rsidR="00244B68" w:rsidRPr="00A76F48" w:rsidRDefault="00244B68" w:rsidP="00244B68">
            <w:pPr>
              <w:rPr>
                <w:noProof/>
              </w:rPr>
            </w:pPr>
            <w:r w:rsidRPr="00A76F48">
              <w:rPr>
                <w:noProof/>
              </w:rPr>
              <w:t>Jobs created</w:t>
            </w:r>
          </w:p>
        </w:tc>
        <w:tc>
          <w:tcPr>
            <w:tcW w:w="1100" w:type="dxa"/>
          </w:tcPr>
          <w:p w14:paraId="5708C914" w14:textId="77777777" w:rsidR="00244B68" w:rsidRPr="00A76F48" w:rsidRDefault="00244B68" w:rsidP="00244B68">
            <w:pPr>
              <w:jc w:val="center"/>
              <w:rPr>
                <w:noProof/>
              </w:rPr>
            </w:pPr>
          </w:p>
        </w:tc>
        <w:tc>
          <w:tcPr>
            <w:tcW w:w="1526" w:type="dxa"/>
          </w:tcPr>
          <w:p w14:paraId="0716DA36" w14:textId="77777777" w:rsidR="00244B68" w:rsidRPr="00A76F48" w:rsidRDefault="00244B68" w:rsidP="00244B68">
            <w:pPr>
              <w:jc w:val="center"/>
              <w:rPr>
                <w:b/>
                <w:noProof/>
              </w:rPr>
            </w:pPr>
          </w:p>
        </w:tc>
        <w:tc>
          <w:tcPr>
            <w:tcW w:w="1532" w:type="dxa"/>
          </w:tcPr>
          <w:p w14:paraId="12BE0A35" w14:textId="77777777" w:rsidR="00244B68" w:rsidRPr="00A76F48" w:rsidRDefault="00244B68" w:rsidP="00244B68">
            <w:pPr>
              <w:jc w:val="center"/>
              <w:rPr>
                <w:noProof/>
              </w:rPr>
            </w:pPr>
          </w:p>
        </w:tc>
        <w:tc>
          <w:tcPr>
            <w:tcW w:w="1572" w:type="dxa"/>
          </w:tcPr>
          <w:p w14:paraId="1F9A5CC3" w14:textId="22CD3DD2" w:rsidR="00244B68" w:rsidRPr="00A76F48" w:rsidRDefault="00244B68" w:rsidP="00244B68">
            <w:pPr>
              <w:jc w:val="center"/>
              <w:rPr>
                <w:noProof/>
              </w:rPr>
            </w:pPr>
            <w:r>
              <w:rPr>
                <w:noProof/>
              </w:rPr>
              <w:t>No results</w:t>
            </w:r>
          </w:p>
        </w:tc>
        <w:tc>
          <w:tcPr>
            <w:tcW w:w="1579" w:type="dxa"/>
          </w:tcPr>
          <w:p w14:paraId="7FE55F94" w14:textId="36C9585D" w:rsidR="00244B68" w:rsidRPr="00A76F48" w:rsidRDefault="00244B68" w:rsidP="00244B68">
            <w:pPr>
              <w:jc w:val="center"/>
              <w:rPr>
                <w:noProof/>
              </w:rPr>
            </w:pPr>
            <w:r>
              <w:rPr>
                <w:noProof/>
              </w:rPr>
              <w:t>No data</w:t>
            </w:r>
          </w:p>
        </w:tc>
      </w:tr>
      <w:tr w:rsidR="00244B68" w:rsidRPr="00A76F48" w14:paraId="193C79EA" w14:textId="77777777" w:rsidTr="00244B68">
        <w:trPr>
          <w:cnfStyle w:val="000000100000" w:firstRow="0" w:lastRow="0" w:firstColumn="0" w:lastColumn="0" w:oddVBand="0" w:evenVBand="0" w:oddHBand="1" w:evenHBand="0" w:firstRowFirstColumn="0" w:firstRowLastColumn="0" w:lastRowFirstColumn="0" w:lastRowLastColumn="0"/>
        </w:trPr>
        <w:tc>
          <w:tcPr>
            <w:tcW w:w="2330" w:type="dxa"/>
          </w:tcPr>
          <w:p w14:paraId="5537D0F1" w14:textId="77777777" w:rsidR="00244B68" w:rsidRPr="00A76F48" w:rsidRDefault="00244B68" w:rsidP="00244B68">
            <w:pPr>
              <w:rPr>
                <w:noProof/>
              </w:rPr>
            </w:pPr>
            <w:r w:rsidRPr="00A76F48">
              <w:rPr>
                <w:noProof/>
              </w:rPr>
              <w:t>Jobs maintained</w:t>
            </w:r>
          </w:p>
        </w:tc>
        <w:tc>
          <w:tcPr>
            <w:tcW w:w="1100" w:type="dxa"/>
          </w:tcPr>
          <w:p w14:paraId="595780B8" w14:textId="77777777" w:rsidR="00244B68" w:rsidRPr="00A76F48" w:rsidRDefault="00244B68" w:rsidP="00244B68">
            <w:pPr>
              <w:jc w:val="center"/>
              <w:rPr>
                <w:noProof/>
              </w:rPr>
            </w:pPr>
          </w:p>
        </w:tc>
        <w:tc>
          <w:tcPr>
            <w:tcW w:w="1526" w:type="dxa"/>
          </w:tcPr>
          <w:p w14:paraId="0CF20483" w14:textId="77777777" w:rsidR="00244B68" w:rsidRPr="00A76F48" w:rsidRDefault="00244B68" w:rsidP="00244B68">
            <w:pPr>
              <w:jc w:val="center"/>
              <w:rPr>
                <w:b/>
                <w:noProof/>
              </w:rPr>
            </w:pPr>
          </w:p>
        </w:tc>
        <w:tc>
          <w:tcPr>
            <w:tcW w:w="1532" w:type="dxa"/>
          </w:tcPr>
          <w:p w14:paraId="3BA3DE1F" w14:textId="77777777" w:rsidR="00244B68" w:rsidRPr="00A76F48" w:rsidRDefault="00244B68" w:rsidP="00244B68">
            <w:pPr>
              <w:jc w:val="center"/>
              <w:rPr>
                <w:noProof/>
              </w:rPr>
            </w:pPr>
          </w:p>
        </w:tc>
        <w:tc>
          <w:tcPr>
            <w:tcW w:w="1572" w:type="dxa"/>
          </w:tcPr>
          <w:p w14:paraId="188D1E83" w14:textId="654FAEAA" w:rsidR="00244B68" w:rsidRPr="00A76F48" w:rsidRDefault="00244B68" w:rsidP="00244B68">
            <w:pPr>
              <w:jc w:val="center"/>
              <w:rPr>
                <w:noProof/>
              </w:rPr>
            </w:pPr>
            <w:r>
              <w:rPr>
                <w:noProof/>
              </w:rPr>
              <w:t>No results</w:t>
            </w:r>
          </w:p>
        </w:tc>
        <w:tc>
          <w:tcPr>
            <w:tcW w:w="1579" w:type="dxa"/>
          </w:tcPr>
          <w:p w14:paraId="78D8337F" w14:textId="3CECA984" w:rsidR="00244B68" w:rsidRPr="00A76F48" w:rsidRDefault="00244B68" w:rsidP="00244B68">
            <w:pPr>
              <w:jc w:val="center"/>
              <w:rPr>
                <w:noProof/>
              </w:rPr>
            </w:pPr>
            <w:r>
              <w:rPr>
                <w:noProof/>
              </w:rPr>
              <w:t>No data</w:t>
            </w:r>
          </w:p>
        </w:tc>
      </w:tr>
      <w:tr w:rsidR="00244B68" w:rsidRPr="00A76F48" w14:paraId="5638388F" w14:textId="77777777" w:rsidTr="00244B68">
        <w:trPr>
          <w:cnfStyle w:val="000000010000" w:firstRow="0" w:lastRow="0" w:firstColumn="0" w:lastColumn="0" w:oddVBand="0" w:evenVBand="0" w:oddHBand="0" w:evenHBand="1" w:firstRowFirstColumn="0" w:firstRowLastColumn="0" w:lastRowFirstColumn="0" w:lastRowLastColumn="0"/>
        </w:trPr>
        <w:tc>
          <w:tcPr>
            <w:tcW w:w="2330" w:type="dxa"/>
          </w:tcPr>
          <w:p w14:paraId="401DB357" w14:textId="77777777" w:rsidR="00244B68" w:rsidRPr="00A76F48" w:rsidRDefault="00244B68" w:rsidP="00244B68">
            <w:pPr>
              <w:rPr>
                <w:noProof/>
              </w:rPr>
            </w:pPr>
            <w:r w:rsidRPr="00A76F48">
              <w:rPr>
                <w:noProof/>
              </w:rPr>
              <w:t>Persons benefiting</w:t>
            </w:r>
          </w:p>
        </w:tc>
        <w:tc>
          <w:tcPr>
            <w:tcW w:w="1100" w:type="dxa"/>
          </w:tcPr>
          <w:p w14:paraId="4E75E653" w14:textId="77777777" w:rsidR="00244B68" w:rsidRPr="00A76F48" w:rsidRDefault="00244B68" w:rsidP="00244B68">
            <w:pPr>
              <w:jc w:val="center"/>
              <w:rPr>
                <w:noProof/>
              </w:rPr>
            </w:pPr>
          </w:p>
        </w:tc>
        <w:tc>
          <w:tcPr>
            <w:tcW w:w="1526" w:type="dxa"/>
          </w:tcPr>
          <w:p w14:paraId="1C11D034" w14:textId="77777777" w:rsidR="00244B68" w:rsidRPr="00A76F48" w:rsidRDefault="00244B68" w:rsidP="00244B68">
            <w:pPr>
              <w:jc w:val="center"/>
              <w:rPr>
                <w:b/>
                <w:noProof/>
              </w:rPr>
            </w:pPr>
          </w:p>
        </w:tc>
        <w:tc>
          <w:tcPr>
            <w:tcW w:w="1532" w:type="dxa"/>
          </w:tcPr>
          <w:p w14:paraId="726D0A64" w14:textId="77777777" w:rsidR="00244B68" w:rsidRPr="00A76F48" w:rsidRDefault="00244B68" w:rsidP="00244B68">
            <w:pPr>
              <w:jc w:val="center"/>
              <w:rPr>
                <w:noProof/>
              </w:rPr>
            </w:pPr>
          </w:p>
        </w:tc>
        <w:tc>
          <w:tcPr>
            <w:tcW w:w="1572" w:type="dxa"/>
          </w:tcPr>
          <w:p w14:paraId="5C34A4AC" w14:textId="5E300D29" w:rsidR="00244B68" w:rsidRPr="00A76F48" w:rsidRDefault="00244B68" w:rsidP="00244B68">
            <w:pPr>
              <w:jc w:val="center"/>
              <w:rPr>
                <w:noProof/>
              </w:rPr>
            </w:pPr>
            <w:r>
              <w:rPr>
                <w:noProof/>
              </w:rPr>
              <w:t>No results</w:t>
            </w:r>
          </w:p>
        </w:tc>
        <w:tc>
          <w:tcPr>
            <w:tcW w:w="1579" w:type="dxa"/>
          </w:tcPr>
          <w:p w14:paraId="6A9E4E8C" w14:textId="7475C06C" w:rsidR="00244B68" w:rsidRPr="00A76F48" w:rsidRDefault="00244B68" w:rsidP="00244B68">
            <w:pPr>
              <w:jc w:val="center"/>
              <w:rPr>
                <w:noProof/>
              </w:rPr>
            </w:pPr>
            <w:r>
              <w:rPr>
                <w:noProof/>
              </w:rPr>
              <w:t>No data</w:t>
            </w:r>
          </w:p>
        </w:tc>
      </w:tr>
      <w:tr w:rsidR="00244B68" w:rsidRPr="00A76F48" w14:paraId="048CE1DE" w14:textId="77777777" w:rsidTr="00244B68">
        <w:trPr>
          <w:cnfStyle w:val="000000100000" w:firstRow="0" w:lastRow="0" w:firstColumn="0" w:lastColumn="0" w:oddVBand="0" w:evenVBand="0" w:oddHBand="1" w:evenHBand="0" w:firstRowFirstColumn="0" w:firstRowLastColumn="0" w:lastRowFirstColumn="0" w:lastRowLastColumn="0"/>
        </w:trPr>
        <w:tc>
          <w:tcPr>
            <w:tcW w:w="2330" w:type="dxa"/>
          </w:tcPr>
          <w:p w14:paraId="45DEAEC6" w14:textId="77777777" w:rsidR="00244B68" w:rsidRPr="00A76F48" w:rsidRDefault="00244B68" w:rsidP="00244B68">
            <w:pPr>
              <w:rPr>
                <w:noProof/>
              </w:rPr>
            </w:pPr>
            <w:r w:rsidRPr="00A76F48">
              <w:rPr>
                <w:noProof/>
              </w:rPr>
              <w:t>Number of SMEs supported</w:t>
            </w:r>
          </w:p>
        </w:tc>
        <w:tc>
          <w:tcPr>
            <w:tcW w:w="1100" w:type="dxa"/>
          </w:tcPr>
          <w:p w14:paraId="0AE3C031" w14:textId="77777777" w:rsidR="00244B68" w:rsidRPr="00A76F48" w:rsidRDefault="00244B68" w:rsidP="00244B68">
            <w:pPr>
              <w:jc w:val="center"/>
              <w:rPr>
                <w:noProof/>
              </w:rPr>
            </w:pPr>
          </w:p>
        </w:tc>
        <w:tc>
          <w:tcPr>
            <w:tcW w:w="1526" w:type="dxa"/>
          </w:tcPr>
          <w:p w14:paraId="5E50DE9B" w14:textId="77777777" w:rsidR="00244B68" w:rsidRPr="00A76F48" w:rsidRDefault="00244B68" w:rsidP="00244B68">
            <w:pPr>
              <w:jc w:val="center"/>
              <w:rPr>
                <w:b/>
                <w:noProof/>
              </w:rPr>
            </w:pPr>
          </w:p>
        </w:tc>
        <w:tc>
          <w:tcPr>
            <w:tcW w:w="1532" w:type="dxa"/>
          </w:tcPr>
          <w:p w14:paraId="5F78D319" w14:textId="77777777" w:rsidR="00244B68" w:rsidRPr="00A76F48" w:rsidRDefault="00244B68" w:rsidP="00244B68">
            <w:pPr>
              <w:jc w:val="center"/>
              <w:rPr>
                <w:noProof/>
              </w:rPr>
            </w:pPr>
          </w:p>
        </w:tc>
        <w:tc>
          <w:tcPr>
            <w:tcW w:w="1572" w:type="dxa"/>
          </w:tcPr>
          <w:p w14:paraId="39474A69" w14:textId="6463E9F7" w:rsidR="00244B68" w:rsidRPr="00A76F48" w:rsidRDefault="00244B68" w:rsidP="00244B68">
            <w:pPr>
              <w:jc w:val="center"/>
              <w:rPr>
                <w:noProof/>
              </w:rPr>
            </w:pPr>
            <w:r>
              <w:rPr>
                <w:noProof/>
              </w:rPr>
              <w:t>No results</w:t>
            </w:r>
          </w:p>
        </w:tc>
        <w:tc>
          <w:tcPr>
            <w:tcW w:w="1579" w:type="dxa"/>
          </w:tcPr>
          <w:p w14:paraId="7EFE804C" w14:textId="681396F3" w:rsidR="00244B68" w:rsidRPr="00A76F48" w:rsidRDefault="00244B68" w:rsidP="00244B68">
            <w:pPr>
              <w:jc w:val="center"/>
              <w:rPr>
                <w:noProof/>
              </w:rPr>
            </w:pPr>
            <w:r>
              <w:rPr>
                <w:noProof/>
              </w:rPr>
              <w:t>No data</w:t>
            </w:r>
          </w:p>
        </w:tc>
      </w:tr>
      <w:tr w:rsidR="00244B68" w:rsidRPr="00A76F48" w14:paraId="47493D9F" w14:textId="77777777" w:rsidTr="00244B68">
        <w:trPr>
          <w:cnfStyle w:val="000000010000" w:firstRow="0" w:lastRow="0" w:firstColumn="0" w:lastColumn="0" w:oddVBand="0" w:evenVBand="0" w:oddHBand="0" w:evenHBand="1" w:firstRowFirstColumn="0" w:firstRowLastColumn="0" w:lastRowFirstColumn="0" w:lastRowLastColumn="0"/>
        </w:trPr>
        <w:tc>
          <w:tcPr>
            <w:tcW w:w="2330" w:type="dxa"/>
          </w:tcPr>
          <w:p w14:paraId="2BC1B7AC" w14:textId="77777777" w:rsidR="00244B68" w:rsidRPr="00A76F48" w:rsidRDefault="00244B68" w:rsidP="00244B68">
            <w:pPr>
              <w:rPr>
                <w:noProof/>
              </w:rPr>
            </w:pPr>
            <w:r w:rsidRPr="00A76F48">
              <w:rPr>
                <w:noProof/>
              </w:rPr>
              <w:t>Number of small-scale coastal fisheries vessels supported</w:t>
            </w:r>
          </w:p>
        </w:tc>
        <w:tc>
          <w:tcPr>
            <w:tcW w:w="1100" w:type="dxa"/>
          </w:tcPr>
          <w:p w14:paraId="41B019E6" w14:textId="77777777" w:rsidR="00244B68" w:rsidRPr="00A76F48" w:rsidRDefault="00244B68" w:rsidP="00244B68">
            <w:pPr>
              <w:jc w:val="center"/>
              <w:rPr>
                <w:noProof/>
              </w:rPr>
            </w:pPr>
          </w:p>
        </w:tc>
        <w:tc>
          <w:tcPr>
            <w:tcW w:w="1526" w:type="dxa"/>
          </w:tcPr>
          <w:p w14:paraId="1BDE7349" w14:textId="77777777" w:rsidR="00244B68" w:rsidRPr="00A76F48" w:rsidRDefault="00244B68" w:rsidP="00244B68">
            <w:pPr>
              <w:jc w:val="center"/>
              <w:rPr>
                <w:b/>
                <w:noProof/>
              </w:rPr>
            </w:pPr>
          </w:p>
        </w:tc>
        <w:tc>
          <w:tcPr>
            <w:tcW w:w="1532" w:type="dxa"/>
          </w:tcPr>
          <w:p w14:paraId="3FF96C1F" w14:textId="77777777" w:rsidR="00244B68" w:rsidRPr="00A76F48" w:rsidRDefault="00244B68" w:rsidP="00244B68">
            <w:pPr>
              <w:jc w:val="center"/>
              <w:rPr>
                <w:noProof/>
              </w:rPr>
            </w:pPr>
          </w:p>
        </w:tc>
        <w:tc>
          <w:tcPr>
            <w:tcW w:w="1572" w:type="dxa"/>
          </w:tcPr>
          <w:p w14:paraId="5EB5A85E" w14:textId="5292C989" w:rsidR="00244B68" w:rsidRPr="00A76F48" w:rsidRDefault="00244B68" w:rsidP="00244B68">
            <w:pPr>
              <w:jc w:val="center"/>
              <w:rPr>
                <w:noProof/>
              </w:rPr>
            </w:pPr>
            <w:r>
              <w:rPr>
                <w:noProof/>
              </w:rPr>
              <w:t>No results</w:t>
            </w:r>
          </w:p>
        </w:tc>
        <w:tc>
          <w:tcPr>
            <w:tcW w:w="1579" w:type="dxa"/>
          </w:tcPr>
          <w:p w14:paraId="7A090672" w14:textId="644A5DC4" w:rsidR="00244B68" w:rsidRPr="00A76F48" w:rsidRDefault="00244B68" w:rsidP="00244B68">
            <w:pPr>
              <w:jc w:val="center"/>
              <w:rPr>
                <w:noProof/>
              </w:rPr>
            </w:pPr>
            <w:r>
              <w:rPr>
                <w:noProof/>
              </w:rPr>
              <w:t>No data</w:t>
            </w:r>
          </w:p>
        </w:tc>
      </w:tr>
    </w:tbl>
    <w:p w14:paraId="5FCDE07D" w14:textId="77777777" w:rsidR="00C8386A" w:rsidRPr="00A76F48" w:rsidRDefault="00C8386A" w:rsidP="00C8386A">
      <w:pPr>
        <w:spacing w:after="120"/>
        <w:ind w:left="288" w:hanging="288"/>
        <w:rPr>
          <w:noProof/>
          <w:sz w:val="18"/>
        </w:rPr>
      </w:pPr>
    </w:p>
    <w:p w14:paraId="782A128B" w14:textId="4E2AA0C0" w:rsidR="00C8386A" w:rsidRPr="00A76F48" w:rsidRDefault="00C8386A" w:rsidP="00C8386A">
      <w:pPr>
        <w:spacing w:after="120"/>
        <w:ind w:left="288" w:hanging="288"/>
        <w:rPr>
          <w:noProof/>
          <w:sz w:val="18"/>
        </w:rPr>
      </w:pPr>
      <w:r w:rsidRPr="00A76F48">
        <w:rPr>
          <w:noProof/>
          <w:sz w:val="18"/>
        </w:rPr>
        <w:t>(*)</w:t>
      </w:r>
      <w:r w:rsidRPr="00A76F48">
        <w:rPr>
          <w:rFonts w:ascii="Calibri" w:hAnsi="Calibri" w:cs="Calibri"/>
          <w:noProof/>
          <w:sz w:val="18"/>
        </w:rPr>
        <w:t xml:space="preserve"> </w:t>
      </w:r>
      <w:r w:rsidRPr="00A76F48">
        <w:rPr>
          <w:noProof/>
          <w:sz w:val="18"/>
        </w:rPr>
        <w:t>The information will be provided once the Member States programmes 2021-2027 are adopted.</w:t>
      </w:r>
    </w:p>
    <w:p w14:paraId="0116575C" w14:textId="77777777" w:rsidR="00C8386A" w:rsidRPr="00A76F48" w:rsidRDefault="00C8386A" w:rsidP="00C8386A">
      <w:pPr>
        <w:pStyle w:val="ppoListHyphened-L1"/>
        <w:rPr>
          <w:noProof/>
        </w:rPr>
      </w:pPr>
      <w:r w:rsidRPr="00A76F48">
        <w:rPr>
          <w:noProof/>
        </w:rPr>
        <w:t xml:space="preserve">With regard to </w:t>
      </w:r>
      <w:r w:rsidRPr="00EB2E5B">
        <w:rPr>
          <w:noProof/>
        </w:rPr>
        <w:t>shared management</w:t>
      </w:r>
      <w:r w:rsidRPr="00A76F48">
        <w:rPr>
          <w:noProof/>
        </w:rPr>
        <w:t>, performance assessments will be provided once the implementation of the 2021-2027 programme has started. By the end of 2021, no single EMFAF Member State programme had been adopted. EMFF payments continue to be executed, however, which ensures the continuity of the policy achievements.</w:t>
      </w:r>
    </w:p>
    <w:p w14:paraId="51221773" w14:textId="77777777" w:rsidR="00C8386A" w:rsidRPr="00A76F48" w:rsidRDefault="00C8386A" w:rsidP="00C8386A">
      <w:pPr>
        <w:pStyle w:val="ppoListHyphened-L1"/>
        <w:rPr>
          <w:noProof/>
        </w:rPr>
      </w:pPr>
      <w:r w:rsidRPr="00EB2E5B">
        <w:rPr>
          <w:bCs/>
          <w:noProof/>
        </w:rPr>
        <w:t xml:space="preserve">With regard to direct and indirect management, </w:t>
      </w:r>
      <w:r w:rsidRPr="007F4601">
        <w:rPr>
          <w:bCs/>
          <w:noProof/>
        </w:rPr>
        <w:t>a</w:t>
      </w:r>
      <w:r w:rsidRPr="00A76F48">
        <w:rPr>
          <w:noProof/>
        </w:rPr>
        <w:t xml:space="preserve">s action implemented under direct and indirect management provides for smooth continuity from the EMFF to and throughout the EMFAF, </w:t>
      </w:r>
      <w:bookmarkStart w:id="169" w:name="_Hlk101351893"/>
      <w:r w:rsidRPr="00A76F48">
        <w:rPr>
          <w:noProof/>
        </w:rPr>
        <w:t>the following assessment covers both EMFF and EMFAF activities without distinction.</w:t>
      </w:r>
      <w:bookmarkEnd w:id="169"/>
    </w:p>
    <w:p w14:paraId="23EA6501" w14:textId="5465C761" w:rsidR="00C8386A" w:rsidRPr="00A76F48" w:rsidRDefault="00C8386A" w:rsidP="00C8386A">
      <w:pPr>
        <w:pStyle w:val="ppoListHyphened-L2"/>
        <w:rPr>
          <w:noProof/>
        </w:rPr>
      </w:pPr>
      <w:r w:rsidRPr="00A76F48">
        <w:rPr>
          <w:noProof/>
        </w:rPr>
        <w:t>For priority</w:t>
      </w:r>
      <w:r w:rsidRPr="00A76F48">
        <w:rPr>
          <w:rFonts w:ascii="Calibri" w:hAnsi="Calibri" w:cs="Calibri"/>
          <w:noProof/>
        </w:rPr>
        <w:t> </w:t>
      </w:r>
      <w:r w:rsidRPr="00A76F48">
        <w:rPr>
          <w:noProof/>
        </w:rPr>
        <w:t>1 (f</w:t>
      </w:r>
      <w:r w:rsidRPr="00EB2E5B">
        <w:rPr>
          <w:noProof/>
        </w:rPr>
        <w:t>ostering sustainable fisheries and the rest</w:t>
      </w:r>
      <w:r w:rsidRPr="00A76F48">
        <w:rPr>
          <w:noProof/>
        </w:rPr>
        <w:t>o</w:t>
      </w:r>
      <w:r w:rsidRPr="00EB2E5B">
        <w:rPr>
          <w:noProof/>
        </w:rPr>
        <w:t>ration and conservation of aquatic biological resources</w:t>
      </w:r>
      <w:r w:rsidRPr="00A76F48">
        <w:rPr>
          <w:noProof/>
        </w:rPr>
        <w:t xml:space="preserve">), voluntary contributions to regional fisheries management organisations assisted in the development of scientific knowledge and science-based management decisions, promoted compliance and the fight against illegal, unreported and unregulated fishing and further improved the impact of the performance in operations of partner international organisations. The provision of regular scientific advice has been ensured by renewing the various administrative arrangements in place with the International Council for the Exploration of the Sea, the Scientific, Technical and Economic Committee for Fisheries and the Joint Research </w:t>
      </w:r>
      <w:r w:rsidR="00D13965">
        <w:rPr>
          <w:noProof/>
        </w:rPr>
        <w:t>Centre</w:t>
      </w:r>
      <w:r w:rsidRPr="00A76F48">
        <w:rPr>
          <w:noProof/>
        </w:rPr>
        <w:t>.</w:t>
      </w:r>
    </w:p>
    <w:p w14:paraId="7231AE94" w14:textId="77777777" w:rsidR="00C8386A" w:rsidRPr="00A76F48" w:rsidRDefault="00C8386A" w:rsidP="00C8386A">
      <w:pPr>
        <w:pStyle w:val="ppoListHyphened-L2"/>
        <w:rPr>
          <w:noProof/>
        </w:rPr>
      </w:pPr>
      <w:r w:rsidRPr="00A76F48">
        <w:rPr>
          <w:noProof/>
        </w:rPr>
        <w:t>For priority</w:t>
      </w:r>
      <w:r w:rsidRPr="00A76F48">
        <w:rPr>
          <w:rFonts w:ascii="Calibri" w:hAnsi="Calibri" w:cs="Calibri"/>
          <w:noProof/>
        </w:rPr>
        <w:t> </w:t>
      </w:r>
      <w:r w:rsidRPr="00A76F48">
        <w:rPr>
          <w:noProof/>
        </w:rPr>
        <w:t>2 (f</w:t>
      </w:r>
      <w:r w:rsidRPr="00EB2E5B">
        <w:rPr>
          <w:noProof/>
        </w:rPr>
        <w:t xml:space="preserve">ostering sustainable aquaculture activities and processing and marketing of fishery and aquaculture products, thus contributing to food security in the </w:t>
      </w:r>
      <w:r w:rsidRPr="00A76F48">
        <w:rPr>
          <w:noProof/>
        </w:rPr>
        <w:t>EU), in the area of market intelligence, the Commission financed several initiative</w:t>
      </w:r>
      <w:r>
        <w:rPr>
          <w:noProof/>
        </w:rPr>
        <w:t xml:space="preserve">s </w:t>
      </w:r>
      <w:r w:rsidRPr="00A76F48">
        <w:rPr>
          <w:noProof/>
        </w:rPr>
        <w:t>such as a market observatory, a Eurobarometer study on EU consumer habits regarding fishery and aquaculture products and other studies. These initiatives could provide the Commission with analyses and advice focusing on economic and social aspects of the maritime economy.</w:t>
      </w:r>
    </w:p>
    <w:p w14:paraId="77034E16" w14:textId="77777777" w:rsidR="00C8386A" w:rsidRPr="00A76F48" w:rsidRDefault="00C8386A" w:rsidP="00C8386A">
      <w:pPr>
        <w:pStyle w:val="ppoListHyphened-L2"/>
        <w:rPr>
          <w:noProof/>
        </w:rPr>
      </w:pPr>
      <w:r w:rsidRPr="00A76F48">
        <w:rPr>
          <w:noProof/>
        </w:rPr>
        <w:t>For priority</w:t>
      </w:r>
      <w:r w:rsidRPr="00A76F48">
        <w:rPr>
          <w:rFonts w:ascii="Calibri" w:hAnsi="Calibri" w:cs="Calibri"/>
          <w:noProof/>
        </w:rPr>
        <w:t> </w:t>
      </w:r>
      <w:r w:rsidRPr="00A76F48">
        <w:rPr>
          <w:noProof/>
        </w:rPr>
        <w:t>3 (enabling a sustainable blue economy in coastal, island and inland areas and fostering the development of fishing and aquaculture communities), the fund helped deliver maritime spatial planning in the EU. The Commission continued to support the hosting of the sustainable blue economy finance principles, launched in 2018 by the United Nations Environment Programme Finance Initiative. By December 2021, the number of signatories were increased from the 17 founding members to 70. In 2021, the Black Sea Virtual Knowledge Centre website was finalised and the Atlantic Smart Ports Blue Acceleration Network</w:t>
      </w:r>
      <w:r w:rsidRPr="00A76F48" w:rsidDel="00CB6983">
        <w:rPr>
          <w:noProof/>
        </w:rPr>
        <w:t xml:space="preserve"> </w:t>
      </w:r>
      <w:r w:rsidRPr="00A76F48">
        <w:rPr>
          <w:noProof/>
        </w:rPr>
        <w:t>project, which aims to create an Atlantic port accelerator network, was launched. During the same period, the programme supported the creation of a new initiative on ocean literacy (EU4Ocean); renewed support via grants to eight projects dealing with competence acquisition and training programmes in formal, non-formal and informal settings through another ‘call on blue careers’; and provided grants through the dedicated ‘blue labs call’ to scientific consortia providing innovative blue economy products.</w:t>
      </w:r>
    </w:p>
    <w:p w14:paraId="54D7989A" w14:textId="77777777" w:rsidR="00C8386A" w:rsidRPr="00A76F48" w:rsidRDefault="00C8386A" w:rsidP="00C8386A">
      <w:pPr>
        <w:pStyle w:val="ppoListHyphened-L2"/>
        <w:rPr>
          <w:noProof/>
        </w:rPr>
      </w:pPr>
      <w:r w:rsidRPr="00A76F48">
        <w:rPr>
          <w:noProof/>
        </w:rPr>
        <w:t>For priority</w:t>
      </w:r>
      <w:r w:rsidRPr="00A76F48">
        <w:rPr>
          <w:rFonts w:ascii="Calibri" w:hAnsi="Calibri" w:cs="Calibri"/>
          <w:noProof/>
        </w:rPr>
        <w:t> </w:t>
      </w:r>
      <w:r w:rsidRPr="00A76F48">
        <w:rPr>
          <w:noProof/>
        </w:rPr>
        <w:t>4 (s</w:t>
      </w:r>
      <w:r w:rsidRPr="00EB2E5B">
        <w:rPr>
          <w:noProof/>
        </w:rPr>
        <w:t>trengthening international ocean governance and enabling seas and oceans to be safe, secure, clean and sustainably managed</w:t>
      </w:r>
      <w:r w:rsidRPr="00A76F48">
        <w:rPr>
          <w:noProof/>
        </w:rPr>
        <w:t>), the programme continued to promote the objectives of the international ocean governance agenda by providing support to international organisations, regional and sectoral bodies and entities that are active in promoting the conservation and sustainable use of the oceans. The action carried out also targeted important scientific gaps identified through work and policies on the deep seas. For the first time, contributions to United Nations trust funds were possible, enhancing the EU’s role in multilateralism. The support provided to the European Marine Observation and Data Network has resulted in steady progress in terms of users and products since 2018, reaching the level of an operational service and a real Commission asset, offering thousands of datasets across seven thematic disciplines (bathymetry, biology, chemistry, geology, sea bed habitats, physics and human activities). Finally, a practical handbook on coast guard cooperation was adopted as a Commission recommendation in July 2021.</w:t>
      </w:r>
    </w:p>
    <w:p w14:paraId="6E063A76" w14:textId="77777777" w:rsidR="00C8386A" w:rsidRPr="00A76F48" w:rsidRDefault="00C8386A" w:rsidP="00C8386A">
      <w:pPr>
        <w:spacing w:after="160" w:line="259" w:lineRule="auto"/>
        <w:rPr>
          <w:rFonts w:eastAsiaTheme="majorEastAsia" w:cstheme="majorBidi"/>
          <w:noProof/>
          <w:color w:val="016A13" w:themeColor="accent1" w:themeShade="BF"/>
          <w:sz w:val="48"/>
          <w:szCs w:val="32"/>
        </w:rPr>
      </w:pPr>
      <w:r w:rsidRPr="00A76F48">
        <w:rPr>
          <w:noProof/>
        </w:rPr>
        <w:br w:type="page"/>
      </w:r>
    </w:p>
    <w:p w14:paraId="7FFDBDFE" w14:textId="77777777" w:rsidR="00C8386A" w:rsidRPr="00A76F48" w:rsidRDefault="00C8386A" w:rsidP="00C8386A">
      <w:pPr>
        <w:pStyle w:val="ppoHeading4NaturalGreen"/>
        <w:rPr>
          <w:noProof/>
        </w:rPr>
      </w:pPr>
      <w:r w:rsidRPr="00A76F48">
        <w:rPr>
          <w:noProof/>
        </w:rPr>
        <w:t>2014-2020 multiannual financial framework</w:t>
      </w:r>
      <w:r w:rsidRPr="00A76F48">
        <w:rPr>
          <w:rFonts w:ascii="Calibri" w:hAnsi="Calibri" w:cs="Calibri"/>
          <w:noProof/>
        </w:rPr>
        <w:t> </w:t>
      </w:r>
      <w:r w:rsidRPr="00A76F48">
        <w:rPr>
          <w:noProof/>
        </w:rPr>
        <w:t>– European Maritime and Fisheries Fund</w:t>
      </w:r>
    </w:p>
    <w:p w14:paraId="446EC6AA" w14:textId="77777777" w:rsidR="00C8386A" w:rsidRPr="00A76F48" w:rsidRDefault="00C8386A" w:rsidP="00C8386A">
      <w:pPr>
        <w:rPr>
          <w:rFonts w:eastAsiaTheme="minorEastAsia"/>
          <w:noProof/>
        </w:rPr>
      </w:pPr>
      <w:r w:rsidRPr="00A76F48">
        <w:rPr>
          <w:rFonts w:eastAsiaTheme="minorEastAsia"/>
          <w:noProof/>
        </w:rPr>
        <w:t>The EMFF is the fund for the EU’s maritime and fisheries policies for 2014 to 2020, and is one of the five complementary European Structural and Investment Funds promoting a growth- and jobs-based recovery in the EU. The fund helps fishers in the transition to sustainable fishing, supports coastal communities in diversifying their economies, finances projects that create new jobs and improve quality of life along EU coasts and makes it easier for applicants to access financing.</w:t>
      </w:r>
    </w:p>
    <w:p w14:paraId="68C8384E" w14:textId="77777777" w:rsidR="00C8386A" w:rsidRPr="00A76F48" w:rsidRDefault="00C8386A" w:rsidP="00C8386A">
      <w:pPr>
        <w:pStyle w:val="ppoHeading5"/>
        <w:rPr>
          <w:noProof/>
        </w:rPr>
      </w:pPr>
      <w:r w:rsidRPr="00A76F48">
        <w:rPr>
          <w:noProof/>
        </w:rPr>
        <w:t>Budget</w:t>
      </w:r>
    </w:p>
    <w:p w14:paraId="6424EC4A" w14:textId="77777777" w:rsidR="00C8386A" w:rsidRPr="00A76F48" w:rsidRDefault="00C8386A" w:rsidP="00C8386A">
      <w:pPr>
        <w:pStyle w:val="ppoTableTabletitle"/>
        <w:rPr>
          <w:noProof/>
        </w:rPr>
      </w:pPr>
      <w:r w:rsidRPr="00A76F48">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C8386A" w:rsidRPr="00A76F48" w14:paraId="7F208CE7" w14:textId="77777777" w:rsidTr="008321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7789B88F" w14:textId="77777777" w:rsidR="00C8386A" w:rsidRPr="00A76F48" w:rsidRDefault="00C8386A" w:rsidP="0083214A">
            <w:pPr>
              <w:rPr>
                <w:noProof/>
              </w:rPr>
            </w:pPr>
          </w:p>
        </w:tc>
        <w:tc>
          <w:tcPr>
            <w:tcW w:w="2410" w:type="dxa"/>
          </w:tcPr>
          <w:p w14:paraId="797A3271" w14:textId="77777777" w:rsidR="00C8386A" w:rsidRPr="00A76F48" w:rsidRDefault="00C8386A" w:rsidP="0083214A">
            <w:pPr>
              <w:cnfStyle w:val="100000000000" w:firstRow="1" w:lastRow="0" w:firstColumn="0" w:lastColumn="0" w:oddVBand="0" w:evenVBand="0" w:oddHBand="0" w:evenHBand="0" w:firstRowFirstColumn="0" w:firstRowLastColumn="0" w:lastRowFirstColumn="0" w:lastRowLastColumn="0"/>
              <w:rPr>
                <w:noProof/>
              </w:rPr>
            </w:pPr>
            <w:r w:rsidRPr="00A76F48">
              <w:rPr>
                <w:noProof/>
              </w:rPr>
              <w:t>Implementation</w:t>
            </w:r>
          </w:p>
        </w:tc>
        <w:tc>
          <w:tcPr>
            <w:tcW w:w="2410" w:type="dxa"/>
          </w:tcPr>
          <w:p w14:paraId="5FEE19DA" w14:textId="3C3B8EA6" w:rsidR="00C8386A" w:rsidRPr="00A76F48" w:rsidRDefault="003821C6" w:rsidP="0083214A">
            <w:pPr>
              <w:cnfStyle w:val="100000000000" w:firstRow="1" w:lastRow="0" w:firstColumn="0" w:lastColumn="0" w:oddVBand="0" w:evenVBand="0" w:oddHBand="0" w:evenHBand="0" w:firstRowFirstColumn="0" w:firstRowLastColumn="0" w:lastRowFirstColumn="0" w:lastRowLastColumn="0"/>
              <w:rPr>
                <w:noProof/>
              </w:rPr>
            </w:pPr>
            <w:r>
              <w:rPr>
                <w:noProof/>
              </w:rPr>
              <w:t xml:space="preserve">2014-2020 </w:t>
            </w:r>
            <w:r w:rsidR="00C8386A" w:rsidRPr="00A76F48">
              <w:rPr>
                <w:noProof/>
              </w:rPr>
              <w:t>Budget</w:t>
            </w:r>
          </w:p>
        </w:tc>
        <w:tc>
          <w:tcPr>
            <w:tcW w:w="2410" w:type="dxa"/>
          </w:tcPr>
          <w:p w14:paraId="4C62A353" w14:textId="77777777" w:rsidR="00C8386A" w:rsidRPr="00A76F48" w:rsidRDefault="00C8386A" w:rsidP="0083214A">
            <w:pPr>
              <w:cnfStyle w:val="100000000000" w:firstRow="1" w:lastRow="0" w:firstColumn="0" w:lastColumn="0" w:oddVBand="0" w:evenVBand="0" w:oddHBand="0" w:evenHBand="0" w:firstRowFirstColumn="0" w:firstRowLastColumn="0" w:lastRowFirstColumn="0" w:lastRowLastColumn="0"/>
              <w:rPr>
                <w:noProof/>
              </w:rPr>
            </w:pPr>
            <w:r w:rsidRPr="00A76F48">
              <w:rPr>
                <w:noProof/>
              </w:rPr>
              <w:t>Implementation rate</w:t>
            </w:r>
          </w:p>
        </w:tc>
      </w:tr>
      <w:tr w:rsidR="00C8386A" w:rsidRPr="00A76F48" w14:paraId="3A40831F"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1ECA6D63" w14:textId="77777777" w:rsidR="00C8386A" w:rsidRPr="00A76F48" w:rsidRDefault="00C8386A" w:rsidP="0083214A">
            <w:pPr>
              <w:jc w:val="center"/>
              <w:rPr>
                <w:noProof/>
              </w:rPr>
            </w:pPr>
            <w:r w:rsidRPr="00A76F48">
              <w:rPr>
                <w:noProof/>
              </w:rPr>
              <w:t>Commitments</w:t>
            </w:r>
          </w:p>
        </w:tc>
        <w:tc>
          <w:tcPr>
            <w:tcW w:w="2410" w:type="dxa"/>
          </w:tcPr>
          <w:tbl>
            <w:tblPr>
              <w:tblStyle w:val="TableGrid"/>
              <w:tblW w:w="0" w:type="auto"/>
              <w:tblLook w:val="06A0" w:firstRow="1" w:lastRow="0" w:firstColumn="1" w:lastColumn="0" w:noHBand="1" w:noVBand="1"/>
            </w:tblPr>
            <w:tblGrid>
              <w:gridCol w:w="2194"/>
            </w:tblGrid>
            <w:tr w:rsidR="00C8386A" w:rsidRPr="00A76F48" w14:paraId="7C58E0AB" w14:textId="77777777" w:rsidTr="0083214A">
              <w:trPr>
                <w:trHeight w:val="285"/>
              </w:trPr>
              <w:tc>
                <w:tcPr>
                  <w:tcW w:w="2290" w:type="dxa"/>
                  <w:tcBorders>
                    <w:top w:val="nil"/>
                    <w:left w:val="nil"/>
                    <w:bottom w:val="nil"/>
                    <w:right w:val="nil"/>
                  </w:tcBorders>
                  <w:vAlign w:val="bottom"/>
                </w:tcPr>
                <w:p w14:paraId="56D31EFE" w14:textId="77777777" w:rsidR="00C8386A" w:rsidRPr="00A76F48" w:rsidRDefault="00C8386A" w:rsidP="0083214A">
                  <w:pPr>
                    <w:jc w:val="right"/>
                    <w:rPr>
                      <w:noProof/>
                    </w:rPr>
                  </w:pPr>
                  <w:r w:rsidRPr="00A76F48">
                    <w:rPr>
                      <w:rFonts w:ascii="Calibri" w:hAnsi="Calibri" w:cs="Calibri"/>
                      <w:noProof/>
                      <w:color w:val="000000"/>
                    </w:rPr>
                    <w:t>6 368.7</w:t>
                  </w:r>
                </w:p>
              </w:tc>
            </w:tr>
          </w:tbl>
          <w:p w14:paraId="78AFFD9F" w14:textId="77777777" w:rsidR="00C8386A" w:rsidRPr="00A76F48" w:rsidRDefault="00C8386A"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C8386A" w:rsidRPr="00A76F48" w14:paraId="634B10EC" w14:textId="77777777" w:rsidTr="0083214A">
              <w:trPr>
                <w:trHeight w:val="285"/>
              </w:trPr>
              <w:tc>
                <w:tcPr>
                  <w:tcW w:w="2290" w:type="dxa"/>
                  <w:tcBorders>
                    <w:top w:val="nil"/>
                    <w:left w:val="nil"/>
                    <w:bottom w:val="nil"/>
                    <w:right w:val="nil"/>
                  </w:tcBorders>
                  <w:vAlign w:val="bottom"/>
                </w:tcPr>
                <w:p w14:paraId="12A1C68F" w14:textId="77777777" w:rsidR="00C8386A" w:rsidRPr="00A76F48" w:rsidRDefault="00C8386A" w:rsidP="0083214A">
                  <w:pPr>
                    <w:jc w:val="right"/>
                    <w:rPr>
                      <w:noProof/>
                    </w:rPr>
                  </w:pPr>
                  <w:r w:rsidRPr="00A76F48">
                    <w:rPr>
                      <w:rFonts w:ascii="Calibri" w:hAnsi="Calibri" w:cs="Calibri"/>
                      <w:noProof/>
                      <w:color w:val="000000"/>
                    </w:rPr>
                    <w:t>6 381.6</w:t>
                  </w:r>
                </w:p>
              </w:tc>
            </w:tr>
          </w:tbl>
          <w:p w14:paraId="51D517AF" w14:textId="77777777" w:rsidR="00C8386A" w:rsidRPr="00A76F48" w:rsidRDefault="00C8386A"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C8386A" w:rsidRPr="00A76F48" w14:paraId="7F7EF4C8" w14:textId="77777777" w:rsidTr="0083214A">
              <w:trPr>
                <w:trHeight w:val="285"/>
              </w:trPr>
              <w:tc>
                <w:tcPr>
                  <w:tcW w:w="2290" w:type="dxa"/>
                  <w:tcBorders>
                    <w:top w:val="nil"/>
                    <w:left w:val="nil"/>
                    <w:bottom w:val="nil"/>
                    <w:right w:val="nil"/>
                  </w:tcBorders>
                  <w:vAlign w:val="bottom"/>
                </w:tcPr>
                <w:p w14:paraId="76FA6844" w14:textId="77777777" w:rsidR="00C8386A" w:rsidRPr="00A76F48" w:rsidRDefault="00C8386A" w:rsidP="0083214A">
                  <w:pPr>
                    <w:jc w:val="right"/>
                    <w:rPr>
                      <w:noProof/>
                    </w:rPr>
                  </w:pPr>
                  <w:r w:rsidRPr="00A76F48">
                    <w:rPr>
                      <w:rFonts w:ascii="Calibri" w:hAnsi="Calibri" w:cs="Calibri"/>
                      <w:noProof/>
                      <w:color w:val="000000"/>
                    </w:rPr>
                    <w:t>100%</w:t>
                  </w:r>
                </w:p>
              </w:tc>
            </w:tr>
          </w:tbl>
          <w:p w14:paraId="44819511" w14:textId="77777777" w:rsidR="00C8386A" w:rsidRPr="00A76F48" w:rsidRDefault="00C8386A" w:rsidP="0083214A">
            <w:pPr>
              <w:jc w:val="center"/>
              <w:cnfStyle w:val="000000000000" w:firstRow="0" w:lastRow="0" w:firstColumn="0" w:lastColumn="0" w:oddVBand="0" w:evenVBand="0" w:oddHBand="0" w:evenHBand="0" w:firstRowFirstColumn="0" w:firstRowLastColumn="0" w:lastRowFirstColumn="0" w:lastRowLastColumn="0"/>
              <w:rPr>
                <w:noProof/>
              </w:rPr>
            </w:pPr>
          </w:p>
        </w:tc>
      </w:tr>
      <w:tr w:rsidR="00C8386A" w:rsidRPr="00A76F48" w14:paraId="1B5118FC"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57F2FCD9" w14:textId="77777777" w:rsidR="00C8386A" w:rsidRPr="00A76F48" w:rsidRDefault="00C8386A" w:rsidP="0083214A">
            <w:pPr>
              <w:jc w:val="center"/>
              <w:rPr>
                <w:noProof/>
              </w:rPr>
            </w:pPr>
            <w:r w:rsidRPr="00A76F48">
              <w:rPr>
                <w:noProof/>
              </w:rPr>
              <w:t>Payments</w:t>
            </w:r>
          </w:p>
        </w:tc>
        <w:tc>
          <w:tcPr>
            <w:tcW w:w="2410" w:type="dxa"/>
          </w:tcPr>
          <w:tbl>
            <w:tblPr>
              <w:tblStyle w:val="TableGrid"/>
              <w:tblW w:w="0" w:type="auto"/>
              <w:tblLook w:val="06A0" w:firstRow="1" w:lastRow="0" w:firstColumn="1" w:lastColumn="0" w:noHBand="1" w:noVBand="1"/>
            </w:tblPr>
            <w:tblGrid>
              <w:gridCol w:w="2194"/>
            </w:tblGrid>
            <w:tr w:rsidR="00C8386A" w:rsidRPr="00A76F48" w14:paraId="2FB6B423" w14:textId="77777777" w:rsidTr="0083214A">
              <w:trPr>
                <w:trHeight w:val="285"/>
              </w:trPr>
              <w:tc>
                <w:tcPr>
                  <w:tcW w:w="2290" w:type="dxa"/>
                  <w:tcBorders>
                    <w:top w:val="nil"/>
                    <w:left w:val="nil"/>
                    <w:bottom w:val="nil"/>
                    <w:right w:val="nil"/>
                  </w:tcBorders>
                  <w:vAlign w:val="bottom"/>
                </w:tcPr>
                <w:p w14:paraId="1FDB00B4" w14:textId="77777777" w:rsidR="00C8386A" w:rsidRPr="00A76F48" w:rsidRDefault="00C8386A" w:rsidP="0083214A">
                  <w:pPr>
                    <w:jc w:val="right"/>
                    <w:rPr>
                      <w:noProof/>
                    </w:rPr>
                  </w:pPr>
                  <w:r w:rsidRPr="00A76F48">
                    <w:rPr>
                      <w:rFonts w:ascii="Calibri" w:hAnsi="Calibri" w:cs="Calibri"/>
                      <w:noProof/>
                      <w:color w:val="000000"/>
                    </w:rPr>
                    <w:t>4 105.4</w:t>
                  </w:r>
                </w:p>
              </w:tc>
            </w:tr>
          </w:tbl>
          <w:p w14:paraId="0F2965C7" w14:textId="77777777" w:rsidR="00C8386A" w:rsidRPr="00A76F48" w:rsidRDefault="00C8386A"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42324C93" w14:textId="77777777" w:rsidR="00C8386A" w:rsidRPr="00A76F48" w:rsidRDefault="00C8386A"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C8386A" w:rsidRPr="00A76F48" w14:paraId="71B65CBB" w14:textId="77777777" w:rsidTr="0083214A">
              <w:trPr>
                <w:trHeight w:val="285"/>
              </w:trPr>
              <w:tc>
                <w:tcPr>
                  <w:tcW w:w="2235" w:type="dxa"/>
                  <w:tcBorders>
                    <w:top w:val="nil"/>
                    <w:left w:val="nil"/>
                    <w:bottom w:val="nil"/>
                    <w:right w:val="nil"/>
                  </w:tcBorders>
                  <w:vAlign w:val="bottom"/>
                </w:tcPr>
                <w:p w14:paraId="1EB06F9B" w14:textId="77777777" w:rsidR="00C8386A" w:rsidRPr="00A76F48" w:rsidRDefault="00C8386A" w:rsidP="0083214A">
                  <w:pPr>
                    <w:jc w:val="right"/>
                    <w:rPr>
                      <w:noProof/>
                    </w:rPr>
                  </w:pPr>
                  <w:r w:rsidRPr="00A76F48">
                    <w:rPr>
                      <w:rFonts w:ascii="Calibri" w:hAnsi="Calibri" w:cs="Calibri"/>
                      <w:noProof/>
                      <w:color w:val="000000"/>
                    </w:rPr>
                    <w:t>64%</w:t>
                  </w:r>
                </w:p>
              </w:tc>
            </w:tr>
          </w:tbl>
          <w:p w14:paraId="7C106073" w14:textId="77777777" w:rsidR="00C8386A" w:rsidRPr="00A76F48" w:rsidRDefault="00C8386A" w:rsidP="0083214A">
            <w:pPr>
              <w:jc w:val="center"/>
              <w:cnfStyle w:val="000000000000" w:firstRow="0" w:lastRow="0" w:firstColumn="0" w:lastColumn="0" w:oddVBand="0" w:evenVBand="0" w:oddHBand="0" w:evenHBand="0" w:firstRowFirstColumn="0" w:firstRowLastColumn="0" w:lastRowFirstColumn="0" w:lastRowLastColumn="0"/>
              <w:rPr>
                <w:noProof/>
              </w:rPr>
            </w:pPr>
          </w:p>
        </w:tc>
      </w:tr>
    </w:tbl>
    <w:p w14:paraId="1138431B" w14:textId="77777777" w:rsidR="00C8386A" w:rsidRPr="00A76F48" w:rsidRDefault="00C8386A" w:rsidP="00C8386A">
      <w:pPr>
        <w:pStyle w:val="ppoListHyphened-L1"/>
        <w:rPr>
          <w:noProof/>
        </w:rPr>
      </w:pPr>
      <w:r w:rsidRPr="00A76F48">
        <w:rPr>
          <w:noProof/>
        </w:rPr>
        <w:t>By the end of December 2020, all appropriations available under the EMFF had been successfully committed. As of January 2021, no further commitments were possible for the EMFF. The implementation of the programme was at full speed in 2021, in terms of both the part of the fund executed under direct management action and the part implemented by the Member States.</w:t>
      </w:r>
    </w:p>
    <w:p w14:paraId="36732831" w14:textId="77777777" w:rsidR="00C8386A" w:rsidRPr="00A76F48" w:rsidRDefault="00C8386A" w:rsidP="00C8386A">
      <w:pPr>
        <w:pStyle w:val="ppoListHyphened-L1"/>
        <w:rPr>
          <w:noProof/>
          <w:sz w:val="23"/>
          <w:szCs w:val="23"/>
        </w:rPr>
      </w:pPr>
      <w:r w:rsidRPr="00A76F48">
        <w:rPr>
          <w:noProof/>
        </w:rPr>
        <w:t xml:space="preserve">In 2020 (the most recent year for which complete validated data are available on the shared management implementation), the pace of implementation </w:t>
      </w:r>
      <w:r w:rsidRPr="00EB2E5B">
        <w:rPr>
          <w:bCs/>
          <w:noProof/>
        </w:rPr>
        <w:t>at the level of the Member States</w:t>
      </w:r>
      <w:r w:rsidRPr="007F4601">
        <w:rPr>
          <w:bCs/>
          <w:noProof/>
        </w:rPr>
        <w:t xml:space="preserve"> increased: EUR</w:t>
      </w:r>
      <w:r w:rsidRPr="00A76F48">
        <w:rPr>
          <w:rFonts w:ascii="Calibri" w:hAnsi="Calibri" w:cs="Calibri"/>
          <w:bCs/>
          <w:noProof/>
        </w:rPr>
        <w:t> </w:t>
      </w:r>
      <w:r w:rsidRPr="007F4601">
        <w:rPr>
          <w:bCs/>
          <w:noProof/>
        </w:rPr>
        <w:t>797</w:t>
      </w:r>
      <w:r w:rsidRPr="00A76F48">
        <w:rPr>
          <w:rFonts w:ascii="Calibri" w:hAnsi="Calibri" w:cs="Calibri"/>
          <w:bCs/>
          <w:noProof/>
        </w:rPr>
        <w:t> </w:t>
      </w:r>
      <w:r w:rsidRPr="007F4601">
        <w:rPr>
          <w:bCs/>
          <w:noProof/>
        </w:rPr>
        <w:t>million w</w:t>
      </w:r>
      <w:r w:rsidRPr="00A76F48">
        <w:rPr>
          <w:bCs/>
          <w:noProof/>
        </w:rPr>
        <w:t>as</w:t>
      </w:r>
      <w:r w:rsidRPr="007F4601">
        <w:rPr>
          <w:bCs/>
          <w:noProof/>
        </w:rPr>
        <w:t xml:space="preserve"> committed to specific </w:t>
      </w:r>
      <w:r w:rsidRPr="00EB2E5B">
        <w:rPr>
          <w:bCs/>
          <w:noProof/>
        </w:rPr>
        <w:t xml:space="preserve">initiatives in </w:t>
      </w:r>
      <w:r w:rsidRPr="00A76F48">
        <w:rPr>
          <w:bCs/>
          <w:noProof/>
        </w:rPr>
        <w:t>that year</w:t>
      </w:r>
      <w:r w:rsidRPr="007F4601">
        <w:rPr>
          <w:bCs/>
          <w:noProof/>
        </w:rPr>
        <w:t xml:space="preserve"> (up from EUR</w:t>
      </w:r>
      <w:r w:rsidRPr="00A76F48">
        <w:rPr>
          <w:rFonts w:ascii="Calibri" w:hAnsi="Calibri" w:cs="Calibri"/>
          <w:bCs/>
          <w:noProof/>
        </w:rPr>
        <w:t> </w:t>
      </w:r>
      <w:r w:rsidRPr="007F4601">
        <w:rPr>
          <w:bCs/>
          <w:noProof/>
        </w:rPr>
        <w:t>661</w:t>
      </w:r>
      <w:r w:rsidRPr="00A76F48">
        <w:rPr>
          <w:rFonts w:ascii="Calibri" w:hAnsi="Calibri" w:cs="Calibri"/>
          <w:bCs/>
          <w:noProof/>
        </w:rPr>
        <w:t> </w:t>
      </w:r>
      <w:r w:rsidRPr="007F4601">
        <w:rPr>
          <w:bCs/>
          <w:noProof/>
        </w:rPr>
        <w:t>million in 2019). Cumulatively, EUR</w:t>
      </w:r>
      <w:r w:rsidRPr="00A76F48">
        <w:rPr>
          <w:rFonts w:ascii="Calibri" w:hAnsi="Calibri" w:cs="Calibri"/>
          <w:bCs/>
          <w:noProof/>
        </w:rPr>
        <w:t> </w:t>
      </w:r>
      <w:r w:rsidRPr="007F4601">
        <w:rPr>
          <w:bCs/>
          <w:noProof/>
        </w:rPr>
        <w:t>4.1</w:t>
      </w:r>
      <w:r w:rsidRPr="00A76F48">
        <w:rPr>
          <w:rFonts w:ascii="Calibri" w:hAnsi="Calibri" w:cs="Calibri"/>
          <w:bCs/>
          <w:noProof/>
        </w:rPr>
        <w:t> </w:t>
      </w:r>
      <w:r w:rsidRPr="007F4601">
        <w:rPr>
          <w:bCs/>
          <w:noProof/>
        </w:rPr>
        <w:t>billion in EMFF funding has been committed by the Member States, corresponding to 72% of the EUR</w:t>
      </w:r>
      <w:r w:rsidRPr="00A76F48">
        <w:rPr>
          <w:rFonts w:ascii="Calibri" w:hAnsi="Calibri" w:cs="Calibri"/>
          <w:bCs/>
          <w:noProof/>
        </w:rPr>
        <w:t> </w:t>
      </w:r>
      <w:r w:rsidRPr="007F4601">
        <w:rPr>
          <w:bCs/>
          <w:noProof/>
        </w:rPr>
        <w:t>5.7</w:t>
      </w:r>
      <w:r w:rsidRPr="00A76F48">
        <w:rPr>
          <w:rFonts w:ascii="Calibri" w:hAnsi="Calibri" w:cs="Calibri"/>
          <w:bCs/>
          <w:noProof/>
        </w:rPr>
        <w:t> </w:t>
      </w:r>
      <w:r w:rsidRPr="007F4601">
        <w:rPr>
          <w:bCs/>
          <w:noProof/>
        </w:rPr>
        <w:t xml:space="preserve">billion </w:t>
      </w:r>
      <w:r w:rsidRPr="00A76F48">
        <w:rPr>
          <w:bCs/>
          <w:noProof/>
        </w:rPr>
        <w:t>in</w:t>
      </w:r>
      <w:r w:rsidRPr="007F4601">
        <w:rPr>
          <w:bCs/>
          <w:noProof/>
        </w:rPr>
        <w:t xml:space="preserve"> total EMFF funding available. Payments claimed by beneficiaries continued to advance</w:t>
      </w:r>
      <w:r w:rsidRPr="00A76F48">
        <w:rPr>
          <w:bCs/>
          <w:noProof/>
        </w:rPr>
        <w:t>,</w:t>
      </w:r>
      <w:r w:rsidRPr="007F4601">
        <w:rPr>
          <w:bCs/>
          <w:noProof/>
        </w:rPr>
        <w:t xml:space="preserve"> and reached EUR</w:t>
      </w:r>
      <w:r w:rsidRPr="00A76F48">
        <w:rPr>
          <w:rFonts w:ascii="Calibri" w:hAnsi="Calibri" w:cs="Calibri"/>
          <w:bCs/>
          <w:noProof/>
        </w:rPr>
        <w:t> </w:t>
      </w:r>
      <w:r w:rsidRPr="007F4601">
        <w:rPr>
          <w:bCs/>
          <w:noProof/>
        </w:rPr>
        <w:t>2.4</w:t>
      </w:r>
      <w:r w:rsidRPr="00A76F48">
        <w:rPr>
          <w:rFonts w:ascii="Calibri" w:hAnsi="Calibri" w:cs="Calibri"/>
          <w:bCs/>
          <w:noProof/>
        </w:rPr>
        <w:t> </w:t>
      </w:r>
      <w:r w:rsidRPr="007F4601">
        <w:rPr>
          <w:bCs/>
          <w:noProof/>
        </w:rPr>
        <w:t>billion (or 42% of the total shared management funding</w:t>
      </w:r>
      <w:r w:rsidRPr="00A76F48">
        <w:rPr>
          <w:bCs/>
          <w:noProof/>
        </w:rPr>
        <w:t xml:space="preserve"> for the EMFF</w:t>
      </w:r>
      <w:r w:rsidRPr="007F4601">
        <w:rPr>
          <w:bCs/>
          <w:noProof/>
        </w:rPr>
        <w:t>). These sums concern approximately 68</w:t>
      </w:r>
      <w:r w:rsidRPr="00A76F48">
        <w:rPr>
          <w:rFonts w:ascii="Calibri" w:hAnsi="Calibri" w:cs="Calibri"/>
          <w:bCs/>
          <w:noProof/>
        </w:rPr>
        <w:t> </w:t>
      </w:r>
      <w:r w:rsidRPr="007F4601">
        <w:rPr>
          <w:bCs/>
          <w:noProof/>
        </w:rPr>
        <w:t xml:space="preserve">000 operations. At the end of 2021, as regards shared management, </w:t>
      </w:r>
      <w:r w:rsidRPr="00EB2E5B">
        <w:rPr>
          <w:bCs/>
          <w:noProof/>
        </w:rPr>
        <w:t>cumulative EMFF net payments by the Commission to Member States</w:t>
      </w:r>
      <w:r w:rsidRPr="007F4601">
        <w:rPr>
          <w:bCs/>
          <w:noProof/>
        </w:rPr>
        <w:t xml:space="preserve"> totalled just under EUR</w:t>
      </w:r>
      <w:r w:rsidRPr="00A76F48">
        <w:rPr>
          <w:rFonts w:ascii="Calibri" w:hAnsi="Calibri" w:cs="Calibri"/>
          <w:bCs/>
          <w:noProof/>
        </w:rPr>
        <w:t> </w:t>
      </w:r>
      <w:r w:rsidRPr="007F4601">
        <w:rPr>
          <w:bCs/>
          <w:noProof/>
        </w:rPr>
        <w:t>3</w:t>
      </w:r>
      <w:r w:rsidRPr="00A76F48">
        <w:rPr>
          <w:rFonts w:ascii="Calibri" w:hAnsi="Calibri" w:cs="Calibri"/>
          <w:bCs/>
          <w:noProof/>
        </w:rPr>
        <w:t> </w:t>
      </w:r>
      <w:r w:rsidRPr="007F4601">
        <w:rPr>
          <w:bCs/>
          <w:noProof/>
        </w:rPr>
        <w:t>billion. This represents 53% of</w:t>
      </w:r>
      <w:r w:rsidRPr="00A76F48">
        <w:rPr>
          <w:noProof/>
        </w:rPr>
        <w:t xml:space="preserve"> the total amount allocated to the programmes, and shows progress from the position at the end of 2020 (43%).</w:t>
      </w:r>
    </w:p>
    <w:p w14:paraId="7AD9C147" w14:textId="77777777" w:rsidR="00C8386A" w:rsidRPr="00A76F48" w:rsidRDefault="00C8386A" w:rsidP="00C8386A">
      <w:pPr>
        <w:pStyle w:val="ppoListHyphened-L1"/>
        <w:rPr>
          <w:noProof/>
        </w:rPr>
      </w:pPr>
      <w:r w:rsidRPr="00A76F48">
        <w:rPr>
          <w:noProof/>
        </w:rPr>
        <w:t>The cumulative EMFF amount that was decommitted in 2018, 2019 and 2020 totals EUR</w:t>
      </w:r>
      <w:r w:rsidRPr="00A76F48">
        <w:rPr>
          <w:rFonts w:ascii="Calibri" w:hAnsi="Calibri" w:cs="Calibri"/>
          <w:noProof/>
        </w:rPr>
        <w:t> </w:t>
      </w:r>
      <w:r w:rsidRPr="00A76F48">
        <w:rPr>
          <w:noProof/>
        </w:rPr>
        <w:t>97.6</w:t>
      </w:r>
      <w:r w:rsidRPr="00A76F48">
        <w:rPr>
          <w:rFonts w:ascii="Calibri" w:hAnsi="Calibri" w:cs="Calibri"/>
          <w:noProof/>
        </w:rPr>
        <w:t> </w:t>
      </w:r>
      <w:r w:rsidRPr="00A76F48">
        <w:rPr>
          <w:noProof/>
        </w:rPr>
        <w:t>million. At the end of 2021, the maximum decommitment amounts could have increased to an additional EUR</w:t>
      </w:r>
      <w:r w:rsidRPr="00A76F48">
        <w:rPr>
          <w:rFonts w:ascii="Calibri" w:hAnsi="Calibri" w:cs="Calibri"/>
          <w:noProof/>
        </w:rPr>
        <w:t> </w:t>
      </w:r>
      <w:r w:rsidRPr="00A76F48">
        <w:rPr>
          <w:noProof/>
        </w:rPr>
        <w:t>42.4</w:t>
      </w:r>
      <w:r w:rsidRPr="00A76F48">
        <w:rPr>
          <w:rFonts w:ascii="Calibri" w:hAnsi="Calibri" w:cs="Calibri"/>
          <w:noProof/>
        </w:rPr>
        <w:t> </w:t>
      </w:r>
      <w:r w:rsidRPr="00A76F48">
        <w:rPr>
          <w:noProof/>
        </w:rPr>
        <w:t>million. However, the final amount will only be known once the Member States concerned have sent justifications to reduce this amount.</w:t>
      </w:r>
    </w:p>
    <w:p w14:paraId="0ED8CD10" w14:textId="77777777" w:rsidR="00C8386A" w:rsidRPr="00A76F48" w:rsidRDefault="00C8386A" w:rsidP="00C8386A">
      <w:pPr>
        <w:pStyle w:val="ppoListHyphened-L1"/>
        <w:rPr>
          <w:noProof/>
        </w:rPr>
      </w:pPr>
      <w:r w:rsidRPr="00A76F48">
        <w:rPr>
          <w:noProof/>
        </w:rPr>
        <w:t xml:space="preserve">Each autumn, during the expert group meeting, Member States are reminded of the </w:t>
      </w:r>
      <w:r w:rsidRPr="00EB2E5B">
        <w:rPr>
          <w:i/>
          <w:iCs/>
          <w:noProof/>
        </w:rPr>
        <w:t>n</w:t>
      </w:r>
      <w:r w:rsidRPr="00A76F48">
        <w:rPr>
          <w:rFonts w:ascii="Calibri" w:hAnsi="Calibri" w:cs="Calibri"/>
          <w:noProof/>
        </w:rPr>
        <w:t> </w:t>
      </w:r>
      <w:r w:rsidRPr="00A76F48">
        <w:rPr>
          <w:noProof/>
        </w:rPr>
        <w:t>+</w:t>
      </w:r>
      <w:r w:rsidRPr="00A76F48">
        <w:rPr>
          <w:rFonts w:ascii="Calibri" w:hAnsi="Calibri" w:cs="Calibri"/>
          <w:noProof/>
        </w:rPr>
        <w:t> </w:t>
      </w:r>
      <w:r w:rsidRPr="00A76F48">
        <w:rPr>
          <w:noProof/>
        </w:rPr>
        <w:t>3 decommitment risk, and all reasonable steps are taken to encourage them to submit claims in good time.</w:t>
      </w:r>
    </w:p>
    <w:p w14:paraId="2E3F937D" w14:textId="77777777" w:rsidR="00C8386A" w:rsidRPr="00A76F48" w:rsidRDefault="00C8386A" w:rsidP="00C8386A">
      <w:pPr>
        <w:pStyle w:val="ppoHeading5"/>
        <w:rPr>
          <w:noProof/>
        </w:rPr>
      </w:pPr>
      <w:r w:rsidRPr="00A76F48">
        <w:rPr>
          <w:noProof/>
        </w:rPr>
        <w:t>Performance assessment</w:t>
      </w:r>
    </w:p>
    <w:p w14:paraId="5809F07C" w14:textId="77777777" w:rsidR="00C8386A" w:rsidRPr="00A76F48" w:rsidRDefault="00C8386A" w:rsidP="00C8386A">
      <w:pPr>
        <w:pStyle w:val="ppoHeading6"/>
        <w:rPr>
          <w:noProof/>
        </w:rPr>
      </w:pPr>
      <w:r w:rsidRPr="00A76F48">
        <w:rPr>
          <w:noProof/>
        </w:rPr>
        <w:t>Key performance indicators</w:t>
      </w:r>
    </w:p>
    <w:tbl>
      <w:tblPr>
        <w:tblStyle w:val="PPO2021"/>
        <w:tblW w:w="9639" w:type="dxa"/>
        <w:tblInd w:w="0" w:type="dxa"/>
        <w:tblLook w:val="0420" w:firstRow="1" w:lastRow="0" w:firstColumn="0" w:lastColumn="0" w:noHBand="0" w:noVBand="1"/>
      </w:tblPr>
      <w:tblGrid>
        <w:gridCol w:w="2309"/>
        <w:gridCol w:w="1099"/>
        <w:gridCol w:w="1517"/>
        <w:gridCol w:w="1518"/>
        <w:gridCol w:w="1620"/>
        <w:gridCol w:w="1576"/>
      </w:tblGrid>
      <w:tr w:rsidR="00C8386A" w:rsidRPr="00A76F48" w14:paraId="7EFC91BA" w14:textId="77777777" w:rsidTr="0083214A">
        <w:trPr>
          <w:cnfStyle w:val="100000000000" w:firstRow="1" w:lastRow="0" w:firstColumn="0" w:lastColumn="0" w:oddVBand="0" w:evenVBand="0" w:oddHBand="0" w:evenHBand="0" w:firstRowFirstColumn="0" w:firstRowLastColumn="0" w:lastRowFirstColumn="0" w:lastRowLastColumn="0"/>
        </w:trPr>
        <w:tc>
          <w:tcPr>
            <w:tcW w:w="2330" w:type="dxa"/>
          </w:tcPr>
          <w:p w14:paraId="105BA93B" w14:textId="77777777" w:rsidR="00C8386A" w:rsidRPr="00A76F48" w:rsidRDefault="00C8386A" w:rsidP="0083214A">
            <w:pPr>
              <w:rPr>
                <w:noProof/>
              </w:rPr>
            </w:pPr>
          </w:p>
        </w:tc>
        <w:tc>
          <w:tcPr>
            <w:tcW w:w="1100" w:type="dxa"/>
          </w:tcPr>
          <w:p w14:paraId="2777EA4B" w14:textId="77777777" w:rsidR="00C8386A" w:rsidRPr="00A76F48" w:rsidRDefault="00C8386A" w:rsidP="0083214A">
            <w:pPr>
              <w:rPr>
                <w:noProof/>
              </w:rPr>
            </w:pPr>
            <w:r w:rsidRPr="00A76F48">
              <w:rPr>
                <w:noProof/>
              </w:rPr>
              <w:t>Baseline</w:t>
            </w:r>
          </w:p>
        </w:tc>
        <w:tc>
          <w:tcPr>
            <w:tcW w:w="1526" w:type="dxa"/>
          </w:tcPr>
          <w:p w14:paraId="3E63F904" w14:textId="77777777" w:rsidR="00C8386A" w:rsidRPr="00A76F48" w:rsidRDefault="00C8386A" w:rsidP="0083214A">
            <w:pPr>
              <w:rPr>
                <w:noProof/>
              </w:rPr>
            </w:pPr>
            <w:r w:rsidRPr="00A76F48">
              <w:rPr>
                <w:noProof/>
              </w:rPr>
              <w:t>Progress</w:t>
            </w:r>
            <w:r>
              <w:rPr>
                <w:noProof/>
              </w:rPr>
              <w:t xml:space="preserve"> (*)</w:t>
            </w:r>
          </w:p>
        </w:tc>
        <w:tc>
          <w:tcPr>
            <w:tcW w:w="1532" w:type="dxa"/>
          </w:tcPr>
          <w:p w14:paraId="1C54EA05" w14:textId="77777777" w:rsidR="00C8386A" w:rsidRPr="00A76F48" w:rsidRDefault="00C8386A" w:rsidP="0083214A">
            <w:pPr>
              <w:rPr>
                <w:noProof/>
              </w:rPr>
            </w:pPr>
            <w:r w:rsidRPr="00A76F48">
              <w:rPr>
                <w:noProof/>
              </w:rPr>
              <w:t>Target</w:t>
            </w:r>
          </w:p>
        </w:tc>
        <w:tc>
          <w:tcPr>
            <w:tcW w:w="1572" w:type="dxa"/>
          </w:tcPr>
          <w:p w14:paraId="00A273F3" w14:textId="77777777" w:rsidR="00C8386A" w:rsidRPr="00A76F48" w:rsidRDefault="00C8386A" w:rsidP="0083214A">
            <w:pPr>
              <w:rPr>
                <w:noProof/>
              </w:rPr>
            </w:pPr>
            <w:r w:rsidRPr="00A76F48">
              <w:rPr>
                <w:noProof/>
              </w:rPr>
              <w:t>Results</w:t>
            </w:r>
          </w:p>
        </w:tc>
        <w:tc>
          <w:tcPr>
            <w:tcW w:w="1579" w:type="dxa"/>
          </w:tcPr>
          <w:p w14:paraId="7346D23E" w14:textId="77777777" w:rsidR="00C8386A" w:rsidRPr="00A76F48" w:rsidRDefault="00C8386A" w:rsidP="0083214A">
            <w:pPr>
              <w:rPr>
                <w:noProof/>
              </w:rPr>
            </w:pPr>
            <w:r w:rsidRPr="00A76F48">
              <w:rPr>
                <w:noProof/>
              </w:rPr>
              <w:t>Assessment</w:t>
            </w:r>
          </w:p>
        </w:tc>
      </w:tr>
      <w:tr w:rsidR="00C8386A" w:rsidRPr="00A76F48" w14:paraId="71115CA9"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3A6F8608" w14:textId="77777777" w:rsidR="00C8386A" w:rsidRPr="00A76F48" w:rsidRDefault="00C8386A" w:rsidP="0083214A">
            <w:pPr>
              <w:rPr>
                <w:noProof/>
              </w:rPr>
            </w:pPr>
            <w:r w:rsidRPr="00A76F48">
              <w:rPr>
                <w:noProof/>
              </w:rPr>
              <w:t xml:space="preserve">Value of aquaculture </w:t>
            </w:r>
            <w:r w:rsidRPr="009F19D1">
              <w:rPr>
                <w:noProof/>
              </w:rPr>
              <w:t>production in the</w:t>
            </w:r>
            <w:r w:rsidRPr="00A76F48">
              <w:rPr>
                <w:noProof/>
              </w:rPr>
              <w:t xml:space="preserve"> EU (billion</w:t>
            </w:r>
            <w:r w:rsidRPr="00EB2E5B">
              <w:rPr>
                <w:noProof/>
              </w:rPr>
              <w:t xml:space="preserve"> </w:t>
            </w:r>
            <w:r w:rsidRPr="00A76F48">
              <w:rPr>
                <w:noProof/>
              </w:rPr>
              <w:t xml:space="preserve">EUR) </w:t>
            </w:r>
          </w:p>
        </w:tc>
        <w:tc>
          <w:tcPr>
            <w:tcW w:w="1100" w:type="dxa"/>
          </w:tcPr>
          <w:p w14:paraId="6375A550" w14:textId="77777777" w:rsidR="00C8386A" w:rsidRPr="00A76F48" w:rsidRDefault="00C8386A" w:rsidP="0083214A">
            <w:pPr>
              <w:jc w:val="center"/>
              <w:rPr>
                <w:noProof/>
              </w:rPr>
            </w:pPr>
            <w:r>
              <w:rPr>
                <w:noProof/>
              </w:rPr>
              <w:t>0 (**)</w:t>
            </w:r>
          </w:p>
        </w:tc>
        <w:tc>
          <w:tcPr>
            <w:tcW w:w="1526" w:type="dxa"/>
          </w:tcPr>
          <w:p w14:paraId="3353E80C" w14:textId="77777777" w:rsidR="00C8386A" w:rsidRPr="00A76F48" w:rsidRDefault="00C8386A" w:rsidP="0083214A">
            <w:pPr>
              <w:jc w:val="center"/>
              <w:rPr>
                <w:b/>
                <w:noProof/>
              </w:rPr>
            </w:pPr>
            <w:r w:rsidRPr="00A76F48">
              <w:rPr>
                <w:b/>
                <w:noProof/>
              </w:rPr>
              <w:t>93%</w:t>
            </w:r>
            <w:r w:rsidRPr="00A76F48">
              <w:rPr>
                <w:rFonts w:ascii="Calibri" w:hAnsi="Calibri" w:cs="Calibri"/>
                <w:bCs/>
                <w:noProof/>
              </w:rPr>
              <w:t> </w:t>
            </w:r>
            <w:r w:rsidRPr="00EB2E5B">
              <w:rPr>
                <w:bCs/>
                <w:noProof/>
              </w:rPr>
              <w:t>(</w:t>
            </w:r>
            <w:r>
              <w:rPr>
                <w:bCs/>
                <w:noProof/>
              </w:rPr>
              <w:t>***</w:t>
            </w:r>
            <w:r w:rsidRPr="00EB2E5B">
              <w:rPr>
                <w:bCs/>
                <w:noProof/>
              </w:rPr>
              <w:t>)</w:t>
            </w:r>
          </w:p>
        </w:tc>
        <w:tc>
          <w:tcPr>
            <w:tcW w:w="1532" w:type="dxa"/>
          </w:tcPr>
          <w:p w14:paraId="34F9E31C" w14:textId="77777777" w:rsidR="00C8386A" w:rsidRPr="00A76F48" w:rsidRDefault="00C8386A" w:rsidP="0083214A">
            <w:pPr>
              <w:jc w:val="center"/>
              <w:rPr>
                <w:noProof/>
              </w:rPr>
            </w:pPr>
            <w:r>
              <w:rPr>
                <w:noProof/>
              </w:rPr>
              <w:t>4.</w:t>
            </w:r>
            <w:r w:rsidRPr="00A76F48">
              <w:rPr>
                <w:noProof/>
              </w:rPr>
              <w:t>43 in 2022</w:t>
            </w:r>
          </w:p>
        </w:tc>
        <w:tc>
          <w:tcPr>
            <w:tcW w:w="1572" w:type="dxa"/>
          </w:tcPr>
          <w:p w14:paraId="718A7F56" w14:textId="77777777" w:rsidR="00C8386A" w:rsidRPr="00A76F48" w:rsidRDefault="00C8386A" w:rsidP="0083214A">
            <w:pPr>
              <w:jc w:val="center"/>
              <w:rPr>
                <w:noProof/>
              </w:rPr>
            </w:pPr>
            <w:r w:rsidRPr="00A76F48">
              <w:rPr>
                <w:noProof/>
              </w:rPr>
              <w:t>EUR</w:t>
            </w:r>
            <w:r w:rsidRPr="00A76F48">
              <w:rPr>
                <w:rFonts w:ascii="Calibri" w:hAnsi="Calibri" w:cs="Calibri"/>
                <w:noProof/>
              </w:rPr>
              <w:t> </w:t>
            </w:r>
            <w:r w:rsidRPr="00A76F48">
              <w:rPr>
                <w:noProof/>
              </w:rPr>
              <w:t>4.1</w:t>
            </w:r>
            <w:r w:rsidRPr="00A76F48">
              <w:rPr>
                <w:rFonts w:ascii="Calibri" w:hAnsi="Calibri" w:cs="Calibri"/>
                <w:noProof/>
              </w:rPr>
              <w:t> </w:t>
            </w:r>
            <w:r w:rsidRPr="00A76F48">
              <w:rPr>
                <w:noProof/>
              </w:rPr>
              <w:t>billion out of the 2023 target of EUR</w:t>
            </w:r>
            <w:r w:rsidRPr="00A76F48">
              <w:rPr>
                <w:rFonts w:ascii="Calibri" w:hAnsi="Calibri" w:cs="Calibri"/>
                <w:noProof/>
              </w:rPr>
              <w:t> </w:t>
            </w:r>
            <w:r w:rsidRPr="00A76F48">
              <w:rPr>
                <w:noProof/>
              </w:rPr>
              <w:t>4.43</w:t>
            </w:r>
            <w:r w:rsidRPr="00A76F48">
              <w:rPr>
                <w:rFonts w:ascii="Calibri" w:hAnsi="Calibri" w:cs="Calibri"/>
                <w:noProof/>
              </w:rPr>
              <w:t> </w:t>
            </w:r>
            <w:r w:rsidRPr="00A76F48">
              <w:rPr>
                <w:noProof/>
              </w:rPr>
              <w:t>billion (excluding the United Kingdom)</w:t>
            </w:r>
          </w:p>
        </w:tc>
        <w:tc>
          <w:tcPr>
            <w:tcW w:w="1579" w:type="dxa"/>
          </w:tcPr>
          <w:p w14:paraId="69440219" w14:textId="77777777" w:rsidR="00C8386A" w:rsidRPr="00A76F48" w:rsidRDefault="00C8386A" w:rsidP="0083214A">
            <w:pPr>
              <w:jc w:val="center"/>
              <w:rPr>
                <w:noProof/>
              </w:rPr>
            </w:pPr>
            <w:r w:rsidRPr="00A76F48">
              <w:rPr>
                <w:noProof/>
              </w:rPr>
              <w:t>On track</w:t>
            </w:r>
          </w:p>
        </w:tc>
      </w:tr>
      <w:tr w:rsidR="00C8386A" w:rsidRPr="00A76F48" w14:paraId="58E89EC4"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421CA898" w14:textId="77777777" w:rsidR="00C8386A" w:rsidRPr="00A76F48" w:rsidRDefault="00C8386A" w:rsidP="0083214A">
            <w:pPr>
              <w:rPr>
                <w:noProof/>
              </w:rPr>
            </w:pPr>
            <w:r w:rsidRPr="00A76F48">
              <w:rPr>
                <w:noProof/>
              </w:rPr>
              <w:t xml:space="preserve">Level of employment maintained with support from the EMFF (number of jobs) </w:t>
            </w:r>
          </w:p>
        </w:tc>
        <w:tc>
          <w:tcPr>
            <w:tcW w:w="1100" w:type="dxa"/>
          </w:tcPr>
          <w:p w14:paraId="607CA9F5" w14:textId="77777777" w:rsidR="00C8386A" w:rsidRPr="00A76F48" w:rsidRDefault="00C8386A" w:rsidP="0083214A">
            <w:pPr>
              <w:jc w:val="center"/>
              <w:rPr>
                <w:noProof/>
              </w:rPr>
            </w:pPr>
            <w:r w:rsidRPr="00A76F48">
              <w:rPr>
                <w:noProof/>
              </w:rPr>
              <w:t>0</w:t>
            </w:r>
          </w:p>
        </w:tc>
        <w:tc>
          <w:tcPr>
            <w:tcW w:w="1526" w:type="dxa"/>
          </w:tcPr>
          <w:p w14:paraId="2990F492" w14:textId="77777777" w:rsidR="00C8386A" w:rsidRPr="00A76F48" w:rsidRDefault="00C8386A" w:rsidP="0083214A">
            <w:pPr>
              <w:jc w:val="center"/>
              <w:rPr>
                <w:b/>
                <w:noProof/>
              </w:rPr>
            </w:pPr>
            <w:r w:rsidRPr="00A76F48">
              <w:rPr>
                <w:b/>
                <w:noProof/>
              </w:rPr>
              <w:t>76%</w:t>
            </w:r>
          </w:p>
        </w:tc>
        <w:tc>
          <w:tcPr>
            <w:tcW w:w="1532" w:type="dxa"/>
          </w:tcPr>
          <w:p w14:paraId="39035357" w14:textId="77777777" w:rsidR="00C8386A" w:rsidRPr="00A76F48" w:rsidRDefault="00C8386A" w:rsidP="0083214A">
            <w:pPr>
              <w:jc w:val="center"/>
              <w:rPr>
                <w:noProof/>
              </w:rPr>
            </w:pPr>
            <w:r w:rsidRPr="00A76F48">
              <w:rPr>
                <w:noProof/>
              </w:rPr>
              <w:t>41</w:t>
            </w:r>
            <w:r w:rsidRPr="00A76F48">
              <w:rPr>
                <w:rFonts w:ascii="Calibri" w:hAnsi="Calibri" w:cs="Calibri"/>
                <w:noProof/>
              </w:rPr>
              <w:t> </w:t>
            </w:r>
            <w:r w:rsidRPr="00A76F48">
              <w:rPr>
                <w:noProof/>
              </w:rPr>
              <w:t>665 in 2023</w:t>
            </w:r>
          </w:p>
        </w:tc>
        <w:tc>
          <w:tcPr>
            <w:tcW w:w="1572" w:type="dxa"/>
          </w:tcPr>
          <w:p w14:paraId="4FA10353" w14:textId="77777777" w:rsidR="00C8386A" w:rsidRPr="00A76F48" w:rsidRDefault="00C8386A" w:rsidP="0083214A">
            <w:pPr>
              <w:jc w:val="center"/>
              <w:rPr>
                <w:noProof/>
              </w:rPr>
            </w:pPr>
            <w:r w:rsidRPr="00A76F48">
              <w:rPr>
                <w:noProof/>
              </w:rPr>
              <w:t>31</w:t>
            </w:r>
            <w:r w:rsidRPr="00A76F48">
              <w:rPr>
                <w:rFonts w:ascii="Calibri" w:hAnsi="Calibri" w:cs="Calibri"/>
                <w:noProof/>
              </w:rPr>
              <w:t> </w:t>
            </w:r>
            <w:r w:rsidRPr="00A76F48">
              <w:rPr>
                <w:noProof/>
              </w:rPr>
              <w:t>594 jobs out of a target of 41</w:t>
            </w:r>
            <w:r w:rsidRPr="00A76F48">
              <w:rPr>
                <w:rFonts w:ascii="Calibri" w:hAnsi="Calibri" w:cs="Calibri"/>
                <w:noProof/>
              </w:rPr>
              <w:t> </w:t>
            </w:r>
            <w:r w:rsidRPr="00A76F48">
              <w:rPr>
                <w:noProof/>
              </w:rPr>
              <w:t>665</w:t>
            </w:r>
          </w:p>
        </w:tc>
        <w:tc>
          <w:tcPr>
            <w:tcW w:w="1579" w:type="dxa"/>
          </w:tcPr>
          <w:p w14:paraId="6F09755F" w14:textId="77777777" w:rsidR="00C8386A" w:rsidRPr="00A76F48" w:rsidRDefault="00C8386A" w:rsidP="0083214A">
            <w:pPr>
              <w:jc w:val="center"/>
              <w:rPr>
                <w:noProof/>
              </w:rPr>
            </w:pPr>
            <w:r w:rsidRPr="00A76F48">
              <w:rPr>
                <w:noProof/>
              </w:rPr>
              <w:t>On track</w:t>
            </w:r>
          </w:p>
        </w:tc>
      </w:tr>
      <w:tr w:rsidR="00C8386A" w:rsidRPr="00A76F48" w14:paraId="0D346C3A"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6F1FBCB6" w14:textId="77777777" w:rsidR="00C8386A" w:rsidRPr="00A76F48" w:rsidRDefault="00C8386A" w:rsidP="0083214A">
            <w:pPr>
              <w:rPr>
                <w:noProof/>
              </w:rPr>
            </w:pPr>
            <w:r w:rsidRPr="00A76F48">
              <w:rPr>
                <w:noProof/>
              </w:rPr>
              <w:t>Number of local strategies selected by local fishery action groups</w:t>
            </w:r>
          </w:p>
        </w:tc>
        <w:tc>
          <w:tcPr>
            <w:tcW w:w="1100" w:type="dxa"/>
          </w:tcPr>
          <w:p w14:paraId="2F978775" w14:textId="77777777" w:rsidR="00C8386A" w:rsidRPr="00A76F48" w:rsidRDefault="00C8386A" w:rsidP="0083214A">
            <w:pPr>
              <w:jc w:val="center"/>
              <w:rPr>
                <w:noProof/>
              </w:rPr>
            </w:pPr>
            <w:r>
              <w:rPr>
                <w:noProof/>
              </w:rPr>
              <w:t>0</w:t>
            </w:r>
          </w:p>
        </w:tc>
        <w:tc>
          <w:tcPr>
            <w:tcW w:w="1526" w:type="dxa"/>
          </w:tcPr>
          <w:p w14:paraId="6334585C" w14:textId="77777777" w:rsidR="00C8386A" w:rsidRPr="00A76F48" w:rsidRDefault="00C8386A" w:rsidP="0083214A">
            <w:pPr>
              <w:jc w:val="center"/>
              <w:rPr>
                <w:b/>
                <w:noProof/>
              </w:rPr>
            </w:pPr>
            <w:r w:rsidRPr="00A76F48">
              <w:rPr>
                <w:b/>
                <w:noProof/>
              </w:rPr>
              <w:t>&gt;</w:t>
            </w:r>
            <w:r w:rsidRPr="00A76F48">
              <w:rPr>
                <w:rFonts w:ascii="Calibri" w:hAnsi="Calibri" w:cs="Calibri"/>
                <w:b/>
                <w:noProof/>
              </w:rPr>
              <w:t> </w:t>
            </w:r>
            <w:r w:rsidRPr="00A76F48">
              <w:rPr>
                <w:b/>
                <w:noProof/>
              </w:rPr>
              <w:t>100%</w:t>
            </w:r>
          </w:p>
        </w:tc>
        <w:tc>
          <w:tcPr>
            <w:tcW w:w="1532" w:type="dxa"/>
          </w:tcPr>
          <w:p w14:paraId="6A2EBED9" w14:textId="77777777" w:rsidR="00C8386A" w:rsidRPr="00A76F48" w:rsidRDefault="00C8386A" w:rsidP="0083214A">
            <w:pPr>
              <w:jc w:val="center"/>
              <w:rPr>
                <w:noProof/>
              </w:rPr>
            </w:pPr>
            <w:r w:rsidRPr="00A76F48">
              <w:rPr>
                <w:noProof/>
              </w:rPr>
              <w:t>276 in 2022</w:t>
            </w:r>
          </w:p>
        </w:tc>
        <w:tc>
          <w:tcPr>
            <w:tcW w:w="1572" w:type="dxa"/>
          </w:tcPr>
          <w:p w14:paraId="1E5C8D96" w14:textId="77777777" w:rsidR="00C8386A" w:rsidRPr="00A76F48" w:rsidRDefault="00C8386A" w:rsidP="0083214A">
            <w:pPr>
              <w:jc w:val="center"/>
              <w:rPr>
                <w:noProof/>
              </w:rPr>
            </w:pPr>
            <w:r w:rsidRPr="00A76F48">
              <w:rPr>
                <w:noProof/>
              </w:rPr>
              <w:t>348 strategies compared to a target of 276</w:t>
            </w:r>
          </w:p>
        </w:tc>
        <w:tc>
          <w:tcPr>
            <w:tcW w:w="1579" w:type="dxa"/>
          </w:tcPr>
          <w:p w14:paraId="5FB0658B" w14:textId="77777777" w:rsidR="00C8386A" w:rsidRPr="00A76F48" w:rsidRDefault="00C8386A" w:rsidP="0083214A">
            <w:pPr>
              <w:jc w:val="center"/>
              <w:rPr>
                <w:noProof/>
              </w:rPr>
            </w:pPr>
            <w:r w:rsidRPr="00A76F48">
              <w:rPr>
                <w:noProof/>
              </w:rPr>
              <w:t>On track</w:t>
            </w:r>
          </w:p>
        </w:tc>
      </w:tr>
    </w:tbl>
    <w:p w14:paraId="2F28A1AC" w14:textId="77777777" w:rsidR="00C8386A" w:rsidRDefault="00C8386A" w:rsidP="00C8386A">
      <w:pPr>
        <w:pStyle w:val="FootnoteText"/>
        <w:rPr>
          <w:noProof/>
        </w:rPr>
      </w:pPr>
      <w:r w:rsidRPr="00A76F48">
        <w:rPr>
          <w:noProof/>
        </w:rPr>
        <w:t>(</w:t>
      </w:r>
      <w:r>
        <w:rPr>
          <w:noProof/>
        </w:rPr>
        <w:t>*</w:t>
      </w:r>
      <w:r w:rsidRPr="00A76F48">
        <w:rPr>
          <w:noProof/>
        </w:rPr>
        <w:t>) % of ta</w:t>
      </w:r>
      <w:r>
        <w:rPr>
          <w:noProof/>
        </w:rPr>
        <w:t>rget achieved by the end of 2020</w:t>
      </w:r>
      <w:r w:rsidRPr="00A76F48">
        <w:rPr>
          <w:noProof/>
        </w:rPr>
        <w:t>.</w:t>
      </w:r>
    </w:p>
    <w:p w14:paraId="44CF0A97" w14:textId="77777777" w:rsidR="00C8386A" w:rsidRPr="00A76F48" w:rsidRDefault="00C8386A" w:rsidP="00C8386A">
      <w:pPr>
        <w:pStyle w:val="FootnoteText"/>
        <w:rPr>
          <w:noProof/>
        </w:rPr>
      </w:pPr>
      <w:r>
        <w:rPr>
          <w:noProof/>
        </w:rPr>
        <w:t>(**) Value of aquaculture annual production in the EU in 2013 was EUR 3.85 billion. The baseline is considered to be zero for the calculation of progress towards the target.</w:t>
      </w:r>
    </w:p>
    <w:p w14:paraId="55D62B28" w14:textId="77777777" w:rsidR="00C8386A" w:rsidRPr="00A76F48" w:rsidRDefault="00C8386A" w:rsidP="00C8386A">
      <w:pPr>
        <w:pStyle w:val="FootnoteText"/>
        <w:rPr>
          <w:noProof/>
        </w:rPr>
      </w:pPr>
      <w:r w:rsidRPr="00A76F48">
        <w:rPr>
          <w:noProof/>
        </w:rPr>
        <w:t>(</w:t>
      </w:r>
      <w:r>
        <w:rPr>
          <w:noProof/>
        </w:rPr>
        <w:t>***</w:t>
      </w:r>
      <w:r w:rsidRPr="00A76F48">
        <w:rPr>
          <w:noProof/>
        </w:rPr>
        <w:t>) % of target achieved by t</w:t>
      </w:r>
      <w:r>
        <w:rPr>
          <w:noProof/>
        </w:rPr>
        <w:t>he end of 2018</w:t>
      </w:r>
      <w:r w:rsidRPr="00A76F48">
        <w:rPr>
          <w:noProof/>
        </w:rPr>
        <w:t>.</w:t>
      </w:r>
    </w:p>
    <w:p w14:paraId="14427161" w14:textId="77777777" w:rsidR="00C8386A" w:rsidRPr="00A76F48" w:rsidRDefault="00C8386A" w:rsidP="00C8386A">
      <w:pPr>
        <w:pStyle w:val="ppoListHyphened-L1"/>
        <w:numPr>
          <w:ilvl w:val="0"/>
          <w:numId w:val="0"/>
        </w:numPr>
        <w:ind w:left="357"/>
        <w:rPr>
          <w:noProof/>
        </w:rPr>
      </w:pPr>
    </w:p>
    <w:p w14:paraId="54045387" w14:textId="77777777" w:rsidR="00C8386A" w:rsidRPr="007F4601" w:rsidRDefault="00C8386A" w:rsidP="00C8386A">
      <w:pPr>
        <w:pStyle w:val="ppoListHyphened-L1"/>
        <w:rPr>
          <w:bCs/>
          <w:noProof/>
        </w:rPr>
      </w:pPr>
      <w:r w:rsidRPr="00A76F48">
        <w:rPr>
          <w:noProof/>
        </w:rPr>
        <w:t xml:space="preserve">For initiatives implemented under </w:t>
      </w:r>
      <w:r w:rsidRPr="00EB2E5B">
        <w:rPr>
          <w:bCs/>
          <w:noProof/>
        </w:rPr>
        <w:t>direct and indirect management</w:t>
      </w:r>
      <w:r w:rsidRPr="007F4601">
        <w:rPr>
          <w:bCs/>
          <w:noProof/>
        </w:rPr>
        <w:t xml:space="preserve">, see the </w:t>
      </w:r>
      <w:r w:rsidRPr="00A76F48">
        <w:rPr>
          <w:bCs/>
          <w:noProof/>
        </w:rPr>
        <w:t>‘</w:t>
      </w:r>
      <w:r w:rsidRPr="007F4601">
        <w:rPr>
          <w:bCs/>
          <w:noProof/>
        </w:rPr>
        <w:t xml:space="preserve">Performance </w:t>
      </w:r>
      <w:r w:rsidRPr="00A76F48">
        <w:rPr>
          <w:bCs/>
          <w:noProof/>
        </w:rPr>
        <w:t>a</w:t>
      </w:r>
      <w:r w:rsidRPr="007F4601">
        <w:rPr>
          <w:bCs/>
          <w:noProof/>
        </w:rPr>
        <w:t>ssessment</w:t>
      </w:r>
      <w:r w:rsidRPr="00A76F48">
        <w:rPr>
          <w:bCs/>
          <w:noProof/>
        </w:rPr>
        <w:t>’</w:t>
      </w:r>
      <w:r w:rsidRPr="007F4601">
        <w:rPr>
          <w:bCs/>
          <w:noProof/>
        </w:rPr>
        <w:t xml:space="preserve"> section</w:t>
      </w:r>
      <w:r w:rsidRPr="00A76F48">
        <w:rPr>
          <w:bCs/>
          <w:noProof/>
        </w:rPr>
        <w:t xml:space="preserve"> for the EMFAF above</w:t>
      </w:r>
      <w:r w:rsidRPr="007F4601">
        <w:rPr>
          <w:bCs/>
          <w:noProof/>
        </w:rPr>
        <w:t>.</w:t>
      </w:r>
    </w:p>
    <w:p w14:paraId="45055236" w14:textId="77777777" w:rsidR="00C8386A" w:rsidRPr="00A76F48" w:rsidRDefault="00C8386A" w:rsidP="00C8386A">
      <w:pPr>
        <w:pStyle w:val="ppoListHyphened-L1"/>
        <w:rPr>
          <w:noProof/>
        </w:rPr>
      </w:pPr>
      <w:r w:rsidRPr="007F4601">
        <w:rPr>
          <w:bCs/>
          <w:noProof/>
        </w:rPr>
        <w:t>The initiative</w:t>
      </w:r>
      <w:r w:rsidRPr="00EB2E5B">
        <w:rPr>
          <w:bCs/>
          <w:noProof/>
        </w:rPr>
        <w:t>s under shared management</w:t>
      </w:r>
      <w:r w:rsidRPr="00A76F48">
        <w:rPr>
          <w:noProof/>
        </w:rPr>
        <w:t xml:space="preserve"> continue to help improve the sustainability of fishing and aquaculture, to maintain and protect the natural environment, to encourage innovation and the adoption of new technology and to increase cooperation and partnerships between businesses, </w:t>
      </w:r>
      <w:bookmarkStart w:id="170" w:name="_Hlk101351744"/>
      <w:r w:rsidRPr="00A76F48">
        <w:rPr>
          <w:noProof/>
        </w:rPr>
        <w:t xml:space="preserve">thus contributing to the achievement of these objectives. </w:t>
      </w:r>
      <w:bookmarkEnd w:id="170"/>
      <w:r w:rsidRPr="00A76F48">
        <w:rPr>
          <w:noProof/>
        </w:rPr>
        <w:t>Examples are provided below.</w:t>
      </w:r>
    </w:p>
    <w:p w14:paraId="782FB83B" w14:textId="77777777" w:rsidR="00C8386A" w:rsidRPr="00A76F48" w:rsidRDefault="00C8386A" w:rsidP="00C8386A">
      <w:pPr>
        <w:pStyle w:val="ppoListHyphened-L2"/>
        <w:rPr>
          <w:noProof/>
        </w:rPr>
      </w:pPr>
      <w:bookmarkStart w:id="171" w:name="_Hlk101351786"/>
      <w:r w:rsidRPr="00A76F48">
        <w:rPr>
          <w:noProof/>
        </w:rPr>
        <w:t xml:space="preserve">For the objective of </w:t>
      </w:r>
      <w:r w:rsidRPr="00EB2E5B">
        <w:rPr>
          <w:noProof/>
        </w:rPr>
        <w:t>promoting competitive</w:t>
      </w:r>
      <w:bookmarkEnd w:id="171"/>
      <w:r w:rsidRPr="00EB2E5B">
        <w:rPr>
          <w:noProof/>
        </w:rPr>
        <w:t>, environmentally sustainable, economically viable and socially responsible fisheries and aquaculture</w:t>
      </w:r>
      <w:r w:rsidRPr="00A76F48">
        <w:rPr>
          <w:noProof/>
        </w:rPr>
        <w:t>, the programme financed:</w:t>
      </w:r>
    </w:p>
    <w:p w14:paraId="59BBAEBC" w14:textId="77777777" w:rsidR="00C8386A" w:rsidRPr="00A76F48" w:rsidRDefault="00C8386A" w:rsidP="00C8386A">
      <w:pPr>
        <w:pStyle w:val="ppoListHyphened-L3"/>
        <w:rPr>
          <w:noProof/>
        </w:rPr>
      </w:pPr>
      <w:r w:rsidRPr="00A76F48">
        <w:rPr>
          <w:noProof/>
        </w:rPr>
        <w:t>a project adding value to fishery products by introducing on-board processing activities; and</w:t>
      </w:r>
    </w:p>
    <w:p w14:paraId="102B5384" w14:textId="77777777" w:rsidR="00C8386A" w:rsidRPr="00A76F48" w:rsidRDefault="00C8386A" w:rsidP="00C8386A">
      <w:pPr>
        <w:pStyle w:val="ppoListHyphened-L3"/>
        <w:rPr>
          <w:noProof/>
        </w:rPr>
      </w:pPr>
      <w:r w:rsidRPr="00A76F48">
        <w:rPr>
          <w:noProof/>
        </w:rPr>
        <w:t>a pilot project on integrating vertical seaweed cultivation into the recirculated aquaculture system industry to reduce the environmental impact of land-based fish production.</w:t>
      </w:r>
    </w:p>
    <w:p w14:paraId="692FB409" w14:textId="77777777" w:rsidR="00C8386A" w:rsidRPr="00A76F48" w:rsidRDefault="00C8386A" w:rsidP="00C8386A">
      <w:pPr>
        <w:pStyle w:val="ppoListHyphened-L2"/>
        <w:rPr>
          <w:noProof/>
        </w:rPr>
      </w:pPr>
      <w:bookmarkStart w:id="172" w:name="_Hlk101351797"/>
      <w:r w:rsidRPr="00A76F48">
        <w:rPr>
          <w:noProof/>
        </w:rPr>
        <w:t xml:space="preserve">For the objective of </w:t>
      </w:r>
      <w:r w:rsidRPr="00EB2E5B">
        <w:rPr>
          <w:noProof/>
        </w:rPr>
        <w:t xml:space="preserve">fostering </w:t>
      </w:r>
      <w:bookmarkStart w:id="173" w:name="_Hlk101351818"/>
      <w:bookmarkEnd w:id="172"/>
      <w:r w:rsidRPr="00EB2E5B">
        <w:rPr>
          <w:noProof/>
        </w:rPr>
        <w:t xml:space="preserve">the implementation </w:t>
      </w:r>
      <w:bookmarkEnd w:id="173"/>
      <w:r w:rsidRPr="00EB2E5B">
        <w:rPr>
          <w:noProof/>
        </w:rPr>
        <w:t xml:space="preserve">of the </w:t>
      </w:r>
      <w:r w:rsidRPr="00A76F48">
        <w:rPr>
          <w:noProof/>
        </w:rPr>
        <w:t xml:space="preserve">common fisheries policy, examples of operations include real-time camera observation in the Danish trawl fishery and a ‘Fully Documented Fishery’ digital tool for the automated recognition of the species and size of each fish. </w:t>
      </w:r>
    </w:p>
    <w:p w14:paraId="661AA93D" w14:textId="77777777" w:rsidR="00C8386A" w:rsidRPr="00A76F48" w:rsidRDefault="00C8386A" w:rsidP="00C8386A">
      <w:pPr>
        <w:pStyle w:val="ppoListHyphened-L2"/>
        <w:rPr>
          <w:noProof/>
        </w:rPr>
      </w:pPr>
      <w:bookmarkStart w:id="174" w:name="_Hlk101351809"/>
      <w:r w:rsidRPr="00A76F48">
        <w:rPr>
          <w:noProof/>
        </w:rPr>
        <w:t xml:space="preserve">For the objective of </w:t>
      </w:r>
      <w:r w:rsidRPr="00EB2E5B">
        <w:rPr>
          <w:noProof/>
        </w:rPr>
        <w:t xml:space="preserve">promoting a balanced </w:t>
      </w:r>
      <w:bookmarkEnd w:id="174"/>
      <w:r w:rsidRPr="00EB2E5B">
        <w:rPr>
          <w:noProof/>
        </w:rPr>
        <w:t>and inclusive territorial development of fisheries and aquaculture areas</w:t>
      </w:r>
      <w:r w:rsidRPr="00A76F48">
        <w:rPr>
          <w:noProof/>
        </w:rPr>
        <w:t>, the programme financed a stock management plan focused on three local high-value species.</w:t>
      </w:r>
    </w:p>
    <w:p w14:paraId="27DB7F8C" w14:textId="77777777" w:rsidR="00C8386A" w:rsidRPr="00A76F48" w:rsidRDefault="00C8386A" w:rsidP="00C8386A">
      <w:pPr>
        <w:pStyle w:val="ppoListHyphened-L2"/>
        <w:rPr>
          <w:noProof/>
        </w:rPr>
      </w:pPr>
      <w:bookmarkStart w:id="175" w:name="_Hlk101351829"/>
      <w:r w:rsidRPr="00A76F48">
        <w:rPr>
          <w:noProof/>
        </w:rPr>
        <w:t xml:space="preserve">For the objective of </w:t>
      </w:r>
      <w:r w:rsidRPr="00EB2E5B">
        <w:rPr>
          <w:noProof/>
        </w:rPr>
        <w:t xml:space="preserve">fostering the development and implementation </w:t>
      </w:r>
      <w:bookmarkEnd w:id="175"/>
      <w:r w:rsidRPr="00EB2E5B">
        <w:rPr>
          <w:noProof/>
        </w:rPr>
        <w:t xml:space="preserve">of the EU’s </w:t>
      </w:r>
      <w:r w:rsidRPr="00A76F48">
        <w:rPr>
          <w:noProof/>
        </w:rPr>
        <w:t>i</w:t>
      </w:r>
      <w:r w:rsidRPr="00EB2E5B">
        <w:rPr>
          <w:noProof/>
        </w:rPr>
        <w:t xml:space="preserve">ntegrated </w:t>
      </w:r>
      <w:r w:rsidRPr="00A76F48">
        <w:rPr>
          <w:noProof/>
        </w:rPr>
        <w:t>m</w:t>
      </w:r>
      <w:r w:rsidRPr="00EB2E5B">
        <w:rPr>
          <w:noProof/>
        </w:rPr>
        <w:t xml:space="preserve">aritime </w:t>
      </w:r>
      <w:r w:rsidRPr="00A76F48">
        <w:rPr>
          <w:noProof/>
        </w:rPr>
        <w:t>p</w:t>
      </w:r>
      <w:r w:rsidRPr="00EB2E5B">
        <w:rPr>
          <w:noProof/>
        </w:rPr>
        <w:t xml:space="preserve">olicy in a manner complementary to cohesion policy and the </w:t>
      </w:r>
      <w:r w:rsidRPr="00A76F48">
        <w:rPr>
          <w:noProof/>
        </w:rPr>
        <w:t>common fisheries policy,</w:t>
      </w:r>
      <w:r w:rsidRPr="00A76F48" w:rsidDel="007D5FB5">
        <w:rPr>
          <w:noProof/>
        </w:rPr>
        <w:t xml:space="preserve"> </w:t>
      </w:r>
      <w:r w:rsidRPr="00A76F48">
        <w:rPr>
          <w:noProof/>
        </w:rPr>
        <w:t>the programme financed a dolphin-monitoring project and a baseline survey and monitoring of non-indigenous species.</w:t>
      </w:r>
    </w:p>
    <w:p w14:paraId="788BB2D7" w14:textId="77777777" w:rsidR="00E112AC" w:rsidRDefault="00E112AC" w:rsidP="00E73D04">
      <w:pPr>
        <w:pStyle w:val="ppoListHyphened-L1"/>
        <w:rPr>
          <w:b/>
          <w:noProof/>
        </w:rPr>
        <w:sectPr w:rsidR="00E112AC" w:rsidSect="0083214A">
          <w:headerReference w:type="even" r:id="rId384"/>
          <w:headerReference w:type="default" r:id="rId385"/>
          <w:footerReference w:type="even" r:id="rId386"/>
          <w:footerReference w:type="default" r:id="rId387"/>
          <w:headerReference w:type="first" r:id="rId388"/>
          <w:footerReference w:type="first" r:id="rId389"/>
          <w:type w:val="continuous"/>
          <w:pgSz w:w="11906" w:h="16838" w:code="9"/>
          <w:pgMar w:top="1134" w:right="1134" w:bottom="964" w:left="1134" w:header="431" w:footer="431" w:gutter="0"/>
          <w:cols w:space="720"/>
          <w:titlePg/>
          <w:docGrid w:linePitch="360"/>
        </w:sectPr>
      </w:pPr>
    </w:p>
    <w:p w14:paraId="62F219BF" w14:textId="77777777" w:rsidR="00E112AC" w:rsidRPr="0035459C" w:rsidRDefault="00E112AC" w:rsidP="00E112AC">
      <w:pPr>
        <w:pStyle w:val="StyleppoHeading3WhiteLeft0cm"/>
        <w:rPr>
          <w:noProof/>
          <w:sz w:val="20"/>
        </w:rPr>
      </w:pPr>
    </w:p>
    <w:p w14:paraId="7CD29258" w14:textId="77777777" w:rsidR="00E112AC" w:rsidRPr="0035459C" w:rsidRDefault="00E112AC" w:rsidP="00E112AC">
      <w:pPr>
        <w:pStyle w:val="StyleppoHeading3WhiteLeft0cm"/>
        <w:rPr>
          <w:noProof/>
          <w:sz w:val="60"/>
          <w:szCs w:val="60"/>
        </w:rPr>
      </w:pPr>
      <w:bookmarkStart w:id="176" w:name="_Toc102086358"/>
      <w:r w:rsidRPr="0035459C">
        <w:rPr>
          <w:noProof/>
          <w:sz w:val="60"/>
          <w:szCs w:val="60"/>
        </w:rPr>
        <w:t>RFMOs</w:t>
      </w:r>
      <w:r>
        <w:rPr>
          <w:noProof/>
          <w:sz w:val="60"/>
          <w:szCs w:val="60"/>
        </w:rPr>
        <w:t>/</w:t>
      </w:r>
      <w:r w:rsidRPr="0035459C">
        <w:rPr>
          <w:noProof/>
          <w:sz w:val="60"/>
          <w:szCs w:val="60"/>
        </w:rPr>
        <w:t>SFPAs</w:t>
      </w:r>
      <w:bookmarkEnd w:id="176"/>
    </w:p>
    <w:p w14:paraId="354531A1" w14:textId="77777777" w:rsidR="00E112AC" w:rsidRPr="0035459C" w:rsidRDefault="00E112AC" w:rsidP="00E112AC">
      <w:pPr>
        <w:pStyle w:val="StyleppoProgrammenameWhiteLeft01cm"/>
        <w:rPr>
          <w:noProof/>
          <w:sz w:val="40"/>
          <w:szCs w:val="40"/>
        </w:rPr>
      </w:pPr>
      <w:r w:rsidRPr="0035459C">
        <w:rPr>
          <w:noProof/>
        </w:rPr>
        <w:t>REGIONAL FISHERIES MANAGEMENT ORGANISATIONS AND SUSTAINABLE FISHERIES PARTNERSHIP AGREEMENTS</w:t>
      </w:r>
    </w:p>
    <w:p w14:paraId="3A8DCA7A" w14:textId="77777777" w:rsidR="00E112AC" w:rsidRPr="0035459C" w:rsidRDefault="00E112AC" w:rsidP="00E112AC">
      <w:pPr>
        <w:pStyle w:val="ppoHeading4NaturalGreen"/>
        <w:rPr>
          <w:noProof/>
        </w:rPr>
      </w:pPr>
      <w:r w:rsidRPr="0035459C">
        <w:rPr>
          <w:noProof/>
        </w:rPr>
        <w:t>Programme in a nutshell</w:t>
      </w:r>
    </w:p>
    <w:p w14:paraId="6C9D6DC1" w14:textId="77777777" w:rsidR="00E112AC" w:rsidRPr="0035459C" w:rsidRDefault="00E112AC" w:rsidP="00E112AC">
      <w:pPr>
        <w:spacing w:after="480"/>
        <w:rPr>
          <w:rFonts w:eastAsiaTheme="minorEastAsia"/>
          <w:noProof/>
          <w:color w:val="FFFFFF" w:themeColor="background1"/>
          <w:sz w:val="32"/>
        </w:rPr>
        <w:sectPr w:rsidR="00E112AC" w:rsidRPr="0035459C" w:rsidSect="0083214A">
          <w:headerReference w:type="even" r:id="rId390"/>
          <w:headerReference w:type="default" r:id="rId391"/>
          <w:footerReference w:type="even" r:id="rId392"/>
          <w:footerReference w:type="default" r:id="rId393"/>
          <w:headerReference w:type="first" r:id="rId394"/>
          <w:footerReference w:type="first" r:id="rId395"/>
          <w:pgSz w:w="11906" w:h="16838" w:code="9"/>
          <w:pgMar w:top="1134" w:right="1134" w:bottom="964" w:left="1134" w:header="431" w:footer="431" w:gutter="0"/>
          <w:cols w:space="720"/>
          <w:docGrid w:linePitch="360"/>
        </w:sectPr>
      </w:pPr>
    </w:p>
    <w:p w14:paraId="6E88713B" w14:textId="77777777" w:rsidR="00E112AC" w:rsidRPr="0035459C" w:rsidRDefault="00E112AC" w:rsidP="00E112AC">
      <w:pPr>
        <w:pStyle w:val="ppoHeading5"/>
        <w:rPr>
          <w:noProof/>
        </w:rPr>
      </w:pPr>
      <w:r w:rsidRPr="0035459C">
        <w:rPr>
          <w:noProof/>
        </w:rPr>
        <w:t>Concrete examples of achievements (*)</w:t>
      </w:r>
    </w:p>
    <w:tbl>
      <w:tblPr>
        <w:tblStyle w:val="PPO2021"/>
        <w:tblW w:w="9639" w:type="dxa"/>
        <w:tblInd w:w="0" w:type="dxa"/>
        <w:tblLook w:val="0200" w:firstRow="0" w:lastRow="0" w:firstColumn="0" w:lastColumn="0" w:noHBand="1" w:noVBand="0"/>
      </w:tblPr>
      <w:tblGrid>
        <w:gridCol w:w="2410"/>
        <w:gridCol w:w="2409"/>
        <w:gridCol w:w="2410"/>
        <w:gridCol w:w="2410"/>
      </w:tblGrid>
      <w:tr w:rsidR="00E112AC" w:rsidRPr="0035459C" w14:paraId="4F7D0889" w14:textId="77777777" w:rsidTr="0083214A">
        <w:tc>
          <w:tcPr>
            <w:tcW w:w="2410" w:type="dxa"/>
          </w:tcPr>
          <w:p w14:paraId="036CE8D6" w14:textId="77777777" w:rsidR="00E112AC" w:rsidRPr="0035459C" w:rsidRDefault="00E112AC" w:rsidP="0083214A">
            <w:pPr>
              <w:pStyle w:val="ppoTableacheivementvalue"/>
              <w:rPr>
                <w:noProof/>
              </w:rPr>
            </w:pPr>
            <w:bookmarkStart w:id="177" w:name="_Hlk101360873"/>
            <w:r w:rsidRPr="0035459C">
              <w:rPr>
                <w:noProof/>
              </w:rPr>
              <w:t>98%</w:t>
            </w:r>
          </w:p>
          <w:p w14:paraId="042D0BB9" w14:textId="77777777" w:rsidR="00E112AC" w:rsidRPr="0035459C" w:rsidRDefault="00E112AC" w:rsidP="00B40193">
            <w:pPr>
              <w:jc w:val="left"/>
              <w:rPr>
                <w:noProof/>
              </w:rPr>
            </w:pPr>
            <w:r w:rsidRPr="0035459C">
              <w:rPr>
                <w:noProof/>
              </w:rPr>
              <w:t xml:space="preserve">of conservation measures adopted by RFMOs </w:t>
            </w:r>
            <w:r>
              <w:rPr>
                <w:noProof/>
              </w:rPr>
              <w:t xml:space="preserve">in 2021 </w:t>
            </w:r>
            <w:r w:rsidRPr="0035459C">
              <w:rPr>
                <w:noProof/>
              </w:rPr>
              <w:t>for the management of the stocks under their purview were in line with scientific advice.</w:t>
            </w:r>
            <w:bookmarkEnd w:id="177"/>
          </w:p>
        </w:tc>
        <w:tc>
          <w:tcPr>
            <w:cnfStyle w:val="000001000000" w:firstRow="0" w:lastRow="0" w:firstColumn="0" w:lastColumn="0" w:oddVBand="0" w:evenVBand="1" w:oddHBand="0" w:evenHBand="0" w:firstRowFirstColumn="0" w:firstRowLastColumn="0" w:lastRowFirstColumn="0" w:lastRowLastColumn="0"/>
            <w:tcW w:w="2409" w:type="dxa"/>
          </w:tcPr>
          <w:p w14:paraId="4F27719A" w14:textId="77777777" w:rsidR="00E112AC" w:rsidRPr="0035459C" w:rsidRDefault="00E112AC" w:rsidP="0083214A">
            <w:pPr>
              <w:pStyle w:val="ppoTableacheivementvalue"/>
              <w:rPr>
                <w:noProof/>
              </w:rPr>
            </w:pPr>
            <w:bookmarkStart w:id="178" w:name="_Hlk101360939"/>
            <w:r w:rsidRPr="0035459C">
              <w:rPr>
                <w:noProof/>
              </w:rPr>
              <w:t>17</w:t>
            </w:r>
          </w:p>
          <w:p w14:paraId="373E0008" w14:textId="77777777" w:rsidR="00E112AC" w:rsidRPr="0035459C" w:rsidRDefault="00E112AC" w:rsidP="00B40193">
            <w:pPr>
              <w:jc w:val="left"/>
              <w:rPr>
                <w:noProof/>
              </w:rPr>
            </w:pPr>
            <w:r w:rsidRPr="0035459C">
              <w:rPr>
                <w:noProof/>
              </w:rPr>
              <w:t>out of 20 tuna and tuna-like stocks targeted by the EU fleet</w:t>
            </w:r>
            <w:r>
              <w:rPr>
                <w:noProof/>
              </w:rPr>
              <w:t xml:space="preserve"> in 2021</w:t>
            </w:r>
            <w:r w:rsidRPr="0035459C">
              <w:rPr>
                <w:noProof/>
              </w:rPr>
              <w:t xml:space="preserve"> were fished at a sustainable level </w:t>
            </w:r>
            <w:bookmarkEnd w:id="178"/>
            <w:r w:rsidRPr="0035459C">
              <w:rPr>
                <w:noProof/>
              </w:rPr>
              <w:t>and one is on its way to sustainability.</w:t>
            </w:r>
          </w:p>
        </w:tc>
        <w:tc>
          <w:tcPr>
            <w:tcW w:w="2410" w:type="dxa"/>
            <w:tcBorders>
              <w:bottom w:val="single" w:sz="4" w:space="0" w:color="8C8C8C"/>
            </w:tcBorders>
          </w:tcPr>
          <w:p w14:paraId="6093F9A3" w14:textId="77777777" w:rsidR="00E112AC" w:rsidRPr="0035459C" w:rsidRDefault="00E112AC" w:rsidP="0083214A">
            <w:pPr>
              <w:pStyle w:val="ppoTableacheivementvalue"/>
              <w:cnfStyle w:val="000000000000" w:firstRow="0" w:lastRow="0" w:firstColumn="0" w:lastColumn="0" w:oddVBand="0" w:evenVBand="0" w:oddHBand="0" w:evenHBand="0" w:firstRowFirstColumn="0" w:firstRowLastColumn="0" w:lastRowFirstColumn="0" w:lastRowLastColumn="0"/>
              <w:rPr>
                <w:noProof/>
              </w:rPr>
            </w:pPr>
            <w:r>
              <w:rPr>
                <w:noProof/>
              </w:rPr>
              <w:t>21</w:t>
            </w:r>
            <w:r w:rsidRPr="0035459C">
              <w:rPr>
                <w:rFonts w:ascii="Calibri" w:hAnsi="Calibri" w:cs="Calibri"/>
                <w:noProof/>
              </w:rPr>
              <w:t> </w:t>
            </w:r>
            <w:r>
              <w:rPr>
                <w:noProof/>
              </w:rPr>
              <w:t>5</w:t>
            </w:r>
            <w:r w:rsidRPr="0035459C">
              <w:rPr>
                <w:noProof/>
              </w:rPr>
              <w:t>00</w:t>
            </w:r>
          </w:p>
          <w:p w14:paraId="27DCCE0A" w14:textId="77777777" w:rsidR="00E112AC" w:rsidRPr="0035459C" w:rsidRDefault="00E112AC" w:rsidP="00B40193">
            <w:pPr>
              <w:jc w:val="left"/>
              <w:cnfStyle w:val="000000000000" w:firstRow="0" w:lastRow="0" w:firstColumn="0" w:lastColumn="0" w:oddVBand="0" w:evenVBand="0" w:oddHBand="0" w:evenHBand="0" w:firstRowFirstColumn="0" w:firstRowLastColumn="0" w:lastRowFirstColumn="0" w:lastRowLastColumn="0"/>
              <w:rPr>
                <w:noProof/>
              </w:rPr>
            </w:pPr>
            <w:r w:rsidRPr="0035459C">
              <w:rPr>
                <w:noProof/>
              </w:rPr>
              <w:t>jobs were created and maintained through SFPAs in the EU</w:t>
            </w:r>
            <w:r>
              <w:rPr>
                <w:noProof/>
              </w:rPr>
              <w:t xml:space="preserve"> each year between 2015 and 2021</w:t>
            </w:r>
            <w:r w:rsidRPr="0035459C">
              <w:rPr>
                <w:noProof/>
              </w:rPr>
              <w:t xml:space="preserve"> (6</w:t>
            </w:r>
            <w:r w:rsidRPr="0035459C">
              <w:rPr>
                <w:rFonts w:ascii="Calibri" w:hAnsi="Calibri" w:cs="Calibri"/>
                <w:noProof/>
              </w:rPr>
              <w:t> </w:t>
            </w:r>
            <w:r>
              <w:rPr>
                <w:noProof/>
              </w:rPr>
              <w:t>5</w:t>
            </w:r>
            <w:r w:rsidRPr="0035459C">
              <w:rPr>
                <w:noProof/>
              </w:rPr>
              <w:t xml:space="preserve">00 direct, </w:t>
            </w:r>
            <w:r>
              <w:rPr>
                <w:noProof/>
              </w:rPr>
              <w:t>15</w:t>
            </w:r>
            <w:r w:rsidRPr="0035459C">
              <w:rPr>
                <w:rFonts w:ascii="Calibri" w:hAnsi="Calibri" w:cs="Calibri"/>
                <w:noProof/>
              </w:rPr>
              <w:t> </w:t>
            </w:r>
            <w:r w:rsidRPr="0035459C">
              <w:rPr>
                <w:noProof/>
              </w:rPr>
              <w:t>000 indirect).</w:t>
            </w:r>
          </w:p>
        </w:tc>
        <w:tc>
          <w:tcPr>
            <w:cnfStyle w:val="000001000000" w:firstRow="0" w:lastRow="0" w:firstColumn="0" w:lastColumn="0" w:oddVBand="0" w:evenVBand="1" w:oddHBand="0" w:evenHBand="0" w:firstRowFirstColumn="0" w:firstRowLastColumn="0" w:lastRowFirstColumn="0" w:lastRowLastColumn="0"/>
            <w:tcW w:w="2410" w:type="dxa"/>
          </w:tcPr>
          <w:p w14:paraId="5CD917B8" w14:textId="77777777" w:rsidR="00E112AC" w:rsidRPr="0035459C" w:rsidRDefault="00E112AC" w:rsidP="0083214A">
            <w:pPr>
              <w:pStyle w:val="ppoTableacheivementvalue"/>
              <w:rPr>
                <w:noProof/>
              </w:rPr>
            </w:pPr>
            <w:r w:rsidRPr="0035459C">
              <w:rPr>
                <w:noProof/>
              </w:rPr>
              <w:t>70%</w:t>
            </w:r>
          </w:p>
          <w:p w14:paraId="0F6FCFA1" w14:textId="77777777" w:rsidR="00E112AC" w:rsidRPr="0035459C" w:rsidRDefault="00E112AC" w:rsidP="00B40193">
            <w:pPr>
              <w:jc w:val="left"/>
              <w:rPr>
                <w:noProof/>
              </w:rPr>
            </w:pPr>
            <w:r w:rsidRPr="0035459C">
              <w:rPr>
                <w:noProof/>
              </w:rPr>
              <w:t xml:space="preserve">of tuna catches made in the context of SFPAs </w:t>
            </w:r>
            <w:r>
              <w:rPr>
                <w:noProof/>
              </w:rPr>
              <w:t>between 2015 and 2021 were</w:t>
            </w:r>
            <w:r w:rsidRPr="0035459C">
              <w:rPr>
                <w:noProof/>
              </w:rPr>
              <w:t xml:space="preserve"> processed in a partner country.</w:t>
            </w:r>
          </w:p>
        </w:tc>
      </w:tr>
    </w:tbl>
    <w:p w14:paraId="0ABD60B1" w14:textId="77777777" w:rsidR="00E112AC" w:rsidRPr="0035459C" w:rsidRDefault="00E112AC" w:rsidP="00E112AC">
      <w:pPr>
        <w:pStyle w:val="FootnoteText"/>
        <w:rPr>
          <w:rFonts w:eastAsiaTheme="minorEastAsia"/>
          <w:noProof/>
        </w:rPr>
      </w:pPr>
      <w:r w:rsidRPr="0035459C">
        <w:rPr>
          <w:rFonts w:eastAsiaTheme="minorEastAsia"/>
          <w:noProof/>
        </w:rPr>
        <w:t>(*)</w:t>
      </w:r>
      <w:r w:rsidRPr="0035459C">
        <w:rPr>
          <w:rFonts w:eastAsiaTheme="minorEastAsia"/>
          <w:noProof/>
        </w:rPr>
        <w:tab/>
        <w:t>Key achievements in the table state which period they relate to. Many come from the implementation of the predecessor programmes under the 2014-2020 multiannual financial framework. This is expected and is due to the multiannual life cycle of EU programmes and the projects they finance, where results often follow only after completion of the programmes.</w:t>
      </w:r>
    </w:p>
    <w:p w14:paraId="1E330F84" w14:textId="77777777" w:rsidR="00E112AC" w:rsidRPr="0035459C" w:rsidRDefault="00E112AC" w:rsidP="00E112AC">
      <w:pPr>
        <w:pStyle w:val="ppoHeading5"/>
        <w:rPr>
          <w:noProof/>
        </w:rPr>
      </w:pPr>
      <w:r w:rsidRPr="0035459C">
        <w:rPr>
          <w:noProof/>
        </w:rPr>
        <w:t>Budget for 2021-2027</w:t>
      </w:r>
    </w:p>
    <w:p w14:paraId="27E6EAAF" w14:textId="77777777" w:rsidR="00E112AC" w:rsidRPr="0035459C" w:rsidRDefault="00E112AC" w:rsidP="00E112AC">
      <w:pPr>
        <w:pStyle w:val="ppoTableTabletitle"/>
        <w:ind w:left="284"/>
        <w:rPr>
          <w:noProof/>
        </w:rPr>
      </w:pPr>
      <w:r w:rsidRPr="0035459C">
        <w:rPr>
          <w:noProof/>
        </w:rPr>
        <w:t>(million EUR)</w:t>
      </w:r>
    </w:p>
    <w:tbl>
      <w:tblPr>
        <w:tblStyle w:val="PlainTable2"/>
        <w:tblW w:w="0" w:type="auto"/>
        <w:tblInd w:w="288" w:type="dxa"/>
        <w:tblLook w:val="04A0" w:firstRow="1" w:lastRow="0" w:firstColumn="1" w:lastColumn="0" w:noHBand="0" w:noVBand="1"/>
      </w:tblPr>
      <w:tblGrid>
        <w:gridCol w:w="4788"/>
        <w:gridCol w:w="2610"/>
      </w:tblGrid>
      <w:tr w:rsidR="00E112AC" w:rsidRPr="0035459C" w14:paraId="0FB8299D" w14:textId="77777777" w:rsidTr="0083214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60C60A19" w14:textId="77777777" w:rsidR="00E112AC" w:rsidRPr="0035459C" w:rsidRDefault="00E112AC" w:rsidP="0083214A">
            <w:pPr>
              <w:spacing w:before="120" w:after="120"/>
              <w:rPr>
                <w:noProof/>
              </w:rPr>
            </w:pPr>
            <w:r w:rsidRPr="0035459C">
              <w:rPr>
                <w:rFonts w:cs="Calibri"/>
                <w:noProof/>
                <w:color w:val="000000"/>
              </w:rPr>
              <w:t>Financial programming</w:t>
            </w:r>
          </w:p>
        </w:tc>
        <w:tc>
          <w:tcPr>
            <w:tcW w:w="2610" w:type="dxa"/>
            <w:shd w:val="clear" w:color="auto" w:fill="auto"/>
            <w:vAlign w:val="bottom"/>
          </w:tcPr>
          <w:p w14:paraId="287E48B6" w14:textId="534DB9F6" w:rsidR="00E112AC" w:rsidRPr="0035459C" w:rsidRDefault="00E112AC" w:rsidP="0083214A">
            <w:pPr>
              <w:spacing w:before="120" w:after="120"/>
              <w:jc w:val="center"/>
              <w:cnfStyle w:val="100000000000" w:firstRow="1" w:lastRow="0" w:firstColumn="0" w:lastColumn="0" w:oddVBand="0" w:evenVBand="0" w:oddHBand="0" w:evenHBand="0" w:firstRowFirstColumn="0" w:firstRowLastColumn="0" w:lastRowFirstColumn="0" w:lastRowLastColumn="0"/>
              <w:rPr>
                <w:b w:val="0"/>
                <w:noProof/>
              </w:rPr>
            </w:pPr>
            <w:r w:rsidRPr="0035459C">
              <w:rPr>
                <w:rFonts w:cs="Calibri"/>
                <w:b w:val="0"/>
                <w:noProof/>
                <w:color w:val="000000"/>
              </w:rPr>
              <w:t>1</w:t>
            </w:r>
            <w:r w:rsidRPr="0035459C">
              <w:rPr>
                <w:rFonts w:ascii="Calibri" w:hAnsi="Calibri" w:cs="Calibri"/>
                <w:b w:val="0"/>
                <w:noProof/>
                <w:color w:val="000000"/>
              </w:rPr>
              <w:t> </w:t>
            </w:r>
            <w:r w:rsidRPr="0035459C">
              <w:rPr>
                <w:rFonts w:cs="Calibri"/>
                <w:b w:val="0"/>
                <w:noProof/>
                <w:color w:val="000000"/>
              </w:rPr>
              <w:t>0</w:t>
            </w:r>
            <w:r>
              <w:rPr>
                <w:rFonts w:cs="Calibri"/>
                <w:b w:val="0"/>
                <w:noProof/>
                <w:color w:val="000000"/>
              </w:rPr>
              <w:t>53</w:t>
            </w:r>
            <w:r w:rsidRPr="0035459C">
              <w:rPr>
                <w:rFonts w:cs="Calibri"/>
                <w:b w:val="0"/>
                <w:noProof/>
                <w:color w:val="000000"/>
              </w:rPr>
              <w:t>.</w:t>
            </w:r>
            <w:r>
              <w:rPr>
                <w:rFonts w:cs="Calibri"/>
                <w:b w:val="0"/>
                <w:noProof/>
                <w:color w:val="000000"/>
              </w:rPr>
              <w:t>0</w:t>
            </w:r>
          </w:p>
        </w:tc>
      </w:tr>
      <w:tr w:rsidR="00E112AC" w:rsidRPr="0035459C" w14:paraId="30322944"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2721280E" w14:textId="77777777" w:rsidR="00E112AC" w:rsidRPr="0035459C" w:rsidRDefault="00E112AC" w:rsidP="0083214A">
            <w:pPr>
              <w:spacing w:before="120" w:after="120"/>
              <w:rPr>
                <w:b w:val="0"/>
                <w:noProof/>
              </w:rPr>
            </w:pPr>
            <w:r w:rsidRPr="0035459C">
              <w:rPr>
                <w:rFonts w:cs="Calibri"/>
                <w:noProof/>
                <w:color w:val="000000"/>
              </w:rPr>
              <w:t>NextGenerationEU</w:t>
            </w:r>
          </w:p>
        </w:tc>
        <w:tc>
          <w:tcPr>
            <w:tcW w:w="2610" w:type="dxa"/>
            <w:vAlign w:val="bottom"/>
          </w:tcPr>
          <w:p w14:paraId="3E0A6785" w14:textId="77777777" w:rsidR="00E112AC" w:rsidRPr="0035459C" w:rsidRDefault="00E112AC"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35459C">
              <w:rPr>
                <w:rFonts w:cs="Calibri"/>
                <w:noProof/>
                <w:color w:val="000000"/>
              </w:rPr>
              <w:t>0</w:t>
            </w:r>
          </w:p>
        </w:tc>
      </w:tr>
      <w:tr w:rsidR="00E112AC" w:rsidRPr="0035459C" w14:paraId="55BE209D"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0F65E847" w14:textId="77777777" w:rsidR="00E112AC" w:rsidRPr="0035459C" w:rsidRDefault="00E112AC" w:rsidP="0083214A">
            <w:pPr>
              <w:spacing w:before="120" w:after="120"/>
              <w:rPr>
                <w:b w:val="0"/>
                <w:noProof/>
              </w:rPr>
            </w:pPr>
            <w:r w:rsidRPr="0035459C">
              <w:rPr>
                <w:noProof/>
              </w:rPr>
              <w:t>Decommitments made available again</w:t>
            </w:r>
            <w:r w:rsidRPr="0035459C">
              <w:rPr>
                <w:rFonts w:ascii="Calibri" w:hAnsi="Calibri" w:cs="Calibri"/>
                <w:noProof/>
              </w:rPr>
              <w:t> (</w:t>
            </w:r>
            <w:r w:rsidRPr="0035459C">
              <w:rPr>
                <w:noProof/>
              </w:rPr>
              <w:t>*)</w:t>
            </w:r>
          </w:p>
        </w:tc>
        <w:tc>
          <w:tcPr>
            <w:tcW w:w="2610" w:type="dxa"/>
            <w:vAlign w:val="bottom"/>
          </w:tcPr>
          <w:p w14:paraId="538CA5B6" w14:textId="67E3F259" w:rsidR="00E112AC" w:rsidRPr="0035459C" w:rsidRDefault="00E112AC" w:rsidP="0083214A">
            <w:pPr>
              <w:spacing w:before="120" w:after="120"/>
              <w:jc w:val="center"/>
              <w:cnfStyle w:val="000000000000" w:firstRow="0" w:lastRow="0" w:firstColumn="0" w:lastColumn="0" w:oddVBand="0" w:evenVBand="0" w:oddHBand="0" w:evenHBand="0" w:firstRowFirstColumn="0" w:firstRowLastColumn="0" w:lastRowFirstColumn="0" w:lastRowLastColumn="0"/>
              <w:rPr>
                <w:noProof/>
              </w:rPr>
            </w:pPr>
            <w:r>
              <w:rPr>
                <w:rFonts w:cs="Calibri"/>
                <w:noProof/>
                <w:color w:val="000000"/>
              </w:rPr>
              <w:t>N/A</w:t>
            </w:r>
          </w:p>
        </w:tc>
      </w:tr>
      <w:tr w:rsidR="00E112AC" w:rsidRPr="0035459C" w14:paraId="275F72EA"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79F61DA5" w14:textId="77777777" w:rsidR="00E112AC" w:rsidRPr="0035459C" w:rsidRDefault="00E112AC" w:rsidP="0083214A">
            <w:pPr>
              <w:spacing w:before="120" w:after="120"/>
              <w:rPr>
                <w:noProof/>
              </w:rPr>
            </w:pPr>
            <w:r w:rsidRPr="0035459C">
              <w:rPr>
                <w:rFonts w:cs="Calibri"/>
                <w:noProof/>
                <w:color w:val="000000"/>
              </w:rPr>
              <w:t>Contributions from other countries and entities</w:t>
            </w:r>
          </w:p>
        </w:tc>
        <w:tc>
          <w:tcPr>
            <w:tcW w:w="2610" w:type="dxa"/>
            <w:vAlign w:val="bottom"/>
          </w:tcPr>
          <w:p w14:paraId="71DC3162" w14:textId="77777777" w:rsidR="00E112AC" w:rsidRPr="0035459C" w:rsidRDefault="00E112AC"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35459C">
              <w:rPr>
                <w:rFonts w:cs="Calibri"/>
                <w:noProof/>
                <w:color w:val="000000"/>
              </w:rPr>
              <w:t>0</w:t>
            </w:r>
          </w:p>
        </w:tc>
      </w:tr>
      <w:tr w:rsidR="00E112AC" w:rsidRPr="0035459C" w14:paraId="7542AABF"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2F2F2" w:themeFill="background1" w:themeFillShade="F2"/>
            <w:vAlign w:val="bottom"/>
          </w:tcPr>
          <w:p w14:paraId="13C84DA8" w14:textId="77777777" w:rsidR="00E112AC" w:rsidRPr="0035459C" w:rsidRDefault="00E112AC" w:rsidP="0083214A">
            <w:pPr>
              <w:spacing w:before="120" w:after="120"/>
              <w:rPr>
                <w:noProof/>
              </w:rPr>
            </w:pPr>
            <w:r w:rsidRPr="0035459C">
              <w:rPr>
                <w:rFonts w:cs="Calibri"/>
                <w:noProof/>
                <w:color w:val="000000"/>
              </w:rPr>
              <w:t>Total budget for 2021-2027</w:t>
            </w:r>
          </w:p>
        </w:tc>
        <w:tc>
          <w:tcPr>
            <w:tcW w:w="2610" w:type="dxa"/>
            <w:shd w:val="clear" w:color="auto" w:fill="F2F2F2" w:themeFill="background1" w:themeFillShade="F2"/>
            <w:vAlign w:val="bottom"/>
          </w:tcPr>
          <w:p w14:paraId="0657E6EC" w14:textId="44450E86" w:rsidR="00E112AC" w:rsidRPr="0035459C" w:rsidRDefault="00E112AC" w:rsidP="0083214A">
            <w:pPr>
              <w:spacing w:before="120" w:after="120"/>
              <w:jc w:val="center"/>
              <w:cnfStyle w:val="000000000000" w:firstRow="0" w:lastRow="0" w:firstColumn="0" w:lastColumn="0" w:oddVBand="0" w:evenVBand="0" w:oddHBand="0" w:evenHBand="0" w:firstRowFirstColumn="0" w:firstRowLastColumn="0" w:lastRowFirstColumn="0" w:lastRowLastColumn="0"/>
              <w:rPr>
                <w:b/>
                <w:noProof/>
              </w:rPr>
            </w:pPr>
            <w:r w:rsidRPr="0035459C">
              <w:rPr>
                <w:rFonts w:cs="Calibri"/>
                <w:b/>
                <w:noProof/>
                <w:color w:val="000000"/>
              </w:rPr>
              <w:t>1</w:t>
            </w:r>
            <w:r w:rsidRPr="0035459C">
              <w:rPr>
                <w:rFonts w:ascii="Calibri" w:hAnsi="Calibri" w:cs="Calibri"/>
                <w:b/>
                <w:noProof/>
                <w:color w:val="000000"/>
              </w:rPr>
              <w:t> </w:t>
            </w:r>
            <w:r w:rsidRPr="0035459C">
              <w:rPr>
                <w:rFonts w:cs="Calibri"/>
                <w:b/>
                <w:noProof/>
                <w:color w:val="000000"/>
              </w:rPr>
              <w:t>0</w:t>
            </w:r>
            <w:r>
              <w:rPr>
                <w:rFonts w:cs="Calibri"/>
                <w:b/>
                <w:noProof/>
                <w:color w:val="000000"/>
              </w:rPr>
              <w:t>53</w:t>
            </w:r>
            <w:r w:rsidRPr="0035459C">
              <w:rPr>
                <w:rFonts w:cs="Calibri"/>
                <w:b/>
                <w:noProof/>
                <w:color w:val="000000"/>
              </w:rPr>
              <w:t>.</w:t>
            </w:r>
            <w:r>
              <w:rPr>
                <w:rFonts w:cs="Calibri"/>
                <w:b/>
                <w:noProof/>
                <w:color w:val="000000"/>
              </w:rPr>
              <w:t>0</w:t>
            </w:r>
          </w:p>
        </w:tc>
      </w:tr>
    </w:tbl>
    <w:p w14:paraId="199D5860" w14:textId="77777777" w:rsidR="00E112AC" w:rsidRPr="0035459C" w:rsidRDefault="00E112AC" w:rsidP="00E112AC">
      <w:pPr>
        <w:tabs>
          <w:tab w:val="left" w:pos="6793"/>
        </w:tabs>
        <w:rPr>
          <w:noProof/>
          <w:sz w:val="18"/>
          <w:szCs w:val="18"/>
        </w:rPr>
      </w:pPr>
      <w:r w:rsidRPr="0035459C">
        <w:rPr>
          <w:noProof/>
          <w:sz w:val="18"/>
          <w:szCs w:val="18"/>
        </w:rPr>
        <w:t>(*) Only Article</w:t>
      </w:r>
      <w:r w:rsidRPr="0035459C">
        <w:rPr>
          <w:rFonts w:ascii="Calibri" w:hAnsi="Calibri" w:cs="Calibri"/>
          <w:noProof/>
          <w:sz w:val="18"/>
          <w:szCs w:val="18"/>
        </w:rPr>
        <w:t> </w:t>
      </w:r>
      <w:r w:rsidRPr="0035459C">
        <w:rPr>
          <w:noProof/>
          <w:sz w:val="18"/>
          <w:szCs w:val="18"/>
        </w:rPr>
        <w:t>15(3) of the financial regulation.</w:t>
      </w:r>
    </w:p>
    <w:p w14:paraId="44541F6F" w14:textId="77777777" w:rsidR="00E112AC" w:rsidRPr="0035459C" w:rsidRDefault="00E112AC" w:rsidP="00E112AC">
      <w:pPr>
        <w:pStyle w:val="ppoHeading5"/>
        <w:rPr>
          <w:noProof/>
        </w:rPr>
      </w:pPr>
      <w:r w:rsidRPr="0035459C">
        <w:rPr>
          <w:noProof/>
        </w:rPr>
        <w:t>Rationale and design of the programme</w:t>
      </w:r>
    </w:p>
    <w:p w14:paraId="6A46C6E1" w14:textId="77777777" w:rsidR="00E112AC" w:rsidRPr="0035459C" w:rsidRDefault="00E112AC" w:rsidP="00E112AC">
      <w:pPr>
        <w:rPr>
          <w:rFonts w:eastAsiaTheme="minorEastAsia"/>
          <w:noProof/>
        </w:rPr>
      </w:pPr>
      <w:r w:rsidRPr="0035459C">
        <w:rPr>
          <w:rFonts w:eastAsiaTheme="minorEastAsia"/>
          <w:noProof/>
        </w:rPr>
        <w:t>The programme promotes sustainable development for fisheries management and maritime governance outside EU waters, in line with the objectives of the common fisheries policy, and ensures that fishery resources are maintained above or restored above levels capable of producing maximum sustainable yield and the conservation of marine ecosystems. The programme contributes to achieving this through active involvement in regional fisheries management organisations (RFMOs) and through bilateral agreements with partner countries.</w:t>
      </w:r>
    </w:p>
    <w:p w14:paraId="3848929C" w14:textId="77777777" w:rsidR="00E112AC" w:rsidRPr="0035459C" w:rsidRDefault="00E112AC" w:rsidP="00E112AC">
      <w:pPr>
        <w:pStyle w:val="ppoHeading6"/>
        <w:rPr>
          <w:noProof/>
        </w:rPr>
      </w:pPr>
      <w:r w:rsidRPr="0035459C">
        <w:rPr>
          <w:noProof/>
        </w:rPr>
        <w:t>Challenge</w:t>
      </w:r>
    </w:p>
    <w:p w14:paraId="532D4196" w14:textId="77777777" w:rsidR="00E112AC" w:rsidRPr="0035459C" w:rsidRDefault="00E112AC" w:rsidP="00E112AC">
      <w:pPr>
        <w:rPr>
          <w:noProof/>
        </w:rPr>
      </w:pPr>
      <w:r w:rsidRPr="0035459C">
        <w:rPr>
          <w:noProof/>
        </w:rPr>
        <w:t>While 79% of all EU catches are taken in EU waters, 13% come from the international high seas and 8% are caught in the exclusive economic zones within 200</w:t>
      </w:r>
      <w:r w:rsidRPr="0035459C">
        <w:rPr>
          <w:rFonts w:ascii="Calibri" w:hAnsi="Calibri" w:cs="Calibri"/>
          <w:noProof/>
        </w:rPr>
        <w:t> </w:t>
      </w:r>
      <w:r w:rsidRPr="0035459C">
        <w:rPr>
          <w:noProof/>
        </w:rPr>
        <w:t>nautical miles of partner countries’ waters. For the latter, it is essential that appropriate regulatory mechanisms be put in place to ensure that catches are sustainable.</w:t>
      </w:r>
    </w:p>
    <w:p w14:paraId="0A3A0C4F" w14:textId="77777777" w:rsidR="00E112AC" w:rsidRPr="0035459C" w:rsidRDefault="00E112AC" w:rsidP="00E112AC">
      <w:pPr>
        <w:rPr>
          <w:noProof/>
        </w:rPr>
      </w:pPr>
      <w:r w:rsidRPr="0035459C">
        <w:rPr>
          <w:noProof/>
        </w:rPr>
        <w:t>EU fishing in the high seas is regulated through regional RFMOs set up to promote the conservation and sustainability of straddling and highly migratory fish stocks, while in the waters of non-EU countries, EU fishing preferably takes place through bilateral sustainable fisheries partnership agreements (SFPAs) negotiated by the EU with partner countries.</w:t>
      </w:r>
    </w:p>
    <w:p w14:paraId="6FF6ECFE" w14:textId="77777777" w:rsidR="00E112AC" w:rsidRPr="0035459C" w:rsidRDefault="00E112AC" w:rsidP="00E112AC">
      <w:pPr>
        <w:rPr>
          <w:noProof/>
        </w:rPr>
      </w:pPr>
      <w:r w:rsidRPr="0035459C">
        <w:rPr>
          <w:noProof/>
        </w:rPr>
        <w:t>The EU is present in all of the world’s oceans through its fleets, and is therefore committed to contributing to global ocean and fisheries governance through determined and ambitious action at the multilateral, regional and bilateral levels.</w:t>
      </w:r>
    </w:p>
    <w:p w14:paraId="6EEEB240" w14:textId="77777777" w:rsidR="00E112AC" w:rsidRPr="0035459C" w:rsidRDefault="00E112AC" w:rsidP="00E112AC">
      <w:pPr>
        <w:pStyle w:val="ppoHeading6"/>
        <w:rPr>
          <w:noProof/>
        </w:rPr>
      </w:pPr>
      <w:r w:rsidRPr="0035459C">
        <w:rPr>
          <w:noProof/>
        </w:rPr>
        <w:t>Mission</w:t>
      </w:r>
    </w:p>
    <w:p w14:paraId="56392355" w14:textId="77777777" w:rsidR="00E112AC" w:rsidRPr="0035459C" w:rsidRDefault="00E112AC" w:rsidP="00E112AC">
      <w:pPr>
        <w:pStyle w:val="ppoListHyphened-L1"/>
        <w:numPr>
          <w:ilvl w:val="0"/>
          <w:numId w:val="0"/>
        </w:numPr>
        <w:rPr>
          <w:noProof/>
        </w:rPr>
      </w:pPr>
      <w:bookmarkStart w:id="179" w:name="_Hlk101363086"/>
      <w:r w:rsidRPr="0035459C">
        <w:rPr>
          <w:noProof/>
        </w:rPr>
        <w:t>The EU negotiate</w:t>
      </w:r>
      <w:r>
        <w:rPr>
          <w:noProof/>
        </w:rPr>
        <w:t>s</w:t>
      </w:r>
      <w:r w:rsidRPr="0035459C">
        <w:rPr>
          <w:noProof/>
        </w:rPr>
        <w:t>, conclude</w:t>
      </w:r>
      <w:r>
        <w:rPr>
          <w:noProof/>
        </w:rPr>
        <w:t>s</w:t>
      </w:r>
      <w:r w:rsidRPr="0035459C">
        <w:rPr>
          <w:noProof/>
        </w:rPr>
        <w:t xml:space="preserve"> and implement</w:t>
      </w:r>
      <w:r>
        <w:rPr>
          <w:noProof/>
        </w:rPr>
        <w:t>s</w:t>
      </w:r>
      <w:r w:rsidRPr="0035459C">
        <w:rPr>
          <w:noProof/>
        </w:rPr>
        <w:t xml:space="preserve"> </w:t>
      </w:r>
      <w:bookmarkEnd w:id="179"/>
      <w:r w:rsidRPr="0035459C">
        <w:rPr>
          <w:noProof/>
        </w:rPr>
        <w:t xml:space="preserve">bilateral SFPAs </w:t>
      </w:r>
      <w:r>
        <w:rPr>
          <w:noProof/>
        </w:rPr>
        <w:t>with</w:t>
      </w:r>
      <w:r w:rsidRPr="0035459C">
        <w:rPr>
          <w:noProof/>
        </w:rPr>
        <w:t xml:space="preserve"> non-EU countries. In addition, the EU pays compulsory annual budget contributions deriving from its membership of international bodies, including various RFMOs. RFMOs are international bodies set up to promote the conservation and sustainability of straddling and highly migratory fish stocks.</w:t>
      </w:r>
    </w:p>
    <w:p w14:paraId="690D44E0" w14:textId="77777777" w:rsidR="00E112AC" w:rsidRPr="0035459C" w:rsidRDefault="00E112AC" w:rsidP="00E112AC">
      <w:pPr>
        <w:pStyle w:val="ppoListHyphened-L1"/>
        <w:numPr>
          <w:ilvl w:val="0"/>
          <w:numId w:val="0"/>
        </w:numPr>
        <w:rPr>
          <w:noProof/>
        </w:rPr>
      </w:pPr>
      <w:r w:rsidRPr="0035459C">
        <w:rPr>
          <w:noProof/>
        </w:rPr>
        <w:t>The EU is present in all of the world’s oceans through its fleets, and is obliged under the United Nations Convention on the Law of the Sea to cooperate with other parties by participating in such organisations.</w:t>
      </w:r>
    </w:p>
    <w:p w14:paraId="3D182CC7" w14:textId="77777777" w:rsidR="00E112AC" w:rsidRPr="0035459C" w:rsidRDefault="00E112AC" w:rsidP="00E112AC">
      <w:pPr>
        <w:pStyle w:val="ppoListHyphened-L1"/>
        <w:numPr>
          <w:ilvl w:val="0"/>
          <w:numId w:val="0"/>
        </w:numPr>
        <w:rPr>
          <w:noProof/>
        </w:rPr>
      </w:pPr>
      <w:r w:rsidRPr="0035459C">
        <w:rPr>
          <w:noProof/>
        </w:rPr>
        <w:t xml:space="preserve">Within the framework of SFPAs, the Commission maintains a political dialogue on fishery-related policies with the non-EU countries concerned, in line with the principles governing the </w:t>
      </w:r>
      <w:r w:rsidRPr="0035459C">
        <w:rPr>
          <w:rFonts w:eastAsiaTheme="minorEastAsia"/>
          <w:noProof/>
        </w:rPr>
        <w:t>common fisheries policy</w:t>
      </w:r>
      <w:r w:rsidRPr="0035459C">
        <w:rPr>
          <w:noProof/>
        </w:rPr>
        <w:t xml:space="preserve"> and the commitments under other relevant EU policies. In addition, SFPAs provide a financial contribution, the aims of which are to support the sustainable development of the fisheries sector in partner countries and to contribute to the better governance of their fisheries. This includes, in particular, improving the scientific and technical knowledge of relevant fisheries; contributing to control and surveillance and to the fight against illegal, unreported and unregulated fishing; and supporting better global governance of fisheries.</w:t>
      </w:r>
    </w:p>
    <w:p w14:paraId="637A9B3E" w14:textId="77777777" w:rsidR="00E112AC" w:rsidRPr="0035459C" w:rsidRDefault="00E112AC" w:rsidP="00E112AC">
      <w:pPr>
        <w:pStyle w:val="ppoHeading6"/>
        <w:rPr>
          <w:noProof/>
        </w:rPr>
      </w:pPr>
      <w:r w:rsidRPr="0035459C">
        <w:rPr>
          <w:noProof/>
        </w:rPr>
        <w:t>Objectives</w:t>
      </w:r>
    </w:p>
    <w:p w14:paraId="71A28844" w14:textId="77777777" w:rsidR="00E112AC" w:rsidRPr="0035459C" w:rsidRDefault="00E112AC" w:rsidP="00E112AC">
      <w:pPr>
        <w:pStyle w:val="ppoListArabic1aiii-L1"/>
        <w:numPr>
          <w:ilvl w:val="0"/>
          <w:numId w:val="0"/>
        </w:numPr>
        <w:rPr>
          <w:noProof/>
        </w:rPr>
      </w:pPr>
      <w:r w:rsidRPr="0035459C">
        <w:rPr>
          <w:noProof/>
        </w:rPr>
        <w:t>The main objective of the programme is to promote sustainable fisheries worldwide and improved international ocean governance by 2024, which includes:</w:t>
      </w:r>
    </w:p>
    <w:p w14:paraId="03528461" w14:textId="77777777" w:rsidR="00E112AC" w:rsidRPr="0035459C" w:rsidRDefault="00E112AC" w:rsidP="00E112AC">
      <w:pPr>
        <w:pStyle w:val="ppoListArabic1aiii-L1"/>
        <w:numPr>
          <w:ilvl w:val="0"/>
          <w:numId w:val="40"/>
        </w:numPr>
        <w:rPr>
          <w:noProof/>
        </w:rPr>
      </w:pPr>
      <w:r w:rsidRPr="0035459C">
        <w:rPr>
          <w:noProof/>
        </w:rPr>
        <w:t>promoting, through active involvement in international organisations, and in line with the objectives of the Green Deal and the common fisheries policy, the conservation and sustainable management of the stocks under their purview and their ecosystem;</w:t>
      </w:r>
    </w:p>
    <w:p w14:paraId="0FAD3177" w14:textId="77777777" w:rsidR="00E112AC" w:rsidRPr="0035459C" w:rsidRDefault="00E112AC" w:rsidP="00E112AC">
      <w:pPr>
        <w:pStyle w:val="ppoListArabic1aiii-L1"/>
        <w:numPr>
          <w:ilvl w:val="0"/>
          <w:numId w:val="40"/>
        </w:numPr>
        <w:rPr>
          <w:noProof/>
        </w:rPr>
      </w:pPr>
      <w:r w:rsidRPr="0035459C">
        <w:rPr>
          <w:noProof/>
        </w:rPr>
        <w:t>establishing, through SFPAs, a legal, economic and environmental governance framework for fishing activities carried out by European Union fishing vessels in non-EU-country waters, in line with other EU policies.</w:t>
      </w:r>
    </w:p>
    <w:p w14:paraId="024F6CDE" w14:textId="77777777" w:rsidR="00E112AC" w:rsidRPr="0035459C" w:rsidRDefault="00E112AC" w:rsidP="00E112AC">
      <w:pPr>
        <w:pStyle w:val="ppoHeading6"/>
        <w:rPr>
          <w:noProof/>
        </w:rPr>
      </w:pPr>
      <w:r w:rsidRPr="0035459C">
        <w:rPr>
          <w:noProof/>
        </w:rPr>
        <w:t>Actions</w:t>
      </w:r>
    </w:p>
    <w:p w14:paraId="3C102178" w14:textId="77777777" w:rsidR="00E112AC" w:rsidRPr="0035459C" w:rsidRDefault="00E112AC" w:rsidP="00E112AC">
      <w:pPr>
        <w:pStyle w:val="ppoListHyphened-L1"/>
        <w:numPr>
          <w:ilvl w:val="0"/>
          <w:numId w:val="0"/>
        </w:numPr>
        <w:rPr>
          <w:noProof/>
        </w:rPr>
      </w:pPr>
      <w:r w:rsidRPr="0035459C">
        <w:rPr>
          <w:noProof/>
        </w:rPr>
        <w:t>The programme pursues the above objectives by (1) supporting the negotiation, conclusion and implementation of bilateral SFPAs and (2) paying the compulsory annual contributions deriving from the EU’s</w:t>
      </w:r>
      <w:r w:rsidRPr="00483CE9">
        <w:rPr>
          <w:noProof/>
        </w:rPr>
        <w:t xml:space="preserve"> </w:t>
      </w:r>
      <w:r w:rsidRPr="0035459C">
        <w:rPr>
          <w:noProof/>
        </w:rPr>
        <w:t>membership of international bodies.</w:t>
      </w:r>
    </w:p>
    <w:p w14:paraId="51E0C180" w14:textId="77777777" w:rsidR="00E112AC" w:rsidRPr="0035459C" w:rsidRDefault="00E112AC" w:rsidP="00E112AC">
      <w:pPr>
        <w:pStyle w:val="ppoHeading6"/>
        <w:rPr>
          <w:noProof/>
        </w:rPr>
      </w:pPr>
      <w:r w:rsidRPr="0035459C">
        <w:rPr>
          <w:noProof/>
        </w:rPr>
        <w:t>Delivery mode</w:t>
      </w:r>
    </w:p>
    <w:p w14:paraId="366C323A" w14:textId="77777777" w:rsidR="00E112AC" w:rsidRPr="0035459C" w:rsidRDefault="00E112AC" w:rsidP="00E112AC">
      <w:pPr>
        <w:rPr>
          <w:noProof/>
        </w:rPr>
      </w:pPr>
      <w:r w:rsidRPr="0035459C">
        <w:rPr>
          <w:noProof/>
        </w:rPr>
        <w:t>Payments under SFPAs and RFMO agreements are managed under direct management. The Directorate-General for Maritime Affairs and Fisheries is in the lead DG for the Commission.</w:t>
      </w:r>
    </w:p>
    <w:p w14:paraId="6FCFB608" w14:textId="77777777" w:rsidR="00E112AC" w:rsidRPr="0035459C" w:rsidRDefault="00E112AC" w:rsidP="00E112AC">
      <w:pPr>
        <w:pStyle w:val="ppoHeading6"/>
        <w:rPr>
          <w:noProof/>
        </w:rPr>
      </w:pPr>
      <w:r w:rsidRPr="0035459C">
        <w:rPr>
          <w:noProof/>
        </w:rPr>
        <w:t>LINK TO THE 2014-2020 multiannual financial framework</w:t>
      </w:r>
    </w:p>
    <w:p w14:paraId="0E873E61" w14:textId="77777777" w:rsidR="00E112AC" w:rsidRPr="0035459C" w:rsidRDefault="00E112AC" w:rsidP="00E112AC">
      <w:pPr>
        <w:rPr>
          <w:noProof/>
        </w:rPr>
      </w:pPr>
      <w:r w:rsidRPr="0035459C">
        <w:rPr>
          <w:noProof/>
        </w:rPr>
        <w:t>During 2021-2027, the Commission will continue its membership of RFMO organisations and continue to carefully monitor the implementation of SFPAs. Emphasis will be put on appropriate reporting of activities financed under the SFPA sectoral support component, raising awareness of concrete action achieved.</w:t>
      </w:r>
    </w:p>
    <w:p w14:paraId="7570D13F" w14:textId="77777777" w:rsidR="00E112AC" w:rsidRPr="0035459C" w:rsidRDefault="00E112AC" w:rsidP="00E112AC">
      <w:pPr>
        <w:pStyle w:val="ppoHeading6"/>
        <w:rPr>
          <w:noProof/>
        </w:rPr>
      </w:pPr>
      <w:r w:rsidRPr="0035459C">
        <w:rPr>
          <w:noProof/>
        </w:rPr>
        <w:t>WEBSITE</w:t>
      </w:r>
      <w:r>
        <w:rPr>
          <w:noProof/>
        </w:rPr>
        <w:t>S</w:t>
      </w:r>
      <w:r w:rsidRPr="0035459C">
        <w:rPr>
          <w:noProof/>
        </w:rPr>
        <w:t xml:space="preserve"> FOR more information</w:t>
      </w:r>
    </w:p>
    <w:p w14:paraId="04185F11" w14:textId="77777777" w:rsidR="00E112AC" w:rsidRDefault="00E01E9B" w:rsidP="00E112AC">
      <w:pPr>
        <w:rPr>
          <w:rStyle w:val="Hyperlink"/>
          <w:noProof/>
        </w:rPr>
      </w:pPr>
      <w:hyperlink r:id="rId396" w:history="1">
        <w:r w:rsidR="00E112AC" w:rsidRPr="0035459C">
          <w:rPr>
            <w:rStyle w:val="Hyperlink"/>
            <w:noProof/>
          </w:rPr>
          <w:t>http://europa.eu/!mH87VG</w:t>
        </w:r>
      </w:hyperlink>
    </w:p>
    <w:p w14:paraId="3603C859" w14:textId="77777777" w:rsidR="00E112AC" w:rsidRPr="0035459C" w:rsidRDefault="00E01E9B" w:rsidP="00E112AC">
      <w:pPr>
        <w:rPr>
          <w:noProof/>
        </w:rPr>
      </w:pPr>
      <w:hyperlink r:id="rId397" w:history="1">
        <w:r w:rsidR="00E112AC" w:rsidRPr="008761C3">
          <w:rPr>
            <w:rStyle w:val="Hyperlink"/>
            <w:noProof/>
          </w:rPr>
          <w:t>https://europa.eu/!r4MKuN</w:t>
        </w:r>
      </w:hyperlink>
    </w:p>
    <w:p w14:paraId="4A29C883" w14:textId="77777777" w:rsidR="00E112AC" w:rsidRPr="0035459C" w:rsidRDefault="00E112AC" w:rsidP="00E112AC">
      <w:pPr>
        <w:pStyle w:val="ppoHeading5"/>
        <w:rPr>
          <w:noProof/>
        </w:rPr>
      </w:pPr>
      <w:r w:rsidRPr="0035459C">
        <w:rPr>
          <w:rFonts w:eastAsiaTheme="minorEastAsia"/>
          <w:noProof/>
        </w:rPr>
        <w:t>Legal basis</w:t>
      </w:r>
    </w:p>
    <w:p w14:paraId="3FFE1CB0" w14:textId="77777777" w:rsidR="00E112AC" w:rsidRPr="0035459C" w:rsidRDefault="00E112AC" w:rsidP="00E112AC">
      <w:pPr>
        <w:rPr>
          <w:noProof/>
        </w:rPr>
      </w:pPr>
      <w:r w:rsidRPr="0035459C">
        <w:rPr>
          <w:noProof/>
        </w:rPr>
        <w:t>Regulation (EU) No</w:t>
      </w:r>
      <w:r w:rsidRPr="0035459C">
        <w:rPr>
          <w:rFonts w:ascii="Calibri" w:hAnsi="Calibri" w:cs="Calibri"/>
          <w:noProof/>
        </w:rPr>
        <w:t> </w:t>
      </w:r>
      <w:r w:rsidRPr="00236A33">
        <w:rPr>
          <w:noProof/>
        </w:rPr>
        <w:t>1380/2013</w:t>
      </w:r>
      <w:r w:rsidRPr="0035459C">
        <w:rPr>
          <w:noProof/>
        </w:rPr>
        <w:t xml:space="preserve"> of the European Parliament and of the Council.</w:t>
      </w:r>
    </w:p>
    <w:p w14:paraId="129F5046" w14:textId="77777777" w:rsidR="00E112AC" w:rsidRPr="0035459C" w:rsidRDefault="00E112AC" w:rsidP="00E112AC">
      <w:pPr>
        <w:pStyle w:val="ppoHeading4NaturalGreen"/>
        <w:rPr>
          <w:caps/>
          <w:noProof/>
        </w:rPr>
      </w:pPr>
      <w:r w:rsidRPr="0035459C">
        <w:rPr>
          <w:noProof/>
        </w:rPr>
        <w:t>Implementation and performance</w:t>
      </w:r>
    </w:p>
    <w:p w14:paraId="04D75A16" w14:textId="77777777" w:rsidR="00E112AC" w:rsidRPr="0035459C" w:rsidRDefault="00E112AC" w:rsidP="00E112AC">
      <w:pPr>
        <w:pStyle w:val="ppoHeading5"/>
        <w:rPr>
          <w:noProof/>
        </w:rPr>
      </w:pPr>
      <w:r w:rsidRPr="0035459C">
        <w:rPr>
          <w:noProof/>
        </w:rPr>
        <w:t>Budget</w:t>
      </w:r>
    </w:p>
    <w:p w14:paraId="54A7AA80" w14:textId="77777777" w:rsidR="00E112AC" w:rsidRPr="0035459C" w:rsidRDefault="00E112AC" w:rsidP="00E112AC">
      <w:pPr>
        <w:pStyle w:val="ppoTableTabletitle"/>
        <w:rPr>
          <w:noProof/>
        </w:rPr>
      </w:pPr>
      <w:r w:rsidRPr="0035459C">
        <w:rPr>
          <w:noProof/>
        </w:rPr>
        <w:t>Budget programming (million 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E112AC" w:rsidRPr="0035459C" w14:paraId="33197F01" w14:textId="77777777" w:rsidTr="0083214A">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3F44C64B" w14:textId="77777777" w:rsidR="00E112AC" w:rsidRPr="0035459C" w:rsidRDefault="00E112AC" w:rsidP="0083214A">
            <w:pPr>
              <w:rPr>
                <w:noProof/>
              </w:rPr>
            </w:pPr>
          </w:p>
        </w:tc>
        <w:tc>
          <w:tcPr>
            <w:tcW w:w="943" w:type="dxa"/>
            <w:noWrap/>
            <w:hideMark/>
          </w:tcPr>
          <w:p w14:paraId="4C780443" w14:textId="77777777" w:rsidR="00E112AC" w:rsidRPr="0035459C" w:rsidRDefault="00E112AC" w:rsidP="0083214A">
            <w:pPr>
              <w:rPr>
                <w:noProof/>
              </w:rPr>
            </w:pPr>
            <w:r w:rsidRPr="0035459C">
              <w:rPr>
                <w:noProof/>
              </w:rPr>
              <w:t>2021</w:t>
            </w:r>
          </w:p>
        </w:tc>
        <w:tc>
          <w:tcPr>
            <w:tcW w:w="944" w:type="dxa"/>
            <w:noWrap/>
            <w:hideMark/>
          </w:tcPr>
          <w:p w14:paraId="33485016" w14:textId="77777777" w:rsidR="00E112AC" w:rsidRPr="0035459C" w:rsidRDefault="00E112AC" w:rsidP="0083214A">
            <w:pPr>
              <w:rPr>
                <w:noProof/>
              </w:rPr>
            </w:pPr>
            <w:r w:rsidRPr="0035459C">
              <w:rPr>
                <w:noProof/>
              </w:rPr>
              <w:t>2022</w:t>
            </w:r>
          </w:p>
        </w:tc>
        <w:tc>
          <w:tcPr>
            <w:tcW w:w="943" w:type="dxa"/>
            <w:noWrap/>
            <w:hideMark/>
          </w:tcPr>
          <w:p w14:paraId="78353C59" w14:textId="77777777" w:rsidR="00E112AC" w:rsidRPr="0035459C" w:rsidRDefault="00E112AC" w:rsidP="0083214A">
            <w:pPr>
              <w:rPr>
                <w:noProof/>
              </w:rPr>
            </w:pPr>
            <w:r w:rsidRPr="0035459C">
              <w:rPr>
                <w:noProof/>
              </w:rPr>
              <w:t>2023</w:t>
            </w:r>
          </w:p>
        </w:tc>
        <w:tc>
          <w:tcPr>
            <w:tcW w:w="944" w:type="dxa"/>
            <w:noWrap/>
            <w:hideMark/>
          </w:tcPr>
          <w:p w14:paraId="2D5912CD" w14:textId="77777777" w:rsidR="00E112AC" w:rsidRPr="0035459C" w:rsidRDefault="00E112AC" w:rsidP="0083214A">
            <w:pPr>
              <w:rPr>
                <w:noProof/>
              </w:rPr>
            </w:pPr>
            <w:r w:rsidRPr="0035459C">
              <w:rPr>
                <w:noProof/>
              </w:rPr>
              <w:t>2024</w:t>
            </w:r>
          </w:p>
        </w:tc>
        <w:tc>
          <w:tcPr>
            <w:tcW w:w="944" w:type="dxa"/>
            <w:noWrap/>
            <w:hideMark/>
          </w:tcPr>
          <w:p w14:paraId="4D330EAD" w14:textId="77777777" w:rsidR="00E112AC" w:rsidRPr="0035459C" w:rsidRDefault="00E112AC" w:rsidP="0083214A">
            <w:pPr>
              <w:rPr>
                <w:noProof/>
              </w:rPr>
            </w:pPr>
            <w:r w:rsidRPr="0035459C">
              <w:rPr>
                <w:noProof/>
              </w:rPr>
              <w:t>2025</w:t>
            </w:r>
          </w:p>
        </w:tc>
        <w:tc>
          <w:tcPr>
            <w:tcW w:w="943" w:type="dxa"/>
            <w:noWrap/>
            <w:hideMark/>
          </w:tcPr>
          <w:p w14:paraId="3AC6D246" w14:textId="77777777" w:rsidR="00E112AC" w:rsidRPr="0035459C" w:rsidRDefault="00E112AC" w:rsidP="0083214A">
            <w:pPr>
              <w:rPr>
                <w:noProof/>
              </w:rPr>
            </w:pPr>
            <w:r w:rsidRPr="0035459C">
              <w:rPr>
                <w:noProof/>
              </w:rPr>
              <w:t>2026</w:t>
            </w:r>
          </w:p>
        </w:tc>
        <w:tc>
          <w:tcPr>
            <w:tcW w:w="944" w:type="dxa"/>
            <w:noWrap/>
            <w:hideMark/>
          </w:tcPr>
          <w:p w14:paraId="787D8F95" w14:textId="77777777" w:rsidR="00E112AC" w:rsidRPr="0035459C" w:rsidRDefault="00E112AC" w:rsidP="0083214A">
            <w:pPr>
              <w:rPr>
                <w:noProof/>
              </w:rPr>
            </w:pPr>
            <w:r w:rsidRPr="0035459C">
              <w:rPr>
                <w:noProof/>
              </w:rPr>
              <w:t>2027</w:t>
            </w:r>
          </w:p>
        </w:tc>
        <w:tc>
          <w:tcPr>
            <w:tcW w:w="944" w:type="dxa"/>
            <w:noWrap/>
            <w:hideMark/>
          </w:tcPr>
          <w:p w14:paraId="03FA4443" w14:textId="77777777" w:rsidR="00E112AC" w:rsidRPr="0035459C" w:rsidRDefault="00E112AC" w:rsidP="0083214A">
            <w:pPr>
              <w:rPr>
                <w:noProof/>
              </w:rPr>
            </w:pPr>
            <w:r w:rsidRPr="0035459C">
              <w:rPr>
                <w:noProof/>
              </w:rPr>
              <w:t>Total</w:t>
            </w:r>
          </w:p>
        </w:tc>
      </w:tr>
      <w:tr w:rsidR="00E112AC" w:rsidRPr="0035459C" w14:paraId="3929DB0B" w14:textId="77777777" w:rsidTr="00304A2B">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742A19D5" w14:textId="77777777" w:rsidR="00E112AC" w:rsidRPr="0035459C" w:rsidRDefault="00E112AC" w:rsidP="0083214A">
            <w:pPr>
              <w:rPr>
                <w:noProof/>
              </w:rPr>
            </w:pPr>
            <w:r w:rsidRPr="0035459C">
              <w:rPr>
                <w:noProof/>
              </w:rPr>
              <w:t>Financial programming</w:t>
            </w:r>
          </w:p>
        </w:tc>
        <w:tc>
          <w:tcPr>
            <w:tcW w:w="943" w:type="dxa"/>
            <w:noWrap/>
            <w:hideMark/>
          </w:tcPr>
          <w:p w14:paraId="0E2E03BB" w14:textId="77777777" w:rsidR="00E112AC" w:rsidRPr="0035459C" w:rsidRDefault="00E112AC" w:rsidP="0083214A">
            <w:pPr>
              <w:jc w:val="center"/>
              <w:rPr>
                <w:noProof/>
              </w:rPr>
            </w:pPr>
            <w:r w:rsidRPr="0035459C">
              <w:rPr>
                <w:noProof/>
              </w:rPr>
              <w:t>151.6</w:t>
            </w:r>
          </w:p>
        </w:tc>
        <w:tc>
          <w:tcPr>
            <w:tcW w:w="944" w:type="dxa"/>
            <w:noWrap/>
            <w:hideMark/>
          </w:tcPr>
          <w:p w14:paraId="1651E072" w14:textId="77777777" w:rsidR="00E112AC" w:rsidRPr="0035459C" w:rsidRDefault="00E112AC" w:rsidP="0083214A">
            <w:pPr>
              <w:jc w:val="center"/>
              <w:rPr>
                <w:noProof/>
              </w:rPr>
            </w:pPr>
            <w:r w:rsidRPr="0035459C">
              <w:rPr>
                <w:noProof/>
              </w:rPr>
              <w:t>159.2</w:t>
            </w:r>
          </w:p>
        </w:tc>
        <w:tc>
          <w:tcPr>
            <w:tcW w:w="943" w:type="dxa"/>
            <w:noWrap/>
            <w:vAlign w:val="bottom"/>
            <w:hideMark/>
          </w:tcPr>
          <w:p w14:paraId="5E1C4224" w14:textId="284AF144" w:rsidR="00E112AC" w:rsidRPr="0035459C" w:rsidRDefault="00E112AC" w:rsidP="0083214A">
            <w:pPr>
              <w:jc w:val="center"/>
              <w:rPr>
                <w:noProof/>
              </w:rPr>
            </w:pPr>
            <w:r>
              <w:rPr>
                <w:rFonts w:ascii="Calibri" w:hAnsi="Calibri" w:cs="Calibri"/>
                <w:noProof/>
                <w:color w:val="000000"/>
              </w:rPr>
              <w:t>162.0</w:t>
            </w:r>
          </w:p>
        </w:tc>
        <w:tc>
          <w:tcPr>
            <w:tcW w:w="944" w:type="dxa"/>
            <w:noWrap/>
            <w:vAlign w:val="bottom"/>
            <w:hideMark/>
          </w:tcPr>
          <w:p w14:paraId="7D2238EA" w14:textId="5E167539" w:rsidR="00E112AC" w:rsidRPr="0035459C" w:rsidRDefault="00E112AC" w:rsidP="0083214A">
            <w:pPr>
              <w:jc w:val="center"/>
              <w:rPr>
                <w:noProof/>
              </w:rPr>
            </w:pPr>
            <w:r>
              <w:rPr>
                <w:rFonts w:ascii="Calibri" w:hAnsi="Calibri" w:cs="Calibri"/>
                <w:noProof/>
                <w:color w:val="000000"/>
              </w:rPr>
              <w:t>141.0</w:t>
            </w:r>
          </w:p>
        </w:tc>
        <w:tc>
          <w:tcPr>
            <w:tcW w:w="944" w:type="dxa"/>
            <w:noWrap/>
            <w:vAlign w:val="bottom"/>
            <w:hideMark/>
          </w:tcPr>
          <w:p w14:paraId="24EE610C" w14:textId="1E9BFC67" w:rsidR="00E112AC" w:rsidRPr="0035459C" w:rsidRDefault="00E112AC" w:rsidP="0083214A">
            <w:pPr>
              <w:jc w:val="center"/>
              <w:rPr>
                <w:noProof/>
              </w:rPr>
            </w:pPr>
            <w:r>
              <w:rPr>
                <w:rFonts w:ascii="Calibri" w:hAnsi="Calibri" w:cs="Calibri"/>
                <w:noProof/>
                <w:color w:val="000000"/>
              </w:rPr>
              <w:t>143.8</w:t>
            </w:r>
          </w:p>
        </w:tc>
        <w:tc>
          <w:tcPr>
            <w:tcW w:w="943" w:type="dxa"/>
            <w:noWrap/>
            <w:vAlign w:val="bottom"/>
            <w:hideMark/>
          </w:tcPr>
          <w:p w14:paraId="680DBC89" w14:textId="612EB616" w:rsidR="00E112AC" w:rsidRPr="0035459C" w:rsidRDefault="00E112AC" w:rsidP="0083214A">
            <w:pPr>
              <w:jc w:val="center"/>
              <w:rPr>
                <w:noProof/>
              </w:rPr>
            </w:pPr>
            <w:r>
              <w:rPr>
                <w:rFonts w:ascii="Calibri" w:hAnsi="Calibri" w:cs="Calibri"/>
                <w:noProof/>
                <w:color w:val="000000"/>
              </w:rPr>
              <w:t>146.7</w:t>
            </w:r>
          </w:p>
        </w:tc>
        <w:tc>
          <w:tcPr>
            <w:tcW w:w="944" w:type="dxa"/>
            <w:noWrap/>
            <w:vAlign w:val="bottom"/>
            <w:hideMark/>
          </w:tcPr>
          <w:p w14:paraId="7206AFEE" w14:textId="580C4C72" w:rsidR="00E112AC" w:rsidRPr="0035459C" w:rsidRDefault="00E112AC" w:rsidP="0083214A">
            <w:pPr>
              <w:jc w:val="center"/>
              <w:rPr>
                <w:noProof/>
              </w:rPr>
            </w:pPr>
            <w:r>
              <w:rPr>
                <w:rFonts w:ascii="Calibri" w:hAnsi="Calibri" w:cs="Calibri"/>
                <w:noProof/>
                <w:color w:val="000000"/>
              </w:rPr>
              <w:t>148.8</w:t>
            </w:r>
          </w:p>
        </w:tc>
        <w:tc>
          <w:tcPr>
            <w:tcW w:w="944" w:type="dxa"/>
            <w:noWrap/>
            <w:vAlign w:val="bottom"/>
            <w:hideMark/>
          </w:tcPr>
          <w:p w14:paraId="05982757" w14:textId="6ADDA52D" w:rsidR="00E112AC" w:rsidRPr="0035459C" w:rsidRDefault="00E112AC" w:rsidP="0083214A">
            <w:pPr>
              <w:jc w:val="center"/>
              <w:rPr>
                <w:noProof/>
              </w:rPr>
            </w:pPr>
            <w:r>
              <w:rPr>
                <w:rFonts w:ascii="Calibri" w:hAnsi="Calibri" w:cs="Calibri"/>
                <w:noProof/>
                <w:color w:val="000000"/>
              </w:rPr>
              <w:t>1 053.0</w:t>
            </w:r>
          </w:p>
        </w:tc>
      </w:tr>
      <w:tr w:rsidR="00E112AC" w:rsidRPr="0035459C" w14:paraId="3243A57A"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15C515CE" w14:textId="77777777" w:rsidR="00E112AC" w:rsidRPr="0035459C" w:rsidRDefault="00E112AC" w:rsidP="0083214A">
            <w:pPr>
              <w:rPr>
                <w:noProof/>
              </w:rPr>
            </w:pPr>
            <w:r w:rsidRPr="0035459C">
              <w:rPr>
                <w:noProof/>
              </w:rPr>
              <w:t>NextGenerationEU</w:t>
            </w:r>
          </w:p>
        </w:tc>
        <w:tc>
          <w:tcPr>
            <w:tcW w:w="943" w:type="dxa"/>
            <w:noWrap/>
            <w:hideMark/>
          </w:tcPr>
          <w:p w14:paraId="44E24D63" w14:textId="77777777" w:rsidR="00E112AC" w:rsidRPr="0035459C" w:rsidRDefault="00E112AC" w:rsidP="0083214A">
            <w:pPr>
              <w:jc w:val="center"/>
              <w:rPr>
                <w:noProof/>
              </w:rPr>
            </w:pPr>
          </w:p>
        </w:tc>
        <w:tc>
          <w:tcPr>
            <w:tcW w:w="944" w:type="dxa"/>
            <w:noWrap/>
            <w:hideMark/>
          </w:tcPr>
          <w:p w14:paraId="38BFA8BB" w14:textId="77777777" w:rsidR="00E112AC" w:rsidRPr="0035459C" w:rsidRDefault="00E112AC" w:rsidP="0083214A">
            <w:pPr>
              <w:jc w:val="center"/>
              <w:rPr>
                <w:noProof/>
              </w:rPr>
            </w:pPr>
          </w:p>
        </w:tc>
        <w:tc>
          <w:tcPr>
            <w:tcW w:w="943" w:type="dxa"/>
            <w:noWrap/>
            <w:hideMark/>
          </w:tcPr>
          <w:p w14:paraId="2BB8D8A3" w14:textId="77777777" w:rsidR="00E112AC" w:rsidRPr="0035459C" w:rsidRDefault="00E112AC" w:rsidP="0083214A">
            <w:pPr>
              <w:jc w:val="center"/>
              <w:rPr>
                <w:noProof/>
              </w:rPr>
            </w:pPr>
          </w:p>
        </w:tc>
        <w:tc>
          <w:tcPr>
            <w:tcW w:w="944" w:type="dxa"/>
            <w:noWrap/>
            <w:hideMark/>
          </w:tcPr>
          <w:p w14:paraId="6D5BC2B9" w14:textId="77777777" w:rsidR="00E112AC" w:rsidRPr="0035459C" w:rsidRDefault="00E112AC" w:rsidP="0083214A">
            <w:pPr>
              <w:jc w:val="center"/>
              <w:rPr>
                <w:noProof/>
              </w:rPr>
            </w:pPr>
          </w:p>
        </w:tc>
        <w:tc>
          <w:tcPr>
            <w:tcW w:w="944" w:type="dxa"/>
            <w:noWrap/>
            <w:hideMark/>
          </w:tcPr>
          <w:p w14:paraId="744A276B" w14:textId="77777777" w:rsidR="00E112AC" w:rsidRPr="0035459C" w:rsidRDefault="00E112AC" w:rsidP="0083214A">
            <w:pPr>
              <w:jc w:val="center"/>
              <w:rPr>
                <w:noProof/>
              </w:rPr>
            </w:pPr>
          </w:p>
        </w:tc>
        <w:tc>
          <w:tcPr>
            <w:tcW w:w="943" w:type="dxa"/>
            <w:noWrap/>
            <w:hideMark/>
          </w:tcPr>
          <w:p w14:paraId="5BD72995" w14:textId="77777777" w:rsidR="00E112AC" w:rsidRPr="0035459C" w:rsidRDefault="00E112AC" w:rsidP="0083214A">
            <w:pPr>
              <w:jc w:val="center"/>
              <w:rPr>
                <w:noProof/>
              </w:rPr>
            </w:pPr>
          </w:p>
        </w:tc>
        <w:tc>
          <w:tcPr>
            <w:tcW w:w="944" w:type="dxa"/>
            <w:noWrap/>
            <w:hideMark/>
          </w:tcPr>
          <w:p w14:paraId="686320C1" w14:textId="77777777" w:rsidR="00E112AC" w:rsidRPr="0035459C" w:rsidRDefault="00E112AC" w:rsidP="0083214A">
            <w:pPr>
              <w:jc w:val="center"/>
              <w:rPr>
                <w:noProof/>
              </w:rPr>
            </w:pPr>
          </w:p>
        </w:tc>
        <w:tc>
          <w:tcPr>
            <w:tcW w:w="944" w:type="dxa"/>
            <w:noWrap/>
            <w:hideMark/>
          </w:tcPr>
          <w:p w14:paraId="3DEC6DF8" w14:textId="77777777" w:rsidR="00E112AC" w:rsidRPr="0035459C" w:rsidRDefault="00E112AC" w:rsidP="0083214A">
            <w:pPr>
              <w:jc w:val="center"/>
              <w:rPr>
                <w:noProof/>
              </w:rPr>
            </w:pPr>
          </w:p>
        </w:tc>
      </w:tr>
      <w:tr w:rsidR="00E112AC" w:rsidRPr="0035459C" w14:paraId="241B3FA5"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682FFFC0" w14:textId="77777777" w:rsidR="00E112AC" w:rsidRPr="0035459C" w:rsidRDefault="00E112AC" w:rsidP="0083214A">
            <w:pPr>
              <w:rPr>
                <w:noProof/>
              </w:rPr>
            </w:pPr>
            <w:r w:rsidRPr="0035459C">
              <w:rPr>
                <w:noProof/>
              </w:rPr>
              <w:t>Decommitments made available again</w:t>
            </w:r>
            <w:r w:rsidRPr="0035459C">
              <w:rPr>
                <w:rFonts w:ascii="Calibri" w:hAnsi="Calibri" w:cs="Calibri"/>
                <w:noProof/>
              </w:rPr>
              <w:t> </w:t>
            </w:r>
            <w:r w:rsidRPr="0035459C">
              <w:rPr>
                <w:noProof/>
              </w:rPr>
              <w:t>(*)</w:t>
            </w:r>
          </w:p>
        </w:tc>
        <w:tc>
          <w:tcPr>
            <w:tcW w:w="943" w:type="dxa"/>
            <w:noWrap/>
            <w:hideMark/>
          </w:tcPr>
          <w:p w14:paraId="14735F11" w14:textId="77777777" w:rsidR="00E112AC" w:rsidRPr="0035459C" w:rsidRDefault="00E112AC" w:rsidP="0083214A">
            <w:pPr>
              <w:jc w:val="center"/>
              <w:rPr>
                <w:noProof/>
              </w:rPr>
            </w:pPr>
            <w:r>
              <w:rPr>
                <w:noProof/>
              </w:rPr>
              <w:t>N/A</w:t>
            </w:r>
          </w:p>
        </w:tc>
        <w:tc>
          <w:tcPr>
            <w:tcW w:w="944" w:type="dxa"/>
            <w:noWrap/>
            <w:hideMark/>
          </w:tcPr>
          <w:p w14:paraId="2912BB63" w14:textId="77777777" w:rsidR="00E112AC" w:rsidRPr="0035459C" w:rsidRDefault="00E112AC" w:rsidP="0083214A">
            <w:pPr>
              <w:jc w:val="center"/>
              <w:rPr>
                <w:noProof/>
              </w:rPr>
            </w:pPr>
          </w:p>
        </w:tc>
        <w:tc>
          <w:tcPr>
            <w:tcW w:w="943" w:type="dxa"/>
            <w:noWrap/>
            <w:hideMark/>
          </w:tcPr>
          <w:p w14:paraId="4EAB7EE2" w14:textId="77777777" w:rsidR="00E112AC" w:rsidRPr="0035459C" w:rsidRDefault="00E112AC" w:rsidP="0083214A">
            <w:pPr>
              <w:jc w:val="center"/>
              <w:rPr>
                <w:noProof/>
              </w:rPr>
            </w:pPr>
          </w:p>
        </w:tc>
        <w:tc>
          <w:tcPr>
            <w:tcW w:w="944" w:type="dxa"/>
            <w:noWrap/>
            <w:hideMark/>
          </w:tcPr>
          <w:p w14:paraId="242F8D9A" w14:textId="77777777" w:rsidR="00E112AC" w:rsidRPr="0035459C" w:rsidRDefault="00E112AC" w:rsidP="0083214A">
            <w:pPr>
              <w:jc w:val="center"/>
              <w:rPr>
                <w:noProof/>
              </w:rPr>
            </w:pPr>
          </w:p>
        </w:tc>
        <w:tc>
          <w:tcPr>
            <w:tcW w:w="944" w:type="dxa"/>
            <w:noWrap/>
            <w:hideMark/>
          </w:tcPr>
          <w:p w14:paraId="4F581D31" w14:textId="77777777" w:rsidR="00E112AC" w:rsidRPr="0035459C" w:rsidRDefault="00E112AC" w:rsidP="0083214A">
            <w:pPr>
              <w:jc w:val="center"/>
              <w:rPr>
                <w:noProof/>
              </w:rPr>
            </w:pPr>
          </w:p>
        </w:tc>
        <w:tc>
          <w:tcPr>
            <w:tcW w:w="943" w:type="dxa"/>
            <w:noWrap/>
            <w:hideMark/>
          </w:tcPr>
          <w:p w14:paraId="0264CF40" w14:textId="77777777" w:rsidR="00E112AC" w:rsidRPr="0035459C" w:rsidRDefault="00E112AC" w:rsidP="0083214A">
            <w:pPr>
              <w:jc w:val="center"/>
              <w:rPr>
                <w:noProof/>
              </w:rPr>
            </w:pPr>
          </w:p>
        </w:tc>
        <w:tc>
          <w:tcPr>
            <w:tcW w:w="944" w:type="dxa"/>
            <w:noWrap/>
            <w:hideMark/>
          </w:tcPr>
          <w:p w14:paraId="706F73AF" w14:textId="77777777" w:rsidR="00E112AC" w:rsidRPr="0035459C" w:rsidRDefault="00E112AC" w:rsidP="0083214A">
            <w:pPr>
              <w:jc w:val="center"/>
              <w:rPr>
                <w:noProof/>
              </w:rPr>
            </w:pPr>
          </w:p>
        </w:tc>
        <w:tc>
          <w:tcPr>
            <w:tcW w:w="944" w:type="dxa"/>
            <w:noWrap/>
            <w:hideMark/>
          </w:tcPr>
          <w:p w14:paraId="7EB5EB92" w14:textId="77777777" w:rsidR="00E112AC" w:rsidRPr="0035459C" w:rsidRDefault="00E112AC" w:rsidP="0083214A">
            <w:pPr>
              <w:jc w:val="center"/>
              <w:rPr>
                <w:noProof/>
              </w:rPr>
            </w:pPr>
            <w:r>
              <w:rPr>
                <w:noProof/>
              </w:rPr>
              <w:t>N/A</w:t>
            </w:r>
          </w:p>
        </w:tc>
      </w:tr>
      <w:tr w:rsidR="00E112AC" w:rsidRPr="0035459C" w14:paraId="5786DCCF"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44655D4E" w14:textId="77777777" w:rsidR="00E112AC" w:rsidRPr="0035459C" w:rsidRDefault="00E112AC" w:rsidP="0083214A">
            <w:pPr>
              <w:rPr>
                <w:noProof/>
              </w:rPr>
            </w:pPr>
            <w:r w:rsidRPr="0035459C">
              <w:rPr>
                <w:noProof/>
              </w:rPr>
              <w:t>Contributions from other countries and entities</w:t>
            </w:r>
          </w:p>
        </w:tc>
        <w:tc>
          <w:tcPr>
            <w:tcW w:w="943" w:type="dxa"/>
            <w:noWrap/>
            <w:hideMark/>
          </w:tcPr>
          <w:p w14:paraId="7FB9544C" w14:textId="77777777" w:rsidR="00E112AC" w:rsidRPr="0035459C" w:rsidRDefault="00E112AC" w:rsidP="0083214A">
            <w:pPr>
              <w:jc w:val="center"/>
              <w:rPr>
                <w:noProof/>
              </w:rPr>
            </w:pPr>
          </w:p>
        </w:tc>
        <w:tc>
          <w:tcPr>
            <w:tcW w:w="944" w:type="dxa"/>
            <w:noWrap/>
            <w:hideMark/>
          </w:tcPr>
          <w:p w14:paraId="03E3D515" w14:textId="77777777" w:rsidR="00E112AC" w:rsidRPr="0035459C" w:rsidRDefault="00E112AC" w:rsidP="0083214A">
            <w:pPr>
              <w:jc w:val="center"/>
              <w:rPr>
                <w:noProof/>
              </w:rPr>
            </w:pPr>
          </w:p>
        </w:tc>
        <w:tc>
          <w:tcPr>
            <w:tcW w:w="943" w:type="dxa"/>
            <w:noWrap/>
            <w:hideMark/>
          </w:tcPr>
          <w:p w14:paraId="567248A4" w14:textId="77777777" w:rsidR="00E112AC" w:rsidRPr="0035459C" w:rsidRDefault="00E112AC" w:rsidP="0083214A">
            <w:pPr>
              <w:jc w:val="center"/>
              <w:rPr>
                <w:noProof/>
              </w:rPr>
            </w:pPr>
          </w:p>
        </w:tc>
        <w:tc>
          <w:tcPr>
            <w:tcW w:w="944" w:type="dxa"/>
            <w:noWrap/>
            <w:hideMark/>
          </w:tcPr>
          <w:p w14:paraId="79599663" w14:textId="77777777" w:rsidR="00E112AC" w:rsidRPr="0035459C" w:rsidRDefault="00E112AC" w:rsidP="0083214A">
            <w:pPr>
              <w:jc w:val="center"/>
              <w:rPr>
                <w:noProof/>
              </w:rPr>
            </w:pPr>
          </w:p>
        </w:tc>
        <w:tc>
          <w:tcPr>
            <w:tcW w:w="944" w:type="dxa"/>
            <w:noWrap/>
            <w:hideMark/>
          </w:tcPr>
          <w:p w14:paraId="7CEB59DC" w14:textId="77777777" w:rsidR="00E112AC" w:rsidRPr="0035459C" w:rsidRDefault="00E112AC" w:rsidP="0083214A">
            <w:pPr>
              <w:jc w:val="center"/>
              <w:rPr>
                <w:noProof/>
              </w:rPr>
            </w:pPr>
          </w:p>
        </w:tc>
        <w:tc>
          <w:tcPr>
            <w:tcW w:w="943" w:type="dxa"/>
            <w:noWrap/>
            <w:hideMark/>
          </w:tcPr>
          <w:p w14:paraId="6BE33D89" w14:textId="77777777" w:rsidR="00E112AC" w:rsidRPr="0035459C" w:rsidRDefault="00E112AC" w:rsidP="0083214A">
            <w:pPr>
              <w:jc w:val="center"/>
              <w:rPr>
                <w:noProof/>
              </w:rPr>
            </w:pPr>
          </w:p>
        </w:tc>
        <w:tc>
          <w:tcPr>
            <w:tcW w:w="944" w:type="dxa"/>
            <w:noWrap/>
            <w:hideMark/>
          </w:tcPr>
          <w:p w14:paraId="07BCB146" w14:textId="77777777" w:rsidR="00E112AC" w:rsidRPr="0035459C" w:rsidRDefault="00E112AC" w:rsidP="0083214A">
            <w:pPr>
              <w:jc w:val="center"/>
              <w:rPr>
                <w:noProof/>
              </w:rPr>
            </w:pPr>
          </w:p>
        </w:tc>
        <w:tc>
          <w:tcPr>
            <w:tcW w:w="944" w:type="dxa"/>
            <w:noWrap/>
            <w:hideMark/>
          </w:tcPr>
          <w:p w14:paraId="6CE991AF" w14:textId="77777777" w:rsidR="00E112AC" w:rsidRPr="0035459C" w:rsidRDefault="00E112AC" w:rsidP="0083214A">
            <w:pPr>
              <w:jc w:val="center"/>
              <w:rPr>
                <w:noProof/>
              </w:rPr>
            </w:pPr>
          </w:p>
        </w:tc>
      </w:tr>
    </w:tbl>
    <w:p w14:paraId="6BD1E350" w14:textId="77777777" w:rsidR="00E112AC" w:rsidRPr="0035459C" w:rsidRDefault="00E112AC" w:rsidP="00E112AC">
      <w:pPr>
        <w:rPr>
          <w:noProof/>
        </w:rPr>
      </w:pPr>
      <w:r w:rsidRPr="0035459C">
        <w:rPr>
          <w:noProof/>
          <w:sz w:val="18"/>
          <w:szCs w:val="18"/>
        </w:rPr>
        <w:t>(*) Only Article</w:t>
      </w:r>
      <w:r w:rsidRPr="0035459C">
        <w:rPr>
          <w:rFonts w:ascii="Calibri" w:hAnsi="Calibri" w:cs="Calibri"/>
          <w:noProof/>
          <w:sz w:val="18"/>
          <w:szCs w:val="18"/>
        </w:rPr>
        <w:t> </w:t>
      </w:r>
      <w:r w:rsidRPr="0035459C">
        <w:rPr>
          <w:noProof/>
          <w:sz w:val="18"/>
          <w:szCs w:val="18"/>
        </w:rPr>
        <w:t>15(3) of the financial regulation.</w:t>
      </w:r>
    </w:p>
    <w:p w14:paraId="6E0A6667" w14:textId="77777777" w:rsidR="00E112AC" w:rsidRPr="0035459C" w:rsidRDefault="00E112AC" w:rsidP="00E112AC">
      <w:pPr>
        <w:pStyle w:val="ppoTableTabletitle"/>
        <w:rPr>
          <w:b/>
          <w:noProof/>
        </w:rPr>
      </w:pPr>
      <w:r w:rsidRPr="0035459C">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E112AC" w:rsidRPr="0035459C" w14:paraId="734B2D34" w14:textId="77777777" w:rsidTr="0083214A">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20075E74" w14:textId="77777777" w:rsidR="00E112AC" w:rsidRPr="0035459C" w:rsidRDefault="00E112AC" w:rsidP="0083214A">
            <w:pPr>
              <w:rPr>
                <w:noProof/>
              </w:rPr>
            </w:pPr>
          </w:p>
        </w:tc>
        <w:tc>
          <w:tcPr>
            <w:tcW w:w="2410" w:type="dxa"/>
          </w:tcPr>
          <w:p w14:paraId="55BF444F" w14:textId="77777777" w:rsidR="00E112AC" w:rsidRPr="0035459C" w:rsidRDefault="00E112AC" w:rsidP="0083214A">
            <w:pPr>
              <w:cnfStyle w:val="100000000000" w:firstRow="1" w:lastRow="0" w:firstColumn="0" w:lastColumn="0" w:oddVBand="0" w:evenVBand="0" w:oddHBand="0" w:evenHBand="0" w:firstRowFirstColumn="0" w:firstRowLastColumn="0" w:lastRowFirstColumn="0" w:lastRowLastColumn="0"/>
              <w:rPr>
                <w:noProof/>
              </w:rPr>
            </w:pPr>
            <w:r w:rsidRPr="0035459C">
              <w:rPr>
                <w:noProof/>
              </w:rPr>
              <w:t>Implementation</w:t>
            </w:r>
          </w:p>
        </w:tc>
        <w:tc>
          <w:tcPr>
            <w:tcW w:w="2410" w:type="dxa"/>
          </w:tcPr>
          <w:p w14:paraId="25AC5F12" w14:textId="00EE42E0" w:rsidR="00E112AC" w:rsidRPr="0035459C" w:rsidRDefault="003821C6" w:rsidP="0083214A">
            <w:pPr>
              <w:cnfStyle w:val="100000000000" w:firstRow="1" w:lastRow="0" w:firstColumn="0" w:lastColumn="0" w:oddVBand="0" w:evenVBand="0" w:oddHBand="0" w:evenHBand="0" w:firstRowFirstColumn="0" w:firstRowLastColumn="0" w:lastRowFirstColumn="0" w:lastRowLastColumn="0"/>
              <w:rPr>
                <w:noProof/>
              </w:rPr>
            </w:pPr>
            <w:r>
              <w:rPr>
                <w:noProof/>
              </w:rPr>
              <w:t xml:space="preserve">2021-2027 </w:t>
            </w:r>
            <w:r w:rsidR="00E112AC" w:rsidRPr="0035459C">
              <w:rPr>
                <w:noProof/>
              </w:rPr>
              <w:t>Budget</w:t>
            </w:r>
          </w:p>
        </w:tc>
        <w:tc>
          <w:tcPr>
            <w:tcW w:w="2410" w:type="dxa"/>
          </w:tcPr>
          <w:p w14:paraId="60C7FD3E" w14:textId="77777777" w:rsidR="00E112AC" w:rsidRPr="0035459C" w:rsidRDefault="00E112AC" w:rsidP="0083214A">
            <w:pPr>
              <w:cnfStyle w:val="100000000000" w:firstRow="1" w:lastRow="0" w:firstColumn="0" w:lastColumn="0" w:oddVBand="0" w:evenVBand="0" w:oddHBand="0" w:evenHBand="0" w:firstRowFirstColumn="0" w:firstRowLastColumn="0" w:lastRowFirstColumn="0" w:lastRowLastColumn="0"/>
              <w:rPr>
                <w:noProof/>
              </w:rPr>
            </w:pPr>
            <w:r w:rsidRPr="0035459C">
              <w:rPr>
                <w:noProof/>
              </w:rPr>
              <w:t>Implementation rate</w:t>
            </w:r>
          </w:p>
        </w:tc>
      </w:tr>
      <w:tr w:rsidR="00E112AC" w:rsidRPr="0035459C" w14:paraId="211E4F00"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2612237F" w14:textId="77777777" w:rsidR="00E112AC" w:rsidRPr="0035459C" w:rsidRDefault="00E112AC" w:rsidP="0083214A">
            <w:pPr>
              <w:jc w:val="center"/>
              <w:rPr>
                <w:noProof/>
              </w:rPr>
            </w:pPr>
            <w:r w:rsidRPr="0035459C">
              <w:rPr>
                <w:noProof/>
              </w:rPr>
              <w:t>Commitments</w:t>
            </w:r>
          </w:p>
        </w:tc>
        <w:tc>
          <w:tcPr>
            <w:tcW w:w="2410" w:type="dxa"/>
          </w:tcPr>
          <w:tbl>
            <w:tblPr>
              <w:tblStyle w:val="TableGrid"/>
              <w:tblW w:w="0" w:type="auto"/>
              <w:tblLook w:val="06A0" w:firstRow="1" w:lastRow="0" w:firstColumn="1" w:lastColumn="0" w:noHBand="1" w:noVBand="1"/>
            </w:tblPr>
            <w:tblGrid>
              <w:gridCol w:w="2194"/>
            </w:tblGrid>
            <w:tr w:rsidR="00E112AC" w:rsidRPr="0035459C" w14:paraId="12702C77" w14:textId="77777777" w:rsidTr="0083214A">
              <w:trPr>
                <w:trHeight w:val="285"/>
              </w:trPr>
              <w:tc>
                <w:tcPr>
                  <w:tcW w:w="2290" w:type="dxa"/>
                  <w:tcBorders>
                    <w:top w:val="nil"/>
                    <w:left w:val="nil"/>
                    <w:bottom w:val="nil"/>
                    <w:right w:val="nil"/>
                  </w:tcBorders>
                  <w:vAlign w:val="bottom"/>
                </w:tcPr>
                <w:p w14:paraId="20E87F81" w14:textId="77777777" w:rsidR="00E112AC" w:rsidRPr="0035459C" w:rsidRDefault="00E112AC" w:rsidP="0083214A">
                  <w:pPr>
                    <w:jc w:val="right"/>
                    <w:rPr>
                      <w:noProof/>
                    </w:rPr>
                  </w:pPr>
                  <w:r w:rsidRPr="0035459C">
                    <w:rPr>
                      <w:rFonts w:ascii="Calibri" w:hAnsi="Calibri" w:cs="Calibri"/>
                      <w:noProof/>
                      <w:color w:val="000000"/>
                    </w:rPr>
                    <w:t>151.5</w:t>
                  </w:r>
                </w:p>
              </w:tc>
            </w:tr>
          </w:tbl>
          <w:p w14:paraId="74669856" w14:textId="77777777" w:rsidR="00E112AC" w:rsidRPr="0035459C" w:rsidRDefault="00E112AC"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E112AC" w:rsidRPr="0035459C" w14:paraId="5267BF57" w14:textId="77777777" w:rsidTr="0083214A">
              <w:trPr>
                <w:trHeight w:val="285"/>
              </w:trPr>
              <w:tc>
                <w:tcPr>
                  <w:tcW w:w="2290" w:type="dxa"/>
                  <w:tcBorders>
                    <w:top w:val="nil"/>
                    <w:left w:val="nil"/>
                    <w:bottom w:val="nil"/>
                    <w:right w:val="nil"/>
                  </w:tcBorders>
                  <w:vAlign w:val="bottom"/>
                </w:tcPr>
                <w:p w14:paraId="1EEF038B" w14:textId="033FFE15" w:rsidR="00E112AC" w:rsidRPr="0035459C" w:rsidRDefault="00E112AC" w:rsidP="0083214A">
                  <w:pPr>
                    <w:jc w:val="right"/>
                    <w:rPr>
                      <w:noProof/>
                    </w:rPr>
                  </w:pPr>
                  <w:r w:rsidRPr="6341DF38">
                    <w:rPr>
                      <w:rFonts w:ascii="Calibri" w:hAnsi="Calibri" w:cs="Calibri"/>
                      <w:noProof/>
                      <w:color w:val="000000"/>
                    </w:rPr>
                    <w:t>1 053.0</w:t>
                  </w:r>
                </w:p>
              </w:tc>
            </w:tr>
          </w:tbl>
          <w:p w14:paraId="71245042" w14:textId="77777777" w:rsidR="00E112AC" w:rsidRPr="0035459C" w:rsidRDefault="00E112AC"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E112AC" w:rsidRPr="0035459C" w14:paraId="2A683623" w14:textId="77777777" w:rsidTr="0083214A">
              <w:trPr>
                <w:trHeight w:val="285"/>
              </w:trPr>
              <w:tc>
                <w:tcPr>
                  <w:tcW w:w="2290" w:type="dxa"/>
                  <w:tcBorders>
                    <w:top w:val="nil"/>
                    <w:left w:val="nil"/>
                    <w:bottom w:val="nil"/>
                    <w:right w:val="nil"/>
                  </w:tcBorders>
                  <w:vAlign w:val="bottom"/>
                </w:tcPr>
                <w:p w14:paraId="1927E426" w14:textId="49032207" w:rsidR="00E112AC" w:rsidRPr="0035459C" w:rsidRDefault="00E112AC" w:rsidP="0083214A">
                  <w:pPr>
                    <w:jc w:val="right"/>
                    <w:rPr>
                      <w:noProof/>
                    </w:rPr>
                  </w:pPr>
                  <w:r w:rsidRPr="6341DF38">
                    <w:rPr>
                      <w:rFonts w:ascii="Calibri" w:hAnsi="Calibri" w:cs="Calibri"/>
                      <w:noProof/>
                      <w:color w:val="000000"/>
                    </w:rPr>
                    <w:t>14%</w:t>
                  </w:r>
                </w:p>
              </w:tc>
            </w:tr>
          </w:tbl>
          <w:p w14:paraId="7AF19642" w14:textId="77777777" w:rsidR="00E112AC" w:rsidRPr="0035459C" w:rsidRDefault="00E112AC" w:rsidP="0083214A">
            <w:pPr>
              <w:jc w:val="center"/>
              <w:cnfStyle w:val="000000000000" w:firstRow="0" w:lastRow="0" w:firstColumn="0" w:lastColumn="0" w:oddVBand="0" w:evenVBand="0" w:oddHBand="0" w:evenHBand="0" w:firstRowFirstColumn="0" w:firstRowLastColumn="0" w:lastRowFirstColumn="0" w:lastRowLastColumn="0"/>
              <w:rPr>
                <w:noProof/>
              </w:rPr>
            </w:pPr>
          </w:p>
        </w:tc>
      </w:tr>
      <w:tr w:rsidR="00E112AC" w:rsidRPr="0035459C" w14:paraId="3C9C112D"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22C97191" w14:textId="77777777" w:rsidR="00E112AC" w:rsidRPr="0035459C" w:rsidRDefault="00E112AC" w:rsidP="0083214A">
            <w:pPr>
              <w:jc w:val="center"/>
              <w:rPr>
                <w:noProof/>
              </w:rPr>
            </w:pPr>
            <w:r w:rsidRPr="0035459C">
              <w:rPr>
                <w:noProof/>
              </w:rPr>
              <w:t>Payments</w:t>
            </w:r>
          </w:p>
        </w:tc>
        <w:tc>
          <w:tcPr>
            <w:tcW w:w="2410" w:type="dxa"/>
          </w:tcPr>
          <w:tbl>
            <w:tblPr>
              <w:tblStyle w:val="TableGrid"/>
              <w:tblW w:w="0" w:type="auto"/>
              <w:tblLook w:val="06A0" w:firstRow="1" w:lastRow="0" w:firstColumn="1" w:lastColumn="0" w:noHBand="1" w:noVBand="1"/>
            </w:tblPr>
            <w:tblGrid>
              <w:gridCol w:w="2194"/>
            </w:tblGrid>
            <w:tr w:rsidR="00E112AC" w:rsidRPr="0035459C" w14:paraId="6E594C7B" w14:textId="77777777" w:rsidTr="0083214A">
              <w:trPr>
                <w:trHeight w:val="285"/>
              </w:trPr>
              <w:tc>
                <w:tcPr>
                  <w:tcW w:w="2290" w:type="dxa"/>
                  <w:tcBorders>
                    <w:top w:val="nil"/>
                    <w:left w:val="nil"/>
                    <w:bottom w:val="nil"/>
                    <w:right w:val="nil"/>
                  </w:tcBorders>
                  <w:vAlign w:val="bottom"/>
                </w:tcPr>
                <w:p w14:paraId="251694DB" w14:textId="77777777" w:rsidR="00E112AC" w:rsidRPr="0035459C" w:rsidRDefault="00E112AC" w:rsidP="0083214A">
                  <w:pPr>
                    <w:jc w:val="right"/>
                    <w:rPr>
                      <w:noProof/>
                    </w:rPr>
                  </w:pPr>
                  <w:r w:rsidRPr="0035459C">
                    <w:rPr>
                      <w:rFonts w:ascii="Calibri" w:hAnsi="Calibri" w:cs="Calibri"/>
                      <w:noProof/>
                      <w:color w:val="000000"/>
                    </w:rPr>
                    <w:t>149.5</w:t>
                  </w:r>
                </w:p>
              </w:tc>
            </w:tr>
          </w:tbl>
          <w:p w14:paraId="72D7E9FD" w14:textId="77777777" w:rsidR="00E112AC" w:rsidRPr="0035459C" w:rsidRDefault="00E112AC"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603890E9" w14:textId="77777777" w:rsidR="00E112AC" w:rsidRPr="0035459C" w:rsidRDefault="00E112AC"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E112AC" w:rsidRPr="0035459C" w14:paraId="522520E4" w14:textId="77777777" w:rsidTr="0083214A">
              <w:trPr>
                <w:trHeight w:val="285"/>
              </w:trPr>
              <w:tc>
                <w:tcPr>
                  <w:tcW w:w="2235" w:type="dxa"/>
                  <w:tcBorders>
                    <w:top w:val="nil"/>
                    <w:left w:val="nil"/>
                    <w:bottom w:val="nil"/>
                    <w:right w:val="nil"/>
                  </w:tcBorders>
                  <w:vAlign w:val="bottom"/>
                </w:tcPr>
                <w:p w14:paraId="751C1A2D" w14:textId="183D3B71" w:rsidR="00E112AC" w:rsidRPr="0035459C" w:rsidRDefault="00E112AC" w:rsidP="0083214A">
                  <w:pPr>
                    <w:jc w:val="right"/>
                    <w:rPr>
                      <w:noProof/>
                    </w:rPr>
                  </w:pPr>
                  <w:r w:rsidRPr="6341DF38">
                    <w:rPr>
                      <w:rFonts w:ascii="Calibri" w:hAnsi="Calibri" w:cs="Calibri"/>
                      <w:noProof/>
                      <w:color w:val="000000"/>
                    </w:rPr>
                    <w:t>14%</w:t>
                  </w:r>
                </w:p>
              </w:tc>
            </w:tr>
          </w:tbl>
          <w:p w14:paraId="756B9E12" w14:textId="77777777" w:rsidR="00E112AC" w:rsidRPr="0035459C" w:rsidRDefault="00E112AC" w:rsidP="0083214A">
            <w:pPr>
              <w:jc w:val="center"/>
              <w:cnfStyle w:val="000000000000" w:firstRow="0" w:lastRow="0" w:firstColumn="0" w:lastColumn="0" w:oddVBand="0" w:evenVBand="0" w:oddHBand="0" w:evenHBand="0" w:firstRowFirstColumn="0" w:firstRowLastColumn="0" w:lastRowFirstColumn="0" w:lastRowLastColumn="0"/>
              <w:rPr>
                <w:noProof/>
              </w:rPr>
            </w:pPr>
          </w:p>
        </w:tc>
      </w:tr>
    </w:tbl>
    <w:p w14:paraId="4A4BAFE8" w14:textId="77777777" w:rsidR="00E112AC" w:rsidRPr="0035459C" w:rsidRDefault="00E112AC" w:rsidP="00E112AC">
      <w:pPr>
        <w:pStyle w:val="ppoTableTabletitle"/>
        <w:rPr>
          <w:b/>
          <w:noProof/>
        </w:rPr>
      </w:pPr>
      <w:r w:rsidRPr="0035459C">
        <w:rPr>
          <w:noProof/>
        </w:rPr>
        <w:t>Voted budget implementation in 2021 (million EUR):</w:t>
      </w:r>
    </w:p>
    <w:tbl>
      <w:tblPr>
        <w:tblStyle w:val="PPO2021"/>
        <w:tblW w:w="3683" w:type="pct"/>
        <w:tblInd w:w="79" w:type="dxa"/>
        <w:tblLook w:val="04A0" w:firstRow="1" w:lastRow="0" w:firstColumn="1" w:lastColumn="0" w:noHBand="0" w:noVBand="1"/>
      </w:tblPr>
      <w:tblGrid>
        <w:gridCol w:w="2419"/>
        <w:gridCol w:w="2419"/>
        <w:gridCol w:w="2420"/>
      </w:tblGrid>
      <w:tr w:rsidR="00E112AC" w:rsidRPr="0035459C" w14:paraId="2817AE18" w14:textId="77777777" w:rsidTr="008321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54A838D6" w14:textId="77777777" w:rsidR="00E112AC" w:rsidRPr="0035459C" w:rsidRDefault="00E112AC" w:rsidP="0083214A">
            <w:pPr>
              <w:rPr>
                <w:noProof/>
              </w:rPr>
            </w:pPr>
          </w:p>
        </w:tc>
        <w:tc>
          <w:tcPr>
            <w:tcW w:w="2419" w:type="dxa"/>
          </w:tcPr>
          <w:p w14:paraId="5499569D" w14:textId="77777777" w:rsidR="00E112AC" w:rsidRPr="0035459C" w:rsidRDefault="00E112AC" w:rsidP="0083214A">
            <w:pPr>
              <w:cnfStyle w:val="100000000000" w:firstRow="1" w:lastRow="0" w:firstColumn="0" w:lastColumn="0" w:oddVBand="0" w:evenVBand="0" w:oddHBand="0" w:evenHBand="0" w:firstRowFirstColumn="0" w:firstRowLastColumn="0" w:lastRowFirstColumn="0" w:lastRowLastColumn="0"/>
              <w:rPr>
                <w:noProof/>
              </w:rPr>
            </w:pPr>
            <w:r w:rsidRPr="0035459C">
              <w:rPr>
                <w:noProof/>
              </w:rPr>
              <w:t>Voted budget implementation</w:t>
            </w:r>
          </w:p>
        </w:tc>
        <w:tc>
          <w:tcPr>
            <w:tcW w:w="2420" w:type="dxa"/>
          </w:tcPr>
          <w:p w14:paraId="199C9BF4" w14:textId="77777777" w:rsidR="00E112AC" w:rsidRPr="0035459C" w:rsidRDefault="00E112AC" w:rsidP="0083214A">
            <w:pPr>
              <w:cnfStyle w:val="100000000000" w:firstRow="1" w:lastRow="0" w:firstColumn="0" w:lastColumn="0" w:oddVBand="0" w:evenVBand="0" w:oddHBand="0" w:evenHBand="0" w:firstRowFirstColumn="0" w:firstRowLastColumn="0" w:lastRowFirstColumn="0" w:lastRowLastColumn="0"/>
              <w:rPr>
                <w:noProof/>
              </w:rPr>
            </w:pPr>
            <w:r w:rsidRPr="0035459C">
              <w:rPr>
                <w:noProof/>
              </w:rPr>
              <w:t>Initial voted budget</w:t>
            </w:r>
          </w:p>
        </w:tc>
      </w:tr>
      <w:tr w:rsidR="00E112AC" w:rsidRPr="0035459C" w14:paraId="6CB35907" w14:textId="77777777" w:rsidTr="0083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2F7E8904" w14:textId="77777777" w:rsidR="00E112AC" w:rsidRPr="0035459C" w:rsidRDefault="00E112AC" w:rsidP="0083214A">
            <w:pPr>
              <w:jc w:val="center"/>
              <w:rPr>
                <w:noProof/>
              </w:rPr>
            </w:pPr>
            <w:r w:rsidRPr="0035459C">
              <w:rPr>
                <w:noProof/>
              </w:rPr>
              <w:t>Commitments</w:t>
            </w:r>
          </w:p>
        </w:tc>
        <w:tc>
          <w:tcPr>
            <w:tcW w:w="2419" w:type="dxa"/>
          </w:tcPr>
          <w:p w14:paraId="245B1E12" w14:textId="77777777" w:rsidR="00E112AC" w:rsidRPr="0035459C" w:rsidRDefault="00E112AC" w:rsidP="0083214A">
            <w:pPr>
              <w:jc w:val="right"/>
              <w:cnfStyle w:val="000000100000" w:firstRow="0" w:lastRow="0" w:firstColumn="0" w:lastColumn="0" w:oddVBand="0" w:evenVBand="0" w:oddHBand="1" w:evenHBand="0" w:firstRowFirstColumn="0" w:firstRowLastColumn="0" w:lastRowFirstColumn="0" w:lastRowLastColumn="0"/>
              <w:rPr>
                <w:noProof/>
              </w:rPr>
            </w:pPr>
            <w:r w:rsidRPr="0035459C">
              <w:rPr>
                <w:noProof/>
              </w:rPr>
              <w:t>151.5</w:t>
            </w:r>
          </w:p>
        </w:tc>
        <w:tc>
          <w:tcPr>
            <w:tcW w:w="2420" w:type="dxa"/>
          </w:tcPr>
          <w:p w14:paraId="569D542E" w14:textId="77777777" w:rsidR="00E112AC" w:rsidRPr="0035459C" w:rsidRDefault="00E112AC" w:rsidP="0083214A">
            <w:pPr>
              <w:jc w:val="right"/>
              <w:cnfStyle w:val="000000100000" w:firstRow="0" w:lastRow="0" w:firstColumn="0" w:lastColumn="0" w:oddVBand="0" w:evenVBand="0" w:oddHBand="1" w:evenHBand="0" w:firstRowFirstColumn="0" w:firstRowLastColumn="0" w:lastRowFirstColumn="0" w:lastRowLastColumn="0"/>
              <w:rPr>
                <w:noProof/>
              </w:rPr>
            </w:pPr>
            <w:r w:rsidRPr="0035459C">
              <w:rPr>
                <w:noProof/>
              </w:rPr>
              <w:t>73.5</w:t>
            </w:r>
          </w:p>
        </w:tc>
      </w:tr>
      <w:tr w:rsidR="00E112AC" w:rsidRPr="0035459C" w14:paraId="6F9D954A" w14:textId="77777777" w:rsidTr="00832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376B4619" w14:textId="77777777" w:rsidR="00E112AC" w:rsidRPr="0035459C" w:rsidRDefault="00E112AC" w:rsidP="0083214A">
            <w:pPr>
              <w:jc w:val="center"/>
              <w:rPr>
                <w:noProof/>
              </w:rPr>
            </w:pPr>
            <w:r w:rsidRPr="0035459C">
              <w:rPr>
                <w:noProof/>
              </w:rPr>
              <w:t>Payments</w:t>
            </w:r>
          </w:p>
        </w:tc>
        <w:tc>
          <w:tcPr>
            <w:tcW w:w="2419" w:type="dxa"/>
          </w:tcPr>
          <w:p w14:paraId="296CFDEE" w14:textId="77777777" w:rsidR="00E112AC" w:rsidRPr="0035459C" w:rsidRDefault="00E112AC" w:rsidP="0083214A">
            <w:pPr>
              <w:jc w:val="right"/>
              <w:cnfStyle w:val="000000010000" w:firstRow="0" w:lastRow="0" w:firstColumn="0" w:lastColumn="0" w:oddVBand="0" w:evenVBand="0" w:oddHBand="0" w:evenHBand="1" w:firstRowFirstColumn="0" w:firstRowLastColumn="0" w:lastRowFirstColumn="0" w:lastRowLastColumn="0"/>
              <w:rPr>
                <w:noProof/>
              </w:rPr>
            </w:pPr>
            <w:r w:rsidRPr="0035459C">
              <w:rPr>
                <w:noProof/>
              </w:rPr>
              <w:t>149.5</w:t>
            </w:r>
          </w:p>
        </w:tc>
        <w:tc>
          <w:tcPr>
            <w:tcW w:w="2420" w:type="dxa"/>
          </w:tcPr>
          <w:p w14:paraId="55566CED" w14:textId="77777777" w:rsidR="00E112AC" w:rsidRPr="0035459C" w:rsidRDefault="00E112AC" w:rsidP="0083214A">
            <w:pPr>
              <w:jc w:val="right"/>
              <w:cnfStyle w:val="000000010000" w:firstRow="0" w:lastRow="0" w:firstColumn="0" w:lastColumn="0" w:oddVBand="0" w:evenVBand="0" w:oddHBand="0" w:evenHBand="1" w:firstRowFirstColumn="0" w:firstRowLastColumn="0" w:lastRowFirstColumn="0" w:lastRowLastColumn="0"/>
              <w:rPr>
                <w:noProof/>
              </w:rPr>
            </w:pPr>
            <w:r w:rsidRPr="0035459C">
              <w:rPr>
                <w:noProof/>
              </w:rPr>
              <w:t>72.9</w:t>
            </w:r>
          </w:p>
        </w:tc>
      </w:tr>
    </w:tbl>
    <w:p w14:paraId="0B7525E2" w14:textId="77777777" w:rsidR="00E112AC" w:rsidRPr="0035459C" w:rsidRDefault="00E112AC" w:rsidP="00E112AC">
      <w:pPr>
        <w:ind w:left="284" w:hanging="284"/>
        <w:rPr>
          <w:noProof/>
        </w:rPr>
      </w:pPr>
    </w:p>
    <w:p w14:paraId="283AF518" w14:textId="77777777" w:rsidR="00E112AC" w:rsidRPr="0035459C" w:rsidRDefault="00E112AC" w:rsidP="00E112AC">
      <w:pPr>
        <w:pStyle w:val="ppoListHyphened-L1"/>
        <w:rPr>
          <w:noProof/>
        </w:rPr>
      </w:pPr>
      <w:r w:rsidRPr="0035459C">
        <w:rPr>
          <w:noProof/>
        </w:rPr>
        <w:t>3.5% of the above commitments (all of which have now been paid) went towards paying membership fees to RFMOs. The rest of the appropriations were spent on fishing access for the EU fleet to the waters of non-EU countries, mostly in West Africa and in the Indian and Pacific Oceans, and contributing to the sustainable development of their local fishing activities.</w:t>
      </w:r>
    </w:p>
    <w:p w14:paraId="78D950B7" w14:textId="77777777" w:rsidR="00E112AC" w:rsidRPr="0035459C" w:rsidRDefault="00E112AC" w:rsidP="00E112AC">
      <w:pPr>
        <w:pStyle w:val="ppoHeading5"/>
        <w:rPr>
          <w:noProof/>
        </w:rPr>
      </w:pPr>
      <w:r w:rsidRPr="0035459C">
        <w:rPr>
          <w:noProof/>
        </w:rPr>
        <w:t>Contribution to horizontal priorities</w:t>
      </w:r>
    </w:p>
    <w:p w14:paraId="43FA62C2" w14:textId="77777777" w:rsidR="00E112AC" w:rsidRPr="0035459C" w:rsidRDefault="00E112AC" w:rsidP="00E112AC">
      <w:pPr>
        <w:pStyle w:val="ppoTableTabletitle"/>
        <w:rPr>
          <w:noProof/>
        </w:rPr>
      </w:pPr>
      <w:r w:rsidRPr="0035459C">
        <w:rPr>
          <w:noProof/>
        </w:rPr>
        <w:t>EU budget contribution in 2021 (million EUR):</w:t>
      </w:r>
    </w:p>
    <w:tbl>
      <w:tblPr>
        <w:tblStyle w:val="PPO2021"/>
        <w:tblW w:w="9639" w:type="dxa"/>
        <w:tblInd w:w="0" w:type="dxa"/>
        <w:tblLook w:val="0420" w:firstRow="1" w:lastRow="0" w:firstColumn="0" w:lastColumn="0" w:noHBand="0" w:noVBand="1"/>
      </w:tblPr>
      <w:tblGrid>
        <w:gridCol w:w="3213"/>
        <w:gridCol w:w="3213"/>
        <w:gridCol w:w="3213"/>
      </w:tblGrid>
      <w:tr w:rsidR="00E112AC" w:rsidRPr="0035459C" w14:paraId="4B47BD19" w14:textId="77777777" w:rsidTr="0083214A">
        <w:trPr>
          <w:cnfStyle w:val="100000000000" w:firstRow="1" w:lastRow="0" w:firstColumn="0" w:lastColumn="0" w:oddVBand="0" w:evenVBand="0" w:oddHBand="0" w:evenHBand="0" w:firstRowFirstColumn="0" w:firstRowLastColumn="0" w:lastRowFirstColumn="0" w:lastRowLastColumn="0"/>
          <w:tblHeader/>
        </w:trPr>
        <w:tc>
          <w:tcPr>
            <w:tcW w:w="3213" w:type="dxa"/>
          </w:tcPr>
          <w:p w14:paraId="77AB8411" w14:textId="77777777" w:rsidR="00E112AC" w:rsidRPr="0035459C" w:rsidRDefault="00E112AC" w:rsidP="0083214A">
            <w:pPr>
              <w:rPr>
                <w:noProof/>
              </w:rPr>
            </w:pPr>
            <w:r w:rsidRPr="0035459C">
              <w:rPr>
                <w:noProof/>
              </w:rPr>
              <w:t>Climate</w:t>
            </w:r>
          </w:p>
        </w:tc>
        <w:tc>
          <w:tcPr>
            <w:tcW w:w="3213" w:type="dxa"/>
          </w:tcPr>
          <w:p w14:paraId="09F666FB" w14:textId="77777777" w:rsidR="00E112AC" w:rsidRPr="0035459C" w:rsidRDefault="00E112AC" w:rsidP="0083214A">
            <w:pPr>
              <w:rPr>
                <w:noProof/>
              </w:rPr>
            </w:pPr>
            <w:r w:rsidRPr="0035459C">
              <w:rPr>
                <w:noProof/>
              </w:rPr>
              <w:t>Biodiversity</w:t>
            </w:r>
          </w:p>
        </w:tc>
        <w:tc>
          <w:tcPr>
            <w:tcW w:w="3213" w:type="dxa"/>
          </w:tcPr>
          <w:p w14:paraId="4CD966C0" w14:textId="77777777" w:rsidR="00E112AC" w:rsidRPr="0035459C" w:rsidRDefault="00E112AC" w:rsidP="0083214A">
            <w:pPr>
              <w:rPr>
                <w:noProof/>
              </w:rPr>
            </w:pPr>
            <w:r w:rsidRPr="0035459C">
              <w:rPr>
                <w:noProof/>
              </w:rPr>
              <w:t>Gender equality *</w:t>
            </w:r>
          </w:p>
        </w:tc>
      </w:tr>
      <w:tr w:rsidR="00E112AC" w:rsidRPr="0035459C" w14:paraId="3A5E7601" w14:textId="77777777" w:rsidTr="0083214A">
        <w:trPr>
          <w:cnfStyle w:val="000000100000" w:firstRow="0" w:lastRow="0" w:firstColumn="0" w:lastColumn="0" w:oddVBand="0" w:evenVBand="0" w:oddHBand="1" w:evenHBand="0" w:firstRowFirstColumn="0" w:firstRowLastColumn="0" w:lastRowFirstColumn="0" w:lastRowLastColumn="0"/>
        </w:trPr>
        <w:tc>
          <w:tcPr>
            <w:tcW w:w="3213" w:type="dxa"/>
          </w:tcPr>
          <w:tbl>
            <w:tblPr>
              <w:tblStyle w:val="TableGrid"/>
              <w:tblW w:w="0" w:type="auto"/>
              <w:tblLook w:val="06A0" w:firstRow="1" w:lastRow="0" w:firstColumn="1" w:lastColumn="0" w:noHBand="1" w:noVBand="1"/>
            </w:tblPr>
            <w:tblGrid>
              <w:gridCol w:w="1935"/>
            </w:tblGrid>
            <w:tr w:rsidR="00E112AC" w:rsidRPr="0035459C" w14:paraId="7DDCF2CC" w14:textId="77777777" w:rsidTr="0083214A">
              <w:trPr>
                <w:trHeight w:val="285"/>
              </w:trPr>
              <w:tc>
                <w:tcPr>
                  <w:tcW w:w="1935" w:type="dxa"/>
                  <w:tcBorders>
                    <w:top w:val="nil"/>
                    <w:left w:val="nil"/>
                    <w:bottom w:val="nil"/>
                    <w:right w:val="nil"/>
                  </w:tcBorders>
                  <w:vAlign w:val="bottom"/>
                </w:tcPr>
                <w:p w14:paraId="1A2E50C2" w14:textId="77777777" w:rsidR="00E112AC" w:rsidRPr="0035459C" w:rsidRDefault="00E112AC" w:rsidP="0083214A">
                  <w:pPr>
                    <w:jc w:val="right"/>
                    <w:rPr>
                      <w:noProof/>
                    </w:rPr>
                  </w:pPr>
                  <w:r w:rsidRPr="0035459C">
                    <w:rPr>
                      <w:rFonts w:ascii="Calibri" w:hAnsi="Calibri" w:cs="Calibri"/>
                      <w:noProof/>
                      <w:color w:val="000000"/>
                    </w:rPr>
                    <w:t>15.7</w:t>
                  </w:r>
                </w:p>
              </w:tc>
            </w:tr>
          </w:tbl>
          <w:p w14:paraId="205B7186" w14:textId="77777777" w:rsidR="00E112AC" w:rsidRPr="0035459C" w:rsidRDefault="00E112AC" w:rsidP="0083214A">
            <w:pPr>
              <w:jc w:val="center"/>
              <w:rPr>
                <w:noProof/>
              </w:rPr>
            </w:pPr>
          </w:p>
        </w:tc>
        <w:tc>
          <w:tcPr>
            <w:tcW w:w="3213" w:type="dxa"/>
          </w:tcPr>
          <w:p w14:paraId="6F1EED6E" w14:textId="77777777" w:rsidR="00E112AC" w:rsidRPr="0035459C" w:rsidRDefault="00E112AC" w:rsidP="0083214A">
            <w:pPr>
              <w:jc w:val="center"/>
              <w:rPr>
                <w:noProof/>
              </w:rPr>
            </w:pPr>
            <w:r w:rsidRPr="0035459C">
              <w:rPr>
                <w:noProof/>
              </w:rPr>
              <w:t>4.4</w:t>
            </w:r>
          </w:p>
        </w:tc>
        <w:tc>
          <w:tcPr>
            <w:tcW w:w="3213" w:type="dxa"/>
          </w:tcPr>
          <w:p w14:paraId="1087874E" w14:textId="001E20D1" w:rsidR="00E112AC" w:rsidRPr="0035459C" w:rsidRDefault="00E112AC">
            <w:pPr>
              <w:jc w:val="center"/>
              <w:rPr>
                <w:noProof/>
              </w:rPr>
            </w:pPr>
            <w:r w:rsidRPr="0035459C">
              <w:rPr>
                <w:noProof/>
              </w:rPr>
              <w:t xml:space="preserve">Score 0: </w:t>
            </w:r>
            <w:r w:rsidR="000F4D5F">
              <w:rPr>
                <w:noProof/>
              </w:rPr>
              <w:t>151.5</w:t>
            </w:r>
          </w:p>
        </w:tc>
      </w:tr>
    </w:tbl>
    <w:p w14:paraId="54E1E6D1" w14:textId="77777777" w:rsidR="00E112AC" w:rsidRPr="0035459C" w:rsidRDefault="00E112AC" w:rsidP="00E112AC">
      <w:pPr>
        <w:pStyle w:val="FootnoteText"/>
        <w:rPr>
          <w:noProof/>
        </w:rPr>
      </w:pPr>
      <w:r w:rsidRPr="0035459C">
        <w:rPr>
          <w:noProof/>
        </w:rPr>
        <w:t>(*)</w:t>
      </w:r>
      <w:r w:rsidRPr="0035459C">
        <w:rPr>
          <w:noProof/>
        </w:rPr>
        <w:tab/>
        <w:t>Based on the applied gender contribution methodology, the following scores are attributed at the most granular level of intervention possible:</w:t>
      </w:r>
    </w:p>
    <w:p w14:paraId="7960D3B0" w14:textId="77777777" w:rsidR="00E112AC" w:rsidRPr="0035459C" w:rsidRDefault="00E112AC" w:rsidP="00E112AC">
      <w:pPr>
        <w:pStyle w:val="FootnoteText"/>
        <w:numPr>
          <w:ilvl w:val="0"/>
          <w:numId w:val="38"/>
        </w:numPr>
        <w:spacing w:after="60" w:line="264" w:lineRule="auto"/>
        <w:jc w:val="left"/>
        <w:rPr>
          <w:noProof/>
        </w:rPr>
      </w:pPr>
      <w:r w:rsidRPr="0035459C">
        <w:rPr>
          <w:noProof/>
        </w:rPr>
        <w:t>2: interventions the principal objective of which is to improve gender equality;</w:t>
      </w:r>
    </w:p>
    <w:p w14:paraId="12A5F922" w14:textId="77777777" w:rsidR="00E112AC" w:rsidRPr="0035459C" w:rsidRDefault="00E112AC" w:rsidP="00E112AC">
      <w:pPr>
        <w:pStyle w:val="FootnoteText"/>
        <w:numPr>
          <w:ilvl w:val="0"/>
          <w:numId w:val="38"/>
        </w:numPr>
        <w:spacing w:after="60" w:line="264" w:lineRule="auto"/>
        <w:jc w:val="left"/>
        <w:rPr>
          <w:noProof/>
        </w:rPr>
      </w:pPr>
      <w:r w:rsidRPr="0035459C">
        <w:rPr>
          <w:noProof/>
        </w:rPr>
        <w:t>1: interventions that have gender equality as an important and deliberate objective but not as the main reason for the intervention;</w:t>
      </w:r>
    </w:p>
    <w:p w14:paraId="045339F0" w14:textId="77777777" w:rsidR="00E112AC" w:rsidRPr="0035459C" w:rsidRDefault="00E112AC" w:rsidP="00E112AC">
      <w:pPr>
        <w:pStyle w:val="FootnoteText"/>
        <w:numPr>
          <w:ilvl w:val="0"/>
          <w:numId w:val="38"/>
        </w:numPr>
        <w:spacing w:after="60" w:line="264" w:lineRule="auto"/>
        <w:jc w:val="left"/>
        <w:rPr>
          <w:noProof/>
        </w:rPr>
      </w:pPr>
      <w:r w:rsidRPr="0035459C">
        <w:rPr>
          <w:noProof/>
        </w:rPr>
        <w:t>0: non-targeted interventions;</w:t>
      </w:r>
    </w:p>
    <w:p w14:paraId="07E26297" w14:textId="77777777" w:rsidR="00E112AC" w:rsidRPr="0035459C" w:rsidRDefault="00E112AC" w:rsidP="00E112AC">
      <w:pPr>
        <w:pStyle w:val="FootnoteText"/>
        <w:numPr>
          <w:ilvl w:val="0"/>
          <w:numId w:val="38"/>
        </w:numPr>
        <w:spacing w:after="60" w:line="264" w:lineRule="auto"/>
        <w:jc w:val="left"/>
        <w:rPr>
          <w:noProof/>
        </w:rPr>
      </w:pPr>
      <w:r w:rsidRPr="0035459C">
        <w:rPr>
          <w:noProof/>
        </w:rPr>
        <w:t>0*: score to be assigned to interventions with a likely but not yet clear positive impact on gender equality.</w:t>
      </w:r>
    </w:p>
    <w:p w14:paraId="12ECE964" w14:textId="77777777" w:rsidR="00E112AC" w:rsidRPr="0035459C" w:rsidRDefault="00E112AC" w:rsidP="00E112AC">
      <w:pPr>
        <w:pStyle w:val="ppoHeading5"/>
        <w:rPr>
          <w:noProof/>
        </w:rPr>
      </w:pPr>
      <w:r w:rsidRPr="0035459C">
        <w:rPr>
          <w:noProof/>
        </w:rPr>
        <w:t>Performance assessment</w:t>
      </w:r>
    </w:p>
    <w:p w14:paraId="25C24D17" w14:textId="77777777" w:rsidR="00E112AC" w:rsidRPr="0035459C" w:rsidRDefault="00E112AC" w:rsidP="00E112AC">
      <w:pPr>
        <w:pStyle w:val="ppoHeading6"/>
        <w:rPr>
          <w:noProof/>
        </w:rPr>
      </w:pPr>
      <w:r w:rsidRPr="0035459C">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E112AC" w:rsidRPr="0035459C" w14:paraId="1CBE213A" w14:textId="77777777" w:rsidTr="0083214A">
        <w:trPr>
          <w:cnfStyle w:val="100000000000" w:firstRow="1" w:lastRow="0" w:firstColumn="0" w:lastColumn="0" w:oddVBand="0" w:evenVBand="0" w:oddHBand="0" w:evenHBand="0" w:firstRowFirstColumn="0" w:firstRowLastColumn="0" w:lastRowFirstColumn="0" w:lastRowLastColumn="0"/>
        </w:trPr>
        <w:tc>
          <w:tcPr>
            <w:tcW w:w="2268" w:type="dxa"/>
          </w:tcPr>
          <w:p w14:paraId="2A1421D4" w14:textId="77777777" w:rsidR="00E112AC" w:rsidRPr="0035459C" w:rsidRDefault="00E112AC" w:rsidP="0083214A">
            <w:pPr>
              <w:rPr>
                <w:noProof/>
              </w:rPr>
            </w:pPr>
          </w:p>
        </w:tc>
        <w:tc>
          <w:tcPr>
            <w:tcW w:w="931" w:type="dxa"/>
          </w:tcPr>
          <w:p w14:paraId="61629DE0" w14:textId="77777777" w:rsidR="00E112AC" w:rsidRPr="0035459C" w:rsidRDefault="00E112AC" w:rsidP="0083214A">
            <w:pPr>
              <w:rPr>
                <w:noProof/>
              </w:rPr>
            </w:pPr>
            <w:r w:rsidRPr="0035459C">
              <w:rPr>
                <w:noProof/>
              </w:rPr>
              <w:t>Baseline</w:t>
            </w:r>
          </w:p>
        </w:tc>
        <w:tc>
          <w:tcPr>
            <w:tcW w:w="1485" w:type="dxa"/>
          </w:tcPr>
          <w:p w14:paraId="1F4F8EBE" w14:textId="77777777" w:rsidR="00E112AC" w:rsidRPr="00483CE9" w:rsidRDefault="00E112AC" w:rsidP="0083214A">
            <w:pPr>
              <w:rPr>
                <w:rFonts w:ascii="Calibri" w:hAnsi="Calibri" w:cs="Calibri"/>
                <w:noProof/>
              </w:rPr>
            </w:pPr>
            <w:r w:rsidRPr="0035459C">
              <w:rPr>
                <w:noProof/>
              </w:rPr>
              <w:t>Progress</w:t>
            </w:r>
            <w:r w:rsidRPr="0035459C">
              <w:rPr>
                <w:rFonts w:ascii="Calibri" w:hAnsi="Calibri" w:cs="Calibri"/>
                <w:noProof/>
              </w:rPr>
              <w:t> (*)</w:t>
            </w:r>
          </w:p>
        </w:tc>
        <w:tc>
          <w:tcPr>
            <w:tcW w:w="1491" w:type="dxa"/>
          </w:tcPr>
          <w:p w14:paraId="4A23C5DF" w14:textId="77777777" w:rsidR="00E112AC" w:rsidRPr="0035459C" w:rsidRDefault="00E112AC" w:rsidP="0083214A">
            <w:pPr>
              <w:rPr>
                <w:noProof/>
              </w:rPr>
            </w:pPr>
            <w:r w:rsidRPr="0035459C">
              <w:rPr>
                <w:noProof/>
              </w:rPr>
              <w:t>Target</w:t>
            </w:r>
          </w:p>
        </w:tc>
        <w:tc>
          <w:tcPr>
            <w:tcW w:w="1530" w:type="dxa"/>
          </w:tcPr>
          <w:p w14:paraId="596AD45A" w14:textId="77777777" w:rsidR="00E112AC" w:rsidRPr="0035459C" w:rsidRDefault="00E112AC" w:rsidP="0083214A">
            <w:pPr>
              <w:rPr>
                <w:noProof/>
              </w:rPr>
            </w:pPr>
            <w:r w:rsidRPr="0035459C">
              <w:rPr>
                <w:noProof/>
              </w:rPr>
              <w:t>Results</w:t>
            </w:r>
          </w:p>
        </w:tc>
        <w:tc>
          <w:tcPr>
            <w:tcW w:w="1537" w:type="dxa"/>
          </w:tcPr>
          <w:p w14:paraId="72616073" w14:textId="77777777" w:rsidR="00E112AC" w:rsidRPr="0035459C" w:rsidRDefault="00E112AC" w:rsidP="0083214A">
            <w:pPr>
              <w:rPr>
                <w:noProof/>
              </w:rPr>
            </w:pPr>
            <w:r w:rsidRPr="0035459C">
              <w:rPr>
                <w:noProof/>
              </w:rPr>
              <w:t>Assessment</w:t>
            </w:r>
          </w:p>
        </w:tc>
      </w:tr>
      <w:tr w:rsidR="00E112AC" w:rsidRPr="0035459C" w14:paraId="120BD6A4" w14:textId="77777777" w:rsidTr="0083214A">
        <w:trPr>
          <w:cnfStyle w:val="000000100000" w:firstRow="0" w:lastRow="0" w:firstColumn="0" w:lastColumn="0" w:oddVBand="0" w:evenVBand="0" w:oddHBand="1" w:evenHBand="0" w:firstRowFirstColumn="0" w:firstRowLastColumn="0" w:lastRowFirstColumn="0" w:lastRowLastColumn="0"/>
        </w:trPr>
        <w:tc>
          <w:tcPr>
            <w:tcW w:w="2268" w:type="dxa"/>
          </w:tcPr>
          <w:p w14:paraId="450D74E1" w14:textId="77777777" w:rsidR="00E112AC" w:rsidRPr="0035459C" w:rsidRDefault="00E112AC" w:rsidP="0083214A">
            <w:pPr>
              <w:rPr>
                <w:noProof/>
              </w:rPr>
            </w:pPr>
            <w:r w:rsidRPr="0035459C">
              <w:rPr>
                <w:noProof/>
              </w:rPr>
              <w:t>Sustainable fisheries agreements in force</w:t>
            </w:r>
          </w:p>
        </w:tc>
        <w:tc>
          <w:tcPr>
            <w:tcW w:w="931" w:type="dxa"/>
          </w:tcPr>
          <w:p w14:paraId="3049A82B" w14:textId="77777777" w:rsidR="00E112AC" w:rsidRPr="0035459C" w:rsidRDefault="00E112AC" w:rsidP="0083214A">
            <w:pPr>
              <w:jc w:val="center"/>
              <w:rPr>
                <w:noProof/>
              </w:rPr>
            </w:pPr>
            <w:r w:rsidRPr="0035459C">
              <w:rPr>
                <w:noProof/>
              </w:rPr>
              <w:t>12</w:t>
            </w:r>
          </w:p>
        </w:tc>
        <w:tc>
          <w:tcPr>
            <w:tcW w:w="1485" w:type="dxa"/>
          </w:tcPr>
          <w:p w14:paraId="14C53797" w14:textId="77777777" w:rsidR="00E112AC" w:rsidRPr="0035459C" w:rsidRDefault="00E112AC" w:rsidP="0083214A">
            <w:pPr>
              <w:jc w:val="center"/>
              <w:rPr>
                <w:b/>
                <w:noProof/>
              </w:rPr>
            </w:pPr>
            <w:r w:rsidRPr="0035459C">
              <w:rPr>
                <w:b/>
                <w:noProof/>
              </w:rPr>
              <w:t>14%</w:t>
            </w:r>
          </w:p>
        </w:tc>
        <w:tc>
          <w:tcPr>
            <w:tcW w:w="1491" w:type="dxa"/>
          </w:tcPr>
          <w:p w14:paraId="6CF257A5" w14:textId="77777777" w:rsidR="00E112AC" w:rsidRPr="0035459C" w:rsidRDefault="00E112AC" w:rsidP="0083214A">
            <w:pPr>
              <w:jc w:val="center"/>
              <w:rPr>
                <w:noProof/>
              </w:rPr>
            </w:pPr>
            <w:r w:rsidRPr="0035459C">
              <w:rPr>
                <w:noProof/>
              </w:rPr>
              <w:t>15 annually from 2026</w:t>
            </w:r>
          </w:p>
        </w:tc>
        <w:tc>
          <w:tcPr>
            <w:tcW w:w="1530" w:type="dxa"/>
          </w:tcPr>
          <w:p w14:paraId="28195333" w14:textId="77777777" w:rsidR="00E112AC" w:rsidRPr="0035459C" w:rsidRDefault="00E112AC" w:rsidP="0083214A">
            <w:pPr>
              <w:jc w:val="center"/>
              <w:rPr>
                <w:noProof/>
              </w:rPr>
            </w:pPr>
            <w:r w:rsidRPr="0035459C">
              <w:rPr>
                <w:noProof/>
              </w:rPr>
              <w:t>Milestone achieved in 2021. 13 compared to 12</w:t>
            </w:r>
          </w:p>
        </w:tc>
        <w:tc>
          <w:tcPr>
            <w:tcW w:w="1537" w:type="dxa"/>
          </w:tcPr>
          <w:p w14:paraId="6E99818C" w14:textId="77777777" w:rsidR="00E112AC" w:rsidRPr="0035459C" w:rsidRDefault="00E112AC" w:rsidP="0083214A">
            <w:pPr>
              <w:jc w:val="center"/>
              <w:rPr>
                <w:noProof/>
              </w:rPr>
            </w:pPr>
            <w:r w:rsidRPr="0035459C">
              <w:rPr>
                <w:noProof/>
              </w:rPr>
              <w:t>On track</w:t>
            </w:r>
          </w:p>
        </w:tc>
      </w:tr>
      <w:tr w:rsidR="00E112AC" w:rsidRPr="0035459C" w14:paraId="0FADAFEC" w14:textId="77777777" w:rsidTr="0083214A">
        <w:trPr>
          <w:cnfStyle w:val="000000010000" w:firstRow="0" w:lastRow="0" w:firstColumn="0" w:lastColumn="0" w:oddVBand="0" w:evenVBand="0" w:oddHBand="0" w:evenHBand="1" w:firstRowFirstColumn="0" w:firstRowLastColumn="0" w:lastRowFirstColumn="0" w:lastRowLastColumn="0"/>
        </w:trPr>
        <w:tc>
          <w:tcPr>
            <w:tcW w:w="2268" w:type="dxa"/>
          </w:tcPr>
          <w:p w14:paraId="6B3611F0" w14:textId="77777777" w:rsidR="00E112AC" w:rsidRPr="0035459C" w:rsidRDefault="00E112AC" w:rsidP="0083214A">
            <w:pPr>
              <w:rPr>
                <w:noProof/>
              </w:rPr>
            </w:pPr>
            <w:r w:rsidRPr="0035459C">
              <w:rPr>
                <w:noProof/>
              </w:rPr>
              <w:t>Fishing possibilities for EU vessels</w:t>
            </w:r>
            <w:r w:rsidRPr="0035459C">
              <w:rPr>
                <w:rFonts w:ascii="Calibri" w:hAnsi="Calibri" w:cs="Calibri"/>
                <w:noProof/>
              </w:rPr>
              <w:t> </w:t>
            </w:r>
            <w:r w:rsidRPr="0035459C">
              <w:rPr>
                <w:noProof/>
              </w:rPr>
              <w:t>– tuna</w:t>
            </w:r>
          </w:p>
        </w:tc>
        <w:tc>
          <w:tcPr>
            <w:tcW w:w="931" w:type="dxa"/>
          </w:tcPr>
          <w:p w14:paraId="145B2584" w14:textId="77777777" w:rsidR="00E112AC" w:rsidRPr="0035459C" w:rsidRDefault="00E112AC" w:rsidP="0083214A">
            <w:pPr>
              <w:jc w:val="center"/>
              <w:rPr>
                <w:noProof/>
              </w:rPr>
            </w:pPr>
            <w:r w:rsidRPr="0035459C">
              <w:rPr>
                <w:noProof/>
              </w:rPr>
              <w:t>129</w:t>
            </w:r>
          </w:p>
        </w:tc>
        <w:tc>
          <w:tcPr>
            <w:tcW w:w="1485" w:type="dxa"/>
          </w:tcPr>
          <w:p w14:paraId="07BB0037" w14:textId="77777777" w:rsidR="00E112AC" w:rsidRPr="0035459C" w:rsidRDefault="00E112AC" w:rsidP="0083214A">
            <w:pPr>
              <w:jc w:val="center"/>
              <w:rPr>
                <w:b/>
                <w:noProof/>
              </w:rPr>
            </w:pPr>
            <w:r w:rsidRPr="0035459C">
              <w:rPr>
                <w:b/>
                <w:noProof/>
              </w:rPr>
              <w:t>14%</w:t>
            </w:r>
          </w:p>
        </w:tc>
        <w:tc>
          <w:tcPr>
            <w:tcW w:w="1491" w:type="dxa"/>
          </w:tcPr>
          <w:p w14:paraId="2C03E77E" w14:textId="77777777" w:rsidR="00E112AC" w:rsidRPr="0035459C" w:rsidRDefault="00E112AC" w:rsidP="0083214A">
            <w:pPr>
              <w:rPr>
                <w:noProof/>
              </w:rPr>
            </w:pPr>
            <w:r w:rsidRPr="0035459C">
              <w:rPr>
                <w:noProof/>
              </w:rPr>
              <w:t>150 annually from 2026</w:t>
            </w:r>
          </w:p>
        </w:tc>
        <w:tc>
          <w:tcPr>
            <w:tcW w:w="1530" w:type="dxa"/>
          </w:tcPr>
          <w:p w14:paraId="2CD49861" w14:textId="77777777" w:rsidR="00E112AC" w:rsidRPr="0035459C" w:rsidRDefault="00E112AC" w:rsidP="0083214A">
            <w:pPr>
              <w:jc w:val="center"/>
              <w:rPr>
                <w:noProof/>
              </w:rPr>
            </w:pPr>
            <w:r w:rsidRPr="0035459C">
              <w:rPr>
                <w:noProof/>
              </w:rPr>
              <w:t>Milestone achieved in 2021. 190 compared to 130</w:t>
            </w:r>
          </w:p>
        </w:tc>
        <w:tc>
          <w:tcPr>
            <w:tcW w:w="1537" w:type="dxa"/>
          </w:tcPr>
          <w:p w14:paraId="72E67F47" w14:textId="77777777" w:rsidR="00E112AC" w:rsidRPr="0035459C" w:rsidRDefault="00E112AC" w:rsidP="0083214A">
            <w:pPr>
              <w:jc w:val="center"/>
              <w:rPr>
                <w:noProof/>
              </w:rPr>
            </w:pPr>
            <w:r w:rsidRPr="0035459C">
              <w:rPr>
                <w:noProof/>
              </w:rPr>
              <w:t>On track</w:t>
            </w:r>
          </w:p>
        </w:tc>
      </w:tr>
      <w:tr w:rsidR="00E112AC" w:rsidRPr="0035459C" w14:paraId="4652E550" w14:textId="77777777" w:rsidTr="0083214A">
        <w:trPr>
          <w:cnfStyle w:val="000000100000" w:firstRow="0" w:lastRow="0" w:firstColumn="0" w:lastColumn="0" w:oddVBand="0" w:evenVBand="0" w:oddHBand="1" w:evenHBand="0" w:firstRowFirstColumn="0" w:firstRowLastColumn="0" w:lastRowFirstColumn="0" w:lastRowLastColumn="0"/>
        </w:trPr>
        <w:tc>
          <w:tcPr>
            <w:tcW w:w="2268" w:type="dxa"/>
          </w:tcPr>
          <w:p w14:paraId="15429E38" w14:textId="77777777" w:rsidR="00E112AC" w:rsidRPr="0035459C" w:rsidRDefault="00E112AC" w:rsidP="0083214A">
            <w:pPr>
              <w:rPr>
                <w:noProof/>
              </w:rPr>
            </w:pPr>
            <w:r w:rsidRPr="0035459C">
              <w:rPr>
                <w:noProof/>
              </w:rPr>
              <w:t>Fishing possibilities for EU vessels</w:t>
            </w:r>
            <w:r w:rsidRPr="0035459C">
              <w:rPr>
                <w:rFonts w:ascii="Calibri" w:hAnsi="Calibri" w:cs="Calibri"/>
                <w:noProof/>
              </w:rPr>
              <w:t> </w:t>
            </w:r>
            <w:r w:rsidRPr="0035459C">
              <w:rPr>
                <w:noProof/>
              </w:rPr>
              <w:t>– mixed</w:t>
            </w:r>
          </w:p>
        </w:tc>
        <w:tc>
          <w:tcPr>
            <w:tcW w:w="931" w:type="dxa"/>
          </w:tcPr>
          <w:p w14:paraId="37BC87A3" w14:textId="77777777" w:rsidR="00E112AC" w:rsidRPr="0035459C" w:rsidRDefault="00E112AC" w:rsidP="0083214A">
            <w:pPr>
              <w:jc w:val="center"/>
              <w:rPr>
                <w:noProof/>
              </w:rPr>
            </w:pPr>
            <w:r w:rsidRPr="0035459C">
              <w:rPr>
                <w:noProof/>
              </w:rPr>
              <w:t>264</w:t>
            </w:r>
          </w:p>
        </w:tc>
        <w:tc>
          <w:tcPr>
            <w:tcW w:w="1485" w:type="dxa"/>
          </w:tcPr>
          <w:p w14:paraId="56AC4205" w14:textId="77777777" w:rsidR="00E112AC" w:rsidRPr="0035459C" w:rsidRDefault="00E112AC" w:rsidP="0083214A">
            <w:pPr>
              <w:jc w:val="center"/>
              <w:rPr>
                <w:b/>
                <w:noProof/>
              </w:rPr>
            </w:pPr>
            <w:r w:rsidRPr="0035459C">
              <w:rPr>
                <w:b/>
                <w:noProof/>
              </w:rPr>
              <w:t>14%</w:t>
            </w:r>
          </w:p>
        </w:tc>
        <w:tc>
          <w:tcPr>
            <w:tcW w:w="1491" w:type="dxa"/>
          </w:tcPr>
          <w:p w14:paraId="296D906F" w14:textId="77777777" w:rsidR="00E112AC" w:rsidRPr="0035459C" w:rsidRDefault="00E112AC" w:rsidP="0083214A">
            <w:pPr>
              <w:jc w:val="center"/>
              <w:rPr>
                <w:noProof/>
              </w:rPr>
            </w:pPr>
            <w:r w:rsidRPr="0035459C">
              <w:rPr>
                <w:noProof/>
              </w:rPr>
              <w:t>300 annually from 2026</w:t>
            </w:r>
          </w:p>
        </w:tc>
        <w:tc>
          <w:tcPr>
            <w:tcW w:w="1530" w:type="dxa"/>
          </w:tcPr>
          <w:p w14:paraId="6B4ACB43" w14:textId="77777777" w:rsidR="00E112AC" w:rsidRPr="0035459C" w:rsidRDefault="00E112AC" w:rsidP="0083214A">
            <w:pPr>
              <w:jc w:val="center"/>
              <w:rPr>
                <w:noProof/>
              </w:rPr>
            </w:pPr>
            <w:r w:rsidRPr="0035459C">
              <w:rPr>
                <w:noProof/>
              </w:rPr>
              <w:t>Milestone achieved in 2021. 396 compared to 265</w:t>
            </w:r>
          </w:p>
        </w:tc>
        <w:tc>
          <w:tcPr>
            <w:tcW w:w="1537" w:type="dxa"/>
          </w:tcPr>
          <w:p w14:paraId="2F64BA7C" w14:textId="77777777" w:rsidR="00E112AC" w:rsidRPr="0035459C" w:rsidRDefault="00E112AC" w:rsidP="0083214A">
            <w:pPr>
              <w:jc w:val="center"/>
              <w:rPr>
                <w:noProof/>
              </w:rPr>
            </w:pPr>
            <w:r w:rsidRPr="0035459C">
              <w:rPr>
                <w:noProof/>
              </w:rPr>
              <w:t>On track</w:t>
            </w:r>
          </w:p>
        </w:tc>
      </w:tr>
      <w:tr w:rsidR="00E112AC" w:rsidRPr="0035459C" w14:paraId="289D90B2" w14:textId="77777777" w:rsidTr="0083214A">
        <w:trPr>
          <w:cnfStyle w:val="000000010000" w:firstRow="0" w:lastRow="0" w:firstColumn="0" w:lastColumn="0" w:oddVBand="0" w:evenVBand="0" w:oddHBand="0" w:evenHBand="1" w:firstRowFirstColumn="0" w:firstRowLastColumn="0" w:lastRowFirstColumn="0" w:lastRowLastColumn="0"/>
        </w:trPr>
        <w:tc>
          <w:tcPr>
            <w:tcW w:w="2268" w:type="dxa"/>
          </w:tcPr>
          <w:p w14:paraId="753405BA" w14:textId="77777777" w:rsidR="00E112AC" w:rsidRPr="0035459C" w:rsidRDefault="00E112AC" w:rsidP="0083214A">
            <w:pPr>
              <w:rPr>
                <w:noProof/>
              </w:rPr>
            </w:pPr>
            <w:r w:rsidRPr="0035459C">
              <w:rPr>
                <w:noProof/>
              </w:rPr>
              <w:t>Conservation measures based on scientific advice adopted, for all species under the purview of RFMOs of which the EU is a member</w:t>
            </w:r>
          </w:p>
        </w:tc>
        <w:tc>
          <w:tcPr>
            <w:tcW w:w="931" w:type="dxa"/>
          </w:tcPr>
          <w:p w14:paraId="67CC9E57" w14:textId="77777777" w:rsidR="00E112AC" w:rsidRPr="0035459C" w:rsidRDefault="00E112AC" w:rsidP="0083214A">
            <w:pPr>
              <w:jc w:val="center"/>
              <w:rPr>
                <w:noProof/>
              </w:rPr>
            </w:pPr>
            <w:r w:rsidRPr="0035459C">
              <w:rPr>
                <w:noProof/>
              </w:rPr>
              <w:t>0%</w:t>
            </w:r>
          </w:p>
        </w:tc>
        <w:tc>
          <w:tcPr>
            <w:tcW w:w="1485" w:type="dxa"/>
          </w:tcPr>
          <w:p w14:paraId="2FE34D7E" w14:textId="77777777" w:rsidR="00E112AC" w:rsidRPr="0035459C" w:rsidRDefault="00E112AC" w:rsidP="0083214A">
            <w:pPr>
              <w:jc w:val="center"/>
              <w:rPr>
                <w:b/>
                <w:noProof/>
              </w:rPr>
            </w:pPr>
            <w:r w:rsidRPr="0035459C">
              <w:rPr>
                <w:b/>
                <w:noProof/>
              </w:rPr>
              <w:t>14%</w:t>
            </w:r>
          </w:p>
        </w:tc>
        <w:tc>
          <w:tcPr>
            <w:tcW w:w="1491" w:type="dxa"/>
          </w:tcPr>
          <w:p w14:paraId="3E20A51A" w14:textId="77777777" w:rsidR="00E112AC" w:rsidRPr="0035459C" w:rsidRDefault="00E112AC" w:rsidP="0083214A">
            <w:pPr>
              <w:jc w:val="center"/>
              <w:rPr>
                <w:noProof/>
              </w:rPr>
            </w:pPr>
            <w:r w:rsidRPr="0035459C">
              <w:rPr>
                <w:noProof/>
              </w:rPr>
              <w:t>95% annually from 2024</w:t>
            </w:r>
          </w:p>
        </w:tc>
        <w:tc>
          <w:tcPr>
            <w:tcW w:w="1530" w:type="dxa"/>
          </w:tcPr>
          <w:p w14:paraId="056AB77B" w14:textId="77777777" w:rsidR="00E112AC" w:rsidRPr="0035459C" w:rsidRDefault="00E112AC" w:rsidP="0083214A">
            <w:pPr>
              <w:jc w:val="center"/>
              <w:rPr>
                <w:noProof/>
              </w:rPr>
            </w:pPr>
            <w:r w:rsidRPr="0035459C">
              <w:rPr>
                <w:noProof/>
              </w:rPr>
              <w:t>Target achieved in 2021. 98% compared to 95%</w:t>
            </w:r>
          </w:p>
        </w:tc>
        <w:tc>
          <w:tcPr>
            <w:tcW w:w="1537" w:type="dxa"/>
          </w:tcPr>
          <w:p w14:paraId="6A0DA5C6" w14:textId="77777777" w:rsidR="00E112AC" w:rsidRPr="0035459C" w:rsidRDefault="00E112AC" w:rsidP="0083214A">
            <w:pPr>
              <w:jc w:val="center"/>
              <w:rPr>
                <w:noProof/>
              </w:rPr>
            </w:pPr>
            <w:r w:rsidRPr="0035459C">
              <w:rPr>
                <w:noProof/>
              </w:rPr>
              <w:t>On track</w:t>
            </w:r>
          </w:p>
        </w:tc>
      </w:tr>
      <w:tr w:rsidR="00E112AC" w:rsidRPr="0035459C" w14:paraId="2FCA0E5E" w14:textId="77777777" w:rsidTr="0083214A">
        <w:trPr>
          <w:cnfStyle w:val="000000100000" w:firstRow="0" w:lastRow="0" w:firstColumn="0" w:lastColumn="0" w:oddVBand="0" w:evenVBand="0" w:oddHBand="1" w:evenHBand="0" w:firstRowFirstColumn="0" w:firstRowLastColumn="0" w:lastRowFirstColumn="0" w:lastRowLastColumn="0"/>
        </w:trPr>
        <w:tc>
          <w:tcPr>
            <w:tcW w:w="2268" w:type="dxa"/>
          </w:tcPr>
          <w:p w14:paraId="3FC4C87E" w14:textId="77777777" w:rsidR="00E112AC" w:rsidRPr="0035459C" w:rsidRDefault="00E112AC" w:rsidP="0083214A">
            <w:pPr>
              <w:rPr>
                <w:noProof/>
              </w:rPr>
            </w:pPr>
            <w:r w:rsidRPr="0035459C">
              <w:rPr>
                <w:noProof/>
              </w:rPr>
              <w:t>Sustainable management of emblematic tuna and tuna-like species as per relevant scientific advice; in particular, highly significant tuna and tuna-like species are fished at sustainable levels</w:t>
            </w:r>
          </w:p>
        </w:tc>
        <w:tc>
          <w:tcPr>
            <w:tcW w:w="931" w:type="dxa"/>
          </w:tcPr>
          <w:p w14:paraId="7B4C5CB7" w14:textId="77777777" w:rsidR="00E112AC" w:rsidRPr="0035459C" w:rsidRDefault="00E112AC" w:rsidP="0083214A">
            <w:pPr>
              <w:jc w:val="center"/>
              <w:rPr>
                <w:noProof/>
              </w:rPr>
            </w:pPr>
            <w:r w:rsidRPr="0035459C">
              <w:rPr>
                <w:noProof/>
              </w:rPr>
              <w:t>17</w:t>
            </w:r>
          </w:p>
        </w:tc>
        <w:tc>
          <w:tcPr>
            <w:tcW w:w="1485" w:type="dxa"/>
          </w:tcPr>
          <w:p w14:paraId="3B8DDB9B" w14:textId="77777777" w:rsidR="00E112AC" w:rsidRPr="0035459C" w:rsidRDefault="00E112AC" w:rsidP="0083214A">
            <w:pPr>
              <w:jc w:val="center"/>
              <w:rPr>
                <w:b/>
                <w:noProof/>
              </w:rPr>
            </w:pPr>
            <w:r w:rsidRPr="0035459C">
              <w:rPr>
                <w:b/>
                <w:noProof/>
              </w:rPr>
              <w:t>94%</w:t>
            </w:r>
            <w:r w:rsidRPr="00483CE9">
              <w:rPr>
                <w:bCs/>
                <w:noProof/>
              </w:rPr>
              <w:t xml:space="preserve"> (**)</w:t>
            </w:r>
          </w:p>
        </w:tc>
        <w:tc>
          <w:tcPr>
            <w:tcW w:w="1491" w:type="dxa"/>
          </w:tcPr>
          <w:p w14:paraId="4C2E9E5A" w14:textId="77777777" w:rsidR="00E112AC" w:rsidRPr="0035459C" w:rsidRDefault="00E112AC" w:rsidP="0083214A">
            <w:pPr>
              <w:jc w:val="center"/>
              <w:rPr>
                <w:noProof/>
              </w:rPr>
            </w:pPr>
            <w:r w:rsidRPr="0035459C">
              <w:rPr>
                <w:noProof/>
              </w:rPr>
              <w:t>18 in 2027</w:t>
            </w:r>
          </w:p>
        </w:tc>
        <w:tc>
          <w:tcPr>
            <w:tcW w:w="1530" w:type="dxa"/>
          </w:tcPr>
          <w:p w14:paraId="337DC2C1" w14:textId="77777777" w:rsidR="00E112AC" w:rsidRPr="0035459C" w:rsidRDefault="00E112AC" w:rsidP="0083214A">
            <w:pPr>
              <w:jc w:val="center"/>
              <w:rPr>
                <w:noProof/>
              </w:rPr>
            </w:pPr>
            <w:r w:rsidRPr="0035459C">
              <w:rPr>
                <w:noProof/>
              </w:rPr>
              <w:t>17 compared to a target of 18</w:t>
            </w:r>
          </w:p>
        </w:tc>
        <w:tc>
          <w:tcPr>
            <w:tcW w:w="1537" w:type="dxa"/>
          </w:tcPr>
          <w:p w14:paraId="7AA53AB4" w14:textId="77777777" w:rsidR="00E112AC" w:rsidRPr="0035459C" w:rsidRDefault="00E112AC" w:rsidP="0083214A">
            <w:pPr>
              <w:jc w:val="center"/>
              <w:rPr>
                <w:noProof/>
              </w:rPr>
            </w:pPr>
            <w:r w:rsidRPr="0035459C">
              <w:rPr>
                <w:noProof/>
              </w:rPr>
              <w:t>On track</w:t>
            </w:r>
          </w:p>
        </w:tc>
      </w:tr>
    </w:tbl>
    <w:p w14:paraId="7595F31A" w14:textId="77777777" w:rsidR="00E112AC" w:rsidRPr="0035459C" w:rsidRDefault="00E112AC" w:rsidP="00E112AC">
      <w:pPr>
        <w:pStyle w:val="FootnoteText"/>
        <w:spacing w:before="120"/>
        <w:rPr>
          <w:noProof/>
        </w:rPr>
      </w:pPr>
      <w:r w:rsidRPr="0035459C">
        <w:rPr>
          <w:noProof/>
        </w:rPr>
        <w:t>(*) % of years for which the milestones or target have been achieved during the 2021-2027 period.</w:t>
      </w:r>
    </w:p>
    <w:p w14:paraId="149C2D2D" w14:textId="77777777" w:rsidR="00E112AC" w:rsidRPr="0035459C" w:rsidRDefault="00E112AC" w:rsidP="00E112AC">
      <w:pPr>
        <w:pStyle w:val="FootnoteText"/>
        <w:spacing w:before="120"/>
        <w:rPr>
          <w:noProof/>
        </w:rPr>
      </w:pPr>
      <w:r w:rsidRPr="0035459C">
        <w:rPr>
          <w:noProof/>
        </w:rPr>
        <w:t>(**) % of target achieved by the end of 2021</w:t>
      </w:r>
    </w:p>
    <w:p w14:paraId="467DCD39" w14:textId="77777777" w:rsidR="00E112AC" w:rsidRPr="0035459C" w:rsidRDefault="00E112AC" w:rsidP="00E112AC">
      <w:pPr>
        <w:pStyle w:val="ppoListHyphened-L1"/>
        <w:rPr>
          <w:noProof/>
        </w:rPr>
      </w:pPr>
      <w:r w:rsidRPr="0035459C">
        <w:rPr>
          <w:noProof/>
        </w:rPr>
        <w:t xml:space="preserve">Overall, the EU remains one of the key drivers of progress in RFMOs and of increasing their performance with concrete proposals. </w:t>
      </w:r>
      <w:bookmarkStart w:id="180" w:name="_Hlk101365497"/>
      <w:bookmarkStart w:id="181" w:name="_Hlk101513658"/>
      <w:r w:rsidRPr="007D4151">
        <w:rPr>
          <w:noProof/>
        </w:rPr>
        <w:t>The EU’s voluntary contributions (grants) to RFMOs</w:t>
      </w:r>
      <w:bookmarkEnd w:id="180"/>
      <w:r w:rsidRPr="007D4151">
        <w:rPr>
          <w:noProof/>
        </w:rPr>
        <w:t xml:space="preserve"> played a key role in allowing them to provide scientific advice.</w:t>
      </w:r>
      <w:r w:rsidRPr="0035459C">
        <w:rPr>
          <w:noProof/>
        </w:rPr>
        <w:t xml:space="preserve"> </w:t>
      </w:r>
      <w:bookmarkEnd w:id="181"/>
      <w:r w:rsidRPr="0035459C">
        <w:rPr>
          <w:noProof/>
        </w:rPr>
        <w:t>The Commission continued to deliver on its commitment to achieve more sustainable fisheries worldwide: 98% of all conservation measures adopted in 2021 by RFMOs of which the EU is a member were in line with scientific advice.</w:t>
      </w:r>
    </w:p>
    <w:p w14:paraId="6336CE2F" w14:textId="77777777" w:rsidR="00E112AC" w:rsidRPr="0035459C" w:rsidRDefault="00E112AC" w:rsidP="00E112AC">
      <w:pPr>
        <w:pStyle w:val="ppoListHyphened-L1"/>
        <w:rPr>
          <w:noProof/>
        </w:rPr>
      </w:pPr>
      <w:r w:rsidRPr="0035459C">
        <w:rPr>
          <w:noProof/>
        </w:rPr>
        <w:t>This outcome is higher than the results achieved in 2019 (88%) or 2020 (74%), and although in principle this is a positive outcome, it also reflects the fact that the total number of conservation measures adopted decreased to 55 from 65 in the previous year; however, those that were adopted were in line with scientific advice. The lower number of adopted measures demonstrates the impact of the pandemic on the work of RFMOs. Due to the virtual format of their meetings, scientific bodies could not cover their full agendas, and the main bodies of RFMOs resorted, in some cases, to rolling over existing measures based on the precautionary approach, which is by any measure a conservative decision.</w:t>
      </w:r>
    </w:p>
    <w:p w14:paraId="4890D00B" w14:textId="77777777" w:rsidR="00E112AC" w:rsidRPr="0035459C" w:rsidRDefault="00E112AC" w:rsidP="00E112AC">
      <w:pPr>
        <w:pStyle w:val="ppoListHyphened-L1"/>
        <w:rPr>
          <w:noProof/>
        </w:rPr>
      </w:pPr>
      <w:r w:rsidRPr="0035459C">
        <w:rPr>
          <w:noProof/>
        </w:rPr>
        <w:t>Regarding the tuna and tuna-like stocks fished by the EU fleet in 2021, the figures are very similar to those in 2020: Of the total commercial tuna catch worldwide, 87% came from stocks at healthy levels of abundance. Of the 20 tuna and tuna-like stocks targeted by the EU fleet, 17 were fished at sustainable levels and one continues to be on its way towards sustainability thanks to the measures adopted in 2019. No further progress could be achieved in 2021, however, as the second year of the pandemic again forced many RFMOs to hold their meetings in a virtual format and to limit their agendas to decisions essential to the functioning of those organisations. As a result, many key decisions could not be adopted, partly because the complexity of the discussions proved unsuitable for a virtual format.</w:t>
      </w:r>
    </w:p>
    <w:p w14:paraId="768A1035" w14:textId="77777777" w:rsidR="00E112AC" w:rsidRPr="0035459C" w:rsidRDefault="00E112AC" w:rsidP="00E112AC">
      <w:pPr>
        <w:pStyle w:val="ppoListHyphened-L1"/>
        <w:rPr>
          <w:noProof/>
        </w:rPr>
      </w:pPr>
      <w:r w:rsidRPr="0035459C">
        <w:rPr>
          <w:noProof/>
        </w:rPr>
        <w:t>Regarding SFPAs, the general objective followed has been to implement and renew the network of agreements and active protocols to ensure continuity in the activities of the EU’s long-distance fishing fleet in non-EU-country waters, strictly respecting the sustainability and surplus principles.</w:t>
      </w:r>
    </w:p>
    <w:p w14:paraId="299CB5C5" w14:textId="77777777" w:rsidR="00E112AC" w:rsidRPr="0035459C" w:rsidRDefault="00E112AC" w:rsidP="00E112AC">
      <w:pPr>
        <w:pStyle w:val="ppoListHyphened-L1"/>
        <w:rPr>
          <w:noProof/>
        </w:rPr>
      </w:pPr>
      <w:r w:rsidRPr="0035459C">
        <w:rPr>
          <w:noProof/>
        </w:rPr>
        <w:t>On some occasions, negotiations took more time than expected because the financial expectations of the non-EU countries could not be met. The COVID-19 pandemic led to delays in concluding some new agreements, such as the one with Mauritius. As a result, shipowners had to stop fishing or modify their strategies, in the context of sharp global competition between various long-distance fishing fleets. Some shipowners could find other fishing grounds in countries benefiting from an SFPA, or sometimes in other countries.</w:t>
      </w:r>
    </w:p>
    <w:p w14:paraId="7BF60B6C" w14:textId="77777777" w:rsidR="00E112AC" w:rsidRPr="0035459C" w:rsidRDefault="00E112AC" w:rsidP="00E112AC">
      <w:pPr>
        <w:pStyle w:val="ppoListHyphened-L1"/>
        <w:rPr>
          <w:noProof/>
        </w:rPr>
      </w:pPr>
      <w:r w:rsidRPr="0035459C">
        <w:rPr>
          <w:noProof/>
        </w:rPr>
        <w:t>In the context of the implementation of the protocols, which is an important part of programme performance and concerns both access conditions for EU vessels and the monitoring of sectoral support, joint committee meetings were held throughout 2021 with most of the partner countries, usually time remotely. For projects benefiting from sectoral support but delayed due to the COVID-19 pandemic, on several occasions the joint committees had to adjust the actions and the calendar that was initially laid down.</w:t>
      </w:r>
    </w:p>
    <w:p w14:paraId="027761BF" w14:textId="77777777" w:rsidR="00462089" w:rsidRDefault="00462089" w:rsidP="00E73D04">
      <w:pPr>
        <w:pStyle w:val="ppoListHyphened-L1"/>
        <w:rPr>
          <w:b/>
          <w:noProof/>
        </w:rPr>
        <w:sectPr w:rsidR="00462089" w:rsidSect="0083214A">
          <w:headerReference w:type="even" r:id="rId398"/>
          <w:headerReference w:type="default" r:id="rId399"/>
          <w:footerReference w:type="even" r:id="rId400"/>
          <w:footerReference w:type="default" r:id="rId401"/>
          <w:headerReference w:type="first" r:id="rId402"/>
          <w:footerReference w:type="first" r:id="rId403"/>
          <w:type w:val="continuous"/>
          <w:pgSz w:w="11906" w:h="16838" w:code="9"/>
          <w:pgMar w:top="1134" w:right="1134" w:bottom="964" w:left="1134" w:header="431" w:footer="431" w:gutter="0"/>
          <w:cols w:space="720"/>
          <w:titlePg/>
          <w:docGrid w:linePitch="360"/>
        </w:sectPr>
      </w:pPr>
    </w:p>
    <w:p w14:paraId="359838F8" w14:textId="77777777" w:rsidR="009B3221" w:rsidRPr="00875C2A" w:rsidRDefault="009B3221" w:rsidP="009B3221">
      <w:pPr>
        <w:pStyle w:val="StyleppoHeading3WhiteLeft0cm"/>
        <w:rPr>
          <w:noProof/>
          <w:sz w:val="40"/>
          <w:szCs w:val="40"/>
          <w:lang w:val="en-IE"/>
        </w:rPr>
      </w:pPr>
    </w:p>
    <w:p w14:paraId="2BCE5963" w14:textId="77777777" w:rsidR="009B3221" w:rsidRPr="00875C2A" w:rsidRDefault="009B3221" w:rsidP="009B3221">
      <w:pPr>
        <w:pStyle w:val="StyleppoHeading3WhiteLeft0cm"/>
        <w:rPr>
          <w:noProof/>
          <w:sz w:val="60"/>
          <w:szCs w:val="60"/>
          <w:lang w:val="en-IE"/>
        </w:rPr>
      </w:pPr>
      <w:bookmarkStart w:id="182" w:name="_Toc102086359"/>
      <w:r w:rsidRPr="00875C2A">
        <w:rPr>
          <w:noProof/>
          <w:sz w:val="60"/>
          <w:szCs w:val="60"/>
          <w:lang w:val="en-IE"/>
        </w:rPr>
        <w:t>LIFE</w:t>
      </w:r>
      <w:bookmarkEnd w:id="182"/>
    </w:p>
    <w:p w14:paraId="2647F5E5" w14:textId="77777777" w:rsidR="009B3221" w:rsidRPr="00875C2A" w:rsidRDefault="009B3221" w:rsidP="009B3221">
      <w:pPr>
        <w:pStyle w:val="StyleppoProgrammenameWhiteLeft01cm"/>
        <w:rPr>
          <w:noProof/>
          <w:lang w:val="en-IE"/>
        </w:rPr>
      </w:pPr>
      <w:r w:rsidRPr="00875C2A">
        <w:rPr>
          <w:noProof/>
          <w:lang w:val="en-IE"/>
        </w:rPr>
        <w:t>PROGRAMME FOR THE ENVIRONMENT AND CLIMATE ACTION</w:t>
      </w:r>
    </w:p>
    <w:p w14:paraId="31B11E3F" w14:textId="77777777" w:rsidR="009B3221" w:rsidRPr="00875C2A" w:rsidRDefault="009B3221" w:rsidP="009B3221">
      <w:pPr>
        <w:pStyle w:val="ppoHeading4NaturalGreen"/>
        <w:rPr>
          <w:noProof/>
          <w:lang w:val="en-IE"/>
        </w:rPr>
      </w:pPr>
      <w:r w:rsidRPr="00875C2A">
        <w:rPr>
          <w:noProof/>
          <w:lang w:val="en-IE"/>
        </w:rPr>
        <w:t>Programme in a nutshell</w:t>
      </w:r>
    </w:p>
    <w:p w14:paraId="72E2185F" w14:textId="77777777" w:rsidR="009B3221" w:rsidRPr="00875C2A" w:rsidRDefault="009B3221" w:rsidP="009B3221">
      <w:pPr>
        <w:spacing w:after="480"/>
        <w:rPr>
          <w:rFonts w:eastAsiaTheme="minorEastAsia"/>
          <w:noProof/>
          <w:color w:val="FFFFFF" w:themeColor="background1"/>
          <w:sz w:val="32"/>
          <w:lang w:val="en-IE"/>
        </w:rPr>
        <w:sectPr w:rsidR="009B3221" w:rsidRPr="00875C2A" w:rsidSect="0083214A">
          <w:headerReference w:type="even" r:id="rId404"/>
          <w:headerReference w:type="default" r:id="rId405"/>
          <w:footerReference w:type="even" r:id="rId406"/>
          <w:footerReference w:type="default" r:id="rId407"/>
          <w:headerReference w:type="first" r:id="rId408"/>
          <w:footerReference w:type="first" r:id="rId409"/>
          <w:pgSz w:w="11906" w:h="16838" w:code="9"/>
          <w:pgMar w:top="1134" w:right="1134" w:bottom="964" w:left="1134" w:header="431" w:footer="431" w:gutter="0"/>
          <w:cols w:space="720"/>
          <w:docGrid w:linePitch="360"/>
        </w:sectPr>
      </w:pPr>
    </w:p>
    <w:p w14:paraId="66CDEB45" w14:textId="77777777" w:rsidR="009B3221" w:rsidRPr="00875C2A" w:rsidRDefault="009B3221" w:rsidP="009B3221">
      <w:pPr>
        <w:pStyle w:val="ppoHeading5"/>
        <w:rPr>
          <w:noProof/>
          <w:lang w:val="en-IE"/>
        </w:rPr>
      </w:pPr>
      <w:r w:rsidRPr="00875C2A">
        <w:rPr>
          <w:noProof/>
          <w:lang w:val="en-IE"/>
        </w:rPr>
        <w:t>Concrete examples of achievements</w:t>
      </w:r>
      <w:r w:rsidRPr="00875C2A">
        <w:rPr>
          <w:rFonts w:ascii="Calibri" w:hAnsi="Calibri" w:cs="Calibri"/>
          <w:noProof/>
          <w:lang w:val="en-IE"/>
        </w:rPr>
        <w:t> </w:t>
      </w:r>
      <w:r w:rsidRPr="00875C2A">
        <w:rPr>
          <w:noProof/>
          <w:lang w:val="en-IE"/>
        </w:rPr>
        <w:t>(*)</w:t>
      </w:r>
    </w:p>
    <w:tbl>
      <w:tblPr>
        <w:tblStyle w:val="PPO2021"/>
        <w:tblW w:w="9854" w:type="dxa"/>
        <w:tblInd w:w="0" w:type="dxa"/>
        <w:tblLook w:val="0200" w:firstRow="0" w:lastRow="0" w:firstColumn="0" w:lastColumn="0" w:noHBand="1" w:noVBand="0"/>
      </w:tblPr>
      <w:tblGrid>
        <w:gridCol w:w="1769"/>
        <w:gridCol w:w="1794"/>
        <w:gridCol w:w="1743"/>
        <w:gridCol w:w="1710"/>
        <w:gridCol w:w="1575"/>
        <w:gridCol w:w="1263"/>
      </w:tblGrid>
      <w:tr w:rsidR="009B3221" w:rsidRPr="00875C2A" w14:paraId="0E83AD8B" w14:textId="77777777" w:rsidTr="00B40193">
        <w:tc>
          <w:tcPr>
            <w:tcW w:w="1854" w:type="dxa"/>
            <w:tcBorders>
              <w:bottom w:val="single" w:sz="4" w:space="0" w:color="8C8C8C"/>
            </w:tcBorders>
          </w:tcPr>
          <w:p w14:paraId="04C7B287" w14:textId="77777777" w:rsidR="009B3221" w:rsidRPr="00875C2A" w:rsidRDefault="009B3221" w:rsidP="0083214A">
            <w:pPr>
              <w:rPr>
                <w:noProof/>
                <w:lang w:val="en-IE"/>
              </w:rPr>
            </w:pPr>
            <w:r w:rsidRPr="00875C2A">
              <w:rPr>
                <w:b/>
                <w:bCs/>
                <w:iCs/>
                <w:noProof/>
                <w:lang w:val="en-IE"/>
              </w:rPr>
              <w:t>314</w:t>
            </w:r>
          </w:p>
        </w:tc>
        <w:tc>
          <w:tcPr>
            <w:cnfStyle w:val="000001000000" w:firstRow="0" w:lastRow="0" w:firstColumn="0" w:lastColumn="0" w:oddVBand="0" w:evenVBand="1" w:oddHBand="0" w:evenHBand="0" w:firstRowFirstColumn="0" w:firstRowLastColumn="0" w:lastRowFirstColumn="0" w:lastRowLastColumn="0"/>
            <w:tcW w:w="1876" w:type="dxa"/>
          </w:tcPr>
          <w:p w14:paraId="7C188D34" w14:textId="77777777" w:rsidR="009B3221" w:rsidRPr="00875C2A" w:rsidRDefault="009B3221" w:rsidP="0083214A">
            <w:pPr>
              <w:rPr>
                <w:noProof/>
                <w:lang w:val="en-IE"/>
              </w:rPr>
            </w:pPr>
            <w:r w:rsidRPr="00875C2A">
              <w:rPr>
                <w:b/>
                <w:noProof/>
                <w:lang w:val="en-IE"/>
              </w:rPr>
              <w:t>27</w:t>
            </w:r>
            <w:r w:rsidRPr="00875C2A">
              <w:rPr>
                <w:rFonts w:ascii="Calibri" w:hAnsi="Calibri" w:cs="Calibri"/>
                <w:b/>
                <w:noProof/>
                <w:lang w:val="en-IE"/>
              </w:rPr>
              <w:t> </w:t>
            </w:r>
            <w:r w:rsidRPr="00875C2A">
              <w:rPr>
                <w:b/>
                <w:noProof/>
                <w:lang w:val="en-IE"/>
              </w:rPr>
              <w:t>000</w:t>
            </w:r>
          </w:p>
        </w:tc>
        <w:tc>
          <w:tcPr>
            <w:tcW w:w="1832" w:type="dxa"/>
            <w:tcBorders>
              <w:bottom w:val="single" w:sz="4" w:space="0" w:color="8C8C8C"/>
            </w:tcBorders>
          </w:tcPr>
          <w:p w14:paraId="54EDEB84" w14:textId="77777777" w:rsidR="009B3221" w:rsidRPr="00875C2A" w:rsidRDefault="009B3221" w:rsidP="0083214A">
            <w:pPr>
              <w:cnfStyle w:val="000000000000" w:firstRow="0" w:lastRow="0" w:firstColumn="0" w:lastColumn="0" w:oddVBand="0" w:evenVBand="0" w:oddHBand="0" w:evenHBand="0" w:firstRowFirstColumn="0" w:firstRowLastColumn="0" w:lastRowFirstColumn="0" w:lastRowLastColumn="0"/>
              <w:rPr>
                <w:noProof/>
                <w:lang w:val="en-IE"/>
              </w:rPr>
            </w:pPr>
            <w:r w:rsidRPr="00875C2A">
              <w:rPr>
                <w:b/>
                <w:noProof/>
                <w:lang w:val="en-IE"/>
              </w:rPr>
              <w:t>1.7</w:t>
            </w:r>
            <w:r w:rsidRPr="00875C2A">
              <w:rPr>
                <w:rFonts w:ascii="Calibri" w:hAnsi="Calibri" w:cs="Calibri"/>
                <w:b/>
                <w:noProof/>
                <w:lang w:val="en-IE"/>
              </w:rPr>
              <w:t> </w:t>
            </w:r>
            <w:r w:rsidRPr="00875C2A">
              <w:rPr>
                <w:b/>
                <w:noProof/>
                <w:lang w:val="en-IE"/>
              </w:rPr>
              <w:t>million</w:t>
            </w:r>
          </w:p>
        </w:tc>
        <w:tc>
          <w:tcPr>
            <w:cnfStyle w:val="000001000000" w:firstRow="0" w:lastRow="0" w:firstColumn="0" w:lastColumn="0" w:oddVBand="0" w:evenVBand="1" w:oddHBand="0" w:evenHBand="0" w:firstRowFirstColumn="0" w:firstRowLastColumn="0" w:lastRowFirstColumn="0" w:lastRowLastColumn="0"/>
            <w:tcW w:w="1802" w:type="dxa"/>
          </w:tcPr>
          <w:p w14:paraId="467108E2" w14:textId="77777777" w:rsidR="009B3221" w:rsidRPr="00875C2A" w:rsidRDefault="009B3221" w:rsidP="0083214A">
            <w:pPr>
              <w:rPr>
                <w:noProof/>
                <w:lang w:val="en-IE"/>
              </w:rPr>
            </w:pPr>
            <w:r w:rsidRPr="00875C2A">
              <w:rPr>
                <w:b/>
                <w:noProof/>
                <w:lang w:val="en-IE"/>
              </w:rPr>
              <w:t>12</w:t>
            </w:r>
            <w:r w:rsidRPr="00875C2A">
              <w:rPr>
                <w:rFonts w:ascii="Calibri" w:hAnsi="Calibri" w:cs="Calibri"/>
                <w:b/>
                <w:noProof/>
                <w:lang w:val="en-IE"/>
              </w:rPr>
              <w:t> </w:t>
            </w:r>
            <w:r w:rsidRPr="00875C2A">
              <w:rPr>
                <w:b/>
                <w:noProof/>
                <w:lang w:val="en-IE"/>
              </w:rPr>
              <w:t>million</w:t>
            </w:r>
          </w:p>
        </w:tc>
        <w:tc>
          <w:tcPr>
            <w:tcW w:w="1245" w:type="dxa"/>
            <w:tcBorders>
              <w:bottom w:val="single" w:sz="4" w:space="0" w:color="8C8C8C"/>
            </w:tcBorders>
          </w:tcPr>
          <w:p w14:paraId="796EAF73" w14:textId="77777777" w:rsidR="009B3221" w:rsidRPr="00875C2A" w:rsidRDefault="009B3221" w:rsidP="0083214A">
            <w:pPr>
              <w:cnfStyle w:val="000000000000" w:firstRow="0" w:lastRow="0" w:firstColumn="0" w:lastColumn="0" w:oddVBand="0" w:evenVBand="0" w:oddHBand="0" w:evenHBand="0" w:firstRowFirstColumn="0" w:firstRowLastColumn="0" w:lastRowFirstColumn="0" w:lastRowLastColumn="0"/>
              <w:rPr>
                <w:b/>
                <w:noProof/>
                <w:lang w:val="en-IE"/>
              </w:rPr>
            </w:pPr>
            <w:r w:rsidRPr="00875C2A">
              <w:rPr>
                <w:b/>
                <w:bCs/>
                <w:noProof/>
                <w:lang w:val="en-IE"/>
              </w:rPr>
              <w:t>300</w:t>
            </w:r>
          </w:p>
        </w:tc>
        <w:tc>
          <w:tcPr>
            <w:cnfStyle w:val="000001000000" w:firstRow="0" w:lastRow="0" w:firstColumn="0" w:lastColumn="0" w:oddVBand="0" w:evenVBand="1" w:oddHBand="0" w:evenHBand="0" w:firstRowFirstColumn="0" w:firstRowLastColumn="0" w:lastRowFirstColumn="0" w:lastRowLastColumn="0"/>
            <w:tcW w:w="1245" w:type="dxa"/>
          </w:tcPr>
          <w:p w14:paraId="264DB774" w14:textId="77777777" w:rsidR="009B3221" w:rsidRPr="00875C2A" w:rsidRDefault="009B3221" w:rsidP="0083214A">
            <w:pPr>
              <w:rPr>
                <w:b/>
                <w:noProof/>
                <w:lang w:val="en-IE"/>
              </w:rPr>
            </w:pPr>
            <w:r w:rsidRPr="00875C2A">
              <w:rPr>
                <w:b/>
                <w:noProof/>
                <w:lang w:val="en-IE"/>
              </w:rPr>
              <w:t>1.8</w:t>
            </w:r>
            <w:r w:rsidRPr="00875C2A">
              <w:rPr>
                <w:rFonts w:ascii="Calibri" w:hAnsi="Calibri" w:cs="Calibri"/>
                <w:b/>
                <w:noProof/>
                <w:lang w:val="en-IE"/>
              </w:rPr>
              <w:t> </w:t>
            </w:r>
            <w:r w:rsidRPr="00875C2A">
              <w:rPr>
                <w:b/>
                <w:noProof/>
                <w:lang w:val="en-IE"/>
              </w:rPr>
              <w:t>million</w:t>
            </w:r>
          </w:p>
        </w:tc>
      </w:tr>
      <w:tr w:rsidR="009B3221" w:rsidRPr="00875C2A" w14:paraId="522C33FC" w14:textId="77777777" w:rsidTr="00B40193">
        <w:tc>
          <w:tcPr>
            <w:tcW w:w="1854" w:type="dxa"/>
            <w:tcBorders>
              <w:bottom w:val="single" w:sz="4" w:space="0" w:color="8C8C8C"/>
            </w:tcBorders>
          </w:tcPr>
          <w:p w14:paraId="6CA55D26" w14:textId="77777777" w:rsidR="009B3221" w:rsidRPr="00875C2A" w:rsidRDefault="009B3221" w:rsidP="00B40193">
            <w:pPr>
              <w:jc w:val="left"/>
              <w:rPr>
                <w:noProof/>
                <w:lang w:val="en-IE"/>
              </w:rPr>
            </w:pPr>
            <w:r w:rsidRPr="00875C2A">
              <w:rPr>
                <w:iCs/>
                <w:noProof/>
                <w:lang w:val="en-IE"/>
              </w:rPr>
              <w:t>wildlife species populations are expected to improve their conservation status, thanks to 175 ongoing LIFE projects.</w:t>
            </w:r>
          </w:p>
        </w:tc>
        <w:tc>
          <w:tcPr>
            <w:cnfStyle w:val="000001000000" w:firstRow="0" w:lastRow="0" w:firstColumn="0" w:lastColumn="0" w:oddVBand="0" w:evenVBand="1" w:oddHBand="0" w:evenHBand="0" w:firstRowFirstColumn="0" w:firstRowLastColumn="0" w:lastRowFirstColumn="0" w:lastRowLastColumn="0"/>
            <w:tcW w:w="1876" w:type="dxa"/>
            <w:shd w:val="clear" w:color="auto" w:fill="F2F2F2"/>
          </w:tcPr>
          <w:p w14:paraId="1EF368BA" w14:textId="77777777" w:rsidR="009B3221" w:rsidRPr="00875C2A" w:rsidRDefault="009B3221" w:rsidP="00B40193">
            <w:pPr>
              <w:jc w:val="left"/>
              <w:rPr>
                <w:noProof/>
                <w:lang w:val="en-IE"/>
              </w:rPr>
            </w:pPr>
            <w:r w:rsidRPr="00875C2A">
              <w:rPr>
                <w:noProof/>
                <w:lang w:val="en-IE"/>
              </w:rPr>
              <w:t>tonnes/year of waste are expected to be appropriately managed, thanks to 178 ongoing LIFE projects.</w:t>
            </w:r>
          </w:p>
        </w:tc>
        <w:tc>
          <w:tcPr>
            <w:tcW w:w="1832" w:type="dxa"/>
            <w:tcBorders>
              <w:bottom w:val="single" w:sz="4" w:space="0" w:color="8C8C8C"/>
            </w:tcBorders>
            <w:shd w:val="clear" w:color="auto" w:fill="FFFFFF" w:themeFill="background1"/>
          </w:tcPr>
          <w:p w14:paraId="7B056D07" w14:textId="77777777" w:rsidR="009B3221" w:rsidRPr="00875C2A" w:rsidRDefault="009B3221" w:rsidP="00B40193">
            <w:pPr>
              <w:jc w:val="left"/>
              <w:cnfStyle w:val="000000000000" w:firstRow="0" w:lastRow="0" w:firstColumn="0" w:lastColumn="0" w:oddVBand="0" w:evenVBand="0" w:oddHBand="0" w:evenHBand="0" w:firstRowFirstColumn="0" w:firstRowLastColumn="0" w:lastRowFirstColumn="0" w:lastRowLastColumn="0"/>
              <w:rPr>
                <w:noProof/>
                <w:lang w:val="en-IE"/>
              </w:rPr>
            </w:pPr>
            <w:r w:rsidRPr="00875C2A">
              <w:rPr>
                <w:noProof/>
                <w:lang w:val="en-IE"/>
              </w:rPr>
              <w:t>people’s vulnerability to the adverse effects of climate change is expected to be reduced, thanks to 118 ongoing LIFE projects.</w:t>
            </w:r>
          </w:p>
        </w:tc>
        <w:tc>
          <w:tcPr>
            <w:cnfStyle w:val="000001000000" w:firstRow="0" w:lastRow="0" w:firstColumn="0" w:lastColumn="0" w:oddVBand="0" w:evenVBand="1" w:oddHBand="0" w:evenHBand="0" w:firstRowFirstColumn="0" w:firstRowLastColumn="0" w:lastRowFirstColumn="0" w:lastRowLastColumn="0"/>
            <w:tcW w:w="1802" w:type="dxa"/>
            <w:shd w:val="clear" w:color="auto" w:fill="F2F2F2"/>
          </w:tcPr>
          <w:p w14:paraId="1A348DFF" w14:textId="77777777" w:rsidR="009B3221" w:rsidRPr="00875C2A" w:rsidRDefault="009B3221" w:rsidP="00B40193">
            <w:pPr>
              <w:jc w:val="left"/>
              <w:rPr>
                <w:noProof/>
                <w:lang w:val="en-IE"/>
              </w:rPr>
            </w:pPr>
            <w:r w:rsidRPr="00875C2A">
              <w:rPr>
                <w:noProof/>
                <w:lang w:val="en-IE"/>
              </w:rPr>
              <w:t>tonnes/year of greenhouse gas emissions are expected to be reduced, thanks to 263 ongoing LIFE projects.</w:t>
            </w:r>
          </w:p>
        </w:tc>
        <w:tc>
          <w:tcPr>
            <w:tcW w:w="1245" w:type="dxa"/>
            <w:tcBorders>
              <w:bottom w:val="single" w:sz="4" w:space="0" w:color="8C8C8C"/>
            </w:tcBorders>
            <w:shd w:val="clear" w:color="auto" w:fill="FFFFFF" w:themeFill="background1"/>
          </w:tcPr>
          <w:p w14:paraId="6D382B34" w14:textId="77777777" w:rsidR="009B3221" w:rsidRPr="00875C2A" w:rsidRDefault="009B3221" w:rsidP="00B40193">
            <w:pPr>
              <w:jc w:val="left"/>
              <w:cnfStyle w:val="000000000000" w:firstRow="0" w:lastRow="0" w:firstColumn="0" w:lastColumn="0" w:oddVBand="0" w:evenVBand="0" w:oddHBand="0" w:evenHBand="0" w:firstRowFirstColumn="0" w:firstRowLastColumn="0" w:lastRowFirstColumn="0" w:lastRowLastColumn="0"/>
              <w:rPr>
                <w:noProof/>
                <w:lang w:val="en-IE"/>
              </w:rPr>
            </w:pPr>
            <w:r w:rsidRPr="00875C2A">
              <w:rPr>
                <w:noProof/>
                <w:lang w:val="en-IE"/>
              </w:rPr>
              <w:t>tonnes/year of dangerous chemicals are no longer used/produced, thanks to 16 completed LIFE projects.</w:t>
            </w:r>
          </w:p>
        </w:tc>
        <w:tc>
          <w:tcPr>
            <w:cnfStyle w:val="000001000000" w:firstRow="0" w:lastRow="0" w:firstColumn="0" w:lastColumn="0" w:oddVBand="0" w:evenVBand="1" w:oddHBand="0" w:evenHBand="0" w:firstRowFirstColumn="0" w:firstRowLastColumn="0" w:lastRowFirstColumn="0" w:lastRowLastColumn="0"/>
            <w:tcW w:w="1245" w:type="dxa"/>
            <w:shd w:val="clear" w:color="auto" w:fill="F2F2F2"/>
          </w:tcPr>
          <w:p w14:paraId="1EDE533E" w14:textId="77777777" w:rsidR="009B3221" w:rsidRPr="00875C2A" w:rsidRDefault="009B3221" w:rsidP="00B40193">
            <w:pPr>
              <w:jc w:val="left"/>
              <w:rPr>
                <w:noProof/>
                <w:lang w:val="en-IE"/>
              </w:rPr>
            </w:pPr>
            <w:r w:rsidRPr="00875C2A">
              <w:rPr>
                <w:noProof/>
                <w:lang w:val="en-IE"/>
              </w:rPr>
              <w:t>people have benefited from cleaner air, thanks to 25 completed LIFE projects.</w:t>
            </w:r>
          </w:p>
        </w:tc>
      </w:tr>
    </w:tbl>
    <w:p w14:paraId="04D328D0" w14:textId="77777777" w:rsidR="009B3221" w:rsidRPr="00875C2A" w:rsidRDefault="009B3221" w:rsidP="009B3221">
      <w:pPr>
        <w:pStyle w:val="FootnoteText"/>
        <w:rPr>
          <w:rFonts w:eastAsiaTheme="minorEastAsia"/>
          <w:noProof/>
          <w:lang w:val="en-IE"/>
        </w:rPr>
      </w:pPr>
      <w:r w:rsidRPr="00875C2A">
        <w:rPr>
          <w:rFonts w:eastAsiaTheme="minorEastAsia"/>
          <w:noProof/>
          <w:lang w:val="en-IE"/>
        </w:rPr>
        <w:t xml:space="preserve">(*) </w:t>
      </w:r>
      <w:r w:rsidRPr="00875C2A">
        <w:rPr>
          <w:rFonts w:eastAsiaTheme="minorEastAsia"/>
          <w:noProof/>
          <w:lang w:val="en-IE"/>
        </w:rPr>
        <w:tab/>
        <w:t>Key achievements in the table state which period they relate to. Many come from the implementation of the predecessor programmes under the 2014-2020 multiannual financial framework. This is expected and is due to the multiannual life cycle of EU programmes and the projects they finance, where results often follow only after completion of the programmes.</w:t>
      </w:r>
    </w:p>
    <w:p w14:paraId="33D15402" w14:textId="77777777" w:rsidR="009B3221" w:rsidRPr="00875C2A" w:rsidRDefault="009B3221" w:rsidP="009B3221">
      <w:pPr>
        <w:pStyle w:val="ppoHeading5"/>
        <w:rPr>
          <w:noProof/>
          <w:lang w:val="en-IE"/>
        </w:rPr>
      </w:pPr>
      <w:r w:rsidRPr="00875C2A">
        <w:rPr>
          <w:noProof/>
          <w:lang w:val="en-IE"/>
        </w:rPr>
        <w:t>Budget for 2021-2027</w:t>
      </w:r>
    </w:p>
    <w:p w14:paraId="00909D28" w14:textId="77777777" w:rsidR="009B3221" w:rsidRPr="00875C2A" w:rsidRDefault="009B3221" w:rsidP="009B3221">
      <w:pPr>
        <w:pStyle w:val="ppoTableTabletitle"/>
        <w:ind w:left="284"/>
        <w:rPr>
          <w:noProof/>
          <w:lang w:val="en-IE"/>
        </w:rPr>
      </w:pPr>
      <w:r w:rsidRPr="00875C2A">
        <w:rPr>
          <w:noProof/>
          <w:lang w:val="en-IE"/>
        </w:rPr>
        <w:t>(million EUR)</w:t>
      </w:r>
    </w:p>
    <w:tbl>
      <w:tblPr>
        <w:tblStyle w:val="PlainTable2"/>
        <w:tblW w:w="0" w:type="auto"/>
        <w:tblInd w:w="288" w:type="dxa"/>
        <w:tblLook w:val="04A0" w:firstRow="1" w:lastRow="0" w:firstColumn="1" w:lastColumn="0" w:noHBand="0" w:noVBand="1"/>
      </w:tblPr>
      <w:tblGrid>
        <w:gridCol w:w="4788"/>
        <w:gridCol w:w="2610"/>
      </w:tblGrid>
      <w:tr w:rsidR="009B3221" w:rsidRPr="00875C2A" w14:paraId="7168CF99" w14:textId="77777777" w:rsidTr="0083214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46E9C57F" w14:textId="77777777" w:rsidR="009B3221" w:rsidRPr="00875C2A" w:rsidRDefault="009B3221" w:rsidP="0083214A">
            <w:pPr>
              <w:spacing w:before="120" w:after="120"/>
              <w:rPr>
                <w:noProof/>
                <w:lang w:val="en-IE"/>
              </w:rPr>
            </w:pPr>
            <w:r w:rsidRPr="00875C2A">
              <w:rPr>
                <w:rFonts w:cs="Calibri"/>
                <w:noProof/>
                <w:color w:val="000000"/>
                <w:lang w:val="en-IE"/>
              </w:rPr>
              <w:t>Financial programming</w:t>
            </w:r>
          </w:p>
        </w:tc>
        <w:tc>
          <w:tcPr>
            <w:tcW w:w="2610" w:type="dxa"/>
            <w:shd w:val="clear" w:color="auto" w:fill="auto"/>
            <w:vAlign w:val="bottom"/>
          </w:tcPr>
          <w:p w14:paraId="23639405" w14:textId="77777777" w:rsidR="00DD5E66" w:rsidRDefault="00DD5E66" w:rsidP="00DD5E66">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5 455.8</w:t>
            </w:r>
          </w:p>
          <w:p w14:paraId="114A7B4C" w14:textId="4E4D86A3" w:rsidR="009B3221" w:rsidRPr="00875C2A" w:rsidRDefault="009B3221" w:rsidP="0083214A">
            <w:pPr>
              <w:spacing w:before="120" w:after="120"/>
              <w:jc w:val="center"/>
              <w:cnfStyle w:val="100000000000" w:firstRow="1" w:lastRow="0" w:firstColumn="0" w:lastColumn="0" w:oddVBand="0" w:evenVBand="0" w:oddHBand="0" w:evenHBand="0" w:firstRowFirstColumn="0" w:firstRowLastColumn="0" w:lastRowFirstColumn="0" w:lastRowLastColumn="0"/>
              <w:rPr>
                <w:b w:val="0"/>
                <w:noProof/>
                <w:lang w:val="en-IE"/>
              </w:rPr>
            </w:pPr>
          </w:p>
        </w:tc>
      </w:tr>
      <w:tr w:rsidR="009B3221" w:rsidRPr="00875C2A" w14:paraId="56FAF3A7"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5CF11B3D" w14:textId="77777777" w:rsidR="009B3221" w:rsidRPr="00875C2A" w:rsidRDefault="009B3221" w:rsidP="0083214A">
            <w:pPr>
              <w:spacing w:before="120" w:after="120"/>
              <w:rPr>
                <w:b w:val="0"/>
                <w:noProof/>
                <w:lang w:val="en-IE"/>
              </w:rPr>
            </w:pPr>
            <w:r w:rsidRPr="00875C2A">
              <w:rPr>
                <w:rFonts w:cs="Calibri"/>
                <w:noProof/>
                <w:color w:val="000000"/>
                <w:lang w:val="en-IE"/>
              </w:rPr>
              <w:t>NextGenerationEU</w:t>
            </w:r>
          </w:p>
        </w:tc>
        <w:tc>
          <w:tcPr>
            <w:tcW w:w="2610" w:type="dxa"/>
            <w:vAlign w:val="bottom"/>
          </w:tcPr>
          <w:p w14:paraId="28AEDA57" w14:textId="77777777" w:rsidR="009B3221" w:rsidRPr="00875C2A" w:rsidRDefault="009B3221"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lang w:val="en-IE"/>
              </w:rPr>
            </w:pPr>
            <w:r w:rsidRPr="00875C2A">
              <w:rPr>
                <w:rFonts w:cs="Calibri"/>
                <w:noProof/>
                <w:color w:val="000000"/>
                <w:lang w:val="en-IE"/>
              </w:rPr>
              <w:t>0</w:t>
            </w:r>
          </w:p>
        </w:tc>
      </w:tr>
      <w:tr w:rsidR="009B3221" w:rsidRPr="00875C2A" w14:paraId="675A6B87"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74622269" w14:textId="77777777" w:rsidR="009B3221" w:rsidRPr="00875C2A" w:rsidRDefault="009B3221" w:rsidP="0083214A">
            <w:pPr>
              <w:spacing w:before="120" w:after="120"/>
              <w:rPr>
                <w:b w:val="0"/>
                <w:noProof/>
                <w:lang w:val="en-IE"/>
              </w:rPr>
            </w:pPr>
            <w:r w:rsidRPr="00875C2A">
              <w:rPr>
                <w:noProof/>
                <w:lang w:val="en-IE"/>
              </w:rPr>
              <w:t>Decommitments made available again</w:t>
            </w:r>
            <w:r w:rsidRPr="00875C2A">
              <w:rPr>
                <w:rFonts w:ascii="Calibri" w:hAnsi="Calibri" w:cs="Calibri"/>
                <w:noProof/>
                <w:lang w:val="en-IE"/>
              </w:rPr>
              <w:t> </w:t>
            </w:r>
            <w:r w:rsidRPr="00875C2A">
              <w:rPr>
                <w:noProof/>
                <w:lang w:val="en-IE"/>
              </w:rPr>
              <w:t>(</w:t>
            </w:r>
            <w:r w:rsidRPr="00875C2A">
              <w:rPr>
                <w:rFonts w:cs="Calibri"/>
                <w:noProof/>
                <w:color w:val="000000"/>
                <w:lang w:val="en-IE"/>
              </w:rPr>
              <w:t>*)</w:t>
            </w:r>
          </w:p>
        </w:tc>
        <w:tc>
          <w:tcPr>
            <w:tcW w:w="2610" w:type="dxa"/>
            <w:vAlign w:val="bottom"/>
          </w:tcPr>
          <w:p w14:paraId="73CF00B1" w14:textId="1EDD9F56" w:rsidR="009B3221" w:rsidRPr="00875C2A" w:rsidRDefault="009B3221" w:rsidP="0083214A">
            <w:pPr>
              <w:spacing w:before="120" w:after="120"/>
              <w:jc w:val="center"/>
              <w:cnfStyle w:val="000000000000" w:firstRow="0" w:lastRow="0" w:firstColumn="0" w:lastColumn="0" w:oddVBand="0" w:evenVBand="0" w:oddHBand="0" w:evenHBand="0" w:firstRowFirstColumn="0" w:firstRowLastColumn="0" w:lastRowFirstColumn="0" w:lastRowLastColumn="0"/>
              <w:rPr>
                <w:noProof/>
                <w:lang w:val="en-IE"/>
              </w:rPr>
            </w:pPr>
            <w:r>
              <w:rPr>
                <w:noProof/>
                <w:lang w:val="en-IE"/>
              </w:rPr>
              <w:t>N/A</w:t>
            </w:r>
          </w:p>
        </w:tc>
      </w:tr>
      <w:tr w:rsidR="009B3221" w:rsidRPr="00875C2A" w14:paraId="474F4504"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12DC032C" w14:textId="77777777" w:rsidR="009B3221" w:rsidRPr="00875C2A" w:rsidRDefault="009B3221" w:rsidP="0083214A">
            <w:pPr>
              <w:spacing w:before="120" w:after="120"/>
              <w:rPr>
                <w:noProof/>
                <w:lang w:val="en-IE"/>
              </w:rPr>
            </w:pPr>
            <w:r w:rsidRPr="00875C2A">
              <w:rPr>
                <w:rFonts w:cs="Calibri"/>
                <w:noProof/>
                <w:color w:val="000000"/>
                <w:lang w:val="en-IE"/>
              </w:rPr>
              <w:t>Contributions from other countries and entities</w:t>
            </w:r>
          </w:p>
        </w:tc>
        <w:tc>
          <w:tcPr>
            <w:tcW w:w="2610" w:type="dxa"/>
            <w:vAlign w:val="bottom"/>
          </w:tcPr>
          <w:p w14:paraId="1D725C65" w14:textId="77777777" w:rsidR="009B3221" w:rsidRPr="00875C2A" w:rsidRDefault="009B3221"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lang w:val="en-IE"/>
              </w:rPr>
            </w:pPr>
            <w:r w:rsidRPr="00875C2A">
              <w:rPr>
                <w:noProof/>
                <w:lang w:val="en-IE"/>
              </w:rPr>
              <w:t>1.1</w:t>
            </w:r>
          </w:p>
        </w:tc>
      </w:tr>
      <w:tr w:rsidR="009B3221" w:rsidRPr="00875C2A" w14:paraId="31300625"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2F2F2" w:themeFill="background1" w:themeFillShade="F2"/>
            <w:vAlign w:val="bottom"/>
          </w:tcPr>
          <w:p w14:paraId="47177861" w14:textId="77777777" w:rsidR="009B3221" w:rsidRPr="00875C2A" w:rsidRDefault="009B3221" w:rsidP="0083214A">
            <w:pPr>
              <w:spacing w:before="120" w:after="120"/>
              <w:rPr>
                <w:noProof/>
                <w:lang w:val="en-IE"/>
              </w:rPr>
            </w:pPr>
            <w:r w:rsidRPr="00875C2A">
              <w:rPr>
                <w:rFonts w:cs="Calibri"/>
                <w:noProof/>
                <w:color w:val="000000"/>
                <w:lang w:val="en-IE"/>
              </w:rPr>
              <w:t>Total budget for 2021-2027</w:t>
            </w:r>
          </w:p>
        </w:tc>
        <w:tc>
          <w:tcPr>
            <w:tcW w:w="2610" w:type="dxa"/>
            <w:shd w:val="clear" w:color="auto" w:fill="F2F2F2" w:themeFill="background1" w:themeFillShade="F2"/>
            <w:vAlign w:val="bottom"/>
          </w:tcPr>
          <w:p w14:paraId="7D9F2A6A" w14:textId="77777777" w:rsidR="00DD5E66" w:rsidRDefault="00DD5E66" w:rsidP="00DD5E66">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noProof/>
                <w:color w:val="000000"/>
              </w:rPr>
            </w:pPr>
            <w:r>
              <w:rPr>
                <w:rFonts w:ascii="Calibri" w:hAnsi="Calibri" w:cs="Calibri"/>
                <w:b/>
                <w:bCs/>
                <w:noProof/>
                <w:color w:val="000000"/>
              </w:rPr>
              <w:t>5 456.9</w:t>
            </w:r>
          </w:p>
          <w:p w14:paraId="6A71F77A" w14:textId="734E7E0D" w:rsidR="009B3221" w:rsidRPr="00875C2A" w:rsidRDefault="009B3221" w:rsidP="0083214A">
            <w:pPr>
              <w:spacing w:before="120" w:after="120"/>
              <w:jc w:val="center"/>
              <w:cnfStyle w:val="000000000000" w:firstRow="0" w:lastRow="0" w:firstColumn="0" w:lastColumn="0" w:oddVBand="0" w:evenVBand="0" w:oddHBand="0" w:evenHBand="0" w:firstRowFirstColumn="0" w:firstRowLastColumn="0" w:lastRowFirstColumn="0" w:lastRowLastColumn="0"/>
              <w:rPr>
                <w:b/>
                <w:noProof/>
                <w:lang w:val="en-IE"/>
              </w:rPr>
            </w:pPr>
          </w:p>
        </w:tc>
      </w:tr>
    </w:tbl>
    <w:p w14:paraId="1A6898D4" w14:textId="77777777" w:rsidR="009B3221" w:rsidRPr="00875C2A" w:rsidRDefault="009B3221" w:rsidP="009B3221">
      <w:pPr>
        <w:jc w:val="center"/>
        <w:rPr>
          <w:rFonts w:eastAsiaTheme="minorEastAsia"/>
          <w:noProof/>
          <w:lang w:val="en-IE"/>
        </w:rPr>
      </w:pPr>
    </w:p>
    <w:p w14:paraId="39BBB942" w14:textId="77777777" w:rsidR="009B3221" w:rsidRPr="00875C2A" w:rsidRDefault="009B3221" w:rsidP="009B3221">
      <w:pPr>
        <w:tabs>
          <w:tab w:val="left" w:pos="6793"/>
        </w:tabs>
        <w:rPr>
          <w:noProof/>
          <w:sz w:val="18"/>
          <w:szCs w:val="18"/>
          <w:lang w:val="en-IE"/>
        </w:rPr>
      </w:pPr>
      <w:r w:rsidRPr="00875C2A">
        <w:rPr>
          <w:noProof/>
          <w:sz w:val="18"/>
          <w:szCs w:val="18"/>
          <w:lang w:val="en-IE"/>
        </w:rPr>
        <w:t>(*) Only Article</w:t>
      </w:r>
      <w:r w:rsidRPr="00875C2A">
        <w:rPr>
          <w:rFonts w:ascii="Calibri" w:hAnsi="Calibri" w:cs="Calibri"/>
          <w:noProof/>
          <w:sz w:val="18"/>
          <w:szCs w:val="18"/>
          <w:lang w:val="en-IE"/>
        </w:rPr>
        <w:t> </w:t>
      </w:r>
      <w:r w:rsidRPr="00875C2A">
        <w:rPr>
          <w:noProof/>
          <w:sz w:val="18"/>
          <w:szCs w:val="18"/>
          <w:lang w:val="en-IE"/>
        </w:rPr>
        <w:t>15(3) of the financial regulation.</w:t>
      </w:r>
    </w:p>
    <w:p w14:paraId="71BEF450" w14:textId="77777777" w:rsidR="009B3221" w:rsidRPr="00875C2A" w:rsidRDefault="009B3221" w:rsidP="009B3221">
      <w:pPr>
        <w:pStyle w:val="ppoHeading5"/>
        <w:rPr>
          <w:noProof/>
          <w:lang w:val="en-IE"/>
        </w:rPr>
      </w:pPr>
      <w:r w:rsidRPr="00875C2A">
        <w:rPr>
          <w:noProof/>
          <w:lang w:val="en-IE"/>
        </w:rPr>
        <w:t>Rationale and design of the programme</w:t>
      </w:r>
    </w:p>
    <w:p w14:paraId="45AF8B03" w14:textId="77777777" w:rsidR="009B3221" w:rsidRPr="006B5B9B" w:rsidRDefault="009B3221" w:rsidP="009B3221">
      <w:pPr>
        <w:rPr>
          <w:rFonts w:ascii="Segoe UI" w:hAnsi="Segoe UI" w:cs="Segoe UI"/>
          <w:noProof/>
          <w:sz w:val="21"/>
          <w:szCs w:val="21"/>
          <w:lang w:val="en-IE" w:eastAsia="en-IE"/>
        </w:rPr>
      </w:pPr>
      <w:r w:rsidRPr="00875C2A">
        <w:rPr>
          <w:noProof/>
          <w:lang w:val="en-IE"/>
        </w:rPr>
        <w:t xml:space="preserve">The </w:t>
      </w:r>
      <w:r w:rsidRPr="006B5B9B">
        <w:rPr>
          <w:noProof/>
          <w:lang w:val="en-IE"/>
        </w:rPr>
        <w:t>programme for the environment and climate action</w:t>
      </w:r>
      <w:r w:rsidRPr="00875C2A">
        <w:rPr>
          <w:rFonts w:ascii="Segoe UI" w:hAnsi="Segoe UI" w:cs="Segoe UI"/>
          <w:noProof/>
          <w:sz w:val="21"/>
          <w:szCs w:val="21"/>
          <w:lang w:val="en-IE" w:eastAsia="en-IE"/>
        </w:rPr>
        <w:t xml:space="preserve"> (</w:t>
      </w:r>
      <w:r w:rsidRPr="00875C2A">
        <w:rPr>
          <w:noProof/>
          <w:lang w:val="en-IE"/>
        </w:rPr>
        <w:t>LIFE) aims to facilitate the shift towards a sustainable, circular, energy-efficient, renewable energy-based, climate-neutral and climate-resilient economy. LIFE will contribute to reduce greenhouse gas emissions and our vulnerability to the harmful effects of climate change to protect, restore and improve the quality of the environment</w:t>
      </w:r>
      <w:r w:rsidRPr="00875C2A">
        <w:rPr>
          <w:rFonts w:ascii="Calibri" w:hAnsi="Calibri" w:cs="Calibri"/>
          <w:noProof/>
          <w:lang w:val="en-IE"/>
        </w:rPr>
        <w:t> –</w:t>
      </w:r>
      <w:r w:rsidRPr="00875C2A">
        <w:rPr>
          <w:noProof/>
          <w:lang w:val="en-IE"/>
        </w:rPr>
        <w:t xml:space="preserve"> including air, water and soil</w:t>
      </w:r>
      <w:r w:rsidRPr="00875C2A">
        <w:rPr>
          <w:rFonts w:ascii="Calibri" w:hAnsi="Calibri" w:cs="Calibri"/>
          <w:noProof/>
          <w:lang w:val="en-IE"/>
        </w:rPr>
        <w:t> –</w:t>
      </w:r>
      <w:r w:rsidRPr="00875C2A">
        <w:rPr>
          <w:noProof/>
          <w:lang w:val="en-IE"/>
        </w:rPr>
        <w:t xml:space="preserve"> and to halt and reverse biodiversity loss. Moreover, it will tackle the degradation of ecosystems, including through supporting the implementation and management of the Natura 2000 network, thereby contributing to sustainable development. </w:t>
      </w:r>
    </w:p>
    <w:p w14:paraId="7A74C5EE" w14:textId="77777777" w:rsidR="009B3221" w:rsidRPr="00875C2A" w:rsidRDefault="009B3221" w:rsidP="009B3221">
      <w:pPr>
        <w:pStyle w:val="ppoHeading6"/>
        <w:rPr>
          <w:noProof/>
          <w:lang w:val="en-IE"/>
        </w:rPr>
      </w:pPr>
      <w:r w:rsidRPr="00875C2A">
        <w:rPr>
          <w:noProof/>
          <w:lang w:val="en-IE"/>
        </w:rPr>
        <w:t>Challenge</w:t>
      </w:r>
    </w:p>
    <w:p w14:paraId="6CDA457A" w14:textId="34713F85" w:rsidR="009B3221" w:rsidRPr="00875C2A" w:rsidRDefault="009B3221" w:rsidP="009B3221">
      <w:pPr>
        <w:rPr>
          <w:noProof/>
          <w:lang w:val="en-IE"/>
        </w:rPr>
      </w:pPr>
      <w:r w:rsidRPr="00875C2A">
        <w:rPr>
          <w:noProof/>
          <w:lang w:val="en-IE"/>
        </w:rPr>
        <w:t xml:space="preserve">Our environment and climate are under threat by the cumulative impact of human activities. The EU is committed to protect the environment and its biodiversity, </w:t>
      </w:r>
      <w:r w:rsidR="005911F1">
        <w:rPr>
          <w:noProof/>
          <w:lang w:val="en-IE"/>
        </w:rPr>
        <w:t xml:space="preserve">ensure the quality of the air that we breath, </w:t>
      </w:r>
      <w:r w:rsidRPr="00875C2A">
        <w:rPr>
          <w:noProof/>
          <w:lang w:val="en-IE"/>
        </w:rPr>
        <w:t>carefully manage water resources and waste, increase our reliance on clean energy and mitigate and adapt to climate change dynamics.</w:t>
      </w:r>
    </w:p>
    <w:p w14:paraId="0CA849A4" w14:textId="77777777" w:rsidR="009B3221" w:rsidRPr="00875C2A" w:rsidRDefault="009B3221" w:rsidP="009B3221">
      <w:pPr>
        <w:rPr>
          <w:noProof/>
          <w:lang w:val="en-IE"/>
        </w:rPr>
      </w:pPr>
      <w:r w:rsidRPr="00875C2A">
        <w:rPr>
          <w:noProof/>
          <w:lang w:val="en-IE"/>
        </w:rPr>
        <w:t>A healthy and sustainable environment and the climate are both public goods. When a Member State decides how much to invest in these areas, it may fail to consider the benefits that such investments bring to other Member States. This means that intervention and investments also need to take place at the EU level.</w:t>
      </w:r>
    </w:p>
    <w:p w14:paraId="2F1DD6D8" w14:textId="77777777" w:rsidR="009B3221" w:rsidRPr="00875C2A" w:rsidRDefault="009B3221" w:rsidP="009B3221">
      <w:pPr>
        <w:pStyle w:val="ppoHeading6"/>
        <w:rPr>
          <w:noProof/>
          <w:lang w:val="en-IE"/>
        </w:rPr>
      </w:pPr>
      <w:r w:rsidRPr="00875C2A">
        <w:rPr>
          <w:noProof/>
          <w:lang w:val="en-IE"/>
        </w:rPr>
        <w:t>Mission</w:t>
      </w:r>
    </w:p>
    <w:p w14:paraId="26C7F423" w14:textId="77777777" w:rsidR="009B3221" w:rsidRPr="00875C2A" w:rsidRDefault="009B3221" w:rsidP="009B3221">
      <w:pPr>
        <w:rPr>
          <w:noProof/>
          <w:lang w:val="en-IE"/>
        </w:rPr>
      </w:pPr>
      <w:r w:rsidRPr="00875C2A">
        <w:rPr>
          <w:noProof/>
          <w:lang w:val="en-IE"/>
        </w:rPr>
        <w:t>LIFE aims to contribute to:</w:t>
      </w:r>
    </w:p>
    <w:p w14:paraId="5FEDAA1F" w14:textId="77777777" w:rsidR="009B3221" w:rsidRPr="00875C2A" w:rsidRDefault="009B3221" w:rsidP="009B3221">
      <w:pPr>
        <w:pStyle w:val="ppoListHyphened-L1"/>
        <w:rPr>
          <w:noProof/>
          <w:lang w:val="en-IE"/>
        </w:rPr>
      </w:pPr>
      <w:r w:rsidRPr="00875C2A">
        <w:rPr>
          <w:noProof/>
          <w:lang w:val="en-IE"/>
        </w:rPr>
        <w:t>achieving the shift towards a sustainable, circular, energy-efficient, renewable energy-based, climate-neutral and resilient economy;</w:t>
      </w:r>
    </w:p>
    <w:p w14:paraId="3BA44513" w14:textId="77777777" w:rsidR="009B3221" w:rsidRPr="00875C2A" w:rsidRDefault="009B3221" w:rsidP="009B3221">
      <w:pPr>
        <w:pStyle w:val="ppoListHyphened-L1"/>
        <w:rPr>
          <w:noProof/>
          <w:lang w:val="en-IE"/>
        </w:rPr>
      </w:pPr>
      <w:r w:rsidRPr="00875C2A">
        <w:rPr>
          <w:noProof/>
          <w:lang w:val="en-IE"/>
        </w:rPr>
        <w:t>protecting, restoring and improving the quality of the environment, including the air, water and soil;</w:t>
      </w:r>
    </w:p>
    <w:p w14:paraId="27FAAD44" w14:textId="77777777" w:rsidR="009B3221" w:rsidRPr="00875C2A" w:rsidRDefault="009B3221" w:rsidP="009B3221">
      <w:pPr>
        <w:pStyle w:val="ppoListHyphened-L1"/>
        <w:rPr>
          <w:noProof/>
          <w:lang w:val="en-IE"/>
        </w:rPr>
      </w:pPr>
      <w:r w:rsidRPr="00875C2A">
        <w:rPr>
          <w:noProof/>
          <w:lang w:val="en-IE"/>
        </w:rPr>
        <w:t>halting and reversing biodiversity loss and tackling the degradation of ecosystems.</w:t>
      </w:r>
    </w:p>
    <w:p w14:paraId="56D5C87E" w14:textId="77777777" w:rsidR="009B3221" w:rsidRPr="00875C2A" w:rsidRDefault="009B3221" w:rsidP="009B3221">
      <w:pPr>
        <w:pStyle w:val="ppoHeading6"/>
        <w:rPr>
          <w:noProof/>
          <w:lang w:val="en-IE"/>
        </w:rPr>
      </w:pPr>
      <w:r w:rsidRPr="00875C2A">
        <w:rPr>
          <w:noProof/>
          <w:lang w:val="en-IE"/>
        </w:rPr>
        <w:t>Objectives</w:t>
      </w:r>
    </w:p>
    <w:p w14:paraId="62796BDA" w14:textId="77777777" w:rsidR="009B3221" w:rsidRPr="00875C2A" w:rsidRDefault="009B3221" w:rsidP="009B3221">
      <w:pPr>
        <w:rPr>
          <w:noProof/>
          <w:lang w:val="en-IE"/>
        </w:rPr>
      </w:pPr>
      <w:r w:rsidRPr="00875C2A">
        <w:rPr>
          <w:noProof/>
          <w:lang w:val="en-IE"/>
        </w:rPr>
        <w:t>LIFE is designed to support the objectives of EU legislation and policy on the environment</w:t>
      </w:r>
      <w:r w:rsidRPr="00875C2A">
        <w:rPr>
          <w:rFonts w:ascii="Calibri" w:hAnsi="Calibri" w:cs="Calibri"/>
          <w:noProof/>
          <w:lang w:val="en-IE"/>
        </w:rPr>
        <w:t> –</w:t>
      </w:r>
      <w:r w:rsidRPr="00875C2A">
        <w:rPr>
          <w:noProof/>
          <w:lang w:val="en-IE"/>
        </w:rPr>
        <w:t xml:space="preserve"> including nature and biodiversity</w:t>
      </w:r>
      <w:r w:rsidRPr="00875C2A">
        <w:rPr>
          <w:rFonts w:ascii="Calibri" w:hAnsi="Calibri" w:cs="Calibri"/>
          <w:noProof/>
          <w:lang w:val="en-IE"/>
        </w:rPr>
        <w:t> –</w:t>
      </w:r>
      <w:r w:rsidRPr="00875C2A">
        <w:rPr>
          <w:noProof/>
          <w:lang w:val="en-IE"/>
        </w:rPr>
        <w:t xml:space="preserve"> and on climate action, including the transition to renewable energy and increased energy efficiency through:</w:t>
      </w:r>
    </w:p>
    <w:p w14:paraId="672B817B" w14:textId="77777777" w:rsidR="009B3221" w:rsidRPr="00875C2A" w:rsidRDefault="009B3221" w:rsidP="00D539B7">
      <w:pPr>
        <w:pStyle w:val="ppoListArabic1aiii-L1"/>
        <w:numPr>
          <w:ilvl w:val="0"/>
          <w:numId w:val="140"/>
        </w:numPr>
        <w:rPr>
          <w:noProof/>
          <w:lang w:val="en-IE"/>
        </w:rPr>
      </w:pPr>
      <w:r w:rsidRPr="00875C2A">
        <w:rPr>
          <w:noProof/>
          <w:lang w:val="en-IE"/>
        </w:rPr>
        <w:t>developing and promoting innovative techniques and approaches and disseminating knowledge and best practices, including through the support of the Natura 2000 network;</w:t>
      </w:r>
    </w:p>
    <w:p w14:paraId="0B132C1F" w14:textId="77777777" w:rsidR="009B3221" w:rsidRPr="00875C2A" w:rsidRDefault="009B3221" w:rsidP="00D539B7">
      <w:pPr>
        <w:pStyle w:val="ppoListArabic1aiii-L1"/>
        <w:numPr>
          <w:ilvl w:val="0"/>
          <w:numId w:val="140"/>
        </w:numPr>
        <w:rPr>
          <w:noProof/>
          <w:lang w:val="en-IE"/>
        </w:rPr>
      </w:pPr>
      <w:r w:rsidRPr="00875C2A">
        <w:rPr>
          <w:noProof/>
          <w:lang w:val="en-IE"/>
        </w:rPr>
        <w:t>improving governance at all levels, in particular through enhancing capacities of public and private entities and the involvement of civil society;</w:t>
      </w:r>
    </w:p>
    <w:p w14:paraId="79904BF8" w14:textId="77777777" w:rsidR="009B3221" w:rsidRPr="00875C2A" w:rsidRDefault="009B3221" w:rsidP="00D539B7">
      <w:pPr>
        <w:pStyle w:val="ppoListArabic1aiii-L1"/>
        <w:numPr>
          <w:ilvl w:val="0"/>
          <w:numId w:val="140"/>
        </w:numPr>
        <w:rPr>
          <w:noProof/>
          <w:lang w:val="en-IE"/>
        </w:rPr>
      </w:pPr>
      <w:r w:rsidRPr="00875C2A">
        <w:rPr>
          <w:noProof/>
          <w:lang w:val="en-IE"/>
        </w:rPr>
        <w:t>catalysing the large-scale deployment of successful technical and policy-related solutions by integrating related objectives into other policies and public and private sector practices, mobilising investment and improving access to finance.</w:t>
      </w:r>
    </w:p>
    <w:p w14:paraId="2FBF5777" w14:textId="77777777" w:rsidR="009B3221" w:rsidRPr="00875C2A" w:rsidRDefault="009B3221" w:rsidP="009B3221">
      <w:pPr>
        <w:pStyle w:val="ppoHeading6"/>
        <w:rPr>
          <w:noProof/>
          <w:lang w:val="en-IE"/>
        </w:rPr>
      </w:pPr>
      <w:r w:rsidRPr="00875C2A">
        <w:rPr>
          <w:noProof/>
          <w:lang w:val="en-IE"/>
        </w:rPr>
        <w:t>Actions</w:t>
      </w:r>
    </w:p>
    <w:p w14:paraId="5A8B3922" w14:textId="77777777" w:rsidR="009B3221" w:rsidRPr="00875C2A" w:rsidRDefault="009B3221" w:rsidP="009B3221">
      <w:pPr>
        <w:rPr>
          <w:noProof/>
          <w:lang w:val="en-IE"/>
        </w:rPr>
      </w:pPr>
      <w:r w:rsidRPr="00875C2A">
        <w:rPr>
          <w:noProof/>
          <w:lang w:val="en-IE"/>
        </w:rPr>
        <w:t>LIFE comprises four sub-programmes: (1) nature and biodiversity; (2) circular economy and quality of life; (3) climate change mitigation and adaptation; and (4) clean energy transition.</w:t>
      </w:r>
    </w:p>
    <w:p w14:paraId="2A1BC371" w14:textId="77777777" w:rsidR="009B3221" w:rsidRPr="00875C2A" w:rsidRDefault="009B3221" w:rsidP="009B3221">
      <w:pPr>
        <w:rPr>
          <w:noProof/>
          <w:lang w:val="en-IE"/>
        </w:rPr>
      </w:pPr>
      <w:r w:rsidRPr="00875C2A">
        <w:rPr>
          <w:noProof/>
          <w:lang w:val="en-IE"/>
        </w:rPr>
        <w:t>In these sub-programmes, LIFE finances activities such as:</w:t>
      </w:r>
    </w:p>
    <w:p w14:paraId="062583B8" w14:textId="77777777" w:rsidR="009B3221" w:rsidRPr="00875C2A" w:rsidRDefault="009B3221" w:rsidP="009B3221">
      <w:pPr>
        <w:pStyle w:val="ppoListHyphened-L1"/>
        <w:numPr>
          <w:ilvl w:val="0"/>
          <w:numId w:val="52"/>
        </w:numPr>
        <w:rPr>
          <w:noProof/>
          <w:lang w:val="en-IE"/>
        </w:rPr>
      </w:pPr>
      <w:r w:rsidRPr="00D539B7">
        <w:rPr>
          <w:rStyle w:val="ppocharNaturalGreenemphasis"/>
          <w:noProof/>
        </w:rPr>
        <w:t>‘</w:t>
      </w:r>
      <w:r w:rsidRPr="00875C2A">
        <w:rPr>
          <w:rStyle w:val="ppocharNaturalGreenemphasis"/>
          <w:noProof/>
          <w:lang w:val="en-IE"/>
        </w:rPr>
        <w:t>strategic nature projects’</w:t>
      </w:r>
      <w:r w:rsidRPr="00875C2A">
        <w:rPr>
          <w:noProof/>
          <w:lang w:val="en-IE"/>
        </w:rPr>
        <w:t xml:space="preserve"> that support the achievement of EU nature and biodiversity objectives, by implementing coherent action programmes in Member States in order to mainstream the objectives and priorities into other policies and financing instruments;</w:t>
      </w:r>
    </w:p>
    <w:p w14:paraId="683AF020" w14:textId="77777777" w:rsidR="009B3221" w:rsidRPr="00875C2A" w:rsidRDefault="009B3221" w:rsidP="009B3221">
      <w:pPr>
        <w:pStyle w:val="ppoListHyphened-L1"/>
        <w:numPr>
          <w:ilvl w:val="0"/>
          <w:numId w:val="52"/>
        </w:numPr>
        <w:rPr>
          <w:noProof/>
          <w:lang w:val="en-IE"/>
        </w:rPr>
      </w:pPr>
      <w:r w:rsidRPr="00D539B7">
        <w:rPr>
          <w:rStyle w:val="ppocharNaturalGreenemphasis"/>
          <w:noProof/>
        </w:rPr>
        <w:t>‘strategic integrated projects’</w:t>
      </w:r>
      <w:r w:rsidRPr="00875C2A">
        <w:rPr>
          <w:noProof/>
          <w:lang w:val="en-IE"/>
        </w:rPr>
        <w:t xml:space="preserve"> that implement</w:t>
      </w:r>
      <w:r w:rsidRPr="00875C2A">
        <w:rPr>
          <w:rFonts w:ascii="Calibri" w:hAnsi="Calibri" w:cs="Calibri"/>
          <w:noProof/>
          <w:lang w:val="en-IE"/>
        </w:rPr>
        <w:t> –</w:t>
      </w:r>
      <w:r w:rsidRPr="00875C2A">
        <w:rPr>
          <w:noProof/>
          <w:lang w:val="en-IE"/>
        </w:rPr>
        <w:t xml:space="preserve"> on a regional, multi-regional, national or transnational scale</w:t>
      </w:r>
      <w:r w:rsidRPr="00875C2A">
        <w:rPr>
          <w:rFonts w:ascii="Calibri" w:hAnsi="Calibri" w:cs="Calibri"/>
          <w:noProof/>
          <w:lang w:val="en-IE"/>
        </w:rPr>
        <w:t> –</w:t>
      </w:r>
      <w:r w:rsidRPr="00875C2A">
        <w:rPr>
          <w:noProof/>
          <w:lang w:val="en-IE"/>
        </w:rPr>
        <w:t xml:space="preserve"> environmental or climate strategies or action plans developed by Member State authorities and required by specific EU environmental, climate or relevant energy legislation or policy;</w:t>
      </w:r>
    </w:p>
    <w:p w14:paraId="381AE400" w14:textId="77777777" w:rsidR="009B3221" w:rsidRPr="00875C2A" w:rsidRDefault="009B3221" w:rsidP="009B3221">
      <w:pPr>
        <w:pStyle w:val="ppoListHyphened-L1"/>
        <w:numPr>
          <w:ilvl w:val="0"/>
          <w:numId w:val="52"/>
        </w:numPr>
        <w:rPr>
          <w:noProof/>
          <w:lang w:val="en-IE"/>
        </w:rPr>
      </w:pPr>
      <w:r w:rsidRPr="00D539B7">
        <w:rPr>
          <w:rStyle w:val="ppocharNaturalGreenemphasis"/>
          <w:noProof/>
        </w:rPr>
        <w:t>standard action projects</w:t>
      </w:r>
      <w:r w:rsidRPr="00875C2A">
        <w:rPr>
          <w:noProof/>
          <w:lang w:val="en-IE"/>
        </w:rPr>
        <w:t xml:space="preserve"> that pursue the specific objectives of the LIFE programme;</w:t>
      </w:r>
    </w:p>
    <w:p w14:paraId="7AA9AECF" w14:textId="77777777" w:rsidR="009B3221" w:rsidRPr="00875C2A" w:rsidRDefault="009B3221" w:rsidP="009B3221">
      <w:pPr>
        <w:pStyle w:val="ppoListHyphened-L1"/>
        <w:numPr>
          <w:ilvl w:val="0"/>
          <w:numId w:val="52"/>
        </w:numPr>
        <w:rPr>
          <w:noProof/>
          <w:lang w:val="en-IE"/>
        </w:rPr>
      </w:pPr>
      <w:r w:rsidRPr="00875C2A">
        <w:rPr>
          <w:noProof/>
          <w:lang w:val="en-IE"/>
        </w:rPr>
        <w:t>building capacity to support energy efficiency and renewable energy;</w:t>
      </w:r>
    </w:p>
    <w:p w14:paraId="5AA44118" w14:textId="77777777" w:rsidR="009B3221" w:rsidRPr="00875C2A" w:rsidRDefault="009B3221" w:rsidP="009B3221">
      <w:pPr>
        <w:pStyle w:val="ppoListHyphened-L1"/>
        <w:numPr>
          <w:ilvl w:val="0"/>
          <w:numId w:val="52"/>
        </w:numPr>
        <w:rPr>
          <w:noProof/>
          <w:lang w:val="en-IE"/>
        </w:rPr>
      </w:pPr>
      <w:r w:rsidRPr="00875C2A">
        <w:rPr>
          <w:noProof/>
          <w:lang w:val="en-IE"/>
        </w:rPr>
        <w:t>studies, the evaluation and monitoring of policies, information and communication activities, prizes, etc.</w:t>
      </w:r>
    </w:p>
    <w:p w14:paraId="6A622655" w14:textId="77777777" w:rsidR="009B3221" w:rsidRPr="00875C2A" w:rsidRDefault="009B3221" w:rsidP="009B3221">
      <w:pPr>
        <w:pStyle w:val="ppoHeading6"/>
        <w:rPr>
          <w:noProof/>
          <w:lang w:val="en-IE"/>
        </w:rPr>
      </w:pPr>
      <w:r w:rsidRPr="00875C2A">
        <w:rPr>
          <w:noProof/>
          <w:lang w:val="en-IE"/>
        </w:rPr>
        <w:t>Delivery mode</w:t>
      </w:r>
    </w:p>
    <w:p w14:paraId="52658B4E" w14:textId="77777777" w:rsidR="009B3221" w:rsidRPr="00875C2A" w:rsidRDefault="009B3221" w:rsidP="009B3221">
      <w:pPr>
        <w:rPr>
          <w:noProof/>
          <w:lang w:val="en-IE"/>
        </w:rPr>
      </w:pPr>
      <w:r w:rsidRPr="00875C2A">
        <w:rPr>
          <w:noProof/>
          <w:lang w:val="en-IE"/>
        </w:rPr>
        <w:t>LIFE is implemented through direct management (grants, procurement and prizes) and indirect management for specific activities. Within the Commission, DG Environment is the lead, with support from DG Energy and DG Climate Action. The European Climate, Infrastructure and Environment Executive Agency manages the bulk of the grants.</w:t>
      </w:r>
    </w:p>
    <w:p w14:paraId="1C9E15EA" w14:textId="77777777" w:rsidR="009B3221" w:rsidRPr="00875C2A" w:rsidRDefault="009B3221" w:rsidP="009B3221">
      <w:pPr>
        <w:pStyle w:val="ppoHeading6"/>
        <w:rPr>
          <w:noProof/>
          <w:lang w:val="en-IE"/>
        </w:rPr>
      </w:pPr>
      <w:r w:rsidRPr="00875C2A">
        <w:rPr>
          <w:noProof/>
          <w:lang w:val="en-IE"/>
        </w:rPr>
        <w:t>LINK TO THE 2014-2020 Multiannual Financial Framework</w:t>
      </w:r>
    </w:p>
    <w:p w14:paraId="77BB7F08" w14:textId="77777777" w:rsidR="009B3221" w:rsidRPr="00875C2A" w:rsidRDefault="009B3221" w:rsidP="009B3221">
      <w:pPr>
        <w:rPr>
          <w:noProof/>
          <w:lang w:val="en-IE"/>
        </w:rPr>
      </w:pPr>
      <w:r w:rsidRPr="00875C2A">
        <w:rPr>
          <w:noProof/>
          <w:lang w:val="en-IE"/>
        </w:rPr>
        <w:t xml:space="preserve">The number of sub-programmes has increased from two (environment and climate action) to four (nature and biodiversity; circular economy and quality of life; climate change mitigation and adaptation; and clean energy transition). </w:t>
      </w:r>
    </w:p>
    <w:p w14:paraId="6F054B9E" w14:textId="693C038C" w:rsidR="009B3221" w:rsidRPr="00875C2A" w:rsidRDefault="005911F1" w:rsidP="009B3221">
      <w:pPr>
        <w:rPr>
          <w:noProof/>
          <w:lang w:val="en-IE"/>
        </w:rPr>
      </w:pPr>
      <w:r>
        <w:rPr>
          <w:noProof/>
          <w:lang w:val="en-IE"/>
        </w:rPr>
        <w:t>The new c</w:t>
      </w:r>
      <w:r w:rsidR="009B3221" w:rsidRPr="00875C2A">
        <w:rPr>
          <w:noProof/>
          <w:lang w:val="en-IE"/>
        </w:rPr>
        <w:t xml:space="preserve">lean energy transition </w:t>
      </w:r>
      <w:r>
        <w:rPr>
          <w:noProof/>
          <w:lang w:val="en-IE"/>
        </w:rPr>
        <w:t xml:space="preserve">sub-programme has </w:t>
      </w:r>
      <w:r w:rsidR="009B3221" w:rsidRPr="00875C2A">
        <w:rPr>
          <w:noProof/>
          <w:lang w:val="en-IE"/>
        </w:rPr>
        <w:t>an incorporat</w:t>
      </w:r>
      <w:r>
        <w:rPr>
          <w:noProof/>
          <w:lang w:val="en-IE"/>
        </w:rPr>
        <w:t>ed</w:t>
      </w:r>
      <w:r w:rsidR="009B3221" w:rsidRPr="00875C2A">
        <w:rPr>
          <w:noProof/>
          <w:lang w:val="en-IE"/>
        </w:rPr>
        <w:t xml:space="preserve"> actions for capacity building supporting energy, efficiency and renewable energy previously funded under Horizon 2020 (until 2020). A reinforced focus on nature and biodiversity is ensured. </w:t>
      </w:r>
    </w:p>
    <w:p w14:paraId="3932D406" w14:textId="77777777" w:rsidR="009B3221" w:rsidRPr="00875C2A" w:rsidRDefault="009B3221" w:rsidP="009B3221">
      <w:pPr>
        <w:rPr>
          <w:noProof/>
          <w:lang w:val="en-IE"/>
        </w:rPr>
      </w:pPr>
      <w:r w:rsidRPr="00875C2A">
        <w:rPr>
          <w:noProof/>
          <w:lang w:val="en-IE"/>
        </w:rPr>
        <w:t xml:space="preserve">Building on the strategic integrated projects first launched under the 2014-2020 LIFE programme, the 2021-2027 LIFE programme will continue to support strategic integrated projects (to a slightly greater scale than previously) and has introduced a dedicated source of funding to support strategic nature projects under the nature and biodiversity sub-programme. </w:t>
      </w:r>
    </w:p>
    <w:p w14:paraId="6DFCCC1C" w14:textId="77777777" w:rsidR="009B3221" w:rsidRPr="00875C2A" w:rsidRDefault="009B3221" w:rsidP="009B3221">
      <w:pPr>
        <w:rPr>
          <w:noProof/>
          <w:lang w:val="en-IE"/>
        </w:rPr>
      </w:pPr>
      <w:r w:rsidRPr="00875C2A">
        <w:rPr>
          <w:noProof/>
          <w:lang w:val="en-IE"/>
        </w:rPr>
        <w:t>Financial instrument operations will be managed under InvestEU.</w:t>
      </w:r>
    </w:p>
    <w:p w14:paraId="162F3786" w14:textId="77777777" w:rsidR="009B3221" w:rsidRPr="00875C2A" w:rsidRDefault="009B3221" w:rsidP="009B3221">
      <w:pPr>
        <w:pStyle w:val="ppoHeading6"/>
        <w:rPr>
          <w:noProof/>
          <w:lang w:val="en-IE"/>
        </w:rPr>
      </w:pPr>
      <w:r w:rsidRPr="00875C2A">
        <w:rPr>
          <w:noProof/>
          <w:lang w:val="en-IE"/>
        </w:rPr>
        <w:t>Impact assessment</w:t>
      </w:r>
    </w:p>
    <w:p w14:paraId="2C71D225" w14:textId="77777777" w:rsidR="009B3221" w:rsidRPr="00875C2A" w:rsidRDefault="009B3221" w:rsidP="009B3221">
      <w:pPr>
        <w:rPr>
          <w:noProof/>
          <w:lang w:val="en-IE"/>
        </w:rPr>
      </w:pPr>
      <w:r w:rsidRPr="00875C2A">
        <w:rPr>
          <w:noProof/>
          <w:lang w:val="en-IE"/>
        </w:rPr>
        <w:t xml:space="preserve">The </w:t>
      </w:r>
      <w:hyperlink r:id="rId410" w:history="1">
        <w:r w:rsidRPr="00875C2A">
          <w:rPr>
            <w:rStyle w:val="Hyperlink"/>
            <w:noProof/>
            <w:lang w:val="en-IE"/>
          </w:rPr>
          <w:t>impact assessment</w:t>
        </w:r>
      </w:hyperlink>
      <w:r w:rsidRPr="00875C2A">
        <w:rPr>
          <w:noProof/>
          <w:lang w:val="en-IE"/>
        </w:rPr>
        <w:t xml:space="preserve"> of LIFE was carried out in 2018. </w:t>
      </w:r>
    </w:p>
    <w:p w14:paraId="25978D57" w14:textId="77777777" w:rsidR="009B3221" w:rsidRPr="00875C2A" w:rsidRDefault="009B3221" w:rsidP="009B3221">
      <w:pPr>
        <w:pStyle w:val="ppoHeading6"/>
        <w:rPr>
          <w:noProof/>
          <w:lang w:val="en-IE"/>
        </w:rPr>
      </w:pPr>
      <w:r w:rsidRPr="00875C2A">
        <w:rPr>
          <w:noProof/>
          <w:lang w:val="en-IE"/>
        </w:rPr>
        <w:t>WEBSITE FOR more information</w:t>
      </w:r>
    </w:p>
    <w:p w14:paraId="4216096A" w14:textId="77777777" w:rsidR="009B3221" w:rsidRPr="00875C2A" w:rsidRDefault="009B3221" w:rsidP="009B3221">
      <w:pPr>
        <w:spacing w:after="120"/>
        <w:rPr>
          <w:noProof/>
          <w:lang w:val="en-IE"/>
        </w:rPr>
      </w:pPr>
      <w:r w:rsidRPr="00875C2A">
        <w:rPr>
          <w:noProof/>
          <w:lang w:val="en-IE"/>
        </w:rPr>
        <w:t xml:space="preserve">The main website of the </w:t>
      </w:r>
      <w:hyperlink r:id="rId411" w:history="1">
        <w:r w:rsidRPr="00875C2A">
          <w:rPr>
            <w:rStyle w:val="Hyperlink"/>
            <w:noProof/>
            <w:lang w:val="en-IE"/>
          </w:rPr>
          <w:t>LIFE programme</w:t>
        </w:r>
      </w:hyperlink>
      <w:r w:rsidRPr="00875C2A">
        <w:rPr>
          <w:noProof/>
          <w:lang w:val="en-IE"/>
        </w:rPr>
        <w:t xml:space="preserve"> provides information on the programme itself, funding opportunities, project management and links to the database including information on all LIFE projects (</w:t>
      </w:r>
      <w:hyperlink r:id="rId412" w:history="1">
        <w:r w:rsidRPr="00875C2A">
          <w:rPr>
            <w:rStyle w:val="Hyperlink"/>
            <w:noProof/>
            <w:lang w:val="en-IE"/>
          </w:rPr>
          <w:t>LIFE project public page</w:t>
        </w:r>
        <w:r w:rsidRPr="006B5B9B">
          <w:rPr>
            <w:rStyle w:val="Hyperlink"/>
            <w:noProof/>
            <w:color w:val="000000" w:themeColor="text1"/>
            <w:lang w:val="en-IE"/>
          </w:rPr>
          <w:t>)</w:t>
        </w:r>
      </w:hyperlink>
      <w:r w:rsidRPr="00875C2A">
        <w:rPr>
          <w:noProof/>
          <w:lang w:val="en-IE"/>
        </w:rPr>
        <w:t>, the best LIFE projects (</w:t>
      </w:r>
      <w:hyperlink r:id="rId413" w:history="1">
        <w:r w:rsidRPr="00875C2A">
          <w:rPr>
            <w:rStyle w:val="Hyperlink"/>
            <w:noProof/>
            <w:lang w:val="en-IE"/>
          </w:rPr>
          <w:t>Best projects and LIFE awards</w:t>
        </w:r>
      </w:hyperlink>
      <w:r w:rsidRPr="00875C2A">
        <w:rPr>
          <w:noProof/>
          <w:lang w:val="en-IE"/>
        </w:rPr>
        <w:t>) and publications (</w:t>
      </w:r>
      <w:hyperlink r:id="rId414" w:history="1">
        <w:r w:rsidRPr="00875C2A">
          <w:rPr>
            <w:rStyle w:val="Hyperlink"/>
            <w:noProof/>
            <w:lang w:val="en-IE"/>
          </w:rPr>
          <w:t>LIFE publications)</w:t>
        </w:r>
      </w:hyperlink>
      <w:r w:rsidRPr="00875C2A">
        <w:rPr>
          <w:noProof/>
          <w:lang w:val="en-IE"/>
        </w:rPr>
        <w:t>.</w:t>
      </w:r>
    </w:p>
    <w:p w14:paraId="6273F3EF" w14:textId="77777777" w:rsidR="009B3221" w:rsidRPr="00875C2A" w:rsidRDefault="009B3221" w:rsidP="009B3221">
      <w:pPr>
        <w:pStyle w:val="ppoHeading5"/>
        <w:rPr>
          <w:noProof/>
          <w:lang w:val="en-IE"/>
        </w:rPr>
      </w:pPr>
      <w:r w:rsidRPr="00875C2A">
        <w:rPr>
          <w:rFonts w:eastAsiaTheme="minorEastAsia"/>
          <w:noProof/>
          <w:lang w:val="en-IE"/>
        </w:rPr>
        <w:t>Legal basis</w:t>
      </w:r>
    </w:p>
    <w:p w14:paraId="21EE1C5E" w14:textId="23CD77EC" w:rsidR="005911F1" w:rsidRPr="00875C2A" w:rsidRDefault="005911F1" w:rsidP="005911F1">
      <w:pPr>
        <w:rPr>
          <w:noProof/>
          <w:lang w:val="en-IE"/>
        </w:rPr>
      </w:pPr>
      <w:r w:rsidRPr="00F47365">
        <w:rPr>
          <w:noProof/>
          <w:lang w:val="en-IE"/>
        </w:rPr>
        <w:t>Regulation (EU) 2021/783 of the European Parliament and of the Council</w:t>
      </w:r>
    </w:p>
    <w:p w14:paraId="6B134652" w14:textId="77777777" w:rsidR="009B3221" w:rsidRPr="00875C2A" w:rsidRDefault="009B3221" w:rsidP="009B3221">
      <w:pPr>
        <w:pStyle w:val="ppoHeading4NaturalGreen"/>
        <w:rPr>
          <w:caps/>
          <w:noProof/>
          <w:lang w:val="en-IE"/>
        </w:rPr>
      </w:pPr>
      <w:r w:rsidRPr="00875C2A">
        <w:rPr>
          <w:noProof/>
          <w:lang w:val="en-IE"/>
        </w:rPr>
        <w:t xml:space="preserve">Implementation and performance </w:t>
      </w:r>
    </w:p>
    <w:p w14:paraId="5D7DB60B" w14:textId="77777777" w:rsidR="009B3221" w:rsidRPr="00875C2A" w:rsidRDefault="009B3221" w:rsidP="009B3221">
      <w:pPr>
        <w:pStyle w:val="ppoHeading5"/>
        <w:rPr>
          <w:noProof/>
          <w:lang w:val="en-IE"/>
        </w:rPr>
      </w:pPr>
      <w:r w:rsidRPr="00875C2A">
        <w:rPr>
          <w:noProof/>
          <w:lang w:val="en-IE"/>
        </w:rPr>
        <w:t xml:space="preserve">Budget </w:t>
      </w:r>
    </w:p>
    <w:p w14:paraId="3ABDA062" w14:textId="77777777" w:rsidR="009B3221" w:rsidRPr="00875C2A" w:rsidRDefault="009B3221" w:rsidP="009B3221">
      <w:pPr>
        <w:pStyle w:val="ppoTableTabletitle"/>
        <w:rPr>
          <w:noProof/>
          <w:lang w:val="en-IE"/>
        </w:rPr>
      </w:pPr>
      <w:r w:rsidRPr="00875C2A">
        <w:rPr>
          <w:noProof/>
          <w:lang w:val="en-IE"/>
        </w:rPr>
        <w:t>Budget programming (million 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9B3221" w:rsidRPr="00875C2A" w14:paraId="571CFBD1" w14:textId="77777777" w:rsidTr="0083214A">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17BEA805" w14:textId="77777777" w:rsidR="009B3221" w:rsidRPr="00875C2A" w:rsidRDefault="009B3221" w:rsidP="0083214A">
            <w:pPr>
              <w:rPr>
                <w:noProof/>
                <w:lang w:val="en-IE"/>
              </w:rPr>
            </w:pPr>
          </w:p>
        </w:tc>
        <w:tc>
          <w:tcPr>
            <w:tcW w:w="943" w:type="dxa"/>
            <w:noWrap/>
            <w:hideMark/>
          </w:tcPr>
          <w:p w14:paraId="0840882F" w14:textId="77777777" w:rsidR="009B3221" w:rsidRPr="00875C2A" w:rsidRDefault="009B3221" w:rsidP="0083214A">
            <w:pPr>
              <w:rPr>
                <w:noProof/>
                <w:lang w:val="en-IE"/>
              </w:rPr>
            </w:pPr>
            <w:r w:rsidRPr="00875C2A">
              <w:rPr>
                <w:noProof/>
                <w:lang w:val="en-IE"/>
              </w:rPr>
              <w:t>2021</w:t>
            </w:r>
          </w:p>
        </w:tc>
        <w:tc>
          <w:tcPr>
            <w:tcW w:w="944" w:type="dxa"/>
            <w:noWrap/>
            <w:hideMark/>
          </w:tcPr>
          <w:p w14:paraId="2EB527AD" w14:textId="77777777" w:rsidR="009B3221" w:rsidRPr="00875C2A" w:rsidRDefault="009B3221" w:rsidP="0083214A">
            <w:pPr>
              <w:rPr>
                <w:noProof/>
                <w:lang w:val="en-IE"/>
              </w:rPr>
            </w:pPr>
            <w:r w:rsidRPr="00875C2A">
              <w:rPr>
                <w:noProof/>
                <w:lang w:val="en-IE"/>
              </w:rPr>
              <w:t>2022</w:t>
            </w:r>
          </w:p>
        </w:tc>
        <w:tc>
          <w:tcPr>
            <w:tcW w:w="943" w:type="dxa"/>
            <w:noWrap/>
            <w:hideMark/>
          </w:tcPr>
          <w:p w14:paraId="76BFDEF4" w14:textId="77777777" w:rsidR="009B3221" w:rsidRPr="00875C2A" w:rsidRDefault="009B3221" w:rsidP="0083214A">
            <w:pPr>
              <w:rPr>
                <w:noProof/>
                <w:lang w:val="en-IE"/>
              </w:rPr>
            </w:pPr>
            <w:r w:rsidRPr="00875C2A">
              <w:rPr>
                <w:noProof/>
                <w:lang w:val="en-IE"/>
              </w:rPr>
              <w:t>2023</w:t>
            </w:r>
          </w:p>
        </w:tc>
        <w:tc>
          <w:tcPr>
            <w:tcW w:w="944" w:type="dxa"/>
            <w:noWrap/>
            <w:hideMark/>
          </w:tcPr>
          <w:p w14:paraId="39D91EF1" w14:textId="77777777" w:rsidR="009B3221" w:rsidRPr="00875C2A" w:rsidRDefault="009B3221" w:rsidP="0083214A">
            <w:pPr>
              <w:rPr>
                <w:noProof/>
                <w:lang w:val="en-IE"/>
              </w:rPr>
            </w:pPr>
            <w:r w:rsidRPr="00875C2A">
              <w:rPr>
                <w:noProof/>
                <w:lang w:val="en-IE"/>
              </w:rPr>
              <w:t>2024</w:t>
            </w:r>
          </w:p>
        </w:tc>
        <w:tc>
          <w:tcPr>
            <w:tcW w:w="944" w:type="dxa"/>
            <w:noWrap/>
            <w:hideMark/>
          </w:tcPr>
          <w:p w14:paraId="5984D765" w14:textId="77777777" w:rsidR="009B3221" w:rsidRPr="00875C2A" w:rsidRDefault="009B3221" w:rsidP="0083214A">
            <w:pPr>
              <w:rPr>
                <w:noProof/>
                <w:lang w:val="en-IE"/>
              </w:rPr>
            </w:pPr>
            <w:r w:rsidRPr="00875C2A">
              <w:rPr>
                <w:noProof/>
                <w:lang w:val="en-IE"/>
              </w:rPr>
              <w:t>2025</w:t>
            </w:r>
          </w:p>
        </w:tc>
        <w:tc>
          <w:tcPr>
            <w:tcW w:w="943" w:type="dxa"/>
            <w:noWrap/>
            <w:hideMark/>
          </w:tcPr>
          <w:p w14:paraId="58482158" w14:textId="77777777" w:rsidR="009B3221" w:rsidRPr="00875C2A" w:rsidRDefault="009B3221" w:rsidP="0083214A">
            <w:pPr>
              <w:rPr>
                <w:noProof/>
                <w:lang w:val="en-IE"/>
              </w:rPr>
            </w:pPr>
            <w:r w:rsidRPr="00875C2A">
              <w:rPr>
                <w:noProof/>
                <w:lang w:val="en-IE"/>
              </w:rPr>
              <w:t>2026</w:t>
            </w:r>
          </w:p>
        </w:tc>
        <w:tc>
          <w:tcPr>
            <w:tcW w:w="944" w:type="dxa"/>
            <w:noWrap/>
            <w:hideMark/>
          </w:tcPr>
          <w:p w14:paraId="62341D22" w14:textId="77777777" w:rsidR="009B3221" w:rsidRPr="00875C2A" w:rsidRDefault="009B3221" w:rsidP="0083214A">
            <w:pPr>
              <w:rPr>
                <w:noProof/>
                <w:lang w:val="en-IE"/>
              </w:rPr>
            </w:pPr>
            <w:r w:rsidRPr="00875C2A">
              <w:rPr>
                <w:noProof/>
                <w:lang w:val="en-IE"/>
              </w:rPr>
              <w:t>2027</w:t>
            </w:r>
          </w:p>
        </w:tc>
        <w:tc>
          <w:tcPr>
            <w:tcW w:w="944" w:type="dxa"/>
            <w:noWrap/>
            <w:hideMark/>
          </w:tcPr>
          <w:p w14:paraId="044E9E56" w14:textId="77777777" w:rsidR="009B3221" w:rsidRPr="00875C2A" w:rsidRDefault="009B3221" w:rsidP="0083214A">
            <w:pPr>
              <w:rPr>
                <w:noProof/>
                <w:lang w:val="en-IE"/>
              </w:rPr>
            </w:pPr>
            <w:r w:rsidRPr="00875C2A">
              <w:rPr>
                <w:noProof/>
                <w:lang w:val="en-IE"/>
              </w:rPr>
              <w:t>Total</w:t>
            </w:r>
          </w:p>
        </w:tc>
      </w:tr>
      <w:tr w:rsidR="00DD5E66" w:rsidRPr="00875C2A" w14:paraId="22A7B124" w14:textId="77777777" w:rsidTr="006F409B">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0DF57212" w14:textId="77777777" w:rsidR="00DD5E66" w:rsidRPr="00875C2A" w:rsidRDefault="00DD5E66" w:rsidP="00DD5E66">
            <w:pPr>
              <w:rPr>
                <w:noProof/>
                <w:lang w:val="en-IE"/>
              </w:rPr>
            </w:pPr>
            <w:r w:rsidRPr="00875C2A">
              <w:rPr>
                <w:noProof/>
                <w:lang w:val="en-IE"/>
              </w:rPr>
              <w:t>Financial programming</w:t>
            </w:r>
          </w:p>
        </w:tc>
        <w:tc>
          <w:tcPr>
            <w:tcW w:w="943" w:type="dxa"/>
            <w:noWrap/>
            <w:hideMark/>
          </w:tcPr>
          <w:p w14:paraId="1C25DAA8" w14:textId="77777777" w:rsidR="00DD5E66" w:rsidRPr="00875C2A" w:rsidRDefault="00DD5E66" w:rsidP="00DD5E66">
            <w:pPr>
              <w:jc w:val="center"/>
              <w:rPr>
                <w:noProof/>
                <w:lang w:val="en-IE"/>
              </w:rPr>
            </w:pPr>
            <w:r w:rsidRPr="00875C2A">
              <w:rPr>
                <w:noProof/>
                <w:lang w:val="en-IE"/>
              </w:rPr>
              <w:t>738.8</w:t>
            </w:r>
          </w:p>
        </w:tc>
        <w:tc>
          <w:tcPr>
            <w:tcW w:w="944" w:type="dxa"/>
            <w:noWrap/>
            <w:hideMark/>
          </w:tcPr>
          <w:p w14:paraId="734228C2" w14:textId="77777777" w:rsidR="00DD5E66" w:rsidRPr="00875C2A" w:rsidRDefault="00DD5E66" w:rsidP="00DD5E66">
            <w:pPr>
              <w:jc w:val="center"/>
              <w:rPr>
                <w:noProof/>
                <w:lang w:val="en-IE"/>
              </w:rPr>
            </w:pPr>
            <w:r w:rsidRPr="00875C2A">
              <w:rPr>
                <w:noProof/>
                <w:lang w:val="en-IE"/>
              </w:rPr>
              <w:t>755.5</w:t>
            </w:r>
          </w:p>
        </w:tc>
        <w:tc>
          <w:tcPr>
            <w:tcW w:w="943" w:type="dxa"/>
            <w:noWrap/>
            <w:hideMark/>
          </w:tcPr>
          <w:p w14:paraId="4C22907D" w14:textId="77777777" w:rsidR="00DD5E66" w:rsidRPr="00875C2A" w:rsidRDefault="00DD5E66" w:rsidP="00DD5E66">
            <w:pPr>
              <w:jc w:val="center"/>
              <w:rPr>
                <w:noProof/>
                <w:lang w:val="en-IE"/>
              </w:rPr>
            </w:pPr>
            <w:r w:rsidRPr="00875C2A">
              <w:rPr>
                <w:noProof/>
                <w:lang w:val="en-IE"/>
              </w:rPr>
              <w:t>728.3</w:t>
            </w:r>
          </w:p>
        </w:tc>
        <w:tc>
          <w:tcPr>
            <w:tcW w:w="944" w:type="dxa"/>
            <w:noWrap/>
            <w:vAlign w:val="bottom"/>
            <w:hideMark/>
          </w:tcPr>
          <w:p w14:paraId="650DE88B" w14:textId="2546BDCC" w:rsidR="00DD5E66" w:rsidRPr="00875C2A" w:rsidRDefault="00DD5E66" w:rsidP="00DD5E66">
            <w:pPr>
              <w:jc w:val="center"/>
              <w:rPr>
                <w:noProof/>
                <w:lang w:val="en-IE"/>
              </w:rPr>
            </w:pPr>
            <w:r>
              <w:rPr>
                <w:rFonts w:ascii="Calibri" w:hAnsi="Calibri" w:cs="Calibri"/>
                <w:noProof/>
                <w:color w:val="000000"/>
              </w:rPr>
              <w:t>751.6</w:t>
            </w:r>
          </w:p>
        </w:tc>
        <w:tc>
          <w:tcPr>
            <w:tcW w:w="944" w:type="dxa"/>
            <w:noWrap/>
            <w:vAlign w:val="bottom"/>
            <w:hideMark/>
          </w:tcPr>
          <w:p w14:paraId="619F143B" w14:textId="25EC055D" w:rsidR="00DD5E66" w:rsidRPr="00875C2A" w:rsidRDefault="00DD5E66" w:rsidP="00DD5E66">
            <w:pPr>
              <w:jc w:val="center"/>
              <w:rPr>
                <w:noProof/>
                <w:lang w:val="en-IE"/>
              </w:rPr>
            </w:pPr>
            <w:r>
              <w:rPr>
                <w:rFonts w:ascii="Calibri" w:hAnsi="Calibri" w:cs="Calibri"/>
                <w:noProof/>
                <w:color w:val="000000"/>
              </w:rPr>
              <w:t>783.5</w:t>
            </w:r>
          </w:p>
        </w:tc>
        <w:tc>
          <w:tcPr>
            <w:tcW w:w="943" w:type="dxa"/>
            <w:noWrap/>
            <w:vAlign w:val="bottom"/>
            <w:hideMark/>
          </w:tcPr>
          <w:p w14:paraId="2ED7FF50" w14:textId="6A969AD9" w:rsidR="00DD5E66" w:rsidRPr="00875C2A" w:rsidRDefault="00DD5E66" w:rsidP="00DD5E66">
            <w:pPr>
              <w:jc w:val="center"/>
              <w:rPr>
                <w:noProof/>
                <w:lang w:val="en-IE"/>
              </w:rPr>
            </w:pPr>
            <w:r>
              <w:rPr>
                <w:rFonts w:ascii="Calibri" w:hAnsi="Calibri" w:cs="Calibri"/>
                <w:noProof/>
                <w:color w:val="000000"/>
              </w:rPr>
              <w:t>826.6</w:t>
            </w:r>
          </w:p>
        </w:tc>
        <w:tc>
          <w:tcPr>
            <w:tcW w:w="944" w:type="dxa"/>
            <w:noWrap/>
            <w:vAlign w:val="bottom"/>
            <w:hideMark/>
          </w:tcPr>
          <w:p w14:paraId="2F6A7EC6" w14:textId="2EBF5D69" w:rsidR="00DD5E66" w:rsidRPr="00875C2A" w:rsidRDefault="00DD5E66" w:rsidP="00DD5E66">
            <w:pPr>
              <w:jc w:val="center"/>
              <w:rPr>
                <w:noProof/>
                <w:lang w:val="en-IE"/>
              </w:rPr>
            </w:pPr>
            <w:r>
              <w:rPr>
                <w:rFonts w:ascii="Calibri" w:hAnsi="Calibri" w:cs="Calibri"/>
                <w:noProof/>
                <w:color w:val="000000"/>
              </w:rPr>
              <w:t>871.4</w:t>
            </w:r>
          </w:p>
        </w:tc>
        <w:tc>
          <w:tcPr>
            <w:tcW w:w="944" w:type="dxa"/>
            <w:noWrap/>
            <w:vAlign w:val="bottom"/>
            <w:hideMark/>
          </w:tcPr>
          <w:p w14:paraId="238E3C30" w14:textId="75617180" w:rsidR="00DD5E66" w:rsidRPr="00875C2A" w:rsidRDefault="00DD5E66" w:rsidP="00DD5E66">
            <w:pPr>
              <w:jc w:val="center"/>
              <w:rPr>
                <w:noProof/>
                <w:lang w:val="en-IE"/>
              </w:rPr>
            </w:pPr>
            <w:r>
              <w:rPr>
                <w:rFonts w:ascii="Calibri" w:hAnsi="Calibri" w:cs="Calibri"/>
                <w:noProof/>
                <w:color w:val="000000"/>
              </w:rPr>
              <w:t>5 455.8</w:t>
            </w:r>
          </w:p>
        </w:tc>
      </w:tr>
      <w:tr w:rsidR="009B3221" w:rsidRPr="00875C2A" w14:paraId="0D83DB34"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1643724B" w14:textId="77777777" w:rsidR="009B3221" w:rsidRPr="00875C2A" w:rsidRDefault="009B3221" w:rsidP="0083214A">
            <w:pPr>
              <w:rPr>
                <w:noProof/>
                <w:lang w:val="en-IE"/>
              </w:rPr>
            </w:pPr>
            <w:r w:rsidRPr="00875C2A">
              <w:rPr>
                <w:noProof/>
                <w:lang w:val="en-IE"/>
              </w:rPr>
              <w:t>NextGenerationEU</w:t>
            </w:r>
          </w:p>
        </w:tc>
        <w:tc>
          <w:tcPr>
            <w:tcW w:w="943" w:type="dxa"/>
            <w:noWrap/>
          </w:tcPr>
          <w:p w14:paraId="34847446" w14:textId="77777777" w:rsidR="009B3221" w:rsidRPr="00875C2A" w:rsidRDefault="009B3221" w:rsidP="0083214A">
            <w:pPr>
              <w:jc w:val="center"/>
              <w:rPr>
                <w:noProof/>
                <w:lang w:val="en-IE"/>
              </w:rPr>
            </w:pPr>
          </w:p>
        </w:tc>
        <w:tc>
          <w:tcPr>
            <w:tcW w:w="944" w:type="dxa"/>
            <w:noWrap/>
          </w:tcPr>
          <w:p w14:paraId="586D70C7" w14:textId="77777777" w:rsidR="009B3221" w:rsidRPr="00875C2A" w:rsidRDefault="009B3221" w:rsidP="0083214A">
            <w:pPr>
              <w:jc w:val="center"/>
              <w:rPr>
                <w:noProof/>
                <w:lang w:val="en-IE"/>
              </w:rPr>
            </w:pPr>
          </w:p>
        </w:tc>
        <w:tc>
          <w:tcPr>
            <w:tcW w:w="943" w:type="dxa"/>
            <w:noWrap/>
          </w:tcPr>
          <w:p w14:paraId="798C69D7" w14:textId="77777777" w:rsidR="009B3221" w:rsidRPr="00875C2A" w:rsidRDefault="009B3221" w:rsidP="0083214A">
            <w:pPr>
              <w:jc w:val="center"/>
              <w:rPr>
                <w:noProof/>
                <w:lang w:val="en-IE"/>
              </w:rPr>
            </w:pPr>
          </w:p>
        </w:tc>
        <w:tc>
          <w:tcPr>
            <w:tcW w:w="944" w:type="dxa"/>
            <w:noWrap/>
          </w:tcPr>
          <w:p w14:paraId="1AC55E5C" w14:textId="77777777" w:rsidR="009B3221" w:rsidRPr="00875C2A" w:rsidRDefault="009B3221" w:rsidP="0083214A">
            <w:pPr>
              <w:jc w:val="center"/>
              <w:rPr>
                <w:noProof/>
                <w:lang w:val="en-IE"/>
              </w:rPr>
            </w:pPr>
          </w:p>
        </w:tc>
        <w:tc>
          <w:tcPr>
            <w:tcW w:w="944" w:type="dxa"/>
            <w:noWrap/>
          </w:tcPr>
          <w:p w14:paraId="20C1AFA3" w14:textId="77777777" w:rsidR="009B3221" w:rsidRPr="00875C2A" w:rsidRDefault="009B3221" w:rsidP="0083214A">
            <w:pPr>
              <w:jc w:val="center"/>
              <w:rPr>
                <w:noProof/>
                <w:lang w:val="en-IE"/>
              </w:rPr>
            </w:pPr>
          </w:p>
        </w:tc>
        <w:tc>
          <w:tcPr>
            <w:tcW w:w="943" w:type="dxa"/>
            <w:noWrap/>
          </w:tcPr>
          <w:p w14:paraId="417BCD3E" w14:textId="77777777" w:rsidR="009B3221" w:rsidRPr="00875C2A" w:rsidRDefault="009B3221" w:rsidP="0083214A">
            <w:pPr>
              <w:jc w:val="center"/>
              <w:rPr>
                <w:noProof/>
                <w:lang w:val="en-IE"/>
              </w:rPr>
            </w:pPr>
          </w:p>
        </w:tc>
        <w:tc>
          <w:tcPr>
            <w:tcW w:w="944" w:type="dxa"/>
            <w:noWrap/>
          </w:tcPr>
          <w:p w14:paraId="457D92DF" w14:textId="77777777" w:rsidR="009B3221" w:rsidRPr="00875C2A" w:rsidRDefault="009B3221" w:rsidP="0083214A">
            <w:pPr>
              <w:jc w:val="center"/>
              <w:rPr>
                <w:noProof/>
                <w:lang w:val="en-IE"/>
              </w:rPr>
            </w:pPr>
          </w:p>
        </w:tc>
        <w:tc>
          <w:tcPr>
            <w:tcW w:w="944" w:type="dxa"/>
            <w:noWrap/>
          </w:tcPr>
          <w:p w14:paraId="7D785C8F" w14:textId="77777777" w:rsidR="009B3221" w:rsidRPr="00875C2A" w:rsidRDefault="009B3221" w:rsidP="0083214A">
            <w:pPr>
              <w:jc w:val="center"/>
              <w:rPr>
                <w:noProof/>
                <w:lang w:val="en-IE"/>
              </w:rPr>
            </w:pPr>
          </w:p>
        </w:tc>
      </w:tr>
      <w:tr w:rsidR="009B3221" w:rsidRPr="00875C2A" w14:paraId="409D7465"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167D1A1B" w14:textId="77777777" w:rsidR="009B3221" w:rsidRPr="00875C2A" w:rsidRDefault="009B3221" w:rsidP="0083214A">
            <w:pPr>
              <w:rPr>
                <w:noProof/>
                <w:lang w:val="en-IE"/>
              </w:rPr>
            </w:pPr>
            <w:r w:rsidRPr="00875C2A">
              <w:rPr>
                <w:noProof/>
                <w:lang w:val="en-IE"/>
              </w:rPr>
              <w:t>Decommitments made available again</w:t>
            </w:r>
            <w:r w:rsidRPr="00875C2A">
              <w:rPr>
                <w:rFonts w:ascii="Calibri" w:hAnsi="Calibri" w:cs="Calibri"/>
                <w:noProof/>
                <w:lang w:val="en-IE"/>
              </w:rPr>
              <w:t> </w:t>
            </w:r>
            <w:r w:rsidRPr="00875C2A">
              <w:rPr>
                <w:noProof/>
                <w:lang w:val="en-IE"/>
              </w:rPr>
              <w:t>(*)</w:t>
            </w:r>
          </w:p>
        </w:tc>
        <w:tc>
          <w:tcPr>
            <w:tcW w:w="943" w:type="dxa"/>
            <w:noWrap/>
          </w:tcPr>
          <w:p w14:paraId="585F4AD5" w14:textId="77777777" w:rsidR="009B3221" w:rsidRPr="00875C2A" w:rsidRDefault="009B3221" w:rsidP="0083214A">
            <w:pPr>
              <w:jc w:val="center"/>
              <w:rPr>
                <w:noProof/>
                <w:lang w:val="en-IE"/>
              </w:rPr>
            </w:pPr>
            <w:r>
              <w:rPr>
                <w:noProof/>
                <w:lang w:val="en-IE"/>
              </w:rPr>
              <w:t>N/A</w:t>
            </w:r>
          </w:p>
        </w:tc>
        <w:tc>
          <w:tcPr>
            <w:tcW w:w="944" w:type="dxa"/>
            <w:noWrap/>
          </w:tcPr>
          <w:p w14:paraId="5AC6C317" w14:textId="77777777" w:rsidR="009B3221" w:rsidRPr="00875C2A" w:rsidRDefault="009B3221" w:rsidP="0083214A">
            <w:pPr>
              <w:jc w:val="center"/>
              <w:rPr>
                <w:noProof/>
                <w:lang w:val="en-IE"/>
              </w:rPr>
            </w:pPr>
          </w:p>
        </w:tc>
        <w:tc>
          <w:tcPr>
            <w:tcW w:w="943" w:type="dxa"/>
            <w:noWrap/>
          </w:tcPr>
          <w:p w14:paraId="163730E9" w14:textId="77777777" w:rsidR="009B3221" w:rsidRPr="00875C2A" w:rsidRDefault="009B3221" w:rsidP="0083214A">
            <w:pPr>
              <w:jc w:val="center"/>
              <w:rPr>
                <w:noProof/>
                <w:lang w:val="en-IE"/>
              </w:rPr>
            </w:pPr>
          </w:p>
        </w:tc>
        <w:tc>
          <w:tcPr>
            <w:tcW w:w="944" w:type="dxa"/>
            <w:noWrap/>
          </w:tcPr>
          <w:p w14:paraId="5E5C0F2B" w14:textId="77777777" w:rsidR="009B3221" w:rsidRPr="00875C2A" w:rsidRDefault="009B3221" w:rsidP="0083214A">
            <w:pPr>
              <w:jc w:val="center"/>
              <w:rPr>
                <w:noProof/>
                <w:lang w:val="en-IE"/>
              </w:rPr>
            </w:pPr>
          </w:p>
        </w:tc>
        <w:tc>
          <w:tcPr>
            <w:tcW w:w="944" w:type="dxa"/>
            <w:noWrap/>
          </w:tcPr>
          <w:p w14:paraId="0CBECB20" w14:textId="77777777" w:rsidR="009B3221" w:rsidRPr="00875C2A" w:rsidRDefault="009B3221" w:rsidP="0083214A">
            <w:pPr>
              <w:jc w:val="center"/>
              <w:rPr>
                <w:noProof/>
                <w:lang w:val="en-IE"/>
              </w:rPr>
            </w:pPr>
          </w:p>
        </w:tc>
        <w:tc>
          <w:tcPr>
            <w:tcW w:w="943" w:type="dxa"/>
            <w:noWrap/>
          </w:tcPr>
          <w:p w14:paraId="0E8350B0" w14:textId="77777777" w:rsidR="009B3221" w:rsidRPr="00875C2A" w:rsidRDefault="009B3221" w:rsidP="0083214A">
            <w:pPr>
              <w:jc w:val="center"/>
              <w:rPr>
                <w:noProof/>
                <w:lang w:val="en-IE"/>
              </w:rPr>
            </w:pPr>
          </w:p>
        </w:tc>
        <w:tc>
          <w:tcPr>
            <w:tcW w:w="944" w:type="dxa"/>
            <w:noWrap/>
          </w:tcPr>
          <w:p w14:paraId="5EBB1D0B" w14:textId="77777777" w:rsidR="009B3221" w:rsidRPr="00875C2A" w:rsidRDefault="009B3221" w:rsidP="0083214A">
            <w:pPr>
              <w:jc w:val="center"/>
              <w:rPr>
                <w:noProof/>
                <w:lang w:val="en-IE"/>
              </w:rPr>
            </w:pPr>
          </w:p>
        </w:tc>
        <w:tc>
          <w:tcPr>
            <w:tcW w:w="944" w:type="dxa"/>
            <w:noWrap/>
          </w:tcPr>
          <w:p w14:paraId="4B56162C" w14:textId="77777777" w:rsidR="009B3221" w:rsidRPr="00875C2A" w:rsidRDefault="009B3221" w:rsidP="0083214A">
            <w:pPr>
              <w:jc w:val="center"/>
              <w:rPr>
                <w:noProof/>
                <w:lang w:val="en-IE"/>
              </w:rPr>
            </w:pPr>
            <w:r>
              <w:rPr>
                <w:noProof/>
                <w:lang w:val="en-IE"/>
              </w:rPr>
              <w:t>N/A</w:t>
            </w:r>
          </w:p>
        </w:tc>
      </w:tr>
      <w:tr w:rsidR="009B3221" w:rsidRPr="00875C2A" w14:paraId="7EFF17DF"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73871B6F" w14:textId="77777777" w:rsidR="009B3221" w:rsidRPr="00875C2A" w:rsidRDefault="009B3221" w:rsidP="0083214A">
            <w:pPr>
              <w:rPr>
                <w:noProof/>
                <w:lang w:val="en-IE"/>
              </w:rPr>
            </w:pPr>
            <w:r w:rsidRPr="00875C2A">
              <w:rPr>
                <w:noProof/>
                <w:lang w:val="en-IE"/>
              </w:rPr>
              <w:t>Contributions from other countries and entities</w:t>
            </w:r>
          </w:p>
        </w:tc>
        <w:tc>
          <w:tcPr>
            <w:tcW w:w="943" w:type="dxa"/>
            <w:noWrap/>
            <w:hideMark/>
          </w:tcPr>
          <w:p w14:paraId="21345BE0" w14:textId="77777777" w:rsidR="009B3221" w:rsidRPr="00875C2A" w:rsidRDefault="009B3221" w:rsidP="0083214A">
            <w:pPr>
              <w:jc w:val="center"/>
              <w:rPr>
                <w:noProof/>
                <w:lang w:val="en-IE"/>
              </w:rPr>
            </w:pPr>
            <w:r w:rsidRPr="00875C2A">
              <w:rPr>
                <w:noProof/>
                <w:lang w:val="en-IE"/>
              </w:rPr>
              <w:t>1.1</w:t>
            </w:r>
          </w:p>
        </w:tc>
        <w:tc>
          <w:tcPr>
            <w:tcW w:w="944" w:type="dxa"/>
            <w:noWrap/>
            <w:hideMark/>
          </w:tcPr>
          <w:p w14:paraId="70B55F3D" w14:textId="77777777" w:rsidR="009B3221" w:rsidRPr="00875C2A" w:rsidRDefault="009B3221" w:rsidP="0083214A">
            <w:pPr>
              <w:jc w:val="center"/>
              <w:rPr>
                <w:noProof/>
                <w:lang w:val="en-IE"/>
              </w:rPr>
            </w:pPr>
            <w:r>
              <w:rPr>
                <w:noProof/>
                <w:lang w:val="en-IE"/>
              </w:rPr>
              <w:t>p.m.</w:t>
            </w:r>
          </w:p>
        </w:tc>
        <w:tc>
          <w:tcPr>
            <w:tcW w:w="943" w:type="dxa"/>
            <w:noWrap/>
            <w:hideMark/>
          </w:tcPr>
          <w:p w14:paraId="79139035" w14:textId="77777777" w:rsidR="009B3221" w:rsidRPr="00875C2A" w:rsidRDefault="009B3221" w:rsidP="0083214A">
            <w:pPr>
              <w:jc w:val="center"/>
              <w:rPr>
                <w:noProof/>
                <w:lang w:val="en-IE"/>
              </w:rPr>
            </w:pPr>
            <w:r>
              <w:rPr>
                <w:noProof/>
                <w:lang w:val="en-IE"/>
              </w:rPr>
              <w:t>p.m.</w:t>
            </w:r>
          </w:p>
        </w:tc>
        <w:tc>
          <w:tcPr>
            <w:tcW w:w="944" w:type="dxa"/>
            <w:noWrap/>
            <w:hideMark/>
          </w:tcPr>
          <w:p w14:paraId="7E903491" w14:textId="77777777" w:rsidR="009B3221" w:rsidRPr="00875C2A" w:rsidRDefault="009B3221" w:rsidP="0083214A">
            <w:pPr>
              <w:jc w:val="center"/>
              <w:rPr>
                <w:noProof/>
                <w:lang w:val="en-IE"/>
              </w:rPr>
            </w:pPr>
            <w:r>
              <w:rPr>
                <w:noProof/>
                <w:lang w:val="en-IE"/>
              </w:rPr>
              <w:t>p.m.</w:t>
            </w:r>
          </w:p>
        </w:tc>
        <w:tc>
          <w:tcPr>
            <w:tcW w:w="944" w:type="dxa"/>
            <w:noWrap/>
            <w:hideMark/>
          </w:tcPr>
          <w:p w14:paraId="7D3D8D7E" w14:textId="77777777" w:rsidR="009B3221" w:rsidRPr="00875C2A" w:rsidRDefault="009B3221" w:rsidP="0083214A">
            <w:pPr>
              <w:jc w:val="center"/>
              <w:rPr>
                <w:noProof/>
                <w:lang w:val="en-IE"/>
              </w:rPr>
            </w:pPr>
            <w:r>
              <w:rPr>
                <w:noProof/>
                <w:lang w:val="en-IE"/>
              </w:rPr>
              <w:t>p.m.</w:t>
            </w:r>
          </w:p>
        </w:tc>
        <w:tc>
          <w:tcPr>
            <w:tcW w:w="943" w:type="dxa"/>
            <w:noWrap/>
            <w:hideMark/>
          </w:tcPr>
          <w:p w14:paraId="3D6A0D7D" w14:textId="77777777" w:rsidR="009B3221" w:rsidRPr="00875C2A" w:rsidRDefault="009B3221" w:rsidP="0083214A">
            <w:pPr>
              <w:jc w:val="center"/>
              <w:rPr>
                <w:noProof/>
                <w:lang w:val="en-IE"/>
              </w:rPr>
            </w:pPr>
            <w:r>
              <w:rPr>
                <w:noProof/>
                <w:lang w:val="en-IE"/>
              </w:rPr>
              <w:t>p.m.</w:t>
            </w:r>
          </w:p>
        </w:tc>
        <w:tc>
          <w:tcPr>
            <w:tcW w:w="944" w:type="dxa"/>
            <w:noWrap/>
            <w:hideMark/>
          </w:tcPr>
          <w:p w14:paraId="289451D9" w14:textId="77777777" w:rsidR="009B3221" w:rsidRPr="00875C2A" w:rsidRDefault="009B3221" w:rsidP="0083214A">
            <w:pPr>
              <w:jc w:val="center"/>
              <w:rPr>
                <w:noProof/>
                <w:lang w:val="en-IE"/>
              </w:rPr>
            </w:pPr>
            <w:r>
              <w:rPr>
                <w:noProof/>
                <w:lang w:val="en-IE"/>
              </w:rPr>
              <w:t>p.m.</w:t>
            </w:r>
          </w:p>
        </w:tc>
        <w:tc>
          <w:tcPr>
            <w:tcW w:w="944" w:type="dxa"/>
            <w:noWrap/>
            <w:hideMark/>
          </w:tcPr>
          <w:p w14:paraId="5D14B8B6" w14:textId="77777777" w:rsidR="009B3221" w:rsidRPr="00875C2A" w:rsidRDefault="009B3221" w:rsidP="0083214A">
            <w:pPr>
              <w:jc w:val="center"/>
              <w:rPr>
                <w:noProof/>
                <w:lang w:val="en-IE"/>
              </w:rPr>
            </w:pPr>
            <w:r w:rsidRPr="00875C2A">
              <w:rPr>
                <w:noProof/>
                <w:lang w:val="en-IE"/>
              </w:rPr>
              <w:t>1.1</w:t>
            </w:r>
          </w:p>
        </w:tc>
      </w:tr>
      <w:tr w:rsidR="00DD5E66" w:rsidRPr="00875C2A" w14:paraId="73473F90" w14:textId="77777777" w:rsidTr="006F409B">
        <w:trPr>
          <w:cnfStyle w:val="000000100000" w:firstRow="0" w:lastRow="0" w:firstColumn="0" w:lastColumn="0" w:oddVBand="0" w:evenVBand="0" w:oddHBand="1" w:evenHBand="0" w:firstRowFirstColumn="0" w:firstRowLastColumn="0" w:lastRowFirstColumn="0" w:lastRowLastColumn="0"/>
          <w:trHeight w:val="290"/>
        </w:trPr>
        <w:tc>
          <w:tcPr>
            <w:tcW w:w="2090" w:type="dxa"/>
            <w:noWrap/>
            <w:vAlign w:val="bottom"/>
          </w:tcPr>
          <w:p w14:paraId="1CED703B" w14:textId="10956EE6" w:rsidR="00DD5E66" w:rsidRPr="00875C2A" w:rsidRDefault="00DD5E66" w:rsidP="00DD5E66">
            <w:pPr>
              <w:rPr>
                <w:noProof/>
                <w:lang w:val="en-IE"/>
              </w:rPr>
            </w:pPr>
            <w:r>
              <w:rPr>
                <w:rFonts w:ascii="Calibri" w:hAnsi="Calibri" w:cs="Calibri"/>
                <w:b/>
                <w:bCs/>
                <w:noProof/>
                <w:color w:val="000000"/>
              </w:rPr>
              <w:t>Total</w:t>
            </w:r>
          </w:p>
        </w:tc>
        <w:tc>
          <w:tcPr>
            <w:tcW w:w="943" w:type="dxa"/>
            <w:noWrap/>
            <w:vAlign w:val="bottom"/>
          </w:tcPr>
          <w:p w14:paraId="5BF736F0" w14:textId="48BEBD3B" w:rsidR="00DD5E66" w:rsidRPr="00875C2A" w:rsidRDefault="00DD5E66" w:rsidP="00DD5E66">
            <w:pPr>
              <w:jc w:val="center"/>
              <w:rPr>
                <w:noProof/>
                <w:lang w:val="en-IE"/>
              </w:rPr>
            </w:pPr>
            <w:r>
              <w:rPr>
                <w:rFonts w:ascii="Calibri" w:hAnsi="Calibri" w:cs="Calibri"/>
                <w:b/>
                <w:bCs/>
                <w:noProof/>
                <w:color w:val="000000"/>
              </w:rPr>
              <w:t>739.9</w:t>
            </w:r>
          </w:p>
        </w:tc>
        <w:tc>
          <w:tcPr>
            <w:tcW w:w="944" w:type="dxa"/>
            <w:noWrap/>
            <w:vAlign w:val="bottom"/>
          </w:tcPr>
          <w:p w14:paraId="3603752C" w14:textId="586E5EFE" w:rsidR="00DD5E66" w:rsidRDefault="00DD5E66" w:rsidP="00DD5E66">
            <w:pPr>
              <w:jc w:val="center"/>
              <w:rPr>
                <w:noProof/>
                <w:lang w:val="en-IE"/>
              </w:rPr>
            </w:pPr>
            <w:r>
              <w:rPr>
                <w:rFonts w:ascii="Calibri" w:hAnsi="Calibri" w:cs="Calibri"/>
                <w:b/>
                <w:bCs/>
                <w:noProof/>
                <w:color w:val="000000"/>
              </w:rPr>
              <w:t>755.5</w:t>
            </w:r>
          </w:p>
        </w:tc>
        <w:tc>
          <w:tcPr>
            <w:tcW w:w="943" w:type="dxa"/>
            <w:noWrap/>
            <w:vAlign w:val="bottom"/>
          </w:tcPr>
          <w:p w14:paraId="3DB2E69C" w14:textId="1D3F18F5" w:rsidR="00DD5E66" w:rsidRDefault="00DD5E66" w:rsidP="00DD5E66">
            <w:pPr>
              <w:jc w:val="center"/>
              <w:rPr>
                <w:noProof/>
                <w:lang w:val="en-IE"/>
              </w:rPr>
            </w:pPr>
            <w:r>
              <w:rPr>
                <w:rFonts w:ascii="Calibri" w:hAnsi="Calibri" w:cs="Calibri"/>
                <w:b/>
                <w:bCs/>
                <w:noProof/>
                <w:color w:val="000000"/>
              </w:rPr>
              <w:t>728.3</w:t>
            </w:r>
          </w:p>
        </w:tc>
        <w:tc>
          <w:tcPr>
            <w:tcW w:w="944" w:type="dxa"/>
            <w:noWrap/>
            <w:vAlign w:val="bottom"/>
          </w:tcPr>
          <w:p w14:paraId="1345CF68" w14:textId="18AD2AF3" w:rsidR="00DD5E66" w:rsidRDefault="00DD5E66" w:rsidP="00DD5E66">
            <w:pPr>
              <w:jc w:val="center"/>
              <w:rPr>
                <w:noProof/>
                <w:lang w:val="en-IE"/>
              </w:rPr>
            </w:pPr>
            <w:r>
              <w:rPr>
                <w:rFonts w:ascii="Calibri" w:hAnsi="Calibri" w:cs="Calibri"/>
                <w:b/>
                <w:bCs/>
                <w:noProof/>
                <w:color w:val="000000"/>
              </w:rPr>
              <w:t>751.6</w:t>
            </w:r>
          </w:p>
        </w:tc>
        <w:tc>
          <w:tcPr>
            <w:tcW w:w="944" w:type="dxa"/>
            <w:noWrap/>
            <w:vAlign w:val="bottom"/>
          </w:tcPr>
          <w:p w14:paraId="78328F5C" w14:textId="46556BBE" w:rsidR="00DD5E66" w:rsidRDefault="00DD5E66" w:rsidP="00DD5E66">
            <w:pPr>
              <w:jc w:val="center"/>
              <w:rPr>
                <w:noProof/>
                <w:lang w:val="en-IE"/>
              </w:rPr>
            </w:pPr>
            <w:r>
              <w:rPr>
                <w:rFonts w:ascii="Calibri" w:hAnsi="Calibri" w:cs="Calibri"/>
                <w:b/>
                <w:bCs/>
                <w:noProof/>
                <w:color w:val="000000"/>
              </w:rPr>
              <w:t>783.5</w:t>
            </w:r>
          </w:p>
        </w:tc>
        <w:tc>
          <w:tcPr>
            <w:tcW w:w="943" w:type="dxa"/>
            <w:noWrap/>
            <w:vAlign w:val="bottom"/>
          </w:tcPr>
          <w:p w14:paraId="46B2C0AC" w14:textId="56132C18" w:rsidR="00DD5E66" w:rsidRDefault="00DD5E66" w:rsidP="00DD5E66">
            <w:pPr>
              <w:jc w:val="center"/>
              <w:rPr>
                <w:noProof/>
                <w:lang w:val="en-IE"/>
              </w:rPr>
            </w:pPr>
            <w:r>
              <w:rPr>
                <w:rFonts w:ascii="Calibri" w:hAnsi="Calibri" w:cs="Calibri"/>
                <w:b/>
                <w:bCs/>
                <w:noProof/>
                <w:color w:val="000000"/>
              </w:rPr>
              <w:t>826.6</w:t>
            </w:r>
          </w:p>
        </w:tc>
        <w:tc>
          <w:tcPr>
            <w:tcW w:w="944" w:type="dxa"/>
            <w:noWrap/>
            <w:vAlign w:val="bottom"/>
          </w:tcPr>
          <w:p w14:paraId="529650E3" w14:textId="388F66EA" w:rsidR="00DD5E66" w:rsidRDefault="00DD5E66" w:rsidP="00DD5E66">
            <w:pPr>
              <w:jc w:val="center"/>
              <w:rPr>
                <w:noProof/>
                <w:lang w:val="en-IE"/>
              </w:rPr>
            </w:pPr>
            <w:r>
              <w:rPr>
                <w:rFonts w:ascii="Calibri" w:hAnsi="Calibri" w:cs="Calibri"/>
                <w:b/>
                <w:bCs/>
                <w:noProof/>
                <w:color w:val="000000"/>
              </w:rPr>
              <w:t>871.4</w:t>
            </w:r>
          </w:p>
        </w:tc>
        <w:tc>
          <w:tcPr>
            <w:tcW w:w="944" w:type="dxa"/>
            <w:noWrap/>
            <w:vAlign w:val="bottom"/>
          </w:tcPr>
          <w:p w14:paraId="6BA9FC77" w14:textId="1912F4B3" w:rsidR="00DD5E66" w:rsidRPr="00875C2A" w:rsidRDefault="00DD5E66" w:rsidP="00DD5E66">
            <w:pPr>
              <w:jc w:val="center"/>
              <w:rPr>
                <w:noProof/>
                <w:lang w:val="en-IE"/>
              </w:rPr>
            </w:pPr>
            <w:r>
              <w:rPr>
                <w:rFonts w:ascii="Calibri" w:hAnsi="Calibri" w:cs="Calibri"/>
                <w:b/>
                <w:bCs/>
                <w:noProof/>
                <w:color w:val="000000"/>
              </w:rPr>
              <w:t>5 456.9</w:t>
            </w:r>
          </w:p>
        </w:tc>
      </w:tr>
    </w:tbl>
    <w:p w14:paraId="1B43CC96" w14:textId="77777777" w:rsidR="009B3221" w:rsidRPr="00875C2A" w:rsidRDefault="009B3221" w:rsidP="009B3221">
      <w:pPr>
        <w:tabs>
          <w:tab w:val="left" w:pos="6793"/>
        </w:tabs>
        <w:rPr>
          <w:noProof/>
          <w:sz w:val="18"/>
          <w:szCs w:val="18"/>
          <w:lang w:val="en-IE"/>
        </w:rPr>
      </w:pPr>
      <w:r w:rsidRPr="00875C2A">
        <w:rPr>
          <w:noProof/>
          <w:sz w:val="18"/>
          <w:szCs w:val="18"/>
          <w:lang w:val="en-IE"/>
        </w:rPr>
        <w:t>(*) Only Article</w:t>
      </w:r>
      <w:r w:rsidRPr="00875C2A">
        <w:rPr>
          <w:rFonts w:ascii="Calibri" w:hAnsi="Calibri" w:cs="Calibri"/>
          <w:noProof/>
          <w:sz w:val="18"/>
          <w:szCs w:val="18"/>
          <w:lang w:val="en-IE"/>
        </w:rPr>
        <w:t> </w:t>
      </w:r>
      <w:r w:rsidRPr="00875C2A">
        <w:rPr>
          <w:noProof/>
          <w:sz w:val="18"/>
          <w:szCs w:val="18"/>
          <w:lang w:val="en-IE"/>
        </w:rPr>
        <w:t>15(3) of the financial regulation.</w:t>
      </w:r>
    </w:p>
    <w:p w14:paraId="130C52AA" w14:textId="77777777" w:rsidR="009B3221" w:rsidRPr="00875C2A" w:rsidRDefault="009B3221" w:rsidP="009B3221">
      <w:pPr>
        <w:rPr>
          <w:noProof/>
          <w:lang w:val="en-IE"/>
        </w:rPr>
      </w:pPr>
    </w:p>
    <w:p w14:paraId="5ACBF1C3" w14:textId="26CECC60" w:rsidR="009B3221" w:rsidRPr="00875C2A" w:rsidRDefault="009B3221" w:rsidP="00304A2B">
      <w:pPr>
        <w:pStyle w:val="ppoTableTabletitle"/>
        <w:jc w:val="center"/>
        <w:rPr>
          <w:noProof/>
          <w:lang w:val="en-IE"/>
        </w:rPr>
      </w:pPr>
      <w:r w:rsidRPr="00304A2B">
        <w:rPr>
          <w:noProof/>
          <w:lang w:val="en-IE"/>
        </w:rPr>
        <w:t>Financial programming</w:t>
      </w:r>
      <w:r w:rsidR="004C4764">
        <w:rPr>
          <w:noProof/>
          <w:lang w:val="en-IE"/>
        </w:rPr>
        <w:t>:</w:t>
      </w:r>
      <w:r w:rsidRPr="16733FEF">
        <w:rPr>
          <w:noProof/>
          <w:color w:val="0078D4"/>
          <w:lang w:val="en-IE"/>
        </w:rPr>
        <w:t xml:space="preserve"> </w:t>
      </w:r>
      <w:r w:rsidRPr="16733FEF">
        <w:rPr>
          <w:rStyle w:val="ppocharNaturalGreentext24pt"/>
          <w:noProof/>
          <w:lang w:val="en-IE"/>
        </w:rPr>
        <w:t>+</w:t>
      </w:r>
      <w:r w:rsidRPr="16733FEF">
        <w:rPr>
          <w:rStyle w:val="ppocharNaturalGreentext24pt"/>
          <w:rFonts w:ascii="Calibri" w:hAnsi="Calibri" w:cs="Calibri"/>
          <w:noProof/>
          <w:lang w:val="en-IE"/>
        </w:rPr>
        <w:t> </w:t>
      </w:r>
      <w:r w:rsidRPr="16733FEF">
        <w:rPr>
          <w:rStyle w:val="ppocharNaturalGreentext24pt"/>
          <w:noProof/>
          <w:lang w:val="en-IE"/>
        </w:rPr>
        <w:t>EUR</w:t>
      </w:r>
      <w:r w:rsidRPr="16733FEF">
        <w:rPr>
          <w:rStyle w:val="ppocharNaturalGreentext24pt"/>
          <w:rFonts w:ascii="Calibri" w:hAnsi="Calibri" w:cs="Calibri"/>
          <w:noProof/>
          <w:lang w:val="en-IE"/>
        </w:rPr>
        <w:t> </w:t>
      </w:r>
      <w:r w:rsidR="00DD5E66" w:rsidRPr="00DD5E66">
        <w:rPr>
          <w:rStyle w:val="ppocharNaturalGreentext24pt"/>
          <w:rFonts w:ascii="Calibri" w:hAnsi="Calibri" w:cs="Calibri"/>
          <w:noProof/>
          <w:lang w:val="en-IE"/>
        </w:rPr>
        <w:t>23.8</w:t>
      </w:r>
      <w:r w:rsidRPr="16733FEF">
        <w:rPr>
          <w:rStyle w:val="ppocharNaturalGreentext24pt"/>
          <w:noProof/>
          <w:lang w:val="en-IE"/>
        </w:rPr>
        <w:t>million (+</w:t>
      </w:r>
      <w:r w:rsidRPr="16733FEF">
        <w:rPr>
          <w:rStyle w:val="ppocharNaturalGreentext24pt"/>
          <w:rFonts w:ascii="Calibri" w:hAnsi="Calibri" w:cs="Calibri"/>
          <w:noProof/>
          <w:lang w:val="en-IE"/>
        </w:rPr>
        <w:t> </w:t>
      </w:r>
      <w:r w:rsidR="00DD5E66">
        <w:rPr>
          <w:rStyle w:val="ppocharNaturalGreentext24pt"/>
          <w:rFonts w:ascii="Calibri" w:hAnsi="Calibri" w:cs="Calibri"/>
          <w:noProof/>
          <w:lang w:val="en-IE"/>
        </w:rPr>
        <w:t>0</w:t>
      </w:r>
      <w:r w:rsidRPr="16733FEF">
        <w:rPr>
          <w:rStyle w:val="ppocharNaturalGreentext24pt"/>
          <w:noProof/>
          <w:lang w:val="en-IE"/>
        </w:rPr>
        <w:t xml:space="preserve">%) </w:t>
      </w:r>
      <w:r w:rsidRPr="16733FEF">
        <w:rPr>
          <w:noProof/>
          <w:lang w:val="en-IE"/>
        </w:rPr>
        <w:t>compared to the legal basis.</w:t>
      </w:r>
    </w:p>
    <w:p w14:paraId="5D06B3E8" w14:textId="77777777" w:rsidR="009B3221" w:rsidRPr="00875C2A" w:rsidRDefault="009B3221" w:rsidP="009B3221">
      <w:pPr>
        <w:pStyle w:val="ppoTableTabletitle"/>
        <w:rPr>
          <w:b/>
          <w:noProof/>
          <w:lang w:val="en-IE"/>
        </w:rPr>
      </w:pPr>
      <w:r w:rsidRPr="00875C2A">
        <w:rPr>
          <w:noProof/>
          <w:lang w:val="en-IE"/>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9B3221" w:rsidRPr="00875C2A" w14:paraId="6BE021D4" w14:textId="77777777" w:rsidTr="0083214A">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6530C4F6" w14:textId="77777777" w:rsidR="009B3221" w:rsidRPr="00875C2A" w:rsidRDefault="009B3221" w:rsidP="0083214A">
            <w:pPr>
              <w:rPr>
                <w:noProof/>
                <w:lang w:val="en-IE"/>
              </w:rPr>
            </w:pPr>
          </w:p>
        </w:tc>
        <w:tc>
          <w:tcPr>
            <w:tcW w:w="2410" w:type="dxa"/>
          </w:tcPr>
          <w:p w14:paraId="1B0110F9" w14:textId="77777777" w:rsidR="009B3221" w:rsidRPr="00875C2A" w:rsidRDefault="009B3221" w:rsidP="0083214A">
            <w:pPr>
              <w:cnfStyle w:val="100000000000" w:firstRow="1" w:lastRow="0" w:firstColumn="0" w:lastColumn="0" w:oddVBand="0" w:evenVBand="0" w:oddHBand="0" w:evenHBand="0" w:firstRowFirstColumn="0" w:firstRowLastColumn="0" w:lastRowFirstColumn="0" w:lastRowLastColumn="0"/>
              <w:rPr>
                <w:noProof/>
                <w:lang w:val="en-IE"/>
              </w:rPr>
            </w:pPr>
            <w:r w:rsidRPr="00875C2A">
              <w:rPr>
                <w:noProof/>
                <w:lang w:val="en-IE"/>
              </w:rPr>
              <w:t>Implementation</w:t>
            </w:r>
          </w:p>
        </w:tc>
        <w:tc>
          <w:tcPr>
            <w:tcW w:w="2410" w:type="dxa"/>
          </w:tcPr>
          <w:p w14:paraId="12F4E0C0" w14:textId="0B1799D5" w:rsidR="009B3221" w:rsidRPr="00875C2A" w:rsidRDefault="003821C6" w:rsidP="0083214A">
            <w:pPr>
              <w:cnfStyle w:val="100000000000" w:firstRow="1" w:lastRow="0" w:firstColumn="0" w:lastColumn="0" w:oddVBand="0" w:evenVBand="0" w:oddHBand="0" w:evenHBand="0" w:firstRowFirstColumn="0" w:firstRowLastColumn="0" w:lastRowFirstColumn="0" w:lastRowLastColumn="0"/>
              <w:rPr>
                <w:noProof/>
                <w:lang w:val="en-IE"/>
              </w:rPr>
            </w:pPr>
            <w:r>
              <w:rPr>
                <w:noProof/>
              </w:rPr>
              <w:t xml:space="preserve">2021-2027 </w:t>
            </w:r>
            <w:r w:rsidR="009B3221" w:rsidRPr="00875C2A">
              <w:rPr>
                <w:noProof/>
                <w:lang w:val="en-IE"/>
              </w:rPr>
              <w:t>Budget</w:t>
            </w:r>
          </w:p>
        </w:tc>
        <w:tc>
          <w:tcPr>
            <w:tcW w:w="2410" w:type="dxa"/>
          </w:tcPr>
          <w:p w14:paraId="575ED361" w14:textId="77777777" w:rsidR="009B3221" w:rsidRPr="00875C2A" w:rsidRDefault="009B3221" w:rsidP="0083214A">
            <w:pPr>
              <w:cnfStyle w:val="100000000000" w:firstRow="1" w:lastRow="0" w:firstColumn="0" w:lastColumn="0" w:oddVBand="0" w:evenVBand="0" w:oddHBand="0" w:evenHBand="0" w:firstRowFirstColumn="0" w:firstRowLastColumn="0" w:lastRowFirstColumn="0" w:lastRowLastColumn="0"/>
              <w:rPr>
                <w:noProof/>
                <w:lang w:val="en-IE"/>
              </w:rPr>
            </w:pPr>
            <w:r w:rsidRPr="00875C2A">
              <w:rPr>
                <w:noProof/>
                <w:lang w:val="en-IE"/>
              </w:rPr>
              <w:t>Implementation rate</w:t>
            </w:r>
          </w:p>
        </w:tc>
      </w:tr>
      <w:tr w:rsidR="009B3221" w:rsidRPr="00875C2A" w14:paraId="21252FA7"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107EA9F2" w14:textId="77777777" w:rsidR="009B3221" w:rsidRPr="00875C2A" w:rsidRDefault="009B3221" w:rsidP="0083214A">
            <w:pPr>
              <w:jc w:val="center"/>
              <w:rPr>
                <w:noProof/>
                <w:lang w:val="en-IE"/>
              </w:rPr>
            </w:pPr>
            <w:r w:rsidRPr="00875C2A">
              <w:rPr>
                <w:noProof/>
                <w:lang w:val="en-IE"/>
              </w:rPr>
              <w:t>Commitments</w:t>
            </w:r>
          </w:p>
        </w:tc>
        <w:tc>
          <w:tcPr>
            <w:tcW w:w="2410" w:type="dxa"/>
          </w:tcPr>
          <w:tbl>
            <w:tblPr>
              <w:tblStyle w:val="TableGrid"/>
              <w:tblW w:w="0" w:type="auto"/>
              <w:tblLook w:val="06A0" w:firstRow="1" w:lastRow="0" w:firstColumn="1" w:lastColumn="0" w:noHBand="1" w:noVBand="1"/>
            </w:tblPr>
            <w:tblGrid>
              <w:gridCol w:w="2194"/>
            </w:tblGrid>
            <w:tr w:rsidR="009B3221" w:rsidRPr="00875C2A" w14:paraId="5AB12310" w14:textId="77777777" w:rsidTr="0083214A">
              <w:trPr>
                <w:trHeight w:val="285"/>
              </w:trPr>
              <w:tc>
                <w:tcPr>
                  <w:tcW w:w="2290" w:type="dxa"/>
                  <w:tcBorders>
                    <w:top w:val="nil"/>
                    <w:left w:val="nil"/>
                    <w:bottom w:val="nil"/>
                    <w:right w:val="nil"/>
                  </w:tcBorders>
                  <w:vAlign w:val="bottom"/>
                </w:tcPr>
                <w:tbl>
                  <w:tblPr>
                    <w:tblStyle w:val="TableGrid"/>
                    <w:tblW w:w="0" w:type="auto"/>
                    <w:tblLook w:val="06A0" w:firstRow="1" w:lastRow="0" w:firstColumn="1" w:lastColumn="0" w:noHBand="1" w:noVBand="1"/>
                  </w:tblPr>
                  <w:tblGrid>
                    <w:gridCol w:w="1978"/>
                  </w:tblGrid>
                  <w:tr w:rsidR="009B3221" w:rsidRPr="00875C2A" w14:paraId="4D6B3E23" w14:textId="77777777" w:rsidTr="0083214A">
                    <w:trPr>
                      <w:trHeight w:val="285"/>
                    </w:trPr>
                    <w:tc>
                      <w:tcPr>
                        <w:tcW w:w="2170" w:type="dxa"/>
                        <w:tcBorders>
                          <w:top w:val="nil"/>
                          <w:left w:val="nil"/>
                          <w:bottom w:val="nil"/>
                          <w:right w:val="nil"/>
                        </w:tcBorders>
                        <w:vAlign w:val="bottom"/>
                      </w:tcPr>
                      <w:p w14:paraId="664A59FD" w14:textId="77777777" w:rsidR="009B3221" w:rsidRPr="00875C2A" w:rsidRDefault="009B3221" w:rsidP="0083214A">
                        <w:pPr>
                          <w:spacing w:before="100" w:after="100"/>
                          <w:jc w:val="center"/>
                          <w:rPr>
                            <w:noProof/>
                            <w:lang w:val="en-IE"/>
                          </w:rPr>
                        </w:pPr>
                        <w:r w:rsidRPr="00875C2A">
                          <w:rPr>
                            <w:noProof/>
                            <w:lang w:val="en-IE"/>
                          </w:rPr>
                          <w:t>739.8</w:t>
                        </w:r>
                      </w:p>
                    </w:tc>
                  </w:tr>
                </w:tbl>
                <w:p w14:paraId="263BAEE4" w14:textId="77777777" w:rsidR="009B3221" w:rsidRPr="00875C2A" w:rsidRDefault="009B3221" w:rsidP="0083214A">
                  <w:pPr>
                    <w:rPr>
                      <w:rFonts w:ascii="Calibri" w:hAnsi="Calibri" w:cs="Calibri"/>
                      <w:noProof/>
                      <w:color w:val="000000"/>
                      <w:lang w:val="en-IE"/>
                    </w:rPr>
                  </w:pPr>
                </w:p>
              </w:tc>
            </w:tr>
          </w:tbl>
          <w:p w14:paraId="589B0C88" w14:textId="77777777" w:rsidR="009B3221" w:rsidRPr="00875C2A" w:rsidRDefault="009B3221"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9B3221" w:rsidRPr="00875C2A" w14:paraId="61834911" w14:textId="77777777" w:rsidTr="0083214A">
              <w:trPr>
                <w:trHeight w:val="285"/>
              </w:trPr>
              <w:tc>
                <w:tcPr>
                  <w:tcW w:w="2290" w:type="dxa"/>
                  <w:tcBorders>
                    <w:top w:val="nil"/>
                    <w:left w:val="nil"/>
                    <w:bottom w:val="nil"/>
                    <w:right w:val="nil"/>
                  </w:tcBorders>
                  <w:vAlign w:val="bottom"/>
                </w:tcPr>
                <w:p w14:paraId="4F3C9093" w14:textId="77777777" w:rsidR="009B3221" w:rsidRPr="00875C2A" w:rsidRDefault="009B3221" w:rsidP="0083214A">
                  <w:pPr>
                    <w:spacing w:before="100" w:after="100"/>
                    <w:jc w:val="center"/>
                    <w:rPr>
                      <w:noProof/>
                      <w:lang w:val="en-IE"/>
                    </w:rPr>
                  </w:pPr>
                  <w:r w:rsidRPr="00875C2A">
                    <w:rPr>
                      <w:noProof/>
                      <w:lang w:val="en-IE"/>
                    </w:rPr>
                    <w:t>5</w:t>
                  </w:r>
                  <w:r w:rsidRPr="00875C2A">
                    <w:rPr>
                      <w:rFonts w:ascii="Calibri" w:hAnsi="Calibri" w:cs="Calibri"/>
                      <w:noProof/>
                      <w:lang w:val="en-IE"/>
                    </w:rPr>
                    <w:t> </w:t>
                  </w:r>
                  <w:r w:rsidRPr="00875C2A">
                    <w:rPr>
                      <w:noProof/>
                      <w:lang w:val="en-IE"/>
                    </w:rPr>
                    <w:t>461.7</w:t>
                  </w:r>
                </w:p>
              </w:tc>
            </w:tr>
          </w:tbl>
          <w:p w14:paraId="04970013" w14:textId="77777777" w:rsidR="009B3221" w:rsidRPr="00875C2A" w:rsidRDefault="009B3221"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9B3221" w:rsidRPr="00875C2A" w14:paraId="531B424A" w14:textId="77777777" w:rsidTr="0083214A">
              <w:trPr>
                <w:trHeight w:val="285"/>
              </w:trPr>
              <w:tc>
                <w:tcPr>
                  <w:tcW w:w="2290" w:type="dxa"/>
                  <w:tcBorders>
                    <w:top w:val="nil"/>
                    <w:left w:val="nil"/>
                    <w:bottom w:val="nil"/>
                    <w:right w:val="nil"/>
                  </w:tcBorders>
                  <w:vAlign w:val="bottom"/>
                </w:tcPr>
                <w:p w14:paraId="2FEA85C9" w14:textId="77777777" w:rsidR="009B3221" w:rsidRPr="00875C2A" w:rsidRDefault="009B3221" w:rsidP="0083214A">
                  <w:pPr>
                    <w:spacing w:before="100" w:after="100"/>
                    <w:jc w:val="center"/>
                    <w:rPr>
                      <w:noProof/>
                      <w:lang w:val="en-IE"/>
                    </w:rPr>
                  </w:pPr>
                  <w:r w:rsidRPr="00875C2A">
                    <w:rPr>
                      <w:noProof/>
                      <w:lang w:val="en-IE"/>
                    </w:rPr>
                    <w:t>14%</w:t>
                  </w:r>
                </w:p>
              </w:tc>
            </w:tr>
          </w:tbl>
          <w:p w14:paraId="57CAFBA8" w14:textId="77777777" w:rsidR="009B3221" w:rsidRPr="00875C2A" w:rsidRDefault="009B3221"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r>
      <w:tr w:rsidR="009B3221" w:rsidRPr="00875C2A" w14:paraId="33DA9EFA"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2AA1E86B" w14:textId="77777777" w:rsidR="009B3221" w:rsidRPr="00875C2A" w:rsidRDefault="009B3221" w:rsidP="0083214A">
            <w:pPr>
              <w:jc w:val="center"/>
              <w:rPr>
                <w:noProof/>
                <w:lang w:val="en-IE"/>
              </w:rPr>
            </w:pPr>
            <w:r w:rsidRPr="00875C2A">
              <w:rPr>
                <w:noProof/>
                <w:lang w:val="en-IE"/>
              </w:rPr>
              <w:t>Payments</w:t>
            </w:r>
          </w:p>
        </w:tc>
        <w:tc>
          <w:tcPr>
            <w:tcW w:w="2410" w:type="dxa"/>
          </w:tcPr>
          <w:tbl>
            <w:tblPr>
              <w:tblStyle w:val="TableGrid"/>
              <w:tblW w:w="0" w:type="auto"/>
              <w:tblLook w:val="06A0" w:firstRow="1" w:lastRow="0" w:firstColumn="1" w:lastColumn="0" w:noHBand="1" w:noVBand="1"/>
            </w:tblPr>
            <w:tblGrid>
              <w:gridCol w:w="2194"/>
            </w:tblGrid>
            <w:tr w:rsidR="009B3221" w:rsidRPr="00875C2A" w14:paraId="570C8020" w14:textId="77777777" w:rsidTr="0083214A">
              <w:trPr>
                <w:trHeight w:val="285"/>
              </w:trPr>
              <w:tc>
                <w:tcPr>
                  <w:tcW w:w="2290" w:type="dxa"/>
                  <w:tcBorders>
                    <w:top w:val="nil"/>
                    <w:left w:val="nil"/>
                    <w:bottom w:val="nil"/>
                    <w:right w:val="nil"/>
                  </w:tcBorders>
                  <w:vAlign w:val="bottom"/>
                </w:tcPr>
                <w:p w14:paraId="205E270A" w14:textId="77777777" w:rsidR="009B3221" w:rsidRPr="00875C2A" w:rsidRDefault="009B3221" w:rsidP="0083214A">
                  <w:pPr>
                    <w:spacing w:before="100" w:after="100"/>
                    <w:jc w:val="center"/>
                    <w:rPr>
                      <w:noProof/>
                      <w:lang w:val="en-IE"/>
                    </w:rPr>
                  </w:pPr>
                  <w:r w:rsidRPr="00875C2A">
                    <w:rPr>
                      <w:noProof/>
                      <w:lang w:val="en-IE"/>
                    </w:rPr>
                    <w:t>22.8</w:t>
                  </w:r>
                </w:p>
              </w:tc>
            </w:tr>
          </w:tbl>
          <w:p w14:paraId="159C2F22" w14:textId="77777777" w:rsidR="009B3221" w:rsidRPr="00875C2A" w:rsidRDefault="009B3221"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p w14:paraId="23C8E739" w14:textId="77777777" w:rsidR="009B3221" w:rsidRPr="00875C2A" w:rsidRDefault="009B3221"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9B3221" w:rsidRPr="00875C2A" w14:paraId="5E085914" w14:textId="77777777" w:rsidTr="0083214A">
              <w:trPr>
                <w:trHeight w:val="285"/>
              </w:trPr>
              <w:tc>
                <w:tcPr>
                  <w:tcW w:w="2235" w:type="dxa"/>
                  <w:tcBorders>
                    <w:top w:val="nil"/>
                    <w:left w:val="nil"/>
                    <w:bottom w:val="nil"/>
                    <w:right w:val="nil"/>
                  </w:tcBorders>
                  <w:vAlign w:val="bottom"/>
                </w:tcPr>
                <w:p w14:paraId="6D5B2E33" w14:textId="77777777" w:rsidR="009B3221" w:rsidRPr="00875C2A" w:rsidRDefault="009B3221" w:rsidP="0083214A">
                  <w:pPr>
                    <w:spacing w:before="100" w:after="100"/>
                    <w:jc w:val="center"/>
                    <w:rPr>
                      <w:noProof/>
                      <w:lang w:val="en-IE"/>
                    </w:rPr>
                  </w:pPr>
                  <w:r w:rsidRPr="00875C2A">
                    <w:rPr>
                      <w:noProof/>
                      <w:lang w:val="en-IE"/>
                    </w:rPr>
                    <w:t>0%</w:t>
                  </w:r>
                </w:p>
              </w:tc>
            </w:tr>
          </w:tbl>
          <w:p w14:paraId="014E4C88" w14:textId="77777777" w:rsidR="009B3221" w:rsidRPr="00875C2A" w:rsidRDefault="009B3221"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r>
    </w:tbl>
    <w:p w14:paraId="65119EAE" w14:textId="77777777" w:rsidR="009B3221" w:rsidRPr="00875C2A" w:rsidRDefault="009B3221" w:rsidP="009B3221">
      <w:pPr>
        <w:pStyle w:val="ppoTableTabletitle"/>
        <w:rPr>
          <w:b/>
          <w:noProof/>
          <w:lang w:val="en-IE"/>
        </w:rPr>
      </w:pPr>
      <w:r w:rsidRPr="00875C2A">
        <w:rPr>
          <w:noProof/>
          <w:lang w:val="en-IE"/>
        </w:rPr>
        <w:t>Voted budget implementation in 2021 (million EUR):</w:t>
      </w:r>
    </w:p>
    <w:tbl>
      <w:tblPr>
        <w:tblStyle w:val="PPO2021"/>
        <w:tblW w:w="3683" w:type="pct"/>
        <w:tblInd w:w="79" w:type="dxa"/>
        <w:tblLook w:val="04A0" w:firstRow="1" w:lastRow="0" w:firstColumn="1" w:lastColumn="0" w:noHBand="0" w:noVBand="1"/>
      </w:tblPr>
      <w:tblGrid>
        <w:gridCol w:w="2419"/>
        <w:gridCol w:w="2419"/>
        <w:gridCol w:w="2420"/>
      </w:tblGrid>
      <w:tr w:rsidR="009B3221" w:rsidRPr="00875C2A" w14:paraId="7FFA19C5" w14:textId="77777777" w:rsidTr="008321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700177F3" w14:textId="77777777" w:rsidR="009B3221" w:rsidRPr="00875C2A" w:rsidRDefault="009B3221" w:rsidP="0083214A">
            <w:pPr>
              <w:rPr>
                <w:noProof/>
                <w:lang w:val="en-IE"/>
              </w:rPr>
            </w:pPr>
          </w:p>
        </w:tc>
        <w:tc>
          <w:tcPr>
            <w:tcW w:w="2419" w:type="dxa"/>
          </w:tcPr>
          <w:p w14:paraId="03639BAB" w14:textId="77777777" w:rsidR="009B3221" w:rsidRPr="00875C2A" w:rsidRDefault="009B3221" w:rsidP="0083214A">
            <w:pPr>
              <w:cnfStyle w:val="100000000000" w:firstRow="1" w:lastRow="0" w:firstColumn="0" w:lastColumn="0" w:oddVBand="0" w:evenVBand="0" w:oddHBand="0" w:evenHBand="0" w:firstRowFirstColumn="0" w:firstRowLastColumn="0" w:lastRowFirstColumn="0" w:lastRowLastColumn="0"/>
              <w:rPr>
                <w:noProof/>
                <w:lang w:val="en-IE"/>
              </w:rPr>
            </w:pPr>
            <w:r w:rsidRPr="00875C2A">
              <w:rPr>
                <w:noProof/>
                <w:lang w:val="en-IE"/>
              </w:rPr>
              <w:t>Voted budget implementation</w:t>
            </w:r>
          </w:p>
        </w:tc>
        <w:tc>
          <w:tcPr>
            <w:tcW w:w="2420" w:type="dxa"/>
          </w:tcPr>
          <w:p w14:paraId="1F57A24D" w14:textId="77777777" w:rsidR="009B3221" w:rsidRPr="00875C2A" w:rsidRDefault="009B3221" w:rsidP="0083214A">
            <w:pPr>
              <w:cnfStyle w:val="100000000000" w:firstRow="1" w:lastRow="0" w:firstColumn="0" w:lastColumn="0" w:oddVBand="0" w:evenVBand="0" w:oddHBand="0" w:evenHBand="0" w:firstRowFirstColumn="0" w:firstRowLastColumn="0" w:lastRowFirstColumn="0" w:lastRowLastColumn="0"/>
              <w:rPr>
                <w:noProof/>
                <w:lang w:val="en-IE"/>
              </w:rPr>
            </w:pPr>
            <w:r w:rsidRPr="00875C2A">
              <w:rPr>
                <w:noProof/>
                <w:lang w:val="en-IE"/>
              </w:rPr>
              <w:t>Initial voted budget</w:t>
            </w:r>
          </w:p>
        </w:tc>
      </w:tr>
      <w:tr w:rsidR="009B3221" w:rsidRPr="00875C2A" w14:paraId="669136E9" w14:textId="77777777" w:rsidTr="0083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38BB8471" w14:textId="77777777" w:rsidR="009B3221" w:rsidRPr="00875C2A" w:rsidRDefault="009B3221" w:rsidP="0083214A">
            <w:pPr>
              <w:jc w:val="center"/>
              <w:rPr>
                <w:noProof/>
                <w:lang w:val="en-IE"/>
              </w:rPr>
            </w:pPr>
            <w:r w:rsidRPr="00875C2A">
              <w:rPr>
                <w:noProof/>
                <w:lang w:val="en-IE"/>
              </w:rPr>
              <w:t>Commitments</w:t>
            </w:r>
          </w:p>
        </w:tc>
        <w:tc>
          <w:tcPr>
            <w:tcW w:w="2419" w:type="dxa"/>
          </w:tcPr>
          <w:p w14:paraId="0CD4AFDB" w14:textId="77777777" w:rsidR="009B3221" w:rsidRPr="00875C2A" w:rsidRDefault="009B3221" w:rsidP="0083214A">
            <w:pPr>
              <w:jc w:val="center"/>
              <w:cnfStyle w:val="000000100000" w:firstRow="0" w:lastRow="0" w:firstColumn="0" w:lastColumn="0" w:oddVBand="0" w:evenVBand="0" w:oddHBand="1" w:evenHBand="0" w:firstRowFirstColumn="0" w:firstRowLastColumn="0" w:lastRowFirstColumn="0" w:lastRowLastColumn="0"/>
              <w:rPr>
                <w:noProof/>
                <w:lang w:val="en-IE"/>
              </w:rPr>
            </w:pPr>
            <w:r w:rsidRPr="00875C2A">
              <w:rPr>
                <w:noProof/>
                <w:lang w:val="en-IE"/>
              </w:rPr>
              <w:t>738.7</w:t>
            </w:r>
          </w:p>
        </w:tc>
        <w:tc>
          <w:tcPr>
            <w:tcW w:w="2420" w:type="dxa"/>
          </w:tcPr>
          <w:p w14:paraId="566B1F00" w14:textId="77777777" w:rsidR="009B3221" w:rsidRPr="00875C2A" w:rsidRDefault="009B3221" w:rsidP="0083214A">
            <w:pPr>
              <w:jc w:val="center"/>
              <w:cnfStyle w:val="000000100000" w:firstRow="0" w:lastRow="0" w:firstColumn="0" w:lastColumn="0" w:oddVBand="0" w:evenVBand="0" w:oddHBand="1" w:evenHBand="0" w:firstRowFirstColumn="0" w:firstRowLastColumn="0" w:lastRowFirstColumn="0" w:lastRowLastColumn="0"/>
              <w:rPr>
                <w:noProof/>
                <w:lang w:val="en-IE"/>
              </w:rPr>
            </w:pPr>
            <w:r w:rsidRPr="00875C2A">
              <w:rPr>
                <w:noProof/>
                <w:lang w:val="en-IE"/>
              </w:rPr>
              <w:t>738.5</w:t>
            </w:r>
          </w:p>
        </w:tc>
      </w:tr>
      <w:tr w:rsidR="009B3221" w:rsidRPr="00875C2A" w14:paraId="706EFF81" w14:textId="77777777" w:rsidTr="00832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6BF488C5" w14:textId="77777777" w:rsidR="009B3221" w:rsidRPr="00875C2A" w:rsidRDefault="009B3221" w:rsidP="0083214A">
            <w:pPr>
              <w:jc w:val="center"/>
              <w:rPr>
                <w:noProof/>
                <w:lang w:val="en-IE"/>
              </w:rPr>
            </w:pPr>
            <w:r w:rsidRPr="00875C2A">
              <w:rPr>
                <w:noProof/>
                <w:lang w:val="en-IE"/>
              </w:rPr>
              <w:t>Payments</w:t>
            </w:r>
          </w:p>
        </w:tc>
        <w:tc>
          <w:tcPr>
            <w:tcW w:w="2419" w:type="dxa"/>
          </w:tcPr>
          <w:p w14:paraId="1F2FDEA3" w14:textId="77777777" w:rsidR="009B3221" w:rsidRPr="00875C2A" w:rsidRDefault="009B3221" w:rsidP="0083214A">
            <w:pPr>
              <w:jc w:val="center"/>
              <w:cnfStyle w:val="000000010000" w:firstRow="0" w:lastRow="0" w:firstColumn="0" w:lastColumn="0" w:oddVBand="0" w:evenVBand="0" w:oddHBand="0" w:evenHBand="1" w:firstRowFirstColumn="0" w:firstRowLastColumn="0" w:lastRowFirstColumn="0" w:lastRowLastColumn="0"/>
              <w:rPr>
                <w:noProof/>
                <w:lang w:val="en-IE"/>
              </w:rPr>
            </w:pPr>
            <w:r w:rsidRPr="00875C2A">
              <w:rPr>
                <w:noProof/>
                <w:lang w:val="en-IE"/>
              </w:rPr>
              <w:t>22.8</w:t>
            </w:r>
          </w:p>
        </w:tc>
        <w:tc>
          <w:tcPr>
            <w:tcW w:w="2420" w:type="dxa"/>
          </w:tcPr>
          <w:p w14:paraId="0A7CCA71" w14:textId="77777777" w:rsidR="009B3221" w:rsidRPr="00875C2A" w:rsidRDefault="009B3221" w:rsidP="0083214A">
            <w:pPr>
              <w:jc w:val="center"/>
              <w:cnfStyle w:val="000000010000" w:firstRow="0" w:lastRow="0" w:firstColumn="0" w:lastColumn="0" w:oddVBand="0" w:evenVBand="0" w:oddHBand="0" w:evenHBand="1" w:firstRowFirstColumn="0" w:firstRowLastColumn="0" w:lastRowFirstColumn="0" w:lastRowLastColumn="0"/>
              <w:rPr>
                <w:noProof/>
                <w:lang w:val="en-IE"/>
              </w:rPr>
            </w:pPr>
            <w:r w:rsidRPr="00875C2A">
              <w:rPr>
                <w:noProof/>
                <w:lang w:val="en-IE"/>
              </w:rPr>
              <w:t>43.5</w:t>
            </w:r>
          </w:p>
        </w:tc>
      </w:tr>
    </w:tbl>
    <w:p w14:paraId="6D4CE961" w14:textId="77777777" w:rsidR="009B3221" w:rsidRPr="00875C2A" w:rsidRDefault="009B3221" w:rsidP="009B3221">
      <w:pPr>
        <w:pStyle w:val="ppoListHyphened-L1"/>
        <w:rPr>
          <w:noProof/>
          <w:lang w:val="en-IE"/>
        </w:rPr>
      </w:pPr>
      <w:r w:rsidRPr="00875C2A">
        <w:rPr>
          <w:noProof/>
          <w:lang w:val="en-IE"/>
        </w:rPr>
        <w:t>Despite the late agreement reached on the multiannual financial framework, the LIFE programme regulation was adopted on 29</w:t>
      </w:r>
      <w:r w:rsidRPr="00875C2A">
        <w:rPr>
          <w:rFonts w:ascii="Calibri" w:hAnsi="Calibri" w:cs="Calibri"/>
          <w:noProof/>
          <w:lang w:val="en-IE"/>
        </w:rPr>
        <w:t> </w:t>
      </w:r>
      <w:r w:rsidRPr="00875C2A">
        <w:rPr>
          <w:noProof/>
          <w:lang w:val="en-IE"/>
        </w:rPr>
        <w:t>April 2021.</w:t>
      </w:r>
    </w:p>
    <w:p w14:paraId="3AA20F45" w14:textId="77777777" w:rsidR="009B3221" w:rsidRPr="00875C2A" w:rsidRDefault="009B3221" w:rsidP="009B3221">
      <w:pPr>
        <w:pStyle w:val="ppoListHyphened-L1"/>
        <w:rPr>
          <w:noProof/>
          <w:lang w:val="en-IE"/>
        </w:rPr>
      </w:pPr>
      <w:r w:rsidRPr="00875C2A">
        <w:rPr>
          <w:noProof/>
          <w:lang w:val="en-IE"/>
        </w:rPr>
        <w:t>Thanks to close collaboration with the Member States within the LIFE Committee, the Commission managed the adoption of the first multiannual work programme on 9</w:t>
      </w:r>
      <w:r w:rsidRPr="00875C2A">
        <w:rPr>
          <w:rFonts w:ascii="Calibri" w:hAnsi="Calibri" w:cs="Calibri"/>
          <w:noProof/>
          <w:lang w:val="en-IE"/>
        </w:rPr>
        <w:t> </w:t>
      </w:r>
      <w:r w:rsidRPr="00875C2A">
        <w:rPr>
          <w:noProof/>
          <w:lang w:val="en-IE"/>
        </w:rPr>
        <w:t>July 2021. The calls for proposals for action grants, new framework partnership agreements and operating grants were launched immediately thereafter. A limited number of small technical assistance projects was signed in 2021 and the bulk of the grant agreements will be concluded throughout 2022. Procurement activities resumed in July, leading to the signature of service contracts, studies and other items that will underpin environmental and climate policies.</w:t>
      </w:r>
    </w:p>
    <w:p w14:paraId="7630AC98" w14:textId="77777777" w:rsidR="009B3221" w:rsidRPr="00875C2A" w:rsidRDefault="009B3221" w:rsidP="009B3221">
      <w:pPr>
        <w:pStyle w:val="ppoListHyphened-L1"/>
        <w:rPr>
          <w:noProof/>
          <w:lang w:val="en-IE"/>
        </w:rPr>
      </w:pPr>
      <w:r w:rsidRPr="00875C2A">
        <w:rPr>
          <w:noProof/>
          <w:lang w:val="en-IE"/>
        </w:rPr>
        <w:t>The bulk of 2022 appropriations</w:t>
      </w:r>
      <w:r w:rsidRPr="00875C2A">
        <w:rPr>
          <w:rFonts w:ascii="Calibri" w:hAnsi="Calibri" w:cs="Calibri"/>
          <w:noProof/>
          <w:lang w:val="en-IE"/>
        </w:rPr>
        <w:t> –</w:t>
      </w:r>
      <w:r w:rsidRPr="00875C2A">
        <w:rPr>
          <w:noProof/>
          <w:lang w:val="en-IE"/>
        </w:rPr>
        <w:t xml:space="preserve"> more than 80% of the budget</w:t>
      </w:r>
      <w:r w:rsidRPr="00875C2A">
        <w:rPr>
          <w:rFonts w:ascii="Calibri" w:hAnsi="Calibri" w:cs="Calibri"/>
          <w:noProof/>
          <w:lang w:val="en-IE"/>
        </w:rPr>
        <w:t> –</w:t>
      </w:r>
      <w:r w:rsidRPr="00875C2A">
        <w:rPr>
          <w:noProof/>
          <w:lang w:val="en-IE"/>
        </w:rPr>
        <w:t xml:space="preserve"> is used to finance different types of projects submitted by EU private and public organisations. Approximately 17% of the budget is for the financing of procurement contracts to support the work on environment, climate and energy legislation and policies and 3% of the budget is devoted to the provision of technical assistance for facilitating green investments.</w:t>
      </w:r>
    </w:p>
    <w:p w14:paraId="445A3DF4" w14:textId="77777777" w:rsidR="009B3221" w:rsidRPr="00875C2A" w:rsidRDefault="009B3221" w:rsidP="009B3221">
      <w:pPr>
        <w:pStyle w:val="ppoListHyphened-L1"/>
        <w:rPr>
          <w:noProof/>
          <w:lang w:val="en-IE"/>
        </w:rPr>
      </w:pPr>
      <w:r w:rsidRPr="00875C2A">
        <w:rPr>
          <w:noProof/>
          <w:lang w:val="en-IE"/>
        </w:rPr>
        <w:t xml:space="preserve">In 2023, approximately </w:t>
      </w:r>
      <w:bookmarkStart w:id="183" w:name="_Hlk101779965"/>
      <w:r w:rsidRPr="00875C2A">
        <w:rPr>
          <w:noProof/>
          <w:lang w:val="en-IE"/>
        </w:rPr>
        <w:t>EUR</w:t>
      </w:r>
      <w:r w:rsidRPr="00875C2A">
        <w:rPr>
          <w:rFonts w:ascii="Calibri" w:hAnsi="Calibri" w:cs="Calibri"/>
          <w:noProof/>
          <w:lang w:val="en-IE"/>
        </w:rPr>
        <w:t> </w:t>
      </w:r>
      <w:r w:rsidRPr="00875C2A">
        <w:rPr>
          <w:noProof/>
          <w:lang w:val="en-IE"/>
        </w:rPr>
        <w:t>600</w:t>
      </w:r>
      <w:r w:rsidRPr="00875C2A">
        <w:rPr>
          <w:rFonts w:ascii="Calibri" w:hAnsi="Calibri" w:cs="Calibri"/>
          <w:noProof/>
          <w:lang w:val="en-IE"/>
        </w:rPr>
        <w:t> </w:t>
      </w:r>
      <w:r w:rsidRPr="00875C2A">
        <w:rPr>
          <w:noProof/>
          <w:lang w:val="en-IE"/>
        </w:rPr>
        <w:t xml:space="preserve">million will finance </w:t>
      </w:r>
      <w:r>
        <w:rPr>
          <w:noProof/>
        </w:rPr>
        <w:t>some</w:t>
      </w:r>
      <w:r w:rsidRPr="00875C2A">
        <w:rPr>
          <w:noProof/>
          <w:lang w:val="en-IE"/>
        </w:rPr>
        <w:t xml:space="preserve"> 200 projects on </w:t>
      </w:r>
      <w:bookmarkEnd w:id="183"/>
      <w:r w:rsidRPr="00875C2A">
        <w:rPr>
          <w:noProof/>
          <w:lang w:val="en-IE"/>
        </w:rPr>
        <w:t xml:space="preserve">nature and biodiversity (40% of the budget), on the </w:t>
      </w:r>
      <w:bookmarkStart w:id="184" w:name="_Hlk101784406"/>
      <w:r w:rsidRPr="00875C2A">
        <w:rPr>
          <w:noProof/>
          <w:lang w:val="en-IE"/>
        </w:rPr>
        <w:t>circular economy and quality of the air, water</w:t>
      </w:r>
      <w:r>
        <w:rPr>
          <w:noProof/>
          <w:lang w:val="en-IE"/>
        </w:rPr>
        <w:t xml:space="preserve">, </w:t>
      </w:r>
      <w:r w:rsidRPr="006B5B9B">
        <w:rPr>
          <w:noProof/>
          <w:lang w:val="en-IE"/>
        </w:rPr>
        <w:t>soil etc.</w:t>
      </w:r>
      <w:r w:rsidRPr="00875C2A">
        <w:rPr>
          <w:noProof/>
          <w:lang w:val="en-IE"/>
        </w:rPr>
        <w:t xml:space="preserve"> (26%)</w:t>
      </w:r>
      <w:bookmarkEnd w:id="184"/>
      <w:r w:rsidRPr="00875C2A">
        <w:rPr>
          <w:noProof/>
          <w:lang w:val="en-IE"/>
        </w:rPr>
        <w:t>, on climate mitigation and adaptation (18%) and on sustainable energy (16%). In addition, approximately EUR</w:t>
      </w:r>
      <w:r w:rsidRPr="00875C2A">
        <w:rPr>
          <w:rFonts w:ascii="Calibri" w:hAnsi="Calibri" w:cs="Calibri"/>
          <w:noProof/>
          <w:lang w:val="en-IE"/>
        </w:rPr>
        <w:t> </w:t>
      </w:r>
      <w:r w:rsidRPr="00875C2A">
        <w:rPr>
          <w:noProof/>
          <w:lang w:val="en-IE"/>
        </w:rPr>
        <w:t>90</w:t>
      </w:r>
      <w:r w:rsidRPr="00875C2A">
        <w:rPr>
          <w:rFonts w:ascii="Calibri" w:hAnsi="Calibri" w:cs="Calibri"/>
          <w:noProof/>
          <w:lang w:val="en-IE"/>
        </w:rPr>
        <w:t> </w:t>
      </w:r>
      <w:r w:rsidRPr="00875C2A">
        <w:rPr>
          <w:noProof/>
          <w:lang w:val="en-IE"/>
        </w:rPr>
        <w:t>million will be used to prepare, implement, monitor and evaluate new legislation and policies in the environment and climate fields. These outsourced activities are mainly procurement contracts with service providers or administrative agreements with the Joint Research Cent</w:t>
      </w:r>
      <w:r>
        <w:rPr>
          <w:noProof/>
          <w:lang w:val="en-IE"/>
        </w:rPr>
        <w:t>r</w:t>
      </w:r>
      <w:r w:rsidRPr="00875C2A">
        <w:rPr>
          <w:noProof/>
          <w:lang w:val="en-IE"/>
        </w:rPr>
        <w:t>e. Finally, approximately 3% of the budget will support ‘</w:t>
      </w:r>
      <w:r w:rsidRPr="006B5B9B">
        <w:rPr>
          <w:iCs/>
          <w:noProof/>
          <w:lang w:val="en-IE"/>
        </w:rPr>
        <w:t>green solutions</w:t>
      </w:r>
      <w:r w:rsidRPr="00875C2A">
        <w:rPr>
          <w:iCs/>
          <w:noProof/>
          <w:lang w:val="en-IE"/>
        </w:rPr>
        <w:t>’</w:t>
      </w:r>
      <w:r w:rsidRPr="00875C2A">
        <w:rPr>
          <w:noProof/>
          <w:lang w:val="en-IE"/>
        </w:rPr>
        <w:t>, where a lack of capacity to access funding is the main barrier for the large-scale deployment of a technology, approach or policy which has proven to be effective. This kind of support is implemented via different technical assistance facilities: by the European Investment Bank in the framework of InvestEU and by the Climate, Infrastructure and Environment Executive Agency through Green Assist.</w:t>
      </w:r>
    </w:p>
    <w:p w14:paraId="5507817F" w14:textId="77777777" w:rsidR="009B3221" w:rsidRPr="00875C2A" w:rsidRDefault="009B3221" w:rsidP="009B3221">
      <w:pPr>
        <w:pStyle w:val="ppoListHyphened-L1"/>
        <w:rPr>
          <w:noProof/>
          <w:lang w:val="en-IE"/>
        </w:rPr>
      </w:pPr>
      <w:r w:rsidRPr="00875C2A">
        <w:rPr>
          <w:noProof/>
          <w:lang w:val="en-IE"/>
        </w:rPr>
        <w:t>The required payment funds will mainly be used to finance ongoing projects and relevant contracts. Most of the projects and contracts are multiannual and payments are made in instalments.</w:t>
      </w:r>
    </w:p>
    <w:p w14:paraId="1BFFC665" w14:textId="77777777" w:rsidR="009B3221" w:rsidRPr="00875C2A" w:rsidRDefault="009B3221" w:rsidP="009B3221">
      <w:pPr>
        <w:pStyle w:val="ppoListHyphened-L1"/>
        <w:numPr>
          <w:ilvl w:val="0"/>
          <w:numId w:val="0"/>
        </w:numPr>
        <w:rPr>
          <w:noProof/>
          <w:lang w:val="en-IE"/>
        </w:rPr>
      </w:pPr>
    </w:p>
    <w:p w14:paraId="3E6AE1B0" w14:textId="77777777" w:rsidR="009B3221" w:rsidRPr="00875C2A" w:rsidRDefault="009B3221" w:rsidP="009B3221">
      <w:pPr>
        <w:pStyle w:val="ppoHeading5"/>
        <w:rPr>
          <w:noProof/>
          <w:lang w:val="en-IE"/>
        </w:rPr>
      </w:pPr>
      <w:r w:rsidRPr="00875C2A">
        <w:rPr>
          <w:noProof/>
          <w:lang w:val="en-IE"/>
        </w:rPr>
        <w:t>Contribution to horizontal priorities</w:t>
      </w:r>
    </w:p>
    <w:p w14:paraId="25610457" w14:textId="77777777" w:rsidR="009B3221" w:rsidRPr="00875C2A" w:rsidRDefault="009B3221" w:rsidP="009B3221">
      <w:pPr>
        <w:pStyle w:val="ppoTableTabletitle"/>
        <w:rPr>
          <w:noProof/>
          <w:lang w:val="en-IE"/>
        </w:rPr>
      </w:pPr>
      <w:r w:rsidRPr="00875C2A">
        <w:rPr>
          <w:noProof/>
          <w:lang w:val="en-IE"/>
        </w:rPr>
        <w:t>EU budget contribution in 2021 (million EUR):</w:t>
      </w:r>
    </w:p>
    <w:tbl>
      <w:tblPr>
        <w:tblStyle w:val="PPO2021"/>
        <w:tblW w:w="9639" w:type="dxa"/>
        <w:tblInd w:w="0" w:type="dxa"/>
        <w:tblLook w:val="0420" w:firstRow="1" w:lastRow="0" w:firstColumn="0" w:lastColumn="0" w:noHBand="0" w:noVBand="1"/>
      </w:tblPr>
      <w:tblGrid>
        <w:gridCol w:w="3213"/>
        <w:gridCol w:w="3213"/>
        <w:gridCol w:w="3213"/>
      </w:tblGrid>
      <w:tr w:rsidR="009B3221" w:rsidRPr="00875C2A" w14:paraId="3BE01DF4" w14:textId="77777777" w:rsidTr="0083214A">
        <w:trPr>
          <w:cnfStyle w:val="100000000000" w:firstRow="1" w:lastRow="0" w:firstColumn="0" w:lastColumn="0" w:oddVBand="0" w:evenVBand="0" w:oddHBand="0" w:evenHBand="0" w:firstRowFirstColumn="0" w:firstRowLastColumn="0" w:lastRowFirstColumn="0" w:lastRowLastColumn="0"/>
          <w:tblHeader/>
        </w:trPr>
        <w:tc>
          <w:tcPr>
            <w:tcW w:w="3213" w:type="dxa"/>
          </w:tcPr>
          <w:p w14:paraId="15F04A8F" w14:textId="77777777" w:rsidR="009B3221" w:rsidRPr="00875C2A" w:rsidRDefault="009B3221" w:rsidP="0083214A">
            <w:pPr>
              <w:rPr>
                <w:noProof/>
                <w:lang w:val="en-IE"/>
              </w:rPr>
            </w:pPr>
            <w:r w:rsidRPr="00875C2A">
              <w:rPr>
                <w:noProof/>
                <w:lang w:val="en-IE"/>
              </w:rPr>
              <w:t>Climate</w:t>
            </w:r>
          </w:p>
        </w:tc>
        <w:tc>
          <w:tcPr>
            <w:tcW w:w="3213" w:type="dxa"/>
          </w:tcPr>
          <w:p w14:paraId="3E691855" w14:textId="77777777" w:rsidR="009B3221" w:rsidRPr="00875C2A" w:rsidRDefault="009B3221" w:rsidP="0083214A">
            <w:pPr>
              <w:rPr>
                <w:noProof/>
                <w:lang w:val="en-IE"/>
              </w:rPr>
            </w:pPr>
            <w:r w:rsidRPr="00875C2A">
              <w:rPr>
                <w:noProof/>
                <w:lang w:val="en-IE"/>
              </w:rPr>
              <w:t>Biodiversity</w:t>
            </w:r>
          </w:p>
        </w:tc>
        <w:tc>
          <w:tcPr>
            <w:tcW w:w="3213" w:type="dxa"/>
          </w:tcPr>
          <w:p w14:paraId="60D73A30" w14:textId="77777777" w:rsidR="009B3221" w:rsidRPr="00875C2A" w:rsidRDefault="009B3221" w:rsidP="0083214A">
            <w:pPr>
              <w:rPr>
                <w:noProof/>
                <w:lang w:val="en-IE"/>
              </w:rPr>
            </w:pPr>
            <w:r w:rsidRPr="00875C2A">
              <w:rPr>
                <w:noProof/>
                <w:lang w:val="en-IE"/>
              </w:rPr>
              <w:t>Gender equality (*)</w:t>
            </w:r>
          </w:p>
        </w:tc>
      </w:tr>
      <w:tr w:rsidR="009B3221" w:rsidRPr="00875C2A" w14:paraId="3A1D5592" w14:textId="77777777" w:rsidTr="0083214A">
        <w:trPr>
          <w:cnfStyle w:val="000000100000" w:firstRow="0" w:lastRow="0" w:firstColumn="0" w:lastColumn="0" w:oddVBand="0" w:evenVBand="0" w:oddHBand="1" w:evenHBand="0" w:firstRowFirstColumn="0" w:firstRowLastColumn="0" w:lastRowFirstColumn="0" w:lastRowLastColumn="0"/>
        </w:trPr>
        <w:tc>
          <w:tcPr>
            <w:tcW w:w="3213" w:type="dxa"/>
          </w:tcPr>
          <w:tbl>
            <w:tblPr>
              <w:tblStyle w:val="TableGrid"/>
              <w:tblW w:w="0" w:type="auto"/>
              <w:tblLook w:val="06A0" w:firstRow="1" w:lastRow="0" w:firstColumn="1" w:lastColumn="0" w:noHBand="1" w:noVBand="1"/>
            </w:tblPr>
            <w:tblGrid>
              <w:gridCol w:w="2860"/>
            </w:tblGrid>
            <w:tr w:rsidR="009B3221" w:rsidRPr="00875C2A" w14:paraId="69DBADA2" w14:textId="77777777" w:rsidTr="0083214A">
              <w:trPr>
                <w:trHeight w:val="285"/>
              </w:trPr>
              <w:tc>
                <w:tcPr>
                  <w:tcW w:w="2860" w:type="dxa"/>
                  <w:tcBorders>
                    <w:top w:val="nil"/>
                    <w:left w:val="nil"/>
                    <w:bottom w:val="nil"/>
                    <w:right w:val="nil"/>
                  </w:tcBorders>
                  <w:vAlign w:val="bottom"/>
                </w:tcPr>
                <w:p w14:paraId="1FE9DD4E" w14:textId="4871B88A" w:rsidR="009B3221" w:rsidRPr="00875C2A" w:rsidRDefault="009B3221" w:rsidP="0083214A">
                  <w:pPr>
                    <w:spacing w:before="100" w:after="100"/>
                    <w:jc w:val="center"/>
                    <w:rPr>
                      <w:noProof/>
                      <w:lang w:val="en-IE"/>
                    </w:rPr>
                  </w:pPr>
                  <w:r w:rsidRPr="00875C2A">
                    <w:rPr>
                      <w:noProof/>
                      <w:lang w:val="en-IE"/>
                    </w:rPr>
                    <w:t>37</w:t>
                  </w:r>
                  <w:r w:rsidR="00943AD6">
                    <w:rPr>
                      <w:noProof/>
                      <w:lang w:val="en-IE"/>
                    </w:rPr>
                    <w:t>5.2</w:t>
                  </w:r>
                </w:p>
              </w:tc>
            </w:tr>
          </w:tbl>
          <w:p w14:paraId="2BA117D0" w14:textId="77777777" w:rsidR="009B3221" w:rsidRPr="00875C2A" w:rsidRDefault="009B3221" w:rsidP="0083214A">
            <w:pPr>
              <w:jc w:val="center"/>
              <w:rPr>
                <w:noProof/>
                <w:lang w:val="en-IE"/>
              </w:rPr>
            </w:pPr>
          </w:p>
        </w:tc>
        <w:tc>
          <w:tcPr>
            <w:tcW w:w="3213" w:type="dxa"/>
          </w:tcPr>
          <w:p w14:paraId="5E1B58FB" w14:textId="77777777" w:rsidR="009B3221" w:rsidRPr="00875C2A" w:rsidRDefault="009B3221" w:rsidP="0083214A">
            <w:pPr>
              <w:jc w:val="center"/>
              <w:rPr>
                <w:noProof/>
                <w:lang w:val="en-IE"/>
              </w:rPr>
            </w:pPr>
            <w:r w:rsidRPr="00875C2A">
              <w:rPr>
                <w:noProof/>
                <w:lang w:val="en-IE"/>
              </w:rPr>
              <w:t>332.1</w:t>
            </w:r>
          </w:p>
        </w:tc>
        <w:tc>
          <w:tcPr>
            <w:tcW w:w="3213" w:type="dxa"/>
          </w:tcPr>
          <w:p w14:paraId="5A318DE4" w14:textId="2374BE23" w:rsidR="009B3221" w:rsidRPr="00875C2A" w:rsidRDefault="009B3221" w:rsidP="0083214A">
            <w:pPr>
              <w:jc w:val="center"/>
              <w:rPr>
                <w:noProof/>
                <w:lang w:val="en-IE"/>
              </w:rPr>
            </w:pPr>
            <w:r w:rsidRPr="00875C2A">
              <w:rPr>
                <w:noProof/>
                <w:lang w:val="en-IE"/>
              </w:rPr>
              <w:t>Score</w:t>
            </w:r>
            <w:r w:rsidRPr="00875C2A">
              <w:rPr>
                <w:rFonts w:ascii="Calibri" w:hAnsi="Calibri" w:cs="Calibri"/>
                <w:noProof/>
                <w:lang w:val="en-IE"/>
              </w:rPr>
              <w:t> </w:t>
            </w:r>
            <w:r w:rsidRPr="00875C2A">
              <w:rPr>
                <w:noProof/>
                <w:lang w:val="en-IE"/>
              </w:rPr>
              <w:t>0</w:t>
            </w:r>
            <w:r w:rsidR="00F95175">
              <w:rPr>
                <w:noProof/>
                <w:lang w:val="en-IE"/>
              </w:rPr>
              <w:t>*</w:t>
            </w:r>
            <w:r w:rsidRPr="00875C2A">
              <w:rPr>
                <w:noProof/>
                <w:lang w:val="en-IE"/>
              </w:rPr>
              <w:t>: 738.7</w:t>
            </w:r>
          </w:p>
        </w:tc>
      </w:tr>
    </w:tbl>
    <w:p w14:paraId="1268918B" w14:textId="77777777" w:rsidR="009B3221" w:rsidRPr="00875C2A" w:rsidRDefault="009B3221" w:rsidP="009B3221">
      <w:pPr>
        <w:pStyle w:val="FootnoteText"/>
        <w:rPr>
          <w:noProof/>
          <w:lang w:val="en-IE"/>
        </w:rPr>
      </w:pPr>
      <w:r w:rsidRPr="00875C2A">
        <w:rPr>
          <w:noProof/>
          <w:lang w:val="en-IE"/>
        </w:rPr>
        <w:t xml:space="preserve">(*) Based on the applied gender contribution methodology, the following scores are attributed at the most granular level of intervention possible: </w:t>
      </w:r>
    </w:p>
    <w:p w14:paraId="50A42A42" w14:textId="77777777" w:rsidR="009B3221" w:rsidRPr="00875C2A" w:rsidRDefault="009B3221" w:rsidP="009B3221">
      <w:pPr>
        <w:pStyle w:val="FootnoteText"/>
        <w:numPr>
          <w:ilvl w:val="0"/>
          <w:numId w:val="38"/>
        </w:numPr>
        <w:spacing w:after="60" w:line="264" w:lineRule="auto"/>
        <w:jc w:val="left"/>
        <w:rPr>
          <w:noProof/>
          <w:lang w:val="en-IE"/>
        </w:rPr>
      </w:pPr>
      <w:r w:rsidRPr="00875C2A">
        <w:rPr>
          <w:noProof/>
          <w:lang w:val="en-IE"/>
        </w:rPr>
        <w:t>2: interventions the principal objective of which is to improve gender equality;</w:t>
      </w:r>
    </w:p>
    <w:p w14:paraId="44F5F89F" w14:textId="77777777" w:rsidR="009B3221" w:rsidRPr="00875C2A" w:rsidRDefault="009B3221" w:rsidP="009B3221">
      <w:pPr>
        <w:pStyle w:val="FootnoteText"/>
        <w:numPr>
          <w:ilvl w:val="0"/>
          <w:numId w:val="38"/>
        </w:numPr>
        <w:spacing w:after="60" w:line="264" w:lineRule="auto"/>
        <w:jc w:val="left"/>
        <w:rPr>
          <w:noProof/>
          <w:lang w:val="en-IE"/>
        </w:rPr>
      </w:pPr>
      <w:r w:rsidRPr="00875C2A">
        <w:rPr>
          <w:noProof/>
          <w:lang w:val="en-IE"/>
        </w:rPr>
        <w:t>1: interventions that have gender equality as an important and deliberate objective but not as the main reason for the intervention;</w:t>
      </w:r>
    </w:p>
    <w:p w14:paraId="2B4FD304" w14:textId="77777777" w:rsidR="009B3221" w:rsidRPr="00875C2A" w:rsidRDefault="009B3221" w:rsidP="009B3221">
      <w:pPr>
        <w:pStyle w:val="FootnoteText"/>
        <w:numPr>
          <w:ilvl w:val="0"/>
          <w:numId w:val="38"/>
        </w:numPr>
        <w:spacing w:after="60" w:line="264" w:lineRule="auto"/>
        <w:jc w:val="left"/>
        <w:rPr>
          <w:noProof/>
          <w:lang w:val="en-IE"/>
        </w:rPr>
      </w:pPr>
      <w:r w:rsidRPr="00875C2A">
        <w:rPr>
          <w:noProof/>
          <w:lang w:val="en-IE"/>
        </w:rPr>
        <w:t xml:space="preserve">0: non-targeted interventions; </w:t>
      </w:r>
    </w:p>
    <w:p w14:paraId="305EFF78" w14:textId="77777777" w:rsidR="009B3221" w:rsidRPr="00875C2A" w:rsidRDefault="009B3221" w:rsidP="009B3221">
      <w:pPr>
        <w:pStyle w:val="FootnoteText"/>
        <w:numPr>
          <w:ilvl w:val="0"/>
          <w:numId w:val="38"/>
        </w:numPr>
        <w:spacing w:after="60" w:line="264" w:lineRule="auto"/>
        <w:jc w:val="left"/>
        <w:rPr>
          <w:noProof/>
          <w:lang w:val="en-IE"/>
        </w:rPr>
      </w:pPr>
      <w:r w:rsidRPr="00875C2A">
        <w:rPr>
          <w:noProof/>
          <w:lang w:val="en-IE"/>
        </w:rPr>
        <w:t>0*: score to be assigned to interventions with a likely but not yet clear positive impact on gender equality.</w:t>
      </w:r>
    </w:p>
    <w:p w14:paraId="477B6F37" w14:textId="77777777" w:rsidR="009B3221" w:rsidRPr="00875C2A" w:rsidRDefault="009B3221" w:rsidP="009B3221">
      <w:pPr>
        <w:pStyle w:val="ppoHeading5"/>
        <w:rPr>
          <w:noProof/>
          <w:lang w:val="en-IE"/>
        </w:rPr>
      </w:pPr>
      <w:r w:rsidRPr="00875C2A">
        <w:rPr>
          <w:noProof/>
          <w:lang w:val="en-IE"/>
        </w:rPr>
        <w:t>Performance assessment</w:t>
      </w:r>
    </w:p>
    <w:p w14:paraId="65667BE7" w14:textId="77777777" w:rsidR="009B3221" w:rsidRPr="00875C2A" w:rsidRDefault="009B3221" w:rsidP="009B3221">
      <w:pPr>
        <w:pStyle w:val="ppoHeading6"/>
        <w:rPr>
          <w:noProof/>
          <w:lang w:val="en-IE"/>
        </w:rPr>
      </w:pPr>
      <w:r w:rsidRPr="00875C2A">
        <w:rPr>
          <w:noProof/>
          <w:lang w:val="en-IE"/>
        </w:rPr>
        <w:t>Key performance indicators</w:t>
      </w:r>
    </w:p>
    <w:tbl>
      <w:tblPr>
        <w:tblStyle w:val="PPO2021"/>
        <w:tblW w:w="9639" w:type="dxa"/>
        <w:tblInd w:w="0" w:type="dxa"/>
        <w:tblLook w:val="0420" w:firstRow="1" w:lastRow="0" w:firstColumn="0" w:lastColumn="0" w:noHBand="0" w:noVBand="1"/>
      </w:tblPr>
      <w:tblGrid>
        <w:gridCol w:w="2311"/>
        <w:gridCol w:w="1175"/>
        <w:gridCol w:w="1512"/>
        <w:gridCol w:w="1518"/>
        <w:gridCol w:w="1558"/>
        <w:gridCol w:w="1565"/>
      </w:tblGrid>
      <w:tr w:rsidR="009B3221" w:rsidRPr="00875C2A" w14:paraId="2B4980D8" w14:textId="77777777" w:rsidTr="0083214A">
        <w:trPr>
          <w:cnfStyle w:val="100000000000" w:firstRow="1" w:lastRow="0" w:firstColumn="0" w:lastColumn="0" w:oddVBand="0" w:evenVBand="0" w:oddHBand="0" w:evenHBand="0" w:firstRowFirstColumn="0" w:firstRowLastColumn="0" w:lastRowFirstColumn="0" w:lastRowLastColumn="0"/>
        </w:trPr>
        <w:tc>
          <w:tcPr>
            <w:tcW w:w="2268" w:type="dxa"/>
          </w:tcPr>
          <w:p w14:paraId="27AC2E7A" w14:textId="77777777" w:rsidR="009B3221" w:rsidRPr="00875C2A" w:rsidRDefault="009B3221" w:rsidP="0083214A">
            <w:pPr>
              <w:rPr>
                <w:noProof/>
                <w:lang w:val="en-IE"/>
              </w:rPr>
            </w:pPr>
          </w:p>
        </w:tc>
        <w:tc>
          <w:tcPr>
            <w:tcW w:w="931" w:type="dxa"/>
          </w:tcPr>
          <w:p w14:paraId="137FC4D5" w14:textId="77777777" w:rsidR="009B3221" w:rsidRPr="00875C2A" w:rsidRDefault="009B3221" w:rsidP="0083214A">
            <w:pPr>
              <w:rPr>
                <w:noProof/>
                <w:lang w:val="en-IE"/>
              </w:rPr>
            </w:pPr>
            <w:r w:rsidRPr="00875C2A">
              <w:rPr>
                <w:noProof/>
                <w:lang w:val="en-IE"/>
              </w:rPr>
              <w:t>Baseline</w:t>
            </w:r>
          </w:p>
        </w:tc>
        <w:tc>
          <w:tcPr>
            <w:tcW w:w="1485" w:type="dxa"/>
          </w:tcPr>
          <w:p w14:paraId="27AECFEF" w14:textId="77777777" w:rsidR="009B3221" w:rsidRPr="00875C2A" w:rsidRDefault="009B3221" w:rsidP="0083214A">
            <w:pPr>
              <w:rPr>
                <w:noProof/>
                <w:lang w:val="en-IE"/>
              </w:rPr>
            </w:pPr>
            <w:r w:rsidRPr="00875C2A">
              <w:rPr>
                <w:noProof/>
                <w:lang w:val="en-IE"/>
              </w:rPr>
              <w:t>Progress</w:t>
            </w:r>
            <w:r w:rsidRPr="00875C2A">
              <w:rPr>
                <w:rFonts w:ascii="Calibri" w:hAnsi="Calibri" w:cs="Calibri"/>
                <w:noProof/>
                <w:lang w:val="en-IE"/>
              </w:rPr>
              <w:t> </w:t>
            </w:r>
            <w:r w:rsidRPr="00875C2A">
              <w:rPr>
                <w:noProof/>
                <w:lang w:val="en-IE"/>
              </w:rPr>
              <w:t>(*)</w:t>
            </w:r>
          </w:p>
        </w:tc>
        <w:tc>
          <w:tcPr>
            <w:tcW w:w="1491" w:type="dxa"/>
          </w:tcPr>
          <w:p w14:paraId="786BD245" w14:textId="77777777" w:rsidR="009B3221" w:rsidRPr="00875C2A" w:rsidRDefault="009B3221" w:rsidP="0083214A">
            <w:pPr>
              <w:rPr>
                <w:noProof/>
                <w:lang w:val="en-IE"/>
              </w:rPr>
            </w:pPr>
            <w:r w:rsidRPr="00875C2A">
              <w:rPr>
                <w:noProof/>
                <w:lang w:val="en-IE"/>
              </w:rPr>
              <w:t>Target</w:t>
            </w:r>
          </w:p>
        </w:tc>
        <w:tc>
          <w:tcPr>
            <w:tcW w:w="1530" w:type="dxa"/>
          </w:tcPr>
          <w:p w14:paraId="5B6EA816" w14:textId="77777777" w:rsidR="009B3221" w:rsidRPr="00875C2A" w:rsidRDefault="009B3221" w:rsidP="0083214A">
            <w:pPr>
              <w:rPr>
                <w:noProof/>
                <w:lang w:val="en-IE"/>
              </w:rPr>
            </w:pPr>
            <w:r w:rsidRPr="00875C2A">
              <w:rPr>
                <w:noProof/>
                <w:lang w:val="en-IE"/>
              </w:rPr>
              <w:t>Results</w:t>
            </w:r>
          </w:p>
        </w:tc>
        <w:tc>
          <w:tcPr>
            <w:tcW w:w="1537" w:type="dxa"/>
          </w:tcPr>
          <w:p w14:paraId="3F333A1F" w14:textId="77777777" w:rsidR="009B3221" w:rsidRPr="00875C2A" w:rsidRDefault="009B3221" w:rsidP="0083214A">
            <w:pPr>
              <w:rPr>
                <w:noProof/>
                <w:lang w:val="en-IE"/>
              </w:rPr>
            </w:pPr>
            <w:r w:rsidRPr="00875C2A">
              <w:rPr>
                <w:noProof/>
                <w:lang w:val="en-IE"/>
              </w:rPr>
              <w:t>Assessment</w:t>
            </w:r>
          </w:p>
        </w:tc>
      </w:tr>
      <w:tr w:rsidR="009B3221" w:rsidRPr="00875C2A" w14:paraId="34C2D66E" w14:textId="77777777" w:rsidTr="0083214A">
        <w:trPr>
          <w:cnfStyle w:val="000000100000" w:firstRow="0" w:lastRow="0" w:firstColumn="0" w:lastColumn="0" w:oddVBand="0" w:evenVBand="0" w:oddHBand="1" w:evenHBand="0" w:firstRowFirstColumn="0" w:firstRowLastColumn="0" w:lastRowFirstColumn="0" w:lastRowLastColumn="0"/>
        </w:trPr>
        <w:tc>
          <w:tcPr>
            <w:tcW w:w="2268" w:type="dxa"/>
          </w:tcPr>
          <w:p w14:paraId="3DE0A02E" w14:textId="77777777" w:rsidR="009B3221" w:rsidRPr="00875C2A" w:rsidRDefault="009B3221" w:rsidP="0083214A">
            <w:pPr>
              <w:rPr>
                <w:noProof/>
                <w:lang w:val="en-IE"/>
              </w:rPr>
            </w:pPr>
            <w:r w:rsidRPr="00875C2A">
              <w:rPr>
                <w:noProof/>
                <w:lang w:val="en-IE"/>
              </w:rPr>
              <w:t>Population benefiting from an improvement in air quality</w:t>
            </w:r>
          </w:p>
        </w:tc>
        <w:tc>
          <w:tcPr>
            <w:tcW w:w="931" w:type="dxa"/>
          </w:tcPr>
          <w:p w14:paraId="6D6DEA03" w14:textId="77777777" w:rsidR="009B3221" w:rsidRPr="00875C2A" w:rsidRDefault="009B3221" w:rsidP="0083214A">
            <w:pPr>
              <w:jc w:val="center"/>
              <w:rPr>
                <w:noProof/>
                <w:lang w:val="en-IE"/>
              </w:rPr>
            </w:pPr>
            <w:r w:rsidRPr="00875C2A">
              <w:rPr>
                <w:noProof/>
                <w:lang w:val="en-IE"/>
              </w:rPr>
              <w:t>2.5</w:t>
            </w:r>
            <w:r w:rsidRPr="00875C2A">
              <w:rPr>
                <w:rFonts w:ascii="Calibri" w:hAnsi="Calibri" w:cs="Calibri"/>
                <w:noProof/>
                <w:lang w:val="en-IE"/>
              </w:rPr>
              <w:t> </w:t>
            </w:r>
            <w:r w:rsidRPr="00875C2A">
              <w:rPr>
                <w:noProof/>
                <w:lang w:val="en-IE"/>
              </w:rPr>
              <w:t>million</w:t>
            </w:r>
          </w:p>
        </w:tc>
        <w:tc>
          <w:tcPr>
            <w:tcW w:w="1485" w:type="dxa"/>
          </w:tcPr>
          <w:p w14:paraId="2CB7651C" w14:textId="77777777" w:rsidR="009B3221" w:rsidRPr="00875C2A" w:rsidRDefault="009B3221" w:rsidP="0083214A">
            <w:pPr>
              <w:jc w:val="center"/>
              <w:rPr>
                <w:b/>
                <w:noProof/>
                <w:lang w:val="en-IE"/>
              </w:rPr>
            </w:pPr>
            <w:r w:rsidRPr="00875C2A">
              <w:rPr>
                <w:noProof/>
                <w:lang w:val="en-IE"/>
              </w:rPr>
              <w:t>0%</w:t>
            </w:r>
          </w:p>
        </w:tc>
        <w:tc>
          <w:tcPr>
            <w:tcW w:w="1491" w:type="dxa"/>
          </w:tcPr>
          <w:p w14:paraId="12AEABEE" w14:textId="77777777" w:rsidR="009B3221" w:rsidRPr="00875C2A" w:rsidRDefault="009B3221" w:rsidP="0083214A">
            <w:pPr>
              <w:jc w:val="center"/>
              <w:rPr>
                <w:noProof/>
                <w:lang w:val="en-IE"/>
              </w:rPr>
            </w:pPr>
            <w:r w:rsidRPr="00875C2A">
              <w:rPr>
                <w:noProof/>
                <w:lang w:val="en-IE"/>
              </w:rPr>
              <w:t>4.6</w:t>
            </w:r>
            <w:r w:rsidRPr="00875C2A">
              <w:rPr>
                <w:rFonts w:ascii="Calibri" w:hAnsi="Calibri" w:cs="Calibri"/>
                <w:noProof/>
                <w:lang w:val="en-IE"/>
              </w:rPr>
              <w:t> </w:t>
            </w:r>
            <w:r w:rsidRPr="00875C2A">
              <w:rPr>
                <w:noProof/>
                <w:lang w:val="en-IE"/>
              </w:rPr>
              <w:t xml:space="preserve">million in </w:t>
            </w:r>
            <w:r>
              <w:rPr>
                <w:noProof/>
                <w:lang w:val="en-IE"/>
              </w:rPr>
              <w:t>2030</w:t>
            </w:r>
            <w:r w:rsidRPr="00875C2A">
              <w:rPr>
                <w:noProof/>
                <w:lang w:val="en-IE"/>
              </w:rPr>
              <w:t xml:space="preserve"> </w:t>
            </w:r>
          </w:p>
        </w:tc>
        <w:tc>
          <w:tcPr>
            <w:tcW w:w="1530" w:type="dxa"/>
          </w:tcPr>
          <w:p w14:paraId="52068B3F" w14:textId="77777777" w:rsidR="009B3221" w:rsidRPr="00875C2A" w:rsidRDefault="009B3221" w:rsidP="0083214A">
            <w:pPr>
              <w:jc w:val="center"/>
              <w:rPr>
                <w:noProof/>
                <w:lang w:val="en-IE"/>
              </w:rPr>
            </w:pPr>
            <w:r w:rsidRPr="00875C2A">
              <w:rPr>
                <w:noProof/>
                <w:lang w:val="en-IE"/>
              </w:rPr>
              <w:t>2.5</w:t>
            </w:r>
            <w:r w:rsidRPr="00875C2A">
              <w:rPr>
                <w:rFonts w:ascii="Calibri" w:hAnsi="Calibri" w:cs="Calibri"/>
                <w:noProof/>
                <w:lang w:val="en-IE"/>
              </w:rPr>
              <w:t> </w:t>
            </w:r>
            <w:r w:rsidRPr="00875C2A">
              <w:rPr>
                <w:noProof/>
                <w:lang w:val="en-IE"/>
              </w:rPr>
              <w:t>million compared to a target of 4.6</w:t>
            </w:r>
            <w:r w:rsidRPr="00875C2A">
              <w:rPr>
                <w:rFonts w:ascii="Calibri" w:hAnsi="Calibri" w:cs="Calibri"/>
                <w:noProof/>
                <w:lang w:val="en-IE"/>
              </w:rPr>
              <w:t> </w:t>
            </w:r>
            <w:r w:rsidRPr="00875C2A">
              <w:rPr>
                <w:noProof/>
                <w:lang w:val="en-IE"/>
              </w:rPr>
              <w:t xml:space="preserve">million </w:t>
            </w:r>
          </w:p>
        </w:tc>
        <w:tc>
          <w:tcPr>
            <w:tcW w:w="1537" w:type="dxa"/>
          </w:tcPr>
          <w:p w14:paraId="6018DC28" w14:textId="77777777" w:rsidR="009B3221" w:rsidRPr="00875C2A" w:rsidRDefault="009B3221" w:rsidP="0083214A">
            <w:pPr>
              <w:jc w:val="center"/>
              <w:rPr>
                <w:noProof/>
                <w:lang w:val="en-IE"/>
              </w:rPr>
            </w:pPr>
            <w:r w:rsidRPr="00875C2A">
              <w:rPr>
                <w:noProof/>
                <w:lang w:val="en-IE"/>
              </w:rPr>
              <w:t>On track</w:t>
            </w:r>
          </w:p>
        </w:tc>
      </w:tr>
      <w:tr w:rsidR="009B3221" w:rsidRPr="00875C2A" w14:paraId="15FD0B36" w14:textId="77777777" w:rsidTr="0083214A">
        <w:trPr>
          <w:cnfStyle w:val="000000010000" w:firstRow="0" w:lastRow="0" w:firstColumn="0" w:lastColumn="0" w:oddVBand="0" w:evenVBand="0" w:oddHBand="0" w:evenHBand="1" w:firstRowFirstColumn="0" w:firstRowLastColumn="0" w:lastRowFirstColumn="0" w:lastRowLastColumn="0"/>
        </w:trPr>
        <w:tc>
          <w:tcPr>
            <w:tcW w:w="2268" w:type="dxa"/>
          </w:tcPr>
          <w:p w14:paraId="31A90304" w14:textId="77777777" w:rsidR="009B3221" w:rsidRPr="00875C2A" w:rsidRDefault="009B3221" w:rsidP="0083214A">
            <w:pPr>
              <w:rPr>
                <w:noProof/>
                <w:lang w:val="en-IE"/>
              </w:rPr>
            </w:pPr>
            <w:r w:rsidRPr="00875C2A">
              <w:rPr>
                <w:noProof/>
                <w:lang w:val="en-IE"/>
              </w:rPr>
              <w:t>Reduction of greenhouse gas emissions</w:t>
            </w:r>
          </w:p>
        </w:tc>
        <w:tc>
          <w:tcPr>
            <w:tcW w:w="931" w:type="dxa"/>
          </w:tcPr>
          <w:p w14:paraId="3BE58E1D" w14:textId="77777777" w:rsidR="009B3221" w:rsidRPr="00875C2A" w:rsidRDefault="009B3221" w:rsidP="0083214A">
            <w:pPr>
              <w:jc w:val="center"/>
              <w:rPr>
                <w:noProof/>
                <w:lang w:val="en-IE"/>
              </w:rPr>
            </w:pPr>
            <w:r w:rsidRPr="00875C2A">
              <w:rPr>
                <w:noProof/>
                <w:lang w:val="en-IE"/>
              </w:rPr>
              <w:t>12</w:t>
            </w:r>
            <w:r w:rsidRPr="00875C2A">
              <w:rPr>
                <w:rFonts w:ascii="Calibri" w:hAnsi="Calibri" w:cs="Calibri"/>
                <w:noProof/>
                <w:lang w:val="en-IE"/>
              </w:rPr>
              <w:t> </w:t>
            </w:r>
            <w:r w:rsidRPr="00875C2A">
              <w:rPr>
                <w:noProof/>
                <w:lang w:val="en-IE"/>
              </w:rPr>
              <w:t>million</w:t>
            </w:r>
          </w:p>
          <w:p w14:paraId="7089CA52" w14:textId="77777777" w:rsidR="009B3221" w:rsidRPr="00875C2A" w:rsidRDefault="009B3221" w:rsidP="0083214A">
            <w:pPr>
              <w:rPr>
                <w:noProof/>
                <w:lang w:val="en-IE"/>
              </w:rPr>
            </w:pPr>
          </w:p>
        </w:tc>
        <w:tc>
          <w:tcPr>
            <w:tcW w:w="1485" w:type="dxa"/>
          </w:tcPr>
          <w:p w14:paraId="7123992F" w14:textId="77777777" w:rsidR="009B3221" w:rsidRPr="00875C2A" w:rsidRDefault="009B3221" w:rsidP="0083214A">
            <w:pPr>
              <w:jc w:val="center"/>
              <w:rPr>
                <w:b/>
                <w:noProof/>
                <w:lang w:val="en-IE"/>
              </w:rPr>
            </w:pPr>
            <w:r w:rsidRPr="00875C2A">
              <w:rPr>
                <w:noProof/>
                <w:lang w:val="en-IE"/>
              </w:rPr>
              <w:t>0%</w:t>
            </w:r>
          </w:p>
        </w:tc>
        <w:tc>
          <w:tcPr>
            <w:tcW w:w="1491" w:type="dxa"/>
          </w:tcPr>
          <w:p w14:paraId="7DB88167" w14:textId="77777777" w:rsidR="009B3221" w:rsidRPr="00875C2A" w:rsidRDefault="009B3221" w:rsidP="0083214A">
            <w:pPr>
              <w:jc w:val="center"/>
              <w:rPr>
                <w:noProof/>
                <w:lang w:val="en-IE"/>
              </w:rPr>
            </w:pPr>
            <w:r w:rsidRPr="00875C2A">
              <w:rPr>
                <w:noProof/>
                <w:lang w:val="en-IE"/>
              </w:rPr>
              <w:t>16.5</w:t>
            </w:r>
            <w:r w:rsidRPr="00875C2A">
              <w:rPr>
                <w:rFonts w:ascii="Calibri" w:hAnsi="Calibri" w:cs="Calibri"/>
                <w:noProof/>
                <w:lang w:val="en-IE"/>
              </w:rPr>
              <w:t> </w:t>
            </w:r>
            <w:r w:rsidRPr="00875C2A">
              <w:rPr>
                <w:noProof/>
                <w:lang w:val="en-IE"/>
              </w:rPr>
              <w:t xml:space="preserve">million in </w:t>
            </w:r>
            <w:r>
              <w:rPr>
                <w:noProof/>
                <w:lang w:val="en-IE"/>
              </w:rPr>
              <w:t>2030</w:t>
            </w:r>
            <w:r w:rsidRPr="00875C2A">
              <w:rPr>
                <w:noProof/>
                <w:lang w:val="en-IE"/>
              </w:rPr>
              <w:t xml:space="preserve"> </w:t>
            </w:r>
          </w:p>
        </w:tc>
        <w:tc>
          <w:tcPr>
            <w:tcW w:w="1530" w:type="dxa"/>
          </w:tcPr>
          <w:p w14:paraId="2A494AD3" w14:textId="77777777" w:rsidR="009B3221" w:rsidRPr="00875C2A" w:rsidRDefault="009B3221" w:rsidP="0083214A">
            <w:pPr>
              <w:jc w:val="center"/>
              <w:rPr>
                <w:noProof/>
                <w:lang w:val="en-IE"/>
              </w:rPr>
            </w:pPr>
            <w:r w:rsidRPr="00875C2A">
              <w:rPr>
                <w:noProof/>
                <w:lang w:val="en-IE"/>
              </w:rPr>
              <w:t>12.0</w:t>
            </w:r>
            <w:r w:rsidRPr="00875C2A">
              <w:rPr>
                <w:rFonts w:ascii="Calibri" w:hAnsi="Calibri" w:cs="Calibri"/>
                <w:noProof/>
                <w:lang w:val="en-IE"/>
              </w:rPr>
              <w:t> </w:t>
            </w:r>
            <w:r w:rsidRPr="00875C2A">
              <w:rPr>
                <w:noProof/>
                <w:lang w:val="en-IE"/>
              </w:rPr>
              <w:t>million compared to a target of 16.5</w:t>
            </w:r>
            <w:r w:rsidRPr="00875C2A">
              <w:rPr>
                <w:rFonts w:ascii="Calibri" w:hAnsi="Calibri" w:cs="Calibri"/>
                <w:noProof/>
                <w:lang w:val="en-IE"/>
              </w:rPr>
              <w:t> </w:t>
            </w:r>
            <w:r w:rsidRPr="00875C2A">
              <w:rPr>
                <w:noProof/>
                <w:lang w:val="en-IE"/>
              </w:rPr>
              <w:t xml:space="preserve">million </w:t>
            </w:r>
          </w:p>
        </w:tc>
        <w:tc>
          <w:tcPr>
            <w:tcW w:w="1537" w:type="dxa"/>
          </w:tcPr>
          <w:p w14:paraId="58C8449C" w14:textId="77777777" w:rsidR="009B3221" w:rsidRPr="00875C2A" w:rsidRDefault="009B3221" w:rsidP="0083214A">
            <w:pPr>
              <w:jc w:val="center"/>
              <w:rPr>
                <w:noProof/>
                <w:lang w:val="en-IE"/>
              </w:rPr>
            </w:pPr>
            <w:r w:rsidRPr="00875C2A">
              <w:rPr>
                <w:noProof/>
                <w:lang w:val="en-IE"/>
              </w:rPr>
              <w:t>On track</w:t>
            </w:r>
          </w:p>
        </w:tc>
      </w:tr>
      <w:tr w:rsidR="009B3221" w:rsidRPr="00875C2A" w14:paraId="3E3DE0B3" w14:textId="77777777" w:rsidTr="0083214A">
        <w:trPr>
          <w:cnfStyle w:val="000000100000" w:firstRow="0" w:lastRow="0" w:firstColumn="0" w:lastColumn="0" w:oddVBand="0" w:evenVBand="0" w:oddHBand="1" w:evenHBand="0" w:firstRowFirstColumn="0" w:firstRowLastColumn="0" w:lastRowFirstColumn="0" w:lastRowLastColumn="0"/>
        </w:trPr>
        <w:tc>
          <w:tcPr>
            <w:tcW w:w="2268" w:type="dxa"/>
          </w:tcPr>
          <w:p w14:paraId="27A3D7BB" w14:textId="77777777" w:rsidR="009B3221" w:rsidRPr="00875C2A" w:rsidRDefault="009B3221" w:rsidP="0083214A">
            <w:pPr>
              <w:rPr>
                <w:noProof/>
                <w:lang w:val="en-IE"/>
              </w:rPr>
            </w:pPr>
            <w:r w:rsidRPr="00875C2A">
              <w:rPr>
                <w:noProof/>
                <w:lang w:val="en-IE"/>
              </w:rPr>
              <w:t>Population benefiting from a reduction of their vulnerability to the adverse effects of climate change</w:t>
            </w:r>
          </w:p>
        </w:tc>
        <w:tc>
          <w:tcPr>
            <w:tcW w:w="931" w:type="dxa"/>
          </w:tcPr>
          <w:p w14:paraId="5397F4DA" w14:textId="77777777" w:rsidR="009B3221" w:rsidRPr="00875C2A" w:rsidRDefault="009B3221" w:rsidP="0083214A">
            <w:pPr>
              <w:jc w:val="center"/>
              <w:rPr>
                <w:noProof/>
                <w:lang w:val="en-IE"/>
              </w:rPr>
            </w:pPr>
            <w:r w:rsidRPr="00875C2A">
              <w:rPr>
                <w:noProof/>
                <w:lang w:val="en-IE"/>
              </w:rPr>
              <w:t>1.7</w:t>
            </w:r>
            <w:r w:rsidRPr="00875C2A">
              <w:rPr>
                <w:rFonts w:ascii="Calibri" w:hAnsi="Calibri" w:cs="Calibri"/>
                <w:noProof/>
                <w:lang w:val="en-IE"/>
              </w:rPr>
              <w:t> </w:t>
            </w:r>
            <w:r w:rsidRPr="00875C2A">
              <w:rPr>
                <w:noProof/>
                <w:lang w:val="en-IE"/>
              </w:rPr>
              <w:t>million</w:t>
            </w:r>
          </w:p>
        </w:tc>
        <w:tc>
          <w:tcPr>
            <w:tcW w:w="1485" w:type="dxa"/>
          </w:tcPr>
          <w:p w14:paraId="079939D2" w14:textId="77777777" w:rsidR="009B3221" w:rsidRPr="00875C2A" w:rsidRDefault="009B3221" w:rsidP="0083214A">
            <w:pPr>
              <w:jc w:val="center"/>
              <w:rPr>
                <w:b/>
                <w:noProof/>
                <w:lang w:val="en-IE"/>
              </w:rPr>
            </w:pPr>
            <w:r w:rsidRPr="00875C2A">
              <w:rPr>
                <w:noProof/>
                <w:lang w:val="en-IE"/>
              </w:rPr>
              <w:t>0%</w:t>
            </w:r>
          </w:p>
        </w:tc>
        <w:tc>
          <w:tcPr>
            <w:tcW w:w="1491" w:type="dxa"/>
          </w:tcPr>
          <w:p w14:paraId="1C4BF2FA" w14:textId="77777777" w:rsidR="009B3221" w:rsidRPr="00875C2A" w:rsidRDefault="009B3221" w:rsidP="0083214A">
            <w:pPr>
              <w:jc w:val="center"/>
              <w:rPr>
                <w:noProof/>
                <w:lang w:val="en-IE"/>
              </w:rPr>
            </w:pPr>
            <w:r w:rsidRPr="00875C2A">
              <w:rPr>
                <w:noProof/>
                <w:lang w:val="en-IE"/>
              </w:rPr>
              <w:t>3.1</w:t>
            </w:r>
            <w:r w:rsidRPr="00875C2A">
              <w:rPr>
                <w:rFonts w:ascii="Calibri" w:hAnsi="Calibri" w:cs="Calibri"/>
                <w:noProof/>
                <w:lang w:val="en-IE"/>
              </w:rPr>
              <w:t> </w:t>
            </w:r>
            <w:r w:rsidRPr="00875C2A">
              <w:rPr>
                <w:noProof/>
                <w:lang w:val="en-IE"/>
              </w:rPr>
              <w:t xml:space="preserve">million in </w:t>
            </w:r>
            <w:r>
              <w:rPr>
                <w:noProof/>
                <w:lang w:val="en-IE"/>
              </w:rPr>
              <w:t>2030</w:t>
            </w:r>
          </w:p>
        </w:tc>
        <w:tc>
          <w:tcPr>
            <w:tcW w:w="1530" w:type="dxa"/>
          </w:tcPr>
          <w:p w14:paraId="28B51173" w14:textId="77777777" w:rsidR="009B3221" w:rsidRPr="00875C2A" w:rsidRDefault="009B3221" w:rsidP="0083214A">
            <w:pPr>
              <w:jc w:val="center"/>
              <w:rPr>
                <w:noProof/>
                <w:lang w:val="en-IE"/>
              </w:rPr>
            </w:pPr>
            <w:r w:rsidRPr="00875C2A">
              <w:rPr>
                <w:noProof/>
                <w:lang w:val="en-IE"/>
              </w:rPr>
              <w:t>1.7</w:t>
            </w:r>
            <w:r w:rsidRPr="00875C2A">
              <w:rPr>
                <w:rFonts w:ascii="Calibri" w:hAnsi="Calibri" w:cs="Calibri"/>
                <w:noProof/>
                <w:lang w:val="en-IE"/>
              </w:rPr>
              <w:t> </w:t>
            </w:r>
            <w:r w:rsidRPr="00875C2A">
              <w:rPr>
                <w:noProof/>
                <w:lang w:val="en-IE"/>
              </w:rPr>
              <w:t>million compared to a target of 3.1</w:t>
            </w:r>
            <w:r w:rsidRPr="00875C2A">
              <w:rPr>
                <w:rFonts w:ascii="Calibri" w:hAnsi="Calibri" w:cs="Calibri"/>
                <w:noProof/>
                <w:lang w:val="en-IE"/>
              </w:rPr>
              <w:t> </w:t>
            </w:r>
            <w:r w:rsidRPr="00875C2A">
              <w:rPr>
                <w:noProof/>
                <w:lang w:val="en-IE"/>
              </w:rPr>
              <w:t xml:space="preserve">million </w:t>
            </w:r>
          </w:p>
        </w:tc>
        <w:tc>
          <w:tcPr>
            <w:tcW w:w="1537" w:type="dxa"/>
          </w:tcPr>
          <w:p w14:paraId="456B3E32" w14:textId="77777777" w:rsidR="009B3221" w:rsidRPr="00875C2A" w:rsidRDefault="009B3221" w:rsidP="0083214A">
            <w:pPr>
              <w:jc w:val="center"/>
              <w:rPr>
                <w:noProof/>
                <w:lang w:val="en-IE"/>
              </w:rPr>
            </w:pPr>
            <w:r w:rsidRPr="00875C2A">
              <w:rPr>
                <w:noProof/>
                <w:lang w:val="en-IE"/>
              </w:rPr>
              <w:t>On track</w:t>
            </w:r>
          </w:p>
        </w:tc>
      </w:tr>
      <w:tr w:rsidR="009B3221" w:rsidRPr="00875C2A" w14:paraId="443A03B8" w14:textId="77777777" w:rsidTr="0083214A">
        <w:trPr>
          <w:cnfStyle w:val="000000010000" w:firstRow="0" w:lastRow="0" w:firstColumn="0" w:lastColumn="0" w:oddVBand="0" w:evenVBand="0" w:oddHBand="0" w:evenHBand="1" w:firstRowFirstColumn="0" w:firstRowLastColumn="0" w:lastRowFirstColumn="0" w:lastRowLastColumn="0"/>
        </w:trPr>
        <w:tc>
          <w:tcPr>
            <w:tcW w:w="2268" w:type="dxa"/>
          </w:tcPr>
          <w:p w14:paraId="66E21961" w14:textId="77777777" w:rsidR="009B3221" w:rsidRPr="00875C2A" w:rsidRDefault="009B3221" w:rsidP="0083214A">
            <w:pPr>
              <w:rPr>
                <w:noProof/>
                <w:lang w:val="en-IE"/>
              </w:rPr>
            </w:pPr>
            <w:r w:rsidRPr="00875C2A">
              <w:rPr>
                <w:noProof/>
                <w:lang w:val="en-IE"/>
              </w:rPr>
              <w:t>Additional annual renewable energy production</w:t>
            </w:r>
          </w:p>
        </w:tc>
        <w:tc>
          <w:tcPr>
            <w:tcW w:w="931" w:type="dxa"/>
          </w:tcPr>
          <w:p w14:paraId="0AF47CBA" w14:textId="77777777" w:rsidR="009B3221" w:rsidRPr="00875C2A" w:rsidRDefault="009B3221" w:rsidP="0083214A">
            <w:pPr>
              <w:jc w:val="center"/>
              <w:rPr>
                <w:noProof/>
                <w:lang w:val="en-IE"/>
              </w:rPr>
            </w:pPr>
          </w:p>
        </w:tc>
        <w:tc>
          <w:tcPr>
            <w:tcW w:w="1485" w:type="dxa"/>
          </w:tcPr>
          <w:p w14:paraId="6061A0EB" w14:textId="77777777" w:rsidR="009B3221" w:rsidRPr="00875C2A" w:rsidRDefault="009B3221" w:rsidP="0083214A">
            <w:pPr>
              <w:jc w:val="center"/>
              <w:rPr>
                <w:b/>
                <w:noProof/>
                <w:lang w:val="en-IE"/>
              </w:rPr>
            </w:pPr>
            <w:r w:rsidRPr="00875C2A">
              <w:rPr>
                <w:noProof/>
                <w:lang w:val="en-IE"/>
              </w:rPr>
              <w:t>0%</w:t>
            </w:r>
          </w:p>
        </w:tc>
        <w:tc>
          <w:tcPr>
            <w:tcW w:w="1491" w:type="dxa"/>
          </w:tcPr>
          <w:p w14:paraId="1C673DCD" w14:textId="77777777" w:rsidR="009B3221" w:rsidRPr="00875C2A" w:rsidRDefault="009B3221" w:rsidP="0083214A">
            <w:pPr>
              <w:jc w:val="center"/>
              <w:rPr>
                <w:noProof/>
                <w:lang w:val="en-IE"/>
              </w:rPr>
            </w:pPr>
            <w:r w:rsidRPr="00875C2A">
              <w:rPr>
                <w:noProof/>
                <w:lang w:val="en-IE"/>
              </w:rPr>
              <w:t>4</w:t>
            </w:r>
            <w:r w:rsidRPr="00875C2A">
              <w:rPr>
                <w:rFonts w:ascii="Calibri" w:hAnsi="Calibri" w:cs="Calibri"/>
                <w:noProof/>
                <w:lang w:val="en-IE"/>
              </w:rPr>
              <w:t> </w:t>
            </w:r>
            <w:r w:rsidRPr="00875C2A">
              <w:rPr>
                <w:noProof/>
                <w:lang w:val="en-IE"/>
              </w:rPr>
              <w:t xml:space="preserve">463 in </w:t>
            </w:r>
            <w:r>
              <w:rPr>
                <w:noProof/>
                <w:lang w:val="en-IE"/>
              </w:rPr>
              <w:t>2030</w:t>
            </w:r>
          </w:p>
        </w:tc>
        <w:tc>
          <w:tcPr>
            <w:tcW w:w="1530" w:type="dxa"/>
          </w:tcPr>
          <w:p w14:paraId="3FBAA090" w14:textId="77777777" w:rsidR="009B3221" w:rsidRPr="00875C2A" w:rsidRDefault="009B3221" w:rsidP="0083214A">
            <w:pPr>
              <w:tabs>
                <w:tab w:val="left" w:pos="486"/>
                <w:tab w:val="center" w:pos="678"/>
              </w:tabs>
              <w:jc w:val="center"/>
              <w:rPr>
                <w:noProof/>
                <w:lang w:val="en-IE"/>
              </w:rPr>
            </w:pPr>
            <w:r w:rsidRPr="00875C2A">
              <w:rPr>
                <w:noProof/>
                <w:lang w:val="en-IE"/>
              </w:rPr>
              <w:t>0 compared to a target of 4</w:t>
            </w:r>
            <w:r w:rsidRPr="00875C2A">
              <w:rPr>
                <w:rFonts w:ascii="Calibri" w:hAnsi="Calibri" w:cs="Calibri"/>
                <w:noProof/>
                <w:lang w:val="en-IE"/>
              </w:rPr>
              <w:t> </w:t>
            </w:r>
            <w:r w:rsidRPr="00875C2A">
              <w:rPr>
                <w:noProof/>
                <w:lang w:val="en-IE"/>
              </w:rPr>
              <w:t>463</w:t>
            </w:r>
          </w:p>
        </w:tc>
        <w:tc>
          <w:tcPr>
            <w:tcW w:w="1537" w:type="dxa"/>
          </w:tcPr>
          <w:p w14:paraId="75AE8BE7" w14:textId="77777777" w:rsidR="009B3221" w:rsidRPr="00875C2A" w:rsidRDefault="009B3221" w:rsidP="0083214A">
            <w:pPr>
              <w:jc w:val="center"/>
              <w:rPr>
                <w:noProof/>
                <w:lang w:val="en-IE"/>
              </w:rPr>
            </w:pPr>
            <w:r w:rsidRPr="00875C2A">
              <w:rPr>
                <w:noProof/>
                <w:lang w:val="en-IE"/>
              </w:rPr>
              <w:t>On track</w:t>
            </w:r>
          </w:p>
        </w:tc>
      </w:tr>
      <w:tr w:rsidR="009B3221" w:rsidRPr="00875C2A" w14:paraId="3CB13C25" w14:textId="77777777" w:rsidTr="0083214A">
        <w:trPr>
          <w:cnfStyle w:val="000000100000" w:firstRow="0" w:lastRow="0" w:firstColumn="0" w:lastColumn="0" w:oddVBand="0" w:evenVBand="0" w:oddHBand="1" w:evenHBand="0" w:firstRowFirstColumn="0" w:firstRowLastColumn="0" w:lastRowFirstColumn="0" w:lastRowLastColumn="0"/>
        </w:trPr>
        <w:tc>
          <w:tcPr>
            <w:tcW w:w="2268" w:type="dxa"/>
          </w:tcPr>
          <w:p w14:paraId="00AD8BC7" w14:textId="77777777" w:rsidR="009B3221" w:rsidRPr="00875C2A" w:rsidRDefault="009B3221" w:rsidP="0083214A">
            <w:pPr>
              <w:rPr>
                <w:noProof/>
                <w:lang w:val="en-IE"/>
              </w:rPr>
            </w:pPr>
            <w:r w:rsidRPr="00875C2A">
              <w:rPr>
                <w:noProof/>
                <w:lang w:val="en-IE"/>
              </w:rPr>
              <w:t>Area of habitats where loss of biodiversity is being halted or reversed</w:t>
            </w:r>
          </w:p>
        </w:tc>
        <w:tc>
          <w:tcPr>
            <w:tcW w:w="931" w:type="dxa"/>
          </w:tcPr>
          <w:p w14:paraId="1CD81448" w14:textId="77777777" w:rsidR="009B3221" w:rsidRPr="00875C2A" w:rsidRDefault="009B3221" w:rsidP="0083214A">
            <w:pPr>
              <w:jc w:val="center"/>
              <w:rPr>
                <w:noProof/>
                <w:lang w:val="en-IE"/>
              </w:rPr>
            </w:pPr>
            <w:r w:rsidRPr="00875C2A">
              <w:rPr>
                <w:noProof/>
                <w:lang w:val="en-IE"/>
              </w:rPr>
              <w:t>1.6 million</w:t>
            </w:r>
          </w:p>
        </w:tc>
        <w:tc>
          <w:tcPr>
            <w:tcW w:w="1485" w:type="dxa"/>
          </w:tcPr>
          <w:p w14:paraId="288ED079" w14:textId="77777777" w:rsidR="009B3221" w:rsidRPr="00875C2A" w:rsidRDefault="009B3221" w:rsidP="0083214A">
            <w:pPr>
              <w:jc w:val="center"/>
              <w:rPr>
                <w:b/>
                <w:noProof/>
                <w:lang w:val="en-IE"/>
              </w:rPr>
            </w:pPr>
            <w:r w:rsidRPr="00875C2A">
              <w:rPr>
                <w:noProof/>
                <w:lang w:val="en-IE"/>
              </w:rPr>
              <w:t>0%</w:t>
            </w:r>
          </w:p>
        </w:tc>
        <w:tc>
          <w:tcPr>
            <w:tcW w:w="1491" w:type="dxa"/>
          </w:tcPr>
          <w:p w14:paraId="09E0676C" w14:textId="77777777" w:rsidR="009B3221" w:rsidRPr="00875C2A" w:rsidRDefault="009B3221" w:rsidP="0083214A">
            <w:pPr>
              <w:jc w:val="center"/>
              <w:rPr>
                <w:noProof/>
                <w:lang w:val="en-IE"/>
              </w:rPr>
            </w:pPr>
            <w:r w:rsidRPr="00875C2A">
              <w:rPr>
                <w:noProof/>
                <w:lang w:val="en-IE"/>
              </w:rPr>
              <w:t xml:space="preserve"> 3.1 million in </w:t>
            </w:r>
            <w:r>
              <w:rPr>
                <w:noProof/>
                <w:lang w:val="en-IE"/>
              </w:rPr>
              <w:t>2030</w:t>
            </w:r>
          </w:p>
        </w:tc>
        <w:tc>
          <w:tcPr>
            <w:tcW w:w="1530" w:type="dxa"/>
          </w:tcPr>
          <w:p w14:paraId="00EC5193" w14:textId="77777777" w:rsidR="009B3221" w:rsidRPr="00875C2A" w:rsidRDefault="009B3221" w:rsidP="0083214A">
            <w:pPr>
              <w:jc w:val="center"/>
              <w:rPr>
                <w:noProof/>
                <w:lang w:val="en-IE"/>
              </w:rPr>
            </w:pPr>
            <w:r w:rsidRPr="00875C2A">
              <w:rPr>
                <w:noProof/>
                <w:lang w:val="en-IE"/>
              </w:rPr>
              <w:t>1.6</w:t>
            </w:r>
            <w:r w:rsidRPr="00875C2A">
              <w:rPr>
                <w:rFonts w:ascii="Calibri" w:hAnsi="Calibri" w:cs="Calibri"/>
                <w:noProof/>
                <w:lang w:val="en-IE"/>
              </w:rPr>
              <w:t> </w:t>
            </w:r>
            <w:r w:rsidRPr="00875C2A">
              <w:rPr>
                <w:noProof/>
                <w:lang w:val="en-IE"/>
              </w:rPr>
              <w:t>million compared to a target of 3.1</w:t>
            </w:r>
            <w:r w:rsidRPr="00875C2A">
              <w:rPr>
                <w:rFonts w:ascii="Calibri" w:hAnsi="Calibri" w:cs="Calibri"/>
                <w:noProof/>
                <w:lang w:val="en-IE"/>
              </w:rPr>
              <w:t> </w:t>
            </w:r>
            <w:r w:rsidRPr="00875C2A">
              <w:rPr>
                <w:noProof/>
                <w:lang w:val="en-IE"/>
              </w:rPr>
              <w:t xml:space="preserve">million </w:t>
            </w:r>
          </w:p>
        </w:tc>
        <w:tc>
          <w:tcPr>
            <w:tcW w:w="1537" w:type="dxa"/>
          </w:tcPr>
          <w:p w14:paraId="05021A22" w14:textId="77777777" w:rsidR="009B3221" w:rsidRPr="00875C2A" w:rsidRDefault="009B3221" w:rsidP="0083214A">
            <w:pPr>
              <w:jc w:val="center"/>
              <w:rPr>
                <w:noProof/>
                <w:lang w:val="en-IE"/>
              </w:rPr>
            </w:pPr>
            <w:r w:rsidRPr="00875C2A">
              <w:rPr>
                <w:noProof/>
                <w:lang w:val="en-IE"/>
              </w:rPr>
              <w:t>On track</w:t>
            </w:r>
          </w:p>
        </w:tc>
      </w:tr>
      <w:tr w:rsidR="009B3221" w:rsidRPr="00875C2A" w14:paraId="24ED7247" w14:textId="77777777" w:rsidTr="0083214A">
        <w:trPr>
          <w:cnfStyle w:val="000000010000" w:firstRow="0" w:lastRow="0" w:firstColumn="0" w:lastColumn="0" w:oddVBand="0" w:evenVBand="0" w:oddHBand="0" w:evenHBand="1" w:firstRowFirstColumn="0" w:firstRowLastColumn="0" w:lastRowFirstColumn="0" w:lastRowLastColumn="0"/>
        </w:trPr>
        <w:tc>
          <w:tcPr>
            <w:tcW w:w="2268" w:type="dxa"/>
          </w:tcPr>
          <w:p w14:paraId="765D1E17" w14:textId="77777777" w:rsidR="009B3221" w:rsidRPr="00875C2A" w:rsidRDefault="009B3221" w:rsidP="0083214A">
            <w:pPr>
              <w:rPr>
                <w:noProof/>
                <w:lang w:val="en-IE"/>
              </w:rPr>
            </w:pPr>
            <w:r w:rsidRPr="00875C2A">
              <w:rPr>
                <w:noProof/>
                <w:lang w:val="en-IE"/>
              </w:rPr>
              <w:t>Number of species where loss is being halted or reversed</w:t>
            </w:r>
          </w:p>
        </w:tc>
        <w:tc>
          <w:tcPr>
            <w:tcW w:w="931" w:type="dxa"/>
          </w:tcPr>
          <w:p w14:paraId="6D585BED" w14:textId="77777777" w:rsidR="009B3221" w:rsidRPr="00875C2A" w:rsidRDefault="009B3221" w:rsidP="0083214A">
            <w:pPr>
              <w:jc w:val="center"/>
              <w:rPr>
                <w:noProof/>
                <w:lang w:val="en-IE"/>
              </w:rPr>
            </w:pPr>
            <w:r w:rsidRPr="00875C2A">
              <w:rPr>
                <w:noProof/>
                <w:lang w:val="en-IE"/>
              </w:rPr>
              <w:t>314</w:t>
            </w:r>
          </w:p>
        </w:tc>
        <w:tc>
          <w:tcPr>
            <w:tcW w:w="1485" w:type="dxa"/>
          </w:tcPr>
          <w:p w14:paraId="71CB91CC" w14:textId="77777777" w:rsidR="009B3221" w:rsidRPr="00875C2A" w:rsidRDefault="009B3221" w:rsidP="0083214A">
            <w:pPr>
              <w:jc w:val="center"/>
              <w:rPr>
                <w:b/>
                <w:noProof/>
                <w:lang w:val="en-IE"/>
              </w:rPr>
            </w:pPr>
            <w:r w:rsidRPr="00875C2A">
              <w:rPr>
                <w:noProof/>
                <w:lang w:val="en-IE"/>
              </w:rPr>
              <w:t>0%</w:t>
            </w:r>
          </w:p>
        </w:tc>
        <w:tc>
          <w:tcPr>
            <w:tcW w:w="1491" w:type="dxa"/>
          </w:tcPr>
          <w:p w14:paraId="29A5454F" w14:textId="77777777" w:rsidR="009B3221" w:rsidRPr="00875C2A" w:rsidRDefault="009B3221" w:rsidP="0083214A">
            <w:pPr>
              <w:jc w:val="center"/>
              <w:rPr>
                <w:noProof/>
                <w:lang w:val="en-IE"/>
              </w:rPr>
            </w:pPr>
            <w:r w:rsidRPr="00875C2A">
              <w:rPr>
                <w:noProof/>
                <w:lang w:val="en-IE"/>
              </w:rPr>
              <w:t xml:space="preserve"> 606 in </w:t>
            </w:r>
            <w:r>
              <w:rPr>
                <w:noProof/>
                <w:lang w:val="en-IE"/>
              </w:rPr>
              <w:t>2030</w:t>
            </w:r>
          </w:p>
        </w:tc>
        <w:tc>
          <w:tcPr>
            <w:tcW w:w="1530" w:type="dxa"/>
          </w:tcPr>
          <w:p w14:paraId="4460A777" w14:textId="77777777" w:rsidR="009B3221" w:rsidRPr="00875C2A" w:rsidRDefault="009B3221" w:rsidP="0083214A">
            <w:pPr>
              <w:jc w:val="center"/>
              <w:rPr>
                <w:noProof/>
                <w:lang w:val="en-IE"/>
              </w:rPr>
            </w:pPr>
            <w:r w:rsidRPr="00875C2A">
              <w:rPr>
                <w:noProof/>
                <w:lang w:val="en-IE"/>
              </w:rPr>
              <w:t xml:space="preserve">314 compared to a target of 606 </w:t>
            </w:r>
          </w:p>
        </w:tc>
        <w:tc>
          <w:tcPr>
            <w:tcW w:w="1537" w:type="dxa"/>
          </w:tcPr>
          <w:p w14:paraId="4B0549CF" w14:textId="77777777" w:rsidR="009B3221" w:rsidRPr="00875C2A" w:rsidRDefault="009B3221" w:rsidP="0083214A">
            <w:pPr>
              <w:jc w:val="center"/>
              <w:rPr>
                <w:noProof/>
                <w:lang w:val="en-IE"/>
              </w:rPr>
            </w:pPr>
            <w:r w:rsidRPr="00875C2A">
              <w:rPr>
                <w:noProof/>
                <w:lang w:val="en-IE"/>
              </w:rPr>
              <w:t>On track</w:t>
            </w:r>
          </w:p>
        </w:tc>
      </w:tr>
      <w:tr w:rsidR="009B3221" w:rsidRPr="00875C2A" w14:paraId="77EACF9D" w14:textId="77777777" w:rsidTr="0083214A">
        <w:trPr>
          <w:cnfStyle w:val="000000100000" w:firstRow="0" w:lastRow="0" w:firstColumn="0" w:lastColumn="0" w:oddVBand="0" w:evenVBand="0" w:oddHBand="1" w:evenHBand="0" w:firstRowFirstColumn="0" w:firstRowLastColumn="0" w:lastRowFirstColumn="0" w:lastRowLastColumn="0"/>
        </w:trPr>
        <w:tc>
          <w:tcPr>
            <w:tcW w:w="2268" w:type="dxa"/>
          </w:tcPr>
          <w:p w14:paraId="4445CCBC" w14:textId="77777777" w:rsidR="009B3221" w:rsidRPr="00875C2A" w:rsidRDefault="009B3221" w:rsidP="0083214A">
            <w:pPr>
              <w:rPr>
                <w:noProof/>
                <w:lang w:val="en-IE"/>
              </w:rPr>
            </w:pPr>
            <w:r w:rsidRPr="00875C2A">
              <w:rPr>
                <w:noProof/>
                <w:lang w:val="en-IE"/>
              </w:rPr>
              <w:t>Number of projects improving governance at all levels, in particular through enhancing the capacities of public and private actors and the involvement of civil society</w:t>
            </w:r>
          </w:p>
        </w:tc>
        <w:tc>
          <w:tcPr>
            <w:tcW w:w="931" w:type="dxa"/>
          </w:tcPr>
          <w:p w14:paraId="44CC11F4" w14:textId="77777777" w:rsidR="009B3221" w:rsidRPr="00875C2A" w:rsidRDefault="009B3221" w:rsidP="0083214A">
            <w:pPr>
              <w:jc w:val="center"/>
              <w:rPr>
                <w:noProof/>
                <w:lang w:val="en-IE"/>
              </w:rPr>
            </w:pPr>
          </w:p>
        </w:tc>
        <w:tc>
          <w:tcPr>
            <w:tcW w:w="1485" w:type="dxa"/>
          </w:tcPr>
          <w:p w14:paraId="63D98652" w14:textId="77777777" w:rsidR="009B3221" w:rsidRPr="00875C2A" w:rsidRDefault="009B3221" w:rsidP="0083214A">
            <w:pPr>
              <w:jc w:val="center"/>
              <w:rPr>
                <w:b/>
                <w:noProof/>
                <w:lang w:val="en-IE"/>
              </w:rPr>
            </w:pPr>
            <w:r w:rsidRPr="00875C2A">
              <w:rPr>
                <w:noProof/>
                <w:lang w:val="en-IE"/>
              </w:rPr>
              <w:t>0%</w:t>
            </w:r>
          </w:p>
        </w:tc>
        <w:tc>
          <w:tcPr>
            <w:tcW w:w="1491" w:type="dxa"/>
          </w:tcPr>
          <w:p w14:paraId="2B02D8F9" w14:textId="77777777" w:rsidR="009B3221" w:rsidRPr="00875C2A" w:rsidRDefault="009B3221" w:rsidP="0083214A">
            <w:pPr>
              <w:jc w:val="center"/>
              <w:rPr>
                <w:noProof/>
                <w:lang w:val="en-IE"/>
              </w:rPr>
            </w:pPr>
            <w:r w:rsidRPr="00875C2A">
              <w:rPr>
                <w:noProof/>
                <w:lang w:val="en-IE"/>
              </w:rPr>
              <w:t xml:space="preserve">296 in </w:t>
            </w:r>
            <w:r>
              <w:rPr>
                <w:noProof/>
                <w:lang w:val="en-IE"/>
              </w:rPr>
              <w:t>2030</w:t>
            </w:r>
          </w:p>
        </w:tc>
        <w:tc>
          <w:tcPr>
            <w:tcW w:w="1530" w:type="dxa"/>
          </w:tcPr>
          <w:p w14:paraId="274A927D" w14:textId="77777777" w:rsidR="009B3221" w:rsidRPr="00875C2A" w:rsidRDefault="009B3221" w:rsidP="0083214A">
            <w:pPr>
              <w:jc w:val="center"/>
              <w:rPr>
                <w:noProof/>
                <w:lang w:val="en-IE"/>
              </w:rPr>
            </w:pPr>
            <w:r w:rsidRPr="00875C2A">
              <w:rPr>
                <w:noProof/>
                <w:lang w:val="en-IE"/>
              </w:rPr>
              <w:t xml:space="preserve">0 compared to a target of 296 </w:t>
            </w:r>
          </w:p>
        </w:tc>
        <w:tc>
          <w:tcPr>
            <w:tcW w:w="1537" w:type="dxa"/>
          </w:tcPr>
          <w:p w14:paraId="72E28A91" w14:textId="77777777" w:rsidR="009B3221" w:rsidRPr="00875C2A" w:rsidRDefault="009B3221" w:rsidP="0083214A">
            <w:pPr>
              <w:jc w:val="center"/>
              <w:rPr>
                <w:noProof/>
                <w:lang w:val="en-IE"/>
              </w:rPr>
            </w:pPr>
            <w:r w:rsidRPr="00875C2A">
              <w:rPr>
                <w:noProof/>
                <w:lang w:val="en-IE"/>
              </w:rPr>
              <w:t>On track</w:t>
            </w:r>
          </w:p>
        </w:tc>
      </w:tr>
      <w:tr w:rsidR="009B3221" w:rsidRPr="00875C2A" w14:paraId="7C96EEB0" w14:textId="77777777" w:rsidTr="0083214A">
        <w:trPr>
          <w:cnfStyle w:val="000000010000" w:firstRow="0" w:lastRow="0" w:firstColumn="0" w:lastColumn="0" w:oddVBand="0" w:evenVBand="0" w:oddHBand="0" w:evenHBand="1" w:firstRowFirstColumn="0" w:firstRowLastColumn="0" w:lastRowFirstColumn="0" w:lastRowLastColumn="0"/>
        </w:trPr>
        <w:tc>
          <w:tcPr>
            <w:tcW w:w="2268" w:type="dxa"/>
          </w:tcPr>
          <w:p w14:paraId="062BAC74" w14:textId="77777777" w:rsidR="009B3221" w:rsidRPr="00875C2A" w:rsidRDefault="009B3221" w:rsidP="0083214A">
            <w:pPr>
              <w:rPr>
                <w:noProof/>
                <w:lang w:val="en-IE"/>
              </w:rPr>
            </w:pPr>
            <w:r w:rsidRPr="00875C2A">
              <w:rPr>
                <w:noProof/>
                <w:lang w:val="en-IE"/>
              </w:rPr>
              <w:t>Cumulative investments triggered by the projects or finance accessed</w:t>
            </w:r>
          </w:p>
        </w:tc>
        <w:tc>
          <w:tcPr>
            <w:tcW w:w="931" w:type="dxa"/>
          </w:tcPr>
          <w:p w14:paraId="54839FB4" w14:textId="77777777" w:rsidR="009B3221" w:rsidRPr="00875C2A" w:rsidRDefault="009B3221" w:rsidP="0083214A">
            <w:pPr>
              <w:jc w:val="center"/>
              <w:rPr>
                <w:noProof/>
                <w:lang w:val="en-IE"/>
              </w:rPr>
            </w:pPr>
          </w:p>
        </w:tc>
        <w:tc>
          <w:tcPr>
            <w:tcW w:w="1485" w:type="dxa"/>
          </w:tcPr>
          <w:p w14:paraId="589293C1" w14:textId="77777777" w:rsidR="009B3221" w:rsidRPr="00875C2A" w:rsidRDefault="009B3221" w:rsidP="0083214A">
            <w:pPr>
              <w:jc w:val="center"/>
              <w:rPr>
                <w:b/>
                <w:noProof/>
                <w:lang w:val="en-IE"/>
              </w:rPr>
            </w:pPr>
            <w:r w:rsidRPr="00875C2A">
              <w:rPr>
                <w:noProof/>
                <w:lang w:val="en-IE"/>
              </w:rPr>
              <w:t>0%</w:t>
            </w:r>
          </w:p>
        </w:tc>
        <w:tc>
          <w:tcPr>
            <w:tcW w:w="1491" w:type="dxa"/>
          </w:tcPr>
          <w:p w14:paraId="0A3B4B60" w14:textId="77777777" w:rsidR="009B3221" w:rsidRPr="00875C2A" w:rsidRDefault="009B3221" w:rsidP="0083214A">
            <w:pPr>
              <w:jc w:val="center"/>
              <w:rPr>
                <w:noProof/>
                <w:lang w:val="en-IE"/>
              </w:rPr>
            </w:pPr>
            <w:r w:rsidRPr="00875C2A">
              <w:rPr>
                <w:noProof/>
                <w:lang w:val="en-IE"/>
              </w:rPr>
              <w:t>2</w:t>
            </w:r>
            <w:r w:rsidRPr="00875C2A">
              <w:rPr>
                <w:rFonts w:ascii="Calibri" w:hAnsi="Calibri" w:cs="Calibri"/>
                <w:noProof/>
                <w:lang w:val="en-IE"/>
              </w:rPr>
              <w:t> </w:t>
            </w:r>
            <w:r w:rsidRPr="00875C2A">
              <w:rPr>
                <w:noProof/>
                <w:lang w:val="en-IE"/>
              </w:rPr>
              <w:t xml:space="preserve">898 in </w:t>
            </w:r>
            <w:r>
              <w:rPr>
                <w:noProof/>
                <w:lang w:val="en-IE"/>
              </w:rPr>
              <w:t>2030</w:t>
            </w:r>
          </w:p>
        </w:tc>
        <w:tc>
          <w:tcPr>
            <w:tcW w:w="1530" w:type="dxa"/>
          </w:tcPr>
          <w:p w14:paraId="1FC769CF" w14:textId="77777777" w:rsidR="009B3221" w:rsidRPr="00875C2A" w:rsidRDefault="009B3221" w:rsidP="0083214A">
            <w:pPr>
              <w:jc w:val="center"/>
              <w:rPr>
                <w:noProof/>
                <w:lang w:val="en-IE"/>
              </w:rPr>
            </w:pPr>
            <w:r w:rsidRPr="00875C2A">
              <w:rPr>
                <w:noProof/>
                <w:lang w:val="en-IE"/>
              </w:rPr>
              <w:t>0</w:t>
            </w:r>
            <w:r w:rsidRPr="00875C2A">
              <w:rPr>
                <w:rFonts w:ascii="Calibri" w:hAnsi="Calibri" w:cs="Calibri"/>
                <w:noProof/>
                <w:lang w:val="en-IE"/>
              </w:rPr>
              <w:t> </w:t>
            </w:r>
            <w:r w:rsidRPr="00875C2A">
              <w:rPr>
                <w:noProof/>
                <w:lang w:val="en-IE"/>
              </w:rPr>
              <w:t>compared to a target of 2</w:t>
            </w:r>
            <w:r w:rsidRPr="00875C2A">
              <w:rPr>
                <w:rFonts w:ascii="Calibri" w:hAnsi="Calibri" w:cs="Calibri"/>
                <w:noProof/>
                <w:lang w:val="en-IE"/>
              </w:rPr>
              <w:t> </w:t>
            </w:r>
            <w:r w:rsidRPr="00875C2A">
              <w:rPr>
                <w:noProof/>
                <w:lang w:val="en-IE"/>
              </w:rPr>
              <w:t xml:space="preserve">898 </w:t>
            </w:r>
          </w:p>
        </w:tc>
        <w:tc>
          <w:tcPr>
            <w:tcW w:w="1537" w:type="dxa"/>
          </w:tcPr>
          <w:p w14:paraId="4032EC10" w14:textId="77777777" w:rsidR="009B3221" w:rsidRPr="00875C2A" w:rsidRDefault="009B3221" w:rsidP="0083214A">
            <w:pPr>
              <w:jc w:val="center"/>
              <w:rPr>
                <w:noProof/>
                <w:lang w:val="en-IE"/>
              </w:rPr>
            </w:pPr>
            <w:r w:rsidRPr="00875C2A">
              <w:rPr>
                <w:noProof/>
                <w:lang w:val="en-IE"/>
              </w:rPr>
              <w:t>On track</w:t>
            </w:r>
          </w:p>
        </w:tc>
      </w:tr>
    </w:tbl>
    <w:p w14:paraId="454FBDB7" w14:textId="77777777" w:rsidR="009B3221" w:rsidRPr="00875C2A" w:rsidRDefault="009B3221" w:rsidP="009B3221">
      <w:pPr>
        <w:pStyle w:val="FootnoteText"/>
        <w:spacing w:before="120"/>
        <w:rPr>
          <w:noProof/>
          <w:lang w:val="en-IE"/>
        </w:rPr>
      </w:pPr>
      <w:r w:rsidRPr="00875C2A">
        <w:rPr>
          <w:noProof/>
          <w:lang w:val="en-IE"/>
        </w:rPr>
        <w:t>(*) % of target achieved by the end of 2021</w:t>
      </w:r>
      <w:r>
        <w:rPr>
          <w:noProof/>
          <w:lang w:val="en-IE"/>
        </w:rPr>
        <w:t>.</w:t>
      </w:r>
    </w:p>
    <w:p w14:paraId="1F2DDEFD" w14:textId="77777777" w:rsidR="009B3221" w:rsidRPr="00875C2A" w:rsidRDefault="009B3221" w:rsidP="009B3221">
      <w:pPr>
        <w:pStyle w:val="ppoListHyphened-L1"/>
        <w:rPr>
          <w:bCs/>
          <w:noProof/>
          <w:lang w:val="en-IE"/>
        </w:rPr>
      </w:pPr>
      <w:r w:rsidRPr="00875C2A">
        <w:rPr>
          <w:noProof/>
          <w:lang w:val="en-IE"/>
        </w:rPr>
        <w:t xml:space="preserve">As we are in an early stage of implementation of the 2021-2027 programme, most projects financed </w:t>
      </w:r>
      <w:r>
        <w:rPr>
          <w:noProof/>
          <w:lang w:val="en-IE"/>
        </w:rPr>
        <w:t>from</w:t>
      </w:r>
      <w:r w:rsidRPr="00875C2A">
        <w:rPr>
          <w:noProof/>
          <w:lang w:val="en-IE"/>
        </w:rPr>
        <w:t xml:space="preserve"> the 2021 budget have not started yet.</w:t>
      </w:r>
    </w:p>
    <w:p w14:paraId="3DD04AA8" w14:textId="77777777" w:rsidR="009B3221" w:rsidRPr="00875C2A" w:rsidRDefault="009B3221" w:rsidP="009B3221">
      <w:pPr>
        <w:pStyle w:val="ppoListHyphened-L1"/>
        <w:rPr>
          <w:noProof/>
          <w:lang w:val="en-IE"/>
        </w:rPr>
      </w:pPr>
      <w:r w:rsidRPr="00875C2A">
        <w:rPr>
          <w:noProof/>
          <w:lang w:val="en-IE"/>
        </w:rPr>
        <w:t>The preparatory work for starting the implementation of the programme was successfully completed. The legal framework was finalised with the adoption of the 2021-2024 multiannual work programme. The transition to the Climate, Infrastructure and Environment Executive Agency that took over the implementation of the grants from the Executive Agency for Small and Medium-sized Enterprises happened in a smooth way. The calls for proposals were launched without delays.</w:t>
      </w:r>
    </w:p>
    <w:p w14:paraId="7ACCD217" w14:textId="77777777" w:rsidR="009B3221" w:rsidRPr="00875C2A" w:rsidRDefault="009B3221" w:rsidP="009B3221">
      <w:pPr>
        <w:pStyle w:val="ppoListHyphened-L1"/>
        <w:rPr>
          <w:noProof/>
          <w:lang w:val="en-IE"/>
        </w:rPr>
      </w:pPr>
      <w:r w:rsidRPr="00875C2A">
        <w:rPr>
          <w:noProof/>
          <w:lang w:val="en-IE"/>
        </w:rPr>
        <w:t>Almost 40 calls for proposals were launched in 2021, of which 19 under the new clean energy transition sub-programme.</w:t>
      </w:r>
    </w:p>
    <w:p w14:paraId="1EA4AC00" w14:textId="77777777" w:rsidR="009B3221" w:rsidRPr="00875C2A" w:rsidRDefault="009B3221" w:rsidP="009B3221">
      <w:pPr>
        <w:spacing w:after="160" w:line="259" w:lineRule="auto"/>
        <w:rPr>
          <w:rFonts w:eastAsiaTheme="majorEastAsia" w:cstheme="majorBidi"/>
          <w:noProof/>
          <w:color w:val="016A13" w:themeColor="accent1" w:themeShade="BF"/>
          <w:sz w:val="48"/>
          <w:szCs w:val="32"/>
          <w:lang w:val="en-IE"/>
        </w:rPr>
      </w:pPr>
      <w:r w:rsidRPr="00875C2A">
        <w:rPr>
          <w:noProof/>
          <w:lang w:val="en-IE"/>
        </w:rPr>
        <w:br w:type="page"/>
      </w:r>
    </w:p>
    <w:p w14:paraId="2E67485A" w14:textId="77777777" w:rsidR="009B3221" w:rsidRPr="00875C2A" w:rsidRDefault="009B3221" w:rsidP="009B3221">
      <w:pPr>
        <w:pStyle w:val="ppoHeading4NaturalGreen"/>
        <w:rPr>
          <w:noProof/>
          <w:lang w:val="en-IE"/>
        </w:rPr>
      </w:pPr>
      <w:r w:rsidRPr="00875C2A">
        <w:rPr>
          <w:noProof/>
          <w:lang w:val="en-IE"/>
        </w:rPr>
        <w:t>MULTIANNUAL FINANCIAL FRAMEWORK 2014-2020</w:t>
      </w:r>
      <w:r w:rsidRPr="00875C2A">
        <w:rPr>
          <w:rFonts w:ascii="Calibri" w:hAnsi="Calibri" w:cs="Calibri"/>
          <w:noProof/>
          <w:lang w:val="en-IE"/>
        </w:rPr>
        <w:t> –</w:t>
      </w:r>
      <w:r w:rsidRPr="00875C2A">
        <w:rPr>
          <w:noProof/>
          <w:lang w:val="en-IE"/>
        </w:rPr>
        <w:t xml:space="preserve"> LIFE</w:t>
      </w:r>
    </w:p>
    <w:p w14:paraId="4B4F820E" w14:textId="77777777" w:rsidR="009B3221" w:rsidRPr="00875C2A" w:rsidRDefault="009B3221" w:rsidP="009B3221">
      <w:pPr>
        <w:spacing w:before="120"/>
        <w:rPr>
          <w:noProof/>
          <w:lang w:val="en-IE"/>
        </w:rPr>
      </w:pPr>
      <w:r w:rsidRPr="00875C2A">
        <w:rPr>
          <w:noProof/>
          <w:lang w:val="en-IE"/>
        </w:rPr>
        <w:t>The LIFE programme aims to facilitate the shift towards a sustainable, circular, energy-efficient, renewable energy-based, climate-neutral and climate-resilient economy. LIFE will contribute to reduce greenhouse gas emissions and our vulnerability to the harmful effects of climate change to protect, restore and improve the quality of the environment</w:t>
      </w:r>
      <w:r w:rsidRPr="00875C2A">
        <w:rPr>
          <w:rFonts w:ascii="Calibri" w:hAnsi="Calibri" w:cs="Calibri"/>
          <w:noProof/>
          <w:lang w:val="en-IE"/>
        </w:rPr>
        <w:t> –</w:t>
      </w:r>
      <w:r w:rsidRPr="00875C2A">
        <w:rPr>
          <w:noProof/>
          <w:lang w:val="en-IE"/>
        </w:rPr>
        <w:t xml:space="preserve"> including air, water and soil</w:t>
      </w:r>
      <w:r w:rsidRPr="00875C2A">
        <w:rPr>
          <w:rFonts w:ascii="Calibri" w:hAnsi="Calibri" w:cs="Calibri"/>
          <w:noProof/>
          <w:lang w:val="en-IE"/>
        </w:rPr>
        <w:t> –</w:t>
      </w:r>
      <w:r w:rsidRPr="00875C2A">
        <w:rPr>
          <w:noProof/>
          <w:lang w:val="en-IE"/>
        </w:rPr>
        <w:t xml:space="preserve"> and to halt and reverse biodiversity loss. Moreover, it will tackle the degradation of ecosystems, including through supporting the implementation and management of the Natura 2000 network, thereby contributing to sustainable development. </w:t>
      </w:r>
    </w:p>
    <w:p w14:paraId="443D395D" w14:textId="77777777" w:rsidR="009B3221" w:rsidRPr="00875C2A" w:rsidRDefault="009B3221" w:rsidP="009B3221">
      <w:pPr>
        <w:pStyle w:val="ppoHeading5"/>
        <w:rPr>
          <w:noProof/>
          <w:lang w:val="en-IE"/>
        </w:rPr>
      </w:pPr>
      <w:r w:rsidRPr="00875C2A">
        <w:rPr>
          <w:noProof/>
          <w:lang w:val="en-IE"/>
        </w:rPr>
        <w:t xml:space="preserve"> Budget </w:t>
      </w:r>
    </w:p>
    <w:p w14:paraId="7BCE7C4C" w14:textId="77777777" w:rsidR="009B3221" w:rsidRPr="00875C2A" w:rsidRDefault="009B3221" w:rsidP="009B3221">
      <w:pPr>
        <w:pStyle w:val="ppoTableTabletitle"/>
        <w:rPr>
          <w:noProof/>
          <w:lang w:val="en-IE"/>
        </w:rPr>
      </w:pPr>
      <w:r w:rsidRPr="00875C2A">
        <w:rPr>
          <w:noProof/>
          <w:lang w:val="en-IE"/>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9B3221" w:rsidRPr="00875C2A" w14:paraId="102EE53C" w14:textId="77777777" w:rsidTr="008321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3B8375CE" w14:textId="77777777" w:rsidR="009B3221" w:rsidRPr="00875C2A" w:rsidRDefault="009B3221" w:rsidP="0083214A">
            <w:pPr>
              <w:rPr>
                <w:noProof/>
                <w:lang w:val="en-IE"/>
              </w:rPr>
            </w:pPr>
          </w:p>
        </w:tc>
        <w:tc>
          <w:tcPr>
            <w:tcW w:w="2410" w:type="dxa"/>
          </w:tcPr>
          <w:p w14:paraId="3D4B45F7" w14:textId="77777777" w:rsidR="009B3221" w:rsidRPr="00875C2A" w:rsidRDefault="009B3221" w:rsidP="0083214A">
            <w:pPr>
              <w:cnfStyle w:val="100000000000" w:firstRow="1" w:lastRow="0" w:firstColumn="0" w:lastColumn="0" w:oddVBand="0" w:evenVBand="0" w:oddHBand="0" w:evenHBand="0" w:firstRowFirstColumn="0" w:firstRowLastColumn="0" w:lastRowFirstColumn="0" w:lastRowLastColumn="0"/>
              <w:rPr>
                <w:noProof/>
                <w:lang w:val="en-IE"/>
              </w:rPr>
            </w:pPr>
            <w:r w:rsidRPr="00875C2A">
              <w:rPr>
                <w:noProof/>
                <w:lang w:val="en-IE"/>
              </w:rPr>
              <w:t>Implementation</w:t>
            </w:r>
          </w:p>
        </w:tc>
        <w:tc>
          <w:tcPr>
            <w:tcW w:w="2410" w:type="dxa"/>
          </w:tcPr>
          <w:p w14:paraId="0BC7DE50" w14:textId="36AF9B1B" w:rsidR="009B3221" w:rsidRPr="00875C2A" w:rsidRDefault="003821C6" w:rsidP="0083214A">
            <w:pPr>
              <w:cnfStyle w:val="100000000000" w:firstRow="1" w:lastRow="0" w:firstColumn="0" w:lastColumn="0" w:oddVBand="0" w:evenVBand="0" w:oddHBand="0" w:evenHBand="0" w:firstRowFirstColumn="0" w:firstRowLastColumn="0" w:lastRowFirstColumn="0" w:lastRowLastColumn="0"/>
              <w:rPr>
                <w:noProof/>
                <w:lang w:val="en-IE"/>
              </w:rPr>
            </w:pPr>
            <w:r>
              <w:rPr>
                <w:noProof/>
              </w:rPr>
              <w:t xml:space="preserve">2014-2020 </w:t>
            </w:r>
            <w:r w:rsidR="009B3221" w:rsidRPr="00875C2A">
              <w:rPr>
                <w:noProof/>
                <w:lang w:val="en-IE"/>
              </w:rPr>
              <w:t>Budget</w:t>
            </w:r>
          </w:p>
        </w:tc>
        <w:tc>
          <w:tcPr>
            <w:tcW w:w="2410" w:type="dxa"/>
          </w:tcPr>
          <w:p w14:paraId="0DA864C7" w14:textId="77777777" w:rsidR="009B3221" w:rsidRPr="00875C2A" w:rsidRDefault="009B3221" w:rsidP="0083214A">
            <w:pPr>
              <w:cnfStyle w:val="100000000000" w:firstRow="1" w:lastRow="0" w:firstColumn="0" w:lastColumn="0" w:oddVBand="0" w:evenVBand="0" w:oddHBand="0" w:evenHBand="0" w:firstRowFirstColumn="0" w:firstRowLastColumn="0" w:lastRowFirstColumn="0" w:lastRowLastColumn="0"/>
              <w:rPr>
                <w:noProof/>
                <w:lang w:val="en-IE"/>
              </w:rPr>
            </w:pPr>
            <w:r w:rsidRPr="00875C2A">
              <w:rPr>
                <w:noProof/>
                <w:lang w:val="en-IE"/>
              </w:rPr>
              <w:t>Implementation rate</w:t>
            </w:r>
          </w:p>
        </w:tc>
      </w:tr>
      <w:tr w:rsidR="009B3221" w:rsidRPr="00875C2A" w14:paraId="00587003"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721CF873" w14:textId="77777777" w:rsidR="009B3221" w:rsidRPr="00875C2A" w:rsidRDefault="009B3221" w:rsidP="0083214A">
            <w:pPr>
              <w:jc w:val="center"/>
              <w:rPr>
                <w:noProof/>
                <w:lang w:val="en-IE"/>
              </w:rPr>
            </w:pPr>
            <w:r w:rsidRPr="00875C2A">
              <w:rPr>
                <w:noProof/>
                <w:lang w:val="en-IE"/>
              </w:rPr>
              <w:t>Commitments</w:t>
            </w:r>
          </w:p>
        </w:tc>
        <w:tc>
          <w:tcPr>
            <w:tcW w:w="2410" w:type="dxa"/>
          </w:tcPr>
          <w:tbl>
            <w:tblPr>
              <w:tblStyle w:val="TableGrid"/>
              <w:tblW w:w="0" w:type="auto"/>
              <w:tblLook w:val="06A0" w:firstRow="1" w:lastRow="0" w:firstColumn="1" w:lastColumn="0" w:noHBand="1" w:noVBand="1"/>
            </w:tblPr>
            <w:tblGrid>
              <w:gridCol w:w="2194"/>
            </w:tblGrid>
            <w:tr w:rsidR="009B3221" w:rsidRPr="00875C2A" w14:paraId="7334539E" w14:textId="77777777" w:rsidTr="0083214A">
              <w:trPr>
                <w:trHeight w:val="285"/>
              </w:trPr>
              <w:tc>
                <w:tcPr>
                  <w:tcW w:w="2290" w:type="dxa"/>
                  <w:tcBorders>
                    <w:top w:val="nil"/>
                    <w:left w:val="nil"/>
                    <w:bottom w:val="nil"/>
                    <w:right w:val="nil"/>
                  </w:tcBorders>
                  <w:vAlign w:val="bottom"/>
                </w:tcPr>
                <w:p w14:paraId="5C7442D2" w14:textId="77777777" w:rsidR="009B3221" w:rsidRPr="00875C2A" w:rsidRDefault="009B3221" w:rsidP="0083214A">
                  <w:pPr>
                    <w:spacing w:before="100" w:after="100"/>
                    <w:jc w:val="center"/>
                    <w:rPr>
                      <w:noProof/>
                      <w:lang w:val="en-IE"/>
                    </w:rPr>
                  </w:pPr>
                  <w:r w:rsidRPr="00875C2A">
                    <w:rPr>
                      <w:noProof/>
                      <w:lang w:val="en-IE"/>
                    </w:rPr>
                    <w:t>3</w:t>
                  </w:r>
                  <w:r w:rsidRPr="00875C2A">
                    <w:rPr>
                      <w:rFonts w:ascii="Calibri" w:hAnsi="Calibri" w:cs="Calibri"/>
                      <w:noProof/>
                      <w:lang w:val="en-IE"/>
                    </w:rPr>
                    <w:t> </w:t>
                  </w:r>
                  <w:r w:rsidRPr="00875C2A">
                    <w:rPr>
                      <w:noProof/>
                      <w:lang w:val="en-IE"/>
                    </w:rPr>
                    <w:t>464.4</w:t>
                  </w:r>
                </w:p>
              </w:tc>
            </w:tr>
          </w:tbl>
          <w:p w14:paraId="3978D2BA" w14:textId="77777777" w:rsidR="009B3221" w:rsidRPr="00875C2A" w:rsidRDefault="009B3221"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9B3221" w:rsidRPr="00875C2A" w14:paraId="06B49444" w14:textId="77777777" w:rsidTr="0083214A">
              <w:trPr>
                <w:trHeight w:val="285"/>
              </w:trPr>
              <w:tc>
                <w:tcPr>
                  <w:tcW w:w="2290" w:type="dxa"/>
                  <w:tcBorders>
                    <w:top w:val="nil"/>
                    <w:left w:val="nil"/>
                    <w:bottom w:val="nil"/>
                    <w:right w:val="nil"/>
                  </w:tcBorders>
                  <w:vAlign w:val="bottom"/>
                </w:tcPr>
                <w:p w14:paraId="6B390CFF" w14:textId="77777777" w:rsidR="009B3221" w:rsidRPr="00875C2A" w:rsidRDefault="009B3221" w:rsidP="0083214A">
                  <w:pPr>
                    <w:spacing w:before="100" w:after="100"/>
                    <w:jc w:val="center"/>
                    <w:rPr>
                      <w:noProof/>
                      <w:lang w:val="en-IE"/>
                    </w:rPr>
                  </w:pPr>
                  <w:r w:rsidRPr="00875C2A">
                    <w:rPr>
                      <w:noProof/>
                      <w:lang w:val="en-IE"/>
                    </w:rPr>
                    <w:t>3</w:t>
                  </w:r>
                  <w:r w:rsidRPr="00875C2A">
                    <w:rPr>
                      <w:rFonts w:ascii="Calibri" w:hAnsi="Calibri" w:cs="Calibri"/>
                      <w:noProof/>
                      <w:lang w:val="en-IE"/>
                    </w:rPr>
                    <w:t> </w:t>
                  </w:r>
                  <w:r w:rsidRPr="00875C2A">
                    <w:rPr>
                      <w:noProof/>
                      <w:lang w:val="en-IE"/>
                    </w:rPr>
                    <w:t>466.4</w:t>
                  </w:r>
                </w:p>
              </w:tc>
            </w:tr>
          </w:tbl>
          <w:p w14:paraId="58A8B178" w14:textId="77777777" w:rsidR="009B3221" w:rsidRPr="00875C2A" w:rsidRDefault="009B3221"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9B3221" w:rsidRPr="00875C2A" w14:paraId="40D7D96F" w14:textId="77777777" w:rsidTr="0083214A">
              <w:trPr>
                <w:trHeight w:val="285"/>
              </w:trPr>
              <w:tc>
                <w:tcPr>
                  <w:tcW w:w="2290" w:type="dxa"/>
                  <w:tcBorders>
                    <w:top w:val="nil"/>
                    <w:left w:val="nil"/>
                    <w:bottom w:val="nil"/>
                    <w:right w:val="nil"/>
                  </w:tcBorders>
                  <w:vAlign w:val="bottom"/>
                </w:tcPr>
                <w:p w14:paraId="5AAD2E58" w14:textId="77777777" w:rsidR="009B3221" w:rsidRPr="00875C2A" w:rsidRDefault="009B3221" w:rsidP="0083214A">
                  <w:pPr>
                    <w:spacing w:before="100" w:after="100"/>
                    <w:jc w:val="center"/>
                    <w:rPr>
                      <w:noProof/>
                      <w:lang w:val="en-IE"/>
                    </w:rPr>
                  </w:pPr>
                  <w:r w:rsidRPr="00875C2A">
                    <w:rPr>
                      <w:noProof/>
                      <w:lang w:val="en-IE"/>
                    </w:rPr>
                    <w:t>100%</w:t>
                  </w:r>
                </w:p>
              </w:tc>
            </w:tr>
          </w:tbl>
          <w:p w14:paraId="33BD4DA5" w14:textId="77777777" w:rsidR="009B3221" w:rsidRPr="00875C2A" w:rsidRDefault="009B3221"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r>
      <w:tr w:rsidR="009B3221" w:rsidRPr="00875C2A" w14:paraId="10497FB7"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5BCDD7FD" w14:textId="77777777" w:rsidR="009B3221" w:rsidRPr="00875C2A" w:rsidRDefault="009B3221" w:rsidP="0083214A">
            <w:pPr>
              <w:jc w:val="center"/>
              <w:rPr>
                <w:noProof/>
                <w:lang w:val="en-IE"/>
              </w:rPr>
            </w:pPr>
            <w:r w:rsidRPr="00875C2A">
              <w:rPr>
                <w:noProof/>
                <w:lang w:val="en-IE"/>
              </w:rPr>
              <w:t>Payments</w:t>
            </w:r>
          </w:p>
        </w:tc>
        <w:tc>
          <w:tcPr>
            <w:tcW w:w="2410" w:type="dxa"/>
          </w:tcPr>
          <w:tbl>
            <w:tblPr>
              <w:tblStyle w:val="TableGrid"/>
              <w:tblW w:w="0" w:type="auto"/>
              <w:tblLook w:val="06A0" w:firstRow="1" w:lastRow="0" w:firstColumn="1" w:lastColumn="0" w:noHBand="1" w:noVBand="1"/>
            </w:tblPr>
            <w:tblGrid>
              <w:gridCol w:w="2194"/>
            </w:tblGrid>
            <w:tr w:rsidR="009B3221" w:rsidRPr="00875C2A" w14:paraId="7C43FC07" w14:textId="77777777" w:rsidTr="0083214A">
              <w:trPr>
                <w:trHeight w:val="285"/>
              </w:trPr>
              <w:tc>
                <w:tcPr>
                  <w:tcW w:w="2290" w:type="dxa"/>
                  <w:tcBorders>
                    <w:top w:val="nil"/>
                    <w:left w:val="nil"/>
                    <w:bottom w:val="nil"/>
                    <w:right w:val="nil"/>
                  </w:tcBorders>
                  <w:vAlign w:val="bottom"/>
                </w:tcPr>
                <w:p w14:paraId="02E3E7E5" w14:textId="77777777" w:rsidR="009B3221" w:rsidRPr="00875C2A" w:rsidRDefault="009B3221" w:rsidP="0083214A">
                  <w:pPr>
                    <w:spacing w:before="100" w:after="100"/>
                    <w:jc w:val="center"/>
                    <w:rPr>
                      <w:noProof/>
                      <w:lang w:val="en-IE"/>
                    </w:rPr>
                  </w:pPr>
                  <w:r w:rsidRPr="00875C2A">
                    <w:rPr>
                      <w:noProof/>
                      <w:lang w:val="en-IE"/>
                    </w:rPr>
                    <w:t>1</w:t>
                  </w:r>
                  <w:r w:rsidRPr="00875C2A">
                    <w:rPr>
                      <w:rFonts w:ascii="Calibri" w:hAnsi="Calibri" w:cs="Calibri"/>
                      <w:noProof/>
                      <w:lang w:val="en-IE"/>
                    </w:rPr>
                    <w:t> </w:t>
                  </w:r>
                  <w:r w:rsidRPr="00875C2A">
                    <w:rPr>
                      <w:noProof/>
                      <w:lang w:val="en-IE"/>
                    </w:rPr>
                    <w:t>962.3</w:t>
                  </w:r>
                </w:p>
              </w:tc>
            </w:tr>
          </w:tbl>
          <w:p w14:paraId="57288F75" w14:textId="77777777" w:rsidR="009B3221" w:rsidRPr="00875C2A" w:rsidRDefault="009B3221"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p w14:paraId="4A145019" w14:textId="77777777" w:rsidR="009B3221" w:rsidRPr="00875C2A" w:rsidRDefault="009B3221"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9B3221" w:rsidRPr="00875C2A" w14:paraId="4034929F" w14:textId="77777777" w:rsidTr="0083214A">
              <w:trPr>
                <w:trHeight w:val="285"/>
              </w:trPr>
              <w:tc>
                <w:tcPr>
                  <w:tcW w:w="2235" w:type="dxa"/>
                  <w:tcBorders>
                    <w:top w:val="nil"/>
                    <w:left w:val="nil"/>
                    <w:bottom w:val="nil"/>
                    <w:right w:val="nil"/>
                  </w:tcBorders>
                  <w:vAlign w:val="bottom"/>
                </w:tcPr>
                <w:p w14:paraId="0851ABB2" w14:textId="77777777" w:rsidR="009B3221" w:rsidRPr="00875C2A" w:rsidRDefault="009B3221" w:rsidP="0083214A">
                  <w:pPr>
                    <w:spacing w:before="100" w:after="100"/>
                    <w:jc w:val="center"/>
                    <w:rPr>
                      <w:noProof/>
                      <w:lang w:val="en-IE"/>
                    </w:rPr>
                  </w:pPr>
                  <w:r w:rsidRPr="00875C2A">
                    <w:rPr>
                      <w:noProof/>
                      <w:lang w:val="en-IE"/>
                    </w:rPr>
                    <w:t>57%</w:t>
                  </w:r>
                </w:p>
              </w:tc>
            </w:tr>
          </w:tbl>
          <w:p w14:paraId="3BE9B820" w14:textId="77777777" w:rsidR="009B3221" w:rsidRPr="00875C2A" w:rsidRDefault="009B3221"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r>
    </w:tbl>
    <w:p w14:paraId="6EB54C05" w14:textId="77777777" w:rsidR="009B3221" w:rsidRPr="00875C2A" w:rsidRDefault="009B3221" w:rsidP="009B3221">
      <w:pPr>
        <w:pStyle w:val="ppoListHyphened-L1"/>
        <w:rPr>
          <w:noProof/>
          <w:lang w:val="en-IE"/>
        </w:rPr>
      </w:pPr>
      <w:r w:rsidRPr="00875C2A">
        <w:rPr>
          <w:noProof/>
          <w:lang w:val="en-IE"/>
        </w:rPr>
        <w:t>The required payment funds will mainly be used to finance ongoing projects and relevant contracts. Most of the projects and contracts are multiannual and payments are made in instalments.</w:t>
      </w:r>
    </w:p>
    <w:p w14:paraId="3C325307" w14:textId="77777777" w:rsidR="009B3221" w:rsidRPr="00875C2A" w:rsidRDefault="009B3221" w:rsidP="009B3221">
      <w:pPr>
        <w:pStyle w:val="ppoHeading5"/>
        <w:rPr>
          <w:noProof/>
          <w:lang w:val="en-IE"/>
        </w:rPr>
      </w:pPr>
      <w:r w:rsidRPr="00875C2A">
        <w:rPr>
          <w:noProof/>
          <w:lang w:val="en-IE"/>
        </w:rPr>
        <w:t>Performance assessment</w:t>
      </w:r>
    </w:p>
    <w:p w14:paraId="71A80D14" w14:textId="77777777" w:rsidR="009B3221" w:rsidRPr="00875C2A" w:rsidRDefault="009B3221" w:rsidP="009B3221">
      <w:pPr>
        <w:pStyle w:val="ppoHeading6"/>
        <w:rPr>
          <w:noProof/>
          <w:lang w:val="en-IE"/>
        </w:rPr>
      </w:pPr>
      <w:r w:rsidRPr="00875C2A">
        <w:rPr>
          <w:noProof/>
          <w:lang w:val="en-IE"/>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9B3221" w:rsidRPr="00875C2A" w14:paraId="3EAEC075" w14:textId="77777777" w:rsidTr="0083214A">
        <w:trPr>
          <w:cnfStyle w:val="100000000000" w:firstRow="1" w:lastRow="0" w:firstColumn="0" w:lastColumn="0" w:oddVBand="0" w:evenVBand="0" w:oddHBand="0" w:evenHBand="0" w:firstRowFirstColumn="0" w:firstRowLastColumn="0" w:lastRowFirstColumn="0" w:lastRowLastColumn="0"/>
        </w:trPr>
        <w:tc>
          <w:tcPr>
            <w:tcW w:w="2330" w:type="dxa"/>
          </w:tcPr>
          <w:p w14:paraId="570ABACA" w14:textId="77777777" w:rsidR="009B3221" w:rsidRPr="00875C2A" w:rsidRDefault="009B3221" w:rsidP="0083214A">
            <w:pPr>
              <w:rPr>
                <w:noProof/>
                <w:lang w:val="en-IE"/>
              </w:rPr>
            </w:pPr>
          </w:p>
        </w:tc>
        <w:tc>
          <w:tcPr>
            <w:tcW w:w="1100" w:type="dxa"/>
          </w:tcPr>
          <w:p w14:paraId="51ACC168" w14:textId="77777777" w:rsidR="009B3221" w:rsidRPr="00875C2A" w:rsidRDefault="009B3221" w:rsidP="0083214A">
            <w:pPr>
              <w:rPr>
                <w:noProof/>
                <w:lang w:val="en-IE"/>
              </w:rPr>
            </w:pPr>
            <w:r w:rsidRPr="00875C2A">
              <w:rPr>
                <w:noProof/>
                <w:lang w:val="en-IE"/>
              </w:rPr>
              <w:t>Baseline</w:t>
            </w:r>
          </w:p>
        </w:tc>
        <w:tc>
          <w:tcPr>
            <w:tcW w:w="1526" w:type="dxa"/>
          </w:tcPr>
          <w:p w14:paraId="6B848D71" w14:textId="77777777" w:rsidR="009B3221" w:rsidRPr="00875C2A" w:rsidRDefault="009B3221" w:rsidP="0083214A">
            <w:pPr>
              <w:rPr>
                <w:noProof/>
                <w:lang w:val="en-IE"/>
              </w:rPr>
            </w:pPr>
            <w:r w:rsidRPr="00875C2A">
              <w:rPr>
                <w:noProof/>
                <w:lang w:val="en-IE"/>
              </w:rPr>
              <w:t>Progress</w:t>
            </w:r>
          </w:p>
        </w:tc>
        <w:tc>
          <w:tcPr>
            <w:tcW w:w="1532" w:type="dxa"/>
          </w:tcPr>
          <w:p w14:paraId="57332003" w14:textId="77777777" w:rsidR="009B3221" w:rsidRPr="00875C2A" w:rsidRDefault="009B3221" w:rsidP="0083214A">
            <w:pPr>
              <w:rPr>
                <w:noProof/>
                <w:lang w:val="en-IE"/>
              </w:rPr>
            </w:pPr>
            <w:r w:rsidRPr="00875C2A">
              <w:rPr>
                <w:noProof/>
                <w:lang w:val="en-IE"/>
              </w:rPr>
              <w:t>Target</w:t>
            </w:r>
          </w:p>
        </w:tc>
        <w:tc>
          <w:tcPr>
            <w:tcW w:w="1572" w:type="dxa"/>
          </w:tcPr>
          <w:p w14:paraId="5F5FE596" w14:textId="77777777" w:rsidR="009B3221" w:rsidRPr="00875C2A" w:rsidRDefault="009B3221" w:rsidP="0083214A">
            <w:pPr>
              <w:rPr>
                <w:noProof/>
                <w:lang w:val="en-IE"/>
              </w:rPr>
            </w:pPr>
            <w:r w:rsidRPr="00875C2A">
              <w:rPr>
                <w:noProof/>
                <w:lang w:val="en-IE"/>
              </w:rPr>
              <w:t>Results</w:t>
            </w:r>
          </w:p>
        </w:tc>
        <w:tc>
          <w:tcPr>
            <w:tcW w:w="1579" w:type="dxa"/>
          </w:tcPr>
          <w:p w14:paraId="7CF784CE" w14:textId="77777777" w:rsidR="009B3221" w:rsidRPr="00875C2A" w:rsidRDefault="009B3221" w:rsidP="0083214A">
            <w:pPr>
              <w:rPr>
                <w:noProof/>
                <w:lang w:val="en-IE"/>
              </w:rPr>
            </w:pPr>
            <w:r w:rsidRPr="00875C2A">
              <w:rPr>
                <w:noProof/>
                <w:lang w:val="en-IE"/>
              </w:rPr>
              <w:t>Assessment</w:t>
            </w:r>
          </w:p>
        </w:tc>
      </w:tr>
      <w:tr w:rsidR="009B3221" w:rsidRPr="00875C2A" w14:paraId="57991EA7"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511A1874" w14:textId="77777777" w:rsidR="009B3221" w:rsidRPr="00875C2A" w:rsidRDefault="009B3221" w:rsidP="0083214A">
            <w:pPr>
              <w:rPr>
                <w:noProof/>
                <w:lang w:val="en-IE"/>
              </w:rPr>
            </w:pPr>
            <w:r w:rsidRPr="00875C2A">
              <w:rPr>
                <w:noProof/>
                <w:lang w:val="en-IE"/>
              </w:rPr>
              <w:t>Implementation of the seventh environment action programme</w:t>
            </w:r>
          </w:p>
        </w:tc>
        <w:tc>
          <w:tcPr>
            <w:tcW w:w="1100" w:type="dxa"/>
          </w:tcPr>
          <w:p w14:paraId="7128ECB5" w14:textId="77777777" w:rsidR="009B3221" w:rsidRPr="00875C2A" w:rsidRDefault="009B3221" w:rsidP="0083214A">
            <w:pPr>
              <w:jc w:val="center"/>
              <w:rPr>
                <w:noProof/>
                <w:lang w:val="en-IE"/>
              </w:rPr>
            </w:pPr>
          </w:p>
        </w:tc>
        <w:tc>
          <w:tcPr>
            <w:tcW w:w="1526" w:type="dxa"/>
          </w:tcPr>
          <w:p w14:paraId="4A0DE266" w14:textId="77777777" w:rsidR="009B3221" w:rsidRPr="00875C2A" w:rsidRDefault="009B3221" w:rsidP="0083214A">
            <w:pPr>
              <w:jc w:val="center"/>
              <w:rPr>
                <w:b/>
                <w:noProof/>
                <w:lang w:val="en-IE"/>
              </w:rPr>
            </w:pPr>
            <w:r w:rsidRPr="00875C2A">
              <w:rPr>
                <w:b/>
                <w:noProof/>
                <w:lang w:val="en-IE"/>
              </w:rPr>
              <w:t>&gt;</w:t>
            </w:r>
            <w:r w:rsidRPr="00875C2A">
              <w:rPr>
                <w:rFonts w:ascii="Calibri" w:hAnsi="Calibri" w:cs="Calibri"/>
                <w:b/>
                <w:noProof/>
                <w:lang w:val="en-IE"/>
              </w:rPr>
              <w:t> </w:t>
            </w:r>
            <w:r w:rsidRPr="00875C2A">
              <w:rPr>
                <w:b/>
                <w:noProof/>
                <w:lang w:val="en-IE"/>
              </w:rPr>
              <w:t>100%</w:t>
            </w:r>
            <w:r w:rsidRPr="00875C2A">
              <w:rPr>
                <w:rFonts w:ascii="Calibri" w:hAnsi="Calibri" w:cs="Calibri"/>
                <w:b/>
                <w:noProof/>
                <w:lang w:val="en-IE"/>
              </w:rPr>
              <w:t> </w:t>
            </w:r>
            <w:r w:rsidRPr="00875C2A">
              <w:rPr>
                <w:b/>
                <w:noProof/>
                <w:lang w:val="en-IE"/>
              </w:rPr>
              <w:t>(*)</w:t>
            </w:r>
          </w:p>
        </w:tc>
        <w:tc>
          <w:tcPr>
            <w:tcW w:w="1532" w:type="dxa"/>
          </w:tcPr>
          <w:p w14:paraId="11B34CA2" w14:textId="77777777" w:rsidR="009B3221" w:rsidRPr="00875C2A" w:rsidRDefault="009B3221" w:rsidP="0083214A">
            <w:pPr>
              <w:jc w:val="center"/>
              <w:rPr>
                <w:noProof/>
                <w:lang w:val="en-IE"/>
              </w:rPr>
            </w:pPr>
            <w:r w:rsidRPr="00875C2A">
              <w:rPr>
                <w:noProof/>
                <w:lang w:val="en-IE"/>
              </w:rPr>
              <w:t>1</w:t>
            </w:r>
            <w:r w:rsidRPr="00875C2A">
              <w:rPr>
                <w:rFonts w:ascii="Calibri" w:hAnsi="Calibri" w:cs="Calibri"/>
                <w:noProof/>
                <w:lang w:val="en-IE"/>
              </w:rPr>
              <w:t> </w:t>
            </w:r>
            <w:r w:rsidRPr="00875C2A">
              <w:rPr>
                <w:noProof/>
                <w:lang w:val="en-IE"/>
              </w:rPr>
              <w:t>700</w:t>
            </w:r>
          </w:p>
        </w:tc>
        <w:tc>
          <w:tcPr>
            <w:tcW w:w="1572" w:type="dxa"/>
          </w:tcPr>
          <w:p w14:paraId="268F93B5" w14:textId="77777777" w:rsidR="009B3221" w:rsidRPr="00875C2A" w:rsidRDefault="009B3221" w:rsidP="0083214A">
            <w:pPr>
              <w:jc w:val="center"/>
              <w:rPr>
                <w:noProof/>
                <w:lang w:val="en-IE"/>
              </w:rPr>
            </w:pPr>
            <w:r w:rsidRPr="00875C2A">
              <w:rPr>
                <w:noProof/>
                <w:lang w:val="en-IE"/>
              </w:rPr>
              <w:t>2</w:t>
            </w:r>
            <w:r w:rsidRPr="00875C2A">
              <w:rPr>
                <w:rFonts w:ascii="Calibri" w:hAnsi="Calibri" w:cs="Calibri"/>
                <w:noProof/>
                <w:lang w:val="en-IE"/>
              </w:rPr>
              <w:t> </w:t>
            </w:r>
            <w:r w:rsidRPr="00875C2A">
              <w:rPr>
                <w:noProof/>
                <w:lang w:val="en-IE"/>
              </w:rPr>
              <w:t>999 interventions compared to a target of 1</w:t>
            </w:r>
            <w:r w:rsidRPr="00875C2A">
              <w:rPr>
                <w:rFonts w:ascii="Calibri" w:hAnsi="Calibri" w:cs="Calibri"/>
                <w:noProof/>
                <w:lang w:val="en-IE"/>
              </w:rPr>
              <w:t> </w:t>
            </w:r>
            <w:r w:rsidRPr="00875C2A">
              <w:rPr>
                <w:noProof/>
                <w:lang w:val="en-IE"/>
              </w:rPr>
              <w:t>700</w:t>
            </w:r>
          </w:p>
        </w:tc>
        <w:tc>
          <w:tcPr>
            <w:tcW w:w="1579" w:type="dxa"/>
          </w:tcPr>
          <w:p w14:paraId="6D224AB6" w14:textId="2C34D614" w:rsidR="009B3221" w:rsidRPr="00875C2A" w:rsidRDefault="00244B68" w:rsidP="0083214A">
            <w:pPr>
              <w:jc w:val="center"/>
              <w:rPr>
                <w:noProof/>
                <w:lang w:val="en-IE"/>
              </w:rPr>
            </w:pPr>
            <w:r>
              <w:rPr>
                <w:noProof/>
                <w:lang w:val="en-IE"/>
              </w:rPr>
              <w:t>On track</w:t>
            </w:r>
          </w:p>
        </w:tc>
      </w:tr>
      <w:tr w:rsidR="009B3221" w:rsidRPr="00875C2A" w14:paraId="0133DDED"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2839D44C" w14:textId="77777777" w:rsidR="009B3221" w:rsidRPr="00875C2A" w:rsidRDefault="009B3221" w:rsidP="0083214A">
            <w:pPr>
              <w:rPr>
                <w:noProof/>
                <w:lang w:val="en-IE"/>
              </w:rPr>
            </w:pPr>
            <w:r w:rsidRPr="00875C2A">
              <w:rPr>
                <w:noProof/>
                <w:lang w:val="en-IE"/>
              </w:rPr>
              <w:t>Population benefiting from improved air quality</w:t>
            </w:r>
          </w:p>
        </w:tc>
        <w:tc>
          <w:tcPr>
            <w:tcW w:w="1100" w:type="dxa"/>
          </w:tcPr>
          <w:p w14:paraId="4D92231A" w14:textId="77777777" w:rsidR="009B3221" w:rsidRPr="00875C2A" w:rsidRDefault="009B3221" w:rsidP="0083214A">
            <w:pPr>
              <w:jc w:val="center"/>
              <w:rPr>
                <w:noProof/>
                <w:lang w:val="en-IE"/>
              </w:rPr>
            </w:pPr>
          </w:p>
        </w:tc>
        <w:tc>
          <w:tcPr>
            <w:tcW w:w="1526" w:type="dxa"/>
          </w:tcPr>
          <w:p w14:paraId="7A597ED3" w14:textId="77777777" w:rsidR="009B3221" w:rsidRPr="00875C2A" w:rsidRDefault="009B3221" w:rsidP="0083214A">
            <w:pPr>
              <w:jc w:val="center"/>
              <w:rPr>
                <w:b/>
                <w:noProof/>
                <w:lang w:val="en-IE"/>
              </w:rPr>
            </w:pPr>
            <w:r w:rsidRPr="00875C2A">
              <w:rPr>
                <w:b/>
                <w:noProof/>
                <w:lang w:val="en-IE"/>
              </w:rPr>
              <w:t>&gt;</w:t>
            </w:r>
            <w:r w:rsidRPr="00875C2A">
              <w:rPr>
                <w:rFonts w:ascii="Calibri" w:hAnsi="Calibri" w:cs="Calibri"/>
                <w:b/>
                <w:noProof/>
                <w:lang w:val="en-IE"/>
              </w:rPr>
              <w:t> </w:t>
            </w:r>
            <w:r w:rsidRPr="00875C2A">
              <w:rPr>
                <w:b/>
                <w:noProof/>
                <w:lang w:val="en-IE"/>
              </w:rPr>
              <w:t>100%</w:t>
            </w:r>
            <w:r w:rsidRPr="00875C2A">
              <w:rPr>
                <w:rFonts w:ascii="Calibri" w:hAnsi="Calibri" w:cs="Calibri"/>
                <w:b/>
                <w:noProof/>
                <w:lang w:val="en-IE"/>
              </w:rPr>
              <w:t> </w:t>
            </w:r>
            <w:r w:rsidRPr="00875C2A">
              <w:rPr>
                <w:b/>
                <w:noProof/>
                <w:lang w:val="en-IE"/>
              </w:rPr>
              <w:t>(**)</w:t>
            </w:r>
          </w:p>
        </w:tc>
        <w:tc>
          <w:tcPr>
            <w:tcW w:w="1532" w:type="dxa"/>
          </w:tcPr>
          <w:p w14:paraId="56635172" w14:textId="77777777" w:rsidR="009B3221" w:rsidRPr="00875C2A" w:rsidRDefault="009B3221" w:rsidP="0083214A">
            <w:pPr>
              <w:jc w:val="center"/>
              <w:rPr>
                <w:noProof/>
                <w:lang w:val="en-IE"/>
              </w:rPr>
            </w:pPr>
            <w:r w:rsidRPr="00875C2A">
              <w:rPr>
                <w:noProof/>
                <w:lang w:val="en-IE"/>
              </w:rPr>
              <w:t>1.4</w:t>
            </w:r>
            <w:r w:rsidRPr="00875C2A">
              <w:rPr>
                <w:rFonts w:ascii="Calibri" w:hAnsi="Calibri" w:cs="Calibri"/>
                <w:noProof/>
                <w:lang w:val="en-IE"/>
              </w:rPr>
              <w:t> </w:t>
            </w:r>
            <w:r w:rsidRPr="00875C2A">
              <w:rPr>
                <w:noProof/>
                <w:lang w:val="en-IE"/>
              </w:rPr>
              <w:t>million</w:t>
            </w:r>
          </w:p>
        </w:tc>
        <w:tc>
          <w:tcPr>
            <w:tcW w:w="1572" w:type="dxa"/>
          </w:tcPr>
          <w:p w14:paraId="3B3878BA" w14:textId="77777777" w:rsidR="009B3221" w:rsidRPr="00875C2A" w:rsidRDefault="009B3221" w:rsidP="0083214A">
            <w:pPr>
              <w:jc w:val="center"/>
              <w:rPr>
                <w:noProof/>
                <w:lang w:val="en-IE"/>
              </w:rPr>
            </w:pPr>
            <w:r w:rsidRPr="00875C2A">
              <w:rPr>
                <w:noProof/>
                <w:lang w:val="en-IE"/>
              </w:rPr>
              <w:t>1.9</w:t>
            </w:r>
            <w:r w:rsidRPr="00875C2A">
              <w:rPr>
                <w:rFonts w:ascii="Calibri" w:hAnsi="Calibri" w:cs="Calibri"/>
                <w:noProof/>
                <w:lang w:val="en-IE"/>
              </w:rPr>
              <w:t> </w:t>
            </w:r>
            <w:r w:rsidRPr="00875C2A">
              <w:rPr>
                <w:noProof/>
                <w:lang w:val="en-IE"/>
              </w:rPr>
              <w:t>million people compared to a target of 1.4</w:t>
            </w:r>
            <w:r w:rsidRPr="00875C2A">
              <w:rPr>
                <w:rFonts w:ascii="Calibri" w:hAnsi="Calibri" w:cs="Calibri"/>
                <w:noProof/>
                <w:lang w:val="en-IE"/>
              </w:rPr>
              <w:t> </w:t>
            </w:r>
            <w:r w:rsidRPr="00875C2A">
              <w:rPr>
                <w:noProof/>
                <w:lang w:val="en-IE"/>
              </w:rPr>
              <w:t>million</w:t>
            </w:r>
          </w:p>
        </w:tc>
        <w:tc>
          <w:tcPr>
            <w:tcW w:w="1579" w:type="dxa"/>
          </w:tcPr>
          <w:p w14:paraId="007C4A25" w14:textId="0B1C9140" w:rsidR="009B3221" w:rsidRPr="00875C2A" w:rsidRDefault="00244B68" w:rsidP="0083214A">
            <w:pPr>
              <w:jc w:val="center"/>
              <w:rPr>
                <w:noProof/>
                <w:lang w:val="en-IE"/>
              </w:rPr>
            </w:pPr>
            <w:r>
              <w:rPr>
                <w:noProof/>
                <w:lang w:val="en-IE"/>
              </w:rPr>
              <w:t>On track</w:t>
            </w:r>
          </w:p>
          <w:p w14:paraId="3B35275D" w14:textId="77777777" w:rsidR="009B3221" w:rsidRPr="00875C2A" w:rsidRDefault="009B3221" w:rsidP="0083214A">
            <w:pPr>
              <w:jc w:val="center"/>
              <w:rPr>
                <w:noProof/>
                <w:lang w:val="en-IE"/>
              </w:rPr>
            </w:pPr>
          </w:p>
        </w:tc>
      </w:tr>
    </w:tbl>
    <w:p w14:paraId="3DD58272" w14:textId="77777777" w:rsidR="009B3221" w:rsidRPr="00875C2A" w:rsidRDefault="009B3221" w:rsidP="009B3221">
      <w:pPr>
        <w:pStyle w:val="FootnoteText"/>
        <w:rPr>
          <w:noProof/>
          <w:lang w:val="en-IE"/>
        </w:rPr>
      </w:pPr>
      <w:r w:rsidRPr="00875C2A">
        <w:rPr>
          <w:noProof/>
          <w:lang w:val="en-IE"/>
        </w:rPr>
        <w:t xml:space="preserve">(*) </w:t>
      </w:r>
      <w:r w:rsidRPr="00875C2A">
        <w:rPr>
          <w:noProof/>
          <w:lang w:val="en-IE"/>
        </w:rPr>
        <w:tab/>
        <w:t>% of target achieved by the end of 2021.</w:t>
      </w:r>
    </w:p>
    <w:p w14:paraId="42FA35D8" w14:textId="77777777" w:rsidR="009B3221" w:rsidRPr="00875C2A" w:rsidRDefault="009B3221" w:rsidP="009B3221">
      <w:pPr>
        <w:pStyle w:val="FootnoteText"/>
        <w:rPr>
          <w:noProof/>
          <w:lang w:val="en-IE"/>
        </w:rPr>
      </w:pPr>
      <w:r w:rsidRPr="00875C2A">
        <w:rPr>
          <w:noProof/>
          <w:lang w:val="en-IE"/>
        </w:rPr>
        <w:t xml:space="preserve">(**) </w:t>
      </w:r>
      <w:r w:rsidRPr="00875C2A">
        <w:rPr>
          <w:noProof/>
          <w:lang w:val="en-IE"/>
        </w:rPr>
        <w:tab/>
        <w:t>% of target achieved by the end of 2020.</w:t>
      </w:r>
    </w:p>
    <w:p w14:paraId="13F06A07" w14:textId="77777777" w:rsidR="009B3221" w:rsidRPr="00875C2A" w:rsidRDefault="009B3221" w:rsidP="009B3221">
      <w:pPr>
        <w:pStyle w:val="FootnoteText"/>
        <w:rPr>
          <w:noProof/>
          <w:lang w:val="en-IE"/>
        </w:rPr>
      </w:pPr>
    </w:p>
    <w:p w14:paraId="092037C2" w14:textId="77777777" w:rsidR="009B3221" w:rsidRPr="00875C2A" w:rsidRDefault="009B3221" w:rsidP="009B3221">
      <w:pPr>
        <w:pStyle w:val="ppoListHyphened-L1"/>
        <w:spacing w:before="360"/>
        <w:rPr>
          <w:noProof/>
          <w:lang w:val="en-IE"/>
        </w:rPr>
      </w:pPr>
      <w:r w:rsidRPr="00875C2A">
        <w:rPr>
          <w:noProof/>
          <w:lang w:val="en-IE"/>
        </w:rPr>
        <w:t xml:space="preserve">The programme is on track as regards the 2014-2020 activities, the implementation of which will continue during 2022. </w:t>
      </w:r>
    </w:p>
    <w:p w14:paraId="3407BD35" w14:textId="77777777" w:rsidR="009B3221" w:rsidRPr="00875C2A" w:rsidRDefault="009B3221" w:rsidP="009B3221">
      <w:pPr>
        <w:pStyle w:val="ppoListHyphened-L1"/>
        <w:rPr>
          <w:noProof/>
          <w:lang w:val="en-IE"/>
        </w:rPr>
      </w:pPr>
      <w:r w:rsidRPr="00875C2A">
        <w:rPr>
          <w:noProof/>
          <w:lang w:val="en-IE"/>
        </w:rPr>
        <w:t>In terms of outputs, in the 2014-2020 period the LIFE programme financed more than 1</w:t>
      </w:r>
      <w:r w:rsidRPr="00875C2A">
        <w:rPr>
          <w:rFonts w:ascii="Calibri" w:hAnsi="Calibri" w:cs="Calibri"/>
          <w:noProof/>
          <w:lang w:val="en-IE"/>
        </w:rPr>
        <w:t> </w:t>
      </w:r>
      <w:r w:rsidRPr="00875C2A">
        <w:rPr>
          <w:noProof/>
          <w:lang w:val="en-IE"/>
        </w:rPr>
        <w:t>400 projects that have contributed to the European Green Deal by mainstreaming nature and biodiversity and/or zero pollution and/or circularity and/or climate action goals.</w:t>
      </w:r>
    </w:p>
    <w:p w14:paraId="27F268C8" w14:textId="77777777" w:rsidR="009B3221" w:rsidRPr="00875C2A" w:rsidRDefault="009B3221" w:rsidP="009B3221">
      <w:pPr>
        <w:pStyle w:val="ppoListHyphened-L1"/>
        <w:rPr>
          <w:noProof/>
          <w:lang w:val="en-IE"/>
        </w:rPr>
      </w:pPr>
      <w:r w:rsidRPr="00875C2A">
        <w:rPr>
          <w:noProof/>
          <w:lang w:val="en-IE"/>
        </w:rPr>
        <w:t>About one third of these projects are developing, demonstrating and promoting innovative techniques and approaches to achieve synergies between c</w:t>
      </w:r>
      <w:r w:rsidRPr="006B5B9B">
        <w:rPr>
          <w:noProof/>
          <w:lang w:val="en-IE"/>
        </w:rPr>
        <w:t xml:space="preserve">limate </w:t>
      </w:r>
      <w:r w:rsidRPr="00875C2A">
        <w:rPr>
          <w:noProof/>
          <w:lang w:val="en-IE"/>
        </w:rPr>
        <w:t>n</w:t>
      </w:r>
      <w:r w:rsidRPr="006B5B9B">
        <w:rPr>
          <w:noProof/>
          <w:lang w:val="en-IE"/>
        </w:rPr>
        <w:t>eutrality/</w:t>
      </w:r>
      <w:r w:rsidRPr="00875C2A">
        <w:rPr>
          <w:noProof/>
          <w:lang w:val="en-IE"/>
        </w:rPr>
        <w:t>a</w:t>
      </w:r>
      <w:r w:rsidRPr="006B5B9B">
        <w:rPr>
          <w:noProof/>
          <w:lang w:val="en-IE"/>
        </w:rPr>
        <w:t xml:space="preserve">daptation and </w:t>
      </w:r>
      <w:r w:rsidRPr="00875C2A">
        <w:rPr>
          <w:noProof/>
          <w:lang w:val="en-IE"/>
        </w:rPr>
        <w:t>z</w:t>
      </w:r>
      <w:r w:rsidRPr="006B5B9B">
        <w:rPr>
          <w:noProof/>
          <w:lang w:val="en-IE"/>
        </w:rPr>
        <w:t xml:space="preserve">ero </w:t>
      </w:r>
      <w:r w:rsidRPr="00875C2A">
        <w:rPr>
          <w:noProof/>
          <w:lang w:val="en-IE"/>
        </w:rPr>
        <w:t>p</w:t>
      </w:r>
      <w:r w:rsidRPr="006B5B9B">
        <w:rPr>
          <w:noProof/>
          <w:lang w:val="en-IE"/>
        </w:rPr>
        <w:t xml:space="preserve">ollution, </w:t>
      </w:r>
      <w:r w:rsidRPr="00875C2A">
        <w:rPr>
          <w:noProof/>
          <w:lang w:val="en-IE"/>
        </w:rPr>
        <w:t>b</w:t>
      </w:r>
      <w:r w:rsidRPr="006B5B9B">
        <w:rPr>
          <w:noProof/>
          <w:lang w:val="en-IE"/>
        </w:rPr>
        <w:t xml:space="preserve">iodiversity or </w:t>
      </w:r>
      <w:r w:rsidRPr="00875C2A">
        <w:rPr>
          <w:noProof/>
          <w:lang w:val="en-IE"/>
        </w:rPr>
        <w:t>c</w:t>
      </w:r>
      <w:r w:rsidRPr="006B5B9B">
        <w:rPr>
          <w:noProof/>
          <w:lang w:val="en-IE"/>
        </w:rPr>
        <w:t xml:space="preserve">ircular </w:t>
      </w:r>
      <w:r w:rsidRPr="00875C2A">
        <w:rPr>
          <w:noProof/>
          <w:lang w:val="en-IE"/>
        </w:rPr>
        <w:t>e</w:t>
      </w:r>
      <w:r w:rsidRPr="006B5B9B">
        <w:rPr>
          <w:noProof/>
          <w:lang w:val="en-IE"/>
        </w:rPr>
        <w:t xml:space="preserve">conomy </w:t>
      </w:r>
      <w:r w:rsidRPr="00875C2A">
        <w:rPr>
          <w:noProof/>
          <w:lang w:val="en-IE"/>
        </w:rPr>
        <w:t>g</w:t>
      </w:r>
      <w:r w:rsidRPr="006B5B9B">
        <w:rPr>
          <w:noProof/>
          <w:lang w:val="en-IE"/>
        </w:rPr>
        <w:t>oals,</w:t>
      </w:r>
      <w:r w:rsidRPr="00875C2A">
        <w:rPr>
          <w:noProof/>
          <w:lang w:val="en-IE"/>
        </w:rPr>
        <w:t xml:space="preserve"> thus contributing to promote a holistic vision of the environment. </w:t>
      </w:r>
    </w:p>
    <w:p w14:paraId="19AA81EC" w14:textId="77777777" w:rsidR="009B3221" w:rsidRPr="00875C2A" w:rsidRDefault="009B3221" w:rsidP="009B3221">
      <w:pPr>
        <w:pStyle w:val="ppoListHyphened-L1"/>
        <w:rPr>
          <w:noProof/>
          <w:lang w:val="en-IE"/>
        </w:rPr>
      </w:pPr>
      <w:r w:rsidRPr="00875C2A">
        <w:rPr>
          <w:noProof/>
          <w:lang w:val="en-IE"/>
        </w:rPr>
        <w:t>With the 11 additional integrated projects financed in 2021, the total LIFE financing for integrated projects amounts to EUR</w:t>
      </w:r>
      <w:r w:rsidRPr="00875C2A">
        <w:rPr>
          <w:rFonts w:ascii="Calibri" w:hAnsi="Calibri" w:cs="Calibri"/>
          <w:noProof/>
          <w:lang w:val="en-IE"/>
        </w:rPr>
        <w:t> </w:t>
      </w:r>
      <w:r w:rsidRPr="00875C2A">
        <w:rPr>
          <w:noProof/>
          <w:lang w:val="en-IE"/>
        </w:rPr>
        <w:t>110</w:t>
      </w:r>
      <w:r w:rsidRPr="00875C2A">
        <w:rPr>
          <w:rFonts w:ascii="Calibri" w:hAnsi="Calibri" w:cs="Calibri"/>
          <w:noProof/>
          <w:lang w:val="en-IE"/>
        </w:rPr>
        <w:t> </w:t>
      </w:r>
      <w:r w:rsidRPr="00875C2A">
        <w:rPr>
          <w:noProof/>
          <w:lang w:val="en-IE"/>
        </w:rPr>
        <w:t>000</w:t>
      </w:r>
      <w:r w:rsidRPr="00875C2A">
        <w:rPr>
          <w:rFonts w:ascii="Calibri" w:hAnsi="Calibri" w:cs="Calibri"/>
          <w:noProof/>
          <w:lang w:val="en-IE"/>
        </w:rPr>
        <w:t> </w:t>
      </w:r>
      <w:r w:rsidRPr="00875C2A">
        <w:rPr>
          <w:noProof/>
          <w:lang w:val="en-IE"/>
        </w:rPr>
        <w:t>000. These projects should facilitate the coordinated use of more than EUR</w:t>
      </w:r>
      <w:r w:rsidRPr="00875C2A">
        <w:rPr>
          <w:rFonts w:ascii="Calibri" w:hAnsi="Calibri" w:cs="Calibri"/>
          <w:noProof/>
          <w:lang w:val="en-IE"/>
        </w:rPr>
        <w:t> </w:t>
      </w:r>
      <w:r w:rsidRPr="00875C2A">
        <w:rPr>
          <w:noProof/>
          <w:lang w:val="en-IE"/>
        </w:rPr>
        <w:t>10</w:t>
      </w:r>
      <w:r w:rsidRPr="00875C2A">
        <w:rPr>
          <w:rFonts w:ascii="Calibri" w:hAnsi="Calibri" w:cs="Calibri"/>
          <w:noProof/>
          <w:lang w:val="en-IE"/>
        </w:rPr>
        <w:t> </w:t>
      </w:r>
      <w:r w:rsidRPr="00875C2A">
        <w:rPr>
          <w:noProof/>
          <w:lang w:val="en-IE"/>
        </w:rPr>
        <w:t>000</w:t>
      </w:r>
      <w:r w:rsidRPr="00875C2A">
        <w:rPr>
          <w:rFonts w:ascii="Calibri" w:hAnsi="Calibri" w:cs="Calibri"/>
          <w:noProof/>
          <w:lang w:val="en-IE"/>
        </w:rPr>
        <w:t> </w:t>
      </w:r>
      <w:r w:rsidRPr="00875C2A">
        <w:rPr>
          <w:noProof/>
          <w:lang w:val="en-IE"/>
        </w:rPr>
        <w:t>000</w:t>
      </w:r>
      <w:r w:rsidRPr="00875C2A">
        <w:rPr>
          <w:rFonts w:ascii="Calibri" w:hAnsi="Calibri" w:cs="Calibri"/>
          <w:noProof/>
          <w:lang w:val="en-IE"/>
        </w:rPr>
        <w:t> </w:t>
      </w:r>
      <w:r w:rsidRPr="00875C2A">
        <w:rPr>
          <w:noProof/>
          <w:lang w:val="en-IE"/>
        </w:rPr>
        <w:t>000 of complementary funding. This implies that for each euro financed by the LIFE programme in the years 2014-2020, an additional EUR</w:t>
      </w:r>
      <w:r w:rsidRPr="00875C2A">
        <w:rPr>
          <w:rFonts w:ascii="Calibri" w:hAnsi="Calibri" w:cs="Calibri"/>
          <w:noProof/>
          <w:lang w:val="en-IE"/>
        </w:rPr>
        <w:t> </w:t>
      </w:r>
      <w:r w:rsidRPr="00875C2A">
        <w:rPr>
          <w:noProof/>
          <w:lang w:val="en-IE"/>
        </w:rPr>
        <w:t xml:space="preserve">45 are expected to be financed from other sources for the implementation of the targeted plans. Experience shows that the amount of additional funds mobilised by the integrated projects tends to increase during the project lifetime. </w:t>
      </w:r>
    </w:p>
    <w:p w14:paraId="3D46F63A" w14:textId="77777777" w:rsidR="009B3221" w:rsidRPr="00875C2A" w:rsidRDefault="009B3221" w:rsidP="009B3221">
      <w:pPr>
        <w:pStyle w:val="ppoListHyphened-L1"/>
        <w:rPr>
          <w:noProof/>
          <w:lang w:val="en-IE"/>
        </w:rPr>
      </w:pPr>
      <w:r w:rsidRPr="00875C2A">
        <w:rPr>
          <w:noProof/>
          <w:lang w:val="en-IE"/>
        </w:rPr>
        <w:t>In particular, the 2014-2020 LIFE programme has already exceeded the 2020 targets related to a large number of indicators. Some of these indicators still show growing figures, thanks to new projects and the ongoing validation of performance data for previous projects.</w:t>
      </w:r>
    </w:p>
    <w:p w14:paraId="5EF89327" w14:textId="77777777" w:rsidR="005348AD" w:rsidRDefault="005348AD" w:rsidP="00E73D04">
      <w:pPr>
        <w:pStyle w:val="ppoListHyphened-L1"/>
        <w:rPr>
          <w:b/>
          <w:noProof/>
        </w:rPr>
        <w:sectPr w:rsidR="005348AD" w:rsidSect="0083214A">
          <w:headerReference w:type="even" r:id="rId415"/>
          <w:headerReference w:type="default" r:id="rId416"/>
          <w:footerReference w:type="even" r:id="rId417"/>
          <w:footerReference w:type="default" r:id="rId418"/>
          <w:headerReference w:type="first" r:id="rId419"/>
          <w:footerReference w:type="first" r:id="rId420"/>
          <w:type w:val="continuous"/>
          <w:pgSz w:w="11906" w:h="16838" w:code="9"/>
          <w:pgMar w:top="1134" w:right="1134" w:bottom="964" w:left="1134" w:header="431" w:footer="431" w:gutter="0"/>
          <w:cols w:space="720"/>
          <w:titlePg/>
          <w:docGrid w:linePitch="360"/>
        </w:sectPr>
      </w:pPr>
    </w:p>
    <w:p w14:paraId="28456A9B" w14:textId="77777777" w:rsidR="005348AD" w:rsidRPr="00683A21" w:rsidRDefault="005348AD" w:rsidP="005348AD">
      <w:pPr>
        <w:pStyle w:val="StyleppoHeading3WhiteLeft0cm"/>
        <w:rPr>
          <w:noProof/>
          <w:sz w:val="40"/>
          <w:szCs w:val="40"/>
        </w:rPr>
      </w:pPr>
    </w:p>
    <w:p w14:paraId="0A177987" w14:textId="77777777" w:rsidR="005348AD" w:rsidRPr="00683A21" w:rsidRDefault="005348AD" w:rsidP="005348AD">
      <w:pPr>
        <w:pStyle w:val="StyleppoHeading3WhiteLeft0cm"/>
        <w:rPr>
          <w:noProof/>
          <w:sz w:val="60"/>
          <w:szCs w:val="60"/>
        </w:rPr>
      </w:pPr>
      <w:bookmarkStart w:id="185" w:name="_Toc102086360"/>
      <w:r w:rsidRPr="00683A21">
        <w:rPr>
          <w:noProof/>
          <w:sz w:val="60"/>
          <w:szCs w:val="60"/>
        </w:rPr>
        <w:t>JTM</w:t>
      </w:r>
      <w:bookmarkEnd w:id="185"/>
    </w:p>
    <w:p w14:paraId="419DF2E1" w14:textId="77777777" w:rsidR="005348AD" w:rsidRPr="00040D99" w:rsidRDefault="005348AD" w:rsidP="005348AD">
      <w:pPr>
        <w:pStyle w:val="StyleppoProgrammenameWhiteLeft01cm"/>
        <w:ind w:left="0"/>
        <w:rPr>
          <w:noProof/>
        </w:rPr>
      </w:pPr>
      <w:r>
        <w:rPr>
          <w:noProof/>
        </w:rPr>
        <w:t>JUST TRANSITION MECHANISM</w:t>
      </w:r>
    </w:p>
    <w:p w14:paraId="637B7C79" w14:textId="77777777" w:rsidR="005348AD" w:rsidRPr="00351CB7" w:rsidRDefault="005348AD" w:rsidP="005348AD">
      <w:pPr>
        <w:pStyle w:val="ppoHeading4NaturalGreen"/>
        <w:rPr>
          <w:noProof/>
        </w:rPr>
      </w:pPr>
      <w:r w:rsidRPr="00351CB7">
        <w:rPr>
          <w:noProof/>
        </w:rPr>
        <w:t>Programme in a nutshell</w:t>
      </w:r>
    </w:p>
    <w:p w14:paraId="13632CE3" w14:textId="77777777" w:rsidR="005348AD" w:rsidRPr="00040D99" w:rsidRDefault="005348AD" w:rsidP="005348AD">
      <w:pPr>
        <w:spacing w:after="480"/>
        <w:rPr>
          <w:rFonts w:eastAsiaTheme="minorEastAsia"/>
          <w:noProof/>
          <w:color w:val="FFFFFF" w:themeColor="background1"/>
          <w:sz w:val="32"/>
        </w:rPr>
        <w:sectPr w:rsidR="005348AD" w:rsidRPr="00040D99" w:rsidSect="0083214A">
          <w:headerReference w:type="even" r:id="rId421"/>
          <w:headerReference w:type="default" r:id="rId422"/>
          <w:footerReference w:type="even" r:id="rId423"/>
          <w:footerReference w:type="default" r:id="rId424"/>
          <w:headerReference w:type="first" r:id="rId425"/>
          <w:footerReference w:type="first" r:id="rId426"/>
          <w:pgSz w:w="11906" w:h="16838" w:code="9"/>
          <w:pgMar w:top="1134" w:right="1134" w:bottom="964" w:left="1134" w:header="431" w:footer="431" w:gutter="0"/>
          <w:cols w:space="720"/>
          <w:docGrid w:linePitch="360"/>
        </w:sectPr>
      </w:pPr>
    </w:p>
    <w:p w14:paraId="5EBDCEC3" w14:textId="77777777" w:rsidR="005348AD" w:rsidRDefault="005348AD" w:rsidP="005348AD">
      <w:pPr>
        <w:pStyle w:val="ppoHeading5"/>
        <w:rPr>
          <w:noProof/>
        </w:rPr>
      </w:pPr>
      <w:r w:rsidRPr="00040D99">
        <w:rPr>
          <w:noProof/>
        </w:rPr>
        <w:t xml:space="preserve">Budget </w:t>
      </w:r>
      <w:r>
        <w:rPr>
          <w:noProof/>
        </w:rPr>
        <w:t xml:space="preserve">for </w:t>
      </w:r>
      <w:r w:rsidRPr="00040D99">
        <w:rPr>
          <w:noProof/>
        </w:rPr>
        <w:t>2021-2027</w:t>
      </w:r>
    </w:p>
    <w:p w14:paraId="32B207ED" w14:textId="77777777" w:rsidR="005348AD" w:rsidRPr="009359FF" w:rsidRDefault="005348AD" w:rsidP="005348AD">
      <w:pPr>
        <w:pStyle w:val="ppoTableTabletitle"/>
        <w:ind w:left="284"/>
        <w:rPr>
          <w:noProof/>
        </w:rPr>
      </w:pPr>
      <w:r>
        <w:rPr>
          <w:noProof/>
        </w:rPr>
        <w:t>(million</w:t>
      </w:r>
      <w:r w:rsidRPr="00834279">
        <w:rPr>
          <w:noProof/>
        </w:rPr>
        <w:t xml:space="preserve"> </w:t>
      </w:r>
      <w:r>
        <w:rPr>
          <w:noProof/>
        </w:rPr>
        <w:t>EUR)</w:t>
      </w:r>
    </w:p>
    <w:tbl>
      <w:tblPr>
        <w:tblStyle w:val="PlainTable2"/>
        <w:tblW w:w="0" w:type="auto"/>
        <w:tblInd w:w="288" w:type="dxa"/>
        <w:tblLook w:val="04A0" w:firstRow="1" w:lastRow="0" w:firstColumn="1" w:lastColumn="0" w:noHBand="0" w:noVBand="1"/>
      </w:tblPr>
      <w:tblGrid>
        <w:gridCol w:w="4788"/>
        <w:gridCol w:w="2610"/>
      </w:tblGrid>
      <w:tr w:rsidR="005348AD" w:rsidRPr="00214876" w14:paraId="20F5D75E" w14:textId="77777777" w:rsidTr="0083214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72E6D6F3" w14:textId="77777777" w:rsidR="005348AD" w:rsidRPr="00214876" w:rsidRDefault="005348AD" w:rsidP="0083214A">
            <w:pPr>
              <w:spacing w:before="120" w:after="120"/>
              <w:rPr>
                <w:noProof/>
              </w:rPr>
            </w:pPr>
            <w:r w:rsidRPr="00214876">
              <w:rPr>
                <w:rFonts w:cs="Calibri"/>
                <w:noProof/>
                <w:color w:val="000000"/>
              </w:rPr>
              <w:t>Financial programming</w:t>
            </w:r>
          </w:p>
        </w:tc>
        <w:tc>
          <w:tcPr>
            <w:tcW w:w="2610" w:type="dxa"/>
            <w:shd w:val="clear" w:color="auto" w:fill="auto"/>
            <w:vAlign w:val="bottom"/>
          </w:tcPr>
          <w:p w14:paraId="562A61C3" w14:textId="77777777" w:rsidR="001C09F6" w:rsidRDefault="001C09F6" w:rsidP="001C09F6">
            <w:pPr>
              <w:spacing w:after="0"/>
              <w:jc w:val="right"/>
              <w:cnfStyle w:val="100000000000" w:firstRow="1"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9 181.8</w:t>
            </w:r>
          </w:p>
          <w:p w14:paraId="20275BB4" w14:textId="59E8B4DE" w:rsidR="005348AD" w:rsidRPr="00214876" w:rsidRDefault="005348AD" w:rsidP="0083214A">
            <w:pPr>
              <w:spacing w:before="120" w:after="120"/>
              <w:jc w:val="right"/>
              <w:cnfStyle w:val="100000000000" w:firstRow="1" w:lastRow="0" w:firstColumn="0" w:lastColumn="0" w:oddVBand="0" w:evenVBand="0" w:oddHBand="0" w:evenHBand="0" w:firstRowFirstColumn="0" w:firstRowLastColumn="0" w:lastRowFirstColumn="0" w:lastRowLastColumn="0"/>
              <w:rPr>
                <w:b w:val="0"/>
                <w:noProof/>
              </w:rPr>
            </w:pPr>
          </w:p>
        </w:tc>
      </w:tr>
      <w:tr w:rsidR="005348AD" w:rsidRPr="00214876" w14:paraId="22DDC15D"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1253F5DC" w14:textId="77777777" w:rsidR="005348AD" w:rsidRPr="00214876" w:rsidRDefault="005348AD" w:rsidP="0083214A">
            <w:pPr>
              <w:spacing w:before="120" w:after="120"/>
              <w:rPr>
                <w:b w:val="0"/>
                <w:noProof/>
              </w:rPr>
            </w:pPr>
            <w:r w:rsidRPr="00214876">
              <w:rPr>
                <w:rFonts w:cs="Calibri"/>
                <w:noProof/>
                <w:color w:val="000000"/>
              </w:rPr>
              <w:t>NextGenerationEU</w:t>
            </w:r>
          </w:p>
        </w:tc>
        <w:tc>
          <w:tcPr>
            <w:tcW w:w="2610" w:type="dxa"/>
            <w:vAlign w:val="bottom"/>
          </w:tcPr>
          <w:p w14:paraId="3A0BC20D" w14:textId="77777777" w:rsidR="005348AD" w:rsidRDefault="005348AD" w:rsidP="0083214A">
            <w:pPr>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rPr>
            </w:pPr>
            <w:r>
              <w:rPr>
                <w:rFonts w:ascii="Calibri" w:hAnsi="Calibri"/>
                <w:noProof/>
                <w:color w:val="000000"/>
              </w:rPr>
              <w:t>10 868.5</w:t>
            </w:r>
          </w:p>
          <w:p w14:paraId="70205159" w14:textId="1E2216D8" w:rsidR="005348AD" w:rsidRPr="00214876" w:rsidRDefault="005348AD" w:rsidP="0083214A">
            <w:pPr>
              <w:spacing w:before="120" w:after="120"/>
              <w:jc w:val="right"/>
              <w:cnfStyle w:val="000000100000" w:firstRow="0" w:lastRow="0" w:firstColumn="0" w:lastColumn="0" w:oddVBand="0" w:evenVBand="0" w:oddHBand="1" w:evenHBand="0" w:firstRowFirstColumn="0" w:firstRowLastColumn="0" w:lastRowFirstColumn="0" w:lastRowLastColumn="0"/>
              <w:rPr>
                <w:noProof/>
              </w:rPr>
            </w:pPr>
          </w:p>
        </w:tc>
      </w:tr>
      <w:tr w:rsidR="005348AD" w:rsidRPr="00214876" w14:paraId="5817D32D"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304FD458" w14:textId="0BE41544" w:rsidR="005348AD" w:rsidRPr="00214876" w:rsidRDefault="005348AD" w:rsidP="0083214A">
            <w:pPr>
              <w:spacing w:before="120" w:after="120"/>
              <w:rPr>
                <w:b w:val="0"/>
                <w:noProof/>
              </w:rPr>
            </w:pPr>
            <w:r w:rsidRPr="00807AC3">
              <w:rPr>
                <w:noProof/>
              </w:rPr>
              <w:t>Decommitments made available again</w:t>
            </w:r>
            <w:r>
              <w:rPr>
                <w:rFonts w:ascii="Calibri" w:hAnsi="Calibri" w:cs="Calibri"/>
                <w:noProof/>
              </w:rPr>
              <w:t> </w:t>
            </w:r>
            <w:r>
              <w:rPr>
                <w:noProof/>
              </w:rPr>
              <w:t>(</w:t>
            </w:r>
            <w:r w:rsidRPr="00807AC3">
              <w:rPr>
                <w:noProof/>
              </w:rPr>
              <w:t>*</w:t>
            </w:r>
            <w:r>
              <w:rPr>
                <w:noProof/>
              </w:rPr>
              <w:t>)</w:t>
            </w:r>
          </w:p>
        </w:tc>
        <w:tc>
          <w:tcPr>
            <w:tcW w:w="2610" w:type="dxa"/>
            <w:vAlign w:val="bottom"/>
          </w:tcPr>
          <w:p w14:paraId="0191F95B" w14:textId="481079F1" w:rsidR="005348AD" w:rsidRPr="00214876" w:rsidRDefault="005348AD" w:rsidP="0083214A">
            <w:pPr>
              <w:spacing w:before="120" w:after="120"/>
              <w:jc w:val="right"/>
              <w:cnfStyle w:val="000000000000" w:firstRow="0" w:lastRow="0" w:firstColumn="0" w:lastColumn="0" w:oddVBand="0" w:evenVBand="0" w:oddHBand="0" w:evenHBand="0" w:firstRowFirstColumn="0" w:firstRowLastColumn="0" w:lastRowFirstColumn="0" w:lastRowLastColumn="0"/>
              <w:rPr>
                <w:noProof/>
              </w:rPr>
            </w:pPr>
            <w:r>
              <w:rPr>
                <w:rFonts w:cs="Calibri"/>
                <w:noProof/>
                <w:color w:val="000000"/>
              </w:rPr>
              <w:t>N/A</w:t>
            </w:r>
          </w:p>
        </w:tc>
      </w:tr>
      <w:tr w:rsidR="005348AD" w:rsidRPr="00214876" w14:paraId="25B1FE2C"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250D4B41" w14:textId="77777777" w:rsidR="005348AD" w:rsidRPr="00214876" w:rsidRDefault="005348AD" w:rsidP="0083214A">
            <w:pPr>
              <w:spacing w:before="120" w:after="120"/>
              <w:rPr>
                <w:noProof/>
              </w:rPr>
            </w:pPr>
            <w:r w:rsidRPr="00214876">
              <w:rPr>
                <w:rFonts w:cs="Calibri"/>
                <w:noProof/>
                <w:color w:val="000000"/>
              </w:rPr>
              <w:t>Contributions from other countries and entities</w:t>
            </w:r>
          </w:p>
        </w:tc>
        <w:tc>
          <w:tcPr>
            <w:tcW w:w="2610" w:type="dxa"/>
            <w:vAlign w:val="bottom"/>
          </w:tcPr>
          <w:p w14:paraId="0A0CBCC1" w14:textId="77777777" w:rsidR="005348AD" w:rsidRPr="00214876" w:rsidRDefault="005348AD" w:rsidP="0083214A">
            <w:pPr>
              <w:spacing w:before="120" w:after="120"/>
              <w:jc w:val="right"/>
              <w:cnfStyle w:val="000000100000" w:firstRow="0" w:lastRow="0" w:firstColumn="0" w:lastColumn="0" w:oddVBand="0" w:evenVBand="0" w:oddHBand="1" w:evenHBand="0" w:firstRowFirstColumn="0" w:firstRowLastColumn="0" w:lastRowFirstColumn="0" w:lastRowLastColumn="0"/>
              <w:rPr>
                <w:noProof/>
              </w:rPr>
            </w:pPr>
            <w:r w:rsidRPr="00554E96">
              <w:rPr>
                <w:rFonts w:cs="Calibri"/>
                <w:noProof/>
                <w:color w:val="000000"/>
              </w:rPr>
              <w:t>46</w:t>
            </w:r>
            <w:r>
              <w:rPr>
                <w:rFonts w:cs="Calibri"/>
                <w:noProof/>
                <w:color w:val="000000"/>
              </w:rPr>
              <w:t>.</w:t>
            </w:r>
            <w:r w:rsidRPr="00554E96">
              <w:rPr>
                <w:rFonts w:cs="Calibri"/>
                <w:noProof/>
                <w:color w:val="000000"/>
              </w:rPr>
              <w:t>3</w:t>
            </w:r>
          </w:p>
        </w:tc>
      </w:tr>
      <w:tr w:rsidR="005348AD" w:rsidRPr="00214876" w14:paraId="4E90097C"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2F2F2" w:themeFill="background1" w:themeFillShade="F2"/>
            <w:vAlign w:val="bottom"/>
          </w:tcPr>
          <w:p w14:paraId="3870B175" w14:textId="77777777" w:rsidR="005348AD" w:rsidRPr="00214876" w:rsidRDefault="005348AD" w:rsidP="0083214A">
            <w:pPr>
              <w:spacing w:before="120" w:after="120"/>
              <w:rPr>
                <w:noProof/>
              </w:rPr>
            </w:pPr>
            <w:r>
              <w:rPr>
                <w:rFonts w:cs="Calibri"/>
                <w:noProof/>
                <w:color w:val="000000"/>
              </w:rPr>
              <w:t>T</w:t>
            </w:r>
            <w:r w:rsidRPr="00214876">
              <w:rPr>
                <w:rFonts w:cs="Calibri"/>
                <w:noProof/>
                <w:color w:val="000000"/>
              </w:rPr>
              <w:t>otal budget</w:t>
            </w:r>
            <w:r>
              <w:rPr>
                <w:rFonts w:cs="Calibri"/>
                <w:noProof/>
                <w:color w:val="000000"/>
              </w:rPr>
              <w:t xml:space="preserve"> for</w:t>
            </w:r>
            <w:r w:rsidRPr="00214876">
              <w:rPr>
                <w:rFonts w:cs="Calibri"/>
                <w:noProof/>
                <w:color w:val="000000"/>
              </w:rPr>
              <w:t xml:space="preserve"> 2021-2027</w:t>
            </w:r>
          </w:p>
        </w:tc>
        <w:tc>
          <w:tcPr>
            <w:tcW w:w="2610" w:type="dxa"/>
            <w:shd w:val="clear" w:color="auto" w:fill="F2F2F2" w:themeFill="background1" w:themeFillShade="F2"/>
            <w:vAlign w:val="bottom"/>
          </w:tcPr>
          <w:p w14:paraId="72D0CB37" w14:textId="77777777" w:rsidR="001C09F6" w:rsidRDefault="001C09F6" w:rsidP="001C09F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20 096.5</w:t>
            </w:r>
          </w:p>
          <w:p w14:paraId="06177FD7" w14:textId="7DCDD49F" w:rsidR="005348AD" w:rsidRPr="00214876" w:rsidRDefault="005348AD" w:rsidP="0083214A">
            <w:pPr>
              <w:spacing w:before="120" w:after="120"/>
              <w:jc w:val="right"/>
              <w:cnfStyle w:val="000000000000" w:firstRow="0" w:lastRow="0" w:firstColumn="0" w:lastColumn="0" w:oddVBand="0" w:evenVBand="0" w:oddHBand="0" w:evenHBand="0" w:firstRowFirstColumn="0" w:firstRowLastColumn="0" w:lastRowFirstColumn="0" w:lastRowLastColumn="0"/>
              <w:rPr>
                <w:b/>
                <w:noProof/>
              </w:rPr>
            </w:pPr>
          </w:p>
        </w:tc>
      </w:tr>
    </w:tbl>
    <w:p w14:paraId="06C8C499" w14:textId="77777777" w:rsidR="005348AD" w:rsidRPr="00040D99" w:rsidRDefault="005348AD" w:rsidP="005348AD">
      <w:pPr>
        <w:jc w:val="center"/>
        <w:rPr>
          <w:rFonts w:eastAsiaTheme="minorEastAsia"/>
          <w:noProof/>
        </w:rPr>
      </w:pPr>
    </w:p>
    <w:p w14:paraId="5F2AE04C" w14:textId="77777777" w:rsidR="005348AD" w:rsidRPr="0094364E" w:rsidRDefault="005348AD" w:rsidP="005348AD">
      <w:pPr>
        <w:tabs>
          <w:tab w:val="left" w:pos="6793"/>
        </w:tabs>
        <w:rPr>
          <w:noProof/>
          <w:sz w:val="18"/>
          <w:szCs w:val="18"/>
          <w:lang w:val="en-IE"/>
        </w:rPr>
      </w:pPr>
      <w:r w:rsidRPr="0094364E">
        <w:rPr>
          <w:noProof/>
          <w:sz w:val="18"/>
          <w:szCs w:val="18"/>
          <w:lang w:val="en-IE"/>
        </w:rPr>
        <w:t>(*) Only Article</w:t>
      </w:r>
      <w:r w:rsidRPr="0094364E">
        <w:rPr>
          <w:rFonts w:ascii="Calibri" w:hAnsi="Calibri" w:cs="Calibri"/>
          <w:noProof/>
          <w:sz w:val="18"/>
          <w:szCs w:val="18"/>
          <w:lang w:val="en-IE"/>
        </w:rPr>
        <w:t> </w:t>
      </w:r>
      <w:r w:rsidRPr="0094364E">
        <w:rPr>
          <w:noProof/>
          <w:sz w:val="18"/>
          <w:szCs w:val="18"/>
          <w:lang w:val="en-IE"/>
        </w:rPr>
        <w:t>15(3) of the financial regulation.</w:t>
      </w:r>
    </w:p>
    <w:p w14:paraId="0AEB9EBA" w14:textId="77777777" w:rsidR="005348AD" w:rsidRPr="00040D99" w:rsidRDefault="005348AD" w:rsidP="005348AD">
      <w:pPr>
        <w:pStyle w:val="ppoHeading5"/>
        <w:rPr>
          <w:noProof/>
        </w:rPr>
      </w:pPr>
      <w:r w:rsidRPr="00040D99">
        <w:rPr>
          <w:noProof/>
        </w:rPr>
        <w:t>Rationale and design of the programme</w:t>
      </w:r>
    </w:p>
    <w:p w14:paraId="0C34F441" w14:textId="77777777" w:rsidR="005348AD" w:rsidRDefault="005348AD" w:rsidP="005348AD">
      <w:pPr>
        <w:spacing w:before="120" w:after="120"/>
        <w:rPr>
          <w:noProof/>
        </w:rPr>
      </w:pPr>
      <w:r>
        <w:rPr>
          <w:noProof/>
        </w:rPr>
        <w:t xml:space="preserve">The </w:t>
      </w:r>
      <w:r w:rsidRPr="00FC3E46">
        <w:rPr>
          <w:noProof/>
        </w:rPr>
        <w:t>Just Transition Mechanism</w:t>
      </w:r>
      <w:r>
        <w:rPr>
          <w:noProof/>
        </w:rPr>
        <w:t xml:space="preserve"> has been proposed as part of the European Green Deal investment plan to make sure that no one and no region is left behind in the transition to a climate-neutral economy. The primary goal of the mechanism is to provide support to the most negatively affected regions and people and to help alleviate the socio-economic costs of the transition.</w:t>
      </w:r>
    </w:p>
    <w:p w14:paraId="668B1B4E" w14:textId="77777777" w:rsidR="005348AD" w:rsidRPr="00040D99" w:rsidRDefault="005348AD" w:rsidP="005348AD">
      <w:pPr>
        <w:pStyle w:val="ppoHeading6"/>
        <w:rPr>
          <w:noProof/>
        </w:rPr>
      </w:pPr>
      <w:r w:rsidRPr="00040D99">
        <w:rPr>
          <w:noProof/>
        </w:rPr>
        <w:t>Challenge</w:t>
      </w:r>
    </w:p>
    <w:p w14:paraId="01A37A4C" w14:textId="77777777" w:rsidR="005348AD" w:rsidRDefault="005348AD" w:rsidP="005348AD">
      <w:pPr>
        <w:rPr>
          <w:noProof/>
        </w:rPr>
      </w:pPr>
      <w:r>
        <w:rPr>
          <w:noProof/>
        </w:rPr>
        <w:t>The transition towards climate neutrality will provide benefits and opportunities for the entire EU, but it will also present greater socio-economic challenges and difficulties for some regions and sectors than others.</w:t>
      </w:r>
    </w:p>
    <w:p w14:paraId="77976BDB" w14:textId="77777777" w:rsidR="005348AD" w:rsidRPr="00040D99" w:rsidRDefault="005348AD" w:rsidP="005348AD">
      <w:pPr>
        <w:rPr>
          <w:noProof/>
        </w:rPr>
      </w:pPr>
      <w:r>
        <w:rPr>
          <w:noProof/>
        </w:rPr>
        <w:t xml:space="preserve">The objective to support the people, economy and environment of territories facing economic and social transformation in their transition to a climate-neutral economy cannot be fully achieved by the Member States alone. </w:t>
      </w:r>
      <w:bookmarkStart w:id="186" w:name="_Hlk100826906"/>
      <w:r>
        <w:rPr>
          <w:noProof/>
        </w:rPr>
        <w:t>There are many disparities between the levels of development and between the financial resources of Member States and territories</w:t>
      </w:r>
      <w:bookmarkEnd w:id="186"/>
      <w:r>
        <w:rPr>
          <w:noProof/>
        </w:rPr>
        <w:t>. There is also a need for a coherent implementation framework covering several EU funds under shared management to support this complex process. Those objectives can be better achieved at EU level.</w:t>
      </w:r>
    </w:p>
    <w:p w14:paraId="07119DE2" w14:textId="77777777" w:rsidR="005348AD" w:rsidRPr="00040D99" w:rsidRDefault="005348AD" w:rsidP="005348AD">
      <w:pPr>
        <w:pStyle w:val="ppoHeading6"/>
        <w:rPr>
          <w:noProof/>
        </w:rPr>
      </w:pPr>
      <w:r w:rsidRPr="00040D99">
        <w:rPr>
          <w:noProof/>
        </w:rPr>
        <w:t>Mission</w:t>
      </w:r>
    </w:p>
    <w:p w14:paraId="49E2A6B7" w14:textId="77777777" w:rsidR="005348AD" w:rsidRPr="00040D99" w:rsidRDefault="005348AD" w:rsidP="005348AD">
      <w:pPr>
        <w:rPr>
          <w:noProof/>
        </w:rPr>
      </w:pPr>
      <w:r>
        <w:rPr>
          <w:noProof/>
        </w:rPr>
        <w:t>The Just Transition Mechanism aims at alleviating, for the most affected territories, the economic, environmental and social costs of the transition towards climate neutrality by 2050, thereby effectively ensuring that this key EU objective is achieved in an effective and fair manner.</w:t>
      </w:r>
    </w:p>
    <w:p w14:paraId="17229C7D" w14:textId="77777777" w:rsidR="005348AD" w:rsidRPr="00040D99" w:rsidRDefault="005348AD" w:rsidP="005348AD">
      <w:pPr>
        <w:pStyle w:val="ppoHeading6"/>
        <w:rPr>
          <w:noProof/>
        </w:rPr>
      </w:pPr>
      <w:r w:rsidRPr="00040D99">
        <w:rPr>
          <w:noProof/>
        </w:rPr>
        <w:t>Objectives</w:t>
      </w:r>
    </w:p>
    <w:p w14:paraId="25DA315E" w14:textId="1CE91D8B" w:rsidR="005348AD" w:rsidRDefault="005348AD" w:rsidP="005348AD">
      <w:pPr>
        <w:rPr>
          <w:noProof/>
        </w:rPr>
      </w:pPr>
      <w:r>
        <w:rPr>
          <w:noProof/>
        </w:rPr>
        <w:t xml:space="preserve">The Just Transition Mechanism is mainly established as part of the European Green Deal investment plan within the framework of cohesion policy, the main EU policy instrument to reduce regional disparities and to address structural change in Europe’s regions. It shares the objectives of the cohesion policy in the specific context of the transition towards climate neutrality. </w:t>
      </w:r>
      <w:r w:rsidR="0017337B" w:rsidRPr="008707D8">
        <w:rPr>
          <w:noProof/>
        </w:rPr>
        <w:t xml:space="preserve">While this is not an eligibility criterion, </w:t>
      </w:r>
      <w:r w:rsidR="0017337B">
        <w:rPr>
          <w:noProof/>
        </w:rPr>
        <w:t>t</w:t>
      </w:r>
      <w:r>
        <w:rPr>
          <w:noProof/>
        </w:rPr>
        <w:t>he resources from the mechanism should complement the other resources available.</w:t>
      </w:r>
    </w:p>
    <w:p w14:paraId="3EA4A157" w14:textId="361F1060" w:rsidR="005348AD" w:rsidRPr="00040D99" w:rsidRDefault="005348AD" w:rsidP="005348AD">
      <w:pPr>
        <w:rPr>
          <w:noProof/>
        </w:rPr>
      </w:pPr>
      <w:r>
        <w:rPr>
          <w:noProof/>
        </w:rPr>
        <w:t>The mechanism will contribute to a wide range of measures designed to promote public investment to foster sustainable development in the regions concerned. The mix of actions will depend on the circumstances of the territory affected by the climate transition challenge</w:t>
      </w:r>
      <w:r w:rsidR="000238F2">
        <w:rPr>
          <w:noProof/>
        </w:rPr>
        <w:t xml:space="preserve"> outlined in the </w:t>
      </w:r>
      <w:r>
        <w:rPr>
          <w:noProof/>
        </w:rPr>
        <w:t>t</w:t>
      </w:r>
      <w:r w:rsidRPr="00C238C3">
        <w:rPr>
          <w:noProof/>
        </w:rPr>
        <w:t xml:space="preserve">erritorial </w:t>
      </w:r>
      <w:r>
        <w:rPr>
          <w:noProof/>
        </w:rPr>
        <w:t>j</w:t>
      </w:r>
      <w:r w:rsidRPr="00C238C3">
        <w:rPr>
          <w:noProof/>
        </w:rPr>
        <w:t xml:space="preserve">ust </w:t>
      </w:r>
      <w:r>
        <w:rPr>
          <w:noProof/>
        </w:rPr>
        <w:t>t</w:t>
      </w:r>
      <w:r w:rsidRPr="00C238C3">
        <w:rPr>
          <w:noProof/>
        </w:rPr>
        <w:t xml:space="preserve">ransition </w:t>
      </w:r>
      <w:r>
        <w:rPr>
          <w:noProof/>
        </w:rPr>
        <w:t>p</w:t>
      </w:r>
      <w:r w:rsidRPr="00C238C3">
        <w:rPr>
          <w:noProof/>
        </w:rPr>
        <w:t>lans.</w:t>
      </w:r>
    </w:p>
    <w:p w14:paraId="4CCE574E" w14:textId="77777777" w:rsidR="005348AD" w:rsidRPr="00040D99" w:rsidRDefault="005348AD" w:rsidP="005348AD">
      <w:pPr>
        <w:pStyle w:val="ppoHeading6"/>
        <w:rPr>
          <w:noProof/>
        </w:rPr>
      </w:pPr>
      <w:r w:rsidRPr="00040D99">
        <w:rPr>
          <w:noProof/>
        </w:rPr>
        <w:t>Actions</w:t>
      </w:r>
    </w:p>
    <w:p w14:paraId="22F816DE" w14:textId="58546640" w:rsidR="005348AD" w:rsidRPr="00040D99" w:rsidRDefault="005348AD" w:rsidP="005348AD">
      <w:pPr>
        <w:rPr>
          <w:noProof/>
        </w:rPr>
      </w:pPr>
      <w:bookmarkStart w:id="187" w:name="_Hlk100827120"/>
      <w:r>
        <w:rPr>
          <w:noProof/>
        </w:rPr>
        <w:t xml:space="preserve">Beneficiary territories to be supported by the Just Transition Mechanism will be identified in one or more </w:t>
      </w:r>
      <w:r w:rsidRPr="00C238C3">
        <w:rPr>
          <w:noProof/>
        </w:rPr>
        <w:t>territorial just transition plans</w:t>
      </w:r>
      <w:bookmarkEnd w:id="187"/>
      <w:r>
        <w:rPr>
          <w:noProof/>
        </w:rPr>
        <w:t xml:space="preserve"> (providing an outline of the transition process until 2030), which will be approved by Member States in a dialogue with the European Commission, steered by the European semester process. These plans will devote special attention to those territories set to suffer the greatest expected job losses and to the transformation of industrial facilities with the highest greenhouse gas intensity. The plans will detail the social, economic and environmental challenges and the needs for economic diversification</w:t>
      </w:r>
      <w:r w:rsidR="000238F2">
        <w:rPr>
          <w:noProof/>
        </w:rPr>
        <w:t xml:space="preserve"> and</w:t>
      </w:r>
      <w:r>
        <w:rPr>
          <w:noProof/>
        </w:rPr>
        <w:t xml:space="preserve"> reskilling.</w:t>
      </w:r>
    </w:p>
    <w:p w14:paraId="2291F9B9" w14:textId="77777777" w:rsidR="005348AD" w:rsidRPr="00040D99" w:rsidRDefault="005348AD" w:rsidP="005348AD">
      <w:pPr>
        <w:pStyle w:val="ppoHeading6"/>
        <w:rPr>
          <w:noProof/>
        </w:rPr>
      </w:pPr>
      <w:r w:rsidRPr="00040D99">
        <w:rPr>
          <w:noProof/>
        </w:rPr>
        <w:t>Delivery mode</w:t>
      </w:r>
    </w:p>
    <w:p w14:paraId="5525F517" w14:textId="38E396D8" w:rsidR="005348AD" w:rsidRDefault="005348AD" w:rsidP="005348AD">
      <w:pPr>
        <w:rPr>
          <w:noProof/>
        </w:rPr>
      </w:pPr>
      <w:r>
        <w:rPr>
          <w:noProof/>
        </w:rPr>
        <w:t>The Just Transition Mechanism has three pillars. The first is the Just Transition Fund. It aims at alleviating the economic</w:t>
      </w:r>
      <w:r w:rsidR="000238F2">
        <w:rPr>
          <w:noProof/>
        </w:rPr>
        <w:t xml:space="preserve"> </w:t>
      </w:r>
      <w:r>
        <w:rPr>
          <w:noProof/>
        </w:rPr>
        <w:t>and social cost of the transition towards climate neutrality. The second is the dedicated just transition scheme under InvestEU. The third is the p</w:t>
      </w:r>
      <w:r w:rsidRPr="0025333C">
        <w:rPr>
          <w:noProof/>
        </w:rPr>
        <w:t xml:space="preserve">ublic </w:t>
      </w:r>
      <w:r>
        <w:rPr>
          <w:noProof/>
        </w:rPr>
        <w:t>s</w:t>
      </w:r>
      <w:r w:rsidRPr="0025333C">
        <w:rPr>
          <w:noProof/>
        </w:rPr>
        <w:t xml:space="preserve">ector </w:t>
      </w:r>
      <w:r>
        <w:rPr>
          <w:noProof/>
        </w:rPr>
        <w:t>l</w:t>
      </w:r>
      <w:r w:rsidRPr="0025333C">
        <w:rPr>
          <w:noProof/>
        </w:rPr>
        <w:t xml:space="preserve">oan </w:t>
      </w:r>
      <w:r>
        <w:rPr>
          <w:noProof/>
        </w:rPr>
        <w:t>f</w:t>
      </w:r>
      <w:r w:rsidRPr="0025333C">
        <w:rPr>
          <w:noProof/>
        </w:rPr>
        <w:t>acility</w:t>
      </w:r>
      <w:r>
        <w:rPr>
          <w:noProof/>
        </w:rPr>
        <w:t>. It will support projects that do not generate a sufficient stream of revenues to cover investment costs.</w:t>
      </w:r>
    </w:p>
    <w:p w14:paraId="2C3846C1" w14:textId="65BC0172" w:rsidR="005348AD" w:rsidRDefault="005348AD" w:rsidP="005348AD">
      <w:pPr>
        <w:rPr>
          <w:noProof/>
        </w:rPr>
      </w:pPr>
      <w:r>
        <w:rPr>
          <w:noProof/>
        </w:rPr>
        <w:t xml:space="preserve">The Just Transition Fund will be implemented through shared management in close cooperation with national, regional and local authorities and stakeholders. This will ensure ownership of the transition strategy and provide the tools and structures for an efficient management framework. The </w:t>
      </w:r>
      <w:r w:rsidRPr="0094364E">
        <w:rPr>
          <w:noProof/>
        </w:rPr>
        <w:t>Directorate-General for Regional and Urban Policy</w:t>
      </w:r>
      <w:r w:rsidDel="00EB68FF">
        <w:rPr>
          <w:noProof/>
        </w:rPr>
        <w:t xml:space="preserve"> </w:t>
      </w:r>
      <w:r>
        <w:rPr>
          <w:noProof/>
        </w:rPr>
        <w:t xml:space="preserve">leads on behalf of the Commission. The </w:t>
      </w:r>
      <w:r w:rsidR="0070748A">
        <w:rPr>
          <w:noProof/>
        </w:rPr>
        <w:t>P</w:t>
      </w:r>
      <w:r>
        <w:rPr>
          <w:noProof/>
        </w:rPr>
        <w:t xml:space="preserve">ublic </w:t>
      </w:r>
      <w:r w:rsidR="0070748A">
        <w:rPr>
          <w:noProof/>
        </w:rPr>
        <w:t>S</w:t>
      </w:r>
      <w:r>
        <w:rPr>
          <w:noProof/>
        </w:rPr>
        <w:t xml:space="preserve">ector </w:t>
      </w:r>
      <w:r w:rsidR="0070748A">
        <w:rPr>
          <w:noProof/>
        </w:rPr>
        <w:t>L</w:t>
      </w:r>
      <w:r>
        <w:rPr>
          <w:noProof/>
        </w:rPr>
        <w:t xml:space="preserve">oan </w:t>
      </w:r>
      <w:r w:rsidR="0070748A">
        <w:rPr>
          <w:noProof/>
        </w:rPr>
        <w:t>F</w:t>
      </w:r>
      <w:r>
        <w:rPr>
          <w:noProof/>
        </w:rPr>
        <w:t>acility will be implemented through direct management by launching open calls for proposals.</w:t>
      </w:r>
    </w:p>
    <w:p w14:paraId="05FF13F6" w14:textId="77777777" w:rsidR="005348AD" w:rsidRPr="00040D99" w:rsidRDefault="005348AD" w:rsidP="005348AD">
      <w:pPr>
        <w:pStyle w:val="ppoHeading6"/>
        <w:rPr>
          <w:noProof/>
        </w:rPr>
      </w:pPr>
      <w:r>
        <w:rPr>
          <w:noProof/>
        </w:rPr>
        <w:t>LINK TO THE 2014-2020 multiannual financial framework</w:t>
      </w:r>
    </w:p>
    <w:p w14:paraId="25AD8089" w14:textId="77777777" w:rsidR="005348AD" w:rsidRPr="00040D99" w:rsidRDefault="005348AD" w:rsidP="005348AD">
      <w:pPr>
        <w:rPr>
          <w:noProof/>
        </w:rPr>
      </w:pPr>
      <w:r>
        <w:rPr>
          <w:noProof/>
        </w:rPr>
        <w:t>The Just Transition Mechanism is a new mechanism for the 2021-2027 multiannual financial framework. It addresses new types of challenges arising from the necessary climate transition.</w:t>
      </w:r>
    </w:p>
    <w:p w14:paraId="0C28DC24" w14:textId="77777777" w:rsidR="005348AD" w:rsidRPr="00040D99" w:rsidRDefault="005348AD" w:rsidP="005348AD">
      <w:pPr>
        <w:pStyle w:val="ppoHeading6"/>
        <w:rPr>
          <w:noProof/>
        </w:rPr>
      </w:pPr>
      <w:r w:rsidRPr="00040D99">
        <w:rPr>
          <w:noProof/>
        </w:rPr>
        <w:t>Impact assessment</w:t>
      </w:r>
    </w:p>
    <w:p w14:paraId="169218CA" w14:textId="77777777" w:rsidR="005348AD" w:rsidRDefault="005348AD" w:rsidP="005348AD">
      <w:pPr>
        <w:rPr>
          <w:noProof/>
        </w:rPr>
      </w:pPr>
      <w:r>
        <w:rPr>
          <w:noProof/>
        </w:rPr>
        <w:t>In 2022, a Just Transition Fund-related study will assess the outcome and impact of the establishment of territorial just transitions plans.</w:t>
      </w:r>
    </w:p>
    <w:p w14:paraId="7DCDAA56" w14:textId="77777777" w:rsidR="005348AD" w:rsidRPr="00040D99" w:rsidRDefault="005348AD" w:rsidP="005348AD">
      <w:pPr>
        <w:pStyle w:val="ppoHeading6"/>
        <w:rPr>
          <w:noProof/>
        </w:rPr>
      </w:pPr>
      <w:r>
        <w:rPr>
          <w:noProof/>
        </w:rPr>
        <w:t>WEBSITE FOR more information</w:t>
      </w:r>
    </w:p>
    <w:p w14:paraId="560CA4D8" w14:textId="77777777" w:rsidR="005348AD" w:rsidRDefault="00E01E9B" w:rsidP="005348AD">
      <w:pPr>
        <w:rPr>
          <w:noProof/>
        </w:rPr>
      </w:pPr>
      <w:hyperlink r:id="rId427" w:history="1">
        <w:r w:rsidR="005348AD" w:rsidRPr="00F727B3">
          <w:rPr>
            <w:rStyle w:val="Hyperlink"/>
            <w:noProof/>
          </w:rPr>
          <w:t>Just Transition Mechanism</w:t>
        </w:r>
      </w:hyperlink>
    </w:p>
    <w:p w14:paraId="3E1CD932" w14:textId="77777777" w:rsidR="005348AD" w:rsidRPr="00901E50" w:rsidRDefault="00E01E9B" w:rsidP="005348AD">
      <w:pPr>
        <w:spacing w:before="240"/>
        <w:rPr>
          <w:noProof/>
        </w:rPr>
      </w:pPr>
      <w:hyperlink r:id="rId428" w:history="1">
        <w:r w:rsidR="005348AD" w:rsidRPr="00B82642">
          <w:rPr>
            <w:rStyle w:val="Hyperlink"/>
            <w:noProof/>
          </w:rPr>
          <w:t>Just Transition Platform</w:t>
        </w:r>
      </w:hyperlink>
    </w:p>
    <w:p w14:paraId="73C52E20" w14:textId="77777777" w:rsidR="005348AD" w:rsidRPr="00040D99" w:rsidRDefault="005348AD" w:rsidP="005348AD">
      <w:pPr>
        <w:pStyle w:val="ppoHeading5"/>
        <w:rPr>
          <w:noProof/>
        </w:rPr>
      </w:pPr>
      <w:r w:rsidRPr="00040D99">
        <w:rPr>
          <w:rFonts w:eastAsiaTheme="minorEastAsia"/>
          <w:noProof/>
        </w:rPr>
        <w:t xml:space="preserve"> Legal </w:t>
      </w:r>
      <w:r>
        <w:rPr>
          <w:rFonts w:eastAsiaTheme="minorEastAsia"/>
          <w:noProof/>
        </w:rPr>
        <w:t>b</w:t>
      </w:r>
      <w:r w:rsidRPr="00040D99">
        <w:rPr>
          <w:rFonts w:eastAsiaTheme="minorEastAsia"/>
          <w:noProof/>
        </w:rPr>
        <w:t>as</w:t>
      </w:r>
      <w:r>
        <w:rPr>
          <w:rFonts w:eastAsiaTheme="minorEastAsia"/>
          <w:noProof/>
        </w:rPr>
        <w:t>is</w:t>
      </w:r>
    </w:p>
    <w:p w14:paraId="6E876F18" w14:textId="77777777" w:rsidR="005348AD" w:rsidRPr="00040D99" w:rsidRDefault="005348AD" w:rsidP="005348AD">
      <w:pPr>
        <w:rPr>
          <w:noProof/>
        </w:rPr>
      </w:pPr>
      <w:r w:rsidRPr="0039194B">
        <w:rPr>
          <w:noProof/>
        </w:rPr>
        <w:t>Regulation (EU) 2021/1229 of the European Parliament and of the Council</w:t>
      </w:r>
      <w:r>
        <w:rPr>
          <w:noProof/>
        </w:rPr>
        <w:t>.</w:t>
      </w:r>
    </w:p>
    <w:p w14:paraId="5CBDD418" w14:textId="77777777" w:rsidR="005348AD" w:rsidRPr="00040D99" w:rsidRDefault="005348AD" w:rsidP="005348AD">
      <w:pPr>
        <w:pStyle w:val="ppoHeading4NaturalGreen"/>
        <w:rPr>
          <w:caps/>
          <w:noProof/>
        </w:rPr>
      </w:pPr>
      <w:r w:rsidRPr="00040D99">
        <w:rPr>
          <w:noProof/>
        </w:rPr>
        <w:t>Implementation and performance</w:t>
      </w:r>
    </w:p>
    <w:p w14:paraId="797E779B" w14:textId="77777777" w:rsidR="005348AD" w:rsidRPr="00040D99" w:rsidRDefault="005348AD" w:rsidP="005348AD">
      <w:pPr>
        <w:pStyle w:val="ppoHeading5"/>
        <w:rPr>
          <w:noProof/>
        </w:rPr>
      </w:pPr>
      <w:r w:rsidRPr="00040D99">
        <w:rPr>
          <w:noProof/>
        </w:rPr>
        <w:t>Budget</w:t>
      </w:r>
    </w:p>
    <w:p w14:paraId="03BF5BD1" w14:textId="77777777" w:rsidR="005348AD" w:rsidRPr="00040D99" w:rsidRDefault="005348AD" w:rsidP="005348AD">
      <w:pPr>
        <w:pStyle w:val="ppoTableTabletitle"/>
        <w:rPr>
          <w:noProof/>
        </w:rPr>
      </w:pPr>
      <w:r w:rsidRPr="00807AC3">
        <w:rPr>
          <w:noProof/>
        </w:rPr>
        <w:t>Budget programming</w:t>
      </w:r>
      <w:r>
        <w:rPr>
          <w:noProof/>
        </w:rPr>
        <w:t xml:space="preserve"> (million</w:t>
      </w:r>
      <w:r w:rsidRPr="00EB68FF">
        <w:rPr>
          <w:noProof/>
        </w:rPr>
        <w:t xml:space="preserve"> </w:t>
      </w:r>
      <w:r>
        <w:rPr>
          <w:noProof/>
        </w:rPr>
        <w:t>EUR):</w:t>
      </w:r>
    </w:p>
    <w:tbl>
      <w:tblPr>
        <w:tblStyle w:val="PPO2021"/>
        <w:tblW w:w="10241" w:type="dxa"/>
        <w:tblInd w:w="0" w:type="dxa"/>
        <w:tblLayout w:type="fixed"/>
        <w:tblLook w:val="0420" w:firstRow="1" w:lastRow="0" w:firstColumn="0" w:lastColumn="0" w:noHBand="0" w:noVBand="1"/>
      </w:tblPr>
      <w:tblGrid>
        <w:gridCol w:w="2090"/>
        <w:gridCol w:w="1163"/>
        <w:gridCol w:w="1041"/>
        <w:gridCol w:w="943"/>
        <w:gridCol w:w="944"/>
        <w:gridCol w:w="944"/>
        <w:gridCol w:w="943"/>
        <w:gridCol w:w="944"/>
        <w:gridCol w:w="1229"/>
      </w:tblGrid>
      <w:tr w:rsidR="005348AD" w:rsidRPr="00040D99" w14:paraId="07B19577" w14:textId="77777777" w:rsidTr="0083214A">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5F32009E" w14:textId="77777777" w:rsidR="005348AD" w:rsidRPr="00807AC3" w:rsidRDefault="005348AD" w:rsidP="0083214A">
            <w:pPr>
              <w:rPr>
                <w:noProof/>
              </w:rPr>
            </w:pPr>
          </w:p>
        </w:tc>
        <w:tc>
          <w:tcPr>
            <w:tcW w:w="1163" w:type="dxa"/>
            <w:noWrap/>
            <w:hideMark/>
          </w:tcPr>
          <w:p w14:paraId="1C4EA73C" w14:textId="77777777" w:rsidR="005348AD" w:rsidRPr="00807AC3" w:rsidRDefault="005348AD" w:rsidP="0083214A">
            <w:pPr>
              <w:rPr>
                <w:noProof/>
              </w:rPr>
            </w:pPr>
            <w:r w:rsidRPr="00807AC3">
              <w:rPr>
                <w:noProof/>
              </w:rPr>
              <w:t>2021</w:t>
            </w:r>
          </w:p>
        </w:tc>
        <w:tc>
          <w:tcPr>
            <w:tcW w:w="1041" w:type="dxa"/>
            <w:noWrap/>
            <w:hideMark/>
          </w:tcPr>
          <w:p w14:paraId="1072699D" w14:textId="77777777" w:rsidR="005348AD" w:rsidRPr="00807AC3" w:rsidRDefault="005348AD" w:rsidP="0083214A">
            <w:pPr>
              <w:rPr>
                <w:noProof/>
              </w:rPr>
            </w:pPr>
            <w:r w:rsidRPr="00807AC3">
              <w:rPr>
                <w:noProof/>
              </w:rPr>
              <w:t>2022</w:t>
            </w:r>
          </w:p>
        </w:tc>
        <w:tc>
          <w:tcPr>
            <w:tcW w:w="943" w:type="dxa"/>
            <w:noWrap/>
            <w:hideMark/>
          </w:tcPr>
          <w:p w14:paraId="104A6416" w14:textId="77777777" w:rsidR="005348AD" w:rsidRPr="00807AC3" w:rsidRDefault="005348AD" w:rsidP="0083214A">
            <w:pPr>
              <w:rPr>
                <w:noProof/>
              </w:rPr>
            </w:pPr>
            <w:r w:rsidRPr="00807AC3">
              <w:rPr>
                <w:noProof/>
              </w:rPr>
              <w:t>2023</w:t>
            </w:r>
          </w:p>
        </w:tc>
        <w:tc>
          <w:tcPr>
            <w:tcW w:w="944" w:type="dxa"/>
            <w:noWrap/>
            <w:hideMark/>
          </w:tcPr>
          <w:p w14:paraId="10EE4E60" w14:textId="77777777" w:rsidR="005348AD" w:rsidRPr="00807AC3" w:rsidRDefault="005348AD" w:rsidP="0083214A">
            <w:pPr>
              <w:rPr>
                <w:noProof/>
              </w:rPr>
            </w:pPr>
            <w:r w:rsidRPr="00807AC3">
              <w:rPr>
                <w:noProof/>
              </w:rPr>
              <w:t>2024</w:t>
            </w:r>
          </w:p>
        </w:tc>
        <w:tc>
          <w:tcPr>
            <w:tcW w:w="944" w:type="dxa"/>
            <w:noWrap/>
            <w:hideMark/>
          </w:tcPr>
          <w:p w14:paraId="21417D10" w14:textId="77777777" w:rsidR="005348AD" w:rsidRPr="00807AC3" w:rsidRDefault="005348AD" w:rsidP="0083214A">
            <w:pPr>
              <w:rPr>
                <w:noProof/>
              </w:rPr>
            </w:pPr>
            <w:r w:rsidRPr="00807AC3">
              <w:rPr>
                <w:noProof/>
              </w:rPr>
              <w:t>2025</w:t>
            </w:r>
          </w:p>
        </w:tc>
        <w:tc>
          <w:tcPr>
            <w:tcW w:w="943" w:type="dxa"/>
            <w:noWrap/>
            <w:hideMark/>
          </w:tcPr>
          <w:p w14:paraId="68678D86" w14:textId="77777777" w:rsidR="005348AD" w:rsidRPr="00807AC3" w:rsidRDefault="005348AD" w:rsidP="0083214A">
            <w:pPr>
              <w:rPr>
                <w:noProof/>
              </w:rPr>
            </w:pPr>
            <w:r w:rsidRPr="00807AC3">
              <w:rPr>
                <w:noProof/>
              </w:rPr>
              <w:t>2026</w:t>
            </w:r>
          </w:p>
        </w:tc>
        <w:tc>
          <w:tcPr>
            <w:tcW w:w="944" w:type="dxa"/>
            <w:noWrap/>
            <w:hideMark/>
          </w:tcPr>
          <w:p w14:paraId="67AD4F27" w14:textId="77777777" w:rsidR="005348AD" w:rsidRPr="00807AC3" w:rsidRDefault="005348AD" w:rsidP="0083214A">
            <w:pPr>
              <w:rPr>
                <w:noProof/>
              </w:rPr>
            </w:pPr>
            <w:r w:rsidRPr="00807AC3">
              <w:rPr>
                <w:noProof/>
              </w:rPr>
              <w:t>2027</w:t>
            </w:r>
          </w:p>
        </w:tc>
        <w:tc>
          <w:tcPr>
            <w:tcW w:w="1229" w:type="dxa"/>
            <w:noWrap/>
            <w:hideMark/>
          </w:tcPr>
          <w:p w14:paraId="7EC28692" w14:textId="77777777" w:rsidR="005348AD" w:rsidRPr="00807AC3" w:rsidRDefault="005348AD" w:rsidP="0083214A">
            <w:pPr>
              <w:rPr>
                <w:noProof/>
              </w:rPr>
            </w:pPr>
            <w:r w:rsidRPr="00807AC3">
              <w:rPr>
                <w:noProof/>
              </w:rPr>
              <w:t>Total</w:t>
            </w:r>
          </w:p>
        </w:tc>
      </w:tr>
      <w:tr w:rsidR="001C09F6" w:rsidRPr="00040D99" w14:paraId="2A0D5629" w14:textId="77777777" w:rsidTr="009A624D">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42BFA49C" w14:textId="77777777" w:rsidR="001C09F6" w:rsidRPr="00807AC3" w:rsidRDefault="001C09F6" w:rsidP="001C09F6">
            <w:pPr>
              <w:rPr>
                <w:noProof/>
              </w:rPr>
            </w:pPr>
            <w:r w:rsidRPr="00807AC3">
              <w:rPr>
                <w:noProof/>
              </w:rPr>
              <w:t>Financial programming</w:t>
            </w:r>
          </w:p>
        </w:tc>
        <w:tc>
          <w:tcPr>
            <w:tcW w:w="1163" w:type="dxa"/>
            <w:noWrap/>
            <w:hideMark/>
          </w:tcPr>
          <w:p w14:paraId="4D1ADF38" w14:textId="77777777" w:rsidR="001C09F6" w:rsidRPr="00807AC3" w:rsidRDefault="001C09F6" w:rsidP="001C09F6">
            <w:pPr>
              <w:jc w:val="center"/>
              <w:rPr>
                <w:noProof/>
              </w:rPr>
            </w:pPr>
            <w:r w:rsidRPr="00694677">
              <w:rPr>
                <w:noProof/>
              </w:rPr>
              <w:t>4</w:t>
            </w:r>
            <w:r>
              <w:rPr>
                <w:noProof/>
              </w:rPr>
              <w:t>.</w:t>
            </w:r>
            <w:r w:rsidRPr="00694677">
              <w:rPr>
                <w:noProof/>
              </w:rPr>
              <w:t>0</w:t>
            </w:r>
          </w:p>
        </w:tc>
        <w:tc>
          <w:tcPr>
            <w:tcW w:w="1041" w:type="dxa"/>
            <w:noWrap/>
            <w:hideMark/>
          </w:tcPr>
          <w:p w14:paraId="1AF24C6D" w14:textId="78905AA3" w:rsidR="001C09F6" w:rsidRPr="00807AC3" w:rsidRDefault="001C09F6" w:rsidP="001C09F6">
            <w:pPr>
              <w:jc w:val="center"/>
              <w:rPr>
                <w:noProof/>
              </w:rPr>
            </w:pPr>
            <w:r>
              <w:rPr>
                <w:rFonts w:ascii="Calibri" w:hAnsi="Calibri" w:cs="Calibri"/>
                <w:noProof/>
                <w:color w:val="000000"/>
              </w:rPr>
              <w:t>1 460.9</w:t>
            </w:r>
          </w:p>
        </w:tc>
        <w:tc>
          <w:tcPr>
            <w:tcW w:w="943" w:type="dxa"/>
            <w:noWrap/>
            <w:hideMark/>
          </w:tcPr>
          <w:p w14:paraId="5C6AA659" w14:textId="54F21274" w:rsidR="001C09F6" w:rsidRPr="00807AC3" w:rsidRDefault="001C09F6" w:rsidP="001C09F6">
            <w:pPr>
              <w:jc w:val="center"/>
              <w:rPr>
                <w:noProof/>
              </w:rPr>
            </w:pPr>
            <w:r>
              <w:rPr>
                <w:rFonts w:ascii="Calibri" w:hAnsi="Calibri" w:cs="Calibri"/>
                <w:noProof/>
                <w:color w:val="000000"/>
              </w:rPr>
              <w:t>1 610.2</w:t>
            </w:r>
          </w:p>
        </w:tc>
        <w:tc>
          <w:tcPr>
            <w:tcW w:w="944" w:type="dxa"/>
            <w:noWrap/>
            <w:hideMark/>
          </w:tcPr>
          <w:p w14:paraId="027C7961" w14:textId="65BAD410" w:rsidR="001C09F6" w:rsidRPr="00807AC3" w:rsidRDefault="001C09F6" w:rsidP="001C09F6">
            <w:pPr>
              <w:jc w:val="center"/>
              <w:rPr>
                <w:noProof/>
              </w:rPr>
            </w:pPr>
            <w:r>
              <w:rPr>
                <w:rFonts w:ascii="Calibri" w:hAnsi="Calibri" w:cs="Calibri"/>
                <w:noProof/>
                <w:color w:val="000000"/>
              </w:rPr>
              <w:t>1 636.5</w:t>
            </w:r>
          </w:p>
        </w:tc>
        <w:tc>
          <w:tcPr>
            <w:tcW w:w="944" w:type="dxa"/>
            <w:noWrap/>
            <w:hideMark/>
          </w:tcPr>
          <w:p w14:paraId="7C4937EE" w14:textId="4B66678B" w:rsidR="001C09F6" w:rsidRPr="00807AC3" w:rsidRDefault="001C09F6" w:rsidP="001C09F6">
            <w:pPr>
              <w:jc w:val="center"/>
              <w:rPr>
                <w:noProof/>
              </w:rPr>
            </w:pPr>
            <w:r>
              <w:rPr>
                <w:rFonts w:ascii="Calibri" w:hAnsi="Calibri" w:cs="Calibri"/>
                <w:noProof/>
                <w:color w:val="000000"/>
              </w:rPr>
              <w:t>1 663.2</w:t>
            </w:r>
          </w:p>
        </w:tc>
        <w:tc>
          <w:tcPr>
            <w:tcW w:w="943" w:type="dxa"/>
            <w:noWrap/>
            <w:hideMark/>
          </w:tcPr>
          <w:p w14:paraId="1FF3A06C" w14:textId="329F1165" w:rsidR="001C09F6" w:rsidRPr="00807AC3" w:rsidRDefault="001C09F6" w:rsidP="001C09F6">
            <w:pPr>
              <w:jc w:val="center"/>
              <w:rPr>
                <w:noProof/>
              </w:rPr>
            </w:pPr>
            <w:r>
              <w:rPr>
                <w:rFonts w:ascii="Calibri" w:hAnsi="Calibri" w:cs="Calibri"/>
                <w:noProof/>
                <w:color w:val="000000"/>
              </w:rPr>
              <w:t>1 389.5</w:t>
            </w:r>
          </w:p>
        </w:tc>
        <w:tc>
          <w:tcPr>
            <w:tcW w:w="944" w:type="dxa"/>
            <w:noWrap/>
            <w:hideMark/>
          </w:tcPr>
          <w:p w14:paraId="605E1C7C" w14:textId="1B6B17A0" w:rsidR="001C09F6" w:rsidRPr="00807AC3" w:rsidRDefault="001C09F6" w:rsidP="001C09F6">
            <w:pPr>
              <w:jc w:val="center"/>
              <w:rPr>
                <w:noProof/>
              </w:rPr>
            </w:pPr>
            <w:r>
              <w:rPr>
                <w:rFonts w:ascii="Calibri" w:hAnsi="Calibri" w:cs="Calibri"/>
                <w:noProof/>
                <w:color w:val="000000"/>
              </w:rPr>
              <w:t>1 417.4</w:t>
            </w:r>
          </w:p>
        </w:tc>
        <w:tc>
          <w:tcPr>
            <w:tcW w:w="1229" w:type="dxa"/>
            <w:noWrap/>
            <w:hideMark/>
          </w:tcPr>
          <w:p w14:paraId="1577A54E" w14:textId="767616FC" w:rsidR="001C09F6" w:rsidRPr="00807AC3" w:rsidRDefault="001C09F6" w:rsidP="001C09F6">
            <w:pPr>
              <w:jc w:val="center"/>
              <w:rPr>
                <w:noProof/>
              </w:rPr>
            </w:pPr>
            <w:r>
              <w:rPr>
                <w:rFonts w:ascii="Calibri" w:hAnsi="Calibri" w:cs="Calibri"/>
                <w:noProof/>
                <w:color w:val="000000"/>
              </w:rPr>
              <w:t>9 181.8</w:t>
            </w:r>
          </w:p>
        </w:tc>
      </w:tr>
      <w:tr w:rsidR="001C09F6" w:rsidRPr="00040D99" w14:paraId="16AF7D48" w14:textId="77777777" w:rsidTr="009A624D">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5CAF3EE8" w14:textId="77777777" w:rsidR="001C09F6" w:rsidRPr="00807AC3" w:rsidRDefault="001C09F6" w:rsidP="001C09F6">
            <w:pPr>
              <w:rPr>
                <w:noProof/>
              </w:rPr>
            </w:pPr>
            <w:r w:rsidRPr="00807AC3">
              <w:rPr>
                <w:noProof/>
              </w:rPr>
              <w:t>NextGenerationEU</w:t>
            </w:r>
          </w:p>
        </w:tc>
        <w:tc>
          <w:tcPr>
            <w:tcW w:w="1163" w:type="dxa"/>
            <w:noWrap/>
            <w:hideMark/>
          </w:tcPr>
          <w:p w14:paraId="4A0D2638" w14:textId="2B5CB4CA" w:rsidR="001C09F6" w:rsidRPr="00807AC3" w:rsidRDefault="001C09F6" w:rsidP="001C09F6">
            <w:pPr>
              <w:jc w:val="center"/>
              <w:rPr>
                <w:noProof/>
              </w:rPr>
            </w:pPr>
            <w:r>
              <w:rPr>
                <w:rFonts w:ascii="Calibri" w:hAnsi="Calibri" w:cs="Calibri"/>
                <w:noProof/>
                <w:color w:val="000000"/>
              </w:rPr>
              <w:t>10.7</w:t>
            </w:r>
          </w:p>
        </w:tc>
        <w:tc>
          <w:tcPr>
            <w:tcW w:w="1041" w:type="dxa"/>
            <w:noWrap/>
            <w:hideMark/>
          </w:tcPr>
          <w:p w14:paraId="7580074F" w14:textId="1E906AF3" w:rsidR="001C09F6" w:rsidRPr="00807AC3" w:rsidRDefault="001C09F6" w:rsidP="001C09F6">
            <w:pPr>
              <w:jc w:val="center"/>
              <w:rPr>
                <w:noProof/>
              </w:rPr>
            </w:pPr>
            <w:r>
              <w:rPr>
                <w:rFonts w:ascii="Calibri" w:hAnsi="Calibri" w:cs="Calibri"/>
                <w:noProof/>
                <w:color w:val="000000"/>
              </w:rPr>
              <w:t>5 385.6</w:t>
            </w:r>
          </w:p>
        </w:tc>
        <w:tc>
          <w:tcPr>
            <w:tcW w:w="943" w:type="dxa"/>
            <w:noWrap/>
            <w:hideMark/>
          </w:tcPr>
          <w:p w14:paraId="4BA56127" w14:textId="25639D48" w:rsidR="001C09F6" w:rsidRPr="00807AC3" w:rsidRDefault="001C09F6" w:rsidP="001C09F6">
            <w:pPr>
              <w:jc w:val="center"/>
              <w:rPr>
                <w:noProof/>
              </w:rPr>
            </w:pPr>
            <w:r>
              <w:rPr>
                <w:rFonts w:ascii="Calibri" w:hAnsi="Calibri" w:cs="Calibri"/>
                <w:noProof/>
                <w:color w:val="000000"/>
              </w:rPr>
              <w:t>5 472.2</w:t>
            </w:r>
          </w:p>
        </w:tc>
        <w:tc>
          <w:tcPr>
            <w:tcW w:w="944" w:type="dxa"/>
            <w:noWrap/>
            <w:hideMark/>
          </w:tcPr>
          <w:p w14:paraId="228CEDF6" w14:textId="77777777" w:rsidR="001C09F6" w:rsidRPr="00807AC3" w:rsidRDefault="001C09F6" w:rsidP="001C09F6">
            <w:pPr>
              <w:jc w:val="center"/>
              <w:rPr>
                <w:noProof/>
              </w:rPr>
            </w:pPr>
          </w:p>
        </w:tc>
        <w:tc>
          <w:tcPr>
            <w:tcW w:w="944" w:type="dxa"/>
            <w:noWrap/>
            <w:hideMark/>
          </w:tcPr>
          <w:p w14:paraId="1391B336" w14:textId="77777777" w:rsidR="001C09F6" w:rsidRPr="00807AC3" w:rsidRDefault="001C09F6" w:rsidP="001C09F6">
            <w:pPr>
              <w:jc w:val="center"/>
              <w:rPr>
                <w:noProof/>
              </w:rPr>
            </w:pPr>
          </w:p>
        </w:tc>
        <w:tc>
          <w:tcPr>
            <w:tcW w:w="943" w:type="dxa"/>
            <w:noWrap/>
            <w:hideMark/>
          </w:tcPr>
          <w:p w14:paraId="5794E4F9" w14:textId="77777777" w:rsidR="001C09F6" w:rsidRPr="00807AC3" w:rsidRDefault="001C09F6" w:rsidP="001C09F6">
            <w:pPr>
              <w:jc w:val="center"/>
              <w:rPr>
                <w:noProof/>
              </w:rPr>
            </w:pPr>
          </w:p>
        </w:tc>
        <w:tc>
          <w:tcPr>
            <w:tcW w:w="944" w:type="dxa"/>
            <w:noWrap/>
            <w:hideMark/>
          </w:tcPr>
          <w:p w14:paraId="062113CE" w14:textId="77777777" w:rsidR="001C09F6" w:rsidRPr="00807AC3" w:rsidRDefault="001C09F6" w:rsidP="001C09F6">
            <w:pPr>
              <w:jc w:val="center"/>
              <w:rPr>
                <w:noProof/>
              </w:rPr>
            </w:pPr>
          </w:p>
        </w:tc>
        <w:tc>
          <w:tcPr>
            <w:tcW w:w="1229" w:type="dxa"/>
            <w:noWrap/>
            <w:hideMark/>
          </w:tcPr>
          <w:p w14:paraId="3E01762A" w14:textId="77777777" w:rsidR="001C09F6" w:rsidRDefault="001C09F6" w:rsidP="001C09F6">
            <w:pPr>
              <w:jc w:val="right"/>
              <w:rPr>
                <w:rFonts w:ascii="Calibri" w:hAnsi="Calibri"/>
                <w:noProof/>
                <w:color w:val="000000"/>
              </w:rPr>
            </w:pPr>
            <w:r>
              <w:rPr>
                <w:rFonts w:ascii="Calibri" w:hAnsi="Calibri"/>
                <w:noProof/>
                <w:color w:val="000000"/>
              </w:rPr>
              <w:t>10 868.5</w:t>
            </w:r>
          </w:p>
          <w:p w14:paraId="591F092A" w14:textId="5703D515" w:rsidR="001C09F6" w:rsidRPr="00807AC3" w:rsidRDefault="001C09F6" w:rsidP="001C09F6">
            <w:pPr>
              <w:jc w:val="center"/>
              <w:rPr>
                <w:noProof/>
              </w:rPr>
            </w:pPr>
          </w:p>
        </w:tc>
      </w:tr>
      <w:tr w:rsidR="005348AD" w:rsidRPr="00040D99" w14:paraId="619A6BD0" w14:textId="77777777" w:rsidTr="009A624D">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6565F1A5" w14:textId="77777777" w:rsidR="005348AD" w:rsidRPr="00807AC3" w:rsidRDefault="005348AD" w:rsidP="0083214A">
            <w:pPr>
              <w:rPr>
                <w:noProof/>
              </w:rPr>
            </w:pPr>
            <w:r w:rsidRPr="00807AC3">
              <w:rPr>
                <w:noProof/>
              </w:rPr>
              <w:t>Decommitments made available again</w:t>
            </w:r>
            <w:r>
              <w:rPr>
                <w:rFonts w:ascii="Calibri" w:hAnsi="Calibri" w:cs="Calibri"/>
                <w:noProof/>
              </w:rPr>
              <w:t> </w:t>
            </w:r>
            <w:r>
              <w:rPr>
                <w:noProof/>
              </w:rPr>
              <w:t>(</w:t>
            </w:r>
            <w:r w:rsidRPr="00807AC3">
              <w:rPr>
                <w:noProof/>
              </w:rPr>
              <w:t>*</w:t>
            </w:r>
            <w:r>
              <w:rPr>
                <w:noProof/>
              </w:rPr>
              <w:t>)</w:t>
            </w:r>
          </w:p>
        </w:tc>
        <w:tc>
          <w:tcPr>
            <w:tcW w:w="1163" w:type="dxa"/>
            <w:noWrap/>
            <w:hideMark/>
          </w:tcPr>
          <w:p w14:paraId="12F43384" w14:textId="77777777" w:rsidR="005348AD" w:rsidRPr="00807AC3" w:rsidRDefault="005348AD" w:rsidP="0083214A">
            <w:pPr>
              <w:jc w:val="center"/>
              <w:rPr>
                <w:noProof/>
              </w:rPr>
            </w:pPr>
            <w:r>
              <w:rPr>
                <w:noProof/>
              </w:rPr>
              <w:t>N/A</w:t>
            </w:r>
          </w:p>
        </w:tc>
        <w:tc>
          <w:tcPr>
            <w:tcW w:w="1041" w:type="dxa"/>
            <w:noWrap/>
            <w:hideMark/>
          </w:tcPr>
          <w:p w14:paraId="3D6909FF" w14:textId="77777777" w:rsidR="005348AD" w:rsidRPr="00807AC3" w:rsidRDefault="005348AD" w:rsidP="0083214A">
            <w:pPr>
              <w:jc w:val="center"/>
              <w:rPr>
                <w:noProof/>
              </w:rPr>
            </w:pPr>
          </w:p>
        </w:tc>
        <w:tc>
          <w:tcPr>
            <w:tcW w:w="943" w:type="dxa"/>
            <w:noWrap/>
            <w:hideMark/>
          </w:tcPr>
          <w:p w14:paraId="01B15A93" w14:textId="77777777" w:rsidR="005348AD" w:rsidRPr="00807AC3" w:rsidRDefault="005348AD" w:rsidP="0083214A">
            <w:pPr>
              <w:jc w:val="center"/>
              <w:rPr>
                <w:noProof/>
              </w:rPr>
            </w:pPr>
          </w:p>
        </w:tc>
        <w:tc>
          <w:tcPr>
            <w:tcW w:w="944" w:type="dxa"/>
            <w:noWrap/>
            <w:hideMark/>
          </w:tcPr>
          <w:p w14:paraId="0BEC7234" w14:textId="77777777" w:rsidR="005348AD" w:rsidRPr="00807AC3" w:rsidRDefault="005348AD" w:rsidP="0083214A">
            <w:pPr>
              <w:jc w:val="center"/>
              <w:rPr>
                <w:noProof/>
              </w:rPr>
            </w:pPr>
          </w:p>
        </w:tc>
        <w:tc>
          <w:tcPr>
            <w:tcW w:w="944" w:type="dxa"/>
            <w:noWrap/>
            <w:hideMark/>
          </w:tcPr>
          <w:p w14:paraId="08E5DC3C" w14:textId="77777777" w:rsidR="005348AD" w:rsidRPr="00807AC3" w:rsidRDefault="005348AD" w:rsidP="0083214A">
            <w:pPr>
              <w:jc w:val="center"/>
              <w:rPr>
                <w:noProof/>
              </w:rPr>
            </w:pPr>
          </w:p>
        </w:tc>
        <w:tc>
          <w:tcPr>
            <w:tcW w:w="943" w:type="dxa"/>
            <w:noWrap/>
            <w:hideMark/>
          </w:tcPr>
          <w:p w14:paraId="753E9BC3" w14:textId="77777777" w:rsidR="005348AD" w:rsidRPr="00807AC3" w:rsidRDefault="005348AD" w:rsidP="0083214A">
            <w:pPr>
              <w:jc w:val="center"/>
              <w:rPr>
                <w:noProof/>
              </w:rPr>
            </w:pPr>
          </w:p>
        </w:tc>
        <w:tc>
          <w:tcPr>
            <w:tcW w:w="944" w:type="dxa"/>
            <w:noWrap/>
            <w:hideMark/>
          </w:tcPr>
          <w:p w14:paraId="7DEA7EB3" w14:textId="77777777" w:rsidR="005348AD" w:rsidRPr="00807AC3" w:rsidRDefault="005348AD" w:rsidP="0083214A">
            <w:pPr>
              <w:jc w:val="center"/>
              <w:rPr>
                <w:noProof/>
              </w:rPr>
            </w:pPr>
          </w:p>
        </w:tc>
        <w:tc>
          <w:tcPr>
            <w:tcW w:w="1229" w:type="dxa"/>
            <w:noWrap/>
            <w:hideMark/>
          </w:tcPr>
          <w:p w14:paraId="280BA3DF" w14:textId="77777777" w:rsidR="005348AD" w:rsidRPr="00807AC3" w:rsidRDefault="005348AD" w:rsidP="0083214A">
            <w:pPr>
              <w:jc w:val="center"/>
              <w:rPr>
                <w:noProof/>
              </w:rPr>
            </w:pPr>
            <w:r>
              <w:rPr>
                <w:noProof/>
              </w:rPr>
              <w:t>N/A</w:t>
            </w:r>
          </w:p>
        </w:tc>
      </w:tr>
      <w:tr w:rsidR="005348AD" w:rsidRPr="00040D99" w14:paraId="291BE2CA" w14:textId="77777777" w:rsidTr="009A624D">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7C27078A" w14:textId="77777777" w:rsidR="005348AD" w:rsidRPr="00807AC3" w:rsidRDefault="005348AD" w:rsidP="0083214A">
            <w:pPr>
              <w:rPr>
                <w:noProof/>
              </w:rPr>
            </w:pPr>
            <w:r w:rsidRPr="00807AC3">
              <w:rPr>
                <w:noProof/>
              </w:rPr>
              <w:t>Contributions from other countries and entities</w:t>
            </w:r>
          </w:p>
        </w:tc>
        <w:tc>
          <w:tcPr>
            <w:tcW w:w="1163" w:type="dxa"/>
            <w:noWrap/>
            <w:hideMark/>
          </w:tcPr>
          <w:p w14:paraId="00593871" w14:textId="77777777" w:rsidR="005348AD" w:rsidRPr="00807AC3" w:rsidRDefault="005348AD" w:rsidP="0083214A">
            <w:pPr>
              <w:jc w:val="center"/>
              <w:rPr>
                <w:noProof/>
              </w:rPr>
            </w:pPr>
            <w:r w:rsidRPr="007F6E2F">
              <w:rPr>
                <w:noProof/>
              </w:rPr>
              <w:t>46</w:t>
            </w:r>
            <w:r>
              <w:rPr>
                <w:noProof/>
              </w:rPr>
              <w:t>.</w:t>
            </w:r>
            <w:r w:rsidRPr="007F6E2F">
              <w:rPr>
                <w:noProof/>
              </w:rPr>
              <w:t>3</w:t>
            </w:r>
          </w:p>
        </w:tc>
        <w:tc>
          <w:tcPr>
            <w:tcW w:w="1041" w:type="dxa"/>
            <w:noWrap/>
            <w:hideMark/>
          </w:tcPr>
          <w:p w14:paraId="79D6EB8A" w14:textId="77777777" w:rsidR="005348AD" w:rsidRPr="00807AC3" w:rsidRDefault="005348AD" w:rsidP="0083214A">
            <w:pPr>
              <w:jc w:val="center"/>
              <w:rPr>
                <w:noProof/>
              </w:rPr>
            </w:pPr>
            <w:r>
              <w:rPr>
                <w:noProof/>
              </w:rPr>
              <w:t>p.m.</w:t>
            </w:r>
          </w:p>
        </w:tc>
        <w:tc>
          <w:tcPr>
            <w:tcW w:w="943" w:type="dxa"/>
            <w:noWrap/>
            <w:hideMark/>
          </w:tcPr>
          <w:p w14:paraId="4516F895" w14:textId="77777777" w:rsidR="005348AD" w:rsidRPr="00807AC3" w:rsidRDefault="005348AD" w:rsidP="0083214A">
            <w:pPr>
              <w:jc w:val="center"/>
              <w:rPr>
                <w:noProof/>
              </w:rPr>
            </w:pPr>
            <w:r>
              <w:rPr>
                <w:noProof/>
              </w:rPr>
              <w:t>p.m.</w:t>
            </w:r>
          </w:p>
        </w:tc>
        <w:tc>
          <w:tcPr>
            <w:tcW w:w="944" w:type="dxa"/>
            <w:noWrap/>
            <w:hideMark/>
          </w:tcPr>
          <w:p w14:paraId="1D4B4020" w14:textId="77777777" w:rsidR="005348AD" w:rsidRPr="00807AC3" w:rsidRDefault="005348AD" w:rsidP="0083214A">
            <w:pPr>
              <w:jc w:val="center"/>
              <w:rPr>
                <w:noProof/>
              </w:rPr>
            </w:pPr>
            <w:r>
              <w:rPr>
                <w:noProof/>
              </w:rPr>
              <w:t>p.m.</w:t>
            </w:r>
          </w:p>
        </w:tc>
        <w:tc>
          <w:tcPr>
            <w:tcW w:w="944" w:type="dxa"/>
            <w:noWrap/>
            <w:hideMark/>
          </w:tcPr>
          <w:p w14:paraId="6AE7D6DA" w14:textId="77777777" w:rsidR="005348AD" w:rsidRPr="00807AC3" w:rsidRDefault="005348AD" w:rsidP="0083214A">
            <w:pPr>
              <w:jc w:val="center"/>
              <w:rPr>
                <w:noProof/>
              </w:rPr>
            </w:pPr>
            <w:r>
              <w:rPr>
                <w:noProof/>
              </w:rPr>
              <w:t>p.m.</w:t>
            </w:r>
          </w:p>
        </w:tc>
        <w:tc>
          <w:tcPr>
            <w:tcW w:w="943" w:type="dxa"/>
            <w:noWrap/>
            <w:hideMark/>
          </w:tcPr>
          <w:p w14:paraId="5B2A511F" w14:textId="77777777" w:rsidR="005348AD" w:rsidRPr="00807AC3" w:rsidRDefault="005348AD" w:rsidP="0083214A">
            <w:pPr>
              <w:jc w:val="center"/>
              <w:rPr>
                <w:noProof/>
              </w:rPr>
            </w:pPr>
            <w:r>
              <w:rPr>
                <w:noProof/>
              </w:rPr>
              <w:t>p.m.</w:t>
            </w:r>
          </w:p>
        </w:tc>
        <w:tc>
          <w:tcPr>
            <w:tcW w:w="944" w:type="dxa"/>
            <w:noWrap/>
            <w:hideMark/>
          </w:tcPr>
          <w:p w14:paraId="0176E9B5" w14:textId="77777777" w:rsidR="005348AD" w:rsidRPr="00807AC3" w:rsidRDefault="005348AD" w:rsidP="0083214A">
            <w:pPr>
              <w:jc w:val="center"/>
              <w:rPr>
                <w:noProof/>
              </w:rPr>
            </w:pPr>
            <w:r>
              <w:rPr>
                <w:noProof/>
              </w:rPr>
              <w:t>p.m.</w:t>
            </w:r>
          </w:p>
        </w:tc>
        <w:tc>
          <w:tcPr>
            <w:tcW w:w="1229" w:type="dxa"/>
            <w:noWrap/>
            <w:hideMark/>
          </w:tcPr>
          <w:p w14:paraId="49F07741" w14:textId="77777777" w:rsidR="005348AD" w:rsidRPr="00807AC3" w:rsidRDefault="005348AD" w:rsidP="0083214A">
            <w:pPr>
              <w:jc w:val="center"/>
              <w:rPr>
                <w:noProof/>
              </w:rPr>
            </w:pPr>
            <w:r w:rsidRPr="007F6E2F">
              <w:rPr>
                <w:noProof/>
              </w:rPr>
              <w:t>46</w:t>
            </w:r>
            <w:r>
              <w:rPr>
                <w:noProof/>
              </w:rPr>
              <w:t>.</w:t>
            </w:r>
            <w:r w:rsidRPr="007F6E2F">
              <w:rPr>
                <w:noProof/>
              </w:rPr>
              <w:t>3</w:t>
            </w:r>
          </w:p>
        </w:tc>
      </w:tr>
      <w:tr w:rsidR="001C09F6" w:rsidRPr="00807AC3" w14:paraId="6A329E73" w14:textId="77777777" w:rsidTr="009A624D">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2DD82D16" w14:textId="77777777" w:rsidR="001C09F6" w:rsidRPr="00807AC3" w:rsidRDefault="001C09F6" w:rsidP="001C09F6">
            <w:pPr>
              <w:rPr>
                <w:noProof/>
              </w:rPr>
            </w:pPr>
            <w:r>
              <w:rPr>
                <w:noProof/>
              </w:rPr>
              <w:t>Total</w:t>
            </w:r>
          </w:p>
        </w:tc>
        <w:tc>
          <w:tcPr>
            <w:tcW w:w="1163" w:type="dxa"/>
            <w:noWrap/>
            <w:hideMark/>
          </w:tcPr>
          <w:p w14:paraId="59466654" w14:textId="7995A50D" w:rsidR="001C09F6" w:rsidRPr="00807AC3" w:rsidRDefault="001C09F6" w:rsidP="001C09F6">
            <w:pPr>
              <w:jc w:val="center"/>
              <w:rPr>
                <w:noProof/>
              </w:rPr>
            </w:pPr>
            <w:r>
              <w:rPr>
                <w:rFonts w:ascii="Calibri" w:hAnsi="Calibri" w:cs="Calibri"/>
                <w:noProof/>
                <w:color w:val="000000"/>
              </w:rPr>
              <w:t>61.0</w:t>
            </w:r>
          </w:p>
        </w:tc>
        <w:tc>
          <w:tcPr>
            <w:tcW w:w="1041" w:type="dxa"/>
            <w:noWrap/>
            <w:hideMark/>
          </w:tcPr>
          <w:p w14:paraId="7CD08D56" w14:textId="7CE9D204" w:rsidR="001C09F6" w:rsidRPr="00807AC3" w:rsidRDefault="001C09F6" w:rsidP="001C09F6">
            <w:pPr>
              <w:jc w:val="center"/>
              <w:rPr>
                <w:noProof/>
              </w:rPr>
            </w:pPr>
            <w:r>
              <w:rPr>
                <w:rFonts w:ascii="Calibri" w:hAnsi="Calibri" w:cs="Calibri"/>
                <w:noProof/>
                <w:color w:val="000000"/>
              </w:rPr>
              <w:t>6 846.5</w:t>
            </w:r>
          </w:p>
        </w:tc>
        <w:tc>
          <w:tcPr>
            <w:tcW w:w="943" w:type="dxa"/>
            <w:noWrap/>
            <w:hideMark/>
          </w:tcPr>
          <w:p w14:paraId="67CB20DD" w14:textId="312ACBAE" w:rsidR="001C09F6" w:rsidRPr="00807AC3" w:rsidRDefault="001C09F6" w:rsidP="001C09F6">
            <w:pPr>
              <w:jc w:val="center"/>
              <w:rPr>
                <w:noProof/>
              </w:rPr>
            </w:pPr>
            <w:r>
              <w:rPr>
                <w:rFonts w:ascii="Calibri" w:hAnsi="Calibri" w:cs="Calibri"/>
                <w:noProof/>
                <w:color w:val="000000"/>
              </w:rPr>
              <w:t>7 082.4</w:t>
            </w:r>
          </w:p>
        </w:tc>
        <w:tc>
          <w:tcPr>
            <w:tcW w:w="944" w:type="dxa"/>
            <w:noWrap/>
            <w:hideMark/>
          </w:tcPr>
          <w:p w14:paraId="76B8AB9A" w14:textId="51D49F29" w:rsidR="001C09F6" w:rsidRPr="00807AC3" w:rsidRDefault="001C09F6" w:rsidP="001C09F6">
            <w:pPr>
              <w:jc w:val="center"/>
              <w:rPr>
                <w:noProof/>
              </w:rPr>
            </w:pPr>
            <w:r>
              <w:rPr>
                <w:rFonts w:ascii="Calibri" w:hAnsi="Calibri" w:cs="Calibri"/>
                <w:noProof/>
                <w:color w:val="000000"/>
              </w:rPr>
              <w:t>1 636.5</w:t>
            </w:r>
          </w:p>
        </w:tc>
        <w:tc>
          <w:tcPr>
            <w:tcW w:w="944" w:type="dxa"/>
            <w:noWrap/>
            <w:hideMark/>
          </w:tcPr>
          <w:p w14:paraId="259C33AD" w14:textId="64EAD6A3" w:rsidR="001C09F6" w:rsidRPr="00807AC3" w:rsidRDefault="001C09F6" w:rsidP="001C09F6">
            <w:pPr>
              <w:jc w:val="center"/>
              <w:rPr>
                <w:noProof/>
              </w:rPr>
            </w:pPr>
            <w:r>
              <w:rPr>
                <w:rFonts w:ascii="Calibri" w:hAnsi="Calibri" w:cs="Calibri"/>
                <w:noProof/>
                <w:color w:val="000000"/>
              </w:rPr>
              <w:t>1 663.2</w:t>
            </w:r>
          </w:p>
        </w:tc>
        <w:tc>
          <w:tcPr>
            <w:tcW w:w="943" w:type="dxa"/>
            <w:noWrap/>
            <w:hideMark/>
          </w:tcPr>
          <w:p w14:paraId="747729B8" w14:textId="203916E4" w:rsidR="001C09F6" w:rsidRPr="00807AC3" w:rsidRDefault="001C09F6" w:rsidP="001C09F6">
            <w:pPr>
              <w:jc w:val="center"/>
              <w:rPr>
                <w:noProof/>
              </w:rPr>
            </w:pPr>
            <w:r>
              <w:rPr>
                <w:rFonts w:ascii="Calibri" w:hAnsi="Calibri" w:cs="Calibri"/>
                <w:noProof/>
                <w:color w:val="000000"/>
              </w:rPr>
              <w:t>1 389.5</w:t>
            </w:r>
          </w:p>
        </w:tc>
        <w:tc>
          <w:tcPr>
            <w:tcW w:w="944" w:type="dxa"/>
            <w:noWrap/>
            <w:hideMark/>
          </w:tcPr>
          <w:p w14:paraId="1A8868B0" w14:textId="492FDCFA" w:rsidR="001C09F6" w:rsidRPr="00807AC3" w:rsidRDefault="001C09F6" w:rsidP="001C09F6">
            <w:pPr>
              <w:jc w:val="center"/>
              <w:rPr>
                <w:noProof/>
              </w:rPr>
            </w:pPr>
            <w:r>
              <w:rPr>
                <w:rFonts w:ascii="Calibri" w:hAnsi="Calibri" w:cs="Calibri"/>
                <w:noProof/>
                <w:color w:val="000000"/>
              </w:rPr>
              <w:t>1 417.4</w:t>
            </w:r>
          </w:p>
        </w:tc>
        <w:tc>
          <w:tcPr>
            <w:tcW w:w="1229" w:type="dxa"/>
            <w:noWrap/>
            <w:hideMark/>
          </w:tcPr>
          <w:p w14:paraId="7E24F0B0" w14:textId="4C3D4CD8" w:rsidR="001C09F6" w:rsidRPr="00807AC3" w:rsidRDefault="001C09F6" w:rsidP="001C09F6">
            <w:pPr>
              <w:jc w:val="center"/>
              <w:rPr>
                <w:noProof/>
              </w:rPr>
            </w:pPr>
            <w:r>
              <w:rPr>
                <w:rFonts w:ascii="Calibri" w:hAnsi="Calibri" w:cs="Calibri"/>
                <w:noProof/>
                <w:color w:val="000000"/>
              </w:rPr>
              <w:t>20 096.5</w:t>
            </w:r>
          </w:p>
        </w:tc>
      </w:tr>
    </w:tbl>
    <w:p w14:paraId="32F58E33" w14:textId="77777777" w:rsidR="005348AD" w:rsidRPr="0094364E" w:rsidRDefault="005348AD" w:rsidP="005348AD">
      <w:pPr>
        <w:tabs>
          <w:tab w:val="left" w:pos="6793"/>
        </w:tabs>
        <w:rPr>
          <w:noProof/>
          <w:sz w:val="18"/>
          <w:szCs w:val="18"/>
          <w:lang w:val="en-IE"/>
        </w:rPr>
      </w:pPr>
      <w:r w:rsidRPr="0094364E">
        <w:rPr>
          <w:noProof/>
          <w:sz w:val="18"/>
          <w:szCs w:val="18"/>
          <w:lang w:val="en-IE"/>
        </w:rPr>
        <w:t>(*) Only Article</w:t>
      </w:r>
      <w:r w:rsidRPr="0094364E">
        <w:rPr>
          <w:rFonts w:ascii="Calibri" w:hAnsi="Calibri" w:cs="Calibri"/>
          <w:noProof/>
          <w:sz w:val="18"/>
          <w:szCs w:val="18"/>
          <w:lang w:val="en-IE"/>
        </w:rPr>
        <w:t> </w:t>
      </w:r>
      <w:r w:rsidRPr="0094364E">
        <w:rPr>
          <w:noProof/>
          <w:sz w:val="18"/>
          <w:szCs w:val="18"/>
          <w:lang w:val="en-IE"/>
        </w:rPr>
        <w:t>15(3) of the financial regulation.</w:t>
      </w:r>
    </w:p>
    <w:p w14:paraId="115D0E00" w14:textId="77777777" w:rsidR="005348AD" w:rsidRPr="00040D99" w:rsidRDefault="005348AD" w:rsidP="005348AD">
      <w:pPr>
        <w:rPr>
          <w:noProof/>
        </w:rPr>
      </w:pPr>
    </w:p>
    <w:p w14:paraId="39EED6D0" w14:textId="77777777" w:rsidR="005348AD" w:rsidRPr="00040D99" w:rsidRDefault="005348AD" w:rsidP="005348AD">
      <w:pPr>
        <w:pStyle w:val="ppoTableTabletitle"/>
        <w:rPr>
          <w:b/>
          <w:noProof/>
        </w:rPr>
      </w:pPr>
      <w:r w:rsidRPr="00040D99">
        <w:rPr>
          <w:noProof/>
        </w:rPr>
        <w:t>Cumulative impleme</w:t>
      </w:r>
      <w:r>
        <w:rPr>
          <w:noProof/>
        </w:rPr>
        <w:t>ntation rate at the end of 2021 (million</w:t>
      </w:r>
      <w:r w:rsidRPr="00EB68FF">
        <w:rPr>
          <w:noProof/>
        </w:rPr>
        <w:t xml:space="preserve"> </w:t>
      </w:r>
      <w:r>
        <w:rPr>
          <w:noProof/>
        </w:rPr>
        <w:t>EUR):</w:t>
      </w:r>
    </w:p>
    <w:tbl>
      <w:tblPr>
        <w:tblStyle w:val="PPO2021"/>
        <w:tblW w:w="9639" w:type="dxa"/>
        <w:tblInd w:w="0" w:type="dxa"/>
        <w:tblLook w:val="06A0" w:firstRow="1" w:lastRow="0" w:firstColumn="1" w:lastColumn="0" w:noHBand="1" w:noVBand="1"/>
      </w:tblPr>
      <w:tblGrid>
        <w:gridCol w:w="2409"/>
        <w:gridCol w:w="2410"/>
        <w:gridCol w:w="2410"/>
        <w:gridCol w:w="2410"/>
      </w:tblGrid>
      <w:tr w:rsidR="005348AD" w:rsidRPr="00040D99" w14:paraId="1D6E580A" w14:textId="77777777" w:rsidTr="0083214A">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1AB3C7FA" w14:textId="77777777" w:rsidR="005348AD" w:rsidRPr="00807AC3" w:rsidRDefault="005348AD" w:rsidP="0083214A">
            <w:pPr>
              <w:rPr>
                <w:noProof/>
              </w:rPr>
            </w:pPr>
          </w:p>
        </w:tc>
        <w:tc>
          <w:tcPr>
            <w:tcW w:w="2410" w:type="dxa"/>
          </w:tcPr>
          <w:p w14:paraId="7E0B7033" w14:textId="77777777" w:rsidR="005348AD" w:rsidRPr="00807AC3" w:rsidRDefault="005348AD" w:rsidP="0083214A">
            <w:pPr>
              <w:cnfStyle w:val="100000000000" w:firstRow="1" w:lastRow="0" w:firstColumn="0" w:lastColumn="0" w:oddVBand="0" w:evenVBand="0" w:oddHBand="0" w:evenHBand="0" w:firstRowFirstColumn="0" w:firstRowLastColumn="0" w:lastRowFirstColumn="0" w:lastRowLastColumn="0"/>
              <w:rPr>
                <w:noProof/>
              </w:rPr>
            </w:pPr>
            <w:r w:rsidRPr="00807AC3">
              <w:rPr>
                <w:noProof/>
              </w:rPr>
              <w:t>Implementation</w:t>
            </w:r>
          </w:p>
        </w:tc>
        <w:tc>
          <w:tcPr>
            <w:tcW w:w="2410" w:type="dxa"/>
          </w:tcPr>
          <w:p w14:paraId="17DC3F14" w14:textId="2127EEFE" w:rsidR="005348AD" w:rsidRPr="00807AC3" w:rsidRDefault="003821C6" w:rsidP="0083214A">
            <w:pPr>
              <w:cnfStyle w:val="100000000000" w:firstRow="1" w:lastRow="0" w:firstColumn="0" w:lastColumn="0" w:oddVBand="0" w:evenVBand="0" w:oddHBand="0" w:evenHBand="0" w:firstRowFirstColumn="0" w:firstRowLastColumn="0" w:lastRowFirstColumn="0" w:lastRowLastColumn="0"/>
              <w:rPr>
                <w:noProof/>
              </w:rPr>
            </w:pPr>
            <w:r>
              <w:rPr>
                <w:noProof/>
              </w:rPr>
              <w:t xml:space="preserve">2021-2027 </w:t>
            </w:r>
            <w:r w:rsidR="005348AD" w:rsidRPr="00807AC3">
              <w:rPr>
                <w:noProof/>
              </w:rPr>
              <w:t>Budget</w:t>
            </w:r>
          </w:p>
        </w:tc>
        <w:tc>
          <w:tcPr>
            <w:tcW w:w="2410" w:type="dxa"/>
          </w:tcPr>
          <w:p w14:paraId="776CA121" w14:textId="77777777" w:rsidR="005348AD" w:rsidRPr="00807AC3" w:rsidRDefault="005348AD" w:rsidP="0083214A">
            <w:pPr>
              <w:cnfStyle w:val="100000000000" w:firstRow="1" w:lastRow="0" w:firstColumn="0" w:lastColumn="0" w:oddVBand="0" w:evenVBand="0" w:oddHBand="0" w:evenHBand="0" w:firstRowFirstColumn="0" w:firstRowLastColumn="0" w:lastRowFirstColumn="0" w:lastRowLastColumn="0"/>
              <w:rPr>
                <w:noProof/>
              </w:rPr>
            </w:pPr>
            <w:r w:rsidRPr="00807AC3">
              <w:rPr>
                <w:noProof/>
              </w:rPr>
              <w:t>Implementation rate</w:t>
            </w:r>
          </w:p>
        </w:tc>
      </w:tr>
      <w:tr w:rsidR="005348AD" w:rsidRPr="00040D99" w14:paraId="6B68FFAF"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2D344496" w14:textId="77777777" w:rsidR="005348AD" w:rsidRPr="00807AC3" w:rsidRDefault="005348AD" w:rsidP="0083214A">
            <w:pPr>
              <w:jc w:val="center"/>
              <w:rPr>
                <w:noProof/>
              </w:rPr>
            </w:pPr>
            <w:r>
              <w:rPr>
                <w:noProof/>
              </w:rPr>
              <w:t>Commitments</w:t>
            </w:r>
          </w:p>
        </w:tc>
        <w:tc>
          <w:tcPr>
            <w:tcW w:w="2410" w:type="dxa"/>
          </w:tcPr>
          <w:tbl>
            <w:tblPr>
              <w:tblStyle w:val="TableGrid"/>
              <w:tblW w:w="0" w:type="auto"/>
              <w:tblLook w:val="06A0" w:firstRow="1" w:lastRow="0" w:firstColumn="1" w:lastColumn="0" w:noHBand="1" w:noVBand="1"/>
            </w:tblPr>
            <w:tblGrid>
              <w:gridCol w:w="2194"/>
            </w:tblGrid>
            <w:tr w:rsidR="005348AD" w14:paraId="0306B4B0" w14:textId="77777777" w:rsidTr="0083214A">
              <w:trPr>
                <w:trHeight w:val="285"/>
              </w:trPr>
              <w:tc>
                <w:tcPr>
                  <w:tcW w:w="2290" w:type="dxa"/>
                  <w:tcBorders>
                    <w:top w:val="nil"/>
                    <w:left w:val="nil"/>
                    <w:bottom w:val="nil"/>
                    <w:right w:val="nil"/>
                  </w:tcBorders>
                  <w:vAlign w:val="bottom"/>
                </w:tcPr>
                <w:p w14:paraId="4937F6DF" w14:textId="77777777" w:rsidR="005348AD" w:rsidRDefault="005348AD" w:rsidP="0083214A">
                  <w:pPr>
                    <w:jc w:val="right"/>
                    <w:rPr>
                      <w:noProof/>
                    </w:rPr>
                  </w:pPr>
                  <w:r w:rsidRPr="29F77DBC">
                    <w:rPr>
                      <w:rFonts w:ascii="Calibri" w:hAnsi="Calibri" w:cs="Calibri"/>
                      <w:noProof/>
                      <w:color w:val="000000"/>
                    </w:rPr>
                    <w:t>9</w:t>
                  </w:r>
                  <w:r>
                    <w:rPr>
                      <w:rFonts w:ascii="Calibri" w:hAnsi="Calibri" w:cs="Calibri"/>
                      <w:noProof/>
                      <w:color w:val="000000"/>
                    </w:rPr>
                    <w:t>.6</w:t>
                  </w:r>
                </w:p>
              </w:tc>
            </w:tr>
          </w:tbl>
          <w:p w14:paraId="334E7817" w14:textId="77777777" w:rsidR="005348AD" w:rsidRPr="00807AC3" w:rsidRDefault="005348AD"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5348AD" w14:paraId="1729611F" w14:textId="77777777" w:rsidTr="0083214A">
              <w:trPr>
                <w:trHeight w:val="285"/>
              </w:trPr>
              <w:tc>
                <w:tcPr>
                  <w:tcW w:w="2290" w:type="dxa"/>
                  <w:tcBorders>
                    <w:top w:val="nil"/>
                    <w:left w:val="nil"/>
                    <w:bottom w:val="nil"/>
                    <w:right w:val="nil"/>
                  </w:tcBorders>
                  <w:vAlign w:val="bottom"/>
                </w:tcPr>
                <w:p w14:paraId="6461CE04" w14:textId="02324AF4" w:rsidR="005348AD" w:rsidRDefault="001C09F6" w:rsidP="0083214A">
                  <w:pPr>
                    <w:jc w:val="right"/>
                    <w:rPr>
                      <w:rFonts w:ascii="Calibri" w:hAnsi="Calibri" w:cs="Calibri"/>
                      <w:noProof/>
                      <w:color w:val="000000"/>
                    </w:rPr>
                  </w:pPr>
                  <w:r>
                    <w:rPr>
                      <w:rFonts w:ascii="Calibri" w:hAnsi="Calibri" w:cs="Calibri"/>
                      <w:noProof/>
                      <w:color w:val="000000"/>
                      <w:sz w:val="22"/>
                      <w:szCs w:val="22"/>
                    </w:rPr>
                    <w:t>20 096.5</w:t>
                  </w:r>
                </w:p>
              </w:tc>
            </w:tr>
          </w:tbl>
          <w:p w14:paraId="297FAACB" w14:textId="77777777" w:rsidR="005348AD" w:rsidRPr="00807AC3" w:rsidRDefault="005348AD"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5348AD" w14:paraId="10DAE28C" w14:textId="77777777" w:rsidTr="0083214A">
              <w:trPr>
                <w:trHeight w:val="285"/>
              </w:trPr>
              <w:tc>
                <w:tcPr>
                  <w:tcW w:w="2290" w:type="dxa"/>
                  <w:tcBorders>
                    <w:top w:val="nil"/>
                    <w:left w:val="nil"/>
                    <w:bottom w:val="nil"/>
                    <w:right w:val="nil"/>
                  </w:tcBorders>
                  <w:vAlign w:val="bottom"/>
                </w:tcPr>
                <w:p w14:paraId="21C800FE" w14:textId="77777777" w:rsidR="005348AD" w:rsidRDefault="005348AD" w:rsidP="0083214A">
                  <w:pPr>
                    <w:jc w:val="right"/>
                    <w:rPr>
                      <w:noProof/>
                    </w:rPr>
                  </w:pPr>
                  <w:r w:rsidRPr="29F77DBC">
                    <w:rPr>
                      <w:rFonts w:ascii="Calibri" w:hAnsi="Calibri" w:cs="Calibri"/>
                      <w:noProof/>
                      <w:color w:val="000000"/>
                    </w:rPr>
                    <w:t>0%</w:t>
                  </w:r>
                </w:p>
              </w:tc>
            </w:tr>
          </w:tbl>
          <w:p w14:paraId="3831D945" w14:textId="77777777" w:rsidR="005348AD" w:rsidRPr="00807AC3" w:rsidRDefault="005348AD" w:rsidP="0083214A">
            <w:pPr>
              <w:jc w:val="center"/>
              <w:cnfStyle w:val="000000000000" w:firstRow="0" w:lastRow="0" w:firstColumn="0" w:lastColumn="0" w:oddVBand="0" w:evenVBand="0" w:oddHBand="0" w:evenHBand="0" w:firstRowFirstColumn="0" w:firstRowLastColumn="0" w:lastRowFirstColumn="0" w:lastRowLastColumn="0"/>
              <w:rPr>
                <w:noProof/>
              </w:rPr>
            </w:pPr>
          </w:p>
        </w:tc>
      </w:tr>
      <w:tr w:rsidR="005348AD" w:rsidRPr="00040D99" w14:paraId="7DAC586B"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3625D1B0" w14:textId="77777777" w:rsidR="005348AD" w:rsidRPr="00807AC3" w:rsidRDefault="005348AD" w:rsidP="0083214A">
            <w:pPr>
              <w:jc w:val="center"/>
              <w:rPr>
                <w:noProof/>
              </w:rPr>
            </w:pPr>
            <w:r w:rsidRPr="00807AC3">
              <w:rPr>
                <w:noProof/>
              </w:rPr>
              <w:t>Payments</w:t>
            </w:r>
          </w:p>
        </w:tc>
        <w:tc>
          <w:tcPr>
            <w:tcW w:w="2410" w:type="dxa"/>
          </w:tcPr>
          <w:tbl>
            <w:tblPr>
              <w:tblStyle w:val="TableGrid"/>
              <w:tblW w:w="0" w:type="auto"/>
              <w:tblLook w:val="06A0" w:firstRow="1" w:lastRow="0" w:firstColumn="1" w:lastColumn="0" w:noHBand="1" w:noVBand="1"/>
            </w:tblPr>
            <w:tblGrid>
              <w:gridCol w:w="2194"/>
            </w:tblGrid>
            <w:tr w:rsidR="005348AD" w14:paraId="2854782D" w14:textId="77777777" w:rsidTr="0083214A">
              <w:trPr>
                <w:trHeight w:val="285"/>
              </w:trPr>
              <w:tc>
                <w:tcPr>
                  <w:tcW w:w="2290" w:type="dxa"/>
                  <w:tcBorders>
                    <w:top w:val="nil"/>
                    <w:left w:val="nil"/>
                    <w:bottom w:val="nil"/>
                    <w:right w:val="nil"/>
                  </w:tcBorders>
                  <w:vAlign w:val="bottom"/>
                </w:tcPr>
                <w:p w14:paraId="63EA232E" w14:textId="77777777" w:rsidR="005348AD" w:rsidRDefault="005348AD" w:rsidP="0083214A">
                  <w:pPr>
                    <w:jc w:val="right"/>
                    <w:rPr>
                      <w:noProof/>
                    </w:rPr>
                  </w:pPr>
                  <w:r w:rsidRPr="29F77DBC">
                    <w:rPr>
                      <w:rFonts w:ascii="Calibri" w:hAnsi="Calibri" w:cs="Calibri"/>
                      <w:noProof/>
                      <w:color w:val="000000"/>
                    </w:rPr>
                    <w:t>1</w:t>
                  </w:r>
                  <w:r>
                    <w:rPr>
                      <w:rFonts w:ascii="Calibri" w:hAnsi="Calibri" w:cs="Calibri"/>
                      <w:noProof/>
                      <w:color w:val="000000"/>
                    </w:rPr>
                    <w:t>.6</w:t>
                  </w:r>
                </w:p>
              </w:tc>
            </w:tr>
          </w:tbl>
          <w:p w14:paraId="4B930F5E" w14:textId="77777777" w:rsidR="005348AD" w:rsidRPr="00807AC3" w:rsidRDefault="005348AD"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63C16BC1" w14:textId="77777777" w:rsidR="005348AD" w:rsidRPr="00807AC3" w:rsidRDefault="005348AD"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5348AD" w14:paraId="20B173BA" w14:textId="77777777" w:rsidTr="0083214A">
              <w:trPr>
                <w:trHeight w:val="285"/>
              </w:trPr>
              <w:tc>
                <w:tcPr>
                  <w:tcW w:w="2235" w:type="dxa"/>
                  <w:tcBorders>
                    <w:top w:val="nil"/>
                    <w:left w:val="nil"/>
                    <w:bottom w:val="nil"/>
                    <w:right w:val="nil"/>
                  </w:tcBorders>
                  <w:vAlign w:val="bottom"/>
                </w:tcPr>
                <w:p w14:paraId="0E4FA674" w14:textId="77777777" w:rsidR="005348AD" w:rsidRDefault="005348AD" w:rsidP="0083214A">
                  <w:pPr>
                    <w:jc w:val="right"/>
                    <w:rPr>
                      <w:noProof/>
                    </w:rPr>
                  </w:pPr>
                  <w:r>
                    <w:rPr>
                      <w:rFonts w:ascii="Calibri" w:hAnsi="Calibri" w:cs="Calibri"/>
                      <w:noProof/>
                      <w:color w:val="000000"/>
                    </w:rPr>
                    <w:t>0</w:t>
                  </w:r>
                  <w:r w:rsidRPr="29F77DBC">
                    <w:rPr>
                      <w:rFonts w:ascii="Calibri" w:hAnsi="Calibri" w:cs="Calibri"/>
                      <w:noProof/>
                      <w:color w:val="000000"/>
                    </w:rPr>
                    <w:t>%</w:t>
                  </w:r>
                </w:p>
              </w:tc>
            </w:tr>
          </w:tbl>
          <w:p w14:paraId="52B17A44" w14:textId="77777777" w:rsidR="005348AD" w:rsidRPr="00807AC3" w:rsidRDefault="005348AD" w:rsidP="0083214A">
            <w:pPr>
              <w:jc w:val="center"/>
              <w:cnfStyle w:val="000000000000" w:firstRow="0" w:lastRow="0" w:firstColumn="0" w:lastColumn="0" w:oddVBand="0" w:evenVBand="0" w:oddHBand="0" w:evenHBand="0" w:firstRowFirstColumn="0" w:firstRowLastColumn="0" w:lastRowFirstColumn="0" w:lastRowLastColumn="0"/>
              <w:rPr>
                <w:noProof/>
              </w:rPr>
            </w:pPr>
          </w:p>
        </w:tc>
      </w:tr>
    </w:tbl>
    <w:p w14:paraId="57C8F948" w14:textId="77777777" w:rsidR="005348AD" w:rsidRPr="00040D99" w:rsidRDefault="005348AD" w:rsidP="005348AD">
      <w:pPr>
        <w:pStyle w:val="ppoTableTabletitle"/>
        <w:rPr>
          <w:b/>
          <w:noProof/>
        </w:rPr>
      </w:pPr>
      <w:r w:rsidRPr="00040D99">
        <w:rPr>
          <w:noProof/>
        </w:rPr>
        <w:t>Voted budget implementation in 2021</w:t>
      </w:r>
      <w:r>
        <w:rPr>
          <w:noProof/>
        </w:rPr>
        <w:t xml:space="preserve"> (million</w:t>
      </w:r>
      <w:r w:rsidRPr="00EB68FF">
        <w:rPr>
          <w:noProof/>
        </w:rPr>
        <w:t xml:space="preserve"> </w:t>
      </w:r>
      <w:r>
        <w:rPr>
          <w:noProof/>
        </w:rPr>
        <w:t>EUR):</w:t>
      </w:r>
    </w:p>
    <w:tbl>
      <w:tblPr>
        <w:tblStyle w:val="PPO2021"/>
        <w:tblW w:w="3683" w:type="pct"/>
        <w:tblInd w:w="79" w:type="dxa"/>
        <w:tblLook w:val="04A0" w:firstRow="1" w:lastRow="0" w:firstColumn="1" w:lastColumn="0" w:noHBand="0" w:noVBand="1"/>
      </w:tblPr>
      <w:tblGrid>
        <w:gridCol w:w="2419"/>
        <w:gridCol w:w="2419"/>
        <w:gridCol w:w="2420"/>
      </w:tblGrid>
      <w:tr w:rsidR="005348AD" w:rsidRPr="00040D99" w14:paraId="70B1A609" w14:textId="77777777" w:rsidTr="008321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54101519" w14:textId="77777777" w:rsidR="005348AD" w:rsidRPr="0017374C" w:rsidRDefault="005348AD" w:rsidP="0083214A">
            <w:pPr>
              <w:rPr>
                <w:noProof/>
              </w:rPr>
            </w:pPr>
          </w:p>
        </w:tc>
        <w:tc>
          <w:tcPr>
            <w:tcW w:w="2419" w:type="dxa"/>
          </w:tcPr>
          <w:p w14:paraId="0806470A" w14:textId="77777777" w:rsidR="005348AD" w:rsidRPr="0017374C" w:rsidRDefault="005348AD" w:rsidP="0083214A">
            <w:pPr>
              <w:cnfStyle w:val="100000000000" w:firstRow="1" w:lastRow="0" w:firstColumn="0" w:lastColumn="0" w:oddVBand="0" w:evenVBand="0" w:oddHBand="0" w:evenHBand="0" w:firstRowFirstColumn="0" w:firstRowLastColumn="0" w:lastRowFirstColumn="0" w:lastRowLastColumn="0"/>
              <w:rPr>
                <w:noProof/>
              </w:rPr>
            </w:pPr>
            <w:r w:rsidRPr="0017374C">
              <w:rPr>
                <w:noProof/>
              </w:rPr>
              <w:t>Voted budget implementation</w:t>
            </w:r>
          </w:p>
        </w:tc>
        <w:tc>
          <w:tcPr>
            <w:tcW w:w="2420" w:type="dxa"/>
          </w:tcPr>
          <w:p w14:paraId="73DFEDC5" w14:textId="77777777" w:rsidR="005348AD" w:rsidRPr="0017374C" w:rsidRDefault="005348AD" w:rsidP="0083214A">
            <w:pPr>
              <w:cnfStyle w:val="100000000000" w:firstRow="1" w:lastRow="0" w:firstColumn="0" w:lastColumn="0" w:oddVBand="0" w:evenVBand="0" w:oddHBand="0" w:evenHBand="0" w:firstRowFirstColumn="0" w:firstRowLastColumn="0" w:lastRowFirstColumn="0" w:lastRowLastColumn="0"/>
              <w:rPr>
                <w:noProof/>
              </w:rPr>
            </w:pPr>
            <w:r w:rsidRPr="0017374C">
              <w:rPr>
                <w:noProof/>
              </w:rPr>
              <w:t>Initial voted budget</w:t>
            </w:r>
          </w:p>
        </w:tc>
      </w:tr>
      <w:tr w:rsidR="005348AD" w:rsidRPr="00040D99" w14:paraId="3C903537" w14:textId="77777777" w:rsidTr="0083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6A3B90B1" w14:textId="77777777" w:rsidR="005348AD" w:rsidRPr="0017374C" w:rsidRDefault="005348AD" w:rsidP="0083214A">
            <w:pPr>
              <w:jc w:val="center"/>
              <w:rPr>
                <w:noProof/>
              </w:rPr>
            </w:pPr>
            <w:r w:rsidRPr="0017374C">
              <w:rPr>
                <w:noProof/>
              </w:rPr>
              <w:t>Commitments</w:t>
            </w:r>
          </w:p>
        </w:tc>
        <w:tc>
          <w:tcPr>
            <w:tcW w:w="2419" w:type="dxa"/>
          </w:tcPr>
          <w:p w14:paraId="0A2AC606" w14:textId="77777777" w:rsidR="005348AD" w:rsidRPr="0017374C" w:rsidRDefault="005348AD" w:rsidP="0083214A">
            <w:pPr>
              <w:jc w:val="right"/>
              <w:cnfStyle w:val="000000100000" w:firstRow="0" w:lastRow="0" w:firstColumn="0" w:lastColumn="0" w:oddVBand="0" w:evenVBand="0" w:oddHBand="1" w:evenHBand="0" w:firstRowFirstColumn="0" w:firstRowLastColumn="0" w:lastRowFirstColumn="0" w:lastRowLastColumn="0"/>
              <w:rPr>
                <w:noProof/>
              </w:rPr>
            </w:pPr>
            <w:r w:rsidRPr="009B6EAD">
              <w:rPr>
                <w:noProof/>
              </w:rPr>
              <w:t>3</w:t>
            </w:r>
            <w:r>
              <w:rPr>
                <w:noProof/>
              </w:rPr>
              <w:t>.</w:t>
            </w:r>
            <w:r w:rsidRPr="009B6EAD">
              <w:rPr>
                <w:noProof/>
              </w:rPr>
              <w:t>9</w:t>
            </w:r>
          </w:p>
        </w:tc>
        <w:tc>
          <w:tcPr>
            <w:tcW w:w="2420" w:type="dxa"/>
          </w:tcPr>
          <w:p w14:paraId="25FB80FD" w14:textId="77777777" w:rsidR="005348AD" w:rsidRPr="0017374C" w:rsidRDefault="005348AD" w:rsidP="0083214A">
            <w:pPr>
              <w:jc w:val="right"/>
              <w:cnfStyle w:val="000000100000" w:firstRow="0" w:lastRow="0" w:firstColumn="0" w:lastColumn="0" w:oddVBand="0" w:evenVBand="0" w:oddHBand="1" w:evenHBand="0" w:firstRowFirstColumn="0" w:firstRowLastColumn="0" w:lastRowFirstColumn="0" w:lastRowLastColumn="0"/>
              <w:rPr>
                <w:noProof/>
              </w:rPr>
            </w:pPr>
            <w:r w:rsidRPr="009B6EAD">
              <w:rPr>
                <w:noProof/>
              </w:rPr>
              <w:t>1</w:t>
            </w:r>
            <w:r>
              <w:rPr>
                <w:rFonts w:ascii="Calibri" w:hAnsi="Calibri" w:cs="Calibri"/>
                <w:noProof/>
              </w:rPr>
              <w:t> </w:t>
            </w:r>
            <w:r w:rsidRPr="009B6EAD">
              <w:rPr>
                <w:noProof/>
              </w:rPr>
              <w:t>137</w:t>
            </w:r>
            <w:r>
              <w:rPr>
                <w:noProof/>
              </w:rPr>
              <w:t>.</w:t>
            </w:r>
            <w:r w:rsidRPr="009B6EAD">
              <w:rPr>
                <w:noProof/>
              </w:rPr>
              <w:t>0</w:t>
            </w:r>
          </w:p>
        </w:tc>
      </w:tr>
      <w:tr w:rsidR="005348AD" w:rsidRPr="00040D99" w14:paraId="6F7AA8DC" w14:textId="77777777" w:rsidTr="00832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03564784" w14:textId="77777777" w:rsidR="005348AD" w:rsidRPr="0017374C" w:rsidRDefault="005348AD" w:rsidP="0083214A">
            <w:pPr>
              <w:jc w:val="center"/>
              <w:rPr>
                <w:noProof/>
              </w:rPr>
            </w:pPr>
            <w:r w:rsidRPr="0017374C">
              <w:rPr>
                <w:noProof/>
              </w:rPr>
              <w:t>Payments</w:t>
            </w:r>
          </w:p>
        </w:tc>
        <w:tc>
          <w:tcPr>
            <w:tcW w:w="2419" w:type="dxa"/>
          </w:tcPr>
          <w:p w14:paraId="20023FD6" w14:textId="77777777" w:rsidR="005348AD" w:rsidRPr="0017374C" w:rsidRDefault="005348AD" w:rsidP="0083214A">
            <w:pPr>
              <w:jc w:val="right"/>
              <w:cnfStyle w:val="000000010000" w:firstRow="0" w:lastRow="0" w:firstColumn="0" w:lastColumn="0" w:oddVBand="0" w:evenVBand="0" w:oddHBand="0" w:evenHBand="1" w:firstRowFirstColumn="0" w:firstRowLastColumn="0" w:lastRowFirstColumn="0" w:lastRowLastColumn="0"/>
              <w:rPr>
                <w:noProof/>
              </w:rPr>
            </w:pPr>
            <w:r w:rsidRPr="00D56ED9">
              <w:rPr>
                <w:noProof/>
              </w:rPr>
              <w:t>1</w:t>
            </w:r>
            <w:r>
              <w:rPr>
                <w:noProof/>
              </w:rPr>
              <w:t>.</w:t>
            </w:r>
            <w:r w:rsidRPr="00D56ED9">
              <w:rPr>
                <w:noProof/>
              </w:rPr>
              <w:t>2</w:t>
            </w:r>
          </w:p>
        </w:tc>
        <w:tc>
          <w:tcPr>
            <w:tcW w:w="2420" w:type="dxa"/>
          </w:tcPr>
          <w:p w14:paraId="1157C704" w14:textId="77777777" w:rsidR="005348AD" w:rsidRPr="0017374C" w:rsidRDefault="005348AD" w:rsidP="0083214A">
            <w:pPr>
              <w:jc w:val="right"/>
              <w:cnfStyle w:val="000000010000" w:firstRow="0" w:lastRow="0" w:firstColumn="0" w:lastColumn="0" w:oddVBand="0" w:evenVBand="0" w:oddHBand="0" w:evenHBand="1" w:firstRowFirstColumn="0" w:firstRowLastColumn="0" w:lastRowFirstColumn="0" w:lastRowLastColumn="0"/>
              <w:rPr>
                <w:noProof/>
              </w:rPr>
            </w:pPr>
            <w:r w:rsidRPr="00D56ED9">
              <w:rPr>
                <w:noProof/>
              </w:rPr>
              <w:t>0</w:t>
            </w:r>
            <w:r>
              <w:rPr>
                <w:noProof/>
              </w:rPr>
              <w:t>.</w:t>
            </w:r>
            <w:r w:rsidRPr="00D56ED9">
              <w:rPr>
                <w:noProof/>
              </w:rPr>
              <w:t>0</w:t>
            </w:r>
          </w:p>
        </w:tc>
      </w:tr>
    </w:tbl>
    <w:p w14:paraId="4FACF9E8" w14:textId="77777777" w:rsidR="005348AD" w:rsidRDefault="005348AD" w:rsidP="005348AD">
      <w:pPr>
        <w:pStyle w:val="ppoListHyphened-L1"/>
        <w:numPr>
          <w:ilvl w:val="0"/>
          <w:numId w:val="0"/>
        </w:numPr>
        <w:ind w:left="357" w:hanging="357"/>
        <w:rPr>
          <w:noProof/>
        </w:rPr>
      </w:pPr>
      <w:r>
        <w:rPr>
          <w:noProof/>
        </w:rPr>
        <w:t>Pillar</w:t>
      </w:r>
      <w:r>
        <w:rPr>
          <w:rFonts w:ascii="Calibri" w:hAnsi="Calibri" w:cs="Calibri"/>
          <w:noProof/>
        </w:rPr>
        <w:t> </w:t>
      </w:r>
      <w:r>
        <w:rPr>
          <w:noProof/>
        </w:rPr>
        <w:t>I</w:t>
      </w:r>
      <w:r>
        <w:rPr>
          <w:rFonts w:ascii="Calibri" w:hAnsi="Calibri" w:cs="Calibri"/>
          <w:noProof/>
        </w:rPr>
        <w:t> </w:t>
      </w:r>
      <w:r>
        <w:rPr>
          <w:noProof/>
        </w:rPr>
        <w:t>– The Just Transition Fund</w:t>
      </w:r>
    </w:p>
    <w:p w14:paraId="39FC0808" w14:textId="77777777" w:rsidR="005348AD" w:rsidRDefault="005348AD" w:rsidP="005348AD">
      <w:pPr>
        <w:pStyle w:val="ppoListHyphened-L1"/>
        <w:rPr>
          <w:noProof/>
        </w:rPr>
      </w:pPr>
      <w:r>
        <w:rPr>
          <w:noProof/>
        </w:rPr>
        <w:t>Implementation will only start after the Just Transition Fund programmes are adopted. The programmes are expected to be adopted in 2022.</w:t>
      </w:r>
    </w:p>
    <w:p w14:paraId="14CCF114" w14:textId="77777777" w:rsidR="005348AD" w:rsidRDefault="005348AD" w:rsidP="005348AD">
      <w:pPr>
        <w:pStyle w:val="ppoListHyphened-L1"/>
        <w:numPr>
          <w:ilvl w:val="0"/>
          <w:numId w:val="0"/>
        </w:numPr>
        <w:rPr>
          <w:noProof/>
          <w:sz w:val="20"/>
        </w:rPr>
      </w:pPr>
      <w:r>
        <w:rPr>
          <w:noProof/>
        </w:rPr>
        <w:t>Pillar</w:t>
      </w:r>
      <w:r>
        <w:rPr>
          <w:rFonts w:ascii="Calibri" w:hAnsi="Calibri" w:cs="Calibri"/>
          <w:noProof/>
        </w:rPr>
        <w:t> </w:t>
      </w:r>
      <w:r>
        <w:rPr>
          <w:noProof/>
        </w:rPr>
        <w:t>III</w:t>
      </w:r>
      <w:r>
        <w:rPr>
          <w:rFonts w:ascii="Calibri" w:hAnsi="Calibri" w:cs="Calibri"/>
          <w:noProof/>
        </w:rPr>
        <w:t> </w:t>
      </w:r>
      <w:r>
        <w:rPr>
          <w:noProof/>
        </w:rPr>
        <w:t>– The public sector loan facility</w:t>
      </w:r>
    </w:p>
    <w:p w14:paraId="15493B66" w14:textId="77777777" w:rsidR="005348AD" w:rsidRDefault="005348AD" w:rsidP="005348AD">
      <w:pPr>
        <w:pStyle w:val="ppoListHyphened-L1"/>
        <w:rPr>
          <w:noProof/>
        </w:rPr>
      </w:pPr>
      <w:r>
        <w:rPr>
          <w:noProof/>
        </w:rPr>
        <w:t>The first calls for proposals will be launched once a sufficient number of territorial just transition plans are adopted, towards the middle of 2022 and the first grant agreements are expected to be signed in 2023.</w:t>
      </w:r>
    </w:p>
    <w:p w14:paraId="35787532" w14:textId="77777777" w:rsidR="005348AD" w:rsidRPr="00040D99" w:rsidRDefault="005348AD" w:rsidP="005348AD">
      <w:pPr>
        <w:pStyle w:val="ppoHeading5"/>
        <w:rPr>
          <w:noProof/>
        </w:rPr>
      </w:pPr>
      <w:r w:rsidRPr="00040D99">
        <w:rPr>
          <w:noProof/>
        </w:rPr>
        <w:t>Contribution to horizontal priorities</w:t>
      </w:r>
    </w:p>
    <w:p w14:paraId="6934E165" w14:textId="77777777" w:rsidR="005348AD" w:rsidRPr="00040D99" w:rsidRDefault="005348AD" w:rsidP="005348AD">
      <w:pPr>
        <w:pStyle w:val="ppoTableTabletitle"/>
        <w:rPr>
          <w:noProof/>
        </w:rPr>
      </w:pPr>
      <w:r w:rsidRPr="00040D99">
        <w:rPr>
          <w:noProof/>
        </w:rPr>
        <w:t>EU budget contribution in 2021</w:t>
      </w:r>
      <w:r>
        <w:rPr>
          <w:noProof/>
        </w:rPr>
        <w:t xml:space="preserve"> (million</w:t>
      </w:r>
      <w:r w:rsidRPr="00EB68FF">
        <w:rPr>
          <w:noProof/>
        </w:rPr>
        <w:t xml:space="preserve"> </w:t>
      </w:r>
      <w:r>
        <w:rPr>
          <w:noProof/>
        </w:rPr>
        <w:t>EUR):</w:t>
      </w:r>
    </w:p>
    <w:tbl>
      <w:tblPr>
        <w:tblStyle w:val="PPO2021"/>
        <w:tblW w:w="9639" w:type="dxa"/>
        <w:tblInd w:w="0" w:type="dxa"/>
        <w:tblLook w:val="0420" w:firstRow="1" w:lastRow="0" w:firstColumn="0" w:lastColumn="0" w:noHBand="0" w:noVBand="1"/>
      </w:tblPr>
      <w:tblGrid>
        <w:gridCol w:w="3213"/>
        <w:gridCol w:w="3213"/>
        <w:gridCol w:w="3213"/>
      </w:tblGrid>
      <w:tr w:rsidR="005348AD" w:rsidRPr="00040D99" w14:paraId="66C718D7" w14:textId="77777777" w:rsidTr="0083214A">
        <w:trPr>
          <w:cnfStyle w:val="100000000000" w:firstRow="1" w:lastRow="0" w:firstColumn="0" w:lastColumn="0" w:oddVBand="0" w:evenVBand="0" w:oddHBand="0" w:evenHBand="0" w:firstRowFirstColumn="0" w:firstRowLastColumn="0" w:lastRowFirstColumn="0" w:lastRowLastColumn="0"/>
          <w:tblHeader/>
        </w:trPr>
        <w:tc>
          <w:tcPr>
            <w:tcW w:w="3213" w:type="dxa"/>
          </w:tcPr>
          <w:p w14:paraId="2CB7BE8D" w14:textId="77777777" w:rsidR="005348AD" w:rsidRPr="00BD731A" w:rsidRDefault="005348AD" w:rsidP="0083214A">
            <w:pPr>
              <w:rPr>
                <w:noProof/>
              </w:rPr>
            </w:pPr>
            <w:r w:rsidRPr="00BD731A">
              <w:rPr>
                <w:noProof/>
              </w:rPr>
              <w:t>Climate</w:t>
            </w:r>
          </w:p>
        </w:tc>
        <w:tc>
          <w:tcPr>
            <w:tcW w:w="3213" w:type="dxa"/>
          </w:tcPr>
          <w:p w14:paraId="2015FF6A" w14:textId="77777777" w:rsidR="005348AD" w:rsidRPr="00BD731A" w:rsidRDefault="005348AD" w:rsidP="0083214A">
            <w:pPr>
              <w:rPr>
                <w:noProof/>
              </w:rPr>
            </w:pPr>
            <w:r w:rsidRPr="00BD731A">
              <w:rPr>
                <w:noProof/>
              </w:rPr>
              <w:t>Biodiversity</w:t>
            </w:r>
          </w:p>
        </w:tc>
        <w:tc>
          <w:tcPr>
            <w:tcW w:w="3213" w:type="dxa"/>
          </w:tcPr>
          <w:p w14:paraId="06F45755" w14:textId="77777777" w:rsidR="005348AD" w:rsidRPr="00BD731A" w:rsidRDefault="005348AD" w:rsidP="0083214A">
            <w:pPr>
              <w:rPr>
                <w:noProof/>
              </w:rPr>
            </w:pPr>
            <w:r w:rsidRPr="00BD731A">
              <w:rPr>
                <w:noProof/>
              </w:rPr>
              <w:t>Gender equality</w:t>
            </w:r>
            <w:r>
              <w:rPr>
                <w:rFonts w:ascii="Calibri" w:hAnsi="Calibri" w:cs="Calibri"/>
                <w:noProof/>
              </w:rPr>
              <w:t> (</w:t>
            </w:r>
            <w:r>
              <w:rPr>
                <w:noProof/>
              </w:rPr>
              <w:t>*)</w:t>
            </w:r>
          </w:p>
        </w:tc>
      </w:tr>
      <w:tr w:rsidR="005348AD" w:rsidRPr="00040D99" w14:paraId="66A78023" w14:textId="77777777" w:rsidTr="0083214A">
        <w:trPr>
          <w:cnfStyle w:val="000000100000" w:firstRow="0" w:lastRow="0" w:firstColumn="0" w:lastColumn="0" w:oddVBand="0" w:evenVBand="0" w:oddHBand="1" w:evenHBand="0" w:firstRowFirstColumn="0" w:firstRowLastColumn="0" w:lastRowFirstColumn="0" w:lastRowLastColumn="0"/>
        </w:trPr>
        <w:tc>
          <w:tcPr>
            <w:tcW w:w="3213" w:type="dxa"/>
          </w:tcPr>
          <w:tbl>
            <w:tblPr>
              <w:tblStyle w:val="TableGrid"/>
              <w:tblW w:w="0" w:type="auto"/>
              <w:tblLook w:val="06A0" w:firstRow="1" w:lastRow="0" w:firstColumn="1" w:lastColumn="0" w:noHBand="1" w:noVBand="1"/>
            </w:tblPr>
            <w:tblGrid>
              <w:gridCol w:w="1935"/>
            </w:tblGrid>
            <w:tr w:rsidR="005348AD" w14:paraId="44E61AA4" w14:textId="77777777" w:rsidTr="0083214A">
              <w:trPr>
                <w:trHeight w:val="285"/>
              </w:trPr>
              <w:tc>
                <w:tcPr>
                  <w:tcW w:w="1935" w:type="dxa"/>
                  <w:tcBorders>
                    <w:top w:val="nil"/>
                    <w:left w:val="nil"/>
                    <w:bottom w:val="nil"/>
                    <w:right w:val="nil"/>
                  </w:tcBorders>
                  <w:vAlign w:val="bottom"/>
                </w:tcPr>
                <w:p w14:paraId="7F10DC73" w14:textId="4DC16032" w:rsidR="005348AD" w:rsidRDefault="00943AD6" w:rsidP="0083214A">
                  <w:pPr>
                    <w:jc w:val="right"/>
                    <w:rPr>
                      <w:noProof/>
                    </w:rPr>
                  </w:pPr>
                  <w:r>
                    <w:rPr>
                      <w:rFonts w:ascii="Calibri" w:hAnsi="Calibri" w:cs="Calibri"/>
                      <w:noProof/>
                      <w:color w:val="000000"/>
                    </w:rPr>
                    <w:t>14.7</w:t>
                  </w:r>
                </w:p>
              </w:tc>
            </w:tr>
          </w:tbl>
          <w:p w14:paraId="4A98F0F3" w14:textId="77777777" w:rsidR="005348AD" w:rsidRPr="00BD731A" w:rsidRDefault="005348AD" w:rsidP="0083214A">
            <w:pPr>
              <w:jc w:val="center"/>
              <w:rPr>
                <w:noProof/>
              </w:rPr>
            </w:pPr>
          </w:p>
        </w:tc>
        <w:tc>
          <w:tcPr>
            <w:tcW w:w="3213" w:type="dxa"/>
          </w:tcPr>
          <w:p w14:paraId="68607F47" w14:textId="77777777" w:rsidR="005348AD" w:rsidRPr="00BD731A" w:rsidRDefault="005348AD" w:rsidP="0083214A">
            <w:pPr>
              <w:jc w:val="center"/>
              <w:rPr>
                <w:noProof/>
              </w:rPr>
            </w:pPr>
            <w:r>
              <w:rPr>
                <w:noProof/>
              </w:rPr>
              <w:t>0</w:t>
            </w:r>
          </w:p>
        </w:tc>
        <w:tc>
          <w:tcPr>
            <w:tcW w:w="3213" w:type="dxa"/>
          </w:tcPr>
          <w:p w14:paraId="58FFC14D" w14:textId="77777777" w:rsidR="005348AD" w:rsidRPr="00BD731A" w:rsidRDefault="005348AD" w:rsidP="0083214A">
            <w:pPr>
              <w:jc w:val="center"/>
              <w:rPr>
                <w:noProof/>
              </w:rPr>
            </w:pPr>
            <w:r>
              <w:rPr>
                <w:noProof/>
              </w:rPr>
              <w:t>Score 0*: 3.9</w:t>
            </w:r>
          </w:p>
        </w:tc>
      </w:tr>
    </w:tbl>
    <w:p w14:paraId="42EB9E66" w14:textId="77777777" w:rsidR="005348AD" w:rsidRPr="00982726" w:rsidRDefault="005348AD" w:rsidP="005348AD">
      <w:pPr>
        <w:pStyle w:val="FootnoteText"/>
        <w:rPr>
          <w:noProof/>
        </w:rPr>
      </w:pPr>
      <w:r>
        <w:rPr>
          <w:noProof/>
        </w:rPr>
        <w:t>(*)</w:t>
      </w:r>
      <w:r>
        <w:rPr>
          <w:noProof/>
        </w:rPr>
        <w:tab/>
      </w:r>
      <w:r w:rsidRPr="00982726">
        <w:rPr>
          <w:noProof/>
        </w:rPr>
        <w:t xml:space="preserve">Based on the </w:t>
      </w:r>
      <w:r>
        <w:rPr>
          <w:noProof/>
        </w:rPr>
        <w:t xml:space="preserve">applied gender contribution </w:t>
      </w:r>
      <w:r w:rsidRPr="00982726">
        <w:rPr>
          <w:noProof/>
        </w:rPr>
        <w:t>methodology</w:t>
      </w:r>
      <w:r>
        <w:rPr>
          <w:noProof/>
        </w:rPr>
        <w:t>,</w:t>
      </w:r>
      <w:r w:rsidRPr="00982726">
        <w:rPr>
          <w:noProof/>
        </w:rPr>
        <w:t xml:space="preserve"> the following scores are attributed at the most granular level of intervention possible:</w:t>
      </w:r>
    </w:p>
    <w:p w14:paraId="6428872B" w14:textId="77777777" w:rsidR="005348AD" w:rsidRPr="00982726" w:rsidRDefault="005348AD" w:rsidP="005348AD">
      <w:pPr>
        <w:pStyle w:val="FootnoteText"/>
        <w:numPr>
          <w:ilvl w:val="0"/>
          <w:numId w:val="38"/>
        </w:numPr>
        <w:spacing w:after="60" w:line="264" w:lineRule="auto"/>
        <w:jc w:val="left"/>
        <w:rPr>
          <w:noProof/>
        </w:rPr>
      </w:pPr>
      <w:r>
        <w:rPr>
          <w:noProof/>
        </w:rPr>
        <w:t>2:</w:t>
      </w:r>
      <w:r w:rsidRPr="00982726">
        <w:rPr>
          <w:noProof/>
        </w:rPr>
        <w:t xml:space="preserve"> </w:t>
      </w:r>
      <w:r>
        <w:rPr>
          <w:noProof/>
        </w:rPr>
        <w:t>i</w:t>
      </w:r>
      <w:r w:rsidRPr="00982726">
        <w:rPr>
          <w:noProof/>
        </w:rPr>
        <w:t xml:space="preserve">nterventions </w:t>
      </w:r>
      <w:r>
        <w:rPr>
          <w:noProof/>
        </w:rPr>
        <w:t>the</w:t>
      </w:r>
      <w:r w:rsidRPr="00982726">
        <w:rPr>
          <w:noProof/>
        </w:rPr>
        <w:t xml:space="preserve"> principal objective </w:t>
      </w:r>
      <w:r>
        <w:rPr>
          <w:noProof/>
        </w:rPr>
        <w:t xml:space="preserve">of which </w:t>
      </w:r>
      <w:r w:rsidRPr="00982726">
        <w:rPr>
          <w:noProof/>
        </w:rPr>
        <w:t>is to improve gender equality;</w:t>
      </w:r>
    </w:p>
    <w:p w14:paraId="01D66DD8" w14:textId="77777777" w:rsidR="005348AD" w:rsidRPr="00982726" w:rsidRDefault="005348AD" w:rsidP="005348AD">
      <w:pPr>
        <w:pStyle w:val="FootnoteText"/>
        <w:numPr>
          <w:ilvl w:val="0"/>
          <w:numId w:val="38"/>
        </w:numPr>
        <w:spacing w:after="60" w:line="264" w:lineRule="auto"/>
        <w:jc w:val="left"/>
        <w:rPr>
          <w:noProof/>
        </w:rPr>
      </w:pPr>
      <w:r>
        <w:rPr>
          <w:noProof/>
        </w:rPr>
        <w:t>1:</w:t>
      </w:r>
      <w:r w:rsidRPr="00982726">
        <w:rPr>
          <w:noProof/>
        </w:rPr>
        <w:t xml:space="preserve"> </w:t>
      </w:r>
      <w:r>
        <w:rPr>
          <w:noProof/>
        </w:rPr>
        <w:t>i</w:t>
      </w:r>
      <w:r w:rsidRPr="00982726">
        <w:rPr>
          <w:noProof/>
        </w:rPr>
        <w:t xml:space="preserve">nterventions </w:t>
      </w:r>
      <w:r>
        <w:rPr>
          <w:noProof/>
        </w:rPr>
        <w:t>that have</w:t>
      </w:r>
      <w:r w:rsidRPr="00982726">
        <w:rPr>
          <w:noProof/>
        </w:rPr>
        <w:t xml:space="preserve"> gender equality as an important and deliberate objective but not as the main reason for the intervention;</w:t>
      </w:r>
    </w:p>
    <w:p w14:paraId="1A409631" w14:textId="77777777" w:rsidR="005348AD" w:rsidRPr="00982726" w:rsidRDefault="005348AD" w:rsidP="005348AD">
      <w:pPr>
        <w:pStyle w:val="FootnoteText"/>
        <w:numPr>
          <w:ilvl w:val="0"/>
          <w:numId w:val="38"/>
        </w:numPr>
        <w:spacing w:after="60" w:line="264" w:lineRule="auto"/>
        <w:jc w:val="left"/>
        <w:rPr>
          <w:noProof/>
        </w:rPr>
      </w:pPr>
      <w:r>
        <w:rPr>
          <w:noProof/>
        </w:rPr>
        <w:t>0:</w:t>
      </w:r>
      <w:r w:rsidRPr="00982726">
        <w:rPr>
          <w:noProof/>
        </w:rPr>
        <w:t xml:space="preserve"> </w:t>
      </w:r>
      <w:r>
        <w:rPr>
          <w:noProof/>
        </w:rPr>
        <w:t>n</w:t>
      </w:r>
      <w:r w:rsidRPr="00982726">
        <w:rPr>
          <w:noProof/>
        </w:rPr>
        <w:t>ot targeted interventions</w:t>
      </w:r>
      <w:r>
        <w:rPr>
          <w:noProof/>
        </w:rPr>
        <w:t>;</w:t>
      </w:r>
    </w:p>
    <w:p w14:paraId="3ACE9B6A" w14:textId="77777777" w:rsidR="005348AD" w:rsidRPr="00982726" w:rsidRDefault="005348AD" w:rsidP="005348AD">
      <w:pPr>
        <w:pStyle w:val="FootnoteText"/>
        <w:numPr>
          <w:ilvl w:val="0"/>
          <w:numId w:val="38"/>
        </w:numPr>
        <w:spacing w:after="60" w:line="264" w:lineRule="auto"/>
        <w:jc w:val="left"/>
        <w:rPr>
          <w:noProof/>
        </w:rPr>
      </w:pPr>
      <w:r>
        <w:rPr>
          <w:noProof/>
        </w:rPr>
        <w:t>0*:</w:t>
      </w:r>
      <w:r w:rsidRPr="00982726">
        <w:rPr>
          <w:noProof/>
        </w:rPr>
        <w:t xml:space="preserve"> </w:t>
      </w:r>
      <w:r>
        <w:rPr>
          <w:noProof/>
        </w:rPr>
        <w:t>s</w:t>
      </w:r>
      <w:r w:rsidRPr="00982726">
        <w:rPr>
          <w:noProof/>
        </w:rPr>
        <w:t>core to be assigned to interventions with</w:t>
      </w:r>
      <w:r>
        <w:rPr>
          <w:noProof/>
        </w:rPr>
        <w:t xml:space="preserve"> a</w:t>
      </w:r>
      <w:r w:rsidRPr="00982726">
        <w:rPr>
          <w:noProof/>
        </w:rPr>
        <w:t xml:space="preserve"> likely but not yet clear positive impact on gender equality.</w:t>
      </w:r>
    </w:p>
    <w:p w14:paraId="232CF22C" w14:textId="77777777" w:rsidR="005348AD" w:rsidRPr="00040D99" w:rsidRDefault="005348AD" w:rsidP="005348AD">
      <w:pPr>
        <w:pStyle w:val="ppoHeading5"/>
        <w:rPr>
          <w:noProof/>
        </w:rPr>
      </w:pPr>
      <w:r w:rsidRPr="00040D99">
        <w:rPr>
          <w:noProof/>
        </w:rPr>
        <w:t>Performance assessment</w:t>
      </w:r>
    </w:p>
    <w:p w14:paraId="0E535276" w14:textId="77777777" w:rsidR="005348AD" w:rsidRPr="00040D99" w:rsidRDefault="005348AD" w:rsidP="005348AD">
      <w:pPr>
        <w:pStyle w:val="ppoHeading6"/>
        <w:rPr>
          <w:noProof/>
        </w:rPr>
      </w:pPr>
      <w:r w:rsidRPr="00040D99">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5348AD" w:rsidRPr="00AC11E4" w14:paraId="4DF56353" w14:textId="77777777" w:rsidTr="00244B68">
        <w:trPr>
          <w:cnfStyle w:val="100000000000" w:firstRow="1" w:lastRow="0" w:firstColumn="0" w:lastColumn="0" w:oddVBand="0" w:evenVBand="0" w:oddHBand="0" w:evenHBand="0" w:firstRowFirstColumn="0" w:firstRowLastColumn="0" w:lastRowFirstColumn="0" w:lastRowLastColumn="0"/>
        </w:trPr>
        <w:tc>
          <w:tcPr>
            <w:tcW w:w="2330" w:type="dxa"/>
          </w:tcPr>
          <w:p w14:paraId="2D8F2F7E" w14:textId="77777777" w:rsidR="005348AD" w:rsidRPr="00884C9A" w:rsidRDefault="005348AD" w:rsidP="0083214A">
            <w:pPr>
              <w:rPr>
                <w:noProof/>
              </w:rPr>
            </w:pPr>
          </w:p>
        </w:tc>
        <w:tc>
          <w:tcPr>
            <w:tcW w:w="1100" w:type="dxa"/>
          </w:tcPr>
          <w:p w14:paraId="691DB835" w14:textId="77777777" w:rsidR="005348AD" w:rsidRPr="00884C9A" w:rsidRDefault="005348AD" w:rsidP="0083214A">
            <w:pPr>
              <w:rPr>
                <w:noProof/>
              </w:rPr>
            </w:pPr>
            <w:r w:rsidRPr="00884C9A">
              <w:rPr>
                <w:noProof/>
              </w:rPr>
              <w:t>Baseline</w:t>
            </w:r>
          </w:p>
        </w:tc>
        <w:tc>
          <w:tcPr>
            <w:tcW w:w="1526" w:type="dxa"/>
          </w:tcPr>
          <w:p w14:paraId="3430B560" w14:textId="77777777" w:rsidR="005348AD" w:rsidRPr="0094364E" w:rsidRDefault="005348AD" w:rsidP="0083214A">
            <w:pPr>
              <w:rPr>
                <w:rFonts w:ascii="Calibri" w:hAnsi="Calibri" w:cs="Calibri"/>
                <w:noProof/>
              </w:rPr>
            </w:pPr>
            <w:r w:rsidRPr="00884C9A">
              <w:rPr>
                <w:noProof/>
              </w:rPr>
              <w:t>Progress</w:t>
            </w:r>
            <w:r>
              <w:rPr>
                <w:rFonts w:ascii="Calibri" w:hAnsi="Calibri" w:cs="Calibri"/>
                <w:noProof/>
              </w:rPr>
              <w:t> (*)</w:t>
            </w:r>
          </w:p>
        </w:tc>
        <w:tc>
          <w:tcPr>
            <w:tcW w:w="1532" w:type="dxa"/>
          </w:tcPr>
          <w:p w14:paraId="4BAB01D6" w14:textId="77777777" w:rsidR="005348AD" w:rsidRPr="00884C9A" w:rsidRDefault="005348AD" w:rsidP="0083214A">
            <w:pPr>
              <w:rPr>
                <w:noProof/>
              </w:rPr>
            </w:pPr>
            <w:r w:rsidRPr="00884C9A">
              <w:rPr>
                <w:noProof/>
              </w:rPr>
              <w:t>Target</w:t>
            </w:r>
          </w:p>
        </w:tc>
        <w:tc>
          <w:tcPr>
            <w:tcW w:w="1572" w:type="dxa"/>
          </w:tcPr>
          <w:p w14:paraId="7A724009" w14:textId="77777777" w:rsidR="005348AD" w:rsidRPr="00884C9A" w:rsidRDefault="005348AD" w:rsidP="0083214A">
            <w:pPr>
              <w:rPr>
                <w:noProof/>
              </w:rPr>
            </w:pPr>
            <w:r w:rsidRPr="00884C9A">
              <w:rPr>
                <w:noProof/>
              </w:rPr>
              <w:t>Results</w:t>
            </w:r>
          </w:p>
        </w:tc>
        <w:tc>
          <w:tcPr>
            <w:tcW w:w="1579" w:type="dxa"/>
          </w:tcPr>
          <w:p w14:paraId="0C0F9C8C" w14:textId="77777777" w:rsidR="005348AD" w:rsidRPr="00884C9A" w:rsidRDefault="005348AD" w:rsidP="0083214A">
            <w:pPr>
              <w:rPr>
                <w:noProof/>
              </w:rPr>
            </w:pPr>
            <w:r w:rsidRPr="00884C9A">
              <w:rPr>
                <w:noProof/>
              </w:rPr>
              <w:t>Assessment</w:t>
            </w:r>
          </w:p>
        </w:tc>
      </w:tr>
      <w:tr w:rsidR="005348AD" w:rsidRPr="00AC11E4" w14:paraId="164A2F3C" w14:textId="77777777" w:rsidTr="00244B68">
        <w:trPr>
          <w:cnfStyle w:val="000000100000" w:firstRow="0" w:lastRow="0" w:firstColumn="0" w:lastColumn="0" w:oddVBand="0" w:evenVBand="0" w:oddHBand="1" w:evenHBand="0" w:firstRowFirstColumn="0" w:firstRowLastColumn="0" w:lastRowFirstColumn="0" w:lastRowLastColumn="0"/>
        </w:trPr>
        <w:tc>
          <w:tcPr>
            <w:tcW w:w="2330" w:type="dxa"/>
          </w:tcPr>
          <w:p w14:paraId="59F05765" w14:textId="77777777" w:rsidR="005348AD" w:rsidRPr="00884C9A" w:rsidRDefault="005348AD" w:rsidP="0083214A">
            <w:pPr>
              <w:rPr>
                <w:noProof/>
              </w:rPr>
            </w:pPr>
            <w:r>
              <w:rPr>
                <w:noProof/>
              </w:rPr>
              <w:t xml:space="preserve">Enterprises supported </w:t>
            </w:r>
          </w:p>
        </w:tc>
        <w:tc>
          <w:tcPr>
            <w:tcW w:w="1100" w:type="dxa"/>
          </w:tcPr>
          <w:p w14:paraId="74559B46" w14:textId="77777777" w:rsidR="005348AD" w:rsidRPr="00884C9A" w:rsidRDefault="005348AD" w:rsidP="0083214A">
            <w:pPr>
              <w:jc w:val="center"/>
              <w:rPr>
                <w:noProof/>
              </w:rPr>
            </w:pPr>
          </w:p>
        </w:tc>
        <w:tc>
          <w:tcPr>
            <w:tcW w:w="1526" w:type="dxa"/>
          </w:tcPr>
          <w:p w14:paraId="1332C79D" w14:textId="77777777" w:rsidR="005348AD" w:rsidRPr="00724FDD" w:rsidRDefault="005348AD" w:rsidP="0083214A">
            <w:pPr>
              <w:jc w:val="center"/>
              <w:rPr>
                <w:b/>
                <w:noProof/>
              </w:rPr>
            </w:pPr>
          </w:p>
        </w:tc>
        <w:tc>
          <w:tcPr>
            <w:tcW w:w="1532" w:type="dxa"/>
          </w:tcPr>
          <w:p w14:paraId="1E209D31" w14:textId="77777777" w:rsidR="005348AD" w:rsidRPr="00884C9A" w:rsidRDefault="005348AD" w:rsidP="0083214A">
            <w:pPr>
              <w:jc w:val="center"/>
              <w:rPr>
                <w:noProof/>
              </w:rPr>
            </w:pPr>
          </w:p>
        </w:tc>
        <w:tc>
          <w:tcPr>
            <w:tcW w:w="1572" w:type="dxa"/>
          </w:tcPr>
          <w:p w14:paraId="643B1B65" w14:textId="5986E78A" w:rsidR="005348AD" w:rsidRPr="00884C9A" w:rsidRDefault="00244B68" w:rsidP="0083214A">
            <w:pPr>
              <w:jc w:val="center"/>
              <w:rPr>
                <w:noProof/>
              </w:rPr>
            </w:pPr>
            <w:r>
              <w:rPr>
                <w:noProof/>
              </w:rPr>
              <w:t>No results</w:t>
            </w:r>
          </w:p>
        </w:tc>
        <w:tc>
          <w:tcPr>
            <w:tcW w:w="1579" w:type="dxa"/>
          </w:tcPr>
          <w:p w14:paraId="4A96CD2E" w14:textId="0F0D50E7" w:rsidR="005348AD" w:rsidRPr="00884C9A" w:rsidRDefault="00244B68" w:rsidP="0083214A">
            <w:pPr>
              <w:jc w:val="center"/>
              <w:rPr>
                <w:noProof/>
              </w:rPr>
            </w:pPr>
            <w:r>
              <w:rPr>
                <w:noProof/>
              </w:rPr>
              <w:t>No data</w:t>
            </w:r>
          </w:p>
        </w:tc>
      </w:tr>
      <w:tr w:rsidR="00244B68" w:rsidRPr="00AC11E4" w14:paraId="64DF4481" w14:textId="77777777" w:rsidTr="00244B68">
        <w:trPr>
          <w:cnfStyle w:val="000000010000" w:firstRow="0" w:lastRow="0" w:firstColumn="0" w:lastColumn="0" w:oddVBand="0" w:evenVBand="0" w:oddHBand="0" w:evenHBand="1" w:firstRowFirstColumn="0" w:firstRowLastColumn="0" w:lastRowFirstColumn="0" w:lastRowLastColumn="0"/>
        </w:trPr>
        <w:tc>
          <w:tcPr>
            <w:tcW w:w="2330" w:type="dxa"/>
          </w:tcPr>
          <w:p w14:paraId="3702DC40" w14:textId="77777777" w:rsidR="00244B68" w:rsidRPr="00884C9A" w:rsidRDefault="00244B68" w:rsidP="00244B68">
            <w:pPr>
              <w:rPr>
                <w:noProof/>
              </w:rPr>
            </w:pPr>
            <w:r>
              <w:rPr>
                <w:noProof/>
              </w:rPr>
              <w:t>Additional production capacity for renewable energy</w:t>
            </w:r>
          </w:p>
        </w:tc>
        <w:tc>
          <w:tcPr>
            <w:tcW w:w="1100" w:type="dxa"/>
          </w:tcPr>
          <w:p w14:paraId="03C859B9" w14:textId="77777777" w:rsidR="00244B68" w:rsidRPr="00884C9A" w:rsidRDefault="00244B68" w:rsidP="00244B68">
            <w:pPr>
              <w:jc w:val="center"/>
              <w:rPr>
                <w:noProof/>
              </w:rPr>
            </w:pPr>
          </w:p>
        </w:tc>
        <w:tc>
          <w:tcPr>
            <w:tcW w:w="1526" w:type="dxa"/>
          </w:tcPr>
          <w:p w14:paraId="3826B2D9" w14:textId="77777777" w:rsidR="00244B68" w:rsidRPr="00724FDD" w:rsidRDefault="00244B68" w:rsidP="00244B68">
            <w:pPr>
              <w:jc w:val="center"/>
              <w:rPr>
                <w:b/>
                <w:noProof/>
              </w:rPr>
            </w:pPr>
          </w:p>
        </w:tc>
        <w:tc>
          <w:tcPr>
            <w:tcW w:w="1532" w:type="dxa"/>
          </w:tcPr>
          <w:p w14:paraId="3FA801DA" w14:textId="77777777" w:rsidR="00244B68" w:rsidRPr="00884C9A" w:rsidRDefault="00244B68" w:rsidP="00244B68">
            <w:pPr>
              <w:jc w:val="center"/>
              <w:rPr>
                <w:noProof/>
              </w:rPr>
            </w:pPr>
          </w:p>
        </w:tc>
        <w:tc>
          <w:tcPr>
            <w:tcW w:w="1572" w:type="dxa"/>
          </w:tcPr>
          <w:p w14:paraId="2B5BEBED" w14:textId="3E06231D" w:rsidR="00244B68" w:rsidRPr="00884C9A" w:rsidRDefault="00244B68" w:rsidP="00244B68">
            <w:pPr>
              <w:jc w:val="center"/>
              <w:rPr>
                <w:noProof/>
              </w:rPr>
            </w:pPr>
            <w:r>
              <w:rPr>
                <w:noProof/>
              </w:rPr>
              <w:t>No results</w:t>
            </w:r>
          </w:p>
        </w:tc>
        <w:tc>
          <w:tcPr>
            <w:tcW w:w="1579" w:type="dxa"/>
          </w:tcPr>
          <w:p w14:paraId="0076B3E0" w14:textId="0C7DE8C7" w:rsidR="00244B68" w:rsidRPr="00884C9A" w:rsidRDefault="00244B68" w:rsidP="00244B68">
            <w:pPr>
              <w:jc w:val="center"/>
              <w:rPr>
                <w:noProof/>
              </w:rPr>
            </w:pPr>
            <w:r>
              <w:rPr>
                <w:noProof/>
              </w:rPr>
              <w:t>No data</w:t>
            </w:r>
          </w:p>
        </w:tc>
      </w:tr>
      <w:tr w:rsidR="00244B68" w:rsidRPr="00AC11E4" w14:paraId="68C77682" w14:textId="77777777" w:rsidTr="00244B68">
        <w:trPr>
          <w:cnfStyle w:val="000000100000" w:firstRow="0" w:lastRow="0" w:firstColumn="0" w:lastColumn="0" w:oddVBand="0" w:evenVBand="0" w:oddHBand="1" w:evenHBand="0" w:firstRowFirstColumn="0" w:firstRowLastColumn="0" w:lastRowFirstColumn="0" w:lastRowLastColumn="0"/>
        </w:trPr>
        <w:tc>
          <w:tcPr>
            <w:tcW w:w="2330" w:type="dxa"/>
          </w:tcPr>
          <w:p w14:paraId="6454088A" w14:textId="77777777" w:rsidR="00244B68" w:rsidRPr="00884C9A" w:rsidRDefault="00244B68" w:rsidP="00244B68">
            <w:pPr>
              <w:rPr>
                <w:noProof/>
              </w:rPr>
            </w:pPr>
            <w:r>
              <w:rPr>
                <w:noProof/>
              </w:rPr>
              <w:t>Additional capacity for waste recycling</w:t>
            </w:r>
          </w:p>
        </w:tc>
        <w:tc>
          <w:tcPr>
            <w:tcW w:w="1100" w:type="dxa"/>
          </w:tcPr>
          <w:p w14:paraId="06D88F39" w14:textId="77777777" w:rsidR="00244B68" w:rsidRPr="00884C9A" w:rsidRDefault="00244B68" w:rsidP="00244B68">
            <w:pPr>
              <w:jc w:val="center"/>
              <w:rPr>
                <w:noProof/>
              </w:rPr>
            </w:pPr>
          </w:p>
        </w:tc>
        <w:tc>
          <w:tcPr>
            <w:tcW w:w="1526" w:type="dxa"/>
          </w:tcPr>
          <w:p w14:paraId="3CFB1F33" w14:textId="77777777" w:rsidR="00244B68" w:rsidRPr="00724FDD" w:rsidRDefault="00244B68" w:rsidP="00244B68">
            <w:pPr>
              <w:jc w:val="center"/>
              <w:rPr>
                <w:b/>
                <w:noProof/>
              </w:rPr>
            </w:pPr>
          </w:p>
        </w:tc>
        <w:tc>
          <w:tcPr>
            <w:tcW w:w="1532" w:type="dxa"/>
          </w:tcPr>
          <w:p w14:paraId="08E8C8CA" w14:textId="77777777" w:rsidR="00244B68" w:rsidRPr="00884C9A" w:rsidRDefault="00244B68" w:rsidP="00244B68">
            <w:pPr>
              <w:jc w:val="center"/>
              <w:rPr>
                <w:noProof/>
              </w:rPr>
            </w:pPr>
          </w:p>
        </w:tc>
        <w:tc>
          <w:tcPr>
            <w:tcW w:w="1572" w:type="dxa"/>
          </w:tcPr>
          <w:p w14:paraId="656B9804" w14:textId="5557DA95" w:rsidR="00244B68" w:rsidRPr="00884C9A" w:rsidRDefault="00244B68" w:rsidP="00244B68">
            <w:pPr>
              <w:jc w:val="center"/>
              <w:rPr>
                <w:noProof/>
              </w:rPr>
            </w:pPr>
            <w:r>
              <w:rPr>
                <w:noProof/>
              </w:rPr>
              <w:t>No results</w:t>
            </w:r>
          </w:p>
        </w:tc>
        <w:tc>
          <w:tcPr>
            <w:tcW w:w="1579" w:type="dxa"/>
          </w:tcPr>
          <w:p w14:paraId="6BB3B8DA" w14:textId="26695A20" w:rsidR="00244B68" w:rsidRPr="00884C9A" w:rsidRDefault="00244B68" w:rsidP="00244B68">
            <w:pPr>
              <w:jc w:val="center"/>
              <w:rPr>
                <w:noProof/>
              </w:rPr>
            </w:pPr>
            <w:r>
              <w:rPr>
                <w:noProof/>
              </w:rPr>
              <w:t>No data</w:t>
            </w:r>
          </w:p>
        </w:tc>
      </w:tr>
      <w:tr w:rsidR="00244B68" w:rsidRPr="00AC11E4" w14:paraId="1967004E" w14:textId="77777777" w:rsidTr="00244B68">
        <w:trPr>
          <w:cnfStyle w:val="000000010000" w:firstRow="0" w:lastRow="0" w:firstColumn="0" w:lastColumn="0" w:oddVBand="0" w:evenVBand="0" w:oddHBand="0" w:evenHBand="1" w:firstRowFirstColumn="0" w:firstRowLastColumn="0" w:lastRowFirstColumn="0" w:lastRowLastColumn="0"/>
        </w:trPr>
        <w:tc>
          <w:tcPr>
            <w:tcW w:w="2330" w:type="dxa"/>
          </w:tcPr>
          <w:p w14:paraId="471A480C" w14:textId="77777777" w:rsidR="00244B68" w:rsidRPr="00724FDD" w:rsidRDefault="00244B68" w:rsidP="00244B68">
            <w:pPr>
              <w:rPr>
                <w:noProof/>
              </w:rPr>
            </w:pPr>
            <w:r>
              <w:rPr>
                <w:noProof/>
              </w:rPr>
              <w:t>Jobs created in supported entities</w:t>
            </w:r>
          </w:p>
        </w:tc>
        <w:tc>
          <w:tcPr>
            <w:tcW w:w="1100" w:type="dxa"/>
          </w:tcPr>
          <w:p w14:paraId="564AC0A3" w14:textId="77777777" w:rsidR="00244B68" w:rsidRPr="00884C9A" w:rsidRDefault="00244B68" w:rsidP="00244B68">
            <w:pPr>
              <w:jc w:val="center"/>
              <w:rPr>
                <w:noProof/>
              </w:rPr>
            </w:pPr>
          </w:p>
        </w:tc>
        <w:tc>
          <w:tcPr>
            <w:tcW w:w="1526" w:type="dxa"/>
          </w:tcPr>
          <w:p w14:paraId="0CCD039C" w14:textId="77777777" w:rsidR="00244B68" w:rsidRPr="00724FDD" w:rsidRDefault="00244B68" w:rsidP="00244B68">
            <w:pPr>
              <w:jc w:val="center"/>
              <w:rPr>
                <w:b/>
                <w:noProof/>
              </w:rPr>
            </w:pPr>
          </w:p>
        </w:tc>
        <w:tc>
          <w:tcPr>
            <w:tcW w:w="1532" w:type="dxa"/>
          </w:tcPr>
          <w:p w14:paraId="30103BB5" w14:textId="77777777" w:rsidR="00244B68" w:rsidRPr="00884C9A" w:rsidRDefault="00244B68" w:rsidP="00244B68">
            <w:pPr>
              <w:jc w:val="center"/>
              <w:rPr>
                <w:noProof/>
              </w:rPr>
            </w:pPr>
          </w:p>
        </w:tc>
        <w:tc>
          <w:tcPr>
            <w:tcW w:w="1572" w:type="dxa"/>
          </w:tcPr>
          <w:p w14:paraId="79CF65E4" w14:textId="32B348DB" w:rsidR="00244B68" w:rsidRPr="00884C9A" w:rsidRDefault="00244B68" w:rsidP="00244B68">
            <w:pPr>
              <w:jc w:val="center"/>
              <w:rPr>
                <w:noProof/>
              </w:rPr>
            </w:pPr>
            <w:r>
              <w:rPr>
                <w:noProof/>
              </w:rPr>
              <w:t>No results</w:t>
            </w:r>
          </w:p>
        </w:tc>
        <w:tc>
          <w:tcPr>
            <w:tcW w:w="1579" w:type="dxa"/>
          </w:tcPr>
          <w:p w14:paraId="2484E58C" w14:textId="22FEBB1F" w:rsidR="00244B68" w:rsidRPr="00884C9A" w:rsidRDefault="00244B68" w:rsidP="00244B68">
            <w:pPr>
              <w:jc w:val="center"/>
              <w:rPr>
                <w:noProof/>
              </w:rPr>
            </w:pPr>
            <w:r>
              <w:rPr>
                <w:noProof/>
              </w:rPr>
              <w:t>No data</w:t>
            </w:r>
          </w:p>
        </w:tc>
      </w:tr>
      <w:tr w:rsidR="00244B68" w:rsidRPr="00AC11E4" w14:paraId="1083A9AB" w14:textId="77777777" w:rsidTr="00244B68">
        <w:trPr>
          <w:cnfStyle w:val="000000100000" w:firstRow="0" w:lastRow="0" w:firstColumn="0" w:lastColumn="0" w:oddVBand="0" w:evenVBand="0" w:oddHBand="1" w:evenHBand="0" w:firstRowFirstColumn="0" w:firstRowLastColumn="0" w:lastRowFirstColumn="0" w:lastRowLastColumn="0"/>
        </w:trPr>
        <w:tc>
          <w:tcPr>
            <w:tcW w:w="2330" w:type="dxa"/>
          </w:tcPr>
          <w:p w14:paraId="1F837F03" w14:textId="77777777" w:rsidR="00244B68" w:rsidRPr="00884C9A" w:rsidRDefault="00244B68" w:rsidP="00244B68">
            <w:pPr>
              <w:rPr>
                <w:noProof/>
              </w:rPr>
            </w:pPr>
            <w:r>
              <w:rPr>
                <w:noProof/>
              </w:rPr>
              <w:t>Annual users of new or modernised public transport</w:t>
            </w:r>
          </w:p>
        </w:tc>
        <w:tc>
          <w:tcPr>
            <w:tcW w:w="1100" w:type="dxa"/>
          </w:tcPr>
          <w:p w14:paraId="12AC654B" w14:textId="77777777" w:rsidR="00244B68" w:rsidRPr="00884C9A" w:rsidRDefault="00244B68" w:rsidP="00244B68">
            <w:pPr>
              <w:jc w:val="center"/>
              <w:rPr>
                <w:noProof/>
              </w:rPr>
            </w:pPr>
          </w:p>
        </w:tc>
        <w:tc>
          <w:tcPr>
            <w:tcW w:w="1526" w:type="dxa"/>
          </w:tcPr>
          <w:p w14:paraId="7AB6A17E" w14:textId="77777777" w:rsidR="00244B68" w:rsidRPr="00724FDD" w:rsidRDefault="00244B68" w:rsidP="00244B68">
            <w:pPr>
              <w:jc w:val="center"/>
              <w:rPr>
                <w:b/>
                <w:noProof/>
              </w:rPr>
            </w:pPr>
          </w:p>
        </w:tc>
        <w:tc>
          <w:tcPr>
            <w:tcW w:w="1532" w:type="dxa"/>
          </w:tcPr>
          <w:p w14:paraId="4B5E6844" w14:textId="77777777" w:rsidR="00244B68" w:rsidRPr="00884C9A" w:rsidRDefault="00244B68" w:rsidP="00244B68">
            <w:pPr>
              <w:jc w:val="center"/>
              <w:rPr>
                <w:noProof/>
              </w:rPr>
            </w:pPr>
          </w:p>
        </w:tc>
        <w:tc>
          <w:tcPr>
            <w:tcW w:w="1572" w:type="dxa"/>
          </w:tcPr>
          <w:p w14:paraId="7FD2DE87" w14:textId="215D6BA1" w:rsidR="00244B68" w:rsidRPr="00884C9A" w:rsidRDefault="00244B68" w:rsidP="00244B68">
            <w:pPr>
              <w:jc w:val="center"/>
              <w:rPr>
                <w:noProof/>
              </w:rPr>
            </w:pPr>
            <w:r>
              <w:rPr>
                <w:noProof/>
              </w:rPr>
              <w:t>No results</w:t>
            </w:r>
          </w:p>
        </w:tc>
        <w:tc>
          <w:tcPr>
            <w:tcW w:w="1579" w:type="dxa"/>
          </w:tcPr>
          <w:p w14:paraId="57AFDB7A" w14:textId="17F6D163" w:rsidR="00244B68" w:rsidRPr="00884C9A" w:rsidRDefault="00244B68" w:rsidP="00244B68">
            <w:pPr>
              <w:jc w:val="center"/>
              <w:rPr>
                <w:noProof/>
              </w:rPr>
            </w:pPr>
            <w:r>
              <w:rPr>
                <w:noProof/>
              </w:rPr>
              <w:t>No data</w:t>
            </w:r>
          </w:p>
        </w:tc>
      </w:tr>
      <w:tr w:rsidR="00244B68" w:rsidRPr="00AC11E4" w14:paraId="2BC9D076" w14:textId="77777777" w:rsidTr="00244B68">
        <w:trPr>
          <w:cnfStyle w:val="000000010000" w:firstRow="0" w:lastRow="0" w:firstColumn="0" w:lastColumn="0" w:oddVBand="0" w:evenVBand="0" w:oddHBand="0" w:evenHBand="1" w:firstRowFirstColumn="0" w:firstRowLastColumn="0" w:lastRowFirstColumn="0" w:lastRowLastColumn="0"/>
        </w:trPr>
        <w:tc>
          <w:tcPr>
            <w:tcW w:w="2330" w:type="dxa"/>
          </w:tcPr>
          <w:p w14:paraId="2610D080" w14:textId="77777777" w:rsidR="00244B68" w:rsidRPr="00884C9A" w:rsidRDefault="00244B68" w:rsidP="00244B68">
            <w:pPr>
              <w:rPr>
                <w:noProof/>
              </w:rPr>
            </w:pPr>
            <w:r>
              <w:rPr>
                <w:noProof/>
              </w:rPr>
              <w:t>Overall investment mobilised</w:t>
            </w:r>
          </w:p>
        </w:tc>
        <w:tc>
          <w:tcPr>
            <w:tcW w:w="1100" w:type="dxa"/>
          </w:tcPr>
          <w:p w14:paraId="6E1B8DFF" w14:textId="77777777" w:rsidR="00244B68" w:rsidRPr="00884C9A" w:rsidRDefault="00244B68" w:rsidP="00244B68">
            <w:pPr>
              <w:jc w:val="center"/>
              <w:rPr>
                <w:noProof/>
              </w:rPr>
            </w:pPr>
          </w:p>
        </w:tc>
        <w:tc>
          <w:tcPr>
            <w:tcW w:w="1526" w:type="dxa"/>
          </w:tcPr>
          <w:p w14:paraId="32236520" w14:textId="77777777" w:rsidR="00244B68" w:rsidRPr="00724FDD" w:rsidRDefault="00244B68" w:rsidP="00244B68">
            <w:pPr>
              <w:jc w:val="center"/>
              <w:rPr>
                <w:b/>
                <w:noProof/>
              </w:rPr>
            </w:pPr>
          </w:p>
        </w:tc>
        <w:tc>
          <w:tcPr>
            <w:tcW w:w="1532" w:type="dxa"/>
          </w:tcPr>
          <w:p w14:paraId="12EB4F46" w14:textId="77777777" w:rsidR="00244B68" w:rsidRPr="00884C9A" w:rsidRDefault="00244B68" w:rsidP="00244B68">
            <w:pPr>
              <w:jc w:val="center"/>
              <w:rPr>
                <w:noProof/>
              </w:rPr>
            </w:pPr>
          </w:p>
        </w:tc>
        <w:tc>
          <w:tcPr>
            <w:tcW w:w="1572" w:type="dxa"/>
          </w:tcPr>
          <w:p w14:paraId="684CF151" w14:textId="26DBD740" w:rsidR="00244B68" w:rsidRPr="00884C9A" w:rsidRDefault="00244B68" w:rsidP="00244B68">
            <w:pPr>
              <w:jc w:val="center"/>
              <w:rPr>
                <w:noProof/>
              </w:rPr>
            </w:pPr>
            <w:r>
              <w:rPr>
                <w:noProof/>
              </w:rPr>
              <w:t>No results</w:t>
            </w:r>
          </w:p>
        </w:tc>
        <w:tc>
          <w:tcPr>
            <w:tcW w:w="1579" w:type="dxa"/>
          </w:tcPr>
          <w:p w14:paraId="6AD295CD" w14:textId="5ADD8C50" w:rsidR="00244B68" w:rsidRPr="00884C9A" w:rsidRDefault="00244B68" w:rsidP="00244B68">
            <w:pPr>
              <w:jc w:val="center"/>
              <w:rPr>
                <w:noProof/>
              </w:rPr>
            </w:pPr>
            <w:r>
              <w:rPr>
                <w:noProof/>
              </w:rPr>
              <w:t>No data</w:t>
            </w:r>
          </w:p>
        </w:tc>
      </w:tr>
      <w:tr w:rsidR="00244B68" w:rsidRPr="00AC11E4" w14:paraId="43E504CB" w14:textId="77777777" w:rsidTr="00244B68">
        <w:trPr>
          <w:cnfStyle w:val="000000100000" w:firstRow="0" w:lastRow="0" w:firstColumn="0" w:lastColumn="0" w:oddVBand="0" w:evenVBand="0" w:oddHBand="1" w:evenHBand="0" w:firstRowFirstColumn="0" w:firstRowLastColumn="0" w:lastRowFirstColumn="0" w:lastRowLastColumn="0"/>
        </w:trPr>
        <w:tc>
          <w:tcPr>
            <w:tcW w:w="2330" w:type="dxa"/>
          </w:tcPr>
          <w:p w14:paraId="784F036C" w14:textId="77777777" w:rsidR="00244B68" w:rsidRPr="00884C9A" w:rsidRDefault="00244B68" w:rsidP="00244B68">
            <w:pPr>
              <w:rPr>
                <w:noProof/>
              </w:rPr>
            </w:pPr>
            <w:r>
              <w:rPr>
                <w:noProof/>
              </w:rPr>
              <w:t>Number of projects receiving financing under the facility</w:t>
            </w:r>
          </w:p>
        </w:tc>
        <w:tc>
          <w:tcPr>
            <w:tcW w:w="1100" w:type="dxa"/>
          </w:tcPr>
          <w:p w14:paraId="0A434E28" w14:textId="77777777" w:rsidR="00244B68" w:rsidRPr="00884C9A" w:rsidRDefault="00244B68" w:rsidP="00244B68">
            <w:pPr>
              <w:jc w:val="center"/>
              <w:rPr>
                <w:noProof/>
              </w:rPr>
            </w:pPr>
          </w:p>
        </w:tc>
        <w:tc>
          <w:tcPr>
            <w:tcW w:w="1526" w:type="dxa"/>
          </w:tcPr>
          <w:p w14:paraId="531A1B30" w14:textId="77777777" w:rsidR="00244B68" w:rsidRPr="00724FDD" w:rsidRDefault="00244B68" w:rsidP="00244B68">
            <w:pPr>
              <w:jc w:val="center"/>
              <w:rPr>
                <w:b/>
                <w:noProof/>
              </w:rPr>
            </w:pPr>
          </w:p>
        </w:tc>
        <w:tc>
          <w:tcPr>
            <w:tcW w:w="1532" w:type="dxa"/>
          </w:tcPr>
          <w:p w14:paraId="2B91E54B" w14:textId="77777777" w:rsidR="00244B68" w:rsidRPr="00884C9A" w:rsidRDefault="00244B68" w:rsidP="00244B68">
            <w:pPr>
              <w:jc w:val="center"/>
              <w:rPr>
                <w:noProof/>
              </w:rPr>
            </w:pPr>
          </w:p>
        </w:tc>
        <w:tc>
          <w:tcPr>
            <w:tcW w:w="1572" w:type="dxa"/>
          </w:tcPr>
          <w:p w14:paraId="17163475" w14:textId="005CBFA5" w:rsidR="00244B68" w:rsidRPr="00884C9A" w:rsidRDefault="00244B68" w:rsidP="00244B68">
            <w:pPr>
              <w:jc w:val="center"/>
              <w:rPr>
                <w:noProof/>
              </w:rPr>
            </w:pPr>
            <w:r>
              <w:rPr>
                <w:noProof/>
              </w:rPr>
              <w:t>No results</w:t>
            </w:r>
          </w:p>
        </w:tc>
        <w:tc>
          <w:tcPr>
            <w:tcW w:w="1579" w:type="dxa"/>
          </w:tcPr>
          <w:p w14:paraId="49E7278C" w14:textId="0130C39C" w:rsidR="00244B68" w:rsidRPr="00884C9A" w:rsidRDefault="00244B68" w:rsidP="00244B68">
            <w:pPr>
              <w:jc w:val="center"/>
              <w:rPr>
                <w:noProof/>
              </w:rPr>
            </w:pPr>
            <w:r>
              <w:rPr>
                <w:noProof/>
              </w:rPr>
              <w:t>No data</w:t>
            </w:r>
          </w:p>
        </w:tc>
      </w:tr>
      <w:tr w:rsidR="00244B68" w:rsidRPr="00AC11E4" w14:paraId="0B4B52DD" w14:textId="77777777" w:rsidTr="00244B68">
        <w:trPr>
          <w:cnfStyle w:val="000000010000" w:firstRow="0" w:lastRow="0" w:firstColumn="0" w:lastColumn="0" w:oddVBand="0" w:evenVBand="0" w:oddHBand="0" w:evenHBand="1" w:firstRowFirstColumn="0" w:firstRowLastColumn="0" w:lastRowFirstColumn="0" w:lastRowLastColumn="0"/>
        </w:trPr>
        <w:tc>
          <w:tcPr>
            <w:tcW w:w="2330" w:type="dxa"/>
          </w:tcPr>
          <w:p w14:paraId="43F5BEE8" w14:textId="77777777" w:rsidR="00244B68" w:rsidRPr="00884C9A" w:rsidRDefault="00244B68" w:rsidP="00244B68">
            <w:pPr>
              <w:rPr>
                <w:noProof/>
              </w:rPr>
            </w:pPr>
            <w:r>
              <w:rPr>
                <w:noProof/>
              </w:rPr>
              <w:t>Greenhouse gas emission reduced, where relevant</w:t>
            </w:r>
          </w:p>
        </w:tc>
        <w:tc>
          <w:tcPr>
            <w:tcW w:w="1100" w:type="dxa"/>
          </w:tcPr>
          <w:p w14:paraId="45A997FB" w14:textId="77777777" w:rsidR="00244B68" w:rsidRPr="00884C9A" w:rsidRDefault="00244B68" w:rsidP="00244B68">
            <w:pPr>
              <w:jc w:val="center"/>
              <w:rPr>
                <w:noProof/>
              </w:rPr>
            </w:pPr>
          </w:p>
        </w:tc>
        <w:tc>
          <w:tcPr>
            <w:tcW w:w="1526" w:type="dxa"/>
          </w:tcPr>
          <w:p w14:paraId="16385FE3" w14:textId="77777777" w:rsidR="00244B68" w:rsidRPr="00724FDD" w:rsidRDefault="00244B68" w:rsidP="00244B68">
            <w:pPr>
              <w:jc w:val="center"/>
              <w:rPr>
                <w:b/>
                <w:noProof/>
              </w:rPr>
            </w:pPr>
          </w:p>
        </w:tc>
        <w:tc>
          <w:tcPr>
            <w:tcW w:w="1532" w:type="dxa"/>
          </w:tcPr>
          <w:p w14:paraId="0BC349EE" w14:textId="77777777" w:rsidR="00244B68" w:rsidRPr="00884C9A" w:rsidRDefault="00244B68" w:rsidP="00244B68">
            <w:pPr>
              <w:jc w:val="center"/>
              <w:rPr>
                <w:noProof/>
              </w:rPr>
            </w:pPr>
          </w:p>
        </w:tc>
        <w:tc>
          <w:tcPr>
            <w:tcW w:w="1572" w:type="dxa"/>
          </w:tcPr>
          <w:p w14:paraId="5DF7E75B" w14:textId="46CCE0A9" w:rsidR="00244B68" w:rsidRPr="00884C9A" w:rsidRDefault="00244B68" w:rsidP="00244B68">
            <w:pPr>
              <w:jc w:val="center"/>
              <w:rPr>
                <w:noProof/>
              </w:rPr>
            </w:pPr>
            <w:r>
              <w:rPr>
                <w:noProof/>
              </w:rPr>
              <w:t>No results</w:t>
            </w:r>
          </w:p>
        </w:tc>
        <w:tc>
          <w:tcPr>
            <w:tcW w:w="1579" w:type="dxa"/>
          </w:tcPr>
          <w:p w14:paraId="0A737B3C" w14:textId="3CD382F5" w:rsidR="00244B68" w:rsidRPr="00884C9A" w:rsidRDefault="00244B68" w:rsidP="00244B68">
            <w:pPr>
              <w:jc w:val="center"/>
              <w:rPr>
                <w:noProof/>
              </w:rPr>
            </w:pPr>
            <w:r>
              <w:rPr>
                <w:noProof/>
              </w:rPr>
              <w:t>No data</w:t>
            </w:r>
          </w:p>
        </w:tc>
      </w:tr>
    </w:tbl>
    <w:p w14:paraId="63B6A640" w14:textId="77777777" w:rsidR="005348AD" w:rsidRDefault="005348AD" w:rsidP="005348AD">
      <w:pPr>
        <w:pStyle w:val="FootnoteText"/>
        <w:rPr>
          <w:noProof/>
        </w:rPr>
      </w:pPr>
    </w:p>
    <w:p w14:paraId="7114C767" w14:textId="77777777" w:rsidR="005348AD" w:rsidRPr="00040D99" w:rsidRDefault="005348AD" w:rsidP="005348AD">
      <w:pPr>
        <w:pStyle w:val="FootnoteText"/>
        <w:rPr>
          <w:noProof/>
          <w:color w:val="BBB931"/>
        </w:rPr>
      </w:pPr>
      <w:r>
        <w:rPr>
          <w:noProof/>
        </w:rPr>
        <w:t xml:space="preserve">(*) </w:t>
      </w:r>
      <w:r w:rsidRPr="00040D99">
        <w:rPr>
          <w:noProof/>
        </w:rPr>
        <w:t>% of ta</w:t>
      </w:r>
      <w:r>
        <w:rPr>
          <w:noProof/>
        </w:rPr>
        <w:t>rget achieved by the end of 2021.</w:t>
      </w:r>
    </w:p>
    <w:p w14:paraId="4532B8AC" w14:textId="77777777" w:rsidR="005348AD" w:rsidRPr="00040D99" w:rsidRDefault="005348AD" w:rsidP="005348AD">
      <w:pPr>
        <w:spacing w:after="160" w:line="259" w:lineRule="auto"/>
        <w:rPr>
          <w:rFonts w:eastAsiaTheme="majorEastAsia" w:cstheme="majorBidi"/>
          <w:noProof/>
          <w:color w:val="016A13" w:themeColor="accent1" w:themeShade="BF"/>
          <w:sz w:val="48"/>
          <w:szCs w:val="32"/>
        </w:rPr>
      </w:pPr>
    </w:p>
    <w:p w14:paraId="5C5A59CC" w14:textId="77777777" w:rsidR="005348AD" w:rsidRDefault="005348AD" w:rsidP="005348AD">
      <w:pPr>
        <w:pStyle w:val="ppoListHyphened-L1"/>
        <w:numPr>
          <w:ilvl w:val="0"/>
          <w:numId w:val="0"/>
        </w:numPr>
        <w:ind w:left="357" w:hanging="357"/>
        <w:rPr>
          <w:b/>
          <w:noProof/>
        </w:rPr>
        <w:sectPr w:rsidR="005348AD" w:rsidSect="0083214A">
          <w:headerReference w:type="even" r:id="rId429"/>
          <w:headerReference w:type="default" r:id="rId430"/>
          <w:footerReference w:type="even" r:id="rId431"/>
          <w:footerReference w:type="default" r:id="rId432"/>
          <w:headerReference w:type="first" r:id="rId433"/>
          <w:footerReference w:type="first" r:id="rId434"/>
          <w:type w:val="continuous"/>
          <w:pgSz w:w="11906" w:h="16838" w:code="9"/>
          <w:pgMar w:top="1134" w:right="1134" w:bottom="964" w:left="1134" w:header="431" w:footer="431" w:gutter="0"/>
          <w:cols w:space="720"/>
          <w:titlePg/>
          <w:docGrid w:linePitch="360"/>
        </w:sectPr>
      </w:pPr>
    </w:p>
    <w:p w14:paraId="73201467" w14:textId="77777777" w:rsidR="004E54EB" w:rsidRPr="00D30DE8" w:rsidRDefault="004E54EB" w:rsidP="004E54EB">
      <w:pPr>
        <w:pStyle w:val="StyleppoHeading3WhiteLeft0cm"/>
        <w:rPr>
          <w:noProof/>
          <w:sz w:val="40"/>
          <w:szCs w:val="40"/>
        </w:rPr>
      </w:pPr>
    </w:p>
    <w:p w14:paraId="30BBB259" w14:textId="77777777" w:rsidR="004E54EB" w:rsidRPr="00D30DE8" w:rsidRDefault="004E54EB" w:rsidP="004E54EB">
      <w:pPr>
        <w:pStyle w:val="StyleppoHeading3WhiteLeft0cm"/>
        <w:rPr>
          <w:noProof/>
          <w:sz w:val="60"/>
          <w:szCs w:val="60"/>
        </w:rPr>
      </w:pPr>
      <w:bookmarkStart w:id="188" w:name="_Toc102086361"/>
      <w:r w:rsidRPr="00D30DE8">
        <w:rPr>
          <w:noProof/>
          <w:sz w:val="60"/>
          <w:szCs w:val="60"/>
        </w:rPr>
        <w:t>AMIF</w:t>
      </w:r>
      <w:bookmarkEnd w:id="188"/>
    </w:p>
    <w:p w14:paraId="2BB5CEC9" w14:textId="77777777" w:rsidR="004E54EB" w:rsidRPr="00D30DE8" w:rsidRDefault="004E54EB" w:rsidP="004E54EB">
      <w:pPr>
        <w:pStyle w:val="StyleppoProgrammenameWhiteLeft01cm"/>
        <w:rPr>
          <w:caps/>
          <w:noProof/>
        </w:rPr>
      </w:pPr>
      <w:r w:rsidRPr="00D30DE8">
        <w:rPr>
          <w:caps/>
          <w:noProof/>
        </w:rPr>
        <w:t>Asylum, Migration and Integration Fund</w:t>
      </w:r>
    </w:p>
    <w:p w14:paraId="78CAAF50" w14:textId="77777777" w:rsidR="004E54EB" w:rsidRPr="00D30DE8" w:rsidRDefault="004E54EB" w:rsidP="004E54EB">
      <w:pPr>
        <w:pStyle w:val="ppoHeading4Purple"/>
        <w:rPr>
          <w:noProof/>
        </w:rPr>
      </w:pPr>
      <w:r w:rsidRPr="00D30DE8">
        <w:rPr>
          <w:noProof/>
        </w:rPr>
        <w:t>Programme in a nutshell</w:t>
      </w:r>
    </w:p>
    <w:p w14:paraId="12B4760B" w14:textId="77777777" w:rsidR="004E54EB" w:rsidRPr="00D30DE8" w:rsidRDefault="004E54EB" w:rsidP="004E54EB">
      <w:pPr>
        <w:spacing w:after="480"/>
        <w:rPr>
          <w:rFonts w:eastAsiaTheme="minorEastAsia"/>
          <w:noProof/>
          <w:color w:val="FFFFFF" w:themeColor="background1"/>
          <w:sz w:val="32"/>
        </w:rPr>
        <w:sectPr w:rsidR="004E54EB" w:rsidRPr="00D30DE8" w:rsidSect="0083214A">
          <w:headerReference w:type="even" r:id="rId435"/>
          <w:headerReference w:type="default" r:id="rId436"/>
          <w:footerReference w:type="even" r:id="rId437"/>
          <w:footerReference w:type="default" r:id="rId438"/>
          <w:headerReference w:type="first" r:id="rId439"/>
          <w:footerReference w:type="first" r:id="rId440"/>
          <w:pgSz w:w="11906" w:h="16838" w:code="9"/>
          <w:pgMar w:top="1134" w:right="1134" w:bottom="964" w:left="1134" w:header="431" w:footer="431" w:gutter="0"/>
          <w:cols w:space="720"/>
          <w:docGrid w:linePitch="360"/>
        </w:sectPr>
      </w:pPr>
    </w:p>
    <w:p w14:paraId="30213FB7" w14:textId="77777777" w:rsidR="004E54EB" w:rsidRPr="00D30DE8" w:rsidRDefault="004E54EB" w:rsidP="004E54EB">
      <w:pPr>
        <w:pStyle w:val="ppoHeading5"/>
        <w:rPr>
          <w:noProof/>
        </w:rPr>
      </w:pPr>
      <w:r w:rsidRPr="00D30DE8">
        <w:rPr>
          <w:noProof/>
        </w:rPr>
        <w:t>Concrete examples of achievements</w:t>
      </w:r>
      <w:r w:rsidRPr="00D30DE8">
        <w:rPr>
          <w:rFonts w:ascii="Calibri" w:hAnsi="Calibri" w:cs="Calibri"/>
          <w:noProof/>
        </w:rPr>
        <w:t> </w:t>
      </w:r>
      <w:r w:rsidRPr="00D30DE8">
        <w:rPr>
          <w:noProof/>
        </w:rPr>
        <w:t>(*)</w:t>
      </w:r>
    </w:p>
    <w:tbl>
      <w:tblPr>
        <w:tblStyle w:val="PPO2021"/>
        <w:tblW w:w="9639" w:type="dxa"/>
        <w:tblInd w:w="0" w:type="dxa"/>
        <w:tblLook w:val="0200" w:firstRow="0" w:lastRow="0" w:firstColumn="0" w:lastColumn="0" w:noHBand="1" w:noVBand="0"/>
      </w:tblPr>
      <w:tblGrid>
        <w:gridCol w:w="2410"/>
        <w:gridCol w:w="2409"/>
        <w:gridCol w:w="2410"/>
        <w:gridCol w:w="2410"/>
      </w:tblGrid>
      <w:tr w:rsidR="004E54EB" w:rsidRPr="00D30DE8" w14:paraId="3DB0DEDF" w14:textId="77777777" w:rsidTr="0083214A">
        <w:tc>
          <w:tcPr>
            <w:tcW w:w="2410" w:type="dxa"/>
          </w:tcPr>
          <w:p w14:paraId="06962068" w14:textId="77777777" w:rsidR="004E54EB" w:rsidRPr="00D30DE8" w:rsidRDefault="004E54EB" w:rsidP="0083214A">
            <w:pPr>
              <w:pStyle w:val="ppoTableacheivementvalue"/>
              <w:rPr>
                <w:noProof/>
              </w:rPr>
            </w:pPr>
            <w:r>
              <w:rPr>
                <w:noProof/>
              </w:rPr>
              <w:t>41</w:t>
            </w:r>
            <w:r w:rsidRPr="1EFE75B2">
              <w:rPr>
                <w:rFonts w:ascii="Calibri" w:hAnsi="Calibri" w:cs="Calibri"/>
                <w:noProof/>
              </w:rPr>
              <w:t> </w:t>
            </w:r>
            <w:r>
              <w:rPr>
                <w:noProof/>
              </w:rPr>
              <w:t>266</w:t>
            </w:r>
          </w:p>
          <w:p w14:paraId="4865EFDA" w14:textId="5425A0CB" w:rsidR="004E54EB" w:rsidRPr="00D30DE8" w:rsidRDefault="004E54EB" w:rsidP="00786652">
            <w:pPr>
              <w:jc w:val="left"/>
              <w:rPr>
                <w:noProof/>
              </w:rPr>
            </w:pPr>
            <w:r>
              <w:rPr>
                <w:noProof/>
              </w:rPr>
              <w:t xml:space="preserve">places in reception accommodation infrastructure were set up in line with the EU </w:t>
            </w:r>
            <w:r w:rsidRPr="06D34A38">
              <w:rPr>
                <w:i/>
                <w:iCs/>
                <w:noProof/>
              </w:rPr>
              <w:t>acquis</w:t>
            </w:r>
            <w:r>
              <w:rPr>
                <w:noProof/>
              </w:rPr>
              <w:t xml:space="preserve"> between 2014 and 2021.</w:t>
            </w:r>
          </w:p>
        </w:tc>
        <w:tc>
          <w:tcPr>
            <w:cnfStyle w:val="000001000000" w:firstRow="0" w:lastRow="0" w:firstColumn="0" w:lastColumn="0" w:oddVBand="0" w:evenVBand="1" w:oddHBand="0" w:evenHBand="0" w:firstRowFirstColumn="0" w:firstRowLastColumn="0" w:lastRowFirstColumn="0" w:lastRowLastColumn="0"/>
            <w:tcW w:w="2409" w:type="dxa"/>
          </w:tcPr>
          <w:p w14:paraId="09AF4F45" w14:textId="77777777" w:rsidR="004E54EB" w:rsidRPr="00D30DE8" w:rsidRDefault="004E54EB" w:rsidP="0083214A">
            <w:pPr>
              <w:pStyle w:val="ppoTableacheivementvalue"/>
              <w:rPr>
                <w:noProof/>
              </w:rPr>
            </w:pPr>
            <w:bookmarkStart w:id="189" w:name="_Hlk101876432"/>
            <w:r>
              <w:rPr>
                <w:noProof/>
              </w:rPr>
              <w:t>71</w:t>
            </w:r>
            <w:r w:rsidRPr="06D34A38">
              <w:rPr>
                <w:rFonts w:ascii="Calibri" w:hAnsi="Calibri" w:cs="Calibri"/>
                <w:noProof/>
              </w:rPr>
              <w:t> </w:t>
            </w:r>
            <w:r>
              <w:rPr>
                <w:noProof/>
              </w:rPr>
              <w:t>235</w:t>
            </w:r>
          </w:p>
          <w:p w14:paraId="2580D213" w14:textId="429676D2" w:rsidR="004E54EB" w:rsidRPr="00D30DE8" w:rsidRDefault="004E54EB" w:rsidP="00786652">
            <w:pPr>
              <w:jc w:val="left"/>
              <w:rPr>
                <w:noProof/>
              </w:rPr>
            </w:pPr>
            <w:r>
              <w:rPr>
                <w:noProof/>
              </w:rPr>
              <w:t>people were trained in asylum-related topics</w:t>
            </w:r>
            <w:bookmarkEnd w:id="189"/>
            <w:r>
              <w:rPr>
                <w:noProof/>
              </w:rPr>
              <w:t xml:space="preserve"> between 2014 and 2021.</w:t>
            </w:r>
          </w:p>
        </w:tc>
        <w:tc>
          <w:tcPr>
            <w:tcW w:w="2410" w:type="dxa"/>
            <w:tcBorders>
              <w:bottom w:val="single" w:sz="4" w:space="0" w:color="8C8C8C"/>
            </w:tcBorders>
          </w:tcPr>
          <w:p w14:paraId="5A07EBBB" w14:textId="77777777" w:rsidR="004E54EB" w:rsidRPr="00D30DE8" w:rsidRDefault="004E54EB" w:rsidP="0083214A">
            <w:pPr>
              <w:pStyle w:val="ppoTableacheivementvalue"/>
              <w:cnfStyle w:val="000000000000" w:firstRow="0" w:lastRow="0" w:firstColumn="0" w:lastColumn="0" w:oddVBand="0" w:evenVBand="0" w:oddHBand="0" w:evenHBand="0" w:firstRowFirstColumn="0" w:firstRowLastColumn="0" w:lastRowFirstColumn="0" w:lastRowLastColumn="0"/>
              <w:rPr>
                <w:noProof/>
              </w:rPr>
            </w:pPr>
            <w:r>
              <w:rPr>
                <w:noProof/>
              </w:rPr>
              <w:t>114</w:t>
            </w:r>
            <w:r w:rsidRPr="06D34A38">
              <w:rPr>
                <w:rFonts w:ascii="Calibri" w:hAnsi="Calibri" w:cs="Calibri"/>
                <w:noProof/>
              </w:rPr>
              <w:t> </w:t>
            </w:r>
            <w:r>
              <w:rPr>
                <w:noProof/>
              </w:rPr>
              <w:t>659</w:t>
            </w:r>
          </w:p>
          <w:p w14:paraId="7CEB540D" w14:textId="21591F6C" w:rsidR="004E54EB" w:rsidRPr="00D30DE8" w:rsidRDefault="004E54EB" w:rsidP="00786652">
            <w:pPr>
              <w:jc w:val="left"/>
              <w:cnfStyle w:val="000000000000" w:firstRow="0" w:lastRow="0" w:firstColumn="0" w:lastColumn="0" w:oddVBand="0" w:evenVBand="0" w:oddHBand="0" w:evenHBand="0" w:firstRowFirstColumn="0" w:firstRowLastColumn="0" w:lastRowFirstColumn="0" w:lastRowLastColumn="0"/>
              <w:rPr>
                <w:noProof/>
              </w:rPr>
            </w:pPr>
            <w:r>
              <w:rPr>
                <w:noProof/>
              </w:rPr>
              <w:t>people participated in pre-departure measures between 2014 and 2021.</w:t>
            </w:r>
          </w:p>
        </w:tc>
        <w:tc>
          <w:tcPr>
            <w:cnfStyle w:val="000001000000" w:firstRow="0" w:lastRow="0" w:firstColumn="0" w:lastColumn="0" w:oddVBand="0" w:evenVBand="1" w:oddHBand="0" w:evenHBand="0" w:firstRowFirstColumn="0" w:firstRowLastColumn="0" w:lastRowFirstColumn="0" w:lastRowLastColumn="0"/>
            <w:tcW w:w="2410" w:type="dxa"/>
          </w:tcPr>
          <w:p w14:paraId="6B045EDF" w14:textId="77777777" w:rsidR="004E54EB" w:rsidRPr="00D30DE8" w:rsidRDefault="004E54EB" w:rsidP="0083214A">
            <w:pPr>
              <w:pStyle w:val="ppoTableacheivementvalue"/>
              <w:rPr>
                <w:noProof/>
              </w:rPr>
            </w:pPr>
            <w:r>
              <w:rPr>
                <w:noProof/>
              </w:rPr>
              <w:t>86</w:t>
            </w:r>
            <w:r w:rsidRPr="06D34A38">
              <w:rPr>
                <w:rFonts w:ascii="Calibri" w:hAnsi="Calibri" w:cs="Calibri"/>
                <w:noProof/>
              </w:rPr>
              <w:t> </w:t>
            </w:r>
            <w:r>
              <w:rPr>
                <w:noProof/>
              </w:rPr>
              <w:t>243</w:t>
            </w:r>
          </w:p>
          <w:p w14:paraId="21B87D6F" w14:textId="7317307F" w:rsidR="004E54EB" w:rsidRPr="00D30DE8" w:rsidRDefault="004E54EB" w:rsidP="00786652">
            <w:pPr>
              <w:jc w:val="left"/>
              <w:rPr>
                <w:noProof/>
              </w:rPr>
            </w:pPr>
            <w:r>
              <w:rPr>
                <w:noProof/>
              </w:rPr>
              <w:t>people were resettled between 2014 and 2021.</w:t>
            </w:r>
          </w:p>
        </w:tc>
      </w:tr>
      <w:tr w:rsidR="004E54EB" w:rsidRPr="00D30DE8" w14:paraId="023E3464" w14:textId="77777777" w:rsidTr="0083214A">
        <w:trPr>
          <w:gridAfter w:val="3"/>
          <w:wAfter w:w="7229" w:type="dxa"/>
        </w:trPr>
        <w:tc>
          <w:tcPr>
            <w:tcW w:w="2410" w:type="dxa"/>
          </w:tcPr>
          <w:p w14:paraId="4562D8CB" w14:textId="77777777" w:rsidR="004E54EB" w:rsidRPr="00D30DE8" w:rsidRDefault="004E54EB" w:rsidP="0083214A">
            <w:pPr>
              <w:pStyle w:val="ppoTableacheivementvalue"/>
              <w:rPr>
                <w:noProof/>
              </w:rPr>
            </w:pPr>
            <w:r>
              <w:rPr>
                <w:noProof/>
              </w:rPr>
              <w:t>347</w:t>
            </w:r>
            <w:r w:rsidRPr="06D34A38">
              <w:rPr>
                <w:rFonts w:ascii="Calibri" w:hAnsi="Calibri" w:cs="Calibri"/>
                <w:noProof/>
              </w:rPr>
              <w:t> </w:t>
            </w:r>
            <w:r>
              <w:rPr>
                <w:noProof/>
              </w:rPr>
              <w:t>387</w:t>
            </w:r>
          </w:p>
          <w:p w14:paraId="7C23BE08" w14:textId="5BAC762A" w:rsidR="004E54EB" w:rsidRPr="00D30DE8" w:rsidRDefault="004E54EB" w:rsidP="00786652">
            <w:pPr>
              <w:pStyle w:val="ppoTableacheivementvalue"/>
              <w:jc w:val="left"/>
              <w:rPr>
                <w:noProof/>
                <w:sz w:val="22"/>
                <w:szCs w:val="22"/>
              </w:rPr>
            </w:pPr>
            <w:r w:rsidRPr="06D34A38">
              <w:rPr>
                <w:noProof/>
                <w:sz w:val="22"/>
                <w:szCs w:val="22"/>
              </w:rPr>
              <w:t>returnees had their return co-financed by the fund</w:t>
            </w:r>
            <w:r>
              <w:rPr>
                <w:noProof/>
              </w:rPr>
              <w:t xml:space="preserve"> </w:t>
            </w:r>
            <w:r w:rsidRPr="06D34A38">
              <w:rPr>
                <w:noProof/>
                <w:sz w:val="22"/>
                <w:szCs w:val="22"/>
              </w:rPr>
              <w:t xml:space="preserve">between 2014 and </w:t>
            </w:r>
            <w:r>
              <w:rPr>
                <w:noProof/>
                <w:sz w:val="22"/>
                <w:szCs w:val="22"/>
              </w:rPr>
              <w:t>2021</w:t>
            </w:r>
            <w:r w:rsidRPr="06D34A38">
              <w:rPr>
                <w:noProof/>
                <w:sz w:val="22"/>
                <w:szCs w:val="22"/>
              </w:rPr>
              <w:t>.</w:t>
            </w:r>
          </w:p>
        </w:tc>
      </w:tr>
    </w:tbl>
    <w:p w14:paraId="276CA0FE" w14:textId="77777777" w:rsidR="004E54EB" w:rsidRPr="00D30DE8" w:rsidRDefault="004E54EB" w:rsidP="004E54EB">
      <w:pPr>
        <w:pStyle w:val="FootnoteText"/>
        <w:rPr>
          <w:rFonts w:eastAsiaTheme="minorEastAsia"/>
          <w:noProof/>
        </w:rPr>
      </w:pPr>
      <w:r w:rsidRPr="06D34A38">
        <w:rPr>
          <w:rFonts w:eastAsiaTheme="minorEastAsia"/>
          <w:noProof/>
        </w:rPr>
        <w:t>(*)</w:t>
      </w:r>
      <w:r>
        <w:rPr>
          <w:noProof/>
        </w:rPr>
        <w:tab/>
      </w:r>
      <w:r w:rsidRPr="06D34A38">
        <w:rPr>
          <w:rFonts w:eastAsiaTheme="minorEastAsia"/>
          <w:noProof/>
        </w:rPr>
        <w:t>Key achievements in the table state which period they relate to. Many come from the implementation of the predecessor programmes under the 2014-2020 multiannual financial framework. This is expected and is due to the multiannual life cycle of EU programmes and the projects they finance, where results often follow only after completion of the programmes.</w:t>
      </w:r>
    </w:p>
    <w:p w14:paraId="0D6900C1" w14:textId="77777777" w:rsidR="004E54EB" w:rsidRPr="00D30DE8" w:rsidRDefault="004E54EB" w:rsidP="004E54EB">
      <w:pPr>
        <w:pStyle w:val="ppoHeading5"/>
        <w:rPr>
          <w:noProof/>
        </w:rPr>
      </w:pPr>
      <w:r w:rsidRPr="00D30DE8">
        <w:rPr>
          <w:noProof/>
        </w:rPr>
        <w:t>Budget for 2021-2027</w:t>
      </w:r>
    </w:p>
    <w:p w14:paraId="104E9361" w14:textId="77777777" w:rsidR="004E54EB" w:rsidRPr="00D30DE8" w:rsidRDefault="004E54EB" w:rsidP="004E54EB">
      <w:pPr>
        <w:pStyle w:val="ppoTableTabletitle"/>
        <w:ind w:left="284"/>
        <w:rPr>
          <w:noProof/>
        </w:rPr>
      </w:pPr>
      <w:r w:rsidRPr="00D30DE8">
        <w:rPr>
          <w:noProof/>
        </w:rPr>
        <w:t>(million EUR)</w:t>
      </w:r>
    </w:p>
    <w:tbl>
      <w:tblPr>
        <w:tblStyle w:val="PlainTable2"/>
        <w:tblW w:w="0" w:type="auto"/>
        <w:tblInd w:w="288" w:type="dxa"/>
        <w:tblLook w:val="04A0" w:firstRow="1" w:lastRow="0" w:firstColumn="1" w:lastColumn="0" w:noHBand="0" w:noVBand="1"/>
      </w:tblPr>
      <w:tblGrid>
        <w:gridCol w:w="4788"/>
        <w:gridCol w:w="2610"/>
      </w:tblGrid>
      <w:tr w:rsidR="004E54EB" w:rsidRPr="00D30DE8" w14:paraId="40B138E7" w14:textId="77777777" w:rsidTr="0083214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3178AA9C" w14:textId="77777777" w:rsidR="004E54EB" w:rsidRPr="00D30DE8" w:rsidRDefault="004E54EB" w:rsidP="0083214A">
            <w:pPr>
              <w:spacing w:before="120" w:after="120"/>
              <w:rPr>
                <w:noProof/>
              </w:rPr>
            </w:pPr>
            <w:r w:rsidRPr="00D30DE8">
              <w:rPr>
                <w:rFonts w:cs="Calibri"/>
                <w:noProof/>
                <w:color w:val="000000"/>
              </w:rPr>
              <w:t>Financial programming</w:t>
            </w:r>
          </w:p>
        </w:tc>
        <w:tc>
          <w:tcPr>
            <w:tcW w:w="2610" w:type="dxa"/>
            <w:shd w:val="clear" w:color="auto" w:fill="auto"/>
            <w:vAlign w:val="bottom"/>
          </w:tcPr>
          <w:p w14:paraId="73DDE19A" w14:textId="36DAB070" w:rsidR="00000CE6" w:rsidRDefault="00000CE6" w:rsidP="00000CE6">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10 0</w:t>
            </w:r>
            <w:r w:rsidR="00D6086C">
              <w:rPr>
                <w:rFonts w:ascii="Calibri" w:hAnsi="Calibri" w:cs="Calibri"/>
                <w:noProof/>
                <w:color w:val="000000"/>
              </w:rPr>
              <w:t>68</w:t>
            </w:r>
            <w:r>
              <w:rPr>
                <w:rFonts w:ascii="Calibri" w:hAnsi="Calibri" w:cs="Calibri"/>
                <w:noProof/>
                <w:color w:val="000000"/>
              </w:rPr>
              <w:t>.</w:t>
            </w:r>
            <w:r w:rsidR="00D6086C">
              <w:rPr>
                <w:rFonts w:ascii="Calibri" w:hAnsi="Calibri" w:cs="Calibri"/>
                <w:noProof/>
                <w:color w:val="000000"/>
              </w:rPr>
              <w:t>7</w:t>
            </w:r>
          </w:p>
          <w:p w14:paraId="18424080" w14:textId="23A7D44C" w:rsidR="004E54EB" w:rsidRPr="00D30DE8" w:rsidRDefault="004E54EB" w:rsidP="0083214A">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noProof/>
              </w:rPr>
            </w:pPr>
          </w:p>
        </w:tc>
      </w:tr>
      <w:tr w:rsidR="004E54EB" w:rsidRPr="00D30DE8" w14:paraId="26741388"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69E0DDEB" w14:textId="77777777" w:rsidR="004E54EB" w:rsidRPr="00D30DE8" w:rsidRDefault="004E54EB" w:rsidP="0083214A">
            <w:pPr>
              <w:spacing w:before="120" w:after="120"/>
              <w:rPr>
                <w:b w:val="0"/>
                <w:noProof/>
              </w:rPr>
            </w:pPr>
            <w:r w:rsidRPr="00D30DE8">
              <w:rPr>
                <w:rFonts w:cs="Calibri"/>
                <w:noProof/>
                <w:color w:val="000000"/>
              </w:rPr>
              <w:t>NextGenerationEU</w:t>
            </w:r>
          </w:p>
        </w:tc>
        <w:tc>
          <w:tcPr>
            <w:tcW w:w="2610" w:type="dxa"/>
            <w:vAlign w:val="bottom"/>
          </w:tcPr>
          <w:p w14:paraId="72AE5EB4" w14:textId="77777777" w:rsidR="004E54EB" w:rsidRPr="00D30DE8" w:rsidRDefault="004E54EB"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D30DE8">
              <w:rPr>
                <w:rFonts w:cs="Calibri"/>
                <w:noProof/>
                <w:color w:val="000000"/>
              </w:rPr>
              <w:t>0</w:t>
            </w:r>
          </w:p>
        </w:tc>
      </w:tr>
      <w:tr w:rsidR="004E54EB" w:rsidRPr="00D30DE8" w14:paraId="42F6FCB4"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4E1E10DD" w14:textId="77777777" w:rsidR="004E54EB" w:rsidRPr="00D30DE8" w:rsidRDefault="004E54EB" w:rsidP="0083214A">
            <w:pPr>
              <w:spacing w:before="120" w:after="120"/>
              <w:rPr>
                <w:b w:val="0"/>
                <w:bCs w:val="0"/>
                <w:noProof/>
              </w:rPr>
            </w:pPr>
            <w:r>
              <w:rPr>
                <w:noProof/>
              </w:rPr>
              <w:t>Decommitments made available again</w:t>
            </w:r>
            <w:r w:rsidRPr="06D34A38">
              <w:rPr>
                <w:rFonts w:ascii="Calibri" w:hAnsi="Calibri" w:cs="Calibri"/>
                <w:noProof/>
                <w:color w:val="000000"/>
              </w:rPr>
              <w:t> </w:t>
            </w:r>
            <w:r w:rsidRPr="06D34A38">
              <w:rPr>
                <w:rFonts w:cs="Calibri"/>
                <w:noProof/>
                <w:color w:val="000000"/>
              </w:rPr>
              <w:t>(*)</w:t>
            </w:r>
          </w:p>
        </w:tc>
        <w:tc>
          <w:tcPr>
            <w:tcW w:w="2610" w:type="dxa"/>
            <w:vAlign w:val="bottom"/>
          </w:tcPr>
          <w:p w14:paraId="7279BA8F" w14:textId="78883682" w:rsidR="004E54EB" w:rsidRPr="00D30DE8" w:rsidRDefault="004E54EB" w:rsidP="0083214A">
            <w:pPr>
              <w:spacing w:before="120" w:after="120"/>
              <w:jc w:val="center"/>
              <w:cnfStyle w:val="000000000000" w:firstRow="0" w:lastRow="0" w:firstColumn="0" w:lastColumn="0" w:oddVBand="0" w:evenVBand="0" w:oddHBand="0" w:evenHBand="0" w:firstRowFirstColumn="0" w:firstRowLastColumn="0" w:lastRowFirstColumn="0" w:lastRowLastColumn="0"/>
              <w:rPr>
                <w:noProof/>
              </w:rPr>
            </w:pPr>
            <w:r>
              <w:rPr>
                <w:rFonts w:cs="Calibri"/>
                <w:noProof/>
                <w:color w:val="000000"/>
              </w:rPr>
              <w:t>N/A</w:t>
            </w:r>
          </w:p>
        </w:tc>
      </w:tr>
      <w:tr w:rsidR="004E54EB" w:rsidRPr="00D30DE8" w14:paraId="67D3B4EC"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18496FDE" w14:textId="77777777" w:rsidR="004E54EB" w:rsidRPr="00D30DE8" w:rsidRDefault="004E54EB" w:rsidP="0083214A">
            <w:pPr>
              <w:spacing w:before="120" w:after="120"/>
              <w:rPr>
                <w:noProof/>
              </w:rPr>
            </w:pPr>
            <w:r w:rsidRPr="00D30DE8">
              <w:rPr>
                <w:rFonts w:cs="Calibri"/>
                <w:noProof/>
                <w:color w:val="000000"/>
              </w:rPr>
              <w:t>Contributions from other countries and entities</w:t>
            </w:r>
          </w:p>
        </w:tc>
        <w:tc>
          <w:tcPr>
            <w:tcW w:w="2610" w:type="dxa"/>
            <w:vAlign w:val="bottom"/>
          </w:tcPr>
          <w:p w14:paraId="54554F65" w14:textId="77777777" w:rsidR="004E54EB" w:rsidRPr="00D30DE8" w:rsidRDefault="004E54EB"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D30DE8">
              <w:rPr>
                <w:rFonts w:cs="Calibri"/>
                <w:noProof/>
                <w:color w:val="000000"/>
              </w:rPr>
              <w:t>0</w:t>
            </w:r>
          </w:p>
        </w:tc>
      </w:tr>
      <w:tr w:rsidR="004E54EB" w:rsidRPr="00D30DE8" w14:paraId="6202E74C"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CFCFC" w:themeFill="background2" w:themeFillTint="33"/>
            <w:vAlign w:val="bottom"/>
          </w:tcPr>
          <w:p w14:paraId="3FD0BCC4" w14:textId="77777777" w:rsidR="004E54EB" w:rsidRPr="00D30DE8" w:rsidRDefault="004E54EB" w:rsidP="0083214A">
            <w:pPr>
              <w:spacing w:before="120" w:after="120"/>
              <w:rPr>
                <w:noProof/>
              </w:rPr>
            </w:pPr>
            <w:r w:rsidRPr="06D34A38">
              <w:rPr>
                <w:rFonts w:cs="Calibri"/>
                <w:noProof/>
                <w:color w:val="000000"/>
              </w:rPr>
              <w:t>Total budget for 2021-2027</w:t>
            </w:r>
          </w:p>
        </w:tc>
        <w:tc>
          <w:tcPr>
            <w:tcW w:w="2610" w:type="dxa"/>
            <w:shd w:val="clear" w:color="auto" w:fill="FCFCFC" w:themeFill="background2" w:themeFillTint="33"/>
            <w:vAlign w:val="bottom"/>
          </w:tcPr>
          <w:p w14:paraId="17B2835F" w14:textId="2F41E5FA" w:rsidR="00000CE6" w:rsidRDefault="00000CE6" w:rsidP="00000CE6">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10 0</w:t>
            </w:r>
            <w:r w:rsidR="00D6086C">
              <w:rPr>
                <w:rFonts w:ascii="Calibri" w:hAnsi="Calibri" w:cs="Calibri"/>
                <w:noProof/>
                <w:color w:val="000000"/>
              </w:rPr>
              <w:t>68</w:t>
            </w:r>
            <w:r>
              <w:rPr>
                <w:rFonts w:ascii="Calibri" w:hAnsi="Calibri" w:cs="Calibri"/>
                <w:noProof/>
                <w:color w:val="000000"/>
              </w:rPr>
              <w:t>.</w:t>
            </w:r>
            <w:r w:rsidR="00D6086C">
              <w:rPr>
                <w:rFonts w:ascii="Calibri" w:hAnsi="Calibri" w:cs="Calibri"/>
                <w:noProof/>
                <w:color w:val="000000"/>
              </w:rPr>
              <w:t>7</w:t>
            </w:r>
          </w:p>
          <w:p w14:paraId="390077DB" w14:textId="37758B65" w:rsidR="004E54EB" w:rsidRPr="00D30DE8" w:rsidRDefault="004E54EB" w:rsidP="0083214A">
            <w:pPr>
              <w:spacing w:before="120" w:after="120"/>
              <w:jc w:val="center"/>
              <w:cnfStyle w:val="000000000000" w:firstRow="0" w:lastRow="0" w:firstColumn="0" w:lastColumn="0" w:oddVBand="0" w:evenVBand="0" w:oddHBand="0" w:evenHBand="0" w:firstRowFirstColumn="0" w:firstRowLastColumn="0" w:lastRowFirstColumn="0" w:lastRowLastColumn="0"/>
              <w:rPr>
                <w:b/>
                <w:noProof/>
              </w:rPr>
            </w:pPr>
          </w:p>
        </w:tc>
      </w:tr>
    </w:tbl>
    <w:p w14:paraId="2470272D" w14:textId="77777777" w:rsidR="004E54EB" w:rsidRPr="00D30DE8" w:rsidRDefault="004E54EB" w:rsidP="004E54EB">
      <w:pPr>
        <w:tabs>
          <w:tab w:val="left" w:pos="6793"/>
        </w:tabs>
        <w:rPr>
          <w:noProof/>
          <w:sz w:val="18"/>
          <w:szCs w:val="18"/>
        </w:rPr>
      </w:pPr>
      <w:r w:rsidRPr="06D34A38">
        <w:rPr>
          <w:noProof/>
          <w:sz w:val="18"/>
          <w:szCs w:val="18"/>
        </w:rPr>
        <w:t>(*) Only Article</w:t>
      </w:r>
      <w:r w:rsidRPr="06D34A38">
        <w:rPr>
          <w:rFonts w:ascii="Calibri" w:hAnsi="Calibri" w:cs="Calibri"/>
          <w:noProof/>
          <w:sz w:val="18"/>
          <w:szCs w:val="18"/>
        </w:rPr>
        <w:t> </w:t>
      </w:r>
      <w:r w:rsidRPr="06D34A38">
        <w:rPr>
          <w:noProof/>
          <w:sz w:val="18"/>
          <w:szCs w:val="18"/>
        </w:rPr>
        <w:t>15(3) of the financial regulation.</w:t>
      </w:r>
    </w:p>
    <w:p w14:paraId="7D9BB7A5" w14:textId="77777777" w:rsidR="004E54EB" w:rsidRPr="00D30DE8" w:rsidRDefault="004E54EB" w:rsidP="004E54EB">
      <w:pPr>
        <w:pStyle w:val="ppoHeading5"/>
        <w:rPr>
          <w:noProof/>
        </w:rPr>
      </w:pPr>
      <w:r w:rsidRPr="00D30DE8">
        <w:rPr>
          <w:noProof/>
        </w:rPr>
        <w:t>Rationale and design of the programme</w:t>
      </w:r>
    </w:p>
    <w:p w14:paraId="59E12E06" w14:textId="77777777" w:rsidR="004E54EB" w:rsidRPr="00D30DE8" w:rsidRDefault="004E54EB" w:rsidP="004E54EB">
      <w:pPr>
        <w:rPr>
          <w:rFonts w:eastAsiaTheme="minorEastAsia"/>
          <w:noProof/>
        </w:rPr>
      </w:pPr>
      <w:r w:rsidRPr="06D34A38">
        <w:rPr>
          <w:rFonts w:eastAsiaTheme="minorEastAsia"/>
          <w:noProof/>
        </w:rPr>
        <w:t>The Asylum, Migration and Integration Fund (AMIF) promotes the efficient management of migration flows and the implementation, strengthening and development of a common approach to asylum and immigration in the EU.</w:t>
      </w:r>
    </w:p>
    <w:p w14:paraId="2EAF8A67" w14:textId="77777777" w:rsidR="004E54EB" w:rsidRPr="00D30DE8" w:rsidRDefault="004E54EB" w:rsidP="004E54EB">
      <w:pPr>
        <w:pStyle w:val="ppoHeading6"/>
        <w:rPr>
          <w:noProof/>
        </w:rPr>
      </w:pPr>
      <w:r w:rsidRPr="00D30DE8">
        <w:rPr>
          <w:noProof/>
        </w:rPr>
        <w:t>Challenge</w:t>
      </w:r>
    </w:p>
    <w:p w14:paraId="1F5D4C50" w14:textId="77777777" w:rsidR="004E54EB" w:rsidRPr="00D30DE8" w:rsidRDefault="004E54EB" w:rsidP="004E54EB">
      <w:pPr>
        <w:rPr>
          <w:noProof/>
        </w:rPr>
      </w:pPr>
      <w:r>
        <w:rPr>
          <w:noProof/>
        </w:rPr>
        <w:t>The EU has faced a very large, and growing, number of asylum seekers and migrants in recent years. Attempts by migrants to reach European shores using makeshift means have all too often resulted in tragedy. The EU budget has supported efforts to manage these inflows and effective returns. Nevertheless, as confirmed by regular reports on the delivery of EU migration policy, there is still much to be done to reduce the incentives for irregular migration.</w:t>
      </w:r>
    </w:p>
    <w:p w14:paraId="59456A0F" w14:textId="77777777" w:rsidR="004E54EB" w:rsidRPr="00D30DE8" w:rsidRDefault="004E54EB" w:rsidP="004E54EB">
      <w:pPr>
        <w:rPr>
          <w:noProof/>
        </w:rPr>
      </w:pPr>
      <w:r>
        <w:rPr>
          <w:noProof/>
        </w:rPr>
        <w:t>The challenges in the areas of asylum and migration are by their nature interlinked, transnational phenomena, and cannot be adequately addressed by Member States acting alone. Together with the integrated management of the EU’s external borders, the completion of a Common European Asylum System is the most effective way to share these responsibilities and their financial implications between Member States fairly. EU funding in the area of integration of non-EU nationals is indispensable to increase the quality of support for newcomers in the early stages after their arrival. This is crucial in order to ensure their full inclusion in EU society in the long run, if they receive permanent protection.</w:t>
      </w:r>
    </w:p>
    <w:p w14:paraId="5702A8D9" w14:textId="77777777" w:rsidR="004E54EB" w:rsidRPr="00D30DE8" w:rsidRDefault="004E54EB" w:rsidP="004E54EB">
      <w:pPr>
        <w:pStyle w:val="ppoHeading6"/>
        <w:rPr>
          <w:noProof/>
        </w:rPr>
      </w:pPr>
      <w:r w:rsidRPr="00D30DE8">
        <w:rPr>
          <w:noProof/>
        </w:rPr>
        <w:t>Mission</w:t>
      </w:r>
    </w:p>
    <w:p w14:paraId="1C148026" w14:textId="77777777" w:rsidR="004E54EB" w:rsidRPr="00D30DE8" w:rsidRDefault="004E54EB" w:rsidP="004E54EB">
      <w:pPr>
        <w:rPr>
          <w:noProof/>
        </w:rPr>
      </w:pPr>
      <w:r>
        <w:rPr>
          <w:noProof/>
        </w:rPr>
        <w:t>The AMIF aims to further boost national capacities and improve procedures for migration management, and to enhance solidarity and responsibility sharing between Member States, in particular through emergency assistance and the relocation mechanism.</w:t>
      </w:r>
    </w:p>
    <w:p w14:paraId="5984FA2F" w14:textId="77777777" w:rsidR="004E54EB" w:rsidRPr="00D30DE8" w:rsidRDefault="004E54EB" w:rsidP="004E54EB">
      <w:pPr>
        <w:pStyle w:val="ppoHeading6"/>
        <w:rPr>
          <w:noProof/>
        </w:rPr>
      </w:pPr>
      <w:r w:rsidRPr="00D30DE8">
        <w:rPr>
          <w:noProof/>
        </w:rPr>
        <w:t>Objectives</w:t>
      </w:r>
    </w:p>
    <w:p w14:paraId="5D7EC8BF" w14:textId="77777777" w:rsidR="004E54EB" w:rsidRPr="00D30DE8" w:rsidRDefault="004E54EB" w:rsidP="004E54EB">
      <w:pPr>
        <w:rPr>
          <w:noProof/>
        </w:rPr>
      </w:pPr>
      <w:r>
        <w:rPr>
          <w:noProof/>
        </w:rPr>
        <w:t>The AMIF pursues the following specific objectives.</w:t>
      </w:r>
    </w:p>
    <w:p w14:paraId="63E821E6" w14:textId="77777777" w:rsidR="004E54EB" w:rsidRPr="00D30DE8" w:rsidRDefault="004E54EB" w:rsidP="004E54EB">
      <w:pPr>
        <w:pStyle w:val="ppoListHyphened-L1"/>
        <w:rPr>
          <w:noProof/>
        </w:rPr>
      </w:pPr>
      <w:r>
        <w:rPr>
          <w:noProof/>
        </w:rPr>
        <w:t>To strengthen and develop all aspects of the Common European Asylum System, including its external dimension.</w:t>
      </w:r>
    </w:p>
    <w:p w14:paraId="5B695E94" w14:textId="77777777" w:rsidR="004E54EB" w:rsidRPr="00D30DE8" w:rsidRDefault="004E54EB" w:rsidP="004E54EB">
      <w:pPr>
        <w:pStyle w:val="ppoListHyphened-L1"/>
        <w:rPr>
          <w:noProof/>
        </w:rPr>
      </w:pPr>
      <w:r>
        <w:rPr>
          <w:noProof/>
        </w:rPr>
        <w:t>To support legal migration to the Member States, including by contributing to the integration of non-EU nationals.</w:t>
      </w:r>
    </w:p>
    <w:p w14:paraId="745E2E6D" w14:textId="77777777" w:rsidR="004E54EB" w:rsidRPr="00D30DE8" w:rsidRDefault="004E54EB" w:rsidP="004E54EB">
      <w:pPr>
        <w:pStyle w:val="ppoListHyphened-L1"/>
        <w:rPr>
          <w:noProof/>
        </w:rPr>
      </w:pPr>
      <w:r>
        <w:rPr>
          <w:noProof/>
        </w:rPr>
        <w:t>To contribute to countering irregular migration and ensuring the effectiveness of return and readmission in non-EU countries.</w:t>
      </w:r>
    </w:p>
    <w:p w14:paraId="5C28038E" w14:textId="77777777" w:rsidR="004E54EB" w:rsidRPr="00D30DE8" w:rsidRDefault="004E54EB" w:rsidP="004E54EB">
      <w:pPr>
        <w:pStyle w:val="ppoListHyphened-L1"/>
        <w:rPr>
          <w:noProof/>
        </w:rPr>
      </w:pPr>
      <w:r>
        <w:rPr>
          <w:noProof/>
        </w:rPr>
        <w:t>To enhance solidarity and the sharing of responsibility between the Member States, in particular towards those most affected by migration and asylum challenges, including through practical cooperation.</w:t>
      </w:r>
    </w:p>
    <w:p w14:paraId="061D5773" w14:textId="77777777" w:rsidR="004E54EB" w:rsidRPr="00D30DE8" w:rsidRDefault="004E54EB" w:rsidP="004E54EB">
      <w:pPr>
        <w:pStyle w:val="ppoHeading6"/>
        <w:rPr>
          <w:noProof/>
        </w:rPr>
      </w:pPr>
      <w:r w:rsidRPr="00D30DE8">
        <w:rPr>
          <w:noProof/>
        </w:rPr>
        <w:t>Actions</w:t>
      </w:r>
    </w:p>
    <w:p w14:paraId="2EB089BB" w14:textId="77777777" w:rsidR="004E54EB" w:rsidRPr="00D30DE8" w:rsidRDefault="004E54EB" w:rsidP="004E54EB">
      <w:pPr>
        <w:rPr>
          <w:noProof/>
        </w:rPr>
      </w:pPr>
      <w:r>
        <w:rPr>
          <w:noProof/>
        </w:rPr>
        <w:t>The AMIF supports a broad range of actions in line with EU migration policy. This includes, in particular:</w:t>
      </w:r>
    </w:p>
    <w:p w14:paraId="45A09231" w14:textId="77777777" w:rsidR="004E54EB" w:rsidRPr="00D30DE8" w:rsidRDefault="004E54EB" w:rsidP="004E54EB">
      <w:pPr>
        <w:pStyle w:val="ppoListHyphened-L1"/>
        <w:rPr>
          <w:noProof/>
        </w:rPr>
      </w:pPr>
      <w:r>
        <w:rPr>
          <w:noProof/>
        </w:rPr>
        <w:t xml:space="preserve">ensuring the uniform application of the EU </w:t>
      </w:r>
      <w:r w:rsidRPr="06D34A38">
        <w:rPr>
          <w:i/>
          <w:iCs/>
          <w:noProof/>
        </w:rPr>
        <w:t>acquis</w:t>
      </w:r>
      <w:r>
        <w:rPr>
          <w:noProof/>
        </w:rPr>
        <w:t xml:space="preserve"> and of the priorities related to the Common European Asylum System, legal migration and return;</w:t>
      </w:r>
    </w:p>
    <w:p w14:paraId="3C1531AD" w14:textId="77777777" w:rsidR="004E54EB" w:rsidRPr="00D30DE8" w:rsidRDefault="004E54EB" w:rsidP="004E54EB">
      <w:pPr>
        <w:pStyle w:val="ppoListHyphened-L1"/>
        <w:rPr>
          <w:noProof/>
        </w:rPr>
      </w:pPr>
      <w:r>
        <w:rPr>
          <w:noProof/>
        </w:rPr>
        <w:t>providing support and services consistent with the status and the needs of the people concerned, in particular vulnerable groups;</w:t>
      </w:r>
    </w:p>
    <w:p w14:paraId="141F8574" w14:textId="77777777" w:rsidR="004E54EB" w:rsidRPr="00D30DE8" w:rsidRDefault="004E54EB" w:rsidP="004E54EB">
      <w:pPr>
        <w:pStyle w:val="ppoListHyphened-L1"/>
        <w:rPr>
          <w:noProof/>
        </w:rPr>
      </w:pPr>
      <w:r>
        <w:rPr>
          <w:noProof/>
        </w:rPr>
        <w:t>supporting resettlement, humanitarian admission and transfers of applicants for and beneficiaries of international protection;</w:t>
      </w:r>
    </w:p>
    <w:p w14:paraId="184F712F" w14:textId="77777777" w:rsidR="004E54EB" w:rsidRPr="00D30DE8" w:rsidRDefault="004E54EB" w:rsidP="004E54EB">
      <w:pPr>
        <w:pStyle w:val="ppoListHyphened-L1"/>
        <w:rPr>
          <w:noProof/>
        </w:rPr>
      </w:pPr>
      <w:r>
        <w:rPr>
          <w:noProof/>
        </w:rPr>
        <w:t>supporting the development and implementation of policies promoting legal migration, such as the development of mobility schemes to the EU and raising awareness of the appropriate legal channels for immigration;</w:t>
      </w:r>
    </w:p>
    <w:p w14:paraId="3AB5DAD6" w14:textId="77777777" w:rsidR="004E54EB" w:rsidRPr="00D30DE8" w:rsidRDefault="004E54EB" w:rsidP="004E54EB">
      <w:pPr>
        <w:pStyle w:val="ppoListHyphened-L1"/>
        <w:rPr>
          <w:noProof/>
        </w:rPr>
      </w:pPr>
      <w:r>
        <w:rPr>
          <w:noProof/>
        </w:rPr>
        <w:t>supporting integration measures tailored to the needs of non-EU nationals and early integration programmes focusing on education, language and other training (such as civic orientation courses and professional guidance) to prepare their active participation in and their acceptance by the receiving society;</w:t>
      </w:r>
    </w:p>
    <w:p w14:paraId="6D991782" w14:textId="77777777" w:rsidR="004E54EB" w:rsidRPr="00D30DE8" w:rsidRDefault="004E54EB" w:rsidP="004E54EB">
      <w:pPr>
        <w:pStyle w:val="ppoListHyphened-L1"/>
        <w:rPr>
          <w:noProof/>
        </w:rPr>
      </w:pPr>
      <w:r>
        <w:rPr>
          <w:noProof/>
        </w:rPr>
        <w:t>supporting infrastructure for the reception of non-EU nationals, including the possible joint use of such facilities by more than one Member State;</w:t>
      </w:r>
    </w:p>
    <w:p w14:paraId="2527D947" w14:textId="77777777" w:rsidR="004E54EB" w:rsidRPr="00D30DE8" w:rsidRDefault="004E54EB" w:rsidP="004E54EB">
      <w:pPr>
        <w:pStyle w:val="ppoListHyphened-L1"/>
        <w:rPr>
          <w:noProof/>
        </w:rPr>
      </w:pPr>
      <w:r>
        <w:rPr>
          <w:noProof/>
        </w:rPr>
        <w:t>supporting an integrated and coordinated approach to return management at the EU and Member State levels, developing capacities for effective and sustainable return and reducing incentives for irregular migration;</w:t>
      </w:r>
    </w:p>
    <w:p w14:paraId="04C746CC" w14:textId="77777777" w:rsidR="004E54EB" w:rsidRPr="00D30DE8" w:rsidRDefault="004E54EB" w:rsidP="004E54EB">
      <w:pPr>
        <w:pStyle w:val="ppoListHyphened-L1"/>
        <w:rPr>
          <w:noProof/>
        </w:rPr>
      </w:pPr>
      <w:r>
        <w:rPr>
          <w:noProof/>
        </w:rPr>
        <w:t>supporting assisted voluntary return and reintegration;</w:t>
      </w:r>
    </w:p>
    <w:p w14:paraId="6BF3B6F4" w14:textId="77777777" w:rsidR="004E54EB" w:rsidRPr="00D30DE8" w:rsidRDefault="004E54EB" w:rsidP="004E54EB">
      <w:pPr>
        <w:pStyle w:val="ppoListHyphened-L1"/>
        <w:rPr>
          <w:noProof/>
        </w:rPr>
      </w:pPr>
      <w:r>
        <w:rPr>
          <w:noProof/>
        </w:rPr>
        <w:t>cooperating with non-EU countries on asylum, legal migration and countering irregular migration, and on effective return and readmission for the purpose of managing migration.</w:t>
      </w:r>
    </w:p>
    <w:p w14:paraId="7FBEAD57" w14:textId="77777777" w:rsidR="004E54EB" w:rsidRPr="00D30DE8" w:rsidRDefault="004E54EB" w:rsidP="004E54EB">
      <w:pPr>
        <w:pStyle w:val="ppoHeading6"/>
        <w:rPr>
          <w:noProof/>
        </w:rPr>
      </w:pPr>
      <w:r w:rsidRPr="00D30DE8">
        <w:rPr>
          <w:noProof/>
        </w:rPr>
        <w:t>Delivery mode</w:t>
      </w:r>
    </w:p>
    <w:p w14:paraId="510CE8CD" w14:textId="77777777" w:rsidR="004E54EB" w:rsidRPr="00D30DE8" w:rsidRDefault="004E54EB" w:rsidP="004E54EB">
      <w:pPr>
        <w:rPr>
          <w:noProof/>
        </w:rPr>
      </w:pPr>
      <w:r>
        <w:rPr>
          <w:noProof/>
        </w:rPr>
        <w:t>The AMIF will be implemented under shared, direct or indirect management. The largest share (63.5%) will be allocated to national programmes under shared management. The Directorate-General for Migration and Home Affairs is the lead DG for the Commission, in close coordination with DG Employment, Social Affairs and Inclusion, DG Agriculture and Rural Development, DG Regional and Urban Policy, DG Neighbourhood and Enlargement Negotiations, DG International Partnerships and the Service for Foreign Policy Instruments.</w:t>
      </w:r>
    </w:p>
    <w:p w14:paraId="774BE699" w14:textId="77777777" w:rsidR="004E54EB" w:rsidRPr="00D30DE8" w:rsidRDefault="004E54EB" w:rsidP="004E54EB">
      <w:pPr>
        <w:pStyle w:val="ppoHeading6"/>
        <w:rPr>
          <w:noProof/>
        </w:rPr>
      </w:pPr>
      <w:r w:rsidRPr="00D30DE8">
        <w:rPr>
          <w:noProof/>
        </w:rPr>
        <w:t>LINK TO THE 2014-2020 MULTIANNUAL FINANCIAL FRAMEWORK</w:t>
      </w:r>
    </w:p>
    <w:p w14:paraId="35DA6B87" w14:textId="77777777" w:rsidR="004E54EB" w:rsidRPr="00D30DE8" w:rsidRDefault="004E54EB" w:rsidP="004E54EB">
      <w:pPr>
        <w:rPr>
          <w:noProof/>
        </w:rPr>
      </w:pPr>
      <w:r>
        <w:rPr>
          <w:noProof/>
        </w:rPr>
        <w:t>The AMIF builds on the successful implementation of and lessons learnt from the Asylum, Migration and Integration Fund under the 2014-2020 multiannual financial framework. It maintains its external dimension while ensuring more safeguards. It also introduces more flexibility through the new Thematic Facility, which enables funding to be allocated to emerging or unforeseen needs (via a mix of shared, direct and indirect management), to steer the funds towards changing EU priorities and pressing challenges.</w:t>
      </w:r>
    </w:p>
    <w:p w14:paraId="175BDBE8" w14:textId="77777777" w:rsidR="004E54EB" w:rsidRPr="00D30DE8" w:rsidRDefault="004E54EB" w:rsidP="004E54EB">
      <w:pPr>
        <w:pStyle w:val="ppoHeading6"/>
        <w:rPr>
          <w:noProof/>
        </w:rPr>
      </w:pPr>
      <w:r w:rsidRPr="00D30DE8">
        <w:rPr>
          <w:noProof/>
        </w:rPr>
        <w:t>Impact assessment</w:t>
      </w:r>
    </w:p>
    <w:p w14:paraId="3A102029" w14:textId="77777777" w:rsidR="004E54EB" w:rsidRPr="00D30DE8" w:rsidRDefault="004E54EB" w:rsidP="004E54EB">
      <w:pPr>
        <w:rPr>
          <w:noProof/>
        </w:rPr>
      </w:pPr>
      <w:r>
        <w:rPr>
          <w:noProof/>
        </w:rPr>
        <w:t xml:space="preserve">The impact assessment of the AMIF was carried out in 2018. For further information please consult: </w:t>
      </w:r>
      <w:hyperlink r:id="rId441">
        <w:r w:rsidRPr="06D34A38">
          <w:rPr>
            <w:rStyle w:val="Hyperlink"/>
            <w:noProof/>
          </w:rPr>
          <w:t>https://europa.eu/!xU94BD</w:t>
        </w:r>
      </w:hyperlink>
    </w:p>
    <w:p w14:paraId="17AE864F" w14:textId="77777777" w:rsidR="004E54EB" w:rsidRPr="00D30DE8" w:rsidRDefault="004E54EB" w:rsidP="004E54EB">
      <w:pPr>
        <w:pStyle w:val="ppoHeading6"/>
        <w:rPr>
          <w:noProof/>
        </w:rPr>
      </w:pPr>
      <w:bookmarkStart w:id="190" w:name="_Hlk101877498"/>
      <w:r w:rsidRPr="00D30DE8">
        <w:rPr>
          <w:noProof/>
        </w:rPr>
        <w:t>WEBSITE FOR more information</w:t>
      </w:r>
    </w:p>
    <w:bookmarkEnd w:id="190"/>
    <w:p w14:paraId="35D63A18" w14:textId="77777777" w:rsidR="001F341A" w:rsidRDefault="001F341A" w:rsidP="001F341A">
      <w:pPr>
        <w:rPr>
          <w:noProof/>
        </w:rPr>
      </w:pPr>
      <w:r>
        <w:rPr>
          <w:noProof/>
        </w:rPr>
        <w:fldChar w:fldCharType="begin"/>
      </w:r>
      <w:r>
        <w:rPr>
          <w:noProof/>
        </w:rPr>
        <w:instrText>HYPERLINK "https://ec.europa.eu/home-affairs/funding/asylum-migration-and-integration-funds_en"</w:instrText>
      </w:r>
      <w:r>
        <w:rPr>
          <w:noProof/>
        </w:rPr>
        <w:fldChar w:fldCharType="separate"/>
      </w:r>
      <w:r>
        <w:rPr>
          <w:rStyle w:val="Hyperlink"/>
          <w:noProof/>
        </w:rPr>
        <w:t>https://ec.europa.eu/home-affairs/funding/asylum-migration-and-integration-funds_en</w:t>
      </w:r>
      <w:r>
        <w:rPr>
          <w:noProof/>
        </w:rPr>
        <w:fldChar w:fldCharType="end"/>
      </w:r>
    </w:p>
    <w:p w14:paraId="05B92222" w14:textId="77777777" w:rsidR="004E54EB" w:rsidRDefault="004E54EB" w:rsidP="004E54EB">
      <w:pPr>
        <w:rPr>
          <w:noProof/>
        </w:rPr>
      </w:pPr>
    </w:p>
    <w:p w14:paraId="2A5F132C" w14:textId="77777777" w:rsidR="004E54EB" w:rsidRPr="00D30DE8" w:rsidRDefault="004E54EB" w:rsidP="004E54EB">
      <w:pPr>
        <w:pStyle w:val="ppoHeading5"/>
        <w:rPr>
          <w:noProof/>
        </w:rPr>
      </w:pPr>
      <w:r w:rsidRPr="06D34A38">
        <w:rPr>
          <w:rFonts w:eastAsiaTheme="minorEastAsia"/>
          <w:noProof/>
        </w:rPr>
        <w:t>Legal basis</w:t>
      </w:r>
    </w:p>
    <w:p w14:paraId="1C6F47E4" w14:textId="77777777" w:rsidR="004E54EB" w:rsidRPr="00D30DE8" w:rsidRDefault="004E54EB" w:rsidP="004E54EB">
      <w:pPr>
        <w:rPr>
          <w:noProof/>
        </w:rPr>
      </w:pPr>
      <w:r>
        <w:rPr>
          <w:noProof/>
        </w:rPr>
        <w:t>Regulation (EU) 2021/1147 of the European Parliament and of the Council.</w:t>
      </w:r>
    </w:p>
    <w:p w14:paraId="7425C58D" w14:textId="77777777" w:rsidR="004E54EB" w:rsidRPr="00D30DE8" w:rsidRDefault="004E54EB" w:rsidP="004E54EB">
      <w:pPr>
        <w:pStyle w:val="ppoHeading4Purple"/>
        <w:rPr>
          <w:caps/>
          <w:noProof/>
        </w:rPr>
      </w:pPr>
      <w:r w:rsidRPr="00D30DE8">
        <w:rPr>
          <w:noProof/>
        </w:rPr>
        <w:t>Implementation and performance</w:t>
      </w:r>
    </w:p>
    <w:p w14:paraId="68189640" w14:textId="77777777" w:rsidR="004E54EB" w:rsidRPr="00D30DE8" w:rsidRDefault="004E54EB" w:rsidP="004E54EB">
      <w:pPr>
        <w:pStyle w:val="ppoHeading5"/>
        <w:rPr>
          <w:noProof/>
        </w:rPr>
      </w:pPr>
      <w:r w:rsidRPr="00D30DE8">
        <w:rPr>
          <w:noProof/>
        </w:rPr>
        <w:t>Budget</w:t>
      </w:r>
    </w:p>
    <w:p w14:paraId="124901F9" w14:textId="77777777" w:rsidR="004E54EB" w:rsidRPr="00D30DE8" w:rsidRDefault="004E54EB" w:rsidP="004E54EB">
      <w:pPr>
        <w:pStyle w:val="ppoTableTabletitle"/>
        <w:rPr>
          <w:noProof/>
        </w:rPr>
      </w:pPr>
      <w:r w:rsidRPr="00D30DE8">
        <w:rPr>
          <w:noProof/>
        </w:rPr>
        <w:t>Budget programming (million 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4E54EB" w:rsidRPr="00D30DE8" w14:paraId="093DBBD0" w14:textId="77777777" w:rsidTr="0083214A">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15DD7671" w14:textId="77777777" w:rsidR="004E54EB" w:rsidRPr="00D30DE8" w:rsidRDefault="004E54EB" w:rsidP="0083214A">
            <w:pPr>
              <w:rPr>
                <w:noProof/>
              </w:rPr>
            </w:pPr>
          </w:p>
        </w:tc>
        <w:tc>
          <w:tcPr>
            <w:tcW w:w="943" w:type="dxa"/>
            <w:noWrap/>
            <w:hideMark/>
          </w:tcPr>
          <w:p w14:paraId="6C157D61" w14:textId="77777777" w:rsidR="004E54EB" w:rsidRPr="00D30DE8" w:rsidRDefault="004E54EB" w:rsidP="0083214A">
            <w:pPr>
              <w:rPr>
                <w:noProof/>
              </w:rPr>
            </w:pPr>
            <w:r w:rsidRPr="00D30DE8">
              <w:rPr>
                <w:noProof/>
              </w:rPr>
              <w:t>2021</w:t>
            </w:r>
          </w:p>
        </w:tc>
        <w:tc>
          <w:tcPr>
            <w:tcW w:w="944" w:type="dxa"/>
            <w:noWrap/>
            <w:hideMark/>
          </w:tcPr>
          <w:p w14:paraId="0F77D226" w14:textId="77777777" w:rsidR="004E54EB" w:rsidRPr="00D30DE8" w:rsidRDefault="004E54EB" w:rsidP="0083214A">
            <w:pPr>
              <w:rPr>
                <w:noProof/>
              </w:rPr>
            </w:pPr>
            <w:r w:rsidRPr="00D30DE8">
              <w:rPr>
                <w:noProof/>
              </w:rPr>
              <w:t>2022</w:t>
            </w:r>
          </w:p>
        </w:tc>
        <w:tc>
          <w:tcPr>
            <w:tcW w:w="943" w:type="dxa"/>
            <w:noWrap/>
            <w:hideMark/>
          </w:tcPr>
          <w:p w14:paraId="02C5C277" w14:textId="77777777" w:rsidR="004E54EB" w:rsidRPr="00D30DE8" w:rsidRDefault="004E54EB" w:rsidP="0083214A">
            <w:pPr>
              <w:rPr>
                <w:noProof/>
              </w:rPr>
            </w:pPr>
            <w:r w:rsidRPr="00D30DE8">
              <w:rPr>
                <w:noProof/>
              </w:rPr>
              <w:t>2023</w:t>
            </w:r>
          </w:p>
        </w:tc>
        <w:tc>
          <w:tcPr>
            <w:tcW w:w="944" w:type="dxa"/>
            <w:noWrap/>
            <w:hideMark/>
          </w:tcPr>
          <w:p w14:paraId="77C20DB8" w14:textId="77777777" w:rsidR="004E54EB" w:rsidRPr="00D30DE8" w:rsidRDefault="004E54EB" w:rsidP="0083214A">
            <w:pPr>
              <w:rPr>
                <w:noProof/>
              </w:rPr>
            </w:pPr>
            <w:r w:rsidRPr="00D30DE8">
              <w:rPr>
                <w:noProof/>
              </w:rPr>
              <w:t>2024</w:t>
            </w:r>
          </w:p>
        </w:tc>
        <w:tc>
          <w:tcPr>
            <w:tcW w:w="944" w:type="dxa"/>
            <w:noWrap/>
            <w:hideMark/>
          </w:tcPr>
          <w:p w14:paraId="6A95386A" w14:textId="77777777" w:rsidR="004E54EB" w:rsidRPr="00D30DE8" w:rsidRDefault="004E54EB" w:rsidP="0083214A">
            <w:pPr>
              <w:rPr>
                <w:noProof/>
              </w:rPr>
            </w:pPr>
            <w:r w:rsidRPr="00D30DE8">
              <w:rPr>
                <w:noProof/>
              </w:rPr>
              <w:t>2025</w:t>
            </w:r>
          </w:p>
        </w:tc>
        <w:tc>
          <w:tcPr>
            <w:tcW w:w="943" w:type="dxa"/>
            <w:noWrap/>
            <w:hideMark/>
          </w:tcPr>
          <w:p w14:paraId="79A232EA" w14:textId="77777777" w:rsidR="004E54EB" w:rsidRPr="00D30DE8" w:rsidRDefault="004E54EB" w:rsidP="0083214A">
            <w:pPr>
              <w:rPr>
                <w:noProof/>
              </w:rPr>
            </w:pPr>
            <w:r w:rsidRPr="00D30DE8">
              <w:rPr>
                <w:noProof/>
              </w:rPr>
              <w:t>2026</w:t>
            </w:r>
          </w:p>
        </w:tc>
        <w:tc>
          <w:tcPr>
            <w:tcW w:w="944" w:type="dxa"/>
            <w:noWrap/>
            <w:hideMark/>
          </w:tcPr>
          <w:p w14:paraId="5E88373D" w14:textId="77777777" w:rsidR="004E54EB" w:rsidRPr="00D30DE8" w:rsidRDefault="004E54EB" w:rsidP="0083214A">
            <w:pPr>
              <w:rPr>
                <w:noProof/>
              </w:rPr>
            </w:pPr>
            <w:r w:rsidRPr="00D30DE8">
              <w:rPr>
                <w:noProof/>
              </w:rPr>
              <w:t>2027</w:t>
            </w:r>
          </w:p>
        </w:tc>
        <w:tc>
          <w:tcPr>
            <w:tcW w:w="944" w:type="dxa"/>
            <w:noWrap/>
            <w:hideMark/>
          </w:tcPr>
          <w:p w14:paraId="2ABBFF4B" w14:textId="77777777" w:rsidR="004E54EB" w:rsidRPr="00D30DE8" w:rsidRDefault="004E54EB" w:rsidP="0083214A">
            <w:pPr>
              <w:rPr>
                <w:noProof/>
              </w:rPr>
            </w:pPr>
            <w:r w:rsidRPr="00D30DE8">
              <w:rPr>
                <w:noProof/>
              </w:rPr>
              <w:t>Total</w:t>
            </w:r>
          </w:p>
        </w:tc>
      </w:tr>
      <w:tr w:rsidR="00DD5E66" w:rsidRPr="00D30DE8" w14:paraId="6F3EAFF6" w14:textId="77777777" w:rsidTr="00D539B7">
        <w:trPr>
          <w:cnfStyle w:val="000000100000" w:firstRow="0" w:lastRow="0" w:firstColumn="0" w:lastColumn="0" w:oddVBand="0" w:evenVBand="0" w:oddHBand="1" w:evenHBand="0" w:firstRowFirstColumn="0" w:firstRowLastColumn="0" w:lastRowFirstColumn="0" w:lastRowLastColumn="0"/>
          <w:trHeight w:val="290"/>
        </w:trPr>
        <w:tc>
          <w:tcPr>
            <w:tcW w:w="0" w:type="dxa"/>
            <w:noWrap/>
            <w:hideMark/>
          </w:tcPr>
          <w:p w14:paraId="205ACCB1" w14:textId="77777777" w:rsidR="00DD5E66" w:rsidRPr="00D30DE8" w:rsidRDefault="00DD5E66" w:rsidP="00DD5E66">
            <w:pPr>
              <w:rPr>
                <w:noProof/>
              </w:rPr>
            </w:pPr>
            <w:r w:rsidRPr="00D30DE8">
              <w:rPr>
                <w:noProof/>
              </w:rPr>
              <w:t>Financial programming</w:t>
            </w:r>
          </w:p>
        </w:tc>
        <w:tc>
          <w:tcPr>
            <w:tcW w:w="0" w:type="dxa"/>
            <w:noWrap/>
            <w:hideMark/>
          </w:tcPr>
          <w:p w14:paraId="566B69A2" w14:textId="0E2074C6" w:rsidR="00DD5E66" w:rsidRPr="00D539B7" w:rsidRDefault="00DD5E66" w:rsidP="00412CEF">
            <w:pPr>
              <w:jc w:val="center"/>
              <w:rPr>
                <w:rFonts w:ascii="Calibri" w:hAnsi="Calibri" w:cs="Calibri"/>
                <w:noProof/>
                <w:color w:val="000000"/>
              </w:rPr>
            </w:pPr>
            <w:r w:rsidRPr="00D539B7">
              <w:rPr>
                <w:rFonts w:ascii="Calibri" w:hAnsi="Calibri" w:cs="Calibri"/>
                <w:noProof/>
                <w:color w:val="000000"/>
              </w:rPr>
              <w:t xml:space="preserve">   497.6</w:t>
            </w:r>
          </w:p>
        </w:tc>
        <w:tc>
          <w:tcPr>
            <w:tcW w:w="0" w:type="dxa"/>
            <w:noWrap/>
            <w:hideMark/>
          </w:tcPr>
          <w:p w14:paraId="71C042B1" w14:textId="6506A9BD" w:rsidR="00DD5E66" w:rsidRPr="00D539B7" w:rsidRDefault="00DD669D" w:rsidP="00D539B7">
            <w:pPr>
              <w:jc w:val="center"/>
              <w:rPr>
                <w:rFonts w:ascii="Calibri" w:hAnsi="Calibri" w:cs="Calibri"/>
                <w:noProof/>
                <w:color w:val="000000"/>
              </w:rPr>
            </w:pPr>
            <w:r>
              <w:rPr>
                <w:rFonts w:ascii="Calibri" w:hAnsi="Calibri" w:cs="Calibri"/>
                <w:noProof/>
                <w:color w:val="000000"/>
              </w:rPr>
              <w:t>1 370.8</w:t>
            </w:r>
          </w:p>
        </w:tc>
        <w:tc>
          <w:tcPr>
            <w:tcW w:w="0" w:type="dxa"/>
            <w:noWrap/>
            <w:hideMark/>
          </w:tcPr>
          <w:p w14:paraId="77CB6E25" w14:textId="4BAAB64A" w:rsidR="00DD5E66" w:rsidRPr="00D30DE8" w:rsidRDefault="00DD5E66" w:rsidP="00DD5E66">
            <w:pPr>
              <w:jc w:val="center"/>
              <w:rPr>
                <w:noProof/>
              </w:rPr>
            </w:pPr>
            <w:r>
              <w:rPr>
                <w:rFonts w:ascii="Calibri" w:hAnsi="Calibri" w:cs="Calibri"/>
                <w:noProof/>
                <w:color w:val="000000"/>
              </w:rPr>
              <w:t>1 417.8</w:t>
            </w:r>
          </w:p>
        </w:tc>
        <w:tc>
          <w:tcPr>
            <w:tcW w:w="0" w:type="dxa"/>
            <w:noWrap/>
            <w:hideMark/>
          </w:tcPr>
          <w:p w14:paraId="524D665E" w14:textId="6F200DAC" w:rsidR="00DD5E66" w:rsidRPr="00D30DE8" w:rsidRDefault="00DD5E66" w:rsidP="00DD5E66">
            <w:pPr>
              <w:jc w:val="center"/>
              <w:rPr>
                <w:noProof/>
              </w:rPr>
            </w:pPr>
            <w:r>
              <w:rPr>
                <w:rFonts w:ascii="Calibri" w:hAnsi="Calibri" w:cs="Calibri"/>
                <w:noProof/>
                <w:color w:val="000000"/>
              </w:rPr>
              <w:t>1 500.4</w:t>
            </w:r>
          </w:p>
        </w:tc>
        <w:tc>
          <w:tcPr>
            <w:tcW w:w="0" w:type="dxa"/>
            <w:noWrap/>
            <w:hideMark/>
          </w:tcPr>
          <w:p w14:paraId="7E5D17C2" w14:textId="5FDBFA5F" w:rsidR="00DD5E66" w:rsidRPr="00D30DE8" w:rsidRDefault="00DD5E66" w:rsidP="00DD5E66">
            <w:pPr>
              <w:jc w:val="center"/>
              <w:rPr>
                <w:noProof/>
              </w:rPr>
            </w:pPr>
            <w:r>
              <w:rPr>
                <w:rFonts w:ascii="Calibri" w:hAnsi="Calibri" w:cs="Calibri"/>
                <w:noProof/>
                <w:color w:val="000000"/>
              </w:rPr>
              <w:t>1 78</w:t>
            </w:r>
            <w:r w:rsidR="00D6086C">
              <w:rPr>
                <w:rFonts w:ascii="Calibri" w:hAnsi="Calibri" w:cs="Calibri"/>
                <w:noProof/>
                <w:color w:val="000000"/>
              </w:rPr>
              <w:t>2</w:t>
            </w:r>
            <w:r>
              <w:rPr>
                <w:rFonts w:ascii="Calibri" w:hAnsi="Calibri" w:cs="Calibri"/>
                <w:noProof/>
                <w:color w:val="000000"/>
              </w:rPr>
              <w:t>.</w:t>
            </w:r>
            <w:r w:rsidR="00D6086C">
              <w:rPr>
                <w:rFonts w:ascii="Calibri" w:hAnsi="Calibri" w:cs="Calibri"/>
                <w:noProof/>
                <w:color w:val="000000"/>
              </w:rPr>
              <w:t>4</w:t>
            </w:r>
          </w:p>
        </w:tc>
        <w:tc>
          <w:tcPr>
            <w:tcW w:w="0" w:type="dxa"/>
            <w:noWrap/>
            <w:hideMark/>
          </w:tcPr>
          <w:p w14:paraId="54657818" w14:textId="2A987534" w:rsidR="00DD5E66" w:rsidRPr="00D30DE8" w:rsidRDefault="00DD5E66" w:rsidP="00DD5E66">
            <w:pPr>
              <w:jc w:val="center"/>
              <w:rPr>
                <w:noProof/>
              </w:rPr>
            </w:pPr>
            <w:r>
              <w:rPr>
                <w:rFonts w:ascii="Calibri" w:hAnsi="Calibri" w:cs="Calibri"/>
                <w:noProof/>
                <w:color w:val="000000"/>
              </w:rPr>
              <w:t>1 70</w:t>
            </w:r>
            <w:r w:rsidR="00D6086C">
              <w:rPr>
                <w:rFonts w:ascii="Calibri" w:hAnsi="Calibri" w:cs="Calibri"/>
                <w:noProof/>
                <w:color w:val="000000"/>
              </w:rPr>
              <w:t>2</w:t>
            </w:r>
            <w:r>
              <w:rPr>
                <w:rFonts w:ascii="Calibri" w:hAnsi="Calibri" w:cs="Calibri"/>
                <w:noProof/>
                <w:color w:val="000000"/>
              </w:rPr>
              <w:t>.</w:t>
            </w:r>
            <w:r w:rsidR="00D6086C">
              <w:rPr>
                <w:rFonts w:ascii="Calibri" w:hAnsi="Calibri" w:cs="Calibri"/>
                <w:noProof/>
                <w:color w:val="000000"/>
              </w:rPr>
              <w:t>5</w:t>
            </w:r>
          </w:p>
        </w:tc>
        <w:tc>
          <w:tcPr>
            <w:tcW w:w="0" w:type="dxa"/>
            <w:noWrap/>
            <w:hideMark/>
          </w:tcPr>
          <w:p w14:paraId="53BD0C0E" w14:textId="2D9CAA60" w:rsidR="00DD5E66" w:rsidRPr="00D30DE8" w:rsidRDefault="00DD5E66" w:rsidP="00DD5E66">
            <w:pPr>
              <w:jc w:val="center"/>
              <w:rPr>
                <w:noProof/>
              </w:rPr>
            </w:pPr>
            <w:r>
              <w:rPr>
                <w:rFonts w:ascii="Calibri" w:hAnsi="Calibri" w:cs="Calibri"/>
                <w:noProof/>
                <w:color w:val="000000"/>
              </w:rPr>
              <w:t>1 797.2</w:t>
            </w:r>
          </w:p>
        </w:tc>
        <w:tc>
          <w:tcPr>
            <w:tcW w:w="0" w:type="dxa"/>
            <w:noWrap/>
            <w:hideMark/>
          </w:tcPr>
          <w:p w14:paraId="09B4AC72" w14:textId="4D34E72F" w:rsidR="00000CE6" w:rsidRDefault="00000CE6" w:rsidP="00000CE6">
            <w:pPr>
              <w:spacing w:after="0"/>
              <w:jc w:val="center"/>
              <w:rPr>
                <w:rFonts w:ascii="Calibri" w:hAnsi="Calibri" w:cs="Calibri"/>
                <w:noProof/>
                <w:color w:val="000000"/>
              </w:rPr>
            </w:pPr>
            <w:r>
              <w:rPr>
                <w:rFonts w:ascii="Calibri" w:hAnsi="Calibri" w:cs="Calibri"/>
                <w:noProof/>
                <w:color w:val="000000"/>
              </w:rPr>
              <w:t>10 0</w:t>
            </w:r>
            <w:r w:rsidR="00D6086C">
              <w:rPr>
                <w:rFonts w:ascii="Calibri" w:hAnsi="Calibri" w:cs="Calibri"/>
                <w:noProof/>
                <w:color w:val="000000"/>
              </w:rPr>
              <w:t>68</w:t>
            </w:r>
            <w:r>
              <w:rPr>
                <w:rFonts w:ascii="Calibri" w:hAnsi="Calibri" w:cs="Calibri"/>
                <w:noProof/>
                <w:color w:val="000000"/>
              </w:rPr>
              <w:t>.</w:t>
            </w:r>
            <w:r w:rsidR="00D6086C">
              <w:rPr>
                <w:rFonts w:ascii="Calibri" w:hAnsi="Calibri" w:cs="Calibri"/>
                <w:noProof/>
                <w:color w:val="000000"/>
              </w:rPr>
              <w:t>7</w:t>
            </w:r>
          </w:p>
          <w:p w14:paraId="16845F0A" w14:textId="6E40FB91" w:rsidR="00DD5E66" w:rsidRPr="00D30DE8" w:rsidRDefault="00DD5E66" w:rsidP="00DD5E66">
            <w:pPr>
              <w:jc w:val="center"/>
              <w:rPr>
                <w:noProof/>
              </w:rPr>
            </w:pPr>
          </w:p>
        </w:tc>
      </w:tr>
      <w:tr w:rsidR="004E54EB" w:rsidRPr="00D30DE8" w14:paraId="76F2E198"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52F16C73" w14:textId="77777777" w:rsidR="004E54EB" w:rsidRPr="00D30DE8" w:rsidRDefault="004E54EB" w:rsidP="0083214A">
            <w:pPr>
              <w:rPr>
                <w:noProof/>
              </w:rPr>
            </w:pPr>
            <w:r w:rsidRPr="00D30DE8">
              <w:rPr>
                <w:noProof/>
              </w:rPr>
              <w:t>NextGenerationEU</w:t>
            </w:r>
          </w:p>
        </w:tc>
        <w:tc>
          <w:tcPr>
            <w:tcW w:w="943" w:type="dxa"/>
            <w:noWrap/>
            <w:hideMark/>
          </w:tcPr>
          <w:p w14:paraId="12DA49D4" w14:textId="77777777" w:rsidR="004E54EB" w:rsidRPr="00D30DE8" w:rsidRDefault="004E54EB" w:rsidP="0083214A">
            <w:pPr>
              <w:jc w:val="center"/>
              <w:rPr>
                <w:noProof/>
              </w:rPr>
            </w:pPr>
          </w:p>
        </w:tc>
        <w:tc>
          <w:tcPr>
            <w:tcW w:w="944" w:type="dxa"/>
            <w:noWrap/>
            <w:hideMark/>
          </w:tcPr>
          <w:p w14:paraId="5B4EF985" w14:textId="77777777" w:rsidR="004E54EB" w:rsidRPr="00D30DE8" w:rsidRDefault="004E54EB" w:rsidP="0083214A">
            <w:pPr>
              <w:jc w:val="center"/>
              <w:rPr>
                <w:noProof/>
              </w:rPr>
            </w:pPr>
          </w:p>
        </w:tc>
        <w:tc>
          <w:tcPr>
            <w:tcW w:w="943" w:type="dxa"/>
            <w:noWrap/>
            <w:hideMark/>
          </w:tcPr>
          <w:p w14:paraId="7FC7434C" w14:textId="77777777" w:rsidR="004E54EB" w:rsidRPr="00D30DE8" w:rsidRDefault="004E54EB" w:rsidP="0083214A">
            <w:pPr>
              <w:jc w:val="center"/>
              <w:rPr>
                <w:noProof/>
              </w:rPr>
            </w:pPr>
          </w:p>
        </w:tc>
        <w:tc>
          <w:tcPr>
            <w:tcW w:w="944" w:type="dxa"/>
            <w:noWrap/>
            <w:hideMark/>
          </w:tcPr>
          <w:p w14:paraId="1A6DAE9A" w14:textId="77777777" w:rsidR="004E54EB" w:rsidRPr="00D30DE8" w:rsidRDefault="004E54EB" w:rsidP="0083214A">
            <w:pPr>
              <w:jc w:val="center"/>
              <w:rPr>
                <w:noProof/>
              </w:rPr>
            </w:pPr>
          </w:p>
        </w:tc>
        <w:tc>
          <w:tcPr>
            <w:tcW w:w="944" w:type="dxa"/>
            <w:noWrap/>
            <w:hideMark/>
          </w:tcPr>
          <w:p w14:paraId="7CD00450" w14:textId="77777777" w:rsidR="004E54EB" w:rsidRPr="00D30DE8" w:rsidRDefault="004E54EB" w:rsidP="0083214A">
            <w:pPr>
              <w:jc w:val="center"/>
              <w:rPr>
                <w:noProof/>
              </w:rPr>
            </w:pPr>
          </w:p>
        </w:tc>
        <w:tc>
          <w:tcPr>
            <w:tcW w:w="943" w:type="dxa"/>
            <w:noWrap/>
            <w:hideMark/>
          </w:tcPr>
          <w:p w14:paraId="53425E02" w14:textId="77777777" w:rsidR="004E54EB" w:rsidRPr="00D30DE8" w:rsidRDefault="004E54EB" w:rsidP="0083214A">
            <w:pPr>
              <w:jc w:val="center"/>
              <w:rPr>
                <w:noProof/>
              </w:rPr>
            </w:pPr>
          </w:p>
        </w:tc>
        <w:tc>
          <w:tcPr>
            <w:tcW w:w="944" w:type="dxa"/>
            <w:noWrap/>
            <w:hideMark/>
          </w:tcPr>
          <w:p w14:paraId="341D50C3" w14:textId="77777777" w:rsidR="004E54EB" w:rsidRPr="00D30DE8" w:rsidRDefault="004E54EB" w:rsidP="0083214A">
            <w:pPr>
              <w:jc w:val="center"/>
              <w:rPr>
                <w:noProof/>
              </w:rPr>
            </w:pPr>
          </w:p>
        </w:tc>
        <w:tc>
          <w:tcPr>
            <w:tcW w:w="944" w:type="dxa"/>
            <w:noWrap/>
            <w:hideMark/>
          </w:tcPr>
          <w:p w14:paraId="63B0211B" w14:textId="77777777" w:rsidR="004E54EB" w:rsidRPr="00D30DE8" w:rsidRDefault="004E54EB" w:rsidP="0083214A">
            <w:pPr>
              <w:jc w:val="center"/>
              <w:rPr>
                <w:noProof/>
              </w:rPr>
            </w:pPr>
          </w:p>
        </w:tc>
      </w:tr>
      <w:tr w:rsidR="004E54EB" w:rsidRPr="00D30DE8" w14:paraId="27B3C89F"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5EC58DC9" w14:textId="77777777" w:rsidR="004E54EB" w:rsidRPr="00D30DE8" w:rsidRDefault="004E54EB" w:rsidP="0083214A">
            <w:pPr>
              <w:rPr>
                <w:noProof/>
              </w:rPr>
            </w:pPr>
            <w:r>
              <w:rPr>
                <w:noProof/>
              </w:rPr>
              <w:t>Decommitments made available again</w:t>
            </w:r>
            <w:r w:rsidRPr="1EFE75B2">
              <w:rPr>
                <w:rFonts w:ascii="Calibri" w:hAnsi="Calibri" w:cs="Calibri"/>
                <w:noProof/>
              </w:rPr>
              <w:t> </w:t>
            </w:r>
            <w:r>
              <w:rPr>
                <w:noProof/>
              </w:rPr>
              <w:t>(*)</w:t>
            </w:r>
          </w:p>
        </w:tc>
        <w:tc>
          <w:tcPr>
            <w:tcW w:w="943" w:type="dxa"/>
            <w:noWrap/>
            <w:hideMark/>
          </w:tcPr>
          <w:p w14:paraId="5BDD44BD" w14:textId="77777777" w:rsidR="004E54EB" w:rsidRPr="00D30DE8" w:rsidRDefault="004E54EB" w:rsidP="0083214A">
            <w:pPr>
              <w:jc w:val="center"/>
              <w:rPr>
                <w:noProof/>
              </w:rPr>
            </w:pPr>
            <w:r>
              <w:rPr>
                <w:noProof/>
              </w:rPr>
              <w:t>N/A</w:t>
            </w:r>
          </w:p>
        </w:tc>
        <w:tc>
          <w:tcPr>
            <w:tcW w:w="944" w:type="dxa"/>
            <w:noWrap/>
            <w:hideMark/>
          </w:tcPr>
          <w:p w14:paraId="52A2F601" w14:textId="77777777" w:rsidR="004E54EB" w:rsidRPr="00D30DE8" w:rsidRDefault="004E54EB" w:rsidP="0083214A">
            <w:pPr>
              <w:jc w:val="center"/>
              <w:rPr>
                <w:noProof/>
              </w:rPr>
            </w:pPr>
          </w:p>
        </w:tc>
        <w:tc>
          <w:tcPr>
            <w:tcW w:w="943" w:type="dxa"/>
            <w:noWrap/>
            <w:hideMark/>
          </w:tcPr>
          <w:p w14:paraId="50C45B0E" w14:textId="77777777" w:rsidR="004E54EB" w:rsidRPr="00D30DE8" w:rsidRDefault="004E54EB" w:rsidP="0083214A">
            <w:pPr>
              <w:jc w:val="center"/>
              <w:rPr>
                <w:noProof/>
              </w:rPr>
            </w:pPr>
          </w:p>
        </w:tc>
        <w:tc>
          <w:tcPr>
            <w:tcW w:w="944" w:type="dxa"/>
            <w:noWrap/>
            <w:hideMark/>
          </w:tcPr>
          <w:p w14:paraId="17E607FF" w14:textId="77777777" w:rsidR="004E54EB" w:rsidRPr="00D30DE8" w:rsidRDefault="004E54EB" w:rsidP="0083214A">
            <w:pPr>
              <w:jc w:val="center"/>
              <w:rPr>
                <w:noProof/>
              </w:rPr>
            </w:pPr>
          </w:p>
        </w:tc>
        <w:tc>
          <w:tcPr>
            <w:tcW w:w="944" w:type="dxa"/>
            <w:noWrap/>
            <w:hideMark/>
          </w:tcPr>
          <w:p w14:paraId="6ECD884B" w14:textId="77777777" w:rsidR="004E54EB" w:rsidRPr="00D30DE8" w:rsidRDefault="004E54EB" w:rsidP="0083214A">
            <w:pPr>
              <w:jc w:val="center"/>
              <w:rPr>
                <w:noProof/>
              </w:rPr>
            </w:pPr>
          </w:p>
        </w:tc>
        <w:tc>
          <w:tcPr>
            <w:tcW w:w="943" w:type="dxa"/>
            <w:noWrap/>
            <w:hideMark/>
          </w:tcPr>
          <w:p w14:paraId="5DF28A19" w14:textId="77777777" w:rsidR="004E54EB" w:rsidRPr="00D30DE8" w:rsidRDefault="004E54EB" w:rsidP="0083214A">
            <w:pPr>
              <w:jc w:val="center"/>
              <w:rPr>
                <w:noProof/>
              </w:rPr>
            </w:pPr>
          </w:p>
        </w:tc>
        <w:tc>
          <w:tcPr>
            <w:tcW w:w="944" w:type="dxa"/>
            <w:noWrap/>
            <w:hideMark/>
          </w:tcPr>
          <w:p w14:paraId="3CA8CDCE" w14:textId="77777777" w:rsidR="004E54EB" w:rsidRPr="00D30DE8" w:rsidRDefault="004E54EB" w:rsidP="0083214A">
            <w:pPr>
              <w:jc w:val="center"/>
              <w:rPr>
                <w:noProof/>
              </w:rPr>
            </w:pPr>
          </w:p>
        </w:tc>
        <w:tc>
          <w:tcPr>
            <w:tcW w:w="944" w:type="dxa"/>
            <w:noWrap/>
            <w:hideMark/>
          </w:tcPr>
          <w:p w14:paraId="32EC20D1" w14:textId="77777777" w:rsidR="004E54EB" w:rsidRPr="00D30DE8" w:rsidRDefault="004E54EB" w:rsidP="0083214A">
            <w:pPr>
              <w:jc w:val="center"/>
              <w:rPr>
                <w:noProof/>
              </w:rPr>
            </w:pPr>
            <w:r>
              <w:rPr>
                <w:noProof/>
              </w:rPr>
              <w:t>N/A</w:t>
            </w:r>
          </w:p>
        </w:tc>
      </w:tr>
      <w:tr w:rsidR="004E54EB" w:rsidRPr="00D30DE8" w14:paraId="4E1A5876"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3724354F" w14:textId="77777777" w:rsidR="004E54EB" w:rsidRPr="00D30DE8" w:rsidRDefault="004E54EB" w:rsidP="0083214A">
            <w:pPr>
              <w:rPr>
                <w:noProof/>
              </w:rPr>
            </w:pPr>
            <w:r w:rsidRPr="00D30DE8">
              <w:rPr>
                <w:noProof/>
              </w:rPr>
              <w:t>Contributions from other countries and entities</w:t>
            </w:r>
          </w:p>
        </w:tc>
        <w:tc>
          <w:tcPr>
            <w:tcW w:w="943" w:type="dxa"/>
            <w:noWrap/>
            <w:hideMark/>
          </w:tcPr>
          <w:p w14:paraId="031DDE5C" w14:textId="77777777" w:rsidR="004E54EB" w:rsidRPr="00D30DE8" w:rsidRDefault="004E54EB" w:rsidP="0083214A">
            <w:pPr>
              <w:jc w:val="center"/>
              <w:rPr>
                <w:noProof/>
              </w:rPr>
            </w:pPr>
            <w:r>
              <w:rPr>
                <w:noProof/>
              </w:rPr>
              <w:t>0.0</w:t>
            </w:r>
          </w:p>
        </w:tc>
        <w:tc>
          <w:tcPr>
            <w:tcW w:w="944" w:type="dxa"/>
            <w:noWrap/>
            <w:hideMark/>
          </w:tcPr>
          <w:p w14:paraId="2BE82DEA" w14:textId="77777777" w:rsidR="004E54EB" w:rsidRPr="00D30DE8" w:rsidRDefault="004E54EB" w:rsidP="0083214A">
            <w:pPr>
              <w:jc w:val="center"/>
              <w:rPr>
                <w:noProof/>
              </w:rPr>
            </w:pPr>
            <w:r>
              <w:rPr>
                <w:noProof/>
              </w:rPr>
              <w:t>p.m.</w:t>
            </w:r>
          </w:p>
        </w:tc>
        <w:tc>
          <w:tcPr>
            <w:tcW w:w="943" w:type="dxa"/>
            <w:noWrap/>
            <w:hideMark/>
          </w:tcPr>
          <w:p w14:paraId="05363039" w14:textId="77777777" w:rsidR="004E54EB" w:rsidRPr="00D30DE8" w:rsidRDefault="004E54EB" w:rsidP="0083214A">
            <w:pPr>
              <w:jc w:val="center"/>
              <w:rPr>
                <w:noProof/>
              </w:rPr>
            </w:pPr>
            <w:r>
              <w:rPr>
                <w:noProof/>
              </w:rPr>
              <w:t>p.m.</w:t>
            </w:r>
          </w:p>
        </w:tc>
        <w:tc>
          <w:tcPr>
            <w:tcW w:w="944" w:type="dxa"/>
            <w:noWrap/>
            <w:hideMark/>
          </w:tcPr>
          <w:p w14:paraId="0AE4A665" w14:textId="77777777" w:rsidR="004E54EB" w:rsidRPr="00D30DE8" w:rsidRDefault="004E54EB" w:rsidP="0083214A">
            <w:pPr>
              <w:jc w:val="center"/>
              <w:rPr>
                <w:noProof/>
              </w:rPr>
            </w:pPr>
            <w:r>
              <w:rPr>
                <w:noProof/>
              </w:rPr>
              <w:t>p.m.</w:t>
            </w:r>
          </w:p>
        </w:tc>
        <w:tc>
          <w:tcPr>
            <w:tcW w:w="944" w:type="dxa"/>
            <w:noWrap/>
            <w:hideMark/>
          </w:tcPr>
          <w:p w14:paraId="00D02033" w14:textId="77777777" w:rsidR="004E54EB" w:rsidRPr="00D30DE8" w:rsidRDefault="004E54EB" w:rsidP="0083214A">
            <w:pPr>
              <w:jc w:val="center"/>
              <w:rPr>
                <w:noProof/>
              </w:rPr>
            </w:pPr>
            <w:r>
              <w:rPr>
                <w:noProof/>
              </w:rPr>
              <w:t>p.m.</w:t>
            </w:r>
          </w:p>
        </w:tc>
        <w:tc>
          <w:tcPr>
            <w:tcW w:w="943" w:type="dxa"/>
            <w:noWrap/>
            <w:hideMark/>
          </w:tcPr>
          <w:p w14:paraId="4B6FFE26" w14:textId="77777777" w:rsidR="004E54EB" w:rsidRPr="00D30DE8" w:rsidRDefault="004E54EB" w:rsidP="0083214A">
            <w:pPr>
              <w:jc w:val="center"/>
              <w:rPr>
                <w:noProof/>
              </w:rPr>
            </w:pPr>
            <w:r>
              <w:rPr>
                <w:noProof/>
              </w:rPr>
              <w:t>p.m.</w:t>
            </w:r>
          </w:p>
        </w:tc>
        <w:tc>
          <w:tcPr>
            <w:tcW w:w="944" w:type="dxa"/>
            <w:noWrap/>
            <w:hideMark/>
          </w:tcPr>
          <w:p w14:paraId="2275C56F" w14:textId="77777777" w:rsidR="004E54EB" w:rsidRPr="00D30DE8" w:rsidRDefault="004E54EB" w:rsidP="0083214A">
            <w:pPr>
              <w:jc w:val="center"/>
              <w:rPr>
                <w:noProof/>
              </w:rPr>
            </w:pPr>
            <w:r>
              <w:rPr>
                <w:noProof/>
              </w:rPr>
              <w:t>p.m.</w:t>
            </w:r>
          </w:p>
        </w:tc>
        <w:tc>
          <w:tcPr>
            <w:tcW w:w="944" w:type="dxa"/>
            <w:noWrap/>
            <w:hideMark/>
          </w:tcPr>
          <w:p w14:paraId="1B23F929" w14:textId="77777777" w:rsidR="004E54EB" w:rsidRPr="00D30DE8" w:rsidRDefault="004E54EB" w:rsidP="0083214A">
            <w:pPr>
              <w:jc w:val="center"/>
              <w:rPr>
                <w:noProof/>
              </w:rPr>
            </w:pPr>
            <w:r>
              <w:rPr>
                <w:noProof/>
              </w:rPr>
              <w:t>0.0</w:t>
            </w:r>
          </w:p>
        </w:tc>
      </w:tr>
    </w:tbl>
    <w:p w14:paraId="63C0740B" w14:textId="77777777" w:rsidR="004E54EB" w:rsidRPr="00D30DE8" w:rsidRDefault="004E54EB" w:rsidP="004E54EB">
      <w:pPr>
        <w:tabs>
          <w:tab w:val="left" w:pos="6793"/>
        </w:tabs>
        <w:rPr>
          <w:noProof/>
          <w:sz w:val="18"/>
          <w:szCs w:val="18"/>
        </w:rPr>
      </w:pPr>
      <w:r w:rsidRPr="06D34A38">
        <w:rPr>
          <w:noProof/>
          <w:sz w:val="18"/>
          <w:szCs w:val="18"/>
        </w:rPr>
        <w:t>(*) Only Article</w:t>
      </w:r>
      <w:r w:rsidRPr="06D34A38">
        <w:rPr>
          <w:rFonts w:ascii="Calibri" w:hAnsi="Calibri" w:cs="Calibri"/>
          <w:noProof/>
          <w:sz w:val="18"/>
          <w:szCs w:val="18"/>
        </w:rPr>
        <w:t> </w:t>
      </w:r>
      <w:r w:rsidRPr="06D34A38">
        <w:rPr>
          <w:noProof/>
          <w:sz w:val="18"/>
          <w:szCs w:val="18"/>
        </w:rPr>
        <w:t>15(3) of the financial regulation.</w:t>
      </w:r>
    </w:p>
    <w:p w14:paraId="6930A748" w14:textId="68E54626" w:rsidR="004E54EB" w:rsidRPr="00D30DE8" w:rsidRDefault="004E54EB" w:rsidP="00304A2B">
      <w:pPr>
        <w:pStyle w:val="ppoTableTabletitle"/>
        <w:jc w:val="center"/>
        <w:rPr>
          <w:noProof/>
        </w:rPr>
      </w:pPr>
      <w:r w:rsidRPr="00304A2B">
        <w:rPr>
          <w:noProof/>
        </w:rPr>
        <w:t>Financial programming</w:t>
      </w:r>
      <w:r w:rsidR="004C4764">
        <w:rPr>
          <w:noProof/>
        </w:rPr>
        <w:t xml:space="preserve">: </w:t>
      </w:r>
      <w:r w:rsidRPr="1EFE75B2">
        <w:rPr>
          <w:rStyle w:val="ppocharPurpletext24pt"/>
          <w:noProof/>
        </w:rPr>
        <w:t>+</w:t>
      </w:r>
      <w:r w:rsidRPr="1EFE75B2">
        <w:rPr>
          <w:rStyle w:val="ppocharPurpletext24pt"/>
          <w:rFonts w:ascii="Calibri" w:hAnsi="Calibri" w:cs="Calibri"/>
          <w:noProof/>
        </w:rPr>
        <w:t> </w:t>
      </w:r>
      <w:r w:rsidRPr="1EFE75B2">
        <w:rPr>
          <w:rStyle w:val="ppocharPurpletext24pt"/>
          <w:noProof/>
        </w:rPr>
        <w:t>EUR</w:t>
      </w:r>
      <w:r w:rsidRPr="1EFE75B2">
        <w:rPr>
          <w:rStyle w:val="ppocharPurpletext24pt"/>
          <w:rFonts w:ascii="Calibri" w:hAnsi="Calibri" w:cs="Calibri"/>
          <w:noProof/>
        </w:rPr>
        <w:t> </w:t>
      </w:r>
      <w:r w:rsidR="00000CE6" w:rsidRPr="00000CE6">
        <w:rPr>
          <w:rStyle w:val="ppocharPurpletext24pt"/>
          <w:noProof/>
        </w:rPr>
        <w:t>191.8</w:t>
      </w:r>
      <w:r w:rsidRPr="1EFE75B2">
        <w:rPr>
          <w:rStyle w:val="ppocharPurpletext24pt"/>
          <w:rFonts w:ascii="Calibri" w:hAnsi="Calibri" w:cs="Calibri"/>
          <w:noProof/>
        </w:rPr>
        <w:t> </w:t>
      </w:r>
      <w:r w:rsidRPr="1EFE75B2">
        <w:rPr>
          <w:rStyle w:val="ppocharPurpletext24pt"/>
          <w:noProof/>
        </w:rPr>
        <w:t>million (+</w:t>
      </w:r>
      <w:r w:rsidRPr="1EFE75B2">
        <w:rPr>
          <w:rStyle w:val="ppocharPurpletext24pt"/>
          <w:rFonts w:ascii="Calibri" w:hAnsi="Calibri" w:cs="Calibri"/>
          <w:noProof/>
        </w:rPr>
        <w:t> </w:t>
      </w:r>
      <w:r w:rsidR="00000CE6">
        <w:rPr>
          <w:rStyle w:val="ppocharPurpletext24pt"/>
          <w:rFonts w:ascii="Calibri" w:hAnsi="Calibri" w:cs="Calibri"/>
          <w:noProof/>
        </w:rPr>
        <w:t>2</w:t>
      </w:r>
      <w:r w:rsidRPr="1EFE75B2">
        <w:rPr>
          <w:rStyle w:val="ppocharPurpletext24pt"/>
          <w:noProof/>
        </w:rPr>
        <w:t xml:space="preserve">%) </w:t>
      </w:r>
      <w:r>
        <w:rPr>
          <w:noProof/>
        </w:rPr>
        <w:t>compared to the legal basis.</w:t>
      </w:r>
    </w:p>
    <w:p w14:paraId="0A8E5478" w14:textId="77777777" w:rsidR="004E54EB" w:rsidRPr="00D30DE8" w:rsidRDefault="004E54EB" w:rsidP="004E54EB">
      <w:pPr>
        <w:pStyle w:val="ppoTableTabletitle"/>
        <w:rPr>
          <w:b/>
          <w:noProof/>
        </w:rPr>
      </w:pPr>
      <w:r w:rsidRPr="00D30DE8">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4E54EB" w:rsidRPr="00D30DE8" w14:paraId="3A996F40" w14:textId="77777777" w:rsidTr="0083214A">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114B34DF" w14:textId="77777777" w:rsidR="004E54EB" w:rsidRPr="00D30DE8" w:rsidRDefault="004E54EB" w:rsidP="0083214A">
            <w:pPr>
              <w:rPr>
                <w:noProof/>
              </w:rPr>
            </w:pPr>
          </w:p>
        </w:tc>
        <w:tc>
          <w:tcPr>
            <w:tcW w:w="2410" w:type="dxa"/>
          </w:tcPr>
          <w:p w14:paraId="0D38081C" w14:textId="77777777" w:rsidR="004E54EB" w:rsidRPr="00D30DE8" w:rsidRDefault="004E54EB" w:rsidP="0083214A">
            <w:pPr>
              <w:cnfStyle w:val="100000000000" w:firstRow="1" w:lastRow="0" w:firstColumn="0" w:lastColumn="0" w:oddVBand="0" w:evenVBand="0" w:oddHBand="0" w:evenHBand="0" w:firstRowFirstColumn="0" w:firstRowLastColumn="0" w:lastRowFirstColumn="0" w:lastRowLastColumn="0"/>
              <w:rPr>
                <w:noProof/>
              </w:rPr>
            </w:pPr>
            <w:r w:rsidRPr="00D30DE8">
              <w:rPr>
                <w:noProof/>
              </w:rPr>
              <w:t>Implementation</w:t>
            </w:r>
          </w:p>
        </w:tc>
        <w:tc>
          <w:tcPr>
            <w:tcW w:w="2410" w:type="dxa"/>
          </w:tcPr>
          <w:p w14:paraId="399BDD62" w14:textId="1F385537" w:rsidR="004E54EB" w:rsidRPr="00D30DE8" w:rsidRDefault="003821C6" w:rsidP="0083214A">
            <w:pPr>
              <w:cnfStyle w:val="100000000000" w:firstRow="1" w:lastRow="0" w:firstColumn="0" w:lastColumn="0" w:oddVBand="0" w:evenVBand="0" w:oddHBand="0" w:evenHBand="0" w:firstRowFirstColumn="0" w:firstRowLastColumn="0" w:lastRowFirstColumn="0" w:lastRowLastColumn="0"/>
              <w:rPr>
                <w:noProof/>
              </w:rPr>
            </w:pPr>
            <w:r>
              <w:rPr>
                <w:noProof/>
              </w:rPr>
              <w:t xml:space="preserve">2021-2027 </w:t>
            </w:r>
            <w:r w:rsidR="004E54EB" w:rsidRPr="00D30DE8">
              <w:rPr>
                <w:noProof/>
              </w:rPr>
              <w:t>Budget</w:t>
            </w:r>
          </w:p>
        </w:tc>
        <w:tc>
          <w:tcPr>
            <w:tcW w:w="2410" w:type="dxa"/>
          </w:tcPr>
          <w:p w14:paraId="2B88CFD2" w14:textId="77777777" w:rsidR="004E54EB" w:rsidRPr="00D30DE8" w:rsidRDefault="004E54EB" w:rsidP="0083214A">
            <w:pPr>
              <w:cnfStyle w:val="100000000000" w:firstRow="1" w:lastRow="0" w:firstColumn="0" w:lastColumn="0" w:oddVBand="0" w:evenVBand="0" w:oddHBand="0" w:evenHBand="0" w:firstRowFirstColumn="0" w:firstRowLastColumn="0" w:lastRowFirstColumn="0" w:lastRowLastColumn="0"/>
              <w:rPr>
                <w:noProof/>
              </w:rPr>
            </w:pPr>
            <w:r w:rsidRPr="00D30DE8">
              <w:rPr>
                <w:noProof/>
              </w:rPr>
              <w:t>Implementation rate</w:t>
            </w:r>
          </w:p>
        </w:tc>
      </w:tr>
      <w:tr w:rsidR="004E54EB" w:rsidRPr="00D30DE8" w14:paraId="51EDB69D"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2B4DBA6D" w14:textId="77777777" w:rsidR="004E54EB" w:rsidRPr="00D30DE8" w:rsidRDefault="004E54EB" w:rsidP="0083214A">
            <w:pPr>
              <w:jc w:val="center"/>
              <w:rPr>
                <w:noProof/>
              </w:rPr>
            </w:pPr>
            <w:r w:rsidRPr="00D30DE8">
              <w:rPr>
                <w:noProof/>
              </w:rPr>
              <w:t>Commitments</w:t>
            </w:r>
          </w:p>
        </w:tc>
        <w:tc>
          <w:tcPr>
            <w:tcW w:w="2410" w:type="dxa"/>
          </w:tcPr>
          <w:tbl>
            <w:tblPr>
              <w:tblStyle w:val="TableGrid"/>
              <w:tblW w:w="0" w:type="auto"/>
              <w:tblLook w:val="06A0" w:firstRow="1" w:lastRow="0" w:firstColumn="1" w:lastColumn="0" w:noHBand="1" w:noVBand="1"/>
            </w:tblPr>
            <w:tblGrid>
              <w:gridCol w:w="2194"/>
            </w:tblGrid>
            <w:tr w:rsidR="004E54EB" w:rsidRPr="00D30DE8" w14:paraId="6E562209" w14:textId="77777777" w:rsidTr="0083214A">
              <w:trPr>
                <w:trHeight w:val="285"/>
              </w:trPr>
              <w:tc>
                <w:tcPr>
                  <w:tcW w:w="2290" w:type="dxa"/>
                  <w:tcBorders>
                    <w:top w:val="nil"/>
                    <w:left w:val="nil"/>
                    <w:bottom w:val="nil"/>
                    <w:right w:val="nil"/>
                  </w:tcBorders>
                  <w:vAlign w:val="bottom"/>
                </w:tcPr>
                <w:p w14:paraId="5FF5A8B5" w14:textId="77777777" w:rsidR="004E54EB" w:rsidRPr="00D30DE8" w:rsidRDefault="004E54EB" w:rsidP="0083214A">
                  <w:pPr>
                    <w:jc w:val="right"/>
                    <w:rPr>
                      <w:noProof/>
                    </w:rPr>
                  </w:pPr>
                  <w:r w:rsidRPr="00D30DE8">
                    <w:rPr>
                      <w:rFonts w:ascii="Calibri" w:hAnsi="Calibri" w:cs="Calibri"/>
                      <w:noProof/>
                      <w:color w:val="000000"/>
                    </w:rPr>
                    <w:t>496.8</w:t>
                  </w:r>
                </w:p>
              </w:tc>
            </w:tr>
          </w:tbl>
          <w:p w14:paraId="79649DE4" w14:textId="77777777" w:rsidR="004E54EB" w:rsidRPr="00D30DE8" w:rsidRDefault="004E54EB"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4E54EB" w:rsidRPr="00D30DE8" w14:paraId="33788B50" w14:textId="77777777" w:rsidTr="0083214A">
              <w:trPr>
                <w:trHeight w:val="285"/>
              </w:trPr>
              <w:tc>
                <w:tcPr>
                  <w:tcW w:w="2290" w:type="dxa"/>
                  <w:tcBorders>
                    <w:top w:val="nil"/>
                    <w:left w:val="nil"/>
                    <w:bottom w:val="nil"/>
                    <w:right w:val="nil"/>
                  </w:tcBorders>
                  <w:vAlign w:val="bottom"/>
                </w:tcPr>
                <w:p w14:paraId="240A1FF4" w14:textId="1B5FA171" w:rsidR="004E54EB" w:rsidRPr="00D30DE8" w:rsidRDefault="00CF0D18">
                  <w:pPr>
                    <w:jc w:val="right"/>
                    <w:rPr>
                      <w:rFonts w:ascii="Calibri" w:hAnsi="Calibri" w:cs="Calibri"/>
                      <w:noProof/>
                    </w:rPr>
                  </w:pPr>
                  <w:r>
                    <w:rPr>
                      <w:rFonts w:ascii="Calibri" w:hAnsi="Calibri" w:cs="Calibri"/>
                      <w:noProof/>
                      <w:color w:val="000000"/>
                    </w:rPr>
                    <w:t>10 068</w:t>
                  </w:r>
                  <w:r w:rsidR="004E54EB" w:rsidRPr="6343ED1B">
                    <w:rPr>
                      <w:rFonts w:ascii="Calibri" w:hAnsi="Calibri" w:cs="Calibri"/>
                      <w:noProof/>
                      <w:color w:val="000000"/>
                    </w:rPr>
                    <w:t>.</w:t>
                  </w:r>
                  <w:r>
                    <w:rPr>
                      <w:rFonts w:ascii="Calibri" w:hAnsi="Calibri" w:cs="Calibri"/>
                      <w:noProof/>
                      <w:color w:val="000000"/>
                    </w:rPr>
                    <w:t>7</w:t>
                  </w:r>
                </w:p>
              </w:tc>
            </w:tr>
          </w:tbl>
          <w:p w14:paraId="32855454" w14:textId="77777777" w:rsidR="004E54EB" w:rsidRPr="00D30DE8" w:rsidRDefault="004E54EB"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4E54EB" w:rsidRPr="00D30DE8" w14:paraId="7F82DA8A" w14:textId="77777777" w:rsidTr="0083214A">
              <w:trPr>
                <w:trHeight w:val="285"/>
              </w:trPr>
              <w:tc>
                <w:tcPr>
                  <w:tcW w:w="2290" w:type="dxa"/>
                  <w:tcBorders>
                    <w:top w:val="nil"/>
                    <w:left w:val="nil"/>
                    <w:bottom w:val="nil"/>
                    <w:right w:val="nil"/>
                  </w:tcBorders>
                  <w:vAlign w:val="bottom"/>
                </w:tcPr>
                <w:p w14:paraId="4000F34E" w14:textId="77777777" w:rsidR="004E54EB" w:rsidRPr="00D30DE8" w:rsidRDefault="004E54EB" w:rsidP="0083214A">
                  <w:pPr>
                    <w:jc w:val="right"/>
                    <w:rPr>
                      <w:noProof/>
                    </w:rPr>
                  </w:pPr>
                  <w:r w:rsidRPr="00D30DE8">
                    <w:rPr>
                      <w:rFonts w:ascii="Calibri" w:hAnsi="Calibri" w:cs="Calibri"/>
                      <w:noProof/>
                      <w:color w:val="000000"/>
                    </w:rPr>
                    <w:t>5%</w:t>
                  </w:r>
                </w:p>
              </w:tc>
            </w:tr>
          </w:tbl>
          <w:p w14:paraId="5A06CCDA" w14:textId="77777777" w:rsidR="004E54EB" w:rsidRPr="00D30DE8" w:rsidRDefault="004E54EB" w:rsidP="0083214A">
            <w:pPr>
              <w:jc w:val="center"/>
              <w:cnfStyle w:val="000000000000" w:firstRow="0" w:lastRow="0" w:firstColumn="0" w:lastColumn="0" w:oddVBand="0" w:evenVBand="0" w:oddHBand="0" w:evenHBand="0" w:firstRowFirstColumn="0" w:firstRowLastColumn="0" w:lastRowFirstColumn="0" w:lastRowLastColumn="0"/>
              <w:rPr>
                <w:noProof/>
              </w:rPr>
            </w:pPr>
          </w:p>
        </w:tc>
      </w:tr>
      <w:tr w:rsidR="004E54EB" w:rsidRPr="00D30DE8" w14:paraId="57CD2E5B"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278382B3" w14:textId="77777777" w:rsidR="004E54EB" w:rsidRPr="00D30DE8" w:rsidRDefault="004E54EB" w:rsidP="0083214A">
            <w:pPr>
              <w:jc w:val="center"/>
              <w:rPr>
                <w:noProof/>
              </w:rPr>
            </w:pPr>
            <w:r w:rsidRPr="00D30DE8">
              <w:rPr>
                <w:noProof/>
              </w:rPr>
              <w:t>Payments</w:t>
            </w:r>
          </w:p>
        </w:tc>
        <w:tc>
          <w:tcPr>
            <w:tcW w:w="2410" w:type="dxa"/>
          </w:tcPr>
          <w:tbl>
            <w:tblPr>
              <w:tblStyle w:val="TableGrid"/>
              <w:tblW w:w="0" w:type="auto"/>
              <w:tblLook w:val="06A0" w:firstRow="1" w:lastRow="0" w:firstColumn="1" w:lastColumn="0" w:noHBand="1" w:noVBand="1"/>
            </w:tblPr>
            <w:tblGrid>
              <w:gridCol w:w="2194"/>
            </w:tblGrid>
            <w:tr w:rsidR="004E54EB" w:rsidRPr="00D30DE8" w14:paraId="71E5A32C" w14:textId="77777777" w:rsidTr="0083214A">
              <w:trPr>
                <w:trHeight w:val="285"/>
              </w:trPr>
              <w:tc>
                <w:tcPr>
                  <w:tcW w:w="2290" w:type="dxa"/>
                  <w:tcBorders>
                    <w:top w:val="nil"/>
                    <w:left w:val="nil"/>
                    <w:bottom w:val="nil"/>
                    <w:right w:val="nil"/>
                  </w:tcBorders>
                  <w:vAlign w:val="bottom"/>
                </w:tcPr>
                <w:p w14:paraId="7B39C273" w14:textId="77777777" w:rsidR="004E54EB" w:rsidRPr="00D30DE8" w:rsidRDefault="004E54EB" w:rsidP="0083214A">
                  <w:pPr>
                    <w:jc w:val="right"/>
                    <w:rPr>
                      <w:noProof/>
                    </w:rPr>
                  </w:pPr>
                  <w:r w:rsidRPr="00D30DE8">
                    <w:rPr>
                      <w:rFonts w:ascii="Calibri" w:hAnsi="Calibri" w:cs="Calibri"/>
                      <w:noProof/>
                      <w:color w:val="000000"/>
                    </w:rPr>
                    <w:t>44.9</w:t>
                  </w:r>
                </w:p>
              </w:tc>
            </w:tr>
          </w:tbl>
          <w:p w14:paraId="11B1B052" w14:textId="77777777" w:rsidR="004E54EB" w:rsidRPr="00D30DE8" w:rsidRDefault="004E54EB"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68C5EB77" w14:textId="77777777" w:rsidR="004E54EB" w:rsidRPr="00D30DE8" w:rsidRDefault="004E54EB"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4E54EB" w:rsidRPr="00D30DE8" w14:paraId="3C891DE4" w14:textId="77777777" w:rsidTr="0083214A">
              <w:trPr>
                <w:trHeight w:val="285"/>
              </w:trPr>
              <w:tc>
                <w:tcPr>
                  <w:tcW w:w="2235" w:type="dxa"/>
                  <w:tcBorders>
                    <w:top w:val="nil"/>
                    <w:left w:val="nil"/>
                    <w:bottom w:val="nil"/>
                    <w:right w:val="nil"/>
                  </w:tcBorders>
                  <w:vAlign w:val="bottom"/>
                </w:tcPr>
                <w:p w14:paraId="0BE71E7B" w14:textId="77777777" w:rsidR="004E54EB" w:rsidRPr="00D30DE8" w:rsidRDefault="004E54EB" w:rsidP="0083214A">
                  <w:pPr>
                    <w:jc w:val="right"/>
                    <w:rPr>
                      <w:noProof/>
                    </w:rPr>
                  </w:pPr>
                  <w:r w:rsidRPr="00D30DE8">
                    <w:rPr>
                      <w:rFonts w:ascii="Calibri" w:hAnsi="Calibri" w:cs="Calibri"/>
                      <w:noProof/>
                      <w:color w:val="000000"/>
                    </w:rPr>
                    <w:t>0%</w:t>
                  </w:r>
                </w:p>
              </w:tc>
            </w:tr>
          </w:tbl>
          <w:p w14:paraId="734C790F" w14:textId="77777777" w:rsidR="004E54EB" w:rsidRPr="00D30DE8" w:rsidRDefault="004E54EB" w:rsidP="0083214A">
            <w:pPr>
              <w:jc w:val="center"/>
              <w:cnfStyle w:val="000000000000" w:firstRow="0" w:lastRow="0" w:firstColumn="0" w:lastColumn="0" w:oddVBand="0" w:evenVBand="0" w:oddHBand="0" w:evenHBand="0" w:firstRowFirstColumn="0" w:firstRowLastColumn="0" w:lastRowFirstColumn="0" w:lastRowLastColumn="0"/>
              <w:rPr>
                <w:noProof/>
              </w:rPr>
            </w:pPr>
          </w:p>
        </w:tc>
      </w:tr>
    </w:tbl>
    <w:p w14:paraId="75784746" w14:textId="77777777" w:rsidR="004E54EB" w:rsidRPr="00D30DE8" w:rsidRDefault="004E54EB" w:rsidP="004E54EB">
      <w:pPr>
        <w:pStyle w:val="ppoTableTabletitle"/>
        <w:rPr>
          <w:b/>
          <w:noProof/>
        </w:rPr>
      </w:pPr>
      <w:r w:rsidRPr="00D30DE8">
        <w:rPr>
          <w:noProof/>
        </w:rPr>
        <w:t>Voted budget implementation in 2021 (million EUR):</w:t>
      </w:r>
    </w:p>
    <w:tbl>
      <w:tblPr>
        <w:tblStyle w:val="PPO2021"/>
        <w:tblW w:w="3683" w:type="pct"/>
        <w:tblInd w:w="79" w:type="dxa"/>
        <w:tblLook w:val="04A0" w:firstRow="1" w:lastRow="0" w:firstColumn="1" w:lastColumn="0" w:noHBand="0" w:noVBand="1"/>
      </w:tblPr>
      <w:tblGrid>
        <w:gridCol w:w="2419"/>
        <w:gridCol w:w="2419"/>
        <w:gridCol w:w="2420"/>
      </w:tblGrid>
      <w:tr w:rsidR="004E54EB" w:rsidRPr="00D30DE8" w14:paraId="2B220EC5" w14:textId="77777777" w:rsidTr="008321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2253500D" w14:textId="77777777" w:rsidR="004E54EB" w:rsidRPr="00D30DE8" w:rsidRDefault="004E54EB" w:rsidP="0083214A">
            <w:pPr>
              <w:rPr>
                <w:noProof/>
              </w:rPr>
            </w:pPr>
          </w:p>
        </w:tc>
        <w:tc>
          <w:tcPr>
            <w:tcW w:w="2419" w:type="dxa"/>
          </w:tcPr>
          <w:p w14:paraId="7132D3DE" w14:textId="77777777" w:rsidR="004E54EB" w:rsidRPr="00D30DE8" w:rsidRDefault="004E54EB" w:rsidP="0083214A">
            <w:pPr>
              <w:cnfStyle w:val="100000000000" w:firstRow="1" w:lastRow="0" w:firstColumn="0" w:lastColumn="0" w:oddVBand="0" w:evenVBand="0" w:oddHBand="0" w:evenHBand="0" w:firstRowFirstColumn="0" w:firstRowLastColumn="0" w:lastRowFirstColumn="0" w:lastRowLastColumn="0"/>
              <w:rPr>
                <w:noProof/>
              </w:rPr>
            </w:pPr>
            <w:r w:rsidRPr="00D30DE8">
              <w:rPr>
                <w:noProof/>
              </w:rPr>
              <w:t>Voted budget implementation</w:t>
            </w:r>
          </w:p>
        </w:tc>
        <w:tc>
          <w:tcPr>
            <w:tcW w:w="2420" w:type="dxa"/>
          </w:tcPr>
          <w:p w14:paraId="45F6E0FC" w14:textId="77777777" w:rsidR="004E54EB" w:rsidRPr="00D30DE8" w:rsidRDefault="004E54EB" w:rsidP="0083214A">
            <w:pPr>
              <w:cnfStyle w:val="100000000000" w:firstRow="1" w:lastRow="0" w:firstColumn="0" w:lastColumn="0" w:oddVBand="0" w:evenVBand="0" w:oddHBand="0" w:evenHBand="0" w:firstRowFirstColumn="0" w:firstRowLastColumn="0" w:lastRowFirstColumn="0" w:lastRowLastColumn="0"/>
              <w:rPr>
                <w:noProof/>
              </w:rPr>
            </w:pPr>
            <w:r w:rsidRPr="00D30DE8">
              <w:rPr>
                <w:noProof/>
              </w:rPr>
              <w:t>Initial voted budget</w:t>
            </w:r>
          </w:p>
        </w:tc>
      </w:tr>
      <w:tr w:rsidR="004E54EB" w:rsidRPr="00D30DE8" w14:paraId="2BAA2F21" w14:textId="77777777" w:rsidTr="0083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549D72A2" w14:textId="77777777" w:rsidR="004E54EB" w:rsidRPr="00D30DE8" w:rsidRDefault="004E54EB" w:rsidP="0083214A">
            <w:pPr>
              <w:jc w:val="center"/>
              <w:rPr>
                <w:noProof/>
              </w:rPr>
            </w:pPr>
            <w:r w:rsidRPr="00D30DE8">
              <w:rPr>
                <w:noProof/>
              </w:rPr>
              <w:t>Commitments</w:t>
            </w:r>
          </w:p>
        </w:tc>
        <w:tc>
          <w:tcPr>
            <w:tcW w:w="2419" w:type="dxa"/>
          </w:tcPr>
          <w:p w14:paraId="37438D3D" w14:textId="77777777" w:rsidR="004E54EB" w:rsidRPr="00D30DE8" w:rsidRDefault="004E54EB" w:rsidP="0083214A">
            <w:pPr>
              <w:jc w:val="center"/>
              <w:cnfStyle w:val="000000100000" w:firstRow="0" w:lastRow="0" w:firstColumn="0" w:lastColumn="0" w:oddVBand="0" w:evenVBand="0" w:oddHBand="1" w:evenHBand="0" w:firstRowFirstColumn="0" w:firstRowLastColumn="0" w:lastRowFirstColumn="0" w:lastRowLastColumn="0"/>
              <w:rPr>
                <w:noProof/>
              </w:rPr>
            </w:pPr>
            <w:r w:rsidRPr="00D30DE8">
              <w:rPr>
                <w:noProof/>
              </w:rPr>
              <w:t>496.8</w:t>
            </w:r>
          </w:p>
        </w:tc>
        <w:tc>
          <w:tcPr>
            <w:tcW w:w="2420" w:type="dxa"/>
          </w:tcPr>
          <w:p w14:paraId="358E3594" w14:textId="77777777" w:rsidR="004E54EB" w:rsidRPr="00D30DE8" w:rsidRDefault="004E54EB" w:rsidP="0083214A">
            <w:pPr>
              <w:jc w:val="center"/>
              <w:cnfStyle w:val="000000100000" w:firstRow="0" w:lastRow="0" w:firstColumn="0" w:lastColumn="0" w:oddVBand="0" w:evenVBand="0" w:oddHBand="1" w:evenHBand="0" w:firstRowFirstColumn="0" w:firstRowLastColumn="0" w:lastRowFirstColumn="0" w:lastRowLastColumn="0"/>
              <w:rPr>
                <w:noProof/>
              </w:rPr>
            </w:pPr>
            <w:r w:rsidRPr="00D30DE8">
              <w:rPr>
                <w:noProof/>
              </w:rPr>
              <w:t>873.3</w:t>
            </w:r>
          </w:p>
        </w:tc>
      </w:tr>
      <w:tr w:rsidR="004E54EB" w:rsidRPr="00D30DE8" w14:paraId="64D1E8C8" w14:textId="77777777" w:rsidTr="00832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3ADEDFF4" w14:textId="77777777" w:rsidR="004E54EB" w:rsidRPr="00D30DE8" w:rsidRDefault="004E54EB" w:rsidP="0083214A">
            <w:pPr>
              <w:jc w:val="center"/>
              <w:rPr>
                <w:noProof/>
              </w:rPr>
            </w:pPr>
            <w:r w:rsidRPr="00D30DE8">
              <w:rPr>
                <w:noProof/>
              </w:rPr>
              <w:t>Payments</w:t>
            </w:r>
          </w:p>
        </w:tc>
        <w:tc>
          <w:tcPr>
            <w:tcW w:w="2419" w:type="dxa"/>
          </w:tcPr>
          <w:p w14:paraId="13425AC0" w14:textId="77777777" w:rsidR="004E54EB" w:rsidRPr="00D30DE8" w:rsidRDefault="004E54EB" w:rsidP="0083214A">
            <w:pPr>
              <w:jc w:val="center"/>
              <w:cnfStyle w:val="000000010000" w:firstRow="0" w:lastRow="0" w:firstColumn="0" w:lastColumn="0" w:oddVBand="0" w:evenVBand="0" w:oddHBand="0" w:evenHBand="1" w:firstRowFirstColumn="0" w:firstRowLastColumn="0" w:lastRowFirstColumn="0" w:lastRowLastColumn="0"/>
              <w:rPr>
                <w:noProof/>
              </w:rPr>
            </w:pPr>
            <w:r w:rsidRPr="00D30DE8">
              <w:rPr>
                <w:noProof/>
              </w:rPr>
              <w:t>44.9</w:t>
            </w:r>
          </w:p>
        </w:tc>
        <w:tc>
          <w:tcPr>
            <w:tcW w:w="2420" w:type="dxa"/>
          </w:tcPr>
          <w:p w14:paraId="73A039AF" w14:textId="77777777" w:rsidR="004E54EB" w:rsidRPr="00D30DE8" w:rsidRDefault="004E54EB" w:rsidP="0083214A">
            <w:pPr>
              <w:jc w:val="center"/>
              <w:cnfStyle w:val="000000010000" w:firstRow="0" w:lastRow="0" w:firstColumn="0" w:lastColumn="0" w:oddVBand="0" w:evenVBand="0" w:oddHBand="0" w:evenHBand="1" w:firstRowFirstColumn="0" w:firstRowLastColumn="0" w:lastRowFirstColumn="0" w:lastRowLastColumn="0"/>
              <w:rPr>
                <w:noProof/>
              </w:rPr>
            </w:pPr>
            <w:r w:rsidRPr="00D30DE8">
              <w:rPr>
                <w:noProof/>
              </w:rPr>
              <w:t>361.8</w:t>
            </w:r>
          </w:p>
        </w:tc>
      </w:tr>
    </w:tbl>
    <w:p w14:paraId="63DC2462" w14:textId="77777777" w:rsidR="004E54EB" w:rsidRPr="00D30DE8" w:rsidRDefault="004E54EB" w:rsidP="004E54EB">
      <w:pPr>
        <w:pStyle w:val="ppoListHyphened-L1"/>
        <w:numPr>
          <w:ilvl w:val="0"/>
          <w:numId w:val="0"/>
        </w:numPr>
        <w:ind w:left="357"/>
        <w:rPr>
          <w:noProof/>
        </w:rPr>
      </w:pPr>
    </w:p>
    <w:p w14:paraId="0F6CBABE" w14:textId="77777777" w:rsidR="004E54EB" w:rsidRPr="00D30DE8" w:rsidRDefault="004E54EB" w:rsidP="004E54EB">
      <w:pPr>
        <w:pStyle w:val="ppoListHyphened-L1"/>
        <w:rPr>
          <w:rFonts w:ascii="Segoe UI" w:eastAsia="Segoe UI" w:hAnsi="Segoe UI" w:cs="Segoe UI"/>
          <w:noProof/>
          <w:sz w:val="18"/>
          <w:szCs w:val="18"/>
          <w:lang w:eastAsia="en-IE"/>
        </w:rPr>
      </w:pPr>
      <w:r w:rsidRPr="06D34A38">
        <w:rPr>
          <w:noProof/>
          <w:lang w:eastAsia="en-IE"/>
        </w:rPr>
        <w:t>For the Member States’ programmes, due to the delays in the adoption of the legal basis for 2021-2027 and the time needed for the programming procedure, shared management programmes may only be formally approved starting from the second quarter in 2022. The EU actions have also become a part of the Thematic Facility covered by the multiannual work programme for 2021-2022. Most of the actions have been pencilled in for 2022, with their implementation commencing in early 2022 and continuing in 2023.</w:t>
      </w:r>
    </w:p>
    <w:p w14:paraId="5944B728" w14:textId="77777777" w:rsidR="004E54EB" w:rsidRPr="00D30DE8" w:rsidRDefault="004E54EB" w:rsidP="004E54EB">
      <w:pPr>
        <w:pStyle w:val="ppoListHyphened-L1"/>
        <w:rPr>
          <w:noProof/>
        </w:rPr>
      </w:pPr>
      <w:r>
        <w:rPr>
          <w:noProof/>
        </w:rPr>
        <w:t>The emergency assistance instrument provides financial assistance to Member States, international organisations and (exceptionally) EU agencies to address urgent and specific needs in the event of duly justified emergency situation, as defined in the fund-specific regulation, in particular in the areas of migration, border management and security. For instance, in August 2021 the Commission allocated an emergency assistance grant of EUR</w:t>
      </w:r>
      <w:r w:rsidRPr="06D34A38">
        <w:rPr>
          <w:rFonts w:ascii="Calibri" w:hAnsi="Calibri" w:cs="Calibri"/>
          <w:noProof/>
        </w:rPr>
        <w:t> </w:t>
      </w:r>
      <w:r>
        <w:rPr>
          <w:noProof/>
        </w:rPr>
        <w:t>14</w:t>
      </w:r>
      <w:r w:rsidRPr="06D34A38">
        <w:rPr>
          <w:rFonts w:ascii="Calibri" w:hAnsi="Calibri" w:cs="Calibri"/>
          <w:noProof/>
        </w:rPr>
        <w:t> </w:t>
      </w:r>
      <w:r>
        <w:rPr>
          <w:noProof/>
        </w:rPr>
        <w:t>million to Spain to cover the provision of humanitarian assistance to the migrant population reaching the autonomous city of Ceuta.</w:t>
      </w:r>
    </w:p>
    <w:p w14:paraId="3C3352D9" w14:textId="69AD5688" w:rsidR="004E54EB" w:rsidRDefault="004E54EB" w:rsidP="004E54EB">
      <w:pPr>
        <w:pStyle w:val="ppoListHyphened-L1"/>
        <w:rPr>
          <w:noProof/>
        </w:rPr>
      </w:pPr>
      <w:r>
        <w:rPr>
          <w:noProof/>
        </w:rPr>
        <w:t>The invasion of Ukraine by Russia on 24</w:t>
      </w:r>
      <w:r w:rsidRPr="06D34A38">
        <w:rPr>
          <w:rFonts w:ascii="Calibri" w:hAnsi="Calibri" w:cs="Calibri"/>
          <w:noProof/>
        </w:rPr>
        <w:t> </w:t>
      </w:r>
      <w:r>
        <w:rPr>
          <w:noProof/>
        </w:rPr>
        <w:t xml:space="preserve">February 2022 led to a large influx into several EU Member States of displaced people from Ukraine. This has placed renewed pressure on the financial resources of Member States to deal with urgent migration management needs. While the increased migratory pressure is already being felt acutely in the Member States that share a land border with Ukraine, the needs are spreading further afield throughout the whole territory of the EU, and will persist beyond 2022 into 2023. </w:t>
      </w:r>
      <w:r w:rsidRPr="06D34A38">
        <w:rPr>
          <w:noProof/>
          <w:lang w:eastAsia="en-IE"/>
        </w:rPr>
        <w:t>The Commission’s proposal to increase flexibilities in the use of 2014-2020 funds and examined available amounts in the Emergency Assistance and Thematic Facility was adopted in April 2022. The proposal also extended the implementation period by 1</w:t>
      </w:r>
      <w:r w:rsidRPr="06D34A38">
        <w:rPr>
          <w:rFonts w:ascii="Calibri" w:hAnsi="Calibri" w:cs="Calibri"/>
          <w:noProof/>
          <w:lang w:eastAsia="en-IE"/>
        </w:rPr>
        <w:t> </w:t>
      </w:r>
      <w:r w:rsidRPr="06D34A38">
        <w:rPr>
          <w:noProof/>
          <w:lang w:eastAsia="en-IE"/>
        </w:rPr>
        <w:t>year, i.e. up to 2023.</w:t>
      </w:r>
    </w:p>
    <w:p w14:paraId="39DD8D67" w14:textId="0BBF9CEF" w:rsidR="00A55483" w:rsidRDefault="00A55483" w:rsidP="006F409B">
      <w:pPr>
        <w:pStyle w:val="ppoListHyphened-L1"/>
        <w:numPr>
          <w:ilvl w:val="0"/>
          <w:numId w:val="0"/>
        </w:numPr>
        <w:rPr>
          <w:noProof/>
          <w:lang w:eastAsia="en-IE"/>
        </w:rPr>
      </w:pPr>
    </w:p>
    <w:p w14:paraId="61DCFA1D" w14:textId="09FEF13E" w:rsidR="00A55483" w:rsidRDefault="00A55483" w:rsidP="00A55483">
      <w:pPr>
        <w:pStyle w:val="ppoHeading5"/>
        <w:rPr>
          <w:noProof/>
        </w:rPr>
      </w:pPr>
      <w:r w:rsidRPr="00040D99">
        <w:rPr>
          <w:noProof/>
        </w:rPr>
        <w:t>Contribution to horizontal priorities</w:t>
      </w:r>
    </w:p>
    <w:p w14:paraId="5C2C6A00" w14:textId="77777777" w:rsidR="00A55483" w:rsidRPr="00D46525" w:rsidRDefault="00A55483" w:rsidP="00A55483">
      <w:pPr>
        <w:pStyle w:val="ppoTableTabletitle"/>
        <w:rPr>
          <w:noProof/>
          <w:lang w:val="fr-BE"/>
        </w:rPr>
      </w:pPr>
      <w:r w:rsidRPr="00D46525">
        <w:rPr>
          <w:noProof/>
          <w:lang w:val="fr-BE"/>
        </w:rPr>
        <w:t>EU budget contribution in 2021 (million EUR):</w:t>
      </w:r>
    </w:p>
    <w:tbl>
      <w:tblPr>
        <w:tblStyle w:val="PPO2021"/>
        <w:tblW w:w="9639" w:type="dxa"/>
        <w:tblInd w:w="0" w:type="dxa"/>
        <w:tblLook w:val="0420" w:firstRow="1" w:lastRow="0" w:firstColumn="0" w:lastColumn="0" w:noHBand="0" w:noVBand="1"/>
      </w:tblPr>
      <w:tblGrid>
        <w:gridCol w:w="3213"/>
        <w:gridCol w:w="3213"/>
        <w:gridCol w:w="3213"/>
      </w:tblGrid>
      <w:tr w:rsidR="004E54EB" w:rsidRPr="00D30DE8" w14:paraId="41C0B4AC" w14:textId="77777777" w:rsidTr="0083214A">
        <w:trPr>
          <w:cnfStyle w:val="100000000000" w:firstRow="1" w:lastRow="0" w:firstColumn="0" w:lastColumn="0" w:oddVBand="0" w:evenVBand="0" w:oddHBand="0" w:evenHBand="0" w:firstRowFirstColumn="0" w:firstRowLastColumn="0" w:lastRowFirstColumn="0" w:lastRowLastColumn="0"/>
          <w:tblHeader/>
        </w:trPr>
        <w:tc>
          <w:tcPr>
            <w:tcW w:w="3213" w:type="dxa"/>
          </w:tcPr>
          <w:p w14:paraId="17FE1617" w14:textId="77777777" w:rsidR="004E54EB" w:rsidRPr="00D30DE8" w:rsidRDefault="004E54EB" w:rsidP="0083214A">
            <w:pPr>
              <w:rPr>
                <w:noProof/>
              </w:rPr>
            </w:pPr>
            <w:r w:rsidRPr="00D30DE8">
              <w:rPr>
                <w:noProof/>
              </w:rPr>
              <w:t>Climate</w:t>
            </w:r>
          </w:p>
        </w:tc>
        <w:tc>
          <w:tcPr>
            <w:tcW w:w="3213" w:type="dxa"/>
          </w:tcPr>
          <w:p w14:paraId="09A2403C" w14:textId="77777777" w:rsidR="004E54EB" w:rsidRPr="00D30DE8" w:rsidRDefault="004E54EB" w:rsidP="0083214A">
            <w:pPr>
              <w:rPr>
                <w:noProof/>
              </w:rPr>
            </w:pPr>
            <w:r w:rsidRPr="00D30DE8">
              <w:rPr>
                <w:noProof/>
              </w:rPr>
              <w:t>Biodiversity</w:t>
            </w:r>
          </w:p>
        </w:tc>
        <w:tc>
          <w:tcPr>
            <w:tcW w:w="3213" w:type="dxa"/>
          </w:tcPr>
          <w:p w14:paraId="3086E30A" w14:textId="77777777" w:rsidR="004E54EB" w:rsidRPr="00D30DE8" w:rsidRDefault="004E54EB" w:rsidP="0083214A">
            <w:pPr>
              <w:rPr>
                <w:noProof/>
              </w:rPr>
            </w:pPr>
            <w:r w:rsidRPr="00D30DE8">
              <w:rPr>
                <w:noProof/>
              </w:rPr>
              <w:t>Gender equality (*)</w:t>
            </w:r>
          </w:p>
        </w:tc>
      </w:tr>
      <w:tr w:rsidR="004E54EB" w:rsidRPr="00D30DE8" w14:paraId="6B271295" w14:textId="77777777" w:rsidTr="0083214A">
        <w:trPr>
          <w:cnfStyle w:val="000000100000" w:firstRow="0" w:lastRow="0" w:firstColumn="0" w:lastColumn="0" w:oddVBand="0" w:evenVBand="0" w:oddHBand="1" w:evenHBand="0" w:firstRowFirstColumn="0" w:firstRowLastColumn="0" w:lastRowFirstColumn="0" w:lastRowLastColumn="0"/>
        </w:trPr>
        <w:tc>
          <w:tcPr>
            <w:tcW w:w="3213" w:type="dxa"/>
          </w:tcPr>
          <w:p w14:paraId="18E0139D" w14:textId="77777777" w:rsidR="004E54EB" w:rsidRPr="00D30DE8" w:rsidRDefault="004E54EB" w:rsidP="0083214A">
            <w:pPr>
              <w:jc w:val="center"/>
              <w:rPr>
                <w:noProof/>
              </w:rPr>
            </w:pPr>
            <w:r w:rsidRPr="00D30DE8">
              <w:rPr>
                <w:noProof/>
              </w:rPr>
              <w:t>0</w:t>
            </w:r>
          </w:p>
        </w:tc>
        <w:tc>
          <w:tcPr>
            <w:tcW w:w="3213" w:type="dxa"/>
          </w:tcPr>
          <w:p w14:paraId="675D1B71" w14:textId="77777777" w:rsidR="004E54EB" w:rsidRPr="00D30DE8" w:rsidRDefault="004E54EB" w:rsidP="0083214A">
            <w:pPr>
              <w:jc w:val="center"/>
              <w:rPr>
                <w:noProof/>
              </w:rPr>
            </w:pPr>
            <w:r w:rsidRPr="00D30DE8">
              <w:rPr>
                <w:noProof/>
              </w:rPr>
              <w:t>0</w:t>
            </w:r>
          </w:p>
        </w:tc>
        <w:tc>
          <w:tcPr>
            <w:tcW w:w="3213" w:type="dxa"/>
          </w:tcPr>
          <w:p w14:paraId="79F29ABC" w14:textId="3EC104A9" w:rsidR="004E54EB" w:rsidRPr="00D30DE8" w:rsidRDefault="004E54EB" w:rsidP="0083214A">
            <w:pPr>
              <w:jc w:val="center"/>
              <w:rPr>
                <w:noProof/>
              </w:rPr>
            </w:pPr>
            <w:r w:rsidRPr="00D30DE8">
              <w:rPr>
                <w:noProof/>
              </w:rPr>
              <w:t xml:space="preserve">Score 0*: </w:t>
            </w:r>
            <w:r w:rsidR="00283F23">
              <w:rPr>
                <w:noProof/>
              </w:rPr>
              <w:t>496.8</w:t>
            </w:r>
          </w:p>
        </w:tc>
      </w:tr>
    </w:tbl>
    <w:p w14:paraId="5500DABC" w14:textId="77777777" w:rsidR="004E54EB" w:rsidRPr="00D30DE8" w:rsidRDefault="004E54EB" w:rsidP="004E54EB">
      <w:pPr>
        <w:pStyle w:val="FootnoteText"/>
        <w:rPr>
          <w:noProof/>
        </w:rPr>
      </w:pPr>
      <w:r>
        <w:rPr>
          <w:noProof/>
        </w:rPr>
        <w:t>(*)</w:t>
      </w:r>
      <w:r>
        <w:rPr>
          <w:noProof/>
        </w:rPr>
        <w:tab/>
        <w:t>Based on the applied gender contribution methodology, the following scores are attributed at the most granular level of intervention possible:</w:t>
      </w:r>
    </w:p>
    <w:p w14:paraId="1CD43AD6" w14:textId="77777777" w:rsidR="004E54EB" w:rsidRPr="00D30DE8" w:rsidRDefault="004E54EB" w:rsidP="004E54EB">
      <w:pPr>
        <w:pStyle w:val="FootnoteText"/>
        <w:numPr>
          <w:ilvl w:val="0"/>
          <w:numId w:val="38"/>
        </w:numPr>
        <w:spacing w:after="60" w:line="264" w:lineRule="auto"/>
        <w:jc w:val="left"/>
        <w:rPr>
          <w:noProof/>
        </w:rPr>
      </w:pPr>
      <w:r w:rsidRPr="00D30DE8">
        <w:rPr>
          <w:noProof/>
        </w:rPr>
        <w:t>2: interventions the principal objective of which is to improve gender equality;</w:t>
      </w:r>
    </w:p>
    <w:p w14:paraId="14E1E3BC" w14:textId="77777777" w:rsidR="004E54EB" w:rsidRPr="00D30DE8" w:rsidRDefault="004E54EB" w:rsidP="004E54EB">
      <w:pPr>
        <w:pStyle w:val="FootnoteText"/>
        <w:numPr>
          <w:ilvl w:val="0"/>
          <w:numId w:val="38"/>
        </w:numPr>
        <w:spacing w:after="60" w:line="264" w:lineRule="auto"/>
        <w:jc w:val="left"/>
        <w:rPr>
          <w:noProof/>
        </w:rPr>
      </w:pPr>
      <w:r w:rsidRPr="00D30DE8">
        <w:rPr>
          <w:noProof/>
        </w:rPr>
        <w:t>1: interventions that have gender equality as an important and deliberate objective but not as the main reason for the intervention;</w:t>
      </w:r>
    </w:p>
    <w:p w14:paraId="38EA5B6B" w14:textId="77777777" w:rsidR="004E54EB" w:rsidRPr="00D30DE8" w:rsidRDefault="004E54EB" w:rsidP="004E54EB">
      <w:pPr>
        <w:pStyle w:val="FootnoteText"/>
        <w:numPr>
          <w:ilvl w:val="0"/>
          <w:numId w:val="38"/>
        </w:numPr>
        <w:spacing w:after="60" w:line="264" w:lineRule="auto"/>
        <w:jc w:val="left"/>
        <w:rPr>
          <w:noProof/>
        </w:rPr>
      </w:pPr>
      <w:r w:rsidRPr="00D30DE8">
        <w:rPr>
          <w:noProof/>
        </w:rPr>
        <w:t>0: non-targeted interventions;</w:t>
      </w:r>
    </w:p>
    <w:p w14:paraId="11C1F396" w14:textId="77777777" w:rsidR="004E54EB" w:rsidRPr="00D30DE8" w:rsidRDefault="004E54EB" w:rsidP="004E54EB">
      <w:pPr>
        <w:pStyle w:val="FootnoteText"/>
        <w:numPr>
          <w:ilvl w:val="0"/>
          <w:numId w:val="38"/>
        </w:numPr>
        <w:spacing w:after="60" w:line="264" w:lineRule="auto"/>
        <w:jc w:val="left"/>
        <w:rPr>
          <w:noProof/>
        </w:rPr>
      </w:pPr>
      <w:r w:rsidRPr="00D30DE8">
        <w:rPr>
          <w:noProof/>
        </w:rPr>
        <w:t>0*: score to be assigned to interventions with a likely but not yet clear positive impact on gender equality.</w:t>
      </w:r>
    </w:p>
    <w:p w14:paraId="58AA818E" w14:textId="77777777" w:rsidR="004E54EB" w:rsidRPr="00D30DE8" w:rsidRDefault="004E54EB" w:rsidP="004E54EB">
      <w:pPr>
        <w:pStyle w:val="ppoHeading5"/>
        <w:rPr>
          <w:noProof/>
        </w:rPr>
      </w:pPr>
      <w:r w:rsidRPr="00D30DE8">
        <w:rPr>
          <w:noProof/>
        </w:rPr>
        <w:t>Performance assessment</w:t>
      </w:r>
    </w:p>
    <w:p w14:paraId="20390A0B" w14:textId="77777777" w:rsidR="004E54EB" w:rsidRPr="00D30DE8" w:rsidRDefault="004E54EB" w:rsidP="004E54EB">
      <w:pPr>
        <w:pStyle w:val="ppoHeading6"/>
        <w:rPr>
          <w:noProof/>
        </w:rPr>
      </w:pPr>
      <w:r w:rsidRPr="00D30DE8">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4E54EB" w:rsidRPr="00D30DE8" w14:paraId="366AB2B5" w14:textId="77777777" w:rsidTr="0083214A">
        <w:trPr>
          <w:cnfStyle w:val="100000000000" w:firstRow="1" w:lastRow="0" w:firstColumn="0" w:lastColumn="0" w:oddVBand="0" w:evenVBand="0" w:oddHBand="0" w:evenHBand="0" w:firstRowFirstColumn="0" w:firstRowLastColumn="0" w:lastRowFirstColumn="0" w:lastRowLastColumn="0"/>
        </w:trPr>
        <w:tc>
          <w:tcPr>
            <w:tcW w:w="2330" w:type="dxa"/>
          </w:tcPr>
          <w:p w14:paraId="4742F939" w14:textId="77777777" w:rsidR="004E54EB" w:rsidRPr="00D30DE8" w:rsidRDefault="004E54EB" w:rsidP="0083214A">
            <w:pPr>
              <w:rPr>
                <w:noProof/>
              </w:rPr>
            </w:pPr>
          </w:p>
        </w:tc>
        <w:tc>
          <w:tcPr>
            <w:tcW w:w="1100" w:type="dxa"/>
          </w:tcPr>
          <w:p w14:paraId="6F5FE682" w14:textId="77777777" w:rsidR="004E54EB" w:rsidRPr="00D30DE8" w:rsidRDefault="004E54EB" w:rsidP="0083214A">
            <w:pPr>
              <w:rPr>
                <w:noProof/>
              </w:rPr>
            </w:pPr>
            <w:r w:rsidRPr="00D30DE8">
              <w:rPr>
                <w:noProof/>
              </w:rPr>
              <w:t>Baseline</w:t>
            </w:r>
          </w:p>
        </w:tc>
        <w:tc>
          <w:tcPr>
            <w:tcW w:w="1526" w:type="dxa"/>
          </w:tcPr>
          <w:p w14:paraId="4D1AEB28" w14:textId="77777777" w:rsidR="004E54EB" w:rsidRPr="00D30DE8" w:rsidRDefault="004E54EB" w:rsidP="0083214A">
            <w:pPr>
              <w:rPr>
                <w:noProof/>
              </w:rPr>
            </w:pPr>
            <w:r w:rsidRPr="00D30DE8">
              <w:rPr>
                <w:noProof/>
              </w:rPr>
              <w:t>Progress (*)</w:t>
            </w:r>
          </w:p>
        </w:tc>
        <w:tc>
          <w:tcPr>
            <w:tcW w:w="1532" w:type="dxa"/>
          </w:tcPr>
          <w:p w14:paraId="1CBC46F5" w14:textId="77777777" w:rsidR="004E54EB" w:rsidRPr="00D30DE8" w:rsidRDefault="004E54EB" w:rsidP="0083214A">
            <w:pPr>
              <w:rPr>
                <w:noProof/>
              </w:rPr>
            </w:pPr>
            <w:r w:rsidRPr="00D30DE8">
              <w:rPr>
                <w:noProof/>
              </w:rPr>
              <w:t>Target</w:t>
            </w:r>
          </w:p>
        </w:tc>
        <w:tc>
          <w:tcPr>
            <w:tcW w:w="1572" w:type="dxa"/>
          </w:tcPr>
          <w:p w14:paraId="7DFAEE48" w14:textId="77777777" w:rsidR="004E54EB" w:rsidRPr="00D30DE8" w:rsidRDefault="004E54EB" w:rsidP="0083214A">
            <w:pPr>
              <w:rPr>
                <w:noProof/>
              </w:rPr>
            </w:pPr>
            <w:r w:rsidRPr="00D30DE8">
              <w:rPr>
                <w:noProof/>
              </w:rPr>
              <w:t>Results</w:t>
            </w:r>
          </w:p>
        </w:tc>
        <w:tc>
          <w:tcPr>
            <w:tcW w:w="1579" w:type="dxa"/>
          </w:tcPr>
          <w:p w14:paraId="1E9432B9" w14:textId="77777777" w:rsidR="004E54EB" w:rsidRPr="00D30DE8" w:rsidRDefault="004E54EB" w:rsidP="0083214A">
            <w:pPr>
              <w:rPr>
                <w:noProof/>
              </w:rPr>
            </w:pPr>
            <w:r w:rsidRPr="00D30DE8">
              <w:rPr>
                <w:noProof/>
              </w:rPr>
              <w:t>Assessment</w:t>
            </w:r>
          </w:p>
        </w:tc>
      </w:tr>
      <w:tr w:rsidR="004E54EB" w:rsidRPr="00D30DE8" w14:paraId="3C952C01"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365698E1" w14:textId="77777777" w:rsidR="004E54EB" w:rsidRPr="00D30DE8" w:rsidRDefault="004E54EB" w:rsidP="0083214A">
            <w:pPr>
              <w:rPr>
                <w:noProof/>
              </w:rPr>
            </w:pPr>
            <w:r>
              <w:rPr>
                <w:noProof/>
              </w:rPr>
              <w:t>Number of people placed in alternatives to detention</w:t>
            </w:r>
          </w:p>
        </w:tc>
        <w:tc>
          <w:tcPr>
            <w:tcW w:w="1100" w:type="dxa"/>
          </w:tcPr>
          <w:p w14:paraId="3333C263" w14:textId="77777777" w:rsidR="004E54EB" w:rsidRPr="00D30DE8" w:rsidRDefault="004E54EB" w:rsidP="0083214A">
            <w:pPr>
              <w:jc w:val="center"/>
              <w:rPr>
                <w:noProof/>
              </w:rPr>
            </w:pPr>
            <w:r w:rsidRPr="00D30DE8">
              <w:rPr>
                <w:noProof/>
              </w:rPr>
              <w:t>0</w:t>
            </w:r>
          </w:p>
        </w:tc>
        <w:tc>
          <w:tcPr>
            <w:tcW w:w="1526" w:type="dxa"/>
          </w:tcPr>
          <w:p w14:paraId="63B510DA" w14:textId="77777777" w:rsidR="004E54EB" w:rsidRPr="00D30DE8" w:rsidRDefault="004E54EB" w:rsidP="0083214A">
            <w:pPr>
              <w:jc w:val="center"/>
              <w:rPr>
                <w:b/>
                <w:noProof/>
              </w:rPr>
            </w:pPr>
          </w:p>
        </w:tc>
        <w:tc>
          <w:tcPr>
            <w:tcW w:w="1532" w:type="dxa"/>
          </w:tcPr>
          <w:p w14:paraId="34546093" w14:textId="77777777" w:rsidR="004E54EB" w:rsidRPr="00D30DE8" w:rsidRDefault="004E54EB" w:rsidP="0083214A">
            <w:pPr>
              <w:jc w:val="center"/>
              <w:rPr>
                <w:noProof/>
              </w:rPr>
            </w:pPr>
          </w:p>
        </w:tc>
        <w:tc>
          <w:tcPr>
            <w:tcW w:w="1572" w:type="dxa"/>
          </w:tcPr>
          <w:p w14:paraId="2409B807" w14:textId="77777777" w:rsidR="004E54EB" w:rsidRPr="00D30DE8" w:rsidRDefault="004E54EB" w:rsidP="0083214A">
            <w:pPr>
              <w:jc w:val="center"/>
              <w:rPr>
                <w:noProof/>
              </w:rPr>
            </w:pPr>
            <w:r w:rsidRPr="00D30DE8">
              <w:rPr>
                <w:noProof/>
              </w:rPr>
              <w:t>No results</w:t>
            </w:r>
          </w:p>
        </w:tc>
        <w:tc>
          <w:tcPr>
            <w:tcW w:w="1579" w:type="dxa"/>
          </w:tcPr>
          <w:p w14:paraId="23E5A91B" w14:textId="77777777" w:rsidR="004E54EB" w:rsidRPr="00D30DE8" w:rsidRDefault="004E54EB" w:rsidP="0083214A">
            <w:pPr>
              <w:jc w:val="center"/>
              <w:rPr>
                <w:noProof/>
              </w:rPr>
            </w:pPr>
            <w:r w:rsidRPr="00D30DE8">
              <w:rPr>
                <w:noProof/>
              </w:rPr>
              <w:t>No data</w:t>
            </w:r>
          </w:p>
        </w:tc>
      </w:tr>
      <w:tr w:rsidR="004E54EB" w:rsidRPr="00D30DE8" w14:paraId="612D4179"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41C5E8DF" w14:textId="77777777" w:rsidR="004E54EB" w:rsidRPr="00D30DE8" w:rsidRDefault="004E54EB" w:rsidP="0083214A">
            <w:pPr>
              <w:rPr>
                <w:noProof/>
              </w:rPr>
            </w:pPr>
            <w:r>
              <w:rPr>
                <w:noProof/>
              </w:rPr>
              <w:t>Number of participants in language courses who have improved their proficiency level in the host-country language upon leaving the language course by at least one level in the Common European Framework of the Reference for Languages or the national equivalent</w:t>
            </w:r>
          </w:p>
        </w:tc>
        <w:tc>
          <w:tcPr>
            <w:tcW w:w="1100" w:type="dxa"/>
          </w:tcPr>
          <w:p w14:paraId="608389ED" w14:textId="77777777" w:rsidR="004E54EB" w:rsidRPr="00D30DE8" w:rsidRDefault="004E54EB" w:rsidP="0083214A">
            <w:pPr>
              <w:jc w:val="center"/>
              <w:rPr>
                <w:noProof/>
              </w:rPr>
            </w:pPr>
            <w:r w:rsidRPr="00D30DE8">
              <w:rPr>
                <w:noProof/>
              </w:rPr>
              <w:t>0</w:t>
            </w:r>
          </w:p>
        </w:tc>
        <w:tc>
          <w:tcPr>
            <w:tcW w:w="1526" w:type="dxa"/>
          </w:tcPr>
          <w:p w14:paraId="314F3DE9" w14:textId="77777777" w:rsidR="004E54EB" w:rsidRPr="00D30DE8" w:rsidRDefault="004E54EB" w:rsidP="0083214A">
            <w:pPr>
              <w:jc w:val="center"/>
              <w:rPr>
                <w:b/>
                <w:noProof/>
              </w:rPr>
            </w:pPr>
          </w:p>
        </w:tc>
        <w:tc>
          <w:tcPr>
            <w:tcW w:w="1532" w:type="dxa"/>
          </w:tcPr>
          <w:p w14:paraId="4806F44D" w14:textId="77777777" w:rsidR="004E54EB" w:rsidRPr="00D30DE8" w:rsidRDefault="004E54EB" w:rsidP="0083214A">
            <w:pPr>
              <w:jc w:val="center"/>
              <w:rPr>
                <w:noProof/>
              </w:rPr>
            </w:pPr>
          </w:p>
        </w:tc>
        <w:tc>
          <w:tcPr>
            <w:tcW w:w="1572" w:type="dxa"/>
          </w:tcPr>
          <w:p w14:paraId="4DD713F3" w14:textId="77777777" w:rsidR="004E54EB" w:rsidRPr="00D30DE8" w:rsidRDefault="004E54EB" w:rsidP="0083214A">
            <w:pPr>
              <w:jc w:val="center"/>
              <w:rPr>
                <w:noProof/>
              </w:rPr>
            </w:pPr>
            <w:r w:rsidRPr="00D30DE8">
              <w:rPr>
                <w:noProof/>
              </w:rPr>
              <w:t>No results</w:t>
            </w:r>
          </w:p>
        </w:tc>
        <w:tc>
          <w:tcPr>
            <w:tcW w:w="1579" w:type="dxa"/>
          </w:tcPr>
          <w:p w14:paraId="4F253348" w14:textId="77777777" w:rsidR="004E54EB" w:rsidRPr="00D30DE8" w:rsidRDefault="004E54EB" w:rsidP="0083214A">
            <w:pPr>
              <w:jc w:val="center"/>
              <w:rPr>
                <w:noProof/>
              </w:rPr>
            </w:pPr>
            <w:r w:rsidRPr="00D30DE8">
              <w:rPr>
                <w:noProof/>
              </w:rPr>
              <w:t>No data</w:t>
            </w:r>
          </w:p>
        </w:tc>
      </w:tr>
      <w:tr w:rsidR="004E54EB" w:rsidRPr="00D30DE8" w14:paraId="0FC80A42"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2035A383" w14:textId="77777777" w:rsidR="004E54EB" w:rsidRPr="00D30DE8" w:rsidRDefault="004E54EB" w:rsidP="0083214A">
            <w:pPr>
              <w:rPr>
                <w:noProof/>
              </w:rPr>
            </w:pPr>
            <w:r>
              <w:rPr>
                <w:noProof/>
              </w:rPr>
              <w:t>Number of participants who applied for long-term status</w:t>
            </w:r>
          </w:p>
        </w:tc>
        <w:tc>
          <w:tcPr>
            <w:tcW w:w="1100" w:type="dxa"/>
          </w:tcPr>
          <w:p w14:paraId="44CEA94A" w14:textId="77777777" w:rsidR="004E54EB" w:rsidRPr="00D30DE8" w:rsidRDefault="004E54EB" w:rsidP="0083214A">
            <w:pPr>
              <w:jc w:val="center"/>
              <w:rPr>
                <w:noProof/>
              </w:rPr>
            </w:pPr>
            <w:r w:rsidRPr="00D30DE8">
              <w:rPr>
                <w:noProof/>
              </w:rPr>
              <w:t>0</w:t>
            </w:r>
          </w:p>
        </w:tc>
        <w:tc>
          <w:tcPr>
            <w:tcW w:w="1526" w:type="dxa"/>
          </w:tcPr>
          <w:p w14:paraId="47414769" w14:textId="77777777" w:rsidR="004E54EB" w:rsidRPr="00D30DE8" w:rsidRDefault="004E54EB" w:rsidP="0083214A">
            <w:pPr>
              <w:jc w:val="center"/>
              <w:rPr>
                <w:b/>
                <w:noProof/>
              </w:rPr>
            </w:pPr>
          </w:p>
        </w:tc>
        <w:tc>
          <w:tcPr>
            <w:tcW w:w="1532" w:type="dxa"/>
          </w:tcPr>
          <w:p w14:paraId="2E5D6495" w14:textId="77777777" w:rsidR="004E54EB" w:rsidRPr="00D30DE8" w:rsidRDefault="004E54EB" w:rsidP="0083214A">
            <w:pPr>
              <w:jc w:val="center"/>
              <w:rPr>
                <w:noProof/>
              </w:rPr>
            </w:pPr>
          </w:p>
        </w:tc>
        <w:tc>
          <w:tcPr>
            <w:tcW w:w="1572" w:type="dxa"/>
          </w:tcPr>
          <w:p w14:paraId="4FE86F03" w14:textId="77777777" w:rsidR="004E54EB" w:rsidRPr="00D30DE8" w:rsidRDefault="004E54EB" w:rsidP="0083214A">
            <w:pPr>
              <w:jc w:val="center"/>
              <w:rPr>
                <w:noProof/>
              </w:rPr>
            </w:pPr>
            <w:r w:rsidRPr="00D30DE8">
              <w:rPr>
                <w:noProof/>
              </w:rPr>
              <w:t>No results</w:t>
            </w:r>
          </w:p>
        </w:tc>
        <w:tc>
          <w:tcPr>
            <w:tcW w:w="1579" w:type="dxa"/>
          </w:tcPr>
          <w:p w14:paraId="22F7997D" w14:textId="77777777" w:rsidR="004E54EB" w:rsidRPr="00D30DE8" w:rsidRDefault="004E54EB" w:rsidP="0083214A">
            <w:pPr>
              <w:jc w:val="center"/>
              <w:rPr>
                <w:noProof/>
              </w:rPr>
            </w:pPr>
            <w:r w:rsidRPr="00D30DE8">
              <w:rPr>
                <w:noProof/>
              </w:rPr>
              <w:t>No data</w:t>
            </w:r>
          </w:p>
        </w:tc>
      </w:tr>
      <w:tr w:rsidR="004E54EB" w:rsidRPr="00D30DE8" w14:paraId="173FF67E"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083E4226" w14:textId="77777777" w:rsidR="004E54EB" w:rsidRPr="00D30DE8" w:rsidRDefault="004E54EB" w:rsidP="0083214A">
            <w:pPr>
              <w:rPr>
                <w:noProof/>
              </w:rPr>
            </w:pPr>
            <w:r w:rsidRPr="00D30DE8">
              <w:rPr>
                <w:noProof/>
              </w:rPr>
              <w:t>Number of returnees voluntarily returned</w:t>
            </w:r>
          </w:p>
        </w:tc>
        <w:tc>
          <w:tcPr>
            <w:tcW w:w="1100" w:type="dxa"/>
          </w:tcPr>
          <w:p w14:paraId="577C59CF" w14:textId="77777777" w:rsidR="004E54EB" w:rsidRPr="00D30DE8" w:rsidRDefault="004E54EB" w:rsidP="0083214A">
            <w:pPr>
              <w:jc w:val="center"/>
              <w:rPr>
                <w:noProof/>
              </w:rPr>
            </w:pPr>
            <w:r w:rsidRPr="00D30DE8">
              <w:rPr>
                <w:noProof/>
              </w:rPr>
              <w:t>0</w:t>
            </w:r>
          </w:p>
        </w:tc>
        <w:tc>
          <w:tcPr>
            <w:tcW w:w="1526" w:type="dxa"/>
          </w:tcPr>
          <w:p w14:paraId="588E4845" w14:textId="77777777" w:rsidR="004E54EB" w:rsidRPr="00D30DE8" w:rsidRDefault="004E54EB" w:rsidP="0083214A">
            <w:pPr>
              <w:jc w:val="center"/>
              <w:rPr>
                <w:b/>
                <w:noProof/>
              </w:rPr>
            </w:pPr>
          </w:p>
        </w:tc>
        <w:tc>
          <w:tcPr>
            <w:tcW w:w="1532" w:type="dxa"/>
          </w:tcPr>
          <w:p w14:paraId="65775262" w14:textId="77777777" w:rsidR="004E54EB" w:rsidRPr="00D30DE8" w:rsidRDefault="004E54EB" w:rsidP="0083214A">
            <w:pPr>
              <w:jc w:val="center"/>
              <w:rPr>
                <w:noProof/>
              </w:rPr>
            </w:pPr>
          </w:p>
        </w:tc>
        <w:tc>
          <w:tcPr>
            <w:tcW w:w="1572" w:type="dxa"/>
          </w:tcPr>
          <w:p w14:paraId="2DA07935" w14:textId="77777777" w:rsidR="004E54EB" w:rsidRPr="00D30DE8" w:rsidRDefault="004E54EB" w:rsidP="0083214A">
            <w:pPr>
              <w:jc w:val="center"/>
              <w:rPr>
                <w:noProof/>
              </w:rPr>
            </w:pPr>
            <w:r w:rsidRPr="00D30DE8">
              <w:rPr>
                <w:noProof/>
              </w:rPr>
              <w:t>No results</w:t>
            </w:r>
          </w:p>
        </w:tc>
        <w:tc>
          <w:tcPr>
            <w:tcW w:w="1579" w:type="dxa"/>
          </w:tcPr>
          <w:p w14:paraId="0056A68C" w14:textId="77777777" w:rsidR="004E54EB" w:rsidRPr="00D30DE8" w:rsidRDefault="004E54EB" w:rsidP="0083214A">
            <w:pPr>
              <w:jc w:val="center"/>
              <w:rPr>
                <w:noProof/>
              </w:rPr>
            </w:pPr>
            <w:r w:rsidRPr="00D30DE8">
              <w:rPr>
                <w:noProof/>
              </w:rPr>
              <w:t>No data</w:t>
            </w:r>
          </w:p>
        </w:tc>
      </w:tr>
      <w:tr w:rsidR="004E54EB" w:rsidRPr="00D30DE8" w14:paraId="2EB36BD3"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0BE00B02" w14:textId="77777777" w:rsidR="004E54EB" w:rsidRPr="00D30DE8" w:rsidRDefault="004E54EB" w:rsidP="0083214A">
            <w:pPr>
              <w:rPr>
                <w:noProof/>
              </w:rPr>
            </w:pPr>
            <w:r w:rsidRPr="00D30DE8">
              <w:rPr>
                <w:noProof/>
              </w:rPr>
              <w:t>Number of returnees who were removed</w:t>
            </w:r>
          </w:p>
        </w:tc>
        <w:tc>
          <w:tcPr>
            <w:tcW w:w="1100" w:type="dxa"/>
          </w:tcPr>
          <w:p w14:paraId="2D12F54B" w14:textId="77777777" w:rsidR="004E54EB" w:rsidRPr="00D30DE8" w:rsidRDefault="004E54EB" w:rsidP="0083214A">
            <w:pPr>
              <w:jc w:val="center"/>
              <w:rPr>
                <w:noProof/>
              </w:rPr>
            </w:pPr>
            <w:r w:rsidRPr="00D30DE8">
              <w:rPr>
                <w:noProof/>
              </w:rPr>
              <w:t>0</w:t>
            </w:r>
          </w:p>
        </w:tc>
        <w:tc>
          <w:tcPr>
            <w:tcW w:w="1526" w:type="dxa"/>
          </w:tcPr>
          <w:p w14:paraId="4B5918AA" w14:textId="77777777" w:rsidR="004E54EB" w:rsidRPr="00D30DE8" w:rsidRDefault="004E54EB" w:rsidP="0083214A">
            <w:pPr>
              <w:jc w:val="center"/>
              <w:rPr>
                <w:b/>
                <w:noProof/>
              </w:rPr>
            </w:pPr>
          </w:p>
        </w:tc>
        <w:tc>
          <w:tcPr>
            <w:tcW w:w="1532" w:type="dxa"/>
          </w:tcPr>
          <w:p w14:paraId="34141CAE" w14:textId="77777777" w:rsidR="004E54EB" w:rsidRPr="00D30DE8" w:rsidRDefault="004E54EB" w:rsidP="0083214A">
            <w:pPr>
              <w:jc w:val="center"/>
              <w:rPr>
                <w:noProof/>
              </w:rPr>
            </w:pPr>
          </w:p>
        </w:tc>
        <w:tc>
          <w:tcPr>
            <w:tcW w:w="1572" w:type="dxa"/>
          </w:tcPr>
          <w:p w14:paraId="029D20C6" w14:textId="77777777" w:rsidR="004E54EB" w:rsidRPr="00D30DE8" w:rsidRDefault="004E54EB" w:rsidP="0083214A">
            <w:pPr>
              <w:jc w:val="center"/>
              <w:rPr>
                <w:noProof/>
              </w:rPr>
            </w:pPr>
            <w:r w:rsidRPr="00D30DE8">
              <w:rPr>
                <w:noProof/>
              </w:rPr>
              <w:t>No results</w:t>
            </w:r>
          </w:p>
        </w:tc>
        <w:tc>
          <w:tcPr>
            <w:tcW w:w="1579" w:type="dxa"/>
          </w:tcPr>
          <w:p w14:paraId="60FEEC12" w14:textId="77777777" w:rsidR="004E54EB" w:rsidRPr="00D30DE8" w:rsidRDefault="004E54EB" w:rsidP="0083214A">
            <w:pPr>
              <w:jc w:val="center"/>
              <w:rPr>
                <w:noProof/>
              </w:rPr>
            </w:pPr>
            <w:r w:rsidRPr="00D30DE8">
              <w:rPr>
                <w:noProof/>
              </w:rPr>
              <w:t>No data</w:t>
            </w:r>
          </w:p>
        </w:tc>
      </w:tr>
      <w:tr w:rsidR="004E54EB" w:rsidRPr="00D30DE8" w14:paraId="0559BC28"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343C3CBE" w14:textId="77777777" w:rsidR="004E54EB" w:rsidRPr="00D30DE8" w:rsidRDefault="004E54EB" w:rsidP="0083214A">
            <w:pPr>
              <w:rPr>
                <w:noProof/>
              </w:rPr>
            </w:pPr>
            <w:r w:rsidRPr="00D30DE8">
              <w:rPr>
                <w:noProof/>
              </w:rPr>
              <w:t>Number of applicants for and beneficiaries of international protection transferred from one Member State to another</w:t>
            </w:r>
          </w:p>
        </w:tc>
        <w:tc>
          <w:tcPr>
            <w:tcW w:w="1100" w:type="dxa"/>
          </w:tcPr>
          <w:p w14:paraId="05F31C9E" w14:textId="77777777" w:rsidR="004E54EB" w:rsidRPr="00D30DE8" w:rsidRDefault="004E54EB" w:rsidP="0083214A">
            <w:pPr>
              <w:jc w:val="center"/>
              <w:rPr>
                <w:noProof/>
              </w:rPr>
            </w:pPr>
            <w:r w:rsidRPr="00D30DE8">
              <w:rPr>
                <w:noProof/>
              </w:rPr>
              <w:t>0</w:t>
            </w:r>
          </w:p>
        </w:tc>
        <w:tc>
          <w:tcPr>
            <w:tcW w:w="1526" w:type="dxa"/>
          </w:tcPr>
          <w:p w14:paraId="5A9D99D6" w14:textId="77777777" w:rsidR="004E54EB" w:rsidRPr="00D30DE8" w:rsidRDefault="004E54EB" w:rsidP="0083214A">
            <w:pPr>
              <w:jc w:val="center"/>
              <w:rPr>
                <w:b/>
                <w:noProof/>
              </w:rPr>
            </w:pPr>
          </w:p>
        </w:tc>
        <w:tc>
          <w:tcPr>
            <w:tcW w:w="1532" w:type="dxa"/>
          </w:tcPr>
          <w:p w14:paraId="6B2388AC" w14:textId="77777777" w:rsidR="004E54EB" w:rsidRPr="00D30DE8" w:rsidRDefault="004E54EB" w:rsidP="0083214A">
            <w:pPr>
              <w:jc w:val="center"/>
              <w:rPr>
                <w:noProof/>
              </w:rPr>
            </w:pPr>
          </w:p>
        </w:tc>
        <w:tc>
          <w:tcPr>
            <w:tcW w:w="1572" w:type="dxa"/>
          </w:tcPr>
          <w:p w14:paraId="4D3F17D5" w14:textId="77777777" w:rsidR="004E54EB" w:rsidRPr="00D30DE8" w:rsidRDefault="004E54EB" w:rsidP="0083214A">
            <w:pPr>
              <w:jc w:val="center"/>
              <w:rPr>
                <w:noProof/>
              </w:rPr>
            </w:pPr>
            <w:r w:rsidRPr="00D30DE8">
              <w:rPr>
                <w:noProof/>
              </w:rPr>
              <w:t>No results</w:t>
            </w:r>
          </w:p>
        </w:tc>
        <w:tc>
          <w:tcPr>
            <w:tcW w:w="1579" w:type="dxa"/>
          </w:tcPr>
          <w:p w14:paraId="08822F35" w14:textId="77777777" w:rsidR="004E54EB" w:rsidRPr="00D30DE8" w:rsidRDefault="004E54EB" w:rsidP="0083214A">
            <w:pPr>
              <w:jc w:val="center"/>
              <w:rPr>
                <w:noProof/>
              </w:rPr>
            </w:pPr>
            <w:r w:rsidRPr="00D30DE8">
              <w:rPr>
                <w:noProof/>
              </w:rPr>
              <w:t>No data</w:t>
            </w:r>
          </w:p>
        </w:tc>
      </w:tr>
      <w:tr w:rsidR="004E54EB" w:rsidRPr="00D30DE8" w14:paraId="08B1692D"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5E93EAF9" w14:textId="77777777" w:rsidR="004E54EB" w:rsidRPr="00D30DE8" w:rsidRDefault="004E54EB" w:rsidP="0083214A">
            <w:pPr>
              <w:rPr>
                <w:noProof/>
              </w:rPr>
            </w:pPr>
            <w:r>
              <w:rPr>
                <w:noProof/>
              </w:rPr>
              <w:t>Number of people resettled</w:t>
            </w:r>
          </w:p>
        </w:tc>
        <w:tc>
          <w:tcPr>
            <w:tcW w:w="1100" w:type="dxa"/>
          </w:tcPr>
          <w:p w14:paraId="6BAA453F" w14:textId="77777777" w:rsidR="004E54EB" w:rsidRPr="00D30DE8" w:rsidRDefault="004E54EB" w:rsidP="0083214A">
            <w:pPr>
              <w:jc w:val="center"/>
              <w:rPr>
                <w:noProof/>
              </w:rPr>
            </w:pPr>
            <w:r w:rsidRPr="00D30DE8">
              <w:rPr>
                <w:noProof/>
              </w:rPr>
              <w:t>0</w:t>
            </w:r>
          </w:p>
        </w:tc>
        <w:tc>
          <w:tcPr>
            <w:tcW w:w="1526" w:type="dxa"/>
          </w:tcPr>
          <w:p w14:paraId="7E2F6636" w14:textId="77777777" w:rsidR="004E54EB" w:rsidRPr="00D30DE8" w:rsidRDefault="004E54EB" w:rsidP="0083214A">
            <w:pPr>
              <w:jc w:val="center"/>
              <w:rPr>
                <w:b/>
                <w:noProof/>
              </w:rPr>
            </w:pPr>
          </w:p>
        </w:tc>
        <w:tc>
          <w:tcPr>
            <w:tcW w:w="1532" w:type="dxa"/>
          </w:tcPr>
          <w:p w14:paraId="7B712E35" w14:textId="77777777" w:rsidR="004E54EB" w:rsidRPr="00D30DE8" w:rsidRDefault="004E54EB" w:rsidP="0083214A">
            <w:pPr>
              <w:jc w:val="center"/>
              <w:rPr>
                <w:noProof/>
              </w:rPr>
            </w:pPr>
          </w:p>
        </w:tc>
        <w:tc>
          <w:tcPr>
            <w:tcW w:w="1572" w:type="dxa"/>
          </w:tcPr>
          <w:p w14:paraId="4006AC8D" w14:textId="77777777" w:rsidR="004E54EB" w:rsidRPr="00D30DE8" w:rsidRDefault="004E54EB" w:rsidP="0083214A">
            <w:pPr>
              <w:jc w:val="center"/>
              <w:rPr>
                <w:noProof/>
              </w:rPr>
            </w:pPr>
            <w:r w:rsidRPr="00D30DE8">
              <w:rPr>
                <w:noProof/>
              </w:rPr>
              <w:t>No results</w:t>
            </w:r>
          </w:p>
        </w:tc>
        <w:tc>
          <w:tcPr>
            <w:tcW w:w="1579" w:type="dxa"/>
          </w:tcPr>
          <w:p w14:paraId="5B167C75" w14:textId="77777777" w:rsidR="004E54EB" w:rsidRPr="00D30DE8" w:rsidRDefault="004E54EB" w:rsidP="0083214A">
            <w:pPr>
              <w:jc w:val="center"/>
              <w:rPr>
                <w:noProof/>
              </w:rPr>
            </w:pPr>
            <w:r w:rsidRPr="00D30DE8">
              <w:rPr>
                <w:noProof/>
              </w:rPr>
              <w:t>No data</w:t>
            </w:r>
          </w:p>
        </w:tc>
      </w:tr>
      <w:tr w:rsidR="004E54EB" w:rsidRPr="00D30DE8" w14:paraId="5D9E1722"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191CA091" w14:textId="77777777" w:rsidR="004E54EB" w:rsidRPr="00D30DE8" w:rsidRDefault="004E54EB" w:rsidP="0083214A">
            <w:pPr>
              <w:rPr>
                <w:noProof/>
              </w:rPr>
            </w:pPr>
            <w:r>
              <w:rPr>
                <w:noProof/>
              </w:rPr>
              <w:t>Number of people admitted through humanitarian admission</w:t>
            </w:r>
          </w:p>
        </w:tc>
        <w:tc>
          <w:tcPr>
            <w:tcW w:w="1100" w:type="dxa"/>
          </w:tcPr>
          <w:p w14:paraId="7A489D82" w14:textId="77777777" w:rsidR="004E54EB" w:rsidRPr="00D30DE8" w:rsidRDefault="004E54EB" w:rsidP="0083214A">
            <w:pPr>
              <w:jc w:val="center"/>
              <w:rPr>
                <w:noProof/>
              </w:rPr>
            </w:pPr>
            <w:r w:rsidRPr="00D30DE8">
              <w:rPr>
                <w:noProof/>
              </w:rPr>
              <w:t>0</w:t>
            </w:r>
          </w:p>
        </w:tc>
        <w:tc>
          <w:tcPr>
            <w:tcW w:w="1526" w:type="dxa"/>
          </w:tcPr>
          <w:p w14:paraId="4ECF8554" w14:textId="77777777" w:rsidR="004E54EB" w:rsidRPr="00D30DE8" w:rsidRDefault="004E54EB" w:rsidP="0083214A">
            <w:pPr>
              <w:jc w:val="center"/>
              <w:rPr>
                <w:b/>
                <w:noProof/>
              </w:rPr>
            </w:pPr>
          </w:p>
        </w:tc>
        <w:tc>
          <w:tcPr>
            <w:tcW w:w="1532" w:type="dxa"/>
          </w:tcPr>
          <w:p w14:paraId="0A3AC029" w14:textId="77777777" w:rsidR="004E54EB" w:rsidRPr="00D30DE8" w:rsidRDefault="004E54EB" w:rsidP="0083214A">
            <w:pPr>
              <w:jc w:val="center"/>
              <w:rPr>
                <w:noProof/>
              </w:rPr>
            </w:pPr>
          </w:p>
        </w:tc>
        <w:tc>
          <w:tcPr>
            <w:tcW w:w="1572" w:type="dxa"/>
          </w:tcPr>
          <w:p w14:paraId="0AEA93CE" w14:textId="77777777" w:rsidR="004E54EB" w:rsidRPr="00D30DE8" w:rsidRDefault="004E54EB" w:rsidP="0083214A">
            <w:pPr>
              <w:jc w:val="center"/>
              <w:rPr>
                <w:noProof/>
              </w:rPr>
            </w:pPr>
            <w:r w:rsidRPr="00D30DE8">
              <w:rPr>
                <w:noProof/>
              </w:rPr>
              <w:t>No results</w:t>
            </w:r>
          </w:p>
        </w:tc>
        <w:tc>
          <w:tcPr>
            <w:tcW w:w="1579" w:type="dxa"/>
          </w:tcPr>
          <w:p w14:paraId="6434EE12" w14:textId="77777777" w:rsidR="004E54EB" w:rsidRPr="00D30DE8" w:rsidRDefault="004E54EB" w:rsidP="0083214A">
            <w:pPr>
              <w:jc w:val="center"/>
              <w:rPr>
                <w:noProof/>
              </w:rPr>
            </w:pPr>
            <w:r w:rsidRPr="00D30DE8">
              <w:rPr>
                <w:noProof/>
              </w:rPr>
              <w:t>No data</w:t>
            </w:r>
          </w:p>
        </w:tc>
      </w:tr>
    </w:tbl>
    <w:p w14:paraId="14EA5117" w14:textId="77777777" w:rsidR="004E54EB" w:rsidRPr="00D30DE8" w:rsidRDefault="004E54EB" w:rsidP="004E54EB">
      <w:pPr>
        <w:pStyle w:val="FootnoteText"/>
        <w:spacing w:before="120"/>
        <w:rPr>
          <w:noProof/>
        </w:rPr>
      </w:pPr>
      <w:r>
        <w:rPr>
          <w:noProof/>
        </w:rPr>
        <w:t>(*) % of target achieved by the end of 2021.</w:t>
      </w:r>
    </w:p>
    <w:p w14:paraId="7C359BBF" w14:textId="77777777" w:rsidR="004E54EB" w:rsidRPr="00D30DE8" w:rsidRDefault="004E54EB" w:rsidP="004E54EB">
      <w:pPr>
        <w:spacing w:after="160" w:line="259" w:lineRule="auto"/>
        <w:rPr>
          <w:rFonts w:eastAsiaTheme="majorEastAsia" w:cstheme="majorBidi"/>
          <w:noProof/>
          <w:color w:val="016A13" w:themeColor="accent1" w:themeShade="BF"/>
          <w:sz w:val="48"/>
          <w:szCs w:val="48"/>
        </w:rPr>
      </w:pPr>
      <w:r>
        <w:rPr>
          <w:noProof/>
        </w:rPr>
        <w:t>Performance assessment will be provided once the implementation of the 2021-2027 programme has started in earnest and the first performance reports have been received.</w:t>
      </w:r>
      <w:r>
        <w:rPr>
          <w:noProof/>
        </w:rPr>
        <w:br w:type="page"/>
      </w:r>
    </w:p>
    <w:p w14:paraId="2FA4D7AA" w14:textId="77777777" w:rsidR="004E54EB" w:rsidRPr="00D30DE8" w:rsidRDefault="004E54EB" w:rsidP="004E54EB">
      <w:pPr>
        <w:pStyle w:val="ppoHeading4Purple"/>
        <w:rPr>
          <w:noProof/>
        </w:rPr>
      </w:pPr>
      <w:r>
        <w:rPr>
          <w:noProof/>
        </w:rPr>
        <w:t>2014-2020 multiannual financial framework</w:t>
      </w:r>
      <w:r w:rsidRPr="06D34A38">
        <w:rPr>
          <w:rFonts w:ascii="Calibri" w:hAnsi="Calibri" w:cs="Calibri"/>
          <w:noProof/>
        </w:rPr>
        <w:t> </w:t>
      </w:r>
      <w:r>
        <w:rPr>
          <w:noProof/>
        </w:rPr>
        <w:t>– Asylum, Migration and Integration Fund</w:t>
      </w:r>
    </w:p>
    <w:p w14:paraId="61F2502D" w14:textId="77777777" w:rsidR="004E54EB" w:rsidRPr="00D30DE8" w:rsidRDefault="004E54EB" w:rsidP="004E54EB">
      <w:pPr>
        <w:spacing w:before="120" w:after="120"/>
        <w:rPr>
          <w:noProof/>
        </w:rPr>
      </w:pPr>
      <w:r>
        <w:rPr>
          <w:noProof/>
        </w:rPr>
        <w:t>The AMIF is achieving its objectives, especially considering the volatile and challenging migration situation throughout the 2014-2020 period. The AMIF provides the financial means to push forward the EU’s agenda on migration. The Commission is working to establish a comprehensive approach on this agenda, developing legislative proposals to establish and improve common EU action, and monitoring and enforcing the correct implementation of applicable rules by the Member States.</w:t>
      </w:r>
    </w:p>
    <w:p w14:paraId="27FAA9C3" w14:textId="77777777" w:rsidR="004E54EB" w:rsidRPr="00D30DE8" w:rsidRDefault="004E54EB" w:rsidP="004E54EB">
      <w:pPr>
        <w:pStyle w:val="ppoHeading5"/>
        <w:rPr>
          <w:noProof/>
        </w:rPr>
      </w:pPr>
      <w:r w:rsidRPr="00D30DE8">
        <w:rPr>
          <w:noProof/>
        </w:rPr>
        <w:t>Budget</w:t>
      </w:r>
    </w:p>
    <w:p w14:paraId="564F6864" w14:textId="77777777" w:rsidR="004E54EB" w:rsidRPr="00D30DE8" w:rsidRDefault="004E54EB" w:rsidP="004E54EB">
      <w:pPr>
        <w:pStyle w:val="ppoTableTabletitle"/>
        <w:rPr>
          <w:noProof/>
        </w:rPr>
      </w:pPr>
      <w:r w:rsidRPr="00D30DE8">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4E54EB" w:rsidRPr="00D30DE8" w14:paraId="7598382C" w14:textId="77777777" w:rsidTr="008321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3F64BA44" w14:textId="77777777" w:rsidR="004E54EB" w:rsidRPr="00D30DE8" w:rsidRDefault="004E54EB" w:rsidP="0083214A">
            <w:pPr>
              <w:rPr>
                <w:noProof/>
              </w:rPr>
            </w:pPr>
          </w:p>
        </w:tc>
        <w:tc>
          <w:tcPr>
            <w:tcW w:w="2410" w:type="dxa"/>
          </w:tcPr>
          <w:p w14:paraId="164A98CC" w14:textId="77777777" w:rsidR="004E54EB" w:rsidRPr="00D30DE8" w:rsidRDefault="004E54EB" w:rsidP="0083214A">
            <w:pPr>
              <w:cnfStyle w:val="100000000000" w:firstRow="1" w:lastRow="0" w:firstColumn="0" w:lastColumn="0" w:oddVBand="0" w:evenVBand="0" w:oddHBand="0" w:evenHBand="0" w:firstRowFirstColumn="0" w:firstRowLastColumn="0" w:lastRowFirstColumn="0" w:lastRowLastColumn="0"/>
              <w:rPr>
                <w:noProof/>
              </w:rPr>
            </w:pPr>
            <w:r w:rsidRPr="00D30DE8">
              <w:rPr>
                <w:noProof/>
              </w:rPr>
              <w:t>Implementation</w:t>
            </w:r>
          </w:p>
        </w:tc>
        <w:tc>
          <w:tcPr>
            <w:tcW w:w="2410" w:type="dxa"/>
          </w:tcPr>
          <w:p w14:paraId="46D498A2" w14:textId="1F7F96B3" w:rsidR="004E54EB" w:rsidRPr="00D30DE8" w:rsidRDefault="003821C6" w:rsidP="0083214A">
            <w:pPr>
              <w:cnfStyle w:val="100000000000" w:firstRow="1" w:lastRow="0" w:firstColumn="0" w:lastColumn="0" w:oddVBand="0" w:evenVBand="0" w:oddHBand="0" w:evenHBand="0" w:firstRowFirstColumn="0" w:firstRowLastColumn="0" w:lastRowFirstColumn="0" w:lastRowLastColumn="0"/>
              <w:rPr>
                <w:noProof/>
              </w:rPr>
            </w:pPr>
            <w:r>
              <w:rPr>
                <w:noProof/>
              </w:rPr>
              <w:t xml:space="preserve">2014-2020 </w:t>
            </w:r>
            <w:r w:rsidR="004E54EB" w:rsidRPr="00D30DE8">
              <w:rPr>
                <w:noProof/>
              </w:rPr>
              <w:t>Budget</w:t>
            </w:r>
          </w:p>
        </w:tc>
        <w:tc>
          <w:tcPr>
            <w:tcW w:w="2410" w:type="dxa"/>
          </w:tcPr>
          <w:p w14:paraId="64F0667A" w14:textId="77777777" w:rsidR="004E54EB" w:rsidRPr="00D30DE8" w:rsidRDefault="004E54EB" w:rsidP="0083214A">
            <w:pPr>
              <w:cnfStyle w:val="100000000000" w:firstRow="1" w:lastRow="0" w:firstColumn="0" w:lastColumn="0" w:oddVBand="0" w:evenVBand="0" w:oddHBand="0" w:evenHBand="0" w:firstRowFirstColumn="0" w:firstRowLastColumn="0" w:lastRowFirstColumn="0" w:lastRowLastColumn="0"/>
              <w:rPr>
                <w:noProof/>
              </w:rPr>
            </w:pPr>
            <w:r w:rsidRPr="00D30DE8">
              <w:rPr>
                <w:noProof/>
              </w:rPr>
              <w:t>Implementation rate</w:t>
            </w:r>
          </w:p>
        </w:tc>
      </w:tr>
      <w:tr w:rsidR="004E54EB" w:rsidRPr="00D30DE8" w14:paraId="1948B986"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6BAFF8BA" w14:textId="77777777" w:rsidR="004E54EB" w:rsidRPr="00D30DE8" w:rsidRDefault="004E54EB" w:rsidP="0083214A">
            <w:pPr>
              <w:jc w:val="center"/>
              <w:rPr>
                <w:noProof/>
              </w:rPr>
            </w:pPr>
            <w:r w:rsidRPr="00D30DE8">
              <w:rPr>
                <w:noProof/>
              </w:rPr>
              <w:t>Commitments</w:t>
            </w:r>
          </w:p>
        </w:tc>
        <w:tc>
          <w:tcPr>
            <w:tcW w:w="2410" w:type="dxa"/>
          </w:tcPr>
          <w:tbl>
            <w:tblPr>
              <w:tblStyle w:val="TableGrid"/>
              <w:tblW w:w="0" w:type="auto"/>
              <w:tblLook w:val="06A0" w:firstRow="1" w:lastRow="0" w:firstColumn="1" w:lastColumn="0" w:noHBand="1" w:noVBand="1"/>
            </w:tblPr>
            <w:tblGrid>
              <w:gridCol w:w="2194"/>
            </w:tblGrid>
            <w:tr w:rsidR="004E54EB" w:rsidRPr="00D30DE8" w14:paraId="06799A0C" w14:textId="77777777" w:rsidTr="0083214A">
              <w:trPr>
                <w:trHeight w:val="285"/>
              </w:trPr>
              <w:tc>
                <w:tcPr>
                  <w:tcW w:w="2290" w:type="dxa"/>
                  <w:tcBorders>
                    <w:top w:val="nil"/>
                    <w:left w:val="nil"/>
                    <w:bottom w:val="nil"/>
                    <w:right w:val="nil"/>
                  </w:tcBorders>
                  <w:vAlign w:val="bottom"/>
                </w:tcPr>
                <w:p w14:paraId="58E5E471" w14:textId="77777777" w:rsidR="004E54EB" w:rsidRPr="00D30DE8" w:rsidRDefault="004E54EB" w:rsidP="0083214A">
                  <w:pPr>
                    <w:jc w:val="right"/>
                    <w:rPr>
                      <w:noProof/>
                    </w:rPr>
                  </w:pPr>
                  <w:r w:rsidRPr="06D34A38">
                    <w:rPr>
                      <w:rFonts w:ascii="Calibri" w:hAnsi="Calibri" w:cs="Calibri"/>
                      <w:noProof/>
                      <w:color w:val="000000"/>
                    </w:rPr>
                    <w:t>7 585.4</w:t>
                  </w:r>
                </w:p>
              </w:tc>
            </w:tr>
          </w:tbl>
          <w:p w14:paraId="02176D6B" w14:textId="77777777" w:rsidR="004E54EB" w:rsidRPr="00D30DE8" w:rsidRDefault="004E54EB"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4E54EB" w:rsidRPr="00D30DE8" w14:paraId="7BB78459" w14:textId="77777777" w:rsidTr="0083214A">
              <w:trPr>
                <w:trHeight w:val="285"/>
              </w:trPr>
              <w:tc>
                <w:tcPr>
                  <w:tcW w:w="2290" w:type="dxa"/>
                  <w:tcBorders>
                    <w:top w:val="nil"/>
                    <w:left w:val="nil"/>
                    <w:bottom w:val="nil"/>
                    <w:right w:val="nil"/>
                  </w:tcBorders>
                  <w:vAlign w:val="bottom"/>
                </w:tcPr>
                <w:p w14:paraId="57CD580B" w14:textId="77777777" w:rsidR="004E54EB" w:rsidRPr="00D30DE8" w:rsidRDefault="004E54EB" w:rsidP="0083214A">
                  <w:pPr>
                    <w:jc w:val="right"/>
                    <w:rPr>
                      <w:noProof/>
                    </w:rPr>
                  </w:pPr>
                  <w:r w:rsidRPr="06D34A38">
                    <w:rPr>
                      <w:rFonts w:ascii="Calibri" w:hAnsi="Calibri" w:cs="Calibri"/>
                      <w:noProof/>
                      <w:color w:val="000000"/>
                    </w:rPr>
                    <w:t>7 595.0</w:t>
                  </w:r>
                </w:p>
              </w:tc>
            </w:tr>
          </w:tbl>
          <w:p w14:paraId="4A5D3FD2" w14:textId="77777777" w:rsidR="004E54EB" w:rsidRPr="00D30DE8" w:rsidRDefault="004E54EB"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4E54EB" w:rsidRPr="00D30DE8" w14:paraId="48FD1113" w14:textId="77777777" w:rsidTr="0083214A">
              <w:trPr>
                <w:trHeight w:val="285"/>
              </w:trPr>
              <w:tc>
                <w:tcPr>
                  <w:tcW w:w="2290" w:type="dxa"/>
                  <w:tcBorders>
                    <w:top w:val="nil"/>
                    <w:left w:val="nil"/>
                    <w:bottom w:val="nil"/>
                    <w:right w:val="nil"/>
                  </w:tcBorders>
                  <w:vAlign w:val="bottom"/>
                </w:tcPr>
                <w:p w14:paraId="76662DEF" w14:textId="77777777" w:rsidR="004E54EB" w:rsidRPr="00D30DE8" w:rsidRDefault="004E54EB" w:rsidP="0083214A">
                  <w:pPr>
                    <w:jc w:val="right"/>
                    <w:rPr>
                      <w:noProof/>
                    </w:rPr>
                  </w:pPr>
                  <w:r w:rsidRPr="00D30DE8">
                    <w:rPr>
                      <w:rFonts w:ascii="Calibri" w:hAnsi="Calibri" w:cs="Calibri"/>
                      <w:noProof/>
                      <w:color w:val="000000"/>
                    </w:rPr>
                    <w:t>100%</w:t>
                  </w:r>
                </w:p>
              </w:tc>
            </w:tr>
          </w:tbl>
          <w:p w14:paraId="2F84EB6E" w14:textId="77777777" w:rsidR="004E54EB" w:rsidRPr="00D30DE8" w:rsidRDefault="004E54EB" w:rsidP="0083214A">
            <w:pPr>
              <w:jc w:val="center"/>
              <w:cnfStyle w:val="000000000000" w:firstRow="0" w:lastRow="0" w:firstColumn="0" w:lastColumn="0" w:oddVBand="0" w:evenVBand="0" w:oddHBand="0" w:evenHBand="0" w:firstRowFirstColumn="0" w:firstRowLastColumn="0" w:lastRowFirstColumn="0" w:lastRowLastColumn="0"/>
              <w:rPr>
                <w:noProof/>
              </w:rPr>
            </w:pPr>
          </w:p>
        </w:tc>
      </w:tr>
      <w:tr w:rsidR="004E54EB" w:rsidRPr="00D30DE8" w14:paraId="089EA6BA"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16020600" w14:textId="77777777" w:rsidR="004E54EB" w:rsidRPr="00D30DE8" w:rsidRDefault="004E54EB" w:rsidP="0083214A">
            <w:pPr>
              <w:jc w:val="center"/>
              <w:rPr>
                <w:noProof/>
              </w:rPr>
            </w:pPr>
            <w:r w:rsidRPr="00D30DE8">
              <w:rPr>
                <w:noProof/>
              </w:rPr>
              <w:t>Payments</w:t>
            </w:r>
          </w:p>
        </w:tc>
        <w:tc>
          <w:tcPr>
            <w:tcW w:w="2410" w:type="dxa"/>
          </w:tcPr>
          <w:tbl>
            <w:tblPr>
              <w:tblStyle w:val="TableGrid"/>
              <w:tblW w:w="0" w:type="auto"/>
              <w:tblLook w:val="06A0" w:firstRow="1" w:lastRow="0" w:firstColumn="1" w:lastColumn="0" w:noHBand="1" w:noVBand="1"/>
            </w:tblPr>
            <w:tblGrid>
              <w:gridCol w:w="2194"/>
            </w:tblGrid>
            <w:tr w:rsidR="004E54EB" w:rsidRPr="00D30DE8" w14:paraId="1297A862" w14:textId="77777777" w:rsidTr="0083214A">
              <w:trPr>
                <w:trHeight w:val="285"/>
              </w:trPr>
              <w:tc>
                <w:tcPr>
                  <w:tcW w:w="2290" w:type="dxa"/>
                  <w:tcBorders>
                    <w:top w:val="nil"/>
                    <w:left w:val="nil"/>
                    <w:bottom w:val="nil"/>
                    <w:right w:val="nil"/>
                  </w:tcBorders>
                  <w:vAlign w:val="bottom"/>
                </w:tcPr>
                <w:p w14:paraId="66ACE9F1" w14:textId="77777777" w:rsidR="004E54EB" w:rsidRPr="00D30DE8" w:rsidRDefault="004E54EB" w:rsidP="0083214A">
                  <w:pPr>
                    <w:jc w:val="right"/>
                    <w:rPr>
                      <w:noProof/>
                    </w:rPr>
                  </w:pPr>
                  <w:r w:rsidRPr="06D34A38">
                    <w:rPr>
                      <w:rFonts w:ascii="Calibri" w:hAnsi="Calibri" w:cs="Calibri"/>
                      <w:noProof/>
                      <w:color w:val="000000"/>
                    </w:rPr>
                    <w:t>5 678.0</w:t>
                  </w:r>
                </w:p>
              </w:tc>
            </w:tr>
          </w:tbl>
          <w:p w14:paraId="5F23654E" w14:textId="77777777" w:rsidR="004E54EB" w:rsidRPr="00D30DE8" w:rsidRDefault="004E54EB"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6BF259E5" w14:textId="77777777" w:rsidR="004E54EB" w:rsidRPr="00D30DE8" w:rsidRDefault="004E54EB"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4E54EB" w:rsidRPr="00D30DE8" w14:paraId="110DD362" w14:textId="77777777" w:rsidTr="0083214A">
              <w:trPr>
                <w:trHeight w:val="285"/>
              </w:trPr>
              <w:tc>
                <w:tcPr>
                  <w:tcW w:w="2235" w:type="dxa"/>
                  <w:tcBorders>
                    <w:top w:val="nil"/>
                    <w:left w:val="nil"/>
                    <w:bottom w:val="nil"/>
                    <w:right w:val="nil"/>
                  </w:tcBorders>
                  <w:vAlign w:val="bottom"/>
                </w:tcPr>
                <w:p w14:paraId="4B6F89FF" w14:textId="77777777" w:rsidR="004E54EB" w:rsidRPr="00D30DE8" w:rsidRDefault="004E54EB" w:rsidP="0083214A">
                  <w:pPr>
                    <w:jc w:val="right"/>
                    <w:rPr>
                      <w:noProof/>
                    </w:rPr>
                  </w:pPr>
                  <w:r w:rsidRPr="00D30DE8">
                    <w:rPr>
                      <w:rFonts w:ascii="Calibri" w:hAnsi="Calibri" w:cs="Calibri"/>
                      <w:noProof/>
                      <w:color w:val="000000"/>
                    </w:rPr>
                    <w:t>75%</w:t>
                  </w:r>
                </w:p>
              </w:tc>
            </w:tr>
          </w:tbl>
          <w:p w14:paraId="5A72FE9D" w14:textId="77777777" w:rsidR="004E54EB" w:rsidRPr="00D30DE8" w:rsidRDefault="004E54EB" w:rsidP="0083214A">
            <w:pPr>
              <w:jc w:val="center"/>
              <w:cnfStyle w:val="000000000000" w:firstRow="0" w:lastRow="0" w:firstColumn="0" w:lastColumn="0" w:oddVBand="0" w:evenVBand="0" w:oddHBand="0" w:evenHBand="0" w:firstRowFirstColumn="0" w:firstRowLastColumn="0" w:lastRowFirstColumn="0" w:lastRowLastColumn="0"/>
              <w:rPr>
                <w:noProof/>
              </w:rPr>
            </w:pPr>
          </w:p>
        </w:tc>
      </w:tr>
    </w:tbl>
    <w:p w14:paraId="496EF14E" w14:textId="77777777" w:rsidR="004E54EB" w:rsidRPr="00D30DE8" w:rsidRDefault="004E54EB" w:rsidP="004E54EB">
      <w:pPr>
        <w:pStyle w:val="ppoListHyphened-L1"/>
        <w:rPr>
          <w:noProof/>
          <w:lang w:eastAsia="en-IE"/>
        </w:rPr>
      </w:pPr>
      <w:r w:rsidRPr="06D34A38">
        <w:rPr>
          <w:noProof/>
          <w:lang w:eastAsia="en-IE"/>
        </w:rPr>
        <w:t>Given the acute migration and border management needs arising from the invasion of Ukraine, the Commission proposed an initiative, which was adopted in April 2022, to facilitate access to unspent funding under the home affairs funds for the 2014-2020 programmes (including the AMIF).</w:t>
      </w:r>
    </w:p>
    <w:p w14:paraId="402C1EF8" w14:textId="77777777" w:rsidR="004E54EB" w:rsidRPr="00D30DE8" w:rsidRDefault="004E54EB" w:rsidP="004E54EB">
      <w:pPr>
        <w:pStyle w:val="ppoListHyphened-L1"/>
        <w:rPr>
          <w:noProof/>
          <w:lang w:eastAsia="en-IE"/>
        </w:rPr>
      </w:pPr>
      <w:r w:rsidRPr="06D34A38">
        <w:rPr>
          <w:noProof/>
          <w:lang w:eastAsia="en-IE"/>
        </w:rPr>
        <w:t>Indeed, at the end of 2021, for the national programmes only, 75.18% of the total envelope of the fund had been paid, meaning that the Member States actually spent and used EUR</w:t>
      </w:r>
      <w:r w:rsidRPr="06D34A38">
        <w:rPr>
          <w:rFonts w:ascii="Calibri" w:hAnsi="Calibri" w:cs="Calibri"/>
          <w:noProof/>
          <w:lang w:eastAsia="en-IE"/>
        </w:rPr>
        <w:t> </w:t>
      </w:r>
      <w:r w:rsidRPr="06D34A38">
        <w:rPr>
          <w:noProof/>
          <w:lang w:eastAsia="en-IE"/>
        </w:rPr>
        <w:t>3.44</w:t>
      </w:r>
      <w:r w:rsidRPr="06D34A38">
        <w:rPr>
          <w:rFonts w:ascii="Calibri" w:hAnsi="Calibri" w:cs="Calibri"/>
          <w:noProof/>
          <w:lang w:eastAsia="en-IE"/>
        </w:rPr>
        <w:t> </w:t>
      </w:r>
      <w:r w:rsidRPr="06D34A38">
        <w:rPr>
          <w:noProof/>
          <w:lang w:eastAsia="en-IE"/>
        </w:rPr>
        <w:t>billion of the EUR</w:t>
      </w:r>
      <w:r w:rsidRPr="06D34A38">
        <w:rPr>
          <w:rFonts w:ascii="Calibri" w:hAnsi="Calibri" w:cs="Calibri"/>
          <w:noProof/>
          <w:lang w:eastAsia="en-IE"/>
        </w:rPr>
        <w:t> </w:t>
      </w:r>
      <w:r w:rsidRPr="06D34A38">
        <w:rPr>
          <w:noProof/>
          <w:lang w:eastAsia="en-IE"/>
        </w:rPr>
        <w:t>4.58</w:t>
      </w:r>
      <w:r w:rsidRPr="06D34A38">
        <w:rPr>
          <w:rFonts w:ascii="Calibri" w:hAnsi="Calibri" w:cs="Calibri"/>
          <w:noProof/>
          <w:lang w:eastAsia="en-IE"/>
        </w:rPr>
        <w:t> </w:t>
      </w:r>
      <w:r w:rsidRPr="06D34A38">
        <w:rPr>
          <w:noProof/>
          <w:lang w:eastAsia="en-IE"/>
        </w:rPr>
        <w:t>billion allocated under the national programmes over the 2014-2020 period. By February 2022, Member States had requested a total amount of EUR</w:t>
      </w:r>
      <w:r w:rsidRPr="06D34A38">
        <w:rPr>
          <w:rFonts w:ascii="Calibri" w:hAnsi="Calibri" w:cs="Calibri"/>
          <w:noProof/>
          <w:lang w:eastAsia="en-IE"/>
        </w:rPr>
        <w:t> </w:t>
      </w:r>
      <w:r w:rsidRPr="06D34A38">
        <w:rPr>
          <w:noProof/>
          <w:lang w:eastAsia="en-IE"/>
        </w:rPr>
        <w:t>556</w:t>
      </w:r>
      <w:r w:rsidRPr="06D34A38">
        <w:rPr>
          <w:rFonts w:ascii="Calibri" w:hAnsi="Calibri" w:cs="Calibri"/>
          <w:noProof/>
          <w:lang w:eastAsia="en-IE"/>
        </w:rPr>
        <w:t> </w:t>
      </w:r>
      <w:r w:rsidRPr="06D34A38">
        <w:rPr>
          <w:noProof/>
          <w:lang w:eastAsia="en-IE"/>
        </w:rPr>
        <w:t>million. The implementation of the AMIF will run until the end of 2023. Therefore, nearly 2</w:t>
      </w:r>
      <w:r w:rsidRPr="06D34A38">
        <w:rPr>
          <w:rFonts w:ascii="Calibri" w:hAnsi="Calibri" w:cs="Calibri"/>
          <w:noProof/>
          <w:lang w:eastAsia="en-IE"/>
        </w:rPr>
        <w:t> </w:t>
      </w:r>
      <w:r w:rsidRPr="06D34A38">
        <w:rPr>
          <w:noProof/>
          <w:lang w:eastAsia="en-IE"/>
        </w:rPr>
        <w:t>years of implementation remain.</w:t>
      </w:r>
    </w:p>
    <w:p w14:paraId="77ACDD91" w14:textId="77777777" w:rsidR="004E54EB" w:rsidRPr="00D30DE8" w:rsidRDefault="004E54EB" w:rsidP="004E54EB">
      <w:pPr>
        <w:pStyle w:val="ppoListHyphened-L1"/>
        <w:rPr>
          <w:noProof/>
          <w:lang w:eastAsia="en-IE"/>
        </w:rPr>
      </w:pPr>
      <w:r w:rsidRPr="06D34A38">
        <w:rPr>
          <w:noProof/>
          <w:lang w:eastAsia="en-IE"/>
        </w:rPr>
        <w:t xml:space="preserve">Over the last few years, the national programmes have been revised several times. In 2017, they were modified to include funding linked to the resettlement, return and measures implementing the EU action plan on the integration of </w:t>
      </w:r>
      <w:r>
        <w:rPr>
          <w:noProof/>
        </w:rPr>
        <w:t xml:space="preserve">non-EU </w:t>
      </w:r>
      <w:r w:rsidRPr="06D34A38">
        <w:rPr>
          <w:noProof/>
          <w:lang w:eastAsia="en-IE"/>
        </w:rPr>
        <w:t>nationals. In 2018, they were revised to include an envelope of EUR</w:t>
      </w:r>
      <w:r w:rsidRPr="06D34A38">
        <w:rPr>
          <w:rFonts w:ascii="Calibri" w:hAnsi="Calibri" w:cs="Calibri"/>
          <w:noProof/>
          <w:lang w:eastAsia="en-IE"/>
        </w:rPr>
        <w:t> </w:t>
      </w:r>
      <w:r w:rsidRPr="06D34A38">
        <w:rPr>
          <w:noProof/>
          <w:lang w:eastAsia="en-IE"/>
        </w:rPr>
        <w:t>30</w:t>
      </w:r>
      <w:r w:rsidRPr="06D34A38">
        <w:rPr>
          <w:rFonts w:ascii="Calibri" w:hAnsi="Calibri" w:cs="Calibri"/>
          <w:noProof/>
          <w:lang w:eastAsia="en-IE"/>
        </w:rPr>
        <w:t> </w:t>
      </w:r>
      <w:r w:rsidRPr="06D34A38">
        <w:rPr>
          <w:noProof/>
          <w:lang w:eastAsia="en-IE"/>
        </w:rPr>
        <w:t>million and EUR</w:t>
      </w:r>
      <w:r w:rsidRPr="06D34A38">
        <w:rPr>
          <w:rFonts w:ascii="Calibri" w:hAnsi="Calibri" w:cs="Calibri"/>
          <w:noProof/>
          <w:lang w:eastAsia="en-IE"/>
        </w:rPr>
        <w:t> </w:t>
      </w:r>
      <w:r w:rsidRPr="06D34A38">
        <w:rPr>
          <w:noProof/>
          <w:lang w:eastAsia="en-IE"/>
        </w:rPr>
        <w:t>20</w:t>
      </w:r>
      <w:r w:rsidRPr="06D34A38">
        <w:rPr>
          <w:rFonts w:ascii="Calibri" w:hAnsi="Calibri" w:cs="Calibri"/>
          <w:noProof/>
          <w:lang w:eastAsia="en-IE"/>
        </w:rPr>
        <w:t> </w:t>
      </w:r>
      <w:r w:rsidRPr="06D34A38">
        <w:rPr>
          <w:noProof/>
          <w:lang w:eastAsia="en-IE"/>
        </w:rPr>
        <w:t xml:space="preserve">million to support the integration of </w:t>
      </w:r>
      <w:r>
        <w:rPr>
          <w:noProof/>
        </w:rPr>
        <w:t xml:space="preserve">non-EU </w:t>
      </w:r>
      <w:r w:rsidRPr="06D34A38">
        <w:rPr>
          <w:noProof/>
          <w:lang w:eastAsia="en-IE"/>
        </w:rPr>
        <w:t>nationals and the return of migrants, and to reflect the outcome of the midterm review exercise. In 2019, they were modified to include additional resources of EUR</w:t>
      </w:r>
      <w:r w:rsidRPr="06D34A38">
        <w:rPr>
          <w:rFonts w:ascii="Calibri" w:hAnsi="Calibri" w:cs="Calibri"/>
          <w:noProof/>
          <w:lang w:eastAsia="en-IE"/>
        </w:rPr>
        <w:t> </w:t>
      </w:r>
      <w:r w:rsidRPr="06D34A38">
        <w:rPr>
          <w:noProof/>
          <w:lang w:eastAsia="en-IE"/>
        </w:rPr>
        <w:t>97.6</w:t>
      </w:r>
      <w:r w:rsidRPr="06D34A38">
        <w:rPr>
          <w:rFonts w:ascii="Calibri" w:hAnsi="Calibri" w:cs="Calibri"/>
          <w:noProof/>
          <w:lang w:eastAsia="en-IE"/>
        </w:rPr>
        <w:t> </w:t>
      </w:r>
      <w:r w:rsidRPr="06D34A38">
        <w:rPr>
          <w:noProof/>
          <w:lang w:eastAsia="en-IE"/>
        </w:rPr>
        <w:t>million for resettlements to be carried out by the Member States in 2020 and 2021. In 2021, funding was increased again, by EUR</w:t>
      </w:r>
      <w:r w:rsidRPr="06D34A38">
        <w:rPr>
          <w:rFonts w:ascii="Calibri" w:hAnsi="Calibri" w:cs="Calibri"/>
          <w:noProof/>
          <w:lang w:eastAsia="en-IE"/>
        </w:rPr>
        <w:t> </w:t>
      </w:r>
      <w:r w:rsidRPr="06D34A38">
        <w:rPr>
          <w:noProof/>
          <w:lang w:eastAsia="en-IE"/>
        </w:rPr>
        <w:t>77.9</w:t>
      </w:r>
      <w:r w:rsidRPr="06D34A38">
        <w:rPr>
          <w:rFonts w:ascii="Calibri" w:hAnsi="Calibri" w:cs="Calibri"/>
          <w:noProof/>
          <w:lang w:eastAsia="en-IE"/>
        </w:rPr>
        <w:t> </w:t>
      </w:r>
      <w:r w:rsidRPr="06D34A38">
        <w:rPr>
          <w:noProof/>
          <w:lang w:eastAsia="en-IE"/>
        </w:rPr>
        <w:t>million.</w:t>
      </w:r>
    </w:p>
    <w:p w14:paraId="3DBCFCD6" w14:textId="77777777" w:rsidR="004E54EB" w:rsidRPr="00D30DE8" w:rsidRDefault="004E54EB" w:rsidP="004E54EB">
      <w:pPr>
        <w:pStyle w:val="ppoListHyphened-L1"/>
        <w:rPr>
          <w:noProof/>
          <w:lang w:eastAsia="en-IE"/>
        </w:rPr>
      </w:pPr>
      <w:r w:rsidRPr="06D34A38">
        <w:rPr>
          <w:noProof/>
          <w:lang w:eastAsia="en-IE"/>
        </w:rPr>
        <w:t>Implementation in 2020 and 2021 was marked by the effort to address the impact of the COVID-19 pandemic, which led to some delays in project implementation and procurement processes, especially in projects where the final beneficiary needs face-to-face interaction with the target audience (asylum, integration, return, relocation and resettlement) and in connection with travel restrictions. Also, there was an increase in mitigating measures in the co-financing rates, due to the extension of the duration of projects, with content adaptations or modifications.</w:t>
      </w:r>
    </w:p>
    <w:p w14:paraId="163C6CA5" w14:textId="77777777" w:rsidR="004E54EB" w:rsidRPr="00D30DE8" w:rsidRDefault="004E54EB" w:rsidP="004E54EB">
      <w:pPr>
        <w:pStyle w:val="ppoListHyphened-L1"/>
        <w:rPr>
          <w:noProof/>
          <w:lang w:eastAsia="en-IE"/>
        </w:rPr>
      </w:pPr>
      <w:r w:rsidRPr="06D34A38">
        <w:rPr>
          <w:noProof/>
          <w:lang w:eastAsia="en-IE"/>
        </w:rPr>
        <w:t>The AMIF has contributed to the EU Emergency Trust Fund for stability and addressing the root causes of irregular migration and displaced persons in Africa (EUR</w:t>
      </w:r>
      <w:r w:rsidRPr="06D34A38">
        <w:rPr>
          <w:rFonts w:ascii="Calibri" w:hAnsi="Calibri" w:cs="Calibri"/>
          <w:noProof/>
          <w:lang w:eastAsia="en-IE"/>
        </w:rPr>
        <w:t> </w:t>
      </w:r>
      <w:r w:rsidRPr="06D34A38">
        <w:rPr>
          <w:noProof/>
          <w:lang w:eastAsia="en-IE"/>
        </w:rPr>
        <w:t>135</w:t>
      </w:r>
      <w:r w:rsidRPr="06D34A38">
        <w:rPr>
          <w:rFonts w:ascii="Calibri" w:hAnsi="Calibri" w:cs="Calibri"/>
          <w:noProof/>
          <w:lang w:eastAsia="en-IE"/>
        </w:rPr>
        <w:t> </w:t>
      </w:r>
      <w:r w:rsidRPr="06D34A38">
        <w:rPr>
          <w:noProof/>
          <w:lang w:eastAsia="en-IE"/>
        </w:rPr>
        <w:t>million between 2017 and 2020).</w:t>
      </w:r>
    </w:p>
    <w:p w14:paraId="2720B3AF" w14:textId="77777777" w:rsidR="004E54EB" w:rsidRPr="00D30DE8" w:rsidRDefault="004E54EB" w:rsidP="004E54EB">
      <w:pPr>
        <w:pStyle w:val="ppoListHyphened-L1"/>
        <w:rPr>
          <w:noProof/>
          <w:lang w:eastAsia="en-IE"/>
        </w:rPr>
      </w:pPr>
      <w:r w:rsidRPr="06D34A38">
        <w:rPr>
          <w:noProof/>
          <w:lang w:eastAsia="en-IE"/>
        </w:rPr>
        <w:t>By the end of 2021, AMIF emergency assistance allocated to Member States since 2015 had reached EUR</w:t>
      </w:r>
      <w:r w:rsidRPr="06D34A38">
        <w:rPr>
          <w:rFonts w:ascii="Calibri" w:hAnsi="Calibri" w:cs="Calibri"/>
          <w:noProof/>
          <w:lang w:eastAsia="en-IE"/>
        </w:rPr>
        <w:t> </w:t>
      </w:r>
      <w:r w:rsidRPr="06D34A38">
        <w:rPr>
          <w:noProof/>
          <w:lang w:eastAsia="en-IE"/>
        </w:rPr>
        <w:t>2.4</w:t>
      </w:r>
      <w:r w:rsidRPr="06D34A38">
        <w:rPr>
          <w:rFonts w:ascii="Calibri" w:hAnsi="Calibri" w:cs="Calibri"/>
          <w:noProof/>
          <w:lang w:eastAsia="en-IE"/>
        </w:rPr>
        <w:t> </w:t>
      </w:r>
      <w:r w:rsidRPr="06D34A38">
        <w:rPr>
          <w:noProof/>
          <w:lang w:eastAsia="en-IE"/>
        </w:rPr>
        <w:t>billion. In 2021, 21 commitments were signed in relation to emergency assistance, notably in relation to Greece, Spain, Cyprus and Malta.</w:t>
      </w:r>
    </w:p>
    <w:p w14:paraId="2C9A0DD4" w14:textId="77777777" w:rsidR="004E54EB" w:rsidRPr="00D30DE8" w:rsidRDefault="004E54EB" w:rsidP="004E54EB">
      <w:pPr>
        <w:pStyle w:val="ppoHeading6"/>
        <w:rPr>
          <w:noProof/>
        </w:rPr>
      </w:pPr>
      <w:r w:rsidRPr="00D30DE8">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4E54EB" w:rsidRPr="00D30DE8" w14:paraId="7D719304" w14:textId="77777777" w:rsidTr="0083214A">
        <w:trPr>
          <w:cnfStyle w:val="100000000000" w:firstRow="1" w:lastRow="0" w:firstColumn="0" w:lastColumn="0" w:oddVBand="0" w:evenVBand="0" w:oddHBand="0" w:evenHBand="0" w:firstRowFirstColumn="0" w:firstRowLastColumn="0" w:lastRowFirstColumn="0" w:lastRowLastColumn="0"/>
        </w:trPr>
        <w:tc>
          <w:tcPr>
            <w:tcW w:w="2268" w:type="dxa"/>
          </w:tcPr>
          <w:p w14:paraId="2D113BE8" w14:textId="77777777" w:rsidR="004E54EB" w:rsidRPr="00D30DE8" w:rsidRDefault="004E54EB" w:rsidP="0083214A">
            <w:pPr>
              <w:rPr>
                <w:noProof/>
              </w:rPr>
            </w:pPr>
          </w:p>
        </w:tc>
        <w:tc>
          <w:tcPr>
            <w:tcW w:w="931" w:type="dxa"/>
          </w:tcPr>
          <w:p w14:paraId="09340E79" w14:textId="77777777" w:rsidR="004E54EB" w:rsidRPr="00D30DE8" w:rsidRDefault="004E54EB" w:rsidP="0083214A">
            <w:pPr>
              <w:rPr>
                <w:noProof/>
              </w:rPr>
            </w:pPr>
            <w:r w:rsidRPr="00D30DE8">
              <w:rPr>
                <w:noProof/>
              </w:rPr>
              <w:t>Baseline</w:t>
            </w:r>
          </w:p>
        </w:tc>
        <w:tc>
          <w:tcPr>
            <w:tcW w:w="1485" w:type="dxa"/>
          </w:tcPr>
          <w:p w14:paraId="2D1BED9B" w14:textId="77777777" w:rsidR="004E54EB" w:rsidRPr="00D30DE8" w:rsidRDefault="004E54EB" w:rsidP="0083214A">
            <w:pPr>
              <w:rPr>
                <w:noProof/>
              </w:rPr>
            </w:pPr>
            <w:r w:rsidRPr="00D30DE8">
              <w:rPr>
                <w:noProof/>
              </w:rPr>
              <w:t>Progress (*)</w:t>
            </w:r>
          </w:p>
        </w:tc>
        <w:tc>
          <w:tcPr>
            <w:tcW w:w="1491" w:type="dxa"/>
          </w:tcPr>
          <w:p w14:paraId="23772F3F" w14:textId="77777777" w:rsidR="004E54EB" w:rsidRPr="00D30DE8" w:rsidRDefault="004E54EB" w:rsidP="0083214A">
            <w:pPr>
              <w:rPr>
                <w:noProof/>
              </w:rPr>
            </w:pPr>
            <w:r w:rsidRPr="00D30DE8">
              <w:rPr>
                <w:noProof/>
              </w:rPr>
              <w:t>Target</w:t>
            </w:r>
          </w:p>
        </w:tc>
        <w:tc>
          <w:tcPr>
            <w:tcW w:w="1530" w:type="dxa"/>
          </w:tcPr>
          <w:p w14:paraId="2E5C58DB" w14:textId="77777777" w:rsidR="004E54EB" w:rsidRPr="00D30DE8" w:rsidRDefault="004E54EB" w:rsidP="0083214A">
            <w:pPr>
              <w:rPr>
                <w:noProof/>
              </w:rPr>
            </w:pPr>
            <w:r w:rsidRPr="00D30DE8">
              <w:rPr>
                <w:noProof/>
              </w:rPr>
              <w:t>Results</w:t>
            </w:r>
          </w:p>
        </w:tc>
        <w:tc>
          <w:tcPr>
            <w:tcW w:w="1537" w:type="dxa"/>
          </w:tcPr>
          <w:p w14:paraId="27C9A2A6" w14:textId="77777777" w:rsidR="004E54EB" w:rsidRPr="00D30DE8" w:rsidRDefault="004E54EB" w:rsidP="0083214A">
            <w:pPr>
              <w:rPr>
                <w:noProof/>
              </w:rPr>
            </w:pPr>
            <w:r w:rsidRPr="00D30DE8">
              <w:rPr>
                <w:noProof/>
              </w:rPr>
              <w:t>Assessment</w:t>
            </w:r>
          </w:p>
        </w:tc>
      </w:tr>
      <w:tr w:rsidR="004E54EB" w:rsidRPr="00D30DE8" w14:paraId="198C80E9" w14:textId="77777777" w:rsidTr="0083214A">
        <w:trPr>
          <w:cnfStyle w:val="000000100000" w:firstRow="0" w:lastRow="0" w:firstColumn="0" w:lastColumn="0" w:oddVBand="0" w:evenVBand="0" w:oddHBand="1" w:evenHBand="0" w:firstRowFirstColumn="0" w:firstRowLastColumn="0" w:lastRowFirstColumn="0" w:lastRowLastColumn="0"/>
        </w:trPr>
        <w:tc>
          <w:tcPr>
            <w:tcW w:w="2268" w:type="dxa"/>
          </w:tcPr>
          <w:p w14:paraId="0922030F" w14:textId="77777777" w:rsidR="004E54EB" w:rsidRPr="00D30DE8" w:rsidRDefault="004E54EB" w:rsidP="0083214A">
            <w:pPr>
              <w:rPr>
                <w:noProof/>
              </w:rPr>
            </w:pPr>
            <w:r>
              <w:rPr>
                <w:noProof/>
              </w:rPr>
              <w:t>Asylum</w:t>
            </w:r>
            <w:r w:rsidRPr="06D34A38">
              <w:rPr>
                <w:rFonts w:ascii="Calibri" w:hAnsi="Calibri" w:cs="Calibri"/>
                <w:noProof/>
              </w:rPr>
              <w:t> </w:t>
            </w:r>
            <w:r>
              <w:rPr>
                <w:noProof/>
              </w:rPr>
              <w:t>– people provided with assistance</w:t>
            </w:r>
          </w:p>
        </w:tc>
        <w:tc>
          <w:tcPr>
            <w:tcW w:w="931" w:type="dxa"/>
          </w:tcPr>
          <w:p w14:paraId="78DBFAA3" w14:textId="77777777" w:rsidR="004E54EB" w:rsidRPr="00D30DE8" w:rsidRDefault="004E54EB" w:rsidP="0083214A">
            <w:pPr>
              <w:jc w:val="center"/>
              <w:rPr>
                <w:noProof/>
              </w:rPr>
            </w:pPr>
            <w:r w:rsidRPr="00D30DE8">
              <w:rPr>
                <w:noProof/>
              </w:rPr>
              <w:t>0</w:t>
            </w:r>
          </w:p>
        </w:tc>
        <w:tc>
          <w:tcPr>
            <w:tcW w:w="1485" w:type="dxa"/>
          </w:tcPr>
          <w:p w14:paraId="2A2B3527" w14:textId="77777777" w:rsidR="004E54EB" w:rsidRPr="00D30DE8" w:rsidRDefault="004E54EB" w:rsidP="0083214A">
            <w:pPr>
              <w:jc w:val="center"/>
              <w:rPr>
                <w:b/>
                <w:noProof/>
              </w:rPr>
            </w:pPr>
            <w:r w:rsidRPr="00D30DE8">
              <w:rPr>
                <w:noProof/>
              </w:rPr>
              <w:t>&gt; 100%</w:t>
            </w:r>
          </w:p>
        </w:tc>
        <w:tc>
          <w:tcPr>
            <w:tcW w:w="1491" w:type="dxa"/>
          </w:tcPr>
          <w:p w14:paraId="56A2EF69" w14:textId="77777777" w:rsidR="004E54EB" w:rsidRPr="00D30DE8" w:rsidRDefault="004E54EB" w:rsidP="0083214A">
            <w:pPr>
              <w:jc w:val="center"/>
              <w:rPr>
                <w:noProof/>
              </w:rPr>
            </w:pPr>
            <w:r>
              <w:rPr>
                <w:noProof/>
              </w:rPr>
              <w:t>1.3</w:t>
            </w:r>
            <w:r w:rsidRPr="06D34A38">
              <w:rPr>
                <w:rFonts w:ascii="Calibri" w:hAnsi="Calibri" w:cs="Calibri"/>
                <w:noProof/>
              </w:rPr>
              <w:t> </w:t>
            </w:r>
            <w:r>
              <w:rPr>
                <w:noProof/>
              </w:rPr>
              <w:t>million in 2022</w:t>
            </w:r>
          </w:p>
        </w:tc>
        <w:tc>
          <w:tcPr>
            <w:tcW w:w="1530" w:type="dxa"/>
          </w:tcPr>
          <w:p w14:paraId="43C76B9B" w14:textId="77777777" w:rsidR="004E54EB" w:rsidRPr="00D30DE8" w:rsidRDefault="004E54EB" w:rsidP="0083214A">
            <w:pPr>
              <w:jc w:val="center"/>
              <w:rPr>
                <w:noProof/>
              </w:rPr>
            </w:pPr>
            <w:r>
              <w:rPr>
                <w:noProof/>
              </w:rPr>
              <w:t>2.7</w:t>
            </w:r>
            <w:r w:rsidRPr="06D34A38">
              <w:rPr>
                <w:rFonts w:ascii="Calibri" w:hAnsi="Calibri" w:cs="Calibri"/>
                <w:noProof/>
              </w:rPr>
              <w:t> </w:t>
            </w:r>
            <w:r>
              <w:rPr>
                <w:noProof/>
              </w:rPr>
              <w:t>million compared to a target of 1.3</w:t>
            </w:r>
            <w:r w:rsidRPr="06D34A38">
              <w:rPr>
                <w:rFonts w:ascii="Calibri" w:hAnsi="Calibri" w:cs="Calibri"/>
                <w:noProof/>
              </w:rPr>
              <w:t> </w:t>
            </w:r>
            <w:r>
              <w:rPr>
                <w:noProof/>
              </w:rPr>
              <w:t>million</w:t>
            </w:r>
          </w:p>
        </w:tc>
        <w:tc>
          <w:tcPr>
            <w:tcW w:w="1537" w:type="dxa"/>
          </w:tcPr>
          <w:p w14:paraId="5477F8B1" w14:textId="77777777" w:rsidR="004E54EB" w:rsidRPr="00D30DE8" w:rsidRDefault="004E54EB" w:rsidP="0083214A">
            <w:pPr>
              <w:jc w:val="center"/>
              <w:rPr>
                <w:noProof/>
              </w:rPr>
            </w:pPr>
            <w:r w:rsidRPr="00D30DE8">
              <w:rPr>
                <w:noProof/>
              </w:rPr>
              <w:t>Achieved</w:t>
            </w:r>
          </w:p>
        </w:tc>
      </w:tr>
      <w:tr w:rsidR="004E54EB" w:rsidRPr="00D30DE8" w14:paraId="6FB60C3B" w14:textId="77777777" w:rsidTr="0083214A">
        <w:trPr>
          <w:cnfStyle w:val="000000010000" w:firstRow="0" w:lastRow="0" w:firstColumn="0" w:lastColumn="0" w:oddVBand="0" w:evenVBand="0" w:oddHBand="0" w:evenHBand="1" w:firstRowFirstColumn="0" w:firstRowLastColumn="0" w:lastRowFirstColumn="0" w:lastRowLastColumn="0"/>
        </w:trPr>
        <w:tc>
          <w:tcPr>
            <w:tcW w:w="2268" w:type="dxa"/>
          </w:tcPr>
          <w:p w14:paraId="3E3A1F9F" w14:textId="77777777" w:rsidR="004E54EB" w:rsidRPr="00D30DE8" w:rsidRDefault="004E54EB" w:rsidP="0083214A">
            <w:pPr>
              <w:rPr>
                <w:noProof/>
              </w:rPr>
            </w:pPr>
            <w:r w:rsidRPr="00D30DE8">
              <w:rPr>
                <w:noProof/>
              </w:rPr>
              <w:t>New/improved reception accommodation infrastructures</w:t>
            </w:r>
          </w:p>
        </w:tc>
        <w:tc>
          <w:tcPr>
            <w:tcW w:w="931" w:type="dxa"/>
          </w:tcPr>
          <w:p w14:paraId="56DBDA59" w14:textId="77777777" w:rsidR="004E54EB" w:rsidRPr="00D30DE8" w:rsidRDefault="004E54EB" w:rsidP="0083214A">
            <w:pPr>
              <w:jc w:val="center"/>
              <w:rPr>
                <w:noProof/>
              </w:rPr>
            </w:pPr>
            <w:r w:rsidRPr="00D30DE8">
              <w:rPr>
                <w:noProof/>
              </w:rPr>
              <w:t>0</w:t>
            </w:r>
          </w:p>
        </w:tc>
        <w:tc>
          <w:tcPr>
            <w:tcW w:w="1485" w:type="dxa"/>
          </w:tcPr>
          <w:p w14:paraId="4B545C07" w14:textId="77777777" w:rsidR="004E54EB" w:rsidRPr="00D30DE8" w:rsidRDefault="004E54EB" w:rsidP="0083214A">
            <w:pPr>
              <w:jc w:val="center"/>
              <w:rPr>
                <w:b/>
                <w:noProof/>
              </w:rPr>
            </w:pPr>
            <w:r w:rsidRPr="00D30DE8">
              <w:rPr>
                <w:noProof/>
              </w:rPr>
              <w:t>81%</w:t>
            </w:r>
          </w:p>
        </w:tc>
        <w:tc>
          <w:tcPr>
            <w:tcW w:w="1491" w:type="dxa"/>
          </w:tcPr>
          <w:p w14:paraId="7E5B4E42" w14:textId="77777777" w:rsidR="004E54EB" w:rsidRPr="00D30DE8" w:rsidRDefault="004E54EB" w:rsidP="0083214A">
            <w:pPr>
              <w:jc w:val="center"/>
              <w:rPr>
                <w:noProof/>
              </w:rPr>
            </w:pPr>
            <w:r>
              <w:rPr>
                <w:noProof/>
              </w:rPr>
              <w:t>51</w:t>
            </w:r>
            <w:r w:rsidRPr="06D34A38">
              <w:rPr>
                <w:rFonts w:ascii="Calibri" w:hAnsi="Calibri" w:cs="Calibri"/>
                <w:noProof/>
              </w:rPr>
              <w:t> </w:t>
            </w:r>
            <w:r>
              <w:rPr>
                <w:noProof/>
              </w:rPr>
              <w:t>028 in 2022</w:t>
            </w:r>
          </w:p>
        </w:tc>
        <w:tc>
          <w:tcPr>
            <w:tcW w:w="1530" w:type="dxa"/>
          </w:tcPr>
          <w:p w14:paraId="0FD63264" w14:textId="77777777" w:rsidR="004E54EB" w:rsidRPr="00D30DE8" w:rsidRDefault="004E54EB" w:rsidP="0083214A">
            <w:pPr>
              <w:jc w:val="center"/>
              <w:rPr>
                <w:noProof/>
              </w:rPr>
            </w:pPr>
            <w:r>
              <w:rPr>
                <w:noProof/>
              </w:rPr>
              <w:t>41</w:t>
            </w:r>
            <w:r w:rsidRPr="06D34A38">
              <w:rPr>
                <w:rFonts w:ascii="Calibri" w:hAnsi="Calibri" w:cs="Calibri"/>
                <w:noProof/>
              </w:rPr>
              <w:t> </w:t>
            </w:r>
            <w:r>
              <w:rPr>
                <w:noProof/>
              </w:rPr>
              <w:t>266 compared to a target of 51</w:t>
            </w:r>
            <w:r w:rsidRPr="06D34A38">
              <w:rPr>
                <w:rFonts w:ascii="Calibri" w:hAnsi="Calibri" w:cs="Calibri"/>
                <w:noProof/>
              </w:rPr>
              <w:t> </w:t>
            </w:r>
            <w:r>
              <w:rPr>
                <w:noProof/>
              </w:rPr>
              <w:t>028</w:t>
            </w:r>
          </w:p>
        </w:tc>
        <w:tc>
          <w:tcPr>
            <w:tcW w:w="1537" w:type="dxa"/>
          </w:tcPr>
          <w:p w14:paraId="2757D5E9" w14:textId="77777777" w:rsidR="004E54EB" w:rsidRPr="00D30DE8" w:rsidRDefault="004E54EB" w:rsidP="0083214A">
            <w:pPr>
              <w:jc w:val="center"/>
              <w:rPr>
                <w:noProof/>
              </w:rPr>
            </w:pPr>
            <w:r w:rsidRPr="00D30DE8">
              <w:rPr>
                <w:noProof/>
              </w:rPr>
              <w:t>On track</w:t>
            </w:r>
          </w:p>
        </w:tc>
      </w:tr>
      <w:tr w:rsidR="004E54EB" w:rsidRPr="00D30DE8" w14:paraId="4C362466" w14:textId="77777777" w:rsidTr="0083214A">
        <w:trPr>
          <w:cnfStyle w:val="000000100000" w:firstRow="0" w:lastRow="0" w:firstColumn="0" w:lastColumn="0" w:oddVBand="0" w:evenVBand="0" w:oddHBand="1" w:evenHBand="0" w:firstRowFirstColumn="0" w:firstRowLastColumn="0" w:lastRowFirstColumn="0" w:lastRowLastColumn="0"/>
        </w:trPr>
        <w:tc>
          <w:tcPr>
            <w:tcW w:w="2268" w:type="dxa"/>
          </w:tcPr>
          <w:p w14:paraId="3600234D" w14:textId="77777777" w:rsidR="004E54EB" w:rsidRPr="00D30DE8" w:rsidRDefault="004E54EB" w:rsidP="0083214A">
            <w:pPr>
              <w:rPr>
                <w:noProof/>
              </w:rPr>
            </w:pPr>
            <w:r>
              <w:rPr>
                <w:noProof/>
              </w:rPr>
              <w:t>Number of people resettled</w:t>
            </w:r>
          </w:p>
        </w:tc>
        <w:tc>
          <w:tcPr>
            <w:tcW w:w="931" w:type="dxa"/>
          </w:tcPr>
          <w:p w14:paraId="3E572228" w14:textId="77777777" w:rsidR="004E54EB" w:rsidRPr="00D30DE8" w:rsidRDefault="004E54EB" w:rsidP="0083214A">
            <w:pPr>
              <w:jc w:val="center"/>
              <w:rPr>
                <w:noProof/>
              </w:rPr>
            </w:pPr>
            <w:r w:rsidRPr="00D30DE8">
              <w:rPr>
                <w:noProof/>
              </w:rPr>
              <w:t>0</w:t>
            </w:r>
          </w:p>
        </w:tc>
        <w:tc>
          <w:tcPr>
            <w:tcW w:w="1485" w:type="dxa"/>
          </w:tcPr>
          <w:p w14:paraId="2FC62290" w14:textId="77777777" w:rsidR="004E54EB" w:rsidRPr="00D30DE8" w:rsidRDefault="004E54EB" w:rsidP="0083214A">
            <w:pPr>
              <w:jc w:val="center"/>
              <w:rPr>
                <w:b/>
                <w:noProof/>
              </w:rPr>
            </w:pPr>
            <w:r w:rsidRPr="00D30DE8">
              <w:rPr>
                <w:noProof/>
              </w:rPr>
              <w:t>79%</w:t>
            </w:r>
          </w:p>
        </w:tc>
        <w:tc>
          <w:tcPr>
            <w:tcW w:w="1491" w:type="dxa"/>
          </w:tcPr>
          <w:p w14:paraId="5F28B378" w14:textId="77777777" w:rsidR="004E54EB" w:rsidRPr="00D30DE8" w:rsidRDefault="004E54EB" w:rsidP="0083214A">
            <w:pPr>
              <w:jc w:val="center"/>
              <w:rPr>
                <w:noProof/>
              </w:rPr>
            </w:pPr>
            <w:r>
              <w:rPr>
                <w:noProof/>
              </w:rPr>
              <w:t>108</w:t>
            </w:r>
            <w:r w:rsidRPr="06D34A38">
              <w:rPr>
                <w:rFonts w:ascii="Calibri" w:hAnsi="Calibri" w:cs="Calibri"/>
                <w:noProof/>
              </w:rPr>
              <w:t> </w:t>
            </w:r>
            <w:r>
              <w:rPr>
                <w:noProof/>
              </w:rPr>
              <w:t>860 in 2022</w:t>
            </w:r>
          </w:p>
        </w:tc>
        <w:tc>
          <w:tcPr>
            <w:tcW w:w="1530" w:type="dxa"/>
          </w:tcPr>
          <w:p w14:paraId="3779F589" w14:textId="77777777" w:rsidR="004E54EB" w:rsidRPr="00D30DE8" w:rsidRDefault="004E54EB" w:rsidP="0083214A">
            <w:pPr>
              <w:jc w:val="center"/>
              <w:rPr>
                <w:noProof/>
              </w:rPr>
            </w:pPr>
            <w:r>
              <w:rPr>
                <w:noProof/>
              </w:rPr>
              <w:t>86</w:t>
            </w:r>
            <w:r w:rsidRPr="06D34A38">
              <w:rPr>
                <w:rFonts w:ascii="Calibri" w:hAnsi="Calibri" w:cs="Calibri"/>
                <w:noProof/>
              </w:rPr>
              <w:t> </w:t>
            </w:r>
            <w:r>
              <w:rPr>
                <w:noProof/>
              </w:rPr>
              <w:t>243 compared to a target of 108</w:t>
            </w:r>
            <w:r w:rsidRPr="06D34A38">
              <w:rPr>
                <w:rFonts w:ascii="Calibri" w:hAnsi="Calibri" w:cs="Calibri"/>
                <w:noProof/>
              </w:rPr>
              <w:t> </w:t>
            </w:r>
            <w:r>
              <w:rPr>
                <w:noProof/>
              </w:rPr>
              <w:t>860</w:t>
            </w:r>
          </w:p>
        </w:tc>
        <w:tc>
          <w:tcPr>
            <w:tcW w:w="1537" w:type="dxa"/>
          </w:tcPr>
          <w:p w14:paraId="5CCD54AC" w14:textId="77777777" w:rsidR="004E54EB" w:rsidRPr="00D30DE8" w:rsidRDefault="004E54EB" w:rsidP="0083214A">
            <w:pPr>
              <w:jc w:val="center"/>
              <w:rPr>
                <w:noProof/>
              </w:rPr>
            </w:pPr>
            <w:r w:rsidRPr="00D30DE8">
              <w:rPr>
                <w:noProof/>
              </w:rPr>
              <w:t>On track</w:t>
            </w:r>
          </w:p>
        </w:tc>
      </w:tr>
      <w:tr w:rsidR="004E54EB" w:rsidRPr="00D30DE8" w14:paraId="0F267224" w14:textId="77777777" w:rsidTr="0083214A">
        <w:trPr>
          <w:cnfStyle w:val="000000010000" w:firstRow="0" w:lastRow="0" w:firstColumn="0" w:lastColumn="0" w:oddVBand="0" w:evenVBand="0" w:oddHBand="0" w:evenHBand="1" w:firstRowFirstColumn="0" w:firstRowLastColumn="0" w:lastRowFirstColumn="0" w:lastRowLastColumn="0"/>
        </w:trPr>
        <w:tc>
          <w:tcPr>
            <w:tcW w:w="2268" w:type="dxa"/>
          </w:tcPr>
          <w:p w14:paraId="541F35B2" w14:textId="77777777" w:rsidR="004E54EB" w:rsidRPr="00D30DE8" w:rsidRDefault="004E54EB" w:rsidP="0083214A">
            <w:pPr>
              <w:rPr>
                <w:noProof/>
              </w:rPr>
            </w:pPr>
            <w:r>
              <w:rPr>
                <w:noProof/>
              </w:rPr>
              <w:t>Integration of non-EU nationals</w:t>
            </w:r>
            <w:r w:rsidRPr="06D34A38">
              <w:rPr>
                <w:rFonts w:ascii="Calibri" w:hAnsi="Calibri" w:cs="Calibri"/>
                <w:noProof/>
              </w:rPr>
              <w:t> </w:t>
            </w:r>
            <w:r>
              <w:rPr>
                <w:noProof/>
              </w:rPr>
              <w:t>– number of beneficiaries</w:t>
            </w:r>
          </w:p>
        </w:tc>
        <w:tc>
          <w:tcPr>
            <w:tcW w:w="931" w:type="dxa"/>
          </w:tcPr>
          <w:p w14:paraId="4C5BC2EF" w14:textId="77777777" w:rsidR="004E54EB" w:rsidRPr="00D30DE8" w:rsidRDefault="004E54EB" w:rsidP="0083214A">
            <w:pPr>
              <w:jc w:val="center"/>
              <w:rPr>
                <w:noProof/>
              </w:rPr>
            </w:pPr>
            <w:r w:rsidRPr="00D30DE8">
              <w:rPr>
                <w:noProof/>
              </w:rPr>
              <w:t>0</w:t>
            </w:r>
          </w:p>
        </w:tc>
        <w:tc>
          <w:tcPr>
            <w:tcW w:w="1485" w:type="dxa"/>
          </w:tcPr>
          <w:p w14:paraId="7752196C" w14:textId="77777777" w:rsidR="004E54EB" w:rsidRPr="00D30DE8" w:rsidRDefault="004E54EB" w:rsidP="0083214A">
            <w:pPr>
              <w:jc w:val="center"/>
              <w:rPr>
                <w:b/>
                <w:noProof/>
              </w:rPr>
            </w:pPr>
            <w:r w:rsidRPr="00D30DE8">
              <w:rPr>
                <w:noProof/>
              </w:rPr>
              <w:t>&gt; 100%</w:t>
            </w:r>
          </w:p>
        </w:tc>
        <w:tc>
          <w:tcPr>
            <w:tcW w:w="1491" w:type="dxa"/>
          </w:tcPr>
          <w:p w14:paraId="23A632D5" w14:textId="77777777" w:rsidR="004E54EB" w:rsidRPr="00D30DE8" w:rsidRDefault="004E54EB" w:rsidP="0083214A">
            <w:pPr>
              <w:jc w:val="center"/>
              <w:rPr>
                <w:noProof/>
              </w:rPr>
            </w:pPr>
            <w:r>
              <w:rPr>
                <w:noProof/>
              </w:rPr>
              <w:t>2.6</w:t>
            </w:r>
            <w:r w:rsidRPr="06D34A38">
              <w:rPr>
                <w:rFonts w:ascii="Calibri" w:hAnsi="Calibri" w:cs="Calibri"/>
                <w:noProof/>
              </w:rPr>
              <w:t> </w:t>
            </w:r>
            <w:r>
              <w:rPr>
                <w:noProof/>
              </w:rPr>
              <w:t>million in 2022</w:t>
            </w:r>
          </w:p>
        </w:tc>
        <w:tc>
          <w:tcPr>
            <w:tcW w:w="1530" w:type="dxa"/>
          </w:tcPr>
          <w:p w14:paraId="39F8CCC0" w14:textId="77777777" w:rsidR="004E54EB" w:rsidRPr="00D30DE8" w:rsidRDefault="004E54EB" w:rsidP="0083214A">
            <w:pPr>
              <w:jc w:val="center"/>
              <w:rPr>
                <w:noProof/>
              </w:rPr>
            </w:pPr>
            <w:r>
              <w:rPr>
                <w:noProof/>
              </w:rPr>
              <w:t>7.8</w:t>
            </w:r>
            <w:r w:rsidRPr="06D34A38">
              <w:rPr>
                <w:rFonts w:ascii="Calibri" w:hAnsi="Calibri" w:cs="Calibri"/>
                <w:noProof/>
              </w:rPr>
              <w:t> </w:t>
            </w:r>
            <w:r>
              <w:rPr>
                <w:noProof/>
              </w:rPr>
              <w:t>million compared to target of 2.6</w:t>
            </w:r>
            <w:r w:rsidRPr="06D34A38">
              <w:rPr>
                <w:rFonts w:ascii="Calibri" w:hAnsi="Calibri" w:cs="Calibri"/>
                <w:noProof/>
              </w:rPr>
              <w:t> </w:t>
            </w:r>
            <w:r>
              <w:rPr>
                <w:noProof/>
              </w:rPr>
              <w:t>million</w:t>
            </w:r>
          </w:p>
        </w:tc>
        <w:tc>
          <w:tcPr>
            <w:tcW w:w="1537" w:type="dxa"/>
          </w:tcPr>
          <w:p w14:paraId="18D3C482" w14:textId="77777777" w:rsidR="004E54EB" w:rsidRPr="00D30DE8" w:rsidRDefault="004E54EB" w:rsidP="0083214A">
            <w:pPr>
              <w:jc w:val="center"/>
              <w:rPr>
                <w:noProof/>
              </w:rPr>
            </w:pPr>
            <w:r w:rsidRPr="00D30DE8">
              <w:rPr>
                <w:noProof/>
              </w:rPr>
              <w:t>Achieved</w:t>
            </w:r>
          </w:p>
        </w:tc>
      </w:tr>
      <w:tr w:rsidR="004E54EB" w:rsidRPr="00D30DE8" w14:paraId="0BC198BD" w14:textId="77777777" w:rsidTr="0083214A">
        <w:trPr>
          <w:cnfStyle w:val="000000100000" w:firstRow="0" w:lastRow="0" w:firstColumn="0" w:lastColumn="0" w:oddVBand="0" w:evenVBand="0" w:oddHBand="1" w:evenHBand="0" w:firstRowFirstColumn="0" w:firstRowLastColumn="0" w:lastRowFirstColumn="0" w:lastRowLastColumn="0"/>
        </w:trPr>
        <w:tc>
          <w:tcPr>
            <w:tcW w:w="2268" w:type="dxa"/>
          </w:tcPr>
          <w:p w14:paraId="50F58A6C" w14:textId="77777777" w:rsidR="004E54EB" w:rsidRPr="00D30DE8" w:rsidRDefault="004E54EB" w:rsidP="0083214A">
            <w:pPr>
              <w:rPr>
                <w:noProof/>
              </w:rPr>
            </w:pPr>
            <w:r>
              <w:rPr>
                <w:noProof/>
              </w:rPr>
              <w:t>Integration of non-EU nationals</w:t>
            </w:r>
            <w:r w:rsidRPr="06D34A38">
              <w:rPr>
                <w:rFonts w:ascii="Calibri" w:hAnsi="Calibri" w:cs="Calibri"/>
                <w:noProof/>
              </w:rPr>
              <w:t> </w:t>
            </w:r>
            <w:r>
              <w:rPr>
                <w:noProof/>
              </w:rPr>
              <w:t>– local, regional and national actions</w:t>
            </w:r>
          </w:p>
        </w:tc>
        <w:tc>
          <w:tcPr>
            <w:tcW w:w="931" w:type="dxa"/>
          </w:tcPr>
          <w:p w14:paraId="76CC25AD" w14:textId="77777777" w:rsidR="004E54EB" w:rsidRPr="00D30DE8" w:rsidRDefault="004E54EB" w:rsidP="0083214A">
            <w:pPr>
              <w:jc w:val="center"/>
              <w:rPr>
                <w:noProof/>
              </w:rPr>
            </w:pPr>
            <w:r w:rsidRPr="00D30DE8">
              <w:rPr>
                <w:noProof/>
              </w:rPr>
              <w:t>0</w:t>
            </w:r>
          </w:p>
        </w:tc>
        <w:tc>
          <w:tcPr>
            <w:tcW w:w="1485" w:type="dxa"/>
          </w:tcPr>
          <w:p w14:paraId="10CE52E4" w14:textId="77777777" w:rsidR="004E54EB" w:rsidRPr="00D30DE8" w:rsidRDefault="004E54EB" w:rsidP="0083214A">
            <w:pPr>
              <w:jc w:val="center"/>
              <w:rPr>
                <w:b/>
                <w:noProof/>
              </w:rPr>
            </w:pPr>
            <w:r w:rsidRPr="00D30DE8">
              <w:rPr>
                <w:noProof/>
              </w:rPr>
              <w:t>&gt; 100%</w:t>
            </w:r>
          </w:p>
        </w:tc>
        <w:tc>
          <w:tcPr>
            <w:tcW w:w="1491" w:type="dxa"/>
          </w:tcPr>
          <w:p w14:paraId="564E9DD0" w14:textId="77777777" w:rsidR="004E54EB" w:rsidRPr="00D30DE8" w:rsidRDefault="004E54EB" w:rsidP="0083214A">
            <w:pPr>
              <w:jc w:val="center"/>
              <w:rPr>
                <w:noProof/>
              </w:rPr>
            </w:pPr>
            <w:r>
              <w:rPr>
                <w:noProof/>
              </w:rPr>
              <w:t>7</w:t>
            </w:r>
            <w:r w:rsidRPr="06D34A38">
              <w:rPr>
                <w:rFonts w:ascii="Calibri" w:hAnsi="Calibri" w:cs="Calibri"/>
                <w:noProof/>
              </w:rPr>
              <w:t> </w:t>
            </w:r>
            <w:r>
              <w:rPr>
                <w:noProof/>
              </w:rPr>
              <w:t>443 in 2022</w:t>
            </w:r>
          </w:p>
        </w:tc>
        <w:tc>
          <w:tcPr>
            <w:tcW w:w="1530" w:type="dxa"/>
          </w:tcPr>
          <w:p w14:paraId="21091C1E" w14:textId="77777777" w:rsidR="004E54EB" w:rsidRPr="00D30DE8" w:rsidRDefault="004E54EB" w:rsidP="0083214A">
            <w:pPr>
              <w:jc w:val="center"/>
              <w:rPr>
                <w:noProof/>
              </w:rPr>
            </w:pPr>
            <w:r>
              <w:rPr>
                <w:noProof/>
              </w:rPr>
              <w:t>12</w:t>
            </w:r>
            <w:r w:rsidRPr="06D34A38">
              <w:rPr>
                <w:rFonts w:ascii="Calibri" w:hAnsi="Calibri" w:cs="Calibri"/>
                <w:noProof/>
              </w:rPr>
              <w:t> </w:t>
            </w:r>
            <w:r>
              <w:rPr>
                <w:noProof/>
              </w:rPr>
              <w:t>786 compared to target of 7</w:t>
            </w:r>
            <w:r w:rsidRPr="06D34A38">
              <w:rPr>
                <w:rFonts w:ascii="Calibri" w:hAnsi="Calibri" w:cs="Calibri"/>
                <w:noProof/>
              </w:rPr>
              <w:t> </w:t>
            </w:r>
            <w:r>
              <w:rPr>
                <w:noProof/>
              </w:rPr>
              <w:t>443</w:t>
            </w:r>
          </w:p>
        </w:tc>
        <w:tc>
          <w:tcPr>
            <w:tcW w:w="1537" w:type="dxa"/>
          </w:tcPr>
          <w:p w14:paraId="75885F6C" w14:textId="77777777" w:rsidR="004E54EB" w:rsidRPr="00D30DE8" w:rsidRDefault="004E54EB" w:rsidP="0083214A">
            <w:pPr>
              <w:jc w:val="center"/>
              <w:rPr>
                <w:noProof/>
              </w:rPr>
            </w:pPr>
            <w:r w:rsidRPr="00D30DE8">
              <w:rPr>
                <w:noProof/>
              </w:rPr>
              <w:t>Achieved</w:t>
            </w:r>
          </w:p>
        </w:tc>
      </w:tr>
      <w:tr w:rsidR="004E54EB" w:rsidRPr="00D30DE8" w14:paraId="2CE3AFF8" w14:textId="77777777" w:rsidTr="0083214A">
        <w:trPr>
          <w:cnfStyle w:val="000000010000" w:firstRow="0" w:lastRow="0" w:firstColumn="0" w:lastColumn="0" w:oddVBand="0" w:evenVBand="0" w:oddHBand="0" w:evenHBand="1" w:firstRowFirstColumn="0" w:firstRowLastColumn="0" w:lastRowFirstColumn="0" w:lastRowLastColumn="0"/>
        </w:trPr>
        <w:tc>
          <w:tcPr>
            <w:tcW w:w="2268" w:type="dxa"/>
          </w:tcPr>
          <w:p w14:paraId="1D0D50B8" w14:textId="77777777" w:rsidR="004E54EB" w:rsidRPr="00D30DE8" w:rsidRDefault="004E54EB" w:rsidP="0083214A">
            <w:pPr>
              <w:rPr>
                <w:noProof/>
              </w:rPr>
            </w:pPr>
            <w:r>
              <w:rPr>
                <w:noProof/>
              </w:rPr>
              <w:t>Co-financed returns</w:t>
            </w:r>
            <w:r w:rsidRPr="06D34A38">
              <w:rPr>
                <w:rFonts w:ascii="Calibri" w:hAnsi="Calibri" w:cs="Calibri"/>
                <w:noProof/>
              </w:rPr>
              <w:t> </w:t>
            </w:r>
            <w:r>
              <w:rPr>
                <w:noProof/>
              </w:rPr>
              <w:t>– total (number of people)</w:t>
            </w:r>
          </w:p>
        </w:tc>
        <w:tc>
          <w:tcPr>
            <w:tcW w:w="931" w:type="dxa"/>
          </w:tcPr>
          <w:p w14:paraId="22DE7651" w14:textId="77777777" w:rsidR="004E54EB" w:rsidRPr="00D30DE8" w:rsidRDefault="004E54EB" w:rsidP="0083214A">
            <w:pPr>
              <w:jc w:val="center"/>
              <w:rPr>
                <w:noProof/>
              </w:rPr>
            </w:pPr>
            <w:r w:rsidRPr="00D30DE8">
              <w:rPr>
                <w:noProof/>
              </w:rPr>
              <w:t>0</w:t>
            </w:r>
          </w:p>
        </w:tc>
        <w:tc>
          <w:tcPr>
            <w:tcW w:w="1485" w:type="dxa"/>
          </w:tcPr>
          <w:p w14:paraId="4B6DC23D" w14:textId="77777777" w:rsidR="004E54EB" w:rsidRPr="00D30DE8" w:rsidRDefault="004E54EB" w:rsidP="0083214A">
            <w:pPr>
              <w:jc w:val="center"/>
              <w:rPr>
                <w:b/>
                <w:noProof/>
              </w:rPr>
            </w:pPr>
            <w:r w:rsidRPr="00D30DE8">
              <w:rPr>
                <w:noProof/>
              </w:rPr>
              <w:t>57%</w:t>
            </w:r>
          </w:p>
        </w:tc>
        <w:tc>
          <w:tcPr>
            <w:tcW w:w="1491" w:type="dxa"/>
          </w:tcPr>
          <w:p w14:paraId="4CC17C92" w14:textId="77777777" w:rsidR="004E54EB" w:rsidRPr="00D30DE8" w:rsidRDefault="004E54EB" w:rsidP="0083214A">
            <w:pPr>
              <w:jc w:val="center"/>
              <w:rPr>
                <w:noProof/>
              </w:rPr>
            </w:pPr>
            <w:r>
              <w:rPr>
                <w:noProof/>
              </w:rPr>
              <w:t>612</w:t>
            </w:r>
            <w:r w:rsidRPr="06D34A38">
              <w:rPr>
                <w:rFonts w:ascii="Calibri" w:hAnsi="Calibri" w:cs="Calibri"/>
                <w:noProof/>
              </w:rPr>
              <w:t> </w:t>
            </w:r>
            <w:r>
              <w:rPr>
                <w:noProof/>
              </w:rPr>
              <w:t>400 in 2022</w:t>
            </w:r>
          </w:p>
        </w:tc>
        <w:tc>
          <w:tcPr>
            <w:tcW w:w="1530" w:type="dxa"/>
          </w:tcPr>
          <w:p w14:paraId="35D4C1C9" w14:textId="77777777" w:rsidR="004E54EB" w:rsidRPr="00D30DE8" w:rsidRDefault="004E54EB" w:rsidP="0083214A">
            <w:pPr>
              <w:jc w:val="center"/>
              <w:rPr>
                <w:noProof/>
              </w:rPr>
            </w:pPr>
            <w:r>
              <w:rPr>
                <w:noProof/>
              </w:rPr>
              <w:t>347</w:t>
            </w:r>
            <w:r w:rsidRPr="06D34A38">
              <w:rPr>
                <w:rFonts w:ascii="Calibri" w:hAnsi="Calibri" w:cs="Calibri"/>
                <w:noProof/>
              </w:rPr>
              <w:t> </w:t>
            </w:r>
            <w:r>
              <w:rPr>
                <w:noProof/>
              </w:rPr>
              <w:t>387 compared to a target of 612</w:t>
            </w:r>
            <w:r w:rsidRPr="06D34A38">
              <w:rPr>
                <w:rFonts w:ascii="Calibri" w:hAnsi="Calibri" w:cs="Calibri"/>
                <w:noProof/>
              </w:rPr>
              <w:t> </w:t>
            </w:r>
            <w:r>
              <w:rPr>
                <w:noProof/>
              </w:rPr>
              <w:t>400</w:t>
            </w:r>
          </w:p>
        </w:tc>
        <w:tc>
          <w:tcPr>
            <w:tcW w:w="1537" w:type="dxa"/>
          </w:tcPr>
          <w:p w14:paraId="3E1B0034" w14:textId="77777777" w:rsidR="004E54EB" w:rsidRPr="00D30DE8" w:rsidRDefault="004E54EB" w:rsidP="0083214A">
            <w:pPr>
              <w:jc w:val="center"/>
              <w:rPr>
                <w:noProof/>
              </w:rPr>
            </w:pPr>
            <w:r w:rsidRPr="00D30DE8">
              <w:rPr>
                <w:noProof/>
              </w:rPr>
              <w:t>Deserves attention</w:t>
            </w:r>
          </w:p>
        </w:tc>
      </w:tr>
      <w:tr w:rsidR="004E54EB" w:rsidRPr="00D30DE8" w14:paraId="1421B84A" w14:textId="77777777" w:rsidTr="0083214A">
        <w:trPr>
          <w:cnfStyle w:val="000000100000" w:firstRow="0" w:lastRow="0" w:firstColumn="0" w:lastColumn="0" w:oddVBand="0" w:evenVBand="0" w:oddHBand="1" w:evenHBand="0" w:firstRowFirstColumn="0" w:firstRowLastColumn="0" w:lastRowFirstColumn="0" w:lastRowLastColumn="0"/>
        </w:trPr>
        <w:tc>
          <w:tcPr>
            <w:tcW w:w="2268" w:type="dxa"/>
          </w:tcPr>
          <w:p w14:paraId="35E29835" w14:textId="77777777" w:rsidR="004E54EB" w:rsidRPr="00D30DE8" w:rsidRDefault="004E54EB" w:rsidP="0083214A">
            <w:pPr>
              <w:rPr>
                <w:noProof/>
              </w:rPr>
            </w:pPr>
            <w:r>
              <w:rPr>
                <w:noProof/>
              </w:rPr>
              <w:t>Co-financed returns</w:t>
            </w:r>
            <w:r w:rsidRPr="06D34A38">
              <w:rPr>
                <w:rFonts w:ascii="Calibri" w:hAnsi="Calibri" w:cs="Calibri"/>
                <w:noProof/>
              </w:rPr>
              <w:t> </w:t>
            </w:r>
            <w:r>
              <w:rPr>
                <w:noProof/>
              </w:rPr>
              <w:t>– voluntary (number of people)</w:t>
            </w:r>
          </w:p>
        </w:tc>
        <w:tc>
          <w:tcPr>
            <w:tcW w:w="931" w:type="dxa"/>
          </w:tcPr>
          <w:p w14:paraId="50F5FE4C" w14:textId="77777777" w:rsidR="004E54EB" w:rsidRPr="00D30DE8" w:rsidRDefault="004E54EB" w:rsidP="0083214A">
            <w:pPr>
              <w:jc w:val="center"/>
              <w:rPr>
                <w:noProof/>
              </w:rPr>
            </w:pPr>
            <w:r w:rsidRPr="00D30DE8">
              <w:rPr>
                <w:noProof/>
              </w:rPr>
              <w:t>0</w:t>
            </w:r>
          </w:p>
        </w:tc>
        <w:tc>
          <w:tcPr>
            <w:tcW w:w="1485" w:type="dxa"/>
          </w:tcPr>
          <w:p w14:paraId="082989AC" w14:textId="77777777" w:rsidR="004E54EB" w:rsidRPr="00D30DE8" w:rsidRDefault="004E54EB" w:rsidP="0083214A">
            <w:pPr>
              <w:jc w:val="center"/>
              <w:rPr>
                <w:b/>
                <w:noProof/>
              </w:rPr>
            </w:pPr>
            <w:r w:rsidRPr="00D30DE8">
              <w:rPr>
                <w:noProof/>
              </w:rPr>
              <w:t>63%</w:t>
            </w:r>
          </w:p>
        </w:tc>
        <w:tc>
          <w:tcPr>
            <w:tcW w:w="1491" w:type="dxa"/>
          </w:tcPr>
          <w:p w14:paraId="3C9339B7" w14:textId="77777777" w:rsidR="004E54EB" w:rsidRPr="00D30DE8" w:rsidRDefault="004E54EB" w:rsidP="0083214A">
            <w:pPr>
              <w:jc w:val="center"/>
              <w:rPr>
                <w:noProof/>
              </w:rPr>
            </w:pPr>
            <w:r>
              <w:rPr>
                <w:noProof/>
              </w:rPr>
              <w:t>297</w:t>
            </w:r>
            <w:r w:rsidRPr="06D34A38">
              <w:rPr>
                <w:rFonts w:ascii="Calibri" w:hAnsi="Calibri" w:cs="Calibri"/>
                <w:noProof/>
              </w:rPr>
              <w:t> </w:t>
            </w:r>
            <w:r>
              <w:rPr>
                <w:noProof/>
              </w:rPr>
              <w:t>930 in 2022</w:t>
            </w:r>
          </w:p>
        </w:tc>
        <w:tc>
          <w:tcPr>
            <w:tcW w:w="1530" w:type="dxa"/>
          </w:tcPr>
          <w:p w14:paraId="7719FE17" w14:textId="77777777" w:rsidR="004E54EB" w:rsidRPr="00D30DE8" w:rsidRDefault="004E54EB" w:rsidP="0083214A">
            <w:pPr>
              <w:jc w:val="center"/>
              <w:rPr>
                <w:noProof/>
              </w:rPr>
            </w:pPr>
            <w:r>
              <w:rPr>
                <w:noProof/>
              </w:rPr>
              <w:t>187</w:t>
            </w:r>
            <w:r w:rsidRPr="06D34A38">
              <w:rPr>
                <w:rFonts w:ascii="Calibri" w:hAnsi="Calibri" w:cs="Calibri"/>
                <w:noProof/>
              </w:rPr>
              <w:t> </w:t>
            </w:r>
            <w:r>
              <w:rPr>
                <w:noProof/>
              </w:rPr>
              <w:t>983 compared to a target of 297</w:t>
            </w:r>
            <w:r w:rsidRPr="06D34A38">
              <w:rPr>
                <w:rFonts w:ascii="Calibri" w:hAnsi="Calibri" w:cs="Calibri"/>
                <w:noProof/>
              </w:rPr>
              <w:t> </w:t>
            </w:r>
            <w:r>
              <w:rPr>
                <w:noProof/>
              </w:rPr>
              <w:t>930</w:t>
            </w:r>
          </w:p>
        </w:tc>
        <w:tc>
          <w:tcPr>
            <w:tcW w:w="1537" w:type="dxa"/>
          </w:tcPr>
          <w:p w14:paraId="3B35A5AD" w14:textId="77777777" w:rsidR="004E54EB" w:rsidRPr="00D30DE8" w:rsidRDefault="004E54EB" w:rsidP="0083214A">
            <w:pPr>
              <w:jc w:val="center"/>
              <w:rPr>
                <w:noProof/>
              </w:rPr>
            </w:pPr>
            <w:r w:rsidRPr="00D30DE8">
              <w:rPr>
                <w:noProof/>
              </w:rPr>
              <w:t>Deserves attention</w:t>
            </w:r>
          </w:p>
        </w:tc>
      </w:tr>
      <w:tr w:rsidR="004E54EB" w:rsidRPr="00D30DE8" w14:paraId="52CE1DE0" w14:textId="77777777" w:rsidTr="0083214A">
        <w:trPr>
          <w:cnfStyle w:val="000000010000" w:firstRow="0" w:lastRow="0" w:firstColumn="0" w:lastColumn="0" w:oddVBand="0" w:evenVBand="0" w:oddHBand="0" w:evenHBand="1" w:firstRowFirstColumn="0" w:firstRowLastColumn="0" w:lastRowFirstColumn="0" w:lastRowLastColumn="0"/>
        </w:trPr>
        <w:tc>
          <w:tcPr>
            <w:tcW w:w="2268" w:type="dxa"/>
          </w:tcPr>
          <w:p w14:paraId="6CA7AB93" w14:textId="77777777" w:rsidR="004E54EB" w:rsidRPr="00D30DE8" w:rsidRDefault="004E54EB" w:rsidP="0083214A">
            <w:pPr>
              <w:rPr>
                <w:noProof/>
              </w:rPr>
            </w:pPr>
            <w:r w:rsidRPr="00D30DE8">
              <w:rPr>
                <w:noProof/>
              </w:rPr>
              <w:t>Asylum seekers and beneficiaries transferred from one Member State to another</w:t>
            </w:r>
          </w:p>
        </w:tc>
        <w:tc>
          <w:tcPr>
            <w:tcW w:w="931" w:type="dxa"/>
          </w:tcPr>
          <w:p w14:paraId="776E052F" w14:textId="77777777" w:rsidR="004E54EB" w:rsidRPr="00D30DE8" w:rsidRDefault="004E54EB" w:rsidP="0083214A">
            <w:pPr>
              <w:jc w:val="center"/>
              <w:rPr>
                <w:noProof/>
              </w:rPr>
            </w:pPr>
            <w:r w:rsidRPr="00D30DE8">
              <w:rPr>
                <w:noProof/>
              </w:rPr>
              <w:t>0</w:t>
            </w:r>
          </w:p>
        </w:tc>
        <w:tc>
          <w:tcPr>
            <w:tcW w:w="1485" w:type="dxa"/>
          </w:tcPr>
          <w:p w14:paraId="52C9D3BC" w14:textId="77777777" w:rsidR="004E54EB" w:rsidRPr="00D30DE8" w:rsidRDefault="004E54EB" w:rsidP="0083214A">
            <w:pPr>
              <w:jc w:val="center"/>
              <w:rPr>
                <w:b/>
                <w:noProof/>
              </w:rPr>
            </w:pPr>
            <w:r w:rsidRPr="00D30DE8">
              <w:rPr>
                <w:noProof/>
              </w:rPr>
              <w:t>92%</w:t>
            </w:r>
          </w:p>
        </w:tc>
        <w:tc>
          <w:tcPr>
            <w:tcW w:w="1491" w:type="dxa"/>
          </w:tcPr>
          <w:p w14:paraId="23CCB049" w14:textId="77777777" w:rsidR="004E54EB" w:rsidRPr="00D30DE8" w:rsidRDefault="004E54EB" w:rsidP="0083214A">
            <w:pPr>
              <w:jc w:val="center"/>
              <w:rPr>
                <w:noProof/>
              </w:rPr>
            </w:pPr>
            <w:r>
              <w:rPr>
                <w:noProof/>
              </w:rPr>
              <w:t>38</w:t>
            </w:r>
            <w:r w:rsidRPr="06D34A38">
              <w:rPr>
                <w:rFonts w:ascii="Calibri" w:hAnsi="Calibri" w:cs="Calibri"/>
                <w:noProof/>
              </w:rPr>
              <w:t> </w:t>
            </w:r>
            <w:r>
              <w:rPr>
                <w:noProof/>
              </w:rPr>
              <w:t>703 in 2022</w:t>
            </w:r>
          </w:p>
        </w:tc>
        <w:tc>
          <w:tcPr>
            <w:tcW w:w="1530" w:type="dxa"/>
          </w:tcPr>
          <w:p w14:paraId="7E93A3F4" w14:textId="77777777" w:rsidR="004E54EB" w:rsidRPr="00D30DE8" w:rsidRDefault="004E54EB" w:rsidP="0083214A">
            <w:pPr>
              <w:jc w:val="center"/>
              <w:rPr>
                <w:noProof/>
              </w:rPr>
            </w:pPr>
            <w:r>
              <w:rPr>
                <w:noProof/>
              </w:rPr>
              <w:t>35</w:t>
            </w:r>
            <w:r w:rsidRPr="06D34A38">
              <w:rPr>
                <w:rFonts w:ascii="Calibri" w:hAnsi="Calibri" w:cs="Calibri"/>
                <w:noProof/>
              </w:rPr>
              <w:t> </w:t>
            </w:r>
            <w:r>
              <w:rPr>
                <w:noProof/>
              </w:rPr>
              <w:t>451 compared to a target of 38</w:t>
            </w:r>
            <w:r w:rsidRPr="06D34A38">
              <w:rPr>
                <w:rFonts w:ascii="Calibri" w:hAnsi="Calibri" w:cs="Calibri"/>
                <w:noProof/>
              </w:rPr>
              <w:t> </w:t>
            </w:r>
            <w:r>
              <w:rPr>
                <w:noProof/>
              </w:rPr>
              <w:t>703</w:t>
            </w:r>
          </w:p>
        </w:tc>
        <w:tc>
          <w:tcPr>
            <w:tcW w:w="1537" w:type="dxa"/>
          </w:tcPr>
          <w:p w14:paraId="0105B3C4" w14:textId="77777777" w:rsidR="004E54EB" w:rsidRPr="00D30DE8" w:rsidRDefault="004E54EB" w:rsidP="0083214A">
            <w:pPr>
              <w:jc w:val="center"/>
              <w:rPr>
                <w:noProof/>
              </w:rPr>
            </w:pPr>
            <w:r w:rsidRPr="00D30DE8">
              <w:rPr>
                <w:noProof/>
              </w:rPr>
              <w:t>On track</w:t>
            </w:r>
          </w:p>
        </w:tc>
      </w:tr>
    </w:tbl>
    <w:p w14:paraId="485CF2A4" w14:textId="77777777" w:rsidR="004E54EB" w:rsidRPr="00D30DE8" w:rsidRDefault="004E54EB" w:rsidP="004E54EB">
      <w:pPr>
        <w:pStyle w:val="FootnoteText"/>
        <w:rPr>
          <w:noProof/>
          <w:color w:val="BBB931"/>
        </w:rPr>
      </w:pPr>
      <w:r>
        <w:rPr>
          <w:noProof/>
        </w:rPr>
        <w:t>(*) % of target achieved by the end of 2021.</w:t>
      </w:r>
    </w:p>
    <w:p w14:paraId="30D561D5" w14:textId="77777777" w:rsidR="004E54EB" w:rsidRPr="00D30DE8" w:rsidRDefault="004E54EB" w:rsidP="004E54EB">
      <w:pPr>
        <w:pStyle w:val="ppoListHyphened-L1"/>
        <w:rPr>
          <w:noProof/>
        </w:rPr>
      </w:pPr>
      <w:r>
        <w:rPr>
          <w:noProof/>
        </w:rPr>
        <w:t>The AMIF focused on the three areas identified in its acronym: asylum schemes, migration and integration. Whereas in the first year a stronger focus was placed on asylum schemes, for example via resettlement and relation, the latter years have focused increasingly on legal migration and integration.</w:t>
      </w:r>
    </w:p>
    <w:p w14:paraId="05170392" w14:textId="77777777" w:rsidR="004E54EB" w:rsidRPr="00D30DE8" w:rsidRDefault="004E54EB" w:rsidP="004E54EB">
      <w:pPr>
        <w:pStyle w:val="ppoListHyphened-L1"/>
        <w:rPr>
          <w:noProof/>
        </w:rPr>
      </w:pPr>
      <w:r>
        <w:rPr>
          <w:noProof/>
        </w:rPr>
        <w:t>Overall, most of the innovative measures (simplified cost options, multiannual programming) are considered beneficial and appear to have achieved simplification. Room for improvement still exists, however, especially in relation to the internal coherence of the fund and the administrative part (control measures) that affects efficiency, or in relation to the monitoring and evaluation system under the AMIF, including in terms of definitions of its indicators and the collection of data. These are key aspects currently being tackled while the new 2021-2027 programmes and related monitoring systems are being set up together with the fund’s managing authorities.</w:t>
      </w:r>
    </w:p>
    <w:p w14:paraId="5EF0ADB0" w14:textId="77777777" w:rsidR="004E54EB" w:rsidRPr="00D30DE8" w:rsidRDefault="004E54EB" w:rsidP="004E54EB">
      <w:pPr>
        <w:pStyle w:val="ppoListHyphened-L1"/>
        <w:rPr>
          <w:noProof/>
        </w:rPr>
      </w:pPr>
      <w:r>
        <w:rPr>
          <w:noProof/>
        </w:rPr>
        <w:t>In terms of performance, most of the indicators set out for the AMIF have achieved or exceeded their targets, with the exception of the returns area, which was particularly affected in 2020 and 2021 by COVID-19-related travel restrictions.</w:t>
      </w:r>
    </w:p>
    <w:p w14:paraId="524414E0" w14:textId="61312E5A" w:rsidR="004E54EB" w:rsidRPr="00D30DE8" w:rsidRDefault="004E54EB" w:rsidP="004E54EB">
      <w:pPr>
        <w:pStyle w:val="ppoListHyphened-L1"/>
        <w:rPr>
          <w:noProof/>
        </w:rPr>
      </w:pPr>
      <w:r>
        <w:rPr>
          <w:noProof/>
        </w:rPr>
        <w:t>On the strengthening of the Common European Asylum System, the number of asylum applications increased by a third compared to 2020, coming back to pre-pandemic levels after a drop that was largely driven by COVID-19 and the related travel restrictions. Emergency assistance is the Commission’s main tool for providing strategic operational EU added-value support at short notice in the form of grants and contributions, which was confirmed later on by the interim evaluation of the fund. Since 2015, the total amount of AMIF emergency assistance has reached over EUR</w:t>
      </w:r>
      <w:r w:rsidRPr="1EFE75B2">
        <w:rPr>
          <w:rFonts w:ascii="Calibri" w:hAnsi="Calibri" w:cs="Calibri"/>
          <w:noProof/>
        </w:rPr>
        <w:t> </w:t>
      </w:r>
      <w:r>
        <w:rPr>
          <w:noProof/>
        </w:rPr>
        <w:t>2.4</w:t>
      </w:r>
      <w:r w:rsidRPr="1EFE75B2">
        <w:rPr>
          <w:rFonts w:ascii="Calibri" w:hAnsi="Calibri" w:cs="Calibri"/>
          <w:noProof/>
        </w:rPr>
        <w:t> </w:t>
      </w:r>
      <w:r>
        <w:rPr>
          <w:noProof/>
        </w:rPr>
        <w:t xml:space="preserve">billion. As regards the AMIF programmes, the fund provided </w:t>
      </w:r>
      <w:r w:rsidR="00A55483">
        <w:rPr>
          <w:noProof/>
        </w:rPr>
        <w:t>2</w:t>
      </w:r>
      <w:r>
        <w:rPr>
          <w:noProof/>
        </w:rPr>
        <w:t>.</w:t>
      </w:r>
      <w:r w:rsidR="00A55483">
        <w:rPr>
          <w:noProof/>
        </w:rPr>
        <w:t>72</w:t>
      </w:r>
      <w:r w:rsidRPr="1EFE75B2">
        <w:rPr>
          <w:rFonts w:ascii="Calibri" w:hAnsi="Calibri" w:cs="Calibri"/>
          <w:noProof/>
        </w:rPr>
        <w:t> </w:t>
      </w:r>
      <w:r>
        <w:rPr>
          <w:noProof/>
        </w:rPr>
        <w:t>million people in target groups with asylum assistance, exceeding its target of 1.2</w:t>
      </w:r>
      <w:r w:rsidR="00A55483">
        <w:rPr>
          <w:noProof/>
        </w:rPr>
        <w:t>6</w:t>
      </w:r>
      <w:r w:rsidRPr="1EFE75B2">
        <w:rPr>
          <w:rFonts w:ascii="Calibri" w:hAnsi="Calibri" w:cs="Calibri"/>
          <w:noProof/>
        </w:rPr>
        <w:t> </w:t>
      </w:r>
      <w:r>
        <w:rPr>
          <w:noProof/>
        </w:rPr>
        <w:t>million, and 71</w:t>
      </w:r>
      <w:r w:rsidRPr="1EFE75B2">
        <w:rPr>
          <w:rFonts w:ascii="Calibri" w:hAnsi="Calibri" w:cs="Calibri"/>
          <w:noProof/>
        </w:rPr>
        <w:t> </w:t>
      </w:r>
      <w:r>
        <w:rPr>
          <w:noProof/>
        </w:rPr>
        <w:t>235 people were trained in asylum-related topics compared to a target of 25</w:t>
      </w:r>
      <w:r w:rsidRPr="1EFE75B2">
        <w:rPr>
          <w:rFonts w:ascii="Calibri" w:hAnsi="Calibri" w:cs="Calibri"/>
          <w:noProof/>
        </w:rPr>
        <w:t> </w:t>
      </w:r>
      <w:r>
        <w:rPr>
          <w:noProof/>
        </w:rPr>
        <w:t>205.</w:t>
      </w:r>
    </w:p>
    <w:p w14:paraId="18E1AA59" w14:textId="77777777" w:rsidR="004E54EB" w:rsidRPr="00D30DE8" w:rsidRDefault="004E54EB" w:rsidP="004E54EB">
      <w:pPr>
        <w:pStyle w:val="ppoListHyphened-L1"/>
        <w:rPr>
          <w:noProof/>
        </w:rPr>
      </w:pPr>
      <w:r>
        <w:rPr>
          <w:noProof/>
        </w:rPr>
        <w:t>On effective integration and legal migration, the Commission supports the Member States in integrating non-EU nationals through the use of EU funding, some of which is provided by the AMIF and the rest by the European Structural and Investment Funds. Between 2014 and 2020, EUR</w:t>
      </w:r>
      <w:r w:rsidRPr="1EFE75B2">
        <w:rPr>
          <w:rFonts w:ascii="Calibri" w:hAnsi="Calibri" w:cs="Calibri"/>
          <w:noProof/>
        </w:rPr>
        <w:t> </w:t>
      </w:r>
      <w:r>
        <w:rPr>
          <w:noProof/>
        </w:rPr>
        <w:t>1</w:t>
      </w:r>
      <w:r w:rsidRPr="1EFE75B2">
        <w:rPr>
          <w:rFonts w:ascii="Calibri" w:hAnsi="Calibri" w:cs="Calibri"/>
          <w:noProof/>
        </w:rPr>
        <w:t> </w:t>
      </w:r>
      <w:r>
        <w:rPr>
          <w:noProof/>
        </w:rPr>
        <w:t>022</w:t>
      </w:r>
      <w:r w:rsidRPr="1EFE75B2">
        <w:rPr>
          <w:rFonts w:ascii="Calibri" w:hAnsi="Calibri" w:cs="Calibri"/>
          <w:noProof/>
        </w:rPr>
        <w:t> </w:t>
      </w:r>
      <w:r>
        <w:rPr>
          <w:noProof/>
        </w:rPr>
        <w:t>million was allocated under the AMIF to support measures on integration and legal migration. In 2021, Member States reported expenditure of EUR</w:t>
      </w:r>
      <w:r w:rsidRPr="1EFE75B2">
        <w:rPr>
          <w:rFonts w:ascii="Calibri" w:hAnsi="Calibri" w:cs="Calibri"/>
          <w:noProof/>
        </w:rPr>
        <w:t> </w:t>
      </w:r>
      <w:r>
        <w:rPr>
          <w:noProof/>
        </w:rPr>
        <w:t>147 million. Under the AMIF national programmes, the target of 2.6</w:t>
      </w:r>
      <w:r w:rsidRPr="1EFE75B2">
        <w:rPr>
          <w:rFonts w:ascii="Calibri" w:hAnsi="Calibri" w:cs="Calibri"/>
          <w:noProof/>
        </w:rPr>
        <w:t> </w:t>
      </w:r>
      <w:r>
        <w:rPr>
          <w:noProof/>
        </w:rPr>
        <w:t>million people having participated in integration assistance projects was greatly exceeded.</w:t>
      </w:r>
    </w:p>
    <w:p w14:paraId="2450CB0F" w14:textId="77777777" w:rsidR="004E54EB" w:rsidRPr="00D30DE8" w:rsidRDefault="004E54EB" w:rsidP="004E54EB">
      <w:pPr>
        <w:pStyle w:val="ppoListHyphened-L1"/>
        <w:rPr>
          <w:noProof/>
        </w:rPr>
      </w:pPr>
      <w:r>
        <w:rPr>
          <w:noProof/>
        </w:rPr>
        <w:t>However, as regards the number of persons who participated in pre-departure measures, the results fell far below the target set (114</w:t>
      </w:r>
      <w:r w:rsidRPr="1EFE75B2">
        <w:rPr>
          <w:rFonts w:ascii="Calibri" w:hAnsi="Calibri" w:cs="Calibri"/>
          <w:noProof/>
        </w:rPr>
        <w:t> </w:t>
      </w:r>
      <w:r>
        <w:rPr>
          <w:noProof/>
        </w:rPr>
        <w:t>659 people supported versus a target of 240</w:t>
      </w:r>
      <w:r w:rsidRPr="1EFE75B2">
        <w:rPr>
          <w:rFonts w:ascii="Calibri" w:hAnsi="Calibri" w:cs="Calibri"/>
          <w:noProof/>
        </w:rPr>
        <w:t> </w:t>
      </w:r>
      <w:r>
        <w:rPr>
          <w:noProof/>
        </w:rPr>
        <w:t>920). Reaching the targets depends on Member States and their estimates, with some exceeding their targets significantly and others still at a very early stage of fulfilling them. Travel restrictions and delays due to COVID-19 also played a role.</w:t>
      </w:r>
    </w:p>
    <w:p w14:paraId="4A8AD72A" w14:textId="77777777" w:rsidR="004E54EB" w:rsidRPr="00D30DE8" w:rsidRDefault="004E54EB" w:rsidP="004E54EB">
      <w:pPr>
        <w:pStyle w:val="ppoListHyphened-L1"/>
        <w:rPr>
          <w:noProof/>
        </w:rPr>
      </w:pPr>
      <w:r w:rsidRPr="00D30DE8">
        <w:rPr>
          <w:noProof/>
        </w:rPr>
        <w:t>On effective return policies, with migrants who have no right to stay in the EU needing to be returned, the area needs further improvement and additional efforts, which will depend on better cooperation by non-EU countries and on Member States’ effectiveness in implementing returns. In 2020, the rate of effective return of from the EU-27 to non-EU countries dropped to 17.7%, given that return decisions were affected much less than actual return operations by travel restrictions on the grounds of COVID-19. Return-related indicators are also not fully on track to achieve their targets. However, in 2021, the Commission put forward a number of new initiatives to improve on effective return policies, including its first strategy on voluntary returns and reintegration</w:t>
      </w:r>
      <w:r w:rsidRPr="00D30DE8">
        <w:rPr>
          <w:rFonts w:ascii="Calibri" w:hAnsi="Calibri" w:cs="Calibri"/>
          <w:noProof/>
        </w:rPr>
        <w:t> </w:t>
      </w:r>
      <w:r w:rsidRPr="00D30DE8">
        <w:rPr>
          <w:noProof/>
        </w:rPr>
        <w:t>(</w:t>
      </w:r>
      <w:r w:rsidRPr="00D30DE8">
        <w:rPr>
          <w:rFonts w:ascii="Verdana" w:hAnsi="Verdana"/>
          <w:noProof/>
          <w:vertAlign w:val="superscript"/>
        </w:rPr>
        <w:footnoteReference w:id="10"/>
      </w:r>
      <w:r w:rsidRPr="00D30DE8">
        <w:rPr>
          <w:noProof/>
        </w:rPr>
        <w:t xml:space="preserve">), </w:t>
      </w:r>
      <w:r w:rsidRPr="1EFE75B2">
        <w:rPr>
          <w:noProof/>
        </w:rPr>
        <w:t xml:space="preserve">additional cooperation with key countries of origin and the strengthening of flights coordinated by the European Border and Coast Guard Agency (up by approximately 50%). Furthermore, in March 2022, the Commission also appointed a return coordinator in DG </w:t>
      </w:r>
      <w:r w:rsidRPr="00D30DE8">
        <w:rPr>
          <w:noProof/>
        </w:rPr>
        <w:t>Migration and Home Affairs.</w:t>
      </w:r>
    </w:p>
    <w:p w14:paraId="4B6D427F" w14:textId="77777777" w:rsidR="004E54EB" w:rsidRPr="00D30DE8" w:rsidRDefault="004E54EB" w:rsidP="004E54EB">
      <w:pPr>
        <w:pStyle w:val="ppoListHyphened-L1"/>
        <w:rPr>
          <w:noProof/>
        </w:rPr>
      </w:pPr>
      <w:r>
        <w:rPr>
          <w:noProof/>
        </w:rPr>
        <w:t xml:space="preserve">On strengthening solidarity and sharing responsibilities between Member States, in 2016 the Commission proposed a system with a corrective allocation mechanism, which has not yet been adopted by the European Parliament and the Council. However, there is a need for emergency measures to support </w:t>
      </w:r>
      <w:bookmarkStart w:id="191" w:name="_Hlk101882257"/>
      <w:r>
        <w:rPr>
          <w:noProof/>
        </w:rPr>
        <w:t>Member States facing disproportionate numbers of arrivals</w:t>
      </w:r>
      <w:bookmarkEnd w:id="191"/>
      <w:r>
        <w:rPr>
          <w:noProof/>
        </w:rPr>
        <w:t>. Therefore, in addition to their national allocations, several Member States, notably Greece, Spain and Italy, have benefited from AMIF emergency assistance. For example, EUR</w:t>
      </w:r>
      <w:r w:rsidRPr="1EFE75B2">
        <w:rPr>
          <w:rFonts w:ascii="Calibri" w:hAnsi="Calibri" w:cs="Calibri"/>
          <w:noProof/>
        </w:rPr>
        <w:t> </w:t>
      </w:r>
      <w:r>
        <w:rPr>
          <w:noProof/>
        </w:rPr>
        <w:t>1.897</w:t>
      </w:r>
      <w:r w:rsidRPr="1EFE75B2">
        <w:rPr>
          <w:rFonts w:ascii="Calibri" w:hAnsi="Calibri" w:cs="Calibri"/>
          <w:noProof/>
        </w:rPr>
        <w:t> </w:t>
      </w:r>
      <w:r>
        <w:rPr>
          <w:noProof/>
        </w:rPr>
        <w:t>billion in emergency assistance had been granted to Greece by the end of December 2021.</w:t>
      </w:r>
    </w:p>
    <w:p w14:paraId="399CCC9E" w14:textId="77777777" w:rsidR="004E54EB" w:rsidRPr="00D30DE8" w:rsidRDefault="004E54EB" w:rsidP="004E54EB">
      <w:pPr>
        <w:pStyle w:val="ppoListHyphened-L1"/>
        <w:rPr>
          <w:noProof/>
        </w:rPr>
      </w:pPr>
      <w:r>
        <w:rPr>
          <w:noProof/>
        </w:rPr>
        <w:t>The main lessons learnt during the programming period 2014-2020 include the following:</w:t>
      </w:r>
    </w:p>
    <w:p w14:paraId="4F629201" w14:textId="77777777" w:rsidR="004E54EB" w:rsidRPr="00D30DE8" w:rsidRDefault="004E54EB" w:rsidP="004E54EB">
      <w:pPr>
        <w:pStyle w:val="ppoListHyphened-L2"/>
        <w:rPr>
          <w:noProof/>
        </w:rPr>
      </w:pPr>
      <w:r>
        <w:rPr>
          <w:noProof/>
        </w:rPr>
        <w:t>there has been insufficient cooperation, coordination and strategic steering in the implementation of the AMIF with other EU-level initiatives;</w:t>
      </w:r>
    </w:p>
    <w:p w14:paraId="13880A94" w14:textId="77777777" w:rsidR="004E54EB" w:rsidRPr="00D30DE8" w:rsidRDefault="004E54EB" w:rsidP="004E54EB">
      <w:pPr>
        <w:pStyle w:val="ppoListHyphened-L2"/>
        <w:rPr>
          <w:noProof/>
        </w:rPr>
      </w:pPr>
      <w:r>
        <w:rPr>
          <w:noProof/>
        </w:rPr>
        <w:t>there is a need for simplification;</w:t>
      </w:r>
    </w:p>
    <w:p w14:paraId="650A9DEA" w14:textId="77777777" w:rsidR="004E54EB" w:rsidRPr="00D30DE8" w:rsidRDefault="004E54EB" w:rsidP="004E54EB">
      <w:pPr>
        <w:pStyle w:val="ppoListHyphened-L2"/>
        <w:rPr>
          <w:noProof/>
        </w:rPr>
      </w:pPr>
      <w:r>
        <w:rPr>
          <w:noProof/>
        </w:rPr>
        <w:t>there is insufficient flexibility to respond to changing needs during the programming period;</w:t>
      </w:r>
    </w:p>
    <w:p w14:paraId="63590527" w14:textId="77777777" w:rsidR="004E54EB" w:rsidRPr="00D30DE8" w:rsidRDefault="004E54EB" w:rsidP="004E54EB">
      <w:pPr>
        <w:pStyle w:val="ppoListHyphened-L2"/>
        <w:rPr>
          <w:rFonts w:eastAsia="EC Square Sans Pro" w:cs="EC Square Sans Pro"/>
          <w:noProof/>
        </w:rPr>
      </w:pPr>
      <w:r>
        <w:rPr>
          <w:noProof/>
        </w:rPr>
        <w:t xml:space="preserve">there is a </w:t>
      </w:r>
      <w:bookmarkStart w:id="192" w:name="_Hlk101882521"/>
      <w:r>
        <w:rPr>
          <w:noProof/>
        </w:rPr>
        <w:t>need to strengthen the quality of performance monitoring, with more regular and reliable data setting out result indicators</w:t>
      </w:r>
      <w:bookmarkEnd w:id="192"/>
      <w:r>
        <w:rPr>
          <w:noProof/>
        </w:rPr>
        <w:t>.</w:t>
      </w:r>
    </w:p>
    <w:p w14:paraId="71CB33D8" w14:textId="77777777" w:rsidR="00881F76" w:rsidRDefault="00881F76" w:rsidP="005348AD">
      <w:pPr>
        <w:pStyle w:val="ppoListHyphened-L1"/>
        <w:numPr>
          <w:ilvl w:val="0"/>
          <w:numId w:val="0"/>
        </w:numPr>
        <w:ind w:left="357" w:hanging="357"/>
        <w:rPr>
          <w:b/>
          <w:noProof/>
        </w:rPr>
        <w:sectPr w:rsidR="00881F76" w:rsidSect="0083214A">
          <w:headerReference w:type="even" r:id="rId442"/>
          <w:headerReference w:type="default" r:id="rId443"/>
          <w:footerReference w:type="even" r:id="rId444"/>
          <w:footerReference w:type="default" r:id="rId445"/>
          <w:headerReference w:type="first" r:id="rId446"/>
          <w:footerReference w:type="first" r:id="rId447"/>
          <w:type w:val="continuous"/>
          <w:pgSz w:w="11906" w:h="16838" w:code="9"/>
          <w:pgMar w:top="1134" w:right="1134" w:bottom="964" w:left="1134" w:header="431" w:footer="431" w:gutter="0"/>
          <w:cols w:space="720"/>
          <w:titlePg/>
          <w:docGrid w:linePitch="360"/>
        </w:sectPr>
      </w:pPr>
    </w:p>
    <w:p w14:paraId="523CAC62" w14:textId="77777777" w:rsidR="00881F76" w:rsidRPr="00123905" w:rsidRDefault="00881F76" w:rsidP="00881F76">
      <w:pPr>
        <w:pStyle w:val="StyleppoHeading3WhiteLeft0cm"/>
        <w:rPr>
          <w:noProof/>
          <w:sz w:val="40"/>
          <w:szCs w:val="40"/>
          <w:lang w:val="en-IE"/>
        </w:rPr>
      </w:pPr>
    </w:p>
    <w:p w14:paraId="7CADFD0C" w14:textId="77777777" w:rsidR="00881F76" w:rsidRPr="00123905" w:rsidRDefault="00881F76" w:rsidP="00881F76">
      <w:pPr>
        <w:pStyle w:val="StyleppoHeading3WhiteLeft0cm"/>
        <w:rPr>
          <w:noProof/>
          <w:sz w:val="60"/>
          <w:szCs w:val="60"/>
          <w:lang w:val="en-IE"/>
        </w:rPr>
      </w:pPr>
      <w:bookmarkStart w:id="193" w:name="_Toc102086362"/>
      <w:r w:rsidRPr="00123905">
        <w:rPr>
          <w:noProof/>
          <w:sz w:val="60"/>
          <w:szCs w:val="60"/>
          <w:lang w:val="en-IE"/>
        </w:rPr>
        <w:t>IBMF</w:t>
      </w:r>
      <w:bookmarkEnd w:id="193"/>
    </w:p>
    <w:p w14:paraId="39D1A035" w14:textId="77777777" w:rsidR="00881F76" w:rsidRPr="00123905" w:rsidRDefault="00881F76" w:rsidP="00881F76">
      <w:pPr>
        <w:pStyle w:val="StyleppoProgrammenameWhiteLeft01cm"/>
        <w:rPr>
          <w:caps/>
          <w:noProof/>
          <w:lang w:val="en-IE"/>
        </w:rPr>
      </w:pPr>
      <w:r w:rsidRPr="00123905">
        <w:rPr>
          <w:caps/>
          <w:noProof/>
          <w:lang w:val="en-IE"/>
        </w:rPr>
        <w:t xml:space="preserve">Integrated Border Management Fund </w:t>
      </w:r>
    </w:p>
    <w:p w14:paraId="39FBEBFE" w14:textId="77777777" w:rsidR="00881F76" w:rsidRPr="00123905" w:rsidRDefault="00881F76" w:rsidP="00881F76">
      <w:pPr>
        <w:pStyle w:val="ppoHeading4Purple"/>
        <w:rPr>
          <w:noProof/>
          <w:lang w:val="en-IE"/>
        </w:rPr>
      </w:pPr>
      <w:r w:rsidRPr="00123905">
        <w:rPr>
          <w:noProof/>
          <w:lang w:val="en-IE"/>
        </w:rPr>
        <w:t>Programme in a nutshell</w:t>
      </w:r>
    </w:p>
    <w:p w14:paraId="109947D8" w14:textId="77777777" w:rsidR="00881F76" w:rsidRPr="00123905" w:rsidRDefault="00881F76" w:rsidP="00881F76">
      <w:pPr>
        <w:spacing w:after="480"/>
        <w:rPr>
          <w:rFonts w:eastAsiaTheme="minorEastAsia"/>
          <w:noProof/>
          <w:color w:val="FFFFFF" w:themeColor="background1"/>
          <w:sz w:val="32"/>
          <w:lang w:val="en-IE"/>
        </w:rPr>
        <w:sectPr w:rsidR="00881F76" w:rsidRPr="00123905" w:rsidSect="0083214A">
          <w:headerReference w:type="even" r:id="rId448"/>
          <w:headerReference w:type="default" r:id="rId449"/>
          <w:footerReference w:type="even" r:id="rId450"/>
          <w:footerReference w:type="default" r:id="rId451"/>
          <w:headerReference w:type="first" r:id="rId452"/>
          <w:footerReference w:type="first" r:id="rId453"/>
          <w:pgSz w:w="11906" w:h="16838" w:code="9"/>
          <w:pgMar w:top="1134" w:right="1134" w:bottom="964" w:left="1134" w:header="431" w:footer="431" w:gutter="0"/>
          <w:cols w:space="720"/>
          <w:docGrid w:linePitch="360"/>
        </w:sectPr>
      </w:pPr>
    </w:p>
    <w:p w14:paraId="6365D167" w14:textId="77777777" w:rsidR="00881F76" w:rsidRPr="00123905" w:rsidRDefault="00881F76" w:rsidP="00881F76">
      <w:pPr>
        <w:pStyle w:val="ppoHeading5"/>
        <w:rPr>
          <w:noProof/>
          <w:lang w:val="en-IE"/>
        </w:rPr>
      </w:pPr>
      <w:r w:rsidRPr="00123905">
        <w:rPr>
          <w:noProof/>
          <w:lang w:val="en-IE"/>
        </w:rPr>
        <w:t>Concrete examples of achievements</w:t>
      </w:r>
      <w:r w:rsidRPr="00123905">
        <w:rPr>
          <w:rFonts w:ascii="Calibri" w:hAnsi="Calibri" w:cs="Calibri"/>
          <w:noProof/>
          <w:lang w:val="en-IE"/>
        </w:rPr>
        <w:t> </w:t>
      </w:r>
      <w:r w:rsidRPr="00123905">
        <w:rPr>
          <w:noProof/>
          <w:lang w:val="en-IE"/>
        </w:rPr>
        <w:t>(*)</w:t>
      </w:r>
    </w:p>
    <w:tbl>
      <w:tblPr>
        <w:tblStyle w:val="PPO2021"/>
        <w:tblW w:w="9639" w:type="dxa"/>
        <w:tblInd w:w="0" w:type="dxa"/>
        <w:tblLook w:val="0200" w:firstRow="0" w:lastRow="0" w:firstColumn="0" w:lastColumn="0" w:noHBand="1" w:noVBand="0"/>
      </w:tblPr>
      <w:tblGrid>
        <w:gridCol w:w="2409"/>
        <w:gridCol w:w="2410"/>
        <w:gridCol w:w="2410"/>
        <w:gridCol w:w="2410"/>
      </w:tblGrid>
      <w:tr w:rsidR="00881F76" w:rsidRPr="00123905" w14:paraId="35B7E5A1" w14:textId="77777777" w:rsidTr="0083214A">
        <w:tc>
          <w:tcPr>
            <w:tcW w:w="2409" w:type="dxa"/>
          </w:tcPr>
          <w:p w14:paraId="541F5580" w14:textId="77777777" w:rsidR="00881F76" w:rsidRPr="00123905" w:rsidRDefault="00881F76" w:rsidP="0083214A">
            <w:pPr>
              <w:pStyle w:val="ppoTableacheivementvalue"/>
              <w:rPr>
                <w:noProof/>
                <w:lang w:val="en-IE"/>
              </w:rPr>
            </w:pPr>
            <w:r w:rsidRPr="00123905">
              <w:rPr>
                <w:noProof/>
                <w:lang w:val="en-IE"/>
              </w:rPr>
              <w:t>222</w:t>
            </w:r>
            <w:r w:rsidRPr="00123905">
              <w:rPr>
                <w:rFonts w:ascii="Calibri" w:hAnsi="Calibri" w:cs="Calibri"/>
                <w:noProof/>
                <w:lang w:val="en-IE"/>
              </w:rPr>
              <w:t> </w:t>
            </w:r>
            <w:r w:rsidRPr="00123905">
              <w:rPr>
                <w:noProof/>
                <w:lang w:val="en-IE"/>
              </w:rPr>
              <w:t>967</w:t>
            </w:r>
          </w:p>
          <w:p w14:paraId="511FFDB8" w14:textId="77777777" w:rsidR="00881F76" w:rsidRPr="00123905" w:rsidRDefault="00881F76" w:rsidP="00786652">
            <w:pPr>
              <w:jc w:val="left"/>
              <w:rPr>
                <w:noProof/>
                <w:lang w:val="en-IE"/>
              </w:rPr>
            </w:pPr>
            <w:r w:rsidRPr="00123905">
              <w:rPr>
                <w:noProof/>
                <w:color w:val="000000"/>
                <w:lang w:val="en-IE" w:eastAsia="en-IE"/>
              </w:rPr>
              <w:t>hits were registered in the Schengen information systems in relation to the total number of alerts. The number of hits dropped as a consequence of COVID-19 travel restrictions</w:t>
            </w:r>
            <w:r>
              <w:rPr>
                <w:rFonts w:ascii="Calibri" w:hAnsi="Calibri" w:cs="Calibri"/>
                <w:noProof/>
                <w:lang w:val="en-IE" w:eastAsia="en-IE"/>
              </w:rPr>
              <w:t xml:space="preserve"> between 2014 and 2021</w:t>
            </w:r>
          </w:p>
        </w:tc>
        <w:tc>
          <w:tcPr>
            <w:cnfStyle w:val="000001000000" w:firstRow="0" w:lastRow="0" w:firstColumn="0" w:lastColumn="0" w:oddVBand="0" w:evenVBand="1" w:oddHBand="0" w:evenHBand="0" w:firstRowFirstColumn="0" w:firstRowLastColumn="0" w:lastRowFirstColumn="0" w:lastRowLastColumn="0"/>
            <w:tcW w:w="2410" w:type="dxa"/>
          </w:tcPr>
          <w:p w14:paraId="53555D1A" w14:textId="77777777" w:rsidR="00881F76" w:rsidRPr="00123905" w:rsidRDefault="00881F76" w:rsidP="0083214A">
            <w:pPr>
              <w:pStyle w:val="ppoTableacheivementvalue"/>
              <w:rPr>
                <w:noProof/>
                <w:lang w:val="en-IE"/>
              </w:rPr>
            </w:pPr>
            <w:r w:rsidRPr="00123905">
              <w:rPr>
                <w:noProof/>
                <w:lang w:val="en-IE"/>
              </w:rPr>
              <w:t>449</w:t>
            </w:r>
          </w:p>
          <w:p w14:paraId="0CE17F72" w14:textId="77777777" w:rsidR="00881F76" w:rsidRPr="00123905" w:rsidRDefault="00881F76" w:rsidP="00786652">
            <w:pPr>
              <w:jc w:val="left"/>
              <w:rPr>
                <w:noProof/>
                <w:lang w:val="en-IE"/>
              </w:rPr>
            </w:pPr>
            <w:r w:rsidRPr="00123905">
              <w:rPr>
                <w:noProof/>
                <w:color w:val="000000"/>
                <w:lang w:val="en-IE" w:eastAsia="en-IE"/>
              </w:rPr>
              <w:t>consular cooperation activities were developed</w:t>
            </w:r>
            <w:r>
              <w:rPr>
                <w:noProof/>
                <w:color w:val="000000"/>
                <w:lang w:val="en-IE" w:eastAsia="en-IE"/>
              </w:rPr>
              <w:t xml:space="preserve"> between 2014 and 2021</w:t>
            </w:r>
            <w:r w:rsidRPr="00123905">
              <w:rPr>
                <w:noProof/>
                <w:color w:val="000000"/>
                <w:lang w:val="en-IE" w:eastAsia="en-IE"/>
              </w:rPr>
              <w:t>.</w:t>
            </w:r>
          </w:p>
        </w:tc>
        <w:tc>
          <w:tcPr>
            <w:tcW w:w="2410" w:type="dxa"/>
            <w:tcBorders>
              <w:bottom w:val="single" w:sz="4" w:space="0" w:color="8C8C8C"/>
            </w:tcBorders>
          </w:tcPr>
          <w:p w14:paraId="41E2F974" w14:textId="77777777" w:rsidR="00881F76" w:rsidRPr="00123905" w:rsidRDefault="00881F76" w:rsidP="0083214A">
            <w:pPr>
              <w:pStyle w:val="ppoTableacheivementvalue"/>
              <w:cnfStyle w:val="000000000000" w:firstRow="0" w:lastRow="0" w:firstColumn="0" w:lastColumn="0" w:oddVBand="0" w:evenVBand="0" w:oddHBand="0" w:evenHBand="0" w:firstRowFirstColumn="0" w:firstRowLastColumn="0" w:lastRowFirstColumn="0" w:lastRowLastColumn="0"/>
              <w:rPr>
                <w:noProof/>
                <w:lang w:val="en-IE"/>
              </w:rPr>
            </w:pPr>
            <w:bookmarkStart w:id="194" w:name="_Hlk101952362"/>
            <w:r w:rsidRPr="00123905">
              <w:rPr>
                <w:noProof/>
                <w:lang w:val="en-IE"/>
              </w:rPr>
              <w:t>720</w:t>
            </w:r>
          </w:p>
          <w:p w14:paraId="3B88A418" w14:textId="77777777" w:rsidR="00881F76" w:rsidRPr="00123905" w:rsidRDefault="00881F76" w:rsidP="00786652">
            <w:pPr>
              <w:jc w:val="left"/>
              <w:cnfStyle w:val="000000000000" w:firstRow="0" w:lastRow="0" w:firstColumn="0" w:lastColumn="0" w:oddVBand="0" w:evenVBand="0" w:oddHBand="0" w:evenHBand="0" w:firstRowFirstColumn="0" w:firstRowLastColumn="0" w:lastRowFirstColumn="0" w:lastRowLastColumn="0"/>
              <w:rPr>
                <w:noProof/>
                <w:lang w:val="en-IE"/>
              </w:rPr>
            </w:pPr>
            <w:r w:rsidRPr="00123905">
              <w:rPr>
                <w:noProof/>
                <w:color w:val="000000"/>
                <w:lang w:val="en-IE" w:eastAsia="en-IE"/>
              </w:rPr>
              <w:t>specialised posts were created in non-EU countries</w:t>
            </w:r>
            <w:r>
              <w:rPr>
                <w:noProof/>
                <w:color w:val="000000"/>
                <w:lang w:val="en-IE" w:eastAsia="en-IE"/>
              </w:rPr>
              <w:t xml:space="preserve"> between 2014 and 2021</w:t>
            </w:r>
            <w:r w:rsidRPr="00123905">
              <w:rPr>
                <w:noProof/>
                <w:color w:val="000000"/>
                <w:lang w:val="en-IE" w:eastAsia="en-IE"/>
              </w:rPr>
              <w:t>.</w:t>
            </w:r>
            <w:bookmarkEnd w:id="194"/>
          </w:p>
        </w:tc>
        <w:tc>
          <w:tcPr>
            <w:cnfStyle w:val="000001000000" w:firstRow="0" w:lastRow="0" w:firstColumn="0" w:lastColumn="0" w:oddVBand="0" w:evenVBand="1" w:oddHBand="0" w:evenHBand="0" w:firstRowFirstColumn="0" w:firstRowLastColumn="0" w:lastRowFirstColumn="0" w:lastRowLastColumn="0"/>
            <w:tcW w:w="2410" w:type="dxa"/>
          </w:tcPr>
          <w:p w14:paraId="040BF51A" w14:textId="77777777" w:rsidR="00881F76" w:rsidRPr="00123905" w:rsidRDefault="00881F76" w:rsidP="0083214A">
            <w:pPr>
              <w:pStyle w:val="ppoTableacheivementvalue"/>
              <w:rPr>
                <w:noProof/>
                <w:lang w:val="en-IE"/>
              </w:rPr>
            </w:pPr>
            <w:r w:rsidRPr="00123905">
              <w:rPr>
                <w:noProof/>
                <w:lang w:val="en-IE"/>
              </w:rPr>
              <w:t>38</w:t>
            </w:r>
            <w:r w:rsidRPr="00123905">
              <w:rPr>
                <w:rFonts w:ascii="Calibri" w:hAnsi="Calibri" w:cs="Calibri"/>
                <w:noProof/>
                <w:lang w:val="en-IE"/>
              </w:rPr>
              <w:t> </w:t>
            </w:r>
            <w:r w:rsidRPr="00123905">
              <w:rPr>
                <w:noProof/>
                <w:lang w:val="en-IE"/>
              </w:rPr>
              <w:t>901</w:t>
            </w:r>
          </w:p>
          <w:p w14:paraId="59C6ABC1" w14:textId="77777777" w:rsidR="00881F76" w:rsidRPr="00123905" w:rsidRDefault="00881F76" w:rsidP="00786652">
            <w:pPr>
              <w:jc w:val="left"/>
              <w:rPr>
                <w:rFonts w:ascii="Calibri" w:hAnsi="Calibri" w:cs="Calibri"/>
                <w:noProof/>
                <w:lang w:val="en-IE" w:eastAsia="en-IE"/>
              </w:rPr>
            </w:pPr>
            <w:r w:rsidRPr="00123905">
              <w:rPr>
                <w:noProof/>
                <w:color w:val="000000"/>
                <w:lang w:val="en-IE" w:eastAsia="en-IE"/>
              </w:rPr>
              <w:t>border control (checks and surveillance) infrastructure and means were developed or upgraded</w:t>
            </w:r>
            <w:r>
              <w:rPr>
                <w:noProof/>
                <w:color w:val="000000"/>
                <w:lang w:val="en-IE" w:eastAsia="en-IE"/>
              </w:rPr>
              <w:t xml:space="preserve"> between 2014 and 2021</w:t>
            </w:r>
            <w:r w:rsidRPr="00123905">
              <w:rPr>
                <w:noProof/>
                <w:color w:val="000000"/>
                <w:lang w:val="en-IE" w:eastAsia="en-IE"/>
              </w:rPr>
              <w:t>.</w:t>
            </w:r>
          </w:p>
        </w:tc>
      </w:tr>
      <w:tr w:rsidR="00881F76" w:rsidRPr="00123905" w14:paraId="506E2657" w14:textId="77777777" w:rsidTr="0083214A">
        <w:trPr>
          <w:gridAfter w:val="2"/>
          <w:wAfter w:w="4820" w:type="dxa"/>
        </w:trPr>
        <w:tc>
          <w:tcPr>
            <w:tcW w:w="2409" w:type="dxa"/>
            <w:tcBorders>
              <w:bottom w:val="nil"/>
            </w:tcBorders>
            <w:shd w:val="clear" w:color="auto" w:fill="FFFFFF" w:themeFill="background1"/>
          </w:tcPr>
          <w:p w14:paraId="6AF11525" w14:textId="77777777" w:rsidR="00881F76" w:rsidRPr="00123905" w:rsidRDefault="00881F76" w:rsidP="0083214A">
            <w:pPr>
              <w:rPr>
                <w:noProof/>
                <w:lang w:val="en-IE"/>
              </w:rPr>
            </w:pPr>
          </w:p>
        </w:tc>
        <w:tc>
          <w:tcPr>
            <w:cnfStyle w:val="000001000000" w:firstRow="0" w:lastRow="0" w:firstColumn="0" w:lastColumn="0" w:oddVBand="0" w:evenVBand="1" w:oddHBand="0" w:evenHBand="0" w:firstRowFirstColumn="0" w:firstRowLastColumn="0" w:lastRowFirstColumn="0" w:lastRowLastColumn="0"/>
            <w:tcW w:w="2410" w:type="dxa"/>
            <w:tcBorders>
              <w:bottom w:val="nil"/>
            </w:tcBorders>
            <w:shd w:val="clear" w:color="auto" w:fill="FFFFFF" w:themeFill="background1"/>
          </w:tcPr>
          <w:p w14:paraId="3DC52D78" w14:textId="77777777" w:rsidR="00881F76" w:rsidRPr="00123905" w:rsidRDefault="00881F76" w:rsidP="0083214A">
            <w:pPr>
              <w:rPr>
                <w:noProof/>
                <w:lang w:val="en-IE"/>
              </w:rPr>
            </w:pPr>
          </w:p>
        </w:tc>
      </w:tr>
    </w:tbl>
    <w:p w14:paraId="2CC1B7F7" w14:textId="77777777" w:rsidR="00881F76" w:rsidRPr="00123905" w:rsidRDefault="00881F76" w:rsidP="00881F76">
      <w:pPr>
        <w:pStyle w:val="FootnoteText"/>
        <w:rPr>
          <w:rFonts w:eastAsiaTheme="minorEastAsia"/>
          <w:noProof/>
          <w:lang w:val="en-IE"/>
        </w:rPr>
      </w:pPr>
      <w:r w:rsidRPr="00123905">
        <w:rPr>
          <w:rFonts w:eastAsiaTheme="minorEastAsia"/>
          <w:noProof/>
          <w:lang w:val="en-IE"/>
        </w:rPr>
        <w:t xml:space="preserve">(*) </w:t>
      </w:r>
      <w:r w:rsidRPr="00123905">
        <w:rPr>
          <w:rFonts w:eastAsiaTheme="minorEastAsia"/>
          <w:noProof/>
          <w:lang w:val="en-IE"/>
        </w:rPr>
        <w:tab/>
        <w:t>Key achievements in the table state which period they relate to. Many come from the implementation of the predecessor programmes under the 2014-2020 multiannual financial framework. This is expected and is due to the multiannual life cycle of EU programmes and the projects they finance, where results often follow only after completion of the programmes.</w:t>
      </w:r>
    </w:p>
    <w:p w14:paraId="1EBB48D6" w14:textId="77777777" w:rsidR="00881F76" w:rsidRPr="00123905" w:rsidRDefault="00881F76" w:rsidP="00881F76">
      <w:pPr>
        <w:pStyle w:val="ppoHeading5"/>
        <w:rPr>
          <w:noProof/>
          <w:lang w:val="en-IE"/>
        </w:rPr>
      </w:pPr>
      <w:r w:rsidRPr="00123905">
        <w:rPr>
          <w:noProof/>
          <w:lang w:val="en-IE"/>
        </w:rPr>
        <w:t>Budget for 2021-2027</w:t>
      </w:r>
    </w:p>
    <w:p w14:paraId="11E605DF" w14:textId="77777777" w:rsidR="00881F76" w:rsidRPr="00123905" w:rsidRDefault="00881F76" w:rsidP="00881F76">
      <w:pPr>
        <w:pStyle w:val="ppoTableTabletitle"/>
        <w:ind w:left="284"/>
        <w:rPr>
          <w:noProof/>
          <w:lang w:val="en-IE"/>
        </w:rPr>
      </w:pPr>
      <w:r w:rsidRPr="00123905">
        <w:rPr>
          <w:noProof/>
          <w:lang w:val="en-IE"/>
        </w:rPr>
        <w:t>(million EUR)</w:t>
      </w:r>
    </w:p>
    <w:tbl>
      <w:tblPr>
        <w:tblStyle w:val="PlainTable2"/>
        <w:tblW w:w="0" w:type="auto"/>
        <w:tblInd w:w="288" w:type="dxa"/>
        <w:tblLook w:val="04A0" w:firstRow="1" w:lastRow="0" w:firstColumn="1" w:lastColumn="0" w:noHBand="0" w:noVBand="1"/>
      </w:tblPr>
      <w:tblGrid>
        <w:gridCol w:w="4788"/>
        <w:gridCol w:w="2610"/>
      </w:tblGrid>
      <w:tr w:rsidR="00881F76" w:rsidRPr="00123905" w14:paraId="473149E4" w14:textId="77777777" w:rsidTr="0083214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407C0478" w14:textId="77777777" w:rsidR="00881F76" w:rsidRPr="00123905" w:rsidRDefault="00881F76" w:rsidP="0083214A">
            <w:pPr>
              <w:spacing w:before="120" w:after="120"/>
              <w:rPr>
                <w:noProof/>
                <w:lang w:val="en-IE"/>
              </w:rPr>
            </w:pPr>
            <w:r w:rsidRPr="00123905">
              <w:rPr>
                <w:rFonts w:cs="Calibri"/>
                <w:noProof/>
                <w:color w:val="000000"/>
                <w:lang w:val="en-IE"/>
              </w:rPr>
              <w:t>Financial programming</w:t>
            </w:r>
          </w:p>
        </w:tc>
        <w:tc>
          <w:tcPr>
            <w:tcW w:w="2610" w:type="dxa"/>
            <w:shd w:val="clear" w:color="auto" w:fill="auto"/>
            <w:vAlign w:val="bottom"/>
          </w:tcPr>
          <w:p w14:paraId="46591372" w14:textId="0195C880" w:rsidR="00365608" w:rsidRDefault="00412CEF" w:rsidP="00365608">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6 902.2</w:t>
            </w:r>
          </w:p>
          <w:p w14:paraId="3339B068" w14:textId="77777777" w:rsidR="00881F76" w:rsidRPr="00123905" w:rsidRDefault="00881F76" w:rsidP="006F409B">
            <w:pPr>
              <w:spacing w:before="120" w:after="120"/>
              <w:cnfStyle w:val="100000000000" w:firstRow="1" w:lastRow="0" w:firstColumn="0" w:lastColumn="0" w:oddVBand="0" w:evenVBand="0" w:oddHBand="0" w:evenHBand="0" w:firstRowFirstColumn="0" w:firstRowLastColumn="0" w:lastRowFirstColumn="0" w:lastRowLastColumn="0"/>
              <w:rPr>
                <w:b w:val="0"/>
                <w:noProof/>
                <w:lang w:val="en-IE"/>
              </w:rPr>
            </w:pPr>
          </w:p>
        </w:tc>
      </w:tr>
      <w:tr w:rsidR="00881F76" w:rsidRPr="00123905" w14:paraId="547276E7"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48EC8DF0" w14:textId="77777777" w:rsidR="00881F76" w:rsidRPr="00123905" w:rsidRDefault="00881F76" w:rsidP="0083214A">
            <w:pPr>
              <w:spacing w:before="120" w:after="120"/>
              <w:rPr>
                <w:b w:val="0"/>
                <w:noProof/>
                <w:lang w:val="en-IE"/>
              </w:rPr>
            </w:pPr>
            <w:r w:rsidRPr="00123905">
              <w:rPr>
                <w:rFonts w:cs="Calibri"/>
                <w:noProof/>
                <w:color w:val="000000"/>
                <w:lang w:val="en-IE"/>
              </w:rPr>
              <w:t>NextGenerationEU</w:t>
            </w:r>
          </w:p>
        </w:tc>
        <w:tc>
          <w:tcPr>
            <w:tcW w:w="2610" w:type="dxa"/>
            <w:vAlign w:val="bottom"/>
          </w:tcPr>
          <w:p w14:paraId="360E0F6C" w14:textId="77777777" w:rsidR="00881F76" w:rsidRPr="00123905" w:rsidRDefault="00881F76"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lang w:val="en-IE"/>
              </w:rPr>
            </w:pPr>
            <w:r w:rsidRPr="00123905">
              <w:rPr>
                <w:rFonts w:cs="Calibri"/>
                <w:noProof/>
                <w:color w:val="000000"/>
                <w:lang w:val="en-IE"/>
              </w:rPr>
              <w:t>0</w:t>
            </w:r>
          </w:p>
        </w:tc>
      </w:tr>
      <w:tr w:rsidR="00881F76" w:rsidRPr="00123905" w14:paraId="316FE1FB"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46485F7F" w14:textId="77777777" w:rsidR="00881F76" w:rsidRPr="00123905" w:rsidRDefault="00881F76" w:rsidP="0083214A">
            <w:pPr>
              <w:spacing w:before="120" w:after="120"/>
              <w:rPr>
                <w:b w:val="0"/>
                <w:noProof/>
                <w:lang w:val="en-IE"/>
              </w:rPr>
            </w:pPr>
            <w:r w:rsidRPr="00123905">
              <w:rPr>
                <w:noProof/>
                <w:lang w:val="en-IE"/>
              </w:rPr>
              <w:t>Decommitments made available again</w:t>
            </w:r>
            <w:r w:rsidRPr="00123905">
              <w:rPr>
                <w:rFonts w:ascii="Calibri" w:hAnsi="Calibri" w:cs="Calibri"/>
                <w:noProof/>
                <w:lang w:val="en-IE"/>
              </w:rPr>
              <w:t> </w:t>
            </w:r>
            <w:r w:rsidRPr="00123905">
              <w:rPr>
                <w:rFonts w:cs="Calibri"/>
                <w:noProof/>
                <w:color w:val="000000"/>
                <w:lang w:val="en-IE"/>
              </w:rPr>
              <w:t>(*)</w:t>
            </w:r>
          </w:p>
        </w:tc>
        <w:tc>
          <w:tcPr>
            <w:tcW w:w="2610" w:type="dxa"/>
            <w:vAlign w:val="bottom"/>
          </w:tcPr>
          <w:p w14:paraId="61847456" w14:textId="77777777" w:rsidR="00881F76" w:rsidRPr="00123905" w:rsidRDefault="00881F76" w:rsidP="0083214A">
            <w:pPr>
              <w:spacing w:before="120" w:after="120"/>
              <w:jc w:val="center"/>
              <w:cnfStyle w:val="000000000000" w:firstRow="0" w:lastRow="0" w:firstColumn="0" w:lastColumn="0" w:oddVBand="0" w:evenVBand="0" w:oddHBand="0" w:evenHBand="0" w:firstRowFirstColumn="0" w:firstRowLastColumn="0" w:lastRowFirstColumn="0" w:lastRowLastColumn="0"/>
              <w:rPr>
                <w:noProof/>
                <w:lang w:val="en-IE"/>
              </w:rPr>
            </w:pPr>
            <w:r>
              <w:rPr>
                <w:rFonts w:cs="Calibri"/>
                <w:noProof/>
                <w:color w:val="000000"/>
                <w:lang w:val="en-IE"/>
              </w:rPr>
              <w:t>N/A</w:t>
            </w:r>
          </w:p>
        </w:tc>
      </w:tr>
      <w:tr w:rsidR="00881F76" w:rsidRPr="00123905" w14:paraId="5D17CB71"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2C3D32C0" w14:textId="77777777" w:rsidR="00881F76" w:rsidRPr="00123905" w:rsidRDefault="00881F76" w:rsidP="0083214A">
            <w:pPr>
              <w:spacing w:before="120" w:after="120"/>
              <w:rPr>
                <w:noProof/>
                <w:lang w:val="en-IE"/>
              </w:rPr>
            </w:pPr>
            <w:r w:rsidRPr="00123905">
              <w:rPr>
                <w:rFonts w:cs="Calibri"/>
                <w:noProof/>
                <w:color w:val="000000"/>
                <w:lang w:val="en-IE"/>
              </w:rPr>
              <w:t>Contributions from other countries and entities</w:t>
            </w:r>
          </w:p>
        </w:tc>
        <w:tc>
          <w:tcPr>
            <w:tcW w:w="2610" w:type="dxa"/>
            <w:vAlign w:val="bottom"/>
          </w:tcPr>
          <w:p w14:paraId="42D0BE0D" w14:textId="77777777" w:rsidR="00881F76" w:rsidRPr="00123905" w:rsidRDefault="00881F76"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lang w:val="en-IE"/>
              </w:rPr>
            </w:pPr>
            <w:r w:rsidRPr="00123905">
              <w:rPr>
                <w:rFonts w:cs="Calibri"/>
                <w:noProof/>
                <w:color w:val="000000"/>
                <w:lang w:val="en-IE"/>
              </w:rPr>
              <w:t>0.5</w:t>
            </w:r>
          </w:p>
        </w:tc>
      </w:tr>
      <w:tr w:rsidR="00881F76" w:rsidRPr="00123905" w14:paraId="5AD4F9F2"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2F2F2" w:themeFill="background1" w:themeFillShade="F2"/>
            <w:vAlign w:val="bottom"/>
          </w:tcPr>
          <w:p w14:paraId="74E49C44" w14:textId="77777777" w:rsidR="00881F76" w:rsidRPr="00123905" w:rsidRDefault="00881F76" w:rsidP="0083214A">
            <w:pPr>
              <w:spacing w:before="120" w:after="120"/>
              <w:rPr>
                <w:noProof/>
                <w:lang w:val="en-IE"/>
              </w:rPr>
            </w:pPr>
            <w:r w:rsidRPr="00123905">
              <w:rPr>
                <w:rFonts w:cs="Calibri"/>
                <w:noProof/>
                <w:color w:val="000000"/>
                <w:lang w:val="en-IE"/>
              </w:rPr>
              <w:t>Total budget for 2021-2027</w:t>
            </w:r>
          </w:p>
        </w:tc>
        <w:tc>
          <w:tcPr>
            <w:tcW w:w="2610" w:type="dxa"/>
            <w:shd w:val="clear" w:color="auto" w:fill="F2F2F2" w:themeFill="background1" w:themeFillShade="F2"/>
            <w:vAlign w:val="bottom"/>
          </w:tcPr>
          <w:p w14:paraId="0A338ADC" w14:textId="3B4F9A6D" w:rsidR="00365608" w:rsidRDefault="00365608" w:rsidP="00365608">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 xml:space="preserve">6 </w:t>
            </w:r>
            <w:r w:rsidR="00412CEF">
              <w:rPr>
                <w:rFonts w:ascii="Calibri" w:hAnsi="Calibri" w:cs="Calibri"/>
                <w:noProof/>
                <w:color w:val="000000"/>
              </w:rPr>
              <w:t>902</w:t>
            </w:r>
            <w:r>
              <w:rPr>
                <w:rFonts w:ascii="Calibri" w:hAnsi="Calibri" w:cs="Calibri"/>
                <w:noProof/>
                <w:color w:val="000000"/>
              </w:rPr>
              <w:t>.</w:t>
            </w:r>
            <w:r w:rsidR="00412CEF">
              <w:rPr>
                <w:rFonts w:ascii="Calibri" w:hAnsi="Calibri" w:cs="Calibri"/>
                <w:noProof/>
                <w:color w:val="000000"/>
              </w:rPr>
              <w:t>2</w:t>
            </w:r>
          </w:p>
          <w:p w14:paraId="5783154C" w14:textId="77777777" w:rsidR="00881F76" w:rsidRPr="00123905" w:rsidRDefault="00881F76" w:rsidP="0083214A">
            <w:pPr>
              <w:spacing w:before="120" w:after="120"/>
              <w:jc w:val="center"/>
              <w:cnfStyle w:val="000000000000" w:firstRow="0" w:lastRow="0" w:firstColumn="0" w:lastColumn="0" w:oddVBand="0" w:evenVBand="0" w:oddHBand="0" w:evenHBand="0" w:firstRowFirstColumn="0" w:firstRowLastColumn="0" w:lastRowFirstColumn="0" w:lastRowLastColumn="0"/>
              <w:rPr>
                <w:b/>
                <w:noProof/>
                <w:lang w:val="en-IE"/>
              </w:rPr>
            </w:pPr>
          </w:p>
        </w:tc>
      </w:tr>
    </w:tbl>
    <w:p w14:paraId="3785AF74" w14:textId="77777777" w:rsidR="00881F76" w:rsidRPr="00123905" w:rsidRDefault="00881F76" w:rsidP="00881F76">
      <w:pPr>
        <w:tabs>
          <w:tab w:val="left" w:pos="6793"/>
        </w:tabs>
        <w:rPr>
          <w:noProof/>
          <w:sz w:val="18"/>
          <w:szCs w:val="18"/>
          <w:lang w:val="en-IE"/>
        </w:rPr>
      </w:pPr>
      <w:r w:rsidRPr="00123905">
        <w:rPr>
          <w:noProof/>
          <w:sz w:val="18"/>
          <w:szCs w:val="18"/>
          <w:lang w:val="en-IE"/>
        </w:rPr>
        <w:t>(*) Only Article</w:t>
      </w:r>
      <w:r w:rsidRPr="00123905">
        <w:rPr>
          <w:rFonts w:ascii="Calibri" w:hAnsi="Calibri" w:cs="Calibri"/>
          <w:noProof/>
          <w:sz w:val="18"/>
          <w:szCs w:val="18"/>
          <w:lang w:val="en-IE"/>
        </w:rPr>
        <w:t> </w:t>
      </w:r>
      <w:r w:rsidRPr="00123905">
        <w:rPr>
          <w:noProof/>
          <w:sz w:val="18"/>
          <w:szCs w:val="18"/>
          <w:lang w:val="en-IE"/>
        </w:rPr>
        <w:t>15(3) of the financial regulation.</w:t>
      </w:r>
    </w:p>
    <w:p w14:paraId="1EA8B641" w14:textId="77777777" w:rsidR="00881F76" w:rsidRPr="00123905" w:rsidRDefault="00881F76" w:rsidP="00881F76">
      <w:pPr>
        <w:pStyle w:val="ppoHeading5"/>
        <w:ind w:left="0"/>
        <w:rPr>
          <w:noProof/>
          <w:lang w:val="en-IE"/>
        </w:rPr>
      </w:pPr>
      <w:r w:rsidRPr="00123905">
        <w:rPr>
          <w:noProof/>
          <w:lang w:val="en-IE"/>
        </w:rPr>
        <w:t>Rationale and design of the programme</w:t>
      </w:r>
    </w:p>
    <w:p w14:paraId="4964AF88" w14:textId="77777777" w:rsidR="00881F76" w:rsidRPr="00123905" w:rsidRDefault="00881F76" w:rsidP="00881F76">
      <w:pPr>
        <w:rPr>
          <w:noProof/>
          <w:color w:val="000000"/>
          <w:lang w:val="en-IE" w:eastAsia="en-IE"/>
        </w:rPr>
      </w:pPr>
      <w:r w:rsidRPr="00123905">
        <w:rPr>
          <w:noProof/>
          <w:color w:val="000000"/>
          <w:lang w:val="en-IE" w:eastAsia="en-IE"/>
        </w:rPr>
        <w:t>The Integrated Border Management Fund (IBMF) addresses the challenges in the areas of the management of the external borders and common visa policy that cannot be adequately addressed by the Member States acting on their own.</w:t>
      </w:r>
    </w:p>
    <w:p w14:paraId="36AEDF08" w14:textId="77777777" w:rsidR="00881F76" w:rsidRPr="00123905" w:rsidRDefault="00881F76" w:rsidP="00881F76">
      <w:pPr>
        <w:pStyle w:val="ppoHeading6"/>
        <w:rPr>
          <w:noProof/>
          <w:lang w:val="en-IE"/>
        </w:rPr>
      </w:pPr>
      <w:r w:rsidRPr="00123905">
        <w:rPr>
          <w:noProof/>
          <w:lang w:val="en-IE"/>
        </w:rPr>
        <w:t>Challenge</w:t>
      </w:r>
    </w:p>
    <w:p w14:paraId="6DAEFB96" w14:textId="77777777" w:rsidR="00881F76" w:rsidRPr="00123905" w:rsidRDefault="00881F76" w:rsidP="00881F76">
      <w:pPr>
        <w:rPr>
          <w:noProof/>
          <w:lang w:val="en-IE"/>
        </w:rPr>
      </w:pPr>
      <w:r w:rsidRPr="00123905">
        <w:rPr>
          <w:noProof/>
          <w:lang w:val="en-IE"/>
        </w:rPr>
        <w:t xml:space="preserve">The abolition of internal border controls </w:t>
      </w:r>
      <w:bookmarkStart w:id="195" w:name="_Hlk101946390"/>
      <w:r w:rsidRPr="00123905">
        <w:rPr>
          <w:noProof/>
          <w:lang w:val="en-IE"/>
        </w:rPr>
        <w:t xml:space="preserve">brings important benefits to </w:t>
      </w:r>
      <w:r w:rsidRPr="00661C47">
        <w:rPr>
          <w:noProof/>
        </w:rPr>
        <w:t>E</w:t>
      </w:r>
      <w:r>
        <w:rPr>
          <w:noProof/>
        </w:rPr>
        <w:t>U</w:t>
      </w:r>
      <w:r w:rsidRPr="00123905">
        <w:rPr>
          <w:noProof/>
          <w:lang w:val="en-IE"/>
        </w:rPr>
        <w:t xml:space="preserve"> citizens and businesses</w:t>
      </w:r>
      <w:bookmarkEnd w:id="195"/>
      <w:r w:rsidRPr="00123905">
        <w:rPr>
          <w:noProof/>
          <w:lang w:val="en-IE"/>
        </w:rPr>
        <w:t xml:space="preserve">. However, the integrity, safety and security of the EU’s internal borderless area and of its Customs Union requires effective management and protection of the EU’s external borders, especially in times of challenges posed by migratory pressures and threats of serious cross-border crime. </w:t>
      </w:r>
    </w:p>
    <w:p w14:paraId="6CF6A6D8" w14:textId="77777777" w:rsidR="00881F76" w:rsidRPr="00123905" w:rsidRDefault="00881F76" w:rsidP="00881F76">
      <w:pPr>
        <w:rPr>
          <w:noProof/>
          <w:lang w:val="en-IE"/>
        </w:rPr>
      </w:pPr>
      <w:r w:rsidRPr="00123905">
        <w:rPr>
          <w:noProof/>
          <w:lang w:val="en-IE"/>
        </w:rPr>
        <w:t>This calls for action at the EU level, in the form of common measures for the effective control, including surveillance, of the EU’s external borders.</w:t>
      </w:r>
    </w:p>
    <w:p w14:paraId="4D6BA853" w14:textId="77777777" w:rsidR="00881F76" w:rsidRPr="00123905" w:rsidRDefault="00881F76" w:rsidP="00881F76">
      <w:pPr>
        <w:pStyle w:val="ppoHeading6"/>
        <w:rPr>
          <w:noProof/>
          <w:lang w:val="en-IE"/>
        </w:rPr>
      </w:pPr>
      <w:r w:rsidRPr="00123905">
        <w:rPr>
          <w:noProof/>
          <w:lang w:val="en-IE"/>
        </w:rPr>
        <w:t>Mission</w:t>
      </w:r>
    </w:p>
    <w:p w14:paraId="36255BBC" w14:textId="77777777" w:rsidR="00881F76" w:rsidRPr="00123905" w:rsidRDefault="00881F76" w:rsidP="00881F76">
      <w:pPr>
        <w:rPr>
          <w:noProof/>
          <w:lang w:val="en-IE"/>
        </w:rPr>
      </w:pPr>
      <w:r w:rsidRPr="00123905">
        <w:rPr>
          <w:noProof/>
          <w:lang w:val="en-IE"/>
        </w:rPr>
        <w:t xml:space="preserve">IBMF will address these challenges through two instruments for financial support: the customs control equipment instrument (CCEI) and </w:t>
      </w:r>
      <w:r w:rsidRPr="00123905">
        <w:rPr>
          <w:noProof/>
          <w:color w:val="000000"/>
          <w:lang w:val="en-IE" w:eastAsia="en-IE"/>
        </w:rPr>
        <w:t>the instrument for financial support for border management and visa policy</w:t>
      </w:r>
      <w:r w:rsidRPr="00123905" w:rsidDel="005F22E0">
        <w:rPr>
          <w:noProof/>
          <w:lang w:val="en-IE"/>
        </w:rPr>
        <w:t xml:space="preserve"> </w:t>
      </w:r>
      <w:r w:rsidRPr="00123905">
        <w:rPr>
          <w:noProof/>
          <w:lang w:val="en-IE"/>
        </w:rPr>
        <w:t xml:space="preserve">(BMVI). </w:t>
      </w:r>
    </w:p>
    <w:p w14:paraId="523CFE22" w14:textId="77777777" w:rsidR="00881F76" w:rsidRPr="00123905" w:rsidRDefault="00881F76" w:rsidP="00881F76">
      <w:pPr>
        <w:rPr>
          <w:noProof/>
          <w:lang w:val="en-IE"/>
        </w:rPr>
      </w:pPr>
      <w:r w:rsidRPr="00123905">
        <w:rPr>
          <w:noProof/>
          <w:lang w:val="en-IE"/>
        </w:rPr>
        <w:t xml:space="preserve">In particular, CCEI’s mission is to support the customs union and customs authorities to protect the financial and economic interests of the EU and its Member States, to ensure security and safety within the EU and to protect the EU from illegal trade while facilitating legitimate business activity. </w:t>
      </w:r>
    </w:p>
    <w:p w14:paraId="08EE3918" w14:textId="77777777" w:rsidR="00881F76" w:rsidRPr="00123905" w:rsidRDefault="00881F76" w:rsidP="00881F76">
      <w:pPr>
        <w:rPr>
          <w:noProof/>
          <w:lang w:val="en-IE"/>
        </w:rPr>
      </w:pPr>
      <w:r w:rsidRPr="00123905">
        <w:rPr>
          <w:noProof/>
          <w:lang w:val="en-IE"/>
        </w:rPr>
        <w:t xml:space="preserve">BMVI’s mission is to provide financial support to Member States and </w:t>
      </w:r>
      <w:bookmarkStart w:id="196" w:name="_Hlk101946455"/>
      <w:r w:rsidRPr="00123905">
        <w:rPr>
          <w:noProof/>
          <w:lang w:val="en-IE"/>
        </w:rPr>
        <w:t>to ensure strong and effective European integrated border management at the EU’s external borders</w:t>
      </w:r>
      <w:bookmarkEnd w:id="196"/>
      <w:r w:rsidRPr="00123905">
        <w:rPr>
          <w:noProof/>
          <w:lang w:val="en-IE"/>
        </w:rPr>
        <w:t>, thereby contributing to a high level of internal security within the EU, all while safeguarding the free movement of people within it.</w:t>
      </w:r>
    </w:p>
    <w:p w14:paraId="3610FFEC" w14:textId="77777777" w:rsidR="00881F76" w:rsidRPr="00123905" w:rsidRDefault="00881F76" w:rsidP="00881F76">
      <w:pPr>
        <w:pStyle w:val="ppoHeading6"/>
        <w:rPr>
          <w:noProof/>
          <w:lang w:val="en-IE"/>
        </w:rPr>
      </w:pPr>
      <w:r w:rsidRPr="00123905">
        <w:rPr>
          <w:noProof/>
          <w:lang w:val="en-IE"/>
        </w:rPr>
        <w:t>Objectives</w:t>
      </w:r>
    </w:p>
    <w:p w14:paraId="4536CF09" w14:textId="77777777" w:rsidR="00881F76" w:rsidRPr="00123905" w:rsidRDefault="00881F76" w:rsidP="00881F76">
      <w:pPr>
        <w:rPr>
          <w:noProof/>
          <w:lang w:val="en-IE"/>
        </w:rPr>
      </w:pPr>
      <w:r w:rsidRPr="00123905">
        <w:rPr>
          <w:noProof/>
          <w:lang w:val="en-IE"/>
        </w:rPr>
        <w:t xml:space="preserve">CCEI’s specific objective is to contribute to adequate and equivalent customs controls through the purchase, maintenance and upgrade of relevant, state of the art and reliable customs control equipment, </w:t>
      </w:r>
      <w:bookmarkStart w:id="197" w:name="_Hlk101946529"/>
      <w:r w:rsidRPr="00123905">
        <w:rPr>
          <w:noProof/>
          <w:lang w:val="en-IE"/>
        </w:rPr>
        <w:t xml:space="preserve">thereby </w:t>
      </w:r>
      <w:r>
        <w:rPr>
          <w:noProof/>
          <w:lang w:val="en-IE"/>
        </w:rPr>
        <w:t>enabling</w:t>
      </w:r>
      <w:r w:rsidRPr="00123905">
        <w:rPr>
          <w:noProof/>
          <w:lang w:val="en-IE"/>
        </w:rPr>
        <w:t xml:space="preserve"> customs authorities </w:t>
      </w:r>
      <w:r>
        <w:rPr>
          <w:noProof/>
          <w:lang w:val="en-IE"/>
        </w:rPr>
        <w:t xml:space="preserve">to </w:t>
      </w:r>
      <w:r w:rsidRPr="00661C47">
        <w:rPr>
          <w:noProof/>
        </w:rPr>
        <w:t xml:space="preserve">act as </w:t>
      </w:r>
      <w:r>
        <w:rPr>
          <w:noProof/>
        </w:rPr>
        <w:t>a single body</w:t>
      </w:r>
      <w:r w:rsidRPr="00123905">
        <w:rPr>
          <w:noProof/>
          <w:lang w:val="en-IE"/>
        </w:rPr>
        <w:t xml:space="preserve"> to protect the interests of the EU. </w:t>
      </w:r>
      <w:bookmarkEnd w:id="197"/>
    </w:p>
    <w:p w14:paraId="62B15EFD" w14:textId="77777777" w:rsidR="00881F76" w:rsidRPr="00123905" w:rsidRDefault="00881F76" w:rsidP="00881F76">
      <w:pPr>
        <w:rPr>
          <w:noProof/>
          <w:lang w:val="en-IE"/>
        </w:rPr>
      </w:pPr>
      <w:r w:rsidRPr="00123905">
        <w:rPr>
          <w:noProof/>
          <w:lang w:val="en-IE"/>
        </w:rPr>
        <w:t>BMVI has two specific objectives.</w:t>
      </w:r>
    </w:p>
    <w:p w14:paraId="4995FE21" w14:textId="77777777" w:rsidR="00881F76" w:rsidRPr="00123905" w:rsidRDefault="00881F76" w:rsidP="00881F76">
      <w:pPr>
        <w:pStyle w:val="ppoListHyphened-L1"/>
        <w:rPr>
          <w:noProof/>
          <w:lang w:val="en-IE"/>
        </w:rPr>
      </w:pPr>
      <w:r w:rsidRPr="00123905">
        <w:rPr>
          <w:noProof/>
          <w:lang w:val="en-IE"/>
        </w:rPr>
        <w:t>To support effective European integrated border management at the external borders, implemented by the European Border and Coast Guard Agency as a shared responsibility of the agency and the national authorities responsible for border management, to facilitate legitimate border crossings, to prevent and detect illegal immigration and cross-border crime and to effectively manage migratory flows.</w:t>
      </w:r>
    </w:p>
    <w:p w14:paraId="1A43193F" w14:textId="77777777" w:rsidR="00881F76" w:rsidRPr="00123905" w:rsidRDefault="00881F76" w:rsidP="00881F76">
      <w:pPr>
        <w:pStyle w:val="ppoListHyphened-L1"/>
        <w:rPr>
          <w:noProof/>
          <w:lang w:val="en-IE"/>
        </w:rPr>
      </w:pPr>
      <w:r w:rsidRPr="00123905">
        <w:rPr>
          <w:noProof/>
          <w:lang w:val="en-IE"/>
        </w:rPr>
        <w:t>To support the common visa policy to ensure a harmonised approach with regard to the issuance of visas and to facilitate legitimate travel, while helping to prevent migratory and security risks, and to strengthen and develop all aspects of the common European asylum system, including its external dimension.</w:t>
      </w:r>
    </w:p>
    <w:p w14:paraId="1B2C56E3" w14:textId="77777777" w:rsidR="00881F76" w:rsidRPr="00123905" w:rsidRDefault="00881F76" w:rsidP="00881F76">
      <w:pPr>
        <w:pStyle w:val="ppoHeading6"/>
        <w:rPr>
          <w:noProof/>
          <w:lang w:val="en-IE"/>
        </w:rPr>
      </w:pPr>
      <w:r w:rsidRPr="00123905">
        <w:rPr>
          <w:noProof/>
          <w:lang w:val="en-IE"/>
        </w:rPr>
        <w:t>Actions</w:t>
      </w:r>
    </w:p>
    <w:p w14:paraId="0F0E0382" w14:textId="77777777" w:rsidR="00881F76" w:rsidRPr="00123905" w:rsidRDefault="00881F76" w:rsidP="00881F76">
      <w:pPr>
        <w:rPr>
          <w:noProof/>
          <w:lang w:val="en-IE"/>
        </w:rPr>
      </w:pPr>
      <w:r w:rsidRPr="00123905">
        <w:rPr>
          <w:noProof/>
          <w:lang w:val="en-IE"/>
        </w:rPr>
        <w:t xml:space="preserve">CCEI supports the purchase, maintenance and upgrade of customs controls equipment, such as non-intrusive inspection, identification of hidden objects on humans, radiation detection, nuclide identification, analysis of samples in laboratories, </w:t>
      </w:r>
      <w:bookmarkStart w:id="198" w:name="_Hlk101947346"/>
      <w:r w:rsidRPr="00123905">
        <w:rPr>
          <w:noProof/>
          <w:lang w:val="en-IE"/>
        </w:rPr>
        <w:t xml:space="preserve">sampling and field analysis of samples, </w:t>
      </w:r>
      <w:r w:rsidRPr="00841704">
        <w:rPr>
          <w:noProof/>
        </w:rPr>
        <w:t>handheld search</w:t>
      </w:r>
      <w:r>
        <w:rPr>
          <w:noProof/>
        </w:rPr>
        <w:t xml:space="preserve"> tools</w:t>
      </w:r>
      <w:r w:rsidRPr="00123905">
        <w:rPr>
          <w:noProof/>
          <w:lang w:val="en-IE"/>
        </w:rPr>
        <w:t xml:space="preserve"> and other </w:t>
      </w:r>
      <w:bookmarkEnd w:id="198"/>
      <w:r w:rsidRPr="00123905">
        <w:rPr>
          <w:noProof/>
          <w:lang w:val="en-IE"/>
        </w:rPr>
        <w:t xml:space="preserve">types of innovative non-intrusive detection technology equipment. </w:t>
      </w:r>
    </w:p>
    <w:p w14:paraId="27A938D1" w14:textId="77777777" w:rsidR="00881F76" w:rsidRPr="00123905" w:rsidRDefault="00881F76" w:rsidP="00881F76">
      <w:pPr>
        <w:rPr>
          <w:noProof/>
          <w:lang w:val="en-IE"/>
        </w:rPr>
      </w:pPr>
      <w:r w:rsidRPr="00123905">
        <w:rPr>
          <w:noProof/>
          <w:lang w:val="en-IE"/>
        </w:rPr>
        <w:t>BMVI supports a broad range of actions to improve border controls, in line with the European agenda on migration and in compliance with the Charter of Fundamental Rights of the European Union, enhancing the cooperation at the EU level for tasks carried out at borders. It funds efficient, client-friendly services to visa applicants while maintaining the security and integrity of visa procedures. It invests in common large</w:t>
      </w:r>
      <w:r w:rsidRPr="00123905">
        <w:rPr>
          <w:noProof/>
          <w:lang w:val="en-IE"/>
        </w:rPr>
        <w:noBreakHyphen/>
        <w:t>scale information technology systems in the area of border management and visa policy, including in their interoperability, as well as in infrastructure and equipment, systems and services, training, exchange of experts, deployment of immigration liaison officers, innovative solutions and new technologies, studies, providing also operating support for the implementation of the European integrated border management and of the common visa policy.</w:t>
      </w:r>
    </w:p>
    <w:p w14:paraId="21F5724F" w14:textId="77777777" w:rsidR="00881F76" w:rsidRPr="00123905" w:rsidRDefault="00881F76" w:rsidP="00881F76">
      <w:pPr>
        <w:pStyle w:val="ppoHeading6"/>
        <w:rPr>
          <w:noProof/>
          <w:lang w:val="en-IE"/>
        </w:rPr>
      </w:pPr>
      <w:r w:rsidRPr="00123905">
        <w:rPr>
          <w:noProof/>
          <w:lang w:val="en-IE"/>
        </w:rPr>
        <w:t>Delivery mode</w:t>
      </w:r>
    </w:p>
    <w:p w14:paraId="602F0602" w14:textId="77777777" w:rsidR="00881F76" w:rsidRPr="00123905" w:rsidRDefault="00881F76" w:rsidP="00881F76">
      <w:pPr>
        <w:rPr>
          <w:noProof/>
          <w:lang w:val="en-IE"/>
        </w:rPr>
      </w:pPr>
      <w:r w:rsidRPr="00123905">
        <w:rPr>
          <w:noProof/>
          <w:lang w:val="en-IE"/>
        </w:rPr>
        <w:t xml:space="preserve">The Commission implements the CCEI actions under direct management. </w:t>
      </w:r>
      <w:r w:rsidRPr="000F253B">
        <w:rPr>
          <w:noProof/>
          <w:sz w:val="22"/>
          <w:szCs w:val="22"/>
          <w:lang w:val="en-IE"/>
        </w:rPr>
        <w:t>DG Taxation and Customs Union</w:t>
      </w:r>
      <w:r w:rsidRPr="00123905">
        <w:rPr>
          <w:noProof/>
          <w:lang w:val="en-IE"/>
        </w:rPr>
        <w:t xml:space="preserve"> is in the lead, in close cooperation with the </w:t>
      </w:r>
      <w:r w:rsidRPr="000F253B">
        <w:rPr>
          <w:noProof/>
          <w:sz w:val="22"/>
          <w:szCs w:val="22"/>
          <w:lang w:val="en-IE"/>
        </w:rPr>
        <w:t>European Anti-Fraud Office</w:t>
      </w:r>
      <w:r w:rsidRPr="00123905">
        <w:rPr>
          <w:noProof/>
          <w:lang w:val="en-IE"/>
        </w:rPr>
        <w:t xml:space="preserve"> for their anti-fraud programme and with other relevant Commission services. BMVI is implemented through shared management by the Member States and direct/indirect management. </w:t>
      </w:r>
      <w:r w:rsidRPr="000F253B">
        <w:rPr>
          <w:noProof/>
          <w:sz w:val="22"/>
          <w:szCs w:val="22"/>
          <w:lang w:val="en-IE"/>
        </w:rPr>
        <w:t>DG Migration and Home Affairs</w:t>
      </w:r>
      <w:r w:rsidRPr="00123905">
        <w:rPr>
          <w:noProof/>
          <w:lang w:val="en-IE"/>
        </w:rPr>
        <w:t xml:space="preserve"> is in the lead, in close coordination with other shared management DGs, particularly </w:t>
      </w:r>
      <w:r w:rsidRPr="000F253B">
        <w:rPr>
          <w:noProof/>
          <w:sz w:val="22"/>
          <w:szCs w:val="22"/>
          <w:lang w:val="en-IE"/>
        </w:rPr>
        <w:t>DG Maritime Affairs and Fisheries</w:t>
      </w:r>
      <w:r w:rsidRPr="00123905">
        <w:rPr>
          <w:noProof/>
          <w:lang w:val="en-IE"/>
        </w:rPr>
        <w:t>. Close cooperation will be ensured between DG Taxation and Customs Union and DG Migration and Home Affairs.</w:t>
      </w:r>
    </w:p>
    <w:p w14:paraId="0706553E" w14:textId="77777777" w:rsidR="00881F76" w:rsidRPr="00123905" w:rsidRDefault="00881F76" w:rsidP="00881F76">
      <w:pPr>
        <w:pStyle w:val="ppoHeading6"/>
        <w:rPr>
          <w:noProof/>
          <w:lang w:val="en-IE"/>
        </w:rPr>
      </w:pPr>
      <w:r w:rsidRPr="00123905">
        <w:rPr>
          <w:noProof/>
          <w:lang w:val="en-IE"/>
        </w:rPr>
        <w:t>LINK TO THE 2014-2020 MULTIANNUAL FINANCIAL FRAMEWORK</w:t>
      </w:r>
    </w:p>
    <w:p w14:paraId="1900EF30" w14:textId="77777777" w:rsidR="00881F76" w:rsidRPr="00123905" w:rsidRDefault="00881F76" w:rsidP="00881F76">
      <w:pPr>
        <w:rPr>
          <w:noProof/>
          <w:lang w:val="en-IE"/>
        </w:rPr>
      </w:pPr>
      <w:r w:rsidRPr="00123905">
        <w:rPr>
          <w:noProof/>
          <w:lang w:val="en-IE"/>
        </w:rPr>
        <w:t xml:space="preserve">CCEI is a new instrument. BMVI builds on the Internal Security Fund (ISF), the instrument for financial support for external borders and visa implemented under the 2014-2020 multiannual financial framework. It strengthens its external dimension </w:t>
      </w:r>
      <w:bookmarkStart w:id="199" w:name="_Hlk101948613"/>
      <w:r w:rsidRPr="00123905">
        <w:rPr>
          <w:noProof/>
          <w:lang w:val="en-IE"/>
        </w:rPr>
        <w:t xml:space="preserve">to cover cooperation </w:t>
      </w:r>
      <w:r>
        <w:rPr>
          <w:noProof/>
          <w:lang w:val="en-IE"/>
        </w:rPr>
        <w:t xml:space="preserve">with </w:t>
      </w:r>
      <w:r>
        <w:rPr>
          <w:noProof/>
        </w:rPr>
        <w:t>non-EU</w:t>
      </w:r>
      <w:r w:rsidRPr="00A84BBA">
        <w:rPr>
          <w:noProof/>
        </w:rPr>
        <w:t xml:space="preserve"> countries</w:t>
      </w:r>
      <w:r w:rsidRPr="00123905">
        <w:rPr>
          <w:noProof/>
          <w:lang w:val="en-IE"/>
        </w:rPr>
        <w:t xml:space="preserve"> </w:t>
      </w:r>
      <w:bookmarkEnd w:id="199"/>
      <w:r w:rsidRPr="00123905">
        <w:rPr>
          <w:noProof/>
          <w:lang w:val="en-IE"/>
        </w:rPr>
        <w:t>and adds flexibility through a balanced mix of implementation modes.</w:t>
      </w:r>
    </w:p>
    <w:p w14:paraId="53E4B8BD" w14:textId="77777777" w:rsidR="00881F76" w:rsidRPr="00123905" w:rsidRDefault="00881F76" w:rsidP="00881F76">
      <w:pPr>
        <w:pStyle w:val="ppoHeading6"/>
        <w:rPr>
          <w:noProof/>
          <w:lang w:val="en-IE"/>
        </w:rPr>
      </w:pPr>
      <w:r w:rsidRPr="00123905">
        <w:rPr>
          <w:noProof/>
          <w:lang w:val="en-IE"/>
        </w:rPr>
        <w:br/>
        <w:t>Impact assessment</w:t>
      </w:r>
    </w:p>
    <w:p w14:paraId="088FFC43" w14:textId="77777777" w:rsidR="00881F76" w:rsidRPr="00123905" w:rsidRDefault="00881F76" w:rsidP="00881F76">
      <w:pPr>
        <w:rPr>
          <w:noProof/>
          <w:lang w:val="en-IE"/>
        </w:rPr>
      </w:pPr>
      <w:r w:rsidRPr="00123905">
        <w:rPr>
          <w:noProof/>
          <w:lang w:val="en-IE"/>
        </w:rPr>
        <w:t xml:space="preserve">The impact assessment of the IBMF was carried out in 2018. For further information please consult: </w:t>
      </w:r>
      <w:hyperlink r:id="rId454" w:history="1">
        <w:r w:rsidRPr="00123905">
          <w:rPr>
            <w:rStyle w:val="Hyperlink"/>
            <w:noProof/>
            <w:lang w:val="en-IE"/>
          </w:rPr>
          <w:t>https://europa.eu/!xU94BD</w:t>
        </w:r>
      </w:hyperlink>
    </w:p>
    <w:p w14:paraId="16CD4267" w14:textId="77777777" w:rsidR="00881F76" w:rsidRPr="00123905" w:rsidRDefault="00881F76" w:rsidP="00881F76">
      <w:pPr>
        <w:rPr>
          <w:noProof/>
          <w:lang w:val="en-IE"/>
        </w:rPr>
      </w:pPr>
    </w:p>
    <w:p w14:paraId="5B791566" w14:textId="77777777" w:rsidR="00881F76" w:rsidRPr="00123905" w:rsidRDefault="00881F76" w:rsidP="00881F76">
      <w:pPr>
        <w:pStyle w:val="ppoHeading6"/>
        <w:rPr>
          <w:noProof/>
          <w:lang w:val="en-IE"/>
        </w:rPr>
      </w:pPr>
      <w:r w:rsidRPr="00123905">
        <w:rPr>
          <w:noProof/>
          <w:lang w:val="en-IE"/>
        </w:rPr>
        <w:t>WEBSITE FOR more information</w:t>
      </w:r>
    </w:p>
    <w:p w14:paraId="4F36DBCC" w14:textId="77777777" w:rsidR="00881F76" w:rsidRPr="00123905" w:rsidRDefault="00881F76" w:rsidP="00881F76">
      <w:pPr>
        <w:rPr>
          <w:noProof/>
          <w:lang w:val="en-IE"/>
        </w:rPr>
      </w:pPr>
      <w:r w:rsidRPr="00123905">
        <w:rPr>
          <w:noProof/>
          <w:lang w:val="en-IE"/>
        </w:rPr>
        <w:t xml:space="preserve">For CCEI, please consult </w:t>
      </w:r>
      <w:hyperlink r:id="rId455" w:history="1">
        <w:r w:rsidRPr="00123905">
          <w:rPr>
            <w:rStyle w:val="Hyperlink"/>
            <w:noProof/>
            <w:lang w:val="en-IE"/>
          </w:rPr>
          <w:t>https://europa.eu/!UK78xW</w:t>
        </w:r>
      </w:hyperlink>
    </w:p>
    <w:p w14:paraId="069AF09D" w14:textId="77777777" w:rsidR="00881F76" w:rsidRPr="00123905" w:rsidRDefault="00881F76" w:rsidP="00881F76">
      <w:pPr>
        <w:rPr>
          <w:noProof/>
          <w:lang w:val="en-IE"/>
        </w:rPr>
      </w:pPr>
      <w:r w:rsidRPr="00123905">
        <w:rPr>
          <w:noProof/>
          <w:lang w:val="en-IE"/>
        </w:rPr>
        <w:t xml:space="preserve"> For BMVI, please consult </w:t>
      </w:r>
      <w:hyperlink r:id="rId456" w:history="1">
        <w:r w:rsidRPr="000047C5">
          <w:rPr>
            <w:rStyle w:val="Hyperlink"/>
            <w:noProof/>
            <w:lang w:val="en-IE"/>
          </w:rPr>
          <w:t>https://ec.europa.eu/home-affairs/funding/borders-and-visa-funds/integrated-border-management-fund-border-management-and-visa-instrument-2021-27_en</w:t>
        </w:r>
      </w:hyperlink>
      <w:r>
        <w:rPr>
          <w:noProof/>
          <w:lang w:val="en-IE"/>
        </w:rPr>
        <w:t xml:space="preserve"> </w:t>
      </w:r>
    </w:p>
    <w:p w14:paraId="010D5FCD" w14:textId="77777777" w:rsidR="00881F76" w:rsidRPr="00123905" w:rsidRDefault="00881F76" w:rsidP="00881F76">
      <w:pPr>
        <w:rPr>
          <w:noProof/>
          <w:lang w:val="en-IE"/>
        </w:rPr>
      </w:pPr>
    </w:p>
    <w:p w14:paraId="7920E7C1" w14:textId="77777777" w:rsidR="00881F76" w:rsidRPr="00123905" w:rsidRDefault="00881F76" w:rsidP="00881F76">
      <w:pPr>
        <w:pStyle w:val="ppoHeading5"/>
        <w:rPr>
          <w:noProof/>
          <w:lang w:val="en-IE"/>
        </w:rPr>
      </w:pPr>
      <w:r w:rsidRPr="00123905">
        <w:rPr>
          <w:rFonts w:eastAsiaTheme="minorEastAsia"/>
          <w:noProof/>
          <w:lang w:val="en-IE"/>
        </w:rPr>
        <w:t>Legal basis</w:t>
      </w:r>
    </w:p>
    <w:p w14:paraId="02BDF973" w14:textId="77777777" w:rsidR="00A55483" w:rsidRDefault="00A55483" w:rsidP="00A55483">
      <w:pPr>
        <w:rPr>
          <w:noProof/>
          <w:lang w:val="en-IE"/>
        </w:rPr>
      </w:pPr>
      <w:r w:rsidRPr="00123905">
        <w:rPr>
          <w:noProof/>
          <w:lang w:val="en-IE"/>
        </w:rPr>
        <w:t>Regulation (EU)</w:t>
      </w:r>
      <w:r w:rsidRPr="00123905">
        <w:rPr>
          <w:rFonts w:ascii="Calibri" w:hAnsi="Calibri" w:cs="Calibri"/>
          <w:noProof/>
          <w:lang w:val="en-IE"/>
        </w:rPr>
        <w:t> </w:t>
      </w:r>
      <w:r w:rsidRPr="00123905">
        <w:rPr>
          <w:noProof/>
          <w:lang w:val="en-IE"/>
        </w:rPr>
        <w:t>2021/1148 of the European Parliament and of the Council.</w:t>
      </w:r>
      <w:r>
        <w:rPr>
          <w:noProof/>
          <w:lang w:val="en-IE"/>
        </w:rPr>
        <w:t xml:space="preserve"> (BMVI)</w:t>
      </w:r>
    </w:p>
    <w:p w14:paraId="4D175F15" w14:textId="77777777" w:rsidR="00A55483" w:rsidRPr="00123905" w:rsidRDefault="00A55483" w:rsidP="00A55483">
      <w:pPr>
        <w:rPr>
          <w:noProof/>
          <w:lang w:val="en-IE"/>
        </w:rPr>
      </w:pPr>
      <w:r w:rsidRPr="00DA1980">
        <w:rPr>
          <w:noProof/>
          <w:lang w:val="en-IE"/>
        </w:rPr>
        <w:t>Regulation (EU) 2021/1077 of the European Parliament and of the Council</w:t>
      </w:r>
      <w:r>
        <w:rPr>
          <w:noProof/>
          <w:lang w:val="en-IE"/>
        </w:rPr>
        <w:t xml:space="preserve"> (CCEI)</w:t>
      </w:r>
    </w:p>
    <w:p w14:paraId="6CFEE6B3" w14:textId="77777777" w:rsidR="00881F76" w:rsidRPr="00123905" w:rsidRDefault="00881F76" w:rsidP="00881F76">
      <w:pPr>
        <w:pStyle w:val="ppoHeading4Purple"/>
        <w:rPr>
          <w:caps/>
          <w:noProof/>
          <w:lang w:val="en-IE"/>
        </w:rPr>
      </w:pPr>
      <w:r w:rsidRPr="00123905">
        <w:rPr>
          <w:noProof/>
          <w:lang w:val="en-IE"/>
        </w:rPr>
        <w:t xml:space="preserve">Implementation and performance </w:t>
      </w:r>
    </w:p>
    <w:p w14:paraId="09E5570B" w14:textId="77777777" w:rsidR="00881F76" w:rsidRPr="00123905" w:rsidRDefault="00881F76" w:rsidP="00881F76">
      <w:pPr>
        <w:pStyle w:val="ppoHeading5"/>
        <w:rPr>
          <w:noProof/>
          <w:lang w:val="en-IE"/>
        </w:rPr>
      </w:pPr>
      <w:r w:rsidRPr="00123905">
        <w:rPr>
          <w:noProof/>
          <w:lang w:val="en-IE"/>
        </w:rPr>
        <w:t xml:space="preserve">Budget </w:t>
      </w:r>
    </w:p>
    <w:p w14:paraId="3E48F7C5" w14:textId="77777777" w:rsidR="00881F76" w:rsidRPr="00123905" w:rsidRDefault="00881F76" w:rsidP="00881F76">
      <w:pPr>
        <w:pStyle w:val="ppoTableTabletitle"/>
        <w:rPr>
          <w:noProof/>
          <w:lang w:val="en-IE"/>
        </w:rPr>
      </w:pPr>
      <w:r w:rsidRPr="00123905">
        <w:rPr>
          <w:noProof/>
          <w:lang w:val="en-IE"/>
        </w:rPr>
        <w:t>Budget programming (million 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881F76" w:rsidRPr="00123905" w14:paraId="0F960804" w14:textId="77777777" w:rsidTr="0083214A">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105611F1" w14:textId="77777777" w:rsidR="00881F76" w:rsidRPr="00123905" w:rsidRDefault="00881F76" w:rsidP="0083214A">
            <w:pPr>
              <w:rPr>
                <w:noProof/>
                <w:lang w:val="en-IE"/>
              </w:rPr>
            </w:pPr>
          </w:p>
        </w:tc>
        <w:tc>
          <w:tcPr>
            <w:tcW w:w="943" w:type="dxa"/>
            <w:noWrap/>
            <w:hideMark/>
          </w:tcPr>
          <w:p w14:paraId="50FB0811" w14:textId="77777777" w:rsidR="00881F76" w:rsidRPr="00123905" w:rsidRDefault="00881F76" w:rsidP="0083214A">
            <w:pPr>
              <w:rPr>
                <w:noProof/>
                <w:lang w:val="en-IE"/>
              </w:rPr>
            </w:pPr>
            <w:r w:rsidRPr="00123905">
              <w:rPr>
                <w:noProof/>
                <w:lang w:val="en-IE"/>
              </w:rPr>
              <w:t>2021</w:t>
            </w:r>
          </w:p>
        </w:tc>
        <w:tc>
          <w:tcPr>
            <w:tcW w:w="944" w:type="dxa"/>
            <w:noWrap/>
            <w:hideMark/>
          </w:tcPr>
          <w:p w14:paraId="497152E3" w14:textId="77777777" w:rsidR="00881F76" w:rsidRPr="00123905" w:rsidRDefault="00881F76" w:rsidP="0083214A">
            <w:pPr>
              <w:rPr>
                <w:noProof/>
                <w:lang w:val="en-IE"/>
              </w:rPr>
            </w:pPr>
            <w:r w:rsidRPr="00123905">
              <w:rPr>
                <w:noProof/>
                <w:lang w:val="en-IE"/>
              </w:rPr>
              <w:t>2022</w:t>
            </w:r>
          </w:p>
        </w:tc>
        <w:tc>
          <w:tcPr>
            <w:tcW w:w="943" w:type="dxa"/>
            <w:noWrap/>
            <w:hideMark/>
          </w:tcPr>
          <w:p w14:paraId="1B8598B9" w14:textId="77777777" w:rsidR="00881F76" w:rsidRPr="00123905" w:rsidRDefault="00881F76" w:rsidP="0083214A">
            <w:pPr>
              <w:rPr>
                <w:noProof/>
                <w:lang w:val="en-IE"/>
              </w:rPr>
            </w:pPr>
            <w:r w:rsidRPr="00123905">
              <w:rPr>
                <w:noProof/>
                <w:lang w:val="en-IE"/>
              </w:rPr>
              <w:t>2023</w:t>
            </w:r>
          </w:p>
        </w:tc>
        <w:tc>
          <w:tcPr>
            <w:tcW w:w="944" w:type="dxa"/>
            <w:noWrap/>
            <w:hideMark/>
          </w:tcPr>
          <w:p w14:paraId="6F40A4E8" w14:textId="77777777" w:rsidR="00881F76" w:rsidRPr="00123905" w:rsidRDefault="00881F76" w:rsidP="0083214A">
            <w:pPr>
              <w:rPr>
                <w:noProof/>
                <w:lang w:val="en-IE"/>
              </w:rPr>
            </w:pPr>
            <w:r w:rsidRPr="00123905">
              <w:rPr>
                <w:noProof/>
                <w:lang w:val="en-IE"/>
              </w:rPr>
              <w:t>2024</w:t>
            </w:r>
          </w:p>
        </w:tc>
        <w:tc>
          <w:tcPr>
            <w:tcW w:w="944" w:type="dxa"/>
            <w:noWrap/>
            <w:hideMark/>
          </w:tcPr>
          <w:p w14:paraId="1E033EDC" w14:textId="77777777" w:rsidR="00881F76" w:rsidRPr="00123905" w:rsidRDefault="00881F76" w:rsidP="0083214A">
            <w:pPr>
              <w:rPr>
                <w:noProof/>
                <w:lang w:val="en-IE"/>
              </w:rPr>
            </w:pPr>
            <w:r w:rsidRPr="00123905">
              <w:rPr>
                <w:noProof/>
                <w:lang w:val="en-IE"/>
              </w:rPr>
              <w:t>2025</w:t>
            </w:r>
          </w:p>
        </w:tc>
        <w:tc>
          <w:tcPr>
            <w:tcW w:w="943" w:type="dxa"/>
            <w:noWrap/>
            <w:hideMark/>
          </w:tcPr>
          <w:p w14:paraId="7D8F4B05" w14:textId="77777777" w:rsidR="00881F76" w:rsidRPr="00123905" w:rsidRDefault="00881F76" w:rsidP="0083214A">
            <w:pPr>
              <w:rPr>
                <w:noProof/>
                <w:lang w:val="en-IE"/>
              </w:rPr>
            </w:pPr>
            <w:r w:rsidRPr="00123905">
              <w:rPr>
                <w:noProof/>
                <w:lang w:val="en-IE"/>
              </w:rPr>
              <w:t>2026</w:t>
            </w:r>
          </w:p>
        </w:tc>
        <w:tc>
          <w:tcPr>
            <w:tcW w:w="944" w:type="dxa"/>
            <w:noWrap/>
            <w:hideMark/>
          </w:tcPr>
          <w:p w14:paraId="7D3DFB7E" w14:textId="77777777" w:rsidR="00881F76" w:rsidRPr="00123905" w:rsidRDefault="00881F76" w:rsidP="0083214A">
            <w:pPr>
              <w:rPr>
                <w:noProof/>
                <w:lang w:val="en-IE"/>
              </w:rPr>
            </w:pPr>
            <w:r w:rsidRPr="00123905">
              <w:rPr>
                <w:noProof/>
                <w:lang w:val="en-IE"/>
              </w:rPr>
              <w:t>2027</w:t>
            </w:r>
          </w:p>
        </w:tc>
        <w:tc>
          <w:tcPr>
            <w:tcW w:w="944" w:type="dxa"/>
            <w:noWrap/>
            <w:hideMark/>
          </w:tcPr>
          <w:p w14:paraId="4DE61A91" w14:textId="77777777" w:rsidR="00881F76" w:rsidRPr="00123905" w:rsidRDefault="00881F76" w:rsidP="0083214A">
            <w:pPr>
              <w:rPr>
                <w:noProof/>
                <w:lang w:val="en-IE"/>
              </w:rPr>
            </w:pPr>
            <w:r w:rsidRPr="00123905">
              <w:rPr>
                <w:noProof/>
                <w:lang w:val="en-IE"/>
              </w:rPr>
              <w:t>Total</w:t>
            </w:r>
          </w:p>
        </w:tc>
      </w:tr>
      <w:tr w:rsidR="00365608" w:rsidRPr="00123905" w14:paraId="73BE373F"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09BE450B" w14:textId="77777777" w:rsidR="00365608" w:rsidRPr="00123905" w:rsidRDefault="00365608" w:rsidP="00365608">
            <w:pPr>
              <w:rPr>
                <w:noProof/>
                <w:lang w:val="en-IE"/>
              </w:rPr>
            </w:pPr>
            <w:r w:rsidRPr="00123905">
              <w:rPr>
                <w:noProof/>
                <w:lang w:val="en-IE"/>
              </w:rPr>
              <w:t>Financial programming</w:t>
            </w:r>
          </w:p>
        </w:tc>
        <w:tc>
          <w:tcPr>
            <w:tcW w:w="943" w:type="dxa"/>
            <w:noWrap/>
            <w:vAlign w:val="bottom"/>
            <w:hideMark/>
          </w:tcPr>
          <w:p w14:paraId="636B6453" w14:textId="77777777" w:rsidR="00365608" w:rsidRPr="00123905" w:rsidRDefault="00365608" w:rsidP="00365608">
            <w:pPr>
              <w:jc w:val="center"/>
              <w:rPr>
                <w:noProof/>
                <w:lang w:val="en-IE"/>
              </w:rPr>
            </w:pPr>
            <w:r>
              <w:rPr>
                <w:rFonts w:ascii="Calibri" w:hAnsi="Calibri" w:cs="Calibri"/>
                <w:noProof/>
                <w:color w:val="000000"/>
              </w:rPr>
              <w:t>289.0</w:t>
            </w:r>
          </w:p>
        </w:tc>
        <w:tc>
          <w:tcPr>
            <w:tcW w:w="944" w:type="dxa"/>
            <w:noWrap/>
            <w:vAlign w:val="bottom"/>
            <w:hideMark/>
          </w:tcPr>
          <w:p w14:paraId="29F4C03C" w14:textId="060EB56C" w:rsidR="00365608" w:rsidRPr="00123905" w:rsidRDefault="00412CEF" w:rsidP="00365608">
            <w:pPr>
              <w:jc w:val="center"/>
              <w:rPr>
                <w:noProof/>
                <w:lang w:val="en-IE"/>
              </w:rPr>
            </w:pPr>
            <w:r>
              <w:rPr>
                <w:rFonts w:ascii="Calibri" w:hAnsi="Calibri" w:cs="Calibri"/>
                <w:noProof/>
                <w:color w:val="000000"/>
              </w:rPr>
              <w:t>983</w:t>
            </w:r>
            <w:r w:rsidR="00365608">
              <w:rPr>
                <w:rFonts w:ascii="Calibri" w:hAnsi="Calibri" w:cs="Calibri"/>
                <w:noProof/>
                <w:color w:val="000000"/>
              </w:rPr>
              <w:t>.</w:t>
            </w:r>
            <w:r>
              <w:rPr>
                <w:rFonts w:ascii="Calibri" w:hAnsi="Calibri" w:cs="Calibri"/>
                <w:noProof/>
                <w:color w:val="000000"/>
              </w:rPr>
              <w:t>7</w:t>
            </w:r>
          </w:p>
        </w:tc>
        <w:tc>
          <w:tcPr>
            <w:tcW w:w="943" w:type="dxa"/>
            <w:noWrap/>
            <w:vAlign w:val="bottom"/>
            <w:hideMark/>
          </w:tcPr>
          <w:p w14:paraId="2D7F8FD8" w14:textId="30A27C00" w:rsidR="00365608" w:rsidRPr="00123905" w:rsidRDefault="00365608" w:rsidP="00365608">
            <w:pPr>
              <w:jc w:val="center"/>
              <w:rPr>
                <w:noProof/>
                <w:lang w:val="en-IE"/>
              </w:rPr>
            </w:pPr>
            <w:r>
              <w:rPr>
                <w:rFonts w:ascii="Calibri" w:hAnsi="Calibri" w:cs="Calibri"/>
                <w:noProof/>
                <w:color w:val="000000"/>
              </w:rPr>
              <w:t>1 195.3</w:t>
            </w:r>
          </w:p>
        </w:tc>
        <w:tc>
          <w:tcPr>
            <w:tcW w:w="944" w:type="dxa"/>
            <w:noWrap/>
            <w:vAlign w:val="bottom"/>
            <w:hideMark/>
          </w:tcPr>
          <w:p w14:paraId="11BE2757" w14:textId="688CF5B3" w:rsidR="00365608" w:rsidRPr="00123905" w:rsidRDefault="00365608" w:rsidP="00365608">
            <w:pPr>
              <w:jc w:val="center"/>
              <w:rPr>
                <w:noProof/>
                <w:lang w:val="en-IE"/>
              </w:rPr>
            </w:pPr>
            <w:r>
              <w:rPr>
                <w:rFonts w:ascii="Calibri" w:hAnsi="Calibri" w:cs="Calibri"/>
                <w:noProof/>
                <w:color w:val="000000"/>
              </w:rPr>
              <w:t>1 05</w:t>
            </w:r>
            <w:r w:rsidR="00412CEF">
              <w:rPr>
                <w:rFonts w:ascii="Calibri" w:hAnsi="Calibri" w:cs="Calibri"/>
                <w:noProof/>
                <w:color w:val="000000"/>
              </w:rPr>
              <w:t>0</w:t>
            </w:r>
            <w:r>
              <w:rPr>
                <w:rFonts w:ascii="Calibri" w:hAnsi="Calibri" w:cs="Calibri"/>
                <w:noProof/>
                <w:color w:val="000000"/>
              </w:rPr>
              <w:t>.</w:t>
            </w:r>
            <w:r w:rsidR="00412CEF">
              <w:rPr>
                <w:rFonts w:ascii="Calibri" w:hAnsi="Calibri" w:cs="Calibri"/>
                <w:noProof/>
                <w:color w:val="000000"/>
              </w:rPr>
              <w:t>3</w:t>
            </w:r>
          </w:p>
        </w:tc>
        <w:tc>
          <w:tcPr>
            <w:tcW w:w="944" w:type="dxa"/>
            <w:noWrap/>
            <w:vAlign w:val="bottom"/>
            <w:hideMark/>
          </w:tcPr>
          <w:p w14:paraId="46F7EE3A" w14:textId="4F87657E" w:rsidR="00365608" w:rsidRPr="00123905" w:rsidRDefault="00365608" w:rsidP="00365608">
            <w:pPr>
              <w:jc w:val="center"/>
              <w:rPr>
                <w:noProof/>
                <w:lang w:val="en-IE"/>
              </w:rPr>
            </w:pPr>
            <w:r>
              <w:rPr>
                <w:rFonts w:ascii="Calibri" w:hAnsi="Calibri" w:cs="Calibri"/>
                <w:noProof/>
                <w:color w:val="000000"/>
              </w:rPr>
              <w:t>1 18</w:t>
            </w:r>
            <w:r w:rsidR="00412CEF">
              <w:rPr>
                <w:rFonts w:ascii="Calibri" w:hAnsi="Calibri" w:cs="Calibri"/>
                <w:noProof/>
                <w:color w:val="000000"/>
              </w:rPr>
              <w:t>7</w:t>
            </w:r>
            <w:r>
              <w:rPr>
                <w:rFonts w:ascii="Calibri" w:hAnsi="Calibri" w:cs="Calibri"/>
                <w:noProof/>
                <w:color w:val="000000"/>
              </w:rPr>
              <w:t>.</w:t>
            </w:r>
            <w:r w:rsidR="00412CEF">
              <w:rPr>
                <w:rFonts w:ascii="Calibri" w:hAnsi="Calibri" w:cs="Calibri"/>
                <w:noProof/>
                <w:color w:val="000000"/>
              </w:rPr>
              <w:t>2</w:t>
            </w:r>
          </w:p>
        </w:tc>
        <w:tc>
          <w:tcPr>
            <w:tcW w:w="943" w:type="dxa"/>
            <w:noWrap/>
            <w:vAlign w:val="bottom"/>
            <w:hideMark/>
          </w:tcPr>
          <w:p w14:paraId="307AF4B3" w14:textId="6C49F759" w:rsidR="00365608" w:rsidRPr="00123905" w:rsidRDefault="00365608" w:rsidP="00365608">
            <w:pPr>
              <w:jc w:val="center"/>
              <w:rPr>
                <w:noProof/>
                <w:lang w:val="en-IE"/>
              </w:rPr>
            </w:pPr>
            <w:r>
              <w:rPr>
                <w:rFonts w:ascii="Calibri" w:hAnsi="Calibri" w:cs="Calibri"/>
                <w:noProof/>
                <w:color w:val="000000"/>
              </w:rPr>
              <w:t>1 09</w:t>
            </w:r>
            <w:r w:rsidR="00412CEF">
              <w:rPr>
                <w:rFonts w:ascii="Calibri" w:hAnsi="Calibri" w:cs="Calibri"/>
                <w:noProof/>
                <w:color w:val="000000"/>
              </w:rPr>
              <w:t>1</w:t>
            </w:r>
            <w:r>
              <w:rPr>
                <w:rFonts w:ascii="Calibri" w:hAnsi="Calibri" w:cs="Calibri"/>
                <w:noProof/>
                <w:color w:val="000000"/>
              </w:rPr>
              <w:t>.</w:t>
            </w:r>
            <w:r w:rsidR="00412CEF">
              <w:rPr>
                <w:rFonts w:ascii="Calibri" w:hAnsi="Calibri" w:cs="Calibri"/>
                <w:noProof/>
                <w:color w:val="000000"/>
              </w:rPr>
              <w:t>1</w:t>
            </w:r>
          </w:p>
        </w:tc>
        <w:tc>
          <w:tcPr>
            <w:tcW w:w="944" w:type="dxa"/>
            <w:noWrap/>
            <w:vAlign w:val="bottom"/>
            <w:hideMark/>
          </w:tcPr>
          <w:p w14:paraId="780A3165" w14:textId="438ECD00" w:rsidR="00365608" w:rsidRPr="00123905" w:rsidRDefault="00365608" w:rsidP="00365608">
            <w:pPr>
              <w:jc w:val="center"/>
              <w:rPr>
                <w:noProof/>
                <w:lang w:val="en-IE"/>
              </w:rPr>
            </w:pPr>
            <w:r>
              <w:rPr>
                <w:rFonts w:ascii="Calibri" w:hAnsi="Calibri" w:cs="Calibri"/>
                <w:noProof/>
                <w:color w:val="000000"/>
              </w:rPr>
              <w:t>1 10</w:t>
            </w:r>
            <w:r w:rsidR="00412CEF">
              <w:rPr>
                <w:rFonts w:ascii="Calibri" w:hAnsi="Calibri" w:cs="Calibri"/>
                <w:noProof/>
                <w:color w:val="000000"/>
              </w:rPr>
              <w:t>5</w:t>
            </w:r>
            <w:r>
              <w:rPr>
                <w:rFonts w:ascii="Calibri" w:hAnsi="Calibri" w:cs="Calibri"/>
                <w:noProof/>
                <w:color w:val="000000"/>
              </w:rPr>
              <w:t>.</w:t>
            </w:r>
            <w:r w:rsidR="00412CEF">
              <w:rPr>
                <w:rFonts w:ascii="Calibri" w:hAnsi="Calibri" w:cs="Calibri"/>
                <w:noProof/>
                <w:color w:val="000000"/>
              </w:rPr>
              <w:t>1</w:t>
            </w:r>
          </w:p>
        </w:tc>
        <w:tc>
          <w:tcPr>
            <w:tcW w:w="944" w:type="dxa"/>
            <w:noWrap/>
            <w:vAlign w:val="bottom"/>
            <w:hideMark/>
          </w:tcPr>
          <w:p w14:paraId="3A15DCA3" w14:textId="440142B5" w:rsidR="00365608" w:rsidRPr="00123905" w:rsidRDefault="00365608" w:rsidP="00365608">
            <w:pPr>
              <w:jc w:val="center"/>
              <w:rPr>
                <w:noProof/>
                <w:lang w:val="en-IE"/>
              </w:rPr>
            </w:pPr>
            <w:r>
              <w:rPr>
                <w:rFonts w:ascii="Calibri" w:hAnsi="Calibri" w:cs="Calibri"/>
                <w:noProof/>
                <w:color w:val="000000"/>
              </w:rPr>
              <w:t xml:space="preserve">6 </w:t>
            </w:r>
            <w:r w:rsidR="00412CEF">
              <w:rPr>
                <w:rFonts w:ascii="Calibri" w:hAnsi="Calibri" w:cs="Calibri"/>
                <w:noProof/>
                <w:color w:val="000000"/>
              </w:rPr>
              <w:t>901</w:t>
            </w:r>
            <w:r>
              <w:rPr>
                <w:rFonts w:ascii="Calibri" w:hAnsi="Calibri" w:cs="Calibri"/>
                <w:noProof/>
                <w:color w:val="000000"/>
              </w:rPr>
              <w:t>.</w:t>
            </w:r>
            <w:r w:rsidR="00412CEF">
              <w:rPr>
                <w:rFonts w:ascii="Calibri" w:hAnsi="Calibri" w:cs="Calibri"/>
                <w:noProof/>
                <w:color w:val="000000"/>
              </w:rPr>
              <w:t>7</w:t>
            </w:r>
          </w:p>
        </w:tc>
      </w:tr>
      <w:tr w:rsidR="00881F76" w:rsidRPr="00123905" w14:paraId="7661C984"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635A6A84" w14:textId="77777777" w:rsidR="00881F76" w:rsidRPr="00123905" w:rsidRDefault="00881F76" w:rsidP="0083214A">
            <w:pPr>
              <w:rPr>
                <w:noProof/>
                <w:lang w:val="en-IE"/>
              </w:rPr>
            </w:pPr>
            <w:r w:rsidRPr="00123905">
              <w:rPr>
                <w:noProof/>
                <w:lang w:val="en-IE"/>
              </w:rPr>
              <w:t>NextGenerationEU</w:t>
            </w:r>
          </w:p>
        </w:tc>
        <w:tc>
          <w:tcPr>
            <w:tcW w:w="943" w:type="dxa"/>
            <w:noWrap/>
            <w:hideMark/>
          </w:tcPr>
          <w:p w14:paraId="1EB522E5" w14:textId="77777777" w:rsidR="00881F76" w:rsidRPr="00123905" w:rsidRDefault="00881F76" w:rsidP="0083214A">
            <w:pPr>
              <w:jc w:val="center"/>
              <w:rPr>
                <w:noProof/>
                <w:lang w:val="en-IE"/>
              </w:rPr>
            </w:pPr>
          </w:p>
        </w:tc>
        <w:tc>
          <w:tcPr>
            <w:tcW w:w="944" w:type="dxa"/>
            <w:noWrap/>
            <w:hideMark/>
          </w:tcPr>
          <w:p w14:paraId="260875F9" w14:textId="77777777" w:rsidR="00881F76" w:rsidRPr="00123905" w:rsidRDefault="00881F76" w:rsidP="0083214A">
            <w:pPr>
              <w:jc w:val="center"/>
              <w:rPr>
                <w:noProof/>
                <w:lang w:val="en-IE"/>
              </w:rPr>
            </w:pPr>
          </w:p>
        </w:tc>
        <w:tc>
          <w:tcPr>
            <w:tcW w:w="943" w:type="dxa"/>
            <w:noWrap/>
            <w:hideMark/>
          </w:tcPr>
          <w:p w14:paraId="2DA28F93" w14:textId="77777777" w:rsidR="00881F76" w:rsidRPr="00123905" w:rsidRDefault="00881F76" w:rsidP="0083214A">
            <w:pPr>
              <w:jc w:val="center"/>
              <w:rPr>
                <w:noProof/>
                <w:lang w:val="en-IE"/>
              </w:rPr>
            </w:pPr>
          </w:p>
        </w:tc>
        <w:tc>
          <w:tcPr>
            <w:tcW w:w="944" w:type="dxa"/>
            <w:noWrap/>
            <w:hideMark/>
          </w:tcPr>
          <w:p w14:paraId="506AC422" w14:textId="77777777" w:rsidR="00881F76" w:rsidRPr="00123905" w:rsidRDefault="00881F76" w:rsidP="0083214A">
            <w:pPr>
              <w:jc w:val="center"/>
              <w:rPr>
                <w:noProof/>
                <w:lang w:val="en-IE"/>
              </w:rPr>
            </w:pPr>
          </w:p>
        </w:tc>
        <w:tc>
          <w:tcPr>
            <w:tcW w:w="944" w:type="dxa"/>
            <w:noWrap/>
            <w:hideMark/>
          </w:tcPr>
          <w:p w14:paraId="2AF31C00" w14:textId="77777777" w:rsidR="00881F76" w:rsidRPr="00123905" w:rsidRDefault="00881F76" w:rsidP="0083214A">
            <w:pPr>
              <w:jc w:val="center"/>
              <w:rPr>
                <w:noProof/>
                <w:lang w:val="en-IE"/>
              </w:rPr>
            </w:pPr>
          </w:p>
        </w:tc>
        <w:tc>
          <w:tcPr>
            <w:tcW w:w="943" w:type="dxa"/>
            <w:noWrap/>
            <w:hideMark/>
          </w:tcPr>
          <w:p w14:paraId="4B860910" w14:textId="77777777" w:rsidR="00881F76" w:rsidRPr="00123905" w:rsidRDefault="00881F76" w:rsidP="0083214A">
            <w:pPr>
              <w:jc w:val="center"/>
              <w:rPr>
                <w:noProof/>
                <w:lang w:val="en-IE"/>
              </w:rPr>
            </w:pPr>
          </w:p>
        </w:tc>
        <w:tc>
          <w:tcPr>
            <w:tcW w:w="944" w:type="dxa"/>
            <w:noWrap/>
            <w:hideMark/>
          </w:tcPr>
          <w:p w14:paraId="70167537" w14:textId="77777777" w:rsidR="00881F76" w:rsidRPr="00123905" w:rsidRDefault="00881F76" w:rsidP="0083214A">
            <w:pPr>
              <w:jc w:val="center"/>
              <w:rPr>
                <w:noProof/>
                <w:lang w:val="en-IE"/>
              </w:rPr>
            </w:pPr>
          </w:p>
        </w:tc>
        <w:tc>
          <w:tcPr>
            <w:tcW w:w="944" w:type="dxa"/>
            <w:noWrap/>
            <w:hideMark/>
          </w:tcPr>
          <w:p w14:paraId="289BA6FC" w14:textId="77777777" w:rsidR="00881F76" w:rsidRPr="00123905" w:rsidRDefault="00881F76" w:rsidP="0083214A">
            <w:pPr>
              <w:jc w:val="center"/>
              <w:rPr>
                <w:noProof/>
                <w:lang w:val="en-IE"/>
              </w:rPr>
            </w:pPr>
          </w:p>
        </w:tc>
      </w:tr>
      <w:tr w:rsidR="00881F76" w:rsidRPr="00123905" w14:paraId="1DA4377B"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207CC118" w14:textId="77777777" w:rsidR="00881F76" w:rsidRPr="00123905" w:rsidRDefault="00881F76" w:rsidP="0083214A">
            <w:pPr>
              <w:rPr>
                <w:noProof/>
                <w:lang w:val="en-IE"/>
              </w:rPr>
            </w:pPr>
            <w:r w:rsidRPr="00123905">
              <w:rPr>
                <w:noProof/>
                <w:lang w:val="en-IE"/>
              </w:rPr>
              <w:t>Decommitments made available again</w:t>
            </w:r>
            <w:r w:rsidRPr="00123905">
              <w:rPr>
                <w:rFonts w:ascii="Calibri" w:hAnsi="Calibri" w:cs="Calibri"/>
                <w:noProof/>
                <w:lang w:val="en-IE"/>
              </w:rPr>
              <w:t> </w:t>
            </w:r>
            <w:r w:rsidRPr="00123905">
              <w:rPr>
                <w:noProof/>
                <w:lang w:val="en-IE"/>
              </w:rPr>
              <w:t>(*)</w:t>
            </w:r>
          </w:p>
        </w:tc>
        <w:tc>
          <w:tcPr>
            <w:tcW w:w="943" w:type="dxa"/>
            <w:noWrap/>
            <w:hideMark/>
          </w:tcPr>
          <w:p w14:paraId="6D087E2C" w14:textId="77777777" w:rsidR="00881F76" w:rsidRPr="00123905" w:rsidRDefault="00881F76" w:rsidP="0083214A">
            <w:pPr>
              <w:jc w:val="center"/>
              <w:rPr>
                <w:noProof/>
                <w:lang w:val="en-IE"/>
              </w:rPr>
            </w:pPr>
            <w:r>
              <w:rPr>
                <w:noProof/>
                <w:lang w:val="en-IE"/>
              </w:rPr>
              <w:t>N/A</w:t>
            </w:r>
          </w:p>
        </w:tc>
        <w:tc>
          <w:tcPr>
            <w:tcW w:w="944" w:type="dxa"/>
            <w:noWrap/>
            <w:hideMark/>
          </w:tcPr>
          <w:p w14:paraId="79DD509F" w14:textId="77777777" w:rsidR="00881F76" w:rsidRPr="00123905" w:rsidRDefault="00881F76" w:rsidP="0083214A">
            <w:pPr>
              <w:jc w:val="center"/>
              <w:rPr>
                <w:noProof/>
                <w:lang w:val="en-IE"/>
              </w:rPr>
            </w:pPr>
          </w:p>
        </w:tc>
        <w:tc>
          <w:tcPr>
            <w:tcW w:w="943" w:type="dxa"/>
            <w:noWrap/>
            <w:hideMark/>
          </w:tcPr>
          <w:p w14:paraId="3A6AE0AB" w14:textId="77777777" w:rsidR="00881F76" w:rsidRPr="00123905" w:rsidRDefault="00881F76" w:rsidP="0083214A">
            <w:pPr>
              <w:jc w:val="center"/>
              <w:rPr>
                <w:noProof/>
                <w:lang w:val="en-IE"/>
              </w:rPr>
            </w:pPr>
          </w:p>
        </w:tc>
        <w:tc>
          <w:tcPr>
            <w:tcW w:w="944" w:type="dxa"/>
            <w:noWrap/>
            <w:hideMark/>
          </w:tcPr>
          <w:p w14:paraId="3139D22B" w14:textId="77777777" w:rsidR="00881F76" w:rsidRPr="00123905" w:rsidRDefault="00881F76" w:rsidP="0083214A">
            <w:pPr>
              <w:jc w:val="center"/>
              <w:rPr>
                <w:noProof/>
                <w:lang w:val="en-IE"/>
              </w:rPr>
            </w:pPr>
          </w:p>
        </w:tc>
        <w:tc>
          <w:tcPr>
            <w:tcW w:w="944" w:type="dxa"/>
            <w:noWrap/>
            <w:hideMark/>
          </w:tcPr>
          <w:p w14:paraId="1240917E" w14:textId="77777777" w:rsidR="00881F76" w:rsidRPr="00123905" w:rsidRDefault="00881F76" w:rsidP="0083214A">
            <w:pPr>
              <w:jc w:val="center"/>
              <w:rPr>
                <w:noProof/>
                <w:lang w:val="en-IE"/>
              </w:rPr>
            </w:pPr>
          </w:p>
        </w:tc>
        <w:tc>
          <w:tcPr>
            <w:tcW w:w="943" w:type="dxa"/>
            <w:noWrap/>
            <w:hideMark/>
          </w:tcPr>
          <w:p w14:paraId="521A4864" w14:textId="77777777" w:rsidR="00881F76" w:rsidRPr="00123905" w:rsidRDefault="00881F76" w:rsidP="0083214A">
            <w:pPr>
              <w:jc w:val="center"/>
              <w:rPr>
                <w:noProof/>
                <w:lang w:val="en-IE"/>
              </w:rPr>
            </w:pPr>
          </w:p>
        </w:tc>
        <w:tc>
          <w:tcPr>
            <w:tcW w:w="944" w:type="dxa"/>
            <w:noWrap/>
            <w:hideMark/>
          </w:tcPr>
          <w:p w14:paraId="55581851" w14:textId="77777777" w:rsidR="00881F76" w:rsidRPr="00123905" w:rsidRDefault="00881F76" w:rsidP="0083214A">
            <w:pPr>
              <w:jc w:val="center"/>
              <w:rPr>
                <w:noProof/>
                <w:lang w:val="en-IE"/>
              </w:rPr>
            </w:pPr>
          </w:p>
        </w:tc>
        <w:tc>
          <w:tcPr>
            <w:tcW w:w="944" w:type="dxa"/>
            <w:noWrap/>
            <w:hideMark/>
          </w:tcPr>
          <w:p w14:paraId="2FA9BC29" w14:textId="77777777" w:rsidR="00881F76" w:rsidRPr="00123905" w:rsidRDefault="00881F76" w:rsidP="0083214A">
            <w:pPr>
              <w:jc w:val="center"/>
              <w:rPr>
                <w:noProof/>
                <w:lang w:val="en-IE"/>
              </w:rPr>
            </w:pPr>
            <w:r>
              <w:rPr>
                <w:noProof/>
                <w:lang w:val="en-IE"/>
              </w:rPr>
              <w:t>N/A</w:t>
            </w:r>
          </w:p>
        </w:tc>
      </w:tr>
      <w:tr w:rsidR="00881F76" w:rsidRPr="00123905" w14:paraId="610A0B71"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3FF12135" w14:textId="77777777" w:rsidR="00881F76" w:rsidRPr="00123905" w:rsidRDefault="00881F76" w:rsidP="0083214A">
            <w:pPr>
              <w:rPr>
                <w:noProof/>
                <w:lang w:val="en-IE"/>
              </w:rPr>
            </w:pPr>
            <w:r w:rsidRPr="00123905">
              <w:rPr>
                <w:noProof/>
                <w:lang w:val="en-IE"/>
              </w:rPr>
              <w:t>Contributions from other countries and entities</w:t>
            </w:r>
          </w:p>
        </w:tc>
        <w:tc>
          <w:tcPr>
            <w:tcW w:w="943" w:type="dxa"/>
            <w:noWrap/>
            <w:hideMark/>
          </w:tcPr>
          <w:p w14:paraId="2093B896" w14:textId="77777777" w:rsidR="00881F76" w:rsidRPr="00123905" w:rsidRDefault="00881F76" w:rsidP="0083214A">
            <w:pPr>
              <w:jc w:val="center"/>
              <w:rPr>
                <w:noProof/>
                <w:lang w:val="en-IE"/>
              </w:rPr>
            </w:pPr>
            <w:r w:rsidRPr="00123905">
              <w:rPr>
                <w:noProof/>
                <w:lang w:val="en-IE"/>
              </w:rPr>
              <w:t>0.5</w:t>
            </w:r>
          </w:p>
        </w:tc>
        <w:tc>
          <w:tcPr>
            <w:tcW w:w="944" w:type="dxa"/>
            <w:noWrap/>
            <w:hideMark/>
          </w:tcPr>
          <w:p w14:paraId="5E1D0D29" w14:textId="77777777" w:rsidR="00881F76" w:rsidRPr="00123905" w:rsidRDefault="00881F76" w:rsidP="0083214A">
            <w:pPr>
              <w:jc w:val="center"/>
              <w:rPr>
                <w:noProof/>
                <w:lang w:val="en-IE"/>
              </w:rPr>
            </w:pPr>
            <w:r>
              <w:rPr>
                <w:noProof/>
                <w:lang w:val="en-IE"/>
              </w:rPr>
              <w:t>p.m.</w:t>
            </w:r>
          </w:p>
        </w:tc>
        <w:tc>
          <w:tcPr>
            <w:tcW w:w="943" w:type="dxa"/>
            <w:noWrap/>
            <w:hideMark/>
          </w:tcPr>
          <w:p w14:paraId="1B8EC05A" w14:textId="77777777" w:rsidR="00881F76" w:rsidRPr="00123905" w:rsidRDefault="00881F76" w:rsidP="0083214A">
            <w:pPr>
              <w:jc w:val="center"/>
              <w:rPr>
                <w:noProof/>
                <w:lang w:val="en-IE"/>
              </w:rPr>
            </w:pPr>
            <w:r>
              <w:rPr>
                <w:noProof/>
                <w:lang w:val="en-IE"/>
              </w:rPr>
              <w:t>p.m.</w:t>
            </w:r>
          </w:p>
        </w:tc>
        <w:tc>
          <w:tcPr>
            <w:tcW w:w="944" w:type="dxa"/>
            <w:noWrap/>
            <w:hideMark/>
          </w:tcPr>
          <w:p w14:paraId="4E760A18" w14:textId="77777777" w:rsidR="00881F76" w:rsidRPr="00123905" w:rsidRDefault="00881F76" w:rsidP="0083214A">
            <w:pPr>
              <w:jc w:val="center"/>
              <w:rPr>
                <w:noProof/>
                <w:lang w:val="en-IE"/>
              </w:rPr>
            </w:pPr>
            <w:r>
              <w:rPr>
                <w:noProof/>
                <w:lang w:val="en-IE"/>
              </w:rPr>
              <w:t>p.m.</w:t>
            </w:r>
          </w:p>
        </w:tc>
        <w:tc>
          <w:tcPr>
            <w:tcW w:w="944" w:type="dxa"/>
            <w:noWrap/>
            <w:hideMark/>
          </w:tcPr>
          <w:p w14:paraId="216E2CE9" w14:textId="77777777" w:rsidR="00881F76" w:rsidRPr="00123905" w:rsidRDefault="00881F76" w:rsidP="0083214A">
            <w:pPr>
              <w:jc w:val="center"/>
              <w:rPr>
                <w:noProof/>
                <w:lang w:val="en-IE"/>
              </w:rPr>
            </w:pPr>
            <w:r>
              <w:rPr>
                <w:noProof/>
                <w:lang w:val="en-IE"/>
              </w:rPr>
              <w:t>p.m.</w:t>
            </w:r>
          </w:p>
        </w:tc>
        <w:tc>
          <w:tcPr>
            <w:tcW w:w="943" w:type="dxa"/>
            <w:noWrap/>
            <w:hideMark/>
          </w:tcPr>
          <w:p w14:paraId="1ABDB998" w14:textId="77777777" w:rsidR="00881F76" w:rsidRPr="00123905" w:rsidRDefault="00881F76" w:rsidP="0083214A">
            <w:pPr>
              <w:jc w:val="center"/>
              <w:rPr>
                <w:noProof/>
                <w:lang w:val="en-IE"/>
              </w:rPr>
            </w:pPr>
            <w:r>
              <w:rPr>
                <w:noProof/>
                <w:lang w:val="en-IE"/>
              </w:rPr>
              <w:t>p.m.</w:t>
            </w:r>
          </w:p>
        </w:tc>
        <w:tc>
          <w:tcPr>
            <w:tcW w:w="944" w:type="dxa"/>
            <w:noWrap/>
            <w:hideMark/>
          </w:tcPr>
          <w:p w14:paraId="7B85B29D" w14:textId="77777777" w:rsidR="00881F76" w:rsidRPr="00123905" w:rsidRDefault="00881F76" w:rsidP="0083214A">
            <w:pPr>
              <w:jc w:val="center"/>
              <w:rPr>
                <w:noProof/>
                <w:lang w:val="en-IE"/>
              </w:rPr>
            </w:pPr>
            <w:r>
              <w:rPr>
                <w:noProof/>
                <w:lang w:val="en-IE"/>
              </w:rPr>
              <w:t>p.m.</w:t>
            </w:r>
          </w:p>
        </w:tc>
        <w:tc>
          <w:tcPr>
            <w:tcW w:w="944" w:type="dxa"/>
            <w:noWrap/>
            <w:hideMark/>
          </w:tcPr>
          <w:p w14:paraId="53222C4B" w14:textId="77777777" w:rsidR="00881F76" w:rsidRPr="00123905" w:rsidRDefault="00881F76" w:rsidP="0083214A">
            <w:pPr>
              <w:jc w:val="center"/>
              <w:rPr>
                <w:noProof/>
                <w:lang w:val="en-IE"/>
              </w:rPr>
            </w:pPr>
            <w:r w:rsidRPr="00123905">
              <w:rPr>
                <w:noProof/>
                <w:lang w:val="en-IE"/>
              </w:rPr>
              <w:t>0.5</w:t>
            </w:r>
          </w:p>
        </w:tc>
      </w:tr>
      <w:tr w:rsidR="00365608" w:rsidRPr="00123905" w14:paraId="2A7D8A3C"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5965D1DB" w14:textId="77777777" w:rsidR="00365608" w:rsidRPr="00123905" w:rsidRDefault="00365608" w:rsidP="00365608">
            <w:pPr>
              <w:rPr>
                <w:noProof/>
                <w:lang w:val="en-IE"/>
              </w:rPr>
            </w:pPr>
            <w:r w:rsidRPr="00123905">
              <w:rPr>
                <w:noProof/>
                <w:lang w:val="en-IE"/>
              </w:rPr>
              <w:t>Total</w:t>
            </w:r>
          </w:p>
        </w:tc>
        <w:tc>
          <w:tcPr>
            <w:tcW w:w="943" w:type="dxa"/>
            <w:noWrap/>
            <w:vAlign w:val="bottom"/>
            <w:hideMark/>
          </w:tcPr>
          <w:p w14:paraId="3230964D" w14:textId="77777777" w:rsidR="00365608" w:rsidRPr="00412CEF" w:rsidRDefault="00365608" w:rsidP="00365608">
            <w:pPr>
              <w:jc w:val="center"/>
              <w:rPr>
                <w:noProof/>
                <w:lang w:val="en-IE"/>
              </w:rPr>
            </w:pPr>
            <w:r w:rsidRPr="00D539B7">
              <w:rPr>
                <w:rFonts w:ascii="Calibri" w:hAnsi="Calibri" w:cs="Calibri"/>
                <w:bCs/>
                <w:noProof/>
                <w:color w:val="000000"/>
              </w:rPr>
              <w:t>289.5</w:t>
            </w:r>
          </w:p>
        </w:tc>
        <w:tc>
          <w:tcPr>
            <w:tcW w:w="944" w:type="dxa"/>
            <w:noWrap/>
            <w:vAlign w:val="bottom"/>
            <w:hideMark/>
          </w:tcPr>
          <w:p w14:paraId="0D02D65A" w14:textId="773C2C90" w:rsidR="00365608" w:rsidRPr="00123905" w:rsidRDefault="00412CEF" w:rsidP="00365608">
            <w:pPr>
              <w:jc w:val="center"/>
              <w:rPr>
                <w:noProof/>
                <w:lang w:val="en-IE"/>
              </w:rPr>
            </w:pPr>
            <w:r>
              <w:rPr>
                <w:rFonts w:ascii="Calibri" w:hAnsi="Calibri" w:cs="Calibri"/>
                <w:noProof/>
                <w:color w:val="000000"/>
              </w:rPr>
              <w:t>983</w:t>
            </w:r>
            <w:r w:rsidR="00365608">
              <w:rPr>
                <w:rFonts w:ascii="Calibri" w:hAnsi="Calibri" w:cs="Calibri"/>
                <w:noProof/>
                <w:color w:val="000000"/>
              </w:rPr>
              <w:t>.</w:t>
            </w:r>
            <w:r>
              <w:rPr>
                <w:rFonts w:ascii="Calibri" w:hAnsi="Calibri" w:cs="Calibri"/>
                <w:noProof/>
                <w:color w:val="000000"/>
              </w:rPr>
              <w:t>7</w:t>
            </w:r>
          </w:p>
        </w:tc>
        <w:tc>
          <w:tcPr>
            <w:tcW w:w="943" w:type="dxa"/>
            <w:noWrap/>
            <w:vAlign w:val="bottom"/>
            <w:hideMark/>
          </w:tcPr>
          <w:p w14:paraId="40E5EE05" w14:textId="4A22C080" w:rsidR="00365608" w:rsidRPr="00123905" w:rsidRDefault="00365608" w:rsidP="00365608">
            <w:pPr>
              <w:jc w:val="center"/>
              <w:rPr>
                <w:noProof/>
                <w:lang w:val="en-IE"/>
              </w:rPr>
            </w:pPr>
            <w:r>
              <w:rPr>
                <w:rFonts w:ascii="Calibri" w:hAnsi="Calibri" w:cs="Calibri"/>
                <w:noProof/>
                <w:color w:val="000000"/>
              </w:rPr>
              <w:t>1 195.3</w:t>
            </w:r>
          </w:p>
        </w:tc>
        <w:tc>
          <w:tcPr>
            <w:tcW w:w="944" w:type="dxa"/>
            <w:noWrap/>
            <w:vAlign w:val="bottom"/>
            <w:hideMark/>
          </w:tcPr>
          <w:p w14:paraId="4FE91FEA" w14:textId="749A09C5" w:rsidR="00365608" w:rsidRPr="00123905" w:rsidRDefault="00365608" w:rsidP="00365608">
            <w:pPr>
              <w:jc w:val="center"/>
              <w:rPr>
                <w:noProof/>
                <w:lang w:val="en-IE"/>
              </w:rPr>
            </w:pPr>
            <w:r>
              <w:rPr>
                <w:rFonts w:ascii="Calibri" w:hAnsi="Calibri" w:cs="Calibri"/>
                <w:noProof/>
                <w:color w:val="000000"/>
              </w:rPr>
              <w:t>1 05</w:t>
            </w:r>
            <w:r w:rsidR="00412CEF">
              <w:rPr>
                <w:rFonts w:ascii="Calibri" w:hAnsi="Calibri" w:cs="Calibri"/>
                <w:noProof/>
                <w:color w:val="000000"/>
              </w:rPr>
              <w:t>0</w:t>
            </w:r>
            <w:r>
              <w:rPr>
                <w:rFonts w:ascii="Calibri" w:hAnsi="Calibri" w:cs="Calibri"/>
                <w:noProof/>
                <w:color w:val="000000"/>
              </w:rPr>
              <w:t>.</w:t>
            </w:r>
            <w:r w:rsidR="00412CEF">
              <w:rPr>
                <w:rFonts w:ascii="Calibri" w:hAnsi="Calibri" w:cs="Calibri"/>
                <w:noProof/>
                <w:color w:val="000000"/>
              </w:rPr>
              <w:t>3</w:t>
            </w:r>
          </w:p>
        </w:tc>
        <w:tc>
          <w:tcPr>
            <w:tcW w:w="944" w:type="dxa"/>
            <w:noWrap/>
            <w:vAlign w:val="bottom"/>
            <w:hideMark/>
          </w:tcPr>
          <w:p w14:paraId="3D7A35A4" w14:textId="44D9E5EF" w:rsidR="00365608" w:rsidRPr="00123905" w:rsidRDefault="00365608" w:rsidP="00365608">
            <w:pPr>
              <w:jc w:val="center"/>
              <w:rPr>
                <w:noProof/>
                <w:lang w:val="en-IE"/>
              </w:rPr>
            </w:pPr>
            <w:r>
              <w:rPr>
                <w:rFonts w:ascii="Calibri" w:hAnsi="Calibri" w:cs="Calibri"/>
                <w:noProof/>
                <w:color w:val="000000"/>
              </w:rPr>
              <w:t>1 18</w:t>
            </w:r>
            <w:r w:rsidR="00412CEF">
              <w:rPr>
                <w:rFonts w:ascii="Calibri" w:hAnsi="Calibri" w:cs="Calibri"/>
                <w:noProof/>
                <w:color w:val="000000"/>
              </w:rPr>
              <w:t>7</w:t>
            </w:r>
            <w:r>
              <w:rPr>
                <w:rFonts w:ascii="Calibri" w:hAnsi="Calibri" w:cs="Calibri"/>
                <w:noProof/>
                <w:color w:val="000000"/>
              </w:rPr>
              <w:t>.</w:t>
            </w:r>
            <w:r w:rsidR="00412CEF">
              <w:rPr>
                <w:rFonts w:ascii="Calibri" w:hAnsi="Calibri" w:cs="Calibri"/>
                <w:noProof/>
                <w:color w:val="000000"/>
              </w:rPr>
              <w:t>2</w:t>
            </w:r>
          </w:p>
        </w:tc>
        <w:tc>
          <w:tcPr>
            <w:tcW w:w="943" w:type="dxa"/>
            <w:noWrap/>
            <w:vAlign w:val="bottom"/>
            <w:hideMark/>
          </w:tcPr>
          <w:p w14:paraId="1468A20F" w14:textId="7BE5898F" w:rsidR="00365608" w:rsidRPr="00123905" w:rsidRDefault="00365608" w:rsidP="00365608">
            <w:pPr>
              <w:jc w:val="center"/>
              <w:rPr>
                <w:noProof/>
                <w:lang w:val="en-IE"/>
              </w:rPr>
            </w:pPr>
            <w:r>
              <w:rPr>
                <w:rFonts w:ascii="Calibri" w:hAnsi="Calibri" w:cs="Calibri"/>
                <w:noProof/>
                <w:color w:val="000000"/>
              </w:rPr>
              <w:t>1 09</w:t>
            </w:r>
            <w:r w:rsidR="00412CEF">
              <w:rPr>
                <w:rFonts w:ascii="Calibri" w:hAnsi="Calibri" w:cs="Calibri"/>
                <w:noProof/>
                <w:color w:val="000000"/>
              </w:rPr>
              <w:t>1</w:t>
            </w:r>
            <w:r>
              <w:rPr>
                <w:rFonts w:ascii="Calibri" w:hAnsi="Calibri" w:cs="Calibri"/>
                <w:noProof/>
                <w:color w:val="000000"/>
              </w:rPr>
              <w:t>.</w:t>
            </w:r>
            <w:r w:rsidR="00412CEF">
              <w:rPr>
                <w:rFonts w:ascii="Calibri" w:hAnsi="Calibri" w:cs="Calibri"/>
                <w:noProof/>
                <w:color w:val="000000"/>
              </w:rPr>
              <w:t>1</w:t>
            </w:r>
          </w:p>
        </w:tc>
        <w:tc>
          <w:tcPr>
            <w:tcW w:w="944" w:type="dxa"/>
            <w:noWrap/>
            <w:vAlign w:val="bottom"/>
            <w:hideMark/>
          </w:tcPr>
          <w:p w14:paraId="0D1DC5E3" w14:textId="04BC8E25" w:rsidR="00365608" w:rsidRPr="00123905" w:rsidRDefault="00365608" w:rsidP="00365608">
            <w:pPr>
              <w:jc w:val="center"/>
              <w:rPr>
                <w:noProof/>
                <w:lang w:val="en-IE"/>
              </w:rPr>
            </w:pPr>
            <w:r>
              <w:rPr>
                <w:rFonts w:ascii="Calibri" w:hAnsi="Calibri" w:cs="Calibri"/>
                <w:noProof/>
                <w:color w:val="000000"/>
              </w:rPr>
              <w:t>1 10</w:t>
            </w:r>
            <w:r w:rsidR="00412CEF">
              <w:rPr>
                <w:rFonts w:ascii="Calibri" w:hAnsi="Calibri" w:cs="Calibri"/>
                <w:noProof/>
                <w:color w:val="000000"/>
              </w:rPr>
              <w:t>5</w:t>
            </w:r>
            <w:r>
              <w:rPr>
                <w:rFonts w:ascii="Calibri" w:hAnsi="Calibri" w:cs="Calibri"/>
                <w:noProof/>
                <w:color w:val="000000"/>
              </w:rPr>
              <w:t>.</w:t>
            </w:r>
            <w:r w:rsidR="00412CEF">
              <w:rPr>
                <w:rFonts w:ascii="Calibri" w:hAnsi="Calibri" w:cs="Calibri"/>
                <w:noProof/>
                <w:color w:val="000000"/>
              </w:rPr>
              <w:t>1</w:t>
            </w:r>
          </w:p>
        </w:tc>
        <w:tc>
          <w:tcPr>
            <w:tcW w:w="944" w:type="dxa"/>
            <w:noWrap/>
            <w:vAlign w:val="bottom"/>
            <w:hideMark/>
          </w:tcPr>
          <w:p w14:paraId="4A3D3DED" w14:textId="07784F6E" w:rsidR="00365608" w:rsidRPr="00123905" w:rsidRDefault="00365608" w:rsidP="00365608">
            <w:pPr>
              <w:jc w:val="center"/>
              <w:rPr>
                <w:noProof/>
                <w:lang w:val="en-IE"/>
              </w:rPr>
            </w:pPr>
            <w:r>
              <w:rPr>
                <w:rFonts w:ascii="Calibri" w:hAnsi="Calibri" w:cs="Calibri"/>
                <w:noProof/>
                <w:color w:val="000000"/>
              </w:rPr>
              <w:t xml:space="preserve">6 </w:t>
            </w:r>
            <w:r w:rsidR="00412CEF">
              <w:rPr>
                <w:rFonts w:ascii="Calibri" w:hAnsi="Calibri" w:cs="Calibri"/>
                <w:noProof/>
                <w:color w:val="000000"/>
              </w:rPr>
              <w:t>902</w:t>
            </w:r>
            <w:r>
              <w:rPr>
                <w:rFonts w:ascii="Calibri" w:hAnsi="Calibri" w:cs="Calibri"/>
                <w:noProof/>
                <w:color w:val="000000"/>
              </w:rPr>
              <w:t>.</w:t>
            </w:r>
            <w:r w:rsidR="00412CEF">
              <w:rPr>
                <w:rFonts w:ascii="Calibri" w:hAnsi="Calibri" w:cs="Calibri"/>
                <w:noProof/>
                <w:color w:val="000000"/>
              </w:rPr>
              <w:t>2</w:t>
            </w:r>
          </w:p>
        </w:tc>
      </w:tr>
    </w:tbl>
    <w:p w14:paraId="2D2CF12C" w14:textId="77777777" w:rsidR="00881F76" w:rsidRPr="00123905" w:rsidRDefault="00881F76" w:rsidP="00881F76">
      <w:pPr>
        <w:tabs>
          <w:tab w:val="left" w:pos="6793"/>
        </w:tabs>
        <w:rPr>
          <w:noProof/>
          <w:sz w:val="18"/>
          <w:szCs w:val="18"/>
          <w:lang w:val="en-IE"/>
        </w:rPr>
      </w:pPr>
      <w:r w:rsidRPr="00123905">
        <w:rPr>
          <w:noProof/>
          <w:sz w:val="18"/>
          <w:szCs w:val="18"/>
          <w:lang w:val="en-IE"/>
        </w:rPr>
        <w:t>(*) Only Article</w:t>
      </w:r>
      <w:r w:rsidRPr="00123905">
        <w:rPr>
          <w:rFonts w:ascii="Calibri" w:hAnsi="Calibri" w:cs="Calibri"/>
          <w:noProof/>
          <w:sz w:val="18"/>
          <w:szCs w:val="18"/>
          <w:lang w:val="en-IE"/>
        </w:rPr>
        <w:t> </w:t>
      </w:r>
      <w:r w:rsidRPr="00123905">
        <w:rPr>
          <w:noProof/>
          <w:sz w:val="18"/>
          <w:szCs w:val="18"/>
          <w:lang w:val="en-IE"/>
        </w:rPr>
        <w:t>15(3) of the financial regulation.</w:t>
      </w:r>
    </w:p>
    <w:p w14:paraId="302CE280" w14:textId="77777777" w:rsidR="00881F76" w:rsidRPr="00123905" w:rsidRDefault="00881F76" w:rsidP="00881F76">
      <w:pPr>
        <w:tabs>
          <w:tab w:val="left" w:pos="6793"/>
        </w:tabs>
        <w:rPr>
          <w:noProof/>
          <w:sz w:val="18"/>
          <w:szCs w:val="18"/>
          <w:lang w:val="en-IE"/>
        </w:rPr>
      </w:pPr>
    </w:p>
    <w:p w14:paraId="44FA2736" w14:textId="7D197A25" w:rsidR="00881F76" w:rsidRPr="00123905" w:rsidRDefault="00881F76" w:rsidP="00881F76">
      <w:pPr>
        <w:pStyle w:val="ppoTableTabletitle"/>
        <w:jc w:val="center"/>
        <w:rPr>
          <w:noProof/>
          <w:lang w:val="en-IE"/>
        </w:rPr>
      </w:pPr>
      <w:r w:rsidRPr="00304A2B">
        <w:rPr>
          <w:noProof/>
        </w:rPr>
        <w:t>Financial programming</w:t>
      </w:r>
      <w:r w:rsidR="004C4764">
        <w:rPr>
          <w:noProof/>
        </w:rPr>
        <w:t>:</w:t>
      </w:r>
      <w:r>
        <w:rPr>
          <w:rStyle w:val="ppocharPurpletext24pt"/>
          <w:noProof/>
          <w:lang w:val="en-IE"/>
        </w:rPr>
        <w:t xml:space="preserve"> </w:t>
      </w:r>
      <w:r w:rsidRPr="00123905">
        <w:rPr>
          <w:rStyle w:val="ppocharPurpletext24pt"/>
          <w:noProof/>
          <w:lang w:val="en-IE"/>
        </w:rPr>
        <w:t>+</w:t>
      </w:r>
      <w:r w:rsidRPr="00123905">
        <w:rPr>
          <w:rStyle w:val="ppocharPurpletext24pt"/>
          <w:rFonts w:ascii="Calibri" w:hAnsi="Calibri" w:cs="Calibri"/>
          <w:noProof/>
          <w:lang w:val="en-IE"/>
        </w:rPr>
        <w:t> </w:t>
      </w:r>
      <w:r w:rsidRPr="00123905">
        <w:rPr>
          <w:rStyle w:val="ppocharPurpletext24pt"/>
          <w:noProof/>
          <w:lang w:val="en-IE"/>
        </w:rPr>
        <w:t>EUR</w:t>
      </w:r>
      <w:r w:rsidRPr="00123905">
        <w:rPr>
          <w:rStyle w:val="ppocharPurpletext24pt"/>
          <w:rFonts w:ascii="Calibri" w:hAnsi="Calibri" w:cs="Calibri"/>
          <w:noProof/>
          <w:lang w:val="en-IE"/>
        </w:rPr>
        <w:t> </w:t>
      </w:r>
      <w:r w:rsidR="00365608" w:rsidRPr="00365608">
        <w:rPr>
          <w:rStyle w:val="ppocharPurpletext24pt"/>
          <w:noProof/>
          <w:lang w:val="en-IE"/>
        </w:rPr>
        <w:t>279.9</w:t>
      </w:r>
      <w:r w:rsidRPr="00123905">
        <w:rPr>
          <w:rStyle w:val="ppocharPurpletext24pt"/>
          <w:noProof/>
          <w:lang w:val="en-IE"/>
        </w:rPr>
        <w:t>million (+</w:t>
      </w:r>
      <w:r w:rsidRPr="00123905">
        <w:rPr>
          <w:rStyle w:val="ppocharPurpletext24pt"/>
          <w:rFonts w:ascii="Calibri" w:hAnsi="Calibri" w:cs="Calibri"/>
          <w:noProof/>
          <w:lang w:val="en-IE"/>
        </w:rPr>
        <w:t> </w:t>
      </w:r>
      <w:r w:rsidRPr="00123905">
        <w:rPr>
          <w:rStyle w:val="ppocharPurpletext24pt"/>
          <w:noProof/>
          <w:lang w:val="en-IE"/>
        </w:rPr>
        <w:t xml:space="preserve">4%) </w:t>
      </w:r>
      <w:r w:rsidRPr="00123905">
        <w:rPr>
          <w:noProof/>
          <w:lang w:val="en-IE"/>
        </w:rPr>
        <w:t>compared to the legal basis</w:t>
      </w:r>
    </w:p>
    <w:p w14:paraId="4BBF0CDF" w14:textId="77777777" w:rsidR="00881F76" w:rsidRPr="00123905" w:rsidRDefault="00881F76" w:rsidP="00881F76">
      <w:pPr>
        <w:pStyle w:val="ppoTableTabletitle"/>
        <w:rPr>
          <w:b/>
          <w:noProof/>
          <w:lang w:val="en-IE"/>
        </w:rPr>
      </w:pPr>
      <w:r w:rsidRPr="00123905">
        <w:rPr>
          <w:noProof/>
          <w:lang w:val="en-IE"/>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881F76" w:rsidRPr="00123905" w14:paraId="7DE546AB" w14:textId="77777777" w:rsidTr="0083214A">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7B5DA112" w14:textId="77777777" w:rsidR="00881F76" w:rsidRPr="00123905" w:rsidRDefault="00881F76" w:rsidP="0083214A">
            <w:pPr>
              <w:rPr>
                <w:noProof/>
                <w:lang w:val="en-IE"/>
              </w:rPr>
            </w:pPr>
          </w:p>
        </w:tc>
        <w:tc>
          <w:tcPr>
            <w:tcW w:w="2410" w:type="dxa"/>
          </w:tcPr>
          <w:p w14:paraId="51F93C7A" w14:textId="77777777" w:rsidR="00881F76" w:rsidRPr="00123905" w:rsidRDefault="00881F76" w:rsidP="0083214A">
            <w:pPr>
              <w:cnfStyle w:val="100000000000" w:firstRow="1" w:lastRow="0" w:firstColumn="0" w:lastColumn="0" w:oddVBand="0" w:evenVBand="0" w:oddHBand="0" w:evenHBand="0" w:firstRowFirstColumn="0" w:firstRowLastColumn="0" w:lastRowFirstColumn="0" w:lastRowLastColumn="0"/>
              <w:rPr>
                <w:noProof/>
                <w:lang w:val="en-IE"/>
              </w:rPr>
            </w:pPr>
            <w:r w:rsidRPr="00123905">
              <w:rPr>
                <w:noProof/>
                <w:lang w:val="en-IE"/>
              </w:rPr>
              <w:t>Implementation</w:t>
            </w:r>
          </w:p>
        </w:tc>
        <w:tc>
          <w:tcPr>
            <w:tcW w:w="2410" w:type="dxa"/>
          </w:tcPr>
          <w:p w14:paraId="619207C8" w14:textId="1C2EB186" w:rsidR="00881F76" w:rsidRPr="00123905" w:rsidRDefault="003821C6" w:rsidP="0083214A">
            <w:pPr>
              <w:cnfStyle w:val="100000000000" w:firstRow="1" w:lastRow="0" w:firstColumn="0" w:lastColumn="0" w:oddVBand="0" w:evenVBand="0" w:oddHBand="0" w:evenHBand="0" w:firstRowFirstColumn="0" w:firstRowLastColumn="0" w:lastRowFirstColumn="0" w:lastRowLastColumn="0"/>
              <w:rPr>
                <w:noProof/>
                <w:lang w:val="en-IE"/>
              </w:rPr>
            </w:pPr>
            <w:r>
              <w:rPr>
                <w:noProof/>
                <w:lang w:val="en-IE"/>
              </w:rPr>
              <w:t xml:space="preserve">2021-2027 </w:t>
            </w:r>
            <w:r w:rsidR="00881F76" w:rsidRPr="00123905">
              <w:rPr>
                <w:noProof/>
                <w:lang w:val="en-IE"/>
              </w:rPr>
              <w:t>Budget</w:t>
            </w:r>
          </w:p>
        </w:tc>
        <w:tc>
          <w:tcPr>
            <w:tcW w:w="2410" w:type="dxa"/>
          </w:tcPr>
          <w:p w14:paraId="3A418056" w14:textId="77777777" w:rsidR="00881F76" w:rsidRPr="00123905" w:rsidRDefault="00881F76" w:rsidP="0083214A">
            <w:pPr>
              <w:cnfStyle w:val="100000000000" w:firstRow="1" w:lastRow="0" w:firstColumn="0" w:lastColumn="0" w:oddVBand="0" w:evenVBand="0" w:oddHBand="0" w:evenHBand="0" w:firstRowFirstColumn="0" w:firstRowLastColumn="0" w:lastRowFirstColumn="0" w:lastRowLastColumn="0"/>
              <w:rPr>
                <w:noProof/>
                <w:lang w:val="en-IE"/>
              </w:rPr>
            </w:pPr>
            <w:r w:rsidRPr="00123905">
              <w:rPr>
                <w:noProof/>
                <w:lang w:val="en-IE"/>
              </w:rPr>
              <w:t>Implementation rate</w:t>
            </w:r>
          </w:p>
        </w:tc>
      </w:tr>
      <w:tr w:rsidR="00881F76" w:rsidRPr="00123905" w14:paraId="5CB771B5"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5FD50FBF" w14:textId="77777777" w:rsidR="00881F76" w:rsidRPr="00123905" w:rsidRDefault="00881F76" w:rsidP="0083214A">
            <w:pPr>
              <w:jc w:val="center"/>
              <w:rPr>
                <w:noProof/>
                <w:lang w:val="en-IE"/>
              </w:rPr>
            </w:pPr>
            <w:r w:rsidRPr="00123905">
              <w:rPr>
                <w:noProof/>
                <w:lang w:val="en-IE"/>
              </w:rPr>
              <w:t>Commitments</w:t>
            </w:r>
          </w:p>
        </w:tc>
        <w:tc>
          <w:tcPr>
            <w:tcW w:w="2410" w:type="dxa"/>
          </w:tcPr>
          <w:tbl>
            <w:tblPr>
              <w:tblStyle w:val="TableGrid"/>
              <w:tblW w:w="0" w:type="auto"/>
              <w:tblLook w:val="06A0" w:firstRow="1" w:lastRow="0" w:firstColumn="1" w:lastColumn="0" w:noHBand="1" w:noVBand="1"/>
            </w:tblPr>
            <w:tblGrid>
              <w:gridCol w:w="2194"/>
            </w:tblGrid>
            <w:tr w:rsidR="00881F76" w:rsidRPr="00123905" w14:paraId="5DDCAEB4" w14:textId="77777777" w:rsidTr="0083214A">
              <w:trPr>
                <w:trHeight w:val="285"/>
              </w:trPr>
              <w:tc>
                <w:tcPr>
                  <w:tcW w:w="2290" w:type="dxa"/>
                  <w:tcBorders>
                    <w:top w:val="nil"/>
                    <w:left w:val="nil"/>
                    <w:bottom w:val="nil"/>
                    <w:right w:val="nil"/>
                  </w:tcBorders>
                  <w:vAlign w:val="bottom"/>
                </w:tcPr>
                <w:p w14:paraId="0BC9F585" w14:textId="77777777" w:rsidR="00881F76" w:rsidRPr="00123905" w:rsidRDefault="00881F76" w:rsidP="0083214A">
                  <w:pPr>
                    <w:jc w:val="right"/>
                    <w:rPr>
                      <w:noProof/>
                      <w:lang w:val="en-IE"/>
                    </w:rPr>
                  </w:pPr>
                  <w:r w:rsidRPr="00123905">
                    <w:rPr>
                      <w:rFonts w:ascii="Calibri" w:hAnsi="Calibri" w:cs="Calibri"/>
                      <w:noProof/>
                      <w:color w:val="000000"/>
                      <w:lang w:val="en-IE"/>
                    </w:rPr>
                    <w:t>288.6</w:t>
                  </w:r>
                </w:p>
              </w:tc>
            </w:tr>
          </w:tbl>
          <w:p w14:paraId="762722DA" w14:textId="77777777" w:rsidR="00881F76" w:rsidRPr="00123905" w:rsidRDefault="00881F76"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881F76" w:rsidRPr="00123905" w14:paraId="4861D1CE" w14:textId="77777777" w:rsidTr="0083214A">
              <w:trPr>
                <w:trHeight w:val="285"/>
              </w:trPr>
              <w:tc>
                <w:tcPr>
                  <w:tcW w:w="2290" w:type="dxa"/>
                  <w:tcBorders>
                    <w:top w:val="nil"/>
                    <w:left w:val="nil"/>
                    <w:bottom w:val="nil"/>
                    <w:right w:val="nil"/>
                  </w:tcBorders>
                  <w:vAlign w:val="bottom"/>
                </w:tcPr>
                <w:p w14:paraId="567101E0" w14:textId="6CB6BA9F" w:rsidR="00881F76" w:rsidRPr="00123905" w:rsidRDefault="00365608" w:rsidP="0083214A">
                  <w:pPr>
                    <w:jc w:val="right"/>
                    <w:rPr>
                      <w:rFonts w:ascii="Calibri" w:hAnsi="Calibri" w:cs="Calibri"/>
                      <w:noProof/>
                      <w:color w:val="000000"/>
                      <w:lang w:val="en-IE"/>
                    </w:rPr>
                  </w:pPr>
                  <w:r w:rsidRPr="00D539B7">
                    <w:rPr>
                      <w:rFonts w:ascii="Calibri" w:hAnsi="Calibri" w:cs="Calibri"/>
                      <w:noProof/>
                      <w:color w:val="000000"/>
                      <w:sz w:val="24"/>
                      <w:lang w:val="en-IE"/>
                    </w:rPr>
                    <w:t>6 8</w:t>
                  </w:r>
                  <w:r w:rsidR="00412CEF" w:rsidRPr="00D539B7">
                    <w:rPr>
                      <w:rFonts w:ascii="Calibri" w:hAnsi="Calibri" w:cs="Calibri"/>
                      <w:noProof/>
                      <w:color w:val="000000"/>
                      <w:sz w:val="24"/>
                      <w:lang w:val="en-IE"/>
                    </w:rPr>
                    <w:t>02</w:t>
                  </w:r>
                  <w:r w:rsidRPr="00D539B7">
                    <w:rPr>
                      <w:rFonts w:ascii="Calibri" w:hAnsi="Calibri" w:cs="Calibri"/>
                      <w:noProof/>
                      <w:color w:val="000000"/>
                      <w:sz w:val="24"/>
                      <w:lang w:val="en-IE"/>
                    </w:rPr>
                    <w:t>.</w:t>
                  </w:r>
                  <w:r w:rsidR="00412CEF" w:rsidRPr="00D539B7">
                    <w:rPr>
                      <w:rFonts w:ascii="Calibri" w:hAnsi="Calibri" w:cs="Calibri"/>
                      <w:noProof/>
                      <w:color w:val="000000"/>
                      <w:sz w:val="24"/>
                      <w:lang w:val="en-IE"/>
                    </w:rPr>
                    <w:t>2</w:t>
                  </w:r>
                </w:p>
              </w:tc>
            </w:tr>
          </w:tbl>
          <w:p w14:paraId="6BBAA719" w14:textId="77777777" w:rsidR="00881F76" w:rsidRPr="00123905" w:rsidRDefault="00881F76"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881F76" w:rsidRPr="00123905" w14:paraId="63FE36B4" w14:textId="77777777" w:rsidTr="0083214A">
              <w:trPr>
                <w:trHeight w:val="285"/>
              </w:trPr>
              <w:tc>
                <w:tcPr>
                  <w:tcW w:w="2290" w:type="dxa"/>
                  <w:tcBorders>
                    <w:top w:val="nil"/>
                    <w:left w:val="nil"/>
                    <w:bottom w:val="nil"/>
                    <w:right w:val="nil"/>
                  </w:tcBorders>
                  <w:vAlign w:val="bottom"/>
                </w:tcPr>
                <w:p w14:paraId="72A94D0F" w14:textId="77777777" w:rsidR="00881F76" w:rsidRPr="00123905" w:rsidRDefault="00881F76" w:rsidP="0083214A">
                  <w:pPr>
                    <w:jc w:val="right"/>
                    <w:rPr>
                      <w:noProof/>
                      <w:lang w:val="en-IE"/>
                    </w:rPr>
                  </w:pPr>
                  <w:r w:rsidRPr="00123905">
                    <w:rPr>
                      <w:rFonts w:ascii="Calibri" w:hAnsi="Calibri" w:cs="Calibri"/>
                      <w:noProof/>
                      <w:color w:val="000000"/>
                      <w:lang w:val="en-IE"/>
                    </w:rPr>
                    <w:t>4%</w:t>
                  </w:r>
                </w:p>
              </w:tc>
            </w:tr>
          </w:tbl>
          <w:p w14:paraId="2A8573C7" w14:textId="77777777" w:rsidR="00881F76" w:rsidRPr="00123905" w:rsidRDefault="00881F76"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r>
      <w:tr w:rsidR="00881F76" w:rsidRPr="00123905" w14:paraId="4B631BE9"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0492137C" w14:textId="77777777" w:rsidR="00881F76" w:rsidRPr="00123905" w:rsidRDefault="00881F76" w:rsidP="0083214A">
            <w:pPr>
              <w:jc w:val="center"/>
              <w:rPr>
                <w:noProof/>
                <w:lang w:val="en-IE"/>
              </w:rPr>
            </w:pPr>
            <w:r w:rsidRPr="00123905">
              <w:rPr>
                <w:noProof/>
                <w:lang w:val="en-IE"/>
              </w:rPr>
              <w:t>Payments</w:t>
            </w:r>
          </w:p>
        </w:tc>
        <w:tc>
          <w:tcPr>
            <w:tcW w:w="2410" w:type="dxa"/>
          </w:tcPr>
          <w:tbl>
            <w:tblPr>
              <w:tblStyle w:val="TableGrid"/>
              <w:tblW w:w="0" w:type="auto"/>
              <w:tblLook w:val="06A0" w:firstRow="1" w:lastRow="0" w:firstColumn="1" w:lastColumn="0" w:noHBand="1" w:noVBand="1"/>
            </w:tblPr>
            <w:tblGrid>
              <w:gridCol w:w="2194"/>
            </w:tblGrid>
            <w:tr w:rsidR="00881F76" w:rsidRPr="00123905" w14:paraId="3611176A" w14:textId="77777777" w:rsidTr="0083214A">
              <w:trPr>
                <w:trHeight w:val="285"/>
              </w:trPr>
              <w:tc>
                <w:tcPr>
                  <w:tcW w:w="2290" w:type="dxa"/>
                  <w:tcBorders>
                    <w:top w:val="nil"/>
                    <w:left w:val="nil"/>
                    <w:bottom w:val="nil"/>
                    <w:right w:val="nil"/>
                  </w:tcBorders>
                  <w:vAlign w:val="bottom"/>
                </w:tcPr>
                <w:p w14:paraId="730230A5" w14:textId="77777777" w:rsidR="00881F76" w:rsidRPr="00123905" w:rsidRDefault="00881F76" w:rsidP="0083214A">
                  <w:pPr>
                    <w:jc w:val="right"/>
                    <w:rPr>
                      <w:noProof/>
                      <w:lang w:val="en-IE"/>
                    </w:rPr>
                  </w:pPr>
                  <w:r w:rsidRPr="00123905">
                    <w:rPr>
                      <w:rFonts w:ascii="Calibri" w:hAnsi="Calibri" w:cs="Calibri"/>
                      <w:noProof/>
                      <w:color w:val="000000"/>
                      <w:lang w:val="en-IE"/>
                    </w:rPr>
                    <w:t>0.4</w:t>
                  </w:r>
                </w:p>
              </w:tc>
            </w:tr>
          </w:tbl>
          <w:p w14:paraId="48BBFF85" w14:textId="77777777" w:rsidR="00881F76" w:rsidRPr="00123905" w:rsidRDefault="00881F76"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p w14:paraId="6F466C20" w14:textId="77777777" w:rsidR="00881F76" w:rsidRPr="00123905" w:rsidRDefault="00881F76"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881F76" w:rsidRPr="00123905" w14:paraId="05A697F0" w14:textId="77777777" w:rsidTr="0083214A">
              <w:trPr>
                <w:trHeight w:val="285"/>
              </w:trPr>
              <w:tc>
                <w:tcPr>
                  <w:tcW w:w="2235" w:type="dxa"/>
                  <w:tcBorders>
                    <w:top w:val="nil"/>
                    <w:left w:val="nil"/>
                    <w:bottom w:val="nil"/>
                    <w:right w:val="nil"/>
                  </w:tcBorders>
                  <w:vAlign w:val="bottom"/>
                </w:tcPr>
                <w:p w14:paraId="7BAF0D85" w14:textId="77777777" w:rsidR="00881F76" w:rsidRPr="00123905" w:rsidRDefault="00881F76" w:rsidP="0083214A">
                  <w:pPr>
                    <w:jc w:val="right"/>
                    <w:rPr>
                      <w:noProof/>
                      <w:lang w:val="en-IE"/>
                    </w:rPr>
                  </w:pPr>
                  <w:r w:rsidRPr="00123905">
                    <w:rPr>
                      <w:rFonts w:ascii="Calibri" w:hAnsi="Calibri" w:cs="Calibri"/>
                      <w:noProof/>
                      <w:color w:val="000000"/>
                      <w:lang w:val="en-IE"/>
                    </w:rPr>
                    <w:t>0%</w:t>
                  </w:r>
                </w:p>
              </w:tc>
            </w:tr>
          </w:tbl>
          <w:p w14:paraId="631F85F6" w14:textId="77777777" w:rsidR="00881F76" w:rsidRPr="00123905" w:rsidRDefault="00881F76"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r>
    </w:tbl>
    <w:p w14:paraId="3432A8EA" w14:textId="77777777" w:rsidR="00881F76" w:rsidRPr="00123905" w:rsidRDefault="00881F76" w:rsidP="00881F76">
      <w:pPr>
        <w:pStyle w:val="ppoTableTabletitle"/>
        <w:rPr>
          <w:b/>
          <w:noProof/>
          <w:lang w:val="en-IE"/>
        </w:rPr>
      </w:pPr>
      <w:r w:rsidRPr="00123905">
        <w:rPr>
          <w:noProof/>
          <w:lang w:val="en-IE"/>
        </w:rPr>
        <w:t>Voted budget implementation in 2021 (million EUR):</w:t>
      </w:r>
    </w:p>
    <w:tbl>
      <w:tblPr>
        <w:tblStyle w:val="PPO2021"/>
        <w:tblW w:w="3683" w:type="pct"/>
        <w:tblInd w:w="79" w:type="dxa"/>
        <w:tblLook w:val="04A0" w:firstRow="1" w:lastRow="0" w:firstColumn="1" w:lastColumn="0" w:noHBand="0" w:noVBand="1"/>
      </w:tblPr>
      <w:tblGrid>
        <w:gridCol w:w="2419"/>
        <w:gridCol w:w="2419"/>
        <w:gridCol w:w="2420"/>
      </w:tblGrid>
      <w:tr w:rsidR="00881F76" w:rsidRPr="00123905" w14:paraId="4C263677" w14:textId="77777777" w:rsidTr="008321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1686E8BC" w14:textId="77777777" w:rsidR="00881F76" w:rsidRPr="00123905" w:rsidRDefault="00881F76" w:rsidP="0083214A">
            <w:pPr>
              <w:rPr>
                <w:noProof/>
                <w:lang w:val="en-IE"/>
              </w:rPr>
            </w:pPr>
          </w:p>
        </w:tc>
        <w:tc>
          <w:tcPr>
            <w:tcW w:w="2419" w:type="dxa"/>
          </w:tcPr>
          <w:p w14:paraId="509B31F6" w14:textId="77777777" w:rsidR="00881F76" w:rsidRPr="00123905" w:rsidRDefault="00881F76" w:rsidP="0083214A">
            <w:pPr>
              <w:cnfStyle w:val="100000000000" w:firstRow="1" w:lastRow="0" w:firstColumn="0" w:lastColumn="0" w:oddVBand="0" w:evenVBand="0" w:oddHBand="0" w:evenHBand="0" w:firstRowFirstColumn="0" w:firstRowLastColumn="0" w:lastRowFirstColumn="0" w:lastRowLastColumn="0"/>
              <w:rPr>
                <w:noProof/>
                <w:lang w:val="en-IE"/>
              </w:rPr>
            </w:pPr>
            <w:r w:rsidRPr="00123905">
              <w:rPr>
                <w:noProof/>
                <w:lang w:val="en-IE"/>
              </w:rPr>
              <w:t>Voted budget implementation</w:t>
            </w:r>
          </w:p>
        </w:tc>
        <w:tc>
          <w:tcPr>
            <w:tcW w:w="2420" w:type="dxa"/>
          </w:tcPr>
          <w:p w14:paraId="6CD89703" w14:textId="77777777" w:rsidR="00881F76" w:rsidRPr="00123905" w:rsidRDefault="00881F76" w:rsidP="0083214A">
            <w:pPr>
              <w:cnfStyle w:val="100000000000" w:firstRow="1" w:lastRow="0" w:firstColumn="0" w:lastColumn="0" w:oddVBand="0" w:evenVBand="0" w:oddHBand="0" w:evenHBand="0" w:firstRowFirstColumn="0" w:firstRowLastColumn="0" w:lastRowFirstColumn="0" w:lastRowLastColumn="0"/>
              <w:rPr>
                <w:noProof/>
                <w:lang w:val="en-IE"/>
              </w:rPr>
            </w:pPr>
            <w:r w:rsidRPr="00123905">
              <w:rPr>
                <w:noProof/>
                <w:lang w:val="en-IE"/>
              </w:rPr>
              <w:t>Initial voted budget</w:t>
            </w:r>
          </w:p>
        </w:tc>
      </w:tr>
      <w:tr w:rsidR="00881F76" w:rsidRPr="00123905" w14:paraId="737B2FCA" w14:textId="77777777" w:rsidTr="0083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71044E1E" w14:textId="77777777" w:rsidR="00881F76" w:rsidRPr="00123905" w:rsidRDefault="00881F76" w:rsidP="0083214A">
            <w:pPr>
              <w:jc w:val="center"/>
              <w:rPr>
                <w:noProof/>
                <w:lang w:val="en-IE"/>
              </w:rPr>
            </w:pPr>
            <w:r w:rsidRPr="00123905">
              <w:rPr>
                <w:noProof/>
                <w:lang w:val="en-IE"/>
              </w:rPr>
              <w:t>Commitments</w:t>
            </w:r>
          </w:p>
        </w:tc>
        <w:tc>
          <w:tcPr>
            <w:tcW w:w="2419" w:type="dxa"/>
          </w:tcPr>
          <w:p w14:paraId="4D35BB66" w14:textId="77777777" w:rsidR="00881F76" w:rsidRPr="00123905" w:rsidRDefault="00881F76" w:rsidP="0083214A">
            <w:pPr>
              <w:jc w:val="center"/>
              <w:cnfStyle w:val="000000100000" w:firstRow="0" w:lastRow="0" w:firstColumn="0" w:lastColumn="0" w:oddVBand="0" w:evenVBand="0" w:oddHBand="1" w:evenHBand="0" w:firstRowFirstColumn="0" w:firstRowLastColumn="0" w:lastRowFirstColumn="0" w:lastRowLastColumn="0"/>
              <w:rPr>
                <w:noProof/>
                <w:lang w:val="en-IE"/>
              </w:rPr>
            </w:pPr>
            <w:r w:rsidRPr="00123905">
              <w:rPr>
                <w:noProof/>
                <w:lang w:val="en-IE"/>
              </w:rPr>
              <w:t>288.4</w:t>
            </w:r>
          </w:p>
        </w:tc>
        <w:tc>
          <w:tcPr>
            <w:tcW w:w="2420" w:type="dxa"/>
          </w:tcPr>
          <w:p w14:paraId="2163247A" w14:textId="77777777" w:rsidR="00881F76" w:rsidRPr="00123905" w:rsidRDefault="00881F76" w:rsidP="0083214A">
            <w:pPr>
              <w:jc w:val="center"/>
              <w:cnfStyle w:val="000000100000" w:firstRow="0" w:lastRow="0" w:firstColumn="0" w:lastColumn="0" w:oddVBand="0" w:evenVBand="0" w:oddHBand="1" w:evenHBand="0" w:firstRowFirstColumn="0" w:firstRowLastColumn="0" w:lastRowFirstColumn="0" w:lastRowLastColumn="0"/>
              <w:rPr>
                <w:noProof/>
                <w:lang w:val="en-IE"/>
              </w:rPr>
            </w:pPr>
            <w:r w:rsidRPr="00123905">
              <w:rPr>
                <w:noProof/>
                <w:lang w:val="en-IE"/>
              </w:rPr>
              <w:t>533.5</w:t>
            </w:r>
          </w:p>
        </w:tc>
      </w:tr>
      <w:tr w:rsidR="00881F76" w:rsidRPr="00123905" w14:paraId="6734ECB2" w14:textId="77777777" w:rsidTr="00832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57E53F8F" w14:textId="77777777" w:rsidR="00881F76" w:rsidRPr="00123905" w:rsidRDefault="00881F76" w:rsidP="0083214A">
            <w:pPr>
              <w:jc w:val="center"/>
              <w:rPr>
                <w:noProof/>
                <w:lang w:val="en-IE"/>
              </w:rPr>
            </w:pPr>
            <w:r w:rsidRPr="00123905">
              <w:rPr>
                <w:noProof/>
                <w:lang w:val="en-IE"/>
              </w:rPr>
              <w:t>Payments</w:t>
            </w:r>
          </w:p>
        </w:tc>
        <w:tc>
          <w:tcPr>
            <w:tcW w:w="2419" w:type="dxa"/>
          </w:tcPr>
          <w:p w14:paraId="10C42F70" w14:textId="77777777" w:rsidR="00881F76" w:rsidRPr="00123905" w:rsidRDefault="00881F76" w:rsidP="0083214A">
            <w:pPr>
              <w:jc w:val="center"/>
              <w:cnfStyle w:val="000000010000" w:firstRow="0" w:lastRow="0" w:firstColumn="0" w:lastColumn="0" w:oddVBand="0" w:evenVBand="0" w:oddHBand="0" w:evenHBand="1" w:firstRowFirstColumn="0" w:firstRowLastColumn="0" w:lastRowFirstColumn="0" w:lastRowLastColumn="0"/>
              <w:rPr>
                <w:noProof/>
                <w:lang w:val="en-IE"/>
              </w:rPr>
            </w:pPr>
            <w:r w:rsidRPr="00123905">
              <w:rPr>
                <w:noProof/>
                <w:lang w:val="en-IE"/>
              </w:rPr>
              <w:t>0.3</w:t>
            </w:r>
          </w:p>
        </w:tc>
        <w:tc>
          <w:tcPr>
            <w:tcW w:w="2420" w:type="dxa"/>
          </w:tcPr>
          <w:p w14:paraId="515C9109" w14:textId="77777777" w:rsidR="00881F76" w:rsidRPr="00123905" w:rsidRDefault="00881F76" w:rsidP="0083214A">
            <w:pPr>
              <w:jc w:val="center"/>
              <w:cnfStyle w:val="000000010000" w:firstRow="0" w:lastRow="0" w:firstColumn="0" w:lastColumn="0" w:oddVBand="0" w:evenVBand="0" w:oddHBand="0" w:evenHBand="1" w:firstRowFirstColumn="0" w:firstRowLastColumn="0" w:lastRowFirstColumn="0" w:lastRowLastColumn="0"/>
              <w:rPr>
                <w:noProof/>
                <w:lang w:val="en-IE"/>
              </w:rPr>
            </w:pPr>
            <w:r w:rsidRPr="00123905">
              <w:rPr>
                <w:noProof/>
                <w:lang w:val="en-IE"/>
              </w:rPr>
              <w:t>127.1</w:t>
            </w:r>
          </w:p>
        </w:tc>
      </w:tr>
    </w:tbl>
    <w:p w14:paraId="74694E1D" w14:textId="77777777" w:rsidR="00881F76" w:rsidRPr="00123905" w:rsidRDefault="00881F76" w:rsidP="00881F76">
      <w:pPr>
        <w:pStyle w:val="ppoListHyphened-L1"/>
        <w:numPr>
          <w:ilvl w:val="0"/>
          <w:numId w:val="0"/>
        </w:numPr>
        <w:spacing w:before="360"/>
        <w:rPr>
          <w:noProof/>
          <w:lang w:val="en-IE"/>
        </w:rPr>
      </w:pPr>
    </w:p>
    <w:p w14:paraId="06E6AC7E" w14:textId="77777777" w:rsidR="00881F76" w:rsidRPr="00123905" w:rsidRDefault="00881F76" w:rsidP="00881F76">
      <w:pPr>
        <w:pStyle w:val="ppoListHyphened-L1"/>
        <w:rPr>
          <w:noProof/>
          <w:lang w:val="en-IE"/>
        </w:rPr>
      </w:pPr>
      <w:r w:rsidRPr="00123905">
        <w:rPr>
          <w:noProof/>
          <w:lang w:val="en-IE"/>
        </w:rPr>
        <w:t>Russia’s invasion of Ukraine on 24</w:t>
      </w:r>
      <w:r w:rsidRPr="00123905">
        <w:rPr>
          <w:rFonts w:ascii="Calibri" w:hAnsi="Calibri" w:cs="Calibri"/>
          <w:noProof/>
          <w:lang w:val="en-IE"/>
        </w:rPr>
        <w:t> </w:t>
      </w:r>
      <w:r w:rsidRPr="00123905">
        <w:rPr>
          <w:noProof/>
          <w:lang w:val="en-IE"/>
        </w:rPr>
        <w:t>February 2022 led to a mass influx of displaced persons from Ukraine to several Member States. This places renewed pressure on the financial resources of Member States to deal with urgent migration management needs. While the increased migratory pressure, including reception and asylum processing procedures, is already being felt acutely in the Member States that share a land border with Ukraine, the needs are spreading further afield throughout the whole territory of the EU and will persist beyond 2022.</w:t>
      </w:r>
    </w:p>
    <w:p w14:paraId="5A741E49" w14:textId="77777777" w:rsidR="00881F76" w:rsidRPr="00123905" w:rsidRDefault="00881F76" w:rsidP="00881F76">
      <w:pPr>
        <w:pStyle w:val="ppoListHyphened-L1"/>
        <w:rPr>
          <w:noProof/>
          <w:lang w:val="en-IE"/>
        </w:rPr>
      </w:pPr>
      <w:bookmarkStart w:id="200" w:name="_Hlk101967357"/>
      <w:r w:rsidRPr="00D95AA5">
        <w:rPr>
          <w:noProof/>
        </w:rPr>
        <w:t>T</w:t>
      </w:r>
      <w:r w:rsidRPr="00D95AA5">
        <w:rPr>
          <w:noProof/>
          <w:lang w:eastAsia="en-IE"/>
        </w:rPr>
        <w:t>he Commission’s</w:t>
      </w:r>
      <w:r w:rsidRPr="00123905">
        <w:rPr>
          <w:noProof/>
          <w:lang w:val="en-IE" w:eastAsia="en-IE"/>
        </w:rPr>
        <w:t xml:space="preserve"> proposal to increase flexibility in the use of 2014-2020 Home Affair</w:t>
      </w:r>
      <w:r>
        <w:rPr>
          <w:noProof/>
          <w:lang w:val="en-IE" w:eastAsia="en-IE"/>
        </w:rPr>
        <w:t>s</w:t>
      </w:r>
      <w:r w:rsidRPr="00123905">
        <w:rPr>
          <w:noProof/>
          <w:lang w:val="en-IE" w:eastAsia="en-IE"/>
        </w:rPr>
        <w:t xml:space="preserve"> funds and examined available amounts in the Emergency Assistance and Thematic Facility was adopted in April 2022. </w:t>
      </w:r>
      <w:r w:rsidRPr="000F253B">
        <w:rPr>
          <w:noProof/>
          <w:lang w:val="en-IE" w:eastAsia="en-IE"/>
        </w:rPr>
        <w:t xml:space="preserve">The Commission is also exploring how to </w:t>
      </w:r>
      <w:r>
        <w:rPr>
          <w:noProof/>
          <w:lang w:val="en-IE" w:eastAsia="en-IE"/>
        </w:rPr>
        <w:t xml:space="preserve">make </w:t>
      </w:r>
      <w:r w:rsidRPr="000F253B">
        <w:rPr>
          <w:noProof/>
          <w:lang w:val="en-IE" w:eastAsia="en-IE"/>
        </w:rPr>
        <w:t xml:space="preserve">further use </w:t>
      </w:r>
      <w:r>
        <w:rPr>
          <w:noProof/>
          <w:lang w:val="en-IE" w:eastAsia="en-IE"/>
        </w:rPr>
        <w:t xml:space="preserve">of </w:t>
      </w:r>
      <w:r w:rsidRPr="000F253B">
        <w:rPr>
          <w:noProof/>
          <w:lang w:val="en-IE" w:eastAsia="en-IE"/>
        </w:rPr>
        <w:t>the available amounts in the facility.</w:t>
      </w:r>
      <w:r>
        <w:rPr>
          <w:noProof/>
          <w:color w:val="FF6699"/>
          <w:lang w:eastAsia="en-IE"/>
        </w:rPr>
        <w:t xml:space="preserve"> </w:t>
      </w:r>
      <w:r w:rsidRPr="00123905">
        <w:rPr>
          <w:noProof/>
          <w:lang w:val="en-IE" w:eastAsia="en-IE"/>
        </w:rPr>
        <w:t xml:space="preserve">However, the Ukraine crisis has no impact on the proposed total envelope of the BMVI in 2023. </w:t>
      </w:r>
    </w:p>
    <w:bookmarkEnd w:id="200"/>
    <w:p w14:paraId="33BABF6C" w14:textId="77777777" w:rsidR="00881F76" w:rsidRPr="00123905" w:rsidRDefault="00881F76" w:rsidP="00881F76">
      <w:pPr>
        <w:pStyle w:val="ppoListHyphened-L1"/>
        <w:rPr>
          <w:noProof/>
          <w:lang w:val="en-IE"/>
        </w:rPr>
      </w:pPr>
      <w:r w:rsidRPr="00123905">
        <w:rPr>
          <w:noProof/>
          <w:lang w:val="en-IE" w:eastAsia="en-IE"/>
        </w:rPr>
        <w:t xml:space="preserve">In </w:t>
      </w:r>
      <w:r w:rsidRPr="00123905">
        <w:rPr>
          <w:noProof/>
          <w:lang w:val="en-IE"/>
        </w:rPr>
        <w:t>2021, an amount of EUR</w:t>
      </w:r>
      <w:r w:rsidRPr="00123905">
        <w:rPr>
          <w:rFonts w:ascii="Calibri" w:hAnsi="Calibri" w:cs="Calibri"/>
          <w:noProof/>
          <w:lang w:val="en-IE"/>
        </w:rPr>
        <w:t> </w:t>
      </w:r>
      <w:r w:rsidRPr="00123905">
        <w:rPr>
          <w:noProof/>
          <w:lang w:val="en-IE"/>
        </w:rPr>
        <w:t>155.4</w:t>
      </w:r>
      <w:r w:rsidRPr="00123905">
        <w:rPr>
          <w:rFonts w:ascii="Calibri" w:hAnsi="Calibri" w:cs="Calibri"/>
          <w:noProof/>
          <w:lang w:val="en-IE"/>
        </w:rPr>
        <w:t> </w:t>
      </w:r>
      <w:r w:rsidRPr="00123905">
        <w:rPr>
          <w:noProof/>
          <w:lang w:val="en-IE"/>
        </w:rPr>
        <w:t>million was implemented in commitments under BMVI, of which EUR</w:t>
      </w:r>
      <w:r w:rsidRPr="00123905">
        <w:rPr>
          <w:rFonts w:ascii="Calibri" w:hAnsi="Calibri" w:cs="Calibri"/>
          <w:noProof/>
          <w:lang w:val="en-IE"/>
        </w:rPr>
        <w:t> </w:t>
      </w:r>
      <w:r w:rsidRPr="00123905">
        <w:rPr>
          <w:noProof/>
          <w:lang w:val="en-IE"/>
        </w:rPr>
        <w:t>154.1</w:t>
      </w:r>
      <w:r w:rsidRPr="00123905">
        <w:rPr>
          <w:rFonts w:ascii="Calibri" w:hAnsi="Calibri" w:cs="Calibri"/>
          <w:noProof/>
          <w:lang w:val="en-IE"/>
        </w:rPr>
        <w:t> </w:t>
      </w:r>
      <w:r w:rsidRPr="00123905">
        <w:rPr>
          <w:noProof/>
          <w:lang w:val="en-IE"/>
        </w:rPr>
        <w:t>million for the first thematic facility under BMVI and EUR</w:t>
      </w:r>
      <w:r w:rsidRPr="00123905">
        <w:rPr>
          <w:rFonts w:ascii="Calibri" w:hAnsi="Calibri" w:cs="Calibri"/>
          <w:noProof/>
          <w:lang w:val="en-IE"/>
        </w:rPr>
        <w:t> </w:t>
      </w:r>
      <w:r w:rsidRPr="00123905">
        <w:rPr>
          <w:noProof/>
          <w:lang w:val="en-IE"/>
        </w:rPr>
        <w:t>1.3</w:t>
      </w:r>
      <w:r w:rsidRPr="00123905">
        <w:rPr>
          <w:rFonts w:ascii="Calibri" w:hAnsi="Calibri" w:cs="Calibri"/>
          <w:noProof/>
          <w:lang w:val="en-IE"/>
        </w:rPr>
        <w:t> </w:t>
      </w:r>
      <w:r w:rsidRPr="00123905">
        <w:rPr>
          <w:noProof/>
          <w:lang w:val="en-IE"/>
        </w:rPr>
        <w:t xml:space="preserve">million for the support expenditure. For </w:t>
      </w:r>
      <w:r w:rsidRPr="00123905">
        <w:rPr>
          <w:rFonts w:cs="EC Square Sans Cond Pro"/>
          <w:noProof/>
          <w:color w:val="000000"/>
          <w:szCs w:val="18"/>
          <w:lang w:val="en-IE"/>
        </w:rPr>
        <w:t>CCEI, there were no commitments or payments granted in 2021.</w:t>
      </w:r>
    </w:p>
    <w:p w14:paraId="1E4E511A" w14:textId="79BCDCE2" w:rsidR="00881F76" w:rsidRPr="00123905" w:rsidRDefault="00881F76" w:rsidP="00881F76">
      <w:pPr>
        <w:pStyle w:val="ppoListHyphened-L1"/>
        <w:rPr>
          <w:noProof/>
          <w:lang w:val="en-IE" w:eastAsia="en-IE"/>
        </w:rPr>
      </w:pPr>
      <w:r w:rsidRPr="00123905">
        <w:rPr>
          <w:noProof/>
          <w:lang w:val="en-IE" w:eastAsia="en-IE"/>
        </w:rPr>
        <w:t>For the BMVI, due to the delays in the adoption of the legal basis for 2021-2027 and the time needed for the programming procedure in shared management, national programmes may only begin to be formally approved in the second quarter of 2022.</w:t>
      </w:r>
      <w:r w:rsidRPr="00123905">
        <w:rPr>
          <w:rFonts w:ascii="Calibri" w:hAnsi="Calibri" w:cs="Calibri"/>
          <w:noProof/>
          <w:lang w:val="en-IE" w:eastAsia="en-IE"/>
        </w:rPr>
        <w:t xml:space="preserve"> </w:t>
      </w:r>
      <w:r w:rsidRPr="00123905">
        <w:rPr>
          <w:noProof/>
          <w:color w:val="000000"/>
          <w:lang w:val="en-IE"/>
        </w:rPr>
        <w:t xml:space="preserve">The Commission also prepared a 2021-2022 work programme for the thematic facility to ensure the programming of funding for indirect/direct and shared management, on top of the basic allocations for the national programmes. The </w:t>
      </w:r>
      <w:r>
        <w:rPr>
          <w:noProof/>
          <w:color w:val="000000"/>
          <w:lang w:val="en-IE"/>
        </w:rPr>
        <w:t>E</w:t>
      </w:r>
      <w:r w:rsidRPr="00123905">
        <w:rPr>
          <w:noProof/>
          <w:color w:val="000000"/>
          <w:lang w:val="en-IE"/>
        </w:rPr>
        <w:t>U actions have become a part of the thematic facility covered by the 2021-2022 work programme. In view of the delayed adoption of the legal basis, implementation of most of the actions began in early 2022 and will continue throughout 2023.</w:t>
      </w:r>
    </w:p>
    <w:p w14:paraId="3D8A1522" w14:textId="77777777" w:rsidR="00881F76" w:rsidRPr="00123905" w:rsidRDefault="00881F76" w:rsidP="00881F76">
      <w:pPr>
        <w:pStyle w:val="ppoTableTabletitle"/>
        <w:rPr>
          <w:noProof/>
          <w:lang w:val="en-IE"/>
        </w:rPr>
      </w:pPr>
      <w:r w:rsidRPr="00123905">
        <w:rPr>
          <w:noProof/>
          <w:lang w:val="en-IE"/>
        </w:rPr>
        <w:t>EU budget contribution in 2021 (million EUR):</w:t>
      </w:r>
    </w:p>
    <w:tbl>
      <w:tblPr>
        <w:tblStyle w:val="PPO2021"/>
        <w:tblW w:w="9639" w:type="dxa"/>
        <w:tblInd w:w="0" w:type="dxa"/>
        <w:tblLook w:val="0420" w:firstRow="1" w:lastRow="0" w:firstColumn="0" w:lastColumn="0" w:noHBand="0" w:noVBand="1"/>
      </w:tblPr>
      <w:tblGrid>
        <w:gridCol w:w="3213"/>
        <w:gridCol w:w="3213"/>
        <w:gridCol w:w="3213"/>
      </w:tblGrid>
      <w:tr w:rsidR="00881F76" w:rsidRPr="00123905" w14:paraId="7B6FE046" w14:textId="77777777" w:rsidTr="0083214A">
        <w:trPr>
          <w:cnfStyle w:val="100000000000" w:firstRow="1" w:lastRow="0" w:firstColumn="0" w:lastColumn="0" w:oddVBand="0" w:evenVBand="0" w:oddHBand="0" w:evenHBand="0" w:firstRowFirstColumn="0" w:firstRowLastColumn="0" w:lastRowFirstColumn="0" w:lastRowLastColumn="0"/>
          <w:tblHeader/>
        </w:trPr>
        <w:tc>
          <w:tcPr>
            <w:tcW w:w="3213" w:type="dxa"/>
          </w:tcPr>
          <w:p w14:paraId="75598626" w14:textId="77777777" w:rsidR="00881F76" w:rsidRPr="00123905" w:rsidRDefault="00881F76" w:rsidP="0083214A">
            <w:pPr>
              <w:rPr>
                <w:noProof/>
                <w:lang w:val="en-IE"/>
              </w:rPr>
            </w:pPr>
            <w:r w:rsidRPr="00123905">
              <w:rPr>
                <w:noProof/>
                <w:lang w:val="en-IE"/>
              </w:rPr>
              <w:t>Climate</w:t>
            </w:r>
          </w:p>
        </w:tc>
        <w:tc>
          <w:tcPr>
            <w:tcW w:w="3213" w:type="dxa"/>
          </w:tcPr>
          <w:p w14:paraId="067C66FB" w14:textId="77777777" w:rsidR="00881F76" w:rsidRPr="00123905" w:rsidRDefault="00881F76" w:rsidP="0083214A">
            <w:pPr>
              <w:rPr>
                <w:noProof/>
                <w:lang w:val="en-IE"/>
              </w:rPr>
            </w:pPr>
            <w:r w:rsidRPr="00123905">
              <w:rPr>
                <w:noProof/>
                <w:lang w:val="en-IE"/>
              </w:rPr>
              <w:t>Biodiversity</w:t>
            </w:r>
          </w:p>
        </w:tc>
        <w:tc>
          <w:tcPr>
            <w:tcW w:w="3213" w:type="dxa"/>
          </w:tcPr>
          <w:p w14:paraId="6D87525E" w14:textId="77777777" w:rsidR="00881F76" w:rsidRPr="00123905" w:rsidRDefault="00881F76" w:rsidP="0083214A">
            <w:pPr>
              <w:rPr>
                <w:noProof/>
                <w:lang w:val="en-IE"/>
              </w:rPr>
            </w:pPr>
            <w:r w:rsidRPr="00123905">
              <w:rPr>
                <w:noProof/>
                <w:lang w:val="en-IE"/>
              </w:rPr>
              <w:t>Gender equality</w:t>
            </w:r>
            <w:r w:rsidRPr="00123905">
              <w:rPr>
                <w:rFonts w:ascii="Calibri" w:hAnsi="Calibri" w:cs="Calibri"/>
                <w:noProof/>
                <w:lang w:val="en-IE"/>
              </w:rPr>
              <w:t> </w:t>
            </w:r>
            <w:r w:rsidRPr="00123905">
              <w:rPr>
                <w:noProof/>
                <w:lang w:val="en-IE"/>
              </w:rPr>
              <w:t>(*)</w:t>
            </w:r>
          </w:p>
        </w:tc>
      </w:tr>
      <w:tr w:rsidR="00881F76" w:rsidRPr="00123905" w14:paraId="0323AE11" w14:textId="77777777" w:rsidTr="0083214A">
        <w:trPr>
          <w:cnfStyle w:val="000000100000" w:firstRow="0" w:lastRow="0" w:firstColumn="0" w:lastColumn="0" w:oddVBand="0" w:evenVBand="0" w:oddHBand="1" w:evenHBand="0" w:firstRowFirstColumn="0" w:firstRowLastColumn="0" w:lastRowFirstColumn="0" w:lastRowLastColumn="0"/>
        </w:trPr>
        <w:tc>
          <w:tcPr>
            <w:tcW w:w="3213" w:type="dxa"/>
          </w:tcPr>
          <w:tbl>
            <w:tblPr>
              <w:tblStyle w:val="TableGrid"/>
              <w:tblW w:w="0" w:type="auto"/>
              <w:tblLook w:val="06A0" w:firstRow="1" w:lastRow="0" w:firstColumn="1" w:lastColumn="0" w:noHBand="1" w:noVBand="1"/>
            </w:tblPr>
            <w:tblGrid>
              <w:gridCol w:w="1935"/>
            </w:tblGrid>
            <w:tr w:rsidR="00881F76" w:rsidRPr="00DB613D" w14:paraId="10337B77" w14:textId="77777777" w:rsidTr="0083214A">
              <w:trPr>
                <w:trHeight w:val="285"/>
              </w:trPr>
              <w:tc>
                <w:tcPr>
                  <w:tcW w:w="1935" w:type="dxa"/>
                  <w:tcBorders>
                    <w:top w:val="nil"/>
                    <w:left w:val="nil"/>
                    <w:bottom w:val="nil"/>
                    <w:right w:val="nil"/>
                  </w:tcBorders>
                  <w:vAlign w:val="bottom"/>
                </w:tcPr>
                <w:p w14:paraId="0DFBCEA6" w14:textId="605475B3" w:rsidR="00881F76" w:rsidRPr="00DB613D" w:rsidRDefault="00881F76" w:rsidP="00DB613D">
                  <w:pPr>
                    <w:spacing w:before="100"/>
                    <w:jc w:val="center"/>
                    <w:rPr>
                      <w:rFonts w:ascii="Calibri" w:hAnsi="Calibri" w:cs="Calibri"/>
                      <w:noProof/>
                      <w:color w:val="000000"/>
                      <w:lang w:val="en-IE"/>
                    </w:rPr>
                  </w:pPr>
                  <w:r w:rsidRPr="00DB613D">
                    <w:rPr>
                      <w:rFonts w:ascii="Calibri" w:hAnsi="Calibri" w:cs="Calibri"/>
                      <w:noProof/>
                      <w:color w:val="000000"/>
                      <w:lang w:val="en-IE"/>
                    </w:rPr>
                    <w:t>0</w:t>
                  </w:r>
                  <w:r w:rsidR="001956B8">
                    <w:rPr>
                      <w:rFonts w:ascii="Calibri" w:hAnsi="Calibri" w:cs="Calibri"/>
                      <w:noProof/>
                      <w:color w:val="000000"/>
                      <w:lang w:val="en-IE"/>
                    </w:rPr>
                    <w:t>.05</w:t>
                  </w:r>
                </w:p>
              </w:tc>
            </w:tr>
          </w:tbl>
          <w:p w14:paraId="221450CF" w14:textId="77777777" w:rsidR="00881F76" w:rsidRPr="00DB613D" w:rsidRDefault="00881F76" w:rsidP="00DB613D">
            <w:pPr>
              <w:jc w:val="center"/>
              <w:rPr>
                <w:rFonts w:ascii="Calibri" w:eastAsia="Calibri" w:hAnsi="Calibri" w:cs="Calibri"/>
                <w:noProof/>
                <w:color w:val="000000"/>
                <w:sz w:val="20"/>
                <w:szCs w:val="20"/>
                <w:lang w:val="en-IE" w:eastAsia="zh-CN"/>
              </w:rPr>
            </w:pPr>
          </w:p>
        </w:tc>
        <w:tc>
          <w:tcPr>
            <w:tcW w:w="3213" w:type="dxa"/>
          </w:tcPr>
          <w:p w14:paraId="006CE11B" w14:textId="77777777" w:rsidR="00881F76" w:rsidRPr="00DB613D" w:rsidRDefault="00881F76" w:rsidP="00DB613D">
            <w:pPr>
              <w:jc w:val="center"/>
              <w:rPr>
                <w:rFonts w:ascii="Calibri" w:eastAsia="Calibri" w:hAnsi="Calibri" w:cs="Calibri"/>
                <w:noProof/>
                <w:color w:val="000000"/>
                <w:sz w:val="20"/>
                <w:szCs w:val="20"/>
                <w:lang w:val="en-IE" w:eastAsia="zh-CN"/>
              </w:rPr>
            </w:pPr>
            <w:r w:rsidRPr="00DB613D">
              <w:rPr>
                <w:rFonts w:ascii="Calibri" w:eastAsia="Calibri" w:hAnsi="Calibri" w:cs="Calibri"/>
                <w:noProof/>
                <w:color w:val="000000"/>
                <w:sz w:val="20"/>
                <w:szCs w:val="20"/>
                <w:lang w:val="en-IE" w:eastAsia="zh-CN"/>
              </w:rPr>
              <w:t>0</w:t>
            </w:r>
          </w:p>
        </w:tc>
        <w:tc>
          <w:tcPr>
            <w:tcW w:w="3213" w:type="dxa"/>
          </w:tcPr>
          <w:p w14:paraId="36B0AE30" w14:textId="5D72B10D" w:rsidR="00881F76" w:rsidRDefault="00881F76" w:rsidP="00DB613D">
            <w:pPr>
              <w:jc w:val="center"/>
              <w:rPr>
                <w:rFonts w:ascii="Calibri" w:eastAsia="Calibri" w:hAnsi="Calibri" w:cs="Calibri"/>
                <w:noProof/>
                <w:color w:val="000000"/>
                <w:sz w:val="20"/>
                <w:szCs w:val="20"/>
                <w:lang w:val="en-IE" w:eastAsia="zh-CN"/>
              </w:rPr>
            </w:pPr>
            <w:r w:rsidRPr="00DB613D">
              <w:rPr>
                <w:rFonts w:ascii="Calibri" w:eastAsia="Calibri" w:hAnsi="Calibri" w:cs="Calibri"/>
                <w:noProof/>
                <w:color w:val="000000"/>
                <w:sz w:val="20"/>
                <w:szCs w:val="20"/>
                <w:lang w:val="en-IE" w:eastAsia="zh-CN"/>
              </w:rPr>
              <w:t>Score 0*: 3</w:t>
            </w:r>
          </w:p>
          <w:p w14:paraId="6C047C5B" w14:textId="0D575F60" w:rsidR="00BA1CB5" w:rsidRPr="00DB613D" w:rsidRDefault="00BA1CB5" w:rsidP="00DB613D">
            <w:pPr>
              <w:jc w:val="center"/>
              <w:rPr>
                <w:rFonts w:ascii="Calibri" w:eastAsia="Calibri" w:hAnsi="Calibri" w:cs="Calibri"/>
                <w:noProof/>
                <w:color w:val="000000"/>
                <w:sz w:val="20"/>
                <w:szCs w:val="20"/>
                <w:lang w:val="en-IE" w:eastAsia="zh-CN"/>
              </w:rPr>
            </w:pPr>
            <w:r>
              <w:rPr>
                <w:rFonts w:ascii="Calibri" w:eastAsia="Calibri" w:hAnsi="Calibri" w:cs="Calibri"/>
                <w:noProof/>
                <w:color w:val="000000"/>
                <w:sz w:val="20"/>
                <w:szCs w:val="20"/>
                <w:lang w:val="en-IE" w:eastAsia="zh-CN"/>
              </w:rPr>
              <w:t>Score 0: 285.3</w:t>
            </w:r>
          </w:p>
        </w:tc>
      </w:tr>
    </w:tbl>
    <w:p w14:paraId="0AD97CB3" w14:textId="77777777" w:rsidR="00881F76" w:rsidRPr="00123905" w:rsidRDefault="00881F76" w:rsidP="00881F76">
      <w:pPr>
        <w:pStyle w:val="FootnoteText"/>
        <w:rPr>
          <w:noProof/>
          <w:lang w:val="en-IE"/>
        </w:rPr>
      </w:pPr>
      <w:r w:rsidRPr="00123905">
        <w:rPr>
          <w:noProof/>
          <w:lang w:val="en-IE"/>
        </w:rPr>
        <w:t xml:space="preserve">(*) Based on the applied gender contribution methodology, the following scores are attributed at the most granular level of intervention possible: </w:t>
      </w:r>
    </w:p>
    <w:p w14:paraId="54918D2F" w14:textId="77777777" w:rsidR="00881F76" w:rsidRPr="00123905" w:rsidRDefault="00881F76" w:rsidP="00881F76">
      <w:pPr>
        <w:pStyle w:val="FootnoteText"/>
        <w:numPr>
          <w:ilvl w:val="0"/>
          <w:numId w:val="38"/>
        </w:numPr>
        <w:spacing w:after="60" w:line="264" w:lineRule="auto"/>
        <w:jc w:val="left"/>
        <w:rPr>
          <w:noProof/>
          <w:lang w:val="en-IE"/>
        </w:rPr>
      </w:pPr>
      <w:r w:rsidRPr="00123905">
        <w:rPr>
          <w:noProof/>
          <w:lang w:val="en-IE"/>
        </w:rPr>
        <w:t>2: interventions the principal objective of which is to improve gender equality;</w:t>
      </w:r>
    </w:p>
    <w:p w14:paraId="6EE230B5" w14:textId="77777777" w:rsidR="00881F76" w:rsidRPr="00123905" w:rsidRDefault="00881F76" w:rsidP="00881F76">
      <w:pPr>
        <w:pStyle w:val="FootnoteText"/>
        <w:numPr>
          <w:ilvl w:val="0"/>
          <w:numId w:val="38"/>
        </w:numPr>
        <w:spacing w:after="60" w:line="264" w:lineRule="auto"/>
        <w:jc w:val="left"/>
        <w:rPr>
          <w:noProof/>
          <w:lang w:val="en-IE"/>
        </w:rPr>
      </w:pPr>
      <w:r w:rsidRPr="00123905">
        <w:rPr>
          <w:noProof/>
          <w:lang w:val="en-IE"/>
        </w:rPr>
        <w:t>1: interventions that have gender equality as an important and deliberate objective but not as the main reason for the intervention;</w:t>
      </w:r>
    </w:p>
    <w:p w14:paraId="76738F34" w14:textId="77777777" w:rsidR="00881F76" w:rsidRPr="00123905" w:rsidRDefault="00881F76" w:rsidP="00881F76">
      <w:pPr>
        <w:pStyle w:val="FootnoteText"/>
        <w:numPr>
          <w:ilvl w:val="0"/>
          <w:numId w:val="38"/>
        </w:numPr>
        <w:spacing w:after="60" w:line="264" w:lineRule="auto"/>
        <w:jc w:val="left"/>
        <w:rPr>
          <w:noProof/>
          <w:lang w:val="en-IE"/>
        </w:rPr>
      </w:pPr>
      <w:r w:rsidRPr="00123905">
        <w:rPr>
          <w:noProof/>
          <w:lang w:val="en-IE"/>
        </w:rPr>
        <w:t xml:space="preserve">0: non-targeted interventions; </w:t>
      </w:r>
    </w:p>
    <w:p w14:paraId="4A49BD0B" w14:textId="77777777" w:rsidR="00881F76" w:rsidRPr="00123905" w:rsidRDefault="00881F76" w:rsidP="00881F76">
      <w:pPr>
        <w:pStyle w:val="FootnoteText"/>
        <w:numPr>
          <w:ilvl w:val="0"/>
          <w:numId w:val="38"/>
        </w:numPr>
        <w:spacing w:after="60" w:line="264" w:lineRule="auto"/>
        <w:jc w:val="left"/>
        <w:rPr>
          <w:noProof/>
          <w:lang w:val="en-IE"/>
        </w:rPr>
      </w:pPr>
      <w:r w:rsidRPr="00123905">
        <w:rPr>
          <w:noProof/>
          <w:lang w:val="en-IE"/>
        </w:rPr>
        <w:t>0*: score to be assigned to interventions with a likely but not yet clear positive impact on gender equality.</w:t>
      </w:r>
    </w:p>
    <w:p w14:paraId="09E63248" w14:textId="77777777" w:rsidR="00881F76" w:rsidRPr="00123905" w:rsidRDefault="00881F76" w:rsidP="00881F76">
      <w:pPr>
        <w:pStyle w:val="ppoHeading5"/>
        <w:rPr>
          <w:noProof/>
          <w:lang w:val="en-IE"/>
        </w:rPr>
      </w:pPr>
      <w:r w:rsidRPr="00123905">
        <w:rPr>
          <w:noProof/>
          <w:lang w:val="en-IE"/>
        </w:rPr>
        <w:t>Performance assessment</w:t>
      </w:r>
    </w:p>
    <w:p w14:paraId="5F239B1E" w14:textId="77777777" w:rsidR="00881F76" w:rsidRPr="00123905" w:rsidRDefault="00881F76" w:rsidP="00881F76">
      <w:pPr>
        <w:pStyle w:val="ppoHeading6"/>
        <w:rPr>
          <w:noProof/>
          <w:lang w:val="en-IE"/>
        </w:rPr>
      </w:pPr>
      <w:r w:rsidRPr="00123905">
        <w:rPr>
          <w:noProof/>
          <w:lang w:val="en-IE"/>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881F76" w:rsidRPr="00123905" w14:paraId="019FCC47" w14:textId="77777777" w:rsidTr="0083214A">
        <w:trPr>
          <w:cnfStyle w:val="100000000000" w:firstRow="1" w:lastRow="0" w:firstColumn="0" w:lastColumn="0" w:oddVBand="0" w:evenVBand="0" w:oddHBand="0" w:evenHBand="0" w:firstRowFirstColumn="0" w:firstRowLastColumn="0" w:lastRowFirstColumn="0" w:lastRowLastColumn="0"/>
        </w:trPr>
        <w:tc>
          <w:tcPr>
            <w:tcW w:w="2330" w:type="dxa"/>
          </w:tcPr>
          <w:p w14:paraId="7402B91E" w14:textId="77777777" w:rsidR="00881F76" w:rsidRPr="00123905" w:rsidRDefault="00881F76" w:rsidP="0083214A">
            <w:pPr>
              <w:rPr>
                <w:noProof/>
                <w:lang w:val="en-IE"/>
              </w:rPr>
            </w:pPr>
          </w:p>
        </w:tc>
        <w:tc>
          <w:tcPr>
            <w:tcW w:w="1100" w:type="dxa"/>
          </w:tcPr>
          <w:p w14:paraId="2784B155" w14:textId="77777777" w:rsidR="00881F76" w:rsidRPr="00123905" w:rsidRDefault="00881F76" w:rsidP="0083214A">
            <w:pPr>
              <w:rPr>
                <w:noProof/>
                <w:lang w:val="en-IE"/>
              </w:rPr>
            </w:pPr>
            <w:r w:rsidRPr="00123905">
              <w:rPr>
                <w:noProof/>
                <w:lang w:val="en-IE"/>
              </w:rPr>
              <w:t>Baseline</w:t>
            </w:r>
          </w:p>
        </w:tc>
        <w:tc>
          <w:tcPr>
            <w:tcW w:w="1526" w:type="dxa"/>
          </w:tcPr>
          <w:p w14:paraId="2893C00E" w14:textId="77777777" w:rsidR="00881F76" w:rsidRPr="00123905" w:rsidRDefault="00881F76" w:rsidP="0083214A">
            <w:pPr>
              <w:rPr>
                <w:noProof/>
                <w:lang w:val="en-IE"/>
              </w:rPr>
            </w:pPr>
            <w:r w:rsidRPr="00123905">
              <w:rPr>
                <w:noProof/>
                <w:lang w:val="en-IE"/>
              </w:rPr>
              <w:t>Progress</w:t>
            </w:r>
            <w:r w:rsidRPr="00123905">
              <w:rPr>
                <w:rFonts w:ascii="Calibri" w:hAnsi="Calibri" w:cs="Calibri"/>
                <w:noProof/>
                <w:lang w:val="en-IE"/>
              </w:rPr>
              <w:t> </w:t>
            </w:r>
            <w:r w:rsidRPr="00123905">
              <w:rPr>
                <w:noProof/>
                <w:lang w:val="en-IE"/>
              </w:rPr>
              <w:t>(*)</w:t>
            </w:r>
          </w:p>
        </w:tc>
        <w:tc>
          <w:tcPr>
            <w:tcW w:w="1532" w:type="dxa"/>
          </w:tcPr>
          <w:p w14:paraId="473B9913" w14:textId="77777777" w:rsidR="00881F76" w:rsidRPr="00123905" w:rsidRDefault="00881F76" w:rsidP="0083214A">
            <w:pPr>
              <w:rPr>
                <w:noProof/>
                <w:lang w:val="en-IE"/>
              </w:rPr>
            </w:pPr>
            <w:r w:rsidRPr="00123905">
              <w:rPr>
                <w:noProof/>
                <w:lang w:val="en-IE"/>
              </w:rPr>
              <w:t>Target</w:t>
            </w:r>
          </w:p>
        </w:tc>
        <w:tc>
          <w:tcPr>
            <w:tcW w:w="1572" w:type="dxa"/>
          </w:tcPr>
          <w:p w14:paraId="546C4C63" w14:textId="77777777" w:rsidR="00881F76" w:rsidRPr="00123905" w:rsidRDefault="00881F76" w:rsidP="0083214A">
            <w:pPr>
              <w:rPr>
                <w:noProof/>
                <w:lang w:val="en-IE"/>
              </w:rPr>
            </w:pPr>
            <w:r w:rsidRPr="00123905">
              <w:rPr>
                <w:noProof/>
                <w:lang w:val="en-IE"/>
              </w:rPr>
              <w:t>Results</w:t>
            </w:r>
          </w:p>
        </w:tc>
        <w:tc>
          <w:tcPr>
            <w:tcW w:w="1579" w:type="dxa"/>
          </w:tcPr>
          <w:p w14:paraId="59BB4DAD" w14:textId="77777777" w:rsidR="00881F76" w:rsidRPr="00123905" w:rsidRDefault="00881F76" w:rsidP="0083214A">
            <w:pPr>
              <w:rPr>
                <w:noProof/>
                <w:lang w:val="en-IE"/>
              </w:rPr>
            </w:pPr>
            <w:r w:rsidRPr="00123905">
              <w:rPr>
                <w:noProof/>
                <w:lang w:val="en-IE"/>
              </w:rPr>
              <w:t>Assessment</w:t>
            </w:r>
          </w:p>
        </w:tc>
      </w:tr>
      <w:tr w:rsidR="00881F76" w:rsidRPr="00123905" w14:paraId="089C6962"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6A6C7EE1" w14:textId="5160D598" w:rsidR="00881F76" w:rsidRPr="00123905" w:rsidRDefault="00881F76" w:rsidP="0083214A">
            <w:pPr>
              <w:rPr>
                <w:noProof/>
                <w:lang w:val="en-IE"/>
              </w:rPr>
            </w:pPr>
            <w:r w:rsidRPr="00123905">
              <w:rPr>
                <w:noProof/>
                <w:lang w:val="en-IE"/>
              </w:rPr>
              <w:t>Number of items of equipment registered in the technical equipment pool of the European Border and Coast Guard Agency</w:t>
            </w:r>
          </w:p>
        </w:tc>
        <w:tc>
          <w:tcPr>
            <w:tcW w:w="1100" w:type="dxa"/>
          </w:tcPr>
          <w:p w14:paraId="5F4C7BB1" w14:textId="3607BA89" w:rsidR="00881F76" w:rsidRPr="00123905" w:rsidRDefault="00881F76" w:rsidP="0083214A">
            <w:pPr>
              <w:jc w:val="center"/>
              <w:rPr>
                <w:noProof/>
                <w:lang w:val="en-IE"/>
              </w:rPr>
            </w:pPr>
            <w:r w:rsidRPr="00123905">
              <w:rPr>
                <w:noProof/>
                <w:lang w:val="en-IE"/>
              </w:rPr>
              <w:t>0</w:t>
            </w:r>
          </w:p>
        </w:tc>
        <w:tc>
          <w:tcPr>
            <w:tcW w:w="1526" w:type="dxa"/>
          </w:tcPr>
          <w:p w14:paraId="14322792" w14:textId="77777777" w:rsidR="00881F76" w:rsidRPr="00123905" w:rsidRDefault="00881F76" w:rsidP="0083214A">
            <w:pPr>
              <w:jc w:val="center"/>
              <w:rPr>
                <w:b/>
                <w:noProof/>
                <w:lang w:val="en-IE"/>
              </w:rPr>
            </w:pPr>
          </w:p>
        </w:tc>
        <w:tc>
          <w:tcPr>
            <w:tcW w:w="1532" w:type="dxa"/>
          </w:tcPr>
          <w:p w14:paraId="6324BF97" w14:textId="77777777" w:rsidR="00881F76" w:rsidRPr="00123905" w:rsidRDefault="00881F76" w:rsidP="0083214A">
            <w:pPr>
              <w:jc w:val="center"/>
              <w:rPr>
                <w:noProof/>
                <w:lang w:val="en-IE"/>
              </w:rPr>
            </w:pPr>
          </w:p>
        </w:tc>
        <w:tc>
          <w:tcPr>
            <w:tcW w:w="1572" w:type="dxa"/>
          </w:tcPr>
          <w:p w14:paraId="13D6DC80" w14:textId="77777777" w:rsidR="00881F76" w:rsidRPr="00123905" w:rsidRDefault="00881F76" w:rsidP="0083214A">
            <w:pPr>
              <w:jc w:val="center"/>
              <w:rPr>
                <w:noProof/>
                <w:lang w:val="en-IE"/>
              </w:rPr>
            </w:pPr>
            <w:r w:rsidRPr="00123905">
              <w:rPr>
                <w:noProof/>
                <w:lang w:val="en-IE"/>
              </w:rPr>
              <w:t>No results</w:t>
            </w:r>
          </w:p>
        </w:tc>
        <w:tc>
          <w:tcPr>
            <w:tcW w:w="1579" w:type="dxa"/>
          </w:tcPr>
          <w:p w14:paraId="34D5C968" w14:textId="77777777" w:rsidR="00881F76" w:rsidRPr="00123905" w:rsidRDefault="00881F76" w:rsidP="0083214A">
            <w:pPr>
              <w:jc w:val="center"/>
              <w:rPr>
                <w:noProof/>
                <w:lang w:val="en-IE"/>
              </w:rPr>
            </w:pPr>
            <w:r w:rsidRPr="00123905">
              <w:rPr>
                <w:noProof/>
                <w:lang w:val="en-IE"/>
              </w:rPr>
              <w:t>No data</w:t>
            </w:r>
          </w:p>
        </w:tc>
      </w:tr>
      <w:tr w:rsidR="00881F76" w:rsidRPr="00123905" w14:paraId="28B4545B"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73839CD4" w14:textId="30000DDD" w:rsidR="00881F76" w:rsidRPr="00123905" w:rsidRDefault="00881F76" w:rsidP="0083214A">
            <w:pPr>
              <w:rPr>
                <w:noProof/>
                <w:lang w:val="en-IE"/>
              </w:rPr>
            </w:pPr>
            <w:r w:rsidRPr="00123905">
              <w:rPr>
                <w:noProof/>
                <w:lang w:val="en-IE"/>
              </w:rPr>
              <w:t xml:space="preserve">Number of items of equipment provided to the </w:t>
            </w:r>
            <w:bookmarkStart w:id="201" w:name="_Hlk101961540"/>
            <w:r w:rsidRPr="00123905">
              <w:rPr>
                <w:noProof/>
                <w:lang w:val="en-IE"/>
              </w:rPr>
              <w:t>European Border and Coast Guard Agency</w:t>
            </w:r>
            <w:bookmarkEnd w:id="201"/>
          </w:p>
        </w:tc>
        <w:tc>
          <w:tcPr>
            <w:tcW w:w="1100" w:type="dxa"/>
          </w:tcPr>
          <w:p w14:paraId="1B24751E" w14:textId="3964BCE5" w:rsidR="00881F76" w:rsidRPr="00123905" w:rsidRDefault="00881F76" w:rsidP="0083214A">
            <w:pPr>
              <w:jc w:val="center"/>
              <w:rPr>
                <w:noProof/>
                <w:lang w:val="en-IE"/>
              </w:rPr>
            </w:pPr>
            <w:r w:rsidRPr="00123905">
              <w:rPr>
                <w:noProof/>
                <w:lang w:val="en-IE"/>
              </w:rPr>
              <w:t>0</w:t>
            </w:r>
          </w:p>
        </w:tc>
        <w:tc>
          <w:tcPr>
            <w:tcW w:w="1526" w:type="dxa"/>
          </w:tcPr>
          <w:p w14:paraId="60ADBC5D" w14:textId="77777777" w:rsidR="00881F76" w:rsidRPr="00123905" w:rsidRDefault="00881F76" w:rsidP="0083214A">
            <w:pPr>
              <w:jc w:val="center"/>
              <w:rPr>
                <w:b/>
                <w:noProof/>
                <w:lang w:val="en-IE"/>
              </w:rPr>
            </w:pPr>
          </w:p>
        </w:tc>
        <w:tc>
          <w:tcPr>
            <w:tcW w:w="1532" w:type="dxa"/>
          </w:tcPr>
          <w:p w14:paraId="04202C08" w14:textId="77777777" w:rsidR="00881F76" w:rsidRPr="00123905" w:rsidRDefault="00881F76" w:rsidP="0083214A">
            <w:pPr>
              <w:jc w:val="center"/>
              <w:rPr>
                <w:noProof/>
                <w:lang w:val="en-IE"/>
              </w:rPr>
            </w:pPr>
          </w:p>
        </w:tc>
        <w:tc>
          <w:tcPr>
            <w:tcW w:w="1572" w:type="dxa"/>
          </w:tcPr>
          <w:p w14:paraId="6145E620" w14:textId="77777777" w:rsidR="00881F76" w:rsidRPr="00123905" w:rsidRDefault="00881F76" w:rsidP="0083214A">
            <w:pPr>
              <w:jc w:val="center"/>
              <w:rPr>
                <w:noProof/>
                <w:lang w:val="en-IE"/>
              </w:rPr>
            </w:pPr>
            <w:r w:rsidRPr="00123905">
              <w:rPr>
                <w:noProof/>
                <w:lang w:val="en-IE"/>
              </w:rPr>
              <w:t>No results</w:t>
            </w:r>
          </w:p>
        </w:tc>
        <w:tc>
          <w:tcPr>
            <w:tcW w:w="1579" w:type="dxa"/>
          </w:tcPr>
          <w:p w14:paraId="519A54CE" w14:textId="77777777" w:rsidR="00881F76" w:rsidRPr="00123905" w:rsidRDefault="00881F76" w:rsidP="0083214A">
            <w:pPr>
              <w:jc w:val="center"/>
              <w:rPr>
                <w:noProof/>
                <w:lang w:val="en-IE"/>
              </w:rPr>
            </w:pPr>
            <w:r w:rsidRPr="00123905">
              <w:rPr>
                <w:noProof/>
                <w:lang w:val="en-IE"/>
              </w:rPr>
              <w:t>No data</w:t>
            </w:r>
          </w:p>
        </w:tc>
      </w:tr>
      <w:tr w:rsidR="00881F76" w:rsidRPr="00123905" w14:paraId="024BFE60"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2914E1A7" w14:textId="6B23853A" w:rsidR="00881F76" w:rsidRPr="00123905" w:rsidRDefault="00881F76" w:rsidP="0083214A">
            <w:pPr>
              <w:rPr>
                <w:noProof/>
                <w:lang w:val="en-IE"/>
              </w:rPr>
            </w:pPr>
            <w:r w:rsidRPr="00123905">
              <w:rPr>
                <w:noProof/>
                <w:lang w:val="en-IE"/>
              </w:rPr>
              <w:t>Number of initiated/improved forms of cooperation of national authorities with the national coordination centre of the European Border Surveillance System</w:t>
            </w:r>
          </w:p>
        </w:tc>
        <w:tc>
          <w:tcPr>
            <w:tcW w:w="1100" w:type="dxa"/>
          </w:tcPr>
          <w:p w14:paraId="21219F28" w14:textId="024DE129" w:rsidR="00881F76" w:rsidRPr="00123905" w:rsidRDefault="00881F76" w:rsidP="0083214A">
            <w:pPr>
              <w:jc w:val="center"/>
              <w:rPr>
                <w:noProof/>
                <w:lang w:val="en-IE"/>
              </w:rPr>
            </w:pPr>
            <w:r w:rsidRPr="00123905">
              <w:rPr>
                <w:noProof/>
                <w:lang w:val="en-IE"/>
              </w:rPr>
              <w:t>0</w:t>
            </w:r>
          </w:p>
        </w:tc>
        <w:tc>
          <w:tcPr>
            <w:tcW w:w="1526" w:type="dxa"/>
          </w:tcPr>
          <w:p w14:paraId="21E3930E" w14:textId="77777777" w:rsidR="00881F76" w:rsidRPr="00123905" w:rsidRDefault="00881F76" w:rsidP="0083214A">
            <w:pPr>
              <w:jc w:val="center"/>
              <w:rPr>
                <w:b/>
                <w:noProof/>
                <w:lang w:val="en-IE"/>
              </w:rPr>
            </w:pPr>
          </w:p>
        </w:tc>
        <w:tc>
          <w:tcPr>
            <w:tcW w:w="1532" w:type="dxa"/>
          </w:tcPr>
          <w:p w14:paraId="328D4B8A" w14:textId="77777777" w:rsidR="00881F76" w:rsidRPr="00123905" w:rsidRDefault="00881F76" w:rsidP="0083214A">
            <w:pPr>
              <w:jc w:val="center"/>
              <w:rPr>
                <w:noProof/>
                <w:lang w:val="en-IE"/>
              </w:rPr>
            </w:pPr>
          </w:p>
        </w:tc>
        <w:tc>
          <w:tcPr>
            <w:tcW w:w="1572" w:type="dxa"/>
          </w:tcPr>
          <w:p w14:paraId="7197C399" w14:textId="77777777" w:rsidR="00881F76" w:rsidRPr="00123905" w:rsidRDefault="00881F76" w:rsidP="0083214A">
            <w:pPr>
              <w:jc w:val="center"/>
              <w:rPr>
                <w:noProof/>
                <w:lang w:val="en-IE"/>
              </w:rPr>
            </w:pPr>
            <w:r w:rsidRPr="00123905">
              <w:rPr>
                <w:noProof/>
                <w:lang w:val="en-IE"/>
              </w:rPr>
              <w:t>No results</w:t>
            </w:r>
          </w:p>
        </w:tc>
        <w:tc>
          <w:tcPr>
            <w:tcW w:w="1579" w:type="dxa"/>
          </w:tcPr>
          <w:p w14:paraId="6637B5F2" w14:textId="77777777" w:rsidR="00881F76" w:rsidRPr="00123905" w:rsidRDefault="00881F76" w:rsidP="0083214A">
            <w:pPr>
              <w:jc w:val="center"/>
              <w:rPr>
                <w:noProof/>
                <w:lang w:val="en-IE"/>
              </w:rPr>
            </w:pPr>
            <w:r w:rsidRPr="00123905">
              <w:rPr>
                <w:noProof/>
                <w:lang w:val="en-IE"/>
              </w:rPr>
              <w:t>No data</w:t>
            </w:r>
          </w:p>
        </w:tc>
      </w:tr>
      <w:tr w:rsidR="00881F76" w:rsidRPr="00123905" w14:paraId="6C205611"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386A6D36" w14:textId="55477A98" w:rsidR="00881F76" w:rsidRPr="00123905" w:rsidRDefault="00881F76" w:rsidP="0083214A">
            <w:pPr>
              <w:rPr>
                <w:noProof/>
                <w:lang w:val="en-IE"/>
              </w:rPr>
            </w:pPr>
            <w:r w:rsidRPr="00123905">
              <w:rPr>
                <w:noProof/>
                <w:lang w:val="en-IE"/>
              </w:rPr>
              <w:t>Number of addressed recommendations from Schengen evaluations and from vulnerability assessments in the area of border management</w:t>
            </w:r>
          </w:p>
        </w:tc>
        <w:tc>
          <w:tcPr>
            <w:tcW w:w="1100" w:type="dxa"/>
          </w:tcPr>
          <w:p w14:paraId="65EC7D45" w14:textId="402261DA" w:rsidR="00881F76" w:rsidRPr="00123905" w:rsidRDefault="00881F76" w:rsidP="0083214A">
            <w:pPr>
              <w:jc w:val="center"/>
              <w:rPr>
                <w:noProof/>
                <w:lang w:val="en-IE"/>
              </w:rPr>
            </w:pPr>
            <w:r w:rsidRPr="00123905">
              <w:rPr>
                <w:noProof/>
                <w:lang w:val="en-IE"/>
              </w:rPr>
              <w:t>0</w:t>
            </w:r>
          </w:p>
        </w:tc>
        <w:tc>
          <w:tcPr>
            <w:tcW w:w="1526" w:type="dxa"/>
          </w:tcPr>
          <w:p w14:paraId="3C8EA9F1" w14:textId="77777777" w:rsidR="00881F76" w:rsidRPr="00123905" w:rsidRDefault="00881F76" w:rsidP="0083214A">
            <w:pPr>
              <w:jc w:val="center"/>
              <w:rPr>
                <w:b/>
                <w:noProof/>
                <w:lang w:val="en-IE"/>
              </w:rPr>
            </w:pPr>
          </w:p>
        </w:tc>
        <w:tc>
          <w:tcPr>
            <w:tcW w:w="1532" w:type="dxa"/>
          </w:tcPr>
          <w:p w14:paraId="481A4F47" w14:textId="77777777" w:rsidR="00881F76" w:rsidRPr="00123905" w:rsidRDefault="00881F76" w:rsidP="0083214A">
            <w:pPr>
              <w:jc w:val="center"/>
              <w:rPr>
                <w:noProof/>
                <w:lang w:val="en-IE"/>
              </w:rPr>
            </w:pPr>
          </w:p>
        </w:tc>
        <w:tc>
          <w:tcPr>
            <w:tcW w:w="1572" w:type="dxa"/>
          </w:tcPr>
          <w:p w14:paraId="346030A2" w14:textId="77777777" w:rsidR="00881F76" w:rsidRPr="00123905" w:rsidRDefault="00881F76" w:rsidP="0083214A">
            <w:pPr>
              <w:jc w:val="center"/>
              <w:rPr>
                <w:noProof/>
                <w:lang w:val="en-IE"/>
              </w:rPr>
            </w:pPr>
            <w:r w:rsidRPr="00123905">
              <w:rPr>
                <w:noProof/>
                <w:lang w:val="en-IE"/>
              </w:rPr>
              <w:t>No results</w:t>
            </w:r>
          </w:p>
        </w:tc>
        <w:tc>
          <w:tcPr>
            <w:tcW w:w="1579" w:type="dxa"/>
          </w:tcPr>
          <w:p w14:paraId="69368885" w14:textId="77777777" w:rsidR="00881F76" w:rsidRPr="00123905" w:rsidRDefault="00881F76" w:rsidP="0083214A">
            <w:pPr>
              <w:jc w:val="center"/>
              <w:rPr>
                <w:noProof/>
                <w:lang w:val="en-IE"/>
              </w:rPr>
            </w:pPr>
            <w:r w:rsidRPr="00123905">
              <w:rPr>
                <w:noProof/>
                <w:lang w:val="en-IE"/>
              </w:rPr>
              <w:t>No data</w:t>
            </w:r>
          </w:p>
        </w:tc>
      </w:tr>
      <w:tr w:rsidR="00881F76" w:rsidRPr="00123905" w14:paraId="006C43C8"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2F92BEC4" w14:textId="26A0D24B" w:rsidR="00881F76" w:rsidRPr="00123905" w:rsidRDefault="00881F76" w:rsidP="0083214A">
            <w:pPr>
              <w:rPr>
                <w:noProof/>
                <w:lang w:val="en-IE"/>
              </w:rPr>
            </w:pPr>
            <w:r w:rsidRPr="00123905">
              <w:rPr>
                <w:noProof/>
                <w:lang w:val="en-IE"/>
              </w:rPr>
              <w:t>Number of new/upgraded consulates outside the Schengen area</w:t>
            </w:r>
          </w:p>
        </w:tc>
        <w:tc>
          <w:tcPr>
            <w:tcW w:w="1100" w:type="dxa"/>
          </w:tcPr>
          <w:p w14:paraId="2BAD30F5" w14:textId="20DBAB38" w:rsidR="00881F76" w:rsidRPr="00123905" w:rsidRDefault="00881F76" w:rsidP="0083214A">
            <w:pPr>
              <w:jc w:val="center"/>
              <w:rPr>
                <w:noProof/>
                <w:lang w:val="en-IE"/>
              </w:rPr>
            </w:pPr>
            <w:r w:rsidRPr="00123905">
              <w:rPr>
                <w:noProof/>
                <w:lang w:val="en-IE"/>
              </w:rPr>
              <w:t>0</w:t>
            </w:r>
          </w:p>
        </w:tc>
        <w:tc>
          <w:tcPr>
            <w:tcW w:w="1526" w:type="dxa"/>
          </w:tcPr>
          <w:p w14:paraId="2E3BF2FC" w14:textId="77777777" w:rsidR="00881F76" w:rsidRPr="00123905" w:rsidRDefault="00881F76" w:rsidP="0083214A">
            <w:pPr>
              <w:jc w:val="center"/>
              <w:rPr>
                <w:b/>
                <w:noProof/>
                <w:lang w:val="en-IE"/>
              </w:rPr>
            </w:pPr>
          </w:p>
        </w:tc>
        <w:tc>
          <w:tcPr>
            <w:tcW w:w="1532" w:type="dxa"/>
          </w:tcPr>
          <w:p w14:paraId="4CE56811" w14:textId="77777777" w:rsidR="00881F76" w:rsidRPr="00123905" w:rsidRDefault="00881F76" w:rsidP="0083214A">
            <w:pPr>
              <w:jc w:val="center"/>
              <w:rPr>
                <w:noProof/>
                <w:lang w:val="en-IE"/>
              </w:rPr>
            </w:pPr>
          </w:p>
        </w:tc>
        <w:tc>
          <w:tcPr>
            <w:tcW w:w="1572" w:type="dxa"/>
          </w:tcPr>
          <w:p w14:paraId="17D628B3" w14:textId="77777777" w:rsidR="00881F76" w:rsidRPr="00123905" w:rsidRDefault="00881F76" w:rsidP="0083214A">
            <w:pPr>
              <w:jc w:val="center"/>
              <w:rPr>
                <w:noProof/>
                <w:lang w:val="en-IE"/>
              </w:rPr>
            </w:pPr>
            <w:r w:rsidRPr="00123905">
              <w:rPr>
                <w:noProof/>
                <w:lang w:val="en-IE"/>
              </w:rPr>
              <w:t>No results</w:t>
            </w:r>
          </w:p>
        </w:tc>
        <w:tc>
          <w:tcPr>
            <w:tcW w:w="1579" w:type="dxa"/>
          </w:tcPr>
          <w:p w14:paraId="0DE40A4F" w14:textId="77777777" w:rsidR="00881F76" w:rsidRPr="00123905" w:rsidRDefault="00881F76" w:rsidP="0083214A">
            <w:pPr>
              <w:jc w:val="center"/>
              <w:rPr>
                <w:noProof/>
                <w:lang w:val="en-IE"/>
              </w:rPr>
            </w:pPr>
            <w:r w:rsidRPr="00123905">
              <w:rPr>
                <w:noProof/>
                <w:lang w:val="en-IE"/>
              </w:rPr>
              <w:t>No data</w:t>
            </w:r>
          </w:p>
        </w:tc>
      </w:tr>
      <w:tr w:rsidR="00881F76" w:rsidRPr="00123905" w14:paraId="50A57817"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54710348" w14:textId="09D48462" w:rsidR="00881F76" w:rsidRPr="00123905" w:rsidRDefault="00881F76" w:rsidP="0083214A">
            <w:pPr>
              <w:rPr>
                <w:noProof/>
                <w:lang w:val="en-IE"/>
              </w:rPr>
            </w:pPr>
            <w:r w:rsidRPr="00123905">
              <w:rPr>
                <w:noProof/>
                <w:lang w:val="en-IE"/>
              </w:rPr>
              <w:t>Number of addressed recommendations from Schengen evaluations in the area of the common visa policy</w:t>
            </w:r>
          </w:p>
        </w:tc>
        <w:tc>
          <w:tcPr>
            <w:tcW w:w="1100" w:type="dxa"/>
          </w:tcPr>
          <w:p w14:paraId="0E97C0C5" w14:textId="54EA5C69" w:rsidR="00881F76" w:rsidRPr="00123905" w:rsidRDefault="00881F76" w:rsidP="0083214A">
            <w:pPr>
              <w:jc w:val="center"/>
              <w:rPr>
                <w:noProof/>
                <w:lang w:val="en-IE"/>
              </w:rPr>
            </w:pPr>
            <w:r w:rsidRPr="00123905">
              <w:rPr>
                <w:noProof/>
                <w:lang w:val="en-IE"/>
              </w:rPr>
              <w:t>0</w:t>
            </w:r>
          </w:p>
        </w:tc>
        <w:tc>
          <w:tcPr>
            <w:tcW w:w="1526" w:type="dxa"/>
          </w:tcPr>
          <w:p w14:paraId="6ECAFBD0" w14:textId="77777777" w:rsidR="00881F76" w:rsidRPr="00123905" w:rsidRDefault="00881F76" w:rsidP="0083214A">
            <w:pPr>
              <w:jc w:val="center"/>
              <w:rPr>
                <w:b/>
                <w:noProof/>
                <w:lang w:val="en-IE"/>
              </w:rPr>
            </w:pPr>
          </w:p>
        </w:tc>
        <w:tc>
          <w:tcPr>
            <w:tcW w:w="1532" w:type="dxa"/>
          </w:tcPr>
          <w:p w14:paraId="7C2B47E1" w14:textId="77777777" w:rsidR="00881F76" w:rsidRPr="00123905" w:rsidRDefault="00881F76" w:rsidP="0083214A">
            <w:pPr>
              <w:jc w:val="center"/>
              <w:rPr>
                <w:noProof/>
                <w:lang w:val="en-IE"/>
              </w:rPr>
            </w:pPr>
          </w:p>
        </w:tc>
        <w:tc>
          <w:tcPr>
            <w:tcW w:w="1572" w:type="dxa"/>
          </w:tcPr>
          <w:p w14:paraId="2371838B" w14:textId="77777777" w:rsidR="00881F76" w:rsidRPr="00123905" w:rsidRDefault="00881F76" w:rsidP="0083214A">
            <w:pPr>
              <w:jc w:val="center"/>
              <w:rPr>
                <w:noProof/>
                <w:lang w:val="en-IE"/>
              </w:rPr>
            </w:pPr>
            <w:r w:rsidRPr="00123905">
              <w:rPr>
                <w:noProof/>
                <w:lang w:val="en-IE"/>
              </w:rPr>
              <w:t>No results</w:t>
            </w:r>
          </w:p>
        </w:tc>
        <w:tc>
          <w:tcPr>
            <w:tcW w:w="1579" w:type="dxa"/>
          </w:tcPr>
          <w:p w14:paraId="54D02843" w14:textId="77777777" w:rsidR="00881F76" w:rsidRPr="00123905" w:rsidRDefault="00881F76" w:rsidP="0083214A">
            <w:pPr>
              <w:jc w:val="center"/>
              <w:rPr>
                <w:noProof/>
                <w:lang w:val="en-IE"/>
              </w:rPr>
            </w:pPr>
            <w:r w:rsidRPr="00123905">
              <w:rPr>
                <w:noProof/>
                <w:lang w:val="en-IE"/>
              </w:rPr>
              <w:t>No data</w:t>
            </w:r>
          </w:p>
        </w:tc>
      </w:tr>
      <w:tr w:rsidR="00881F76" w:rsidRPr="00123905" w14:paraId="17A0A5F5"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76FCFDD1" w14:textId="356E2AC3" w:rsidR="00881F76" w:rsidRPr="00123905" w:rsidRDefault="00881F76" w:rsidP="0083214A">
            <w:pPr>
              <w:rPr>
                <w:noProof/>
                <w:lang w:val="en-IE"/>
              </w:rPr>
            </w:pPr>
            <w:r w:rsidRPr="00123905">
              <w:rPr>
                <w:noProof/>
                <w:lang w:val="en-IE"/>
              </w:rPr>
              <w:t>Number of visa applications using digital means</w:t>
            </w:r>
          </w:p>
        </w:tc>
        <w:tc>
          <w:tcPr>
            <w:tcW w:w="1100" w:type="dxa"/>
          </w:tcPr>
          <w:p w14:paraId="62A2379B" w14:textId="2CC51A24" w:rsidR="00881F76" w:rsidRPr="00123905" w:rsidRDefault="00881F76" w:rsidP="0083214A">
            <w:pPr>
              <w:jc w:val="center"/>
              <w:rPr>
                <w:noProof/>
                <w:lang w:val="en-IE"/>
              </w:rPr>
            </w:pPr>
            <w:r w:rsidRPr="00123905">
              <w:rPr>
                <w:noProof/>
                <w:lang w:val="en-IE"/>
              </w:rPr>
              <w:t>0</w:t>
            </w:r>
          </w:p>
        </w:tc>
        <w:tc>
          <w:tcPr>
            <w:tcW w:w="1526" w:type="dxa"/>
          </w:tcPr>
          <w:p w14:paraId="043C18BE" w14:textId="77777777" w:rsidR="00881F76" w:rsidRPr="00123905" w:rsidRDefault="00881F76" w:rsidP="0083214A">
            <w:pPr>
              <w:jc w:val="center"/>
              <w:rPr>
                <w:b/>
                <w:noProof/>
                <w:lang w:val="en-IE"/>
              </w:rPr>
            </w:pPr>
          </w:p>
        </w:tc>
        <w:tc>
          <w:tcPr>
            <w:tcW w:w="1532" w:type="dxa"/>
          </w:tcPr>
          <w:p w14:paraId="108DE5ED" w14:textId="77777777" w:rsidR="00881F76" w:rsidRPr="00123905" w:rsidRDefault="00881F76" w:rsidP="0083214A">
            <w:pPr>
              <w:jc w:val="center"/>
              <w:rPr>
                <w:noProof/>
                <w:lang w:val="en-IE"/>
              </w:rPr>
            </w:pPr>
          </w:p>
        </w:tc>
        <w:tc>
          <w:tcPr>
            <w:tcW w:w="1572" w:type="dxa"/>
          </w:tcPr>
          <w:p w14:paraId="2EBA71B7" w14:textId="77777777" w:rsidR="00881F76" w:rsidRPr="00123905" w:rsidRDefault="00881F76" w:rsidP="0083214A">
            <w:pPr>
              <w:jc w:val="center"/>
              <w:rPr>
                <w:noProof/>
                <w:lang w:val="en-IE"/>
              </w:rPr>
            </w:pPr>
            <w:r w:rsidRPr="00123905">
              <w:rPr>
                <w:noProof/>
                <w:lang w:val="en-IE"/>
              </w:rPr>
              <w:t>No results</w:t>
            </w:r>
          </w:p>
        </w:tc>
        <w:tc>
          <w:tcPr>
            <w:tcW w:w="1579" w:type="dxa"/>
          </w:tcPr>
          <w:p w14:paraId="41A9514C" w14:textId="77777777" w:rsidR="00881F76" w:rsidRPr="00123905" w:rsidRDefault="00881F76" w:rsidP="0083214A">
            <w:pPr>
              <w:jc w:val="center"/>
              <w:rPr>
                <w:noProof/>
                <w:lang w:val="en-IE"/>
              </w:rPr>
            </w:pPr>
            <w:r w:rsidRPr="00123905">
              <w:rPr>
                <w:noProof/>
                <w:lang w:val="en-IE"/>
              </w:rPr>
              <w:t>No data</w:t>
            </w:r>
          </w:p>
        </w:tc>
      </w:tr>
      <w:tr w:rsidR="00881F76" w:rsidRPr="00123905" w14:paraId="59D18858"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090B5736" w14:textId="7F818595" w:rsidR="00881F76" w:rsidRPr="00123905" w:rsidRDefault="00881F76" w:rsidP="0083214A">
            <w:pPr>
              <w:rPr>
                <w:noProof/>
                <w:lang w:val="en-IE"/>
              </w:rPr>
            </w:pPr>
            <w:r w:rsidRPr="00123905">
              <w:rPr>
                <w:noProof/>
                <w:lang w:val="en-IE"/>
              </w:rPr>
              <w:t>Percentage of border crossing points and customs laboratories with equipment that meets the common list of equipment that should be available per customs laboratory/type of border crossing point (i.e. land, sea, air, postal, rail)</w:t>
            </w:r>
          </w:p>
        </w:tc>
        <w:tc>
          <w:tcPr>
            <w:tcW w:w="1100" w:type="dxa"/>
          </w:tcPr>
          <w:p w14:paraId="131D76BB" w14:textId="4184BF79" w:rsidR="00881F76" w:rsidRPr="00123905" w:rsidRDefault="00881F76" w:rsidP="0083214A">
            <w:pPr>
              <w:jc w:val="center"/>
              <w:rPr>
                <w:noProof/>
                <w:lang w:val="en-IE"/>
              </w:rPr>
            </w:pPr>
            <w:r w:rsidRPr="00123905">
              <w:rPr>
                <w:noProof/>
                <w:lang w:val="en-IE"/>
              </w:rPr>
              <w:t>0</w:t>
            </w:r>
          </w:p>
        </w:tc>
        <w:tc>
          <w:tcPr>
            <w:tcW w:w="1526" w:type="dxa"/>
          </w:tcPr>
          <w:p w14:paraId="6C609BAE" w14:textId="77777777" w:rsidR="00881F76" w:rsidRPr="00123905" w:rsidRDefault="00881F76" w:rsidP="0083214A">
            <w:pPr>
              <w:jc w:val="center"/>
              <w:rPr>
                <w:b/>
                <w:noProof/>
                <w:lang w:val="en-IE"/>
              </w:rPr>
            </w:pPr>
          </w:p>
        </w:tc>
        <w:tc>
          <w:tcPr>
            <w:tcW w:w="1532" w:type="dxa"/>
          </w:tcPr>
          <w:p w14:paraId="51414172" w14:textId="77777777" w:rsidR="00881F76" w:rsidRPr="00123905" w:rsidRDefault="00881F76" w:rsidP="0083214A">
            <w:pPr>
              <w:jc w:val="center"/>
              <w:rPr>
                <w:noProof/>
                <w:lang w:val="en-IE"/>
              </w:rPr>
            </w:pPr>
          </w:p>
        </w:tc>
        <w:tc>
          <w:tcPr>
            <w:tcW w:w="1572" w:type="dxa"/>
          </w:tcPr>
          <w:p w14:paraId="4F788728" w14:textId="77777777" w:rsidR="00881F76" w:rsidRPr="00123905" w:rsidRDefault="00881F76" w:rsidP="0083214A">
            <w:pPr>
              <w:jc w:val="center"/>
              <w:rPr>
                <w:noProof/>
                <w:lang w:val="en-IE"/>
              </w:rPr>
            </w:pPr>
            <w:r w:rsidRPr="00123905">
              <w:rPr>
                <w:noProof/>
                <w:lang w:val="en-IE"/>
              </w:rPr>
              <w:t>No results</w:t>
            </w:r>
          </w:p>
        </w:tc>
        <w:tc>
          <w:tcPr>
            <w:tcW w:w="1579" w:type="dxa"/>
          </w:tcPr>
          <w:p w14:paraId="5DE5F414" w14:textId="77777777" w:rsidR="00881F76" w:rsidRPr="00123905" w:rsidRDefault="00881F76" w:rsidP="0083214A">
            <w:pPr>
              <w:jc w:val="center"/>
              <w:rPr>
                <w:noProof/>
                <w:lang w:val="en-IE"/>
              </w:rPr>
            </w:pPr>
            <w:r w:rsidRPr="00123905">
              <w:rPr>
                <w:noProof/>
                <w:lang w:val="en-IE"/>
              </w:rPr>
              <w:t>No data</w:t>
            </w:r>
          </w:p>
        </w:tc>
      </w:tr>
    </w:tbl>
    <w:p w14:paraId="56687315" w14:textId="77777777" w:rsidR="00881F76" w:rsidRPr="00123905" w:rsidRDefault="00881F76" w:rsidP="00881F76">
      <w:pPr>
        <w:pStyle w:val="FootnoteText"/>
        <w:spacing w:before="120"/>
        <w:rPr>
          <w:noProof/>
          <w:lang w:val="en-IE"/>
        </w:rPr>
      </w:pPr>
      <w:r w:rsidRPr="00123905">
        <w:rPr>
          <w:noProof/>
          <w:lang w:val="en-IE"/>
        </w:rPr>
        <w:t>(*) % of target achieved by the end of 2021.</w:t>
      </w:r>
    </w:p>
    <w:p w14:paraId="0013C1AD" w14:textId="77777777" w:rsidR="00881F76" w:rsidRPr="00123905" w:rsidRDefault="00881F76" w:rsidP="00881F76">
      <w:pPr>
        <w:textAlignment w:val="baseline"/>
        <w:rPr>
          <w:noProof/>
          <w:lang w:val="en-IE"/>
        </w:rPr>
      </w:pPr>
    </w:p>
    <w:p w14:paraId="10F9C38C" w14:textId="77777777" w:rsidR="00881F76" w:rsidRPr="00123905" w:rsidRDefault="00881F76" w:rsidP="00881F76">
      <w:pPr>
        <w:rPr>
          <w:noProof/>
          <w:lang w:val="en-IE" w:eastAsia="en-IE"/>
        </w:rPr>
      </w:pPr>
      <w:r w:rsidRPr="00123905">
        <w:rPr>
          <w:noProof/>
          <w:lang w:val="en-IE" w:eastAsia="en-IE"/>
        </w:rPr>
        <w:t>A</w:t>
      </w:r>
      <w:r w:rsidRPr="00123905">
        <w:rPr>
          <w:noProof/>
          <w:lang w:val="en-IE"/>
        </w:rPr>
        <w:t xml:space="preserve"> meaningful performance assessment will only be possible once the implementation of the 2021-2027 programme has actually started in earnest and the first performance reports have been received.</w:t>
      </w:r>
    </w:p>
    <w:p w14:paraId="58CF8017" w14:textId="77777777" w:rsidR="00881F76" w:rsidRPr="00123905" w:rsidRDefault="00881F76" w:rsidP="00881F76">
      <w:pPr>
        <w:spacing w:after="160" w:line="259" w:lineRule="auto"/>
        <w:rPr>
          <w:rFonts w:eastAsiaTheme="majorEastAsia" w:cstheme="majorBidi"/>
          <w:noProof/>
          <w:color w:val="016A13" w:themeColor="accent1" w:themeShade="BF"/>
          <w:sz w:val="48"/>
          <w:szCs w:val="32"/>
          <w:lang w:val="en-IE"/>
        </w:rPr>
      </w:pPr>
      <w:r w:rsidRPr="00123905">
        <w:rPr>
          <w:noProof/>
          <w:lang w:val="en-IE"/>
        </w:rPr>
        <w:br w:type="page"/>
      </w:r>
    </w:p>
    <w:p w14:paraId="2B71DCA0" w14:textId="77777777" w:rsidR="00881F76" w:rsidRPr="00123905" w:rsidRDefault="00881F76" w:rsidP="00881F76">
      <w:pPr>
        <w:pStyle w:val="ppoHeading4Purple"/>
        <w:rPr>
          <w:noProof/>
          <w:lang w:val="en-IE"/>
        </w:rPr>
      </w:pPr>
      <w:r w:rsidRPr="00123905">
        <w:rPr>
          <w:noProof/>
          <w:lang w:val="en-IE"/>
        </w:rPr>
        <w:t>MULTIANNUAL FINANCIAL FRAMEWORK 2014-2020</w:t>
      </w:r>
      <w:r w:rsidRPr="00123905">
        <w:rPr>
          <w:rFonts w:ascii="Calibri" w:hAnsi="Calibri" w:cs="Calibri"/>
          <w:noProof/>
          <w:lang w:val="en-IE"/>
        </w:rPr>
        <w:t> –</w:t>
      </w:r>
      <w:r w:rsidRPr="00123905">
        <w:rPr>
          <w:noProof/>
          <w:lang w:val="en-IE"/>
        </w:rPr>
        <w:t xml:space="preserve"> INTERNAL SECURITY FUND</w:t>
      </w:r>
      <w:r w:rsidRPr="00123905">
        <w:rPr>
          <w:rFonts w:ascii="Calibri" w:hAnsi="Calibri" w:cs="Calibri"/>
          <w:noProof/>
          <w:lang w:val="en-IE"/>
        </w:rPr>
        <w:t> –</w:t>
      </w:r>
      <w:r w:rsidRPr="00123905">
        <w:rPr>
          <w:noProof/>
          <w:lang w:val="en-IE"/>
        </w:rPr>
        <w:t xml:space="preserve"> BORDERS AND VISA</w:t>
      </w:r>
    </w:p>
    <w:p w14:paraId="4A29A776" w14:textId="77777777" w:rsidR="00881F76" w:rsidRPr="00123905" w:rsidRDefault="00881F76" w:rsidP="00881F76">
      <w:pPr>
        <w:rPr>
          <w:noProof/>
          <w:lang w:val="en-IE" w:eastAsia="en-GB"/>
        </w:rPr>
      </w:pPr>
      <w:r w:rsidRPr="00123905">
        <w:rPr>
          <w:noProof/>
          <w:lang w:val="en-IE" w:eastAsia="en-IE"/>
        </w:rPr>
        <w:t>BMVI builds on the investment and achievements made with the support of its predecessors: the External Borders Fund and the ISF – Borders and Visa. The fund has supported overall EU policies in the area of external border management and visas.</w:t>
      </w:r>
    </w:p>
    <w:p w14:paraId="3B0A42B1" w14:textId="77777777" w:rsidR="00881F76" w:rsidRPr="00123905" w:rsidRDefault="00881F76" w:rsidP="00881F76">
      <w:pPr>
        <w:pStyle w:val="ppoHeading5"/>
        <w:rPr>
          <w:noProof/>
          <w:lang w:val="en-IE"/>
        </w:rPr>
      </w:pPr>
      <w:r w:rsidRPr="00123905">
        <w:rPr>
          <w:noProof/>
          <w:lang w:val="en-IE"/>
        </w:rPr>
        <w:t xml:space="preserve">Budget </w:t>
      </w:r>
    </w:p>
    <w:p w14:paraId="13AD5E90" w14:textId="77777777" w:rsidR="00881F76" w:rsidRPr="00123905" w:rsidRDefault="00881F76" w:rsidP="00881F76">
      <w:pPr>
        <w:pStyle w:val="ppoTableTabletitle"/>
        <w:rPr>
          <w:noProof/>
          <w:lang w:val="en-IE"/>
        </w:rPr>
      </w:pPr>
      <w:r w:rsidRPr="00123905">
        <w:rPr>
          <w:noProof/>
          <w:lang w:val="en-IE"/>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881F76" w:rsidRPr="00123905" w14:paraId="7B1443CF" w14:textId="77777777" w:rsidTr="008321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7D11811E" w14:textId="77777777" w:rsidR="00881F76" w:rsidRPr="00123905" w:rsidRDefault="00881F76" w:rsidP="0083214A">
            <w:pPr>
              <w:rPr>
                <w:noProof/>
                <w:lang w:val="en-IE"/>
              </w:rPr>
            </w:pPr>
          </w:p>
        </w:tc>
        <w:tc>
          <w:tcPr>
            <w:tcW w:w="2410" w:type="dxa"/>
          </w:tcPr>
          <w:p w14:paraId="23934EB1" w14:textId="219413A8" w:rsidR="00881F76" w:rsidRPr="00123905" w:rsidRDefault="00881F76" w:rsidP="0083214A">
            <w:pPr>
              <w:cnfStyle w:val="100000000000" w:firstRow="1" w:lastRow="0" w:firstColumn="0" w:lastColumn="0" w:oddVBand="0" w:evenVBand="0" w:oddHBand="0" w:evenHBand="0" w:firstRowFirstColumn="0" w:firstRowLastColumn="0" w:lastRowFirstColumn="0" w:lastRowLastColumn="0"/>
              <w:rPr>
                <w:noProof/>
                <w:lang w:val="en-IE"/>
              </w:rPr>
            </w:pPr>
            <w:r w:rsidRPr="00123905">
              <w:rPr>
                <w:noProof/>
                <w:lang w:val="en-IE"/>
              </w:rPr>
              <w:t>Implementation</w:t>
            </w:r>
          </w:p>
        </w:tc>
        <w:tc>
          <w:tcPr>
            <w:tcW w:w="2410" w:type="dxa"/>
          </w:tcPr>
          <w:p w14:paraId="653E9A44" w14:textId="0F04078B" w:rsidR="00881F76" w:rsidRPr="00123905" w:rsidRDefault="001F4CBC" w:rsidP="0083214A">
            <w:pPr>
              <w:cnfStyle w:val="100000000000" w:firstRow="1" w:lastRow="0" w:firstColumn="0" w:lastColumn="0" w:oddVBand="0" w:evenVBand="0" w:oddHBand="0" w:evenHBand="0" w:firstRowFirstColumn="0" w:firstRowLastColumn="0" w:lastRowFirstColumn="0" w:lastRowLastColumn="0"/>
              <w:rPr>
                <w:noProof/>
                <w:lang w:val="en-IE"/>
              </w:rPr>
            </w:pPr>
            <w:r>
              <w:rPr>
                <w:noProof/>
                <w:lang w:val="en-IE"/>
              </w:rPr>
              <w:t xml:space="preserve">2021-2027 </w:t>
            </w:r>
            <w:r w:rsidR="00881F76" w:rsidRPr="00123905">
              <w:rPr>
                <w:noProof/>
                <w:lang w:val="en-IE"/>
              </w:rPr>
              <w:t>Budget</w:t>
            </w:r>
          </w:p>
        </w:tc>
        <w:tc>
          <w:tcPr>
            <w:tcW w:w="2410" w:type="dxa"/>
          </w:tcPr>
          <w:p w14:paraId="2DB104DC" w14:textId="77777777" w:rsidR="00881F76" w:rsidRPr="00123905" w:rsidRDefault="00881F76" w:rsidP="0083214A">
            <w:pPr>
              <w:cnfStyle w:val="100000000000" w:firstRow="1" w:lastRow="0" w:firstColumn="0" w:lastColumn="0" w:oddVBand="0" w:evenVBand="0" w:oddHBand="0" w:evenHBand="0" w:firstRowFirstColumn="0" w:firstRowLastColumn="0" w:lastRowFirstColumn="0" w:lastRowLastColumn="0"/>
              <w:rPr>
                <w:noProof/>
                <w:lang w:val="en-IE"/>
              </w:rPr>
            </w:pPr>
            <w:r w:rsidRPr="00123905">
              <w:rPr>
                <w:noProof/>
                <w:lang w:val="en-IE"/>
              </w:rPr>
              <w:t>Implementation rate</w:t>
            </w:r>
          </w:p>
        </w:tc>
      </w:tr>
      <w:tr w:rsidR="00881F76" w:rsidRPr="00123905" w14:paraId="4B4F6F49"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537A5EE0" w14:textId="77777777" w:rsidR="00881F76" w:rsidRPr="00123905" w:rsidRDefault="00881F76" w:rsidP="0083214A">
            <w:pPr>
              <w:jc w:val="center"/>
              <w:rPr>
                <w:noProof/>
                <w:lang w:val="en-IE"/>
              </w:rPr>
            </w:pPr>
            <w:r w:rsidRPr="00123905">
              <w:rPr>
                <w:noProof/>
                <w:lang w:val="en-IE"/>
              </w:rPr>
              <w:t>Commitments</w:t>
            </w:r>
          </w:p>
        </w:tc>
        <w:tc>
          <w:tcPr>
            <w:tcW w:w="2410" w:type="dxa"/>
          </w:tcPr>
          <w:tbl>
            <w:tblPr>
              <w:tblStyle w:val="TableGrid"/>
              <w:tblW w:w="0" w:type="auto"/>
              <w:tblLook w:val="06A0" w:firstRow="1" w:lastRow="0" w:firstColumn="1" w:lastColumn="0" w:noHBand="1" w:noVBand="1"/>
            </w:tblPr>
            <w:tblGrid>
              <w:gridCol w:w="2194"/>
            </w:tblGrid>
            <w:tr w:rsidR="00881F76" w:rsidRPr="00123905" w14:paraId="620BCB23" w14:textId="77777777" w:rsidTr="0083214A">
              <w:trPr>
                <w:trHeight w:val="285"/>
              </w:trPr>
              <w:tc>
                <w:tcPr>
                  <w:tcW w:w="2290" w:type="dxa"/>
                  <w:tcBorders>
                    <w:top w:val="nil"/>
                    <w:left w:val="nil"/>
                    <w:bottom w:val="nil"/>
                    <w:right w:val="nil"/>
                  </w:tcBorders>
                  <w:vAlign w:val="bottom"/>
                </w:tcPr>
                <w:p w14:paraId="189688D3" w14:textId="14086E05" w:rsidR="00881F76" w:rsidRPr="00123905" w:rsidRDefault="001F4CBC" w:rsidP="0083214A">
                  <w:pPr>
                    <w:jc w:val="right"/>
                    <w:rPr>
                      <w:noProof/>
                      <w:lang w:val="en-IE"/>
                    </w:rPr>
                  </w:pPr>
                  <w:r>
                    <w:rPr>
                      <w:noProof/>
                      <w:color w:val="000000"/>
                    </w:rPr>
                    <w:t>2 689.8</w:t>
                  </w:r>
                </w:p>
              </w:tc>
            </w:tr>
          </w:tbl>
          <w:p w14:paraId="797CD84D" w14:textId="77777777" w:rsidR="00881F76" w:rsidRPr="00123905" w:rsidRDefault="00881F76"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881F76" w:rsidRPr="00123905" w14:paraId="4BAFC446" w14:textId="77777777" w:rsidTr="0083214A">
              <w:trPr>
                <w:trHeight w:val="285"/>
              </w:trPr>
              <w:tc>
                <w:tcPr>
                  <w:tcW w:w="2290" w:type="dxa"/>
                  <w:tcBorders>
                    <w:top w:val="nil"/>
                    <w:left w:val="nil"/>
                    <w:bottom w:val="nil"/>
                    <w:right w:val="nil"/>
                  </w:tcBorders>
                  <w:vAlign w:val="bottom"/>
                </w:tcPr>
                <w:p w14:paraId="4582F2F7" w14:textId="22717249" w:rsidR="00881F76" w:rsidRPr="00123905" w:rsidRDefault="001F4CBC" w:rsidP="0083214A">
                  <w:pPr>
                    <w:jc w:val="right"/>
                    <w:rPr>
                      <w:noProof/>
                      <w:lang w:val="en-IE"/>
                    </w:rPr>
                  </w:pPr>
                  <w:r>
                    <w:rPr>
                      <w:noProof/>
                      <w:color w:val="000000"/>
                    </w:rPr>
                    <w:t>2 732.4</w:t>
                  </w:r>
                </w:p>
              </w:tc>
            </w:tr>
          </w:tbl>
          <w:p w14:paraId="31098367" w14:textId="77777777" w:rsidR="00881F76" w:rsidRPr="00123905" w:rsidRDefault="00881F76"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881F76" w:rsidRPr="00123905" w14:paraId="68BE6887" w14:textId="77777777" w:rsidTr="0083214A">
              <w:trPr>
                <w:trHeight w:val="285"/>
              </w:trPr>
              <w:tc>
                <w:tcPr>
                  <w:tcW w:w="2290" w:type="dxa"/>
                  <w:tcBorders>
                    <w:top w:val="nil"/>
                    <w:left w:val="nil"/>
                    <w:bottom w:val="nil"/>
                    <w:right w:val="nil"/>
                  </w:tcBorders>
                  <w:vAlign w:val="bottom"/>
                </w:tcPr>
                <w:p w14:paraId="5502D551" w14:textId="753A2465" w:rsidR="00881F76" w:rsidRPr="00123905" w:rsidRDefault="001F4CBC" w:rsidP="0083214A">
                  <w:pPr>
                    <w:jc w:val="right"/>
                    <w:rPr>
                      <w:noProof/>
                      <w:lang w:val="en-IE"/>
                    </w:rPr>
                  </w:pPr>
                  <w:r>
                    <w:rPr>
                      <w:rFonts w:ascii="Calibri" w:hAnsi="Calibri" w:cs="Calibri"/>
                      <w:noProof/>
                      <w:color w:val="000000"/>
                      <w:lang w:val="en-IE"/>
                    </w:rPr>
                    <w:t>98%</w:t>
                  </w:r>
                </w:p>
              </w:tc>
            </w:tr>
          </w:tbl>
          <w:p w14:paraId="6BBCF6A8" w14:textId="77777777" w:rsidR="00881F76" w:rsidRPr="00123905" w:rsidRDefault="00881F76"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r>
      <w:tr w:rsidR="00881F76" w:rsidRPr="00123905" w14:paraId="413AA306"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416D1EDB" w14:textId="77777777" w:rsidR="00881F76" w:rsidRPr="00123905" w:rsidRDefault="00881F76" w:rsidP="0083214A">
            <w:pPr>
              <w:jc w:val="center"/>
              <w:rPr>
                <w:noProof/>
                <w:lang w:val="en-IE"/>
              </w:rPr>
            </w:pPr>
            <w:r w:rsidRPr="00123905">
              <w:rPr>
                <w:noProof/>
                <w:lang w:val="en-IE"/>
              </w:rPr>
              <w:t>Payments</w:t>
            </w:r>
          </w:p>
        </w:tc>
        <w:tc>
          <w:tcPr>
            <w:tcW w:w="2410" w:type="dxa"/>
          </w:tcPr>
          <w:tbl>
            <w:tblPr>
              <w:tblStyle w:val="TableGrid"/>
              <w:tblW w:w="0" w:type="auto"/>
              <w:tblLook w:val="06A0" w:firstRow="1" w:lastRow="0" w:firstColumn="1" w:lastColumn="0" w:noHBand="1" w:noVBand="1"/>
            </w:tblPr>
            <w:tblGrid>
              <w:gridCol w:w="2194"/>
            </w:tblGrid>
            <w:tr w:rsidR="00881F76" w:rsidRPr="00123905" w14:paraId="1451CBED" w14:textId="77777777" w:rsidTr="0083214A">
              <w:trPr>
                <w:trHeight w:val="285"/>
              </w:trPr>
              <w:tc>
                <w:tcPr>
                  <w:tcW w:w="2290" w:type="dxa"/>
                  <w:tcBorders>
                    <w:top w:val="nil"/>
                    <w:left w:val="nil"/>
                    <w:bottom w:val="nil"/>
                    <w:right w:val="nil"/>
                  </w:tcBorders>
                  <w:vAlign w:val="bottom"/>
                </w:tcPr>
                <w:p w14:paraId="1245A183" w14:textId="52933AA4" w:rsidR="00881F76" w:rsidRPr="00123905" w:rsidRDefault="001F4CBC" w:rsidP="0083214A">
                  <w:pPr>
                    <w:jc w:val="right"/>
                    <w:rPr>
                      <w:noProof/>
                      <w:lang w:val="en-IE"/>
                    </w:rPr>
                  </w:pPr>
                  <w:r>
                    <w:rPr>
                      <w:noProof/>
                      <w:color w:val="000000"/>
                    </w:rPr>
                    <w:t>1 957.3</w:t>
                  </w:r>
                </w:p>
              </w:tc>
            </w:tr>
          </w:tbl>
          <w:p w14:paraId="2108F274" w14:textId="77777777" w:rsidR="00881F76" w:rsidRPr="00123905" w:rsidRDefault="00881F76"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p w14:paraId="6F4A1E2F" w14:textId="77777777" w:rsidR="00881F76" w:rsidRPr="00123905" w:rsidRDefault="00881F76"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881F76" w:rsidRPr="00123905" w14:paraId="65C0A978" w14:textId="77777777" w:rsidTr="0083214A">
              <w:trPr>
                <w:trHeight w:val="285"/>
              </w:trPr>
              <w:tc>
                <w:tcPr>
                  <w:tcW w:w="2235" w:type="dxa"/>
                  <w:tcBorders>
                    <w:top w:val="nil"/>
                    <w:left w:val="nil"/>
                    <w:bottom w:val="nil"/>
                    <w:right w:val="nil"/>
                  </w:tcBorders>
                  <w:vAlign w:val="bottom"/>
                </w:tcPr>
                <w:p w14:paraId="0974ED4F" w14:textId="753D7A78" w:rsidR="00881F76" w:rsidRPr="00123905" w:rsidRDefault="001F4CBC" w:rsidP="001F4CBC">
                  <w:pPr>
                    <w:jc w:val="right"/>
                    <w:rPr>
                      <w:noProof/>
                      <w:lang w:val="en-IE"/>
                    </w:rPr>
                  </w:pPr>
                  <w:r>
                    <w:rPr>
                      <w:rFonts w:ascii="Calibri" w:hAnsi="Calibri" w:cs="Calibri"/>
                      <w:noProof/>
                      <w:color w:val="000000"/>
                      <w:lang w:val="en-IE"/>
                    </w:rPr>
                    <w:t>72%</w:t>
                  </w:r>
                </w:p>
              </w:tc>
            </w:tr>
          </w:tbl>
          <w:p w14:paraId="2B323C28" w14:textId="77777777" w:rsidR="00881F76" w:rsidRPr="00123905" w:rsidRDefault="00881F76"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r>
    </w:tbl>
    <w:p w14:paraId="018CE484" w14:textId="77777777" w:rsidR="00881F76" w:rsidRPr="00123905" w:rsidRDefault="00881F76" w:rsidP="00881F76">
      <w:pPr>
        <w:rPr>
          <w:noProof/>
          <w:lang w:val="en-IE" w:eastAsia="en-GB"/>
        </w:rPr>
      </w:pPr>
    </w:p>
    <w:p w14:paraId="15274C6F" w14:textId="77777777" w:rsidR="00881F76" w:rsidRPr="00123905" w:rsidRDefault="00881F76" w:rsidP="00881F76">
      <w:pPr>
        <w:pStyle w:val="ppoListHyphened-L1"/>
        <w:rPr>
          <w:noProof/>
          <w:lang w:val="en-IE"/>
        </w:rPr>
      </w:pPr>
      <w:bookmarkStart w:id="202" w:name="_Hlk101966462"/>
      <w:r w:rsidRPr="00123905">
        <w:rPr>
          <w:noProof/>
          <w:lang w:val="en-IE"/>
        </w:rPr>
        <w:t>The Commission proposed an initiative to facilitate access to unspent funds under the Home Affairs Funds for the 2014-2020 programmes, including ISF</w:t>
      </w:r>
      <w:r w:rsidRPr="00123905">
        <w:rPr>
          <w:rFonts w:ascii="Calibri" w:hAnsi="Calibri" w:cs="Calibri"/>
          <w:noProof/>
          <w:lang w:val="en-IE"/>
        </w:rPr>
        <w:t> –</w:t>
      </w:r>
      <w:r w:rsidRPr="00123905">
        <w:rPr>
          <w:noProof/>
          <w:lang w:val="en-IE"/>
        </w:rPr>
        <w:t xml:space="preserve"> Borders and Visa, given the acute migration and border management needs arising from the invasion of Ukraine. The intention was to provide immediate support to the Member States, as they could swiftly re-direct the funding under their existing programmes to address the migration needs caused by Russia’s invasion of Ukraine. The Commission’s proposals were adopted in April 2022.</w:t>
      </w:r>
    </w:p>
    <w:bookmarkEnd w:id="202"/>
    <w:p w14:paraId="1FAC05CF" w14:textId="77777777" w:rsidR="00881F76" w:rsidRPr="00123905" w:rsidRDefault="00881F76" w:rsidP="00881F76">
      <w:pPr>
        <w:pStyle w:val="ppoListHyphened-L1"/>
        <w:rPr>
          <w:noProof/>
          <w:lang w:val="en-IE" w:eastAsia="en-IE"/>
        </w:rPr>
      </w:pPr>
      <w:r w:rsidRPr="00123905">
        <w:rPr>
          <w:noProof/>
          <w:lang w:val="en-IE" w:eastAsia="en-IE"/>
        </w:rPr>
        <w:t>After an initial delay in the adoption of the legal bases of the Home Affairs funds by the co-legislators, all ISF Member State national programmes were adopted in 2015, with their implementation reaching cruising speed in 2017.</w:t>
      </w:r>
      <w:r w:rsidRPr="000F253B">
        <w:rPr>
          <w:noProof/>
          <w:lang w:val="en-IE" w:eastAsia="en-IE"/>
        </w:rPr>
        <w:t xml:space="preserve"> Since </w:t>
      </w:r>
      <w:r w:rsidRPr="00123905">
        <w:rPr>
          <w:noProof/>
          <w:lang w:val="en-IE" w:eastAsia="en-IE"/>
        </w:rPr>
        <w:t>then</w:t>
      </w:r>
      <w:r w:rsidRPr="000F253B">
        <w:rPr>
          <w:noProof/>
          <w:lang w:val="en-IE" w:eastAsia="en-IE"/>
        </w:rPr>
        <w:t xml:space="preserve">, the ISF national programmes </w:t>
      </w:r>
      <w:r w:rsidRPr="00123905">
        <w:rPr>
          <w:noProof/>
          <w:lang w:val="en-IE" w:eastAsia="en-IE"/>
        </w:rPr>
        <w:t>were</w:t>
      </w:r>
      <w:r w:rsidRPr="000F253B">
        <w:rPr>
          <w:noProof/>
          <w:lang w:val="en-IE" w:eastAsia="en-IE"/>
        </w:rPr>
        <w:t xml:space="preserve"> revised on several occasions; first to include an additional EUR</w:t>
      </w:r>
      <w:r w:rsidRPr="00123905">
        <w:rPr>
          <w:rFonts w:ascii="Calibri" w:hAnsi="Calibri" w:cs="Calibri"/>
          <w:noProof/>
          <w:lang w:val="en-IE" w:eastAsia="en-IE"/>
        </w:rPr>
        <w:t> </w:t>
      </w:r>
      <w:r w:rsidRPr="000F253B">
        <w:rPr>
          <w:noProof/>
          <w:lang w:val="en-IE" w:eastAsia="en-IE"/>
        </w:rPr>
        <w:t>76</w:t>
      </w:r>
      <w:r w:rsidRPr="00123905">
        <w:rPr>
          <w:rFonts w:ascii="Calibri" w:hAnsi="Calibri" w:cs="Calibri"/>
          <w:noProof/>
          <w:lang w:val="en-IE" w:eastAsia="en-IE"/>
        </w:rPr>
        <w:t> </w:t>
      </w:r>
      <w:r w:rsidRPr="000F253B">
        <w:rPr>
          <w:noProof/>
          <w:lang w:val="en-IE" w:eastAsia="en-IE"/>
        </w:rPr>
        <w:t>million, then in 2018 to add EUR</w:t>
      </w:r>
      <w:r w:rsidRPr="00123905">
        <w:rPr>
          <w:rFonts w:ascii="Calibri" w:hAnsi="Calibri" w:cs="Calibri"/>
          <w:noProof/>
          <w:lang w:val="en-IE" w:eastAsia="en-IE"/>
        </w:rPr>
        <w:t> </w:t>
      </w:r>
      <w:r w:rsidRPr="000F253B">
        <w:rPr>
          <w:noProof/>
          <w:lang w:val="en-IE" w:eastAsia="en-IE"/>
        </w:rPr>
        <w:t>128.7</w:t>
      </w:r>
      <w:r w:rsidRPr="00123905">
        <w:rPr>
          <w:rFonts w:ascii="Calibri" w:hAnsi="Calibri" w:cs="Calibri"/>
          <w:noProof/>
          <w:lang w:val="en-IE" w:eastAsia="en-IE"/>
        </w:rPr>
        <w:t> </w:t>
      </w:r>
      <w:r w:rsidRPr="000F253B">
        <w:rPr>
          <w:noProof/>
          <w:lang w:val="en-IE" w:eastAsia="en-IE"/>
        </w:rPr>
        <w:t>million for the purchase of equipment and EUR</w:t>
      </w:r>
      <w:r w:rsidRPr="00123905">
        <w:rPr>
          <w:rFonts w:ascii="Calibri" w:hAnsi="Calibri" w:cs="Calibri"/>
          <w:noProof/>
          <w:lang w:val="en-IE" w:eastAsia="en-IE"/>
        </w:rPr>
        <w:t> </w:t>
      </w:r>
      <w:r w:rsidRPr="000F253B">
        <w:rPr>
          <w:noProof/>
          <w:lang w:val="en-IE" w:eastAsia="en-IE"/>
        </w:rPr>
        <w:t>192.3</w:t>
      </w:r>
      <w:r w:rsidRPr="00123905">
        <w:rPr>
          <w:rFonts w:ascii="Calibri" w:hAnsi="Calibri" w:cs="Calibri"/>
          <w:noProof/>
          <w:lang w:val="en-IE" w:eastAsia="en-IE"/>
        </w:rPr>
        <w:t> </w:t>
      </w:r>
      <w:r w:rsidRPr="000F253B">
        <w:rPr>
          <w:noProof/>
          <w:lang w:val="en-IE" w:eastAsia="en-IE"/>
        </w:rPr>
        <w:t>million allocated equally to all the Member States participating in ISF</w:t>
      </w:r>
      <w:r w:rsidRPr="00123905">
        <w:rPr>
          <w:rFonts w:ascii="Calibri" w:hAnsi="Calibri" w:cs="Calibri"/>
          <w:noProof/>
          <w:lang w:val="en-IE" w:eastAsia="en-IE"/>
        </w:rPr>
        <w:t> –</w:t>
      </w:r>
      <w:r w:rsidRPr="00123905">
        <w:rPr>
          <w:noProof/>
          <w:lang w:val="en-IE" w:eastAsia="en-IE"/>
        </w:rPr>
        <w:t xml:space="preserve"> </w:t>
      </w:r>
      <w:r w:rsidRPr="000F253B">
        <w:rPr>
          <w:noProof/>
          <w:lang w:val="en-IE" w:eastAsia="en-IE"/>
        </w:rPr>
        <w:t>Borders and Visa. In 2019, EUR</w:t>
      </w:r>
      <w:r w:rsidRPr="00123905">
        <w:rPr>
          <w:rFonts w:ascii="Calibri" w:hAnsi="Calibri" w:cs="Calibri"/>
          <w:noProof/>
          <w:lang w:val="en-IE" w:eastAsia="en-IE"/>
        </w:rPr>
        <w:t> </w:t>
      </w:r>
      <w:r w:rsidRPr="000F253B">
        <w:rPr>
          <w:noProof/>
          <w:lang w:val="en-IE" w:eastAsia="en-IE"/>
        </w:rPr>
        <w:t>212.4</w:t>
      </w:r>
      <w:r w:rsidRPr="00123905">
        <w:rPr>
          <w:rFonts w:ascii="Calibri" w:hAnsi="Calibri" w:cs="Calibri"/>
          <w:noProof/>
          <w:lang w:val="en-IE" w:eastAsia="en-IE"/>
        </w:rPr>
        <w:t> </w:t>
      </w:r>
      <w:r w:rsidRPr="000F253B">
        <w:rPr>
          <w:noProof/>
          <w:lang w:val="en-IE" w:eastAsia="en-IE"/>
        </w:rPr>
        <w:t>million were allocated to all Member States</w:t>
      </w:r>
      <w:r w:rsidRPr="00123905">
        <w:rPr>
          <w:noProof/>
          <w:lang w:val="en-IE" w:eastAsia="en-IE"/>
        </w:rPr>
        <w:t>, to cover costs related to the adoption of the European Travel Information and Authorisation System and the recast of the second</w:t>
      </w:r>
      <w:r>
        <w:rPr>
          <w:noProof/>
          <w:lang w:val="en-IE" w:eastAsia="en-IE"/>
        </w:rPr>
        <w:t>-</w:t>
      </w:r>
      <w:r w:rsidRPr="00123905">
        <w:rPr>
          <w:noProof/>
          <w:lang w:val="en-IE" w:eastAsia="en-IE"/>
        </w:rPr>
        <w:t>generation Schengen Information System regulations. Finally, it was modified in 2020 to include EUR</w:t>
      </w:r>
      <w:r w:rsidRPr="00123905">
        <w:rPr>
          <w:rFonts w:ascii="Calibri" w:hAnsi="Calibri" w:cs="Calibri"/>
          <w:noProof/>
          <w:lang w:val="en-IE" w:eastAsia="en-IE"/>
        </w:rPr>
        <w:t> </w:t>
      </w:r>
      <w:r w:rsidRPr="00123905">
        <w:rPr>
          <w:noProof/>
          <w:lang w:val="en-IE" w:eastAsia="en-IE"/>
        </w:rPr>
        <w:t>78.9</w:t>
      </w:r>
      <w:r w:rsidRPr="00123905">
        <w:rPr>
          <w:rFonts w:ascii="Calibri" w:hAnsi="Calibri" w:cs="Calibri"/>
          <w:noProof/>
          <w:lang w:val="en-IE" w:eastAsia="en-IE"/>
        </w:rPr>
        <w:t> </w:t>
      </w:r>
      <w:r w:rsidRPr="00123905">
        <w:rPr>
          <w:noProof/>
          <w:lang w:val="en-IE" w:eastAsia="en-IE"/>
        </w:rPr>
        <w:t>million to seven Member States to support border control activities, in particular in the Member States facing high migratory pressure at the external borders. No revisions were made in 2021.</w:t>
      </w:r>
    </w:p>
    <w:p w14:paraId="2567A01E" w14:textId="77777777" w:rsidR="00881F76" w:rsidRPr="000F253B" w:rsidRDefault="00881F76" w:rsidP="00881F76">
      <w:pPr>
        <w:pStyle w:val="ppoListHyphened-L1"/>
        <w:rPr>
          <w:noProof/>
          <w:lang w:val="en-IE" w:eastAsia="en-IE"/>
        </w:rPr>
      </w:pPr>
      <w:r w:rsidRPr="000F253B">
        <w:rPr>
          <w:noProof/>
          <w:lang w:val="en-IE" w:eastAsia="en-IE"/>
        </w:rPr>
        <w:t>As regards the ISF</w:t>
      </w:r>
      <w:r w:rsidRPr="00123905">
        <w:rPr>
          <w:rFonts w:ascii="Calibri" w:hAnsi="Calibri" w:cs="Calibri"/>
          <w:noProof/>
          <w:lang w:val="en-IE" w:eastAsia="en-IE"/>
        </w:rPr>
        <w:t> –</w:t>
      </w:r>
      <w:r w:rsidRPr="000F253B">
        <w:rPr>
          <w:noProof/>
          <w:lang w:val="en-IE" w:eastAsia="en-IE"/>
        </w:rPr>
        <w:t xml:space="preserve"> Borders and Visa, for the 2014-2020</w:t>
      </w:r>
      <w:r w:rsidRPr="00123905">
        <w:rPr>
          <w:noProof/>
          <w:lang w:val="en-IE" w:eastAsia="en-IE"/>
        </w:rPr>
        <w:t xml:space="preserve"> period</w:t>
      </w:r>
      <w:r w:rsidRPr="000F253B">
        <w:rPr>
          <w:noProof/>
          <w:lang w:val="en-IE" w:eastAsia="en-IE"/>
        </w:rPr>
        <w:t>, EUR</w:t>
      </w:r>
      <w:r w:rsidRPr="00123905">
        <w:rPr>
          <w:rFonts w:ascii="Calibri" w:hAnsi="Calibri" w:cs="Calibri"/>
          <w:noProof/>
          <w:lang w:val="en-IE" w:eastAsia="en-IE"/>
        </w:rPr>
        <w:t> </w:t>
      </w:r>
      <w:r w:rsidRPr="000F253B">
        <w:rPr>
          <w:noProof/>
          <w:lang w:val="en-IE" w:eastAsia="en-IE"/>
        </w:rPr>
        <w:t>2.42</w:t>
      </w:r>
      <w:r w:rsidRPr="00123905">
        <w:rPr>
          <w:rFonts w:ascii="Calibri" w:hAnsi="Calibri" w:cs="Calibri"/>
          <w:noProof/>
          <w:lang w:val="en-IE" w:eastAsia="en-IE"/>
        </w:rPr>
        <w:t> </w:t>
      </w:r>
      <w:r w:rsidRPr="000F253B">
        <w:rPr>
          <w:noProof/>
          <w:lang w:val="en-IE" w:eastAsia="en-IE"/>
        </w:rPr>
        <w:t>billion were allocated to the national programmes of the Member States. Up to 2021, Member States actually spent EUR</w:t>
      </w:r>
      <w:r w:rsidRPr="00123905">
        <w:rPr>
          <w:rFonts w:ascii="Calibri" w:hAnsi="Calibri" w:cs="Calibri"/>
          <w:noProof/>
          <w:lang w:val="en-IE" w:eastAsia="en-IE"/>
        </w:rPr>
        <w:t> </w:t>
      </w:r>
      <w:r w:rsidRPr="000F253B">
        <w:rPr>
          <w:noProof/>
          <w:lang w:val="en-IE" w:eastAsia="en-IE"/>
        </w:rPr>
        <w:t>1.61</w:t>
      </w:r>
      <w:r w:rsidRPr="00123905">
        <w:rPr>
          <w:rFonts w:ascii="Calibri" w:hAnsi="Calibri" w:cs="Calibri"/>
          <w:noProof/>
          <w:lang w:val="en-IE" w:eastAsia="en-IE"/>
        </w:rPr>
        <w:t> </w:t>
      </w:r>
      <w:r w:rsidRPr="000F253B">
        <w:rPr>
          <w:noProof/>
          <w:lang w:val="en-IE" w:eastAsia="en-IE"/>
        </w:rPr>
        <w:t>billion</w:t>
      </w:r>
      <w:r w:rsidRPr="00123905">
        <w:rPr>
          <w:noProof/>
          <w:lang w:val="en-IE" w:eastAsia="en-IE"/>
        </w:rPr>
        <w:t>,</w:t>
      </w:r>
      <w:r w:rsidRPr="000F253B">
        <w:rPr>
          <w:noProof/>
          <w:lang w:val="en-IE" w:eastAsia="en-IE"/>
        </w:rPr>
        <w:t xml:space="preserve"> equivalent to an absorption rate of 66.42%.</w:t>
      </w:r>
    </w:p>
    <w:p w14:paraId="13766CCA" w14:textId="77777777" w:rsidR="00881F76" w:rsidRPr="00123905" w:rsidRDefault="00881F76" w:rsidP="00881F76">
      <w:pPr>
        <w:pStyle w:val="ppoListHyphened-L1"/>
        <w:rPr>
          <w:rFonts w:ascii="Calibri" w:hAnsi="Calibri" w:cs="Calibri"/>
          <w:noProof/>
          <w:lang w:val="en-IE" w:eastAsia="en-IE"/>
        </w:rPr>
      </w:pPr>
      <w:r w:rsidRPr="00123905">
        <w:rPr>
          <w:noProof/>
          <w:lang w:val="en-IE" w:eastAsia="en-IE"/>
        </w:rPr>
        <w:t xml:space="preserve">In terms of overall performance of the fund, many of the indicators set in the regulation have either exceeded their milestones or the end targets have already been achieved (even though implementation remains ongoing). </w:t>
      </w:r>
    </w:p>
    <w:p w14:paraId="413840F6" w14:textId="77777777" w:rsidR="00881F76" w:rsidRPr="00123905" w:rsidRDefault="00881F76" w:rsidP="00881F76">
      <w:pPr>
        <w:pStyle w:val="ppoListHyphened-L1"/>
        <w:rPr>
          <w:noProof/>
          <w:lang w:val="en-IE" w:eastAsia="en-IE"/>
        </w:rPr>
      </w:pPr>
      <w:r w:rsidRPr="00123905">
        <w:rPr>
          <w:noProof/>
          <w:lang w:val="en-IE" w:eastAsia="en-IE"/>
        </w:rPr>
        <w:t xml:space="preserve">In the 2020 and 2021 annual implementation reports, </w:t>
      </w:r>
      <w:r>
        <w:rPr>
          <w:noProof/>
          <w:lang w:val="en-IE" w:eastAsia="en-IE"/>
        </w:rPr>
        <w:t xml:space="preserve">the </w:t>
      </w:r>
      <w:r w:rsidRPr="00123905">
        <w:rPr>
          <w:noProof/>
          <w:lang w:val="en-IE" w:eastAsia="en-IE"/>
        </w:rPr>
        <w:t>Member States mostly reported that the COVID-19 pandemic caused delays in project implementation</w:t>
      </w:r>
      <w:r w:rsidRPr="00123905">
        <w:rPr>
          <w:rFonts w:ascii="Calibri" w:hAnsi="Calibri" w:cs="Calibri"/>
          <w:noProof/>
          <w:lang w:val="en-IE" w:eastAsia="en-IE"/>
        </w:rPr>
        <w:t xml:space="preserve"> </w:t>
      </w:r>
      <w:r w:rsidRPr="00123905">
        <w:rPr>
          <w:noProof/>
          <w:lang w:val="en-IE" w:eastAsia="en-IE"/>
        </w:rPr>
        <w:t>due to</w:t>
      </w:r>
      <w:r>
        <w:rPr>
          <w:noProof/>
          <w:lang w:val="en-IE" w:eastAsia="en-IE"/>
        </w:rPr>
        <w:t>, for example,</w:t>
      </w:r>
      <w:r w:rsidRPr="00123905">
        <w:rPr>
          <w:noProof/>
          <w:lang w:val="en-IE" w:eastAsia="en-IE"/>
        </w:rPr>
        <w:t xml:space="preserve"> delays in public procurement procedures, travel restrictions, </w:t>
      </w:r>
      <w:r>
        <w:rPr>
          <w:noProof/>
          <w:lang w:val="en-IE" w:eastAsia="en-IE"/>
        </w:rPr>
        <w:t xml:space="preserve">staff </w:t>
      </w:r>
      <w:r w:rsidRPr="00123905">
        <w:rPr>
          <w:noProof/>
          <w:lang w:val="en-IE" w:eastAsia="en-IE"/>
        </w:rPr>
        <w:t>hiring processes, construction works due to lockdown and other restrictions related to COVID-19. Training activities were particularly affected by the COVID-19 travel restrictions. Mitigating measures included the extension of project duration</w:t>
      </w:r>
      <w:r>
        <w:rPr>
          <w:noProof/>
          <w:lang w:val="en-IE" w:eastAsia="en-IE"/>
        </w:rPr>
        <w:t>s</w:t>
      </w:r>
      <w:r w:rsidRPr="00123905">
        <w:rPr>
          <w:noProof/>
          <w:lang w:val="en-IE" w:eastAsia="en-IE"/>
        </w:rPr>
        <w:t xml:space="preserve"> and the increase of co-financing rates for some projects.</w:t>
      </w:r>
    </w:p>
    <w:p w14:paraId="2620E8B6" w14:textId="77777777" w:rsidR="00881F76" w:rsidRPr="00123905" w:rsidRDefault="00881F76" w:rsidP="00881F76">
      <w:pPr>
        <w:pStyle w:val="ppoListHyphened-L1"/>
        <w:numPr>
          <w:ilvl w:val="0"/>
          <w:numId w:val="0"/>
        </w:numPr>
        <w:rPr>
          <w:rFonts w:ascii="Calibri" w:hAnsi="Calibri" w:cs="Calibri"/>
          <w:noProof/>
          <w:lang w:val="en-IE" w:eastAsia="en-IE"/>
        </w:rPr>
      </w:pPr>
    </w:p>
    <w:p w14:paraId="578C46E9" w14:textId="77777777" w:rsidR="00881F76" w:rsidRPr="00123905" w:rsidRDefault="00881F76" w:rsidP="00881F76">
      <w:pPr>
        <w:pStyle w:val="ppoListHyphened-L1"/>
        <w:numPr>
          <w:ilvl w:val="0"/>
          <w:numId w:val="0"/>
        </w:numPr>
        <w:ind w:left="357"/>
        <w:rPr>
          <w:rFonts w:ascii="Segoe UI" w:hAnsi="Segoe UI" w:cs="Segoe UI"/>
          <w:noProof/>
          <w:sz w:val="18"/>
          <w:szCs w:val="18"/>
          <w:lang w:val="en-IE" w:eastAsia="en-IE"/>
        </w:rPr>
      </w:pPr>
    </w:p>
    <w:p w14:paraId="3B894CB6" w14:textId="77777777" w:rsidR="00881F76" w:rsidRPr="00123905" w:rsidRDefault="00881F76" w:rsidP="00881F76">
      <w:pPr>
        <w:pStyle w:val="ppoHeading6"/>
        <w:rPr>
          <w:noProof/>
          <w:lang w:val="en-IE"/>
        </w:rPr>
      </w:pPr>
      <w:r w:rsidRPr="00123905">
        <w:rPr>
          <w:noProof/>
          <w:lang w:val="en-IE"/>
        </w:rPr>
        <w:t>Key performance indicators</w:t>
      </w:r>
    </w:p>
    <w:tbl>
      <w:tblPr>
        <w:tblStyle w:val="PPO2021"/>
        <w:tblW w:w="9639" w:type="dxa"/>
        <w:tblInd w:w="0" w:type="dxa"/>
        <w:tblLook w:val="0420" w:firstRow="1" w:lastRow="0" w:firstColumn="0" w:lastColumn="0" w:noHBand="0" w:noVBand="1"/>
      </w:tblPr>
      <w:tblGrid>
        <w:gridCol w:w="2779"/>
        <w:gridCol w:w="1087"/>
        <w:gridCol w:w="1466"/>
        <w:gridCol w:w="1241"/>
        <w:gridCol w:w="1560"/>
        <w:gridCol w:w="1506"/>
      </w:tblGrid>
      <w:tr w:rsidR="00881F76" w:rsidRPr="00123905" w14:paraId="4C3400AA" w14:textId="77777777" w:rsidTr="0083214A">
        <w:trPr>
          <w:cnfStyle w:val="100000000000" w:firstRow="1" w:lastRow="0" w:firstColumn="0" w:lastColumn="0" w:oddVBand="0" w:evenVBand="0" w:oddHBand="0" w:evenHBand="0" w:firstRowFirstColumn="0" w:firstRowLastColumn="0" w:lastRowFirstColumn="0" w:lastRowLastColumn="0"/>
        </w:trPr>
        <w:tc>
          <w:tcPr>
            <w:tcW w:w="2779" w:type="dxa"/>
          </w:tcPr>
          <w:p w14:paraId="1D50A375" w14:textId="77777777" w:rsidR="00881F76" w:rsidRPr="00123905" w:rsidRDefault="00881F76" w:rsidP="0083214A">
            <w:pPr>
              <w:rPr>
                <w:noProof/>
                <w:lang w:val="en-IE"/>
              </w:rPr>
            </w:pPr>
          </w:p>
        </w:tc>
        <w:tc>
          <w:tcPr>
            <w:tcW w:w="1087" w:type="dxa"/>
          </w:tcPr>
          <w:p w14:paraId="399B81F7" w14:textId="77777777" w:rsidR="00881F76" w:rsidRPr="00123905" w:rsidRDefault="00881F76" w:rsidP="0083214A">
            <w:pPr>
              <w:rPr>
                <w:noProof/>
                <w:lang w:val="en-IE"/>
              </w:rPr>
            </w:pPr>
            <w:r w:rsidRPr="00123905">
              <w:rPr>
                <w:noProof/>
                <w:lang w:val="en-IE"/>
              </w:rPr>
              <w:t>Baseline</w:t>
            </w:r>
          </w:p>
        </w:tc>
        <w:tc>
          <w:tcPr>
            <w:tcW w:w="1466" w:type="dxa"/>
          </w:tcPr>
          <w:p w14:paraId="1DD5BEFE" w14:textId="77777777" w:rsidR="00881F76" w:rsidRPr="00123905" w:rsidRDefault="00881F76" w:rsidP="0083214A">
            <w:pPr>
              <w:rPr>
                <w:noProof/>
                <w:lang w:val="en-IE"/>
              </w:rPr>
            </w:pPr>
            <w:r w:rsidRPr="00123905">
              <w:rPr>
                <w:noProof/>
                <w:lang w:val="en-IE"/>
              </w:rPr>
              <w:t>Progress</w:t>
            </w:r>
            <w:r w:rsidRPr="00123905">
              <w:rPr>
                <w:rFonts w:ascii="Calibri" w:hAnsi="Calibri" w:cs="Calibri"/>
                <w:noProof/>
                <w:lang w:val="en-IE"/>
              </w:rPr>
              <w:t> </w:t>
            </w:r>
            <w:r w:rsidRPr="00123905">
              <w:rPr>
                <w:noProof/>
                <w:lang w:val="en-IE"/>
              </w:rPr>
              <w:t>(*)</w:t>
            </w:r>
          </w:p>
        </w:tc>
        <w:tc>
          <w:tcPr>
            <w:tcW w:w="1241" w:type="dxa"/>
          </w:tcPr>
          <w:p w14:paraId="2C0CDD15" w14:textId="77777777" w:rsidR="00881F76" w:rsidRPr="00123905" w:rsidRDefault="00881F76" w:rsidP="0083214A">
            <w:pPr>
              <w:rPr>
                <w:noProof/>
                <w:lang w:val="en-IE"/>
              </w:rPr>
            </w:pPr>
            <w:r w:rsidRPr="00123905">
              <w:rPr>
                <w:noProof/>
                <w:lang w:val="en-IE"/>
              </w:rPr>
              <w:t>Target</w:t>
            </w:r>
          </w:p>
        </w:tc>
        <w:tc>
          <w:tcPr>
            <w:tcW w:w="1560" w:type="dxa"/>
          </w:tcPr>
          <w:p w14:paraId="048A3B0F" w14:textId="77777777" w:rsidR="00881F76" w:rsidRPr="00123905" w:rsidRDefault="00881F76" w:rsidP="0083214A">
            <w:pPr>
              <w:rPr>
                <w:noProof/>
                <w:lang w:val="en-IE"/>
              </w:rPr>
            </w:pPr>
            <w:r w:rsidRPr="00123905">
              <w:rPr>
                <w:noProof/>
                <w:lang w:val="en-IE"/>
              </w:rPr>
              <w:t>Results</w:t>
            </w:r>
          </w:p>
        </w:tc>
        <w:tc>
          <w:tcPr>
            <w:tcW w:w="1506" w:type="dxa"/>
          </w:tcPr>
          <w:p w14:paraId="46086C6A" w14:textId="77777777" w:rsidR="00881F76" w:rsidRPr="00123905" w:rsidRDefault="00881F76" w:rsidP="0083214A">
            <w:pPr>
              <w:rPr>
                <w:noProof/>
                <w:lang w:val="en-IE"/>
              </w:rPr>
            </w:pPr>
            <w:r w:rsidRPr="00123905">
              <w:rPr>
                <w:noProof/>
                <w:lang w:val="en-IE"/>
              </w:rPr>
              <w:t>Assessment</w:t>
            </w:r>
          </w:p>
        </w:tc>
      </w:tr>
      <w:tr w:rsidR="00881F76" w:rsidRPr="00123905" w14:paraId="11A72C6C" w14:textId="77777777" w:rsidTr="0083214A">
        <w:trPr>
          <w:cnfStyle w:val="000000100000" w:firstRow="0" w:lastRow="0" w:firstColumn="0" w:lastColumn="0" w:oddVBand="0" w:evenVBand="0" w:oddHBand="1" w:evenHBand="0" w:firstRowFirstColumn="0" w:firstRowLastColumn="0" w:lastRowFirstColumn="0" w:lastRowLastColumn="0"/>
        </w:trPr>
        <w:tc>
          <w:tcPr>
            <w:tcW w:w="2779" w:type="dxa"/>
          </w:tcPr>
          <w:p w14:paraId="020A51A7" w14:textId="77777777" w:rsidR="00881F76" w:rsidRPr="00123905" w:rsidRDefault="00881F76" w:rsidP="0083214A">
            <w:pPr>
              <w:rPr>
                <w:noProof/>
                <w:lang w:val="en-IE"/>
              </w:rPr>
            </w:pPr>
            <w:r>
              <w:rPr>
                <w:rFonts w:ascii="Arial" w:hAnsi="Arial" w:cs="Arial"/>
                <w:noProof/>
                <w:sz w:val="20"/>
                <w:szCs w:val="20"/>
              </w:rPr>
              <w:t>Consulates developed / upgraded</w:t>
            </w:r>
          </w:p>
        </w:tc>
        <w:tc>
          <w:tcPr>
            <w:tcW w:w="1087" w:type="dxa"/>
          </w:tcPr>
          <w:p w14:paraId="60EB299D" w14:textId="3021CE9B" w:rsidR="00881F76" w:rsidRPr="00123905" w:rsidRDefault="00881F76" w:rsidP="0083214A">
            <w:pPr>
              <w:jc w:val="center"/>
              <w:rPr>
                <w:noProof/>
                <w:lang w:val="en-IE"/>
              </w:rPr>
            </w:pPr>
            <w:r>
              <w:rPr>
                <w:noProof/>
              </w:rPr>
              <w:t>0</w:t>
            </w:r>
          </w:p>
        </w:tc>
        <w:tc>
          <w:tcPr>
            <w:tcW w:w="1466" w:type="dxa"/>
          </w:tcPr>
          <w:p w14:paraId="38A863D9" w14:textId="77777777" w:rsidR="00881F76" w:rsidRPr="00123905" w:rsidRDefault="00881F76" w:rsidP="0083214A">
            <w:pPr>
              <w:jc w:val="center"/>
              <w:rPr>
                <w:b/>
                <w:noProof/>
                <w:lang w:val="en-IE"/>
              </w:rPr>
            </w:pPr>
            <w:r>
              <w:rPr>
                <w:b/>
                <w:noProof/>
              </w:rPr>
              <w:t>&gt; 100%</w:t>
            </w:r>
          </w:p>
        </w:tc>
        <w:tc>
          <w:tcPr>
            <w:tcW w:w="1241" w:type="dxa"/>
          </w:tcPr>
          <w:p w14:paraId="2F0B5752" w14:textId="77777777" w:rsidR="00881F76" w:rsidRPr="00123905" w:rsidRDefault="00881F76" w:rsidP="0083214A">
            <w:pPr>
              <w:jc w:val="center"/>
              <w:rPr>
                <w:noProof/>
                <w:lang w:val="en-IE"/>
              </w:rPr>
            </w:pPr>
            <w:r>
              <w:rPr>
                <w:noProof/>
              </w:rPr>
              <w:t>923 in 2022</w:t>
            </w:r>
          </w:p>
        </w:tc>
        <w:tc>
          <w:tcPr>
            <w:tcW w:w="1560" w:type="dxa"/>
          </w:tcPr>
          <w:p w14:paraId="6121B64F" w14:textId="77777777" w:rsidR="00881F76" w:rsidRPr="00123905" w:rsidRDefault="00881F76" w:rsidP="0083214A">
            <w:pPr>
              <w:jc w:val="center"/>
              <w:rPr>
                <w:noProof/>
                <w:lang w:val="en-IE"/>
              </w:rPr>
            </w:pPr>
            <w:r>
              <w:rPr>
                <w:noProof/>
              </w:rPr>
              <w:t>3 074 consulates compared to a target of 923</w:t>
            </w:r>
          </w:p>
        </w:tc>
        <w:tc>
          <w:tcPr>
            <w:tcW w:w="1506" w:type="dxa"/>
          </w:tcPr>
          <w:p w14:paraId="655BE683" w14:textId="77777777" w:rsidR="00881F76" w:rsidRPr="00123905" w:rsidRDefault="00881F76" w:rsidP="0083214A">
            <w:pPr>
              <w:jc w:val="center"/>
              <w:rPr>
                <w:noProof/>
                <w:lang w:val="en-IE"/>
              </w:rPr>
            </w:pPr>
            <w:r>
              <w:rPr>
                <w:noProof/>
              </w:rPr>
              <w:t>Achieved</w:t>
            </w:r>
          </w:p>
        </w:tc>
      </w:tr>
      <w:tr w:rsidR="00881F76" w:rsidRPr="00123905" w14:paraId="1B255885" w14:textId="77777777" w:rsidTr="0083214A">
        <w:trPr>
          <w:cnfStyle w:val="000000010000" w:firstRow="0" w:lastRow="0" w:firstColumn="0" w:lastColumn="0" w:oddVBand="0" w:evenVBand="0" w:oddHBand="0" w:evenHBand="1" w:firstRowFirstColumn="0" w:firstRowLastColumn="0" w:lastRowFirstColumn="0" w:lastRowLastColumn="0"/>
        </w:trPr>
        <w:tc>
          <w:tcPr>
            <w:tcW w:w="2779" w:type="dxa"/>
          </w:tcPr>
          <w:p w14:paraId="555FF63D" w14:textId="77777777" w:rsidR="00881F76" w:rsidRPr="00123905" w:rsidRDefault="00881F76" w:rsidP="0083214A">
            <w:pPr>
              <w:rPr>
                <w:noProof/>
                <w:lang w:val="en-IE"/>
              </w:rPr>
            </w:pPr>
            <w:r>
              <w:rPr>
                <w:rFonts w:ascii="Arial" w:hAnsi="Arial" w:cs="Arial"/>
                <w:noProof/>
                <w:sz w:val="20"/>
                <w:szCs w:val="20"/>
              </w:rPr>
              <w:t>Number of border control infrastructures</w:t>
            </w:r>
          </w:p>
        </w:tc>
        <w:tc>
          <w:tcPr>
            <w:tcW w:w="1087" w:type="dxa"/>
          </w:tcPr>
          <w:p w14:paraId="5D76552E" w14:textId="0F370A25" w:rsidR="00881F76" w:rsidRPr="00123905" w:rsidRDefault="00881F76" w:rsidP="0083214A">
            <w:pPr>
              <w:jc w:val="center"/>
              <w:rPr>
                <w:noProof/>
                <w:lang w:val="en-IE"/>
              </w:rPr>
            </w:pPr>
            <w:r>
              <w:rPr>
                <w:noProof/>
              </w:rPr>
              <w:t>0</w:t>
            </w:r>
          </w:p>
        </w:tc>
        <w:tc>
          <w:tcPr>
            <w:tcW w:w="1466" w:type="dxa"/>
          </w:tcPr>
          <w:p w14:paraId="1FAEA971" w14:textId="77777777" w:rsidR="00881F76" w:rsidRPr="00123905" w:rsidRDefault="00881F76" w:rsidP="0083214A">
            <w:pPr>
              <w:jc w:val="center"/>
              <w:rPr>
                <w:b/>
                <w:noProof/>
                <w:lang w:val="en-IE"/>
              </w:rPr>
            </w:pPr>
            <w:r>
              <w:rPr>
                <w:b/>
                <w:noProof/>
              </w:rPr>
              <w:t>&gt; 100%</w:t>
            </w:r>
          </w:p>
        </w:tc>
        <w:tc>
          <w:tcPr>
            <w:tcW w:w="1241" w:type="dxa"/>
          </w:tcPr>
          <w:p w14:paraId="0AA724D4" w14:textId="77777777" w:rsidR="00881F76" w:rsidRPr="00123905" w:rsidRDefault="00881F76" w:rsidP="0083214A">
            <w:pPr>
              <w:jc w:val="center"/>
              <w:rPr>
                <w:noProof/>
                <w:lang w:val="en-IE"/>
              </w:rPr>
            </w:pPr>
            <w:r>
              <w:rPr>
                <w:noProof/>
              </w:rPr>
              <w:t>19 902 in 2022</w:t>
            </w:r>
          </w:p>
        </w:tc>
        <w:tc>
          <w:tcPr>
            <w:tcW w:w="1560" w:type="dxa"/>
          </w:tcPr>
          <w:p w14:paraId="493C8526" w14:textId="77777777" w:rsidR="00881F76" w:rsidRPr="00123905" w:rsidRDefault="00881F76" w:rsidP="0083214A">
            <w:pPr>
              <w:jc w:val="center"/>
              <w:rPr>
                <w:noProof/>
                <w:lang w:val="en-IE"/>
              </w:rPr>
            </w:pPr>
            <w:r>
              <w:rPr>
                <w:noProof/>
              </w:rPr>
              <w:t>38 901 infrastructures compared to 19 902</w:t>
            </w:r>
          </w:p>
        </w:tc>
        <w:tc>
          <w:tcPr>
            <w:tcW w:w="1506" w:type="dxa"/>
          </w:tcPr>
          <w:p w14:paraId="31CCDC1F" w14:textId="77777777" w:rsidR="00881F76" w:rsidRPr="00123905" w:rsidRDefault="00881F76" w:rsidP="0083214A">
            <w:pPr>
              <w:jc w:val="center"/>
              <w:rPr>
                <w:noProof/>
                <w:lang w:val="en-IE"/>
              </w:rPr>
            </w:pPr>
            <w:r>
              <w:rPr>
                <w:noProof/>
              </w:rPr>
              <w:t>Achieved</w:t>
            </w:r>
          </w:p>
        </w:tc>
      </w:tr>
      <w:tr w:rsidR="00881F76" w:rsidRPr="00123905" w14:paraId="1463A5DC" w14:textId="77777777" w:rsidTr="0083214A">
        <w:trPr>
          <w:cnfStyle w:val="000000100000" w:firstRow="0" w:lastRow="0" w:firstColumn="0" w:lastColumn="0" w:oddVBand="0" w:evenVBand="0" w:oddHBand="1" w:evenHBand="0" w:firstRowFirstColumn="0" w:firstRowLastColumn="0" w:lastRowFirstColumn="0" w:lastRowLastColumn="0"/>
        </w:trPr>
        <w:tc>
          <w:tcPr>
            <w:tcW w:w="2779" w:type="dxa"/>
          </w:tcPr>
          <w:p w14:paraId="02C1B632" w14:textId="77777777" w:rsidR="00881F76" w:rsidRPr="00123905" w:rsidRDefault="00881F76" w:rsidP="0083214A">
            <w:pPr>
              <w:rPr>
                <w:noProof/>
                <w:lang w:val="en-IE"/>
              </w:rPr>
            </w:pPr>
            <w:r>
              <w:rPr>
                <w:rFonts w:ascii="Arial" w:hAnsi="Arial" w:cs="Arial"/>
                <w:noProof/>
                <w:sz w:val="20"/>
                <w:szCs w:val="20"/>
              </w:rPr>
              <w:t>National border surveillance infrastructure established / further developed in the framework of the European Border Surveillance System</w:t>
            </w:r>
          </w:p>
        </w:tc>
        <w:tc>
          <w:tcPr>
            <w:tcW w:w="1087" w:type="dxa"/>
          </w:tcPr>
          <w:p w14:paraId="5C774167" w14:textId="77777777" w:rsidR="00881F76" w:rsidRPr="00123905" w:rsidRDefault="00881F76" w:rsidP="0083214A">
            <w:pPr>
              <w:jc w:val="center"/>
              <w:rPr>
                <w:noProof/>
                <w:lang w:val="en-IE"/>
              </w:rPr>
            </w:pPr>
            <w:r>
              <w:rPr>
                <w:noProof/>
              </w:rPr>
              <w:t>19</w:t>
            </w:r>
          </w:p>
        </w:tc>
        <w:tc>
          <w:tcPr>
            <w:tcW w:w="1466" w:type="dxa"/>
          </w:tcPr>
          <w:p w14:paraId="6614F0D2" w14:textId="77777777" w:rsidR="00881F76" w:rsidRPr="00123905" w:rsidRDefault="00881F76" w:rsidP="0083214A">
            <w:pPr>
              <w:jc w:val="center"/>
              <w:rPr>
                <w:b/>
                <w:noProof/>
                <w:lang w:val="en-IE"/>
              </w:rPr>
            </w:pPr>
            <w:r>
              <w:rPr>
                <w:b/>
                <w:noProof/>
              </w:rPr>
              <w:t>100%</w:t>
            </w:r>
          </w:p>
        </w:tc>
        <w:tc>
          <w:tcPr>
            <w:tcW w:w="1241" w:type="dxa"/>
          </w:tcPr>
          <w:p w14:paraId="4C67A86A" w14:textId="77777777" w:rsidR="00881F76" w:rsidRPr="00123905" w:rsidRDefault="00881F76" w:rsidP="0083214A">
            <w:pPr>
              <w:jc w:val="center"/>
              <w:rPr>
                <w:noProof/>
                <w:lang w:val="en-IE"/>
              </w:rPr>
            </w:pPr>
            <w:r>
              <w:rPr>
                <w:noProof/>
              </w:rPr>
              <w:t>30 in 2022</w:t>
            </w:r>
          </w:p>
        </w:tc>
        <w:tc>
          <w:tcPr>
            <w:tcW w:w="1560" w:type="dxa"/>
          </w:tcPr>
          <w:p w14:paraId="3FB4DB93" w14:textId="77777777" w:rsidR="00881F76" w:rsidRPr="00123905" w:rsidRDefault="00881F76" w:rsidP="0083214A">
            <w:pPr>
              <w:jc w:val="center"/>
              <w:rPr>
                <w:noProof/>
                <w:lang w:val="en-IE"/>
              </w:rPr>
            </w:pPr>
            <w:r>
              <w:rPr>
                <w:noProof/>
              </w:rPr>
              <w:t>30 infrastructures compared to 30</w:t>
            </w:r>
          </w:p>
        </w:tc>
        <w:tc>
          <w:tcPr>
            <w:tcW w:w="1506" w:type="dxa"/>
          </w:tcPr>
          <w:p w14:paraId="185873EA" w14:textId="77777777" w:rsidR="00881F76" w:rsidRPr="00123905" w:rsidRDefault="00881F76" w:rsidP="0083214A">
            <w:pPr>
              <w:jc w:val="center"/>
              <w:rPr>
                <w:noProof/>
                <w:lang w:val="en-IE"/>
              </w:rPr>
            </w:pPr>
            <w:r>
              <w:rPr>
                <w:noProof/>
              </w:rPr>
              <w:t>Achieved</w:t>
            </w:r>
          </w:p>
        </w:tc>
      </w:tr>
    </w:tbl>
    <w:p w14:paraId="4DDEB832" w14:textId="77777777" w:rsidR="00881F76" w:rsidRDefault="00881F76" w:rsidP="00881F76">
      <w:pPr>
        <w:pStyle w:val="FootnoteText"/>
        <w:rPr>
          <w:noProof/>
        </w:rPr>
      </w:pPr>
      <w:r>
        <w:rPr>
          <w:noProof/>
        </w:rPr>
        <w:t xml:space="preserve">(*) </w:t>
      </w:r>
      <w:r w:rsidRPr="00040D99">
        <w:rPr>
          <w:noProof/>
        </w:rPr>
        <w:t>% of ta</w:t>
      </w:r>
      <w:r>
        <w:rPr>
          <w:noProof/>
        </w:rPr>
        <w:t>rget achieved by the end of 2021</w:t>
      </w:r>
    </w:p>
    <w:p w14:paraId="744D36BE" w14:textId="77777777" w:rsidR="00881F76" w:rsidRPr="00123905" w:rsidRDefault="00881F76" w:rsidP="00881F76">
      <w:pPr>
        <w:pStyle w:val="FootnoteText"/>
        <w:rPr>
          <w:noProof/>
          <w:color w:val="BBB931"/>
          <w:lang w:val="en-IE"/>
        </w:rPr>
      </w:pPr>
    </w:p>
    <w:p w14:paraId="513A1C65" w14:textId="77777777" w:rsidR="00881F76" w:rsidRPr="00123905" w:rsidRDefault="00881F76" w:rsidP="00881F76">
      <w:pPr>
        <w:pStyle w:val="ppoListHyphened-L1"/>
        <w:rPr>
          <w:rFonts w:ascii="Segoe UI" w:hAnsi="Segoe UI" w:cs="Segoe UI"/>
          <w:noProof/>
          <w:sz w:val="18"/>
          <w:szCs w:val="18"/>
          <w:lang w:val="en-IE" w:eastAsia="en-IE"/>
        </w:rPr>
      </w:pPr>
      <w:r w:rsidRPr="00123905">
        <w:rPr>
          <w:noProof/>
          <w:lang w:val="en-IE" w:eastAsia="en-IE"/>
        </w:rPr>
        <w:t>In</w:t>
      </w:r>
      <w:r w:rsidRPr="00123905">
        <w:rPr>
          <w:rFonts w:ascii="Calibri" w:hAnsi="Calibri" w:cs="Calibri"/>
          <w:noProof/>
          <w:lang w:val="en-IE" w:eastAsia="en-IE"/>
        </w:rPr>
        <w:t xml:space="preserve"> </w:t>
      </w:r>
      <w:r w:rsidRPr="00123905">
        <w:rPr>
          <w:noProof/>
          <w:lang w:val="en-IE" w:eastAsia="en-IE"/>
        </w:rPr>
        <w:t>2020,</w:t>
      </w:r>
      <w:r w:rsidRPr="00123905">
        <w:rPr>
          <w:rFonts w:ascii="Calibri" w:hAnsi="Calibri" w:cs="Calibri"/>
          <w:noProof/>
          <w:lang w:val="en-IE" w:eastAsia="en-IE"/>
        </w:rPr>
        <w:t xml:space="preserve"> </w:t>
      </w:r>
      <w:r w:rsidRPr="00123905">
        <w:rPr>
          <w:noProof/>
          <w:lang w:val="en-IE" w:eastAsia="en-IE"/>
        </w:rPr>
        <w:t>the Commission</w:t>
      </w:r>
      <w:r w:rsidRPr="000F253B">
        <w:rPr>
          <w:noProof/>
          <w:lang w:val="en-IE" w:eastAsia="en-IE"/>
        </w:rPr>
        <w:t xml:space="preserve"> continued </w:t>
      </w:r>
      <w:r w:rsidRPr="00123905">
        <w:rPr>
          <w:noProof/>
          <w:lang w:val="en-IE" w:eastAsia="en-IE"/>
        </w:rPr>
        <w:t>to address the root causes of irregular migration and strengthen the protection of the EU</w:t>
      </w:r>
      <w:r w:rsidRPr="00123905">
        <w:rPr>
          <w:rFonts w:cs="EC Square Sans Pro"/>
          <w:noProof/>
          <w:lang w:val="en-IE" w:eastAsia="en-IE"/>
        </w:rPr>
        <w:t>’</w:t>
      </w:r>
      <w:r w:rsidRPr="00123905">
        <w:rPr>
          <w:noProof/>
          <w:lang w:val="en-IE" w:eastAsia="en-IE"/>
        </w:rPr>
        <w:t>s external borders. The total number of detected irregular border crossings remained at approximately 200</w:t>
      </w:r>
      <w:r w:rsidRPr="00123905">
        <w:rPr>
          <w:rFonts w:ascii="Calibri" w:hAnsi="Calibri" w:cs="Calibri"/>
          <w:noProof/>
          <w:lang w:val="en-IE" w:eastAsia="en-IE"/>
        </w:rPr>
        <w:t> </w:t>
      </w:r>
      <w:r w:rsidRPr="00123905">
        <w:rPr>
          <w:noProof/>
          <w:lang w:val="en-IE" w:eastAsia="en-IE"/>
        </w:rPr>
        <w:t>000, marking an increase compared to 2020 (125</w:t>
      </w:r>
      <w:r w:rsidRPr="00123905">
        <w:rPr>
          <w:rFonts w:ascii="Calibri" w:hAnsi="Calibri" w:cs="Calibri"/>
          <w:noProof/>
          <w:lang w:val="en-IE" w:eastAsia="en-IE"/>
        </w:rPr>
        <w:t> </w:t>
      </w:r>
      <w:r w:rsidRPr="00123905">
        <w:rPr>
          <w:noProof/>
          <w:lang w:val="en-IE" w:eastAsia="en-IE"/>
        </w:rPr>
        <w:t>000) and 2019 (142</w:t>
      </w:r>
      <w:r w:rsidRPr="00123905">
        <w:rPr>
          <w:rFonts w:ascii="Calibri" w:hAnsi="Calibri" w:cs="Calibri"/>
          <w:noProof/>
          <w:lang w:val="en-IE" w:eastAsia="en-IE"/>
        </w:rPr>
        <w:t> </w:t>
      </w:r>
      <w:r w:rsidRPr="00123905">
        <w:rPr>
          <w:noProof/>
          <w:lang w:val="en-IE" w:eastAsia="en-IE"/>
        </w:rPr>
        <w:t xml:space="preserve">000). </w:t>
      </w:r>
      <w:r w:rsidRPr="00123905">
        <w:rPr>
          <w:noProof/>
          <w:lang w:val="en-IE"/>
        </w:rPr>
        <w:t>These are mostly explained by increases in the number of Syrians and Afghans apprehended within the western Balkan route and migrants from Egypt in the central Mediterranean route</w:t>
      </w:r>
      <w:r w:rsidRPr="00123905">
        <w:rPr>
          <w:rFonts w:ascii="Calibri" w:hAnsi="Calibri" w:cs="Calibri"/>
          <w:noProof/>
          <w:lang w:val="en-IE"/>
        </w:rPr>
        <w:t> </w:t>
      </w:r>
      <w:r w:rsidRPr="00123905">
        <w:rPr>
          <w:noProof/>
          <w:lang w:val="en-IE"/>
        </w:rPr>
        <w:t>(</w:t>
      </w:r>
      <w:r w:rsidRPr="000F253B">
        <w:rPr>
          <w:rStyle w:val="FootnoteReference"/>
          <w:noProof/>
          <w:lang w:val="en-IE" w:eastAsia="en-IE"/>
        </w:rPr>
        <w:footnoteReference w:id="11"/>
      </w:r>
      <w:r w:rsidRPr="00123905">
        <w:rPr>
          <w:noProof/>
          <w:lang w:val="en-IE"/>
        </w:rPr>
        <w:t>).</w:t>
      </w:r>
    </w:p>
    <w:p w14:paraId="3D6034D2" w14:textId="77777777" w:rsidR="00881F76" w:rsidRPr="00123905" w:rsidRDefault="00881F76" w:rsidP="00881F76">
      <w:pPr>
        <w:pStyle w:val="ppoListHyphened-L1"/>
        <w:rPr>
          <w:noProof/>
          <w:lang w:val="en-IE"/>
        </w:rPr>
      </w:pPr>
      <w:r w:rsidRPr="00123905">
        <w:rPr>
          <w:noProof/>
          <w:lang w:val="en-IE"/>
        </w:rPr>
        <w:t>ISF</w:t>
      </w:r>
      <w:r w:rsidRPr="00123905">
        <w:rPr>
          <w:rFonts w:ascii="Calibri" w:hAnsi="Calibri" w:cs="Calibri"/>
          <w:noProof/>
          <w:lang w:val="en-IE"/>
        </w:rPr>
        <w:t> –</w:t>
      </w:r>
      <w:r w:rsidRPr="00123905">
        <w:rPr>
          <w:noProof/>
          <w:lang w:val="en-IE"/>
        </w:rPr>
        <w:t xml:space="preserve"> Borders and Visa is making a crucial contribution to the application of the Schengen </w:t>
      </w:r>
      <w:r w:rsidRPr="000F253B">
        <w:rPr>
          <w:i/>
          <w:iCs/>
          <w:noProof/>
          <w:lang w:val="en-IE"/>
        </w:rPr>
        <w:t>acquis</w:t>
      </w:r>
      <w:r w:rsidRPr="00123905">
        <w:rPr>
          <w:noProof/>
          <w:lang w:val="en-IE"/>
        </w:rPr>
        <w:t xml:space="preserve">, with the investment in the effective control of the external border through the information systems at EU level and their interoperability, providing and sharing relevant information. </w:t>
      </w:r>
      <w:r w:rsidRPr="00123905">
        <w:rPr>
          <w:noProof/>
          <w:lang w:val="en-IE" w:eastAsia="en-IE"/>
        </w:rPr>
        <w:t>The fund has also contributed to the reinforcement of the capacities of Member States’ border management authorities. Special attention is still needed in the use of funds in the information systems area, to ensure that all available funding is absorbed by December 2022, while taking into account the flexibility of the Commission’s proposal (adopted in April 2022) to prolong the implementation period for the funds still available to Member States under the 2014-2020 Home Affairs funds by one year due to the crisis in Ukraine.</w:t>
      </w:r>
    </w:p>
    <w:p w14:paraId="2ED725DF" w14:textId="77777777" w:rsidR="00881F76" w:rsidRPr="00123905" w:rsidRDefault="00881F76" w:rsidP="00881F76">
      <w:pPr>
        <w:pStyle w:val="ppoListHyphened-L1"/>
        <w:rPr>
          <w:noProof/>
          <w:lang w:val="en-IE"/>
        </w:rPr>
      </w:pPr>
      <w:r w:rsidRPr="00123905">
        <w:rPr>
          <w:noProof/>
          <w:lang w:val="en-IE"/>
        </w:rPr>
        <w:t>On supporting a common visa policy, Member States have implemented projects for a value of EUR</w:t>
      </w:r>
      <w:r w:rsidRPr="00123905">
        <w:rPr>
          <w:rFonts w:ascii="Calibri" w:hAnsi="Calibri" w:cs="Calibri"/>
          <w:noProof/>
          <w:lang w:val="en-IE"/>
        </w:rPr>
        <w:t> </w:t>
      </w:r>
      <w:r w:rsidRPr="00123905">
        <w:rPr>
          <w:noProof/>
          <w:lang w:val="en-IE"/>
        </w:rPr>
        <w:t>7.92</w:t>
      </w:r>
      <w:r w:rsidRPr="00123905">
        <w:rPr>
          <w:rFonts w:ascii="Calibri" w:hAnsi="Calibri" w:cs="Calibri"/>
          <w:noProof/>
          <w:lang w:val="en-IE" w:eastAsia="en-IE"/>
        </w:rPr>
        <w:t> </w:t>
      </w:r>
      <w:r w:rsidRPr="00123905">
        <w:rPr>
          <w:noProof/>
          <w:lang w:val="en-IE"/>
        </w:rPr>
        <w:t>million under the specific objective ‘“Support a common visa policy’ and EUR</w:t>
      </w:r>
      <w:r w:rsidRPr="00123905">
        <w:rPr>
          <w:rFonts w:ascii="Calibri" w:hAnsi="Calibri" w:cs="Calibri"/>
          <w:noProof/>
          <w:lang w:val="en-IE" w:eastAsia="en-IE"/>
        </w:rPr>
        <w:t> </w:t>
      </w:r>
      <w:r w:rsidRPr="00123905">
        <w:rPr>
          <w:noProof/>
          <w:lang w:val="en-IE"/>
        </w:rPr>
        <w:t>4.52</w:t>
      </w:r>
      <w:r w:rsidRPr="00123905">
        <w:rPr>
          <w:rFonts w:ascii="Calibri" w:hAnsi="Calibri" w:cs="Calibri"/>
          <w:noProof/>
          <w:lang w:val="en-IE" w:eastAsia="en-IE"/>
        </w:rPr>
        <w:t> </w:t>
      </w:r>
      <w:r w:rsidRPr="00123905">
        <w:rPr>
          <w:noProof/>
          <w:lang w:val="en-IE"/>
        </w:rPr>
        <w:t xml:space="preserve">million under the specific objective ‘Operating Support’ in relation to visa policy. The trend shows that the cumulative values reported have been steadily increasing and have exceeded the set target. However, results are significantly below the targets when it comes to training of staff in the area of visa and border management. Up to 2021, </w:t>
      </w:r>
      <w:r w:rsidRPr="00123905">
        <w:rPr>
          <w:noProof/>
          <w:lang w:val="en-IE" w:eastAsia="en-IE"/>
        </w:rPr>
        <w:t>5</w:t>
      </w:r>
      <w:r w:rsidRPr="00123905">
        <w:rPr>
          <w:rFonts w:ascii="Calibri" w:hAnsi="Calibri" w:cs="Calibri"/>
          <w:noProof/>
          <w:lang w:val="en-IE" w:eastAsia="en-IE"/>
        </w:rPr>
        <w:t> </w:t>
      </w:r>
      <w:r w:rsidRPr="00123905">
        <w:rPr>
          <w:noProof/>
          <w:lang w:val="en-IE" w:eastAsia="en-IE"/>
        </w:rPr>
        <w:t xml:space="preserve">578 </w:t>
      </w:r>
      <w:r w:rsidRPr="00123905">
        <w:rPr>
          <w:noProof/>
          <w:lang w:val="en-IE"/>
        </w:rPr>
        <w:t>people were trained in this area, which is approximately half of the target of 11</w:t>
      </w:r>
      <w:r w:rsidRPr="00123905">
        <w:rPr>
          <w:rFonts w:ascii="Calibri" w:hAnsi="Calibri" w:cs="Calibri"/>
          <w:noProof/>
          <w:lang w:val="en-IE" w:eastAsia="en-IE"/>
        </w:rPr>
        <w:t> </w:t>
      </w:r>
      <w:r w:rsidRPr="00123905">
        <w:rPr>
          <w:noProof/>
          <w:lang w:val="en-IE"/>
        </w:rPr>
        <w:t>365. Training activities were among those most negatively affected by the COVID-19 pandemic, with a decrease of people trained to 790 in 2020 compared to 1</w:t>
      </w:r>
      <w:r w:rsidRPr="00123905">
        <w:rPr>
          <w:rFonts w:ascii="Calibri" w:hAnsi="Calibri" w:cs="Calibri"/>
          <w:noProof/>
          <w:lang w:val="en-IE" w:eastAsia="en-IE"/>
        </w:rPr>
        <w:t> </w:t>
      </w:r>
      <w:r w:rsidRPr="00123905">
        <w:rPr>
          <w:noProof/>
          <w:lang w:val="en-IE"/>
        </w:rPr>
        <w:t xml:space="preserve">224 in 2019 and only a marginal improvement to 901 in 2021. </w:t>
      </w:r>
      <w:r w:rsidRPr="00123905">
        <w:rPr>
          <w:noProof/>
          <w:lang w:val="en-IE" w:eastAsia="en-IE"/>
        </w:rPr>
        <w:t>However, the low aggregated target achievement often hides important differences at the Member State level and is partly explained by a few Member States having set overly optimistic targets</w:t>
      </w:r>
      <w:r w:rsidRPr="00123905">
        <w:rPr>
          <w:noProof/>
          <w:lang w:val="en-IE"/>
        </w:rPr>
        <w:t>.</w:t>
      </w:r>
    </w:p>
    <w:p w14:paraId="0ED49DBA" w14:textId="77777777" w:rsidR="00881F76" w:rsidRPr="00123905" w:rsidRDefault="00881F76" w:rsidP="00881F76">
      <w:pPr>
        <w:pStyle w:val="ppoListHyphened-L1"/>
        <w:rPr>
          <w:noProof/>
          <w:lang w:val="en-IE"/>
        </w:rPr>
      </w:pPr>
      <w:r>
        <w:rPr>
          <w:noProof/>
          <w:lang w:val="en-IE"/>
        </w:rPr>
        <w:t xml:space="preserve">On </w:t>
      </w:r>
      <w:r w:rsidRPr="00123905">
        <w:rPr>
          <w:noProof/>
          <w:lang w:val="en-IE"/>
        </w:rPr>
        <w:t xml:space="preserve">strengthening the EU external borders, in 2021 </w:t>
      </w:r>
      <w:bookmarkStart w:id="204" w:name="_Hlk101965230"/>
      <w:r w:rsidRPr="00123905">
        <w:rPr>
          <w:noProof/>
          <w:lang w:val="en-IE"/>
        </w:rPr>
        <w:t>the Member States</w:t>
      </w:r>
      <w:r w:rsidRPr="00123905">
        <w:rPr>
          <w:noProof/>
          <w:lang w:val="en-IE" w:eastAsia="en-IE"/>
        </w:rPr>
        <w:t xml:space="preserve"> implemented projects for a value of </w:t>
      </w:r>
      <w:r w:rsidRPr="001E2E0B">
        <w:rPr>
          <w:noProof/>
          <w:lang w:eastAsia="en-IE"/>
        </w:rPr>
        <w:t xml:space="preserve">EUR 239.93 million, </w:t>
      </w:r>
      <w:r>
        <w:rPr>
          <w:noProof/>
          <w:lang w:eastAsia="en-IE"/>
        </w:rPr>
        <w:t xml:space="preserve">including </w:t>
      </w:r>
      <w:r w:rsidRPr="001E2E0B">
        <w:rPr>
          <w:noProof/>
          <w:lang w:eastAsia="en-IE"/>
        </w:rPr>
        <w:t>EUR</w:t>
      </w:r>
      <w:r w:rsidRPr="001E2E0B">
        <w:rPr>
          <w:rFonts w:ascii="Calibri" w:hAnsi="Calibri" w:cs="Calibri"/>
          <w:noProof/>
          <w:lang w:eastAsia="en-IE"/>
        </w:rPr>
        <w:t> </w:t>
      </w:r>
      <w:r w:rsidRPr="001E2E0B">
        <w:rPr>
          <w:noProof/>
          <w:lang w:eastAsia="en-IE"/>
        </w:rPr>
        <w:t>16.58</w:t>
      </w:r>
      <w:r w:rsidRPr="00123905">
        <w:rPr>
          <w:rFonts w:ascii="Calibri" w:hAnsi="Calibri" w:cs="Calibri"/>
          <w:noProof/>
          <w:lang w:val="en-IE" w:eastAsia="en-IE"/>
        </w:rPr>
        <w:t> </w:t>
      </w:r>
      <w:r w:rsidRPr="00123905">
        <w:rPr>
          <w:noProof/>
          <w:lang w:val="en-IE" w:eastAsia="en-IE"/>
        </w:rPr>
        <w:t xml:space="preserve">million for </w:t>
      </w:r>
      <w:bookmarkEnd w:id="204"/>
      <w:r w:rsidRPr="00123905">
        <w:rPr>
          <w:noProof/>
          <w:lang w:val="en-IE" w:eastAsia="en-IE"/>
        </w:rPr>
        <w:t>the special transit scheme for Lithuania, EUR</w:t>
      </w:r>
      <w:r w:rsidRPr="00123905">
        <w:rPr>
          <w:rFonts w:ascii="Calibri" w:hAnsi="Calibri" w:cs="Calibri"/>
          <w:noProof/>
          <w:lang w:val="en-IE" w:eastAsia="en-IE"/>
        </w:rPr>
        <w:t> </w:t>
      </w:r>
      <w:r w:rsidRPr="00123905">
        <w:rPr>
          <w:noProof/>
          <w:lang w:val="en-IE" w:eastAsia="en-IE"/>
        </w:rPr>
        <w:t>12.12</w:t>
      </w:r>
      <w:r w:rsidRPr="00123905">
        <w:rPr>
          <w:rFonts w:ascii="Calibri" w:hAnsi="Calibri" w:cs="Calibri"/>
          <w:noProof/>
          <w:lang w:val="en-IE" w:eastAsia="en-IE"/>
        </w:rPr>
        <w:t> </w:t>
      </w:r>
      <w:r w:rsidRPr="00123905">
        <w:rPr>
          <w:noProof/>
          <w:lang w:val="en-IE" w:eastAsia="en-IE"/>
        </w:rPr>
        <w:t>million for operating support for borders and EUR</w:t>
      </w:r>
      <w:r w:rsidRPr="00123905">
        <w:rPr>
          <w:rFonts w:ascii="Calibri" w:hAnsi="Calibri" w:cs="Calibri"/>
          <w:noProof/>
          <w:lang w:val="en-IE" w:eastAsia="en-IE"/>
        </w:rPr>
        <w:t> </w:t>
      </w:r>
      <w:r w:rsidRPr="00123905">
        <w:rPr>
          <w:noProof/>
          <w:lang w:val="en-IE" w:eastAsia="en-IE"/>
        </w:rPr>
        <w:t>7.50</w:t>
      </w:r>
      <w:r w:rsidRPr="00123905">
        <w:rPr>
          <w:rFonts w:ascii="Calibri" w:hAnsi="Calibri" w:cs="Calibri"/>
          <w:noProof/>
          <w:lang w:val="en-IE" w:eastAsia="en-IE"/>
        </w:rPr>
        <w:t> </w:t>
      </w:r>
      <w:r w:rsidRPr="00123905">
        <w:rPr>
          <w:noProof/>
          <w:lang w:val="en-IE" w:eastAsia="en-IE"/>
        </w:rPr>
        <w:t>million for technical assistance. Data at the Member State level show different degrees in the delivery of training to staff on border management compared to the target. Some Member States have already reached their targets, while others have yet to report projects for training. In this area, 34</w:t>
      </w:r>
      <w:r w:rsidRPr="00123905">
        <w:rPr>
          <w:rFonts w:ascii="Calibri" w:hAnsi="Calibri" w:cs="Calibri"/>
          <w:noProof/>
          <w:lang w:val="en-IE" w:eastAsia="en-IE"/>
        </w:rPr>
        <w:t> </w:t>
      </w:r>
      <w:r w:rsidRPr="00123905">
        <w:rPr>
          <w:noProof/>
          <w:lang w:val="en-IE" w:eastAsia="en-IE"/>
        </w:rPr>
        <w:t>369 border guards were trained by the end of 2021, virtually achieving the target of 34</w:t>
      </w:r>
      <w:r w:rsidRPr="00123905">
        <w:rPr>
          <w:rFonts w:ascii="Calibri" w:hAnsi="Calibri" w:cs="Calibri"/>
          <w:noProof/>
          <w:lang w:val="en-IE" w:eastAsia="en-IE"/>
        </w:rPr>
        <w:t> </w:t>
      </w:r>
      <w:r w:rsidRPr="00123905">
        <w:rPr>
          <w:noProof/>
          <w:lang w:val="en-IE" w:eastAsia="en-IE"/>
        </w:rPr>
        <w:t>603. In total up to 2021, the instruments supported the development or upgrade of 38</w:t>
      </w:r>
      <w:r w:rsidRPr="00123905">
        <w:rPr>
          <w:rFonts w:ascii="Calibri" w:hAnsi="Calibri" w:cs="Calibri"/>
          <w:noProof/>
          <w:lang w:val="en-IE" w:eastAsia="en-IE"/>
        </w:rPr>
        <w:t> </w:t>
      </w:r>
      <w:r w:rsidRPr="00123905">
        <w:rPr>
          <w:noProof/>
          <w:lang w:val="en-IE" w:eastAsia="en-IE"/>
        </w:rPr>
        <w:t>901 border control (checks and surveillance actions) infrastructure and means, which is well above the target of 19</w:t>
      </w:r>
      <w:r w:rsidRPr="00123905">
        <w:rPr>
          <w:rFonts w:ascii="Calibri" w:hAnsi="Calibri" w:cs="Calibri"/>
          <w:noProof/>
          <w:lang w:val="en-IE" w:eastAsia="en-IE"/>
        </w:rPr>
        <w:t> </w:t>
      </w:r>
      <w:r w:rsidRPr="00123905">
        <w:rPr>
          <w:noProof/>
          <w:lang w:val="en-IE" w:eastAsia="en-IE"/>
        </w:rPr>
        <w:t>902.</w:t>
      </w:r>
    </w:p>
    <w:p w14:paraId="0DB3A783" w14:textId="77777777" w:rsidR="00881F76" w:rsidRPr="00123905" w:rsidRDefault="00881F76" w:rsidP="00881F76">
      <w:pPr>
        <w:pStyle w:val="ppoListHyphened-L1"/>
        <w:rPr>
          <w:noProof/>
          <w:lang w:val="en-IE"/>
        </w:rPr>
      </w:pPr>
      <w:r w:rsidRPr="00123905">
        <w:rPr>
          <w:noProof/>
          <w:lang w:val="en-IE"/>
        </w:rPr>
        <w:t>The main lessons learned during the 2014-2020 programming period are shown below.</w:t>
      </w:r>
    </w:p>
    <w:p w14:paraId="402E163F" w14:textId="77777777" w:rsidR="00881F76" w:rsidRPr="00123905" w:rsidRDefault="00881F76" w:rsidP="00881F76">
      <w:pPr>
        <w:pStyle w:val="ppoListHyphened-L2"/>
        <w:rPr>
          <w:noProof/>
          <w:lang w:val="en-IE"/>
        </w:rPr>
      </w:pPr>
      <w:bookmarkStart w:id="205" w:name="_Hlk101964465"/>
      <w:r w:rsidRPr="00123905">
        <w:rPr>
          <w:noProof/>
          <w:lang w:val="en-IE"/>
        </w:rPr>
        <w:t>There was insufficient cooperation, coordination and strategic steering in the implementation of the ISF with the other EU-level initiatives.</w:t>
      </w:r>
    </w:p>
    <w:p w14:paraId="43183791" w14:textId="77777777" w:rsidR="00881F76" w:rsidRPr="00123905" w:rsidRDefault="00881F76" w:rsidP="00881F76">
      <w:pPr>
        <w:pStyle w:val="ppoListHyphened-L2"/>
        <w:rPr>
          <w:noProof/>
          <w:lang w:val="en-IE"/>
        </w:rPr>
      </w:pPr>
      <w:bookmarkStart w:id="206" w:name="_Hlk101964124"/>
      <w:bookmarkEnd w:id="205"/>
      <w:r w:rsidRPr="00123905">
        <w:rPr>
          <w:noProof/>
          <w:lang w:val="en-IE"/>
        </w:rPr>
        <w:t>There is a need for better exploitation of innovation opportunities from EU civil security research.</w:t>
      </w:r>
    </w:p>
    <w:p w14:paraId="131896DC" w14:textId="77777777" w:rsidR="00881F76" w:rsidRPr="00123905" w:rsidRDefault="00881F76" w:rsidP="00881F76">
      <w:pPr>
        <w:pStyle w:val="ppoListHyphened-L2"/>
        <w:rPr>
          <w:noProof/>
          <w:lang w:val="en-IE" w:eastAsia="en-IE"/>
        </w:rPr>
      </w:pPr>
      <w:r w:rsidRPr="00123905">
        <w:rPr>
          <w:noProof/>
          <w:lang w:val="en-IE"/>
        </w:rPr>
        <w:t xml:space="preserve">There is a need to strengthen performance monitoring in terms of quality, reliability and frequency of the data and to </w:t>
      </w:r>
      <w:r w:rsidRPr="00123905">
        <w:rPr>
          <w:noProof/>
          <w:lang w:val="en-IE" w:eastAsia="en-IE"/>
        </w:rPr>
        <w:t xml:space="preserve">set out common output and result indicators. This is being specifically addressed for the 2021-2027 programming </w:t>
      </w:r>
      <w:bookmarkStart w:id="207" w:name="_Hlk101964755"/>
      <w:r w:rsidRPr="00123905">
        <w:rPr>
          <w:noProof/>
          <w:lang w:val="en-IE" w:eastAsia="en-IE"/>
        </w:rPr>
        <w:t xml:space="preserve">by the new requirements contained in the legal basis and via the joint work of the Commission and national managing authorities on data quality. </w:t>
      </w:r>
      <w:bookmarkEnd w:id="207"/>
    </w:p>
    <w:bookmarkEnd w:id="206"/>
    <w:p w14:paraId="31603FF4" w14:textId="77777777" w:rsidR="00881F76" w:rsidRPr="00123905" w:rsidRDefault="00881F76" w:rsidP="00881F76">
      <w:pPr>
        <w:spacing w:after="160" w:line="259" w:lineRule="auto"/>
        <w:rPr>
          <w:rFonts w:eastAsiaTheme="majorEastAsia" w:cstheme="majorBidi"/>
          <w:noProof/>
          <w:color w:val="016A13" w:themeColor="accent1" w:themeShade="BF"/>
          <w:sz w:val="48"/>
          <w:szCs w:val="32"/>
          <w:lang w:val="en-IE"/>
        </w:rPr>
      </w:pPr>
    </w:p>
    <w:p w14:paraId="548238CC" w14:textId="77777777" w:rsidR="00881F76" w:rsidRPr="00123905" w:rsidRDefault="00881F76" w:rsidP="00881F76">
      <w:pPr>
        <w:spacing w:after="160" w:line="259" w:lineRule="auto"/>
        <w:rPr>
          <w:rFonts w:eastAsiaTheme="majorEastAsia" w:cstheme="majorBidi"/>
          <w:noProof/>
          <w:color w:val="016A13" w:themeColor="accent1" w:themeShade="BF"/>
          <w:sz w:val="48"/>
          <w:szCs w:val="32"/>
          <w:lang w:val="en-IE"/>
        </w:rPr>
      </w:pPr>
    </w:p>
    <w:p w14:paraId="7BDF3489" w14:textId="77777777" w:rsidR="000F75A3" w:rsidRDefault="000F75A3" w:rsidP="005348AD">
      <w:pPr>
        <w:pStyle w:val="ppoListHyphened-L1"/>
        <w:numPr>
          <w:ilvl w:val="0"/>
          <w:numId w:val="0"/>
        </w:numPr>
        <w:ind w:left="357" w:hanging="357"/>
        <w:rPr>
          <w:b/>
          <w:noProof/>
          <w:lang w:val="en-IE"/>
        </w:rPr>
        <w:sectPr w:rsidR="000F75A3" w:rsidSect="0083214A">
          <w:headerReference w:type="even" r:id="rId457"/>
          <w:headerReference w:type="default" r:id="rId458"/>
          <w:footerReference w:type="even" r:id="rId459"/>
          <w:footerReference w:type="default" r:id="rId460"/>
          <w:headerReference w:type="first" r:id="rId461"/>
          <w:footerReference w:type="first" r:id="rId462"/>
          <w:type w:val="continuous"/>
          <w:pgSz w:w="11906" w:h="16838" w:code="9"/>
          <w:pgMar w:top="1134" w:right="1134" w:bottom="964" w:left="1134" w:header="431" w:footer="431" w:gutter="0"/>
          <w:cols w:space="720"/>
          <w:titlePg/>
          <w:docGrid w:linePitch="360"/>
        </w:sectPr>
      </w:pPr>
    </w:p>
    <w:p w14:paraId="3CE9ED3C" w14:textId="77777777" w:rsidR="000F75A3" w:rsidRPr="00C05385" w:rsidRDefault="000F75A3" w:rsidP="000F75A3">
      <w:pPr>
        <w:pStyle w:val="StyleppoHeading3WhiteLeft0cm"/>
        <w:rPr>
          <w:noProof/>
          <w:sz w:val="40"/>
          <w:szCs w:val="40"/>
        </w:rPr>
      </w:pPr>
    </w:p>
    <w:p w14:paraId="753EFD12" w14:textId="77777777" w:rsidR="000F75A3" w:rsidRPr="00C05385" w:rsidRDefault="000F75A3" w:rsidP="000F75A3">
      <w:pPr>
        <w:pStyle w:val="StyleppoHeading3WhiteLeft0cm"/>
        <w:rPr>
          <w:noProof/>
          <w:sz w:val="60"/>
          <w:szCs w:val="60"/>
        </w:rPr>
      </w:pPr>
      <w:bookmarkStart w:id="208" w:name="_Toc102086363"/>
      <w:r w:rsidRPr="00C05385">
        <w:rPr>
          <w:noProof/>
          <w:sz w:val="60"/>
          <w:szCs w:val="60"/>
        </w:rPr>
        <w:t>ISF</w:t>
      </w:r>
      <w:bookmarkEnd w:id="208"/>
    </w:p>
    <w:p w14:paraId="0C7F996C" w14:textId="77777777" w:rsidR="000F75A3" w:rsidRPr="00C05385" w:rsidRDefault="000F75A3" w:rsidP="000F75A3">
      <w:pPr>
        <w:pStyle w:val="StyleppoProgrammenameWhiteLeft01cm"/>
        <w:rPr>
          <w:noProof/>
        </w:rPr>
      </w:pPr>
      <w:r w:rsidRPr="00C05385">
        <w:rPr>
          <w:noProof/>
        </w:rPr>
        <w:t>INTERNAL SECURITY FUND</w:t>
      </w:r>
    </w:p>
    <w:p w14:paraId="162D7DB5" w14:textId="77777777" w:rsidR="000F75A3" w:rsidRPr="00C05385" w:rsidRDefault="000F75A3" w:rsidP="000F75A3">
      <w:pPr>
        <w:pStyle w:val="ppoHeading4Blue"/>
        <w:rPr>
          <w:noProof/>
        </w:rPr>
      </w:pPr>
      <w:r w:rsidRPr="00C05385">
        <w:rPr>
          <w:noProof/>
        </w:rPr>
        <w:t>Programme in a nutshell</w:t>
      </w:r>
    </w:p>
    <w:p w14:paraId="6A3C4871" w14:textId="77777777" w:rsidR="000F75A3" w:rsidRPr="00C05385" w:rsidRDefault="000F75A3" w:rsidP="000F75A3">
      <w:pPr>
        <w:spacing w:after="480"/>
        <w:rPr>
          <w:rFonts w:eastAsiaTheme="minorEastAsia"/>
          <w:noProof/>
          <w:color w:val="FFFFFF" w:themeColor="background1"/>
          <w:sz w:val="32"/>
        </w:rPr>
        <w:sectPr w:rsidR="000F75A3" w:rsidRPr="00C05385" w:rsidSect="0083214A">
          <w:headerReference w:type="even" r:id="rId463"/>
          <w:headerReference w:type="default" r:id="rId464"/>
          <w:footerReference w:type="even" r:id="rId465"/>
          <w:footerReference w:type="default" r:id="rId466"/>
          <w:headerReference w:type="first" r:id="rId467"/>
          <w:footerReference w:type="first" r:id="rId468"/>
          <w:pgSz w:w="11906" w:h="16838" w:code="9"/>
          <w:pgMar w:top="1134" w:right="1134" w:bottom="964" w:left="1134" w:header="431" w:footer="431" w:gutter="0"/>
          <w:cols w:space="720"/>
          <w:docGrid w:linePitch="360"/>
        </w:sectPr>
      </w:pPr>
    </w:p>
    <w:p w14:paraId="25B40007" w14:textId="77777777" w:rsidR="000F75A3" w:rsidRPr="00C05385" w:rsidRDefault="000F75A3" w:rsidP="000F75A3">
      <w:pPr>
        <w:pStyle w:val="ppoHeading5"/>
        <w:rPr>
          <w:noProof/>
        </w:rPr>
      </w:pPr>
      <w:r w:rsidRPr="00C05385">
        <w:rPr>
          <w:noProof/>
        </w:rPr>
        <w:t>Concrete examples of achievements</w:t>
      </w:r>
      <w:r w:rsidRPr="00C05385">
        <w:rPr>
          <w:rFonts w:ascii="Calibri" w:hAnsi="Calibri" w:cs="Calibri"/>
          <w:noProof/>
        </w:rPr>
        <w:t> </w:t>
      </w:r>
      <w:r w:rsidRPr="00C05385">
        <w:rPr>
          <w:noProof/>
        </w:rPr>
        <w:t>(*)</w:t>
      </w:r>
    </w:p>
    <w:tbl>
      <w:tblPr>
        <w:tblStyle w:val="PPO2021"/>
        <w:tblW w:w="9639" w:type="dxa"/>
        <w:tblInd w:w="0" w:type="dxa"/>
        <w:tblLook w:val="0200" w:firstRow="0" w:lastRow="0" w:firstColumn="0" w:lastColumn="0" w:noHBand="1" w:noVBand="0"/>
      </w:tblPr>
      <w:tblGrid>
        <w:gridCol w:w="2409"/>
        <w:gridCol w:w="2410"/>
        <w:gridCol w:w="2410"/>
        <w:gridCol w:w="2410"/>
      </w:tblGrid>
      <w:tr w:rsidR="000F75A3" w:rsidRPr="00C05385" w14:paraId="1CF7596D" w14:textId="77777777" w:rsidTr="0083214A">
        <w:tc>
          <w:tcPr>
            <w:tcW w:w="2409" w:type="dxa"/>
          </w:tcPr>
          <w:p w14:paraId="0571D261" w14:textId="77777777" w:rsidR="000F75A3" w:rsidRPr="00C05385" w:rsidRDefault="000F75A3" w:rsidP="0083214A">
            <w:pPr>
              <w:pStyle w:val="ppoTableacheivementvalue"/>
              <w:rPr>
                <w:noProof/>
              </w:rPr>
            </w:pPr>
            <w:bookmarkStart w:id="209" w:name="_Hlk101946309"/>
            <w:r w:rsidRPr="00C05385">
              <w:rPr>
                <w:noProof/>
              </w:rPr>
              <w:t>341</w:t>
            </w:r>
          </w:p>
          <w:p w14:paraId="7AA091CD" w14:textId="77777777" w:rsidR="000F75A3" w:rsidRPr="00C05385" w:rsidRDefault="000F75A3" w:rsidP="00786652">
            <w:pPr>
              <w:jc w:val="left"/>
              <w:rPr>
                <w:noProof/>
              </w:rPr>
            </w:pPr>
            <w:r w:rsidRPr="00C05385">
              <w:rPr>
                <w:noProof/>
              </w:rPr>
              <w:t>joint investigation teams and the European Multidisciplinary Platform against Criminal Threats</w:t>
            </w:r>
            <w:r>
              <w:rPr>
                <w:noProof/>
              </w:rPr>
              <w:t xml:space="preserve"> were in action between 2014 and 2021</w:t>
            </w:r>
            <w:bookmarkEnd w:id="209"/>
            <w:r w:rsidRPr="00C05385">
              <w:rPr>
                <w:noProof/>
              </w:rPr>
              <w:t>.</w:t>
            </w:r>
          </w:p>
        </w:tc>
        <w:tc>
          <w:tcPr>
            <w:cnfStyle w:val="000001000000" w:firstRow="0" w:lastRow="0" w:firstColumn="0" w:lastColumn="0" w:oddVBand="0" w:evenVBand="1" w:oddHBand="0" w:evenHBand="0" w:firstRowFirstColumn="0" w:firstRowLastColumn="0" w:lastRowFirstColumn="0" w:lastRowLastColumn="0"/>
            <w:tcW w:w="2410" w:type="dxa"/>
          </w:tcPr>
          <w:p w14:paraId="7D065902" w14:textId="77777777" w:rsidR="000F75A3" w:rsidRPr="00C05385" w:rsidRDefault="000F75A3" w:rsidP="0083214A">
            <w:pPr>
              <w:pStyle w:val="ppoTableacheivementvalue"/>
              <w:rPr>
                <w:noProof/>
              </w:rPr>
            </w:pPr>
            <w:bookmarkStart w:id="210" w:name="_Hlk101946689"/>
            <w:r w:rsidRPr="00C05385">
              <w:rPr>
                <w:noProof/>
              </w:rPr>
              <w:t>497</w:t>
            </w:r>
          </w:p>
          <w:p w14:paraId="7791A586" w14:textId="77777777" w:rsidR="000F75A3" w:rsidRPr="00C05385" w:rsidRDefault="000F75A3" w:rsidP="00786652">
            <w:pPr>
              <w:jc w:val="left"/>
              <w:rPr>
                <w:noProof/>
              </w:rPr>
            </w:pPr>
            <w:r w:rsidRPr="00C05385">
              <w:rPr>
                <w:noProof/>
              </w:rPr>
              <w:t xml:space="preserve">projects </w:t>
            </w:r>
            <w:r>
              <w:rPr>
                <w:noProof/>
              </w:rPr>
              <w:t xml:space="preserve">were implemented </w:t>
            </w:r>
            <w:r w:rsidRPr="00C05385">
              <w:rPr>
                <w:noProof/>
              </w:rPr>
              <w:t>in the area of crime prevention</w:t>
            </w:r>
            <w:r>
              <w:rPr>
                <w:noProof/>
              </w:rPr>
              <w:t xml:space="preserve"> between 2014 and 2021</w:t>
            </w:r>
            <w:r w:rsidRPr="00C05385">
              <w:rPr>
                <w:noProof/>
              </w:rPr>
              <w:t>.</w:t>
            </w:r>
            <w:bookmarkEnd w:id="210"/>
          </w:p>
        </w:tc>
        <w:tc>
          <w:tcPr>
            <w:tcW w:w="2410" w:type="dxa"/>
            <w:tcBorders>
              <w:bottom w:val="single" w:sz="4" w:space="0" w:color="8C8C8C"/>
            </w:tcBorders>
          </w:tcPr>
          <w:p w14:paraId="2987F300" w14:textId="77777777" w:rsidR="000F75A3" w:rsidRPr="00C05385" w:rsidRDefault="000F75A3" w:rsidP="0083214A">
            <w:pPr>
              <w:pStyle w:val="ppoTableacheivementvalue"/>
              <w:cnfStyle w:val="000000000000" w:firstRow="0" w:lastRow="0" w:firstColumn="0" w:lastColumn="0" w:oddVBand="0" w:evenVBand="0" w:oddHBand="0" w:evenHBand="0" w:firstRowFirstColumn="0" w:firstRowLastColumn="0" w:lastRowFirstColumn="0" w:lastRowLastColumn="0"/>
              <w:rPr>
                <w:noProof/>
              </w:rPr>
            </w:pPr>
            <w:r w:rsidRPr="00C05385">
              <w:rPr>
                <w:noProof/>
              </w:rPr>
              <w:t>107</w:t>
            </w:r>
          </w:p>
          <w:p w14:paraId="5F822170" w14:textId="77777777" w:rsidR="000F75A3" w:rsidRPr="00C05385" w:rsidRDefault="000F75A3" w:rsidP="00786652">
            <w:pPr>
              <w:jc w:val="left"/>
              <w:cnfStyle w:val="000000000000" w:firstRow="0" w:lastRow="0" w:firstColumn="0" w:lastColumn="0" w:oddVBand="0" w:evenVBand="0" w:oddHBand="0" w:evenHBand="0" w:firstRowFirstColumn="0" w:firstRowLastColumn="0" w:lastRowFirstColumn="0" w:lastRowLastColumn="0"/>
              <w:rPr>
                <w:noProof/>
              </w:rPr>
            </w:pPr>
            <w:r w:rsidRPr="00C05385">
              <w:rPr>
                <w:noProof/>
              </w:rPr>
              <w:t>projects aiming to improve law enforcement information exchange</w:t>
            </w:r>
            <w:r>
              <w:rPr>
                <w:noProof/>
              </w:rPr>
              <w:t xml:space="preserve"> were implemented between 2014 and 2021</w:t>
            </w:r>
            <w:r w:rsidRPr="00C05385">
              <w:rPr>
                <w:noProof/>
              </w:rPr>
              <w:t>.</w:t>
            </w:r>
          </w:p>
        </w:tc>
        <w:tc>
          <w:tcPr>
            <w:cnfStyle w:val="000001000000" w:firstRow="0" w:lastRow="0" w:firstColumn="0" w:lastColumn="0" w:oddVBand="0" w:evenVBand="1" w:oddHBand="0" w:evenHBand="0" w:firstRowFirstColumn="0" w:firstRowLastColumn="0" w:lastRowFirstColumn="0" w:lastRowLastColumn="0"/>
            <w:tcW w:w="2410" w:type="dxa"/>
          </w:tcPr>
          <w:p w14:paraId="1E49A8BF" w14:textId="77777777" w:rsidR="000F75A3" w:rsidRPr="00C05385" w:rsidRDefault="000F75A3" w:rsidP="0083214A">
            <w:pPr>
              <w:pStyle w:val="ppoTableacheivementvalue"/>
              <w:rPr>
                <w:noProof/>
              </w:rPr>
            </w:pPr>
            <w:r w:rsidRPr="00C05385">
              <w:rPr>
                <w:noProof/>
              </w:rPr>
              <w:t>501</w:t>
            </w:r>
          </w:p>
          <w:p w14:paraId="0ADB5FD0" w14:textId="77777777" w:rsidR="000F75A3" w:rsidRPr="00C05385" w:rsidRDefault="000F75A3" w:rsidP="00377734">
            <w:pPr>
              <w:jc w:val="left"/>
              <w:rPr>
                <w:noProof/>
              </w:rPr>
            </w:pPr>
            <w:r w:rsidRPr="00C05385">
              <w:rPr>
                <w:noProof/>
              </w:rPr>
              <w:t xml:space="preserve">tools </w:t>
            </w:r>
            <w:r>
              <w:rPr>
                <w:noProof/>
              </w:rPr>
              <w:t xml:space="preserve">were </w:t>
            </w:r>
            <w:r w:rsidRPr="00C05385">
              <w:rPr>
                <w:noProof/>
              </w:rPr>
              <w:t>put in place or upgraded to protect critical infrastructure in all sectors of the economy</w:t>
            </w:r>
            <w:r>
              <w:rPr>
                <w:noProof/>
              </w:rPr>
              <w:t xml:space="preserve"> between 2014 and 2021</w:t>
            </w:r>
            <w:r w:rsidRPr="00C05385">
              <w:rPr>
                <w:noProof/>
              </w:rPr>
              <w:t>.</w:t>
            </w:r>
          </w:p>
        </w:tc>
      </w:tr>
      <w:tr w:rsidR="000F75A3" w:rsidRPr="00C05385" w14:paraId="013D0207" w14:textId="77777777" w:rsidTr="0083214A">
        <w:trPr>
          <w:gridAfter w:val="2"/>
          <w:wAfter w:w="4820" w:type="dxa"/>
        </w:trPr>
        <w:tc>
          <w:tcPr>
            <w:tcW w:w="2409" w:type="dxa"/>
          </w:tcPr>
          <w:p w14:paraId="582E5A2D" w14:textId="77777777" w:rsidR="000F75A3" w:rsidRPr="00C05385" w:rsidRDefault="000F75A3" w:rsidP="0083214A">
            <w:pPr>
              <w:pStyle w:val="ppoTableacheivementvalue"/>
              <w:rPr>
                <w:noProof/>
              </w:rPr>
            </w:pPr>
            <w:r w:rsidRPr="00C05385">
              <w:rPr>
                <w:noProof/>
              </w:rPr>
              <w:t>111</w:t>
            </w:r>
          </w:p>
          <w:p w14:paraId="0546574E" w14:textId="77777777" w:rsidR="000F75A3" w:rsidRPr="00C05385" w:rsidRDefault="000F75A3" w:rsidP="00377734">
            <w:pPr>
              <w:jc w:val="left"/>
              <w:rPr>
                <w:noProof/>
              </w:rPr>
            </w:pPr>
            <w:r w:rsidRPr="00C05385">
              <w:rPr>
                <w:noProof/>
              </w:rPr>
              <w:t>projects relating to the assessment and management of risks in the field of internal security</w:t>
            </w:r>
            <w:r>
              <w:rPr>
                <w:noProof/>
              </w:rPr>
              <w:t xml:space="preserve"> were implemented between 2014 and 2021</w:t>
            </w:r>
            <w:r w:rsidRPr="00C05385">
              <w:rPr>
                <w:noProof/>
              </w:rPr>
              <w:t>.</w:t>
            </w:r>
          </w:p>
        </w:tc>
        <w:tc>
          <w:tcPr>
            <w:cnfStyle w:val="000001000000" w:firstRow="0" w:lastRow="0" w:firstColumn="0" w:lastColumn="0" w:oddVBand="0" w:evenVBand="1" w:oddHBand="0" w:evenHBand="0" w:firstRowFirstColumn="0" w:firstRowLastColumn="0" w:lastRowFirstColumn="0" w:lastRowLastColumn="0"/>
            <w:tcW w:w="2410" w:type="dxa"/>
          </w:tcPr>
          <w:p w14:paraId="768FEE79" w14:textId="77777777" w:rsidR="000F75A3" w:rsidRPr="00C05385" w:rsidRDefault="000F75A3" w:rsidP="0083214A">
            <w:pPr>
              <w:pStyle w:val="ppoTableacheivementvalue"/>
              <w:rPr>
                <w:noProof/>
              </w:rPr>
            </w:pPr>
            <w:r w:rsidRPr="00C05385">
              <w:rPr>
                <w:noProof/>
              </w:rPr>
              <w:t>3</w:t>
            </w:r>
            <w:r w:rsidRPr="00C05385">
              <w:rPr>
                <w:rFonts w:ascii="Calibri" w:hAnsi="Calibri" w:cs="Calibri"/>
                <w:noProof/>
              </w:rPr>
              <w:t> </w:t>
            </w:r>
            <w:r w:rsidRPr="00C05385">
              <w:rPr>
                <w:noProof/>
              </w:rPr>
              <w:t>143</w:t>
            </w:r>
          </w:p>
          <w:p w14:paraId="0ABC9F6E" w14:textId="77777777" w:rsidR="000F75A3" w:rsidRPr="00C05385" w:rsidRDefault="000F75A3" w:rsidP="00377734">
            <w:pPr>
              <w:jc w:val="left"/>
              <w:rPr>
                <w:noProof/>
              </w:rPr>
            </w:pPr>
            <w:r w:rsidRPr="00C05385">
              <w:rPr>
                <w:noProof/>
              </w:rPr>
              <w:t xml:space="preserve">events (expert meetings, workshops, publications, seminars, conferences and online consultations) </w:t>
            </w:r>
            <w:r>
              <w:rPr>
                <w:noProof/>
              </w:rPr>
              <w:t xml:space="preserve">were </w:t>
            </w:r>
            <w:r w:rsidRPr="00C05385">
              <w:rPr>
                <w:noProof/>
              </w:rPr>
              <w:t>organised</w:t>
            </w:r>
            <w:r>
              <w:rPr>
                <w:noProof/>
              </w:rPr>
              <w:t xml:space="preserve"> between 2014 and 2021</w:t>
            </w:r>
            <w:r w:rsidRPr="00C05385">
              <w:rPr>
                <w:noProof/>
              </w:rPr>
              <w:t>.</w:t>
            </w:r>
          </w:p>
        </w:tc>
      </w:tr>
    </w:tbl>
    <w:p w14:paraId="1C836976" w14:textId="77777777" w:rsidR="000F75A3" w:rsidRPr="00C05385" w:rsidRDefault="000F75A3" w:rsidP="000F75A3">
      <w:pPr>
        <w:pStyle w:val="FootnoteText"/>
        <w:rPr>
          <w:rFonts w:eastAsiaTheme="minorEastAsia"/>
          <w:noProof/>
        </w:rPr>
      </w:pPr>
      <w:r w:rsidRPr="00C05385">
        <w:rPr>
          <w:rFonts w:eastAsiaTheme="minorEastAsia"/>
          <w:noProof/>
        </w:rPr>
        <w:t>(*)</w:t>
      </w:r>
      <w:r w:rsidRPr="00C05385">
        <w:rPr>
          <w:rFonts w:eastAsiaTheme="minorEastAsia"/>
          <w:noProof/>
        </w:rPr>
        <w:tab/>
        <w:t>Key achievements in the table state which period they relate to. Many come from the implementation of the predecessor programmes under the 2014-2020 multiannual financial framework. This is expected and is due to the multiannual life cycle of EU programmes and the projects they finance, where results often follow only after completion of the programmes.</w:t>
      </w:r>
    </w:p>
    <w:p w14:paraId="7871A011" w14:textId="77777777" w:rsidR="000F75A3" w:rsidRPr="00C05385" w:rsidRDefault="000F75A3" w:rsidP="000F75A3">
      <w:pPr>
        <w:pStyle w:val="ppoHeading5"/>
        <w:rPr>
          <w:noProof/>
        </w:rPr>
      </w:pPr>
      <w:r w:rsidRPr="00C05385">
        <w:rPr>
          <w:noProof/>
        </w:rPr>
        <w:t>Budget for 2021-2027</w:t>
      </w:r>
    </w:p>
    <w:p w14:paraId="3A16AD77" w14:textId="77777777" w:rsidR="000F75A3" w:rsidRPr="00C05385" w:rsidRDefault="000F75A3" w:rsidP="000F75A3">
      <w:pPr>
        <w:pStyle w:val="ppoTableTabletitle"/>
        <w:ind w:left="284"/>
        <w:rPr>
          <w:noProof/>
        </w:rPr>
      </w:pPr>
      <w:r w:rsidRPr="00C05385">
        <w:rPr>
          <w:noProof/>
        </w:rPr>
        <w:t>(million EUR)</w:t>
      </w:r>
    </w:p>
    <w:tbl>
      <w:tblPr>
        <w:tblStyle w:val="PlainTable2"/>
        <w:tblW w:w="0" w:type="auto"/>
        <w:tblInd w:w="288" w:type="dxa"/>
        <w:tblLook w:val="04A0" w:firstRow="1" w:lastRow="0" w:firstColumn="1" w:lastColumn="0" w:noHBand="0" w:noVBand="1"/>
      </w:tblPr>
      <w:tblGrid>
        <w:gridCol w:w="4788"/>
        <w:gridCol w:w="2610"/>
      </w:tblGrid>
      <w:tr w:rsidR="000F75A3" w:rsidRPr="00C05385" w14:paraId="76332161" w14:textId="77777777" w:rsidTr="0083214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13098513" w14:textId="77777777" w:rsidR="000F75A3" w:rsidRPr="00C05385" w:rsidRDefault="000F75A3" w:rsidP="0083214A">
            <w:pPr>
              <w:spacing w:before="120" w:after="120"/>
              <w:rPr>
                <w:noProof/>
              </w:rPr>
            </w:pPr>
            <w:r w:rsidRPr="00C05385">
              <w:rPr>
                <w:rFonts w:cs="Calibri"/>
                <w:noProof/>
                <w:color w:val="000000"/>
              </w:rPr>
              <w:t>Financial programming</w:t>
            </w:r>
          </w:p>
        </w:tc>
        <w:tc>
          <w:tcPr>
            <w:tcW w:w="2610" w:type="dxa"/>
            <w:shd w:val="clear" w:color="auto" w:fill="auto"/>
            <w:vAlign w:val="bottom"/>
          </w:tcPr>
          <w:p w14:paraId="44767B2C" w14:textId="75728023" w:rsidR="00797032" w:rsidRDefault="00797032" w:rsidP="00797032">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1 8</w:t>
            </w:r>
            <w:r w:rsidR="00D6086C">
              <w:rPr>
                <w:rFonts w:ascii="Calibri" w:hAnsi="Calibri" w:cs="Calibri"/>
                <w:noProof/>
                <w:color w:val="000000"/>
              </w:rPr>
              <w:t>93</w:t>
            </w:r>
            <w:r>
              <w:rPr>
                <w:rFonts w:ascii="Calibri" w:hAnsi="Calibri" w:cs="Calibri"/>
                <w:noProof/>
                <w:color w:val="000000"/>
              </w:rPr>
              <w:t>.</w:t>
            </w:r>
            <w:r w:rsidR="00D6086C">
              <w:rPr>
                <w:rFonts w:ascii="Calibri" w:hAnsi="Calibri" w:cs="Calibri"/>
                <w:noProof/>
                <w:color w:val="000000"/>
              </w:rPr>
              <w:t>1</w:t>
            </w:r>
          </w:p>
          <w:p w14:paraId="6F42F162" w14:textId="42D95E93" w:rsidR="000F75A3" w:rsidRPr="00C05385" w:rsidRDefault="000F75A3" w:rsidP="0083214A">
            <w:pPr>
              <w:spacing w:before="120" w:after="120"/>
              <w:jc w:val="center"/>
              <w:cnfStyle w:val="100000000000" w:firstRow="1" w:lastRow="0" w:firstColumn="0" w:lastColumn="0" w:oddVBand="0" w:evenVBand="0" w:oddHBand="0" w:evenHBand="0" w:firstRowFirstColumn="0" w:firstRowLastColumn="0" w:lastRowFirstColumn="0" w:lastRowLastColumn="0"/>
              <w:rPr>
                <w:b w:val="0"/>
                <w:noProof/>
              </w:rPr>
            </w:pPr>
          </w:p>
        </w:tc>
      </w:tr>
      <w:tr w:rsidR="000F75A3" w:rsidRPr="00C05385" w14:paraId="29A6FB2D"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22946BEB" w14:textId="77777777" w:rsidR="000F75A3" w:rsidRPr="00C05385" w:rsidRDefault="000F75A3" w:rsidP="0083214A">
            <w:pPr>
              <w:spacing w:before="120" w:after="120"/>
              <w:rPr>
                <w:b w:val="0"/>
                <w:noProof/>
              </w:rPr>
            </w:pPr>
            <w:r w:rsidRPr="00C05385">
              <w:rPr>
                <w:rFonts w:cs="Calibri"/>
                <w:noProof/>
                <w:color w:val="000000"/>
              </w:rPr>
              <w:t>NextGenerationEU</w:t>
            </w:r>
          </w:p>
        </w:tc>
        <w:tc>
          <w:tcPr>
            <w:tcW w:w="2610" w:type="dxa"/>
            <w:vAlign w:val="bottom"/>
          </w:tcPr>
          <w:p w14:paraId="32FCDC94" w14:textId="77777777" w:rsidR="000F75A3" w:rsidRPr="00C05385" w:rsidRDefault="000F75A3"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C05385">
              <w:rPr>
                <w:rFonts w:cs="Calibri"/>
                <w:noProof/>
                <w:color w:val="000000"/>
              </w:rPr>
              <w:t>0</w:t>
            </w:r>
          </w:p>
        </w:tc>
      </w:tr>
      <w:tr w:rsidR="000F75A3" w:rsidRPr="00C05385" w14:paraId="6E9DBA1B"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05FEA5EC" w14:textId="77777777" w:rsidR="000F75A3" w:rsidRPr="00C05385" w:rsidRDefault="000F75A3" w:rsidP="0083214A">
            <w:pPr>
              <w:spacing w:before="120" w:after="120"/>
              <w:rPr>
                <w:b w:val="0"/>
                <w:noProof/>
              </w:rPr>
            </w:pPr>
            <w:r w:rsidRPr="00C05385">
              <w:rPr>
                <w:noProof/>
              </w:rPr>
              <w:t>Decommitments made available again</w:t>
            </w:r>
            <w:r>
              <w:rPr>
                <w:rFonts w:ascii="Calibri" w:hAnsi="Calibri" w:cs="Calibri"/>
                <w:noProof/>
                <w:color w:val="000000"/>
              </w:rPr>
              <w:t> </w:t>
            </w:r>
            <w:r w:rsidRPr="00C05385">
              <w:rPr>
                <w:rFonts w:cs="Calibri"/>
                <w:noProof/>
                <w:color w:val="000000"/>
              </w:rPr>
              <w:t>(*)</w:t>
            </w:r>
          </w:p>
        </w:tc>
        <w:tc>
          <w:tcPr>
            <w:tcW w:w="2610" w:type="dxa"/>
            <w:vAlign w:val="bottom"/>
          </w:tcPr>
          <w:p w14:paraId="15300788" w14:textId="77777777" w:rsidR="000F75A3" w:rsidRPr="00C05385" w:rsidRDefault="000F75A3" w:rsidP="0083214A">
            <w:pPr>
              <w:spacing w:before="120" w:after="120"/>
              <w:jc w:val="center"/>
              <w:cnfStyle w:val="000000000000" w:firstRow="0" w:lastRow="0" w:firstColumn="0" w:lastColumn="0" w:oddVBand="0" w:evenVBand="0" w:oddHBand="0" w:evenHBand="0" w:firstRowFirstColumn="0" w:firstRowLastColumn="0" w:lastRowFirstColumn="0" w:lastRowLastColumn="0"/>
              <w:rPr>
                <w:noProof/>
              </w:rPr>
            </w:pPr>
            <w:r>
              <w:rPr>
                <w:rFonts w:cs="Calibri"/>
                <w:noProof/>
                <w:color w:val="000000"/>
              </w:rPr>
              <w:t>N/A</w:t>
            </w:r>
          </w:p>
        </w:tc>
      </w:tr>
      <w:tr w:rsidR="000F75A3" w:rsidRPr="00C05385" w14:paraId="05C591FC"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33F98583" w14:textId="77777777" w:rsidR="000F75A3" w:rsidRPr="00C05385" w:rsidRDefault="000F75A3" w:rsidP="0083214A">
            <w:pPr>
              <w:spacing w:before="120" w:after="120"/>
              <w:rPr>
                <w:noProof/>
              </w:rPr>
            </w:pPr>
            <w:r w:rsidRPr="00C05385">
              <w:rPr>
                <w:rFonts w:cs="Calibri"/>
                <w:noProof/>
                <w:color w:val="000000"/>
              </w:rPr>
              <w:t>Contributions from other countries and entities</w:t>
            </w:r>
          </w:p>
        </w:tc>
        <w:tc>
          <w:tcPr>
            <w:tcW w:w="2610" w:type="dxa"/>
            <w:vAlign w:val="bottom"/>
          </w:tcPr>
          <w:p w14:paraId="0683B50E" w14:textId="77777777" w:rsidR="000F75A3" w:rsidRPr="00C05385" w:rsidRDefault="000F75A3"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C05385">
              <w:rPr>
                <w:rFonts w:cs="Calibri"/>
                <w:noProof/>
                <w:color w:val="000000"/>
              </w:rPr>
              <w:t>0</w:t>
            </w:r>
          </w:p>
        </w:tc>
      </w:tr>
      <w:tr w:rsidR="000F75A3" w:rsidRPr="00C05385" w14:paraId="79E7FB5F"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2F2F2" w:themeFill="background1" w:themeFillShade="F2"/>
            <w:vAlign w:val="bottom"/>
          </w:tcPr>
          <w:p w14:paraId="077E375C" w14:textId="77777777" w:rsidR="000F75A3" w:rsidRPr="00C05385" w:rsidRDefault="000F75A3" w:rsidP="0083214A">
            <w:pPr>
              <w:spacing w:before="120" w:after="120"/>
              <w:rPr>
                <w:noProof/>
              </w:rPr>
            </w:pPr>
            <w:r>
              <w:rPr>
                <w:rFonts w:cs="Calibri"/>
                <w:noProof/>
                <w:color w:val="000000"/>
              </w:rPr>
              <w:t>T</w:t>
            </w:r>
            <w:r w:rsidRPr="00C05385">
              <w:rPr>
                <w:rFonts w:cs="Calibri"/>
                <w:noProof/>
                <w:color w:val="000000"/>
              </w:rPr>
              <w:t xml:space="preserve">otal budget </w:t>
            </w:r>
            <w:r>
              <w:rPr>
                <w:rFonts w:cs="Calibri"/>
                <w:noProof/>
                <w:color w:val="000000"/>
              </w:rPr>
              <w:t xml:space="preserve">for </w:t>
            </w:r>
            <w:r w:rsidRPr="00C05385">
              <w:rPr>
                <w:rFonts w:cs="Calibri"/>
                <w:noProof/>
                <w:color w:val="000000"/>
              </w:rPr>
              <w:t>2021-2027</w:t>
            </w:r>
          </w:p>
        </w:tc>
        <w:tc>
          <w:tcPr>
            <w:tcW w:w="2610" w:type="dxa"/>
            <w:shd w:val="clear" w:color="auto" w:fill="F2F2F2" w:themeFill="background1" w:themeFillShade="F2"/>
            <w:vAlign w:val="bottom"/>
          </w:tcPr>
          <w:p w14:paraId="5301E8EF" w14:textId="61C4D939" w:rsidR="00797032" w:rsidRDefault="00797032" w:rsidP="0079703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1 8</w:t>
            </w:r>
            <w:r w:rsidR="00D6086C">
              <w:rPr>
                <w:rFonts w:ascii="Calibri" w:hAnsi="Calibri" w:cs="Calibri"/>
                <w:noProof/>
                <w:color w:val="000000"/>
              </w:rPr>
              <w:t>93</w:t>
            </w:r>
            <w:r>
              <w:rPr>
                <w:rFonts w:ascii="Calibri" w:hAnsi="Calibri" w:cs="Calibri"/>
                <w:noProof/>
                <w:color w:val="000000"/>
              </w:rPr>
              <w:t>.</w:t>
            </w:r>
            <w:r w:rsidR="00D6086C">
              <w:rPr>
                <w:rFonts w:ascii="Calibri" w:hAnsi="Calibri" w:cs="Calibri"/>
                <w:noProof/>
                <w:color w:val="000000"/>
              </w:rPr>
              <w:t>1</w:t>
            </w:r>
          </w:p>
          <w:p w14:paraId="101E6A7D" w14:textId="5D69BB9F" w:rsidR="000F75A3" w:rsidRPr="00C05385" w:rsidRDefault="000F75A3" w:rsidP="0083214A">
            <w:pPr>
              <w:spacing w:before="120" w:after="120"/>
              <w:jc w:val="center"/>
              <w:cnfStyle w:val="000000000000" w:firstRow="0" w:lastRow="0" w:firstColumn="0" w:lastColumn="0" w:oddVBand="0" w:evenVBand="0" w:oddHBand="0" w:evenHBand="0" w:firstRowFirstColumn="0" w:firstRowLastColumn="0" w:lastRowFirstColumn="0" w:lastRowLastColumn="0"/>
              <w:rPr>
                <w:b/>
                <w:noProof/>
              </w:rPr>
            </w:pPr>
          </w:p>
        </w:tc>
      </w:tr>
    </w:tbl>
    <w:p w14:paraId="53A37408" w14:textId="77777777" w:rsidR="000F75A3" w:rsidRPr="00C05385" w:rsidRDefault="000F75A3" w:rsidP="000F75A3">
      <w:pPr>
        <w:tabs>
          <w:tab w:val="left" w:pos="6793"/>
        </w:tabs>
        <w:rPr>
          <w:noProof/>
          <w:sz w:val="18"/>
          <w:szCs w:val="18"/>
        </w:rPr>
      </w:pPr>
      <w:r w:rsidRPr="00C05385">
        <w:rPr>
          <w:noProof/>
          <w:sz w:val="18"/>
          <w:szCs w:val="18"/>
        </w:rPr>
        <w:t>(*) Only Art</w:t>
      </w:r>
      <w:r>
        <w:rPr>
          <w:noProof/>
          <w:sz w:val="18"/>
          <w:szCs w:val="18"/>
        </w:rPr>
        <w:t>icle</w:t>
      </w:r>
      <w:r>
        <w:rPr>
          <w:rFonts w:ascii="Calibri" w:hAnsi="Calibri" w:cs="Calibri"/>
          <w:noProof/>
          <w:sz w:val="18"/>
          <w:szCs w:val="18"/>
        </w:rPr>
        <w:t> </w:t>
      </w:r>
      <w:r w:rsidRPr="00C05385">
        <w:rPr>
          <w:noProof/>
          <w:sz w:val="18"/>
          <w:szCs w:val="18"/>
        </w:rPr>
        <w:t>15</w:t>
      </w:r>
      <w:r>
        <w:rPr>
          <w:noProof/>
          <w:sz w:val="18"/>
          <w:szCs w:val="18"/>
        </w:rPr>
        <w:t>(</w:t>
      </w:r>
      <w:r w:rsidRPr="00C05385">
        <w:rPr>
          <w:noProof/>
          <w:sz w:val="18"/>
          <w:szCs w:val="18"/>
        </w:rPr>
        <w:t>3</w:t>
      </w:r>
      <w:r>
        <w:rPr>
          <w:noProof/>
          <w:sz w:val="18"/>
          <w:szCs w:val="18"/>
        </w:rPr>
        <w:t>) of the</w:t>
      </w:r>
      <w:r w:rsidRPr="00C05385">
        <w:rPr>
          <w:noProof/>
          <w:sz w:val="18"/>
          <w:szCs w:val="18"/>
        </w:rPr>
        <w:t xml:space="preserve"> </w:t>
      </w:r>
      <w:r>
        <w:rPr>
          <w:noProof/>
          <w:sz w:val="18"/>
          <w:szCs w:val="18"/>
        </w:rPr>
        <w:t>f</w:t>
      </w:r>
      <w:r w:rsidRPr="00C05385">
        <w:rPr>
          <w:noProof/>
          <w:sz w:val="18"/>
          <w:szCs w:val="18"/>
        </w:rPr>
        <w:t xml:space="preserve">inancial </w:t>
      </w:r>
      <w:r>
        <w:rPr>
          <w:noProof/>
          <w:sz w:val="18"/>
          <w:szCs w:val="18"/>
        </w:rPr>
        <w:t>r</w:t>
      </w:r>
      <w:r w:rsidRPr="00C05385">
        <w:rPr>
          <w:noProof/>
          <w:sz w:val="18"/>
          <w:szCs w:val="18"/>
        </w:rPr>
        <w:t>egulation</w:t>
      </w:r>
      <w:r>
        <w:rPr>
          <w:noProof/>
          <w:sz w:val="18"/>
          <w:szCs w:val="18"/>
        </w:rPr>
        <w:t>.</w:t>
      </w:r>
    </w:p>
    <w:p w14:paraId="40A72EF3" w14:textId="77777777" w:rsidR="000F75A3" w:rsidRPr="00C05385" w:rsidRDefault="000F75A3" w:rsidP="000F75A3">
      <w:pPr>
        <w:pStyle w:val="ppoHeading5"/>
        <w:rPr>
          <w:noProof/>
        </w:rPr>
      </w:pPr>
      <w:r w:rsidRPr="00C05385">
        <w:rPr>
          <w:noProof/>
        </w:rPr>
        <w:t>Rationale and design of the programme</w:t>
      </w:r>
    </w:p>
    <w:p w14:paraId="68C0E429" w14:textId="77777777" w:rsidR="000F75A3" w:rsidRPr="00C05385" w:rsidRDefault="000F75A3" w:rsidP="000F75A3">
      <w:pPr>
        <w:rPr>
          <w:rFonts w:eastAsiaTheme="minorEastAsia"/>
          <w:noProof/>
        </w:rPr>
      </w:pPr>
      <w:r w:rsidRPr="00C05385">
        <w:rPr>
          <w:rFonts w:eastAsiaTheme="minorEastAsia"/>
          <w:noProof/>
        </w:rPr>
        <w:t>The Internal Security Fund (ISF) contributes to ensur</w:t>
      </w:r>
      <w:r>
        <w:rPr>
          <w:rFonts w:eastAsiaTheme="minorEastAsia"/>
          <w:noProof/>
        </w:rPr>
        <w:t>ing</w:t>
      </w:r>
      <w:r w:rsidRPr="00C05385">
        <w:rPr>
          <w:rFonts w:eastAsiaTheme="minorEastAsia"/>
          <w:noProof/>
        </w:rPr>
        <w:t xml:space="preserve"> a high level of security in the EU, in particular by preventing and combating terrorism and radicalisation, serious and organised crime and cybercrime, </w:t>
      </w:r>
      <w:r>
        <w:rPr>
          <w:rFonts w:eastAsiaTheme="minorEastAsia"/>
          <w:noProof/>
        </w:rPr>
        <w:t>and by</w:t>
      </w:r>
      <w:r w:rsidRPr="00C05385">
        <w:rPr>
          <w:rFonts w:eastAsiaTheme="minorEastAsia"/>
          <w:noProof/>
        </w:rPr>
        <w:t xml:space="preserve"> preparing for, protecting against and effectively managing security</w:t>
      </w:r>
      <w:r>
        <w:rPr>
          <w:rFonts w:eastAsiaTheme="minorEastAsia"/>
          <w:noProof/>
        </w:rPr>
        <w:t>-</w:t>
      </w:r>
      <w:r w:rsidRPr="00C05385">
        <w:rPr>
          <w:rFonts w:eastAsiaTheme="minorEastAsia"/>
          <w:noProof/>
        </w:rPr>
        <w:t>related incidents, risks and crises.</w:t>
      </w:r>
    </w:p>
    <w:p w14:paraId="4AFDE876" w14:textId="77777777" w:rsidR="000F75A3" w:rsidRPr="00C05385" w:rsidRDefault="000F75A3" w:rsidP="000F75A3">
      <w:pPr>
        <w:pStyle w:val="ppoHeading6"/>
        <w:rPr>
          <w:noProof/>
        </w:rPr>
      </w:pPr>
      <w:r w:rsidRPr="00C05385">
        <w:rPr>
          <w:noProof/>
        </w:rPr>
        <w:t>Challenge</w:t>
      </w:r>
    </w:p>
    <w:p w14:paraId="09CBE278" w14:textId="77777777" w:rsidR="000F75A3" w:rsidRPr="00C05385" w:rsidRDefault="000F75A3" w:rsidP="000F75A3">
      <w:pPr>
        <w:rPr>
          <w:noProof/>
        </w:rPr>
      </w:pPr>
      <w:r w:rsidRPr="00C05385">
        <w:rPr>
          <w:noProof/>
        </w:rPr>
        <w:t>Over recent years, security threats have intensified and diversified in Europe. They have come in the form of terrorist attacks, new types of serious and organised crime</w:t>
      </w:r>
      <w:r>
        <w:rPr>
          <w:noProof/>
        </w:rPr>
        <w:t xml:space="preserve"> and</w:t>
      </w:r>
      <w:r w:rsidRPr="00C05385">
        <w:rPr>
          <w:noProof/>
        </w:rPr>
        <w:t xml:space="preserve"> cybercrime.</w:t>
      </w:r>
    </w:p>
    <w:p w14:paraId="6DBBC2C6" w14:textId="77777777" w:rsidR="000F75A3" w:rsidRPr="00C05385" w:rsidRDefault="000F75A3" w:rsidP="000F75A3">
      <w:pPr>
        <w:rPr>
          <w:noProof/>
        </w:rPr>
      </w:pPr>
      <w:r w:rsidRPr="00C05385">
        <w:rPr>
          <w:noProof/>
        </w:rPr>
        <w:t>Taking into account that security has an inherently cross-border dimension and that, beyond internal security challenges, the EU faces complex external threats that no Member State can meet on its own, a strong and coordinated response is required at EU level.</w:t>
      </w:r>
    </w:p>
    <w:p w14:paraId="572C1413" w14:textId="77777777" w:rsidR="000F75A3" w:rsidRPr="00C05385" w:rsidRDefault="000F75A3" w:rsidP="000F75A3">
      <w:pPr>
        <w:pStyle w:val="ppoHeading6"/>
        <w:rPr>
          <w:noProof/>
        </w:rPr>
      </w:pPr>
      <w:r w:rsidRPr="00C05385">
        <w:rPr>
          <w:noProof/>
        </w:rPr>
        <w:t>Mission</w:t>
      </w:r>
    </w:p>
    <w:p w14:paraId="510AF757" w14:textId="77777777" w:rsidR="000F75A3" w:rsidRPr="00C05385" w:rsidRDefault="000F75A3" w:rsidP="000F75A3">
      <w:pPr>
        <w:rPr>
          <w:noProof/>
        </w:rPr>
      </w:pPr>
      <w:r w:rsidRPr="00C05385">
        <w:rPr>
          <w:noProof/>
        </w:rPr>
        <w:t>ISF is set up to contribute to a high level of security in the EU, in particular by preventing and combating terrorism, radicalisation, serious and organised crime and cybercrime, by assisting and protecting victims of crime, and by preparing for, protecting against and effectively managing security-related incidents, risks and crises.</w:t>
      </w:r>
    </w:p>
    <w:p w14:paraId="2CBFA7AA" w14:textId="77777777" w:rsidR="000F75A3" w:rsidRPr="00C05385" w:rsidRDefault="000F75A3" w:rsidP="000F75A3">
      <w:pPr>
        <w:pStyle w:val="ppoHeading6"/>
        <w:rPr>
          <w:noProof/>
        </w:rPr>
      </w:pPr>
      <w:r w:rsidRPr="00C05385">
        <w:rPr>
          <w:noProof/>
        </w:rPr>
        <w:t>Objectives</w:t>
      </w:r>
    </w:p>
    <w:p w14:paraId="4F8FDD2E" w14:textId="77777777" w:rsidR="000F75A3" w:rsidRPr="00C05385" w:rsidRDefault="000F75A3" w:rsidP="000F75A3">
      <w:pPr>
        <w:rPr>
          <w:noProof/>
        </w:rPr>
      </w:pPr>
      <w:r>
        <w:rPr>
          <w:noProof/>
        </w:rPr>
        <w:t xml:space="preserve">The </w:t>
      </w:r>
      <w:r w:rsidRPr="00C05385">
        <w:rPr>
          <w:noProof/>
        </w:rPr>
        <w:t>ISF pursues the following specific objectives:</w:t>
      </w:r>
    </w:p>
    <w:p w14:paraId="5D24FEEF" w14:textId="77777777" w:rsidR="000F75A3" w:rsidRPr="00C05385" w:rsidRDefault="000F75A3" w:rsidP="006F409B">
      <w:pPr>
        <w:pStyle w:val="ppoListArabic1aiii-L1"/>
        <w:numPr>
          <w:ilvl w:val="0"/>
          <w:numId w:val="128"/>
        </w:numPr>
        <w:rPr>
          <w:noProof/>
        </w:rPr>
      </w:pPr>
      <w:r>
        <w:rPr>
          <w:noProof/>
        </w:rPr>
        <w:t>t</w:t>
      </w:r>
      <w:r w:rsidRPr="00C05385">
        <w:rPr>
          <w:noProof/>
        </w:rPr>
        <w:t>o increase the exchange of information among and within EU law enforcement and other competent authorities and other relevant EU bodies</w:t>
      </w:r>
      <w:r>
        <w:rPr>
          <w:noProof/>
        </w:rPr>
        <w:t>,</w:t>
      </w:r>
      <w:r w:rsidRPr="00C05385">
        <w:rPr>
          <w:noProof/>
        </w:rPr>
        <w:t xml:space="preserve"> </w:t>
      </w:r>
      <w:r>
        <w:rPr>
          <w:noProof/>
        </w:rPr>
        <w:t xml:space="preserve">and </w:t>
      </w:r>
      <w:r w:rsidRPr="00C05385">
        <w:rPr>
          <w:noProof/>
        </w:rPr>
        <w:t>with non-EU countries and international organisations;</w:t>
      </w:r>
    </w:p>
    <w:p w14:paraId="6F54ECC4" w14:textId="77777777" w:rsidR="000F75A3" w:rsidRPr="00C05385" w:rsidRDefault="000F75A3" w:rsidP="000F75A3">
      <w:pPr>
        <w:pStyle w:val="ppoListArabic1aiii-L1"/>
        <w:numPr>
          <w:ilvl w:val="0"/>
          <w:numId w:val="40"/>
        </w:numPr>
        <w:rPr>
          <w:noProof/>
        </w:rPr>
      </w:pPr>
      <w:r>
        <w:rPr>
          <w:noProof/>
        </w:rPr>
        <w:t>t</w:t>
      </w:r>
      <w:r w:rsidRPr="00C05385">
        <w:rPr>
          <w:noProof/>
        </w:rPr>
        <w:t>o intensify cross-border cooperation, including joint operations, among and within EU law enforcement and other competent authorities in relation to terrorism and serious and organised crime with a cross-border dimension; and</w:t>
      </w:r>
    </w:p>
    <w:p w14:paraId="280C0228" w14:textId="77777777" w:rsidR="000F75A3" w:rsidRPr="00C05385" w:rsidRDefault="000F75A3" w:rsidP="000F75A3">
      <w:pPr>
        <w:pStyle w:val="ppoListArabic1aiii-L1"/>
        <w:numPr>
          <w:ilvl w:val="0"/>
          <w:numId w:val="40"/>
        </w:numPr>
        <w:rPr>
          <w:noProof/>
        </w:rPr>
      </w:pPr>
      <w:r>
        <w:rPr>
          <w:noProof/>
        </w:rPr>
        <w:t>t</w:t>
      </w:r>
      <w:r w:rsidRPr="00C05385">
        <w:rPr>
          <w:noProof/>
        </w:rPr>
        <w:t xml:space="preserve">o support efforts to strengthen capabilities to combat and prevent crime, terrorism and radicalisation, </w:t>
      </w:r>
      <w:r>
        <w:rPr>
          <w:noProof/>
        </w:rPr>
        <w:t>and to</w:t>
      </w:r>
      <w:r w:rsidRPr="00C05385">
        <w:rPr>
          <w:noProof/>
        </w:rPr>
        <w:t xml:space="preserve"> manage security-related incidents, risks and crises, in particular through increased cooperation between public authorities, civil society and private partners across the Member States.</w:t>
      </w:r>
    </w:p>
    <w:p w14:paraId="6FBB822F" w14:textId="77777777" w:rsidR="000F75A3" w:rsidRPr="00C05385" w:rsidRDefault="000F75A3" w:rsidP="000F75A3">
      <w:pPr>
        <w:pStyle w:val="ppoHeading6"/>
        <w:rPr>
          <w:noProof/>
        </w:rPr>
      </w:pPr>
      <w:r w:rsidRPr="00C05385">
        <w:rPr>
          <w:noProof/>
        </w:rPr>
        <w:t>Actions</w:t>
      </w:r>
    </w:p>
    <w:p w14:paraId="077E341F" w14:textId="77777777" w:rsidR="000F75A3" w:rsidRPr="00C05385" w:rsidRDefault="000F75A3" w:rsidP="000F75A3">
      <w:pPr>
        <w:rPr>
          <w:noProof/>
        </w:rPr>
      </w:pPr>
      <w:r>
        <w:rPr>
          <w:noProof/>
        </w:rPr>
        <w:t xml:space="preserve">The </w:t>
      </w:r>
      <w:r w:rsidRPr="00C05385">
        <w:rPr>
          <w:noProof/>
        </w:rPr>
        <w:t xml:space="preserve">ISF supports a broad range of actions in line with the European </w:t>
      </w:r>
      <w:r>
        <w:rPr>
          <w:noProof/>
        </w:rPr>
        <w:t>s</w:t>
      </w:r>
      <w:r w:rsidRPr="00C05385">
        <w:rPr>
          <w:noProof/>
        </w:rPr>
        <w:t xml:space="preserve">ecurity </w:t>
      </w:r>
      <w:r>
        <w:rPr>
          <w:noProof/>
        </w:rPr>
        <w:t>a</w:t>
      </w:r>
      <w:r w:rsidRPr="00C05385">
        <w:rPr>
          <w:noProof/>
        </w:rPr>
        <w:t>genda, including:</w:t>
      </w:r>
    </w:p>
    <w:p w14:paraId="0FA2443C" w14:textId="77777777" w:rsidR="000F75A3" w:rsidRPr="00C05385" w:rsidRDefault="000F75A3" w:rsidP="000F75A3">
      <w:pPr>
        <w:pStyle w:val="ppoListHyphened-L1"/>
        <w:rPr>
          <w:noProof/>
        </w:rPr>
      </w:pPr>
      <w:r>
        <w:rPr>
          <w:noProof/>
        </w:rPr>
        <w:t>t</w:t>
      </w:r>
      <w:r w:rsidRPr="00C05385">
        <w:rPr>
          <w:noProof/>
        </w:rPr>
        <w:t xml:space="preserve">he purchase/procurement of </w:t>
      </w:r>
      <w:r>
        <w:rPr>
          <w:noProof/>
        </w:rPr>
        <w:t>information and communication technology</w:t>
      </w:r>
      <w:r w:rsidRPr="00C05385">
        <w:rPr>
          <w:noProof/>
        </w:rPr>
        <w:t xml:space="preserve"> systems and associated training</w:t>
      </w:r>
      <w:r>
        <w:rPr>
          <w:noProof/>
        </w:rPr>
        <w:t xml:space="preserve"> and</w:t>
      </w:r>
      <w:r w:rsidRPr="00C05385">
        <w:rPr>
          <w:noProof/>
        </w:rPr>
        <w:t xml:space="preserve"> testing</w:t>
      </w:r>
      <w:r>
        <w:rPr>
          <w:noProof/>
        </w:rPr>
        <w:t>,</w:t>
      </w:r>
      <w:r w:rsidRPr="00C05385">
        <w:rPr>
          <w:noProof/>
        </w:rPr>
        <w:t xml:space="preserve"> </w:t>
      </w:r>
      <w:r>
        <w:rPr>
          <w:noProof/>
        </w:rPr>
        <w:t>along with</w:t>
      </w:r>
      <w:r w:rsidRPr="00C05385">
        <w:rPr>
          <w:noProof/>
        </w:rPr>
        <w:t xml:space="preserve"> their improved interoperability and data quality;</w:t>
      </w:r>
    </w:p>
    <w:p w14:paraId="5F206366" w14:textId="77777777" w:rsidR="000F75A3" w:rsidRPr="00C05385" w:rsidRDefault="000F75A3" w:rsidP="000F75A3">
      <w:pPr>
        <w:pStyle w:val="ppoListHyphened-L1"/>
        <w:rPr>
          <w:noProof/>
        </w:rPr>
      </w:pPr>
      <w:r>
        <w:rPr>
          <w:noProof/>
        </w:rPr>
        <w:t>m</w:t>
      </w:r>
      <w:r w:rsidRPr="00C05385">
        <w:rPr>
          <w:noProof/>
        </w:rPr>
        <w:t>onitoring the implementation of EU law and policy objectives in the Member States in the area of security information systems;</w:t>
      </w:r>
    </w:p>
    <w:p w14:paraId="78922355" w14:textId="77777777" w:rsidR="000F75A3" w:rsidRPr="00C05385" w:rsidRDefault="000F75A3" w:rsidP="000F75A3">
      <w:pPr>
        <w:pStyle w:val="ppoListHyphened-L1"/>
        <w:rPr>
          <w:noProof/>
        </w:rPr>
      </w:pPr>
      <w:r>
        <w:rPr>
          <w:noProof/>
        </w:rPr>
        <w:t>o</w:t>
      </w:r>
      <w:r w:rsidRPr="00C05385">
        <w:rPr>
          <w:noProof/>
        </w:rPr>
        <w:t>perations implementing or facilitating the implementation of the EU policy cycle</w:t>
      </w:r>
      <w:r w:rsidRPr="00C05385">
        <w:rPr>
          <w:rFonts w:ascii="Calibri" w:hAnsi="Calibri" w:cs="Calibri"/>
          <w:noProof/>
        </w:rPr>
        <w:t> </w:t>
      </w:r>
      <w:r w:rsidRPr="00C05385">
        <w:rPr>
          <w:noProof/>
        </w:rPr>
        <w:t>/ the European Multidisciplinary Platform Against Criminal Threats;</w:t>
      </w:r>
    </w:p>
    <w:p w14:paraId="19626792" w14:textId="77777777" w:rsidR="000F75A3" w:rsidRPr="00C05385" w:rsidRDefault="000F75A3" w:rsidP="000F75A3">
      <w:pPr>
        <w:pStyle w:val="ppoListHyphened-L1"/>
        <w:rPr>
          <w:noProof/>
        </w:rPr>
      </w:pPr>
      <w:r>
        <w:rPr>
          <w:noProof/>
        </w:rPr>
        <w:t>s</w:t>
      </w:r>
      <w:r w:rsidRPr="00C05385">
        <w:rPr>
          <w:noProof/>
        </w:rPr>
        <w:t xml:space="preserve">upport </w:t>
      </w:r>
      <w:r>
        <w:rPr>
          <w:noProof/>
        </w:rPr>
        <w:t>for</w:t>
      </w:r>
      <w:r w:rsidRPr="00C05385">
        <w:rPr>
          <w:noProof/>
        </w:rPr>
        <w:t xml:space="preserve"> thematic or cross-them</w:t>
      </w:r>
      <w:r>
        <w:rPr>
          <w:noProof/>
        </w:rPr>
        <w:t>atic</w:t>
      </w:r>
      <w:r w:rsidRPr="00C05385">
        <w:rPr>
          <w:noProof/>
        </w:rPr>
        <w:t xml:space="preserve"> networks of specialised national units to improve mutual confidence, </w:t>
      </w:r>
      <w:r>
        <w:rPr>
          <w:noProof/>
        </w:rPr>
        <w:t xml:space="preserve">the </w:t>
      </w:r>
      <w:r w:rsidRPr="00C05385">
        <w:rPr>
          <w:noProof/>
        </w:rPr>
        <w:t>exchange and dissemination of know-how, information, experiences and best practices</w:t>
      </w:r>
      <w:r>
        <w:rPr>
          <w:noProof/>
        </w:rPr>
        <w:t xml:space="preserve"> and the</w:t>
      </w:r>
      <w:r w:rsidRPr="00C05385">
        <w:rPr>
          <w:noProof/>
        </w:rPr>
        <w:t xml:space="preserve"> pooling of resources and expertise in joint centres of excellence;</w:t>
      </w:r>
    </w:p>
    <w:p w14:paraId="6F2C10E5" w14:textId="77777777" w:rsidR="000F75A3" w:rsidRPr="00C05385" w:rsidRDefault="000F75A3" w:rsidP="000F75A3">
      <w:pPr>
        <w:pStyle w:val="ppoListHyphened-L1"/>
        <w:rPr>
          <w:noProof/>
        </w:rPr>
      </w:pPr>
      <w:r>
        <w:rPr>
          <w:noProof/>
        </w:rPr>
        <w:t>e</w:t>
      </w:r>
      <w:r w:rsidRPr="00C05385">
        <w:rPr>
          <w:noProof/>
        </w:rPr>
        <w:t>ducation and training for relevant law enforcement and judicial authorities and administrative agencies.</w:t>
      </w:r>
    </w:p>
    <w:p w14:paraId="08911EA0" w14:textId="77777777" w:rsidR="000F75A3" w:rsidRPr="00C05385" w:rsidRDefault="000F75A3" w:rsidP="000F75A3">
      <w:pPr>
        <w:pStyle w:val="ppoHeading6"/>
        <w:rPr>
          <w:noProof/>
        </w:rPr>
      </w:pPr>
      <w:r w:rsidRPr="00C05385">
        <w:rPr>
          <w:noProof/>
        </w:rPr>
        <w:t>Delivery mode</w:t>
      </w:r>
    </w:p>
    <w:p w14:paraId="4250964C" w14:textId="77777777" w:rsidR="000F75A3" w:rsidRPr="00C05385" w:rsidRDefault="000F75A3" w:rsidP="000F75A3">
      <w:pPr>
        <w:rPr>
          <w:noProof/>
        </w:rPr>
      </w:pPr>
      <w:r>
        <w:rPr>
          <w:noProof/>
        </w:rPr>
        <w:t xml:space="preserve">The </w:t>
      </w:r>
      <w:r w:rsidRPr="00C05385">
        <w:rPr>
          <w:noProof/>
        </w:rPr>
        <w:t xml:space="preserve">ISF is implemented though shared management by the Member States and direct/indirect management by the Commission. For the latter, the lead </w:t>
      </w:r>
      <w:r>
        <w:rPr>
          <w:noProof/>
        </w:rPr>
        <w:t>DG</w:t>
      </w:r>
      <w:r w:rsidRPr="00C05385">
        <w:rPr>
          <w:noProof/>
        </w:rPr>
        <w:t xml:space="preserve"> is </w:t>
      </w:r>
      <w:r>
        <w:rPr>
          <w:noProof/>
        </w:rPr>
        <w:t>the Directorate-General for Migration and Home Affairs</w:t>
      </w:r>
      <w:r w:rsidRPr="00C05385">
        <w:rPr>
          <w:noProof/>
        </w:rPr>
        <w:t>, in close coordination in particular with</w:t>
      </w:r>
      <w:r>
        <w:rPr>
          <w:noProof/>
        </w:rPr>
        <w:t xml:space="preserve"> </w:t>
      </w:r>
      <w:r w:rsidRPr="00C05385">
        <w:rPr>
          <w:noProof/>
        </w:rPr>
        <w:t>other shared management DGs.</w:t>
      </w:r>
    </w:p>
    <w:p w14:paraId="28A2C7F7" w14:textId="77777777" w:rsidR="000F75A3" w:rsidRPr="00C05385" w:rsidRDefault="000F75A3" w:rsidP="000F75A3">
      <w:pPr>
        <w:pStyle w:val="ppoHeading6"/>
        <w:rPr>
          <w:noProof/>
        </w:rPr>
      </w:pPr>
      <w:r w:rsidRPr="00C05385">
        <w:rPr>
          <w:noProof/>
        </w:rPr>
        <w:t>LINK TO THE 2014-2020 MULTIANNUAL FINANCIAL FRAMEWORK</w:t>
      </w:r>
    </w:p>
    <w:p w14:paraId="07DE06DB" w14:textId="77777777" w:rsidR="000F75A3" w:rsidRPr="00C05385" w:rsidRDefault="000F75A3" w:rsidP="000F75A3">
      <w:pPr>
        <w:rPr>
          <w:noProof/>
        </w:rPr>
      </w:pPr>
      <w:r>
        <w:rPr>
          <w:noProof/>
        </w:rPr>
        <w:t xml:space="preserve">The </w:t>
      </w:r>
      <w:r w:rsidRPr="00C05385">
        <w:rPr>
          <w:noProof/>
        </w:rPr>
        <w:t xml:space="preserve">ISF has the same policy objectives and implementation </w:t>
      </w:r>
      <w:r>
        <w:rPr>
          <w:noProof/>
        </w:rPr>
        <w:t>methods</w:t>
      </w:r>
      <w:r w:rsidRPr="00C05385">
        <w:rPr>
          <w:noProof/>
        </w:rPr>
        <w:t xml:space="preserve"> as its 2014-2020 </w:t>
      </w:r>
      <w:r w:rsidRPr="00A7741D">
        <w:rPr>
          <w:noProof/>
        </w:rPr>
        <w:t>multiannual financial framework</w:t>
      </w:r>
      <w:r w:rsidRPr="00A7741D" w:rsidDel="00A7741D">
        <w:rPr>
          <w:noProof/>
        </w:rPr>
        <w:t xml:space="preserve"> </w:t>
      </w:r>
      <w:r w:rsidRPr="00C05385">
        <w:rPr>
          <w:noProof/>
        </w:rPr>
        <w:t>predecessor</w:t>
      </w:r>
      <w:r>
        <w:rPr>
          <w:rFonts w:ascii="Calibri" w:hAnsi="Calibri" w:cs="Calibri"/>
          <w:noProof/>
        </w:rPr>
        <w:t> </w:t>
      </w:r>
      <w:r w:rsidRPr="00C05385">
        <w:rPr>
          <w:noProof/>
        </w:rPr>
        <w:t xml:space="preserve">– the </w:t>
      </w:r>
      <w:r>
        <w:rPr>
          <w:noProof/>
        </w:rPr>
        <w:t>ISF</w:t>
      </w:r>
      <w:r w:rsidRPr="00C05385">
        <w:rPr>
          <w:noProof/>
        </w:rPr>
        <w:t xml:space="preserve"> Police strand. Whereas the specific objectives of the 2014-2020 </w:t>
      </w:r>
      <w:r w:rsidRPr="00A7741D">
        <w:rPr>
          <w:noProof/>
        </w:rPr>
        <w:t>multiannual financial framework</w:t>
      </w:r>
      <w:r w:rsidRPr="00A7741D" w:rsidDel="00A7741D">
        <w:rPr>
          <w:noProof/>
        </w:rPr>
        <w:t xml:space="preserve"> </w:t>
      </w:r>
      <w:r w:rsidRPr="00C05385">
        <w:rPr>
          <w:noProof/>
        </w:rPr>
        <w:t>programme focused on crime and crisis, the 2021-2027 ISF has more cross</w:t>
      </w:r>
      <w:r>
        <w:rPr>
          <w:noProof/>
        </w:rPr>
        <w:t>-</w:t>
      </w:r>
      <w:r w:rsidRPr="00C05385">
        <w:rPr>
          <w:noProof/>
        </w:rPr>
        <w:t>cutting specific objectives.</w:t>
      </w:r>
    </w:p>
    <w:p w14:paraId="6BB9B4E8" w14:textId="77777777" w:rsidR="000F75A3" w:rsidRPr="00C05385" w:rsidRDefault="000F75A3" w:rsidP="000F75A3">
      <w:pPr>
        <w:pStyle w:val="ppoHeading6"/>
        <w:rPr>
          <w:noProof/>
        </w:rPr>
      </w:pPr>
      <w:r w:rsidRPr="00C05385">
        <w:rPr>
          <w:noProof/>
        </w:rPr>
        <w:t>Impact assessment</w:t>
      </w:r>
    </w:p>
    <w:p w14:paraId="4E5E0EB5" w14:textId="77777777" w:rsidR="000F75A3" w:rsidRPr="00C05385" w:rsidRDefault="000F75A3" w:rsidP="000F75A3">
      <w:pPr>
        <w:rPr>
          <w:noProof/>
        </w:rPr>
      </w:pPr>
      <w:r w:rsidRPr="00C05385">
        <w:rPr>
          <w:noProof/>
        </w:rPr>
        <w:t xml:space="preserve">The impact assessment of the </w:t>
      </w:r>
      <w:r>
        <w:rPr>
          <w:noProof/>
        </w:rPr>
        <w:t>ISF</w:t>
      </w:r>
      <w:r w:rsidRPr="00C05385">
        <w:rPr>
          <w:noProof/>
        </w:rPr>
        <w:t xml:space="preserve"> was carried out in 2018.</w:t>
      </w:r>
    </w:p>
    <w:p w14:paraId="09671B49" w14:textId="77777777" w:rsidR="000F75A3" w:rsidRPr="00C05385" w:rsidRDefault="000F75A3" w:rsidP="000F75A3">
      <w:pPr>
        <w:rPr>
          <w:noProof/>
        </w:rPr>
      </w:pPr>
      <w:r w:rsidRPr="00C05385">
        <w:rPr>
          <w:noProof/>
        </w:rPr>
        <w:t xml:space="preserve">For further information please consult: </w:t>
      </w:r>
      <w:hyperlink r:id="rId469" w:history="1">
        <w:r w:rsidRPr="00C05385">
          <w:rPr>
            <w:rStyle w:val="Hyperlink"/>
            <w:noProof/>
          </w:rPr>
          <w:t>https://europa.eu/!xU94BD</w:t>
        </w:r>
      </w:hyperlink>
    </w:p>
    <w:p w14:paraId="538E77B7" w14:textId="77777777" w:rsidR="000F75A3" w:rsidRPr="00C05385" w:rsidRDefault="000F75A3" w:rsidP="000F75A3">
      <w:pPr>
        <w:pStyle w:val="ppoHeading6"/>
        <w:rPr>
          <w:noProof/>
        </w:rPr>
      </w:pPr>
      <w:bookmarkStart w:id="211" w:name="_Hlk101948930"/>
      <w:r w:rsidRPr="00C05385">
        <w:rPr>
          <w:noProof/>
        </w:rPr>
        <w:t>WEBSITE FOR more information</w:t>
      </w:r>
    </w:p>
    <w:p w14:paraId="1B938A2A" w14:textId="77777777" w:rsidR="000F75A3" w:rsidRPr="00C05385" w:rsidRDefault="00E01E9B" w:rsidP="000F75A3">
      <w:pPr>
        <w:rPr>
          <w:noProof/>
        </w:rPr>
      </w:pPr>
      <w:hyperlink r:id="rId470" w:history="1">
        <w:r w:rsidR="000F75A3" w:rsidRPr="00341978">
          <w:rPr>
            <w:rStyle w:val="Hyperlink"/>
            <w:noProof/>
          </w:rPr>
          <w:t>https://ec.europa.eu/home-affairs/funding/internal-security-funds/internal-security-fund-2021-2027_en</w:t>
        </w:r>
      </w:hyperlink>
      <w:r w:rsidR="000F75A3">
        <w:rPr>
          <w:noProof/>
        </w:rPr>
        <w:t xml:space="preserve"> </w:t>
      </w:r>
      <w:bookmarkEnd w:id="211"/>
    </w:p>
    <w:p w14:paraId="06282934" w14:textId="77777777" w:rsidR="000F75A3" w:rsidRPr="00C05385" w:rsidRDefault="000F75A3" w:rsidP="000F75A3">
      <w:pPr>
        <w:pStyle w:val="ppoHeading5"/>
        <w:rPr>
          <w:noProof/>
        </w:rPr>
      </w:pPr>
      <w:r w:rsidRPr="00C05385">
        <w:rPr>
          <w:rFonts w:eastAsiaTheme="minorEastAsia"/>
          <w:noProof/>
        </w:rPr>
        <w:t xml:space="preserve">Legal </w:t>
      </w:r>
      <w:r>
        <w:rPr>
          <w:rFonts w:eastAsiaTheme="minorEastAsia"/>
          <w:noProof/>
        </w:rPr>
        <w:t>b</w:t>
      </w:r>
      <w:r w:rsidRPr="00C05385">
        <w:rPr>
          <w:rFonts w:eastAsiaTheme="minorEastAsia"/>
          <w:noProof/>
        </w:rPr>
        <w:t>asis</w:t>
      </w:r>
    </w:p>
    <w:p w14:paraId="4DC16F5B" w14:textId="77777777" w:rsidR="000F75A3" w:rsidRPr="00C05385" w:rsidRDefault="000F75A3" w:rsidP="000F75A3">
      <w:pPr>
        <w:rPr>
          <w:noProof/>
        </w:rPr>
      </w:pPr>
      <w:r w:rsidRPr="00C05385">
        <w:rPr>
          <w:noProof/>
          <w:lang w:eastAsia="en-IE"/>
        </w:rPr>
        <w:t>Regulation (EU) 2021/1149 of the European Parliament and of the Council</w:t>
      </w:r>
      <w:r>
        <w:rPr>
          <w:noProof/>
          <w:lang w:eastAsia="en-IE"/>
        </w:rPr>
        <w:t>.</w:t>
      </w:r>
    </w:p>
    <w:p w14:paraId="10D9CA22" w14:textId="77777777" w:rsidR="000F75A3" w:rsidRPr="00C05385" w:rsidRDefault="000F75A3" w:rsidP="000F75A3">
      <w:pPr>
        <w:pStyle w:val="ppoHeading4Blue"/>
        <w:rPr>
          <w:caps/>
          <w:noProof/>
        </w:rPr>
      </w:pPr>
      <w:r w:rsidRPr="00C05385">
        <w:rPr>
          <w:noProof/>
        </w:rPr>
        <w:t>Implementation and performance</w:t>
      </w:r>
    </w:p>
    <w:p w14:paraId="0E2C2630" w14:textId="77777777" w:rsidR="000F75A3" w:rsidRPr="00C05385" w:rsidRDefault="000F75A3" w:rsidP="000F75A3">
      <w:pPr>
        <w:pStyle w:val="ppoHeading5"/>
        <w:rPr>
          <w:noProof/>
        </w:rPr>
      </w:pPr>
      <w:r w:rsidRPr="00C05385">
        <w:rPr>
          <w:noProof/>
        </w:rPr>
        <w:t>Budget</w:t>
      </w:r>
    </w:p>
    <w:p w14:paraId="4EC1BCE1" w14:textId="77777777" w:rsidR="000F75A3" w:rsidRPr="00C05385" w:rsidRDefault="000F75A3" w:rsidP="000F75A3">
      <w:pPr>
        <w:pStyle w:val="ppoTableTabletitle"/>
        <w:rPr>
          <w:noProof/>
        </w:rPr>
      </w:pPr>
      <w:r w:rsidRPr="00C05385">
        <w:rPr>
          <w:noProof/>
        </w:rPr>
        <w:t>Budget programming (million 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0F75A3" w:rsidRPr="00C05385" w14:paraId="7BA66279" w14:textId="77777777" w:rsidTr="0083214A">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7977DB7A" w14:textId="77777777" w:rsidR="000F75A3" w:rsidRPr="00C05385" w:rsidRDefault="000F75A3" w:rsidP="0083214A">
            <w:pPr>
              <w:rPr>
                <w:noProof/>
              </w:rPr>
            </w:pPr>
          </w:p>
        </w:tc>
        <w:tc>
          <w:tcPr>
            <w:tcW w:w="943" w:type="dxa"/>
            <w:noWrap/>
            <w:hideMark/>
          </w:tcPr>
          <w:p w14:paraId="062BCC10" w14:textId="77777777" w:rsidR="000F75A3" w:rsidRPr="00C05385" w:rsidRDefault="000F75A3" w:rsidP="0083214A">
            <w:pPr>
              <w:rPr>
                <w:noProof/>
              </w:rPr>
            </w:pPr>
            <w:r w:rsidRPr="00C05385">
              <w:rPr>
                <w:noProof/>
              </w:rPr>
              <w:t>2021</w:t>
            </w:r>
          </w:p>
        </w:tc>
        <w:tc>
          <w:tcPr>
            <w:tcW w:w="944" w:type="dxa"/>
            <w:noWrap/>
            <w:hideMark/>
          </w:tcPr>
          <w:p w14:paraId="59403549" w14:textId="77777777" w:rsidR="000F75A3" w:rsidRPr="00C05385" w:rsidRDefault="000F75A3" w:rsidP="0083214A">
            <w:pPr>
              <w:rPr>
                <w:noProof/>
              </w:rPr>
            </w:pPr>
            <w:r w:rsidRPr="00C05385">
              <w:rPr>
                <w:noProof/>
              </w:rPr>
              <w:t>2022</w:t>
            </w:r>
          </w:p>
        </w:tc>
        <w:tc>
          <w:tcPr>
            <w:tcW w:w="943" w:type="dxa"/>
            <w:noWrap/>
            <w:hideMark/>
          </w:tcPr>
          <w:p w14:paraId="0F49298F" w14:textId="77777777" w:rsidR="000F75A3" w:rsidRPr="00C05385" w:rsidRDefault="000F75A3" w:rsidP="0083214A">
            <w:pPr>
              <w:rPr>
                <w:noProof/>
              </w:rPr>
            </w:pPr>
            <w:r w:rsidRPr="00C05385">
              <w:rPr>
                <w:noProof/>
              </w:rPr>
              <w:t>2023</w:t>
            </w:r>
          </w:p>
        </w:tc>
        <w:tc>
          <w:tcPr>
            <w:tcW w:w="944" w:type="dxa"/>
            <w:noWrap/>
            <w:hideMark/>
          </w:tcPr>
          <w:p w14:paraId="04CC05FB" w14:textId="77777777" w:rsidR="000F75A3" w:rsidRPr="00C05385" w:rsidRDefault="000F75A3" w:rsidP="0083214A">
            <w:pPr>
              <w:rPr>
                <w:noProof/>
              </w:rPr>
            </w:pPr>
            <w:r w:rsidRPr="00C05385">
              <w:rPr>
                <w:noProof/>
              </w:rPr>
              <w:t>2024</w:t>
            </w:r>
          </w:p>
        </w:tc>
        <w:tc>
          <w:tcPr>
            <w:tcW w:w="944" w:type="dxa"/>
            <w:noWrap/>
            <w:hideMark/>
          </w:tcPr>
          <w:p w14:paraId="220E160C" w14:textId="77777777" w:rsidR="000F75A3" w:rsidRPr="00C05385" w:rsidRDefault="000F75A3" w:rsidP="0083214A">
            <w:pPr>
              <w:rPr>
                <w:noProof/>
              </w:rPr>
            </w:pPr>
            <w:r w:rsidRPr="00C05385">
              <w:rPr>
                <w:noProof/>
              </w:rPr>
              <w:t>2025</w:t>
            </w:r>
          </w:p>
        </w:tc>
        <w:tc>
          <w:tcPr>
            <w:tcW w:w="943" w:type="dxa"/>
            <w:noWrap/>
            <w:hideMark/>
          </w:tcPr>
          <w:p w14:paraId="1170961D" w14:textId="77777777" w:rsidR="000F75A3" w:rsidRPr="00C05385" w:rsidRDefault="000F75A3" w:rsidP="0083214A">
            <w:pPr>
              <w:rPr>
                <w:noProof/>
              </w:rPr>
            </w:pPr>
            <w:r w:rsidRPr="00C05385">
              <w:rPr>
                <w:noProof/>
              </w:rPr>
              <w:t>2026</w:t>
            </w:r>
          </w:p>
        </w:tc>
        <w:tc>
          <w:tcPr>
            <w:tcW w:w="944" w:type="dxa"/>
            <w:noWrap/>
            <w:hideMark/>
          </w:tcPr>
          <w:p w14:paraId="273BA284" w14:textId="77777777" w:rsidR="000F75A3" w:rsidRPr="00C05385" w:rsidRDefault="000F75A3" w:rsidP="0083214A">
            <w:pPr>
              <w:rPr>
                <w:noProof/>
              </w:rPr>
            </w:pPr>
            <w:r w:rsidRPr="00C05385">
              <w:rPr>
                <w:noProof/>
              </w:rPr>
              <w:t>2027</w:t>
            </w:r>
          </w:p>
        </w:tc>
        <w:tc>
          <w:tcPr>
            <w:tcW w:w="944" w:type="dxa"/>
            <w:noWrap/>
            <w:hideMark/>
          </w:tcPr>
          <w:p w14:paraId="35D65C79" w14:textId="77777777" w:rsidR="000F75A3" w:rsidRPr="00C05385" w:rsidRDefault="000F75A3" w:rsidP="0083214A">
            <w:pPr>
              <w:rPr>
                <w:noProof/>
              </w:rPr>
            </w:pPr>
            <w:r w:rsidRPr="00C05385">
              <w:rPr>
                <w:noProof/>
              </w:rPr>
              <w:t>Total</w:t>
            </w:r>
          </w:p>
        </w:tc>
      </w:tr>
      <w:tr w:rsidR="00797032" w:rsidRPr="00C05385" w14:paraId="7F0FFAC6" w14:textId="77777777" w:rsidTr="00D539B7">
        <w:trPr>
          <w:cnfStyle w:val="000000100000" w:firstRow="0" w:lastRow="0" w:firstColumn="0" w:lastColumn="0" w:oddVBand="0" w:evenVBand="0" w:oddHBand="1" w:evenHBand="0" w:firstRowFirstColumn="0" w:firstRowLastColumn="0" w:lastRowFirstColumn="0" w:lastRowLastColumn="0"/>
          <w:trHeight w:val="290"/>
        </w:trPr>
        <w:tc>
          <w:tcPr>
            <w:tcW w:w="0" w:type="dxa"/>
            <w:noWrap/>
            <w:hideMark/>
          </w:tcPr>
          <w:p w14:paraId="391CB7F7" w14:textId="77777777" w:rsidR="00797032" w:rsidRPr="00C05385" w:rsidRDefault="00797032" w:rsidP="00797032">
            <w:pPr>
              <w:rPr>
                <w:noProof/>
              </w:rPr>
            </w:pPr>
            <w:r w:rsidRPr="00C05385">
              <w:rPr>
                <w:noProof/>
              </w:rPr>
              <w:t>Financial programming</w:t>
            </w:r>
          </w:p>
        </w:tc>
        <w:tc>
          <w:tcPr>
            <w:tcW w:w="0" w:type="dxa"/>
            <w:noWrap/>
            <w:hideMark/>
          </w:tcPr>
          <w:p w14:paraId="1DCA49E3" w14:textId="77777777" w:rsidR="00797032" w:rsidRPr="00D539B7" w:rsidRDefault="00797032" w:rsidP="00797032">
            <w:pPr>
              <w:jc w:val="center"/>
              <w:rPr>
                <w:rFonts w:ascii="Calibri" w:hAnsi="Calibri" w:cs="Calibri"/>
                <w:noProof/>
                <w:color w:val="000000"/>
              </w:rPr>
            </w:pPr>
            <w:r w:rsidRPr="00D539B7">
              <w:rPr>
                <w:rFonts w:ascii="Calibri" w:hAnsi="Calibri" w:cs="Calibri"/>
                <w:noProof/>
                <w:color w:val="000000"/>
              </w:rPr>
              <w:t>70.0</w:t>
            </w:r>
          </w:p>
        </w:tc>
        <w:tc>
          <w:tcPr>
            <w:tcW w:w="0" w:type="dxa"/>
            <w:noWrap/>
            <w:hideMark/>
          </w:tcPr>
          <w:p w14:paraId="7481440E" w14:textId="77777777" w:rsidR="00797032" w:rsidRPr="00D539B7" w:rsidRDefault="00797032" w:rsidP="00797032">
            <w:pPr>
              <w:jc w:val="center"/>
              <w:rPr>
                <w:rFonts w:ascii="Calibri" w:hAnsi="Calibri" w:cs="Calibri"/>
                <w:noProof/>
                <w:color w:val="000000"/>
              </w:rPr>
            </w:pPr>
            <w:r w:rsidRPr="00D539B7">
              <w:rPr>
                <w:rFonts w:ascii="Calibri" w:hAnsi="Calibri" w:cs="Calibri"/>
                <w:noProof/>
                <w:color w:val="000000"/>
              </w:rPr>
              <w:t>254.1</w:t>
            </w:r>
          </w:p>
        </w:tc>
        <w:tc>
          <w:tcPr>
            <w:tcW w:w="0" w:type="dxa"/>
            <w:noWrap/>
            <w:hideMark/>
          </w:tcPr>
          <w:p w14:paraId="1E1CCEF0" w14:textId="77777777" w:rsidR="00797032" w:rsidRPr="00D539B7" w:rsidRDefault="00797032" w:rsidP="00797032">
            <w:pPr>
              <w:jc w:val="center"/>
              <w:rPr>
                <w:rFonts w:ascii="Calibri" w:hAnsi="Calibri" w:cs="Calibri"/>
                <w:noProof/>
                <w:color w:val="000000"/>
              </w:rPr>
            </w:pPr>
            <w:r w:rsidRPr="00D539B7">
              <w:rPr>
                <w:rFonts w:ascii="Calibri" w:hAnsi="Calibri" w:cs="Calibri"/>
                <w:noProof/>
                <w:color w:val="000000"/>
              </w:rPr>
              <w:t>309.9</w:t>
            </w:r>
          </w:p>
        </w:tc>
        <w:tc>
          <w:tcPr>
            <w:tcW w:w="0" w:type="dxa"/>
            <w:noWrap/>
            <w:hideMark/>
          </w:tcPr>
          <w:p w14:paraId="523B9EC9" w14:textId="77777777" w:rsidR="00797032" w:rsidRPr="00D539B7" w:rsidRDefault="00797032" w:rsidP="00797032">
            <w:pPr>
              <w:jc w:val="center"/>
              <w:rPr>
                <w:rFonts w:ascii="Calibri" w:hAnsi="Calibri" w:cs="Calibri"/>
                <w:noProof/>
                <w:color w:val="000000"/>
              </w:rPr>
            </w:pPr>
            <w:r w:rsidRPr="00D539B7">
              <w:rPr>
                <w:rFonts w:ascii="Calibri" w:hAnsi="Calibri" w:cs="Calibri"/>
                <w:noProof/>
                <w:color w:val="000000"/>
              </w:rPr>
              <w:t>314.9</w:t>
            </w:r>
          </w:p>
        </w:tc>
        <w:tc>
          <w:tcPr>
            <w:tcW w:w="0" w:type="dxa"/>
            <w:noWrap/>
            <w:hideMark/>
          </w:tcPr>
          <w:p w14:paraId="54475771" w14:textId="1F069013" w:rsidR="00797032" w:rsidRPr="00D539B7" w:rsidRDefault="00797032" w:rsidP="00797032">
            <w:pPr>
              <w:jc w:val="center"/>
              <w:rPr>
                <w:rFonts w:ascii="Calibri" w:hAnsi="Calibri" w:cs="Calibri"/>
                <w:noProof/>
                <w:color w:val="000000"/>
              </w:rPr>
            </w:pPr>
            <w:r>
              <w:rPr>
                <w:rFonts w:ascii="Calibri" w:hAnsi="Calibri" w:cs="Calibri"/>
                <w:noProof/>
                <w:color w:val="000000"/>
              </w:rPr>
              <w:t>33</w:t>
            </w:r>
            <w:r w:rsidR="00D6086C">
              <w:rPr>
                <w:rFonts w:ascii="Calibri" w:hAnsi="Calibri" w:cs="Calibri"/>
                <w:noProof/>
                <w:color w:val="000000"/>
              </w:rPr>
              <w:t>7</w:t>
            </w:r>
            <w:r>
              <w:rPr>
                <w:rFonts w:ascii="Calibri" w:hAnsi="Calibri" w:cs="Calibri"/>
                <w:noProof/>
                <w:color w:val="000000"/>
              </w:rPr>
              <w:t>.</w:t>
            </w:r>
            <w:r w:rsidR="00D6086C">
              <w:rPr>
                <w:rFonts w:ascii="Calibri" w:hAnsi="Calibri" w:cs="Calibri"/>
                <w:noProof/>
                <w:color w:val="000000"/>
              </w:rPr>
              <w:t>2</w:t>
            </w:r>
          </w:p>
        </w:tc>
        <w:tc>
          <w:tcPr>
            <w:tcW w:w="0" w:type="dxa"/>
            <w:noWrap/>
            <w:hideMark/>
          </w:tcPr>
          <w:p w14:paraId="4FF25C65" w14:textId="65CC06B5" w:rsidR="00797032" w:rsidRPr="00D539B7" w:rsidRDefault="00797032" w:rsidP="00797032">
            <w:pPr>
              <w:jc w:val="center"/>
              <w:rPr>
                <w:rFonts w:ascii="Calibri" w:hAnsi="Calibri" w:cs="Calibri"/>
                <w:noProof/>
                <w:color w:val="000000"/>
              </w:rPr>
            </w:pPr>
            <w:r>
              <w:rPr>
                <w:rFonts w:ascii="Calibri" w:hAnsi="Calibri" w:cs="Calibri"/>
                <w:noProof/>
                <w:color w:val="000000"/>
              </w:rPr>
              <w:t>3</w:t>
            </w:r>
            <w:r w:rsidR="00D6086C">
              <w:rPr>
                <w:rFonts w:ascii="Calibri" w:hAnsi="Calibri" w:cs="Calibri"/>
                <w:noProof/>
                <w:color w:val="000000"/>
              </w:rPr>
              <w:t>21</w:t>
            </w:r>
            <w:r>
              <w:rPr>
                <w:rFonts w:ascii="Calibri" w:hAnsi="Calibri" w:cs="Calibri"/>
                <w:noProof/>
                <w:color w:val="000000"/>
              </w:rPr>
              <w:t>.</w:t>
            </w:r>
            <w:r w:rsidR="00D6086C">
              <w:rPr>
                <w:rFonts w:ascii="Calibri" w:hAnsi="Calibri" w:cs="Calibri"/>
                <w:noProof/>
                <w:color w:val="000000"/>
              </w:rPr>
              <w:t>7</w:t>
            </w:r>
          </w:p>
        </w:tc>
        <w:tc>
          <w:tcPr>
            <w:tcW w:w="0" w:type="dxa"/>
            <w:noWrap/>
            <w:hideMark/>
          </w:tcPr>
          <w:p w14:paraId="1FCF806F" w14:textId="3D850C25" w:rsidR="00797032" w:rsidRPr="00D539B7" w:rsidRDefault="00797032" w:rsidP="00797032">
            <w:pPr>
              <w:jc w:val="center"/>
              <w:rPr>
                <w:rFonts w:ascii="Calibri" w:hAnsi="Calibri" w:cs="Calibri"/>
                <w:noProof/>
                <w:color w:val="000000"/>
              </w:rPr>
            </w:pPr>
            <w:r>
              <w:rPr>
                <w:rFonts w:ascii="Calibri" w:hAnsi="Calibri" w:cs="Calibri"/>
                <w:noProof/>
                <w:color w:val="000000"/>
              </w:rPr>
              <w:t>285.4</w:t>
            </w:r>
          </w:p>
        </w:tc>
        <w:tc>
          <w:tcPr>
            <w:tcW w:w="0" w:type="dxa"/>
            <w:noWrap/>
            <w:hideMark/>
          </w:tcPr>
          <w:p w14:paraId="767EF1D2" w14:textId="709F53FB" w:rsidR="00797032" w:rsidRPr="00D539B7" w:rsidRDefault="00797032" w:rsidP="00797032">
            <w:pPr>
              <w:jc w:val="center"/>
              <w:rPr>
                <w:rFonts w:ascii="Calibri" w:hAnsi="Calibri" w:cs="Calibri"/>
                <w:noProof/>
                <w:color w:val="000000"/>
              </w:rPr>
            </w:pPr>
            <w:r>
              <w:rPr>
                <w:rFonts w:ascii="Calibri" w:hAnsi="Calibri" w:cs="Calibri"/>
                <w:noProof/>
                <w:color w:val="000000"/>
              </w:rPr>
              <w:t>1 8</w:t>
            </w:r>
            <w:r w:rsidR="00D6086C">
              <w:rPr>
                <w:rFonts w:ascii="Calibri" w:hAnsi="Calibri" w:cs="Calibri"/>
                <w:noProof/>
                <w:color w:val="000000"/>
              </w:rPr>
              <w:t>93</w:t>
            </w:r>
            <w:r>
              <w:rPr>
                <w:rFonts w:ascii="Calibri" w:hAnsi="Calibri" w:cs="Calibri"/>
                <w:noProof/>
                <w:color w:val="000000"/>
              </w:rPr>
              <w:t>.</w:t>
            </w:r>
            <w:r w:rsidR="00D6086C">
              <w:rPr>
                <w:rFonts w:ascii="Calibri" w:hAnsi="Calibri" w:cs="Calibri"/>
                <w:noProof/>
                <w:color w:val="000000"/>
              </w:rPr>
              <w:t>1</w:t>
            </w:r>
          </w:p>
        </w:tc>
      </w:tr>
      <w:tr w:rsidR="000F75A3" w:rsidRPr="00C05385" w14:paraId="7F565614"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231476F1" w14:textId="77777777" w:rsidR="000F75A3" w:rsidRPr="00C05385" w:rsidRDefault="000F75A3" w:rsidP="0083214A">
            <w:pPr>
              <w:rPr>
                <w:noProof/>
              </w:rPr>
            </w:pPr>
            <w:r w:rsidRPr="00C05385">
              <w:rPr>
                <w:noProof/>
              </w:rPr>
              <w:t>NextGenerationEU</w:t>
            </w:r>
          </w:p>
        </w:tc>
        <w:tc>
          <w:tcPr>
            <w:tcW w:w="943" w:type="dxa"/>
            <w:noWrap/>
            <w:hideMark/>
          </w:tcPr>
          <w:p w14:paraId="6323BC83" w14:textId="77777777" w:rsidR="000F75A3" w:rsidRPr="00C05385" w:rsidRDefault="000F75A3" w:rsidP="0083214A">
            <w:pPr>
              <w:jc w:val="center"/>
              <w:rPr>
                <w:noProof/>
              </w:rPr>
            </w:pPr>
          </w:p>
        </w:tc>
        <w:tc>
          <w:tcPr>
            <w:tcW w:w="944" w:type="dxa"/>
            <w:noWrap/>
            <w:hideMark/>
          </w:tcPr>
          <w:p w14:paraId="6D03D9EF" w14:textId="77777777" w:rsidR="000F75A3" w:rsidRPr="00C05385" w:rsidRDefault="000F75A3" w:rsidP="0083214A">
            <w:pPr>
              <w:jc w:val="center"/>
              <w:rPr>
                <w:noProof/>
              </w:rPr>
            </w:pPr>
          </w:p>
        </w:tc>
        <w:tc>
          <w:tcPr>
            <w:tcW w:w="943" w:type="dxa"/>
            <w:noWrap/>
            <w:hideMark/>
          </w:tcPr>
          <w:p w14:paraId="47CC98B0" w14:textId="77777777" w:rsidR="000F75A3" w:rsidRPr="00C05385" w:rsidRDefault="000F75A3" w:rsidP="0083214A">
            <w:pPr>
              <w:jc w:val="center"/>
              <w:rPr>
                <w:noProof/>
              </w:rPr>
            </w:pPr>
          </w:p>
        </w:tc>
        <w:tc>
          <w:tcPr>
            <w:tcW w:w="944" w:type="dxa"/>
            <w:noWrap/>
            <w:hideMark/>
          </w:tcPr>
          <w:p w14:paraId="0F0A8350" w14:textId="77777777" w:rsidR="000F75A3" w:rsidRPr="00C05385" w:rsidRDefault="000F75A3" w:rsidP="0083214A">
            <w:pPr>
              <w:jc w:val="center"/>
              <w:rPr>
                <w:noProof/>
              </w:rPr>
            </w:pPr>
          </w:p>
        </w:tc>
        <w:tc>
          <w:tcPr>
            <w:tcW w:w="944" w:type="dxa"/>
            <w:noWrap/>
            <w:hideMark/>
          </w:tcPr>
          <w:p w14:paraId="215C52B4" w14:textId="77777777" w:rsidR="000F75A3" w:rsidRPr="00C05385" w:rsidRDefault="000F75A3" w:rsidP="0083214A">
            <w:pPr>
              <w:jc w:val="center"/>
              <w:rPr>
                <w:noProof/>
              </w:rPr>
            </w:pPr>
          </w:p>
        </w:tc>
        <w:tc>
          <w:tcPr>
            <w:tcW w:w="943" w:type="dxa"/>
            <w:noWrap/>
            <w:hideMark/>
          </w:tcPr>
          <w:p w14:paraId="6DDD9788" w14:textId="77777777" w:rsidR="000F75A3" w:rsidRPr="00C05385" w:rsidRDefault="000F75A3" w:rsidP="0083214A">
            <w:pPr>
              <w:jc w:val="center"/>
              <w:rPr>
                <w:noProof/>
              </w:rPr>
            </w:pPr>
          </w:p>
        </w:tc>
        <w:tc>
          <w:tcPr>
            <w:tcW w:w="944" w:type="dxa"/>
            <w:noWrap/>
            <w:hideMark/>
          </w:tcPr>
          <w:p w14:paraId="690B3BEF" w14:textId="77777777" w:rsidR="000F75A3" w:rsidRPr="00C05385" w:rsidRDefault="000F75A3" w:rsidP="0083214A">
            <w:pPr>
              <w:jc w:val="center"/>
              <w:rPr>
                <w:noProof/>
              </w:rPr>
            </w:pPr>
          </w:p>
        </w:tc>
        <w:tc>
          <w:tcPr>
            <w:tcW w:w="944" w:type="dxa"/>
            <w:noWrap/>
            <w:hideMark/>
          </w:tcPr>
          <w:p w14:paraId="6F071FA8" w14:textId="77777777" w:rsidR="000F75A3" w:rsidRPr="00C05385" w:rsidRDefault="000F75A3" w:rsidP="0083214A">
            <w:pPr>
              <w:jc w:val="center"/>
              <w:rPr>
                <w:noProof/>
              </w:rPr>
            </w:pPr>
          </w:p>
        </w:tc>
      </w:tr>
      <w:tr w:rsidR="000F75A3" w:rsidRPr="00C05385" w14:paraId="1A546F0E"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2E314CC1" w14:textId="77777777" w:rsidR="000F75A3" w:rsidRPr="00C05385" w:rsidRDefault="000F75A3" w:rsidP="0083214A">
            <w:pPr>
              <w:rPr>
                <w:noProof/>
              </w:rPr>
            </w:pPr>
            <w:r w:rsidRPr="00C05385">
              <w:rPr>
                <w:noProof/>
              </w:rPr>
              <w:t>Decommitments made available again</w:t>
            </w:r>
            <w:r>
              <w:rPr>
                <w:rFonts w:ascii="Calibri" w:hAnsi="Calibri" w:cs="Calibri"/>
                <w:noProof/>
              </w:rPr>
              <w:t> </w:t>
            </w:r>
            <w:r>
              <w:rPr>
                <w:noProof/>
              </w:rPr>
              <w:t>(</w:t>
            </w:r>
            <w:r w:rsidRPr="00C05385">
              <w:rPr>
                <w:noProof/>
              </w:rPr>
              <w:t>*</w:t>
            </w:r>
            <w:r>
              <w:rPr>
                <w:noProof/>
              </w:rPr>
              <w:t>)</w:t>
            </w:r>
          </w:p>
        </w:tc>
        <w:tc>
          <w:tcPr>
            <w:tcW w:w="943" w:type="dxa"/>
            <w:noWrap/>
            <w:hideMark/>
          </w:tcPr>
          <w:p w14:paraId="345A5BF6" w14:textId="77777777" w:rsidR="000F75A3" w:rsidRPr="00C05385" w:rsidRDefault="000F75A3" w:rsidP="0083214A">
            <w:pPr>
              <w:jc w:val="center"/>
              <w:rPr>
                <w:noProof/>
              </w:rPr>
            </w:pPr>
            <w:r>
              <w:rPr>
                <w:noProof/>
              </w:rPr>
              <w:t>N/A</w:t>
            </w:r>
          </w:p>
        </w:tc>
        <w:tc>
          <w:tcPr>
            <w:tcW w:w="944" w:type="dxa"/>
            <w:noWrap/>
            <w:hideMark/>
          </w:tcPr>
          <w:p w14:paraId="0986A9AA" w14:textId="77777777" w:rsidR="000F75A3" w:rsidRPr="00C05385" w:rsidRDefault="000F75A3" w:rsidP="0083214A">
            <w:pPr>
              <w:jc w:val="center"/>
              <w:rPr>
                <w:noProof/>
              </w:rPr>
            </w:pPr>
          </w:p>
        </w:tc>
        <w:tc>
          <w:tcPr>
            <w:tcW w:w="943" w:type="dxa"/>
            <w:noWrap/>
            <w:hideMark/>
          </w:tcPr>
          <w:p w14:paraId="0E278234" w14:textId="77777777" w:rsidR="000F75A3" w:rsidRPr="00C05385" w:rsidRDefault="000F75A3" w:rsidP="0083214A">
            <w:pPr>
              <w:jc w:val="center"/>
              <w:rPr>
                <w:noProof/>
              </w:rPr>
            </w:pPr>
          </w:p>
        </w:tc>
        <w:tc>
          <w:tcPr>
            <w:tcW w:w="944" w:type="dxa"/>
            <w:noWrap/>
            <w:hideMark/>
          </w:tcPr>
          <w:p w14:paraId="1CBAB526" w14:textId="77777777" w:rsidR="000F75A3" w:rsidRPr="00C05385" w:rsidRDefault="000F75A3" w:rsidP="0083214A">
            <w:pPr>
              <w:jc w:val="center"/>
              <w:rPr>
                <w:noProof/>
              </w:rPr>
            </w:pPr>
          </w:p>
        </w:tc>
        <w:tc>
          <w:tcPr>
            <w:tcW w:w="944" w:type="dxa"/>
            <w:noWrap/>
            <w:hideMark/>
          </w:tcPr>
          <w:p w14:paraId="41C42562" w14:textId="77777777" w:rsidR="000F75A3" w:rsidRPr="00C05385" w:rsidRDefault="000F75A3" w:rsidP="0083214A">
            <w:pPr>
              <w:jc w:val="center"/>
              <w:rPr>
                <w:noProof/>
              </w:rPr>
            </w:pPr>
          </w:p>
        </w:tc>
        <w:tc>
          <w:tcPr>
            <w:tcW w:w="943" w:type="dxa"/>
            <w:noWrap/>
            <w:hideMark/>
          </w:tcPr>
          <w:p w14:paraId="1CDAEB62" w14:textId="77777777" w:rsidR="000F75A3" w:rsidRPr="00C05385" w:rsidRDefault="000F75A3" w:rsidP="0083214A">
            <w:pPr>
              <w:jc w:val="center"/>
              <w:rPr>
                <w:noProof/>
              </w:rPr>
            </w:pPr>
          </w:p>
        </w:tc>
        <w:tc>
          <w:tcPr>
            <w:tcW w:w="944" w:type="dxa"/>
            <w:noWrap/>
            <w:hideMark/>
          </w:tcPr>
          <w:p w14:paraId="1584CCB8" w14:textId="77777777" w:rsidR="000F75A3" w:rsidRPr="00C05385" w:rsidRDefault="000F75A3" w:rsidP="0083214A">
            <w:pPr>
              <w:jc w:val="center"/>
              <w:rPr>
                <w:noProof/>
              </w:rPr>
            </w:pPr>
          </w:p>
        </w:tc>
        <w:tc>
          <w:tcPr>
            <w:tcW w:w="944" w:type="dxa"/>
            <w:noWrap/>
            <w:hideMark/>
          </w:tcPr>
          <w:p w14:paraId="22AE7893" w14:textId="77777777" w:rsidR="000F75A3" w:rsidRPr="00C05385" w:rsidRDefault="000F75A3" w:rsidP="0083214A">
            <w:pPr>
              <w:jc w:val="center"/>
              <w:rPr>
                <w:noProof/>
              </w:rPr>
            </w:pPr>
            <w:r>
              <w:rPr>
                <w:noProof/>
              </w:rPr>
              <w:t>N/A</w:t>
            </w:r>
          </w:p>
        </w:tc>
      </w:tr>
      <w:tr w:rsidR="000F75A3" w:rsidRPr="00C05385" w14:paraId="22E679D2"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343522C9" w14:textId="77777777" w:rsidR="000F75A3" w:rsidRPr="00C05385" w:rsidRDefault="000F75A3" w:rsidP="0083214A">
            <w:pPr>
              <w:rPr>
                <w:noProof/>
              </w:rPr>
            </w:pPr>
            <w:r w:rsidRPr="00C05385">
              <w:rPr>
                <w:noProof/>
              </w:rPr>
              <w:t>Contributions from other countries and entities</w:t>
            </w:r>
          </w:p>
        </w:tc>
        <w:tc>
          <w:tcPr>
            <w:tcW w:w="943" w:type="dxa"/>
            <w:noWrap/>
            <w:hideMark/>
          </w:tcPr>
          <w:p w14:paraId="7584436C" w14:textId="77777777" w:rsidR="000F75A3" w:rsidRPr="00C05385" w:rsidRDefault="000F75A3" w:rsidP="0083214A">
            <w:pPr>
              <w:jc w:val="center"/>
              <w:rPr>
                <w:noProof/>
              </w:rPr>
            </w:pPr>
            <w:r>
              <w:rPr>
                <w:noProof/>
              </w:rPr>
              <w:t>0.0</w:t>
            </w:r>
          </w:p>
        </w:tc>
        <w:tc>
          <w:tcPr>
            <w:tcW w:w="944" w:type="dxa"/>
            <w:noWrap/>
            <w:hideMark/>
          </w:tcPr>
          <w:p w14:paraId="6E1B6E3B" w14:textId="77777777" w:rsidR="000F75A3" w:rsidRPr="00C05385" w:rsidRDefault="000F75A3" w:rsidP="0083214A">
            <w:pPr>
              <w:jc w:val="center"/>
              <w:rPr>
                <w:noProof/>
              </w:rPr>
            </w:pPr>
            <w:r>
              <w:rPr>
                <w:noProof/>
              </w:rPr>
              <w:t>p.m.</w:t>
            </w:r>
          </w:p>
        </w:tc>
        <w:tc>
          <w:tcPr>
            <w:tcW w:w="943" w:type="dxa"/>
            <w:noWrap/>
            <w:hideMark/>
          </w:tcPr>
          <w:p w14:paraId="2D60D222" w14:textId="77777777" w:rsidR="000F75A3" w:rsidRPr="00C05385" w:rsidRDefault="000F75A3" w:rsidP="0083214A">
            <w:pPr>
              <w:jc w:val="center"/>
              <w:rPr>
                <w:noProof/>
              </w:rPr>
            </w:pPr>
            <w:r>
              <w:rPr>
                <w:noProof/>
              </w:rPr>
              <w:t>p.m.</w:t>
            </w:r>
          </w:p>
        </w:tc>
        <w:tc>
          <w:tcPr>
            <w:tcW w:w="944" w:type="dxa"/>
            <w:noWrap/>
            <w:hideMark/>
          </w:tcPr>
          <w:p w14:paraId="766A3033" w14:textId="77777777" w:rsidR="000F75A3" w:rsidRPr="00C05385" w:rsidRDefault="000F75A3" w:rsidP="0083214A">
            <w:pPr>
              <w:jc w:val="center"/>
              <w:rPr>
                <w:noProof/>
              </w:rPr>
            </w:pPr>
            <w:r>
              <w:rPr>
                <w:noProof/>
              </w:rPr>
              <w:t>p.m.</w:t>
            </w:r>
          </w:p>
        </w:tc>
        <w:tc>
          <w:tcPr>
            <w:tcW w:w="944" w:type="dxa"/>
            <w:noWrap/>
            <w:hideMark/>
          </w:tcPr>
          <w:p w14:paraId="62C80A2A" w14:textId="77777777" w:rsidR="000F75A3" w:rsidRPr="00C05385" w:rsidRDefault="000F75A3" w:rsidP="0083214A">
            <w:pPr>
              <w:jc w:val="center"/>
              <w:rPr>
                <w:noProof/>
              </w:rPr>
            </w:pPr>
            <w:r>
              <w:rPr>
                <w:noProof/>
              </w:rPr>
              <w:t>p.m.</w:t>
            </w:r>
          </w:p>
        </w:tc>
        <w:tc>
          <w:tcPr>
            <w:tcW w:w="943" w:type="dxa"/>
            <w:noWrap/>
            <w:hideMark/>
          </w:tcPr>
          <w:p w14:paraId="2F3ACDFE" w14:textId="77777777" w:rsidR="000F75A3" w:rsidRPr="00C05385" w:rsidRDefault="000F75A3" w:rsidP="0083214A">
            <w:pPr>
              <w:jc w:val="center"/>
              <w:rPr>
                <w:noProof/>
              </w:rPr>
            </w:pPr>
            <w:r>
              <w:rPr>
                <w:noProof/>
              </w:rPr>
              <w:t>p.m.</w:t>
            </w:r>
          </w:p>
        </w:tc>
        <w:tc>
          <w:tcPr>
            <w:tcW w:w="944" w:type="dxa"/>
            <w:noWrap/>
            <w:hideMark/>
          </w:tcPr>
          <w:p w14:paraId="7DFD4FDA" w14:textId="77777777" w:rsidR="000F75A3" w:rsidRPr="00C05385" w:rsidRDefault="000F75A3" w:rsidP="0083214A">
            <w:pPr>
              <w:jc w:val="center"/>
              <w:rPr>
                <w:noProof/>
              </w:rPr>
            </w:pPr>
            <w:r>
              <w:rPr>
                <w:noProof/>
              </w:rPr>
              <w:t>p.m.</w:t>
            </w:r>
          </w:p>
        </w:tc>
        <w:tc>
          <w:tcPr>
            <w:tcW w:w="944" w:type="dxa"/>
            <w:noWrap/>
            <w:hideMark/>
          </w:tcPr>
          <w:p w14:paraId="79ED6271" w14:textId="77777777" w:rsidR="000F75A3" w:rsidRPr="00C05385" w:rsidRDefault="000F75A3" w:rsidP="0083214A">
            <w:pPr>
              <w:jc w:val="center"/>
              <w:rPr>
                <w:noProof/>
              </w:rPr>
            </w:pPr>
            <w:r>
              <w:rPr>
                <w:noProof/>
              </w:rPr>
              <w:t>0.0</w:t>
            </w:r>
          </w:p>
        </w:tc>
      </w:tr>
    </w:tbl>
    <w:p w14:paraId="7EDC2EFF" w14:textId="77777777" w:rsidR="000F75A3" w:rsidRPr="00C05385" w:rsidRDefault="000F75A3" w:rsidP="000F75A3">
      <w:pPr>
        <w:tabs>
          <w:tab w:val="left" w:pos="6793"/>
        </w:tabs>
        <w:rPr>
          <w:noProof/>
          <w:sz w:val="18"/>
          <w:szCs w:val="18"/>
        </w:rPr>
      </w:pPr>
      <w:r w:rsidRPr="00C05385">
        <w:rPr>
          <w:noProof/>
          <w:sz w:val="18"/>
          <w:szCs w:val="18"/>
        </w:rPr>
        <w:t>(*) Only Art</w:t>
      </w:r>
      <w:r>
        <w:rPr>
          <w:noProof/>
          <w:sz w:val="18"/>
          <w:szCs w:val="18"/>
        </w:rPr>
        <w:t>icle</w:t>
      </w:r>
      <w:r>
        <w:rPr>
          <w:rFonts w:ascii="Calibri" w:hAnsi="Calibri" w:cs="Calibri"/>
          <w:noProof/>
          <w:sz w:val="18"/>
          <w:szCs w:val="18"/>
        </w:rPr>
        <w:t> </w:t>
      </w:r>
      <w:r w:rsidRPr="00C05385">
        <w:rPr>
          <w:noProof/>
          <w:sz w:val="18"/>
          <w:szCs w:val="18"/>
        </w:rPr>
        <w:t>15</w:t>
      </w:r>
      <w:r>
        <w:rPr>
          <w:noProof/>
          <w:sz w:val="18"/>
          <w:szCs w:val="18"/>
        </w:rPr>
        <w:t>(</w:t>
      </w:r>
      <w:r w:rsidRPr="00C05385">
        <w:rPr>
          <w:noProof/>
          <w:sz w:val="18"/>
          <w:szCs w:val="18"/>
        </w:rPr>
        <w:t>3</w:t>
      </w:r>
      <w:r>
        <w:rPr>
          <w:noProof/>
          <w:sz w:val="18"/>
          <w:szCs w:val="18"/>
        </w:rPr>
        <w:t>) of the</w:t>
      </w:r>
      <w:r w:rsidRPr="00C05385">
        <w:rPr>
          <w:noProof/>
          <w:sz w:val="18"/>
          <w:szCs w:val="18"/>
        </w:rPr>
        <w:t xml:space="preserve"> </w:t>
      </w:r>
      <w:r>
        <w:rPr>
          <w:noProof/>
          <w:sz w:val="18"/>
          <w:szCs w:val="18"/>
        </w:rPr>
        <w:t>f</w:t>
      </w:r>
      <w:r w:rsidRPr="00C05385">
        <w:rPr>
          <w:noProof/>
          <w:sz w:val="18"/>
          <w:szCs w:val="18"/>
        </w:rPr>
        <w:t xml:space="preserve">inancial </w:t>
      </w:r>
      <w:r>
        <w:rPr>
          <w:noProof/>
          <w:sz w:val="18"/>
          <w:szCs w:val="18"/>
        </w:rPr>
        <w:t>r</w:t>
      </w:r>
      <w:r w:rsidRPr="00C05385">
        <w:rPr>
          <w:noProof/>
          <w:sz w:val="18"/>
          <w:szCs w:val="18"/>
        </w:rPr>
        <w:t>egulation</w:t>
      </w:r>
      <w:r>
        <w:rPr>
          <w:noProof/>
          <w:sz w:val="18"/>
          <w:szCs w:val="18"/>
        </w:rPr>
        <w:t>.</w:t>
      </w:r>
    </w:p>
    <w:p w14:paraId="6003F84D" w14:textId="20CAA3E2" w:rsidR="000F75A3" w:rsidRPr="00C05385" w:rsidRDefault="004C4764" w:rsidP="000F75A3">
      <w:pPr>
        <w:pStyle w:val="ppoTableTabletitle"/>
        <w:ind w:left="720"/>
        <w:rPr>
          <w:noProof/>
        </w:rPr>
      </w:pPr>
      <w:r>
        <w:rPr>
          <w:noProof/>
        </w:rPr>
        <w:t>F</w:t>
      </w:r>
      <w:r w:rsidR="000F75A3" w:rsidRPr="00304A2B">
        <w:rPr>
          <w:noProof/>
        </w:rPr>
        <w:t>inancial programming</w:t>
      </w:r>
      <w:r>
        <w:rPr>
          <w:noProof/>
        </w:rPr>
        <w:t>:</w:t>
      </w:r>
      <w:r w:rsidR="000F75A3">
        <w:rPr>
          <w:noProof/>
          <w:color w:val="027CBB"/>
          <w:sz w:val="44"/>
        </w:rPr>
        <w:t xml:space="preserve"> </w:t>
      </w:r>
      <w:r w:rsidR="000F75A3" w:rsidRPr="007C3D07">
        <w:rPr>
          <w:noProof/>
          <w:color w:val="027CBB"/>
          <w:sz w:val="36"/>
          <w:szCs w:val="36"/>
        </w:rPr>
        <w:t>–</w:t>
      </w:r>
      <w:r w:rsidR="000F75A3" w:rsidRPr="007C3D07">
        <w:rPr>
          <w:rFonts w:ascii="Calibri" w:hAnsi="Calibri" w:cs="Calibri"/>
          <w:noProof/>
          <w:color w:val="027CBB"/>
          <w:sz w:val="36"/>
          <w:szCs w:val="36"/>
        </w:rPr>
        <w:t> </w:t>
      </w:r>
      <w:r w:rsidR="000F75A3" w:rsidRPr="007C3D07">
        <w:rPr>
          <w:noProof/>
          <w:color w:val="027CBB"/>
          <w:sz w:val="36"/>
          <w:szCs w:val="36"/>
        </w:rPr>
        <w:t>EUR</w:t>
      </w:r>
      <w:r w:rsidR="000F75A3" w:rsidRPr="007C3D07">
        <w:rPr>
          <w:rFonts w:ascii="Calibri" w:hAnsi="Calibri" w:cs="Calibri"/>
          <w:noProof/>
          <w:color w:val="027CBB"/>
          <w:sz w:val="36"/>
          <w:szCs w:val="36"/>
        </w:rPr>
        <w:t> </w:t>
      </w:r>
      <w:r w:rsidR="00797032" w:rsidRPr="007C3D07">
        <w:rPr>
          <w:noProof/>
          <w:color w:val="027CBB"/>
          <w:sz w:val="36"/>
          <w:szCs w:val="36"/>
        </w:rPr>
        <w:t>43.0</w:t>
      </w:r>
      <w:r w:rsidR="000F75A3" w:rsidRPr="007C3D07">
        <w:rPr>
          <w:rFonts w:ascii="Calibri" w:hAnsi="Calibri" w:cs="Calibri"/>
          <w:noProof/>
          <w:color w:val="027CBB"/>
          <w:sz w:val="36"/>
          <w:szCs w:val="36"/>
        </w:rPr>
        <w:t> </w:t>
      </w:r>
      <w:r w:rsidR="000F75A3" w:rsidRPr="007C3D07">
        <w:rPr>
          <w:noProof/>
          <w:color w:val="027CBB"/>
          <w:sz w:val="36"/>
          <w:szCs w:val="36"/>
        </w:rPr>
        <w:t>million (–</w:t>
      </w:r>
      <w:r w:rsidR="000F75A3" w:rsidRPr="007C3D07">
        <w:rPr>
          <w:rFonts w:ascii="Calibri" w:hAnsi="Calibri" w:cs="Calibri"/>
          <w:noProof/>
          <w:color w:val="027CBB"/>
          <w:sz w:val="36"/>
          <w:szCs w:val="36"/>
        </w:rPr>
        <w:t> </w:t>
      </w:r>
      <w:r w:rsidR="00797032" w:rsidRPr="007C3D07">
        <w:rPr>
          <w:noProof/>
          <w:color w:val="027CBB"/>
          <w:sz w:val="36"/>
          <w:szCs w:val="36"/>
        </w:rPr>
        <w:t>2</w:t>
      </w:r>
      <w:r w:rsidR="000F75A3" w:rsidRPr="007C3D07">
        <w:rPr>
          <w:noProof/>
          <w:color w:val="027CBB"/>
          <w:sz w:val="36"/>
          <w:szCs w:val="36"/>
        </w:rPr>
        <w:t>%)</w:t>
      </w:r>
      <w:r w:rsidR="000F75A3" w:rsidRPr="00C05385">
        <w:rPr>
          <w:noProof/>
          <w:color w:val="028F1A" w:themeColor="accent1"/>
          <w:sz w:val="52"/>
          <w:szCs w:val="36"/>
        </w:rPr>
        <w:t xml:space="preserve"> </w:t>
      </w:r>
      <w:r w:rsidR="000F75A3" w:rsidRPr="00C05385">
        <w:rPr>
          <w:noProof/>
        </w:rPr>
        <w:t>compared to the legal basis</w:t>
      </w:r>
      <w:r w:rsidR="000F75A3">
        <w:rPr>
          <w:noProof/>
        </w:rPr>
        <w:t>.</w:t>
      </w:r>
    </w:p>
    <w:p w14:paraId="135991FE" w14:textId="77777777" w:rsidR="000F75A3" w:rsidRPr="00C05385" w:rsidRDefault="000F75A3" w:rsidP="000F75A3">
      <w:pPr>
        <w:pStyle w:val="ppoTableTabletitle"/>
        <w:rPr>
          <w:b/>
          <w:noProof/>
        </w:rPr>
      </w:pPr>
      <w:r w:rsidRPr="00C05385">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0F75A3" w:rsidRPr="00C05385" w14:paraId="1A041AC4" w14:textId="77777777" w:rsidTr="0083214A">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6E4285F4" w14:textId="77777777" w:rsidR="000F75A3" w:rsidRPr="00C05385" w:rsidRDefault="000F75A3" w:rsidP="0083214A">
            <w:pPr>
              <w:rPr>
                <w:noProof/>
              </w:rPr>
            </w:pPr>
          </w:p>
        </w:tc>
        <w:tc>
          <w:tcPr>
            <w:tcW w:w="2410" w:type="dxa"/>
          </w:tcPr>
          <w:p w14:paraId="0919C2D4" w14:textId="77777777" w:rsidR="000F75A3" w:rsidRPr="00C05385" w:rsidRDefault="000F75A3" w:rsidP="0083214A">
            <w:pPr>
              <w:cnfStyle w:val="100000000000" w:firstRow="1" w:lastRow="0" w:firstColumn="0" w:lastColumn="0" w:oddVBand="0" w:evenVBand="0" w:oddHBand="0" w:evenHBand="0" w:firstRowFirstColumn="0" w:firstRowLastColumn="0" w:lastRowFirstColumn="0" w:lastRowLastColumn="0"/>
              <w:rPr>
                <w:noProof/>
              </w:rPr>
            </w:pPr>
            <w:r w:rsidRPr="00C05385">
              <w:rPr>
                <w:noProof/>
              </w:rPr>
              <w:t>Implementation</w:t>
            </w:r>
          </w:p>
        </w:tc>
        <w:tc>
          <w:tcPr>
            <w:tcW w:w="2410" w:type="dxa"/>
          </w:tcPr>
          <w:p w14:paraId="3C53E2C2" w14:textId="02E6B5DA" w:rsidR="000F75A3" w:rsidRPr="00C05385" w:rsidRDefault="003821C6" w:rsidP="0083214A">
            <w:pPr>
              <w:cnfStyle w:val="100000000000" w:firstRow="1" w:lastRow="0" w:firstColumn="0" w:lastColumn="0" w:oddVBand="0" w:evenVBand="0" w:oddHBand="0" w:evenHBand="0" w:firstRowFirstColumn="0" w:firstRowLastColumn="0" w:lastRowFirstColumn="0" w:lastRowLastColumn="0"/>
              <w:rPr>
                <w:noProof/>
              </w:rPr>
            </w:pPr>
            <w:r>
              <w:rPr>
                <w:noProof/>
              </w:rPr>
              <w:t xml:space="preserve">2021-2027 </w:t>
            </w:r>
            <w:r w:rsidR="000F75A3" w:rsidRPr="00C05385">
              <w:rPr>
                <w:noProof/>
              </w:rPr>
              <w:t>Budget</w:t>
            </w:r>
          </w:p>
        </w:tc>
        <w:tc>
          <w:tcPr>
            <w:tcW w:w="2410" w:type="dxa"/>
          </w:tcPr>
          <w:p w14:paraId="792EF89A" w14:textId="77777777" w:rsidR="000F75A3" w:rsidRPr="00C05385" w:rsidRDefault="000F75A3" w:rsidP="0083214A">
            <w:pPr>
              <w:cnfStyle w:val="100000000000" w:firstRow="1" w:lastRow="0" w:firstColumn="0" w:lastColumn="0" w:oddVBand="0" w:evenVBand="0" w:oddHBand="0" w:evenHBand="0" w:firstRowFirstColumn="0" w:firstRowLastColumn="0" w:lastRowFirstColumn="0" w:lastRowLastColumn="0"/>
              <w:rPr>
                <w:noProof/>
              </w:rPr>
            </w:pPr>
            <w:r w:rsidRPr="00C05385">
              <w:rPr>
                <w:noProof/>
              </w:rPr>
              <w:t>Implementation rate</w:t>
            </w:r>
          </w:p>
        </w:tc>
      </w:tr>
      <w:tr w:rsidR="000F75A3" w:rsidRPr="00C05385" w14:paraId="23702E31"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2A839D8F" w14:textId="77777777" w:rsidR="000F75A3" w:rsidRPr="00C05385" w:rsidRDefault="000F75A3" w:rsidP="0083214A">
            <w:pPr>
              <w:jc w:val="center"/>
              <w:rPr>
                <w:noProof/>
              </w:rPr>
            </w:pPr>
            <w:r w:rsidRPr="00C05385">
              <w:rPr>
                <w:noProof/>
              </w:rPr>
              <w:t>Commitments</w:t>
            </w:r>
          </w:p>
        </w:tc>
        <w:tc>
          <w:tcPr>
            <w:tcW w:w="2410" w:type="dxa"/>
          </w:tcPr>
          <w:tbl>
            <w:tblPr>
              <w:tblStyle w:val="TableGrid"/>
              <w:tblW w:w="0" w:type="auto"/>
              <w:tblLook w:val="06A0" w:firstRow="1" w:lastRow="0" w:firstColumn="1" w:lastColumn="0" w:noHBand="1" w:noVBand="1"/>
            </w:tblPr>
            <w:tblGrid>
              <w:gridCol w:w="2194"/>
            </w:tblGrid>
            <w:tr w:rsidR="000F75A3" w:rsidRPr="00C05385" w14:paraId="372F8331" w14:textId="77777777" w:rsidTr="0083214A">
              <w:trPr>
                <w:trHeight w:val="285"/>
              </w:trPr>
              <w:tc>
                <w:tcPr>
                  <w:tcW w:w="2290" w:type="dxa"/>
                  <w:tcBorders>
                    <w:top w:val="nil"/>
                    <w:left w:val="nil"/>
                    <w:bottom w:val="nil"/>
                    <w:right w:val="nil"/>
                  </w:tcBorders>
                  <w:vAlign w:val="bottom"/>
                </w:tcPr>
                <w:p w14:paraId="16402DF3" w14:textId="77777777" w:rsidR="000F75A3" w:rsidRPr="00C05385" w:rsidRDefault="000F75A3" w:rsidP="0083214A">
                  <w:pPr>
                    <w:jc w:val="right"/>
                    <w:rPr>
                      <w:noProof/>
                    </w:rPr>
                  </w:pPr>
                  <w:r w:rsidRPr="00C05385">
                    <w:rPr>
                      <w:rFonts w:ascii="Calibri" w:hAnsi="Calibri" w:cs="Calibri"/>
                      <w:noProof/>
                      <w:color w:val="000000"/>
                    </w:rPr>
                    <w:t>70.0</w:t>
                  </w:r>
                </w:p>
              </w:tc>
            </w:tr>
          </w:tbl>
          <w:p w14:paraId="34C8C651" w14:textId="77777777" w:rsidR="000F75A3" w:rsidRPr="00C05385" w:rsidRDefault="000F75A3"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0F75A3" w:rsidRPr="00C05385" w14:paraId="0F705708" w14:textId="77777777" w:rsidTr="0083214A">
              <w:trPr>
                <w:trHeight w:val="285"/>
              </w:trPr>
              <w:tc>
                <w:tcPr>
                  <w:tcW w:w="2290" w:type="dxa"/>
                  <w:tcBorders>
                    <w:top w:val="nil"/>
                    <w:left w:val="nil"/>
                    <w:bottom w:val="nil"/>
                    <w:right w:val="nil"/>
                  </w:tcBorders>
                  <w:vAlign w:val="bottom"/>
                </w:tcPr>
                <w:p w14:paraId="156CF143" w14:textId="78E14A82" w:rsidR="000F75A3" w:rsidRPr="00C05385" w:rsidRDefault="000F75A3" w:rsidP="0083214A">
                  <w:pPr>
                    <w:jc w:val="right"/>
                    <w:rPr>
                      <w:noProof/>
                    </w:rPr>
                  </w:pPr>
                  <w:r w:rsidRPr="00C05385">
                    <w:rPr>
                      <w:rFonts w:ascii="Calibri" w:hAnsi="Calibri" w:cs="Calibri"/>
                      <w:noProof/>
                      <w:color w:val="000000"/>
                    </w:rPr>
                    <w:t>1</w:t>
                  </w:r>
                  <w:r>
                    <w:rPr>
                      <w:rFonts w:ascii="Calibri" w:hAnsi="Calibri" w:cs="Calibri"/>
                      <w:noProof/>
                      <w:color w:val="000000"/>
                    </w:rPr>
                    <w:t> </w:t>
                  </w:r>
                  <w:r w:rsidR="00D6086C">
                    <w:rPr>
                      <w:rFonts w:ascii="Calibri" w:hAnsi="Calibri" w:cs="Calibri"/>
                      <w:noProof/>
                      <w:color w:val="000000"/>
                    </w:rPr>
                    <w:t>893</w:t>
                  </w:r>
                  <w:r w:rsidRPr="00C05385">
                    <w:rPr>
                      <w:rFonts w:ascii="Calibri" w:hAnsi="Calibri" w:cs="Calibri"/>
                      <w:noProof/>
                      <w:color w:val="000000"/>
                    </w:rPr>
                    <w:t>.</w:t>
                  </w:r>
                  <w:r w:rsidR="00D6086C">
                    <w:rPr>
                      <w:rFonts w:ascii="Calibri" w:hAnsi="Calibri" w:cs="Calibri"/>
                      <w:noProof/>
                      <w:color w:val="000000"/>
                    </w:rPr>
                    <w:t>1</w:t>
                  </w:r>
                </w:p>
              </w:tc>
            </w:tr>
          </w:tbl>
          <w:p w14:paraId="63C79084" w14:textId="77777777" w:rsidR="000F75A3" w:rsidRPr="00C05385" w:rsidRDefault="000F75A3"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0F75A3" w:rsidRPr="00C05385" w14:paraId="6DAC0ABB" w14:textId="77777777" w:rsidTr="0083214A">
              <w:trPr>
                <w:trHeight w:val="285"/>
              </w:trPr>
              <w:tc>
                <w:tcPr>
                  <w:tcW w:w="2290" w:type="dxa"/>
                  <w:tcBorders>
                    <w:top w:val="nil"/>
                    <w:left w:val="nil"/>
                    <w:bottom w:val="nil"/>
                    <w:right w:val="nil"/>
                  </w:tcBorders>
                  <w:vAlign w:val="bottom"/>
                </w:tcPr>
                <w:p w14:paraId="7A000425" w14:textId="77777777" w:rsidR="000F75A3" w:rsidRPr="00C05385" w:rsidRDefault="000F75A3" w:rsidP="0083214A">
                  <w:pPr>
                    <w:jc w:val="right"/>
                    <w:rPr>
                      <w:noProof/>
                    </w:rPr>
                  </w:pPr>
                  <w:r w:rsidRPr="00C05385">
                    <w:rPr>
                      <w:rFonts w:ascii="Calibri" w:hAnsi="Calibri" w:cs="Calibri"/>
                      <w:noProof/>
                      <w:color w:val="000000"/>
                    </w:rPr>
                    <w:t>4%</w:t>
                  </w:r>
                </w:p>
              </w:tc>
            </w:tr>
          </w:tbl>
          <w:p w14:paraId="7C249B8B" w14:textId="77777777" w:rsidR="000F75A3" w:rsidRPr="00C05385" w:rsidRDefault="000F75A3" w:rsidP="0083214A">
            <w:pPr>
              <w:jc w:val="center"/>
              <w:cnfStyle w:val="000000000000" w:firstRow="0" w:lastRow="0" w:firstColumn="0" w:lastColumn="0" w:oddVBand="0" w:evenVBand="0" w:oddHBand="0" w:evenHBand="0" w:firstRowFirstColumn="0" w:firstRowLastColumn="0" w:lastRowFirstColumn="0" w:lastRowLastColumn="0"/>
              <w:rPr>
                <w:noProof/>
              </w:rPr>
            </w:pPr>
          </w:p>
        </w:tc>
      </w:tr>
      <w:tr w:rsidR="000F75A3" w:rsidRPr="00C05385" w14:paraId="6F93C36E"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21A8C9AC" w14:textId="77777777" w:rsidR="000F75A3" w:rsidRPr="00C05385" w:rsidRDefault="000F75A3" w:rsidP="0083214A">
            <w:pPr>
              <w:jc w:val="center"/>
              <w:rPr>
                <w:noProof/>
              </w:rPr>
            </w:pPr>
            <w:r w:rsidRPr="00C05385">
              <w:rPr>
                <w:noProof/>
              </w:rPr>
              <w:t>Payments</w:t>
            </w:r>
          </w:p>
        </w:tc>
        <w:tc>
          <w:tcPr>
            <w:tcW w:w="2410" w:type="dxa"/>
          </w:tcPr>
          <w:tbl>
            <w:tblPr>
              <w:tblStyle w:val="TableGrid"/>
              <w:tblW w:w="0" w:type="auto"/>
              <w:tblLook w:val="06A0" w:firstRow="1" w:lastRow="0" w:firstColumn="1" w:lastColumn="0" w:noHBand="1" w:noVBand="1"/>
            </w:tblPr>
            <w:tblGrid>
              <w:gridCol w:w="2194"/>
            </w:tblGrid>
            <w:tr w:rsidR="000F75A3" w:rsidRPr="00C05385" w14:paraId="2FCD0C60" w14:textId="77777777" w:rsidTr="0083214A">
              <w:trPr>
                <w:trHeight w:val="285"/>
              </w:trPr>
              <w:tc>
                <w:tcPr>
                  <w:tcW w:w="2290" w:type="dxa"/>
                  <w:tcBorders>
                    <w:top w:val="nil"/>
                    <w:left w:val="nil"/>
                    <w:bottom w:val="nil"/>
                    <w:right w:val="nil"/>
                  </w:tcBorders>
                  <w:vAlign w:val="bottom"/>
                </w:tcPr>
                <w:p w14:paraId="634D83FA" w14:textId="77777777" w:rsidR="000F75A3" w:rsidRPr="00C05385" w:rsidRDefault="000F75A3" w:rsidP="0083214A">
                  <w:pPr>
                    <w:jc w:val="right"/>
                    <w:rPr>
                      <w:noProof/>
                    </w:rPr>
                  </w:pPr>
                  <w:r w:rsidRPr="00C05385">
                    <w:rPr>
                      <w:rFonts w:ascii="Calibri" w:hAnsi="Calibri" w:cs="Calibri"/>
                      <w:noProof/>
                      <w:color w:val="000000"/>
                    </w:rPr>
                    <w:t>0.1</w:t>
                  </w:r>
                </w:p>
              </w:tc>
            </w:tr>
          </w:tbl>
          <w:p w14:paraId="686090B2" w14:textId="77777777" w:rsidR="000F75A3" w:rsidRPr="00C05385" w:rsidRDefault="000F75A3"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5B9BE3FD" w14:textId="77777777" w:rsidR="000F75A3" w:rsidRPr="00C05385" w:rsidRDefault="000F75A3"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0F75A3" w:rsidRPr="00C05385" w14:paraId="694EA97A" w14:textId="77777777" w:rsidTr="0083214A">
              <w:trPr>
                <w:trHeight w:val="285"/>
              </w:trPr>
              <w:tc>
                <w:tcPr>
                  <w:tcW w:w="2235" w:type="dxa"/>
                  <w:tcBorders>
                    <w:top w:val="nil"/>
                    <w:left w:val="nil"/>
                    <w:bottom w:val="nil"/>
                    <w:right w:val="nil"/>
                  </w:tcBorders>
                  <w:vAlign w:val="bottom"/>
                </w:tcPr>
                <w:p w14:paraId="06864D43" w14:textId="77777777" w:rsidR="000F75A3" w:rsidRPr="00C05385" w:rsidRDefault="000F75A3" w:rsidP="0083214A">
                  <w:pPr>
                    <w:jc w:val="right"/>
                    <w:rPr>
                      <w:noProof/>
                    </w:rPr>
                  </w:pPr>
                  <w:r w:rsidRPr="00C05385">
                    <w:rPr>
                      <w:rFonts w:ascii="Calibri" w:hAnsi="Calibri" w:cs="Calibri"/>
                      <w:noProof/>
                      <w:color w:val="000000"/>
                    </w:rPr>
                    <w:t>0%</w:t>
                  </w:r>
                </w:p>
              </w:tc>
            </w:tr>
          </w:tbl>
          <w:p w14:paraId="09C8989F" w14:textId="77777777" w:rsidR="000F75A3" w:rsidRPr="00C05385" w:rsidRDefault="000F75A3" w:rsidP="0083214A">
            <w:pPr>
              <w:jc w:val="center"/>
              <w:cnfStyle w:val="000000000000" w:firstRow="0" w:lastRow="0" w:firstColumn="0" w:lastColumn="0" w:oddVBand="0" w:evenVBand="0" w:oddHBand="0" w:evenHBand="0" w:firstRowFirstColumn="0" w:firstRowLastColumn="0" w:lastRowFirstColumn="0" w:lastRowLastColumn="0"/>
              <w:rPr>
                <w:noProof/>
              </w:rPr>
            </w:pPr>
          </w:p>
        </w:tc>
      </w:tr>
    </w:tbl>
    <w:p w14:paraId="12BD5198" w14:textId="77777777" w:rsidR="000F75A3" w:rsidRPr="00C05385" w:rsidRDefault="000F75A3" w:rsidP="000F75A3">
      <w:pPr>
        <w:pStyle w:val="ppoTableTabletitle"/>
        <w:rPr>
          <w:b/>
          <w:noProof/>
        </w:rPr>
      </w:pPr>
      <w:r w:rsidRPr="00C05385">
        <w:rPr>
          <w:noProof/>
        </w:rPr>
        <w:t>Voted budget implementation in 2021 (million EUR):</w:t>
      </w:r>
    </w:p>
    <w:tbl>
      <w:tblPr>
        <w:tblStyle w:val="PPO2021"/>
        <w:tblW w:w="3683" w:type="pct"/>
        <w:tblInd w:w="79" w:type="dxa"/>
        <w:tblLook w:val="04A0" w:firstRow="1" w:lastRow="0" w:firstColumn="1" w:lastColumn="0" w:noHBand="0" w:noVBand="1"/>
      </w:tblPr>
      <w:tblGrid>
        <w:gridCol w:w="2419"/>
        <w:gridCol w:w="2419"/>
        <w:gridCol w:w="2420"/>
      </w:tblGrid>
      <w:tr w:rsidR="000F75A3" w:rsidRPr="00C05385" w14:paraId="7F020FA4" w14:textId="77777777" w:rsidTr="008321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03EFE6CD" w14:textId="77777777" w:rsidR="000F75A3" w:rsidRPr="00C05385" w:rsidRDefault="000F75A3" w:rsidP="0083214A">
            <w:pPr>
              <w:rPr>
                <w:noProof/>
              </w:rPr>
            </w:pPr>
          </w:p>
        </w:tc>
        <w:tc>
          <w:tcPr>
            <w:tcW w:w="2419" w:type="dxa"/>
          </w:tcPr>
          <w:p w14:paraId="2575EAE4" w14:textId="77777777" w:rsidR="000F75A3" w:rsidRPr="00C05385" w:rsidRDefault="000F75A3" w:rsidP="0083214A">
            <w:pPr>
              <w:cnfStyle w:val="100000000000" w:firstRow="1" w:lastRow="0" w:firstColumn="0" w:lastColumn="0" w:oddVBand="0" w:evenVBand="0" w:oddHBand="0" w:evenHBand="0" w:firstRowFirstColumn="0" w:firstRowLastColumn="0" w:lastRowFirstColumn="0" w:lastRowLastColumn="0"/>
              <w:rPr>
                <w:noProof/>
              </w:rPr>
            </w:pPr>
            <w:r w:rsidRPr="00C05385">
              <w:rPr>
                <w:noProof/>
              </w:rPr>
              <w:t>Voted budget implementation</w:t>
            </w:r>
          </w:p>
        </w:tc>
        <w:tc>
          <w:tcPr>
            <w:tcW w:w="2420" w:type="dxa"/>
          </w:tcPr>
          <w:p w14:paraId="37C0EAF2" w14:textId="77777777" w:rsidR="000F75A3" w:rsidRPr="00C05385" w:rsidRDefault="000F75A3" w:rsidP="0083214A">
            <w:pPr>
              <w:cnfStyle w:val="100000000000" w:firstRow="1" w:lastRow="0" w:firstColumn="0" w:lastColumn="0" w:oddVBand="0" w:evenVBand="0" w:oddHBand="0" w:evenHBand="0" w:firstRowFirstColumn="0" w:firstRowLastColumn="0" w:lastRowFirstColumn="0" w:lastRowLastColumn="0"/>
              <w:rPr>
                <w:noProof/>
              </w:rPr>
            </w:pPr>
            <w:r w:rsidRPr="00C05385">
              <w:rPr>
                <w:noProof/>
              </w:rPr>
              <w:t>Initial voted budget</w:t>
            </w:r>
          </w:p>
        </w:tc>
      </w:tr>
      <w:tr w:rsidR="000F75A3" w:rsidRPr="00C05385" w14:paraId="79A86BF8" w14:textId="77777777" w:rsidTr="0083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0D1EFC98" w14:textId="77777777" w:rsidR="000F75A3" w:rsidRPr="00C05385" w:rsidRDefault="000F75A3" w:rsidP="0083214A">
            <w:pPr>
              <w:jc w:val="center"/>
              <w:rPr>
                <w:noProof/>
              </w:rPr>
            </w:pPr>
            <w:r w:rsidRPr="00C05385">
              <w:rPr>
                <w:noProof/>
              </w:rPr>
              <w:t>Commitments</w:t>
            </w:r>
          </w:p>
        </w:tc>
        <w:tc>
          <w:tcPr>
            <w:tcW w:w="2419" w:type="dxa"/>
          </w:tcPr>
          <w:p w14:paraId="78CD09FD" w14:textId="77777777" w:rsidR="000F75A3" w:rsidRPr="00C05385" w:rsidRDefault="000F75A3" w:rsidP="0083214A">
            <w:pPr>
              <w:jc w:val="right"/>
              <w:cnfStyle w:val="000000100000" w:firstRow="0" w:lastRow="0" w:firstColumn="0" w:lastColumn="0" w:oddVBand="0" w:evenVBand="0" w:oddHBand="1" w:evenHBand="0" w:firstRowFirstColumn="0" w:firstRowLastColumn="0" w:lastRowFirstColumn="0" w:lastRowLastColumn="0"/>
              <w:rPr>
                <w:noProof/>
              </w:rPr>
            </w:pPr>
            <w:r w:rsidRPr="00C05385">
              <w:rPr>
                <w:noProof/>
              </w:rPr>
              <w:t>70.0</w:t>
            </w:r>
          </w:p>
        </w:tc>
        <w:tc>
          <w:tcPr>
            <w:tcW w:w="2420" w:type="dxa"/>
          </w:tcPr>
          <w:p w14:paraId="6D0526A5" w14:textId="77777777" w:rsidR="000F75A3" w:rsidRPr="00C05385" w:rsidRDefault="000F75A3" w:rsidP="0083214A">
            <w:pPr>
              <w:jc w:val="right"/>
              <w:cnfStyle w:val="000000100000" w:firstRow="0" w:lastRow="0" w:firstColumn="0" w:lastColumn="0" w:oddVBand="0" w:evenVBand="0" w:oddHBand="1" w:evenHBand="0" w:firstRowFirstColumn="0" w:firstRowLastColumn="0" w:lastRowFirstColumn="0" w:lastRowLastColumn="0"/>
              <w:rPr>
                <w:noProof/>
              </w:rPr>
            </w:pPr>
            <w:r w:rsidRPr="00C05385">
              <w:rPr>
                <w:noProof/>
              </w:rPr>
              <w:t>175.6</w:t>
            </w:r>
          </w:p>
        </w:tc>
      </w:tr>
      <w:tr w:rsidR="000F75A3" w:rsidRPr="00C05385" w14:paraId="0628BF42" w14:textId="77777777" w:rsidTr="00832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4D42F5D0" w14:textId="77777777" w:rsidR="000F75A3" w:rsidRPr="00C05385" w:rsidRDefault="000F75A3" w:rsidP="0083214A">
            <w:pPr>
              <w:jc w:val="center"/>
              <w:rPr>
                <w:noProof/>
              </w:rPr>
            </w:pPr>
            <w:r w:rsidRPr="00C05385">
              <w:rPr>
                <w:noProof/>
              </w:rPr>
              <w:t>Payments</w:t>
            </w:r>
          </w:p>
        </w:tc>
        <w:tc>
          <w:tcPr>
            <w:tcW w:w="2419" w:type="dxa"/>
          </w:tcPr>
          <w:p w14:paraId="1CDD1BFC" w14:textId="77777777" w:rsidR="000F75A3" w:rsidRPr="00C05385" w:rsidRDefault="000F75A3" w:rsidP="0083214A">
            <w:pPr>
              <w:jc w:val="right"/>
              <w:cnfStyle w:val="000000010000" w:firstRow="0" w:lastRow="0" w:firstColumn="0" w:lastColumn="0" w:oddVBand="0" w:evenVBand="0" w:oddHBand="0" w:evenHBand="1" w:firstRowFirstColumn="0" w:firstRowLastColumn="0" w:lastRowFirstColumn="0" w:lastRowLastColumn="0"/>
              <w:rPr>
                <w:noProof/>
              </w:rPr>
            </w:pPr>
            <w:r w:rsidRPr="00C05385">
              <w:rPr>
                <w:noProof/>
              </w:rPr>
              <w:t>0.1</w:t>
            </w:r>
          </w:p>
        </w:tc>
        <w:tc>
          <w:tcPr>
            <w:tcW w:w="2420" w:type="dxa"/>
          </w:tcPr>
          <w:p w14:paraId="698749D7" w14:textId="77777777" w:rsidR="000F75A3" w:rsidRPr="00C05385" w:rsidRDefault="000F75A3" w:rsidP="0083214A">
            <w:pPr>
              <w:jc w:val="right"/>
              <w:cnfStyle w:val="000000010000" w:firstRow="0" w:lastRow="0" w:firstColumn="0" w:lastColumn="0" w:oddVBand="0" w:evenVBand="0" w:oddHBand="0" w:evenHBand="1" w:firstRowFirstColumn="0" w:firstRowLastColumn="0" w:lastRowFirstColumn="0" w:lastRowLastColumn="0"/>
              <w:rPr>
                <w:noProof/>
              </w:rPr>
            </w:pPr>
            <w:r w:rsidRPr="00C05385">
              <w:rPr>
                <w:noProof/>
              </w:rPr>
              <w:t>35.2</w:t>
            </w:r>
          </w:p>
        </w:tc>
      </w:tr>
    </w:tbl>
    <w:p w14:paraId="643E0E02" w14:textId="77777777" w:rsidR="000F75A3" w:rsidRPr="00C05385" w:rsidRDefault="000F75A3" w:rsidP="000F75A3">
      <w:pPr>
        <w:pStyle w:val="ppoListHyphened-L1"/>
        <w:rPr>
          <w:noProof/>
        </w:rPr>
      </w:pPr>
      <w:r w:rsidRPr="00C05385">
        <w:rPr>
          <w:noProof/>
        </w:rPr>
        <w:t xml:space="preserve">The </w:t>
      </w:r>
      <w:r>
        <w:rPr>
          <w:noProof/>
        </w:rPr>
        <w:t>envisaged</w:t>
      </w:r>
      <w:r w:rsidRPr="00C05385">
        <w:rPr>
          <w:noProof/>
        </w:rPr>
        <w:t xml:space="preserve"> use of the 2022 and 2023 appropriations will cover initial allocations to Member States (EUR</w:t>
      </w:r>
      <w:r>
        <w:rPr>
          <w:rFonts w:ascii="Calibri" w:hAnsi="Calibri" w:cs="Calibri"/>
          <w:noProof/>
        </w:rPr>
        <w:t> </w:t>
      </w:r>
      <w:r w:rsidRPr="00C05385">
        <w:rPr>
          <w:noProof/>
        </w:rPr>
        <w:t>155</w:t>
      </w:r>
      <w:r>
        <w:rPr>
          <w:rFonts w:ascii="Calibri" w:hAnsi="Calibri" w:cs="Calibri"/>
          <w:noProof/>
        </w:rPr>
        <w:t> </w:t>
      </w:r>
      <w:r w:rsidRPr="00C05385">
        <w:rPr>
          <w:noProof/>
        </w:rPr>
        <w:t>million in 2022 and EUR</w:t>
      </w:r>
      <w:r>
        <w:rPr>
          <w:rFonts w:ascii="Calibri" w:hAnsi="Calibri" w:cs="Calibri"/>
          <w:noProof/>
        </w:rPr>
        <w:t> </w:t>
      </w:r>
      <w:r w:rsidRPr="00C05385">
        <w:rPr>
          <w:noProof/>
        </w:rPr>
        <w:t>232</w:t>
      </w:r>
      <w:r>
        <w:rPr>
          <w:rFonts w:ascii="Calibri" w:hAnsi="Calibri" w:cs="Calibri"/>
          <w:noProof/>
        </w:rPr>
        <w:t> </w:t>
      </w:r>
      <w:r w:rsidRPr="00C05385">
        <w:rPr>
          <w:noProof/>
        </w:rPr>
        <w:t xml:space="preserve">million in 2023), </w:t>
      </w:r>
      <w:r>
        <w:rPr>
          <w:noProof/>
        </w:rPr>
        <w:t>t</w:t>
      </w:r>
      <w:r w:rsidRPr="00C05385">
        <w:rPr>
          <w:noProof/>
        </w:rPr>
        <w:t xml:space="preserve">hematic </w:t>
      </w:r>
      <w:r>
        <w:rPr>
          <w:noProof/>
        </w:rPr>
        <w:t>f</w:t>
      </w:r>
      <w:r w:rsidRPr="00C05385">
        <w:rPr>
          <w:noProof/>
        </w:rPr>
        <w:t xml:space="preserve">acilities amounts for </w:t>
      </w:r>
      <w:r>
        <w:rPr>
          <w:noProof/>
        </w:rPr>
        <w:t>s</w:t>
      </w:r>
      <w:r w:rsidRPr="00C05385">
        <w:rPr>
          <w:noProof/>
        </w:rPr>
        <w:t xml:space="preserve">pecific </w:t>
      </w:r>
      <w:r>
        <w:rPr>
          <w:noProof/>
        </w:rPr>
        <w:t>a</w:t>
      </w:r>
      <w:r w:rsidRPr="00C05385">
        <w:rPr>
          <w:noProof/>
        </w:rPr>
        <w:t xml:space="preserve">ctions and Union </w:t>
      </w:r>
      <w:r>
        <w:rPr>
          <w:noProof/>
        </w:rPr>
        <w:t>a</w:t>
      </w:r>
      <w:r w:rsidRPr="00C05385">
        <w:rPr>
          <w:noProof/>
        </w:rPr>
        <w:t>ctions (EUR</w:t>
      </w:r>
      <w:r>
        <w:rPr>
          <w:rFonts w:ascii="Calibri" w:hAnsi="Calibri" w:cs="Calibri"/>
          <w:noProof/>
        </w:rPr>
        <w:t> </w:t>
      </w:r>
      <w:r w:rsidRPr="00C05385">
        <w:rPr>
          <w:noProof/>
        </w:rPr>
        <w:t>96.4</w:t>
      </w:r>
      <w:r>
        <w:rPr>
          <w:rFonts w:ascii="Calibri" w:hAnsi="Calibri" w:cs="Calibri"/>
          <w:noProof/>
        </w:rPr>
        <w:t> </w:t>
      </w:r>
      <w:r w:rsidRPr="00C05385">
        <w:rPr>
          <w:noProof/>
        </w:rPr>
        <w:t>million in 2022 and EUR</w:t>
      </w:r>
      <w:r>
        <w:rPr>
          <w:rFonts w:ascii="Calibri" w:hAnsi="Calibri" w:cs="Calibri"/>
          <w:noProof/>
        </w:rPr>
        <w:t> </w:t>
      </w:r>
      <w:r w:rsidRPr="00C05385">
        <w:rPr>
          <w:noProof/>
        </w:rPr>
        <w:t>75</w:t>
      </w:r>
      <w:r>
        <w:rPr>
          <w:rFonts w:ascii="Calibri" w:hAnsi="Calibri" w:cs="Calibri"/>
          <w:noProof/>
        </w:rPr>
        <w:t> </w:t>
      </w:r>
      <w:r w:rsidRPr="00C05385">
        <w:rPr>
          <w:noProof/>
        </w:rPr>
        <w:t xml:space="preserve">million in 2023) and expenditure for </w:t>
      </w:r>
      <w:r>
        <w:rPr>
          <w:noProof/>
        </w:rPr>
        <w:t>t</w:t>
      </w:r>
      <w:r w:rsidRPr="00C05385">
        <w:rPr>
          <w:noProof/>
        </w:rPr>
        <w:t xml:space="preserve">echnical </w:t>
      </w:r>
      <w:r>
        <w:rPr>
          <w:noProof/>
        </w:rPr>
        <w:t>a</w:t>
      </w:r>
      <w:r w:rsidRPr="00C05385">
        <w:rPr>
          <w:noProof/>
        </w:rPr>
        <w:t>ssistance (EUR</w:t>
      </w:r>
      <w:r>
        <w:rPr>
          <w:rFonts w:ascii="Calibri" w:hAnsi="Calibri" w:cs="Calibri"/>
          <w:noProof/>
        </w:rPr>
        <w:t> </w:t>
      </w:r>
      <w:r w:rsidRPr="00C05385">
        <w:rPr>
          <w:noProof/>
        </w:rPr>
        <w:t>2.45</w:t>
      </w:r>
      <w:r>
        <w:rPr>
          <w:rFonts w:ascii="Calibri" w:hAnsi="Calibri" w:cs="Calibri"/>
          <w:noProof/>
        </w:rPr>
        <w:t> </w:t>
      </w:r>
      <w:r w:rsidRPr="00C05385">
        <w:rPr>
          <w:noProof/>
        </w:rPr>
        <w:t>million per year).</w:t>
      </w:r>
    </w:p>
    <w:p w14:paraId="3BAC440F" w14:textId="77777777" w:rsidR="000F75A3" w:rsidRPr="00C05385" w:rsidRDefault="000F75A3" w:rsidP="000F75A3">
      <w:pPr>
        <w:pStyle w:val="ppoListHyphened-L1"/>
        <w:rPr>
          <w:rFonts w:ascii="Segoe UI" w:hAnsi="Segoe UI" w:cs="Segoe UI"/>
          <w:noProof/>
          <w:sz w:val="18"/>
          <w:szCs w:val="18"/>
          <w:lang w:eastAsia="en-IE"/>
        </w:rPr>
      </w:pPr>
      <w:r w:rsidRPr="00C05385">
        <w:rPr>
          <w:noProof/>
          <w:lang w:eastAsia="en-IE"/>
        </w:rPr>
        <w:t>Due to the delays in the adoption of the legal basis for 2021-2027 and the time needed for the programming procedure, shared management programmes for the Member States may only be formally approved starting from the second quarter in 2022.</w:t>
      </w:r>
    </w:p>
    <w:p w14:paraId="5ABBCB6A" w14:textId="77777777" w:rsidR="000F75A3" w:rsidRPr="00C05385" w:rsidRDefault="000F75A3" w:rsidP="000F75A3">
      <w:pPr>
        <w:pStyle w:val="ppoListHyphened-L1"/>
        <w:rPr>
          <w:noProof/>
        </w:rPr>
      </w:pPr>
      <w:r w:rsidRPr="00C05385">
        <w:rPr>
          <w:noProof/>
        </w:rPr>
        <w:t xml:space="preserve">The Union </w:t>
      </w:r>
      <w:r>
        <w:rPr>
          <w:noProof/>
        </w:rPr>
        <w:t>a</w:t>
      </w:r>
      <w:r w:rsidRPr="00C05385">
        <w:rPr>
          <w:noProof/>
        </w:rPr>
        <w:t xml:space="preserve">ctions have become a part of the </w:t>
      </w:r>
      <w:r>
        <w:rPr>
          <w:noProof/>
        </w:rPr>
        <w:t>t</w:t>
      </w:r>
      <w:r w:rsidRPr="00C05385">
        <w:rPr>
          <w:noProof/>
        </w:rPr>
        <w:t xml:space="preserve">hematic </w:t>
      </w:r>
      <w:r>
        <w:rPr>
          <w:noProof/>
        </w:rPr>
        <w:t>f</w:t>
      </w:r>
      <w:r w:rsidRPr="00C05385">
        <w:rPr>
          <w:noProof/>
        </w:rPr>
        <w:t xml:space="preserve">acility covered by the multiannual </w:t>
      </w:r>
      <w:r>
        <w:rPr>
          <w:noProof/>
        </w:rPr>
        <w:t>w</w:t>
      </w:r>
      <w:r w:rsidRPr="00C05385">
        <w:rPr>
          <w:noProof/>
        </w:rPr>
        <w:t>ork</w:t>
      </w:r>
      <w:r>
        <w:rPr>
          <w:noProof/>
        </w:rPr>
        <w:t xml:space="preserve"> p</w:t>
      </w:r>
      <w:r w:rsidRPr="00C05385">
        <w:rPr>
          <w:noProof/>
        </w:rPr>
        <w:t>rogramme for 2021-2022. Most of the actions have been pencilled in for 2022</w:t>
      </w:r>
      <w:r>
        <w:rPr>
          <w:noProof/>
        </w:rPr>
        <w:t>,</w:t>
      </w:r>
      <w:r w:rsidRPr="00C05385">
        <w:rPr>
          <w:noProof/>
        </w:rPr>
        <w:t xml:space="preserve"> with their implementation commencing in early 2022 and continuing in 2023. Nonetheless, </w:t>
      </w:r>
      <w:r>
        <w:rPr>
          <w:noProof/>
        </w:rPr>
        <w:t xml:space="preserve">the </w:t>
      </w:r>
      <w:r w:rsidRPr="00C05385">
        <w:rPr>
          <w:noProof/>
        </w:rPr>
        <w:t>first activities (open calls for proposals) were initiated at the end of 2021</w:t>
      </w:r>
      <w:r>
        <w:rPr>
          <w:noProof/>
        </w:rPr>
        <w:t>,</w:t>
      </w:r>
      <w:r w:rsidRPr="00C05385">
        <w:rPr>
          <w:noProof/>
        </w:rPr>
        <w:t xml:space="preserve"> and are ongoing. Also, </w:t>
      </w:r>
      <w:r>
        <w:rPr>
          <w:noProof/>
        </w:rPr>
        <w:t xml:space="preserve">as a </w:t>
      </w:r>
      <w:r w:rsidRPr="00C05385">
        <w:rPr>
          <w:noProof/>
        </w:rPr>
        <w:t xml:space="preserve">continuation </w:t>
      </w:r>
      <w:r>
        <w:rPr>
          <w:noProof/>
        </w:rPr>
        <w:t>from</w:t>
      </w:r>
      <w:r w:rsidRPr="00C05385">
        <w:rPr>
          <w:noProof/>
        </w:rPr>
        <w:t xml:space="preserve"> previous years, ISF Union </w:t>
      </w:r>
      <w:r>
        <w:rPr>
          <w:noProof/>
        </w:rPr>
        <w:t>a</w:t>
      </w:r>
      <w:r w:rsidRPr="00C05385">
        <w:rPr>
          <w:noProof/>
        </w:rPr>
        <w:t>ctions will cover the area of police cooperation.</w:t>
      </w:r>
    </w:p>
    <w:p w14:paraId="47FE5135" w14:textId="2BEDA26D" w:rsidR="00A55483" w:rsidRDefault="00A55483" w:rsidP="006F409B">
      <w:pPr>
        <w:pStyle w:val="ppoHeading5"/>
        <w:rPr>
          <w:noProof/>
        </w:rPr>
      </w:pPr>
      <w:r w:rsidRPr="00040D99">
        <w:rPr>
          <w:noProof/>
        </w:rPr>
        <w:t>Contribution to horizontal priorities</w:t>
      </w:r>
    </w:p>
    <w:p w14:paraId="717784C9" w14:textId="7AEF4385" w:rsidR="000F75A3" w:rsidRPr="00C05385" w:rsidRDefault="000F75A3" w:rsidP="000F75A3">
      <w:pPr>
        <w:pStyle w:val="ppoTableTabletitle"/>
        <w:rPr>
          <w:noProof/>
        </w:rPr>
      </w:pPr>
      <w:r w:rsidRPr="00C05385">
        <w:rPr>
          <w:noProof/>
        </w:rPr>
        <w:t>EU budget contribution in 2021 (million EUR):</w:t>
      </w:r>
    </w:p>
    <w:tbl>
      <w:tblPr>
        <w:tblStyle w:val="PPO2021"/>
        <w:tblW w:w="9639" w:type="dxa"/>
        <w:tblInd w:w="0" w:type="dxa"/>
        <w:tblLook w:val="0420" w:firstRow="1" w:lastRow="0" w:firstColumn="0" w:lastColumn="0" w:noHBand="0" w:noVBand="1"/>
      </w:tblPr>
      <w:tblGrid>
        <w:gridCol w:w="3213"/>
        <w:gridCol w:w="3213"/>
        <w:gridCol w:w="3213"/>
      </w:tblGrid>
      <w:tr w:rsidR="000F75A3" w:rsidRPr="00C05385" w14:paraId="084AD1DB" w14:textId="77777777" w:rsidTr="0083214A">
        <w:trPr>
          <w:cnfStyle w:val="100000000000" w:firstRow="1" w:lastRow="0" w:firstColumn="0" w:lastColumn="0" w:oddVBand="0" w:evenVBand="0" w:oddHBand="0" w:evenHBand="0" w:firstRowFirstColumn="0" w:firstRowLastColumn="0" w:lastRowFirstColumn="0" w:lastRowLastColumn="0"/>
          <w:tblHeader/>
        </w:trPr>
        <w:tc>
          <w:tcPr>
            <w:tcW w:w="3213" w:type="dxa"/>
          </w:tcPr>
          <w:p w14:paraId="112E06B6" w14:textId="77777777" w:rsidR="000F75A3" w:rsidRPr="00C05385" w:rsidRDefault="000F75A3" w:rsidP="0083214A">
            <w:pPr>
              <w:rPr>
                <w:noProof/>
              </w:rPr>
            </w:pPr>
            <w:r w:rsidRPr="00C05385">
              <w:rPr>
                <w:noProof/>
              </w:rPr>
              <w:t>Climate</w:t>
            </w:r>
          </w:p>
        </w:tc>
        <w:tc>
          <w:tcPr>
            <w:tcW w:w="3213" w:type="dxa"/>
          </w:tcPr>
          <w:p w14:paraId="2DC438FA" w14:textId="77777777" w:rsidR="000F75A3" w:rsidRPr="00C05385" w:rsidRDefault="000F75A3" w:rsidP="0083214A">
            <w:pPr>
              <w:rPr>
                <w:noProof/>
              </w:rPr>
            </w:pPr>
            <w:r w:rsidRPr="00C05385">
              <w:rPr>
                <w:noProof/>
              </w:rPr>
              <w:t>Biodiversity</w:t>
            </w:r>
          </w:p>
        </w:tc>
        <w:tc>
          <w:tcPr>
            <w:tcW w:w="3213" w:type="dxa"/>
          </w:tcPr>
          <w:p w14:paraId="5BCAA5E3" w14:textId="77777777" w:rsidR="000F75A3" w:rsidRPr="00C05385" w:rsidRDefault="000F75A3" w:rsidP="0083214A">
            <w:pPr>
              <w:rPr>
                <w:noProof/>
              </w:rPr>
            </w:pPr>
            <w:r w:rsidRPr="00C05385">
              <w:rPr>
                <w:noProof/>
              </w:rPr>
              <w:t>Gender equality</w:t>
            </w:r>
            <w:r>
              <w:rPr>
                <w:rFonts w:ascii="Calibri" w:hAnsi="Calibri" w:cs="Calibri"/>
                <w:noProof/>
              </w:rPr>
              <w:t> </w:t>
            </w:r>
            <w:r w:rsidRPr="00C05385">
              <w:rPr>
                <w:noProof/>
              </w:rPr>
              <w:t>(*)</w:t>
            </w:r>
          </w:p>
        </w:tc>
      </w:tr>
      <w:tr w:rsidR="000F75A3" w:rsidRPr="00C05385" w14:paraId="77D82C1C" w14:textId="77777777" w:rsidTr="0083214A">
        <w:trPr>
          <w:cnfStyle w:val="000000100000" w:firstRow="0" w:lastRow="0" w:firstColumn="0" w:lastColumn="0" w:oddVBand="0" w:evenVBand="0" w:oddHBand="1" w:evenHBand="0" w:firstRowFirstColumn="0" w:firstRowLastColumn="0" w:lastRowFirstColumn="0" w:lastRowLastColumn="0"/>
        </w:trPr>
        <w:tc>
          <w:tcPr>
            <w:tcW w:w="3213" w:type="dxa"/>
          </w:tcPr>
          <w:tbl>
            <w:tblPr>
              <w:tblStyle w:val="TableGrid"/>
              <w:tblW w:w="0" w:type="auto"/>
              <w:tblLook w:val="06A0" w:firstRow="1" w:lastRow="0" w:firstColumn="1" w:lastColumn="0" w:noHBand="1" w:noVBand="1"/>
            </w:tblPr>
            <w:tblGrid>
              <w:gridCol w:w="1935"/>
            </w:tblGrid>
            <w:tr w:rsidR="000F75A3" w:rsidRPr="00DB613D" w14:paraId="6A29F765" w14:textId="77777777" w:rsidTr="0083214A">
              <w:trPr>
                <w:trHeight w:val="285"/>
              </w:trPr>
              <w:tc>
                <w:tcPr>
                  <w:tcW w:w="1935" w:type="dxa"/>
                  <w:tcBorders>
                    <w:top w:val="nil"/>
                    <w:left w:val="nil"/>
                    <w:bottom w:val="nil"/>
                    <w:right w:val="nil"/>
                  </w:tcBorders>
                  <w:vAlign w:val="bottom"/>
                </w:tcPr>
                <w:p w14:paraId="3961709D" w14:textId="77777777" w:rsidR="000F75A3" w:rsidRPr="00C05385" w:rsidRDefault="000F75A3" w:rsidP="00DB613D">
                  <w:pPr>
                    <w:spacing w:before="100"/>
                    <w:jc w:val="center"/>
                    <w:rPr>
                      <w:noProof/>
                    </w:rPr>
                  </w:pPr>
                  <w:r w:rsidRPr="00DB613D">
                    <w:rPr>
                      <w:rFonts w:cstheme="minorBidi"/>
                      <w:noProof/>
                    </w:rPr>
                    <w:t>0</w:t>
                  </w:r>
                </w:p>
              </w:tc>
            </w:tr>
          </w:tbl>
          <w:p w14:paraId="6704DF04" w14:textId="77777777" w:rsidR="000F75A3" w:rsidRPr="00C05385" w:rsidRDefault="000F75A3" w:rsidP="00DB613D">
            <w:pPr>
              <w:jc w:val="center"/>
              <w:rPr>
                <w:noProof/>
              </w:rPr>
            </w:pPr>
          </w:p>
        </w:tc>
        <w:tc>
          <w:tcPr>
            <w:tcW w:w="3213" w:type="dxa"/>
          </w:tcPr>
          <w:p w14:paraId="40EC89EC" w14:textId="77777777" w:rsidR="000F75A3" w:rsidRPr="00C05385" w:rsidRDefault="000F75A3" w:rsidP="00DB613D">
            <w:pPr>
              <w:jc w:val="center"/>
              <w:rPr>
                <w:noProof/>
              </w:rPr>
            </w:pPr>
            <w:r w:rsidRPr="00C05385">
              <w:rPr>
                <w:noProof/>
              </w:rPr>
              <w:t>0</w:t>
            </w:r>
          </w:p>
        </w:tc>
        <w:tc>
          <w:tcPr>
            <w:tcW w:w="3213" w:type="dxa"/>
          </w:tcPr>
          <w:p w14:paraId="0FA24E8D" w14:textId="2614D35F" w:rsidR="00BA1CB5" w:rsidRDefault="000F75A3" w:rsidP="00DB613D">
            <w:pPr>
              <w:jc w:val="center"/>
              <w:rPr>
                <w:noProof/>
              </w:rPr>
            </w:pPr>
            <w:r w:rsidRPr="00C05385">
              <w:rPr>
                <w:noProof/>
              </w:rPr>
              <w:t>Score 0</w:t>
            </w:r>
            <w:r w:rsidR="00BA1CB5">
              <w:rPr>
                <w:noProof/>
              </w:rPr>
              <w:t>*</w:t>
            </w:r>
            <w:r w:rsidRPr="00C05385">
              <w:rPr>
                <w:noProof/>
              </w:rPr>
              <w:t xml:space="preserve">: </w:t>
            </w:r>
            <w:r w:rsidR="00283F23">
              <w:rPr>
                <w:noProof/>
              </w:rPr>
              <w:t>65</w:t>
            </w:r>
          </w:p>
          <w:p w14:paraId="4D740B09" w14:textId="07FD9EDC" w:rsidR="000F75A3" w:rsidRPr="00C05385" w:rsidRDefault="00BA1CB5" w:rsidP="00DB613D">
            <w:pPr>
              <w:jc w:val="center"/>
              <w:rPr>
                <w:noProof/>
              </w:rPr>
            </w:pPr>
            <w:r>
              <w:rPr>
                <w:noProof/>
              </w:rPr>
              <w:t>Score 0: 5</w:t>
            </w:r>
          </w:p>
        </w:tc>
      </w:tr>
    </w:tbl>
    <w:p w14:paraId="3B213831" w14:textId="77777777" w:rsidR="000F75A3" w:rsidRPr="00C05385" w:rsidRDefault="000F75A3" w:rsidP="000F75A3">
      <w:pPr>
        <w:pStyle w:val="FootnoteText"/>
        <w:rPr>
          <w:noProof/>
        </w:rPr>
      </w:pPr>
      <w:r w:rsidRPr="00C05385">
        <w:rPr>
          <w:noProof/>
        </w:rPr>
        <w:t>(*)</w:t>
      </w:r>
      <w:r>
        <w:rPr>
          <w:noProof/>
        </w:rPr>
        <w:tab/>
      </w:r>
      <w:r w:rsidRPr="00C05385">
        <w:rPr>
          <w:noProof/>
        </w:rPr>
        <w:t>Based on the applied gender contribution methodology, the following scores are attributed at the most granular level of intervention possible:</w:t>
      </w:r>
    </w:p>
    <w:p w14:paraId="047579C2" w14:textId="77777777" w:rsidR="000F75A3" w:rsidRPr="00C05385" w:rsidRDefault="000F75A3" w:rsidP="000F75A3">
      <w:pPr>
        <w:pStyle w:val="FootnoteText"/>
        <w:numPr>
          <w:ilvl w:val="0"/>
          <w:numId w:val="38"/>
        </w:numPr>
        <w:spacing w:after="60" w:line="264" w:lineRule="auto"/>
        <w:jc w:val="left"/>
        <w:rPr>
          <w:noProof/>
        </w:rPr>
      </w:pPr>
      <w:r w:rsidRPr="00C05385">
        <w:rPr>
          <w:noProof/>
        </w:rPr>
        <w:t>2: interventions the principal objective of which is to improve gender equality;</w:t>
      </w:r>
    </w:p>
    <w:p w14:paraId="29CCC5AB" w14:textId="77777777" w:rsidR="000F75A3" w:rsidRPr="00C05385" w:rsidRDefault="000F75A3" w:rsidP="000F75A3">
      <w:pPr>
        <w:pStyle w:val="FootnoteText"/>
        <w:numPr>
          <w:ilvl w:val="0"/>
          <w:numId w:val="38"/>
        </w:numPr>
        <w:spacing w:after="60" w:line="264" w:lineRule="auto"/>
        <w:jc w:val="left"/>
        <w:rPr>
          <w:noProof/>
        </w:rPr>
      </w:pPr>
      <w:r w:rsidRPr="00C05385">
        <w:rPr>
          <w:noProof/>
        </w:rPr>
        <w:t>1: interventions that have gender equality as an important and deliberate objective but not as the main reason for the intervention;</w:t>
      </w:r>
    </w:p>
    <w:p w14:paraId="2FC801D2" w14:textId="77777777" w:rsidR="000F75A3" w:rsidRPr="00C05385" w:rsidRDefault="000F75A3" w:rsidP="000F75A3">
      <w:pPr>
        <w:pStyle w:val="FootnoteText"/>
        <w:numPr>
          <w:ilvl w:val="0"/>
          <w:numId w:val="38"/>
        </w:numPr>
        <w:spacing w:after="60" w:line="264" w:lineRule="auto"/>
        <w:jc w:val="left"/>
        <w:rPr>
          <w:noProof/>
        </w:rPr>
      </w:pPr>
      <w:r w:rsidRPr="00C05385">
        <w:rPr>
          <w:noProof/>
        </w:rPr>
        <w:t>0: non-targeted interventions;</w:t>
      </w:r>
    </w:p>
    <w:p w14:paraId="26FAA0D2" w14:textId="77777777" w:rsidR="000F75A3" w:rsidRPr="00C05385" w:rsidRDefault="000F75A3" w:rsidP="000F75A3">
      <w:pPr>
        <w:pStyle w:val="FootnoteText"/>
        <w:numPr>
          <w:ilvl w:val="0"/>
          <w:numId w:val="38"/>
        </w:numPr>
        <w:spacing w:after="60" w:line="264" w:lineRule="auto"/>
        <w:jc w:val="left"/>
        <w:rPr>
          <w:noProof/>
        </w:rPr>
      </w:pPr>
      <w:r w:rsidRPr="00C05385">
        <w:rPr>
          <w:noProof/>
        </w:rPr>
        <w:t>0*: score to be assigned to interventions with a likely but not yet clear positive impact on gender equality.</w:t>
      </w:r>
    </w:p>
    <w:p w14:paraId="77F84F5C" w14:textId="77777777" w:rsidR="000F75A3" w:rsidRPr="00C05385" w:rsidRDefault="000F75A3" w:rsidP="000F75A3">
      <w:pPr>
        <w:pStyle w:val="ppoHeading5"/>
        <w:rPr>
          <w:noProof/>
        </w:rPr>
      </w:pPr>
      <w:r w:rsidRPr="00C05385">
        <w:rPr>
          <w:noProof/>
        </w:rPr>
        <w:t>Performance assessment</w:t>
      </w:r>
    </w:p>
    <w:p w14:paraId="0C0969AC" w14:textId="77777777" w:rsidR="000F75A3" w:rsidRPr="00C05385" w:rsidRDefault="000F75A3" w:rsidP="000F75A3">
      <w:pPr>
        <w:pStyle w:val="ppoHeading6"/>
        <w:rPr>
          <w:noProof/>
        </w:rPr>
      </w:pPr>
      <w:r w:rsidRPr="00C05385">
        <w:rPr>
          <w:noProof/>
        </w:rPr>
        <w:t>Key performance indicators</w:t>
      </w:r>
    </w:p>
    <w:tbl>
      <w:tblPr>
        <w:tblStyle w:val="PPO2021"/>
        <w:tblW w:w="9639" w:type="dxa"/>
        <w:tblInd w:w="0" w:type="dxa"/>
        <w:tblLook w:val="0420" w:firstRow="1" w:lastRow="0" w:firstColumn="0" w:lastColumn="0" w:noHBand="0" w:noVBand="1"/>
      </w:tblPr>
      <w:tblGrid>
        <w:gridCol w:w="3658"/>
        <w:gridCol w:w="1076"/>
        <w:gridCol w:w="1391"/>
        <w:gridCol w:w="997"/>
        <w:gridCol w:w="1072"/>
        <w:gridCol w:w="1445"/>
      </w:tblGrid>
      <w:tr w:rsidR="000F75A3" w:rsidRPr="00C05385" w14:paraId="7BD8614B" w14:textId="77777777" w:rsidTr="0083214A">
        <w:trPr>
          <w:cnfStyle w:val="100000000000" w:firstRow="1" w:lastRow="0" w:firstColumn="0" w:lastColumn="0" w:oddVBand="0" w:evenVBand="0" w:oddHBand="0" w:evenHBand="0" w:firstRowFirstColumn="0" w:firstRowLastColumn="0" w:lastRowFirstColumn="0" w:lastRowLastColumn="0"/>
        </w:trPr>
        <w:tc>
          <w:tcPr>
            <w:tcW w:w="3741" w:type="dxa"/>
          </w:tcPr>
          <w:p w14:paraId="602798AA" w14:textId="77777777" w:rsidR="000F75A3" w:rsidRPr="00C05385" w:rsidRDefault="000F75A3" w:rsidP="0083214A">
            <w:pPr>
              <w:rPr>
                <w:noProof/>
              </w:rPr>
            </w:pPr>
          </w:p>
        </w:tc>
        <w:tc>
          <w:tcPr>
            <w:tcW w:w="1078" w:type="dxa"/>
          </w:tcPr>
          <w:p w14:paraId="6A189FE6" w14:textId="77777777" w:rsidR="000F75A3" w:rsidRPr="00C05385" w:rsidRDefault="000F75A3" w:rsidP="0083214A">
            <w:pPr>
              <w:rPr>
                <w:noProof/>
              </w:rPr>
            </w:pPr>
            <w:r w:rsidRPr="00C05385">
              <w:rPr>
                <w:noProof/>
              </w:rPr>
              <w:t>Baseline</w:t>
            </w:r>
          </w:p>
        </w:tc>
        <w:tc>
          <w:tcPr>
            <w:tcW w:w="1205" w:type="dxa"/>
          </w:tcPr>
          <w:p w14:paraId="4DBB3B35" w14:textId="77777777" w:rsidR="000F75A3" w:rsidRPr="00C05385" w:rsidRDefault="000F75A3" w:rsidP="0083214A">
            <w:pPr>
              <w:rPr>
                <w:noProof/>
              </w:rPr>
            </w:pPr>
            <w:r w:rsidRPr="00C05385">
              <w:rPr>
                <w:noProof/>
              </w:rPr>
              <w:t>Progress</w:t>
            </w:r>
            <w:r>
              <w:rPr>
                <w:rFonts w:ascii="Calibri" w:hAnsi="Calibri" w:cs="Calibri"/>
                <w:noProof/>
              </w:rPr>
              <w:t> </w:t>
            </w:r>
            <w:r w:rsidRPr="00C05385">
              <w:rPr>
                <w:noProof/>
              </w:rPr>
              <w:t>(*)</w:t>
            </w:r>
          </w:p>
        </w:tc>
        <w:tc>
          <w:tcPr>
            <w:tcW w:w="1043" w:type="dxa"/>
          </w:tcPr>
          <w:p w14:paraId="22DB3560" w14:textId="77777777" w:rsidR="000F75A3" w:rsidRPr="00C05385" w:rsidRDefault="000F75A3" w:rsidP="0083214A">
            <w:pPr>
              <w:rPr>
                <w:noProof/>
              </w:rPr>
            </w:pPr>
            <w:r w:rsidRPr="00C05385">
              <w:rPr>
                <w:noProof/>
              </w:rPr>
              <w:t>Target</w:t>
            </w:r>
          </w:p>
        </w:tc>
        <w:tc>
          <w:tcPr>
            <w:tcW w:w="1115" w:type="dxa"/>
          </w:tcPr>
          <w:p w14:paraId="4E9B648A" w14:textId="77777777" w:rsidR="000F75A3" w:rsidRPr="00C05385" w:rsidRDefault="000F75A3" w:rsidP="0083214A">
            <w:pPr>
              <w:rPr>
                <w:noProof/>
              </w:rPr>
            </w:pPr>
            <w:r w:rsidRPr="00C05385">
              <w:rPr>
                <w:noProof/>
              </w:rPr>
              <w:t>Results</w:t>
            </w:r>
          </w:p>
        </w:tc>
        <w:tc>
          <w:tcPr>
            <w:tcW w:w="1457" w:type="dxa"/>
          </w:tcPr>
          <w:p w14:paraId="3A6CD29B" w14:textId="77777777" w:rsidR="000F75A3" w:rsidRPr="00C05385" w:rsidRDefault="000F75A3" w:rsidP="0083214A">
            <w:pPr>
              <w:rPr>
                <w:noProof/>
              </w:rPr>
            </w:pPr>
            <w:r w:rsidRPr="00C05385">
              <w:rPr>
                <w:noProof/>
              </w:rPr>
              <w:t>Assessment</w:t>
            </w:r>
          </w:p>
        </w:tc>
      </w:tr>
      <w:tr w:rsidR="000F75A3" w:rsidRPr="00C05385" w14:paraId="414FFF5E" w14:textId="77777777" w:rsidTr="0083214A">
        <w:trPr>
          <w:cnfStyle w:val="000000100000" w:firstRow="0" w:lastRow="0" w:firstColumn="0" w:lastColumn="0" w:oddVBand="0" w:evenVBand="0" w:oddHBand="1" w:evenHBand="0" w:firstRowFirstColumn="0" w:firstRowLastColumn="0" w:lastRowFirstColumn="0" w:lastRowLastColumn="0"/>
        </w:trPr>
        <w:tc>
          <w:tcPr>
            <w:tcW w:w="3741" w:type="dxa"/>
          </w:tcPr>
          <w:p w14:paraId="3719640C" w14:textId="77777777" w:rsidR="000F75A3" w:rsidRPr="00C05385" w:rsidRDefault="000F75A3" w:rsidP="0083214A">
            <w:pPr>
              <w:rPr>
                <w:noProof/>
              </w:rPr>
            </w:pPr>
            <w:r w:rsidRPr="00C05385">
              <w:rPr>
                <w:rFonts w:cs="Arial"/>
                <w:noProof/>
                <w:sz w:val="20"/>
                <w:szCs w:val="20"/>
              </w:rPr>
              <w:t xml:space="preserve">Number of </w:t>
            </w:r>
            <w:r w:rsidRPr="00E66E60">
              <w:rPr>
                <w:rFonts w:cs="Arial"/>
                <w:noProof/>
                <w:sz w:val="20"/>
                <w:szCs w:val="20"/>
              </w:rPr>
              <w:t xml:space="preserve">information and communication technology </w:t>
            </w:r>
            <w:r w:rsidRPr="00C05385">
              <w:rPr>
                <w:rFonts w:cs="Arial"/>
                <w:noProof/>
                <w:sz w:val="20"/>
                <w:szCs w:val="20"/>
              </w:rPr>
              <w:t>systems made interoperable in the Member States</w:t>
            </w:r>
            <w:r>
              <w:rPr>
                <w:rFonts w:ascii="Calibri" w:hAnsi="Calibri" w:cs="Calibri"/>
                <w:noProof/>
                <w:sz w:val="20"/>
                <w:szCs w:val="20"/>
              </w:rPr>
              <w:t> </w:t>
            </w:r>
            <w:r w:rsidRPr="00C05385">
              <w:rPr>
                <w:rFonts w:cs="Arial"/>
                <w:noProof/>
                <w:sz w:val="20"/>
                <w:szCs w:val="20"/>
              </w:rPr>
              <w:t>/</w:t>
            </w:r>
            <w:r>
              <w:rPr>
                <w:rFonts w:cs="Arial"/>
                <w:noProof/>
                <w:sz w:val="20"/>
                <w:szCs w:val="20"/>
              </w:rPr>
              <w:t xml:space="preserve"> </w:t>
            </w:r>
            <w:r w:rsidRPr="00C05385">
              <w:rPr>
                <w:rFonts w:cs="Arial"/>
                <w:noProof/>
                <w:sz w:val="20"/>
                <w:szCs w:val="20"/>
              </w:rPr>
              <w:t>with security relevant EU and decentralised information systems</w:t>
            </w:r>
            <w:r>
              <w:rPr>
                <w:rFonts w:ascii="Calibri" w:hAnsi="Calibri" w:cs="Calibri"/>
                <w:noProof/>
                <w:sz w:val="20"/>
                <w:szCs w:val="20"/>
              </w:rPr>
              <w:t> </w:t>
            </w:r>
            <w:r w:rsidRPr="00C05385">
              <w:rPr>
                <w:rFonts w:cs="Arial"/>
                <w:noProof/>
                <w:sz w:val="20"/>
                <w:szCs w:val="20"/>
              </w:rPr>
              <w:t>/</w:t>
            </w:r>
            <w:r>
              <w:rPr>
                <w:rFonts w:cs="Arial"/>
                <w:noProof/>
                <w:sz w:val="20"/>
                <w:szCs w:val="20"/>
              </w:rPr>
              <w:t xml:space="preserve"> </w:t>
            </w:r>
            <w:r w:rsidRPr="00C05385">
              <w:rPr>
                <w:rFonts w:cs="Arial"/>
                <w:noProof/>
                <w:sz w:val="20"/>
                <w:szCs w:val="20"/>
              </w:rPr>
              <w:t>with international databases</w:t>
            </w:r>
          </w:p>
        </w:tc>
        <w:tc>
          <w:tcPr>
            <w:tcW w:w="1078" w:type="dxa"/>
          </w:tcPr>
          <w:p w14:paraId="641FE61E" w14:textId="77777777" w:rsidR="000F75A3" w:rsidRPr="00C05385" w:rsidRDefault="000F75A3" w:rsidP="0083214A">
            <w:pPr>
              <w:jc w:val="center"/>
              <w:rPr>
                <w:noProof/>
              </w:rPr>
            </w:pPr>
            <w:r w:rsidRPr="00C05385">
              <w:rPr>
                <w:noProof/>
              </w:rPr>
              <w:t>0</w:t>
            </w:r>
          </w:p>
        </w:tc>
        <w:tc>
          <w:tcPr>
            <w:tcW w:w="1205" w:type="dxa"/>
          </w:tcPr>
          <w:p w14:paraId="36CBEADC" w14:textId="77777777" w:rsidR="000F75A3" w:rsidRPr="00C05385" w:rsidRDefault="000F75A3" w:rsidP="0083214A">
            <w:pPr>
              <w:jc w:val="center"/>
              <w:rPr>
                <w:b/>
                <w:noProof/>
              </w:rPr>
            </w:pPr>
          </w:p>
        </w:tc>
        <w:tc>
          <w:tcPr>
            <w:tcW w:w="1043" w:type="dxa"/>
          </w:tcPr>
          <w:p w14:paraId="47FDCB38" w14:textId="77777777" w:rsidR="000F75A3" w:rsidRPr="00C05385" w:rsidRDefault="000F75A3" w:rsidP="0083214A">
            <w:pPr>
              <w:jc w:val="center"/>
              <w:rPr>
                <w:noProof/>
              </w:rPr>
            </w:pPr>
          </w:p>
        </w:tc>
        <w:tc>
          <w:tcPr>
            <w:tcW w:w="1115" w:type="dxa"/>
          </w:tcPr>
          <w:p w14:paraId="6E6A0041" w14:textId="77777777" w:rsidR="000F75A3" w:rsidRPr="00C05385" w:rsidRDefault="000F75A3" w:rsidP="0083214A">
            <w:pPr>
              <w:jc w:val="center"/>
              <w:rPr>
                <w:noProof/>
              </w:rPr>
            </w:pPr>
            <w:r w:rsidRPr="00C05385">
              <w:rPr>
                <w:noProof/>
              </w:rPr>
              <w:t>No results</w:t>
            </w:r>
          </w:p>
        </w:tc>
        <w:tc>
          <w:tcPr>
            <w:tcW w:w="1457" w:type="dxa"/>
          </w:tcPr>
          <w:p w14:paraId="7398A071" w14:textId="77777777" w:rsidR="000F75A3" w:rsidRPr="00C05385" w:rsidRDefault="000F75A3" w:rsidP="0083214A">
            <w:pPr>
              <w:jc w:val="center"/>
              <w:rPr>
                <w:noProof/>
              </w:rPr>
            </w:pPr>
            <w:r w:rsidRPr="00C05385">
              <w:rPr>
                <w:noProof/>
              </w:rPr>
              <w:t>No data</w:t>
            </w:r>
          </w:p>
        </w:tc>
      </w:tr>
      <w:tr w:rsidR="000F75A3" w:rsidRPr="00C05385" w14:paraId="45D00932" w14:textId="77777777" w:rsidTr="0083214A">
        <w:trPr>
          <w:cnfStyle w:val="000000010000" w:firstRow="0" w:lastRow="0" w:firstColumn="0" w:lastColumn="0" w:oddVBand="0" w:evenVBand="0" w:oddHBand="0" w:evenHBand="1" w:firstRowFirstColumn="0" w:firstRowLastColumn="0" w:lastRowFirstColumn="0" w:lastRowLastColumn="0"/>
        </w:trPr>
        <w:tc>
          <w:tcPr>
            <w:tcW w:w="3741" w:type="dxa"/>
          </w:tcPr>
          <w:p w14:paraId="35049DC7" w14:textId="77777777" w:rsidR="000F75A3" w:rsidRPr="00C05385" w:rsidRDefault="000F75A3" w:rsidP="0083214A">
            <w:pPr>
              <w:rPr>
                <w:noProof/>
              </w:rPr>
            </w:pPr>
            <w:r w:rsidRPr="00C05385">
              <w:rPr>
                <w:rFonts w:cs="Arial"/>
                <w:noProof/>
                <w:sz w:val="20"/>
                <w:szCs w:val="20"/>
              </w:rPr>
              <w:t xml:space="preserve">Number of administrative units that have set up new or adapted existing information exchange mechanisms/procedures/tools/guidance for </w:t>
            </w:r>
            <w:r>
              <w:rPr>
                <w:rFonts w:cs="Arial"/>
                <w:noProof/>
                <w:sz w:val="20"/>
                <w:szCs w:val="20"/>
              </w:rPr>
              <w:t xml:space="preserve">the </w:t>
            </w:r>
            <w:r w:rsidRPr="00C05385">
              <w:rPr>
                <w:rFonts w:cs="Arial"/>
                <w:noProof/>
                <w:sz w:val="20"/>
                <w:szCs w:val="20"/>
              </w:rPr>
              <w:t>exchange of information with other Member States</w:t>
            </w:r>
            <w:r>
              <w:rPr>
                <w:rFonts w:ascii="Calibri" w:hAnsi="Calibri" w:cs="Calibri"/>
                <w:noProof/>
                <w:sz w:val="20"/>
                <w:szCs w:val="20"/>
              </w:rPr>
              <w:t> </w:t>
            </w:r>
            <w:r w:rsidRPr="00C05385">
              <w:rPr>
                <w:rFonts w:cs="Arial"/>
                <w:noProof/>
                <w:sz w:val="20"/>
                <w:szCs w:val="20"/>
              </w:rPr>
              <w:t>/</w:t>
            </w:r>
            <w:r>
              <w:rPr>
                <w:rFonts w:cs="Arial"/>
                <w:noProof/>
                <w:sz w:val="20"/>
                <w:szCs w:val="20"/>
              </w:rPr>
              <w:t xml:space="preserve"> </w:t>
            </w:r>
            <w:r w:rsidRPr="00C05385">
              <w:rPr>
                <w:rFonts w:cs="Arial"/>
                <w:noProof/>
                <w:sz w:val="20"/>
                <w:szCs w:val="20"/>
              </w:rPr>
              <w:t>EU agencies</w:t>
            </w:r>
            <w:r>
              <w:rPr>
                <w:rFonts w:ascii="Calibri" w:hAnsi="Calibri" w:cs="Calibri"/>
                <w:noProof/>
                <w:sz w:val="20"/>
                <w:szCs w:val="20"/>
              </w:rPr>
              <w:t> </w:t>
            </w:r>
            <w:r w:rsidRPr="00C05385">
              <w:rPr>
                <w:rFonts w:cs="Arial"/>
                <w:noProof/>
                <w:sz w:val="20"/>
                <w:szCs w:val="20"/>
              </w:rPr>
              <w:t>/</w:t>
            </w:r>
            <w:r>
              <w:rPr>
                <w:rFonts w:cs="Arial"/>
                <w:noProof/>
                <w:sz w:val="20"/>
                <w:szCs w:val="20"/>
              </w:rPr>
              <w:t xml:space="preserve"> </w:t>
            </w:r>
            <w:r w:rsidRPr="00C05385">
              <w:rPr>
                <w:rFonts w:cs="Arial"/>
                <w:noProof/>
                <w:sz w:val="20"/>
                <w:szCs w:val="20"/>
              </w:rPr>
              <w:t>international organisations</w:t>
            </w:r>
            <w:r>
              <w:rPr>
                <w:rFonts w:ascii="Calibri" w:hAnsi="Calibri" w:cs="Calibri"/>
                <w:noProof/>
                <w:sz w:val="20"/>
                <w:szCs w:val="20"/>
              </w:rPr>
              <w:t> </w:t>
            </w:r>
            <w:r w:rsidRPr="00C05385">
              <w:rPr>
                <w:rFonts w:cs="Arial"/>
                <w:noProof/>
                <w:sz w:val="20"/>
                <w:szCs w:val="20"/>
              </w:rPr>
              <w:t>/</w:t>
            </w:r>
            <w:r>
              <w:rPr>
                <w:rFonts w:cs="Arial"/>
                <w:noProof/>
                <w:sz w:val="20"/>
                <w:szCs w:val="20"/>
              </w:rPr>
              <w:t xml:space="preserve"> non-EU</w:t>
            </w:r>
            <w:r w:rsidRPr="00C05385">
              <w:rPr>
                <w:rFonts w:cs="Arial"/>
                <w:noProof/>
                <w:sz w:val="20"/>
                <w:szCs w:val="20"/>
              </w:rPr>
              <w:t xml:space="preserve"> countries</w:t>
            </w:r>
          </w:p>
        </w:tc>
        <w:tc>
          <w:tcPr>
            <w:tcW w:w="1078" w:type="dxa"/>
          </w:tcPr>
          <w:p w14:paraId="0D25B2F6" w14:textId="77777777" w:rsidR="000F75A3" w:rsidRPr="00C05385" w:rsidRDefault="000F75A3" w:rsidP="0083214A">
            <w:pPr>
              <w:jc w:val="center"/>
              <w:rPr>
                <w:noProof/>
              </w:rPr>
            </w:pPr>
            <w:r w:rsidRPr="00C05385">
              <w:rPr>
                <w:noProof/>
              </w:rPr>
              <w:t>0</w:t>
            </w:r>
          </w:p>
        </w:tc>
        <w:tc>
          <w:tcPr>
            <w:tcW w:w="1205" w:type="dxa"/>
          </w:tcPr>
          <w:p w14:paraId="7A4F4EC5" w14:textId="77777777" w:rsidR="000F75A3" w:rsidRPr="00C05385" w:rsidRDefault="000F75A3" w:rsidP="0083214A">
            <w:pPr>
              <w:jc w:val="center"/>
              <w:rPr>
                <w:b/>
                <w:noProof/>
              </w:rPr>
            </w:pPr>
          </w:p>
        </w:tc>
        <w:tc>
          <w:tcPr>
            <w:tcW w:w="1043" w:type="dxa"/>
          </w:tcPr>
          <w:p w14:paraId="4F8DDFBD" w14:textId="77777777" w:rsidR="000F75A3" w:rsidRPr="00C05385" w:rsidRDefault="000F75A3" w:rsidP="0083214A">
            <w:pPr>
              <w:jc w:val="center"/>
              <w:rPr>
                <w:noProof/>
              </w:rPr>
            </w:pPr>
          </w:p>
        </w:tc>
        <w:tc>
          <w:tcPr>
            <w:tcW w:w="1115" w:type="dxa"/>
          </w:tcPr>
          <w:p w14:paraId="10CD3F63" w14:textId="77777777" w:rsidR="000F75A3" w:rsidRPr="00C05385" w:rsidRDefault="000F75A3" w:rsidP="0083214A">
            <w:pPr>
              <w:jc w:val="center"/>
              <w:rPr>
                <w:noProof/>
              </w:rPr>
            </w:pPr>
            <w:r w:rsidRPr="00C05385">
              <w:rPr>
                <w:noProof/>
              </w:rPr>
              <w:t>No results</w:t>
            </w:r>
          </w:p>
        </w:tc>
        <w:tc>
          <w:tcPr>
            <w:tcW w:w="1457" w:type="dxa"/>
          </w:tcPr>
          <w:p w14:paraId="2D0577C2" w14:textId="77777777" w:rsidR="000F75A3" w:rsidRPr="00C05385" w:rsidRDefault="000F75A3" w:rsidP="0083214A">
            <w:pPr>
              <w:jc w:val="center"/>
              <w:rPr>
                <w:noProof/>
              </w:rPr>
            </w:pPr>
            <w:r w:rsidRPr="00C05385">
              <w:rPr>
                <w:noProof/>
              </w:rPr>
              <w:t>No data</w:t>
            </w:r>
          </w:p>
        </w:tc>
      </w:tr>
      <w:tr w:rsidR="000F75A3" w:rsidRPr="00C05385" w14:paraId="1307DB0A" w14:textId="77777777" w:rsidTr="0083214A">
        <w:trPr>
          <w:cnfStyle w:val="000000100000" w:firstRow="0" w:lastRow="0" w:firstColumn="0" w:lastColumn="0" w:oddVBand="0" w:evenVBand="0" w:oddHBand="1" w:evenHBand="0" w:firstRowFirstColumn="0" w:firstRowLastColumn="0" w:lastRowFirstColumn="0" w:lastRowLastColumn="0"/>
        </w:trPr>
        <w:tc>
          <w:tcPr>
            <w:tcW w:w="3741" w:type="dxa"/>
          </w:tcPr>
          <w:p w14:paraId="58FD9416" w14:textId="77777777" w:rsidR="000F75A3" w:rsidRPr="00C05385" w:rsidRDefault="000F75A3" w:rsidP="0083214A">
            <w:pPr>
              <w:rPr>
                <w:noProof/>
              </w:rPr>
            </w:pPr>
            <w:r>
              <w:rPr>
                <w:rFonts w:cs="Arial"/>
                <w:noProof/>
                <w:sz w:val="20"/>
                <w:szCs w:val="20"/>
              </w:rPr>
              <w:t>E</w:t>
            </w:r>
            <w:r w:rsidRPr="00C05385">
              <w:rPr>
                <w:rFonts w:cs="Arial"/>
                <w:noProof/>
                <w:sz w:val="20"/>
                <w:szCs w:val="20"/>
              </w:rPr>
              <w:t>stimated value of assets frozen in the context of cross-border operations</w:t>
            </w:r>
          </w:p>
        </w:tc>
        <w:tc>
          <w:tcPr>
            <w:tcW w:w="1078" w:type="dxa"/>
          </w:tcPr>
          <w:p w14:paraId="1326F06E" w14:textId="77777777" w:rsidR="000F75A3" w:rsidRPr="00C05385" w:rsidRDefault="000F75A3" w:rsidP="0083214A">
            <w:pPr>
              <w:jc w:val="center"/>
              <w:rPr>
                <w:noProof/>
              </w:rPr>
            </w:pPr>
            <w:r w:rsidRPr="00C05385">
              <w:rPr>
                <w:noProof/>
              </w:rPr>
              <w:t>0</w:t>
            </w:r>
          </w:p>
        </w:tc>
        <w:tc>
          <w:tcPr>
            <w:tcW w:w="1205" w:type="dxa"/>
          </w:tcPr>
          <w:p w14:paraId="57E256AB" w14:textId="77777777" w:rsidR="000F75A3" w:rsidRPr="00C05385" w:rsidRDefault="000F75A3" w:rsidP="0083214A">
            <w:pPr>
              <w:jc w:val="center"/>
              <w:rPr>
                <w:b/>
                <w:noProof/>
              </w:rPr>
            </w:pPr>
          </w:p>
        </w:tc>
        <w:tc>
          <w:tcPr>
            <w:tcW w:w="1043" w:type="dxa"/>
          </w:tcPr>
          <w:p w14:paraId="2123CC7E" w14:textId="77777777" w:rsidR="000F75A3" w:rsidRPr="00C05385" w:rsidRDefault="000F75A3" w:rsidP="0083214A">
            <w:pPr>
              <w:jc w:val="center"/>
              <w:rPr>
                <w:noProof/>
              </w:rPr>
            </w:pPr>
          </w:p>
        </w:tc>
        <w:tc>
          <w:tcPr>
            <w:tcW w:w="1115" w:type="dxa"/>
          </w:tcPr>
          <w:p w14:paraId="7568C69A" w14:textId="77777777" w:rsidR="000F75A3" w:rsidRPr="00C05385" w:rsidRDefault="000F75A3" w:rsidP="0083214A">
            <w:pPr>
              <w:jc w:val="center"/>
              <w:rPr>
                <w:noProof/>
              </w:rPr>
            </w:pPr>
            <w:r w:rsidRPr="00C05385">
              <w:rPr>
                <w:noProof/>
              </w:rPr>
              <w:t>No results</w:t>
            </w:r>
          </w:p>
        </w:tc>
        <w:tc>
          <w:tcPr>
            <w:tcW w:w="1457" w:type="dxa"/>
          </w:tcPr>
          <w:p w14:paraId="4F97F110" w14:textId="77777777" w:rsidR="000F75A3" w:rsidRPr="00C05385" w:rsidRDefault="000F75A3" w:rsidP="0083214A">
            <w:pPr>
              <w:jc w:val="center"/>
              <w:rPr>
                <w:noProof/>
              </w:rPr>
            </w:pPr>
            <w:r w:rsidRPr="00C05385">
              <w:rPr>
                <w:noProof/>
              </w:rPr>
              <w:t>No data</w:t>
            </w:r>
          </w:p>
        </w:tc>
      </w:tr>
      <w:tr w:rsidR="000F75A3" w:rsidRPr="00C05385" w14:paraId="2FFD3158" w14:textId="77777777" w:rsidTr="0083214A">
        <w:trPr>
          <w:cnfStyle w:val="000000010000" w:firstRow="0" w:lastRow="0" w:firstColumn="0" w:lastColumn="0" w:oddVBand="0" w:evenVBand="0" w:oddHBand="0" w:evenHBand="1" w:firstRowFirstColumn="0" w:firstRowLastColumn="0" w:lastRowFirstColumn="0" w:lastRowLastColumn="0"/>
        </w:trPr>
        <w:tc>
          <w:tcPr>
            <w:tcW w:w="3741" w:type="dxa"/>
          </w:tcPr>
          <w:p w14:paraId="2F6ADB83" w14:textId="77777777" w:rsidR="000F75A3" w:rsidRPr="00C05385" w:rsidRDefault="000F75A3" w:rsidP="0083214A">
            <w:pPr>
              <w:rPr>
                <w:noProof/>
              </w:rPr>
            </w:pPr>
            <w:r w:rsidRPr="00C05385">
              <w:rPr>
                <w:rFonts w:cs="Arial"/>
                <w:noProof/>
                <w:sz w:val="20"/>
                <w:szCs w:val="20"/>
              </w:rPr>
              <w:t>Quantity of illicit drugs seized in the context of cross-border operations by type of product</w:t>
            </w:r>
          </w:p>
        </w:tc>
        <w:tc>
          <w:tcPr>
            <w:tcW w:w="1078" w:type="dxa"/>
          </w:tcPr>
          <w:p w14:paraId="3173F201" w14:textId="77777777" w:rsidR="000F75A3" w:rsidRPr="00C05385" w:rsidRDefault="000F75A3" w:rsidP="0083214A">
            <w:pPr>
              <w:jc w:val="center"/>
              <w:rPr>
                <w:noProof/>
              </w:rPr>
            </w:pPr>
            <w:r w:rsidRPr="00C05385">
              <w:rPr>
                <w:noProof/>
              </w:rPr>
              <w:t>0</w:t>
            </w:r>
          </w:p>
        </w:tc>
        <w:tc>
          <w:tcPr>
            <w:tcW w:w="1205" w:type="dxa"/>
          </w:tcPr>
          <w:p w14:paraId="4817D9CB" w14:textId="77777777" w:rsidR="000F75A3" w:rsidRPr="00C05385" w:rsidRDefault="000F75A3" w:rsidP="0083214A">
            <w:pPr>
              <w:jc w:val="center"/>
              <w:rPr>
                <w:b/>
                <w:noProof/>
              </w:rPr>
            </w:pPr>
          </w:p>
        </w:tc>
        <w:tc>
          <w:tcPr>
            <w:tcW w:w="1043" w:type="dxa"/>
          </w:tcPr>
          <w:p w14:paraId="560B1AE2" w14:textId="77777777" w:rsidR="000F75A3" w:rsidRPr="00C05385" w:rsidRDefault="000F75A3" w:rsidP="0083214A">
            <w:pPr>
              <w:jc w:val="center"/>
              <w:rPr>
                <w:noProof/>
              </w:rPr>
            </w:pPr>
          </w:p>
        </w:tc>
        <w:tc>
          <w:tcPr>
            <w:tcW w:w="1115" w:type="dxa"/>
          </w:tcPr>
          <w:p w14:paraId="03133DA7" w14:textId="77777777" w:rsidR="000F75A3" w:rsidRPr="00C05385" w:rsidRDefault="000F75A3" w:rsidP="0083214A">
            <w:pPr>
              <w:jc w:val="center"/>
              <w:rPr>
                <w:noProof/>
              </w:rPr>
            </w:pPr>
            <w:r w:rsidRPr="00C05385">
              <w:rPr>
                <w:noProof/>
              </w:rPr>
              <w:t>No results</w:t>
            </w:r>
          </w:p>
        </w:tc>
        <w:tc>
          <w:tcPr>
            <w:tcW w:w="1457" w:type="dxa"/>
          </w:tcPr>
          <w:p w14:paraId="1430D237" w14:textId="77777777" w:rsidR="000F75A3" w:rsidRPr="00C05385" w:rsidRDefault="000F75A3" w:rsidP="0083214A">
            <w:pPr>
              <w:jc w:val="center"/>
              <w:rPr>
                <w:noProof/>
              </w:rPr>
            </w:pPr>
            <w:r w:rsidRPr="00C05385">
              <w:rPr>
                <w:noProof/>
              </w:rPr>
              <w:t>No data</w:t>
            </w:r>
          </w:p>
        </w:tc>
      </w:tr>
      <w:tr w:rsidR="000F75A3" w:rsidRPr="00C05385" w14:paraId="6B2D67CD" w14:textId="77777777" w:rsidTr="0083214A">
        <w:trPr>
          <w:cnfStyle w:val="000000100000" w:firstRow="0" w:lastRow="0" w:firstColumn="0" w:lastColumn="0" w:oddVBand="0" w:evenVBand="0" w:oddHBand="1" w:evenHBand="0" w:firstRowFirstColumn="0" w:firstRowLastColumn="0" w:lastRowFirstColumn="0" w:lastRowLastColumn="0"/>
        </w:trPr>
        <w:tc>
          <w:tcPr>
            <w:tcW w:w="3741" w:type="dxa"/>
          </w:tcPr>
          <w:p w14:paraId="1F5AD1A4" w14:textId="77777777" w:rsidR="000F75A3" w:rsidRPr="00C05385" w:rsidRDefault="000F75A3" w:rsidP="0083214A">
            <w:pPr>
              <w:rPr>
                <w:noProof/>
              </w:rPr>
            </w:pPr>
            <w:r w:rsidRPr="00C05385">
              <w:rPr>
                <w:rFonts w:cs="Arial"/>
                <w:noProof/>
                <w:sz w:val="20"/>
                <w:szCs w:val="20"/>
              </w:rPr>
              <w:t>Quantity of weapons seized in the context of cross-border operations by type of weapon</w:t>
            </w:r>
          </w:p>
        </w:tc>
        <w:tc>
          <w:tcPr>
            <w:tcW w:w="1078" w:type="dxa"/>
          </w:tcPr>
          <w:p w14:paraId="7A293DCB" w14:textId="77777777" w:rsidR="000F75A3" w:rsidRPr="00C05385" w:rsidRDefault="000F75A3" w:rsidP="0083214A">
            <w:pPr>
              <w:jc w:val="center"/>
              <w:rPr>
                <w:noProof/>
              </w:rPr>
            </w:pPr>
            <w:r w:rsidRPr="00C05385">
              <w:rPr>
                <w:noProof/>
              </w:rPr>
              <w:t>0</w:t>
            </w:r>
          </w:p>
        </w:tc>
        <w:tc>
          <w:tcPr>
            <w:tcW w:w="1205" w:type="dxa"/>
          </w:tcPr>
          <w:p w14:paraId="1B347DF3" w14:textId="77777777" w:rsidR="000F75A3" w:rsidRPr="00C05385" w:rsidRDefault="000F75A3" w:rsidP="0083214A">
            <w:pPr>
              <w:jc w:val="center"/>
              <w:rPr>
                <w:b/>
                <w:noProof/>
              </w:rPr>
            </w:pPr>
          </w:p>
        </w:tc>
        <w:tc>
          <w:tcPr>
            <w:tcW w:w="1043" w:type="dxa"/>
          </w:tcPr>
          <w:p w14:paraId="47D087A7" w14:textId="77777777" w:rsidR="000F75A3" w:rsidRPr="00C05385" w:rsidRDefault="000F75A3" w:rsidP="0083214A">
            <w:pPr>
              <w:jc w:val="center"/>
              <w:rPr>
                <w:noProof/>
              </w:rPr>
            </w:pPr>
          </w:p>
        </w:tc>
        <w:tc>
          <w:tcPr>
            <w:tcW w:w="1115" w:type="dxa"/>
          </w:tcPr>
          <w:p w14:paraId="25F0EA3C" w14:textId="77777777" w:rsidR="000F75A3" w:rsidRPr="00C05385" w:rsidRDefault="000F75A3" w:rsidP="0083214A">
            <w:pPr>
              <w:jc w:val="center"/>
              <w:rPr>
                <w:noProof/>
              </w:rPr>
            </w:pPr>
            <w:r w:rsidRPr="00C05385">
              <w:rPr>
                <w:noProof/>
              </w:rPr>
              <w:t>No results</w:t>
            </w:r>
          </w:p>
        </w:tc>
        <w:tc>
          <w:tcPr>
            <w:tcW w:w="1457" w:type="dxa"/>
          </w:tcPr>
          <w:p w14:paraId="2656CE19" w14:textId="77777777" w:rsidR="000F75A3" w:rsidRPr="00C05385" w:rsidRDefault="000F75A3" w:rsidP="0083214A">
            <w:pPr>
              <w:jc w:val="center"/>
              <w:rPr>
                <w:noProof/>
              </w:rPr>
            </w:pPr>
            <w:r w:rsidRPr="00C05385">
              <w:rPr>
                <w:noProof/>
              </w:rPr>
              <w:t>No data</w:t>
            </w:r>
          </w:p>
        </w:tc>
      </w:tr>
      <w:tr w:rsidR="000F75A3" w:rsidRPr="00C05385" w14:paraId="6012D261" w14:textId="77777777" w:rsidTr="0083214A">
        <w:trPr>
          <w:cnfStyle w:val="000000010000" w:firstRow="0" w:lastRow="0" w:firstColumn="0" w:lastColumn="0" w:oddVBand="0" w:evenVBand="0" w:oddHBand="0" w:evenHBand="1" w:firstRowFirstColumn="0" w:firstRowLastColumn="0" w:lastRowFirstColumn="0" w:lastRowLastColumn="0"/>
        </w:trPr>
        <w:tc>
          <w:tcPr>
            <w:tcW w:w="3741" w:type="dxa"/>
          </w:tcPr>
          <w:p w14:paraId="47F411B1" w14:textId="77777777" w:rsidR="000F75A3" w:rsidRPr="00C05385" w:rsidRDefault="000F75A3" w:rsidP="0083214A">
            <w:pPr>
              <w:rPr>
                <w:noProof/>
              </w:rPr>
            </w:pPr>
            <w:r w:rsidRPr="00C05385">
              <w:rPr>
                <w:rFonts w:cs="Arial"/>
                <w:noProof/>
                <w:sz w:val="20"/>
                <w:szCs w:val="20"/>
              </w:rPr>
              <w:t>Number of initiatives developed/expanded to prevent radicalisation</w:t>
            </w:r>
          </w:p>
        </w:tc>
        <w:tc>
          <w:tcPr>
            <w:tcW w:w="1078" w:type="dxa"/>
          </w:tcPr>
          <w:p w14:paraId="795794A1" w14:textId="77777777" w:rsidR="000F75A3" w:rsidRPr="00C05385" w:rsidRDefault="000F75A3" w:rsidP="0083214A">
            <w:pPr>
              <w:jc w:val="center"/>
              <w:rPr>
                <w:noProof/>
              </w:rPr>
            </w:pPr>
            <w:r w:rsidRPr="00C05385">
              <w:rPr>
                <w:noProof/>
              </w:rPr>
              <w:t>0</w:t>
            </w:r>
          </w:p>
        </w:tc>
        <w:tc>
          <w:tcPr>
            <w:tcW w:w="1205" w:type="dxa"/>
          </w:tcPr>
          <w:p w14:paraId="2FEDE2D2" w14:textId="77777777" w:rsidR="000F75A3" w:rsidRPr="00C05385" w:rsidRDefault="000F75A3" w:rsidP="0083214A">
            <w:pPr>
              <w:jc w:val="center"/>
              <w:rPr>
                <w:b/>
                <w:noProof/>
              </w:rPr>
            </w:pPr>
          </w:p>
        </w:tc>
        <w:tc>
          <w:tcPr>
            <w:tcW w:w="1043" w:type="dxa"/>
          </w:tcPr>
          <w:p w14:paraId="54234F5B" w14:textId="77777777" w:rsidR="000F75A3" w:rsidRPr="00C05385" w:rsidRDefault="000F75A3" w:rsidP="0083214A">
            <w:pPr>
              <w:jc w:val="center"/>
              <w:rPr>
                <w:noProof/>
              </w:rPr>
            </w:pPr>
          </w:p>
        </w:tc>
        <w:tc>
          <w:tcPr>
            <w:tcW w:w="1115" w:type="dxa"/>
          </w:tcPr>
          <w:p w14:paraId="69A83152" w14:textId="77777777" w:rsidR="000F75A3" w:rsidRPr="00C05385" w:rsidRDefault="000F75A3" w:rsidP="0083214A">
            <w:pPr>
              <w:jc w:val="center"/>
              <w:rPr>
                <w:noProof/>
              </w:rPr>
            </w:pPr>
            <w:r w:rsidRPr="00C05385">
              <w:rPr>
                <w:noProof/>
              </w:rPr>
              <w:t>No results</w:t>
            </w:r>
          </w:p>
        </w:tc>
        <w:tc>
          <w:tcPr>
            <w:tcW w:w="1457" w:type="dxa"/>
          </w:tcPr>
          <w:p w14:paraId="7478F9C4" w14:textId="77777777" w:rsidR="000F75A3" w:rsidRPr="00C05385" w:rsidRDefault="000F75A3" w:rsidP="0083214A">
            <w:pPr>
              <w:jc w:val="center"/>
              <w:rPr>
                <w:noProof/>
              </w:rPr>
            </w:pPr>
            <w:r w:rsidRPr="00C05385">
              <w:rPr>
                <w:noProof/>
              </w:rPr>
              <w:t>No data</w:t>
            </w:r>
          </w:p>
        </w:tc>
      </w:tr>
      <w:tr w:rsidR="000F75A3" w:rsidRPr="00C05385" w14:paraId="7C6354E1" w14:textId="77777777" w:rsidTr="0083214A">
        <w:trPr>
          <w:cnfStyle w:val="000000100000" w:firstRow="0" w:lastRow="0" w:firstColumn="0" w:lastColumn="0" w:oddVBand="0" w:evenVBand="0" w:oddHBand="1" w:evenHBand="0" w:firstRowFirstColumn="0" w:firstRowLastColumn="0" w:lastRowFirstColumn="0" w:lastRowLastColumn="0"/>
        </w:trPr>
        <w:tc>
          <w:tcPr>
            <w:tcW w:w="3741" w:type="dxa"/>
          </w:tcPr>
          <w:p w14:paraId="4D1DCEF2" w14:textId="77777777" w:rsidR="000F75A3" w:rsidRPr="00C05385" w:rsidRDefault="000F75A3" w:rsidP="0083214A">
            <w:pPr>
              <w:rPr>
                <w:noProof/>
              </w:rPr>
            </w:pPr>
            <w:r w:rsidRPr="00C05385">
              <w:rPr>
                <w:rFonts w:cs="Arial"/>
                <w:noProof/>
                <w:sz w:val="20"/>
                <w:szCs w:val="20"/>
              </w:rPr>
              <w:t>Number of critical infrastructure</w:t>
            </w:r>
            <w:r>
              <w:rPr>
                <w:rFonts w:cs="Arial"/>
                <w:noProof/>
                <w:sz w:val="20"/>
                <w:szCs w:val="20"/>
              </w:rPr>
              <w:t>s</w:t>
            </w:r>
            <w:r>
              <w:rPr>
                <w:rFonts w:ascii="Calibri" w:hAnsi="Calibri" w:cs="Calibri"/>
                <w:noProof/>
                <w:sz w:val="20"/>
                <w:szCs w:val="20"/>
              </w:rPr>
              <w:t> </w:t>
            </w:r>
            <w:r w:rsidRPr="00C05385">
              <w:rPr>
                <w:rFonts w:cs="Arial"/>
                <w:noProof/>
                <w:sz w:val="20"/>
                <w:szCs w:val="20"/>
              </w:rPr>
              <w:t>/</w:t>
            </w:r>
            <w:r>
              <w:rPr>
                <w:rFonts w:cs="Arial"/>
                <w:noProof/>
                <w:sz w:val="20"/>
                <w:szCs w:val="20"/>
              </w:rPr>
              <w:t xml:space="preserve"> </w:t>
            </w:r>
            <w:r w:rsidRPr="00C05385">
              <w:rPr>
                <w:rFonts w:cs="Arial"/>
                <w:noProof/>
                <w:sz w:val="20"/>
                <w:szCs w:val="20"/>
              </w:rPr>
              <w:t>public spaces with new/adapted facilities protecting against security</w:t>
            </w:r>
            <w:r>
              <w:rPr>
                <w:rFonts w:cs="Arial"/>
                <w:noProof/>
                <w:sz w:val="20"/>
                <w:szCs w:val="20"/>
              </w:rPr>
              <w:t>-</w:t>
            </w:r>
            <w:r w:rsidRPr="00C05385">
              <w:rPr>
                <w:rFonts w:cs="Arial"/>
                <w:noProof/>
                <w:sz w:val="20"/>
                <w:szCs w:val="20"/>
              </w:rPr>
              <w:t>related risks</w:t>
            </w:r>
          </w:p>
        </w:tc>
        <w:tc>
          <w:tcPr>
            <w:tcW w:w="1078" w:type="dxa"/>
          </w:tcPr>
          <w:p w14:paraId="0B98EF7C" w14:textId="77777777" w:rsidR="000F75A3" w:rsidRPr="00C05385" w:rsidRDefault="000F75A3" w:rsidP="0083214A">
            <w:pPr>
              <w:jc w:val="center"/>
              <w:rPr>
                <w:noProof/>
              </w:rPr>
            </w:pPr>
            <w:r w:rsidRPr="00C05385">
              <w:rPr>
                <w:noProof/>
              </w:rPr>
              <w:t>0</w:t>
            </w:r>
          </w:p>
        </w:tc>
        <w:tc>
          <w:tcPr>
            <w:tcW w:w="1205" w:type="dxa"/>
          </w:tcPr>
          <w:p w14:paraId="05282C29" w14:textId="77777777" w:rsidR="000F75A3" w:rsidRPr="00C05385" w:rsidRDefault="000F75A3" w:rsidP="0083214A">
            <w:pPr>
              <w:jc w:val="center"/>
              <w:rPr>
                <w:b/>
                <w:noProof/>
              </w:rPr>
            </w:pPr>
          </w:p>
        </w:tc>
        <w:tc>
          <w:tcPr>
            <w:tcW w:w="1043" w:type="dxa"/>
          </w:tcPr>
          <w:p w14:paraId="7132D8A3" w14:textId="77777777" w:rsidR="000F75A3" w:rsidRPr="00C05385" w:rsidRDefault="000F75A3" w:rsidP="0083214A">
            <w:pPr>
              <w:jc w:val="center"/>
              <w:rPr>
                <w:noProof/>
              </w:rPr>
            </w:pPr>
          </w:p>
        </w:tc>
        <w:tc>
          <w:tcPr>
            <w:tcW w:w="1115" w:type="dxa"/>
          </w:tcPr>
          <w:p w14:paraId="46ADEAD0" w14:textId="77777777" w:rsidR="000F75A3" w:rsidRPr="00C05385" w:rsidRDefault="000F75A3" w:rsidP="0083214A">
            <w:pPr>
              <w:jc w:val="center"/>
              <w:rPr>
                <w:noProof/>
              </w:rPr>
            </w:pPr>
            <w:r w:rsidRPr="00C05385">
              <w:rPr>
                <w:noProof/>
              </w:rPr>
              <w:t>No results</w:t>
            </w:r>
          </w:p>
        </w:tc>
        <w:tc>
          <w:tcPr>
            <w:tcW w:w="1457" w:type="dxa"/>
          </w:tcPr>
          <w:p w14:paraId="1916024F" w14:textId="77777777" w:rsidR="000F75A3" w:rsidRPr="00C05385" w:rsidRDefault="000F75A3" w:rsidP="0083214A">
            <w:pPr>
              <w:jc w:val="center"/>
              <w:rPr>
                <w:noProof/>
              </w:rPr>
            </w:pPr>
            <w:r w:rsidRPr="00C05385">
              <w:rPr>
                <w:noProof/>
              </w:rPr>
              <w:t>No data</w:t>
            </w:r>
          </w:p>
        </w:tc>
      </w:tr>
    </w:tbl>
    <w:p w14:paraId="09BC472F" w14:textId="77777777" w:rsidR="000F75A3" w:rsidRPr="00C05385" w:rsidRDefault="000F75A3" w:rsidP="000F75A3">
      <w:pPr>
        <w:pStyle w:val="FootnoteText"/>
        <w:spacing w:before="120"/>
        <w:rPr>
          <w:noProof/>
        </w:rPr>
      </w:pPr>
      <w:r w:rsidRPr="00C05385">
        <w:rPr>
          <w:noProof/>
        </w:rPr>
        <w:t>(*) % of target achieved by the end of 2021.</w:t>
      </w:r>
    </w:p>
    <w:p w14:paraId="17038AE7" w14:textId="77777777" w:rsidR="000F75A3" w:rsidRPr="00C05385" w:rsidRDefault="000F75A3" w:rsidP="000F75A3">
      <w:pPr>
        <w:pStyle w:val="ppoListHyphened-L1"/>
        <w:rPr>
          <w:noProof/>
        </w:rPr>
      </w:pPr>
      <w:r w:rsidRPr="00C05385">
        <w:rPr>
          <w:noProof/>
        </w:rPr>
        <w:t xml:space="preserve">Performance assessment will be provided once the implementation of the 2021-2027 programme </w:t>
      </w:r>
      <w:r>
        <w:rPr>
          <w:noProof/>
        </w:rPr>
        <w:t>has</w:t>
      </w:r>
      <w:r w:rsidRPr="00C05385">
        <w:rPr>
          <w:noProof/>
        </w:rPr>
        <w:t xml:space="preserve"> started in earnest and the first performance reports have been received.</w:t>
      </w:r>
    </w:p>
    <w:p w14:paraId="7DF47590" w14:textId="77777777" w:rsidR="000F75A3" w:rsidRPr="00C05385" w:rsidRDefault="000F75A3" w:rsidP="000F75A3">
      <w:pPr>
        <w:spacing w:after="160" w:line="259" w:lineRule="auto"/>
        <w:rPr>
          <w:rFonts w:eastAsiaTheme="majorEastAsia" w:cstheme="majorBidi"/>
          <w:noProof/>
          <w:color w:val="016A13" w:themeColor="accent1" w:themeShade="BF"/>
          <w:sz w:val="48"/>
          <w:szCs w:val="32"/>
        </w:rPr>
      </w:pPr>
      <w:r w:rsidRPr="00C05385">
        <w:rPr>
          <w:noProof/>
        </w:rPr>
        <w:br w:type="page"/>
      </w:r>
    </w:p>
    <w:p w14:paraId="264F179D" w14:textId="77777777" w:rsidR="000F75A3" w:rsidRPr="00C05385" w:rsidRDefault="000F75A3" w:rsidP="000F75A3">
      <w:pPr>
        <w:pStyle w:val="ppoHeading4Blue"/>
        <w:rPr>
          <w:noProof/>
        </w:rPr>
      </w:pPr>
      <w:r w:rsidRPr="00C05385">
        <w:rPr>
          <w:noProof/>
        </w:rPr>
        <w:t xml:space="preserve">2014-2020 </w:t>
      </w:r>
      <w:r w:rsidRPr="00A7741D">
        <w:rPr>
          <w:noProof/>
        </w:rPr>
        <w:t>multiannual financial framework</w:t>
      </w:r>
      <w:r>
        <w:rPr>
          <w:rFonts w:ascii="Calibri" w:hAnsi="Calibri" w:cs="Calibri"/>
          <w:noProof/>
        </w:rPr>
        <w:t> </w:t>
      </w:r>
      <w:r w:rsidRPr="00C05385">
        <w:rPr>
          <w:noProof/>
        </w:rPr>
        <w:t>– ISF Police</w:t>
      </w:r>
    </w:p>
    <w:p w14:paraId="4349B714" w14:textId="77777777" w:rsidR="000F75A3" w:rsidRPr="00C05385" w:rsidRDefault="000F75A3" w:rsidP="000F75A3">
      <w:pPr>
        <w:rPr>
          <w:rFonts w:eastAsiaTheme="minorEastAsia"/>
          <w:noProof/>
        </w:rPr>
      </w:pPr>
      <w:r w:rsidRPr="00C05385">
        <w:rPr>
          <w:noProof/>
        </w:rPr>
        <w:t xml:space="preserve">The 2014-2020 ISF provided financial resources with the objective </w:t>
      </w:r>
      <w:r>
        <w:rPr>
          <w:noProof/>
        </w:rPr>
        <w:t>of</w:t>
      </w:r>
      <w:r w:rsidRPr="00C05385">
        <w:rPr>
          <w:noProof/>
        </w:rPr>
        <w:t xml:space="preserve"> contribut</w:t>
      </w:r>
      <w:r>
        <w:rPr>
          <w:noProof/>
        </w:rPr>
        <w:t>ing</w:t>
      </w:r>
      <w:r w:rsidRPr="00C05385">
        <w:rPr>
          <w:noProof/>
        </w:rPr>
        <w:t xml:space="preserve"> to ensuring a high level of security in the EU, in particular by preventing and combating terrorism and radicalisation, serious and organised crime and cybercrime, and by assisting and protecting victims of crime </w:t>
      </w:r>
      <w:r>
        <w:rPr>
          <w:noProof/>
        </w:rPr>
        <w:t>and</w:t>
      </w:r>
      <w:r w:rsidRPr="00C05385">
        <w:rPr>
          <w:noProof/>
        </w:rPr>
        <w:t xml:space="preserve"> preparing for, protecting against and effectively managing security</w:t>
      </w:r>
      <w:r>
        <w:rPr>
          <w:noProof/>
        </w:rPr>
        <w:t>-</w:t>
      </w:r>
      <w:r w:rsidRPr="00C05385">
        <w:rPr>
          <w:noProof/>
        </w:rPr>
        <w:t>related incidents, risks and crises.</w:t>
      </w:r>
    </w:p>
    <w:p w14:paraId="7E015A52" w14:textId="77777777" w:rsidR="000F75A3" w:rsidRPr="00C05385" w:rsidRDefault="000F75A3" w:rsidP="000F75A3">
      <w:pPr>
        <w:pStyle w:val="ppoHeading5"/>
        <w:rPr>
          <w:noProof/>
        </w:rPr>
      </w:pPr>
      <w:r w:rsidRPr="00C05385">
        <w:rPr>
          <w:noProof/>
        </w:rPr>
        <w:t>Budget</w:t>
      </w:r>
    </w:p>
    <w:p w14:paraId="14F2F6C0" w14:textId="77777777" w:rsidR="000F75A3" w:rsidRPr="00C05385" w:rsidRDefault="000F75A3" w:rsidP="000F75A3">
      <w:pPr>
        <w:pStyle w:val="ppoTableTabletitle"/>
        <w:rPr>
          <w:noProof/>
        </w:rPr>
      </w:pPr>
      <w:r w:rsidRPr="00C05385">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0F75A3" w:rsidRPr="00C05385" w14:paraId="32AF32F1" w14:textId="77777777" w:rsidTr="008321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47F0DA13" w14:textId="77777777" w:rsidR="000F75A3" w:rsidRPr="00C05385" w:rsidRDefault="000F75A3" w:rsidP="0083214A">
            <w:pPr>
              <w:rPr>
                <w:noProof/>
              </w:rPr>
            </w:pPr>
          </w:p>
        </w:tc>
        <w:tc>
          <w:tcPr>
            <w:tcW w:w="2410" w:type="dxa"/>
          </w:tcPr>
          <w:p w14:paraId="7DEAD8D3" w14:textId="77777777" w:rsidR="000F75A3" w:rsidRPr="00C05385" w:rsidRDefault="000F75A3" w:rsidP="0083214A">
            <w:pPr>
              <w:cnfStyle w:val="100000000000" w:firstRow="1" w:lastRow="0" w:firstColumn="0" w:lastColumn="0" w:oddVBand="0" w:evenVBand="0" w:oddHBand="0" w:evenHBand="0" w:firstRowFirstColumn="0" w:firstRowLastColumn="0" w:lastRowFirstColumn="0" w:lastRowLastColumn="0"/>
              <w:rPr>
                <w:noProof/>
              </w:rPr>
            </w:pPr>
            <w:r w:rsidRPr="00C05385">
              <w:rPr>
                <w:noProof/>
              </w:rPr>
              <w:t>Implementation</w:t>
            </w:r>
          </w:p>
        </w:tc>
        <w:tc>
          <w:tcPr>
            <w:tcW w:w="2410" w:type="dxa"/>
          </w:tcPr>
          <w:p w14:paraId="358D1342" w14:textId="6FF2CE09" w:rsidR="000F75A3" w:rsidRPr="00C05385" w:rsidRDefault="003821C6" w:rsidP="0083214A">
            <w:pPr>
              <w:cnfStyle w:val="100000000000" w:firstRow="1" w:lastRow="0" w:firstColumn="0" w:lastColumn="0" w:oddVBand="0" w:evenVBand="0" w:oddHBand="0" w:evenHBand="0" w:firstRowFirstColumn="0" w:firstRowLastColumn="0" w:lastRowFirstColumn="0" w:lastRowLastColumn="0"/>
              <w:rPr>
                <w:noProof/>
              </w:rPr>
            </w:pPr>
            <w:r>
              <w:rPr>
                <w:noProof/>
              </w:rPr>
              <w:t xml:space="preserve">2014-2020 </w:t>
            </w:r>
            <w:r w:rsidR="000F75A3" w:rsidRPr="00C05385">
              <w:rPr>
                <w:noProof/>
              </w:rPr>
              <w:t>Budget</w:t>
            </w:r>
          </w:p>
        </w:tc>
        <w:tc>
          <w:tcPr>
            <w:tcW w:w="2410" w:type="dxa"/>
          </w:tcPr>
          <w:p w14:paraId="0028A784" w14:textId="77777777" w:rsidR="000F75A3" w:rsidRPr="00C05385" w:rsidRDefault="000F75A3" w:rsidP="0083214A">
            <w:pPr>
              <w:cnfStyle w:val="100000000000" w:firstRow="1" w:lastRow="0" w:firstColumn="0" w:lastColumn="0" w:oddVBand="0" w:evenVBand="0" w:oddHBand="0" w:evenHBand="0" w:firstRowFirstColumn="0" w:firstRowLastColumn="0" w:lastRowFirstColumn="0" w:lastRowLastColumn="0"/>
              <w:rPr>
                <w:noProof/>
              </w:rPr>
            </w:pPr>
            <w:r w:rsidRPr="00C05385">
              <w:rPr>
                <w:noProof/>
              </w:rPr>
              <w:t>Implementation rate</w:t>
            </w:r>
          </w:p>
        </w:tc>
      </w:tr>
      <w:tr w:rsidR="000F75A3" w:rsidRPr="00C05385" w14:paraId="6620B261"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0642260A" w14:textId="77777777" w:rsidR="000F75A3" w:rsidRPr="00C05385" w:rsidRDefault="000F75A3" w:rsidP="0083214A">
            <w:pPr>
              <w:jc w:val="center"/>
              <w:rPr>
                <w:noProof/>
              </w:rPr>
            </w:pPr>
            <w:r w:rsidRPr="00C05385">
              <w:rPr>
                <w:noProof/>
              </w:rPr>
              <w:t>Commitments</w:t>
            </w:r>
          </w:p>
        </w:tc>
        <w:tc>
          <w:tcPr>
            <w:tcW w:w="2410" w:type="dxa"/>
          </w:tcPr>
          <w:tbl>
            <w:tblPr>
              <w:tblStyle w:val="TableGrid"/>
              <w:tblW w:w="0" w:type="auto"/>
              <w:tblLook w:val="06A0" w:firstRow="1" w:lastRow="0" w:firstColumn="1" w:lastColumn="0" w:noHBand="1" w:noVBand="1"/>
            </w:tblPr>
            <w:tblGrid>
              <w:gridCol w:w="2194"/>
            </w:tblGrid>
            <w:tr w:rsidR="000F75A3" w:rsidRPr="00C05385" w14:paraId="273924C8" w14:textId="77777777" w:rsidTr="0083214A">
              <w:trPr>
                <w:trHeight w:val="285"/>
              </w:trPr>
              <w:tc>
                <w:tcPr>
                  <w:tcW w:w="2290" w:type="dxa"/>
                  <w:tcBorders>
                    <w:top w:val="nil"/>
                    <w:left w:val="nil"/>
                    <w:bottom w:val="nil"/>
                    <w:right w:val="nil"/>
                  </w:tcBorders>
                  <w:vAlign w:val="bottom"/>
                </w:tcPr>
                <w:p w14:paraId="32BA115E" w14:textId="77777777" w:rsidR="000F75A3" w:rsidRPr="00C05385" w:rsidRDefault="000F75A3" w:rsidP="0083214A">
                  <w:pPr>
                    <w:jc w:val="right"/>
                    <w:rPr>
                      <w:noProof/>
                    </w:rPr>
                  </w:pPr>
                  <w:r w:rsidRPr="00C05385">
                    <w:rPr>
                      <w:rFonts w:ascii="Calibri" w:hAnsi="Calibri" w:cs="Calibri"/>
                      <w:noProof/>
                      <w:color w:val="000000"/>
                    </w:rPr>
                    <w:t>1 230.2</w:t>
                  </w:r>
                </w:p>
              </w:tc>
            </w:tr>
          </w:tbl>
          <w:p w14:paraId="5644DA22" w14:textId="77777777" w:rsidR="000F75A3" w:rsidRPr="00C05385" w:rsidRDefault="000F75A3"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0F75A3" w:rsidRPr="00C05385" w14:paraId="507809A1" w14:textId="77777777" w:rsidTr="0083214A">
              <w:trPr>
                <w:trHeight w:val="285"/>
              </w:trPr>
              <w:tc>
                <w:tcPr>
                  <w:tcW w:w="2290" w:type="dxa"/>
                  <w:tcBorders>
                    <w:top w:val="nil"/>
                    <w:left w:val="nil"/>
                    <w:bottom w:val="nil"/>
                    <w:right w:val="nil"/>
                  </w:tcBorders>
                  <w:vAlign w:val="bottom"/>
                </w:tcPr>
                <w:p w14:paraId="2A711D26" w14:textId="77777777" w:rsidR="000F75A3" w:rsidRPr="00C05385" w:rsidRDefault="000F75A3" w:rsidP="0083214A">
                  <w:pPr>
                    <w:jc w:val="right"/>
                    <w:rPr>
                      <w:noProof/>
                    </w:rPr>
                  </w:pPr>
                  <w:r w:rsidRPr="00C05385">
                    <w:rPr>
                      <w:rFonts w:ascii="Calibri" w:hAnsi="Calibri" w:cs="Calibri"/>
                      <w:noProof/>
                      <w:color w:val="000000"/>
                    </w:rPr>
                    <w:t>1 231.0</w:t>
                  </w:r>
                </w:p>
              </w:tc>
            </w:tr>
          </w:tbl>
          <w:p w14:paraId="281642A0" w14:textId="77777777" w:rsidR="000F75A3" w:rsidRPr="00C05385" w:rsidRDefault="000F75A3"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0F75A3" w:rsidRPr="00C05385" w14:paraId="13D37D05" w14:textId="77777777" w:rsidTr="0083214A">
              <w:trPr>
                <w:trHeight w:val="285"/>
              </w:trPr>
              <w:tc>
                <w:tcPr>
                  <w:tcW w:w="2290" w:type="dxa"/>
                  <w:tcBorders>
                    <w:top w:val="nil"/>
                    <w:left w:val="nil"/>
                    <w:bottom w:val="nil"/>
                    <w:right w:val="nil"/>
                  </w:tcBorders>
                  <w:vAlign w:val="bottom"/>
                </w:tcPr>
                <w:p w14:paraId="7906C57E" w14:textId="77777777" w:rsidR="000F75A3" w:rsidRPr="00C05385" w:rsidRDefault="000F75A3" w:rsidP="0083214A">
                  <w:pPr>
                    <w:jc w:val="right"/>
                    <w:rPr>
                      <w:noProof/>
                    </w:rPr>
                  </w:pPr>
                  <w:r w:rsidRPr="00C05385">
                    <w:rPr>
                      <w:rFonts w:ascii="Calibri" w:hAnsi="Calibri" w:cs="Calibri"/>
                      <w:noProof/>
                      <w:color w:val="000000"/>
                    </w:rPr>
                    <w:t>100%</w:t>
                  </w:r>
                </w:p>
              </w:tc>
            </w:tr>
          </w:tbl>
          <w:p w14:paraId="336FE13D" w14:textId="77777777" w:rsidR="000F75A3" w:rsidRPr="00C05385" w:rsidRDefault="000F75A3" w:rsidP="0083214A">
            <w:pPr>
              <w:jc w:val="center"/>
              <w:cnfStyle w:val="000000000000" w:firstRow="0" w:lastRow="0" w:firstColumn="0" w:lastColumn="0" w:oddVBand="0" w:evenVBand="0" w:oddHBand="0" w:evenHBand="0" w:firstRowFirstColumn="0" w:firstRowLastColumn="0" w:lastRowFirstColumn="0" w:lastRowLastColumn="0"/>
              <w:rPr>
                <w:noProof/>
              </w:rPr>
            </w:pPr>
          </w:p>
        </w:tc>
      </w:tr>
      <w:tr w:rsidR="000F75A3" w:rsidRPr="00C05385" w14:paraId="2864C901"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0F682F8C" w14:textId="77777777" w:rsidR="000F75A3" w:rsidRPr="00C05385" w:rsidRDefault="000F75A3" w:rsidP="0083214A">
            <w:pPr>
              <w:jc w:val="center"/>
              <w:rPr>
                <w:noProof/>
              </w:rPr>
            </w:pPr>
            <w:r w:rsidRPr="00C05385">
              <w:rPr>
                <w:noProof/>
              </w:rPr>
              <w:t>Payments</w:t>
            </w:r>
          </w:p>
        </w:tc>
        <w:tc>
          <w:tcPr>
            <w:tcW w:w="2410" w:type="dxa"/>
          </w:tcPr>
          <w:tbl>
            <w:tblPr>
              <w:tblStyle w:val="TableGrid"/>
              <w:tblW w:w="0" w:type="auto"/>
              <w:tblLook w:val="06A0" w:firstRow="1" w:lastRow="0" w:firstColumn="1" w:lastColumn="0" w:noHBand="1" w:noVBand="1"/>
            </w:tblPr>
            <w:tblGrid>
              <w:gridCol w:w="2194"/>
            </w:tblGrid>
            <w:tr w:rsidR="000F75A3" w:rsidRPr="00C05385" w14:paraId="0CA0DB49" w14:textId="77777777" w:rsidTr="0083214A">
              <w:trPr>
                <w:trHeight w:val="285"/>
              </w:trPr>
              <w:tc>
                <w:tcPr>
                  <w:tcW w:w="2290" w:type="dxa"/>
                  <w:tcBorders>
                    <w:top w:val="nil"/>
                    <w:left w:val="nil"/>
                    <w:bottom w:val="nil"/>
                    <w:right w:val="nil"/>
                  </w:tcBorders>
                  <w:vAlign w:val="bottom"/>
                </w:tcPr>
                <w:p w14:paraId="2AF4CE73" w14:textId="77777777" w:rsidR="000F75A3" w:rsidRPr="00C05385" w:rsidRDefault="000F75A3" w:rsidP="0083214A">
                  <w:pPr>
                    <w:jc w:val="right"/>
                    <w:rPr>
                      <w:noProof/>
                    </w:rPr>
                  </w:pPr>
                  <w:r w:rsidRPr="00C05385">
                    <w:rPr>
                      <w:rFonts w:ascii="Calibri" w:hAnsi="Calibri" w:cs="Calibri"/>
                      <w:noProof/>
                      <w:color w:val="000000"/>
                    </w:rPr>
                    <w:t>916.8</w:t>
                  </w:r>
                </w:p>
              </w:tc>
            </w:tr>
          </w:tbl>
          <w:p w14:paraId="12093A44" w14:textId="77777777" w:rsidR="000F75A3" w:rsidRPr="00C05385" w:rsidRDefault="000F75A3"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070D05C5" w14:textId="77777777" w:rsidR="000F75A3" w:rsidRPr="00C05385" w:rsidRDefault="000F75A3"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0F75A3" w:rsidRPr="00C05385" w14:paraId="1C49D640" w14:textId="77777777" w:rsidTr="0083214A">
              <w:trPr>
                <w:trHeight w:val="285"/>
              </w:trPr>
              <w:tc>
                <w:tcPr>
                  <w:tcW w:w="2235" w:type="dxa"/>
                  <w:tcBorders>
                    <w:top w:val="nil"/>
                    <w:left w:val="nil"/>
                    <w:bottom w:val="nil"/>
                    <w:right w:val="nil"/>
                  </w:tcBorders>
                  <w:vAlign w:val="bottom"/>
                </w:tcPr>
                <w:p w14:paraId="19A2F97C" w14:textId="77777777" w:rsidR="000F75A3" w:rsidRPr="00C05385" w:rsidRDefault="000F75A3" w:rsidP="0083214A">
                  <w:pPr>
                    <w:jc w:val="right"/>
                    <w:rPr>
                      <w:noProof/>
                    </w:rPr>
                  </w:pPr>
                  <w:r w:rsidRPr="00C05385">
                    <w:rPr>
                      <w:rFonts w:ascii="Calibri" w:hAnsi="Calibri" w:cs="Calibri"/>
                      <w:noProof/>
                      <w:color w:val="000000"/>
                    </w:rPr>
                    <w:t>74%</w:t>
                  </w:r>
                </w:p>
              </w:tc>
            </w:tr>
          </w:tbl>
          <w:p w14:paraId="57AD24AC" w14:textId="77777777" w:rsidR="000F75A3" w:rsidRPr="00C05385" w:rsidRDefault="000F75A3" w:rsidP="0083214A">
            <w:pPr>
              <w:jc w:val="center"/>
              <w:cnfStyle w:val="000000000000" w:firstRow="0" w:lastRow="0" w:firstColumn="0" w:lastColumn="0" w:oddVBand="0" w:evenVBand="0" w:oddHBand="0" w:evenHBand="0" w:firstRowFirstColumn="0" w:firstRowLastColumn="0" w:lastRowFirstColumn="0" w:lastRowLastColumn="0"/>
              <w:rPr>
                <w:noProof/>
              </w:rPr>
            </w:pPr>
          </w:p>
        </w:tc>
      </w:tr>
    </w:tbl>
    <w:p w14:paraId="3D800221" w14:textId="77777777" w:rsidR="000F75A3" w:rsidRPr="00C05385" w:rsidRDefault="000F75A3" w:rsidP="000F75A3">
      <w:pPr>
        <w:pStyle w:val="ppoListHyphened-L1"/>
        <w:rPr>
          <w:noProof/>
        </w:rPr>
      </w:pPr>
      <w:r w:rsidRPr="00C05385">
        <w:rPr>
          <w:noProof/>
        </w:rPr>
        <w:t>For the 2014-2020</w:t>
      </w:r>
      <w:r w:rsidRPr="00E66E60">
        <w:rPr>
          <w:noProof/>
        </w:rPr>
        <w:t xml:space="preserve"> </w:t>
      </w:r>
      <w:r w:rsidRPr="00C05385">
        <w:rPr>
          <w:noProof/>
        </w:rPr>
        <w:t>period, for ISF</w:t>
      </w:r>
      <w:r>
        <w:rPr>
          <w:noProof/>
        </w:rPr>
        <w:t xml:space="preserve"> </w:t>
      </w:r>
      <w:r w:rsidRPr="00C05385">
        <w:rPr>
          <w:noProof/>
        </w:rPr>
        <w:t>Police, EUR</w:t>
      </w:r>
      <w:r>
        <w:rPr>
          <w:rFonts w:ascii="Calibri" w:hAnsi="Calibri" w:cs="Calibri"/>
          <w:noProof/>
        </w:rPr>
        <w:t> </w:t>
      </w:r>
      <w:r w:rsidRPr="00C05385">
        <w:rPr>
          <w:noProof/>
        </w:rPr>
        <w:t>751.56</w:t>
      </w:r>
      <w:r>
        <w:rPr>
          <w:rFonts w:ascii="Calibri" w:hAnsi="Calibri" w:cs="Calibri"/>
          <w:noProof/>
        </w:rPr>
        <w:t> </w:t>
      </w:r>
      <w:r w:rsidRPr="00C05385">
        <w:rPr>
          <w:noProof/>
        </w:rPr>
        <w:t>million w</w:t>
      </w:r>
      <w:r>
        <w:rPr>
          <w:noProof/>
        </w:rPr>
        <w:t>as</w:t>
      </w:r>
      <w:r w:rsidRPr="00C05385">
        <w:rPr>
          <w:noProof/>
        </w:rPr>
        <w:t xml:space="preserve"> allocated to the national programmes of the Member States. </w:t>
      </w:r>
      <w:r>
        <w:rPr>
          <w:noProof/>
        </w:rPr>
        <w:t>By</w:t>
      </w:r>
      <w:r w:rsidRPr="00C05385">
        <w:rPr>
          <w:noProof/>
        </w:rPr>
        <w:t xml:space="preserve"> 2021</w:t>
      </w:r>
      <w:r>
        <w:rPr>
          <w:noProof/>
        </w:rPr>
        <w:t>,</w:t>
      </w:r>
      <w:r w:rsidRPr="00C05385">
        <w:rPr>
          <w:noProof/>
        </w:rPr>
        <w:t xml:space="preserve"> Member States</w:t>
      </w:r>
      <w:r w:rsidRPr="00C05385" w:rsidDel="00E66E60">
        <w:rPr>
          <w:noProof/>
        </w:rPr>
        <w:t xml:space="preserve"> </w:t>
      </w:r>
      <w:r>
        <w:rPr>
          <w:noProof/>
        </w:rPr>
        <w:t xml:space="preserve">had </w:t>
      </w:r>
      <w:r w:rsidRPr="00C05385">
        <w:rPr>
          <w:noProof/>
        </w:rPr>
        <w:t>spent EUR</w:t>
      </w:r>
      <w:r>
        <w:rPr>
          <w:rFonts w:ascii="Calibri" w:hAnsi="Calibri" w:cs="Calibri"/>
          <w:noProof/>
        </w:rPr>
        <w:t> </w:t>
      </w:r>
      <w:r w:rsidRPr="00C05385">
        <w:rPr>
          <w:noProof/>
        </w:rPr>
        <w:t>572</w:t>
      </w:r>
      <w:r>
        <w:rPr>
          <w:rFonts w:ascii="Calibri" w:hAnsi="Calibri" w:cs="Calibri"/>
          <w:noProof/>
        </w:rPr>
        <w:t> </w:t>
      </w:r>
      <w:r w:rsidRPr="00C05385">
        <w:rPr>
          <w:noProof/>
        </w:rPr>
        <w:t>million</w:t>
      </w:r>
      <w:r>
        <w:rPr>
          <w:noProof/>
        </w:rPr>
        <w:t>,</w:t>
      </w:r>
      <w:r w:rsidRPr="00C05385">
        <w:rPr>
          <w:noProof/>
        </w:rPr>
        <w:t xml:space="preserve"> equivalent to an absorption rate of 76.21%, which can be considered satisfactory. By 31</w:t>
      </w:r>
      <w:r>
        <w:rPr>
          <w:rFonts w:ascii="Calibri" w:hAnsi="Calibri" w:cs="Calibri"/>
          <w:noProof/>
        </w:rPr>
        <w:t> </w:t>
      </w:r>
      <w:r w:rsidRPr="00C05385">
        <w:rPr>
          <w:noProof/>
        </w:rPr>
        <w:t xml:space="preserve">March 2022, the 2021 </w:t>
      </w:r>
      <w:r>
        <w:rPr>
          <w:noProof/>
        </w:rPr>
        <w:t>a</w:t>
      </w:r>
      <w:r w:rsidRPr="00C05385">
        <w:rPr>
          <w:noProof/>
        </w:rPr>
        <w:t xml:space="preserve">nnual </w:t>
      </w:r>
      <w:r>
        <w:rPr>
          <w:noProof/>
        </w:rPr>
        <w:t>i</w:t>
      </w:r>
      <w:r w:rsidRPr="00C05385">
        <w:rPr>
          <w:noProof/>
        </w:rPr>
        <w:t xml:space="preserve">mplementation </w:t>
      </w:r>
      <w:r>
        <w:rPr>
          <w:noProof/>
        </w:rPr>
        <w:t>r</w:t>
      </w:r>
      <w:r w:rsidRPr="00C05385">
        <w:rPr>
          <w:noProof/>
        </w:rPr>
        <w:t xml:space="preserve">eports for </w:t>
      </w:r>
      <w:r>
        <w:rPr>
          <w:noProof/>
        </w:rPr>
        <w:t xml:space="preserve">the </w:t>
      </w:r>
      <w:r w:rsidRPr="00C05385">
        <w:rPr>
          <w:noProof/>
        </w:rPr>
        <w:t xml:space="preserve">ISF were submitted by </w:t>
      </w:r>
      <w:r>
        <w:rPr>
          <w:noProof/>
        </w:rPr>
        <w:t xml:space="preserve">the </w:t>
      </w:r>
      <w:r w:rsidRPr="00C05385">
        <w:rPr>
          <w:noProof/>
        </w:rPr>
        <w:t>Member States.</w:t>
      </w:r>
    </w:p>
    <w:p w14:paraId="72DE92DD" w14:textId="77777777" w:rsidR="000F75A3" w:rsidRPr="00C05385" w:rsidRDefault="000F75A3" w:rsidP="000F75A3">
      <w:pPr>
        <w:pStyle w:val="ppoListHyphened-L1"/>
        <w:rPr>
          <w:noProof/>
        </w:rPr>
      </w:pPr>
      <w:r w:rsidRPr="00C05385">
        <w:rPr>
          <w:noProof/>
        </w:rPr>
        <w:t>In 2017, the ISF</w:t>
      </w:r>
      <w:r>
        <w:rPr>
          <w:noProof/>
        </w:rPr>
        <w:t xml:space="preserve"> </w:t>
      </w:r>
      <w:r w:rsidRPr="00C05385">
        <w:rPr>
          <w:noProof/>
        </w:rPr>
        <w:t>Police national programmes received EUR</w:t>
      </w:r>
      <w:r>
        <w:rPr>
          <w:rFonts w:ascii="Calibri" w:hAnsi="Calibri" w:cs="Calibri"/>
          <w:noProof/>
        </w:rPr>
        <w:t> </w:t>
      </w:r>
      <w:r w:rsidRPr="00C05385">
        <w:rPr>
          <w:noProof/>
        </w:rPr>
        <w:t>70</w:t>
      </w:r>
      <w:r>
        <w:rPr>
          <w:rFonts w:ascii="Calibri" w:hAnsi="Calibri" w:cs="Calibri"/>
          <w:noProof/>
        </w:rPr>
        <w:t> </w:t>
      </w:r>
      <w:r w:rsidRPr="00C05385">
        <w:rPr>
          <w:noProof/>
        </w:rPr>
        <w:t xml:space="preserve">million for the </w:t>
      </w:r>
      <w:r>
        <w:rPr>
          <w:noProof/>
        </w:rPr>
        <w:t>p</w:t>
      </w:r>
      <w:r w:rsidRPr="00C05385">
        <w:rPr>
          <w:noProof/>
        </w:rPr>
        <w:t xml:space="preserve">assenger </w:t>
      </w:r>
      <w:r>
        <w:rPr>
          <w:noProof/>
        </w:rPr>
        <w:t>n</w:t>
      </w:r>
      <w:r w:rsidRPr="00C05385">
        <w:rPr>
          <w:noProof/>
        </w:rPr>
        <w:t xml:space="preserve">ame </w:t>
      </w:r>
      <w:r>
        <w:rPr>
          <w:noProof/>
        </w:rPr>
        <w:t>r</w:t>
      </w:r>
      <w:r w:rsidRPr="00C05385">
        <w:rPr>
          <w:noProof/>
        </w:rPr>
        <w:t xml:space="preserve">ecord </w:t>
      </w:r>
      <w:r>
        <w:rPr>
          <w:noProof/>
        </w:rPr>
        <w:t xml:space="preserve">system </w:t>
      </w:r>
      <w:r w:rsidRPr="00C05385">
        <w:rPr>
          <w:noProof/>
        </w:rPr>
        <w:t>and EUR</w:t>
      </w:r>
      <w:r>
        <w:rPr>
          <w:rFonts w:ascii="Calibri" w:hAnsi="Calibri" w:cs="Calibri"/>
          <w:noProof/>
        </w:rPr>
        <w:t> </w:t>
      </w:r>
      <w:r w:rsidRPr="00C05385">
        <w:rPr>
          <w:noProof/>
        </w:rPr>
        <w:t>22</w:t>
      </w:r>
      <w:r>
        <w:rPr>
          <w:rFonts w:ascii="Calibri" w:hAnsi="Calibri" w:cs="Calibri"/>
          <w:noProof/>
        </w:rPr>
        <w:t> </w:t>
      </w:r>
      <w:r w:rsidRPr="00C05385">
        <w:rPr>
          <w:noProof/>
        </w:rPr>
        <w:t xml:space="preserve">million for information exchange and </w:t>
      </w:r>
      <w:r>
        <w:rPr>
          <w:noProof/>
        </w:rPr>
        <w:t xml:space="preserve">the </w:t>
      </w:r>
      <w:r w:rsidRPr="00C05385">
        <w:rPr>
          <w:noProof/>
        </w:rPr>
        <w:t xml:space="preserve">interoperability of information systems. Information exchange projects include the interconnection of national databases and </w:t>
      </w:r>
      <w:r>
        <w:rPr>
          <w:noProof/>
        </w:rPr>
        <w:t>the information technology</w:t>
      </w:r>
      <w:r w:rsidRPr="00C05385">
        <w:rPr>
          <w:noProof/>
        </w:rPr>
        <w:t xml:space="preserve"> tools of </w:t>
      </w:r>
      <w:r>
        <w:rPr>
          <w:noProof/>
        </w:rPr>
        <w:t>various</w:t>
      </w:r>
      <w:r w:rsidRPr="00C05385">
        <w:rPr>
          <w:noProof/>
        </w:rPr>
        <w:t xml:space="preserve"> national police entities, and the connection of national databases and </w:t>
      </w:r>
      <w:r>
        <w:rPr>
          <w:noProof/>
        </w:rPr>
        <w:t>information technology</w:t>
      </w:r>
      <w:r w:rsidRPr="00C05385">
        <w:rPr>
          <w:noProof/>
        </w:rPr>
        <w:t xml:space="preserve"> tools with their EU</w:t>
      </w:r>
      <w:r>
        <w:rPr>
          <w:noProof/>
        </w:rPr>
        <w:t xml:space="preserve"> </w:t>
      </w:r>
      <w:r w:rsidRPr="00C05385">
        <w:rPr>
          <w:noProof/>
        </w:rPr>
        <w:t>equivalents</w:t>
      </w:r>
      <w:r>
        <w:rPr>
          <w:noProof/>
        </w:rPr>
        <w:t xml:space="preserve"> with a </w:t>
      </w:r>
      <w:r w:rsidRPr="00C05385">
        <w:rPr>
          <w:noProof/>
        </w:rPr>
        <w:t xml:space="preserve">view </w:t>
      </w:r>
      <w:r>
        <w:rPr>
          <w:noProof/>
        </w:rPr>
        <w:t xml:space="preserve">to the </w:t>
      </w:r>
      <w:r w:rsidRPr="00C05385">
        <w:rPr>
          <w:noProof/>
        </w:rPr>
        <w:t xml:space="preserve">cross-border exchange of structured data on crime. Examples of data exchange projects include the </w:t>
      </w:r>
      <w:r>
        <w:rPr>
          <w:noProof/>
        </w:rPr>
        <w:t>p</w:t>
      </w:r>
      <w:r w:rsidRPr="00C05385">
        <w:rPr>
          <w:noProof/>
        </w:rPr>
        <w:t xml:space="preserve">assenger </w:t>
      </w:r>
      <w:r>
        <w:rPr>
          <w:noProof/>
        </w:rPr>
        <w:t>n</w:t>
      </w:r>
      <w:r w:rsidRPr="00C05385">
        <w:rPr>
          <w:noProof/>
        </w:rPr>
        <w:t xml:space="preserve">ame </w:t>
      </w:r>
      <w:r>
        <w:rPr>
          <w:noProof/>
        </w:rPr>
        <w:t>r</w:t>
      </w:r>
      <w:r w:rsidRPr="00C05385">
        <w:rPr>
          <w:noProof/>
        </w:rPr>
        <w:t xml:space="preserve">ecord system, the Schengen </w:t>
      </w:r>
      <w:r>
        <w:rPr>
          <w:noProof/>
        </w:rPr>
        <w:t>i</w:t>
      </w:r>
      <w:r w:rsidRPr="00C05385">
        <w:rPr>
          <w:noProof/>
        </w:rPr>
        <w:t xml:space="preserve">nformation </w:t>
      </w:r>
      <w:r>
        <w:rPr>
          <w:noProof/>
        </w:rPr>
        <w:t>s</w:t>
      </w:r>
      <w:r w:rsidRPr="00C05385">
        <w:rPr>
          <w:noProof/>
        </w:rPr>
        <w:t>ystem</w:t>
      </w:r>
      <w:r>
        <w:rPr>
          <w:noProof/>
        </w:rPr>
        <w:t xml:space="preserve"> and</w:t>
      </w:r>
      <w:r w:rsidRPr="00C05385">
        <w:rPr>
          <w:noProof/>
        </w:rPr>
        <w:t xml:space="preserve"> the Europol </w:t>
      </w:r>
      <w:r>
        <w:rPr>
          <w:noProof/>
        </w:rPr>
        <w:t>i</w:t>
      </w:r>
      <w:r w:rsidRPr="00C05385">
        <w:rPr>
          <w:noProof/>
        </w:rPr>
        <w:t xml:space="preserve">nformation </w:t>
      </w:r>
      <w:r>
        <w:rPr>
          <w:noProof/>
        </w:rPr>
        <w:t>s</w:t>
      </w:r>
      <w:r w:rsidRPr="00C05385">
        <w:rPr>
          <w:noProof/>
        </w:rPr>
        <w:t>ystem.</w:t>
      </w:r>
    </w:p>
    <w:p w14:paraId="5FB5112F" w14:textId="77777777" w:rsidR="000F75A3" w:rsidRPr="00C05385" w:rsidRDefault="000F75A3" w:rsidP="000F75A3">
      <w:pPr>
        <w:pStyle w:val="ppoListHyphened-L1"/>
        <w:rPr>
          <w:noProof/>
        </w:rPr>
      </w:pPr>
      <w:r w:rsidRPr="00C05385">
        <w:rPr>
          <w:noProof/>
        </w:rPr>
        <w:t>Member States reported that the COVID-19 pandemic</w:t>
      </w:r>
      <w:r>
        <w:rPr>
          <w:noProof/>
        </w:rPr>
        <w:t xml:space="preserve"> had</w:t>
      </w:r>
      <w:r w:rsidRPr="00C05385">
        <w:rPr>
          <w:noProof/>
        </w:rPr>
        <w:t xml:space="preserve"> led to delays in project implementation due to delays in public procurement procedures, travel restrictions, difficulties </w:t>
      </w:r>
      <w:r>
        <w:rPr>
          <w:noProof/>
        </w:rPr>
        <w:t>in</w:t>
      </w:r>
      <w:r w:rsidRPr="00C05385">
        <w:rPr>
          <w:noProof/>
        </w:rPr>
        <w:t xml:space="preserve"> hir</w:t>
      </w:r>
      <w:r>
        <w:rPr>
          <w:noProof/>
        </w:rPr>
        <w:t>ing</w:t>
      </w:r>
      <w:r w:rsidRPr="00C05385">
        <w:rPr>
          <w:noProof/>
        </w:rPr>
        <w:t xml:space="preserve"> staff, construction work due to lockdown and other restrictions relat</w:t>
      </w:r>
      <w:r>
        <w:rPr>
          <w:noProof/>
        </w:rPr>
        <w:t>ing</w:t>
      </w:r>
      <w:r w:rsidRPr="00C05385">
        <w:rPr>
          <w:noProof/>
        </w:rPr>
        <w:t xml:space="preserve"> to COVID-19</w:t>
      </w:r>
      <w:r>
        <w:rPr>
          <w:noProof/>
        </w:rPr>
        <w:t>,</w:t>
      </w:r>
      <w:r w:rsidRPr="00C05385">
        <w:rPr>
          <w:noProof/>
        </w:rPr>
        <w:t xml:space="preserve"> especially for in-person activities such as training.</w:t>
      </w:r>
    </w:p>
    <w:p w14:paraId="40611D4D" w14:textId="77777777" w:rsidR="000F75A3" w:rsidRPr="00C05385" w:rsidRDefault="000F75A3" w:rsidP="000F75A3">
      <w:pPr>
        <w:pStyle w:val="ppoListHyphened-L1"/>
        <w:rPr>
          <w:noProof/>
        </w:rPr>
      </w:pPr>
      <w:r w:rsidRPr="00C05385">
        <w:rPr>
          <w:noProof/>
        </w:rPr>
        <w:t>To support Member States, ISF</w:t>
      </w:r>
      <w:r>
        <w:rPr>
          <w:noProof/>
        </w:rPr>
        <w:t xml:space="preserve"> </w:t>
      </w:r>
      <w:r w:rsidRPr="00C05385">
        <w:rPr>
          <w:noProof/>
        </w:rPr>
        <w:t>Police emergency assistance has been made available to address urgent and specific needs. The overall amount granted since 2014 amounts to EUR</w:t>
      </w:r>
      <w:r>
        <w:rPr>
          <w:rFonts w:ascii="Calibri" w:hAnsi="Calibri" w:cs="Calibri"/>
          <w:noProof/>
        </w:rPr>
        <w:t> </w:t>
      </w:r>
      <w:r w:rsidRPr="00C05385">
        <w:rPr>
          <w:noProof/>
        </w:rPr>
        <w:t>12</w:t>
      </w:r>
      <w:r>
        <w:rPr>
          <w:rFonts w:ascii="Calibri" w:hAnsi="Calibri" w:cs="Calibri"/>
          <w:noProof/>
        </w:rPr>
        <w:t> </w:t>
      </w:r>
      <w:r w:rsidRPr="00C05385">
        <w:rPr>
          <w:noProof/>
        </w:rPr>
        <w:t>million. No emergency assistance was granted under ISF</w:t>
      </w:r>
      <w:r>
        <w:rPr>
          <w:noProof/>
        </w:rPr>
        <w:t xml:space="preserve"> </w:t>
      </w:r>
      <w:r w:rsidRPr="00C05385">
        <w:rPr>
          <w:noProof/>
        </w:rPr>
        <w:t>Police in 2021.</w:t>
      </w:r>
    </w:p>
    <w:p w14:paraId="68ADFC05" w14:textId="77777777" w:rsidR="000F75A3" w:rsidRPr="00C05385" w:rsidRDefault="000F75A3" w:rsidP="000F75A3">
      <w:pPr>
        <w:pStyle w:val="ppoListHyphened-L1"/>
        <w:rPr>
          <w:noProof/>
        </w:rPr>
      </w:pPr>
      <w:r w:rsidRPr="00C05385">
        <w:rPr>
          <w:noProof/>
        </w:rPr>
        <w:t xml:space="preserve">In 2021, </w:t>
      </w:r>
      <w:r>
        <w:rPr>
          <w:noProof/>
        </w:rPr>
        <w:t>the</w:t>
      </w:r>
      <w:r w:rsidRPr="00C05385">
        <w:rPr>
          <w:noProof/>
        </w:rPr>
        <w:t xml:space="preserve"> vast majority of projects selected under the 2017 annual work programme were closed, while those </w:t>
      </w:r>
      <w:r>
        <w:rPr>
          <w:noProof/>
        </w:rPr>
        <w:t>from</w:t>
      </w:r>
      <w:r w:rsidRPr="00C05385">
        <w:rPr>
          <w:noProof/>
        </w:rPr>
        <w:t xml:space="preserve"> 2019 have reached cruising speed. The implementation of Union actions ha</w:t>
      </w:r>
      <w:r>
        <w:rPr>
          <w:noProof/>
        </w:rPr>
        <w:t>s</w:t>
      </w:r>
      <w:r w:rsidRPr="00C05385">
        <w:rPr>
          <w:noProof/>
        </w:rPr>
        <w:t xml:space="preserve"> continued to be impacted by </w:t>
      </w:r>
      <w:r>
        <w:rPr>
          <w:noProof/>
        </w:rPr>
        <w:t xml:space="preserve">the </w:t>
      </w:r>
      <w:r w:rsidRPr="00C05385">
        <w:rPr>
          <w:noProof/>
        </w:rPr>
        <w:t xml:space="preserve">COVID-19 pandemic, which </w:t>
      </w:r>
      <w:r>
        <w:rPr>
          <w:noProof/>
        </w:rPr>
        <w:t xml:space="preserve">has </w:t>
      </w:r>
      <w:r w:rsidRPr="00C05385">
        <w:rPr>
          <w:noProof/>
        </w:rPr>
        <w:t>resulted in the modification of grants originally approved. New grant agreements and contribution agreements were concluded for actions under the 2020 annual work programme</w:t>
      </w:r>
      <w:r>
        <w:rPr>
          <w:noProof/>
        </w:rPr>
        <w:t>,</w:t>
      </w:r>
      <w:r w:rsidRPr="00C05385">
        <w:rPr>
          <w:noProof/>
        </w:rPr>
        <w:t xml:space="preserve"> and their implementation </w:t>
      </w:r>
      <w:r>
        <w:rPr>
          <w:noProof/>
        </w:rPr>
        <w:t>began</w:t>
      </w:r>
      <w:r w:rsidRPr="00C05385">
        <w:rPr>
          <w:noProof/>
        </w:rPr>
        <w:t xml:space="preserve"> in principle in early 2022.</w:t>
      </w:r>
    </w:p>
    <w:p w14:paraId="75AA3EFA" w14:textId="77777777" w:rsidR="000F75A3" w:rsidRPr="00C05385" w:rsidRDefault="000F75A3" w:rsidP="000F75A3">
      <w:pPr>
        <w:pStyle w:val="ppoHeading5"/>
        <w:rPr>
          <w:noProof/>
        </w:rPr>
      </w:pPr>
      <w:r w:rsidRPr="00C05385">
        <w:rPr>
          <w:noProof/>
        </w:rPr>
        <w:t>Performance assessment</w:t>
      </w:r>
    </w:p>
    <w:p w14:paraId="1F3F03FE" w14:textId="77777777" w:rsidR="000F75A3" w:rsidRPr="00C05385" w:rsidRDefault="000F75A3" w:rsidP="000F75A3">
      <w:pPr>
        <w:pStyle w:val="ppoHeading6"/>
        <w:rPr>
          <w:noProof/>
        </w:rPr>
      </w:pPr>
      <w:r w:rsidRPr="00C05385">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0F75A3" w:rsidRPr="00C05385" w14:paraId="17E19AC0" w14:textId="77777777" w:rsidTr="0083214A">
        <w:trPr>
          <w:cnfStyle w:val="100000000000" w:firstRow="1" w:lastRow="0" w:firstColumn="0" w:lastColumn="0" w:oddVBand="0" w:evenVBand="0" w:oddHBand="0" w:evenHBand="0" w:firstRowFirstColumn="0" w:firstRowLastColumn="0" w:lastRowFirstColumn="0" w:lastRowLastColumn="0"/>
        </w:trPr>
        <w:tc>
          <w:tcPr>
            <w:tcW w:w="2330" w:type="dxa"/>
          </w:tcPr>
          <w:p w14:paraId="4F88F4D3" w14:textId="77777777" w:rsidR="000F75A3" w:rsidRPr="00CB5512" w:rsidRDefault="000F75A3" w:rsidP="0083214A">
            <w:pPr>
              <w:rPr>
                <w:noProof/>
              </w:rPr>
            </w:pPr>
          </w:p>
        </w:tc>
        <w:tc>
          <w:tcPr>
            <w:tcW w:w="1100" w:type="dxa"/>
          </w:tcPr>
          <w:p w14:paraId="54251C6A" w14:textId="77777777" w:rsidR="000F75A3" w:rsidRPr="00C05385" w:rsidRDefault="000F75A3" w:rsidP="0083214A">
            <w:pPr>
              <w:rPr>
                <w:noProof/>
              </w:rPr>
            </w:pPr>
            <w:r w:rsidRPr="00C05385">
              <w:rPr>
                <w:noProof/>
              </w:rPr>
              <w:t>Baseline</w:t>
            </w:r>
          </w:p>
        </w:tc>
        <w:tc>
          <w:tcPr>
            <w:tcW w:w="1526" w:type="dxa"/>
          </w:tcPr>
          <w:p w14:paraId="2EBFFF93" w14:textId="77777777" w:rsidR="000F75A3" w:rsidRPr="00C05385" w:rsidRDefault="000F75A3" w:rsidP="0083214A">
            <w:pPr>
              <w:rPr>
                <w:noProof/>
              </w:rPr>
            </w:pPr>
            <w:r w:rsidRPr="00C05385">
              <w:rPr>
                <w:noProof/>
              </w:rPr>
              <w:t>Progress (*)</w:t>
            </w:r>
          </w:p>
        </w:tc>
        <w:tc>
          <w:tcPr>
            <w:tcW w:w="1532" w:type="dxa"/>
          </w:tcPr>
          <w:p w14:paraId="16BC87EA" w14:textId="77777777" w:rsidR="000F75A3" w:rsidRPr="00C05385" w:rsidRDefault="000F75A3" w:rsidP="0083214A">
            <w:pPr>
              <w:rPr>
                <w:noProof/>
              </w:rPr>
            </w:pPr>
            <w:r w:rsidRPr="00C05385">
              <w:rPr>
                <w:noProof/>
              </w:rPr>
              <w:t>Target</w:t>
            </w:r>
          </w:p>
        </w:tc>
        <w:tc>
          <w:tcPr>
            <w:tcW w:w="1572" w:type="dxa"/>
          </w:tcPr>
          <w:p w14:paraId="59B6E9DB" w14:textId="77777777" w:rsidR="000F75A3" w:rsidRPr="00C05385" w:rsidRDefault="000F75A3" w:rsidP="0083214A">
            <w:pPr>
              <w:rPr>
                <w:noProof/>
              </w:rPr>
            </w:pPr>
            <w:r w:rsidRPr="00C05385">
              <w:rPr>
                <w:noProof/>
              </w:rPr>
              <w:t>Results</w:t>
            </w:r>
          </w:p>
        </w:tc>
        <w:tc>
          <w:tcPr>
            <w:tcW w:w="1579" w:type="dxa"/>
          </w:tcPr>
          <w:p w14:paraId="59366C32" w14:textId="77777777" w:rsidR="000F75A3" w:rsidRPr="00C05385" w:rsidRDefault="000F75A3" w:rsidP="0083214A">
            <w:pPr>
              <w:rPr>
                <w:noProof/>
              </w:rPr>
            </w:pPr>
            <w:r w:rsidRPr="00C05385">
              <w:rPr>
                <w:noProof/>
              </w:rPr>
              <w:t>Assessment</w:t>
            </w:r>
          </w:p>
        </w:tc>
      </w:tr>
      <w:tr w:rsidR="00C30F94" w:rsidRPr="00C05385" w14:paraId="79206BA4"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44FA7065" w14:textId="03DD4A1B" w:rsidR="00C30F94" w:rsidRPr="00CB5512" w:rsidRDefault="00C30F94" w:rsidP="00C30F94">
            <w:pPr>
              <w:rPr>
                <w:noProof/>
              </w:rPr>
            </w:pPr>
            <w:r>
              <w:rPr>
                <w:rFonts w:ascii="Arial" w:hAnsi="Arial" w:cs="Arial"/>
                <w:noProof/>
                <w:sz w:val="20"/>
                <w:szCs w:val="20"/>
              </w:rPr>
              <w:t>Projects of joint investigation teams and European Multidisciplinary Platform against Criminal Threats (including Member States and authorities)</w:t>
            </w:r>
          </w:p>
        </w:tc>
        <w:tc>
          <w:tcPr>
            <w:tcW w:w="1100" w:type="dxa"/>
          </w:tcPr>
          <w:p w14:paraId="56B6B8D1" w14:textId="2B7DC8DF" w:rsidR="00C30F94" w:rsidRPr="00C05385" w:rsidRDefault="00C30F94" w:rsidP="00C30F94">
            <w:pPr>
              <w:jc w:val="center"/>
              <w:rPr>
                <w:noProof/>
              </w:rPr>
            </w:pPr>
            <w:r>
              <w:rPr>
                <w:noProof/>
              </w:rPr>
              <w:t>0</w:t>
            </w:r>
          </w:p>
        </w:tc>
        <w:tc>
          <w:tcPr>
            <w:tcW w:w="1526" w:type="dxa"/>
          </w:tcPr>
          <w:p w14:paraId="3ADD19DF" w14:textId="716E5D0A" w:rsidR="00C30F94" w:rsidRPr="00C05385" w:rsidRDefault="00C30F94" w:rsidP="00C30F94">
            <w:pPr>
              <w:jc w:val="center"/>
              <w:rPr>
                <w:b/>
                <w:noProof/>
              </w:rPr>
            </w:pPr>
            <w:r>
              <w:rPr>
                <w:b/>
                <w:noProof/>
              </w:rPr>
              <w:t>&gt; 100%</w:t>
            </w:r>
          </w:p>
        </w:tc>
        <w:tc>
          <w:tcPr>
            <w:tcW w:w="1532" w:type="dxa"/>
          </w:tcPr>
          <w:p w14:paraId="4F3641B9" w14:textId="31F44DA2" w:rsidR="00C30F94" w:rsidRPr="00C05385" w:rsidRDefault="00C30F94" w:rsidP="00C30F94">
            <w:pPr>
              <w:jc w:val="center"/>
              <w:rPr>
                <w:noProof/>
              </w:rPr>
            </w:pPr>
            <w:r>
              <w:rPr>
                <w:noProof/>
              </w:rPr>
              <w:t>216 in 2022</w:t>
            </w:r>
          </w:p>
        </w:tc>
        <w:tc>
          <w:tcPr>
            <w:tcW w:w="1572" w:type="dxa"/>
          </w:tcPr>
          <w:p w14:paraId="6F843B82" w14:textId="04530337" w:rsidR="00C30F94" w:rsidRPr="00C05385" w:rsidRDefault="00C30F94" w:rsidP="00C30F94">
            <w:pPr>
              <w:jc w:val="center"/>
              <w:rPr>
                <w:noProof/>
              </w:rPr>
            </w:pPr>
            <w:r>
              <w:rPr>
                <w:noProof/>
              </w:rPr>
              <w:t>341 projects compared to 216</w:t>
            </w:r>
          </w:p>
        </w:tc>
        <w:tc>
          <w:tcPr>
            <w:tcW w:w="1579" w:type="dxa"/>
          </w:tcPr>
          <w:p w14:paraId="3EEBDA3F" w14:textId="7FAF13C4" w:rsidR="00C30F94" w:rsidRPr="00C05385" w:rsidRDefault="00C30F94" w:rsidP="00C30F94">
            <w:pPr>
              <w:jc w:val="center"/>
              <w:rPr>
                <w:noProof/>
              </w:rPr>
            </w:pPr>
            <w:r>
              <w:rPr>
                <w:noProof/>
              </w:rPr>
              <w:t>Achieved</w:t>
            </w:r>
          </w:p>
        </w:tc>
      </w:tr>
      <w:tr w:rsidR="00C30F94" w:rsidRPr="00C05385" w14:paraId="34920940"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6BCE5ABA" w14:textId="0B35DBB4" w:rsidR="00C30F94" w:rsidRPr="00CB5512" w:rsidRDefault="00C30F94" w:rsidP="00C30F94">
            <w:pPr>
              <w:rPr>
                <w:noProof/>
              </w:rPr>
            </w:pPr>
            <w:r>
              <w:rPr>
                <w:rFonts w:ascii="Arial" w:hAnsi="Arial" w:cs="Arial"/>
                <w:noProof/>
                <w:sz w:val="20"/>
                <w:szCs w:val="20"/>
              </w:rPr>
              <w:t>Protection of critical infrastructures by Member States</w:t>
            </w:r>
          </w:p>
        </w:tc>
        <w:tc>
          <w:tcPr>
            <w:tcW w:w="1100" w:type="dxa"/>
          </w:tcPr>
          <w:p w14:paraId="667B7DFD" w14:textId="494F8D25" w:rsidR="00C30F94" w:rsidRPr="00C05385" w:rsidRDefault="00C30F94" w:rsidP="00C30F94">
            <w:pPr>
              <w:jc w:val="center"/>
              <w:rPr>
                <w:noProof/>
              </w:rPr>
            </w:pPr>
            <w:r>
              <w:rPr>
                <w:noProof/>
              </w:rPr>
              <w:t>0</w:t>
            </w:r>
          </w:p>
        </w:tc>
        <w:tc>
          <w:tcPr>
            <w:tcW w:w="1526" w:type="dxa"/>
          </w:tcPr>
          <w:p w14:paraId="2A9D4CD2" w14:textId="49484185" w:rsidR="00C30F94" w:rsidRPr="00C05385" w:rsidRDefault="00C30F94" w:rsidP="00C30F94">
            <w:pPr>
              <w:jc w:val="center"/>
              <w:rPr>
                <w:b/>
                <w:noProof/>
              </w:rPr>
            </w:pPr>
            <w:r>
              <w:rPr>
                <w:b/>
                <w:noProof/>
              </w:rPr>
              <w:t>&gt; 100%</w:t>
            </w:r>
          </w:p>
        </w:tc>
        <w:tc>
          <w:tcPr>
            <w:tcW w:w="1532" w:type="dxa"/>
          </w:tcPr>
          <w:p w14:paraId="6F98DC11" w14:textId="7406617B" w:rsidR="00C30F94" w:rsidRPr="00C05385" w:rsidRDefault="00C30F94" w:rsidP="00C30F94">
            <w:pPr>
              <w:jc w:val="center"/>
              <w:rPr>
                <w:noProof/>
              </w:rPr>
            </w:pPr>
            <w:r>
              <w:rPr>
                <w:noProof/>
              </w:rPr>
              <w:t>478</w:t>
            </w:r>
          </w:p>
        </w:tc>
        <w:tc>
          <w:tcPr>
            <w:tcW w:w="1572" w:type="dxa"/>
          </w:tcPr>
          <w:p w14:paraId="563F78D4" w14:textId="33D6A78B" w:rsidR="00C30F94" w:rsidRPr="00C05385" w:rsidRDefault="00C30F94" w:rsidP="00C30F94">
            <w:pPr>
              <w:jc w:val="center"/>
              <w:rPr>
                <w:noProof/>
              </w:rPr>
            </w:pPr>
            <w:r>
              <w:rPr>
                <w:noProof/>
              </w:rPr>
              <w:t>501 projects compared to 478</w:t>
            </w:r>
          </w:p>
        </w:tc>
        <w:tc>
          <w:tcPr>
            <w:tcW w:w="1579" w:type="dxa"/>
          </w:tcPr>
          <w:p w14:paraId="5C0B3235" w14:textId="4CE63CB6" w:rsidR="00C30F94" w:rsidRPr="00C05385" w:rsidRDefault="00C30F94" w:rsidP="00C30F94">
            <w:pPr>
              <w:jc w:val="center"/>
              <w:rPr>
                <w:noProof/>
              </w:rPr>
            </w:pPr>
            <w:r>
              <w:rPr>
                <w:noProof/>
              </w:rPr>
              <w:t>Achieved</w:t>
            </w:r>
          </w:p>
        </w:tc>
      </w:tr>
    </w:tbl>
    <w:p w14:paraId="25C8C0F3" w14:textId="77777777" w:rsidR="000F75A3" w:rsidRPr="00C05385" w:rsidRDefault="000F75A3" w:rsidP="000F75A3">
      <w:pPr>
        <w:pStyle w:val="FootnoteText"/>
        <w:rPr>
          <w:noProof/>
          <w:color w:val="BBB931"/>
        </w:rPr>
      </w:pPr>
      <w:r w:rsidRPr="00C05385">
        <w:rPr>
          <w:noProof/>
        </w:rPr>
        <w:t>(*) % of target achieved by the end of 2021</w:t>
      </w:r>
      <w:r>
        <w:rPr>
          <w:noProof/>
        </w:rPr>
        <w:t>.</w:t>
      </w:r>
    </w:p>
    <w:p w14:paraId="219EEB3E" w14:textId="77777777" w:rsidR="000F75A3" w:rsidRPr="00C05385" w:rsidRDefault="000F75A3" w:rsidP="000F75A3">
      <w:pPr>
        <w:pStyle w:val="ppoListHyphened-L1"/>
        <w:spacing w:before="360"/>
        <w:rPr>
          <w:noProof/>
        </w:rPr>
      </w:pPr>
      <w:r w:rsidRPr="00C05385">
        <w:rPr>
          <w:noProof/>
        </w:rPr>
        <w:t>Until the end of 2021, ISF-Police has proven an efficient fund getting closer to its general objective to contribute to a high level of security in the EU. In particular, the interim evaluation concluded that the Fund has been shown to be flexible enough to respond to the changing needs which emerged as a consequence of the security crises.</w:t>
      </w:r>
    </w:p>
    <w:p w14:paraId="68B36F81" w14:textId="77777777" w:rsidR="000F75A3" w:rsidRPr="00C05385" w:rsidRDefault="000F75A3" w:rsidP="000F75A3">
      <w:pPr>
        <w:pStyle w:val="ppoListHyphened-L1"/>
        <w:rPr>
          <w:noProof/>
        </w:rPr>
      </w:pPr>
      <w:r w:rsidRPr="00C05385">
        <w:rPr>
          <w:noProof/>
        </w:rPr>
        <w:t>The ISF supports overall EU policies in the area of internal security, e.g. on police cooperation, preventing and combatting crime, protection of people and critical infrastructures and combatting illicit drugs trafficking. Through Union actions, transnational projects and projects of particular EU interest are being financed. Therefore, the (bi)annual programming for Union actions offers a unique chance to align the actions to most urgent and important needs identified on the ground (e.g., trafficking in human beings, child sexual abuse, and corruption), as well as allowing continuity, for example on the European Crime Prevention Network.</w:t>
      </w:r>
    </w:p>
    <w:p w14:paraId="46C99ABA" w14:textId="77777777" w:rsidR="000F75A3" w:rsidRPr="00C05385" w:rsidRDefault="000F75A3" w:rsidP="000F75A3">
      <w:pPr>
        <w:pStyle w:val="ppoListHyphened-L1"/>
        <w:rPr>
          <w:noProof/>
        </w:rPr>
      </w:pPr>
      <w:bookmarkStart w:id="212" w:name="_Hlk101954358"/>
      <w:r w:rsidRPr="005F4247">
        <w:rPr>
          <w:noProof/>
        </w:rPr>
        <w:t xml:space="preserve">The 2014-2020 programme was also instrumental </w:t>
      </w:r>
      <w:r>
        <w:rPr>
          <w:noProof/>
        </w:rPr>
        <w:t xml:space="preserve">in </w:t>
      </w:r>
      <w:r w:rsidRPr="005F4247">
        <w:rPr>
          <w:noProof/>
        </w:rPr>
        <w:t>help</w:t>
      </w:r>
      <w:r>
        <w:rPr>
          <w:noProof/>
        </w:rPr>
        <w:t>ing to provide</w:t>
      </w:r>
      <w:r w:rsidRPr="005F4247">
        <w:rPr>
          <w:noProof/>
        </w:rPr>
        <w:t xml:space="preserve"> technological and knowledge update</w:t>
      </w:r>
      <w:r>
        <w:rPr>
          <w:noProof/>
        </w:rPr>
        <w:t>s</w:t>
      </w:r>
      <w:r w:rsidRPr="005F4247">
        <w:rPr>
          <w:noProof/>
        </w:rPr>
        <w:t xml:space="preserve"> for European security.</w:t>
      </w:r>
      <w:bookmarkEnd w:id="212"/>
      <w:r w:rsidRPr="00C05385">
        <w:rPr>
          <w:noProof/>
        </w:rPr>
        <w:t xml:space="preserve"> Examples include new detectors for chemical, biological, nuclear, radiological or explosive substances; the </w:t>
      </w:r>
      <w:r>
        <w:rPr>
          <w:noProof/>
        </w:rPr>
        <w:t>a</w:t>
      </w:r>
      <w:r w:rsidRPr="00C05385">
        <w:rPr>
          <w:noProof/>
        </w:rPr>
        <w:t xml:space="preserve">utomated </w:t>
      </w:r>
      <w:r>
        <w:rPr>
          <w:noProof/>
        </w:rPr>
        <w:t>b</w:t>
      </w:r>
      <w:r w:rsidRPr="00C05385">
        <w:rPr>
          <w:noProof/>
        </w:rPr>
        <w:t xml:space="preserve">order </w:t>
      </w:r>
      <w:r>
        <w:rPr>
          <w:noProof/>
        </w:rPr>
        <w:t>c</w:t>
      </w:r>
      <w:r w:rsidRPr="00C05385">
        <w:rPr>
          <w:noProof/>
        </w:rPr>
        <w:t xml:space="preserve">ontrol gates in airports and border crossing points; </w:t>
      </w:r>
      <w:r>
        <w:rPr>
          <w:noProof/>
        </w:rPr>
        <w:t xml:space="preserve">and </w:t>
      </w:r>
      <w:r w:rsidRPr="00C05385">
        <w:rPr>
          <w:noProof/>
        </w:rPr>
        <w:t xml:space="preserve">new technologies used by </w:t>
      </w:r>
      <w:r>
        <w:rPr>
          <w:noProof/>
        </w:rPr>
        <w:t>p</w:t>
      </w:r>
      <w:r w:rsidRPr="00C05385">
        <w:rPr>
          <w:noProof/>
        </w:rPr>
        <w:t xml:space="preserve">olice forces for investigations </w:t>
      </w:r>
      <w:r>
        <w:rPr>
          <w:noProof/>
        </w:rPr>
        <w:t>involving</w:t>
      </w:r>
      <w:r w:rsidRPr="00C05385">
        <w:rPr>
          <w:noProof/>
        </w:rPr>
        <w:t xml:space="preserve"> the </w:t>
      </w:r>
      <w:r>
        <w:rPr>
          <w:noProof/>
        </w:rPr>
        <w:t>d</w:t>
      </w:r>
      <w:r w:rsidRPr="00C05385">
        <w:rPr>
          <w:noProof/>
        </w:rPr>
        <w:t xml:space="preserve">ark </w:t>
      </w:r>
      <w:r>
        <w:rPr>
          <w:noProof/>
        </w:rPr>
        <w:t>w</w:t>
      </w:r>
      <w:r w:rsidRPr="00C05385">
        <w:rPr>
          <w:noProof/>
        </w:rPr>
        <w:t>eb.</w:t>
      </w:r>
    </w:p>
    <w:p w14:paraId="3F41BCDE" w14:textId="77777777" w:rsidR="000F75A3" w:rsidRPr="00C05385" w:rsidRDefault="000F75A3" w:rsidP="000F75A3">
      <w:pPr>
        <w:pStyle w:val="ppoListHyphened-L1"/>
        <w:rPr>
          <w:noProof/>
        </w:rPr>
      </w:pPr>
      <w:r w:rsidRPr="00C05385">
        <w:rPr>
          <w:noProof/>
        </w:rPr>
        <w:t xml:space="preserve">In terms of </w:t>
      </w:r>
      <w:r>
        <w:rPr>
          <w:noProof/>
        </w:rPr>
        <w:t xml:space="preserve">the </w:t>
      </w:r>
      <w:r w:rsidRPr="00C05385">
        <w:rPr>
          <w:noProof/>
        </w:rPr>
        <w:t xml:space="preserve">overall performance of the </w:t>
      </w:r>
      <w:r>
        <w:rPr>
          <w:noProof/>
        </w:rPr>
        <w:t>f</w:t>
      </w:r>
      <w:r w:rsidRPr="00C05385">
        <w:rPr>
          <w:noProof/>
        </w:rPr>
        <w:t xml:space="preserve">und, for many of the indicators set </w:t>
      </w:r>
      <w:r>
        <w:rPr>
          <w:noProof/>
        </w:rPr>
        <w:t xml:space="preserve">out </w:t>
      </w:r>
      <w:r w:rsidRPr="00C05385">
        <w:rPr>
          <w:noProof/>
        </w:rPr>
        <w:t xml:space="preserve">in the </w:t>
      </w:r>
      <w:r>
        <w:rPr>
          <w:noProof/>
        </w:rPr>
        <w:t>r</w:t>
      </w:r>
      <w:r w:rsidRPr="00C05385">
        <w:rPr>
          <w:noProof/>
        </w:rPr>
        <w:t xml:space="preserve">egulation the targets have been either achieved or exceeded. </w:t>
      </w:r>
      <w:bookmarkStart w:id="213" w:name="_Hlk101954525"/>
      <w:r>
        <w:rPr>
          <w:noProof/>
        </w:rPr>
        <w:t>By the end of</w:t>
      </w:r>
      <w:r w:rsidRPr="005F4247">
        <w:rPr>
          <w:noProof/>
        </w:rPr>
        <w:t xml:space="preserve"> 2021</w:t>
      </w:r>
      <w:r w:rsidRPr="00C05385">
        <w:rPr>
          <w:noProof/>
        </w:rPr>
        <w:t>, ISF</w:t>
      </w:r>
      <w:r>
        <w:rPr>
          <w:noProof/>
        </w:rPr>
        <w:t xml:space="preserve"> </w:t>
      </w:r>
      <w:r w:rsidRPr="00C05385">
        <w:rPr>
          <w:noProof/>
        </w:rPr>
        <w:t xml:space="preserve">Police </w:t>
      </w:r>
      <w:bookmarkEnd w:id="213"/>
      <w:r>
        <w:rPr>
          <w:noProof/>
        </w:rPr>
        <w:t xml:space="preserve">had </w:t>
      </w:r>
      <w:r w:rsidRPr="00C05385">
        <w:rPr>
          <w:noProof/>
        </w:rPr>
        <w:t>attained an absorption rate of 76.21%, which can be considered satisfactory</w:t>
      </w:r>
      <w:r w:rsidRPr="005E612A">
        <w:rPr>
          <w:noProof/>
        </w:rPr>
        <w:t xml:space="preserve"> </w:t>
      </w:r>
      <w:r w:rsidRPr="00C05385">
        <w:rPr>
          <w:noProof/>
        </w:rPr>
        <w:t xml:space="preserve">overall. The implementation of </w:t>
      </w:r>
      <w:r>
        <w:rPr>
          <w:noProof/>
        </w:rPr>
        <w:t xml:space="preserve">the </w:t>
      </w:r>
      <w:r w:rsidRPr="00C05385">
        <w:rPr>
          <w:noProof/>
        </w:rPr>
        <w:t xml:space="preserve">ISF will run until </w:t>
      </w:r>
      <w:r>
        <w:rPr>
          <w:noProof/>
        </w:rPr>
        <w:t xml:space="preserve">the </w:t>
      </w:r>
      <w:r w:rsidRPr="00C05385">
        <w:rPr>
          <w:noProof/>
        </w:rPr>
        <w:t>end</w:t>
      </w:r>
      <w:r>
        <w:rPr>
          <w:noProof/>
        </w:rPr>
        <w:t xml:space="preserve"> of </w:t>
      </w:r>
      <w:r w:rsidRPr="00C05385">
        <w:rPr>
          <w:noProof/>
        </w:rPr>
        <w:t xml:space="preserve">2023, after the adoption in April 2020 of the Commission’s proposal to </w:t>
      </w:r>
      <w:r>
        <w:rPr>
          <w:noProof/>
        </w:rPr>
        <w:t>extend</w:t>
      </w:r>
      <w:r w:rsidRPr="00C05385">
        <w:rPr>
          <w:noProof/>
        </w:rPr>
        <w:t xml:space="preserve"> the implementation period for the money available to Member States under the 2014-2020 </w:t>
      </w:r>
      <w:r>
        <w:rPr>
          <w:noProof/>
        </w:rPr>
        <w:t>h</w:t>
      </w:r>
      <w:r w:rsidRPr="00C05385">
        <w:rPr>
          <w:noProof/>
        </w:rPr>
        <w:t xml:space="preserve">ome </w:t>
      </w:r>
      <w:r>
        <w:rPr>
          <w:noProof/>
        </w:rPr>
        <w:t>a</w:t>
      </w:r>
      <w:r w:rsidRPr="00C05385">
        <w:rPr>
          <w:noProof/>
        </w:rPr>
        <w:t xml:space="preserve">ffairs funds by </w:t>
      </w:r>
      <w:r>
        <w:rPr>
          <w:noProof/>
        </w:rPr>
        <w:t>1</w:t>
      </w:r>
      <w:r>
        <w:rPr>
          <w:rFonts w:ascii="Calibri" w:hAnsi="Calibri" w:cs="Calibri"/>
          <w:noProof/>
        </w:rPr>
        <w:t> </w:t>
      </w:r>
      <w:r w:rsidRPr="00C05385">
        <w:rPr>
          <w:noProof/>
        </w:rPr>
        <w:t xml:space="preserve">year due to </w:t>
      </w:r>
      <w:r>
        <w:rPr>
          <w:noProof/>
        </w:rPr>
        <w:t xml:space="preserve">the </w:t>
      </w:r>
      <w:r w:rsidRPr="00C05385">
        <w:rPr>
          <w:noProof/>
        </w:rPr>
        <w:t>crisis in Ukraine.</w:t>
      </w:r>
    </w:p>
    <w:p w14:paraId="57F76EAF" w14:textId="77777777" w:rsidR="000F75A3" w:rsidRPr="00C05385" w:rsidRDefault="000F75A3" w:rsidP="000F75A3">
      <w:pPr>
        <w:pStyle w:val="ppoListHyphened-L1"/>
        <w:rPr>
          <w:noProof/>
        </w:rPr>
      </w:pPr>
      <w:r w:rsidRPr="00C05385">
        <w:rPr>
          <w:noProof/>
        </w:rPr>
        <w:t>The main lessons learn</w:t>
      </w:r>
      <w:r>
        <w:rPr>
          <w:noProof/>
        </w:rPr>
        <w:t>ed</w:t>
      </w:r>
      <w:r w:rsidRPr="00C05385">
        <w:rPr>
          <w:noProof/>
        </w:rPr>
        <w:t xml:space="preserve"> during the 2014-2020 programming period include</w:t>
      </w:r>
      <w:r>
        <w:rPr>
          <w:noProof/>
        </w:rPr>
        <w:t xml:space="preserve"> the following.</w:t>
      </w:r>
    </w:p>
    <w:p w14:paraId="4A5E07D7" w14:textId="77777777" w:rsidR="000F75A3" w:rsidRPr="00C05385" w:rsidRDefault="000F75A3" w:rsidP="000F75A3">
      <w:pPr>
        <w:pStyle w:val="ppoListHyphened-L2"/>
        <w:rPr>
          <w:noProof/>
        </w:rPr>
      </w:pPr>
      <w:r>
        <w:rPr>
          <w:noProof/>
        </w:rPr>
        <w:t>There has been i</w:t>
      </w:r>
      <w:r w:rsidRPr="00C05385">
        <w:rPr>
          <w:noProof/>
        </w:rPr>
        <w:t>nsufficient cooperation, coordination and strategic steering in the implementation of the ISF with other EU</w:t>
      </w:r>
      <w:r>
        <w:rPr>
          <w:noProof/>
        </w:rPr>
        <w:t>-</w:t>
      </w:r>
      <w:r w:rsidRPr="00C05385">
        <w:rPr>
          <w:noProof/>
        </w:rPr>
        <w:t>level initiatives</w:t>
      </w:r>
      <w:r>
        <w:rPr>
          <w:noProof/>
        </w:rPr>
        <w:t>.</w:t>
      </w:r>
    </w:p>
    <w:p w14:paraId="145F9BE6" w14:textId="77777777" w:rsidR="000F75A3" w:rsidRPr="005F4247" w:rsidRDefault="000F75A3" w:rsidP="000F75A3">
      <w:pPr>
        <w:pStyle w:val="ppoListHyphened-L2"/>
        <w:rPr>
          <w:noProof/>
        </w:rPr>
      </w:pPr>
      <w:bookmarkStart w:id="214" w:name="_Hlk101954698"/>
      <w:r w:rsidRPr="005F4247">
        <w:rPr>
          <w:noProof/>
        </w:rPr>
        <w:t>Better exploitation of innovation opportunities from EU civil security research</w:t>
      </w:r>
      <w:bookmarkEnd w:id="214"/>
      <w:r>
        <w:rPr>
          <w:noProof/>
        </w:rPr>
        <w:t xml:space="preserve"> is needed</w:t>
      </w:r>
      <w:r w:rsidRPr="005F4247">
        <w:rPr>
          <w:noProof/>
        </w:rPr>
        <w:t>.</w:t>
      </w:r>
    </w:p>
    <w:p w14:paraId="32EC8366" w14:textId="77777777" w:rsidR="000F75A3" w:rsidRPr="00C05385" w:rsidRDefault="000F75A3" w:rsidP="000F75A3">
      <w:pPr>
        <w:pStyle w:val="ppoListHyphened-L2"/>
        <w:rPr>
          <w:noProof/>
        </w:rPr>
      </w:pPr>
      <w:r>
        <w:rPr>
          <w:noProof/>
        </w:rPr>
        <w:t>There is a</w:t>
      </w:r>
      <w:r w:rsidRPr="00C05385">
        <w:rPr>
          <w:noProof/>
        </w:rPr>
        <w:t xml:space="preserve"> need for simplification</w:t>
      </w:r>
      <w:r>
        <w:rPr>
          <w:noProof/>
        </w:rPr>
        <w:t>.</w:t>
      </w:r>
    </w:p>
    <w:p w14:paraId="3679A66A" w14:textId="77777777" w:rsidR="000F75A3" w:rsidRPr="00C05385" w:rsidRDefault="000F75A3" w:rsidP="000F75A3">
      <w:pPr>
        <w:pStyle w:val="ppoListHyphened-L2"/>
        <w:rPr>
          <w:noProof/>
        </w:rPr>
      </w:pPr>
      <w:r>
        <w:rPr>
          <w:noProof/>
        </w:rPr>
        <w:t>There was i</w:t>
      </w:r>
      <w:r w:rsidRPr="00C05385">
        <w:rPr>
          <w:noProof/>
        </w:rPr>
        <w:t>nsufficient flexibility to respond to changing needs during the programming period</w:t>
      </w:r>
      <w:r>
        <w:rPr>
          <w:noProof/>
        </w:rPr>
        <w:t>.</w:t>
      </w:r>
    </w:p>
    <w:p w14:paraId="73F1F97C" w14:textId="77777777" w:rsidR="000F75A3" w:rsidRPr="00C05385" w:rsidRDefault="000F75A3" w:rsidP="000F75A3">
      <w:pPr>
        <w:pStyle w:val="ppoListHyphened-L2"/>
        <w:rPr>
          <w:noProof/>
        </w:rPr>
      </w:pPr>
      <w:r w:rsidRPr="005F4247">
        <w:rPr>
          <w:noProof/>
        </w:rPr>
        <w:t xml:space="preserve">There is a need to strengthen performance monitoring </w:t>
      </w:r>
      <w:bookmarkStart w:id="215" w:name="_Hlk101954837"/>
      <w:r w:rsidRPr="005F4247">
        <w:rPr>
          <w:noProof/>
        </w:rPr>
        <w:t xml:space="preserve">in terms of the quality and frequency of </w:t>
      </w:r>
      <w:r>
        <w:rPr>
          <w:noProof/>
        </w:rPr>
        <w:t xml:space="preserve">data relating to </w:t>
      </w:r>
      <w:r w:rsidRPr="005F4247">
        <w:rPr>
          <w:noProof/>
        </w:rPr>
        <w:t>the fund</w:t>
      </w:r>
      <w:bookmarkEnd w:id="215"/>
      <w:r w:rsidRPr="005F4247">
        <w:rPr>
          <w:noProof/>
        </w:rPr>
        <w:t>, with more regular and reliable</w:t>
      </w:r>
      <w:r w:rsidRPr="00C05385">
        <w:rPr>
          <w:noProof/>
        </w:rPr>
        <w:t xml:space="preserve"> data setting. </w:t>
      </w:r>
      <w:r w:rsidRPr="00C05385">
        <w:rPr>
          <w:noProof/>
          <w:lang w:eastAsia="en-IE"/>
        </w:rPr>
        <w:t xml:space="preserve">This is being tackled </w:t>
      </w:r>
      <w:r>
        <w:rPr>
          <w:noProof/>
          <w:lang w:eastAsia="en-IE"/>
        </w:rPr>
        <w:t xml:space="preserve">in </w:t>
      </w:r>
      <w:r w:rsidRPr="00C05385">
        <w:rPr>
          <w:noProof/>
          <w:lang w:eastAsia="en-IE"/>
        </w:rPr>
        <w:t xml:space="preserve">particular for the </w:t>
      </w:r>
      <w:r>
        <w:rPr>
          <w:noProof/>
          <w:lang w:eastAsia="en-IE"/>
        </w:rPr>
        <w:t>20</w:t>
      </w:r>
      <w:r w:rsidRPr="00C05385">
        <w:rPr>
          <w:noProof/>
          <w:lang w:eastAsia="en-IE"/>
        </w:rPr>
        <w:t>21-</w:t>
      </w:r>
      <w:r>
        <w:rPr>
          <w:noProof/>
          <w:lang w:eastAsia="en-IE"/>
        </w:rPr>
        <w:t>20</w:t>
      </w:r>
      <w:r w:rsidRPr="00C05385">
        <w:rPr>
          <w:noProof/>
          <w:lang w:eastAsia="en-IE"/>
        </w:rPr>
        <w:t xml:space="preserve">27 programming </w:t>
      </w:r>
      <w:r>
        <w:rPr>
          <w:noProof/>
          <w:lang w:eastAsia="en-IE"/>
        </w:rPr>
        <w:t xml:space="preserve">period </w:t>
      </w:r>
      <w:r w:rsidRPr="00C05385">
        <w:rPr>
          <w:noProof/>
          <w:lang w:eastAsia="en-IE"/>
        </w:rPr>
        <w:t xml:space="preserve">on the grounds of the new requirements contained in the legal basis and </w:t>
      </w:r>
      <w:r>
        <w:rPr>
          <w:noProof/>
          <w:lang w:eastAsia="en-IE"/>
        </w:rPr>
        <w:t>through</w:t>
      </w:r>
      <w:r w:rsidRPr="00C05385">
        <w:rPr>
          <w:noProof/>
          <w:lang w:eastAsia="en-IE"/>
        </w:rPr>
        <w:t xml:space="preserve"> joint work </w:t>
      </w:r>
      <w:r>
        <w:rPr>
          <w:noProof/>
          <w:lang w:eastAsia="en-IE"/>
        </w:rPr>
        <w:t>by</w:t>
      </w:r>
      <w:r w:rsidRPr="00C05385">
        <w:rPr>
          <w:noProof/>
          <w:lang w:eastAsia="en-IE"/>
        </w:rPr>
        <w:t xml:space="preserve"> the Commission and national </w:t>
      </w:r>
      <w:r>
        <w:rPr>
          <w:noProof/>
          <w:lang w:eastAsia="en-IE"/>
        </w:rPr>
        <w:t>m</w:t>
      </w:r>
      <w:r w:rsidRPr="00C05385">
        <w:rPr>
          <w:noProof/>
          <w:lang w:eastAsia="en-IE"/>
        </w:rPr>
        <w:t xml:space="preserve">anaging </w:t>
      </w:r>
      <w:r>
        <w:rPr>
          <w:noProof/>
          <w:lang w:eastAsia="en-IE"/>
        </w:rPr>
        <w:t>a</w:t>
      </w:r>
      <w:r w:rsidRPr="00C05385">
        <w:rPr>
          <w:noProof/>
          <w:lang w:eastAsia="en-IE"/>
        </w:rPr>
        <w:t>uthorities on data quality.</w:t>
      </w:r>
    </w:p>
    <w:p w14:paraId="2BF5A81F" w14:textId="77777777" w:rsidR="000F75A3" w:rsidRDefault="000F75A3" w:rsidP="005348AD">
      <w:pPr>
        <w:pStyle w:val="ppoListHyphened-L1"/>
        <w:numPr>
          <w:ilvl w:val="0"/>
          <w:numId w:val="0"/>
        </w:numPr>
        <w:ind w:left="357" w:hanging="357"/>
        <w:rPr>
          <w:b/>
          <w:noProof/>
        </w:rPr>
        <w:sectPr w:rsidR="000F75A3" w:rsidSect="0083214A">
          <w:headerReference w:type="even" r:id="rId471"/>
          <w:headerReference w:type="default" r:id="rId472"/>
          <w:footerReference w:type="even" r:id="rId473"/>
          <w:footerReference w:type="default" r:id="rId474"/>
          <w:headerReference w:type="first" r:id="rId475"/>
          <w:footerReference w:type="first" r:id="rId476"/>
          <w:type w:val="continuous"/>
          <w:pgSz w:w="11906" w:h="16838" w:code="9"/>
          <w:pgMar w:top="1134" w:right="1134" w:bottom="964" w:left="1134" w:header="431" w:footer="431" w:gutter="0"/>
          <w:cols w:space="720"/>
          <w:titlePg/>
          <w:docGrid w:linePitch="360"/>
        </w:sectPr>
      </w:pPr>
    </w:p>
    <w:p w14:paraId="3BFAF338" w14:textId="77777777" w:rsidR="00E10D77" w:rsidRPr="00E10D77" w:rsidRDefault="00E10D77" w:rsidP="00E10D77">
      <w:pPr>
        <w:pStyle w:val="StyleppoHeading3WhiteLeft0cm"/>
        <w:rPr>
          <w:noProof/>
          <w:sz w:val="2"/>
          <w:szCs w:val="2"/>
          <w:lang w:val="en-IE"/>
        </w:rPr>
      </w:pPr>
    </w:p>
    <w:p w14:paraId="25516EB5" w14:textId="77777777" w:rsidR="00E10D77" w:rsidRPr="00E10D77" w:rsidRDefault="00E10D77" w:rsidP="00E10D77">
      <w:pPr>
        <w:pStyle w:val="StyleppoHeading3WhiteLeft0cm"/>
        <w:rPr>
          <w:noProof/>
          <w:sz w:val="50"/>
          <w:szCs w:val="50"/>
          <w:lang w:val="en-IE"/>
        </w:rPr>
      </w:pPr>
      <w:bookmarkStart w:id="216" w:name="_Toc102086364"/>
      <w:r w:rsidRPr="00E10D77">
        <w:rPr>
          <w:noProof/>
          <w:sz w:val="50"/>
          <w:szCs w:val="50"/>
          <w:lang w:val="en-IE"/>
        </w:rPr>
        <w:t>NUCLEAR DECOMMISSIONING (LITHUANIA)</w:t>
      </w:r>
      <w:bookmarkEnd w:id="216"/>
    </w:p>
    <w:p w14:paraId="4010D48B" w14:textId="77777777" w:rsidR="00E10D77" w:rsidRPr="00E10D77" w:rsidRDefault="00E10D77" w:rsidP="00E10D77">
      <w:pPr>
        <w:pStyle w:val="StyleppoProgrammenameWhiteLeft01cm"/>
        <w:rPr>
          <w:noProof/>
          <w:szCs w:val="32"/>
          <w:lang w:val="en-IE"/>
        </w:rPr>
      </w:pPr>
      <w:r w:rsidRPr="00E10D77">
        <w:rPr>
          <w:caps/>
          <w:noProof/>
          <w:szCs w:val="32"/>
          <w:lang w:val="en-IE"/>
        </w:rPr>
        <w:t>nuclear decommissioning assistance programme of the Ignalina nuclear power plant in Lithuania</w:t>
      </w:r>
    </w:p>
    <w:p w14:paraId="60B6BA93" w14:textId="77777777" w:rsidR="00E10D77" w:rsidRPr="000E4E49" w:rsidRDefault="00E10D77" w:rsidP="00E10D77">
      <w:pPr>
        <w:pStyle w:val="ppoHeading4Blue"/>
        <w:rPr>
          <w:noProof/>
          <w:lang w:val="en-IE"/>
        </w:rPr>
      </w:pPr>
      <w:r w:rsidRPr="000E4E49">
        <w:rPr>
          <w:noProof/>
          <w:lang w:val="en-IE"/>
        </w:rPr>
        <w:t>Programme in a nutshell</w:t>
      </w:r>
    </w:p>
    <w:p w14:paraId="5D2090B0" w14:textId="77777777" w:rsidR="00E10D77" w:rsidRPr="000E4E49" w:rsidRDefault="00E10D77" w:rsidP="00E10D77">
      <w:pPr>
        <w:spacing w:after="480"/>
        <w:rPr>
          <w:rFonts w:eastAsiaTheme="minorEastAsia"/>
          <w:noProof/>
          <w:color w:val="FFFFFF" w:themeColor="background1"/>
          <w:sz w:val="32"/>
          <w:lang w:val="en-IE"/>
        </w:rPr>
        <w:sectPr w:rsidR="00E10D77" w:rsidRPr="000E4E49" w:rsidSect="0083214A">
          <w:headerReference w:type="even" r:id="rId477"/>
          <w:headerReference w:type="default" r:id="rId478"/>
          <w:footerReference w:type="even" r:id="rId479"/>
          <w:footerReference w:type="default" r:id="rId480"/>
          <w:headerReference w:type="first" r:id="rId481"/>
          <w:footerReference w:type="first" r:id="rId482"/>
          <w:pgSz w:w="11906" w:h="16838" w:code="9"/>
          <w:pgMar w:top="1134" w:right="1134" w:bottom="964" w:left="1134" w:header="431" w:footer="431" w:gutter="0"/>
          <w:cols w:space="720"/>
          <w:docGrid w:linePitch="360"/>
        </w:sectPr>
      </w:pPr>
    </w:p>
    <w:p w14:paraId="455B905F" w14:textId="77777777" w:rsidR="00E10D77" w:rsidRPr="000E4E49" w:rsidRDefault="00E10D77" w:rsidP="00E10D77">
      <w:pPr>
        <w:pStyle w:val="ppoHeading5"/>
        <w:rPr>
          <w:noProof/>
          <w:lang w:val="en-IE"/>
        </w:rPr>
      </w:pPr>
      <w:r w:rsidRPr="000E4E49">
        <w:rPr>
          <w:noProof/>
          <w:lang w:val="en-IE"/>
        </w:rPr>
        <w:t>Concrete examples of achievements</w:t>
      </w:r>
      <w:r w:rsidRPr="000E4E49">
        <w:rPr>
          <w:rFonts w:ascii="Calibri" w:hAnsi="Calibri" w:cs="Calibri"/>
          <w:noProof/>
          <w:lang w:val="en-IE"/>
        </w:rPr>
        <w:t> </w:t>
      </w:r>
      <w:r w:rsidRPr="000E4E49">
        <w:rPr>
          <w:noProof/>
          <w:lang w:val="en-IE"/>
        </w:rPr>
        <w:t>(*)</w:t>
      </w:r>
    </w:p>
    <w:tbl>
      <w:tblPr>
        <w:tblStyle w:val="PPO2021"/>
        <w:tblW w:w="9639" w:type="dxa"/>
        <w:tblInd w:w="0" w:type="dxa"/>
        <w:tblLook w:val="0200" w:firstRow="0" w:lastRow="0" w:firstColumn="0" w:lastColumn="0" w:noHBand="1" w:noVBand="0"/>
      </w:tblPr>
      <w:tblGrid>
        <w:gridCol w:w="2410"/>
        <w:gridCol w:w="2409"/>
        <w:gridCol w:w="2410"/>
        <w:gridCol w:w="2410"/>
      </w:tblGrid>
      <w:tr w:rsidR="00E10D77" w:rsidRPr="000E4E49" w14:paraId="48FA0CAE" w14:textId="77777777" w:rsidTr="0083214A">
        <w:tc>
          <w:tcPr>
            <w:tcW w:w="2410" w:type="dxa"/>
          </w:tcPr>
          <w:p w14:paraId="64BE5D95" w14:textId="77777777" w:rsidR="00E10D77" w:rsidRPr="000E4E49" w:rsidRDefault="00E10D77" w:rsidP="0083214A">
            <w:pPr>
              <w:pStyle w:val="ppoTableacheivementvalue"/>
              <w:rPr>
                <w:noProof/>
                <w:lang w:val="en-IE"/>
              </w:rPr>
            </w:pPr>
            <w:r w:rsidRPr="000E4E49">
              <w:rPr>
                <w:noProof/>
                <w:lang w:val="en-IE"/>
              </w:rPr>
              <w:t>43</w:t>
            </w:r>
            <w:r w:rsidRPr="000E4E49">
              <w:rPr>
                <w:rFonts w:ascii="Calibri" w:hAnsi="Calibri" w:cs="Calibri"/>
                <w:noProof/>
                <w:lang w:val="en-IE"/>
              </w:rPr>
              <w:t> </w:t>
            </w:r>
            <w:r w:rsidRPr="000E4E49">
              <w:rPr>
                <w:noProof/>
                <w:lang w:val="en-IE"/>
              </w:rPr>
              <w:t>730</w:t>
            </w:r>
          </w:p>
          <w:p w14:paraId="76190B7F" w14:textId="77777777" w:rsidR="00E10D77" w:rsidRPr="000E4E49" w:rsidRDefault="00E10D77" w:rsidP="00377734">
            <w:pPr>
              <w:jc w:val="left"/>
              <w:rPr>
                <w:noProof/>
                <w:lang w:val="en-IE"/>
              </w:rPr>
            </w:pPr>
            <w:r w:rsidRPr="000E4E49">
              <w:rPr>
                <w:noProof/>
                <w:lang w:val="en-IE"/>
              </w:rPr>
              <w:t>tonnes of material were dismantled from the turbine hall and auxiliary buildings by the end of 2020.</w:t>
            </w:r>
          </w:p>
        </w:tc>
        <w:tc>
          <w:tcPr>
            <w:cnfStyle w:val="000001000000" w:firstRow="0" w:lastRow="0" w:firstColumn="0" w:lastColumn="0" w:oddVBand="0" w:evenVBand="1" w:oddHBand="0" w:evenHBand="0" w:firstRowFirstColumn="0" w:firstRowLastColumn="0" w:lastRowFirstColumn="0" w:lastRowLastColumn="0"/>
            <w:tcW w:w="2409" w:type="dxa"/>
          </w:tcPr>
          <w:p w14:paraId="39DAF655" w14:textId="77777777" w:rsidR="00E10D77" w:rsidRPr="000E4E49" w:rsidRDefault="00E10D77" w:rsidP="0083214A">
            <w:pPr>
              <w:pStyle w:val="ppoTableacheivementvalue"/>
              <w:rPr>
                <w:noProof/>
                <w:lang w:val="en-IE"/>
              </w:rPr>
            </w:pPr>
            <w:r w:rsidRPr="000E4E49">
              <w:rPr>
                <w:noProof/>
                <w:lang w:val="en-IE"/>
              </w:rPr>
              <w:t>99%</w:t>
            </w:r>
          </w:p>
          <w:p w14:paraId="2028E3A3" w14:textId="77777777" w:rsidR="00E10D77" w:rsidRPr="000E4E49" w:rsidRDefault="00E10D77" w:rsidP="00377734">
            <w:pPr>
              <w:jc w:val="left"/>
              <w:rPr>
                <w:noProof/>
                <w:lang w:val="en-IE"/>
              </w:rPr>
            </w:pPr>
            <w:r w:rsidRPr="000E4E49">
              <w:rPr>
                <w:noProof/>
                <w:lang w:val="en-IE"/>
              </w:rPr>
              <w:t>of the spent fuel assemblies were safely stored away from the reactors by December 2021.</w:t>
            </w:r>
          </w:p>
        </w:tc>
        <w:tc>
          <w:tcPr>
            <w:tcW w:w="2410" w:type="dxa"/>
            <w:tcBorders>
              <w:bottom w:val="single" w:sz="4" w:space="0" w:color="8C8C8C"/>
            </w:tcBorders>
          </w:tcPr>
          <w:p w14:paraId="5BB1A600" w14:textId="77777777" w:rsidR="00E10D77" w:rsidRPr="000E4E49" w:rsidRDefault="00E10D77" w:rsidP="0083214A">
            <w:pPr>
              <w:pStyle w:val="ppoTableacheivementvalue"/>
              <w:cnfStyle w:val="000000000000" w:firstRow="0" w:lastRow="0" w:firstColumn="0" w:lastColumn="0" w:oddVBand="0" w:evenVBand="0" w:oddHBand="0" w:evenHBand="0" w:firstRowFirstColumn="0" w:firstRowLastColumn="0" w:lastRowFirstColumn="0" w:lastRowLastColumn="0"/>
              <w:rPr>
                <w:noProof/>
                <w:lang w:val="en-IE"/>
              </w:rPr>
            </w:pPr>
            <w:r w:rsidRPr="000E4E49">
              <w:rPr>
                <w:noProof/>
                <w:lang w:val="en-IE"/>
              </w:rPr>
              <w:t>191</w:t>
            </w:r>
          </w:p>
          <w:p w14:paraId="493A3A45" w14:textId="77777777" w:rsidR="00E10D77" w:rsidRPr="000E4E49" w:rsidRDefault="00E10D77" w:rsidP="00377734">
            <w:pPr>
              <w:jc w:val="left"/>
              <w:cnfStyle w:val="000000000000" w:firstRow="0" w:lastRow="0" w:firstColumn="0" w:lastColumn="0" w:oddVBand="0" w:evenVBand="0" w:oddHBand="0" w:evenHBand="0" w:firstRowFirstColumn="0" w:firstRowLastColumn="0" w:lastRowFirstColumn="0" w:lastRowLastColumn="0"/>
              <w:rPr>
                <w:noProof/>
                <w:lang w:val="en-IE"/>
              </w:rPr>
            </w:pPr>
            <w:r w:rsidRPr="000E4E49">
              <w:rPr>
                <w:noProof/>
                <w:lang w:val="en-IE"/>
              </w:rPr>
              <w:t>new storage casks were delivered by February 2020, a year ahead of schedule.</w:t>
            </w:r>
          </w:p>
        </w:tc>
        <w:tc>
          <w:tcPr>
            <w:cnfStyle w:val="000001000000" w:firstRow="0" w:lastRow="0" w:firstColumn="0" w:lastColumn="0" w:oddVBand="0" w:evenVBand="1" w:oddHBand="0" w:evenHBand="0" w:firstRowFirstColumn="0" w:firstRowLastColumn="0" w:lastRowFirstColumn="0" w:lastRowLastColumn="0"/>
            <w:tcW w:w="2410" w:type="dxa"/>
          </w:tcPr>
          <w:p w14:paraId="59DA54F6" w14:textId="77777777" w:rsidR="00E10D77" w:rsidRPr="000E4E49" w:rsidRDefault="00E10D77" w:rsidP="0083214A">
            <w:pPr>
              <w:pStyle w:val="ppoTableacheivementvalue"/>
              <w:rPr>
                <w:rFonts w:ascii="Calibri" w:hAnsi="Calibri" w:cs="Calibri"/>
                <w:noProof/>
                <w:lang w:val="en-IE"/>
              </w:rPr>
            </w:pPr>
            <w:r w:rsidRPr="000E4E49">
              <w:rPr>
                <w:noProof/>
                <w:lang w:val="en-IE"/>
              </w:rPr>
              <w:t>42</w:t>
            </w:r>
            <w:r w:rsidRPr="000E4E49">
              <w:rPr>
                <w:rFonts w:ascii="Calibri" w:hAnsi="Calibri" w:cs="Calibri"/>
                <w:noProof/>
                <w:lang w:val="en-IE"/>
              </w:rPr>
              <w:t> </w:t>
            </w:r>
            <w:r w:rsidRPr="000E4E49">
              <w:rPr>
                <w:noProof/>
                <w:lang w:val="en-IE"/>
              </w:rPr>
              <w:t>703</w:t>
            </w:r>
            <w:r w:rsidRPr="000E4E49">
              <w:rPr>
                <w:rFonts w:ascii="Calibri" w:hAnsi="Calibri" w:cs="Calibri"/>
                <w:noProof/>
                <w:lang w:val="en-IE"/>
              </w:rPr>
              <w:t> m</w:t>
            </w:r>
            <w:r w:rsidRPr="000E4E49">
              <w:rPr>
                <w:rFonts w:ascii="Calibri" w:hAnsi="Calibri" w:cs="Calibri"/>
                <w:noProof/>
                <w:vertAlign w:val="superscript"/>
                <w:lang w:val="en-IE"/>
              </w:rPr>
              <w:t>3</w:t>
            </w:r>
          </w:p>
          <w:p w14:paraId="27FA50CA" w14:textId="77777777" w:rsidR="00E10D77" w:rsidRPr="000E4E49" w:rsidRDefault="00E10D77" w:rsidP="00377734">
            <w:pPr>
              <w:jc w:val="left"/>
              <w:rPr>
                <w:noProof/>
                <w:lang w:val="en-IE"/>
              </w:rPr>
            </w:pPr>
            <w:r w:rsidRPr="000E4E49">
              <w:rPr>
                <w:noProof/>
                <w:lang w:val="en-IE"/>
              </w:rPr>
              <w:t>of radioactive waste from the turbine hall and auxiliary buildings were processed and stored by the end of 2020.</w:t>
            </w:r>
          </w:p>
        </w:tc>
      </w:tr>
      <w:tr w:rsidR="00E10D77" w:rsidRPr="000E4E49" w14:paraId="62DEED9B" w14:textId="77777777" w:rsidTr="0083214A">
        <w:tc>
          <w:tcPr>
            <w:tcW w:w="2410" w:type="dxa"/>
          </w:tcPr>
          <w:p w14:paraId="3BC54B00" w14:textId="77777777" w:rsidR="00E10D77" w:rsidRPr="000E4E49" w:rsidRDefault="00E10D77" w:rsidP="0083214A">
            <w:pPr>
              <w:pStyle w:val="ppoTableacheivementvalue"/>
              <w:rPr>
                <w:noProof/>
                <w:lang w:val="en-IE"/>
              </w:rPr>
            </w:pPr>
            <w:r w:rsidRPr="000E4E49">
              <w:rPr>
                <w:noProof/>
                <w:lang w:val="en-IE"/>
              </w:rPr>
              <w:t>0</w:t>
            </w:r>
          </w:p>
          <w:p w14:paraId="1ADB0609" w14:textId="77777777" w:rsidR="00E10D77" w:rsidRPr="000E4E49" w:rsidRDefault="00E10D77" w:rsidP="00377734">
            <w:pPr>
              <w:jc w:val="left"/>
              <w:rPr>
                <w:noProof/>
                <w:lang w:val="en-IE"/>
              </w:rPr>
            </w:pPr>
            <w:r w:rsidRPr="000E4E49">
              <w:rPr>
                <w:noProof/>
                <w:lang w:val="en-IE"/>
              </w:rPr>
              <w:t>incidents were observed over the period 2014-2020.</w:t>
            </w:r>
          </w:p>
        </w:tc>
        <w:tc>
          <w:tcPr>
            <w:cnfStyle w:val="000001000000" w:firstRow="0" w:lastRow="0" w:firstColumn="0" w:lastColumn="0" w:oddVBand="0" w:evenVBand="1" w:oddHBand="0" w:evenHBand="0" w:firstRowFirstColumn="0" w:firstRowLastColumn="0" w:lastRowFirstColumn="0" w:lastRowLastColumn="0"/>
            <w:tcW w:w="2409" w:type="dxa"/>
            <w:tcBorders>
              <w:bottom w:val="nil"/>
            </w:tcBorders>
            <w:shd w:val="clear" w:color="auto" w:fill="FFFFFF" w:themeFill="background1"/>
          </w:tcPr>
          <w:p w14:paraId="5F83423D" w14:textId="77777777" w:rsidR="00E10D77" w:rsidRPr="000E4E49" w:rsidRDefault="00E10D77" w:rsidP="0083214A">
            <w:pPr>
              <w:rPr>
                <w:noProof/>
                <w:lang w:val="en-IE"/>
              </w:rPr>
            </w:pPr>
          </w:p>
        </w:tc>
        <w:tc>
          <w:tcPr>
            <w:tcW w:w="2410" w:type="dxa"/>
            <w:tcBorders>
              <w:bottom w:val="nil"/>
            </w:tcBorders>
            <w:shd w:val="clear" w:color="auto" w:fill="FFFFFF" w:themeFill="background1"/>
          </w:tcPr>
          <w:p w14:paraId="4990F620" w14:textId="77777777" w:rsidR="00E10D77" w:rsidRPr="000E4E49" w:rsidRDefault="00E10D77" w:rsidP="0083214A">
            <w:pPr>
              <w:cnfStyle w:val="000000000000" w:firstRow="0" w:lastRow="0" w:firstColumn="0" w:lastColumn="0" w:oddVBand="0" w:evenVBand="0" w:oddHBand="0" w:evenHBand="0" w:firstRowFirstColumn="0" w:firstRowLastColumn="0" w:lastRowFirstColumn="0" w:lastRowLastColumn="0"/>
              <w:rPr>
                <w:noProof/>
                <w:lang w:val="en-IE"/>
              </w:rPr>
            </w:pPr>
          </w:p>
        </w:tc>
        <w:tc>
          <w:tcPr>
            <w:cnfStyle w:val="000001000000" w:firstRow="0" w:lastRow="0" w:firstColumn="0" w:lastColumn="0" w:oddVBand="0" w:evenVBand="1" w:oddHBand="0" w:evenHBand="0" w:firstRowFirstColumn="0" w:firstRowLastColumn="0" w:lastRowFirstColumn="0" w:lastRowLastColumn="0"/>
            <w:tcW w:w="2410" w:type="dxa"/>
            <w:tcBorders>
              <w:bottom w:val="nil"/>
            </w:tcBorders>
            <w:shd w:val="clear" w:color="auto" w:fill="FFFFFF" w:themeFill="background1"/>
          </w:tcPr>
          <w:p w14:paraId="593F0CE7" w14:textId="77777777" w:rsidR="00E10D77" w:rsidRPr="000E4E49" w:rsidRDefault="00E10D77" w:rsidP="0083214A">
            <w:pPr>
              <w:rPr>
                <w:noProof/>
                <w:lang w:val="en-IE"/>
              </w:rPr>
            </w:pPr>
          </w:p>
        </w:tc>
      </w:tr>
    </w:tbl>
    <w:p w14:paraId="1D4E3E89" w14:textId="77777777" w:rsidR="00E10D77" w:rsidRPr="000E4E49" w:rsidRDefault="00E10D77" w:rsidP="00E10D77">
      <w:pPr>
        <w:pStyle w:val="FootnoteText"/>
        <w:rPr>
          <w:rFonts w:eastAsiaTheme="minorEastAsia"/>
          <w:noProof/>
          <w:lang w:val="en-IE"/>
        </w:rPr>
      </w:pPr>
      <w:r w:rsidRPr="000E4E49">
        <w:rPr>
          <w:rFonts w:eastAsiaTheme="minorEastAsia"/>
          <w:noProof/>
          <w:lang w:val="en-IE"/>
        </w:rPr>
        <w:t>(*) Key achievements in the table state which period they relate to. Many come from the implementation of the predecessor programmes under the 2014-2020 multiannual financial framework. This is expected and is due to the multiannual life cycle of EU programmes and the projects they finance where results often follow only after completion of the programmes.</w:t>
      </w:r>
    </w:p>
    <w:p w14:paraId="5DC1BE79" w14:textId="77777777" w:rsidR="00E10D77" w:rsidRPr="000E4E49" w:rsidRDefault="00E10D77" w:rsidP="00E10D77">
      <w:pPr>
        <w:pStyle w:val="ppoHeading5"/>
        <w:rPr>
          <w:noProof/>
          <w:lang w:val="en-IE"/>
        </w:rPr>
      </w:pPr>
      <w:r w:rsidRPr="000E4E49">
        <w:rPr>
          <w:noProof/>
          <w:lang w:val="en-IE"/>
        </w:rPr>
        <w:t>Budget for 2021-2027</w:t>
      </w:r>
    </w:p>
    <w:p w14:paraId="6CB50457" w14:textId="77777777" w:rsidR="00E10D77" w:rsidRPr="000E4E49" w:rsidRDefault="00E10D77" w:rsidP="00E10D77">
      <w:pPr>
        <w:pStyle w:val="ppoTableTabletitle"/>
        <w:ind w:left="284"/>
        <w:rPr>
          <w:noProof/>
          <w:lang w:val="en-IE"/>
        </w:rPr>
      </w:pPr>
      <w:r w:rsidRPr="000E4E49">
        <w:rPr>
          <w:noProof/>
          <w:lang w:val="en-IE"/>
        </w:rPr>
        <w:t>(million EUR)</w:t>
      </w:r>
    </w:p>
    <w:tbl>
      <w:tblPr>
        <w:tblStyle w:val="PlainTable2"/>
        <w:tblW w:w="0" w:type="auto"/>
        <w:tblInd w:w="288" w:type="dxa"/>
        <w:tblLook w:val="04A0" w:firstRow="1" w:lastRow="0" w:firstColumn="1" w:lastColumn="0" w:noHBand="0" w:noVBand="1"/>
      </w:tblPr>
      <w:tblGrid>
        <w:gridCol w:w="4788"/>
        <w:gridCol w:w="2610"/>
      </w:tblGrid>
      <w:tr w:rsidR="00E10D77" w:rsidRPr="000E4E49" w14:paraId="5A644B8D" w14:textId="77777777" w:rsidTr="0083214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77747C62" w14:textId="77777777" w:rsidR="00E10D77" w:rsidRPr="000E4E49" w:rsidRDefault="00E10D77" w:rsidP="0083214A">
            <w:pPr>
              <w:spacing w:before="120" w:after="120"/>
              <w:rPr>
                <w:noProof/>
                <w:lang w:val="en-IE"/>
              </w:rPr>
            </w:pPr>
            <w:r w:rsidRPr="000E4E49">
              <w:rPr>
                <w:rFonts w:cs="Calibri"/>
                <w:noProof/>
                <w:color w:val="000000"/>
                <w:lang w:val="en-IE"/>
              </w:rPr>
              <w:t>Financial programming</w:t>
            </w:r>
          </w:p>
        </w:tc>
        <w:tc>
          <w:tcPr>
            <w:tcW w:w="2610" w:type="dxa"/>
            <w:shd w:val="clear" w:color="auto" w:fill="auto"/>
            <w:vAlign w:val="bottom"/>
          </w:tcPr>
          <w:p w14:paraId="4AD4A254" w14:textId="77777777" w:rsidR="00E10D77" w:rsidRPr="000E4E49" w:rsidRDefault="00E10D77" w:rsidP="0083214A">
            <w:pPr>
              <w:spacing w:before="120" w:after="120"/>
              <w:jc w:val="center"/>
              <w:cnfStyle w:val="100000000000" w:firstRow="1" w:lastRow="0" w:firstColumn="0" w:lastColumn="0" w:oddVBand="0" w:evenVBand="0" w:oddHBand="0" w:evenHBand="0" w:firstRowFirstColumn="0" w:firstRowLastColumn="0" w:lastRowFirstColumn="0" w:lastRowLastColumn="0"/>
              <w:rPr>
                <w:b w:val="0"/>
                <w:noProof/>
                <w:lang w:val="en-IE"/>
              </w:rPr>
            </w:pPr>
            <w:r w:rsidRPr="000E4E49">
              <w:rPr>
                <w:rFonts w:cs="Calibri"/>
                <w:b w:val="0"/>
                <w:noProof/>
                <w:color w:val="000000"/>
                <w:lang w:val="en-IE"/>
              </w:rPr>
              <w:t>552.0</w:t>
            </w:r>
          </w:p>
        </w:tc>
      </w:tr>
      <w:tr w:rsidR="00E10D77" w:rsidRPr="000E4E49" w14:paraId="35FFCA9F"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54B354A9" w14:textId="77777777" w:rsidR="00E10D77" w:rsidRPr="000E4E49" w:rsidRDefault="00E10D77" w:rsidP="0083214A">
            <w:pPr>
              <w:spacing w:before="120" w:after="120"/>
              <w:rPr>
                <w:b w:val="0"/>
                <w:noProof/>
                <w:lang w:val="en-IE"/>
              </w:rPr>
            </w:pPr>
            <w:r w:rsidRPr="000E4E49">
              <w:rPr>
                <w:rFonts w:cs="Calibri"/>
                <w:noProof/>
                <w:color w:val="000000"/>
                <w:lang w:val="en-IE"/>
              </w:rPr>
              <w:t>NextGenerationEU</w:t>
            </w:r>
          </w:p>
        </w:tc>
        <w:tc>
          <w:tcPr>
            <w:tcW w:w="2610" w:type="dxa"/>
            <w:vAlign w:val="bottom"/>
          </w:tcPr>
          <w:p w14:paraId="7EC3BB92" w14:textId="77777777" w:rsidR="00E10D77" w:rsidRPr="000E4E49" w:rsidRDefault="00E10D77"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lang w:val="en-IE"/>
              </w:rPr>
            </w:pPr>
            <w:r w:rsidRPr="000E4E49">
              <w:rPr>
                <w:rFonts w:cs="Calibri"/>
                <w:noProof/>
                <w:color w:val="000000"/>
                <w:lang w:val="en-IE"/>
              </w:rPr>
              <w:t>0</w:t>
            </w:r>
          </w:p>
        </w:tc>
      </w:tr>
      <w:tr w:rsidR="00E10D77" w:rsidRPr="000E4E49" w14:paraId="529B3D9A"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310D15E5" w14:textId="77777777" w:rsidR="00E10D77" w:rsidRPr="000E4E49" w:rsidRDefault="00E10D77" w:rsidP="0083214A">
            <w:pPr>
              <w:spacing w:before="120" w:after="120"/>
              <w:rPr>
                <w:b w:val="0"/>
                <w:noProof/>
                <w:lang w:val="en-IE"/>
              </w:rPr>
            </w:pPr>
            <w:r w:rsidRPr="000E4E49">
              <w:rPr>
                <w:noProof/>
                <w:lang w:val="en-IE"/>
              </w:rPr>
              <w:t>Decommitments made available again</w:t>
            </w:r>
            <w:r w:rsidRPr="000E4E49">
              <w:rPr>
                <w:rFonts w:ascii="Calibri" w:hAnsi="Calibri" w:cs="Calibri"/>
                <w:noProof/>
                <w:lang w:val="en-IE"/>
              </w:rPr>
              <w:t> </w:t>
            </w:r>
            <w:r w:rsidRPr="000E4E49">
              <w:rPr>
                <w:noProof/>
                <w:lang w:val="en-IE"/>
              </w:rPr>
              <w:t>(*)</w:t>
            </w:r>
          </w:p>
        </w:tc>
        <w:tc>
          <w:tcPr>
            <w:tcW w:w="2610" w:type="dxa"/>
            <w:vAlign w:val="bottom"/>
          </w:tcPr>
          <w:p w14:paraId="5E0DCDC1" w14:textId="5198DF80" w:rsidR="00E10D77" w:rsidRPr="000E4E49" w:rsidRDefault="00E10D77" w:rsidP="0083214A">
            <w:pPr>
              <w:spacing w:before="120" w:after="120"/>
              <w:jc w:val="center"/>
              <w:cnfStyle w:val="000000000000" w:firstRow="0" w:lastRow="0" w:firstColumn="0" w:lastColumn="0" w:oddVBand="0" w:evenVBand="0" w:oddHBand="0" w:evenHBand="0" w:firstRowFirstColumn="0" w:firstRowLastColumn="0" w:lastRowFirstColumn="0" w:lastRowLastColumn="0"/>
              <w:rPr>
                <w:noProof/>
                <w:lang w:val="en-IE"/>
              </w:rPr>
            </w:pPr>
            <w:r>
              <w:rPr>
                <w:rFonts w:cs="Calibri"/>
                <w:noProof/>
                <w:color w:val="000000"/>
                <w:lang w:val="en-IE"/>
              </w:rPr>
              <w:t>N/A</w:t>
            </w:r>
          </w:p>
        </w:tc>
      </w:tr>
      <w:tr w:rsidR="00E10D77" w:rsidRPr="000E4E49" w14:paraId="542272B7"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28972AA4" w14:textId="77777777" w:rsidR="00E10D77" w:rsidRPr="000E4E49" w:rsidRDefault="00E10D77" w:rsidP="0083214A">
            <w:pPr>
              <w:spacing w:before="120" w:after="120"/>
              <w:rPr>
                <w:noProof/>
                <w:lang w:val="en-IE"/>
              </w:rPr>
            </w:pPr>
            <w:r w:rsidRPr="000E4E49">
              <w:rPr>
                <w:rFonts w:cs="Calibri"/>
                <w:noProof/>
                <w:color w:val="000000"/>
                <w:lang w:val="en-IE"/>
              </w:rPr>
              <w:t>Contributions from other countries and entities</w:t>
            </w:r>
          </w:p>
        </w:tc>
        <w:tc>
          <w:tcPr>
            <w:tcW w:w="2610" w:type="dxa"/>
            <w:vAlign w:val="bottom"/>
          </w:tcPr>
          <w:p w14:paraId="4A4BAC6B" w14:textId="77777777" w:rsidR="00E10D77" w:rsidRPr="000E4E49" w:rsidRDefault="00E10D77"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lang w:val="en-IE"/>
              </w:rPr>
            </w:pPr>
            <w:r w:rsidRPr="000E4E49">
              <w:rPr>
                <w:rFonts w:cs="Calibri"/>
                <w:noProof/>
                <w:color w:val="000000"/>
                <w:lang w:val="en-IE"/>
              </w:rPr>
              <w:t>0</w:t>
            </w:r>
          </w:p>
        </w:tc>
      </w:tr>
      <w:tr w:rsidR="00E10D77" w:rsidRPr="000E4E49" w14:paraId="5D70EB4B"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2F2F2" w:themeFill="background1" w:themeFillShade="F2"/>
            <w:vAlign w:val="bottom"/>
          </w:tcPr>
          <w:p w14:paraId="4897BB42" w14:textId="77777777" w:rsidR="00E10D77" w:rsidRPr="000E4E49" w:rsidRDefault="00E10D77" w:rsidP="0083214A">
            <w:pPr>
              <w:spacing w:before="120" w:after="120"/>
              <w:rPr>
                <w:noProof/>
                <w:lang w:val="en-IE"/>
              </w:rPr>
            </w:pPr>
            <w:r w:rsidRPr="000E4E49">
              <w:rPr>
                <w:rFonts w:cs="Calibri"/>
                <w:noProof/>
                <w:color w:val="000000"/>
                <w:lang w:val="en-IE"/>
              </w:rPr>
              <w:t>Total budget for 2021-2027</w:t>
            </w:r>
          </w:p>
        </w:tc>
        <w:tc>
          <w:tcPr>
            <w:tcW w:w="2610" w:type="dxa"/>
            <w:shd w:val="clear" w:color="auto" w:fill="F2F2F2" w:themeFill="background1" w:themeFillShade="F2"/>
            <w:vAlign w:val="bottom"/>
          </w:tcPr>
          <w:p w14:paraId="7FF7B893" w14:textId="77777777" w:rsidR="00E10D77" w:rsidRPr="000E4E49" w:rsidRDefault="00E10D77" w:rsidP="0083214A">
            <w:pPr>
              <w:spacing w:before="120" w:after="120"/>
              <w:jc w:val="center"/>
              <w:cnfStyle w:val="000000000000" w:firstRow="0" w:lastRow="0" w:firstColumn="0" w:lastColumn="0" w:oddVBand="0" w:evenVBand="0" w:oddHBand="0" w:evenHBand="0" w:firstRowFirstColumn="0" w:firstRowLastColumn="0" w:lastRowFirstColumn="0" w:lastRowLastColumn="0"/>
              <w:rPr>
                <w:b/>
                <w:noProof/>
                <w:lang w:val="en-IE"/>
              </w:rPr>
            </w:pPr>
            <w:r w:rsidRPr="000E4E49">
              <w:rPr>
                <w:rFonts w:cs="Calibri"/>
                <w:b/>
                <w:noProof/>
                <w:color w:val="000000"/>
                <w:lang w:val="en-IE"/>
              </w:rPr>
              <w:t>552.0</w:t>
            </w:r>
          </w:p>
        </w:tc>
      </w:tr>
    </w:tbl>
    <w:p w14:paraId="4FFF7AE1" w14:textId="77777777" w:rsidR="00E10D77" w:rsidRPr="000E4E49" w:rsidRDefault="00E10D77" w:rsidP="00E10D77">
      <w:pPr>
        <w:tabs>
          <w:tab w:val="left" w:pos="6793"/>
        </w:tabs>
        <w:rPr>
          <w:noProof/>
          <w:sz w:val="18"/>
          <w:szCs w:val="18"/>
          <w:lang w:val="en-IE"/>
        </w:rPr>
      </w:pPr>
      <w:r w:rsidRPr="000E4E49">
        <w:rPr>
          <w:noProof/>
          <w:sz w:val="18"/>
          <w:szCs w:val="18"/>
          <w:lang w:val="en-IE"/>
        </w:rPr>
        <w:t>(*) Only Article</w:t>
      </w:r>
      <w:r w:rsidRPr="000E4E49">
        <w:rPr>
          <w:rFonts w:ascii="Calibri" w:hAnsi="Calibri" w:cs="Calibri"/>
          <w:noProof/>
          <w:sz w:val="18"/>
          <w:szCs w:val="18"/>
          <w:lang w:val="en-IE"/>
        </w:rPr>
        <w:t> </w:t>
      </w:r>
      <w:r w:rsidRPr="000E4E49">
        <w:rPr>
          <w:noProof/>
          <w:sz w:val="18"/>
          <w:szCs w:val="18"/>
          <w:lang w:val="en-IE"/>
        </w:rPr>
        <w:t>15(3) of the financial regulation.</w:t>
      </w:r>
    </w:p>
    <w:p w14:paraId="1719F364" w14:textId="77777777" w:rsidR="00E10D77" w:rsidRPr="000E4E49" w:rsidRDefault="00E10D77" w:rsidP="00E10D77">
      <w:pPr>
        <w:pStyle w:val="ppoHeading5"/>
        <w:rPr>
          <w:noProof/>
          <w:lang w:val="en-IE"/>
        </w:rPr>
      </w:pPr>
      <w:r w:rsidRPr="000E4E49">
        <w:rPr>
          <w:noProof/>
          <w:lang w:val="en-IE"/>
        </w:rPr>
        <w:t>Rationale and design of the programme</w:t>
      </w:r>
    </w:p>
    <w:p w14:paraId="599AFB26" w14:textId="77777777" w:rsidR="00E10D77" w:rsidRPr="000E4E49" w:rsidRDefault="00E10D77" w:rsidP="00E10D77">
      <w:pPr>
        <w:rPr>
          <w:rFonts w:eastAsiaTheme="minorEastAsia"/>
          <w:noProof/>
          <w:lang w:val="en-IE"/>
        </w:rPr>
      </w:pPr>
      <w:r w:rsidRPr="000E4E49">
        <w:rPr>
          <w:rFonts w:eastAsiaTheme="minorEastAsia"/>
          <w:noProof/>
          <w:lang w:val="en-IE"/>
        </w:rPr>
        <w:t xml:space="preserve">The programme supports Lithuania in the decommissioning of the Ignalina nuclear power plant, </w:t>
      </w:r>
      <w:r w:rsidRPr="000E4E49">
        <w:rPr>
          <w:noProof/>
          <w:lang w:val="en-IE"/>
        </w:rPr>
        <w:t>while keeping the highest level of safety.</w:t>
      </w:r>
    </w:p>
    <w:p w14:paraId="29A1C702" w14:textId="77777777" w:rsidR="00E10D77" w:rsidRPr="000E4E49" w:rsidRDefault="00E10D77" w:rsidP="00E10D77">
      <w:pPr>
        <w:pStyle w:val="ppoHeading6"/>
        <w:rPr>
          <w:noProof/>
          <w:lang w:val="en-IE"/>
        </w:rPr>
      </w:pPr>
      <w:r w:rsidRPr="000E4E49">
        <w:rPr>
          <w:noProof/>
          <w:lang w:val="en-IE"/>
        </w:rPr>
        <w:t>Challenge</w:t>
      </w:r>
    </w:p>
    <w:p w14:paraId="3E5C6846" w14:textId="77777777" w:rsidR="00E10D77" w:rsidRPr="000E4E49" w:rsidRDefault="00E10D77" w:rsidP="00E10D77">
      <w:pPr>
        <w:rPr>
          <w:noProof/>
          <w:lang w:val="en-IE"/>
        </w:rPr>
      </w:pPr>
      <w:r w:rsidRPr="000E4E49">
        <w:rPr>
          <w:noProof/>
          <w:lang w:val="en-IE"/>
        </w:rPr>
        <w:t xml:space="preserve">The decommissioning of a nuclear installation such as a power plant or research reactor is the final step in its lifecycle. It involves activities from shutdown and removal of nuclear material to the environmental restoration of the site. The decommissioning of nuclear plants typically takes 20 to 30 years and implicates technical, technological and financial challenges. </w:t>
      </w:r>
    </w:p>
    <w:p w14:paraId="7A192961" w14:textId="77777777" w:rsidR="00E10D77" w:rsidRPr="000E4E49" w:rsidRDefault="00E10D77" w:rsidP="00E10D77">
      <w:pPr>
        <w:rPr>
          <w:noProof/>
          <w:lang w:val="en-IE"/>
        </w:rPr>
      </w:pPr>
      <w:r w:rsidRPr="000E4E49">
        <w:rPr>
          <w:noProof/>
          <w:lang w:val="en-IE"/>
        </w:rPr>
        <w:t xml:space="preserve">In the case of the Ignalina decommissioning programme, the whole process is even more complex: never before has a large power reactor with a graphite core been dismantled. </w:t>
      </w:r>
    </w:p>
    <w:p w14:paraId="32557A48" w14:textId="77777777" w:rsidR="00E10D77" w:rsidRPr="000E4E49" w:rsidRDefault="00E10D77" w:rsidP="00E10D77">
      <w:pPr>
        <w:rPr>
          <w:noProof/>
          <w:lang w:val="en-IE"/>
        </w:rPr>
      </w:pPr>
      <w:r w:rsidRPr="000E4E49">
        <w:rPr>
          <w:noProof/>
          <w:lang w:val="en-IE"/>
        </w:rPr>
        <w:t xml:space="preserve">In the application of its act of accession to the EU, Lithuania anticipated the shutdown of the two nuclear reactors in Ignalina within the agreed deadlines (2004 and 2009). </w:t>
      </w:r>
    </w:p>
    <w:p w14:paraId="1440E25E" w14:textId="77777777" w:rsidR="00E10D77" w:rsidRPr="000E4E49" w:rsidRDefault="00E10D77" w:rsidP="00E10D77">
      <w:pPr>
        <w:rPr>
          <w:noProof/>
          <w:lang w:val="en-IE"/>
        </w:rPr>
      </w:pPr>
      <w:r w:rsidRPr="000E4E49">
        <w:rPr>
          <w:noProof/>
          <w:lang w:val="en-IE"/>
        </w:rPr>
        <w:t xml:space="preserve">The EU committed to provide financial support for the decommissioning, in accordance with approved plans, while keeping the highest level of safety. </w:t>
      </w:r>
    </w:p>
    <w:p w14:paraId="1838EB32" w14:textId="77777777" w:rsidR="00E10D77" w:rsidRPr="000E4E49" w:rsidRDefault="00E10D77" w:rsidP="00E10D77">
      <w:pPr>
        <w:rPr>
          <w:noProof/>
          <w:lang w:val="en-IE"/>
        </w:rPr>
      </w:pPr>
      <w:r w:rsidRPr="000E4E49">
        <w:rPr>
          <w:noProof/>
          <w:lang w:val="en-IE"/>
        </w:rPr>
        <w:t xml:space="preserve">EU funding is justified since nuclear safety in Lithuania is essential for nuclear safety in the region and in the EU as a whole. Action at the EU level also has specific added value because it favours the dissemination of critical knowledge and know-how on the dismantling and decontamination processes. </w:t>
      </w:r>
    </w:p>
    <w:p w14:paraId="5AA395BC" w14:textId="77777777" w:rsidR="00E10D77" w:rsidRPr="000E4E49" w:rsidRDefault="00E10D77" w:rsidP="00E10D77">
      <w:pPr>
        <w:rPr>
          <w:noProof/>
          <w:lang w:val="en-IE"/>
        </w:rPr>
      </w:pPr>
      <w:r w:rsidRPr="000E4E49">
        <w:rPr>
          <w:noProof/>
          <w:lang w:val="en-IE"/>
        </w:rPr>
        <w:t>The programme is on track to accomplish the specific objectives set in Council Regulation (Euratom)</w:t>
      </w:r>
      <w:r w:rsidRPr="000E4E49">
        <w:rPr>
          <w:rFonts w:ascii="Calibri" w:hAnsi="Calibri" w:cs="Calibri"/>
          <w:noProof/>
          <w:lang w:val="en-IE"/>
        </w:rPr>
        <w:t> </w:t>
      </w:r>
      <w:r w:rsidRPr="000E4E49">
        <w:rPr>
          <w:noProof/>
          <w:lang w:val="en-IE"/>
        </w:rPr>
        <w:t>2013/1369 with the funding provided in the 2014</w:t>
      </w:r>
      <w:r w:rsidRPr="000E4E49">
        <w:rPr>
          <w:noProof/>
          <w:lang w:val="en-IE"/>
        </w:rPr>
        <w:noBreakHyphen/>
        <w:t>2020 multiannual financial framework. However, during the starting year of the current framework, the programme did not progress as planned; in spite of a generally satisfactory and steady progress of works on the ground, the preparatory activities of key upcoming projects progressed at a slower rate.</w:t>
      </w:r>
    </w:p>
    <w:p w14:paraId="50B42C75" w14:textId="77777777" w:rsidR="00E10D77" w:rsidRPr="000E4E49" w:rsidRDefault="00E10D77" w:rsidP="00E10D77">
      <w:pPr>
        <w:pStyle w:val="ppoHeading6"/>
        <w:rPr>
          <w:noProof/>
          <w:lang w:val="en-IE"/>
        </w:rPr>
      </w:pPr>
      <w:r w:rsidRPr="000E4E49">
        <w:rPr>
          <w:noProof/>
          <w:lang w:val="en-IE"/>
        </w:rPr>
        <w:t>Mission</w:t>
      </w:r>
    </w:p>
    <w:p w14:paraId="2B1A5235" w14:textId="77777777" w:rsidR="00E10D77" w:rsidRPr="000E4E49" w:rsidRDefault="00E10D77" w:rsidP="00E10D77">
      <w:pPr>
        <w:rPr>
          <w:noProof/>
          <w:lang w:val="en-IE"/>
        </w:rPr>
      </w:pPr>
      <w:r w:rsidRPr="000E4E49">
        <w:rPr>
          <w:noProof/>
          <w:lang w:val="en-IE"/>
        </w:rPr>
        <w:t>The programme’s general objective is to assist Lithuania in implementing the decommissioning of the Ignalina nuclear power plant, with specific emphasis on managing the related safety challenges, , all while gaining knowledge with regard to the nuclear decommissioning process and the management of radioactive waste resulting from the decommissioning activities.</w:t>
      </w:r>
    </w:p>
    <w:p w14:paraId="2BD07C98" w14:textId="77777777" w:rsidR="00E10D77" w:rsidRPr="000E4E49" w:rsidRDefault="00E10D77" w:rsidP="00E10D77">
      <w:pPr>
        <w:pStyle w:val="ppoHeading6"/>
        <w:rPr>
          <w:noProof/>
          <w:lang w:val="en-IE"/>
        </w:rPr>
      </w:pPr>
      <w:r w:rsidRPr="000E4E49">
        <w:rPr>
          <w:noProof/>
          <w:lang w:val="en-IE"/>
        </w:rPr>
        <w:t>Objectives</w:t>
      </w:r>
    </w:p>
    <w:p w14:paraId="784895AD" w14:textId="77777777" w:rsidR="00E10D77" w:rsidRPr="000E4E49" w:rsidRDefault="00E10D77" w:rsidP="00E10D77">
      <w:pPr>
        <w:rPr>
          <w:noProof/>
          <w:lang w:val="en-IE"/>
        </w:rPr>
      </w:pPr>
      <w:r w:rsidRPr="000E4E49">
        <w:rPr>
          <w:noProof/>
          <w:lang w:val="en-IE"/>
        </w:rPr>
        <w:t>The specific objective of the programme is to carry out the dismantling and decontamination of the equipment and reactor shafts of the Ignalina nuclear power plant in accordance with the decommissioning plan</w:t>
      </w:r>
      <w:r w:rsidRPr="000E4E49">
        <w:rPr>
          <w:rFonts w:ascii="Calibri" w:hAnsi="Calibri" w:cs="Calibri"/>
          <w:noProof/>
          <w:lang w:val="en-IE"/>
        </w:rPr>
        <w:t> –</w:t>
      </w:r>
      <w:r w:rsidRPr="000E4E49">
        <w:rPr>
          <w:noProof/>
          <w:lang w:val="en-IE"/>
        </w:rPr>
        <w:t xml:space="preserve"> including the management of radioactive waste resulting from the decommissioning activities</w:t>
      </w:r>
      <w:r w:rsidRPr="000E4E49">
        <w:rPr>
          <w:rFonts w:ascii="Calibri" w:hAnsi="Calibri" w:cs="Calibri"/>
          <w:noProof/>
          <w:lang w:val="en-IE"/>
        </w:rPr>
        <w:t> –</w:t>
      </w:r>
      <w:r w:rsidRPr="000E4E49">
        <w:rPr>
          <w:noProof/>
          <w:lang w:val="en-IE"/>
        </w:rPr>
        <w:t xml:space="preserve"> and to continue with the safe management of the decommissioning and legacy waste.</w:t>
      </w:r>
    </w:p>
    <w:p w14:paraId="13A31279" w14:textId="77777777" w:rsidR="00E10D77" w:rsidRPr="000E4E49" w:rsidRDefault="00E10D77" w:rsidP="00E10D77">
      <w:pPr>
        <w:rPr>
          <w:noProof/>
          <w:lang w:val="en-IE"/>
        </w:rPr>
      </w:pPr>
      <w:r w:rsidRPr="000E4E49">
        <w:rPr>
          <w:noProof/>
          <w:lang w:val="en-IE"/>
        </w:rPr>
        <w:t xml:space="preserve">The programme will assist with activities included in the decommissioning plan submitted by Lithuania, in particular with: </w:t>
      </w:r>
    </w:p>
    <w:p w14:paraId="720872E9" w14:textId="77777777" w:rsidR="00E10D77" w:rsidRPr="000E4E49" w:rsidRDefault="00E10D77" w:rsidP="006F409B">
      <w:pPr>
        <w:pStyle w:val="ppoListArabic1aiii-L1"/>
        <w:numPr>
          <w:ilvl w:val="0"/>
          <w:numId w:val="120"/>
        </w:numPr>
        <w:rPr>
          <w:noProof/>
          <w:lang w:val="en-IE"/>
        </w:rPr>
      </w:pPr>
      <w:r w:rsidRPr="000E4E49">
        <w:rPr>
          <w:noProof/>
          <w:lang w:val="en-IE"/>
        </w:rPr>
        <w:t xml:space="preserve">dismantling and decontamination of the reactor shafts’ top and bottom zones and equipment in accordance with the decommissioning plan; </w:t>
      </w:r>
    </w:p>
    <w:p w14:paraId="492D555F" w14:textId="77777777" w:rsidR="00E10D77" w:rsidRPr="000E4E49" w:rsidRDefault="00E10D77" w:rsidP="006F409B">
      <w:pPr>
        <w:pStyle w:val="ppoListArabic1aiii-L1"/>
        <w:numPr>
          <w:ilvl w:val="0"/>
          <w:numId w:val="120"/>
        </w:numPr>
        <w:rPr>
          <w:noProof/>
          <w:lang w:val="en-IE"/>
        </w:rPr>
      </w:pPr>
      <w:r w:rsidRPr="000E4E49">
        <w:rPr>
          <w:noProof/>
          <w:lang w:val="en-IE"/>
        </w:rPr>
        <w:t xml:space="preserve">the design for the dismantling and decontamination of the reactor shafts’ central zones (graphite cores). This objective is to be accomplished before 2027, when the relevant authorisations will be granted to carry out the actual dismantling and decontamination, which is scheduled to occur after 2027; </w:t>
      </w:r>
    </w:p>
    <w:p w14:paraId="6B30F9BF" w14:textId="77777777" w:rsidR="00E10D77" w:rsidRPr="000E4E49" w:rsidRDefault="00E10D77" w:rsidP="006F409B">
      <w:pPr>
        <w:pStyle w:val="ppoListArabic1aiii-L1"/>
        <w:numPr>
          <w:ilvl w:val="0"/>
          <w:numId w:val="120"/>
        </w:numPr>
        <w:rPr>
          <w:noProof/>
          <w:lang w:val="en-IE"/>
        </w:rPr>
      </w:pPr>
      <w:r w:rsidRPr="000E4E49">
        <w:rPr>
          <w:noProof/>
          <w:lang w:val="en-IE"/>
        </w:rPr>
        <w:t xml:space="preserve">safe management of the decommissioning and legacy waste up to interim storage or to disposal (depending on the waste category), including the completion of the waste management infrastructure where necessary; </w:t>
      </w:r>
    </w:p>
    <w:p w14:paraId="50EA053A" w14:textId="77777777" w:rsidR="00E10D77" w:rsidRPr="000E4E49" w:rsidRDefault="00E10D77" w:rsidP="006F409B">
      <w:pPr>
        <w:pStyle w:val="ppoListArabic1aiii-L1"/>
        <w:numPr>
          <w:ilvl w:val="0"/>
          <w:numId w:val="120"/>
        </w:numPr>
        <w:rPr>
          <w:noProof/>
          <w:lang w:val="en-IE"/>
        </w:rPr>
      </w:pPr>
      <w:r w:rsidRPr="000E4E49">
        <w:rPr>
          <w:noProof/>
          <w:lang w:val="en-IE"/>
        </w:rPr>
        <w:t xml:space="preserve">implementation of the building demolition programme; </w:t>
      </w:r>
    </w:p>
    <w:p w14:paraId="3CD77131" w14:textId="77777777" w:rsidR="00E10D77" w:rsidRPr="000E4E49" w:rsidRDefault="00E10D77" w:rsidP="006F409B">
      <w:pPr>
        <w:pStyle w:val="ppoListArabic1aiii-L1"/>
        <w:numPr>
          <w:ilvl w:val="0"/>
          <w:numId w:val="120"/>
        </w:numPr>
        <w:rPr>
          <w:noProof/>
          <w:lang w:val="en-IE"/>
        </w:rPr>
      </w:pPr>
      <w:r w:rsidRPr="000E4E49">
        <w:rPr>
          <w:noProof/>
          <w:lang w:val="en-IE"/>
        </w:rPr>
        <w:t>obtaining the decommissioning licence once unit</w:t>
      </w:r>
      <w:r w:rsidRPr="000E4E49">
        <w:rPr>
          <w:rFonts w:ascii="Calibri" w:hAnsi="Calibri" w:cs="Calibri"/>
          <w:noProof/>
          <w:lang w:val="en-IE"/>
        </w:rPr>
        <w:t> </w:t>
      </w:r>
      <w:r w:rsidRPr="000E4E49">
        <w:rPr>
          <w:noProof/>
          <w:lang w:val="en-IE"/>
        </w:rPr>
        <w:t>1 and unit</w:t>
      </w:r>
      <w:r w:rsidRPr="000E4E49">
        <w:rPr>
          <w:rFonts w:ascii="Calibri" w:hAnsi="Calibri" w:cs="Calibri"/>
          <w:noProof/>
          <w:lang w:val="en-IE"/>
        </w:rPr>
        <w:t> </w:t>
      </w:r>
      <w:r w:rsidRPr="000E4E49">
        <w:rPr>
          <w:noProof/>
          <w:lang w:val="en-IE"/>
        </w:rPr>
        <w:t xml:space="preserve">2 of the Ignalina nuclear power plant are defueled; </w:t>
      </w:r>
    </w:p>
    <w:p w14:paraId="301E2697" w14:textId="77777777" w:rsidR="00E10D77" w:rsidRPr="000E4E49" w:rsidRDefault="00E10D77" w:rsidP="006F409B">
      <w:pPr>
        <w:pStyle w:val="ppoListArabic1aiii-L1"/>
        <w:numPr>
          <w:ilvl w:val="0"/>
          <w:numId w:val="120"/>
        </w:numPr>
        <w:rPr>
          <w:noProof/>
          <w:lang w:val="en-IE"/>
        </w:rPr>
      </w:pPr>
      <w:r w:rsidRPr="000E4E49">
        <w:rPr>
          <w:noProof/>
          <w:lang w:val="en-IE"/>
        </w:rPr>
        <w:t xml:space="preserve">downgrading of radiological hazards. </w:t>
      </w:r>
    </w:p>
    <w:p w14:paraId="0FBB34C4" w14:textId="77777777" w:rsidR="00E10D77" w:rsidRPr="000E4E49" w:rsidRDefault="00E10D77" w:rsidP="00E10D77">
      <w:pPr>
        <w:rPr>
          <w:noProof/>
          <w:lang w:val="en-IE"/>
        </w:rPr>
      </w:pPr>
      <w:r w:rsidRPr="000E4E49">
        <w:rPr>
          <w:noProof/>
          <w:lang w:val="en-IE"/>
        </w:rPr>
        <w:t>Furthermore, the knowledge and experience gained and the lessons learnt under the programme with regard to the decommissioning process shall be disseminated among EU stakeholders, thus enhancing the EU added value of the programme.</w:t>
      </w:r>
    </w:p>
    <w:p w14:paraId="1BE408BD" w14:textId="77777777" w:rsidR="00E10D77" w:rsidRPr="000E4E49" w:rsidRDefault="00E10D77" w:rsidP="00E10D77">
      <w:pPr>
        <w:pStyle w:val="ppoHeading6"/>
        <w:rPr>
          <w:noProof/>
          <w:lang w:val="en-IE"/>
        </w:rPr>
      </w:pPr>
      <w:r w:rsidRPr="000E4E49">
        <w:rPr>
          <w:noProof/>
          <w:lang w:val="en-IE"/>
        </w:rPr>
        <w:t>Actions</w:t>
      </w:r>
    </w:p>
    <w:p w14:paraId="163003B8" w14:textId="77777777" w:rsidR="00E10D77" w:rsidRPr="000E4E49" w:rsidRDefault="00E10D77" w:rsidP="00E10D77">
      <w:pPr>
        <w:rPr>
          <w:noProof/>
          <w:lang w:val="en-IE"/>
        </w:rPr>
      </w:pPr>
      <w:r w:rsidRPr="000E4E49">
        <w:rPr>
          <w:noProof/>
          <w:lang w:val="en-IE"/>
        </w:rPr>
        <w:t>The actions to be funded by the Ignalina programme are within the scope of the decommissioning plan presented to the Commission. The actions focus on activities related to the delivery of the general and specific objectives and with the highest EU added value, namely the removal of radiological hazards and the creation and dissemination of relevant knowledge. When preparing the multiannual work programme, the Commission, in close cooperation with Lithuania, will consider distributing the available funds as per the priorities identified in the legal basis.</w:t>
      </w:r>
    </w:p>
    <w:p w14:paraId="4B0B6124" w14:textId="77777777" w:rsidR="00E10D77" w:rsidRPr="000E4E49" w:rsidRDefault="00E10D77" w:rsidP="00E10D77">
      <w:pPr>
        <w:pStyle w:val="ppoHeading6"/>
        <w:rPr>
          <w:noProof/>
          <w:lang w:val="en-IE"/>
        </w:rPr>
      </w:pPr>
      <w:r w:rsidRPr="00143C1A">
        <w:rPr>
          <w:noProof/>
        </w:rPr>
        <w:t>Delivery mode</w:t>
      </w:r>
    </w:p>
    <w:p w14:paraId="0E9A7DDE" w14:textId="0C8C81B9" w:rsidR="00E10D77" w:rsidRPr="000E4E49" w:rsidRDefault="00E10D77" w:rsidP="00E10D77">
      <w:pPr>
        <w:rPr>
          <w:noProof/>
          <w:lang w:val="en-IE"/>
        </w:rPr>
      </w:pPr>
      <w:r w:rsidRPr="000E4E49">
        <w:rPr>
          <w:noProof/>
          <w:lang w:val="en-IE"/>
        </w:rPr>
        <w:t xml:space="preserve">The programme is implemented </w:t>
      </w:r>
      <w:r w:rsidR="00E96180">
        <w:rPr>
          <w:noProof/>
          <w:lang w:val="en-IE"/>
        </w:rPr>
        <w:t>under</w:t>
      </w:r>
      <w:r w:rsidR="00E96180" w:rsidRPr="000E4E49">
        <w:rPr>
          <w:noProof/>
          <w:lang w:val="en-IE"/>
        </w:rPr>
        <w:t xml:space="preserve"> </w:t>
      </w:r>
      <w:r w:rsidR="00072D04">
        <w:rPr>
          <w:noProof/>
          <w:lang w:val="en-IE"/>
        </w:rPr>
        <w:t>in</w:t>
      </w:r>
      <w:r w:rsidRPr="000E4E49">
        <w:rPr>
          <w:noProof/>
          <w:lang w:val="en-IE"/>
        </w:rPr>
        <w:t xml:space="preserve">direct management, entrusted to the European Bank for Reconstruction and Development and </w:t>
      </w:r>
      <w:bookmarkStart w:id="217" w:name="_Hlk101356073"/>
      <w:r w:rsidRPr="000E4E49">
        <w:rPr>
          <w:noProof/>
          <w:lang w:val="en-IE"/>
        </w:rPr>
        <w:t xml:space="preserve">the </w:t>
      </w:r>
      <w:r w:rsidR="00E96180">
        <w:rPr>
          <w:noProof/>
          <w:lang w:val="en-IE"/>
        </w:rPr>
        <w:t>Central Project Management Agency (CPMA), a n</w:t>
      </w:r>
      <w:r w:rsidRPr="000E4E49">
        <w:rPr>
          <w:noProof/>
          <w:lang w:val="en-IE"/>
        </w:rPr>
        <w:t xml:space="preserve">ational </w:t>
      </w:r>
      <w:r w:rsidR="00E96180">
        <w:rPr>
          <w:noProof/>
          <w:lang w:val="en-IE"/>
        </w:rPr>
        <w:t>a</w:t>
      </w:r>
      <w:r w:rsidRPr="000E4E49">
        <w:rPr>
          <w:noProof/>
          <w:lang w:val="en-IE"/>
        </w:rPr>
        <w:t xml:space="preserve">gency </w:t>
      </w:r>
      <w:r w:rsidR="00E96180">
        <w:rPr>
          <w:noProof/>
          <w:lang w:val="en-IE"/>
        </w:rPr>
        <w:t>in charge of</w:t>
      </w:r>
      <w:r w:rsidR="00E96180" w:rsidRPr="000E4E49">
        <w:rPr>
          <w:noProof/>
          <w:lang w:val="en-IE"/>
        </w:rPr>
        <w:t xml:space="preserve"> </w:t>
      </w:r>
      <w:r w:rsidRPr="000E4E49">
        <w:rPr>
          <w:noProof/>
          <w:lang w:val="en-IE"/>
        </w:rPr>
        <w:t xml:space="preserve">the </w:t>
      </w:r>
      <w:r w:rsidR="00E96180">
        <w:rPr>
          <w:noProof/>
          <w:lang w:val="en-IE"/>
        </w:rPr>
        <w:t>i</w:t>
      </w:r>
      <w:r w:rsidRPr="000E4E49">
        <w:rPr>
          <w:noProof/>
          <w:lang w:val="en-IE"/>
        </w:rPr>
        <w:t xml:space="preserve">mplementation of </w:t>
      </w:r>
      <w:r w:rsidR="00E96180">
        <w:rPr>
          <w:noProof/>
          <w:lang w:val="en-IE"/>
        </w:rPr>
        <w:t>d</w:t>
      </w:r>
      <w:r w:rsidRPr="000E4E49">
        <w:rPr>
          <w:noProof/>
          <w:lang w:val="en-IE"/>
        </w:rPr>
        <w:t>ecommissioning</w:t>
      </w:r>
      <w:r w:rsidRPr="000E4E49">
        <w:rPr>
          <w:rFonts w:ascii="Calibri" w:hAnsi="Calibri" w:cs="Calibri"/>
          <w:noProof/>
          <w:lang w:val="en-IE"/>
        </w:rPr>
        <w:t xml:space="preserve"> </w:t>
      </w:r>
      <w:r w:rsidRPr="000E4E49">
        <w:rPr>
          <w:noProof/>
          <w:lang w:val="en-IE"/>
        </w:rPr>
        <w:t xml:space="preserve">of Ignalina </w:t>
      </w:r>
      <w:r w:rsidR="00E96180">
        <w:rPr>
          <w:noProof/>
          <w:lang w:val="en-IE"/>
        </w:rPr>
        <w:t>n</w:t>
      </w:r>
      <w:r w:rsidRPr="000E4E49">
        <w:rPr>
          <w:noProof/>
          <w:lang w:val="en-IE"/>
        </w:rPr>
        <w:t xml:space="preserve">uclear </w:t>
      </w:r>
      <w:r w:rsidR="00E96180">
        <w:rPr>
          <w:noProof/>
          <w:lang w:val="en-IE"/>
        </w:rPr>
        <w:t>p</w:t>
      </w:r>
      <w:r w:rsidRPr="000E4E49">
        <w:rPr>
          <w:noProof/>
          <w:lang w:val="en-IE"/>
        </w:rPr>
        <w:t xml:space="preserve">ower </w:t>
      </w:r>
      <w:r w:rsidR="00E96180">
        <w:rPr>
          <w:noProof/>
          <w:lang w:val="en-IE"/>
        </w:rPr>
        <w:t>p</w:t>
      </w:r>
      <w:r w:rsidRPr="000E4E49">
        <w:rPr>
          <w:noProof/>
          <w:lang w:val="en-IE"/>
        </w:rPr>
        <w:t xml:space="preserve">lant </w:t>
      </w:r>
      <w:r w:rsidR="00E96180">
        <w:rPr>
          <w:noProof/>
          <w:lang w:val="en-IE"/>
        </w:rPr>
        <w:t xml:space="preserve">in </w:t>
      </w:r>
      <w:r w:rsidRPr="000E4E49">
        <w:rPr>
          <w:noProof/>
          <w:lang w:val="en-IE"/>
        </w:rPr>
        <w:t>Lithuania.</w:t>
      </w:r>
      <w:bookmarkEnd w:id="217"/>
    </w:p>
    <w:p w14:paraId="57DB74AE" w14:textId="77777777" w:rsidR="00E10D77" w:rsidRPr="000E4E49" w:rsidRDefault="00E10D77" w:rsidP="00E10D77">
      <w:pPr>
        <w:pStyle w:val="ppoHeading6"/>
        <w:rPr>
          <w:noProof/>
          <w:lang w:val="en-IE"/>
        </w:rPr>
      </w:pPr>
      <w:r w:rsidRPr="000E4E49">
        <w:rPr>
          <w:noProof/>
          <w:lang w:val="en-IE"/>
        </w:rPr>
        <w:t>LINK TO THE 2014-2020 MULTIANNUAL FINANCIAL FRAMEWORK</w:t>
      </w:r>
    </w:p>
    <w:p w14:paraId="1918188C" w14:textId="77777777" w:rsidR="00E10D77" w:rsidRPr="000E4E49" w:rsidRDefault="00E10D77" w:rsidP="00E10D77">
      <w:pPr>
        <w:rPr>
          <w:noProof/>
          <w:lang w:val="en-IE"/>
        </w:rPr>
      </w:pPr>
      <w:r w:rsidRPr="000E4E49">
        <w:rPr>
          <w:noProof/>
          <w:lang w:val="en-IE"/>
        </w:rPr>
        <w:t>The decommissioning of the Ignalina nuclear power plant has received EU support since 2001 under various instruments. The EU assistance in the 2021-2027 multiannual financial framework is the continuation of the long-term programme</w:t>
      </w:r>
      <w:r w:rsidRPr="000E4E49">
        <w:rPr>
          <w:rFonts w:ascii="Calibri" w:hAnsi="Calibri" w:cs="Calibri"/>
          <w:noProof/>
          <w:lang w:val="en-IE"/>
        </w:rPr>
        <w:t> –</w:t>
      </w:r>
      <w:r w:rsidRPr="000E4E49">
        <w:rPr>
          <w:noProof/>
          <w:lang w:val="en-IE"/>
        </w:rPr>
        <w:t xml:space="preserve"> which is scheduled to extend until 2038</w:t>
      </w:r>
      <w:r w:rsidRPr="000E4E49">
        <w:rPr>
          <w:rFonts w:ascii="Calibri" w:hAnsi="Calibri" w:cs="Calibri"/>
          <w:noProof/>
          <w:lang w:val="en-IE"/>
        </w:rPr>
        <w:t> –</w:t>
      </w:r>
      <w:r w:rsidRPr="000E4E49">
        <w:rPr>
          <w:noProof/>
          <w:lang w:val="en-IE"/>
        </w:rPr>
        <w:t xml:space="preserve"> with the additional objective to disseminate knowledge on the decommissioning process to all Member States. The activities funded in the 2021-2027 period will be subject to a maximum EU co-financing rate of 86%. This rate was not explicitly set previously.</w:t>
      </w:r>
    </w:p>
    <w:p w14:paraId="4C726476" w14:textId="77777777" w:rsidR="00E10D77" w:rsidRPr="000E4E49" w:rsidRDefault="00E10D77" w:rsidP="00E10D77">
      <w:pPr>
        <w:pStyle w:val="ppoHeading6"/>
        <w:rPr>
          <w:noProof/>
          <w:lang w:val="en-IE"/>
        </w:rPr>
      </w:pPr>
      <w:r w:rsidRPr="000E4E49">
        <w:rPr>
          <w:noProof/>
          <w:lang w:val="en-IE"/>
        </w:rPr>
        <w:t>Impact assessment</w:t>
      </w:r>
    </w:p>
    <w:p w14:paraId="5B84E625" w14:textId="77777777" w:rsidR="00E10D77" w:rsidRPr="000E4E49" w:rsidRDefault="00E10D77" w:rsidP="00E10D77">
      <w:pPr>
        <w:rPr>
          <w:noProof/>
          <w:lang w:val="en-IE"/>
        </w:rPr>
      </w:pPr>
      <w:r w:rsidRPr="000E4E49">
        <w:rPr>
          <w:noProof/>
          <w:lang w:val="en-IE"/>
        </w:rPr>
        <w:t xml:space="preserve">The impact assessment of the Nuclear Decommissioning Assistance Programme was carried out in 2018. </w:t>
      </w:r>
    </w:p>
    <w:p w14:paraId="147E0D22" w14:textId="77777777" w:rsidR="00E10D77" w:rsidRPr="000E4E49" w:rsidRDefault="00E10D77" w:rsidP="00E10D77">
      <w:pPr>
        <w:rPr>
          <w:noProof/>
          <w:lang w:val="en-IE"/>
        </w:rPr>
      </w:pPr>
      <w:r w:rsidRPr="000E4E49">
        <w:rPr>
          <w:noProof/>
          <w:lang w:val="en-IE"/>
        </w:rPr>
        <w:t xml:space="preserve">For further information please consult: </w:t>
      </w:r>
      <w:hyperlink r:id="rId483" w:history="1">
        <w:r w:rsidRPr="000E4E49">
          <w:rPr>
            <w:rStyle w:val="Hyperlink"/>
            <w:noProof/>
            <w:lang w:val="en-IE"/>
          </w:rPr>
          <w:t>https://europa.eu/!jv63Rb</w:t>
        </w:r>
      </w:hyperlink>
    </w:p>
    <w:p w14:paraId="42CA9636" w14:textId="77777777" w:rsidR="00E10D77" w:rsidRPr="000E4E49" w:rsidRDefault="00E10D77" w:rsidP="00E10D77">
      <w:pPr>
        <w:pStyle w:val="ppoHeading6"/>
        <w:rPr>
          <w:noProof/>
          <w:lang w:val="en-IE"/>
        </w:rPr>
      </w:pPr>
      <w:r w:rsidRPr="000E4E49">
        <w:rPr>
          <w:noProof/>
          <w:lang w:val="en-IE"/>
        </w:rPr>
        <w:t>WEBSITE FOR more information</w:t>
      </w:r>
    </w:p>
    <w:p w14:paraId="70F16CAE" w14:textId="77777777" w:rsidR="00E10D77" w:rsidRPr="000E4E49" w:rsidRDefault="00E01E9B" w:rsidP="00E10D77">
      <w:pPr>
        <w:rPr>
          <w:noProof/>
          <w:lang w:val="en-IE"/>
        </w:rPr>
      </w:pPr>
      <w:hyperlink r:id="rId484" w:history="1">
        <w:r w:rsidR="00E10D77" w:rsidRPr="000E4E49">
          <w:rPr>
            <w:rStyle w:val="Hyperlink"/>
            <w:noProof/>
            <w:lang w:val="en-IE"/>
          </w:rPr>
          <w:t>https://europa.eu/!bC66CU</w:t>
        </w:r>
      </w:hyperlink>
    </w:p>
    <w:p w14:paraId="78E351F5" w14:textId="77777777" w:rsidR="00E10D77" w:rsidRPr="000E4E49" w:rsidRDefault="00E10D77" w:rsidP="00E10D77">
      <w:pPr>
        <w:pStyle w:val="ppoHeading5"/>
        <w:rPr>
          <w:noProof/>
          <w:lang w:val="en-IE"/>
        </w:rPr>
      </w:pPr>
      <w:r w:rsidRPr="000E4E49">
        <w:rPr>
          <w:rFonts w:eastAsiaTheme="minorEastAsia"/>
          <w:noProof/>
          <w:lang w:val="en-IE"/>
        </w:rPr>
        <w:t>Legal basis</w:t>
      </w:r>
    </w:p>
    <w:p w14:paraId="43CC22DC" w14:textId="77777777" w:rsidR="00E10D77" w:rsidRPr="000E4E49" w:rsidRDefault="00E10D77" w:rsidP="00E10D77">
      <w:pPr>
        <w:rPr>
          <w:noProof/>
          <w:lang w:val="en-IE"/>
        </w:rPr>
      </w:pPr>
      <w:r w:rsidRPr="000E4E49">
        <w:rPr>
          <w:noProof/>
          <w:lang w:val="en-IE"/>
        </w:rPr>
        <w:t>Council Regulation (EU)</w:t>
      </w:r>
      <w:r w:rsidRPr="000E4E49">
        <w:rPr>
          <w:rFonts w:ascii="Calibri" w:hAnsi="Calibri" w:cs="Calibri"/>
          <w:noProof/>
          <w:lang w:val="en-IE"/>
        </w:rPr>
        <w:t> </w:t>
      </w:r>
      <w:r w:rsidRPr="000E4E49">
        <w:rPr>
          <w:noProof/>
          <w:lang w:val="en-IE"/>
        </w:rPr>
        <w:t>2021/101.</w:t>
      </w:r>
    </w:p>
    <w:p w14:paraId="09621955" w14:textId="77777777" w:rsidR="00E10D77" w:rsidRPr="000E4E49" w:rsidRDefault="00E10D77" w:rsidP="00E10D77">
      <w:pPr>
        <w:pStyle w:val="ppoHeading4Blue"/>
        <w:rPr>
          <w:caps/>
          <w:noProof/>
          <w:lang w:val="en-IE"/>
        </w:rPr>
      </w:pPr>
      <w:r w:rsidRPr="000E4E49">
        <w:rPr>
          <w:noProof/>
          <w:lang w:val="en-IE"/>
        </w:rPr>
        <w:t xml:space="preserve">Implementation and performance </w:t>
      </w:r>
    </w:p>
    <w:p w14:paraId="13728954" w14:textId="77777777" w:rsidR="00E10D77" w:rsidRPr="000E4E49" w:rsidRDefault="00E10D77" w:rsidP="00E10D77">
      <w:pPr>
        <w:pStyle w:val="ppoHeading5"/>
        <w:rPr>
          <w:noProof/>
          <w:lang w:val="en-IE"/>
        </w:rPr>
      </w:pPr>
      <w:r w:rsidRPr="000E4E49">
        <w:rPr>
          <w:noProof/>
          <w:lang w:val="en-IE"/>
        </w:rPr>
        <w:t>Budget implementation</w:t>
      </w:r>
    </w:p>
    <w:p w14:paraId="2C0B1EE1" w14:textId="77777777" w:rsidR="00E10D77" w:rsidRPr="000E4E49" w:rsidRDefault="00E10D77" w:rsidP="00E10D77">
      <w:pPr>
        <w:pStyle w:val="ppoTableTabletitle"/>
        <w:rPr>
          <w:noProof/>
          <w:lang w:val="en-IE"/>
        </w:rPr>
      </w:pPr>
      <w:r w:rsidRPr="000E4E49">
        <w:rPr>
          <w:noProof/>
          <w:lang w:val="en-IE"/>
        </w:rPr>
        <w:t>Budget programming (million 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E10D77" w:rsidRPr="000E4E49" w14:paraId="5BBD4051" w14:textId="77777777" w:rsidTr="0083214A">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41AC5C87" w14:textId="77777777" w:rsidR="00E10D77" w:rsidRPr="000E4E49" w:rsidRDefault="00E10D77" w:rsidP="0083214A">
            <w:pPr>
              <w:rPr>
                <w:noProof/>
                <w:lang w:val="en-IE"/>
              </w:rPr>
            </w:pPr>
          </w:p>
        </w:tc>
        <w:tc>
          <w:tcPr>
            <w:tcW w:w="943" w:type="dxa"/>
            <w:noWrap/>
            <w:hideMark/>
          </w:tcPr>
          <w:p w14:paraId="0C668921" w14:textId="77777777" w:rsidR="00E10D77" w:rsidRPr="000E4E49" w:rsidRDefault="00E10D77" w:rsidP="0083214A">
            <w:pPr>
              <w:rPr>
                <w:noProof/>
                <w:lang w:val="en-IE"/>
              </w:rPr>
            </w:pPr>
            <w:r w:rsidRPr="000E4E49">
              <w:rPr>
                <w:noProof/>
                <w:lang w:val="en-IE"/>
              </w:rPr>
              <w:t>2021</w:t>
            </w:r>
          </w:p>
        </w:tc>
        <w:tc>
          <w:tcPr>
            <w:tcW w:w="944" w:type="dxa"/>
            <w:noWrap/>
            <w:hideMark/>
          </w:tcPr>
          <w:p w14:paraId="54A7618C" w14:textId="77777777" w:rsidR="00E10D77" w:rsidRPr="000E4E49" w:rsidRDefault="00E10D77" w:rsidP="0083214A">
            <w:pPr>
              <w:rPr>
                <w:noProof/>
                <w:lang w:val="en-IE"/>
              </w:rPr>
            </w:pPr>
            <w:r w:rsidRPr="000E4E49">
              <w:rPr>
                <w:noProof/>
                <w:lang w:val="en-IE"/>
              </w:rPr>
              <w:t>2022</w:t>
            </w:r>
          </w:p>
        </w:tc>
        <w:tc>
          <w:tcPr>
            <w:tcW w:w="943" w:type="dxa"/>
            <w:noWrap/>
            <w:hideMark/>
          </w:tcPr>
          <w:p w14:paraId="3456184B" w14:textId="77777777" w:rsidR="00E10D77" w:rsidRPr="000E4E49" w:rsidRDefault="00E10D77" w:rsidP="0083214A">
            <w:pPr>
              <w:rPr>
                <w:noProof/>
                <w:lang w:val="en-IE"/>
              </w:rPr>
            </w:pPr>
            <w:r w:rsidRPr="000E4E49">
              <w:rPr>
                <w:noProof/>
                <w:lang w:val="en-IE"/>
              </w:rPr>
              <w:t>2023</w:t>
            </w:r>
          </w:p>
        </w:tc>
        <w:tc>
          <w:tcPr>
            <w:tcW w:w="944" w:type="dxa"/>
            <w:noWrap/>
            <w:hideMark/>
          </w:tcPr>
          <w:p w14:paraId="65EEC651" w14:textId="77777777" w:rsidR="00E10D77" w:rsidRPr="000E4E49" w:rsidRDefault="00E10D77" w:rsidP="0083214A">
            <w:pPr>
              <w:rPr>
                <w:noProof/>
                <w:lang w:val="en-IE"/>
              </w:rPr>
            </w:pPr>
            <w:r w:rsidRPr="000E4E49">
              <w:rPr>
                <w:noProof/>
                <w:lang w:val="en-IE"/>
              </w:rPr>
              <w:t>2024</w:t>
            </w:r>
          </w:p>
        </w:tc>
        <w:tc>
          <w:tcPr>
            <w:tcW w:w="944" w:type="dxa"/>
            <w:noWrap/>
            <w:hideMark/>
          </w:tcPr>
          <w:p w14:paraId="143AFFCC" w14:textId="77777777" w:rsidR="00E10D77" w:rsidRPr="000E4E49" w:rsidRDefault="00E10D77" w:rsidP="0083214A">
            <w:pPr>
              <w:rPr>
                <w:noProof/>
                <w:lang w:val="en-IE"/>
              </w:rPr>
            </w:pPr>
            <w:r w:rsidRPr="000E4E49">
              <w:rPr>
                <w:noProof/>
                <w:lang w:val="en-IE"/>
              </w:rPr>
              <w:t>2025</w:t>
            </w:r>
          </w:p>
        </w:tc>
        <w:tc>
          <w:tcPr>
            <w:tcW w:w="943" w:type="dxa"/>
            <w:noWrap/>
            <w:hideMark/>
          </w:tcPr>
          <w:p w14:paraId="3673FDF1" w14:textId="77777777" w:rsidR="00E10D77" w:rsidRPr="000E4E49" w:rsidRDefault="00E10D77" w:rsidP="0083214A">
            <w:pPr>
              <w:rPr>
                <w:noProof/>
                <w:lang w:val="en-IE"/>
              </w:rPr>
            </w:pPr>
            <w:r w:rsidRPr="000E4E49">
              <w:rPr>
                <w:noProof/>
                <w:lang w:val="en-IE"/>
              </w:rPr>
              <w:t>2026</w:t>
            </w:r>
          </w:p>
        </w:tc>
        <w:tc>
          <w:tcPr>
            <w:tcW w:w="944" w:type="dxa"/>
            <w:noWrap/>
            <w:hideMark/>
          </w:tcPr>
          <w:p w14:paraId="1AE1CF4F" w14:textId="77777777" w:rsidR="00E10D77" w:rsidRPr="000E4E49" w:rsidRDefault="00E10D77" w:rsidP="0083214A">
            <w:pPr>
              <w:rPr>
                <w:noProof/>
                <w:lang w:val="en-IE"/>
              </w:rPr>
            </w:pPr>
            <w:r w:rsidRPr="000E4E49">
              <w:rPr>
                <w:noProof/>
                <w:lang w:val="en-IE"/>
              </w:rPr>
              <w:t>2027</w:t>
            </w:r>
          </w:p>
        </w:tc>
        <w:tc>
          <w:tcPr>
            <w:tcW w:w="944" w:type="dxa"/>
            <w:noWrap/>
            <w:hideMark/>
          </w:tcPr>
          <w:p w14:paraId="63DACB7C" w14:textId="77777777" w:rsidR="00E10D77" w:rsidRPr="000E4E49" w:rsidRDefault="00E10D77" w:rsidP="0083214A">
            <w:pPr>
              <w:rPr>
                <w:noProof/>
                <w:lang w:val="en-IE"/>
              </w:rPr>
            </w:pPr>
            <w:r w:rsidRPr="000E4E49">
              <w:rPr>
                <w:noProof/>
                <w:lang w:val="en-IE"/>
              </w:rPr>
              <w:t>Total</w:t>
            </w:r>
          </w:p>
        </w:tc>
      </w:tr>
      <w:tr w:rsidR="00E10D77" w:rsidRPr="000E4E49" w14:paraId="3EE91D74"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06594F54" w14:textId="77777777" w:rsidR="00E10D77" w:rsidRPr="000E4E49" w:rsidRDefault="00E10D77" w:rsidP="0083214A">
            <w:pPr>
              <w:rPr>
                <w:noProof/>
                <w:lang w:val="en-IE"/>
              </w:rPr>
            </w:pPr>
            <w:r w:rsidRPr="000E4E49">
              <w:rPr>
                <w:noProof/>
                <w:lang w:val="en-IE"/>
              </w:rPr>
              <w:t>Financial programming</w:t>
            </w:r>
          </w:p>
        </w:tc>
        <w:tc>
          <w:tcPr>
            <w:tcW w:w="943" w:type="dxa"/>
            <w:noWrap/>
            <w:hideMark/>
          </w:tcPr>
          <w:p w14:paraId="2B44EC36" w14:textId="77777777" w:rsidR="00E10D77" w:rsidRPr="000E4E49" w:rsidRDefault="00E10D77" w:rsidP="0083214A">
            <w:pPr>
              <w:jc w:val="center"/>
              <w:rPr>
                <w:noProof/>
                <w:lang w:val="en-IE"/>
              </w:rPr>
            </w:pPr>
            <w:r w:rsidRPr="000E4E49">
              <w:rPr>
                <w:noProof/>
                <w:lang w:val="en-IE"/>
              </w:rPr>
              <w:t>72.5</w:t>
            </w:r>
          </w:p>
        </w:tc>
        <w:tc>
          <w:tcPr>
            <w:tcW w:w="944" w:type="dxa"/>
            <w:noWrap/>
            <w:hideMark/>
          </w:tcPr>
          <w:p w14:paraId="0E268AEB" w14:textId="77777777" w:rsidR="00E10D77" w:rsidRPr="000E4E49" w:rsidRDefault="00E10D77" w:rsidP="0083214A">
            <w:pPr>
              <w:jc w:val="center"/>
              <w:rPr>
                <w:noProof/>
                <w:lang w:val="en-IE"/>
              </w:rPr>
            </w:pPr>
            <w:r w:rsidRPr="000E4E49">
              <w:rPr>
                <w:noProof/>
                <w:lang w:val="en-IE"/>
              </w:rPr>
              <w:t>98.9</w:t>
            </w:r>
          </w:p>
        </w:tc>
        <w:tc>
          <w:tcPr>
            <w:tcW w:w="943" w:type="dxa"/>
            <w:noWrap/>
            <w:hideMark/>
          </w:tcPr>
          <w:p w14:paraId="77AC0ECB" w14:textId="77777777" w:rsidR="00E10D77" w:rsidRPr="000E4E49" w:rsidRDefault="00E10D77" w:rsidP="0083214A">
            <w:pPr>
              <w:jc w:val="center"/>
              <w:rPr>
                <w:noProof/>
                <w:lang w:val="en-IE"/>
              </w:rPr>
            </w:pPr>
            <w:r w:rsidRPr="000E4E49">
              <w:rPr>
                <w:noProof/>
                <w:lang w:val="en-IE"/>
              </w:rPr>
              <w:t>68.8</w:t>
            </w:r>
          </w:p>
        </w:tc>
        <w:tc>
          <w:tcPr>
            <w:tcW w:w="944" w:type="dxa"/>
            <w:noWrap/>
            <w:hideMark/>
          </w:tcPr>
          <w:p w14:paraId="1EC06F25" w14:textId="77777777" w:rsidR="00E10D77" w:rsidRPr="000E4E49" w:rsidRDefault="00E10D77" w:rsidP="0083214A">
            <w:pPr>
              <w:jc w:val="center"/>
              <w:rPr>
                <w:noProof/>
                <w:lang w:val="en-IE"/>
              </w:rPr>
            </w:pPr>
            <w:r w:rsidRPr="000E4E49">
              <w:rPr>
                <w:noProof/>
                <w:lang w:val="en-IE"/>
              </w:rPr>
              <w:t>74.6</w:t>
            </w:r>
          </w:p>
        </w:tc>
        <w:tc>
          <w:tcPr>
            <w:tcW w:w="944" w:type="dxa"/>
            <w:noWrap/>
            <w:hideMark/>
          </w:tcPr>
          <w:p w14:paraId="57749969" w14:textId="77777777" w:rsidR="00E10D77" w:rsidRPr="000E4E49" w:rsidRDefault="00E10D77" w:rsidP="0083214A">
            <w:pPr>
              <w:jc w:val="center"/>
              <w:rPr>
                <w:noProof/>
                <w:lang w:val="en-IE"/>
              </w:rPr>
            </w:pPr>
            <w:r w:rsidRPr="000E4E49">
              <w:rPr>
                <w:noProof/>
                <w:lang w:val="en-IE"/>
              </w:rPr>
              <w:t>74.7</w:t>
            </w:r>
          </w:p>
        </w:tc>
        <w:tc>
          <w:tcPr>
            <w:tcW w:w="943" w:type="dxa"/>
            <w:noWrap/>
            <w:hideMark/>
          </w:tcPr>
          <w:p w14:paraId="2F2E291D" w14:textId="77777777" w:rsidR="00E10D77" w:rsidRPr="000E4E49" w:rsidRDefault="00E10D77" w:rsidP="0083214A">
            <w:pPr>
              <w:jc w:val="center"/>
              <w:rPr>
                <w:noProof/>
                <w:lang w:val="en-IE"/>
              </w:rPr>
            </w:pPr>
            <w:r w:rsidRPr="000E4E49">
              <w:rPr>
                <w:noProof/>
                <w:lang w:val="en-IE"/>
              </w:rPr>
              <w:t>80.1</w:t>
            </w:r>
          </w:p>
        </w:tc>
        <w:tc>
          <w:tcPr>
            <w:tcW w:w="944" w:type="dxa"/>
            <w:noWrap/>
            <w:hideMark/>
          </w:tcPr>
          <w:p w14:paraId="18EBFA74" w14:textId="77777777" w:rsidR="00E10D77" w:rsidRPr="000E4E49" w:rsidRDefault="00E10D77" w:rsidP="0083214A">
            <w:pPr>
              <w:jc w:val="center"/>
              <w:rPr>
                <w:noProof/>
                <w:lang w:val="en-IE"/>
              </w:rPr>
            </w:pPr>
            <w:r w:rsidRPr="000E4E49">
              <w:rPr>
                <w:noProof/>
                <w:lang w:val="en-IE"/>
              </w:rPr>
              <w:t>82.4</w:t>
            </w:r>
          </w:p>
        </w:tc>
        <w:tc>
          <w:tcPr>
            <w:tcW w:w="944" w:type="dxa"/>
            <w:noWrap/>
            <w:hideMark/>
          </w:tcPr>
          <w:p w14:paraId="2FF40178" w14:textId="77777777" w:rsidR="00E10D77" w:rsidRPr="000E4E49" w:rsidRDefault="00E10D77" w:rsidP="0083214A">
            <w:pPr>
              <w:jc w:val="center"/>
              <w:rPr>
                <w:noProof/>
                <w:lang w:val="en-IE"/>
              </w:rPr>
            </w:pPr>
            <w:r w:rsidRPr="000E4E49">
              <w:rPr>
                <w:noProof/>
                <w:lang w:val="en-IE"/>
              </w:rPr>
              <w:t>552.0</w:t>
            </w:r>
          </w:p>
        </w:tc>
      </w:tr>
      <w:tr w:rsidR="00E10D77" w:rsidRPr="000E4E49" w14:paraId="7D28AC61"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101BC236" w14:textId="77777777" w:rsidR="00E10D77" w:rsidRPr="000E4E49" w:rsidRDefault="00E10D77" w:rsidP="0083214A">
            <w:pPr>
              <w:rPr>
                <w:noProof/>
                <w:lang w:val="en-IE"/>
              </w:rPr>
            </w:pPr>
            <w:r w:rsidRPr="000E4E49">
              <w:rPr>
                <w:noProof/>
                <w:lang w:val="en-IE"/>
              </w:rPr>
              <w:t>NextGenerationEU</w:t>
            </w:r>
          </w:p>
        </w:tc>
        <w:tc>
          <w:tcPr>
            <w:tcW w:w="943" w:type="dxa"/>
            <w:noWrap/>
            <w:hideMark/>
          </w:tcPr>
          <w:p w14:paraId="13F647A5" w14:textId="77777777" w:rsidR="00E10D77" w:rsidRPr="000E4E49" w:rsidRDefault="00E10D77" w:rsidP="0083214A">
            <w:pPr>
              <w:jc w:val="center"/>
              <w:rPr>
                <w:noProof/>
                <w:lang w:val="en-IE"/>
              </w:rPr>
            </w:pPr>
          </w:p>
        </w:tc>
        <w:tc>
          <w:tcPr>
            <w:tcW w:w="944" w:type="dxa"/>
            <w:noWrap/>
            <w:hideMark/>
          </w:tcPr>
          <w:p w14:paraId="6A2736FE" w14:textId="77777777" w:rsidR="00E10D77" w:rsidRPr="000E4E49" w:rsidRDefault="00E10D77" w:rsidP="0083214A">
            <w:pPr>
              <w:jc w:val="center"/>
              <w:rPr>
                <w:noProof/>
                <w:lang w:val="en-IE"/>
              </w:rPr>
            </w:pPr>
          </w:p>
        </w:tc>
        <w:tc>
          <w:tcPr>
            <w:tcW w:w="943" w:type="dxa"/>
            <w:noWrap/>
            <w:hideMark/>
          </w:tcPr>
          <w:p w14:paraId="7D7594FF" w14:textId="77777777" w:rsidR="00E10D77" w:rsidRPr="000E4E49" w:rsidRDefault="00E10D77" w:rsidP="0083214A">
            <w:pPr>
              <w:jc w:val="center"/>
              <w:rPr>
                <w:noProof/>
                <w:lang w:val="en-IE"/>
              </w:rPr>
            </w:pPr>
          </w:p>
        </w:tc>
        <w:tc>
          <w:tcPr>
            <w:tcW w:w="944" w:type="dxa"/>
            <w:noWrap/>
            <w:hideMark/>
          </w:tcPr>
          <w:p w14:paraId="22E1FBF7" w14:textId="77777777" w:rsidR="00E10D77" w:rsidRPr="000E4E49" w:rsidRDefault="00E10D77" w:rsidP="0083214A">
            <w:pPr>
              <w:jc w:val="center"/>
              <w:rPr>
                <w:noProof/>
                <w:lang w:val="en-IE"/>
              </w:rPr>
            </w:pPr>
          </w:p>
        </w:tc>
        <w:tc>
          <w:tcPr>
            <w:tcW w:w="944" w:type="dxa"/>
            <w:noWrap/>
            <w:hideMark/>
          </w:tcPr>
          <w:p w14:paraId="528BF9FD" w14:textId="77777777" w:rsidR="00E10D77" w:rsidRPr="000E4E49" w:rsidRDefault="00E10D77" w:rsidP="0083214A">
            <w:pPr>
              <w:jc w:val="center"/>
              <w:rPr>
                <w:noProof/>
                <w:lang w:val="en-IE"/>
              </w:rPr>
            </w:pPr>
          </w:p>
        </w:tc>
        <w:tc>
          <w:tcPr>
            <w:tcW w:w="943" w:type="dxa"/>
            <w:noWrap/>
            <w:hideMark/>
          </w:tcPr>
          <w:p w14:paraId="5F022EC8" w14:textId="77777777" w:rsidR="00E10D77" w:rsidRPr="000E4E49" w:rsidRDefault="00E10D77" w:rsidP="0083214A">
            <w:pPr>
              <w:jc w:val="center"/>
              <w:rPr>
                <w:noProof/>
                <w:lang w:val="en-IE"/>
              </w:rPr>
            </w:pPr>
          </w:p>
        </w:tc>
        <w:tc>
          <w:tcPr>
            <w:tcW w:w="944" w:type="dxa"/>
            <w:noWrap/>
            <w:hideMark/>
          </w:tcPr>
          <w:p w14:paraId="71C9A09F" w14:textId="77777777" w:rsidR="00E10D77" w:rsidRPr="000E4E49" w:rsidRDefault="00E10D77" w:rsidP="0083214A">
            <w:pPr>
              <w:jc w:val="center"/>
              <w:rPr>
                <w:noProof/>
                <w:lang w:val="en-IE"/>
              </w:rPr>
            </w:pPr>
          </w:p>
        </w:tc>
        <w:tc>
          <w:tcPr>
            <w:tcW w:w="944" w:type="dxa"/>
            <w:noWrap/>
            <w:hideMark/>
          </w:tcPr>
          <w:p w14:paraId="5F23D82A" w14:textId="77777777" w:rsidR="00E10D77" w:rsidRPr="000E4E49" w:rsidRDefault="00E10D77" w:rsidP="0083214A">
            <w:pPr>
              <w:jc w:val="center"/>
              <w:rPr>
                <w:noProof/>
                <w:lang w:val="en-IE"/>
              </w:rPr>
            </w:pPr>
          </w:p>
        </w:tc>
      </w:tr>
      <w:tr w:rsidR="00E10D77" w:rsidRPr="000E4E49" w14:paraId="52E72DF0"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1C69FF60" w14:textId="77777777" w:rsidR="00E10D77" w:rsidRPr="000E4E49" w:rsidRDefault="00E10D77" w:rsidP="0083214A">
            <w:pPr>
              <w:rPr>
                <w:noProof/>
                <w:lang w:val="en-IE"/>
              </w:rPr>
            </w:pPr>
            <w:r w:rsidRPr="000E4E49">
              <w:rPr>
                <w:noProof/>
                <w:lang w:val="en-IE"/>
              </w:rPr>
              <w:t>Decommitments made available again</w:t>
            </w:r>
            <w:r w:rsidRPr="000E4E49">
              <w:rPr>
                <w:rFonts w:ascii="Calibri" w:hAnsi="Calibri" w:cs="Calibri"/>
                <w:noProof/>
                <w:lang w:val="en-IE"/>
              </w:rPr>
              <w:t> </w:t>
            </w:r>
            <w:r w:rsidRPr="000E4E49">
              <w:rPr>
                <w:noProof/>
                <w:lang w:val="en-IE"/>
              </w:rPr>
              <w:t>(*)</w:t>
            </w:r>
          </w:p>
        </w:tc>
        <w:tc>
          <w:tcPr>
            <w:tcW w:w="943" w:type="dxa"/>
            <w:noWrap/>
            <w:hideMark/>
          </w:tcPr>
          <w:p w14:paraId="2976BC59" w14:textId="77777777" w:rsidR="00E10D77" w:rsidRPr="000E4E49" w:rsidRDefault="00E10D77" w:rsidP="0083214A">
            <w:pPr>
              <w:jc w:val="center"/>
              <w:rPr>
                <w:noProof/>
                <w:lang w:val="en-IE"/>
              </w:rPr>
            </w:pPr>
            <w:r>
              <w:rPr>
                <w:noProof/>
                <w:lang w:val="en-IE"/>
              </w:rPr>
              <w:t>N/A</w:t>
            </w:r>
          </w:p>
        </w:tc>
        <w:tc>
          <w:tcPr>
            <w:tcW w:w="944" w:type="dxa"/>
            <w:noWrap/>
            <w:hideMark/>
          </w:tcPr>
          <w:p w14:paraId="4B247E32" w14:textId="77777777" w:rsidR="00E10D77" w:rsidRPr="000E4E49" w:rsidRDefault="00E10D77" w:rsidP="0083214A">
            <w:pPr>
              <w:jc w:val="center"/>
              <w:rPr>
                <w:noProof/>
                <w:lang w:val="en-IE"/>
              </w:rPr>
            </w:pPr>
          </w:p>
        </w:tc>
        <w:tc>
          <w:tcPr>
            <w:tcW w:w="943" w:type="dxa"/>
            <w:noWrap/>
            <w:hideMark/>
          </w:tcPr>
          <w:p w14:paraId="520A122A" w14:textId="77777777" w:rsidR="00E10D77" w:rsidRPr="000E4E49" w:rsidRDefault="00E10D77" w:rsidP="0083214A">
            <w:pPr>
              <w:jc w:val="center"/>
              <w:rPr>
                <w:noProof/>
                <w:lang w:val="en-IE"/>
              </w:rPr>
            </w:pPr>
          </w:p>
        </w:tc>
        <w:tc>
          <w:tcPr>
            <w:tcW w:w="944" w:type="dxa"/>
            <w:noWrap/>
            <w:hideMark/>
          </w:tcPr>
          <w:p w14:paraId="6767B277" w14:textId="77777777" w:rsidR="00E10D77" w:rsidRPr="000E4E49" w:rsidRDefault="00E10D77" w:rsidP="0083214A">
            <w:pPr>
              <w:jc w:val="center"/>
              <w:rPr>
                <w:noProof/>
                <w:lang w:val="en-IE"/>
              </w:rPr>
            </w:pPr>
          </w:p>
        </w:tc>
        <w:tc>
          <w:tcPr>
            <w:tcW w:w="944" w:type="dxa"/>
            <w:noWrap/>
            <w:hideMark/>
          </w:tcPr>
          <w:p w14:paraId="10367DF0" w14:textId="77777777" w:rsidR="00E10D77" w:rsidRPr="000E4E49" w:rsidRDefault="00E10D77" w:rsidP="0083214A">
            <w:pPr>
              <w:jc w:val="center"/>
              <w:rPr>
                <w:noProof/>
                <w:lang w:val="en-IE"/>
              </w:rPr>
            </w:pPr>
          </w:p>
        </w:tc>
        <w:tc>
          <w:tcPr>
            <w:tcW w:w="943" w:type="dxa"/>
            <w:noWrap/>
            <w:hideMark/>
          </w:tcPr>
          <w:p w14:paraId="158A1996" w14:textId="77777777" w:rsidR="00E10D77" w:rsidRPr="000E4E49" w:rsidRDefault="00E10D77" w:rsidP="0083214A">
            <w:pPr>
              <w:jc w:val="center"/>
              <w:rPr>
                <w:noProof/>
                <w:lang w:val="en-IE"/>
              </w:rPr>
            </w:pPr>
          </w:p>
        </w:tc>
        <w:tc>
          <w:tcPr>
            <w:tcW w:w="944" w:type="dxa"/>
            <w:noWrap/>
            <w:hideMark/>
          </w:tcPr>
          <w:p w14:paraId="6E044836" w14:textId="77777777" w:rsidR="00E10D77" w:rsidRPr="000E4E49" w:rsidRDefault="00E10D77" w:rsidP="0083214A">
            <w:pPr>
              <w:jc w:val="center"/>
              <w:rPr>
                <w:noProof/>
                <w:lang w:val="en-IE"/>
              </w:rPr>
            </w:pPr>
          </w:p>
        </w:tc>
        <w:tc>
          <w:tcPr>
            <w:tcW w:w="944" w:type="dxa"/>
            <w:noWrap/>
            <w:hideMark/>
          </w:tcPr>
          <w:p w14:paraId="35532CB7" w14:textId="77777777" w:rsidR="00E10D77" w:rsidRPr="000E4E49" w:rsidRDefault="00E10D77" w:rsidP="0083214A">
            <w:pPr>
              <w:jc w:val="center"/>
              <w:rPr>
                <w:noProof/>
                <w:lang w:val="en-IE"/>
              </w:rPr>
            </w:pPr>
            <w:r>
              <w:rPr>
                <w:noProof/>
                <w:lang w:val="en-IE"/>
              </w:rPr>
              <w:t>N/A</w:t>
            </w:r>
          </w:p>
        </w:tc>
      </w:tr>
      <w:tr w:rsidR="00E10D77" w:rsidRPr="000E4E49" w14:paraId="4A20C1BD"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09DA38A4" w14:textId="77777777" w:rsidR="00E10D77" w:rsidRPr="000E4E49" w:rsidRDefault="00E10D77" w:rsidP="0083214A">
            <w:pPr>
              <w:rPr>
                <w:noProof/>
                <w:lang w:val="en-IE"/>
              </w:rPr>
            </w:pPr>
            <w:r w:rsidRPr="000E4E49">
              <w:rPr>
                <w:noProof/>
                <w:lang w:val="en-IE"/>
              </w:rPr>
              <w:t>Contributions from other countries and entities</w:t>
            </w:r>
          </w:p>
        </w:tc>
        <w:tc>
          <w:tcPr>
            <w:tcW w:w="943" w:type="dxa"/>
            <w:noWrap/>
            <w:hideMark/>
          </w:tcPr>
          <w:p w14:paraId="13BBA700" w14:textId="77777777" w:rsidR="00E10D77" w:rsidRPr="000E4E49" w:rsidRDefault="00E10D77" w:rsidP="0083214A">
            <w:pPr>
              <w:jc w:val="center"/>
              <w:rPr>
                <w:noProof/>
                <w:lang w:val="en-IE"/>
              </w:rPr>
            </w:pPr>
          </w:p>
        </w:tc>
        <w:tc>
          <w:tcPr>
            <w:tcW w:w="944" w:type="dxa"/>
            <w:noWrap/>
            <w:hideMark/>
          </w:tcPr>
          <w:p w14:paraId="2102600D" w14:textId="77777777" w:rsidR="00E10D77" w:rsidRPr="000E4E49" w:rsidRDefault="00E10D77" w:rsidP="0083214A">
            <w:pPr>
              <w:jc w:val="center"/>
              <w:rPr>
                <w:noProof/>
                <w:lang w:val="en-IE"/>
              </w:rPr>
            </w:pPr>
          </w:p>
        </w:tc>
        <w:tc>
          <w:tcPr>
            <w:tcW w:w="943" w:type="dxa"/>
            <w:noWrap/>
            <w:hideMark/>
          </w:tcPr>
          <w:p w14:paraId="732B9D46" w14:textId="77777777" w:rsidR="00E10D77" w:rsidRPr="000E4E49" w:rsidRDefault="00E10D77" w:rsidP="0083214A">
            <w:pPr>
              <w:jc w:val="center"/>
              <w:rPr>
                <w:noProof/>
                <w:lang w:val="en-IE"/>
              </w:rPr>
            </w:pPr>
          </w:p>
        </w:tc>
        <w:tc>
          <w:tcPr>
            <w:tcW w:w="944" w:type="dxa"/>
            <w:noWrap/>
            <w:hideMark/>
          </w:tcPr>
          <w:p w14:paraId="6B3D7C5D" w14:textId="77777777" w:rsidR="00E10D77" w:rsidRPr="000E4E49" w:rsidRDefault="00E10D77" w:rsidP="0083214A">
            <w:pPr>
              <w:jc w:val="center"/>
              <w:rPr>
                <w:noProof/>
                <w:lang w:val="en-IE"/>
              </w:rPr>
            </w:pPr>
          </w:p>
        </w:tc>
        <w:tc>
          <w:tcPr>
            <w:tcW w:w="944" w:type="dxa"/>
            <w:noWrap/>
            <w:hideMark/>
          </w:tcPr>
          <w:p w14:paraId="30D8F864" w14:textId="77777777" w:rsidR="00E10D77" w:rsidRPr="000E4E49" w:rsidRDefault="00E10D77" w:rsidP="0083214A">
            <w:pPr>
              <w:jc w:val="center"/>
              <w:rPr>
                <w:noProof/>
                <w:lang w:val="en-IE"/>
              </w:rPr>
            </w:pPr>
          </w:p>
        </w:tc>
        <w:tc>
          <w:tcPr>
            <w:tcW w:w="943" w:type="dxa"/>
            <w:noWrap/>
            <w:hideMark/>
          </w:tcPr>
          <w:p w14:paraId="0EBDF0DE" w14:textId="77777777" w:rsidR="00E10D77" w:rsidRPr="000E4E49" w:rsidRDefault="00E10D77" w:rsidP="0083214A">
            <w:pPr>
              <w:jc w:val="center"/>
              <w:rPr>
                <w:noProof/>
                <w:lang w:val="en-IE"/>
              </w:rPr>
            </w:pPr>
          </w:p>
        </w:tc>
        <w:tc>
          <w:tcPr>
            <w:tcW w:w="944" w:type="dxa"/>
            <w:noWrap/>
            <w:hideMark/>
          </w:tcPr>
          <w:p w14:paraId="27CE34A4" w14:textId="77777777" w:rsidR="00E10D77" w:rsidRPr="000E4E49" w:rsidRDefault="00E10D77" w:rsidP="0083214A">
            <w:pPr>
              <w:jc w:val="center"/>
              <w:rPr>
                <w:noProof/>
                <w:lang w:val="en-IE"/>
              </w:rPr>
            </w:pPr>
          </w:p>
        </w:tc>
        <w:tc>
          <w:tcPr>
            <w:tcW w:w="944" w:type="dxa"/>
            <w:noWrap/>
            <w:hideMark/>
          </w:tcPr>
          <w:p w14:paraId="2CC62FB3" w14:textId="77777777" w:rsidR="00E10D77" w:rsidRPr="000E4E49" w:rsidRDefault="00E10D77" w:rsidP="0083214A">
            <w:pPr>
              <w:jc w:val="center"/>
              <w:rPr>
                <w:noProof/>
                <w:lang w:val="en-IE"/>
              </w:rPr>
            </w:pPr>
          </w:p>
        </w:tc>
      </w:tr>
    </w:tbl>
    <w:p w14:paraId="65B55616" w14:textId="77777777" w:rsidR="00E10D77" w:rsidRPr="000E4E49" w:rsidRDefault="00E10D77" w:rsidP="00E10D77">
      <w:pPr>
        <w:tabs>
          <w:tab w:val="left" w:pos="6793"/>
        </w:tabs>
        <w:rPr>
          <w:noProof/>
          <w:sz w:val="18"/>
          <w:szCs w:val="18"/>
          <w:lang w:val="en-IE"/>
        </w:rPr>
      </w:pPr>
      <w:r w:rsidRPr="03EEF84E">
        <w:rPr>
          <w:noProof/>
          <w:sz w:val="18"/>
          <w:szCs w:val="18"/>
          <w:lang w:val="en-IE"/>
        </w:rPr>
        <w:t>(*) Only Article</w:t>
      </w:r>
      <w:r w:rsidRPr="03EEF84E">
        <w:rPr>
          <w:rFonts w:ascii="Calibri" w:hAnsi="Calibri" w:cs="Calibri"/>
          <w:noProof/>
          <w:sz w:val="18"/>
          <w:szCs w:val="18"/>
          <w:lang w:val="en-IE"/>
        </w:rPr>
        <w:t> </w:t>
      </w:r>
      <w:r w:rsidRPr="03EEF84E">
        <w:rPr>
          <w:noProof/>
          <w:sz w:val="18"/>
          <w:szCs w:val="18"/>
          <w:lang w:val="en-IE"/>
        </w:rPr>
        <w:t>15(3) of the financial regulation.</w:t>
      </w:r>
    </w:p>
    <w:p w14:paraId="78B46F71" w14:textId="7DA462B5" w:rsidR="00E10D77" w:rsidRPr="000E4E49" w:rsidRDefault="00E10D77" w:rsidP="00304A2B">
      <w:pPr>
        <w:pStyle w:val="ppoTableTabletitle"/>
        <w:jc w:val="center"/>
        <w:rPr>
          <w:noProof/>
          <w:lang w:val="en-IE"/>
        </w:rPr>
      </w:pPr>
      <w:r w:rsidRPr="00304A2B">
        <w:rPr>
          <w:noProof/>
          <w:lang w:val="en-IE"/>
        </w:rPr>
        <w:t>Financial programming</w:t>
      </w:r>
      <w:r w:rsidR="004C4764">
        <w:rPr>
          <w:noProof/>
          <w:lang w:val="en-IE"/>
        </w:rPr>
        <w:t>:</w:t>
      </w:r>
      <w:r w:rsidRPr="5D10E62D">
        <w:rPr>
          <w:noProof/>
          <w:color w:val="CC3595"/>
          <w:lang w:val="en-IE"/>
        </w:rPr>
        <w:t xml:space="preserve"> </w:t>
      </w:r>
      <w:r w:rsidRPr="007C3D07">
        <w:rPr>
          <w:noProof/>
          <w:color w:val="028F1A" w:themeColor="accent1"/>
          <w:sz w:val="36"/>
          <w:szCs w:val="36"/>
        </w:rPr>
        <w:t>+</w:t>
      </w:r>
      <w:r w:rsidRPr="007C3D07">
        <w:rPr>
          <w:rFonts w:ascii="Calibri" w:hAnsi="Calibri" w:cs="Calibri"/>
          <w:noProof/>
          <w:color w:val="028F1A" w:themeColor="accent1"/>
          <w:sz w:val="36"/>
          <w:szCs w:val="36"/>
        </w:rPr>
        <w:t> </w:t>
      </w:r>
      <w:r w:rsidRPr="007C3D07">
        <w:rPr>
          <w:noProof/>
          <w:color w:val="028F1A" w:themeColor="accent1"/>
          <w:sz w:val="36"/>
          <w:szCs w:val="36"/>
        </w:rPr>
        <w:t>0.0 million</w:t>
      </w:r>
      <w:r w:rsidR="007C3D07" w:rsidRPr="007C3D07">
        <w:rPr>
          <w:noProof/>
          <w:color w:val="028F1A" w:themeColor="accent1"/>
          <w:sz w:val="36"/>
          <w:szCs w:val="36"/>
        </w:rPr>
        <w:t xml:space="preserve"> </w:t>
      </w:r>
      <w:r w:rsidRPr="007C3D07">
        <w:rPr>
          <w:noProof/>
          <w:color w:val="028F1A" w:themeColor="accent1"/>
          <w:sz w:val="36"/>
          <w:szCs w:val="36"/>
        </w:rPr>
        <w:t>(+</w:t>
      </w:r>
      <w:r w:rsidRPr="007C3D07">
        <w:rPr>
          <w:rFonts w:ascii="Calibri" w:hAnsi="Calibri" w:cs="Calibri"/>
          <w:noProof/>
          <w:color w:val="028F1A" w:themeColor="accent1"/>
          <w:sz w:val="36"/>
          <w:szCs w:val="36"/>
        </w:rPr>
        <w:t> 0</w:t>
      </w:r>
      <w:r w:rsidRPr="007C3D07">
        <w:rPr>
          <w:noProof/>
          <w:color w:val="028F1A" w:themeColor="accent1"/>
          <w:sz w:val="36"/>
          <w:szCs w:val="36"/>
        </w:rPr>
        <w:t>%)</w:t>
      </w:r>
      <w:r w:rsidRPr="5D10E62D">
        <w:rPr>
          <w:noProof/>
          <w:color w:val="028F1A" w:themeColor="accent1"/>
          <w:sz w:val="52"/>
          <w:szCs w:val="52"/>
          <w:lang w:val="en-IE"/>
        </w:rPr>
        <w:t xml:space="preserve"> </w:t>
      </w:r>
      <w:r w:rsidRPr="5D10E62D">
        <w:rPr>
          <w:noProof/>
          <w:lang w:val="en-IE"/>
        </w:rPr>
        <w:t>compared to the legal basis.</w:t>
      </w:r>
    </w:p>
    <w:p w14:paraId="3D244001" w14:textId="77777777" w:rsidR="00E10D77" w:rsidRPr="000E4E49" w:rsidRDefault="00E10D77" w:rsidP="00E10D77">
      <w:pPr>
        <w:pStyle w:val="ppoTableTabletitle"/>
        <w:rPr>
          <w:b/>
          <w:noProof/>
          <w:lang w:val="en-IE"/>
        </w:rPr>
      </w:pPr>
      <w:r w:rsidRPr="000E4E49">
        <w:rPr>
          <w:noProof/>
          <w:lang w:val="en-IE"/>
        </w:rPr>
        <w:t>Cumulative implementation rate at the end of 2021:</w:t>
      </w:r>
    </w:p>
    <w:tbl>
      <w:tblPr>
        <w:tblStyle w:val="PPO2021"/>
        <w:tblW w:w="9639" w:type="dxa"/>
        <w:tblInd w:w="0" w:type="dxa"/>
        <w:tblLook w:val="06A0" w:firstRow="1" w:lastRow="0" w:firstColumn="1" w:lastColumn="0" w:noHBand="1" w:noVBand="1"/>
      </w:tblPr>
      <w:tblGrid>
        <w:gridCol w:w="2409"/>
        <w:gridCol w:w="2410"/>
        <w:gridCol w:w="2410"/>
        <w:gridCol w:w="2410"/>
      </w:tblGrid>
      <w:tr w:rsidR="00E10D77" w:rsidRPr="000E4E49" w14:paraId="2C68075C" w14:textId="77777777" w:rsidTr="0083214A">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32B84D3E" w14:textId="77777777" w:rsidR="00E10D77" w:rsidRPr="000E4E49" w:rsidRDefault="00E10D77" w:rsidP="0083214A">
            <w:pPr>
              <w:rPr>
                <w:noProof/>
                <w:lang w:val="en-IE"/>
              </w:rPr>
            </w:pPr>
          </w:p>
        </w:tc>
        <w:tc>
          <w:tcPr>
            <w:tcW w:w="2410" w:type="dxa"/>
          </w:tcPr>
          <w:p w14:paraId="6378060F" w14:textId="77777777" w:rsidR="00E10D77" w:rsidRPr="000E4E49" w:rsidRDefault="00E10D77" w:rsidP="0083214A">
            <w:pPr>
              <w:cnfStyle w:val="100000000000" w:firstRow="1" w:lastRow="0" w:firstColumn="0" w:lastColumn="0" w:oddVBand="0" w:evenVBand="0" w:oddHBand="0" w:evenHBand="0" w:firstRowFirstColumn="0" w:firstRowLastColumn="0" w:lastRowFirstColumn="0" w:lastRowLastColumn="0"/>
              <w:rPr>
                <w:noProof/>
                <w:lang w:val="en-IE"/>
              </w:rPr>
            </w:pPr>
            <w:r w:rsidRPr="000E4E49">
              <w:rPr>
                <w:noProof/>
                <w:lang w:val="en-IE"/>
              </w:rPr>
              <w:t>Implementation</w:t>
            </w:r>
          </w:p>
        </w:tc>
        <w:tc>
          <w:tcPr>
            <w:tcW w:w="2410" w:type="dxa"/>
          </w:tcPr>
          <w:p w14:paraId="0E8D52AE" w14:textId="77777777" w:rsidR="00E10D77" w:rsidRPr="000E4E49" w:rsidRDefault="00E10D77" w:rsidP="0083214A">
            <w:pPr>
              <w:cnfStyle w:val="100000000000" w:firstRow="1" w:lastRow="0" w:firstColumn="0" w:lastColumn="0" w:oddVBand="0" w:evenVBand="0" w:oddHBand="0" w:evenHBand="0" w:firstRowFirstColumn="0" w:firstRowLastColumn="0" w:lastRowFirstColumn="0" w:lastRowLastColumn="0"/>
              <w:rPr>
                <w:noProof/>
                <w:lang w:val="en-IE"/>
              </w:rPr>
            </w:pPr>
            <w:r w:rsidRPr="000E4E49">
              <w:rPr>
                <w:noProof/>
                <w:lang w:val="en-IE"/>
              </w:rPr>
              <w:t>Budget</w:t>
            </w:r>
          </w:p>
        </w:tc>
        <w:tc>
          <w:tcPr>
            <w:tcW w:w="2410" w:type="dxa"/>
          </w:tcPr>
          <w:p w14:paraId="5EA99FE5" w14:textId="77777777" w:rsidR="00E10D77" w:rsidRPr="000E4E49" w:rsidRDefault="00E10D77" w:rsidP="0083214A">
            <w:pPr>
              <w:cnfStyle w:val="100000000000" w:firstRow="1" w:lastRow="0" w:firstColumn="0" w:lastColumn="0" w:oddVBand="0" w:evenVBand="0" w:oddHBand="0" w:evenHBand="0" w:firstRowFirstColumn="0" w:firstRowLastColumn="0" w:lastRowFirstColumn="0" w:lastRowLastColumn="0"/>
              <w:rPr>
                <w:noProof/>
                <w:lang w:val="en-IE"/>
              </w:rPr>
            </w:pPr>
            <w:r w:rsidRPr="000E4E49">
              <w:rPr>
                <w:noProof/>
                <w:lang w:val="en-IE"/>
              </w:rPr>
              <w:t>Implementation rate</w:t>
            </w:r>
          </w:p>
        </w:tc>
      </w:tr>
      <w:tr w:rsidR="00E10D77" w:rsidRPr="000E4E49" w14:paraId="654619FC"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2DEF0EDE" w14:textId="77777777" w:rsidR="00E10D77" w:rsidRPr="000E4E49" w:rsidRDefault="00E10D77" w:rsidP="0083214A">
            <w:pPr>
              <w:jc w:val="center"/>
              <w:rPr>
                <w:noProof/>
                <w:lang w:val="en-IE"/>
              </w:rPr>
            </w:pPr>
            <w:r w:rsidRPr="000E4E49">
              <w:rPr>
                <w:noProof/>
                <w:lang w:val="en-IE"/>
              </w:rPr>
              <w:t>Commitment</w:t>
            </w:r>
          </w:p>
        </w:tc>
        <w:tc>
          <w:tcPr>
            <w:tcW w:w="2410" w:type="dxa"/>
          </w:tcPr>
          <w:tbl>
            <w:tblPr>
              <w:tblStyle w:val="TableGrid"/>
              <w:tblW w:w="0" w:type="auto"/>
              <w:tblLook w:val="06A0" w:firstRow="1" w:lastRow="0" w:firstColumn="1" w:lastColumn="0" w:noHBand="1" w:noVBand="1"/>
            </w:tblPr>
            <w:tblGrid>
              <w:gridCol w:w="2194"/>
            </w:tblGrid>
            <w:tr w:rsidR="00E10D77" w:rsidRPr="000E4E49" w14:paraId="5185064A" w14:textId="77777777" w:rsidTr="0083214A">
              <w:trPr>
                <w:trHeight w:val="285"/>
              </w:trPr>
              <w:tc>
                <w:tcPr>
                  <w:tcW w:w="2290" w:type="dxa"/>
                  <w:tcBorders>
                    <w:top w:val="nil"/>
                    <w:left w:val="nil"/>
                    <w:bottom w:val="nil"/>
                    <w:right w:val="nil"/>
                  </w:tcBorders>
                  <w:vAlign w:val="bottom"/>
                </w:tcPr>
                <w:p w14:paraId="471A2833" w14:textId="77777777" w:rsidR="00E10D77" w:rsidRPr="000E4E49" w:rsidRDefault="00E10D77" w:rsidP="0083214A">
                  <w:pPr>
                    <w:jc w:val="right"/>
                    <w:rPr>
                      <w:noProof/>
                      <w:lang w:val="en-IE"/>
                    </w:rPr>
                  </w:pPr>
                  <w:r w:rsidRPr="000E4E49">
                    <w:rPr>
                      <w:rFonts w:ascii="Calibri" w:hAnsi="Calibri" w:cs="Calibri"/>
                      <w:noProof/>
                      <w:color w:val="000000"/>
                      <w:lang w:val="en-IE"/>
                    </w:rPr>
                    <w:t>72.5</w:t>
                  </w:r>
                </w:p>
              </w:tc>
            </w:tr>
          </w:tbl>
          <w:p w14:paraId="774F35F2" w14:textId="77777777" w:rsidR="00E10D77" w:rsidRPr="000E4E49" w:rsidRDefault="00E10D77"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E10D77" w:rsidRPr="000E4E49" w14:paraId="7EED7B3B" w14:textId="77777777" w:rsidTr="0083214A">
              <w:trPr>
                <w:trHeight w:val="285"/>
              </w:trPr>
              <w:tc>
                <w:tcPr>
                  <w:tcW w:w="2290" w:type="dxa"/>
                  <w:tcBorders>
                    <w:top w:val="nil"/>
                    <w:left w:val="nil"/>
                    <w:bottom w:val="nil"/>
                    <w:right w:val="nil"/>
                  </w:tcBorders>
                  <w:vAlign w:val="bottom"/>
                </w:tcPr>
                <w:p w14:paraId="34D588CA" w14:textId="77777777" w:rsidR="00E10D77" w:rsidRPr="000E4E49" w:rsidRDefault="00E10D77" w:rsidP="0083214A">
                  <w:pPr>
                    <w:jc w:val="right"/>
                    <w:rPr>
                      <w:noProof/>
                      <w:lang w:val="en-IE"/>
                    </w:rPr>
                  </w:pPr>
                  <w:r w:rsidRPr="000E4E49">
                    <w:rPr>
                      <w:rFonts w:ascii="Calibri" w:hAnsi="Calibri" w:cs="Calibri"/>
                      <w:noProof/>
                      <w:color w:val="000000"/>
                      <w:lang w:val="en-IE"/>
                    </w:rPr>
                    <w:t>552.0</w:t>
                  </w:r>
                </w:p>
              </w:tc>
            </w:tr>
          </w:tbl>
          <w:p w14:paraId="779D7C11" w14:textId="77777777" w:rsidR="00E10D77" w:rsidRPr="000E4E49" w:rsidRDefault="00E10D77"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E10D77" w:rsidRPr="000E4E49" w14:paraId="72C40716" w14:textId="77777777" w:rsidTr="0083214A">
              <w:trPr>
                <w:trHeight w:val="285"/>
              </w:trPr>
              <w:tc>
                <w:tcPr>
                  <w:tcW w:w="2290" w:type="dxa"/>
                  <w:tcBorders>
                    <w:top w:val="nil"/>
                    <w:left w:val="nil"/>
                    <w:bottom w:val="nil"/>
                    <w:right w:val="nil"/>
                  </w:tcBorders>
                  <w:vAlign w:val="bottom"/>
                </w:tcPr>
                <w:p w14:paraId="6FAD9F45" w14:textId="77777777" w:rsidR="00E10D77" w:rsidRPr="000E4E49" w:rsidRDefault="00E10D77" w:rsidP="0083214A">
                  <w:pPr>
                    <w:jc w:val="right"/>
                    <w:rPr>
                      <w:noProof/>
                      <w:lang w:val="en-IE"/>
                    </w:rPr>
                  </w:pPr>
                  <w:r w:rsidRPr="000E4E49">
                    <w:rPr>
                      <w:rFonts w:ascii="Calibri" w:hAnsi="Calibri" w:cs="Calibri"/>
                      <w:noProof/>
                      <w:color w:val="000000"/>
                      <w:lang w:val="en-IE"/>
                    </w:rPr>
                    <w:t>13%</w:t>
                  </w:r>
                </w:p>
              </w:tc>
            </w:tr>
          </w:tbl>
          <w:p w14:paraId="6550BBEB" w14:textId="77777777" w:rsidR="00E10D77" w:rsidRPr="000E4E49" w:rsidRDefault="00E10D77"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r>
      <w:tr w:rsidR="00E10D77" w:rsidRPr="000E4E49" w14:paraId="2B6FB6D0"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4D5FBCCD" w14:textId="77777777" w:rsidR="00E10D77" w:rsidRPr="000E4E49" w:rsidRDefault="00E10D77" w:rsidP="0083214A">
            <w:pPr>
              <w:jc w:val="center"/>
              <w:rPr>
                <w:noProof/>
                <w:lang w:val="en-IE"/>
              </w:rPr>
            </w:pPr>
            <w:r w:rsidRPr="000E4E49">
              <w:rPr>
                <w:noProof/>
                <w:lang w:val="en-IE"/>
              </w:rPr>
              <w:t>Payments</w:t>
            </w:r>
          </w:p>
        </w:tc>
        <w:tc>
          <w:tcPr>
            <w:tcW w:w="2410" w:type="dxa"/>
          </w:tcPr>
          <w:p w14:paraId="6CDADFA8" w14:textId="77777777" w:rsidR="00E10D77" w:rsidRPr="000E4E49" w:rsidRDefault="00E10D77" w:rsidP="0083214A">
            <w:pPr>
              <w:jc w:val="right"/>
              <w:cnfStyle w:val="000000000000" w:firstRow="0" w:lastRow="0" w:firstColumn="0" w:lastColumn="0" w:oddVBand="0" w:evenVBand="0" w:oddHBand="0" w:evenHBand="0" w:firstRowFirstColumn="0" w:firstRowLastColumn="0" w:lastRowFirstColumn="0" w:lastRowLastColumn="0"/>
              <w:rPr>
                <w:noProof/>
                <w:lang w:val="en-IE"/>
              </w:rPr>
            </w:pPr>
            <w:r w:rsidRPr="000E4E49">
              <w:rPr>
                <w:noProof/>
                <w:lang w:val="en-IE"/>
              </w:rPr>
              <w:t>0</w:t>
            </w:r>
          </w:p>
        </w:tc>
        <w:tc>
          <w:tcPr>
            <w:tcW w:w="2410" w:type="dxa"/>
          </w:tcPr>
          <w:p w14:paraId="23C33269" w14:textId="77777777" w:rsidR="00E10D77" w:rsidRPr="000E4E49" w:rsidRDefault="00E10D77"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p w14:paraId="12719BB9" w14:textId="77777777" w:rsidR="00E10D77" w:rsidRPr="000E4E49" w:rsidRDefault="00E10D77" w:rsidP="0083214A">
            <w:pPr>
              <w:jc w:val="right"/>
              <w:cnfStyle w:val="000000000000" w:firstRow="0" w:lastRow="0" w:firstColumn="0" w:lastColumn="0" w:oddVBand="0" w:evenVBand="0" w:oddHBand="0" w:evenHBand="0" w:firstRowFirstColumn="0" w:firstRowLastColumn="0" w:lastRowFirstColumn="0" w:lastRowLastColumn="0"/>
              <w:rPr>
                <w:noProof/>
                <w:lang w:val="en-IE"/>
              </w:rPr>
            </w:pPr>
            <w:r w:rsidRPr="000E4E49">
              <w:rPr>
                <w:noProof/>
                <w:lang w:val="en-IE"/>
              </w:rPr>
              <w:t>0%</w:t>
            </w:r>
          </w:p>
        </w:tc>
      </w:tr>
    </w:tbl>
    <w:p w14:paraId="77C522A6" w14:textId="77777777" w:rsidR="00E10D77" w:rsidRPr="000E4E49" w:rsidRDefault="00E10D77" w:rsidP="00E10D77">
      <w:pPr>
        <w:pStyle w:val="ppoTableTabletitle"/>
        <w:rPr>
          <w:b/>
          <w:noProof/>
          <w:lang w:val="en-IE"/>
        </w:rPr>
      </w:pPr>
      <w:r w:rsidRPr="000E4E49">
        <w:rPr>
          <w:noProof/>
          <w:lang w:val="en-IE"/>
        </w:rPr>
        <w:t>Voted budget implementation in 2021 (million EUR):</w:t>
      </w:r>
    </w:p>
    <w:tbl>
      <w:tblPr>
        <w:tblStyle w:val="PPO2021"/>
        <w:tblW w:w="3683" w:type="pct"/>
        <w:tblInd w:w="79" w:type="dxa"/>
        <w:tblLook w:val="04A0" w:firstRow="1" w:lastRow="0" w:firstColumn="1" w:lastColumn="0" w:noHBand="0" w:noVBand="1"/>
      </w:tblPr>
      <w:tblGrid>
        <w:gridCol w:w="2419"/>
        <w:gridCol w:w="2419"/>
        <w:gridCol w:w="2420"/>
      </w:tblGrid>
      <w:tr w:rsidR="00E10D77" w:rsidRPr="000E4E49" w14:paraId="3F9C3D19" w14:textId="77777777" w:rsidTr="008321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60CF3962" w14:textId="77777777" w:rsidR="00E10D77" w:rsidRPr="000E4E49" w:rsidRDefault="00E10D77" w:rsidP="0083214A">
            <w:pPr>
              <w:rPr>
                <w:noProof/>
                <w:lang w:val="en-IE"/>
              </w:rPr>
            </w:pPr>
          </w:p>
        </w:tc>
        <w:tc>
          <w:tcPr>
            <w:tcW w:w="2419" w:type="dxa"/>
          </w:tcPr>
          <w:p w14:paraId="08D940D8" w14:textId="77777777" w:rsidR="00E10D77" w:rsidRPr="000E4E49" w:rsidRDefault="00E10D77" w:rsidP="0083214A">
            <w:pPr>
              <w:cnfStyle w:val="100000000000" w:firstRow="1" w:lastRow="0" w:firstColumn="0" w:lastColumn="0" w:oddVBand="0" w:evenVBand="0" w:oddHBand="0" w:evenHBand="0" w:firstRowFirstColumn="0" w:firstRowLastColumn="0" w:lastRowFirstColumn="0" w:lastRowLastColumn="0"/>
              <w:rPr>
                <w:noProof/>
                <w:lang w:val="en-IE"/>
              </w:rPr>
            </w:pPr>
            <w:r w:rsidRPr="000E4E49">
              <w:rPr>
                <w:noProof/>
                <w:lang w:val="en-IE"/>
              </w:rPr>
              <w:t>Voted budget implementation</w:t>
            </w:r>
          </w:p>
        </w:tc>
        <w:tc>
          <w:tcPr>
            <w:tcW w:w="2420" w:type="dxa"/>
          </w:tcPr>
          <w:p w14:paraId="11994296" w14:textId="77777777" w:rsidR="00E10D77" w:rsidRPr="000E4E49" w:rsidRDefault="00E10D77" w:rsidP="0083214A">
            <w:pPr>
              <w:cnfStyle w:val="100000000000" w:firstRow="1" w:lastRow="0" w:firstColumn="0" w:lastColumn="0" w:oddVBand="0" w:evenVBand="0" w:oddHBand="0" w:evenHBand="0" w:firstRowFirstColumn="0" w:firstRowLastColumn="0" w:lastRowFirstColumn="0" w:lastRowLastColumn="0"/>
              <w:rPr>
                <w:noProof/>
                <w:lang w:val="en-IE"/>
              </w:rPr>
            </w:pPr>
            <w:r w:rsidRPr="000E4E49">
              <w:rPr>
                <w:noProof/>
                <w:lang w:val="en-IE"/>
              </w:rPr>
              <w:t>Initial voted budget</w:t>
            </w:r>
          </w:p>
        </w:tc>
      </w:tr>
      <w:tr w:rsidR="00E10D77" w:rsidRPr="000E4E49" w14:paraId="6B12F639" w14:textId="77777777" w:rsidTr="0083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67E0C24B" w14:textId="77777777" w:rsidR="00E10D77" w:rsidRPr="000E4E49" w:rsidRDefault="00E10D77" w:rsidP="0083214A">
            <w:pPr>
              <w:jc w:val="center"/>
              <w:rPr>
                <w:noProof/>
                <w:lang w:val="en-IE"/>
              </w:rPr>
            </w:pPr>
            <w:r w:rsidRPr="000E4E49">
              <w:rPr>
                <w:noProof/>
                <w:lang w:val="en-IE"/>
              </w:rPr>
              <w:t>Commitments</w:t>
            </w:r>
          </w:p>
        </w:tc>
        <w:tc>
          <w:tcPr>
            <w:tcW w:w="2419" w:type="dxa"/>
          </w:tcPr>
          <w:p w14:paraId="348AABC3" w14:textId="77777777" w:rsidR="00E10D77" w:rsidRPr="000E4E49" w:rsidRDefault="00E10D77" w:rsidP="0083214A">
            <w:pPr>
              <w:jc w:val="center"/>
              <w:cnfStyle w:val="000000100000" w:firstRow="0" w:lastRow="0" w:firstColumn="0" w:lastColumn="0" w:oddVBand="0" w:evenVBand="0" w:oddHBand="1" w:evenHBand="0" w:firstRowFirstColumn="0" w:firstRowLastColumn="0" w:lastRowFirstColumn="0" w:lastRowLastColumn="0"/>
              <w:rPr>
                <w:noProof/>
                <w:lang w:val="en-IE"/>
              </w:rPr>
            </w:pPr>
            <w:r w:rsidRPr="000E4E49">
              <w:rPr>
                <w:noProof/>
                <w:lang w:val="en-IE"/>
              </w:rPr>
              <w:t>72.5</w:t>
            </w:r>
          </w:p>
        </w:tc>
        <w:tc>
          <w:tcPr>
            <w:tcW w:w="2420" w:type="dxa"/>
          </w:tcPr>
          <w:p w14:paraId="46EC1CA0" w14:textId="77777777" w:rsidR="00E10D77" w:rsidRPr="000E4E49" w:rsidRDefault="00E10D77" w:rsidP="0083214A">
            <w:pPr>
              <w:jc w:val="center"/>
              <w:cnfStyle w:val="000000100000" w:firstRow="0" w:lastRow="0" w:firstColumn="0" w:lastColumn="0" w:oddVBand="0" w:evenVBand="0" w:oddHBand="1" w:evenHBand="0" w:firstRowFirstColumn="0" w:firstRowLastColumn="0" w:lastRowFirstColumn="0" w:lastRowLastColumn="0"/>
              <w:rPr>
                <w:noProof/>
                <w:lang w:val="en-IE"/>
              </w:rPr>
            </w:pPr>
            <w:r w:rsidRPr="000E4E49">
              <w:rPr>
                <w:noProof/>
                <w:lang w:val="en-IE"/>
              </w:rPr>
              <w:t>72.5</w:t>
            </w:r>
          </w:p>
        </w:tc>
      </w:tr>
      <w:tr w:rsidR="00E10D77" w:rsidRPr="000E4E49" w14:paraId="74864A61" w14:textId="77777777" w:rsidTr="00832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517CC937" w14:textId="77777777" w:rsidR="00E10D77" w:rsidRPr="000E4E49" w:rsidRDefault="00E10D77" w:rsidP="0083214A">
            <w:pPr>
              <w:jc w:val="center"/>
              <w:rPr>
                <w:noProof/>
                <w:lang w:val="en-IE"/>
              </w:rPr>
            </w:pPr>
            <w:r w:rsidRPr="000E4E49">
              <w:rPr>
                <w:noProof/>
                <w:lang w:val="en-IE"/>
              </w:rPr>
              <w:t>Payments</w:t>
            </w:r>
          </w:p>
        </w:tc>
        <w:tc>
          <w:tcPr>
            <w:tcW w:w="2419" w:type="dxa"/>
          </w:tcPr>
          <w:p w14:paraId="3B401B06" w14:textId="77777777" w:rsidR="00E10D77" w:rsidRPr="000E4E49" w:rsidRDefault="00E10D77" w:rsidP="0083214A">
            <w:pPr>
              <w:jc w:val="center"/>
              <w:cnfStyle w:val="000000010000" w:firstRow="0" w:lastRow="0" w:firstColumn="0" w:lastColumn="0" w:oddVBand="0" w:evenVBand="0" w:oddHBand="0" w:evenHBand="1" w:firstRowFirstColumn="0" w:firstRowLastColumn="0" w:lastRowFirstColumn="0" w:lastRowLastColumn="0"/>
              <w:rPr>
                <w:noProof/>
                <w:lang w:val="en-IE"/>
              </w:rPr>
            </w:pPr>
            <w:r w:rsidRPr="000E4E49">
              <w:rPr>
                <w:noProof/>
                <w:lang w:val="en-IE"/>
              </w:rPr>
              <w:t>0.0</w:t>
            </w:r>
          </w:p>
        </w:tc>
        <w:tc>
          <w:tcPr>
            <w:tcW w:w="2420" w:type="dxa"/>
          </w:tcPr>
          <w:p w14:paraId="25597911" w14:textId="77777777" w:rsidR="00E10D77" w:rsidRPr="000E4E49" w:rsidRDefault="00E10D77" w:rsidP="0083214A">
            <w:pPr>
              <w:jc w:val="center"/>
              <w:cnfStyle w:val="000000010000" w:firstRow="0" w:lastRow="0" w:firstColumn="0" w:lastColumn="0" w:oddVBand="0" w:evenVBand="0" w:oddHBand="0" w:evenHBand="1" w:firstRowFirstColumn="0" w:firstRowLastColumn="0" w:lastRowFirstColumn="0" w:lastRowLastColumn="0"/>
              <w:rPr>
                <w:noProof/>
                <w:lang w:val="en-IE"/>
              </w:rPr>
            </w:pPr>
            <w:r w:rsidRPr="000E4E49">
              <w:rPr>
                <w:noProof/>
                <w:lang w:val="en-IE"/>
              </w:rPr>
              <w:t>0.0</w:t>
            </w:r>
          </w:p>
        </w:tc>
      </w:tr>
    </w:tbl>
    <w:p w14:paraId="5EE056D5" w14:textId="77777777" w:rsidR="00E10D77" w:rsidRPr="000E4E49" w:rsidRDefault="00E10D77" w:rsidP="00E10D77">
      <w:pPr>
        <w:pStyle w:val="ppoListHyphened-L1"/>
        <w:numPr>
          <w:ilvl w:val="0"/>
          <w:numId w:val="0"/>
        </w:numPr>
        <w:ind w:left="357"/>
        <w:rPr>
          <w:noProof/>
          <w:lang w:val="en-IE"/>
        </w:rPr>
      </w:pPr>
    </w:p>
    <w:p w14:paraId="5F702349" w14:textId="77777777" w:rsidR="00E10D77" w:rsidRPr="000E4E49" w:rsidRDefault="00E10D77" w:rsidP="00E10D77">
      <w:pPr>
        <w:pStyle w:val="ppoListHyphened-L1"/>
        <w:rPr>
          <w:noProof/>
          <w:lang w:val="en-IE"/>
        </w:rPr>
      </w:pPr>
      <w:r w:rsidRPr="000E4E49">
        <w:rPr>
          <w:noProof/>
          <w:lang w:val="en-IE"/>
        </w:rPr>
        <w:t>The 2021 commitments reflect the contribution agreement signed with the National Agency for the Implementation of Decommissioning</w:t>
      </w:r>
      <w:r w:rsidRPr="000E4E49">
        <w:rPr>
          <w:rFonts w:ascii="Calibri" w:hAnsi="Calibri" w:cs="Calibri"/>
          <w:noProof/>
          <w:lang w:val="en-IE"/>
        </w:rPr>
        <w:t xml:space="preserve"> </w:t>
      </w:r>
      <w:r w:rsidRPr="000E4E49">
        <w:rPr>
          <w:noProof/>
          <w:lang w:val="en-IE"/>
        </w:rPr>
        <w:t>of Ignalina Nuclear Power Plant for EUR</w:t>
      </w:r>
      <w:r w:rsidRPr="000E4E49">
        <w:rPr>
          <w:rFonts w:ascii="Calibri" w:hAnsi="Calibri" w:cs="Calibri"/>
          <w:noProof/>
          <w:lang w:val="en-IE"/>
        </w:rPr>
        <w:t> </w:t>
      </w:r>
      <w:r w:rsidRPr="000E4E49">
        <w:rPr>
          <w:noProof/>
          <w:lang w:val="en-IE"/>
        </w:rPr>
        <w:t>62.5</w:t>
      </w:r>
      <w:r w:rsidRPr="000E4E49">
        <w:rPr>
          <w:rFonts w:ascii="Calibri" w:hAnsi="Calibri" w:cs="Calibri"/>
          <w:noProof/>
          <w:lang w:val="en-IE"/>
        </w:rPr>
        <w:t> </w:t>
      </w:r>
      <w:r w:rsidRPr="000E4E49">
        <w:rPr>
          <w:noProof/>
          <w:lang w:val="en-IE"/>
        </w:rPr>
        <w:t>million, and the planned signature of the contribution agreement for the implementation of the Ignalina programme with the European Bank for Reconstruction and Development for EUR</w:t>
      </w:r>
      <w:r w:rsidRPr="000E4E49">
        <w:rPr>
          <w:rFonts w:ascii="Calibri" w:hAnsi="Calibri" w:cs="Calibri"/>
          <w:noProof/>
          <w:lang w:val="en-IE"/>
        </w:rPr>
        <w:t> </w:t>
      </w:r>
      <w:r w:rsidRPr="000E4E49">
        <w:rPr>
          <w:noProof/>
          <w:lang w:val="en-IE"/>
        </w:rPr>
        <w:t>10</w:t>
      </w:r>
      <w:r w:rsidRPr="000E4E49">
        <w:rPr>
          <w:rFonts w:ascii="Calibri" w:hAnsi="Calibri" w:cs="Calibri"/>
          <w:noProof/>
          <w:lang w:val="en-IE"/>
        </w:rPr>
        <w:t> </w:t>
      </w:r>
      <w:r w:rsidRPr="000E4E49">
        <w:rPr>
          <w:noProof/>
          <w:lang w:val="en-IE"/>
        </w:rPr>
        <w:t>million. This allocation of funds will sustain the ongoing progress of the decommissioning programme in Lithuania.</w:t>
      </w:r>
    </w:p>
    <w:p w14:paraId="6C0695A9" w14:textId="77777777" w:rsidR="00E10D77" w:rsidRPr="000E4E49" w:rsidRDefault="00E10D77" w:rsidP="00E10D77">
      <w:pPr>
        <w:pStyle w:val="ppoListHyphened-L1"/>
        <w:rPr>
          <w:noProof/>
          <w:lang w:val="en-IE"/>
        </w:rPr>
      </w:pPr>
      <w:r w:rsidRPr="000E4E49">
        <w:rPr>
          <w:noProof/>
          <w:lang w:val="en-IE"/>
        </w:rPr>
        <w:t>Decommissioning projects are, in many cases, highly complex from the procurement and implementation point of view and extend over a long period. This explains the long interval between the commitments and the payments of the programme.</w:t>
      </w:r>
    </w:p>
    <w:p w14:paraId="53A8750C" w14:textId="77777777" w:rsidR="00E10D77" w:rsidRPr="000E4E49" w:rsidRDefault="00E10D77" w:rsidP="00E10D77">
      <w:pPr>
        <w:pStyle w:val="ppoListHyphened-L1"/>
        <w:rPr>
          <w:noProof/>
          <w:lang w:val="en-IE"/>
        </w:rPr>
      </w:pPr>
      <w:r w:rsidRPr="000E4E49">
        <w:rPr>
          <w:noProof/>
          <w:lang w:val="en-IE"/>
        </w:rPr>
        <w:t>During 2022, the last fuel assemblies</w:t>
      </w:r>
      <w:r w:rsidRPr="000E4E49">
        <w:rPr>
          <w:noProof/>
          <w:color w:val="FF0000"/>
          <w:lang w:val="en-IE"/>
        </w:rPr>
        <w:t xml:space="preserve"> </w:t>
      </w:r>
      <w:r w:rsidRPr="000E4E49">
        <w:rPr>
          <w:noProof/>
          <w:lang w:val="en-IE"/>
        </w:rPr>
        <w:t>are planned to be transferred from spent pools to storage casks and then to the interim spent fuel storage facility. This will open the way to the dismantling of the reactor core systems, a challenge that is the first of its kind.</w:t>
      </w:r>
    </w:p>
    <w:p w14:paraId="009F228F" w14:textId="77777777" w:rsidR="00E10D77" w:rsidRPr="000E4E49" w:rsidRDefault="00E10D77" w:rsidP="00E10D77">
      <w:pPr>
        <w:pStyle w:val="ppoListHyphened-L1"/>
        <w:numPr>
          <w:ilvl w:val="0"/>
          <w:numId w:val="0"/>
        </w:numPr>
        <w:rPr>
          <w:noProof/>
          <w:lang w:val="en-IE"/>
        </w:rPr>
      </w:pPr>
    </w:p>
    <w:p w14:paraId="73FD6937" w14:textId="77777777" w:rsidR="00E10D77" w:rsidRPr="000E4E49" w:rsidRDefault="00E10D77" w:rsidP="00E10D77">
      <w:pPr>
        <w:pStyle w:val="ppoHeading5"/>
        <w:rPr>
          <w:noProof/>
          <w:lang w:val="en-IE"/>
        </w:rPr>
      </w:pPr>
      <w:r w:rsidRPr="000E4E49">
        <w:rPr>
          <w:noProof/>
          <w:lang w:val="en-IE"/>
        </w:rPr>
        <w:t>Contribution to horizontal priorities</w:t>
      </w:r>
    </w:p>
    <w:p w14:paraId="5BBA55B2" w14:textId="77777777" w:rsidR="00E10D77" w:rsidRPr="000E4E49" w:rsidRDefault="00E10D77" w:rsidP="00E10D77">
      <w:pPr>
        <w:pStyle w:val="ppoTableTabletitle"/>
        <w:rPr>
          <w:noProof/>
          <w:lang w:val="en-IE"/>
        </w:rPr>
      </w:pPr>
      <w:r w:rsidRPr="000E4E49">
        <w:rPr>
          <w:noProof/>
          <w:lang w:val="en-IE"/>
        </w:rPr>
        <w:t>EU budget contribution in 2021 (million EUR):</w:t>
      </w:r>
    </w:p>
    <w:tbl>
      <w:tblPr>
        <w:tblStyle w:val="PPO2021"/>
        <w:tblW w:w="9639" w:type="dxa"/>
        <w:tblInd w:w="0" w:type="dxa"/>
        <w:tblLook w:val="0420" w:firstRow="1" w:lastRow="0" w:firstColumn="0" w:lastColumn="0" w:noHBand="0" w:noVBand="1"/>
      </w:tblPr>
      <w:tblGrid>
        <w:gridCol w:w="3213"/>
        <w:gridCol w:w="3213"/>
        <w:gridCol w:w="3213"/>
      </w:tblGrid>
      <w:tr w:rsidR="00E10D77" w:rsidRPr="000E4E49" w14:paraId="3CE45214" w14:textId="77777777" w:rsidTr="0083214A">
        <w:trPr>
          <w:cnfStyle w:val="100000000000" w:firstRow="1" w:lastRow="0" w:firstColumn="0" w:lastColumn="0" w:oddVBand="0" w:evenVBand="0" w:oddHBand="0" w:evenHBand="0" w:firstRowFirstColumn="0" w:firstRowLastColumn="0" w:lastRowFirstColumn="0" w:lastRowLastColumn="0"/>
          <w:tblHeader/>
        </w:trPr>
        <w:tc>
          <w:tcPr>
            <w:tcW w:w="3213" w:type="dxa"/>
          </w:tcPr>
          <w:p w14:paraId="167676A4" w14:textId="77777777" w:rsidR="00E10D77" w:rsidRPr="000E4E49" w:rsidRDefault="00E10D77" w:rsidP="0083214A">
            <w:pPr>
              <w:rPr>
                <w:noProof/>
                <w:lang w:val="en-IE"/>
              </w:rPr>
            </w:pPr>
            <w:r w:rsidRPr="000E4E49">
              <w:rPr>
                <w:noProof/>
                <w:lang w:val="en-IE"/>
              </w:rPr>
              <w:t>Climate</w:t>
            </w:r>
          </w:p>
        </w:tc>
        <w:tc>
          <w:tcPr>
            <w:tcW w:w="3213" w:type="dxa"/>
          </w:tcPr>
          <w:p w14:paraId="59B23769" w14:textId="77777777" w:rsidR="00E10D77" w:rsidRPr="000E4E49" w:rsidRDefault="00E10D77" w:rsidP="0083214A">
            <w:pPr>
              <w:rPr>
                <w:noProof/>
                <w:lang w:val="en-IE"/>
              </w:rPr>
            </w:pPr>
            <w:r w:rsidRPr="000E4E49">
              <w:rPr>
                <w:noProof/>
                <w:lang w:val="en-IE"/>
              </w:rPr>
              <w:t>Biodiversity</w:t>
            </w:r>
          </w:p>
        </w:tc>
        <w:tc>
          <w:tcPr>
            <w:tcW w:w="3213" w:type="dxa"/>
          </w:tcPr>
          <w:p w14:paraId="25049C13" w14:textId="77777777" w:rsidR="00E10D77" w:rsidRPr="000E4E49" w:rsidRDefault="00E10D77" w:rsidP="0083214A">
            <w:pPr>
              <w:rPr>
                <w:noProof/>
                <w:lang w:val="en-IE"/>
              </w:rPr>
            </w:pPr>
            <w:r w:rsidRPr="000E4E49">
              <w:rPr>
                <w:noProof/>
                <w:lang w:val="en-IE"/>
              </w:rPr>
              <w:t>Gender equality</w:t>
            </w:r>
            <w:r w:rsidRPr="000E4E49">
              <w:rPr>
                <w:rFonts w:ascii="Calibri" w:hAnsi="Calibri" w:cs="Calibri"/>
                <w:noProof/>
                <w:lang w:val="en-IE"/>
              </w:rPr>
              <w:t> </w:t>
            </w:r>
            <w:r w:rsidRPr="000E4E49">
              <w:rPr>
                <w:noProof/>
                <w:lang w:val="en-IE"/>
              </w:rPr>
              <w:t>(*)</w:t>
            </w:r>
          </w:p>
        </w:tc>
      </w:tr>
      <w:tr w:rsidR="00E10D77" w:rsidRPr="000E4E49" w14:paraId="5F75EC74" w14:textId="77777777" w:rsidTr="0083214A">
        <w:trPr>
          <w:cnfStyle w:val="000000100000" w:firstRow="0" w:lastRow="0" w:firstColumn="0" w:lastColumn="0" w:oddVBand="0" w:evenVBand="0" w:oddHBand="1" w:evenHBand="0" w:firstRowFirstColumn="0" w:firstRowLastColumn="0" w:lastRowFirstColumn="0" w:lastRowLastColumn="0"/>
        </w:trPr>
        <w:tc>
          <w:tcPr>
            <w:tcW w:w="3213" w:type="dxa"/>
          </w:tcPr>
          <w:p w14:paraId="1E2DA68E" w14:textId="77777777" w:rsidR="00E10D77" w:rsidRPr="000E4E49" w:rsidRDefault="00E10D77" w:rsidP="0083214A">
            <w:pPr>
              <w:jc w:val="center"/>
              <w:rPr>
                <w:noProof/>
                <w:lang w:val="en-IE"/>
              </w:rPr>
            </w:pPr>
            <w:r w:rsidRPr="000E4E49">
              <w:rPr>
                <w:noProof/>
                <w:lang w:val="en-IE"/>
              </w:rPr>
              <w:t>0</w:t>
            </w:r>
          </w:p>
        </w:tc>
        <w:tc>
          <w:tcPr>
            <w:tcW w:w="3213" w:type="dxa"/>
          </w:tcPr>
          <w:p w14:paraId="585B4E88" w14:textId="77777777" w:rsidR="00E10D77" w:rsidRPr="000E4E49" w:rsidRDefault="00E10D77" w:rsidP="0083214A">
            <w:pPr>
              <w:jc w:val="center"/>
              <w:rPr>
                <w:noProof/>
                <w:lang w:val="en-IE"/>
              </w:rPr>
            </w:pPr>
            <w:r w:rsidRPr="000E4E49">
              <w:rPr>
                <w:noProof/>
                <w:lang w:val="en-IE"/>
              </w:rPr>
              <w:t>0</w:t>
            </w:r>
          </w:p>
        </w:tc>
        <w:tc>
          <w:tcPr>
            <w:tcW w:w="3213" w:type="dxa"/>
          </w:tcPr>
          <w:p w14:paraId="41E0930B" w14:textId="77777777" w:rsidR="00E10D77" w:rsidRPr="000E4E49" w:rsidRDefault="00E10D77" w:rsidP="0083214A">
            <w:pPr>
              <w:jc w:val="center"/>
              <w:rPr>
                <w:noProof/>
                <w:lang w:val="en-IE"/>
              </w:rPr>
            </w:pPr>
            <w:r w:rsidRPr="000E4E49">
              <w:rPr>
                <w:noProof/>
                <w:lang w:val="en-IE"/>
              </w:rPr>
              <w:t>Score</w:t>
            </w:r>
            <w:r w:rsidRPr="000E4E49">
              <w:rPr>
                <w:rFonts w:ascii="Calibri" w:hAnsi="Calibri" w:cs="Calibri"/>
                <w:noProof/>
                <w:lang w:val="en-IE"/>
              </w:rPr>
              <w:t> </w:t>
            </w:r>
            <w:r w:rsidRPr="000E4E49">
              <w:rPr>
                <w:noProof/>
                <w:lang w:val="en-IE"/>
              </w:rPr>
              <w:t>0: 72.5</w:t>
            </w:r>
          </w:p>
        </w:tc>
      </w:tr>
    </w:tbl>
    <w:p w14:paraId="49FD07B7" w14:textId="77777777" w:rsidR="00E10D77" w:rsidRPr="000E4E49" w:rsidRDefault="00E10D77" w:rsidP="00E10D77">
      <w:pPr>
        <w:pStyle w:val="FootnoteText"/>
        <w:rPr>
          <w:noProof/>
          <w:lang w:val="en-IE"/>
        </w:rPr>
      </w:pPr>
      <w:r w:rsidRPr="000E4E49">
        <w:rPr>
          <w:noProof/>
          <w:lang w:val="en-IE"/>
        </w:rPr>
        <w:t>(*) Based on the applied gender contribution methodology, the following scores are attributed at the most granular level of intervention possible:</w:t>
      </w:r>
    </w:p>
    <w:p w14:paraId="0B1DCEB3" w14:textId="77777777" w:rsidR="00E10D77" w:rsidRPr="000E4E49" w:rsidRDefault="00E10D77" w:rsidP="00E10D77">
      <w:pPr>
        <w:pStyle w:val="FootnoteText"/>
        <w:numPr>
          <w:ilvl w:val="0"/>
          <w:numId w:val="38"/>
        </w:numPr>
        <w:spacing w:after="60" w:line="264" w:lineRule="auto"/>
        <w:jc w:val="left"/>
        <w:rPr>
          <w:noProof/>
          <w:lang w:val="en-IE"/>
        </w:rPr>
      </w:pPr>
      <w:r w:rsidRPr="000E4E49">
        <w:rPr>
          <w:noProof/>
          <w:lang w:val="en-IE"/>
        </w:rPr>
        <w:t>2: interventions the principal objective of which is to improve gender equality;</w:t>
      </w:r>
    </w:p>
    <w:p w14:paraId="118F6CFE" w14:textId="77777777" w:rsidR="00E10D77" w:rsidRPr="000E4E49" w:rsidRDefault="00E10D77" w:rsidP="00E10D77">
      <w:pPr>
        <w:pStyle w:val="FootnoteText"/>
        <w:numPr>
          <w:ilvl w:val="0"/>
          <w:numId w:val="38"/>
        </w:numPr>
        <w:spacing w:after="60" w:line="264" w:lineRule="auto"/>
        <w:jc w:val="left"/>
        <w:rPr>
          <w:noProof/>
          <w:lang w:val="en-IE"/>
        </w:rPr>
      </w:pPr>
      <w:r w:rsidRPr="000E4E49">
        <w:rPr>
          <w:noProof/>
          <w:lang w:val="en-IE"/>
        </w:rPr>
        <w:t>1: interventions having gender equality as an important and deliberate objective but not as the main reason for the intervention;</w:t>
      </w:r>
    </w:p>
    <w:p w14:paraId="4654F615" w14:textId="77777777" w:rsidR="00E10D77" w:rsidRPr="000E4E49" w:rsidRDefault="00E10D77" w:rsidP="00E10D77">
      <w:pPr>
        <w:pStyle w:val="FootnoteText"/>
        <w:numPr>
          <w:ilvl w:val="0"/>
          <w:numId w:val="38"/>
        </w:numPr>
        <w:spacing w:after="60" w:line="264" w:lineRule="auto"/>
        <w:jc w:val="left"/>
        <w:rPr>
          <w:noProof/>
          <w:lang w:val="en-IE"/>
        </w:rPr>
      </w:pPr>
      <w:bookmarkStart w:id="218" w:name="_Hlk101353936"/>
      <w:r w:rsidRPr="000E4E49">
        <w:rPr>
          <w:noProof/>
          <w:lang w:val="en-IE"/>
        </w:rPr>
        <w:t>0: non-targeted interventions;</w:t>
      </w:r>
    </w:p>
    <w:p w14:paraId="44716B1B" w14:textId="77777777" w:rsidR="00E10D77" w:rsidRPr="000E4E49" w:rsidRDefault="00E10D77" w:rsidP="00E10D77">
      <w:pPr>
        <w:pStyle w:val="FootnoteText"/>
        <w:numPr>
          <w:ilvl w:val="0"/>
          <w:numId w:val="38"/>
        </w:numPr>
        <w:spacing w:after="60" w:line="264" w:lineRule="auto"/>
        <w:jc w:val="left"/>
        <w:rPr>
          <w:noProof/>
          <w:lang w:val="en-IE"/>
        </w:rPr>
      </w:pPr>
      <w:r w:rsidRPr="000E4E49">
        <w:rPr>
          <w:noProof/>
          <w:lang w:val="en-IE"/>
        </w:rPr>
        <w:t>0*: score to be assigned to interventions with a likely but not yet clear positive impact on gender equality.</w:t>
      </w:r>
    </w:p>
    <w:bookmarkEnd w:id="218"/>
    <w:p w14:paraId="4E26BEBA" w14:textId="77777777" w:rsidR="00E10D77" w:rsidRPr="000E4E49" w:rsidRDefault="00E10D77" w:rsidP="00E10D77">
      <w:pPr>
        <w:rPr>
          <w:noProof/>
          <w:lang w:val="en-IE"/>
        </w:rPr>
      </w:pPr>
    </w:p>
    <w:p w14:paraId="3F6FD032" w14:textId="77777777" w:rsidR="00E10D77" w:rsidRPr="000E4E49" w:rsidRDefault="00E10D77" w:rsidP="00E10D77">
      <w:pPr>
        <w:rPr>
          <w:noProof/>
          <w:lang w:val="en-IE"/>
        </w:rPr>
      </w:pPr>
      <w:bookmarkStart w:id="219" w:name="_Hlk101355480"/>
      <w:bookmarkStart w:id="220" w:name="_Hlk100326548"/>
      <w:r w:rsidRPr="000E4E49">
        <w:rPr>
          <w:noProof/>
          <w:lang w:val="en-IE"/>
        </w:rPr>
        <w:t>DG Energy</w:t>
      </w:r>
      <w:bookmarkEnd w:id="219"/>
      <w:r w:rsidRPr="000E4E49">
        <w:rPr>
          <w:noProof/>
          <w:lang w:val="en-IE"/>
        </w:rPr>
        <w:t xml:space="preserve"> took the gender equality perspective into account in our financing by Council Regulation (EU)</w:t>
      </w:r>
      <w:r w:rsidRPr="000E4E49">
        <w:rPr>
          <w:rFonts w:ascii="Calibri" w:hAnsi="Calibri" w:cs="Calibri"/>
          <w:noProof/>
          <w:lang w:val="en-IE"/>
        </w:rPr>
        <w:t> </w:t>
      </w:r>
      <w:r w:rsidRPr="000E4E49">
        <w:rPr>
          <w:noProof/>
          <w:lang w:val="en-IE"/>
        </w:rPr>
        <w:t>2021/101. Nonetheless, we determined that nuclear decommissioning is the primary and sole objective of our programme and, as such, has no significant impact on gender equality, even though some minor indirect impacts might occur.</w:t>
      </w:r>
    </w:p>
    <w:bookmarkEnd w:id="220"/>
    <w:p w14:paraId="3F92D3D9" w14:textId="77777777" w:rsidR="00E10D77" w:rsidRPr="000E4E49" w:rsidRDefault="00E10D77" w:rsidP="00E10D77">
      <w:pPr>
        <w:pStyle w:val="ppoHeading5"/>
        <w:rPr>
          <w:noProof/>
          <w:lang w:val="en-IE"/>
        </w:rPr>
      </w:pPr>
      <w:r w:rsidRPr="000E4E49">
        <w:rPr>
          <w:noProof/>
          <w:lang w:val="en-IE"/>
        </w:rPr>
        <w:t>Performance assessment</w:t>
      </w:r>
    </w:p>
    <w:p w14:paraId="7ED602D2" w14:textId="77777777" w:rsidR="00E10D77" w:rsidRPr="000E4E49" w:rsidRDefault="00E10D77" w:rsidP="00E10D77">
      <w:pPr>
        <w:pStyle w:val="ppoHeading6"/>
        <w:rPr>
          <w:noProof/>
          <w:lang w:val="en-IE"/>
        </w:rPr>
      </w:pPr>
      <w:r w:rsidRPr="000E4E49">
        <w:rPr>
          <w:noProof/>
          <w:lang w:val="en-IE"/>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E10D77" w:rsidRPr="000E4E49" w14:paraId="118EC4AE" w14:textId="77777777" w:rsidTr="0083214A">
        <w:trPr>
          <w:cnfStyle w:val="100000000000" w:firstRow="1" w:lastRow="0" w:firstColumn="0" w:lastColumn="0" w:oddVBand="0" w:evenVBand="0" w:oddHBand="0" w:evenHBand="0" w:firstRowFirstColumn="0" w:firstRowLastColumn="0" w:lastRowFirstColumn="0" w:lastRowLastColumn="0"/>
        </w:trPr>
        <w:tc>
          <w:tcPr>
            <w:tcW w:w="2330" w:type="dxa"/>
          </w:tcPr>
          <w:p w14:paraId="73372E11" w14:textId="77777777" w:rsidR="00E10D77" w:rsidRPr="000E4E49" w:rsidRDefault="00E10D77" w:rsidP="0083214A">
            <w:pPr>
              <w:rPr>
                <w:noProof/>
                <w:lang w:val="en-IE"/>
              </w:rPr>
            </w:pPr>
          </w:p>
        </w:tc>
        <w:tc>
          <w:tcPr>
            <w:tcW w:w="1100" w:type="dxa"/>
          </w:tcPr>
          <w:p w14:paraId="26EF4514" w14:textId="77777777" w:rsidR="00E10D77" w:rsidRPr="000E4E49" w:rsidRDefault="00E10D77" w:rsidP="0083214A">
            <w:pPr>
              <w:rPr>
                <w:noProof/>
                <w:lang w:val="en-IE"/>
              </w:rPr>
            </w:pPr>
            <w:r w:rsidRPr="000E4E49">
              <w:rPr>
                <w:noProof/>
                <w:lang w:val="en-IE"/>
              </w:rPr>
              <w:t>Baseline</w:t>
            </w:r>
          </w:p>
        </w:tc>
        <w:tc>
          <w:tcPr>
            <w:tcW w:w="1526" w:type="dxa"/>
          </w:tcPr>
          <w:p w14:paraId="4439D054" w14:textId="77777777" w:rsidR="00E10D77" w:rsidRPr="000E4E49" w:rsidRDefault="00E10D77" w:rsidP="0083214A">
            <w:pPr>
              <w:rPr>
                <w:noProof/>
                <w:lang w:val="en-IE"/>
              </w:rPr>
            </w:pPr>
            <w:r w:rsidRPr="000E4E49">
              <w:rPr>
                <w:noProof/>
                <w:lang w:val="en-IE"/>
              </w:rPr>
              <w:t>Progress</w:t>
            </w:r>
            <w:r w:rsidRPr="000E4E49">
              <w:rPr>
                <w:rFonts w:ascii="Calibri" w:hAnsi="Calibri" w:cs="Calibri"/>
                <w:noProof/>
                <w:lang w:val="en-IE"/>
              </w:rPr>
              <w:t> </w:t>
            </w:r>
            <w:r w:rsidRPr="000E4E49">
              <w:rPr>
                <w:noProof/>
                <w:lang w:val="en-IE"/>
              </w:rPr>
              <w:t>(*)</w:t>
            </w:r>
          </w:p>
        </w:tc>
        <w:tc>
          <w:tcPr>
            <w:tcW w:w="1532" w:type="dxa"/>
          </w:tcPr>
          <w:p w14:paraId="78FA0BF7" w14:textId="77777777" w:rsidR="00E10D77" w:rsidRPr="000E4E49" w:rsidRDefault="00E10D77" w:rsidP="0083214A">
            <w:pPr>
              <w:rPr>
                <w:noProof/>
                <w:lang w:val="en-IE"/>
              </w:rPr>
            </w:pPr>
            <w:r w:rsidRPr="000E4E49">
              <w:rPr>
                <w:noProof/>
                <w:lang w:val="en-IE"/>
              </w:rPr>
              <w:t>Target</w:t>
            </w:r>
          </w:p>
        </w:tc>
        <w:tc>
          <w:tcPr>
            <w:tcW w:w="1572" w:type="dxa"/>
          </w:tcPr>
          <w:p w14:paraId="2BAA00B0" w14:textId="77777777" w:rsidR="00E10D77" w:rsidRPr="000E4E49" w:rsidRDefault="00E10D77" w:rsidP="0083214A">
            <w:pPr>
              <w:rPr>
                <w:noProof/>
                <w:lang w:val="en-IE"/>
              </w:rPr>
            </w:pPr>
            <w:r w:rsidRPr="000E4E49">
              <w:rPr>
                <w:noProof/>
                <w:lang w:val="en-IE"/>
              </w:rPr>
              <w:t>Results</w:t>
            </w:r>
          </w:p>
        </w:tc>
        <w:tc>
          <w:tcPr>
            <w:tcW w:w="1579" w:type="dxa"/>
          </w:tcPr>
          <w:p w14:paraId="33E92074" w14:textId="77777777" w:rsidR="00E10D77" w:rsidRPr="000E4E49" w:rsidRDefault="00E10D77" w:rsidP="0083214A">
            <w:pPr>
              <w:rPr>
                <w:noProof/>
                <w:lang w:val="en-IE"/>
              </w:rPr>
            </w:pPr>
            <w:r w:rsidRPr="000E4E49">
              <w:rPr>
                <w:noProof/>
                <w:lang w:val="en-IE"/>
              </w:rPr>
              <w:t>Assessment</w:t>
            </w:r>
          </w:p>
        </w:tc>
      </w:tr>
      <w:tr w:rsidR="00E10D77" w:rsidRPr="000E4E49" w14:paraId="60FF9AE9"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2D1C0614" w14:textId="77777777" w:rsidR="00E10D77" w:rsidRPr="000E4E49" w:rsidRDefault="00E10D77" w:rsidP="0083214A">
            <w:pPr>
              <w:rPr>
                <w:noProof/>
                <w:lang w:val="en-IE"/>
              </w:rPr>
            </w:pPr>
            <w:r w:rsidRPr="000E4E49">
              <w:rPr>
                <w:noProof/>
                <w:lang w:val="en-IE"/>
              </w:rPr>
              <w:t>Very low radioactivity waste disposed (m</w:t>
            </w:r>
            <w:r w:rsidRPr="000E4E49">
              <w:rPr>
                <w:noProof/>
                <w:vertAlign w:val="superscript"/>
                <w:lang w:val="en-IE"/>
              </w:rPr>
              <w:t>3</w:t>
            </w:r>
            <w:r w:rsidRPr="000E4E49">
              <w:rPr>
                <w:noProof/>
                <w:lang w:val="en-IE"/>
              </w:rPr>
              <w:t>)</w:t>
            </w:r>
          </w:p>
        </w:tc>
        <w:tc>
          <w:tcPr>
            <w:tcW w:w="1100" w:type="dxa"/>
          </w:tcPr>
          <w:p w14:paraId="2721EFF4" w14:textId="77777777" w:rsidR="00E10D77" w:rsidRPr="000E4E49" w:rsidRDefault="00E10D77" w:rsidP="0083214A">
            <w:pPr>
              <w:jc w:val="center"/>
              <w:rPr>
                <w:noProof/>
                <w:lang w:val="en-IE"/>
              </w:rPr>
            </w:pPr>
            <w:r w:rsidRPr="000E4E49">
              <w:rPr>
                <w:noProof/>
                <w:lang w:val="en-IE"/>
              </w:rPr>
              <w:t>0</w:t>
            </w:r>
          </w:p>
        </w:tc>
        <w:tc>
          <w:tcPr>
            <w:tcW w:w="1526" w:type="dxa"/>
          </w:tcPr>
          <w:p w14:paraId="5BFF3071" w14:textId="77777777" w:rsidR="00E10D77" w:rsidRPr="00E96180" w:rsidRDefault="00E10D77" w:rsidP="0083214A">
            <w:pPr>
              <w:jc w:val="center"/>
              <w:rPr>
                <w:b/>
                <w:noProof/>
                <w:lang w:val="en-IE"/>
              </w:rPr>
            </w:pPr>
            <w:r w:rsidRPr="006F409B">
              <w:rPr>
                <w:b/>
                <w:noProof/>
                <w:lang w:val="en-IE"/>
              </w:rPr>
              <w:t>0%</w:t>
            </w:r>
          </w:p>
        </w:tc>
        <w:tc>
          <w:tcPr>
            <w:tcW w:w="1532" w:type="dxa"/>
          </w:tcPr>
          <w:p w14:paraId="67F23FDB" w14:textId="77777777" w:rsidR="00E10D77" w:rsidRPr="000E4E49" w:rsidRDefault="00E10D77" w:rsidP="0083214A">
            <w:pPr>
              <w:jc w:val="center"/>
              <w:rPr>
                <w:noProof/>
                <w:vertAlign w:val="superscript"/>
                <w:lang w:val="en-IE"/>
              </w:rPr>
            </w:pPr>
            <w:r w:rsidRPr="000E4E49">
              <w:rPr>
                <w:noProof/>
                <w:lang w:val="en-IE"/>
              </w:rPr>
              <w:t>29</w:t>
            </w:r>
            <w:r w:rsidRPr="000E4E49">
              <w:rPr>
                <w:rFonts w:ascii="Calibri" w:hAnsi="Calibri" w:cs="Calibri"/>
                <w:noProof/>
                <w:lang w:val="en-IE"/>
              </w:rPr>
              <w:t> </w:t>
            </w:r>
            <w:r w:rsidRPr="000E4E49">
              <w:rPr>
                <w:noProof/>
                <w:lang w:val="en-IE"/>
              </w:rPr>
              <w:t>020 in 2030</w:t>
            </w:r>
          </w:p>
        </w:tc>
        <w:tc>
          <w:tcPr>
            <w:tcW w:w="1572" w:type="dxa"/>
          </w:tcPr>
          <w:p w14:paraId="5388A879" w14:textId="77777777" w:rsidR="00E10D77" w:rsidRPr="000E4E49" w:rsidRDefault="00E10D77" w:rsidP="0083214A">
            <w:pPr>
              <w:jc w:val="center"/>
              <w:rPr>
                <w:noProof/>
                <w:lang w:val="en-IE"/>
              </w:rPr>
            </w:pPr>
            <w:r w:rsidRPr="000E4E49">
              <w:rPr>
                <w:noProof/>
                <w:lang w:val="en-IE"/>
              </w:rPr>
              <w:t>0 compared to a target of 29</w:t>
            </w:r>
            <w:r w:rsidRPr="000E4E49">
              <w:rPr>
                <w:rFonts w:ascii="Calibri" w:hAnsi="Calibri" w:cs="Calibri"/>
                <w:noProof/>
                <w:lang w:val="en-IE"/>
              </w:rPr>
              <w:t> </w:t>
            </w:r>
            <w:r w:rsidRPr="000E4E49">
              <w:rPr>
                <w:noProof/>
                <w:lang w:val="en-IE"/>
              </w:rPr>
              <w:t>020</w:t>
            </w:r>
          </w:p>
        </w:tc>
        <w:tc>
          <w:tcPr>
            <w:tcW w:w="1579" w:type="dxa"/>
          </w:tcPr>
          <w:p w14:paraId="3CB403B9" w14:textId="77777777" w:rsidR="00E10D77" w:rsidRPr="000E4E49" w:rsidRDefault="00E10D77" w:rsidP="0083214A">
            <w:pPr>
              <w:jc w:val="center"/>
              <w:rPr>
                <w:noProof/>
                <w:lang w:val="en-IE"/>
              </w:rPr>
            </w:pPr>
            <w:r w:rsidRPr="000E4E49">
              <w:rPr>
                <w:noProof/>
                <w:lang w:val="en-IE"/>
              </w:rPr>
              <w:t>Deserves attention</w:t>
            </w:r>
          </w:p>
        </w:tc>
      </w:tr>
      <w:tr w:rsidR="00E10D77" w:rsidRPr="000E4E49" w14:paraId="6C0461EC"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48E6BA28" w14:textId="77777777" w:rsidR="00E10D77" w:rsidRPr="000E4E49" w:rsidRDefault="00E10D77" w:rsidP="0083214A">
            <w:pPr>
              <w:rPr>
                <w:noProof/>
                <w:lang w:val="en-IE"/>
              </w:rPr>
            </w:pPr>
            <w:r w:rsidRPr="000E4E49">
              <w:rPr>
                <w:noProof/>
                <w:lang w:val="en-IE"/>
              </w:rPr>
              <w:t>Low and intermediate radioactivity waste disposed (m</w:t>
            </w:r>
            <w:r w:rsidRPr="000E4E49">
              <w:rPr>
                <w:noProof/>
                <w:vertAlign w:val="superscript"/>
                <w:lang w:val="en-IE"/>
              </w:rPr>
              <w:t>3</w:t>
            </w:r>
            <w:r w:rsidRPr="000E4E49">
              <w:rPr>
                <w:noProof/>
                <w:lang w:val="en-IE"/>
              </w:rPr>
              <w:t>)</w:t>
            </w:r>
          </w:p>
        </w:tc>
        <w:tc>
          <w:tcPr>
            <w:tcW w:w="1100" w:type="dxa"/>
          </w:tcPr>
          <w:p w14:paraId="56805E61" w14:textId="77777777" w:rsidR="00E10D77" w:rsidRPr="000E4E49" w:rsidRDefault="00E10D77" w:rsidP="0083214A">
            <w:pPr>
              <w:jc w:val="center"/>
              <w:rPr>
                <w:noProof/>
                <w:lang w:val="en-IE"/>
              </w:rPr>
            </w:pPr>
            <w:r w:rsidRPr="000E4E49">
              <w:rPr>
                <w:noProof/>
                <w:lang w:val="en-IE"/>
              </w:rPr>
              <w:t>0</w:t>
            </w:r>
          </w:p>
        </w:tc>
        <w:tc>
          <w:tcPr>
            <w:tcW w:w="1526" w:type="dxa"/>
          </w:tcPr>
          <w:p w14:paraId="15B1A4E1" w14:textId="77777777" w:rsidR="00E10D77" w:rsidRPr="00E96180" w:rsidRDefault="00E10D77" w:rsidP="0083214A">
            <w:pPr>
              <w:jc w:val="center"/>
              <w:rPr>
                <w:b/>
                <w:noProof/>
                <w:lang w:val="en-IE"/>
              </w:rPr>
            </w:pPr>
            <w:r w:rsidRPr="006F409B">
              <w:rPr>
                <w:b/>
                <w:noProof/>
                <w:lang w:val="en-IE"/>
              </w:rPr>
              <w:t>0%</w:t>
            </w:r>
          </w:p>
        </w:tc>
        <w:tc>
          <w:tcPr>
            <w:tcW w:w="1532" w:type="dxa"/>
          </w:tcPr>
          <w:p w14:paraId="5B0F05F5" w14:textId="77777777" w:rsidR="00E10D77" w:rsidRPr="000E4E49" w:rsidRDefault="00E10D77" w:rsidP="0083214A">
            <w:pPr>
              <w:jc w:val="center"/>
              <w:rPr>
                <w:noProof/>
                <w:vertAlign w:val="superscript"/>
                <w:lang w:val="en-IE"/>
              </w:rPr>
            </w:pPr>
            <w:r w:rsidRPr="000E4E49">
              <w:rPr>
                <w:noProof/>
                <w:lang w:val="en-IE"/>
              </w:rPr>
              <w:t>9</w:t>
            </w:r>
            <w:r w:rsidRPr="000E4E49">
              <w:rPr>
                <w:rFonts w:ascii="Calibri" w:hAnsi="Calibri" w:cs="Calibri"/>
                <w:noProof/>
                <w:lang w:val="en-IE"/>
              </w:rPr>
              <w:t> </w:t>
            </w:r>
            <w:r w:rsidRPr="000E4E49">
              <w:rPr>
                <w:noProof/>
                <w:lang w:val="en-IE"/>
              </w:rPr>
              <w:t>202 in 2030</w:t>
            </w:r>
          </w:p>
        </w:tc>
        <w:tc>
          <w:tcPr>
            <w:tcW w:w="1572" w:type="dxa"/>
          </w:tcPr>
          <w:p w14:paraId="6A646703" w14:textId="77777777" w:rsidR="00E10D77" w:rsidRPr="000E4E49" w:rsidRDefault="00E10D77" w:rsidP="0083214A">
            <w:pPr>
              <w:jc w:val="center"/>
              <w:rPr>
                <w:noProof/>
                <w:lang w:val="en-IE"/>
              </w:rPr>
            </w:pPr>
            <w:r w:rsidRPr="000E4E49">
              <w:rPr>
                <w:noProof/>
                <w:lang w:val="en-IE"/>
              </w:rPr>
              <w:t>0 compared to a target of 9</w:t>
            </w:r>
            <w:r w:rsidRPr="000E4E49">
              <w:rPr>
                <w:rFonts w:ascii="Calibri" w:hAnsi="Calibri" w:cs="Calibri"/>
                <w:noProof/>
                <w:lang w:val="en-IE"/>
              </w:rPr>
              <w:t> </w:t>
            </w:r>
            <w:r w:rsidRPr="000E4E49">
              <w:rPr>
                <w:noProof/>
                <w:lang w:val="en-IE"/>
              </w:rPr>
              <w:t>202</w:t>
            </w:r>
          </w:p>
        </w:tc>
        <w:tc>
          <w:tcPr>
            <w:tcW w:w="1579" w:type="dxa"/>
          </w:tcPr>
          <w:p w14:paraId="28D0C438" w14:textId="77777777" w:rsidR="00E10D77" w:rsidRPr="000E4E49" w:rsidRDefault="00E10D77" w:rsidP="0083214A">
            <w:pPr>
              <w:jc w:val="center"/>
              <w:rPr>
                <w:noProof/>
                <w:lang w:val="en-IE"/>
              </w:rPr>
            </w:pPr>
            <w:r w:rsidRPr="000E4E49">
              <w:rPr>
                <w:noProof/>
                <w:lang w:val="en-IE"/>
              </w:rPr>
              <w:t>Deserves attention</w:t>
            </w:r>
          </w:p>
        </w:tc>
      </w:tr>
      <w:tr w:rsidR="00E10D77" w:rsidRPr="000E4E49" w14:paraId="62C79239"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7F2D82CE" w14:textId="77777777" w:rsidR="00E10D77" w:rsidRPr="000E4E49" w:rsidRDefault="00E10D77" w:rsidP="0083214A">
            <w:pPr>
              <w:rPr>
                <w:noProof/>
                <w:lang w:val="en-IE"/>
              </w:rPr>
            </w:pPr>
            <w:r w:rsidRPr="000E4E49">
              <w:rPr>
                <w:noProof/>
                <w:lang w:val="en-IE"/>
              </w:rPr>
              <w:t>Metal dismantled (tonnes)</w:t>
            </w:r>
          </w:p>
        </w:tc>
        <w:tc>
          <w:tcPr>
            <w:tcW w:w="1100" w:type="dxa"/>
          </w:tcPr>
          <w:p w14:paraId="10002495" w14:textId="77777777" w:rsidR="00E10D77" w:rsidRPr="000E4E49" w:rsidRDefault="00E10D77" w:rsidP="0083214A">
            <w:pPr>
              <w:jc w:val="center"/>
              <w:rPr>
                <w:noProof/>
                <w:lang w:val="en-IE"/>
              </w:rPr>
            </w:pPr>
            <w:r w:rsidRPr="000E4E49">
              <w:rPr>
                <w:noProof/>
                <w:lang w:val="en-IE"/>
              </w:rPr>
              <w:t>0</w:t>
            </w:r>
          </w:p>
        </w:tc>
        <w:tc>
          <w:tcPr>
            <w:tcW w:w="1526" w:type="dxa"/>
          </w:tcPr>
          <w:p w14:paraId="70881276" w14:textId="77777777" w:rsidR="00E10D77" w:rsidRPr="00E96180" w:rsidRDefault="00E10D77" w:rsidP="0083214A">
            <w:pPr>
              <w:jc w:val="center"/>
              <w:rPr>
                <w:b/>
                <w:noProof/>
                <w:lang w:val="en-IE"/>
              </w:rPr>
            </w:pPr>
            <w:r w:rsidRPr="006F409B">
              <w:rPr>
                <w:b/>
                <w:noProof/>
                <w:lang w:val="en-IE"/>
              </w:rPr>
              <w:t>3%</w:t>
            </w:r>
          </w:p>
        </w:tc>
        <w:tc>
          <w:tcPr>
            <w:tcW w:w="1532" w:type="dxa"/>
          </w:tcPr>
          <w:p w14:paraId="2F392AC2" w14:textId="77777777" w:rsidR="00E10D77" w:rsidRPr="000E4E49" w:rsidRDefault="00E10D77" w:rsidP="0083214A">
            <w:pPr>
              <w:jc w:val="center"/>
              <w:rPr>
                <w:noProof/>
                <w:lang w:val="en-IE"/>
              </w:rPr>
            </w:pPr>
            <w:r w:rsidRPr="000E4E49">
              <w:rPr>
                <w:noProof/>
                <w:lang w:val="en-IE"/>
              </w:rPr>
              <w:t>4</w:t>
            </w:r>
            <w:r w:rsidRPr="000E4E49">
              <w:rPr>
                <w:rFonts w:ascii="Calibri" w:hAnsi="Calibri" w:cs="Calibri"/>
                <w:noProof/>
                <w:lang w:val="en-IE"/>
              </w:rPr>
              <w:t> </w:t>
            </w:r>
            <w:r w:rsidRPr="000E4E49">
              <w:rPr>
                <w:noProof/>
                <w:lang w:val="en-IE"/>
              </w:rPr>
              <w:t>341 in 2028</w:t>
            </w:r>
          </w:p>
        </w:tc>
        <w:tc>
          <w:tcPr>
            <w:tcW w:w="1572" w:type="dxa"/>
          </w:tcPr>
          <w:p w14:paraId="3F2A31EA" w14:textId="77777777" w:rsidR="00E10D77" w:rsidRPr="000E4E49" w:rsidRDefault="00E10D77" w:rsidP="0083214A">
            <w:pPr>
              <w:jc w:val="center"/>
              <w:rPr>
                <w:noProof/>
                <w:lang w:val="en-IE"/>
              </w:rPr>
            </w:pPr>
            <w:r w:rsidRPr="000E4E49">
              <w:rPr>
                <w:noProof/>
                <w:lang w:val="en-IE"/>
              </w:rPr>
              <w:t>106 compared to a target of 4</w:t>
            </w:r>
            <w:r w:rsidRPr="000E4E49">
              <w:rPr>
                <w:rFonts w:ascii="Calibri" w:hAnsi="Calibri" w:cs="Calibri"/>
                <w:noProof/>
                <w:lang w:val="en-IE"/>
              </w:rPr>
              <w:t> </w:t>
            </w:r>
            <w:r w:rsidRPr="000E4E49">
              <w:rPr>
                <w:noProof/>
                <w:lang w:val="en-IE"/>
              </w:rPr>
              <w:t>341</w:t>
            </w:r>
          </w:p>
        </w:tc>
        <w:tc>
          <w:tcPr>
            <w:tcW w:w="1579" w:type="dxa"/>
          </w:tcPr>
          <w:p w14:paraId="50C9A4E4" w14:textId="77777777" w:rsidR="00E10D77" w:rsidRPr="000E4E49" w:rsidRDefault="00E10D77" w:rsidP="0083214A">
            <w:pPr>
              <w:jc w:val="center"/>
              <w:rPr>
                <w:noProof/>
                <w:lang w:val="en-IE"/>
              </w:rPr>
            </w:pPr>
            <w:r w:rsidRPr="000E4E49">
              <w:rPr>
                <w:noProof/>
                <w:lang w:val="en-IE"/>
              </w:rPr>
              <w:t>Deserves attention</w:t>
            </w:r>
          </w:p>
        </w:tc>
      </w:tr>
    </w:tbl>
    <w:p w14:paraId="1D4174EB" w14:textId="77777777" w:rsidR="00E10D77" w:rsidRPr="000E4E49" w:rsidRDefault="00E10D77" w:rsidP="00E10D77">
      <w:pPr>
        <w:pStyle w:val="FootnoteText"/>
        <w:spacing w:before="120"/>
        <w:rPr>
          <w:noProof/>
          <w:lang w:val="en-IE"/>
        </w:rPr>
      </w:pPr>
      <w:r w:rsidRPr="000E4E49">
        <w:rPr>
          <w:noProof/>
          <w:lang w:val="en-IE"/>
        </w:rPr>
        <w:t>(*) % of target achieved by the end of 2021.</w:t>
      </w:r>
    </w:p>
    <w:p w14:paraId="732F1789" w14:textId="77777777" w:rsidR="00E10D77" w:rsidRPr="000E4E49" w:rsidRDefault="00E10D77" w:rsidP="00E10D77">
      <w:pPr>
        <w:pStyle w:val="ppoListHyphened-L1"/>
        <w:rPr>
          <w:noProof/>
          <w:lang w:val="en-IE"/>
        </w:rPr>
      </w:pPr>
      <w:r w:rsidRPr="000E4E49">
        <w:rPr>
          <w:noProof/>
          <w:lang w:val="en-IE"/>
        </w:rPr>
        <w:t>The decommissioning of the less radioactive areas of the Ignalina plant nears completion. The programme will now enter the phase of dismantling inside the reactor buildings, a challenge that is the first of its kind due to the large graphite-filled reactor cores. The contracts to design dismantling options should be signed in 2022 and are currently encountering delays.</w:t>
      </w:r>
    </w:p>
    <w:p w14:paraId="70A6DD80" w14:textId="77777777" w:rsidR="00E10D77" w:rsidRPr="000E4E49" w:rsidRDefault="00E10D77" w:rsidP="00E10D77">
      <w:pPr>
        <w:pStyle w:val="ppoListHyphened-L1"/>
        <w:rPr>
          <w:noProof/>
          <w:lang w:val="en-IE"/>
        </w:rPr>
      </w:pPr>
      <w:r w:rsidRPr="000E4E49">
        <w:rPr>
          <w:noProof/>
          <w:lang w:val="en-IE"/>
        </w:rPr>
        <w:t xml:space="preserve">Preparatory design activities for dismantling in the reactor building have encountered challenges that have not significantly impacted the performance under the 2014-2020 multiannual financial framework, but could result in delays for the post-2020 stages of the programme. In spite of generally satisfactory and steady progress of works on the ground, the preparatory activities of key upcoming projects (procurement for the design of the dismantling of the reactor core) progressed at a slower rate. </w:t>
      </w:r>
    </w:p>
    <w:p w14:paraId="4C8C65B8" w14:textId="77777777" w:rsidR="00E10D77" w:rsidRPr="000E4E49" w:rsidRDefault="00E10D77" w:rsidP="00E10D77">
      <w:pPr>
        <w:pStyle w:val="ppoListHyphened-L1"/>
        <w:rPr>
          <w:noProof/>
          <w:lang w:val="en-IE"/>
        </w:rPr>
      </w:pPr>
      <w:r w:rsidRPr="000E4E49">
        <w:rPr>
          <w:noProof/>
          <w:lang w:val="en-IE"/>
        </w:rPr>
        <w:t>Some activities are going slower than planned, as shown in the results of the key performance indicators.</w:t>
      </w:r>
    </w:p>
    <w:p w14:paraId="4127252D" w14:textId="77777777" w:rsidR="00E10D77" w:rsidRPr="000E4E49" w:rsidRDefault="00E10D77" w:rsidP="00E10D77">
      <w:pPr>
        <w:pStyle w:val="ppoListHyphened-L2"/>
        <w:rPr>
          <w:noProof/>
          <w:lang w:val="en-IE"/>
        </w:rPr>
      </w:pPr>
      <w:r w:rsidRPr="000E4E49">
        <w:rPr>
          <w:noProof/>
          <w:lang w:val="en-IE"/>
        </w:rPr>
        <w:t>The disposal of very-low-level radioactive waste did not start in 2021 as initially planned, because the landfill repository was completed in 2021 and its operations will only start in 2022. With the start of the landfill operations, it is expected that the pace of disposal will progressively increase based on a learning curve.</w:t>
      </w:r>
      <w:r w:rsidRPr="000E4E49" w:rsidDel="00D730E4">
        <w:rPr>
          <w:noProof/>
          <w:lang w:val="en-IE"/>
        </w:rPr>
        <w:t xml:space="preserve"> </w:t>
      </w:r>
    </w:p>
    <w:p w14:paraId="15CA0751" w14:textId="77777777" w:rsidR="00E10D77" w:rsidRPr="000E4E49" w:rsidRDefault="00E10D77" w:rsidP="00E10D77">
      <w:pPr>
        <w:pStyle w:val="ppoListHyphened-L2"/>
        <w:rPr>
          <w:noProof/>
          <w:lang w:val="en-IE"/>
        </w:rPr>
      </w:pPr>
      <w:r w:rsidRPr="000E4E49">
        <w:rPr>
          <w:noProof/>
          <w:lang w:val="en-IE"/>
        </w:rPr>
        <w:t xml:space="preserve">The disposal of low and intermediate radioactive waste did not start in 2021. The main reason is that the construction of the near-surface repository has not yet started due to the legal action of an excluded tenderer, which was resolved at the end of 2021. </w:t>
      </w:r>
    </w:p>
    <w:p w14:paraId="02876B59" w14:textId="77777777" w:rsidR="00E10D77" w:rsidRPr="000E4E49" w:rsidRDefault="00E10D77" w:rsidP="00E10D77">
      <w:pPr>
        <w:pStyle w:val="ppoListHyphened-L2"/>
        <w:rPr>
          <w:noProof/>
          <w:lang w:val="en-IE"/>
        </w:rPr>
      </w:pPr>
      <w:r w:rsidRPr="000E4E49">
        <w:rPr>
          <w:noProof/>
          <w:lang w:val="en-IE"/>
        </w:rPr>
        <w:t xml:space="preserve">The progress in the dismantling of the reactor shafts (measured in tonnes of metal dismantled) is going slower than the initial plan, because the nuclear regulator permit was received later than scheduled. There has been good progress since the start of the works and the new equipment to be received will help accelerate the works. There is considerable progress since the start of works, but the rate of dismantling should increase in order to achieve the overall objectives. </w:t>
      </w:r>
      <w:r w:rsidRPr="000E4E49">
        <w:rPr>
          <w:noProof/>
          <w:lang w:val="en-IE"/>
        </w:rPr>
        <w:br w:type="page"/>
      </w:r>
    </w:p>
    <w:p w14:paraId="202DDC4C" w14:textId="77777777" w:rsidR="00E10D77" w:rsidRPr="000E4E49" w:rsidRDefault="00E10D77" w:rsidP="00E10D77">
      <w:pPr>
        <w:pStyle w:val="ppoHeading4Blue"/>
        <w:rPr>
          <w:noProof/>
          <w:lang w:val="en-IE"/>
        </w:rPr>
      </w:pPr>
      <w:r w:rsidRPr="000E4E49">
        <w:rPr>
          <w:noProof/>
          <w:lang w:val="en-IE"/>
        </w:rPr>
        <w:t>2014-2020 multiannual financial framework</w:t>
      </w:r>
      <w:r w:rsidRPr="000E4E49">
        <w:rPr>
          <w:rFonts w:ascii="Calibri" w:hAnsi="Calibri" w:cs="Calibri"/>
          <w:noProof/>
          <w:lang w:val="en-IE"/>
        </w:rPr>
        <w:t> –</w:t>
      </w:r>
      <w:r w:rsidRPr="000E4E49">
        <w:rPr>
          <w:noProof/>
          <w:lang w:val="en-IE"/>
        </w:rPr>
        <w:t xml:space="preserve"> Nuclear Decommissioning </w:t>
      </w:r>
      <w:r>
        <w:rPr>
          <w:noProof/>
          <w:lang w:val="en-IE"/>
        </w:rPr>
        <w:t>(</w:t>
      </w:r>
      <w:r w:rsidRPr="000E4E49">
        <w:rPr>
          <w:noProof/>
          <w:lang w:val="en-IE"/>
        </w:rPr>
        <w:t>Lithuania</w:t>
      </w:r>
      <w:r>
        <w:rPr>
          <w:noProof/>
          <w:lang w:val="en-IE"/>
        </w:rPr>
        <w:t>)</w:t>
      </w:r>
    </w:p>
    <w:p w14:paraId="1A691479" w14:textId="77777777" w:rsidR="00E10D77" w:rsidRPr="000E4E49" w:rsidRDefault="00E10D77" w:rsidP="00E10D77">
      <w:pPr>
        <w:rPr>
          <w:rFonts w:eastAsiaTheme="minorEastAsia"/>
          <w:noProof/>
          <w:lang w:val="en-IE"/>
        </w:rPr>
      </w:pPr>
      <w:r w:rsidRPr="000E4E49">
        <w:rPr>
          <w:rFonts w:eastAsiaTheme="minorEastAsia"/>
          <w:noProof/>
          <w:lang w:val="en-IE"/>
        </w:rPr>
        <w:t xml:space="preserve">The programme supports Lithuania in the decommissioning of the Ignalina nuclear power plant, </w:t>
      </w:r>
      <w:r w:rsidRPr="000E4E49">
        <w:rPr>
          <w:noProof/>
          <w:lang w:val="en-IE"/>
        </w:rPr>
        <w:t>while keeping the highest level of safety.</w:t>
      </w:r>
    </w:p>
    <w:p w14:paraId="4C432DAA" w14:textId="77777777" w:rsidR="00E10D77" w:rsidRPr="000E4E49" w:rsidRDefault="00E10D77" w:rsidP="00E10D77">
      <w:pPr>
        <w:pStyle w:val="ppoHeading5"/>
        <w:rPr>
          <w:noProof/>
          <w:lang w:val="en-IE"/>
        </w:rPr>
      </w:pPr>
      <w:r w:rsidRPr="000E4E49">
        <w:rPr>
          <w:noProof/>
          <w:lang w:val="en-IE"/>
        </w:rPr>
        <w:t>Budget implementation</w:t>
      </w:r>
    </w:p>
    <w:p w14:paraId="483BA614" w14:textId="77777777" w:rsidR="00E10D77" w:rsidRPr="000E4E49" w:rsidRDefault="00E10D77" w:rsidP="00E10D77">
      <w:pPr>
        <w:pStyle w:val="ppoTableTabletitle"/>
        <w:rPr>
          <w:noProof/>
          <w:lang w:val="en-IE"/>
        </w:rPr>
      </w:pPr>
      <w:r w:rsidRPr="000E4E49">
        <w:rPr>
          <w:noProof/>
          <w:lang w:val="en-IE"/>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E10D77" w:rsidRPr="000E4E49" w14:paraId="1D985DCB" w14:textId="77777777" w:rsidTr="008321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335F2682" w14:textId="77777777" w:rsidR="00E10D77" w:rsidRPr="000E4E49" w:rsidRDefault="00E10D77" w:rsidP="0083214A">
            <w:pPr>
              <w:rPr>
                <w:noProof/>
                <w:lang w:val="en-IE"/>
              </w:rPr>
            </w:pPr>
          </w:p>
        </w:tc>
        <w:tc>
          <w:tcPr>
            <w:tcW w:w="2410" w:type="dxa"/>
          </w:tcPr>
          <w:p w14:paraId="64550983" w14:textId="77777777" w:rsidR="00E10D77" w:rsidRPr="000E4E49" w:rsidRDefault="00E10D77" w:rsidP="0083214A">
            <w:pPr>
              <w:cnfStyle w:val="100000000000" w:firstRow="1" w:lastRow="0" w:firstColumn="0" w:lastColumn="0" w:oddVBand="0" w:evenVBand="0" w:oddHBand="0" w:evenHBand="0" w:firstRowFirstColumn="0" w:firstRowLastColumn="0" w:lastRowFirstColumn="0" w:lastRowLastColumn="0"/>
              <w:rPr>
                <w:noProof/>
                <w:lang w:val="en-IE"/>
              </w:rPr>
            </w:pPr>
            <w:r w:rsidRPr="000E4E49">
              <w:rPr>
                <w:noProof/>
                <w:lang w:val="en-IE"/>
              </w:rPr>
              <w:t>Implementation</w:t>
            </w:r>
          </w:p>
        </w:tc>
        <w:tc>
          <w:tcPr>
            <w:tcW w:w="2410" w:type="dxa"/>
          </w:tcPr>
          <w:p w14:paraId="2D5AE0F3" w14:textId="53BE33D7" w:rsidR="00E10D77" w:rsidRPr="000E4E49" w:rsidRDefault="003821C6" w:rsidP="0083214A">
            <w:pPr>
              <w:cnfStyle w:val="100000000000" w:firstRow="1" w:lastRow="0" w:firstColumn="0" w:lastColumn="0" w:oddVBand="0" w:evenVBand="0" w:oddHBand="0" w:evenHBand="0" w:firstRowFirstColumn="0" w:firstRowLastColumn="0" w:lastRowFirstColumn="0" w:lastRowLastColumn="0"/>
              <w:rPr>
                <w:noProof/>
                <w:lang w:val="en-IE"/>
              </w:rPr>
            </w:pPr>
            <w:r>
              <w:rPr>
                <w:noProof/>
              </w:rPr>
              <w:t xml:space="preserve">2014-2020 </w:t>
            </w:r>
            <w:r w:rsidR="00E10D77" w:rsidRPr="000E4E49">
              <w:rPr>
                <w:noProof/>
                <w:lang w:val="en-IE"/>
              </w:rPr>
              <w:t>Budget</w:t>
            </w:r>
          </w:p>
        </w:tc>
        <w:tc>
          <w:tcPr>
            <w:tcW w:w="2410" w:type="dxa"/>
          </w:tcPr>
          <w:p w14:paraId="12749582" w14:textId="77777777" w:rsidR="00E10D77" w:rsidRPr="000E4E49" w:rsidRDefault="00E10D77" w:rsidP="0083214A">
            <w:pPr>
              <w:cnfStyle w:val="100000000000" w:firstRow="1" w:lastRow="0" w:firstColumn="0" w:lastColumn="0" w:oddVBand="0" w:evenVBand="0" w:oddHBand="0" w:evenHBand="0" w:firstRowFirstColumn="0" w:firstRowLastColumn="0" w:lastRowFirstColumn="0" w:lastRowLastColumn="0"/>
              <w:rPr>
                <w:noProof/>
                <w:lang w:val="en-IE"/>
              </w:rPr>
            </w:pPr>
            <w:r w:rsidRPr="000E4E49">
              <w:rPr>
                <w:noProof/>
                <w:lang w:val="en-IE"/>
              </w:rPr>
              <w:t>Implementation rate</w:t>
            </w:r>
          </w:p>
        </w:tc>
      </w:tr>
      <w:tr w:rsidR="00E10D77" w:rsidRPr="000E4E49" w14:paraId="4719CF2A"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7952E5BF" w14:textId="77777777" w:rsidR="00E10D77" w:rsidRPr="000E4E49" w:rsidRDefault="00E10D77" w:rsidP="0083214A">
            <w:pPr>
              <w:jc w:val="center"/>
              <w:rPr>
                <w:noProof/>
                <w:lang w:val="en-IE"/>
              </w:rPr>
            </w:pPr>
            <w:r w:rsidRPr="000E4E49">
              <w:rPr>
                <w:noProof/>
                <w:lang w:val="en-IE"/>
              </w:rPr>
              <w:t>Commitment</w:t>
            </w:r>
          </w:p>
        </w:tc>
        <w:tc>
          <w:tcPr>
            <w:tcW w:w="2410" w:type="dxa"/>
          </w:tcPr>
          <w:tbl>
            <w:tblPr>
              <w:tblStyle w:val="TableGrid"/>
              <w:tblW w:w="0" w:type="auto"/>
              <w:tblLook w:val="06A0" w:firstRow="1" w:lastRow="0" w:firstColumn="1" w:lastColumn="0" w:noHBand="1" w:noVBand="1"/>
            </w:tblPr>
            <w:tblGrid>
              <w:gridCol w:w="2194"/>
            </w:tblGrid>
            <w:tr w:rsidR="00E10D77" w:rsidRPr="000E4E49" w14:paraId="75D2504F" w14:textId="77777777" w:rsidTr="0083214A">
              <w:trPr>
                <w:trHeight w:val="285"/>
              </w:trPr>
              <w:tc>
                <w:tcPr>
                  <w:tcW w:w="2290" w:type="dxa"/>
                  <w:tcBorders>
                    <w:top w:val="nil"/>
                    <w:left w:val="nil"/>
                    <w:bottom w:val="nil"/>
                    <w:right w:val="nil"/>
                  </w:tcBorders>
                  <w:vAlign w:val="bottom"/>
                </w:tcPr>
                <w:p w14:paraId="7C44C8A5" w14:textId="77777777" w:rsidR="00E10D77" w:rsidRPr="000E4E49" w:rsidRDefault="00E10D77" w:rsidP="0083214A">
                  <w:pPr>
                    <w:jc w:val="right"/>
                    <w:rPr>
                      <w:noProof/>
                      <w:lang w:val="en-IE"/>
                    </w:rPr>
                  </w:pPr>
                  <w:r w:rsidRPr="000E4E49">
                    <w:rPr>
                      <w:rFonts w:ascii="Calibri" w:hAnsi="Calibri" w:cs="Calibri"/>
                      <w:noProof/>
                      <w:color w:val="000000"/>
                      <w:lang w:val="en-IE"/>
                    </w:rPr>
                    <w:t>450.8</w:t>
                  </w:r>
                </w:p>
              </w:tc>
            </w:tr>
          </w:tbl>
          <w:p w14:paraId="205FD5F8" w14:textId="77777777" w:rsidR="00E10D77" w:rsidRPr="000E4E49" w:rsidRDefault="00E10D77"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E10D77" w:rsidRPr="000E4E49" w14:paraId="7DCBC7D3" w14:textId="77777777" w:rsidTr="0083214A">
              <w:trPr>
                <w:trHeight w:val="285"/>
              </w:trPr>
              <w:tc>
                <w:tcPr>
                  <w:tcW w:w="2290" w:type="dxa"/>
                  <w:tcBorders>
                    <w:top w:val="nil"/>
                    <w:left w:val="nil"/>
                    <w:bottom w:val="nil"/>
                    <w:right w:val="nil"/>
                  </w:tcBorders>
                  <w:vAlign w:val="bottom"/>
                </w:tcPr>
                <w:p w14:paraId="17A05AE5" w14:textId="77777777" w:rsidR="00E10D77" w:rsidRPr="000E4E49" w:rsidRDefault="00E10D77" w:rsidP="0083214A">
                  <w:pPr>
                    <w:jc w:val="right"/>
                    <w:rPr>
                      <w:noProof/>
                      <w:lang w:val="en-IE"/>
                    </w:rPr>
                  </w:pPr>
                  <w:r w:rsidRPr="000E4E49">
                    <w:rPr>
                      <w:rFonts w:ascii="Calibri" w:hAnsi="Calibri" w:cs="Calibri"/>
                      <w:noProof/>
                      <w:color w:val="000000"/>
                      <w:lang w:val="en-IE"/>
                    </w:rPr>
                    <w:t>450.8</w:t>
                  </w:r>
                </w:p>
              </w:tc>
            </w:tr>
          </w:tbl>
          <w:p w14:paraId="0DBDD22E" w14:textId="77777777" w:rsidR="00E10D77" w:rsidRPr="000E4E49" w:rsidRDefault="00E10D77"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E10D77" w:rsidRPr="000E4E49" w14:paraId="7815033E" w14:textId="77777777" w:rsidTr="0083214A">
              <w:trPr>
                <w:trHeight w:val="285"/>
              </w:trPr>
              <w:tc>
                <w:tcPr>
                  <w:tcW w:w="2290" w:type="dxa"/>
                  <w:tcBorders>
                    <w:top w:val="nil"/>
                    <w:left w:val="nil"/>
                    <w:bottom w:val="nil"/>
                    <w:right w:val="nil"/>
                  </w:tcBorders>
                  <w:vAlign w:val="bottom"/>
                </w:tcPr>
                <w:p w14:paraId="4634F12C" w14:textId="77777777" w:rsidR="00E10D77" w:rsidRPr="000E4E49" w:rsidRDefault="00E10D77" w:rsidP="0083214A">
                  <w:pPr>
                    <w:jc w:val="right"/>
                    <w:rPr>
                      <w:noProof/>
                      <w:lang w:val="en-IE"/>
                    </w:rPr>
                  </w:pPr>
                  <w:r w:rsidRPr="000E4E49">
                    <w:rPr>
                      <w:rFonts w:ascii="Calibri" w:hAnsi="Calibri" w:cs="Calibri"/>
                      <w:noProof/>
                      <w:color w:val="000000"/>
                      <w:lang w:val="en-IE"/>
                    </w:rPr>
                    <w:t>100%</w:t>
                  </w:r>
                </w:p>
              </w:tc>
            </w:tr>
          </w:tbl>
          <w:p w14:paraId="592A4EB1" w14:textId="77777777" w:rsidR="00E10D77" w:rsidRPr="000E4E49" w:rsidRDefault="00E10D77" w:rsidP="0083214A">
            <w:pPr>
              <w:jc w:val="right"/>
              <w:cnfStyle w:val="000000000000" w:firstRow="0" w:lastRow="0" w:firstColumn="0" w:lastColumn="0" w:oddVBand="0" w:evenVBand="0" w:oddHBand="0" w:evenHBand="0" w:firstRowFirstColumn="0" w:firstRowLastColumn="0" w:lastRowFirstColumn="0" w:lastRowLastColumn="0"/>
              <w:rPr>
                <w:noProof/>
                <w:lang w:val="en-IE"/>
              </w:rPr>
            </w:pPr>
          </w:p>
        </w:tc>
      </w:tr>
      <w:tr w:rsidR="00E10D77" w:rsidRPr="000E4E49" w14:paraId="6BC34268"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442D698E" w14:textId="77777777" w:rsidR="00E10D77" w:rsidRPr="000E4E49" w:rsidRDefault="00E10D77" w:rsidP="0083214A">
            <w:pPr>
              <w:jc w:val="center"/>
              <w:rPr>
                <w:noProof/>
                <w:lang w:val="en-IE"/>
              </w:rPr>
            </w:pPr>
            <w:r w:rsidRPr="000E4E49">
              <w:rPr>
                <w:noProof/>
                <w:lang w:val="en-IE"/>
              </w:rPr>
              <w:t>Payments</w:t>
            </w:r>
          </w:p>
        </w:tc>
        <w:tc>
          <w:tcPr>
            <w:tcW w:w="2410" w:type="dxa"/>
          </w:tcPr>
          <w:tbl>
            <w:tblPr>
              <w:tblStyle w:val="TableGrid"/>
              <w:tblW w:w="0" w:type="auto"/>
              <w:tblLook w:val="06A0" w:firstRow="1" w:lastRow="0" w:firstColumn="1" w:lastColumn="0" w:noHBand="1" w:noVBand="1"/>
            </w:tblPr>
            <w:tblGrid>
              <w:gridCol w:w="2194"/>
            </w:tblGrid>
            <w:tr w:rsidR="00E10D77" w:rsidRPr="000E4E49" w14:paraId="6D368E06" w14:textId="77777777" w:rsidTr="0083214A">
              <w:trPr>
                <w:trHeight w:val="285"/>
              </w:trPr>
              <w:tc>
                <w:tcPr>
                  <w:tcW w:w="2290" w:type="dxa"/>
                  <w:tcBorders>
                    <w:top w:val="nil"/>
                    <w:left w:val="nil"/>
                    <w:bottom w:val="nil"/>
                    <w:right w:val="nil"/>
                  </w:tcBorders>
                  <w:vAlign w:val="bottom"/>
                </w:tcPr>
                <w:p w14:paraId="1D374AA0" w14:textId="77777777" w:rsidR="00E10D77" w:rsidRPr="000E4E49" w:rsidRDefault="00E10D77" w:rsidP="0083214A">
                  <w:pPr>
                    <w:jc w:val="right"/>
                    <w:rPr>
                      <w:noProof/>
                      <w:lang w:val="en-IE"/>
                    </w:rPr>
                  </w:pPr>
                  <w:r w:rsidRPr="000E4E49">
                    <w:rPr>
                      <w:rFonts w:ascii="Calibri" w:hAnsi="Calibri" w:cs="Calibri"/>
                      <w:noProof/>
                      <w:color w:val="000000"/>
                      <w:lang w:val="en-IE"/>
                    </w:rPr>
                    <w:t>146.2</w:t>
                  </w:r>
                </w:p>
              </w:tc>
            </w:tr>
          </w:tbl>
          <w:p w14:paraId="60F37B55" w14:textId="77777777" w:rsidR="00E10D77" w:rsidRPr="000E4E49" w:rsidRDefault="00E10D77"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p w14:paraId="77CF4F28" w14:textId="77777777" w:rsidR="00E10D77" w:rsidRPr="000E4E49" w:rsidRDefault="00E10D77"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E10D77" w:rsidRPr="000E4E49" w14:paraId="50FB4091" w14:textId="77777777" w:rsidTr="0083214A">
              <w:trPr>
                <w:trHeight w:val="285"/>
              </w:trPr>
              <w:tc>
                <w:tcPr>
                  <w:tcW w:w="2235" w:type="dxa"/>
                  <w:tcBorders>
                    <w:top w:val="nil"/>
                    <w:left w:val="nil"/>
                    <w:bottom w:val="nil"/>
                    <w:right w:val="nil"/>
                  </w:tcBorders>
                  <w:vAlign w:val="bottom"/>
                </w:tcPr>
                <w:p w14:paraId="671CA538" w14:textId="77777777" w:rsidR="00E10D77" w:rsidRPr="000E4E49" w:rsidRDefault="00E10D77" w:rsidP="0083214A">
                  <w:pPr>
                    <w:jc w:val="right"/>
                    <w:rPr>
                      <w:noProof/>
                      <w:lang w:val="en-IE"/>
                    </w:rPr>
                  </w:pPr>
                  <w:r w:rsidRPr="000E4E49">
                    <w:rPr>
                      <w:rFonts w:ascii="Calibri" w:hAnsi="Calibri" w:cs="Calibri"/>
                      <w:noProof/>
                      <w:color w:val="000000"/>
                      <w:lang w:val="en-IE"/>
                    </w:rPr>
                    <w:t>32%</w:t>
                  </w:r>
                </w:p>
              </w:tc>
            </w:tr>
          </w:tbl>
          <w:p w14:paraId="51E8D1BE" w14:textId="77777777" w:rsidR="00E10D77" w:rsidRPr="000E4E49" w:rsidRDefault="00E10D77"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r>
    </w:tbl>
    <w:p w14:paraId="3CD78E8F" w14:textId="77777777" w:rsidR="00E10D77" w:rsidRPr="000E4E49" w:rsidRDefault="00E10D77" w:rsidP="00E10D77">
      <w:pPr>
        <w:pStyle w:val="ppoListHyphened-L1"/>
        <w:numPr>
          <w:ilvl w:val="0"/>
          <w:numId w:val="0"/>
        </w:numPr>
        <w:ind w:left="357"/>
        <w:rPr>
          <w:noProof/>
          <w:lang w:val="en-IE"/>
        </w:rPr>
      </w:pPr>
    </w:p>
    <w:p w14:paraId="3484EAAD" w14:textId="77777777" w:rsidR="00E10D77" w:rsidRPr="000E4E49" w:rsidRDefault="00E10D77" w:rsidP="00E10D77">
      <w:pPr>
        <w:pStyle w:val="ppoListHyphened-L1"/>
        <w:rPr>
          <w:noProof/>
          <w:lang w:val="en-IE"/>
        </w:rPr>
      </w:pPr>
      <w:r w:rsidRPr="000E4E49">
        <w:rPr>
          <w:noProof/>
          <w:lang w:val="en-IE"/>
        </w:rPr>
        <w:t>Decommissioning projects are, in many cases, highly complex from the procurement and implementation point of view and extend over a long period of time. This explains the interval between the commitments (which have reached 100%) and the payments (which have reached only 32%) of the programme.</w:t>
      </w:r>
    </w:p>
    <w:p w14:paraId="6A2BC9CF" w14:textId="77777777" w:rsidR="00E10D77" w:rsidRPr="000E4E49" w:rsidRDefault="00E10D77" w:rsidP="00E10D77">
      <w:pPr>
        <w:pStyle w:val="ppoListHyphened-L1"/>
        <w:rPr>
          <w:noProof/>
          <w:lang w:val="en-IE"/>
        </w:rPr>
      </w:pPr>
      <w:r w:rsidRPr="000E4E49">
        <w:rPr>
          <w:noProof/>
          <w:lang w:val="en-IE"/>
        </w:rPr>
        <w:t>Nevertheless, when including the payments made during the period 2014-2020 on the 2007-2013 commitments, the total payments made for the Ignalina programme are EUR</w:t>
      </w:r>
      <w:r w:rsidRPr="000E4E49">
        <w:rPr>
          <w:rFonts w:ascii="Calibri" w:hAnsi="Calibri" w:cs="Calibri"/>
          <w:noProof/>
          <w:lang w:val="en-IE"/>
        </w:rPr>
        <w:t> </w:t>
      </w:r>
      <w:r w:rsidRPr="000E4E49">
        <w:rPr>
          <w:noProof/>
          <w:lang w:val="en-IE"/>
        </w:rPr>
        <w:t>430 million, which is in line with the commitments made for the 2014-2020 period.</w:t>
      </w:r>
    </w:p>
    <w:p w14:paraId="2CE9F7AC" w14:textId="77777777" w:rsidR="00E10D77" w:rsidRPr="000E4E49" w:rsidRDefault="00E10D77" w:rsidP="00E10D77">
      <w:pPr>
        <w:pStyle w:val="ppoListHyphened-L1"/>
        <w:rPr>
          <w:noProof/>
          <w:lang w:val="en-IE"/>
        </w:rPr>
      </w:pPr>
      <w:r w:rsidRPr="000E4E49">
        <w:rPr>
          <w:noProof/>
          <w:lang w:val="en-IE"/>
        </w:rPr>
        <w:t>The Ignalina programme continued to make effective progress in decommissioning the nuclear power plants in 2021. The cost of the work carried out since 2014 is within budget.</w:t>
      </w:r>
    </w:p>
    <w:p w14:paraId="26CF436C" w14:textId="77777777" w:rsidR="00E10D77" w:rsidRPr="000E4E49" w:rsidRDefault="00E10D77" w:rsidP="00E10D77">
      <w:pPr>
        <w:pStyle w:val="ppoListHyphened-L1"/>
        <w:rPr>
          <w:noProof/>
          <w:lang w:val="en-IE"/>
        </w:rPr>
      </w:pPr>
      <w:r w:rsidRPr="000E4E49">
        <w:rPr>
          <w:noProof/>
          <w:lang w:val="en-IE"/>
        </w:rPr>
        <w:t>Progress at the site was affected by the COVID-19 crisis in 2020, although the measures implemented by the decommissioning operator ensured that activities could continue safely and reduced the impact on the project’s milestones. During 2000, the EU supported the salaries of the workers in these difficult times.</w:t>
      </w:r>
    </w:p>
    <w:p w14:paraId="785A5A13" w14:textId="77777777" w:rsidR="00E10D77" w:rsidRPr="000E4E49" w:rsidRDefault="00E10D77" w:rsidP="00E10D77">
      <w:pPr>
        <w:pStyle w:val="ppoHeading5"/>
        <w:rPr>
          <w:noProof/>
          <w:lang w:val="en-IE"/>
        </w:rPr>
      </w:pPr>
      <w:r w:rsidRPr="000E4E49">
        <w:rPr>
          <w:noProof/>
          <w:lang w:val="en-IE"/>
        </w:rPr>
        <w:t>Performance assessment</w:t>
      </w:r>
    </w:p>
    <w:p w14:paraId="3D3E94EC" w14:textId="77777777" w:rsidR="00E10D77" w:rsidRPr="000E4E49" w:rsidRDefault="00E10D77" w:rsidP="00E10D77">
      <w:pPr>
        <w:pStyle w:val="ppoHeading6"/>
        <w:rPr>
          <w:noProof/>
          <w:lang w:val="en-IE"/>
        </w:rPr>
      </w:pPr>
      <w:r w:rsidRPr="000E4E49">
        <w:rPr>
          <w:noProof/>
          <w:lang w:val="en-IE"/>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E10D77" w:rsidRPr="000E4E49" w14:paraId="6CADE901" w14:textId="77777777" w:rsidTr="0083214A">
        <w:trPr>
          <w:cnfStyle w:val="100000000000" w:firstRow="1" w:lastRow="0" w:firstColumn="0" w:lastColumn="0" w:oddVBand="0" w:evenVBand="0" w:oddHBand="0" w:evenHBand="0" w:firstRowFirstColumn="0" w:firstRowLastColumn="0" w:lastRowFirstColumn="0" w:lastRowLastColumn="0"/>
        </w:trPr>
        <w:tc>
          <w:tcPr>
            <w:tcW w:w="2330" w:type="dxa"/>
          </w:tcPr>
          <w:p w14:paraId="24E3EBB1" w14:textId="77777777" w:rsidR="00E10D77" w:rsidRPr="000E4E49" w:rsidRDefault="00E10D77" w:rsidP="0083214A">
            <w:pPr>
              <w:rPr>
                <w:noProof/>
                <w:lang w:val="en-IE"/>
              </w:rPr>
            </w:pPr>
          </w:p>
        </w:tc>
        <w:tc>
          <w:tcPr>
            <w:tcW w:w="1100" w:type="dxa"/>
          </w:tcPr>
          <w:p w14:paraId="56D5A37D" w14:textId="77777777" w:rsidR="00E10D77" w:rsidRPr="000E4E49" w:rsidRDefault="00E10D77" w:rsidP="0083214A">
            <w:pPr>
              <w:rPr>
                <w:noProof/>
                <w:lang w:val="en-IE"/>
              </w:rPr>
            </w:pPr>
            <w:r w:rsidRPr="000E4E49">
              <w:rPr>
                <w:noProof/>
                <w:lang w:val="en-IE"/>
              </w:rPr>
              <w:t>Baseline</w:t>
            </w:r>
          </w:p>
        </w:tc>
        <w:tc>
          <w:tcPr>
            <w:tcW w:w="1526" w:type="dxa"/>
          </w:tcPr>
          <w:p w14:paraId="5CEDE978" w14:textId="77777777" w:rsidR="00E10D77" w:rsidRPr="000E4E49" w:rsidRDefault="00E10D77" w:rsidP="0083214A">
            <w:pPr>
              <w:rPr>
                <w:noProof/>
                <w:lang w:val="en-IE"/>
              </w:rPr>
            </w:pPr>
            <w:r w:rsidRPr="000E4E49">
              <w:rPr>
                <w:noProof/>
                <w:lang w:val="en-IE"/>
              </w:rPr>
              <w:t>Progress</w:t>
            </w:r>
            <w:r w:rsidRPr="000E4E49">
              <w:rPr>
                <w:rFonts w:ascii="Calibri" w:hAnsi="Calibri" w:cs="Calibri"/>
                <w:noProof/>
                <w:lang w:val="en-IE"/>
              </w:rPr>
              <w:t> </w:t>
            </w:r>
            <w:r w:rsidRPr="000E4E49">
              <w:rPr>
                <w:noProof/>
                <w:lang w:val="en-IE"/>
              </w:rPr>
              <w:t>(*)</w:t>
            </w:r>
          </w:p>
        </w:tc>
        <w:tc>
          <w:tcPr>
            <w:tcW w:w="1532" w:type="dxa"/>
          </w:tcPr>
          <w:p w14:paraId="2E22927C" w14:textId="77777777" w:rsidR="00E10D77" w:rsidRPr="000E4E49" w:rsidRDefault="00E10D77" w:rsidP="0083214A">
            <w:pPr>
              <w:rPr>
                <w:noProof/>
                <w:lang w:val="en-IE"/>
              </w:rPr>
            </w:pPr>
            <w:r w:rsidRPr="000E4E49">
              <w:rPr>
                <w:noProof/>
                <w:lang w:val="en-IE"/>
              </w:rPr>
              <w:t>Target</w:t>
            </w:r>
          </w:p>
        </w:tc>
        <w:tc>
          <w:tcPr>
            <w:tcW w:w="1572" w:type="dxa"/>
          </w:tcPr>
          <w:p w14:paraId="7F5A7C7B" w14:textId="77777777" w:rsidR="00E10D77" w:rsidRPr="000E4E49" w:rsidRDefault="00E10D77" w:rsidP="0083214A">
            <w:pPr>
              <w:rPr>
                <w:noProof/>
                <w:lang w:val="en-IE"/>
              </w:rPr>
            </w:pPr>
            <w:r w:rsidRPr="000E4E49">
              <w:rPr>
                <w:noProof/>
                <w:lang w:val="en-IE"/>
              </w:rPr>
              <w:t>Results</w:t>
            </w:r>
          </w:p>
        </w:tc>
        <w:tc>
          <w:tcPr>
            <w:tcW w:w="1579" w:type="dxa"/>
          </w:tcPr>
          <w:p w14:paraId="4D6667EE" w14:textId="77777777" w:rsidR="00E10D77" w:rsidRPr="000E4E49" w:rsidRDefault="00E10D77" w:rsidP="0083214A">
            <w:pPr>
              <w:rPr>
                <w:noProof/>
                <w:lang w:val="en-IE"/>
              </w:rPr>
            </w:pPr>
            <w:r w:rsidRPr="000E4E49">
              <w:rPr>
                <w:noProof/>
                <w:lang w:val="en-IE"/>
              </w:rPr>
              <w:t>Assessment</w:t>
            </w:r>
          </w:p>
        </w:tc>
      </w:tr>
      <w:tr w:rsidR="00E10D77" w:rsidRPr="000E4E49" w14:paraId="62CDFA66"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66D0B981" w14:textId="77777777" w:rsidR="00E10D77" w:rsidRPr="000E4E49" w:rsidRDefault="00E10D77" w:rsidP="0083214A">
            <w:pPr>
              <w:rPr>
                <w:noProof/>
                <w:lang w:val="en-IE"/>
              </w:rPr>
            </w:pPr>
            <w:r w:rsidRPr="000E4E49">
              <w:rPr>
                <w:noProof/>
                <w:lang w:val="en-IE"/>
              </w:rPr>
              <w:t>Removal of spent fuel assemblies from the unit</w:t>
            </w:r>
            <w:r w:rsidRPr="000E4E49">
              <w:rPr>
                <w:rFonts w:ascii="Calibri" w:hAnsi="Calibri" w:cs="Calibri"/>
                <w:noProof/>
                <w:lang w:val="en-IE"/>
              </w:rPr>
              <w:t> </w:t>
            </w:r>
            <w:r w:rsidRPr="000E4E49">
              <w:rPr>
                <w:noProof/>
                <w:lang w:val="en-IE"/>
              </w:rPr>
              <w:t>1 and unit</w:t>
            </w:r>
            <w:r w:rsidRPr="000E4E49">
              <w:rPr>
                <w:rFonts w:ascii="Calibri" w:hAnsi="Calibri" w:cs="Calibri"/>
                <w:noProof/>
                <w:lang w:val="en-IE"/>
              </w:rPr>
              <w:t> </w:t>
            </w:r>
            <w:r w:rsidRPr="000E4E49">
              <w:rPr>
                <w:noProof/>
                <w:lang w:val="en-IE"/>
              </w:rPr>
              <w:t>2 spent fuel ponds</w:t>
            </w:r>
          </w:p>
        </w:tc>
        <w:tc>
          <w:tcPr>
            <w:tcW w:w="1100" w:type="dxa"/>
          </w:tcPr>
          <w:p w14:paraId="70698AAA" w14:textId="77777777" w:rsidR="00E10D77" w:rsidRPr="000E4E49" w:rsidRDefault="00E10D77" w:rsidP="0083214A">
            <w:pPr>
              <w:jc w:val="center"/>
              <w:rPr>
                <w:noProof/>
                <w:lang w:val="en-IE"/>
              </w:rPr>
            </w:pPr>
            <w:r w:rsidRPr="000E4E49">
              <w:rPr>
                <w:noProof/>
                <w:lang w:val="en-IE"/>
              </w:rPr>
              <w:t>0</w:t>
            </w:r>
          </w:p>
        </w:tc>
        <w:tc>
          <w:tcPr>
            <w:tcW w:w="1526" w:type="dxa"/>
          </w:tcPr>
          <w:p w14:paraId="1BF97ED1" w14:textId="77777777" w:rsidR="00E10D77" w:rsidRPr="000E4E49" w:rsidRDefault="00E10D77" w:rsidP="0083214A">
            <w:pPr>
              <w:jc w:val="center"/>
              <w:rPr>
                <w:b/>
                <w:noProof/>
                <w:lang w:val="en-IE"/>
              </w:rPr>
            </w:pPr>
            <w:r w:rsidRPr="000E4E49">
              <w:rPr>
                <w:noProof/>
                <w:lang w:val="en-IE"/>
              </w:rPr>
              <w:t>99%</w:t>
            </w:r>
          </w:p>
        </w:tc>
        <w:tc>
          <w:tcPr>
            <w:tcW w:w="1532" w:type="dxa"/>
          </w:tcPr>
          <w:p w14:paraId="4D82D07F" w14:textId="77777777" w:rsidR="00E10D77" w:rsidRPr="000E4E49" w:rsidRDefault="00E10D77" w:rsidP="0083214A">
            <w:pPr>
              <w:jc w:val="center"/>
              <w:rPr>
                <w:noProof/>
                <w:lang w:val="en-IE"/>
              </w:rPr>
            </w:pPr>
            <w:r w:rsidRPr="000E4E49">
              <w:rPr>
                <w:noProof/>
                <w:lang w:val="en-IE"/>
              </w:rPr>
              <w:t>15</w:t>
            </w:r>
            <w:r w:rsidRPr="000E4E49">
              <w:rPr>
                <w:rFonts w:ascii="Calibri" w:hAnsi="Calibri" w:cs="Calibri"/>
                <w:noProof/>
                <w:lang w:val="en-IE"/>
              </w:rPr>
              <w:t> </w:t>
            </w:r>
            <w:r w:rsidRPr="000E4E49">
              <w:rPr>
                <w:noProof/>
                <w:lang w:val="en-IE"/>
              </w:rPr>
              <w:t>630 in 2022</w:t>
            </w:r>
          </w:p>
        </w:tc>
        <w:tc>
          <w:tcPr>
            <w:tcW w:w="1572" w:type="dxa"/>
          </w:tcPr>
          <w:p w14:paraId="2E85774C" w14:textId="77777777" w:rsidR="00E10D77" w:rsidRPr="000E4E49" w:rsidRDefault="00E10D77" w:rsidP="0083214A">
            <w:pPr>
              <w:jc w:val="center"/>
              <w:rPr>
                <w:noProof/>
                <w:lang w:val="en-IE"/>
              </w:rPr>
            </w:pPr>
            <w:r w:rsidRPr="000E4E49">
              <w:rPr>
                <w:noProof/>
                <w:lang w:val="en-IE"/>
              </w:rPr>
              <w:t>15</w:t>
            </w:r>
            <w:r w:rsidRPr="000E4E49">
              <w:rPr>
                <w:rFonts w:ascii="Calibri" w:hAnsi="Calibri" w:cs="Calibri"/>
                <w:noProof/>
                <w:lang w:val="en-IE"/>
              </w:rPr>
              <w:t> </w:t>
            </w:r>
            <w:r w:rsidRPr="000E4E49">
              <w:rPr>
                <w:noProof/>
                <w:lang w:val="en-IE"/>
              </w:rPr>
              <w:t>524 out of 15</w:t>
            </w:r>
            <w:r w:rsidRPr="000E4E49">
              <w:rPr>
                <w:rFonts w:ascii="Calibri" w:hAnsi="Calibri" w:cs="Calibri"/>
                <w:noProof/>
                <w:lang w:val="en-IE"/>
              </w:rPr>
              <w:t> </w:t>
            </w:r>
            <w:r w:rsidRPr="000E4E49">
              <w:rPr>
                <w:noProof/>
                <w:lang w:val="en-IE"/>
              </w:rPr>
              <w:t>630</w:t>
            </w:r>
          </w:p>
        </w:tc>
        <w:tc>
          <w:tcPr>
            <w:tcW w:w="1579" w:type="dxa"/>
          </w:tcPr>
          <w:p w14:paraId="513E6C4F" w14:textId="77777777" w:rsidR="00E10D77" w:rsidRPr="000E4E49" w:rsidRDefault="00E10D77" w:rsidP="0083214A">
            <w:pPr>
              <w:jc w:val="center"/>
              <w:rPr>
                <w:noProof/>
                <w:lang w:val="en-IE"/>
              </w:rPr>
            </w:pPr>
            <w:r w:rsidRPr="000E4E49">
              <w:rPr>
                <w:noProof/>
                <w:lang w:val="en-IE"/>
              </w:rPr>
              <w:t>On track</w:t>
            </w:r>
          </w:p>
        </w:tc>
      </w:tr>
    </w:tbl>
    <w:p w14:paraId="130C03E2" w14:textId="77777777" w:rsidR="00E10D77" w:rsidRPr="000E4E49" w:rsidRDefault="00E10D77" w:rsidP="00E10D77">
      <w:pPr>
        <w:pStyle w:val="FootnoteText"/>
        <w:rPr>
          <w:noProof/>
          <w:color w:val="BBB931"/>
          <w:lang w:val="en-IE"/>
        </w:rPr>
      </w:pPr>
      <w:r w:rsidRPr="000E4E49">
        <w:rPr>
          <w:noProof/>
          <w:lang w:val="en-IE"/>
        </w:rPr>
        <w:t>(*) % of target achieved by the end of 2021.</w:t>
      </w:r>
    </w:p>
    <w:p w14:paraId="4EFDACFF" w14:textId="77777777" w:rsidR="00E10D77" w:rsidRPr="000E4E49" w:rsidRDefault="00E10D77" w:rsidP="00E10D77">
      <w:pPr>
        <w:pStyle w:val="ppoListHyphened-L1"/>
        <w:rPr>
          <w:noProof/>
          <w:lang w:val="en-IE"/>
        </w:rPr>
      </w:pPr>
      <w:r w:rsidRPr="000E4E49">
        <w:rPr>
          <w:noProof/>
          <w:lang w:val="en-IE"/>
        </w:rPr>
        <w:t>The progress against the 2014-2020 multiannual financial framework programme’s objectives is generally satisfactory.</w:t>
      </w:r>
    </w:p>
    <w:p w14:paraId="74E29FCE" w14:textId="77777777" w:rsidR="00E10D77" w:rsidRPr="000E4E49" w:rsidRDefault="00E10D77" w:rsidP="00E10D77">
      <w:pPr>
        <w:pStyle w:val="ppoListHyphened-L1"/>
        <w:rPr>
          <w:noProof/>
          <w:lang w:val="en-IE"/>
        </w:rPr>
      </w:pPr>
      <w:r w:rsidRPr="000E4E49">
        <w:rPr>
          <w:noProof/>
          <w:lang w:val="en-IE"/>
        </w:rPr>
        <w:t>The dismantling and decontamination of the equipment and reactor shafts is being achieved ahead of schedule. The cores of both reactor units 1 and 2 are now completely defueled</w:t>
      </w:r>
      <w:r w:rsidRPr="000E4E49">
        <w:rPr>
          <w:rFonts w:ascii="Calibri" w:hAnsi="Calibri" w:cs="Calibri"/>
          <w:noProof/>
          <w:lang w:val="en-IE"/>
        </w:rPr>
        <w:t> –</w:t>
      </w:r>
      <w:r w:rsidRPr="000E4E49">
        <w:rPr>
          <w:noProof/>
          <w:lang w:val="en-IE"/>
        </w:rPr>
        <w:t xml:space="preserve"> a result achieved ahead of schedule. In addition, the removal of spent fuel assemblies has reached 99% of the final target.</w:t>
      </w:r>
    </w:p>
    <w:p w14:paraId="351994A1" w14:textId="77777777" w:rsidR="00E10D77" w:rsidRPr="000E4E49" w:rsidRDefault="00E10D77" w:rsidP="00E10D77">
      <w:pPr>
        <w:pStyle w:val="ppoListHyphened-L1"/>
        <w:rPr>
          <w:noProof/>
          <w:lang w:val="en-IE"/>
        </w:rPr>
      </w:pPr>
      <w:r w:rsidRPr="000E4E49">
        <w:rPr>
          <w:noProof/>
          <w:lang w:val="en-IE"/>
        </w:rPr>
        <w:t>The overall performance concerning the dismantling in the turbine hall and other auxiliary systems was satisfactory, with 43</w:t>
      </w:r>
      <w:r w:rsidRPr="000E4E49">
        <w:rPr>
          <w:rFonts w:ascii="Calibri" w:hAnsi="Calibri" w:cs="Calibri"/>
          <w:noProof/>
          <w:lang w:val="en-IE"/>
        </w:rPr>
        <w:t> </w:t>
      </w:r>
      <w:r w:rsidRPr="000E4E49">
        <w:rPr>
          <w:noProof/>
          <w:lang w:val="en-IE"/>
        </w:rPr>
        <w:t>730 tonnes of material dismantled from the turbine hall and 42</w:t>
      </w:r>
      <w:r w:rsidRPr="000E4E49">
        <w:rPr>
          <w:rFonts w:ascii="Calibri" w:hAnsi="Calibri" w:cs="Calibri"/>
          <w:noProof/>
          <w:lang w:val="en-IE"/>
        </w:rPr>
        <w:t> </w:t>
      </w:r>
      <w:r w:rsidRPr="000E4E49">
        <w:rPr>
          <w:noProof/>
          <w:lang w:val="en-IE"/>
        </w:rPr>
        <w:t>703</w:t>
      </w:r>
      <w:r w:rsidRPr="000E4E49">
        <w:rPr>
          <w:rFonts w:ascii="Calibri" w:hAnsi="Calibri" w:cs="Calibri"/>
          <w:noProof/>
          <w:lang w:val="en-IE"/>
        </w:rPr>
        <w:t> </w:t>
      </w:r>
      <w:r w:rsidRPr="000E4E49">
        <w:rPr>
          <w:noProof/>
          <w:lang w:val="en-IE"/>
        </w:rPr>
        <w:t>m</w:t>
      </w:r>
      <w:r w:rsidRPr="000E4E49">
        <w:rPr>
          <w:noProof/>
          <w:vertAlign w:val="superscript"/>
          <w:lang w:val="en-IE"/>
        </w:rPr>
        <w:t>3</w:t>
      </w:r>
      <w:r w:rsidRPr="000E4E49">
        <w:rPr>
          <w:noProof/>
          <w:lang w:val="en-IE"/>
        </w:rPr>
        <w:t xml:space="preserve"> of processed waste by the end of 2020 from the turbine hall and auxiliary buildings (against a target of 42 314</w:t>
      </w:r>
      <w:r w:rsidRPr="000E4E49">
        <w:rPr>
          <w:rFonts w:ascii="Calibri" w:hAnsi="Calibri" w:cs="Calibri"/>
          <w:noProof/>
          <w:lang w:val="en-IE"/>
        </w:rPr>
        <w:t> </w:t>
      </w:r>
      <w:r w:rsidRPr="000E4E49">
        <w:rPr>
          <w:noProof/>
          <w:lang w:val="en-IE"/>
        </w:rPr>
        <w:t>m</w:t>
      </w:r>
      <w:r w:rsidRPr="000E4E49">
        <w:rPr>
          <w:noProof/>
          <w:vertAlign w:val="superscript"/>
          <w:lang w:val="en-IE"/>
        </w:rPr>
        <w:t>3</w:t>
      </w:r>
      <w:r w:rsidRPr="000E4E49">
        <w:rPr>
          <w:noProof/>
          <w:lang w:val="en-IE"/>
        </w:rPr>
        <w:t>).</w:t>
      </w:r>
    </w:p>
    <w:p w14:paraId="3167A275" w14:textId="77777777" w:rsidR="00E10D77" w:rsidRPr="000E4E49" w:rsidRDefault="00E10D77" w:rsidP="00E10D77">
      <w:pPr>
        <w:pStyle w:val="ppoListHyphened-L1"/>
        <w:rPr>
          <w:noProof/>
          <w:lang w:val="en-IE"/>
        </w:rPr>
      </w:pPr>
      <w:r w:rsidRPr="000E4E49">
        <w:rPr>
          <w:noProof/>
          <w:lang w:val="en-IE"/>
        </w:rPr>
        <w:t>No safety incidents were registered during 2014-2020, showing that the objective of safely maintaining the reactor units has been consistently achieved. Although this is no longer a specific objective for the 2021-2027 multiannual financial framework, no safety incidents were reported in 2021.</w:t>
      </w:r>
    </w:p>
    <w:p w14:paraId="6FD01E4B" w14:textId="77777777" w:rsidR="00E10D77" w:rsidRPr="000E4E49" w:rsidRDefault="00E10D77" w:rsidP="00E10D77">
      <w:pPr>
        <w:pStyle w:val="ppoListHyphened-L1"/>
        <w:rPr>
          <w:noProof/>
          <w:lang w:val="en-IE"/>
        </w:rPr>
      </w:pPr>
      <w:r w:rsidRPr="000E4E49">
        <w:rPr>
          <w:noProof/>
          <w:lang w:val="en-IE"/>
        </w:rPr>
        <w:t xml:space="preserve">The delays listed above could impact the end date of the programme; these will need a reassessment of the baseline of the programme schedule. </w:t>
      </w:r>
    </w:p>
    <w:p w14:paraId="1E272181" w14:textId="77777777" w:rsidR="00E10D77" w:rsidRPr="000E4E49" w:rsidRDefault="00E10D77" w:rsidP="00E10D77">
      <w:pPr>
        <w:pStyle w:val="ppoListHyphened-L1"/>
        <w:rPr>
          <w:noProof/>
          <w:lang w:val="en-IE"/>
        </w:rPr>
      </w:pPr>
      <w:r w:rsidRPr="000E4E49">
        <w:rPr>
          <w:noProof/>
          <w:lang w:val="en-IE"/>
        </w:rPr>
        <w:t>The dismantling of the Ignalina reactors is a challenge that is the first of its kind. In accordance with the updated performance baseline, the programme completion date is still 2038.</w:t>
      </w:r>
    </w:p>
    <w:p w14:paraId="4B3648B7" w14:textId="77777777" w:rsidR="0022213D" w:rsidRDefault="0022213D" w:rsidP="005348AD">
      <w:pPr>
        <w:pStyle w:val="ppoListHyphened-L1"/>
        <w:numPr>
          <w:ilvl w:val="0"/>
          <w:numId w:val="0"/>
        </w:numPr>
        <w:ind w:left="357" w:hanging="357"/>
        <w:rPr>
          <w:b/>
          <w:noProof/>
          <w:lang w:val="en-IE"/>
        </w:rPr>
        <w:sectPr w:rsidR="0022213D" w:rsidSect="0083214A">
          <w:headerReference w:type="even" r:id="rId485"/>
          <w:headerReference w:type="default" r:id="rId486"/>
          <w:footerReference w:type="even" r:id="rId487"/>
          <w:footerReference w:type="default" r:id="rId488"/>
          <w:headerReference w:type="first" r:id="rId489"/>
          <w:footerReference w:type="first" r:id="rId490"/>
          <w:type w:val="continuous"/>
          <w:pgSz w:w="11906" w:h="16838" w:code="9"/>
          <w:pgMar w:top="1134" w:right="1134" w:bottom="964" w:left="1134" w:header="431" w:footer="431" w:gutter="0"/>
          <w:cols w:space="720"/>
          <w:titlePg/>
          <w:docGrid w:linePitch="360"/>
        </w:sectPr>
      </w:pPr>
    </w:p>
    <w:p w14:paraId="0ABD6AC0" w14:textId="77777777" w:rsidR="0022213D" w:rsidRPr="0022213D" w:rsidRDefault="0022213D" w:rsidP="0022213D">
      <w:pPr>
        <w:pStyle w:val="StyleppoHeading3WhiteLeft0cm"/>
        <w:rPr>
          <w:noProof/>
          <w:sz w:val="8"/>
          <w:szCs w:val="8"/>
          <w:lang w:val="en-IE"/>
        </w:rPr>
      </w:pPr>
    </w:p>
    <w:p w14:paraId="1FB4F229" w14:textId="77777777" w:rsidR="0022213D" w:rsidRPr="006A179A" w:rsidRDefault="0022213D" w:rsidP="0022213D">
      <w:pPr>
        <w:pStyle w:val="StyleppoHeading3WhiteLeft0cm"/>
        <w:rPr>
          <w:noProof/>
          <w:sz w:val="60"/>
          <w:szCs w:val="60"/>
          <w:lang w:val="en-IE"/>
        </w:rPr>
      </w:pPr>
      <w:bookmarkStart w:id="221" w:name="_Toc102086365"/>
      <w:r w:rsidRPr="006A179A">
        <w:rPr>
          <w:noProof/>
          <w:sz w:val="60"/>
          <w:szCs w:val="60"/>
          <w:lang w:val="en-IE"/>
        </w:rPr>
        <w:t>NUCLEAR DECOMMISSIONING</w:t>
      </w:r>
      <w:bookmarkEnd w:id="221"/>
    </w:p>
    <w:p w14:paraId="7BBAE163" w14:textId="77777777" w:rsidR="0022213D" w:rsidRPr="006A179A" w:rsidRDefault="0022213D" w:rsidP="0022213D">
      <w:pPr>
        <w:pStyle w:val="StyleppoProgrammenameWhiteLeft01cm"/>
        <w:rPr>
          <w:noProof/>
          <w:sz w:val="28"/>
          <w:szCs w:val="28"/>
          <w:lang w:val="en-IE"/>
        </w:rPr>
      </w:pPr>
      <w:r w:rsidRPr="006A179A">
        <w:rPr>
          <w:noProof/>
          <w:sz w:val="28"/>
          <w:szCs w:val="28"/>
          <w:lang w:val="en-IE"/>
        </w:rPr>
        <w:t>FINANCIAL PROGRAMME FOR THE DECOMMISSIONING OF NUCLEAR FACILITIES AND THE MANAGEMENT OF RADIOACTIVE WASTE (BULGARIA, SLOVAKIA AND THE JOINT RESEARCH CENTRE)</w:t>
      </w:r>
    </w:p>
    <w:p w14:paraId="4B6592A4" w14:textId="77777777" w:rsidR="0022213D" w:rsidRPr="006A179A" w:rsidRDefault="0022213D" w:rsidP="0022213D">
      <w:pPr>
        <w:pStyle w:val="StyleppoProgrammenameWhiteLeft01cm"/>
        <w:rPr>
          <w:rFonts w:eastAsiaTheme="majorEastAsia"/>
          <w:noProof/>
          <w:color w:val="027CBB"/>
          <w:sz w:val="28"/>
          <w:szCs w:val="28"/>
          <w:lang w:val="en-IE"/>
        </w:rPr>
        <w:sectPr w:rsidR="0022213D" w:rsidRPr="006A179A" w:rsidSect="0083214A">
          <w:headerReference w:type="even" r:id="rId491"/>
          <w:headerReference w:type="default" r:id="rId492"/>
          <w:footerReference w:type="even" r:id="rId493"/>
          <w:footerReference w:type="default" r:id="rId494"/>
          <w:headerReference w:type="first" r:id="rId495"/>
          <w:footerReference w:type="first" r:id="rId496"/>
          <w:pgSz w:w="11906" w:h="16838" w:code="9"/>
          <w:pgMar w:top="1134" w:right="1134" w:bottom="964" w:left="1134" w:header="431" w:footer="431" w:gutter="0"/>
          <w:cols w:space="720"/>
          <w:docGrid w:linePitch="360"/>
        </w:sectPr>
      </w:pPr>
    </w:p>
    <w:p w14:paraId="49563CF8" w14:textId="77777777" w:rsidR="00E96180" w:rsidRPr="000E4E49" w:rsidRDefault="00E96180" w:rsidP="00E96180">
      <w:pPr>
        <w:pStyle w:val="ppoHeading4Blue"/>
        <w:rPr>
          <w:noProof/>
          <w:lang w:val="en-IE"/>
        </w:rPr>
      </w:pPr>
      <w:r w:rsidRPr="000E4E49">
        <w:rPr>
          <w:noProof/>
          <w:lang w:val="en-IE"/>
        </w:rPr>
        <w:t>Programme in a nutshell</w:t>
      </w:r>
    </w:p>
    <w:p w14:paraId="12B78B34" w14:textId="37D6F1EA" w:rsidR="0022213D" w:rsidRPr="006A179A" w:rsidRDefault="0022213D" w:rsidP="0022213D">
      <w:pPr>
        <w:pStyle w:val="ppoHeading5"/>
        <w:rPr>
          <w:noProof/>
          <w:lang w:val="en-IE"/>
        </w:rPr>
      </w:pPr>
      <w:r w:rsidRPr="006A179A">
        <w:rPr>
          <w:noProof/>
          <w:lang w:val="en-IE"/>
        </w:rPr>
        <w:t>Concrete examples of achievements</w:t>
      </w:r>
      <w:r w:rsidRPr="006A179A">
        <w:rPr>
          <w:rFonts w:ascii="Calibri" w:hAnsi="Calibri" w:cs="Calibri"/>
          <w:noProof/>
          <w:lang w:val="en-IE"/>
        </w:rPr>
        <w:t> </w:t>
      </w:r>
      <w:r w:rsidRPr="006A179A">
        <w:rPr>
          <w:noProof/>
          <w:lang w:val="en-IE"/>
        </w:rPr>
        <w:t>(*)</w:t>
      </w:r>
    </w:p>
    <w:tbl>
      <w:tblPr>
        <w:tblStyle w:val="PPO2021"/>
        <w:tblW w:w="9639" w:type="dxa"/>
        <w:tblInd w:w="0" w:type="dxa"/>
        <w:tblLook w:val="0200" w:firstRow="0" w:lastRow="0" w:firstColumn="0" w:lastColumn="0" w:noHBand="1" w:noVBand="0"/>
      </w:tblPr>
      <w:tblGrid>
        <w:gridCol w:w="2410"/>
        <w:gridCol w:w="2409"/>
        <w:gridCol w:w="2410"/>
        <w:gridCol w:w="2410"/>
      </w:tblGrid>
      <w:tr w:rsidR="0022213D" w:rsidRPr="006A179A" w14:paraId="2E657353" w14:textId="77777777" w:rsidTr="0083214A">
        <w:tc>
          <w:tcPr>
            <w:tcW w:w="2410" w:type="dxa"/>
          </w:tcPr>
          <w:p w14:paraId="2663F367" w14:textId="77777777" w:rsidR="0022213D" w:rsidRPr="006A179A" w:rsidRDefault="0022213D" w:rsidP="0083214A">
            <w:pPr>
              <w:pStyle w:val="ppoTableacheivementvalue"/>
              <w:rPr>
                <w:noProof/>
                <w:lang w:val="en-IE"/>
              </w:rPr>
            </w:pPr>
            <w:r w:rsidRPr="006A179A">
              <w:rPr>
                <w:noProof/>
                <w:lang w:val="en-IE"/>
              </w:rPr>
              <w:t>29</w:t>
            </w:r>
            <w:r w:rsidRPr="006A179A">
              <w:rPr>
                <w:rFonts w:ascii="Calibri" w:hAnsi="Calibri" w:cs="Calibri"/>
                <w:noProof/>
                <w:lang w:val="en-IE"/>
              </w:rPr>
              <w:t> </w:t>
            </w:r>
            <w:r w:rsidRPr="006A179A">
              <w:rPr>
                <w:noProof/>
                <w:lang w:val="en-IE"/>
              </w:rPr>
              <w:t>448</w:t>
            </w:r>
          </w:p>
          <w:p w14:paraId="637D8205" w14:textId="77777777" w:rsidR="0022213D" w:rsidRPr="006A179A" w:rsidRDefault="0022213D" w:rsidP="00377734">
            <w:pPr>
              <w:jc w:val="left"/>
              <w:rPr>
                <w:noProof/>
                <w:lang w:val="en-IE"/>
              </w:rPr>
            </w:pPr>
            <w:r w:rsidRPr="006A179A">
              <w:rPr>
                <w:noProof/>
                <w:lang w:val="en-IE"/>
              </w:rPr>
              <w:t>tonnes of metals were originated from the dismantling of the turbine hall in the Kozloduy programme by the end of 2020.</w:t>
            </w:r>
          </w:p>
        </w:tc>
        <w:tc>
          <w:tcPr>
            <w:cnfStyle w:val="000001000000" w:firstRow="0" w:lastRow="0" w:firstColumn="0" w:lastColumn="0" w:oddVBand="0" w:evenVBand="1" w:oddHBand="0" w:evenHBand="0" w:firstRowFirstColumn="0" w:firstRowLastColumn="0" w:lastRowFirstColumn="0" w:lastRowLastColumn="0"/>
            <w:tcW w:w="2409" w:type="dxa"/>
          </w:tcPr>
          <w:p w14:paraId="60F1DE38" w14:textId="77777777" w:rsidR="0022213D" w:rsidRPr="006A179A" w:rsidRDefault="0022213D" w:rsidP="0083214A">
            <w:pPr>
              <w:jc w:val="center"/>
              <w:rPr>
                <w:noProof/>
                <w:sz w:val="28"/>
                <w:szCs w:val="28"/>
                <w:lang w:val="en-IE"/>
              </w:rPr>
            </w:pPr>
            <w:r w:rsidRPr="006A179A">
              <w:rPr>
                <w:noProof/>
                <w:sz w:val="28"/>
                <w:szCs w:val="28"/>
                <w:lang w:val="en-IE"/>
              </w:rPr>
              <w:t>134</w:t>
            </w:r>
            <w:r w:rsidRPr="006A179A">
              <w:rPr>
                <w:rFonts w:ascii="Calibri" w:hAnsi="Calibri" w:cs="Calibri"/>
                <w:noProof/>
                <w:sz w:val="28"/>
                <w:szCs w:val="28"/>
                <w:lang w:val="en-IE"/>
              </w:rPr>
              <w:t> </w:t>
            </w:r>
            <w:r w:rsidRPr="006A179A">
              <w:rPr>
                <w:noProof/>
                <w:sz w:val="28"/>
                <w:szCs w:val="28"/>
                <w:lang w:val="en-IE"/>
              </w:rPr>
              <w:t>124</w:t>
            </w:r>
          </w:p>
          <w:p w14:paraId="39E6F378" w14:textId="77777777" w:rsidR="0022213D" w:rsidRPr="006A179A" w:rsidRDefault="0022213D" w:rsidP="00377734">
            <w:pPr>
              <w:jc w:val="left"/>
              <w:rPr>
                <w:noProof/>
                <w:lang w:val="en-IE"/>
              </w:rPr>
            </w:pPr>
            <w:r w:rsidRPr="006A179A">
              <w:rPr>
                <w:noProof/>
                <w:lang w:val="en-IE"/>
              </w:rPr>
              <w:t>tonnes of conventional recyclable material were dismantled in the Bohunice programme by the end of 2020.</w:t>
            </w:r>
          </w:p>
        </w:tc>
        <w:tc>
          <w:tcPr>
            <w:tcW w:w="2410" w:type="dxa"/>
            <w:tcBorders>
              <w:bottom w:val="single" w:sz="4" w:space="0" w:color="8C8C8C"/>
            </w:tcBorders>
          </w:tcPr>
          <w:p w14:paraId="6C17165C" w14:textId="77777777" w:rsidR="0022213D" w:rsidRPr="006A179A" w:rsidRDefault="0022213D" w:rsidP="0083214A">
            <w:pPr>
              <w:pStyle w:val="ppoTableacheivementvalue"/>
              <w:cnfStyle w:val="000000000000" w:firstRow="0" w:lastRow="0" w:firstColumn="0" w:lastColumn="0" w:oddVBand="0" w:evenVBand="0" w:oddHBand="0" w:evenHBand="0" w:firstRowFirstColumn="0" w:firstRowLastColumn="0" w:lastRowFirstColumn="0" w:lastRowLastColumn="0"/>
              <w:rPr>
                <w:noProof/>
                <w:lang w:val="en-IE"/>
              </w:rPr>
            </w:pPr>
            <w:r w:rsidRPr="006A179A">
              <w:rPr>
                <w:noProof/>
                <w:lang w:val="en-IE"/>
              </w:rPr>
              <w:t>392</w:t>
            </w:r>
          </w:p>
          <w:p w14:paraId="4CC1CA79" w14:textId="77777777" w:rsidR="0022213D" w:rsidRPr="006A179A" w:rsidRDefault="0022213D" w:rsidP="00377734">
            <w:pPr>
              <w:jc w:val="left"/>
              <w:cnfStyle w:val="000000000000" w:firstRow="0" w:lastRow="0" w:firstColumn="0" w:lastColumn="0" w:oddVBand="0" w:evenVBand="0" w:oddHBand="0" w:evenHBand="0" w:firstRowFirstColumn="0" w:firstRowLastColumn="0" w:lastRowFirstColumn="0" w:lastRowLastColumn="0"/>
              <w:rPr>
                <w:noProof/>
                <w:lang w:val="en-IE"/>
              </w:rPr>
            </w:pPr>
            <w:r w:rsidRPr="006A179A">
              <w:rPr>
                <w:noProof/>
                <w:lang w:val="en-IE"/>
              </w:rPr>
              <w:t>reinforced-concrete containers of radioactive waste were produced in the Kozloduy programme by the end of 2020.</w:t>
            </w:r>
          </w:p>
        </w:tc>
        <w:tc>
          <w:tcPr>
            <w:cnfStyle w:val="000001000000" w:firstRow="0" w:lastRow="0" w:firstColumn="0" w:lastColumn="0" w:oddVBand="0" w:evenVBand="1" w:oddHBand="0" w:evenHBand="0" w:firstRowFirstColumn="0" w:firstRowLastColumn="0" w:lastRowFirstColumn="0" w:lastRowLastColumn="0"/>
            <w:tcW w:w="2410" w:type="dxa"/>
          </w:tcPr>
          <w:p w14:paraId="418151F5" w14:textId="77777777" w:rsidR="0022213D" w:rsidRPr="006A179A" w:rsidRDefault="0022213D" w:rsidP="0083214A">
            <w:pPr>
              <w:pStyle w:val="ppoTableacheivementvalue"/>
              <w:rPr>
                <w:noProof/>
                <w:lang w:val="en-IE"/>
              </w:rPr>
            </w:pPr>
            <w:r w:rsidRPr="006A179A">
              <w:rPr>
                <w:noProof/>
                <w:lang w:val="en-IE"/>
              </w:rPr>
              <w:t>1</w:t>
            </w:r>
            <w:r w:rsidRPr="006A179A">
              <w:rPr>
                <w:rFonts w:ascii="Calibri" w:hAnsi="Calibri" w:cs="Calibri"/>
                <w:noProof/>
                <w:lang w:val="en-IE"/>
              </w:rPr>
              <w:t> </w:t>
            </w:r>
            <w:r w:rsidRPr="006A179A">
              <w:rPr>
                <w:noProof/>
                <w:lang w:val="en-IE"/>
              </w:rPr>
              <w:t>800</w:t>
            </w:r>
          </w:p>
          <w:p w14:paraId="19320138" w14:textId="77777777" w:rsidR="0022213D" w:rsidRPr="006A179A" w:rsidRDefault="0022213D" w:rsidP="00377734">
            <w:pPr>
              <w:jc w:val="left"/>
              <w:rPr>
                <w:noProof/>
                <w:lang w:val="en-IE"/>
              </w:rPr>
            </w:pPr>
            <w:r w:rsidRPr="006A179A">
              <w:rPr>
                <w:iCs/>
                <w:noProof/>
                <w:lang w:val="en-IE"/>
              </w:rPr>
              <w:t>tonnes of metals were recycled in the Bohunice programme in 2021.</w:t>
            </w:r>
          </w:p>
        </w:tc>
      </w:tr>
    </w:tbl>
    <w:p w14:paraId="0505F08D" w14:textId="77777777" w:rsidR="0022213D" w:rsidRPr="006A179A" w:rsidRDefault="0022213D" w:rsidP="0022213D">
      <w:pPr>
        <w:pStyle w:val="FootnoteText"/>
        <w:rPr>
          <w:rFonts w:eastAsiaTheme="minorEastAsia"/>
          <w:noProof/>
          <w:lang w:val="en-IE"/>
        </w:rPr>
      </w:pPr>
      <w:r w:rsidRPr="006A179A">
        <w:rPr>
          <w:rFonts w:eastAsiaTheme="minorEastAsia"/>
          <w:noProof/>
          <w:lang w:val="en-IE"/>
        </w:rPr>
        <w:t xml:space="preserve">(*) </w:t>
      </w:r>
      <w:r w:rsidRPr="006A179A">
        <w:rPr>
          <w:rFonts w:eastAsiaTheme="minorEastAsia"/>
          <w:noProof/>
          <w:lang w:val="en-IE"/>
        </w:rPr>
        <w:tab/>
        <w:t>Key achievements in the table state which period they relate to. Many come from the implementation of the predecessor programmes under the 2014-2020 multiannual financial framework. This is expected and is due to the multiannual life cycle of EU programmes and the projects they finance where results often follow only after completion of the programmes.</w:t>
      </w:r>
    </w:p>
    <w:p w14:paraId="4FEA09F1" w14:textId="77777777" w:rsidR="0022213D" w:rsidRPr="006A179A" w:rsidRDefault="0022213D" w:rsidP="0022213D">
      <w:pPr>
        <w:pStyle w:val="ppoHeading5"/>
        <w:rPr>
          <w:noProof/>
          <w:lang w:val="en-IE"/>
        </w:rPr>
      </w:pPr>
      <w:r w:rsidRPr="006A179A">
        <w:rPr>
          <w:noProof/>
          <w:lang w:val="en-IE"/>
        </w:rPr>
        <w:t>Budget for 2021-2027</w:t>
      </w:r>
    </w:p>
    <w:p w14:paraId="608C4FA5" w14:textId="77777777" w:rsidR="0022213D" w:rsidRPr="006A179A" w:rsidRDefault="0022213D" w:rsidP="0022213D">
      <w:pPr>
        <w:pStyle w:val="ppoTableTabletitle"/>
        <w:ind w:left="284"/>
        <w:rPr>
          <w:noProof/>
          <w:lang w:val="en-IE"/>
        </w:rPr>
      </w:pPr>
      <w:r w:rsidRPr="006A179A">
        <w:rPr>
          <w:noProof/>
          <w:lang w:val="en-IE"/>
        </w:rPr>
        <w:t>(EUR million)</w:t>
      </w:r>
    </w:p>
    <w:tbl>
      <w:tblPr>
        <w:tblStyle w:val="PlainTable2"/>
        <w:tblW w:w="0" w:type="auto"/>
        <w:tblInd w:w="288" w:type="dxa"/>
        <w:tblLook w:val="04A0" w:firstRow="1" w:lastRow="0" w:firstColumn="1" w:lastColumn="0" w:noHBand="0" w:noVBand="1"/>
      </w:tblPr>
      <w:tblGrid>
        <w:gridCol w:w="4788"/>
        <w:gridCol w:w="2610"/>
      </w:tblGrid>
      <w:tr w:rsidR="0022213D" w:rsidRPr="006A179A" w14:paraId="0E210DAC" w14:textId="77777777" w:rsidTr="0083214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01D858C4" w14:textId="77777777" w:rsidR="0022213D" w:rsidRPr="006A179A" w:rsidRDefault="0022213D" w:rsidP="0083214A">
            <w:pPr>
              <w:spacing w:before="120" w:after="120"/>
              <w:rPr>
                <w:noProof/>
                <w:lang w:val="en-IE"/>
              </w:rPr>
            </w:pPr>
            <w:r w:rsidRPr="006A179A">
              <w:rPr>
                <w:rFonts w:cs="Calibri"/>
                <w:noProof/>
                <w:color w:val="000000"/>
                <w:lang w:val="en-IE"/>
              </w:rPr>
              <w:t>Financial programming</w:t>
            </w:r>
          </w:p>
        </w:tc>
        <w:tc>
          <w:tcPr>
            <w:tcW w:w="2610" w:type="dxa"/>
            <w:shd w:val="clear" w:color="auto" w:fill="auto"/>
            <w:vAlign w:val="bottom"/>
          </w:tcPr>
          <w:p w14:paraId="63D2194A" w14:textId="77777777" w:rsidR="0022213D" w:rsidRPr="006A179A" w:rsidRDefault="0022213D" w:rsidP="0083214A">
            <w:pPr>
              <w:spacing w:before="120" w:after="120"/>
              <w:jc w:val="center"/>
              <w:cnfStyle w:val="100000000000" w:firstRow="1" w:lastRow="0" w:firstColumn="0" w:lastColumn="0" w:oddVBand="0" w:evenVBand="0" w:oddHBand="0" w:evenHBand="0" w:firstRowFirstColumn="0" w:firstRowLastColumn="0" w:lastRowFirstColumn="0" w:lastRowLastColumn="0"/>
              <w:rPr>
                <w:b w:val="0"/>
                <w:noProof/>
                <w:lang w:val="en-IE"/>
              </w:rPr>
            </w:pPr>
            <w:r w:rsidRPr="006A179A">
              <w:rPr>
                <w:rFonts w:cs="Calibri"/>
                <w:b w:val="0"/>
                <w:noProof/>
                <w:color w:val="000000"/>
                <w:lang w:val="en-IE"/>
              </w:rPr>
              <w:t>466.0</w:t>
            </w:r>
          </w:p>
        </w:tc>
      </w:tr>
      <w:tr w:rsidR="0022213D" w:rsidRPr="006A179A" w14:paraId="68D01223"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2516252D" w14:textId="77777777" w:rsidR="0022213D" w:rsidRPr="006A179A" w:rsidRDefault="0022213D" w:rsidP="0083214A">
            <w:pPr>
              <w:spacing w:before="120" w:after="120"/>
              <w:rPr>
                <w:b w:val="0"/>
                <w:noProof/>
                <w:lang w:val="en-IE"/>
              </w:rPr>
            </w:pPr>
            <w:r w:rsidRPr="006A179A">
              <w:rPr>
                <w:rFonts w:cs="Calibri"/>
                <w:noProof/>
                <w:color w:val="000000"/>
                <w:lang w:val="en-IE"/>
              </w:rPr>
              <w:t>NextGenerationEU</w:t>
            </w:r>
          </w:p>
        </w:tc>
        <w:tc>
          <w:tcPr>
            <w:tcW w:w="2610" w:type="dxa"/>
            <w:vAlign w:val="bottom"/>
          </w:tcPr>
          <w:p w14:paraId="5D9CF0D5" w14:textId="77777777" w:rsidR="0022213D" w:rsidRPr="006A179A" w:rsidRDefault="0022213D"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lang w:val="en-IE"/>
              </w:rPr>
            </w:pPr>
            <w:r w:rsidRPr="006A179A">
              <w:rPr>
                <w:rFonts w:cs="Calibri"/>
                <w:noProof/>
                <w:color w:val="000000"/>
                <w:lang w:val="en-IE"/>
              </w:rPr>
              <w:t>0</w:t>
            </w:r>
          </w:p>
        </w:tc>
      </w:tr>
      <w:tr w:rsidR="0022213D" w:rsidRPr="006A179A" w14:paraId="1009B3F7"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1154C519" w14:textId="77777777" w:rsidR="0022213D" w:rsidRPr="006A179A" w:rsidRDefault="0022213D" w:rsidP="0083214A">
            <w:pPr>
              <w:spacing w:before="120" w:after="120"/>
              <w:rPr>
                <w:b w:val="0"/>
                <w:noProof/>
                <w:lang w:val="en-IE"/>
              </w:rPr>
            </w:pPr>
            <w:r w:rsidRPr="006A179A">
              <w:rPr>
                <w:noProof/>
                <w:lang w:val="en-IE"/>
              </w:rPr>
              <w:t>Decommitments made available again</w:t>
            </w:r>
            <w:r w:rsidRPr="006A179A">
              <w:rPr>
                <w:rFonts w:ascii="Calibri" w:hAnsi="Calibri" w:cs="Calibri"/>
                <w:noProof/>
                <w:lang w:val="en-IE"/>
              </w:rPr>
              <w:t> </w:t>
            </w:r>
            <w:r w:rsidRPr="006A179A">
              <w:rPr>
                <w:noProof/>
                <w:lang w:val="en-IE"/>
              </w:rPr>
              <w:t>(*)</w:t>
            </w:r>
          </w:p>
        </w:tc>
        <w:tc>
          <w:tcPr>
            <w:tcW w:w="2610" w:type="dxa"/>
            <w:vAlign w:val="bottom"/>
          </w:tcPr>
          <w:p w14:paraId="7C1A17A3" w14:textId="77777777" w:rsidR="0022213D" w:rsidRPr="006A179A" w:rsidRDefault="0022213D" w:rsidP="0083214A">
            <w:pPr>
              <w:spacing w:before="120" w:after="120"/>
              <w:jc w:val="center"/>
              <w:cnfStyle w:val="000000000000" w:firstRow="0" w:lastRow="0" w:firstColumn="0" w:lastColumn="0" w:oddVBand="0" w:evenVBand="0" w:oddHBand="0" w:evenHBand="0" w:firstRowFirstColumn="0" w:firstRowLastColumn="0" w:lastRowFirstColumn="0" w:lastRowLastColumn="0"/>
              <w:rPr>
                <w:noProof/>
                <w:lang w:val="en-IE"/>
              </w:rPr>
            </w:pPr>
            <w:r>
              <w:rPr>
                <w:rFonts w:cs="Calibri"/>
                <w:noProof/>
                <w:color w:val="000000"/>
                <w:lang w:val="en-IE"/>
              </w:rPr>
              <w:t>N/A</w:t>
            </w:r>
          </w:p>
        </w:tc>
      </w:tr>
      <w:tr w:rsidR="0022213D" w:rsidRPr="006A179A" w14:paraId="574E0A1D"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5F49C5FF" w14:textId="77777777" w:rsidR="0022213D" w:rsidRPr="006A179A" w:rsidRDefault="0022213D" w:rsidP="0083214A">
            <w:pPr>
              <w:spacing w:before="120" w:after="120"/>
              <w:rPr>
                <w:noProof/>
                <w:lang w:val="en-IE"/>
              </w:rPr>
            </w:pPr>
            <w:r w:rsidRPr="006A179A">
              <w:rPr>
                <w:rFonts w:cs="Calibri"/>
                <w:noProof/>
                <w:color w:val="000000"/>
                <w:lang w:val="en-IE"/>
              </w:rPr>
              <w:t>Contributions from other countries and entities</w:t>
            </w:r>
          </w:p>
        </w:tc>
        <w:tc>
          <w:tcPr>
            <w:tcW w:w="2610" w:type="dxa"/>
            <w:vAlign w:val="bottom"/>
          </w:tcPr>
          <w:p w14:paraId="2C3DBB7A" w14:textId="77777777" w:rsidR="0022213D" w:rsidRPr="006A179A" w:rsidRDefault="0022213D"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lang w:val="en-IE"/>
              </w:rPr>
            </w:pPr>
            <w:r w:rsidRPr="006A179A">
              <w:rPr>
                <w:rFonts w:cs="Calibri"/>
                <w:noProof/>
                <w:color w:val="000000"/>
                <w:lang w:val="en-IE"/>
              </w:rPr>
              <w:t>0</w:t>
            </w:r>
          </w:p>
        </w:tc>
      </w:tr>
      <w:tr w:rsidR="0022213D" w:rsidRPr="006A179A" w14:paraId="62E12657"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2F2F2" w:themeFill="background1" w:themeFillShade="F2"/>
            <w:vAlign w:val="bottom"/>
          </w:tcPr>
          <w:p w14:paraId="67E6EFB9" w14:textId="77777777" w:rsidR="0022213D" w:rsidRPr="006A179A" w:rsidRDefault="0022213D" w:rsidP="0083214A">
            <w:pPr>
              <w:spacing w:before="120" w:after="120"/>
              <w:rPr>
                <w:noProof/>
                <w:lang w:val="en-IE"/>
              </w:rPr>
            </w:pPr>
            <w:r w:rsidRPr="006A179A">
              <w:rPr>
                <w:rFonts w:cs="Calibri"/>
                <w:noProof/>
                <w:color w:val="000000"/>
                <w:lang w:val="en-IE"/>
              </w:rPr>
              <w:t>Total budget for 2021-2027</w:t>
            </w:r>
          </w:p>
        </w:tc>
        <w:tc>
          <w:tcPr>
            <w:tcW w:w="2610" w:type="dxa"/>
            <w:shd w:val="clear" w:color="auto" w:fill="F2F2F2" w:themeFill="background1" w:themeFillShade="F2"/>
            <w:vAlign w:val="bottom"/>
          </w:tcPr>
          <w:p w14:paraId="21876958" w14:textId="77777777" w:rsidR="0022213D" w:rsidRPr="006A179A" w:rsidRDefault="0022213D" w:rsidP="0083214A">
            <w:pPr>
              <w:spacing w:before="120" w:after="120"/>
              <w:jc w:val="center"/>
              <w:cnfStyle w:val="000000000000" w:firstRow="0" w:lastRow="0" w:firstColumn="0" w:lastColumn="0" w:oddVBand="0" w:evenVBand="0" w:oddHBand="0" w:evenHBand="0" w:firstRowFirstColumn="0" w:firstRowLastColumn="0" w:lastRowFirstColumn="0" w:lastRowLastColumn="0"/>
              <w:rPr>
                <w:b/>
                <w:noProof/>
                <w:lang w:val="en-IE"/>
              </w:rPr>
            </w:pPr>
            <w:r w:rsidRPr="006A179A">
              <w:rPr>
                <w:rFonts w:cs="Calibri"/>
                <w:b/>
                <w:noProof/>
                <w:color w:val="000000"/>
                <w:lang w:val="en-IE"/>
              </w:rPr>
              <w:t>466.0</w:t>
            </w:r>
          </w:p>
        </w:tc>
      </w:tr>
    </w:tbl>
    <w:p w14:paraId="7288BB7B" w14:textId="77777777" w:rsidR="0022213D" w:rsidRPr="006A179A" w:rsidRDefault="0022213D" w:rsidP="0022213D">
      <w:pPr>
        <w:tabs>
          <w:tab w:val="left" w:pos="6793"/>
        </w:tabs>
        <w:rPr>
          <w:noProof/>
          <w:sz w:val="18"/>
          <w:szCs w:val="18"/>
          <w:lang w:val="en-IE"/>
        </w:rPr>
      </w:pPr>
      <w:r w:rsidRPr="006A179A">
        <w:rPr>
          <w:noProof/>
          <w:sz w:val="18"/>
          <w:szCs w:val="18"/>
          <w:lang w:val="en-IE"/>
        </w:rPr>
        <w:t>(*) Only Article</w:t>
      </w:r>
      <w:r w:rsidRPr="006A179A">
        <w:rPr>
          <w:rFonts w:ascii="Calibri" w:hAnsi="Calibri" w:cs="Calibri"/>
          <w:noProof/>
          <w:sz w:val="18"/>
          <w:szCs w:val="18"/>
          <w:lang w:val="en-IE"/>
        </w:rPr>
        <w:t> </w:t>
      </w:r>
      <w:r w:rsidRPr="006A179A">
        <w:rPr>
          <w:noProof/>
          <w:sz w:val="18"/>
          <w:szCs w:val="18"/>
          <w:lang w:val="en-IE"/>
        </w:rPr>
        <w:t>15(3) of the financial regulation.</w:t>
      </w:r>
    </w:p>
    <w:p w14:paraId="028D62C3" w14:textId="77777777" w:rsidR="0022213D" w:rsidRPr="006A179A" w:rsidRDefault="0022213D" w:rsidP="0022213D">
      <w:pPr>
        <w:pStyle w:val="ppoHeading5"/>
        <w:rPr>
          <w:noProof/>
          <w:lang w:val="en-IE"/>
        </w:rPr>
      </w:pPr>
      <w:r w:rsidRPr="006A179A">
        <w:rPr>
          <w:noProof/>
          <w:lang w:val="en-IE"/>
        </w:rPr>
        <w:t>Rationale and design of the programme</w:t>
      </w:r>
    </w:p>
    <w:p w14:paraId="051276BC" w14:textId="77777777" w:rsidR="0022213D" w:rsidRPr="006A179A" w:rsidRDefault="0022213D" w:rsidP="0022213D">
      <w:pPr>
        <w:rPr>
          <w:rFonts w:eastAsiaTheme="minorEastAsia"/>
          <w:noProof/>
          <w:lang w:val="en-IE"/>
        </w:rPr>
      </w:pPr>
      <w:r w:rsidRPr="006A179A">
        <w:rPr>
          <w:rFonts w:eastAsiaTheme="minorEastAsia"/>
          <w:noProof/>
          <w:lang w:val="en-IE"/>
        </w:rPr>
        <w:t xml:space="preserve">The programme </w:t>
      </w:r>
      <w:r w:rsidRPr="006A179A">
        <w:rPr>
          <w:noProof/>
          <w:lang w:val="en-IE"/>
        </w:rPr>
        <w:t>provides funding for the decommissioning of the Kozloduy and Bohunice nuclear facilities and the nuclear installations owned by the European Commission, as well as the management of radioactive waste. The programme also aims to take advantage of synergies and knowledge sharing, with a view to ensure dissemination of knowledge and return of experience in all relevant areas such as research and innovation, regulation and training, and to develop potential EU synergies.</w:t>
      </w:r>
    </w:p>
    <w:p w14:paraId="3061BE00" w14:textId="77777777" w:rsidR="0022213D" w:rsidRPr="006A179A" w:rsidRDefault="0022213D" w:rsidP="0022213D">
      <w:pPr>
        <w:pStyle w:val="ppoHeading6"/>
        <w:rPr>
          <w:noProof/>
          <w:lang w:val="en-IE"/>
        </w:rPr>
      </w:pPr>
      <w:r w:rsidRPr="006A179A">
        <w:rPr>
          <w:noProof/>
          <w:lang w:val="en-IE"/>
        </w:rPr>
        <w:t>Challenge</w:t>
      </w:r>
    </w:p>
    <w:p w14:paraId="30C2DD35" w14:textId="77777777" w:rsidR="0022213D" w:rsidRPr="006A179A" w:rsidRDefault="0022213D" w:rsidP="0022213D">
      <w:pPr>
        <w:spacing w:after="112" w:line="249" w:lineRule="auto"/>
        <w:ind w:left="-5" w:right="41" w:hanging="10"/>
        <w:rPr>
          <w:noProof/>
          <w:lang w:val="en-IE"/>
        </w:rPr>
      </w:pPr>
      <w:r w:rsidRPr="006A179A">
        <w:rPr>
          <w:noProof/>
          <w:lang w:val="en-IE"/>
        </w:rPr>
        <w:t xml:space="preserve">The decommissioning of a nuclear installation such as a power plant or research reactor is the final step in its lifecycle. It starts with shutdown and then proceeds with the removal of nuclear materials, decontamination, dismantling and demolishing until the environmental restoration of the site. The aim in nuclear decommissioning is the progressive removal of hazards inherently associated with the installation. The corresponding phasing out of the necessary safety measures and associated costs is done in a series of steps, mainly because the removal of major batches of radioactive materials is carried out over several stages. </w:t>
      </w:r>
    </w:p>
    <w:p w14:paraId="3EAD1554" w14:textId="77777777" w:rsidR="0022213D" w:rsidRPr="006A179A" w:rsidRDefault="0022213D" w:rsidP="0022213D">
      <w:pPr>
        <w:rPr>
          <w:noProof/>
          <w:lang w:val="en-IE"/>
        </w:rPr>
      </w:pPr>
      <w:r w:rsidRPr="006A179A">
        <w:rPr>
          <w:noProof/>
          <w:lang w:val="en-IE"/>
        </w:rPr>
        <w:t>In accordance with their acts of accession to the EU, Bulgaria and Slovakia anticipated the shutdowns of units</w:t>
      </w:r>
      <w:r w:rsidRPr="006A179A">
        <w:rPr>
          <w:rFonts w:ascii="Calibri" w:hAnsi="Calibri" w:cs="Calibri"/>
          <w:noProof/>
          <w:lang w:val="en-IE"/>
        </w:rPr>
        <w:t> </w:t>
      </w:r>
      <w:r w:rsidRPr="006A179A">
        <w:rPr>
          <w:noProof/>
          <w:lang w:val="en-IE"/>
        </w:rPr>
        <w:t>1 to 4 in the Kozloduy nuclear power plant and of units</w:t>
      </w:r>
      <w:r w:rsidRPr="006A179A">
        <w:rPr>
          <w:rFonts w:ascii="Calibri" w:hAnsi="Calibri" w:cs="Calibri"/>
          <w:noProof/>
          <w:lang w:val="en-IE"/>
        </w:rPr>
        <w:t> </w:t>
      </w:r>
      <w:r w:rsidRPr="006A179A">
        <w:rPr>
          <w:noProof/>
          <w:lang w:val="en-IE"/>
        </w:rPr>
        <w:t>1 and 2 in the Bohunice</w:t>
      </w:r>
      <w:r w:rsidRPr="006A179A">
        <w:rPr>
          <w:rFonts w:ascii="Calibri" w:hAnsi="Calibri" w:cs="Calibri"/>
          <w:noProof/>
          <w:lang w:val="en-IE"/>
        </w:rPr>
        <w:t> </w:t>
      </w:r>
      <w:r w:rsidRPr="006A179A">
        <w:rPr>
          <w:noProof/>
          <w:lang w:val="en-IE"/>
        </w:rPr>
        <w:t>V1 nuclear power plant, respectively. The EU committed to provide financial support for the decommissioning, in accordance with approved plans, while keeping the highest level of safety. The financial support provided under the 2021-2027 multiannual financial framework will bring both the Kozloduy and Bohunice programmes to completion.</w:t>
      </w:r>
    </w:p>
    <w:p w14:paraId="11181C43" w14:textId="77777777" w:rsidR="0022213D" w:rsidRPr="006A179A" w:rsidRDefault="0022213D" w:rsidP="0022213D">
      <w:pPr>
        <w:rPr>
          <w:noProof/>
          <w:lang w:val="en-IE"/>
        </w:rPr>
      </w:pPr>
      <w:r w:rsidRPr="006A179A">
        <w:rPr>
          <w:noProof/>
          <w:lang w:val="en-IE"/>
        </w:rPr>
        <w:t>The Joint Research Centre (JRC) was established under the Euratom Treaty and site agreements were signed between 1960 and 1962 between the European Economic Community, Belgium, Germany Italy and the Netherlands. In the cases of Italy and the Netherlands, the national nuclear installations were transferred to the Community. An infrastructure geared to nuclear research and comprising new installations was put in place at the four sites. Some of these installations are still in use today, while others have been shut down</w:t>
      </w:r>
      <w:r w:rsidRPr="006A179A">
        <w:rPr>
          <w:rFonts w:ascii="Calibri" w:hAnsi="Calibri" w:cs="Calibri"/>
          <w:noProof/>
          <w:lang w:val="en-IE"/>
        </w:rPr>
        <w:t> –</w:t>
      </w:r>
      <w:r w:rsidRPr="006A179A">
        <w:rPr>
          <w:noProof/>
          <w:lang w:val="en-IE"/>
        </w:rPr>
        <w:t xml:space="preserve"> in some instances more than 20 years ago</w:t>
      </w:r>
      <w:r w:rsidRPr="006A179A">
        <w:rPr>
          <w:rFonts w:ascii="Calibri" w:hAnsi="Calibri" w:cs="Calibri"/>
          <w:noProof/>
          <w:lang w:val="en-IE"/>
        </w:rPr>
        <w:t> –</w:t>
      </w:r>
      <w:r w:rsidRPr="006A179A">
        <w:rPr>
          <w:noProof/>
          <w:lang w:val="en-IE"/>
        </w:rPr>
        <w:t xml:space="preserve"> and have mostly become obsolete. The JRC, as the license holder, must manage its historical nuclear liabilities, decommission its obsolete nuclear installations and safely manage the resulting spent fuel and radioactive waste.</w:t>
      </w:r>
    </w:p>
    <w:p w14:paraId="6500DEF3" w14:textId="77777777" w:rsidR="0022213D" w:rsidRPr="006A179A" w:rsidRDefault="0022213D" w:rsidP="0022213D">
      <w:pPr>
        <w:rPr>
          <w:noProof/>
          <w:lang w:val="en-IE"/>
        </w:rPr>
      </w:pPr>
      <w:r w:rsidRPr="006A179A">
        <w:rPr>
          <w:noProof/>
          <w:lang w:val="en-IE"/>
        </w:rPr>
        <w:t>The programme also has specific added value because it facilitates the dissemination of critical knowledge and know-how on the decommissioning of nuclear facilities.</w:t>
      </w:r>
    </w:p>
    <w:p w14:paraId="6D75FB59" w14:textId="77777777" w:rsidR="0022213D" w:rsidRPr="006A179A" w:rsidRDefault="0022213D" w:rsidP="0022213D">
      <w:pPr>
        <w:pStyle w:val="ppoHeading6"/>
        <w:rPr>
          <w:noProof/>
          <w:lang w:val="en-IE"/>
        </w:rPr>
      </w:pPr>
      <w:r w:rsidRPr="006A179A">
        <w:rPr>
          <w:noProof/>
          <w:lang w:val="en-IE"/>
        </w:rPr>
        <w:t>Mission</w:t>
      </w:r>
    </w:p>
    <w:p w14:paraId="623874D3" w14:textId="77777777" w:rsidR="0022213D" w:rsidRPr="006A179A" w:rsidRDefault="0022213D" w:rsidP="0022213D">
      <w:pPr>
        <w:rPr>
          <w:noProof/>
          <w:lang w:val="en-IE"/>
        </w:rPr>
      </w:pPr>
      <w:r w:rsidRPr="006A179A">
        <w:rPr>
          <w:noProof/>
          <w:lang w:val="en-IE"/>
        </w:rPr>
        <w:t>The general objective of the programme is to provide funding for the decommissioning of these nuclear facilities and the management of radioactive waste, in line with the needs identified in the respective decommissioning plans.</w:t>
      </w:r>
    </w:p>
    <w:p w14:paraId="2AE6A748" w14:textId="77777777" w:rsidR="0022213D" w:rsidRPr="006A179A" w:rsidRDefault="0022213D" w:rsidP="0022213D">
      <w:pPr>
        <w:pStyle w:val="ppoHeading6"/>
        <w:rPr>
          <w:noProof/>
          <w:lang w:val="en-IE"/>
        </w:rPr>
      </w:pPr>
      <w:r w:rsidRPr="006A179A">
        <w:rPr>
          <w:noProof/>
          <w:lang w:val="en-IE"/>
        </w:rPr>
        <w:t>Objectives</w:t>
      </w:r>
    </w:p>
    <w:p w14:paraId="6DAC4CD2" w14:textId="77777777" w:rsidR="0022213D" w:rsidRPr="006A179A" w:rsidRDefault="0022213D" w:rsidP="0022213D">
      <w:pPr>
        <w:rPr>
          <w:noProof/>
          <w:lang w:val="en-IE"/>
        </w:rPr>
      </w:pPr>
      <w:r w:rsidRPr="006A179A">
        <w:rPr>
          <w:noProof/>
          <w:lang w:val="en-IE"/>
        </w:rPr>
        <w:t xml:space="preserve">In addition to creating knowledge on the nuclear decommissioning process and the management of the resulting radioactive waste, the programme aims to: </w:t>
      </w:r>
    </w:p>
    <w:p w14:paraId="060C0210" w14:textId="77777777" w:rsidR="0022213D" w:rsidRPr="006A179A" w:rsidRDefault="0022213D" w:rsidP="006F409B">
      <w:pPr>
        <w:pStyle w:val="ppoListArabic1aiii-L1"/>
        <w:numPr>
          <w:ilvl w:val="0"/>
          <w:numId w:val="135"/>
        </w:numPr>
        <w:rPr>
          <w:noProof/>
          <w:lang w:val="en-IE"/>
        </w:rPr>
      </w:pPr>
      <w:r w:rsidRPr="006A179A">
        <w:rPr>
          <w:noProof/>
          <w:lang w:val="en-IE"/>
        </w:rPr>
        <w:t xml:space="preserve">assist Bulgaria and Slovakia in implementing the Kozloduy programme and the Bohunice programme, respectively, including the management and storage of radioactive waste in line with the needs identified in the respective decommissioning plans, with a specific emphasis on managing the related safety challenges; </w:t>
      </w:r>
    </w:p>
    <w:p w14:paraId="15B7D756" w14:textId="77777777" w:rsidR="0022213D" w:rsidRPr="006A179A" w:rsidRDefault="0022213D" w:rsidP="006F409B">
      <w:pPr>
        <w:pStyle w:val="ppoListArabic1aiii-L1"/>
        <w:numPr>
          <w:ilvl w:val="0"/>
          <w:numId w:val="135"/>
        </w:numPr>
        <w:rPr>
          <w:noProof/>
          <w:lang w:val="en-IE"/>
        </w:rPr>
      </w:pPr>
      <w:r w:rsidRPr="006A179A">
        <w:rPr>
          <w:noProof/>
          <w:lang w:val="en-IE"/>
        </w:rPr>
        <w:t xml:space="preserve">support the JRC decommissioning and waste management programme. </w:t>
      </w:r>
    </w:p>
    <w:p w14:paraId="48CCC892" w14:textId="77777777" w:rsidR="0022213D" w:rsidRPr="006A179A" w:rsidRDefault="0022213D" w:rsidP="0022213D">
      <w:pPr>
        <w:pStyle w:val="ppoHeading6"/>
        <w:rPr>
          <w:noProof/>
          <w:lang w:val="en-IE"/>
        </w:rPr>
      </w:pPr>
      <w:r w:rsidRPr="006A179A">
        <w:rPr>
          <w:noProof/>
          <w:lang w:val="en-IE"/>
        </w:rPr>
        <w:t>Actions</w:t>
      </w:r>
    </w:p>
    <w:p w14:paraId="73376A12" w14:textId="77777777" w:rsidR="0022213D" w:rsidRPr="006A179A" w:rsidRDefault="0022213D" w:rsidP="0022213D">
      <w:pPr>
        <w:rPr>
          <w:noProof/>
          <w:lang w:val="en-IE"/>
        </w:rPr>
      </w:pPr>
      <w:r w:rsidRPr="006A179A">
        <w:rPr>
          <w:noProof/>
          <w:lang w:val="en-IE"/>
        </w:rPr>
        <w:t xml:space="preserve">The Kozloduy and the Bohunice programmes will fund activities within the scope of the respective decommissioning plans related to the delivery of the general and specific objectives and with the highest EU added value, namely the removal of radiological hazards. </w:t>
      </w:r>
    </w:p>
    <w:p w14:paraId="2FED16FF" w14:textId="77777777" w:rsidR="0022213D" w:rsidRPr="006A179A" w:rsidRDefault="0022213D" w:rsidP="0022213D">
      <w:pPr>
        <w:rPr>
          <w:noProof/>
          <w:lang w:val="en-IE"/>
        </w:rPr>
      </w:pPr>
      <w:r w:rsidRPr="006A179A">
        <w:rPr>
          <w:noProof/>
          <w:lang w:val="en-IE"/>
        </w:rPr>
        <w:t xml:space="preserve">During the 2021-2027 period, in Ispra the gradual shift from safe conservation and pre-decommissioning to relatively large decommissioning and waste management tasks will continue, enabled by the relevant authorisations and licenses released by the safety authority and by the start of the operation of new supporting facilities. In Karlsruhe, the requalification and removal of legacy low-level waste and glove boxes and the optimisation of spent fuel inventories will continue. In Petten, a multi-year campaign to dispose of the nuclear material/waste batches owned by JRC will be launched. In Geel, an effort to reduce/optimise the inventories of nuclear materials owned by the JRC and to remove waste will be implemented, in agreement with the licensing authority. </w:t>
      </w:r>
    </w:p>
    <w:p w14:paraId="35980230" w14:textId="77777777" w:rsidR="0022213D" w:rsidRPr="006A179A" w:rsidRDefault="0022213D" w:rsidP="0022213D">
      <w:pPr>
        <w:rPr>
          <w:noProof/>
          <w:lang w:val="en-IE"/>
        </w:rPr>
      </w:pPr>
      <w:r w:rsidRPr="006A179A">
        <w:rPr>
          <w:noProof/>
          <w:lang w:val="en-IE"/>
        </w:rPr>
        <w:t>The JRC will lead the efforts to develop ties and exchanges among EU stakeholders on nuclear decommissioning, in order to ensure the dissemination of knowledge and the sharing of experience in all relevant areas, such as research and innovation, regulation and training and developing potential EU synergies.</w:t>
      </w:r>
    </w:p>
    <w:p w14:paraId="2398C534" w14:textId="77777777" w:rsidR="0022213D" w:rsidRPr="006A179A" w:rsidRDefault="0022213D" w:rsidP="0022213D">
      <w:pPr>
        <w:pStyle w:val="ppoHeading6"/>
        <w:rPr>
          <w:noProof/>
          <w:lang w:val="en-IE"/>
        </w:rPr>
      </w:pPr>
      <w:r w:rsidRPr="006A179A">
        <w:rPr>
          <w:noProof/>
          <w:lang w:val="en-IE"/>
        </w:rPr>
        <w:t>Delivery mode</w:t>
      </w:r>
    </w:p>
    <w:p w14:paraId="36D22698" w14:textId="77777777" w:rsidR="0022213D" w:rsidRPr="006A179A" w:rsidRDefault="0022213D" w:rsidP="0022213D">
      <w:pPr>
        <w:rPr>
          <w:noProof/>
          <w:lang w:val="en-IE"/>
        </w:rPr>
      </w:pPr>
      <w:r w:rsidRPr="006A179A">
        <w:rPr>
          <w:noProof/>
          <w:lang w:val="en-IE"/>
        </w:rPr>
        <w:t xml:space="preserve">The Kozloduy and Bohunice programmes will be implemented under indirect management, entrusted to the European Bank for Reconstruction and Development and the Slovak Innovation and Energy Agency for Bohunice. </w:t>
      </w:r>
    </w:p>
    <w:p w14:paraId="371F72BB" w14:textId="77777777" w:rsidR="0022213D" w:rsidRPr="006A179A" w:rsidRDefault="0022213D" w:rsidP="0022213D">
      <w:pPr>
        <w:rPr>
          <w:noProof/>
          <w:lang w:val="en-IE"/>
        </w:rPr>
      </w:pPr>
      <w:r w:rsidRPr="006A179A">
        <w:rPr>
          <w:noProof/>
          <w:lang w:val="en-IE"/>
        </w:rPr>
        <w:t>The JRC’s nuclear decommissioning and waste management programme is implemented in direct management by the Commission (JRC).</w:t>
      </w:r>
    </w:p>
    <w:p w14:paraId="4C813DC9" w14:textId="77777777" w:rsidR="0022213D" w:rsidRPr="006A179A" w:rsidRDefault="0022213D" w:rsidP="0022213D">
      <w:pPr>
        <w:pStyle w:val="ppoHeading6"/>
        <w:rPr>
          <w:noProof/>
          <w:lang w:val="en-IE"/>
        </w:rPr>
      </w:pPr>
      <w:r w:rsidRPr="006A179A">
        <w:rPr>
          <w:noProof/>
          <w:lang w:val="en-IE"/>
        </w:rPr>
        <w:t>LINK TO THE 2014-2020 MULTIANNUAL FINANCIAL FRAMEWORK</w:t>
      </w:r>
    </w:p>
    <w:p w14:paraId="152C174C" w14:textId="77777777" w:rsidR="0022213D" w:rsidRPr="006A179A" w:rsidRDefault="0022213D" w:rsidP="0022213D">
      <w:pPr>
        <w:rPr>
          <w:noProof/>
          <w:lang w:val="en-IE"/>
        </w:rPr>
      </w:pPr>
      <w:r w:rsidRPr="006A179A">
        <w:rPr>
          <w:noProof/>
          <w:lang w:val="en-IE"/>
        </w:rPr>
        <w:t>Under the 2021-2027 multiannual financial framework, the Kozloduy and Bohunice programmes continue the efforts of their 2014</w:t>
      </w:r>
      <w:r w:rsidRPr="006A179A">
        <w:rPr>
          <w:noProof/>
          <w:lang w:val="en-IE"/>
        </w:rPr>
        <w:noBreakHyphen/>
        <w:t>2020 framework predecessors. The activities funded in the 2021-2027 period will be subject to a maximum EU co-financing rate of 50%. This rate was not included previously.</w:t>
      </w:r>
    </w:p>
    <w:p w14:paraId="578678D4" w14:textId="77777777" w:rsidR="0022213D" w:rsidRPr="006A179A" w:rsidRDefault="0022213D" w:rsidP="0022213D">
      <w:pPr>
        <w:rPr>
          <w:noProof/>
          <w:lang w:val="en-IE"/>
        </w:rPr>
      </w:pPr>
      <w:r w:rsidRPr="006A179A">
        <w:rPr>
          <w:noProof/>
          <w:lang w:val="en-IE"/>
        </w:rPr>
        <w:t>The programme was previously performed under direct management under a different financial instrument, but is now part of Council Regulation (Euratom)</w:t>
      </w:r>
      <w:r w:rsidRPr="006A179A">
        <w:rPr>
          <w:rFonts w:ascii="Calibri" w:hAnsi="Calibri" w:cs="Calibri"/>
          <w:noProof/>
          <w:lang w:val="en-IE"/>
        </w:rPr>
        <w:t> </w:t>
      </w:r>
      <w:r w:rsidRPr="006A179A">
        <w:rPr>
          <w:noProof/>
          <w:lang w:val="en-IE"/>
        </w:rPr>
        <w:t xml:space="preserve">2021/100. Since the beginning of the programme, the Commission has regularly reported to the European Parliament and the Council of the European Union on its progress and status. </w:t>
      </w:r>
    </w:p>
    <w:p w14:paraId="5CD63C06" w14:textId="77777777" w:rsidR="0022213D" w:rsidRPr="006A179A" w:rsidRDefault="0022213D" w:rsidP="0022213D">
      <w:pPr>
        <w:pStyle w:val="ppoHeading6"/>
        <w:rPr>
          <w:noProof/>
          <w:lang w:val="en-IE"/>
        </w:rPr>
      </w:pPr>
      <w:r w:rsidRPr="006A179A">
        <w:rPr>
          <w:noProof/>
          <w:lang w:val="en-IE"/>
        </w:rPr>
        <w:t>Impact assessment</w:t>
      </w:r>
    </w:p>
    <w:p w14:paraId="21C9984F" w14:textId="77777777" w:rsidR="0022213D" w:rsidRPr="006A179A" w:rsidRDefault="0022213D" w:rsidP="0022213D">
      <w:pPr>
        <w:rPr>
          <w:noProof/>
          <w:lang w:val="en-IE"/>
        </w:rPr>
      </w:pPr>
      <w:r w:rsidRPr="006A179A">
        <w:rPr>
          <w:noProof/>
          <w:lang w:val="en-IE"/>
        </w:rPr>
        <w:t>The impact assessment of the programme was carried out in 2018.</w:t>
      </w:r>
    </w:p>
    <w:p w14:paraId="4DE4D847" w14:textId="77777777" w:rsidR="0022213D" w:rsidRPr="006A179A" w:rsidRDefault="0022213D" w:rsidP="0022213D">
      <w:pPr>
        <w:rPr>
          <w:noProof/>
          <w:lang w:val="en-IE"/>
        </w:rPr>
      </w:pPr>
      <w:r w:rsidRPr="006A179A">
        <w:rPr>
          <w:noProof/>
          <w:lang w:val="en-IE"/>
        </w:rPr>
        <w:t xml:space="preserve">For further information please consult: </w:t>
      </w:r>
      <w:hyperlink r:id="rId497" w:history="1">
        <w:r w:rsidRPr="006A179A">
          <w:rPr>
            <w:rStyle w:val="Hyperlink"/>
            <w:noProof/>
            <w:lang w:val="en-IE"/>
          </w:rPr>
          <w:t>https://europa.eu/!UN93UP</w:t>
        </w:r>
      </w:hyperlink>
    </w:p>
    <w:p w14:paraId="5F4A03DE" w14:textId="77777777" w:rsidR="0022213D" w:rsidRPr="006A179A" w:rsidRDefault="0022213D" w:rsidP="0022213D">
      <w:pPr>
        <w:pStyle w:val="ppoHeading6"/>
        <w:rPr>
          <w:noProof/>
          <w:lang w:val="en-IE"/>
        </w:rPr>
      </w:pPr>
      <w:r w:rsidRPr="006A179A">
        <w:rPr>
          <w:noProof/>
          <w:lang w:val="en-IE"/>
        </w:rPr>
        <w:t>WEBSITE FOR more information</w:t>
      </w:r>
    </w:p>
    <w:p w14:paraId="358340F4" w14:textId="77777777" w:rsidR="0022213D" w:rsidRPr="00734658" w:rsidRDefault="0022213D" w:rsidP="009F2266">
      <w:pPr>
        <w:rPr>
          <w:rFonts w:eastAsiaTheme="minorHAnsi"/>
          <w:noProof/>
        </w:rPr>
      </w:pPr>
      <w:r w:rsidRPr="00734658">
        <w:rPr>
          <w:rFonts w:eastAsiaTheme="minorHAnsi"/>
          <w:noProof/>
        </w:rPr>
        <w:t>Decommissioning of nuclear facilities</w:t>
      </w:r>
      <w:r>
        <w:rPr>
          <w:rFonts w:eastAsiaTheme="minorHAnsi"/>
          <w:noProof/>
        </w:rPr>
        <w:t>:</w:t>
      </w:r>
    </w:p>
    <w:p w14:paraId="075F9A4D" w14:textId="77777777" w:rsidR="0022213D" w:rsidRPr="00295F14" w:rsidRDefault="00E01E9B" w:rsidP="0022213D">
      <w:pPr>
        <w:rPr>
          <w:noProof/>
          <w:lang w:val="en-IE"/>
        </w:rPr>
      </w:pPr>
      <w:hyperlink r:id="rId498" w:history="1">
        <w:r w:rsidR="0022213D" w:rsidRPr="00295F14">
          <w:rPr>
            <w:rStyle w:val="Hyperlink"/>
            <w:noProof/>
            <w:lang w:val="en-IE"/>
          </w:rPr>
          <w:t>https://ec.europa.eu/energy/topics/nuclear-energy/decommissioning-nuclear-facilities_en</w:t>
        </w:r>
      </w:hyperlink>
    </w:p>
    <w:p w14:paraId="79AF1E49" w14:textId="77777777" w:rsidR="0022213D" w:rsidRDefault="0022213D" w:rsidP="0022213D">
      <w:pPr>
        <w:rPr>
          <w:noProof/>
          <w:lang w:val="en-IE"/>
        </w:rPr>
      </w:pPr>
      <w:r w:rsidRPr="006A179A">
        <w:rPr>
          <w:noProof/>
          <w:lang w:val="en-IE"/>
        </w:rPr>
        <w:t>J</w:t>
      </w:r>
      <w:r>
        <w:rPr>
          <w:noProof/>
          <w:lang w:val="en-IE"/>
        </w:rPr>
        <w:t xml:space="preserve">oint </w:t>
      </w:r>
      <w:r w:rsidRPr="006A179A">
        <w:rPr>
          <w:noProof/>
          <w:lang w:val="en-IE"/>
        </w:rPr>
        <w:t>R</w:t>
      </w:r>
      <w:r>
        <w:rPr>
          <w:noProof/>
          <w:lang w:val="en-IE"/>
        </w:rPr>
        <w:t xml:space="preserve">esearch </w:t>
      </w:r>
      <w:r w:rsidRPr="006A179A">
        <w:rPr>
          <w:noProof/>
          <w:lang w:val="en-IE"/>
        </w:rPr>
        <w:t>C</w:t>
      </w:r>
      <w:r>
        <w:rPr>
          <w:noProof/>
          <w:lang w:val="en-IE"/>
        </w:rPr>
        <w:t>entre</w:t>
      </w:r>
      <w:r w:rsidRPr="006A179A">
        <w:rPr>
          <w:noProof/>
          <w:lang w:val="en-IE"/>
        </w:rPr>
        <w:t>:</w:t>
      </w:r>
    </w:p>
    <w:p w14:paraId="4E29DE10" w14:textId="77777777" w:rsidR="0022213D" w:rsidRDefault="00E01E9B" w:rsidP="0022213D">
      <w:pPr>
        <w:rPr>
          <w:noProof/>
          <w:lang w:val="en-IE"/>
        </w:rPr>
      </w:pPr>
      <w:hyperlink r:id="rId499" w:history="1">
        <w:r w:rsidR="0022213D" w:rsidRPr="009A5379">
          <w:rPr>
            <w:rStyle w:val="Hyperlink"/>
            <w:noProof/>
            <w:lang w:val="en-IE"/>
          </w:rPr>
          <w:t>https://joint-research-centre.ec.europa.eu/scientific-activities-z/nuclear-waste-management-and-decommissioning_en</w:t>
        </w:r>
      </w:hyperlink>
    </w:p>
    <w:p w14:paraId="3738FC48" w14:textId="77777777" w:rsidR="0022213D" w:rsidRPr="006A179A" w:rsidRDefault="0022213D" w:rsidP="0022213D">
      <w:pPr>
        <w:rPr>
          <w:noProof/>
          <w:lang w:val="en-IE"/>
        </w:rPr>
      </w:pPr>
    </w:p>
    <w:p w14:paraId="20332249" w14:textId="77777777" w:rsidR="0022213D" w:rsidRPr="006A179A" w:rsidRDefault="0022213D" w:rsidP="0022213D">
      <w:pPr>
        <w:pStyle w:val="ppoHeading5"/>
        <w:rPr>
          <w:noProof/>
          <w:lang w:val="en-IE"/>
        </w:rPr>
      </w:pPr>
      <w:r w:rsidRPr="006A179A">
        <w:rPr>
          <w:rFonts w:eastAsiaTheme="minorEastAsia"/>
          <w:noProof/>
          <w:lang w:val="en-IE"/>
        </w:rPr>
        <w:t>Legal basis</w:t>
      </w:r>
    </w:p>
    <w:p w14:paraId="64B712F9" w14:textId="77777777" w:rsidR="0022213D" w:rsidRPr="006A179A" w:rsidRDefault="0022213D" w:rsidP="0022213D">
      <w:pPr>
        <w:rPr>
          <w:noProof/>
          <w:lang w:val="en-IE"/>
        </w:rPr>
      </w:pPr>
      <w:r w:rsidRPr="006A179A">
        <w:rPr>
          <w:noProof/>
          <w:lang w:val="en-IE"/>
        </w:rPr>
        <w:t>Council Regulation (Euratom)</w:t>
      </w:r>
      <w:r w:rsidRPr="006A179A">
        <w:rPr>
          <w:rFonts w:ascii="Calibri" w:hAnsi="Calibri" w:cs="Calibri"/>
          <w:noProof/>
          <w:lang w:val="en-IE"/>
        </w:rPr>
        <w:t> </w:t>
      </w:r>
      <w:r w:rsidRPr="006A179A">
        <w:rPr>
          <w:noProof/>
          <w:lang w:val="en-IE"/>
        </w:rPr>
        <w:t>2021/100.</w:t>
      </w:r>
    </w:p>
    <w:p w14:paraId="5E5FCD19" w14:textId="77777777" w:rsidR="0022213D" w:rsidRPr="006A179A" w:rsidRDefault="0022213D" w:rsidP="0022213D">
      <w:pPr>
        <w:pStyle w:val="ppoHeading4Blue"/>
        <w:rPr>
          <w:caps/>
          <w:noProof/>
          <w:lang w:val="en-IE"/>
        </w:rPr>
      </w:pPr>
      <w:r w:rsidRPr="006A179A">
        <w:rPr>
          <w:noProof/>
          <w:lang w:val="en-IE"/>
        </w:rPr>
        <w:t xml:space="preserve">Implementation and performance </w:t>
      </w:r>
    </w:p>
    <w:p w14:paraId="1C4C0E7A" w14:textId="77777777" w:rsidR="0022213D" w:rsidRPr="006A179A" w:rsidRDefault="0022213D" w:rsidP="0022213D">
      <w:pPr>
        <w:pStyle w:val="ppoHeading5"/>
        <w:rPr>
          <w:noProof/>
          <w:lang w:val="en-IE"/>
        </w:rPr>
      </w:pPr>
      <w:r w:rsidRPr="006A179A">
        <w:rPr>
          <w:noProof/>
          <w:lang w:val="en-IE"/>
        </w:rPr>
        <w:t>Budget implementation</w:t>
      </w:r>
    </w:p>
    <w:p w14:paraId="2CD4225B" w14:textId="77777777" w:rsidR="0022213D" w:rsidRPr="006A179A" w:rsidRDefault="0022213D" w:rsidP="0022213D">
      <w:pPr>
        <w:pStyle w:val="ppoTableTabletitle"/>
        <w:rPr>
          <w:noProof/>
          <w:lang w:val="en-IE"/>
        </w:rPr>
      </w:pPr>
      <w:r w:rsidRPr="006A179A">
        <w:rPr>
          <w:noProof/>
          <w:lang w:val="en-IE"/>
        </w:rPr>
        <w:t>Budget programming (EUR million):</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22213D" w:rsidRPr="006A179A" w14:paraId="3DD61C50" w14:textId="77777777" w:rsidTr="0083214A">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6136D433" w14:textId="77777777" w:rsidR="0022213D" w:rsidRPr="006A179A" w:rsidRDefault="0022213D" w:rsidP="0083214A">
            <w:pPr>
              <w:rPr>
                <w:noProof/>
                <w:lang w:val="en-IE"/>
              </w:rPr>
            </w:pPr>
          </w:p>
        </w:tc>
        <w:tc>
          <w:tcPr>
            <w:tcW w:w="943" w:type="dxa"/>
            <w:noWrap/>
            <w:hideMark/>
          </w:tcPr>
          <w:p w14:paraId="0F778BE3" w14:textId="77777777" w:rsidR="0022213D" w:rsidRPr="006A179A" w:rsidRDefault="0022213D" w:rsidP="0083214A">
            <w:pPr>
              <w:rPr>
                <w:noProof/>
                <w:lang w:val="en-IE"/>
              </w:rPr>
            </w:pPr>
            <w:r w:rsidRPr="006A179A">
              <w:rPr>
                <w:noProof/>
                <w:lang w:val="en-IE"/>
              </w:rPr>
              <w:t>2021</w:t>
            </w:r>
          </w:p>
        </w:tc>
        <w:tc>
          <w:tcPr>
            <w:tcW w:w="944" w:type="dxa"/>
            <w:noWrap/>
            <w:hideMark/>
          </w:tcPr>
          <w:p w14:paraId="783E3165" w14:textId="77777777" w:rsidR="0022213D" w:rsidRPr="006A179A" w:rsidRDefault="0022213D" w:rsidP="0083214A">
            <w:pPr>
              <w:rPr>
                <w:noProof/>
                <w:lang w:val="en-IE"/>
              </w:rPr>
            </w:pPr>
            <w:r w:rsidRPr="006A179A">
              <w:rPr>
                <w:noProof/>
                <w:lang w:val="en-IE"/>
              </w:rPr>
              <w:t>2022</w:t>
            </w:r>
          </w:p>
        </w:tc>
        <w:tc>
          <w:tcPr>
            <w:tcW w:w="943" w:type="dxa"/>
            <w:noWrap/>
            <w:hideMark/>
          </w:tcPr>
          <w:p w14:paraId="04F9D6CC" w14:textId="77777777" w:rsidR="0022213D" w:rsidRPr="006A179A" w:rsidRDefault="0022213D" w:rsidP="0083214A">
            <w:pPr>
              <w:rPr>
                <w:noProof/>
                <w:lang w:val="en-IE"/>
              </w:rPr>
            </w:pPr>
            <w:r w:rsidRPr="006A179A">
              <w:rPr>
                <w:noProof/>
                <w:lang w:val="en-IE"/>
              </w:rPr>
              <w:t>2023</w:t>
            </w:r>
          </w:p>
        </w:tc>
        <w:tc>
          <w:tcPr>
            <w:tcW w:w="944" w:type="dxa"/>
            <w:noWrap/>
            <w:hideMark/>
          </w:tcPr>
          <w:p w14:paraId="7FB2012F" w14:textId="77777777" w:rsidR="0022213D" w:rsidRPr="006A179A" w:rsidRDefault="0022213D" w:rsidP="0083214A">
            <w:pPr>
              <w:rPr>
                <w:noProof/>
                <w:lang w:val="en-IE"/>
              </w:rPr>
            </w:pPr>
            <w:r w:rsidRPr="006A179A">
              <w:rPr>
                <w:noProof/>
                <w:lang w:val="en-IE"/>
              </w:rPr>
              <w:t>2024</w:t>
            </w:r>
          </w:p>
        </w:tc>
        <w:tc>
          <w:tcPr>
            <w:tcW w:w="944" w:type="dxa"/>
            <w:noWrap/>
            <w:hideMark/>
          </w:tcPr>
          <w:p w14:paraId="6AE4674D" w14:textId="77777777" w:rsidR="0022213D" w:rsidRPr="006A179A" w:rsidRDefault="0022213D" w:rsidP="0083214A">
            <w:pPr>
              <w:rPr>
                <w:noProof/>
                <w:lang w:val="en-IE"/>
              </w:rPr>
            </w:pPr>
            <w:r w:rsidRPr="006A179A">
              <w:rPr>
                <w:noProof/>
                <w:lang w:val="en-IE"/>
              </w:rPr>
              <w:t>2025</w:t>
            </w:r>
          </w:p>
        </w:tc>
        <w:tc>
          <w:tcPr>
            <w:tcW w:w="943" w:type="dxa"/>
            <w:noWrap/>
            <w:hideMark/>
          </w:tcPr>
          <w:p w14:paraId="575BDF4B" w14:textId="77777777" w:rsidR="0022213D" w:rsidRPr="006A179A" w:rsidRDefault="0022213D" w:rsidP="0083214A">
            <w:pPr>
              <w:rPr>
                <w:noProof/>
                <w:lang w:val="en-IE"/>
              </w:rPr>
            </w:pPr>
            <w:r w:rsidRPr="006A179A">
              <w:rPr>
                <w:noProof/>
                <w:lang w:val="en-IE"/>
              </w:rPr>
              <w:t>2026</w:t>
            </w:r>
          </w:p>
        </w:tc>
        <w:tc>
          <w:tcPr>
            <w:tcW w:w="944" w:type="dxa"/>
            <w:noWrap/>
            <w:hideMark/>
          </w:tcPr>
          <w:p w14:paraId="7A9236DB" w14:textId="77777777" w:rsidR="0022213D" w:rsidRPr="006A179A" w:rsidRDefault="0022213D" w:rsidP="0083214A">
            <w:pPr>
              <w:rPr>
                <w:noProof/>
                <w:lang w:val="en-IE"/>
              </w:rPr>
            </w:pPr>
            <w:r w:rsidRPr="006A179A">
              <w:rPr>
                <w:noProof/>
                <w:lang w:val="en-IE"/>
              </w:rPr>
              <w:t>2027</w:t>
            </w:r>
          </w:p>
        </w:tc>
        <w:tc>
          <w:tcPr>
            <w:tcW w:w="944" w:type="dxa"/>
            <w:noWrap/>
            <w:hideMark/>
          </w:tcPr>
          <w:p w14:paraId="564F5E00" w14:textId="77777777" w:rsidR="0022213D" w:rsidRPr="006A179A" w:rsidRDefault="0022213D" w:rsidP="0083214A">
            <w:pPr>
              <w:rPr>
                <w:noProof/>
                <w:lang w:val="en-IE"/>
              </w:rPr>
            </w:pPr>
            <w:r w:rsidRPr="006A179A">
              <w:rPr>
                <w:noProof/>
                <w:lang w:val="en-IE"/>
              </w:rPr>
              <w:t>Total</w:t>
            </w:r>
          </w:p>
        </w:tc>
      </w:tr>
      <w:tr w:rsidR="0022213D" w:rsidRPr="006A179A" w14:paraId="24226D5B"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5A08FBA2" w14:textId="77777777" w:rsidR="0022213D" w:rsidRPr="006A179A" w:rsidRDefault="0022213D" w:rsidP="0083214A">
            <w:pPr>
              <w:rPr>
                <w:noProof/>
                <w:lang w:val="en-IE"/>
              </w:rPr>
            </w:pPr>
            <w:r w:rsidRPr="006A179A">
              <w:rPr>
                <w:noProof/>
                <w:lang w:val="en-IE"/>
              </w:rPr>
              <w:t>Financial programming</w:t>
            </w:r>
          </w:p>
        </w:tc>
        <w:tc>
          <w:tcPr>
            <w:tcW w:w="943" w:type="dxa"/>
            <w:noWrap/>
            <w:hideMark/>
          </w:tcPr>
          <w:p w14:paraId="25AA5623" w14:textId="77777777" w:rsidR="0022213D" w:rsidRPr="006A179A" w:rsidRDefault="0022213D" w:rsidP="0083214A">
            <w:pPr>
              <w:jc w:val="center"/>
              <w:rPr>
                <w:noProof/>
                <w:lang w:val="en-IE"/>
              </w:rPr>
            </w:pPr>
            <w:r w:rsidRPr="006A179A">
              <w:rPr>
                <w:noProof/>
                <w:lang w:val="en-IE"/>
              </w:rPr>
              <w:t>69.2</w:t>
            </w:r>
          </w:p>
        </w:tc>
        <w:tc>
          <w:tcPr>
            <w:tcW w:w="944" w:type="dxa"/>
            <w:noWrap/>
            <w:hideMark/>
          </w:tcPr>
          <w:p w14:paraId="12B73FDB" w14:textId="77777777" w:rsidR="0022213D" w:rsidRPr="006A179A" w:rsidRDefault="0022213D" w:rsidP="0083214A">
            <w:pPr>
              <w:jc w:val="center"/>
              <w:rPr>
                <w:noProof/>
                <w:lang w:val="en-IE"/>
              </w:rPr>
            </w:pPr>
            <w:r w:rsidRPr="006A179A">
              <w:rPr>
                <w:noProof/>
                <w:lang w:val="en-IE"/>
              </w:rPr>
              <w:t>43.9</w:t>
            </w:r>
          </w:p>
        </w:tc>
        <w:tc>
          <w:tcPr>
            <w:tcW w:w="943" w:type="dxa"/>
            <w:noWrap/>
            <w:hideMark/>
          </w:tcPr>
          <w:p w14:paraId="1B195E72" w14:textId="77777777" w:rsidR="0022213D" w:rsidRPr="006A179A" w:rsidRDefault="0022213D" w:rsidP="0083214A">
            <w:pPr>
              <w:jc w:val="center"/>
              <w:rPr>
                <w:noProof/>
                <w:lang w:val="en-IE"/>
              </w:rPr>
            </w:pPr>
            <w:r w:rsidRPr="006A179A">
              <w:rPr>
                <w:noProof/>
                <w:lang w:val="en-IE"/>
              </w:rPr>
              <w:t>57.2</w:t>
            </w:r>
          </w:p>
        </w:tc>
        <w:tc>
          <w:tcPr>
            <w:tcW w:w="944" w:type="dxa"/>
            <w:noWrap/>
            <w:hideMark/>
          </w:tcPr>
          <w:p w14:paraId="3749037F" w14:textId="77777777" w:rsidR="0022213D" w:rsidRPr="006A179A" w:rsidRDefault="0022213D" w:rsidP="0083214A">
            <w:pPr>
              <w:jc w:val="center"/>
              <w:rPr>
                <w:noProof/>
                <w:lang w:val="en-IE"/>
              </w:rPr>
            </w:pPr>
            <w:r w:rsidRPr="006A179A">
              <w:rPr>
                <w:noProof/>
                <w:lang w:val="en-IE"/>
              </w:rPr>
              <w:t>62.3</w:t>
            </w:r>
          </w:p>
        </w:tc>
        <w:tc>
          <w:tcPr>
            <w:tcW w:w="944" w:type="dxa"/>
            <w:noWrap/>
            <w:hideMark/>
          </w:tcPr>
          <w:p w14:paraId="0717EEF0" w14:textId="77777777" w:rsidR="0022213D" w:rsidRPr="006A179A" w:rsidRDefault="0022213D" w:rsidP="0083214A">
            <w:pPr>
              <w:jc w:val="center"/>
              <w:rPr>
                <w:noProof/>
                <w:lang w:val="en-IE"/>
              </w:rPr>
            </w:pPr>
            <w:r w:rsidRPr="006A179A">
              <w:rPr>
                <w:noProof/>
                <w:lang w:val="en-IE"/>
              </w:rPr>
              <w:t>70.5</w:t>
            </w:r>
          </w:p>
        </w:tc>
        <w:tc>
          <w:tcPr>
            <w:tcW w:w="943" w:type="dxa"/>
            <w:noWrap/>
            <w:hideMark/>
          </w:tcPr>
          <w:p w14:paraId="3C3631D3" w14:textId="77777777" w:rsidR="0022213D" w:rsidRPr="006A179A" w:rsidRDefault="0022213D" w:rsidP="0083214A">
            <w:pPr>
              <w:jc w:val="center"/>
              <w:rPr>
                <w:noProof/>
                <w:lang w:val="en-IE"/>
              </w:rPr>
            </w:pPr>
            <w:r w:rsidRPr="006A179A">
              <w:rPr>
                <w:noProof/>
                <w:lang w:val="en-IE"/>
              </w:rPr>
              <w:t>73.1</w:t>
            </w:r>
          </w:p>
        </w:tc>
        <w:tc>
          <w:tcPr>
            <w:tcW w:w="944" w:type="dxa"/>
            <w:noWrap/>
            <w:hideMark/>
          </w:tcPr>
          <w:p w14:paraId="06222DD1" w14:textId="77777777" w:rsidR="0022213D" w:rsidRPr="006A179A" w:rsidRDefault="0022213D" w:rsidP="0083214A">
            <w:pPr>
              <w:jc w:val="center"/>
              <w:rPr>
                <w:noProof/>
                <w:lang w:val="en-IE"/>
              </w:rPr>
            </w:pPr>
            <w:r w:rsidRPr="006A179A">
              <w:rPr>
                <w:noProof/>
                <w:lang w:val="en-IE"/>
              </w:rPr>
              <w:t>89.8</w:t>
            </w:r>
          </w:p>
        </w:tc>
        <w:tc>
          <w:tcPr>
            <w:tcW w:w="944" w:type="dxa"/>
            <w:noWrap/>
            <w:hideMark/>
          </w:tcPr>
          <w:p w14:paraId="68446D4F" w14:textId="77777777" w:rsidR="0022213D" w:rsidRPr="006A179A" w:rsidRDefault="0022213D" w:rsidP="0083214A">
            <w:pPr>
              <w:jc w:val="center"/>
              <w:rPr>
                <w:noProof/>
                <w:lang w:val="en-IE"/>
              </w:rPr>
            </w:pPr>
            <w:r w:rsidRPr="006A179A">
              <w:rPr>
                <w:noProof/>
                <w:lang w:val="en-IE"/>
              </w:rPr>
              <w:t>466.0</w:t>
            </w:r>
          </w:p>
        </w:tc>
      </w:tr>
      <w:tr w:rsidR="0022213D" w:rsidRPr="006A179A" w14:paraId="327E038E"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57CA06FC" w14:textId="77777777" w:rsidR="0022213D" w:rsidRPr="006A179A" w:rsidRDefault="0022213D" w:rsidP="0083214A">
            <w:pPr>
              <w:rPr>
                <w:noProof/>
                <w:lang w:val="en-IE"/>
              </w:rPr>
            </w:pPr>
            <w:r w:rsidRPr="006A179A">
              <w:rPr>
                <w:noProof/>
                <w:lang w:val="en-IE"/>
              </w:rPr>
              <w:t>NextGenerationEU</w:t>
            </w:r>
          </w:p>
        </w:tc>
        <w:tc>
          <w:tcPr>
            <w:tcW w:w="943" w:type="dxa"/>
            <w:noWrap/>
            <w:hideMark/>
          </w:tcPr>
          <w:p w14:paraId="7C7AE3F6" w14:textId="77777777" w:rsidR="0022213D" w:rsidRPr="006A179A" w:rsidRDefault="0022213D" w:rsidP="0083214A">
            <w:pPr>
              <w:jc w:val="center"/>
              <w:rPr>
                <w:noProof/>
                <w:lang w:val="en-IE"/>
              </w:rPr>
            </w:pPr>
          </w:p>
        </w:tc>
        <w:tc>
          <w:tcPr>
            <w:tcW w:w="944" w:type="dxa"/>
            <w:noWrap/>
            <w:hideMark/>
          </w:tcPr>
          <w:p w14:paraId="11883C39" w14:textId="77777777" w:rsidR="0022213D" w:rsidRPr="006A179A" w:rsidRDefault="0022213D" w:rsidP="0083214A">
            <w:pPr>
              <w:jc w:val="center"/>
              <w:rPr>
                <w:noProof/>
                <w:lang w:val="en-IE"/>
              </w:rPr>
            </w:pPr>
          </w:p>
        </w:tc>
        <w:tc>
          <w:tcPr>
            <w:tcW w:w="943" w:type="dxa"/>
            <w:noWrap/>
            <w:hideMark/>
          </w:tcPr>
          <w:p w14:paraId="327B00E5" w14:textId="77777777" w:rsidR="0022213D" w:rsidRPr="006A179A" w:rsidRDefault="0022213D" w:rsidP="0083214A">
            <w:pPr>
              <w:jc w:val="center"/>
              <w:rPr>
                <w:noProof/>
                <w:lang w:val="en-IE"/>
              </w:rPr>
            </w:pPr>
          </w:p>
        </w:tc>
        <w:tc>
          <w:tcPr>
            <w:tcW w:w="944" w:type="dxa"/>
            <w:noWrap/>
            <w:hideMark/>
          </w:tcPr>
          <w:p w14:paraId="33DE0EC9" w14:textId="77777777" w:rsidR="0022213D" w:rsidRPr="006A179A" w:rsidRDefault="0022213D" w:rsidP="0083214A">
            <w:pPr>
              <w:jc w:val="center"/>
              <w:rPr>
                <w:noProof/>
                <w:lang w:val="en-IE"/>
              </w:rPr>
            </w:pPr>
          </w:p>
        </w:tc>
        <w:tc>
          <w:tcPr>
            <w:tcW w:w="944" w:type="dxa"/>
            <w:noWrap/>
            <w:hideMark/>
          </w:tcPr>
          <w:p w14:paraId="68E9F455" w14:textId="77777777" w:rsidR="0022213D" w:rsidRPr="006A179A" w:rsidRDefault="0022213D" w:rsidP="0083214A">
            <w:pPr>
              <w:jc w:val="center"/>
              <w:rPr>
                <w:noProof/>
                <w:lang w:val="en-IE"/>
              </w:rPr>
            </w:pPr>
          </w:p>
        </w:tc>
        <w:tc>
          <w:tcPr>
            <w:tcW w:w="943" w:type="dxa"/>
            <w:noWrap/>
            <w:hideMark/>
          </w:tcPr>
          <w:p w14:paraId="724F4D5F" w14:textId="77777777" w:rsidR="0022213D" w:rsidRPr="006A179A" w:rsidRDefault="0022213D" w:rsidP="0083214A">
            <w:pPr>
              <w:jc w:val="center"/>
              <w:rPr>
                <w:noProof/>
                <w:lang w:val="en-IE"/>
              </w:rPr>
            </w:pPr>
          </w:p>
        </w:tc>
        <w:tc>
          <w:tcPr>
            <w:tcW w:w="944" w:type="dxa"/>
            <w:noWrap/>
            <w:hideMark/>
          </w:tcPr>
          <w:p w14:paraId="67583650" w14:textId="77777777" w:rsidR="0022213D" w:rsidRPr="006A179A" w:rsidRDefault="0022213D" w:rsidP="0083214A">
            <w:pPr>
              <w:jc w:val="center"/>
              <w:rPr>
                <w:noProof/>
                <w:lang w:val="en-IE"/>
              </w:rPr>
            </w:pPr>
          </w:p>
        </w:tc>
        <w:tc>
          <w:tcPr>
            <w:tcW w:w="944" w:type="dxa"/>
            <w:noWrap/>
            <w:hideMark/>
          </w:tcPr>
          <w:p w14:paraId="3E287E31" w14:textId="77777777" w:rsidR="0022213D" w:rsidRPr="006A179A" w:rsidRDefault="0022213D" w:rsidP="0083214A">
            <w:pPr>
              <w:jc w:val="center"/>
              <w:rPr>
                <w:noProof/>
                <w:lang w:val="en-IE"/>
              </w:rPr>
            </w:pPr>
          </w:p>
        </w:tc>
      </w:tr>
      <w:tr w:rsidR="0022213D" w:rsidRPr="006A179A" w14:paraId="3DB7913C"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275B2BB0" w14:textId="77777777" w:rsidR="0022213D" w:rsidRPr="006A179A" w:rsidRDefault="0022213D" w:rsidP="0083214A">
            <w:pPr>
              <w:rPr>
                <w:noProof/>
                <w:lang w:val="en-IE"/>
              </w:rPr>
            </w:pPr>
            <w:r w:rsidRPr="006A179A">
              <w:rPr>
                <w:noProof/>
                <w:lang w:val="en-IE"/>
              </w:rPr>
              <w:t>Decommitments made available again</w:t>
            </w:r>
            <w:r w:rsidRPr="006A179A">
              <w:rPr>
                <w:rFonts w:ascii="Calibri" w:hAnsi="Calibri" w:cs="Calibri"/>
                <w:noProof/>
                <w:lang w:val="en-IE"/>
              </w:rPr>
              <w:t> </w:t>
            </w:r>
            <w:r w:rsidRPr="006A179A">
              <w:rPr>
                <w:noProof/>
                <w:lang w:val="en-IE"/>
              </w:rPr>
              <w:t>(*)</w:t>
            </w:r>
          </w:p>
        </w:tc>
        <w:tc>
          <w:tcPr>
            <w:tcW w:w="943" w:type="dxa"/>
            <w:noWrap/>
            <w:hideMark/>
          </w:tcPr>
          <w:p w14:paraId="6FA7D541" w14:textId="77777777" w:rsidR="0022213D" w:rsidRPr="006A179A" w:rsidRDefault="0022213D" w:rsidP="0083214A">
            <w:pPr>
              <w:jc w:val="center"/>
              <w:rPr>
                <w:noProof/>
                <w:lang w:val="en-IE"/>
              </w:rPr>
            </w:pPr>
            <w:r>
              <w:rPr>
                <w:noProof/>
                <w:lang w:val="en-IE"/>
              </w:rPr>
              <w:t>N/A</w:t>
            </w:r>
          </w:p>
        </w:tc>
        <w:tc>
          <w:tcPr>
            <w:tcW w:w="944" w:type="dxa"/>
            <w:noWrap/>
            <w:hideMark/>
          </w:tcPr>
          <w:p w14:paraId="14AD020C" w14:textId="77777777" w:rsidR="0022213D" w:rsidRPr="006A179A" w:rsidRDefault="0022213D" w:rsidP="0083214A">
            <w:pPr>
              <w:jc w:val="center"/>
              <w:rPr>
                <w:noProof/>
                <w:lang w:val="en-IE"/>
              </w:rPr>
            </w:pPr>
          </w:p>
        </w:tc>
        <w:tc>
          <w:tcPr>
            <w:tcW w:w="943" w:type="dxa"/>
            <w:noWrap/>
            <w:hideMark/>
          </w:tcPr>
          <w:p w14:paraId="4C343B55" w14:textId="77777777" w:rsidR="0022213D" w:rsidRPr="006A179A" w:rsidRDefault="0022213D" w:rsidP="0083214A">
            <w:pPr>
              <w:jc w:val="center"/>
              <w:rPr>
                <w:noProof/>
                <w:lang w:val="en-IE"/>
              </w:rPr>
            </w:pPr>
          </w:p>
        </w:tc>
        <w:tc>
          <w:tcPr>
            <w:tcW w:w="944" w:type="dxa"/>
            <w:noWrap/>
            <w:hideMark/>
          </w:tcPr>
          <w:p w14:paraId="0AD515D5" w14:textId="77777777" w:rsidR="0022213D" w:rsidRPr="006A179A" w:rsidRDefault="0022213D" w:rsidP="0083214A">
            <w:pPr>
              <w:jc w:val="center"/>
              <w:rPr>
                <w:noProof/>
                <w:lang w:val="en-IE"/>
              </w:rPr>
            </w:pPr>
          </w:p>
        </w:tc>
        <w:tc>
          <w:tcPr>
            <w:tcW w:w="944" w:type="dxa"/>
            <w:noWrap/>
            <w:hideMark/>
          </w:tcPr>
          <w:p w14:paraId="2BB339B6" w14:textId="77777777" w:rsidR="0022213D" w:rsidRPr="006A179A" w:rsidRDefault="0022213D" w:rsidP="0083214A">
            <w:pPr>
              <w:jc w:val="center"/>
              <w:rPr>
                <w:noProof/>
                <w:lang w:val="en-IE"/>
              </w:rPr>
            </w:pPr>
          </w:p>
        </w:tc>
        <w:tc>
          <w:tcPr>
            <w:tcW w:w="943" w:type="dxa"/>
            <w:noWrap/>
            <w:hideMark/>
          </w:tcPr>
          <w:p w14:paraId="15B9D0D7" w14:textId="77777777" w:rsidR="0022213D" w:rsidRPr="006A179A" w:rsidRDefault="0022213D" w:rsidP="0083214A">
            <w:pPr>
              <w:jc w:val="center"/>
              <w:rPr>
                <w:noProof/>
                <w:lang w:val="en-IE"/>
              </w:rPr>
            </w:pPr>
          </w:p>
        </w:tc>
        <w:tc>
          <w:tcPr>
            <w:tcW w:w="944" w:type="dxa"/>
            <w:noWrap/>
            <w:hideMark/>
          </w:tcPr>
          <w:p w14:paraId="148D73CB" w14:textId="77777777" w:rsidR="0022213D" w:rsidRPr="006A179A" w:rsidRDefault="0022213D" w:rsidP="0083214A">
            <w:pPr>
              <w:jc w:val="center"/>
              <w:rPr>
                <w:noProof/>
                <w:lang w:val="en-IE"/>
              </w:rPr>
            </w:pPr>
          </w:p>
        </w:tc>
        <w:tc>
          <w:tcPr>
            <w:tcW w:w="944" w:type="dxa"/>
            <w:noWrap/>
            <w:hideMark/>
          </w:tcPr>
          <w:p w14:paraId="119FE241" w14:textId="77777777" w:rsidR="0022213D" w:rsidRPr="006A179A" w:rsidRDefault="0022213D" w:rsidP="0083214A">
            <w:pPr>
              <w:jc w:val="center"/>
              <w:rPr>
                <w:noProof/>
                <w:lang w:val="en-IE"/>
              </w:rPr>
            </w:pPr>
            <w:r>
              <w:rPr>
                <w:noProof/>
                <w:lang w:val="en-IE"/>
              </w:rPr>
              <w:t>N/A</w:t>
            </w:r>
          </w:p>
        </w:tc>
      </w:tr>
      <w:tr w:rsidR="0022213D" w:rsidRPr="006A179A" w14:paraId="7B0CAEC5"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464B786C" w14:textId="77777777" w:rsidR="0022213D" w:rsidRPr="006A179A" w:rsidRDefault="0022213D" w:rsidP="0083214A">
            <w:pPr>
              <w:rPr>
                <w:noProof/>
                <w:lang w:val="en-IE"/>
              </w:rPr>
            </w:pPr>
            <w:r w:rsidRPr="006A179A">
              <w:rPr>
                <w:noProof/>
                <w:lang w:val="en-IE"/>
              </w:rPr>
              <w:t>Contributions from other countries and entities</w:t>
            </w:r>
          </w:p>
        </w:tc>
        <w:tc>
          <w:tcPr>
            <w:tcW w:w="943" w:type="dxa"/>
            <w:noWrap/>
            <w:hideMark/>
          </w:tcPr>
          <w:p w14:paraId="5857A7F7" w14:textId="77777777" w:rsidR="0022213D" w:rsidRPr="006A179A" w:rsidRDefault="0022213D" w:rsidP="0083214A">
            <w:pPr>
              <w:jc w:val="center"/>
              <w:rPr>
                <w:noProof/>
                <w:lang w:val="en-IE"/>
              </w:rPr>
            </w:pPr>
          </w:p>
        </w:tc>
        <w:tc>
          <w:tcPr>
            <w:tcW w:w="944" w:type="dxa"/>
            <w:noWrap/>
            <w:hideMark/>
          </w:tcPr>
          <w:p w14:paraId="35D39BAD" w14:textId="77777777" w:rsidR="0022213D" w:rsidRPr="006A179A" w:rsidRDefault="0022213D" w:rsidP="0083214A">
            <w:pPr>
              <w:jc w:val="center"/>
              <w:rPr>
                <w:noProof/>
                <w:lang w:val="en-IE"/>
              </w:rPr>
            </w:pPr>
          </w:p>
        </w:tc>
        <w:tc>
          <w:tcPr>
            <w:tcW w:w="943" w:type="dxa"/>
            <w:noWrap/>
            <w:hideMark/>
          </w:tcPr>
          <w:p w14:paraId="120819BC" w14:textId="77777777" w:rsidR="0022213D" w:rsidRPr="006A179A" w:rsidRDefault="0022213D" w:rsidP="0083214A">
            <w:pPr>
              <w:jc w:val="center"/>
              <w:rPr>
                <w:noProof/>
                <w:lang w:val="en-IE"/>
              </w:rPr>
            </w:pPr>
          </w:p>
        </w:tc>
        <w:tc>
          <w:tcPr>
            <w:tcW w:w="944" w:type="dxa"/>
            <w:noWrap/>
            <w:hideMark/>
          </w:tcPr>
          <w:p w14:paraId="5BD00BA0" w14:textId="77777777" w:rsidR="0022213D" w:rsidRPr="006A179A" w:rsidRDefault="0022213D" w:rsidP="0083214A">
            <w:pPr>
              <w:jc w:val="center"/>
              <w:rPr>
                <w:noProof/>
                <w:lang w:val="en-IE"/>
              </w:rPr>
            </w:pPr>
          </w:p>
        </w:tc>
        <w:tc>
          <w:tcPr>
            <w:tcW w:w="944" w:type="dxa"/>
            <w:noWrap/>
            <w:hideMark/>
          </w:tcPr>
          <w:p w14:paraId="575ADA28" w14:textId="77777777" w:rsidR="0022213D" w:rsidRPr="006A179A" w:rsidRDefault="0022213D" w:rsidP="0083214A">
            <w:pPr>
              <w:jc w:val="center"/>
              <w:rPr>
                <w:noProof/>
                <w:lang w:val="en-IE"/>
              </w:rPr>
            </w:pPr>
          </w:p>
        </w:tc>
        <w:tc>
          <w:tcPr>
            <w:tcW w:w="943" w:type="dxa"/>
            <w:noWrap/>
            <w:hideMark/>
          </w:tcPr>
          <w:p w14:paraId="537012FC" w14:textId="77777777" w:rsidR="0022213D" w:rsidRPr="006A179A" w:rsidRDefault="0022213D" w:rsidP="0083214A">
            <w:pPr>
              <w:jc w:val="center"/>
              <w:rPr>
                <w:noProof/>
                <w:lang w:val="en-IE"/>
              </w:rPr>
            </w:pPr>
          </w:p>
        </w:tc>
        <w:tc>
          <w:tcPr>
            <w:tcW w:w="944" w:type="dxa"/>
            <w:noWrap/>
            <w:hideMark/>
          </w:tcPr>
          <w:p w14:paraId="0D954151" w14:textId="77777777" w:rsidR="0022213D" w:rsidRPr="006A179A" w:rsidRDefault="0022213D" w:rsidP="0083214A">
            <w:pPr>
              <w:jc w:val="center"/>
              <w:rPr>
                <w:noProof/>
                <w:lang w:val="en-IE"/>
              </w:rPr>
            </w:pPr>
          </w:p>
        </w:tc>
        <w:tc>
          <w:tcPr>
            <w:tcW w:w="944" w:type="dxa"/>
            <w:noWrap/>
            <w:hideMark/>
          </w:tcPr>
          <w:p w14:paraId="31F765E4" w14:textId="77777777" w:rsidR="0022213D" w:rsidRPr="006A179A" w:rsidRDefault="0022213D" w:rsidP="0083214A">
            <w:pPr>
              <w:jc w:val="center"/>
              <w:rPr>
                <w:noProof/>
                <w:lang w:val="en-IE"/>
              </w:rPr>
            </w:pPr>
          </w:p>
        </w:tc>
      </w:tr>
    </w:tbl>
    <w:p w14:paraId="3099BEB1" w14:textId="77777777" w:rsidR="0022213D" w:rsidRPr="00734658" w:rsidRDefault="0022213D" w:rsidP="0022213D">
      <w:pPr>
        <w:tabs>
          <w:tab w:val="left" w:pos="6793"/>
        </w:tabs>
        <w:rPr>
          <w:noProof/>
          <w:sz w:val="18"/>
          <w:szCs w:val="18"/>
          <w:lang w:val="en-IE"/>
        </w:rPr>
      </w:pPr>
      <w:r w:rsidRPr="44099698">
        <w:rPr>
          <w:noProof/>
          <w:sz w:val="18"/>
          <w:szCs w:val="18"/>
          <w:lang w:val="en-IE"/>
        </w:rPr>
        <w:t>(*) Only Article</w:t>
      </w:r>
      <w:r w:rsidRPr="44099698">
        <w:rPr>
          <w:rFonts w:ascii="Calibri" w:hAnsi="Calibri" w:cs="Calibri"/>
          <w:noProof/>
          <w:sz w:val="18"/>
          <w:szCs w:val="18"/>
          <w:lang w:val="en-IE"/>
        </w:rPr>
        <w:t> </w:t>
      </w:r>
      <w:r w:rsidRPr="44099698">
        <w:rPr>
          <w:noProof/>
          <w:sz w:val="18"/>
          <w:szCs w:val="18"/>
          <w:lang w:val="en-IE"/>
        </w:rPr>
        <w:t>15(3) of the financial regulation.</w:t>
      </w:r>
    </w:p>
    <w:p w14:paraId="15356159" w14:textId="7696EDA4" w:rsidR="0022213D" w:rsidRPr="006A179A" w:rsidRDefault="004C4764" w:rsidP="0022213D">
      <w:pPr>
        <w:pStyle w:val="ppoTableTabletitle"/>
        <w:jc w:val="center"/>
        <w:rPr>
          <w:noProof/>
          <w:lang w:val="en-IE"/>
        </w:rPr>
      </w:pPr>
      <w:r w:rsidRPr="00304A2B">
        <w:rPr>
          <w:noProof/>
          <w:lang w:val="en-IE"/>
        </w:rPr>
        <w:t>F</w:t>
      </w:r>
      <w:r>
        <w:rPr>
          <w:noProof/>
          <w:lang w:val="en-IE"/>
        </w:rPr>
        <w:t>inancial prog</w:t>
      </w:r>
      <w:r w:rsidRPr="00304A2B">
        <w:rPr>
          <w:noProof/>
          <w:lang w:val="en-IE"/>
        </w:rPr>
        <w:t>r</w:t>
      </w:r>
      <w:r>
        <w:rPr>
          <w:noProof/>
          <w:lang w:val="en-IE"/>
        </w:rPr>
        <w:t>am</w:t>
      </w:r>
      <w:r w:rsidRPr="00304A2B">
        <w:rPr>
          <w:noProof/>
          <w:lang w:val="en-IE"/>
        </w:rPr>
        <w:t>i</w:t>
      </w:r>
      <w:r>
        <w:rPr>
          <w:noProof/>
          <w:lang w:val="en-IE"/>
        </w:rPr>
        <w:t>n</w:t>
      </w:r>
      <w:r w:rsidRPr="00304A2B">
        <w:rPr>
          <w:noProof/>
          <w:lang w:val="en-IE"/>
        </w:rPr>
        <w:t>g:</w:t>
      </w:r>
      <w:r>
        <w:rPr>
          <w:noProof/>
          <w:color w:val="028F1A" w:themeColor="accent1"/>
          <w:sz w:val="44"/>
          <w:szCs w:val="44"/>
          <w:lang w:val="en-IE"/>
        </w:rPr>
        <w:t xml:space="preserve"> </w:t>
      </w:r>
      <w:r w:rsidR="0022213D" w:rsidRPr="007C3D07">
        <w:rPr>
          <w:noProof/>
          <w:color w:val="028F1A" w:themeColor="accent1"/>
          <w:sz w:val="36"/>
          <w:szCs w:val="36"/>
          <w:lang w:val="en-IE"/>
        </w:rPr>
        <w:t>+</w:t>
      </w:r>
      <w:r w:rsidR="0022213D" w:rsidRPr="007C3D07">
        <w:rPr>
          <w:rFonts w:ascii="Calibri" w:hAnsi="Calibri" w:cs="Calibri"/>
          <w:noProof/>
          <w:color w:val="028F1A" w:themeColor="accent1"/>
          <w:sz w:val="36"/>
          <w:szCs w:val="36"/>
          <w:lang w:val="en-IE"/>
        </w:rPr>
        <w:t> 0 million</w:t>
      </w:r>
      <w:r w:rsidR="0022213D" w:rsidRPr="007C3D07">
        <w:rPr>
          <w:noProof/>
          <w:color w:val="028F1A" w:themeColor="accent1"/>
          <w:sz w:val="36"/>
          <w:szCs w:val="36"/>
          <w:lang w:val="en-IE"/>
        </w:rPr>
        <w:t xml:space="preserve"> (+ 0%)</w:t>
      </w:r>
      <w:r w:rsidR="0022213D" w:rsidRPr="44099698">
        <w:rPr>
          <w:noProof/>
          <w:color w:val="028F1A" w:themeColor="accent1"/>
          <w:sz w:val="52"/>
          <w:szCs w:val="52"/>
          <w:lang w:val="en-IE"/>
        </w:rPr>
        <w:t xml:space="preserve"> </w:t>
      </w:r>
      <w:r w:rsidR="0022213D" w:rsidRPr="44099698">
        <w:rPr>
          <w:noProof/>
          <w:lang w:val="en-IE"/>
        </w:rPr>
        <w:t>compared to the legal basis</w:t>
      </w:r>
    </w:p>
    <w:p w14:paraId="3BE44D07" w14:textId="77777777" w:rsidR="0022213D" w:rsidRPr="006A179A" w:rsidRDefault="0022213D" w:rsidP="0022213D">
      <w:pPr>
        <w:pStyle w:val="ppoTableTabletitle"/>
        <w:rPr>
          <w:b/>
          <w:noProof/>
          <w:lang w:val="en-IE"/>
        </w:rPr>
      </w:pPr>
      <w:r w:rsidRPr="006A179A">
        <w:rPr>
          <w:noProof/>
          <w:lang w:val="en-IE"/>
        </w:rPr>
        <w:t>Cumulative implementation rate at the end of 2021 (EUR million):</w:t>
      </w:r>
    </w:p>
    <w:tbl>
      <w:tblPr>
        <w:tblStyle w:val="PPO2021"/>
        <w:tblW w:w="9639" w:type="dxa"/>
        <w:tblInd w:w="0" w:type="dxa"/>
        <w:tblLook w:val="06A0" w:firstRow="1" w:lastRow="0" w:firstColumn="1" w:lastColumn="0" w:noHBand="1" w:noVBand="1"/>
      </w:tblPr>
      <w:tblGrid>
        <w:gridCol w:w="2409"/>
        <w:gridCol w:w="2410"/>
        <w:gridCol w:w="2410"/>
        <w:gridCol w:w="2410"/>
      </w:tblGrid>
      <w:tr w:rsidR="0022213D" w:rsidRPr="006A179A" w14:paraId="1C8B3807" w14:textId="77777777" w:rsidTr="0083214A">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406BDA23" w14:textId="77777777" w:rsidR="0022213D" w:rsidRPr="006A179A" w:rsidRDefault="0022213D" w:rsidP="0083214A">
            <w:pPr>
              <w:rPr>
                <w:noProof/>
                <w:lang w:val="en-IE"/>
              </w:rPr>
            </w:pPr>
          </w:p>
        </w:tc>
        <w:tc>
          <w:tcPr>
            <w:tcW w:w="2410" w:type="dxa"/>
          </w:tcPr>
          <w:p w14:paraId="049C4D55" w14:textId="77777777" w:rsidR="0022213D" w:rsidRPr="006A179A" w:rsidRDefault="0022213D" w:rsidP="0083214A">
            <w:pPr>
              <w:cnfStyle w:val="100000000000" w:firstRow="1" w:lastRow="0" w:firstColumn="0" w:lastColumn="0" w:oddVBand="0" w:evenVBand="0" w:oddHBand="0" w:evenHBand="0" w:firstRowFirstColumn="0" w:firstRowLastColumn="0" w:lastRowFirstColumn="0" w:lastRowLastColumn="0"/>
              <w:rPr>
                <w:noProof/>
                <w:lang w:val="en-IE"/>
              </w:rPr>
            </w:pPr>
            <w:r w:rsidRPr="006A179A">
              <w:rPr>
                <w:noProof/>
                <w:lang w:val="en-IE"/>
              </w:rPr>
              <w:t>Implementation</w:t>
            </w:r>
          </w:p>
        </w:tc>
        <w:tc>
          <w:tcPr>
            <w:tcW w:w="2410" w:type="dxa"/>
          </w:tcPr>
          <w:p w14:paraId="7B4F5678" w14:textId="77777777" w:rsidR="0022213D" w:rsidRPr="006A179A" w:rsidRDefault="0022213D" w:rsidP="0083214A">
            <w:pPr>
              <w:cnfStyle w:val="100000000000" w:firstRow="1" w:lastRow="0" w:firstColumn="0" w:lastColumn="0" w:oddVBand="0" w:evenVBand="0" w:oddHBand="0" w:evenHBand="0" w:firstRowFirstColumn="0" w:firstRowLastColumn="0" w:lastRowFirstColumn="0" w:lastRowLastColumn="0"/>
              <w:rPr>
                <w:noProof/>
                <w:lang w:val="en-IE"/>
              </w:rPr>
            </w:pPr>
            <w:r w:rsidRPr="006A179A">
              <w:rPr>
                <w:noProof/>
                <w:lang w:val="en-IE"/>
              </w:rPr>
              <w:t>Budget</w:t>
            </w:r>
          </w:p>
        </w:tc>
        <w:tc>
          <w:tcPr>
            <w:tcW w:w="2410" w:type="dxa"/>
          </w:tcPr>
          <w:p w14:paraId="2DB53A52" w14:textId="77777777" w:rsidR="0022213D" w:rsidRPr="006A179A" w:rsidRDefault="0022213D" w:rsidP="0083214A">
            <w:pPr>
              <w:cnfStyle w:val="100000000000" w:firstRow="1" w:lastRow="0" w:firstColumn="0" w:lastColumn="0" w:oddVBand="0" w:evenVBand="0" w:oddHBand="0" w:evenHBand="0" w:firstRowFirstColumn="0" w:firstRowLastColumn="0" w:lastRowFirstColumn="0" w:lastRowLastColumn="0"/>
              <w:rPr>
                <w:noProof/>
                <w:lang w:val="en-IE"/>
              </w:rPr>
            </w:pPr>
            <w:r w:rsidRPr="006A179A">
              <w:rPr>
                <w:noProof/>
                <w:lang w:val="en-IE"/>
              </w:rPr>
              <w:t>Implementation rate</w:t>
            </w:r>
          </w:p>
        </w:tc>
      </w:tr>
      <w:tr w:rsidR="0022213D" w:rsidRPr="006A179A" w14:paraId="4CDEA0C6"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23F12F06" w14:textId="77777777" w:rsidR="0022213D" w:rsidRPr="006A179A" w:rsidRDefault="0022213D" w:rsidP="0083214A">
            <w:pPr>
              <w:jc w:val="center"/>
              <w:rPr>
                <w:noProof/>
                <w:lang w:val="en-IE"/>
              </w:rPr>
            </w:pPr>
            <w:r w:rsidRPr="006A179A">
              <w:rPr>
                <w:noProof/>
                <w:lang w:val="en-IE"/>
              </w:rPr>
              <w:t>Commitment</w:t>
            </w:r>
          </w:p>
        </w:tc>
        <w:tc>
          <w:tcPr>
            <w:tcW w:w="2410" w:type="dxa"/>
          </w:tcPr>
          <w:tbl>
            <w:tblPr>
              <w:tblStyle w:val="TableGrid"/>
              <w:tblW w:w="0" w:type="auto"/>
              <w:tblLook w:val="06A0" w:firstRow="1" w:lastRow="0" w:firstColumn="1" w:lastColumn="0" w:noHBand="1" w:noVBand="1"/>
            </w:tblPr>
            <w:tblGrid>
              <w:gridCol w:w="2194"/>
            </w:tblGrid>
            <w:tr w:rsidR="0022213D" w:rsidRPr="006A179A" w14:paraId="5008163C" w14:textId="77777777" w:rsidTr="0083214A">
              <w:trPr>
                <w:trHeight w:val="285"/>
              </w:trPr>
              <w:tc>
                <w:tcPr>
                  <w:tcW w:w="2290" w:type="dxa"/>
                  <w:tcBorders>
                    <w:top w:val="nil"/>
                    <w:left w:val="nil"/>
                    <w:bottom w:val="nil"/>
                    <w:right w:val="nil"/>
                  </w:tcBorders>
                  <w:vAlign w:val="bottom"/>
                </w:tcPr>
                <w:p w14:paraId="76A5C1C8" w14:textId="77777777" w:rsidR="0022213D" w:rsidRPr="006A179A" w:rsidRDefault="0022213D" w:rsidP="0083214A">
                  <w:pPr>
                    <w:jc w:val="right"/>
                    <w:rPr>
                      <w:noProof/>
                      <w:lang w:val="en-IE"/>
                    </w:rPr>
                  </w:pPr>
                  <w:r w:rsidRPr="006A179A">
                    <w:rPr>
                      <w:rFonts w:ascii="Calibri" w:hAnsi="Calibri" w:cs="Calibri"/>
                      <w:noProof/>
                      <w:color w:val="000000"/>
                      <w:lang w:val="en-IE"/>
                    </w:rPr>
                    <w:t>69.1</w:t>
                  </w:r>
                </w:p>
              </w:tc>
            </w:tr>
          </w:tbl>
          <w:p w14:paraId="6149C9F2" w14:textId="77777777" w:rsidR="0022213D" w:rsidRPr="006A179A" w:rsidRDefault="0022213D"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22213D" w:rsidRPr="006A179A" w14:paraId="1C3B19EA" w14:textId="77777777" w:rsidTr="0083214A">
              <w:trPr>
                <w:trHeight w:val="285"/>
              </w:trPr>
              <w:tc>
                <w:tcPr>
                  <w:tcW w:w="2290" w:type="dxa"/>
                  <w:tcBorders>
                    <w:top w:val="nil"/>
                    <w:left w:val="nil"/>
                    <w:bottom w:val="nil"/>
                    <w:right w:val="nil"/>
                  </w:tcBorders>
                  <w:vAlign w:val="bottom"/>
                </w:tcPr>
                <w:p w14:paraId="66D5340F" w14:textId="77777777" w:rsidR="0022213D" w:rsidRPr="006A179A" w:rsidRDefault="0022213D" w:rsidP="0083214A">
                  <w:pPr>
                    <w:jc w:val="right"/>
                    <w:rPr>
                      <w:noProof/>
                      <w:lang w:val="en-IE"/>
                    </w:rPr>
                  </w:pPr>
                  <w:r w:rsidRPr="006A179A">
                    <w:rPr>
                      <w:rFonts w:ascii="Calibri" w:hAnsi="Calibri" w:cs="Calibri"/>
                      <w:noProof/>
                      <w:color w:val="000000"/>
                      <w:lang w:val="en-IE"/>
                    </w:rPr>
                    <w:t>466.0</w:t>
                  </w:r>
                </w:p>
              </w:tc>
            </w:tr>
          </w:tbl>
          <w:p w14:paraId="225DE028" w14:textId="77777777" w:rsidR="0022213D" w:rsidRPr="006A179A" w:rsidRDefault="0022213D"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22213D" w:rsidRPr="006A179A" w14:paraId="2113AB81" w14:textId="77777777" w:rsidTr="0083214A">
              <w:trPr>
                <w:trHeight w:val="285"/>
              </w:trPr>
              <w:tc>
                <w:tcPr>
                  <w:tcW w:w="2290" w:type="dxa"/>
                  <w:tcBorders>
                    <w:top w:val="nil"/>
                    <w:left w:val="nil"/>
                    <w:bottom w:val="nil"/>
                    <w:right w:val="nil"/>
                  </w:tcBorders>
                  <w:vAlign w:val="bottom"/>
                </w:tcPr>
                <w:p w14:paraId="066D1036" w14:textId="77777777" w:rsidR="0022213D" w:rsidRPr="006A179A" w:rsidRDefault="0022213D" w:rsidP="0083214A">
                  <w:pPr>
                    <w:jc w:val="right"/>
                    <w:rPr>
                      <w:noProof/>
                      <w:lang w:val="en-IE"/>
                    </w:rPr>
                  </w:pPr>
                  <w:r w:rsidRPr="006A179A">
                    <w:rPr>
                      <w:rFonts w:ascii="Calibri" w:hAnsi="Calibri" w:cs="Calibri"/>
                      <w:noProof/>
                      <w:color w:val="000000"/>
                      <w:lang w:val="en-IE"/>
                    </w:rPr>
                    <w:t>15%</w:t>
                  </w:r>
                </w:p>
              </w:tc>
            </w:tr>
          </w:tbl>
          <w:p w14:paraId="0AA73D12" w14:textId="77777777" w:rsidR="0022213D" w:rsidRPr="006A179A" w:rsidRDefault="0022213D"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r>
      <w:tr w:rsidR="0022213D" w:rsidRPr="006A179A" w14:paraId="5A5FB63F"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13CA9F7A" w14:textId="77777777" w:rsidR="0022213D" w:rsidRPr="006A179A" w:rsidRDefault="0022213D" w:rsidP="0083214A">
            <w:pPr>
              <w:jc w:val="center"/>
              <w:rPr>
                <w:noProof/>
                <w:lang w:val="en-IE"/>
              </w:rPr>
            </w:pPr>
            <w:r w:rsidRPr="006A179A">
              <w:rPr>
                <w:noProof/>
                <w:lang w:val="en-IE"/>
              </w:rPr>
              <w:t>Payments</w:t>
            </w:r>
          </w:p>
        </w:tc>
        <w:tc>
          <w:tcPr>
            <w:tcW w:w="2410" w:type="dxa"/>
          </w:tcPr>
          <w:tbl>
            <w:tblPr>
              <w:tblStyle w:val="TableGrid"/>
              <w:tblW w:w="0" w:type="auto"/>
              <w:tblLook w:val="06A0" w:firstRow="1" w:lastRow="0" w:firstColumn="1" w:lastColumn="0" w:noHBand="1" w:noVBand="1"/>
            </w:tblPr>
            <w:tblGrid>
              <w:gridCol w:w="2194"/>
            </w:tblGrid>
            <w:tr w:rsidR="0022213D" w:rsidRPr="006A179A" w14:paraId="543366BC" w14:textId="77777777" w:rsidTr="0083214A">
              <w:trPr>
                <w:trHeight w:val="285"/>
              </w:trPr>
              <w:tc>
                <w:tcPr>
                  <w:tcW w:w="2290" w:type="dxa"/>
                  <w:tcBorders>
                    <w:top w:val="nil"/>
                    <w:left w:val="nil"/>
                    <w:bottom w:val="nil"/>
                    <w:right w:val="nil"/>
                  </w:tcBorders>
                  <w:vAlign w:val="bottom"/>
                </w:tcPr>
                <w:p w14:paraId="5F54D31A" w14:textId="77777777" w:rsidR="0022213D" w:rsidRPr="006A179A" w:rsidRDefault="0022213D" w:rsidP="0083214A">
                  <w:pPr>
                    <w:jc w:val="right"/>
                    <w:rPr>
                      <w:noProof/>
                      <w:lang w:val="en-IE"/>
                    </w:rPr>
                  </w:pPr>
                  <w:r w:rsidRPr="006A179A">
                    <w:rPr>
                      <w:rFonts w:ascii="Calibri" w:hAnsi="Calibri" w:cs="Calibri"/>
                      <w:noProof/>
                      <w:color w:val="000000"/>
                      <w:lang w:val="en-IE"/>
                    </w:rPr>
                    <w:t>5.8</w:t>
                  </w:r>
                </w:p>
              </w:tc>
            </w:tr>
          </w:tbl>
          <w:p w14:paraId="52F90F6A" w14:textId="77777777" w:rsidR="0022213D" w:rsidRPr="006A179A" w:rsidRDefault="0022213D"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p w14:paraId="37D13C89" w14:textId="77777777" w:rsidR="0022213D" w:rsidRPr="006A179A" w:rsidRDefault="0022213D"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22213D" w:rsidRPr="006A179A" w14:paraId="79D73B82" w14:textId="77777777" w:rsidTr="0083214A">
              <w:trPr>
                <w:trHeight w:val="285"/>
              </w:trPr>
              <w:tc>
                <w:tcPr>
                  <w:tcW w:w="2235" w:type="dxa"/>
                  <w:tcBorders>
                    <w:top w:val="nil"/>
                    <w:left w:val="nil"/>
                    <w:bottom w:val="nil"/>
                    <w:right w:val="nil"/>
                  </w:tcBorders>
                  <w:vAlign w:val="bottom"/>
                </w:tcPr>
                <w:p w14:paraId="710C243D" w14:textId="77777777" w:rsidR="0022213D" w:rsidRPr="006A179A" w:rsidRDefault="0022213D" w:rsidP="0083214A">
                  <w:pPr>
                    <w:jc w:val="right"/>
                    <w:rPr>
                      <w:noProof/>
                      <w:lang w:val="en-IE"/>
                    </w:rPr>
                  </w:pPr>
                  <w:r w:rsidRPr="006A179A">
                    <w:rPr>
                      <w:rFonts w:ascii="Calibri" w:hAnsi="Calibri" w:cs="Calibri"/>
                      <w:noProof/>
                      <w:color w:val="000000"/>
                      <w:lang w:val="en-IE"/>
                    </w:rPr>
                    <w:t>1%</w:t>
                  </w:r>
                </w:p>
              </w:tc>
            </w:tr>
          </w:tbl>
          <w:p w14:paraId="5112D419" w14:textId="77777777" w:rsidR="0022213D" w:rsidRPr="006A179A" w:rsidRDefault="0022213D"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r>
    </w:tbl>
    <w:p w14:paraId="24DF6FB2" w14:textId="77777777" w:rsidR="0022213D" w:rsidRPr="006A179A" w:rsidRDefault="0022213D" w:rsidP="0022213D">
      <w:pPr>
        <w:pStyle w:val="ppoTableTabletitle"/>
        <w:rPr>
          <w:b/>
          <w:noProof/>
          <w:lang w:val="en-IE"/>
        </w:rPr>
      </w:pPr>
      <w:r w:rsidRPr="006A179A">
        <w:rPr>
          <w:noProof/>
          <w:lang w:val="en-IE"/>
        </w:rPr>
        <w:t>Voted budget implementation in 2021 (EUR million):</w:t>
      </w:r>
    </w:p>
    <w:tbl>
      <w:tblPr>
        <w:tblStyle w:val="PPO2021"/>
        <w:tblW w:w="3683" w:type="pct"/>
        <w:tblInd w:w="79" w:type="dxa"/>
        <w:tblLook w:val="04A0" w:firstRow="1" w:lastRow="0" w:firstColumn="1" w:lastColumn="0" w:noHBand="0" w:noVBand="1"/>
      </w:tblPr>
      <w:tblGrid>
        <w:gridCol w:w="2419"/>
        <w:gridCol w:w="2419"/>
        <w:gridCol w:w="2420"/>
      </w:tblGrid>
      <w:tr w:rsidR="0022213D" w:rsidRPr="006A179A" w14:paraId="6A89E1DD" w14:textId="77777777" w:rsidTr="008321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2ACCCD37" w14:textId="77777777" w:rsidR="0022213D" w:rsidRPr="006A179A" w:rsidRDefault="0022213D" w:rsidP="0083214A">
            <w:pPr>
              <w:rPr>
                <w:noProof/>
                <w:lang w:val="en-IE"/>
              </w:rPr>
            </w:pPr>
          </w:p>
        </w:tc>
        <w:tc>
          <w:tcPr>
            <w:tcW w:w="2419" w:type="dxa"/>
          </w:tcPr>
          <w:p w14:paraId="0DE990BF" w14:textId="77777777" w:rsidR="0022213D" w:rsidRPr="006A179A" w:rsidRDefault="0022213D" w:rsidP="0083214A">
            <w:pPr>
              <w:cnfStyle w:val="100000000000" w:firstRow="1" w:lastRow="0" w:firstColumn="0" w:lastColumn="0" w:oddVBand="0" w:evenVBand="0" w:oddHBand="0" w:evenHBand="0" w:firstRowFirstColumn="0" w:firstRowLastColumn="0" w:lastRowFirstColumn="0" w:lastRowLastColumn="0"/>
              <w:rPr>
                <w:noProof/>
                <w:lang w:val="en-IE"/>
              </w:rPr>
            </w:pPr>
            <w:r w:rsidRPr="006A179A">
              <w:rPr>
                <w:noProof/>
                <w:lang w:val="en-IE"/>
              </w:rPr>
              <w:t>Voted budget implementation</w:t>
            </w:r>
          </w:p>
        </w:tc>
        <w:tc>
          <w:tcPr>
            <w:tcW w:w="2420" w:type="dxa"/>
          </w:tcPr>
          <w:p w14:paraId="5462BA17" w14:textId="77777777" w:rsidR="0022213D" w:rsidRPr="006A179A" w:rsidRDefault="0022213D" w:rsidP="0083214A">
            <w:pPr>
              <w:cnfStyle w:val="100000000000" w:firstRow="1" w:lastRow="0" w:firstColumn="0" w:lastColumn="0" w:oddVBand="0" w:evenVBand="0" w:oddHBand="0" w:evenHBand="0" w:firstRowFirstColumn="0" w:firstRowLastColumn="0" w:lastRowFirstColumn="0" w:lastRowLastColumn="0"/>
              <w:rPr>
                <w:noProof/>
                <w:lang w:val="en-IE"/>
              </w:rPr>
            </w:pPr>
            <w:r w:rsidRPr="006A179A">
              <w:rPr>
                <w:noProof/>
                <w:lang w:val="en-IE"/>
              </w:rPr>
              <w:t>Initial voted budget</w:t>
            </w:r>
          </w:p>
        </w:tc>
      </w:tr>
      <w:tr w:rsidR="0022213D" w:rsidRPr="006A179A" w14:paraId="67520C99" w14:textId="77777777" w:rsidTr="0083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46AACF80" w14:textId="77777777" w:rsidR="0022213D" w:rsidRPr="006A179A" w:rsidRDefault="0022213D" w:rsidP="0083214A">
            <w:pPr>
              <w:jc w:val="center"/>
              <w:rPr>
                <w:noProof/>
                <w:lang w:val="en-IE"/>
              </w:rPr>
            </w:pPr>
            <w:r w:rsidRPr="006A179A">
              <w:rPr>
                <w:noProof/>
                <w:lang w:val="en-IE"/>
              </w:rPr>
              <w:t>Commitments</w:t>
            </w:r>
          </w:p>
        </w:tc>
        <w:tc>
          <w:tcPr>
            <w:tcW w:w="2419" w:type="dxa"/>
          </w:tcPr>
          <w:p w14:paraId="21E730C7" w14:textId="77777777" w:rsidR="0022213D" w:rsidRPr="006A179A" w:rsidRDefault="0022213D" w:rsidP="0083214A">
            <w:pPr>
              <w:jc w:val="center"/>
              <w:cnfStyle w:val="000000100000" w:firstRow="0" w:lastRow="0" w:firstColumn="0" w:lastColumn="0" w:oddVBand="0" w:evenVBand="0" w:oddHBand="1" w:evenHBand="0" w:firstRowFirstColumn="0" w:firstRowLastColumn="0" w:lastRowFirstColumn="0" w:lastRowLastColumn="0"/>
              <w:rPr>
                <w:noProof/>
                <w:lang w:val="en-IE"/>
              </w:rPr>
            </w:pPr>
            <w:r w:rsidRPr="006A179A">
              <w:rPr>
                <w:noProof/>
                <w:lang w:val="en-IE"/>
              </w:rPr>
              <w:t>69.1</w:t>
            </w:r>
          </w:p>
        </w:tc>
        <w:tc>
          <w:tcPr>
            <w:tcW w:w="2420" w:type="dxa"/>
          </w:tcPr>
          <w:p w14:paraId="3D46FC83" w14:textId="77777777" w:rsidR="0022213D" w:rsidRPr="006A179A" w:rsidRDefault="0022213D" w:rsidP="0083214A">
            <w:pPr>
              <w:jc w:val="center"/>
              <w:cnfStyle w:val="000000100000" w:firstRow="0" w:lastRow="0" w:firstColumn="0" w:lastColumn="0" w:oddVBand="0" w:evenVBand="0" w:oddHBand="1" w:evenHBand="0" w:firstRowFirstColumn="0" w:firstRowLastColumn="0" w:lastRowFirstColumn="0" w:lastRowLastColumn="0"/>
              <w:rPr>
                <w:noProof/>
                <w:lang w:val="en-IE"/>
              </w:rPr>
            </w:pPr>
            <w:r w:rsidRPr="006A179A">
              <w:rPr>
                <w:noProof/>
                <w:lang w:val="en-IE"/>
              </w:rPr>
              <w:t>69.2</w:t>
            </w:r>
          </w:p>
        </w:tc>
      </w:tr>
      <w:tr w:rsidR="0022213D" w:rsidRPr="006A179A" w14:paraId="3963AE0A" w14:textId="77777777" w:rsidTr="00832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51BA2FB5" w14:textId="77777777" w:rsidR="0022213D" w:rsidRPr="006A179A" w:rsidRDefault="0022213D" w:rsidP="0083214A">
            <w:pPr>
              <w:jc w:val="center"/>
              <w:rPr>
                <w:noProof/>
                <w:lang w:val="en-IE"/>
              </w:rPr>
            </w:pPr>
            <w:r w:rsidRPr="006A179A">
              <w:rPr>
                <w:noProof/>
                <w:lang w:val="en-IE"/>
              </w:rPr>
              <w:t>Payments</w:t>
            </w:r>
          </w:p>
        </w:tc>
        <w:tc>
          <w:tcPr>
            <w:tcW w:w="2419" w:type="dxa"/>
            <w:vAlign w:val="bottom"/>
          </w:tcPr>
          <w:p w14:paraId="6EC522B2" w14:textId="77777777" w:rsidR="0022213D" w:rsidRPr="006A179A" w:rsidRDefault="0022213D" w:rsidP="0083214A">
            <w:pPr>
              <w:jc w:val="center"/>
              <w:cnfStyle w:val="000000010000" w:firstRow="0" w:lastRow="0" w:firstColumn="0" w:lastColumn="0" w:oddVBand="0" w:evenVBand="0" w:oddHBand="0" w:evenHBand="1" w:firstRowFirstColumn="0" w:firstRowLastColumn="0" w:lastRowFirstColumn="0" w:lastRowLastColumn="0"/>
              <w:rPr>
                <w:noProof/>
                <w:lang w:val="en-IE"/>
              </w:rPr>
            </w:pPr>
            <w:r w:rsidRPr="4FF39000">
              <w:rPr>
                <w:rFonts w:ascii="Calibri" w:hAnsi="Calibri" w:cs="Calibri"/>
                <w:noProof/>
                <w:color w:val="000000"/>
                <w:lang w:val="en-IE"/>
              </w:rPr>
              <w:t>5.8</w:t>
            </w:r>
          </w:p>
        </w:tc>
        <w:tc>
          <w:tcPr>
            <w:tcW w:w="2420" w:type="dxa"/>
            <w:vAlign w:val="bottom"/>
          </w:tcPr>
          <w:p w14:paraId="1BD0EEBE" w14:textId="77777777" w:rsidR="0022213D" w:rsidRPr="006A179A" w:rsidRDefault="0022213D" w:rsidP="0083214A">
            <w:pPr>
              <w:jc w:val="center"/>
              <w:cnfStyle w:val="000000010000" w:firstRow="0" w:lastRow="0" w:firstColumn="0" w:lastColumn="0" w:oddVBand="0" w:evenVBand="0" w:oddHBand="0" w:evenHBand="1" w:firstRowFirstColumn="0" w:firstRowLastColumn="0" w:lastRowFirstColumn="0" w:lastRowLastColumn="0"/>
              <w:rPr>
                <w:noProof/>
                <w:lang w:val="en-IE"/>
              </w:rPr>
            </w:pPr>
            <w:r w:rsidRPr="4FF39000">
              <w:rPr>
                <w:rFonts w:ascii="Calibri" w:hAnsi="Calibri" w:cs="Calibri"/>
                <w:noProof/>
                <w:color w:val="000000"/>
                <w:lang w:val="en-IE"/>
              </w:rPr>
              <w:t>8.4</w:t>
            </w:r>
          </w:p>
        </w:tc>
      </w:tr>
    </w:tbl>
    <w:p w14:paraId="40188642" w14:textId="77777777" w:rsidR="0022213D" w:rsidRPr="006A179A" w:rsidRDefault="0022213D" w:rsidP="0022213D">
      <w:pPr>
        <w:pStyle w:val="ppoListHyphened-L1"/>
        <w:numPr>
          <w:ilvl w:val="0"/>
          <w:numId w:val="0"/>
        </w:numPr>
        <w:ind w:left="357"/>
        <w:rPr>
          <w:noProof/>
          <w:lang w:val="en-IE"/>
        </w:rPr>
      </w:pPr>
    </w:p>
    <w:p w14:paraId="07E3568A" w14:textId="77777777" w:rsidR="0022213D" w:rsidRPr="006A179A" w:rsidRDefault="0022213D" w:rsidP="0022213D">
      <w:pPr>
        <w:pStyle w:val="ppoListHyphened-L1"/>
        <w:rPr>
          <w:noProof/>
          <w:lang w:val="en-IE"/>
        </w:rPr>
      </w:pPr>
      <w:r w:rsidRPr="006A179A">
        <w:rPr>
          <w:noProof/>
          <w:lang w:val="en-IE"/>
        </w:rPr>
        <w:t>In 2021 two delegation agreements were signed: one with the European Bank for Reconstruction and Development for the implementation of the Kozloduy programme with a value of EUR</w:t>
      </w:r>
      <w:r w:rsidRPr="006A179A">
        <w:rPr>
          <w:rFonts w:ascii="Calibri" w:hAnsi="Calibri" w:cs="Calibri"/>
          <w:noProof/>
          <w:lang w:val="en-IE"/>
        </w:rPr>
        <w:t> </w:t>
      </w:r>
      <w:r w:rsidRPr="006A179A">
        <w:rPr>
          <w:noProof/>
          <w:lang w:val="en-IE"/>
        </w:rPr>
        <w:t>9.0</w:t>
      </w:r>
      <w:r w:rsidRPr="006A179A">
        <w:rPr>
          <w:rFonts w:ascii="Calibri" w:hAnsi="Calibri" w:cs="Calibri"/>
          <w:noProof/>
          <w:lang w:val="en-IE"/>
        </w:rPr>
        <w:t> </w:t>
      </w:r>
      <w:r w:rsidRPr="006A179A">
        <w:rPr>
          <w:noProof/>
          <w:lang w:val="en-IE"/>
        </w:rPr>
        <w:t>million and another with the Slovak Innovation and Energy Agency with a value EUR</w:t>
      </w:r>
      <w:r w:rsidRPr="006A179A">
        <w:rPr>
          <w:rFonts w:ascii="Calibri" w:hAnsi="Calibri" w:cs="Calibri"/>
          <w:noProof/>
          <w:lang w:val="en-IE"/>
        </w:rPr>
        <w:t> </w:t>
      </w:r>
      <w:r w:rsidRPr="006A179A">
        <w:rPr>
          <w:noProof/>
          <w:lang w:val="en-IE"/>
        </w:rPr>
        <w:t>27.4</w:t>
      </w:r>
      <w:r w:rsidRPr="006A179A">
        <w:rPr>
          <w:rFonts w:ascii="Calibri" w:hAnsi="Calibri" w:cs="Calibri"/>
          <w:noProof/>
          <w:lang w:val="en-IE"/>
        </w:rPr>
        <w:t> </w:t>
      </w:r>
      <w:r w:rsidRPr="006A179A">
        <w:rPr>
          <w:noProof/>
          <w:lang w:val="en-IE"/>
        </w:rPr>
        <w:t>million for the implementation of the Bohunice programme. In addition, EUR</w:t>
      </w:r>
      <w:r w:rsidRPr="006A179A">
        <w:rPr>
          <w:rFonts w:ascii="Calibri" w:hAnsi="Calibri" w:cs="Calibri"/>
          <w:noProof/>
          <w:lang w:val="en-IE"/>
        </w:rPr>
        <w:t> </w:t>
      </w:r>
      <w:r w:rsidRPr="006A179A">
        <w:rPr>
          <w:noProof/>
          <w:lang w:val="en-IE"/>
        </w:rPr>
        <w:t>80</w:t>
      </w:r>
      <w:r w:rsidRPr="006A179A">
        <w:rPr>
          <w:rFonts w:ascii="Calibri" w:hAnsi="Calibri" w:cs="Calibri"/>
          <w:noProof/>
          <w:lang w:val="en-IE"/>
        </w:rPr>
        <w:t> </w:t>
      </w:r>
      <w:r w:rsidRPr="006A179A">
        <w:rPr>
          <w:noProof/>
          <w:lang w:val="en-IE"/>
        </w:rPr>
        <w:t>000 will be dedicated to a consultancy assessment performed under direct management. The cost of the work carried out during 2021 is within budget.</w:t>
      </w:r>
    </w:p>
    <w:p w14:paraId="377BA754" w14:textId="77777777" w:rsidR="0022213D" w:rsidRPr="006A179A" w:rsidRDefault="0022213D" w:rsidP="0022213D">
      <w:pPr>
        <w:pStyle w:val="ppoListHyphened-L1"/>
        <w:rPr>
          <w:noProof/>
          <w:lang w:val="en-IE"/>
        </w:rPr>
      </w:pPr>
      <w:r w:rsidRPr="006A179A">
        <w:rPr>
          <w:noProof/>
          <w:lang w:val="en-IE"/>
        </w:rPr>
        <w:t>The decommissioning projects are, in many cases, highly complex from the procurement and implementation point of view and extend over a long period of time. This explains the long interval between the commitments and the payments of the programme.</w:t>
      </w:r>
    </w:p>
    <w:p w14:paraId="1DCF0807" w14:textId="77777777" w:rsidR="0022213D" w:rsidRPr="006A179A" w:rsidRDefault="0022213D" w:rsidP="0022213D">
      <w:pPr>
        <w:pStyle w:val="ppoListHyphened-L1"/>
        <w:rPr>
          <w:noProof/>
          <w:lang w:val="en-IE"/>
        </w:rPr>
      </w:pPr>
      <w:r w:rsidRPr="006A179A">
        <w:rPr>
          <w:noProof/>
          <w:lang w:val="en-IE"/>
        </w:rPr>
        <w:t>Expenditure in the programme is in line with the financial programming, except that expenses in the commissioning of auxiliary facilities have been significantly lower than expected, due to the delay of the grouting station</w:t>
      </w:r>
      <w:r w:rsidRPr="006A179A">
        <w:rPr>
          <w:rFonts w:ascii="Calibri" w:hAnsi="Calibri" w:cs="Calibri"/>
          <w:noProof/>
          <w:lang w:val="en-IE"/>
        </w:rPr>
        <w:t> –</w:t>
      </w:r>
      <w:r w:rsidRPr="006A179A">
        <w:rPr>
          <w:noProof/>
          <w:lang w:val="en-IE"/>
        </w:rPr>
        <w:t xml:space="preserve"> and expenses in radiation protection have been significantly larger than planned, as the relaxation of COVID-19 constraints allowed more fieldwork. The rest of the activities in waste and nuclear material management, decommissioning, safe conservation and utility services, general support and horizontal activities and others have progressed as planned.</w:t>
      </w:r>
    </w:p>
    <w:p w14:paraId="2A73A519" w14:textId="77777777" w:rsidR="0022213D" w:rsidRPr="006A179A" w:rsidRDefault="0022213D" w:rsidP="0022213D">
      <w:pPr>
        <w:pStyle w:val="ppoListHyphened-L1"/>
        <w:numPr>
          <w:ilvl w:val="0"/>
          <w:numId w:val="0"/>
        </w:numPr>
        <w:ind w:left="357"/>
        <w:rPr>
          <w:noProof/>
          <w:lang w:val="en-IE"/>
        </w:rPr>
      </w:pPr>
    </w:p>
    <w:p w14:paraId="31917E88" w14:textId="77777777" w:rsidR="0022213D" w:rsidRPr="006A179A" w:rsidRDefault="0022213D" w:rsidP="0022213D">
      <w:pPr>
        <w:pStyle w:val="ppoHeading5"/>
        <w:rPr>
          <w:noProof/>
          <w:lang w:val="en-IE"/>
        </w:rPr>
      </w:pPr>
      <w:r w:rsidRPr="006A179A">
        <w:rPr>
          <w:noProof/>
          <w:lang w:val="en-IE"/>
        </w:rPr>
        <w:t>Contribution to horizontal priorities</w:t>
      </w:r>
    </w:p>
    <w:p w14:paraId="35B00811" w14:textId="77777777" w:rsidR="0022213D" w:rsidRPr="006A179A" w:rsidRDefault="0022213D" w:rsidP="0022213D">
      <w:pPr>
        <w:pStyle w:val="ppoTableTabletitle"/>
        <w:rPr>
          <w:noProof/>
          <w:lang w:val="en-IE"/>
        </w:rPr>
      </w:pPr>
      <w:r w:rsidRPr="006A179A">
        <w:rPr>
          <w:noProof/>
          <w:lang w:val="en-IE"/>
        </w:rPr>
        <w:t>EU budget contribution in 2021 (EUR million):</w:t>
      </w:r>
    </w:p>
    <w:tbl>
      <w:tblPr>
        <w:tblStyle w:val="PPO2021"/>
        <w:tblW w:w="9639" w:type="dxa"/>
        <w:tblInd w:w="0" w:type="dxa"/>
        <w:tblLook w:val="0420" w:firstRow="1" w:lastRow="0" w:firstColumn="0" w:lastColumn="0" w:noHBand="0" w:noVBand="1"/>
      </w:tblPr>
      <w:tblGrid>
        <w:gridCol w:w="3213"/>
        <w:gridCol w:w="3213"/>
        <w:gridCol w:w="3213"/>
      </w:tblGrid>
      <w:tr w:rsidR="0022213D" w:rsidRPr="006A179A" w14:paraId="50123AB6" w14:textId="77777777" w:rsidTr="0083214A">
        <w:trPr>
          <w:cnfStyle w:val="100000000000" w:firstRow="1" w:lastRow="0" w:firstColumn="0" w:lastColumn="0" w:oddVBand="0" w:evenVBand="0" w:oddHBand="0" w:evenHBand="0" w:firstRowFirstColumn="0" w:firstRowLastColumn="0" w:lastRowFirstColumn="0" w:lastRowLastColumn="0"/>
          <w:tblHeader/>
        </w:trPr>
        <w:tc>
          <w:tcPr>
            <w:tcW w:w="3213" w:type="dxa"/>
          </w:tcPr>
          <w:p w14:paraId="3D3233CA" w14:textId="77777777" w:rsidR="0022213D" w:rsidRPr="006A179A" w:rsidRDefault="0022213D" w:rsidP="0083214A">
            <w:pPr>
              <w:rPr>
                <w:noProof/>
                <w:lang w:val="en-IE"/>
              </w:rPr>
            </w:pPr>
            <w:r w:rsidRPr="006A179A">
              <w:rPr>
                <w:noProof/>
                <w:lang w:val="en-IE"/>
              </w:rPr>
              <w:t>Climate</w:t>
            </w:r>
          </w:p>
        </w:tc>
        <w:tc>
          <w:tcPr>
            <w:tcW w:w="3213" w:type="dxa"/>
          </w:tcPr>
          <w:p w14:paraId="49F9AE64" w14:textId="77777777" w:rsidR="0022213D" w:rsidRPr="006A179A" w:rsidRDefault="0022213D" w:rsidP="0083214A">
            <w:pPr>
              <w:rPr>
                <w:noProof/>
                <w:lang w:val="en-IE"/>
              </w:rPr>
            </w:pPr>
            <w:r w:rsidRPr="006A179A">
              <w:rPr>
                <w:noProof/>
                <w:lang w:val="en-IE"/>
              </w:rPr>
              <w:t>Biodiversity</w:t>
            </w:r>
          </w:p>
        </w:tc>
        <w:tc>
          <w:tcPr>
            <w:tcW w:w="3213" w:type="dxa"/>
          </w:tcPr>
          <w:p w14:paraId="0AA3FC49" w14:textId="77777777" w:rsidR="0022213D" w:rsidRPr="006A179A" w:rsidRDefault="0022213D" w:rsidP="0083214A">
            <w:pPr>
              <w:rPr>
                <w:noProof/>
                <w:lang w:val="en-IE"/>
              </w:rPr>
            </w:pPr>
            <w:r w:rsidRPr="006A179A">
              <w:rPr>
                <w:noProof/>
                <w:lang w:val="en-IE"/>
              </w:rPr>
              <w:t>Gender equality</w:t>
            </w:r>
            <w:r w:rsidRPr="006A179A">
              <w:rPr>
                <w:rFonts w:ascii="Calibri" w:hAnsi="Calibri" w:cs="Calibri"/>
                <w:noProof/>
                <w:lang w:val="en-IE"/>
              </w:rPr>
              <w:t> </w:t>
            </w:r>
            <w:r w:rsidRPr="006A179A">
              <w:rPr>
                <w:noProof/>
                <w:lang w:val="en-IE"/>
              </w:rPr>
              <w:t>(*)</w:t>
            </w:r>
          </w:p>
        </w:tc>
      </w:tr>
      <w:tr w:rsidR="0022213D" w:rsidRPr="006A179A" w14:paraId="28B0FE0E" w14:textId="77777777" w:rsidTr="0083214A">
        <w:trPr>
          <w:cnfStyle w:val="000000100000" w:firstRow="0" w:lastRow="0" w:firstColumn="0" w:lastColumn="0" w:oddVBand="0" w:evenVBand="0" w:oddHBand="1" w:evenHBand="0" w:firstRowFirstColumn="0" w:firstRowLastColumn="0" w:lastRowFirstColumn="0" w:lastRowLastColumn="0"/>
        </w:trPr>
        <w:tc>
          <w:tcPr>
            <w:tcW w:w="3213" w:type="dxa"/>
          </w:tcPr>
          <w:tbl>
            <w:tblPr>
              <w:tblStyle w:val="TableGrid"/>
              <w:tblW w:w="0" w:type="auto"/>
              <w:tblLook w:val="06A0" w:firstRow="1" w:lastRow="0" w:firstColumn="1" w:lastColumn="0" w:noHBand="1" w:noVBand="1"/>
            </w:tblPr>
            <w:tblGrid>
              <w:gridCol w:w="1935"/>
            </w:tblGrid>
            <w:tr w:rsidR="0022213D" w:rsidRPr="006A179A" w14:paraId="0521A575" w14:textId="77777777" w:rsidTr="0083214A">
              <w:trPr>
                <w:trHeight w:val="285"/>
              </w:trPr>
              <w:tc>
                <w:tcPr>
                  <w:tcW w:w="1935" w:type="dxa"/>
                  <w:tcBorders>
                    <w:top w:val="nil"/>
                    <w:left w:val="nil"/>
                    <w:bottom w:val="nil"/>
                    <w:right w:val="nil"/>
                  </w:tcBorders>
                  <w:vAlign w:val="bottom"/>
                </w:tcPr>
                <w:p w14:paraId="666328D0" w14:textId="77777777" w:rsidR="0022213D" w:rsidRPr="006A179A" w:rsidRDefault="0022213D" w:rsidP="0083214A">
                  <w:pPr>
                    <w:jc w:val="right"/>
                    <w:rPr>
                      <w:noProof/>
                      <w:lang w:val="en-IE"/>
                    </w:rPr>
                  </w:pPr>
                  <w:r w:rsidRPr="006A179A">
                    <w:rPr>
                      <w:rFonts w:ascii="Calibri" w:hAnsi="Calibri" w:cs="Calibri"/>
                      <w:noProof/>
                      <w:color w:val="000000"/>
                      <w:lang w:val="en-IE"/>
                    </w:rPr>
                    <w:t>0.4</w:t>
                  </w:r>
                </w:p>
              </w:tc>
            </w:tr>
          </w:tbl>
          <w:p w14:paraId="76D53093" w14:textId="77777777" w:rsidR="0022213D" w:rsidRPr="006A179A" w:rsidRDefault="0022213D" w:rsidP="0083214A">
            <w:pPr>
              <w:jc w:val="center"/>
              <w:rPr>
                <w:noProof/>
                <w:lang w:val="en-IE"/>
              </w:rPr>
            </w:pPr>
          </w:p>
        </w:tc>
        <w:tc>
          <w:tcPr>
            <w:tcW w:w="3213" w:type="dxa"/>
          </w:tcPr>
          <w:p w14:paraId="6BB564A5" w14:textId="77777777" w:rsidR="0022213D" w:rsidRPr="006A179A" w:rsidRDefault="0022213D" w:rsidP="0083214A">
            <w:pPr>
              <w:jc w:val="center"/>
              <w:rPr>
                <w:noProof/>
                <w:lang w:val="en-IE"/>
              </w:rPr>
            </w:pPr>
            <w:r w:rsidRPr="006A179A">
              <w:rPr>
                <w:noProof/>
                <w:lang w:val="en-IE"/>
              </w:rPr>
              <w:t>0</w:t>
            </w:r>
          </w:p>
        </w:tc>
        <w:tc>
          <w:tcPr>
            <w:tcW w:w="3213" w:type="dxa"/>
          </w:tcPr>
          <w:p w14:paraId="28E307DA" w14:textId="77777777" w:rsidR="0022213D" w:rsidRPr="006A179A" w:rsidRDefault="0022213D" w:rsidP="0083214A">
            <w:pPr>
              <w:jc w:val="center"/>
              <w:rPr>
                <w:noProof/>
                <w:lang w:val="en-IE"/>
              </w:rPr>
            </w:pPr>
            <w:r w:rsidRPr="006A179A">
              <w:rPr>
                <w:noProof/>
                <w:lang w:val="en-IE"/>
              </w:rPr>
              <w:t>Score</w:t>
            </w:r>
            <w:r w:rsidRPr="006A179A">
              <w:rPr>
                <w:rFonts w:ascii="Calibri" w:hAnsi="Calibri" w:cs="Calibri"/>
                <w:noProof/>
                <w:lang w:val="en-IE"/>
              </w:rPr>
              <w:t> </w:t>
            </w:r>
            <w:r w:rsidRPr="006A179A">
              <w:rPr>
                <w:noProof/>
                <w:lang w:val="en-IE"/>
              </w:rPr>
              <w:t>0: 69</w:t>
            </w:r>
          </w:p>
        </w:tc>
      </w:tr>
    </w:tbl>
    <w:p w14:paraId="290F19FB" w14:textId="77777777" w:rsidR="0022213D" w:rsidRPr="006A179A" w:rsidRDefault="0022213D" w:rsidP="0022213D">
      <w:pPr>
        <w:pStyle w:val="FootnoteText"/>
        <w:rPr>
          <w:noProof/>
          <w:lang w:val="en-IE"/>
        </w:rPr>
      </w:pPr>
      <w:r w:rsidRPr="006A179A">
        <w:rPr>
          <w:noProof/>
          <w:lang w:val="en-IE"/>
        </w:rPr>
        <w:t>(*) Based on the applied gender contribution methodology, the following scores are attributed at the most granular level of intervention possible:</w:t>
      </w:r>
    </w:p>
    <w:p w14:paraId="4364832E" w14:textId="77777777" w:rsidR="0022213D" w:rsidRPr="006A179A" w:rsidRDefault="0022213D" w:rsidP="0022213D">
      <w:pPr>
        <w:pStyle w:val="FootnoteText"/>
        <w:numPr>
          <w:ilvl w:val="0"/>
          <w:numId w:val="38"/>
        </w:numPr>
        <w:spacing w:after="60" w:line="264" w:lineRule="auto"/>
        <w:jc w:val="left"/>
        <w:rPr>
          <w:noProof/>
          <w:lang w:val="en-IE"/>
        </w:rPr>
      </w:pPr>
      <w:r w:rsidRPr="006A179A">
        <w:rPr>
          <w:noProof/>
          <w:lang w:val="en-IE"/>
        </w:rPr>
        <w:t>2: interventions the principal objective of which is to improve gender equality;</w:t>
      </w:r>
    </w:p>
    <w:p w14:paraId="0209631E" w14:textId="77777777" w:rsidR="0022213D" w:rsidRPr="006A179A" w:rsidRDefault="0022213D" w:rsidP="0022213D">
      <w:pPr>
        <w:pStyle w:val="FootnoteText"/>
        <w:numPr>
          <w:ilvl w:val="0"/>
          <w:numId w:val="38"/>
        </w:numPr>
        <w:spacing w:after="60" w:line="264" w:lineRule="auto"/>
        <w:jc w:val="left"/>
        <w:rPr>
          <w:noProof/>
          <w:lang w:val="en-IE"/>
        </w:rPr>
      </w:pPr>
      <w:r w:rsidRPr="006A179A">
        <w:rPr>
          <w:noProof/>
          <w:lang w:val="en-IE"/>
        </w:rPr>
        <w:t>1: interventions having gender equality as an important and deliberate objective but not as the main reason for the intervention;</w:t>
      </w:r>
    </w:p>
    <w:p w14:paraId="3D2C1C7D" w14:textId="77777777" w:rsidR="0022213D" w:rsidRPr="006A179A" w:rsidRDefault="0022213D" w:rsidP="0022213D">
      <w:pPr>
        <w:pStyle w:val="FootnoteText"/>
        <w:numPr>
          <w:ilvl w:val="0"/>
          <w:numId w:val="38"/>
        </w:numPr>
        <w:spacing w:after="60" w:line="264" w:lineRule="auto"/>
        <w:jc w:val="left"/>
        <w:rPr>
          <w:noProof/>
          <w:lang w:val="en-IE"/>
        </w:rPr>
      </w:pPr>
      <w:r w:rsidRPr="006A179A">
        <w:rPr>
          <w:noProof/>
          <w:lang w:val="en-IE"/>
        </w:rPr>
        <w:t>0: non-targeted interventions;</w:t>
      </w:r>
    </w:p>
    <w:p w14:paraId="604DAFCB" w14:textId="77777777" w:rsidR="0022213D" w:rsidRPr="006A179A" w:rsidRDefault="0022213D" w:rsidP="0022213D">
      <w:pPr>
        <w:pStyle w:val="FootnoteText"/>
        <w:numPr>
          <w:ilvl w:val="0"/>
          <w:numId w:val="38"/>
        </w:numPr>
        <w:spacing w:after="60" w:line="264" w:lineRule="auto"/>
        <w:jc w:val="left"/>
        <w:rPr>
          <w:noProof/>
          <w:lang w:val="en-IE"/>
        </w:rPr>
      </w:pPr>
      <w:r w:rsidRPr="006A179A">
        <w:rPr>
          <w:noProof/>
          <w:lang w:val="en-IE"/>
        </w:rPr>
        <w:t>0*: score to be assigned to interventions with a likely but not yet clear positive impact on gender equality.</w:t>
      </w:r>
    </w:p>
    <w:p w14:paraId="1F5DDB0F" w14:textId="77777777" w:rsidR="0022213D" w:rsidRPr="006A179A" w:rsidRDefault="0022213D" w:rsidP="0022213D">
      <w:pPr>
        <w:rPr>
          <w:noProof/>
          <w:lang w:val="en-IE"/>
        </w:rPr>
      </w:pPr>
    </w:p>
    <w:p w14:paraId="6EA99FE5" w14:textId="77777777" w:rsidR="0022213D" w:rsidRPr="006A179A" w:rsidRDefault="0022213D" w:rsidP="0022213D">
      <w:pPr>
        <w:rPr>
          <w:noProof/>
          <w:lang w:val="en-IE"/>
        </w:rPr>
      </w:pPr>
      <w:r w:rsidRPr="006A179A">
        <w:rPr>
          <w:noProof/>
          <w:lang w:val="en-IE"/>
        </w:rPr>
        <w:t>The gender equality perspective was considered in our financing by Council Regulation (EU)</w:t>
      </w:r>
      <w:r w:rsidRPr="006A179A">
        <w:rPr>
          <w:rFonts w:ascii="Calibri" w:hAnsi="Calibri" w:cs="Calibri"/>
          <w:noProof/>
          <w:lang w:val="en-IE"/>
        </w:rPr>
        <w:t> </w:t>
      </w:r>
      <w:r w:rsidRPr="006A179A">
        <w:rPr>
          <w:noProof/>
          <w:lang w:val="en-IE"/>
        </w:rPr>
        <w:t>2021/100. Nonetheless, we determined that nuclear decommissioning is the primary and sole objective of our programme and, as such, has no significant impact on gender equality, even though some minor indirect impacts might occur.</w:t>
      </w:r>
    </w:p>
    <w:p w14:paraId="7C67FF09" w14:textId="77777777" w:rsidR="0022213D" w:rsidRPr="006A179A" w:rsidRDefault="0022213D" w:rsidP="0022213D">
      <w:pPr>
        <w:pStyle w:val="ppoHeading5"/>
        <w:rPr>
          <w:noProof/>
          <w:lang w:val="en-IE"/>
        </w:rPr>
      </w:pPr>
      <w:r w:rsidRPr="006A179A">
        <w:rPr>
          <w:noProof/>
          <w:lang w:val="en-IE"/>
        </w:rPr>
        <w:t>Performance assessment</w:t>
      </w:r>
    </w:p>
    <w:p w14:paraId="3CAFFD5F" w14:textId="77777777" w:rsidR="0022213D" w:rsidRPr="006A179A" w:rsidRDefault="0022213D" w:rsidP="0022213D">
      <w:pPr>
        <w:pStyle w:val="ppoHeading6"/>
        <w:rPr>
          <w:noProof/>
          <w:lang w:val="en-IE"/>
        </w:rPr>
      </w:pPr>
      <w:r w:rsidRPr="006A179A">
        <w:rPr>
          <w:noProof/>
          <w:lang w:val="en-IE"/>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22213D" w:rsidRPr="006A179A" w14:paraId="409CF56F" w14:textId="77777777" w:rsidTr="0083214A">
        <w:trPr>
          <w:cnfStyle w:val="100000000000" w:firstRow="1" w:lastRow="0" w:firstColumn="0" w:lastColumn="0" w:oddVBand="0" w:evenVBand="0" w:oddHBand="0" w:evenHBand="0" w:firstRowFirstColumn="0" w:firstRowLastColumn="0" w:lastRowFirstColumn="0" w:lastRowLastColumn="0"/>
        </w:trPr>
        <w:tc>
          <w:tcPr>
            <w:tcW w:w="2330" w:type="dxa"/>
          </w:tcPr>
          <w:p w14:paraId="4697FE27" w14:textId="77777777" w:rsidR="0022213D" w:rsidRPr="006A179A" w:rsidRDefault="0022213D" w:rsidP="0083214A">
            <w:pPr>
              <w:rPr>
                <w:noProof/>
                <w:lang w:val="en-IE"/>
              </w:rPr>
            </w:pPr>
          </w:p>
        </w:tc>
        <w:tc>
          <w:tcPr>
            <w:tcW w:w="1100" w:type="dxa"/>
          </w:tcPr>
          <w:p w14:paraId="4FFDF370" w14:textId="77777777" w:rsidR="0022213D" w:rsidRPr="006A179A" w:rsidRDefault="0022213D" w:rsidP="0083214A">
            <w:pPr>
              <w:rPr>
                <w:noProof/>
                <w:lang w:val="en-IE"/>
              </w:rPr>
            </w:pPr>
            <w:r w:rsidRPr="006A179A">
              <w:rPr>
                <w:noProof/>
                <w:lang w:val="en-IE"/>
              </w:rPr>
              <w:t>Baseline</w:t>
            </w:r>
          </w:p>
        </w:tc>
        <w:tc>
          <w:tcPr>
            <w:tcW w:w="1526" w:type="dxa"/>
          </w:tcPr>
          <w:p w14:paraId="5C70DE49" w14:textId="77777777" w:rsidR="0022213D" w:rsidRPr="006A179A" w:rsidRDefault="0022213D" w:rsidP="0083214A">
            <w:pPr>
              <w:rPr>
                <w:noProof/>
                <w:lang w:val="en-IE"/>
              </w:rPr>
            </w:pPr>
            <w:r w:rsidRPr="006A179A">
              <w:rPr>
                <w:noProof/>
                <w:lang w:val="en-IE"/>
              </w:rPr>
              <w:t>Progress</w:t>
            </w:r>
            <w:r w:rsidRPr="006A179A">
              <w:rPr>
                <w:rFonts w:ascii="Calibri" w:hAnsi="Calibri" w:cs="Calibri"/>
                <w:noProof/>
                <w:lang w:val="en-IE"/>
              </w:rPr>
              <w:t> </w:t>
            </w:r>
            <w:r w:rsidRPr="006A179A">
              <w:rPr>
                <w:noProof/>
                <w:lang w:val="en-IE"/>
              </w:rPr>
              <w:t>(*)</w:t>
            </w:r>
          </w:p>
        </w:tc>
        <w:tc>
          <w:tcPr>
            <w:tcW w:w="1532" w:type="dxa"/>
          </w:tcPr>
          <w:p w14:paraId="710C851C" w14:textId="77777777" w:rsidR="0022213D" w:rsidRPr="006A179A" w:rsidRDefault="0022213D" w:rsidP="0083214A">
            <w:pPr>
              <w:rPr>
                <w:noProof/>
                <w:lang w:val="en-IE"/>
              </w:rPr>
            </w:pPr>
            <w:r w:rsidRPr="006A179A">
              <w:rPr>
                <w:noProof/>
                <w:lang w:val="en-IE"/>
              </w:rPr>
              <w:t>Target</w:t>
            </w:r>
          </w:p>
        </w:tc>
        <w:tc>
          <w:tcPr>
            <w:tcW w:w="1572" w:type="dxa"/>
          </w:tcPr>
          <w:p w14:paraId="085B8746" w14:textId="77777777" w:rsidR="0022213D" w:rsidRPr="006A179A" w:rsidRDefault="0022213D" w:rsidP="0083214A">
            <w:pPr>
              <w:rPr>
                <w:noProof/>
                <w:lang w:val="en-IE"/>
              </w:rPr>
            </w:pPr>
            <w:r w:rsidRPr="006A179A">
              <w:rPr>
                <w:noProof/>
                <w:lang w:val="en-IE"/>
              </w:rPr>
              <w:t>Results</w:t>
            </w:r>
          </w:p>
        </w:tc>
        <w:tc>
          <w:tcPr>
            <w:tcW w:w="1579" w:type="dxa"/>
          </w:tcPr>
          <w:p w14:paraId="3A6144E6" w14:textId="77777777" w:rsidR="0022213D" w:rsidRPr="006A179A" w:rsidRDefault="0022213D" w:rsidP="0083214A">
            <w:pPr>
              <w:rPr>
                <w:noProof/>
                <w:lang w:val="en-IE"/>
              </w:rPr>
            </w:pPr>
            <w:r w:rsidRPr="006A179A">
              <w:rPr>
                <w:noProof/>
                <w:lang w:val="en-IE"/>
              </w:rPr>
              <w:t>Assessment</w:t>
            </w:r>
          </w:p>
        </w:tc>
      </w:tr>
      <w:tr w:rsidR="0022213D" w:rsidRPr="006A179A" w14:paraId="06F0E913"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608080E8" w14:textId="77777777" w:rsidR="0022213D" w:rsidRPr="006A179A" w:rsidRDefault="0022213D" w:rsidP="0083214A">
            <w:pPr>
              <w:rPr>
                <w:noProof/>
                <w:lang w:val="en-IE"/>
              </w:rPr>
            </w:pPr>
            <w:r w:rsidRPr="006A179A">
              <w:rPr>
                <w:noProof/>
                <w:lang w:val="en-IE"/>
              </w:rPr>
              <w:t>Kozloduy</w:t>
            </w:r>
            <w:r w:rsidRPr="006A179A">
              <w:rPr>
                <w:rFonts w:ascii="Calibri" w:hAnsi="Calibri" w:cs="Calibri"/>
                <w:noProof/>
                <w:lang w:val="en-IE"/>
              </w:rPr>
              <w:t> </w:t>
            </w:r>
            <w:r w:rsidRPr="006A179A">
              <w:rPr>
                <w:noProof/>
                <w:lang w:val="en-IE"/>
              </w:rPr>
              <w:t>– radioactive waste stored or disposed of (tonnes)</w:t>
            </w:r>
          </w:p>
        </w:tc>
        <w:tc>
          <w:tcPr>
            <w:tcW w:w="1100" w:type="dxa"/>
          </w:tcPr>
          <w:p w14:paraId="3CDE3F77" w14:textId="77777777" w:rsidR="0022213D" w:rsidRPr="006A179A" w:rsidRDefault="0022213D" w:rsidP="0083214A">
            <w:pPr>
              <w:jc w:val="center"/>
              <w:rPr>
                <w:noProof/>
                <w:lang w:val="en-IE"/>
              </w:rPr>
            </w:pPr>
            <w:r w:rsidRPr="006A179A">
              <w:rPr>
                <w:noProof/>
                <w:lang w:val="en-IE"/>
              </w:rPr>
              <w:t>0</w:t>
            </w:r>
          </w:p>
        </w:tc>
        <w:tc>
          <w:tcPr>
            <w:tcW w:w="1526" w:type="dxa"/>
          </w:tcPr>
          <w:p w14:paraId="35358362" w14:textId="77777777" w:rsidR="0022213D" w:rsidRPr="006A179A" w:rsidRDefault="0022213D" w:rsidP="0083214A">
            <w:pPr>
              <w:jc w:val="center"/>
              <w:rPr>
                <w:b/>
                <w:noProof/>
                <w:lang w:val="en-IE"/>
              </w:rPr>
            </w:pPr>
            <w:r w:rsidRPr="006A179A">
              <w:rPr>
                <w:b/>
                <w:noProof/>
                <w:lang w:val="en-IE"/>
              </w:rPr>
              <w:t>3%</w:t>
            </w:r>
          </w:p>
        </w:tc>
        <w:tc>
          <w:tcPr>
            <w:tcW w:w="1532" w:type="dxa"/>
          </w:tcPr>
          <w:p w14:paraId="60FE278F" w14:textId="77777777" w:rsidR="0022213D" w:rsidRPr="006A179A" w:rsidRDefault="0022213D" w:rsidP="0083214A">
            <w:pPr>
              <w:jc w:val="center"/>
              <w:rPr>
                <w:noProof/>
                <w:lang w:val="en-IE"/>
              </w:rPr>
            </w:pPr>
            <w:r w:rsidRPr="006A179A">
              <w:rPr>
                <w:noProof/>
                <w:lang w:val="en-IE"/>
              </w:rPr>
              <w:t>10</w:t>
            </w:r>
            <w:r w:rsidRPr="006A179A">
              <w:rPr>
                <w:rFonts w:ascii="Calibri" w:hAnsi="Calibri" w:cs="Calibri"/>
                <w:noProof/>
                <w:lang w:val="en-IE"/>
              </w:rPr>
              <w:t> </w:t>
            </w:r>
            <w:r w:rsidRPr="006A179A">
              <w:rPr>
                <w:noProof/>
                <w:lang w:val="en-IE"/>
              </w:rPr>
              <w:t>240 in 2030</w:t>
            </w:r>
          </w:p>
        </w:tc>
        <w:tc>
          <w:tcPr>
            <w:tcW w:w="1572" w:type="dxa"/>
          </w:tcPr>
          <w:p w14:paraId="11407471" w14:textId="77777777" w:rsidR="0022213D" w:rsidRPr="006A179A" w:rsidRDefault="0022213D" w:rsidP="0083214A">
            <w:pPr>
              <w:jc w:val="center"/>
              <w:rPr>
                <w:noProof/>
                <w:lang w:val="en-IE"/>
              </w:rPr>
            </w:pPr>
            <w:r w:rsidRPr="006A179A">
              <w:rPr>
                <w:noProof/>
                <w:lang w:val="en-IE"/>
              </w:rPr>
              <w:t>355 compared to 10</w:t>
            </w:r>
            <w:r w:rsidRPr="006A179A">
              <w:rPr>
                <w:rFonts w:ascii="Calibri" w:hAnsi="Calibri" w:cs="Calibri"/>
                <w:noProof/>
                <w:lang w:val="en-IE"/>
              </w:rPr>
              <w:t> </w:t>
            </w:r>
            <w:r w:rsidRPr="006A179A">
              <w:rPr>
                <w:noProof/>
                <w:lang w:val="en-IE"/>
              </w:rPr>
              <w:t>240</w:t>
            </w:r>
          </w:p>
        </w:tc>
        <w:tc>
          <w:tcPr>
            <w:tcW w:w="1579" w:type="dxa"/>
          </w:tcPr>
          <w:p w14:paraId="70BFBE35" w14:textId="77777777" w:rsidR="0022213D" w:rsidRPr="006A179A" w:rsidRDefault="0022213D" w:rsidP="0083214A">
            <w:pPr>
              <w:jc w:val="center"/>
              <w:rPr>
                <w:noProof/>
                <w:lang w:val="en-IE"/>
              </w:rPr>
            </w:pPr>
            <w:r w:rsidRPr="006A179A">
              <w:rPr>
                <w:noProof/>
                <w:lang w:val="en-IE"/>
              </w:rPr>
              <w:t>On track</w:t>
            </w:r>
          </w:p>
        </w:tc>
      </w:tr>
      <w:tr w:rsidR="0022213D" w:rsidRPr="006A179A" w14:paraId="6EE4A3EB"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632A2E14" w14:textId="77777777" w:rsidR="0022213D" w:rsidRPr="006A179A" w:rsidRDefault="0022213D" w:rsidP="0083214A">
            <w:pPr>
              <w:rPr>
                <w:noProof/>
                <w:lang w:val="en-IE"/>
              </w:rPr>
            </w:pPr>
            <w:r w:rsidRPr="006A179A">
              <w:rPr>
                <w:noProof/>
                <w:lang w:val="en-IE"/>
              </w:rPr>
              <w:t>Kozloduy</w:t>
            </w:r>
            <w:r w:rsidRPr="006A179A">
              <w:rPr>
                <w:rFonts w:ascii="Calibri" w:hAnsi="Calibri" w:cs="Calibri"/>
                <w:noProof/>
                <w:lang w:val="en-IE"/>
              </w:rPr>
              <w:t> –</w:t>
            </w:r>
            <w:r w:rsidRPr="006A179A">
              <w:rPr>
                <w:noProof/>
                <w:lang w:val="en-IE"/>
              </w:rPr>
              <w:t xml:space="preserve"> metal dismantled (tonnes)</w:t>
            </w:r>
          </w:p>
        </w:tc>
        <w:tc>
          <w:tcPr>
            <w:tcW w:w="1100" w:type="dxa"/>
          </w:tcPr>
          <w:p w14:paraId="6436AD99" w14:textId="77777777" w:rsidR="0022213D" w:rsidRPr="006A179A" w:rsidRDefault="0022213D" w:rsidP="0083214A">
            <w:pPr>
              <w:jc w:val="center"/>
              <w:rPr>
                <w:noProof/>
                <w:lang w:val="en-IE"/>
              </w:rPr>
            </w:pPr>
            <w:r w:rsidRPr="006A179A">
              <w:rPr>
                <w:noProof/>
                <w:lang w:val="en-IE"/>
              </w:rPr>
              <w:t>0</w:t>
            </w:r>
          </w:p>
        </w:tc>
        <w:tc>
          <w:tcPr>
            <w:tcW w:w="1526" w:type="dxa"/>
          </w:tcPr>
          <w:p w14:paraId="20AEBBD9" w14:textId="77777777" w:rsidR="0022213D" w:rsidRPr="006A179A" w:rsidRDefault="0022213D" w:rsidP="0083214A">
            <w:pPr>
              <w:jc w:val="center"/>
              <w:rPr>
                <w:b/>
                <w:noProof/>
                <w:lang w:val="en-IE"/>
              </w:rPr>
            </w:pPr>
            <w:r w:rsidRPr="006A179A">
              <w:rPr>
                <w:b/>
                <w:noProof/>
                <w:lang w:val="en-IE"/>
              </w:rPr>
              <w:t>5%</w:t>
            </w:r>
          </w:p>
        </w:tc>
        <w:tc>
          <w:tcPr>
            <w:tcW w:w="1532" w:type="dxa"/>
          </w:tcPr>
          <w:p w14:paraId="6A693192" w14:textId="77777777" w:rsidR="0022213D" w:rsidRPr="006A179A" w:rsidRDefault="0022213D" w:rsidP="0083214A">
            <w:pPr>
              <w:jc w:val="center"/>
              <w:rPr>
                <w:noProof/>
                <w:lang w:val="en-IE"/>
              </w:rPr>
            </w:pPr>
            <w:r w:rsidRPr="006A179A">
              <w:rPr>
                <w:noProof/>
                <w:lang w:val="en-IE"/>
              </w:rPr>
              <w:t>10</w:t>
            </w:r>
            <w:r w:rsidRPr="006A179A">
              <w:rPr>
                <w:rFonts w:ascii="Calibri" w:hAnsi="Calibri" w:cs="Calibri"/>
                <w:noProof/>
                <w:lang w:val="en-IE"/>
              </w:rPr>
              <w:t> </w:t>
            </w:r>
            <w:r w:rsidRPr="006A179A">
              <w:rPr>
                <w:noProof/>
                <w:lang w:val="en-IE"/>
              </w:rPr>
              <w:t>686 in 2030</w:t>
            </w:r>
          </w:p>
        </w:tc>
        <w:tc>
          <w:tcPr>
            <w:tcW w:w="1572" w:type="dxa"/>
          </w:tcPr>
          <w:p w14:paraId="609FA1A7" w14:textId="77777777" w:rsidR="0022213D" w:rsidRPr="006A179A" w:rsidRDefault="0022213D" w:rsidP="0083214A">
            <w:pPr>
              <w:jc w:val="center"/>
              <w:rPr>
                <w:noProof/>
                <w:lang w:val="en-IE"/>
              </w:rPr>
            </w:pPr>
            <w:r w:rsidRPr="006A179A">
              <w:rPr>
                <w:noProof/>
                <w:lang w:val="en-IE"/>
              </w:rPr>
              <w:t>539 compared to 10</w:t>
            </w:r>
            <w:r w:rsidRPr="006A179A">
              <w:rPr>
                <w:rFonts w:ascii="Calibri" w:hAnsi="Calibri" w:cs="Calibri"/>
                <w:noProof/>
                <w:lang w:val="en-IE"/>
              </w:rPr>
              <w:t> </w:t>
            </w:r>
            <w:r w:rsidRPr="006A179A">
              <w:rPr>
                <w:noProof/>
                <w:lang w:val="en-IE"/>
              </w:rPr>
              <w:t>868</w:t>
            </w:r>
          </w:p>
        </w:tc>
        <w:tc>
          <w:tcPr>
            <w:tcW w:w="1579" w:type="dxa"/>
          </w:tcPr>
          <w:p w14:paraId="670967EC" w14:textId="77777777" w:rsidR="0022213D" w:rsidRPr="006A179A" w:rsidRDefault="0022213D" w:rsidP="0083214A">
            <w:pPr>
              <w:jc w:val="center"/>
              <w:rPr>
                <w:noProof/>
                <w:lang w:val="en-IE"/>
              </w:rPr>
            </w:pPr>
            <w:r w:rsidRPr="006A179A">
              <w:rPr>
                <w:noProof/>
                <w:lang w:val="en-IE"/>
              </w:rPr>
              <w:t>On track</w:t>
            </w:r>
          </w:p>
        </w:tc>
      </w:tr>
      <w:tr w:rsidR="0022213D" w:rsidRPr="006A179A" w14:paraId="1C77148C"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547170BF" w14:textId="77777777" w:rsidR="0022213D" w:rsidRPr="006A179A" w:rsidRDefault="0022213D" w:rsidP="0083214A">
            <w:pPr>
              <w:rPr>
                <w:noProof/>
                <w:lang w:val="en-IE"/>
              </w:rPr>
            </w:pPr>
            <w:r w:rsidRPr="006A179A">
              <w:rPr>
                <w:noProof/>
                <w:lang w:val="en-IE"/>
              </w:rPr>
              <w:t>Bohunice</w:t>
            </w:r>
            <w:r w:rsidRPr="006A179A">
              <w:rPr>
                <w:rFonts w:ascii="Calibri" w:hAnsi="Calibri" w:cs="Calibri"/>
                <w:noProof/>
                <w:lang w:val="en-IE"/>
              </w:rPr>
              <w:t> </w:t>
            </w:r>
            <w:r w:rsidRPr="006A179A">
              <w:rPr>
                <w:noProof/>
                <w:lang w:val="en-IE"/>
              </w:rPr>
              <w:t>– very low</w:t>
            </w:r>
            <w:r>
              <w:rPr>
                <w:noProof/>
                <w:lang w:val="en-IE"/>
              </w:rPr>
              <w:t>-</w:t>
            </w:r>
            <w:r w:rsidRPr="006A179A">
              <w:rPr>
                <w:noProof/>
                <w:lang w:val="en-IE"/>
              </w:rPr>
              <w:t>level radioactive waste disposed of (tonnes)</w:t>
            </w:r>
          </w:p>
        </w:tc>
        <w:tc>
          <w:tcPr>
            <w:tcW w:w="1100" w:type="dxa"/>
          </w:tcPr>
          <w:p w14:paraId="1EFF2B53" w14:textId="77777777" w:rsidR="0022213D" w:rsidRPr="006A179A" w:rsidRDefault="0022213D" w:rsidP="0083214A">
            <w:pPr>
              <w:jc w:val="center"/>
              <w:rPr>
                <w:noProof/>
                <w:lang w:val="en-IE"/>
              </w:rPr>
            </w:pPr>
            <w:r w:rsidRPr="006A179A">
              <w:rPr>
                <w:noProof/>
                <w:lang w:val="en-IE"/>
              </w:rPr>
              <w:t>0</w:t>
            </w:r>
          </w:p>
        </w:tc>
        <w:tc>
          <w:tcPr>
            <w:tcW w:w="1526" w:type="dxa"/>
          </w:tcPr>
          <w:p w14:paraId="3E2DE41F" w14:textId="77777777" w:rsidR="0022213D" w:rsidRPr="006A179A" w:rsidRDefault="0022213D" w:rsidP="0083214A">
            <w:pPr>
              <w:jc w:val="center"/>
              <w:rPr>
                <w:b/>
                <w:noProof/>
                <w:lang w:val="en-IE"/>
              </w:rPr>
            </w:pPr>
            <w:r w:rsidRPr="006A179A">
              <w:rPr>
                <w:b/>
                <w:noProof/>
                <w:lang w:val="en-IE"/>
              </w:rPr>
              <w:t>2%</w:t>
            </w:r>
          </w:p>
        </w:tc>
        <w:tc>
          <w:tcPr>
            <w:tcW w:w="1532" w:type="dxa"/>
          </w:tcPr>
          <w:p w14:paraId="0195525B" w14:textId="77777777" w:rsidR="0022213D" w:rsidRPr="006A179A" w:rsidRDefault="0022213D" w:rsidP="0083214A">
            <w:pPr>
              <w:jc w:val="center"/>
              <w:rPr>
                <w:noProof/>
                <w:lang w:val="en-IE"/>
              </w:rPr>
            </w:pPr>
            <w:r w:rsidRPr="006A179A">
              <w:rPr>
                <w:noProof/>
                <w:lang w:val="en-IE"/>
              </w:rPr>
              <w:t>5</w:t>
            </w:r>
            <w:r w:rsidRPr="006A179A">
              <w:rPr>
                <w:rFonts w:ascii="Calibri" w:hAnsi="Calibri" w:cs="Calibri"/>
                <w:noProof/>
                <w:lang w:val="en-IE"/>
              </w:rPr>
              <w:t> </w:t>
            </w:r>
            <w:r w:rsidRPr="006A179A">
              <w:rPr>
                <w:noProof/>
                <w:lang w:val="en-IE"/>
              </w:rPr>
              <w:t>373 in 2026</w:t>
            </w:r>
          </w:p>
        </w:tc>
        <w:tc>
          <w:tcPr>
            <w:tcW w:w="1572" w:type="dxa"/>
          </w:tcPr>
          <w:p w14:paraId="58851F69" w14:textId="77777777" w:rsidR="0022213D" w:rsidRPr="006A179A" w:rsidRDefault="0022213D" w:rsidP="0083214A">
            <w:pPr>
              <w:jc w:val="center"/>
              <w:rPr>
                <w:noProof/>
                <w:lang w:val="en-IE"/>
              </w:rPr>
            </w:pPr>
            <w:r w:rsidRPr="006A179A">
              <w:rPr>
                <w:noProof/>
                <w:lang w:val="en-IE"/>
              </w:rPr>
              <w:t>100 compared to 5</w:t>
            </w:r>
            <w:r w:rsidRPr="006A179A">
              <w:rPr>
                <w:rFonts w:ascii="Calibri" w:hAnsi="Calibri" w:cs="Calibri"/>
                <w:noProof/>
                <w:lang w:val="en-IE"/>
              </w:rPr>
              <w:t> </w:t>
            </w:r>
            <w:r w:rsidRPr="006A179A">
              <w:rPr>
                <w:noProof/>
                <w:lang w:val="en-IE"/>
              </w:rPr>
              <w:t>373</w:t>
            </w:r>
          </w:p>
        </w:tc>
        <w:tc>
          <w:tcPr>
            <w:tcW w:w="1579" w:type="dxa"/>
          </w:tcPr>
          <w:p w14:paraId="0612DB63" w14:textId="77777777" w:rsidR="0022213D" w:rsidRPr="006A179A" w:rsidRDefault="0022213D" w:rsidP="0083214A">
            <w:pPr>
              <w:jc w:val="center"/>
              <w:rPr>
                <w:noProof/>
                <w:lang w:val="en-IE"/>
              </w:rPr>
            </w:pPr>
            <w:r w:rsidRPr="006A179A">
              <w:rPr>
                <w:noProof/>
                <w:lang w:val="en-IE"/>
              </w:rPr>
              <w:t>Deserves attention</w:t>
            </w:r>
          </w:p>
        </w:tc>
      </w:tr>
      <w:tr w:rsidR="0022213D" w:rsidRPr="006A179A" w14:paraId="0290EDAE"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1F5BFF73" w14:textId="77777777" w:rsidR="0022213D" w:rsidRPr="006A179A" w:rsidRDefault="0022213D" w:rsidP="0083214A">
            <w:pPr>
              <w:rPr>
                <w:noProof/>
                <w:lang w:val="en-IE"/>
              </w:rPr>
            </w:pPr>
            <w:r w:rsidRPr="006A179A">
              <w:rPr>
                <w:noProof/>
                <w:lang w:val="en-IE"/>
              </w:rPr>
              <w:t>Bohunice</w:t>
            </w:r>
            <w:r w:rsidRPr="006A179A">
              <w:rPr>
                <w:rFonts w:ascii="Calibri" w:hAnsi="Calibri" w:cs="Calibri"/>
                <w:noProof/>
                <w:lang w:val="en-IE"/>
              </w:rPr>
              <w:t> </w:t>
            </w:r>
            <w:r w:rsidRPr="006A179A">
              <w:rPr>
                <w:noProof/>
                <w:lang w:val="en-IE"/>
              </w:rPr>
              <w:t>– low</w:t>
            </w:r>
            <w:r>
              <w:rPr>
                <w:noProof/>
                <w:lang w:val="en-IE"/>
              </w:rPr>
              <w:t>-</w:t>
            </w:r>
            <w:r w:rsidRPr="006A179A">
              <w:rPr>
                <w:noProof/>
                <w:lang w:val="en-IE"/>
              </w:rPr>
              <w:t>level radioactive waste disposed of (tonnes)</w:t>
            </w:r>
          </w:p>
        </w:tc>
        <w:tc>
          <w:tcPr>
            <w:tcW w:w="1100" w:type="dxa"/>
          </w:tcPr>
          <w:p w14:paraId="2763A849" w14:textId="77777777" w:rsidR="0022213D" w:rsidRPr="006A179A" w:rsidRDefault="0022213D" w:rsidP="0083214A">
            <w:pPr>
              <w:jc w:val="center"/>
              <w:rPr>
                <w:noProof/>
                <w:lang w:val="en-IE"/>
              </w:rPr>
            </w:pPr>
            <w:r w:rsidRPr="006A179A">
              <w:rPr>
                <w:noProof/>
                <w:lang w:val="en-IE"/>
              </w:rPr>
              <w:t>0</w:t>
            </w:r>
          </w:p>
        </w:tc>
        <w:tc>
          <w:tcPr>
            <w:tcW w:w="1526" w:type="dxa"/>
          </w:tcPr>
          <w:p w14:paraId="353BB344" w14:textId="77777777" w:rsidR="0022213D" w:rsidRPr="006A179A" w:rsidRDefault="0022213D" w:rsidP="0083214A">
            <w:pPr>
              <w:jc w:val="center"/>
              <w:rPr>
                <w:b/>
                <w:noProof/>
                <w:lang w:val="en-IE"/>
              </w:rPr>
            </w:pPr>
            <w:r w:rsidRPr="006A179A">
              <w:rPr>
                <w:b/>
                <w:noProof/>
                <w:lang w:val="en-IE"/>
              </w:rPr>
              <w:t>12%</w:t>
            </w:r>
          </w:p>
        </w:tc>
        <w:tc>
          <w:tcPr>
            <w:tcW w:w="1532" w:type="dxa"/>
          </w:tcPr>
          <w:p w14:paraId="4E58FAC3" w14:textId="77777777" w:rsidR="0022213D" w:rsidRPr="006A179A" w:rsidRDefault="0022213D" w:rsidP="0083214A">
            <w:pPr>
              <w:jc w:val="center"/>
              <w:rPr>
                <w:noProof/>
                <w:lang w:val="en-IE"/>
              </w:rPr>
            </w:pPr>
            <w:r w:rsidRPr="006A179A">
              <w:rPr>
                <w:noProof/>
                <w:lang w:val="en-IE"/>
              </w:rPr>
              <w:t>1</w:t>
            </w:r>
            <w:r w:rsidRPr="006A179A">
              <w:rPr>
                <w:rFonts w:ascii="Calibri" w:hAnsi="Calibri" w:cs="Calibri"/>
                <w:noProof/>
                <w:lang w:val="en-IE"/>
              </w:rPr>
              <w:t> </w:t>
            </w:r>
            <w:r w:rsidRPr="006A179A">
              <w:rPr>
                <w:noProof/>
                <w:lang w:val="en-IE"/>
              </w:rPr>
              <w:t>943 in 2026</w:t>
            </w:r>
          </w:p>
        </w:tc>
        <w:tc>
          <w:tcPr>
            <w:tcW w:w="1572" w:type="dxa"/>
          </w:tcPr>
          <w:p w14:paraId="4698FA7C" w14:textId="77777777" w:rsidR="0022213D" w:rsidRPr="006A179A" w:rsidRDefault="0022213D" w:rsidP="0083214A">
            <w:pPr>
              <w:jc w:val="center"/>
              <w:rPr>
                <w:noProof/>
                <w:lang w:val="en-IE"/>
              </w:rPr>
            </w:pPr>
            <w:r w:rsidRPr="006A179A">
              <w:rPr>
                <w:noProof/>
                <w:lang w:val="en-IE"/>
              </w:rPr>
              <w:t>225 compared to 1</w:t>
            </w:r>
            <w:r w:rsidRPr="006A179A">
              <w:rPr>
                <w:rFonts w:ascii="Calibri" w:hAnsi="Calibri" w:cs="Calibri"/>
                <w:noProof/>
                <w:lang w:val="en-IE"/>
              </w:rPr>
              <w:t> </w:t>
            </w:r>
            <w:r w:rsidRPr="006A179A">
              <w:rPr>
                <w:noProof/>
                <w:lang w:val="en-IE"/>
              </w:rPr>
              <w:t>943</w:t>
            </w:r>
          </w:p>
        </w:tc>
        <w:tc>
          <w:tcPr>
            <w:tcW w:w="1579" w:type="dxa"/>
          </w:tcPr>
          <w:p w14:paraId="75CE333F" w14:textId="77777777" w:rsidR="0022213D" w:rsidRPr="006A179A" w:rsidRDefault="0022213D" w:rsidP="0083214A">
            <w:pPr>
              <w:jc w:val="center"/>
              <w:rPr>
                <w:noProof/>
                <w:lang w:val="en-IE"/>
              </w:rPr>
            </w:pPr>
            <w:r w:rsidRPr="006A179A">
              <w:rPr>
                <w:noProof/>
                <w:lang w:val="en-IE"/>
              </w:rPr>
              <w:t>Deserves attention</w:t>
            </w:r>
          </w:p>
        </w:tc>
      </w:tr>
      <w:tr w:rsidR="0022213D" w:rsidRPr="006A179A" w14:paraId="6537B493"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0CFACE02" w14:textId="77777777" w:rsidR="0022213D" w:rsidRPr="006A179A" w:rsidRDefault="0022213D" w:rsidP="0083214A">
            <w:pPr>
              <w:rPr>
                <w:noProof/>
                <w:lang w:val="en-IE"/>
              </w:rPr>
            </w:pPr>
            <w:r w:rsidRPr="006A179A">
              <w:rPr>
                <w:noProof/>
                <w:lang w:val="en-IE"/>
              </w:rPr>
              <w:t>Bohunice</w:t>
            </w:r>
            <w:r w:rsidRPr="006A179A">
              <w:rPr>
                <w:rFonts w:ascii="Calibri" w:hAnsi="Calibri" w:cs="Calibri"/>
                <w:noProof/>
                <w:lang w:val="en-IE"/>
              </w:rPr>
              <w:t> </w:t>
            </w:r>
            <w:r w:rsidRPr="006A179A">
              <w:rPr>
                <w:noProof/>
                <w:lang w:val="en-IE"/>
              </w:rPr>
              <w:t>– metal dismantled from reactor buildings and components (tonnes)</w:t>
            </w:r>
          </w:p>
        </w:tc>
        <w:tc>
          <w:tcPr>
            <w:tcW w:w="1100" w:type="dxa"/>
          </w:tcPr>
          <w:p w14:paraId="0CBDD323" w14:textId="77777777" w:rsidR="0022213D" w:rsidRPr="006A179A" w:rsidRDefault="0022213D" w:rsidP="0083214A">
            <w:pPr>
              <w:jc w:val="center"/>
              <w:rPr>
                <w:noProof/>
                <w:lang w:val="en-IE"/>
              </w:rPr>
            </w:pPr>
            <w:r w:rsidRPr="006A179A">
              <w:rPr>
                <w:noProof/>
                <w:lang w:val="en-IE"/>
              </w:rPr>
              <w:t>0</w:t>
            </w:r>
          </w:p>
        </w:tc>
        <w:tc>
          <w:tcPr>
            <w:tcW w:w="1526" w:type="dxa"/>
          </w:tcPr>
          <w:p w14:paraId="695996DB" w14:textId="77777777" w:rsidR="0022213D" w:rsidRPr="006A179A" w:rsidRDefault="0022213D" w:rsidP="0083214A">
            <w:pPr>
              <w:jc w:val="center"/>
              <w:rPr>
                <w:b/>
                <w:noProof/>
                <w:lang w:val="en-IE"/>
              </w:rPr>
            </w:pPr>
            <w:r w:rsidRPr="006A179A">
              <w:rPr>
                <w:b/>
                <w:noProof/>
                <w:lang w:val="en-IE"/>
              </w:rPr>
              <w:t>9%</w:t>
            </w:r>
          </w:p>
        </w:tc>
        <w:tc>
          <w:tcPr>
            <w:tcW w:w="1532" w:type="dxa"/>
          </w:tcPr>
          <w:p w14:paraId="2CFD4680" w14:textId="77777777" w:rsidR="0022213D" w:rsidRPr="006A179A" w:rsidRDefault="0022213D" w:rsidP="0083214A">
            <w:pPr>
              <w:jc w:val="center"/>
              <w:rPr>
                <w:noProof/>
                <w:lang w:val="en-IE"/>
              </w:rPr>
            </w:pPr>
            <w:r w:rsidRPr="006A179A">
              <w:rPr>
                <w:noProof/>
                <w:lang w:val="en-IE"/>
              </w:rPr>
              <w:t>31</w:t>
            </w:r>
            <w:r w:rsidRPr="006A179A">
              <w:rPr>
                <w:rFonts w:ascii="Calibri" w:hAnsi="Calibri" w:cs="Calibri"/>
                <w:noProof/>
                <w:lang w:val="en-IE"/>
              </w:rPr>
              <w:t> </w:t>
            </w:r>
            <w:r w:rsidRPr="006A179A">
              <w:rPr>
                <w:noProof/>
                <w:lang w:val="en-IE"/>
              </w:rPr>
              <w:t>792 in 2026</w:t>
            </w:r>
          </w:p>
        </w:tc>
        <w:tc>
          <w:tcPr>
            <w:tcW w:w="1572" w:type="dxa"/>
          </w:tcPr>
          <w:p w14:paraId="0B866183" w14:textId="77777777" w:rsidR="0022213D" w:rsidRPr="006A179A" w:rsidRDefault="0022213D" w:rsidP="0083214A">
            <w:pPr>
              <w:jc w:val="center"/>
              <w:rPr>
                <w:noProof/>
                <w:lang w:val="en-IE"/>
              </w:rPr>
            </w:pPr>
            <w:r w:rsidRPr="006A179A">
              <w:rPr>
                <w:noProof/>
                <w:lang w:val="en-IE"/>
              </w:rPr>
              <w:t>2</w:t>
            </w:r>
            <w:r w:rsidRPr="006A179A">
              <w:rPr>
                <w:rFonts w:ascii="Calibri" w:hAnsi="Calibri" w:cs="Calibri"/>
                <w:noProof/>
                <w:lang w:val="en-IE"/>
              </w:rPr>
              <w:t> </w:t>
            </w:r>
            <w:r w:rsidRPr="006A179A">
              <w:rPr>
                <w:noProof/>
                <w:lang w:val="en-IE"/>
              </w:rPr>
              <w:t>951 compared to 31</w:t>
            </w:r>
            <w:r w:rsidRPr="006A179A">
              <w:rPr>
                <w:rFonts w:ascii="Calibri" w:hAnsi="Calibri" w:cs="Calibri"/>
                <w:noProof/>
                <w:lang w:val="en-IE"/>
              </w:rPr>
              <w:t> </w:t>
            </w:r>
            <w:r w:rsidRPr="006A179A">
              <w:rPr>
                <w:noProof/>
                <w:lang w:val="en-IE"/>
              </w:rPr>
              <w:t>792</w:t>
            </w:r>
          </w:p>
        </w:tc>
        <w:tc>
          <w:tcPr>
            <w:tcW w:w="1579" w:type="dxa"/>
          </w:tcPr>
          <w:p w14:paraId="3D579D3B" w14:textId="77777777" w:rsidR="0022213D" w:rsidRPr="006A179A" w:rsidRDefault="0022213D" w:rsidP="0083214A">
            <w:pPr>
              <w:jc w:val="center"/>
              <w:rPr>
                <w:noProof/>
                <w:lang w:val="en-IE"/>
              </w:rPr>
            </w:pPr>
            <w:r w:rsidRPr="006A179A">
              <w:rPr>
                <w:noProof/>
                <w:lang w:val="en-IE"/>
              </w:rPr>
              <w:t>On track</w:t>
            </w:r>
          </w:p>
        </w:tc>
      </w:tr>
      <w:tr w:rsidR="0022213D" w:rsidRPr="006A179A" w14:paraId="6A56B8FD"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25176AEF" w14:textId="77777777" w:rsidR="0022213D" w:rsidRPr="006A179A" w:rsidRDefault="0022213D" w:rsidP="0083214A">
            <w:pPr>
              <w:rPr>
                <w:noProof/>
                <w:lang w:val="en-IE"/>
              </w:rPr>
            </w:pPr>
            <w:r w:rsidRPr="006A179A">
              <w:rPr>
                <w:noProof/>
                <w:lang w:val="en-IE"/>
              </w:rPr>
              <w:t>JRC Ispra</w:t>
            </w:r>
            <w:r w:rsidRPr="006A179A">
              <w:rPr>
                <w:rFonts w:ascii="Calibri" w:hAnsi="Calibri" w:cs="Calibri"/>
                <w:noProof/>
                <w:lang w:val="en-IE"/>
              </w:rPr>
              <w:t> </w:t>
            </w:r>
            <w:r w:rsidRPr="006A179A">
              <w:rPr>
                <w:noProof/>
                <w:lang w:val="en-IE"/>
              </w:rPr>
              <w:t>– radioactive waste processed (tonnes)</w:t>
            </w:r>
          </w:p>
        </w:tc>
        <w:tc>
          <w:tcPr>
            <w:tcW w:w="1100" w:type="dxa"/>
          </w:tcPr>
          <w:p w14:paraId="0E6E0C26" w14:textId="77777777" w:rsidR="0022213D" w:rsidRPr="006A179A" w:rsidRDefault="0022213D" w:rsidP="0083214A">
            <w:pPr>
              <w:jc w:val="center"/>
              <w:rPr>
                <w:noProof/>
                <w:lang w:val="en-IE"/>
              </w:rPr>
            </w:pPr>
            <w:r>
              <w:rPr>
                <w:noProof/>
                <w:lang w:val="en-IE"/>
              </w:rPr>
              <w:t>0</w:t>
            </w:r>
          </w:p>
        </w:tc>
        <w:tc>
          <w:tcPr>
            <w:tcW w:w="1526" w:type="dxa"/>
          </w:tcPr>
          <w:p w14:paraId="2ED4BF8F" w14:textId="77777777" w:rsidR="0022213D" w:rsidRPr="006A179A" w:rsidRDefault="0022213D" w:rsidP="0083214A">
            <w:pPr>
              <w:jc w:val="center"/>
              <w:rPr>
                <w:b/>
                <w:noProof/>
                <w:lang w:val="en-IE"/>
              </w:rPr>
            </w:pPr>
            <w:r w:rsidRPr="006A179A">
              <w:rPr>
                <w:b/>
                <w:noProof/>
                <w:lang w:val="en-IE"/>
              </w:rPr>
              <w:t>5%</w:t>
            </w:r>
          </w:p>
        </w:tc>
        <w:tc>
          <w:tcPr>
            <w:tcW w:w="1532" w:type="dxa"/>
          </w:tcPr>
          <w:p w14:paraId="32C59BCE" w14:textId="77777777" w:rsidR="0022213D" w:rsidRPr="006A179A" w:rsidRDefault="0022213D" w:rsidP="0083214A">
            <w:pPr>
              <w:jc w:val="center"/>
              <w:rPr>
                <w:noProof/>
                <w:lang w:val="en-IE"/>
              </w:rPr>
            </w:pPr>
            <w:r w:rsidRPr="006A179A">
              <w:rPr>
                <w:noProof/>
                <w:lang w:val="en-IE"/>
              </w:rPr>
              <w:t>3</w:t>
            </w:r>
            <w:r w:rsidRPr="006A179A">
              <w:rPr>
                <w:rFonts w:ascii="Calibri" w:hAnsi="Calibri" w:cs="Calibri"/>
                <w:noProof/>
                <w:lang w:val="en-IE"/>
              </w:rPr>
              <w:t> </w:t>
            </w:r>
            <w:r w:rsidRPr="006A179A">
              <w:rPr>
                <w:noProof/>
                <w:lang w:val="en-IE"/>
              </w:rPr>
              <w:t>725 in 2027</w:t>
            </w:r>
          </w:p>
        </w:tc>
        <w:tc>
          <w:tcPr>
            <w:tcW w:w="1572" w:type="dxa"/>
          </w:tcPr>
          <w:p w14:paraId="61F6F2EB" w14:textId="77777777" w:rsidR="0022213D" w:rsidRPr="006A179A" w:rsidRDefault="0022213D" w:rsidP="0083214A">
            <w:pPr>
              <w:jc w:val="center"/>
              <w:rPr>
                <w:noProof/>
                <w:lang w:val="en-IE"/>
              </w:rPr>
            </w:pPr>
            <w:r w:rsidRPr="006A179A">
              <w:rPr>
                <w:noProof/>
                <w:lang w:val="en-IE"/>
              </w:rPr>
              <w:t>198 compared to 3</w:t>
            </w:r>
            <w:r w:rsidRPr="006A179A">
              <w:rPr>
                <w:rFonts w:ascii="Calibri" w:hAnsi="Calibri" w:cs="Calibri"/>
                <w:noProof/>
                <w:lang w:val="en-IE"/>
              </w:rPr>
              <w:t> </w:t>
            </w:r>
            <w:r w:rsidRPr="006A179A">
              <w:rPr>
                <w:noProof/>
                <w:lang w:val="en-IE"/>
              </w:rPr>
              <w:t>725</w:t>
            </w:r>
          </w:p>
        </w:tc>
        <w:tc>
          <w:tcPr>
            <w:tcW w:w="1579" w:type="dxa"/>
          </w:tcPr>
          <w:p w14:paraId="59D20D57" w14:textId="77777777" w:rsidR="0022213D" w:rsidRPr="006A179A" w:rsidRDefault="0022213D" w:rsidP="0083214A">
            <w:pPr>
              <w:jc w:val="center"/>
              <w:rPr>
                <w:noProof/>
                <w:lang w:val="en-IE"/>
              </w:rPr>
            </w:pPr>
            <w:r w:rsidRPr="006A179A">
              <w:rPr>
                <w:noProof/>
                <w:lang w:val="en-IE"/>
              </w:rPr>
              <w:t>On track</w:t>
            </w:r>
          </w:p>
        </w:tc>
      </w:tr>
    </w:tbl>
    <w:p w14:paraId="1C03C1D1" w14:textId="77777777" w:rsidR="0022213D" w:rsidRPr="006A179A" w:rsidRDefault="0022213D" w:rsidP="0022213D">
      <w:pPr>
        <w:pStyle w:val="FootnoteText"/>
        <w:spacing w:before="120"/>
        <w:rPr>
          <w:noProof/>
          <w:lang w:val="en-IE"/>
        </w:rPr>
      </w:pPr>
      <w:r w:rsidRPr="006A179A">
        <w:rPr>
          <w:noProof/>
          <w:lang w:val="en-IE"/>
        </w:rPr>
        <w:t>(*) % of target achieved by the end of 2021.</w:t>
      </w:r>
    </w:p>
    <w:p w14:paraId="572F24B9" w14:textId="77777777" w:rsidR="0022213D" w:rsidRPr="006A179A" w:rsidRDefault="0022213D" w:rsidP="0022213D">
      <w:pPr>
        <w:pStyle w:val="FootnoteText"/>
        <w:rPr>
          <w:noProof/>
          <w:color w:val="BBB931"/>
          <w:lang w:val="en-IE"/>
        </w:rPr>
      </w:pPr>
    </w:p>
    <w:p w14:paraId="46A0B715" w14:textId="77777777" w:rsidR="0022213D" w:rsidRPr="006A179A" w:rsidRDefault="0022213D" w:rsidP="0022213D">
      <w:pPr>
        <w:pStyle w:val="ppoListHyphened-L1"/>
        <w:rPr>
          <w:noProof/>
          <w:lang w:val="en-IE"/>
        </w:rPr>
      </w:pPr>
      <w:r w:rsidRPr="006A179A">
        <w:rPr>
          <w:noProof/>
          <w:lang w:val="en-IE"/>
        </w:rPr>
        <w:t xml:space="preserve">Despite some delays at the beginning of the implementation, the </w:t>
      </w:r>
      <w:r w:rsidRPr="00734658">
        <w:rPr>
          <w:noProof/>
          <w:lang w:val="en-IE"/>
        </w:rPr>
        <w:t>Kozloduy programme</w:t>
      </w:r>
      <w:r w:rsidRPr="006A179A">
        <w:rPr>
          <w:noProof/>
          <w:lang w:val="en-IE"/>
        </w:rPr>
        <w:t xml:space="preserve"> is making good progress with the dismantling and radioactive waste management. However, the </w:t>
      </w:r>
      <w:r w:rsidRPr="006A179A">
        <w:rPr>
          <w:noProof/>
          <w:szCs w:val="24"/>
          <w:lang w:val="en-IE"/>
        </w:rPr>
        <w:t>lagging rate of implementation in key projects and the complex interdependency of the activities on the critical path point to an increased risk of delay in the overall programme.</w:t>
      </w:r>
    </w:p>
    <w:p w14:paraId="1E9C6D5C" w14:textId="77777777" w:rsidR="0022213D" w:rsidRPr="006A179A" w:rsidRDefault="0022213D" w:rsidP="0022213D">
      <w:pPr>
        <w:pStyle w:val="ppoListHyphened-L1"/>
        <w:rPr>
          <w:noProof/>
          <w:lang w:val="en-IE"/>
        </w:rPr>
      </w:pPr>
      <w:r w:rsidRPr="006A179A">
        <w:rPr>
          <w:noProof/>
          <w:lang w:val="en-IE"/>
        </w:rPr>
        <w:t xml:space="preserve">The programme has received the necessary equipment and is prepared for the decontamination and dismantling of the reactors’ main pipes, pumps and valves. The programme also made progress in dismantling the auxiliary buildings. The plasma melting facility is now in industrial operation and the construction works are underway for the national disposal facility, which will receive large quantities of radioactive waste from 2024. </w:t>
      </w:r>
    </w:p>
    <w:p w14:paraId="721C15E5" w14:textId="77777777" w:rsidR="0022213D" w:rsidRPr="006A179A" w:rsidRDefault="0022213D" w:rsidP="0022213D">
      <w:pPr>
        <w:pStyle w:val="ppoListHyphened-L1"/>
        <w:rPr>
          <w:noProof/>
          <w:lang w:val="en-IE"/>
        </w:rPr>
      </w:pPr>
      <w:r w:rsidRPr="006A179A">
        <w:rPr>
          <w:noProof/>
          <w:lang w:val="en-IE"/>
        </w:rPr>
        <w:t>The similar designs of the Kozloduy and Bohunice reactors provide an opportunity to share experiences, methods and tools, thus reducing risks and cost. The decontamination of the primary circuits of Kozloduy followed the experience from Bohunice, by reusing the decontamination equipment transported from the Bohunice site.</w:t>
      </w:r>
    </w:p>
    <w:p w14:paraId="3A80EA3A" w14:textId="77777777" w:rsidR="0022213D" w:rsidRPr="006A179A" w:rsidRDefault="0022213D" w:rsidP="0022213D">
      <w:pPr>
        <w:pStyle w:val="ppoListHyphened-L1"/>
        <w:rPr>
          <w:noProof/>
          <w:lang w:val="en-IE"/>
        </w:rPr>
      </w:pPr>
      <w:r w:rsidRPr="006A179A">
        <w:rPr>
          <w:noProof/>
          <w:lang w:val="en-IE"/>
        </w:rPr>
        <w:t>In accordance with the updated performance baseline, the completion date of the Kozloduy programme remains 2030. However, the risk of postponement of the end date of the overall programme is increasing, as some key projects are delayed or at high risk of being delayed. For this reason, the Commission has requested a stress-test of the overall schedule, including the identification of risks and mitigation measures.</w:t>
      </w:r>
    </w:p>
    <w:p w14:paraId="7EA68C9B" w14:textId="77777777" w:rsidR="0022213D" w:rsidRPr="006A179A" w:rsidRDefault="0022213D" w:rsidP="0022213D">
      <w:pPr>
        <w:pStyle w:val="ppoListHyphened-L1"/>
        <w:rPr>
          <w:noProof/>
          <w:lang w:val="en-IE"/>
        </w:rPr>
      </w:pPr>
      <w:r w:rsidRPr="006A179A">
        <w:rPr>
          <w:noProof/>
          <w:lang w:val="en-IE"/>
        </w:rPr>
        <w:t xml:space="preserve">The </w:t>
      </w:r>
      <w:r w:rsidRPr="00734658">
        <w:rPr>
          <w:noProof/>
          <w:lang w:val="en-IE"/>
        </w:rPr>
        <w:t>Bohunice programme</w:t>
      </w:r>
      <w:r w:rsidRPr="006A179A">
        <w:rPr>
          <w:noProof/>
          <w:lang w:val="en-IE"/>
        </w:rPr>
        <w:t xml:space="preserve"> has entered the last phase of the decommissioning process. The dismantling of the large components in the reactor building is underway. After the removal of all steam generators, the decommissioning operator began the segmentation and packaging of the reactor’s pressure vessels, where the nuclear core was enclosed. </w:t>
      </w:r>
    </w:p>
    <w:p w14:paraId="566D18D5" w14:textId="77777777" w:rsidR="0022213D" w:rsidRPr="006A179A" w:rsidRDefault="0022213D" w:rsidP="0022213D">
      <w:pPr>
        <w:pStyle w:val="ppoListHyphened-L1"/>
        <w:rPr>
          <w:noProof/>
          <w:lang w:val="en-IE"/>
        </w:rPr>
      </w:pPr>
      <w:r w:rsidRPr="006A179A">
        <w:rPr>
          <w:noProof/>
          <w:lang w:val="en-IE"/>
        </w:rPr>
        <w:t>The decommissioning operator carried out a thorough review of the scheduling of the remaining tasks in Bohunice, which resulted in a modification in the end date of the programme from 2025 to 2027. This does not involve additional costs. The schedule remains very challenging and will need to be closely monitored.</w:t>
      </w:r>
    </w:p>
    <w:p w14:paraId="325E8D67" w14:textId="77777777" w:rsidR="0022213D" w:rsidRPr="006A179A" w:rsidRDefault="0022213D" w:rsidP="0022213D">
      <w:pPr>
        <w:pStyle w:val="ppoListHyphened-L1"/>
        <w:rPr>
          <w:noProof/>
          <w:lang w:val="en-IE"/>
        </w:rPr>
      </w:pPr>
      <w:r w:rsidRPr="006A179A">
        <w:rPr>
          <w:noProof/>
          <w:lang w:val="en-IE"/>
        </w:rPr>
        <w:t xml:space="preserve">Regarding the disposal of very low and low radioactive waste, the results in 2021 are behind schedule. For the very low radioactive waste, the reason is the delay in the removal of concrete from the reactors’ shafts due to a necessary rescheduling of activities (with no impact in the critical path of the programme). In the case of the low radioactive waste, the delay is due to the higher volume of decontaminated metallic materials compared to the plan. </w:t>
      </w:r>
    </w:p>
    <w:p w14:paraId="70638314" w14:textId="77777777" w:rsidR="0022213D" w:rsidRPr="006A179A" w:rsidRDefault="0022213D" w:rsidP="0022213D">
      <w:pPr>
        <w:pStyle w:val="ppoListHyphened-L1"/>
        <w:rPr>
          <w:noProof/>
          <w:lang w:val="en-IE"/>
        </w:rPr>
      </w:pPr>
      <w:r w:rsidRPr="006A179A">
        <w:rPr>
          <w:noProof/>
          <w:lang w:val="en-IE"/>
        </w:rPr>
        <w:t xml:space="preserve">The </w:t>
      </w:r>
      <w:r w:rsidRPr="00734658">
        <w:rPr>
          <w:noProof/>
          <w:lang w:val="en-IE"/>
        </w:rPr>
        <w:t>nuclear decommissioning and waste management programme of the JRC</w:t>
      </w:r>
      <w:r w:rsidRPr="006A179A">
        <w:rPr>
          <w:noProof/>
          <w:lang w:val="en-IE"/>
        </w:rPr>
        <w:t xml:space="preserve"> entails a complex set of specific activities and projects. Various levels of advancement/implementation characterise the situation at the JRC’s four nuclear sites.</w:t>
      </w:r>
    </w:p>
    <w:p w14:paraId="34A88E3A" w14:textId="77777777" w:rsidR="0022213D" w:rsidRPr="006A179A" w:rsidRDefault="0022213D" w:rsidP="0022213D">
      <w:pPr>
        <w:pStyle w:val="ppoListHyphened-L1"/>
        <w:rPr>
          <w:noProof/>
          <w:lang w:val="en-IE"/>
        </w:rPr>
      </w:pPr>
      <w:r w:rsidRPr="006A179A">
        <w:rPr>
          <w:noProof/>
          <w:lang w:val="en-IE"/>
        </w:rPr>
        <w:t>During the 2021-2027 period, Ispra will be the main site for the JRC decommissioning and waste management activities. The objectives include safe conservation, pre-decommissioning, decommissioning and waste management targets covering a variety of obsolete large installations and waste batches.</w:t>
      </w:r>
    </w:p>
    <w:p w14:paraId="41651991" w14:textId="77777777" w:rsidR="0022213D" w:rsidRPr="006A179A" w:rsidRDefault="0022213D" w:rsidP="0022213D">
      <w:pPr>
        <w:pStyle w:val="ppoListHyphened-L1"/>
        <w:rPr>
          <w:b/>
          <w:bCs/>
          <w:noProof/>
          <w:lang w:val="en-IE"/>
        </w:rPr>
      </w:pPr>
      <w:r w:rsidRPr="006A179A">
        <w:rPr>
          <w:noProof/>
          <w:lang w:val="en-IE"/>
        </w:rPr>
        <w:t>The COVID-19 pandemic and other unanticipated circumstances</w:t>
      </w:r>
      <w:r w:rsidRPr="006A179A">
        <w:rPr>
          <w:rFonts w:ascii="Calibri" w:hAnsi="Calibri" w:cs="Calibri"/>
          <w:noProof/>
          <w:lang w:val="en-IE"/>
        </w:rPr>
        <w:t> –</w:t>
      </w:r>
      <w:r w:rsidRPr="006A179A">
        <w:rPr>
          <w:noProof/>
          <w:lang w:val="en-IE"/>
        </w:rPr>
        <w:t xml:space="preserve"> such as the poor performance of the selected contractor of the grouting station</w:t>
      </w:r>
      <w:r w:rsidRPr="006A179A">
        <w:rPr>
          <w:rFonts w:ascii="Calibri" w:hAnsi="Calibri" w:cs="Calibri"/>
          <w:noProof/>
          <w:lang w:val="en-IE"/>
        </w:rPr>
        <w:t> –</w:t>
      </w:r>
      <w:r w:rsidRPr="006A179A">
        <w:rPr>
          <w:noProof/>
          <w:lang w:val="en-IE"/>
        </w:rPr>
        <w:t xml:space="preserve"> have impacted the construction of support facilities in Ispra. This will delay waste management and, eventually, decommissioning activities. Pre-decommissioning activities and license applications preparations continue to progress as planned in Ispra and the other sites with operating infrastructure.</w:t>
      </w:r>
    </w:p>
    <w:p w14:paraId="5E92A8FD" w14:textId="77777777" w:rsidR="0022213D" w:rsidRPr="006A179A" w:rsidRDefault="0022213D" w:rsidP="0022213D">
      <w:pPr>
        <w:pStyle w:val="ppoListHyphened-L1"/>
        <w:rPr>
          <w:noProof/>
          <w:lang w:val="en-IE"/>
        </w:rPr>
      </w:pPr>
      <w:r w:rsidRPr="006A179A">
        <w:rPr>
          <w:noProof/>
          <w:lang w:val="en-IE"/>
        </w:rPr>
        <w:t>For the other sites (Karlsruhe, Petten and Geel), the objectives are largely focused on legacy waste management, the dismantling of obsolete equipment and relatively small facilities and the definition of plans and teams to implement future decommissioning and waste management activities.</w:t>
      </w:r>
    </w:p>
    <w:p w14:paraId="3B69DF88" w14:textId="77777777" w:rsidR="0022213D" w:rsidRPr="006A179A" w:rsidRDefault="0022213D" w:rsidP="0022213D">
      <w:pPr>
        <w:pStyle w:val="ppoListHyphened-L1"/>
        <w:rPr>
          <w:noProof/>
          <w:lang w:val="en-IE"/>
        </w:rPr>
      </w:pPr>
      <w:r w:rsidRPr="006A179A">
        <w:rPr>
          <w:noProof/>
          <w:lang w:val="en-IE"/>
        </w:rPr>
        <w:t>In Karlsruhe, Petten and Geel, most nuclear facilities are in operation, performing nuclear research and development activities in the frame of the EURATOM research and training programme. Because of this, the decommissioning of large installations is not being implemented yet. No disused equipment or legacy radioactive waste has been removed, stored or disposed of in the operating sites of Geel, Karslruhe and Petten.</w:t>
      </w:r>
    </w:p>
    <w:p w14:paraId="67B13447" w14:textId="77777777" w:rsidR="0022213D" w:rsidRPr="006A179A" w:rsidRDefault="0022213D" w:rsidP="0022213D">
      <w:pPr>
        <w:pStyle w:val="ppoListHyphened-L1"/>
        <w:numPr>
          <w:ilvl w:val="0"/>
          <w:numId w:val="0"/>
        </w:numPr>
        <w:ind w:left="357"/>
        <w:rPr>
          <w:b/>
          <w:noProof/>
          <w:lang w:val="en-IE"/>
        </w:rPr>
      </w:pPr>
    </w:p>
    <w:p w14:paraId="142F79C3" w14:textId="77777777" w:rsidR="0022213D" w:rsidRPr="006A179A" w:rsidRDefault="0022213D" w:rsidP="0022213D">
      <w:pPr>
        <w:rPr>
          <w:rFonts w:eastAsiaTheme="majorEastAsia" w:cstheme="majorBidi"/>
          <w:noProof/>
          <w:color w:val="027CBB"/>
          <w:sz w:val="48"/>
          <w:szCs w:val="32"/>
          <w:lang w:val="en-IE" w:eastAsia="en-GB"/>
        </w:rPr>
      </w:pPr>
      <w:r w:rsidRPr="006A179A">
        <w:rPr>
          <w:noProof/>
          <w:lang w:val="en-IE"/>
        </w:rPr>
        <w:br w:type="page"/>
      </w:r>
    </w:p>
    <w:p w14:paraId="7C5EEBE1" w14:textId="77777777" w:rsidR="0022213D" w:rsidRPr="006A179A" w:rsidRDefault="0022213D" w:rsidP="0022213D">
      <w:pPr>
        <w:pStyle w:val="ppoHeading4Blue"/>
        <w:rPr>
          <w:noProof/>
          <w:lang w:val="en-IE"/>
        </w:rPr>
      </w:pPr>
      <w:r w:rsidRPr="006A179A">
        <w:rPr>
          <w:noProof/>
          <w:lang w:val="en-IE"/>
        </w:rPr>
        <w:t>MULTIANNUAL FINANCIAL FRAMEWORK 2014-2020</w:t>
      </w:r>
      <w:r w:rsidRPr="006A179A">
        <w:rPr>
          <w:rFonts w:ascii="Calibri" w:hAnsi="Calibri" w:cs="Calibri"/>
          <w:noProof/>
          <w:lang w:val="en-IE"/>
        </w:rPr>
        <w:t> –</w:t>
      </w:r>
      <w:r w:rsidRPr="006A179A">
        <w:rPr>
          <w:noProof/>
          <w:lang w:val="en-IE"/>
        </w:rPr>
        <w:t xml:space="preserve"> NUCLEAR DECOMMISSIONING ASSISTANCE PROGRAMMES IN BULGARIA </w:t>
      </w:r>
      <w:r>
        <w:rPr>
          <w:noProof/>
          <w:lang w:val="en-IE"/>
        </w:rPr>
        <w:t>AND</w:t>
      </w:r>
      <w:r w:rsidRPr="006A179A">
        <w:rPr>
          <w:noProof/>
          <w:lang w:val="en-IE"/>
        </w:rPr>
        <w:t xml:space="preserve"> SLOVAKIA</w:t>
      </w:r>
    </w:p>
    <w:p w14:paraId="608BFFDC" w14:textId="77777777" w:rsidR="0022213D" w:rsidRPr="006A179A" w:rsidRDefault="0022213D" w:rsidP="0022213D">
      <w:pPr>
        <w:rPr>
          <w:rFonts w:eastAsiaTheme="minorEastAsia"/>
          <w:noProof/>
          <w:lang w:val="en-IE"/>
        </w:rPr>
      </w:pPr>
      <w:r w:rsidRPr="006A179A">
        <w:rPr>
          <w:rFonts w:eastAsiaTheme="minorEastAsia"/>
          <w:noProof/>
          <w:lang w:val="en-IE"/>
        </w:rPr>
        <w:t xml:space="preserve">The programme </w:t>
      </w:r>
      <w:r w:rsidRPr="006A179A">
        <w:rPr>
          <w:noProof/>
          <w:lang w:val="en-IE"/>
        </w:rPr>
        <w:t>provides funding for the decommissioning of the nuclear facilities of Kozloduy and Bohunice and the management of radioactive waste.</w:t>
      </w:r>
    </w:p>
    <w:p w14:paraId="75E39520" w14:textId="77777777" w:rsidR="0022213D" w:rsidRPr="006A179A" w:rsidRDefault="0022213D" w:rsidP="0022213D">
      <w:pPr>
        <w:pStyle w:val="ppoHeading5"/>
        <w:rPr>
          <w:noProof/>
          <w:lang w:val="en-IE"/>
        </w:rPr>
      </w:pPr>
      <w:r w:rsidRPr="006A179A">
        <w:rPr>
          <w:noProof/>
          <w:lang w:val="en-IE"/>
        </w:rPr>
        <w:t xml:space="preserve">Budget </w:t>
      </w:r>
      <w:r>
        <w:rPr>
          <w:noProof/>
          <w:lang w:val="en-IE"/>
        </w:rPr>
        <w:t>i</w:t>
      </w:r>
      <w:r w:rsidRPr="006A179A">
        <w:rPr>
          <w:noProof/>
          <w:lang w:val="en-IE"/>
        </w:rPr>
        <w:t>mplementation</w:t>
      </w:r>
    </w:p>
    <w:p w14:paraId="36DCF6A5" w14:textId="77777777" w:rsidR="0022213D" w:rsidRPr="006A179A" w:rsidRDefault="0022213D" w:rsidP="0022213D">
      <w:pPr>
        <w:pStyle w:val="ppoTableTabletitle"/>
        <w:rPr>
          <w:noProof/>
          <w:lang w:val="en-IE"/>
        </w:rPr>
      </w:pPr>
      <w:r w:rsidRPr="006A179A">
        <w:rPr>
          <w:noProof/>
          <w:lang w:val="en-IE"/>
        </w:rPr>
        <w:t>Cumulative implementation rate at the end of 2021 (EUR million):</w:t>
      </w:r>
    </w:p>
    <w:tbl>
      <w:tblPr>
        <w:tblStyle w:val="PPO2021"/>
        <w:tblW w:w="9639" w:type="dxa"/>
        <w:tblInd w:w="0" w:type="dxa"/>
        <w:tblLook w:val="06A0" w:firstRow="1" w:lastRow="0" w:firstColumn="1" w:lastColumn="0" w:noHBand="1" w:noVBand="1"/>
      </w:tblPr>
      <w:tblGrid>
        <w:gridCol w:w="2409"/>
        <w:gridCol w:w="2410"/>
        <w:gridCol w:w="2410"/>
        <w:gridCol w:w="2410"/>
      </w:tblGrid>
      <w:tr w:rsidR="0022213D" w:rsidRPr="006A179A" w14:paraId="4B7CD0C0" w14:textId="77777777" w:rsidTr="008321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55EEE1E5" w14:textId="77777777" w:rsidR="0022213D" w:rsidRPr="006A179A" w:rsidRDefault="0022213D" w:rsidP="0083214A">
            <w:pPr>
              <w:rPr>
                <w:noProof/>
                <w:lang w:val="en-IE"/>
              </w:rPr>
            </w:pPr>
          </w:p>
        </w:tc>
        <w:tc>
          <w:tcPr>
            <w:tcW w:w="2410" w:type="dxa"/>
          </w:tcPr>
          <w:p w14:paraId="485CF2BF" w14:textId="77777777" w:rsidR="0022213D" w:rsidRPr="006A179A" w:rsidRDefault="0022213D" w:rsidP="0083214A">
            <w:pPr>
              <w:cnfStyle w:val="100000000000" w:firstRow="1" w:lastRow="0" w:firstColumn="0" w:lastColumn="0" w:oddVBand="0" w:evenVBand="0" w:oddHBand="0" w:evenHBand="0" w:firstRowFirstColumn="0" w:firstRowLastColumn="0" w:lastRowFirstColumn="0" w:lastRowLastColumn="0"/>
              <w:rPr>
                <w:noProof/>
                <w:lang w:val="en-IE"/>
              </w:rPr>
            </w:pPr>
            <w:r w:rsidRPr="006A179A">
              <w:rPr>
                <w:noProof/>
                <w:lang w:val="en-IE"/>
              </w:rPr>
              <w:t>Implementation</w:t>
            </w:r>
          </w:p>
        </w:tc>
        <w:tc>
          <w:tcPr>
            <w:tcW w:w="2410" w:type="dxa"/>
          </w:tcPr>
          <w:p w14:paraId="30D95A16" w14:textId="77777777" w:rsidR="0022213D" w:rsidRPr="006A179A" w:rsidRDefault="0022213D" w:rsidP="0083214A">
            <w:pPr>
              <w:cnfStyle w:val="100000000000" w:firstRow="1" w:lastRow="0" w:firstColumn="0" w:lastColumn="0" w:oddVBand="0" w:evenVBand="0" w:oddHBand="0" w:evenHBand="0" w:firstRowFirstColumn="0" w:firstRowLastColumn="0" w:lastRowFirstColumn="0" w:lastRowLastColumn="0"/>
              <w:rPr>
                <w:noProof/>
                <w:lang w:val="en-IE"/>
              </w:rPr>
            </w:pPr>
            <w:r w:rsidRPr="006A179A">
              <w:rPr>
                <w:noProof/>
                <w:lang w:val="en-IE"/>
              </w:rPr>
              <w:t>Budget</w:t>
            </w:r>
          </w:p>
        </w:tc>
        <w:tc>
          <w:tcPr>
            <w:tcW w:w="2410" w:type="dxa"/>
          </w:tcPr>
          <w:p w14:paraId="1D61C986" w14:textId="77777777" w:rsidR="0022213D" w:rsidRPr="006A179A" w:rsidRDefault="0022213D" w:rsidP="0083214A">
            <w:pPr>
              <w:cnfStyle w:val="100000000000" w:firstRow="1" w:lastRow="0" w:firstColumn="0" w:lastColumn="0" w:oddVBand="0" w:evenVBand="0" w:oddHBand="0" w:evenHBand="0" w:firstRowFirstColumn="0" w:firstRowLastColumn="0" w:lastRowFirstColumn="0" w:lastRowLastColumn="0"/>
              <w:rPr>
                <w:noProof/>
                <w:lang w:val="en-IE"/>
              </w:rPr>
            </w:pPr>
            <w:r w:rsidRPr="006A179A">
              <w:rPr>
                <w:noProof/>
                <w:lang w:val="en-IE"/>
              </w:rPr>
              <w:t>Implementation rate</w:t>
            </w:r>
          </w:p>
        </w:tc>
      </w:tr>
      <w:tr w:rsidR="0022213D" w:rsidRPr="006A179A" w14:paraId="5E4CF12D"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0E614300" w14:textId="77777777" w:rsidR="0022213D" w:rsidRPr="006A179A" w:rsidRDefault="0022213D" w:rsidP="0083214A">
            <w:pPr>
              <w:jc w:val="center"/>
              <w:rPr>
                <w:noProof/>
                <w:lang w:val="en-IE"/>
              </w:rPr>
            </w:pPr>
            <w:r w:rsidRPr="006A179A">
              <w:rPr>
                <w:noProof/>
                <w:lang w:val="en-IE"/>
              </w:rPr>
              <w:t>Commitment</w:t>
            </w:r>
          </w:p>
        </w:tc>
        <w:tc>
          <w:tcPr>
            <w:tcW w:w="2410" w:type="dxa"/>
          </w:tcPr>
          <w:tbl>
            <w:tblPr>
              <w:tblStyle w:val="TableGrid"/>
              <w:tblW w:w="0" w:type="auto"/>
              <w:tblLook w:val="06A0" w:firstRow="1" w:lastRow="0" w:firstColumn="1" w:lastColumn="0" w:noHBand="1" w:noVBand="1"/>
            </w:tblPr>
            <w:tblGrid>
              <w:gridCol w:w="2194"/>
            </w:tblGrid>
            <w:tr w:rsidR="0022213D" w:rsidRPr="006A179A" w14:paraId="662B871D" w14:textId="77777777" w:rsidTr="0083214A">
              <w:trPr>
                <w:trHeight w:val="285"/>
              </w:trPr>
              <w:tc>
                <w:tcPr>
                  <w:tcW w:w="2290" w:type="dxa"/>
                  <w:tcBorders>
                    <w:top w:val="nil"/>
                    <w:left w:val="nil"/>
                    <w:bottom w:val="nil"/>
                    <w:right w:val="nil"/>
                  </w:tcBorders>
                  <w:vAlign w:val="bottom"/>
                </w:tcPr>
                <w:p w14:paraId="44540408" w14:textId="77777777" w:rsidR="0022213D" w:rsidRPr="006A179A" w:rsidRDefault="0022213D" w:rsidP="0083214A">
                  <w:pPr>
                    <w:jc w:val="right"/>
                    <w:rPr>
                      <w:noProof/>
                      <w:lang w:val="en-IE"/>
                    </w:rPr>
                  </w:pPr>
                  <w:r w:rsidRPr="006A179A">
                    <w:rPr>
                      <w:rFonts w:ascii="Calibri" w:hAnsi="Calibri" w:cs="Calibri"/>
                      <w:noProof/>
                      <w:color w:val="000000"/>
                      <w:lang w:val="en-IE"/>
                    </w:rPr>
                    <w:t>518.4</w:t>
                  </w:r>
                </w:p>
              </w:tc>
            </w:tr>
          </w:tbl>
          <w:p w14:paraId="2EEB4611" w14:textId="77777777" w:rsidR="0022213D" w:rsidRPr="006A179A" w:rsidRDefault="0022213D"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22213D" w:rsidRPr="006A179A" w14:paraId="7B5F9890" w14:textId="77777777" w:rsidTr="0083214A">
              <w:trPr>
                <w:trHeight w:val="285"/>
              </w:trPr>
              <w:tc>
                <w:tcPr>
                  <w:tcW w:w="2290" w:type="dxa"/>
                  <w:tcBorders>
                    <w:top w:val="nil"/>
                    <w:left w:val="nil"/>
                    <w:bottom w:val="nil"/>
                    <w:right w:val="nil"/>
                  </w:tcBorders>
                  <w:vAlign w:val="bottom"/>
                </w:tcPr>
                <w:p w14:paraId="12EBCE8C" w14:textId="77777777" w:rsidR="0022213D" w:rsidRPr="006A179A" w:rsidRDefault="0022213D" w:rsidP="0083214A">
                  <w:pPr>
                    <w:jc w:val="right"/>
                    <w:rPr>
                      <w:noProof/>
                      <w:lang w:val="en-IE"/>
                    </w:rPr>
                  </w:pPr>
                  <w:r w:rsidRPr="006A179A">
                    <w:rPr>
                      <w:rFonts w:ascii="Calibri" w:hAnsi="Calibri" w:cs="Calibri"/>
                      <w:noProof/>
                      <w:color w:val="000000"/>
                      <w:lang w:val="en-IE"/>
                    </w:rPr>
                    <w:t>518.4</w:t>
                  </w:r>
                </w:p>
              </w:tc>
            </w:tr>
          </w:tbl>
          <w:p w14:paraId="1D6CC600" w14:textId="77777777" w:rsidR="0022213D" w:rsidRPr="006A179A" w:rsidRDefault="0022213D"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22213D" w:rsidRPr="006A179A" w14:paraId="73CC9806" w14:textId="77777777" w:rsidTr="0083214A">
              <w:trPr>
                <w:trHeight w:val="285"/>
              </w:trPr>
              <w:tc>
                <w:tcPr>
                  <w:tcW w:w="2290" w:type="dxa"/>
                  <w:tcBorders>
                    <w:top w:val="nil"/>
                    <w:left w:val="nil"/>
                    <w:bottom w:val="nil"/>
                    <w:right w:val="nil"/>
                  </w:tcBorders>
                  <w:vAlign w:val="bottom"/>
                </w:tcPr>
                <w:p w14:paraId="70F4A0E0" w14:textId="77777777" w:rsidR="0022213D" w:rsidRPr="006A179A" w:rsidRDefault="0022213D" w:rsidP="0083214A">
                  <w:pPr>
                    <w:jc w:val="right"/>
                    <w:rPr>
                      <w:noProof/>
                      <w:lang w:val="en-IE"/>
                    </w:rPr>
                  </w:pPr>
                  <w:r w:rsidRPr="006A179A">
                    <w:rPr>
                      <w:rFonts w:ascii="Calibri" w:hAnsi="Calibri" w:cs="Calibri"/>
                      <w:noProof/>
                      <w:color w:val="000000"/>
                      <w:lang w:val="en-IE"/>
                    </w:rPr>
                    <w:t>100%</w:t>
                  </w:r>
                </w:p>
              </w:tc>
            </w:tr>
          </w:tbl>
          <w:p w14:paraId="0AF118B1" w14:textId="77777777" w:rsidR="0022213D" w:rsidRPr="006A179A" w:rsidRDefault="0022213D"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r>
      <w:tr w:rsidR="0022213D" w:rsidRPr="006A179A" w14:paraId="450F6D79"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48CD3200" w14:textId="77777777" w:rsidR="0022213D" w:rsidRPr="006A179A" w:rsidRDefault="0022213D" w:rsidP="0083214A">
            <w:pPr>
              <w:jc w:val="center"/>
              <w:rPr>
                <w:noProof/>
                <w:lang w:val="en-IE"/>
              </w:rPr>
            </w:pPr>
            <w:r w:rsidRPr="006A179A">
              <w:rPr>
                <w:noProof/>
                <w:lang w:val="en-IE"/>
              </w:rPr>
              <w:t>Payments</w:t>
            </w:r>
          </w:p>
        </w:tc>
        <w:tc>
          <w:tcPr>
            <w:tcW w:w="2410" w:type="dxa"/>
          </w:tcPr>
          <w:tbl>
            <w:tblPr>
              <w:tblStyle w:val="TableGrid"/>
              <w:tblW w:w="0" w:type="auto"/>
              <w:tblLook w:val="06A0" w:firstRow="1" w:lastRow="0" w:firstColumn="1" w:lastColumn="0" w:noHBand="1" w:noVBand="1"/>
            </w:tblPr>
            <w:tblGrid>
              <w:gridCol w:w="2194"/>
            </w:tblGrid>
            <w:tr w:rsidR="0022213D" w:rsidRPr="006A179A" w14:paraId="4B33EADD" w14:textId="77777777" w:rsidTr="0083214A">
              <w:trPr>
                <w:trHeight w:val="285"/>
              </w:trPr>
              <w:tc>
                <w:tcPr>
                  <w:tcW w:w="2290" w:type="dxa"/>
                  <w:tcBorders>
                    <w:top w:val="nil"/>
                    <w:left w:val="nil"/>
                    <w:bottom w:val="nil"/>
                    <w:right w:val="nil"/>
                  </w:tcBorders>
                  <w:vAlign w:val="bottom"/>
                </w:tcPr>
                <w:p w14:paraId="0303FE00" w14:textId="77777777" w:rsidR="0022213D" w:rsidRPr="006A179A" w:rsidRDefault="0022213D" w:rsidP="0083214A">
                  <w:pPr>
                    <w:jc w:val="right"/>
                    <w:rPr>
                      <w:noProof/>
                      <w:lang w:val="en-IE"/>
                    </w:rPr>
                  </w:pPr>
                  <w:r w:rsidRPr="006A179A">
                    <w:rPr>
                      <w:rFonts w:ascii="Calibri" w:hAnsi="Calibri" w:cs="Calibri"/>
                      <w:noProof/>
                      <w:color w:val="000000"/>
                      <w:lang w:val="en-IE"/>
                    </w:rPr>
                    <w:t>313.6</w:t>
                  </w:r>
                </w:p>
              </w:tc>
            </w:tr>
          </w:tbl>
          <w:p w14:paraId="21C60837" w14:textId="77777777" w:rsidR="0022213D" w:rsidRPr="006A179A" w:rsidRDefault="0022213D"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p w14:paraId="4535EDFD" w14:textId="77777777" w:rsidR="0022213D" w:rsidRPr="006A179A" w:rsidRDefault="0022213D"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tblLook w:val="06A0" w:firstRow="1" w:lastRow="0" w:firstColumn="1" w:lastColumn="0" w:noHBand="1" w:noVBand="1"/>
            </w:tblPr>
            <w:tblGrid>
              <w:gridCol w:w="2194"/>
            </w:tblGrid>
            <w:tr w:rsidR="0022213D" w:rsidRPr="006A179A" w14:paraId="7D5000C7" w14:textId="77777777" w:rsidTr="0083214A">
              <w:trPr>
                <w:trHeight w:val="285"/>
              </w:trPr>
              <w:tc>
                <w:tcPr>
                  <w:tcW w:w="2235" w:type="dxa"/>
                  <w:tcBorders>
                    <w:top w:val="nil"/>
                    <w:left w:val="nil"/>
                    <w:bottom w:val="nil"/>
                    <w:right w:val="nil"/>
                  </w:tcBorders>
                  <w:vAlign w:val="bottom"/>
                </w:tcPr>
                <w:p w14:paraId="40F7CBBE" w14:textId="77777777" w:rsidR="0022213D" w:rsidRPr="006A179A" w:rsidRDefault="0022213D" w:rsidP="0083214A">
                  <w:pPr>
                    <w:jc w:val="right"/>
                    <w:rPr>
                      <w:noProof/>
                      <w:lang w:val="en-IE"/>
                    </w:rPr>
                  </w:pPr>
                  <w:r w:rsidRPr="006A179A">
                    <w:rPr>
                      <w:rFonts w:ascii="Calibri" w:hAnsi="Calibri" w:cs="Calibri"/>
                      <w:noProof/>
                      <w:color w:val="000000"/>
                      <w:lang w:val="en-IE"/>
                    </w:rPr>
                    <w:t>60%</w:t>
                  </w:r>
                </w:p>
              </w:tc>
            </w:tr>
          </w:tbl>
          <w:p w14:paraId="013ABA73" w14:textId="77777777" w:rsidR="0022213D" w:rsidRPr="006A179A" w:rsidRDefault="0022213D"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r>
    </w:tbl>
    <w:p w14:paraId="7BE78E6D" w14:textId="77777777" w:rsidR="0022213D" w:rsidRPr="006A179A" w:rsidRDefault="0022213D" w:rsidP="0022213D">
      <w:pPr>
        <w:pStyle w:val="ppoListHyphened-L1"/>
        <w:numPr>
          <w:ilvl w:val="0"/>
          <w:numId w:val="0"/>
        </w:numPr>
        <w:ind w:left="357"/>
        <w:rPr>
          <w:noProof/>
          <w:lang w:val="en-IE"/>
        </w:rPr>
      </w:pPr>
    </w:p>
    <w:p w14:paraId="7D4FDE3C" w14:textId="77777777" w:rsidR="0022213D" w:rsidRPr="006A179A" w:rsidRDefault="0022213D" w:rsidP="0022213D">
      <w:pPr>
        <w:pStyle w:val="ppoListHyphened-L1"/>
        <w:rPr>
          <w:noProof/>
          <w:lang w:val="en-IE"/>
        </w:rPr>
      </w:pPr>
      <w:r w:rsidRPr="006A179A">
        <w:rPr>
          <w:noProof/>
          <w:lang w:val="en-IE"/>
        </w:rPr>
        <w:t>The figures relate only to the past implementation of the Kozloduy and Bohunice programmes. The JRC decommissioning programme was performed under a different financial instrument until 2021 and is not reported here.</w:t>
      </w:r>
    </w:p>
    <w:p w14:paraId="7C0DA0B3" w14:textId="77777777" w:rsidR="0022213D" w:rsidRPr="006A179A" w:rsidRDefault="0022213D" w:rsidP="0022213D">
      <w:pPr>
        <w:pStyle w:val="ppoListHyphened-L1"/>
        <w:rPr>
          <w:noProof/>
          <w:lang w:val="en-IE"/>
        </w:rPr>
      </w:pPr>
      <w:r w:rsidRPr="006A179A">
        <w:rPr>
          <w:noProof/>
          <w:lang w:val="en-IE"/>
        </w:rPr>
        <w:t>Decommissioning projects are, in many cases, highly complex from the procurement and implementation point of view and extend over a long period of time. This explains the interval between the commitments and the payments of the programme.</w:t>
      </w:r>
    </w:p>
    <w:p w14:paraId="31DAEB70" w14:textId="77777777" w:rsidR="0022213D" w:rsidRPr="006A179A" w:rsidRDefault="0022213D" w:rsidP="0022213D">
      <w:pPr>
        <w:pStyle w:val="ppoListHyphened-L1"/>
        <w:rPr>
          <w:noProof/>
          <w:lang w:val="en-IE"/>
        </w:rPr>
      </w:pPr>
      <w:r w:rsidRPr="006A179A">
        <w:rPr>
          <w:noProof/>
          <w:lang w:val="en-IE"/>
        </w:rPr>
        <w:t>Nevertheless, when including the payments made during the 2014-2020 period on the 2007-2013 commitments, the total payments made for the Kozloduy and Bohunice programmes are EUR</w:t>
      </w:r>
      <w:r w:rsidRPr="006A179A">
        <w:rPr>
          <w:rFonts w:ascii="Calibri" w:hAnsi="Calibri" w:cs="Calibri"/>
          <w:noProof/>
          <w:lang w:val="en-IE"/>
        </w:rPr>
        <w:t> </w:t>
      </w:r>
      <w:r w:rsidRPr="006A179A">
        <w:rPr>
          <w:noProof/>
          <w:lang w:val="en-IE"/>
        </w:rPr>
        <w:t xml:space="preserve">859 million, which represents 166% of the committed amounts for the 2014-2020 period. </w:t>
      </w:r>
    </w:p>
    <w:p w14:paraId="3686FDA2" w14:textId="77777777" w:rsidR="0022213D" w:rsidRPr="006A179A" w:rsidRDefault="0022213D" w:rsidP="0022213D">
      <w:pPr>
        <w:pStyle w:val="ppoListHyphened-L1"/>
        <w:rPr>
          <w:noProof/>
          <w:lang w:val="en-IE"/>
        </w:rPr>
      </w:pPr>
      <w:r w:rsidRPr="006A179A">
        <w:rPr>
          <w:noProof/>
          <w:lang w:val="en-IE"/>
        </w:rPr>
        <w:t>The Kozloduy and Bohunice programmes continued to make effective progress in decommissioning their nuclear power plants in 2021. Dismantling activities are ongoing and the recovered materials are being recycled or treated as radioactive waste. The cost of the work carried out since 2014 is within budget.</w:t>
      </w:r>
    </w:p>
    <w:p w14:paraId="73BCF070" w14:textId="77777777" w:rsidR="0022213D" w:rsidRPr="006A179A" w:rsidRDefault="0022213D" w:rsidP="0022213D">
      <w:pPr>
        <w:pStyle w:val="ppoListHyphened-L1"/>
        <w:rPr>
          <w:noProof/>
          <w:lang w:val="en-IE"/>
        </w:rPr>
      </w:pPr>
      <w:r w:rsidRPr="006A179A">
        <w:rPr>
          <w:noProof/>
          <w:lang w:val="en-IE"/>
        </w:rPr>
        <w:t>Progress at the two sites was affected by the COVID-19 crisis, which affected the supply chain of equipment and limited access by foreign experts and contractors to the sites. Measures to ensure that activities could continue safely significantly reduced the short-term impact on project milestones.</w:t>
      </w:r>
    </w:p>
    <w:p w14:paraId="3260E88E" w14:textId="77777777" w:rsidR="0022213D" w:rsidRPr="006A179A" w:rsidRDefault="0022213D" w:rsidP="0022213D">
      <w:pPr>
        <w:pStyle w:val="ppoListHyphened-L1"/>
        <w:numPr>
          <w:ilvl w:val="0"/>
          <w:numId w:val="0"/>
        </w:numPr>
        <w:rPr>
          <w:noProof/>
          <w:lang w:val="en-IE"/>
        </w:rPr>
      </w:pPr>
    </w:p>
    <w:p w14:paraId="4AC670C5" w14:textId="77777777" w:rsidR="0022213D" w:rsidRPr="006A179A" w:rsidRDefault="0022213D" w:rsidP="0022213D">
      <w:pPr>
        <w:pStyle w:val="ppoHeading5"/>
        <w:rPr>
          <w:noProof/>
          <w:lang w:val="en-IE"/>
        </w:rPr>
      </w:pPr>
      <w:r w:rsidRPr="006A179A">
        <w:rPr>
          <w:noProof/>
          <w:lang w:val="en-IE"/>
        </w:rPr>
        <w:t>Performance assessment</w:t>
      </w:r>
    </w:p>
    <w:p w14:paraId="39E0FF99" w14:textId="77777777" w:rsidR="0022213D" w:rsidRPr="006A179A" w:rsidRDefault="0022213D" w:rsidP="0022213D">
      <w:pPr>
        <w:pStyle w:val="ppoHeading6"/>
        <w:rPr>
          <w:noProof/>
          <w:lang w:val="en-IE"/>
        </w:rPr>
      </w:pPr>
      <w:r w:rsidRPr="006A179A">
        <w:rPr>
          <w:noProof/>
          <w:lang w:val="en-IE"/>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22213D" w:rsidRPr="006A179A" w14:paraId="0B3C0251" w14:textId="77777777" w:rsidTr="0083214A">
        <w:trPr>
          <w:cnfStyle w:val="100000000000" w:firstRow="1" w:lastRow="0" w:firstColumn="0" w:lastColumn="0" w:oddVBand="0" w:evenVBand="0" w:oddHBand="0" w:evenHBand="0" w:firstRowFirstColumn="0" w:firstRowLastColumn="0" w:lastRowFirstColumn="0" w:lastRowLastColumn="0"/>
        </w:trPr>
        <w:tc>
          <w:tcPr>
            <w:tcW w:w="2330" w:type="dxa"/>
          </w:tcPr>
          <w:p w14:paraId="07BA55BF" w14:textId="77777777" w:rsidR="0022213D" w:rsidRPr="006A179A" w:rsidRDefault="0022213D" w:rsidP="0083214A">
            <w:pPr>
              <w:rPr>
                <w:noProof/>
                <w:lang w:val="en-IE"/>
              </w:rPr>
            </w:pPr>
          </w:p>
        </w:tc>
        <w:tc>
          <w:tcPr>
            <w:tcW w:w="1100" w:type="dxa"/>
          </w:tcPr>
          <w:p w14:paraId="1278269A" w14:textId="77777777" w:rsidR="0022213D" w:rsidRPr="006A179A" w:rsidRDefault="0022213D" w:rsidP="0083214A">
            <w:pPr>
              <w:rPr>
                <w:noProof/>
                <w:lang w:val="en-IE"/>
              </w:rPr>
            </w:pPr>
            <w:r w:rsidRPr="006A179A">
              <w:rPr>
                <w:noProof/>
                <w:lang w:val="en-IE"/>
              </w:rPr>
              <w:t>Baseline</w:t>
            </w:r>
          </w:p>
        </w:tc>
        <w:tc>
          <w:tcPr>
            <w:tcW w:w="1526" w:type="dxa"/>
          </w:tcPr>
          <w:p w14:paraId="266DADD9" w14:textId="77777777" w:rsidR="0022213D" w:rsidRPr="006A179A" w:rsidRDefault="0022213D" w:rsidP="0083214A">
            <w:pPr>
              <w:rPr>
                <w:noProof/>
                <w:lang w:val="en-IE"/>
              </w:rPr>
            </w:pPr>
            <w:r w:rsidRPr="006A179A">
              <w:rPr>
                <w:noProof/>
                <w:lang w:val="en-IE"/>
              </w:rPr>
              <w:t>Progress</w:t>
            </w:r>
            <w:r w:rsidRPr="006A179A">
              <w:rPr>
                <w:rFonts w:ascii="Calibri" w:hAnsi="Calibri" w:cs="Calibri"/>
                <w:noProof/>
                <w:lang w:val="en-IE"/>
              </w:rPr>
              <w:t> </w:t>
            </w:r>
            <w:r w:rsidRPr="006A179A">
              <w:rPr>
                <w:noProof/>
                <w:lang w:val="en-IE"/>
              </w:rPr>
              <w:t>(*)</w:t>
            </w:r>
          </w:p>
        </w:tc>
        <w:tc>
          <w:tcPr>
            <w:tcW w:w="1532" w:type="dxa"/>
          </w:tcPr>
          <w:p w14:paraId="58B337BF" w14:textId="77777777" w:rsidR="0022213D" w:rsidRPr="006A179A" w:rsidRDefault="0022213D" w:rsidP="0083214A">
            <w:pPr>
              <w:rPr>
                <w:noProof/>
                <w:lang w:val="en-IE"/>
              </w:rPr>
            </w:pPr>
            <w:r w:rsidRPr="006A179A">
              <w:rPr>
                <w:noProof/>
                <w:lang w:val="en-IE"/>
              </w:rPr>
              <w:t>Target</w:t>
            </w:r>
          </w:p>
        </w:tc>
        <w:tc>
          <w:tcPr>
            <w:tcW w:w="1572" w:type="dxa"/>
          </w:tcPr>
          <w:p w14:paraId="6E6E7306" w14:textId="77777777" w:rsidR="0022213D" w:rsidRPr="006A179A" w:rsidRDefault="0022213D" w:rsidP="0083214A">
            <w:pPr>
              <w:rPr>
                <w:noProof/>
                <w:lang w:val="en-IE"/>
              </w:rPr>
            </w:pPr>
            <w:r w:rsidRPr="006A179A">
              <w:rPr>
                <w:noProof/>
                <w:lang w:val="en-IE"/>
              </w:rPr>
              <w:t>Results</w:t>
            </w:r>
          </w:p>
        </w:tc>
        <w:tc>
          <w:tcPr>
            <w:tcW w:w="1579" w:type="dxa"/>
          </w:tcPr>
          <w:p w14:paraId="1E3FA8D0" w14:textId="77777777" w:rsidR="0022213D" w:rsidRPr="006A179A" w:rsidRDefault="0022213D" w:rsidP="0083214A">
            <w:pPr>
              <w:rPr>
                <w:noProof/>
                <w:lang w:val="en-IE"/>
              </w:rPr>
            </w:pPr>
            <w:r w:rsidRPr="006A179A">
              <w:rPr>
                <w:noProof/>
                <w:lang w:val="en-IE"/>
              </w:rPr>
              <w:t>Assessment</w:t>
            </w:r>
          </w:p>
        </w:tc>
      </w:tr>
      <w:tr w:rsidR="0022213D" w:rsidRPr="006A179A" w14:paraId="09B68121"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18318D3C" w14:textId="77777777" w:rsidR="0022213D" w:rsidRPr="006A179A" w:rsidRDefault="0022213D" w:rsidP="0083214A">
            <w:pPr>
              <w:rPr>
                <w:noProof/>
                <w:lang w:val="en-IE"/>
              </w:rPr>
            </w:pPr>
            <w:r w:rsidRPr="006A179A">
              <w:rPr>
                <w:noProof/>
                <w:lang w:val="en-IE"/>
              </w:rPr>
              <w:t>Kozloduy</w:t>
            </w:r>
            <w:r w:rsidRPr="006A179A">
              <w:rPr>
                <w:rFonts w:ascii="Calibri" w:hAnsi="Calibri" w:cs="Calibri"/>
                <w:noProof/>
                <w:lang w:val="en-IE"/>
              </w:rPr>
              <w:t> –</w:t>
            </w:r>
            <w:r w:rsidRPr="006A179A">
              <w:rPr>
                <w:noProof/>
                <w:lang w:val="en-IE"/>
              </w:rPr>
              <w:t xml:space="preserve"> metal from dismantling in reactor buildings (tonnes)</w:t>
            </w:r>
          </w:p>
        </w:tc>
        <w:tc>
          <w:tcPr>
            <w:tcW w:w="1100" w:type="dxa"/>
          </w:tcPr>
          <w:p w14:paraId="4003E5ED" w14:textId="77777777" w:rsidR="0022213D" w:rsidRPr="006A179A" w:rsidRDefault="0022213D" w:rsidP="0083214A">
            <w:pPr>
              <w:jc w:val="center"/>
              <w:rPr>
                <w:noProof/>
                <w:lang w:val="en-IE"/>
              </w:rPr>
            </w:pPr>
            <w:r w:rsidRPr="006A179A">
              <w:rPr>
                <w:noProof/>
                <w:lang w:val="en-IE"/>
              </w:rPr>
              <w:t>0</w:t>
            </w:r>
          </w:p>
        </w:tc>
        <w:tc>
          <w:tcPr>
            <w:tcW w:w="1526" w:type="dxa"/>
          </w:tcPr>
          <w:p w14:paraId="7098989A" w14:textId="77777777" w:rsidR="0022213D" w:rsidRPr="006A179A" w:rsidRDefault="0022213D" w:rsidP="0083214A">
            <w:pPr>
              <w:jc w:val="center"/>
              <w:rPr>
                <w:b/>
                <w:noProof/>
                <w:lang w:val="en-IE"/>
              </w:rPr>
            </w:pPr>
            <w:r w:rsidRPr="006A179A">
              <w:rPr>
                <w:b/>
                <w:noProof/>
                <w:lang w:val="en-IE"/>
              </w:rPr>
              <w:t>&gt;</w:t>
            </w:r>
            <w:r w:rsidRPr="006A179A">
              <w:rPr>
                <w:rFonts w:ascii="Calibri" w:hAnsi="Calibri" w:cs="Calibri"/>
                <w:b/>
                <w:noProof/>
                <w:lang w:val="en-IE"/>
              </w:rPr>
              <w:t> </w:t>
            </w:r>
            <w:r w:rsidRPr="006A179A">
              <w:rPr>
                <w:b/>
                <w:noProof/>
                <w:lang w:val="en-IE"/>
              </w:rPr>
              <w:t>100%</w:t>
            </w:r>
          </w:p>
        </w:tc>
        <w:tc>
          <w:tcPr>
            <w:tcW w:w="1532" w:type="dxa"/>
          </w:tcPr>
          <w:p w14:paraId="29232E2E" w14:textId="4CB900DE" w:rsidR="0022213D" w:rsidRPr="006A179A" w:rsidRDefault="0022213D" w:rsidP="0083214A">
            <w:pPr>
              <w:jc w:val="center"/>
              <w:rPr>
                <w:noProof/>
                <w:lang w:val="en-IE"/>
              </w:rPr>
            </w:pPr>
            <w:r w:rsidRPr="006A179A">
              <w:rPr>
                <w:noProof/>
                <w:lang w:val="en-IE"/>
              </w:rPr>
              <w:t>1</w:t>
            </w:r>
            <w:r w:rsidRPr="006A179A">
              <w:rPr>
                <w:rFonts w:ascii="Calibri" w:hAnsi="Calibri" w:cs="Calibri"/>
                <w:noProof/>
                <w:lang w:val="en-IE"/>
              </w:rPr>
              <w:t> </w:t>
            </w:r>
            <w:r w:rsidRPr="006A179A">
              <w:rPr>
                <w:noProof/>
                <w:lang w:val="en-IE"/>
              </w:rPr>
              <w:t>200</w:t>
            </w:r>
            <w:r w:rsidR="00C71B67">
              <w:rPr>
                <w:noProof/>
                <w:lang w:val="en-IE"/>
              </w:rPr>
              <w:t xml:space="preserve"> in 2020</w:t>
            </w:r>
          </w:p>
        </w:tc>
        <w:tc>
          <w:tcPr>
            <w:tcW w:w="1572" w:type="dxa"/>
          </w:tcPr>
          <w:p w14:paraId="45AF5348" w14:textId="77777777" w:rsidR="0022213D" w:rsidRPr="006A179A" w:rsidRDefault="0022213D" w:rsidP="0083214A">
            <w:pPr>
              <w:jc w:val="center"/>
              <w:rPr>
                <w:noProof/>
                <w:lang w:val="en-IE"/>
              </w:rPr>
            </w:pPr>
            <w:r w:rsidRPr="006A179A">
              <w:rPr>
                <w:noProof/>
                <w:lang w:val="en-IE"/>
              </w:rPr>
              <w:t>1</w:t>
            </w:r>
            <w:r w:rsidRPr="006A179A">
              <w:rPr>
                <w:rFonts w:ascii="Calibri" w:hAnsi="Calibri" w:cs="Calibri"/>
                <w:noProof/>
                <w:lang w:val="en-IE"/>
              </w:rPr>
              <w:t> </w:t>
            </w:r>
            <w:r w:rsidRPr="006A179A">
              <w:rPr>
                <w:noProof/>
                <w:lang w:val="en-IE"/>
              </w:rPr>
              <w:t>487 out of 1</w:t>
            </w:r>
            <w:r w:rsidRPr="006A179A">
              <w:rPr>
                <w:rFonts w:ascii="Calibri" w:hAnsi="Calibri" w:cs="Calibri"/>
                <w:noProof/>
                <w:lang w:val="en-IE"/>
              </w:rPr>
              <w:t> </w:t>
            </w:r>
            <w:r w:rsidRPr="006A179A">
              <w:rPr>
                <w:noProof/>
                <w:lang w:val="en-IE"/>
              </w:rPr>
              <w:t>200</w:t>
            </w:r>
          </w:p>
        </w:tc>
        <w:tc>
          <w:tcPr>
            <w:tcW w:w="1579" w:type="dxa"/>
          </w:tcPr>
          <w:p w14:paraId="721AD050" w14:textId="77777777" w:rsidR="0022213D" w:rsidRPr="006A179A" w:rsidRDefault="0022213D" w:rsidP="0083214A">
            <w:pPr>
              <w:jc w:val="center"/>
              <w:rPr>
                <w:noProof/>
                <w:lang w:val="en-IE"/>
              </w:rPr>
            </w:pPr>
            <w:r w:rsidRPr="006A179A">
              <w:rPr>
                <w:noProof/>
                <w:lang w:val="en-IE"/>
              </w:rPr>
              <w:t>On track</w:t>
            </w:r>
          </w:p>
        </w:tc>
      </w:tr>
    </w:tbl>
    <w:p w14:paraId="39849067" w14:textId="77777777" w:rsidR="0022213D" w:rsidRPr="006A179A" w:rsidRDefault="0022213D" w:rsidP="0022213D">
      <w:pPr>
        <w:pStyle w:val="FootnoteText"/>
        <w:rPr>
          <w:noProof/>
          <w:color w:val="BBB931"/>
          <w:lang w:val="en-IE"/>
        </w:rPr>
      </w:pPr>
      <w:r w:rsidRPr="006A179A">
        <w:rPr>
          <w:noProof/>
          <w:lang w:val="en-IE"/>
        </w:rPr>
        <w:t>(*) % of target achieved by the end of 2021.</w:t>
      </w:r>
    </w:p>
    <w:p w14:paraId="2DA488D9" w14:textId="77777777" w:rsidR="0022213D" w:rsidRPr="006A179A" w:rsidRDefault="0022213D" w:rsidP="0022213D">
      <w:pPr>
        <w:pStyle w:val="ppoListHyphened-L1"/>
        <w:numPr>
          <w:ilvl w:val="0"/>
          <w:numId w:val="0"/>
        </w:numPr>
        <w:ind w:left="357"/>
        <w:rPr>
          <w:noProof/>
          <w:lang w:val="en-IE"/>
        </w:rPr>
      </w:pPr>
    </w:p>
    <w:p w14:paraId="1C22C6F9" w14:textId="77777777" w:rsidR="0022213D" w:rsidRPr="006A179A" w:rsidRDefault="0022213D" w:rsidP="0022213D">
      <w:pPr>
        <w:pStyle w:val="ppoListHyphened-L1"/>
        <w:rPr>
          <w:noProof/>
          <w:lang w:val="en-IE"/>
        </w:rPr>
      </w:pPr>
      <w:r w:rsidRPr="006A179A">
        <w:rPr>
          <w:noProof/>
          <w:lang w:val="en-IE"/>
        </w:rPr>
        <w:t>During the 2014-2020 multiannual financial framework, the Kozloduy and Bohunice programmes progressed steadily towards the decommissioning end state, in accordance with their respective decommissioning plans, while maintaining the highest level of safety. The process will continue under the 2021-2027 multiannual financial framework.</w:t>
      </w:r>
    </w:p>
    <w:p w14:paraId="7D3805A3" w14:textId="77777777" w:rsidR="0022213D" w:rsidRPr="006A179A" w:rsidRDefault="0022213D" w:rsidP="0022213D">
      <w:pPr>
        <w:pStyle w:val="ppoListHyphened-L1"/>
        <w:rPr>
          <w:noProof/>
          <w:lang w:val="en-IE"/>
        </w:rPr>
      </w:pPr>
      <w:r w:rsidRPr="006A179A">
        <w:rPr>
          <w:noProof/>
          <w:lang w:val="en-IE"/>
        </w:rPr>
        <w:t xml:space="preserve">The programmes continued to reduce nuclear and radiation safety risks related to the reactors. However, significant delays occurred during the implementation of key projects, which impacted the implementation of the overall programme and, in the case of Bohunice, provoked the rescheduling of the end date of the programme. </w:t>
      </w:r>
    </w:p>
    <w:p w14:paraId="693D2D7B" w14:textId="77777777" w:rsidR="0022213D" w:rsidRPr="006A179A" w:rsidRDefault="0022213D" w:rsidP="0022213D">
      <w:pPr>
        <w:pStyle w:val="ppoListHyphened-L1"/>
        <w:rPr>
          <w:noProof/>
          <w:lang w:val="en-IE"/>
        </w:rPr>
      </w:pPr>
      <w:r w:rsidRPr="006A179A">
        <w:rPr>
          <w:noProof/>
          <w:lang w:val="en-IE"/>
        </w:rPr>
        <w:t>The decommissioning of the Kozloduy power plant in Bulgaria has made significant progress, including the following.</w:t>
      </w:r>
    </w:p>
    <w:p w14:paraId="6B06BDD8" w14:textId="77777777" w:rsidR="0022213D" w:rsidRPr="006A179A" w:rsidRDefault="0022213D" w:rsidP="0022213D">
      <w:pPr>
        <w:pStyle w:val="ppoListHyphened-L2"/>
        <w:rPr>
          <w:b/>
          <w:noProof/>
          <w:lang w:val="en-IE"/>
        </w:rPr>
      </w:pPr>
      <w:r w:rsidRPr="006A179A">
        <w:rPr>
          <w:noProof/>
          <w:lang w:val="en-IE"/>
        </w:rPr>
        <w:t>The plasma melting facility, a first-of-its-kind facility for the high-performance volume reduction of radioactive waste, performed its fourth and last operational campaign in 2021 and will proceed with industrial operation.</w:t>
      </w:r>
    </w:p>
    <w:p w14:paraId="7CADF277" w14:textId="77777777" w:rsidR="0022213D" w:rsidRPr="006A179A" w:rsidRDefault="0022213D" w:rsidP="0022213D">
      <w:pPr>
        <w:pStyle w:val="ppoListHyphened-L2"/>
        <w:rPr>
          <w:noProof/>
          <w:lang w:val="en-IE"/>
        </w:rPr>
      </w:pPr>
      <w:r w:rsidRPr="006A179A">
        <w:rPr>
          <w:noProof/>
          <w:lang w:val="en-IE"/>
        </w:rPr>
        <w:t>The dismantling of equipment in the turbine hall</w:t>
      </w:r>
      <w:r w:rsidRPr="006A179A">
        <w:rPr>
          <w:rFonts w:ascii="Calibri" w:hAnsi="Calibri" w:cs="Calibri"/>
          <w:noProof/>
          <w:lang w:val="en-IE"/>
        </w:rPr>
        <w:t> –</w:t>
      </w:r>
      <w:r w:rsidRPr="006A179A">
        <w:rPr>
          <w:noProof/>
          <w:lang w:val="en-IE"/>
        </w:rPr>
        <w:t xml:space="preserve"> a major milestone of the first specific objective</w:t>
      </w:r>
      <w:r w:rsidRPr="006A179A">
        <w:rPr>
          <w:rFonts w:ascii="Calibri" w:hAnsi="Calibri" w:cs="Calibri"/>
          <w:noProof/>
          <w:lang w:val="en-IE"/>
        </w:rPr>
        <w:t> –</w:t>
      </w:r>
      <w:r w:rsidRPr="006A179A">
        <w:rPr>
          <w:noProof/>
          <w:lang w:val="en-IE"/>
        </w:rPr>
        <w:t>was completed in 2019.</w:t>
      </w:r>
    </w:p>
    <w:p w14:paraId="383BA7C2" w14:textId="77777777" w:rsidR="0022213D" w:rsidRPr="006A179A" w:rsidRDefault="0022213D" w:rsidP="0022213D">
      <w:pPr>
        <w:pStyle w:val="ppoListHyphened-L2"/>
        <w:rPr>
          <w:noProof/>
          <w:lang w:val="en-IE"/>
        </w:rPr>
      </w:pPr>
      <w:r w:rsidRPr="006A179A">
        <w:rPr>
          <w:noProof/>
          <w:lang w:val="en-IE"/>
        </w:rPr>
        <w:t>On the other hand, the dismantling of large components in the reactor building and the management of the decommissioning waste remain behind schedule, due to a delay in obtaining the approval of the nuclear regulator and the impact of COVID-19 in 2020.</w:t>
      </w:r>
    </w:p>
    <w:p w14:paraId="639F7FF0" w14:textId="77777777" w:rsidR="0022213D" w:rsidRPr="006A179A" w:rsidRDefault="0022213D" w:rsidP="0022213D">
      <w:pPr>
        <w:pStyle w:val="ppoListHyphened-L1"/>
        <w:rPr>
          <w:noProof/>
          <w:lang w:val="en-IE"/>
        </w:rPr>
      </w:pPr>
      <w:r w:rsidRPr="006A179A">
        <w:rPr>
          <w:noProof/>
          <w:lang w:val="en-IE"/>
        </w:rPr>
        <w:t>The Bohunice programme in Slovakia is the most advanced of the three decommissioning programmes supported by the EU. It will be the first completed decommissioning programme for its type of reactor.</w:t>
      </w:r>
    </w:p>
    <w:p w14:paraId="78FBF872" w14:textId="77777777" w:rsidR="0022213D" w:rsidRPr="006A179A" w:rsidRDefault="0022213D" w:rsidP="0022213D">
      <w:pPr>
        <w:pStyle w:val="ppoListHyphened-L2"/>
        <w:rPr>
          <w:noProof/>
          <w:lang w:val="en-IE"/>
        </w:rPr>
      </w:pPr>
      <w:r w:rsidRPr="006A179A">
        <w:rPr>
          <w:noProof/>
          <w:lang w:val="en-IE"/>
        </w:rPr>
        <w:t>The dismantling of the large components has progressed substantially and the fragmentation of one of the two reactors’ pressure vessels was completed in 2021.</w:t>
      </w:r>
    </w:p>
    <w:p w14:paraId="75771A95" w14:textId="77777777" w:rsidR="0022213D" w:rsidRPr="006A179A" w:rsidRDefault="0022213D" w:rsidP="0022213D">
      <w:pPr>
        <w:pStyle w:val="ppoListHyphened-L2"/>
        <w:rPr>
          <w:noProof/>
          <w:lang w:val="en-IE"/>
        </w:rPr>
      </w:pPr>
      <w:r w:rsidRPr="006A179A">
        <w:rPr>
          <w:noProof/>
          <w:lang w:val="en-IE"/>
        </w:rPr>
        <w:t>The 12 steam generators, which are each made of 145 tonnes of steel, were transferred to the former turbine hall in 2019 and the cutting of the first steam generator was completed in June 2020.</w:t>
      </w:r>
    </w:p>
    <w:p w14:paraId="7543B8FE" w14:textId="77777777" w:rsidR="0022213D" w:rsidRPr="006A179A" w:rsidRDefault="0022213D" w:rsidP="0022213D">
      <w:pPr>
        <w:pStyle w:val="ppoListHyphened-L2"/>
        <w:rPr>
          <w:noProof/>
          <w:lang w:val="en-IE"/>
        </w:rPr>
      </w:pPr>
      <w:r w:rsidRPr="006A179A">
        <w:rPr>
          <w:noProof/>
          <w:lang w:val="en-IE"/>
        </w:rPr>
        <w:t>On the other hand, the slowdown of the conventional waste production</w:t>
      </w:r>
      <w:r w:rsidRPr="006A179A">
        <w:rPr>
          <w:rFonts w:ascii="Calibri" w:hAnsi="Calibri" w:cs="Calibri"/>
          <w:noProof/>
          <w:lang w:val="en-IE"/>
        </w:rPr>
        <w:t> –</w:t>
      </w:r>
      <w:r w:rsidRPr="006A179A">
        <w:rPr>
          <w:noProof/>
          <w:lang w:val="en-IE"/>
        </w:rPr>
        <w:t xml:space="preserve"> due to the impact of COVID-19 and of the lower-than-planned quantity of material to be removed from the site</w:t>
      </w:r>
      <w:r w:rsidRPr="006A179A">
        <w:rPr>
          <w:rFonts w:ascii="Calibri" w:hAnsi="Calibri" w:cs="Calibri"/>
          <w:noProof/>
          <w:lang w:val="en-IE"/>
        </w:rPr>
        <w:t> –</w:t>
      </w:r>
      <w:r w:rsidRPr="006A179A">
        <w:rPr>
          <w:noProof/>
          <w:lang w:val="en-IE"/>
        </w:rPr>
        <w:t xml:space="preserve"> led to a result of only 89% of the target by the end of 2020.</w:t>
      </w:r>
    </w:p>
    <w:p w14:paraId="421CD3A5" w14:textId="77777777" w:rsidR="0022213D" w:rsidRPr="006A179A" w:rsidRDefault="0022213D" w:rsidP="0022213D">
      <w:pPr>
        <w:pStyle w:val="ppoListHyphened-L2"/>
        <w:numPr>
          <w:ilvl w:val="0"/>
          <w:numId w:val="0"/>
        </w:numPr>
        <w:ind w:left="1435" w:hanging="358"/>
        <w:rPr>
          <w:noProof/>
          <w:lang w:val="en-IE"/>
        </w:rPr>
      </w:pPr>
    </w:p>
    <w:p w14:paraId="66F04605" w14:textId="77777777" w:rsidR="0022213D" w:rsidRPr="006A179A" w:rsidRDefault="0022213D" w:rsidP="0022213D">
      <w:pPr>
        <w:pStyle w:val="ppoListHyphened-L1"/>
        <w:numPr>
          <w:ilvl w:val="0"/>
          <w:numId w:val="0"/>
        </w:numPr>
        <w:ind w:left="357" w:hanging="357"/>
        <w:rPr>
          <w:noProof/>
          <w:lang w:val="en-IE"/>
        </w:rPr>
      </w:pPr>
    </w:p>
    <w:p w14:paraId="563B9C98" w14:textId="77777777" w:rsidR="00533AC3" w:rsidRDefault="00533AC3" w:rsidP="005348AD">
      <w:pPr>
        <w:pStyle w:val="ppoListHyphened-L1"/>
        <w:numPr>
          <w:ilvl w:val="0"/>
          <w:numId w:val="0"/>
        </w:numPr>
        <w:ind w:left="357" w:hanging="357"/>
        <w:rPr>
          <w:b/>
          <w:noProof/>
          <w:lang w:val="en-IE"/>
        </w:rPr>
        <w:sectPr w:rsidR="00533AC3" w:rsidSect="0083214A">
          <w:headerReference w:type="even" r:id="rId500"/>
          <w:headerReference w:type="default" r:id="rId501"/>
          <w:footerReference w:type="even" r:id="rId502"/>
          <w:footerReference w:type="default" r:id="rId503"/>
          <w:headerReference w:type="first" r:id="rId504"/>
          <w:footerReference w:type="first" r:id="rId505"/>
          <w:type w:val="continuous"/>
          <w:pgSz w:w="11906" w:h="16838" w:code="9"/>
          <w:pgMar w:top="1134" w:right="1134" w:bottom="964" w:left="1134" w:header="431" w:footer="431" w:gutter="0"/>
          <w:cols w:space="720"/>
          <w:titlePg/>
          <w:docGrid w:linePitch="360"/>
        </w:sectPr>
      </w:pPr>
    </w:p>
    <w:p w14:paraId="2B86343B" w14:textId="77777777" w:rsidR="00533AC3" w:rsidRPr="00AB1B6E" w:rsidRDefault="00533AC3" w:rsidP="00533AC3">
      <w:pPr>
        <w:pStyle w:val="StyleppoHeading3WhiteLeft0cm"/>
        <w:rPr>
          <w:noProof/>
          <w:sz w:val="40"/>
          <w:szCs w:val="40"/>
        </w:rPr>
      </w:pPr>
    </w:p>
    <w:p w14:paraId="568E7EDE" w14:textId="77777777" w:rsidR="00533AC3" w:rsidRPr="00AB1B6E" w:rsidRDefault="00533AC3" w:rsidP="00533AC3">
      <w:pPr>
        <w:pStyle w:val="StyleppoHeading3WhiteLeft0cm"/>
        <w:rPr>
          <w:noProof/>
          <w:sz w:val="60"/>
          <w:szCs w:val="60"/>
        </w:rPr>
      </w:pPr>
      <w:bookmarkStart w:id="222" w:name="_Toc102086366"/>
      <w:r w:rsidRPr="00AB1B6E">
        <w:rPr>
          <w:noProof/>
          <w:sz w:val="60"/>
          <w:szCs w:val="60"/>
        </w:rPr>
        <w:t>EDF</w:t>
      </w:r>
      <w:bookmarkEnd w:id="222"/>
    </w:p>
    <w:p w14:paraId="33A5F6C5" w14:textId="77777777" w:rsidR="00533AC3" w:rsidRPr="00AB1B6E" w:rsidRDefault="00533AC3" w:rsidP="00533AC3">
      <w:pPr>
        <w:pStyle w:val="StyleppoProgrammenameWhiteLeft01cm"/>
        <w:rPr>
          <w:noProof/>
        </w:rPr>
      </w:pPr>
      <w:r w:rsidRPr="00AB1B6E">
        <w:rPr>
          <w:noProof/>
        </w:rPr>
        <w:t>EUROPEAN DEFENCE FUND</w:t>
      </w:r>
    </w:p>
    <w:p w14:paraId="00F8C188" w14:textId="77777777" w:rsidR="00533AC3" w:rsidRPr="00AB1B6E" w:rsidRDefault="00533AC3" w:rsidP="00533AC3">
      <w:pPr>
        <w:pStyle w:val="ppoHeading4Blue"/>
        <w:rPr>
          <w:noProof/>
        </w:rPr>
      </w:pPr>
      <w:r w:rsidRPr="00AB1B6E">
        <w:rPr>
          <w:noProof/>
        </w:rPr>
        <w:t>Programme in a nutshell</w:t>
      </w:r>
    </w:p>
    <w:p w14:paraId="62252957" w14:textId="77777777" w:rsidR="00533AC3" w:rsidRPr="00AB1B6E" w:rsidRDefault="00533AC3" w:rsidP="00533AC3">
      <w:pPr>
        <w:spacing w:after="480"/>
        <w:rPr>
          <w:rFonts w:eastAsiaTheme="minorEastAsia"/>
          <w:noProof/>
          <w:color w:val="FFFFFF" w:themeColor="background1"/>
          <w:sz w:val="32"/>
        </w:rPr>
        <w:sectPr w:rsidR="00533AC3" w:rsidRPr="00AB1B6E" w:rsidSect="0083214A">
          <w:headerReference w:type="even" r:id="rId506"/>
          <w:headerReference w:type="default" r:id="rId507"/>
          <w:footerReference w:type="even" r:id="rId508"/>
          <w:footerReference w:type="default" r:id="rId509"/>
          <w:headerReference w:type="first" r:id="rId510"/>
          <w:footerReference w:type="first" r:id="rId511"/>
          <w:pgSz w:w="11906" w:h="16838" w:code="9"/>
          <w:pgMar w:top="1134" w:right="1134" w:bottom="964" w:left="1134" w:header="431" w:footer="431" w:gutter="0"/>
          <w:cols w:space="720"/>
          <w:docGrid w:linePitch="360"/>
        </w:sectPr>
      </w:pPr>
    </w:p>
    <w:p w14:paraId="46AFCB85" w14:textId="77777777" w:rsidR="00533AC3" w:rsidRPr="00AB1B6E" w:rsidRDefault="00533AC3" w:rsidP="00533AC3">
      <w:pPr>
        <w:pStyle w:val="ppoHeading5"/>
        <w:rPr>
          <w:noProof/>
        </w:rPr>
      </w:pPr>
      <w:r w:rsidRPr="00AB1B6E">
        <w:rPr>
          <w:noProof/>
        </w:rPr>
        <w:t>Concrete examples of achievements</w:t>
      </w:r>
      <w:r w:rsidRPr="00AB1B6E">
        <w:rPr>
          <w:rFonts w:ascii="Calibri" w:hAnsi="Calibri" w:cs="Calibri"/>
          <w:noProof/>
        </w:rPr>
        <w:t> </w:t>
      </w:r>
      <w:r w:rsidRPr="00AB1B6E">
        <w:rPr>
          <w:noProof/>
        </w:rPr>
        <w:t>(*)</w:t>
      </w:r>
    </w:p>
    <w:tbl>
      <w:tblPr>
        <w:tblStyle w:val="PPO2021"/>
        <w:tblW w:w="7229" w:type="dxa"/>
        <w:tblInd w:w="0" w:type="dxa"/>
        <w:tblLook w:val="0200" w:firstRow="0" w:lastRow="0" w:firstColumn="0" w:lastColumn="0" w:noHBand="1" w:noVBand="0"/>
      </w:tblPr>
      <w:tblGrid>
        <w:gridCol w:w="2410"/>
        <w:gridCol w:w="2409"/>
        <w:gridCol w:w="2410"/>
      </w:tblGrid>
      <w:tr w:rsidR="00533AC3" w:rsidRPr="00AB1B6E" w14:paraId="7520563C" w14:textId="77777777" w:rsidTr="0083214A">
        <w:tc>
          <w:tcPr>
            <w:tcW w:w="2410" w:type="dxa"/>
          </w:tcPr>
          <w:p w14:paraId="611F753F" w14:textId="77777777" w:rsidR="00533AC3" w:rsidRPr="00AB1B6E" w:rsidRDefault="00533AC3" w:rsidP="0083214A">
            <w:pPr>
              <w:pStyle w:val="ppoTableacheivementvalue"/>
              <w:rPr>
                <w:noProof/>
              </w:rPr>
            </w:pPr>
            <w:r w:rsidRPr="00AB1B6E">
              <w:rPr>
                <w:noProof/>
              </w:rPr>
              <w:t>EUR</w:t>
            </w:r>
            <w:r w:rsidRPr="00AB1B6E">
              <w:rPr>
                <w:rFonts w:ascii="Calibri" w:hAnsi="Calibri" w:cs="Calibri"/>
                <w:noProof/>
              </w:rPr>
              <w:t> </w:t>
            </w:r>
            <w:r w:rsidRPr="00AB1B6E">
              <w:rPr>
                <w:noProof/>
              </w:rPr>
              <w:t>500</w:t>
            </w:r>
            <w:r w:rsidRPr="00AB1B6E">
              <w:rPr>
                <w:rFonts w:ascii="Calibri" w:hAnsi="Calibri" w:cs="Calibri"/>
                <w:noProof/>
              </w:rPr>
              <w:t> </w:t>
            </w:r>
            <w:r w:rsidRPr="00AB1B6E">
              <w:rPr>
                <w:noProof/>
              </w:rPr>
              <w:t>million</w:t>
            </w:r>
          </w:p>
          <w:p w14:paraId="0EE1DA1E" w14:textId="77777777" w:rsidR="00533AC3" w:rsidRPr="00AB1B6E" w:rsidRDefault="00533AC3" w:rsidP="00377734">
            <w:pPr>
              <w:jc w:val="left"/>
              <w:rPr>
                <w:noProof/>
              </w:rPr>
            </w:pPr>
            <w:r w:rsidRPr="00AB1B6E">
              <w:rPr>
                <w:noProof/>
              </w:rPr>
              <w:t>has been</w:t>
            </w:r>
            <w:r w:rsidRPr="00AB1B6E" w:rsidDel="00C00DF4">
              <w:rPr>
                <w:noProof/>
              </w:rPr>
              <w:t xml:space="preserve"> </w:t>
            </w:r>
            <w:r w:rsidRPr="00AB1B6E">
              <w:rPr>
                <w:noProof/>
              </w:rPr>
              <w:t>allocated to the EDIDP</w:t>
            </w:r>
            <w:r w:rsidRPr="00AB1B6E" w:rsidDel="009852C3">
              <w:rPr>
                <w:noProof/>
              </w:rPr>
              <w:t xml:space="preserve"> </w:t>
            </w:r>
            <w:r w:rsidRPr="00AB1B6E">
              <w:rPr>
                <w:noProof/>
              </w:rPr>
              <w:t>to support</w:t>
            </w:r>
            <w:r w:rsidRPr="00AB1B6E">
              <w:rPr>
                <w:rFonts w:ascii="Calibri" w:hAnsi="Calibri" w:cs="Calibri"/>
                <w:noProof/>
              </w:rPr>
              <w:t> </w:t>
            </w:r>
            <w:r w:rsidRPr="00AB1B6E">
              <w:rPr>
                <w:noProof/>
              </w:rPr>
              <w:t>– together with the Member States</w:t>
            </w:r>
            <w:r w:rsidRPr="00AB1B6E">
              <w:rPr>
                <w:rFonts w:ascii="Calibri" w:hAnsi="Calibri" w:cs="Calibri"/>
                <w:noProof/>
              </w:rPr>
              <w:t> </w:t>
            </w:r>
            <w:r w:rsidRPr="00AB1B6E">
              <w:rPr>
                <w:noProof/>
              </w:rPr>
              <w:t>– the development of defence systems and technologies to be integrated into commonly agreed capabilities.</w:t>
            </w:r>
          </w:p>
        </w:tc>
        <w:tc>
          <w:tcPr>
            <w:cnfStyle w:val="000001000000" w:firstRow="0" w:lastRow="0" w:firstColumn="0" w:lastColumn="0" w:oddVBand="0" w:evenVBand="1" w:oddHBand="0" w:evenHBand="0" w:firstRowFirstColumn="0" w:firstRowLastColumn="0" w:lastRowFirstColumn="0" w:lastRowLastColumn="0"/>
            <w:tcW w:w="2409" w:type="dxa"/>
          </w:tcPr>
          <w:p w14:paraId="0979576A" w14:textId="77777777" w:rsidR="00533AC3" w:rsidRPr="00AB1B6E" w:rsidRDefault="00533AC3" w:rsidP="0083214A">
            <w:pPr>
              <w:pStyle w:val="ppoTableacheivementvalue"/>
              <w:rPr>
                <w:noProof/>
              </w:rPr>
            </w:pPr>
            <w:r w:rsidRPr="00AB1B6E">
              <w:rPr>
                <w:noProof/>
              </w:rPr>
              <w:t>25</w:t>
            </w:r>
          </w:p>
          <w:p w14:paraId="0F1B3EEC" w14:textId="77777777" w:rsidR="00533AC3" w:rsidRPr="00AB1B6E" w:rsidRDefault="00533AC3" w:rsidP="00377734">
            <w:pPr>
              <w:jc w:val="left"/>
              <w:rPr>
                <w:noProof/>
              </w:rPr>
            </w:pPr>
            <w:r w:rsidRPr="00AB1B6E">
              <w:rPr>
                <w:noProof/>
              </w:rPr>
              <w:t>Member States</w:t>
            </w:r>
            <w:r w:rsidRPr="00AB1B6E" w:rsidDel="00FE0A7A">
              <w:rPr>
                <w:noProof/>
              </w:rPr>
              <w:t xml:space="preserve"> </w:t>
            </w:r>
            <w:r w:rsidRPr="00AB1B6E">
              <w:rPr>
                <w:noProof/>
              </w:rPr>
              <w:t>are countries of origin of the companies participating in proposals submitted to the EDIDP</w:t>
            </w:r>
            <w:r w:rsidRPr="00AB1B6E" w:rsidDel="005D0559">
              <w:rPr>
                <w:noProof/>
              </w:rPr>
              <w:t xml:space="preserve"> </w:t>
            </w:r>
            <w:r w:rsidRPr="00AB1B6E">
              <w:rPr>
                <w:noProof/>
              </w:rPr>
              <w:t>calls in 2020.</w:t>
            </w:r>
          </w:p>
        </w:tc>
        <w:tc>
          <w:tcPr>
            <w:tcW w:w="2410" w:type="dxa"/>
            <w:tcBorders>
              <w:bottom w:val="single" w:sz="4" w:space="0" w:color="8C8C8C"/>
            </w:tcBorders>
          </w:tcPr>
          <w:p w14:paraId="2349AD2B" w14:textId="77777777" w:rsidR="00533AC3" w:rsidRPr="00AB1B6E" w:rsidRDefault="00533AC3" w:rsidP="0083214A">
            <w:pPr>
              <w:pStyle w:val="ppoTableacheivementvalue"/>
              <w:cnfStyle w:val="000000000000" w:firstRow="0" w:lastRow="0" w:firstColumn="0" w:lastColumn="0" w:oddVBand="0" w:evenVBand="0" w:oddHBand="0" w:evenHBand="0" w:firstRowFirstColumn="0" w:firstRowLastColumn="0" w:lastRowFirstColumn="0" w:lastRowLastColumn="0"/>
              <w:rPr>
                <w:noProof/>
              </w:rPr>
            </w:pPr>
            <w:r w:rsidRPr="00AB1B6E">
              <w:rPr>
                <w:noProof/>
              </w:rPr>
              <w:t>35%</w:t>
            </w:r>
          </w:p>
          <w:p w14:paraId="5C84FE65" w14:textId="77777777" w:rsidR="00533AC3" w:rsidRPr="00AB1B6E" w:rsidRDefault="00533AC3" w:rsidP="00377734">
            <w:pPr>
              <w:jc w:val="left"/>
              <w:cnfStyle w:val="000000000000" w:firstRow="0" w:lastRow="0" w:firstColumn="0" w:lastColumn="0" w:oddVBand="0" w:evenVBand="0" w:oddHBand="0" w:evenHBand="0" w:firstRowFirstColumn="0" w:firstRowLastColumn="0" w:lastRowFirstColumn="0" w:lastRowLastColumn="0"/>
              <w:rPr>
                <w:noProof/>
              </w:rPr>
            </w:pPr>
            <w:r w:rsidRPr="00AB1B6E">
              <w:rPr>
                <w:noProof/>
              </w:rPr>
              <w:t>is the rate of small and medium-sized enterprises participating in selected proposals in the consortium in the context of the 2020 EDIDP</w:t>
            </w:r>
            <w:r w:rsidRPr="00AB1B6E" w:rsidDel="005D0559">
              <w:rPr>
                <w:noProof/>
              </w:rPr>
              <w:t xml:space="preserve"> </w:t>
            </w:r>
            <w:r w:rsidRPr="00AB1B6E">
              <w:rPr>
                <w:noProof/>
              </w:rPr>
              <w:t>calls.</w:t>
            </w:r>
          </w:p>
        </w:tc>
      </w:tr>
      <w:tr w:rsidR="00533AC3" w:rsidRPr="00AB1B6E" w14:paraId="623F5B9D" w14:textId="77777777" w:rsidTr="0083214A">
        <w:tc>
          <w:tcPr>
            <w:tcW w:w="2410" w:type="dxa"/>
          </w:tcPr>
          <w:p w14:paraId="74992B10" w14:textId="77777777" w:rsidR="00533AC3" w:rsidRPr="00AB1B6E" w:rsidRDefault="00533AC3" w:rsidP="0083214A">
            <w:pPr>
              <w:pStyle w:val="ppoTableacheivementvalue"/>
              <w:rPr>
                <w:noProof/>
              </w:rPr>
            </w:pPr>
            <w:r w:rsidRPr="00AB1B6E">
              <w:rPr>
                <w:noProof/>
              </w:rPr>
              <w:t>EUR</w:t>
            </w:r>
            <w:r w:rsidRPr="00AB1B6E">
              <w:rPr>
                <w:rFonts w:ascii="Calibri" w:hAnsi="Calibri" w:cs="Calibri"/>
                <w:noProof/>
              </w:rPr>
              <w:t> </w:t>
            </w:r>
            <w:r w:rsidRPr="00AB1B6E">
              <w:rPr>
                <w:noProof/>
              </w:rPr>
              <w:t>90</w:t>
            </w:r>
            <w:r w:rsidRPr="00AB1B6E">
              <w:rPr>
                <w:rFonts w:ascii="Calibri" w:hAnsi="Calibri" w:cs="Calibri"/>
                <w:noProof/>
              </w:rPr>
              <w:t> </w:t>
            </w:r>
            <w:r w:rsidRPr="00AB1B6E">
              <w:rPr>
                <w:noProof/>
              </w:rPr>
              <w:t>million</w:t>
            </w:r>
          </w:p>
          <w:p w14:paraId="3315FAFA" w14:textId="77777777" w:rsidR="00533AC3" w:rsidRPr="00AB1B6E" w:rsidRDefault="00533AC3" w:rsidP="00377734">
            <w:pPr>
              <w:jc w:val="left"/>
              <w:rPr>
                <w:noProof/>
              </w:rPr>
            </w:pPr>
            <w:r w:rsidRPr="00AB1B6E">
              <w:rPr>
                <w:noProof/>
              </w:rPr>
              <w:t>was allocated to support joint defence research projects following calls for proposals published between 2017 and 2019 under the preparatory action on defence research.</w:t>
            </w:r>
          </w:p>
        </w:tc>
        <w:tc>
          <w:tcPr>
            <w:cnfStyle w:val="000001000000" w:firstRow="0" w:lastRow="0" w:firstColumn="0" w:lastColumn="0" w:oddVBand="0" w:evenVBand="1" w:oddHBand="0" w:evenHBand="0" w:firstRowFirstColumn="0" w:firstRowLastColumn="0" w:lastRowFirstColumn="0" w:lastRowLastColumn="0"/>
            <w:tcW w:w="2409" w:type="dxa"/>
            <w:tcBorders>
              <w:bottom w:val="nil"/>
            </w:tcBorders>
            <w:shd w:val="clear" w:color="auto" w:fill="FFFFFF" w:themeFill="background1"/>
          </w:tcPr>
          <w:p w14:paraId="6D4A0D87" w14:textId="77777777" w:rsidR="00533AC3" w:rsidRPr="00AB1B6E" w:rsidRDefault="00533AC3" w:rsidP="0083214A">
            <w:pPr>
              <w:jc w:val="center"/>
              <w:rPr>
                <w:noProof/>
                <w:sz w:val="28"/>
                <w:szCs w:val="28"/>
              </w:rPr>
            </w:pPr>
            <w:r w:rsidRPr="00AB1B6E">
              <w:rPr>
                <w:noProof/>
                <w:sz w:val="28"/>
                <w:szCs w:val="28"/>
              </w:rPr>
              <w:t>26</w:t>
            </w:r>
          </w:p>
          <w:p w14:paraId="4CF5E389" w14:textId="77777777" w:rsidR="00533AC3" w:rsidRPr="00AB1B6E" w:rsidRDefault="00533AC3" w:rsidP="00377734">
            <w:pPr>
              <w:jc w:val="left"/>
              <w:rPr>
                <w:noProof/>
              </w:rPr>
            </w:pPr>
            <w:r w:rsidRPr="00AB1B6E">
              <w:rPr>
                <w:noProof/>
              </w:rPr>
              <w:t>Member States and Norway are countries of establishment of entities involved in proposals submitted between 2017 and 2019 under the preparatory action on defence research.</w:t>
            </w:r>
          </w:p>
        </w:tc>
        <w:tc>
          <w:tcPr>
            <w:tcW w:w="2410" w:type="dxa"/>
            <w:tcBorders>
              <w:bottom w:val="nil"/>
            </w:tcBorders>
            <w:shd w:val="clear" w:color="auto" w:fill="FFFFFF" w:themeFill="background1"/>
          </w:tcPr>
          <w:p w14:paraId="1026E367" w14:textId="77777777" w:rsidR="00533AC3" w:rsidRPr="00AB1B6E" w:rsidRDefault="00533AC3" w:rsidP="0083214A">
            <w:pPr>
              <w:pStyle w:val="ppoTableacheivementvalue"/>
              <w:cnfStyle w:val="000000000000" w:firstRow="0" w:lastRow="0" w:firstColumn="0" w:lastColumn="0" w:oddVBand="0" w:evenVBand="0" w:oddHBand="0" w:evenHBand="0" w:firstRowFirstColumn="0" w:firstRowLastColumn="0" w:lastRowFirstColumn="0" w:lastRowLastColumn="0"/>
              <w:rPr>
                <w:noProof/>
              </w:rPr>
            </w:pPr>
            <w:r w:rsidRPr="00AB1B6E">
              <w:rPr>
                <w:noProof/>
              </w:rPr>
              <w:t>889</w:t>
            </w:r>
          </w:p>
          <w:p w14:paraId="3EEE97B9" w14:textId="77777777" w:rsidR="00533AC3" w:rsidRPr="00AB1B6E" w:rsidRDefault="00533AC3" w:rsidP="00377734">
            <w:pPr>
              <w:jc w:val="left"/>
              <w:cnfStyle w:val="000000000000" w:firstRow="0" w:lastRow="0" w:firstColumn="0" w:lastColumn="0" w:oddVBand="0" w:evenVBand="0" w:oddHBand="0" w:evenHBand="0" w:firstRowFirstColumn="0" w:firstRowLastColumn="0" w:lastRowFirstColumn="0" w:lastRowLastColumn="0"/>
              <w:rPr>
                <w:noProof/>
              </w:rPr>
            </w:pPr>
            <w:r w:rsidRPr="00AB1B6E">
              <w:rPr>
                <w:noProof/>
              </w:rPr>
              <w:t>entities submitted 127 proposals in response to calls under the preparatory action on defence research between 2017 and 2019, of which 22% applicants were small and medium-sized enterprises.</w:t>
            </w:r>
          </w:p>
        </w:tc>
      </w:tr>
    </w:tbl>
    <w:p w14:paraId="33AA73D9" w14:textId="77777777" w:rsidR="00533AC3" w:rsidRPr="00AB1B6E" w:rsidRDefault="00533AC3" w:rsidP="00533AC3">
      <w:pPr>
        <w:pStyle w:val="FootnoteText"/>
        <w:rPr>
          <w:rFonts w:eastAsiaTheme="minorEastAsia"/>
          <w:noProof/>
        </w:rPr>
      </w:pPr>
      <w:r w:rsidRPr="00AB1B6E">
        <w:rPr>
          <w:rFonts w:eastAsiaTheme="minorEastAsia"/>
          <w:noProof/>
        </w:rPr>
        <w:t>(*)</w:t>
      </w:r>
      <w:r w:rsidRPr="00AB1B6E">
        <w:rPr>
          <w:rFonts w:eastAsiaTheme="minorEastAsia"/>
          <w:noProof/>
        </w:rPr>
        <w:tab/>
        <w:t>Key achievements in the table state which period they relate to. Many come from the implementation of the predecessor programmes under the 2014-2020 multiannual financial framework. This is expected and is due to the multiannual life cycle of EU programmes and the projects they finance, where results often follow only after completion of the programmes.</w:t>
      </w:r>
    </w:p>
    <w:p w14:paraId="2D2B0F32" w14:textId="77777777" w:rsidR="00533AC3" w:rsidRPr="00AB1B6E" w:rsidRDefault="00533AC3" w:rsidP="00533AC3">
      <w:pPr>
        <w:pStyle w:val="ppoHeading5"/>
        <w:rPr>
          <w:noProof/>
        </w:rPr>
      </w:pPr>
      <w:r w:rsidRPr="00AB1B6E">
        <w:rPr>
          <w:noProof/>
        </w:rPr>
        <w:t>Budget for 2021-2027</w:t>
      </w:r>
    </w:p>
    <w:p w14:paraId="67F2AFF4" w14:textId="77777777" w:rsidR="00533AC3" w:rsidRPr="00AB1B6E" w:rsidRDefault="00533AC3" w:rsidP="00533AC3">
      <w:pPr>
        <w:pStyle w:val="ppoTableTabletitle"/>
        <w:ind w:left="284"/>
        <w:rPr>
          <w:noProof/>
        </w:rPr>
      </w:pPr>
      <w:r w:rsidRPr="00AB1B6E">
        <w:rPr>
          <w:noProof/>
        </w:rPr>
        <w:t>(</w:t>
      </w:r>
      <w:r w:rsidRPr="00AB1B6E" w:rsidDel="00B31EE6">
        <w:rPr>
          <w:noProof/>
        </w:rPr>
        <w:t>million</w:t>
      </w:r>
      <w:r w:rsidRPr="00AB1B6E">
        <w:rPr>
          <w:noProof/>
        </w:rPr>
        <w:t xml:space="preserve"> EUR)</w:t>
      </w:r>
    </w:p>
    <w:tbl>
      <w:tblPr>
        <w:tblStyle w:val="PlainTable2"/>
        <w:tblW w:w="0" w:type="auto"/>
        <w:tblInd w:w="288" w:type="dxa"/>
        <w:tblLook w:val="04A0" w:firstRow="1" w:lastRow="0" w:firstColumn="1" w:lastColumn="0" w:noHBand="0" w:noVBand="1"/>
      </w:tblPr>
      <w:tblGrid>
        <w:gridCol w:w="4788"/>
        <w:gridCol w:w="2610"/>
      </w:tblGrid>
      <w:tr w:rsidR="00533AC3" w:rsidRPr="00AB1B6E" w14:paraId="4D09BD4E" w14:textId="77777777" w:rsidTr="0083214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645505B8" w14:textId="77777777" w:rsidR="00533AC3" w:rsidRPr="00AB1B6E" w:rsidRDefault="00533AC3" w:rsidP="0083214A">
            <w:pPr>
              <w:spacing w:before="120" w:after="120"/>
              <w:rPr>
                <w:noProof/>
              </w:rPr>
            </w:pPr>
            <w:r w:rsidRPr="00AB1B6E">
              <w:rPr>
                <w:rFonts w:cs="Calibri"/>
                <w:noProof/>
                <w:color w:val="000000"/>
              </w:rPr>
              <w:t>Financial programming</w:t>
            </w:r>
          </w:p>
        </w:tc>
        <w:tc>
          <w:tcPr>
            <w:tcW w:w="2610" w:type="dxa"/>
            <w:shd w:val="clear" w:color="auto" w:fill="auto"/>
            <w:vAlign w:val="bottom"/>
          </w:tcPr>
          <w:p w14:paraId="2CC95B22" w14:textId="77777777" w:rsidR="00533AC3" w:rsidRDefault="00533AC3" w:rsidP="0083214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7 553.0</w:t>
            </w:r>
          </w:p>
          <w:p w14:paraId="43B9E16C" w14:textId="616971C4" w:rsidR="00533AC3" w:rsidRPr="00AB1B6E" w:rsidRDefault="00533AC3" w:rsidP="0083214A">
            <w:pPr>
              <w:spacing w:before="120" w:after="120"/>
              <w:jc w:val="center"/>
              <w:cnfStyle w:val="100000000000" w:firstRow="1" w:lastRow="0" w:firstColumn="0" w:lastColumn="0" w:oddVBand="0" w:evenVBand="0" w:oddHBand="0" w:evenHBand="0" w:firstRowFirstColumn="0" w:firstRowLastColumn="0" w:lastRowFirstColumn="0" w:lastRowLastColumn="0"/>
              <w:rPr>
                <w:b w:val="0"/>
                <w:noProof/>
              </w:rPr>
            </w:pPr>
          </w:p>
        </w:tc>
      </w:tr>
      <w:tr w:rsidR="00533AC3" w:rsidRPr="00AB1B6E" w14:paraId="1DE54A40"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09B047B5" w14:textId="77777777" w:rsidR="00533AC3" w:rsidRPr="00AB1B6E" w:rsidRDefault="00533AC3" w:rsidP="0083214A">
            <w:pPr>
              <w:spacing w:before="120" w:after="120"/>
              <w:rPr>
                <w:b w:val="0"/>
                <w:noProof/>
              </w:rPr>
            </w:pPr>
            <w:r w:rsidRPr="00AB1B6E">
              <w:rPr>
                <w:rFonts w:cs="Calibri"/>
                <w:noProof/>
                <w:color w:val="000000"/>
              </w:rPr>
              <w:t>NextGenerationEU</w:t>
            </w:r>
          </w:p>
        </w:tc>
        <w:tc>
          <w:tcPr>
            <w:tcW w:w="2610" w:type="dxa"/>
            <w:vAlign w:val="bottom"/>
          </w:tcPr>
          <w:p w14:paraId="4ABBB395" w14:textId="77777777" w:rsidR="00533AC3" w:rsidRPr="00AB1B6E" w:rsidRDefault="00533AC3"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AB1B6E">
              <w:rPr>
                <w:rFonts w:cs="Calibri"/>
                <w:noProof/>
                <w:color w:val="000000"/>
              </w:rPr>
              <w:t>0</w:t>
            </w:r>
          </w:p>
        </w:tc>
      </w:tr>
      <w:tr w:rsidR="00533AC3" w:rsidRPr="00AB1B6E" w14:paraId="6E19FE07"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005E3B0B" w14:textId="77777777" w:rsidR="00533AC3" w:rsidRPr="00AB1B6E" w:rsidRDefault="00533AC3" w:rsidP="0083214A">
            <w:pPr>
              <w:spacing w:before="120" w:after="120"/>
              <w:rPr>
                <w:b w:val="0"/>
                <w:noProof/>
              </w:rPr>
            </w:pPr>
            <w:r w:rsidRPr="00AB1B6E">
              <w:rPr>
                <w:noProof/>
              </w:rPr>
              <w:t>Decommitments made available again</w:t>
            </w:r>
            <w:r w:rsidRPr="00AB1B6E">
              <w:rPr>
                <w:rFonts w:ascii="Calibri" w:hAnsi="Calibri" w:cs="Calibri"/>
                <w:noProof/>
                <w:color w:val="000000"/>
              </w:rPr>
              <w:t> </w:t>
            </w:r>
            <w:r w:rsidRPr="00AB1B6E">
              <w:rPr>
                <w:rFonts w:cs="Calibri"/>
                <w:noProof/>
                <w:color w:val="000000"/>
              </w:rPr>
              <w:t>(*)</w:t>
            </w:r>
          </w:p>
        </w:tc>
        <w:tc>
          <w:tcPr>
            <w:tcW w:w="2610" w:type="dxa"/>
            <w:vAlign w:val="bottom"/>
          </w:tcPr>
          <w:p w14:paraId="3A0BB48B" w14:textId="253E4E5C" w:rsidR="00533AC3" w:rsidRPr="00AB1B6E" w:rsidRDefault="00533AC3" w:rsidP="0083214A">
            <w:pPr>
              <w:spacing w:before="120" w:after="120"/>
              <w:jc w:val="center"/>
              <w:cnfStyle w:val="000000000000" w:firstRow="0" w:lastRow="0" w:firstColumn="0" w:lastColumn="0" w:oddVBand="0" w:evenVBand="0" w:oddHBand="0" w:evenHBand="0" w:firstRowFirstColumn="0" w:firstRowLastColumn="0" w:lastRowFirstColumn="0" w:lastRowLastColumn="0"/>
              <w:rPr>
                <w:noProof/>
              </w:rPr>
            </w:pPr>
            <w:r w:rsidRPr="325CF28F">
              <w:rPr>
                <w:rFonts w:cs="Calibri"/>
                <w:noProof/>
                <w:color w:val="000000"/>
              </w:rPr>
              <w:t>N/A</w:t>
            </w:r>
          </w:p>
        </w:tc>
      </w:tr>
      <w:tr w:rsidR="00533AC3" w:rsidRPr="00AB1B6E" w14:paraId="36EE2B49"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76335058" w14:textId="77777777" w:rsidR="00533AC3" w:rsidRPr="00AB1B6E" w:rsidRDefault="00533AC3" w:rsidP="0083214A">
            <w:pPr>
              <w:spacing w:before="120" w:after="120"/>
              <w:rPr>
                <w:noProof/>
              </w:rPr>
            </w:pPr>
            <w:r w:rsidRPr="00AB1B6E">
              <w:rPr>
                <w:rFonts w:cs="Calibri"/>
                <w:noProof/>
                <w:color w:val="000000"/>
              </w:rPr>
              <w:t>Contributions from other countries and entities in 2021</w:t>
            </w:r>
          </w:p>
        </w:tc>
        <w:tc>
          <w:tcPr>
            <w:tcW w:w="2610" w:type="dxa"/>
            <w:vAlign w:val="bottom"/>
          </w:tcPr>
          <w:p w14:paraId="299E3F46" w14:textId="77777777" w:rsidR="00533AC3" w:rsidRPr="00AB1B6E" w:rsidRDefault="00533AC3"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AB1B6E">
              <w:rPr>
                <w:rFonts w:cs="Calibri"/>
                <w:noProof/>
                <w:color w:val="000000"/>
              </w:rPr>
              <w:t>23.7</w:t>
            </w:r>
          </w:p>
        </w:tc>
      </w:tr>
      <w:tr w:rsidR="00533AC3" w:rsidRPr="00AB1B6E" w14:paraId="07BB623C"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CFCFC" w:themeFill="background2" w:themeFillTint="33"/>
            <w:vAlign w:val="bottom"/>
          </w:tcPr>
          <w:p w14:paraId="69FF549A" w14:textId="77777777" w:rsidR="00533AC3" w:rsidRPr="00AB1B6E" w:rsidRDefault="00533AC3" w:rsidP="0083214A">
            <w:pPr>
              <w:spacing w:before="120" w:after="120"/>
              <w:rPr>
                <w:noProof/>
              </w:rPr>
            </w:pPr>
            <w:r w:rsidRPr="00AB1B6E">
              <w:rPr>
                <w:rFonts w:cs="Calibri"/>
                <w:noProof/>
                <w:color w:val="000000"/>
              </w:rPr>
              <w:t>Total budget for 2021-2027</w:t>
            </w:r>
          </w:p>
        </w:tc>
        <w:tc>
          <w:tcPr>
            <w:tcW w:w="2610" w:type="dxa"/>
            <w:shd w:val="clear" w:color="auto" w:fill="FCFCFC" w:themeFill="background2" w:themeFillTint="33"/>
            <w:vAlign w:val="bottom"/>
          </w:tcPr>
          <w:p w14:paraId="035D83EC" w14:textId="77777777" w:rsidR="00533AC3" w:rsidRDefault="00533AC3" w:rsidP="00832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noProof/>
                <w:color w:val="000000"/>
              </w:rPr>
            </w:pPr>
            <w:r>
              <w:rPr>
                <w:rFonts w:ascii="Calibri" w:hAnsi="Calibri" w:cs="Calibri"/>
                <w:b/>
                <w:bCs/>
                <w:noProof/>
                <w:color w:val="000000"/>
              </w:rPr>
              <w:t>7 576.7</w:t>
            </w:r>
          </w:p>
          <w:p w14:paraId="359A9E65" w14:textId="6444F852" w:rsidR="00533AC3" w:rsidRPr="00AB1B6E" w:rsidRDefault="00533AC3" w:rsidP="0083214A">
            <w:pPr>
              <w:spacing w:before="120" w:after="120"/>
              <w:jc w:val="center"/>
              <w:cnfStyle w:val="000000000000" w:firstRow="0" w:lastRow="0" w:firstColumn="0" w:lastColumn="0" w:oddVBand="0" w:evenVBand="0" w:oddHBand="0" w:evenHBand="0" w:firstRowFirstColumn="0" w:firstRowLastColumn="0" w:lastRowFirstColumn="0" w:lastRowLastColumn="0"/>
              <w:rPr>
                <w:b/>
                <w:noProof/>
              </w:rPr>
            </w:pPr>
          </w:p>
        </w:tc>
      </w:tr>
    </w:tbl>
    <w:p w14:paraId="3AB44D99" w14:textId="77777777" w:rsidR="00533AC3" w:rsidRPr="005A4965" w:rsidRDefault="00533AC3" w:rsidP="00533AC3">
      <w:pPr>
        <w:tabs>
          <w:tab w:val="left" w:pos="6793"/>
        </w:tabs>
        <w:rPr>
          <w:noProof/>
          <w:sz w:val="18"/>
        </w:rPr>
      </w:pPr>
      <w:r w:rsidRPr="00AB1B6E">
        <w:rPr>
          <w:noProof/>
          <w:sz w:val="18"/>
          <w:szCs w:val="18"/>
        </w:rPr>
        <w:t>(*)</w:t>
      </w:r>
      <w:r w:rsidRPr="005A4965">
        <w:rPr>
          <w:noProof/>
          <w:sz w:val="18"/>
        </w:rPr>
        <w:t xml:space="preserve"> Only </w:t>
      </w:r>
      <w:r w:rsidRPr="00AB1B6E">
        <w:rPr>
          <w:noProof/>
          <w:sz w:val="18"/>
          <w:szCs w:val="18"/>
        </w:rPr>
        <w:t>Article</w:t>
      </w:r>
      <w:r w:rsidRPr="00AB1B6E">
        <w:rPr>
          <w:rFonts w:ascii="Calibri" w:hAnsi="Calibri" w:cs="Calibri"/>
          <w:noProof/>
          <w:sz w:val="18"/>
          <w:szCs w:val="18"/>
        </w:rPr>
        <w:t> </w:t>
      </w:r>
      <w:r w:rsidRPr="005A4965">
        <w:rPr>
          <w:noProof/>
          <w:sz w:val="18"/>
        </w:rPr>
        <w:t>15</w:t>
      </w:r>
      <w:r w:rsidRPr="00AB1B6E">
        <w:rPr>
          <w:noProof/>
          <w:sz w:val="18"/>
          <w:szCs w:val="18"/>
        </w:rPr>
        <w:t>(</w:t>
      </w:r>
      <w:r w:rsidRPr="00133B51">
        <w:rPr>
          <w:noProof/>
          <w:sz w:val="18"/>
        </w:rPr>
        <w:t>3</w:t>
      </w:r>
      <w:r w:rsidRPr="00AB1B6E">
        <w:rPr>
          <w:noProof/>
          <w:sz w:val="18"/>
          <w:szCs w:val="18"/>
        </w:rPr>
        <w:t>) of the financial regulation.</w:t>
      </w:r>
    </w:p>
    <w:p w14:paraId="3211AA18" w14:textId="77777777" w:rsidR="00533AC3" w:rsidRPr="00AB1B6E" w:rsidRDefault="00533AC3" w:rsidP="00533AC3">
      <w:pPr>
        <w:pStyle w:val="ppoHeading5"/>
        <w:rPr>
          <w:noProof/>
        </w:rPr>
      </w:pPr>
      <w:r w:rsidRPr="00AB1B6E">
        <w:rPr>
          <w:noProof/>
        </w:rPr>
        <w:t>Rationale and design of the programme</w:t>
      </w:r>
    </w:p>
    <w:p w14:paraId="6AB72771" w14:textId="77777777" w:rsidR="00533AC3" w:rsidRPr="00AB1B6E" w:rsidRDefault="00533AC3" w:rsidP="00533AC3">
      <w:pPr>
        <w:pStyle w:val="PSNormal12"/>
        <w:spacing w:before="240" w:after="120"/>
        <w:jc w:val="both"/>
        <w:rPr>
          <w:rFonts w:ascii="EC Square Sans Pro" w:eastAsiaTheme="minorHAnsi" w:hAnsi="EC Square Sans Pro" w:cstheme="minorBidi"/>
          <w:noProof/>
          <w:sz w:val="22"/>
          <w:szCs w:val="22"/>
          <w:lang w:eastAsia="en-US"/>
        </w:rPr>
      </w:pPr>
      <w:r w:rsidRPr="00AB1B6E">
        <w:rPr>
          <w:rFonts w:ascii="EC Square Sans Pro" w:eastAsiaTheme="minorHAnsi" w:hAnsi="EC Square Sans Pro" w:cstheme="minorBidi"/>
          <w:noProof/>
          <w:sz w:val="22"/>
          <w:szCs w:val="22"/>
          <w:lang w:eastAsia="en-US"/>
        </w:rPr>
        <w:t xml:space="preserve">The European Defence Fund (EDF) was launched as the cornerstone of the European defence action plan. The fund </w:t>
      </w:r>
      <w:r w:rsidRPr="00133B51">
        <w:rPr>
          <w:rFonts w:ascii="EC Square Sans Pro" w:eastAsiaTheme="minorHAnsi" w:hAnsi="EC Square Sans Pro"/>
          <w:noProof/>
          <w:sz w:val="22"/>
        </w:rPr>
        <w:t>is inextricably linked to</w:t>
      </w:r>
      <w:r w:rsidRPr="00AB1B6E">
        <w:rPr>
          <w:rFonts w:ascii="EC Square Sans Pro" w:eastAsiaTheme="minorHAnsi" w:hAnsi="EC Square Sans Pro" w:cstheme="minorBidi"/>
          <w:noProof/>
          <w:sz w:val="22"/>
          <w:szCs w:val="22"/>
          <w:lang w:eastAsia="en-US"/>
        </w:rPr>
        <w:t xml:space="preserve"> the EU’s initiatives on a more integrated European defence market. By encouraging cooperation, the EU can help maximise the output and quality of Member States’ investment in defence. The EDF</w:t>
      </w:r>
      <w:r w:rsidRPr="00AB1B6E" w:rsidDel="00B31EE6">
        <w:rPr>
          <w:rFonts w:ascii="EC Square Sans Pro" w:eastAsiaTheme="minorHAnsi" w:hAnsi="EC Square Sans Pro" w:cstheme="minorBidi"/>
          <w:noProof/>
          <w:sz w:val="22"/>
          <w:szCs w:val="22"/>
          <w:lang w:eastAsia="en-US"/>
        </w:rPr>
        <w:t xml:space="preserve"> </w:t>
      </w:r>
      <w:r w:rsidRPr="00AB1B6E">
        <w:rPr>
          <w:rFonts w:ascii="EC Square Sans Pro" w:eastAsiaTheme="minorHAnsi" w:hAnsi="EC Square Sans Pro" w:cstheme="minorBidi"/>
          <w:noProof/>
          <w:sz w:val="22"/>
          <w:szCs w:val="22"/>
          <w:lang w:eastAsia="en-US"/>
        </w:rPr>
        <w:t>will bring EU added value by incentivising joint research on and the development of products and technologies in the area of defence to increase the efficiency of public expenditure and contribute to the EU’s operational autonomy. The EDF should complement rather than substitute national funding already used for this purpose, acting as an incentive for Member States to cooperate and to invest more in defence.</w:t>
      </w:r>
    </w:p>
    <w:p w14:paraId="0F711A42" w14:textId="77777777" w:rsidR="00533AC3" w:rsidRPr="00AB1B6E" w:rsidRDefault="00533AC3" w:rsidP="00533AC3">
      <w:pPr>
        <w:pStyle w:val="ppoHeading6"/>
        <w:rPr>
          <w:noProof/>
        </w:rPr>
      </w:pPr>
      <w:r w:rsidRPr="00AB1B6E">
        <w:rPr>
          <w:noProof/>
        </w:rPr>
        <w:t>Challenge</w:t>
      </w:r>
    </w:p>
    <w:p w14:paraId="0109014A" w14:textId="77777777" w:rsidR="00533AC3" w:rsidRPr="00AB1B6E" w:rsidRDefault="00533AC3" w:rsidP="00533AC3">
      <w:pPr>
        <w:rPr>
          <w:noProof/>
        </w:rPr>
      </w:pPr>
      <w:r w:rsidRPr="00AB1B6E">
        <w:rPr>
          <w:noProof/>
        </w:rPr>
        <w:t>The EU defence sector is essential for the future of the EU. It plays a key role in ensuring the EU’s strategic sovereignty and its capacity to act as a security provider. Yet the sector faces challenges that call into question the preservation of its competitiveness and its technological edge. These may weaken the technological advantage of the sector and hamper its ability to develop defence systems that are crucial for the security of the EU and its Member States.</w:t>
      </w:r>
    </w:p>
    <w:p w14:paraId="518326E9" w14:textId="77777777" w:rsidR="00533AC3" w:rsidRPr="00AB1B6E" w:rsidRDefault="00533AC3" w:rsidP="00533AC3">
      <w:pPr>
        <w:rPr>
          <w:noProof/>
        </w:rPr>
      </w:pPr>
      <w:r w:rsidRPr="00AB1B6E">
        <w:rPr>
          <w:noProof/>
        </w:rPr>
        <w:t>Tackling these challenges calls for action at the EU level for a number of reasons.</w:t>
      </w:r>
    </w:p>
    <w:p w14:paraId="2F7886DF" w14:textId="77777777" w:rsidR="00533AC3" w:rsidRPr="00AB1B6E" w:rsidRDefault="00533AC3" w:rsidP="00533AC3">
      <w:pPr>
        <w:pStyle w:val="ppoListHyphened-L1"/>
        <w:jc w:val="both"/>
        <w:rPr>
          <w:noProof/>
        </w:rPr>
      </w:pPr>
      <w:r w:rsidRPr="00AB1B6E">
        <w:rPr>
          <w:noProof/>
        </w:rPr>
        <w:t>The costs of defence systems are rising, and include a high proportion of research and development costs.</w:t>
      </w:r>
      <w:r w:rsidRPr="00AB1B6E" w:rsidDel="009852C3">
        <w:rPr>
          <w:noProof/>
        </w:rPr>
        <w:t xml:space="preserve"> </w:t>
      </w:r>
      <w:r w:rsidRPr="00AB1B6E">
        <w:rPr>
          <w:noProof/>
        </w:rPr>
        <w:t xml:space="preserve">Combined with </w:t>
      </w:r>
      <w:r w:rsidRPr="00AB1B6E">
        <w:rPr>
          <w:rFonts w:ascii="Times New Roman" w:hAnsi="Times New Roman" w:cs="Times New Roman"/>
          <w:noProof/>
          <w:sz w:val="20"/>
          <w:szCs w:val="20"/>
        </w:rPr>
        <w:t xml:space="preserve">the </w:t>
      </w:r>
      <w:r w:rsidRPr="00AB1B6E">
        <w:rPr>
          <w:noProof/>
        </w:rPr>
        <w:t>significant cuts made to EU Member States’</w:t>
      </w:r>
      <w:r w:rsidRPr="005A4965">
        <w:rPr>
          <w:rFonts w:ascii="Times New Roman" w:hAnsi="Times New Roman"/>
          <w:noProof/>
          <w:sz w:val="20"/>
        </w:rPr>
        <w:t xml:space="preserve"> </w:t>
      </w:r>
      <w:r w:rsidRPr="00AB1B6E">
        <w:rPr>
          <w:noProof/>
        </w:rPr>
        <w:t>defence budgets in the near past,</w:t>
      </w:r>
      <w:r w:rsidRPr="00AB1B6E">
        <w:rPr>
          <w:rFonts w:ascii="Times New Roman" w:hAnsi="Times New Roman" w:cs="Times New Roman"/>
          <w:noProof/>
          <w:sz w:val="20"/>
          <w:szCs w:val="20"/>
        </w:rPr>
        <w:t xml:space="preserve"> </w:t>
      </w:r>
      <w:r w:rsidRPr="00AB1B6E">
        <w:rPr>
          <w:noProof/>
        </w:rPr>
        <w:t>the development of new high-end defence systems is increasingly beyond the capacity of individual Member States.</w:t>
      </w:r>
    </w:p>
    <w:p w14:paraId="3DDAF03B" w14:textId="77777777" w:rsidR="00533AC3" w:rsidRPr="00AB1B6E" w:rsidRDefault="00533AC3" w:rsidP="00533AC3">
      <w:pPr>
        <w:pStyle w:val="ppoListHyphened-L1"/>
        <w:jc w:val="both"/>
        <w:rPr>
          <w:noProof/>
        </w:rPr>
      </w:pPr>
      <w:r w:rsidRPr="00AB1B6E">
        <w:rPr>
          <w:noProof/>
        </w:rPr>
        <w:t>Moreover, cooperation in the defence sector remains very weak. European collaborative equipment expenditure stands at only 18% of total defence spending for equipment procurement, against an ambition of 35%. Only 7.3% of total defence research and technology development is collaborative, against an ambition of 20%.</w:t>
      </w:r>
    </w:p>
    <w:p w14:paraId="133ECB66" w14:textId="77777777" w:rsidR="00533AC3" w:rsidRPr="00AB1B6E" w:rsidRDefault="00533AC3" w:rsidP="00533AC3">
      <w:pPr>
        <w:pStyle w:val="ppoListHyphened-L1"/>
        <w:jc w:val="both"/>
        <w:rPr>
          <w:noProof/>
        </w:rPr>
      </w:pPr>
      <w:r w:rsidRPr="00AB1B6E">
        <w:rPr>
          <w:noProof/>
        </w:rPr>
        <w:t xml:space="preserve">Finally, </w:t>
      </w:r>
      <w:bookmarkStart w:id="223" w:name="_Hlk101519390"/>
      <w:r w:rsidRPr="00AB1B6E">
        <w:rPr>
          <w:noProof/>
        </w:rPr>
        <w:t xml:space="preserve">the </w:t>
      </w:r>
      <w:r w:rsidRPr="0069528E">
        <w:rPr>
          <w:noProof/>
        </w:rPr>
        <w:t>European</w:t>
      </w:r>
      <w:r w:rsidRPr="00AB1B6E">
        <w:rPr>
          <w:noProof/>
        </w:rPr>
        <w:t xml:space="preserve"> defence industry and markets remain fragmented </w:t>
      </w:r>
      <w:bookmarkEnd w:id="223"/>
      <w:r w:rsidRPr="00AB1B6E">
        <w:rPr>
          <w:noProof/>
        </w:rPr>
        <w:t>along national borders, with unnecessary duplications despite limited investment.</w:t>
      </w:r>
    </w:p>
    <w:p w14:paraId="6B0DB1DD" w14:textId="77777777" w:rsidR="00533AC3" w:rsidRPr="00AB1B6E" w:rsidRDefault="00533AC3" w:rsidP="00533AC3">
      <w:pPr>
        <w:pStyle w:val="ppoHeading6"/>
        <w:rPr>
          <w:noProof/>
        </w:rPr>
      </w:pPr>
      <w:r w:rsidRPr="00AB1B6E">
        <w:rPr>
          <w:noProof/>
        </w:rPr>
        <w:t>Mission</w:t>
      </w:r>
    </w:p>
    <w:p w14:paraId="076D52C4" w14:textId="77777777" w:rsidR="00533AC3" w:rsidRPr="00AB1B6E" w:rsidRDefault="00533AC3" w:rsidP="00533AC3">
      <w:pPr>
        <w:rPr>
          <w:noProof/>
        </w:rPr>
      </w:pPr>
      <w:r w:rsidRPr="00AB1B6E">
        <w:rPr>
          <w:noProof/>
        </w:rPr>
        <w:t xml:space="preserve">The EDF seeks to foster collaboration amongst the Member States, overcome fragmentation and enhance the competitiveness and the technological sovereignty of the </w:t>
      </w:r>
      <w:r w:rsidRPr="0069528E">
        <w:rPr>
          <w:noProof/>
        </w:rPr>
        <w:t>European</w:t>
      </w:r>
      <w:r w:rsidRPr="00AB1B6E">
        <w:rPr>
          <w:noProof/>
        </w:rPr>
        <w:t xml:space="preserve"> defence industry.</w:t>
      </w:r>
    </w:p>
    <w:p w14:paraId="080CD6D7" w14:textId="77777777" w:rsidR="00533AC3" w:rsidRPr="00AB1B6E" w:rsidRDefault="00533AC3" w:rsidP="00533AC3">
      <w:pPr>
        <w:pStyle w:val="ppoHeading6"/>
        <w:rPr>
          <w:noProof/>
        </w:rPr>
      </w:pPr>
      <w:r w:rsidRPr="00AB1B6E">
        <w:rPr>
          <w:noProof/>
        </w:rPr>
        <w:t>Objectives</w:t>
      </w:r>
    </w:p>
    <w:p w14:paraId="6F9A9AF8" w14:textId="77777777" w:rsidR="00533AC3" w:rsidRPr="00AB1B6E" w:rsidRDefault="00533AC3" w:rsidP="00533AC3">
      <w:pPr>
        <w:rPr>
          <w:noProof/>
        </w:rPr>
      </w:pPr>
      <w:r w:rsidRPr="00AB1B6E">
        <w:rPr>
          <w:noProof/>
        </w:rPr>
        <w:t>The EDF has the following specific objectives: (1) support collaborative defence research that could significantly boost the performance of future capabilities throughout the EU; and (2) support collaborative development of defence products and technologies consistent with defence capability priorities commonly agreed by Member States. The fund aims at providing consistent support throughout the full research and development cycle.</w:t>
      </w:r>
    </w:p>
    <w:p w14:paraId="19380406" w14:textId="77777777" w:rsidR="00533AC3" w:rsidRPr="00AB1B6E" w:rsidRDefault="00533AC3" w:rsidP="00533AC3">
      <w:pPr>
        <w:pStyle w:val="ppoHeading6"/>
        <w:rPr>
          <w:noProof/>
        </w:rPr>
      </w:pPr>
      <w:r w:rsidRPr="00AB1B6E">
        <w:rPr>
          <w:noProof/>
        </w:rPr>
        <w:t>Actions</w:t>
      </w:r>
    </w:p>
    <w:p w14:paraId="14FF0B43" w14:textId="77777777" w:rsidR="00533AC3" w:rsidRPr="00AB1B6E" w:rsidRDefault="00533AC3" w:rsidP="00533AC3">
      <w:pPr>
        <w:spacing w:before="120" w:after="120"/>
        <w:rPr>
          <w:noProof/>
        </w:rPr>
      </w:pPr>
      <w:r w:rsidRPr="00AB1B6E">
        <w:rPr>
          <w:noProof/>
        </w:rPr>
        <w:t>The EDF provides financial support primarily in the form of grants. In principle, only actions undertaken on the basis of cooperation between at least three entities from at least three different Member States are eligible.</w:t>
      </w:r>
    </w:p>
    <w:p w14:paraId="175FBBD8" w14:textId="77777777" w:rsidR="00533AC3" w:rsidRPr="00AB1B6E" w:rsidRDefault="00533AC3" w:rsidP="00533AC3">
      <w:pPr>
        <w:spacing w:before="120" w:after="120"/>
        <w:rPr>
          <w:noProof/>
        </w:rPr>
      </w:pPr>
      <w:r w:rsidRPr="00AB1B6E">
        <w:rPr>
          <w:noProof/>
        </w:rPr>
        <w:t>The cross-border participation of small and medium-sized enterprises and mid-capitalisation companies is further strengthened by the bonus system and the relevant award criterion with regard to the participation of small and medium-sized enterprises provided for by the EDF regulation and by the introduction of dedicated call categories in the annual work programmes.</w:t>
      </w:r>
    </w:p>
    <w:p w14:paraId="4EB61147" w14:textId="77777777" w:rsidR="00533AC3" w:rsidRPr="00AB1B6E" w:rsidRDefault="00533AC3" w:rsidP="00533AC3">
      <w:pPr>
        <w:spacing w:before="120" w:after="120"/>
        <w:rPr>
          <w:noProof/>
        </w:rPr>
      </w:pPr>
      <w:r w:rsidRPr="00AB1B6E">
        <w:rPr>
          <w:noProof/>
        </w:rPr>
        <w:t>To enhance the sector’s innovation capacity and increase the emergence of new products and technologies, the EDF also supports disruptive defence technologies, taking into account their specificities, such as increased risk of project failure and the potential of attracting non-traditional players to the defence sector. In accordance with the EDF regulation, 4-8% of the EDF’s overall budget is to be dedicated to research and development in disruptive technologies.</w:t>
      </w:r>
    </w:p>
    <w:p w14:paraId="39C1B965" w14:textId="77777777" w:rsidR="00533AC3" w:rsidRPr="00AB1B6E" w:rsidRDefault="00533AC3" w:rsidP="00533AC3">
      <w:pPr>
        <w:pStyle w:val="ppoHeading6"/>
        <w:rPr>
          <w:noProof/>
        </w:rPr>
      </w:pPr>
      <w:r w:rsidRPr="00AB1B6E">
        <w:rPr>
          <w:noProof/>
        </w:rPr>
        <w:t>Delivery mode</w:t>
      </w:r>
    </w:p>
    <w:p w14:paraId="57F2210C" w14:textId="77777777" w:rsidR="00533AC3" w:rsidRPr="00AB1B6E" w:rsidRDefault="00533AC3" w:rsidP="00533AC3">
      <w:pPr>
        <w:rPr>
          <w:noProof/>
        </w:rPr>
      </w:pPr>
      <w:r w:rsidRPr="00AB1B6E">
        <w:rPr>
          <w:noProof/>
        </w:rPr>
        <w:t>The EDF is implemented through direct management by the Directorate-General for Defence Industry and Space. On an ad hoc basis, and if justified, specific initiatives may be implemented under indirect management.</w:t>
      </w:r>
    </w:p>
    <w:p w14:paraId="7EEA9C87" w14:textId="77777777" w:rsidR="00533AC3" w:rsidRPr="00AB1B6E" w:rsidRDefault="00533AC3" w:rsidP="00533AC3">
      <w:pPr>
        <w:pStyle w:val="ppoHeading6"/>
        <w:rPr>
          <w:noProof/>
        </w:rPr>
      </w:pPr>
      <w:r w:rsidRPr="00AB1B6E">
        <w:rPr>
          <w:noProof/>
        </w:rPr>
        <w:t>LINK TO THE 2014-2020 multiannual financial framework</w:t>
      </w:r>
    </w:p>
    <w:p w14:paraId="0983D8B6" w14:textId="77777777" w:rsidR="00533AC3" w:rsidRPr="00AB1B6E" w:rsidRDefault="00533AC3" w:rsidP="00533AC3">
      <w:pPr>
        <w:rPr>
          <w:noProof/>
        </w:rPr>
      </w:pPr>
      <w:r w:rsidRPr="00AB1B6E">
        <w:rPr>
          <w:noProof/>
        </w:rPr>
        <w:t xml:space="preserve">The EDF will build and expand on the experience acquired through two precursor programmes implemented under the 2014-2020 multiannual financial framework, namely the preparatory action on defence research and the </w:t>
      </w:r>
      <w:r w:rsidRPr="00AB1B6E" w:rsidDel="005D0559">
        <w:rPr>
          <w:noProof/>
        </w:rPr>
        <w:t xml:space="preserve">European </w:t>
      </w:r>
      <w:bookmarkStart w:id="224" w:name="_Hlk101517918"/>
      <w:r w:rsidRPr="00AB1B6E">
        <w:rPr>
          <w:noProof/>
        </w:rPr>
        <w:t xml:space="preserve">defence industrial development programme </w:t>
      </w:r>
      <w:bookmarkEnd w:id="224"/>
      <w:r w:rsidRPr="00AB1B6E">
        <w:rPr>
          <w:noProof/>
        </w:rPr>
        <w:t>(EDIDP).</w:t>
      </w:r>
    </w:p>
    <w:p w14:paraId="221D86BA" w14:textId="77777777" w:rsidR="00533AC3" w:rsidRPr="00AB1B6E" w:rsidRDefault="00533AC3" w:rsidP="00533AC3">
      <w:pPr>
        <w:rPr>
          <w:noProof/>
        </w:rPr>
      </w:pPr>
      <w:r w:rsidRPr="00AB1B6E">
        <w:rPr>
          <w:noProof/>
        </w:rPr>
        <w:t>The design of the fund largely builds on the architecture of these two 2014-2020 programmes, but it will be implemented as one single fund. The EDF will lead to better exploitation of defence research results, bridging the gap between the research and the development phases and promoting all forms of innovation, including support for disruptive defence technologies. It will encourage small and medium-sized enterprises and entities not yet involved in defence-specific research and development to participate in the programme and to be involved in cross-border cooperation.</w:t>
      </w:r>
    </w:p>
    <w:p w14:paraId="61C6416B" w14:textId="77777777" w:rsidR="00533AC3" w:rsidRPr="00AB1B6E" w:rsidRDefault="00533AC3" w:rsidP="00533AC3">
      <w:pPr>
        <w:pStyle w:val="ppoHeading6"/>
        <w:rPr>
          <w:noProof/>
        </w:rPr>
      </w:pPr>
      <w:r w:rsidRPr="00AB1B6E">
        <w:rPr>
          <w:noProof/>
        </w:rPr>
        <w:t>Impact assessment</w:t>
      </w:r>
    </w:p>
    <w:p w14:paraId="0DC89A63" w14:textId="77777777" w:rsidR="00533AC3" w:rsidRPr="00AB1B6E" w:rsidRDefault="00533AC3" w:rsidP="00533AC3">
      <w:pPr>
        <w:rPr>
          <w:noProof/>
        </w:rPr>
      </w:pPr>
      <w:r w:rsidRPr="00AB1B6E">
        <w:rPr>
          <w:noProof/>
        </w:rPr>
        <w:t>The impact assessment of the EDF programme</w:t>
      </w:r>
      <w:r w:rsidRPr="00317717">
        <w:rPr>
          <w:rFonts w:cs="Calibri"/>
          <w:noProof/>
        </w:rPr>
        <w:t xml:space="preserve"> </w:t>
      </w:r>
      <w:r w:rsidRPr="00AB1B6E">
        <w:rPr>
          <w:noProof/>
        </w:rPr>
        <w:t>was carried out in 2018.</w:t>
      </w:r>
    </w:p>
    <w:p w14:paraId="63D78CBF" w14:textId="77777777" w:rsidR="00533AC3" w:rsidRPr="00AB1B6E" w:rsidRDefault="00533AC3" w:rsidP="00533AC3">
      <w:pPr>
        <w:rPr>
          <w:noProof/>
        </w:rPr>
      </w:pPr>
      <w:r w:rsidRPr="00AB1B6E">
        <w:rPr>
          <w:noProof/>
        </w:rPr>
        <w:t xml:space="preserve">For further information please consult </w:t>
      </w:r>
      <w:hyperlink r:id="rId512" w:history="1">
        <w:r w:rsidRPr="00AB1B6E">
          <w:rPr>
            <w:rStyle w:val="Hyperlink"/>
            <w:noProof/>
          </w:rPr>
          <w:t>https://eur-lex.europa.eu/legal-content/EN/TXT/?uri=CELEX:52018SC0345</w:t>
        </w:r>
      </w:hyperlink>
    </w:p>
    <w:p w14:paraId="5F3F71D9" w14:textId="77777777" w:rsidR="00533AC3" w:rsidRPr="00AB1B6E" w:rsidRDefault="00533AC3" w:rsidP="00533AC3">
      <w:pPr>
        <w:pStyle w:val="ppoHeading6"/>
        <w:rPr>
          <w:noProof/>
        </w:rPr>
      </w:pPr>
      <w:r w:rsidRPr="00AB1B6E">
        <w:rPr>
          <w:noProof/>
        </w:rPr>
        <w:t>WEBSITE FOR more information</w:t>
      </w:r>
    </w:p>
    <w:p w14:paraId="1FFF7258" w14:textId="77777777" w:rsidR="00533AC3" w:rsidRPr="00133B51" w:rsidRDefault="00E01E9B" w:rsidP="00533AC3">
      <w:pPr>
        <w:rPr>
          <w:rStyle w:val="Hyperlink"/>
          <w:noProof/>
        </w:rPr>
      </w:pPr>
      <w:hyperlink r:id="rId513" w:history="1">
        <w:r w:rsidR="00533AC3" w:rsidRPr="00133B51">
          <w:rPr>
            <w:rStyle w:val="Hyperlink"/>
            <w:noProof/>
          </w:rPr>
          <w:t>The European Defence Fund (EDF) (europa.eu)</w:t>
        </w:r>
      </w:hyperlink>
    </w:p>
    <w:p w14:paraId="25D24BA6" w14:textId="77777777" w:rsidR="00533AC3" w:rsidRPr="00AB1B6E" w:rsidRDefault="00533AC3" w:rsidP="00533AC3">
      <w:pPr>
        <w:pStyle w:val="ppoHeading5"/>
        <w:rPr>
          <w:noProof/>
        </w:rPr>
      </w:pPr>
      <w:r w:rsidRPr="00AB1B6E">
        <w:rPr>
          <w:rFonts w:eastAsiaTheme="minorEastAsia"/>
          <w:noProof/>
        </w:rPr>
        <w:t>Legal basis</w:t>
      </w:r>
    </w:p>
    <w:p w14:paraId="0FACE331" w14:textId="77777777" w:rsidR="00533AC3" w:rsidRPr="00AB1B6E" w:rsidRDefault="00533AC3" w:rsidP="00533AC3">
      <w:pPr>
        <w:rPr>
          <w:noProof/>
        </w:rPr>
      </w:pPr>
      <w:r w:rsidRPr="00AB1B6E">
        <w:rPr>
          <w:noProof/>
        </w:rPr>
        <w:t>Regulation (EU) 2021/697 of the European Parliament and of the Council.</w:t>
      </w:r>
    </w:p>
    <w:p w14:paraId="76949801" w14:textId="77777777" w:rsidR="00533AC3" w:rsidRPr="00AB1B6E" w:rsidRDefault="00533AC3" w:rsidP="00533AC3">
      <w:pPr>
        <w:pStyle w:val="ppoHeading4Blue"/>
        <w:rPr>
          <w:caps/>
          <w:noProof/>
        </w:rPr>
      </w:pPr>
      <w:r w:rsidRPr="00AB1B6E">
        <w:rPr>
          <w:noProof/>
        </w:rPr>
        <w:t>Implementation and performance</w:t>
      </w:r>
    </w:p>
    <w:p w14:paraId="3D9849F6" w14:textId="77777777" w:rsidR="00533AC3" w:rsidRPr="00AB1B6E" w:rsidRDefault="00533AC3" w:rsidP="00533AC3">
      <w:pPr>
        <w:pStyle w:val="ppoHeading5"/>
        <w:rPr>
          <w:noProof/>
        </w:rPr>
      </w:pPr>
      <w:r w:rsidRPr="00AB1B6E">
        <w:rPr>
          <w:noProof/>
        </w:rPr>
        <w:t>Budget</w:t>
      </w:r>
    </w:p>
    <w:p w14:paraId="165A35EA" w14:textId="77777777" w:rsidR="00533AC3" w:rsidRPr="00AB1B6E" w:rsidRDefault="00533AC3" w:rsidP="00533AC3">
      <w:pPr>
        <w:pStyle w:val="ppoTableTabletitle"/>
        <w:rPr>
          <w:noProof/>
        </w:rPr>
      </w:pPr>
      <w:r w:rsidRPr="00AB1B6E">
        <w:rPr>
          <w:noProof/>
        </w:rPr>
        <w:t>Budget programming (</w:t>
      </w:r>
      <w:r w:rsidRPr="00AB1B6E" w:rsidDel="00B31EE6">
        <w:rPr>
          <w:noProof/>
        </w:rPr>
        <w:t>million</w:t>
      </w:r>
      <w:r w:rsidRPr="00AB1B6E">
        <w:rPr>
          <w:noProof/>
        </w:rPr>
        <w:t xml:space="preserve"> 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533AC3" w:rsidRPr="00AB1B6E" w14:paraId="77B76755" w14:textId="77777777" w:rsidTr="0083214A">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1DD319CB" w14:textId="77777777" w:rsidR="00533AC3" w:rsidRPr="00AB1B6E" w:rsidRDefault="00533AC3" w:rsidP="0083214A">
            <w:pPr>
              <w:rPr>
                <w:noProof/>
              </w:rPr>
            </w:pPr>
          </w:p>
        </w:tc>
        <w:tc>
          <w:tcPr>
            <w:tcW w:w="943" w:type="dxa"/>
            <w:noWrap/>
            <w:hideMark/>
          </w:tcPr>
          <w:p w14:paraId="469134AC" w14:textId="77777777" w:rsidR="00533AC3" w:rsidRPr="00AB1B6E" w:rsidRDefault="00533AC3" w:rsidP="0083214A">
            <w:pPr>
              <w:rPr>
                <w:noProof/>
              </w:rPr>
            </w:pPr>
            <w:r w:rsidRPr="00AB1B6E">
              <w:rPr>
                <w:noProof/>
              </w:rPr>
              <w:t>2021</w:t>
            </w:r>
          </w:p>
        </w:tc>
        <w:tc>
          <w:tcPr>
            <w:tcW w:w="944" w:type="dxa"/>
            <w:noWrap/>
            <w:hideMark/>
          </w:tcPr>
          <w:p w14:paraId="4B9E7F9A" w14:textId="77777777" w:rsidR="00533AC3" w:rsidRPr="00AB1B6E" w:rsidRDefault="00533AC3" w:rsidP="0083214A">
            <w:pPr>
              <w:rPr>
                <w:noProof/>
              </w:rPr>
            </w:pPr>
            <w:r w:rsidRPr="00AB1B6E">
              <w:rPr>
                <w:noProof/>
              </w:rPr>
              <w:t>2022</w:t>
            </w:r>
          </w:p>
        </w:tc>
        <w:tc>
          <w:tcPr>
            <w:tcW w:w="943" w:type="dxa"/>
            <w:noWrap/>
            <w:hideMark/>
          </w:tcPr>
          <w:p w14:paraId="1A921DF9" w14:textId="77777777" w:rsidR="00533AC3" w:rsidRPr="00AB1B6E" w:rsidRDefault="00533AC3" w:rsidP="0083214A">
            <w:pPr>
              <w:rPr>
                <w:noProof/>
              </w:rPr>
            </w:pPr>
            <w:r w:rsidRPr="00AB1B6E">
              <w:rPr>
                <w:noProof/>
              </w:rPr>
              <w:t>2023</w:t>
            </w:r>
          </w:p>
        </w:tc>
        <w:tc>
          <w:tcPr>
            <w:tcW w:w="944" w:type="dxa"/>
            <w:noWrap/>
            <w:hideMark/>
          </w:tcPr>
          <w:p w14:paraId="7294A9ED" w14:textId="77777777" w:rsidR="00533AC3" w:rsidRPr="00AB1B6E" w:rsidRDefault="00533AC3" w:rsidP="0083214A">
            <w:pPr>
              <w:rPr>
                <w:noProof/>
              </w:rPr>
            </w:pPr>
            <w:r w:rsidRPr="00AB1B6E">
              <w:rPr>
                <w:noProof/>
              </w:rPr>
              <w:t>2024</w:t>
            </w:r>
          </w:p>
        </w:tc>
        <w:tc>
          <w:tcPr>
            <w:tcW w:w="944" w:type="dxa"/>
            <w:noWrap/>
            <w:hideMark/>
          </w:tcPr>
          <w:p w14:paraId="4C47EC72" w14:textId="77777777" w:rsidR="00533AC3" w:rsidRPr="00AB1B6E" w:rsidRDefault="00533AC3" w:rsidP="0083214A">
            <w:pPr>
              <w:rPr>
                <w:noProof/>
              </w:rPr>
            </w:pPr>
            <w:r w:rsidRPr="00AB1B6E">
              <w:rPr>
                <w:noProof/>
              </w:rPr>
              <w:t>2025</w:t>
            </w:r>
          </w:p>
        </w:tc>
        <w:tc>
          <w:tcPr>
            <w:tcW w:w="943" w:type="dxa"/>
            <w:noWrap/>
            <w:hideMark/>
          </w:tcPr>
          <w:p w14:paraId="7E46BB49" w14:textId="77777777" w:rsidR="00533AC3" w:rsidRPr="00AB1B6E" w:rsidRDefault="00533AC3" w:rsidP="0083214A">
            <w:pPr>
              <w:rPr>
                <w:noProof/>
              </w:rPr>
            </w:pPr>
            <w:r w:rsidRPr="00AB1B6E">
              <w:rPr>
                <w:noProof/>
              </w:rPr>
              <w:t>2026</w:t>
            </w:r>
          </w:p>
        </w:tc>
        <w:tc>
          <w:tcPr>
            <w:tcW w:w="944" w:type="dxa"/>
            <w:noWrap/>
            <w:hideMark/>
          </w:tcPr>
          <w:p w14:paraId="7A8BD29B" w14:textId="77777777" w:rsidR="00533AC3" w:rsidRPr="00AB1B6E" w:rsidRDefault="00533AC3" w:rsidP="0083214A">
            <w:pPr>
              <w:rPr>
                <w:noProof/>
              </w:rPr>
            </w:pPr>
            <w:r w:rsidRPr="00AB1B6E">
              <w:rPr>
                <w:noProof/>
              </w:rPr>
              <w:t>2027</w:t>
            </w:r>
          </w:p>
        </w:tc>
        <w:tc>
          <w:tcPr>
            <w:tcW w:w="944" w:type="dxa"/>
            <w:noWrap/>
            <w:hideMark/>
          </w:tcPr>
          <w:p w14:paraId="611B8482" w14:textId="77777777" w:rsidR="00533AC3" w:rsidRPr="00AB1B6E" w:rsidRDefault="00533AC3" w:rsidP="0083214A">
            <w:pPr>
              <w:rPr>
                <w:noProof/>
              </w:rPr>
            </w:pPr>
            <w:r w:rsidRPr="00AB1B6E">
              <w:rPr>
                <w:noProof/>
              </w:rPr>
              <w:t>Total</w:t>
            </w:r>
          </w:p>
        </w:tc>
      </w:tr>
      <w:tr w:rsidR="00533AC3" w:rsidRPr="00AB1B6E" w14:paraId="0805BEE5" w14:textId="77777777" w:rsidTr="00304A2B">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52042E99" w14:textId="77777777" w:rsidR="00533AC3" w:rsidRPr="00AB1B6E" w:rsidRDefault="00533AC3" w:rsidP="0083214A">
            <w:pPr>
              <w:rPr>
                <w:noProof/>
              </w:rPr>
            </w:pPr>
            <w:r w:rsidRPr="00AB1B6E">
              <w:rPr>
                <w:noProof/>
              </w:rPr>
              <w:t>Financial programming</w:t>
            </w:r>
          </w:p>
        </w:tc>
        <w:tc>
          <w:tcPr>
            <w:tcW w:w="943" w:type="dxa"/>
            <w:noWrap/>
            <w:vAlign w:val="bottom"/>
            <w:hideMark/>
          </w:tcPr>
          <w:p w14:paraId="057C9434" w14:textId="44F74CA3" w:rsidR="00533AC3" w:rsidRPr="00AB1B6E" w:rsidRDefault="00533AC3" w:rsidP="0083214A">
            <w:pPr>
              <w:jc w:val="center"/>
              <w:rPr>
                <w:noProof/>
              </w:rPr>
            </w:pPr>
            <w:r>
              <w:rPr>
                <w:rFonts w:ascii="Calibri" w:hAnsi="Calibri" w:cs="Calibri"/>
                <w:noProof/>
                <w:color w:val="000000"/>
              </w:rPr>
              <w:t>945.7</w:t>
            </w:r>
          </w:p>
        </w:tc>
        <w:tc>
          <w:tcPr>
            <w:tcW w:w="944" w:type="dxa"/>
            <w:noWrap/>
            <w:vAlign w:val="bottom"/>
            <w:hideMark/>
          </w:tcPr>
          <w:p w14:paraId="174E4298" w14:textId="5E43E3CD" w:rsidR="00533AC3" w:rsidRPr="00AB1B6E" w:rsidRDefault="00533AC3" w:rsidP="0083214A">
            <w:pPr>
              <w:jc w:val="center"/>
              <w:rPr>
                <w:noProof/>
              </w:rPr>
            </w:pPr>
            <w:r>
              <w:rPr>
                <w:rFonts w:ascii="Calibri" w:hAnsi="Calibri" w:cs="Calibri"/>
                <w:noProof/>
                <w:color w:val="000000"/>
              </w:rPr>
              <w:t>945.7</w:t>
            </w:r>
          </w:p>
        </w:tc>
        <w:tc>
          <w:tcPr>
            <w:tcW w:w="943" w:type="dxa"/>
            <w:noWrap/>
            <w:vAlign w:val="bottom"/>
            <w:hideMark/>
          </w:tcPr>
          <w:p w14:paraId="305D816F" w14:textId="6D872076" w:rsidR="00533AC3" w:rsidRPr="00AB1B6E" w:rsidRDefault="00533AC3" w:rsidP="0083214A">
            <w:pPr>
              <w:jc w:val="center"/>
              <w:rPr>
                <w:noProof/>
              </w:rPr>
            </w:pPr>
            <w:r>
              <w:rPr>
                <w:rFonts w:ascii="Calibri" w:hAnsi="Calibri" w:cs="Calibri"/>
                <w:noProof/>
                <w:color w:val="000000"/>
              </w:rPr>
              <w:t>945.7</w:t>
            </w:r>
          </w:p>
        </w:tc>
        <w:tc>
          <w:tcPr>
            <w:tcW w:w="944" w:type="dxa"/>
            <w:noWrap/>
            <w:vAlign w:val="bottom"/>
            <w:hideMark/>
          </w:tcPr>
          <w:p w14:paraId="0E3B4C5B" w14:textId="73F54BC5" w:rsidR="00533AC3" w:rsidRPr="00AB1B6E" w:rsidRDefault="00533AC3" w:rsidP="0083214A">
            <w:pPr>
              <w:jc w:val="center"/>
              <w:rPr>
                <w:noProof/>
              </w:rPr>
            </w:pPr>
            <w:r>
              <w:rPr>
                <w:rFonts w:ascii="Calibri" w:hAnsi="Calibri" w:cs="Calibri"/>
                <w:noProof/>
                <w:color w:val="000000"/>
              </w:rPr>
              <w:t>898.0</w:t>
            </w:r>
          </w:p>
        </w:tc>
        <w:tc>
          <w:tcPr>
            <w:tcW w:w="944" w:type="dxa"/>
            <w:noWrap/>
            <w:vAlign w:val="bottom"/>
            <w:hideMark/>
          </w:tcPr>
          <w:p w14:paraId="13ECE80C" w14:textId="20BF57CB" w:rsidR="00533AC3" w:rsidRPr="00AB1B6E" w:rsidRDefault="00533AC3" w:rsidP="0083214A">
            <w:pPr>
              <w:jc w:val="center"/>
              <w:rPr>
                <w:noProof/>
              </w:rPr>
            </w:pPr>
            <w:r>
              <w:rPr>
                <w:rFonts w:ascii="Calibri" w:hAnsi="Calibri" w:cs="Calibri"/>
                <w:noProof/>
                <w:color w:val="000000"/>
              </w:rPr>
              <w:t>1 072.2</w:t>
            </w:r>
          </w:p>
        </w:tc>
        <w:tc>
          <w:tcPr>
            <w:tcW w:w="943" w:type="dxa"/>
            <w:noWrap/>
            <w:vAlign w:val="bottom"/>
            <w:hideMark/>
          </w:tcPr>
          <w:p w14:paraId="028ED58D" w14:textId="62D6747B" w:rsidR="00533AC3" w:rsidRPr="00AB1B6E" w:rsidRDefault="00533AC3" w:rsidP="0083214A">
            <w:pPr>
              <w:jc w:val="center"/>
              <w:rPr>
                <w:noProof/>
              </w:rPr>
            </w:pPr>
            <w:r>
              <w:rPr>
                <w:rFonts w:ascii="Calibri" w:hAnsi="Calibri" w:cs="Calibri"/>
                <w:noProof/>
                <w:color w:val="000000"/>
              </w:rPr>
              <w:t>1 246.3</w:t>
            </w:r>
          </w:p>
        </w:tc>
        <w:tc>
          <w:tcPr>
            <w:tcW w:w="944" w:type="dxa"/>
            <w:noWrap/>
            <w:vAlign w:val="bottom"/>
            <w:hideMark/>
          </w:tcPr>
          <w:p w14:paraId="3CA336BF" w14:textId="62C40E44" w:rsidR="00533AC3" w:rsidRPr="00AB1B6E" w:rsidRDefault="00533AC3" w:rsidP="0083214A">
            <w:pPr>
              <w:jc w:val="center"/>
              <w:rPr>
                <w:noProof/>
              </w:rPr>
            </w:pPr>
            <w:r>
              <w:rPr>
                <w:rFonts w:ascii="Calibri" w:hAnsi="Calibri" w:cs="Calibri"/>
                <w:noProof/>
                <w:color w:val="000000"/>
              </w:rPr>
              <w:t>1 499.4</w:t>
            </w:r>
          </w:p>
        </w:tc>
        <w:tc>
          <w:tcPr>
            <w:tcW w:w="944" w:type="dxa"/>
            <w:noWrap/>
            <w:vAlign w:val="bottom"/>
            <w:hideMark/>
          </w:tcPr>
          <w:p w14:paraId="5C7823E4" w14:textId="3917E2D6" w:rsidR="00533AC3" w:rsidRPr="00AB1B6E" w:rsidRDefault="00533AC3" w:rsidP="0083214A">
            <w:pPr>
              <w:jc w:val="center"/>
              <w:rPr>
                <w:noProof/>
              </w:rPr>
            </w:pPr>
            <w:r>
              <w:rPr>
                <w:rFonts w:ascii="Calibri" w:hAnsi="Calibri" w:cs="Calibri"/>
                <w:noProof/>
                <w:color w:val="000000"/>
              </w:rPr>
              <w:t>7 553.0</w:t>
            </w:r>
          </w:p>
        </w:tc>
      </w:tr>
      <w:tr w:rsidR="00533AC3" w:rsidRPr="00AB1B6E" w14:paraId="5EE95F9B"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5F78FB3B" w14:textId="77777777" w:rsidR="00533AC3" w:rsidRPr="00AB1B6E" w:rsidRDefault="00533AC3" w:rsidP="0083214A">
            <w:pPr>
              <w:rPr>
                <w:noProof/>
              </w:rPr>
            </w:pPr>
            <w:r w:rsidRPr="00AB1B6E">
              <w:rPr>
                <w:noProof/>
              </w:rPr>
              <w:t>NextGenerationEU</w:t>
            </w:r>
          </w:p>
        </w:tc>
        <w:tc>
          <w:tcPr>
            <w:tcW w:w="943" w:type="dxa"/>
            <w:noWrap/>
            <w:hideMark/>
          </w:tcPr>
          <w:p w14:paraId="3F4AEE6F" w14:textId="77777777" w:rsidR="00533AC3" w:rsidRPr="00AB1B6E" w:rsidRDefault="00533AC3" w:rsidP="0083214A">
            <w:pPr>
              <w:jc w:val="center"/>
              <w:rPr>
                <w:noProof/>
              </w:rPr>
            </w:pPr>
          </w:p>
        </w:tc>
        <w:tc>
          <w:tcPr>
            <w:tcW w:w="944" w:type="dxa"/>
            <w:noWrap/>
            <w:hideMark/>
          </w:tcPr>
          <w:p w14:paraId="38A9F6A9" w14:textId="77777777" w:rsidR="00533AC3" w:rsidRPr="00AB1B6E" w:rsidRDefault="00533AC3" w:rsidP="0083214A">
            <w:pPr>
              <w:jc w:val="center"/>
              <w:rPr>
                <w:noProof/>
              </w:rPr>
            </w:pPr>
          </w:p>
        </w:tc>
        <w:tc>
          <w:tcPr>
            <w:tcW w:w="943" w:type="dxa"/>
            <w:noWrap/>
            <w:hideMark/>
          </w:tcPr>
          <w:p w14:paraId="6B687F2B" w14:textId="77777777" w:rsidR="00533AC3" w:rsidRPr="00AB1B6E" w:rsidRDefault="00533AC3" w:rsidP="0083214A">
            <w:pPr>
              <w:jc w:val="center"/>
              <w:rPr>
                <w:noProof/>
              </w:rPr>
            </w:pPr>
          </w:p>
        </w:tc>
        <w:tc>
          <w:tcPr>
            <w:tcW w:w="944" w:type="dxa"/>
            <w:noWrap/>
            <w:hideMark/>
          </w:tcPr>
          <w:p w14:paraId="22E3834B" w14:textId="77777777" w:rsidR="00533AC3" w:rsidRPr="00AB1B6E" w:rsidRDefault="00533AC3" w:rsidP="0083214A">
            <w:pPr>
              <w:jc w:val="center"/>
              <w:rPr>
                <w:noProof/>
              </w:rPr>
            </w:pPr>
          </w:p>
        </w:tc>
        <w:tc>
          <w:tcPr>
            <w:tcW w:w="944" w:type="dxa"/>
            <w:noWrap/>
            <w:hideMark/>
          </w:tcPr>
          <w:p w14:paraId="0D3092AA" w14:textId="77777777" w:rsidR="00533AC3" w:rsidRPr="00AB1B6E" w:rsidRDefault="00533AC3" w:rsidP="0083214A">
            <w:pPr>
              <w:jc w:val="center"/>
              <w:rPr>
                <w:noProof/>
              </w:rPr>
            </w:pPr>
          </w:p>
        </w:tc>
        <w:tc>
          <w:tcPr>
            <w:tcW w:w="943" w:type="dxa"/>
            <w:noWrap/>
            <w:hideMark/>
          </w:tcPr>
          <w:p w14:paraId="1B774300" w14:textId="77777777" w:rsidR="00533AC3" w:rsidRPr="00AB1B6E" w:rsidRDefault="00533AC3" w:rsidP="0083214A">
            <w:pPr>
              <w:jc w:val="center"/>
              <w:rPr>
                <w:noProof/>
              </w:rPr>
            </w:pPr>
          </w:p>
        </w:tc>
        <w:tc>
          <w:tcPr>
            <w:tcW w:w="944" w:type="dxa"/>
            <w:noWrap/>
            <w:hideMark/>
          </w:tcPr>
          <w:p w14:paraId="4952162A" w14:textId="77777777" w:rsidR="00533AC3" w:rsidRPr="00AB1B6E" w:rsidRDefault="00533AC3" w:rsidP="0083214A">
            <w:pPr>
              <w:jc w:val="center"/>
              <w:rPr>
                <w:noProof/>
              </w:rPr>
            </w:pPr>
          </w:p>
        </w:tc>
        <w:tc>
          <w:tcPr>
            <w:tcW w:w="944" w:type="dxa"/>
            <w:noWrap/>
            <w:hideMark/>
          </w:tcPr>
          <w:p w14:paraId="6D2927D1" w14:textId="77777777" w:rsidR="00533AC3" w:rsidRPr="00AB1B6E" w:rsidRDefault="00533AC3" w:rsidP="0083214A">
            <w:pPr>
              <w:jc w:val="center"/>
              <w:rPr>
                <w:noProof/>
              </w:rPr>
            </w:pPr>
          </w:p>
        </w:tc>
      </w:tr>
      <w:tr w:rsidR="00533AC3" w:rsidRPr="00AB1B6E" w14:paraId="1DA0803F"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3A059FB1" w14:textId="77777777" w:rsidR="00533AC3" w:rsidRPr="00AB1B6E" w:rsidRDefault="00533AC3" w:rsidP="0083214A">
            <w:pPr>
              <w:rPr>
                <w:noProof/>
              </w:rPr>
            </w:pPr>
            <w:r w:rsidRPr="00AB1B6E">
              <w:rPr>
                <w:noProof/>
              </w:rPr>
              <w:t>Decommitments made available again</w:t>
            </w:r>
            <w:r w:rsidRPr="00AB1B6E">
              <w:rPr>
                <w:rFonts w:ascii="Calibri" w:hAnsi="Calibri" w:cs="Calibri"/>
                <w:noProof/>
              </w:rPr>
              <w:t> </w:t>
            </w:r>
            <w:r w:rsidRPr="00AB1B6E">
              <w:rPr>
                <w:noProof/>
              </w:rPr>
              <w:t>*)</w:t>
            </w:r>
          </w:p>
        </w:tc>
        <w:tc>
          <w:tcPr>
            <w:tcW w:w="943" w:type="dxa"/>
            <w:noWrap/>
            <w:hideMark/>
          </w:tcPr>
          <w:p w14:paraId="04CC0FBD" w14:textId="77777777" w:rsidR="00533AC3" w:rsidRPr="00AB1B6E" w:rsidRDefault="00533AC3" w:rsidP="0083214A">
            <w:pPr>
              <w:jc w:val="center"/>
              <w:rPr>
                <w:noProof/>
              </w:rPr>
            </w:pPr>
            <w:r>
              <w:rPr>
                <w:noProof/>
              </w:rPr>
              <w:t>N/A</w:t>
            </w:r>
          </w:p>
        </w:tc>
        <w:tc>
          <w:tcPr>
            <w:tcW w:w="944" w:type="dxa"/>
            <w:noWrap/>
            <w:hideMark/>
          </w:tcPr>
          <w:p w14:paraId="23846F3F" w14:textId="77777777" w:rsidR="00533AC3" w:rsidRPr="00AB1B6E" w:rsidRDefault="00533AC3" w:rsidP="0083214A">
            <w:pPr>
              <w:jc w:val="center"/>
              <w:rPr>
                <w:noProof/>
              </w:rPr>
            </w:pPr>
          </w:p>
        </w:tc>
        <w:tc>
          <w:tcPr>
            <w:tcW w:w="943" w:type="dxa"/>
            <w:noWrap/>
            <w:hideMark/>
          </w:tcPr>
          <w:p w14:paraId="2AAC9676" w14:textId="77777777" w:rsidR="00533AC3" w:rsidRPr="00AB1B6E" w:rsidRDefault="00533AC3" w:rsidP="0083214A">
            <w:pPr>
              <w:jc w:val="center"/>
              <w:rPr>
                <w:noProof/>
              </w:rPr>
            </w:pPr>
          </w:p>
        </w:tc>
        <w:tc>
          <w:tcPr>
            <w:tcW w:w="944" w:type="dxa"/>
            <w:noWrap/>
            <w:hideMark/>
          </w:tcPr>
          <w:p w14:paraId="3A14E6CA" w14:textId="77777777" w:rsidR="00533AC3" w:rsidRPr="00AB1B6E" w:rsidRDefault="00533AC3" w:rsidP="0083214A">
            <w:pPr>
              <w:jc w:val="center"/>
              <w:rPr>
                <w:noProof/>
              </w:rPr>
            </w:pPr>
          </w:p>
        </w:tc>
        <w:tc>
          <w:tcPr>
            <w:tcW w:w="944" w:type="dxa"/>
            <w:noWrap/>
            <w:hideMark/>
          </w:tcPr>
          <w:p w14:paraId="4EE69685" w14:textId="77777777" w:rsidR="00533AC3" w:rsidRPr="00AB1B6E" w:rsidRDefault="00533AC3" w:rsidP="0083214A">
            <w:pPr>
              <w:jc w:val="center"/>
              <w:rPr>
                <w:noProof/>
              </w:rPr>
            </w:pPr>
          </w:p>
        </w:tc>
        <w:tc>
          <w:tcPr>
            <w:tcW w:w="943" w:type="dxa"/>
            <w:noWrap/>
            <w:hideMark/>
          </w:tcPr>
          <w:p w14:paraId="7F293C90" w14:textId="77777777" w:rsidR="00533AC3" w:rsidRPr="00AB1B6E" w:rsidRDefault="00533AC3" w:rsidP="0083214A">
            <w:pPr>
              <w:jc w:val="center"/>
              <w:rPr>
                <w:noProof/>
              </w:rPr>
            </w:pPr>
          </w:p>
        </w:tc>
        <w:tc>
          <w:tcPr>
            <w:tcW w:w="944" w:type="dxa"/>
            <w:noWrap/>
            <w:hideMark/>
          </w:tcPr>
          <w:p w14:paraId="6C054EC1" w14:textId="77777777" w:rsidR="00533AC3" w:rsidRPr="00AB1B6E" w:rsidRDefault="00533AC3" w:rsidP="0083214A">
            <w:pPr>
              <w:jc w:val="center"/>
              <w:rPr>
                <w:noProof/>
              </w:rPr>
            </w:pPr>
          </w:p>
        </w:tc>
        <w:tc>
          <w:tcPr>
            <w:tcW w:w="944" w:type="dxa"/>
            <w:noWrap/>
            <w:hideMark/>
          </w:tcPr>
          <w:p w14:paraId="22AB386D" w14:textId="77777777" w:rsidR="00533AC3" w:rsidRPr="00AB1B6E" w:rsidRDefault="00533AC3" w:rsidP="0083214A">
            <w:pPr>
              <w:jc w:val="center"/>
              <w:rPr>
                <w:noProof/>
              </w:rPr>
            </w:pPr>
            <w:r>
              <w:rPr>
                <w:noProof/>
              </w:rPr>
              <w:t>N/A</w:t>
            </w:r>
          </w:p>
        </w:tc>
      </w:tr>
      <w:tr w:rsidR="00533AC3" w:rsidRPr="00AB1B6E" w14:paraId="61F573FB"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3164B1C7" w14:textId="77777777" w:rsidR="00533AC3" w:rsidRPr="00AB1B6E" w:rsidRDefault="00533AC3" w:rsidP="0083214A">
            <w:pPr>
              <w:rPr>
                <w:noProof/>
              </w:rPr>
            </w:pPr>
            <w:r w:rsidRPr="00AB1B6E">
              <w:rPr>
                <w:noProof/>
              </w:rPr>
              <w:t>Contributions from other countries and entities</w:t>
            </w:r>
          </w:p>
        </w:tc>
        <w:tc>
          <w:tcPr>
            <w:tcW w:w="943" w:type="dxa"/>
            <w:noWrap/>
            <w:hideMark/>
          </w:tcPr>
          <w:p w14:paraId="7F04DE4E" w14:textId="77777777" w:rsidR="00533AC3" w:rsidRPr="00AB1B6E" w:rsidRDefault="00533AC3" w:rsidP="0083214A">
            <w:pPr>
              <w:jc w:val="center"/>
              <w:rPr>
                <w:noProof/>
              </w:rPr>
            </w:pPr>
            <w:r w:rsidRPr="00AB1B6E">
              <w:rPr>
                <w:noProof/>
              </w:rPr>
              <w:t>23.7</w:t>
            </w:r>
          </w:p>
        </w:tc>
        <w:tc>
          <w:tcPr>
            <w:tcW w:w="944" w:type="dxa"/>
            <w:noWrap/>
            <w:hideMark/>
          </w:tcPr>
          <w:p w14:paraId="78D14D52" w14:textId="77777777" w:rsidR="00533AC3" w:rsidRPr="00AB1B6E" w:rsidRDefault="00533AC3" w:rsidP="0083214A">
            <w:pPr>
              <w:jc w:val="center"/>
              <w:rPr>
                <w:noProof/>
                <w:highlight w:val="yellow"/>
              </w:rPr>
            </w:pPr>
            <w:r w:rsidRPr="325CF28F">
              <w:rPr>
                <w:noProof/>
                <w:highlight w:val="yellow"/>
              </w:rPr>
              <w:t>p.m.</w:t>
            </w:r>
          </w:p>
        </w:tc>
        <w:tc>
          <w:tcPr>
            <w:tcW w:w="943" w:type="dxa"/>
            <w:noWrap/>
            <w:hideMark/>
          </w:tcPr>
          <w:p w14:paraId="10902DB7" w14:textId="77777777" w:rsidR="00533AC3" w:rsidRPr="00AB1B6E" w:rsidRDefault="00533AC3" w:rsidP="0083214A">
            <w:pPr>
              <w:jc w:val="center"/>
              <w:rPr>
                <w:noProof/>
                <w:highlight w:val="yellow"/>
              </w:rPr>
            </w:pPr>
            <w:r w:rsidRPr="325CF28F">
              <w:rPr>
                <w:noProof/>
                <w:highlight w:val="yellow"/>
              </w:rPr>
              <w:t>p.m.</w:t>
            </w:r>
          </w:p>
        </w:tc>
        <w:tc>
          <w:tcPr>
            <w:tcW w:w="944" w:type="dxa"/>
            <w:noWrap/>
            <w:hideMark/>
          </w:tcPr>
          <w:p w14:paraId="063680C1" w14:textId="77777777" w:rsidR="00533AC3" w:rsidRPr="00AB1B6E" w:rsidRDefault="00533AC3" w:rsidP="0083214A">
            <w:pPr>
              <w:jc w:val="center"/>
              <w:rPr>
                <w:noProof/>
                <w:highlight w:val="yellow"/>
              </w:rPr>
            </w:pPr>
            <w:r w:rsidRPr="325CF28F">
              <w:rPr>
                <w:noProof/>
                <w:highlight w:val="yellow"/>
              </w:rPr>
              <w:t>p.m.</w:t>
            </w:r>
          </w:p>
        </w:tc>
        <w:tc>
          <w:tcPr>
            <w:tcW w:w="944" w:type="dxa"/>
            <w:noWrap/>
            <w:hideMark/>
          </w:tcPr>
          <w:p w14:paraId="73F61339" w14:textId="77777777" w:rsidR="00533AC3" w:rsidRPr="00AB1B6E" w:rsidRDefault="00533AC3" w:rsidP="0083214A">
            <w:pPr>
              <w:jc w:val="center"/>
              <w:rPr>
                <w:noProof/>
                <w:highlight w:val="yellow"/>
              </w:rPr>
            </w:pPr>
            <w:r w:rsidRPr="325CF28F">
              <w:rPr>
                <w:noProof/>
                <w:highlight w:val="yellow"/>
              </w:rPr>
              <w:t>p.m.</w:t>
            </w:r>
          </w:p>
        </w:tc>
        <w:tc>
          <w:tcPr>
            <w:tcW w:w="943" w:type="dxa"/>
            <w:noWrap/>
            <w:hideMark/>
          </w:tcPr>
          <w:p w14:paraId="424C6ADE" w14:textId="77777777" w:rsidR="00533AC3" w:rsidRPr="00AB1B6E" w:rsidRDefault="00533AC3" w:rsidP="0083214A">
            <w:pPr>
              <w:jc w:val="center"/>
              <w:rPr>
                <w:noProof/>
                <w:highlight w:val="yellow"/>
              </w:rPr>
            </w:pPr>
            <w:r w:rsidRPr="325CF28F">
              <w:rPr>
                <w:noProof/>
                <w:highlight w:val="yellow"/>
              </w:rPr>
              <w:t>p.m.</w:t>
            </w:r>
          </w:p>
        </w:tc>
        <w:tc>
          <w:tcPr>
            <w:tcW w:w="944" w:type="dxa"/>
            <w:noWrap/>
            <w:hideMark/>
          </w:tcPr>
          <w:p w14:paraId="08AC958D" w14:textId="77777777" w:rsidR="00533AC3" w:rsidRPr="00AB1B6E" w:rsidRDefault="00533AC3" w:rsidP="0083214A">
            <w:pPr>
              <w:jc w:val="center"/>
              <w:rPr>
                <w:noProof/>
                <w:highlight w:val="yellow"/>
              </w:rPr>
            </w:pPr>
            <w:r w:rsidRPr="325CF28F">
              <w:rPr>
                <w:noProof/>
                <w:highlight w:val="yellow"/>
              </w:rPr>
              <w:t>p.m.</w:t>
            </w:r>
          </w:p>
        </w:tc>
        <w:tc>
          <w:tcPr>
            <w:tcW w:w="944" w:type="dxa"/>
            <w:noWrap/>
            <w:hideMark/>
          </w:tcPr>
          <w:p w14:paraId="5FF1FFF6" w14:textId="77777777" w:rsidR="00533AC3" w:rsidRPr="00AB1B6E" w:rsidRDefault="00533AC3" w:rsidP="0083214A">
            <w:pPr>
              <w:jc w:val="center"/>
              <w:rPr>
                <w:noProof/>
              </w:rPr>
            </w:pPr>
            <w:r w:rsidRPr="00AB1B6E">
              <w:rPr>
                <w:noProof/>
              </w:rPr>
              <w:t>23.7</w:t>
            </w:r>
          </w:p>
        </w:tc>
      </w:tr>
      <w:tr w:rsidR="00533AC3" w:rsidRPr="00AB1B6E" w14:paraId="0E5D33B1" w14:textId="77777777" w:rsidTr="00304A2B">
        <w:trPr>
          <w:cnfStyle w:val="000000100000" w:firstRow="0" w:lastRow="0" w:firstColumn="0" w:lastColumn="0" w:oddVBand="0" w:evenVBand="0" w:oddHBand="1" w:evenHBand="0" w:firstRowFirstColumn="0" w:firstRowLastColumn="0" w:lastRowFirstColumn="0" w:lastRowLastColumn="0"/>
          <w:trHeight w:val="290"/>
        </w:trPr>
        <w:tc>
          <w:tcPr>
            <w:tcW w:w="2090" w:type="dxa"/>
            <w:noWrap/>
            <w:vAlign w:val="bottom"/>
          </w:tcPr>
          <w:p w14:paraId="206F4871" w14:textId="77777777" w:rsidR="00533AC3" w:rsidRPr="00AB1B6E" w:rsidRDefault="00533AC3" w:rsidP="0083214A">
            <w:pPr>
              <w:rPr>
                <w:noProof/>
              </w:rPr>
            </w:pPr>
            <w:r>
              <w:rPr>
                <w:rFonts w:ascii="Calibri" w:hAnsi="Calibri" w:cs="Calibri"/>
                <w:b/>
                <w:bCs/>
                <w:noProof/>
                <w:color w:val="000000"/>
              </w:rPr>
              <w:t>Total</w:t>
            </w:r>
          </w:p>
        </w:tc>
        <w:tc>
          <w:tcPr>
            <w:tcW w:w="943" w:type="dxa"/>
            <w:noWrap/>
            <w:vAlign w:val="bottom"/>
          </w:tcPr>
          <w:p w14:paraId="683ACBE0" w14:textId="77777777" w:rsidR="00533AC3" w:rsidRPr="00AB1B6E" w:rsidRDefault="00533AC3" w:rsidP="0083214A">
            <w:pPr>
              <w:jc w:val="center"/>
              <w:rPr>
                <w:noProof/>
              </w:rPr>
            </w:pPr>
            <w:r>
              <w:rPr>
                <w:rFonts w:ascii="Calibri" w:hAnsi="Calibri" w:cs="Calibri"/>
                <w:b/>
                <w:bCs/>
                <w:noProof/>
                <w:color w:val="000000"/>
              </w:rPr>
              <w:t>969.4</w:t>
            </w:r>
          </w:p>
        </w:tc>
        <w:tc>
          <w:tcPr>
            <w:tcW w:w="944" w:type="dxa"/>
            <w:noWrap/>
            <w:vAlign w:val="bottom"/>
          </w:tcPr>
          <w:p w14:paraId="32AC2C63" w14:textId="77777777" w:rsidR="00533AC3" w:rsidRPr="00AB1B6E" w:rsidRDefault="00533AC3" w:rsidP="0083214A">
            <w:pPr>
              <w:jc w:val="center"/>
              <w:rPr>
                <w:noProof/>
              </w:rPr>
            </w:pPr>
            <w:r>
              <w:rPr>
                <w:rFonts w:ascii="Calibri" w:hAnsi="Calibri" w:cs="Calibri"/>
                <w:b/>
                <w:bCs/>
                <w:noProof/>
                <w:color w:val="000000"/>
              </w:rPr>
              <w:t>945.7</w:t>
            </w:r>
          </w:p>
        </w:tc>
        <w:tc>
          <w:tcPr>
            <w:tcW w:w="943" w:type="dxa"/>
            <w:noWrap/>
            <w:vAlign w:val="bottom"/>
          </w:tcPr>
          <w:p w14:paraId="122FADE8" w14:textId="77777777" w:rsidR="00533AC3" w:rsidRPr="00AB1B6E" w:rsidRDefault="00533AC3" w:rsidP="0083214A">
            <w:pPr>
              <w:jc w:val="center"/>
              <w:rPr>
                <w:noProof/>
              </w:rPr>
            </w:pPr>
            <w:r>
              <w:rPr>
                <w:rFonts w:ascii="Calibri" w:hAnsi="Calibri" w:cs="Calibri"/>
                <w:b/>
                <w:bCs/>
                <w:noProof/>
                <w:color w:val="000000"/>
              </w:rPr>
              <w:t>945.7</w:t>
            </w:r>
          </w:p>
        </w:tc>
        <w:tc>
          <w:tcPr>
            <w:tcW w:w="944" w:type="dxa"/>
            <w:noWrap/>
            <w:vAlign w:val="bottom"/>
          </w:tcPr>
          <w:p w14:paraId="4A2F4BE3" w14:textId="77777777" w:rsidR="00533AC3" w:rsidRPr="00AB1B6E" w:rsidRDefault="00533AC3" w:rsidP="0083214A">
            <w:pPr>
              <w:jc w:val="center"/>
              <w:rPr>
                <w:noProof/>
              </w:rPr>
            </w:pPr>
            <w:r>
              <w:rPr>
                <w:rFonts w:ascii="Calibri" w:hAnsi="Calibri" w:cs="Calibri"/>
                <w:b/>
                <w:bCs/>
                <w:noProof/>
                <w:color w:val="000000"/>
              </w:rPr>
              <w:t>898.0</w:t>
            </w:r>
          </w:p>
        </w:tc>
        <w:tc>
          <w:tcPr>
            <w:tcW w:w="944" w:type="dxa"/>
            <w:noWrap/>
            <w:vAlign w:val="bottom"/>
          </w:tcPr>
          <w:p w14:paraId="137F1C8F" w14:textId="77777777" w:rsidR="00533AC3" w:rsidRPr="00AB1B6E" w:rsidRDefault="00533AC3" w:rsidP="0083214A">
            <w:pPr>
              <w:jc w:val="center"/>
              <w:rPr>
                <w:noProof/>
              </w:rPr>
            </w:pPr>
            <w:r>
              <w:rPr>
                <w:rFonts w:ascii="Calibri" w:hAnsi="Calibri" w:cs="Calibri"/>
                <w:b/>
                <w:bCs/>
                <w:noProof/>
                <w:color w:val="000000"/>
              </w:rPr>
              <w:t>1 072.2</w:t>
            </w:r>
          </w:p>
        </w:tc>
        <w:tc>
          <w:tcPr>
            <w:tcW w:w="943" w:type="dxa"/>
            <w:noWrap/>
            <w:vAlign w:val="bottom"/>
          </w:tcPr>
          <w:p w14:paraId="0E774C4E" w14:textId="77777777" w:rsidR="00533AC3" w:rsidRPr="00AB1B6E" w:rsidRDefault="00533AC3" w:rsidP="0083214A">
            <w:pPr>
              <w:jc w:val="center"/>
              <w:rPr>
                <w:noProof/>
              </w:rPr>
            </w:pPr>
            <w:r>
              <w:rPr>
                <w:rFonts w:ascii="Calibri" w:hAnsi="Calibri" w:cs="Calibri"/>
                <w:b/>
                <w:bCs/>
                <w:noProof/>
                <w:color w:val="000000"/>
              </w:rPr>
              <w:t>1 246.3</w:t>
            </w:r>
          </w:p>
        </w:tc>
        <w:tc>
          <w:tcPr>
            <w:tcW w:w="944" w:type="dxa"/>
            <w:noWrap/>
            <w:vAlign w:val="bottom"/>
          </w:tcPr>
          <w:p w14:paraId="11B70236" w14:textId="77777777" w:rsidR="00533AC3" w:rsidRPr="00AB1B6E" w:rsidRDefault="00533AC3" w:rsidP="0083214A">
            <w:pPr>
              <w:jc w:val="center"/>
              <w:rPr>
                <w:noProof/>
              </w:rPr>
            </w:pPr>
            <w:r>
              <w:rPr>
                <w:rFonts w:ascii="Calibri" w:hAnsi="Calibri" w:cs="Calibri"/>
                <w:b/>
                <w:bCs/>
                <w:noProof/>
                <w:color w:val="000000"/>
              </w:rPr>
              <w:t>1 499.4</w:t>
            </w:r>
          </w:p>
        </w:tc>
        <w:tc>
          <w:tcPr>
            <w:tcW w:w="944" w:type="dxa"/>
            <w:noWrap/>
            <w:vAlign w:val="bottom"/>
          </w:tcPr>
          <w:p w14:paraId="34DC9C19" w14:textId="77777777" w:rsidR="00533AC3" w:rsidRPr="00AB1B6E" w:rsidRDefault="00533AC3" w:rsidP="0083214A">
            <w:pPr>
              <w:jc w:val="center"/>
              <w:rPr>
                <w:noProof/>
              </w:rPr>
            </w:pPr>
            <w:r>
              <w:rPr>
                <w:rFonts w:ascii="Calibri" w:hAnsi="Calibri" w:cs="Calibri"/>
                <w:b/>
                <w:bCs/>
                <w:noProof/>
                <w:color w:val="000000"/>
              </w:rPr>
              <w:t>7 576.7</w:t>
            </w:r>
          </w:p>
        </w:tc>
      </w:tr>
    </w:tbl>
    <w:p w14:paraId="2894C127" w14:textId="77777777" w:rsidR="00533AC3" w:rsidRPr="005A4965" w:rsidRDefault="00533AC3" w:rsidP="00533AC3">
      <w:pPr>
        <w:tabs>
          <w:tab w:val="left" w:pos="6793"/>
        </w:tabs>
        <w:rPr>
          <w:noProof/>
          <w:sz w:val="18"/>
        </w:rPr>
      </w:pPr>
      <w:r w:rsidRPr="66B18E27">
        <w:rPr>
          <w:noProof/>
          <w:sz w:val="18"/>
          <w:szCs w:val="18"/>
        </w:rPr>
        <w:t>(*) Only Article</w:t>
      </w:r>
      <w:r w:rsidRPr="66B18E27">
        <w:rPr>
          <w:rFonts w:ascii="Calibri" w:hAnsi="Calibri" w:cs="Calibri"/>
          <w:noProof/>
          <w:sz w:val="18"/>
          <w:szCs w:val="18"/>
        </w:rPr>
        <w:t> </w:t>
      </w:r>
      <w:r w:rsidRPr="66B18E27">
        <w:rPr>
          <w:noProof/>
          <w:sz w:val="18"/>
          <w:szCs w:val="18"/>
        </w:rPr>
        <w:t>15(3) of the financial regulation.</w:t>
      </w:r>
    </w:p>
    <w:p w14:paraId="6DC2C351" w14:textId="0B982C97" w:rsidR="00533AC3" w:rsidRPr="00AB1B6E" w:rsidRDefault="004C4764" w:rsidP="00304A2B">
      <w:pPr>
        <w:pStyle w:val="ppoTableTabletitle"/>
        <w:jc w:val="center"/>
        <w:rPr>
          <w:noProof/>
        </w:rPr>
      </w:pPr>
      <w:r w:rsidRPr="00CF7385">
        <w:rPr>
          <w:noProof/>
          <w:lang w:val="en-IE"/>
        </w:rPr>
        <w:t>Financial progr</w:t>
      </w:r>
      <w:r>
        <w:rPr>
          <w:noProof/>
          <w:lang w:val="en-IE"/>
        </w:rPr>
        <w:t>a</w:t>
      </w:r>
      <w:r w:rsidRPr="00CF7385">
        <w:rPr>
          <w:noProof/>
          <w:lang w:val="en-IE"/>
        </w:rPr>
        <w:t>ming:</w:t>
      </w:r>
      <w:r>
        <w:rPr>
          <w:noProof/>
          <w:color w:val="028F1A" w:themeColor="accent1"/>
          <w:sz w:val="44"/>
          <w:szCs w:val="44"/>
          <w:lang w:val="en-IE"/>
        </w:rPr>
        <w:t xml:space="preserve"> </w:t>
      </w:r>
      <w:r w:rsidR="00533AC3" w:rsidRPr="007C3D07">
        <w:rPr>
          <w:noProof/>
          <w:color w:val="028F1A" w:themeColor="accent1"/>
          <w:sz w:val="36"/>
          <w:szCs w:val="36"/>
        </w:rPr>
        <w:t>-</w:t>
      </w:r>
      <w:r w:rsidR="00533AC3" w:rsidRPr="007C3D07">
        <w:rPr>
          <w:rFonts w:ascii="Calibri" w:hAnsi="Calibri" w:cs="Calibri"/>
          <w:noProof/>
          <w:color w:val="028F1A" w:themeColor="accent1"/>
          <w:sz w:val="36"/>
          <w:szCs w:val="36"/>
        </w:rPr>
        <w:t> </w:t>
      </w:r>
      <w:r w:rsidR="00533AC3" w:rsidRPr="007C3D07">
        <w:rPr>
          <w:noProof/>
          <w:color w:val="028F1A" w:themeColor="accent1"/>
          <w:sz w:val="36"/>
          <w:szCs w:val="36"/>
        </w:rPr>
        <w:t>EUR</w:t>
      </w:r>
      <w:r w:rsidR="00533AC3" w:rsidRPr="007C3D07">
        <w:rPr>
          <w:rFonts w:ascii="Calibri" w:hAnsi="Calibri" w:cs="Calibri"/>
          <w:noProof/>
          <w:color w:val="028F1A" w:themeColor="accent1"/>
          <w:sz w:val="36"/>
          <w:szCs w:val="36"/>
        </w:rPr>
        <w:t> 400 </w:t>
      </w:r>
      <w:r w:rsidR="00533AC3" w:rsidRPr="007C3D07">
        <w:rPr>
          <w:noProof/>
          <w:color w:val="028F1A" w:themeColor="accent1"/>
          <w:sz w:val="36"/>
          <w:szCs w:val="36"/>
        </w:rPr>
        <w:t>million (-</w:t>
      </w:r>
      <w:r w:rsidR="00533AC3" w:rsidRPr="007C3D07">
        <w:rPr>
          <w:rFonts w:ascii="Calibri" w:hAnsi="Calibri" w:cs="Calibri"/>
          <w:noProof/>
          <w:color w:val="028F1A" w:themeColor="accent1"/>
          <w:sz w:val="36"/>
          <w:szCs w:val="36"/>
        </w:rPr>
        <w:t> 5</w:t>
      </w:r>
      <w:r w:rsidR="00533AC3" w:rsidRPr="007C3D07">
        <w:rPr>
          <w:noProof/>
          <w:color w:val="028F1A" w:themeColor="accent1"/>
          <w:sz w:val="36"/>
          <w:szCs w:val="36"/>
        </w:rPr>
        <w:t>%)</w:t>
      </w:r>
      <w:r w:rsidR="00533AC3" w:rsidRPr="66B18E27">
        <w:rPr>
          <w:noProof/>
          <w:color w:val="028F1A" w:themeColor="accent1"/>
          <w:sz w:val="52"/>
          <w:szCs w:val="52"/>
        </w:rPr>
        <w:t xml:space="preserve"> </w:t>
      </w:r>
      <w:r w:rsidR="00533AC3">
        <w:rPr>
          <w:noProof/>
        </w:rPr>
        <w:t>compared to the legal basis.</w:t>
      </w:r>
    </w:p>
    <w:p w14:paraId="63CBE592" w14:textId="77777777" w:rsidR="00533AC3" w:rsidRPr="00AB1B6E" w:rsidRDefault="00533AC3" w:rsidP="00533AC3">
      <w:pPr>
        <w:pStyle w:val="ppoTableTabletitle"/>
        <w:rPr>
          <w:b/>
          <w:noProof/>
        </w:rPr>
      </w:pPr>
      <w:r w:rsidRPr="00AB1B6E">
        <w:rPr>
          <w:noProof/>
        </w:rPr>
        <w:t>Cumulative implementation rate at the end of 2021 (</w:t>
      </w:r>
      <w:r w:rsidRPr="00AB1B6E" w:rsidDel="00B31EE6">
        <w:rPr>
          <w:noProof/>
        </w:rPr>
        <w:t>million</w:t>
      </w:r>
      <w:r w:rsidRPr="00AB1B6E">
        <w:rPr>
          <w:noProof/>
        </w:rPr>
        <w:t xml:space="preserve"> EUR):</w:t>
      </w:r>
    </w:p>
    <w:tbl>
      <w:tblPr>
        <w:tblStyle w:val="PPO2021"/>
        <w:tblW w:w="9639" w:type="dxa"/>
        <w:tblInd w:w="0" w:type="dxa"/>
        <w:tblLook w:val="06A0" w:firstRow="1" w:lastRow="0" w:firstColumn="1" w:lastColumn="0" w:noHBand="1" w:noVBand="1"/>
      </w:tblPr>
      <w:tblGrid>
        <w:gridCol w:w="2409"/>
        <w:gridCol w:w="2410"/>
        <w:gridCol w:w="2410"/>
        <w:gridCol w:w="2410"/>
      </w:tblGrid>
      <w:tr w:rsidR="00533AC3" w:rsidRPr="00AB1B6E" w14:paraId="5CB17615" w14:textId="77777777" w:rsidTr="0083214A">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203308A7" w14:textId="77777777" w:rsidR="00533AC3" w:rsidRPr="00AB1B6E" w:rsidRDefault="00533AC3" w:rsidP="0083214A">
            <w:pPr>
              <w:rPr>
                <w:noProof/>
              </w:rPr>
            </w:pPr>
          </w:p>
        </w:tc>
        <w:tc>
          <w:tcPr>
            <w:tcW w:w="2410" w:type="dxa"/>
          </w:tcPr>
          <w:p w14:paraId="60DFB6BF" w14:textId="77777777" w:rsidR="00533AC3" w:rsidRPr="00AB1B6E" w:rsidRDefault="00533AC3" w:rsidP="0083214A">
            <w:pPr>
              <w:cnfStyle w:val="100000000000" w:firstRow="1" w:lastRow="0" w:firstColumn="0" w:lastColumn="0" w:oddVBand="0" w:evenVBand="0" w:oddHBand="0" w:evenHBand="0" w:firstRowFirstColumn="0" w:firstRowLastColumn="0" w:lastRowFirstColumn="0" w:lastRowLastColumn="0"/>
              <w:rPr>
                <w:noProof/>
              </w:rPr>
            </w:pPr>
            <w:r w:rsidRPr="00AB1B6E">
              <w:rPr>
                <w:noProof/>
              </w:rPr>
              <w:t>Implementation</w:t>
            </w:r>
          </w:p>
        </w:tc>
        <w:tc>
          <w:tcPr>
            <w:tcW w:w="2410" w:type="dxa"/>
          </w:tcPr>
          <w:p w14:paraId="0172B38E" w14:textId="4AD33F17" w:rsidR="00533AC3" w:rsidRPr="00AB1B6E" w:rsidRDefault="003821C6" w:rsidP="0083214A">
            <w:pPr>
              <w:cnfStyle w:val="100000000000" w:firstRow="1" w:lastRow="0" w:firstColumn="0" w:lastColumn="0" w:oddVBand="0" w:evenVBand="0" w:oddHBand="0" w:evenHBand="0" w:firstRowFirstColumn="0" w:firstRowLastColumn="0" w:lastRowFirstColumn="0" w:lastRowLastColumn="0"/>
              <w:rPr>
                <w:noProof/>
              </w:rPr>
            </w:pPr>
            <w:r>
              <w:rPr>
                <w:noProof/>
              </w:rPr>
              <w:t xml:space="preserve">2021-2027 </w:t>
            </w:r>
            <w:r w:rsidR="00533AC3" w:rsidRPr="00AB1B6E">
              <w:rPr>
                <w:noProof/>
              </w:rPr>
              <w:t>Budget</w:t>
            </w:r>
          </w:p>
        </w:tc>
        <w:tc>
          <w:tcPr>
            <w:tcW w:w="2410" w:type="dxa"/>
          </w:tcPr>
          <w:p w14:paraId="285EECDC" w14:textId="77777777" w:rsidR="00533AC3" w:rsidRPr="00AB1B6E" w:rsidRDefault="00533AC3" w:rsidP="0083214A">
            <w:pPr>
              <w:cnfStyle w:val="100000000000" w:firstRow="1" w:lastRow="0" w:firstColumn="0" w:lastColumn="0" w:oddVBand="0" w:evenVBand="0" w:oddHBand="0" w:evenHBand="0" w:firstRowFirstColumn="0" w:firstRowLastColumn="0" w:lastRowFirstColumn="0" w:lastRowLastColumn="0"/>
              <w:rPr>
                <w:noProof/>
              </w:rPr>
            </w:pPr>
            <w:r w:rsidRPr="00AB1B6E">
              <w:rPr>
                <w:noProof/>
              </w:rPr>
              <w:t>Implementation rate</w:t>
            </w:r>
          </w:p>
        </w:tc>
      </w:tr>
      <w:tr w:rsidR="00533AC3" w:rsidRPr="00AB1B6E" w14:paraId="13A67464"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1F0BF7E2" w14:textId="77777777" w:rsidR="00533AC3" w:rsidRPr="00AB1B6E" w:rsidRDefault="00533AC3" w:rsidP="0083214A">
            <w:pPr>
              <w:jc w:val="center"/>
              <w:rPr>
                <w:noProof/>
              </w:rPr>
            </w:pPr>
            <w:r w:rsidRPr="00AB1B6E">
              <w:rPr>
                <w:noProof/>
              </w:rPr>
              <w:t>Commitments</w:t>
            </w:r>
          </w:p>
        </w:tc>
        <w:tc>
          <w:tcPr>
            <w:tcW w:w="2410" w:type="dxa"/>
          </w:tcPr>
          <w:tbl>
            <w:tblPr>
              <w:tblStyle w:val="TableGrid"/>
              <w:tblW w:w="0" w:type="auto"/>
              <w:tblLook w:val="06A0" w:firstRow="1" w:lastRow="0" w:firstColumn="1" w:lastColumn="0" w:noHBand="1" w:noVBand="1"/>
            </w:tblPr>
            <w:tblGrid>
              <w:gridCol w:w="2194"/>
            </w:tblGrid>
            <w:tr w:rsidR="00533AC3" w:rsidRPr="00AB1B6E" w14:paraId="6522669D" w14:textId="77777777" w:rsidTr="0083214A">
              <w:trPr>
                <w:trHeight w:val="285"/>
              </w:trPr>
              <w:tc>
                <w:tcPr>
                  <w:tcW w:w="2290" w:type="dxa"/>
                  <w:tcBorders>
                    <w:top w:val="nil"/>
                    <w:left w:val="nil"/>
                    <w:bottom w:val="nil"/>
                    <w:right w:val="nil"/>
                  </w:tcBorders>
                  <w:vAlign w:val="bottom"/>
                </w:tcPr>
                <w:p w14:paraId="293158A4" w14:textId="77777777" w:rsidR="00533AC3" w:rsidRPr="00AB1B6E" w:rsidRDefault="00533AC3" w:rsidP="0083214A">
                  <w:pPr>
                    <w:jc w:val="right"/>
                    <w:rPr>
                      <w:noProof/>
                    </w:rPr>
                  </w:pPr>
                  <w:r w:rsidRPr="00AB1B6E">
                    <w:rPr>
                      <w:rFonts w:ascii="Calibri" w:hAnsi="Calibri" w:cs="Calibri"/>
                      <w:noProof/>
                      <w:color w:val="000000"/>
                    </w:rPr>
                    <w:t>969.4</w:t>
                  </w:r>
                </w:p>
              </w:tc>
            </w:tr>
          </w:tbl>
          <w:p w14:paraId="73C78979" w14:textId="77777777" w:rsidR="00533AC3" w:rsidRPr="00AB1B6E" w:rsidRDefault="00533AC3"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533AC3" w:rsidRPr="00AB1B6E" w14:paraId="7F0AD201" w14:textId="77777777" w:rsidTr="0083214A">
              <w:trPr>
                <w:trHeight w:val="285"/>
              </w:trPr>
              <w:tc>
                <w:tcPr>
                  <w:tcW w:w="2290" w:type="dxa"/>
                  <w:tcBorders>
                    <w:top w:val="nil"/>
                    <w:left w:val="nil"/>
                    <w:bottom w:val="nil"/>
                    <w:right w:val="nil"/>
                  </w:tcBorders>
                  <w:vAlign w:val="bottom"/>
                </w:tcPr>
                <w:p w14:paraId="48F1CB23" w14:textId="7A8633C2" w:rsidR="00533AC3" w:rsidRPr="00AB1B6E" w:rsidRDefault="00533AC3" w:rsidP="0083214A">
                  <w:pPr>
                    <w:jc w:val="right"/>
                    <w:rPr>
                      <w:noProof/>
                    </w:rPr>
                  </w:pPr>
                  <w:r w:rsidRPr="71A5FE34">
                    <w:rPr>
                      <w:rFonts w:ascii="Calibri" w:hAnsi="Calibri" w:cs="Calibri"/>
                      <w:noProof/>
                      <w:color w:val="000000"/>
                    </w:rPr>
                    <w:t>7 576.7</w:t>
                  </w:r>
                </w:p>
              </w:tc>
            </w:tr>
          </w:tbl>
          <w:p w14:paraId="5D277DD4" w14:textId="77777777" w:rsidR="00533AC3" w:rsidRPr="00AB1B6E" w:rsidRDefault="00533AC3"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533AC3" w:rsidRPr="00AB1B6E" w14:paraId="27C5325F" w14:textId="77777777" w:rsidTr="0083214A">
              <w:trPr>
                <w:trHeight w:val="285"/>
              </w:trPr>
              <w:tc>
                <w:tcPr>
                  <w:tcW w:w="2290" w:type="dxa"/>
                  <w:tcBorders>
                    <w:top w:val="nil"/>
                    <w:left w:val="nil"/>
                    <w:bottom w:val="nil"/>
                    <w:right w:val="nil"/>
                  </w:tcBorders>
                  <w:vAlign w:val="bottom"/>
                </w:tcPr>
                <w:p w14:paraId="4F130575" w14:textId="097C8A8C" w:rsidR="00533AC3" w:rsidRPr="00AB1B6E" w:rsidRDefault="00533AC3" w:rsidP="0083214A">
                  <w:pPr>
                    <w:ind w:left="720"/>
                    <w:jc w:val="right"/>
                    <w:rPr>
                      <w:noProof/>
                    </w:rPr>
                  </w:pPr>
                  <w:r w:rsidRPr="71A5FE34">
                    <w:rPr>
                      <w:rFonts w:ascii="Calibri" w:hAnsi="Calibri" w:cs="Calibri"/>
                      <w:noProof/>
                      <w:color w:val="000000"/>
                    </w:rPr>
                    <w:t>13%</w:t>
                  </w:r>
                </w:p>
              </w:tc>
            </w:tr>
          </w:tbl>
          <w:p w14:paraId="532A2A52" w14:textId="77777777" w:rsidR="00533AC3" w:rsidRPr="00AB1B6E" w:rsidRDefault="00533AC3" w:rsidP="0083214A">
            <w:pPr>
              <w:jc w:val="center"/>
              <w:cnfStyle w:val="000000000000" w:firstRow="0" w:lastRow="0" w:firstColumn="0" w:lastColumn="0" w:oddVBand="0" w:evenVBand="0" w:oddHBand="0" w:evenHBand="0" w:firstRowFirstColumn="0" w:firstRowLastColumn="0" w:lastRowFirstColumn="0" w:lastRowLastColumn="0"/>
              <w:rPr>
                <w:noProof/>
              </w:rPr>
            </w:pPr>
          </w:p>
        </w:tc>
      </w:tr>
      <w:tr w:rsidR="00533AC3" w:rsidRPr="00AB1B6E" w14:paraId="5914A929"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73CBE9AE" w14:textId="77777777" w:rsidR="00533AC3" w:rsidRPr="00AB1B6E" w:rsidRDefault="00533AC3" w:rsidP="0083214A">
            <w:pPr>
              <w:jc w:val="center"/>
              <w:rPr>
                <w:noProof/>
              </w:rPr>
            </w:pPr>
            <w:r w:rsidRPr="00AB1B6E">
              <w:rPr>
                <w:noProof/>
              </w:rPr>
              <w:t>Payments</w:t>
            </w:r>
          </w:p>
        </w:tc>
        <w:tc>
          <w:tcPr>
            <w:tcW w:w="2410" w:type="dxa"/>
          </w:tcPr>
          <w:tbl>
            <w:tblPr>
              <w:tblStyle w:val="TableGrid"/>
              <w:tblW w:w="0" w:type="auto"/>
              <w:tblLook w:val="06A0" w:firstRow="1" w:lastRow="0" w:firstColumn="1" w:lastColumn="0" w:noHBand="1" w:noVBand="1"/>
            </w:tblPr>
            <w:tblGrid>
              <w:gridCol w:w="2194"/>
            </w:tblGrid>
            <w:tr w:rsidR="00533AC3" w:rsidRPr="00AB1B6E" w14:paraId="113FB7D8" w14:textId="77777777" w:rsidTr="0083214A">
              <w:trPr>
                <w:trHeight w:val="285"/>
              </w:trPr>
              <w:tc>
                <w:tcPr>
                  <w:tcW w:w="2290" w:type="dxa"/>
                  <w:tcBorders>
                    <w:top w:val="nil"/>
                    <w:left w:val="nil"/>
                    <w:bottom w:val="nil"/>
                    <w:right w:val="nil"/>
                  </w:tcBorders>
                  <w:vAlign w:val="bottom"/>
                </w:tcPr>
                <w:p w14:paraId="70D0B1BE" w14:textId="77777777" w:rsidR="00533AC3" w:rsidRPr="00AB1B6E" w:rsidRDefault="00533AC3" w:rsidP="0083214A">
                  <w:pPr>
                    <w:jc w:val="right"/>
                    <w:rPr>
                      <w:noProof/>
                    </w:rPr>
                  </w:pPr>
                  <w:r w:rsidRPr="00AB1B6E">
                    <w:rPr>
                      <w:rFonts w:ascii="Calibri" w:hAnsi="Calibri" w:cs="Calibri"/>
                      <w:noProof/>
                      <w:color w:val="000000"/>
                    </w:rPr>
                    <w:t>1.4</w:t>
                  </w:r>
                </w:p>
              </w:tc>
            </w:tr>
          </w:tbl>
          <w:p w14:paraId="547C89A6" w14:textId="77777777" w:rsidR="00533AC3" w:rsidRPr="00AB1B6E" w:rsidRDefault="00533AC3"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48B97747" w14:textId="77777777" w:rsidR="00533AC3" w:rsidRPr="00AB1B6E" w:rsidRDefault="00533AC3"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533AC3" w:rsidRPr="00AB1B6E" w14:paraId="3D114368" w14:textId="77777777" w:rsidTr="0083214A">
              <w:trPr>
                <w:trHeight w:val="285"/>
              </w:trPr>
              <w:tc>
                <w:tcPr>
                  <w:tcW w:w="2235" w:type="dxa"/>
                  <w:tcBorders>
                    <w:top w:val="nil"/>
                    <w:left w:val="nil"/>
                    <w:bottom w:val="nil"/>
                    <w:right w:val="nil"/>
                  </w:tcBorders>
                  <w:vAlign w:val="bottom"/>
                </w:tcPr>
                <w:p w14:paraId="0E21ADB2" w14:textId="77777777" w:rsidR="00533AC3" w:rsidRPr="00AB1B6E" w:rsidRDefault="00533AC3" w:rsidP="0083214A">
                  <w:pPr>
                    <w:jc w:val="right"/>
                    <w:rPr>
                      <w:noProof/>
                    </w:rPr>
                  </w:pPr>
                  <w:r w:rsidRPr="00AB1B6E">
                    <w:rPr>
                      <w:rFonts w:ascii="Calibri" w:hAnsi="Calibri" w:cs="Calibri"/>
                      <w:noProof/>
                      <w:color w:val="000000"/>
                    </w:rPr>
                    <w:t>0%</w:t>
                  </w:r>
                </w:p>
              </w:tc>
            </w:tr>
          </w:tbl>
          <w:p w14:paraId="5A53BA08" w14:textId="77777777" w:rsidR="00533AC3" w:rsidRPr="00AB1B6E" w:rsidRDefault="00533AC3" w:rsidP="0083214A">
            <w:pPr>
              <w:jc w:val="center"/>
              <w:cnfStyle w:val="000000000000" w:firstRow="0" w:lastRow="0" w:firstColumn="0" w:lastColumn="0" w:oddVBand="0" w:evenVBand="0" w:oddHBand="0" w:evenHBand="0" w:firstRowFirstColumn="0" w:firstRowLastColumn="0" w:lastRowFirstColumn="0" w:lastRowLastColumn="0"/>
              <w:rPr>
                <w:noProof/>
              </w:rPr>
            </w:pPr>
          </w:p>
        </w:tc>
      </w:tr>
    </w:tbl>
    <w:p w14:paraId="08AA6516" w14:textId="77777777" w:rsidR="00533AC3" w:rsidRPr="00AB1B6E" w:rsidRDefault="00533AC3" w:rsidP="00533AC3">
      <w:pPr>
        <w:pStyle w:val="ppoTableTabletitle"/>
        <w:rPr>
          <w:b/>
          <w:noProof/>
        </w:rPr>
      </w:pPr>
      <w:r w:rsidRPr="00AB1B6E">
        <w:rPr>
          <w:noProof/>
        </w:rPr>
        <w:t>Voted budget implementation in 2021 (</w:t>
      </w:r>
      <w:r w:rsidRPr="00AB1B6E" w:rsidDel="00B31EE6">
        <w:rPr>
          <w:noProof/>
        </w:rPr>
        <w:t>million</w:t>
      </w:r>
      <w:r w:rsidRPr="00AB1B6E">
        <w:rPr>
          <w:noProof/>
        </w:rPr>
        <w:t xml:space="preserve"> EUR):</w:t>
      </w:r>
    </w:p>
    <w:tbl>
      <w:tblPr>
        <w:tblStyle w:val="PPO2021"/>
        <w:tblW w:w="3683" w:type="pct"/>
        <w:tblInd w:w="79" w:type="dxa"/>
        <w:tblLook w:val="04A0" w:firstRow="1" w:lastRow="0" w:firstColumn="1" w:lastColumn="0" w:noHBand="0" w:noVBand="1"/>
      </w:tblPr>
      <w:tblGrid>
        <w:gridCol w:w="2419"/>
        <w:gridCol w:w="2419"/>
        <w:gridCol w:w="2420"/>
      </w:tblGrid>
      <w:tr w:rsidR="00533AC3" w:rsidRPr="00AB1B6E" w14:paraId="2E5F83D3" w14:textId="77777777" w:rsidTr="008321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0BF4B2A5" w14:textId="77777777" w:rsidR="00533AC3" w:rsidRPr="00AB1B6E" w:rsidRDefault="00533AC3" w:rsidP="0083214A">
            <w:pPr>
              <w:rPr>
                <w:noProof/>
              </w:rPr>
            </w:pPr>
          </w:p>
        </w:tc>
        <w:tc>
          <w:tcPr>
            <w:tcW w:w="2419" w:type="dxa"/>
          </w:tcPr>
          <w:p w14:paraId="45761984" w14:textId="77777777" w:rsidR="00533AC3" w:rsidRPr="00AB1B6E" w:rsidRDefault="00533AC3" w:rsidP="0083214A">
            <w:pPr>
              <w:cnfStyle w:val="100000000000" w:firstRow="1" w:lastRow="0" w:firstColumn="0" w:lastColumn="0" w:oddVBand="0" w:evenVBand="0" w:oddHBand="0" w:evenHBand="0" w:firstRowFirstColumn="0" w:firstRowLastColumn="0" w:lastRowFirstColumn="0" w:lastRowLastColumn="0"/>
              <w:rPr>
                <w:noProof/>
              </w:rPr>
            </w:pPr>
            <w:r w:rsidRPr="00AB1B6E">
              <w:rPr>
                <w:noProof/>
              </w:rPr>
              <w:t>Voted budget implementation</w:t>
            </w:r>
          </w:p>
        </w:tc>
        <w:tc>
          <w:tcPr>
            <w:tcW w:w="2420" w:type="dxa"/>
          </w:tcPr>
          <w:p w14:paraId="5EBDB1EC" w14:textId="77777777" w:rsidR="00533AC3" w:rsidRPr="00AB1B6E" w:rsidRDefault="00533AC3" w:rsidP="0083214A">
            <w:pPr>
              <w:cnfStyle w:val="100000000000" w:firstRow="1" w:lastRow="0" w:firstColumn="0" w:lastColumn="0" w:oddVBand="0" w:evenVBand="0" w:oddHBand="0" w:evenHBand="0" w:firstRowFirstColumn="0" w:firstRowLastColumn="0" w:lastRowFirstColumn="0" w:lastRowLastColumn="0"/>
              <w:rPr>
                <w:noProof/>
              </w:rPr>
            </w:pPr>
            <w:r w:rsidRPr="00AB1B6E">
              <w:rPr>
                <w:noProof/>
              </w:rPr>
              <w:t>Initial voted budget</w:t>
            </w:r>
          </w:p>
        </w:tc>
      </w:tr>
      <w:tr w:rsidR="00533AC3" w:rsidRPr="00AB1B6E" w14:paraId="4C3E4605" w14:textId="77777777" w:rsidTr="0083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21510E5F" w14:textId="77777777" w:rsidR="00533AC3" w:rsidRPr="00AB1B6E" w:rsidRDefault="00533AC3" w:rsidP="0083214A">
            <w:pPr>
              <w:jc w:val="center"/>
              <w:rPr>
                <w:noProof/>
              </w:rPr>
            </w:pPr>
            <w:r w:rsidRPr="00AB1B6E">
              <w:rPr>
                <w:noProof/>
              </w:rPr>
              <w:t>Commitments</w:t>
            </w:r>
          </w:p>
        </w:tc>
        <w:tc>
          <w:tcPr>
            <w:tcW w:w="2419" w:type="dxa"/>
          </w:tcPr>
          <w:p w14:paraId="3DA10863" w14:textId="77777777" w:rsidR="00533AC3" w:rsidRPr="00AB1B6E" w:rsidRDefault="00533AC3" w:rsidP="0083214A">
            <w:pPr>
              <w:jc w:val="center"/>
              <w:cnfStyle w:val="000000100000" w:firstRow="0" w:lastRow="0" w:firstColumn="0" w:lastColumn="0" w:oddVBand="0" w:evenVBand="0" w:oddHBand="1" w:evenHBand="0" w:firstRowFirstColumn="0" w:firstRowLastColumn="0" w:lastRowFirstColumn="0" w:lastRowLastColumn="0"/>
              <w:rPr>
                <w:noProof/>
              </w:rPr>
            </w:pPr>
            <w:r w:rsidRPr="00AB1B6E">
              <w:rPr>
                <w:noProof/>
              </w:rPr>
              <w:t>945.7</w:t>
            </w:r>
          </w:p>
        </w:tc>
        <w:tc>
          <w:tcPr>
            <w:tcW w:w="2420" w:type="dxa"/>
          </w:tcPr>
          <w:p w14:paraId="65CB8871" w14:textId="77777777" w:rsidR="00533AC3" w:rsidRPr="00AB1B6E" w:rsidRDefault="00533AC3" w:rsidP="0083214A">
            <w:pPr>
              <w:jc w:val="center"/>
              <w:cnfStyle w:val="000000100000" w:firstRow="0" w:lastRow="0" w:firstColumn="0" w:lastColumn="0" w:oddVBand="0" w:evenVBand="0" w:oddHBand="1" w:evenHBand="0" w:firstRowFirstColumn="0" w:firstRowLastColumn="0" w:lastRowFirstColumn="0" w:lastRowLastColumn="0"/>
              <w:rPr>
                <w:noProof/>
              </w:rPr>
            </w:pPr>
            <w:r w:rsidRPr="00AB1B6E">
              <w:rPr>
                <w:noProof/>
              </w:rPr>
              <w:t>945.7</w:t>
            </w:r>
          </w:p>
        </w:tc>
      </w:tr>
      <w:tr w:rsidR="00533AC3" w:rsidRPr="00AB1B6E" w14:paraId="207332E6" w14:textId="77777777" w:rsidTr="00832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0C110809" w14:textId="77777777" w:rsidR="00533AC3" w:rsidRPr="00AB1B6E" w:rsidRDefault="00533AC3" w:rsidP="0083214A">
            <w:pPr>
              <w:jc w:val="center"/>
              <w:rPr>
                <w:noProof/>
              </w:rPr>
            </w:pPr>
            <w:r w:rsidRPr="00AB1B6E">
              <w:rPr>
                <w:noProof/>
              </w:rPr>
              <w:t>Payments</w:t>
            </w:r>
          </w:p>
        </w:tc>
        <w:tc>
          <w:tcPr>
            <w:tcW w:w="2419" w:type="dxa"/>
          </w:tcPr>
          <w:p w14:paraId="046DE90F" w14:textId="77777777" w:rsidR="00533AC3" w:rsidRPr="00AB1B6E" w:rsidRDefault="00533AC3" w:rsidP="0083214A">
            <w:pPr>
              <w:jc w:val="center"/>
              <w:cnfStyle w:val="000000010000" w:firstRow="0" w:lastRow="0" w:firstColumn="0" w:lastColumn="0" w:oddVBand="0" w:evenVBand="0" w:oddHBand="0" w:evenHBand="1" w:firstRowFirstColumn="0" w:firstRowLastColumn="0" w:lastRowFirstColumn="0" w:lastRowLastColumn="0"/>
              <w:rPr>
                <w:noProof/>
              </w:rPr>
            </w:pPr>
            <w:r w:rsidRPr="00AB1B6E">
              <w:rPr>
                <w:noProof/>
              </w:rPr>
              <w:t>1.3</w:t>
            </w:r>
          </w:p>
        </w:tc>
        <w:tc>
          <w:tcPr>
            <w:tcW w:w="2420" w:type="dxa"/>
          </w:tcPr>
          <w:p w14:paraId="0792A93D" w14:textId="77777777" w:rsidR="00533AC3" w:rsidRPr="00AB1B6E" w:rsidRDefault="00533AC3" w:rsidP="0083214A">
            <w:pPr>
              <w:jc w:val="center"/>
              <w:cnfStyle w:val="000000010000" w:firstRow="0" w:lastRow="0" w:firstColumn="0" w:lastColumn="0" w:oddVBand="0" w:evenVBand="0" w:oddHBand="0" w:evenHBand="1" w:firstRowFirstColumn="0" w:firstRowLastColumn="0" w:lastRowFirstColumn="0" w:lastRowLastColumn="0"/>
              <w:rPr>
                <w:noProof/>
              </w:rPr>
            </w:pPr>
            <w:r w:rsidRPr="00AB1B6E">
              <w:rPr>
                <w:noProof/>
              </w:rPr>
              <w:t>15.6</w:t>
            </w:r>
          </w:p>
        </w:tc>
      </w:tr>
    </w:tbl>
    <w:p w14:paraId="7E745BB2" w14:textId="77777777" w:rsidR="00533AC3" w:rsidRPr="00AB1B6E" w:rsidRDefault="00533AC3" w:rsidP="00533AC3">
      <w:pPr>
        <w:pStyle w:val="ppoListHyphened-L1"/>
        <w:jc w:val="both"/>
        <w:rPr>
          <w:noProof/>
        </w:rPr>
      </w:pPr>
      <w:r w:rsidRPr="00AB1B6E">
        <w:rPr>
          <w:noProof/>
        </w:rPr>
        <w:t>Following the adoption of the EDF regulation in 2021, the first annual EDF work programme (for 2021) was adopted in June 2021. In addition, the first part of the 2022 annual EDF work programme was adopted to complement the 2021 budget envelope. This will serve to kick-start ambitious EDF projects related to large-scale and complex defence capabilities.</w:t>
      </w:r>
    </w:p>
    <w:p w14:paraId="50EEBA11" w14:textId="2ED18F18" w:rsidR="00533AC3" w:rsidRPr="00AB1B6E" w:rsidRDefault="00533AC3" w:rsidP="00533AC3">
      <w:pPr>
        <w:pStyle w:val="ppoListHyphened-L1"/>
        <w:jc w:val="both"/>
        <w:rPr>
          <w:noProof/>
        </w:rPr>
      </w:pPr>
      <w:r w:rsidRPr="00AB1B6E">
        <w:rPr>
          <w:noProof/>
        </w:rPr>
        <w:t>The first EDF calls for proposals were published in June 2021. Of these, 11 calls target research actions and 12</w:t>
      </w:r>
      <w:r w:rsidRPr="00AB1B6E" w:rsidDel="002B25A1">
        <w:rPr>
          <w:noProof/>
        </w:rPr>
        <w:t xml:space="preserve"> </w:t>
      </w:r>
      <w:r w:rsidRPr="00AB1B6E">
        <w:rPr>
          <w:noProof/>
        </w:rPr>
        <w:t>target development actions, addressing 37 topics. The total budget allocated to these calls exceeds EUR</w:t>
      </w:r>
      <w:r w:rsidRPr="00AB1B6E">
        <w:rPr>
          <w:rFonts w:ascii="Calibri" w:hAnsi="Calibri" w:cs="Calibri"/>
          <w:noProof/>
        </w:rPr>
        <w:t> </w:t>
      </w:r>
      <w:r w:rsidRPr="00AB1B6E">
        <w:rPr>
          <w:noProof/>
        </w:rPr>
        <w:t>1.2</w:t>
      </w:r>
      <w:r w:rsidRPr="00AB1B6E">
        <w:rPr>
          <w:rFonts w:ascii="Calibri" w:hAnsi="Calibri" w:cs="Calibri"/>
          <w:noProof/>
        </w:rPr>
        <w:t> </w:t>
      </w:r>
      <w:r w:rsidRPr="00AB1B6E">
        <w:rPr>
          <w:noProof/>
        </w:rPr>
        <w:t>billion,</w:t>
      </w:r>
      <w:r w:rsidRPr="00AB1B6E" w:rsidDel="002B25A1">
        <w:rPr>
          <w:noProof/>
        </w:rPr>
        <w:t xml:space="preserve"> </w:t>
      </w:r>
      <w:r w:rsidRPr="00AB1B6E">
        <w:rPr>
          <w:noProof/>
        </w:rPr>
        <w:t>of which EUR</w:t>
      </w:r>
      <w:r w:rsidRPr="00AB1B6E">
        <w:rPr>
          <w:rFonts w:ascii="Calibri" w:hAnsi="Calibri" w:cs="Calibri"/>
          <w:noProof/>
        </w:rPr>
        <w:t> </w:t>
      </w:r>
      <w:r w:rsidRPr="00AB1B6E">
        <w:rPr>
          <w:noProof/>
        </w:rPr>
        <w:t>930.3</w:t>
      </w:r>
      <w:r w:rsidRPr="00AB1B6E">
        <w:rPr>
          <w:rFonts w:ascii="Calibri" w:hAnsi="Calibri" w:cs="Calibri"/>
          <w:noProof/>
        </w:rPr>
        <w:t> </w:t>
      </w:r>
      <w:r w:rsidRPr="00AB1B6E">
        <w:rPr>
          <w:noProof/>
        </w:rPr>
        <w:t>million comes from the 2021 budget and EUR</w:t>
      </w:r>
      <w:r w:rsidRPr="00AB1B6E">
        <w:rPr>
          <w:rFonts w:ascii="Calibri" w:hAnsi="Calibri" w:cs="Calibri"/>
          <w:noProof/>
        </w:rPr>
        <w:t> </w:t>
      </w:r>
      <w:r w:rsidRPr="00AB1B6E">
        <w:rPr>
          <w:noProof/>
        </w:rPr>
        <w:t>290</w:t>
      </w:r>
      <w:r w:rsidRPr="00AB1B6E">
        <w:rPr>
          <w:rFonts w:ascii="Calibri" w:hAnsi="Calibri" w:cs="Calibri"/>
          <w:noProof/>
        </w:rPr>
        <w:t> </w:t>
      </w:r>
      <w:r w:rsidRPr="00AB1B6E">
        <w:rPr>
          <w:noProof/>
        </w:rPr>
        <w:t xml:space="preserve">million comes from the 2022 budget. In this context, it is expected that grant agreements will be signed </w:t>
      </w:r>
      <w:r w:rsidR="00C20E72">
        <w:rPr>
          <w:noProof/>
        </w:rPr>
        <w:t>in</w:t>
      </w:r>
      <w:r w:rsidRPr="00AB1B6E">
        <w:rPr>
          <w:noProof/>
        </w:rPr>
        <w:t xml:space="preserve"> 2022.</w:t>
      </w:r>
    </w:p>
    <w:p w14:paraId="7165087F" w14:textId="77777777" w:rsidR="00533AC3" w:rsidRPr="00AB1B6E" w:rsidRDefault="00533AC3" w:rsidP="00533AC3">
      <w:pPr>
        <w:pStyle w:val="ppoListHyphened-L1"/>
        <w:jc w:val="both"/>
        <w:rPr>
          <w:noProof/>
        </w:rPr>
      </w:pPr>
      <w:r w:rsidRPr="00AB1B6E">
        <w:rPr>
          <w:noProof/>
        </w:rPr>
        <w:t>The COVID-19 crisis had a substantial impact on the procedures and the working arrangements of the staff involved in the evaluations and grant agreement preparations for the EDF precursor programme. However, the crisis did not affect the preparation of the 2021 EDF work programme, with the publication of the relevant calls implemented on time. Furthermore, the COVID-19 crisis will not impact the timing of the preparation and adoption of the 2022 EDF work programme.</w:t>
      </w:r>
    </w:p>
    <w:p w14:paraId="4C03E6AC" w14:textId="77777777" w:rsidR="00533AC3" w:rsidRPr="00AB1B6E" w:rsidRDefault="00533AC3" w:rsidP="00533AC3">
      <w:pPr>
        <w:pStyle w:val="ppoHeading5"/>
        <w:rPr>
          <w:noProof/>
        </w:rPr>
      </w:pPr>
      <w:r w:rsidRPr="00AB1B6E">
        <w:rPr>
          <w:noProof/>
        </w:rPr>
        <w:t>Contribution to horizontal priorities</w:t>
      </w:r>
    </w:p>
    <w:p w14:paraId="4CB53C1C" w14:textId="77777777" w:rsidR="00533AC3" w:rsidRPr="00AB1B6E" w:rsidRDefault="00533AC3" w:rsidP="00533AC3">
      <w:pPr>
        <w:pStyle w:val="ppoTableTabletitle"/>
        <w:rPr>
          <w:noProof/>
        </w:rPr>
      </w:pPr>
      <w:r w:rsidRPr="00AB1B6E">
        <w:rPr>
          <w:noProof/>
        </w:rPr>
        <w:t>EU budget contribution in 2021 (</w:t>
      </w:r>
      <w:r w:rsidRPr="00AB1B6E" w:rsidDel="00B31EE6">
        <w:rPr>
          <w:noProof/>
        </w:rPr>
        <w:t>million</w:t>
      </w:r>
      <w:r w:rsidRPr="00AB1B6E">
        <w:rPr>
          <w:noProof/>
        </w:rPr>
        <w:t xml:space="preserve"> EUR):</w:t>
      </w:r>
    </w:p>
    <w:tbl>
      <w:tblPr>
        <w:tblStyle w:val="PPO2021"/>
        <w:tblW w:w="9639" w:type="dxa"/>
        <w:tblInd w:w="0" w:type="dxa"/>
        <w:tblLook w:val="0420" w:firstRow="1" w:lastRow="0" w:firstColumn="0" w:lastColumn="0" w:noHBand="0" w:noVBand="1"/>
      </w:tblPr>
      <w:tblGrid>
        <w:gridCol w:w="3213"/>
        <w:gridCol w:w="3213"/>
        <w:gridCol w:w="3213"/>
      </w:tblGrid>
      <w:tr w:rsidR="00533AC3" w:rsidRPr="00AB1B6E" w14:paraId="255D515B" w14:textId="77777777" w:rsidTr="0083214A">
        <w:trPr>
          <w:cnfStyle w:val="100000000000" w:firstRow="1" w:lastRow="0" w:firstColumn="0" w:lastColumn="0" w:oddVBand="0" w:evenVBand="0" w:oddHBand="0" w:evenHBand="0" w:firstRowFirstColumn="0" w:firstRowLastColumn="0" w:lastRowFirstColumn="0" w:lastRowLastColumn="0"/>
          <w:tblHeader/>
        </w:trPr>
        <w:tc>
          <w:tcPr>
            <w:tcW w:w="3213" w:type="dxa"/>
          </w:tcPr>
          <w:p w14:paraId="5FCFE007" w14:textId="77777777" w:rsidR="00533AC3" w:rsidRPr="00AB1B6E" w:rsidRDefault="00533AC3" w:rsidP="0083214A">
            <w:pPr>
              <w:rPr>
                <w:noProof/>
              </w:rPr>
            </w:pPr>
            <w:r w:rsidRPr="00AB1B6E">
              <w:rPr>
                <w:noProof/>
              </w:rPr>
              <w:t>Climate</w:t>
            </w:r>
          </w:p>
        </w:tc>
        <w:tc>
          <w:tcPr>
            <w:tcW w:w="3213" w:type="dxa"/>
          </w:tcPr>
          <w:p w14:paraId="44D24EED" w14:textId="77777777" w:rsidR="00533AC3" w:rsidRPr="00AB1B6E" w:rsidRDefault="00533AC3" w:rsidP="0083214A">
            <w:pPr>
              <w:rPr>
                <w:noProof/>
              </w:rPr>
            </w:pPr>
            <w:r w:rsidRPr="00AB1B6E">
              <w:rPr>
                <w:noProof/>
              </w:rPr>
              <w:t>Biodiversity</w:t>
            </w:r>
          </w:p>
        </w:tc>
        <w:tc>
          <w:tcPr>
            <w:tcW w:w="3213" w:type="dxa"/>
          </w:tcPr>
          <w:p w14:paraId="532AA088" w14:textId="77777777" w:rsidR="00533AC3" w:rsidRPr="00AB1B6E" w:rsidRDefault="00533AC3" w:rsidP="0083214A">
            <w:pPr>
              <w:rPr>
                <w:noProof/>
              </w:rPr>
            </w:pPr>
            <w:r w:rsidRPr="00AB1B6E">
              <w:rPr>
                <w:noProof/>
              </w:rPr>
              <w:t>Gender equality *</w:t>
            </w:r>
          </w:p>
        </w:tc>
      </w:tr>
      <w:tr w:rsidR="00533AC3" w:rsidRPr="00AB1B6E" w14:paraId="511EECE1" w14:textId="77777777" w:rsidTr="0083214A">
        <w:trPr>
          <w:cnfStyle w:val="000000100000" w:firstRow="0" w:lastRow="0" w:firstColumn="0" w:lastColumn="0" w:oddVBand="0" w:evenVBand="0" w:oddHBand="1" w:evenHBand="0" w:firstRowFirstColumn="0" w:firstRowLastColumn="0" w:lastRowFirstColumn="0" w:lastRowLastColumn="0"/>
        </w:trPr>
        <w:tc>
          <w:tcPr>
            <w:tcW w:w="3213" w:type="dxa"/>
          </w:tcPr>
          <w:tbl>
            <w:tblPr>
              <w:tblStyle w:val="TableGrid"/>
              <w:tblW w:w="0" w:type="auto"/>
              <w:tblLook w:val="06A0" w:firstRow="1" w:lastRow="0" w:firstColumn="1" w:lastColumn="0" w:noHBand="1" w:noVBand="1"/>
            </w:tblPr>
            <w:tblGrid>
              <w:gridCol w:w="1935"/>
            </w:tblGrid>
            <w:tr w:rsidR="00533AC3" w:rsidRPr="00AB1B6E" w14:paraId="0B311AC6" w14:textId="77777777" w:rsidTr="0083214A">
              <w:trPr>
                <w:trHeight w:val="285"/>
              </w:trPr>
              <w:tc>
                <w:tcPr>
                  <w:tcW w:w="1935" w:type="dxa"/>
                  <w:tcBorders>
                    <w:top w:val="nil"/>
                    <w:left w:val="nil"/>
                    <w:bottom w:val="nil"/>
                    <w:right w:val="nil"/>
                  </w:tcBorders>
                  <w:vAlign w:val="bottom"/>
                </w:tcPr>
                <w:p w14:paraId="0806E2A2" w14:textId="75F4442D" w:rsidR="00533AC3" w:rsidRPr="00AB1B6E" w:rsidRDefault="00533AC3" w:rsidP="0083214A">
                  <w:pPr>
                    <w:jc w:val="right"/>
                    <w:rPr>
                      <w:noProof/>
                    </w:rPr>
                  </w:pPr>
                  <w:r w:rsidRPr="00AB1B6E">
                    <w:rPr>
                      <w:rFonts w:ascii="Calibri" w:hAnsi="Calibri" w:cs="Calibri"/>
                      <w:noProof/>
                      <w:color w:val="000000"/>
                    </w:rPr>
                    <w:t>0</w:t>
                  </w:r>
                </w:p>
              </w:tc>
            </w:tr>
          </w:tbl>
          <w:p w14:paraId="75DCE110" w14:textId="77777777" w:rsidR="00533AC3" w:rsidRPr="00AB1B6E" w:rsidRDefault="00533AC3" w:rsidP="0083214A">
            <w:pPr>
              <w:jc w:val="center"/>
              <w:rPr>
                <w:noProof/>
              </w:rPr>
            </w:pPr>
          </w:p>
        </w:tc>
        <w:tc>
          <w:tcPr>
            <w:tcW w:w="3213" w:type="dxa"/>
          </w:tcPr>
          <w:p w14:paraId="35B3196D" w14:textId="77777777" w:rsidR="00533AC3" w:rsidRPr="00AB1B6E" w:rsidRDefault="00533AC3" w:rsidP="0083214A">
            <w:pPr>
              <w:jc w:val="center"/>
              <w:rPr>
                <w:noProof/>
              </w:rPr>
            </w:pPr>
            <w:r w:rsidRPr="00AB1B6E">
              <w:rPr>
                <w:noProof/>
              </w:rPr>
              <w:t>-</w:t>
            </w:r>
          </w:p>
        </w:tc>
        <w:tc>
          <w:tcPr>
            <w:tcW w:w="3213" w:type="dxa"/>
          </w:tcPr>
          <w:p w14:paraId="32E332C1" w14:textId="36E8625E" w:rsidR="00533AC3" w:rsidRPr="00AB1B6E" w:rsidRDefault="00533AC3" w:rsidP="0083214A">
            <w:pPr>
              <w:jc w:val="center"/>
              <w:rPr>
                <w:noProof/>
              </w:rPr>
            </w:pPr>
            <w:r w:rsidRPr="00AB1B6E">
              <w:rPr>
                <w:noProof/>
              </w:rPr>
              <w:t xml:space="preserve">Score 0: EUR </w:t>
            </w:r>
            <w:r w:rsidR="00283F23">
              <w:rPr>
                <w:noProof/>
              </w:rPr>
              <w:t>945.7</w:t>
            </w:r>
          </w:p>
        </w:tc>
      </w:tr>
    </w:tbl>
    <w:p w14:paraId="2A725A9E" w14:textId="77777777" w:rsidR="00533AC3" w:rsidRPr="00AB1B6E" w:rsidRDefault="00533AC3" w:rsidP="00533AC3">
      <w:pPr>
        <w:pStyle w:val="FootnoteText"/>
        <w:rPr>
          <w:noProof/>
        </w:rPr>
      </w:pPr>
      <w:r w:rsidRPr="00AB1B6E">
        <w:rPr>
          <w:noProof/>
        </w:rPr>
        <w:t>(*)</w:t>
      </w:r>
      <w:r w:rsidRPr="00AB1B6E">
        <w:rPr>
          <w:noProof/>
        </w:rPr>
        <w:tab/>
        <w:t>Based on the applied gender contribution methodology, the following scores are attributed at the most granular level of intervention possible:</w:t>
      </w:r>
    </w:p>
    <w:p w14:paraId="000B21F0" w14:textId="77777777" w:rsidR="00533AC3" w:rsidRPr="00AB1B6E" w:rsidRDefault="00533AC3" w:rsidP="00533AC3">
      <w:pPr>
        <w:pStyle w:val="FootnoteText"/>
        <w:numPr>
          <w:ilvl w:val="0"/>
          <w:numId w:val="38"/>
        </w:numPr>
        <w:spacing w:after="60" w:line="264" w:lineRule="auto"/>
        <w:jc w:val="left"/>
        <w:rPr>
          <w:noProof/>
        </w:rPr>
      </w:pPr>
      <w:r w:rsidRPr="00AB1B6E">
        <w:rPr>
          <w:noProof/>
        </w:rPr>
        <w:t>2: interventions</w:t>
      </w:r>
      <w:r w:rsidRPr="00AB1B6E" w:rsidDel="002B25A1">
        <w:rPr>
          <w:noProof/>
        </w:rPr>
        <w:t xml:space="preserve"> </w:t>
      </w:r>
      <w:r w:rsidRPr="00AB1B6E">
        <w:rPr>
          <w:noProof/>
        </w:rPr>
        <w:t>the principal objective of which is to improve gender equality;</w:t>
      </w:r>
    </w:p>
    <w:p w14:paraId="4621B30D" w14:textId="77777777" w:rsidR="00533AC3" w:rsidRPr="00AB1B6E" w:rsidRDefault="00533AC3" w:rsidP="00533AC3">
      <w:pPr>
        <w:pStyle w:val="FootnoteText"/>
        <w:numPr>
          <w:ilvl w:val="0"/>
          <w:numId w:val="38"/>
        </w:numPr>
        <w:spacing w:after="60" w:line="264" w:lineRule="auto"/>
        <w:jc w:val="left"/>
        <w:rPr>
          <w:noProof/>
        </w:rPr>
      </w:pPr>
      <w:r w:rsidRPr="00AB1B6E">
        <w:rPr>
          <w:noProof/>
        </w:rPr>
        <w:t>1: interventions that</w:t>
      </w:r>
      <w:r w:rsidRPr="00AB1B6E" w:rsidDel="002B25A1">
        <w:rPr>
          <w:noProof/>
        </w:rPr>
        <w:t xml:space="preserve"> </w:t>
      </w:r>
      <w:r w:rsidRPr="00AB1B6E">
        <w:rPr>
          <w:noProof/>
        </w:rPr>
        <w:t>have gender equality as an important and deliberate objective but not as the main reason for the intervention;</w:t>
      </w:r>
    </w:p>
    <w:p w14:paraId="15DEE2C7" w14:textId="77777777" w:rsidR="00533AC3" w:rsidRPr="00AB1B6E" w:rsidRDefault="00533AC3" w:rsidP="00533AC3">
      <w:pPr>
        <w:pStyle w:val="FootnoteText"/>
        <w:numPr>
          <w:ilvl w:val="0"/>
          <w:numId w:val="38"/>
        </w:numPr>
        <w:spacing w:after="60" w:line="264" w:lineRule="auto"/>
        <w:jc w:val="left"/>
        <w:rPr>
          <w:noProof/>
        </w:rPr>
      </w:pPr>
      <w:r w:rsidRPr="00AB1B6E">
        <w:rPr>
          <w:noProof/>
        </w:rPr>
        <w:t>0: non-targeted interventions;</w:t>
      </w:r>
    </w:p>
    <w:p w14:paraId="22AEA05F" w14:textId="77777777" w:rsidR="00533AC3" w:rsidRPr="00AB1B6E" w:rsidRDefault="00533AC3" w:rsidP="00533AC3">
      <w:pPr>
        <w:pStyle w:val="FootnoteText"/>
        <w:numPr>
          <w:ilvl w:val="0"/>
          <w:numId w:val="38"/>
        </w:numPr>
        <w:spacing w:after="60" w:line="264" w:lineRule="auto"/>
        <w:jc w:val="left"/>
        <w:rPr>
          <w:noProof/>
        </w:rPr>
      </w:pPr>
      <w:r w:rsidRPr="00AB1B6E">
        <w:rPr>
          <w:noProof/>
        </w:rPr>
        <w:t>0*: score to be assigned to interventions with a likely but not yet clear positive impact on gender equality.</w:t>
      </w:r>
    </w:p>
    <w:p w14:paraId="204B1935" w14:textId="77777777" w:rsidR="00533AC3" w:rsidRPr="00AB1B6E" w:rsidRDefault="00533AC3" w:rsidP="00533AC3">
      <w:pPr>
        <w:pStyle w:val="ppoHeading5"/>
        <w:rPr>
          <w:noProof/>
        </w:rPr>
      </w:pPr>
      <w:r w:rsidRPr="00AB1B6E">
        <w:rPr>
          <w:noProof/>
        </w:rPr>
        <w:t>Performance assessment</w:t>
      </w:r>
    </w:p>
    <w:p w14:paraId="7C12BEAC" w14:textId="77777777" w:rsidR="00533AC3" w:rsidRPr="00AB1B6E" w:rsidRDefault="00533AC3" w:rsidP="00533AC3">
      <w:pPr>
        <w:pStyle w:val="ppoHeading6"/>
        <w:rPr>
          <w:noProof/>
        </w:rPr>
      </w:pPr>
      <w:r w:rsidRPr="00AB1B6E">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533AC3" w:rsidRPr="00AB1B6E" w14:paraId="7FF58B09" w14:textId="77777777" w:rsidTr="0083214A">
        <w:trPr>
          <w:cnfStyle w:val="100000000000" w:firstRow="1" w:lastRow="0" w:firstColumn="0" w:lastColumn="0" w:oddVBand="0" w:evenVBand="0" w:oddHBand="0" w:evenHBand="0" w:firstRowFirstColumn="0" w:firstRowLastColumn="0" w:lastRowFirstColumn="0" w:lastRowLastColumn="0"/>
        </w:trPr>
        <w:tc>
          <w:tcPr>
            <w:tcW w:w="2330" w:type="dxa"/>
          </w:tcPr>
          <w:p w14:paraId="7629C411" w14:textId="77777777" w:rsidR="00533AC3" w:rsidRPr="00AB1B6E" w:rsidRDefault="00533AC3" w:rsidP="0083214A">
            <w:pPr>
              <w:rPr>
                <w:noProof/>
              </w:rPr>
            </w:pPr>
          </w:p>
        </w:tc>
        <w:tc>
          <w:tcPr>
            <w:tcW w:w="1100" w:type="dxa"/>
          </w:tcPr>
          <w:p w14:paraId="3B53BC7C" w14:textId="77777777" w:rsidR="00533AC3" w:rsidRPr="00AB1B6E" w:rsidRDefault="00533AC3" w:rsidP="0083214A">
            <w:pPr>
              <w:rPr>
                <w:noProof/>
              </w:rPr>
            </w:pPr>
            <w:r w:rsidRPr="00AB1B6E">
              <w:rPr>
                <w:noProof/>
              </w:rPr>
              <w:t>Baseline</w:t>
            </w:r>
          </w:p>
        </w:tc>
        <w:tc>
          <w:tcPr>
            <w:tcW w:w="1526" w:type="dxa"/>
          </w:tcPr>
          <w:p w14:paraId="1672A1B6" w14:textId="77777777" w:rsidR="00533AC3" w:rsidRPr="00133B51" w:rsidRDefault="00533AC3" w:rsidP="0083214A">
            <w:pPr>
              <w:rPr>
                <w:rFonts w:ascii="Calibri" w:hAnsi="Calibri"/>
                <w:noProof/>
              </w:rPr>
            </w:pPr>
            <w:r w:rsidRPr="00AB1B6E">
              <w:rPr>
                <w:noProof/>
              </w:rPr>
              <w:t>Progress</w:t>
            </w:r>
            <w:r w:rsidRPr="00AB1B6E">
              <w:rPr>
                <w:rFonts w:ascii="Calibri" w:hAnsi="Calibri" w:cs="Calibri"/>
                <w:noProof/>
              </w:rPr>
              <w:t> (*)</w:t>
            </w:r>
          </w:p>
        </w:tc>
        <w:tc>
          <w:tcPr>
            <w:tcW w:w="1532" w:type="dxa"/>
          </w:tcPr>
          <w:p w14:paraId="46B29397" w14:textId="77777777" w:rsidR="00533AC3" w:rsidRPr="00AB1B6E" w:rsidRDefault="00533AC3" w:rsidP="0083214A">
            <w:pPr>
              <w:rPr>
                <w:noProof/>
              </w:rPr>
            </w:pPr>
            <w:r w:rsidRPr="00AB1B6E">
              <w:rPr>
                <w:noProof/>
              </w:rPr>
              <w:t>Target</w:t>
            </w:r>
          </w:p>
        </w:tc>
        <w:tc>
          <w:tcPr>
            <w:tcW w:w="1572" w:type="dxa"/>
          </w:tcPr>
          <w:p w14:paraId="4BD4E4D7" w14:textId="77777777" w:rsidR="00533AC3" w:rsidRPr="00AB1B6E" w:rsidRDefault="00533AC3" w:rsidP="0083214A">
            <w:pPr>
              <w:rPr>
                <w:noProof/>
              </w:rPr>
            </w:pPr>
            <w:r w:rsidRPr="00AB1B6E">
              <w:rPr>
                <w:noProof/>
              </w:rPr>
              <w:t>Results</w:t>
            </w:r>
          </w:p>
        </w:tc>
        <w:tc>
          <w:tcPr>
            <w:tcW w:w="1579" w:type="dxa"/>
          </w:tcPr>
          <w:p w14:paraId="415BF5E8" w14:textId="77777777" w:rsidR="00533AC3" w:rsidRPr="00AB1B6E" w:rsidRDefault="00533AC3" w:rsidP="0083214A">
            <w:pPr>
              <w:rPr>
                <w:noProof/>
              </w:rPr>
            </w:pPr>
            <w:r w:rsidRPr="00AB1B6E">
              <w:rPr>
                <w:noProof/>
              </w:rPr>
              <w:t>Assessment</w:t>
            </w:r>
          </w:p>
        </w:tc>
      </w:tr>
      <w:tr w:rsidR="00533AC3" w:rsidRPr="00AB1B6E" w14:paraId="28144A72"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09E3DC99" w14:textId="77777777" w:rsidR="00533AC3" w:rsidRPr="00AB1B6E" w:rsidRDefault="00533AC3" w:rsidP="0083214A">
            <w:pPr>
              <w:rPr>
                <w:noProof/>
              </w:rPr>
            </w:pPr>
            <w:r w:rsidRPr="00AB1B6E">
              <w:rPr>
                <w:noProof/>
              </w:rPr>
              <w:t>Collaborative research: funded actions</w:t>
            </w:r>
          </w:p>
        </w:tc>
        <w:tc>
          <w:tcPr>
            <w:tcW w:w="1100" w:type="dxa"/>
          </w:tcPr>
          <w:p w14:paraId="059284AB" w14:textId="77777777" w:rsidR="00533AC3" w:rsidRPr="00AB1B6E" w:rsidRDefault="00533AC3" w:rsidP="0083214A">
            <w:pPr>
              <w:jc w:val="center"/>
              <w:rPr>
                <w:noProof/>
              </w:rPr>
            </w:pPr>
            <w:r w:rsidRPr="00AB1B6E">
              <w:rPr>
                <w:noProof/>
              </w:rPr>
              <w:t>0</w:t>
            </w:r>
          </w:p>
        </w:tc>
        <w:tc>
          <w:tcPr>
            <w:tcW w:w="1526" w:type="dxa"/>
          </w:tcPr>
          <w:p w14:paraId="60F8589B" w14:textId="77777777" w:rsidR="00533AC3" w:rsidRPr="00AB1B6E" w:rsidRDefault="00533AC3" w:rsidP="0083214A">
            <w:pPr>
              <w:jc w:val="center"/>
              <w:rPr>
                <w:b/>
                <w:noProof/>
              </w:rPr>
            </w:pPr>
          </w:p>
        </w:tc>
        <w:tc>
          <w:tcPr>
            <w:tcW w:w="1532" w:type="dxa"/>
          </w:tcPr>
          <w:p w14:paraId="326C0CE6" w14:textId="77777777" w:rsidR="00533AC3" w:rsidRPr="00AB1B6E" w:rsidRDefault="00533AC3" w:rsidP="0083214A">
            <w:pPr>
              <w:jc w:val="center"/>
              <w:rPr>
                <w:noProof/>
              </w:rPr>
            </w:pPr>
          </w:p>
        </w:tc>
        <w:tc>
          <w:tcPr>
            <w:tcW w:w="1572" w:type="dxa"/>
          </w:tcPr>
          <w:p w14:paraId="76379E2E" w14:textId="77777777" w:rsidR="00533AC3" w:rsidRPr="00AB1B6E" w:rsidRDefault="00533AC3" w:rsidP="0083214A">
            <w:pPr>
              <w:jc w:val="center"/>
              <w:rPr>
                <w:noProof/>
              </w:rPr>
            </w:pPr>
            <w:r w:rsidRPr="00AB1B6E">
              <w:rPr>
                <w:noProof/>
              </w:rPr>
              <w:t>No results</w:t>
            </w:r>
          </w:p>
        </w:tc>
        <w:tc>
          <w:tcPr>
            <w:tcW w:w="1579" w:type="dxa"/>
          </w:tcPr>
          <w:p w14:paraId="4EBC479E" w14:textId="77777777" w:rsidR="00533AC3" w:rsidRPr="00AB1B6E" w:rsidRDefault="00533AC3" w:rsidP="0083214A">
            <w:pPr>
              <w:jc w:val="center"/>
              <w:rPr>
                <w:noProof/>
              </w:rPr>
            </w:pPr>
            <w:r w:rsidRPr="00AB1B6E">
              <w:rPr>
                <w:noProof/>
              </w:rPr>
              <w:t>No data</w:t>
            </w:r>
          </w:p>
        </w:tc>
      </w:tr>
      <w:tr w:rsidR="00533AC3" w:rsidRPr="00AB1B6E" w14:paraId="612D8A63"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2D78CD49" w14:textId="77777777" w:rsidR="00533AC3" w:rsidRPr="00AB1B6E" w:rsidRDefault="00533AC3" w:rsidP="0083214A">
            <w:pPr>
              <w:rPr>
                <w:noProof/>
              </w:rPr>
            </w:pPr>
            <w:r w:rsidRPr="00AB1B6E">
              <w:rPr>
                <w:noProof/>
              </w:rPr>
              <w:t>Collaborative research: share of recipients that did not carry out research activities with defence applications before the entry into force of the fund</w:t>
            </w:r>
          </w:p>
        </w:tc>
        <w:tc>
          <w:tcPr>
            <w:tcW w:w="1100" w:type="dxa"/>
          </w:tcPr>
          <w:p w14:paraId="0E682325" w14:textId="77777777" w:rsidR="00533AC3" w:rsidRPr="00AB1B6E" w:rsidRDefault="00533AC3" w:rsidP="0083214A">
            <w:pPr>
              <w:jc w:val="center"/>
              <w:rPr>
                <w:noProof/>
              </w:rPr>
            </w:pPr>
            <w:r w:rsidRPr="00AB1B6E">
              <w:rPr>
                <w:noProof/>
              </w:rPr>
              <w:t>0</w:t>
            </w:r>
          </w:p>
        </w:tc>
        <w:tc>
          <w:tcPr>
            <w:tcW w:w="1526" w:type="dxa"/>
          </w:tcPr>
          <w:p w14:paraId="4C18E9B4" w14:textId="77777777" w:rsidR="00533AC3" w:rsidRPr="00AB1B6E" w:rsidRDefault="00533AC3" w:rsidP="0083214A">
            <w:pPr>
              <w:jc w:val="center"/>
              <w:rPr>
                <w:b/>
                <w:noProof/>
              </w:rPr>
            </w:pPr>
          </w:p>
        </w:tc>
        <w:tc>
          <w:tcPr>
            <w:tcW w:w="1532" w:type="dxa"/>
          </w:tcPr>
          <w:p w14:paraId="72CA7F1F" w14:textId="77777777" w:rsidR="00533AC3" w:rsidRPr="00AB1B6E" w:rsidRDefault="00533AC3" w:rsidP="0083214A">
            <w:pPr>
              <w:jc w:val="center"/>
              <w:rPr>
                <w:noProof/>
              </w:rPr>
            </w:pPr>
          </w:p>
        </w:tc>
        <w:tc>
          <w:tcPr>
            <w:tcW w:w="1572" w:type="dxa"/>
          </w:tcPr>
          <w:p w14:paraId="5D7BB535" w14:textId="77777777" w:rsidR="00533AC3" w:rsidRPr="00AB1B6E" w:rsidRDefault="00533AC3" w:rsidP="0083214A">
            <w:pPr>
              <w:jc w:val="center"/>
              <w:rPr>
                <w:noProof/>
              </w:rPr>
            </w:pPr>
            <w:r w:rsidRPr="00AB1B6E">
              <w:rPr>
                <w:noProof/>
              </w:rPr>
              <w:t>No results</w:t>
            </w:r>
          </w:p>
        </w:tc>
        <w:tc>
          <w:tcPr>
            <w:tcW w:w="1579" w:type="dxa"/>
          </w:tcPr>
          <w:p w14:paraId="6DE39049" w14:textId="77777777" w:rsidR="00533AC3" w:rsidRPr="00AB1B6E" w:rsidRDefault="00533AC3" w:rsidP="0083214A">
            <w:pPr>
              <w:jc w:val="center"/>
              <w:rPr>
                <w:noProof/>
              </w:rPr>
            </w:pPr>
            <w:r w:rsidRPr="00AB1B6E">
              <w:rPr>
                <w:noProof/>
              </w:rPr>
              <w:t>No data</w:t>
            </w:r>
          </w:p>
          <w:p w14:paraId="4E233F26" w14:textId="77777777" w:rsidR="00533AC3" w:rsidRPr="00AB1B6E" w:rsidRDefault="00533AC3" w:rsidP="0083214A">
            <w:pPr>
              <w:rPr>
                <w:noProof/>
              </w:rPr>
            </w:pPr>
          </w:p>
          <w:p w14:paraId="393A6DBF" w14:textId="77777777" w:rsidR="00533AC3" w:rsidRPr="00AB1B6E" w:rsidRDefault="00533AC3" w:rsidP="0083214A">
            <w:pPr>
              <w:rPr>
                <w:noProof/>
              </w:rPr>
            </w:pPr>
          </w:p>
          <w:p w14:paraId="1191032B" w14:textId="77777777" w:rsidR="00533AC3" w:rsidRPr="00AB1B6E" w:rsidRDefault="00533AC3" w:rsidP="0083214A">
            <w:pPr>
              <w:rPr>
                <w:noProof/>
              </w:rPr>
            </w:pPr>
          </w:p>
          <w:p w14:paraId="033346BE" w14:textId="77777777" w:rsidR="00533AC3" w:rsidRPr="00AB1B6E" w:rsidRDefault="00533AC3" w:rsidP="0083214A">
            <w:pPr>
              <w:jc w:val="center"/>
              <w:rPr>
                <w:noProof/>
              </w:rPr>
            </w:pPr>
          </w:p>
        </w:tc>
      </w:tr>
      <w:tr w:rsidR="00533AC3" w:rsidRPr="00AB1B6E" w14:paraId="5C19C5C1"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2B22EDFB" w14:textId="77777777" w:rsidR="00533AC3" w:rsidRPr="00AB1B6E" w:rsidRDefault="00533AC3" w:rsidP="0083214A">
            <w:pPr>
              <w:rPr>
                <w:noProof/>
              </w:rPr>
            </w:pPr>
            <w:r w:rsidRPr="00AB1B6E">
              <w:rPr>
                <w:noProof/>
              </w:rPr>
              <w:t>Collaborative capability development: funded actions that address the capability shortfalls identified in the capability development plan</w:t>
            </w:r>
          </w:p>
        </w:tc>
        <w:tc>
          <w:tcPr>
            <w:tcW w:w="1100" w:type="dxa"/>
          </w:tcPr>
          <w:p w14:paraId="761083E2" w14:textId="77777777" w:rsidR="00533AC3" w:rsidRPr="00AB1B6E" w:rsidRDefault="00533AC3" w:rsidP="0083214A">
            <w:pPr>
              <w:jc w:val="center"/>
              <w:rPr>
                <w:noProof/>
              </w:rPr>
            </w:pPr>
            <w:r w:rsidRPr="00AB1B6E">
              <w:rPr>
                <w:noProof/>
              </w:rPr>
              <w:t>0</w:t>
            </w:r>
          </w:p>
        </w:tc>
        <w:tc>
          <w:tcPr>
            <w:tcW w:w="1526" w:type="dxa"/>
          </w:tcPr>
          <w:p w14:paraId="72A05CCD" w14:textId="77777777" w:rsidR="00533AC3" w:rsidRPr="00AB1B6E" w:rsidRDefault="00533AC3" w:rsidP="0083214A">
            <w:pPr>
              <w:jc w:val="center"/>
              <w:rPr>
                <w:b/>
                <w:noProof/>
              </w:rPr>
            </w:pPr>
          </w:p>
        </w:tc>
        <w:tc>
          <w:tcPr>
            <w:tcW w:w="1532" w:type="dxa"/>
          </w:tcPr>
          <w:p w14:paraId="0D150D4D" w14:textId="77777777" w:rsidR="00533AC3" w:rsidRPr="00AB1B6E" w:rsidRDefault="00533AC3" w:rsidP="0083214A">
            <w:pPr>
              <w:jc w:val="center"/>
              <w:rPr>
                <w:noProof/>
              </w:rPr>
            </w:pPr>
          </w:p>
        </w:tc>
        <w:tc>
          <w:tcPr>
            <w:tcW w:w="1572" w:type="dxa"/>
          </w:tcPr>
          <w:p w14:paraId="7BABFAF1" w14:textId="77777777" w:rsidR="00533AC3" w:rsidRPr="00AB1B6E" w:rsidRDefault="00533AC3" w:rsidP="0083214A">
            <w:pPr>
              <w:jc w:val="center"/>
              <w:rPr>
                <w:noProof/>
              </w:rPr>
            </w:pPr>
            <w:r w:rsidRPr="00AB1B6E">
              <w:rPr>
                <w:noProof/>
              </w:rPr>
              <w:t>No results</w:t>
            </w:r>
          </w:p>
        </w:tc>
        <w:tc>
          <w:tcPr>
            <w:tcW w:w="1579" w:type="dxa"/>
          </w:tcPr>
          <w:p w14:paraId="0FC6E3B1" w14:textId="77777777" w:rsidR="00533AC3" w:rsidRPr="00AB1B6E" w:rsidRDefault="00533AC3" w:rsidP="0083214A">
            <w:pPr>
              <w:jc w:val="center"/>
              <w:rPr>
                <w:noProof/>
              </w:rPr>
            </w:pPr>
            <w:r w:rsidRPr="00AB1B6E">
              <w:rPr>
                <w:noProof/>
              </w:rPr>
              <w:t>No data</w:t>
            </w:r>
          </w:p>
        </w:tc>
      </w:tr>
      <w:tr w:rsidR="00533AC3" w:rsidRPr="00AB1B6E" w14:paraId="6FAF35A1"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63C46FC0" w14:textId="77777777" w:rsidR="00533AC3" w:rsidRPr="00AB1B6E" w:rsidRDefault="00533AC3" w:rsidP="0083214A">
            <w:pPr>
              <w:rPr>
                <w:noProof/>
              </w:rPr>
            </w:pPr>
            <w:r w:rsidRPr="00AB1B6E">
              <w:rPr>
                <w:noProof/>
              </w:rPr>
              <w:t>Job creation/support: defence research and development employees supported in funded actions</w:t>
            </w:r>
          </w:p>
        </w:tc>
        <w:tc>
          <w:tcPr>
            <w:tcW w:w="1100" w:type="dxa"/>
          </w:tcPr>
          <w:p w14:paraId="02001582" w14:textId="77777777" w:rsidR="00533AC3" w:rsidRPr="00AB1B6E" w:rsidRDefault="00533AC3" w:rsidP="0083214A">
            <w:pPr>
              <w:jc w:val="center"/>
              <w:rPr>
                <w:noProof/>
              </w:rPr>
            </w:pPr>
            <w:r w:rsidRPr="00AB1B6E">
              <w:rPr>
                <w:noProof/>
              </w:rPr>
              <w:t>0</w:t>
            </w:r>
          </w:p>
        </w:tc>
        <w:tc>
          <w:tcPr>
            <w:tcW w:w="1526" w:type="dxa"/>
          </w:tcPr>
          <w:p w14:paraId="5845E043" w14:textId="77777777" w:rsidR="00533AC3" w:rsidRPr="00AB1B6E" w:rsidRDefault="00533AC3" w:rsidP="0083214A">
            <w:pPr>
              <w:jc w:val="center"/>
              <w:rPr>
                <w:b/>
                <w:noProof/>
              </w:rPr>
            </w:pPr>
          </w:p>
        </w:tc>
        <w:tc>
          <w:tcPr>
            <w:tcW w:w="1532" w:type="dxa"/>
          </w:tcPr>
          <w:p w14:paraId="0BB9417D" w14:textId="77777777" w:rsidR="00533AC3" w:rsidRPr="00AB1B6E" w:rsidRDefault="00533AC3" w:rsidP="0083214A">
            <w:pPr>
              <w:jc w:val="center"/>
              <w:rPr>
                <w:noProof/>
              </w:rPr>
            </w:pPr>
          </w:p>
        </w:tc>
        <w:tc>
          <w:tcPr>
            <w:tcW w:w="1572" w:type="dxa"/>
          </w:tcPr>
          <w:p w14:paraId="5D12060A" w14:textId="77777777" w:rsidR="00533AC3" w:rsidRPr="00AB1B6E" w:rsidRDefault="00533AC3" w:rsidP="0083214A">
            <w:pPr>
              <w:jc w:val="center"/>
              <w:rPr>
                <w:noProof/>
              </w:rPr>
            </w:pPr>
            <w:r w:rsidRPr="00AB1B6E">
              <w:rPr>
                <w:noProof/>
              </w:rPr>
              <w:t>No results</w:t>
            </w:r>
          </w:p>
        </w:tc>
        <w:tc>
          <w:tcPr>
            <w:tcW w:w="1579" w:type="dxa"/>
          </w:tcPr>
          <w:p w14:paraId="177E9F3A" w14:textId="77777777" w:rsidR="00533AC3" w:rsidRPr="00AB1B6E" w:rsidRDefault="00533AC3" w:rsidP="0083214A">
            <w:pPr>
              <w:jc w:val="center"/>
              <w:rPr>
                <w:noProof/>
              </w:rPr>
            </w:pPr>
            <w:r w:rsidRPr="00AB1B6E">
              <w:rPr>
                <w:noProof/>
              </w:rPr>
              <w:t>No data</w:t>
            </w:r>
          </w:p>
        </w:tc>
      </w:tr>
    </w:tbl>
    <w:p w14:paraId="2FA95F38" w14:textId="77777777" w:rsidR="00533AC3" w:rsidRPr="00AB1B6E" w:rsidRDefault="00533AC3" w:rsidP="00533AC3">
      <w:pPr>
        <w:pStyle w:val="FootnoteText"/>
        <w:spacing w:before="120"/>
        <w:rPr>
          <w:noProof/>
        </w:rPr>
      </w:pPr>
      <w:r w:rsidRPr="00AB1B6E">
        <w:rPr>
          <w:noProof/>
        </w:rPr>
        <w:t>(*) % of target achieved by the end of 2021.</w:t>
      </w:r>
    </w:p>
    <w:p w14:paraId="0FB6B965" w14:textId="77777777" w:rsidR="00533AC3" w:rsidRPr="00AB1B6E" w:rsidRDefault="00533AC3" w:rsidP="00533AC3">
      <w:pPr>
        <w:pStyle w:val="ppoListHyphened-L1"/>
        <w:jc w:val="both"/>
        <w:rPr>
          <w:noProof/>
        </w:rPr>
      </w:pPr>
      <w:r w:rsidRPr="00AB1B6E">
        <w:rPr>
          <w:noProof/>
        </w:rPr>
        <w:t>The EDF fosters the competitiveness and innovation capacity of the European defence technological and industrial base by supporting collaborative research and development action.</w:t>
      </w:r>
    </w:p>
    <w:p w14:paraId="6FF30731" w14:textId="77777777" w:rsidR="00533AC3" w:rsidRPr="00AB1B6E" w:rsidRDefault="00533AC3" w:rsidP="00533AC3">
      <w:pPr>
        <w:pStyle w:val="ppoListHyphened-L1"/>
        <w:jc w:val="both"/>
        <w:rPr>
          <w:noProof/>
        </w:rPr>
      </w:pPr>
      <w:r w:rsidRPr="00AB1B6E">
        <w:rPr>
          <w:noProof/>
        </w:rPr>
        <w:t>Given that the fund is in its early days of implementation, no implementation report is yet available. In the same vein, given that the indicators are set at the level of funded projects, and no projects have been selected for funding at this stage of implementation, it is not yet possible to report on the fund’s progress towards its objectives.</w:t>
      </w:r>
    </w:p>
    <w:p w14:paraId="5967E925" w14:textId="77777777" w:rsidR="00533AC3" w:rsidRPr="00AB1B6E" w:rsidRDefault="00533AC3" w:rsidP="00533AC3">
      <w:pPr>
        <w:pStyle w:val="ppoListHyphened-L1"/>
        <w:jc w:val="both"/>
        <w:rPr>
          <w:noProof/>
        </w:rPr>
      </w:pPr>
      <w:r w:rsidRPr="00AB1B6E">
        <w:rPr>
          <w:noProof/>
        </w:rPr>
        <w:t>Following the closure of the first 23 EDF calls for proposals in December 2021, 142 proposals were submitted. Of these, more than 40% were in relation to the non-thematic calls dedicated to small and medium-sized enterprises and to disruptive defence technologies. In total, 1</w:t>
      </w:r>
      <w:r w:rsidRPr="00AB1B6E">
        <w:rPr>
          <w:rFonts w:ascii="Calibri" w:hAnsi="Calibri" w:cs="Calibri"/>
          <w:noProof/>
        </w:rPr>
        <w:t> </w:t>
      </w:r>
      <w:r w:rsidRPr="00AB1B6E">
        <w:rPr>
          <w:noProof/>
        </w:rPr>
        <w:t>111 different entities from 26 Member States and Norway, approximately 50% of which are small and medium-sized enterprises,</w:t>
      </w:r>
      <w:r w:rsidRPr="00AB1B6E" w:rsidDel="004204A3">
        <w:rPr>
          <w:noProof/>
        </w:rPr>
        <w:t xml:space="preserve"> </w:t>
      </w:r>
      <w:r w:rsidRPr="00AB1B6E">
        <w:rPr>
          <w:noProof/>
        </w:rPr>
        <w:t>participated in the submitted proposals.</w:t>
      </w:r>
    </w:p>
    <w:p w14:paraId="02682482" w14:textId="77777777" w:rsidR="00533AC3" w:rsidRPr="00AB1B6E" w:rsidRDefault="00533AC3" w:rsidP="00533AC3">
      <w:pPr>
        <w:spacing w:after="160" w:line="259" w:lineRule="auto"/>
        <w:rPr>
          <w:rFonts w:eastAsiaTheme="majorEastAsia" w:cstheme="majorBidi"/>
          <w:noProof/>
          <w:color w:val="016A13" w:themeColor="accent1" w:themeShade="BF"/>
          <w:sz w:val="48"/>
          <w:szCs w:val="32"/>
        </w:rPr>
      </w:pPr>
      <w:r w:rsidRPr="00AB1B6E">
        <w:rPr>
          <w:noProof/>
        </w:rPr>
        <w:br w:type="page"/>
      </w:r>
    </w:p>
    <w:p w14:paraId="704D5090" w14:textId="77777777" w:rsidR="00533AC3" w:rsidRPr="00AB1B6E" w:rsidRDefault="00533AC3" w:rsidP="00533AC3">
      <w:pPr>
        <w:pStyle w:val="ppoHeading4Blue"/>
        <w:rPr>
          <w:noProof/>
        </w:rPr>
      </w:pPr>
      <w:r w:rsidRPr="00AB1B6E">
        <w:rPr>
          <w:noProof/>
        </w:rPr>
        <w:t>2014-2020 multiannual financial framework</w:t>
      </w:r>
      <w:r w:rsidRPr="00AB1B6E">
        <w:rPr>
          <w:rFonts w:ascii="Calibri" w:hAnsi="Calibri" w:cs="Calibri"/>
          <w:noProof/>
        </w:rPr>
        <w:t> </w:t>
      </w:r>
      <w:r w:rsidRPr="00AB1B6E">
        <w:rPr>
          <w:noProof/>
        </w:rPr>
        <w:t>– European defence industrial development programme and preparatory action on defence research</w:t>
      </w:r>
    </w:p>
    <w:p w14:paraId="61188D23" w14:textId="77777777" w:rsidR="00533AC3" w:rsidRPr="00AB1B6E" w:rsidRDefault="00533AC3" w:rsidP="00533AC3">
      <w:pPr>
        <w:pStyle w:val="PPObodyText"/>
        <w:rPr>
          <w:rFonts w:ascii="EC Square Sans Pro" w:eastAsiaTheme="minorHAnsi" w:hAnsi="EC Square Sans Pro" w:cstheme="minorBidi"/>
          <w:noProof/>
          <w:color w:val="auto"/>
          <w:sz w:val="22"/>
          <w:szCs w:val="22"/>
        </w:rPr>
      </w:pPr>
      <w:r w:rsidRPr="00AB1B6E">
        <w:rPr>
          <w:rFonts w:ascii="EC Square Sans Pro" w:eastAsiaTheme="minorHAnsi" w:hAnsi="EC Square Sans Pro" w:cstheme="minorBidi"/>
          <w:noProof/>
          <w:color w:val="auto"/>
          <w:sz w:val="22"/>
          <w:szCs w:val="22"/>
        </w:rPr>
        <w:t xml:space="preserve">The EDIDP was adopted in July 2018 for a </w:t>
      </w:r>
      <w:r w:rsidRPr="00AB1B6E" w:rsidDel="004204A3">
        <w:rPr>
          <w:rFonts w:ascii="EC Square Sans Pro" w:eastAsiaTheme="minorHAnsi" w:hAnsi="EC Square Sans Pro" w:cstheme="minorBidi"/>
          <w:noProof/>
          <w:color w:val="auto"/>
          <w:sz w:val="22"/>
          <w:szCs w:val="22"/>
        </w:rPr>
        <w:t>duration</w:t>
      </w:r>
      <w:r w:rsidRPr="00AB1B6E">
        <w:rPr>
          <w:rFonts w:ascii="EC Square Sans Pro" w:eastAsiaTheme="minorHAnsi" w:hAnsi="EC Square Sans Pro" w:cstheme="minorBidi"/>
          <w:noProof/>
          <w:color w:val="auto"/>
          <w:sz w:val="22"/>
          <w:szCs w:val="22"/>
        </w:rPr>
        <w:t xml:space="preserve"> of 2</w:t>
      </w:r>
      <w:r w:rsidRPr="00AB1B6E">
        <w:rPr>
          <w:rFonts w:ascii="Calibri" w:eastAsiaTheme="minorHAnsi" w:hAnsi="Calibri" w:cs="Calibri"/>
          <w:noProof/>
          <w:color w:val="auto"/>
          <w:sz w:val="22"/>
          <w:szCs w:val="22"/>
        </w:rPr>
        <w:t> </w:t>
      </w:r>
      <w:r w:rsidRPr="00AB1B6E">
        <w:rPr>
          <w:rFonts w:ascii="EC Square Sans Pro" w:eastAsiaTheme="minorHAnsi" w:hAnsi="EC Square Sans Pro" w:cstheme="minorBidi"/>
          <w:noProof/>
          <w:color w:val="auto"/>
          <w:sz w:val="22"/>
          <w:szCs w:val="22"/>
        </w:rPr>
        <w:t>years. The aim of the programme is to support the competitiveness and the innovative capacity of the defence industry in the EU, specifically in the development of prototypes, by supporting development projects jointly carried out by companies.</w:t>
      </w:r>
    </w:p>
    <w:p w14:paraId="05EB6CFB" w14:textId="77777777" w:rsidR="00533AC3" w:rsidRPr="00AB1B6E" w:rsidRDefault="00533AC3" w:rsidP="00533AC3">
      <w:pPr>
        <w:pStyle w:val="PPObodyText"/>
        <w:rPr>
          <w:rFonts w:ascii="EC Square Sans Pro" w:eastAsiaTheme="minorHAnsi" w:hAnsi="EC Square Sans Pro" w:cstheme="minorBidi"/>
          <w:noProof/>
          <w:color w:val="auto"/>
          <w:sz w:val="22"/>
          <w:szCs w:val="22"/>
        </w:rPr>
      </w:pPr>
      <w:r w:rsidRPr="00AB1B6E">
        <w:rPr>
          <w:rFonts w:ascii="EC Square Sans Pro" w:eastAsiaTheme="minorHAnsi" w:hAnsi="EC Square Sans Pro" w:cstheme="minorBidi"/>
          <w:noProof/>
          <w:color w:val="auto"/>
          <w:sz w:val="22"/>
          <w:szCs w:val="22"/>
        </w:rPr>
        <w:t>The</w:t>
      </w:r>
      <w:r w:rsidRPr="00AB1B6E" w:rsidDel="00A90165">
        <w:rPr>
          <w:rFonts w:ascii="EC Square Sans Pro" w:eastAsiaTheme="minorHAnsi" w:hAnsi="EC Square Sans Pro" w:cstheme="minorBidi"/>
          <w:noProof/>
          <w:color w:val="auto"/>
          <w:sz w:val="22"/>
          <w:szCs w:val="22"/>
        </w:rPr>
        <w:t xml:space="preserve"> </w:t>
      </w:r>
      <w:r w:rsidRPr="00AB1B6E">
        <w:rPr>
          <w:rFonts w:ascii="EC Square Sans Pro" w:eastAsiaTheme="minorHAnsi" w:hAnsi="EC Square Sans Pro" w:cstheme="minorBidi"/>
          <w:noProof/>
          <w:color w:val="auto"/>
          <w:sz w:val="22"/>
          <w:szCs w:val="22"/>
        </w:rPr>
        <w:t>programme helps create a collaborative approach between defence industry players in the Member States. The financial contribution by the EU unlocks development projects that otherwise would not have started due to their sizeable financing needs or the elevated technological risks involved, thus leading to additional collaborative defence development projects.</w:t>
      </w:r>
    </w:p>
    <w:p w14:paraId="33C096ED" w14:textId="77777777" w:rsidR="00533AC3" w:rsidRPr="00AB1B6E" w:rsidRDefault="00533AC3" w:rsidP="00533AC3">
      <w:pPr>
        <w:pStyle w:val="PPObodyText"/>
        <w:rPr>
          <w:rFonts w:ascii="EC Square Sans Pro" w:eastAsiaTheme="minorHAnsi" w:hAnsi="EC Square Sans Pro" w:cstheme="minorBidi"/>
          <w:noProof/>
          <w:color w:val="auto"/>
          <w:sz w:val="22"/>
          <w:szCs w:val="22"/>
        </w:rPr>
      </w:pPr>
      <w:r w:rsidRPr="00AB1B6E">
        <w:rPr>
          <w:rFonts w:ascii="EC Square Sans Pro" w:eastAsiaTheme="minorHAnsi" w:hAnsi="EC Square Sans Pro" w:cstheme="minorBidi"/>
          <w:noProof/>
          <w:color w:val="auto"/>
          <w:sz w:val="22"/>
          <w:szCs w:val="22"/>
        </w:rPr>
        <w:t>The preparatory action on defence research for</w:t>
      </w:r>
      <w:r w:rsidRPr="00AB1B6E" w:rsidDel="00A90165">
        <w:rPr>
          <w:rFonts w:ascii="EC Square Sans Pro" w:eastAsiaTheme="minorHAnsi" w:hAnsi="EC Square Sans Pro" w:cstheme="minorBidi"/>
          <w:noProof/>
          <w:color w:val="auto"/>
          <w:sz w:val="22"/>
          <w:szCs w:val="22"/>
        </w:rPr>
        <w:t xml:space="preserve"> </w:t>
      </w:r>
      <w:r w:rsidRPr="00AB1B6E">
        <w:rPr>
          <w:rFonts w:ascii="EC Square Sans Pro" w:eastAsiaTheme="minorHAnsi" w:hAnsi="EC Square Sans Pro" w:cstheme="minorBidi"/>
          <w:noProof/>
          <w:color w:val="auto"/>
          <w:sz w:val="22"/>
          <w:szCs w:val="22"/>
        </w:rPr>
        <w:t>2017-2019 supports collaborative defence research projects and technological development in Europe by providing grants. The projects under this action are testing mechanisms to prepare, organise and deliver a variety of EU-funded cooperative defence research and technology development activities, aiming to improve the competitiveness and innovation of the EU defence industry</w:t>
      </w:r>
      <w:r w:rsidRPr="00AB1B6E" w:rsidDel="00A90165">
        <w:rPr>
          <w:rFonts w:ascii="EC Square Sans Pro" w:eastAsiaTheme="minorHAnsi" w:hAnsi="EC Square Sans Pro" w:cstheme="minorBidi"/>
          <w:noProof/>
          <w:color w:val="auto"/>
          <w:sz w:val="22"/>
          <w:szCs w:val="22"/>
        </w:rPr>
        <w:t xml:space="preserve"> </w:t>
      </w:r>
      <w:r w:rsidRPr="00AB1B6E">
        <w:rPr>
          <w:rFonts w:ascii="EC Square Sans Pro" w:eastAsiaTheme="minorHAnsi" w:hAnsi="EC Square Sans Pro" w:cstheme="minorBidi"/>
          <w:noProof/>
          <w:color w:val="auto"/>
          <w:sz w:val="22"/>
          <w:szCs w:val="22"/>
        </w:rPr>
        <w:t>and to stimulate cooperation.</w:t>
      </w:r>
    </w:p>
    <w:p w14:paraId="7E6ACF58" w14:textId="77777777" w:rsidR="00533AC3" w:rsidRPr="00AB1B6E" w:rsidRDefault="00533AC3" w:rsidP="00533AC3">
      <w:pPr>
        <w:pStyle w:val="ppoHeading5"/>
        <w:rPr>
          <w:noProof/>
        </w:rPr>
      </w:pPr>
      <w:r w:rsidRPr="00AB1B6E">
        <w:rPr>
          <w:noProof/>
        </w:rPr>
        <w:t>Budget</w:t>
      </w:r>
    </w:p>
    <w:p w14:paraId="62A16D96" w14:textId="77777777" w:rsidR="00533AC3" w:rsidRPr="00AB1B6E" w:rsidRDefault="00533AC3" w:rsidP="00533AC3">
      <w:pPr>
        <w:pStyle w:val="ppoTableTabletitle"/>
        <w:rPr>
          <w:noProof/>
        </w:rPr>
      </w:pPr>
      <w:r w:rsidRPr="00AB1B6E">
        <w:rPr>
          <w:noProof/>
        </w:rPr>
        <w:t>Cumulative implementation rate at the end of 2021 (</w:t>
      </w:r>
      <w:r w:rsidRPr="00AB1B6E" w:rsidDel="00B31EE6">
        <w:rPr>
          <w:noProof/>
        </w:rPr>
        <w:t>million</w:t>
      </w:r>
      <w:r w:rsidRPr="00AB1B6E">
        <w:rPr>
          <w:noProof/>
        </w:rPr>
        <w:t xml:space="preserve"> EUR):</w:t>
      </w:r>
    </w:p>
    <w:tbl>
      <w:tblPr>
        <w:tblStyle w:val="PPO2021"/>
        <w:tblW w:w="9639" w:type="dxa"/>
        <w:tblInd w:w="0" w:type="dxa"/>
        <w:tblLook w:val="06A0" w:firstRow="1" w:lastRow="0" w:firstColumn="1" w:lastColumn="0" w:noHBand="1" w:noVBand="1"/>
      </w:tblPr>
      <w:tblGrid>
        <w:gridCol w:w="2409"/>
        <w:gridCol w:w="2410"/>
        <w:gridCol w:w="2410"/>
        <w:gridCol w:w="2410"/>
      </w:tblGrid>
      <w:tr w:rsidR="00533AC3" w:rsidRPr="00AB1B6E" w14:paraId="22491779" w14:textId="77777777" w:rsidTr="008321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65F5EED4" w14:textId="77777777" w:rsidR="00533AC3" w:rsidRPr="00AB1B6E" w:rsidRDefault="00533AC3" w:rsidP="0083214A">
            <w:pPr>
              <w:rPr>
                <w:noProof/>
              </w:rPr>
            </w:pPr>
          </w:p>
        </w:tc>
        <w:tc>
          <w:tcPr>
            <w:tcW w:w="2410" w:type="dxa"/>
          </w:tcPr>
          <w:p w14:paraId="26D824F7" w14:textId="77777777" w:rsidR="00533AC3" w:rsidRPr="00AB1B6E" w:rsidRDefault="00533AC3" w:rsidP="0083214A">
            <w:pPr>
              <w:cnfStyle w:val="100000000000" w:firstRow="1" w:lastRow="0" w:firstColumn="0" w:lastColumn="0" w:oddVBand="0" w:evenVBand="0" w:oddHBand="0" w:evenHBand="0" w:firstRowFirstColumn="0" w:firstRowLastColumn="0" w:lastRowFirstColumn="0" w:lastRowLastColumn="0"/>
              <w:rPr>
                <w:noProof/>
              </w:rPr>
            </w:pPr>
            <w:r w:rsidRPr="00AB1B6E">
              <w:rPr>
                <w:noProof/>
              </w:rPr>
              <w:t>Implementation</w:t>
            </w:r>
          </w:p>
        </w:tc>
        <w:tc>
          <w:tcPr>
            <w:tcW w:w="2410" w:type="dxa"/>
          </w:tcPr>
          <w:p w14:paraId="4D0EEB6D" w14:textId="21D30E58" w:rsidR="00533AC3" w:rsidRPr="00AB1B6E" w:rsidRDefault="003821C6" w:rsidP="0083214A">
            <w:pPr>
              <w:cnfStyle w:val="100000000000" w:firstRow="1" w:lastRow="0" w:firstColumn="0" w:lastColumn="0" w:oddVBand="0" w:evenVBand="0" w:oddHBand="0" w:evenHBand="0" w:firstRowFirstColumn="0" w:firstRowLastColumn="0" w:lastRowFirstColumn="0" w:lastRowLastColumn="0"/>
              <w:rPr>
                <w:noProof/>
              </w:rPr>
            </w:pPr>
            <w:r>
              <w:rPr>
                <w:noProof/>
              </w:rPr>
              <w:t xml:space="preserve">2014-2020 </w:t>
            </w:r>
            <w:r w:rsidR="00533AC3" w:rsidRPr="00AB1B6E">
              <w:rPr>
                <w:noProof/>
              </w:rPr>
              <w:t>Budget</w:t>
            </w:r>
          </w:p>
        </w:tc>
        <w:tc>
          <w:tcPr>
            <w:tcW w:w="2410" w:type="dxa"/>
          </w:tcPr>
          <w:p w14:paraId="506A8A51" w14:textId="77777777" w:rsidR="00533AC3" w:rsidRPr="00AB1B6E" w:rsidRDefault="00533AC3" w:rsidP="0083214A">
            <w:pPr>
              <w:cnfStyle w:val="100000000000" w:firstRow="1" w:lastRow="0" w:firstColumn="0" w:lastColumn="0" w:oddVBand="0" w:evenVBand="0" w:oddHBand="0" w:evenHBand="0" w:firstRowFirstColumn="0" w:firstRowLastColumn="0" w:lastRowFirstColumn="0" w:lastRowLastColumn="0"/>
              <w:rPr>
                <w:noProof/>
              </w:rPr>
            </w:pPr>
            <w:r w:rsidRPr="00AB1B6E">
              <w:rPr>
                <w:noProof/>
              </w:rPr>
              <w:t>Implementation rate</w:t>
            </w:r>
          </w:p>
        </w:tc>
      </w:tr>
      <w:tr w:rsidR="00533AC3" w:rsidRPr="00AB1B6E" w14:paraId="6AAF1B2E"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691652D3" w14:textId="77777777" w:rsidR="00533AC3" w:rsidRPr="00AB1B6E" w:rsidRDefault="00533AC3" w:rsidP="0083214A">
            <w:pPr>
              <w:jc w:val="center"/>
              <w:rPr>
                <w:noProof/>
              </w:rPr>
            </w:pPr>
            <w:r w:rsidRPr="00AB1B6E">
              <w:rPr>
                <w:noProof/>
              </w:rPr>
              <w:t>Commitments</w:t>
            </w:r>
          </w:p>
        </w:tc>
        <w:tc>
          <w:tcPr>
            <w:tcW w:w="2410" w:type="dxa"/>
          </w:tcPr>
          <w:tbl>
            <w:tblPr>
              <w:tblStyle w:val="TableGrid"/>
              <w:tblW w:w="0" w:type="auto"/>
              <w:tblLook w:val="06A0" w:firstRow="1" w:lastRow="0" w:firstColumn="1" w:lastColumn="0" w:noHBand="1" w:noVBand="1"/>
            </w:tblPr>
            <w:tblGrid>
              <w:gridCol w:w="2194"/>
            </w:tblGrid>
            <w:tr w:rsidR="00533AC3" w:rsidRPr="00AB1B6E" w14:paraId="401362D7" w14:textId="77777777" w:rsidTr="0083214A">
              <w:trPr>
                <w:trHeight w:val="285"/>
              </w:trPr>
              <w:tc>
                <w:tcPr>
                  <w:tcW w:w="2290" w:type="dxa"/>
                  <w:tcBorders>
                    <w:top w:val="nil"/>
                    <w:left w:val="nil"/>
                    <w:bottom w:val="nil"/>
                    <w:right w:val="nil"/>
                  </w:tcBorders>
                  <w:vAlign w:val="bottom"/>
                </w:tcPr>
                <w:p w14:paraId="187448A3" w14:textId="77777777" w:rsidR="00533AC3" w:rsidRPr="00AB1B6E" w:rsidRDefault="00533AC3" w:rsidP="0083214A">
                  <w:pPr>
                    <w:jc w:val="right"/>
                    <w:rPr>
                      <w:noProof/>
                    </w:rPr>
                  </w:pPr>
                  <w:r w:rsidRPr="00AB1B6E">
                    <w:rPr>
                      <w:rFonts w:ascii="Calibri" w:hAnsi="Calibri" w:cs="Calibri"/>
                      <w:noProof/>
                      <w:color w:val="000000"/>
                    </w:rPr>
                    <w:t>500.0</w:t>
                  </w:r>
                </w:p>
              </w:tc>
            </w:tr>
          </w:tbl>
          <w:p w14:paraId="42C3B2D7" w14:textId="77777777" w:rsidR="00533AC3" w:rsidRPr="00AB1B6E" w:rsidRDefault="00533AC3"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533AC3" w:rsidRPr="00AB1B6E" w14:paraId="5C4445D2" w14:textId="77777777" w:rsidTr="0083214A">
              <w:trPr>
                <w:trHeight w:val="285"/>
              </w:trPr>
              <w:tc>
                <w:tcPr>
                  <w:tcW w:w="2290" w:type="dxa"/>
                  <w:tcBorders>
                    <w:top w:val="nil"/>
                    <w:left w:val="nil"/>
                    <w:bottom w:val="nil"/>
                    <w:right w:val="nil"/>
                  </w:tcBorders>
                  <w:vAlign w:val="bottom"/>
                </w:tcPr>
                <w:p w14:paraId="68B0A8B0" w14:textId="77777777" w:rsidR="00533AC3" w:rsidRPr="00AB1B6E" w:rsidRDefault="00533AC3" w:rsidP="0083214A">
                  <w:pPr>
                    <w:jc w:val="right"/>
                    <w:rPr>
                      <w:noProof/>
                    </w:rPr>
                  </w:pPr>
                  <w:r w:rsidRPr="00AB1B6E">
                    <w:rPr>
                      <w:rFonts w:ascii="Calibri" w:hAnsi="Calibri" w:cs="Calibri"/>
                      <w:noProof/>
                      <w:color w:val="000000"/>
                    </w:rPr>
                    <w:t>500.0</w:t>
                  </w:r>
                </w:p>
              </w:tc>
            </w:tr>
          </w:tbl>
          <w:p w14:paraId="423779FB" w14:textId="77777777" w:rsidR="00533AC3" w:rsidRPr="00AB1B6E" w:rsidRDefault="00533AC3"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533AC3" w:rsidRPr="00AB1B6E" w14:paraId="3403E770" w14:textId="77777777" w:rsidTr="0083214A">
              <w:trPr>
                <w:trHeight w:val="285"/>
              </w:trPr>
              <w:tc>
                <w:tcPr>
                  <w:tcW w:w="2290" w:type="dxa"/>
                  <w:tcBorders>
                    <w:top w:val="nil"/>
                    <w:left w:val="nil"/>
                    <w:bottom w:val="nil"/>
                    <w:right w:val="nil"/>
                  </w:tcBorders>
                  <w:vAlign w:val="bottom"/>
                </w:tcPr>
                <w:p w14:paraId="654F7337" w14:textId="77777777" w:rsidR="00533AC3" w:rsidRPr="00AB1B6E" w:rsidRDefault="00533AC3" w:rsidP="0083214A">
                  <w:pPr>
                    <w:jc w:val="right"/>
                    <w:rPr>
                      <w:noProof/>
                    </w:rPr>
                  </w:pPr>
                  <w:r w:rsidRPr="00AB1B6E">
                    <w:rPr>
                      <w:rFonts w:ascii="Calibri" w:hAnsi="Calibri" w:cs="Calibri"/>
                      <w:noProof/>
                      <w:color w:val="000000"/>
                    </w:rPr>
                    <w:t>100%</w:t>
                  </w:r>
                </w:p>
              </w:tc>
            </w:tr>
          </w:tbl>
          <w:p w14:paraId="14D28117" w14:textId="77777777" w:rsidR="00533AC3" w:rsidRPr="00AB1B6E" w:rsidRDefault="00533AC3" w:rsidP="0083214A">
            <w:pPr>
              <w:jc w:val="center"/>
              <w:cnfStyle w:val="000000000000" w:firstRow="0" w:lastRow="0" w:firstColumn="0" w:lastColumn="0" w:oddVBand="0" w:evenVBand="0" w:oddHBand="0" w:evenHBand="0" w:firstRowFirstColumn="0" w:firstRowLastColumn="0" w:lastRowFirstColumn="0" w:lastRowLastColumn="0"/>
              <w:rPr>
                <w:noProof/>
              </w:rPr>
            </w:pPr>
          </w:p>
        </w:tc>
      </w:tr>
      <w:tr w:rsidR="00533AC3" w:rsidRPr="00AB1B6E" w14:paraId="6132C530"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5AB2AD05" w14:textId="77777777" w:rsidR="00533AC3" w:rsidRPr="00AB1B6E" w:rsidRDefault="00533AC3" w:rsidP="0083214A">
            <w:pPr>
              <w:jc w:val="center"/>
              <w:rPr>
                <w:noProof/>
              </w:rPr>
            </w:pPr>
            <w:r w:rsidRPr="00AB1B6E">
              <w:rPr>
                <w:noProof/>
              </w:rPr>
              <w:t>Payments</w:t>
            </w:r>
          </w:p>
        </w:tc>
        <w:tc>
          <w:tcPr>
            <w:tcW w:w="2410" w:type="dxa"/>
          </w:tcPr>
          <w:tbl>
            <w:tblPr>
              <w:tblStyle w:val="TableGrid"/>
              <w:tblW w:w="0" w:type="auto"/>
              <w:tblLook w:val="06A0" w:firstRow="1" w:lastRow="0" w:firstColumn="1" w:lastColumn="0" w:noHBand="1" w:noVBand="1"/>
            </w:tblPr>
            <w:tblGrid>
              <w:gridCol w:w="2194"/>
            </w:tblGrid>
            <w:tr w:rsidR="00533AC3" w:rsidRPr="00AB1B6E" w14:paraId="273F83A9" w14:textId="77777777" w:rsidTr="0083214A">
              <w:trPr>
                <w:trHeight w:val="285"/>
              </w:trPr>
              <w:tc>
                <w:tcPr>
                  <w:tcW w:w="2290" w:type="dxa"/>
                  <w:tcBorders>
                    <w:top w:val="nil"/>
                    <w:left w:val="nil"/>
                    <w:bottom w:val="nil"/>
                    <w:right w:val="nil"/>
                  </w:tcBorders>
                  <w:vAlign w:val="bottom"/>
                </w:tcPr>
                <w:p w14:paraId="13A47595" w14:textId="77777777" w:rsidR="00533AC3" w:rsidRPr="00AB1B6E" w:rsidRDefault="00533AC3" w:rsidP="0083214A">
                  <w:pPr>
                    <w:jc w:val="right"/>
                    <w:rPr>
                      <w:noProof/>
                    </w:rPr>
                  </w:pPr>
                  <w:r w:rsidRPr="00AB1B6E">
                    <w:rPr>
                      <w:rFonts w:ascii="Calibri" w:hAnsi="Calibri" w:cs="Calibri"/>
                      <w:noProof/>
                      <w:color w:val="000000"/>
                    </w:rPr>
                    <w:t>375.8</w:t>
                  </w:r>
                </w:p>
              </w:tc>
            </w:tr>
          </w:tbl>
          <w:p w14:paraId="4AAABC84" w14:textId="77777777" w:rsidR="00533AC3" w:rsidRPr="00AB1B6E" w:rsidRDefault="00533AC3"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130EF0CB" w14:textId="77777777" w:rsidR="00533AC3" w:rsidRPr="00AB1B6E" w:rsidRDefault="00533AC3"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533AC3" w:rsidRPr="00AB1B6E" w14:paraId="6E91ABE2" w14:textId="77777777" w:rsidTr="0083214A">
              <w:trPr>
                <w:trHeight w:val="285"/>
              </w:trPr>
              <w:tc>
                <w:tcPr>
                  <w:tcW w:w="2235" w:type="dxa"/>
                  <w:tcBorders>
                    <w:top w:val="nil"/>
                    <w:left w:val="nil"/>
                    <w:bottom w:val="nil"/>
                    <w:right w:val="nil"/>
                  </w:tcBorders>
                  <w:vAlign w:val="bottom"/>
                </w:tcPr>
                <w:p w14:paraId="3F38513F" w14:textId="77777777" w:rsidR="00533AC3" w:rsidRPr="00AB1B6E" w:rsidRDefault="00533AC3" w:rsidP="0083214A">
                  <w:pPr>
                    <w:jc w:val="right"/>
                    <w:rPr>
                      <w:noProof/>
                    </w:rPr>
                  </w:pPr>
                  <w:r w:rsidRPr="00AB1B6E">
                    <w:rPr>
                      <w:rFonts w:ascii="Calibri" w:hAnsi="Calibri" w:cs="Calibri"/>
                      <w:noProof/>
                      <w:color w:val="000000"/>
                    </w:rPr>
                    <w:t>75%</w:t>
                  </w:r>
                </w:p>
              </w:tc>
            </w:tr>
          </w:tbl>
          <w:p w14:paraId="657C00AC" w14:textId="77777777" w:rsidR="00533AC3" w:rsidRPr="00AB1B6E" w:rsidRDefault="00533AC3" w:rsidP="0083214A">
            <w:pPr>
              <w:jc w:val="center"/>
              <w:cnfStyle w:val="000000000000" w:firstRow="0" w:lastRow="0" w:firstColumn="0" w:lastColumn="0" w:oddVBand="0" w:evenVBand="0" w:oddHBand="0" w:evenHBand="0" w:firstRowFirstColumn="0" w:firstRowLastColumn="0" w:lastRowFirstColumn="0" w:lastRowLastColumn="0"/>
              <w:rPr>
                <w:noProof/>
              </w:rPr>
            </w:pPr>
          </w:p>
        </w:tc>
      </w:tr>
    </w:tbl>
    <w:p w14:paraId="73C3A231" w14:textId="77777777" w:rsidR="00533AC3" w:rsidRPr="005A4965" w:rsidRDefault="00533AC3" w:rsidP="00533AC3">
      <w:pPr>
        <w:pStyle w:val="ppoListHyphened-L1"/>
        <w:jc w:val="both"/>
        <w:rPr>
          <w:noProof/>
        </w:rPr>
      </w:pPr>
      <w:r w:rsidRPr="00AB1B6E">
        <w:rPr>
          <w:noProof/>
        </w:rPr>
        <w:t xml:space="preserve">The implementation of the EDIDP is ongoing. During its life span, </w:t>
      </w:r>
      <w:r w:rsidRPr="005A4965">
        <w:rPr>
          <w:noProof/>
        </w:rPr>
        <w:t xml:space="preserve">which ran from 2019 to 2020, </w:t>
      </w:r>
      <w:r w:rsidRPr="009D64FD">
        <w:rPr>
          <w:noProof/>
        </w:rPr>
        <w:t xml:space="preserve">the EDIDP </w:t>
      </w:r>
      <w:r w:rsidRPr="00AB1B6E">
        <w:rPr>
          <w:noProof/>
        </w:rPr>
        <w:t>committed EUR</w:t>
      </w:r>
      <w:r w:rsidRPr="00AB1B6E">
        <w:rPr>
          <w:rFonts w:ascii="Calibri" w:hAnsi="Calibri" w:cs="Calibri"/>
          <w:noProof/>
        </w:rPr>
        <w:t> </w:t>
      </w:r>
      <w:r w:rsidRPr="005A4965">
        <w:rPr>
          <w:noProof/>
        </w:rPr>
        <w:t>500</w:t>
      </w:r>
      <w:r w:rsidRPr="00AB1B6E">
        <w:rPr>
          <w:rFonts w:ascii="Calibri" w:hAnsi="Calibri" w:cs="Calibri"/>
          <w:noProof/>
        </w:rPr>
        <w:t> </w:t>
      </w:r>
      <w:r w:rsidRPr="005A4965">
        <w:rPr>
          <w:noProof/>
        </w:rPr>
        <w:t xml:space="preserve">million, thus achieving </w:t>
      </w:r>
      <w:r w:rsidRPr="009D64FD">
        <w:rPr>
          <w:noProof/>
        </w:rPr>
        <w:t xml:space="preserve">a </w:t>
      </w:r>
      <w:r w:rsidRPr="00AB1B6E">
        <w:rPr>
          <w:noProof/>
        </w:rPr>
        <w:t>100% cumulative implementation rate.</w:t>
      </w:r>
    </w:p>
    <w:p w14:paraId="33323740" w14:textId="77777777" w:rsidR="00533AC3" w:rsidRPr="00AB1B6E" w:rsidRDefault="00533AC3" w:rsidP="00533AC3">
      <w:pPr>
        <w:pStyle w:val="ppoListHyphened-L1"/>
        <w:jc w:val="both"/>
        <w:rPr>
          <w:noProof/>
        </w:rPr>
      </w:pPr>
      <w:r w:rsidRPr="00AB1B6E">
        <w:rPr>
          <w:noProof/>
        </w:rPr>
        <w:t>Both of the EDF precursor programmes (the EDIDP</w:t>
      </w:r>
      <w:r w:rsidRPr="00AB1B6E" w:rsidDel="00B31EE6">
        <w:rPr>
          <w:noProof/>
        </w:rPr>
        <w:t xml:space="preserve"> </w:t>
      </w:r>
      <w:r w:rsidRPr="00AB1B6E">
        <w:rPr>
          <w:noProof/>
        </w:rPr>
        <w:t>and the preparatory action on defence research) were fully implemented during the COVID-19 crisis. The crisis affected the evaluation of the 2020 EDIDP calls. The pandemic’s impact, combined with the complexity of processes, led to the prolongation of several EDIDP administrative processes (e.g. informing applicants of the outcome of the evaluation). To support the defence industry during the COVID crisis, the pre-financing level of the proposals awarded under the EDIDP’s 2019 calls was increased to up to 90% of the maximum grant, which in turn had an impact on the programme’s rate of payment execution.</w:t>
      </w:r>
    </w:p>
    <w:p w14:paraId="287E590F" w14:textId="77777777" w:rsidR="00533AC3" w:rsidRPr="005A4965" w:rsidRDefault="00533AC3" w:rsidP="00533AC3">
      <w:pPr>
        <w:pStyle w:val="ppoListHyphened-L1"/>
        <w:jc w:val="both"/>
        <w:rPr>
          <w:noProof/>
        </w:rPr>
      </w:pPr>
      <w:r w:rsidRPr="00AB1B6E">
        <w:rPr>
          <w:noProof/>
        </w:rPr>
        <w:t>Following the 2020 EDIDP calls for proposals, 63 proposals were received. This marks an increase of more than 50% compared to the 2019 calls, when 40 proposals were received. Grant agreements for 26 high-quality projects were signed before the end of 2021, and will be supported with EUR</w:t>
      </w:r>
      <w:r w:rsidRPr="00AB1B6E">
        <w:rPr>
          <w:rFonts w:ascii="Calibri" w:hAnsi="Calibri" w:cs="Calibri"/>
          <w:noProof/>
        </w:rPr>
        <w:t> </w:t>
      </w:r>
      <w:r w:rsidRPr="00AB1B6E">
        <w:rPr>
          <w:noProof/>
        </w:rPr>
        <w:t>158.2</w:t>
      </w:r>
      <w:r w:rsidRPr="00AB1B6E">
        <w:rPr>
          <w:rFonts w:ascii="Calibri" w:hAnsi="Calibri" w:cs="Calibri"/>
          <w:noProof/>
        </w:rPr>
        <w:t> </w:t>
      </w:r>
      <w:r w:rsidRPr="00AB1B6E">
        <w:rPr>
          <w:noProof/>
        </w:rPr>
        <w:t>million. These projects are directly managed by</w:t>
      </w:r>
      <w:r w:rsidRPr="00AB1B6E" w:rsidDel="00A90165">
        <w:rPr>
          <w:noProof/>
        </w:rPr>
        <w:t xml:space="preserve"> </w:t>
      </w:r>
      <w:r w:rsidRPr="00AB1B6E">
        <w:rPr>
          <w:noProof/>
        </w:rPr>
        <w:t xml:space="preserve">Commission services. In addition, the management of two projects that are strategic enablers for the </w:t>
      </w:r>
      <w:r w:rsidRPr="0069528E">
        <w:rPr>
          <w:noProof/>
        </w:rPr>
        <w:t>European</w:t>
      </w:r>
      <w:r w:rsidRPr="00AB1B6E">
        <w:rPr>
          <w:noProof/>
        </w:rPr>
        <w:t xml:space="preserve"> defence industry was entrusted to the Organisation Conjointe de Coopération en matière d’Armement,</w:t>
      </w:r>
      <w:r w:rsidRPr="00AB1B6E" w:rsidDel="00A90165">
        <w:rPr>
          <w:noProof/>
        </w:rPr>
        <w:t xml:space="preserve"> </w:t>
      </w:r>
      <w:r w:rsidRPr="00AB1B6E">
        <w:rPr>
          <w:noProof/>
        </w:rPr>
        <w:t>with a total budget of almost EUR</w:t>
      </w:r>
      <w:r w:rsidRPr="00AB1B6E">
        <w:rPr>
          <w:rFonts w:ascii="Calibri" w:hAnsi="Calibri" w:cs="Calibri"/>
          <w:noProof/>
        </w:rPr>
        <w:t> </w:t>
      </w:r>
      <w:r w:rsidRPr="00AB1B6E">
        <w:rPr>
          <w:noProof/>
        </w:rPr>
        <w:t>133</w:t>
      </w:r>
      <w:r w:rsidRPr="00AB1B6E">
        <w:rPr>
          <w:rFonts w:ascii="Calibri" w:hAnsi="Calibri" w:cs="Calibri"/>
          <w:noProof/>
        </w:rPr>
        <w:t> </w:t>
      </w:r>
      <w:r w:rsidRPr="00AB1B6E">
        <w:rPr>
          <w:noProof/>
        </w:rPr>
        <w:t>million,</w:t>
      </w:r>
      <w:r w:rsidRPr="00AB1B6E" w:rsidDel="00A90165">
        <w:rPr>
          <w:noProof/>
        </w:rPr>
        <w:t xml:space="preserve"> </w:t>
      </w:r>
      <w:r w:rsidRPr="00AB1B6E">
        <w:rPr>
          <w:noProof/>
        </w:rPr>
        <w:t>following the conclusion of the contribution agreements.</w:t>
      </w:r>
    </w:p>
    <w:p w14:paraId="122B60E1" w14:textId="77777777" w:rsidR="00533AC3" w:rsidRPr="00AB1B6E" w:rsidRDefault="00533AC3" w:rsidP="00533AC3">
      <w:pPr>
        <w:pStyle w:val="ppoListHyphened-L1"/>
        <w:jc w:val="both"/>
        <w:rPr>
          <w:noProof/>
        </w:rPr>
      </w:pPr>
      <w:r w:rsidRPr="00AB1B6E">
        <w:rPr>
          <w:noProof/>
        </w:rPr>
        <w:t xml:space="preserve">In total, following the 2019 and 2020 EDIDP calls for proposals, 44 grants received funding. The </w:t>
      </w:r>
      <w:r w:rsidRPr="005A4965">
        <w:rPr>
          <w:noProof/>
        </w:rPr>
        <w:t>pre</w:t>
      </w:r>
      <w:r w:rsidRPr="005A4965">
        <w:rPr>
          <w:noProof/>
        </w:rPr>
        <w:noBreakHyphen/>
        <w:t>financing payments for these grants account for al</w:t>
      </w:r>
      <w:r w:rsidRPr="00AB1B6E">
        <w:rPr>
          <w:noProof/>
        </w:rPr>
        <w:t xml:space="preserve">most the total amount of </w:t>
      </w:r>
      <w:r w:rsidRPr="005A4965">
        <w:rPr>
          <w:noProof/>
        </w:rPr>
        <w:t xml:space="preserve">payment appropriations used </w:t>
      </w:r>
      <w:r w:rsidRPr="00AB1B6E">
        <w:rPr>
          <w:noProof/>
        </w:rPr>
        <w:t>up to</w:t>
      </w:r>
      <w:r w:rsidRPr="005A4965">
        <w:rPr>
          <w:noProof/>
        </w:rPr>
        <w:t xml:space="preserve"> </w:t>
      </w:r>
      <w:r w:rsidRPr="00AB1B6E">
        <w:rPr>
          <w:noProof/>
        </w:rPr>
        <w:t>now, i.e. EUR</w:t>
      </w:r>
      <w:r w:rsidRPr="00AB1B6E">
        <w:rPr>
          <w:rFonts w:ascii="Calibri" w:hAnsi="Calibri" w:cs="Calibri"/>
          <w:noProof/>
        </w:rPr>
        <w:t> </w:t>
      </w:r>
      <w:r w:rsidRPr="005A4965">
        <w:rPr>
          <w:noProof/>
        </w:rPr>
        <w:t>376</w:t>
      </w:r>
      <w:r w:rsidRPr="00AB1B6E">
        <w:rPr>
          <w:rFonts w:ascii="Calibri" w:hAnsi="Calibri" w:cs="Calibri"/>
          <w:noProof/>
        </w:rPr>
        <w:t> </w:t>
      </w:r>
      <w:r w:rsidRPr="005A4965">
        <w:rPr>
          <w:noProof/>
        </w:rPr>
        <w:t xml:space="preserve">million. This represents a 75% rate of payment execution. </w:t>
      </w:r>
      <w:r w:rsidRPr="00AB1B6E">
        <w:rPr>
          <w:noProof/>
        </w:rPr>
        <w:t>Due to the substantial oversubscription (funding could be provided to only 16 out of 40 proposals received in 2019 and 26 out of 63 proposals received in 2020), the total budget allocated to the 2019 and 2020 calls was fully committed.</w:t>
      </w:r>
    </w:p>
    <w:p w14:paraId="253055B5" w14:textId="77777777" w:rsidR="00533AC3" w:rsidRPr="00AB1B6E" w:rsidRDefault="00533AC3" w:rsidP="00533AC3">
      <w:pPr>
        <w:pStyle w:val="ppoListHyphened-L1"/>
        <w:jc w:val="both"/>
        <w:rPr>
          <w:noProof/>
        </w:rPr>
      </w:pPr>
      <w:r w:rsidRPr="005A4965">
        <w:rPr>
          <w:noProof/>
        </w:rPr>
        <w:t>T</w:t>
      </w:r>
      <w:r w:rsidRPr="00AB1B6E">
        <w:rPr>
          <w:noProof/>
        </w:rPr>
        <w:t>he high payment rate at this stage of project implementation is due to the Commission’s decision to increase the pre-financing level awarded up to 90% of the maximum EDIDP grant. The aim of this initiative was to support the defence industry in the context of the COVID-19 crisis.</w:t>
      </w:r>
    </w:p>
    <w:p w14:paraId="4A54BC8C" w14:textId="77777777" w:rsidR="00533AC3" w:rsidRPr="00AB1B6E" w:rsidRDefault="00533AC3" w:rsidP="00533AC3">
      <w:pPr>
        <w:pStyle w:val="ppoListHyphened-L1"/>
        <w:jc w:val="both"/>
        <w:rPr>
          <w:noProof/>
        </w:rPr>
      </w:pPr>
      <w:r w:rsidRPr="00AB1B6E">
        <w:rPr>
          <w:noProof/>
        </w:rPr>
        <w:t xml:space="preserve">The implementation of the preparatory action on defence research is ongoing. In total, 10 calls for proposals were published in 2017, 2018 and 2019. This resulted in the selection of 18 projects. Furthermore, in the 2019 call the Commission launched, for the first time, an open call on future disruptive defence </w:t>
      </w:r>
      <w:r w:rsidRPr="00AB1B6E" w:rsidDel="00A90165">
        <w:rPr>
          <w:noProof/>
        </w:rPr>
        <w:t>technologies</w:t>
      </w:r>
      <w:r w:rsidRPr="00AB1B6E">
        <w:rPr>
          <w:noProof/>
        </w:rPr>
        <w:t>. The objective of the call was to fund cutting-edge and high-risk</w:t>
      </w:r>
      <w:r w:rsidRPr="00AB1B6E">
        <w:rPr>
          <w:rFonts w:ascii="Calibri" w:hAnsi="Calibri" w:cs="Calibri"/>
          <w:noProof/>
        </w:rPr>
        <w:t> </w:t>
      </w:r>
      <w:r w:rsidRPr="00AB1B6E">
        <w:rPr>
          <w:noProof/>
        </w:rPr>
        <w:t>/ high-impact research that could lead to a disruptive impact in a defence context. This resulted in the funding of three promising projects, beginning</w:t>
      </w:r>
      <w:r w:rsidRPr="00AB1B6E" w:rsidDel="00A90165">
        <w:rPr>
          <w:noProof/>
        </w:rPr>
        <w:t xml:space="preserve"> </w:t>
      </w:r>
      <w:r w:rsidRPr="00AB1B6E">
        <w:rPr>
          <w:noProof/>
        </w:rPr>
        <w:t>at the end of 2020 and running for approximately 2</w:t>
      </w:r>
      <w:r w:rsidRPr="00AB1B6E">
        <w:rPr>
          <w:rFonts w:ascii="Calibri" w:hAnsi="Calibri" w:cs="Calibri"/>
          <w:noProof/>
        </w:rPr>
        <w:t> </w:t>
      </w:r>
      <w:r w:rsidRPr="00AB1B6E">
        <w:rPr>
          <w:noProof/>
        </w:rPr>
        <w:t xml:space="preserve">years. The projects aim respectively to set up an experimental demonstrator for novel radar camouflage; to implement </w:t>
      </w:r>
      <w:bookmarkStart w:id="225" w:name="_Hlk101522783"/>
      <w:r w:rsidRPr="00AB1B6E">
        <w:rPr>
          <w:noProof/>
        </w:rPr>
        <w:t xml:space="preserve">a neural network </w:t>
      </w:r>
      <w:r w:rsidRPr="0069528E">
        <w:rPr>
          <w:noProof/>
        </w:rPr>
        <w:t>based on spin-based</w:t>
      </w:r>
      <w:r w:rsidRPr="00AB1B6E">
        <w:rPr>
          <w:noProof/>
        </w:rPr>
        <w:t xml:space="preserve"> nanodevices </w:t>
      </w:r>
      <w:bookmarkEnd w:id="225"/>
      <w:r w:rsidRPr="00AB1B6E">
        <w:rPr>
          <w:noProof/>
        </w:rPr>
        <w:t>for radiofrequency processing; and to</w:t>
      </w:r>
      <w:r w:rsidRPr="00AB1B6E" w:rsidDel="00BC113F">
        <w:rPr>
          <w:noProof/>
        </w:rPr>
        <w:t xml:space="preserve"> </w:t>
      </w:r>
      <w:r w:rsidRPr="00AB1B6E">
        <w:rPr>
          <w:noProof/>
        </w:rPr>
        <w:t>use homomorphic encryption to allow the use of confidential data for artificial intelligence</w:t>
      </w:r>
      <w:r w:rsidRPr="00AB1B6E" w:rsidDel="00BC113F">
        <w:rPr>
          <w:noProof/>
        </w:rPr>
        <w:t xml:space="preserve"> </w:t>
      </w:r>
      <w:r w:rsidRPr="00AB1B6E">
        <w:rPr>
          <w:noProof/>
        </w:rPr>
        <w:t>technologies.</w:t>
      </w:r>
    </w:p>
    <w:p w14:paraId="2FD21EC0" w14:textId="77777777" w:rsidR="00533AC3" w:rsidRPr="00AB1B6E" w:rsidRDefault="00533AC3" w:rsidP="00533AC3">
      <w:pPr>
        <w:pStyle w:val="ppoHeading5"/>
        <w:rPr>
          <w:noProof/>
        </w:rPr>
      </w:pPr>
      <w:r w:rsidRPr="00AB1B6E">
        <w:rPr>
          <w:noProof/>
        </w:rPr>
        <w:t>Performance assessment</w:t>
      </w:r>
    </w:p>
    <w:p w14:paraId="2AF28810" w14:textId="77777777" w:rsidR="00533AC3" w:rsidRPr="00AB1B6E" w:rsidRDefault="00533AC3" w:rsidP="00533AC3">
      <w:pPr>
        <w:pStyle w:val="ppoHeading6"/>
        <w:rPr>
          <w:noProof/>
        </w:rPr>
      </w:pPr>
      <w:r w:rsidRPr="00AB1B6E">
        <w:rPr>
          <w:noProof/>
        </w:rPr>
        <w:t>Key performance indicators</w:t>
      </w:r>
    </w:p>
    <w:p w14:paraId="355A9F43" w14:textId="77777777" w:rsidR="00533AC3" w:rsidRPr="00AB1B6E" w:rsidRDefault="00533AC3" w:rsidP="00533AC3">
      <w:pPr>
        <w:pStyle w:val="ppoListHyphened-L1"/>
        <w:jc w:val="both"/>
        <w:rPr>
          <w:noProof/>
        </w:rPr>
      </w:pPr>
      <w:r w:rsidRPr="00AB1B6E">
        <w:rPr>
          <w:noProof/>
        </w:rPr>
        <w:t>The EDIDP</w:t>
      </w:r>
      <w:r w:rsidRPr="00AB1B6E" w:rsidDel="00BC113F">
        <w:rPr>
          <w:noProof/>
        </w:rPr>
        <w:t xml:space="preserve"> </w:t>
      </w:r>
      <w:r w:rsidRPr="00AB1B6E">
        <w:rPr>
          <w:noProof/>
        </w:rPr>
        <w:t xml:space="preserve">is designed to target the problems of the defence sectors identified in the context of the programme’s </w:t>
      </w:r>
      <w:r w:rsidRPr="00133B51">
        <w:rPr>
          <w:i/>
          <w:iCs/>
          <w:noProof/>
        </w:rPr>
        <w:t>ex</w:t>
      </w:r>
      <w:r w:rsidRPr="00317717">
        <w:rPr>
          <w:i/>
          <w:iCs/>
          <w:noProof/>
        </w:rPr>
        <w:t xml:space="preserve"> </w:t>
      </w:r>
      <w:r w:rsidRPr="00133B51">
        <w:rPr>
          <w:i/>
          <w:iCs/>
          <w:noProof/>
        </w:rPr>
        <w:t>ante</w:t>
      </w:r>
      <w:r w:rsidRPr="00AB1B6E">
        <w:rPr>
          <w:noProof/>
        </w:rPr>
        <w:t xml:space="preserve"> evaluation, namely: (1) the low level of investment in innovative defence programmes; and (2) the fragmentation of the defence industry and limited cooperation between undertakings. Both problems may pose substantial risks for the competitiveness</w:t>
      </w:r>
      <w:r w:rsidRPr="00AB1B6E" w:rsidDel="00BC113F">
        <w:rPr>
          <w:noProof/>
        </w:rPr>
        <w:t xml:space="preserve"> </w:t>
      </w:r>
      <w:r w:rsidRPr="00AB1B6E">
        <w:rPr>
          <w:noProof/>
        </w:rPr>
        <w:t>of the EU defence industry in the longer term. The EDIDP work programme was geared towards fostering the competitiveness, efficiency and innovation capacity of the European defence industry, supporting and leveraging cooperation and ensuring that results from the research phase are better exploited in the following</w:t>
      </w:r>
      <w:r w:rsidRPr="00AB1B6E" w:rsidDel="00BC113F">
        <w:rPr>
          <w:noProof/>
        </w:rPr>
        <w:t xml:space="preserve"> </w:t>
      </w:r>
      <w:r w:rsidRPr="00AB1B6E">
        <w:rPr>
          <w:noProof/>
        </w:rPr>
        <w:t>phases of development.</w:t>
      </w:r>
    </w:p>
    <w:p w14:paraId="709C91D2" w14:textId="77777777" w:rsidR="00533AC3" w:rsidRPr="0069528E" w:rsidRDefault="00533AC3" w:rsidP="00533AC3">
      <w:pPr>
        <w:pStyle w:val="ppoListHyphened-L1"/>
        <w:jc w:val="both"/>
        <w:rPr>
          <w:noProof/>
        </w:rPr>
      </w:pPr>
      <w:bookmarkStart w:id="226" w:name="_Hlk101523025"/>
      <w:r w:rsidRPr="0069528E">
        <w:rPr>
          <w:noProof/>
        </w:rPr>
        <w:t>After comparison of the EDIDP’s milestones with the results of the 2019 and 2020 calls, the following initial conclusions can be drawn</w:t>
      </w:r>
      <w:bookmarkEnd w:id="226"/>
      <w:r w:rsidRPr="0069528E">
        <w:rPr>
          <w:noProof/>
        </w:rPr>
        <w:t>.</w:t>
      </w:r>
    </w:p>
    <w:p w14:paraId="4193263E" w14:textId="77777777" w:rsidR="00533AC3" w:rsidRPr="00AB1B6E" w:rsidRDefault="00533AC3" w:rsidP="00533AC3">
      <w:pPr>
        <w:pStyle w:val="ppoListHyphened-L2"/>
        <w:rPr>
          <w:noProof/>
        </w:rPr>
      </w:pPr>
      <w:bookmarkStart w:id="227" w:name="_Hlk101523130"/>
      <w:r w:rsidRPr="00AB1B6E">
        <w:rPr>
          <w:noProof/>
        </w:rPr>
        <w:t xml:space="preserve">The EDIDP calls have boosted cooperation </w:t>
      </w:r>
      <w:bookmarkEnd w:id="227"/>
      <w:r w:rsidRPr="00AB1B6E">
        <w:rPr>
          <w:noProof/>
        </w:rPr>
        <w:t xml:space="preserve">between the Member States and their undertakings to a level in excess of the milestones set out. The calls for proposals were structured in close cooperation with the Member States to meet their requirements in terms of defence systems and technologies needed for their defence capabilities. This approach paid off in 2019, leading to larger consortia populated by entities established in more Member States than anticipated. This positive trend continued in 2020, with the consortia comprising some 16 entities from seven Member States. </w:t>
      </w:r>
    </w:p>
    <w:p w14:paraId="452EE33A" w14:textId="77777777" w:rsidR="00533AC3" w:rsidRPr="00AB1B6E" w:rsidRDefault="00533AC3" w:rsidP="00533AC3">
      <w:pPr>
        <w:pStyle w:val="ppoListHyphened-L2"/>
        <w:rPr>
          <w:bCs/>
          <w:noProof/>
        </w:rPr>
      </w:pPr>
      <w:r w:rsidRPr="00AB1B6E">
        <w:rPr>
          <w:noProof/>
        </w:rPr>
        <w:t xml:space="preserve">The </w:t>
      </w:r>
      <w:bookmarkStart w:id="228" w:name="_Hlk101523144"/>
      <w:r w:rsidRPr="00AB1B6E">
        <w:rPr>
          <w:noProof/>
        </w:rPr>
        <w:t xml:space="preserve">EDIDP contributed to the coherence of the EU’s defence initiatives </w:t>
      </w:r>
      <w:bookmarkEnd w:id="228"/>
      <w:r w:rsidRPr="00AB1B6E">
        <w:rPr>
          <w:noProof/>
        </w:rPr>
        <w:t xml:space="preserve">and to advancing the priorities defined at the EU level. </w:t>
      </w:r>
      <w:r w:rsidRPr="00AB1B6E">
        <w:rPr>
          <w:bCs/>
          <w:noProof/>
        </w:rPr>
        <w:t xml:space="preserve">80% of the 2019 budget was allocated to projects with a link to permanent structured cooperation projects, i.e. joint projects initiated by Member States. In 2020, </w:t>
      </w:r>
      <w:r w:rsidRPr="00AB1B6E">
        <w:rPr>
          <w:noProof/>
        </w:rPr>
        <w:t xml:space="preserve">14 out of the 26 projects supported have a link to </w:t>
      </w:r>
      <w:r w:rsidRPr="00AB1B6E">
        <w:rPr>
          <w:bCs/>
          <w:noProof/>
        </w:rPr>
        <w:t xml:space="preserve">permanent structured cooperation, </w:t>
      </w:r>
      <w:r w:rsidRPr="00AB1B6E">
        <w:rPr>
          <w:noProof/>
        </w:rPr>
        <w:t>and these projects are funded with a total of EUR</w:t>
      </w:r>
      <w:r w:rsidRPr="00AB1B6E">
        <w:rPr>
          <w:rFonts w:ascii="Calibri" w:hAnsi="Calibri" w:cs="Calibri"/>
          <w:noProof/>
        </w:rPr>
        <w:t> </w:t>
      </w:r>
      <w:r w:rsidRPr="00AB1B6E">
        <w:rPr>
          <w:noProof/>
        </w:rPr>
        <w:t>97.7</w:t>
      </w:r>
      <w:r w:rsidRPr="00AB1B6E">
        <w:rPr>
          <w:rFonts w:ascii="Calibri" w:hAnsi="Calibri" w:cs="Calibri"/>
          <w:noProof/>
        </w:rPr>
        <w:t> </w:t>
      </w:r>
      <w:r w:rsidRPr="00AB1B6E">
        <w:rPr>
          <w:noProof/>
        </w:rPr>
        <w:t>million.</w:t>
      </w:r>
      <w:r w:rsidRPr="00AB1B6E">
        <w:rPr>
          <w:bCs/>
          <w:noProof/>
        </w:rPr>
        <w:t xml:space="preserve"> The EDIDP regulation promoted this link by awarding a bonus to such projects to increase the EU funding rate.</w:t>
      </w:r>
    </w:p>
    <w:p w14:paraId="32D00595" w14:textId="77777777" w:rsidR="00533AC3" w:rsidRPr="00AB1B6E" w:rsidRDefault="00533AC3" w:rsidP="00533AC3">
      <w:pPr>
        <w:pStyle w:val="ppoListHyphened-L2"/>
        <w:rPr>
          <w:noProof/>
        </w:rPr>
      </w:pPr>
      <w:bookmarkStart w:id="229" w:name="_Hlk101523155"/>
      <w:r w:rsidRPr="00AB1B6E">
        <w:rPr>
          <w:noProof/>
        </w:rPr>
        <w:t xml:space="preserve">The EDIDP regulation also focused on supporting </w:t>
      </w:r>
      <w:bookmarkEnd w:id="229"/>
      <w:r w:rsidRPr="00AB1B6E">
        <w:rPr>
          <w:noProof/>
        </w:rPr>
        <w:t>small and medium-sized enterprises, i.e. the critical part of the European defence industry. In 2019, the target number of small and medium-sized enterprises involved in projects was exceeded by nearly 40%, with 83 such enterprises participating against a milestone of 60. The 2019 EDIDP work programme included a call that was open to consortia composed only of small and medium-sized enterprises, from which 21 enterprises received funding. This trend continued in 2020, with support being provided to 144 small and medium-sized enterprises following the 2020 calls (16 of them in a call that was open to consortia composed only of such enterprises). 35% of the entities in projects funded by EDIDP in 2020 are small and medium-sized enterprises, while 30% of the total funding is dedicated to them. The regulation promoted this involvement by awarding an increase in the EU funding rate for projects that invest in cross-border cooperation with small and medium-sized enterprises.</w:t>
      </w:r>
    </w:p>
    <w:p w14:paraId="7172F2FA" w14:textId="77777777" w:rsidR="00533AC3" w:rsidRPr="00AB1B6E" w:rsidRDefault="00533AC3" w:rsidP="00533AC3">
      <w:pPr>
        <w:pStyle w:val="ppoListHyphened-L2"/>
        <w:rPr>
          <w:noProof/>
        </w:rPr>
      </w:pPr>
      <w:bookmarkStart w:id="230" w:name="_Hlk101523171"/>
      <w:r w:rsidRPr="00AB1B6E">
        <w:rPr>
          <w:noProof/>
        </w:rPr>
        <w:t xml:space="preserve">Research and development entities maintain </w:t>
      </w:r>
      <w:bookmarkEnd w:id="230"/>
      <w:r w:rsidRPr="00AB1B6E">
        <w:rPr>
          <w:noProof/>
        </w:rPr>
        <w:t>a high level of interest for support from the EDIDP. Furthermore, the share of the projects funded that involve prototyping, which is a specifically sensitive phase of project development, exceeded expectations/targets by 6% and 15</w:t>
      </w:r>
      <w:r w:rsidRPr="00AB1B6E">
        <w:rPr>
          <w:rFonts w:ascii="Calibri" w:hAnsi="Calibri" w:cs="Calibri"/>
          <w:noProof/>
        </w:rPr>
        <w:t> </w:t>
      </w:r>
      <w:r w:rsidRPr="00AB1B6E">
        <w:rPr>
          <w:noProof/>
        </w:rPr>
        <w:t>% in 2019 and 2020, respectively. This indicates the programme’s increasing focus on supporting advanced stages in the development of defence systems or technologies.</w:t>
      </w:r>
    </w:p>
    <w:p w14:paraId="61E05675" w14:textId="77777777" w:rsidR="00533AC3" w:rsidRPr="00AB1B6E" w:rsidRDefault="00533AC3" w:rsidP="00533AC3">
      <w:pPr>
        <w:pStyle w:val="ppoListHyphened-L1"/>
        <w:jc w:val="both"/>
        <w:rPr>
          <w:noProof/>
        </w:rPr>
      </w:pPr>
      <w:bookmarkStart w:id="231" w:name="_Hlk101523196"/>
      <w:r w:rsidRPr="00AB1B6E">
        <w:rPr>
          <w:noProof/>
        </w:rPr>
        <w:t xml:space="preserve">The preparatory action on defence research has contributed </w:t>
      </w:r>
      <w:bookmarkEnd w:id="231"/>
      <w:r w:rsidRPr="00AB1B6E">
        <w:rPr>
          <w:noProof/>
        </w:rPr>
        <w:t>significantly to fostering collaborative defence research and technological development in Europe. The core of the preparatory action</w:t>
      </w:r>
      <w:r w:rsidRPr="00AB1B6E" w:rsidDel="00B31EE6">
        <w:rPr>
          <w:noProof/>
        </w:rPr>
        <w:t xml:space="preserve"> </w:t>
      </w:r>
      <w:r w:rsidRPr="00AB1B6E">
        <w:rPr>
          <w:noProof/>
        </w:rPr>
        <w:t>is a small-scale research programme with competitive calls for proposals defined in close consultation with the Member States.</w:t>
      </w:r>
    </w:p>
    <w:p w14:paraId="7661A73C" w14:textId="77777777" w:rsidR="00533AC3" w:rsidRPr="00AB1B6E" w:rsidRDefault="00533AC3" w:rsidP="00533AC3">
      <w:pPr>
        <w:pStyle w:val="ppoListHyphened-L1"/>
        <w:jc w:val="both"/>
        <w:rPr>
          <w:noProof/>
        </w:rPr>
      </w:pPr>
      <w:r w:rsidRPr="00AB1B6E">
        <w:rPr>
          <w:noProof/>
        </w:rPr>
        <w:t>Although most of the projects under this action are still ongoing, the following initial conclusions can be drawn.</w:t>
      </w:r>
    </w:p>
    <w:p w14:paraId="1B5995BF" w14:textId="77777777" w:rsidR="00533AC3" w:rsidRPr="00AB1B6E" w:rsidRDefault="00533AC3" w:rsidP="00533AC3">
      <w:pPr>
        <w:pStyle w:val="ppoListHyphened-L2"/>
        <w:rPr>
          <w:noProof/>
        </w:rPr>
      </w:pPr>
      <w:r w:rsidRPr="00AB1B6E">
        <w:rPr>
          <w:noProof/>
        </w:rPr>
        <w:t>Calls attracted applicants that were not previously active in defence research.</w:t>
      </w:r>
    </w:p>
    <w:p w14:paraId="56D2780F" w14:textId="77777777" w:rsidR="00533AC3" w:rsidRPr="00AB1B6E" w:rsidRDefault="00533AC3" w:rsidP="00533AC3">
      <w:pPr>
        <w:pStyle w:val="ppoListHyphened-L2"/>
        <w:rPr>
          <w:noProof/>
        </w:rPr>
      </w:pPr>
      <w:r w:rsidRPr="00AB1B6E">
        <w:rPr>
          <w:noProof/>
        </w:rPr>
        <w:t>Funded projects included the participation of small and medium size enterprises in 15 consortia.</w:t>
      </w:r>
    </w:p>
    <w:p w14:paraId="6354AFB7" w14:textId="77777777" w:rsidR="00533AC3" w:rsidRPr="00AB1B6E" w:rsidRDefault="00533AC3" w:rsidP="00533AC3">
      <w:pPr>
        <w:pStyle w:val="ppoListHyphened-L2"/>
        <w:rPr>
          <w:noProof/>
        </w:rPr>
      </w:pPr>
      <w:r w:rsidRPr="00AB1B6E">
        <w:rPr>
          <w:noProof/>
        </w:rPr>
        <w:t>The action brought together stakeholders from the private sector (64%), research centres (23%) and academia (7%), with 22% of all applicants in the selected proposals being small or medium-sized enterprises.</w:t>
      </w:r>
    </w:p>
    <w:p w14:paraId="42E5D845" w14:textId="77777777" w:rsidR="00533AC3" w:rsidRDefault="00533AC3" w:rsidP="00533AC3">
      <w:pPr>
        <w:pStyle w:val="ppoListHyphened-L2"/>
        <w:rPr>
          <w:noProof/>
        </w:rPr>
      </w:pPr>
      <w:r w:rsidRPr="00AB1B6E">
        <w:rPr>
          <w:noProof/>
        </w:rPr>
        <w:t xml:space="preserve">Projects funded under the action cover a broad range of technological readiness levels and address different levels of system integration. The submission of more than 50 proposals following the 2019 open call on disruptive technologies reflects the high level of interest </w:t>
      </w:r>
      <w:r>
        <w:rPr>
          <w:noProof/>
        </w:rPr>
        <w:t xml:space="preserve">on the part </w:t>
      </w:r>
      <w:r w:rsidRPr="00AB1B6E">
        <w:rPr>
          <w:noProof/>
        </w:rPr>
        <w:t>of stakeholders.</w:t>
      </w:r>
    </w:p>
    <w:p w14:paraId="06A6B246" w14:textId="77777777" w:rsidR="00533AC3" w:rsidRPr="00AB1B6E" w:rsidRDefault="00533AC3" w:rsidP="00533AC3">
      <w:pPr>
        <w:pStyle w:val="ppoListHyphened-L1"/>
        <w:numPr>
          <w:ilvl w:val="0"/>
          <w:numId w:val="0"/>
        </w:numPr>
        <w:jc w:val="both"/>
        <w:rPr>
          <w:noProof/>
        </w:rPr>
      </w:pPr>
    </w:p>
    <w:p w14:paraId="1AB786D6" w14:textId="77777777" w:rsidR="00533AC3" w:rsidRDefault="00533AC3" w:rsidP="005348AD">
      <w:pPr>
        <w:pStyle w:val="ppoListHyphened-L1"/>
        <w:numPr>
          <w:ilvl w:val="0"/>
          <w:numId w:val="0"/>
        </w:numPr>
        <w:ind w:left="357" w:hanging="357"/>
        <w:rPr>
          <w:b/>
          <w:noProof/>
        </w:rPr>
        <w:sectPr w:rsidR="00533AC3" w:rsidSect="0083214A">
          <w:headerReference w:type="even" r:id="rId514"/>
          <w:headerReference w:type="default" r:id="rId515"/>
          <w:footerReference w:type="even" r:id="rId516"/>
          <w:footerReference w:type="default" r:id="rId517"/>
          <w:headerReference w:type="first" r:id="rId518"/>
          <w:footerReference w:type="first" r:id="rId519"/>
          <w:type w:val="continuous"/>
          <w:pgSz w:w="11906" w:h="16838" w:code="9"/>
          <w:pgMar w:top="1134" w:right="1134" w:bottom="964" w:left="1134" w:header="431" w:footer="431" w:gutter="0"/>
          <w:cols w:space="720"/>
          <w:titlePg/>
          <w:docGrid w:linePitch="360"/>
        </w:sectPr>
      </w:pPr>
    </w:p>
    <w:p w14:paraId="254A3D07" w14:textId="77777777" w:rsidR="0018222F" w:rsidRPr="00040F04" w:rsidRDefault="0018222F" w:rsidP="0018222F">
      <w:pPr>
        <w:pStyle w:val="StyleppoHeading3WhiteLeft0cm"/>
        <w:rPr>
          <w:noProof/>
          <w:sz w:val="20"/>
        </w:rPr>
      </w:pPr>
    </w:p>
    <w:p w14:paraId="2C1401D2" w14:textId="77777777" w:rsidR="0018222F" w:rsidRPr="00040F04" w:rsidRDefault="0018222F" w:rsidP="0018222F">
      <w:pPr>
        <w:pStyle w:val="StyleppoHeading3WhiteLeft0cm"/>
        <w:rPr>
          <w:noProof/>
          <w:sz w:val="60"/>
          <w:szCs w:val="60"/>
        </w:rPr>
      </w:pPr>
      <w:bookmarkStart w:id="232" w:name="_Toc102086367"/>
      <w:r w:rsidRPr="00040F04">
        <w:rPr>
          <w:noProof/>
          <w:sz w:val="60"/>
          <w:szCs w:val="60"/>
        </w:rPr>
        <w:t>NDICI</w:t>
      </w:r>
      <w:r>
        <w:rPr>
          <w:noProof/>
          <w:sz w:val="60"/>
          <w:szCs w:val="60"/>
        </w:rPr>
        <w:t>–GLOBAL EUROPE</w:t>
      </w:r>
      <w:bookmarkEnd w:id="232"/>
    </w:p>
    <w:p w14:paraId="1696ABAF" w14:textId="77777777" w:rsidR="0018222F" w:rsidRPr="00B301FE" w:rsidRDefault="0018222F" w:rsidP="0018222F">
      <w:pPr>
        <w:pStyle w:val="StyleppoProgrammenameWhiteLeft01cm"/>
        <w:rPr>
          <w:rFonts w:ascii="Calibri" w:hAnsi="Calibri" w:cs="Calibri"/>
          <w:noProof/>
        </w:rPr>
      </w:pPr>
      <w:r w:rsidRPr="00040F04">
        <w:rPr>
          <w:noProof/>
        </w:rPr>
        <w:t>NEIGHBOURHOOD, DEVELOPMENT AND INTERNATIONAL COOPERATION INSTRUMENT</w:t>
      </w:r>
      <w:r>
        <w:rPr>
          <w:rFonts w:ascii="Calibri" w:hAnsi="Calibri" w:cs="Calibri"/>
          <w:noProof/>
        </w:rPr>
        <w:t xml:space="preserve"> – </w:t>
      </w:r>
      <w:r w:rsidRPr="00682425">
        <w:rPr>
          <w:rFonts w:ascii="Calibri" w:hAnsi="Calibri" w:cs="Calibri"/>
          <w:noProof/>
        </w:rPr>
        <w:t>GLOBAL EUROPE</w:t>
      </w:r>
    </w:p>
    <w:p w14:paraId="2D451C9C" w14:textId="77777777" w:rsidR="0018222F" w:rsidRPr="00040F04" w:rsidRDefault="0018222F" w:rsidP="0018222F">
      <w:pPr>
        <w:pStyle w:val="ppoHeading4Red"/>
        <w:rPr>
          <w:noProof/>
        </w:rPr>
      </w:pPr>
      <w:r w:rsidRPr="00040F04">
        <w:rPr>
          <w:noProof/>
        </w:rPr>
        <w:t>Programme in a nutshell</w:t>
      </w:r>
    </w:p>
    <w:p w14:paraId="4F6763D0" w14:textId="77777777" w:rsidR="0018222F" w:rsidRPr="00040F04" w:rsidRDefault="0018222F" w:rsidP="0018222F">
      <w:pPr>
        <w:spacing w:after="480"/>
        <w:rPr>
          <w:rFonts w:eastAsiaTheme="minorEastAsia"/>
          <w:noProof/>
          <w:color w:val="FFFFFF" w:themeColor="background1"/>
          <w:sz w:val="32"/>
        </w:rPr>
        <w:sectPr w:rsidR="0018222F" w:rsidRPr="00040F04" w:rsidSect="0083214A">
          <w:headerReference w:type="even" r:id="rId520"/>
          <w:headerReference w:type="default" r:id="rId521"/>
          <w:footerReference w:type="even" r:id="rId522"/>
          <w:footerReference w:type="default" r:id="rId523"/>
          <w:headerReference w:type="first" r:id="rId524"/>
          <w:footerReference w:type="first" r:id="rId525"/>
          <w:pgSz w:w="11906" w:h="16838" w:code="9"/>
          <w:pgMar w:top="1134" w:right="1134" w:bottom="964" w:left="1134" w:header="431" w:footer="431" w:gutter="0"/>
          <w:cols w:space="720"/>
          <w:docGrid w:linePitch="360"/>
        </w:sectPr>
      </w:pPr>
    </w:p>
    <w:p w14:paraId="4C6D05EB" w14:textId="77777777" w:rsidR="0018222F" w:rsidRPr="00040F04" w:rsidRDefault="0018222F" w:rsidP="0018222F">
      <w:pPr>
        <w:pStyle w:val="ppoHeading5"/>
        <w:rPr>
          <w:noProof/>
        </w:rPr>
      </w:pPr>
      <w:r w:rsidRPr="00040F04">
        <w:rPr>
          <w:noProof/>
        </w:rPr>
        <w:t>Concrete examples of achievements (*)</w:t>
      </w:r>
    </w:p>
    <w:tbl>
      <w:tblPr>
        <w:tblStyle w:val="PPO2021"/>
        <w:tblW w:w="9639" w:type="dxa"/>
        <w:tblInd w:w="0" w:type="dxa"/>
        <w:tblLook w:val="0200" w:firstRow="0" w:lastRow="0" w:firstColumn="0" w:lastColumn="0" w:noHBand="1" w:noVBand="0"/>
      </w:tblPr>
      <w:tblGrid>
        <w:gridCol w:w="2410"/>
        <w:gridCol w:w="2409"/>
        <w:gridCol w:w="2410"/>
        <w:gridCol w:w="2410"/>
      </w:tblGrid>
      <w:tr w:rsidR="0018222F" w:rsidRPr="00040F04" w14:paraId="212EB9F5" w14:textId="77777777" w:rsidTr="00377734">
        <w:tc>
          <w:tcPr>
            <w:tcW w:w="2410" w:type="dxa"/>
          </w:tcPr>
          <w:p w14:paraId="0D88DCAB" w14:textId="77777777" w:rsidR="0018222F" w:rsidRPr="00040F04" w:rsidRDefault="0018222F" w:rsidP="0083214A">
            <w:pPr>
              <w:pStyle w:val="ppoTableacheivementvalue"/>
              <w:rPr>
                <w:noProof/>
              </w:rPr>
            </w:pPr>
            <w:r w:rsidRPr="00040F04">
              <w:rPr>
                <w:noProof/>
              </w:rPr>
              <w:t>158</w:t>
            </w:r>
          </w:p>
          <w:p w14:paraId="56864CDC" w14:textId="77777777" w:rsidR="0018222F" w:rsidRPr="00040F04" w:rsidRDefault="0018222F" w:rsidP="00377734">
            <w:pPr>
              <w:jc w:val="left"/>
              <w:rPr>
                <w:noProof/>
              </w:rPr>
            </w:pPr>
            <w:r w:rsidRPr="00040F04">
              <w:rPr>
                <w:noProof/>
              </w:rPr>
              <w:t>countries and cities were supported in developing or implementing strategies for climate change or disaster risk reduction from 2013 to 2021.</w:t>
            </w:r>
          </w:p>
        </w:tc>
        <w:tc>
          <w:tcPr>
            <w:cnfStyle w:val="000001000000" w:firstRow="0" w:lastRow="0" w:firstColumn="0" w:lastColumn="0" w:oddVBand="0" w:evenVBand="1" w:oddHBand="0" w:evenHBand="0" w:firstRowFirstColumn="0" w:firstRowLastColumn="0" w:lastRowFirstColumn="0" w:lastRowLastColumn="0"/>
            <w:tcW w:w="2409" w:type="dxa"/>
          </w:tcPr>
          <w:p w14:paraId="793F6B5C" w14:textId="77777777" w:rsidR="0018222F" w:rsidRPr="00040F04" w:rsidRDefault="0018222F" w:rsidP="0083214A">
            <w:pPr>
              <w:pStyle w:val="ppoTableacheivementvalue"/>
              <w:rPr>
                <w:noProof/>
              </w:rPr>
            </w:pPr>
            <w:r w:rsidRPr="00040F04">
              <w:rPr>
                <w:noProof/>
              </w:rPr>
              <w:t>909</w:t>
            </w:r>
            <w:r w:rsidRPr="00040F04">
              <w:rPr>
                <w:rFonts w:ascii="Calibri" w:hAnsi="Calibri" w:cs="Calibri"/>
                <w:noProof/>
              </w:rPr>
              <w:t> </w:t>
            </w:r>
            <w:r w:rsidRPr="00040F04">
              <w:rPr>
                <w:noProof/>
              </w:rPr>
              <w:t>620</w:t>
            </w:r>
            <w:r w:rsidRPr="00040F04">
              <w:rPr>
                <w:rFonts w:ascii="Calibri" w:hAnsi="Calibri" w:cs="Calibri"/>
                <w:noProof/>
              </w:rPr>
              <w:t> </w:t>
            </w:r>
            <w:r w:rsidRPr="00040F04">
              <w:rPr>
                <w:noProof/>
              </w:rPr>
              <w:t>km²</w:t>
            </w:r>
          </w:p>
          <w:p w14:paraId="1106A7A7" w14:textId="77777777" w:rsidR="0018222F" w:rsidRPr="00040F04" w:rsidRDefault="0018222F" w:rsidP="00377734">
            <w:pPr>
              <w:jc w:val="left"/>
              <w:rPr>
                <w:noProof/>
              </w:rPr>
            </w:pPr>
            <w:r w:rsidRPr="00040F04">
              <w:rPr>
                <w:noProof/>
              </w:rPr>
              <w:t>was protected (biodiversity/forest) between 2013 and 2021.</w:t>
            </w:r>
          </w:p>
        </w:tc>
        <w:tc>
          <w:tcPr>
            <w:tcW w:w="2410" w:type="dxa"/>
            <w:tcBorders>
              <w:bottom w:val="single" w:sz="4" w:space="0" w:color="8C8C8C"/>
            </w:tcBorders>
          </w:tcPr>
          <w:p w14:paraId="475A75A1" w14:textId="77777777" w:rsidR="0018222F" w:rsidRPr="00040F04" w:rsidRDefault="0018222F" w:rsidP="0083214A">
            <w:pPr>
              <w:pStyle w:val="ppoTableacheivementvalue"/>
              <w:cnfStyle w:val="000000000000" w:firstRow="0" w:lastRow="0" w:firstColumn="0" w:lastColumn="0" w:oddVBand="0" w:evenVBand="0" w:oddHBand="0" w:evenHBand="0" w:firstRowFirstColumn="0" w:firstRowLastColumn="0" w:lastRowFirstColumn="0" w:lastRowLastColumn="0"/>
              <w:rPr>
                <w:noProof/>
              </w:rPr>
            </w:pPr>
            <w:r w:rsidRPr="00040F04">
              <w:rPr>
                <w:noProof/>
              </w:rPr>
              <w:t>3.4</w:t>
            </w:r>
            <w:r w:rsidRPr="00040F04">
              <w:rPr>
                <w:rFonts w:ascii="Calibri" w:hAnsi="Calibri" w:cs="Calibri"/>
                <w:noProof/>
              </w:rPr>
              <w:t> </w:t>
            </w:r>
            <w:r w:rsidRPr="00040F04">
              <w:rPr>
                <w:noProof/>
              </w:rPr>
              <w:t>million</w:t>
            </w:r>
          </w:p>
          <w:p w14:paraId="745F71A9" w14:textId="6F1D923A" w:rsidR="0018222F" w:rsidRPr="00040F04" w:rsidRDefault="00377734" w:rsidP="00377734">
            <w:pPr>
              <w:jc w:val="left"/>
              <w:cnfStyle w:val="000000000000" w:firstRow="0" w:lastRow="0" w:firstColumn="0" w:lastColumn="0" w:oddVBand="0" w:evenVBand="0" w:oddHBand="0" w:evenHBand="0" w:firstRowFirstColumn="0" w:firstRowLastColumn="0" w:lastRowFirstColumn="0" w:lastRowLastColumn="0"/>
              <w:rPr>
                <w:noProof/>
              </w:rPr>
            </w:pPr>
            <w:r>
              <w:rPr>
                <w:noProof/>
              </w:rPr>
              <w:t>c</w:t>
            </w:r>
            <w:r w:rsidR="0018222F" w:rsidRPr="00040F04">
              <w:rPr>
                <w:noProof/>
              </w:rPr>
              <w:t>hildren living in areas of crisis and conflict have received education through ‘Education cannot wait’ since its inception (2018-2020).</w:t>
            </w:r>
          </w:p>
        </w:tc>
        <w:tc>
          <w:tcPr>
            <w:cnfStyle w:val="000001000000" w:firstRow="0" w:lastRow="0" w:firstColumn="0" w:lastColumn="0" w:oddVBand="0" w:evenVBand="1" w:oddHBand="0" w:evenHBand="0" w:firstRowFirstColumn="0" w:firstRowLastColumn="0" w:lastRowFirstColumn="0" w:lastRowLastColumn="0"/>
            <w:tcW w:w="2410" w:type="dxa"/>
          </w:tcPr>
          <w:p w14:paraId="0C9847E0" w14:textId="77777777" w:rsidR="0018222F" w:rsidRPr="00040F04" w:rsidRDefault="0018222F" w:rsidP="0083214A">
            <w:pPr>
              <w:pStyle w:val="ppoTableacheivementvalue"/>
              <w:rPr>
                <w:noProof/>
              </w:rPr>
            </w:pPr>
            <w:r w:rsidRPr="00040F04">
              <w:rPr>
                <w:noProof/>
              </w:rPr>
              <w:t>12</w:t>
            </w:r>
          </w:p>
          <w:p w14:paraId="490A0A02" w14:textId="77777777" w:rsidR="0018222F" w:rsidRPr="00040F04" w:rsidRDefault="0018222F" w:rsidP="00377734">
            <w:pPr>
              <w:jc w:val="left"/>
              <w:rPr>
                <w:noProof/>
              </w:rPr>
            </w:pPr>
            <w:r w:rsidRPr="00040F04">
              <w:rPr>
                <w:noProof/>
              </w:rPr>
              <w:t>electoral processes and democratic cycles were supported, observed and monitored by means of election observation missions in 2021.</w:t>
            </w:r>
          </w:p>
        </w:tc>
      </w:tr>
      <w:tr w:rsidR="0018222F" w:rsidRPr="00040F04" w14:paraId="1E3034BD" w14:textId="77777777" w:rsidTr="00377734">
        <w:tc>
          <w:tcPr>
            <w:tcW w:w="2410" w:type="dxa"/>
          </w:tcPr>
          <w:p w14:paraId="18A0AD92" w14:textId="77777777" w:rsidR="0018222F" w:rsidRPr="00040F04" w:rsidRDefault="0018222F" w:rsidP="0083214A">
            <w:pPr>
              <w:pStyle w:val="ppoTableacheivementvalue"/>
              <w:rPr>
                <w:noProof/>
              </w:rPr>
            </w:pPr>
            <w:r w:rsidRPr="00040F04">
              <w:rPr>
                <w:noProof/>
              </w:rPr>
              <w:t>23.3</w:t>
            </w:r>
            <w:r w:rsidRPr="00040F04">
              <w:rPr>
                <w:rFonts w:ascii="Calibri" w:hAnsi="Calibri" w:cs="Calibri"/>
                <w:noProof/>
              </w:rPr>
              <w:t> </w:t>
            </w:r>
            <w:r w:rsidRPr="00040F04">
              <w:rPr>
                <w:noProof/>
              </w:rPr>
              <w:t>million</w:t>
            </w:r>
          </w:p>
          <w:p w14:paraId="672F6B0A" w14:textId="77777777" w:rsidR="0018222F" w:rsidRPr="00040F04" w:rsidRDefault="0018222F" w:rsidP="00377734">
            <w:pPr>
              <w:jc w:val="left"/>
              <w:rPr>
                <w:noProof/>
              </w:rPr>
            </w:pPr>
            <w:r w:rsidRPr="00040F04">
              <w:rPr>
                <w:noProof/>
              </w:rPr>
              <w:t>women, adolescent girls and children were helped to improve diet and breastfeeding, household resilience, food security, healthcare and stunting reduction between 2013 and 2021.</w:t>
            </w:r>
          </w:p>
        </w:tc>
        <w:tc>
          <w:tcPr>
            <w:cnfStyle w:val="000001000000" w:firstRow="0" w:lastRow="0" w:firstColumn="0" w:lastColumn="0" w:oddVBand="0" w:evenVBand="1" w:oddHBand="0" w:evenHBand="0" w:firstRowFirstColumn="0" w:firstRowLastColumn="0" w:lastRowFirstColumn="0" w:lastRowLastColumn="0"/>
            <w:tcW w:w="2409" w:type="dxa"/>
            <w:shd w:val="clear" w:color="auto" w:fill="FFFFFF" w:themeFill="background1"/>
          </w:tcPr>
          <w:p w14:paraId="212A56E5" w14:textId="77777777" w:rsidR="0018222F" w:rsidRPr="00040F04" w:rsidRDefault="0018222F" w:rsidP="0083214A">
            <w:pPr>
              <w:pStyle w:val="ppoTableacheivementvalue"/>
              <w:rPr>
                <w:noProof/>
              </w:rPr>
            </w:pPr>
            <w:r w:rsidRPr="00040F04">
              <w:rPr>
                <w:noProof/>
              </w:rPr>
              <w:t>54</w:t>
            </w:r>
            <w:r w:rsidRPr="00040F04">
              <w:rPr>
                <w:rFonts w:ascii="Calibri" w:hAnsi="Calibri" w:cs="Calibri"/>
                <w:noProof/>
              </w:rPr>
              <w:t> </w:t>
            </w:r>
            <w:r w:rsidRPr="00040F04">
              <w:rPr>
                <w:noProof/>
              </w:rPr>
              <w:t>400</w:t>
            </w:r>
          </w:p>
          <w:p w14:paraId="7054571F" w14:textId="77777777" w:rsidR="0018222F" w:rsidRPr="00040F04" w:rsidRDefault="0018222F" w:rsidP="00377734">
            <w:pPr>
              <w:jc w:val="left"/>
              <w:rPr>
                <w:noProof/>
              </w:rPr>
            </w:pPr>
            <w:r w:rsidRPr="00040F04">
              <w:rPr>
                <w:noProof/>
              </w:rPr>
              <w:t>or more at-risk human-rights defenders were supported between 2014 and 2021.</w:t>
            </w:r>
          </w:p>
        </w:tc>
        <w:tc>
          <w:tcPr>
            <w:tcW w:w="2410" w:type="dxa"/>
            <w:tcBorders>
              <w:bottom w:val="single" w:sz="4" w:space="0" w:color="8C8C8C"/>
            </w:tcBorders>
            <w:shd w:val="clear" w:color="auto" w:fill="FFFFFF" w:themeFill="background1"/>
          </w:tcPr>
          <w:p w14:paraId="6E9F287C" w14:textId="77777777" w:rsidR="0018222F" w:rsidRPr="00040F04" w:rsidRDefault="0018222F" w:rsidP="0083214A">
            <w:pPr>
              <w:pStyle w:val="ppoTableacheivementvalue"/>
              <w:cnfStyle w:val="000000000000" w:firstRow="0" w:lastRow="0" w:firstColumn="0" w:lastColumn="0" w:oddVBand="0" w:evenVBand="0" w:oddHBand="0" w:evenHBand="0" w:firstRowFirstColumn="0" w:firstRowLastColumn="0" w:lastRowFirstColumn="0" w:lastRowLastColumn="0"/>
              <w:rPr>
                <w:noProof/>
              </w:rPr>
            </w:pPr>
            <w:r w:rsidRPr="00040F04">
              <w:rPr>
                <w:noProof/>
              </w:rPr>
              <w:t>11</w:t>
            </w:r>
            <w:r w:rsidRPr="00040F04">
              <w:rPr>
                <w:rFonts w:ascii="Calibri" w:hAnsi="Calibri" w:cs="Calibri"/>
                <w:noProof/>
              </w:rPr>
              <w:t> </w:t>
            </w:r>
            <w:r w:rsidRPr="00040F04">
              <w:rPr>
                <w:noProof/>
              </w:rPr>
              <w:t>million</w:t>
            </w:r>
          </w:p>
          <w:p w14:paraId="6AE1105C" w14:textId="77777777" w:rsidR="0018222F" w:rsidRPr="00040F04" w:rsidRDefault="0018222F" w:rsidP="00377734">
            <w:pPr>
              <w:jc w:val="left"/>
              <w:cnfStyle w:val="000000000000" w:firstRow="0" w:lastRow="0" w:firstColumn="0" w:lastColumn="0" w:oddVBand="0" w:evenVBand="0" w:oddHBand="0" w:evenHBand="0" w:firstRowFirstColumn="0" w:firstRowLastColumn="0" w:lastRowFirstColumn="0" w:lastRowLastColumn="0"/>
              <w:rPr>
                <w:noProof/>
              </w:rPr>
            </w:pPr>
            <w:r w:rsidRPr="00040F04">
              <w:rPr>
                <w:noProof/>
              </w:rPr>
              <w:t>items of personal protective equipment and other medical supplies were delivered in 2020 to the Eastern Partnership partner countries, together with the World Health Organization.</w:t>
            </w:r>
          </w:p>
        </w:tc>
        <w:tc>
          <w:tcPr>
            <w:cnfStyle w:val="000001000000" w:firstRow="0" w:lastRow="0" w:firstColumn="0" w:lastColumn="0" w:oddVBand="0" w:evenVBand="1" w:oddHBand="0" w:evenHBand="0" w:firstRowFirstColumn="0" w:firstRowLastColumn="0" w:lastRowFirstColumn="0" w:lastRowLastColumn="0"/>
            <w:tcW w:w="2410" w:type="dxa"/>
            <w:shd w:val="clear" w:color="auto" w:fill="FFFFFF" w:themeFill="background1"/>
          </w:tcPr>
          <w:p w14:paraId="573D883D" w14:textId="77777777" w:rsidR="0018222F" w:rsidRPr="00040F04" w:rsidRDefault="0018222F" w:rsidP="0083214A">
            <w:pPr>
              <w:pStyle w:val="ppoTableacheivementvalue"/>
              <w:rPr>
                <w:noProof/>
              </w:rPr>
            </w:pPr>
            <w:r w:rsidRPr="00040F04">
              <w:rPr>
                <w:noProof/>
              </w:rPr>
              <w:t>8.4</w:t>
            </w:r>
            <w:r w:rsidRPr="00040F04">
              <w:rPr>
                <w:rFonts w:ascii="Calibri" w:hAnsi="Calibri" w:cs="Calibri"/>
                <w:noProof/>
              </w:rPr>
              <w:t> </w:t>
            </w:r>
            <w:r w:rsidRPr="00040F04">
              <w:rPr>
                <w:noProof/>
              </w:rPr>
              <w:t>million</w:t>
            </w:r>
          </w:p>
          <w:p w14:paraId="6EA07EDF" w14:textId="77777777" w:rsidR="0018222F" w:rsidRPr="00040F04" w:rsidRDefault="0018222F" w:rsidP="00377734">
            <w:pPr>
              <w:jc w:val="left"/>
              <w:rPr>
                <w:noProof/>
              </w:rPr>
            </w:pPr>
            <w:r w:rsidRPr="00040F04">
              <w:rPr>
                <w:noProof/>
              </w:rPr>
              <w:t>beneficiaries were supported in 2014-2020 by the EU Regional Trust Fund in Response to the Syrian Crisis.</w:t>
            </w:r>
          </w:p>
        </w:tc>
      </w:tr>
    </w:tbl>
    <w:p w14:paraId="3A63F6B9" w14:textId="77777777" w:rsidR="0018222F" w:rsidRPr="00040F04" w:rsidRDefault="0018222F" w:rsidP="0018222F">
      <w:pPr>
        <w:pStyle w:val="FootnoteText"/>
        <w:rPr>
          <w:rFonts w:eastAsiaTheme="minorEastAsia"/>
          <w:noProof/>
        </w:rPr>
      </w:pPr>
      <w:r w:rsidRPr="00040F04">
        <w:rPr>
          <w:rFonts w:eastAsiaTheme="minorEastAsia"/>
          <w:noProof/>
        </w:rPr>
        <w:t>(*)</w:t>
      </w:r>
      <w:r w:rsidRPr="00040F04">
        <w:rPr>
          <w:rFonts w:eastAsiaTheme="minorEastAsia"/>
          <w:noProof/>
        </w:rPr>
        <w:tab/>
        <w:t>Key achievements in the table state which period they relate to. Many come from the implementation of the predecessor programmes under the 2014-2020 multiannual financial framework. This is expected and is due to the multiannual life cycle of EU programmes and the projects they finance, where results often follow only after completion of the programmes.</w:t>
      </w:r>
    </w:p>
    <w:p w14:paraId="27FCFCA9" w14:textId="77777777" w:rsidR="0018222F" w:rsidRPr="00040F04" w:rsidRDefault="0018222F" w:rsidP="0018222F">
      <w:pPr>
        <w:pStyle w:val="ppoHeading5"/>
        <w:rPr>
          <w:noProof/>
        </w:rPr>
      </w:pPr>
      <w:r w:rsidRPr="00040F04">
        <w:rPr>
          <w:noProof/>
        </w:rPr>
        <w:t>Budget for 2021-2027</w:t>
      </w:r>
    </w:p>
    <w:p w14:paraId="2F75B6FD" w14:textId="77777777" w:rsidR="0018222F" w:rsidRPr="00040F04" w:rsidRDefault="0018222F" w:rsidP="0018222F">
      <w:pPr>
        <w:pStyle w:val="ppoTableTabletitle"/>
        <w:ind w:left="284"/>
        <w:rPr>
          <w:noProof/>
        </w:rPr>
      </w:pPr>
      <w:r w:rsidRPr="00040F04">
        <w:rPr>
          <w:noProof/>
        </w:rPr>
        <w:t>(million EUR)</w:t>
      </w:r>
    </w:p>
    <w:tbl>
      <w:tblPr>
        <w:tblStyle w:val="PlainTable2"/>
        <w:tblW w:w="0" w:type="auto"/>
        <w:tblInd w:w="288" w:type="dxa"/>
        <w:tblLook w:val="04A0" w:firstRow="1" w:lastRow="0" w:firstColumn="1" w:lastColumn="0" w:noHBand="0" w:noVBand="1"/>
      </w:tblPr>
      <w:tblGrid>
        <w:gridCol w:w="4788"/>
        <w:gridCol w:w="2610"/>
      </w:tblGrid>
      <w:tr w:rsidR="0018222F" w:rsidRPr="00040F04" w14:paraId="55B353B0" w14:textId="77777777" w:rsidTr="0083214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51F9C859" w14:textId="77777777" w:rsidR="0018222F" w:rsidRPr="00040F04" w:rsidRDefault="0018222F" w:rsidP="0083214A">
            <w:pPr>
              <w:spacing w:before="120" w:after="120"/>
              <w:rPr>
                <w:noProof/>
              </w:rPr>
            </w:pPr>
            <w:r w:rsidRPr="00040F04">
              <w:rPr>
                <w:rFonts w:cs="Calibri"/>
                <w:noProof/>
                <w:color w:val="000000"/>
              </w:rPr>
              <w:t>Financial programming</w:t>
            </w:r>
          </w:p>
        </w:tc>
        <w:tc>
          <w:tcPr>
            <w:tcW w:w="2610" w:type="dxa"/>
            <w:shd w:val="clear" w:color="auto" w:fill="auto"/>
            <w:vAlign w:val="bottom"/>
          </w:tcPr>
          <w:p w14:paraId="1FFDF246" w14:textId="77777777" w:rsidR="00DD5E66" w:rsidRDefault="00DD5E66" w:rsidP="00DD5E66">
            <w:pPr>
              <w:spacing w:after="0"/>
              <w:jc w:val="right"/>
              <w:cnfStyle w:val="100000000000" w:firstRow="1"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79 750.3</w:t>
            </w:r>
          </w:p>
          <w:p w14:paraId="7687E043" w14:textId="0B29B05E" w:rsidR="0018222F" w:rsidRPr="00040F04" w:rsidRDefault="0018222F" w:rsidP="0083214A">
            <w:pPr>
              <w:spacing w:before="120" w:after="120"/>
              <w:jc w:val="right"/>
              <w:cnfStyle w:val="100000000000" w:firstRow="1" w:lastRow="0" w:firstColumn="0" w:lastColumn="0" w:oddVBand="0" w:evenVBand="0" w:oddHBand="0" w:evenHBand="0" w:firstRowFirstColumn="0" w:firstRowLastColumn="0" w:lastRowFirstColumn="0" w:lastRowLastColumn="0"/>
              <w:rPr>
                <w:b w:val="0"/>
                <w:bCs w:val="0"/>
                <w:noProof/>
              </w:rPr>
            </w:pPr>
          </w:p>
        </w:tc>
      </w:tr>
      <w:tr w:rsidR="0018222F" w:rsidRPr="00040F04" w14:paraId="711D2E40"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5B9E6FC3" w14:textId="77777777" w:rsidR="0018222F" w:rsidRPr="00040F04" w:rsidRDefault="0018222F" w:rsidP="0083214A">
            <w:pPr>
              <w:spacing w:before="120" w:after="120"/>
              <w:rPr>
                <w:b w:val="0"/>
                <w:noProof/>
              </w:rPr>
            </w:pPr>
            <w:r w:rsidRPr="00040F04">
              <w:rPr>
                <w:rFonts w:cs="Calibri"/>
                <w:noProof/>
                <w:color w:val="000000"/>
              </w:rPr>
              <w:t>NextGenerationEU</w:t>
            </w:r>
          </w:p>
        </w:tc>
        <w:tc>
          <w:tcPr>
            <w:tcW w:w="2610" w:type="dxa"/>
            <w:vAlign w:val="bottom"/>
          </w:tcPr>
          <w:p w14:paraId="68326A19" w14:textId="77777777" w:rsidR="0018222F" w:rsidRPr="00040F04" w:rsidRDefault="0018222F" w:rsidP="0083214A">
            <w:pPr>
              <w:spacing w:before="120" w:after="120"/>
              <w:jc w:val="right"/>
              <w:cnfStyle w:val="000000100000" w:firstRow="0" w:lastRow="0" w:firstColumn="0" w:lastColumn="0" w:oddVBand="0" w:evenVBand="0" w:oddHBand="1" w:evenHBand="0" w:firstRowFirstColumn="0" w:firstRowLastColumn="0" w:lastRowFirstColumn="0" w:lastRowLastColumn="0"/>
              <w:rPr>
                <w:noProof/>
              </w:rPr>
            </w:pPr>
            <w:r w:rsidRPr="00040F04">
              <w:rPr>
                <w:rFonts w:cs="Calibri"/>
                <w:noProof/>
                <w:color w:val="000000"/>
              </w:rPr>
              <w:t>0</w:t>
            </w:r>
          </w:p>
        </w:tc>
      </w:tr>
      <w:tr w:rsidR="0018222F" w:rsidRPr="00040F04" w14:paraId="5C33F686"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0784400B" w14:textId="77777777" w:rsidR="0018222F" w:rsidRPr="00040F04" w:rsidRDefault="0018222F" w:rsidP="0083214A">
            <w:pPr>
              <w:spacing w:before="120" w:after="120"/>
              <w:rPr>
                <w:b w:val="0"/>
                <w:noProof/>
              </w:rPr>
            </w:pPr>
            <w:r w:rsidRPr="00040F04">
              <w:rPr>
                <w:rFonts w:cs="Calibri"/>
                <w:noProof/>
                <w:color w:val="000000"/>
              </w:rPr>
              <w:t>Decommitted amounts made available again</w:t>
            </w:r>
            <w:r w:rsidRPr="00040F04">
              <w:rPr>
                <w:rFonts w:ascii="Calibri" w:hAnsi="Calibri" w:cs="Calibri"/>
                <w:noProof/>
                <w:color w:val="000000"/>
              </w:rPr>
              <w:t> </w:t>
            </w:r>
            <w:r w:rsidRPr="00040F04">
              <w:rPr>
                <w:rFonts w:cs="Calibri"/>
                <w:noProof/>
                <w:color w:val="000000"/>
              </w:rPr>
              <w:t>(*)</w:t>
            </w:r>
          </w:p>
        </w:tc>
        <w:tc>
          <w:tcPr>
            <w:tcW w:w="2610" w:type="dxa"/>
            <w:vAlign w:val="bottom"/>
          </w:tcPr>
          <w:p w14:paraId="7799A3F5" w14:textId="09DBD416" w:rsidR="0018222F" w:rsidRPr="00040F04" w:rsidRDefault="0018222F" w:rsidP="0083214A">
            <w:pPr>
              <w:spacing w:before="120" w:after="120"/>
              <w:jc w:val="right"/>
              <w:cnfStyle w:val="000000000000" w:firstRow="0" w:lastRow="0" w:firstColumn="0" w:lastColumn="0" w:oddVBand="0" w:evenVBand="0" w:oddHBand="0" w:evenHBand="0" w:firstRowFirstColumn="0" w:firstRowLastColumn="0" w:lastRowFirstColumn="0" w:lastRowLastColumn="0"/>
              <w:rPr>
                <w:noProof/>
              </w:rPr>
            </w:pPr>
            <w:r>
              <w:rPr>
                <w:rFonts w:cs="Calibri"/>
                <w:noProof/>
                <w:color w:val="000000"/>
              </w:rPr>
              <w:t>N/A</w:t>
            </w:r>
          </w:p>
        </w:tc>
      </w:tr>
      <w:tr w:rsidR="0018222F" w:rsidRPr="00040F04" w14:paraId="519CE4EC"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50854AB8" w14:textId="77777777" w:rsidR="0018222F" w:rsidRPr="00040F04" w:rsidRDefault="0018222F" w:rsidP="0083214A">
            <w:pPr>
              <w:spacing w:before="120" w:after="120"/>
              <w:rPr>
                <w:noProof/>
              </w:rPr>
            </w:pPr>
            <w:r w:rsidRPr="00040F04">
              <w:rPr>
                <w:rFonts w:cs="Calibri"/>
                <w:noProof/>
                <w:color w:val="000000"/>
              </w:rPr>
              <w:t>Contributions from other countries and entities</w:t>
            </w:r>
          </w:p>
        </w:tc>
        <w:tc>
          <w:tcPr>
            <w:tcW w:w="2610" w:type="dxa"/>
            <w:vAlign w:val="bottom"/>
          </w:tcPr>
          <w:p w14:paraId="24905F18" w14:textId="77777777" w:rsidR="0018222F" w:rsidRPr="00040F04" w:rsidRDefault="0018222F" w:rsidP="0083214A">
            <w:pPr>
              <w:spacing w:before="120" w:after="120"/>
              <w:jc w:val="right"/>
              <w:cnfStyle w:val="000000100000" w:firstRow="0" w:lastRow="0" w:firstColumn="0" w:lastColumn="0" w:oddVBand="0" w:evenVBand="0" w:oddHBand="1" w:evenHBand="0" w:firstRowFirstColumn="0" w:firstRowLastColumn="0" w:lastRowFirstColumn="0" w:lastRowLastColumn="0"/>
              <w:rPr>
                <w:noProof/>
              </w:rPr>
            </w:pPr>
            <w:r w:rsidRPr="00040F04">
              <w:rPr>
                <w:rFonts w:cs="Calibri"/>
                <w:noProof/>
                <w:color w:val="000000"/>
              </w:rPr>
              <w:t>6.0</w:t>
            </w:r>
          </w:p>
        </w:tc>
      </w:tr>
      <w:tr w:rsidR="0018222F" w:rsidRPr="00040F04" w14:paraId="4AC53261"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CFCFC" w:themeFill="background2" w:themeFillTint="33"/>
            <w:vAlign w:val="bottom"/>
          </w:tcPr>
          <w:p w14:paraId="0B071D56" w14:textId="77777777" w:rsidR="0018222F" w:rsidRPr="00040F04" w:rsidRDefault="0018222F" w:rsidP="0083214A">
            <w:pPr>
              <w:spacing w:before="120" w:after="120"/>
              <w:rPr>
                <w:noProof/>
              </w:rPr>
            </w:pPr>
            <w:r w:rsidRPr="00040F04">
              <w:rPr>
                <w:rFonts w:cs="Calibri"/>
                <w:noProof/>
                <w:color w:val="000000"/>
              </w:rPr>
              <w:t>Total budget for 2021-2027</w:t>
            </w:r>
          </w:p>
        </w:tc>
        <w:tc>
          <w:tcPr>
            <w:tcW w:w="2610" w:type="dxa"/>
            <w:shd w:val="clear" w:color="auto" w:fill="FCFCFC" w:themeFill="background2" w:themeFillTint="33"/>
            <w:vAlign w:val="bottom"/>
          </w:tcPr>
          <w:p w14:paraId="3741943A" w14:textId="77777777" w:rsidR="00DD5E66" w:rsidRDefault="00DD5E66" w:rsidP="00DD5E66">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noProof/>
                <w:color w:val="000000"/>
              </w:rPr>
            </w:pPr>
            <w:r>
              <w:rPr>
                <w:rFonts w:ascii="Calibri" w:hAnsi="Calibri" w:cs="Calibri"/>
                <w:b/>
                <w:bCs/>
                <w:noProof/>
                <w:color w:val="000000"/>
              </w:rPr>
              <w:t>79 756.3</w:t>
            </w:r>
          </w:p>
          <w:p w14:paraId="2AFD196D" w14:textId="595FB0EE" w:rsidR="0018222F" w:rsidRPr="00040F04" w:rsidRDefault="0018222F" w:rsidP="0083214A">
            <w:pPr>
              <w:spacing w:before="120" w:after="120"/>
              <w:jc w:val="right"/>
              <w:cnfStyle w:val="000000000000" w:firstRow="0" w:lastRow="0" w:firstColumn="0" w:lastColumn="0" w:oddVBand="0" w:evenVBand="0" w:oddHBand="0" w:evenHBand="0" w:firstRowFirstColumn="0" w:firstRowLastColumn="0" w:lastRowFirstColumn="0" w:lastRowLastColumn="0"/>
              <w:rPr>
                <w:b/>
                <w:bCs/>
                <w:noProof/>
              </w:rPr>
            </w:pPr>
          </w:p>
        </w:tc>
      </w:tr>
    </w:tbl>
    <w:p w14:paraId="0A2A8D88" w14:textId="77777777" w:rsidR="0018222F" w:rsidRPr="00040F04" w:rsidRDefault="0018222F" w:rsidP="0018222F">
      <w:pPr>
        <w:tabs>
          <w:tab w:val="left" w:pos="6793"/>
        </w:tabs>
        <w:rPr>
          <w:noProof/>
          <w:sz w:val="18"/>
          <w:szCs w:val="18"/>
        </w:rPr>
      </w:pPr>
      <w:r w:rsidRPr="00040F04">
        <w:rPr>
          <w:noProof/>
          <w:sz w:val="18"/>
          <w:szCs w:val="18"/>
        </w:rPr>
        <w:t>(*) Only Article</w:t>
      </w:r>
      <w:r w:rsidRPr="00040F04">
        <w:rPr>
          <w:rFonts w:ascii="Calibri" w:hAnsi="Calibri" w:cs="Calibri"/>
          <w:noProof/>
          <w:sz w:val="18"/>
          <w:szCs w:val="18"/>
        </w:rPr>
        <w:t> </w:t>
      </w:r>
      <w:r w:rsidRPr="00040F04">
        <w:rPr>
          <w:noProof/>
          <w:sz w:val="18"/>
          <w:szCs w:val="18"/>
        </w:rPr>
        <w:t>15(3) of the financial regulation.</w:t>
      </w:r>
    </w:p>
    <w:p w14:paraId="1D84492A" w14:textId="77777777" w:rsidR="0018222F" w:rsidRPr="00040F04" w:rsidRDefault="0018222F" w:rsidP="0018222F">
      <w:pPr>
        <w:pStyle w:val="ppoHeading5"/>
        <w:rPr>
          <w:noProof/>
        </w:rPr>
      </w:pPr>
      <w:r w:rsidRPr="00040F04">
        <w:rPr>
          <w:noProof/>
        </w:rPr>
        <w:t>Rationale and design of the programme</w:t>
      </w:r>
    </w:p>
    <w:p w14:paraId="76F790EB" w14:textId="77777777" w:rsidR="0018222F" w:rsidRPr="00040F04" w:rsidRDefault="0018222F" w:rsidP="0018222F">
      <w:pPr>
        <w:rPr>
          <w:rFonts w:eastAsiaTheme="minorEastAsia"/>
          <w:noProof/>
        </w:rPr>
      </w:pPr>
      <w:r w:rsidRPr="00040F04">
        <w:rPr>
          <w:rFonts w:eastAsiaTheme="minorEastAsia"/>
          <w:noProof/>
        </w:rPr>
        <w:t xml:space="preserve">The </w:t>
      </w:r>
      <w:bookmarkStart w:id="233" w:name="_Hlk100916564"/>
      <w:r w:rsidRPr="00040F04">
        <w:rPr>
          <w:rFonts w:eastAsiaTheme="minorEastAsia"/>
          <w:noProof/>
        </w:rPr>
        <w:t>Neighbourhood, Development and International Cooperation Instrument</w:t>
      </w:r>
      <w:r w:rsidRPr="00040F04">
        <w:rPr>
          <w:rFonts w:ascii="Calibri" w:eastAsiaTheme="minorEastAsia" w:hAnsi="Calibri" w:cs="Calibri"/>
          <w:noProof/>
        </w:rPr>
        <w:t> – Global Europe</w:t>
      </w:r>
      <w:r w:rsidRPr="00040F04">
        <w:rPr>
          <w:rFonts w:eastAsiaTheme="minorEastAsia"/>
          <w:noProof/>
        </w:rPr>
        <w:t xml:space="preserve"> </w:t>
      </w:r>
      <w:bookmarkEnd w:id="233"/>
      <w:r w:rsidRPr="00040F04">
        <w:rPr>
          <w:rFonts w:eastAsiaTheme="minorEastAsia"/>
          <w:noProof/>
        </w:rPr>
        <w:t>(NDICI–Global Europe) aims to support those countries most in need in overcoming long-term developmental challenges. It contributes to achieving the international commitments and objectives that the EU has agreed to, in particular the 2030 agenda and its sustainable development goals, and the Paris Agreement.</w:t>
      </w:r>
    </w:p>
    <w:p w14:paraId="127F7E36" w14:textId="77777777" w:rsidR="0018222F" w:rsidRPr="00040F04" w:rsidRDefault="0018222F" w:rsidP="0018222F">
      <w:pPr>
        <w:pStyle w:val="ppoListHyphened-L1"/>
        <w:numPr>
          <w:ilvl w:val="0"/>
          <w:numId w:val="0"/>
        </w:numPr>
        <w:ind w:left="357"/>
        <w:rPr>
          <w:rFonts w:eastAsiaTheme="majorEastAsia" w:cstheme="majorBidi"/>
          <w:caps/>
          <w:noProof/>
          <w:sz w:val="32"/>
          <w:szCs w:val="24"/>
          <w:lang w:eastAsia="en-GB"/>
        </w:rPr>
      </w:pPr>
      <w:r w:rsidRPr="00040F04">
        <w:rPr>
          <w:rFonts w:eastAsiaTheme="majorEastAsia" w:cstheme="majorBidi"/>
          <w:caps/>
          <w:noProof/>
          <w:sz w:val="32"/>
          <w:szCs w:val="24"/>
          <w:lang w:eastAsia="en-GB"/>
        </w:rPr>
        <w:t>Challenge</w:t>
      </w:r>
    </w:p>
    <w:p w14:paraId="40199464" w14:textId="77777777" w:rsidR="0018222F" w:rsidRPr="00040F04" w:rsidRDefault="0018222F" w:rsidP="0018222F">
      <w:pPr>
        <w:rPr>
          <w:noProof/>
        </w:rPr>
      </w:pPr>
      <w:r w:rsidRPr="00040F04">
        <w:rPr>
          <w:noProof/>
        </w:rPr>
        <w:t>The EU faces increasing external challenges. Political fragility, instability and conflicts, shrinking civic and political space, terrorism, inequality and migratory pressures have combined with long-term trends such as population growth, climate change, environmental degradation and, more recently, the COVID-19 pandemic, along with the Russian aggression of Ukraine and its worldwide consequences. At the same time, these circumstances also affect EU partner countries and their economic welfare.</w:t>
      </w:r>
    </w:p>
    <w:p w14:paraId="305E91B4" w14:textId="77777777" w:rsidR="0018222F" w:rsidRPr="00040F04" w:rsidRDefault="0018222F" w:rsidP="0018222F">
      <w:pPr>
        <w:rPr>
          <w:noProof/>
        </w:rPr>
      </w:pPr>
      <w:r w:rsidRPr="00040F04">
        <w:rPr>
          <w:noProof/>
        </w:rPr>
        <w:t>As a transnational actor of significant weight and reputation, the EU can provide significant added value in coordinating measures and providing leverage to find multilateral answers to those challenges.</w:t>
      </w:r>
    </w:p>
    <w:p w14:paraId="370863E8" w14:textId="77777777" w:rsidR="0018222F" w:rsidRPr="00040F04" w:rsidRDefault="0018222F" w:rsidP="0018222F">
      <w:pPr>
        <w:pStyle w:val="ppoHeading6"/>
        <w:rPr>
          <w:noProof/>
        </w:rPr>
      </w:pPr>
      <w:r w:rsidRPr="00040F04">
        <w:rPr>
          <w:noProof/>
        </w:rPr>
        <w:t>Mission</w:t>
      </w:r>
    </w:p>
    <w:p w14:paraId="695C48F5" w14:textId="4B5570BF" w:rsidR="0057144F" w:rsidRDefault="0018222F" w:rsidP="0018222F">
      <w:pPr>
        <w:rPr>
          <w:noProof/>
        </w:rPr>
      </w:pPr>
      <w:r w:rsidRPr="00040F04">
        <w:rPr>
          <w:noProof/>
        </w:rPr>
        <w:t xml:space="preserve">The </w:t>
      </w:r>
      <w:r w:rsidR="0057144F">
        <w:rPr>
          <w:noProof/>
        </w:rPr>
        <w:t xml:space="preserve">general </w:t>
      </w:r>
      <w:r w:rsidRPr="00040F04">
        <w:rPr>
          <w:noProof/>
        </w:rPr>
        <w:t>objectives of NDICI–Global Europe are</w:t>
      </w:r>
      <w:r w:rsidR="0057144F">
        <w:rPr>
          <w:noProof/>
        </w:rPr>
        <w:t>:</w:t>
      </w:r>
    </w:p>
    <w:p w14:paraId="12B8B388" w14:textId="282119D2" w:rsidR="0057144F" w:rsidRDefault="0057144F" w:rsidP="006F409B">
      <w:pPr>
        <w:pStyle w:val="ppoListArabic1aiii-L1"/>
        <w:numPr>
          <w:ilvl w:val="0"/>
          <w:numId w:val="133"/>
        </w:numPr>
        <w:rPr>
          <w:noProof/>
        </w:rPr>
      </w:pPr>
      <w:r>
        <w:rPr>
          <w:noProof/>
        </w:rPr>
        <w:t>uphold and promote the Union’s values, principles and fundamental interests worldwide, in order to pursue the objectives and principles of the Union’s external action, as laid down in Article 3(5) and Articles 8 and 21 TEU, thus contributing to the reduction and, in the long term, the eradication of poverty, to consolidating, supporting and promoting democracy, the rule of law and respect for human rights, sustainable development and the fight against climate change and addressing irregular migration and forced displacement, including their root causes;</w:t>
      </w:r>
    </w:p>
    <w:p w14:paraId="52CC356F" w14:textId="72B42766" w:rsidR="0057144F" w:rsidRDefault="0057144F" w:rsidP="006F409B">
      <w:pPr>
        <w:pStyle w:val="ppoListArabic1aiii-L1"/>
        <w:numPr>
          <w:ilvl w:val="0"/>
          <w:numId w:val="133"/>
        </w:numPr>
        <w:rPr>
          <w:noProof/>
        </w:rPr>
      </w:pPr>
      <w:r>
        <w:rPr>
          <w:noProof/>
        </w:rPr>
        <w:t>contribute to the promotion of multilateralism, the achievement of the international commitments and objectives that the Union has agreed to, in particular the SDGs, the 2030 Agenda and the Paris Agreement;</w:t>
      </w:r>
    </w:p>
    <w:p w14:paraId="27D32D80" w14:textId="184F1772" w:rsidR="0057144F" w:rsidRDefault="0057144F" w:rsidP="006F409B">
      <w:pPr>
        <w:pStyle w:val="ppoListArabic1aiii-L1"/>
        <w:numPr>
          <w:ilvl w:val="0"/>
          <w:numId w:val="133"/>
        </w:numPr>
        <w:rPr>
          <w:noProof/>
        </w:rPr>
      </w:pPr>
      <w:r>
        <w:rPr>
          <w:noProof/>
        </w:rPr>
        <w:t>promote stronger partnerships with third countries, including with the European Neighbourhood Policy countries based on mutual interests and ownership with a view to fostering stabilisation, good governance and building resilience.</w:t>
      </w:r>
    </w:p>
    <w:p w14:paraId="51396F87" w14:textId="77777777" w:rsidR="0018222F" w:rsidRPr="00040F04" w:rsidRDefault="0018222F" w:rsidP="0018222F">
      <w:pPr>
        <w:pStyle w:val="ppoHeading6"/>
        <w:rPr>
          <w:noProof/>
        </w:rPr>
      </w:pPr>
      <w:r w:rsidRPr="00040F04">
        <w:rPr>
          <w:noProof/>
        </w:rPr>
        <w:t>Objectives</w:t>
      </w:r>
    </w:p>
    <w:p w14:paraId="2378681C" w14:textId="77777777" w:rsidR="0018222F" w:rsidRPr="00040F04" w:rsidRDefault="0018222F" w:rsidP="0018222F">
      <w:pPr>
        <w:rPr>
          <w:noProof/>
        </w:rPr>
      </w:pPr>
      <w:r w:rsidRPr="00040F04">
        <w:rPr>
          <w:noProof/>
        </w:rPr>
        <w:t>NDICI–Global Europe’s specific objectives are as follows.</w:t>
      </w:r>
    </w:p>
    <w:p w14:paraId="5D3EBA62" w14:textId="77777777" w:rsidR="0018222F" w:rsidRPr="00040F04" w:rsidRDefault="0018222F" w:rsidP="006F409B">
      <w:pPr>
        <w:pStyle w:val="ppoListArabic1aiii-L1"/>
        <w:numPr>
          <w:ilvl w:val="0"/>
          <w:numId w:val="129"/>
        </w:numPr>
        <w:rPr>
          <w:noProof/>
        </w:rPr>
      </w:pPr>
      <w:r w:rsidRPr="00040F04">
        <w:rPr>
          <w:noProof/>
        </w:rPr>
        <w:t>To support and foster dialogue and cooperation with non-EU countries and regions in the neighbourhood, in sub-Saharan Africa, in Asia and the Pacific, and in the Americas and the Caribbean. To develop special strengthened partnerships and enhanced political cooperation with the European neighbourhood, founded on cooperation, peace and stability and a shared commitment to the universal values of democracy, the rule of law and respect for human rights, and aiming at deep and sustainable democracy and progressive socioeconomic integration, along with people-to-people contacts;</w:t>
      </w:r>
    </w:p>
    <w:p w14:paraId="4A8134FE" w14:textId="77777777" w:rsidR="0018222F" w:rsidRPr="00040F04" w:rsidRDefault="0018222F" w:rsidP="006F409B">
      <w:pPr>
        <w:pStyle w:val="ppoListArabic1aiii-L1"/>
        <w:numPr>
          <w:ilvl w:val="0"/>
          <w:numId w:val="129"/>
        </w:numPr>
        <w:rPr>
          <w:noProof/>
        </w:rPr>
      </w:pPr>
      <w:r w:rsidRPr="00040F04">
        <w:rPr>
          <w:noProof/>
        </w:rPr>
        <w:t>At the global level, to protect, promote and advance democracy and the rule of law, including accountability mechanisms, and human rights, including gender equality and the protection of human-rights defenders. To support civil-society organisations. To further stability and peace and prevent conflict, thereby contributing to the protection of civilians. To address other global challenges such as climate change, protection of biodiversity and the environment, and migration and mobility.</w:t>
      </w:r>
    </w:p>
    <w:p w14:paraId="59DAC39F" w14:textId="77777777" w:rsidR="0018222F" w:rsidRPr="00040F04" w:rsidRDefault="0018222F" w:rsidP="006F409B">
      <w:pPr>
        <w:pStyle w:val="ppoListArabic1aiii-L1"/>
        <w:numPr>
          <w:ilvl w:val="0"/>
          <w:numId w:val="129"/>
        </w:numPr>
        <w:rPr>
          <w:noProof/>
        </w:rPr>
      </w:pPr>
      <w:r w:rsidRPr="00040F04">
        <w:rPr>
          <w:noProof/>
        </w:rPr>
        <w:t>To respond rapidly to situations of crisis, instability and conflict, including those that may result from migratory flows and forced displacement and hybrid threats, and to respond to resilience challenges, including natural and man-made disasters and the linking of humanitarian aid and development action, along with the EU’s foreign-policy needs and priorities.</w:t>
      </w:r>
    </w:p>
    <w:p w14:paraId="388F9250" w14:textId="77777777" w:rsidR="0018222F" w:rsidRPr="00040F04" w:rsidRDefault="0018222F" w:rsidP="0018222F">
      <w:pPr>
        <w:pStyle w:val="ppoListArabic1aiii-L1"/>
        <w:numPr>
          <w:ilvl w:val="0"/>
          <w:numId w:val="0"/>
        </w:numPr>
        <w:rPr>
          <w:noProof/>
        </w:rPr>
      </w:pPr>
      <w:r w:rsidRPr="00040F04">
        <w:rPr>
          <w:noProof/>
        </w:rPr>
        <w:t>NDICI–Global Europe strengthens specific priorities through horizontal targets.</w:t>
      </w:r>
    </w:p>
    <w:p w14:paraId="76ECE1F3" w14:textId="77777777" w:rsidR="0018222F" w:rsidRPr="00040F04" w:rsidRDefault="0018222F" w:rsidP="0018222F">
      <w:pPr>
        <w:pStyle w:val="ppoListHyphened-L1"/>
        <w:rPr>
          <w:noProof/>
        </w:rPr>
      </w:pPr>
      <w:r w:rsidRPr="00040F04">
        <w:rPr>
          <w:noProof/>
        </w:rPr>
        <w:t>At least 93% of expenditure should fulfil the criteria for official development assistance.</w:t>
      </w:r>
    </w:p>
    <w:p w14:paraId="78A50DC7" w14:textId="77777777" w:rsidR="0018222F" w:rsidRPr="00040F04" w:rsidRDefault="0018222F" w:rsidP="0018222F">
      <w:pPr>
        <w:pStyle w:val="ppoListHyphened-L1"/>
        <w:rPr>
          <w:noProof/>
        </w:rPr>
      </w:pPr>
      <w:r w:rsidRPr="00040F04">
        <w:rPr>
          <w:noProof/>
        </w:rPr>
        <w:t>At least 20% of official development assistance spending should be dedicated to social inclusion and human development.</w:t>
      </w:r>
    </w:p>
    <w:p w14:paraId="6F0E77B6" w14:textId="77777777" w:rsidR="0018222F" w:rsidRPr="00040F04" w:rsidRDefault="0018222F" w:rsidP="0018222F">
      <w:pPr>
        <w:pStyle w:val="ppoListHyphened-L1"/>
        <w:rPr>
          <w:noProof/>
        </w:rPr>
      </w:pPr>
      <w:r w:rsidRPr="00040F04">
        <w:rPr>
          <w:noProof/>
        </w:rPr>
        <w:t>30% of NDICI–Global Europe should contribute to climate-change objectives, while also contributing to the ambition of providing 7.5% of annual spending under the multiannual financial framework to biodiversity objectives in the year 2024 and 10% in 2026 and 2027, while considering the existing overlaps between climate and biodiversity goals.</w:t>
      </w:r>
    </w:p>
    <w:p w14:paraId="19137B07" w14:textId="77777777" w:rsidR="0018222F" w:rsidRPr="00040F04" w:rsidRDefault="0018222F" w:rsidP="0018222F">
      <w:pPr>
        <w:pStyle w:val="ppoListHyphened-L1"/>
        <w:rPr>
          <w:noProof/>
        </w:rPr>
      </w:pPr>
      <w:r w:rsidRPr="00040F04">
        <w:rPr>
          <w:noProof/>
        </w:rPr>
        <w:t xml:space="preserve">Indicatively, 10% of NDICI–Global Europe </w:t>
      </w:r>
      <w:bookmarkStart w:id="234" w:name="_Hlk100914792"/>
      <w:r w:rsidRPr="00040F04">
        <w:rPr>
          <w:noProof/>
        </w:rPr>
        <w:t xml:space="preserve">should </w:t>
      </w:r>
      <w:bookmarkEnd w:id="234"/>
      <w:r w:rsidRPr="00040F04">
        <w:rPr>
          <w:noProof/>
        </w:rPr>
        <w:t>be dedicated to action supporting the management and governance of migration and forced displacement, and addressing the root causes of irregular migration and forced displacement when they directly target specific migration challenges.</w:t>
      </w:r>
    </w:p>
    <w:p w14:paraId="1B638367" w14:textId="77777777" w:rsidR="0018222F" w:rsidRPr="00040F04" w:rsidRDefault="0018222F" w:rsidP="0018222F">
      <w:pPr>
        <w:pStyle w:val="ppoListHyphened-L1"/>
        <w:rPr>
          <w:noProof/>
        </w:rPr>
      </w:pPr>
      <w:r w:rsidRPr="00040F04">
        <w:rPr>
          <w:noProof/>
        </w:rPr>
        <w:t>At least 85% of new measures should have gender equality as a principal or a significant objective. At least 5% of these measures should have gender equality and women’s and girls’ rights and empowerment as a principal objective. Finally, there are two additional thematic spending targets for geographic programmes: at least 15% for human rights, democracy and good governance; and at least 45% for inclusive and sustainable growth for human development.</w:t>
      </w:r>
    </w:p>
    <w:p w14:paraId="53B4C150" w14:textId="77777777" w:rsidR="0018222F" w:rsidRPr="00040F04" w:rsidRDefault="0018222F" w:rsidP="0018222F">
      <w:pPr>
        <w:pStyle w:val="ppoListHyphened-L1"/>
        <w:numPr>
          <w:ilvl w:val="0"/>
          <w:numId w:val="0"/>
        </w:numPr>
        <w:ind w:left="357"/>
        <w:rPr>
          <w:rFonts w:eastAsiaTheme="majorEastAsia" w:cstheme="majorBidi"/>
          <w:caps/>
          <w:noProof/>
          <w:sz w:val="32"/>
          <w:szCs w:val="24"/>
          <w:lang w:eastAsia="en-GB"/>
        </w:rPr>
      </w:pPr>
      <w:r w:rsidRPr="00040F04">
        <w:rPr>
          <w:rFonts w:eastAsiaTheme="majorEastAsia" w:cstheme="majorBidi"/>
          <w:caps/>
          <w:noProof/>
          <w:sz w:val="32"/>
          <w:szCs w:val="24"/>
          <w:lang w:eastAsia="en-GB"/>
        </w:rPr>
        <w:t>Actions</w:t>
      </w:r>
    </w:p>
    <w:p w14:paraId="5868EB0F" w14:textId="77777777" w:rsidR="0018222F" w:rsidRPr="00040F04" w:rsidRDefault="0018222F" w:rsidP="0018222F">
      <w:pPr>
        <w:rPr>
          <w:noProof/>
        </w:rPr>
      </w:pPr>
      <w:r w:rsidRPr="00040F04">
        <w:rPr>
          <w:noProof/>
        </w:rPr>
        <w:t>In line with its specific objectives, NDICI–Global Europe operates through three pillars:</w:t>
      </w:r>
    </w:p>
    <w:p w14:paraId="4C0E85DA" w14:textId="77777777" w:rsidR="0018222F" w:rsidRPr="00040F04" w:rsidRDefault="0018222F" w:rsidP="0018222F">
      <w:pPr>
        <w:pStyle w:val="ppoListHyphened-L1"/>
        <w:rPr>
          <w:noProof/>
        </w:rPr>
      </w:pPr>
      <w:r w:rsidRPr="00040F04">
        <w:rPr>
          <w:noProof/>
        </w:rPr>
        <w:t>a geographical pillar, grouping cooperation into regional envelopes;</w:t>
      </w:r>
    </w:p>
    <w:p w14:paraId="6431C925" w14:textId="77777777" w:rsidR="0018222F" w:rsidRPr="00040F04" w:rsidRDefault="0018222F" w:rsidP="0018222F">
      <w:pPr>
        <w:pStyle w:val="ppoListHyphened-L1"/>
        <w:rPr>
          <w:noProof/>
        </w:rPr>
      </w:pPr>
      <w:r w:rsidRPr="00040F04">
        <w:rPr>
          <w:noProof/>
        </w:rPr>
        <w:t>a thematic pillar, complementing the geographic pillar with global thematic programmes, such as on human rights and democracy, civil-society organisations, peace, stability and conflict prevention, and global challenges;</w:t>
      </w:r>
    </w:p>
    <w:p w14:paraId="64FE7F2F" w14:textId="77777777" w:rsidR="0018222F" w:rsidRPr="00040F04" w:rsidRDefault="0018222F" w:rsidP="0018222F">
      <w:pPr>
        <w:pStyle w:val="ppoListHyphened-L1"/>
        <w:rPr>
          <w:noProof/>
        </w:rPr>
      </w:pPr>
      <w:r w:rsidRPr="00040F04">
        <w:rPr>
          <w:noProof/>
        </w:rPr>
        <w:t>a non-programmable rapid response pillar, dealing with crisis response, resilience and linking humanitarian and development nexuses and EU foreign policy needs and priorities.</w:t>
      </w:r>
    </w:p>
    <w:p w14:paraId="126219C0" w14:textId="77777777" w:rsidR="0018222F" w:rsidRPr="00040F04" w:rsidRDefault="0018222F" w:rsidP="0018222F">
      <w:pPr>
        <w:rPr>
          <w:noProof/>
        </w:rPr>
      </w:pPr>
      <w:r w:rsidRPr="00040F04">
        <w:rPr>
          <w:noProof/>
        </w:rPr>
        <w:t xml:space="preserve">NDICI–Global Europe also has a buffer reserve for emerging challenges and priorities that can top up any of the three pillars above. Through the External Action Guarantee, NDICI–Global Europe may raise additional financial resources from the private sector to support financing and investment operations in all its geographical areas, with special attention paid to </w:t>
      </w:r>
      <w:r w:rsidRPr="00682425">
        <w:rPr>
          <w:noProof/>
        </w:rPr>
        <w:t>le</w:t>
      </w:r>
      <w:r>
        <w:rPr>
          <w:noProof/>
        </w:rPr>
        <w:t>ast</w:t>
      </w:r>
      <w:r w:rsidRPr="00682425">
        <w:rPr>
          <w:noProof/>
        </w:rPr>
        <w:t>-developed</w:t>
      </w:r>
      <w:r w:rsidRPr="00040F04">
        <w:rPr>
          <w:noProof/>
        </w:rPr>
        <w:t xml:space="preserve"> countries and countries experiencing fragility and conflict.</w:t>
      </w:r>
    </w:p>
    <w:p w14:paraId="58828EE6" w14:textId="77777777" w:rsidR="0018222F" w:rsidRPr="00040F04" w:rsidRDefault="0018222F" w:rsidP="0018222F">
      <w:pPr>
        <w:pStyle w:val="ppoListHyphened-L1"/>
        <w:numPr>
          <w:ilvl w:val="0"/>
          <w:numId w:val="0"/>
        </w:numPr>
        <w:ind w:left="357"/>
        <w:rPr>
          <w:rFonts w:eastAsiaTheme="majorEastAsia" w:cstheme="majorBidi"/>
          <w:caps/>
          <w:noProof/>
          <w:sz w:val="32"/>
          <w:szCs w:val="24"/>
          <w:lang w:eastAsia="en-GB"/>
        </w:rPr>
      </w:pPr>
      <w:r w:rsidRPr="00040F04">
        <w:rPr>
          <w:rFonts w:eastAsiaTheme="majorEastAsia" w:cstheme="majorBidi"/>
          <w:caps/>
          <w:noProof/>
          <w:sz w:val="32"/>
          <w:szCs w:val="24"/>
          <w:lang w:eastAsia="en-GB"/>
        </w:rPr>
        <w:t>Delivery mode</w:t>
      </w:r>
    </w:p>
    <w:p w14:paraId="23B0F795" w14:textId="77777777" w:rsidR="0018222F" w:rsidRPr="00040F04" w:rsidRDefault="0018222F" w:rsidP="0018222F">
      <w:pPr>
        <w:rPr>
          <w:noProof/>
        </w:rPr>
      </w:pPr>
      <w:r w:rsidRPr="00040F04">
        <w:rPr>
          <w:noProof/>
        </w:rPr>
        <w:t>NDICI–Global Europe is implemented under direct management by the Commission (centrally and through the EU delegations) and through indirect management by entities, such as the EU Member State agencies, international organisations or partner countries. In addition, financial instruments are designed in partnership with the European Investment Bank, Member State financial institutions or other European and international development financial institutions. The lead services involved in implementing the instrument are DG Neighbourhood and Enlargement Negotiations,</w:t>
      </w:r>
      <w:r w:rsidRPr="00040F04" w:rsidDel="00C10197">
        <w:rPr>
          <w:noProof/>
        </w:rPr>
        <w:t xml:space="preserve"> </w:t>
      </w:r>
      <w:r w:rsidRPr="00040F04">
        <w:rPr>
          <w:noProof/>
        </w:rPr>
        <w:t>DG International Partnerships and the Service for Foreign Policy Instruments, in cooperation with the European External Action Service</w:t>
      </w:r>
      <w:r w:rsidRPr="00040F04" w:rsidDel="00C10197">
        <w:rPr>
          <w:noProof/>
        </w:rPr>
        <w:t xml:space="preserve"> </w:t>
      </w:r>
      <w:r w:rsidRPr="00040F04">
        <w:rPr>
          <w:noProof/>
        </w:rPr>
        <w:t>and other line directorates-general, especially in relation to the external dimensions of internal policies such as climate, energy, trade, digital and education.</w:t>
      </w:r>
    </w:p>
    <w:p w14:paraId="5716C36E" w14:textId="77777777" w:rsidR="0018222F" w:rsidRPr="00040F04" w:rsidRDefault="0018222F" w:rsidP="0018222F">
      <w:pPr>
        <w:pStyle w:val="ppoHeading6"/>
        <w:rPr>
          <w:noProof/>
        </w:rPr>
      </w:pPr>
      <w:r w:rsidRPr="00040F04">
        <w:rPr>
          <w:noProof/>
        </w:rPr>
        <w:t>LINK TO THE 2014-2020 multiannual financial framework</w:t>
      </w:r>
    </w:p>
    <w:p w14:paraId="1F54248F" w14:textId="77777777" w:rsidR="0018222F" w:rsidRPr="00040F04" w:rsidRDefault="0018222F" w:rsidP="0018222F">
      <w:pPr>
        <w:rPr>
          <w:noProof/>
        </w:rPr>
      </w:pPr>
      <w:r w:rsidRPr="00040F04">
        <w:rPr>
          <w:noProof/>
        </w:rPr>
        <w:t>The programme groups together a number of EU budget instruments from the 2014</w:t>
      </w:r>
      <w:r w:rsidRPr="00040F04">
        <w:rPr>
          <w:noProof/>
        </w:rPr>
        <w:noBreakHyphen/>
        <w:t>2020 multiannual financial framework, including the Development Cooperation Instrument and the European Neighbourhood Instrument. In addition, African, Caribbean and Pacific countries formerly covered under the off-budget European Development Fund are now also covered by the EU budget. Having such a comprehensive instrument will allow the EU to carry out better, more comprehensive external action and to deliver better results.</w:t>
      </w:r>
    </w:p>
    <w:p w14:paraId="7A0B545E" w14:textId="77777777" w:rsidR="0018222F" w:rsidRPr="00040F04" w:rsidRDefault="0018222F" w:rsidP="0018222F">
      <w:pPr>
        <w:pStyle w:val="ppoHeading6"/>
        <w:rPr>
          <w:noProof/>
        </w:rPr>
      </w:pPr>
      <w:r w:rsidRPr="00040F04">
        <w:rPr>
          <w:noProof/>
        </w:rPr>
        <w:t>Impact assessment</w:t>
      </w:r>
    </w:p>
    <w:p w14:paraId="1FB092DC" w14:textId="77777777" w:rsidR="0018222F" w:rsidRPr="00040F04" w:rsidRDefault="0018222F" w:rsidP="0018222F">
      <w:pPr>
        <w:rPr>
          <w:noProof/>
        </w:rPr>
      </w:pPr>
      <w:r w:rsidRPr="00040F04">
        <w:rPr>
          <w:noProof/>
        </w:rPr>
        <w:t>The impact assessment of the NDICI was carried out in 2018.</w:t>
      </w:r>
    </w:p>
    <w:p w14:paraId="53FECD60" w14:textId="77777777" w:rsidR="0018222F" w:rsidRPr="00040F04" w:rsidRDefault="0018222F" w:rsidP="0018222F">
      <w:pPr>
        <w:rPr>
          <w:noProof/>
        </w:rPr>
      </w:pPr>
      <w:r w:rsidRPr="00040F04">
        <w:rPr>
          <w:noProof/>
        </w:rPr>
        <w:t xml:space="preserve">For further information please consult: </w:t>
      </w:r>
      <w:hyperlink r:id="rId526" w:history="1">
        <w:r w:rsidRPr="00040F04">
          <w:rPr>
            <w:rStyle w:val="Hyperlink"/>
            <w:noProof/>
          </w:rPr>
          <w:t>https://europa.eu/!gh96VH</w:t>
        </w:r>
      </w:hyperlink>
    </w:p>
    <w:p w14:paraId="7119B257" w14:textId="77777777" w:rsidR="0018222F" w:rsidRPr="00040F04" w:rsidRDefault="0018222F" w:rsidP="0018222F">
      <w:pPr>
        <w:pStyle w:val="ppoHeading6"/>
        <w:rPr>
          <w:noProof/>
        </w:rPr>
      </w:pPr>
      <w:r w:rsidRPr="00040F04">
        <w:rPr>
          <w:noProof/>
        </w:rPr>
        <w:t>WEBSITE FOR more information</w:t>
      </w:r>
    </w:p>
    <w:p w14:paraId="01DBA4FA" w14:textId="77777777" w:rsidR="0018222F" w:rsidRPr="00040F04" w:rsidRDefault="00E01E9B" w:rsidP="0018222F">
      <w:pPr>
        <w:rPr>
          <w:noProof/>
        </w:rPr>
      </w:pPr>
      <w:hyperlink r:id="rId527" w:history="1">
        <w:r w:rsidR="0018222F" w:rsidRPr="00040F04">
          <w:rPr>
            <w:rStyle w:val="Hyperlink"/>
            <w:noProof/>
          </w:rPr>
          <w:t>https://europa.eu/!Bj46Qc</w:t>
        </w:r>
      </w:hyperlink>
    </w:p>
    <w:p w14:paraId="6254B78D" w14:textId="77777777" w:rsidR="0018222F" w:rsidRPr="00040F04" w:rsidRDefault="0018222F" w:rsidP="0018222F">
      <w:pPr>
        <w:pStyle w:val="ppoHeading5"/>
        <w:rPr>
          <w:noProof/>
        </w:rPr>
      </w:pPr>
      <w:r w:rsidRPr="00040F04">
        <w:rPr>
          <w:rFonts w:eastAsiaTheme="minorEastAsia"/>
          <w:noProof/>
        </w:rPr>
        <w:t>Legal basis</w:t>
      </w:r>
    </w:p>
    <w:p w14:paraId="671286EC" w14:textId="77777777" w:rsidR="0018222F" w:rsidRPr="00040F04" w:rsidRDefault="0018222F" w:rsidP="0018222F">
      <w:pPr>
        <w:rPr>
          <w:noProof/>
        </w:rPr>
      </w:pPr>
      <w:r w:rsidRPr="00040F04">
        <w:rPr>
          <w:noProof/>
        </w:rPr>
        <w:t>Regulation (EU) 2021/947 of the European Parliament and of the Council.</w:t>
      </w:r>
    </w:p>
    <w:p w14:paraId="4CCEEF63" w14:textId="77777777" w:rsidR="0018222F" w:rsidRPr="00040F04" w:rsidRDefault="0018222F" w:rsidP="0018222F">
      <w:pPr>
        <w:pStyle w:val="ppoHeading4Red"/>
        <w:rPr>
          <w:caps/>
          <w:noProof/>
        </w:rPr>
      </w:pPr>
      <w:r w:rsidRPr="00040F04">
        <w:rPr>
          <w:noProof/>
        </w:rPr>
        <w:t>Implementation and performance</w:t>
      </w:r>
    </w:p>
    <w:p w14:paraId="39C29922" w14:textId="77777777" w:rsidR="0018222F" w:rsidRPr="00040F04" w:rsidRDefault="0018222F" w:rsidP="0018222F">
      <w:pPr>
        <w:pStyle w:val="ppoHeading5"/>
        <w:rPr>
          <w:noProof/>
        </w:rPr>
      </w:pPr>
      <w:r w:rsidRPr="00040F04">
        <w:rPr>
          <w:noProof/>
        </w:rPr>
        <w:t>Budget implementation</w:t>
      </w:r>
    </w:p>
    <w:p w14:paraId="797983F7" w14:textId="77777777" w:rsidR="0018222F" w:rsidRPr="00040F04" w:rsidRDefault="0018222F" w:rsidP="0018222F">
      <w:pPr>
        <w:pStyle w:val="ppoTableTabletitle"/>
        <w:rPr>
          <w:noProof/>
        </w:rPr>
      </w:pPr>
      <w:r w:rsidRPr="00040F04">
        <w:rPr>
          <w:noProof/>
        </w:rPr>
        <w:t>Budget programming (million EUR):</w:t>
      </w:r>
    </w:p>
    <w:tbl>
      <w:tblPr>
        <w:tblStyle w:val="PPO2021"/>
        <w:tblW w:w="9639" w:type="dxa"/>
        <w:tblInd w:w="0" w:type="dxa"/>
        <w:tblLayout w:type="fixed"/>
        <w:tblLook w:val="0420" w:firstRow="1" w:lastRow="0" w:firstColumn="0" w:lastColumn="0" w:noHBand="0" w:noVBand="1"/>
      </w:tblPr>
      <w:tblGrid>
        <w:gridCol w:w="1986"/>
        <w:gridCol w:w="1047"/>
        <w:gridCol w:w="944"/>
        <w:gridCol w:w="943"/>
        <w:gridCol w:w="944"/>
        <w:gridCol w:w="944"/>
        <w:gridCol w:w="943"/>
        <w:gridCol w:w="944"/>
        <w:gridCol w:w="944"/>
      </w:tblGrid>
      <w:tr w:rsidR="0018222F" w:rsidRPr="00040F04" w14:paraId="59A71356" w14:textId="77777777" w:rsidTr="0083214A">
        <w:trPr>
          <w:cnfStyle w:val="100000000000" w:firstRow="1" w:lastRow="0" w:firstColumn="0" w:lastColumn="0" w:oddVBand="0" w:evenVBand="0" w:oddHBand="0" w:evenHBand="0" w:firstRowFirstColumn="0" w:firstRowLastColumn="0" w:lastRowFirstColumn="0" w:lastRowLastColumn="0"/>
          <w:trHeight w:val="290"/>
          <w:tblHeader/>
        </w:trPr>
        <w:tc>
          <w:tcPr>
            <w:tcW w:w="1986" w:type="dxa"/>
            <w:noWrap/>
            <w:hideMark/>
          </w:tcPr>
          <w:p w14:paraId="45C89A09" w14:textId="77777777" w:rsidR="0018222F" w:rsidRPr="00040F04" w:rsidRDefault="0018222F" w:rsidP="0083214A">
            <w:pPr>
              <w:rPr>
                <w:noProof/>
              </w:rPr>
            </w:pPr>
          </w:p>
        </w:tc>
        <w:tc>
          <w:tcPr>
            <w:tcW w:w="1047" w:type="dxa"/>
            <w:noWrap/>
            <w:hideMark/>
          </w:tcPr>
          <w:p w14:paraId="3BCA1620" w14:textId="77777777" w:rsidR="0018222F" w:rsidRPr="00040F04" w:rsidRDefault="0018222F" w:rsidP="0083214A">
            <w:pPr>
              <w:rPr>
                <w:noProof/>
              </w:rPr>
            </w:pPr>
            <w:r w:rsidRPr="00040F04">
              <w:rPr>
                <w:noProof/>
              </w:rPr>
              <w:t>2021</w:t>
            </w:r>
          </w:p>
        </w:tc>
        <w:tc>
          <w:tcPr>
            <w:tcW w:w="944" w:type="dxa"/>
            <w:noWrap/>
            <w:hideMark/>
          </w:tcPr>
          <w:p w14:paraId="52BF8EB5" w14:textId="77777777" w:rsidR="0018222F" w:rsidRPr="00040F04" w:rsidRDefault="0018222F" w:rsidP="0083214A">
            <w:pPr>
              <w:rPr>
                <w:noProof/>
              </w:rPr>
            </w:pPr>
            <w:r w:rsidRPr="00040F04">
              <w:rPr>
                <w:noProof/>
              </w:rPr>
              <w:t>2022</w:t>
            </w:r>
          </w:p>
        </w:tc>
        <w:tc>
          <w:tcPr>
            <w:tcW w:w="943" w:type="dxa"/>
            <w:noWrap/>
            <w:hideMark/>
          </w:tcPr>
          <w:p w14:paraId="19D2A1BA" w14:textId="77777777" w:rsidR="0018222F" w:rsidRPr="00040F04" w:rsidRDefault="0018222F" w:rsidP="0083214A">
            <w:pPr>
              <w:rPr>
                <w:noProof/>
              </w:rPr>
            </w:pPr>
            <w:r w:rsidRPr="00040F04">
              <w:rPr>
                <w:noProof/>
              </w:rPr>
              <w:t>2023</w:t>
            </w:r>
          </w:p>
        </w:tc>
        <w:tc>
          <w:tcPr>
            <w:tcW w:w="944" w:type="dxa"/>
            <w:noWrap/>
            <w:hideMark/>
          </w:tcPr>
          <w:p w14:paraId="40932C98" w14:textId="77777777" w:rsidR="0018222F" w:rsidRPr="00040F04" w:rsidRDefault="0018222F" w:rsidP="0083214A">
            <w:pPr>
              <w:rPr>
                <w:noProof/>
              </w:rPr>
            </w:pPr>
            <w:r w:rsidRPr="00040F04">
              <w:rPr>
                <w:noProof/>
              </w:rPr>
              <w:t>2024</w:t>
            </w:r>
          </w:p>
        </w:tc>
        <w:tc>
          <w:tcPr>
            <w:tcW w:w="944" w:type="dxa"/>
            <w:noWrap/>
            <w:hideMark/>
          </w:tcPr>
          <w:p w14:paraId="69229CC2" w14:textId="77777777" w:rsidR="0018222F" w:rsidRPr="00040F04" w:rsidRDefault="0018222F" w:rsidP="0083214A">
            <w:pPr>
              <w:rPr>
                <w:noProof/>
              </w:rPr>
            </w:pPr>
            <w:r w:rsidRPr="00040F04">
              <w:rPr>
                <w:noProof/>
              </w:rPr>
              <w:t>2025</w:t>
            </w:r>
          </w:p>
        </w:tc>
        <w:tc>
          <w:tcPr>
            <w:tcW w:w="943" w:type="dxa"/>
            <w:noWrap/>
            <w:hideMark/>
          </w:tcPr>
          <w:p w14:paraId="6FE49AA3" w14:textId="77777777" w:rsidR="0018222F" w:rsidRPr="00040F04" w:rsidRDefault="0018222F" w:rsidP="0083214A">
            <w:pPr>
              <w:rPr>
                <w:noProof/>
              </w:rPr>
            </w:pPr>
            <w:r w:rsidRPr="00040F04">
              <w:rPr>
                <w:noProof/>
              </w:rPr>
              <w:t>2026</w:t>
            </w:r>
          </w:p>
        </w:tc>
        <w:tc>
          <w:tcPr>
            <w:tcW w:w="944" w:type="dxa"/>
            <w:noWrap/>
            <w:hideMark/>
          </w:tcPr>
          <w:p w14:paraId="300D4917" w14:textId="77777777" w:rsidR="0018222F" w:rsidRPr="00040F04" w:rsidRDefault="0018222F" w:rsidP="0083214A">
            <w:pPr>
              <w:rPr>
                <w:noProof/>
              </w:rPr>
            </w:pPr>
            <w:r w:rsidRPr="00040F04">
              <w:rPr>
                <w:noProof/>
              </w:rPr>
              <w:t>2027</w:t>
            </w:r>
          </w:p>
        </w:tc>
        <w:tc>
          <w:tcPr>
            <w:tcW w:w="944" w:type="dxa"/>
            <w:noWrap/>
            <w:hideMark/>
          </w:tcPr>
          <w:p w14:paraId="08B9C429" w14:textId="77777777" w:rsidR="0018222F" w:rsidRPr="00040F04" w:rsidRDefault="0018222F" w:rsidP="0083214A">
            <w:pPr>
              <w:rPr>
                <w:noProof/>
              </w:rPr>
            </w:pPr>
            <w:r w:rsidRPr="00040F04">
              <w:rPr>
                <w:noProof/>
              </w:rPr>
              <w:t>Total</w:t>
            </w:r>
          </w:p>
        </w:tc>
      </w:tr>
      <w:tr w:rsidR="00DD5E66" w:rsidRPr="00040F04" w14:paraId="58E0C008" w14:textId="77777777" w:rsidTr="006F409B">
        <w:trPr>
          <w:cnfStyle w:val="000000100000" w:firstRow="0" w:lastRow="0" w:firstColumn="0" w:lastColumn="0" w:oddVBand="0" w:evenVBand="0" w:oddHBand="1" w:evenHBand="0" w:firstRowFirstColumn="0" w:firstRowLastColumn="0" w:lastRowFirstColumn="0" w:lastRowLastColumn="0"/>
          <w:trHeight w:val="290"/>
        </w:trPr>
        <w:tc>
          <w:tcPr>
            <w:tcW w:w="1986" w:type="dxa"/>
            <w:noWrap/>
            <w:hideMark/>
          </w:tcPr>
          <w:p w14:paraId="799DBE27" w14:textId="77777777" w:rsidR="00DD5E66" w:rsidRPr="00040F04" w:rsidRDefault="00DD5E66" w:rsidP="00DD5E66">
            <w:pPr>
              <w:rPr>
                <w:noProof/>
              </w:rPr>
            </w:pPr>
            <w:r w:rsidRPr="00040F04">
              <w:rPr>
                <w:noProof/>
              </w:rPr>
              <w:t>Financial programming</w:t>
            </w:r>
          </w:p>
        </w:tc>
        <w:tc>
          <w:tcPr>
            <w:tcW w:w="1047" w:type="dxa"/>
            <w:noWrap/>
            <w:hideMark/>
          </w:tcPr>
          <w:p w14:paraId="3394DE4C" w14:textId="77777777" w:rsidR="00DD5E66" w:rsidRPr="00040F04" w:rsidRDefault="00DD5E66" w:rsidP="00DD5E66">
            <w:pPr>
              <w:jc w:val="center"/>
              <w:rPr>
                <w:noProof/>
                <w:sz w:val="18"/>
                <w:szCs w:val="18"/>
              </w:rPr>
            </w:pPr>
            <w:r w:rsidRPr="00040F04">
              <w:rPr>
                <w:noProof/>
                <w:sz w:val="18"/>
                <w:szCs w:val="18"/>
              </w:rPr>
              <w:t>12</w:t>
            </w:r>
            <w:r w:rsidRPr="00040F04">
              <w:rPr>
                <w:rFonts w:ascii="Calibri" w:hAnsi="Calibri" w:cs="Calibri"/>
                <w:noProof/>
                <w:sz w:val="18"/>
                <w:szCs w:val="18"/>
              </w:rPr>
              <w:t> </w:t>
            </w:r>
            <w:r w:rsidRPr="00040F04">
              <w:rPr>
                <w:noProof/>
                <w:sz w:val="18"/>
                <w:szCs w:val="18"/>
              </w:rPr>
              <w:t>411.3</w:t>
            </w:r>
          </w:p>
        </w:tc>
        <w:tc>
          <w:tcPr>
            <w:tcW w:w="944" w:type="dxa"/>
            <w:noWrap/>
            <w:hideMark/>
          </w:tcPr>
          <w:p w14:paraId="7120D476" w14:textId="77777777" w:rsidR="00DD5E66" w:rsidRPr="00040F04" w:rsidRDefault="00DD5E66" w:rsidP="00DD5E66">
            <w:pPr>
              <w:jc w:val="center"/>
              <w:rPr>
                <w:noProof/>
                <w:sz w:val="18"/>
                <w:szCs w:val="18"/>
              </w:rPr>
            </w:pPr>
            <w:r w:rsidRPr="00040F04">
              <w:rPr>
                <w:noProof/>
                <w:sz w:val="18"/>
                <w:szCs w:val="18"/>
              </w:rPr>
              <w:t>12</w:t>
            </w:r>
            <w:r w:rsidRPr="00040F04">
              <w:rPr>
                <w:rFonts w:ascii="Calibri" w:hAnsi="Calibri" w:cs="Calibri"/>
                <w:noProof/>
                <w:sz w:val="18"/>
                <w:szCs w:val="18"/>
              </w:rPr>
              <w:t> </w:t>
            </w:r>
            <w:r w:rsidRPr="00040F04">
              <w:rPr>
                <w:noProof/>
                <w:sz w:val="18"/>
                <w:szCs w:val="18"/>
              </w:rPr>
              <w:t>716.6</w:t>
            </w:r>
          </w:p>
        </w:tc>
        <w:tc>
          <w:tcPr>
            <w:tcW w:w="943" w:type="dxa"/>
            <w:noWrap/>
            <w:hideMark/>
          </w:tcPr>
          <w:p w14:paraId="13839E51" w14:textId="2605276C" w:rsidR="00DD5E66" w:rsidRPr="00040F04" w:rsidRDefault="00DD5E66" w:rsidP="00DD5E66">
            <w:pPr>
              <w:jc w:val="center"/>
              <w:rPr>
                <w:noProof/>
                <w:sz w:val="18"/>
                <w:szCs w:val="18"/>
              </w:rPr>
            </w:pPr>
            <w:r w:rsidRPr="00B779BB">
              <w:rPr>
                <w:noProof/>
              </w:rPr>
              <w:t>11 970.8</w:t>
            </w:r>
          </w:p>
        </w:tc>
        <w:tc>
          <w:tcPr>
            <w:tcW w:w="944" w:type="dxa"/>
            <w:noWrap/>
            <w:hideMark/>
          </w:tcPr>
          <w:p w14:paraId="3B5D4F2F" w14:textId="0A4BC85F" w:rsidR="00DD5E66" w:rsidRPr="00040F04" w:rsidRDefault="00DD5E66" w:rsidP="00DD5E66">
            <w:pPr>
              <w:jc w:val="center"/>
              <w:rPr>
                <w:noProof/>
                <w:sz w:val="18"/>
                <w:szCs w:val="18"/>
              </w:rPr>
            </w:pPr>
            <w:r w:rsidRPr="00B779BB">
              <w:rPr>
                <w:noProof/>
              </w:rPr>
              <w:t>11 373.9</w:t>
            </w:r>
          </w:p>
        </w:tc>
        <w:tc>
          <w:tcPr>
            <w:tcW w:w="944" w:type="dxa"/>
            <w:noWrap/>
            <w:vAlign w:val="bottom"/>
            <w:hideMark/>
          </w:tcPr>
          <w:p w14:paraId="05B39C0A" w14:textId="5E5C8434" w:rsidR="00DD5E66" w:rsidRPr="00040F04" w:rsidRDefault="00DD5E66" w:rsidP="00DD5E66">
            <w:pPr>
              <w:jc w:val="center"/>
              <w:rPr>
                <w:noProof/>
                <w:sz w:val="18"/>
                <w:szCs w:val="18"/>
              </w:rPr>
            </w:pPr>
            <w:r>
              <w:rPr>
                <w:rFonts w:ascii="Calibri" w:hAnsi="Calibri" w:cs="Calibri"/>
                <w:noProof/>
                <w:color w:val="000000"/>
              </w:rPr>
              <w:t>10 700.9</w:t>
            </w:r>
          </w:p>
        </w:tc>
        <w:tc>
          <w:tcPr>
            <w:tcW w:w="943" w:type="dxa"/>
            <w:noWrap/>
            <w:vAlign w:val="bottom"/>
            <w:hideMark/>
          </w:tcPr>
          <w:p w14:paraId="5675D691" w14:textId="1E48A386" w:rsidR="00DD5E66" w:rsidRPr="00040F04" w:rsidRDefault="00DD5E66" w:rsidP="00DD5E66">
            <w:pPr>
              <w:jc w:val="center"/>
              <w:rPr>
                <w:noProof/>
                <w:sz w:val="18"/>
                <w:szCs w:val="18"/>
              </w:rPr>
            </w:pPr>
            <w:r>
              <w:rPr>
                <w:rFonts w:ascii="Calibri" w:hAnsi="Calibri" w:cs="Calibri"/>
                <w:noProof/>
                <w:color w:val="000000"/>
              </w:rPr>
              <w:t>10 052.0</w:t>
            </w:r>
          </w:p>
        </w:tc>
        <w:tc>
          <w:tcPr>
            <w:tcW w:w="944" w:type="dxa"/>
            <w:noWrap/>
            <w:vAlign w:val="bottom"/>
            <w:hideMark/>
          </w:tcPr>
          <w:p w14:paraId="01B55597" w14:textId="63B5FCFB" w:rsidR="00DD5E66" w:rsidRPr="00040F04" w:rsidRDefault="00DD5E66" w:rsidP="00DD5E66">
            <w:pPr>
              <w:jc w:val="center"/>
              <w:rPr>
                <w:noProof/>
                <w:sz w:val="18"/>
                <w:szCs w:val="18"/>
              </w:rPr>
            </w:pPr>
            <w:r>
              <w:rPr>
                <w:rFonts w:ascii="Calibri" w:hAnsi="Calibri" w:cs="Calibri"/>
                <w:noProof/>
                <w:color w:val="000000"/>
              </w:rPr>
              <w:t>10 524.9</w:t>
            </w:r>
          </w:p>
        </w:tc>
        <w:tc>
          <w:tcPr>
            <w:tcW w:w="944" w:type="dxa"/>
            <w:noWrap/>
            <w:vAlign w:val="bottom"/>
            <w:hideMark/>
          </w:tcPr>
          <w:p w14:paraId="24A13E53" w14:textId="57B716F4" w:rsidR="00DD5E66" w:rsidRPr="00040F04" w:rsidRDefault="00DD5E66" w:rsidP="00DD5E66">
            <w:pPr>
              <w:jc w:val="center"/>
              <w:rPr>
                <w:noProof/>
                <w:sz w:val="18"/>
                <w:szCs w:val="18"/>
              </w:rPr>
            </w:pPr>
            <w:r>
              <w:rPr>
                <w:rFonts w:ascii="Calibri" w:hAnsi="Calibri" w:cs="Calibri"/>
                <w:noProof/>
                <w:color w:val="000000"/>
              </w:rPr>
              <w:t>79 750.3</w:t>
            </w:r>
          </w:p>
        </w:tc>
      </w:tr>
      <w:tr w:rsidR="0018222F" w:rsidRPr="00040F04" w14:paraId="201D5BF8"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1986" w:type="dxa"/>
            <w:noWrap/>
            <w:hideMark/>
          </w:tcPr>
          <w:p w14:paraId="4133E77F" w14:textId="77777777" w:rsidR="0018222F" w:rsidRPr="00040F04" w:rsidRDefault="0018222F" w:rsidP="0083214A">
            <w:pPr>
              <w:rPr>
                <w:noProof/>
              </w:rPr>
            </w:pPr>
            <w:r w:rsidRPr="00040F04">
              <w:rPr>
                <w:noProof/>
              </w:rPr>
              <w:t>NextGenerationEU</w:t>
            </w:r>
          </w:p>
        </w:tc>
        <w:tc>
          <w:tcPr>
            <w:tcW w:w="1047" w:type="dxa"/>
            <w:noWrap/>
          </w:tcPr>
          <w:p w14:paraId="7F44BEE3" w14:textId="25DB2E72" w:rsidR="0018222F" w:rsidRPr="00040F04" w:rsidRDefault="0018222F" w:rsidP="0083214A">
            <w:pPr>
              <w:jc w:val="center"/>
              <w:rPr>
                <w:noProof/>
                <w:sz w:val="18"/>
                <w:szCs w:val="18"/>
              </w:rPr>
            </w:pPr>
          </w:p>
        </w:tc>
        <w:tc>
          <w:tcPr>
            <w:tcW w:w="944" w:type="dxa"/>
            <w:noWrap/>
          </w:tcPr>
          <w:p w14:paraId="0B5BFCCF" w14:textId="6491925F" w:rsidR="0018222F" w:rsidRPr="00040F04" w:rsidRDefault="0018222F" w:rsidP="0083214A">
            <w:pPr>
              <w:jc w:val="center"/>
              <w:rPr>
                <w:noProof/>
                <w:sz w:val="18"/>
                <w:szCs w:val="18"/>
              </w:rPr>
            </w:pPr>
          </w:p>
        </w:tc>
        <w:tc>
          <w:tcPr>
            <w:tcW w:w="943" w:type="dxa"/>
            <w:noWrap/>
          </w:tcPr>
          <w:p w14:paraId="62FE4BDE" w14:textId="3FA920E0" w:rsidR="0018222F" w:rsidRPr="00040F04" w:rsidRDefault="0018222F" w:rsidP="0083214A">
            <w:pPr>
              <w:jc w:val="center"/>
              <w:rPr>
                <w:noProof/>
                <w:sz w:val="18"/>
                <w:szCs w:val="18"/>
              </w:rPr>
            </w:pPr>
          </w:p>
        </w:tc>
        <w:tc>
          <w:tcPr>
            <w:tcW w:w="944" w:type="dxa"/>
            <w:noWrap/>
          </w:tcPr>
          <w:p w14:paraId="50B1661B" w14:textId="565F0D76" w:rsidR="0018222F" w:rsidRPr="00040F04" w:rsidRDefault="0018222F" w:rsidP="0083214A">
            <w:pPr>
              <w:jc w:val="center"/>
              <w:rPr>
                <w:noProof/>
                <w:sz w:val="18"/>
                <w:szCs w:val="18"/>
              </w:rPr>
            </w:pPr>
          </w:p>
        </w:tc>
        <w:tc>
          <w:tcPr>
            <w:tcW w:w="944" w:type="dxa"/>
            <w:noWrap/>
          </w:tcPr>
          <w:p w14:paraId="40A6E736" w14:textId="17944AC6" w:rsidR="0018222F" w:rsidRPr="00040F04" w:rsidRDefault="0018222F" w:rsidP="0083214A">
            <w:pPr>
              <w:jc w:val="center"/>
              <w:rPr>
                <w:noProof/>
                <w:sz w:val="18"/>
                <w:szCs w:val="18"/>
              </w:rPr>
            </w:pPr>
          </w:p>
        </w:tc>
        <w:tc>
          <w:tcPr>
            <w:tcW w:w="943" w:type="dxa"/>
            <w:noWrap/>
          </w:tcPr>
          <w:p w14:paraId="5E00CE71" w14:textId="2F055EC7" w:rsidR="0018222F" w:rsidRPr="00040F04" w:rsidRDefault="0018222F" w:rsidP="0083214A">
            <w:pPr>
              <w:jc w:val="center"/>
              <w:rPr>
                <w:noProof/>
                <w:sz w:val="18"/>
                <w:szCs w:val="18"/>
              </w:rPr>
            </w:pPr>
          </w:p>
        </w:tc>
        <w:tc>
          <w:tcPr>
            <w:tcW w:w="944" w:type="dxa"/>
            <w:noWrap/>
          </w:tcPr>
          <w:p w14:paraId="5FFCBE5C" w14:textId="7C11D1C1" w:rsidR="0018222F" w:rsidRPr="00040F04" w:rsidRDefault="0018222F" w:rsidP="0083214A">
            <w:pPr>
              <w:jc w:val="center"/>
              <w:rPr>
                <w:noProof/>
                <w:sz w:val="18"/>
                <w:szCs w:val="18"/>
              </w:rPr>
            </w:pPr>
          </w:p>
        </w:tc>
        <w:tc>
          <w:tcPr>
            <w:tcW w:w="944" w:type="dxa"/>
            <w:noWrap/>
          </w:tcPr>
          <w:p w14:paraId="7E1FAC2E" w14:textId="52A8D4AB" w:rsidR="0018222F" w:rsidRPr="00040F04" w:rsidRDefault="0018222F" w:rsidP="0083214A">
            <w:pPr>
              <w:jc w:val="center"/>
              <w:rPr>
                <w:noProof/>
                <w:sz w:val="18"/>
                <w:szCs w:val="18"/>
              </w:rPr>
            </w:pPr>
          </w:p>
        </w:tc>
      </w:tr>
      <w:tr w:rsidR="0018222F" w:rsidRPr="00040F04" w14:paraId="4BDDDA40"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1986" w:type="dxa"/>
            <w:noWrap/>
            <w:hideMark/>
          </w:tcPr>
          <w:p w14:paraId="215E0B4B" w14:textId="23D66F58" w:rsidR="0018222F" w:rsidRPr="00040F04" w:rsidRDefault="0018222F" w:rsidP="0083214A">
            <w:pPr>
              <w:rPr>
                <w:noProof/>
              </w:rPr>
            </w:pPr>
            <w:bookmarkStart w:id="235" w:name="_Hlk100916385"/>
            <w:r w:rsidRPr="00040F04">
              <w:rPr>
                <w:noProof/>
              </w:rPr>
              <w:t>Decommitments made available again</w:t>
            </w:r>
            <w:r w:rsidRPr="00040F04">
              <w:rPr>
                <w:rFonts w:ascii="Calibri" w:hAnsi="Calibri" w:cs="Calibri"/>
                <w:noProof/>
              </w:rPr>
              <w:t> (</w:t>
            </w:r>
            <w:r w:rsidRPr="00040F04">
              <w:rPr>
                <w:noProof/>
              </w:rPr>
              <w:t>*)</w:t>
            </w:r>
            <w:bookmarkEnd w:id="235"/>
          </w:p>
        </w:tc>
        <w:tc>
          <w:tcPr>
            <w:tcW w:w="1047" w:type="dxa"/>
            <w:noWrap/>
            <w:hideMark/>
          </w:tcPr>
          <w:p w14:paraId="2FE3F9B0" w14:textId="31F39231" w:rsidR="0018222F" w:rsidRPr="00040F04" w:rsidRDefault="0018222F" w:rsidP="0083214A">
            <w:pPr>
              <w:jc w:val="center"/>
              <w:rPr>
                <w:noProof/>
                <w:sz w:val="18"/>
                <w:szCs w:val="18"/>
              </w:rPr>
            </w:pPr>
            <w:r>
              <w:rPr>
                <w:noProof/>
                <w:sz w:val="18"/>
                <w:szCs w:val="18"/>
              </w:rPr>
              <w:t>N/A</w:t>
            </w:r>
          </w:p>
        </w:tc>
        <w:tc>
          <w:tcPr>
            <w:tcW w:w="944" w:type="dxa"/>
            <w:noWrap/>
            <w:hideMark/>
          </w:tcPr>
          <w:p w14:paraId="57EEACAD" w14:textId="77777777" w:rsidR="0018222F" w:rsidRPr="00040F04" w:rsidRDefault="0018222F" w:rsidP="0083214A">
            <w:pPr>
              <w:jc w:val="center"/>
              <w:rPr>
                <w:noProof/>
                <w:sz w:val="18"/>
                <w:szCs w:val="18"/>
              </w:rPr>
            </w:pPr>
          </w:p>
        </w:tc>
        <w:tc>
          <w:tcPr>
            <w:tcW w:w="943" w:type="dxa"/>
            <w:noWrap/>
            <w:hideMark/>
          </w:tcPr>
          <w:p w14:paraId="7A635D95" w14:textId="77777777" w:rsidR="0018222F" w:rsidRPr="00040F04" w:rsidRDefault="0018222F" w:rsidP="0083214A">
            <w:pPr>
              <w:jc w:val="center"/>
              <w:rPr>
                <w:noProof/>
                <w:sz w:val="18"/>
                <w:szCs w:val="18"/>
              </w:rPr>
            </w:pPr>
          </w:p>
        </w:tc>
        <w:tc>
          <w:tcPr>
            <w:tcW w:w="944" w:type="dxa"/>
            <w:noWrap/>
            <w:hideMark/>
          </w:tcPr>
          <w:p w14:paraId="510A1D2E" w14:textId="77777777" w:rsidR="0018222F" w:rsidRPr="00040F04" w:rsidRDefault="0018222F" w:rsidP="0083214A">
            <w:pPr>
              <w:jc w:val="center"/>
              <w:rPr>
                <w:noProof/>
                <w:sz w:val="18"/>
                <w:szCs w:val="18"/>
              </w:rPr>
            </w:pPr>
          </w:p>
        </w:tc>
        <w:tc>
          <w:tcPr>
            <w:tcW w:w="944" w:type="dxa"/>
            <w:noWrap/>
            <w:hideMark/>
          </w:tcPr>
          <w:p w14:paraId="0C0E57E3" w14:textId="77777777" w:rsidR="0018222F" w:rsidRPr="00040F04" w:rsidRDefault="0018222F" w:rsidP="0083214A">
            <w:pPr>
              <w:jc w:val="center"/>
              <w:rPr>
                <w:noProof/>
                <w:sz w:val="18"/>
                <w:szCs w:val="18"/>
              </w:rPr>
            </w:pPr>
          </w:p>
        </w:tc>
        <w:tc>
          <w:tcPr>
            <w:tcW w:w="943" w:type="dxa"/>
            <w:noWrap/>
            <w:hideMark/>
          </w:tcPr>
          <w:p w14:paraId="1D4E61B4" w14:textId="77777777" w:rsidR="0018222F" w:rsidRPr="00040F04" w:rsidRDefault="0018222F" w:rsidP="0083214A">
            <w:pPr>
              <w:jc w:val="center"/>
              <w:rPr>
                <w:noProof/>
                <w:sz w:val="18"/>
                <w:szCs w:val="18"/>
              </w:rPr>
            </w:pPr>
          </w:p>
        </w:tc>
        <w:tc>
          <w:tcPr>
            <w:tcW w:w="944" w:type="dxa"/>
            <w:noWrap/>
            <w:hideMark/>
          </w:tcPr>
          <w:p w14:paraId="6306FFBE" w14:textId="77777777" w:rsidR="0018222F" w:rsidRPr="00040F04" w:rsidRDefault="0018222F" w:rsidP="0083214A">
            <w:pPr>
              <w:jc w:val="center"/>
              <w:rPr>
                <w:noProof/>
                <w:sz w:val="18"/>
                <w:szCs w:val="18"/>
              </w:rPr>
            </w:pPr>
          </w:p>
        </w:tc>
        <w:tc>
          <w:tcPr>
            <w:tcW w:w="944" w:type="dxa"/>
            <w:noWrap/>
            <w:hideMark/>
          </w:tcPr>
          <w:p w14:paraId="1E8E158F" w14:textId="683C351E" w:rsidR="0018222F" w:rsidRPr="00040F04" w:rsidRDefault="0018222F" w:rsidP="0083214A">
            <w:pPr>
              <w:jc w:val="center"/>
              <w:rPr>
                <w:noProof/>
                <w:sz w:val="18"/>
                <w:szCs w:val="18"/>
              </w:rPr>
            </w:pPr>
            <w:r>
              <w:rPr>
                <w:noProof/>
                <w:sz w:val="18"/>
                <w:szCs w:val="18"/>
              </w:rPr>
              <w:t>N/A</w:t>
            </w:r>
          </w:p>
        </w:tc>
      </w:tr>
      <w:tr w:rsidR="0018222F" w:rsidRPr="00040F04" w14:paraId="07A8F05F"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1986" w:type="dxa"/>
            <w:noWrap/>
            <w:hideMark/>
          </w:tcPr>
          <w:p w14:paraId="190AB826" w14:textId="77777777" w:rsidR="0018222F" w:rsidRPr="00040F04" w:rsidRDefault="0018222F" w:rsidP="0083214A">
            <w:pPr>
              <w:rPr>
                <w:noProof/>
              </w:rPr>
            </w:pPr>
            <w:r w:rsidRPr="00040F04">
              <w:rPr>
                <w:noProof/>
              </w:rPr>
              <w:t>Contributions from other countries and entities</w:t>
            </w:r>
          </w:p>
        </w:tc>
        <w:tc>
          <w:tcPr>
            <w:tcW w:w="1047" w:type="dxa"/>
            <w:noWrap/>
            <w:hideMark/>
          </w:tcPr>
          <w:p w14:paraId="4B4736B0" w14:textId="77777777" w:rsidR="0018222F" w:rsidRPr="00040F04" w:rsidRDefault="0018222F" w:rsidP="0083214A">
            <w:pPr>
              <w:jc w:val="center"/>
              <w:rPr>
                <w:noProof/>
                <w:sz w:val="18"/>
                <w:szCs w:val="18"/>
              </w:rPr>
            </w:pPr>
            <w:r w:rsidRPr="00040F04">
              <w:rPr>
                <w:noProof/>
                <w:sz w:val="18"/>
                <w:szCs w:val="18"/>
              </w:rPr>
              <w:t>6.0</w:t>
            </w:r>
          </w:p>
        </w:tc>
        <w:tc>
          <w:tcPr>
            <w:tcW w:w="944" w:type="dxa"/>
            <w:noWrap/>
            <w:hideMark/>
          </w:tcPr>
          <w:p w14:paraId="0609D036" w14:textId="77777777" w:rsidR="0018222F" w:rsidRPr="00040F04" w:rsidRDefault="0018222F" w:rsidP="0083214A">
            <w:pPr>
              <w:jc w:val="center"/>
              <w:rPr>
                <w:noProof/>
                <w:sz w:val="18"/>
                <w:szCs w:val="18"/>
              </w:rPr>
            </w:pPr>
            <w:r>
              <w:rPr>
                <w:noProof/>
                <w:sz w:val="18"/>
                <w:szCs w:val="18"/>
              </w:rPr>
              <w:t>p.m.</w:t>
            </w:r>
          </w:p>
        </w:tc>
        <w:tc>
          <w:tcPr>
            <w:tcW w:w="943" w:type="dxa"/>
            <w:noWrap/>
            <w:hideMark/>
          </w:tcPr>
          <w:p w14:paraId="41856C07" w14:textId="77777777" w:rsidR="0018222F" w:rsidRPr="00040F04" w:rsidRDefault="0018222F" w:rsidP="0083214A">
            <w:pPr>
              <w:jc w:val="center"/>
              <w:rPr>
                <w:noProof/>
                <w:sz w:val="18"/>
                <w:szCs w:val="18"/>
              </w:rPr>
            </w:pPr>
            <w:r>
              <w:rPr>
                <w:noProof/>
                <w:sz w:val="18"/>
                <w:szCs w:val="18"/>
              </w:rPr>
              <w:t>p.m.</w:t>
            </w:r>
          </w:p>
        </w:tc>
        <w:tc>
          <w:tcPr>
            <w:tcW w:w="944" w:type="dxa"/>
            <w:noWrap/>
            <w:hideMark/>
          </w:tcPr>
          <w:p w14:paraId="368E1C2A" w14:textId="77777777" w:rsidR="0018222F" w:rsidRPr="00040F04" w:rsidRDefault="0018222F" w:rsidP="0083214A">
            <w:pPr>
              <w:jc w:val="center"/>
              <w:rPr>
                <w:noProof/>
                <w:sz w:val="18"/>
                <w:szCs w:val="18"/>
              </w:rPr>
            </w:pPr>
            <w:r>
              <w:rPr>
                <w:noProof/>
                <w:sz w:val="18"/>
                <w:szCs w:val="18"/>
              </w:rPr>
              <w:t>p.m.</w:t>
            </w:r>
          </w:p>
        </w:tc>
        <w:tc>
          <w:tcPr>
            <w:tcW w:w="944" w:type="dxa"/>
            <w:noWrap/>
            <w:hideMark/>
          </w:tcPr>
          <w:p w14:paraId="04DB4603" w14:textId="77777777" w:rsidR="0018222F" w:rsidRPr="00040F04" w:rsidRDefault="0018222F" w:rsidP="0083214A">
            <w:pPr>
              <w:jc w:val="center"/>
              <w:rPr>
                <w:noProof/>
                <w:sz w:val="18"/>
                <w:szCs w:val="18"/>
              </w:rPr>
            </w:pPr>
            <w:r>
              <w:rPr>
                <w:noProof/>
                <w:sz w:val="18"/>
                <w:szCs w:val="18"/>
              </w:rPr>
              <w:t>p.m.</w:t>
            </w:r>
          </w:p>
        </w:tc>
        <w:tc>
          <w:tcPr>
            <w:tcW w:w="943" w:type="dxa"/>
            <w:noWrap/>
            <w:hideMark/>
          </w:tcPr>
          <w:p w14:paraId="6B1990E4" w14:textId="77777777" w:rsidR="0018222F" w:rsidRPr="00040F04" w:rsidRDefault="0018222F" w:rsidP="0083214A">
            <w:pPr>
              <w:jc w:val="center"/>
              <w:rPr>
                <w:noProof/>
                <w:sz w:val="18"/>
                <w:szCs w:val="18"/>
              </w:rPr>
            </w:pPr>
            <w:r>
              <w:rPr>
                <w:noProof/>
                <w:sz w:val="18"/>
                <w:szCs w:val="18"/>
              </w:rPr>
              <w:t>p.m.</w:t>
            </w:r>
          </w:p>
        </w:tc>
        <w:tc>
          <w:tcPr>
            <w:tcW w:w="944" w:type="dxa"/>
            <w:noWrap/>
            <w:hideMark/>
          </w:tcPr>
          <w:p w14:paraId="4ED876AF" w14:textId="77777777" w:rsidR="0018222F" w:rsidRPr="00040F04" w:rsidRDefault="0018222F" w:rsidP="0083214A">
            <w:pPr>
              <w:jc w:val="center"/>
              <w:rPr>
                <w:noProof/>
                <w:sz w:val="18"/>
                <w:szCs w:val="18"/>
              </w:rPr>
            </w:pPr>
            <w:r>
              <w:rPr>
                <w:noProof/>
                <w:sz w:val="18"/>
                <w:szCs w:val="18"/>
              </w:rPr>
              <w:t>p.m.</w:t>
            </w:r>
          </w:p>
        </w:tc>
        <w:tc>
          <w:tcPr>
            <w:tcW w:w="944" w:type="dxa"/>
            <w:noWrap/>
            <w:hideMark/>
          </w:tcPr>
          <w:p w14:paraId="614DFB27" w14:textId="77777777" w:rsidR="0018222F" w:rsidRPr="00040F04" w:rsidRDefault="0018222F" w:rsidP="0083214A">
            <w:pPr>
              <w:jc w:val="center"/>
              <w:rPr>
                <w:noProof/>
                <w:sz w:val="18"/>
                <w:szCs w:val="18"/>
              </w:rPr>
            </w:pPr>
            <w:r w:rsidRPr="00040F04">
              <w:rPr>
                <w:noProof/>
                <w:sz w:val="18"/>
                <w:szCs w:val="18"/>
              </w:rPr>
              <w:t>6.0</w:t>
            </w:r>
          </w:p>
        </w:tc>
      </w:tr>
      <w:tr w:rsidR="00DD5E66" w:rsidRPr="00040F04" w14:paraId="568AF221" w14:textId="77777777" w:rsidTr="006F409B">
        <w:trPr>
          <w:cnfStyle w:val="000000100000" w:firstRow="0" w:lastRow="0" w:firstColumn="0" w:lastColumn="0" w:oddVBand="0" w:evenVBand="0" w:oddHBand="1" w:evenHBand="0" w:firstRowFirstColumn="0" w:firstRowLastColumn="0" w:lastRowFirstColumn="0" w:lastRowLastColumn="0"/>
          <w:trHeight w:val="290"/>
        </w:trPr>
        <w:tc>
          <w:tcPr>
            <w:tcW w:w="1986" w:type="dxa"/>
            <w:noWrap/>
          </w:tcPr>
          <w:p w14:paraId="771A20E2" w14:textId="77777777" w:rsidR="00DD5E66" w:rsidRPr="00040F04" w:rsidRDefault="00DD5E66" w:rsidP="00DD5E66">
            <w:pPr>
              <w:rPr>
                <w:b/>
                <w:noProof/>
              </w:rPr>
            </w:pPr>
            <w:r w:rsidRPr="00040F04">
              <w:rPr>
                <w:b/>
                <w:noProof/>
              </w:rPr>
              <w:t>Total</w:t>
            </w:r>
          </w:p>
        </w:tc>
        <w:tc>
          <w:tcPr>
            <w:tcW w:w="1047" w:type="dxa"/>
            <w:noWrap/>
          </w:tcPr>
          <w:p w14:paraId="406C7D08" w14:textId="77777777" w:rsidR="00DD5E66" w:rsidRPr="006C11AD" w:rsidRDefault="00DD5E66" w:rsidP="00DD5E66">
            <w:pPr>
              <w:jc w:val="center"/>
              <w:rPr>
                <w:noProof/>
              </w:rPr>
            </w:pPr>
            <w:r w:rsidRPr="006C11AD">
              <w:rPr>
                <w:noProof/>
              </w:rPr>
              <w:t>12</w:t>
            </w:r>
            <w:r w:rsidRPr="006C11AD">
              <w:rPr>
                <w:rFonts w:ascii="Calibri" w:hAnsi="Calibri" w:cs="Calibri"/>
                <w:noProof/>
              </w:rPr>
              <w:t> </w:t>
            </w:r>
            <w:r w:rsidRPr="006C11AD">
              <w:rPr>
                <w:noProof/>
              </w:rPr>
              <w:t>417.3</w:t>
            </w:r>
          </w:p>
        </w:tc>
        <w:tc>
          <w:tcPr>
            <w:tcW w:w="944" w:type="dxa"/>
            <w:noWrap/>
          </w:tcPr>
          <w:p w14:paraId="1D056A5C" w14:textId="77777777" w:rsidR="00DD5E66" w:rsidRPr="006C11AD" w:rsidRDefault="00DD5E66" w:rsidP="00DD5E66">
            <w:pPr>
              <w:jc w:val="center"/>
              <w:rPr>
                <w:noProof/>
              </w:rPr>
            </w:pPr>
            <w:r w:rsidRPr="006C11AD">
              <w:rPr>
                <w:noProof/>
              </w:rPr>
              <w:t>12</w:t>
            </w:r>
            <w:r w:rsidRPr="006C11AD">
              <w:rPr>
                <w:rFonts w:ascii="Calibri" w:hAnsi="Calibri" w:cs="Calibri"/>
                <w:noProof/>
              </w:rPr>
              <w:t> </w:t>
            </w:r>
            <w:r w:rsidRPr="006C11AD">
              <w:rPr>
                <w:noProof/>
              </w:rPr>
              <w:t>716.6</w:t>
            </w:r>
          </w:p>
        </w:tc>
        <w:tc>
          <w:tcPr>
            <w:tcW w:w="943" w:type="dxa"/>
            <w:noWrap/>
          </w:tcPr>
          <w:p w14:paraId="73CE05B7" w14:textId="272F442A" w:rsidR="00DD5E66" w:rsidRPr="006C11AD" w:rsidRDefault="00DD5E66" w:rsidP="00DD5E66">
            <w:pPr>
              <w:jc w:val="center"/>
              <w:rPr>
                <w:noProof/>
              </w:rPr>
            </w:pPr>
            <w:r w:rsidRPr="00393905">
              <w:rPr>
                <w:noProof/>
              </w:rPr>
              <w:t>11 970.8</w:t>
            </w:r>
          </w:p>
        </w:tc>
        <w:tc>
          <w:tcPr>
            <w:tcW w:w="944" w:type="dxa"/>
            <w:noWrap/>
          </w:tcPr>
          <w:p w14:paraId="41BE2375" w14:textId="2250CDD3" w:rsidR="00DD5E66" w:rsidRPr="006C11AD" w:rsidRDefault="00DD5E66" w:rsidP="00DD5E66">
            <w:pPr>
              <w:jc w:val="center"/>
              <w:rPr>
                <w:noProof/>
              </w:rPr>
            </w:pPr>
            <w:r w:rsidRPr="00393905">
              <w:rPr>
                <w:noProof/>
              </w:rPr>
              <w:t>11 373.9</w:t>
            </w:r>
          </w:p>
        </w:tc>
        <w:tc>
          <w:tcPr>
            <w:tcW w:w="944" w:type="dxa"/>
            <w:noWrap/>
            <w:vAlign w:val="bottom"/>
          </w:tcPr>
          <w:p w14:paraId="36632196" w14:textId="25F86C74" w:rsidR="00DD5E66" w:rsidRPr="006C11AD" w:rsidRDefault="00DD5E66" w:rsidP="00DD5E66">
            <w:pPr>
              <w:jc w:val="center"/>
              <w:rPr>
                <w:noProof/>
              </w:rPr>
            </w:pPr>
            <w:r w:rsidRPr="006C11AD">
              <w:rPr>
                <w:noProof/>
              </w:rPr>
              <w:t>10 700.9</w:t>
            </w:r>
          </w:p>
        </w:tc>
        <w:tc>
          <w:tcPr>
            <w:tcW w:w="943" w:type="dxa"/>
            <w:noWrap/>
            <w:vAlign w:val="bottom"/>
          </w:tcPr>
          <w:p w14:paraId="140C486B" w14:textId="46656180" w:rsidR="00DD5E66" w:rsidRPr="006C11AD" w:rsidRDefault="00DD5E66" w:rsidP="00DD5E66">
            <w:pPr>
              <w:jc w:val="center"/>
              <w:rPr>
                <w:noProof/>
              </w:rPr>
            </w:pPr>
            <w:r w:rsidRPr="006C11AD">
              <w:rPr>
                <w:noProof/>
              </w:rPr>
              <w:t>10 052.0</w:t>
            </w:r>
          </w:p>
        </w:tc>
        <w:tc>
          <w:tcPr>
            <w:tcW w:w="944" w:type="dxa"/>
            <w:noWrap/>
            <w:vAlign w:val="bottom"/>
          </w:tcPr>
          <w:p w14:paraId="3642EAF1" w14:textId="3A5A50A7" w:rsidR="00DD5E66" w:rsidRPr="006C11AD" w:rsidRDefault="00DD5E66" w:rsidP="00DD5E66">
            <w:pPr>
              <w:jc w:val="center"/>
              <w:rPr>
                <w:noProof/>
              </w:rPr>
            </w:pPr>
            <w:r w:rsidRPr="006C11AD">
              <w:rPr>
                <w:noProof/>
              </w:rPr>
              <w:t>10 524.9</w:t>
            </w:r>
          </w:p>
        </w:tc>
        <w:tc>
          <w:tcPr>
            <w:tcW w:w="944" w:type="dxa"/>
            <w:noWrap/>
            <w:vAlign w:val="bottom"/>
          </w:tcPr>
          <w:p w14:paraId="403BF0A0" w14:textId="35D4F8C0" w:rsidR="00DD5E66" w:rsidRPr="006C11AD" w:rsidRDefault="00DD5E66" w:rsidP="00DD5E66">
            <w:pPr>
              <w:jc w:val="center"/>
              <w:rPr>
                <w:noProof/>
              </w:rPr>
            </w:pPr>
            <w:r w:rsidRPr="006C11AD">
              <w:rPr>
                <w:noProof/>
              </w:rPr>
              <w:t>79 756.3</w:t>
            </w:r>
          </w:p>
        </w:tc>
      </w:tr>
    </w:tbl>
    <w:p w14:paraId="2B77CB2F" w14:textId="77777777" w:rsidR="0018222F" w:rsidRPr="00040F04" w:rsidRDefault="0018222F" w:rsidP="0018222F">
      <w:pPr>
        <w:rPr>
          <w:noProof/>
        </w:rPr>
      </w:pPr>
      <w:bookmarkStart w:id="236" w:name="_Hlk100916432"/>
      <w:r w:rsidRPr="39F3A8C4">
        <w:rPr>
          <w:noProof/>
          <w:sz w:val="18"/>
          <w:szCs w:val="18"/>
        </w:rPr>
        <w:t>(*) Only Article 15(3) of the financial regulation.</w:t>
      </w:r>
      <w:bookmarkEnd w:id="236"/>
    </w:p>
    <w:p w14:paraId="2DBA92D5" w14:textId="4A337EBA" w:rsidR="0018222F" w:rsidRPr="00040F04" w:rsidRDefault="0018222F" w:rsidP="0018222F">
      <w:pPr>
        <w:pStyle w:val="ppoTableTabletitle"/>
        <w:jc w:val="center"/>
        <w:rPr>
          <w:noProof/>
        </w:rPr>
      </w:pPr>
      <w:r>
        <w:rPr>
          <w:noProof/>
        </w:rPr>
        <w:t xml:space="preserve">Financial programming </w:t>
      </w:r>
      <w:r w:rsidRPr="39F3A8C4">
        <w:rPr>
          <w:rStyle w:val="ppocharRedtext24pt"/>
          <w:noProof/>
        </w:rPr>
        <w:t>+</w:t>
      </w:r>
      <w:r w:rsidRPr="39F3A8C4">
        <w:rPr>
          <w:rStyle w:val="ppocharRedtext24pt"/>
          <w:rFonts w:ascii="Calibri" w:hAnsi="Calibri" w:cs="Calibri"/>
          <w:noProof/>
        </w:rPr>
        <w:t> </w:t>
      </w:r>
      <w:r w:rsidR="00DD5E66" w:rsidRPr="00DD5E66">
        <w:rPr>
          <w:rStyle w:val="ppocharRedtext24pt"/>
          <w:noProof/>
        </w:rPr>
        <w:t>288.6</w:t>
      </w:r>
      <w:r w:rsidRPr="39F3A8C4">
        <w:rPr>
          <w:rStyle w:val="ppocharRedtext24pt"/>
          <w:rFonts w:ascii="Calibri" w:hAnsi="Calibri" w:cs="Calibri"/>
          <w:noProof/>
        </w:rPr>
        <w:t> </w:t>
      </w:r>
      <w:r w:rsidRPr="39F3A8C4">
        <w:rPr>
          <w:rStyle w:val="ppocharRedtext24pt"/>
          <w:noProof/>
        </w:rPr>
        <w:t>million (+</w:t>
      </w:r>
      <w:r w:rsidRPr="39F3A8C4">
        <w:rPr>
          <w:rStyle w:val="ppocharRedtext24pt"/>
          <w:rFonts w:ascii="Calibri" w:hAnsi="Calibri" w:cs="Calibri"/>
          <w:noProof/>
        </w:rPr>
        <w:t> </w:t>
      </w:r>
      <w:r w:rsidR="00DD5E66">
        <w:rPr>
          <w:rStyle w:val="ppocharRedtext24pt"/>
          <w:noProof/>
        </w:rPr>
        <w:t>0</w:t>
      </w:r>
      <w:r w:rsidRPr="39F3A8C4">
        <w:rPr>
          <w:rStyle w:val="ppocharRedtext24pt"/>
          <w:noProof/>
        </w:rPr>
        <w:t xml:space="preserve">%) </w:t>
      </w:r>
      <w:r>
        <w:rPr>
          <w:noProof/>
        </w:rPr>
        <w:t>compared to</w:t>
      </w:r>
      <w:r w:rsidR="00DD5E66">
        <w:rPr>
          <w:noProof/>
        </w:rPr>
        <w:t xml:space="preserve"> </w:t>
      </w:r>
      <w:r>
        <w:rPr>
          <w:noProof/>
        </w:rPr>
        <w:t>the legal basis.</w:t>
      </w:r>
    </w:p>
    <w:p w14:paraId="699FB72A" w14:textId="77777777" w:rsidR="0018222F" w:rsidRPr="00040F04" w:rsidRDefault="0018222F" w:rsidP="0018222F">
      <w:pPr>
        <w:pStyle w:val="ppoTableTabletitle"/>
        <w:rPr>
          <w:b/>
          <w:noProof/>
        </w:rPr>
      </w:pPr>
      <w:r w:rsidRPr="00040F04">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18222F" w:rsidRPr="00040F04" w14:paraId="4A5206E1" w14:textId="77777777" w:rsidTr="0083214A">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2F42B288" w14:textId="77777777" w:rsidR="0018222F" w:rsidRPr="00040F04" w:rsidRDefault="0018222F" w:rsidP="0083214A">
            <w:pPr>
              <w:rPr>
                <w:noProof/>
              </w:rPr>
            </w:pPr>
          </w:p>
        </w:tc>
        <w:tc>
          <w:tcPr>
            <w:tcW w:w="2410" w:type="dxa"/>
          </w:tcPr>
          <w:p w14:paraId="2CC7D0F1" w14:textId="77777777" w:rsidR="0018222F" w:rsidRPr="00040F04" w:rsidRDefault="0018222F" w:rsidP="0083214A">
            <w:pPr>
              <w:cnfStyle w:val="100000000000" w:firstRow="1" w:lastRow="0" w:firstColumn="0" w:lastColumn="0" w:oddVBand="0" w:evenVBand="0" w:oddHBand="0" w:evenHBand="0" w:firstRowFirstColumn="0" w:firstRowLastColumn="0" w:lastRowFirstColumn="0" w:lastRowLastColumn="0"/>
              <w:rPr>
                <w:noProof/>
              </w:rPr>
            </w:pPr>
            <w:r w:rsidRPr="00040F04">
              <w:rPr>
                <w:noProof/>
              </w:rPr>
              <w:t>Implementation</w:t>
            </w:r>
          </w:p>
        </w:tc>
        <w:tc>
          <w:tcPr>
            <w:tcW w:w="2410" w:type="dxa"/>
          </w:tcPr>
          <w:p w14:paraId="08A7769C" w14:textId="5F224D11" w:rsidR="0018222F" w:rsidRPr="00040F04" w:rsidRDefault="003821C6" w:rsidP="0083214A">
            <w:pPr>
              <w:cnfStyle w:val="100000000000" w:firstRow="1" w:lastRow="0" w:firstColumn="0" w:lastColumn="0" w:oddVBand="0" w:evenVBand="0" w:oddHBand="0" w:evenHBand="0" w:firstRowFirstColumn="0" w:firstRowLastColumn="0" w:lastRowFirstColumn="0" w:lastRowLastColumn="0"/>
              <w:rPr>
                <w:noProof/>
              </w:rPr>
            </w:pPr>
            <w:r>
              <w:rPr>
                <w:noProof/>
              </w:rPr>
              <w:t xml:space="preserve">2021-2027 </w:t>
            </w:r>
            <w:r w:rsidR="0018222F" w:rsidRPr="00040F04">
              <w:rPr>
                <w:noProof/>
              </w:rPr>
              <w:t>Budget</w:t>
            </w:r>
          </w:p>
        </w:tc>
        <w:tc>
          <w:tcPr>
            <w:tcW w:w="2410" w:type="dxa"/>
          </w:tcPr>
          <w:p w14:paraId="1B7DF5F9" w14:textId="77777777" w:rsidR="0018222F" w:rsidRPr="00040F04" w:rsidRDefault="0018222F" w:rsidP="0083214A">
            <w:pPr>
              <w:cnfStyle w:val="100000000000" w:firstRow="1" w:lastRow="0" w:firstColumn="0" w:lastColumn="0" w:oddVBand="0" w:evenVBand="0" w:oddHBand="0" w:evenHBand="0" w:firstRowFirstColumn="0" w:firstRowLastColumn="0" w:lastRowFirstColumn="0" w:lastRowLastColumn="0"/>
              <w:rPr>
                <w:noProof/>
              </w:rPr>
            </w:pPr>
            <w:r w:rsidRPr="00040F04">
              <w:rPr>
                <w:noProof/>
              </w:rPr>
              <w:t>Implementation rate</w:t>
            </w:r>
          </w:p>
        </w:tc>
      </w:tr>
      <w:tr w:rsidR="0018222F" w:rsidRPr="00040F04" w14:paraId="4ABED5E9"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47DED322" w14:textId="77777777" w:rsidR="0018222F" w:rsidRPr="00040F04" w:rsidRDefault="0018222F" w:rsidP="0083214A">
            <w:pPr>
              <w:jc w:val="center"/>
              <w:rPr>
                <w:noProof/>
              </w:rPr>
            </w:pPr>
            <w:r w:rsidRPr="00040F04">
              <w:rPr>
                <w:noProof/>
              </w:rPr>
              <w:t>Commitment</w:t>
            </w:r>
          </w:p>
        </w:tc>
        <w:tc>
          <w:tcPr>
            <w:tcW w:w="2410" w:type="dxa"/>
          </w:tcPr>
          <w:p w14:paraId="4A56A0AF" w14:textId="5EEB0820"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r>
              <w:rPr>
                <w:noProof/>
              </w:rPr>
              <w:t>10</w:t>
            </w:r>
            <w:r w:rsidRPr="3253D9F8">
              <w:rPr>
                <w:rFonts w:ascii="Calibri" w:hAnsi="Calibri" w:cs="Calibri"/>
                <w:noProof/>
              </w:rPr>
              <w:t> </w:t>
            </w:r>
            <w:r>
              <w:rPr>
                <w:noProof/>
              </w:rPr>
              <w:t>834.0</w:t>
            </w:r>
          </w:p>
        </w:tc>
        <w:tc>
          <w:tcPr>
            <w:tcW w:w="2410" w:type="dxa"/>
          </w:tcPr>
          <w:p w14:paraId="785F3189" w14:textId="2F9D2257" w:rsidR="0018222F" w:rsidRPr="00040F04" w:rsidRDefault="00DD5E66" w:rsidP="0083214A">
            <w:pPr>
              <w:jc w:val="center"/>
              <w:cnfStyle w:val="000000000000" w:firstRow="0" w:lastRow="0" w:firstColumn="0" w:lastColumn="0" w:oddVBand="0" w:evenVBand="0" w:oddHBand="0" w:evenHBand="0" w:firstRowFirstColumn="0" w:firstRowLastColumn="0" w:lastRowFirstColumn="0" w:lastRowLastColumn="0"/>
              <w:rPr>
                <w:noProof/>
              </w:rPr>
            </w:pPr>
            <w:r w:rsidRPr="006C11AD">
              <w:rPr>
                <w:noProof/>
              </w:rPr>
              <w:t>79 756.3</w:t>
            </w:r>
          </w:p>
        </w:tc>
        <w:tc>
          <w:tcPr>
            <w:tcW w:w="2410" w:type="dxa"/>
          </w:tcPr>
          <w:p w14:paraId="76FC5E69" w14:textId="77777777"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r w:rsidRPr="00040F04">
              <w:rPr>
                <w:noProof/>
              </w:rPr>
              <w:t>14%</w:t>
            </w:r>
          </w:p>
        </w:tc>
      </w:tr>
      <w:tr w:rsidR="0018222F" w:rsidRPr="00040F04" w14:paraId="441C5273"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1621178D" w14:textId="77777777" w:rsidR="0018222F" w:rsidRPr="00040F04" w:rsidRDefault="0018222F" w:rsidP="0083214A">
            <w:pPr>
              <w:jc w:val="center"/>
              <w:rPr>
                <w:noProof/>
              </w:rPr>
            </w:pPr>
            <w:r w:rsidRPr="00040F04">
              <w:rPr>
                <w:noProof/>
              </w:rPr>
              <w:t>Payments</w:t>
            </w:r>
          </w:p>
        </w:tc>
        <w:tc>
          <w:tcPr>
            <w:tcW w:w="2410" w:type="dxa"/>
          </w:tcPr>
          <w:p w14:paraId="0E912FC7" w14:textId="77777777"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r w:rsidRPr="00040F04">
              <w:rPr>
                <w:noProof/>
              </w:rPr>
              <w:t>1</w:t>
            </w:r>
            <w:r w:rsidRPr="00040F04">
              <w:rPr>
                <w:rFonts w:ascii="Calibri" w:hAnsi="Calibri" w:cs="Calibri"/>
                <w:noProof/>
              </w:rPr>
              <w:t> </w:t>
            </w:r>
            <w:r w:rsidRPr="00040F04">
              <w:rPr>
                <w:noProof/>
              </w:rPr>
              <w:t>276.7</w:t>
            </w:r>
          </w:p>
        </w:tc>
        <w:tc>
          <w:tcPr>
            <w:tcW w:w="2410" w:type="dxa"/>
          </w:tcPr>
          <w:p w14:paraId="72E29791" w14:textId="77777777"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79DD914E" w14:textId="77777777"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r w:rsidRPr="00040F04">
              <w:rPr>
                <w:noProof/>
              </w:rPr>
              <w:t>2%</w:t>
            </w:r>
          </w:p>
        </w:tc>
      </w:tr>
    </w:tbl>
    <w:p w14:paraId="0D93DC06" w14:textId="77777777" w:rsidR="0018222F" w:rsidRPr="00040F04" w:rsidRDefault="0018222F" w:rsidP="0018222F">
      <w:pPr>
        <w:pStyle w:val="ppoTableTabletitle"/>
        <w:rPr>
          <w:b/>
          <w:noProof/>
        </w:rPr>
      </w:pPr>
      <w:r w:rsidRPr="00040F04">
        <w:rPr>
          <w:noProof/>
        </w:rPr>
        <w:t>Voted budget implementation in 2021 (million EUR):</w:t>
      </w:r>
    </w:p>
    <w:tbl>
      <w:tblPr>
        <w:tblStyle w:val="PPO2021"/>
        <w:tblW w:w="3683" w:type="pct"/>
        <w:tblInd w:w="79" w:type="dxa"/>
        <w:tblLook w:val="04A0" w:firstRow="1" w:lastRow="0" w:firstColumn="1" w:lastColumn="0" w:noHBand="0" w:noVBand="1"/>
      </w:tblPr>
      <w:tblGrid>
        <w:gridCol w:w="2419"/>
        <w:gridCol w:w="2419"/>
        <w:gridCol w:w="2420"/>
      </w:tblGrid>
      <w:tr w:rsidR="0018222F" w:rsidRPr="00040F04" w14:paraId="09A0EEDA" w14:textId="77777777" w:rsidTr="008321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7C6C8846" w14:textId="77777777" w:rsidR="0018222F" w:rsidRPr="00040F04" w:rsidRDefault="0018222F" w:rsidP="0083214A">
            <w:pPr>
              <w:rPr>
                <w:noProof/>
              </w:rPr>
            </w:pPr>
          </w:p>
        </w:tc>
        <w:tc>
          <w:tcPr>
            <w:tcW w:w="2419" w:type="dxa"/>
          </w:tcPr>
          <w:p w14:paraId="6AB4EB2D" w14:textId="77777777" w:rsidR="0018222F" w:rsidRPr="00040F04" w:rsidRDefault="0018222F" w:rsidP="0083214A">
            <w:pPr>
              <w:cnfStyle w:val="100000000000" w:firstRow="1" w:lastRow="0" w:firstColumn="0" w:lastColumn="0" w:oddVBand="0" w:evenVBand="0" w:oddHBand="0" w:evenHBand="0" w:firstRowFirstColumn="0" w:firstRowLastColumn="0" w:lastRowFirstColumn="0" w:lastRowLastColumn="0"/>
              <w:rPr>
                <w:noProof/>
              </w:rPr>
            </w:pPr>
            <w:r w:rsidRPr="00040F04">
              <w:rPr>
                <w:noProof/>
              </w:rPr>
              <w:t>Voted budget implementation</w:t>
            </w:r>
          </w:p>
        </w:tc>
        <w:tc>
          <w:tcPr>
            <w:tcW w:w="2420" w:type="dxa"/>
          </w:tcPr>
          <w:p w14:paraId="39AF0007" w14:textId="77777777" w:rsidR="0018222F" w:rsidRPr="00040F04" w:rsidRDefault="0018222F" w:rsidP="0083214A">
            <w:pPr>
              <w:cnfStyle w:val="100000000000" w:firstRow="1" w:lastRow="0" w:firstColumn="0" w:lastColumn="0" w:oddVBand="0" w:evenVBand="0" w:oddHBand="0" w:evenHBand="0" w:firstRowFirstColumn="0" w:firstRowLastColumn="0" w:lastRowFirstColumn="0" w:lastRowLastColumn="0"/>
              <w:rPr>
                <w:noProof/>
              </w:rPr>
            </w:pPr>
            <w:r w:rsidRPr="00040F04">
              <w:rPr>
                <w:noProof/>
              </w:rPr>
              <w:t>Initial voted budget</w:t>
            </w:r>
          </w:p>
        </w:tc>
      </w:tr>
      <w:tr w:rsidR="0018222F" w:rsidRPr="00040F04" w14:paraId="53A6A325" w14:textId="77777777" w:rsidTr="0083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7DF7E0A8" w14:textId="77777777" w:rsidR="0018222F" w:rsidRPr="00040F04" w:rsidRDefault="0018222F" w:rsidP="0083214A">
            <w:pPr>
              <w:jc w:val="center"/>
              <w:rPr>
                <w:noProof/>
              </w:rPr>
            </w:pPr>
            <w:r w:rsidRPr="00040F04">
              <w:rPr>
                <w:noProof/>
              </w:rPr>
              <w:t>Commitments</w:t>
            </w:r>
          </w:p>
        </w:tc>
        <w:tc>
          <w:tcPr>
            <w:tcW w:w="2419" w:type="dxa"/>
          </w:tcPr>
          <w:p w14:paraId="29728777" w14:textId="77777777" w:rsidR="0018222F" w:rsidRPr="00040F04" w:rsidRDefault="0018222F" w:rsidP="0083214A">
            <w:pPr>
              <w:jc w:val="right"/>
              <w:cnfStyle w:val="000000100000" w:firstRow="0" w:lastRow="0" w:firstColumn="0" w:lastColumn="0" w:oddVBand="0" w:evenVBand="0" w:oddHBand="1" w:evenHBand="0" w:firstRowFirstColumn="0" w:firstRowLastColumn="0" w:lastRowFirstColumn="0" w:lastRowLastColumn="0"/>
              <w:rPr>
                <w:noProof/>
              </w:rPr>
            </w:pPr>
            <w:r w:rsidRPr="00040F04">
              <w:rPr>
                <w:noProof/>
              </w:rPr>
              <w:t>10</w:t>
            </w:r>
            <w:r w:rsidRPr="00040F04">
              <w:rPr>
                <w:rFonts w:ascii="Calibri" w:hAnsi="Calibri" w:cs="Calibri"/>
                <w:noProof/>
              </w:rPr>
              <w:t> </w:t>
            </w:r>
            <w:r w:rsidRPr="00040F04">
              <w:rPr>
                <w:noProof/>
              </w:rPr>
              <w:t>832.9</w:t>
            </w:r>
          </w:p>
        </w:tc>
        <w:tc>
          <w:tcPr>
            <w:tcW w:w="2420" w:type="dxa"/>
          </w:tcPr>
          <w:p w14:paraId="29C3B294" w14:textId="77777777" w:rsidR="0018222F" w:rsidRPr="00040F04" w:rsidRDefault="0018222F" w:rsidP="0083214A">
            <w:pPr>
              <w:jc w:val="center"/>
              <w:cnfStyle w:val="000000100000" w:firstRow="0" w:lastRow="0" w:firstColumn="0" w:lastColumn="0" w:oddVBand="0" w:evenVBand="0" w:oddHBand="1" w:evenHBand="0" w:firstRowFirstColumn="0" w:firstRowLastColumn="0" w:lastRowFirstColumn="0" w:lastRowLastColumn="0"/>
              <w:rPr>
                <w:noProof/>
              </w:rPr>
            </w:pPr>
            <w:r w:rsidRPr="00040F04">
              <w:rPr>
                <w:noProof/>
              </w:rPr>
              <w:t>12</w:t>
            </w:r>
            <w:r w:rsidRPr="00040F04">
              <w:rPr>
                <w:rFonts w:ascii="Calibri" w:hAnsi="Calibri" w:cs="Calibri"/>
                <w:noProof/>
              </w:rPr>
              <w:t> </w:t>
            </w:r>
            <w:r w:rsidRPr="00040F04">
              <w:rPr>
                <w:noProof/>
              </w:rPr>
              <w:t>071.0</w:t>
            </w:r>
          </w:p>
        </w:tc>
      </w:tr>
      <w:tr w:rsidR="0018222F" w:rsidRPr="00040F04" w14:paraId="067E4D1A" w14:textId="77777777" w:rsidTr="00832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3ACD91F1" w14:textId="77777777" w:rsidR="0018222F" w:rsidRPr="00040F04" w:rsidRDefault="0018222F" w:rsidP="0083214A">
            <w:pPr>
              <w:jc w:val="center"/>
              <w:rPr>
                <w:noProof/>
              </w:rPr>
            </w:pPr>
            <w:r w:rsidRPr="00040F04">
              <w:rPr>
                <w:noProof/>
              </w:rPr>
              <w:t>Payments</w:t>
            </w:r>
          </w:p>
        </w:tc>
        <w:tc>
          <w:tcPr>
            <w:tcW w:w="2419" w:type="dxa"/>
          </w:tcPr>
          <w:p w14:paraId="7B6499AC" w14:textId="77777777" w:rsidR="0018222F" w:rsidRPr="00040F04" w:rsidRDefault="0018222F" w:rsidP="0083214A">
            <w:pPr>
              <w:jc w:val="right"/>
              <w:cnfStyle w:val="000000010000" w:firstRow="0" w:lastRow="0" w:firstColumn="0" w:lastColumn="0" w:oddVBand="0" w:evenVBand="0" w:oddHBand="0" w:evenHBand="1" w:firstRowFirstColumn="0" w:firstRowLastColumn="0" w:lastRowFirstColumn="0" w:lastRowLastColumn="0"/>
              <w:rPr>
                <w:noProof/>
              </w:rPr>
            </w:pPr>
            <w:r w:rsidRPr="00040F04">
              <w:rPr>
                <w:noProof/>
              </w:rPr>
              <w:t>1</w:t>
            </w:r>
            <w:r w:rsidRPr="00040F04">
              <w:rPr>
                <w:rFonts w:ascii="Calibri" w:hAnsi="Calibri" w:cs="Calibri"/>
                <w:noProof/>
              </w:rPr>
              <w:t> </w:t>
            </w:r>
            <w:r w:rsidRPr="00040F04">
              <w:rPr>
                <w:noProof/>
              </w:rPr>
              <w:t>276.4</w:t>
            </w:r>
          </w:p>
        </w:tc>
        <w:tc>
          <w:tcPr>
            <w:tcW w:w="2420" w:type="dxa"/>
          </w:tcPr>
          <w:p w14:paraId="5D68547E" w14:textId="77777777" w:rsidR="0018222F" w:rsidRPr="00040F04" w:rsidRDefault="0018222F" w:rsidP="0083214A">
            <w:pPr>
              <w:jc w:val="center"/>
              <w:cnfStyle w:val="000000010000" w:firstRow="0" w:lastRow="0" w:firstColumn="0" w:lastColumn="0" w:oddVBand="0" w:evenVBand="0" w:oddHBand="0" w:evenHBand="1" w:firstRowFirstColumn="0" w:firstRowLastColumn="0" w:lastRowFirstColumn="0" w:lastRowLastColumn="0"/>
              <w:rPr>
                <w:noProof/>
              </w:rPr>
            </w:pPr>
            <w:r w:rsidRPr="00040F04">
              <w:rPr>
                <w:noProof/>
              </w:rPr>
              <w:t>1</w:t>
            </w:r>
            <w:r w:rsidRPr="00040F04">
              <w:rPr>
                <w:rFonts w:ascii="Calibri" w:hAnsi="Calibri" w:cs="Calibri"/>
                <w:noProof/>
              </w:rPr>
              <w:t> </w:t>
            </w:r>
            <w:r w:rsidRPr="00040F04">
              <w:rPr>
                <w:noProof/>
              </w:rPr>
              <w:t>118.0</w:t>
            </w:r>
          </w:p>
        </w:tc>
      </w:tr>
    </w:tbl>
    <w:p w14:paraId="3660A46E" w14:textId="77777777" w:rsidR="0018222F" w:rsidRPr="00040F04" w:rsidRDefault="0018222F" w:rsidP="0018222F">
      <w:pPr>
        <w:pStyle w:val="ppoListHyphened-L1"/>
        <w:rPr>
          <w:noProof/>
        </w:rPr>
      </w:pPr>
      <w:r w:rsidRPr="00040F04">
        <w:rPr>
          <w:noProof/>
        </w:rPr>
        <w:t>By the end of 2021, 14% of the total envelope for 2021-2027 had been committed, which corresponds approximately to one seventh of the 7-year multiannual financial framework. The entry into force of NDICI–Global Europe paved the way for the adoption, in record time, of most of the relevant multiannual indicative programmes and annual action plans, along with individual and special measures for countries, regions, Erasmus+ and thematic programmes by the end of 2021.</w:t>
      </w:r>
    </w:p>
    <w:p w14:paraId="3490DC77" w14:textId="77777777" w:rsidR="0018222F" w:rsidRPr="00040F04" w:rsidRDefault="0018222F" w:rsidP="0018222F">
      <w:pPr>
        <w:pStyle w:val="ppoListHyphened-L1"/>
        <w:rPr>
          <w:noProof/>
        </w:rPr>
      </w:pPr>
      <w:r w:rsidRPr="00040F04">
        <w:rPr>
          <w:noProof/>
        </w:rPr>
        <w:t>All of these programmes will contribute significantly to climate action, social inclusion and human development, including education, migration and forced displacement, gender equality and biodiversity.</w:t>
      </w:r>
    </w:p>
    <w:p w14:paraId="3466862A" w14:textId="77777777" w:rsidR="0018222F" w:rsidRPr="00040F04" w:rsidRDefault="0018222F" w:rsidP="0018222F">
      <w:pPr>
        <w:pStyle w:val="ppoListHyphened-L1"/>
        <w:rPr>
          <w:noProof/>
        </w:rPr>
      </w:pPr>
      <w:r w:rsidRPr="00040F04">
        <w:rPr>
          <w:noProof/>
        </w:rPr>
        <w:t>The multiannual indicative programmes include the identification of Team Europe initiatives, put in place together with Member States, their agencies and European financial institutions, with the aim of achieving the maximum transformative impact in partner countries.</w:t>
      </w:r>
    </w:p>
    <w:p w14:paraId="5C35D74B" w14:textId="77777777" w:rsidR="0018222F" w:rsidRPr="00040F04" w:rsidRDefault="0018222F" w:rsidP="0018222F">
      <w:pPr>
        <w:pStyle w:val="ppoListHyphened-L1"/>
        <w:rPr>
          <w:noProof/>
        </w:rPr>
      </w:pPr>
      <w:r w:rsidRPr="00040F04">
        <w:rPr>
          <w:noProof/>
        </w:rPr>
        <w:t>In total, for 2021, the Commission services involved (DG Neighbourhood and Enlargement Negotiations,</w:t>
      </w:r>
      <w:r w:rsidRPr="00040F04" w:rsidDel="00C10197">
        <w:rPr>
          <w:noProof/>
        </w:rPr>
        <w:t xml:space="preserve"> </w:t>
      </w:r>
      <w:r w:rsidRPr="00040F04">
        <w:rPr>
          <w:noProof/>
        </w:rPr>
        <w:t>DG International Partnerships and the Service for Foreign Policy Instruments) and the European External Action Service</w:t>
      </w:r>
      <w:r w:rsidRPr="00040F04" w:rsidDel="00C10197">
        <w:rPr>
          <w:noProof/>
        </w:rPr>
        <w:t xml:space="preserve"> </w:t>
      </w:r>
      <w:r w:rsidRPr="00040F04">
        <w:rPr>
          <w:noProof/>
        </w:rPr>
        <w:t>managed to complete the adoption of 86 country, one multi-country and five regional multiannual indicative programmes, complemented by Erasmus+ and four thematic multiannual indicative programmes, along with the subsequent annual action plans and other measures authorising the use of funds.</w:t>
      </w:r>
    </w:p>
    <w:p w14:paraId="18913084" w14:textId="77777777" w:rsidR="0018222F" w:rsidRPr="00040F04" w:rsidRDefault="0018222F" w:rsidP="0018222F">
      <w:pPr>
        <w:pStyle w:val="ppoListHyphened-L1"/>
        <w:rPr>
          <w:noProof/>
        </w:rPr>
      </w:pPr>
      <w:r w:rsidRPr="00040F04">
        <w:rPr>
          <w:noProof/>
        </w:rPr>
        <w:t>Their adoption was preceded by thorough consultations with partner countries, Member States and other stakeholders (civil-society organisations, including women’s and youth organisations, local authorities, representatives from the private sector, the United Nations and other like-minded partners). The total amount for the multiannual indicative programmes adopted is EUR</w:t>
      </w:r>
      <w:r w:rsidRPr="00040F04">
        <w:rPr>
          <w:rFonts w:ascii="Calibri" w:hAnsi="Calibri" w:cs="Calibri"/>
          <w:noProof/>
        </w:rPr>
        <w:t> </w:t>
      </w:r>
      <w:r w:rsidRPr="00040F04">
        <w:rPr>
          <w:noProof/>
        </w:rPr>
        <w:t>30.6</w:t>
      </w:r>
      <w:r w:rsidRPr="00040F04">
        <w:rPr>
          <w:rFonts w:ascii="Calibri" w:hAnsi="Calibri" w:cs="Calibri"/>
          <w:noProof/>
        </w:rPr>
        <w:t> </w:t>
      </w:r>
      <w:r w:rsidRPr="00040F04">
        <w:rPr>
          <w:noProof/>
        </w:rPr>
        <w:t>billion.</w:t>
      </w:r>
    </w:p>
    <w:p w14:paraId="14FEEA62" w14:textId="77777777" w:rsidR="0018222F" w:rsidRPr="00040F04" w:rsidRDefault="0018222F" w:rsidP="0018222F">
      <w:pPr>
        <w:pStyle w:val="ppoListHyphened-L1"/>
        <w:rPr>
          <w:noProof/>
        </w:rPr>
      </w:pPr>
      <w:r w:rsidRPr="00040F04">
        <w:rPr>
          <w:noProof/>
        </w:rPr>
        <w:t>In some cases, the policy frameworks were renewed at either the regional or the country level, while for the neighbourhood countries, negotiations on the joint documents with partner countries progressed at different speeds. In several instances, discussions and situations with some partner countries required continued adaptation of the programming to the evolving political situation.</w:t>
      </w:r>
    </w:p>
    <w:p w14:paraId="12726E72" w14:textId="77777777" w:rsidR="0018222F" w:rsidRPr="00040F04" w:rsidRDefault="0018222F" w:rsidP="0018222F">
      <w:pPr>
        <w:pStyle w:val="ppoListHyphened-L1"/>
        <w:rPr>
          <w:noProof/>
        </w:rPr>
      </w:pPr>
      <w:r w:rsidRPr="00040F04">
        <w:rPr>
          <w:noProof/>
        </w:rPr>
        <w:t>As a consequence, based on Article</w:t>
      </w:r>
      <w:r w:rsidRPr="00040F04">
        <w:rPr>
          <w:rFonts w:ascii="Calibri" w:hAnsi="Calibri" w:cs="Calibri"/>
          <w:noProof/>
        </w:rPr>
        <w:t> </w:t>
      </w:r>
      <w:r w:rsidRPr="00040F04">
        <w:rPr>
          <w:noProof/>
        </w:rPr>
        <w:t>30 of the NDICI–Global Europe regulation, EUR</w:t>
      </w:r>
      <w:r w:rsidRPr="00040F04">
        <w:rPr>
          <w:rFonts w:ascii="Calibri" w:hAnsi="Calibri" w:cs="Calibri"/>
          <w:noProof/>
        </w:rPr>
        <w:t> </w:t>
      </w:r>
      <w:r w:rsidRPr="00040F04">
        <w:rPr>
          <w:noProof/>
        </w:rPr>
        <w:t>1.6</w:t>
      </w:r>
      <w:r w:rsidRPr="00040F04">
        <w:rPr>
          <w:rFonts w:ascii="Calibri" w:hAnsi="Calibri" w:cs="Calibri"/>
          <w:noProof/>
        </w:rPr>
        <w:t> </w:t>
      </w:r>
      <w:r w:rsidRPr="00040F04">
        <w:rPr>
          <w:noProof/>
        </w:rPr>
        <w:t>billion has been carried over to be implemented in the first half of 2022. Ten multiannual indicative programmes under the geographic pillar remain in the pipeline for adoption in the first half of 2022, depending on progress in the negotiations with the partner countries.</w:t>
      </w:r>
    </w:p>
    <w:p w14:paraId="4B03D1C5" w14:textId="77777777" w:rsidR="0018222F" w:rsidRPr="00040F04" w:rsidRDefault="0018222F" w:rsidP="0018222F">
      <w:pPr>
        <w:pStyle w:val="ppoListHyphened-L1"/>
        <w:rPr>
          <w:noProof/>
        </w:rPr>
      </w:pPr>
      <w:r w:rsidRPr="00040F04">
        <w:rPr>
          <w:noProof/>
        </w:rPr>
        <w:t xml:space="preserve">Nearly 92% of the funds in the country multiannual indicative programmes target </w:t>
      </w:r>
      <w:bookmarkStart w:id="237" w:name="_Hlk100917565"/>
      <w:r w:rsidRPr="00682425">
        <w:rPr>
          <w:noProof/>
        </w:rPr>
        <w:t>least-developed</w:t>
      </w:r>
      <w:r w:rsidRPr="00040F04">
        <w:rPr>
          <w:noProof/>
        </w:rPr>
        <w:t xml:space="preserve"> </w:t>
      </w:r>
      <w:bookmarkEnd w:id="237"/>
      <w:r w:rsidRPr="00040F04">
        <w:rPr>
          <w:noProof/>
        </w:rPr>
        <w:t>and lower-middle-income countries.</w:t>
      </w:r>
    </w:p>
    <w:p w14:paraId="6C9361E8" w14:textId="77777777" w:rsidR="0018222F" w:rsidRPr="00040F04" w:rsidRDefault="0018222F" w:rsidP="0018222F">
      <w:pPr>
        <w:pStyle w:val="ppoListHyphened-L1"/>
        <w:rPr>
          <w:noProof/>
        </w:rPr>
      </w:pPr>
      <w:r w:rsidRPr="00040F04">
        <w:rPr>
          <w:noProof/>
        </w:rPr>
        <w:t>The adopted country, multi-country and regional multiannual indicative programmes aim to deliver on the EU’s overarching policy objectives, and notably all of them are geared towards the Green Deal objectives and enhancing gender equality.</w:t>
      </w:r>
    </w:p>
    <w:p w14:paraId="6D1FFE56" w14:textId="77777777" w:rsidR="0018222F" w:rsidRPr="00040F04" w:rsidRDefault="0018222F" w:rsidP="0018222F">
      <w:pPr>
        <w:pStyle w:val="ppoListHyphened-L1"/>
        <w:rPr>
          <w:noProof/>
        </w:rPr>
      </w:pPr>
      <w:r w:rsidRPr="00040F04">
        <w:rPr>
          <w:noProof/>
        </w:rPr>
        <w:t>The digital agenda features in over 80% of the multiannual indicative programmes; sustainable growth and decent jobs feature in around 70%; migration and forced displacement are covered by more than half; governance, peace and security feature in nearly 90%; and social inclusion and human development are covered by more than 90% (with education in particular addressed in 80% of the multiannual indicative programmes).</w:t>
      </w:r>
    </w:p>
    <w:p w14:paraId="7F6D0939" w14:textId="77777777" w:rsidR="0018222F" w:rsidRPr="00040F04" w:rsidRDefault="0018222F" w:rsidP="0018222F">
      <w:pPr>
        <w:pStyle w:val="ppoListHyphened-L1"/>
        <w:rPr>
          <w:noProof/>
        </w:rPr>
      </w:pPr>
      <w:r w:rsidRPr="00040F04">
        <w:rPr>
          <w:noProof/>
        </w:rPr>
        <w:t>Four thematic multiannual indicative programmes complement these geographic ones: human rights and democracy (EUR</w:t>
      </w:r>
      <w:r w:rsidRPr="00040F04">
        <w:rPr>
          <w:rFonts w:ascii="Calibri" w:hAnsi="Calibri" w:cs="Calibri"/>
          <w:noProof/>
        </w:rPr>
        <w:t> </w:t>
      </w:r>
      <w:r w:rsidRPr="00040F04">
        <w:rPr>
          <w:noProof/>
        </w:rPr>
        <w:t>1.5</w:t>
      </w:r>
      <w:r w:rsidRPr="00040F04">
        <w:rPr>
          <w:rFonts w:ascii="Calibri" w:hAnsi="Calibri" w:cs="Calibri"/>
          <w:noProof/>
        </w:rPr>
        <w:t> </w:t>
      </w:r>
      <w:r w:rsidRPr="00040F04">
        <w:rPr>
          <w:noProof/>
        </w:rPr>
        <w:t>billion); civil-society organisations (EUR</w:t>
      </w:r>
      <w:r w:rsidRPr="00040F04">
        <w:rPr>
          <w:rFonts w:ascii="Calibri" w:hAnsi="Calibri" w:cs="Calibri"/>
          <w:noProof/>
        </w:rPr>
        <w:t> </w:t>
      </w:r>
      <w:r w:rsidRPr="00040F04">
        <w:rPr>
          <w:noProof/>
        </w:rPr>
        <w:t>1.5</w:t>
      </w:r>
      <w:r w:rsidRPr="00040F04">
        <w:rPr>
          <w:rFonts w:ascii="Calibri" w:hAnsi="Calibri" w:cs="Calibri"/>
          <w:noProof/>
        </w:rPr>
        <w:t> </w:t>
      </w:r>
      <w:r w:rsidRPr="00040F04">
        <w:rPr>
          <w:noProof/>
        </w:rPr>
        <w:t>billion); peace, stability and conflict prevention (EUR</w:t>
      </w:r>
      <w:r w:rsidRPr="00040F04">
        <w:rPr>
          <w:rFonts w:ascii="Calibri" w:hAnsi="Calibri" w:cs="Calibri"/>
          <w:noProof/>
        </w:rPr>
        <w:t> </w:t>
      </w:r>
      <w:r w:rsidRPr="00040F04">
        <w:rPr>
          <w:noProof/>
        </w:rPr>
        <w:t>871</w:t>
      </w:r>
      <w:r w:rsidRPr="00040F04">
        <w:rPr>
          <w:rFonts w:ascii="Calibri" w:hAnsi="Calibri" w:cs="Calibri"/>
          <w:noProof/>
        </w:rPr>
        <w:t> </w:t>
      </w:r>
      <w:r w:rsidRPr="00040F04">
        <w:rPr>
          <w:noProof/>
        </w:rPr>
        <w:t>million); and global challenges (EUR</w:t>
      </w:r>
      <w:r w:rsidRPr="00040F04">
        <w:rPr>
          <w:rFonts w:ascii="Calibri" w:hAnsi="Calibri" w:cs="Calibri"/>
          <w:noProof/>
        </w:rPr>
        <w:t> </w:t>
      </w:r>
      <w:r w:rsidRPr="00040F04">
        <w:rPr>
          <w:noProof/>
        </w:rPr>
        <w:t>3.6</w:t>
      </w:r>
      <w:r w:rsidRPr="00040F04">
        <w:rPr>
          <w:rFonts w:ascii="Calibri" w:hAnsi="Calibri" w:cs="Calibri"/>
          <w:noProof/>
        </w:rPr>
        <w:t> </w:t>
      </w:r>
      <w:r w:rsidRPr="00040F04">
        <w:rPr>
          <w:noProof/>
        </w:rPr>
        <w:t>billion).</w:t>
      </w:r>
    </w:p>
    <w:p w14:paraId="1507C3C6" w14:textId="77777777" w:rsidR="0018222F" w:rsidRPr="00040F04" w:rsidRDefault="0018222F" w:rsidP="0018222F">
      <w:pPr>
        <w:pStyle w:val="ppoListHyphened-L1"/>
        <w:rPr>
          <w:noProof/>
        </w:rPr>
      </w:pPr>
      <w:r w:rsidRPr="00040F04">
        <w:rPr>
          <w:noProof/>
        </w:rPr>
        <w:t>In addition, the Erasmus+ multiannual indicative programme was adopted in 2021 with a funding amount of EUR</w:t>
      </w:r>
      <w:r w:rsidRPr="00040F04">
        <w:rPr>
          <w:rFonts w:ascii="Calibri" w:hAnsi="Calibri" w:cs="Calibri"/>
          <w:noProof/>
        </w:rPr>
        <w:t> </w:t>
      </w:r>
      <w:r w:rsidRPr="00040F04">
        <w:rPr>
          <w:noProof/>
        </w:rPr>
        <w:t>1.79</w:t>
      </w:r>
      <w:r w:rsidRPr="00040F04">
        <w:rPr>
          <w:rFonts w:ascii="Calibri" w:hAnsi="Calibri" w:cs="Calibri"/>
          <w:noProof/>
        </w:rPr>
        <w:t> </w:t>
      </w:r>
      <w:r w:rsidRPr="00040F04">
        <w:rPr>
          <w:noProof/>
        </w:rPr>
        <w:t>billion, including funding coming from the Instrument for Pre-accession Assistance.</w:t>
      </w:r>
    </w:p>
    <w:p w14:paraId="65EE4457" w14:textId="77777777" w:rsidR="0018222F" w:rsidRPr="00040F04" w:rsidRDefault="0018222F" w:rsidP="0018222F">
      <w:pPr>
        <w:pStyle w:val="ppoListHyphened-L1"/>
        <w:rPr>
          <w:noProof/>
        </w:rPr>
      </w:pPr>
      <w:r w:rsidRPr="00040F04">
        <w:rPr>
          <w:noProof/>
        </w:rPr>
        <w:t>Moreover, the 2021 annual action plans for programmable measures for conflict prevention, peacebuilding and crisis preparedness and for addressing global, transregional and emerging threats were adopted.</w:t>
      </w:r>
    </w:p>
    <w:p w14:paraId="00C0AD67" w14:textId="77777777" w:rsidR="0018222F" w:rsidRPr="00040F04" w:rsidRDefault="0018222F" w:rsidP="0018222F">
      <w:pPr>
        <w:pStyle w:val="ppoListHyphened-L1"/>
        <w:rPr>
          <w:noProof/>
        </w:rPr>
      </w:pPr>
      <w:r w:rsidRPr="00040F04">
        <w:rPr>
          <w:noProof/>
        </w:rPr>
        <w:t>Finally, by the end of year, 42 new crisis-response initiatives and 10 initiatives responding to global threats had been launched under the rapid response pillar. The resilience component of the rapid response measures was used to finance the individual measure to support inclusive quality education for refugees in Turkey.</w:t>
      </w:r>
    </w:p>
    <w:p w14:paraId="7AC8FC31" w14:textId="77777777" w:rsidR="0018222F" w:rsidRPr="00040F04" w:rsidRDefault="0018222F" w:rsidP="0018222F">
      <w:pPr>
        <w:pStyle w:val="ppoHeading5"/>
        <w:rPr>
          <w:noProof/>
        </w:rPr>
      </w:pPr>
      <w:r w:rsidRPr="00040F04">
        <w:rPr>
          <w:noProof/>
        </w:rPr>
        <w:t>Contribution to horizontal priorities</w:t>
      </w:r>
    </w:p>
    <w:p w14:paraId="0B7FD15A" w14:textId="77777777" w:rsidR="0018222F" w:rsidRPr="00040F04" w:rsidRDefault="0018222F" w:rsidP="0018222F">
      <w:pPr>
        <w:pStyle w:val="ppoTableTabletitle"/>
        <w:rPr>
          <w:noProof/>
        </w:rPr>
      </w:pPr>
      <w:r w:rsidRPr="00040F04">
        <w:rPr>
          <w:noProof/>
        </w:rPr>
        <w:t>EU budget contribution in 2021 (million EUR):</w:t>
      </w:r>
    </w:p>
    <w:tbl>
      <w:tblPr>
        <w:tblStyle w:val="PPO2021"/>
        <w:tblW w:w="9639" w:type="dxa"/>
        <w:tblInd w:w="0" w:type="dxa"/>
        <w:tblLook w:val="0420" w:firstRow="1" w:lastRow="0" w:firstColumn="0" w:lastColumn="0" w:noHBand="0" w:noVBand="1"/>
      </w:tblPr>
      <w:tblGrid>
        <w:gridCol w:w="3213"/>
        <w:gridCol w:w="3213"/>
        <w:gridCol w:w="3213"/>
      </w:tblGrid>
      <w:tr w:rsidR="0018222F" w:rsidRPr="00040F04" w14:paraId="1A909EDD" w14:textId="77777777" w:rsidTr="0083214A">
        <w:trPr>
          <w:cnfStyle w:val="100000000000" w:firstRow="1" w:lastRow="0" w:firstColumn="0" w:lastColumn="0" w:oddVBand="0" w:evenVBand="0" w:oddHBand="0" w:evenHBand="0" w:firstRowFirstColumn="0" w:firstRowLastColumn="0" w:lastRowFirstColumn="0" w:lastRowLastColumn="0"/>
          <w:tblHeader/>
        </w:trPr>
        <w:tc>
          <w:tcPr>
            <w:tcW w:w="3213" w:type="dxa"/>
          </w:tcPr>
          <w:p w14:paraId="418F17C7" w14:textId="77777777" w:rsidR="0018222F" w:rsidRPr="00040F04" w:rsidRDefault="0018222F" w:rsidP="0083214A">
            <w:pPr>
              <w:rPr>
                <w:noProof/>
              </w:rPr>
            </w:pPr>
            <w:r w:rsidRPr="00040F04">
              <w:rPr>
                <w:noProof/>
              </w:rPr>
              <w:t>Climate</w:t>
            </w:r>
          </w:p>
        </w:tc>
        <w:tc>
          <w:tcPr>
            <w:tcW w:w="3213" w:type="dxa"/>
          </w:tcPr>
          <w:p w14:paraId="298FFBF8" w14:textId="77777777" w:rsidR="0018222F" w:rsidRPr="00040F04" w:rsidRDefault="0018222F" w:rsidP="0083214A">
            <w:pPr>
              <w:rPr>
                <w:noProof/>
              </w:rPr>
            </w:pPr>
            <w:r w:rsidRPr="00040F04">
              <w:rPr>
                <w:noProof/>
              </w:rPr>
              <w:t>Biodiversity</w:t>
            </w:r>
          </w:p>
        </w:tc>
        <w:tc>
          <w:tcPr>
            <w:tcW w:w="3213" w:type="dxa"/>
          </w:tcPr>
          <w:p w14:paraId="13C2284C" w14:textId="77777777" w:rsidR="0018222F" w:rsidRPr="00040F04" w:rsidRDefault="0018222F" w:rsidP="0083214A">
            <w:pPr>
              <w:rPr>
                <w:noProof/>
              </w:rPr>
            </w:pPr>
            <w:r w:rsidRPr="00040F04">
              <w:rPr>
                <w:noProof/>
              </w:rPr>
              <w:t>Gender equality</w:t>
            </w:r>
            <w:r w:rsidRPr="00040F04">
              <w:rPr>
                <w:rFonts w:ascii="Calibri" w:hAnsi="Calibri" w:cs="Calibri"/>
                <w:noProof/>
              </w:rPr>
              <w:t> </w:t>
            </w:r>
            <w:r w:rsidRPr="00040F04">
              <w:rPr>
                <w:noProof/>
              </w:rPr>
              <w:t>(*)</w:t>
            </w:r>
          </w:p>
        </w:tc>
      </w:tr>
      <w:tr w:rsidR="0018222F" w:rsidRPr="00040F04" w14:paraId="026430EF" w14:textId="77777777" w:rsidTr="0083214A">
        <w:trPr>
          <w:cnfStyle w:val="000000100000" w:firstRow="0" w:lastRow="0" w:firstColumn="0" w:lastColumn="0" w:oddVBand="0" w:evenVBand="0" w:oddHBand="1" w:evenHBand="0" w:firstRowFirstColumn="0" w:firstRowLastColumn="0" w:lastRowFirstColumn="0" w:lastRowLastColumn="0"/>
        </w:trPr>
        <w:tc>
          <w:tcPr>
            <w:tcW w:w="3213" w:type="dxa"/>
          </w:tcPr>
          <w:p w14:paraId="392B410E" w14:textId="3E0E9412" w:rsidR="0018222F" w:rsidRPr="00040F04" w:rsidRDefault="00943AD6" w:rsidP="0083214A">
            <w:pPr>
              <w:jc w:val="center"/>
              <w:rPr>
                <w:noProof/>
              </w:rPr>
            </w:pPr>
            <w:r>
              <w:rPr>
                <w:noProof/>
              </w:rPr>
              <w:t>2 036.9</w:t>
            </w:r>
          </w:p>
        </w:tc>
        <w:tc>
          <w:tcPr>
            <w:tcW w:w="3213" w:type="dxa"/>
          </w:tcPr>
          <w:p w14:paraId="4B6B757A" w14:textId="50535E17" w:rsidR="0018222F" w:rsidRPr="00040F04" w:rsidRDefault="00ED5A29" w:rsidP="0083214A">
            <w:pPr>
              <w:jc w:val="center"/>
              <w:rPr>
                <w:noProof/>
              </w:rPr>
            </w:pPr>
            <w:r>
              <w:rPr>
                <w:noProof/>
              </w:rPr>
              <w:t>723.7</w:t>
            </w:r>
          </w:p>
        </w:tc>
        <w:tc>
          <w:tcPr>
            <w:tcW w:w="3213" w:type="dxa"/>
          </w:tcPr>
          <w:p w14:paraId="7486966B" w14:textId="294D733F" w:rsidR="0018222F" w:rsidRPr="00040F04" w:rsidRDefault="006C11AD" w:rsidP="0083214A">
            <w:pPr>
              <w:jc w:val="center"/>
              <w:rPr>
                <w:noProof/>
              </w:rPr>
            </w:pPr>
            <w:r>
              <w:rPr>
                <w:noProof/>
              </w:rPr>
              <w:t xml:space="preserve">Score 2: </w:t>
            </w:r>
            <w:r w:rsidR="009746F6">
              <w:rPr>
                <w:noProof/>
              </w:rPr>
              <w:t>200</w:t>
            </w:r>
          </w:p>
          <w:p w14:paraId="6A45838D" w14:textId="2619EA9A" w:rsidR="0018222F" w:rsidRPr="00040F04" w:rsidRDefault="0018222F" w:rsidP="0083214A">
            <w:pPr>
              <w:jc w:val="center"/>
              <w:rPr>
                <w:noProof/>
              </w:rPr>
            </w:pPr>
            <w:r w:rsidRPr="00040F04">
              <w:rPr>
                <w:noProof/>
              </w:rPr>
              <w:t>Score 1: 8</w:t>
            </w:r>
            <w:r w:rsidRPr="00040F04">
              <w:rPr>
                <w:rFonts w:ascii="Calibri" w:hAnsi="Calibri" w:cs="Calibri"/>
                <w:noProof/>
              </w:rPr>
              <w:t> </w:t>
            </w:r>
            <w:r w:rsidR="0033722F">
              <w:rPr>
                <w:noProof/>
              </w:rPr>
              <w:t>453</w:t>
            </w:r>
          </w:p>
          <w:p w14:paraId="07D49BA8" w14:textId="0C1278E8" w:rsidR="0018222F" w:rsidRPr="00040F04" w:rsidRDefault="0018222F" w:rsidP="0083214A">
            <w:pPr>
              <w:jc w:val="center"/>
              <w:rPr>
                <w:noProof/>
              </w:rPr>
            </w:pPr>
            <w:r w:rsidRPr="00040F04">
              <w:rPr>
                <w:noProof/>
              </w:rPr>
              <w:t>Score 0: 2</w:t>
            </w:r>
            <w:r w:rsidRPr="00040F04">
              <w:rPr>
                <w:rFonts w:ascii="Calibri" w:hAnsi="Calibri" w:cs="Calibri"/>
                <w:noProof/>
              </w:rPr>
              <w:t> </w:t>
            </w:r>
            <w:r w:rsidR="0033722F">
              <w:rPr>
                <w:noProof/>
              </w:rPr>
              <w:t>17</w:t>
            </w:r>
            <w:r w:rsidR="00BD7E0E">
              <w:rPr>
                <w:noProof/>
              </w:rPr>
              <w:t>8</w:t>
            </w:r>
          </w:p>
        </w:tc>
      </w:tr>
    </w:tbl>
    <w:p w14:paraId="58B5FD71" w14:textId="77777777" w:rsidR="0018222F" w:rsidRPr="00040F04" w:rsidRDefault="0018222F" w:rsidP="0018222F">
      <w:pPr>
        <w:pStyle w:val="FootnoteText"/>
        <w:rPr>
          <w:noProof/>
        </w:rPr>
      </w:pPr>
      <w:r w:rsidRPr="00040F04">
        <w:rPr>
          <w:noProof/>
        </w:rPr>
        <w:t>(*)</w:t>
      </w:r>
      <w:r w:rsidRPr="00040F04">
        <w:rPr>
          <w:noProof/>
        </w:rPr>
        <w:tab/>
        <w:t>Based on the applied gender contribution methodology, the following scores are attributed at the most granular level of intervention possible:</w:t>
      </w:r>
    </w:p>
    <w:p w14:paraId="58C8AFDE" w14:textId="77777777" w:rsidR="0018222F" w:rsidRPr="00040F04" w:rsidRDefault="0018222F" w:rsidP="0018222F">
      <w:pPr>
        <w:pStyle w:val="FootnoteText"/>
        <w:numPr>
          <w:ilvl w:val="0"/>
          <w:numId w:val="38"/>
        </w:numPr>
        <w:spacing w:after="60" w:line="264" w:lineRule="auto"/>
        <w:jc w:val="left"/>
        <w:rPr>
          <w:noProof/>
        </w:rPr>
      </w:pPr>
      <w:r w:rsidRPr="00040F04">
        <w:rPr>
          <w:noProof/>
        </w:rPr>
        <w:t>2: interventions the principal objective of which is to improve gender equality;</w:t>
      </w:r>
    </w:p>
    <w:p w14:paraId="260FC3FF" w14:textId="77777777" w:rsidR="0018222F" w:rsidRPr="00040F04" w:rsidRDefault="0018222F" w:rsidP="0018222F">
      <w:pPr>
        <w:pStyle w:val="FootnoteText"/>
        <w:numPr>
          <w:ilvl w:val="0"/>
          <w:numId w:val="38"/>
        </w:numPr>
        <w:spacing w:after="60" w:line="264" w:lineRule="auto"/>
        <w:jc w:val="left"/>
        <w:rPr>
          <w:noProof/>
        </w:rPr>
      </w:pPr>
      <w:r w:rsidRPr="00040F04">
        <w:rPr>
          <w:noProof/>
        </w:rPr>
        <w:t>1: interventions that have gender equality as an important and deliberate objective but not as the main reason for the intervention;</w:t>
      </w:r>
    </w:p>
    <w:p w14:paraId="45DEDA23" w14:textId="77777777" w:rsidR="0018222F" w:rsidRPr="00040F04" w:rsidRDefault="0018222F" w:rsidP="0018222F">
      <w:pPr>
        <w:pStyle w:val="FootnoteText"/>
        <w:numPr>
          <w:ilvl w:val="0"/>
          <w:numId w:val="38"/>
        </w:numPr>
        <w:spacing w:after="60" w:line="264" w:lineRule="auto"/>
        <w:jc w:val="left"/>
        <w:rPr>
          <w:noProof/>
        </w:rPr>
      </w:pPr>
      <w:r w:rsidRPr="00040F04">
        <w:rPr>
          <w:noProof/>
        </w:rPr>
        <w:t>0: non-targeted interventions;</w:t>
      </w:r>
    </w:p>
    <w:p w14:paraId="11635C04" w14:textId="77777777" w:rsidR="0018222F" w:rsidRPr="00040F04" w:rsidRDefault="0018222F" w:rsidP="0018222F">
      <w:pPr>
        <w:pStyle w:val="FootnoteText"/>
        <w:numPr>
          <w:ilvl w:val="0"/>
          <w:numId w:val="38"/>
        </w:numPr>
        <w:spacing w:after="60" w:line="264" w:lineRule="auto"/>
        <w:jc w:val="left"/>
        <w:rPr>
          <w:noProof/>
        </w:rPr>
      </w:pPr>
      <w:r w:rsidRPr="00040F04">
        <w:rPr>
          <w:noProof/>
        </w:rPr>
        <w:t>0*: score to be assigned to interventions with a likely but not yet clear positive impact on gender equality.</w:t>
      </w:r>
    </w:p>
    <w:p w14:paraId="2BCDBD20" w14:textId="77777777" w:rsidR="0018222F" w:rsidRPr="00040F04" w:rsidRDefault="0018222F" w:rsidP="0018222F">
      <w:pPr>
        <w:pStyle w:val="ppoHeading5"/>
        <w:rPr>
          <w:noProof/>
        </w:rPr>
      </w:pPr>
      <w:r w:rsidRPr="00040F04">
        <w:rPr>
          <w:noProof/>
        </w:rPr>
        <w:t>Performance assessment</w:t>
      </w:r>
    </w:p>
    <w:p w14:paraId="0EDD4CE5" w14:textId="77777777" w:rsidR="0018222F" w:rsidRPr="00040F04" w:rsidRDefault="0018222F" w:rsidP="0018222F">
      <w:pPr>
        <w:pStyle w:val="ppoHeading6"/>
        <w:rPr>
          <w:noProof/>
        </w:rPr>
      </w:pPr>
      <w:r w:rsidRPr="00040F04">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18222F" w:rsidRPr="00040F04" w14:paraId="0142B2BE" w14:textId="77777777" w:rsidTr="0083214A">
        <w:trPr>
          <w:cnfStyle w:val="100000000000" w:firstRow="1" w:lastRow="0" w:firstColumn="0" w:lastColumn="0" w:oddVBand="0" w:evenVBand="0" w:oddHBand="0" w:evenHBand="0" w:firstRowFirstColumn="0" w:firstRowLastColumn="0" w:lastRowFirstColumn="0" w:lastRowLastColumn="0"/>
        </w:trPr>
        <w:tc>
          <w:tcPr>
            <w:tcW w:w="2330" w:type="dxa"/>
          </w:tcPr>
          <w:p w14:paraId="5ADB9F9E" w14:textId="77777777" w:rsidR="0018222F" w:rsidRPr="00040F04" w:rsidRDefault="0018222F" w:rsidP="0083214A">
            <w:pPr>
              <w:rPr>
                <w:noProof/>
              </w:rPr>
            </w:pPr>
          </w:p>
        </w:tc>
        <w:tc>
          <w:tcPr>
            <w:tcW w:w="1100" w:type="dxa"/>
          </w:tcPr>
          <w:p w14:paraId="3687539B" w14:textId="77777777" w:rsidR="0018222F" w:rsidRPr="00040F04" w:rsidRDefault="0018222F" w:rsidP="0083214A">
            <w:pPr>
              <w:rPr>
                <w:noProof/>
              </w:rPr>
            </w:pPr>
            <w:r w:rsidRPr="00040F04">
              <w:rPr>
                <w:noProof/>
              </w:rPr>
              <w:t>Baseline</w:t>
            </w:r>
          </w:p>
        </w:tc>
        <w:tc>
          <w:tcPr>
            <w:tcW w:w="1526" w:type="dxa"/>
          </w:tcPr>
          <w:p w14:paraId="009F27AC" w14:textId="77777777" w:rsidR="0018222F" w:rsidRPr="00040F04" w:rsidRDefault="0018222F" w:rsidP="0083214A">
            <w:pPr>
              <w:rPr>
                <w:noProof/>
              </w:rPr>
            </w:pPr>
            <w:r w:rsidRPr="00040F04">
              <w:rPr>
                <w:noProof/>
              </w:rPr>
              <w:t>Progress (*)</w:t>
            </w:r>
          </w:p>
        </w:tc>
        <w:tc>
          <w:tcPr>
            <w:tcW w:w="1532" w:type="dxa"/>
          </w:tcPr>
          <w:p w14:paraId="74C19419" w14:textId="77777777" w:rsidR="0018222F" w:rsidRPr="00040F04" w:rsidRDefault="0018222F" w:rsidP="0083214A">
            <w:pPr>
              <w:rPr>
                <w:noProof/>
              </w:rPr>
            </w:pPr>
            <w:r w:rsidRPr="00040F04">
              <w:rPr>
                <w:noProof/>
              </w:rPr>
              <w:t>Target</w:t>
            </w:r>
          </w:p>
        </w:tc>
        <w:tc>
          <w:tcPr>
            <w:tcW w:w="1572" w:type="dxa"/>
          </w:tcPr>
          <w:p w14:paraId="415B8024" w14:textId="77777777" w:rsidR="0018222F" w:rsidRPr="00040F04" w:rsidRDefault="0018222F" w:rsidP="0083214A">
            <w:pPr>
              <w:rPr>
                <w:noProof/>
              </w:rPr>
            </w:pPr>
            <w:r w:rsidRPr="00040F04">
              <w:rPr>
                <w:noProof/>
              </w:rPr>
              <w:t>Results</w:t>
            </w:r>
          </w:p>
        </w:tc>
        <w:tc>
          <w:tcPr>
            <w:tcW w:w="1579" w:type="dxa"/>
          </w:tcPr>
          <w:p w14:paraId="6E4FAA3C" w14:textId="77777777" w:rsidR="0018222F" w:rsidRPr="00040F04" w:rsidRDefault="0018222F" w:rsidP="0083214A">
            <w:pPr>
              <w:rPr>
                <w:noProof/>
              </w:rPr>
            </w:pPr>
            <w:r w:rsidRPr="00040F04">
              <w:rPr>
                <w:noProof/>
              </w:rPr>
              <w:t>Assessment</w:t>
            </w:r>
          </w:p>
        </w:tc>
      </w:tr>
      <w:tr w:rsidR="0018222F" w:rsidRPr="00040F04" w14:paraId="04B4A58B"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76CFC8B6" w14:textId="77777777" w:rsidR="0018222F" w:rsidRPr="00040F04" w:rsidRDefault="0018222F" w:rsidP="0083214A">
            <w:pPr>
              <w:rPr>
                <w:noProof/>
              </w:rPr>
            </w:pPr>
            <w:r w:rsidRPr="00040F04">
              <w:rPr>
                <w:noProof/>
              </w:rPr>
              <w:t>Proportion of population below the international poverty line</w:t>
            </w:r>
          </w:p>
        </w:tc>
        <w:tc>
          <w:tcPr>
            <w:tcW w:w="1100" w:type="dxa"/>
          </w:tcPr>
          <w:p w14:paraId="1C53D5F9" w14:textId="77777777" w:rsidR="0018222F" w:rsidRPr="00040F04" w:rsidRDefault="0018222F" w:rsidP="0083214A">
            <w:pPr>
              <w:jc w:val="center"/>
              <w:rPr>
                <w:noProof/>
              </w:rPr>
            </w:pPr>
            <w:r w:rsidRPr="00040F04">
              <w:rPr>
                <w:noProof/>
              </w:rPr>
              <w:t>9.3%</w:t>
            </w:r>
          </w:p>
        </w:tc>
        <w:tc>
          <w:tcPr>
            <w:tcW w:w="1526" w:type="dxa"/>
          </w:tcPr>
          <w:p w14:paraId="57446708" w14:textId="77777777" w:rsidR="0018222F" w:rsidRPr="00040F04" w:rsidRDefault="0018222F" w:rsidP="0083214A">
            <w:pPr>
              <w:jc w:val="center"/>
              <w:rPr>
                <w:b/>
                <w:noProof/>
              </w:rPr>
            </w:pPr>
          </w:p>
          <w:p w14:paraId="763172DF" w14:textId="77777777" w:rsidR="0018222F" w:rsidRPr="00040F04" w:rsidRDefault="0018222F" w:rsidP="0083214A">
            <w:pPr>
              <w:jc w:val="center"/>
              <w:rPr>
                <w:noProof/>
              </w:rPr>
            </w:pPr>
          </w:p>
        </w:tc>
        <w:tc>
          <w:tcPr>
            <w:tcW w:w="1532" w:type="dxa"/>
          </w:tcPr>
          <w:p w14:paraId="6210D477" w14:textId="77777777" w:rsidR="0018222F" w:rsidRPr="00040F04" w:rsidRDefault="0018222F" w:rsidP="0083214A">
            <w:pPr>
              <w:jc w:val="center"/>
              <w:rPr>
                <w:noProof/>
              </w:rPr>
            </w:pPr>
            <w:r w:rsidRPr="00040F04">
              <w:rPr>
                <w:noProof/>
              </w:rPr>
              <w:t>0% in 2030</w:t>
            </w:r>
          </w:p>
        </w:tc>
        <w:tc>
          <w:tcPr>
            <w:tcW w:w="1572" w:type="dxa"/>
          </w:tcPr>
          <w:p w14:paraId="3AB3B205" w14:textId="77777777" w:rsidR="0018222F" w:rsidRPr="00040F04" w:rsidRDefault="0018222F" w:rsidP="0083214A">
            <w:pPr>
              <w:tabs>
                <w:tab w:val="left" w:pos="608"/>
                <w:tab w:val="center" w:pos="678"/>
              </w:tabs>
              <w:jc w:val="center"/>
              <w:rPr>
                <w:noProof/>
              </w:rPr>
            </w:pPr>
            <w:r w:rsidRPr="00040F04">
              <w:rPr>
                <w:noProof/>
              </w:rPr>
              <w:t>No results</w:t>
            </w:r>
          </w:p>
        </w:tc>
        <w:tc>
          <w:tcPr>
            <w:tcW w:w="1579" w:type="dxa"/>
          </w:tcPr>
          <w:p w14:paraId="1AC14D06" w14:textId="77777777" w:rsidR="0018222F" w:rsidRPr="00040F04" w:rsidRDefault="0018222F" w:rsidP="0083214A">
            <w:pPr>
              <w:tabs>
                <w:tab w:val="left" w:pos="608"/>
                <w:tab w:val="center" w:pos="681"/>
              </w:tabs>
              <w:jc w:val="center"/>
              <w:rPr>
                <w:noProof/>
              </w:rPr>
            </w:pPr>
            <w:r w:rsidRPr="00040F04">
              <w:rPr>
                <w:noProof/>
              </w:rPr>
              <w:t>No data</w:t>
            </w:r>
          </w:p>
        </w:tc>
      </w:tr>
      <w:tr w:rsidR="0018222F" w:rsidRPr="00040F04" w14:paraId="12850515"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213F681D" w14:textId="77777777" w:rsidR="0018222F" w:rsidRPr="00040F04" w:rsidRDefault="0018222F" w:rsidP="0083214A">
            <w:pPr>
              <w:rPr>
                <w:noProof/>
              </w:rPr>
            </w:pPr>
            <w:r w:rsidRPr="00040F04">
              <w:rPr>
                <w:noProof/>
              </w:rPr>
              <w:t>Number of individuals with access to improved drinking water sources and/or sanitation facilitation with EU support</w:t>
            </w:r>
          </w:p>
        </w:tc>
        <w:tc>
          <w:tcPr>
            <w:tcW w:w="1100" w:type="dxa"/>
          </w:tcPr>
          <w:p w14:paraId="1889F73B" w14:textId="77777777" w:rsidR="0018222F" w:rsidRPr="00040F04" w:rsidRDefault="0018222F" w:rsidP="0083214A">
            <w:pPr>
              <w:jc w:val="center"/>
              <w:rPr>
                <w:noProof/>
              </w:rPr>
            </w:pPr>
            <w:r w:rsidRPr="00040F04">
              <w:rPr>
                <w:noProof/>
              </w:rPr>
              <w:t>0</w:t>
            </w:r>
          </w:p>
          <w:p w14:paraId="7FDE4BFA" w14:textId="77777777" w:rsidR="0018222F" w:rsidRPr="00040F04" w:rsidRDefault="0018222F" w:rsidP="0083214A">
            <w:pPr>
              <w:rPr>
                <w:noProof/>
              </w:rPr>
            </w:pPr>
          </w:p>
        </w:tc>
        <w:tc>
          <w:tcPr>
            <w:tcW w:w="1526" w:type="dxa"/>
          </w:tcPr>
          <w:p w14:paraId="0E15A2D8" w14:textId="77777777" w:rsidR="0018222F" w:rsidRPr="00040F04" w:rsidRDefault="0018222F" w:rsidP="0083214A">
            <w:pPr>
              <w:jc w:val="center"/>
              <w:rPr>
                <w:b/>
                <w:noProof/>
              </w:rPr>
            </w:pPr>
            <w:r w:rsidRPr="00040F04">
              <w:rPr>
                <w:b/>
                <w:noProof/>
              </w:rPr>
              <w:t>0%</w:t>
            </w:r>
          </w:p>
        </w:tc>
        <w:tc>
          <w:tcPr>
            <w:tcW w:w="1532" w:type="dxa"/>
          </w:tcPr>
          <w:p w14:paraId="6F14F708" w14:textId="77777777" w:rsidR="0018222F" w:rsidRPr="00040F04" w:rsidRDefault="0018222F" w:rsidP="0083214A">
            <w:pPr>
              <w:jc w:val="center"/>
              <w:rPr>
                <w:noProof/>
              </w:rPr>
            </w:pPr>
            <w:r w:rsidRPr="00040F04">
              <w:rPr>
                <w:noProof/>
              </w:rPr>
              <w:t>10.1</w:t>
            </w:r>
            <w:r w:rsidRPr="00040F04">
              <w:rPr>
                <w:rFonts w:ascii="Calibri" w:hAnsi="Calibri" w:cs="Calibri"/>
                <w:noProof/>
              </w:rPr>
              <w:t> </w:t>
            </w:r>
            <w:r w:rsidRPr="00040F04">
              <w:rPr>
                <w:noProof/>
              </w:rPr>
              <w:t>million in 2030</w:t>
            </w:r>
          </w:p>
        </w:tc>
        <w:tc>
          <w:tcPr>
            <w:tcW w:w="1572" w:type="dxa"/>
          </w:tcPr>
          <w:p w14:paraId="1255E173" w14:textId="77777777" w:rsidR="0018222F" w:rsidRPr="00040F04" w:rsidRDefault="0018222F" w:rsidP="0083214A">
            <w:pPr>
              <w:jc w:val="center"/>
              <w:rPr>
                <w:noProof/>
              </w:rPr>
            </w:pPr>
            <w:r w:rsidRPr="00040F04">
              <w:rPr>
                <w:noProof/>
              </w:rPr>
              <w:t>0</w:t>
            </w:r>
          </w:p>
        </w:tc>
        <w:tc>
          <w:tcPr>
            <w:tcW w:w="1579" w:type="dxa"/>
          </w:tcPr>
          <w:p w14:paraId="03B6AFDB" w14:textId="77777777" w:rsidR="0018222F" w:rsidRPr="00040F04" w:rsidRDefault="0018222F" w:rsidP="0083214A">
            <w:pPr>
              <w:jc w:val="center"/>
              <w:rPr>
                <w:noProof/>
              </w:rPr>
            </w:pPr>
            <w:r w:rsidRPr="00040F04">
              <w:rPr>
                <w:noProof/>
              </w:rPr>
              <w:t>On track</w:t>
            </w:r>
          </w:p>
        </w:tc>
      </w:tr>
      <w:tr w:rsidR="0018222F" w:rsidRPr="00040F04" w14:paraId="41A3BAF9"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1420A3AA" w14:textId="77777777" w:rsidR="0018222F" w:rsidRPr="00040F04" w:rsidRDefault="0018222F" w:rsidP="0083214A">
            <w:pPr>
              <w:rPr>
                <w:noProof/>
              </w:rPr>
            </w:pPr>
            <w:r w:rsidRPr="00040F04">
              <w:rPr>
                <w:noProof/>
              </w:rPr>
              <w:t>Number of students enrolled in education: (a) primary education, (b) secondary education, and number of people who have benefited from institution or workplace-based vocational education and training</w:t>
            </w:r>
            <w:r w:rsidRPr="00040F04">
              <w:rPr>
                <w:rFonts w:ascii="Calibri" w:hAnsi="Calibri" w:cs="Calibri"/>
                <w:noProof/>
              </w:rPr>
              <w:t> </w:t>
            </w:r>
            <w:r w:rsidRPr="00040F04">
              <w:rPr>
                <w:noProof/>
              </w:rPr>
              <w:t>/ skills-development interventions, supported by the EU</w:t>
            </w:r>
          </w:p>
        </w:tc>
        <w:tc>
          <w:tcPr>
            <w:tcW w:w="1100" w:type="dxa"/>
          </w:tcPr>
          <w:p w14:paraId="43336A9A" w14:textId="77777777" w:rsidR="0018222F" w:rsidRPr="00040F04" w:rsidRDefault="0018222F" w:rsidP="0083214A">
            <w:pPr>
              <w:jc w:val="center"/>
              <w:rPr>
                <w:noProof/>
              </w:rPr>
            </w:pPr>
            <w:r w:rsidRPr="00040F04">
              <w:rPr>
                <w:noProof/>
              </w:rPr>
              <w:t>0</w:t>
            </w:r>
          </w:p>
          <w:p w14:paraId="268D787A" w14:textId="77777777" w:rsidR="0018222F" w:rsidRPr="00040F04" w:rsidRDefault="0018222F" w:rsidP="0083214A">
            <w:pPr>
              <w:rPr>
                <w:noProof/>
              </w:rPr>
            </w:pPr>
          </w:p>
          <w:p w14:paraId="1C53B4B1" w14:textId="77777777" w:rsidR="0018222F" w:rsidRPr="00040F04" w:rsidRDefault="0018222F" w:rsidP="0083214A">
            <w:pPr>
              <w:tabs>
                <w:tab w:val="left" w:pos="608"/>
              </w:tabs>
              <w:rPr>
                <w:noProof/>
              </w:rPr>
            </w:pPr>
            <w:r w:rsidRPr="00040F04">
              <w:rPr>
                <w:noProof/>
              </w:rPr>
              <w:tab/>
            </w:r>
          </w:p>
        </w:tc>
        <w:tc>
          <w:tcPr>
            <w:tcW w:w="1526" w:type="dxa"/>
          </w:tcPr>
          <w:p w14:paraId="5247B202" w14:textId="77777777" w:rsidR="0018222F" w:rsidRPr="00040F04" w:rsidRDefault="0018222F" w:rsidP="0083214A">
            <w:pPr>
              <w:jc w:val="center"/>
              <w:rPr>
                <w:b/>
                <w:noProof/>
              </w:rPr>
            </w:pPr>
            <w:r w:rsidRPr="00040F04">
              <w:rPr>
                <w:b/>
                <w:noProof/>
              </w:rPr>
              <w:t>0%</w:t>
            </w:r>
          </w:p>
        </w:tc>
        <w:tc>
          <w:tcPr>
            <w:tcW w:w="1532" w:type="dxa"/>
          </w:tcPr>
          <w:p w14:paraId="2384CA0D" w14:textId="77777777" w:rsidR="0018222F" w:rsidRPr="00040F04" w:rsidRDefault="0018222F" w:rsidP="0083214A">
            <w:pPr>
              <w:jc w:val="center"/>
              <w:rPr>
                <w:noProof/>
              </w:rPr>
            </w:pPr>
            <w:r w:rsidRPr="00040F04">
              <w:rPr>
                <w:noProof/>
              </w:rPr>
              <w:t>2.1</w:t>
            </w:r>
            <w:r w:rsidRPr="00040F04">
              <w:rPr>
                <w:rFonts w:ascii="Calibri" w:hAnsi="Calibri" w:cs="Calibri"/>
                <w:noProof/>
              </w:rPr>
              <w:t> </w:t>
            </w:r>
            <w:r w:rsidRPr="00040F04">
              <w:rPr>
                <w:noProof/>
              </w:rPr>
              <w:t>million in 2030</w:t>
            </w:r>
          </w:p>
          <w:p w14:paraId="3848079A" w14:textId="77777777" w:rsidR="0018222F" w:rsidRPr="00040F04" w:rsidRDefault="0018222F" w:rsidP="0083214A">
            <w:pPr>
              <w:jc w:val="center"/>
              <w:rPr>
                <w:noProof/>
              </w:rPr>
            </w:pPr>
          </w:p>
        </w:tc>
        <w:tc>
          <w:tcPr>
            <w:tcW w:w="1572" w:type="dxa"/>
          </w:tcPr>
          <w:p w14:paraId="3E585F3C" w14:textId="77777777" w:rsidR="0018222F" w:rsidRPr="00040F04" w:rsidRDefault="0018222F" w:rsidP="0083214A">
            <w:pPr>
              <w:jc w:val="center"/>
              <w:rPr>
                <w:noProof/>
              </w:rPr>
            </w:pPr>
            <w:r w:rsidRPr="00040F04">
              <w:rPr>
                <w:noProof/>
              </w:rPr>
              <w:t>0</w:t>
            </w:r>
          </w:p>
        </w:tc>
        <w:tc>
          <w:tcPr>
            <w:tcW w:w="1579" w:type="dxa"/>
          </w:tcPr>
          <w:p w14:paraId="5F4A54CA" w14:textId="77777777" w:rsidR="0018222F" w:rsidRPr="00040F04" w:rsidRDefault="0018222F" w:rsidP="0083214A">
            <w:pPr>
              <w:jc w:val="center"/>
              <w:rPr>
                <w:noProof/>
              </w:rPr>
            </w:pPr>
            <w:r w:rsidRPr="00040F04">
              <w:rPr>
                <w:noProof/>
              </w:rPr>
              <w:t>On track</w:t>
            </w:r>
          </w:p>
        </w:tc>
      </w:tr>
      <w:tr w:rsidR="0018222F" w:rsidRPr="00040F04" w14:paraId="6BA448B4"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4148CA62" w14:textId="77777777" w:rsidR="0018222F" w:rsidRPr="00040F04" w:rsidRDefault="0018222F" w:rsidP="0083214A">
            <w:pPr>
              <w:rPr>
                <w:noProof/>
              </w:rPr>
            </w:pPr>
            <w:r w:rsidRPr="00040F04">
              <w:rPr>
                <w:noProof/>
              </w:rPr>
              <w:t>Number of migrants, refugees and internally displaced people or individuals from host communities protected or assisted with EU support</w:t>
            </w:r>
          </w:p>
        </w:tc>
        <w:tc>
          <w:tcPr>
            <w:tcW w:w="1100" w:type="dxa"/>
          </w:tcPr>
          <w:p w14:paraId="2088E8F8" w14:textId="77777777" w:rsidR="0018222F" w:rsidRPr="00040F04" w:rsidRDefault="0018222F" w:rsidP="0083214A">
            <w:pPr>
              <w:jc w:val="center"/>
              <w:rPr>
                <w:noProof/>
              </w:rPr>
            </w:pPr>
            <w:r w:rsidRPr="00040F04">
              <w:rPr>
                <w:noProof/>
              </w:rPr>
              <w:t>0</w:t>
            </w:r>
          </w:p>
        </w:tc>
        <w:tc>
          <w:tcPr>
            <w:tcW w:w="1526" w:type="dxa"/>
          </w:tcPr>
          <w:p w14:paraId="3F5E43FE" w14:textId="77777777" w:rsidR="0018222F" w:rsidRPr="00040F04" w:rsidRDefault="0018222F" w:rsidP="0083214A">
            <w:pPr>
              <w:jc w:val="center"/>
              <w:rPr>
                <w:b/>
                <w:noProof/>
              </w:rPr>
            </w:pPr>
            <w:r w:rsidRPr="00040F04">
              <w:rPr>
                <w:b/>
                <w:noProof/>
              </w:rPr>
              <w:t>0%</w:t>
            </w:r>
          </w:p>
        </w:tc>
        <w:tc>
          <w:tcPr>
            <w:tcW w:w="1532" w:type="dxa"/>
          </w:tcPr>
          <w:p w14:paraId="1E632F35" w14:textId="77777777" w:rsidR="0018222F" w:rsidRPr="00040F04" w:rsidRDefault="0018222F" w:rsidP="0083214A">
            <w:pPr>
              <w:jc w:val="center"/>
              <w:rPr>
                <w:noProof/>
              </w:rPr>
            </w:pPr>
            <w:r w:rsidRPr="00040F04">
              <w:rPr>
                <w:noProof/>
              </w:rPr>
              <w:t>25.1</w:t>
            </w:r>
            <w:r w:rsidRPr="00040F04">
              <w:rPr>
                <w:rFonts w:ascii="Calibri" w:hAnsi="Calibri" w:cs="Calibri"/>
                <w:noProof/>
              </w:rPr>
              <w:t> </w:t>
            </w:r>
            <w:r w:rsidRPr="00040F04">
              <w:rPr>
                <w:noProof/>
              </w:rPr>
              <w:t>million in 2030</w:t>
            </w:r>
          </w:p>
        </w:tc>
        <w:tc>
          <w:tcPr>
            <w:tcW w:w="1572" w:type="dxa"/>
          </w:tcPr>
          <w:p w14:paraId="5E16C61D" w14:textId="77777777" w:rsidR="0018222F" w:rsidRPr="00040F04" w:rsidRDefault="0018222F" w:rsidP="0083214A">
            <w:pPr>
              <w:jc w:val="center"/>
              <w:rPr>
                <w:noProof/>
              </w:rPr>
            </w:pPr>
            <w:r w:rsidRPr="00040F04">
              <w:rPr>
                <w:noProof/>
              </w:rPr>
              <w:t>0</w:t>
            </w:r>
          </w:p>
        </w:tc>
        <w:tc>
          <w:tcPr>
            <w:tcW w:w="1579" w:type="dxa"/>
          </w:tcPr>
          <w:p w14:paraId="2ABB39C7" w14:textId="77777777" w:rsidR="0018222F" w:rsidRPr="00040F04" w:rsidRDefault="0018222F" w:rsidP="0083214A">
            <w:pPr>
              <w:jc w:val="center"/>
              <w:rPr>
                <w:noProof/>
              </w:rPr>
            </w:pPr>
            <w:r w:rsidRPr="00040F04">
              <w:rPr>
                <w:noProof/>
              </w:rPr>
              <w:t>On track</w:t>
            </w:r>
          </w:p>
        </w:tc>
      </w:tr>
      <w:tr w:rsidR="0018222F" w:rsidRPr="00040F04" w14:paraId="556F6E43"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18861130" w14:textId="77777777" w:rsidR="0018222F" w:rsidRPr="00040F04" w:rsidRDefault="0018222F" w:rsidP="0083214A">
            <w:pPr>
              <w:rPr>
                <w:noProof/>
              </w:rPr>
            </w:pPr>
            <w:r w:rsidRPr="00040F04">
              <w:rPr>
                <w:noProof/>
              </w:rPr>
              <w:t>Number of countries and cities with climate change and/or disaster risk reduction strategies with EU support</w:t>
            </w:r>
          </w:p>
        </w:tc>
        <w:tc>
          <w:tcPr>
            <w:tcW w:w="1100" w:type="dxa"/>
          </w:tcPr>
          <w:p w14:paraId="6A4E1236" w14:textId="77777777" w:rsidR="0018222F" w:rsidRPr="00040F04" w:rsidRDefault="0018222F" w:rsidP="0083214A">
            <w:pPr>
              <w:jc w:val="center"/>
              <w:rPr>
                <w:noProof/>
              </w:rPr>
            </w:pPr>
            <w:r w:rsidRPr="00040F04">
              <w:rPr>
                <w:noProof/>
              </w:rPr>
              <w:t>0</w:t>
            </w:r>
          </w:p>
        </w:tc>
        <w:tc>
          <w:tcPr>
            <w:tcW w:w="1526" w:type="dxa"/>
          </w:tcPr>
          <w:p w14:paraId="501D8F29" w14:textId="77777777" w:rsidR="0018222F" w:rsidRPr="00040F04" w:rsidRDefault="0018222F" w:rsidP="0083214A">
            <w:pPr>
              <w:jc w:val="center"/>
              <w:rPr>
                <w:b/>
                <w:noProof/>
              </w:rPr>
            </w:pPr>
            <w:r w:rsidRPr="00040F04">
              <w:rPr>
                <w:b/>
                <w:noProof/>
              </w:rPr>
              <w:t>0%</w:t>
            </w:r>
          </w:p>
        </w:tc>
        <w:tc>
          <w:tcPr>
            <w:tcW w:w="1532" w:type="dxa"/>
          </w:tcPr>
          <w:p w14:paraId="190A072A" w14:textId="77777777" w:rsidR="0018222F" w:rsidRPr="00040F04" w:rsidRDefault="0018222F" w:rsidP="0083214A">
            <w:pPr>
              <w:jc w:val="center"/>
              <w:rPr>
                <w:noProof/>
              </w:rPr>
            </w:pPr>
            <w:r w:rsidRPr="00040F04">
              <w:rPr>
                <w:noProof/>
              </w:rPr>
              <w:t>730 in 2030</w:t>
            </w:r>
          </w:p>
        </w:tc>
        <w:tc>
          <w:tcPr>
            <w:tcW w:w="1572" w:type="dxa"/>
          </w:tcPr>
          <w:p w14:paraId="30C1A5FC" w14:textId="77777777" w:rsidR="0018222F" w:rsidRPr="00040F04" w:rsidRDefault="0018222F" w:rsidP="0083214A">
            <w:pPr>
              <w:jc w:val="center"/>
              <w:rPr>
                <w:noProof/>
              </w:rPr>
            </w:pPr>
            <w:r w:rsidRPr="00040F04">
              <w:rPr>
                <w:noProof/>
              </w:rPr>
              <w:t>0</w:t>
            </w:r>
          </w:p>
        </w:tc>
        <w:tc>
          <w:tcPr>
            <w:tcW w:w="1579" w:type="dxa"/>
          </w:tcPr>
          <w:p w14:paraId="10097237" w14:textId="77777777" w:rsidR="0018222F" w:rsidRPr="00040F04" w:rsidRDefault="0018222F" w:rsidP="0083214A">
            <w:pPr>
              <w:jc w:val="center"/>
              <w:rPr>
                <w:noProof/>
              </w:rPr>
            </w:pPr>
            <w:r w:rsidRPr="00040F04">
              <w:rPr>
                <w:noProof/>
              </w:rPr>
              <w:t>On track</w:t>
            </w:r>
          </w:p>
        </w:tc>
      </w:tr>
      <w:tr w:rsidR="0018222F" w:rsidRPr="00040F04" w14:paraId="492A54B4"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2EE5E8B7" w14:textId="77777777" w:rsidR="0018222F" w:rsidRPr="00040F04" w:rsidRDefault="0018222F" w:rsidP="0083214A">
            <w:pPr>
              <w:rPr>
                <w:noProof/>
              </w:rPr>
            </w:pPr>
            <w:r w:rsidRPr="00040F04">
              <w:rPr>
                <w:noProof/>
              </w:rPr>
              <w:t>Greenhouse gas emissions avoided (thousand tonnes of carbon dioxide equivalent) with EU support</w:t>
            </w:r>
          </w:p>
        </w:tc>
        <w:tc>
          <w:tcPr>
            <w:tcW w:w="1100" w:type="dxa"/>
          </w:tcPr>
          <w:p w14:paraId="451D8F4B" w14:textId="77777777" w:rsidR="0018222F" w:rsidRPr="00040F04" w:rsidRDefault="0018222F" w:rsidP="0083214A">
            <w:pPr>
              <w:jc w:val="center"/>
              <w:rPr>
                <w:noProof/>
              </w:rPr>
            </w:pPr>
            <w:r w:rsidRPr="00040F04">
              <w:rPr>
                <w:noProof/>
              </w:rPr>
              <w:t>0</w:t>
            </w:r>
          </w:p>
        </w:tc>
        <w:tc>
          <w:tcPr>
            <w:tcW w:w="1526" w:type="dxa"/>
          </w:tcPr>
          <w:p w14:paraId="1A0F0FC8" w14:textId="77777777" w:rsidR="0018222F" w:rsidRPr="00040F04" w:rsidRDefault="0018222F" w:rsidP="0083214A">
            <w:pPr>
              <w:jc w:val="center"/>
              <w:rPr>
                <w:b/>
                <w:noProof/>
              </w:rPr>
            </w:pPr>
            <w:r w:rsidRPr="00040F04">
              <w:rPr>
                <w:b/>
                <w:noProof/>
              </w:rPr>
              <w:t>0%</w:t>
            </w:r>
          </w:p>
        </w:tc>
        <w:tc>
          <w:tcPr>
            <w:tcW w:w="1532" w:type="dxa"/>
          </w:tcPr>
          <w:p w14:paraId="4EDD35D6" w14:textId="77777777" w:rsidR="0018222F" w:rsidRPr="00040F04" w:rsidRDefault="0018222F" w:rsidP="0083214A">
            <w:pPr>
              <w:jc w:val="center"/>
              <w:rPr>
                <w:noProof/>
              </w:rPr>
            </w:pPr>
            <w:r w:rsidRPr="00040F04">
              <w:rPr>
                <w:noProof/>
              </w:rPr>
              <w:t>62.8</w:t>
            </w:r>
            <w:r w:rsidRPr="00040F04">
              <w:rPr>
                <w:rFonts w:ascii="Calibri" w:hAnsi="Calibri" w:cs="Calibri"/>
                <w:noProof/>
              </w:rPr>
              <w:t> </w:t>
            </w:r>
            <w:r w:rsidRPr="00040F04">
              <w:rPr>
                <w:noProof/>
              </w:rPr>
              <w:t>million in 2030</w:t>
            </w:r>
          </w:p>
        </w:tc>
        <w:tc>
          <w:tcPr>
            <w:tcW w:w="1572" w:type="dxa"/>
          </w:tcPr>
          <w:p w14:paraId="176725D7" w14:textId="77777777" w:rsidR="0018222F" w:rsidRPr="00040F04" w:rsidRDefault="0018222F" w:rsidP="0083214A">
            <w:pPr>
              <w:jc w:val="center"/>
              <w:rPr>
                <w:noProof/>
              </w:rPr>
            </w:pPr>
            <w:r w:rsidRPr="00040F04">
              <w:rPr>
                <w:noProof/>
              </w:rPr>
              <w:t>0</w:t>
            </w:r>
          </w:p>
        </w:tc>
        <w:tc>
          <w:tcPr>
            <w:tcW w:w="1579" w:type="dxa"/>
          </w:tcPr>
          <w:p w14:paraId="6B236D70" w14:textId="77777777" w:rsidR="0018222F" w:rsidRPr="00040F04" w:rsidRDefault="0018222F" w:rsidP="0083214A">
            <w:pPr>
              <w:jc w:val="center"/>
              <w:rPr>
                <w:noProof/>
              </w:rPr>
            </w:pPr>
            <w:r w:rsidRPr="00040F04">
              <w:rPr>
                <w:noProof/>
              </w:rPr>
              <w:t>On track</w:t>
            </w:r>
          </w:p>
        </w:tc>
      </w:tr>
      <w:tr w:rsidR="0018222F" w:rsidRPr="00040F04" w14:paraId="5231FD68"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78005055" w14:textId="77777777" w:rsidR="0018222F" w:rsidRPr="00040F04" w:rsidRDefault="0018222F" w:rsidP="0083214A">
            <w:pPr>
              <w:rPr>
                <w:noProof/>
              </w:rPr>
            </w:pPr>
            <w:r w:rsidRPr="00040F04">
              <w:rPr>
                <w:noProof/>
              </w:rPr>
              <w:t>Leverage of investments and multiplier effect achieved</w:t>
            </w:r>
          </w:p>
        </w:tc>
        <w:tc>
          <w:tcPr>
            <w:tcW w:w="1100" w:type="dxa"/>
          </w:tcPr>
          <w:p w14:paraId="3F16D001" w14:textId="77777777" w:rsidR="0018222F" w:rsidRPr="00040F04" w:rsidRDefault="0018222F" w:rsidP="0083214A">
            <w:pPr>
              <w:jc w:val="center"/>
              <w:rPr>
                <w:noProof/>
              </w:rPr>
            </w:pPr>
            <w:r w:rsidRPr="00040F04">
              <w:rPr>
                <w:noProof/>
              </w:rPr>
              <w:t>0</w:t>
            </w:r>
          </w:p>
        </w:tc>
        <w:tc>
          <w:tcPr>
            <w:tcW w:w="1526" w:type="dxa"/>
          </w:tcPr>
          <w:p w14:paraId="69368B68" w14:textId="77777777" w:rsidR="0018222F" w:rsidRPr="00040F04" w:rsidRDefault="0018222F" w:rsidP="0083214A">
            <w:pPr>
              <w:jc w:val="center"/>
              <w:rPr>
                <w:b/>
                <w:noProof/>
              </w:rPr>
            </w:pPr>
            <w:r w:rsidRPr="00040F04">
              <w:rPr>
                <w:b/>
                <w:noProof/>
              </w:rPr>
              <w:t>0%</w:t>
            </w:r>
          </w:p>
        </w:tc>
        <w:tc>
          <w:tcPr>
            <w:tcW w:w="1532" w:type="dxa"/>
          </w:tcPr>
          <w:p w14:paraId="6C8EF4D6" w14:textId="77777777" w:rsidR="0018222F" w:rsidRPr="00040F04" w:rsidRDefault="0018222F" w:rsidP="0083214A">
            <w:pPr>
              <w:jc w:val="center"/>
              <w:rPr>
                <w:noProof/>
              </w:rPr>
            </w:pPr>
            <w:r w:rsidRPr="00040F04">
              <w:rPr>
                <w:noProof/>
              </w:rPr>
              <w:t>10 in 2030</w:t>
            </w:r>
          </w:p>
        </w:tc>
        <w:tc>
          <w:tcPr>
            <w:tcW w:w="1572" w:type="dxa"/>
          </w:tcPr>
          <w:p w14:paraId="4353B0B3" w14:textId="77777777" w:rsidR="0018222F" w:rsidRPr="00040F04" w:rsidRDefault="0018222F" w:rsidP="0083214A">
            <w:pPr>
              <w:jc w:val="center"/>
              <w:rPr>
                <w:noProof/>
              </w:rPr>
            </w:pPr>
            <w:r w:rsidRPr="00040F04">
              <w:rPr>
                <w:noProof/>
              </w:rPr>
              <w:t>0</w:t>
            </w:r>
          </w:p>
        </w:tc>
        <w:tc>
          <w:tcPr>
            <w:tcW w:w="1579" w:type="dxa"/>
          </w:tcPr>
          <w:p w14:paraId="7CAE9FB6" w14:textId="77777777" w:rsidR="0018222F" w:rsidRPr="00040F04" w:rsidRDefault="0018222F" w:rsidP="0083214A">
            <w:pPr>
              <w:jc w:val="center"/>
              <w:rPr>
                <w:noProof/>
              </w:rPr>
            </w:pPr>
            <w:r w:rsidRPr="00040F04">
              <w:rPr>
                <w:noProof/>
              </w:rPr>
              <w:t>On track</w:t>
            </w:r>
          </w:p>
        </w:tc>
      </w:tr>
      <w:tr w:rsidR="0018222F" w:rsidRPr="00040F04" w14:paraId="38A150A8"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62D35506" w14:textId="77777777" w:rsidR="0018222F" w:rsidRPr="00040F04" w:rsidRDefault="0018222F" w:rsidP="0083214A">
            <w:pPr>
              <w:rPr>
                <w:noProof/>
              </w:rPr>
            </w:pPr>
            <w:r w:rsidRPr="00040F04">
              <w:rPr>
                <w:noProof/>
              </w:rPr>
              <w:t>Number of individuals directly benefiting from EU-supported interventions that specifically aim to support civilian post-conflict, peacebuilding or conflict prevention</w:t>
            </w:r>
          </w:p>
        </w:tc>
        <w:tc>
          <w:tcPr>
            <w:tcW w:w="1100" w:type="dxa"/>
          </w:tcPr>
          <w:p w14:paraId="6071A3A4" w14:textId="77777777" w:rsidR="0018222F" w:rsidRPr="00040F04" w:rsidRDefault="0018222F" w:rsidP="0083214A">
            <w:pPr>
              <w:jc w:val="center"/>
              <w:rPr>
                <w:noProof/>
              </w:rPr>
            </w:pPr>
            <w:r w:rsidRPr="00040F04">
              <w:rPr>
                <w:noProof/>
              </w:rPr>
              <w:t>0</w:t>
            </w:r>
          </w:p>
        </w:tc>
        <w:tc>
          <w:tcPr>
            <w:tcW w:w="1526" w:type="dxa"/>
          </w:tcPr>
          <w:p w14:paraId="029FA9F7" w14:textId="77777777" w:rsidR="0018222F" w:rsidRPr="00040F04" w:rsidRDefault="0018222F" w:rsidP="0083214A">
            <w:pPr>
              <w:jc w:val="center"/>
              <w:rPr>
                <w:b/>
                <w:noProof/>
              </w:rPr>
            </w:pPr>
            <w:r w:rsidRPr="00040F04">
              <w:rPr>
                <w:b/>
                <w:noProof/>
              </w:rPr>
              <w:t>0%</w:t>
            </w:r>
          </w:p>
        </w:tc>
        <w:tc>
          <w:tcPr>
            <w:tcW w:w="1532" w:type="dxa"/>
          </w:tcPr>
          <w:p w14:paraId="424824F9" w14:textId="77777777" w:rsidR="0018222F" w:rsidRPr="00040F04" w:rsidRDefault="0018222F" w:rsidP="0083214A">
            <w:pPr>
              <w:jc w:val="center"/>
              <w:rPr>
                <w:noProof/>
              </w:rPr>
            </w:pPr>
            <w:r w:rsidRPr="00040F04">
              <w:rPr>
                <w:noProof/>
              </w:rPr>
              <w:t>3.8</w:t>
            </w:r>
            <w:r w:rsidRPr="00040F04">
              <w:rPr>
                <w:rFonts w:ascii="Calibri" w:hAnsi="Calibri" w:cs="Calibri"/>
                <w:noProof/>
              </w:rPr>
              <w:t> </w:t>
            </w:r>
            <w:r w:rsidRPr="00040F04">
              <w:rPr>
                <w:noProof/>
              </w:rPr>
              <w:t>million in 2030</w:t>
            </w:r>
          </w:p>
        </w:tc>
        <w:tc>
          <w:tcPr>
            <w:tcW w:w="1572" w:type="dxa"/>
          </w:tcPr>
          <w:p w14:paraId="64BF3FCC" w14:textId="77777777" w:rsidR="0018222F" w:rsidRPr="00040F04" w:rsidRDefault="0018222F" w:rsidP="0083214A">
            <w:pPr>
              <w:jc w:val="center"/>
              <w:rPr>
                <w:noProof/>
              </w:rPr>
            </w:pPr>
            <w:r w:rsidRPr="00040F04">
              <w:rPr>
                <w:noProof/>
              </w:rPr>
              <w:t>0</w:t>
            </w:r>
          </w:p>
        </w:tc>
        <w:tc>
          <w:tcPr>
            <w:tcW w:w="1579" w:type="dxa"/>
          </w:tcPr>
          <w:p w14:paraId="17FF4FB3" w14:textId="77777777" w:rsidR="0018222F" w:rsidRPr="00040F04" w:rsidRDefault="0018222F" w:rsidP="0083214A">
            <w:pPr>
              <w:jc w:val="center"/>
              <w:rPr>
                <w:noProof/>
              </w:rPr>
            </w:pPr>
            <w:r w:rsidRPr="00040F04">
              <w:rPr>
                <w:noProof/>
              </w:rPr>
              <w:t>On track</w:t>
            </w:r>
          </w:p>
        </w:tc>
      </w:tr>
    </w:tbl>
    <w:p w14:paraId="1FA01393" w14:textId="77777777" w:rsidR="0018222F" w:rsidRPr="00040F04" w:rsidRDefault="0018222F" w:rsidP="0018222F">
      <w:pPr>
        <w:pStyle w:val="FootnoteText"/>
        <w:spacing w:before="120"/>
        <w:rPr>
          <w:noProof/>
        </w:rPr>
      </w:pPr>
      <w:r w:rsidRPr="00040F04">
        <w:rPr>
          <w:noProof/>
        </w:rPr>
        <w:t>(*) % of target achieved by the end of 2021.</w:t>
      </w:r>
    </w:p>
    <w:p w14:paraId="5B1BC05F" w14:textId="77777777" w:rsidR="0018222F" w:rsidRPr="00040F04" w:rsidRDefault="0018222F" w:rsidP="0018222F">
      <w:pPr>
        <w:pStyle w:val="ppoListHyphened-L1"/>
        <w:rPr>
          <w:noProof/>
        </w:rPr>
      </w:pPr>
      <w:r w:rsidRPr="00040F04">
        <w:rPr>
          <w:noProof/>
        </w:rPr>
        <w:t>Due to the delayed adoption of NDICI–Global Europe, only limited measures made a difference on the ground, namely rapid response measures.</w:t>
      </w:r>
    </w:p>
    <w:p w14:paraId="52AFF1C6" w14:textId="77777777" w:rsidR="0018222F" w:rsidRPr="00040F04" w:rsidRDefault="0018222F" w:rsidP="0018222F">
      <w:pPr>
        <w:pStyle w:val="ppoListHyphened-L1"/>
        <w:rPr>
          <w:noProof/>
        </w:rPr>
      </w:pPr>
      <w:r w:rsidRPr="00040F04">
        <w:rPr>
          <w:noProof/>
        </w:rPr>
        <w:t>A common feature of the most important achievements in 2021 was the timely delivery of conflict prevention and crisis-response measures, including in the following cases:</w:t>
      </w:r>
    </w:p>
    <w:p w14:paraId="42DB1D09" w14:textId="77777777" w:rsidR="0018222F" w:rsidRPr="00040F04" w:rsidRDefault="0018222F" w:rsidP="0018222F">
      <w:pPr>
        <w:pStyle w:val="ppoListHyphened-L2"/>
        <w:rPr>
          <w:noProof/>
        </w:rPr>
      </w:pPr>
      <w:r w:rsidRPr="00040F04">
        <w:rPr>
          <w:noProof/>
        </w:rPr>
        <w:t xml:space="preserve">in eastern Sudan, where increased pressure was put on local communities and public services to respond to needs from </w:t>
      </w:r>
      <w:bookmarkStart w:id="238" w:name="_Hlk100918915"/>
      <w:r w:rsidRPr="00682425">
        <w:rPr>
          <w:noProof/>
        </w:rPr>
        <w:t>refugees from Tigray</w:t>
      </w:r>
      <w:bookmarkEnd w:id="238"/>
      <w:r>
        <w:rPr>
          <w:noProof/>
        </w:rPr>
        <w:t>, Ethiopia</w:t>
      </w:r>
      <w:r w:rsidRPr="00040F04">
        <w:rPr>
          <w:noProof/>
        </w:rPr>
        <w:t>;</w:t>
      </w:r>
    </w:p>
    <w:p w14:paraId="6AF5AF85" w14:textId="77777777" w:rsidR="0018222F" w:rsidRPr="00040F04" w:rsidRDefault="0018222F" w:rsidP="0018222F">
      <w:pPr>
        <w:pStyle w:val="ppoListHyphened-L2"/>
        <w:rPr>
          <w:noProof/>
        </w:rPr>
      </w:pPr>
      <w:r w:rsidRPr="00040F04">
        <w:rPr>
          <w:noProof/>
        </w:rPr>
        <w:t>in Myanmar/Burma, where the programme supported civil-society organisations and international accountability mechanisms in response to the military coup;</w:t>
      </w:r>
    </w:p>
    <w:p w14:paraId="6E5B6591" w14:textId="77777777" w:rsidR="0018222F" w:rsidRPr="00040F04" w:rsidRDefault="0018222F" w:rsidP="0018222F">
      <w:pPr>
        <w:pStyle w:val="ppoListHyphened-L2"/>
        <w:rPr>
          <w:noProof/>
        </w:rPr>
      </w:pPr>
      <w:r w:rsidRPr="00040F04">
        <w:rPr>
          <w:noProof/>
        </w:rPr>
        <w:t>in Tajikistan, where the programme provided support in managing the border with Afghanistan;</w:t>
      </w:r>
    </w:p>
    <w:p w14:paraId="43546D60" w14:textId="77777777" w:rsidR="0018222F" w:rsidRPr="00040F04" w:rsidRDefault="0018222F" w:rsidP="0018222F">
      <w:pPr>
        <w:pStyle w:val="ppoListHyphened-L2"/>
        <w:rPr>
          <w:noProof/>
        </w:rPr>
      </w:pPr>
      <w:r w:rsidRPr="00040F04">
        <w:rPr>
          <w:noProof/>
        </w:rPr>
        <w:t>in Colombia, Ecuador and Peru, where the programme supported communities hosting migrants and refugees from Venezuela;</w:t>
      </w:r>
    </w:p>
    <w:p w14:paraId="18F4E5E7" w14:textId="77777777" w:rsidR="0018222F" w:rsidRPr="00040F04" w:rsidRDefault="0018222F" w:rsidP="0018222F">
      <w:pPr>
        <w:pStyle w:val="ppoListHyphened-L2"/>
        <w:rPr>
          <w:noProof/>
        </w:rPr>
      </w:pPr>
      <w:r w:rsidRPr="00040F04">
        <w:rPr>
          <w:noProof/>
        </w:rPr>
        <w:t>in Chad, where the EU supported a transition that has so far been peaceful;</w:t>
      </w:r>
    </w:p>
    <w:p w14:paraId="06248339" w14:textId="77777777" w:rsidR="0018222F" w:rsidRPr="00040F04" w:rsidRDefault="0018222F" w:rsidP="0018222F">
      <w:pPr>
        <w:pStyle w:val="ppoListHyphened-L2"/>
        <w:rPr>
          <w:noProof/>
        </w:rPr>
      </w:pPr>
      <w:r w:rsidRPr="00040F04">
        <w:rPr>
          <w:noProof/>
        </w:rPr>
        <w:t>in eastern Ukraine, where at the end of 2021 the EU’s support of the international monitoring mission was renewed on the contact line (with Russia), though it was suspended in 2022 following the invasion of Ukraine by Russia;</w:t>
      </w:r>
    </w:p>
    <w:p w14:paraId="41CACCF1" w14:textId="77777777" w:rsidR="0018222F" w:rsidRPr="00040F04" w:rsidRDefault="0018222F" w:rsidP="0018222F">
      <w:pPr>
        <w:pStyle w:val="ppoListHyphened-L2"/>
        <w:rPr>
          <w:noProof/>
        </w:rPr>
      </w:pPr>
      <w:r w:rsidRPr="00040F04">
        <w:rPr>
          <w:noProof/>
        </w:rPr>
        <w:t>urgent support from the EU budget was provided in November 2021 to Moldova’s most vulnerable groups and to support the country’s energy transition.</w:t>
      </w:r>
    </w:p>
    <w:p w14:paraId="1C250BF9" w14:textId="77777777" w:rsidR="0018222F" w:rsidRPr="00040F04" w:rsidRDefault="0018222F" w:rsidP="0018222F">
      <w:pPr>
        <w:pStyle w:val="ppoListHyphened-L1"/>
        <w:rPr>
          <w:noProof/>
        </w:rPr>
      </w:pPr>
      <w:r w:rsidRPr="00040F04">
        <w:rPr>
          <w:noProof/>
        </w:rPr>
        <w:t>These interventions were delivered despite COVID-19 restrictions and a tense geopolitical context.</w:t>
      </w:r>
    </w:p>
    <w:p w14:paraId="544921CD" w14:textId="77777777" w:rsidR="0018222F" w:rsidRPr="00040F04" w:rsidRDefault="0018222F" w:rsidP="0018222F">
      <w:pPr>
        <w:pStyle w:val="ppoListHyphened-L1"/>
        <w:rPr>
          <w:noProof/>
        </w:rPr>
      </w:pPr>
      <w:r w:rsidRPr="00040F04">
        <w:rPr>
          <w:noProof/>
        </w:rPr>
        <w:t>In Mali, on the other hand, developments on the ground made it impossible for the EU to provide the intended support for a peaceful and inclusive transition.</w:t>
      </w:r>
    </w:p>
    <w:p w14:paraId="14A2A737" w14:textId="77777777" w:rsidR="0018222F" w:rsidRPr="00040F04" w:rsidRDefault="0018222F" w:rsidP="0018222F">
      <w:pPr>
        <w:pStyle w:val="ppoHeading4Red"/>
        <w:rPr>
          <w:noProof/>
        </w:rPr>
      </w:pPr>
      <w:r w:rsidRPr="00040F04">
        <w:rPr>
          <w:noProof/>
        </w:rPr>
        <w:t>2014-2020 multiannual financial framework – Development Cooperation Instrument</w:t>
      </w:r>
    </w:p>
    <w:p w14:paraId="3EF5B87B" w14:textId="77777777" w:rsidR="0018222F" w:rsidRPr="00040F04" w:rsidRDefault="0018222F" w:rsidP="0018222F">
      <w:pPr>
        <w:rPr>
          <w:rFonts w:eastAsiaTheme="minorEastAsia"/>
          <w:noProof/>
        </w:rPr>
      </w:pPr>
      <w:r w:rsidRPr="00040F04">
        <w:rPr>
          <w:rFonts w:eastAsiaTheme="minorEastAsia"/>
          <w:noProof/>
        </w:rPr>
        <w:t>The Development Cooperation Instrument was the main financial instrument in the EU budget for funding aid to developing countries during the 2014-2020.</w:t>
      </w:r>
    </w:p>
    <w:p w14:paraId="73B315CE" w14:textId="77777777" w:rsidR="0018222F" w:rsidRPr="00040F04" w:rsidRDefault="0018222F" w:rsidP="0018222F">
      <w:pPr>
        <w:pStyle w:val="ppoHeading5"/>
        <w:rPr>
          <w:noProof/>
        </w:rPr>
      </w:pPr>
      <w:r w:rsidRPr="00040F04">
        <w:rPr>
          <w:noProof/>
        </w:rPr>
        <w:t>Budget implementation</w:t>
      </w:r>
    </w:p>
    <w:p w14:paraId="385878D9" w14:textId="77777777" w:rsidR="0018222F" w:rsidRPr="00040F04" w:rsidRDefault="0018222F" w:rsidP="0018222F">
      <w:pPr>
        <w:pStyle w:val="ppoTableTabletitle"/>
        <w:rPr>
          <w:noProof/>
        </w:rPr>
      </w:pPr>
      <w:r w:rsidRPr="00040F04">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18222F" w:rsidRPr="00040F04" w14:paraId="7665969C" w14:textId="77777777" w:rsidTr="008321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3520DDCC" w14:textId="77777777" w:rsidR="0018222F" w:rsidRPr="00040F04" w:rsidRDefault="0018222F" w:rsidP="0083214A">
            <w:pPr>
              <w:rPr>
                <w:noProof/>
              </w:rPr>
            </w:pPr>
          </w:p>
        </w:tc>
        <w:tc>
          <w:tcPr>
            <w:tcW w:w="2410" w:type="dxa"/>
          </w:tcPr>
          <w:p w14:paraId="48E9A118" w14:textId="77777777" w:rsidR="0018222F" w:rsidRPr="00040F04" w:rsidRDefault="0018222F" w:rsidP="0083214A">
            <w:pPr>
              <w:cnfStyle w:val="100000000000" w:firstRow="1" w:lastRow="0" w:firstColumn="0" w:lastColumn="0" w:oddVBand="0" w:evenVBand="0" w:oddHBand="0" w:evenHBand="0" w:firstRowFirstColumn="0" w:firstRowLastColumn="0" w:lastRowFirstColumn="0" w:lastRowLastColumn="0"/>
              <w:rPr>
                <w:noProof/>
              </w:rPr>
            </w:pPr>
            <w:r w:rsidRPr="00040F04">
              <w:rPr>
                <w:noProof/>
              </w:rPr>
              <w:t>Implementation</w:t>
            </w:r>
          </w:p>
        </w:tc>
        <w:tc>
          <w:tcPr>
            <w:tcW w:w="2410" w:type="dxa"/>
          </w:tcPr>
          <w:p w14:paraId="45D5E238" w14:textId="2C50F209" w:rsidR="0018222F" w:rsidRPr="00040F04" w:rsidRDefault="003821C6" w:rsidP="0083214A">
            <w:pPr>
              <w:cnfStyle w:val="100000000000" w:firstRow="1" w:lastRow="0" w:firstColumn="0" w:lastColumn="0" w:oddVBand="0" w:evenVBand="0" w:oddHBand="0" w:evenHBand="0" w:firstRowFirstColumn="0" w:firstRowLastColumn="0" w:lastRowFirstColumn="0" w:lastRowLastColumn="0"/>
              <w:rPr>
                <w:noProof/>
              </w:rPr>
            </w:pPr>
            <w:r>
              <w:rPr>
                <w:noProof/>
              </w:rPr>
              <w:t xml:space="preserve">2014-2020 </w:t>
            </w:r>
            <w:r w:rsidR="0018222F" w:rsidRPr="00040F04">
              <w:rPr>
                <w:noProof/>
              </w:rPr>
              <w:t>Budget</w:t>
            </w:r>
          </w:p>
        </w:tc>
        <w:tc>
          <w:tcPr>
            <w:tcW w:w="2410" w:type="dxa"/>
          </w:tcPr>
          <w:p w14:paraId="395469A4" w14:textId="77777777" w:rsidR="0018222F" w:rsidRPr="00040F04" w:rsidRDefault="0018222F" w:rsidP="0083214A">
            <w:pPr>
              <w:cnfStyle w:val="100000000000" w:firstRow="1" w:lastRow="0" w:firstColumn="0" w:lastColumn="0" w:oddVBand="0" w:evenVBand="0" w:oddHBand="0" w:evenHBand="0" w:firstRowFirstColumn="0" w:firstRowLastColumn="0" w:lastRowFirstColumn="0" w:lastRowLastColumn="0"/>
              <w:rPr>
                <w:noProof/>
              </w:rPr>
            </w:pPr>
            <w:r w:rsidRPr="00040F04">
              <w:rPr>
                <w:noProof/>
              </w:rPr>
              <w:t>Implementation rate</w:t>
            </w:r>
          </w:p>
        </w:tc>
      </w:tr>
      <w:tr w:rsidR="0018222F" w:rsidRPr="00040F04" w14:paraId="1D9C594F"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324FDD4D" w14:textId="77777777" w:rsidR="0018222F" w:rsidRPr="00040F04" w:rsidRDefault="0018222F" w:rsidP="0083214A">
            <w:pPr>
              <w:jc w:val="center"/>
              <w:rPr>
                <w:noProof/>
              </w:rPr>
            </w:pPr>
            <w:r w:rsidRPr="00040F04">
              <w:rPr>
                <w:noProof/>
              </w:rPr>
              <w:t>Commitment</w:t>
            </w:r>
          </w:p>
        </w:tc>
        <w:tc>
          <w:tcPr>
            <w:tcW w:w="2410" w:type="dxa"/>
          </w:tcPr>
          <w:p w14:paraId="3CE9ABEA" w14:textId="77777777"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r w:rsidRPr="00040F04">
              <w:rPr>
                <w:noProof/>
              </w:rPr>
              <w:t>19</w:t>
            </w:r>
            <w:r w:rsidRPr="00040F04">
              <w:rPr>
                <w:rFonts w:ascii="Calibri" w:hAnsi="Calibri" w:cs="Calibri"/>
                <w:noProof/>
              </w:rPr>
              <w:t> </w:t>
            </w:r>
            <w:r w:rsidRPr="00040F04">
              <w:rPr>
                <w:noProof/>
              </w:rPr>
              <w:t>969.4</w:t>
            </w:r>
          </w:p>
        </w:tc>
        <w:tc>
          <w:tcPr>
            <w:tcW w:w="2410" w:type="dxa"/>
          </w:tcPr>
          <w:p w14:paraId="6B74FAC9" w14:textId="77777777"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r w:rsidRPr="00040F04">
              <w:rPr>
                <w:noProof/>
              </w:rPr>
              <w:t>19</w:t>
            </w:r>
            <w:r w:rsidRPr="00040F04">
              <w:rPr>
                <w:rFonts w:ascii="Calibri" w:hAnsi="Calibri" w:cs="Calibri"/>
                <w:noProof/>
              </w:rPr>
              <w:t> </w:t>
            </w:r>
            <w:r w:rsidRPr="00040F04">
              <w:rPr>
                <w:noProof/>
              </w:rPr>
              <w:t>970.1</w:t>
            </w:r>
          </w:p>
        </w:tc>
        <w:tc>
          <w:tcPr>
            <w:tcW w:w="2410" w:type="dxa"/>
          </w:tcPr>
          <w:p w14:paraId="01C5D581" w14:textId="77777777"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r w:rsidRPr="00040F04">
              <w:rPr>
                <w:noProof/>
              </w:rPr>
              <w:t>100%</w:t>
            </w:r>
          </w:p>
        </w:tc>
      </w:tr>
      <w:tr w:rsidR="0018222F" w:rsidRPr="00040F04" w14:paraId="43AF9ED2"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121ADBF5" w14:textId="77777777" w:rsidR="0018222F" w:rsidRPr="00040F04" w:rsidRDefault="0018222F" w:rsidP="0083214A">
            <w:pPr>
              <w:jc w:val="center"/>
              <w:rPr>
                <w:noProof/>
              </w:rPr>
            </w:pPr>
            <w:r w:rsidRPr="00040F04">
              <w:rPr>
                <w:noProof/>
              </w:rPr>
              <w:t>Payments</w:t>
            </w:r>
          </w:p>
        </w:tc>
        <w:tc>
          <w:tcPr>
            <w:tcW w:w="2410" w:type="dxa"/>
          </w:tcPr>
          <w:p w14:paraId="2B750F96" w14:textId="77777777"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r w:rsidRPr="00040F04">
              <w:rPr>
                <w:noProof/>
              </w:rPr>
              <w:t>13</w:t>
            </w:r>
            <w:r w:rsidRPr="00040F04">
              <w:rPr>
                <w:rFonts w:ascii="Calibri" w:hAnsi="Calibri" w:cs="Calibri"/>
                <w:noProof/>
              </w:rPr>
              <w:t> </w:t>
            </w:r>
            <w:r w:rsidRPr="00040F04">
              <w:rPr>
                <w:noProof/>
              </w:rPr>
              <w:t>221.3</w:t>
            </w:r>
          </w:p>
        </w:tc>
        <w:tc>
          <w:tcPr>
            <w:tcW w:w="2410" w:type="dxa"/>
          </w:tcPr>
          <w:p w14:paraId="44E3AF34" w14:textId="77777777"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6DC54331" w14:textId="77777777"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r w:rsidRPr="00040F04">
              <w:rPr>
                <w:noProof/>
              </w:rPr>
              <w:t>66%</w:t>
            </w:r>
          </w:p>
        </w:tc>
      </w:tr>
    </w:tbl>
    <w:p w14:paraId="436CA70B" w14:textId="77777777" w:rsidR="0018222F" w:rsidRPr="00040F04" w:rsidRDefault="0018222F" w:rsidP="0018222F">
      <w:pPr>
        <w:pStyle w:val="ppoListHyphened-L1"/>
        <w:rPr>
          <w:noProof/>
        </w:rPr>
      </w:pPr>
      <w:r w:rsidRPr="00040F04">
        <w:rPr>
          <w:noProof/>
        </w:rPr>
        <w:t xml:space="preserve">To achieve its objectives, the </w:t>
      </w:r>
      <w:r w:rsidRPr="00040F04">
        <w:rPr>
          <w:rFonts w:eastAsiaTheme="minorEastAsia"/>
          <w:noProof/>
        </w:rPr>
        <w:t xml:space="preserve">Development Cooperation Instrument </w:t>
      </w:r>
      <w:r w:rsidRPr="00040F04">
        <w:rPr>
          <w:noProof/>
        </w:rPr>
        <w:t>provided funding for: (1) geographical programmes covering most developing countries (approximately 60% of the instrument’s budget); (2) thematic programmes (approximately 36%); (3) the Pan-African programme, which supports the Africa–EU Strategic Partnership (approximately 4%).</w:t>
      </w:r>
    </w:p>
    <w:p w14:paraId="3A513926" w14:textId="77777777" w:rsidR="0018222F" w:rsidRPr="00040F04" w:rsidRDefault="0018222F" w:rsidP="0018222F">
      <w:pPr>
        <w:pStyle w:val="ppoListHyphened-L1"/>
        <w:rPr>
          <w:noProof/>
        </w:rPr>
      </w:pPr>
      <w:r w:rsidRPr="00040F04">
        <w:rPr>
          <w:rFonts w:eastAsiaTheme="minorEastAsia"/>
          <w:noProof/>
        </w:rPr>
        <w:t xml:space="preserve">The Development Cooperation Instrument </w:t>
      </w:r>
      <w:r w:rsidRPr="00040F04">
        <w:rPr>
          <w:noProof/>
        </w:rPr>
        <w:t>is expected to complete its operations by the end of 2027. The remaining payments are mostly for Asia and the Middle East (45%).</w:t>
      </w:r>
    </w:p>
    <w:p w14:paraId="590A2CB6" w14:textId="77777777" w:rsidR="0018222F" w:rsidRPr="00040F04" w:rsidRDefault="0018222F" w:rsidP="0018222F">
      <w:pPr>
        <w:pStyle w:val="ppoListHyphened-L1"/>
        <w:rPr>
          <w:noProof/>
        </w:rPr>
      </w:pPr>
      <w:r w:rsidRPr="00040F04">
        <w:rPr>
          <w:noProof/>
        </w:rPr>
        <w:t>In Asia and the Middle East, important contracts were signed, notably relating to green infrastructure under the Association of Southeast Asian Nations</w:t>
      </w:r>
      <w:r w:rsidRPr="00040F04" w:rsidDel="00D630BA">
        <w:rPr>
          <w:noProof/>
        </w:rPr>
        <w:t xml:space="preserve"> </w:t>
      </w:r>
      <w:r w:rsidRPr="00040F04">
        <w:rPr>
          <w:noProof/>
        </w:rPr>
        <w:t>Catalytic Green Finance Facility (EUR</w:t>
      </w:r>
      <w:r w:rsidRPr="00040F04">
        <w:rPr>
          <w:rFonts w:ascii="Calibri" w:hAnsi="Calibri" w:cs="Calibri"/>
          <w:noProof/>
        </w:rPr>
        <w:t> </w:t>
      </w:r>
      <w:r w:rsidRPr="00040F04">
        <w:rPr>
          <w:noProof/>
        </w:rPr>
        <w:t>51.9</w:t>
      </w:r>
      <w:r w:rsidRPr="00040F04">
        <w:rPr>
          <w:rFonts w:ascii="Calibri" w:hAnsi="Calibri" w:cs="Calibri"/>
          <w:noProof/>
        </w:rPr>
        <w:t> </w:t>
      </w:r>
      <w:r w:rsidRPr="00040F04">
        <w:rPr>
          <w:noProof/>
        </w:rPr>
        <w:t>million) and support for Afghanistan (EUR</w:t>
      </w:r>
      <w:r w:rsidRPr="00040F04">
        <w:rPr>
          <w:rFonts w:ascii="Calibri" w:hAnsi="Calibri" w:cs="Calibri"/>
          <w:noProof/>
        </w:rPr>
        <w:t> </w:t>
      </w:r>
      <w:r w:rsidRPr="00040F04">
        <w:rPr>
          <w:noProof/>
        </w:rPr>
        <w:t>197</w:t>
      </w:r>
      <w:r w:rsidRPr="00040F04">
        <w:rPr>
          <w:rFonts w:ascii="Calibri" w:hAnsi="Calibri" w:cs="Calibri"/>
          <w:noProof/>
        </w:rPr>
        <w:t> </w:t>
      </w:r>
      <w:r w:rsidRPr="00040F04">
        <w:rPr>
          <w:noProof/>
        </w:rPr>
        <w:t>million).</w:t>
      </w:r>
    </w:p>
    <w:p w14:paraId="76622E03" w14:textId="77777777" w:rsidR="0018222F" w:rsidRPr="00040F04" w:rsidRDefault="0018222F" w:rsidP="0018222F">
      <w:pPr>
        <w:pStyle w:val="ppoListHyphened-L1"/>
        <w:rPr>
          <w:noProof/>
        </w:rPr>
      </w:pPr>
      <w:r w:rsidRPr="00040F04">
        <w:rPr>
          <w:noProof/>
        </w:rPr>
        <w:t>In Asia and the Middle East, given the front-loading of disbursements in 2020 to cope with the initial impact of COVID-19 pandemic and the cancellation of budget support for Afghanistan and its suspension of payments in Myanmar/Burma, the amount disbursed in 2021 (EUR</w:t>
      </w:r>
      <w:r w:rsidRPr="00040F04">
        <w:rPr>
          <w:rFonts w:ascii="Calibri" w:hAnsi="Calibri" w:cs="Calibri"/>
          <w:noProof/>
        </w:rPr>
        <w:t> </w:t>
      </w:r>
      <w:r w:rsidRPr="00040F04">
        <w:rPr>
          <w:noProof/>
        </w:rPr>
        <w:t>291</w:t>
      </w:r>
      <w:r w:rsidRPr="00040F04">
        <w:rPr>
          <w:rFonts w:ascii="Calibri" w:hAnsi="Calibri" w:cs="Calibri"/>
          <w:noProof/>
        </w:rPr>
        <w:t> </w:t>
      </w:r>
      <w:r w:rsidRPr="00040F04">
        <w:rPr>
          <w:noProof/>
        </w:rPr>
        <w:t>million) was significantly lower than in 2020 (EUR</w:t>
      </w:r>
      <w:r w:rsidRPr="00040F04">
        <w:rPr>
          <w:rFonts w:ascii="Calibri" w:hAnsi="Calibri" w:cs="Calibri"/>
          <w:noProof/>
        </w:rPr>
        <w:t> </w:t>
      </w:r>
      <w:r w:rsidRPr="00040F04">
        <w:rPr>
          <w:noProof/>
        </w:rPr>
        <w:t>578</w:t>
      </w:r>
      <w:r w:rsidRPr="00040F04">
        <w:rPr>
          <w:rFonts w:ascii="Calibri" w:hAnsi="Calibri" w:cs="Calibri"/>
          <w:noProof/>
        </w:rPr>
        <w:t> </w:t>
      </w:r>
      <w:r w:rsidRPr="00040F04">
        <w:rPr>
          <w:noProof/>
        </w:rPr>
        <w:t>million).</w:t>
      </w:r>
    </w:p>
    <w:p w14:paraId="2F8C1882" w14:textId="77777777" w:rsidR="0018222F" w:rsidRPr="00040F04" w:rsidRDefault="0018222F" w:rsidP="0018222F">
      <w:pPr>
        <w:pStyle w:val="ppoListHyphened-L1"/>
        <w:rPr>
          <w:noProof/>
        </w:rPr>
      </w:pPr>
      <w:r w:rsidRPr="00040F04">
        <w:rPr>
          <w:noProof/>
        </w:rPr>
        <w:t xml:space="preserve">Latin America accounts for 13% of the remaining payments, which will occur over the next following years. For this region, the importance of sustainable investments continues to grow. The </w:t>
      </w:r>
      <w:r w:rsidRPr="00040F04">
        <w:rPr>
          <w:rFonts w:eastAsiaTheme="minorEastAsia"/>
          <w:noProof/>
        </w:rPr>
        <w:t xml:space="preserve">Development Cooperation Instrument’s </w:t>
      </w:r>
      <w:r w:rsidRPr="00040F04">
        <w:rPr>
          <w:noProof/>
        </w:rPr>
        <w:t>contribution through the Latin America Investment Facility continued during 2021. The level of investment leveraged based on this contribution amounts to approximately EUR</w:t>
      </w:r>
      <w:r w:rsidRPr="00040F04">
        <w:rPr>
          <w:rFonts w:ascii="Calibri" w:hAnsi="Calibri" w:cs="Calibri"/>
          <w:noProof/>
        </w:rPr>
        <w:t> </w:t>
      </w:r>
      <w:r w:rsidRPr="00040F04">
        <w:rPr>
          <w:noProof/>
        </w:rPr>
        <w:t>3</w:t>
      </w:r>
      <w:r w:rsidRPr="00040F04">
        <w:rPr>
          <w:rFonts w:ascii="Calibri" w:hAnsi="Calibri" w:cs="Calibri"/>
          <w:noProof/>
        </w:rPr>
        <w:t> </w:t>
      </w:r>
      <w:r w:rsidRPr="00040F04">
        <w:rPr>
          <w:noProof/>
        </w:rPr>
        <w:t>billion.</w:t>
      </w:r>
    </w:p>
    <w:p w14:paraId="2C9510F7" w14:textId="77777777" w:rsidR="0018222F" w:rsidRPr="00040F04" w:rsidRDefault="0018222F" w:rsidP="0018222F">
      <w:pPr>
        <w:pStyle w:val="ppoListHyphened-L1"/>
        <w:rPr>
          <w:noProof/>
        </w:rPr>
      </w:pPr>
      <w:r w:rsidRPr="00040F04">
        <w:rPr>
          <w:noProof/>
        </w:rPr>
        <w:t>Budget support remains an important means of implementation for EU partnerships. In 2021 it represented 26% of all payments in Asia and the Middle East and around 20% in Latin America. It is also used in southern Africa.</w:t>
      </w:r>
    </w:p>
    <w:p w14:paraId="6DB8901F" w14:textId="77777777" w:rsidR="0018222F" w:rsidRPr="00040F04" w:rsidRDefault="0018222F" w:rsidP="0018222F">
      <w:pPr>
        <w:pStyle w:val="ppoListHyphened-L1"/>
        <w:rPr>
          <w:noProof/>
        </w:rPr>
      </w:pPr>
      <w:r w:rsidRPr="00040F04">
        <w:rPr>
          <w:noProof/>
        </w:rPr>
        <w:t>The EU Trust Fund for Colombia continued to support the implementation of the peace agreement between the Colombian government and FARC (the Revolutionary Armed Forces of Colombia). The trust fund currently has 34 projects ongoing, amounting to EUR</w:t>
      </w:r>
      <w:r w:rsidRPr="00040F04">
        <w:rPr>
          <w:rFonts w:ascii="Calibri" w:hAnsi="Calibri" w:cs="Calibri"/>
          <w:noProof/>
        </w:rPr>
        <w:t> </w:t>
      </w:r>
      <w:r w:rsidRPr="00040F04">
        <w:rPr>
          <w:noProof/>
        </w:rPr>
        <w:t>130</w:t>
      </w:r>
      <w:r w:rsidRPr="00040F04">
        <w:rPr>
          <w:rFonts w:ascii="Calibri" w:hAnsi="Calibri" w:cs="Calibri"/>
          <w:noProof/>
        </w:rPr>
        <w:t> </w:t>
      </w:r>
      <w:r w:rsidRPr="00040F04">
        <w:rPr>
          <w:noProof/>
        </w:rPr>
        <w:t>million.</w:t>
      </w:r>
    </w:p>
    <w:p w14:paraId="5C7DDE89" w14:textId="77777777" w:rsidR="0018222F" w:rsidRPr="00040F04" w:rsidRDefault="0018222F" w:rsidP="0018222F">
      <w:pPr>
        <w:pStyle w:val="ppoListHyphened-L1"/>
        <w:rPr>
          <w:noProof/>
        </w:rPr>
      </w:pPr>
      <w:r w:rsidRPr="00040F04">
        <w:rPr>
          <w:noProof/>
        </w:rPr>
        <w:t xml:space="preserve">34% of the remaining payments will be implemented under thematic programmes, notably for the environment and climate change, </w:t>
      </w:r>
      <w:bookmarkStart w:id="239" w:name="_Hlk100920315"/>
      <w:r w:rsidRPr="00682425">
        <w:rPr>
          <w:noProof/>
        </w:rPr>
        <w:t>food and nutrition security and sustainable agriculture</w:t>
      </w:r>
      <w:r>
        <w:rPr>
          <w:noProof/>
        </w:rPr>
        <w:t>,</w:t>
      </w:r>
      <w:r w:rsidRPr="00682425">
        <w:rPr>
          <w:noProof/>
        </w:rPr>
        <w:t xml:space="preserve"> and civil society and local authorities in development</w:t>
      </w:r>
      <w:bookmarkEnd w:id="239"/>
      <w:r w:rsidRPr="00040F04">
        <w:rPr>
          <w:noProof/>
        </w:rPr>
        <w:t>.</w:t>
      </w:r>
    </w:p>
    <w:p w14:paraId="63CF0F8D" w14:textId="77777777" w:rsidR="0018222F" w:rsidRPr="00040F04" w:rsidRDefault="0018222F" w:rsidP="0018222F">
      <w:pPr>
        <w:pStyle w:val="ppoListHyphened-L1"/>
        <w:rPr>
          <w:noProof/>
        </w:rPr>
      </w:pPr>
      <w:r w:rsidRPr="00040F04">
        <w:rPr>
          <w:noProof/>
        </w:rPr>
        <w:t xml:space="preserve">The midterm evaluation conducted in 2017 also considered the </w:t>
      </w:r>
      <w:r w:rsidRPr="00040F04">
        <w:rPr>
          <w:rFonts w:eastAsiaTheme="minorEastAsia"/>
          <w:noProof/>
        </w:rPr>
        <w:t xml:space="preserve">Development Cooperation Instrument to be </w:t>
      </w:r>
      <w:r w:rsidRPr="00040F04">
        <w:rPr>
          <w:noProof/>
        </w:rPr>
        <w:t>generally cost-efficient when looking at indicators measuring organisational performance.</w:t>
      </w:r>
    </w:p>
    <w:p w14:paraId="19946FA3" w14:textId="77777777" w:rsidR="0018222F" w:rsidRPr="00040F04" w:rsidRDefault="0018222F" w:rsidP="0018222F">
      <w:pPr>
        <w:pStyle w:val="ppoHeading5"/>
        <w:rPr>
          <w:noProof/>
        </w:rPr>
      </w:pPr>
      <w:r w:rsidRPr="00040F04">
        <w:rPr>
          <w:noProof/>
        </w:rPr>
        <w:t>Performance assessment</w:t>
      </w:r>
    </w:p>
    <w:p w14:paraId="6E8B8AC4" w14:textId="77777777" w:rsidR="0018222F" w:rsidRPr="00040F04" w:rsidRDefault="0018222F" w:rsidP="0018222F">
      <w:pPr>
        <w:pStyle w:val="ppoHeading6"/>
        <w:rPr>
          <w:noProof/>
        </w:rPr>
      </w:pPr>
      <w:r w:rsidRPr="00040F04">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18222F" w:rsidRPr="00040F04" w14:paraId="0BDDB36D" w14:textId="77777777" w:rsidTr="0083214A">
        <w:trPr>
          <w:cnfStyle w:val="100000000000" w:firstRow="1" w:lastRow="0" w:firstColumn="0" w:lastColumn="0" w:oddVBand="0" w:evenVBand="0" w:oddHBand="0" w:evenHBand="0" w:firstRowFirstColumn="0" w:firstRowLastColumn="0" w:lastRowFirstColumn="0" w:lastRowLastColumn="0"/>
        </w:trPr>
        <w:tc>
          <w:tcPr>
            <w:tcW w:w="2330" w:type="dxa"/>
          </w:tcPr>
          <w:p w14:paraId="7A577723" w14:textId="77777777" w:rsidR="0018222F" w:rsidRPr="00040F04" w:rsidRDefault="0018222F" w:rsidP="0083214A">
            <w:pPr>
              <w:rPr>
                <w:noProof/>
              </w:rPr>
            </w:pPr>
          </w:p>
        </w:tc>
        <w:tc>
          <w:tcPr>
            <w:tcW w:w="1100" w:type="dxa"/>
          </w:tcPr>
          <w:p w14:paraId="08827653" w14:textId="77777777" w:rsidR="0018222F" w:rsidRPr="00040F04" w:rsidRDefault="0018222F" w:rsidP="0083214A">
            <w:pPr>
              <w:rPr>
                <w:noProof/>
              </w:rPr>
            </w:pPr>
            <w:r w:rsidRPr="00040F04">
              <w:rPr>
                <w:noProof/>
              </w:rPr>
              <w:t>Baseline</w:t>
            </w:r>
          </w:p>
        </w:tc>
        <w:tc>
          <w:tcPr>
            <w:tcW w:w="1526" w:type="dxa"/>
          </w:tcPr>
          <w:p w14:paraId="10020454" w14:textId="77777777" w:rsidR="0018222F" w:rsidRPr="00040F04" w:rsidRDefault="0018222F" w:rsidP="0083214A">
            <w:pPr>
              <w:rPr>
                <w:noProof/>
              </w:rPr>
            </w:pPr>
            <w:r w:rsidRPr="00040F04">
              <w:rPr>
                <w:noProof/>
              </w:rPr>
              <w:t>Progress (*)</w:t>
            </w:r>
          </w:p>
        </w:tc>
        <w:tc>
          <w:tcPr>
            <w:tcW w:w="1532" w:type="dxa"/>
          </w:tcPr>
          <w:p w14:paraId="386CCA81" w14:textId="77777777" w:rsidR="0018222F" w:rsidRPr="00040F04" w:rsidRDefault="0018222F" w:rsidP="0083214A">
            <w:pPr>
              <w:rPr>
                <w:noProof/>
              </w:rPr>
            </w:pPr>
            <w:r w:rsidRPr="00040F04">
              <w:rPr>
                <w:noProof/>
              </w:rPr>
              <w:t>Target</w:t>
            </w:r>
          </w:p>
        </w:tc>
        <w:tc>
          <w:tcPr>
            <w:tcW w:w="1572" w:type="dxa"/>
          </w:tcPr>
          <w:p w14:paraId="40A19559" w14:textId="77777777" w:rsidR="0018222F" w:rsidRPr="00040F04" w:rsidRDefault="0018222F" w:rsidP="0083214A">
            <w:pPr>
              <w:rPr>
                <w:noProof/>
              </w:rPr>
            </w:pPr>
            <w:r w:rsidRPr="00040F04">
              <w:rPr>
                <w:noProof/>
              </w:rPr>
              <w:t>Results</w:t>
            </w:r>
          </w:p>
        </w:tc>
        <w:tc>
          <w:tcPr>
            <w:tcW w:w="1579" w:type="dxa"/>
          </w:tcPr>
          <w:p w14:paraId="11EB530C" w14:textId="77777777" w:rsidR="0018222F" w:rsidRPr="00040F04" w:rsidRDefault="0018222F" w:rsidP="0083214A">
            <w:pPr>
              <w:rPr>
                <w:noProof/>
              </w:rPr>
            </w:pPr>
            <w:r w:rsidRPr="00040F04">
              <w:rPr>
                <w:noProof/>
              </w:rPr>
              <w:t>Assessment</w:t>
            </w:r>
          </w:p>
        </w:tc>
      </w:tr>
      <w:tr w:rsidR="0018222F" w:rsidRPr="00040F04" w14:paraId="1B2ACBEF"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53391BB0" w14:textId="77777777" w:rsidR="0018222F" w:rsidRPr="00040F04" w:rsidRDefault="0018222F" w:rsidP="0083214A">
            <w:pPr>
              <w:rPr>
                <w:noProof/>
              </w:rPr>
            </w:pPr>
            <w:r w:rsidRPr="00040F04">
              <w:rPr>
                <w:noProof/>
              </w:rPr>
              <w:t>Proportion of population below the international poverty line</w:t>
            </w:r>
          </w:p>
        </w:tc>
        <w:tc>
          <w:tcPr>
            <w:tcW w:w="1100" w:type="dxa"/>
          </w:tcPr>
          <w:p w14:paraId="50E80687" w14:textId="77777777" w:rsidR="0018222F" w:rsidRPr="00040F04" w:rsidRDefault="0018222F" w:rsidP="0083214A">
            <w:pPr>
              <w:jc w:val="center"/>
              <w:rPr>
                <w:noProof/>
              </w:rPr>
            </w:pPr>
            <w:r w:rsidRPr="00040F04">
              <w:rPr>
                <w:noProof/>
              </w:rPr>
              <w:t>47.7%</w:t>
            </w:r>
          </w:p>
        </w:tc>
        <w:tc>
          <w:tcPr>
            <w:tcW w:w="1526" w:type="dxa"/>
          </w:tcPr>
          <w:p w14:paraId="704F4FD8" w14:textId="77777777" w:rsidR="0018222F" w:rsidRPr="00040F04" w:rsidRDefault="0018222F" w:rsidP="0083214A">
            <w:pPr>
              <w:jc w:val="center"/>
              <w:rPr>
                <w:b/>
                <w:noProof/>
              </w:rPr>
            </w:pPr>
            <w:r w:rsidRPr="00040F04">
              <w:rPr>
                <w:b/>
                <w:noProof/>
              </w:rPr>
              <w:t>82%</w:t>
            </w:r>
          </w:p>
        </w:tc>
        <w:tc>
          <w:tcPr>
            <w:tcW w:w="1532" w:type="dxa"/>
          </w:tcPr>
          <w:p w14:paraId="2DB6F367" w14:textId="77777777" w:rsidR="0018222F" w:rsidRPr="00040F04" w:rsidRDefault="0018222F" w:rsidP="0083214A">
            <w:pPr>
              <w:jc w:val="center"/>
              <w:rPr>
                <w:noProof/>
              </w:rPr>
            </w:pPr>
            <w:r w:rsidRPr="00040F04">
              <w:rPr>
                <w:noProof/>
              </w:rPr>
              <w:t>0% in 2030</w:t>
            </w:r>
          </w:p>
        </w:tc>
        <w:tc>
          <w:tcPr>
            <w:tcW w:w="1572" w:type="dxa"/>
          </w:tcPr>
          <w:p w14:paraId="5EA4797A" w14:textId="77777777" w:rsidR="0018222F" w:rsidRPr="00040F04" w:rsidRDefault="0018222F" w:rsidP="0083214A">
            <w:pPr>
              <w:jc w:val="center"/>
              <w:rPr>
                <w:noProof/>
              </w:rPr>
            </w:pPr>
            <w:r w:rsidRPr="00040F04">
              <w:rPr>
                <w:noProof/>
              </w:rPr>
              <w:t>8.6% of the population below the poverty line compared to a target of 0%</w:t>
            </w:r>
          </w:p>
        </w:tc>
        <w:tc>
          <w:tcPr>
            <w:tcW w:w="1579" w:type="dxa"/>
          </w:tcPr>
          <w:p w14:paraId="66D52CF6" w14:textId="77777777" w:rsidR="0018222F" w:rsidRPr="00040F04" w:rsidRDefault="0018222F" w:rsidP="0083214A">
            <w:pPr>
              <w:jc w:val="center"/>
              <w:rPr>
                <w:noProof/>
              </w:rPr>
            </w:pPr>
            <w:r w:rsidRPr="00040F04">
              <w:rPr>
                <w:noProof/>
              </w:rPr>
              <w:t>Moderate progress</w:t>
            </w:r>
          </w:p>
        </w:tc>
      </w:tr>
      <w:tr w:rsidR="0018222F" w:rsidRPr="00040F04" w14:paraId="1B732FFE"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53DE5F3F" w14:textId="77777777" w:rsidR="0018222F" w:rsidRPr="00040F04" w:rsidRDefault="0018222F" w:rsidP="0083214A">
            <w:pPr>
              <w:rPr>
                <w:noProof/>
              </w:rPr>
            </w:pPr>
            <w:r w:rsidRPr="00040F04">
              <w:rPr>
                <w:noProof/>
              </w:rPr>
              <w:t>Number of projects to promote democracy, the rule of law, good governance and respect for human rights</w:t>
            </w:r>
          </w:p>
        </w:tc>
        <w:tc>
          <w:tcPr>
            <w:tcW w:w="1100" w:type="dxa"/>
          </w:tcPr>
          <w:p w14:paraId="14F8E269" w14:textId="77777777" w:rsidR="0018222F" w:rsidRPr="00040F04" w:rsidRDefault="0018222F" w:rsidP="0083214A">
            <w:pPr>
              <w:jc w:val="center"/>
              <w:rPr>
                <w:noProof/>
              </w:rPr>
            </w:pPr>
            <w:r w:rsidRPr="00040F04">
              <w:rPr>
                <w:noProof/>
              </w:rPr>
              <w:t>0</w:t>
            </w:r>
          </w:p>
        </w:tc>
        <w:tc>
          <w:tcPr>
            <w:tcW w:w="1526" w:type="dxa"/>
          </w:tcPr>
          <w:p w14:paraId="2B12868D" w14:textId="0848514B" w:rsidR="0018222F" w:rsidRPr="00040F04" w:rsidRDefault="00556089" w:rsidP="0083214A">
            <w:pPr>
              <w:jc w:val="center"/>
              <w:rPr>
                <w:b/>
                <w:noProof/>
              </w:rPr>
            </w:pPr>
            <w:r>
              <w:rPr>
                <w:b/>
                <w:noProof/>
              </w:rPr>
              <w:t>&gt; 100% (**)</w:t>
            </w:r>
          </w:p>
        </w:tc>
        <w:tc>
          <w:tcPr>
            <w:tcW w:w="1532" w:type="dxa"/>
          </w:tcPr>
          <w:p w14:paraId="00C08FBD" w14:textId="77777777" w:rsidR="0018222F" w:rsidRPr="00040F04" w:rsidRDefault="0018222F" w:rsidP="0083214A">
            <w:pPr>
              <w:jc w:val="center"/>
              <w:rPr>
                <w:noProof/>
              </w:rPr>
            </w:pPr>
            <w:r w:rsidRPr="00040F04">
              <w:rPr>
                <w:noProof/>
              </w:rPr>
              <w:t>100 in 2021</w:t>
            </w:r>
          </w:p>
        </w:tc>
        <w:tc>
          <w:tcPr>
            <w:tcW w:w="1572" w:type="dxa"/>
          </w:tcPr>
          <w:p w14:paraId="76570832" w14:textId="59636E6E" w:rsidR="0018222F" w:rsidRPr="00040F04" w:rsidRDefault="00556089" w:rsidP="0083214A">
            <w:pPr>
              <w:jc w:val="center"/>
              <w:rPr>
                <w:noProof/>
              </w:rPr>
            </w:pPr>
            <w:r>
              <w:rPr>
                <w:noProof/>
              </w:rPr>
              <w:t>186</w:t>
            </w:r>
            <w:r w:rsidR="0018222F" w:rsidRPr="00040F04">
              <w:rPr>
                <w:noProof/>
              </w:rPr>
              <w:t xml:space="preserve"> projects compared to a target of 100</w:t>
            </w:r>
            <w:r>
              <w:rPr>
                <w:noProof/>
              </w:rPr>
              <w:t xml:space="preserve"> (**)</w:t>
            </w:r>
          </w:p>
        </w:tc>
        <w:tc>
          <w:tcPr>
            <w:tcW w:w="1579" w:type="dxa"/>
          </w:tcPr>
          <w:p w14:paraId="03E24B66" w14:textId="5690570A" w:rsidR="0018222F" w:rsidRPr="00040F04" w:rsidRDefault="00556089" w:rsidP="0083214A">
            <w:pPr>
              <w:jc w:val="center"/>
              <w:rPr>
                <w:noProof/>
              </w:rPr>
            </w:pPr>
            <w:r>
              <w:rPr>
                <w:noProof/>
              </w:rPr>
              <w:t>On track</w:t>
            </w:r>
          </w:p>
        </w:tc>
      </w:tr>
    </w:tbl>
    <w:p w14:paraId="2D04F5FF" w14:textId="77777777" w:rsidR="0018222F" w:rsidRPr="00040F04" w:rsidRDefault="0018222F" w:rsidP="0018222F">
      <w:pPr>
        <w:pStyle w:val="FootnoteText"/>
        <w:rPr>
          <w:noProof/>
        </w:rPr>
      </w:pPr>
    </w:p>
    <w:p w14:paraId="325DFF7E" w14:textId="6CC3D771" w:rsidR="0018222F" w:rsidRDefault="0018222F" w:rsidP="0018222F">
      <w:pPr>
        <w:pStyle w:val="FootnoteText"/>
        <w:rPr>
          <w:noProof/>
        </w:rPr>
      </w:pPr>
      <w:r w:rsidRPr="00040F04">
        <w:rPr>
          <w:noProof/>
        </w:rPr>
        <w:t>(*) % of target achieved by the end of 2021.</w:t>
      </w:r>
    </w:p>
    <w:p w14:paraId="302CF98C" w14:textId="6AFCADAE" w:rsidR="00556089" w:rsidRPr="00040F04" w:rsidRDefault="00556089" w:rsidP="0018222F">
      <w:pPr>
        <w:pStyle w:val="FootnoteText"/>
        <w:rPr>
          <w:noProof/>
        </w:rPr>
      </w:pPr>
      <w:r>
        <w:rPr>
          <w:noProof/>
        </w:rPr>
        <w:t>(**) Average of 2014-2021 results compared to target.</w:t>
      </w:r>
    </w:p>
    <w:p w14:paraId="5B1F6607" w14:textId="77777777" w:rsidR="0018222F" w:rsidRPr="00040F04" w:rsidRDefault="0018222F" w:rsidP="0018222F">
      <w:pPr>
        <w:pStyle w:val="ppoListHyphened-L1"/>
        <w:rPr>
          <w:noProof/>
        </w:rPr>
      </w:pPr>
      <w:r w:rsidRPr="00040F04">
        <w:rPr>
          <w:noProof/>
        </w:rPr>
        <w:t>The specific, diverse and rapidly changing context of EU external action requires the use of all the existing implementation means and delivery methods to pursue the policy objectives and operational priorities. With a budget of approximately EUR</w:t>
      </w:r>
      <w:r w:rsidRPr="00040F04">
        <w:rPr>
          <w:rFonts w:ascii="Calibri" w:hAnsi="Calibri" w:cs="Calibri"/>
          <w:noProof/>
        </w:rPr>
        <w:t> </w:t>
      </w:r>
      <w:r w:rsidRPr="00040F04">
        <w:rPr>
          <w:noProof/>
        </w:rPr>
        <w:t>20</w:t>
      </w:r>
      <w:r w:rsidRPr="00040F04">
        <w:rPr>
          <w:rFonts w:ascii="Calibri" w:hAnsi="Calibri" w:cs="Calibri"/>
          <w:noProof/>
        </w:rPr>
        <w:t> </w:t>
      </w:r>
      <w:r w:rsidRPr="00040F04">
        <w:rPr>
          <w:noProof/>
        </w:rPr>
        <w:t xml:space="preserve">billion, the </w:t>
      </w:r>
      <w:r w:rsidRPr="00040F04">
        <w:rPr>
          <w:rFonts w:eastAsiaTheme="minorEastAsia"/>
          <w:noProof/>
        </w:rPr>
        <w:t xml:space="preserve">Development Cooperation Instrument </w:t>
      </w:r>
      <w:r w:rsidRPr="00040F04">
        <w:rPr>
          <w:noProof/>
        </w:rPr>
        <w:t>has been a key financing instrument to support EU development policy.</w:t>
      </w:r>
    </w:p>
    <w:p w14:paraId="5E9A11E7" w14:textId="77777777" w:rsidR="0018222F" w:rsidRPr="00040F04" w:rsidRDefault="0018222F" w:rsidP="0018222F">
      <w:pPr>
        <w:pStyle w:val="ppoListHyphened-L1"/>
        <w:rPr>
          <w:noProof/>
        </w:rPr>
      </w:pPr>
      <w:r w:rsidRPr="00040F04">
        <w:rPr>
          <w:noProof/>
        </w:rPr>
        <w:t xml:space="preserve">By using the </w:t>
      </w:r>
      <w:r w:rsidRPr="00040F04">
        <w:rPr>
          <w:rFonts w:eastAsiaTheme="minorEastAsia"/>
          <w:noProof/>
        </w:rPr>
        <w:t>Development Cooperation Instrument</w:t>
      </w:r>
      <w:r w:rsidRPr="00040F04">
        <w:rPr>
          <w:noProof/>
        </w:rPr>
        <w:t>, the EU financed measures aimed at supporting geographic and thematic cooperation with developing countries.</w:t>
      </w:r>
    </w:p>
    <w:p w14:paraId="57ADB251" w14:textId="77777777" w:rsidR="0018222F" w:rsidRPr="00040F04" w:rsidRDefault="0018222F" w:rsidP="0018222F">
      <w:pPr>
        <w:pStyle w:val="ppoListHyphened-L1"/>
        <w:rPr>
          <w:noProof/>
        </w:rPr>
      </w:pPr>
      <w:r w:rsidRPr="00040F04">
        <w:rPr>
          <w:noProof/>
        </w:rPr>
        <w:t xml:space="preserve">The EU’s financial support via the </w:t>
      </w:r>
      <w:r w:rsidRPr="00040F04">
        <w:rPr>
          <w:rFonts w:eastAsiaTheme="minorEastAsia"/>
          <w:noProof/>
        </w:rPr>
        <w:t xml:space="preserve">Development Cooperation Instrument </w:t>
      </w:r>
      <w:r w:rsidRPr="00040F04">
        <w:rPr>
          <w:noProof/>
        </w:rPr>
        <w:t>has improved the lives of millions of people worldwide, enabled young people to fulfil their potential, fought inequality and supported equitable and sustainable growth.</w:t>
      </w:r>
    </w:p>
    <w:p w14:paraId="3D9EC0BE" w14:textId="77777777" w:rsidR="0018222F" w:rsidRPr="00040F04" w:rsidRDefault="0018222F" w:rsidP="0018222F">
      <w:pPr>
        <w:pStyle w:val="ppoListHyphened-L1"/>
        <w:rPr>
          <w:noProof/>
        </w:rPr>
      </w:pPr>
      <w:r w:rsidRPr="00040F04">
        <w:rPr>
          <w:noProof/>
        </w:rPr>
        <w:t xml:space="preserve">However, it remains difficult to measure the direct impact of the 2014-2020 </w:t>
      </w:r>
      <w:r w:rsidRPr="00040F04">
        <w:rPr>
          <w:rFonts w:eastAsiaTheme="minorEastAsia"/>
          <w:noProof/>
        </w:rPr>
        <w:t xml:space="preserve">Development Cooperation Instrument </w:t>
      </w:r>
      <w:r w:rsidRPr="00040F04">
        <w:rPr>
          <w:noProof/>
        </w:rPr>
        <w:t xml:space="preserve">on development outcomes such as poverty reduction because there are so many other contributing actors and factors, and separating the specific effect of the </w:t>
      </w:r>
      <w:r w:rsidRPr="00040F04">
        <w:rPr>
          <w:rFonts w:eastAsiaTheme="minorEastAsia"/>
          <w:noProof/>
        </w:rPr>
        <w:t xml:space="preserve">Development Cooperation Instrument </w:t>
      </w:r>
      <w:r w:rsidRPr="00040F04">
        <w:rPr>
          <w:noProof/>
        </w:rPr>
        <w:t>is challenging.</w:t>
      </w:r>
    </w:p>
    <w:p w14:paraId="0E550168" w14:textId="77777777" w:rsidR="0018222F" w:rsidRPr="00040F04" w:rsidRDefault="0018222F" w:rsidP="0018222F">
      <w:pPr>
        <w:pStyle w:val="ppoListHyphened-L1"/>
        <w:rPr>
          <w:noProof/>
        </w:rPr>
      </w:pPr>
      <w:r w:rsidRPr="00040F04">
        <w:rPr>
          <w:noProof/>
        </w:rPr>
        <w:t xml:space="preserve">With the above caveat in mind on the impossibility of establishing a direct link with the programme measures, most of the population residing in </w:t>
      </w:r>
      <w:r w:rsidRPr="00040F04">
        <w:rPr>
          <w:rFonts w:eastAsiaTheme="minorEastAsia"/>
          <w:noProof/>
        </w:rPr>
        <w:t xml:space="preserve">Development Cooperation Instrument </w:t>
      </w:r>
      <w:r w:rsidRPr="00040F04">
        <w:rPr>
          <w:noProof/>
        </w:rPr>
        <w:t>partner countries have seen progress in poverty reduction and human and economic development over the last 10</w:t>
      </w:r>
      <w:r w:rsidRPr="00040F04">
        <w:rPr>
          <w:rFonts w:ascii="Calibri" w:hAnsi="Calibri" w:cs="Calibri"/>
          <w:noProof/>
        </w:rPr>
        <w:t> </w:t>
      </w:r>
      <w:r w:rsidRPr="00040F04">
        <w:rPr>
          <w:noProof/>
        </w:rPr>
        <w:t>years.</w:t>
      </w:r>
    </w:p>
    <w:p w14:paraId="6E23B816" w14:textId="77777777" w:rsidR="0018222F" w:rsidRPr="00040F04" w:rsidRDefault="0018222F" w:rsidP="0018222F">
      <w:pPr>
        <w:pStyle w:val="ppoListHyphened-L1"/>
        <w:rPr>
          <w:noProof/>
        </w:rPr>
      </w:pPr>
      <w:r w:rsidRPr="00040F04">
        <w:rPr>
          <w:noProof/>
        </w:rPr>
        <w:t xml:space="preserve">Indeed, </w:t>
      </w:r>
      <w:bookmarkStart w:id="240" w:name="_Hlk100921448"/>
      <w:r w:rsidRPr="00682425">
        <w:rPr>
          <w:noProof/>
        </w:rPr>
        <w:t xml:space="preserve">the proportion of the world population below the international poverty line dropped every year </w:t>
      </w:r>
      <w:r>
        <w:rPr>
          <w:noProof/>
        </w:rPr>
        <w:t xml:space="preserve">between </w:t>
      </w:r>
      <w:r w:rsidRPr="00682425">
        <w:rPr>
          <w:noProof/>
        </w:rPr>
        <w:t>2014</w:t>
      </w:r>
      <w:r>
        <w:rPr>
          <w:noProof/>
        </w:rPr>
        <w:t xml:space="preserve"> and </w:t>
      </w:r>
      <w:r w:rsidRPr="00682425">
        <w:rPr>
          <w:noProof/>
        </w:rPr>
        <w:t>2019</w:t>
      </w:r>
      <w:r>
        <w:rPr>
          <w:noProof/>
        </w:rPr>
        <w:t xml:space="preserve">, when it </w:t>
      </w:r>
      <w:r w:rsidRPr="00682425">
        <w:rPr>
          <w:noProof/>
        </w:rPr>
        <w:t>reach</w:t>
      </w:r>
      <w:r>
        <w:rPr>
          <w:noProof/>
        </w:rPr>
        <w:t>ed</w:t>
      </w:r>
      <w:r w:rsidRPr="00682425">
        <w:rPr>
          <w:noProof/>
        </w:rPr>
        <w:t xml:space="preserve"> 8.7%</w:t>
      </w:r>
      <w:r>
        <w:rPr>
          <w:noProof/>
        </w:rPr>
        <w:t>,</w:t>
      </w:r>
      <w:r w:rsidRPr="00682425">
        <w:rPr>
          <w:noProof/>
        </w:rPr>
        <w:t xml:space="preserve"> and </w:t>
      </w:r>
      <w:r>
        <w:rPr>
          <w:noProof/>
        </w:rPr>
        <w:t>has remained steady since then</w:t>
      </w:r>
      <w:bookmarkEnd w:id="240"/>
      <w:r w:rsidRPr="00040F04">
        <w:rPr>
          <w:noProof/>
        </w:rPr>
        <w:t>. Similarly, the mortality rate of under-5s and the prevalence of stunting also decreased every single year between 2014 and 2021.</w:t>
      </w:r>
    </w:p>
    <w:p w14:paraId="6B5A24DE" w14:textId="77777777" w:rsidR="0018222F" w:rsidRPr="00040F04" w:rsidRDefault="0018222F" w:rsidP="0018222F">
      <w:pPr>
        <w:pStyle w:val="ppoListHyphened-L1"/>
        <w:rPr>
          <w:noProof/>
        </w:rPr>
      </w:pPr>
      <w:r w:rsidRPr="00040F04">
        <w:rPr>
          <w:noProof/>
        </w:rPr>
        <w:t>Despite these positive trends, the rates of change have slowed over time as numbers have approached (but not reached) their ambitious targets. The prevalence of stunting is the exception for which targets have consistently been met.</w:t>
      </w:r>
    </w:p>
    <w:p w14:paraId="7C4542AB" w14:textId="77777777" w:rsidR="0018222F" w:rsidRPr="00040F04" w:rsidRDefault="0018222F" w:rsidP="0018222F">
      <w:pPr>
        <w:pStyle w:val="ppoListHyphened-L1"/>
        <w:rPr>
          <w:noProof/>
        </w:rPr>
      </w:pPr>
      <w:r w:rsidRPr="00040F04">
        <w:rPr>
          <w:noProof/>
        </w:rPr>
        <w:t>On the other hand, the international indicators monitoring the situation in relation to democracy, the rule of law, good governance and human rights do not tell an encouraging story. Regarding the World Bank’s rule-of-law score, the situation deteriorated between 2014 and 2016 and has not significantly improved since.</w:t>
      </w:r>
    </w:p>
    <w:p w14:paraId="081B9B3A" w14:textId="77777777" w:rsidR="0018222F" w:rsidRPr="00040F04" w:rsidRDefault="0018222F" w:rsidP="0018222F">
      <w:pPr>
        <w:pStyle w:val="ppoListHyphened-L1"/>
        <w:rPr>
          <w:noProof/>
        </w:rPr>
      </w:pPr>
      <w:r w:rsidRPr="00040F04">
        <w:rPr>
          <w:noProof/>
        </w:rPr>
        <w:t xml:space="preserve">With regard to the proportion of seats held by women in national parliaments, progress has been so slow that, if the current pace of change were to continue in the future, the 2020 target would be only met in 2035. This is why </w:t>
      </w:r>
      <w:bookmarkStart w:id="241" w:name="_Hlk100921749"/>
      <w:r w:rsidRPr="00040F04">
        <w:rPr>
          <w:noProof/>
        </w:rPr>
        <w:t xml:space="preserve">the Commission has </w:t>
      </w:r>
      <w:r w:rsidRPr="00682425">
        <w:rPr>
          <w:noProof/>
        </w:rPr>
        <w:t>ins</w:t>
      </w:r>
      <w:r>
        <w:rPr>
          <w:noProof/>
        </w:rPr>
        <w:t>titu</w:t>
      </w:r>
      <w:r w:rsidRPr="00682425">
        <w:rPr>
          <w:noProof/>
        </w:rPr>
        <w:t>ted</w:t>
      </w:r>
      <w:r w:rsidRPr="00040F04">
        <w:rPr>
          <w:noProof/>
        </w:rPr>
        <w:t xml:space="preserve"> and financed via the </w:t>
      </w:r>
      <w:r w:rsidRPr="00040F04">
        <w:rPr>
          <w:rFonts w:eastAsiaTheme="minorEastAsia"/>
          <w:noProof/>
        </w:rPr>
        <w:t xml:space="preserve">Development Cooperation Instrument </w:t>
      </w:r>
      <w:r w:rsidRPr="00040F04">
        <w:rPr>
          <w:noProof/>
        </w:rPr>
        <w:t>a number of projects to promote democracy</w:t>
      </w:r>
      <w:bookmarkEnd w:id="241"/>
      <w:r w:rsidRPr="00040F04">
        <w:rPr>
          <w:noProof/>
        </w:rPr>
        <w:t>, the rule of law, good governance and human rights significantly above the initial target of 100 projects per year on average over the 2014-2021 period.</w:t>
      </w:r>
    </w:p>
    <w:p w14:paraId="261EB259" w14:textId="77777777" w:rsidR="0018222F" w:rsidRPr="00040F04" w:rsidRDefault="0018222F" w:rsidP="0018222F">
      <w:pPr>
        <w:pStyle w:val="ppoHeading4Red"/>
        <w:rPr>
          <w:noProof/>
        </w:rPr>
      </w:pPr>
      <w:r w:rsidRPr="00040F04">
        <w:rPr>
          <w:noProof/>
        </w:rPr>
        <w:t>2014-2020 multiannual financial framework – European Neighbourhood Instrument</w:t>
      </w:r>
    </w:p>
    <w:p w14:paraId="02ACD59B" w14:textId="77777777" w:rsidR="0018222F" w:rsidRPr="00040F04" w:rsidRDefault="0018222F" w:rsidP="0018222F">
      <w:pPr>
        <w:rPr>
          <w:rFonts w:eastAsiaTheme="minorEastAsia"/>
          <w:noProof/>
        </w:rPr>
      </w:pPr>
      <w:r w:rsidRPr="00040F04">
        <w:rPr>
          <w:rFonts w:eastAsiaTheme="minorEastAsia"/>
          <w:noProof/>
        </w:rPr>
        <w:t>The European Neighbourhood Instrument financed, for the 2014-2020 period, the European neighbourhood policy, which aims at supporting political, economic and social reform processes in the EU’s neighbouring countries.</w:t>
      </w:r>
    </w:p>
    <w:p w14:paraId="3B8B438C" w14:textId="77777777" w:rsidR="0018222F" w:rsidRPr="00040F04" w:rsidRDefault="0018222F" w:rsidP="0018222F">
      <w:pPr>
        <w:pStyle w:val="ppoHeading5"/>
        <w:rPr>
          <w:noProof/>
        </w:rPr>
      </w:pPr>
      <w:r w:rsidRPr="00040F04">
        <w:rPr>
          <w:noProof/>
        </w:rPr>
        <w:t>Budget implementation</w:t>
      </w:r>
    </w:p>
    <w:p w14:paraId="68AB1A17" w14:textId="77777777" w:rsidR="0018222F" w:rsidRPr="00040F04" w:rsidRDefault="0018222F" w:rsidP="0018222F">
      <w:pPr>
        <w:pStyle w:val="ppoTableTabletitle"/>
        <w:rPr>
          <w:noProof/>
        </w:rPr>
      </w:pPr>
      <w:r w:rsidRPr="00040F04">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18222F" w:rsidRPr="00040F04" w14:paraId="1B97B8FD" w14:textId="77777777" w:rsidTr="008321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0714D919" w14:textId="77777777" w:rsidR="0018222F" w:rsidRPr="00040F04" w:rsidRDefault="0018222F" w:rsidP="0083214A">
            <w:pPr>
              <w:rPr>
                <w:noProof/>
              </w:rPr>
            </w:pPr>
          </w:p>
        </w:tc>
        <w:tc>
          <w:tcPr>
            <w:tcW w:w="2410" w:type="dxa"/>
          </w:tcPr>
          <w:p w14:paraId="45D94768" w14:textId="77777777" w:rsidR="0018222F" w:rsidRPr="00040F04" w:rsidRDefault="0018222F" w:rsidP="0083214A">
            <w:pPr>
              <w:cnfStyle w:val="100000000000" w:firstRow="1" w:lastRow="0" w:firstColumn="0" w:lastColumn="0" w:oddVBand="0" w:evenVBand="0" w:oddHBand="0" w:evenHBand="0" w:firstRowFirstColumn="0" w:firstRowLastColumn="0" w:lastRowFirstColumn="0" w:lastRowLastColumn="0"/>
              <w:rPr>
                <w:noProof/>
              </w:rPr>
            </w:pPr>
            <w:r w:rsidRPr="00040F04">
              <w:rPr>
                <w:noProof/>
              </w:rPr>
              <w:t>Implementation</w:t>
            </w:r>
          </w:p>
        </w:tc>
        <w:tc>
          <w:tcPr>
            <w:tcW w:w="2410" w:type="dxa"/>
          </w:tcPr>
          <w:p w14:paraId="3B954AE1" w14:textId="2D2B5BE7" w:rsidR="0018222F" w:rsidRPr="00040F04" w:rsidRDefault="003821C6" w:rsidP="0083214A">
            <w:pPr>
              <w:cnfStyle w:val="100000000000" w:firstRow="1" w:lastRow="0" w:firstColumn="0" w:lastColumn="0" w:oddVBand="0" w:evenVBand="0" w:oddHBand="0" w:evenHBand="0" w:firstRowFirstColumn="0" w:firstRowLastColumn="0" w:lastRowFirstColumn="0" w:lastRowLastColumn="0"/>
              <w:rPr>
                <w:noProof/>
              </w:rPr>
            </w:pPr>
            <w:r>
              <w:rPr>
                <w:noProof/>
              </w:rPr>
              <w:t xml:space="preserve">2014-2020 </w:t>
            </w:r>
            <w:r w:rsidR="0018222F" w:rsidRPr="00040F04">
              <w:rPr>
                <w:noProof/>
              </w:rPr>
              <w:t>Budget</w:t>
            </w:r>
          </w:p>
        </w:tc>
        <w:tc>
          <w:tcPr>
            <w:tcW w:w="2410" w:type="dxa"/>
          </w:tcPr>
          <w:p w14:paraId="69667B5E" w14:textId="77777777" w:rsidR="0018222F" w:rsidRPr="00040F04" w:rsidRDefault="0018222F" w:rsidP="0083214A">
            <w:pPr>
              <w:cnfStyle w:val="100000000000" w:firstRow="1" w:lastRow="0" w:firstColumn="0" w:lastColumn="0" w:oddVBand="0" w:evenVBand="0" w:oddHBand="0" w:evenHBand="0" w:firstRowFirstColumn="0" w:firstRowLastColumn="0" w:lastRowFirstColumn="0" w:lastRowLastColumn="0"/>
              <w:rPr>
                <w:noProof/>
              </w:rPr>
            </w:pPr>
            <w:r w:rsidRPr="00040F04">
              <w:rPr>
                <w:noProof/>
              </w:rPr>
              <w:t>Implementation rate</w:t>
            </w:r>
          </w:p>
        </w:tc>
      </w:tr>
      <w:tr w:rsidR="0018222F" w:rsidRPr="00040F04" w14:paraId="311181A2"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26A094B5" w14:textId="77777777" w:rsidR="0018222F" w:rsidRPr="00040F04" w:rsidRDefault="0018222F" w:rsidP="0083214A">
            <w:pPr>
              <w:jc w:val="center"/>
              <w:rPr>
                <w:noProof/>
              </w:rPr>
            </w:pPr>
            <w:r w:rsidRPr="00040F04">
              <w:rPr>
                <w:noProof/>
              </w:rPr>
              <w:t>Commitment</w:t>
            </w:r>
          </w:p>
        </w:tc>
        <w:tc>
          <w:tcPr>
            <w:tcW w:w="2410" w:type="dxa"/>
          </w:tcPr>
          <w:p w14:paraId="7975B293" w14:textId="77777777"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r w:rsidRPr="00040F04">
              <w:rPr>
                <w:noProof/>
              </w:rPr>
              <w:t>17</w:t>
            </w:r>
            <w:r w:rsidRPr="00040F04">
              <w:rPr>
                <w:rFonts w:ascii="Calibri" w:hAnsi="Calibri" w:cs="Calibri"/>
                <w:noProof/>
              </w:rPr>
              <w:t> </w:t>
            </w:r>
            <w:r w:rsidRPr="00040F04">
              <w:rPr>
                <w:noProof/>
              </w:rPr>
              <w:t>566.3</w:t>
            </w:r>
          </w:p>
        </w:tc>
        <w:tc>
          <w:tcPr>
            <w:tcW w:w="2410" w:type="dxa"/>
          </w:tcPr>
          <w:p w14:paraId="3350B4E7" w14:textId="77777777"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r w:rsidRPr="00040F04">
              <w:rPr>
                <w:noProof/>
              </w:rPr>
              <w:t>17</w:t>
            </w:r>
            <w:r w:rsidRPr="00040F04">
              <w:rPr>
                <w:rFonts w:ascii="Calibri" w:hAnsi="Calibri" w:cs="Calibri"/>
                <w:noProof/>
              </w:rPr>
              <w:t> </w:t>
            </w:r>
            <w:r w:rsidRPr="00040F04">
              <w:rPr>
                <w:noProof/>
              </w:rPr>
              <w:t>568.3</w:t>
            </w:r>
          </w:p>
        </w:tc>
        <w:tc>
          <w:tcPr>
            <w:tcW w:w="2410" w:type="dxa"/>
          </w:tcPr>
          <w:p w14:paraId="3A38D35E" w14:textId="77777777"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r w:rsidRPr="00040F04">
              <w:rPr>
                <w:noProof/>
              </w:rPr>
              <w:t>100%</w:t>
            </w:r>
          </w:p>
        </w:tc>
      </w:tr>
      <w:tr w:rsidR="0018222F" w:rsidRPr="00040F04" w14:paraId="78A40CE3"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07A6FE72" w14:textId="77777777" w:rsidR="0018222F" w:rsidRPr="00040F04" w:rsidRDefault="0018222F" w:rsidP="0083214A">
            <w:pPr>
              <w:jc w:val="center"/>
              <w:rPr>
                <w:noProof/>
              </w:rPr>
            </w:pPr>
            <w:r w:rsidRPr="00040F04">
              <w:rPr>
                <w:noProof/>
              </w:rPr>
              <w:t>Payments</w:t>
            </w:r>
          </w:p>
        </w:tc>
        <w:tc>
          <w:tcPr>
            <w:tcW w:w="2410" w:type="dxa"/>
          </w:tcPr>
          <w:p w14:paraId="2C7BFFAE" w14:textId="77777777"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r w:rsidRPr="00040F04">
              <w:rPr>
                <w:noProof/>
              </w:rPr>
              <w:t>11</w:t>
            </w:r>
            <w:r w:rsidRPr="00040F04">
              <w:rPr>
                <w:rFonts w:ascii="Calibri" w:hAnsi="Calibri" w:cs="Calibri"/>
                <w:noProof/>
              </w:rPr>
              <w:t> </w:t>
            </w:r>
            <w:r w:rsidRPr="00040F04">
              <w:rPr>
                <w:noProof/>
              </w:rPr>
              <w:t>534.9</w:t>
            </w:r>
          </w:p>
        </w:tc>
        <w:tc>
          <w:tcPr>
            <w:tcW w:w="2410" w:type="dxa"/>
          </w:tcPr>
          <w:p w14:paraId="2C0C8CC1" w14:textId="77777777"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78809A15" w14:textId="77777777"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r w:rsidRPr="00040F04">
              <w:rPr>
                <w:noProof/>
              </w:rPr>
              <w:t>66%</w:t>
            </w:r>
          </w:p>
        </w:tc>
      </w:tr>
    </w:tbl>
    <w:p w14:paraId="488F6B02" w14:textId="77777777" w:rsidR="0018222F" w:rsidRPr="00040F04" w:rsidRDefault="0018222F" w:rsidP="0018222F">
      <w:pPr>
        <w:pStyle w:val="ppoListHyphened-L1"/>
        <w:rPr>
          <w:noProof/>
        </w:rPr>
      </w:pPr>
      <w:r w:rsidRPr="00040F04">
        <w:rPr>
          <w:noProof/>
        </w:rPr>
        <w:t>As of 31</w:t>
      </w:r>
      <w:r w:rsidRPr="00040F04">
        <w:rPr>
          <w:rFonts w:ascii="Calibri" w:hAnsi="Calibri" w:cs="Calibri"/>
          <w:noProof/>
        </w:rPr>
        <w:t> </w:t>
      </w:r>
      <w:r w:rsidRPr="00040F04">
        <w:rPr>
          <w:noProof/>
        </w:rPr>
        <w:t xml:space="preserve">December 2021, the whole of the </w:t>
      </w:r>
      <w:r w:rsidRPr="00040F04">
        <w:rPr>
          <w:rFonts w:eastAsiaTheme="minorEastAsia"/>
          <w:noProof/>
        </w:rPr>
        <w:t xml:space="preserve">European Neighbourhood Instrument </w:t>
      </w:r>
      <w:r w:rsidRPr="00040F04">
        <w:rPr>
          <w:noProof/>
        </w:rPr>
        <w:t>envelope had been committed, and 66% had been paid. The instrument is an investment tool, and finances projects that run over a long period. Contracts are concluded on average within 3</w:t>
      </w:r>
      <w:r w:rsidRPr="00040F04">
        <w:rPr>
          <w:rFonts w:ascii="Calibri" w:hAnsi="Calibri" w:cs="Calibri"/>
          <w:noProof/>
        </w:rPr>
        <w:t> </w:t>
      </w:r>
      <w:r w:rsidRPr="00040F04">
        <w:rPr>
          <w:noProof/>
        </w:rPr>
        <w:t>years, while those with international financial institutions, such as blending and guarantees, have longer implementation periods (6-9</w:t>
      </w:r>
      <w:r w:rsidRPr="00040F04">
        <w:rPr>
          <w:rFonts w:ascii="Calibri" w:hAnsi="Calibri" w:cs="Calibri"/>
          <w:noProof/>
        </w:rPr>
        <w:t> </w:t>
      </w:r>
      <w:r w:rsidRPr="00040F04">
        <w:rPr>
          <w:noProof/>
        </w:rPr>
        <w:t>years).</w:t>
      </w:r>
    </w:p>
    <w:p w14:paraId="41090005" w14:textId="77777777" w:rsidR="0018222F" w:rsidRPr="00040F04" w:rsidRDefault="0018222F" w:rsidP="0018222F">
      <w:pPr>
        <w:pStyle w:val="ppoListHyphened-L1"/>
        <w:rPr>
          <w:noProof/>
        </w:rPr>
      </w:pPr>
      <w:r w:rsidRPr="00040F04">
        <w:rPr>
          <w:noProof/>
        </w:rPr>
        <w:t xml:space="preserve">The implementation of </w:t>
      </w:r>
      <w:r w:rsidRPr="00040F04">
        <w:rPr>
          <w:rFonts w:eastAsiaTheme="minorEastAsia"/>
          <w:noProof/>
        </w:rPr>
        <w:t xml:space="preserve">European Neighbourhood Instrument </w:t>
      </w:r>
      <w:r w:rsidRPr="00040F04">
        <w:rPr>
          <w:noProof/>
        </w:rPr>
        <w:t>payment appropriations will decrease to EUR</w:t>
      </w:r>
      <w:r w:rsidRPr="00040F04">
        <w:rPr>
          <w:rFonts w:ascii="Calibri" w:hAnsi="Calibri" w:cs="Calibri"/>
          <w:noProof/>
        </w:rPr>
        <w:t> </w:t>
      </w:r>
      <w:r w:rsidRPr="00040F04">
        <w:rPr>
          <w:noProof/>
        </w:rPr>
        <w:t>1.2</w:t>
      </w:r>
      <w:r w:rsidRPr="00040F04">
        <w:rPr>
          <w:rFonts w:ascii="Calibri" w:hAnsi="Calibri" w:cs="Calibri"/>
          <w:noProof/>
        </w:rPr>
        <w:t> </w:t>
      </w:r>
      <w:r w:rsidRPr="00040F04">
        <w:rPr>
          <w:noProof/>
        </w:rPr>
        <w:t>billion in 2022 and stabilise at EUR</w:t>
      </w:r>
      <w:r w:rsidRPr="00040F04">
        <w:rPr>
          <w:rFonts w:ascii="Calibri" w:hAnsi="Calibri" w:cs="Calibri"/>
          <w:noProof/>
        </w:rPr>
        <w:t> </w:t>
      </w:r>
      <w:r w:rsidRPr="00040F04">
        <w:rPr>
          <w:noProof/>
        </w:rPr>
        <w:t>1.1</w:t>
      </w:r>
      <w:r w:rsidRPr="00040F04">
        <w:rPr>
          <w:rFonts w:ascii="Calibri" w:hAnsi="Calibri" w:cs="Calibri"/>
          <w:noProof/>
        </w:rPr>
        <w:t> </w:t>
      </w:r>
      <w:r w:rsidRPr="00040F04">
        <w:rPr>
          <w:noProof/>
        </w:rPr>
        <w:t>million in 2023. This should bring the implementation of these payment appropriations up to 73% of the total 14-20 envelope at the end of 2022 and 79% at the end of 2023.</w:t>
      </w:r>
    </w:p>
    <w:p w14:paraId="1152A6EC" w14:textId="77777777" w:rsidR="0018222F" w:rsidRPr="00040F04" w:rsidRDefault="0018222F" w:rsidP="0018222F">
      <w:pPr>
        <w:pStyle w:val="ppoListHyphened-L1"/>
        <w:rPr>
          <w:noProof/>
        </w:rPr>
      </w:pPr>
      <w:r w:rsidRPr="00040F04">
        <w:rPr>
          <w:noProof/>
        </w:rPr>
        <w:t xml:space="preserve">More than half (54%) of </w:t>
      </w:r>
      <w:r w:rsidRPr="00040F04">
        <w:rPr>
          <w:rFonts w:eastAsiaTheme="minorEastAsia"/>
          <w:noProof/>
        </w:rPr>
        <w:t xml:space="preserve">European Neighbourhood Instrument </w:t>
      </w:r>
      <w:r w:rsidRPr="00040F04">
        <w:rPr>
          <w:noProof/>
        </w:rPr>
        <w:t>payments in 2021 were dedicated to measures relating to social infrastructure and services (including more than half for governments and civil society), 26% to multisector measures, 10% to economic infrastructure and services and 7% to production sectors.</w:t>
      </w:r>
    </w:p>
    <w:p w14:paraId="2ADA5CD0" w14:textId="77777777" w:rsidR="0018222F" w:rsidRPr="00040F04" w:rsidRDefault="0018222F" w:rsidP="0018222F">
      <w:pPr>
        <w:pStyle w:val="ppoListHyphened-L1"/>
        <w:rPr>
          <w:noProof/>
        </w:rPr>
      </w:pPr>
      <w:r w:rsidRPr="00040F04">
        <w:rPr>
          <w:noProof/>
        </w:rPr>
        <w:t>Moreover, 66% of payment appropriations were implemented through direct management and 33.3% through indirect management, while 24% were implemented by trust funds, 20% through budget support, 17% by international organisations, 14% through grants and implementing agencies, 8% through procurements and 2% through indirect management with beneficiary countries.</w:t>
      </w:r>
    </w:p>
    <w:p w14:paraId="1627706E" w14:textId="77777777" w:rsidR="0018222F" w:rsidRPr="00040F04" w:rsidRDefault="0018222F" w:rsidP="0018222F">
      <w:pPr>
        <w:pStyle w:val="ppoHeading5"/>
        <w:rPr>
          <w:noProof/>
        </w:rPr>
      </w:pPr>
      <w:r w:rsidRPr="00040F04">
        <w:rPr>
          <w:noProof/>
        </w:rPr>
        <w:t>Performance assessment</w:t>
      </w:r>
    </w:p>
    <w:p w14:paraId="0210EFC6" w14:textId="77777777" w:rsidR="0018222F" w:rsidRPr="00040F04" w:rsidRDefault="0018222F" w:rsidP="0018222F">
      <w:pPr>
        <w:pStyle w:val="ppoHeading6"/>
        <w:rPr>
          <w:noProof/>
        </w:rPr>
      </w:pPr>
      <w:r w:rsidRPr="00040F04">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18222F" w:rsidRPr="00040F04" w14:paraId="4081991D" w14:textId="77777777" w:rsidTr="0083214A">
        <w:trPr>
          <w:cnfStyle w:val="100000000000" w:firstRow="1" w:lastRow="0" w:firstColumn="0" w:lastColumn="0" w:oddVBand="0" w:evenVBand="0" w:oddHBand="0" w:evenHBand="0" w:firstRowFirstColumn="0" w:firstRowLastColumn="0" w:lastRowFirstColumn="0" w:lastRowLastColumn="0"/>
        </w:trPr>
        <w:tc>
          <w:tcPr>
            <w:tcW w:w="2330" w:type="dxa"/>
          </w:tcPr>
          <w:p w14:paraId="5ECB412A" w14:textId="77777777" w:rsidR="0018222F" w:rsidRPr="00040F04" w:rsidRDefault="0018222F" w:rsidP="0083214A">
            <w:pPr>
              <w:rPr>
                <w:noProof/>
              </w:rPr>
            </w:pPr>
          </w:p>
        </w:tc>
        <w:tc>
          <w:tcPr>
            <w:tcW w:w="1100" w:type="dxa"/>
          </w:tcPr>
          <w:p w14:paraId="368FD7FB" w14:textId="77777777" w:rsidR="0018222F" w:rsidRPr="00040F04" w:rsidRDefault="0018222F" w:rsidP="0083214A">
            <w:pPr>
              <w:rPr>
                <w:noProof/>
              </w:rPr>
            </w:pPr>
            <w:r w:rsidRPr="00040F04">
              <w:rPr>
                <w:noProof/>
              </w:rPr>
              <w:t>Baseline</w:t>
            </w:r>
          </w:p>
        </w:tc>
        <w:tc>
          <w:tcPr>
            <w:tcW w:w="1526" w:type="dxa"/>
          </w:tcPr>
          <w:p w14:paraId="475D7BFE" w14:textId="77777777" w:rsidR="0018222F" w:rsidRPr="00040F04" w:rsidRDefault="0018222F" w:rsidP="0083214A">
            <w:pPr>
              <w:rPr>
                <w:noProof/>
              </w:rPr>
            </w:pPr>
            <w:r w:rsidRPr="00040F04">
              <w:rPr>
                <w:noProof/>
              </w:rPr>
              <w:t>Progress (*)</w:t>
            </w:r>
          </w:p>
        </w:tc>
        <w:tc>
          <w:tcPr>
            <w:tcW w:w="1532" w:type="dxa"/>
          </w:tcPr>
          <w:p w14:paraId="686AA7DF" w14:textId="77777777" w:rsidR="0018222F" w:rsidRPr="00040F04" w:rsidRDefault="0018222F" w:rsidP="0083214A">
            <w:pPr>
              <w:rPr>
                <w:noProof/>
              </w:rPr>
            </w:pPr>
            <w:r w:rsidRPr="00040F04">
              <w:rPr>
                <w:noProof/>
              </w:rPr>
              <w:t>Target</w:t>
            </w:r>
          </w:p>
        </w:tc>
        <w:tc>
          <w:tcPr>
            <w:tcW w:w="1572" w:type="dxa"/>
          </w:tcPr>
          <w:p w14:paraId="5EB705BA" w14:textId="77777777" w:rsidR="0018222F" w:rsidRPr="00040F04" w:rsidRDefault="0018222F" w:rsidP="0083214A">
            <w:pPr>
              <w:rPr>
                <w:noProof/>
              </w:rPr>
            </w:pPr>
            <w:r w:rsidRPr="00040F04">
              <w:rPr>
                <w:noProof/>
              </w:rPr>
              <w:t>Results</w:t>
            </w:r>
          </w:p>
        </w:tc>
        <w:tc>
          <w:tcPr>
            <w:tcW w:w="1579" w:type="dxa"/>
          </w:tcPr>
          <w:p w14:paraId="2E63AA1B" w14:textId="77777777" w:rsidR="0018222F" w:rsidRPr="00040F04" w:rsidRDefault="0018222F" w:rsidP="0083214A">
            <w:pPr>
              <w:rPr>
                <w:noProof/>
              </w:rPr>
            </w:pPr>
            <w:r w:rsidRPr="00040F04">
              <w:rPr>
                <w:noProof/>
              </w:rPr>
              <w:t>Assessment</w:t>
            </w:r>
          </w:p>
        </w:tc>
      </w:tr>
      <w:tr w:rsidR="0018222F" w:rsidRPr="00040F04" w14:paraId="3506BD59"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46DBB611" w14:textId="77777777" w:rsidR="0018222F" w:rsidRPr="00040F04" w:rsidRDefault="0018222F" w:rsidP="0083214A">
            <w:pPr>
              <w:rPr>
                <w:noProof/>
              </w:rPr>
            </w:pPr>
            <w:r w:rsidRPr="00040F04">
              <w:rPr>
                <w:noProof/>
              </w:rPr>
              <w:t>Eastern Partnership</w:t>
            </w:r>
            <w:r w:rsidRPr="00040F04">
              <w:rPr>
                <w:rFonts w:ascii="Calibri" w:hAnsi="Calibri" w:cs="Calibri"/>
                <w:noProof/>
              </w:rPr>
              <w:t> </w:t>
            </w:r>
            <w:r w:rsidRPr="00040F04">
              <w:rPr>
                <w:noProof/>
              </w:rPr>
              <w:t>– mobility partnerships in place</w:t>
            </w:r>
          </w:p>
        </w:tc>
        <w:tc>
          <w:tcPr>
            <w:tcW w:w="1100" w:type="dxa"/>
          </w:tcPr>
          <w:p w14:paraId="75E47D6B" w14:textId="77777777" w:rsidR="0018222F" w:rsidRPr="00040F04" w:rsidRDefault="0018222F" w:rsidP="0083214A">
            <w:pPr>
              <w:jc w:val="center"/>
              <w:rPr>
                <w:noProof/>
              </w:rPr>
            </w:pPr>
            <w:r w:rsidRPr="00040F04">
              <w:rPr>
                <w:noProof/>
              </w:rPr>
              <w:t>3</w:t>
            </w:r>
          </w:p>
        </w:tc>
        <w:tc>
          <w:tcPr>
            <w:tcW w:w="1526" w:type="dxa"/>
          </w:tcPr>
          <w:p w14:paraId="59AC6A81" w14:textId="77777777" w:rsidR="0018222F" w:rsidRPr="00040F04" w:rsidRDefault="0018222F" w:rsidP="0083214A">
            <w:pPr>
              <w:jc w:val="center"/>
              <w:rPr>
                <w:b/>
                <w:noProof/>
              </w:rPr>
            </w:pPr>
            <w:r w:rsidRPr="00040F04">
              <w:rPr>
                <w:b/>
                <w:noProof/>
              </w:rPr>
              <w:t>&gt; 100%</w:t>
            </w:r>
          </w:p>
        </w:tc>
        <w:tc>
          <w:tcPr>
            <w:tcW w:w="1532" w:type="dxa"/>
          </w:tcPr>
          <w:p w14:paraId="467EC1C9" w14:textId="77777777" w:rsidR="0018222F" w:rsidRPr="00040F04" w:rsidRDefault="0018222F" w:rsidP="0083214A">
            <w:pPr>
              <w:jc w:val="center"/>
              <w:rPr>
                <w:noProof/>
              </w:rPr>
            </w:pPr>
            <w:r w:rsidRPr="00040F04">
              <w:rPr>
                <w:noProof/>
              </w:rPr>
              <w:t>4 in 2023</w:t>
            </w:r>
          </w:p>
        </w:tc>
        <w:tc>
          <w:tcPr>
            <w:tcW w:w="1572" w:type="dxa"/>
          </w:tcPr>
          <w:p w14:paraId="07DD1D94" w14:textId="77777777" w:rsidR="0018222F" w:rsidRPr="00040F04" w:rsidRDefault="0018222F" w:rsidP="0083214A">
            <w:pPr>
              <w:jc w:val="center"/>
              <w:rPr>
                <w:noProof/>
              </w:rPr>
            </w:pPr>
            <w:r w:rsidRPr="00040F04">
              <w:rPr>
                <w:noProof/>
              </w:rPr>
              <w:t>6 partnerships compared to target of 4</w:t>
            </w:r>
          </w:p>
        </w:tc>
        <w:tc>
          <w:tcPr>
            <w:tcW w:w="1579" w:type="dxa"/>
          </w:tcPr>
          <w:p w14:paraId="48C47D46" w14:textId="77777777" w:rsidR="0018222F" w:rsidRPr="00040F04" w:rsidRDefault="0018222F" w:rsidP="0083214A">
            <w:pPr>
              <w:jc w:val="center"/>
              <w:rPr>
                <w:noProof/>
              </w:rPr>
            </w:pPr>
            <w:r w:rsidRPr="00040F04">
              <w:rPr>
                <w:noProof/>
              </w:rPr>
              <w:t>On track</w:t>
            </w:r>
          </w:p>
        </w:tc>
      </w:tr>
      <w:tr w:rsidR="0018222F" w:rsidRPr="00040F04" w14:paraId="0C3C3645"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5E9ACDC8" w14:textId="77777777" w:rsidR="0018222F" w:rsidRPr="00040F04" w:rsidRDefault="0018222F" w:rsidP="0083214A">
            <w:pPr>
              <w:rPr>
                <w:noProof/>
              </w:rPr>
            </w:pPr>
            <w:r w:rsidRPr="00040F04">
              <w:rPr>
                <w:noProof/>
              </w:rPr>
              <w:t>Southern neighbourhood</w:t>
            </w:r>
            <w:r w:rsidRPr="00040F04">
              <w:rPr>
                <w:rFonts w:ascii="Calibri" w:hAnsi="Calibri" w:cs="Calibri"/>
                <w:noProof/>
              </w:rPr>
              <w:t> </w:t>
            </w:r>
            <w:r w:rsidRPr="00040F04">
              <w:rPr>
                <w:noProof/>
              </w:rPr>
              <w:t>– mobility partnerships in place</w:t>
            </w:r>
          </w:p>
        </w:tc>
        <w:tc>
          <w:tcPr>
            <w:tcW w:w="1100" w:type="dxa"/>
          </w:tcPr>
          <w:p w14:paraId="73D55250" w14:textId="77777777" w:rsidR="0018222F" w:rsidRPr="00040F04" w:rsidRDefault="0018222F" w:rsidP="0083214A">
            <w:pPr>
              <w:jc w:val="center"/>
              <w:rPr>
                <w:noProof/>
              </w:rPr>
            </w:pPr>
            <w:r w:rsidRPr="00040F04">
              <w:rPr>
                <w:noProof/>
              </w:rPr>
              <w:t>1</w:t>
            </w:r>
          </w:p>
        </w:tc>
        <w:tc>
          <w:tcPr>
            <w:tcW w:w="1526" w:type="dxa"/>
          </w:tcPr>
          <w:p w14:paraId="59C3AD0A" w14:textId="77777777" w:rsidR="0018222F" w:rsidRPr="00040F04" w:rsidRDefault="0018222F" w:rsidP="0083214A">
            <w:pPr>
              <w:jc w:val="center"/>
              <w:rPr>
                <w:b/>
                <w:noProof/>
              </w:rPr>
            </w:pPr>
            <w:r w:rsidRPr="00040F04">
              <w:rPr>
                <w:b/>
                <w:noProof/>
              </w:rPr>
              <w:t>67%</w:t>
            </w:r>
          </w:p>
        </w:tc>
        <w:tc>
          <w:tcPr>
            <w:tcW w:w="1532" w:type="dxa"/>
          </w:tcPr>
          <w:p w14:paraId="42D23AB7" w14:textId="77777777" w:rsidR="0018222F" w:rsidRPr="00040F04" w:rsidRDefault="0018222F" w:rsidP="0083214A">
            <w:pPr>
              <w:jc w:val="center"/>
              <w:rPr>
                <w:noProof/>
              </w:rPr>
            </w:pPr>
            <w:r w:rsidRPr="00040F04">
              <w:rPr>
                <w:noProof/>
              </w:rPr>
              <w:t>4 in 2023</w:t>
            </w:r>
          </w:p>
        </w:tc>
        <w:tc>
          <w:tcPr>
            <w:tcW w:w="1572" w:type="dxa"/>
          </w:tcPr>
          <w:p w14:paraId="16234F68" w14:textId="77777777" w:rsidR="0018222F" w:rsidRPr="00040F04" w:rsidRDefault="0018222F" w:rsidP="0083214A">
            <w:pPr>
              <w:jc w:val="center"/>
              <w:rPr>
                <w:noProof/>
              </w:rPr>
            </w:pPr>
            <w:r w:rsidRPr="00040F04">
              <w:rPr>
                <w:noProof/>
              </w:rPr>
              <w:t>3 partnerships out of 4</w:t>
            </w:r>
          </w:p>
        </w:tc>
        <w:tc>
          <w:tcPr>
            <w:tcW w:w="1579" w:type="dxa"/>
          </w:tcPr>
          <w:p w14:paraId="63AA02D9" w14:textId="77777777" w:rsidR="0018222F" w:rsidRPr="00040F04" w:rsidRDefault="0018222F" w:rsidP="0083214A">
            <w:pPr>
              <w:jc w:val="center"/>
              <w:rPr>
                <w:noProof/>
              </w:rPr>
            </w:pPr>
            <w:r w:rsidRPr="00040F04">
              <w:rPr>
                <w:noProof/>
              </w:rPr>
              <w:t>Moderate progress</w:t>
            </w:r>
          </w:p>
        </w:tc>
      </w:tr>
      <w:tr w:rsidR="0018222F" w:rsidRPr="00040F04" w14:paraId="1D1D9084"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7CFABD12" w14:textId="77777777" w:rsidR="0018222F" w:rsidRPr="00040F04" w:rsidRDefault="0018222F" w:rsidP="0083214A">
            <w:pPr>
              <w:rPr>
                <w:noProof/>
              </w:rPr>
            </w:pPr>
            <w:r w:rsidRPr="00040F04">
              <w:rPr>
                <w:noProof/>
              </w:rPr>
              <w:t>Number of ministerial, platform and panel meetings under the Eastern Partnership</w:t>
            </w:r>
          </w:p>
        </w:tc>
        <w:tc>
          <w:tcPr>
            <w:tcW w:w="1100" w:type="dxa"/>
          </w:tcPr>
          <w:p w14:paraId="3A344ABC" w14:textId="77777777" w:rsidR="0018222F" w:rsidRPr="00040F04" w:rsidRDefault="0018222F" w:rsidP="0083214A">
            <w:pPr>
              <w:jc w:val="center"/>
              <w:rPr>
                <w:noProof/>
              </w:rPr>
            </w:pPr>
            <w:r w:rsidRPr="00040F04">
              <w:rPr>
                <w:noProof/>
              </w:rPr>
              <w:t>70-80</w:t>
            </w:r>
          </w:p>
        </w:tc>
        <w:tc>
          <w:tcPr>
            <w:tcW w:w="1526" w:type="dxa"/>
          </w:tcPr>
          <w:p w14:paraId="0323D70E" w14:textId="77777777" w:rsidR="0018222F" w:rsidRPr="00040F04" w:rsidRDefault="0018222F" w:rsidP="0083214A">
            <w:pPr>
              <w:jc w:val="center"/>
              <w:rPr>
                <w:b/>
                <w:noProof/>
              </w:rPr>
            </w:pPr>
            <w:r w:rsidRPr="00040F04">
              <w:rPr>
                <w:b/>
                <w:noProof/>
              </w:rPr>
              <w:t>&lt; 0%</w:t>
            </w:r>
          </w:p>
        </w:tc>
        <w:tc>
          <w:tcPr>
            <w:tcW w:w="1532" w:type="dxa"/>
          </w:tcPr>
          <w:p w14:paraId="10FDF5E0" w14:textId="77777777" w:rsidR="0018222F" w:rsidRPr="00040F04" w:rsidRDefault="0018222F" w:rsidP="0083214A">
            <w:pPr>
              <w:jc w:val="center"/>
              <w:rPr>
                <w:noProof/>
              </w:rPr>
            </w:pPr>
            <w:r w:rsidRPr="00040F04">
              <w:rPr>
                <w:noProof/>
              </w:rPr>
              <w:t>90 in 2023</w:t>
            </w:r>
          </w:p>
        </w:tc>
        <w:tc>
          <w:tcPr>
            <w:tcW w:w="1572" w:type="dxa"/>
          </w:tcPr>
          <w:p w14:paraId="79CE5848" w14:textId="77777777" w:rsidR="0018222F" w:rsidRPr="00040F04" w:rsidRDefault="0018222F" w:rsidP="0083214A">
            <w:pPr>
              <w:jc w:val="center"/>
              <w:rPr>
                <w:noProof/>
              </w:rPr>
            </w:pPr>
            <w:r w:rsidRPr="00040F04">
              <w:rPr>
                <w:noProof/>
              </w:rPr>
              <w:t>48 meetings out of 90</w:t>
            </w:r>
          </w:p>
        </w:tc>
        <w:tc>
          <w:tcPr>
            <w:tcW w:w="1579" w:type="dxa"/>
          </w:tcPr>
          <w:p w14:paraId="7C1DC50D" w14:textId="77777777" w:rsidR="0018222F" w:rsidRPr="00040F04" w:rsidRDefault="0018222F" w:rsidP="0083214A">
            <w:pPr>
              <w:jc w:val="center"/>
              <w:rPr>
                <w:noProof/>
              </w:rPr>
            </w:pPr>
            <w:r w:rsidRPr="00040F04">
              <w:rPr>
                <w:noProof/>
              </w:rPr>
              <w:t>Moderate progress</w:t>
            </w:r>
          </w:p>
        </w:tc>
      </w:tr>
    </w:tbl>
    <w:p w14:paraId="123DD71F" w14:textId="77777777" w:rsidR="0018222F" w:rsidRPr="00040F04" w:rsidRDefault="0018222F" w:rsidP="0018222F">
      <w:pPr>
        <w:pStyle w:val="FootnoteText"/>
        <w:rPr>
          <w:noProof/>
        </w:rPr>
      </w:pPr>
      <w:r w:rsidRPr="00040F04">
        <w:rPr>
          <w:noProof/>
        </w:rPr>
        <w:t>(*) % of target achieved by the end of 2021.</w:t>
      </w:r>
    </w:p>
    <w:p w14:paraId="69727875" w14:textId="77777777" w:rsidR="0018222F" w:rsidRPr="00040F04" w:rsidRDefault="0018222F" w:rsidP="0018222F">
      <w:pPr>
        <w:pStyle w:val="ppoListHyphened-L1"/>
        <w:rPr>
          <w:noProof/>
        </w:rPr>
      </w:pPr>
      <w:r w:rsidRPr="00040F04">
        <w:rPr>
          <w:noProof/>
        </w:rPr>
        <w:t>The European Neighbourhood Instrument has proved to be a flexible and responsive instrument addressing the priorities established under the European Neighbourhood Policy framework and reacting to needs and challenges in the region, including protracted crises.</w:t>
      </w:r>
    </w:p>
    <w:p w14:paraId="6784032F" w14:textId="77777777" w:rsidR="0018222F" w:rsidRPr="00040F04" w:rsidRDefault="0018222F" w:rsidP="0018222F">
      <w:pPr>
        <w:pStyle w:val="ppoListHyphened-L1"/>
        <w:rPr>
          <w:noProof/>
        </w:rPr>
      </w:pPr>
      <w:r w:rsidRPr="00040F04">
        <w:rPr>
          <w:noProof/>
        </w:rPr>
        <w:t xml:space="preserve">One of the essential elements of the </w:t>
      </w:r>
      <w:r w:rsidRPr="00040F04">
        <w:rPr>
          <w:rFonts w:eastAsiaTheme="minorEastAsia"/>
          <w:noProof/>
        </w:rPr>
        <w:t xml:space="preserve">European Neighbourhood Instrument </w:t>
      </w:r>
      <w:r w:rsidRPr="00040F04">
        <w:rPr>
          <w:noProof/>
        </w:rPr>
        <w:t>regulation is the incentive-based approach, also referred to as ‘more for more’. EUR</w:t>
      </w:r>
      <w:r w:rsidRPr="00040F04">
        <w:rPr>
          <w:rFonts w:ascii="Calibri" w:hAnsi="Calibri" w:cs="Calibri"/>
          <w:noProof/>
        </w:rPr>
        <w:t> </w:t>
      </w:r>
      <w:r w:rsidRPr="00040F04">
        <w:rPr>
          <w:noProof/>
        </w:rPr>
        <w:t>1.4</w:t>
      </w:r>
      <w:r w:rsidRPr="00040F04">
        <w:rPr>
          <w:rFonts w:ascii="Calibri" w:hAnsi="Calibri" w:cs="Calibri"/>
          <w:noProof/>
        </w:rPr>
        <w:t> </w:t>
      </w:r>
      <w:r w:rsidRPr="00040F04">
        <w:rPr>
          <w:noProof/>
        </w:rPr>
        <w:t>billion was disbursed under the incentive-based approach between 2014 and 2020. Indeed, the share of available resources offered to partner countries is adapted primarily to their progress in building and consolidating a deep and sustainable democracy and in implementing agreed political-, economic- and social-reform objectives.</w:t>
      </w:r>
    </w:p>
    <w:p w14:paraId="4E7B0461" w14:textId="77777777" w:rsidR="0018222F" w:rsidRPr="00040F04" w:rsidRDefault="0018222F" w:rsidP="0018222F">
      <w:pPr>
        <w:pStyle w:val="ppoListHyphened-L1"/>
        <w:rPr>
          <w:noProof/>
        </w:rPr>
      </w:pPr>
      <w:r w:rsidRPr="00040F04">
        <w:rPr>
          <w:noProof/>
        </w:rPr>
        <w:t>In cases of non-achievement or backsliding, ‘less for less’ is applied to the available resources offered to partner countries, or resources are recalibrated towards civil society. A good example is Belarus, where the EU has stepped up its support for the people of Belarus while moving assistance away from the authorities.</w:t>
      </w:r>
    </w:p>
    <w:p w14:paraId="6063E310" w14:textId="77777777" w:rsidR="0018222F" w:rsidRPr="00040F04" w:rsidRDefault="0018222F" w:rsidP="0018222F">
      <w:pPr>
        <w:pStyle w:val="ppoListHyphened-L1"/>
        <w:rPr>
          <w:noProof/>
        </w:rPr>
      </w:pPr>
      <w:r w:rsidRPr="00040F04">
        <w:rPr>
          <w:noProof/>
        </w:rPr>
        <w:t>The first objective of the instrument is to promote human rights and fundamental freedoms, the rule of law, principles of equality and the fight against discrimination in all its forms.</w:t>
      </w:r>
    </w:p>
    <w:p w14:paraId="730AD73E" w14:textId="77777777" w:rsidR="0018222F" w:rsidRPr="00040F04" w:rsidRDefault="0018222F" w:rsidP="0018222F">
      <w:pPr>
        <w:pStyle w:val="ppoListHyphened-L1"/>
        <w:rPr>
          <w:noProof/>
        </w:rPr>
      </w:pPr>
      <w:r w:rsidRPr="00040F04">
        <w:rPr>
          <w:noProof/>
        </w:rPr>
        <w:t>Overall, the trend in the neighbourhood has been fluctuating.</w:t>
      </w:r>
    </w:p>
    <w:p w14:paraId="01F05E16" w14:textId="77777777" w:rsidR="0018222F" w:rsidRPr="00040F04" w:rsidRDefault="0018222F" w:rsidP="0018222F">
      <w:pPr>
        <w:pStyle w:val="ppoListHyphened-L1"/>
        <w:rPr>
          <w:noProof/>
        </w:rPr>
      </w:pPr>
      <w:r w:rsidRPr="00040F04">
        <w:rPr>
          <w:noProof/>
        </w:rPr>
        <w:t>The instrument pursues this objective by promoting, through its interventions, the values of human rights and fundamental opinions of civil-society organisations for a policy initiative, freedoms, the rule of law, principles of equality and anti-discrimination.</w:t>
      </w:r>
    </w:p>
    <w:p w14:paraId="7D562F81" w14:textId="77777777" w:rsidR="0018222F" w:rsidRPr="00040F04" w:rsidRDefault="0018222F" w:rsidP="0018222F">
      <w:pPr>
        <w:pStyle w:val="ppoListHyphened-L1"/>
        <w:rPr>
          <w:noProof/>
        </w:rPr>
      </w:pPr>
      <w:r w:rsidRPr="00040F04">
        <w:rPr>
          <w:noProof/>
        </w:rPr>
        <w:t>Over the 2014-2020 period, some EUR</w:t>
      </w:r>
      <w:r w:rsidRPr="00040F04">
        <w:rPr>
          <w:rFonts w:ascii="Calibri" w:hAnsi="Calibri" w:cs="Calibri"/>
          <w:noProof/>
        </w:rPr>
        <w:t> </w:t>
      </w:r>
      <w:r w:rsidRPr="00040F04">
        <w:rPr>
          <w:noProof/>
        </w:rPr>
        <w:t>2.2</w:t>
      </w:r>
      <w:r w:rsidRPr="00040F04">
        <w:rPr>
          <w:rFonts w:ascii="Calibri" w:hAnsi="Calibri" w:cs="Calibri"/>
          <w:noProof/>
        </w:rPr>
        <w:t> </w:t>
      </w:r>
      <w:r w:rsidRPr="00040F04">
        <w:rPr>
          <w:noProof/>
        </w:rPr>
        <w:t xml:space="preserve">billion was committed to human rights, good governance and mobility. Over the 2013-2021 period, the EU supported 63 government policies with civil society throughout the eastern and southern neighbourhoods. This means supporting public participation whereby the government actively seeks the opinions of interested and affected groups in civil society for a policy initiative. </w:t>
      </w:r>
      <w:bookmarkStart w:id="242" w:name="_Hlk100926851"/>
      <w:r w:rsidRPr="00682425">
        <w:rPr>
          <w:noProof/>
        </w:rPr>
        <w:t>In addition, more than 65</w:t>
      </w:r>
      <w:r w:rsidRPr="00682425">
        <w:rPr>
          <w:rFonts w:ascii="Calibri" w:hAnsi="Calibri" w:cs="Calibri"/>
          <w:noProof/>
        </w:rPr>
        <w:t> </w:t>
      </w:r>
      <w:r w:rsidRPr="00682425">
        <w:rPr>
          <w:noProof/>
        </w:rPr>
        <w:t>000 people benefited from legal aid interventions supported by the EU</w:t>
      </w:r>
      <w:r>
        <w:rPr>
          <w:noProof/>
        </w:rPr>
        <w:t xml:space="preserve"> in </w:t>
      </w:r>
      <w:r w:rsidRPr="00682425">
        <w:rPr>
          <w:noProof/>
        </w:rPr>
        <w:t>2013-2021.</w:t>
      </w:r>
      <w:bookmarkEnd w:id="242"/>
    </w:p>
    <w:p w14:paraId="6E696CF0" w14:textId="77777777" w:rsidR="0018222F" w:rsidRPr="00040F04" w:rsidRDefault="0018222F" w:rsidP="0018222F">
      <w:pPr>
        <w:pStyle w:val="ppoListHyphened-L1"/>
        <w:rPr>
          <w:noProof/>
        </w:rPr>
      </w:pPr>
      <w:r w:rsidRPr="00040F04">
        <w:rPr>
          <w:noProof/>
        </w:rPr>
        <w:t>The second objective is to achieve progressive integration into the EU’s internal market and enhanced sectoral and cross-sectoral cooperation in various domains.</w:t>
      </w:r>
    </w:p>
    <w:p w14:paraId="5D851485" w14:textId="77777777" w:rsidR="0018222F" w:rsidRPr="00040F04" w:rsidRDefault="0018222F" w:rsidP="0018222F">
      <w:pPr>
        <w:pStyle w:val="ppoListHyphened-L1"/>
        <w:rPr>
          <w:noProof/>
        </w:rPr>
      </w:pPr>
      <w:r w:rsidRPr="00040F04">
        <w:rPr>
          <w:noProof/>
        </w:rPr>
        <w:t>The instrument supports almost all neighbourhood countries in strengthening their revenue mobilisation (how to collect more taxes and how to do it better), their public financial management and their budget transparency. During the 2014-2021 period, the total amount of support for public financial management is estimated to have been EUR</w:t>
      </w:r>
      <w:r w:rsidRPr="00040F04">
        <w:rPr>
          <w:rFonts w:ascii="Calibri" w:hAnsi="Calibri" w:cs="Calibri"/>
          <w:noProof/>
        </w:rPr>
        <w:t> </w:t>
      </w:r>
      <w:r w:rsidRPr="00040F04">
        <w:rPr>
          <w:noProof/>
        </w:rPr>
        <w:t>268</w:t>
      </w:r>
      <w:r w:rsidRPr="00040F04">
        <w:rPr>
          <w:rFonts w:ascii="Calibri" w:hAnsi="Calibri" w:cs="Calibri"/>
          <w:noProof/>
        </w:rPr>
        <w:t> </w:t>
      </w:r>
      <w:r w:rsidRPr="00040F04">
        <w:rPr>
          <w:noProof/>
        </w:rPr>
        <w:t>million. As examples of the results of this support, more than 74</w:t>
      </w:r>
      <w:r w:rsidRPr="00040F04">
        <w:rPr>
          <w:rFonts w:ascii="Calibri" w:hAnsi="Calibri" w:cs="Calibri"/>
          <w:noProof/>
        </w:rPr>
        <w:t> </w:t>
      </w:r>
      <w:r w:rsidRPr="00040F04">
        <w:rPr>
          <w:noProof/>
        </w:rPr>
        <w:t>000 firms and more than 41</w:t>
      </w:r>
      <w:r w:rsidRPr="00040F04">
        <w:rPr>
          <w:rFonts w:ascii="Calibri" w:hAnsi="Calibri" w:cs="Calibri"/>
          <w:noProof/>
        </w:rPr>
        <w:t> </w:t>
      </w:r>
      <w:r w:rsidRPr="00040F04">
        <w:rPr>
          <w:noProof/>
        </w:rPr>
        <w:t>000 individuals gained access to financial services.</w:t>
      </w:r>
    </w:p>
    <w:p w14:paraId="55710A5B" w14:textId="77777777" w:rsidR="0018222F" w:rsidRPr="00040F04" w:rsidRDefault="0018222F" w:rsidP="0018222F">
      <w:pPr>
        <w:pStyle w:val="ppoListHyphened-L1"/>
        <w:rPr>
          <w:noProof/>
        </w:rPr>
      </w:pPr>
      <w:r w:rsidRPr="00040F04">
        <w:rPr>
          <w:noProof/>
        </w:rPr>
        <w:t>The instrument also supports the implementation of trade agreements with our partners, notably via the EU4Business initiative. In particular, this initiative helps to support studies and technical assistance for regulatory approximation in the areas of public procurement, technical barriers to trade, sanitary and phytosanitary measures, customs and services.</w:t>
      </w:r>
    </w:p>
    <w:p w14:paraId="6CA72F4E" w14:textId="77777777" w:rsidR="0018222F" w:rsidRPr="00040F04" w:rsidRDefault="0018222F" w:rsidP="0018222F">
      <w:pPr>
        <w:pStyle w:val="ppoListHyphened-L1"/>
        <w:rPr>
          <w:noProof/>
        </w:rPr>
      </w:pPr>
      <w:r w:rsidRPr="00040F04">
        <w:rPr>
          <w:noProof/>
        </w:rPr>
        <w:t>As a result of this support, economic operators in Georgia, Moldova, Palestine</w:t>
      </w:r>
      <w:r w:rsidRPr="00040F04">
        <w:rPr>
          <w:rFonts w:ascii="Calibri" w:hAnsi="Calibri" w:cs="Calibri"/>
          <w:noProof/>
        </w:rPr>
        <w:t> (</w:t>
      </w:r>
      <w:r w:rsidRPr="00B301FE">
        <w:rPr>
          <w:rStyle w:val="FootnoteReference"/>
          <w:rFonts w:ascii="Calibri" w:hAnsi="Calibri" w:cs="Calibri"/>
          <w:noProof/>
        </w:rPr>
        <w:footnoteReference w:id="12"/>
      </w:r>
      <w:r w:rsidRPr="00040F04">
        <w:rPr>
          <w:rFonts w:ascii="Calibri" w:hAnsi="Calibri" w:cs="Calibri"/>
          <w:noProof/>
        </w:rPr>
        <w:t>)</w:t>
      </w:r>
      <w:r w:rsidRPr="00040F04">
        <w:rPr>
          <w:noProof/>
        </w:rPr>
        <w:t>, Tunisia and Ukraine obtained 158 conformity-scheme-related certifications, accreditations, approvals or recognitions for their products, services and systems.</w:t>
      </w:r>
    </w:p>
    <w:p w14:paraId="64CEB2E7" w14:textId="77777777" w:rsidR="0018222F" w:rsidRPr="00040F04" w:rsidRDefault="0018222F" w:rsidP="0018222F">
      <w:pPr>
        <w:pStyle w:val="ppoListHyphened-L1"/>
        <w:rPr>
          <w:noProof/>
        </w:rPr>
      </w:pPr>
      <w:r w:rsidRPr="00040F04">
        <w:rPr>
          <w:noProof/>
        </w:rPr>
        <w:t>Certification and accreditation are key to facilitating trade between neighbourhood countries and the EU. In the eastern neighbourhood, this type of support has allowed an increase in the number of companies from the concerned countries exporting to the EU. Between 2014 and 2021, the number of companies exporting to the EU increased by 65% in Georgia, 70% in Moldova and 42% in Ukraine.</w:t>
      </w:r>
    </w:p>
    <w:p w14:paraId="68B23396" w14:textId="77777777" w:rsidR="0018222F" w:rsidRPr="00040F04" w:rsidRDefault="0018222F" w:rsidP="0018222F">
      <w:pPr>
        <w:pStyle w:val="ppoListHyphened-L1"/>
        <w:rPr>
          <w:noProof/>
        </w:rPr>
      </w:pPr>
      <w:r w:rsidRPr="00040F04">
        <w:rPr>
          <w:noProof/>
        </w:rPr>
        <w:t>The third objective of the instrument is to create conditions for the better organisation of legal migration and the well-managed mobility of people. The programme contributes greatly to achieving this objective.</w:t>
      </w:r>
    </w:p>
    <w:p w14:paraId="1772025F" w14:textId="77777777" w:rsidR="0018222F" w:rsidRPr="00040F04" w:rsidRDefault="0018222F" w:rsidP="0018222F">
      <w:pPr>
        <w:pStyle w:val="ppoListHyphened-L1"/>
        <w:rPr>
          <w:noProof/>
        </w:rPr>
      </w:pPr>
      <w:r w:rsidRPr="00040F04">
        <w:rPr>
          <w:noProof/>
        </w:rPr>
        <w:t>Most of the work done on migration and forced displacement since 2015 in the southern neighbourhood has been financed by approximately EUR</w:t>
      </w:r>
      <w:r w:rsidRPr="00040F04">
        <w:rPr>
          <w:rFonts w:ascii="Calibri" w:hAnsi="Calibri" w:cs="Calibri"/>
          <w:noProof/>
        </w:rPr>
        <w:t> </w:t>
      </w:r>
      <w:r w:rsidRPr="00040F04">
        <w:rPr>
          <w:noProof/>
        </w:rPr>
        <w:t>2</w:t>
      </w:r>
      <w:r w:rsidRPr="00040F04">
        <w:rPr>
          <w:rFonts w:ascii="Calibri" w:hAnsi="Calibri" w:cs="Calibri"/>
          <w:noProof/>
        </w:rPr>
        <w:t> </w:t>
      </w:r>
      <w:r w:rsidRPr="00040F04">
        <w:rPr>
          <w:noProof/>
        </w:rPr>
        <w:t xml:space="preserve">billion of </w:t>
      </w:r>
      <w:r w:rsidRPr="00040F04">
        <w:rPr>
          <w:rFonts w:eastAsiaTheme="minorEastAsia"/>
          <w:noProof/>
        </w:rPr>
        <w:t xml:space="preserve">European Neighbourhood Instrument </w:t>
      </w:r>
      <w:r w:rsidRPr="00040F04">
        <w:rPr>
          <w:noProof/>
        </w:rPr>
        <w:t>funds through the EU Emergency Trust Fund for Africa (North of Africa window) and the EU Regional Trust Fund in Response to the Syrian Crisis. In the eastern neighbourhood at least EUR</w:t>
      </w:r>
      <w:r w:rsidRPr="00040F04">
        <w:rPr>
          <w:rFonts w:ascii="Calibri" w:hAnsi="Calibri" w:cs="Calibri"/>
          <w:noProof/>
        </w:rPr>
        <w:t> </w:t>
      </w:r>
      <w:r w:rsidRPr="00040F04">
        <w:rPr>
          <w:noProof/>
        </w:rPr>
        <w:t>230</w:t>
      </w:r>
      <w:r w:rsidRPr="00040F04">
        <w:rPr>
          <w:rFonts w:ascii="Calibri" w:hAnsi="Calibri" w:cs="Calibri"/>
          <w:noProof/>
        </w:rPr>
        <w:t> </w:t>
      </w:r>
      <w:r w:rsidRPr="00040F04">
        <w:rPr>
          <w:noProof/>
        </w:rPr>
        <w:t>million has been spent, focusing mainly on legal migration</w:t>
      </w:r>
      <w:r w:rsidRPr="00040F04">
        <w:rPr>
          <w:rFonts w:ascii="Calibri" w:hAnsi="Calibri" w:cs="Calibri"/>
          <w:noProof/>
        </w:rPr>
        <w:t> </w:t>
      </w:r>
      <w:r w:rsidRPr="00040F04">
        <w:rPr>
          <w:rFonts w:cs="EC Square Sans Pro"/>
          <w:noProof/>
        </w:rPr>
        <w:t>–</w:t>
      </w:r>
      <w:r w:rsidRPr="00040F04">
        <w:rPr>
          <w:noProof/>
        </w:rPr>
        <w:t xml:space="preserve"> including mobility, circular migration and diaspora cooperation</w:t>
      </w:r>
      <w:r w:rsidRPr="00040F04">
        <w:rPr>
          <w:rFonts w:ascii="Calibri" w:hAnsi="Calibri" w:cs="Calibri"/>
          <w:noProof/>
        </w:rPr>
        <w:t> –</w:t>
      </w:r>
      <w:r w:rsidRPr="00040F04">
        <w:rPr>
          <w:noProof/>
        </w:rPr>
        <w:t xml:space="preserve"> and on border management.</w:t>
      </w:r>
    </w:p>
    <w:p w14:paraId="0BD1BA2D" w14:textId="77777777" w:rsidR="0018222F" w:rsidRPr="00040F04" w:rsidRDefault="0018222F" w:rsidP="0018222F">
      <w:pPr>
        <w:pStyle w:val="ppoListHyphened-L1"/>
        <w:rPr>
          <w:noProof/>
        </w:rPr>
      </w:pPr>
      <w:r w:rsidRPr="00040F04">
        <w:rPr>
          <w:noProof/>
        </w:rPr>
        <w:t>During the 2013-2021 period, almost 4.5</w:t>
      </w:r>
      <w:r w:rsidRPr="00040F04">
        <w:rPr>
          <w:rFonts w:ascii="Calibri" w:hAnsi="Calibri" w:cs="Calibri"/>
          <w:noProof/>
        </w:rPr>
        <w:t> </w:t>
      </w:r>
      <w:r w:rsidRPr="00040F04">
        <w:rPr>
          <w:noProof/>
        </w:rPr>
        <w:t>million migrants, forcibly displaced people or individuals from host communities were protected or assisted with EU support in the neighbourhood regions.</w:t>
      </w:r>
    </w:p>
    <w:p w14:paraId="07E004A7" w14:textId="77777777" w:rsidR="0018222F" w:rsidRPr="00040F04" w:rsidRDefault="0018222F" w:rsidP="0018222F">
      <w:pPr>
        <w:pStyle w:val="ppoListHyphened-L1"/>
        <w:rPr>
          <w:noProof/>
        </w:rPr>
      </w:pPr>
      <w:r w:rsidRPr="00040F04">
        <w:rPr>
          <w:noProof/>
        </w:rPr>
        <w:t>In order to have an impact on achieving the fourth objective</w:t>
      </w:r>
      <w:r w:rsidRPr="00040F04">
        <w:rPr>
          <w:rFonts w:ascii="Calibri" w:hAnsi="Calibri" w:cs="Calibri"/>
          <w:noProof/>
        </w:rPr>
        <w:t> </w:t>
      </w:r>
      <w:r w:rsidRPr="00040F04">
        <w:rPr>
          <w:noProof/>
        </w:rPr>
        <w:t>– i.e. supporting smart, sustainable and inclusive development in all respects</w:t>
      </w:r>
      <w:r w:rsidRPr="00040F04">
        <w:rPr>
          <w:rFonts w:ascii="Calibri" w:hAnsi="Calibri" w:cs="Calibri"/>
          <w:noProof/>
        </w:rPr>
        <w:t> </w:t>
      </w:r>
      <w:r w:rsidRPr="00040F04">
        <w:rPr>
          <w:noProof/>
        </w:rPr>
        <w:t>– the fund supported 14 countries in their reforms aiming to reduce business costs and risks and to create a more conducive environment for competitiveness, sustainable and inclusive growth and decent job creation.</w:t>
      </w:r>
    </w:p>
    <w:p w14:paraId="381F25E7" w14:textId="77777777" w:rsidR="0018222F" w:rsidRPr="00040F04" w:rsidRDefault="0018222F" w:rsidP="0018222F">
      <w:pPr>
        <w:pStyle w:val="ppoListHyphened-L1"/>
        <w:rPr>
          <w:noProof/>
        </w:rPr>
      </w:pPr>
      <w:r w:rsidRPr="00040F04">
        <w:rPr>
          <w:rFonts w:eastAsiaTheme="minorEastAsia"/>
          <w:noProof/>
        </w:rPr>
        <w:t xml:space="preserve">The European Neighbourhood Instrument </w:t>
      </w:r>
      <w:r w:rsidRPr="00040F04">
        <w:rPr>
          <w:noProof/>
        </w:rPr>
        <w:t>has also continued to provide support for the green transition to partner countries in the eastern neighbourhood, in line with the external dimension of the European Green Deal and to ensure a sustainable and green economic recovery.</w:t>
      </w:r>
    </w:p>
    <w:p w14:paraId="1DFDE157" w14:textId="77777777" w:rsidR="0018222F" w:rsidRPr="00040F04" w:rsidRDefault="0018222F" w:rsidP="0018222F">
      <w:pPr>
        <w:pStyle w:val="ppoListHyphened-L1"/>
        <w:rPr>
          <w:noProof/>
        </w:rPr>
      </w:pPr>
      <w:r w:rsidRPr="00040F04">
        <w:rPr>
          <w:noProof/>
        </w:rPr>
        <w:t xml:space="preserve">Within this context, the </w:t>
      </w:r>
      <w:r w:rsidRPr="00040F04">
        <w:rPr>
          <w:rFonts w:eastAsiaTheme="minorEastAsia"/>
          <w:noProof/>
        </w:rPr>
        <w:t xml:space="preserve">European Neighbourhood Instrument </w:t>
      </w:r>
      <w:r w:rsidRPr="00040F04">
        <w:rPr>
          <w:noProof/>
        </w:rPr>
        <w:t>programme EU4Climate assisted Armenia, Azerbaijan, Belarus and Moldova in preparing their updated nationally determined contributions. In Georgia and Ukraine, EU4Climate assisted with raising awareness and communicating the revised targets for these countries’ nationally determined contributions. As a result of this EUR</w:t>
      </w:r>
      <w:r w:rsidRPr="00040F04">
        <w:rPr>
          <w:rFonts w:ascii="Calibri" w:hAnsi="Calibri" w:cs="Calibri"/>
          <w:noProof/>
        </w:rPr>
        <w:t> </w:t>
      </w:r>
      <w:r w:rsidRPr="00040F04">
        <w:rPr>
          <w:noProof/>
        </w:rPr>
        <w:t>1.2</w:t>
      </w:r>
      <w:r w:rsidRPr="00040F04">
        <w:rPr>
          <w:rFonts w:ascii="Calibri" w:hAnsi="Calibri" w:cs="Calibri"/>
          <w:noProof/>
        </w:rPr>
        <w:t> </w:t>
      </w:r>
      <w:r w:rsidRPr="00040F04">
        <w:rPr>
          <w:noProof/>
        </w:rPr>
        <w:t>million in support, all Eastern Partnership countries increased their ambitions in relation to reducing greenhouse gas emissions by 2030, compared to the previous cycle of nationally determined contributions.</w:t>
      </w:r>
    </w:p>
    <w:p w14:paraId="2FBA98F4" w14:textId="77777777" w:rsidR="0018222F" w:rsidRPr="00040F04" w:rsidRDefault="0018222F" w:rsidP="0018222F">
      <w:pPr>
        <w:pStyle w:val="ppoListHyphened-L1"/>
        <w:rPr>
          <w:noProof/>
        </w:rPr>
      </w:pPr>
      <w:r w:rsidRPr="00040F04">
        <w:rPr>
          <w:noProof/>
        </w:rPr>
        <w:t>The fifth objective of the instrument is to promote confidence building, good neighbourly relations and other measures contributing to security in all its forms, along with the prevention and settlement of conflicts. To that end, in 2014-2021, the fund provided more than EUR</w:t>
      </w:r>
      <w:r w:rsidRPr="00040F04">
        <w:rPr>
          <w:rFonts w:ascii="Calibri" w:hAnsi="Calibri" w:cs="Calibri"/>
          <w:noProof/>
        </w:rPr>
        <w:t> </w:t>
      </w:r>
      <w:r w:rsidRPr="00040F04">
        <w:rPr>
          <w:noProof/>
        </w:rPr>
        <w:t>2.5</w:t>
      </w:r>
      <w:r w:rsidRPr="00040F04">
        <w:rPr>
          <w:rFonts w:ascii="Calibri" w:hAnsi="Calibri" w:cs="Calibri"/>
          <w:noProof/>
        </w:rPr>
        <w:t> </w:t>
      </w:r>
      <w:r w:rsidRPr="00040F04">
        <w:rPr>
          <w:noProof/>
        </w:rPr>
        <w:t>billion in total to over 1</w:t>
      </w:r>
      <w:r w:rsidRPr="00040F04">
        <w:rPr>
          <w:rFonts w:ascii="Calibri" w:hAnsi="Calibri" w:cs="Calibri"/>
          <w:noProof/>
        </w:rPr>
        <w:t> </w:t>
      </w:r>
      <w:r w:rsidRPr="00040F04">
        <w:rPr>
          <w:noProof/>
        </w:rPr>
        <w:t>000 state institutions and non-state actors for measures relating to security, border management, countering violent extremism, conflict prevention, protection of the civilian population and human rights.</w:t>
      </w:r>
    </w:p>
    <w:p w14:paraId="248A9405" w14:textId="77777777" w:rsidR="0018222F" w:rsidRPr="00040F04" w:rsidRDefault="0018222F" w:rsidP="0018222F">
      <w:pPr>
        <w:pStyle w:val="ppoListHyphened-L1"/>
        <w:rPr>
          <w:noProof/>
        </w:rPr>
      </w:pPr>
      <w:r w:rsidRPr="00040F04">
        <w:rPr>
          <w:noProof/>
        </w:rPr>
        <w:t>In particular, the EU has been a steadfast supporter not only of the territorial integrity of Ukraine in the face of Russia’s aggression, but also of building up Ukraine’s resilience. Since 2014, the EU has provided almost EUR</w:t>
      </w:r>
      <w:r w:rsidRPr="00040F04">
        <w:rPr>
          <w:rFonts w:ascii="Calibri" w:hAnsi="Calibri" w:cs="Calibri"/>
          <w:noProof/>
        </w:rPr>
        <w:t> </w:t>
      </w:r>
      <w:r w:rsidRPr="00040F04">
        <w:rPr>
          <w:noProof/>
        </w:rPr>
        <w:t>1</w:t>
      </w:r>
      <w:r w:rsidRPr="00040F04">
        <w:rPr>
          <w:rFonts w:ascii="Calibri" w:hAnsi="Calibri" w:cs="Calibri"/>
          <w:noProof/>
        </w:rPr>
        <w:t> </w:t>
      </w:r>
      <w:r w:rsidRPr="00040F04">
        <w:rPr>
          <w:noProof/>
        </w:rPr>
        <w:t>billion in conflict-related assistance to Ukraine: EUR</w:t>
      </w:r>
      <w:r w:rsidRPr="00040F04">
        <w:rPr>
          <w:rFonts w:ascii="Calibri" w:hAnsi="Calibri" w:cs="Calibri"/>
          <w:noProof/>
        </w:rPr>
        <w:t> </w:t>
      </w:r>
      <w:r w:rsidRPr="00040F04">
        <w:rPr>
          <w:noProof/>
        </w:rPr>
        <w:t>442.5</w:t>
      </w:r>
      <w:r w:rsidRPr="00040F04">
        <w:rPr>
          <w:rFonts w:ascii="Calibri" w:hAnsi="Calibri" w:cs="Calibri"/>
          <w:noProof/>
        </w:rPr>
        <w:t> </w:t>
      </w:r>
      <w:r w:rsidRPr="00040F04">
        <w:rPr>
          <w:noProof/>
        </w:rPr>
        <w:t>million in humanitarian and early recovery assistance and support for the reform process in conflict-affected regions; and EUR</w:t>
      </w:r>
      <w:r w:rsidRPr="00040F04">
        <w:rPr>
          <w:rFonts w:ascii="Calibri" w:hAnsi="Calibri" w:cs="Calibri"/>
          <w:noProof/>
        </w:rPr>
        <w:t> </w:t>
      </w:r>
      <w:r w:rsidRPr="00040F04">
        <w:rPr>
          <w:noProof/>
        </w:rPr>
        <w:t>540</w:t>
      </w:r>
      <w:r w:rsidRPr="00040F04">
        <w:rPr>
          <w:rFonts w:ascii="Calibri" w:hAnsi="Calibri" w:cs="Calibri"/>
          <w:noProof/>
        </w:rPr>
        <w:t> </w:t>
      </w:r>
      <w:r w:rsidRPr="00040F04">
        <w:rPr>
          <w:noProof/>
        </w:rPr>
        <w:t>million through European Investment Bank loans for investment in critical municipal infrastructure.</w:t>
      </w:r>
    </w:p>
    <w:p w14:paraId="735D5350" w14:textId="77777777" w:rsidR="0018222F" w:rsidRPr="00040F04" w:rsidRDefault="0018222F" w:rsidP="0018222F">
      <w:pPr>
        <w:pStyle w:val="ppoListHyphened-L1"/>
        <w:rPr>
          <w:noProof/>
        </w:rPr>
      </w:pPr>
      <w:r w:rsidRPr="00040F04">
        <w:rPr>
          <w:noProof/>
        </w:rPr>
        <w:t xml:space="preserve">Finally, </w:t>
      </w:r>
      <w:r w:rsidRPr="00040F04">
        <w:rPr>
          <w:rFonts w:eastAsiaTheme="minorEastAsia"/>
          <w:noProof/>
        </w:rPr>
        <w:t xml:space="preserve">European Neighbourhood Instrument </w:t>
      </w:r>
      <w:r w:rsidRPr="00040F04">
        <w:rPr>
          <w:noProof/>
        </w:rPr>
        <w:t>support for cross-border cooperation, its sixth objective, amounted to EUR</w:t>
      </w:r>
      <w:r w:rsidRPr="00040F04">
        <w:rPr>
          <w:rFonts w:ascii="Calibri" w:hAnsi="Calibri" w:cs="Calibri"/>
          <w:noProof/>
        </w:rPr>
        <w:t> </w:t>
      </w:r>
      <w:r w:rsidRPr="00040F04">
        <w:rPr>
          <w:noProof/>
        </w:rPr>
        <w:t>482</w:t>
      </w:r>
      <w:r w:rsidRPr="00040F04">
        <w:rPr>
          <w:rFonts w:ascii="Calibri" w:hAnsi="Calibri" w:cs="Calibri"/>
          <w:noProof/>
        </w:rPr>
        <w:t> </w:t>
      </w:r>
      <w:r w:rsidRPr="00040F04">
        <w:rPr>
          <w:noProof/>
        </w:rPr>
        <w:t xml:space="preserve">million for the 2014-2020 period as a whole. In the southern neighbourhood there has been positive progress on increasing the credibility of the Union for the Mediterranean through regular ministerial meetings and conferences. </w:t>
      </w:r>
      <w:bookmarkStart w:id="243" w:name="_Hlk100928007"/>
      <w:r>
        <w:rPr>
          <w:noProof/>
        </w:rPr>
        <w:t>In 2021</w:t>
      </w:r>
      <w:r w:rsidRPr="00040F04">
        <w:rPr>
          <w:noProof/>
        </w:rPr>
        <w:t>, the implementation of the Eastern Partnership policy reached a new milestone</w:t>
      </w:r>
      <w:bookmarkEnd w:id="243"/>
      <w:r w:rsidRPr="00040F04">
        <w:rPr>
          <w:noProof/>
        </w:rPr>
        <w:t>, that of endorsing the post-2020 Eastern Partnership agenda, structured around two equal pillars: governance and investment.</w:t>
      </w:r>
    </w:p>
    <w:p w14:paraId="5E52198C" w14:textId="77777777" w:rsidR="0018222F" w:rsidRPr="00040F04" w:rsidRDefault="0018222F" w:rsidP="0018222F">
      <w:pPr>
        <w:pStyle w:val="ppoHeading4Red"/>
        <w:rPr>
          <w:noProof/>
        </w:rPr>
      </w:pPr>
      <w:r w:rsidRPr="00040F04">
        <w:rPr>
          <w:noProof/>
        </w:rPr>
        <w:t>2014-2020 multiannual financial framework – European Instrument for Democracy and Human Rights</w:t>
      </w:r>
    </w:p>
    <w:p w14:paraId="0EAB08DF" w14:textId="77777777" w:rsidR="0018222F" w:rsidRPr="00040F04" w:rsidRDefault="0018222F" w:rsidP="0018222F">
      <w:pPr>
        <w:rPr>
          <w:rFonts w:eastAsiaTheme="minorEastAsia"/>
          <w:noProof/>
        </w:rPr>
      </w:pPr>
      <w:r w:rsidRPr="00040F04">
        <w:rPr>
          <w:rFonts w:eastAsiaTheme="minorEastAsia"/>
          <w:noProof/>
        </w:rPr>
        <w:t>The European Instrument for Democracy and Human Rights aimed at providing support for the promotion of democracy and human rights in non-EU countries.</w:t>
      </w:r>
    </w:p>
    <w:p w14:paraId="528013E6" w14:textId="77777777" w:rsidR="0018222F" w:rsidRPr="00040F04" w:rsidRDefault="0018222F" w:rsidP="0018222F">
      <w:pPr>
        <w:pStyle w:val="ppoHeading5"/>
        <w:rPr>
          <w:noProof/>
        </w:rPr>
      </w:pPr>
      <w:r w:rsidRPr="00040F04">
        <w:rPr>
          <w:noProof/>
        </w:rPr>
        <w:t>Budget implementation</w:t>
      </w:r>
    </w:p>
    <w:p w14:paraId="168843EF" w14:textId="77777777" w:rsidR="0018222F" w:rsidRPr="00040F04" w:rsidRDefault="0018222F" w:rsidP="0018222F">
      <w:pPr>
        <w:pStyle w:val="ppoTableTabletitle"/>
        <w:rPr>
          <w:noProof/>
        </w:rPr>
      </w:pPr>
      <w:r w:rsidRPr="00040F04">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18222F" w:rsidRPr="00040F04" w14:paraId="4A1255D7" w14:textId="77777777" w:rsidTr="008321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04A2F873" w14:textId="77777777" w:rsidR="0018222F" w:rsidRPr="00040F04" w:rsidRDefault="0018222F" w:rsidP="0083214A">
            <w:pPr>
              <w:rPr>
                <w:noProof/>
              </w:rPr>
            </w:pPr>
          </w:p>
        </w:tc>
        <w:tc>
          <w:tcPr>
            <w:tcW w:w="2410" w:type="dxa"/>
          </w:tcPr>
          <w:p w14:paraId="7B221855" w14:textId="77777777" w:rsidR="0018222F" w:rsidRPr="00040F04" w:rsidRDefault="0018222F" w:rsidP="0083214A">
            <w:pPr>
              <w:cnfStyle w:val="100000000000" w:firstRow="1" w:lastRow="0" w:firstColumn="0" w:lastColumn="0" w:oddVBand="0" w:evenVBand="0" w:oddHBand="0" w:evenHBand="0" w:firstRowFirstColumn="0" w:firstRowLastColumn="0" w:lastRowFirstColumn="0" w:lastRowLastColumn="0"/>
              <w:rPr>
                <w:noProof/>
              </w:rPr>
            </w:pPr>
            <w:r w:rsidRPr="00040F04">
              <w:rPr>
                <w:noProof/>
              </w:rPr>
              <w:t>Implementation</w:t>
            </w:r>
          </w:p>
        </w:tc>
        <w:tc>
          <w:tcPr>
            <w:tcW w:w="2410" w:type="dxa"/>
          </w:tcPr>
          <w:p w14:paraId="660C7CCC" w14:textId="620E3FD3" w:rsidR="0018222F" w:rsidRPr="00040F04" w:rsidRDefault="003821C6" w:rsidP="0083214A">
            <w:pPr>
              <w:cnfStyle w:val="100000000000" w:firstRow="1" w:lastRow="0" w:firstColumn="0" w:lastColumn="0" w:oddVBand="0" w:evenVBand="0" w:oddHBand="0" w:evenHBand="0" w:firstRowFirstColumn="0" w:firstRowLastColumn="0" w:lastRowFirstColumn="0" w:lastRowLastColumn="0"/>
              <w:rPr>
                <w:noProof/>
              </w:rPr>
            </w:pPr>
            <w:r>
              <w:rPr>
                <w:noProof/>
              </w:rPr>
              <w:t xml:space="preserve">2014-2020 </w:t>
            </w:r>
            <w:r w:rsidR="0018222F" w:rsidRPr="00040F04">
              <w:rPr>
                <w:noProof/>
              </w:rPr>
              <w:t>Budget</w:t>
            </w:r>
          </w:p>
        </w:tc>
        <w:tc>
          <w:tcPr>
            <w:tcW w:w="2410" w:type="dxa"/>
          </w:tcPr>
          <w:p w14:paraId="081C8B22" w14:textId="77777777" w:rsidR="0018222F" w:rsidRPr="00040F04" w:rsidRDefault="0018222F" w:rsidP="0083214A">
            <w:pPr>
              <w:cnfStyle w:val="100000000000" w:firstRow="1" w:lastRow="0" w:firstColumn="0" w:lastColumn="0" w:oddVBand="0" w:evenVBand="0" w:oddHBand="0" w:evenHBand="0" w:firstRowFirstColumn="0" w:firstRowLastColumn="0" w:lastRowFirstColumn="0" w:lastRowLastColumn="0"/>
              <w:rPr>
                <w:noProof/>
              </w:rPr>
            </w:pPr>
            <w:r w:rsidRPr="00040F04">
              <w:rPr>
                <w:noProof/>
              </w:rPr>
              <w:t>Implementation rate</w:t>
            </w:r>
          </w:p>
        </w:tc>
      </w:tr>
      <w:tr w:rsidR="0018222F" w:rsidRPr="00040F04" w14:paraId="220F5685"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3C7405AD" w14:textId="77777777" w:rsidR="0018222F" w:rsidRPr="00040F04" w:rsidRDefault="0018222F" w:rsidP="0083214A">
            <w:pPr>
              <w:jc w:val="center"/>
              <w:rPr>
                <w:noProof/>
              </w:rPr>
            </w:pPr>
            <w:r w:rsidRPr="00040F04">
              <w:rPr>
                <w:noProof/>
              </w:rPr>
              <w:t>Commitment</w:t>
            </w:r>
          </w:p>
        </w:tc>
        <w:tc>
          <w:tcPr>
            <w:tcW w:w="2410" w:type="dxa"/>
          </w:tcPr>
          <w:p w14:paraId="4A0A9F41" w14:textId="77777777"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r w:rsidRPr="00040F04">
              <w:rPr>
                <w:noProof/>
              </w:rPr>
              <w:t>1</w:t>
            </w:r>
            <w:r w:rsidRPr="00040F04">
              <w:rPr>
                <w:rFonts w:ascii="Calibri" w:hAnsi="Calibri" w:cs="Calibri"/>
                <w:noProof/>
              </w:rPr>
              <w:t> </w:t>
            </w:r>
            <w:r w:rsidRPr="00040F04">
              <w:rPr>
                <w:noProof/>
              </w:rPr>
              <w:t>250.3</w:t>
            </w:r>
          </w:p>
        </w:tc>
        <w:tc>
          <w:tcPr>
            <w:tcW w:w="2410" w:type="dxa"/>
          </w:tcPr>
          <w:p w14:paraId="148C5F8D" w14:textId="77777777"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r w:rsidRPr="00040F04">
              <w:rPr>
                <w:noProof/>
              </w:rPr>
              <w:t>1</w:t>
            </w:r>
            <w:r w:rsidRPr="00040F04">
              <w:rPr>
                <w:rFonts w:ascii="Calibri" w:hAnsi="Calibri" w:cs="Calibri"/>
                <w:noProof/>
              </w:rPr>
              <w:t> </w:t>
            </w:r>
            <w:r w:rsidRPr="00040F04">
              <w:rPr>
                <w:noProof/>
              </w:rPr>
              <w:t>250.6</w:t>
            </w:r>
          </w:p>
        </w:tc>
        <w:tc>
          <w:tcPr>
            <w:tcW w:w="2410" w:type="dxa"/>
          </w:tcPr>
          <w:p w14:paraId="683A5D04" w14:textId="77777777"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r w:rsidRPr="00040F04">
              <w:rPr>
                <w:noProof/>
              </w:rPr>
              <w:t>100%</w:t>
            </w:r>
          </w:p>
        </w:tc>
      </w:tr>
      <w:tr w:rsidR="0018222F" w:rsidRPr="00040F04" w14:paraId="178753B2"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4176EDA7" w14:textId="77777777" w:rsidR="0018222F" w:rsidRPr="00040F04" w:rsidRDefault="0018222F" w:rsidP="0083214A">
            <w:pPr>
              <w:jc w:val="center"/>
              <w:rPr>
                <w:noProof/>
              </w:rPr>
            </w:pPr>
            <w:r w:rsidRPr="00040F04">
              <w:rPr>
                <w:noProof/>
              </w:rPr>
              <w:t>Payments</w:t>
            </w:r>
          </w:p>
        </w:tc>
        <w:tc>
          <w:tcPr>
            <w:tcW w:w="2410" w:type="dxa"/>
          </w:tcPr>
          <w:p w14:paraId="0A88087F" w14:textId="77777777"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r w:rsidRPr="00040F04">
              <w:rPr>
                <w:noProof/>
              </w:rPr>
              <w:t>972.0</w:t>
            </w:r>
          </w:p>
        </w:tc>
        <w:tc>
          <w:tcPr>
            <w:tcW w:w="2410" w:type="dxa"/>
          </w:tcPr>
          <w:p w14:paraId="1FBAA809" w14:textId="77777777"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56CD2813" w14:textId="77777777"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r w:rsidRPr="00040F04">
              <w:rPr>
                <w:noProof/>
              </w:rPr>
              <w:t>78%</w:t>
            </w:r>
          </w:p>
        </w:tc>
      </w:tr>
    </w:tbl>
    <w:p w14:paraId="3DA291A1" w14:textId="77777777" w:rsidR="0018222F" w:rsidRPr="00040F04" w:rsidRDefault="0018222F" w:rsidP="0018222F">
      <w:pPr>
        <w:pStyle w:val="ppoListHyphened-L1"/>
        <w:rPr>
          <w:noProof/>
        </w:rPr>
      </w:pPr>
      <w:r w:rsidRPr="00040F04">
        <w:rPr>
          <w:noProof/>
        </w:rPr>
        <w:t>In 2021, the programme supported 132 new initiatives led by civil-society organisations, in particular local ones, in more than 70 partner countries.</w:t>
      </w:r>
    </w:p>
    <w:p w14:paraId="20B9AFA6" w14:textId="77777777" w:rsidR="0018222F" w:rsidRPr="00040F04" w:rsidRDefault="0018222F" w:rsidP="0018222F">
      <w:pPr>
        <w:pStyle w:val="ppoListHyphened-L1"/>
        <w:rPr>
          <w:noProof/>
        </w:rPr>
      </w:pPr>
      <w:r w:rsidRPr="00040F04">
        <w:rPr>
          <w:noProof/>
        </w:rPr>
        <w:t>The COVID-19 crisis continued to weigh negatively on respect for and the protection of human rights and democracy worldwide in 2021. A number of emergency initiatives launched in 2020 after the start of the worldwide health crisis were implemented throughout 2021, such as support for journalists in Africa and Latin America and for child protection systems in Africa.</w:t>
      </w:r>
    </w:p>
    <w:p w14:paraId="0E9424D6" w14:textId="77777777" w:rsidR="0018222F" w:rsidRPr="00040F04" w:rsidRDefault="0018222F" w:rsidP="0018222F">
      <w:pPr>
        <w:pStyle w:val="ppoListHyphened-L1"/>
        <w:rPr>
          <w:noProof/>
        </w:rPr>
      </w:pPr>
      <w:r w:rsidRPr="00040F04">
        <w:rPr>
          <w:noProof/>
        </w:rPr>
        <w:t>In addition, in 2021, support continued to be provided to the Global Monitor of COVID-19’s Impact on Democracy and Human Rights, a one-stop online global monitoring platform (tracker of trackers) set up by the International Institute for Democracy and Electoral Assistance, with data and brief analyses for 162 countries around the world.</w:t>
      </w:r>
    </w:p>
    <w:p w14:paraId="6455DBB0" w14:textId="77777777" w:rsidR="0018222F" w:rsidRPr="00040F04" w:rsidRDefault="0018222F" w:rsidP="0018222F">
      <w:pPr>
        <w:pStyle w:val="ppoListHyphened-L1"/>
        <w:rPr>
          <w:noProof/>
        </w:rPr>
      </w:pPr>
      <w:r w:rsidRPr="00040F04">
        <w:rPr>
          <w:noProof/>
        </w:rPr>
        <w:t xml:space="preserve">In the years to come, the programme will continue in particular to support human-rights defenders and civil-society organisations operating in the most difficult human-rights situations. Additionally, financial support will be provided to key global and regional human-rights actors and processes such as the Office of the United Nations High Commissioner for Human Rights, the International Criminal Court and global and regional national human-rights institutions. The human rights and democracy thematic programme will also work on </w:t>
      </w:r>
      <w:r w:rsidRPr="00B301FE">
        <w:rPr>
          <w:noProof/>
        </w:rPr>
        <w:t>core human-rights and democracy topics</w:t>
      </w:r>
      <w:r w:rsidRPr="00040F04">
        <w:rPr>
          <w:noProof/>
        </w:rPr>
        <w:t xml:space="preserve"> (e.g. torture, the death penalty, the rights of the child, accountability, civic and political participation, media freedom) and address </w:t>
      </w:r>
      <w:r w:rsidRPr="00B301FE">
        <w:rPr>
          <w:noProof/>
        </w:rPr>
        <w:t>emerging challenges</w:t>
      </w:r>
      <w:r w:rsidRPr="00040F04">
        <w:rPr>
          <w:noProof/>
        </w:rPr>
        <w:t xml:space="preserve"> (e.g. </w:t>
      </w:r>
      <w:bookmarkStart w:id="244" w:name="_Hlk100928603"/>
      <w:r w:rsidRPr="00040F04">
        <w:rPr>
          <w:noProof/>
        </w:rPr>
        <w:t>business and human rights, digital civic space</w:t>
      </w:r>
      <w:bookmarkEnd w:id="244"/>
      <w:r w:rsidRPr="00040F04">
        <w:rPr>
          <w:noProof/>
        </w:rPr>
        <w:t>).</w:t>
      </w:r>
    </w:p>
    <w:p w14:paraId="4CD9E6BF" w14:textId="77777777" w:rsidR="0018222F" w:rsidRPr="00040F04" w:rsidRDefault="0018222F" w:rsidP="0018222F">
      <w:pPr>
        <w:pStyle w:val="ppoListHyphened-L1"/>
        <w:rPr>
          <w:noProof/>
        </w:rPr>
      </w:pPr>
      <w:r w:rsidRPr="00040F04">
        <w:rPr>
          <w:noProof/>
        </w:rPr>
        <w:t xml:space="preserve">Despite the ongoing pandemic, mitigation measures for security and safety enabled 12 electoral processes to be supported and 21 missions to be deployed under the </w:t>
      </w:r>
      <w:r w:rsidRPr="00040F04">
        <w:rPr>
          <w:rFonts w:eastAsiaTheme="minorEastAsia"/>
          <w:noProof/>
        </w:rPr>
        <w:t>European Instrument for Democracy and Human Rights</w:t>
      </w:r>
      <w:r w:rsidRPr="00040F04">
        <w:rPr>
          <w:noProof/>
        </w:rPr>
        <w:t>. Several election follow-up missions had to be postponed to 2022, however.</w:t>
      </w:r>
    </w:p>
    <w:p w14:paraId="5E76183C" w14:textId="77777777" w:rsidR="0018222F" w:rsidRPr="00040F04" w:rsidRDefault="0018222F" w:rsidP="0018222F">
      <w:pPr>
        <w:pStyle w:val="ppoListHyphened-L1"/>
        <w:rPr>
          <w:noProof/>
        </w:rPr>
      </w:pPr>
      <w:r w:rsidRPr="00040F04">
        <w:rPr>
          <w:noProof/>
        </w:rPr>
        <w:t>The programme is expected to be finalised in 2027.</w:t>
      </w:r>
    </w:p>
    <w:p w14:paraId="738C9062" w14:textId="77777777" w:rsidR="0018222F" w:rsidRPr="00040F04" w:rsidRDefault="0018222F" w:rsidP="0018222F">
      <w:pPr>
        <w:pStyle w:val="ppoHeading5"/>
        <w:rPr>
          <w:noProof/>
        </w:rPr>
      </w:pPr>
      <w:r w:rsidRPr="00040F04">
        <w:rPr>
          <w:noProof/>
        </w:rPr>
        <w:t>Performance assessment</w:t>
      </w:r>
    </w:p>
    <w:p w14:paraId="728BF097" w14:textId="77777777" w:rsidR="0018222F" w:rsidRPr="00040F04" w:rsidRDefault="0018222F" w:rsidP="0018222F">
      <w:pPr>
        <w:pStyle w:val="ppoHeading6"/>
        <w:rPr>
          <w:noProof/>
        </w:rPr>
      </w:pPr>
      <w:r w:rsidRPr="00040F04">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18222F" w:rsidRPr="00040F04" w14:paraId="21F5B631" w14:textId="77777777" w:rsidTr="0083214A">
        <w:trPr>
          <w:cnfStyle w:val="100000000000" w:firstRow="1" w:lastRow="0" w:firstColumn="0" w:lastColumn="0" w:oddVBand="0" w:evenVBand="0" w:oddHBand="0" w:evenHBand="0" w:firstRowFirstColumn="0" w:firstRowLastColumn="0" w:lastRowFirstColumn="0" w:lastRowLastColumn="0"/>
        </w:trPr>
        <w:tc>
          <w:tcPr>
            <w:tcW w:w="2330" w:type="dxa"/>
          </w:tcPr>
          <w:p w14:paraId="7D99CDC2" w14:textId="77777777" w:rsidR="0018222F" w:rsidRPr="00040F04" w:rsidRDefault="0018222F" w:rsidP="0083214A">
            <w:pPr>
              <w:rPr>
                <w:noProof/>
              </w:rPr>
            </w:pPr>
          </w:p>
        </w:tc>
        <w:tc>
          <w:tcPr>
            <w:tcW w:w="1100" w:type="dxa"/>
          </w:tcPr>
          <w:p w14:paraId="107783E4" w14:textId="77777777" w:rsidR="0018222F" w:rsidRPr="00040F04" w:rsidRDefault="0018222F" w:rsidP="0083214A">
            <w:pPr>
              <w:rPr>
                <w:noProof/>
              </w:rPr>
            </w:pPr>
            <w:r w:rsidRPr="00040F04">
              <w:rPr>
                <w:noProof/>
              </w:rPr>
              <w:t>Baseline</w:t>
            </w:r>
          </w:p>
        </w:tc>
        <w:tc>
          <w:tcPr>
            <w:tcW w:w="1526" w:type="dxa"/>
          </w:tcPr>
          <w:p w14:paraId="540B7168" w14:textId="77777777" w:rsidR="0018222F" w:rsidRPr="00040F04" w:rsidRDefault="0018222F" w:rsidP="0083214A">
            <w:pPr>
              <w:rPr>
                <w:noProof/>
              </w:rPr>
            </w:pPr>
            <w:r w:rsidRPr="00040F04">
              <w:rPr>
                <w:noProof/>
              </w:rPr>
              <w:t>Progress (*)</w:t>
            </w:r>
          </w:p>
        </w:tc>
        <w:tc>
          <w:tcPr>
            <w:tcW w:w="1532" w:type="dxa"/>
          </w:tcPr>
          <w:p w14:paraId="560A89BB" w14:textId="77777777" w:rsidR="0018222F" w:rsidRPr="00040F04" w:rsidRDefault="0018222F" w:rsidP="0083214A">
            <w:pPr>
              <w:rPr>
                <w:noProof/>
              </w:rPr>
            </w:pPr>
            <w:r w:rsidRPr="00040F04">
              <w:rPr>
                <w:noProof/>
              </w:rPr>
              <w:t>Target</w:t>
            </w:r>
          </w:p>
        </w:tc>
        <w:tc>
          <w:tcPr>
            <w:tcW w:w="1572" w:type="dxa"/>
          </w:tcPr>
          <w:p w14:paraId="6D52BACD" w14:textId="77777777" w:rsidR="0018222F" w:rsidRPr="00040F04" w:rsidRDefault="0018222F" w:rsidP="0083214A">
            <w:pPr>
              <w:rPr>
                <w:noProof/>
              </w:rPr>
            </w:pPr>
            <w:r w:rsidRPr="00040F04">
              <w:rPr>
                <w:noProof/>
              </w:rPr>
              <w:t>Results</w:t>
            </w:r>
          </w:p>
        </w:tc>
        <w:tc>
          <w:tcPr>
            <w:tcW w:w="1579" w:type="dxa"/>
          </w:tcPr>
          <w:p w14:paraId="19D52B95" w14:textId="77777777" w:rsidR="0018222F" w:rsidRPr="00040F04" w:rsidRDefault="0018222F" w:rsidP="0083214A">
            <w:pPr>
              <w:rPr>
                <w:noProof/>
              </w:rPr>
            </w:pPr>
            <w:r w:rsidRPr="00040F04">
              <w:rPr>
                <w:noProof/>
              </w:rPr>
              <w:t>Assessment</w:t>
            </w:r>
          </w:p>
        </w:tc>
      </w:tr>
      <w:tr w:rsidR="0018222F" w:rsidRPr="00040F04" w14:paraId="0EBD2D21"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6A5B3F14" w14:textId="77777777" w:rsidR="0018222F" w:rsidRPr="00040F04" w:rsidRDefault="0018222F" w:rsidP="0083214A">
            <w:pPr>
              <w:rPr>
                <w:noProof/>
              </w:rPr>
            </w:pPr>
            <w:r w:rsidRPr="00040F04">
              <w:rPr>
                <w:noProof/>
              </w:rPr>
              <w:t>Human-rights-defender individuals who have received EU support</w:t>
            </w:r>
          </w:p>
        </w:tc>
        <w:tc>
          <w:tcPr>
            <w:tcW w:w="1100" w:type="dxa"/>
          </w:tcPr>
          <w:p w14:paraId="498FD4D5" w14:textId="77777777" w:rsidR="0018222F" w:rsidRPr="00040F04" w:rsidRDefault="0018222F" w:rsidP="0083214A">
            <w:pPr>
              <w:jc w:val="center"/>
              <w:rPr>
                <w:noProof/>
              </w:rPr>
            </w:pPr>
            <w:r w:rsidRPr="00040F04">
              <w:rPr>
                <w:noProof/>
              </w:rPr>
              <w:t>0</w:t>
            </w:r>
          </w:p>
        </w:tc>
        <w:tc>
          <w:tcPr>
            <w:tcW w:w="1526" w:type="dxa"/>
          </w:tcPr>
          <w:p w14:paraId="2DE4BECE" w14:textId="77777777" w:rsidR="0018222F" w:rsidRPr="00040F04" w:rsidRDefault="0018222F" w:rsidP="0083214A">
            <w:pPr>
              <w:jc w:val="center"/>
              <w:rPr>
                <w:b/>
                <w:noProof/>
              </w:rPr>
            </w:pPr>
            <w:r w:rsidRPr="00040F04">
              <w:rPr>
                <w:noProof/>
              </w:rPr>
              <w:t>&gt; 100%</w:t>
            </w:r>
          </w:p>
        </w:tc>
        <w:tc>
          <w:tcPr>
            <w:tcW w:w="1532" w:type="dxa"/>
          </w:tcPr>
          <w:p w14:paraId="3B78ACFE" w14:textId="77777777" w:rsidR="0018222F" w:rsidRPr="00040F04" w:rsidRDefault="0018222F" w:rsidP="0083214A">
            <w:pPr>
              <w:jc w:val="center"/>
              <w:rPr>
                <w:noProof/>
              </w:rPr>
            </w:pPr>
            <w:r w:rsidRPr="00040F04">
              <w:rPr>
                <w:noProof/>
              </w:rPr>
              <w:t>1</w:t>
            </w:r>
            <w:r w:rsidRPr="00040F04">
              <w:rPr>
                <w:rFonts w:ascii="Calibri" w:hAnsi="Calibri" w:cs="Calibri"/>
                <w:noProof/>
              </w:rPr>
              <w:t> </w:t>
            </w:r>
            <w:r w:rsidRPr="00040F04">
              <w:rPr>
                <w:noProof/>
              </w:rPr>
              <w:t>200 in 2021</w:t>
            </w:r>
          </w:p>
        </w:tc>
        <w:tc>
          <w:tcPr>
            <w:tcW w:w="1572" w:type="dxa"/>
          </w:tcPr>
          <w:p w14:paraId="1F91630B" w14:textId="46E4DD18" w:rsidR="0018222F" w:rsidRPr="00040F04" w:rsidRDefault="00CB77B1" w:rsidP="0083214A">
            <w:pPr>
              <w:jc w:val="center"/>
              <w:rPr>
                <w:noProof/>
              </w:rPr>
            </w:pPr>
            <w:r>
              <w:rPr>
                <w:noProof/>
              </w:rPr>
              <w:t>1 530</w:t>
            </w:r>
            <w:r w:rsidR="0018222F" w:rsidRPr="00040F04">
              <w:rPr>
                <w:noProof/>
              </w:rPr>
              <w:t xml:space="preserve"> compared to a target of 1</w:t>
            </w:r>
            <w:r w:rsidR="0018222F" w:rsidRPr="00040F04">
              <w:rPr>
                <w:rFonts w:ascii="Calibri" w:hAnsi="Calibri" w:cs="Calibri"/>
                <w:noProof/>
              </w:rPr>
              <w:t> </w:t>
            </w:r>
            <w:r w:rsidR="0018222F" w:rsidRPr="00040F04">
              <w:rPr>
                <w:noProof/>
              </w:rPr>
              <w:t>200</w:t>
            </w:r>
          </w:p>
        </w:tc>
        <w:tc>
          <w:tcPr>
            <w:tcW w:w="1579" w:type="dxa"/>
          </w:tcPr>
          <w:p w14:paraId="27915D83" w14:textId="77777777" w:rsidR="0018222F" w:rsidRPr="00040F04" w:rsidRDefault="0018222F" w:rsidP="0083214A">
            <w:pPr>
              <w:jc w:val="center"/>
              <w:rPr>
                <w:noProof/>
              </w:rPr>
            </w:pPr>
            <w:r w:rsidRPr="00040F04">
              <w:rPr>
                <w:noProof/>
              </w:rPr>
              <w:t>On track</w:t>
            </w:r>
          </w:p>
        </w:tc>
      </w:tr>
      <w:tr w:rsidR="0018222F" w:rsidRPr="00040F04" w14:paraId="1C89A97F"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0A7909DB" w14:textId="77777777" w:rsidR="0018222F" w:rsidRPr="00040F04" w:rsidRDefault="0018222F" w:rsidP="0083214A">
            <w:pPr>
              <w:rPr>
                <w:noProof/>
              </w:rPr>
            </w:pPr>
            <w:r w:rsidRPr="00040F04">
              <w:rPr>
                <w:noProof/>
              </w:rPr>
              <w:t>Human-rights crisis-response projects</w:t>
            </w:r>
          </w:p>
        </w:tc>
        <w:tc>
          <w:tcPr>
            <w:tcW w:w="1100" w:type="dxa"/>
          </w:tcPr>
          <w:p w14:paraId="607BD93E" w14:textId="77777777" w:rsidR="0018222F" w:rsidRPr="00040F04" w:rsidRDefault="0018222F" w:rsidP="0083214A">
            <w:pPr>
              <w:jc w:val="center"/>
              <w:rPr>
                <w:noProof/>
              </w:rPr>
            </w:pPr>
            <w:r w:rsidRPr="00040F04">
              <w:rPr>
                <w:noProof/>
              </w:rPr>
              <w:t>0</w:t>
            </w:r>
          </w:p>
        </w:tc>
        <w:tc>
          <w:tcPr>
            <w:tcW w:w="1526" w:type="dxa"/>
          </w:tcPr>
          <w:p w14:paraId="0A4A12B1" w14:textId="5502BD48" w:rsidR="0018222F" w:rsidRPr="00040F04" w:rsidRDefault="00C23767" w:rsidP="0083214A">
            <w:pPr>
              <w:jc w:val="center"/>
              <w:rPr>
                <w:b/>
                <w:noProof/>
              </w:rPr>
            </w:pPr>
            <w:r>
              <w:rPr>
                <w:noProof/>
              </w:rPr>
              <w:t>&gt; 100</w:t>
            </w:r>
            <w:r w:rsidR="0018222F" w:rsidRPr="00040F04">
              <w:rPr>
                <w:noProof/>
              </w:rPr>
              <w:t>%</w:t>
            </w:r>
          </w:p>
        </w:tc>
        <w:tc>
          <w:tcPr>
            <w:tcW w:w="1532" w:type="dxa"/>
          </w:tcPr>
          <w:p w14:paraId="56BBCABE" w14:textId="77777777" w:rsidR="0018222F" w:rsidRPr="00040F04" w:rsidRDefault="0018222F" w:rsidP="0083214A">
            <w:pPr>
              <w:jc w:val="center"/>
              <w:rPr>
                <w:noProof/>
              </w:rPr>
            </w:pPr>
            <w:r w:rsidRPr="00040F04">
              <w:rPr>
                <w:noProof/>
              </w:rPr>
              <w:t>15 in 2021</w:t>
            </w:r>
          </w:p>
        </w:tc>
        <w:tc>
          <w:tcPr>
            <w:tcW w:w="1572" w:type="dxa"/>
          </w:tcPr>
          <w:p w14:paraId="7D5DCEEF" w14:textId="6524571C" w:rsidR="0018222F" w:rsidRPr="00040F04" w:rsidRDefault="00C23767" w:rsidP="0083214A">
            <w:pPr>
              <w:jc w:val="center"/>
              <w:rPr>
                <w:noProof/>
              </w:rPr>
            </w:pPr>
            <w:r>
              <w:rPr>
                <w:noProof/>
              </w:rPr>
              <w:t>21</w:t>
            </w:r>
            <w:r w:rsidR="0018222F" w:rsidRPr="00040F04">
              <w:rPr>
                <w:noProof/>
              </w:rPr>
              <w:t xml:space="preserve"> compared to a target of 15</w:t>
            </w:r>
          </w:p>
        </w:tc>
        <w:tc>
          <w:tcPr>
            <w:tcW w:w="1579" w:type="dxa"/>
          </w:tcPr>
          <w:p w14:paraId="12D8A6F4" w14:textId="3E2EB2DA" w:rsidR="0018222F" w:rsidRPr="00040F04" w:rsidRDefault="00C23767" w:rsidP="0083214A">
            <w:pPr>
              <w:jc w:val="center"/>
              <w:rPr>
                <w:noProof/>
              </w:rPr>
            </w:pPr>
            <w:r>
              <w:rPr>
                <w:noProof/>
              </w:rPr>
              <w:t>On track</w:t>
            </w:r>
          </w:p>
        </w:tc>
      </w:tr>
      <w:tr w:rsidR="0018222F" w:rsidRPr="00040F04" w14:paraId="7D70EBB0"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68383238" w14:textId="77777777" w:rsidR="0018222F" w:rsidRPr="00040F04" w:rsidRDefault="0018222F" w:rsidP="0083214A">
            <w:pPr>
              <w:rPr>
                <w:noProof/>
              </w:rPr>
            </w:pPr>
            <w:r w:rsidRPr="00040F04">
              <w:rPr>
                <w:noProof/>
              </w:rPr>
              <w:t>EU election missions (observation missions; expert missions and studies)</w:t>
            </w:r>
          </w:p>
        </w:tc>
        <w:tc>
          <w:tcPr>
            <w:tcW w:w="1100" w:type="dxa"/>
          </w:tcPr>
          <w:p w14:paraId="4EEB7A51" w14:textId="77777777" w:rsidR="0018222F" w:rsidRPr="00040F04" w:rsidRDefault="0018222F" w:rsidP="0083214A">
            <w:pPr>
              <w:jc w:val="center"/>
              <w:rPr>
                <w:noProof/>
              </w:rPr>
            </w:pPr>
            <w:r w:rsidRPr="00040F04">
              <w:rPr>
                <w:noProof/>
              </w:rPr>
              <w:t>0</w:t>
            </w:r>
          </w:p>
        </w:tc>
        <w:tc>
          <w:tcPr>
            <w:tcW w:w="1526" w:type="dxa"/>
          </w:tcPr>
          <w:p w14:paraId="3AC04573" w14:textId="20901B55" w:rsidR="0018222F" w:rsidRPr="00040F04" w:rsidRDefault="008073D4" w:rsidP="0083214A">
            <w:pPr>
              <w:jc w:val="center"/>
              <w:rPr>
                <w:b/>
                <w:noProof/>
              </w:rPr>
            </w:pPr>
            <w:r>
              <w:rPr>
                <w:noProof/>
              </w:rPr>
              <w:t>83</w:t>
            </w:r>
            <w:r w:rsidR="0018222F" w:rsidRPr="00040F04">
              <w:rPr>
                <w:noProof/>
              </w:rPr>
              <w:t>%</w:t>
            </w:r>
            <w:r w:rsidR="00C23767">
              <w:rPr>
                <w:noProof/>
              </w:rPr>
              <w:t xml:space="preserve"> (**)</w:t>
            </w:r>
          </w:p>
        </w:tc>
        <w:tc>
          <w:tcPr>
            <w:tcW w:w="1532" w:type="dxa"/>
          </w:tcPr>
          <w:p w14:paraId="7D352650" w14:textId="542356B2" w:rsidR="0018222F" w:rsidRPr="00040F04" w:rsidRDefault="008073D4" w:rsidP="0083214A">
            <w:pPr>
              <w:jc w:val="center"/>
              <w:rPr>
                <w:noProof/>
              </w:rPr>
            </w:pPr>
            <w:r>
              <w:rPr>
                <w:noProof/>
              </w:rPr>
              <w:t xml:space="preserve">Average of </w:t>
            </w:r>
            <w:r w:rsidR="0018222F" w:rsidRPr="00040F04">
              <w:rPr>
                <w:noProof/>
              </w:rPr>
              <w:t>2</w:t>
            </w:r>
            <w:r>
              <w:rPr>
                <w:noProof/>
              </w:rPr>
              <w:t>1</w:t>
            </w:r>
            <w:r w:rsidR="0018222F" w:rsidRPr="00040F04">
              <w:rPr>
                <w:noProof/>
              </w:rPr>
              <w:t xml:space="preserve">  </w:t>
            </w:r>
            <w:r>
              <w:rPr>
                <w:noProof/>
              </w:rPr>
              <w:t xml:space="preserve">between 2014 and </w:t>
            </w:r>
            <w:r w:rsidR="0018222F" w:rsidRPr="00040F04">
              <w:rPr>
                <w:noProof/>
              </w:rPr>
              <w:t>2020</w:t>
            </w:r>
          </w:p>
        </w:tc>
        <w:tc>
          <w:tcPr>
            <w:tcW w:w="1572" w:type="dxa"/>
          </w:tcPr>
          <w:p w14:paraId="7B0BCD96" w14:textId="45715FF1" w:rsidR="0018222F" w:rsidRPr="00040F04" w:rsidRDefault="00C23767" w:rsidP="0083214A">
            <w:pPr>
              <w:jc w:val="center"/>
              <w:rPr>
                <w:noProof/>
              </w:rPr>
            </w:pPr>
            <w:r>
              <w:rPr>
                <w:noProof/>
              </w:rPr>
              <w:t>17</w:t>
            </w:r>
            <w:r w:rsidR="0018222F" w:rsidRPr="00040F04">
              <w:rPr>
                <w:noProof/>
              </w:rPr>
              <w:t xml:space="preserve"> out of </w:t>
            </w:r>
            <w:r w:rsidR="008073D4">
              <w:rPr>
                <w:noProof/>
              </w:rPr>
              <w:t>21</w:t>
            </w:r>
          </w:p>
        </w:tc>
        <w:tc>
          <w:tcPr>
            <w:tcW w:w="1579" w:type="dxa"/>
          </w:tcPr>
          <w:p w14:paraId="0EDADD85" w14:textId="77777777" w:rsidR="0018222F" w:rsidRPr="00040F04" w:rsidRDefault="0018222F" w:rsidP="0083214A">
            <w:pPr>
              <w:jc w:val="center"/>
              <w:rPr>
                <w:noProof/>
              </w:rPr>
            </w:pPr>
            <w:r w:rsidRPr="00040F04">
              <w:rPr>
                <w:noProof/>
              </w:rPr>
              <w:t>Moderate progress</w:t>
            </w:r>
          </w:p>
        </w:tc>
      </w:tr>
    </w:tbl>
    <w:p w14:paraId="700EBDDD" w14:textId="77777777" w:rsidR="0018222F" w:rsidRPr="00040F04" w:rsidRDefault="0018222F" w:rsidP="0018222F">
      <w:pPr>
        <w:pStyle w:val="FootnoteText"/>
        <w:rPr>
          <w:noProof/>
        </w:rPr>
      </w:pPr>
    </w:p>
    <w:p w14:paraId="0096BC1A" w14:textId="297A8781" w:rsidR="0018222F" w:rsidRDefault="0018222F" w:rsidP="0018222F">
      <w:pPr>
        <w:pStyle w:val="FootnoteText"/>
        <w:rPr>
          <w:noProof/>
        </w:rPr>
      </w:pPr>
      <w:r w:rsidRPr="00040F04">
        <w:rPr>
          <w:noProof/>
        </w:rPr>
        <w:t xml:space="preserve">(*) </w:t>
      </w:r>
      <w:r w:rsidR="00CB77B1">
        <w:rPr>
          <w:noProof/>
        </w:rPr>
        <w:t>Average of 2014-2021 results compared to target</w:t>
      </w:r>
    </w:p>
    <w:p w14:paraId="6794E559" w14:textId="1F5C2206" w:rsidR="00CB77B1" w:rsidRPr="00040F04" w:rsidRDefault="00CB77B1" w:rsidP="0018222F">
      <w:pPr>
        <w:pStyle w:val="FootnoteText"/>
        <w:rPr>
          <w:noProof/>
        </w:rPr>
      </w:pPr>
      <w:r>
        <w:rPr>
          <w:noProof/>
        </w:rPr>
        <w:t xml:space="preserve">(**) Average of 2014-2020 results compared to </w:t>
      </w:r>
      <w:r w:rsidR="00C23767">
        <w:rPr>
          <w:noProof/>
        </w:rPr>
        <w:t>average of 2014-2020 milestones.</w:t>
      </w:r>
      <w:r>
        <w:rPr>
          <w:noProof/>
        </w:rPr>
        <w:t>.</w:t>
      </w:r>
    </w:p>
    <w:p w14:paraId="31BAEBD1" w14:textId="77777777" w:rsidR="0018222F" w:rsidRPr="00040F04" w:rsidRDefault="0018222F" w:rsidP="0018222F">
      <w:pPr>
        <w:pStyle w:val="ppoListHyphened-L1"/>
        <w:rPr>
          <w:noProof/>
        </w:rPr>
      </w:pPr>
      <w:r w:rsidRPr="00040F04">
        <w:rPr>
          <w:noProof/>
        </w:rPr>
        <w:t xml:space="preserve">The </w:t>
      </w:r>
      <w:r w:rsidRPr="00040F04">
        <w:rPr>
          <w:rFonts w:eastAsiaTheme="minorEastAsia"/>
          <w:noProof/>
        </w:rPr>
        <w:t xml:space="preserve">European Instrument for Democracy and Human Rights </w:t>
      </w:r>
      <w:r w:rsidRPr="00040F04">
        <w:rPr>
          <w:noProof/>
        </w:rPr>
        <w:t>was implemented against the backdrop of an overall slowdown in the consolidation of democracy, the rule of law, good governance and human rights globally. In relation to the World Bank’s rule-of-law score, the situation deteriorated between 2014 and 2016 and has not significantly improved since.</w:t>
      </w:r>
    </w:p>
    <w:p w14:paraId="6AF57782" w14:textId="77777777" w:rsidR="0018222F" w:rsidRPr="00040F04" w:rsidRDefault="0018222F" w:rsidP="0018222F">
      <w:pPr>
        <w:pStyle w:val="ppoListHyphened-L1"/>
        <w:rPr>
          <w:noProof/>
        </w:rPr>
      </w:pPr>
      <w:r w:rsidRPr="00682425">
        <w:rPr>
          <w:noProof/>
        </w:rPr>
        <w:t>Over the entire 2014-2020</w:t>
      </w:r>
      <w:r>
        <w:rPr>
          <w:noProof/>
        </w:rPr>
        <w:t xml:space="preserve"> </w:t>
      </w:r>
      <w:r w:rsidRPr="00682425">
        <w:rPr>
          <w:noProof/>
        </w:rPr>
        <w:t>period</w:t>
      </w:r>
      <w:r w:rsidRPr="00040F04">
        <w:rPr>
          <w:noProof/>
        </w:rPr>
        <w:t>, the instrument was successful in delivering on its objectives. It proved to be an enabling, flexible and responsive instrument, which demonstrated its added value as a niche instrument to promote human rights and democracy.</w:t>
      </w:r>
    </w:p>
    <w:p w14:paraId="65F69F9C" w14:textId="77777777" w:rsidR="0018222F" w:rsidRPr="00040F04" w:rsidRDefault="0018222F" w:rsidP="0018222F">
      <w:pPr>
        <w:pStyle w:val="ppoListHyphened-L1"/>
        <w:rPr>
          <w:noProof/>
        </w:rPr>
      </w:pPr>
      <w:r w:rsidRPr="00040F04">
        <w:rPr>
          <w:noProof/>
        </w:rPr>
        <w:t xml:space="preserve">The key added value of the </w:t>
      </w:r>
      <w:r w:rsidRPr="00040F04">
        <w:rPr>
          <w:rFonts w:eastAsiaTheme="minorEastAsia"/>
          <w:noProof/>
        </w:rPr>
        <w:t xml:space="preserve">European Instrument for Democracy and Human Rights lay in </w:t>
      </w:r>
      <w:r w:rsidRPr="00040F04">
        <w:rPr>
          <w:noProof/>
        </w:rPr>
        <w:t>the independence of its action and in its worldwide coverage, allowing for interventions in the most difficult country situations and without the consent of the host governments, and also acting where other instruments and donors cannot or do not act. It has been able to address challenges relating to human rights and democracy in even the most difficult and challenging environments.</w:t>
      </w:r>
    </w:p>
    <w:p w14:paraId="41562320" w14:textId="77777777" w:rsidR="0018222F" w:rsidRPr="00040F04" w:rsidRDefault="0018222F" w:rsidP="0018222F">
      <w:pPr>
        <w:pStyle w:val="ppoListHyphened-L1"/>
        <w:rPr>
          <w:noProof/>
        </w:rPr>
      </w:pPr>
      <w:r w:rsidRPr="00040F04">
        <w:rPr>
          <w:noProof/>
        </w:rPr>
        <w:t>The midterm evaluation conducted in 2017 also considered the instrument to be generally efficient thanks to a relatively low level of administrative expenditure and its essential, built-in, flexible tools, for instance its direct support for human-rights defenders, its direct small grants and the way it works with informal partners.</w:t>
      </w:r>
    </w:p>
    <w:p w14:paraId="208E5B58" w14:textId="77777777" w:rsidR="0018222F" w:rsidRPr="00040F04" w:rsidRDefault="0018222F" w:rsidP="0018222F">
      <w:pPr>
        <w:pStyle w:val="ppoHeading4Red"/>
        <w:rPr>
          <w:noProof/>
        </w:rPr>
      </w:pPr>
      <w:r w:rsidRPr="00040F04">
        <w:rPr>
          <w:noProof/>
        </w:rPr>
        <w:t>2014-2020 multiannual financial framework – Partnership Instrument for Cooperation with Third Countries</w:t>
      </w:r>
    </w:p>
    <w:p w14:paraId="1052F4D8" w14:textId="77777777" w:rsidR="0018222F" w:rsidRPr="00040F04" w:rsidRDefault="0018222F" w:rsidP="0018222F">
      <w:pPr>
        <w:rPr>
          <w:rFonts w:eastAsiaTheme="minorEastAsia"/>
          <w:noProof/>
        </w:rPr>
      </w:pPr>
      <w:r w:rsidRPr="00040F04">
        <w:rPr>
          <w:rFonts w:eastAsiaTheme="minorEastAsia"/>
          <w:noProof/>
        </w:rPr>
        <w:t>The Partnership Instrument for Cooperation with Third Countries was, in 2014-2020, the EU’s first instrument specifically designed to promote the EU’s strategic interests worldwide by reinforcing its external strategies, policies and initiatives.</w:t>
      </w:r>
    </w:p>
    <w:p w14:paraId="5987CCF2" w14:textId="77777777" w:rsidR="0018222F" w:rsidRPr="00040F04" w:rsidRDefault="0018222F" w:rsidP="0018222F">
      <w:pPr>
        <w:pStyle w:val="ppoHeading5"/>
        <w:rPr>
          <w:noProof/>
        </w:rPr>
      </w:pPr>
      <w:r w:rsidRPr="00040F04">
        <w:rPr>
          <w:noProof/>
        </w:rPr>
        <w:t>Budget implementation</w:t>
      </w:r>
    </w:p>
    <w:p w14:paraId="49CE4EE2" w14:textId="77777777" w:rsidR="0018222F" w:rsidRPr="00040F04" w:rsidRDefault="0018222F" w:rsidP="0018222F">
      <w:pPr>
        <w:pStyle w:val="ppoTableTabletitle"/>
        <w:rPr>
          <w:noProof/>
        </w:rPr>
      </w:pPr>
      <w:r w:rsidRPr="00040F04">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18222F" w:rsidRPr="00040F04" w14:paraId="2684DC4C" w14:textId="77777777" w:rsidTr="008321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0AB50E52" w14:textId="77777777" w:rsidR="0018222F" w:rsidRPr="00040F04" w:rsidRDefault="0018222F" w:rsidP="0083214A">
            <w:pPr>
              <w:rPr>
                <w:noProof/>
              </w:rPr>
            </w:pPr>
          </w:p>
        </w:tc>
        <w:tc>
          <w:tcPr>
            <w:tcW w:w="2410" w:type="dxa"/>
          </w:tcPr>
          <w:p w14:paraId="5EF30793" w14:textId="77777777" w:rsidR="0018222F" w:rsidRPr="00040F04" w:rsidRDefault="0018222F" w:rsidP="0083214A">
            <w:pPr>
              <w:cnfStyle w:val="100000000000" w:firstRow="1" w:lastRow="0" w:firstColumn="0" w:lastColumn="0" w:oddVBand="0" w:evenVBand="0" w:oddHBand="0" w:evenHBand="0" w:firstRowFirstColumn="0" w:firstRowLastColumn="0" w:lastRowFirstColumn="0" w:lastRowLastColumn="0"/>
              <w:rPr>
                <w:noProof/>
              </w:rPr>
            </w:pPr>
            <w:r w:rsidRPr="00040F04">
              <w:rPr>
                <w:noProof/>
              </w:rPr>
              <w:t>Implementation</w:t>
            </w:r>
          </w:p>
        </w:tc>
        <w:tc>
          <w:tcPr>
            <w:tcW w:w="2410" w:type="dxa"/>
          </w:tcPr>
          <w:p w14:paraId="2C767D8D" w14:textId="6FD1D481" w:rsidR="0018222F" w:rsidRPr="00040F04" w:rsidRDefault="003821C6" w:rsidP="0083214A">
            <w:pPr>
              <w:cnfStyle w:val="100000000000" w:firstRow="1" w:lastRow="0" w:firstColumn="0" w:lastColumn="0" w:oddVBand="0" w:evenVBand="0" w:oddHBand="0" w:evenHBand="0" w:firstRowFirstColumn="0" w:firstRowLastColumn="0" w:lastRowFirstColumn="0" w:lastRowLastColumn="0"/>
              <w:rPr>
                <w:noProof/>
              </w:rPr>
            </w:pPr>
            <w:r>
              <w:rPr>
                <w:noProof/>
              </w:rPr>
              <w:t xml:space="preserve">2014-2020 </w:t>
            </w:r>
            <w:r w:rsidR="0018222F" w:rsidRPr="00040F04">
              <w:rPr>
                <w:noProof/>
              </w:rPr>
              <w:t>Budget</w:t>
            </w:r>
          </w:p>
        </w:tc>
        <w:tc>
          <w:tcPr>
            <w:tcW w:w="2410" w:type="dxa"/>
          </w:tcPr>
          <w:p w14:paraId="58BB5A52" w14:textId="77777777" w:rsidR="0018222F" w:rsidRPr="00040F04" w:rsidRDefault="0018222F" w:rsidP="0083214A">
            <w:pPr>
              <w:cnfStyle w:val="100000000000" w:firstRow="1" w:lastRow="0" w:firstColumn="0" w:lastColumn="0" w:oddVBand="0" w:evenVBand="0" w:oddHBand="0" w:evenHBand="0" w:firstRowFirstColumn="0" w:firstRowLastColumn="0" w:lastRowFirstColumn="0" w:lastRowLastColumn="0"/>
              <w:rPr>
                <w:noProof/>
              </w:rPr>
            </w:pPr>
            <w:r w:rsidRPr="00040F04">
              <w:rPr>
                <w:noProof/>
              </w:rPr>
              <w:t>Implementation rate</w:t>
            </w:r>
          </w:p>
        </w:tc>
      </w:tr>
      <w:tr w:rsidR="0018222F" w:rsidRPr="00040F04" w14:paraId="533339BA"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520427A6" w14:textId="77777777" w:rsidR="0018222F" w:rsidRPr="00040F04" w:rsidRDefault="0018222F" w:rsidP="0083214A">
            <w:pPr>
              <w:jc w:val="center"/>
              <w:rPr>
                <w:noProof/>
              </w:rPr>
            </w:pPr>
            <w:r w:rsidRPr="00040F04">
              <w:rPr>
                <w:noProof/>
              </w:rPr>
              <w:t>Commitment</w:t>
            </w:r>
          </w:p>
        </w:tc>
        <w:tc>
          <w:tcPr>
            <w:tcW w:w="2410" w:type="dxa"/>
          </w:tcPr>
          <w:p w14:paraId="0471F58F" w14:textId="35EF77EA"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r>
              <w:rPr>
                <w:noProof/>
              </w:rPr>
              <w:t>961.3</w:t>
            </w:r>
          </w:p>
        </w:tc>
        <w:tc>
          <w:tcPr>
            <w:tcW w:w="2410" w:type="dxa"/>
          </w:tcPr>
          <w:p w14:paraId="22E611CB" w14:textId="3ED80F4B"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r>
              <w:rPr>
                <w:noProof/>
              </w:rPr>
              <w:t>961.7</w:t>
            </w:r>
          </w:p>
        </w:tc>
        <w:tc>
          <w:tcPr>
            <w:tcW w:w="2410" w:type="dxa"/>
          </w:tcPr>
          <w:p w14:paraId="6F455DFA" w14:textId="77777777"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r w:rsidRPr="00040F04">
              <w:rPr>
                <w:noProof/>
              </w:rPr>
              <w:t>100%</w:t>
            </w:r>
          </w:p>
        </w:tc>
      </w:tr>
      <w:tr w:rsidR="0018222F" w:rsidRPr="00040F04" w14:paraId="32865992"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6F3A82CA" w14:textId="77777777" w:rsidR="0018222F" w:rsidRPr="00040F04" w:rsidRDefault="0018222F" w:rsidP="0083214A">
            <w:pPr>
              <w:jc w:val="center"/>
              <w:rPr>
                <w:noProof/>
              </w:rPr>
            </w:pPr>
            <w:r w:rsidRPr="00040F04">
              <w:rPr>
                <w:noProof/>
              </w:rPr>
              <w:t>Payments</w:t>
            </w:r>
          </w:p>
        </w:tc>
        <w:tc>
          <w:tcPr>
            <w:tcW w:w="2410" w:type="dxa"/>
          </w:tcPr>
          <w:p w14:paraId="32B860A4" w14:textId="77777777"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r w:rsidRPr="00040F04">
              <w:rPr>
                <w:noProof/>
              </w:rPr>
              <w:t>653.1</w:t>
            </w:r>
          </w:p>
        </w:tc>
        <w:tc>
          <w:tcPr>
            <w:tcW w:w="2410" w:type="dxa"/>
          </w:tcPr>
          <w:p w14:paraId="666044B9" w14:textId="77777777"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1639628C" w14:textId="77777777"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r w:rsidRPr="00040F04">
              <w:rPr>
                <w:noProof/>
              </w:rPr>
              <w:t>68%</w:t>
            </w:r>
          </w:p>
        </w:tc>
      </w:tr>
    </w:tbl>
    <w:p w14:paraId="6726FF2B" w14:textId="77777777" w:rsidR="0018222F" w:rsidRPr="00040F04" w:rsidRDefault="0018222F" w:rsidP="0018222F">
      <w:pPr>
        <w:pStyle w:val="ppoListHyphened-L1"/>
        <w:rPr>
          <w:noProof/>
        </w:rPr>
      </w:pPr>
      <w:r w:rsidRPr="00040F04">
        <w:rPr>
          <w:noProof/>
        </w:rPr>
        <w:t xml:space="preserve">By the end of 2021, 100% of the total envelope of the </w:t>
      </w:r>
      <w:r w:rsidRPr="00040F04">
        <w:rPr>
          <w:rFonts w:eastAsiaTheme="minorEastAsia"/>
          <w:noProof/>
        </w:rPr>
        <w:t xml:space="preserve">Partnership Instrument for Cooperation with Third Countries </w:t>
      </w:r>
      <w:r w:rsidRPr="00040F04">
        <w:rPr>
          <w:noProof/>
        </w:rPr>
        <w:t>had been committed and 68% had been paid. The instrument was in high demand.</w:t>
      </w:r>
    </w:p>
    <w:p w14:paraId="5E17F940" w14:textId="77777777" w:rsidR="0018222F" w:rsidRPr="00040F04" w:rsidRDefault="0018222F" w:rsidP="0018222F">
      <w:pPr>
        <w:pStyle w:val="ppoListHyphened-L1"/>
        <w:rPr>
          <w:noProof/>
        </w:rPr>
      </w:pPr>
      <w:r w:rsidRPr="00040F04">
        <w:rPr>
          <w:noProof/>
        </w:rPr>
        <w:t>The 68% execution of payment appropriations reflects the way the i</w:t>
      </w:r>
      <w:r w:rsidRPr="00040F04">
        <w:rPr>
          <w:rFonts w:eastAsiaTheme="minorEastAsia"/>
          <w:noProof/>
        </w:rPr>
        <w:t xml:space="preserve">nstrument </w:t>
      </w:r>
      <w:r w:rsidRPr="00040F04">
        <w:rPr>
          <w:noProof/>
        </w:rPr>
        <w:t>is implemented through annual action programmes and multi-year contracts (on average 4</w:t>
      </w:r>
      <w:r w:rsidRPr="00040F04">
        <w:rPr>
          <w:rFonts w:ascii="Calibri" w:hAnsi="Calibri" w:cs="Calibri"/>
          <w:noProof/>
        </w:rPr>
        <w:t> </w:t>
      </w:r>
      <w:r w:rsidRPr="00040F04">
        <w:rPr>
          <w:noProof/>
        </w:rPr>
        <w:t>years). Consequently, the implementation of interventions will continue over the coming years, with the last contracts ending around 2025-2026.</w:t>
      </w:r>
    </w:p>
    <w:p w14:paraId="58C1E3EA" w14:textId="77777777" w:rsidR="0018222F" w:rsidRPr="00040F04" w:rsidRDefault="0018222F" w:rsidP="0018222F">
      <w:pPr>
        <w:pStyle w:val="ppoListHyphened-L1"/>
        <w:rPr>
          <w:noProof/>
        </w:rPr>
      </w:pPr>
      <w:r w:rsidRPr="00040F04">
        <w:rPr>
          <w:noProof/>
        </w:rPr>
        <w:t>The COVID-19 crisis continued to impact financial implementation in terms of the capacity to implement in-person activities and monitoring. Measures taken in 2020 (reallocation of funds and new virtual working methods) allowed interventions to continue, with a good rate of execution in 2021.</w:t>
      </w:r>
    </w:p>
    <w:p w14:paraId="215175C8" w14:textId="77777777" w:rsidR="0018222F" w:rsidRPr="00040F04" w:rsidRDefault="0018222F" w:rsidP="0018222F">
      <w:pPr>
        <w:pStyle w:val="ppoListHyphened-L1"/>
        <w:rPr>
          <w:noProof/>
        </w:rPr>
      </w:pPr>
      <w:r w:rsidRPr="00040F04">
        <w:rPr>
          <w:noProof/>
        </w:rPr>
        <w:t>In 2021, the instrument continued to contribute to the EU’s external action by supporting its foreign policy, articulating and implementing the external dimension of internal policies, leveraging its influence and interconnecting different policy areas. Action covered challenges of global concern such as climate change and environmental protection; improving access to markets and boosting trade, investment and business opportunities for EU companies (with a particular emphasis on small and medium-sized enterprises); and public diplomacy.</w:t>
      </w:r>
    </w:p>
    <w:p w14:paraId="4D20311A" w14:textId="77777777" w:rsidR="0018222F" w:rsidRPr="00040F04" w:rsidRDefault="0018222F" w:rsidP="0018222F">
      <w:pPr>
        <w:pStyle w:val="ppoListHyphened-L1"/>
        <w:rPr>
          <w:noProof/>
        </w:rPr>
      </w:pPr>
      <w:r w:rsidRPr="00040F04">
        <w:rPr>
          <w:noProof/>
        </w:rPr>
        <w:t xml:space="preserve">The requests for payment appropriations for the </w:t>
      </w:r>
      <w:r w:rsidRPr="00040F04">
        <w:rPr>
          <w:rFonts w:eastAsiaTheme="minorEastAsia"/>
          <w:noProof/>
        </w:rPr>
        <w:t xml:space="preserve">partnership instrument </w:t>
      </w:r>
      <w:r w:rsidRPr="00040F04">
        <w:rPr>
          <w:noProof/>
        </w:rPr>
        <w:t xml:space="preserve">in 2022 and 2023 will allow the continued implementation of measures under the </w:t>
      </w:r>
      <w:r w:rsidRPr="00040F04">
        <w:rPr>
          <w:rFonts w:eastAsiaTheme="minorEastAsia"/>
          <w:noProof/>
        </w:rPr>
        <w:t xml:space="preserve">instrument </w:t>
      </w:r>
      <w:r w:rsidRPr="00040F04">
        <w:rPr>
          <w:noProof/>
        </w:rPr>
        <w:t>committed until the adoption of the NDICI–Global Europe regulation. For example, the implementation of important measures in the domain of digital cooperation and public diplomacy will continue in 2022 and 2023.</w:t>
      </w:r>
    </w:p>
    <w:p w14:paraId="67089C2B" w14:textId="77777777" w:rsidR="0018222F" w:rsidRPr="00040F04" w:rsidRDefault="0018222F" w:rsidP="0018222F">
      <w:pPr>
        <w:pStyle w:val="ppoHeading5"/>
        <w:rPr>
          <w:noProof/>
        </w:rPr>
      </w:pPr>
      <w:r w:rsidRPr="00040F04">
        <w:rPr>
          <w:noProof/>
        </w:rPr>
        <w:t>Performance assessment</w:t>
      </w:r>
    </w:p>
    <w:p w14:paraId="505C02C6" w14:textId="77777777" w:rsidR="0018222F" w:rsidRPr="00040F04" w:rsidRDefault="0018222F" w:rsidP="0018222F">
      <w:pPr>
        <w:pStyle w:val="ppoHeading6"/>
        <w:rPr>
          <w:noProof/>
        </w:rPr>
      </w:pPr>
      <w:r w:rsidRPr="00040F04">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18222F" w:rsidRPr="00040F04" w14:paraId="3A17E37A" w14:textId="77777777" w:rsidTr="0083214A">
        <w:trPr>
          <w:cnfStyle w:val="100000000000" w:firstRow="1" w:lastRow="0" w:firstColumn="0" w:lastColumn="0" w:oddVBand="0" w:evenVBand="0" w:oddHBand="0" w:evenHBand="0" w:firstRowFirstColumn="0" w:firstRowLastColumn="0" w:lastRowFirstColumn="0" w:lastRowLastColumn="0"/>
        </w:trPr>
        <w:tc>
          <w:tcPr>
            <w:tcW w:w="2330" w:type="dxa"/>
          </w:tcPr>
          <w:p w14:paraId="74E34802" w14:textId="77777777" w:rsidR="0018222F" w:rsidRPr="00040F04" w:rsidRDefault="0018222F" w:rsidP="0083214A">
            <w:pPr>
              <w:rPr>
                <w:noProof/>
              </w:rPr>
            </w:pPr>
          </w:p>
        </w:tc>
        <w:tc>
          <w:tcPr>
            <w:tcW w:w="1100" w:type="dxa"/>
          </w:tcPr>
          <w:p w14:paraId="4E4E6C03" w14:textId="77777777" w:rsidR="0018222F" w:rsidRPr="00040F04" w:rsidRDefault="0018222F" w:rsidP="0083214A">
            <w:pPr>
              <w:rPr>
                <w:noProof/>
              </w:rPr>
            </w:pPr>
            <w:r w:rsidRPr="00040F04">
              <w:rPr>
                <w:noProof/>
              </w:rPr>
              <w:t>Baseline</w:t>
            </w:r>
          </w:p>
        </w:tc>
        <w:tc>
          <w:tcPr>
            <w:tcW w:w="1526" w:type="dxa"/>
          </w:tcPr>
          <w:p w14:paraId="31928F86" w14:textId="77777777" w:rsidR="0018222F" w:rsidRPr="00040F04" w:rsidRDefault="0018222F" w:rsidP="0083214A">
            <w:pPr>
              <w:rPr>
                <w:noProof/>
              </w:rPr>
            </w:pPr>
            <w:r w:rsidRPr="00040F04">
              <w:rPr>
                <w:noProof/>
              </w:rPr>
              <w:t>Progress (*)</w:t>
            </w:r>
          </w:p>
        </w:tc>
        <w:tc>
          <w:tcPr>
            <w:tcW w:w="1532" w:type="dxa"/>
          </w:tcPr>
          <w:p w14:paraId="5E98D8C0" w14:textId="77777777" w:rsidR="0018222F" w:rsidRPr="00040F04" w:rsidRDefault="0018222F" w:rsidP="0083214A">
            <w:pPr>
              <w:rPr>
                <w:noProof/>
              </w:rPr>
            </w:pPr>
            <w:r w:rsidRPr="00040F04">
              <w:rPr>
                <w:noProof/>
              </w:rPr>
              <w:t>Target</w:t>
            </w:r>
          </w:p>
        </w:tc>
        <w:tc>
          <w:tcPr>
            <w:tcW w:w="1572" w:type="dxa"/>
          </w:tcPr>
          <w:p w14:paraId="28C02C1F" w14:textId="77777777" w:rsidR="0018222F" w:rsidRPr="00040F04" w:rsidRDefault="0018222F" w:rsidP="0083214A">
            <w:pPr>
              <w:rPr>
                <w:noProof/>
              </w:rPr>
            </w:pPr>
            <w:r w:rsidRPr="00040F04">
              <w:rPr>
                <w:noProof/>
              </w:rPr>
              <w:t>Results</w:t>
            </w:r>
          </w:p>
        </w:tc>
        <w:tc>
          <w:tcPr>
            <w:tcW w:w="1579" w:type="dxa"/>
          </w:tcPr>
          <w:p w14:paraId="6F696A17" w14:textId="77777777" w:rsidR="0018222F" w:rsidRPr="00040F04" w:rsidRDefault="0018222F" w:rsidP="0083214A">
            <w:pPr>
              <w:rPr>
                <w:noProof/>
              </w:rPr>
            </w:pPr>
            <w:r w:rsidRPr="00040F04">
              <w:rPr>
                <w:noProof/>
              </w:rPr>
              <w:t>Assessment</w:t>
            </w:r>
          </w:p>
        </w:tc>
      </w:tr>
      <w:tr w:rsidR="0018222F" w:rsidRPr="00040F04" w14:paraId="51FE1BD3"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417E812F" w14:textId="77777777" w:rsidR="0018222F" w:rsidRPr="00040F04" w:rsidRDefault="0018222F" w:rsidP="0083214A">
            <w:pPr>
              <w:rPr>
                <w:noProof/>
              </w:rPr>
            </w:pPr>
            <w:r w:rsidRPr="00040F04">
              <w:rPr>
                <w:noProof/>
              </w:rPr>
              <w:t>Local and regional authorities signing the Covenant of Mayors</w:t>
            </w:r>
          </w:p>
        </w:tc>
        <w:tc>
          <w:tcPr>
            <w:tcW w:w="1100" w:type="dxa"/>
          </w:tcPr>
          <w:p w14:paraId="2D2EB4F4" w14:textId="77777777" w:rsidR="0018222F" w:rsidRPr="00040F04" w:rsidRDefault="0018222F" w:rsidP="0083214A">
            <w:pPr>
              <w:jc w:val="center"/>
              <w:rPr>
                <w:noProof/>
              </w:rPr>
            </w:pPr>
            <w:r w:rsidRPr="00040F04">
              <w:rPr>
                <w:noProof/>
              </w:rPr>
              <w:t>6</w:t>
            </w:r>
            <w:r w:rsidRPr="00040F04">
              <w:rPr>
                <w:rFonts w:ascii="Calibri" w:hAnsi="Calibri" w:cs="Calibri"/>
                <w:noProof/>
              </w:rPr>
              <w:t> </w:t>
            </w:r>
            <w:r w:rsidRPr="00040F04">
              <w:rPr>
                <w:noProof/>
              </w:rPr>
              <w:t>270</w:t>
            </w:r>
          </w:p>
        </w:tc>
        <w:tc>
          <w:tcPr>
            <w:tcW w:w="1526" w:type="dxa"/>
          </w:tcPr>
          <w:p w14:paraId="73E0B60D" w14:textId="77777777" w:rsidR="0018222F" w:rsidRPr="00040F04" w:rsidRDefault="0018222F" w:rsidP="0083214A">
            <w:pPr>
              <w:jc w:val="center"/>
              <w:rPr>
                <w:b/>
                <w:noProof/>
              </w:rPr>
            </w:pPr>
            <w:r w:rsidRPr="00040F04">
              <w:rPr>
                <w:noProof/>
              </w:rPr>
              <w:t>&gt; 100%</w:t>
            </w:r>
          </w:p>
        </w:tc>
        <w:tc>
          <w:tcPr>
            <w:tcW w:w="1532" w:type="dxa"/>
          </w:tcPr>
          <w:p w14:paraId="0EB50085" w14:textId="77777777" w:rsidR="0018222F" w:rsidRPr="00040F04" w:rsidRDefault="0018222F" w:rsidP="0083214A">
            <w:pPr>
              <w:jc w:val="center"/>
              <w:rPr>
                <w:noProof/>
              </w:rPr>
            </w:pPr>
            <w:r w:rsidRPr="00040F04">
              <w:rPr>
                <w:noProof/>
              </w:rPr>
              <w:t>10</w:t>
            </w:r>
            <w:r w:rsidRPr="00040F04">
              <w:rPr>
                <w:rFonts w:ascii="Calibri" w:hAnsi="Calibri" w:cs="Calibri"/>
                <w:noProof/>
              </w:rPr>
              <w:t> </w:t>
            </w:r>
            <w:r w:rsidRPr="00040F04">
              <w:rPr>
                <w:noProof/>
              </w:rPr>
              <w:t>270 in 2020</w:t>
            </w:r>
          </w:p>
        </w:tc>
        <w:tc>
          <w:tcPr>
            <w:tcW w:w="1572" w:type="dxa"/>
          </w:tcPr>
          <w:p w14:paraId="50E1A217" w14:textId="77777777" w:rsidR="0018222F" w:rsidRPr="00040F04" w:rsidRDefault="0018222F" w:rsidP="0083214A">
            <w:pPr>
              <w:jc w:val="center"/>
              <w:rPr>
                <w:noProof/>
              </w:rPr>
            </w:pPr>
            <w:r w:rsidRPr="00040F04">
              <w:rPr>
                <w:noProof/>
              </w:rPr>
              <w:t>11</w:t>
            </w:r>
            <w:r w:rsidRPr="00040F04">
              <w:rPr>
                <w:rFonts w:ascii="Calibri" w:hAnsi="Calibri" w:cs="Calibri"/>
                <w:noProof/>
              </w:rPr>
              <w:t> </w:t>
            </w:r>
            <w:r w:rsidRPr="00040F04">
              <w:rPr>
                <w:noProof/>
              </w:rPr>
              <w:t>752 out of 10</w:t>
            </w:r>
            <w:r w:rsidRPr="00040F04">
              <w:rPr>
                <w:rFonts w:ascii="Calibri" w:hAnsi="Calibri" w:cs="Calibri"/>
                <w:noProof/>
              </w:rPr>
              <w:t> </w:t>
            </w:r>
            <w:r w:rsidRPr="00040F04">
              <w:rPr>
                <w:noProof/>
              </w:rPr>
              <w:t>270</w:t>
            </w:r>
          </w:p>
        </w:tc>
        <w:tc>
          <w:tcPr>
            <w:tcW w:w="1579" w:type="dxa"/>
          </w:tcPr>
          <w:p w14:paraId="7B1439E6" w14:textId="77777777" w:rsidR="0018222F" w:rsidRPr="00040F04" w:rsidRDefault="0018222F" w:rsidP="0083214A">
            <w:pPr>
              <w:jc w:val="center"/>
              <w:rPr>
                <w:noProof/>
              </w:rPr>
            </w:pPr>
            <w:r w:rsidRPr="00040F04">
              <w:rPr>
                <w:noProof/>
              </w:rPr>
              <w:t>On track</w:t>
            </w:r>
          </w:p>
        </w:tc>
      </w:tr>
    </w:tbl>
    <w:p w14:paraId="1C7E3D74" w14:textId="77777777" w:rsidR="0018222F" w:rsidRPr="00040F04" w:rsidRDefault="0018222F" w:rsidP="0018222F">
      <w:pPr>
        <w:pStyle w:val="FootnoteText"/>
        <w:rPr>
          <w:noProof/>
        </w:rPr>
      </w:pPr>
      <w:r w:rsidRPr="00040F04">
        <w:rPr>
          <w:noProof/>
        </w:rPr>
        <w:t>(*) % of target achieved by the end of 2021.</w:t>
      </w:r>
    </w:p>
    <w:p w14:paraId="32084FC7" w14:textId="77777777" w:rsidR="0018222F" w:rsidRPr="00040F04" w:rsidRDefault="0018222F" w:rsidP="0018222F">
      <w:pPr>
        <w:pStyle w:val="ppoListHyphened-L1"/>
        <w:rPr>
          <w:noProof/>
        </w:rPr>
      </w:pPr>
      <w:r w:rsidRPr="00040F04">
        <w:rPr>
          <w:noProof/>
        </w:rPr>
        <w:t xml:space="preserve">Programming centred on themes rather than country-focused considerations. For example, measures under the </w:t>
      </w:r>
      <w:r w:rsidRPr="00040F04">
        <w:rPr>
          <w:rFonts w:eastAsiaTheme="minorEastAsia"/>
          <w:noProof/>
        </w:rPr>
        <w:t xml:space="preserve">Partnership Instrument for Cooperation with Third Countries </w:t>
      </w:r>
      <w:r w:rsidRPr="00040F04">
        <w:rPr>
          <w:noProof/>
        </w:rPr>
        <w:t>underpinned bilateral and regional dialogues in multiple areas of strategic EU interest, and bilateral and multilateral negotiations, by providing support for concrete policy deliverables, thereby strengthening the EU’s position as a credible partner.</w:t>
      </w:r>
    </w:p>
    <w:p w14:paraId="03E94775" w14:textId="77777777" w:rsidR="0018222F" w:rsidRPr="00040F04" w:rsidRDefault="0018222F" w:rsidP="0018222F">
      <w:pPr>
        <w:pStyle w:val="ppoListHyphened-L1"/>
        <w:rPr>
          <w:noProof/>
        </w:rPr>
      </w:pPr>
      <w:r w:rsidRPr="00040F04">
        <w:rPr>
          <w:noProof/>
        </w:rPr>
        <w:t>Other measures aimed at developing common approaches with key partners to influence international processes and agendas, thereby underpinning multilateralism, fostering the building of partnerships and alliances in a global context and contributing to the rules-based global order.</w:t>
      </w:r>
    </w:p>
    <w:p w14:paraId="276715E4" w14:textId="77777777" w:rsidR="0018222F" w:rsidRPr="00040F04" w:rsidRDefault="0018222F" w:rsidP="0018222F">
      <w:pPr>
        <w:pStyle w:val="ppoListHyphened-L1"/>
        <w:rPr>
          <w:noProof/>
        </w:rPr>
      </w:pPr>
      <w:r w:rsidRPr="00040F04">
        <w:rPr>
          <w:noProof/>
        </w:rPr>
        <w:t>In the area of trade policy, the instrument provided unprecedented support to the EU’s trade agenda, focusing on countries/regions where trade and investment agreements exist or are being negotiated. Further measures enabled the EU to promote its standards abroad, help develop a level playing field and create opportunities for its companies.</w:t>
      </w:r>
    </w:p>
    <w:p w14:paraId="38BFA31F" w14:textId="77777777" w:rsidR="0018222F" w:rsidRPr="00040F04" w:rsidRDefault="0018222F" w:rsidP="0018222F">
      <w:pPr>
        <w:pStyle w:val="ppoListHyphened-L1"/>
        <w:rPr>
          <w:noProof/>
        </w:rPr>
      </w:pPr>
      <w:r w:rsidRPr="00040F04">
        <w:rPr>
          <w:noProof/>
        </w:rPr>
        <w:t>Public and cultural diplomacy measures enabled the EU to promote its image and understanding abroad, engaging with key decision-makers and target groups in strategic partner countries and thereby positioning itself as an influential and reliable global partner.</w:t>
      </w:r>
    </w:p>
    <w:p w14:paraId="2AE1A731" w14:textId="77777777" w:rsidR="0018222F" w:rsidRPr="00040F04" w:rsidRDefault="0018222F" w:rsidP="0018222F">
      <w:pPr>
        <w:pStyle w:val="ppoListHyphened-L1"/>
        <w:rPr>
          <w:noProof/>
        </w:rPr>
      </w:pPr>
      <w:r w:rsidRPr="00040F04">
        <w:rPr>
          <w:noProof/>
        </w:rPr>
        <w:t xml:space="preserve">In 2021, the </w:t>
      </w:r>
      <w:r w:rsidRPr="00040F04">
        <w:rPr>
          <w:rFonts w:eastAsiaTheme="minorEastAsia"/>
          <w:noProof/>
        </w:rPr>
        <w:t xml:space="preserve">partnership instrument </w:t>
      </w:r>
      <w:bookmarkStart w:id="245" w:name="_Hlk100931171"/>
      <w:r w:rsidRPr="00682425">
        <w:rPr>
          <w:noProof/>
        </w:rPr>
        <w:t xml:space="preserve">maintained a </w:t>
      </w:r>
      <w:r>
        <w:rPr>
          <w:noProof/>
        </w:rPr>
        <w:t>large number</w:t>
      </w:r>
      <w:r w:rsidRPr="00682425">
        <w:rPr>
          <w:noProof/>
        </w:rPr>
        <w:t xml:space="preserve"> of operations</w:t>
      </w:r>
      <w:bookmarkEnd w:id="245"/>
      <w:r w:rsidRPr="00040F04">
        <w:rPr>
          <w:noProof/>
        </w:rPr>
        <w:t>, as 25 stand-alone measures were adopted with a budget of EUR 81.9 million covering the following areas: sustainable development and the environment; climate, energy action and urbanisation; digitalisation; trade agreements and market access; raising the profile of the EU through public and cultural diplomacy; health; and promoting and upholding EU values.</w:t>
      </w:r>
    </w:p>
    <w:p w14:paraId="2DD7CEDB" w14:textId="77777777" w:rsidR="0018222F" w:rsidRPr="00040F04" w:rsidRDefault="0018222F" w:rsidP="0018222F">
      <w:pPr>
        <w:pStyle w:val="ppoListHyphened-L1"/>
        <w:rPr>
          <w:noProof/>
        </w:rPr>
      </w:pPr>
      <w:r w:rsidRPr="00040F04">
        <w:rPr>
          <w:noProof/>
        </w:rPr>
        <w:t xml:space="preserve">These measures enabled and facilitated numerous strategic policy dialogues and information exchange activities with partner countries, thereby extending the reach and depth of the EU’s foreign policy. Besides stand-alone measures of a medium- to long-term nature, there are two tools for short-term measures under the </w:t>
      </w:r>
      <w:r w:rsidRPr="00040F04">
        <w:rPr>
          <w:rFonts w:eastAsiaTheme="minorEastAsia"/>
          <w:noProof/>
        </w:rPr>
        <w:t>partnership instrument</w:t>
      </w:r>
      <w:r w:rsidRPr="00040F04">
        <w:rPr>
          <w:noProof/>
        </w:rPr>
        <w:t>, namely the Policy Support Facility and the Technical Assistance and Information Exchange instrument, under which 32 and 14 measures were contracted in 2021, respectively.</w:t>
      </w:r>
    </w:p>
    <w:p w14:paraId="4B27690C" w14:textId="77777777" w:rsidR="0018222F" w:rsidRPr="00040F04" w:rsidRDefault="0018222F" w:rsidP="0018222F">
      <w:pPr>
        <w:pStyle w:val="ppoListHyphened-L1"/>
        <w:rPr>
          <w:noProof/>
        </w:rPr>
      </w:pPr>
      <w:r w:rsidRPr="00040F04">
        <w:rPr>
          <w:noProof/>
        </w:rPr>
        <w:t xml:space="preserve">Activities under the </w:t>
      </w:r>
      <w:r w:rsidRPr="00040F04">
        <w:rPr>
          <w:rFonts w:eastAsiaTheme="minorEastAsia"/>
          <w:noProof/>
        </w:rPr>
        <w:t xml:space="preserve">partnership instrument that </w:t>
      </w:r>
      <w:r w:rsidRPr="00040F04">
        <w:rPr>
          <w:noProof/>
        </w:rPr>
        <w:t>contributed to addressing COVID-19 under the Team Europe initiative continued by leveraging the EU’s role as policymaker and setter of standards to address and contain the negative impact of the pandemic on global health and in socioeconomic terms.</w:t>
      </w:r>
    </w:p>
    <w:p w14:paraId="41F5C1C2" w14:textId="77777777" w:rsidR="0018222F" w:rsidRPr="00040F04" w:rsidRDefault="0018222F" w:rsidP="0018222F">
      <w:pPr>
        <w:pStyle w:val="ppoHeading4Red"/>
        <w:rPr>
          <w:noProof/>
        </w:rPr>
      </w:pPr>
      <w:r w:rsidRPr="00040F04">
        <w:rPr>
          <w:noProof/>
        </w:rPr>
        <w:t xml:space="preserve">2014-2020 multiannual financial framework – Instrument contributing to Stability and Peace </w:t>
      </w:r>
    </w:p>
    <w:p w14:paraId="0C17057F" w14:textId="77777777" w:rsidR="0018222F" w:rsidRPr="00040F04" w:rsidRDefault="0018222F" w:rsidP="0018222F">
      <w:pPr>
        <w:rPr>
          <w:rFonts w:eastAsiaTheme="minorEastAsia"/>
          <w:noProof/>
        </w:rPr>
      </w:pPr>
      <w:r w:rsidRPr="00040F04">
        <w:rPr>
          <w:rFonts w:eastAsiaTheme="minorEastAsia"/>
          <w:noProof/>
        </w:rPr>
        <w:t>Between 2014 and 2020, the Instrument contributing to Stability and Peace was one of the EU’s main instruments in the areas of crisis response, conflict prevention, peacebuilding and crisis preparedness, and in addressing global and transregional threats.</w:t>
      </w:r>
    </w:p>
    <w:p w14:paraId="6A3AA0B1" w14:textId="77777777" w:rsidR="0018222F" w:rsidRPr="00040F04" w:rsidRDefault="0018222F" w:rsidP="0018222F">
      <w:pPr>
        <w:pStyle w:val="ppoHeading5"/>
        <w:rPr>
          <w:noProof/>
        </w:rPr>
      </w:pPr>
      <w:r w:rsidRPr="00040F04">
        <w:rPr>
          <w:noProof/>
        </w:rPr>
        <w:t>Budget implementation</w:t>
      </w:r>
    </w:p>
    <w:p w14:paraId="6633920C" w14:textId="77777777" w:rsidR="0018222F" w:rsidRPr="00040F04" w:rsidRDefault="0018222F" w:rsidP="0018222F">
      <w:pPr>
        <w:pStyle w:val="ppoTableTabletitle"/>
        <w:rPr>
          <w:noProof/>
        </w:rPr>
      </w:pPr>
      <w:r w:rsidRPr="00040F04">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18222F" w:rsidRPr="00040F04" w14:paraId="21147D20" w14:textId="77777777" w:rsidTr="008321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6376B7D7" w14:textId="77777777" w:rsidR="0018222F" w:rsidRPr="00040F04" w:rsidRDefault="0018222F" w:rsidP="0083214A">
            <w:pPr>
              <w:rPr>
                <w:noProof/>
              </w:rPr>
            </w:pPr>
          </w:p>
        </w:tc>
        <w:tc>
          <w:tcPr>
            <w:tcW w:w="2410" w:type="dxa"/>
          </w:tcPr>
          <w:p w14:paraId="5C779902" w14:textId="77777777" w:rsidR="0018222F" w:rsidRPr="00040F04" w:rsidRDefault="0018222F" w:rsidP="0083214A">
            <w:pPr>
              <w:cnfStyle w:val="100000000000" w:firstRow="1" w:lastRow="0" w:firstColumn="0" w:lastColumn="0" w:oddVBand="0" w:evenVBand="0" w:oddHBand="0" w:evenHBand="0" w:firstRowFirstColumn="0" w:firstRowLastColumn="0" w:lastRowFirstColumn="0" w:lastRowLastColumn="0"/>
              <w:rPr>
                <w:noProof/>
              </w:rPr>
            </w:pPr>
            <w:r w:rsidRPr="00040F04">
              <w:rPr>
                <w:noProof/>
              </w:rPr>
              <w:t>Implementation</w:t>
            </w:r>
          </w:p>
        </w:tc>
        <w:tc>
          <w:tcPr>
            <w:tcW w:w="2410" w:type="dxa"/>
          </w:tcPr>
          <w:p w14:paraId="7335BCC3" w14:textId="241AD980" w:rsidR="0018222F" w:rsidRPr="00040F04" w:rsidRDefault="003821C6" w:rsidP="0083214A">
            <w:pPr>
              <w:cnfStyle w:val="100000000000" w:firstRow="1" w:lastRow="0" w:firstColumn="0" w:lastColumn="0" w:oddVBand="0" w:evenVBand="0" w:oddHBand="0" w:evenHBand="0" w:firstRowFirstColumn="0" w:firstRowLastColumn="0" w:lastRowFirstColumn="0" w:lastRowLastColumn="0"/>
              <w:rPr>
                <w:noProof/>
              </w:rPr>
            </w:pPr>
            <w:r>
              <w:rPr>
                <w:noProof/>
              </w:rPr>
              <w:t xml:space="preserve">2014-2020 </w:t>
            </w:r>
            <w:r w:rsidR="0018222F" w:rsidRPr="00040F04">
              <w:rPr>
                <w:noProof/>
              </w:rPr>
              <w:t>Budget</w:t>
            </w:r>
          </w:p>
        </w:tc>
        <w:tc>
          <w:tcPr>
            <w:tcW w:w="2410" w:type="dxa"/>
          </w:tcPr>
          <w:p w14:paraId="6F977947" w14:textId="77777777" w:rsidR="0018222F" w:rsidRPr="00040F04" w:rsidRDefault="0018222F" w:rsidP="0083214A">
            <w:pPr>
              <w:cnfStyle w:val="100000000000" w:firstRow="1" w:lastRow="0" w:firstColumn="0" w:lastColumn="0" w:oddVBand="0" w:evenVBand="0" w:oddHBand="0" w:evenHBand="0" w:firstRowFirstColumn="0" w:firstRowLastColumn="0" w:lastRowFirstColumn="0" w:lastRowLastColumn="0"/>
              <w:rPr>
                <w:noProof/>
              </w:rPr>
            </w:pPr>
            <w:r w:rsidRPr="00040F04">
              <w:rPr>
                <w:noProof/>
              </w:rPr>
              <w:t>Implementation rate</w:t>
            </w:r>
          </w:p>
        </w:tc>
      </w:tr>
      <w:tr w:rsidR="0018222F" w:rsidRPr="00040F04" w14:paraId="2C227B41"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2A10F07F" w14:textId="77777777" w:rsidR="0018222F" w:rsidRPr="00040F04" w:rsidRDefault="0018222F" w:rsidP="0083214A">
            <w:pPr>
              <w:jc w:val="center"/>
              <w:rPr>
                <w:noProof/>
              </w:rPr>
            </w:pPr>
            <w:r w:rsidRPr="00040F04">
              <w:rPr>
                <w:noProof/>
              </w:rPr>
              <w:t>Commitment</w:t>
            </w:r>
          </w:p>
        </w:tc>
        <w:tc>
          <w:tcPr>
            <w:tcW w:w="2410" w:type="dxa"/>
          </w:tcPr>
          <w:p w14:paraId="66E6F0A1" w14:textId="77777777"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r w:rsidRPr="00040F04">
              <w:rPr>
                <w:noProof/>
              </w:rPr>
              <w:t>2</w:t>
            </w:r>
            <w:r w:rsidRPr="00040F04">
              <w:rPr>
                <w:rFonts w:ascii="Calibri" w:hAnsi="Calibri" w:cs="Calibri"/>
                <w:noProof/>
              </w:rPr>
              <w:t> </w:t>
            </w:r>
            <w:r w:rsidRPr="00040F04">
              <w:rPr>
                <w:noProof/>
              </w:rPr>
              <w:t>366.9</w:t>
            </w:r>
          </w:p>
        </w:tc>
        <w:tc>
          <w:tcPr>
            <w:tcW w:w="2410" w:type="dxa"/>
          </w:tcPr>
          <w:p w14:paraId="44AA4F0B" w14:textId="77777777"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r w:rsidRPr="00040F04">
              <w:rPr>
                <w:noProof/>
              </w:rPr>
              <w:t>2</w:t>
            </w:r>
            <w:r w:rsidRPr="00040F04">
              <w:rPr>
                <w:rFonts w:ascii="Calibri" w:hAnsi="Calibri" w:cs="Calibri"/>
                <w:noProof/>
              </w:rPr>
              <w:t> </w:t>
            </w:r>
            <w:r w:rsidRPr="00040F04">
              <w:rPr>
                <w:noProof/>
              </w:rPr>
              <w:t>367.1</w:t>
            </w:r>
          </w:p>
        </w:tc>
        <w:tc>
          <w:tcPr>
            <w:tcW w:w="2410" w:type="dxa"/>
          </w:tcPr>
          <w:p w14:paraId="54A72AD1" w14:textId="77777777"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r w:rsidRPr="00040F04">
              <w:rPr>
                <w:noProof/>
              </w:rPr>
              <w:t>100%</w:t>
            </w:r>
          </w:p>
        </w:tc>
      </w:tr>
      <w:tr w:rsidR="0018222F" w:rsidRPr="00040F04" w14:paraId="48F68E9E"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41DF3299" w14:textId="77777777" w:rsidR="0018222F" w:rsidRPr="00040F04" w:rsidRDefault="0018222F" w:rsidP="0083214A">
            <w:pPr>
              <w:jc w:val="center"/>
              <w:rPr>
                <w:noProof/>
              </w:rPr>
            </w:pPr>
            <w:r w:rsidRPr="00040F04">
              <w:rPr>
                <w:noProof/>
              </w:rPr>
              <w:t>Payments</w:t>
            </w:r>
          </w:p>
        </w:tc>
        <w:tc>
          <w:tcPr>
            <w:tcW w:w="2410" w:type="dxa"/>
          </w:tcPr>
          <w:p w14:paraId="2AA4E416" w14:textId="77777777"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r w:rsidRPr="00040F04">
              <w:rPr>
                <w:noProof/>
              </w:rPr>
              <w:t>1</w:t>
            </w:r>
            <w:r w:rsidRPr="00040F04">
              <w:rPr>
                <w:rFonts w:ascii="Calibri" w:hAnsi="Calibri" w:cs="Calibri"/>
                <w:noProof/>
              </w:rPr>
              <w:t> </w:t>
            </w:r>
            <w:r w:rsidRPr="00040F04">
              <w:rPr>
                <w:noProof/>
              </w:rPr>
              <w:t>901.2</w:t>
            </w:r>
          </w:p>
        </w:tc>
        <w:tc>
          <w:tcPr>
            <w:tcW w:w="2410" w:type="dxa"/>
          </w:tcPr>
          <w:p w14:paraId="12CEE4EE" w14:textId="77777777"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26313622" w14:textId="77777777" w:rsidR="0018222F" w:rsidRPr="00040F04" w:rsidRDefault="0018222F" w:rsidP="0083214A">
            <w:pPr>
              <w:jc w:val="center"/>
              <w:cnfStyle w:val="000000000000" w:firstRow="0" w:lastRow="0" w:firstColumn="0" w:lastColumn="0" w:oddVBand="0" w:evenVBand="0" w:oddHBand="0" w:evenHBand="0" w:firstRowFirstColumn="0" w:firstRowLastColumn="0" w:lastRowFirstColumn="0" w:lastRowLastColumn="0"/>
              <w:rPr>
                <w:noProof/>
              </w:rPr>
            </w:pPr>
            <w:r w:rsidRPr="00040F04">
              <w:rPr>
                <w:noProof/>
              </w:rPr>
              <w:t>80%</w:t>
            </w:r>
          </w:p>
        </w:tc>
      </w:tr>
    </w:tbl>
    <w:p w14:paraId="35CA1C30" w14:textId="77777777" w:rsidR="0018222F" w:rsidRPr="00040F04" w:rsidRDefault="0018222F" w:rsidP="0018222F">
      <w:pPr>
        <w:pStyle w:val="ppoListHyphened-L1"/>
        <w:rPr>
          <w:noProof/>
        </w:rPr>
      </w:pPr>
      <w:r w:rsidRPr="00040F04">
        <w:rPr>
          <w:noProof/>
        </w:rPr>
        <w:t>The implementation of financial programming in 2014-2020 was fully in line with expectations. By the end of 2021, 100% of the envelope had been committed and 80% had been paid.</w:t>
      </w:r>
    </w:p>
    <w:p w14:paraId="25A840A5" w14:textId="77777777" w:rsidR="0018222F" w:rsidRPr="00040F04" w:rsidRDefault="0018222F" w:rsidP="0018222F">
      <w:pPr>
        <w:pStyle w:val="ppoListHyphened-L1"/>
        <w:rPr>
          <w:noProof/>
        </w:rPr>
      </w:pPr>
      <w:r w:rsidRPr="00040F04">
        <w:rPr>
          <w:noProof/>
        </w:rPr>
        <w:t xml:space="preserve">The 80% execution of payment appropriations for the </w:t>
      </w:r>
      <w:r w:rsidRPr="00040F04">
        <w:rPr>
          <w:rFonts w:eastAsiaTheme="minorEastAsia"/>
          <w:noProof/>
        </w:rPr>
        <w:t xml:space="preserve">Instrument contributing to Stability and Peace </w:t>
      </w:r>
      <w:r w:rsidRPr="00040F04">
        <w:rPr>
          <w:noProof/>
        </w:rPr>
        <w:t>is explained by measures responding to conflict situations or situations at risk of conflict, with a high risk of unforeseen events impacting implementation and resulting in measures consequently being amended. Sometimes not all planned activities could be implemented, which explains the underspending and the need to decommit.</w:t>
      </w:r>
    </w:p>
    <w:p w14:paraId="42C4C04D" w14:textId="77777777" w:rsidR="0018222F" w:rsidRPr="00040F04" w:rsidRDefault="0018222F" w:rsidP="0018222F">
      <w:pPr>
        <w:pStyle w:val="ppoListHyphened-L1"/>
        <w:rPr>
          <w:noProof/>
        </w:rPr>
      </w:pPr>
      <w:r w:rsidRPr="00040F04">
        <w:rPr>
          <w:noProof/>
        </w:rPr>
        <w:t>COVID-19-related restrictions continued to cause delays in implementation during 2021, but the vast majority of measures could adapt, allowing activities to proceed to the extent possible. No-cost extensions were granted for many measures in 2021.</w:t>
      </w:r>
    </w:p>
    <w:p w14:paraId="111212F5" w14:textId="77777777" w:rsidR="0018222F" w:rsidRPr="00040F04" w:rsidRDefault="0018222F" w:rsidP="0018222F">
      <w:pPr>
        <w:pStyle w:val="ppoListHyphened-L1"/>
        <w:rPr>
          <w:noProof/>
        </w:rPr>
      </w:pPr>
      <w:r w:rsidRPr="00040F04">
        <w:rPr>
          <w:noProof/>
        </w:rPr>
        <w:t>The payment-appropriation requests for 2022 and 2023 will allow the continued implementation of measures under the i</w:t>
      </w:r>
      <w:r w:rsidRPr="00040F04">
        <w:rPr>
          <w:rFonts w:eastAsiaTheme="minorEastAsia"/>
          <w:noProof/>
        </w:rPr>
        <w:t xml:space="preserve">nstrument </w:t>
      </w:r>
      <w:r w:rsidRPr="00040F04">
        <w:rPr>
          <w:noProof/>
        </w:rPr>
        <w:t>committed until the adoption of the NDICI–Global Europe regulation. For example, the implementation of important measures focusing on challenges linked to counterterrorism, organised crime and disinformation, and to making digital solutions, including social media, work for peace and stability, will continue in 2022 and 2023.</w:t>
      </w:r>
    </w:p>
    <w:p w14:paraId="7D6DF154" w14:textId="77777777" w:rsidR="0018222F" w:rsidRPr="00040F04" w:rsidRDefault="0018222F" w:rsidP="0018222F">
      <w:pPr>
        <w:pStyle w:val="ppoHeading5"/>
        <w:rPr>
          <w:noProof/>
        </w:rPr>
      </w:pPr>
      <w:r w:rsidRPr="00040F04">
        <w:rPr>
          <w:noProof/>
        </w:rPr>
        <w:t>Performance assessment</w:t>
      </w:r>
    </w:p>
    <w:p w14:paraId="7DD029C9" w14:textId="77777777" w:rsidR="0018222F" w:rsidRPr="00040F04" w:rsidRDefault="0018222F" w:rsidP="0018222F">
      <w:pPr>
        <w:pStyle w:val="ppoHeading6"/>
        <w:rPr>
          <w:noProof/>
        </w:rPr>
      </w:pPr>
      <w:r w:rsidRPr="00040F04">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18222F" w:rsidRPr="00040F04" w14:paraId="4D6FF5E1" w14:textId="77777777" w:rsidTr="0083214A">
        <w:trPr>
          <w:cnfStyle w:val="100000000000" w:firstRow="1" w:lastRow="0" w:firstColumn="0" w:lastColumn="0" w:oddVBand="0" w:evenVBand="0" w:oddHBand="0" w:evenHBand="0" w:firstRowFirstColumn="0" w:firstRowLastColumn="0" w:lastRowFirstColumn="0" w:lastRowLastColumn="0"/>
        </w:trPr>
        <w:tc>
          <w:tcPr>
            <w:tcW w:w="2330" w:type="dxa"/>
          </w:tcPr>
          <w:p w14:paraId="35DFF10B" w14:textId="77777777" w:rsidR="0018222F" w:rsidRPr="00040F04" w:rsidRDefault="0018222F" w:rsidP="0083214A">
            <w:pPr>
              <w:rPr>
                <w:noProof/>
              </w:rPr>
            </w:pPr>
          </w:p>
        </w:tc>
        <w:tc>
          <w:tcPr>
            <w:tcW w:w="1100" w:type="dxa"/>
          </w:tcPr>
          <w:p w14:paraId="6B2EF18F" w14:textId="77777777" w:rsidR="0018222F" w:rsidRPr="00040F04" w:rsidRDefault="0018222F" w:rsidP="0083214A">
            <w:pPr>
              <w:rPr>
                <w:noProof/>
              </w:rPr>
            </w:pPr>
            <w:r w:rsidRPr="00040F04">
              <w:rPr>
                <w:noProof/>
              </w:rPr>
              <w:t>Baseline</w:t>
            </w:r>
          </w:p>
        </w:tc>
        <w:tc>
          <w:tcPr>
            <w:tcW w:w="1526" w:type="dxa"/>
          </w:tcPr>
          <w:p w14:paraId="02F5EE7E" w14:textId="77777777" w:rsidR="0018222F" w:rsidRPr="00040F04" w:rsidRDefault="0018222F" w:rsidP="0083214A">
            <w:pPr>
              <w:rPr>
                <w:noProof/>
              </w:rPr>
            </w:pPr>
            <w:r w:rsidRPr="00040F04">
              <w:rPr>
                <w:noProof/>
              </w:rPr>
              <w:t>Progress (*)</w:t>
            </w:r>
          </w:p>
        </w:tc>
        <w:tc>
          <w:tcPr>
            <w:tcW w:w="1532" w:type="dxa"/>
          </w:tcPr>
          <w:p w14:paraId="2FCB0ED9" w14:textId="77777777" w:rsidR="0018222F" w:rsidRPr="00040F04" w:rsidRDefault="0018222F" w:rsidP="0083214A">
            <w:pPr>
              <w:rPr>
                <w:noProof/>
              </w:rPr>
            </w:pPr>
            <w:r w:rsidRPr="00040F04">
              <w:rPr>
                <w:noProof/>
              </w:rPr>
              <w:t>Target</w:t>
            </w:r>
          </w:p>
        </w:tc>
        <w:tc>
          <w:tcPr>
            <w:tcW w:w="1572" w:type="dxa"/>
          </w:tcPr>
          <w:p w14:paraId="1C0561B8" w14:textId="77777777" w:rsidR="0018222F" w:rsidRPr="00040F04" w:rsidRDefault="0018222F" w:rsidP="0083214A">
            <w:pPr>
              <w:rPr>
                <w:noProof/>
              </w:rPr>
            </w:pPr>
            <w:r w:rsidRPr="00040F04">
              <w:rPr>
                <w:noProof/>
              </w:rPr>
              <w:t>Results</w:t>
            </w:r>
          </w:p>
        </w:tc>
        <w:tc>
          <w:tcPr>
            <w:tcW w:w="1579" w:type="dxa"/>
          </w:tcPr>
          <w:p w14:paraId="158293E2" w14:textId="77777777" w:rsidR="0018222F" w:rsidRPr="00040F04" w:rsidRDefault="0018222F" w:rsidP="0083214A">
            <w:pPr>
              <w:rPr>
                <w:noProof/>
              </w:rPr>
            </w:pPr>
            <w:r w:rsidRPr="00040F04">
              <w:rPr>
                <w:noProof/>
              </w:rPr>
              <w:t>Assessment</w:t>
            </w:r>
          </w:p>
        </w:tc>
      </w:tr>
      <w:tr w:rsidR="0018222F" w:rsidRPr="00040F04" w14:paraId="31A0EC51"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5B389C18" w14:textId="77777777" w:rsidR="0018222F" w:rsidRPr="00040F04" w:rsidRDefault="0018222F" w:rsidP="0083214A">
            <w:pPr>
              <w:rPr>
                <w:noProof/>
              </w:rPr>
            </w:pPr>
            <w:r w:rsidRPr="00040F04">
              <w:rPr>
                <w:noProof/>
              </w:rPr>
              <w:t>Number of former weapon-scientist talents redirected to peaceful activities</w:t>
            </w:r>
          </w:p>
        </w:tc>
        <w:tc>
          <w:tcPr>
            <w:tcW w:w="1100" w:type="dxa"/>
          </w:tcPr>
          <w:p w14:paraId="25C91904" w14:textId="77777777" w:rsidR="0018222F" w:rsidRPr="00040F04" w:rsidRDefault="0018222F" w:rsidP="0083214A">
            <w:pPr>
              <w:jc w:val="center"/>
              <w:rPr>
                <w:noProof/>
              </w:rPr>
            </w:pPr>
            <w:r w:rsidRPr="00040F04">
              <w:rPr>
                <w:noProof/>
              </w:rPr>
              <w:t>0</w:t>
            </w:r>
          </w:p>
        </w:tc>
        <w:tc>
          <w:tcPr>
            <w:tcW w:w="1526" w:type="dxa"/>
          </w:tcPr>
          <w:p w14:paraId="2ED16F31" w14:textId="77777777" w:rsidR="0018222F" w:rsidRPr="00040F04" w:rsidRDefault="0018222F" w:rsidP="0083214A">
            <w:pPr>
              <w:jc w:val="center"/>
              <w:rPr>
                <w:b/>
                <w:noProof/>
              </w:rPr>
            </w:pPr>
            <w:r w:rsidRPr="00040F04">
              <w:rPr>
                <w:noProof/>
              </w:rPr>
              <w:t>&gt; 100%</w:t>
            </w:r>
          </w:p>
        </w:tc>
        <w:tc>
          <w:tcPr>
            <w:tcW w:w="1532" w:type="dxa"/>
          </w:tcPr>
          <w:p w14:paraId="33A3823E" w14:textId="77777777" w:rsidR="0018222F" w:rsidRPr="00040F04" w:rsidRDefault="0018222F" w:rsidP="0083214A">
            <w:pPr>
              <w:jc w:val="center"/>
              <w:rPr>
                <w:noProof/>
              </w:rPr>
            </w:pPr>
            <w:r w:rsidRPr="00040F04">
              <w:rPr>
                <w:noProof/>
              </w:rPr>
              <w:t>18</w:t>
            </w:r>
            <w:r w:rsidRPr="00040F04">
              <w:rPr>
                <w:rFonts w:ascii="Calibri" w:hAnsi="Calibri" w:cs="Calibri"/>
                <w:noProof/>
              </w:rPr>
              <w:t> </w:t>
            </w:r>
            <w:r w:rsidRPr="00040F04">
              <w:rPr>
                <w:noProof/>
              </w:rPr>
              <w:t>600 in 2020</w:t>
            </w:r>
          </w:p>
        </w:tc>
        <w:tc>
          <w:tcPr>
            <w:tcW w:w="1572" w:type="dxa"/>
          </w:tcPr>
          <w:p w14:paraId="22C85D64" w14:textId="77777777" w:rsidR="0018222F" w:rsidRPr="00040F04" w:rsidRDefault="0018222F" w:rsidP="0083214A">
            <w:pPr>
              <w:jc w:val="center"/>
              <w:rPr>
                <w:noProof/>
              </w:rPr>
            </w:pPr>
            <w:r w:rsidRPr="00040F04">
              <w:rPr>
                <w:noProof/>
              </w:rPr>
              <w:t>20</w:t>
            </w:r>
            <w:r w:rsidRPr="00040F04">
              <w:rPr>
                <w:rFonts w:ascii="Calibri" w:hAnsi="Calibri" w:cs="Calibri"/>
                <w:noProof/>
              </w:rPr>
              <w:t> </w:t>
            </w:r>
            <w:r w:rsidRPr="00040F04">
              <w:rPr>
                <w:noProof/>
              </w:rPr>
              <w:t>215 compared to 18</w:t>
            </w:r>
            <w:r w:rsidRPr="00040F04">
              <w:rPr>
                <w:rFonts w:ascii="Calibri" w:hAnsi="Calibri" w:cs="Calibri"/>
                <w:noProof/>
              </w:rPr>
              <w:t> </w:t>
            </w:r>
            <w:r w:rsidRPr="00040F04">
              <w:rPr>
                <w:noProof/>
              </w:rPr>
              <w:t>600</w:t>
            </w:r>
          </w:p>
        </w:tc>
        <w:tc>
          <w:tcPr>
            <w:tcW w:w="1579" w:type="dxa"/>
          </w:tcPr>
          <w:p w14:paraId="7BB38923" w14:textId="77777777" w:rsidR="0018222F" w:rsidRPr="00040F04" w:rsidRDefault="0018222F" w:rsidP="0083214A">
            <w:pPr>
              <w:jc w:val="center"/>
              <w:rPr>
                <w:noProof/>
              </w:rPr>
            </w:pPr>
            <w:r w:rsidRPr="00040F04">
              <w:rPr>
                <w:noProof/>
              </w:rPr>
              <w:t>On track</w:t>
            </w:r>
          </w:p>
        </w:tc>
      </w:tr>
    </w:tbl>
    <w:p w14:paraId="0596A8C9" w14:textId="77777777" w:rsidR="0018222F" w:rsidRPr="00040F04" w:rsidRDefault="0018222F" w:rsidP="0018222F">
      <w:pPr>
        <w:pStyle w:val="FootnoteText"/>
        <w:rPr>
          <w:noProof/>
        </w:rPr>
      </w:pPr>
      <w:r w:rsidRPr="00040F04">
        <w:rPr>
          <w:noProof/>
        </w:rPr>
        <w:t>(*) % of target achieved by the end of 2021.</w:t>
      </w:r>
    </w:p>
    <w:p w14:paraId="7FD5D3D3" w14:textId="77777777" w:rsidR="0018222F" w:rsidRPr="00040F04" w:rsidRDefault="0018222F" w:rsidP="0018222F">
      <w:pPr>
        <w:pStyle w:val="ppoListHyphened-L1"/>
        <w:rPr>
          <w:noProof/>
        </w:rPr>
      </w:pPr>
      <w:r w:rsidRPr="00040F04">
        <w:rPr>
          <w:noProof/>
        </w:rPr>
        <w:t xml:space="preserve">Between 2014 and 2020, the </w:t>
      </w:r>
      <w:r w:rsidRPr="00040F04">
        <w:rPr>
          <w:rFonts w:eastAsiaTheme="minorEastAsia"/>
          <w:noProof/>
        </w:rPr>
        <w:t xml:space="preserve">Instrument contributing to Stability and Peace </w:t>
      </w:r>
      <w:r w:rsidRPr="00040F04">
        <w:rPr>
          <w:noProof/>
        </w:rPr>
        <w:t>funded activities in the areas of (1) crisis response, (2) conflict prevention, peacebuilding and crisis preparedness and (3) response to global, transregional and emerging threats. The instrument’s activities are implemented in partner countries around the world, in conflict zones, in post-conflict environments and in emerging crisis settings.</w:t>
      </w:r>
    </w:p>
    <w:p w14:paraId="492C3751" w14:textId="77777777" w:rsidR="0018222F" w:rsidRPr="00040F04" w:rsidRDefault="0018222F" w:rsidP="0018222F">
      <w:pPr>
        <w:pStyle w:val="ppoListHyphened-L1"/>
        <w:rPr>
          <w:noProof/>
        </w:rPr>
      </w:pPr>
      <w:bookmarkStart w:id="246" w:name="_Hlk100932918"/>
      <w:r w:rsidRPr="00040F04">
        <w:rPr>
          <w:noProof/>
        </w:rPr>
        <w:t xml:space="preserve">With a view to allowing the EU to respond quickly to crises, 70% of funds under the instrument were allocated to the non-programmable crisis-response component. </w:t>
      </w:r>
      <w:bookmarkStart w:id="247" w:name="_Hlk100932929"/>
      <w:bookmarkStart w:id="248" w:name="_Hlk100932715"/>
      <w:bookmarkEnd w:id="246"/>
      <w:r w:rsidRPr="00682425">
        <w:rPr>
          <w:noProof/>
        </w:rPr>
        <w:t>This 70% included EUR</w:t>
      </w:r>
      <w:r w:rsidRPr="00682425">
        <w:rPr>
          <w:rFonts w:ascii="Calibri" w:hAnsi="Calibri" w:cs="Calibri"/>
          <w:noProof/>
        </w:rPr>
        <w:t> </w:t>
      </w:r>
      <w:r w:rsidRPr="00682425">
        <w:rPr>
          <w:noProof/>
        </w:rPr>
        <w:t>100</w:t>
      </w:r>
      <w:r w:rsidRPr="00682425">
        <w:rPr>
          <w:rFonts w:ascii="Calibri" w:hAnsi="Calibri" w:cs="Calibri"/>
          <w:noProof/>
        </w:rPr>
        <w:t> </w:t>
      </w:r>
      <w:r w:rsidRPr="00682425">
        <w:rPr>
          <w:noProof/>
        </w:rPr>
        <w:t>million specifically for</w:t>
      </w:r>
      <w:r w:rsidRPr="00040F04">
        <w:rPr>
          <w:noProof/>
        </w:rPr>
        <w:t xml:space="preserve"> </w:t>
      </w:r>
      <w:bookmarkEnd w:id="247"/>
      <w:r w:rsidRPr="00040F04">
        <w:rPr>
          <w:noProof/>
        </w:rPr>
        <w:t xml:space="preserve">building the capacity of military actors </w:t>
      </w:r>
      <w:bookmarkEnd w:id="248"/>
      <w:r w:rsidRPr="00040F04">
        <w:rPr>
          <w:noProof/>
        </w:rPr>
        <w:t xml:space="preserve">in support of development and security for development following the adaptation of the </w:t>
      </w:r>
      <w:r w:rsidRPr="00040F04">
        <w:rPr>
          <w:rFonts w:eastAsiaTheme="minorEastAsia"/>
          <w:noProof/>
        </w:rPr>
        <w:t xml:space="preserve">Instrument contributing to Stability and Peace </w:t>
      </w:r>
      <w:r w:rsidRPr="00040F04">
        <w:rPr>
          <w:noProof/>
        </w:rPr>
        <w:t>regulation in 2017, to enable the funding of such assistance.</w:t>
      </w:r>
      <w:r>
        <w:rPr>
          <w:noProof/>
        </w:rPr>
        <w:t xml:space="preserve"> </w:t>
      </w:r>
      <w:r w:rsidRPr="00040F04">
        <w:rPr>
          <w:noProof/>
        </w:rPr>
        <w:t>Longer-term programmable measures to strengthen capacity for conflict prevention, peacebuilding and crisis preparedness, along with responses to global, transregional and emerging threats, represented 9% and 21% of the overall budget, respectively.</w:t>
      </w:r>
    </w:p>
    <w:p w14:paraId="40530D65" w14:textId="77777777" w:rsidR="0018222F" w:rsidRPr="00040F04" w:rsidRDefault="0018222F" w:rsidP="0018222F">
      <w:pPr>
        <w:pStyle w:val="ppoListHyphened-L1"/>
        <w:rPr>
          <w:noProof/>
        </w:rPr>
      </w:pPr>
      <w:r w:rsidRPr="00040F04">
        <w:rPr>
          <w:noProof/>
        </w:rPr>
        <w:t>The instrument delivered timely crisis-response measures but, on occasion, the percentage of measures adopted within 3</w:t>
      </w:r>
      <w:r w:rsidRPr="00040F04">
        <w:rPr>
          <w:rFonts w:ascii="Calibri" w:hAnsi="Calibri" w:cs="Calibri"/>
          <w:noProof/>
        </w:rPr>
        <w:t> </w:t>
      </w:r>
      <w:r w:rsidRPr="00040F04">
        <w:rPr>
          <w:noProof/>
        </w:rPr>
        <w:t>months of a crisis context dipped, notably due to the disruption linked to the establishment of regional teams in 2017. However, but they have since increased significantly to levels above the target.</w:t>
      </w:r>
    </w:p>
    <w:p w14:paraId="4D35B5E8" w14:textId="77777777" w:rsidR="0018222F" w:rsidRPr="00040F04" w:rsidRDefault="0018222F" w:rsidP="0018222F">
      <w:pPr>
        <w:pStyle w:val="ppoListHyphened-L1"/>
        <w:rPr>
          <w:noProof/>
        </w:rPr>
      </w:pPr>
      <w:r w:rsidRPr="00040F04">
        <w:rPr>
          <w:noProof/>
        </w:rPr>
        <w:t>In terms of emerging crises, the instrument has been of huge importance in developing the EU Early Warning System, which has subsequently allowed, among other things, for the mobilisation of timely and targeted measures in the countries analysed.</w:t>
      </w:r>
    </w:p>
    <w:p w14:paraId="2090536F" w14:textId="77777777" w:rsidR="0018222F" w:rsidRPr="00040F04" w:rsidRDefault="0018222F" w:rsidP="0018222F">
      <w:pPr>
        <w:pStyle w:val="ppoListHyphened-L1"/>
        <w:rPr>
          <w:noProof/>
        </w:rPr>
      </w:pPr>
      <w:r w:rsidRPr="00040F04">
        <w:rPr>
          <w:noProof/>
        </w:rPr>
        <w:t>For the conflict prevention component, the instrument has supported, through 75 action grants to civil-society organisations between 2014 and 2020, a multitude of locally driven conflict prevention measures in more than 30 countries, strengthening the role of women and young people in confidence-building activities and peace processes.</w:t>
      </w:r>
    </w:p>
    <w:p w14:paraId="5BDD8E1B" w14:textId="77777777" w:rsidR="0018222F" w:rsidRPr="00040F04" w:rsidRDefault="0018222F" w:rsidP="0018222F">
      <w:pPr>
        <w:pStyle w:val="ppoListHyphened-L1"/>
        <w:rPr>
          <w:noProof/>
        </w:rPr>
      </w:pPr>
      <w:r w:rsidRPr="00040F04">
        <w:rPr>
          <w:noProof/>
        </w:rPr>
        <w:t xml:space="preserve">Engagement in areas such as counterterrorism and the prevention of violent extremism, the fight against organised crime, the protection of critical infrastructure and chemical, biological, radiological and nuclear risk mitigation </w:t>
      </w:r>
      <w:bookmarkStart w:id="249" w:name="_Hlk100933233"/>
      <w:r w:rsidRPr="00040F04">
        <w:rPr>
          <w:noProof/>
        </w:rPr>
        <w:t>reinforced the EU’s role as a credible and responsive external</w:t>
      </w:r>
      <w:bookmarkEnd w:id="249"/>
      <w:r w:rsidRPr="00040F04">
        <w:rPr>
          <w:noProof/>
        </w:rPr>
        <w:t xml:space="preserve"> actor.</w:t>
      </w:r>
    </w:p>
    <w:p w14:paraId="386F09AD" w14:textId="77777777" w:rsidR="00F02D2A" w:rsidRDefault="00F02D2A" w:rsidP="005348AD">
      <w:pPr>
        <w:pStyle w:val="ppoListHyphened-L1"/>
        <w:numPr>
          <w:ilvl w:val="0"/>
          <w:numId w:val="0"/>
        </w:numPr>
        <w:ind w:left="357" w:hanging="357"/>
        <w:rPr>
          <w:b/>
          <w:noProof/>
        </w:rPr>
        <w:sectPr w:rsidR="00F02D2A" w:rsidSect="0083214A">
          <w:headerReference w:type="even" r:id="rId528"/>
          <w:headerReference w:type="default" r:id="rId529"/>
          <w:footerReference w:type="even" r:id="rId530"/>
          <w:footerReference w:type="default" r:id="rId531"/>
          <w:headerReference w:type="first" r:id="rId532"/>
          <w:footerReference w:type="first" r:id="rId533"/>
          <w:type w:val="continuous"/>
          <w:pgSz w:w="11906" w:h="16838" w:code="9"/>
          <w:pgMar w:top="1134" w:right="1134" w:bottom="964" w:left="1134" w:header="431" w:footer="431" w:gutter="0"/>
          <w:cols w:space="720"/>
          <w:titlePg/>
          <w:docGrid w:linePitch="360"/>
        </w:sectPr>
      </w:pPr>
    </w:p>
    <w:p w14:paraId="725ADE0D" w14:textId="77777777" w:rsidR="00F02D2A" w:rsidRPr="00930C48" w:rsidRDefault="00F02D2A" w:rsidP="00F02D2A">
      <w:pPr>
        <w:pStyle w:val="StyleppoHeading3WhiteLeft0cm"/>
        <w:rPr>
          <w:noProof/>
          <w:sz w:val="2"/>
          <w:szCs w:val="2"/>
        </w:rPr>
      </w:pPr>
    </w:p>
    <w:p w14:paraId="23059F5F" w14:textId="77777777" w:rsidR="00F02D2A" w:rsidRPr="00930C48" w:rsidRDefault="00F02D2A" w:rsidP="00F02D2A">
      <w:pPr>
        <w:pStyle w:val="StyleppoHeading3WhiteLeft0cm"/>
        <w:rPr>
          <w:noProof/>
          <w:sz w:val="60"/>
          <w:szCs w:val="60"/>
        </w:rPr>
      </w:pPr>
      <w:bookmarkStart w:id="250" w:name="_Toc102086368"/>
      <w:r w:rsidRPr="00930C48">
        <w:rPr>
          <w:noProof/>
          <w:sz w:val="60"/>
          <w:szCs w:val="60"/>
        </w:rPr>
        <w:t>INSC</w:t>
      </w:r>
      <w:bookmarkEnd w:id="250"/>
    </w:p>
    <w:p w14:paraId="29BFC2B9" w14:textId="77777777" w:rsidR="00F02D2A" w:rsidRPr="00930C48" w:rsidRDefault="00F02D2A" w:rsidP="00F02D2A">
      <w:pPr>
        <w:pStyle w:val="StyleppoProgrammenameWhiteLeft01cm"/>
        <w:rPr>
          <w:noProof/>
        </w:rPr>
      </w:pPr>
      <w:r w:rsidRPr="00930C48">
        <w:rPr>
          <w:noProof/>
        </w:rPr>
        <w:t>EUROPEAN INSTRUMENT FOR INTERNATIONAL NUCLEAR SAFETY COOPERATION</w:t>
      </w:r>
    </w:p>
    <w:p w14:paraId="3C9E0A6D" w14:textId="77777777" w:rsidR="00F02D2A" w:rsidRPr="00930C48" w:rsidRDefault="00F02D2A" w:rsidP="00F02D2A">
      <w:pPr>
        <w:pStyle w:val="ppoHeading4Red"/>
        <w:rPr>
          <w:noProof/>
        </w:rPr>
      </w:pPr>
      <w:r w:rsidRPr="00930C48">
        <w:rPr>
          <w:noProof/>
        </w:rPr>
        <w:t>Programme in a nutshell</w:t>
      </w:r>
    </w:p>
    <w:p w14:paraId="1602BB8F" w14:textId="77777777" w:rsidR="00F02D2A" w:rsidRPr="00930C48" w:rsidRDefault="00F02D2A" w:rsidP="00F02D2A">
      <w:pPr>
        <w:pStyle w:val="ppoHeading5"/>
        <w:rPr>
          <w:noProof/>
        </w:rPr>
      </w:pPr>
      <w:r w:rsidRPr="00930C48">
        <w:rPr>
          <w:noProof/>
        </w:rPr>
        <w:t>Concrete examples of achievements (*)</w:t>
      </w:r>
    </w:p>
    <w:tbl>
      <w:tblPr>
        <w:tblStyle w:val="PPO2021"/>
        <w:tblW w:w="9639" w:type="dxa"/>
        <w:tblInd w:w="0" w:type="dxa"/>
        <w:tblLook w:val="0200" w:firstRow="0" w:lastRow="0" w:firstColumn="0" w:lastColumn="0" w:noHBand="1" w:noVBand="0"/>
      </w:tblPr>
      <w:tblGrid>
        <w:gridCol w:w="2410"/>
        <w:gridCol w:w="2409"/>
        <w:gridCol w:w="2410"/>
        <w:gridCol w:w="2410"/>
      </w:tblGrid>
      <w:tr w:rsidR="00F02D2A" w:rsidRPr="00930C48" w14:paraId="099619D3" w14:textId="77777777" w:rsidTr="0083214A">
        <w:tc>
          <w:tcPr>
            <w:tcW w:w="2410" w:type="dxa"/>
          </w:tcPr>
          <w:p w14:paraId="01E22D20" w14:textId="77777777" w:rsidR="00F02D2A" w:rsidRPr="00930C48" w:rsidRDefault="00F02D2A" w:rsidP="0083214A">
            <w:pPr>
              <w:pStyle w:val="ppoTableacheivementvalue"/>
              <w:rPr>
                <w:noProof/>
              </w:rPr>
            </w:pPr>
            <w:r>
              <w:rPr>
                <w:noProof/>
              </w:rPr>
              <w:t>2</w:t>
            </w:r>
            <w:r w:rsidRPr="1BC28F21">
              <w:rPr>
                <w:rFonts w:ascii="Calibri" w:hAnsi="Calibri" w:cs="Calibri"/>
                <w:noProof/>
              </w:rPr>
              <w:t> </w:t>
            </w:r>
            <w:r>
              <w:rPr>
                <w:noProof/>
              </w:rPr>
              <w:t>500</w:t>
            </w:r>
          </w:p>
          <w:p w14:paraId="5CE9E5BC" w14:textId="77777777" w:rsidR="00F02D2A" w:rsidRPr="00930C48" w:rsidRDefault="00F02D2A" w:rsidP="00377734">
            <w:pPr>
              <w:jc w:val="left"/>
              <w:rPr>
                <w:noProof/>
              </w:rPr>
            </w:pPr>
            <w:r>
              <w:rPr>
                <w:noProof/>
              </w:rPr>
              <w:t>people participated in the training and tutoring programme between 2014 and 2020.</w:t>
            </w:r>
          </w:p>
        </w:tc>
        <w:tc>
          <w:tcPr>
            <w:cnfStyle w:val="000001000000" w:firstRow="0" w:lastRow="0" w:firstColumn="0" w:lastColumn="0" w:oddVBand="0" w:evenVBand="1" w:oddHBand="0" w:evenHBand="0" w:firstRowFirstColumn="0" w:firstRowLastColumn="0" w:lastRowFirstColumn="0" w:lastRowLastColumn="0"/>
            <w:tcW w:w="2409" w:type="dxa"/>
          </w:tcPr>
          <w:p w14:paraId="141F5796" w14:textId="77777777" w:rsidR="00F02D2A" w:rsidRPr="00930C48" w:rsidRDefault="00F02D2A" w:rsidP="0083214A">
            <w:pPr>
              <w:pStyle w:val="ppoTableacheivementvalue"/>
              <w:rPr>
                <w:noProof/>
              </w:rPr>
            </w:pPr>
            <w:r w:rsidRPr="00930C48">
              <w:rPr>
                <w:noProof/>
              </w:rPr>
              <w:t>26</w:t>
            </w:r>
          </w:p>
          <w:p w14:paraId="116FCA65" w14:textId="77777777" w:rsidR="00F02D2A" w:rsidRPr="00930C48" w:rsidRDefault="00F02D2A" w:rsidP="00377734">
            <w:pPr>
              <w:jc w:val="left"/>
              <w:rPr>
                <w:noProof/>
              </w:rPr>
            </w:pPr>
            <w:r>
              <w:rPr>
                <w:noProof/>
              </w:rPr>
              <w:t>countries benefited from EU assistance in relation to nuclear safety between 2014 and 2020.</w:t>
            </w:r>
          </w:p>
        </w:tc>
        <w:tc>
          <w:tcPr>
            <w:tcW w:w="2410" w:type="dxa"/>
            <w:tcBorders>
              <w:bottom w:val="single" w:sz="4" w:space="0" w:color="8C8C8C"/>
            </w:tcBorders>
          </w:tcPr>
          <w:p w14:paraId="08B44150" w14:textId="77777777" w:rsidR="00F02D2A" w:rsidRPr="00930C48" w:rsidRDefault="00F02D2A" w:rsidP="0083214A">
            <w:pPr>
              <w:pStyle w:val="ppoTableacheivementvalue"/>
              <w:cnfStyle w:val="000000000000" w:firstRow="0" w:lastRow="0" w:firstColumn="0" w:lastColumn="0" w:oddVBand="0" w:evenVBand="0" w:oddHBand="0" w:evenHBand="0" w:firstRowFirstColumn="0" w:firstRowLastColumn="0" w:lastRowFirstColumn="0" w:lastRowLastColumn="0"/>
              <w:rPr>
                <w:noProof/>
              </w:rPr>
            </w:pPr>
            <w:r w:rsidRPr="00930C48">
              <w:rPr>
                <w:noProof/>
              </w:rPr>
              <w:t>36</w:t>
            </w:r>
          </w:p>
          <w:p w14:paraId="063A4B85" w14:textId="77777777" w:rsidR="00F02D2A" w:rsidRPr="00930C48" w:rsidRDefault="00F02D2A" w:rsidP="00377734">
            <w:pPr>
              <w:jc w:val="left"/>
              <w:cnfStyle w:val="000000000000" w:firstRow="0" w:lastRow="0" w:firstColumn="0" w:lastColumn="0" w:oddVBand="0" w:evenVBand="0" w:oddHBand="0" w:evenHBand="0" w:firstRowFirstColumn="0" w:firstRowLastColumn="0" w:lastRowFirstColumn="0" w:lastRowLastColumn="0"/>
              <w:rPr>
                <w:noProof/>
              </w:rPr>
            </w:pPr>
            <w:r>
              <w:rPr>
                <w:noProof/>
              </w:rPr>
              <w:t>regulatory documents were drafted and adopted between 2014 and 2020 with the support of the fund.</w:t>
            </w:r>
          </w:p>
        </w:tc>
        <w:tc>
          <w:tcPr>
            <w:cnfStyle w:val="000001000000" w:firstRow="0" w:lastRow="0" w:firstColumn="0" w:lastColumn="0" w:oddVBand="0" w:evenVBand="1" w:oddHBand="0" w:evenHBand="0" w:firstRowFirstColumn="0" w:firstRowLastColumn="0" w:lastRowFirstColumn="0" w:lastRowLastColumn="0"/>
            <w:tcW w:w="2410" w:type="dxa"/>
          </w:tcPr>
          <w:p w14:paraId="056FDC4D" w14:textId="77777777" w:rsidR="00F02D2A" w:rsidRPr="00930C48" w:rsidRDefault="00F02D2A" w:rsidP="0083214A">
            <w:pPr>
              <w:pStyle w:val="ppoTableacheivementvalue"/>
              <w:rPr>
                <w:noProof/>
              </w:rPr>
            </w:pPr>
            <w:r w:rsidRPr="00930C48">
              <w:rPr>
                <w:noProof/>
              </w:rPr>
              <w:t>18</w:t>
            </w:r>
          </w:p>
          <w:p w14:paraId="2F63252E" w14:textId="01CF8E6F" w:rsidR="00F02D2A" w:rsidRPr="00930C48" w:rsidRDefault="00F02D2A" w:rsidP="00377734">
            <w:pPr>
              <w:jc w:val="left"/>
              <w:rPr>
                <w:noProof/>
              </w:rPr>
            </w:pPr>
            <w:r w:rsidRPr="00930C48">
              <w:rPr>
                <w:noProof/>
              </w:rPr>
              <w:t>nuclear waste management and strategy documents were produced between 2014 and 2020.</w:t>
            </w:r>
          </w:p>
        </w:tc>
      </w:tr>
    </w:tbl>
    <w:p w14:paraId="5E696B66" w14:textId="77777777" w:rsidR="00F02D2A" w:rsidRPr="00930C48" w:rsidRDefault="00F02D2A" w:rsidP="00F02D2A">
      <w:pPr>
        <w:pStyle w:val="FootnoteText"/>
        <w:rPr>
          <w:rFonts w:eastAsiaTheme="minorEastAsia"/>
          <w:noProof/>
        </w:rPr>
      </w:pPr>
      <w:r w:rsidRPr="1BC28F21">
        <w:rPr>
          <w:rFonts w:eastAsiaTheme="minorEastAsia"/>
          <w:noProof/>
        </w:rPr>
        <w:t>(*)</w:t>
      </w:r>
      <w:r>
        <w:rPr>
          <w:noProof/>
        </w:rPr>
        <w:tab/>
      </w:r>
      <w:r w:rsidRPr="1BC28F21">
        <w:rPr>
          <w:rFonts w:eastAsiaTheme="minorEastAsia"/>
          <w:noProof/>
        </w:rPr>
        <w:t>Key achievements in the table state which period they relate to. Many come from the implementation of the predecessor programmes under the 2014-2020 multiannual financial framework. This is expected and is due to the multiannual life cycle of EU programmes and the projects they finance, where results often follow only after completion of the programmes.</w:t>
      </w:r>
    </w:p>
    <w:p w14:paraId="0D4A074B" w14:textId="77777777" w:rsidR="00F02D2A" w:rsidRPr="00930C48" w:rsidRDefault="00F02D2A" w:rsidP="00F02D2A">
      <w:pPr>
        <w:pStyle w:val="ppoHeading5"/>
        <w:rPr>
          <w:noProof/>
        </w:rPr>
      </w:pPr>
      <w:r w:rsidRPr="00930C48">
        <w:rPr>
          <w:noProof/>
        </w:rPr>
        <w:t>Budget for 2021-2027</w:t>
      </w:r>
    </w:p>
    <w:p w14:paraId="6C06768D" w14:textId="77777777" w:rsidR="00F02D2A" w:rsidRPr="00930C48" w:rsidRDefault="00F02D2A" w:rsidP="00F02D2A">
      <w:pPr>
        <w:pStyle w:val="ppoTableTabletitle"/>
        <w:ind w:left="284"/>
        <w:rPr>
          <w:noProof/>
        </w:rPr>
      </w:pPr>
      <w:r w:rsidRPr="00930C48">
        <w:rPr>
          <w:noProof/>
        </w:rPr>
        <w:t>(million EUR)</w:t>
      </w:r>
    </w:p>
    <w:tbl>
      <w:tblPr>
        <w:tblStyle w:val="PlainTable2"/>
        <w:tblW w:w="0" w:type="auto"/>
        <w:tblInd w:w="288" w:type="dxa"/>
        <w:tblLook w:val="04A0" w:firstRow="1" w:lastRow="0" w:firstColumn="1" w:lastColumn="0" w:noHBand="0" w:noVBand="1"/>
      </w:tblPr>
      <w:tblGrid>
        <w:gridCol w:w="4788"/>
        <w:gridCol w:w="2610"/>
      </w:tblGrid>
      <w:tr w:rsidR="00F02D2A" w:rsidRPr="00930C48" w14:paraId="44E27018" w14:textId="77777777" w:rsidTr="0083214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4EFEE2CD" w14:textId="77777777" w:rsidR="00F02D2A" w:rsidRPr="00930C48" w:rsidRDefault="00F02D2A" w:rsidP="0083214A">
            <w:pPr>
              <w:spacing w:before="120" w:after="120"/>
              <w:rPr>
                <w:noProof/>
              </w:rPr>
            </w:pPr>
            <w:r w:rsidRPr="00930C48">
              <w:rPr>
                <w:rFonts w:cs="Calibri"/>
                <w:noProof/>
                <w:color w:val="000000"/>
              </w:rPr>
              <w:t>Financial programming</w:t>
            </w:r>
          </w:p>
        </w:tc>
        <w:tc>
          <w:tcPr>
            <w:tcW w:w="2610" w:type="dxa"/>
            <w:shd w:val="clear" w:color="auto" w:fill="auto"/>
            <w:vAlign w:val="bottom"/>
          </w:tcPr>
          <w:p w14:paraId="234FBBC0" w14:textId="77777777" w:rsidR="00F02D2A" w:rsidRPr="00930C48" w:rsidRDefault="00F02D2A" w:rsidP="0083214A">
            <w:pPr>
              <w:spacing w:before="120" w:after="120"/>
              <w:jc w:val="center"/>
              <w:cnfStyle w:val="100000000000" w:firstRow="1" w:lastRow="0" w:firstColumn="0" w:lastColumn="0" w:oddVBand="0" w:evenVBand="0" w:oddHBand="0" w:evenHBand="0" w:firstRowFirstColumn="0" w:firstRowLastColumn="0" w:lastRowFirstColumn="0" w:lastRowLastColumn="0"/>
              <w:rPr>
                <w:b w:val="0"/>
                <w:noProof/>
              </w:rPr>
            </w:pPr>
            <w:r w:rsidRPr="00930C48">
              <w:rPr>
                <w:rFonts w:cs="Calibri"/>
                <w:b w:val="0"/>
                <w:noProof/>
                <w:color w:val="000000"/>
              </w:rPr>
              <w:t>300</w:t>
            </w:r>
          </w:p>
        </w:tc>
      </w:tr>
      <w:tr w:rsidR="00F02D2A" w:rsidRPr="00930C48" w14:paraId="0A217A07"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3DF31D2A" w14:textId="77777777" w:rsidR="00F02D2A" w:rsidRPr="00930C48" w:rsidRDefault="00F02D2A" w:rsidP="0083214A">
            <w:pPr>
              <w:spacing w:before="120" w:after="120"/>
              <w:rPr>
                <w:b w:val="0"/>
                <w:noProof/>
              </w:rPr>
            </w:pPr>
            <w:r w:rsidRPr="00930C48">
              <w:rPr>
                <w:rFonts w:cs="Calibri"/>
                <w:noProof/>
                <w:color w:val="000000"/>
              </w:rPr>
              <w:t>NextGenerationEU</w:t>
            </w:r>
          </w:p>
        </w:tc>
        <w:tc>
          <w:tcPr>
            <w:tcW w:w="2610" w:type="dxa"/>
            <w:vAlign w:val="bottom"/>
          </w:tcPr>
          <w:p w14:paraId="32B2A2EF" w14:textId="77777777" w:rsidR="00F02D2A" w:rsidRPr="00930C48" w:rsidRDefault="00F02D2A"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930C48">
              <w:rPr>
                <w:rFonts w:cs="Calibri"/>
                <w:noProof/>
                <w:color w:val="000000"/>
              </w:rPr>
              <w:t>0</w:t>
            </w:r>
          </w:p>
        </w:tc>
      </w:tr>
      <w:tr w:rsidR="00F02D2A" w:rsidRPr="00930C48" w14:paraId="34432621"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415311CB" w14:textId="77777777" w:rsidR="00F02D2A" w:rsidRPr="00930C48" w:rsidRDefault="00F02D2A" w:rsidP="0083214A">
            <w:pPr>
              <w:spacing w:before="120" w:after="120"/>
              <w:rPr>
                <w:b w:val="0"/>
                <w:noProof/>
              </w:rPr>
            </w:pPr>
            <w:r w:rsidRPr="00930C48">
              <w:rPr>
                <w:rFonts w:cs="Calibri"/>
                <w:noProof/>
                <w:color w:val="000000"/>
              </w:rPr>
              <w:t>Decommitments made available again (*)</w:t>
            </w:r>
          </w:p>
        </w:tc>
        <w:tc>
          <w:tcPr>
            <w:tcW w:w="2610" w:type="dxa"/>
            <w:vAlign w:val="bottom"/>
          </w:tcPr>
          <w:p w14:paraId="2ADE7BE1" w14:textId="77777777" w:rsidR="00F02D2A" w:rsidRPr="00930C48" w:rsidRDefault="00F02D2A" w:rsidP="0083214A">
            <w:pPr>
              <w:spacing w:before="120" w:after="120"/>
              <w:jc w:val="center"/>
              <w:cnfStyle w:val="000000000000" w:firstRow="0" w:lastRow="0" w:firstColumn="0" w:lastColumn="0" w:oddVBand="0" w:evenVBand="0" w:oddHBand="0" w:evenHBand="0" w:firstRowFirstColumn="0" w:firstRowLastColumn="0" w:lastRowFirstColumn="0" w:lastRowLastColumn="0"/>
              <w:rPr>
                <w:rFonts w:cs="Calibri"/>
                <w:noProof/>
                <w:color w:val="000000"/>
              </w:rPr>
            </w:pPr>
            <w:r w:rsidRPr="1BC28F21">
              <w:rPr>
                <w:rFonts w:cs="Calibri"/>
                <w:noProof/>
                <w:color w:val="000000"/>
              </w:rPr>
              <w:t>N/A</w:t>
            </w:r>
          </w:p>
        </w:tc>
      </w:tr>
      <w:tr w:rsidR="00F02D2A" w:rsidRPr="00930C48" w14:paraId="03B286EB"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0F1A8D18" w14:textId="77777777" w:rsidR="00F02D2A" w:rsidRPr="00930C48" w:rsidRDefault="00F02D2A" w:rsidP="0083214A">
            <w:pPr>
              <w:spacing w:before="120" w:after="120"/>
              <w:rPr>
                <w:noProof/>
              </w:rPr>
            </w:pPr>
            <w:r w:rsidRPr="00930C48">
              <w:rPr>
                <w:rFonts w:cs="Calibri"/>
                <w:noProof/>
                <w:color w:val="000000"/>
              </w:rPr>
              <w:t>Contributions from other countries and entities</w:t>
            </w:r>
          </w:p>
        </w:tc>
        <w:tc>
          <w:tcPr>
            <w:tcW w:w="2610" w:type="dxa"/>
            <w:vAlign w:val="bottom"/>
          </w:tcPr>
          <w:p w14:paraId="08A381AD" w14:textId="77777777" w:rsidR="00F02D2A" w:rsidRPr="00930C48" w:rsidRDefault="00F02D2A"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930C48">
              <w:rPr>
                <w:rFonts w:cs="Calibri"/>
                <w:noProof/>
                <w:color w:val="000000"/>
              </w:rPr>
              <w:t>0</w:t>
            </w:r>
          </w:p>
        </w:tc>
      </w:tr>
      <w:tr w:rsidR="00F02D2A" w:rsidRPr="00930C48" w14:paraId="3023A040"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CFCFC" w:themeFill="background2" w:themeFillTint="33"/>
            <w:vAlign w:val="bottom"/>
          </w:tcPr>
          <w:p w14:paraId="72EE9A45" w14:textId="77777777" w:rsidR="00F02D2A" w:rsidRPr="00930C48" w:rsidRDefault="00F02D2A" w:rsidP="0083214A">
            <w:pPr>
              <w:spacing w:before="120" w:after="120"/>
              <w:rPr>
                <w:noProof/>
              </w:rPr>
            </w:pPr>
            <w:r w:rsidRPr="1BC28F21">
              <w:rPr>
                <w:rFonts w:cs="Calibri"/>
                <w:noProof/>
                <w:color w:val="000000"/>
              </w:rPr>
              <w:t>Total budget for 2021-2027</w:t>
            </w:r>
          </w:p>
        </w:tc>
        <w:tc>
          <w:tcPr>
            <w:tcW w:w="2610" w:type="dxa"/>
            <w:shd w:val="clear" w:color="auto" w:fill="FCFCFC" w:themeFill="background2" w:themeFillTint="33"/>
            <w:vAlign w:val="bottom"/>
          </w:tcPr>
          <w:p w14:paraId="46A12C0C" w14:textId="77777777" w:rsidR="00F02D2A" w:rsidRPr="00930C48" w:rsidRDefault="00F02D2A" w:rsidP="0083214A">
            <w:pPr>
              <w:spacing w:before="120" w:after="120"/>
              <w:jc w:val="center"/>
              <w:cnfStyle w:val="000000000000" w:firstRow="0" w:lastRow="0" w:firstColumn="0" w:lastColumn="0" w:oddVBand="0" w:evenVBand="0" w:oddHBand="0" w:evenHBand="0" w:firstRowFirstColumn="0" w:firstRowLastColumn="0" w:lastRowFirstColumn="0" w:lastRowLastColumn="0"/>
              <w:rPr>
                <w:b/>
                <w:noProof/>
              </w:rPr>
            </w:pPr>
            <w:r w:rsidRPr="00930C48">
              <w:rPr>
                <w:rFonts w:cs="Calibri"/>
                <w:b/>
                <w:noProof/>
                <w:color w:val="000000"/>
              </w:rPr>
              <w:t>300</w:t>
            </w:r>
          </w:p>
        </w:tc>
      </w:tr>
    </w:tbl>
    <w:p w14:paraId="4074CCC3" w14:textId="06A44D76" w:rsidR="00F02D2A" w:rsidRPr="00930C48" w:rsidRDefault="00F02D2A" w:rsidP="00F02D2A">
      <w:pPr>
        <w:tabs>
          <w:tab w:val="left" w:pos="6793"/>
        </w:tabs>
        <w:rPr>
          <w:rFonts w:eastAsiaTheme="minorEastAsia"/>
          <w:noProof/>
          <w:color w:val="FFFFFF" w:themeColor="background1"/>
          <w:sz w:val="32"/>
        </w:rPr>
      </w:pPr>
      <w:r w:rsidRPr="00930C48">
        <w:rPr>
          <w:noProof/>
          <w:sz w:val="18"/>
          <w:szCs w:val="18"/>
        </w:rPr>
        <w:t>(*) Only Article</w:t>
      </w:r>
      <w:r w:rsidRPr="00930C48">
        <w:rPr>
          <w:rFonts w:ascii="Calibri" w:hAnsi="Calibri" w:cs="Calibri"/>
          <w:noProof/>
          <w:sz w:val="18"/>
          <w:szCs w:val="18"/>
        </w:rPr>
        <w:t> </w:t>
      </w:r>
      <w:r w:rsidRPr="00930C48">
        <w:rPr>
          <w:noProof/>
          <w:sz w:val="18"/>
          <w:szCs w:val="18"/>
        </w:rPr>
        <w:t>15(3) of the financial regulation.</w:t>
      </w:r>
    </w:p>
    <w:p w14:paraId="5BE01953" w14:textId="77777777" w:rsidR="00F02D2A" w:rsidRPr="00930C48" w:rsidRDefault="00F02D2A" w:rsidP="00F02D2A">
      <w:pPr>
        <w:spacing w:after="480"/>
        <w:rPr>
          <w:rFonts w:eastAsiaTheme="minorEastAsia"/>
          <w:noProof/>
          <w:color w:val="FFFFFF" w:themeColor="background1"/>
          <w:sz w:val="32"/>
        </w:rPr>
        <w:sectPr w:rsidR="00F02D2A" w:rsidRPr="00930C48" w:rsidSect="0083214A">
          <w:headerReference w:type="even" r:id="rId534"/>
          <w:headerReference w:type="default" r:id="rId535"/>
          <w:footerReference w:type="even" r:id="rId536"/>
          <w:footerReference w:type="default" r:id="rId537"/>
          <w:headerReference w:type="first" r:id="rId538"/>
          <w:footerReference w:type="first" r:id="rId539"/>
          <w:pgSz w:w="11906" w:h="16838" w:code="9"/>
          <w:pgMar w:top="1134" w:right="1134" w:bottom="964" w:left="1134" w:header="431" w:footer="431" w:gutter="0"/>
          <w:cols w:space="720"/>
          <w:docGrid w:linePitch="360"/>
        </w:sectPr>
      </w:pPr>
    </w:p>
    <w:p w14:paraId="3F385FBE" w14:textId="77777777" w:rsidR="00F02D2A" w:rsidRPr="00930C48" w:rsidRDefault="00F02D2A" w:rsidP="00F02D2A">
      <w:pPr>
        <w:pStyle w:val="ppoHeading5"/>
        <w:rPr>
          <w:noProof/>
        </w:rPr>
      </w:pPr>
      <w:r w:rsidRPr="00930C48">
        <w:rPr>
          <w:noProof/>
        </w:rPr>
        <w:t>Rationale and design of the programme</w:t>
      </w:r>
    </w:p>
    <w:p w14:paraId="70BDC6A6" w14:textId="77777777" w:rsidR="00F02D2A" w:rsidRPr="00930C48" w:rsidRDefault="00F02D2A" w:rsidP="00F02D2A">
      <w:pPr>
        <w:rPr>
          <w:rFonts w:eastAsiaTheme="minorEastAsia"/>
          <w:noProof/>
        </w:rPr>
      </w:pPr>
      <w:r w:rsidRPr="1BC28F21">
        <w:rPr>
          <w:rFonts w:eastAsiaTheme="minorEastAsia"/>
          <w:noProof/>
        </w:rPr>
        <w:t>The programme’s objective is to support the promotion of nuclear safety culture and radiation protection, the safe management of spent nuclear fuels and radioactive wastes and the application of effective and efficient safeguards of nuclear materials in non-EU countries.</w:t>
      </w:r>
    </w:p>
    <w:p w14:paraId="3B7ACB36" w14:textId="77777777" w:rsidR="00F02D2A" w:rsidRPr="00930C48" w:rsidRDefault="00F02D2A" w:rsidP="00F02D2A">
      <w:pPr>
        <w:pStyle w:val="ppoHeading6"/>
        <w:jc w:val="both"/>
        <w:rPr>
          <w:noProof/>
        </w:rPr>
      </w:pPr>
      <w:r w:rsidRPr="00930C48">
        <w:rPr>
          <w:noProof/>
        </w:rPr>
        <w:t>Challenge</w:t>
      </w:r>
    </w:p>
    <w:p w14:paraId="70D2A8A9" w14:textId="77777777" w:rsidR="00F02D2A" w:rsidRPr="00930C48" w:rsidRDefault="00F02D2A" w:rsidP="00F02D2A">
      <w:pPr>
        <w:rPr>
          <w:noProof/>
        </w:rPr>
      </w:pPr>
      <w:r>
        <w:rPr>
          <w:noProof/>
        </w:rPr>
        <w:t>The operation of nuclear power plants is the responsibility of any state that chooses to include nuclear in its energy mix. Nevertheless, as history showed with the accidents at Chernobyl in 1986 and Fukushima in 2011, any accident has transboundary consequences and affects the population and the environment of neighbouring countries and regions. In other words, ensuring nuclear safety and security has the features of a public good.</w:t>
      </w:r>
    </w:p>
    <w:p w14:paraId="5C9D57A0" w14:textId="77777777" w:rsidR="00F02D2A" w:rsidRPr="00930C48" w:rsidRDefault="00F02D2A" w:rsidP="00F02D2A">
      <w:pPr>
        <w:rPr>
          <w:noProof/>
        </w:rPr>
      </w:pPr>
      <w:r>
        <w:rPr>
          <w:noProof/>
        </w:rPr>
        <w:t>The EU thus has both a role to play and value to add in terms of safeguarding the safety and security of its citizens and protecting the environment, by ensuring that nuclear reactors are operated safely and according to the best international standards.</w:t>
      </w:r>
    </w:p>
    <w:p w14:paraId="1B377543" w14:textId="77777777" w:rsidR="00F02D2A" w:rsidRPr="00930C48" w:rsidRDefault="00F02D2A" w:rsidP="00F02D2A">
      <w:pPr>
        <w:pStyle w:val="ppoHeading6"/>
        <w:jc w:val="both"/>
        <w:rPr>
          <w:noProof/>
        </w:rPr>
      </w:pPr>
      <w:r w:rsidRPr="00930C48">
        <w:rPr>
          <w:noProof/>
        </w:rPr>
        <w:t>Mission</w:t>
      </w:r>
    </w:p>
    <w:p w14:paraId="399A408A" w14:textId="77777777" w:rsidR="00F02D2A" w:rsidRPr="00930C48" w:rsidRDefault="00F02D2A" w:rsidP="00F02D2A">
      <w:pPr>
        <w:rPr>
          <w:noProof/>
        </w:rPr>
      </w:pPr>
      <w:r>
        <w:rPr>
          <w:noProof/>
        </w:rPr>
        <w:t>The objective of European Instrument for International Nuclear Safety Cooperation (INSC) is to support the promotion of nuclear safety culture and radiation protection, the safe management of spent nuclear fuels and radioactive wastes and the application of effective and efficient safeguards of nuclear materials in non-EU countries.</w:t>
      </w:r>
    </w:p>
    <w:p w14:paraId="6DAAC69F" w14:textId="77777777" w:rsidR="00F02D2A" w:rsidRPr="00930C48" w:rsidRDefault="00F02D2A" w:rsidP="00F02D2A">
      <w:pPr>
        <w:rPr>
          <w:noProof/>
        </w:rPr>
      </w:pPr>
      <w:r>
        <w:rPr>
          <w:noProof/>
        </w:rPr>
        <w:t>This is to be achieved by cooperating with the key stakeholders, and in particular with the responsible nuclear regulatory authorities, with the aim of transferring EU expertise and promoting transparency by non-EU countries’ authorities in nuclear-related decision-making.</w:t>
      </w:r>
    </w:p>
    <w:p w14:paraId="4B92AF75" w14:textId="77777777" w:rsidR="00F02D2A" w:rsidRPr="00930C48" w:rsidRDefault="00F02D2A" w:rsidP="00F02D2A">
      <w:pPr>
        <w:pStyle w:val="ppoHeading6"/>
        <w:jc w:val="both"/>
        <w:rPr>
          <w:noProof/>
        </w:rPr>
      </w:pPr>
      <w:r w:rsidRPr="00930C48">
        <w:rPr>
          <w:noProof/>
        </w:rPr>
        <w:t>Objectives</w:t>
      </w:r>
    </w:p>
    <w:p w14:paraId="5561F258" w14:textId="77777777" w:rsidR="00F02D2A" w:rsidRPr="00930C48" w:rsidRDefault="00F02D2A" w:rsidP="00F02D2A">
      <w:pPr>
        <w:rPr>
          <w:noProof/>
        </w:rPr>
      </w:pPr>
      <w:r>
        <w:rPr>
          <w:noProof/>
        </w:rPr>
        <w:t>The INSC’s objectives are:</w:t>
      </w:r>
    </w:p>
    <w:p w14:paraId="299B07D1" w14:textId="77777777" w:rsidR="00F02D2A" w:rsidRPr="00930C48" w:rsidRDefault="00F02D2A" w:rsidP="006F409B">
      <w:pPr>
        <w:pStyle w:val="ppoListArabic1aiii-L1"/>
        <w:numPr>
          <w:ilvl w:val="0"/>
          <w:numId w:val="129"/>
        </w:numPr>
        <w:jc w:val="both"/>
        <w:rPr>
          <w:noProof/>
        </w:rPr>
      </w:pPr>
      <w:r>
        <w:rPr>
          <w:noProof/>
        </w:rPr>
        <w:t>to promote an effective nuclear safety and radiation protection culture and implement the highest nuclear safety and radiation protection standards, and to continuously improve nuclear safety, including by promoting transparency in the decision-making processes of authorities in non-EU countries relating to the safety of nuclear installations;</w:t>
      </w:r>
    </w:p>
    <w:p w14:paraId="3B879B57" w14:textId="77777777" w:rsidR="00F02D2A" w:rsidRPr="00930C48" w:rsidRDefault="00F02D2A" w:rsidP="006F409B">
      <w:pPr>
        <w:pStyle w:val="ppoListArabic1aiii-L1"/>
        <w:numPr>
          <w:ilvl w:val="0"/>
          <w:numId w:val="129"/>
        </w:numPr>
        <w:jc w:val="both"/>
        <w:rPr>
          <w:noProof/>
        </w:rPr>
      </w:pPr>
      <w:r>
        <w:rPr>
          <w:noProof/>
        </w:rPr>
        <w:t>to manage spent fuel and radioactive waste responsibly and safely and to decommission and remediate former nuclear sites and installations, including by promoting transparency in the decision-making processes of authorities in non-EU countries;</w:t>
      </w:r>
    </w:p>
    <w:p w14:paraId="5C5F3E35" w14:textId="77777777" w:rsidR="00F02D2A" w:rsidRPr="00930C48" w:rsidRDefault="00F02D2A" w:rsidP="006F409B">
      <w:pPr>
        <w:pStyle w:val="ppoListArabic1aiii-L1"/>
        <w:numPr>
          <w:ilvl w:val="0"/>
          <w:numId w:val="129"/>
        </w:numPr>
        <w:jc w:val="both"/>
        <w:rPr>
          <w:noProof/>
        </w:rPr>
      </w:pPr>
      <w:r>
        <w:rPr>
          <w:noProof/>
        </w:rPr>
        <w:t>to establish efficient and effective safeguards for nuclear material in non-EU countries.</w:t>
      </w:r>
    </w:p>
    <w:p w14:paraId="4CE25CC8" w14:textId="77777777" w:rsidR="00F02D2A" w:rsidRPr="00930C48" w:rsidRDefault="00F02D2A" w:rsidP="00F02D2A">
      <w:pPr>
        <w:pStyle w:val="ppoHeading6"/>
        <w:jc w:val="both"/>
        <w:rPr>
          <w:noProof/>
        </w:rPr>
      </w:pPr>
      <w:r w:rsidRPr="00930C48">
        <w:rPr>
          <w:noProof/>
        </w:rPr>
        <w:t>Actions</w:t>
      </w:r>
    </w:p>
    <w:p w14:paraId="230E4338" w14:textId="77777777" w:rsidR="00F02D2A" w:rsidRPr="00930C48" w:rsidRDefault="00F02D2A" w:rsidP="00F02D2A">
      <w:pPr>
        <w:rPr>
          <w:noProof/>
        </w:rPr>
      </w:pPr>
      <w:r>
        <w:rPr>
          <w:noProof/>
        </w:rPr>
        <w:t>The INSC will establish cooperation with and support beneficiary countries through a variety of means, including by providing services, equipment, technical assistance, training and tutoring and by exchanging information (including through twinning projects). The INSC can also provide budget support and take part in multilateral assistance/cooperation projects together with Member States or international organisations.</w:t>
      </w:r>
    </w:p>
    <w:p w14:paraId="753577A8" w14:textId="77777777" w:rsidR="00F02D2A" w:rsidRPr="00930C48" w:rsidRDefault="00F02D2A" w:rsidP="00F02D2A">
      <w:pPr>
        <w:pStyle w:val="ppoHeading6"/>
        <w:rPr>
          <w:noProof/>
        </w:rPr>
      </w:pPr>
      <w:r w:rsidRPr="00930C48">
        <w:rPr>
          <w:noProof/>
        </w:rPr>
        <w:t>Delivery mode</w:t>
      </w:r>
    </w:p>
    <w:p w14:paraId="1F3C70B4" w14:textId="77777777" w:rsidR="00F02D2A" w:rsidRPr="00930C48" w:rsidRDefault="00F02D2A" w:rsidP="00F02D2A">
      <w:pPr>
        <w:rPr>
          <w:noProof/>
        </w:rPr>
      </w:pPr>
      <w:r>
        <w:rPr>
          <w:noProof/>
        </w:rPr>
        <w:t>The INSC is implemented under direct management by the Commission (including through the EU delegations) and under indirect management by entities such as Member State agencies or international organisations that ensure a level of protection of the EU’s financial interests equivalent to that under direct management. Indirect management may also be entrusted to partner countries or the bodies they designate. Innovative financial instruments, including in partnership with the European Bank for Reconstruction and Development and other international financial institutions, will be used for blending activities.</w:t>
      </w:r>
    </w:p>
    <w:p w14:paraId="6CBC68DA" w14:textId="77777777" w:rsidR="00F02D2A" w:rsidRPr="00930C48" w:rsidRDefault="00F02D2A" w:rsidP="00F02D2A">
      <w:pPr>
        <w:pStyle w:val="ppoHeading6"/>
        <w:rPr>
          <w:noProof/>
        </w:rPr>
      </w:pPr>
      <w:r>
        <w:rPr>
          <w:noProof/>
        </w:rPr>
        <w:t>LINK TO THE 2014-2020 multiannual financial framework</w:t>
      </w:r>
    </w:p>
    <w:p w14:paraId="130F6DA2" w14:textId="77777777" w:rsidR="00F02D2A" w:rsidRPr="00930C48" w:rsidRDefault="00F02D2A" w:rsidP="00F02D2A">
      <w:pPr>
        <w:rPr>
          <w:noProof/>
        </w:rPr>
      </w:pPr>
      <w:r>
        <w:rPr>
          <w:noProof/>
        </w:rPr>
        <w:t>The INSC builds on the Instrument for Nuclear Safety Cooperation in the 2014-2020 multiannual financial framework.</w:t>
      </w:r>
    </w:p>
    <w:p w14:paraId="51ED8BD5" w14:textId="77777777" w:rsidR="00F02D2A" w:rsidRPr="00930C48" w:rsidRDefault="00F02D2A" w:rsidP="00F02D2A">
      <w:pPr>
        <w:pStyle w:val="ppoHeading6"/>
        <w:rPr>
          <w:noProof/>
        </w:rPr>
      </w:pPr>
      <w:r w:rsidRPr="00930C48">
        <w:rPr>
          <w:noProof/>
        </w:rPr>
        <w:t>Impact assessment</w:t>
      </w:r>
    </w:p>
    <w:p w14:paraId="211A5C1F" w14:textId="77777777" w:rsidR="00F02D2A" w:rsidRPr="00930C48" w:rsidRDefault="00F02D2A" w:rsidP="00F02D2A">
      <w:pPr>
        <w:rPr>
          <w:noProof/>
        </w:rPr>
      </w:pPr>
      <w:r w:rsidRPr="00930C48">
        <w:rPr>
          <w:noProof/>
        </w:rPr>
        <w:t>The impact assessment of the INSC was carried out in 2018.</w:t>
      </w:r>
    </w:p>
    <w:p w14:paraId="0B4CE0C4" w14:textId="77777777" w:rsidR="00F02D2A" w:rsidRPr="00930C48" w:rsidRDefault="00F02D2A" w:rsidP="00F02D2A">
      <w:pPr>
        <w:rPr>
          <w:noProof/>
        </w:rPr>
      </w:pPr>
      <w:r w:rsidRPr="00930C48">
        <w:rPr>
          <w:noProof/>
        </w:rPr>
        <w:t xml:space="preserve">For further information please consult: </w:t>
      </w:r>
      <w:hyperlink r:id="rId540" w:history="1">
        <w:r w:rsidRPr="00930C48">
          <w:rPr>
            <w:rStyle w:val="Hyperlink"/>
            <w:noProof/>
          </w:rPr>
          <w:t>https://europa.eu/!gh96VH</w:t>
        </w:r>
      </w:hyperlink>
    </w:p>
    <w:p w14:paraId="1F5767F7" w14:textId="77777777" w:rsidR="00F02D2A" w:rsidRPr="00930C48" w:rsidRDefault="00F02D2A" w:rsidP="00F02D2A">
      <w:pPr>
        <w:pStyle w:val="ppoHeading6"/>
        <w:rPr>
          <w:noProof/>
        </w:rPr>
      </w:pPr>
      <w:r w:rsidRPr="00930C48">
        <w:rPr>
          <w:noProof/>
        </w:rPr>
        <w:t>WEBSITE FOR more information</w:t>
      </w:r>
    </w:p>
    <w:p w14:paraId="773C4160" w14:textId="77777777" w:rsidR="00F02D2A" w:rsidRPr="00930C48" w:rsidRDefault="00E01E9B" w:rsidP="00F02D2A">
      <w:pPr>
        <w:rPr>
          <w:noProof/>
        </w:rPr>
      </w:pPr>
      <w:hyperlink r:id="rId541" w:history="1">
        <w:r w:rsidR="00F02D2A" w:rsidRPr="00930C48">
          <w:rPr>
            <w:rStyle w:val="Hyperlink"/>
            <w:noProof/>
          </w:rPr>
          <w:t>https://europa.eu/!jH36Mv</w:t>
        </w:r>
      </w:hyperlink>
    </w:p>
    <w:p w14:paraId="5DA4E720" w14:textId="77777777" w:rsidR="00F02D2A" w:rsidRPr="00930C48" w:rsidRDefault="00F02D2A" w:rsidP="00F02D2A">
      <w:pPr>
        <w:pStyle w:val="ppoHeading5"/>
        <w:rPr>
          <w:noProof/>
        </w:rPr>
      </w:pPr>
      <w:r w:rsidRPr="1BC28F21">
        <w:rPr>
          <w:rFonts w:eastAsiaTheme="minorEastAsia"/>
          <w:noProof/>
        </w:rPr>
        <w:t>Legal basis</w:t>
      </w:r>
    </w:p>
    <w:p w14:paraId="1A439C28" w14:textId="77777777" w:rsidR="00F02D2A" w:rsidRPr="00930C48" w:rsidRDefault="00F02D2A" w:rsidP="00F02D2A">
      <w:pPr>
        <w:rPr>
          <w:noProof/>
        </w:rPr>
      </w:pPr>
      <w:r>
        <w:rPr>
          <w:noProof/>
        </w:rPr>
        <w:t>Council Regulation (Euratom) 2021/948.</w:t>
      </w:r>
    </w:p>
    <w:p w14:paraId="2ECA62BB" w14:textId="77777777" w:rsidR="00F02D2A" w:rsidRPr="00930C48" w:rsidRDefault="00F02D2A" w:rsidP="00F02D2A">
      <w:pPr>
        <w:pStyle w:val="ppoHeading4Red"/>
        <w:rPr>
          <w:caps/>
          <w:noProof/>
        </w:rPr>
      </w:pPr>
      <w:r w:rsidRPr="00930C48">
        <w:rPr>
          <w:noProof/>
        </w:rPr>
        <w:t>Implementation and performance</w:t>
      </w:r>
    </w:p>
    <w:p w14:paraId="253A5C41" w14:textId="77777777" w:rsidR="00F02D2A" w:rsidRPr="00930C48" w:rsidRDefault="00F02D2A" w:rsidP="00F02D2A">
      <w:pPr>
        <w:pStyle w:val="ppoHeading5"/>
        <w:rPr>
          <w:noProof/>
        </w:rPr>
      </w:pPr>
      <w:r>
        <w:rPr>
          <w:noProof/>
        </w:rPr>
        <w:t>Budget implementation</w:t>
      </w:r>
    </w:p>
    <w:p w14:paraId="4AF1E58E" w14:textId="77777777" w:rsidR="00F02D2A" w:rsidRPr="00930C48" w:rsidRDefault="00F02D2A" w:rsidP="00F02D2A">
      <w:pPr>
        <w:pStyle w:val="ppoTableTabletitle"/>
        <w:rPr>
          <w:noProof/>
        </w:rPr>
      </w:pPr>
      <w:r w:rsidRPr="00930C48">
        <w:rPr>
          <w:noProof/>
        </w:rPr>
        <w:t>Budget programming (million 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F02D2A" w:rsidRPr="00930C48" w14:paraId="39A4781D" w14:textId="77777777" w:rsidTr="0083214A">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3D005E6A" w14:textId="77777777" w:rsidR="00F02D2A" w:rsidRPr="00930C48" w:rsidRDefault="00F02D2A" w:rsidP="0083214A">
            <w:pPr>
              <w:rPr>
                <w:noProof/>
              </w:rPr>
            </w:pPr>
          </w:p>
        </w:tc>
        <w:tc>
          <w:tcPr>
            <w:tcW w:w="943" w:type="dxa"/>
            <w:noWrap/>
            <w:hideMark/>
          </w:tcPr>
          <w:p w14:paraId="5232DC94" w14:textId="77777777" w:rsidR="00F02D2A" w:rsidRPr="00930C48" w:rsidRDefault="00F02D2A" w:rsidP="0083214A">
            <w:pPr>
              <w:rPr>
                <w:noProof/>
              </w:rPr>
            </w:pPr>
            <w:r w:rsidRPr="00930C48">
              <w:rPr>
                <w:noProof/>
              </w:rPr>
              <w:t>2021</w:t>
            </w:r>
          </w:p>
        </w:tc>
        <w:tc>
          <w:tcPr>
            <w:tcW w:w="944" w:type="dxa"/>
            <w:noWrap/>
            <w:hideMark/>
          </w:tcPr>
          <w:p w14:paraId="0444EBF7" w14:textId="77777777" w:rsidR="00F02D2A" w:rsidRPr="00930C48" w:rsidRDefault="00F02D2A" w:rsidP="0083214A">
            <w:pPr>
              <w:rPr>
                <w:noProof/>
              </w:rPr>
            </w:pPr>
            <w:r w:rsidRPr="00930C48">
              <w:rPr>
                <w:noProof/>
              </w:rPr>
              <w:t>2022</w:t>
            </w:r>
          </w:p>
        </w:tc>
        <w:tc>
          <w:tcPr>
            <w:tcW w:w="943" w:type="dxa"/>
            <w:noWrap/>
            <w:hideMark/>
          </w:tcPr>
          <w:p w14:paraId="631D202B" w14:textId="77777777" w:rsidR="00F02D2A" w:rsidRPr="00930C48" w:rsidRDefault="00F02D2A" w:rsidP="0083214A">
            <w:pPr>
              <w:rPr>
                <w:noProof/>
              </w:rPr>
            </w:pPr>
            <w:r w:rsidRPr="00930C48">
              <w:rPr>
                <w:noProof/>
              </w:rPr>
              <w:t>2023</w:t>
            </w:r>
          </w:p>
        </w:tc>
        <w:tc>
          <w:tcPr>
            <w:tcW w:w="944" w:type="dxa"/>
            <w:noWrap/>
            <w:hideMark/>
          </w:tcPr>
          <w:p w14:paraId="6F680FB9" w14:textId="77777777" w:rsidR="00F02D2A" w:rsidRPr="00930C48" w:rsidRDefault="00F02D2A" w:rsidP="0083214A">
            <w:pPr>
              <w:rPr>
                <w:noProof/>
              </w:rPr>
            </w:pPr>
            <w:r w:rsidRPr="00930C48">
              <w:rPr>
                <w:noProof/>
              </w:rPr>
              <w:t>2024</w:t>
            </w:r>
          </w:p>
        </w:tc>
        <w:tc>
          <w:tcPr>
            <w:tcW w:w="944" w:type="dxa"/>
            <w:noWrap/>
            <w:hideMark/>
          </w:tcPr>
          <w:p w14:paraId="063020F3" w14:textId="77777777" w:rsidR="00F02D2A" w:rsidRPr="00930C48" w:rsidRDefault="00F02D2A" w:rsidP="0083214A">
            <w:pPr>
              <w:rPr>
                <w:noProof/>
              </w:rPr>
            </w:pPr>
            <w:r w:rsidRPr="00930C48">
              <w:rPr>
                <w:noProof/>
              </w:rPr>
              <w:t>2025</w:t>
            </w:r>
          </w:p>
        </w:tc>
        <w:tc>
          <w:tcPr>
            <w:tcW w:w="943" w:type="dxa"/>
            <w:noWrap/>
            <w:hideMark/>
          </w:tcPr>
          <w:p w14:paraId="7F6CBDC0" w14:textId="77777777" w:rsidR="00F02D2A" w:rsidRPr="00930C48" w:rsidRDefault="00F02D2A" w:rsidP="0083214A">
            <w:pPr>
              <w:rPr>
                <w:noProof/>
              </w:rPr>
            </w:pPr>
            <w:r w:rsidRPr="00930C48">
              <w:rPr>
                <w:noProof/>
              </w:rPr>
              <w:t>2026</w:t>
            </w:r>
          </w:p>
        </w:tc>
        <w:tc>
          <w:tcPr>
            <w:tcW w:w="944" w:type="dxa"/>
            <w:noWrap/>
            <w:hideMark/>
          </w:tcPr>
          <w:p w14:paraId="09B866CA" w14:textId="77777777" w:rsidR="00F02D2A" w:rsidRPr="00930C48" w:rsidRDefault="00F02D2A" w:rsidP="0083214A">
            <w:pPr>
              <w:rPr>
                <w:noProof/>
              </w:rPr>
            </w:pPr>
            <w:r w:rsidRPr="00930C48">
              <w:rPr>
                <w:noProof/>
              </w:rPr>
              <w:t>2027</w:t>
            </w:r>
          </w:p>
        </w:tc>
        <w:tc>
          <w:tcPr>
            <w:tcW w:w="944" w:type="dxa"/>
            <w:noWrap/>
            <w:hideMark/>
          </w:tcPr>
          <w:p w14:paraId="024C0690" w14:textId="77777777" w:rsidR="00F02D2A" w:rsidRPr="00930C48" w:rsidRDefault="00F02D2A" w:rsidP="0083214A">
            <w:pPr>
              <w:rPr>
                <w:noProof/>
              </w:rPr>
            </w:pPr>
            <w:r w:rsidRPr="00930C48">
              <w:rPr>
                <w:noProof/>
              </w:rPr>
              <w:t>Total</w:t>
            </w:r>
          </w:p>
        </w:tc>
      </w:tr>
      <w:tr w:rsidR="00F02D2A" w:rsidRPr="00930C48" w14:paraId="1181EB45"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75A0B40C" w14:textId="77777777" w:rsidR="00F02D2A" w:rsidRPr="00930C48" w:rsidRDefault="00F02D2A" w:rsidP="0083214A">
            <w:pPr>
              <w:rPr>
                <w:noProof/>
              </w:rPr>
            </w:pPr>
            <w:r w:rsidRPr="00930C48">
              <w:rPr>
                <w:noProof/>
              </w:rPr>
              <w:t>Financial programming</w:t>
            </w:r>
          </w:p>
        </w:tc>
        <w:tc>
          <w:tcPr>
            <w:tcW w:w="943" w:type="dxa"/>
            <w:noWrap/>
            <w:hideMark/>
          </w:tcPr>
          <w:p w14:paraId="31281417" w14:textId="77777777" w:rsidR="00F02D2A" w:rsidRPr="00930C48" w:rsidRDefault="00F02D2A" w:rsidP="0083214A">
            <w:pPr>
              <w:jc w:val="center"/>
              <w:rPr>
                <w:noProof/>
              </w:rPr>
            </w:pPr>
            <w:r w:rsidRPr="00930C48">
              <w:rPr>
                <w:noProof/>
              </w:rPr>
              <w:t>37.6</w:t>
            </w:r>
          </w:p>
        </w:tc>
        <w:tc>
          <w:tcPr>
            <w:tcW w:w="944" w:type="dxa"/>
            <w:noWrap/>
            <w:hideMark/>
          </w:tcPr>
          <w:p w14:paraId="69978733" w14:textId="77777777" w:rsidR="00F02D2A" w:rsidRPr="00930C48" w:rsidRDefault="00F02D2A" w:rsidP="0083214A">
            <w:pPr>
              <w:jc w:val="center"/>
              <w:rPr>
                <w:noProof/>
              </w:rPr>
            </w:pPr>
            <w:r w:rsidRPr="00930C48">
              <w:rPr>
                <w:noProof/>
              </w:rPr>
              <w:t>38.6</w:t>
            </w:r>
          </w:p>
        </w:tc>
        <w:tc>
          <w:tcPr>
            <w:tcW w:w="943" w:type="dxa"/>
            <w:noWrap/>
            <w:hideMark/>
          </w:tcPr>
          <w:p w14:paraId="752AAF5A" w14:textId="77777777" w:rsidR="00F02D2A" w:rsidRPr="00930C48" w:rsidRDefault="00F02D2A" w:rsidP="0083214A">
            <w:pPr>
              <w:jc w:val="center"/>
              <w:rPr>
                <w:noProof/>
              </w:rPr>
            </w:pPr>
            <w:r w:rsidRPr="00930C48">
              <w:rPr>
                <w:noProof/>
              </w:rPr>
              <w:t>39.9</w:t>
            </w:r>
          </w:p>
        </w:tc>
        <w:tc>
          <w:tcPr>
            <w:tcW w:w="944" w:type="dxa"/>
            <w:noWrap/>
            <w:hideMark/>
          </w:tcPr>
          <w:p w14:paraId="01960B42" w14:textId="77777777" w:rsidR="00F02D2A" w:rsidRPr="00930C48" w:rsidRDefault="00F02D2A" w:rsidP="0083214A">
            <w:pPr>
              <w:jc w:val="center"/>
              <w:rPr>
                <w:noProof/>
              </w:rPr>
            </w:pPr>
            <w:r w:rsidRPr="00930C48">
              <w:rPr>
                <w:noProof/>
              </w:rPr>
              <w:t>41.8</w:t>
            </w:r>
          </w:p>
        </w:tc>
        <w:tc>
          <w:tcPr>
            <w:tcW w:w="944" w:type="dxa"/>
            <w:noWrap/>
            <w:hideMark/>
          </w:tcPr>
          <w:p w14:paraId="743A8451" w14:textId="77777777" w:rsidR="00F02D2A" w:rsidRPr="00930C48" w:rsidRDefault="00F02D2A" w:rsidP="0083214A">
            <w:pPr>
              <w:jc w:val="center"/>
              <w:rPr>
                <w:noProof/>
              </w:rPr>
            </w:pPr>
            <w:r w:rsidRPr="00930C48">
              <w:rPr>
                <w:noProof/>
              </w:rPr>
              <w:t>44.1</w:t>
            </w:r>
          </w:p>
        </w:tc>
        <w:tc>
          <w:tcPr>
            <w:tcW w:w="943" w:type="dxa"/>
            <w:noWrap/>
            <w:hideMark/>
          </w:tcPr>
          <w:p w14:paraId="03F3111D" w14:textId="77777777" w:rsidR="00F02D2A" w:rsidRPr="00930C48" w:rsidRDefault="00F02D2A" w:rsidP="0083214A">
            <w:pPr>
              <w:jc w:val="center"/>
              <w:rPr>
                <w:noProof/>
              </w:rPr>
            </w:pPr>
            <w:r w:rsidRPr="00930C48">
              <w:rPr>
                <w:noProof/>
              </w:rPr>
              <w:t>47.2</w:t>
            </w:r>
          </w:p>
        </w:tc>
        <w:tc>
          <w:tcPr>
            <w:tcW w:w="944" w:type="dxa"/>
            <w:noWrap/>
            <w:hideMark/>
          </w:tcPr>
          <w:p w14:paraId="1EE443F4" w14:textId="77777777" w:rsidR="00F02D2A" w:rsidRPr="00930C48" w:rsidRDefault="00F02D2A" w:rsidP="0083214A">
            <w:pPr>
              <w:jc w:val="center"/>
              <w:rPr>
                <w:noProof/>
              </w:rPr>
            </w:pPr>
            <w:r w:rsidRPr="00930C48">
              <w:rPr>
                <w:noProof/>
              </w:rPr>
              <w:t>50.9</w:t>
            </w:r>
          </w:p>
        </w:tc>
        <w:tc>
          <w:tcPr>
            <w:tcW w:w="944" w:type="dxa"/>
            <w:noWrap/>
            <w:hideMark/>
          </w:tcPr>
          <w:p w14:paraId="360FA6E2" w14:textId="77777777" w:rsidR="00F02D2A" w:rsidRPr="00930C48" w:rsidRDefault="00F02D2A" w:rsidP="0083214A">
            <w:pPr>
              <w:jc w:val="center"/>
              <w:rPr>
                <w:noProof/>
              </w:rPr>
            </w:pPr>
            <w:r w:rsidRPr="00930C48">
              <w:rPr>
                <w:noProof/>
              </w:rPr>
              <w:t>300.0</w:t>
            </w:r>
          </w:p>
        </w:tc>
      </w:tr>
      <w:tr w:rsidR="00F02D2A" w:rsidRPr="00930C48" w14:paraId="414BB77F"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402B6E43" w14:textId="77777777" w:rsidR="00F02D2A" w:rsidRPr="00930C48" w:rsidRDefault="00F02D2A" w:rsidP="0083214A">
            <w:pPr>
              <w:rPr>
                <w:noProof/>
              </w:rPr>
            </w:pPr>
            <w:r w:rsidRPr="00930C48">
              <w:rPr>
                <w:noProof/>
              </w:rPr>
              <w:t>NextGenerationEU</w:t>
            </w:r>
          </w:p>
        </w:tc>
        <w:tc>
          <w:tcPr>
            <w:tcW w:w="943" w:type="dxa"/>
            <w:noWrap/>
            <w:hideMark/>
          </w:tcPr>
          <w:p w14:paraId="5D31E305" w14:textId="1297F82B" w:rsidR="00F02D2A" w:rsidRPr="00930C48" w:rsidRDefault="00F02D2A" w:rsidP="0083214A">
            <w:pPr>
              <w:jc w:val="center"/>
              <w:rPr>
                <w:noProof/>
              </w:rPr>
            </w:pPr>
          </w:p>
        </w:tc>
        <w:tc>
          <w:tcPr>
            <w:tcW w:w="944" w:type="dxa"/>
            <w:noWrap/>
            <w:hideMark/>
          </w:tcPr>
          <w:p w14:paraId="5DDF191F" w14:textId="6B1833CE" w:rsidR="00F02D2A" w:rsidRPr="00930C48" w:rsidRDefault="00F02D2A" w:rsidP="0083214A">
            <w:pPr>
              <w:jc w:val="center"/>
              <w:rPr>
                <w:noProof/>
              </w:rPr>
            </w:pPr>
          </w:p>
        </w:tc>
        <w:tc>
          <w:tcPr>
            <w:tcW w:w="943" w:type="dxa"/>
            <w:noWrap/>
            <w:hideMark/>
          </w:tcPr>
          <w:p w14:paraId="52D3A017" w14:textId="1A8860CC" w:rsidR="00F02D2A" w:rsidRPr="00930C48" w:rsidRDefault="00F02D2A" w:rsidP="0083214A">
            <w:pPr>
              <w:jc w:val="center"/>
              <w:rPr>
                <w:noProof/>
              </w:rPr>
            </w:pPr>
          </w:p>
        </w:tc>
        <w:tc>
          <w:tcPr>
            <w:tcW w:w="944" w:type="dxa"/>
            <w:noWrap/>
            <w:hideMark/>
          </w:tcPr>
          <w:p w14:paraId="1BB1666D" w14:textId="7CF6286E" w:rsidR="00F02D2A" w:rsidRPr="00930C48" w:rsidRDefault="00F02D2A" w:rsidP="0083214A">
            <w:pPr>
              <w:jc w:val="center"/>
              <w:rPr>
                <w:noProof/>
              </w:rPr>
            </w:pPr>
          </w:p>
        </w:tc>
        <w:tc>
          <w:tcPr>
            <w:tcW w:w="944" w:type="dxa"/>
            <w:noWrap/>
            <w:hideMark/>
          </w:tcPr>
          <w:p w14:paraId="7FB335CA" w14:textId="0A79F841" w:rsidR="00F02D2A" w:rsidRPr="00930C48" w:rsidRDefault="00F02D2A" w:rsidP="0083214A">
            <w:pPr>
              <w:jc w:val="center"/>
              <w:rPr>
                <w:noProof/>
              </w:rPr>
            </w:pPr>
          </w:p>
        </w:tc>
        <w:tc>
          <w:tcPr>
            <w:tcW w:w="943" w:type="dxa"/>
            <w:noWrap/>
            <w:hideMark/>
          </w:tcPr>
          <w:p w14:paraId="1923908E" w14:textId="0435857F" w:rsidR="00F02D2A" w:rsidRPr="00930C48" w:rsidRDefault="00F02D2A" w:rsidP="0083214A">
            <w:pPr>
              <w:jc w:val="center"/>
              <w:rPr>
                <w:noProof/>
              </w:rPr>
            </w:pPr>
          </w:p>
        </w:tc>
        <w:tc>
          <w:tcPr>
            <w:tcW w:w="944" w:type="dxa"/>
            <w:noWrap/>
            <w:hideMark/>
          </w:tcPr>
          <w:p w14:paraId="046D48F8" w14:textId="144F0F3D" w:rsidR="00F02D2A" w:rsidRPr="00930C48" w:rsidRDefault="00F02D2A" w:rsidP="0083214A">
            <w:pPr>
              <w:jc w:val="center"/>
              <w:rPr>
                <w:noProof/>
              </w:rPr>
            </w:pPr>
          </w:p>
        </w:tc>
        <w:tc>
          <w:tcPr>
            <w:tcW w:w="944" w:type="dxa"/>
            <w:noWrap/>
            <w:hideMark/>
          </w:tcPr>
          <w:p w14:paraId="6F94FA1A" w14:textId="3808502E" w:rsidR="00F02D2A" w:rsidRPr="00930C48" w:rsidRDefault="00F02D2A" w:rsidP="0083214A">
            <w:pPr>
              <w:jc w:val="center"/>
              <w:rPr>
                <w:noProof/>
              </w:rPr>
            </w:pPr>
          </w:p>
        </w:tc>
      </w:tr>
      <w:tr w:rsidR="00F02D2A" w:rsidRPr="00930C48" w14:paraId="0E094A77"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10CB6D50" w14:textId="77777777" w:rsidR="00F02D2A" w:rsidRPr="00930C48" w:rsidRDefault="00F02D2A" w:rsidP="0083214A">
            <w:pPr>
              <w:rPr>
                <w:noProof/>
              </w:rPr>
            </w:pPr>
            <w:r w:rsidRPr="00930C48">
              <w:rPr>
                <w:noProof/>
              </w:rPr>
              <w:t>Decommitments made available again (*)</w:t>
            </w:r>
          </w:p>
        </w:tc>
        <w:tc>
          <w:tcPr>
            <w:tcW w:w="943" w:type="dxa"/>
            <w:noWrap/>
            <w:hideMark/>
          </w:tcPr>
          <w:p w14:paraId="672D584C" w14:textId="77777777" w:rsidR="00F02D2A" w:rsidRPr="00930C48" w:rsidRDefault="00F02D2A" w:rsidP="0083214A">
            <w:pPr>
              <w:jc w:val="center"/>
              <w:rPr>
                <w:noProof/>
              </w:rPr>
            </w:pPr>
            <w:r>
              <w:rPr>
                <w:noProof/>
              </w:rPr>
              <w:t>N/A</w:t>
            </w:r>
          </w:p>
        </w:tc>
        <w:tc>
          <w:tcPr>
            <w:tcW w:w="944" w:type="dxa"/>
            <w:noWrap/>
            <w:hideMark/>
          </w:tcPr>
          <w:p w14:paraId="51A14B54" w14:textId="77777777" w:rsidR="00F02D2A" w:rsidRPr="00930C48" w:rsidRDefault="00F02D2A" w:rsidP="0083214A">
            <w:pPr>
              <w:jc w:val="center"/>
              <w:rPr>
                <w:noProof/>
              </w:rPr>
            </w:pPr>
          </w:p>
        </w:tc>
        <w:tc>
          <w:tcPr>
            <w:tcW w:w="943" w:type="dxa"/>
            <w:noWrap/>
            <w:hideMark/>
          </w:tcPr>
          <w:p w14:paraId="33D3A8B0" w14:textId="77777777" w:rsidR="00F02D2A" w:rsidRPr="00930C48" w:rsidRDefault="00F02D2A" w:rsidP="0083214A">
            <w:pPr>
              <w:jc w:val="center"/>
              <w:rPr>
                <w:noProof/>
              </w:rPr>
            </w:pPr>
          </w:p>
        </w:tc>
        <w:tc>
          <w:tcPr>
            <w:tcW w:w="944" w:type="dxa"/>
            <w:noWrap/>
            <w:hideMark/>
          </w:tcPr>
          <w:p w14:paraId="59FB333D" w14:textId="77777777" w:rsidR="00F02D2A" w:rsidRPr="00930C48" w:rsidRDefault="00F02D2A" w:rsidP="0083214A">
            <w:pPr>
              <w:jc w:val="center"/>
              <w:rPr>
                <w:noProof/>
              </w:rPr>
            </w:pPr>
          </w:p>
        </w:tc>
        <w:tc>
          <w:tcPr>
            <w:tcW w:w="944" w:type="dxa"/>
            <w:noWrap/>
            <w:hideMark/>
          </w:tcPr>
          <w:p w14:paraId="14E99A0F" w14:textId="77777777" w:rsidR="00F02D2A" w:rsidRPr="00930C48" w:rsidRDefault="00F02D2A" w:rsidP="0083214A">
            <w:pPr>
              <w:jc w:val="center"/>
              <w:rPr>
                <w:noProof/>
              </w:rPr>
            </w:pPr>
          </w:p>
        </w:tc>
        <w:tc>
          <w:tcPr>
            <w:tcW w:w="943" w:type="dxa"/>
            <w:noWrap/>
            <w:hideMark/>
          </w:tcPr>
          <w:p w14:paraId="60C7DE54" w14:textId="77777777" w:rsidR="00F02D2A" w:rsidRPr="00930C48" w:rsidRDefault="00F02D2A" w:rsidP="0083214A">
            <w:pPr>
              <w:jc w:val="center"/>
              <w:rPr>
                <w:noProof/>
              </w:rPr>
            </w:pPr>
          </w:p>
        </w:tc>
        <w:tc>
          <w:tcPr>
            <w:tcW w:w="944" w:type="dxa"/>
            <w:noWrap/>
            <w:hideMark/>
          </w:tcPr>
          <w:p w14:paraId="6EA93526" w14:textId="77777777" w:rsidR="00F02D2A" w:rsidRPr="00930C48" w:rsidRDefault="00F02D2A" w:rsidP="0083214A">
            <w:pPr>
              <w:jc w:val="center"/>
              <w:rPr>
                <w:noProof/>
              </w:rPr>
            </w:pPr>
          </w:p>
        </w:tc>
        <w:tc>
          <w:tcPr>
            <w:tcW w:w="944" w:type="dxa"/>
            <w:noWrap/>
            <w:hideMark/>
          </w:tcPr>
          <w:p w14:paraId="6C68DD93" w14:textId="77777777" w:rsidR="00F02D2A" w:rsidRPr="00930C48" w:rsidRDefault="00F02D2A" w:rsidP="0083214A">
            <w:pPr>
              <w:jc w:val="center"/>
              <w:rPr>
                <w:noProof/>
              </w:rPr>
            </w:pPr>
            <w:r>
              <w:rPr>
                <w:noProof/>
              </w:rPr>
              <w:t>N/A</w:t>
            </w:r>
          </w:p>
        </w:tc>
      </w:tr>
      <w:tr w:rsidR="00F02D2A" w:rsidRPr="00930C48" w14:paraId="45364B45"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157A66AA" w14:textId="77777777" w:rsidR="00F02D2A" w:rsidRPr="00930C48" w:rsidRDefault="00F02D2A" w:rsidP="0083214A">
            <w:pPr>
              <w:rPr>
                <w:noProof/>
              </w:rPr>
            </w:pPr>
            <w:r w:rsidRPr="00930C48">
              <w:rPr>
                <w:noProof/>
              </w:rPr>
              <w:t>Contributions from other countries and entities</w:t>
            </w:r>
          </w:p>
        </w:tc>
        <w:tc>
          <w:tcPr>
            <w:tcW w:w="943" w:type="dxa"/>
            <w:noWrap/>
            <w:hideMark/>
          </w:tcPr>
          <w:p w14:paraId="13C13A6A" w14:textId="31F8D751" w:rsidR="00F02D2A" w:rsidRPr="00930C48" w:rsidRDefault="00F02D2A" w:rsidP="0083214A">
            <w:pPr>
              <w:jc w:val="center"/>
              <w:rPr>
                <w:noProof/>
              </w:rPr>
            </w:pPr>
          </w:p>
        </w:tc>
        <w:tc>
          <w:tcPr>
            <w:tcW w:w="944" w:type="dxa"/>
            <w:noWrap/>
            <w:hideMark/>
          </w:tcPr>
          <w:p w14:paraId="76EA9FE3" w14:textId="77777777" w:rsidR="00F02D2A" w:rsidRPr="00930C48" w:rsidRDefault="00F02D2A" w:rsidP="0083214A">
            <w:pPr>
              <w:jc w:val="center"/>
              <w:rPr>
                <w:noProof/>
              </w:rPr>
            </w:pPr>
          </w:p>
        </w:tc>
        <w:tc>
          <w:tcPr>
            <w:tcW w:w="943" w:type="dxa"/>
            <w:noWrap/>
            <w:hideMark/>
          </w:tcPr>
          <w:p w14:paraId="2204CE30" w14:textId="77777777" w:rsidR="00F02D2A" w:rsidRPr="00930C48" w:rsidRDefault="00F02D2A" w:rsidP="0083214A">
            <w:pPr>
              <w:jc w:val="center"/>
              <w:rPr>
                <w:noProof/>
              </w:rPr>
            </w:pPr>
          </w:p>
        </w:tc>
        <w:tc>
          <w:tcPr>
            <w:tcW w:w="944" w:type="dxa"/>
            <w:noWrap/>
            <w:hideMark/>
          </w:tcPr>
          <w:p w14:paraId="2D66D1B1" w14:textId="77777777" w:rsidR="00F02D2A" w:rsidRPr="00930C48" w:rsidRDefault="00F02D2A" w:rsidP="0083214A">
            <w:pPr>
              <w:jc w:val="center"/>
              <w:rPr>
                <w:noProof/>
              </w:rPr>
            </w:pPr>
          </w:p>
        </w:tc>
        <w:tc>
          <w:tcPr>
            <w:tcW w:w="944" w:type="dxa"/>
            <w:noWrap/>
            <w:hideMark/>
          </w:tcPr>
          <w:p w14:paraId="5C874D5D" w14:textId="77777777" w:rsidR="00F02D2A" w:rsidRPr="00930C48" w:rsidRDefault="00F02D2A" w:rsidP="0083214A">
            <w:pPr>
              <w:jc w:val="center"/>
              <w:rPr>
                <w:noProof/>
              </w:rPr>
            </w:pPr>
          </w:p>
        </w:tc>
        <w:tc>
          <w:tcPr>
            <w:tcW w:w="943" w:type="dxa"/>
            <w:noWrap/>
            <w:hideMark/>
          </w:tcPr>
          <w:p w14:paraId="4DAFCF5D" w14:textId="77777777" w:rsidR="00F02D2A" w:rsidRPr="00930C48" w:rsidRDefault="00F02D2A" w:rsidP="0083214A">
            <w:pPr>
              <w:jc w:val="center"/>
              <w:rPr>
                <w:noProof/>
              </w:rPr>
            </w:pPr>
          </w:p>
        </w:tc>
        <w:tc>
          <w:tcPr>
            <w:tcW w:w="944" w:type="dxa"/>
            <w:noWrap/>
            <w:hideMark/>
          </w:tcPr>
          <w:p w14:paraId="6CB2EFCF" w14:textId="77777777" w:rsidR="00F02D2A" w:rsidRPr="00930C48" w:rsidRDefault="00F02D2A" w:rsidP="0083214A">
            <w:pPr>
              <w:jc w:val="center"/>
              <w:rPr>
                <w:noProof/>
              </w:rPr>
            </w:pPr>
          </w:p>
        </w:tc>
        <w:tc>
          <w:tcPr>
            <w:tcW w:w="944" w:type="dxa"/>
            <w:noWrap/>
            <w:hideMark/>
          </w:tcPr>
          <w:p w14:paraId="27A6CDEA" w14:textId="326919C4" w:rsidR="00F02D2A" w:rsidRPr="00930C48" w:rsidRDefault="00F02D2A" w:rsidP="0083214A">
            <w:pPr>
              <w:jc w:val="center"/>
              <w:rPr>
                <w:noProof/>
              </w:rPr>
            </w:pPr>
          </w:p>
        </w:tc>
      </w:tr>
    </w:tbl>
    <w:p w14:paraId="4EF277EC" w14:textId="77777777" w:rsidR="00F02D2A" w:rsidRPr="00930C48" w:rsidRDefault="00F02D2A" w:rsidP="00F02D2A">
      <w:pPr>
        <w:tabs>
          <w:tab w:val="left" w:pos="6793"/>
        </w:tabs>
        <w:rPr>
          <w:noProof/>
          <w:sz w:val="18"/>
          <w:szCs w:val="18"/>
        </w:rPr>
      </w:pPr>
      <w:r w:rsidRPr="1ACD93F5">
        <w:rPr>
          <w:noProof/>
          <w:sz w:val="18"/>
          <w:szCs w:val="18"/>
        </w:rPr>
        <w:t>(*) Only Article</w:t>
      </w:r>
      <w:r w:rsidRPr="1ACD93F5">
        <w:rPr>
          <w:rFonts w:ascii="Calibri" w:hAnsi="Calibri" w:cs="Calibri"/>
          <w:noProof/>
          <w:sz w:val="18"/>
          <w:szCs w:val="18"/>
        </w:rPr>
        <w:t> </w:t>
      </w:r>
      <w:r w:rsidRPr="1ACD93F5">
        <w:rPr>
          <w:noProof/>
          <w:sz w:val="18"/>
          <w:szCs w:val="18"/>
        </w:rPr>
        <w:t>15(3) of the financial regulation.</w:t>
      </w:r>
    </w:p>
    <w:p w14:paraId="46EF7B1D" w14:textId="050E37CB" w:rsidR="00F02D2A" w:rsidRPr="00930C48" w:rsidRDefault="004C4764" w:rsidP="00F02D2A">
      <w:pPr>
        <w:pStyle w:val="ppoTableTabletitle"/>
        <w:jc w:val="center"/>
        <w:rPr>
          <w:noProof/>
        </w:rPr>
      </w:pPr>
      <w:r w:rsidRPr="00CF7385">
        <w:rPr>
          <w:noProof/>
          <w:lang w:val="en-IE"/>
        </w:rPr>
        <w:t>Financial progr</w:t>
      </w:r>
      <w:r>
        <w:rPr>
          <w:noProof/>
          <w:lang w:val="en-IE"/>
        </w:rPr>
        <w:t>a</w:t>
      </w:r>
      <w:r w:rsidRPr="00CF7385">
        <w:rPr>
          <w:noProof/>
          <w:lang w:val="en-IE"/>
        </w:rPr>
        <w:t>ming:</w:t>
      </w:r>
      <w:r>
        <w:rPr>
          <w:noProof/>
          <w:color w:val="028F1A" w:themeColor="accent1"/>
          <w:sz w:val="44"/>
          <w:szCs w:val="44"/>
          <w:lang w:val="en-IE"/>
        </w:rPr>
        <w:t xml:space="preserve"> </w:t>
      </w:r>
      <w:r w:rsidRPr="00304A2B">
        <w:rPr>
          <w:rStyle w:val="ppocharRedtext24pt"/>
          <w:noProof/>
        </w:rPr>
        <w:t xml:space="preserve">+ </w:t>
      </w:r>
      <w:r w:rsidR="00F02D2A" w:rsidRPr="1BC28F21">
        <w:rPr>
          <w:rStyle w:val="ppocharRedtext24pt"/>
          <w:noProof/>
        </w:rPr>
        <w:t>0 million (</w:t>
      </w:r>
      <w:r>
        <w:rPr>
          <w:rStyle w:val="ppocharRedtext24pt"/>
          <w:noProof/>
        </w:rPr>
        <w:t xml:space="preserve">+ </w:t>
      </w:r>
      <w:r w:rsidR="00F02D2A" w:rsidRPr="1BC28F21">
        <w:rPr>
          <w:rStyle w:val="ppocharRedtext24pt"/>
          <w:noProof/>
        </w:rPr>
        <w:t xml:space="preserve">0 %) </w:t>
      </w:r>
      <w:r w:rsidR="00F02D2A">
        <w:rPr>
          <w:noProof/>
        </w:rPr>
        <w:t>compared to the legal basis.</w:t>
      </w:r>
    </w:p>
    <w:p w14:paraId="6C52F454" w14:textId="77777777" w:rsidR="00F02D2A" w:rsidRPr="00930C48" w:rsidRDefault="00F02D2A" w:rsidP="00F02D2A">
      <w:pPr>
        <w:pStyle w:val="ppoTableTabletitle"/>
        <w:rPr>
          <w:b/>
          <w:noProof/>
        </w:rPr>
      </w:pPr>
      <w:r w:rsidRPr="00930C48">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F02D2A" w:rsidRPr="00930C48" w14:paraId="23358A6A" w14:textId="77777777" w:rsidTr="0083214A">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457430D4" w14:textId="77777777" w:rsidR="00F02D2A" w:rsidRPr="00930C48" w:rsidRDefault="00F02D2A" w:rsidP="0083214A">
            <w:pPr>
              <w:rPr>
                <w:noProof/>
              </w:rPr>
            </w:pPr>
          </w:p>
        </w:tc>
        <w:tc>
          <w:tcPr>
            <w:tcW w:w="2410" w:type="dxa"/>
          </w:tcPr>
          <w:p w14:paraId="158207AA" w14:textId="77777777" w:rsidR="00F02D2A" w:rsidRPr="00930C48" w:rsidRDefault="00F02D2A" w:rsidP="0083214A">
            <w:pPr>
              <w:cnfStyle w:val="100000000000" w:firstRow="1" w:lastRow="0" w:firstColumn="0" w:lastColumn="0" w:oddVBand="0" w:evenVBand="0" w:oddHBand="0" w:evenHBand="0" w:firstRowFirstColumn="0" w:firstRowLastColumn="0" w:lastRowFirstColumn="0" w:lastRowLastColumn="0"/>
              <w:rPr>
                <w:noProof/>
              </w:rPr>
            </w:pPr>
            <w:r w:rsidRPr="00930C48">
              <w:rPr>
                <w:noProof/>
              </w:rPr>
              <w:t>Implementation</w:t>
            </w:r>
          </w:p>
        </w:tc>
        <w:tc>
          <w:tcPr>
            <w:tcW w:w="2410" w:type="dxa"/>
          </w:tcPr>
          <w:p w14:paraId="386CC5A6" w14:textId="789867DD" w:rsidR="00F02D2A" w:rsidRPr="00930C48" w:rsidRDefault="003821C6" w:rsidP="0083214A">
            <w:pPr>
              <w:cnfStyle w:val="100000000000" w:firstRow="1" w:lastRow="0" w:firstColumn="0" w:lastColumn="0" w:oddVBand="0" w:evenVBand="0" w:oddHBand="0" w:evenHBand="0" w:firstRowFirstColumn="0" w:firstRowLastColumn="0" w:lastRowFirstColumn="0" w:lastRowLastColumn="0"/>
              <w:rPr>
                <w:noProof/>
              </w:rPr>
            </w:pPr>
            <w:r>
              <w:rPr>
                <w:noProof/>
              </w:rPr>
              <w:t xml:space="preserve">2021-2027 </w:t>
            </w:r>
            <w:r w:rsidR="00F02D2A" w:rsidRPr="00930C48">
              <w:rPr>
                <w:noProof/>
              </w:rPr>
              <w:t>Budget</w:t>
            </w:r>
          </w:p>
        </w:tc>
        <w:tc>
          <w:tcPr>
            <w:tcW w:w="2410" w:type="dxa"/>
          </w:tcPr>
          <w:p w14:paraId="3FE73052" w14:textId="77777777" w:rsidR="00F02D2A" w:rsidRPr="00930C48" w:rsidRDefault="00F02D2A" w:rsidP="0083214A">
            <w:pPr>
              <w:cnfStyle w:val="100000000000" w:firstRow="1" w:lastRow="0" w:firstColumn="0" w:lastColumn="0" w:oddVBand="0" w:evenVBand="0" w:oddHBand="0" w:evenHBand="0" w:firstRowFirstColumn="0" w:firstRowLastColumn="0" w:lastRowFirstColumn="0" w:lastRowLastColumn="0"/>
              <w:rPr>
                <w:noProof/>
              </w:rPr>
            </w:pPr>
            <w:r w:rsidRPr="00930C48">
              <w:rPr>
                <w:noProof/>
              </w:rPr>
              <w:t>Implementation rate</w:t>
            </w:r>
          </w:p>
        </w:tc>
      </w:tr>
      <w:tr w:rsidR="00F02D2A" w:rsidRPr="00930C48" w14:paraId="64A30B9E"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580BC911" w14:textId="77777777" w:rsidR="00F02D2A" w:rsidRPr="00930C48" w:rsidRDefault="00F02D2A" w:rsidP="0083214A">
            <w:pPr>
              <w:jc w:val="center"/>
              <w:rPr>
                <w:noProof/>
              </w:rPr>
            </w:pPr>
            <w:r w:rsidRPr="00930C48">
              <w:rPr>
                <w:noProof/>
              </w:rPr>
              <w:t>Commitment</w:t>
            </w:r>
          </w:p>
        </w:tc>
        <w:tc>
          <w:tcPr>
            <w:tcW w:w="2410" w:type="dxa"/>
          </w:tcPr>
          <w:p w14:paraId="572D72BB" w14:textId="77777777" w:rsidR="00F02D2A" w:rsidRPr="00930C48" w:rsidRDefault="00F02D2A" w:rsidP="0083214A">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noProof/>
                <w:color w:val="000000"/>
              </w:rPr>
            </w:pPr>
            <w:r w:rsidRPr="00930C48">
              <w:rPr>
                <w:rFonts w:ascii="Calibri" w:eastAsia="Calibri" w:hAnsi="Calibri" w:cs="Calibri"/>
                <w:noProof/>
                <w:color w:val="000000"/>
              </w:rPr>
              <w:t>37.6</w:t>
            </w:r>
          </w:p>
          <w:p w14:paraId="05975CCF" w14:textId="77777777" w:rsidR="00F02D2A" w:rsidRPr="00930C48" w:rsidRDefault="00F02D2A"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1AD021C1" w14:textId="77777777" w:rsidR="00F02D2A" w:rsidRPr="00930C48" w:rsidRDefault="00F02D2A" w:rsidP="0083214A">
            <w:pPr>
              <w:jc w:val="right"/>
              <w:cnfStyle w:val="000000000000" w:firstRow="0" w:lastRow="0" w:firstColumn="0" w:lastColumn="0" w:oddVBand="0" w:evenVBand="0" w:oddHBand="0" w:evenHBand="0" w:firstRowFirstColumn="0" w:firstRowLastColumn="0" w:lastRowFirstColumn="0" w:lastRowLastColumn="0"/>
              <w:rPr>
                <w:noProof/>
              </w:rPr>
            </w:pPr>
            <w:r w:rsidRPr="00930C48">
              <w:rPr>
                <w:rFonts w:ascii="Calibri" w:eastAsia="Calibri" w:hAnsi="Calibri" w:cs="Calibri"/>
                <w:noProof/>
                <w:color w:val="000000"/>
              </w:rPr>
              <w:t>300</w:t>
            </w:r>
          </w:p>
          <w:p w14:paraId="3DABB790" w14:textId="77777777" w:rsidR="00F02D2A" w:rsidRPr="00930C48" w:rsidRDefault="00F02D2A"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7FADEFF7" w14:textId="77777777" w:rsidR="00F02D2A" w:rsidRPr="00930C48" w:rsidRDefault="00F02D2A" w:rsidP="0083214A">
            <w:pPr>
              <w:jc w:val="right"/>
              <w:cnfStyle w:val="000000000000" w:firstRow="0" w:lastRow="0" w:firstColumn="0" w:lastColumn="0" w:oddVBand="0" w:evenVBand="0" w:oddHBand="0" w:evenHBand="0" w:firstRowFirstColumn="0" w:firstRowLastColumn="0" w:lastRowFirstColumn="0" w:lastRowLastColumn="0"/>
              <w:rPr>
                <w:noProof/>
              </w:rPr>
            </w:pPr>
            <w:r w:rsidRPr="00930C48">
              <w:rPr>
                <w:rFonts w:ascii="Calibri" w:eastAsia="Calibri" w:hAnsi="Calibri" w:cs="Calibri"/>
                <w:noProof/>
                <w:color w:val="000000"/>
              </w:rPr>
              <w:t>13%</w:t>
            </w:r>
          </w:p>
          <w:p w14:paraId="4EDBE312" w14:textId="77777777" w:rsidR="00F02D2A" w:rsidRPr="00930C48" w:rsidRDefault="00F02D2A" w:rsidP="0083214A">
            <w:pPr>
              <w:jc w:val="center"/>
              <w:cnfStyle w:val="000000000000" w:firstRow="0" w:lastRow="0" w:firstColumn="0" w:lastColumn="0" w:oddVBand="0" w:evenVBand="0" w:oddHBand="0" w:evenHBand="0" w:firstRowFirstColumn="0" w:firstRowLastColumn="0" w:lastRowFirstColumn="0" w:lastRowLastColumn="0"/>
              <w:rPr>
                <w:noProof/>
              </w:rPr>
            </w:pPr>
          </w:p>
        </w:tc>
      </w:tr>
      <w:tr w:rsidR="00F02D2A" w:rsidRPr="00930C48" w14:paraId="6A35110D"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5E01A3AF" w14:textId="77777777" w:rsidR="00F02D2A" w:rsidRPr="00930C48" w:rsidRDefault="00F02D2A" w:rsidP="0083214A">
            <w:pPr>
              <w:jc w:val="center"/>
              <w:rPr>
                <w:noProof/>
              </w:rPr>
            </w:pPr>
            <w:r w:rsidRPr="00930C48">
              <w:rPr>
                <w:noProof/>
              </w:rPr>
              <w:t>Payments</w:t>
            </w:r>
          </w:p>
        </w:tc>
        <w:tc>
          <w:tcPr>
            <w:tcW w:w="2410" w:type="dxa"/>
          </w:tcPr>
          <w:p w14:paraId="7FF15101" w14:textId="77777777" w:rsidR="00F02D2A" w:rsidRPr="00930C48" w:rsidRDefault="00F02D2A" w:rsidP="0083214A">
            <w:pPr>
              <w:jc w:val="right"/>
              <w:cnfStyle w:val="000000000000" w:firstRow="0" w:lastRow="0" w:firstColumn="0" w:lastColumn="0" w:oddVBand="0" w:evenVBand="0" w:oddHBand="0" w:evenHBand="0" w:firstRowFirstColumn="0" w:firstRowLastColumn="0" w:lastRowFirstColumn="0" w:lastRowLastColumn="0"/>
              <w:rPr>
                <w:noProof/>
              </w:rPr>
            </w:pPr>
            <w:r w:rsidRPr="00930C48">
              <w:rPr>
                <w:rFonts w:ascii="Calibri" w:eastAsia="Calibri" w:hAnsi="Calibri" w:cs="Calibri"/>
                <w:noProof/>
                <w:color w:val="000000"/>
              </w:rPr>
              <w:t>0.9</w:t>
            </w:r>
          </w:p>
          <w:p w14:paraId="67BD8ACC" w14:textId="77777777" w:rsidR="00F02D2A" w:rsidRPr="00930C48" w:rsidRDefault="00F02D2A"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6D82A2A0" w14:textId="77777777" w:rsidR="00F02D2A" w:rsidRPr="00930C48" w:rsidRDefault="00F02D2A"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47A5D141" w14:textId="77777777" w:rsidR="00F02D2A" w:rsidRPr="00930C48" w:rsidRDefault="00F02D2A" w:rsidP="0083214A">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noProof/>
                <w:color w:val="000000"/>
              </w:rPr>
            </w:pPr>
            <w:r w:rsidRPr="00930C48">
              <w:rPr>
                <w:rFonts w:ascii="Calibri" w:eastAsia="Calibri" w:hAnsi="Calibri" w:cs="Calibri"/>
                <w:noProof/>
                <w:color w:val="000000"/>
              </w:rPr>
              <w:t>0%</w:t>
            </w:r>
          </w:p>
          <w:p w14:paraId="3F5991A4" w14:textId="77777777" w:rsidR="00F02D2A" w:rsidRPr="00930C48" w:rsidRDefault="00F02D2A" w:rsidP="0083214A">
            <w:pPr>
              <w:jc w:val="center"/>
              <w:cnfStyle w:val="000000000000" w:firstRow="0" w:lastRow="0" w:firstColumn="0" w:lastColumn="0" w:oddVBand="0" w:evenVBand="0" w:oddHBand="0" w:evenHBand="0" w:firstRowFirstColumn="0" w:firstRowLastColumn="0" w:lastRowFirstColumn="0" w:lastRowLastColumn="0"/>
              <w:rPr>
                <w:noProof/>
              </w:rPr>
            </w:pPr>
          </w:p>
        </w:tc>
      </w:tr>
    </w:tbl>
    <w:p w14:paraId="10DBFCB6" w14:textId="77777777" w:rsidR="00F02D2A" w:rsidRPr="00930C48" w:rsidRDefault="00F02D2A" w:rsidP="00F02D2A">
      <w:pPr>
        <w:pStyle w:val="ppoTableTabletitle"/>
        <w:rPr>
          <w:b/>
          <w:noProof/>
        </w:rPr>
      </w:pPr>
      <w:r w:rsidRPr="00930C48">
        <w:rPr>
          <w:noProof/>
        </w:rPr>
        <w:t>Voted budget implementation in 2021 (million EUR):</w:t>
      </w:r>
    </w:p>
    <w:tbl>
      <w:tblPr>
        <w:tblStyle w:val="PPO2021"/>
        <w:tblW w:w="3683" w:type="pct"/>
        <w:tblInd w:w="79" w:type="dxa"/>
        <w:tblLook w:val="04A0" w:firstRow="1" w:lastRow="0" w:firstColumn="1" w:lastColumn="0" w:noHBand="0" w:noVBand="1"/>
      </w:tblPr>
      <w:tblGrid>
        <w:gridCol w:w="2419"/>
        <w:gridCol w:w="2419"/>
        <w:gridCol w:w="2420"/>
      </w:tblGrid>
      <w:tr w:rsidR="00F02D2A" w:rsidRPr="00930C48" w14:paraId="75B752C1" w14:textId="77777777" w:rsidTr="008321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627A958D" w14:textId="77777777" w:rsidR="00F02D2A" w:rsidRPr="00930C48" w:rsidRDefault="00F02D2A" w:rsidP="0083214A">
            <w:pPr>
              <w:rPr>
                <w:noProof/>
              </w:rPr>
            </w:pPr>
          </w:p>
        </w:tc>
        <w:tc>
          <w:tcPr>
            <w:tcW w:w="2419" w:type="dxa"/>
          </w:tcPr>
          <w:p w14:paraId="13C82E59" w14:textId="77777777" w:rsidR="00F02D2A" w:rsidRPr="00930C48" w:rsidRDefault="00F02D2A" w:rsidP="0083214A">
            <w:pPr>
              <w:cnfStyle w:val="100000000000" w:firstRow="1" w:lastRow="0" w:firstColumn="0" w:lastColumn="0" w:oddVBand="0" w:evenVBand="0" w:oddHBand="0" w:evenHBand="0" w:firstRowFirstColumn="0" w:firstRowLastColumn="0" w:lastRowFirstColumn="0" w:lastRowLastColumn="0"/>
              <w:rPr>
                <w:noProof/>
              </w:rPr>
            </w:pPr>
            <w:r w:rsidRPr="00930C48">
              <w:rPr>
                <w:noProof/>
              </w:rPr>
              <w:t>Voted budget implementation</w:t>
            </w:r>
          </w:p>
        </w:tc>
        <w:tc>
          <w:tcPr>
            <w:tcW w:w="2420" w:type="dxa"/>
          </w:tcPr>
          <w:p w14:paraId="01A6C3EF" w14:textId="77777777" w:rsidR="00F02D2A" w:rsidRPr="00930C48" w:rsidRDefault="00F02D2A" w:rsidP="0083214A">
            <w:pPr>
              <w:cnfStyle w:val="100000000000" w:firstRow="1" w:lastRow="0" w:firstColumn="0" w:lastColumn="0" w:oddVBand="0" w:evenVBand="0" w:oddHBand="0" w:evenHBand="0" w:firstRowFirstColumn="0" w:firstRowLastColumn="0" w:lastRowFirstColumn="0" w:lastRowLastColumn="0"/>
              <w:rPr>
                <w:noProof/>
              </w:rPr>
            </w:pPr>
            <w:r w:rsidRPr="00930C48">
              <w:rPr>
                <w:noProof/>
              </w:rPr>
              <w:t>Initial voted budget</w:t>
            </w:r>
          </w:p>
        </w:tc>
      </w:tr>
      <w:tr w:rsidR="00F02D2A" w:rsidRPr="00930C48" w14:paraId="2B9D9EA9" w14:textId="77777777" w:rsidTr="0083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14EEB964" w14:textId="77777777" w:rsidR="00F02D2A" w:rsidRPr="00930C48" w:rsidRDefault="00F02D2A" w:rsidP="0083214A">
            <w:pPr>
              <w:jc w:val="center"/>
              <w:rPr>
                <w:noProof/>
              </w:rPr>
            </w:pPr>
            <w:r w:rsidRPr="00930C48">
              <w:rPr>
                <w:noProof/>
              </w:rPr>
              <w:t>Commitments</w:t>
            </w:r>
          </w:p>
        </w:tc>
        <w:tc>
          <w:tcPr>
            <w:tcW w:w="2419" w:type="dxa"/>
          </w:tcPr>
          <w:p w14:paraId="254AF956" w14:textId="77777777" w:rsidR="00F02D2A" w:rsidRPr="00930C48" w:rsidRDefault="00F02D2A" w:rsidP="0083214A">
            <w:pPr>
              <w:jc w:val="center"/>
              <w:cnfStyle w:val="000000100000" w:firstRow="0" w:lastRow="0" w:firstColumn="0" w:lastColumn="0" w:oddVBand="0" w:evenVBand="0" w:oddHBand="1" w:evenHBand="0" w:firstRowFirstColumn="0" w:firstRowLastColumn="0" w:lastRowFirstColumn="0" w:lastRowLastColumn="0"/>
              <w:rPr>
                <w:noProof/>
              </w:rPr>
            </w:pPr>
            <w:r w:rsidRPr="00930C48">
              <w:rPr>
                <w:noProof/>
              </w:rPr>
              <w:t>37.6</w:t>
            </w:r>
          </w:p>
        </w:tc>
        <w:tc>
          <w:tcPr>
            <w:tcW w:w="2420" w:type="dxa"/>
          </w:tcPr>
          <w:p w14:paraId="484C2113" w14:textId="77777777" w:rsidR="00F02D2A" w:rsidRPr="00930C48" w:rsidRDefault="00F02D2A" w:rsidP="0083214A">
            <w:pPr>
              <w:jc w:val="center"/>
              <w:cnfStyle w:val="000000100000" w:firstRow="0" w:lastRow="0" w:firstColumn="0" w:lastColumn="0" w:oddVBand="0" w:evenVBand="0" w:oddHBand="1" w:evenHBand="0" w:firstRowFirstColumn="0" w:firstRowLastColumn="0" w:lastRowFirstColumn="0" w:lastRowLastColumn="0"/>
              <w:rPr>
                <w:noProof/>
              </w:rPr>
            </w:pPr>
            <w:r w:rsidRPr="00930C48">
              <w:rPr>
                <w:noProof/>
              </w:rPr>
              <w:t>37.6</w:t>
            </w:r>
          </w:p>
        </w:tc>
      </w:tr>
      <w:tr w:rsidR="00F02D2A" w:rsidRPr="00930C48" w14:paraId="6D466AAE" w14:textId="77777777" w:rsidTr="00832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58DC7B2E" w14:textId="77777777" w:rsidR="00F02D2A" w:rsidRPr="00930C48" w:rsidRDefault="00F02D2A" w:rsidP="0083214A">
            <w:pPr>
              <w:jc w:val="center"/>
              <w:rPr>
                <w:noProof/>
              </w:rPr>
            </w:pPr>
            <w:r w:rsidRPr="00930C48">
              <w:rPr>
                <w:noProof/>
              </w:rPr>
              <w:t>Payments</w:t>
            </w:r>
          </w:p>
        </w:tc>
        <w:tc>
          <w:tcPr>
            <w:tcW w:w="2419" w:type="dxa"/>
          </w:tcPr>
          <w:p w14:paraId="1D6E7FFC" w14:textId="77777777" w:rsidR="00F02D2A" w:rsidRPr="00930C48" w:rsidRDefault="00F02D2A" w:rsidP="0083214A">
            <w:pPr>
              <w:jc w:val="center"/>
              <w:cnfStyle w:val="000000010000" w:firstRow="0" w:lastRow="0" w:firstColumn="0" w:lastColumn="0" w:oddVBand="0" w:evenVBand="0" w:oddHBand="0" w:evenHBand="1" w:firstRowFirstColumn="0" w:firstRowLastColumn="0" w:lastRowFirstColumn="0" w:lastRowLastColumn="0"/>
              <w:rPr>
                <w:noProof/>
              </w:rPr>
            </w:pPr>
            <w:r w:rsidRPr="00930C48">
              <w:rPr>
                <w:noProof/>
              </w:rPr>
              <w:t>0.9</w:t>
            </w:r>
          </w:p>
        </w:tc>
        <w:tc>
          <w:tcPr>
            <w:tcW w:w="2420" w:type="dxa"/>
          </w:tcPr>
          <w:p w14:paraId="3330AC15" w14:textId="77777777" w:rsidR="00F02D2A" w:rsidRPr="00930C48" w:rsidRDefault="00F02D2A" w:rsidP="0083214A">
            <w:pPr>
              <w:jc w:val="center"/>
              <w:cnfStyle w:val="000000010000" w:firstRow="0" w:lastRow="0" w:firstColumn="0" w:lastColumn="0" w:oddVBand="0" w:evenVBand="0" w:oddHBand="0" w:evenHBand="1" w:firstRowFirstColumn="0" w:firstRowLastColumn="0" w:lastRowFirstColumn="0" w:lastRowLastColumn="0"/>
              <w:rPr>
                <w:noProof/>
              </w:rPr>
            </w:pPr>
            <w:r w:rsidRPr="00930C48">
              <w:rPr>
                <w:noProof/>
              </w:rPr>
              <w:t>1.5</w:t>
            </w:r>
          </w:p>
        </w:tc>
      </w:tr>
    </w:tbl>
    <w:p w14:paraId="4177993C" w14:textId="77777777" w:rsidR="00F02D2A" w:rsidRPr="00930C48" w:rsidRDefault="00F02D2A" w:rsidP="00F02D2A">
      <w:pPr>
        <w:pStyle w:val="ppoListHyphened-L1"/>
        <w:jc w:val="both"/>
        <w:rPr>
          <w:rFonts w:eastAsia="EC Square Sans Pro" w:cs="EC Square Sans Pro"/>
          <w:noProof/>
        </w:rPr>
      </w:pPr>
      <w:r>
        <w:rPr>
          <w:noProof/>
        </w:rPr>
        <w:t>In 2021, the EUR</w:t>
      </w:r>
      <w:r w:rsidRPr="1BC28F21">
        <w:rPr>
          <w:rFonts w:ascii="Calibri" w:hAnsi="Calibri" w:cs="Calibri"/>
          <w:noProof/>
        </w:rPr>
        <w:t> </w:t>
      </w:r>
      <w:r>
        <w:rPr>
          <w:noProof/>
        </w:rPr>
        <w:t>37.6</w:t>
      </w:r>
      <w:r w:rsidRPr="1BC28F21">
        <w:rPr>
          <w:rFonts w:ascii="Calibri" w:hAnsi="Calibri" w:cs="Calibri"/>
          <w:noProof/>
        </w:rPr>
        <w:t> </w:t>
      </w:r>
      <w:r>
        <w:rPr>
          <w:noProof/>
        </w:rPr>
        <w:t>million in implemented commitments represented 100% of the voted budget and the payments 60%. The difference in payments from the initial voted budget can be explained by the late adoption of the legal basis.</w:t>
      </w:r>
    </w:p>
    <w:p w14:paraId="243E6EBC" w14:textId="77777777" w:rsidR="00F02D2A" w:rsidRPr="00930C48" w:rsidRDefault="00F02D2A" w:rsidP="00F02D2A">
      <w:pPr>
        <w:pStyle w:val="ppoListHyphened-L1"/>
        <w:jc w:val="both"/>
        <w:rPr>
          <w:noProof/>
        </w:rPr>
      </w:pPr>
      <w:r>
        <w:rPr>
          <w:noProof/>
        </w:rPr>
        <w:t>In 2021, the EUR</w:t>
      </w:r>
      <w:r w:rsidRPr="1BC28F21">
        <w:rPr>
          <w:rFonts w:ascii="Calibri" w:hAnsi="Calibri" w:cs="Calibri"/>
          <w:noProof/>
        </w:rPr>
        <w:t> </w:t>
      </w:r>
      <w:r>
        <w:rPr>
          <w:noProof/>
        </w:rPr>
        <w:t>36.1</w:t>
      </w:r>
      <w:r w:rsidRPr="1BC28F21">
        <w:rPr>
          <w:rFonts w:ascii="Calibri" w:hAnsi="Calibri" w:cs="Calibri"/>
          <w:noProof/>
        </w:rPr>
        <w:t> </w:t>
      </w:r>
      <w:r>
        <w:rPr>
          <w:noProof/>
        </w:rPr>
        <w:t>million in commitment appropriations is to finance 10 projects in nine countries in the areas of nuclear safety (42.5%) and the management of radioactive waste (42.5%).</w:t>
      </w:r>
    </w:p>
    <w:p w14:paraId="0A2AF745" w14:textId="77777777" w:rsidR="00F02D2A" w:rsidRPr="00930C48" w:rsidRDefault="00F02D2A" w:rsidP="00F02D2A">
      <w:pPr>
        <w:pStyle w:val="ppoListHyphened-L1"/>
        <w:jc w:val="both"/>
        <w:rPr>
          <w:noProof/>
        </w:rPr>
      </w:pPr>
      <w:r>
        <w:rPr>
          <w:noProof/>
        </w:rPr>
        <w:t>In 2022, nine projects are expected to be financed in eight countries and regions, with a commitment appropriation amount of EUR</w:t>
      </w:r>
      <w:r w:rsidRPr="1BC28F21">
        <w:rPr>
          <w:rFonts w:ascii="Calibri" w:hAnsi="Calibri" w:cs="Calibri"/>
          <w:noProof/>
        </w:rPr>
        <w:t> </w:t>
      </w:r>
      <w:r>
        <w:rPr>
          <w:noProof/>
        </w:rPr>
        <w:t>35.9</w:t>
      </w:r>
      <w:r w:rsidRPr="1BC28F21">
        <w:rPr>
          <w:rFonts w:ascii="Calibri" w:hAnsi="Calibri" w:cs="Calibri"/>
          <w:noProof/>
        </w:rPr>
        <w:t> </w:t>
      </w:r>
      <w:r>
        <w:rPr>
          <w:noProof/>
        </w:rPr>
        <w:t>million.</w:t>
      </w:r>
    </w:p>
    <w:p w14:paraId="2D5CC4CB" w14:textId="77777777" w:rsidR="00F02D2A" w:rsidRPr="00930C48" w:rsidRDefault="00F02D2A" w:rsidP="00F02D2A">
      <w:pPr>
        <w:pStyle w:val="ppoListHyphened-L1"/>
        <w:jc w:val="both"/>
        <w:rPr>
          <w:noProof/>
        </w:rPr>
      </w:pPr>
      <w:r>
        <w:rPr>
          <w:noProof/>
        </w:rPr>
        <w:t>In line with the multiannual indicative programme, projects will be financed relating to the promotion of an effective nuclear safety culture (objective</w:t>
      </w:r>
      <w:r w:rsidRPr="1BC28F21">
        <w:rPr>
          <w:rFonts w:ascii="Calibri" w:hAnsi="Calibri" w:cs="Calibri"/>
          <w:noProof/>
        </w:rPr>
        <w:t> </w:t>
      </w:r>
      <w:r>
        <w:rPr>
          <w:noProof/>
        </w:rPr>
        <w:t>1 of the programme) and to radioactive waste management (objective</w:t>
      </w:r>
      <w:r w:rsidRPr="1BC28F21">
        <w:rPr>
          <w:rFonts w:ascii="Calibri" w:hAnsi="Calibri" w:cs="Calibri"/>
          <w:noProof/>
        </w:rPr>
        <w:t> </w:t>
      </w:r>
      <w:r>
        <w:rPr>
          <w:noProof/>
        </w:rPr>
        <w:t>2 of the programme) (41.9% each), and to establishing nuclear safeguards for nuclear material (objective</w:t>
      </w:r>
      <w:r w:rsidRPr="1BC28F21">
        <w:rPr>
          <w:rFonts w:ascii="Calibri" w:hAnsi="Calibri" w:cs="Calibri"/>
          <w:noProof/>
        </w:rPr>
        <w:t> </w:t>
      </w:r>
      <w:r>
        <w:rPr>
          <w:noProof/>
        </w:rPr>
        <w:t>3) (12.3%) and support measures (3.9%).</w:t>
      </w:r>
    </w:p>
    <w:p w14:paraId="5AF67876" w14:textId="77777777" w:rsidR="00F02D2A" w:rsidRPr="00930C48" w:rsidRDefault="00F02D2A" w:rsidP="00F02D2A">
      <w:pPr>
        <w:pStyle w:val="ppoHeading5"/>
        <w:rPr>
          <w:noProof/>
        </w:rPr>
      </w:pPr>
      <w:r w:rsidRPr="00930C48">
        <w:rPr>
          <w:noProof/>
        </w:rPr>
        <w:t>Contribution to horizontal priorities</w:t>
      </w:r>
    </w:p>
    <w:p w14:paraId="3C78231B" w14:textId="77777777" w:rsidR="00F02D2A" w:rsidRPr="00930C48" w:rsidRDefault="00F02D2A" w:rsidP="00F02D2A">
      <w:pPr>
        <w:pStyle w:val="ppoTableTabletitle"/>
        <w:rPr>
          <w:noProof/>
        </w:rPr>
      </w:pPr>
      <w:r w:rsidRPr="00930C48">
        <w:rPr>
          <w:noProof/>
        </w:rPr>
        <w:t>EU budget contribution in 2021 (million EUR):</w:t>
      </w:r>
    </w:p>
    <w:tbl>
      <w:tblPr>
        <w:tblStyle w:val="PPO2021"/>
        <w:tblW w:w="9639" w:type="dxa"/>
        <w:tblInd w:w="0" w:type="dxa"/>
        <w:tblLook w:val="0420" w:firstRow="1" w:lastRow="0" w:firstColumn="0" w:lastColumn="0" w:noHBand="0" w:noVBand="1"/>
      </w:tblPr>
      <w:tblGrid>
        <w:gridCol w:w="3213"/>
        <w:gridCol w:w="3213"/>
        <w:gridCol w:w="3213"/>
      </w:tblGrid>
      <w:tr w:rsidR="00F02D2A" w:rsidRPr="00930C48" w14:paraId="10CAC147" w14:textId="77777777" w:rsidTr="0083214A">
        <w:trPr>
          <w:cnfStyle w:val="100000000000" w:firstRow="1" w:lastRow="0" w:firstColumn="0" w:lastColumn="0" w:oddVBand="0" w:evenVBand="0" w:oddHBand="0" w:evenHBand="0" w:firstRowFirstColumn="0" w:firstRowLastColumn="0" w:lastRowFirstColumn="0" w:lastRowLastColumn="0"/>
          <w:tblHeader/>
        </w:trPr>
        <w:tc>
          <w:tcPr>
            <w:tcW w:w="3213" w:type="dxa"/>
          </w:tcPr>
          <w:p w14:paraId="67E78D49" w14:textId="77777777" w:rsidR="00F02D2A" w:rsidRPr="00930C48" w:rsidRDefault="00F02D2A" w:rsidP="0083214A">
            <w:pPr>
              <w:rPr>
                <w:noProof/>
              </w:rPr>
            </w:pPr>
            <w:r w:rsidRPr="00930C48">
              <w:rPr>
                <w:noProof/>
              </w:rPr>
              <w:t>Climate</w:t>
            </w:r>
          </w:p>
        </w:tc>
        <w:tc>
          <w:tcPr>
            <w:tcW w:w="3213" w:type="dxa"/>
          </w:tcPr>
          <w:p w14:paraId="3924187D" w14:textId="77777777" w:rsidR="00F02D2A" w:rsidRPr="00930C48" w:rsidRDefault="00F02D2A" w:rsidP="0083214A">
            <w:pPr>
              <w:rPr>
                <w:noProof/>
              </w:rPr>
            </w:pPr>
            <w:r w:rsidRPr="00930C48">
              <w:rPr>
                <w:noProof/>
              </w:rPr>
              <w:t>Biodiversity</w:t>
            </w:r>
          </w:p>
        </w:tc>
        <w:tc>
          <w:tcPr>
            <w:tcW w:w="3213" w:type="dxa"/>
          </w:tcPr>
          <w:p w14:paraId="38CC4DA0" w14:textId="77777777" w:rsidR="00F02D2A" w:rsidRPr="00930C48" w:rsidRDefault="00F02D2A" w:rsidP="0083214A">
            <w:pPr>
              <w:rPr>
                <w:noProof/>
              </w:rPr>
            </w:pPr>
            <w:r w:rsidRPr="00930C48">
              <w:rPr>
                <w:noProof/>
              </w:rPr>
              <w:t>Gender equality</w:t>
            </w:r>
          </w:p>
        </w:tc>
      </w:tr>
      <w:tr w:rsidR="00F02D2A" w:rsidRPr="00930C48" w14:paraId="65D7A445" w14:textId="77777777" w:rsidTr="0083214A">
        <w:trPr>
          <w:cnfStyle w:val="000000100000" w:firstRow="0" w:lastRow="0" w:firstColumn="0" w:lastColumn="0" w:oddVBand="0" w:evenVBand="0" w:oddHBand="1" w:evenHBand="0" w:firstRowFirstColumn="0" w:firstRowLastColumn="0" w:lastRowFirstColumn="0" w:lastRowLastColumn="0"/>
        </w:trPr>
        <w:tc>
          <w:tcPr>
            <w:tcW w:w="3213" w:type="dxa"/>
          </w:tcPr>
          <w:p w14:paraId="4D658594" w14:textId="77777777" w:rsidR="00F02D2A" w:rsidRPr="00930C48" w:rsidRDefault="00F02D2A" w:rsidP="0083214A">
            <w:pPr>
              <w:jc w:val="center"/>
              <w:rPr>
                <w:noProof/>
              </w:rPr>
            </w:pPr>
            <w:r w:rsidRPr="00930C48">
              <w:rPr>
                <w:noProof/>
              </w:rPr>
              <w:t>0</w:t>
            </w:r>
          </w:p>
        </w:tc>
        <w:tc>
          <w:tcPr>
            <w:tcW w:w="3213" w:type="dxa"/>
          </w:tcPr>
          <w:p w14:paraId="4AC24EDD" w14:textId="77777777" w:rsidR="00F02D2A" w:rsidRPr="00930C48" w:rsidRDefault="00F02D2A" w:rsidP="0083214A">
            <w:pPr>
              <w:jc w:val="center"/>
              <w:rPr>
                <w:noProof/>
              </w:rPr>
            </w:pPr>
            <w:r w:rsidRPr="00930C48">
              <w:rPr>
                <w:noProof/>
              </w:rPr>
              <w:t>0</w:t>
            </w:r>
          </w:p>
        </w:tc>
        <w:tc>
          <w:tcPr>
            <w:tcW w:w="3213" w:type="dxa"/>
          </w:tcPr>
          <w:p w14:paraId="26B9C7CA" w14:textId="7A18DC41" w:rsidR="00F02D2A" w:rsidRPr="00930C48" w:rsidRDefault="00F02D2A" w:rsidP="0083214A">
            <w:pPr>
              <w:jc w:val="center"/>
              <w:rPr>
                <w:noProof/>
              </w:rPr>
            </w:pPr>
            <w:r w:rsidRPr="00930C48">
              <w:rPr>
                <w:noProof/>
              </w:rPr>
              <w:t>Score 1: 3</w:t>
            </w:r>
            <w:r w:rsidR="0033722F">
              <w:rPr>
                <w:noProof/>
              </w:rPr>
              <w:t>4.3</w:t>
            </w:r>
          </w:p>
          <w:p w14:paraId="40325445" w14:textId="26C6930A" w:rsidR="00F02D2A" w:rsidRPr="00930C48" w:rsidRDefault="00F02D2A" w:rsidP="0083214A">
            <w:pPr>
              <w:jc w:val="center"/>
              <w:rPr>
                <w:noProof/>
              </w:rPr>
            </w:pPr>
            <w:r w:rsidRPr="00930C48">
              <w:rPr>
                <w:noProof/>
              </w:rPr>
              <w:t xml:space="preserve">Score 0: </w:t>
            </w:r>
            <w:r w:rsidR="006C11AD">
              <w:rPr>
                <w:noProof/>
              </w:rPr>
              <w:t>3</w:t>
            </w:r>
            <w:r w:rsidR="0033722F">
              <w:rPr>
                <w:noProof/>
              </w:rPr>
              <w:t>.3</w:t>
            </w:r>
          </w:p>
        </w:tc>
      </w:tr>
    </w:tbl>
    <w:p w14:paraId="1CC5D6AA" w14:textId="77777777" w:rsidR="00F02D2A" w:rsidRPr="00930C48" w:rsidRDefault="00F02D2A" w:rsidP="00F02D2A">
      <w:pPr>
        <w:pStyle w:val="FootnoteText"/>
        <w:rPr>
          <w:noProof/>
        </w:rPr>
      </w:pPr>
      <w:r>
        <w:rPr>
          <w:noProof/>
        </w:rPr>
        <w:t>(*)</w:t>
      </w:r>
      <w:r>
        <w:rPr>
          <w:noProof/>
        </w:rPr>
        <w:tab/>
        <w:t>Based on the applied gender contribution methodology, the following scores are attributed at the most granular level of intervention possible:</w:t>
      </w:r>
    </w:p>
    <w:p w14:paraId="6CC90B4D" w14:textId="77777777" w:rsidR="00F02D2A" w:rsidRPr="00930C48" w:rsidRDefault="00F02D2A" w:rsidP="00F02D2A">
      <w:pPr>
        <w:pStyle w:val="FootnoteText"/>
        <w:numPr>
          <w:ilvl w:val="0"/>
          <w:numId w:val="38"/>
        </w:numPr>
        <w:spacing w:after="60" w:line="264" w:lineRule="auto"/>
        <w:jc w:val="left"/>
        <w:rPr>
          <w:noProof/>
        </w:rPr>
      </w:pPr>
      <w:r w:rsidRPr="00930C48">
        <w:rPr>
          <w:noProof/>
        </w:rPr>
        <w:t>2: interventions the principal objective of which is to improve gender equality;</w:t>
      </w:r>
    </w:p>
    <w:p w14:paraId="77C3771D" w14:textId="77777777" w:rsidR="00F02D2A" w:rsidRPr="00930C48" w:rsidRDefault="00F02D2A" w:rsidP="00F02D2A">
      <w:pPr>
        <w:pStyle w:val="FootnoteText"/>
        <w:numPr>
          <w:ilvl w:val="0"/>
          <w:numId w:val="38"/>
        </w:numPr>
        <w:spacing w:after="60" w:line="264" w:lineRule="auto"/>
        <w:jc w:val="left"/>
        <w:rPr>
          <w:noProof/>
        </w:rPr>
      </w:pPr>
      <w:r w:rsidRPr="00930C48">
        <w:rPr>
          <w:noProof/>
        </w:rPr>
        <w:t>1: interventions that have gender equality as an important and deliberate objective but not as the main reason for the intervention;</w:t>
      </w:r>
    </w:p>
    <w:p w14:paraId="20BD9457" w14:textId="77777777" w:rsidR="00F02D2A" w:rsidRPr="00930C48" w:rsidRDefault="00F02D2A" w:rsidP="00F02D2A">
      <w:pPr>
        <w:pStyle w:val="FootnoteText"/>
        <w:numPr>
          <w:ilvl w:val="0"/>
          <w:numId w:val="38"/>
        </w:numPr>
        <w:spacing w:after="60" w:line="264" w:lineRule="auto"/>
        <w:jc w:val="left"/>
        <w:rPr>
          <w:noProof/>
        </w:rPr>
      </w:pPr>
      <w:r w:rsidRPr="00930C48">
        <w:rPr>
          <w:noProof/>
        </w:rPr>
        <w:t>0: non-targeted interventions;</w:t>
      </w:r>
    </w:p>
    <w:p w14:paraId="23F08A60" w14:textId="77777777" w:rsidR="00F02D2A" w:rsidRPr="00930C48" w:rsidRDefault="00F02D2A" w:rsidP="00F02D2A">
      <w:pPr>
        <w:pStyle w:val="FootnoteText"/>
        <w:numPr>
          <w:ilvl w:val="0"/>
          <w:numId w:val="38"/>
        </w:numPr>
        <w:spacing w:after="60" w:line="264" w:lineRule="auto"/>
        <w:jc w:val="left"/>
        <w:rPr>
          <w:noProof/>
        </w:rPr>
      </w:pPr>
      <w:r w:rsidRPr="00930C48">
        <w:rPr>
          <w:noProof/>
        </w:rPr>
        <w:t>0*: score to be assigned to interventions with a likely but not yet clear positive impact on gender equality.</w:t>
      </w:r>
    </w:p>
    <w:p w14:paraId="5DF94443" w14:textId="77777777" w:rsidR="00F02D2A" w:rsidRPr="00930C48" w:rsidRDefault="00F02D2A" w:rsidP="00F02D2A">
      <w:pPr>
        <w:pStyle w:val="ppoHeading5"/>
        <w:rPr>
          <w:noProof/>
        </w:rPr>
      </w:pPr>
      <w:r w:rsidRPr="00930C48">
        <w:rPr>
          <w:noProof/>
        </w:rPr>
        <w:t>Performance assessment</w:t>
      </w:r>
    </w:p>
    <w:p w14:paraId="3EBCB1CE" w14:textId="77777777" w:rsidR="00F02D2A" w:rsidRPr="00930C48" w:rsidRDefault="00F02D2A" w:rsidP="00F02D2A">
      <w:pPr>
        <w:pStyle w:val="ppoHeading6"/>
        <w:rPr>
          <w:noProof/>
        </w:rPr>
      </w:pPr>
      <w:r w:rsidRPr="00930C48">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F02D2A" w:rsidRPr="00930C48" w14:paraId="6E4FEA58" w14:textId="77777777" w:rsidTr="0083214A">
        <w:trPr>
          <w:cnfStyle w:val="100000000000" w:firstRow="1" w:lastRow="0" w:firstColumn="0" w:lastColumn="0" w:oddVBand="0" w:evenVBand="0" w:oddHBand="0" w:evenHBand="0" w:firstRowFirstColumn="0" w:firstRowLastColumn="0" w:lastRowFirstColumn="0" w:lastRowLastColumn="0"/>
        </w:trPr>
        <w:tc>
          <w:tcPr>
            <w:tcW w:w="2330" w:type="dxa"/>
          </w:tcPr>
          <w:p w14:paraId="67FE0227" w14:textId="77777777" w:rsidR="00F02D2A" w:rsidRPr="00930C48" w:rsidRDefault="00F02D2A" w:rsidP="0083214A">
            <w:pPr>
              <w:rPr>
                <w:noProof/>
              </w:rPr>
            </w:pPr>
          </w:p>
        </w:tc>
        <w:tc>
          <w:tcPr>
            <w:tcW w:w="1100" w:type="dxa"/>
          </w:tcPr>
          <w:p w14:paraId="16A5759A" w14:textId="77777777" w:rsidR="00F02D2A" w:rsidRPr="00930C48" w:rsidRDefault="00F02D2A" w:rsidP="0083214A">
            <w:pPr>
              <w:rPr>
                <w:noProof/>
              </w:rPr>
            </w:pPr>
            <w:r w:rsidRPr="00930C48">
              <w:rPr>
                <w:noProof/>
              </w:rPr>
              <w:t>Baseline</w:t>
            </w:r>
          </w:p>
        </w:tc>
        <w:tc>
          <w:tcPr>
            <w:tcW w:w="1526" w:type="dxa"/>
          </w:tcPr>
          <w:p w14:paraId="649D49D8" w14:textId="77777777" w:rsidR="00F02D2A" w:rsidRPr="00930C48" w:rsidRDefault="00F02D2A" w:rsidP="0083214A">
            <w:pPr>
              <w:rPr>
                <w:noProof/>
              </w:rPr>
            </w:pPr>
            <w:r w:rsidRPr="00930C48">
              <w:rPr>
                <w:noProof/>
              </w:rPr>
              <w:t>Progress (*)</w:t>
            </w:r>
          </w:p>
        </w:tc>
        <w:tc>
          <w:tcPr>
            <w:tcW w:w="1532" w:type="dxa"/>
          </w:tcPr>
          <w:p w14:paraId="0126C674" w14:textId="77777777" w:rsidR="00F02D2A" w:rsidRPr="00930C48" w:rsidRDefault="00F02D2A" w:rsidP="0083214A">
            <w:pPr>
              <w:rPr>
                <w:noProof/>
              </w:rPr>
            </w:pPr>
            <w:r w:rsidRPr="00930C48">
              <w:rPr>
                <w:noProof/>
              </w:rPr>
              <w:t>Target</w:t>
            </w:r>
          </w:p>
        </w:tc>
        <w:tc>
          <w:tcPr>
            <w:tcW w:w="1572" w:type="dxa"/>
          </w:tcPr>
          <w:p w14:paraId="47980198" w14:textId="77777777" w:rsidR="00F02D2A" w:rsidRPr="00930C48" w:rsidRDefault="00F02D2A" w:rsidP="0083214A">
            <w:pPr>
              <w:rPr>
                <w:noProof/>
              </w:rPr>
            </w:pPr>
            <w:r w:rsidRPr="00930C48">
              <w:rPr>
                <w:noProof/>
              </w:rPr>
              <w:t>Results</w:t>
            </w:r>
          </w:p>
        </w:tc>
        <w:tc>
          <w:tcPr>
            <w:tcW w:w="1579" w:type="dxa"/>
          </w:tcPr>
          <w:p w14:paraId="2D81F991" w14:textId="77777777" w:rsidR="00F02D2A" w:rsidRPr="00930C48" w:rsidRDefault="00F02D2A" w:rsidP="0083214A">
            <w:pPr>
              <w:rPr>
                <w:noProof/>
              </w:rPr>
            </w:pPr>
            <w:r w:rsidRPr="00930C48">
              <w:rPr>
                <w:noProof/>
              </w:rPr>
              <w:t>Assessment</w:t>
            </w:r>
          </w:p>
        </w:tc>
      </w:tr>
      <w:tr w:rsidR="00F02D2A" w:rsidRPr="00930C48" w14:paraId="16C4370A"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0ADE146E" w14:textId="77777777" w:rsidR="00F02D2A" w:rsidRPr="00930C48" w:rsidRDefault="00F02D2A" w:rsidP="0083214A">
            <w:pPr>
              <w:tabs>
                <w:tab w:val="center" w:pos="1057"/>
              </w:tabs>
              <w:rPr>
                <w:noProof/>
              </w:rPr>
            </w:pPr>
            <w:r>
              <w:rPr>
                <w:noProof/>
              </w:rPr>
              <w:t>Number of countries benefiting from EU support in developing a culture of safety for nuclear energy</w:t>
            </w:r>
          </w:p>
        </w:tc>
        <w:tc>
          <w:tcPr>
            <w:tcW w:w="1100" w:type="dxa"/>
          </w:tcPr>
          <w:p w14:paraId="04C26727" w14:textId="77777777" w:rsidR="00F02D2A" w:rsidRPr="00930C48" w:rsidRDefault="00F02D2A" w:rsidP="0083214A">
            <w:pPr>
              <w:jc w:val="center"/>
              <w:rPr>
                <w:noProof/>
              </w:rPr>
            </w:pPr>
            <w:r w:rsidRPr="00930C48">
              <w:rPr>
                <w:noProof/>
              </w:rPr>
              <w:t>0</w:t>
            </w:r>
          </w:p>
        </w:tc>
        <w:tc>
          <w:tcPr>
            <w:tcW w:w="1526" w:type="dxa"/>
          </w:tcPr>
          <w:p w14:paraId="30FBF692" w14:textId="77777777" w:rsidR="00F02D2A" w:rsidRPr="00930C48" w:rsidRDefault="00F02D2A" w:rsidP="0083214A">
            <w:pPr>
              <w:jc w:val="center"/>
              <w:rPr>
                <w:b/>
                <w:noProof/>
              </w:rPr>
            </w:pPr>
            <w:r w:rsidRPr="00930C48">
              <w:rPr>
                <w:noProof/>
              </w:rPr>
              <w:t>&gt; 100%</w:t>
            </w:r>
          </w:p>
        </w:tc>
        <w:tc>
          <w:tcPr>
            <w:tcW w:w="1532" w:type="dxa"/>
          </w:tcPr>
          <w:p w14:paraId="4D2F09BE" w14:textId="72DEA5A8" w:rsidR="00F02D2A" w:rsidRPr="00930C48" w:rsidRDefault="00F02D2A" w:rsidP="0083214A">
            <w:pPr>
              <w:jc w:val="center"/>
              <w:rPr>
                <w:noProof/>
              </w:rPr>
            </w:pPr>
            <w:r w:rsidRPr="00930C48">
              <w:rPr>
                <w:noProof/>
              </w:rPr>
              <w:t>20</w:t>
            </w:r>
            <w:r w:rsidR="00C71B67">
              <w:rPr>
                <w:noProof/>
              </w:rPr>
              <w:t xml:space="preserve"> in 2027</w:t>
            </w:r>
          </w:p>
        </w:tc>
        <w:tc>
          <w:tcPr>
            <w:tcW w:w="1572" w:type="dxa"/>
          </w:tcPr>
          <w:p w14:paraId="20959B89" w14:textId="77777777" w:rsidR="00F02D2A" w:rsidRPr="00930C48" w:rsidRDefault="00F02D2A" w:rsidP="0083214A">
            <w:pPr>
              <w:jc w:val="center"/>
              <w:rPr>
                <w:noProof/>
              </w:rPr>
            </w:pPr>
            <w:r w:rsidRPr="00930C48">
              <w:rPr>
                <w:noProof/>
              </w:rPr>
              <w:t>9</w:t>
            </w:r>
          </w:p>
        </w:tc>
        <w:tc>
          <w:tcPr>
            <w:tcW w:w="1579" w:type="dxa"/>
          </w:tcPr>
          <w:p w14:paraId="267CA49F" w14:textId="77777777" w:rsidR="00F02D2A" w:rsidRPr="00930C48" w:rsidRDefault="00F02D2A" w:rsidP="0083214A">
            <w:pPr>
              <w:jc w:val="center"/>
              <w:rPr>
                <w:noProof/>
              </w:rPr>
            </w:pPr>
            <w:r w:rsidRPr="00930C48">
              <w:rPr>
                <w:noProof/>
              </w:rPr>
              <w:t>On track</w:t>
            </w:r>
          </w:p>
        </w:tc>
      </w:tr>
      <w:tr w:rsidR="00F02D2A" w:rsidRPr="00930C48" w14:paraId="604785A5"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008034DB" w14:textId="77777777" w:rsidR="00F02D2A" w:rsidRPr="00930C48" w:rsidRDefault="00F02D2A" w:rsidP="0083214A">
            <w:pPr>
              <w:rPr>
                <w:noProof/>
              </w:rPr>
            </w:pPr>
            <w:r>
              <w:rPr>
                <w:noProof/>
              </w:rPr>
              <w:t>Number of regulatory documents produced in beneficiary countries with the support of EU expertise</w:t>
            </w:r>
          </w:p>
        </w:tc>
        <w:tc>
          <w:tcPr>
            <w:tcW w:w="1100" w:type="dxa"/>
          </w:tcPr>
          <w:p w14:paraId="51786E34" w14:textId="77777777" w:rsidR="00F02D2A" w:rsidRPr="00930C48" w:rsidRDefault="00F02D2A" w:rsidP="0083214A">
            <w:pPr>
              <w:jc w:val="center"/>
              <w:rPr>
                <w:noProof/>
              </w:rPr>
            </w:pPr>
            <w:r w:rsidRPr="00930C48">
              <w:rPr>
                <w:noProof/>
              </w:rPr>
              <w:t>0</w:t>
            </w:r>
          </w:p>
        </w:tc>
        <w:tc>
          <w:tcPr>
            <w:tcW w:w="1526" w:type="dxa"/>
          </w:tcPr>
          <w:p w14:paraId="1428A706" w14:textId="77777777" w:rsidR="00F02D2A" w:rsidRPr="00930C48" w:rsidRDefault="00F02D2A" w:rsidP="0083214A">
            <w:pPr>
              <w:jc w:val="center"/>
              <w:rPr>
                <w:b/>
                <w:noProof/>
              </w:rPr>
            </w:pPr>
            <w:r w:rsidRPr="00930C48">
              <w:rPr>
                <w:noProof/>
              </w:rPr>
              <w:t>&gt; 100%</w:t>
            </w:r>
          </w:p>
        </w:tc>
        <w:tc>
          <w:tcPr>
            <w:tcW w:w="1532" w:type="dxa"/>
          </w:tcPr>
          <w:p w14:paraId="769C3FDB" w14:textId="2294F050" w:rsidR="00F02D2A" w:rsidRPr="00930C48" w:rsidRDefault="00F02D2A" w:rsidP="0083214A">
            <w:pPr>
              <w:jc w:val="center"/>
              <w:rPr>
                <w:noProof/>
              </w:rPr>
            </w:pPr>
            <w:r w:rsidRPr="00930C48">
              <w:rPr>
                <w:noProof/>
              </w:rPr>
              <w:t>20</w:t>
            </w:r>
            <w:r w:rsidR="00C71B67">
              <w:rPr>
                <w:noProof/>
              </w:rPr>
              <w:t xml:space="preserve"> in 2027</w:t>
            </w:r>
          </w:p>
        </w:tc>
        <w:tc>
          <w:tcPr>
            <w:tcW w:w="1572" w:type="dxa"/>
          </w:tcPr>
          <w:p w14:paraId="634ABAFA" w14:textId="77777777" w:rsidR="00F02D2A" w:rsidRPr="00930C48" w:rsidRDefault="00F02D2A" w:rsidP="0083214A">
            <w:pPr>
              <w:jc w:val="center"/>
              <w:rPr>
                <w:noProof/>
              </w:rPr>
            </w:pPr>
            <w:r w:rsidRPr="00930C48">
              <w:rPr>
                <w:noProof/>
              </w:rPr>
              <w:t>5</w:t>
            </w:r>
          </w:p>
        </w:tc>
        <w:tc>
          <w:tcPr>
            <w:tcW w:w="1579" w:type="dxa"/>
          </w:tcPr>
          <w:p w14:paraId="44F403ED" w14:textId="77777777" w:rsidR="00F02D2A" w:rsidRPr="00930C48" w:rsidRDefault="00F02D2A" w:rsidP="0083214A">
            <w:pPr>
              <w:jc w:val="center"/>
              <w:rPr>
                <w:noProof/>
              </w:rPr>
            </w:pPr>
            <w:r w:rsidRPr="00930C48">
              <w:rPr>
                <w:noProof/>
              </w:rPr>
              <w:t>On track</w:t>
            </w:r>
          </w:p>
        </w:tc>
      </w:tr>
      <w:tr w:rsidR="00F02D2A" w:rsidRPr="00930C48" w14:paraId="178A76F3"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32DEF005" w14:textId="77777777" w:rsidR="00F02D2A" w:rsidRPr="00930C48" w:rsidRDefault="00F02D2A" w:rsidP="0083214A">
            <w:pPr>
              <w:rPr>
                <w:noProof/>
              </w:rPr>
            </w:pPr>
            <w:r>
              <w:rPr>
                <w:noProof/>
              </w:rPr>
              <w:t xml:space="preserve">Number of nuclear safeguards authorities benefiting from </w:t>
            </w:r>
            <w:bookmarkStart w:id="251" w:name="_Hlk101860868"/>
            <w:r>
              <w:rPr>
                <w:noProof/>
              </w:rPr>
              <w:t>Commission-funded projects</w:t>
            </w:r>
            <w:bookmarkEnd w:id="251"/>
          </w:p>
        </w:tc>
        <w:tc>
          <w:tcPr>
            <w:tcW w:w="1100" w:type="dxa"/>
          </w:tcPr>
          <w:p w14:paraId="2DAACAEE" w14:textId="77777777" w:rsidR="00F02D2A" w:rsidRPr="00930C48" w:rsidRDefault="00F02D2A" w:rsidP="0083214A">
            <w:pPr>
              <w:jc w:val="center"/>
              <w:rPr>
                <w:noProof/>
              </w:rPr>
            </w:pPr>
            <w:r w:rsidRPr="00930C48">
              <w:rPr>
                <w:noProof/>
              </w:rPr>
              <w:t>0</w:t>
            </w:r>
          </w:p>
        </w:tc>
        <w:tc>
          <w:tcPr>
            <w:tcW w:w="1526" w:type="dxa"/>
          </w:tcPr>
          <w:p w14:paraId="0C37E182" w14:textId="77777777" w:rsidR="00F02D2A" w:rsidRPr="00930C48" w:rsidRDefault="00F02D2A" w:rsidP="0083214A">
            <w:pPr>
              <w:jc w:val="center"/>
              <w:rPr>
                <w:b/>
                <w:noProof/>
              </w:rPr>
            </w:pPr>
            <w:r w:rsidRPr="00930C48">
              <w:rPr>
                <w:noProof/>
              </w:rPr>
              <w:t>&gt; 100%</w:t>
            </w:r>
          </w:p>
        </w:tc>
        <w:tc>
          <w:tcPr>
            <w:tcW w:w="1532" w:type="dxa"/>
          </w:tcPr>
          <w:p w14:paraId="56D2F1EC" w14:textId="0711428F" w:rsidR="00F02D2A" w:rsidRPr="00930C48" w:rsidRDefault="00F02D2A" w:rsidP="0083214A">
            <w:pPr>
              <w:jc w:val="center"/>
              <w:rPr>
                <w:noProof/>
              </w:rPr>
            </w:pPr>
            <w:r w:rsidRPr="00930C48">
              <w:rPr>
                <w:noProof/>
              </w:rPr>
              <w:t>3</w:t>
            </w:r>
            <w:r w:rsidR="00C71B67">
              <w:rPr>
                <w:noProof/>
              </w:rPr>
              <w:t xml:space="preserve"> in 2026</w:t>
            </w:r>
          </w:p>
        </w:tc>
        <w:tc>
          <w:tcPr>
            <w:tcW w:w="1572" w:type="dxa"/>
          </w:tcPr>
          <w:p w14:paraId="7597BF53" w14:textId="77777777" w:rsidR="00F02D2A" w:rsidRPr="00930C48" w:rsidRDefault="00F02D2A" w:rsidP="0083214A">
            <w:pPr>
              <w:jc w:val="center"/>
              <w:rPr>
                <w:noProof/>
              </w:rPr>
            </w:pPr>
            <w:r w:rsidRPr="00930C48">
              <w:rPr>
                <w:noProof/>
              </w:rPr>
              <w:t>0</w:t>
            </w:r>
          </w:p>
        </w:tc>
        <w:tc>
          <w:tcPr>
            <w:tcW w:w="1579" w:type="dxa"/>
          </w:tcPr>
          <w:p w14:paraId="5993D620" w14:textId="77777777" w:rsidR="00F02D2A" w:rsidRPr="00930C48" w:rsidRDefault="00F02D2A" w:rsidP="0083214A">
            <w:pPr>
              <w:jc w:val="center"/>
              <w:rPr>
                <w:noProof/>
              </w:rPr>
            </w:pPr>
            <w:r w:rsidRPr="00930C48">
              <w:rPr>
                <w:noProof/>
              </w:rPr>
              <w:t>On track</w:t>
            </w:r>
          </w:p>
        </w:tc>
      </w:tr>
    </w:tbl>
    <w:p w14:paraId="3601FC47" w14:textId="77777777" w:rsidR="00F02D2A" w:rsidRPr="00930C48" w:rsidRDefault="00F02D2A" w:rsidP="00F02D2A">
      <w:pPr>
        <w:pStyle w:val="FootnoteText"/>
        <w:spacing w:before="120"/>
        <w:rPr>
          <w:noProof/>
        </w:rPr>
      </w:pPr>
      <w:r>
        <w:rPr>
          <w:noProof/>
        </w:rPr>
        <w:t>(*) % of target achieved by the end of 2021.</w:t>
      </w:r>
    </w:p>
    <w:p w14:paraId="05380BE2" w14:textId="77777777" w:rsidR="00F02D2A" w:rsidRPr="00930C48" w:rsidRDefault="00F02D2A" w:rsidP="00F02D2A">
      <w:pPr>
        <w:pStyle w:val="ppoListHyphened-L1"/>
        <w:rPr>
          <w:noProof/>
        </w:rPr>
      </w:pPr>
      <w:r>
        <w:rPr>
          <w:noProof/>
        </w:rPr>
        <w:t>Performance assessment will be provided once the implementation of the 2021-2027 programme has started.</w:t>
      </w:r>
    </w:p>
    <w:p w14:paraId="522C99A5" w14:textId="77777777" w:rsidR="00F02D2A" w:rsidRPr="00930C48" w:rsidRDefault="00F02D2A" w:rsidP="00F02D2A">
      <w:pPr>
        <w:spacing w:after="160" w:line="259" w:lineRule="auto"/>
        <w:rPr>
          <w:rFonts w:eastAsiaTheme="majorEastAsia" w:cstheme="majorBidi"/>
          <w:noProof/>
          <w:color w:val="016A13" w:themeColor="accent1" w:themeShade="BF"/>
          <w:sz w:val="48"/>
          <w:szCs w:val="32"/>
        </w:rPr>
      </w:pPr>
      <w:r w:rsidRPr="00930C48">
        <w:rPr>
          <w:noProof/>
        </w:rPr>
        <w:br w:type="page"/>
      </w:r>
    </w:p>
    <w:p w14:paraId="140F1FCB" w14:textId="77777777" w:rsidR="00F02D2A" w:rsidRPr="00930C48" w:rsidRDefault="00F02D2A" w:rsidP="00F02D2A">
      <w:pPr>
        <w:pStyle w:val="ppoHeading4Red"/>
        <w:rPr>
          <w:noProof/>
        </w:rPr>
      </w:pPr>
      <w:r>
        <w:rPr>
          <w:noProof/>
        </w:rPr>
        <w:t>2014-2020 multiannual financial framework</w:t>
      </w:r>
      <w:r w:rsidRPr="1BC28F21">
        <w:rPr>
          <w:rFonts w:ascii="Calibri" w:hAnsi="Calibri" w:cs="Calibri"/>
          <w:noProof/>
        </w:rPr>
        <w:t> </w:t>
      </w:r>
      <w:r>
        <w:rPr>
          <w:noProof/>
        </w:rPr>
        <w:t>– Instrument for Nuclear Safety Cooperation</w:t>
      </w:r>
    </w:p>
    <w:p w14:paraId="234361D9" w14:textId="77777777" w:rsidR="00F02D2A" w:rsidRPr="00930C48" w:rsidRDefault="00F02D2A" w:rsidP="00F02D2A">
      <w:pPr>
        <w:rPr>
          <w:noProof/>
        </w:rPr>
      </w:pPr>
      <w:r>
        <w:rPr>
          <w:noProof/>
        </w:rPr>
        <w:t>The predecessor of the INSC in the 2014-2020 multiannual financial framework was the Instrument for Nuclear Safety Cooperation.</w:t>
      </w:r>
    </w:p>
    <w:p w14:paraId="6B0D9706" w14:textId="77777777" w:rsidR="00F02D2A" w:rsidRPr="00930C48" w:rsidRDefault="00F02D2A" w:rsidP="00F02D2A">
      <w:pPr>
        <w:pStyle w:val="ppoHeading5"/>
        <w:rPr>
          <w:noProof/>
        </w:rPr>
      </w:pPr>
      <w:r>
        <w:rPr>
          <w:noProof/>
        </w:rPr>
        <w:t>Budget implementation</w:t>
      </w:r>
    </w:p>
    <w:p w14:paraId="0367AF2E" w14:textId="77777777" w:rsidR="00F02D2A" w:rsidRPr="00930C48" w:rsidRDefault="00F02D2A" w:rsidP="00F02D2A">
      <w:pPr>
        <w:pStyle w:val="ppoTableTabletitle"/>
        <w:rPr>
          <w:noProof/>
        </w:rPr>
      </w:pPr>
      <w:r w:rsidRPr="00610591">
        <w:rPr>
          <w:noProof/>
        </w:rPr>
        <w:t xml:space="preserve">Cumulative implementation rate at the end of 2021 </w:t>
      </w:r>
      <w:r w:rsidRPr="00610591">
        <w:rPr>
          <w:noProof/>
          <w:lang w:val="en-IE"/>
        </w:rPr>
        <w:t>(million EUR)</w:t>
      </w:r>
      <w:r w:rsidRPr="00610591">
        <w:rPr>
          <w:noProof/>
        </w:rPr>
        <w:t>:</w:t>
      </w:r>
    </w:p>
    <w:tbl>
      <w:tblPr>
        <w:tblStyle w:val="PPO2021"/>
        <w:tblW w:w="9639" w:type="dxa"/>
        <w:tblInd w:w="0" w:type="dxa"/>
        <w:tblLook w:val="06A0" w:firstRow="1" w:lastRow="0" w:firstColumn="1" w:lastColumn="0" w:noHBand="1" w:noVBand="1"/>
      </w:tblPr>
      <w:tblGrid>
        <w:gridCol w:w="2390"/>
        <w:gridCol w:w="2467"/>
        <w:gridCol w:w="2384"/>
        <w:gridCol w:w="2398"/>
      </w:tblGrid>
      <w:tr w:rsidR="00F02D2A" w:rsidRPr="00930C48" w14:paraId="4FF87277" w14:textId="77777777" w:rsidTr="008321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3BB81DB3" w14:textId="77777777" w:rsidR="00F02D2A" w:rsidRPr="00930C48" w:rsidRDefault="00F02D2A" w:rsidP="0083214A">
            <w:pPr>
              <w:rPr>
                <w:noProof/>
              </w:rPr>
            </w:pPr>
          </w:p>
        </w:tc>
        <w:tc>
          <w:tcPr>
            <w:tcW w:w="2410" w:type="dxa"/>
          </w:tcPr>
          <w:p w14:paraId="21583964" w14:textId="77777777" w:rsidR="00F02D2A" w:rsidRPr="00930C48" w:rsidRDefault="00F02D2A" w:rsidP="0083214A">
            <w:pPr>
              <w:cnfStyle w:val="100000000000" w:firstRow="1" w:lastRow="0" w:firstColumn="0" w:lastColumn="0" w:oddVBand="0" w:evenVBand="0" w:oddHBand="0" w:evenHBand="0" w:firstRowFirstColumn="0" w:firstRowLastColumn="0" w:lastRowFirstColumn="0" w:lastRowLastColumn="0"/>
              <w:rPr>
                <w:noProof/>
              </w:rPr>
            </w:pPr>
            <w:r w:rsidRPr="00930C48">
              <w:rPr>
                <w:noProof/>
              </w:rPr>
              <w:t>Implementation</w:t>
            </w:r>
          </w:p>
        </w:tc>
        <w:tc>
          <w:tcPr>
            <w:tcW w:w="2410" w:type="dxa"/>
          </w:tcPr>
          <w:p w14:paraId="509E713E" w14:textId="1B5A2B13" w:rsidR="00F02D2A" w:rsidRPr="00930C48" w:rsidRDefault="003821C6" w:rsidP="0083214A">
            <w:pPr>
              <w:cnfStyle w:val="100000000000" w:firstRow="1" w:lastRow="0" w:firstColumn="0" w:lastColumn="0" w:oddVBand="0" w:evenVBand="0" w:oddHBand="0" w:evenHBand="0" w:firstRowFirstColumn="0" w:firstRowLastColumn="0" w:lastRowFirstColumn="0" w:lastRowLastColumn="0"/>
              <w:rPr>
                <w:noProof/>
              </w:rPr>
            </w:pPr>
            <w:r>
              <w:rPr>
                <w:noProof/>
              </w:rPr>
              <w:t xml:space="preserve">2014-2020 </w:t>
            </w:r>
            <w:r w:rsidR="00F02D2A" w:rsidRPr="00930C48">
              <w:rPr>
                <w:noProof/>
              </w:rPr>
              <w:t>Budget</w:t>
            </w:r>
          </w:p>
        </w:tc>
        <w:tc>
          <w:tcPr>
            <w:tcW w:w="2410" w:type="dxa"/>
          </w:tcPr>
          <w:p w14:paraId="696B2F0A" w14:textId="77777777" w:rsidR="00F02D2A" w:rsidRPr="00930C48" w:rsidRDefault="00F02D2A" w:rsidP="0083214A">
            <w:pPr>
              <w:cnfStyle w:val="100000000000" w:firstRow="1" w:lastRow="0" w:firstColumn="0" w:lastColumn="0" w:oddVBand="0" w:evenVBand="0" w:oddHBand="0" w:evenHBand="0" w:firstRowFirstColumn="0" w:firstRowLastColumn="0" w:lastRowFirstColumn="0" w:lastRowLastColumn="0"/>
              <w:rPr>
                <w:noProof/>
              </w:rPr>
            </w:pPr>
            <w:r w:rsidRPr="00930C48">
              <w:rPr>
                <w:noProof/>
              </w:rPr>
              <w:t>Implementation rate</w:t>
            </w:r>
          </w:p>
        </w:tc>
      </w:tr>
      <w:tr w:rsidR="00F02D2A" w:rsidRPr="00930C48" w14:paraId="20E47757"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094C2549" w14:textId="77777777" w:rsidR="00F02D2A" w:rsidRPr="00930C48" w:rsidRDefault="00F02D2A" w:rsidP="0083214A">
            <w:pPr>
              <w:jc w:val="center"/>
              <w:rPr>
                <w:noProof/>
              </w:rPr>
            </w:pPr>
            <w:r w:rsidRPr="00930C48">
              <w:rPr>
                <w:noProof/>
              </w:rPr>
              <w:t>Commitment</w:t>
            </w:r>
          </w:p>
        </w:tc>
        <w:tc>
          <w:tcPr>
            <w:tcW w:w="2410" w:type="dxa"/>
          </w:tcPr>
          <w:tbl>
            <w:tblPr>
              <w:tblStyle w:val="TableGrid"/>
              <w:tblW w:w="0" w:type="auto"/>
              <w:tblLook w:val="06A0" w:firstRow="1" w:lastRow="0" w:firstColumn="1" w:lastColumn="0" w:noHBand="1" w:noVBand="1"/>
            </w:tblPr>
            <w:tblGrid>
              <w:gridCol w:w="2251"/>
            </w:tblGrid>
            <w:tr w:rsidR="00F02D2A" w:rsidRPr="00930C48" w14:paraId="6934258A" w14:textId="77777777" w:rsidTr="0083214A">
              <w:trPr>
                <w:trHeight w:val="285"/>
              </w:trPr>
              <w:tc>
                <w:tcPr>
                  <w:tcW w:w="2290" w:type="dxa"/>
                  <w:tcBorders>
                    <w:top w:val="nil"/>
                    <w:left w:val="nil"/>
                    <w:bottom w:val="nil"/>
                    <w:right w:val="nil"/>
                  </w:tcBorders>
                  <w:vAlign w:val="bottom"/>
                </w:tcPr>
                <w:tbl>
                  <w:tblPr>
                    <w:tblStyle w:val="TableGrid"/>
                    <w:tblW w:w="0" w:type="auto"/>
                    <w:tblLook w:val="06A0" w:firstRow="1" w:lastRow="0" w:firstColumn="1" w:lastColumn="0" w:noHBand="1" w:noVBand="1"/>
                  </w:tblPr>
                  <w:tblGrid>
                    <w:gridCol w:w="2035"/>
                  </w:tblGrid>
                  <w:tr w:rsidR="00F02D2A" w:rsidRPr="00930C48" w14:paraId="1659F230" w14:textId="77777777" w:rsidTr="0083214A">
                    <w:trPr>
                      <w:trHeight w:val="285"/>
                    </w:trPr>
                    <w:tc>
                      <w:tcPr>
                        <w:tcW w:w="2170" w:type="dxa"/>
                        <w:tcBorders>
                          <w:top w:val="nil"/>
                          <w:left w:val="nil"/>
                          <w:bottom w:val="nil"/>
                          <w:right w:val="nil"/>
                        </w:tcBorders>
                        <w:vAlign w:val="bottom"/>
                      </w:tcPr>
                      <w:p w14:paraId="493F2421" w14:textId="77777777" w:rsidR="00F02D2A" w:rsidRPr="00930C48" w:rsidRDefault="00F02D2A" w:rsidP="0083214A">
                        <w:pPr>
                          <w:jc w:val="right"/>
                          <w:rPr>
                            <w:rFonts w:ascii="Calibri" w:hAnsi="Calibri" w:cs="Calibri"/>
                            <w:noProof/>
                            <w:color w:val="000000"/>
                          </w:rPr>
                        </w:pPr>
                        <w:r w:rsidRPr="1BC28F21">
                          <w:rPr>
                            <w:rFonts w:ascii="Calibri" w:hAnsi="Calibri" w:cs="Calibri"/>
                            <w:noProof/>
                            <w:color w:val="000000"/>
                          </w:rPr>
                          <w:t>314.4</w:t>
                        </w:r>
                      </w:p>
                    </w:tc>
                  </w:tr>
                </w:tbl>
                <w:p w14:paraId="13ACDA01" w14:textId="77777777" w:rsidR="00F02D2A" w:rsidRPr="00930C48" w:rsidRDefault="00F02D2A" w:rsidP="0083214A">
                  <w:pPr>
                    <w:jc w:val="right"/>
                    <w:rPr>
                      <w:rFonts w:ascii="Calibri" w:hAnsi="Calibri" w:cs="Calibri"/>
                      <w:noProof/>
                      <w:color w:val="000000"/>
                    </w:rPr>
                  </w:pPr>
                </w:p>
              </w:tc>
            </w:tr>
          </w:tbl>
          <w:p w14:paraId="1090FC6C" w14:textId="77777777" w:rsidR="00F02D2A" w:rsidRPr="00930C48" w:rsidRDefault="00F02D2A"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68"/>
            </w:tblGrid>
            <w:tr w:rsidR="00F02D2A" w:rsidRPr="00930C48" w14:paraId="1F6273F6" w14:textId="77777777" w:rsidTr="0083214A">
              <w:trPr>
                <w:trHeight w:val="285"/>
              </w:trPr>
              <w:tc>
                <w:tcPr>
                  <w:tcW w:w="2290" w:type="dxa"/>
                  <w:tcBorders>
                    <w:top w:val="nil"/>
                    <w:left w:val="nil"/>
                    <w:bottom w:val="nil"/>
                    <w:right w:val="nil"/>
                  </w:tcBorders>
                  <w:vAlign w:val="bottom"/>
                </w:tcPr>
                <w:tbl>
                  <w:tblPr>
                    <w:tblStyle w:val="TableGrid"/>
                    <w:tblW w:w="0" w:type="auto"/>
                    <w:tblLook w:val="06A0" w:firstRow="1" w:lastRow="0" w:firstColumn="1" w:lastColumn="0" w:noHBand="1" w:noVBand="1"/>
                  </w:tblPr>
                  <w:tblGrid>
                    <w:gridCol w:w="1952"/>
                  </w:tblGrid>
                  <w:tr w:rsidR="00F02D2A" w:rsidRPr="00930C48" w14:paraId="4EE5E459" w14:textId="77777777" w:rsidTr="0083214A">
                    <w:trPr>
                      <w:trHeight w:val="285"/>
                    </w:trPr>
                    <w:tc>
                      <w:tcPr>
                        <w:tcW w:w="2170" w:type="dxa"/>
                        <w:tcBorders>
                          <w:top w:val="nil"/>
                          <w:left w:val="nil"/>
                          <w:bottom w:val="nil"/>
                          <w:right w:val="nil"/>
                        </w:tcBorders>
                        <w:vAlign w:val="bottom"/>
                      </w:tcPr>
                      <w:p w14:paraId="2530742F" w14:textId="77777777" w:rsidR="00F02D2A" w:rsidRPr="00930C48" w:rsidRDefault="00F02D2A" w:rsidP="0083214A">
                        <w:pPr>
                          <w:jc w:val="right"/>
                          <w:rPr>
                            <w:rFonts w:ascii="Calibri" w:hAnsi="Calibri" w:cs="Calibri"/>
                            <w:noProof/>
                            <w:color w:val="000000"/>
                          </w:rPr>
                        </w:pPr>
                        <w:r w:rsidRPr="1BC28F21">
                          <w:rPr>
                            <w:rFonts w:ascii="Calibri" w:hAnsi="Calibri" w:cs="Calibri"/>
                            <w:noProof/>
                            <w:color w:val="000000"/>
                          </w:rPr>
                          <w:t>314.4</w:t>
                        </w:r>
                      </w:p>
                    </w:tc>
                  </w:tr>
                </w:tbl>
                <w:p w14:paraId="647609CA" w14:textId="77777777" w:rsidR="00F02D2A" w:rsidRPr="00930C48" w:rsidRDefault="00F02D2A" w:rsidP="0083214A">
                  <w:pPr>
                    <w:jc w:val="right"/>
                    <w:rPr>
                      <w:rFonts w:ascii="Calibri" w:hAnsi="Calibri" w:cs="Calibri"/>
                      <w:noProof/>
                      <w:color w:val="000000"/>
                    </w:rPr>
                  </w:pPr>
                </w:p>
              </w:tc>
            </w:tr>
          </w:tbl>
          <w:p w14:paraId="1F075539" w14:textId="77777777" w:rsidR="00F02D2A" w:rsidRPr="00930C48" w:rsidRDefault="00F02D2A"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82"/>
            </w:tblGrid>
            <w:tr w:rsidR="00F02D2A" w:rsidRPr="00930C48" w14:paraId="28B33BDF" w14:textId="77777777" w:rsidTr="0083214A">
              <w:trPr>
                <w:trHeight w:val="285"/>
              </w:trPr>
              <w:tc>
                <w:tcPr>
                  <w:tcW w:w="2290" w:type="dxa"/>
                  <w:tcBorders>
                    <w:top w:val="nil"/>
                    <w:left w:val="nil"/>
                    <w:bottom w:val="nil"/>
                    <w:right w:val="nil"/>
                  </w:tcBorders>
                  <w:vAlign w:val="bottom"/>
                </w:tcPr>
                <w:tbl>
                  <w:tblPr>
                    <w:tblStyle w:val="TableGrid"/>
                    <w:tblW w:w="0" w:type="auto"/>
                    <w:tblLook w:val="06A0" w:firstRow="1" w:lastRow="0" w:firstColumn="1" w:lastColumn="0" w:noHBand="1" w:noVBand="1"/>
                  </w:tblPr>
                  <w:tblGrid>
                    <w:gridCol w:w="1966"/>
                  </w:tblGrid>
                  <w:tr w:rsidR="00F02D2A" w:rsidRPr="00930C48" w14:paraId="4CFA834B" w14:textId="77777777" w:rsidTr="0083214A">
                    <w:trPr>
                      <w:trHeight w:val="285"/>
                    </w:trPr>
                    <w:tc>
                      <w:tcPr>
                        <w:tcW w:w="2170" w:type="dxa"/>
                        <w:tcBorders>
                          <w:top w:val="nil"/>
                          <w:left w:val="nil"/>
                          <w:bottom w:val="nil"/>
                          <w:right w:val="nil"/>
                        </w:tcBorders>
                        <w:vAlign w:val="bottom"/>
                      </w:tcPr>
                      <w:p w14:paraId="775D2FAA" w14:textId="77777777" w:rsidR="00F02D2A" w:rsidRPr="00930C48" w:rsidRDefault="00F02D2A" w:rsidP="0083214A">
                        <w:pPr>
                          <w:jc w:val="right"/>
                          <w:rPr>
                            <w:noProof/>
                          </w:rPr>
                        </w:pPr>
                        <w:r w:rsidRPr="00930C48">
                          <w:rPr>
                            <w:rFonts w:ascii="Calibri" w:hAnsi="Calibri" w:cs="Calibri"/>
                            <w:noProof/>
                            <w:color w:val="000000"/>
                          </w:rPr>
                          <w:t>99.99%</w:t>
                        </w:r>
                      </w:p>
                    </w:tc>
                  </w:tr>
                </w:tbl>
                <w:p w14:paraId="418BBBDF" w14:textId="77777777" w:rsidR="00F02D2A" w:rsidRPr="00930C48" w:rsidRDefault="00F02D2A" w:rsidP="0083214A">
                  <w:pPr>
                    <w:jc w:val="right"/>
                    <w:rPr>
                      <w:rFonts w:ascii="Calibri" w:hAnsi="Calibri" w:cs="Calibri"/>
                      <w:noProof/>
                      <w:color w:val="000000"/>
                    </w:rPr>
                  </w:pPr>
                </w:p>
              </w:tc>
            </w:tr>
          </w:tbl>
          <w:p w14:paraId="7F0C9607" w14:textId="77777777" w:rsidR="00F02D2A" w:rsidRPr="00930C48" w:rsidRDefault="00F02D2A" w:rsidP="0083214A">
            <w:pPr>
              <w:jc w:val="center"/>
              <w:cnfStyle w:val="000000000000" w:firstRow="0" w:lastRow="0" w:firstColumn="0" w:lastColumn="0" w:oddVBand="0" w:evenVBand="0" w:oddHBand="0" w:evenHBand="0" w:firstRowFirstColumn="0" w:firstRowLastColumn="0" w:lastRowFirstColumn="0" w:lastRowLastColumn="0"/>
              <w:rPr>
                <w:noProof/>
              </w:rPr>
            </w:pPr>
          </w:p>
        </w:tc>
      </w:tr>
      <w:tr w:rsidR="00F02D2A" w:rsidRPr="00930C48" w14:paraId="0A35F24A" w14:textId="77777777" w:rsidTr="0083214A">
        <w:trPr>
          <w:trHeight w:val="599"/>
        </w:trPr>
        <w:tc>
          <w:tcPr>
            <w:cnfStyle w:val="001000000000" w:firstRow="0" w:lastRow="0" w:firstColumn="1" w:lastColumn="0" w:oddVBand="0" w:evenVBand="0" w:oddHBand="0" w:evenHBand="0" w:firstRowFirstColumn="0" w:firstRowLastColumn="0" w:lastRowFirstColumn="0" w:lastRowLastColumn="0"/>
            <w:tcW w:w="2409" w:type="dxa"/>
          </w:tcPr>
          <w:p w14:paraId="77C3148D" w14:textId="77777777" w:rsidR="00F02D2A" w:rsidRPr="00930C48" w:rsidRDefault="00F02D2A" w:rsidP="0083214A">
            <w:pPr>
              <w:jc w:val="center"/>
              <w:rPr>
                <w:noProof/>
              </w:rPr>
            </w:pPr>
            <w:r w:rsidRPr="00930C48">
              <w:rPr>
                <w:noProof/>
              </w:rPr>
              <w:t>Payments</w:t>
            </w:r>
          </w:p>
        </w:tc>
        <w:tc>
          <w:tcPr>
            <w:tcW w:w="2410" w:type="dxa"/>
          </w:tcPr>
          <w:tbl>
            <w:tblPr>
              <w:tblStyle w:val="TableGrid"/>
              <w:tblW w:w="2251" w:type="dxa"/>
              <w:tblLook w:val="06A0" w:firstRow="1" w:lastRow="0" w:firstColumn="1" w:lastColumn="0" w:noHBand="1" w:noVBand="1"/>
            </w:tblPr>
            <w:tblGrid>
              <w:gridCol w:w="2251"/>
            </w:tblGrid>
            <w:tr w:rsidR="00F02D2A" w:rsidRPr="00930C48" w14:paraId="004104F8" w14:textId="77777777" w:rsidTr="0083214A">
              <w:trPr>
                <w:trHeight w:val="362"/>
              </w:trPr>
              <w:tc>
                <w:tcPr>
                  <w:tcW w:w="2251" w:type="dxa"/>
                  <w:tcBorders>
                    <w:top w:val="nil"/>
                    <w:left w:val="nil"/>
                    <w:bottom w:val="nil"/>
                    <w:right w:val="nil"/>
                  </w:tcBorders>
                </w:tcPr>
                <w:p w14:paraId="11F85E29" w14:textId="77777777" w:rsidR="00F02D2A" w:rsidRPr="00930C48" w:rsidRDefault="00F02D2A" w:rsidP="0083214A">
                  <w:pPr>
                    <w:jc w:val="right"/>
                    <w:rPr>
                      <w:rFonts w:ascii="Calibri" w:hAnsi="Calibri" w:cs="Calibri"/>
                      <w:noProof/>
                      <w:color w:val="000000"/>
                    </w:rPr>
                  </w:pPr>
                  <w:r w:rsidRPr="1BC28F21">
                    <w:rPr>
                      <w:rFonts w:ascii="Calibri" w:hAnsi="Calibri" w:cs="Calibri"/>
                      <w:noProof/>
                      <w:color w:val="000000"/>
                    </w:rPr>
                    <w:t>216.6</w:t>
                  </w:r>
                </w:p>
              </w:tc>
            </w:tr>
          </w:tbl>
          <w:p w14:paraId="596848CD" w14:textId="77777777" w:rsidR="00F02D2A" w:rsidRPr="00930C48" w:rsidRDefault="00F02D2A"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10BDCED9" w14:textId="77777777" w:rsidR="00F02D2A" w:rsidRPr="00930C48" w:rsidRDefault="00F02D2A"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82"/>
            </w:tblGrid>
            <w:tr w:rsidR="00F02D2A" w:rsidRPr="00930C48" w14:paraId="2492440C" w14:textId="77777777" w:rsidTr="0083214A">
              <w:trPr>
                <w:trHeight w:val="285"/>
              </w:trPr>
              <w:tc>
                <w:tcPr>
                  <w:tcW w:w="2235" w:type="dxa"/>
                  <w:tcBorders>
                    <w:top w:val="nil"/>
                    <w:left w:val="nil"/>
                    <w:bottom w:val="nil"/>
                    <w:right w:val="nil"/>
                  </w:tcBorders>
                  <w:vAlign w:val="bottom"/>
                </w:tcPr>
                <w:tbl>
                  <w:tblPr>
                    <w:tblStyle w:val="TableGrid"/>
                    <w:tblW w:w="0" w:type="auto"/>
                    <w:tblLook w:val="06A0" w:firstRow="1" w:lastRow="0" w:firstColumn="1" w:lastColumn="0" w:noHBand="1" w:noVBand="1"/>
                  </w:tblPr>
                  <w:tblGrid>
                    <w:gridCol w:w="1966"/>
                  </w:tblGrid>
                  <w:tr w:rsidR="00F02D2A" w:rsidRPr="00930C48" w14:paraId="288E22E6" w14:textId="77777777" w:rsidTr="0083214A">
                    <w:trPr>
                      <w:trHeight w:val="285"/>
                    </w:trPr>
                    <w:tc>
                      <w:tcPr>
                        <w:tcW w:w="2070" w:type="dxa"/>
                        <w:tcBorders>
                          <w:top w:val="nil"/>
                          <w:left w:val="nil"/>
                          <w:bottom w:val="nil"/>
                          <w:right w:val="nil"/>
                        </w:tcBorders>
                        <w:vAlign w:val="bottom"/>
                      </w:tcPr>
                      <w:p w14:paraId="5CB50BAF" w14:textId="77777777" w:rsidR="00F02D2A" w:rsidRPr="00930C48" w:rsidRDefault="00F02D2A" w:rsidP="0083214A">
                        <w:pPr>
                          <w:jc w:val="right"/>
                          <w:rPr>
                            <w:noProof/>
                          </w:rPr>
                        </w:pPr>
                        <w:r w:rsidRPr="00930C48">
                          <w:rPr>
                            <w:rFonts w:ascii="Calibri" w:hAnsi="Calibri" w:cs="Calibri"/>
                            <w:noProof/>
                            <w:color w:val="000000"/>
                          </w:rPr>
                          <w:t>68.89%</w:t>
                        </w:r>
                      </w:p>
                    </w:tc>
                  </w:tr>
                </w:tbl>
                <w:p w14:paraId="6FDDA1BA" w14:textId="77777777" w:rsidR="00F02D2A" w:rsidRPr="00930C48" w:rsidRDefault="00F02D2A" w:rsidP="0083214A">
                  <w:pPr>
                    <w:jc w:val="right"/>
                    <w:rPr>
                      <w:rFonts w:ascii="Calibri" w:hAnsi="Calibri" w:cs="Calibri"/>
                      <w:noProof/>
                      <w:color w:val="000000"/>
                    </w:rPr>
                  </w:pPr>
                </w:p>
              </w:tc>
            </w:tr>
          </w:tbl>
          <w:p w14:paraId="1A49545B" w14:textId="77777777" w:rsidR="00F02D2A" w:rsidRPr="00930C48" w:rsidRDefault="00F02D2A" w:rsidP="0083214A">
            <w:pPr>
              <w:jc w:val="center"/>
              <w:cnfStyle w:val="000000000000" w:firstRow="0" w:lastRow="0" w:firstColumn="0" w:lastColumn="0" w:oddVBand="0" w:evenVBand="0" w:oddHBand="0" w:evenHBand="0" w:firstRowFirstColumn="0" w:firstRowLastColumn="0" w:lastRowFirstColumn="0" w:lastRowLastColumn="0"/>
              <w:rPr>
                <w:noProof/>
              </w:rPr>
            </w:pPr>
          </w:p>
        </w:tc>
      </w:tr>
    </w:tbl>
    <w:p w14:paraId="529CC272" w14:textId="77777777" w:rsidR="00F02D2A" w:rsidRPr="00930C48" w:rsidRDefault="00F02D2A" w:rsidP="00F02D2A">
      <w:pPr>
        <w:pStyle w:val="ppoListHyphened-L1"/>
        <w:jc w:val="both"/>
        <w:rPr>
          <w:rFonts w:eastAsia="EC Square Sans Pro" w:cs="EC Square Sans Pro"/>
          <w:noProof/>
        </w:rPr>
      </w:pPr>
      <w:r>
        <w:rPr>
          <w:noProof/>
        </w:rPr>
        <w:t>The incomplete budget consumption at the end of the 2014-2020 multiannual financial framework is explained by the fact that some of the projects need the prior signature of a financing agreement with the beneficiary country, and contracting can occur up to 3</w:t>
      </w:r>
      <w:r w:rsidRPr="1BC28F21">
        <w:rPr>
          <w:rFonts w:ascii="Calibri" w:hAnsi="Calibri" w:cs="Calibri"/>
          <w:noProof/>
        </w:rPr>
        <w:t> </w:t>
      </w:r>
      <w:r>
        <w:rPr>
          <w:noProof/>
        </w:rPr>
        <w:t>years after the exercise in which the financing agreement is signed. This means that part of the allocated budget of the 2014–2020 INSC will still be contracted in 2021–2023. This is consistent with the outcome of previous exercises.</w:t>
      </w:r>
    </w:p>
    <w:p w14:paraId="62DC66C7" w14:textId="77777777" w:rsidR="00F02D2A" w:rsidRPr="00930C48" w:rsidRDefault="00F02D2A" w:rsidP="00F02D2A">
      <w:pPr>
        <w:pStyle w:val="ppoListHyphened-L1"/>
        <w:jc w:val="both"/>
        <w:rPr>
          <w:noProof/>
        </w:rPr>
      </w:pPr>
      <w:r>
        <w:rPr>
          <w:noProof/>
        </w:rPr>
        <w:t>The payment appropriations for 2021 covered the costs of projects contracted in previous years and eight projects contracted in 2021.</w:t>
      </w:r>
    </w:p>
    <w:p w14:paraId="3C5FD88E" w14:textId="77777777" w:rsidR="00F02D2A" w:rsidRPr="00930C48" w:rsidRDefault="00F02D2A" w:rsidP="00F02D2A">
      <w:pPr>
        <w:pStyle w:val="ppoListHyphened-L1"/>
        <w:jc w:val="both"/>
        <w:rPr>
          <w:rFonts w:eastAsia="EC Square Sans Pro" w:cs="EC Square Sans Pro"/>
          <w:noProof/>
        </w:rPr>
      </w:pPr>
      <w:r>
        <w:rPr>
          <w:noProof/>
        </w:rPr>
        <w:t>The COVID-19 crisis significantly slowed down the implementation of projects in the beneficiary countries during 2020 and 2021, as the nuclear safety cooperation instrument is a fully centrally managed instrument. The very specific and technical nature of the instrument implies technical expertise that is not available in the EU delegations to the partner countries. Therefore, all programming activities from the definition and adoption of the annual action plan to the contracting, management and implementation of the projects, and reporting, are managed at the Commission’s headquarters. Travel restrictions due to the COVID-19 situation impacted the ability to deploy activities on-site.</w:t>
      </w:r>
    </w:p>
    <w:p w14:paraId="44038784" w14:textId="77777777" w:rsidR="00F02D2A" w:rsidRPr="00930C48" w:rsidRDefault="00F02D2A" w:rsidP="00F02D2A">
      <w:pPr>
        <w:pStyle w:val="ppoListHyphened-L1"/>
        <w:jc w:val="both"/>
        <w:rPr>
          <w:noProof/>
        </w:rPr>
      </w:pPr>
      <w:r>
        <w:rPr>
          <w:noProof/>
        </w:rPr>
        <w:t>Remote cooperation has been used as often as practically feasible, in particular for training activities, but did not allow a 100%-effective recovery plan. Only eight contracts were signed in 2021, compared to an annual average of 12 previously. As a result, the end-of-year payment forecast was lowered as the original payment forecast was not met.</w:t>
      </w:r>
    </w:p>
    <w:p w14:paraId="5672BB2D" w14:textId="77777777" w:rsidR="00F02D2A" w:rsidRPr="00930C48" w:rsidRDefault="00F02D2A" w:rsidP="00F02D2A">
      <w:pPr>
        <w:pStyle w:val="ppoListHyphened-L1"/>
        <w:jc w:val="both"/>
        <w:rPr>
          <w:noProof/>
        </w:rPr>
      </w:pPr>
      <w:r>
        <w:rPr>
          <w:noProof/>
        </w:rPr>
        <w:t>An example of projects being implemented relates to central Asia. The central Asian states have inherited 1</w:t>
      </w:r>
      <w:r w:rsidRPr="1BC28F21">
        <w:rPr>
          <w:rFonts w:ascii="Calibri" w:hAnsi="Calibri" w:cs="Calibri"/>
          <w:noProof/>
        </w:rPr>
        <w:t> </w:t>
      </w:r>
      <w:r>
        <w:rPr>
          <w:noProof/>
        </w:rPr>
        <w:t>billion</w:t>
      </w:r>
      <w:r w:rsidRPr="1BC28F21">
        <w:rPr>
          <w:rFonts w:ascii="Calibri" w:hAnsi="Calibri" w:cs="Calibri"/>
          <w:noProof/>
        </w:rPr>
        <w:t> </w:t>
      </w:r>
      <w:r>
        <w:rPr>
          <w:noProof/>
        </w:rPr>
        <w:t>tonnes of hazardous processing waste, which consists of highly toxic chemical and radioactive residues left behind and unsafely stored in uranium legacy sites. The instrument supports the implementation of the remediation programme. The first two remediation projects in Kyrgyzstan began in 2020 and are about to be completed, and activities began in Uzbekistan in 2021.</w:t>
      </w:r>
    </w:p>
    <w:p w14:paraId="0A83A097" w14:textId="77777777" w:rsidR="00F02D2A" w:rsidRPr="00930C48" w:rsidRDefault="00F02D2A" w:rsidP="00F02D2A">
      <w:pPr>
        <w:pStyle w:val="ppoHeading5"/>
        <w:rPr>
          <w:noProof/>
        </w:rPr>
      </w:pPr>
      <w:r w:rsidRPr="00930C48">
        <w:rPr>
          <w:noProof/>
        </w:rPr>
        <w:t>Performance assessment</w:t>
      </w:r>
    </w:p>
    <w:p w14:paraId="76B48244" w14:textId="77777777" w:rsidR="00F02D2A" w:rsidRPr="00930C48" w:rsidRDefault="00F02D2A" w:rsidP="00F02D2A">
      <w:pPr>
        <w:pStyle w:val="ppoHeading6"/>
        <w:rPr>
          <w:noProof/>
        </w:rPr>
      </w:pPr>
      <w:r w:rsidRPr="00930C48">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F02D2A" w:rsidRPr="00930C48" w14:paraId="17879714" w14:textId="77777777" w:rsidTr="0083214A">
        <w:trPr>
          <w:cnfStyle w:val="100000000000" w:firstRow="1" w:lastRow="0" w:firstColumn="0" w:lastColumn="0" w:oddVBand="0" w:evenVBand="0" w:oddHBand="0" w:evenHBand="0" w:firstRowFirstColumn="0" w:firstRowLastColumn="0" w:lastRowFirstColumn="0" w:lastRowLastColumn="0"/>
        </w:trPr>
        <w:tc>
          <w:tcPr>
            <w:tcW w:w="2330" w:type="dxa"/>
          </w:tcPr>
          <w:p w14:paraId="05F65A80" w14:textId="77777777" w:rsidR="00F02D2A" w:rsidRPr="00930C48" w:rsidRDefault="00F02D2A" w:rsidP="0083214A">
            <w:pPr>
              <w:rPr>
                <w:noProof/>
              </w:rPr>
            </w:pPr>
          </w:p>
        </w:tc>
        <w:tc>
          <w:tcPr>
            <w:tcW w:w="1100" w:type="dxa"/>
          </w:tcPr>
          <w:p w14:paraId="56FA9446" w14:textId="77777777" w:rsidR="00F02D2A" w:rsidRPr="00930C48" w:rsidRDefault="00F02D2A" w:rsidP="0083214A">
            <w:pPr>
              <w:rPr>
                <w:noProof/>
              </w:rPr>
            </w:pPr>
            <w:r w:rsidRPr="00930C48">
              <w:rPr>
                <w:noProof/>
              </w:rPr>
              <w:t>Baseline</w:t>
            </w:r>
          </w:p>
        </w:tc>
        <w:tc>
          <w:tcPr>
            <w:tcW w:w="1526" w:type="dxa"/>
          </w:tcPr>
          <w:p w14:paraId="66172EF9" w14:textId="77777777" w:rsidR="00F02D2A" w:rsidRPr="00930C48" w:rsidRDefault="00F02D2A" w:rsidP="0083214A">
            <w:pPr>
              <w:rPr>
                <w:noProof/>
              </w:rPr>
            </w:pPr>
            <w:r w:rsidRPr="00930C48">
              <w:rPr>
                <w:noProof/>
              </w:rPr>
              <w:t>Progress (*)</w:t>
            </w:r>
          </w:p>
        </w:tc>
        <w:tc>
          <w:tcPr>
            <w:tcW w:w="1532" w:type="dxa"/>
          </w:tcPr>
          <w:p w14:paraId="2271F5BA" w14:textId="77777777" w:rsidR="00F02D2A" w:rsidRPr="00930C48" w:rsidRDefault="00F02D2A" w:rsidP="0083214A">
            <w:pPr>
              <w:rPr>
                <w:noProof/>
              </w:rPr>
            </w:pPr>
            <w:r w:rsidRPr="00930C48">
              <w:rPr>
                <w:noProof/>
              </w:rPr>
              <w:t>Target</w:t>
            </w:r>
          </w:p>
        </w:tc>
        <w:tc>
          <w:tcPr>
            <w:tcW w:w="1572" w:type="dxa"/>
          </w:tcPr>
          <w:p w14:paraId="08ECB04C" w14:textId="77777777" w:rsidR="00F02D2A" w:rsidRPr="00930C48" w:rsidRDefault="00F02D2A" w:rsidP="0083214A">
            <w:pPr>
              <w:rPr>
                <w:noProof/>
              </w:rPr>
            </w:pPr>
            <w:r w:rsidRPr="00930C48">
              <w:rPr>
                <w:noProof/>
              </w:rPr>
              <w:t>Results</w:t>
            </w:r>
          </w:p>
        </w:tc>
        <w:tc>
          <w:tcPr>
            <w:tcW w:w="1579" w:type="dxa"/>
          </w:tcPr>
          <w:p w14:paraId="7B341146" w14:textId="77777777" w:rsidR="00F02D2A" w:rsidRPr="00930C48" w:rsidRDefault="00F02D2A" w:rsidP="0083214A">
            <w:pPr>
              <w:rPr>
                <w:noProof/>
              </w:rPr>
            </w:pPr>
            <w:r w:rsidRPr="00930C48">
              <w:rPr>
                <w:noProof/>
              </w:rPr>
              <w:t>Assessment</w:t>
            </w:r>
          </w:p>
        </w:tc>
      </w:tr>
      <w:tr w:rsidR="00F02D2A" w:rsidRPr="00930C48" w14:paraId="57E75E13"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47BB9C6D" w14:textId="77777777" w:rsidR="00F02D2A" w:rsidRPr="00930C48" w:rsidRDefault="00F02D2A" w:rsidP="0083214A">
            <w:pPr>
              <w:rPr>
                <w:noProof/>
              </w:rPr>
            </w:pPr>
            <w:r>
              <w:rPr>
                <w:noProof/>
              </w:rPr>
              <w:t>Nuclear safety culture and radiation protection standards</w:t>
            </w:r>
            <w:r w:rsidRPr="1BC28F21">
              <w:rPr>
                <w:rFonts w:ascii="Calibri" w:hAnsi="Calibri" w:cs="Calibri"/>
                <w:noProof/>
              </w:rPr>
              <w:t> </w:t>
            </w:r>
            <w:r>
              <w:rPr>
                <w:noProof/>
              </w:rPr>
              <w:t>– regulatory documents produced with the support of EU expertise</w:t>
            </w:r>
          </w:p>
        </w:tc>
        <w:tc>
          <w:tcPr>
            <w:tcW w:w="1100" w:type="dxa"/>
          </w:tcPr>
          <w:p w14:paraId="036CEA5A" w14:textId="77777777" w:rsidR="00F02D2A" w:rsidRPr="00930C48" w:rsidRDefault="00F02D2A" w:rsidP="0083214A">
            <w:pPr>
              <w:jc w:val="center"/>
              <w:rPr>
                <w:noProof/>
              </w:rPr>
            </w:pPr>
          </w:p>
        </w:tc>
        <w:tc>
          <w:tcPr>
            <w:tcW w:w="1526" w:type="dxa"/>
          </w:tcPr>
          <w:p w14:paraId="04672FA1" w14:textId="77777777" w:rsidR="00F02D2A" w:rsidRPr="00930C48" w:rsidRDefault="00F02D2A" w:rsidP="0083214A">
            <w:pPr>
              <w:jc w:val="center"/>
              <w:rPr>
                <w:b/>
                <w:noProof/>
              </w:rPr>
            </w:pPr>
            <w:r w:rsidRPr="00930C48">
              <w:rPr>
                <w:noProof/>
              </w:rPr>
              <w:t>&gt; 100%</w:t>
            </w:r>
          </w:p>
        </w:tc>
        <w:tc>
          <w:tcPr>
            <w:tcW w:w="1532" w:type="dxa"/>
          </w:tcPr>
          <w:p w14:paraId="059AD80F" w14:textId="77777777" w:rsidR="00F02D2A" w:rsidRPr="00930C48" w:rsidRDefault="00F02D2A" w:rsidP="0083214A">
            <w:pPr>
              <w:jc w:val="center"/>
              <w:rPr>
                <w:noProof/>
              </w:rPr>
            </w:pPr>
            <w:r w:rsidRPr="00930C48">
              <w:rPr>
                <w:noProof/>
              </w:rPr>
              <w:t>8</w:t>
            </w:r>
          </w:p>
        </w:tc>
        <w:tc>
          <w:tcPr>
            <w:tcW w:w="1572" w:type="dxa"/>
          </w:tcPr>
          <w:p w14:paraId="205F5D24" w14:textId="77777777" w:rsidR="00F02D2A" w:rsidRPr="00930C48" w:rsidRDefault="00F02D2A" w:rsidP="0083214A">
            <w:pPr>
              <w:jc w:val="center"/>
              <w:rPr>
                <w:noProof/>
              </w:rPr>
            </w:pPr>
            <w:r w:rsidRPr="00930C48">
              <w:rPr>
                <w:noProof/>
              </w:rPr>
              <w:t>36 compared to a target of 8</w:t>
            </w:r>
          </w:p>
        </w:tc>
        <w:tc>
          <w:tcPr>
            <w:tcW w:w="1579" w:type="dxa"/>
          </w:tcPr>
          <w:p w14:paraId="0584EF92" w14:textId="77777777" w:rsidR="00F02D2A" w:rsidRPr="00930C48" w:rsidRDefault="00F02D2A" w:rsidP="0083214A">
            <w:pPr>
              <w:jc w:val="center"/>
              <w:rPr>
                <w:noProof/>
              </w:rPr>
            </w:pPr>
            <w:r w:rsidRPr="00930C48">
              <w:rPr>
                <w:noProof/>
              </w:rPr>
              <w:t>On track</w:t>
            </w:r>
          </w:p>
        </w:tc>
      </w:tr>
      <w:tr w:rsidR="00F02D2A" w:rsidRPr="00930C48" w14:paraId="6D264AFF"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6210D4EB" w14:textId="77777777" w:rsidR="00F02D2A" w:rsidRPr="00930C48" w:rsidRDefault="00F02D2A" w:rsidP="0083214A">
            <w:pPr>
              <w:rPr>
                <w:noProof/>
              </w:rPr>
            </w:pPr>
            <w:r>
              <w:rPr>
                <w:noProof/>
              </w:rPr>
              <w:t>Responsible and safe management of spent fuel and radioactive waste</w:t>
            </w:r>
            <w:r w:rsidRPr="1BC28F21">
              <w:rPr>
                <w:rFonts w:ascii="Calibri" w:hAnsi="Calibri" w:cs="Calibri"/>
                <w:noProof/>
              </w:rPr>
              <w:t> </w:t>
            </w:r>
            <w:r>
              <w:rPr>
                <w:noProof/>
              </w:rPr>
              <w:t>– regulatory documents produced with the support of EU expertise</w:t>
            </w:r>
          </w:p>
        </w:tc>
        <w:tc>
          <w:tcPr>
            <w:tcW w:w="1100" w:type="dxa"/>
          </w:tcPr>
          <w:p w14:paraId="3AC5294B" w14:textId="77777777" w:rsidR="00F02D2A" w:rsidRPr="00930C48" w:rsidRDefault="00F02D2A" w:rsidP="0083214A">
            <w:pPr>
              <w:jc w:val="center"/>
              <w:rPr>
                <w:noProof/>
              </w:rPr>
            </w:pPr>
          </w:p>
        </w:tc>
        <w:tc>
          <w:tcPr>
            <w:tcW w:w="1526" w:type="dxa"/>
          </w:tcPr>
          <w:p w14:paraId="38CDE7A1" w14:textId="77777777" w:rsidR="00F02D2A" w:rsidRPr="00930C48" w:rsidRDefault="00F02D2A" w:rsidP="0083214A">
            <w:pPr>
              <w:jc w:val="center"/>
              <w:rPr>
                <w:b/>
                <w:noProof/>
              </w:rPr>
            </w:pPr>
            <w:r w:rsidRPr="00930C48">
              <w:rPr>
                <w:noProof/>
              </w:rPr>
              <w:t>&gt; 100%</w:t>
            </w:r>
          </w:p>
        </w:tc>
        <w:tc>
          <w:tcPr>
            <w:tcW w:w="1532" w:type="dxa"/>
          </w:tcPr>
          <w:p w14:paraId="4E3BECF8" w14:textId="77777777" w:rsidR="00F02D2A" w:rsidRPr="00930C48" w:rsidRDefault="00F02D2A" w:rsidP="0083214A">
            <w:pPr>
              <w:jc w:val="center"/>
              <w:rPr>
                <w:noProof/>
              </w:rPr>
            </w:pPr>
            <w:r w:rsidRPr="00930C48">
              <w:rPr>
                <w:noProof/>
              </w:rPr>
              <w:t>9</w:t>
            </w:r>
          </w:p>
        </w:tc>
        <w:tc>
          <w:tcPr>
            <w:tcW w:w="1572" w:type="dxa"/>
          </w:tcPr>
          <w:p w14:paraId="6BFECBFE" w14:textId="77777777" w:rsidR="00F02D2A" w:rsidRPr="00930C48" w:rsidRDefault="00F02D2A" w:rsidP="0083214A">
            <w:pPr>
              <w:jc w:val="center"/>
              <w:rPr>
                <w:noProof/>
              </w:rPr>
            </w:pPr>
            <w:r w:rsidRPr="00930C48">
              <w:rPr>
                <w:noProof/>
              </w:rPr>
              <w:t>18 compared to a target of 9</w:t>
            </w:r>
          </w:p>
        </w:tc>
        <w:tc>
          <w:tcPr>
            <w:tcW w:w="1579" w:type="dxa"/>
          </w:tcPr>
          <w:p w14:paraId="28E4D0AD" w14:textId="77777777" w:rsidR="00F02D2A" w:rsidRPr="00930C48" w:rsidRDefault="00F02D2A" w:rsidP="0083214A">
            <w:pPr>
              <w:jc w:val="center"/>
              <w:rPr>
                <w:noProof/>
              </w:rPr>
            </w:pPr>
            <w:r w:rsidRPr="00930C48">
              <w:rPr>
                <w:noProof/>
              </w:rPr>
              <w:t>On track</w:t>
            </w:r>
          </w:p>
        </w:tc>
      </w:tr>
      <w:tr w:rsidR="00F02D2A" w:rsidRPr="00930C48" w14:paraId="04B59706"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711803C8" w14:textId="77777777" w:rsidR="00F02D2A" w:rsidRPr="00930C48" w:rsidRDefault="00F02D2A" w:rsidP="0083214A">
            <w:pPr>
              <w:rPr>
                <w:noProof/>
              </w:rPr>
            </w:pPr>
            <w:r w:rsidRPr="00930C48">
              <w:rPr>
                <w:noProof/>
              </w:rPr>
              <w:t>Nuclear safeguard authorities benefiting from Commission-funded projects</w:t>
            </w:r>
          </w:p>
        </w:tc>
        <w:tc>
          <w:tcPr>
            <w:tcW w:w="1100" w:type="dxa"/>
          </w:tcPr>
          <w:p w14:paraId="41560645" w14:textId="77777777" w:rsidR="00F02D2A" w:rsidRPr="00930C48" w:rsidRDefault="00F02D2A" w:rsidP="0083214A">
            <w:pPr>
              <w:jc w:val="center"/>
              <w:rPr>
                <w:noProof/>
              </w:rPr>
            </w:pPr>
          </w:p>
        </w:tc>
        <w:tc>
          <w:tcPr>
            <w:tcW w:w="1526" w:type="dxa"/>
          </w:tcPr>
          <w:p w14:paraId="1C3B4D3A" w14:textId="77777777" w:rsidR="00F02D2A" w:rsidRPr="00930C48" w:rsidRDefault="00F02D2A" w:rsidP="0083214A">
            <w:pPr>
              <w:jc w:val="center"/>
              <w:rPr>
                <w:b/>
                <w:noProof/>
              </w:rPr>
            </w:pPr>
            <w:r w:rsidRPr="00930C48">
              <w:rPr>
                <w:noProof/>
              </w:rPr>
              <w:t>&gt; 100%</w:t>
            </w:r>
          </w:p>
        </w:tc>
        <w:tc>
          <w:tcPr>
            <w:tcW w:w="1532" w:type="dxa"/>
          </w:tcPr>
          <w:p w14:paraId="2A0E5A7A" w14:textId="77777777" w:rsidR="00F02D2A" w:rsidRPr="00930C48" w:rsidRDefault="00F02D2A" w:rsidP="0083214A">
            <w:pPr>
              <w:jc w:val="center"/>
              <w:rPr>
                <w:noProof/>
              </w:rPr>
            </w:pPr>
            <w:r w:rsidRPr="00930C48">
              <w:rPr>
                <w:noProof/>
              </w:rPr>
              <w:t>3</w:t>
            </w:r>
          </w:p>
        </w:tc>
        <w:tc>
          <w:tcPr>
            <w:tcW w:w="1572" w:type="dxa"/>
          </w:tcPr>
          <w:p w14:paraId="03B1BAD6" w14:textId="77777777" w:rsidR="00F02D2A" w:rsidRPr="00930C48" w:rsidRDefault="00F02D2A" w:rsidP="0083214A">
            <w:pPr>
              <w:jc w:val="center"/>
              <w:rPr>
                <w:noProof/>
              </w:rPr>
            </w:pPr>
            <w:r w:rsidRPr="00930C48">
              <w:rPr>
                <w:noProof/>
              </w:rPr>
              <w:t>4 compared to a target of 3</w:t>
            </w:r>
          </w:p>
        </w:tc>
        <w:tc>
          <w:tcPr>
            <w:tcW w:w="1579" w:type="dxa"/>
          </w:tcPr>
          <w:p w14:paraId="54596647" w14:textId="77777777" w:rsidR="00F02D2A" w:rsidRPr="00930C48" w:rsidRDefault="00F02D2A" w:rsidP="0083214A">
            <w:pPr>
              <w:jc w:val="center"/>
              <w:rPr>
                <w:noProof/>
              </w:rPr>
            </w:pPr>
            <w:r w:rsidRPr="00930C48">
              <w:rPr>
                <w:noProof/>
              </w:rPr>
              <w:t>On track</w:t>
            </w:r>
          </w:p>
        </w:tc>
      </w:tr>
    </w:tbl>
    <w:p w14:paraId="456F83DE" w14:textId="77777777" w:rsidR="00F02D2A" w:rsidRPr="00930C48" w:rsidRDefault="00F02D2A" w:rsidP="00F02D2A">
      <w:pPr>
        <w:pStyle w:val="FootnoteText"/>
        <w:rPr>
          <w:noProof/>
        </w:rPr>
      </w:pPr>
      <w:r>
        <w:rPr>
          <w:noProof/>
        </w:rPr>
        <w:t>(*) % of target achieved by the end of 2020.</w:t>
      </w:r>
    </w:p>
    <w:p w14:paraId="6222A873" w14:textId="77777777" w:rsidR="00F02D2A" w:rsidRPr="00930C48" w:rsidRDefault="00F02D2A" w:rsidP="00F02D2A">
      <w:pPr>
        <w:pStyle w:val="ppoListHyphened-L1"/>
        <w:jc w:val="both"/>
        <w:rPr>
          <w:noProof/>
        </w:rPr>
      </w:pPr>
      <w:r>
        <w:rPr>
          <w:noProof/>
        </w:rPr>
        <w:t>Whereas the assessment noted the high relevance and unique benefit of INSC, it also emphasised the need for improvements in cooperating with international organisations such as the Atomic Energy Agency.</w:t>
      </w:r>
    </w:p>
    <w:p w14:paraId="66A52495" w14:textId="77777777" w:rsidR="00F02D2A" w:rsidRPr="00930C48" w:rsidRDefault="00F02D2A" w:rsidP="00F02D2A">
      <w:pPr>
        <w:pStyle w:val="ppoListHyphened-L1"/>
        <w:jc w:val="both"/>
        <w:rPr>
          <w:noProof/>
        </w:rPr>
      </w:pPr>
      <w:r>
        <w:rPr>
          <w:noProof/>
        </w:rPr>
        <w:t>Since 1991, cooperation with the regulatory authorities has primarily aimed at improving the governmental, legal and regulatory frameworks, based on experiences in the EU. This involved the transfer of regulatory practices used in the Member States.</w:t>
      </w:r>
    </w:p>
    <w:p w14:paraId="68795C0A" w14:textId="77777777" w:rsidR="00F02D2A" w:rsidRPr="00930C48" w:rsidRDefault="00F02D2A" w:rsidP="00F02D2A">
      <w:pPr>
        <w:pStyle w:val="ppoListHyphened-L1"/>
        <w:jc w:val="both"/>
        <w:rPr>
          <w:noProof/>
        </w:rPr>
      </w:pPr>
      <w:r>
        <w:rPr>
          <w:noProof/>
        </w:rPr>
        <w:t>The competence of staff working in the nuclear area is of the utmost importance to ensure that the use of nuclear technology is safe. The instrument supported training and tutoring actions, which transfer EU knowledge to students and young professionals. Some 2</w:t>
      </w:r>
      <w:r w:rsidRPr="1BC28F21">
        <w:rPr>
          <w:rFonts w:ascii="Calibri" w:hAnsi="Calibri" w:cs="Calibri"/>
          <w:noProof/>
        </w:rPr>
        <w:t> </w:t>
      </w:r>
      <w:r w:rsidRPr="1BC28F21">
        <w:rPr>
          <w:rFonts w:cs="Calibri"/>
          <w:noProof/>
        </w:rPr>
        <w:t xml:space="preserve">500 staff were trained </w:t>
      </w:r>
      <w:r>
        <w:rPr>
          <w:noProof/>
        </w:rPr>
        <w:t>in the beneficiary countries between 2014 and 2020. Around 34% of these were women, which contributes to the gender equality goal in a highly specialised scientific area. This confirms the success of the programme.</w:t>
      </w:r>
    </w:p>
    <w:p w14:paraId="12CCEBC3" w14:textId="77777777" w:rsidR="00F02D2A" w:rsidRPr="00930C48" w:rsidRDefault="00F02D2A" w:rsidP="00F02D2A">
      <w:pPr>
        <w:pStyle w:val="ppoListHyphened-L1"/>
        <w:jc w:val="both"/>
        <w:rPr>
          <w:noProof/>
        </w:rPr>
      </w:pPr>
      <w:r>
        <w:rPr>
          <w:noProof/>
        </w:rPr>
        <w:t>A major milestone was to make the Chernobyl site environmentally stable and safe. This goal was met on 29</w:t>
      </w:r>
      <w:r w:rsidRPr="1BC28F21">
        <w:rPr>
          <w:rFonts w:ascii="Calibri" w:hAnsi="Calibri" w:cs="Calibri"/>
          <w:noProof/>
        </w:rPr>
        <w:t> </w:t>
      </w:r>
      <w:r>
        <w:rPr>
          <w:noProof/>
        </w:rPr>
        <w:t>November 2016 by sliding the New Safe Confinement over the nuclear reactor destroyed in April</w:t>
      </w:r>
      <w:r w:rsidRPr="1BC28F21">
        <w:rPr>
          <w:rFonts w:ascii="Calibri" w:hAnsi="Calibri" w:cs="Calibri"/>
          <w:noProof/>
        </w:rPr>
        <w:t> </w:t>
      </w:r>
      <w:r>
        <w:rPr>
          <w:noProof/>
        </w:rPr>
        <w:t>1986. The New Safe Confinement is a giant arch-shaped structure that covers the damaged Chernobyl Unit 4 in order to prevent any further radioactive release.</w:t>
      </w:r>
    </w:p>
    <w:p w14:paraId="5A7D628B" w14:textId="77777777" w:rsidR="00F02D2A" w:rsidRPr="00930C48" w:rsidRDefault="00F02D2A" w:rsidP="00F02D2A">
      <w:pPr>
        <w:pStyle w:val="ppoListHyphened-L1"/>
        <w:jc w:val="both"/>
        <w:rPr>
          <w:noProof/>
        </w:rPr>
      </w:pPr>
      <w:r>
        <w:rPr>
          <w:noProof/>
        </w:rPr>
        <w:t>The total project cost is in the order of EUR</w:t>
      </w:r>
      <w:r w:rsidRPr="1BC28F21">
        <w:rPr>
          <w:rFonts w:ascii="Calibri" w:hAnsi="Calibri" w:cs="Calibri"/>
          <w:noProof/>
        </w:rPr>
        <w:t> </w:t>
      </w:r>
      <w:r>
        <w:rPr>
          <w:noProof/>
        </w:rPr>
        <w:t>1.5</w:t>
      </w:r>
      <w:r w:rsidRPr="1BC28F21">
        <w:rPr>
          <w:rFonts w:ascii="Calibri" w:hAnsi="Calibri" w:cs="Calibri"/>
          <w:noProof/>
        </w:rPr>
        <w:t> </w:t>
      </w:r>
      <w:r>
        <w:rPr>
          <w:noProof/>
        </w:rPr>
        <w:t>billion, to which the EU contributed more than EUR</w:t>
      </w:r>
      <w:r w:rsidRPr="1BC28F21">
        <w:rPr>
          <w:rFonts w:ascii="Calibri" w:hAnsi="Calibri" w:cs="Calibri"/>
          <w:noProof/>
        </w:rPr>
        <w:t> </w:t>
      </w:r>
      <w:r>
        <w:rPr>
          <w:noProof/>
        </w:rPr>
        <w:t>430</w:t>
      </w:r>
      <w:r w:rsidRPr="1BC28F21">
        <w:rPr>
          <w:rFonts w:ascii="Calibri" w:hAnsi="Calibri" w:cs="Calibri"/>
          <w:noProof/>
        </w:rPr>
        <w:t> </w:t>
      </w:r>
      <w:r>
        <w:rPr>
          <w:noProof/>
        </w:rPr>
        <w:t>million (across several multiannual financial frameworks).</w:t>
      </w:r>
    </w:p>
    <w:p w14:paraId="173A4C02" w14:textId="77777777" w:rsidR="00F02D2A" w:rsidRPr="00930C48" w:rsidRDefault="00F02D2A" w:rsidP="00F02D2A">
      <w:pPr>
        <w:pStyle w:val="ppoListHyphened-L1"/>
        <w:numPr>
          <w:ilvl w:val="0"/>
          <w:numId w:val="0"/>
        </w:numPr>
        <w:rPr>
          <w:noProof/>
        </w:rPr>
      </w:pPr>
      <w:r>
        <w:rPr>
          <w:noProof/>
        </w:rPr>
        <w:t>In July 2019, the facility was officially handed over to the Ukrainian government. In 2020, the final facility used for safely storing the spent nuclear fuel was completed and transferred to Ukraine, terminating the long-lasting international engagement for Chernobyl.</w:t>
      </w:r>
    </w:p>
    <w:p w14:paraId="707FC3D8" w14:textId="77777777" w:rsidR="00F02D2A" w:rsidRDefault="00F02D2A" w:rsidP="005348AD">
      <w:pPr>
        <w:pStyle w:val="ppoListHyphened-L1"/>
        <w:numPr>
          <w:ilvl w:val="0"/>
          <w:numId w:val="0"/>
        </w:numPr>
        <w:ind w:left="357" w:hanging="357"/>
        <w:rPr>
          <w:b/>
          <w:noProof/>
        </w:rPr>
        <w:sectPr w:rsidR="00F02D2A" w:rsidSect="0083214A">
          <w:headerReference w:type="even" r:id="rId542"/>
          <w:headerReference w:type="default" r:id="rId543"/>
          <w:footerReference w:type="even" r:id="rId544"/>
          <w:footerReference w:type="default" r:id="rId545"/>
          <w:headerReference w:type="first" r:id="rId546"/>
          <w:footerReference w:type="first" r:id="rId547"/>
          <w:type w:val="continuous"/>
          <w:pgSz w:w="11906" w:h="16838" w:code="9"/>
          <w:pgMar w:top="1134" w:right="1134" w:bottom="964" w:left="1134" w:header="431" w:footer="431" w:gutter="0"/>
          <w:cols w:space="720"/>
          <w:docGrid w:linePitch="360"/>
        </w:sectPr>
      </w:pPr>
    </w:p>
    <w:p w14:paraId="48B3271B" w14:textId="77777777" w:rsidR="008124CC" w:rsidRPr="004067AA" w:rsidRDefault="008124CC" w:rsidP="008124CC">
      <w:pPr>
        <w:pStyle w:val="StyleppoHeading3WhiteLeft0cm"/>
        <w:rPr>
          <w:noProof/>
          <w:sz w:val="40"/>
          <w:szCs w:val="40"/>
        </w:rPr>
      </w:pPr>
    </w:p>
    <w:p w14:paraId="1BF00736" w14:textId="77777777" w:rsidR="008124CC" w:rsidRPr="004067AA" w:rsidRDefault="008124CC" w:rsidP="008124CC">
      <w:pPr>
        <w:pStyle w:val="StyleppoHeading3WhiteLeft0cm"/>
        <w:rPr>
          <w:noProof/>
          <w:sz w:val="60"/>
          <w:szCs w:val="60"/>
        </w:rPr>
      </w:pPr>
      <w:bookmarkStart w:id="252" w:name="_Toc102086369"/>
      <w:r w:rsidRPr="004067AA">
        <w:rPr>
          <w:noProof/>
          <w:sz w:val="60"/>
          <w:szCs w:val="60"/>
        </w:rPr>
        <w:t>HUMA</w:t>
      </w:r>
      <w:bookmarkEnd w:id="252"/>
    </w:p>
    <w:p w14:paraId="62515245" w14:textId="77777777" w:rsidR="008124CC" w:rsidRPr="00040D99" w:rsidRDefault="008124CC" w:rsidP="008124CC">
      <w:pPr>
        <w:pStyle w:val="StyleppoProgrammenameWhiteLeft01cm"/>
        <w:rPr>
          <w:noProof/>
        </w:rPr>
      </w:pPr>
      <w:r>
        <w:rPr>
          <w:noProof/>
        </w:rPr>
        <w:t>HUMANITARIAN AID PROGRAMME</w:t>
      </w:r>
    </w:p>
    <w:p w14:paraId="64CE0EFC" w14:textId="77777777" w:rsidR="008124CC" w:rsidRPr="00351CB7" w:rsidRDefault="008124CC" w:rsidP="008124CC">
      <w:pPr>
        <w:pStyle w:val="ppoHeading4Red"/>
        <w:rPr>
          <w:noProof/>
        </w:rPr>
      </w:pPr>
      <w:r w:rsidRPr="00351CB7">
        <w:rPr>
          <w:noProof/>
        </w:rPr>
        <w:t>Programme in a nutshell</w:t>
      </w:r>
    </w:p>
    <w:p w14:paraId="5021C54B" w14:textId="77777777" w:rsidR="008124CC" w:rsidRPr="00040D99" w:rsidRDefault="008124CC" w:rsidP="008124CC">
      <w:pPr>
        <w:spacing w:after="480"/>
        <w:rPr>
          <w:rFonts w:eastAsiaTheme="minorEastAsia"/>
          <w:noProof/>
          <w:color w:val="FFFFFF" w:themeColor="background1"/>
          <w:sz w:val="32"/>
        </w:rPr>
        <w:sectPr w:rsidR="008124CC" w:rsidRPr="00040D99" w:rsidSect="0083214A">
          <w:headerReference w:type="even" r:id="rId548"/>
          <w:headerReference w:type="default" r:id="rId549"/>
          <w:footerReference w:type="even" r:id="rId550"/>
          <w:footerReference w:type="default" r:id="rId551"/>
          <w:headerReference w:type="first" r:id="rId552"/>
          <w:footerReference w:type="first" r:id="rId553"/>
          <w:pgSz w:w="11906" w:h="16838" w:code="9"/>
          <w:pgMar w:top="1134" w:right="1134" w:bottom="964" w:left="1134" w:header="431" w:footer="431" w:gutter="0"/>
          <w:cols w:space="720"/>
          <w:docGrid w:linePitch="360"/>
        </w:sectPr>
      </w:pPr>
    </w:p>
    <w:p w14:paraId="3A9AAFBA" w14:textId="77777777" w:rsidR="008124CC" w:rsidRPr="00040D99" w:rsidRDefault="008124CC" w:rsidP="008124CC">
      <w:pPr>
        <w:pStyle w:val="ppoHeading5"/>
        <w:rPr>
          <w:noProof/>
        </w:rPr>
      </w:pPr>
      <w:r w:rsidRPr="00040D99">
        <w:rPr>
          <w:noProof/>
        </w:rPr>
        <w:t>Concrete examples of achievements</w:t>
      </w:r>
      <w:r>
        <w:rPr>
          <w:rFonts w:ascii="Calibri" w:hAnsi="Calibri" w:cs="Calibri"/>
          <w:noProof/>
        </w:rPr>
        <w:t> </w:t>
      </w:r>
      <w:r>
        <w:rPr>
          <w:noProof/>
        </w:rPr>
        <w:t>(*)</w:t>
      </w:r>
    </w:p>
    <w:tbl>
      <w:tblPr>
        <w:tblStyle w:val="PPO2021"/>
        <w:tblW w:w="9639" w:type="dxa"/>
        <w:tblInd w:w="0" w:type="dxa"/>
        <w:tblLook w:val="0200" w:firstRow="0" w:lastRow="0" w:firstColumn="0" w:lastColumn="0" w:noHBand="1" w:noVBand="0"/>
      </w:tblPr>
      <w:tblGrid>
        <w:gridCol w:w="2410"/>
        <w:gridCol w:w="2409"/>
        <w:gridCol w:w="2410"/>
        <w:gridCol w:w="2410"/>
      </w:tblGrid>
      <w:tr w:rsidR="008124CC" w:rsidRPr="00040D99" w14:paraId="187AAFA7" w14:textId="77777777" w:rsidTr="0083214A">
        <w:tc>
          <w:tcPr>
            <w:tcW w:w="2410" w:type="dxa"/>
          </w:tcPr>
          <w:p w14:paraId="5B545879" w14:textId="77777777" w:rsidR="008124CC" w:rsidRPr="0076270C" w:rsidRDefault="008124CC" w:rsidP="0083214A">
            <w:pPr>
              <w:pStyle w:val="ppoTableacheivementvalue"/>
              <w:rPr>
                <w:noProof/>
              </w:rPr>
            </w:pPr>
            <w:r w:rsidRPr="004908AA">
              <w:rPr>
                <w:noProof/>
              </w:rPr>
              <w:t>EUR</w:t>
            </w:r>
            <w:r>
              <w:rPr>
                <w:rFonts w:ascii="Calibri" w:hAnsi="Calibri" w:cs="Calibri"/>
                <w:noProof/>
              </w:rPr>
              <w:t> </w:t>
            </w:r>
            <w:r w:rsidRPr="004908AA">
              <w:rPr>
                <w:noProof/>
              </w:rPr>
              <w:t>2.2</w:t>
            </w:r>
            <w:r>
              <w:rPr>
                <w:rFonts w:ascii="Calibri" w:hAnsi="Calibri" w:cs="Calibri"/>
                <w:noProof/>
              </w:rPr>
              <w:t> </w:t>
            </w:r>
            <w:r w:rsidRPr="004908AA">
              <w:rPr>
                <w:noProof/>
              </w:rPr>
              <w:t>billion</w:t>
            </w:r>
          </w:p>
          <w:p w14:paraId="4DD2F4FF" w14:textId="77777777" w:rsidR="008124CC" w:rsidRPr="0076270C" w:rsidRDefault="008124CC" w:rsidP="00377734">
            <w:pPr>
              <w:jc w:val="left"/>
              <w:rPr>
                <w:noProof/>
              </w:rPr>
            </w:pPr>
            <w:r w:rsidRPr="004908AA">
              <w:rPr>
                <w:noProof/>
              </w:rPr>
              <w:t xml:space="preserve">of humanitarian aid </w:t>
            </w:r>
            <w:r>
              <w:rPr>
                <w:noProof/>
              </w:rPr>
              <w:t xml:space="preserve">was </w:t>
            </w:r>
            <w:r w:rsidRPr="004908AA">
              <w:rPr>
                <w:noProof/>
              </w:rPr>
              <w:t>provided to the most vulnerable in 2021.</w:t>
            </w:r>
          </w:p>
        </w:tc>
        <w:tc>
          <w:tcPr>
            <w:cnfStyle w:val="000001000000" w:firstRow="0" w:lastRow="0" w:firstColumn="0" w:lastColumn="0" w:oddVBand="0" w:evenVBand="1" w:oddHBand="0" w:evenHBand="0" w:firstRowFirstColumn="0" w:firstRowLastColumn="0" w:lastRowFirstColumn="0" w:lastRowLastColumn="0"/>
            <w:tcW w:w="2409" w:type="dxa"/>
          </w:tcPr>
          <w:p w14:paraId="310DA8B7" w14:textId="77777777" w:rsidR="008124CC" w:rsidRPr="0076270C" w:rsidRDefault="008124CC" w:rsidP="0083214A">
            <w:pPr>
              <w:pStyle w:val="ppoTableacheivementvalue"/>
              <w:rPr>
                <w:noProof/>
              </w:rPr>
            </w:pPr>
            <w:r>
              <w:rPr>
                <w:noProof/>
              </w:rPr>
              <w:t>82</w:t>
            </w:r>
          </w:p>
          <w:p w14:paraId="740E324B" w14:textId="77777777" w:rsidR="008124CC" w:rsidRPr="0076270C" w:rsidRDefault="008124CC" w:rsidP="00377734">
            <w:pPr>
              <w:jc w:val="left"/>
              <w:rPr>
                <w:noProof/>
              </w:rPr>
            </w:pPr>
            <w:r>
              <w:rPr>
                <w:noProof/>
              </w:rPr>
              <w:t>c</w:t>
            </w:r>
            <w:r w:rsidRPr="004908AA">
              <w:rPr>
                <w:noProof/>
              </w:rPr>
              <w:t>ountries received humanitarian aid from the EU in 2021.</w:t>
            </w:r>
          </w:p>
        </w:tc>
        <w:tc>
          <w:tcPr>
            <w:tcW w:w="2410" w:type="dxa"/>
            <w:tcBorders>
              <w:bottom w:val="single" w:sz="4" w:space="0" w:color="8C8C8C"/>
            </w:tcBorders>
          </w:tcPr>
          <w:p w14:paraId="5FAC61D4" w14:textId="77777777" w:rsidR="008124CC" w:rsidRPr="0076270C" w:rsidRDefault="008124CC" w:rsidP="0083214A">
            <w:pPr>
              <w:pStyle w:val="ppoTableacheivementvalue"/>
              <w:cnfStyle w:val="000000000000" w:firstRow="0" w:lastRow="0" w:firstColumn="0" w:lastColumn="0" w:oddVBand="0" w:evenVBand="0" w:oddHBand="0" w:evenHBand="0" w:firstRowFirstColumn="0" w:firstRowLastColumn="0" w:lastRowFirstColumn="0" w:lastRowLastColumn="0"/>
              <w:rPr>
                <w:noProof/>
              </w:rPr>
            </w:pPr>
            <w:r>
              <w:rPr>
                <w:noProof/>
              </w:rPr>
              <w:t>2.3</w:t>
            </w:r>
            <w:r>
              <w:rPr>
                <w:rFonts w:ascii="Calibri" w:hAnsi="Calibri" w:cs="Calibri"/>
                <w:noProof/>
              </w:rPr>
              <w:t> </w:t>
            </w:r>
            <w:r w:rsidRPr="0076270C">
              <w:rPr>
                <w:noProof/>
              </w:rPr>
              <w:t>million</w:t>
            </w:r>
          </w:p>
          <w:p w14:paraId="7331E225" w14:textId="77777777" w:rsidR="008124CC" w:rsidRPr="0076270C" w:rsidRDefault="008124CC" w:rsidP="00377734">
            <w:pPr>
              <w:jc w:val="left"/>
              <w:cnfStyle w:val="000000000000" w:firstRow="0" w:lastRow="0" w:firstColumn="0" w:lastColumn="0" w:oddVBand="0" w:evenVBand="0" w:oddHBand="0" w:evenHBand="0" w:firstRowFirstColumn="0" w:firstRowLastColumn="0" w:lastRowFirstColumn="0" w:lastRowLastColumn="0"/>
              <w:rPr>
                <w:noProof/>
              </w:rPr>
            </w:pPr>
            <w:r w:rsidRPr="004908AA">
              <w:rPr>
                <w:noProof/>
              </w:rPr>
              <w:t xml:space="preserve">girls and boys benefited from the </w:t>
            </w:r>
            <w:r>
              <w:rPr>
                <w:noProof/>
              </w:rPr>
              <w:t>‘</w:t>
            </w:r>
            <w:r w:rsidRPr="004908AA">
              <w:rPr>
                <w:noProof/>
              </w:rPr>
              <w:t>education in emergencies</w:t>
            </w:r>
            <w:r>
              <w:rPr>
                <w:noProof/>
              </w:rPr>
              <w:t>’</w:t>
            </w:r>
            <w:r w:rsidRPr="004908AA">
              <w:rPr>
                <w:noProof/>
              </w:rPr>
              <w:t xml:space="preserve"> initiative in 2021.</w:t>
            </w:r>
          </w:p>
        </w:tc>
        <w:tc>
          <w:tcPr>
            <w:cnfStyle w:val="000001000000" w:firstRow="0" w:lastRow="0" w:firstColumn="0" w:lastColumn="0" w:oddVBand="0" w:evenVBand="1" w:oddHBand="0" w:evenHBand="0" w:firstRowFirstColumn="0" w:firstRowLastColumn="0" w:lastRowFirstColumn="0" w:lastRowLastColumn="0"/>
            <w:tcW w:w="2410" w:type="dxa"/>
          </w:tcPr>
          <w:p w14:paraId="5BBDA75E" w14:textId="77777777" w:rsidR="008124CC" w:rsidRPr="0076270C" w:rsidRDefault="008124CC" w:rsidP="0083214A">
            <w:pPr>
              <w:pStyle w:val="ppoTableacheivementvalue"/>
              <w:rPr>
                <w:noProof/>
              </w:rPr>
            </w:pPr>
            <w:r>
              <w:rPr>
                <w:noProof/>
              </w:rPr>
              <w:t>21</w:t>
            </w:r>
          </w:p>
          <w:p w14:paraId="15CA99CB" w14:textId="77777777" w:rsidR="008124CC" w:rsidRPr="0076270C" w:rsidRDefault="008124CC" w:rsidP="00377734">
            <w:pPr>
              <w:jc w:val="left"/>
              <w:rPr>
                <w:noProof/>
              </w:rPr>
            </w:pPr>
            <w:r w:rsidRPr="004908AA">
              <w:rPr>
                <w:noProof/>
              </w:rPr>
              <w:t xml:space="preserve">flights were organised by the EU </w:t>
            </w:r>
            <w:r>
              <w:rPr>
                <w:noProof/>
              </w:rPr>
              <w:t>h</w:t>
            </w:r>
            <w:r w:rsidRPr="004908AA">
              <w:rPr>
                <w:noProof/>
              </w:rPr>
              <w:t xml:space="preserve">umanitarian </w:t>
            </w:r>
            <w:r>
              <w:rPr>
                <w:noProof/>
              </w:rPr>
              <w:t>a</w:t>
            </w:r>
            <w:r w:rsidRPr="004908AA">
              <w:rPr>
                <w:noProof/>
              </w:rPr>
              <w:t xml:space="preserve">ir </w:t>
            </w:r>
            <w:r>
              <w:rPr>
                <w:noProof/>
              </w:rPr>
              <w:t>b</w:t>
            </w:r>
            <w:r w:rsidRPr="004908AA">
              <w:rPr>
                <w:noProof/>
              </w:rPr>
              <w:t xml:space="preserve">ridge to deliver more than </w:t>
            </w:r>
            <w:r>
              <w:rPr>
                <w:noProof/>
              </w:rPr>
              <w:t>400</w:t>
            </w:r>
            <w:r>
              <w:rPr>
                <w:rFonts w:ascii="Calibri" w:hAnsi="Calibri" w:cs="Calibri"/>
                <w:noProof/>
              </w:rPr>
              <w:t> </w:t>
            </w:r>
            <w:r w:rsidRPr="004908AA">
              <w:rPr>
                <w:noProof/>
              </w:rPr>
              <w:t>tons of medical and humanitarian equipment and to transport medical and humanitarian staff and other pas</w:t>
            </w:r>
            <w:r>
              <w:rPr>
                <w:noProof/>
              </w:rPr>
              <w:t>sengers</w:t>
            </w:r>
            <w:r w:rsidRPr="004908AA">
              <w:rPr>
                <w:noProof/>
              </w:rPr>
              <w:t xml:space="preserve"> in 2021</w:t>
            </w:r>
            <w:r>
              <w:rPr>
                <w:noProof/>
              </w:rPr>
              <w:t>.</w:t>
            </w:r>
          </w:p>
        </w:tc>
      </w:tr>
    </w:tbl>
    <w:p w14:paraId="35B16845" w14:textId="77777777" w:rsidR="008124CC" w:rsidRPr="00040D99" w:rsidRDefault="008124CC" w:rsidP="008124CC">
      <w:pPr>
        <w:pStyle w:val="FootnoteText"/>
        <w:rPr>
          <w:rFonts w:eastAsiaTheme="minorEastAsia"/>
          <w:noProof/>
        </w:rPr>
      </w:pPr>
      <w:r>
        <w:rPr>
          <w:rFonts w:eastAsiaTheme="minorEastAsia"/>
          <w:noProof/>
        </w:rPr>
        <w:t>(*)</w:t>
      </w:r>
      <w:r>
        <w:rPr>
          <w:rFonts w:eastAsiaTheme="minorEastAsia"/>
          <w:noProof/>
        </w:rPr>
        <w:tab/>
      </w:r>
      <w:r w:rsidRPr="00CA5FD3">
        <w:rPr>
          <w:rFonts w:eastAsiaTheme="minorEastAsia"/>
          <w:noProof/>
        </w:rPr>
        <w:t xml:space="preserve">Key achievements in the table state which period they relate to. Many come from the implementation of the predecessor programmes under the 2014-2020 </w:t>
      </w:r>
      <w:r>
        <w:rPr>
          <w:rFonts w:eastAsiaTheme="minorEastAsia"/>
          <w:noProof/>
        </w:rPr>
        <w:t>multiannual financial framework</w:t>
      </w:r>
      <w:r w:rsidRPr="00CA5FD3">
        <w:rPr>
          <w:rFonts w:eastAsiaTheme="minorEastAsia"/>
          <w:noProof/>
        </w:rPr>
        <w:t xml:space="preserve">. This is expected and </w:t>
      </w:r>
      <w:r>
        <w:rPr>
          <w:rFonts w:eastAsiaTheme="minorEastAsia"/>
          <w:noProof/>
        </w:rPr>
        <w:t xml:space="preserve">is </w:t>
      </w:r>
      <w:r w:rsidRPr="00CA5FD3">
        <w:rPr>
          <w:rFonts w:eastAsiaTheme="minorEastAsia"/>
          <w:noProof/>
        </w:rPr>
        <w:t>due to the multiannual life</w:t>
      </w:r>
      <w:r>
        <w:rPr>
          <w:rFonts w:eastAsiaTheme="minorEastAsia"/>
          <w:noProof/>
        </w:rPr>
        <w:t xml:space="preserve"> </w:t>
      </w:r>
      <w:r w:rsidRPr="00CA5FD3">
        <w:rPr>
          <w:rFonts w:eastAsiaTheme="minorEastAsia"/>
          <w:noProof/>
        </w:rPr>
        <w:t>cycle of EU programmes and the projects they finan</w:t>
      </w:r>
      <w:r>
        <w:rPr>
          <w:rFonts w:eastAsiaTheme="minorEastAsia"/>
          <w:noProof/>
        </w:rPr>
        <w:t>ce,</w:t>
      </w:r>
      <w:r w:rsidRPr="00CA5FD3">
        <w:rPr>
          <w:rFonts w:eastAsiaTheme="minorEastAsia"/>
          <w:noProof/>
        </w:rPr>
        <w:t xml:space="preserve"> where results often follow only after completion of the programmes.</w:t>
      </w:r>
    </w:p>
    <w:p w14:paraId="71F9E74B" w14:textId="77777777" w:rsidR="008124CC" w:rsidRDefault="008124CC" w:rsidP="008124CC">
      <w:pPr>
        <w:pStyle w:val="ppoHeading5"/>
        <w:rPr>
          <w:noProof/>
        </w:rPr>
      </w:pPr>
      <w:r w:rsidRPr="00040D99">
        <w:rPr>
          <w:noProof/>
        </w:rPr>
        <w:t xml:space="preserve">Budget </w:t>
      </w:r>
      <w:r>
        <w:rPr>
          <w:noProof/>
        </w:rPr>
        <w:t xml:space="preserve">for </w:t>
      </w:r>
      <w:r w:rsidRPr="00040D99">
        <w:rPr>
          <w:noProof/>
        </w:rPr>
        <w:t>2021-2027</w:t>
      </w:r>
    </w:p>
    <w:p w14:paraId="1B2B2C59" w14:textId="77777777" w:rsidR="008124CC" w:rsidRPr="009359FF" w:rsidRDefault="008124CC" w:rsidP="008124CC">
      <w:pPr>
        <w:pStyle w:val="ppoTableTabletitle"/>
        <w:ind w:left="284"/>
        <w:rPr>
          <w:noProof/>
        </w:rPr>
      </w:pPr>
      <w:r>
        <w:rPr>
          <w:noProof/>
        </w:rPr>
        <w:t>(million</w:t>
      </w:r>
      <w:r w:rsidRPr="00460BEA">
        <w:rPr>
          <w:noProof/>
        </w:rPr>
        <w:t xml:space="preserve"> </w:t>
      </w:r>
      <w:r>
        <w:rPr>
          <w:noProof/>
        </w:rPr>
        <w:t>EUR)</w:t>
      </w:r>
    </w:p>
    <w:tbl>
      <w:tblPr>
        <w:tblStyle w:val="PlainTable2"/>
        <w:tblW w:w="0" w:type="auto"/>
        <w:tblInd w:w="288" w:type="dxa"/>
        <w:tblLook w:val="04A0" w:firstRow="1" w:lastRow="0" w:firstColumn="1" w:lastColumn="0" w:noHBand="0" w:noVBand="1"/>
      </w:tblPr>
      <w:tblGrid>
        <w:gridCol w:w="4788"/>
        <w:gridCol w:w="2610"/>
      </w:tblGrid>
      <w:tr w:rsidR="008124CC" w:rsidRPr="00214876" w14:paraId="6A2E9247" w14:textId="77777777" w:rsidTr="0083214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62510ECC" w14:textId="77777777" w:rsidR="008124CC" w:rsidRPr="00214876" w:rsidRDefault="008124CC" w:rsidP="0083214A">
            <w:pPr>
              <w:spacing w:before="120" w:after="120"/>
              <w:rPr>
                <w:noProof/>
              </w:rPr>
            </w:pPr>
            <w:r w:rsidRPr="00214876">
              <w:rPr>
                <w:rFonts w:cs="Calibri"/>
                <w:noProof/>
                <w:color w:val="000000"/>
              </w:rPr>
              <w:t>Financial programming</w:t>
            </w:r>
          </w:p>
        </w:tc>
        <w:tc>
          <w:tcPr>
            <w:tcW w:w="2610" w:type="dxa"/>
            <w:shd w:val="clear" w:color="auto" w:fill="auto"/>
            <w:vAlign w:val="bottom"/>
          </w:tcPr>
          <w:p w14:paraId="6CAF9304" w14:textId="77777777" w:rsidR="00A564DC" w:rsidRDefault="00A564DC" w:rsidP="00A564DC">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12 484.1</w:t>
            </w:r>
          </w:p>
          <w:p w14:paraId="5AB1985A" w14:textId="11097F7A" w:rsidR="008124CC" w:rsidRPr="00214876" w:rsidRDefault="008124CC" w:rsidP="0083214A">
            <w:pPr>
              <w:spacing w:before="120" w:after="120"/>
              <w:jc w:val="center"/>
              <w:cnfStyle w:val="100000000000" w:firstRow="1" w:lastRow="0" w:firstColumn="0" w:lastColumn="0" w:oddVBand="0" w:evenVBand="0" w:oddHBand="0" w:evenHBand="0" w:firstRowFirstColumn="0" w:firstRowLastColumn="0" w:lastRowFirstColumn="0" w:lastRowLastColumn="0"/>
              <w:rPr>
                <w:b w:val="0"/>
                <w:noProof/>
              </w:rPr>
            </w:pPr>
          </w:p>
        </w:tc>
      </w:tr>
      <w:tr w:rsidR="008124CC" w:rsidRPr="00214876" w14:paraId="5443B66A"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17AEA8FA" w14:textId="77777777" w:rsidR="008124CC" w:rsidRPr="00214876" w:rsidRDefault="008124CC" w:rsidP="0083214A">
            <w:pPr>
              <w:spacing w:before="120" w:after="120"/>
              <w:rPr>
                <w:b w:val="0"/>
                <w:noProof/>
              </w:rPr>
            </w:pPr>
            <w:r w:rsidRPr="00214876">
              <w:rPr>
                <w:rFonts w:cs="Calibri"/>
                <w:noProof/>
                <w:color w:val="000000"/>
              </w:rPr>
              <w:t>NextGenerationEU</w:t>
            </w:r>
          </w:p>
        </w:tc>
        <w:tc>
          <w:tcPr>
            <w:tcW w:w="2610" w:type="dxa"/>
            <w:vAlign w:val="bottom"/>
          </w:tcPr>
          <w:p w14:paraId="229549FA" w14:textId="77777777" w:rsidR="008124CC" w:rsidRPr="00214876" w:rsidRDefault="008124CC"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Pr>
                <w:rFonts w:cs="Calibri"/>
                <w:noProof/>
                <w:color w:val="000000"/>
              </w:rPr>
              <w:t>0</w:t>
            </w:r>
          </w:p>
        </w:tc>
      </w:tr>
      <w:tr w:rsidR="008124CC" w:rsidRPr="00214876" w14:paraId="2168CB59"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44B9DBFF" w14:textId="20AE9617" w:rsidR="008124CC" w:rsidRPr="00214876" w:rsidRDefault="008124CC" w:rsidP="0083214A">
            <w:pPr>
              <w:spacing w:before="120" w:after="120"/>
              <w:rPr>
                <w:b w:val="0"/>
                <w:noProof/>
              </w:rPr>
            </w:pPr>
            <w:r w:rsidRPr="00807AC3">
              <w:rPr>
                <w:noProof/>
              </w:rPr>
              <w:t>Decommitments made available again</w:t>
            </w:r>
            <w:r>
              <w:rPr>
                <w:rFonts w:ascii="Calibri" w:hAnsi="Calibri" w:cs="Calibri"/>
                <w:noProof/>
              </w:rPr>
              <w:t> (</w:t>
            </w:r>
            <w:r w:rsidRPr="00807AC3">
              <w:rPr>
                <w:noProof/>
              </w:rPr>
              <w:t>*</w:t>
            </w:r>
            <w:r>
              <w:rPr>
                <w:noProof/>
              </w:rPr>
              <w:t>)</w:t>
            </w:r>
          </w:p>
        </w:tc>
        <w:tc>
          <w:tcPr>
            <w:tcW w:w="2610" w:type="dxa"/>
            <w:vAlign w:val="bottom"/>
          </w:tcPr>
          <w:p w14:paraId="29399729" w14:textId="77777777" w:rsidR="008124CC" w:rsidRPr="00214876" w:rsidRDefault="008124CC" w:rsidP="0083214A">
            <w:pPr>
              <w:spacing w:before="120" w:after="120"/>
              <w:jc w:val="center"/>
              <w:cnfStyle w:val="000000000000" w:firstRow="0" w:lastRow="0" w:firstColumn="0" w:lastColumn="0" w:oddVBand="0" w:evenVBand="0" w:oddHBand="0" w:evenHBand="0" w:firstRowFirstColumn="0" w:firstRowLastColumn="0" w:lastRowFirstColumn="0" w:lastRowLastColumn="0"/>
              <w:rPr>
                <w:noProof/>
              </w:rPr>
            </w:pPr>
            <w:r>
              <w:rPr>
                <w:noProof/>
              </w:rPr>
              <w:t>N/A</w:t>
            </w:r>
          </w:p>
        </w:tc>
      </w:tr>
      <w:tr w:rsidR="008124CC" w:rsidRPr="00214876" w14:paraId="340C3558"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4C4DEBCD" w14:textId="77777777" w:rsidR="008124CC" w:rsidRPr="00214876" w:rsidRDefault="008124CC" w:rsidP="0083214A">
            <w:pPr>
              <w:spacing w:before="120" w:after="120"/>
              <w:rPr>
                <w:noProof/>
              </w:rPr>
            </w:pPr>
            <w:r w:rsidRPr="00214876">
              <w:rPr>
                <w:rFonts w:cs="Calibri"/>
                <w:noProof/>
                <w:color w:val="000000"/>
              </w:rPr>
              <w:t>Contributions from other countries and entities</w:t>
            </w:r>
          </w:p>
        </w:tc>
        <w:tc>
          <w:tcPr>
            <w:tcW w:w="2610" w:type="dxa"/>
            <w:vAlign w:val="bottom"/>
          </w:tcPr>
          <w:p w14:paraId="645BE279" w14:textId="77777777" w:rsidR="008124CC" w:rsidRPr="00214876" w:rsidRDefault="008124CC"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Pr>
                <w:rFonts w:cs="Calibri"/>
                <w:noProof/>
                <w:color w:val="000000"/>
              </w:rPr>
              <w:t>9.9</w:t>
            </w:r>
          </w:p>
        </w:tc>
      </w:tr>
      <w:tr w:rsidR="008124CC" w:rsidRPr="00214876" w14:paraId="3F14EDF3"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2F2F2" w:themeFill="background1" w:themeFillShade="F2"/>
            <w:vAlign w:val="bottom"/>
          </w:tcPr>
          <w:p w14:paraId="53672E56" w14:textId="77777777" w:rsidR="008124CC" w:rsidRPr="00214876" w:rsidRDefault="008124CC" w:rsidP="0083214A">
            <w:pPr>
              <w:spacing w:before="120" w:after="120"/>
              <w:rPr>
                <w:noProof/>
              </w:rPr>
            </w:pPr>
            <w:r>
              <w:rPr>
                <w:rFonts w:cs="Calibri"/>
                <w:noProof/>
                <w:color w:val="000000"/>
              </w:rPr>
              <w:t>T</w:t>
            </w:r>
            <w:r w:rsidRPr="00214876">
              <w:rPr>
                <w:rFonts w:cs="Calibri"/>
                <w:noProof/>
                <w:color w:val="000000"/>
              </w:rPr>
              <w:t xml:space="preserve">otal budget </w:t>
            </w:r>
            <w:r>
              <w:rPr>
                <w:rFonts w:cs="Calibri"/>
                <w:noProof/>
                <w:color w:val="000000"/>
              </w:rPr>
              <w:t xml:space="preserve">for </w:t>
            </w:r>
            <w:r w:rsidRPr="00214876">
              <w:rPr>
                <w:rFonts w:cs="Calibri"/>
                <w:noProof/>
                <w:color w:val="000000"/>
              </w:rPr>
              <w:t>2021-2027</w:t>
            </w:r>
          </w:p>
        </w:tc>
        <w:tc>
          <w:tcPr>
            <w:tcW w:w="2610" w:type="dxa"/>
            <w:shd w:val="clear" w:color="auto" w:fill="F2F2F2" w:themeFill="background1" w:themeFillShade="F2"/>
            <w:vAlign w:val="bottom"/>
          </w:tcPr>
          <w:p w14:paraId="6F2C80B4" w14:textId="77777777" w:rsidR="00A564DC" w:rsidRDefault="00A564DC" w:rsidP="00A564DC">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12 494.0</w:t>
            </w:r>
          </w:p>
          <w:p w14:paraId="38696A04" w14:textId="1BFF090A" w:rsidR="008124CC" w:rsidRPr="00214876" w:rsidRDefault="008124CC" w:rsidP="0083214A">
            <w:pPr>
              <w:spacing w:before="120" w:after="120"/>
              <w:jc w:val="center"/>
              <w:cnfStyle w:val="000000000000" w:firstRow="0" w:lastRow="0" w:firstColumn="0" w:lastColumn="0" w:oddVBand="0" w:evenVBand="0" w:oddHBand="0" w:evenHBand="0" w:firstRowFirstColumn="0" w:firstRowLastColumn="0" w:lastRowFirstColumn="0" w:lastRowLastColumn="0"/>
              <w:rPr>
                <w:b/>
                <w:noProof/>
              </w:rPr>
            </w:pPr>
          </w:p>
        </w:tc>
      </w:tr>
    </w:tbl>
    <w:p w14:paraId="20F95C98" w14:textId="77777777" w:rsidR="008124CC" w:rsidRPr="00040D99" w:rsidRDefault="008124CC" w:rsidP="008124CC">
      <w:pPr>
        <w:jc w:val="center"/>
        <w:rPr>
          <w:rFonts w:eastAsiaTheme="minorEastAsia"/>
          <w:noProof/>
        </w:rPr>
      </w:pPr>
    </w:p>
    <w:p w14:paraId="1961FA7A" w14:textId="77777777" w:rsidR="008124CC" w:rsidRPr="006F7077" w:rsidRDefault="008124CC" w:rsidP="008124CC">
      <w:pPr>
        <w:tabs>
          <w:tab w:val="left" w:pos="6793"/>
        </w:tabs>
        <w:rPr>
          <w:noProof/>
          <w:sz w:val="18"/>
          <w:szCs w:val="18"/>
          <w:lang w:val="en-IE"/>
        </w:rPr>
      </w:pPr>
      <w:r w:rsidRPr="006F7077">
        <w:rPr>
          <w:noProof/>
          <w:sz w:val="18"/>
          <w:szCs w:val="18"/>
          <w:lang w:val="en-IE"/>
        </w:rPr>
        <w:t>(*) Only Article</w:t>
      </w:r>
      <w:r w:rsidRPr="006F7077">
        <w:rPr>
          <w:rFonts w:ascii="Calibri" w:hAnsi="Calibri" w:cs="Calibri"/>
          <w:noProof/>
          <w:sz w:val="18"/>
          <w:szCs w:val="18"/>
          <w:lang w:val="en-IE"/>
        </w:rPr>
        <w:t> </w:t>
      </w:r>
      <w:r w:rsidRPr="006F7077">
        <w:rPr>
          <w:noProof/>
          <w:sz w:val="18"/>
          <w:szCs w:val="18"/>
          <w:lang w:val="en-IE"/>
        </w:rPr>
        <w:t>15(3) of the financial regulation.</w:t>
      </w:r>
    </w:p>
    <w:p w14:paraId="5ED2EA31" w14:textId="77777777" w:rsidR="008124CC" w:rsidRPr="00040D99" w:rsidRDefault="008124CC" w:rsidP="008124CC">
      <w:pPr>
        <w:pStyle w:val="ppoHeading5"/>
        <w:rPr>
          <w:noProof/>
        </w:rPr>
      </w:pPr>
      <w:r w:rsidRPr="00040D99">
        <w:rPr>
          <w:noProof/>
        </w:rPr>
        <w:t>Rationale and design of the programme</w:t>
      </w:r>
    </w:p>
    <w:p w14:paraId="5C6F4BC4" w14:textId="77777777" w:rsidR="008124CC" w:rsidRPr="00040D99" w:rsidRDefault="008124CC" w:rsidP="008124CC">
      <w:pPr>
        <w:rPr>
          <w:rFonts w:eastAsiaTheme="minorEastAsia"/>
          <w:noProof/>
        </w:rPr>
      </w:pPr>
      <w:r w:rsidRPr="005D48AA">
        <w:rPr>
          <w:rFonts w:eastAsiaTheme="minorEastAsia"/>
          <w:noProof/>
        </w:rPr>
        <w:t>Humanitarian aid is a key pillar of the EU’s external action</w:t>
      </w:r>
      <w:r>
        <w:rPr>
          <w:rFonts w:eastAsiaTheme="minorEastAsia"/>
          <w:noProof/>
        </w:rPr>
        <w:t xml:space="preserve"> and </w:t>
      </w:r>
      <w:r w:rsidRPr="005D48AA">
        <w:rPr>
          <w:rFonts w:eastAsiaTheme="minorEastAsia"/>
          <w:noProof/>
        </w:rPr>
        <w:t>an important element of the EU’s ability to project its values globally.</w:t>
      </w:r>
      <w:r>
        <w:rPr>
          <w:rFonts w:eastAsiaTheme="minorEastAsia"/>
          <w:noProof/>
        </w:rPr>
        <w:t xml:space="preserve"> </w:t>
      </w:r>
      <w:r w:rsidRPr="005D48AA">
        <w:rPr>
          <w:rFonts w:eastAsiaTheme="minorEastAsia"/>
          <w:noProof/>
        </w:rPr>
        <w:t>The EU humanitarian aid programme provides emergency, life-saving assistance to people, particularly the most vulnerable, hit by human-induced or natural disasters.</w:t>
      </w:r>
    </w:p>
    <w:p w14:paraId="34BA829C" w14:textId="77777777" w:rsidR="008124CC" w:rsidRPr="00F02F75" w:rsidRDefault="008124CC" w:rsidP="008124CC">
      <w:pPr>
        <w:pStyle w:val="ppoListHyphened-L1"/>
        <w:numPr>
          <w:ilvl w:val="0"/>
          <w:numId w:val="0"/>
        </w:numPr>
        <w:ind w:left="357"/>
        <w:rPr>
          <w:rFonts w:eastAsiaTheme="majorEastAsia" w:cstheme="majorBidi"/>
          <w:caps/>
          <w:noProof/>
          <w:sz w:val="32"/>
          <w:szCs w:val="24"/>
          <w:lang w:eastAsia="en-GB"/>
        </w:rPr>
      </w:pPr>
      <w:r w:rsidRPr="00F02F75">
        <w:rPr>
          <w:rFonts w:eastAsiaTheme="majorEastAsia" w:cstheme="majorBidi"/>
          <w:caps/>
          <w:noProof/>
          <w:sz w:val="32"/>
          <w:szCs w:val="24"/>
          <w:lang w:eastAsia="en-GB"/>
        </w:rPr>
        <w:t>Challenge</w:t>
      </w:r>
    </w:p>
    <w:p w14:paraId="72315D6E" w14:textId="4A101BE2" w:rsidR="008124CC" w:rsidRDefault="008124CC" w:rsidP="008124CC">
      <w:pPr>
        <w:rPr>
          <w:noProof/>
        </w:rPr>
      </w:pPr>
      <w:r>
        <w:rPr>
          <w:noProof/>
        </w:rPr>
        <w:t xml:space="preserve">The scale, frequency and duration of crises that demand international humanitarian response is increasing, aggravated by long-term trends such as climate change, population growth, rapid and unsustainable urbanisation, resource scarcities and increasingly protracted armed conflicts. These are, and will continue to be, among the main drivers of humanitarian crises, which </w:t>
      </w:r>
      <w:r w:rsidRPr="00EE5280">
        <w:rPr>
          <w:noProof/>
        </w:rPr>
        <w:t xml:space="preserve">in turn generate growing humanitarian needs </w:t>
      </w:r>
      <w:r>
        <w:rPr>
          <w:noProof/>
        </w:rPr>
        <w:t>on a global scale</w:t>
      </w:r>
      <w:r w:rsidRPr="00EE5280">
        <w:rPr>
          <w:noProof/>
        </w:rPr>
        <w:t>. The situation has been exacerbated by the COVID</w:t>
      </w:r>
      <w:r>
        <w:rPr>
          <w:noProof/>
        </w:rPr>
        <w:noBreakHyphen/>
      </w:r>
      <w:r w:rsidRPr="00EE5280">
        <w:rPr>
          <w:noProof/>
        </w:rPr>
        <w:t>19 pandemic and recently by the war in Ukraine.</w:t>
      </w:r>
    </w:p>
    <w:p w14:paraId="5CB290A7" w14:textId="77777777" w:rsidR="003635EB" w:rsidRDefault="003635EB" w:rsidP="003635EB">
      <w:pPr>
        <w:rPr>
          <w:noProof/>
        </w:rPr>
      </w:pPr>
      <w:r>
        <w:rPr>
          <w:noProof/>
        </w:rPr>
        <w:t>The 2022 global humanitarian overview presented funding requirements of USD 41 billion to assist 183 million of the 274 million people in need in 63 countries. However, humanitarian funding is not increasing at the same speed as the needs. Funding for the plans included in the 2021 global humanitarian overview reached USD 19 billion, whereas the needs amounted to USD 38 billion. This funding gap is expected to continue to grow, as is the need for front-line lifesaving humanitarian assistance.</w:t>
      </w:r>
    </w:p>
    <w:p w14:paraId="670A7E06" w14:textId="496434B4" w:rsidR="003635EB" w:rsidRDefault="003635EB" w:rsidP="003635EB">
      <w:pPr>
        <w:rPr>
          <w:noProof/>
        </w:rPr>
      </w:pPr>
      <w:r>
        <w:rPr>
          <w:noProof/>
        </w:rPr>
        <w:t>The EU is able to fill some of the gaps in global humanitarian aid, including by addressing needs in areas that are difficult to access, and by providing response not only to the biggest and most visible humanitarian crises, but also to those receiving no or insufficient international aid and political/media attention. Member States often look at the EU as a donor to provide assistance in crises where they are not able to intervene in a national capacity. Member States also benefit from the EU’s ‘humanitarian diplomacy’, which aims to increase humanitarian space and lead to more effective provision of humanitarian aid, by encouraging economies of scale. Because of the financial weight (the EU and its Member States together are a leading donor), the EU is a leading player in humanitarian assistance on the international stage and a strong advocate for the respect of international humanitarian law. Another key element of EU added value for Member States lies in the strong operational knowledge and technical expertise of the EU’s unique network of humanitarian field offices spread over almost 40 countries.</w:t>
      </w:r>
    </w:p>
    <w:p w14:paraId="68591B85" w14:textId="77777777" w:rsidR="008124CC" w:rsidRPr="00040D99" w:rsidRDefault="008124CC" w:rsidP="008124CC">
      <w:pPr>
        <w:pStyle w:val="ppoHeading6"/>
        <w:rPr>
          <w:noProof/>
        </w:rPr>
      </w:pPr>
      <w:r w:rsidRPr="00040D99">
        <w:rPr>
          <w:noProof/>
        </w:rPr>
        <w:t>Mission</w:t>
      </w:r>
    </w:p>
    <w:p w14:paraId="3D81B8A6" w14:textId="77777777" w:rsidR="008124CC" w:rsidRDefault="008124CC" w:rsidP="008124CC">
      <w:pPr>
        <w:rPr>
          <w:noProof/>
        </w:rPr>
      </w:pPr>
      <w:r>
        <w:rPr>
          <w:noProof/>
        </w:rPr>
        <w:t>The humanitarian aid programme provides emergency, life-saving assistance to people, particularly the most vulnerable, hit by man-made or natural disasters.</w:t>
      </w:r>
    </w:p>
    <w:p w14:paraId="34959165" w14:textId="77777777" w:rsidR="008124CC" w:rsidRPr="00040D99" w:rsidRDefault="008124CC" w:rsidP="008124CC">
      <w:pPr>
        <w:rPr>
          <w:noProof/>
        </w:rPr>
      </w:pPr>
      <w:r>
        <w:rPr>
          <w:noProof/>
        </w:rPr>
        <w:t xml:space="preserve">In line with the humanitarian aid </w:t>
      </w:r>
      <w:r w:rsidRPr="00DF2C4C">
        <w:rPr>
          <w:noProof/>
        </w:rPr>
        <w:t>r</w:t>
      </w:r>
      <w:r w:rsidRPr="00C30F39">
        <w:rPr>
          <w:noProof/>
        </w:rPr>
        <w:t>egulation (</w:t>
      </w:r>
      <w:r w:rsidRPr="006F7077">
        <w:rPr>
          <w:noProof/>
        </w:rPr>
        <w:t>Council</w:t>
      </w:r>
      <w:r w:rsidRPr="006F7077">
        <w:rPr>
          <w:rFonts w:ascii="Calibri" w:hAnsi="Calibri" w:cs="Calibri"/>
          <w:noProof/>
        </w:rPr>
        <w:t> </w:t>
      </w:r>
      <w:r w:rsidRPr="006F7077">
        <w:rPr>
          <w:noProof/>
        </w:rPr>
        <w:t>Regulation</w:t>
      </w:r>
      <w:r w:rsidRPr="006F7077">
        <w:rPr>
          <w:rFonts w:ascii="Calibri" w:hAnsi="Calibri" w:cs="Calibri"/>
          <w:noProof/>
        </w:rPr>
        <w:t> </w:t>
      </w:r>
      <w:r w:rsidRPr="006F7077">
        <w:rPr>
          <w:noProof/>
        </w:rPr>
        <w:t>(EC) No</w:t>
      </w:r>
      <w:r w:rsidRPr="00DF2C4C">
        <w:rPr>
          <w:rFonts w:ascii="Arial" w:hAnsi="Arial" w:cs="Arial"/>
          <w:noProof/>
          <w:color w:val="4D5156"/>
          <w:sz w:val="21"/>
          <w:szCs w:val="21"/>
          <w:shd w:val="clear" w:color="auto" w:fill="FFFFFF"/>
        </w:rPr>
        <w:t> </w:t>
      </w:r>
      <w:r w:rsidRPr="00DF2C4C">
        <w:rPr>
          <w:noProof/>
        </w:rPr>
        <w:t>1257/96),</w:t>
      </w:r>
      <w:r>
        <w:rPr>
          <w:noProof/>
        </w:rPr>
        <w:t xml:space="preserve"> people affected by disaster or conflict, irrespective of their race, ethnic group, religion, sex, age, nationality or political affiliation benefit from humanitarian assistance, which must not be guided by, or subject to, political considerations. The EU acts on the basis of the international humanitarian principles of humanity, neutrality, impartiality and independence. Humanitarian aid is often the only EU instrument able to intervene concretely in acute conflict situations. Thanks to its flexibility, humanitarian aid has also made a significant difference in many of the countries and crises at the origin of the global refugee and migration crisis.</w:t>
      </w:r>
    </w:p>
    <w:p w14:paraId="68F7A868" w14:textId="77777777" w:rsidR="008124CC" w:rsidRPr="00040D99" w:rsidRDefault="008124CC" w:rsidP="008124CC">
      <w:pPr>
        <w:pStyle w:val="ppoHeading6"/>
        <w:rPr>
          <w:noProof/>
        </w:rPr>
      </w:pPr>
      <w:r w:rsidRPr="00040D99">
        <w:rPr>
          <w:noProof/>
        </w:rPr>
        <w:t>Objectives</w:t>
      </w:r>
    </w:p>
    <w:p w14:paraId="00047A06" w14:textId="77777777" w:rsidR="008124CC" w:rsidRDefault="008124CC" w:rsidP="008124CC">
      <w:pPr>
        <w:rPr>
          <w:noProof/>
        </w:rPr>
      </w:pPr>
      <w:r>
        <w:rPr>
          <w:noProof/>
        </w:rPr>
        <w:t>The humanitarian aid programme’s main specific objectives are to:</w:t>
      </w:r>
    </w:p>
    <w:p w14:paraId="46C9DC4C" w14:textId="77777777" w:rsidR="008124CC" w:rsidRDefault="008124CC" w:rsidP="008124CC">
      <w:pPr>
        <w:pStyle w:val="ppoListHyphened-L1"/>
        <w:rPr>
          <w:noProof/>
        </w:rPr>
      </w:pPr>
      <w:r>
        <w:rPr>
          <w:noProof/>
        </w:rPr>
        <w:t>provide needs-based delivery of EU assistance to save and preserve life, prevent and alleviate human suffering, and safeguard the integrity and dignity of populations affected by natural disasters or man-made crises, including protracted crises;</w:t>
      </w:r>
    </w:p>
    <w:p w14:paraId="49151837" w14:textId="77777777" w:rsidR="008124CC" w:rsidRPr="00040D99" w:rsidRDefault="008124CC" w:rsidP="008124CC">
      <w:pPr>
        <w:pStyle w:val="ppoListHyphened-L1"/>
        <w:rPr>
          <w:noProof/>
        </w:rPr>
      </w:pPr>
      <w:r>
        <w:rPr>
          <w:noProof/>
        </w:rPr>
        <w:t>build the resilience and capacity to recover of vulnerable or disaster-affected communities, in complementarity with other EU instruments.</w:t>
      </w:r>
    </w:p>
    <w:p w14:paraId="494EDE0E" w14:textId="77777777" w:rsidR="008124CC" w:rsidRPr="00040D99" w:rsidRDefault="008124CC" w:rsidP="008124CC">
      <w:pPr>
        <w:pStyle w:val="ppoHeading6"/>
        <w:rPr>
          <w:noProof/>
        </w:rPr>
      </w:pPr>
      <w:r w:rsidRPr="00040D99">
        <w:rPr>
          <w:noProof/>
        </w:rPr>
        <w:t>Actions</w:t>
      </w:r>
    </w:p>
    <w:p w14:paraId="71A9A463" w14:textId="77777777" w:rsidR="008124CC" w:rsidRPr="00040D99" w:rsidRDefault="008124CC" w:rsidP="008124CC">
      <w:pPr>
        <w:rPr>
          <w:noProof/>
        </w:rPr>
      </w:pPr>
      <w:r>
        <w:rPr>
          <w:noProof/>
        </w:rPr>
        <w:t>Humanitarian interventions mainly consist of funding projects carried out by around 140 partner organisations</w:t>
      </w:r>
      <w:r>
        <w:rPr>
          <w:rFonts w:ascii="Calibri" w:hAnsi="Calibri" w:cs="Calibri"/>
          <w:noProof/>
        </w:rPr>
        <w:t> </w:t>
      </w:r>
      <w:r>
        <w:rPr>
          <w:noProof/>
        </w:rPr>
        <w:t>– non-governmental organisations (e.g. national societies of the Red Cross), international organisations (e.g. United Nations agencies and the Red Cross and Red Crescent movement), and Member States’ specialised agencies. Most of the time, these interventions occur in complex, risky contexts with difficult access conditions. Besides being lead donor, the EU has been playing a leading role in the development of new policy approaches (e.g. education in emergencies, assessment of people-centred intersectoral needs) and innovative funding modalities (e.g. cash-based assistance).</w:t>
      </w:r>
    </w:p>
    <w:p w14:paraId="141459FC" w14:textId="77777777" w:rsidR="008124CC" w:rsidRPr="00040D99" w:rsidRDefault="008124CC" w:rsidP="008124CC">
      <w:pPr>
        <w:pStyle w:val="ppoHeading6"/>
        <w:rPr>
          <w:noProof/>
        </w:rPr>
      </w:pPr>
      <w:r w:rsidRPr="00040D99">
        <w:rPr>
          <w:noProof/>
        </w:rPr>
        <w:t>Delivery mode</w:t>
      </w:r>
    </w:p>
    <w:p w14:paraId="6BCCE14D" w14:textId="77777777" w:rsidR="008124CC" w:rsidRPr="00040D99" w:rsidRDefault="008124CC" w:rsidP="008124CC">
      <w:pPr>
        <w:rPr>
          <w:noProof/>
        </w:rPr>
      </w:pPr>
      <w:r>
        <w:rPr>
          <w:noProof/>
        </w:rPr>
        <w:t>In most cases, the Commission delivers assistance through financial support via individual agreements with partner organisations (non-governmental organisations, United Nations agencies or other international organisations). The management mode applied with non-governmental organisations is direct management, and the one applied with the United Nations and international organisations is indirect management.</w:t>
      </w:r>
    </w:p>
    <w:p w14:paraId="2DEC2F20" w14:textId="77777777" w:rsidR="008124CC" w:rsidRPr="00040D99" w:rsidRDefault="008124CC" w:rsidP="008124CC">
      <w:pPr>
        <w:pStyle w:val="ppoHeading6"/>
        <w:rPr>
          <w:noProof/>
        </w:rPr>
      </w:pPr>
      <w:r>
        <w:rPr>
          <w:noProof/>
        </w:rPr>
        <w:t>LINK TO THE 2014-2020 multiannual financial framework</w:t>
      </w:r>
    </w:p>
    <w:p w14:paraId="58D8A4AF" w14:textId="77777777" w:rsidR="008124CC" w:rsidRDefault="008124CC" w:rsidP="008124CC">
      <w:pPr>
        <w:rPr>
          <w:noProof/>
        </w:rPr>
      </w:pPr>
      <w:r>
        <w:rPr>
          <w:noProof/>
        </w:rPr>
        <w:t>The humanitarian aid regulation is not bound by duration to a specific multiannual financial framework, hence the policy and legal framework for the EU’s humanitarian aid is not expected to change.</w:t>
      </w:r>
    </w:p>
    <w:p w14:paraId="0A32A10C" w14:textId="77777777" w:rsidR="008124CC" w:rsidRPr="00040D99" w:rsidRDefault="008124CC" w:rsidP="008124CC">
      <w:pPr>
        <w:pStyle w:val="ppoHeading6"/>
        <w:rPr>
          <w:noProof/>
        </w:rPr>
      </w:pPr>
      <w:r>
        <w:rPr>
          <w:noProof/>
        </w:rPr>
        <w:t>WEBSITE FOR more information</w:t>
      </w:r>
    </w:p>
    <w:p w14:paraId="53590A2C" w14:textId="77777777" w:rsidR="008124CC" w:rsidRPr="00040D99" w:rsidRDefault="00E01E9B" w:rsidP="008124CC">
      <w:pPr>
        <w:rPr>
          <w:noProof/>
        </w:rPr>
      </w:pPr>
      <w:hyperlink r:id="rId554" w:history="1">
        <w:r w:rsidR="008124CC" w:rsidRPr="005B5BFA">
          <w:rPr>
            <w:rStyle w:val="Hyperlink"/>
            <w:noProof/>
          </w:rPr>
          <w:t>http://europa.eu/!br44Rp</w:t>
        </w:r>
      </w:hyperlink>
    </w:p>
    <w:p w14:paraId="19E81866" w14:textId="77777777" w:rsidR="008124CC" w:rsidRPr="00040D99" w:rsidRDefault="008124CC" w:rsidP="008124CC">
      <w:pPr>
        <w:pStyle w:val="ppoHeading5"/>
        <w:rPr>
          <w:noProof/>
        </w:rPr>
      </w:pPr>
      <w:r w:rsidRPr="00040D99">
        <w:rPr>
          <w:rFonts w:eastAsiaTheme="minorEastAsia"/>
          <w:noProof/>
        </w:rPr>
        <w:t xml:space="preserve">Legal </w:t>
      </w:r>
      <w:r>
        <w:rPr>
          <w:rFonts w:eastAsiaTheme="minorEastAsia"/>
          <w:noProof/>
        </w:rPr>
        <w:t>b</w:t>
      </w:r>
      <w:r w:rsidRPr="00040D99">
        <w:rPr>
          <w:rFonts w:eastAsiaTheme="minorEastAsia"/>
          <w:noProof/>
        </w:rPr>
        <w:t>as</w:t>
      </w:r>
      <w:r>
        <w:rPr>
          <w:rFonts w:eastAsiaTheme="minorEastAsia"/>
          <w:noProof/>
        </w:rPr>
        <w:t>is</w:t>
      </w:r>
    </w:p>
    <w:p w14:paraId="77FCAF6F" w14:textId="77777777" w:rsidR="008124CC" w:rsidRPr="00040D99" w:rsidRDefault="008124CC" w:rsidP="008124CC">
      <w:pPr>
        <w:rPr>
          <w:noProof/>
        </w:rPr>
      </w:pPr>
      <w:r>
        <w:rPr>
          <w:noProof/>
        </w:rPr>
        <w:t>Council Regulation (EC</w:t>
      </w:r>
      <w:r w:rsidRPr="00040D99">
        <w:rPr>
          <w:noProof/>
        </w:rPr>
        <w:t>)</w:t>
      </w:r>
      <w:r w:rsidRPr="001858F1">
        <w:rPr>
          <w:noProof/>
        </w:rPr>
        <w:t xml:space="preserve"> </w:t>
      </w:r>
      <w:r>
        <w:rPr>
          <w:noProof/>
        </w:rPr>
        <w:t>No</w:t>
      </w:r>
      <w:r>
        <w:rPr>
          <w:rFonts w:ascii="Calibri" w:hAnsi="Calibri" w:cs="Calibri"/>
          <w:noProof/>
        </w:rPr>
        <w:t> </w:t>
      </w:r>
      <w:r>
        <w:rPr>
          <w:noProof/>
        </w:rPr>
        <w:t>1257/96.</w:t>
      </w:r>
    </w:p>
    <w:p w14:paraId="33E31FE0" w14:textId="77777777" w:rsidR="008124CC" w:rsidRPr="00040D99" w:rsidRDefault="008124CC" w:rsidP="008124CC">
      <w:pPr>
        <w:pStyle w:val="ppoHeading4Red"/>
        <w:rPr>
          <w:caps/>
          <w:noProof/>
        </w:rPr>
      </w:pPr>
      <w:r w:rsidRPr="00040D99">
        <w:rPr>
          <w:noProof/>
        </w:rPr>
        <w:t>Implementation and performance</w:t>
      </w:r>
    </w:p>
    <w:p w14:paraId="2B4A933E" w14:textId="77777777" w:rsidR="008124CC" w:rsidRPr="00040D99" w:rsidRDefault="008124CC" w:rsidP="008124CC">
      <w:pPr>
        <w:pStyle w:val="ppoHeading5"/>
        <w:rPr>
          <w:noProof/>
        </w:rPr>
      </w:pPr>
      <w:r w:rsidRPr="00040D99">
        <w:rPr>
          <w:noProof/>
        </w:rPr>
        <w:t>Budget</w:t>
      </w:r>
    </w:p>
    <w:p w14:paraId="66FF7435" w14:textId="77777777" w:rsidR="008124CC" w:rsidRPr="00040D99" w:rsidRDefault="008124CC" w:rsidP="008124CC">
      <w:pPr>
        <w:pStyle w:val="ppoTableTabletitle"/>
        <w:rPr>
          <w:noProof/>
        </w:rPr>
      </w:pPr>
      <w:r w:rsidRPr="00807AC3">
        <w:rPr>
          <w:noProof/>
        </w:rPr>
        <w:t>Budget programming</w:t>
      </w:r>
      <w:r>
        <w:rPr>
          <w:noProof/>
        </w:rPr>
        <w:t xml:space="preserve"> (million</w:t>
      </w:r>
      <w:r w:rsidRPr="00460BEA">
        <w:rPr>
          <w:noProof/>
        </w:rPr>
        <w:t xml:space="preserve"> </w:t>
      </w:r>
      <w:r>
        <w:rPr>
          <w:noProof/>
        </w:rPr>
        <w:t>EUR):</w:t>
      </w:r>
    </w:p>
    <w:tbl>
      <w:tblPr>
        <w:tblStyle w:val="PPO2021"/>
        <w:tblW w:w="9924"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1229"/>
      </w:tblGrid>
      <w:tr w:rsidR="008124CC" w:rsidRPr="00040D99" w14:paraId="15FA4C16" w14:textId="77777777" w:rsidTr="0083214A">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711A086B" w14:textId="77777777" w:rsidR="008124CC" w:rsidRPr="00807AC3" w:rsidRDefault="008124CC" w:rsidP="0083214A">
            <w:pPr>
              <w:rPr>
                <w:noProof/>
              </w:rPr>
            </w:pPr>
          </w:p>
        </w:tc>
        <w:tc>
          <w:tcPr>
            <w:tcW w:w="943" w:type="dxa"/>
            <w:noWrap/>
            <w:hideMark/>
          </w:tcPr>
          <w:p w14:paraId="0EC1D1AF" w14:textId="77777777" w:rsidR="008124CC" w:rsidRPr="00807AC3" w:rsidRDefault="008124CC" w:rsidP="0083214A">
            <w:pPr>
              <w:rPr>
                <w:noProof/>
              </w:rPr>
            </w:pPr>
            <w:r w:rsidRPr="00807AC3">
              <w:rPr>
                <w:noProof/>
              </w:rPr>
              <w:t>2021</w:t>
            </w:r>
          </w:p>
        </w:tc>
        <w:tc>
          <w:tcPr>
            <w:tcW w:w="944" w:type="dxa"/>
            <w:noWrap/>
            <w:hideMark/>
          </w:tcPr>
          <w:p w14:paraId="3C95CDC3" w14:textId="77777777" w:rsidR="008124CC" w:rsidRPr="00807AC3" w:rsidRDefault="008124CC" w:rsidP="0083214A">
            <w:pPr>
              <w:rPr>
                <w:noProof/>
              </w:rPr>
            </w:pPr>
            <w:r w:rsidRPr="00807AC3">
              <w:rPr>
                <w:noProof/>
              </w:rPr>
              <w:t>2022</w:t>
            </w:r>
          </w:p>
        </w:tc>
        <w:tc>
          <w:tcPr>
            <w:tcW w:w="943" w:type="dxa"/>
            <w:noWrap/>
            <w:hideMark/>
          </w:tcPr>
          <w:p w14:paraId="5A038B9A" w14:textId="77777777" w:rsidR="008124CC" w:rsidRPr="00807AC3" w:rsidRDefault="008124CC" w:rsidP="0083214A">
            <w:pPr>
              <w:rPr>
                <w:noProof/>
              </w:rPr>
            </w:pPr>
            <w:r w:rsidRPr="00807AC3">
              <w:rPr>
                <w:noProof/>
              </w:rPr>
              <w:t>2023</w:t>
            </w:r>
          </w:p>
        </w:tc>
        <w:tc>
          <w:tcPr>
            <w:tcW w:w="944" w:type="dxa"/>
            <w:noWrap/>
            <w:hideMark/>
          </w:tcPr>
          <w:p w14:paraId="550F8403" w14:textId="77777777" w:rsidR="008124CC" w:rsidRPr="00807AC3" w:rsidRDefault="008124CC" w:rsidP="0083214A">
            <w:pPr>
              <w:rPr>
                <w:noProof/>
              </w:rPr>
            </w:pPr>
            <w:r w:rsidRPr="00807AC3">
              <w:rPr>
                <w:noProof/>
              </w:rPr>
              <w:t>2024</w:t>
            </w:r>
          </w:p>
        </w:tc>
        <w:tc>
          <w:tcPr>
            <w:tcW w:w="944" w:type="dxa"/>
            <w:noWrap/>
            <w:hideMark/>
          </w:tcPr>
          <w:p w14:paraId="4F48449A" w14:textId="77777777" w:rsidR="008124CC" w:rsidRPr="00807AC3" w:rsidRDefault="008124CC" w:rsidP="0083214A">
            <w:pPr>
              <w:rPr>
                <w:noProof/>
              </w:rPr>
            </w:pPr>
            <w:r w:rsidRPr="00807AC3">
              <w:rPr>
                <w:noProof/>
              </w:rPr>
              <w:t>2025</w:t>
            </w:r>
          </w:p>
        </w:tc>
        <w:tc>
          <w:tcPr>
            <w:tcW w:w="943" w:type="dxa"/>
            <w:noWrap/>
            <w:hideMark/>
          </w:tcPr>
          <w:p w14:paraId="227C95CC" w14:textId="77777777" w:rsidR="008124CC" w:rsidRPr="00807AC3" w:rsidRDefault="008124CC" w:rsidP="0083214A">
            <w:pPr>
              <w:rPr>
                <w:noProof/>
              </w:rPr>
            </w:pPr>
            <w:r w:rsidRPr="00807AC3">
              <w:rPr>
                <w:noProof/>
              </w:rPr>
              <w:t>2026</w:t>
            </w:r>
          </w:p>
        </w:tc>
        <w:tc>
          <w:tcPr>
            <w:tcW w:w="944" w:type="dxa"/>
            <w:noWrap/>
            <w:hideMark/>
          </w:tcPr>
          <w:p w14:paraId="208B8263" w14:textId="77777777" w:rsidR="008124CC" w:rsidRPr="00807AC3" w:rsidRDefault="008124CC" w:rsidP="0083214A">
            <w:pPr>
              <w:rPr>
                <w:noProof/>
              </w:rPr>
            </w:pPr>
            <w:r w:rsidRPr="00807AC3">
              <w:rPr>
                <w:noProof/>
              </w:rPr>
              <w:t>2027</w:t>
            </w:r>
          </w:p>
        </w:tc>
        <w:tc>
          <w:tcPr>
            <w:tcW w:w="1229" w:type="dxa"/>
            <w:noWrap/>
            <w:hideMark/>
          </w:tcPr>
          <w:p w14:paraId="2315CA30" w14:textId="77777777" w:rsidR="008124CC" w:rsidRPr="00807AC3" w:rsidRDefault="008124CC" w:rsidP="0083214A">
            <w:pPr>
              <w:rPr>
                <w:noProof/>
              </w:rPr>
            </w:pPr>
            <w:r w:rsidRPr="00807AC3">
              <w:rPr>
                <w:noProof/>
              </w:rPr>
              <w:t>Total</w:t>
            </w:r>
          </w:p>
        </w:tc>
      </w:tr>
      <w:tr w:rsidR="008124CC" w:rsidRPr="00040D99" w14:paraId="63617C4F"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3E45A7C2" w14:textId="77777777" w:rsidR="008124CC" w:rsidRPr="00807AC3" w:rsidRDefault="008124CC" w:rsidP="0083214A">
            <w:pPr>
              <w:rPr>
                <w:noProof/>
              </w:rPr>
            </w:pPr>
            <w:r w:rsidRPr="00807AC3">
              <w:rPr>
                <w:noProof/>
              </w:rPr>
              <w:t>Financial programming</w:t>
            </w:r>
          </w:p>
        </w:tc>
        <w:tc>
          <w:tcPr>
            <w:tcW w:w="943" w:type="dxa"/>
            <w:noWrap/>
            <w:hideMark/>
          </w:tcPr>
          <w:p w14:paraId="1141870F" w14:textId="77777777" w:rsidR="008124CC" w:rsidRPr="00807AC3" w:rsidRDefault="008124CC" w:rsidP="0083214A">
            <w:pPr>
              <w:jc w:val="center"/>
              <w:rPr>
                <w:noProof/>
              </w:rPr>
            </w:pPr>
            <w:r w:rsidRPr="00514CB9">
              <w:rPr>
                <w:noProof/>
              </w:rPr>
              <w:t>2</w:t>
            </w:r>
            <w:r>
              <w:rPr>
                <w:rFonts w:ascii="Calibri" w:hAnsi="Calibri" w:cs="Calibri"/>
                <w:noProof/>
              </w:rPr>
              <w:t> </w:t>
            </w:r>
            <w:r w:rsidRPr="00514CB9">
              <w:rPr>
                <w:noProof/>
              </w:rPr>
              <w:t>168</w:t>
            </w:r>
            <w:r>
              <w:rPr>
                <w:noProof/>
              </w:rPr>
              <w:t>.</w:t>
            </w:r>
            <w:r w:rsidRPr="00514CB9">
              <w:rPr>
                <w:noProof/>
              </w:rPr>
              <w:t>1</w:t>
            </w:r>
          </w:p>
        </w:tc>
        <w:tc>
          <w:tcPr>
            <w:tcW w:w="944" w:type="dxa"/>
            <w:noWrap/>
            <w:hideMark/>
          </w:tcPr>
          <w:p w14:paraId="19E70C2A" w14:textId="77777777" w:rsidR="008124CC" w:rsidRPr="00807AC3" w:rsidRDefault="008124CC" w:rsidP="0083214A">
            <w:pPr>
              <w:jc w:val="center"/>
              <w:rPr>
                <w:noProof/>
              </w:rPr>
            </w:pPr>
            <w:r w:rsidRPr="00514CB9">
              <w:rPr>
                <w:noProof/>
              </w:rPr>
              <w:t>1</w:t>
            </w:r>
            <w:r>
              <w:rPr>
                <w:rFonts w:ascii="Calibri" w:hAnsi="Calibri" w:cs="Calibri"/>
                <w:noProof/>
              </w:rPr>
              <w:t> </w:t>
            </w:r>
            <w:r w:rsidRPr="00514CB9">
              <w:rPr>
                <w:noProof/>
              </w:rPr>
              <w:t>806</w:t>
            </w:r>
            <w:r>
              <w:rPr>
                <w:noProof/>
              </w:rPr>
              <w:t>.</w:t>
            </w:r>
            <w:r w:rsidRPr="00514CB9">
              <w:rPr>
                <w:noProof/>
              </w:rPr>
              <w:t>1</w:t>
            </w:r>
          </w:p>
        </w:tc>
        <w:tc>
          <w:tcPr>
            <w:tcW w:w="943" w:type="dxa"/>
            <w:noWrap/>
            <w:hideMark/>
          </w:tcPr>
          <w:p w14:paraId="4FCA6632" w14:textId="77777777" w:rsidR="008124CC" w:rsidRPr="00807AC3" w:rsidRDefault="008124CC" w:rsidP="0083214A">
            <w:pPr>
              <w:jc w:val="center"/>
              <w:rPr>
                <w:noProof/>
              </w:rPr>
            </w:pPr>
            <w:r w:rsidRPr="00514CB9">
              <w:rPr>
                <w:noProof/>
              </w:rPr>
              <w:t>1</w:t>
            </w:r>
            <w:r>
              <w:rPr>
                <w:rFonts w:ascii="Calibri" w:hAnsi="Calibri" w:cs="Calibri"/>
                <w:noProof/>
              </w:rPr>
              <w:t> </w:t>
            </w:r>
            <w:r w:rsidRPr="00514CB9">
              <w:rPr>
                <w:noProof/>
              </w:rPr>
              <w:t>626</w:t>
            </w:r>
            <w:r>
              <w:rPr>
                <w:noProof/>
              </w:rPr>
              <w:t>.</w:t>
            </w:r>
            <w:r w:rsidRPr="00514CB9">
              <w:rPr>
                <w:noProof/>
              </w:rPr>
              <w:t>9</w:t>
            </w:r>
          </w:p>
        </w:tc>
        <w:tc>
          <w:tcPr>
            <w:tcW w:w="944" w:type="dxa"/>
            <w:noWrap/>
            <w:hideMark/>
          </w:tcPr>
          <w:p w14:paraId="22BF7C2F" w14:textId="77777777" w:rsidR="008124CC" w:rsidRPr="00807AC3" w:rsidRDefault="008124CC" w:rsidP="0083214A">
            <w:pPr>
              <w:jc w:val="center"/>
              <w:rPr>
                <w:noProof/>
              </w:rPr>
            </w:pPr>
            <w:r w:rsidRPr="00514CB9">
              <w:rPr>
                <w:noProof/>
              </w:rPr>
              <w:t>1</w:t>
            </w:r>
            <w:r>
              <w:rPr>
                <w:rFonts w:ascii="Calibri" w:hAnsi="Calibri" w:cs="Calibri"/>
                <w:noProof/>
              </w:rPr>
              <w:t> </w:t>
            </w:r>
            <w:r w:rsidRPr="00514CB9">
              <w:rPr>
                <w:noProof/>
              </w:rPr>
              <w:t>660</w:t>
            </w:r>
            <w:r>
              <w:rPr>
                <w:noProof/>
              </w:rPr>
              <w:t>.</w:t>
            </w:r>
            <w:r w:rsidRPr="00514CB9">
              <w:rPr>
                <w:noProof/>
              </w:rPr>
              <w:t>7</w:t>
            </w:r>
          </w:p>
        </w:tc>
        <w:tc>
          <w:tcPr>
            <w:tcW w:w="944" w:type="dxa"/>
            <w:noWrap/>
            <w:hideMark/>
          </w:tcPr>
          <w:p w14:paraId="270BDFC2" w14:textId="77777777" w:rsidR="008124CC" w:rsidRPr="00807AC3" w:rsidRDefault="008124CC" w:rsidP="0083214A">
            <w:pPr>
              <w:jc w:val="center"/>
              <w:rPr>
                <w:noProof/>
              </w:rPr>
            </w:pPr>
            <w:r w:rsidRPr="00514CB9">
              <w:rPr>
                <w:noProof/>
              </w:rPr>
              <w:t>1</w:t>
            </w:r>
            <w:r>
              <w:rPr>
                <w:rFonts w:ascii="Calibri" w:hAnsi="Calibri" w:cs="Calibri"/>
                <w:noProof/>
              </w:rPr>
              <w:t> </w:t>
            </w:r>
            <w:r w:rsidRPr="00514CB9">
              <w:rPr>
                <w:noProof/>
              </w:rPr>
              <w:t>693</w:t>
            </w:r>
            <w:r>
              <w:rPr>
                <w:noProof/>
              </w:rPr>
              <w:t>.</w:t>
            </w:r>
            <w:r w:rsidRPr="00514CB9">
              <w:rPr>
                <w:noProof/>
              </w:rPr>
              <w:t>6</w:t>
            </w:r>
          </w:p>
        </w:tc>
        <w:tc>
          <w:tcPr>
            <w:tcW w:w="943" w:type="dxa"/>
            <w:noWrap/>
            <w:hideMark/>
          </w:tcPr>
          <w:p w14:paraId="0D93D04C" w14:textId="77777777" w:rsidR="008124CC" w:rsidRPr="00807AC3" w:rsidRDefault="008124CC" w:rsidP="0083214A">
            <w:pPr>
              <w:jc w:val="center"/>
              <w:rPr>
                <w:noProof/>
              </w:rPr>
            </w:pPr>
            <w:r w:rsidRPr="00514CB9">
              <w:rPr>
                <w:noProof/>
              </w:rPr>
              <w:t>1</w:t>
            </w:r>
            <w:r>
              <w:rPr>
                <w:rFonts w:ascii="Calibri" w:hAnsi="Calibri" w:cs="Calibri"/>
                <w:noProof/>
              </w:rPr>
              <w:t> </w:t>
            </w:r>
            <w:r w:rsidRPr="00514CB9">
              <w:rPr>
                <w:noProof/>
              </w:rPr>
              <w:t>727</w:t>
            </w:r>
            <w:r>
              <w:rPr>
                <w:noProof/>
              </w:rPr>
              <w:t>.</w:t>
            </w:r>
            <w:r w:rsidRPr="00514CB9">
              <w:rPr>
                <w:noProof/>
              </w:rPr>
              <w:t>5</w:t>
            </w:r>
          </w:p>
        </w:tc>
        <w:tc>
          <w:tcPr>
            <w:tcW w:w="944" w:type="dxa"/>
            <w:noWrap/>
            <w:hideMark/>
          </w:tcPr>
          <w:p w14:paraId="7AAABDA3" w14:textId="77777777" w:rsidR="008124CC" w:rsidRPr="00807AC3" w:rsidRDefault="008124CC" w:rsidP="0083214A">
            <w:pPr>
              <w:jc w:val="center"/>
              <w:rPr>
                <w:noProof/>
              </w:rPr>
            </w:pPr>
            <w:r w:rsidRPr="00514CB9">
              <w:rPr>
                <w:noProof/>
              </w:rPr>
              <w:t>1</w:t>
            </w:r>
            <w:r>
              <w:rPr>
                <w:rFonts w:ascii="Calibri" w:hAnsi="Calibri" w:cs="Calibri"/>
                <w:noProof/>
              </w:rPr>
              <w:t> </w:t>
            </w:r>
            <w:r w:rsidRPr="00514CB9">
              <w:rPr>
                <w:noProof/>
              </w:rPr>
              <w:t>762</w:t>
            </w:r>
            <w:r>
              <w:rPr>
                <w:noProof/>
              </w:rPr>
              <w:t>.</w:t>
            </w:r>
            <w:r w:rsidRPr="00514CB9">
              <w:rPr>
                <w:noProof/>
              </w:rPr>
              <w:t>4</w:t>
            </w:r>
          </w:p>
        </w:tc>
        <w:tc>
          <w:tcPr>
            <w:tcW w:w="1229" w:type="dxa"/>
            <w:noWrap/>
            <w:hideMark/>
          </w:tcPr>
          <w:p w14:paraId="36460F35" w14:textId="77777777" w:rsidR="00A564DC" w:rsidRDefault="00A564DC" w:rsidP="00A564DC">
            <w:pPr>
              <w:spacing w:after="0"/>
              <w:jc w:val="center"/>
              <w:rPr>
                <w:rFonts w:ascii="Calibri" w:hAnsi="Calibri" w:cs="Calibri"/>
                <w:noProof/>
                <w:color w:val="000000"/>
              </w:rPr>
            </w:pPr>
            <w:r>
              <w:rPr>
                <w:rFonts w:ascii="Calibri" w:hAnsi="Calibri" w:cs="Calibri"/>
                <w:noProof/>
                <w:color w:val="000000"/>
              </w:rPr>
              <w:t>12 484.1</w:t>
            </w:r>
          </w:p>
          <w:p w14:paraId="033A01BE" w14:textId="7F252D6F" w:rsidR="008124CC" w:rsidRPr="00807AC3" w:rsidRDefault="008124CC" w:rsidP="0083214A">
            <w:pPr>
              <w:jc w:val="center"/>
              <w:rPr>
                <w:noProof/>
              </w:rPr>
            </w:pPr>
          </w:p>
        </w:tc>
      </w:tr>
      <w:tr w:rsidR="008124CC" w:rsidRPr="00040D99" w14:paraId="1D439331"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2DEADBF0" w14:textId="77777777" w:rsidR="008124CC" w:rsidRPr="00807AC3" w:rsidRDefault="008124CC" w:rsidP="0083214A">
            <w:pPr>
              <w:rPr>
                <w:noProof/>
              </w:rPr>
            </w:pPr>
            <w:r w:rsidRPr="00807AC3">
              <w:rPr>
                <w:noProof/>
              </w:rPr>
              <w:t>NextGenerationEU</w:t>
            </w:r>
          </w:p>
        </w:tc>
        <w:tc>
          <w:tcPr>
            <w:tcW w:w="943" w:type="dxa"/>
            <w:noWrap/>
            <w:hideMark/>
          </w:tcPr>
          <w:p w14:paraId="26044C9F" w14:textId="77777777" w:rsidR="008124CC" w:rsidRPr="00807AC3" w:rsidRDefault="008124CC" w:rsidP="0083214A">
            <w:pPr>
              <w:jc w:val="center"/>
              <w:rPr>
                <w:noProof/>
              </w:rPr>
            </w:pPr>
          </w:p>
        </w:tc>
        <w:tc>
          <w:tcPr>
            <w:tcW w:w="944" w:type="dxa"/>
            <w:noWrap/>
            <w:hideMark/>
          </w:tcPr>
          <w:p w14:paraId="0DFC3FB7" w14:textId="77777777" w:rsidR="008124CC" w:rsidRPr="00807AC3" w:rsidRDefault="008124CC" w:rsidP="0083214A">
            <w:pPr>
              <w:jc w:val="center"/>
              <w:rPr>
                <w:noProof/>
              </w:rPr>
            </w:pPr>
          </w:p>
        </w:tc>
        <w:tc>
          <w:tcPr>
            <w:tcW w:w="943" w:type="dxa"/>
            <w:noWrap/>
            <w:hideMark/>
          </w:tcPr>
          <w:p w14:paraId="2124FBB1" w14:textId="77777777" w:rsidR="008124CC" w:rsidRPr="00807AC3" w:rsidRDefault="008124CC" w:rsidP="0083214A">
            <w:pPr>
              <w:jc w:val="center"/>
              <w:rPr>
                <w:noProof/>
              </w:rPr>
            </w:pPr>
          </w:p>
        </w:tc>
        <w:tc>
          <w:tcPr>
            <w:tcW w:w="944" w:type="dxa"/>
            <w:noWrap/>
            <w:hideMark/>
          </w:tcPr>
          <w:p w14:paraId="22D86F39" w14:textId="77777777" w:rsidR="008124CC" w:rsidRPr="00807AC3" w:rsidRDefault="008124CC" w:rsidP="0083214A">
            <w:pPr>
              <w:jc w:val="center"/>
              <w:rPr>
                <w:noProof/>
              </w:rPr>
            </w:pPr>
          </w:p>
        </w:tc>
        <w:tc>
          <w:tcPr>
            <w:tcW w:w="944" w:type="dxa"/>
            <w:noWrap/>
            <w:hideMark/>
          </w:tcPr>
          <w:p w14:paraId="642FA0D7" w14:textId="77777777" w:rsidR="008124CC" w:rsidRPr="00807AC3" w:rsidRDefault="008124CC" w:rsidP="0083214A">
            <w:pPr>
              <w:jc w:val="center"/>
              <w:rPr>
                <w:noProof/>
              </w:rPr>
            </w:pPr>
          </w:p>
        </w:tc>
        <w:tc>
          <w:tcPr>
            <w:tcW w:w="943" w:type="dxa"/>
            <w:noWrap/>
            <w:hideMark/>
          </w:tcPr>
          <w:p w14:paraId="123A4EB8" w14:textId="77777777" w:rsidR="008124CC" w:rsidRPr="00807AC3" w:rsidRDefault="008124CC" w:rsidP="0083214A">
            <w:pPr>
              <w:jc w:val="center"/>
              <w:rPr>
                <w:noProof/>
              </w:rPr>
            </w:pPr>
          </w:p>
        </w:tc>
        <w:tc>
          <w:tcPr>
            <w:tcW w:w="944" w:type="dxa"/>
            <w:noWrap/>
            <w:hideMark/>
          </w:tcPr>
          <w:p w14:paraId="61EAB0EC" w14:textId="77777777" w:rsidR="008124CC" w:rsidRPr="00807AC3" w:rsidRDefault="008124CC" w:rsidP="0083214A">
            <w:pPr>
              <w:jc w:val="center"/>
              <w:rPr>
                <w:noProof/>
              </w:rPr>
            </w:pPr>
          </w:p>
        </w:tc>
        <w:tc>
          <w:tcPr>
            <w:tcW w:w="1229" w:type="dxa"/>
            <w:noWrap/>
            <w:hideMark/>
          </w:tcPr>
          <w:p w14:paraId="039243E6" w14:textId="77777777" w:rsidR="008124CC" w:rsidRPr="00807AC3" w:rsidRDefault="008124CC" w:rsidP="0083214A">
            <w:pPr>
              <w:jc w:val="center"/>
              <w:rPr>
                <w:noProof/>
              </w:rPr>
            </w:pPr>
          </w:p>
        </w:tc>
      </w:tr>
      <w:tr w:rsidR="008124CC" w:rsidRPr="00040D99" w14:paraId="6A8496AD"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447280F6" w14:textId="77777777" w:rsidR="008124CC" w:rsidRPr="00807AC3" w:rsidRDefault="008124CC" w:rsidP="0083214A">
            <w:pPr>
              <w:rPr>
                <w:noProof/>
              </w:rPr>
            </w:pPr>
            <w:r w:rsidRPr="00807AC3">
              <w:rPr>
                <w:noProof/>
              </w:rPr>
              <w:t>Decommitments made available again</w:t>
            </w:r>
            <w:r>
              <w:rPr>
                <w:rFonts w:ascii="Calibri" w:hAnsi="Calibri" w:cs="Calibri"/>
                <w:noProof/>
              </w:rPr>
              <w:t> (</w:t>
            </w:r>
            <w:r w:rsidRPr="00807AC3">
              <w:rPr>
                <w:noProof/>
              </w:rPr>
              <w:t>*</w:t>
            </w:r>
            <w:r>
              <w:rPr>
                <w:noProof/>
              </w:rPr>
              <w:t>)</w:t>
            </w:r>
          </w:p>
        </w:tc>
        <w:tc>
          <w:tcPr>
            <w:tcW w:w="943" w:type="dxa"/>
            <w:noWrap/>
            <w:hideMark/>
          </w:tcPr>
          <w:p w14:paraId="77CA461D" w14:textId="77777777" w:rsidR="008124CC" w:rsidRPr="00807AC3" w:rsidRDefault="008124CC" w:rsidP="0083214A">
            <w:pPr>
              <w:jc w:val="center"/>
              <w:rPr>
                <w:noProof/>
              </w:rPr>
            </w:pPr>
            <w:r>
              <w:rPr>
                <w:noProof/>
              </w:rPr>
              <w:t>N/A</w:t>
            </w:r>
          </w:p>
        </w:tc>
        <w:tc>
          <w:tcPr>
            <w:tcW w:w="944" w:type="dxa"/>
            <w:noWrap/>
            <w:hideMark/>
          </w:tcPr>
          <w:p w14:paraId="25F0C431" w14:textId="77777777" w:rsidR="008124CC" w:rsidRPr="00807AC3" w:rsidRDefault="008124CC" w:rsidP="0083214A">
            <w:pPr>
              <w:jc w:val="center"/>
              <w:rPr>
                <w:noProof/>
              </w:rPr>
            </w:pPr>
          </w:p>
        </w:tc>
        <w:tc>
          <w:tcPr>
            <w:tcW w:w="943" w:type="dxa"/>
            <w:noWrap/>
            <w:hideMark/>
          </w:tcPr>
          <w:p w14:paraId="20A356CE" w14:textId="77777777" w:rsidR="008124CC" w:rsidRPr="00807AC3" w:rsidRDefault="008124CC" w:rsidP="0083214A">
            <w:pPr>
              <w:jc w:val="center"/>
              <w:rPr>
                <w:noProof/>
              </w:rPr>
            </w:pPr>
          </w:p>
        </w:tc>
        <w:tc>
          <w:tcPr>
            <w:tcW w:w="944" w:type="dxa"/>
            <w:noWrap/>
            <w:hideMark/>
          </w:tcPr>
          <w:p w14:paraId="3545EFDC" w14:textId="77777777" w:rsidR="008124CC" w:rsidRPr="00807AC3" w:rsidRDefault="008124CC" w:rsidP="0083214A">
            <w:pPr>
              <w:jc w:val="center"/>
              <w:rPr>
                <w:noProof/>
              </w:rPr>
            </w:pPr>
          </w:p>
        </w:tc>
        <w:tc>
          <w:tcPr>
            <w:tcW w:w="944" w:type="dxa"/>
            <w:noWrap/>
            <w:hideMark/>
          </w:tcPr>
          <w:p w14:paraId="570F8849" w14:textId="77777777" w:rsidR="008124CC" w:rsidRPr="00807AC3" w:rsidRDefault="008124CC" w:rsidP="0083214A">
            <w:pPr>
              <w:jc w:val="center"/>
              <w:rPr>
                <w:noProof/>
              </w:rPr>
            </w:pPr>
          </w:p>
        </w:tc>
        <w:tc>
          <w:tcPr>
            <w:tcW w:w="943" w:type="dxa"/>
            <w:noWrap/>
            <w:hideMark/>
          </w:tcPr>
          <w:p w14:paraId="09EC4FA9" w14:textId="77777777" w:rsidR="008124CC" w:rsidRPr="00807AC3" w:rsidRDefault="008124CC" w:rsidP="0083214A">
            <w:pPr>
              <w:jc w:val="center"/>
              <w:rPr>
                <w:noProof/>
              </w:rPr>
            </w:pPr>
          </w:p>
        </w:tc>
        <w:tc>
          <w:tcPr>
            <w:tcW w:w="944" w:type="dxa"/>
            <w:noWrap/>
            <w:hideMark/>
          </w:tcPr>
          <w:p w14:paraId="49B8B287" w14:textId="77777777" w:rsidR="008124CC" w:rsidRPr="00807AC3" w:rsidRDefault="008124CC" w:rsidP="0083214A">
            <w:pPr>
              <w:jc w:val="center"/>
              <w:rPr>
                <w:noProof/>
              </w:rPr>
            </w:pPr>
          </w:p>
        </w:tc>
        <w:tc>
          <w:tcPr>
            <w:tcW w:w="1229" w:type="dxa"/>
            <w:noWrap/>
            <w:hideMark/>
          </w:tcPr>
          <w:p w14:paraId="4DA5BE5B" w14:textId="77777777" w:rsidR="008124CC" w:rsidRPr="00807AC3" w:rsidRDefault="008124CC" w:rsidP="0083214A">
            <w:pPr>
              <w:jc w:val="center"/>
              <w:rPr>
                <w:noProof/>
              </w:rPr>
            </w:pPr>
            <w:r>
              <w:rPr>
                <w:noProof/>
              </w:rPr>
              <w:t>N/A</w:t>
            </w:r>
          </w:p>
        </w:tc>
      </w:tr>
      <w:tr w:rsidR="008124CC" w:rsidRPr="00040D99" w14:paraId="22B30A00"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7B956115" w14:textId="4E45A972" w:rsidR="008124CC" w:rsidRPr="00807AC3" w:rsidRDefault="008124CC" w:rsidP="0083214A">
            <w:pPr>
              <w:rPr>
                <w:noProof/>
              </w:rPr>
            </w:pPr>
            <w:r>
              <w:rPr>
                <w:rFonts w:cs="Calibri"/>
                <w:noProof/>
                <w:color w:val="000000"/>
              </w:rPr>
              <w:t>Contributions from other countries and entities</w:t>
            </w:r>
          </w:p>
        </w:tc>
        <w:tc>
          <w:tcPr>
            <w:tcW w:w="943" w:type="dxa"/>
            <w:noWrap/>
            <w:hideMark/>
          </w:tcPr>
          <w:p w14:paraId="2CBA5499" w14:textId="77777777" w:rsidR="008124CC" w:rsidRPr="00807AC3" w:rsidRDefault="008124CC" w:rsidP="0083214A">
            <w:pPr>
              <w:jc w:val="center"/>
              <w:rPr>
                <w:noProof/>
              </w:rPr>
            </w:pPr>
            <w:r w:rsidRPr="00065934">
              <w:rPr>
                <w:noProof/>
              </w:rPr>
              <w:t>9</w:t>
            </w:r>
            <w:r>
              <w:rPr>
                <w:noProof/>
              </w:rPr>
              <w:t>.</w:t>
            </w:r>
            <w:r w:rsidRPr="00065934">
              <w:rPr>
                <w:noProof/>
              </w:rPr>
              <w:t>9</w:t>
            </w:r>
          </w:p>
        </w:tc>
        <w:tc>
          <w:tcPr>
            <w:tcW w:w="944" w:type="dxa"/>
            <w:noWrap/>
            <w:hideMark/>
          </w:tcPr>
          <w:p w14:paraId="034C2FB4" w14:textId="77777777" w:rsidR="008124CC" w:rsidRPr="00807AC3" w:rsidRDefault="008124CC" w:rsidP="0083214A">
            <w:pPr>
              <w:jc w:val="center"/>
              <w:rPr>
                <w:noProof/>
              </w:rPr>
            </w:pPr>
            <w:r>
              <w:rPr>
                <w:noProof/>
              </w:rPr>
              <w:t>p.m.</w:t>
            </w:r>
          </w:p>
        </w:tc>
        <w:tc>
          <w:tcPr>
            <w:tcW w:w="943" w:type="dxa"/>
            <w:noWrap/>
            <w:hideMark/>
          </w:tcPr>
          <w:p w14:paraId="1CCEAFC2" w14:textId="77777777" w:rsidR="008124CC" w:rsidRPr="00807AC3" w:rsidRDefault="008124CC" w:rsidP="0083214A">
            <w:pPr>
              <w:jc w:val="center"/>
              <w:rPr>
                <w:noProof/>
              </w:rPr>
            </w:pPr>
            <w:r>
              <w:rPr>
                <w:noProof/>
              </w:rPr>
              <w:t>p.m.</w:t>
            </w:r>
          </w:p>
        </w:tc>
        <w:tc>
          <w:tcPr>
            <w:tcW w:w="944" w:type="dxa"/>
            <w:noWrap/>
            <w:hideMark/>
          </w:tcPr>
          <w:p w14:paraId="40397521" w14:textId="77777777" w:rsidR="008124CC" w:rsidRPr="00807AC3" w:rsidRDefault="008124CC" w:rsidP="0083214A">
            <w:pPr>
              <w:jc w:val="center"/>
              <w:rPr>
                <w:noProof/>
              </w:rPr>
            </w:pPr>
            <w:r>
              <w:rPr>
                <w:noProof/>
              </w:rPr>
              <w:t>p.m.</w:t>
            </w:r>
          </w:p>
        </w:tc>
        <w:tc>
          <w:tcPr>
            <w:tcW w:w="944" w:type="dxa"/>
            <w:noWrap/>
            <w:hideMark/>
          </w:tcPr>
          <w:p w14:paraId="774F40B0" w14:textId="77777777" w:rsidR="008124CC" w:rsidRPr="00807AC3" w:rsidRDefault="008124CC" w:rsidP="0083214A">
            <w:pPr>
              <w:jc w:val="center"/>
              <w:rPr>
                <w:noProof/>
              </w:rPr>
            </w:pPr>
            <w:r>
              <w:rPr>
                <w:noProof/>
              </w:rPr>
              <w:t>p.m.</w:t>
            </w:r>
          </w:p>
        </w:tc>
        <w:tc>
          <w:tcPr>
            <w:tcW w:w="943" w:type="dxa"/>
            <w:noWrap/>
            <w:hideMark/>
          </w:tcPr>
          <w:p w14:paraId="367187A4" w14:textId="77777777" w:rsidR="008124CC" w:rsidRPr="00807AC3" w:rsidRDefault="008124CC" w:rsidP="0083214A">
            <w:pPr>
              <w:jc w:val="center"/>
              <w:rPr>
                <w:noProof/>
              </w:rPr>
            </w:pPr>
            <w:r>
              <w:rPr>
                <w:noProof/>
              </w:rPr>
              <w:t>p.m.</w:t>
            </w:r>
          </w:p>
        </w:tc>
        <w:tc>
          <w:tcPr>
            <w:tcW w:w="944" w:type="dxa"/>
            <w:noWrap/>
            <w:hideMark/>
          </w:tcPr>
          <w:p w14:paraId="3C6D610A" w14:textId="77777777" w:rsidR="008124CC" w:rsidRPr="00807AC3" w:rsidRDefault="008124CC" w:rsidP="0083214A">
            <w:pPr>
              <w:jc w:val="center"/>
              <w:rPr>
                <w:noProof/>
              </w:rPr>
            </w:pPr>
            <w:r>
              <w:rPr>
                <w:noProof/>
              </w:rPr>
              <w:t>p.m.</w:t>
            </w:r>
          </w:p>
        </w:tc>
        <w:tc>
          <w:tcPr>
            <w:tcW w:w="1229" w:type="dxa"/>
            <w:noWrap/>
            <w:hideMark/>
          </w:tcPr>
          <w:p w14:paraId="4B309AE4" w14:textId="77777777" w:rsidR="008124CC" w:rsidRPr="00807AC3" w:rsidRDefault="008124CC" w:rsidP="0083214A">
            <w:pPr>
              <w:jc w:val="center"/>
              <w:rPr>
                <w:noProof/>
              </w:rPr>
            </w:pPr>
            <w:r w:rsidRPr="00065934">
              <w:rPr>
                <w:noProof/>
              </w:rPr>
              <w:t>9</w:t>
            </w:r>
            <w:r>
              <w:rPr>
                <w:noProof/>
              </w:rPr>
              <w:t>.</w:t>
            </w:r>
            <w:r w:rsidRPr="00065934">
              <w:rPr>
                <w:noProof/>
              </w:rPr>
              <w:t>9</w:t>
            </w:r>
          </w:p>
        </w:tc>
      </w:tr>
      <w:tr w:rsidR="008124CC" w:rsidRPr="00807AC3" w14:paraId="6323285A"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49936E6D" w14:textId="77777777" w:rsidR="008124CC" w:rsidRPr="00807AC3" w:rsidRDefault="008124CC" w:rsidP="0083214A">
            <w:pPr>
              <w:rPr>
                <w:noProof/>
              </w:rPr>
            </w:pPr>
            <w:r>
              <w:rPr>
                <w:noProof/>
              </w:rPr>
              <w:t>Total</w:t>
            </w:r>
          </w:p>
        </w:tc>
        <w:tc>
          <w:tcPr>
            <w:tcW w:w="943" w:type="dxa"/>
            <w:noWrap/>
            <w:hideMark/>
          </w:tcPr>
          <w:p w14:paraId="38002FED" w14:textId="61825B25" w:rsidR="008124CC" w:rsidRPr="00807AC3" w:rsidRDefault="008124CC" w:rsidP="0083214A">
            <w:pPr>
              <w:jc w:val="center"/>
              <w:rPr>
                <w:noProof/>
              </w:rPr>
            </w:pPr>
            <w:r w:rsidRPr="00AC17F2">
              <w:rPr>
                <w:noProof/>
              </w:rPr>
              <w:t>2</w:t>
            </w:r>
            <w:r>
              <w:rPr>
                <w:rFonts w:ascii="Calibri" w:hAnsi="Calibri" w:cs="Calibri"/>
                <w:noProof/>
              </w:rPr>
              <w:t> </w:t>
            </w:r>
            <w:r w:rsidRPr="00AC17F2">
              <w:rPr>
                <w:noProof/>
              </w:rPr>
              <w:t>177</w:t>
            </w:r>
            <w:r>
              <w:rPr>
                <w:noProof/>
              </w:rPr>
              <w:t>.</w:t>
            </w:r>
            <w:r w:rsidRPr="00AC17F2">
              <w:rPr>
                <w:noProof/>
              </w:rPr>
              <w:t>9</w:t>
            </w:r>
          </w:p>
        </w:tc>
        <w:tc>
          <w:tcPr>
            <w:tcW w:w="944" w:type="dxa"/>
            <w:noWrap/>
            <w:hideMark/>
          </w:tcPr>
          <w:p w14:paraId="6467CDCA" w14:textId="77777777" w:rsidR="00A564DC" w:rsidRDefault="00A564DC" w:rsidP="00A564DC">
            <w:pPr>
              <w:spacing w:after="0"/>
              <w:jc w:val="center"/>
              <w:rPr>
                <w:rFonts w:ascii="Calibri" w:hAnsi="Calibri" w:cs="Calibri"/>
                <w:noProof/>
                <w:color w:val="000000"/>
              </w:rPr>
            </w:pPr>
            <w:r>
              <w:rPr>
                <w:rFonts w:ascii="Calibri" w:hAnsi="Calibri" w:cs="Calibri"/>
                <w:noProof/>
                <w:color w:val="000000"/>
              </w:rPr>
              <w:t>1 845.0</w:t>
            </w:r>
          </w:p>
          <w:p w14:paraId="7A3B7940" w14:textId="317F6CF2" w:rsidR="008124CC" w:rsidRPr="00807AC3" w:rsidRDefault="008124CC" w:rsidP="0083214A">
            <w:pPr>
              <w:jc w:val="center"/>
              <w:rPr>
                <w:noProof/>
              </w:rPr>
            </w:pPr>
          </w:p>
        </w:tc>
        <w:tc>
          <w:tcPr>
            <w:tcW w:w="943" w:type="dxa"/>
            <w:noWrap/>
            <w:hideMark/>
          </w:tcPr>
          <w:p w14:paraId="56A78A81" w14:textId="6029BED9" w:rsidR="008124CC" w:rsidRPr="00807AC3" w:rsidRDefault="008124CC" w:rsidP="0083214A">
            <w:pPr>
              <w:jc w:val="center"/>
              <w:rPr>
                <w:noProof/>
              </w:rPr>
            </w:pPr>
            <w:r w:rsidRPr="00AC17F2">
              <w:rPr>
                <w:noProof/>
              </w:rPr>
              <w:t>1</w:t>
            </w:r>
            <w:r>
              <w:rPr>
                <w:rFonts w:ascii="Calibri" w:hAnsi="Calibri" w:cs="Calibri"/>
                <w:noProof/>
              </w:rPr>
              <w:t> </w:t>
            </w:r>
            <w:r w:rsidRPr="00AC17F2">
              <w:rPr>
                <w:noProof/>
              </w:rPr>
              <w:t>626</w:t>
            </w:r>
            <w:r>
              <w:rPr>
                <w:noProof/>
              </w:rPr>
              <w:t>.</w:t>
            </w:r>
            <w:r w:rsidRPr="00AC17F2">
              <w:rPr>
                <w:noProof/>
              </w:rPr>
              <w:t>9</w:t>
            </w:r>
          </w:p>
        </w:tc>
        <w:tc>
          <w:tcPr>
            <w:tcW w:w="944" w:type="dxa"/>
            <w:noWrap/>
            <w:hideMark/>
          </w:tcPr>
          <w:p w14:paraId="7479533F" w14:textId="3C8B7B86" w:rsidR="008124CC" w:rsidRPr="00807AC3" w:rsidRDefault="008124CC" w:rsidP="0083214A">
            <w:pPr>
              <w:jc w:val="center"/>
              <w:rPr>
                <w:noProof/>
              </w:rPr>
            </w:pPr>
            <w:r w:rsidRPr="00AC17F2">
              <w:rPr>
                <w:noProof/>
              </w:rPr>
              <w:t>1</w:t>
            </w:r>
            <w:r>
              <w:rPr>
                <w:rFonts w:ascii="Calibri" w:hAnsi="Calibri" w:cs="Calibri"/>
                <w:noProof/>
              </w:rPr>
              <w:t> </w:t>
            </w:r>
            <w:r w:rsidRPr="00AC17F2">
              <w:rPr>
                <w:noProof/>
              </w:rPr>
              <w:t>660</w:t>
            </w:r>
            <w:r>
              <w:rPr>
                <w:noProof/>
              </w:rPr>
              <w:t>.</w:t>
            </w:r>
            <w:r w:rsidRPr="00AC17F2">
              <w:rPr>
                <w:noProof/>
              </w:rPr>
              <w:t>7</w:t>
            </w:r>
          </w:p>
        </w:tc>
        <w:tc>
          <w:tcPr>
            <w:tcW w:w="944" w:type="dxa"/>
            <w:noWrap/>
            <w:hideMark/>
          </w:tcPr>
          <w:p w14:paraId="6D7B96AA" w14:textId="4E0EA4B6" w:rsidR="008124CC" w:rsidRPr="00807AC3" w:rsidRDefault="008124CC" w:rsidP="0083214A">
            <w:pPr>
              <w:jc w:val="center"/>
              <w:rPr>
                <w:noProof/>
              </w:rPr>
            </w:pPr>
            <w:r w:rsidRPr="00AC17F2">
              <w:rPr>
                <w:noProof/>
              </w:rPr>
              <w:t>1</w:t>
            </w:r>
            <w:r>
              <w:rPr>
                <w:rFonts w:ascii="Calibri" w:hAnsi="Calibri" w:cs="Calibri"/>
                <w:noProof/>
              </w:rPr>
              <w:t> </w:t>
            </w:r>
            <w:r w:rsidRPr="00AC17F2">
              <w:rPr>
                <w:noProof/>
              </w:rPr>
              <w:t>693</w:t>
            </w:r>
            <w:r>
              <w:rPr>
                <w:noProof/>
              </w:rPr>
              <w:t>.</w:t>
            </w:r>
            <w:r w:rsidRPr="00AC17F2">
              <w:rPr>
                <w:noProof/>
              </w:rPr>
              <w:t>6</w:t>
            </w:r>
          </w:p>
        </w:tc>
        <w:tc>
          <w:tcPr>
            <w:tcW w:w="943" w:type="dxa"/>
            <w:noWrap/>
            <w:hideMark/>
          </w:tcPr>
          <w:p w14:paraId="394FDE7C" w14:textId="22D1BC93" w:rsidR="008124CC" w:rsidRPr="00807AC3" w:rsidRDefault="008124CC" w:rsidP="0083214A">
            <w:pPr>
              <w:jc w:val="center"/>
              <w:rPr>
                <w:noProof/>
              </w:rPr>
            </w:pPr>
            <w:r w:rsidRPr="00AC17F2">
              <w:rPr>
                <w:noProof/>
              </w:rPr>
              <w:t>1</w:t>
            </w:r>
            <w:r>
              <w:rPr>
                <w:rFonts w:ascii="Calibri" w:hAnsi="Calibri" w:cs="Calibri"/>
                <w:noProof/>
              </w:rPr>
              <w:t> </w:t>
            </w:r>
            <w:r w:rsidRPr="00AC17F2">
              <w:rPr>
                <w:noProof/>
              </w:rPr>
              <w:t>727</w:t>
            </w:r>
            <w:r>
              <w:rPr>
                <w:noProof/>
              </w:rPr>
              <w:t>.</w:t>
            </w:r>
            <w:r w:rsidRPr="00AC17F2">
              <w:rPr>
                <w:noProof/>
              </w:rPr>
              <w:t>5</w:t>
            </w:r>
          </w:p>
        </w:tc>
        <w:tc>
          <w:tcPr>
            <w:tcW w:w="944" w:type="dxa"/>
            <w:noWrap/>
            <w:hideMark/>
          </w:tcPr>
          <w:p w14:paraId="48171616" w14:textId="633C20CD" w:rsidR="008124CC" w:rsidRPr="00807AC3" w:rsidRDefault="008124CC" w:rsidP="0083214A">
            <w:pPr>
              <w:jc w:val="center"/>
              <w:rPr>
                <w:noProof/>
              </w:rPr>
            </w:pPr>
            <w:r w:rsidRPr="00AC17F2">
              <w:rPr>
                <w:noProof/>
              </w:rPr>
              <w:t>1</w:t>
            </w:r>
            <w:r>
              <w:rPr>
                <w:rFonts w:ascii="Calibri" w:hAnsi="Calibri" w:cs="Calibri"/>
                <w:noProof/>
              </w:rPr>
              <w:t> </w:t>
            </w:r>
            <w:r w:rsidRPr="00AC17F2">
              <w:rPr>
                <w:noProof/>
              </w:rPr>
              <w:t>762</w:t>
            </w:r>
            <w:r>
              <w:rPr>
                <w:noProof/>
              </w:rPr>
              <w:t>.</w:t>
            </w:r>
            <w:r w:rsidRPr="00AC17F2">
              <w:rPr>
                <w:noProof/>
              </w:rPr>
              <w:t>4</w:t>
            </w:r>
          </w:p>
        </w:tc>
        <w:tc>
          <w:tcPr>
            <w:tcW w:w="1229" w:type="dxa"/>
            <w:noWrap/>
            <w:hideMark/>
          </w:tcPr>
          <w:p w14:paraId="48766251" w14:textId="77777777" w:rsidR="00A564DC" w:rsidRDefault="00A564DC" w:rsidP="00A564DC">
            <w:pPr>
              <w:spacing w:after="0"/>
              <w:jc w:val="center"/>
              <w:rPr>
                <w:rFonts w:ascii="Calibri" w:hAnsi="Calibri" w:cs="Calibri"/>
                <w:noProof/>
                <w:color w:val="000000"/>
              </w:rPr>
            </w:pPr>
            <w:r>
              <w:rPr>
                <w:rFonts w:ascii="Calibri" w:hAnsi="Calibri" w:cs="Calibri"/>
                <w:noProof/>
                <w:color w:val="000000"/>
              </w:rPr>
              <w:t>12 494.0</w:t>
            </w:r>
          </w:p>
          <w:p w14:paraId="38B71811" w14:textId="6ECF30DC" w:rsidR="008124CC" w:rsidRPr="00807AC3" w:rsidRDefault="008124CC" w:rsidP="0083214A">
            <w:pPr>
              <w:jc w:val="center"/>
              <w:rPr>
                <w:noProof/>
              </w:rPr>
            </w:pPr>
          </w:p>
        </w:tc>
      </w:tr>
    </w:tbl>
    <w:p w14:paraId="56CFFF47" w14:textId="77777777" w:rsidR="008124CC" w:rsidRPr="006F7077" w:rsidRDefault="008124CC" w:rsidP="008124CC">
      <w:pPr>
        <w:tabs>
          <w:tab w:val="left" w:pos="6793"/>
        </w:tabs>
        <w:rPr>
          <w:noProof/>
          <w:sz w:val="18"/>
          <w:szCs w:val="18"/>
          <w:lang w:val="en-IE"/>
        </w:rPr>
      </w:pPr>
      <w:r w:rsidRPr="006F7077">
        <w:rPr>
          <w:noProof/>
          <w:sz w:val="18"/>
          <w:szCs w:val="18"/>
          <w:lang w:val="en-IE"/>
        </w:rPr>
        <w:t>(*) Only Article</w:t>
      </w:r>
      <w:r w:rsidRPr="006F7077">
        <w:rPr>
          <w:rFonts w:ascii="Calibri" w:hAnsi="Calibri" w:cs="Calibri"/>
          <w:noProof/>
          <w:sz w:val="18"/>
          <w:szCs w:val="18"/>
          <w:lang w:val="en-IE"/>
        </w:rPr>
        <w:t> </w:t>
      </w:r>
      <w:r w:rsidRPr="006F7077">
        <w:rPr>
          <w:noProof/>
          <w:sz w:val="18"/>
          <w:szCs w:val="18"/>
          <w:lang w:val="en-IE"/>
        </w:rPr>
        <w:t>15(3) of the financial regulation.</w:t>
      </w:r>
    </w:p>
    <w:p w14:paraId="048126EE" w14:textId="77777777" w:rsidR="008124CC" w:rsidRPr="00040D99" w:rsidRDefault="008124CC" w:rsidP="008124CC">
      <w:pPr>
        <w:rPr>
          <w:noProof/>
        </w:rPr>
      </w:pPr>
    </w:p>
    <w:p w14:paraId="69BF2DA8" w14:textId="1D9257F1" w:rsidR="008124CC" w:rsidRDefault="00FE148C" w:rsidP="00304A2B">
      <w:pPr>
        <w:pStyle w:val="ppoTableTabletitle"/>
        <w:jc w:val="center"/>
        <w:rPr>
          <w:noProof/>
          <w:lang w:val="en-IE"/>
        </w:rPr>
      </w:pPr>
      <w:r w:rsidRPr="00CF7385">
        <w:rPr>
          <w:noProof/>
          <w:lang w:val="en-IE"/>
        </w:rPr>
        <w:t>Financial progr</w:t>
      </w:r>
      <w:r>
        <w:rPr>
          <w:noProof/>
          <w:lang w:val="en-IE"/>
        </w:rPr>
        <w:t>a</w:t>
      </w:r>
      <w:r w:rsidRPr="00CF7385">
        <w:rPr>
          <w:noProof/>
          <w:lang w:val="en-IE"/>
        </w:rPr>
        <w:t>ming:</w:t>
      </w:r>
      <w:r>
        <w:rPr>
          <w:noProof/>
          <w:color w:val="028F1A" w:themeColor="accent1"/>
          <w:sz w:val="44"/>
          <w:szCs w:val="44"/>
          <w:lang w:val="en-IE"/>
        </w:rPr>
        <w:t xml:space="preserve"> </w:t>
      </w:r>
      <w:r w:rsidR="008124CC" w:rsidRPr="3D5A2E76">
        <w:rPr>
          <w:rStyle w:val="ppocharRedtext24pt"/>
          <w:noProof/>
        </w:rPr>
        <w:t>+</w:t>
      </w:r>
      <w:r w:rsidR="008124CC" w:rsidRPr="3D5A2E76">
        <w:rPr>
          <w:rStyle w:val="ppocharRedtext24pt"/>
          <w:rFonts w:ascii="Calibri" w:hAnsi="Calibri" w:cs="Calibri"/>
          <w:noProof/>
        </w:rPr>
        <w:t> </w:t>
      </w:r>
      <w:r w:rsidR="008124CC" w:rsidRPr="3D5A2E76">
        <w:rPr>
          <w:rStyle w:val="ppocharRedtext24pt"/>
          <w:noProof/>
        </w:rPr>
        <w:t>EUR</w:t>
      </w:r>
      <w:r w:rsidR="008124CC" w:rsidRPr="3D5A2E76">
        <w:rPr>
          <w:rStyle w:val="ppocharRedtext24pt"/>
          <w:rFonts w:ascii="Calibri" w:hAnsi="Calibri" w:cs="Calibri"/>
          <w:noProof/>
        </w:rPr>
        <w:t> </w:t>
      </w:r>
      <w:r w:rsidR="00000CE6" w:rsidRPr="00000CE6">
        <w:rPr>
          <w:rStyle w:val="ppocharRedtext24pt"/>
          <w:noProof/>
        </w:rPr>
        <w:t>915.0</w:t>
      </w:r>
      <w:r w:rsidR="008124CC" w:rsidRPr="3D5A2E76">
        <w:rPr>
          <w:rStyle w:val="ppocharRedtext24pt"/>
          <w:rFonts w:ascii="Calibri" w:hAnsi="Calibri" w:cs="Calibri"/>
          <w:noProof/>
        </w:rPr>
        <w:t> </w:t>
      </w:r>
      <w:r w:rsidR="008124CC" w:rsidRPr="3D5A2E76">
        <w:rPr>
          <w:rStyle w:val="ppocharRedtext24pt"/>
          <w:noProof/>
        </w:rPr>
        <w:t xml:space="preserve">million (+8%) </w:t>
      </w:r>
      <w:r w:rsidR="008124CC" w:rsidRPr="3D5A2E76">
        <w:rPr>
          <w:noProof/>
          <w:lang w:val="en-IE"/>
        </w:rPr>
        <w:t>compared to the legal basis.</w:t>
      </w:r>
    </w:p>
    <w:p w14:paraId="02B68905" w14:textId="77777777" w:rsidR="008124CC" w:rsidRPr="00040D99" w:rsidRDefault="008124CC" w:rsidP="008124CC">
      <w:pPr>
        <w:pStyle w:val="ppoTableTabletitle"/>
        <w:rPr>
          <w:noProof/>
        </w:rPr>
      </w:pPr>
      <w:r w:rsidRPr="00040D99">
        <w:rPr>
          <w:noProof/>
        </w:rPr>
        <w:t>Voted budget implementation in 2021</w:t>
      </w:r>
      <w:r>
        <w:rPr>
          <w:noProof/>
        </w:rPr>
        <w:t xml:space="preserve"> (million</w:t>
      </w:r>
      <w:r w:rsidRPr="00460BEA">
        <w:rPr>
          <w:noProof/>
        </w:rPr>
        <w:t xml:space="preserve"> </w:t>
      </w:r>
      <w:r>
        <w:rPr>
          <w:noProof/>
        </w:rPr>
        <w:t>EUR):</w:t>
      </w:r>
    </w:p>
    <w:tbl>
      <w:tblPr>
        <w:tblStyle w:val="PPO2021"/>
        <w:tblW w:w="3683" w:type="pct"/>
        <w:tblInd w:w="79" w:type="dxa"/>
        <w:tblLook w:val="04A0" w:firstRow="1" w:lastRow="0" w:firstColumn="1" w:lastColumn="0" w:noHBand="0" w:noVBand="1"/>
      </w:tblPr>
      <w:tblGrid>
        <w:gridCol w:w="2419"/>
        <w:gridCol w:w="2419"/>
        <w:gridCol w:w="2420"/>
      </w:tblGrid>
      <w:tr w:rsidR="008124CC" w:rsidRPr="00040D99" w14:paraId="3660649C" w14:textId="77777777" w:rsidTr="008321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2FB349C0" w14:textId="77777777" w:rsidR="008124CC" w:rsidRPr="0017374C" w:rsidRDefault="008124CC" w:rsidP="0083214A">
            <w:pPr>
              <w:rPr>
                <w:noProof/>
              </w:rPr>
            </w:pPr>
          </w:p>
        </w:tc>
        <w:tc>
          <w:tcPr>
            <w:tcW w:w="2419" w:type="dxa"/>
          </w:tcPr>
          <w:p w14:paraId="0C2128CA" w14:textId="77777777" w:rsidR="008124CC" w:rsidRPr="0017374C" w:rsidRDefault="008124CC" w:rsidP="0083214A">
            <w:pPr>
              <w:cnfStyle w:val="100000000000" w:firstRow="1" w:lastRow="0" w:firstColumn="0" w:lastColumn="0" w:oddVBand="0" w:evenVBand="0" w:oddHBand="0" w:evenHBand="0" w:firstRowFirstColumn="0" w:firstRowLastColumn="0" w:lastRowFirstColumn="0" w:lastRowLastColumn="0"/>
              <w:rPr>
                <w:noProof/>
              </w:rPr>
            </w:pPr>
            <w:r w:rsidRPr="0017374C">
              <w:rPr>
                <w:noProof/>
              </w:rPr>
              <w:t>Voted budget implementation</w:t>
            </w:r>
          </w:p>
        </w:tc>
        <w:tc>
          <w:tcPr>
            <w:tcW w:w="2420" w:type="dxa"/>
          </w:tcPr>
          <w:p w14:paraId="6F269649" w14:textId="77777777" w:rsidR="008124CC" w:rsidRPr="0017374C" w:rsidRDefault="008124CC" w:rsidP="0083214A">
            <w:pPr>
              <w:cnfStyle w:val="100000000000" w:firstRow="1" w:lastRow="0" w:firstColumn="0" w:lastColumn="0" w:oddVBand="0" w:evenVBand="0" w:oddHBand="0" w:evenHBand="0" w:firstRowFirstColumn="0" w:firstRowLastColumn="0" w:lastRowFirstColumn="0" w:lastRowLastColumn="0"/>
              <w:rPr>
                <w:noProof/>
              </w:rPr>
            </w:pPr>
            <w:r w:rsidRPr="0017374C">
              <w:rPr>
                <w:noProof/>
              </w:rPr>
              <w:t>Initial voted budget</w:t>
            </w:r>
          </w:p>
        </w:tc>
      </w:tr>
      <w:tr w:rsidR="008124CC" w:rsidRPr="00040D99" w14:paraId="5E698FEB" w14:textId="77777777" w:rsidTr="0083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2B007257" w14:textId="77777777" w:rsidR="008124CC" w:rsidRPr="0017374C" w:rsidRDefault="008124CC" w:rsidP="0083214A">
            <w:pPr>
              <w:jc w:val="center"/>
              <w:rPr>
                <w:noProof/>
              </w:rPr>
            </w:pPr>
            <w:r w:rsidRPr="0017374C">
              <w:rPr>
                <w:noProof/>
              </w:rPr>
              <w:t>Commitments</w:t>
            </w:r>
          </w:p>
        </w:tc>
        <w:tc>
          <w:tcPr>
            <w:tcW w:w="2419" w:type="dxa"/>
          </w:tcPr>
          <w:p w14:paraId="4B2F39E3" w14:textId="77777777" w:rsidR="008124CC" w:rsidRPr="0017374C" w:rsidRDefault="008124CC" w:rsidP="0083214A">
            <w:pPr>
              <w:jc w:val="center"/>
              <w:cnfStyle w:val="000000100000" w:firstRow="0" w:lastRow="0" w:firstColumn="0" w:lastColumn="0" w:oddVBand="0" w:evenVBand="0" w:oddHBand="1" w:evenHBand="0" w:firstRowFirstColumn="0" w:firstRowLastColumn="0" w:lastRowFirstColumn="0" w:lastRowLastColumn="0"/>
              <w:rPr>
                <w:noProof/>
              </w:rPr>
            </w:pPr>
            <w:r>
              <w:rPr>
                <w:noProof/>
              </w:rPr>
              <w:t>2</w:t>
            </w:r>
            <w:r>
              <w:rPr>
                <w:rFonts w:ascii="Calibri" w:hAnsi="Calibri" w:cs="Calibri"/>
                <w:noProof/>
              </w:rPr>
              <w:t> </w:t>
            </w:r>
            <w:r>
              <w:rPr>
                <w:noProof/>
              </w:rPr>
              <w:t>168.1</w:t>
            </w:r>
          </w:p>
        </w:tc>
        <w:tc>
          <w:tcPr>
            <w:tcW w:w="2420" w:type="dxa"/>
          </w:tcPr>
          <w:p w14:paraId="6DCCA1D6" w14:textId="77777777" w:rsidR="008124CC" w:rsidRPr="0017374C" w:rsidRDefault="008124CC" w:rsidP="0083214A">
            <w:pPr>
              <w:jc w:val="center"/>
              <w:cnfStyle w:val="000000100000" w:firstRow="0" w:lastRow="0" w:firstColumn="0" w:lastColumn="0" w:oddVBand="0" w:evenVBand="0" w:oddHBand="1" w:evenHBand="0" w:firstRowFirstColumn="0" w:firstRowLastColumn="0" w:lastRowFirstColumn="0" w:lastRowLastColumn="0"/>
              <w:rPr>
                <w:noProof/>
              </w:rPr>
            </w:pPr>
            <w:r>
              <w:rPr>
                <w:noProof/>
              </w:rPr>
              <w:t>1</w:t>
            </w:r>
            <w:r>
              <w:rPr>
                <w:rFonts w:ascii="Calibri" w:hAnsi="Calibri" w:cs="Calibri"/>
                <w:noProof/>
              </w:rPr>
              <w:t> </w:t>
            </w:r>
            <w:r>
              <w:rPr>
                <w:noProof/>
              </w:rPr>
              <w:t>503.0</w:t>
            </w:r>
          </w:p>
        </w:tc>
      </w:tr>
      <w:tr w:rsidR="008124CC" w:rsidRPr="00040D99" w14:paraId="0A705012" w14:textId="77777777" w:rsidTr="00832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12C309E8" w14:textId="77777777" w:rsidR="008124CC" w:rsidRPr="0017374C" w:rsidRDefault="008124CC" w:rsidP="0083214A">
            <w:pPr>
              <w:jc w:val="center"/>
              <w:rPr>
                <w:noProof/>
              </w:rPr>
            </w:pPr>
            <w:r w:rsidRPr="0017374C">
              <w:rPr>
                <w:noProof/>
              </w:rPr>
              <w:t>Payments</w:t>
            </w:r>
          </w:p>
        </w:tc>
        <w:tc>
          <w:tcPr>
            <w:tcW w:w="2419" w:type="dxa"/>
          </w:tcPr>
          <w:p w14:paraId="5F5FD375" w14:textId="77777777" w:rsidR="008124CC" w:rsidRPr="0017374C" w:rsidRDefault="008124CC" w:rsidP="0083214A">
            <w:pPr>
              <w:jc w:val="center"/>
              <w:cnfStyle w:val="000000010000" w:firstRow="0" w:lastRow="0" w:firstColumn="0" w:lastColumn="0" w:oddVBand="0" w:evenVBand="0" w:oddHBand="0" w:evenHBand="1" w:firstRowFirstColumn="0" w:firstRowLastColumn="0" w:lastRowFirstColumn="0" w:lastRowLastColumn="0"/>
              <w:rPr>
                <w:noProof/>
              </w:rPr>
            </w:pPr>
            <w:r>
              <w:rPr>
                <w:noProof/>
              </w:rPr>
              <w:t>2</w:t>
            </w:r>
            <w:r>
              <w:rPr>
                <w:rFonts w:ascii="Calibri" w:hAnsi="Calibri" w:cs="Calibri"/>
                <w:noProof/>
              </w:rPr>
              <w:t> </w:t>
            </w:r>
            <w:r>
              <w:rPr>
                <w:noProof/>
              </w:rPr>
              <w:t>400.5</w:t>
            </w:r>
          </w:p>
        </w:tc>
        <w:tc>
          <w:tcPr>
            <w:tcW w:w="2420" w:type="dxa"/>
          </w:tcPr>
          <w:p w14:paraId="7A4028F6" w14:textId="77777777" w:rsidR="008124CC" w:rsidRPr="0017374C" w:rsidRDefault="008124CC" w:rsidP="0083214A">
            <w:pPr>
              <w:jc w:val="center"/>
              <w:cnfStyle w:val="000000010000" w:firstRow="0" w:lastRow="0" w:firstColumn="0" w:lastColumn="0" w:oddVBand="0" w:evenVBand="0" w:oddHBand="0" w:evenHBand="1" w:firstRowFirstColumn="0" w:firstRowLastColumn="0" w:lastRowFirstColumn="0" w:lastRowLastColumn="0"/>
              <w:rPr>
                <w:noProof/>
              </w:rPr>
            </w:pPr>
            <w:r>
              <w:rPr>
                <w:noProof/>
              </w:rPr>
              <w:t>1</w:t>
            </w:r>
            <w:r>
              <w:rPr>
                <w:rFonts w:ascii="Calibri" w:hAnsi="Calibri" w:cs="Calibri"/>
                <w:noProof/>
              </w:rPr>
              <w:t> </w:t>
            </w:r>
            <w:r>
              <w:rPr>
                <w:noProof/>
              </w:rPr>
              <w:t>900.1</w:t>
            </w:r>
          </w:p>
        </w:tc>
      </w:tr>
    </w:tbl>
    <w:p w14:paraId="11BC68D5" w14:textId="77777777" w:rsidR="008124CC" w:rsidRDefault="008124CC" w:rsidP="008124CC">
      <w:pPr>
        <w:pStyle w:val="ppoListHyphened-L1"/>
        <w:rPr>
          <w:noProof/>
        </w:rPr>
      </w:pPr>
      <w:r w:rsidRPr="00611BEE">
        <w:rPr>
          <w:noProof/>
        </w:rPr>
        <w:t xml:space="preserve">As regards </w:t>
      </w:r>
      <w:r>
        <w:rPr>
          <w:noProof/>
        </w:rPr>
        <w:t>c</w:t>
      </w:r>
      <w:r w:rsidRPr="00611BEE">
        <w:rPr>
          <w:noProof/>
        </w:rPr>
        <w:t xml:space="preserve">ommitment </w:t>
      </w:r>
      <w:r>
        <w:rPr>
          <w:noProof/>
        </w:rPr>
        <w:t>a</w:t>
      </w:r>
      <w:r w:rsidRPr="00611BEE">
        <w:rPr>
          <w:noProof/>
        </w:rPr>
        <w:t xml:space="preserve">ppropriations, the budget amounts adopted in 2021 and requested for 2022 are in line with the financial programming. The payment appropriations are established on the basis of estimated payment needs triggered by old and new commitments. Considering the increasing humanitarian needs, it is </w:t>
      </w:r>
      <w:r>
        <w:rPr>
          <w:noProof/>
        </w:rPr>
        <w:t>expected</w:t>
      </w:r>
      <w:r w:rsidRPr="00611BEE">
        <w:rPr>
          <w:noProof/>
        </w:rPr>
        <w:t xml:space="preserve"> that</w:t>
      </w:r>
      <w:r>
        <w:rPr>
          <w:noProof/>
        </w:rPr>
        <w:t xml:space="preserve"> the</w:t>
      </w:r>
      <w:r w:rsidRPr="00611BEE">
        <w:rPr>
          <w:noProof/>
        </w:rPr>
        <w:t xml:space="preserve"> implementation will follow the same trend as </w:t>
      </w:r>
      <w:r>
        <w:rPr>
          <w:noProof/>
        </w:rPr>
        <w:t>the</w:t>
      </w:r>
      <w:r w:rsidRPr="00611BEE">
        <w:rPr>
          <w:noProof/>
        </w:rPr>
        <w:t xml:space="preserve"> 2014-</w:t>
      </w:r>
      <w:r>
        <w:rPr>
          <w:noProof/>
        </w:rPr>
        <w:t>20</w:t>
      </w:r>
      <w:r w:rsidRPr="00611BEE">
        <w:rPr>
          <w:noProof/>
        </w:rPr>
        <w:t>20</w:t>
      </w:r>
      <w:r>
        <w:rPr>
          <w:noProof/>
        </w:rPr>
        <w:t xml:space="preserve"> </w:t>
      </w:r>
      <w:r w:rsidRPr="00611BEE">
        <w:rPr>
          <w:noProof/>
        </w:rPr>
        <w:t>programme</w:t>
      </w:r>
      <w:r>
        <w:rPr>
          <w:noProof/>
        </w:rPr>
        <w:t>,</w:t>
      </w:r>
      <w:r w:rsidRPr="00611BEE">
        <w:rPr>
          <w:noProof/>
        </w:rPr>
        <w:t xml:space="preserve"> </w:t>
      </w:r>
      <w:r w:rsidRPr="00AD5DDD">
        <w:rPr>
          <w:noProof/>
        </w:rPr>
        <w:t>i.e. 100%</w:t>
      </w:r>
      <w:r>
        <w:rPr>
          <w:noProof/>
        </w:rPr>
        <w:t xml:space="preserve"> implementation, </w:t>
      </w:r>
      <w:r w:rsidRPr="00611BEE">
        <w:rPr>
          <w:noProof/>
        </w:rPr>
        <w:t xml:space="preserve">with </w:t>
      </w:r>
      <w:r>
        <w:rPr>
          <w:noProof/>
        </w:rPr>
        <w:t>little to no</w:t>
      </w:r>
      <w:r w:rsidRPr="00611BEE">
        <w:rPr>
          <w:noProof/>
        </w:rPr>
        <w:t xml:space="preserve"> difficulties</w:t>
      </w:r>
      <w:r>
        <w:rPr>
          <w:noProof/>
        </w:rPr>
        <w:t>.</w:t>
      </w:r>
    </w:p>
    <w:p w14:paraId="040E5FE4" w14:textId="77777777" w:rsidR="008124CC" w:rsidRPr="00040D99" w:rsidRDefault="008124CC" w:rsidP="008124CC">
      <w:pPr>
        <w:pStyle w:val="ppoListHyphened-L1"/>
        <w:rPr>
          <w:noProof/>
        </w:rPr>
      </w:pPr>
      <w:r>
        <w:rPr>
          <w:noProof/>
        </w:rPr>
        <w:t xml:space="preserve">In 2021 the Commission allocated attributions under the </w:t>
      </w:r>
      <w:r w:rsidRPr="006F7077">
        <w:rPr>
          <w:noProof/>
        </w:rPr>
        <w:t>humanitarian aid</w:t>
      </w:r>
      <w:r w:rsidRPr="00BC581C">
        <w:rPr>
          <w:noProof/>
        </w:rPr>
        <w:t xml:space="preserve"> programme</w:t>
      </w:r>
      <w:r>
        <w:rPr>
          <w:noProof/>
        </w:rPr>
        <w:t xml:space="preserve"> to respond not only to humanitarian crises attracting widespread attention such as the ones in Syria or Ethiopia, but also forgotten crises (such as the Burundi refugee crisis, the droughts in Madagascar, the Rohingya regional crisis or the Sahrawi crisis in Algeria). The Commission </w:t>
      </w:r>
      <w:r w:rsidRPr="00A004CB">
        <w:rPr>
          <w:noProof/>
        </w:rPr>
        <w:t>will continue responding to new and protracted crises</w:t>
      </w:r>
      <w:r>
        <w:rPr>
          <w:noProof/>
        </w:rPr>
        <w:t>.</w:t>
      </w:r>
      <w:r w:rsidRPr="00A004CB">
        <w:rPr>
          <w:noProof/>
        </w:rPr>
        <w:t xml:space="preserve"> </w:t>
      </w:r>
      <w:bookmarkStart w:id="253" w:name="_Hlk100913403"/>
      <w:r w:rsidRPr="00A004CB">
        <w:rPr>
          <w:noProof/>
        </w:rPr>
        <w:t xml:space="preserve">This objective will remain very challenging as humanitarian needs will </w:t>
      </w:r>
      <w:r w:rsidRPr="006F7077">
        <w:rPr>
          <w:noProof/>
        </w:rPr>
        <w:t>keep growing</w:t>
      </w:r>
      <w:r w:rsidRPr="00A004CB">
        <w:rPr>
          <w:noProof/>
        </w:rPr>
        <w:t xml:space="preserve">, </w:t>
      </w:r>
      <w:bookmarkEnd w:id="253"/>
      <w:r w:rsidRPr="00A004CB">
        <w:rPr>
          <w:noProof/>
        </w:rPr>
        <w:t>a trend that is already</w:t>
      </w:r>
      <w:r>
        <w:rPr>
          <w:noProof/>
        </w:rPr>
        <w:t xml:space="preserve"> being</w:t>
      </w:r>
      <w:r w:rsidRPr="00A004CB">
        <w:rPr>
          <w:noProof/>
        </w:rPr>
        <w:t xml:space="preserve"> observed in early 2022 with the war in Ukraine. In a context of limited resources, it will be of paramount importance that the increase of humanitarian needs triggered by the crisis in Ukraine </w:t>
      </w:r>
      <w:r>
        <w:rPr>
          <w:noProof/>
        </w:rPr>
        <w:t>be</w:t>
      </w:r>
      <w:r w:rsidRPr="00A004CB">
        <w:rPr>
          <w:noProof/>
        </w:rPr>
        <w:t xml:space="preserve"> followed by adequate budgetary resources in order not to limit the response capacity for protracted and new crises. However, it remains to be seen whether </w:t>
      </w:r>
      <w:r>
        <w:rPr>
          <w:noProof/>
        </w:rPr>
        <w:t>the Ukrainian crisis will have</w:t>
      </w:r>
      <w:r w:rsidRPr="00A004CB">
        <w:rPr>
          <w:noProof/>
        </w:rPr>
        <w:t xml:space="preserve"> any medium to long</w:t>
      </w:r>
      <w:r>
        <w:rPr>
          <w:noProof/>
        </w:rPr>
        <w:t>-</w:t>
      </w:r>
      <w:r w:rsidRPr="00A004CB">
        <w:rPr>
          <w:noProof/>
        </w:rPr>
        <w:t xml:space="preserve">term consequences on other humanitarian crises. This will depend to a large extent </w:t>
      </w:r>
      <w:r>
        <w:rPr>
          <w:noProof/>
        </w:rPr>
        <w:t>on</w:t>
      </w:r>
      <w:r w:rsidRPr="00A004CB">
        <w:rPr>
          <w:noProof/>
        </w:rPr>
        <w:t xml:space="preserve"> the duration and severity of the crisis in Ukraine</w:t>
      </w:r>
      <w:r>
        <w:rPr>
          <w:noProof/>
        </w:rPr>
        <w:t xml:space="preserve"> and</w:t>
      </w:r>
      <w:r w:rsidRPr="00A004CB">
        <w:rPr>
          <w:noProof/>
        </w:rPr>
        <w:t xml:space="preserve"> the evolution of the other crises.</w:t>
      </w:r>
    </w:p>
    <w:p w14:paraId="36815D42" w14:textId="77777777" w:rsidR="008124CC" w:rsidRPr="00040D99" w:rsidRDefault="008124CC" w:rsidP="008124CC">
      <w:pPr>
        <w:pStyle w:val="ppoHeading5"/>
        <w:rPr>
          <w:noProof/>
        </w:rPr>
      </w:pPr>
      <w:r w:rsidRPr="00040D99">
        <w:rPr>
          <w:noProof/>
        </w:rPr>
        <w:t>Contribution to horizontal priorities</w:t>
      </w:r>
    </w:p>
    <w:p w14:paraId="1BE385FE" w14:textId="77777777" w:rsidR="008124CC" w:rsidRPr="00040D99" w:rsidRDefault="008124CC" w:rsidP="008124CC">
      <w:pPr>
        <w:pStyle w:val="ppoTableTabletitle"/>
        <w:rPr>
          <w:noProof/>
        </w:rPr>
      </w:pPr>
      <w:r w:rsidRPr="00040D99">
        <w:rPr>
          <w:noProof/>
        </w:rPr>
        <w:t>EU budget contribution in 2021</w:t>
      </w:r>
      <w:r>
        <w:rPr>
          <w:noProof/>
        </w:rPr>
        <w:t xml:space="preserve"> (million</w:t>
      </w:r>
      <w:r w:rsidRPr="0046046B">
        <w:rPr>
          <w:noProof/>
        </w:rPr>
        <w:t xml:space="preserve"> </w:t>
      </w:r>
      <w:r>
        <w:rPr>
          <w:noProof/>
        </w:rPr>
        <w:t>EUR):</w:t>
      </w:r>
    </w:p>
    <w:tbl>
      <w:tblPr>
        <w:tblStyle w:val="PPO2021"/>
        <w:tblW w:w="9639" w:type="dxa"/>
        <w:tblInd w:w="0" w:type="dxa"/>
        <w:tblLook w:val="0420" w:firstRow="1" w:lastRow="0" w:firstColumn="0" w:lastColumn="0" w:noHBand="0" w:noVBand="1"/>
      </w:tblPr>
      <w:tblGrid>
        <w:gridCol w:w="3213"/>
        <w:gridCol w:w="3213"/>
        <w:gridCol w:w="3213"/>
      </w:tblGrid>
      <w:tr w:rsidR="008124CC" w:rsidRPr="00040D99" w14:paraId="020A4C46" w14:textId="77777777" w:rsidTr="0083214A">
        <w:trPr>
          <w:cnfStyle w:val="100000000000" w:firstRow="1" w:lastRow="0" w:firstColumn="0" w:lastColumn="0" w:oddVBand="0" w:evenVBand="0" w:oddHBand="0" w:evenHBand="0" w:firstRowFirstColumn="0" w:firstRowLastColumn="0" w:lastRowFirstColumn="0" w:lastRowLastColumn="0"/>
          <w:tblHeader/>
        </w:trPr>
        <w:tc>
          <w:tcPr>
            <w:tcW w:w="3213" w:type="dxa"/>
          </w:tcPr>
          <w:p w14:paraId="02983306" w14:textId="77777777" w:rsidR="008124CC" w:rsidRPr="00BD731A" w:rsidRDefault="008124CC" w:rsidP="0083214A">
            <w:pPr>
              <w:rPr>
                <w:noProof/>
              </w:rPr>
            </w:pPr>
            <w:r w:rsidRPr="00BD731A">
              <w:rPr>
                <w:noProof/>
              </w:rPr>
              <w:t>Climate</w:t>
            </w:r>
          </w:p>
        </w:tc>
        <w:tc>
          <w:tcPr>
            <w:tcW w:w="3213" w:type="dxa"/>
          </w:tcPr>
          <w:p w14:paraId="23EA272D" w14:textId="77777777" w:rsidR="008124CC" w:rsidRPr="00BD731A" w:rsidRDefault="008124CC" w:rsidP="0083214A">
            <w:pPr>
              <w:rPr>
                <w:noProof/>
              </w:rPr>
            </w:pPr>
            <w:r w:rsidRPr="00BD731A">
              <w:rPr>
                <w:noProof/>
              </w:rPr>
              <w:t>Biodiversity</w:t>
            </w:r>
          </w:p>
        </w:tc>
        <w:tc>
          <w:tcPr>
            <w:tcW w:w="3213" w:type="dxa"/>
          </w:tcPr>
          <w:p w14:paraId="68EDB374" w14:textId="77777777" w:rsidR="008124CC" w:rsidRPr="00BD731A" w:rsidRDefault="008124CC" w:rsidP="0083214A">
            <w:pPr>
              <w:rPr>
                <w:noProof/>
              </w:rPr>
            </w:pPr>
            <w:r w:rsidRPr="00BD731A">
              <w:rPr>
                <w:noProof/>
              </w:rPr>
              <w:t>Gender equality</w:t>
            </w:r>
            <w:r>
              <w:rPr>
                <w:rFonts w:ascii="Calibri" w:hAnsi="Calibri" w:cs="Calibri"/>
                <w:noProof/>
              </w:rPr>
              <w:t> </w:t>
            </w:r>
            <w:r>
              <w:rPr>
                <w:noProof/>
              </w:rPr>
              <w:t>(*)</w:t>
            </w:r>
          </w:p>
        </w:tc>
      </w:tr>
      <w:tr w:rsidR="008124CC" w:rsidRPr="00040D99" w14:paraId="183D83E7" w14:textId="77777777" w:rsidTr="0083214A">
        <w:trPr>
          <w:cnfStyle w:val="000000100000" w:firstRow="0" w:lastRow="0" w:firstColumn="0" w:lastColumn="0" w:oddVBand="0" w:evenVBand="0" w:oddHBand="1" w:evenHBand="0" w:firstRowFirstColumn="0" w:firstRowLastColumn="0" w:lastRowFirstColumn="0" w:lastRowLastColumn="0"/>
        </w:trPr>
        <w:tc>
          <w:tcPr>
            <w:tcW w:w="3213" w:type="dxa"/>
          </w:tcPr>
          <w:tbl>
            <w:tblPr>
              <w:tblStyle w:val="TableGrid"/>
              <w:tblW w:w="0" w:type="auto"/>
              <w:tblLook w:val="06A0" w:firstRow="1" w:lastRow="0" w:firstColumn="1" w:lastColumn="0" w:noHBand="1" w:noVBand="1"/>
            </w:tblPr>
            <w:tblGrid>
              <w:gridCol w:w="1935"/>
            </w:tblGrid>
            <w:tr w:rsidR="008124CC" w14:paraId="4DB6BD64" w14:textId="77777777" w:rsidTr="0083214A">
              <w:trPr>
                <w:trHeight w:val="285"/>
              </w:trPr>
              <w:tc>
                <w:tcPr>
                  <w:tcW w:w="1935" w:type="dxa"/>
                  <w:tcBorders>
                    <w:top w:val="nil"/>
                    <w:left w:val="nil"/>
                    <w:bottom w:val="nil"/>
                    <w:right w:val="nil"/>
                  </w:tcBorders>
                  <w:vAlign w:val="bottom"/>
                </w:tcPr>
                <w:p w14:paraId="601CD8D1" w14:textId="2B03AFFD" w:rsidR="008124CC" w:rsidRDefault="008124CC" w:rsidP="0083214A">
                  <w:pPr>
                    <w:jc w:val="right"/>
                    <w:rPr>
                      <w:noProof/>
                    </w:rPr>
                  </w:pPr>
                  <w:r w:rsidRPr="7D369503">
                    <w:rPr>
                      <w:rFonts w:ascii="Calibri" w:hAnsi="Calibri" w:cs="Calibri"/>
                      <w:noProof/>
                      <w:color w:val="000000"/>
                    </w:rPr>
                    <w:t>831</w:t>
                  </w:r>
                  <w:r>
                    <w:rPr>
                      <w:rFonts w:ascii="Calibri" w:hAnsi="Calibri" w:cs="Calibri"/>
                      <w:noProof/>
                      <w:color w:val="000000"/>
                    </w:rPr>
                    <w:t>.</w:t>
                  </w:r>
                  <w:r w:rsidR="001956B8">
                    <w:rPr>
                      <w:rFonts w:ascii="Calibri" w:hAnsi="Calibri" w:cs="Calibri"/>
                      <w:noProof/>
                      <w:color w:val="000000"/>
                    </w:rPr>
                    <w:t>7</w:t>
                  </w:r>
                </w:p>
              </w:tc>
            </w:tr>
          </w:tbl>
          <w:p w14:paraId="768C92A5" w14:textId="77777777" w:rsidR="008124CC" w:rsidRPr="00BD731A" w:rsidRDefault="008124CC" w:rsidP="0083214A">
            <w:pPr>
              <w:jc w:val="center"/>
              <w:rPr>
                <w:noProof/>
              </w:rPr>
            </w:pPr>
          </w:p>
        </w:tc>
        <w:tc>
          <w:tcPr>
            <w:tcW w:w="3213" w:type="dxa"/>
          </w:tcPr>
          <w:p w14:paraId="09E2C4AC" w14:textId="77777777" w:rsidR="008124CC" w:rsidRPr="00BD731A" w:rsidRDefault="008124CC" w:rsidP="0083214A">
            <w:pPr>
              <w:jc w:val="center"/>
              <w:rPr>
                <w:noProof/>
              </w:rPr>
            </w:pPr>
            <w:r>
              <w:rPr>
                <w:noProof/>
              </w:rPr>
              <w:t>0</w:t>
            </w:r>
          </w:p>
        </w:tc>
        <w:tc>
          <w:tcPr>
            <w:tcW w:w="3213" w:type="dxa"/>
          </w:tcPr>
          <w:p w14:paraId="5B9FB05B" w14:textId="4AEF70CB" w:rsidR="008124CC" w:rsidRPr="00BD731A" w:rsidRDefault="008124CC" w:rsidP="0083214A">
            <w:pPr>
              <w:jc w:val="center"/>
              <w:rPr>
                <w:noProof/>
              </w:rPr>
            </w:pPr>
            <w:r w:rsidRPr="00065934">
              <w:rPr>
                <w:noProof/>
              </w:rPr>
              <w:t xml:space="preserve">Score 1: </w:t>
            </w:r>
            <w:r w:rsidR="00E24077">
              <w:rPr>
                <w:noProof/>
              </w:rPr>
              <w:t>2 168.1</w:t>
            </w:r>
          </w:p>
        </w:tc>
      </w:tr>
    </w:tbl>
    <w:p w14:paraId="0AF9FD87" w14:textId="77777777" w:rsidR="008124CC" w:rsidRPr="00982726" w:rsidRDefault="008124CC" w:rsidP="008124CC">
      <w:pPr>
        <w:pStyle w:val="FootnoteText"/>
        <w:rPr>
          <w:noProof/>
        </w:rPr>
      </w:pPr>
      <w:r>
        <w:rPr>
          <w:noProof/>
        </w:rPr>
        <w:t>(*)</w:t>
      </w:r>
      <w:r>
        <w:rPr>
          <w:noProof/>
        </w:rPr>
        <w:tab/>
      </w:r>
      <w:r w:rsidRPr="00982726">
        <w:rPr>
          <w:noProof/>
        </w:rPr>
        <w:t xml:space="preserve">Based on the </w:t>
      </w:r>
      <w:r>
        <w:rPr>
          <w:noProof/>
        </w:rPr>
        <w:t xml:space="preserve">applied gender contribution </w:t>
      </w:r>
      <w:r w:rsidRPr="00982726">
        <w:rPr>
          <w:noProof/>
        </w:rPr>
        <w:t>methodology</w:t>
      </w:r>
      <w:r>
        <w:rPr>
          <w:noProof/>
        </w:rPr>
        <w:t>,</w:t>
      </w:r>
      <w:r w:rsidRPr="00982726">
        <w:rPr>
          <w:noProof/>
        </w:rPr>
        <w:t xml:space="preserve"> the following scores are attributed at the most granular level of intervention possible:</w:t>
      </w:r>
    </w:p>
    <w:p w14:paraId="337FD7E5" w14:textId="77777777" w:rsidR="008124CC" w:rsidRPr="00982726" w:rsidRDefault="008124CC" w:rsidP="008124CC">
      <w:pPr>
        <w:pStyle w:val="FootnoteText"/>
        <w:numPr>
          <w:ilvl w:val="0"/>
          <w:numId w:val="38"/>
        </w:numPr>
        <w:spacing w:after="60" w:line="264" w:lineRule="auto"/>
        <w:jc w:val="left"/>
        <w:rPr>
          <w:noProof/>
        </w:rPr>
      </w:pPr>
      <w:r>
        <w:rPr>
          <w:noProof/>
        </w:rPr>
        <w:t>2:</w:t>
      </w:r>
      <w:r w:rsidRPr="00982726">
        <w:rPr>
          <w:noProof/>
        </w:rPr>
        <w:t xml:space="preserve"> </w:t>
      </w:r>
      <w:r>
        <w:rPr>
          <w:noProof/>
        </w:rPr>
        <w:t>i</w:t>
      </w:r>
      <w:r w:rsidRPr="00982726">
        <w:rPr>
          <w:noProof/>
        </w:rPr>
        <w:t xml:space="preserve">nterventions </w:t>
      </w:r>
      <w:r>
        <w:rPr>
          <w:noProof/>
        </w:rPr>
        <w:t>the</w:t>
      </w:r>
      <w:r w:rsidRPr="00982726">
        <w:rPr>
          <w:noProof/>
        </w:rPr>
        <w:t xml:space="preserve"> principal objective</w:t>
      </w:r>
      <w:r>
        <w:rPr>
          <w:noProof/>
        </w:rPr>
        <w:t xml:space="preserve"> of which</w:t>
      </w:r>
      <w:r w:rsidRPr="00982726">
        <w:rPr>
          <w:noProof/>
        </w:rPr>
        <w:t xml:space="preserve"> is to improve gender equality;</w:t>
      </w:r>
    </w:p>
    <w:p w14:paraId="4A8A3A57" w14:textId="77777777" w:rsidR="008124CC" w:rsidRPr="00982726" w:rsidRDefault="008124CC" w:rsidP="008124CC">
      <w:pPr>
        <w:pStyle w:val="FootnoteText"/>
        <w:numPr>
          <w:ilvl w:val="0"/>
          <w:numId w:val="38"/>
        </w:numPr>
        <w:spacing w:after="60" w:line="264" w:lineRule="auto"/>
        <w:jc w:val="left"/>
        <w:rPr>
          <w:noProof/>
        </w:rPr>
      </w:pPr>
      <w:r>
        <w:rPr>
          <w:noProof/>
        </w:rPr>
        <w:t>1:</w:t>
      </w:r>
      <w:r w:rsidRPr="00982726">
        <w:rPr>
          <w:noProof/>
        </w:rPr>
        <w:t xml:space="preserve"> </w:t>
      </w:r>
      <w:r>
        <w:rPr>
          <w:noProof/>
        </w:rPr>
        <w:t>i</w:t>
      </w:r>
      <w:r w:rsidRPr="00982726">
        <w:rPr>
          <w:noProof/>
        </w:rPr>
        <w:t xml:space="preserve">nterventions </w:t>
      </w:r>
      <w:r>
        <w:rPr>
          <w:noProof/>
        </w:rPr>
        <w:t>that have</w:t>
      </w:r>
      <w:r w:rsidRPr="00982726">
        <w:rPr>
          <w:noProof/>
        </w:rPr>
        <w:t xml:space="preserve"> gender equality as an important and deliberate objective but not as the main reason for the intervention;</w:t>
      </w:r>
    </w:p>
    <w:p w14:paraId="33ED06C1" w14:textId="77777777" w:rsidR="008124CC" w:rsidRPr="00982726" w:rsidRDefault="008124CC" w:rsidP="008124CC">
      <w:pPr>
        <w:pStyle w:val="FootnoteText"/>
        <w:numPr>
          <w:ilvl w:val="0"/>
          <w:numId w:val="38"/>
        </w:numPr>
        <w:spacing w:after="60" w:line="264" w:lineRule="auto"/>
        <w:jc w:val="left"/>
        <w:rPr>
          <w:noProof/>
        </w:rPr>
      </w:pPr>
      <w:r>
        <w:rPr>
          <w:noProof/>
        </w:rPr>
        <w:t>0:</w:t>
      </w:r>
      <w:r w:rsidRPr="00982726">
        <w:rPr>
          <w:noProof/>
        </w:rPr>
        <w:t xml:space="preserve"> </w:t>
      </w:r>
      <w:r>
        <w:rPr>
          <w:noProof/>
        </w:rPr>
        <w:t>n</w:t>
      </w:r>
      <w:r w:rsidRPr="00982726">
        <w:rPr>
          <w:noProof/>
        </w:rPr>
        <w:t>o</w:t>
      </w:r>
      <w:r>
        <w:rPr>
          <w:noProof/>
        </w:rPr>
        <w:t>n-</w:t>
      </w:r>
      <w:r w:rsidRPr="00982726">
        <w:rPr>
          <w:noProof/>
        </w:rPr>
        <w:t>targeted interventions</w:t>
      </w:r>
      <w:r>
        <w:rPr>
          <w:noProof/>
        </w:rPr>
        <w:t>;</w:t>
      </w:r>
    </w:p>
    <w:p w14:paraId="2728EA37" w14:textId="77777777" w:rsidR="008124CC" w:rsidRPr="00982726" w:rsidRDefault="008124CC" w:rsidP="008124CC">
      <w:pPr>
        <w:pStyle w:val="FootnoteText"/>
        <w:numPr>
          <w:ilvl w:val="0"/>
          <w:numId w:val="38"/>
        </w:numPr>
        <w:spacing w:after="60" w:line="264" w:lineRule="auto"/>
        <w:jc w:val="left"/>
        <w:rPr>
          <w:noProof/>
        </w:rPr>
      </w:pPr>
      <w:r>
        <w:rPr>
          <w:noProof/>
        </w:rPr>
        <w:t>0*:</w:t>
      </w:r>
      <w:r w:rsidRPr="00982726">
        <w:rPr>
          <w:noProof/>
        </w:rPr>
        <w:t xml:space="preserve"> </w:t>
      </w:r>
      <w:r>
        <w:rPr>
          <w:noProof/>
        </w:rPr>
        <w:t>s</w:t>
      </w:r>
      <w:r w:rsidRPr="00982726">
        <w:rPr>
          <w:noProof/>
        </w:rPr>
        <w:t xml:space="preserve">core to be assigned to interventions with </w:t>
      </w:r>
      <w:r>
        <w:rPr>
          <w:noProof/>
        </w:rPr>
        <w:t xml:space="preserve">a </w:t>
      </w:r>
      <w:r w:rsidRPr="00982726">
        <w:rPr>
          <w:noProof/>
        </w:rPr>
        <w:t>likely but not yet clear positive impact on gender equality.</w:t>
      </w:r>
    </w:p>
    <w:p w14:paraId="67ADFA1F" w14:textId="77777777" w:rsidR="008124CC" w:rsidRPr="00040D99" w:rsidRDefault="008124CC" w:rsidP="008124CC">
      <w:pPr>
        <w:pStyle w:val="ppoHeading5"/>
        <w:rPr>
          <w:noProof/>
        </w:rPr>
      </w:pPr>
      <w:r w:rsidRPr="00040D99">
        <w:rPr>
          <w:noProof/>
        </w:rPr>
        <w:t>Performance assessment</w:t>
      </w:r>
    </w:p>
    <w:p w14:paraId="186175AB" w14:textId="77777777" w:rsidR="008124CC" w:rsidRPr="00040D99" w:rsidRDefault="008124CC" w:rsidP="008124CC">
      <w:pPr>
        <w:pStyle w:val="ppoHeading6"/>
        <w:rPr>
          <w:noProof/>
        </w:rPr>
      </w:pPr>
      <w:r w:rsidRPr="00040D99">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8124CC" w:rsidRPr="00AC11E4" w14:paraId="35783441" w14:textId="77777777" w:rsidTr="0083214A">
        <w:trPr>
          <w:cnfStyle w:val="100000000000" w:firstRow="1" w:lastRow="0" w:firstColumn="0" w:lastColumn="0" w:oddVBand="0" w:evenVBand="0" w:oddHBand="0" w:evenHBand="0" w:firstRowFirstColumn="0" w:firstRowLastColumn="0" w:lastRowFirstColumn="0" w:lastRowLastColumn="0"/>
        </w:trPr>
        <w:tc>
          <w:tcPr>
            <w:tcW w:w="2268" w:type="dxa"/>
          </w:tcPr>
          <w:p w14:paraId="6DEBE501" w14:textId="77777777" w:rsidR="008124CC" w:rsidRPr="00884C9A" w:rsidRDefault="008124CC" w:rsidP="0083214A">
            <w:pPr>
              <w:rPr>
                <w:noProof/>
              </w:rPr>
            </w:pPr>
          </w:p>
        </w:tc>
        <w:tc>
          <w:tcPr>
            <w:tcW w:w="931" w:type="dxa"/>
          </w:tcPr>
          <w:p w14:paraId="0DBD46EF" w14:textId="77777777" w:rsidR="008124CC" w:rsidRPr="00884C9A" w:rsidRDefault="008124CC" w:rsidP="0083214A">
            <w:pPr>
              <w:rPr>
                <w:noProof/>
              </w:rPr>
            </w:pPr>
            <w:r w:rsidRPr="00884C9A">
              <w:rPr>
                <w:noProof/>
              </w:rPr>
              <w:t>Baseline</w:t>
            </w:r>
          </w:p>
        </w:tc>
        <w:tc>
          <w:tcPr>
            <w:tcW w:w="1485" w:type="dxa"/>
          </w:tcPr>
          <w:p w14:paraId="31570422" w14:textId="77777777" w:rsidR="008124CC" w:rsidRPr="00884C9A" w:rsidRDefault="008124CC" w:rsidP="0083214A">
            <w:pPr>
              <w:rPr>
                <w:noProof/>
              </w:rPr>
            </w:pPr>
            <w:r w:rsidRPr="00884C9A">
              <w:rPr>
                <w:noProof/>
              </w:rPr>
              <w:t>Progress</w:t>
            </w:r>
            <w:r>
              <w:rPr>
                <w:noProof/>
              </w:rPr>
              <w:t xml:space="preserve"> (*)</w:t>
            </w:r>
          </w:p>
        </w:tc>
        <w:tc>
          <w:tcPr>
            <w:tcW w:w="1491" w:type="dxa"/>
          </w:tcPr>
          <w:p w14:paraId="724666DD" w14:textId="77777777" w:rsidR="008124CC" w:rsidRPr="00884C9A" w:rsidRDefault="008124CC" w:rsidP="0083214A">
            <w:pPr>
              <w:rPr>
                <w:noProof/>
              </w:rPr>
            </w:pPr>
            <w:r w:rsidRPr="00884C9A">
              <w:rPr>
                <w:noProof/>
              </w:rPr>
              <w:t>Target</w:t>
            </w:r>
          </w:p>
        </w:tc>
        <w:tc>
          <w:tcPr>
            <w:tcW w:w="1530" w:type="dxa"/>
          </w:tcPr>
          <w:p w14:paraId="11E51650" w14:textId="77777777" w:rsidR="008124CC" w:rsidRPr="00884C9A" w:rsidRDefault="008124CC" w:rsidP="0083214A">
            <w:pPr>
              <w:rPr>
                <w:noProof/>
              </w:rPr>
            </w:pPr>
            <w:r w:rsidRPr="00884C9A">
              <w:rPr>
                <w:noProof/>
              </w:rPr>
              <w:t>Results</w:t>
            </w:r>
          </w:p>
        </w:tc>
        <w:tc>
          <w:tcPr>
            <w:tcW w:w="1537" w:type="dxa"/>
          </w:tcPr>
          <w:p w14:paraId="1C95AF71" w14:textId="77777777" w:rsidR="008124CC" w:rsidRPr="00884C9A" w:rsidRDefault="008124CC" w:rsidP="0083214A">
            <w:pPr>
              <w:rPr>
                <w:noProof/>
              </w:rPr>
            </w:pPr>
            <w:r w:rsidRPr="00884C9A">
              <w:rPr>
                <w:noProof/>
              </w:rPr>
              <w:t>Assessment</w:t>
            </w:r>
          </w:p>
        </w:tc>
      </w:tr>
      <w:tr w:rsidR="008124CC" w:rsidRPr="00AC11E4" w14:paraId="3BC6BECA" w14:textId="77777777" w:rsidTr="0083214A">
        <w:trPr>
          <w:cnfStyle w:val="000000100000" w:firstRow="0" w:lastRow="0" w:firstColumn="0" w:lastColumn="0" w:oddVBand="0" w:evenVBand="0" w:oddHBand="1" w:evenHBand="0" w:firstRowFirstColumn="0" w:firstRowLastColumn="0" w:lastRowFirstColumn="0" w:lastRowLastColumn="0"/>
        </w:trPr>
        <w:tc>
          <w:tcPr>
            <w:tcW w:w="2268" w:type="dxa"/>
          </w:tcPr>
          <w:p w14:paraId="5F796FE9" w14:textId="77777777" w:rsidR="008124CC" w:rsidRPr="00884C9A" w:rsidRDefault="008124CC" w:rsidP="0083214A">
            <w:pPr>
              <w:rPr>
                <w:noProof/>
              </w:rPr>
            </w:pPr>
            <w:r>
              <w:rPr>
                <w:noProof/>
              </w:rPr>
              <w:t>Geographical coverage of the EU humanitarian aid: percentage of countries in need of humanitarian assistance (according to United Nations humanitarian appeals) benefitting from EU-supported operations.</w:t>
            </w:r>
          </w:p>
        </w:tc>
        <w:tc>
          <w:tcPr>
            <w:tcW w:w="931" w:type="dxa"/>
          </w:tcPr>
          <w:p w14:paraId="50C736BA" w14:textId="77777777" w:rsidR="008124CC" w:rsidRPr="00884C9A" w:rsidRDefault="008124CC" w:rsidP="0083214A">
            <w:pPr>
              <w:jc w:val="center"/>
              <w:rPr>
                <w:noProof/>
              </w:rPr>
            </w:pPr>
            <w:r>
              <w:rPr>
                <w:noProof/>
              </w:rPr>
              <w:t>0%</w:t>
            </w:r>
          </w:p>
        </w:tc>
        <w:tc>
          <w:tcPr>
            <w:tcW w:w="1485" w:type="dxa"/>
          </w:tcPr>
          <w:p w14:paraId="058B6BCB" w14:textId="77777777" w:rsidR="008124CC" w:rsidRPr="0014195A" w:rsidRDefault="008124CC" w:rsidP="0083214A">
            <w:pPr>
              <w:jc w:val="center"/>
              <w:rPr>
                <w:b/>
                <w:noProof/>
              </w:rPr>
            </w:pPr>
            <w:r w:rsidRPr="0014195A">
              <w:rPr>
                <w:b/>
                <w:noProof/>
              </w:rPr>
              <w:t>0%</w:t>
            </w:r>
          </w:p>
        </w:tc>
        <w:tc>
          <w:tcPr>
            <w:tcW w:w="1491" w:type="dxa"/>
          </w:tcPr>
          <w:p w14:paraId="50B305A4" w14:textId="77777777" w:rsidR="008124CC" w:rsidRPr="00884C9A" w:rsidRDefault="008124CC" w:rsidP="0083214A">
            <w:pPr>
              <w:jc w:val="center"/>
              <w:rPr>
                <w:noProof/>
              </w:rPr>
            </w:pPr>
            <w:r>
              <w:rPr>
                <w:noProof/>
              </w:rPr>
              <w:t>100% annually from 2022.</w:t>
            </w:r>
          </w:p>
        </w:tc>
        <w:tc>
          <w:tcPr>
            <w:tcW w:w="1530" w:type="dxa"/>
          </w:tcPr>
          <w:p w14:paraId="7EEC3592" w14:textId="77777777" w:rsidR="008124CC" w:rsidRPr="00884C9A" w:rsidRDefault="008124CC" w:rsidP="0083214A">
            <w:pPr>
              <w:jc w:val="center"/>
              <w:rPr>
                <w:noProof/>
              </w:rPr>
            </w:pPr>
            <w:r w:rsidRPr="005D29C6">
              <w:rPr>
                <w:noProof/>
              </w:rPr>
              <w:t>Target not achieved in 2021. 98% compared to a target</w:t>
            </w:r>
            <w:r w:rsidRPr="005D29C6">
              <w:rPr>
                <w:rFonts w:asciiTheme="minorHAnsi" w:eastAsiaTheme="minorEastAsia" w:hAnsiTheme="minorHAnsi"/>
                <w:noProof/>
                <w:lang w:eastAsia="en-GB"/>
              </w:rPr>
              <w:t xml:space="preserve"> of 100%.</w:t>
            </w:r>
          </w:p>
        </w:tc>
        <w:tc>
          <w:tcPr>
            <w:tcW w:w="1537" w:type="dxa"/>
          </w:tcPr>
          <w:p w14:paraId="46D02FCE" w14:textId="77777777" w:rsidR="008124CC" w:rsidRPr="00884C9A" w:rsidRDefault="008124CC" w:rsidP="0083214A">
            <w:pPr>
              <w:jc w:val="center"/>
              <w:rPr>
                <w:noProof/>
              </w:rPr>
            </w:pPr>
            <w:r>
              <w:rPr>
                <w:noProof/>
              </w:rPr>
              <w:t>On track</w:t>
            </w:r>
          </w:p>
        </w:tc>
      </w:tr>
      <w:tr w:rsidR="008124CC" w:rsidRPr="00AC11E4" w14:paraId="3716D691" w14:textId="77777777" w:rsidTr="0083214A">
        <w:trPr>
          <w:cnfStyle w:val="000000010000" w:firstRow="0" w:lastRow="0" w:firstColumn="0" w:lastColumn="0" w:oddVBand="0" w:evenVBand="0" w:oddHBand="0" w:evenHBand="1" w:firstRowFirstColumn="0" w:firstRowLastColumn="0" w:lastRowFirstColumn="0" w:lastRowLastColumn="0"/>
        </w:trPr>
        <w:tc>
          <w:tcPr>
            <w:tcW w:w="2268" w:type="dxa"/>
          </w:tcPr>
          <w:p w14:paraId="529213C3" w14:textId="77777777" w:rsidR="008124CC" w:rsidRPr="00884C9A" w:rsidRDefault="008124CC" w:rsidP="0083214A">
            <w:pPr>
              <w:rPr>
                <w:noProof/>
              </w:rPr>
            </w:pPr>
            <w:r>
              <w:rPr>
                <w:noProof/>
              </w:rPr>
              <w:t>Percentage of humanitarian aid funding targeting actions in forgotten crises</w:t>
            </w:r>
          </w:p>
        </w:tc>
        <w:tc>
          <w:tcPr>
            <w:tcW w:w="931" w:type="dxa"/>
          </w:tcPr>
          <w:p w14:paraId="490D0B83" w14:textId="77777777" w:rsidR="008124CC" w:rsidRPr="00884C9A" w:rsidRDefault="008124CC" w:rsidP="0083214A">
            <w:pPr>
              <w:jc w:val="center"/>
              <w:rPr>
                <w:noProof/>
              </w:rPr>
            </w:pPr>
            <w:r>
              <w:rPr>
                <w:noProof/>
              </w:rPr>
              <w:t>0%</w:t>
            </w:r>
          </w:p>
        </w:tc>
        <w:tc>
          <w:tcPr>
            <w:tcW w:w="1485" w:type="dxa"/>
          </w:tcPr>
          <w:p w14:paraId="147F7B1B" w14:textId="77777777" w:rsidR="008124CC" w:rsidRPr="0014195A" w:rsidRDefault="008124CC" w:rsidP="0083214A">
            <w:pPr>
              <w:jc w:val="center"/>
              <w:rPr>
                <w:b/>
                <w:noProof/>
              </w:rPr>
            </w:pPr>
            <w:r w:rsidRPr="0014195A">
              <w:rPr>
                <w:b/>
                <w:noProof/>
              </w:rPr>
              <w:t>14%</w:t>
            </w:r>
          </w:p>
        </w:tc>
        <w:tc>
          <w:tcPr>
            <w:tcW w:w="1491" w:type="dxa"/>
          </w:tcPr>
          <w:p w14:paraId="79A27E77" w14:textId="77777777" w:rsidR="008124CC" w:rsidRPr="00884C9A" w:rsidRDefault="008124CC" w:rsidP="0083214A">
            <w:pPr>
              <w:jc w:val="center"/>
              <w:rPr>
                <w:noProof/>
              </w:rPr>
            </w:pPr>
            <w:r>
              <w:rPr>
                <w:noProof/>
              </w:rPr>
              <w:t>&gt;</w:t>
            </w:r>
            <w:r>
              <w:rPr>
                <w:rFonts w:ascii="Calibri" w:hAnsi="Calibri" w:cs="Calibri"/>
                <w:noProof/>
              </w:rPr>
              <w:t> </w:t>
            </w:r>
            <w:r>
              <w:rPr>
                <w:noProof/>
              </w:rPr>
              <w:t>15% annually from 2022</w:t>
            </w:r>
          </w:p>
        </w:tc>
        <w:tc>
          <w:tcPr>
            <w:tcW w:w="1530" w:type="dxa"/>
          </w:tcPr>
          <w:p w14:paraId="69DA9C41" w14:textId="77777777" w:rsidR="008124CC" w:rsidRPr="00884C9A" w:rsidRDefault="008124CC" w:rsidP="0083214A">
            <w:pPr>
              <w:jc w:val="center"/>
              <w:rPr>
                <w:noProof/>
              </w:rPr>
            </w:pPr>
            <w:r w:rsidRPr="005D29C6">
              <w:rPr>
                <w:noProof/>
              </w:rPr>
              <w:t>Target achieved in 2021. 30% compared to a target of</w:t>
            </w:r>
            <w:r w:rsidRPr="005D29C6">
              <w:rPr>
                <w:rFonts w:asciiTheme="minorHAnsi" w:eastAsiaTheme="minorEastAsia" w:hAnsiTheme="minorHAnsi"/>
                <w:noProof/>
                <w:lang w:eastAsia="en-GB"/>
              </w:rPr>
              <w:t xml:space="preserve"> &gt;</w:t>
            </w:r>
            <w:r>
              <w:rPr>
                <w:rFonts w:asciiTheme="minorHAnsi" w:eastAsiaTheme="minorEastAsia" w:hAnsiTheme="minorHAnsi"/>
                <w:noProof/>
                <w:lang w:eastAsia="en-GB"/>
              </w:rPr>
              <w:t> </w:t>
            </w:r>
            <w:r w:rsidRPr="005D29C6">
              <w:rPr>
                <w:rFonts w:asciiTheme="minorHAnsi" w:eastAsiaTheme="minorEastAsia" w:hAnsiTheme="minorHAnsi"/>
                <w:noProof/>
                <w:lang w:eastAsia="en-GB"/>
              </w:rPr>
              <w:t>15%.</w:t>
            </w:r>
          </w:p>
        </w:tc>
        <w:tc>
          <w:tcPr>
            <w:tcW w:w="1537" w:type="dxa"/>
          </w:tcPr>
          <w:p w14:paraId="02A961BA" w14:textId="77777777" w:rsidR="008124CC" w:rsidRPr="00884C9A" w:rsidRDefault="008124CC" w:rsidP="0083214A">
            <w:pPr>
              <w:jc w:val="center"/>
              <w:rPr>
                <w:noProof/>
              </w:rPr>
            </w:pPr>
            <w:r>
              <w:rPr>
                <w:noProof/>
              </w:rPr>
              <w:t>On track</w:t>
            </w:r>
          </w:p>
        </w:tc>
      </w:tr>
      <w:tr w:rsidR="008124CC" w:rsidRPr="00AC11E4" w14:paraId="24800119" w14:textId="77777777" w:rsidTr="0083214A">
        <w:trPr>
          <w:cnfStyle w:val="000000100000" w:firstRow="0" w:lastRow="0" w:firstColumn="0" w:lastColumn="0" w:oddVBand="0" w:evenVBand="0" w:oddHBand="1" w:evenHBand="0" w:firstRowFirstColumn="0" w:firstRowLastColumn="0" w:lastRowFirstColumn="0" w:lastRowLastColumn="0"/>
        </w:trPr>
        <w:tc>
          <w:tcPr>
            <w:tcW w:w="2268" w:type="dxa"/>
          </w:tcPr>
          <w:p w14:paraId="023242C9" w14:textId="77777777" w:rsidR="008124CC" w:rsidRPr="00884C9A" w:rsidRDefault="008124CC" w:rsidP="0083214A">
            <w:pPr>
              <w:rPr>
                <w:noProof/>
              </w:rPr>
            </w:pPr>
            <w:bookmarkStart w:id="254" w:name="_Hlk100913620"/>
            <w:r>
              <w:rPr>
                <w:noProof/>
              </w:rPr>
              <w:t xml:space="preserve">Number of interventions of humanitarian aid operations funded by the </w:t>
            </w:r>
            <w:r w:rsidRPr="00B74475">
              <w:rPr>
                <w:noProof/>
              </w:rPr>
              <w:t xml:space="preserve">Directorate-General for European Civil Protection </w:t>
            </w:r>
            <w:r>
              <w:rPr>
                <w:noProof/>
              </w:rPr>
              <w:t>(beneficiaries)</w:t>
            </w:r>
          </w:p>
        </w:tc>
        <w:tc>
          <w:tcPr>
            <w:tcW w:w="931" w:type="dxa"/>
          </w:tcPr>
          <w:p w14:paraId="5D38D5C9" w14:textId="77777777" w:rsidR="008124CC" w:rsidRPr="00884C9A" w:rsidRDefault="008124CC" w:rsidP="0083214A">
            <w:pPr>
              <w:jc w:val="center"/>
              <w:rPr>
                <w:noProof/>
              </w:rPr>
            </w:pPr>
            <w:r>
              <w:rPr>
                <w:noProof/>
              </w:rPr>
              <w:t>0</w:t>
            </w:r>
          </w:p>
        </w:tc>
        <w:tc>
          <w:tcPr>
            <w:tcW w:w="1485" w:type="dxa"/>
          </w:tcPr>
          <w:p w14:paraId="686E65C6" w14:textId="77777777" w:rsidR="008124CC" w:rsidRPr="0014195A" w:rsidRDefault="008124CC" w:rsidP="0083214A">
            <w:pPr>
              <w:jc w:val="center"/>
              <w:rPr>
                <w:b/>
                <w:noProof/>
              </w:rPr>
            </w:pPr>
            <w:r>
              <w:rPr>
                <w:b/>
                <w:noProof/>
              </w:rPr>
              <w:t>14</w:t>
            </w:r>
            <w:r w:rsidRPr="0014195A">
              <w:rPr>
                <w:b/>
                <w:noProof/>
              </w:rPr>
              <w:t>%</w:t>
            </w:r>
          </w:p>
        </w:tc>
        <w:tc>
          <w:tcPr>
            <w:tcW w:w="1491" w:type="dxa"/>
          </w:tcPr>
          <w:p w14:paraId="6E434108" w14:textId="77777777" w:rsidR="008124CC" w:rsidRPr="00884C9A" w:rsidRDefault="008124CC" w:rsidP="0083214A">
            <w:pPr>
              <w:jc w:val="center"/>
              <w:rPr>
                <w:noProof/>
              </w:rPr>
            </w:pPr>
            <w:r>
              <w:rPr>
                <w:noProof/>
              </w:rPr>
              <w:t>&gt;</w:t>
            </w:r>
            <w:r>
              <w:rPr>
                <w:rFonts w:ascii="Calibri" w:hAnsi="Calibri" w:cs="Calibri"/>
                <w:noProof/>
              </w:rPr>
              <w:t> </w:t>
            </w:r>
            <w:r>
              <w:rPr>
                <w:noProof/>
              </w:rPr>
              <w:t>177 annually from 2022</w:t>
            </w:r>
          </w:p>
        </w:tc>
        <w:tc>
          <w:tcPr>
            <w:tcW w:w="1530" w:type="dxa"/>
          </w:tcPr>
          <w:p w14:paraId="2522C386" w14:textId="77777777" w:rsidR="008124CC" w:rsidRPr="00884C9A" w:rsidRDefault="008124CC" w:rsidP="0083214A">
            <w:pPr>
              <w:jc w:val="center"/>
              <w:rPr>
                <w:noProof/>
              </w:rPr>
            </w:pPr>
            <w:r w:rsidRPr="005D29C6">
              <w:rPr>
                <w:noProof/>
              </w:rPr>
              <w:t xml:space="preserve">Target achieved in 2021. </w:t>
            </w:r>
            <w:r>
              <w:rPr>
                <w:noProof/>
              </w:rPr>
              <w:t>590</w:t>
            </w:r>
            <w:r w:rsidRPr="005D29C6">
              <w:rPr>
                <w:noProof/>
              </w:rPr>
              <w:t xml:space="preserve"> compared to a target</w:t>
            </w:r>
            <w:r w:rsidRPr="005D29C6">
              <w:rPr>
                <w:rFonts w:asciiTheme="minorHAnsi" w:eastAsiaTheme="minorEastAsia" w:hAnsiTheme="minorHAnsi"/>
                <w:noProof/>
                <w:lang w:eastAsia="en-GB"/>
              </w:rPr>
              <w:t xml:space="preserve"> of &gt;</w:t>
            </w:r>
            <w:r>
              <w:rPr>
                <w:rFonts w:asciiTheme="minorHAnsi" w:eastAsiaTheme="minorEastAsia" w:hAnsiTheme="minorHAnsi"/>
                <w:noProof/>
                <w:lang w:eastAsia="en-GB"/>
              </w:rPr>
              <w:t> </w:t>
            </w:r>
            <w:r w:rsidRPr="005D29C6">
              <w:rPr>
                <w:rFonts w:asciiTheme="minorHAnsi" w:eastAsiaTheme="minorEastAsia" w:hAnsiTheme="minorHAnsi"/>
                <w:noProof/>
                <w:lang w:eastAsia="en-GB"/>
              </w:rPr>
              <w:t xml:space="preserve">177. </w:t>
            </w:r>
          </w:p>
        </w:tc>
        <w:tc>
          <w:tcPr>
            <w:tcW w:w="1537" w:type="dxa"/>
          </w:tcPr>
          <w:p w14:paraId="41B3A9A5" w14:textId="77777777" w:rsidR="008124CC" w:rsidRPr="00884C9A" w:rsidRDefault="008124CC" w:rsidP="0083214A">
            <w:pPr>
              <w:jc w:val="center"/>
              <w:rPr>
                <w:noProof/>
              </w:rPr>
            </w:pPr>
            <w:r>
              <w:rPr>
                <w:noProof/>
              </w:rPr>
              <w:t>On track</w:t>
            </w:r>
          </w:p>
        </w:tc>
      </w:tr>
      <w:bookmarkEnd w:id="254"/>
      <w:tr w:rsidR="008124CC" w:rsidRPr="00AC11E4" w14:paraId="4E014847" w14:textId="77777777" w:rsidTr="0083214A">
        <w:trPr>
          <w:cnfStyle w:val="000000010000" w:firstRow="0" w:lastRow="0" w:firstColumn="0" w:lastColumn="0" w:oddVBand="0" w:evenVBand="0" w:oddHBand="0" w:evenHBand="1" w:firstRowFirstColumn="0" w:firstRowLastColumn="0" w:lastRowFirstColumn="0" w:lastRowLastColumn="0"/>
        </w:trPr>
        <w:tc>
          <w:tcPr>
            <w:tcW w:w="2268" w:type="dxa"/>
          </w:tcPr>
          <w:p w14:paraId="5DB6F3F9" w14:textId="77777777" w:rsidR="008124CC" w:rsidRPr="00724FDD" w:rsidRDefault="008124CC" w:rsidP="0083214A">
            <w:pPr>
              <w:rPr>
                <w:noProof/>
              </w:rPr>
            </w:pPr>
            <w:r>
              <w:rPr>
                <w:noProof/>
              </w:rPr>
              <w:t>Percentage of the initial budget for humanitarian aid allocated to education in emergencies</w:t>
            </w:r>
          </w:p>
        </w:tc>
        <w:tc>
          <w:tcPr>
            <w:tcW w:w="931" w:type="dxa"/>
          </w:tcPr>
          <w:p w14:paraId="4EBA73C5" w14:textId="77777777" w:rsidR="008124CC" w:rsidRPr="00884C9A" w:rsidRDefault="008124CC" w:rsidP="0083214A">
            <w:pPr>
              <w:jc w:val="center"/>
              <w:rPr>
                <w:noProof/>
              </w:rPr>
            </w:pPr>
            <w:r>
              <w:rPr>
                <w:noProof/>
              </w:rPr>
              <w:t>0%</w:t>
            </w:r>
          </w:p>
        </w:tc>
        <w:tc>
          <w:tcPr>
            <w:tcW w:w="1485" w:type="dxa"/>
          </w:tcPr>
          <w:p w14:paraId="61F81E03" w14:textId="77777777" w:rsidR="008124CC" w:rsidRPr="0014195A" w:rsidRDefault="008124CC" w:rsidP="0083214A">
            <w:pPr>
              <w:jc w:val="center"/>
              <w:rPr>
                <w:b/>
                <w:noProof/>
              </w:rPr>
            </w:pPr>
            <w:r w:rsidRPr="0014195A">
              <w:rPr>
                <w:b/>
                <w:noProof/>
              </w:rPr>
              <w:t>14%</w:t>
            </w:r>
          </w:p>
        </w:tc>
        <w:tc>
          <w:tcPr>
            <w:tcW w:w="1491" w:type="dxa"/>
          </w:tcPr>
          <w:p w14:paraId="06A443F1" w14:textId="77777777" w:rsidR="008124CC" w:rsidRPr="00884C9A" w:rsidRDefault="008124CC" w:rsidP="0083214A">
            <w:pPr>
              <w:jc w:val="center"/>
              <w:rPr>
                <w:noProof/>
              </w:rPr>
            </w:pPr>
            <w:r>
              <w:rPr>
                <w:noProof/>
              </w:rPr>
              <w:t>10% annually from 2022</w:t>
            </w:r>
          </w:p>
        </w:tc>
        <w:tc>
          <w:tcPr>
            <w:tcW w:w="1530" w:type="dxa"/>
          </w:tcPr>
          <w:p w14:paraId="66CF28C6" w14:textId="77777777" w:rsidR="008124CC" w:rsidRPr="00884C9A" w:rsidRDefault="008124CC" w:rsidP="0083214A">
            <w:pPr>
              <w:jc w:val="center"/>
              <w:rPr>
                <w:noProof/>
              </w:rPr>
            </w:pPr>
            <w:r w:rsidRPr="005D29C6">
              <w:rPr>
                <w:noProof/>
              </w:rPr>
              <w:t>Target achieved in 2021. 10% compared to a target</w:t>
            </w:r>
            <w:r w:rsidRPr="005D29C6">
              <w:rPr>
                <w:rFonts w:asciiTheme="minorHAnsi" w:eastAsiaTheme="minorEastAsia" w:hAnsiTheme="minorHAnsi"/>
                <w:noProof/>
                <w:lang w:eastAsia="en-GB"/>
              </w:rPr>
              <w:t xml:space="preserve"> of 10%.</w:t>
            </w:r>
          </w:p>
        </w:tc>
        <w:tc>
          <w:tcPr>
            <w:tcW w:w="1537" w:type="dxa"/>
          </w:tcPr>
          <w:p w14:paraId="345C24EC" w14:textId="77777777" w:rsidR="008124CC" w:rsidRPr="00884C9A" w:rsidRDefault="008124CC" w:rsidP="0083214A">
            <w:pPr>
              <w:jc w:val="center"/>
              <w:rPr>
                <w:noProof/>
              </w:rPr>
            </w:pPr>
            <w:r>
              <w:rPr>
                <w:noProof/>
              </w:rPr>
              <w:t>On track</w:t>
            </w:r>
          </w:p>
        </w:tc>
      </w:tr>
      <w:tr w:rsidR="008124CC" w:rsidRPr="00AC11E4" w14:paraId="7B0F24F8" w14:textId="77777777" w:rsidTr="0083214A">
        <w:trPr>
          <w:cnfStyle w:val="000000100000" w:firstRow="0" w:lastRow="0" w:firstColumn="0" w:lastColumn="0" w:oddVBand="0" w:evenVBand="0" w:oddHBand="1" w:evenHBand="0" w:firstRowFirstColumn="0" w:firstRowLastColumn="0" w:lastRowFirstColumn="0" w:lastRowLastColumn="0"/>
        </w:trPr>
        <w:tc>
          <w:tcPr>
            <w:tcW w:w="2268" w:type="dxa"/>
          </w:tcPr>
          <w:p w14:paraId="223E9DC4" w14:textId="77777777" w:rsidR="008124CC" w:rsidRPr="00884C9A" w:rsidRDefault="008124CC" w:rsidP="0083214A">
            <w:pPr>
              <w:rPr>
                <w:noProof/>
              </w:rPr>
            </w:pPr>
            <w:r>
              <w:rPr>
                <w:noProof/>
              </w:rPr>
              <w:t>Number of children reached with EU ‘education in emergencies’ assistance</w:t>
            </w:r>
          </w:p>
        </w:tc>
        <w:tc>
          <w:tcPr>
            <w:tcW w:w="931" w:type="dxa"/>
          </w:tcPr>
          <w:p w14:paraId="5737371A" w14:textId="77777777" w:rsidR="008124CC" w:rsidRPr="00884C9A" w:rsidRDefault="008124CC" w:rsidP="0083214A">
            <w:pPr>
              <w:jc w:val="center"/>
              <w:rPr>
                <w:noProof/>
              </w:rPr>
            </w:pPr>
            <w:r>
              <w:rPr>
                <w:noProof/>
              </w:rPr>
              <w:t>0</w:t>
            </w:r>
          </w:p>
        </w:tc>
        <w:tc>
          <w:tcPr>
            <w:tcW w:w="1485" w:type="dxa"/>
          </w:tcPr>
          <w:p w14:paraId="7C49C48C" w14:textId="77777777" w:rsidR="008124CC" w:rsidRPr="0014195A" w:rsidRDefault="008124CC" w:rsidP="0083214A">
            <w:pPr>
              <w:jc w:val="center"/>
              <w:rPr>
                <w:b/>
                <w:noProof/>
              </w:rPr>
            </w:pPr>
            <w:r w:rsidRPr="0014195A">
              <w:rPr>
                <w:b/>
                <w:noProof/>
              </w:rPr>
              <w:t>14%</w:t>
            </w:r>
          </w:p>
        </w:tc>
        <w:tc>
          <w:tcPr>
            <w:tcW w:w="1491" w:type="dxa"/>
          </w:tcPr>
          <w:p w14:paraId="3506227A" w14:textId="77777777" w:rsidR="008124CC" w:rsidRPr="00884C9A" w:rsidRDefault="008124CC" w:rsidP="0083214A">
            <w:pPr>
              <w:jc w:val="center"/>
              <w:rPr>
                <w:noProof/>
              </w:rPr>
            </w:pPr>
            <w:r>
              <w:rPr>
                <w:noProof/>
              </w:rPr>
              <w:t>&gt;</w:t>
            </w:r>
            <w:r>
              <w:rPr>
                <w:rFonts w:ascii="Calibri" w:hAnsi="Calibri" w:cs="Calibri"/>
                <w:noProof/>
              </w:rPr>
              <w:t> </w:t>
            </w:r>
            <w:r>
              <w:rPr>
                <w:noProof/>
              </w:rPr>
              <w:t>1.86 annually from 2022</w:t>
            </w:r>
          </w:p>
        </w:tc>
        <w:tc>
          <w:tcPr>
            <w:tcW w:w="1530" w:type="dxa"/>
          </w:tcPr>
          <w:p w14:paraId="47656049" w14:textId="77777777" w:rsidR="008124CC" w:rsidRDefault="008124CC" w:rsidP="0083214A">
            <w:pPr>
              <w:jc w:val="center"/>
              <w:rPr>
                <w:noProof/>
              </w:rPr>
            </w:pPr>
            <w:r w:rsidRPr="005D29C6">
              <w:rPr>
                <w:noProof/>
              </w:rPr>
              <w:t xml:space="preserve">Target achieved in 2021. 2.3 compared to a </w:t>
            </w:r>
            <w:r w:rsidRPr="005D29C6">
              <w:rPr>
                <w:rFonts w:asciiTheme="minorHAnsi" w:eastAsiaTheme="minorEastAsia" w:hAnsiTheme="minorHAnsi"/>
                <w:noProof/>
                <w:lang w:eastAsia="en-GB"/>
              </w:rPr>
              <w:t>target of &gt;</w:t>
            </w:r>
            <w:r>
              <w:rPr>
                <w:rFonts w:asciiTheme="minorHAnsi" w:eastAsiaTheme="minorEastAsia" w:hAnsiTheme="minorHAnsi"/>
                <w:noProof/>
                <w:lang w:eastAsia="en-GB"/>
              </w:rPr>
              <w:t> 1.86</w:t>
            </w:r>
          </w:p>
          <w:p w14:paraId="172BB2AE" w14:textId="77777777" w:rsidR="008124CC" w:rsidRPr="003C366D" w:rsidRDefault="008124CC" w:rsidP="0083214A">
            <w:pPr>
              <w:jc w:val="center"/>
              <w:rPr>
                <w:noProof/>
              </w:rPr>
            </w:pPr>
          </w:p>
        </w:tc>
        <w:tc>
          <w:tcPr>
            <w:tcW w:w="1537" w:type="dxa"/>
          </w:tcPr>
          <w:p w14:paraId="02726EBE" w14:textId="77777777" w:rsidR="008124CC" w:rsidRPr="00884C9A" w:rsidRDefault="008124CC" w:rsidP="0083214A">
            <w:pPr>
              <w:jc w:val="center"/>
              <w:rPr>
                <w:noProof/>
              </w:rPr>
            </w:pPr>
            <w:r>
              <w:rPr>
                <w:noProof/>
              </w:rPr>
              <w:t>On track</w:t>
            </w:r>
          </w:p>
        </w:tc>
      </w:tr>
      <w:tr w:rsidR="008124CC" w:rsidRPr="00AC11E4" w14:paraId="4BC17289" w14:textId="77777777" w:rsidTr="0083214A">
        <w:trPr>
          <w:cnfStyle w:val="000000010000" w:firstRow="0" w:lastRow="0" w:firstColumn="0" w:lastColumn="0" w:oddVBand="0" w:evenVBand="0" w:oddHBand="0" w:evenHBand="1" w:firstRowFirstColumn="0" w:firstRowLastColumn="0" w:lastRowFirstColumn="0" w:lastRowLastColumn="0"/>
        </w:trPr>
        <w:tc>
          <w:tcPr>
            <w:tcW w:w="2268" w:type="dxa"/>
          </w:tcPr>
          <w:p w14:paraId="0F0A35E9" w14:textId="77777777" w:rsidR="008124CC" w:rsidRPr="00884C9A" w:rsidRDefault="008124CC" w:rsidP="0083214A">
            <w:pPr>
              <w:tabs>
                <w:tab w:val="center" w:pos="1057"/>
              </w:tabs>
              <w:rPr>
                <w:noProof/>
              </w:rPr>
            </w:pPr>
            <w:r>
              <w:rPr>
                <w:noProof/>
              </w:rPr>
              <w:t>Percentage of humanitarian assistance grants including elements of disaster preparedness, resilience and disaster risk reduction</w:t>
            </w:r>
          </w:p>
        </w:tc>
        <w:tc>
          <w:tcPr>
            <w:tcW w:w="931" w:type="dxa"/>
          </w:tcPr>
          <w:p w14:paraId="15C2E0C6" w14:textId="77777777" w:rsidR="008124CC" w:rsidRPr="00884C9A" w:rsidRDefault="008124CC" w:rsidP="0083214A">
            <w:pPr>
              <w:jc w:val="center"/>
              <w:rPr>
                <w:noProof/>
              </w:rPr>
            </w:pPr>
            <w:r>
              <w:rPr>
                <w:noProof/>
              </w:rPr>
              <w:t>0%</w:t>
            </w:r>
          </w:p>
        </w:tc>
        <w:tc>
          <w:tcPr>
            <w:tcW w:w="1485" w:type="dxa"/>
          </w:tcPr>
          <w:p w14:paraId="7035B716" w14:textId="77777777" w:rsidR="008124CC" w:rsidRPr="0014195A" w:rsidRDefault="008124CC" w:rsidP="0083214A">
            <w:pPr>
              <w:jc w:val="center"/>
              <w:rPr>
                <w:b/>
                <w:noProof/>
              </w:rPr>
            </w:pPr>
            <w:r w:rsidRPr="0014195A">
              <w:rPr>
                <w:b/>
                <w:noProof/>
              </w:rPr>
              <w:t>0%</w:t>
            </w:r>
          </w:p>
        </w:tc>
        <w:tc>
          <w:tcPr>
            <w:tcW w:w="1491" w:type="dxa"/>
          </w:tcPr>
          <w:p w14:paraId="57BDB8CF" w14:textId="77777777" w:rsidR="008124CC" w:rsidRPr="00884C9A" w:rsidRDefault="008124CC" w:rsidP="0083214A">
            <w:pPr>
              <w:jc w:val="center"/>
              <w:rPr>
                <w:noProof/>
              </w:rPr>
            </w:pPr>
            <w:r>
              <w:rPr>
                <w:noProof/>
              </w:rPr>
              <w:t>75% from 2024</w:t>
            </w:r>
          </w:p>
        </w:tc>
        <w:tc>
          <w:tcPr>
            <w:tcW w:w="1530" w:type="dxa"/>
          </w:tcPr>
          <w:p w14:paraId="2467B3BE" w14:textId="77777777" w:rsidR="008124CC" w:rsidRPr="00884C9A" w:rsidRDefault="008124CC" w:rsidP="0083214A">
            <w:pPr>
              <w:jc w:val="center"/>
              <w:rPr>
                <w:noProof/>
              </w:rPr>
            </w:pPr>
            <w:r w:rsidRPr="005D29C6">
              <w:rPr>
                <w:noProof/>
              </w:rPr>
              <w:t xml:space="preserve">Milestone not achieved in 2021. 49% compared to </w:t>
            </w:r>
            <w:r>
              <w:rPr>
                <w:noProof/>
              </w:rPr>
              <w:t>a target</w:t>
            </w:r>
            <w:r w:rsidRPr="005D29C6">
              <w:rPr>
                <w:noProof/>
              </w:rPr>
              <w:t xml:space="preserve"> </w:t>
            </w:r>
            <w:r w:rsidRPr="005D29C6">
              <w:rPr>
                <w:rFonts w:asciiTheme="minorHAnsi" w:eastAsiaTheme="minorEastAsia" w:hAnsiTheme="minorHAnsi"/>
                <w:noProof/>
                <w:lang w:eastAsia="en-GB"/>
              </w:rPr>
              <w:t>of 61%</w:t>
            </w:r>
          </w:p>
        </w:tc>
        <w:tc>
          <w:tcPr>
            <w:tcW w:w="1537" w:type="dxa"/>
          </w:tcPr>
          <w:p w14:paraId="396751FF" w14:textId="77777777" w:rsidR="008124CC" w:rsidRPr="00884C9A" w:rsidRDefault="008124CC" w:rsidP="0083214A">
            <w:pPr>
              <w:jc w:val="center"/>
              <w:rPr>
                <w:noProof/>
              </w:rPr>
            </w:pPr>
            <w:r>
              <w:rPr>
                <w:noProof/>
              </w:rPr>
              <w:t>Deserves attention</w:t>
            </w:r>
          </w:p>
        </w:tc>
      </w:tr>
    </w:tbl>
    <w:p w14:paraId="5753D5DF" w14:textId="47835015" w:rsidR="008124CC" w:rsidRPr="00040D99" w:rsidRDefault="008124CC" w:rsidP="008124CC">
      <w:pPr>
        <w:pStyle w:val="FootnoteText"/>
        <w:spacing w:before="120"/>
        <w:rPr>
          <w:noProof/>
        </w:rPr>
      </w:pPr>
      <w:r>
        <w:rPr>
          <w:noProof/>
        </w:rPr>
        <w:t xml:space="preserve">(*) % of years for which the milestones or target </w:t>
      </w:r>
      <w:r w:rsidR="00AA5CAB">
        <w:rPr>
          <w:noProof/>
        </w:rPr>
        <w:t xml:space="preserve">have </w:t>
      </w:r>
      <w:r>
        <w:rPr>
          <w:noProof/>
        </w:rPr>
        <w:t>been achieved during the 2021-2027 period.</w:t>
      </w:r>
    </w:p>
    <w:p w14:paraId="4640BFA0" w14:textId="77777777" w:rsidR="008124CC" w:rsidRDefault="008124CC" w:rsidP="008124CC">
      <w:pPr>
        <w:pStyle w:val="ppoListHyphened-L1"/>
        <w:rPr>
          <w:noProof/>
        </w:rPr>
      </w:pPr>
      <w:r>
        <w:rPr>
          <w:noProof/>
        </w:rPr>
        <w:t>EU humanitarian aid performed well in 2021 in providing emergency assistance to people in need worldwide, particularly the most vulnerable, hit by human-induced or natural disasters, with the COVID</w:t>
      </w:r>
      <w:r>
        <w:rPr>
          <w:noProof/>
        </w:rPr>
        <w:noBreakHyphen/>
        <w:t>19 pandemic compounding the needs and, in many cases, complicating the response. The EU and its Member States remain the world’s largest humanitarian aid donor, contributing more than 33.4% of the global share of humanitarian aid contributions.</w:t>
      </w:r>
    </w:p>
    <w:p w14:paraId="3D044161" w14:textId="77777777" w:rsidR="008124CC" w:rsidRDefault="008124CC" w:rsidP="008124CC">
      <w:pPr>
        <w:pStyle w:val="ppoListHyphened-L1"/>
        <w:rPr>
          <w:noProof/>
        </w:rPr>
      </w:pPr>
      <w:r>
        <w:rPr>
          <w:noProof/>
        </w:rPr>
        <w:t xml:space="preserve">Owing to </w:t>
      </w:r>
      <w:r w:rsidRPr="0052282C">
        <w:rPr>
          <w:noProof/>
        </w:rPr>
        <w:t xml:space="preserve">strong operational knowledge and technical expertise of the EU’s unique network of humanitarian field offices spread over 40 </w:t>
      </w:r>
      <w:r>
        <w:rPr>
          <w:noProof/>
        </w:rPr>
        <w:t>non-EU</w:t>
      </w:r>
      <w:r w:rsidRPr="0052282C">
        <w:rPr>
          <w:noProof/>
        </w:rPr>
        <w:t xml:space="preserve"> countries</w:t>
      </w:r>
      <w:r>
        <w:rPr>
          <w:noProof/>
        </w:rPr>
        <w:t xml:space="preserve">, </w:t>
      </w:r>
      <w:bookmarkStart w:id="255" w:name="_Hlk100913668"/>
      <w:r>
        <w:rPr>
          <w:noProof/>
        </w:rPr>
        <w:t>the EU was able to fund more than 126</w:t>
      </w:r>
      <w:r>
        <w:rPr>
          <w:rFonts w:ascii="Calibri" w:hAnsi="Calibri" w:cs="Calibri"/>
          <w:noProof/>
        </w:rPr>
        <w:t> </w:t>
      </w:r>
      <w:r>
        <w:rPr>
          <w:noProof/>
        </w:rPr>
        <w:t>million interventions</w:t>
      </w:r>
      <w:bookmarkEnd w:id="255"/>
      <w:r>
        <w:rPr>
          <w:noProof/>
        </w:rPr>
        <w:t xml:space="preserve"> and provide assistance in 98% of the countries for which the United Nations launched an appeal. The EU was able to take advantage of a comprehensive range of humanitarian partners (around 140 organisations, including United Nations agencies, the International Red Cross and Red Crescent Movement and non-governmental organisations), through which people in need can receive assistance, even in the areas of the world that are most difficult to reach.</w:t>
      </w:r>
    </w:p>
    <w:p w14:paraId="674D016D" w14:textId="77777777" w:rsidR="008124CC" w:rsidRDefault="008124CC" w:rsidP="008124CC">
      <w:pPr>
        <w:pStyle w:val="ppoListHyphened-L1"/>
        <w:rPr>
          <w:noProof/>
        </w:rPr>
      </w:pPr>
      <w:r w:rsidRPr="00F07962">
        <w:rPr>
          <w:noProof/>
        </w:rPr>
        <w:t xml:space="preserve">In 2021, 68% of the budget was spent in countries ranked </w:t>
      </w:r>
      <w:r>
        <w:rPr>
          <w:noProof/>
        </w:rPr>
        <w:t xml:space="preserve">as being at a </w:t>
      </w:r>
      <w:r w:rsidRPr="00F07962">
        <w:rPr>
          <w:noProof/>
        </w:rPr>
        <w:t>‘very high risk of disaster’</w:t>
      </w:r>
      <w:r>
        <w:rPr>
          <w:noProof/>
        </w:rPr>
        <w:t xml:space="preserve"> and more than 30% of the initial budget was spent on forgotten crises, thus contributing to the objective of providing needs-based delivery of EU assistance to people faced with natural and human-made disasters and protracted crises.</w:t>
      </w:r>
    </w:p>
    <w:p w14:paraId="103C8E9D" w14:textId="77777777" w:rsidR="008124CC" w:rsidRDefault="008124CC" w:rsidP="008124CC">
      <w:pPr>
        <w:pStyle w:val="ppoListHyphened-L1"/>
        <w:rPr>
          <w:noProof/>
        </w:rPr>
      </w:pPr>
      <w:r>
        <w:rPr>
          <w:noProof/>
        </w:rPr>
        <w:t>The programme also contributed to the objective of building the capacity and resilience of vulnerable and disaster-affected communities. In 2021, approximately 49</w:t>
      </w:r>
      <w:r>
        <w:rPr>
          <w:rFonts w:ascii="Calibri" w:hAnsi="Calibri" w:cs="Calibri"/>
          <w:noProof/>
        </w:rPr>
        <w:t> </w:t>
      </w:r>
      <w:r>
        <w:rPr>
          <w:noProof/>
        </w:rPr>
        <w:t>million people worldwide benefited from disaster preparedness actions in disaster-prone regions, and disaster risk reduction was mainstreamed in 49% of EU-funded humanitarian operations.</w:t>
      </w:r>
    </w:p>
    <w:p w14:paraId="7E37D29B" w14:textId="77777777" w:rsidR="008124CC" w:rsidRDefault="008124CC" w:rsidP="008124CC">
      <w:pPr>
        <w:pStyle w:val="ppoListHyphened-L1"/>
        <w:rPr>
          <w:noProof/>
        </w:rPr>
      </w:pPr>
      <w:bookmarkStart w:id="256" w:name="_Hlk100913775"/>
      <w:r w:rsidRPr="00D32886">
        <w:rPr>
          <w:noProof/>
        </w:rPr>
        <w:t>Examples of EU support in humanitarian cris</w:t>
      </w:r>
      <w:r>
        <w:rPr>
          <w:noProof/>
        </w:rPr>
        <w:t>e</w:t>
      </w:r>
      <w:r w:rsidRPr="00D32886">
        <w:rPr>
          <w:noProof/>
        </w:rPr>
        <w:t>s</w:t>
      </w:r>
      <w:r>
        <w:rPr>
          <w:noProof/>
        </w:rPr>
        <w:t xml:space="preserve"> include:</w:t>
      </w:r>
    </w:p>
    <w:p w14:paraId="3E977FA4" w14:textId="77777777" w:rsidR="008124CC" w:rsidRDefault="008124CC" w:rsidP="008124CC">
      <w:pPr>
        <w:pStyle w:val="ppoListHyphened-L1"/>
        <w:numPr>
          <w:ilvl w:val="0"/>
          <w:numId w:val="106"/>
        </w:numPr>
        <w:rPr>
          <w:noProof/>
        </w:rPr>
      </w:pPr>
      <w:r w:rsidRPr="00D32886">
        <w:rPr>
          <w:noProof/>
        </w:rPr>
        <w:t>humanitarian assistance programmes</w:t>
      </w:r>
      <w:r>
        <w:rPr>
          <w:noProof/>
        </w:rPr>
        <w:t xml:space="preserve"> in Afghanistan,</w:t>
      </w:r>
      <w:r w:rsidRPr="00D32886">
        <w:rPr>
          <w:noProof/>
        </w:rPr>
        <w:t xml:space="preserve"> covering the needs of displaced populations, in particular </w:t>
      </w:r>
      <w:r>
        <w:rPr>
          <w:noProof/>
        </w:rPr>
        <w:t>in terms of</w:t>
      </w:r>
      <w:r w:rsidRPr="00D32886">
        <w:rPr>
          <w:noProof/>
        </w:rPr>
        <w:t xml:space="preserve"> food security, nutrition, health, </w:t>
      </w:r>
      <w:r>
        <w:rPr>
          <w:noProof/>
        </w:rPr>
        <w:t>hygiene</w:t>
      </w:r>
      <w:r w:rsidRPr="00D32886">
        <w:rPr>
          <w:noProof/>
        </w:rPr>
        <w:t xml:space="preserve">, mine </w:t>
      </w:r>
      <w:r>
        <w:rPr>
          <w:noProof/>
        </w:rPr>
        <w:t>de</w:t>
      </w:r>
      <w:r w:rsidRPr="00D32886">
        <w:rPr>
          <w:noProof/>
        </w:rPr>
        <w:t xml:space="preserve">contamination to protect humanitarian workers, protection and education, with a </w:t>
      </w:r>
      <w:r>
        <w:rPr>
          <w:noProof/>
        </w:rPr>
        <w:t>particular</w:t>
      </w:r>
      <w:r w:rsidRPr="00D32886">
        <w:rPr>
          <w:noProof/>
        </w:rPr>
        <w:t xml:space="preserve"> focus on the spe</w:t>
      </w:r>
      <w:r>
        <w:rPr>
          <w:noProof/>
        </w:rPr>
        <w:t>cific needs of women and girls;</w:t>
      </w:r>
    </w:p>
    <w:p w14:paraId="55088FD1" w14:textId="77777777" w:rsidR="008124CC" w:rsidRDefault="008124CC" w:rsidP="008124CC">
      <w:pPr>
        <w:pStyle w:val="ppoListHyphened-L1"/>
        <w:numPr>
          <w:ilvl w:val="0"/>
          <w:numId w:val="106"/>
        </w:numPr>
        <w:rPr>
          <w:noProof/>
        </w:rPr>
      </w:pPr>
      <w:r w:rsidRPr="005F7778">
        <w:rPr>
          <w:noProof/>
        </w:rPr>
        <w:t>life-saving assistance and support to millions of people affected by the crisis in Syria</w:t>
      </w:r>
      <w:r>
        <w:rPr>
          <w:noProof/>
        </w:rPr>
        <w:t>;</w:t>
      </w:r>
    </w:p>
    <w:p w14:paraId="44822B94" w14:textId="77777777" w:rsidR="008124CC" w:rsidRDefault="008124CC" w:rsidP="008124CC">
      <w:pPr>
        <w:pStyle w:val="ppoListHyphened-L1"/>
        <w:numPr>
          <w:ilvl w:val="0"/>
          <w:numId w:val="106"/>
        </w:numPr>
        <w:rPr>
          <w:noProof/>
        </w:rPr>
      </w:pPr>
      <w:r>
        <w:rPr>
          <w:noProof/>
        </w:rPr>
        <w:t xml:space="preserve">a </w:t>
      </w:r>
      <w:r w:rsidRPr="005F7778">
        <w:rPr>
          <w:noProof/>
        </w:rPr>
        <w:t>response to the complex crisis in the Sahe</w:t>
      </w:r>
      <w:r>
        <w:rPr>
          <w:noProof/>
        </w:rPr>
        <w:t>l for</w:t>
      </w:r>
      <w:r w:rsidRPr="005F7778">
        <w:rPr>
          <w:noProof/>
        </w:rPr>
        <w:t xml:space="preserve"> the benefit of the over 10</w:t>
      </w:r>
      <w:r w:rsidRPr="00D9661A">
        <w:rPr>
          <w:rFonts w:ascii="Calibri" w:hAnsi="Calibri" w:cs="Calibri"/>
          <w:noProof/>
        </w:rPr>
        <w:t> </w:t>
      </w:r>
      <w:r w:rsidRPr="005F7778">
        <w:rPr>
          <w:noProof/>
        </w:rPr>
        <w:t>million forcibly displaced persons across the region</w:t>
      </w:r>
      <w:r>
        <w:rPr>
          <w:noProof/>
        </w:rPr>
        <w:t xml:space="preserve">, and </w:t>
      </w:r>
      <w:r w:rsidRPr="005F7778">
        <w:rPr>
          <w:noProof/>
        </w:rPr>
        <w:t>a response to the food and nutrition crisis induced by climate conditions, poverty and insecurity, compounded by the socio-economic e</w:t>
      </w:r>
      <w:r>
        <w:rPr>
          <w:noProof/>
        </w:rPr>
        <w:t>ffects of the COVID</w:t>
      </w:r>
      <w:r>
        <w:rPr>
          <w:noProof/>
        </w:rPr>
        <w:noBreakHyphen/>
        <w:t>19 pandemic; and</w:t>
      </w:r>
    </w:p>
    <w:p w14:paraId="50CEA0C2" w14:textId="77777777" w:rsidR="008124CC" w:rsidRDefault="008124CC" w:rsidP="008124CC">
      <w:pPr>
        <w:pStyle w:val="ppoListHyphened-L1"/>
        <w:numPr>
          <w:ilvl w:val="0"/>
          <w:numId w:val="106"/>
        </w:numPr>
        <w:rPr>
          <w:noProof/>
        </w:rPr>
      </w:pPr>
      <w:r>
        <w:rPr>
          <w:noProof/>
        </w:rPr>
        <w:t xml:space="preserve">the </w:t>
      </w:r>
      <w:r w:rsidRPr="005F7778">
        <w:rPr>
          <w:noProof/>
        </w:rPr>
        <w:t xml:space="preserve">provision of health and nutrition, water and sanitation, protection, education in emergencies </w:t>
      </w:r>
      <w:r>
        <w:rPr>
          <w:noProof/>
        </w:rPr>
        <w:t>and</w:t>
      </w:r>
      <w:r w:rsidRPr="005F7778">
        <w:rPr>
          <w:noProof/>
        </w:rPr>
        <w:t xml:space="preserve"> support to host communities</w:t>
      </w:r>
      <w:r>
        <w:rPr>
          <w:noProof/>
        </w:rPr>
        <w:t xml:space="preserve"> in </w:t>
      </w:r>
      <w:r w:rsidRPr="005F7778">
        <w:rPr>
          <w:noProof/>
        </w:rPr>
        <w:t>response to the Venezuela crisis</w:t>
      </w:r>
      <w:r>
        <w:rPr>
          <w:noProof/>
        </w:rPr>
        <w:t>.</w:t>
      </w:r>
    </w:p>
    <w:bookmarkEnd w:id="256"/>
    <w:p w14:paraId="21FA2412" w14:textId="77777777" w:rsidR="008124CC" w:rsidRDefault="008124CC" w:rsidP="008124CC">
      <w:pPr>
        <w:pStyle w:val="ppoListHyphened-L1"/>
        <w:rPr>
          <w:noProof/>
        </w:rPr>
      </w:pPr>
      <w:r w:rsidRPr="006F7077">
        <w:rPr>
          <w:noProof/>
        </w:rPr>
        <w:t>S</w:t>
      </w:r>
      <w:r w:rsidRPr="00172965">
        <w:rPr>
          <w:noProof/>
        </w:rPr>
        <w:t xml:space="preserve">ince 2021, the EU has been preparing for all scenarios </w:t>
      </w:r>
      <w:r w:rsidRPr="006F7077">
        <w:rPr>
          <w:noProof/>
        </w:rPr>
        <w:t xml:space="preserve">in Ukraine </w:t>
      </w:r>
      <w:r w:rsidRPr="00172965">
        <w:rPr>
          <w:noProof/>
        </w:rPr>
        <w:t>to prepare the humanitarian response to be implemented in 2022</w:t>
      </w:r>
      <w:r w:rsidRPr="005F7778">
        <w:rPr>
          <w:noProof/>
        </w:rPr>
        <w:t>. The EU is one of the largest humanitarian donors to eastern Ukraine, with an allocation of EUR</w:t>
      </w:r>
      <w:r>
        <w:rPr>
          <w:rFonts w:ascii="Calibri" w:hAnsi="Calibri" w:cs="Calibri"/>
          <w:noProof/>
        </w:rPr>
        <w:t> </w:t>
      </w:r>
      <w:r w:rsidRPr="005F7778">
        <w:rPr>
          <w:noProof/>
        </w:rPr>
        <w:t>28.9</w:t>
      </w:r>
      <w:r>
        <w:rPr>
          <w:rFonts w:ascii="Calibri" w:hAnsi="Calibri" w:cs="Calibri"/>
          <w:noProof/>
        </w:rPr>
        <w:t> </w:t>
      </w:r>
      <w:r w:rsidRPr="005F7778">
        <w:rPr>
          <w:noProof/>
        </w:rPr>
        <w:t xml:space="preserve">million in 2021. The EU humanitarian funding, delivered through </w:t>
      </w:r>
      <w:r>
        <w:rPr>
          <w:noProof/>
        </w:rPr>
        <w:t>United Nations</w:t>
      </w:r>
      <w:r w:rsidRPr="005F7778">
        <w:rPr>
          <w:noProof/>
        </w:rPr>
        <w:t xml:space="preserve"> agencies, non-governmental organisations and </w:t>
      </w:r>
      <w:r w:rsidRPr="00F07962">
        <w:rPr>
          <w:noProof/>
        </w:rPr>
        <w:t>the International Committee of the Red Cross</w:t>
      </w:r>
      <w:r w:rsidRPr="005F7778">
        <w:rPr>
          <w:noProof/>
        </w:rPr>
        <w:t>, helped people access healthcare, including better preparation and response to the COVID</w:t>
      </w:r>
      <w:r>
        <w:rPr>
          <w:noProof/>
        </w:rPr>
        <w:noBreakHyphen/>
      </w:r>
      <w:r w:rsidRPr="005F7778">
        <w:rPr>
          <w:noProof/>
        </w:rPr>
        <w:t>19 pandemic. The funding also supports the rehabilitation of damaged houses, schools and hospitals. It provides affected people with the means to meet their basic needs and access safe water, education in emergencies and protection services including legal support. In 2021, EU</w:t>
      </w:r>
      <w:r>
        <w:rPr>
          <w:noProof/>
        </w:rPr>
        <w:t>-</w:t>
      </w:r>
      <w:r w:rsidRPr="005F7778">
        <w:rPr>
          <w:noProof/>
        </w:rPr>
        <w:t>funded humanitarian assistance reached more than 750</w:t>
      </w:r>
      <w:r>
        <w:rPr>
          <w:rFonts w:ascii="Calibri" w:hAnsi="Calibri" w:cs="Calibri"/>
          <w:noProof/>
        </w:rPr>
        <w:t> </w:t>
      </w:r>
      <w:r w:rsidRPr="005F7778">
        <w:rPr>
          <w:noProof/>
        </w:rPr>
        <w:t xml:space="preserve">000 people in Ukraine’s government-controlled </w:t>
      </w:r>
      <w:r>
        <w:rPr>
          <w:noProof/>
        </w:rPr>
        <w:t>and</w:t>
      </w:r>
      <w:r w:rsidRPr="005F7778">
        <w:rPr>
          <w:noProof/>
        </w:rPr>
        <w:t xml:space="preserve"> non-government-controlled areas</w:t>
      </w:r>
      <w:r>
        <w:rPr>
          <w:noProof/>
        </w:rPr>
        <w:t>.</w:t>
      </w:r>
    </w:p>
    <w:p w14:paraId="1446881B" w14:textId="77777777" w:rsidR="008124CC" w:rsidRDefault="008124CC" w:rsidP="008124CC">
      <w:pPr>
        <w:pStyle w:val="ppoListHyphened-L1"/>
        <w:rPr>
          <w:noProof/>
        </w:rPr>
      </w:pPr>
      <w:r>
        <w:rPr>
          <w:noProof/>
        </w:rPr>
        <w:t xml:space="preserve">Delivering principled humanitarian assistance is at times extremely difficult in certain protracted crises, where warring parties occasionally disregard humanitarian principles, violate international humanitarian law and interfere with the delivery of assistance in the field. </w:t>
      </w:r>
      <w:r w:rsidRPr="00ED5FDA">
        <w:rPr>
          <w:noProof/>
        </w:rPr>
        <w:t xml:space="preserve">South Sudan, Syria and </w:t>
      </w:r>
      <w:r>
        <w:rPr>
          <w:noProof/>
        </w:rPr>
        <w:t xml:space="preserve">the </w:t>
      </w:r>
      <w:r w:rsidRPr="00ED5FDA">
        <w:rPr>
          <w:noProof/>
        </w:rPr>
        <w:t xml:space="preserve">Democratic Republic of </w:t>
      </w:r>
      <w:r>
        <w:rPr>
          <w:noProof/>
        </w:rPr>
        <w:t xml:space="preserve">the </w:t>
      </w:r>
      <w:r w:rsidRPr="00ED5FDA">
        <w:rPr>
          <w:noProof/>
        </w:rPr>
        <w:t>Congo had the highest numbers of attacks.</w:t>
      </w:r>
      <w:r>
        <w:rPr>
          <w:noProof/>
        </w:rPr>
        <w:t xml:space="preserve"> In addition to this, </w:t>
      </w:r>
      <w:r w:rsidRPr="007724E1">
        <w:rPr>
          <w:noProof/>
        </w:rPr>
        <w:t>EU humanitarian part</w:t>
      </w:r>
      <w:r>
        <w:rPr>
          <w:noProof/>
        </w:rPr>
        <w:t xml:space="preserve">ners </w:t>
      </w:r>
      <w:r w:rsidRPr="007724E1">
        <w:rPr>
          <w:noProof/>
        </w:rPr>
        <w:t>may have to face difficult logistical challenges when delivering assistance in hard-to-reach areas, and other types of unexpected developments in the field that may hinder aid delivery.</w:t>
      </w:r>
    </w:p>
    <w:p w14:paraId="70E024CF" w14:textId="77777777" w:rsidR="008124CC" w:rsidRDefault="008124CC" w:rsidP="008124CC">
      <w:pPr>
        <w:pStyle w:val="ppoListHyphened-L1"/>
        <w:rPr>
          <w:noProof/>
        </w:rPr>
      </w:pPr>
      <w:r>
        <w:rPr>
          <w:noProof/>
        </w:rPr>
        <w:t xml:space="preserve">While able to meet acute humanitarian needs on a short-term basis in a highly effective manner, EU humanitarian aid is less well placed to address structural issues, in particular in the context of protracted crises. Here development actors would be best positioned to act, but are not always in a position to take over. Such situations underline the need to further develop the </w:t>
      </w:r>
      <w:r w:rsidRPr="00AD5DDD">
        <w:rPr>
          <w:noProof/>
        </w:rPr>
        <w:t>humanitarian–development–peace</w:t>
      </w:r>
      <w:r>
        <w:rPr>
          <w:noProof/>
        </w:rPr>
        <w:t xml:space="preserve"> nexus so that humanitarian aid actors can exit a situation with the confidence that longer-term structural assistance will be available. For example, an initiative focusing on food insecurity was created in 2016.</w:t>
      </w:r>
    </w:p>
    <w:p w14:paraId="61F11175" w14:textId="77777777" w:rsidR="008124CC" w:rsidRPr="00B90764" w:rsidRDefault="008124CC" w:rsidP="008124CC">
      <w:pPr>
        <w:pStyle w:val="ppoListHyphened-L1"/>
        <w:rPr>
          <w:noProof/>
        </w:rPr>
      </w:pPr>
      <w:r w:rsidRPr="00ED5FDA">
        <w:rPr>
          <w:noProof/>
        </w:rPr>
        <w:t>As expected, the direct and indirect consequences of the C</w:t>
      </w:r>
      <w:r>
        <w:rPr>
          <w:noProof/>
        </w:rPr>
        <w:t>OVID</w:t>
      </w:r>
      <w:r>
        <w:rPr>
          <w:noProof/>
        </w:rPr>
        <w:noBreakHyphen/>
      </w:r>
      <w:r w:rsidRPr="00ED5FDA">
        <w:rPr>
          <w:noProof/>
        </w:rPr>
        <w:t>19 pandemic were most acutely felt by populations already affected by humanitarian crises: refugees, internally displaced persons and people living in conflict zones and/or in areas devastated by climate ch</w:t>
      </w:r>
      <w:r>
        <w:rPr>
          <w:noProof/>
        </w:rPr>
        <w:t>ange. T</w:t>
      </w:r>
      <w:r w:rsidRPr="00ED5FDA">
        <w:rPr>
          <w:noProof/>
        </w:rPr>
        <w:t>he EU humanitarian response to needs resulting from the pandemic amounted to a total of approximately EUR</w:t>
      </w:r>
      <w:r>
        <w:rPr>
          <w:rFonts w:ascii="Calibri" w:hAnsi="Calibri" w:cs="Calibri"/>
          <w:noProof/>
        </w:rPr>
        <w:t> </w:t>
      </w:r>
      <w:r w:rsidRPr="00ED5FDA">
        <w:rPr>
          <w:noProof/>
        </w:rPr>
        <w:t>656 million.</w:t>
      </w:r>
      <w:r>
        <w:rPr>
          <w:noProof/>
        </w:rPr>
        <w:t xml:space="preserve"> The EU immediately responded to increase the emergency response and preparedness to the pandemic, in particular in countries where healthcare systems are weak or at risk of being rapidly overwhelmed in case of epidemic outbreak. In addition, to allow Member States and partners to transport humanitarian staff and supplies to fight the COVID</w:t>
      </w:r>
      <w:r>
        <w:rPr>
          <w:noProof/>
        </w:rPr>
        <w:noBreakHyphen/>
        <w:t>19 pandemic and to maintain the flow of humanitarian assistance hampered by the pandemic, the EU put in place the EU humanitarian air bridge.</w:t>
      </w:r>
    </w:p>
    <w:p w14:paraId="24009DBF" w14:textId="77777777" w:rsidR="00BE3903" w:rsidRDefault="00BE3903" w:rsidP="005348AD">
      <w:pPr>
        <w:pStyle w:val="ppoListHyphened-L1"/>
        <w:numPr>
          <w:ilvl w:val="0"/>
          <w:numId w:val="0"/>
        </w:numPr>
        <w:ind w:left="357" w:hanging="357"/>
        <w:rPr>
          <w:b/>
          <w:noProof/>
        </w:rPr>
        <w:sectPr w:rsidR="00BE3903" w:rsidSect="0083214A">
          <w:headerReference w:type="even" r:id="rId555"/>
          <w:headerReference w:type="default" r:id="rId556"/>
          <w:footerReference w:type="even" r:id="rId557"/>
          <w:footerReference w:type="default" r:id="rId558"/>
          <w:headerReference w:type="first" r:id="rId559"/>
          <w:footerReference w:type="first" r:id="rId560"/>
          <w:type w:val="continuous"/>
          <w:pgSz w:w="11906" w:h="16838" w:code="9"/>
          <w:pgMar w:top="1134" w:right="1134" w:bottom="964" w:left="1134" w:header="431" w:footer="431" w:gutter="0"/>
          <w:cols w:space="720"/>
          <w:titlePg/>
          <w:docGrid w:linePitch="360"/>
        </w:sectPr>
      </w:pPr>
    </w:p>
    <w:p w14:paraId="32583BEB" w14:textId="77777777" w:rsidR="00BE3903" w:rsidRPr="00FE1BBF" w:rsidRDefault="00BE3903" w:rsidP="00BE3903">
      <w:pPr>
        <w:pStyle w:val="StyleppoHeading3WhiteLeft0cm"/>
        <w:rPr>
          <w:noProof/>
          <w:sz w:val="40"/>
          <w:szCs w:val="40"/>
        </w:rPr>
      </w:pPr>
    </w:p>
    <w:p w14:paraId="7DFF6562" w14:textId="77777777" w:rsidR="00BE3903" w:rsidRPr="00FE1BBF" w:rsidRDefault="00BE3903" w:rsidP="00BE3903">
      <w:pPr>
        <w:pStyle w:val="StyleppoHeading3WhiteLeft0cm"/>
        <w:rPr>
          <w:noProof/>
          <w:sz w:val="60"/>
          <w:szCs w:val="60"/>
        </w:rPr>
      </w:pPr>
      <w:bookmarkStart w:id="257" w:name="_Toc102086370"/>
      <w:r w:rsidRPr="00FE1BBF">
        <w:rPr>
          <w:noProof/>
          <w:sz w:val="60"/>
          <w:szCs w:val="60"/>
        </w:rPr>
        <w:t>CFSP</w:t>
      </w:r>
      <w:bookmarkEnd w:id="257"/>
    </w:p>
    <w:p w14:paraId="49E15796" w14:textId="77777777" w:rsidR="00BE3903" w:rsidRPr="00040D99" w:rsidRDefault="00BE3903" w:rsidP="00BE3903">
      <w:pPr>
        <w:pStyle w:val="StyleppoProgrammenameWhiteLeft01cm"/>
        <w:rPr>
          <w:noProof/>
        </w:rPr>
      </w:pPr>
      <w:r>
        <w:rPr>
          <w:noProof/>
        </w:rPr>
        <w:t>COMMON FOREIGN AND SECURITY POLICY</w:t>
      </w:r>
    </w:p>
    <w:p w14:paraId="64EA006A" w14:textId="77777777" w:rsidR="00BE3903" w:rsidRPr="00351CB7" w:rsidRDefault="00BE3903" w:rsidP="00BE3903">
      <w:pPr>
        <w:pStyle w:val="ppoHeading4Red"/>
        <w:rPr>
          <w:noProof/>
        </w:rPr>
      </w:pPr>
      <w:r w:rsidRPr="00351CB7">
        <w:rPr>
          <w:noProof/>
        </w:rPr>
        <w:t>Programme in a nutshell</w:t>
      </w:r>
    </w:p>
    <w:p w14:paraId="001EC412" w14:textId="77777777" w:rsidR="00BE3903" w:rsidRPr="00040D99" w:rsidRDefault="00BE3903" w:rsidP="00BE3903">
      <w:pPr>
        <w:spacing w:after="480"/>
        <w:rPr>
          <w:rFonts w:eastAsiaTheme="minorEastAsia"/>
          <w:noProof/>
          <w:color w:val="FFFFFF" w:themeColor="background1"/>
          <w:sz w:val="32"/>
        </w:rPr>
        <w:sectPr w:rsidR="00BE3903" w:rsidRPr="00040D99" w:rsidSect="0083214A">
          <w:headerReference w:type="even" r:id="rId561"/>
          <w:headerReference w:type="default" r:id="rId562"/>
          <w:footerReference w:type="even" r:id="rId563"/>
          <w:footerReference w:type="default" r:id="rId564"/>
          <w:headerReference w:type="first" r:id="rId565"/>
          <w:footerReference w:type="first" r:id="rId566"/>
          <w:pgSz w:w="11906" w:h="16838" w:code="9"/>
          <w:pgMar w:top="1134" w:right="1134" w:bottom="964" w:left="1134" w:header="431" w:footer="431" w:gutter="0"/>
          <w:cols w:space="720"/>
          <w:docGrid w:linePitch="360"/>
        </w:sectPr>
      </w:pPr>
    </w:p>
    <w:p w14:paraId="375486AF" w14:textId="77777777" w:rsidR="00BE3903" w:rsidRPr="00040D99" w:rsidRDefault="00BE3903" w:rsidP="00BE3903">
      <w:pPr>
        <w:pStyle w:val="ppoHeading5"/>
        <w:rPr>
          <w:noProof/>
        </w:rPr>
      </w:pPr>
      <w:r w:rsidRPr="00040D99">
        <w:rPr>
          <w:noProof/>
        </w:rPr>
        <w:t>Concrete examples of achievements</w:t>
      </w:r>
      <w:r>
        <w:rPr>
          <w:rFonts w:ascii="Calibri" w:hAnsi="Calibri" w:cs="Calibri"/>
          <w:noProof/>
        </w:rPr>
        <w:t> </w:t>
      </w:r>
      <w:r>
        <w:rPr>
          <w:noProof/>
        </w:rPr>
        <w:t>(*)</w:t>
      </w:r>
    </w:p>
    <w:tbl>
      <w:tblPr>
        <w:tblStyle w:val="PPO2021"/>
        <w:tblW w:w="4819" w:type="dxa"/>
        <w:tblInd w:w="0" w:type="dxa"/>
        <w:tblLook w:val="0200" w:firstRow="0" w:lastRow="0" w:firstColumn="0" w:lastColumn="0" w:noHBand="1" w:noVBand="0"/>
      </w:tblPr>
      <w:tblGrid>
        <w:gridCol w:w="2410"/>
        <w:gridCol w:w="2409"/>
      </w:tblGrid>
      <w:tr w:rsidR="00377734" w:rsidRPr="00040D99" w14:paraId="4C4DF3AF" w14:textId="77777777" w:rsidTr="00377734">
        <w:tc>
          <w:tcPr>
            <w:tcW w:w="2410" w:type="dxa"/>
          </w:tcPr>
          <w:p w14:paraId="40BFBE7E" w14:textId="77777777" w:rsidR="00377734" w:rsidRPr="0076270C" w:rsidRDefault="00377734" w:rsidP="0083214A">
            <w:pPr>
              <w:pStyle w:val="ppoTableacheivementvalue"/>
              <w:rPr>
                <w:noProof/>
              </w:rPr>
            </w:pPr>
            <w:r>
              <w:rPr>
                <w:noProof/>
              </w:rPr>
              <w:t>1</w:t>
            </w:r>
            <w:r>
              <w:rPr>
                <w:rFonts w:ascii="Calibri" w:hAnsi="Calibri" w:cs="Calibri"/>
                <w:noProof/>
              </w:rPr>
              <w:t> </w:t>
            </w:r>
            <w:r>
              <w:rPr>
                <w:noProof/>
              </w:rPr>
              <w:t>172</w:t>
            </w:r>
          </w:p>
          <w:p w14:paraId="16FBC49D" w14:textId="77777777" w:rsidR="00377734" w:rsidRPr="0076270C" w:rsidRDefault="00377734" w:rsidP="00377734">
            <w:pPr>
              <w:jc w:val="left"/>
              <w:rPr>
                <w:noProof/>
              </w:rPr>
            </w:pPr>
            <w:r w:rsidRPr="004070A1">
              <w:rPr>
                <w:rFonts w:eastAsia="Calibri"/>
                <w:noProof/>
              </w:rPr>
              <w:t xml:space="preserve">Palestinian </w:t>
            </w:r>
            <w:r>
              <w:rPr>
                <w:rFonts w:eastAsia="Calibri"/>
                <w:noProof/>
              </w:rPr>
              <w:t>a</w:t>
            </w:r>
            <w:r w:rsidRPr="004070A1">
              <w:rPr>
                <w:rFonts w:eastAsia="Calibri"/>
                <w:noProof/>
              </w:rPr>
              <w:t>uthority</w:t>
            </w:r>
            <w:r>
              <w:rPr>
                <w:rFonts w:eastAsia="Calibri"/>
                <w:noProof/>
              </w:rPr>
              <w:t xml:space="preserve"> staff were</w:t>
            </w:r>
            <w:r w:rsidRPr="004070A1">
              <w:rPr>
                <w:rFonts w:eastAsia="Calibri"/>
                <w:noProof/>
              </w:rPr>
              <w:t xml:space="preserve"> trained by the EU </w:t>
            </w:r>
            <w:r>
              <w:rPr>
                <w:rFonts w:eastAsia="Calibri"/>
                <w:noProof/>
              </w:rPr>
              <w:t>b</w:t>
            </w:r>
            <w:r w:rsidRPr="00BF50CD">
              <w:rPr>
                <w:rFonts w:eastAsia="Calibri"/>
                <w:noProof/>
              </w:rPr>
              <w:t xml:space="preserve">order </w:t>
            </w:r>
            <w:r>
              <w:rPr>
                <w:rFonts w:eastAsia="Calibri"/>
                <w:noProof/>
              </w:rPr>
              <w:t>a</w:t>
            </w:r>
            <w:r w:rsidRPr="00BF50CD">
              <w:rPr>
                <w:rFonts w:eastAsia="Calibri"/>
                <w:noProof/>
              </w:rPr>
              <w:t xml:space="preserve">ssistance </w:t>
            </w:r>
            <w:r>
              <w:rPr>
                <w:rFonts w:eastAsia="Calibri"/>
                <w:noProof/>
              </w:rPr>
              <w:t>m</w:t>
            </w:r>
            <w:r w:rsidRPr="00BF50CD">
              <w:rPr>
                <w:rFonts w:eastAsia="Calibri"/>
                <w:noProof/>
              </w:rPr>
              <w:t>ission</w:t>
            </w:r>
            <w:r w:rsidRPr="004070A1">
              <w:rPr>
                <w:rFonts w:eastAsia="Calibri"/>
                <w:noProof/>
              </w:rPr>
              <w:t xml:space="preserve"> in Rafah from 2015 to 202</w:t>
            </w:r>
            <w:r>
              <w:rPr>
                <w:rFonts w:eastAsia="Calibri"/>
                <w:noProof/>
              </w:rPr>
              <w:t>1</w:t>
            </w:r>
            <w:r w:rsidRPr="0076270C">
              <w:rPr>
                <w:noProof/>
              </w:rPr>
              <w:t>.</w:t>
            </w:r>
          </w:p>
        </w:tc>
        <w:tc>
          <w:tcPr>
            <w:cnfStyle w:val="000001000000" w:firstRow="0" w:lastRow="0" w:firstColumn="0" w:lastColumn="0" w:oddVBand="0" w:evenVBand="1" w:oddHBand="0" w:evenHBand="0" w:firstRowFirstColumn="0" w:firstRowLastColumn="0" w:lastRowFirstColumn="0" w:lastRowLastColumn="0"/>
            <w:tcW w:w="2409" w:type="dxa"/>
          </w:tcPr>
          <w:p w14:paraId="53B27088" w14:textId="77777777" w:rsidR="00377734" w:rsidRPr="0076270C" w:rsidRDefault="00377734" w:rsidP="0083214A">
            <w:pPr>
              <w:pStyle w:val="ppoTableacheivementvalue"/>
              <w:rPr>
                <w:noProof/>
              </w:rPr>
            </w:pPr>
            <w:r>
              <w:rPr>
                <w:noProof/>
              </w:rPr>
              <w:t>1</w:t>
            </w:r>
            <w:r>
              <w:rPr>
                <w:rFonts w:ascii="Calibri" w:hAnsi="Calibri" w:cs="Calibri"/>
                <w:noProof/>
              </w:rPr>
              <w:t> </w:t>
            </w:r>
            <w:r>
              <w:rPr>
                <w:noProof/>
              </w:rPr>
              <w:t>972</w:t>
            </w:r>
          </w:p>
          <w:p w14:paraId="7F9405C4" w14:textId="77777777" w:rsidR="00377734" w:rsidRPr="0076270C" w:rsidRDefault="00377734" w:rsidP="00377734">
            <w:pPr>
              <w:jc w:val="left"/>
              <w:rPr>
                <w:noProof/>
              </w:rPr>
            </w:pPr>
            <w:r w:rsidRPr="004070A1">
              <w:rPr>
                <w:noProof/>
              </w:rPr>
              <w:t xml:space="preserve">pieces of small arms and light weapons and pieces of ammunition </w:t>
            </w:r>
            <w:r>
              <w:rPr>
                <w:noProof/>
              </w:rPr>
              <w:t xml:space="preserve">were </w:t>
            </w:r>
            <w:r w:rsidRPr="004070A1">
              <w:rPr>
                <w:noProof/>
              </w:rPr>
              <w:t xml:space="preserve">destroyed in the Western Balkans in </w:t>
            </w:r>
            <w:r>
              <w:rPr>
                <w:noProof/>
              </w:rPr>
              <w:t>2021</w:t>
            </w:r>
            <w:r w:rsidRPr="0076270C">
              <w:rPr>
                <w:noProof/>
              </w:rPr>
              <w:t>.</w:t>
            </w:r>
          </w:p>
        </w:tc>
      </w:tr>
    </w:tbl>
    <w:p w14:paraId="658A66B3" w14:textId="77777777" w:rsidR="00BE3903" w:rsidRPr="00040D99" w:rsidRDefault="00BE3903" w:rsidP="00BE3903">
      <w:pPr>
        <w:pStyle w:val="FootnoteText"/>
        <w:rPr>
          <w:rFonts w:eastAsiaTheme="minorEastAsia"/>
          <w:noProof/>
        </w:rPr>
      </w:pPr>
      <w:r>
        <w:rPr>
          <w:rFonts w:eastAsiaTheme="minorEastAsia"/>
          <w:noProof/>
        </w:rPr>
        <w:t>(*)</w:t>
      </w:r>
      <w:r>
        <w:rPr>
          <w:rFonts w:eastAsiaTheme="minorEastAsia"/>
          <w:noProof/>
        </w:rPr>
        <w:tab/>
      </w:r>
      <w:r w:rsidRPr="00CA5FD3">
        <w:rPr>
          <w:rFonts w:eastAsiaTheme="minorEastAsia"/>
          <w:noProof/>
        </w:rPr>
        <w:t xml:space="preserve">Key achievements in the table state which period they relate to. Many come from the implementation of the predecessor programmes under the 2014-2020 </w:t>
      </w:r>
      <w:r>
        <w:rPr>
          <w:rFonts w:eastAsiaTheme="minorEastAsia"/>
          <w:noProof/>
        </w:rPr>
        <w:t>multiannual financial framework</w:t>
      </w:r>
      <w:r w:rsidRPr="00CA5FD3">
        <w:rPr>
          <w:rFonts w:eastAsiaTheme="minorEastAsia"/>
          <w:noProof/>
        </w:rPr>
        <w:t>. This is expected and</w:t>
      </w:r>
      <w:r>
        <w:rPr>
          <w:rFonts w:eastAsiaTheme="minorEastAsia"/>
          <w:noProof/>
        </w:rPr>
        <w:t xml:space="preserve"> is</w:t>
      </w:r>
      <w:r w:rsidRPr="00CA5FD3">
        <w:rPr>
          <w:rFonts w:eastAsiaTheme="minorEastAsia"/>
          <w:noProof/>
        </w:rPr>
        <w:t xml:space="preserve"> due to the multiannual life</w:t>
      </w:r>
      <w:r>
        <w:rPr>
          <w:rFonts w:eastAsiaTheme="minorEastAsia"/>
          <w:noProof/>
        </w:rPr>
        <w:t xml:space="preserve"> </w:t>
      </w:r>
      <w:r w:rsidRPr="00CA5FD3">
        <w:rPr>
          <w:rFonts w:eastAsiaTheme="minorEastAsia"/>
          <w:noProof/>
        </w:rPr>
        <w:t>cycle of EU programmes and the projects they finan</w:t>
      </w:r>
      <w:r>
        <w:rPr>
          <w:rFonts w:eastAsiaTheme="minorEastAsia"/>
          <w:noProof/>
        </w:rPr>
        <w:t>ce,</w:t>
      </w:r>
      <w:r w:rsidRPr="00CA5FD3">
        <w:rPr>
          <w:rFonts w:eastAsiaTheme="minorEastAsia"/>
          <w:noProof/>
        </w:rPr>
        <w:t xml:space="preserve"> where results often follow only after completion of the programmes.</w:t>
      </w:r>
    </w:p>
    <w:p w14:paraId="0992D0F9" w14:textId="77777777" w:rsidR="00BE3903" w:rsidRDefault="00BE3903" w:rsidP="00BE3903">
      <w:pPr>
        <w:pStyle w:val="ppoHeading5"/>
        <w:rPr>
          <w:noProof/>
        </w:rPr>
      </w:pPr>
      <w:r w:rsidRPr="00040D99">
        <w:rPr>
          <w:noProof/>
        </w:rPr>
        <w:t xml:space="preserve">Budget </w:t>
      </w:r>
      <w:r>
        <w:rPr>
          <w:noProof/>
        </w:rPr>
        <w:t xml:space="preserve">for </w:t>
      </w:r>
      <w:r w:rsidRPr="00040D99">
        <w:rPr>
          <w:noProof/>
        </w:rPr>
        <w:t>2021-2027</w:t>
      </w:r>
    </w:p>
    <w:p w14:paraId="6067A22B" w14:textId="77777777" w:rsidR="00BE3903" w:rsidRPr="009359FF" w:rsidRDefault="00BE3903" w:rsidP="00BE3903">
      <w:pPr>
        <w:pStyle w:val="ppoTableTabletitle"/>
        <w:ind w:left="284"/>
        <w:rPr>
          <w:noProof/>
        </w:rPr>
      </w:pPr>
      <w:r>
        <w:rPr>
          <w:noProof/>
        </w:rPr>
        <w:t>(million</w:t>
      </w:r>
      <w:r w:rsidRPr="00926841">
        <w:rPr>
          <w:noProof/>
        </w:rPr>
        <w:t xml:space="preserve"> </w:t>
      </w:r>
      <w:r>
        <w:rPr>
          <w:noProof/>
        </w:rPr>
        <w:t>EUR)</w:t>
      </w:r>
    </w:p>
    <w:tbl>
      <w:tblPr>
        <w:tblStyle w:val="PlainTable2"/>
        <w:tblW w:w="0" w:type="auto"/>
        <w:tblInd w:w="288" w:type="dxa"/>
        <w:tblLook w:val="04A0" w:firstRow="1" w:lastRow="0" w:firstColumn="1" w:lastColumn="0" w:noHBand="0" w:noVBand="1"/>
      </w:tblPr>
      <w:tblGrid>
        <w:gridCol w:w="4788"/>
        <w:gridCol w:w="2610"/>
      </w:tblGrid>
      <w:tr w:rsidR="00BE3903" w:rsidRPr="00214876" w14:paraId="38665DCC" w14:textId="77777777" w:rsidTr="0083214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02C530EE" w14:textId="77777777" w:rsidR="00BE3903" w:rsidRPr="00214876" w:rsidRDefault="00BE3903" w:rsidP="0083214A">
            <w:pPr>
              <w:spacing w:before="120" w:after="120"/>
              <w:rPr>
                <w:noProof/>
              </w:rPr>
            </w:pPr>
            <w:r w:rsidRPr="00214876">
              <w:rPr>
                <w:rFonts w:cs="Calibri"/>
                <w:noProof/>
                <w:color w:val="000000"/>
              </w:rPr>
              <w:t>Financial programming</w:t>
            </w:r>
          </w:p>
        </w:tc>
        <w:tc>
          <w:tcPr>
            <w:tcW w:w="2610" w:type="dxa"/>
            <w:shd w:val="clear" w:color="auto" w:fill="auto"/>
            <w:vAlign w:val="bottom"/>
          </w:tcPr>
          <w:p w14:paraId="61F2BDC0" w14:textId="77777777" w:rsidR="00BE3903" w:rsidRPr="00214876" w:rsidRDefault="00BE3903" w:rsidP="0083214A">
            <w:pPr>
              <w:spacing w:before="120" w:after="120"/>
              <w:jc w:val="center"/>
              <w:cnfStyle w:val="100000000000" w:firstRow="1" w:lastRow="0" w:firstColumn="0" w:lastColumn="0" w:oddVBand="0" w:evenVBand="0" w:oddHBand="0" w:evenHBand="0" w:firstRowFirstColumn="0" w:firstRowLastColumn="0" w:lastRowFirstColumn="0" w:lastRowLastColumn="0"/>
              <w:rPr>
                <w:b w:val="0"/>
                <w:noProof/>
              </w:rPr>
            </w:pPr>
            <w:r>
              <w:rPr>
                <w:rFonts w:cs="Calibri"/>
                <w:b w:val="0"/>
                <w:noProof/>
                <w:color w:val="000000"/>
              </w:rPr>
              <w:t>2</w:t>
            </w:r>
            <w:r>
              <w:rPr>
                <w:rFonts w:ascii="Calibri" w:hAnsi="Calibri" w:cs="Calibri"/>
                <w:b w:val="0"/>
                <w:noProof/>
                <w:color w:val="000000"/>
              </w:rPr>
              <w:t> </w:t>
            </w:r>
            <w:r>
              <w:rPr>
                <w:rFonts w:cs="Calibri"/>
                <w:b w:val="0"/>
                <w:noProof/>
                <w:color w:val="000000"/>
              </w:rPr>
              <w:t>679.0</w:t>
            </w:r>
          </w:p>
        </w:tc>
      </w:tr>
      <w:tr w:rsidR="00BE3903" w:rsidRPr="00214876" w14:paraId="2525445E"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4A292CEE" w14:textId="77777777" w:rsidR="00BE3903" w:rsidRPr="00214876" w:rsidRDefault="00BE3903" w:rsidP="0083214A">
            <w:pPr>
              <w:spacing w:before="120" w:after="120"/>
              <w:rPr>
                <w:b w:val="0"/>
                <w:noProof/>
              </w:rPr>
            </w:pPr>
            <w:r w:rsidRPr="00214876">
              <w:rPr>
                <w:rFonts w:cs="Calibri"/>
                <w:noProof/>
                <w:color w:val="000000"/>
              </w:rPr>
              <w:t>NextGenerationEU</w:t>
            </w:r>
          </w:p>
        </w:tc>
        <w:tc>
          <w:tcPr>
            <w:tcW w:w="2610" w:type="dxa"/>
            <w:vAlign w:val="bottom"/>
          </w:tcPr>
          <w:p w14:paraId="28AD8DCA" w14:textId="77777777" w:rsidR="00BE3903" w:rsidRPr="00214876" w:rsidRDefault="00BE3903"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Pr>
                <w:rFonts w:cs="Calibri"/>
                <w:noProof/>
                <w:color w:val="000000"/>
              </w:rPr>
              <w:t>0</w:t>
            </w:r>
          </w:p>
        </w:tc>
      </w:tr>
      <w:tr w:rsidR="00BE3903" w:rsidRPr="00214876" w14:paraId="35D076FB"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21BC96A7" w14:textId="77777777" w:rsidR="00BE3903" w:rsidRPr="00214876" w:rsidRDefault="00BE3903" w:rsidP="0083214A">
            <w:pPr>
              <w:spacing w:before="120" w:after="120"/>
              <w:rPr>
                <w:b w:val="0"/>
                <w:noProof/>
              </w:rPr>
            </w:pPr>
            <w:r w:rsidRPr="00807AC3">
              <w:rPr>
                <w:noProof/>
              </w:rPr>
              <w:t>Decommitments made available again</w:t>
            </w:r>
            <w:r>
              <w:rPr>
                <w:rFonts w:ascii="Calibri" w:hAnsi="Calibri" w:cs="Calibri"/>
                <w:noProof/>
              </w:rPr>
              <w:t> (</w:t>
            </w:r>
            <w:r w:rsidRPr="00807AC3">
              <w:rPr>
                <w:noProof/>
              </w:rPr>
              <w:t>*</w:t>
            </w:r>
            <w:r>
              <w:rPr>
                <w:noProof/>
              </w:rPr>
              <w:t>)</w:t>
            </w:r>
          </w:p>
        </w:tc>
        <w:tc>
          <w:tcPr>
            <w:tcW w:w="2610" w:type="dxa"/>
            <w:vAlign w:val="bottom"/>
          </w:tcPr>
          <w:p w14:paraId="5AEC499A" w14:textId="58508C27" w:rsidR="00BE3903" w:rsidRPr="00214876" w:rsidRDefault="00BE3903" w:rsidP="0083214A">
            <w:pPr>
              <w:spacing w:before="120" w:after="120"/>
              <w:jc w:val="center"/>
              <w:cnfStyle w:val="000000000000" w:firstRow="0" w:lastRow="0" w:firstColumn="0" w:lastColumn="0" w:oddVBand="0" w:evenVBand="0" w:oddHBand="0" w:evenHBand="0" w:firstRowFirstColumn="0" w:firstRowLastColumn="0" w:lastRowFirstColumn="0" w:lastRowLastColumn="0"/>
              <w:rPr>
                <w:noProof/>
              </w:rPr>
            </w:pPr>
            <w:r>
              <w:rPr>
                <w:rFonts w:cs="Calibri"/>
                <w:noProof/>
                <w:color w:val="000000"/>
              </w:rPr>
              <w:t>N/A</w:t>
            </w:r>
          </w:p>
        </w:tc>
      </w:tr>
      <w:tr w:rsidR="00BE3903" w:rsidRPr="00214876" w14:paraId="7D490CE1"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19715374" w14:textId="77777777" w:rsidR="00BE3903" w:rsidRPr="00214876" w:rsidRDefault="00BE3903" w:rsidP="0083214A">
            <w:pPr>
              <w:spacing w:before="120" w:after="120"/>
              <w:rPr>
                <w:noProof/>
              </w:rPr>
            </w:pPr>
            <w:r w:rsidRPr="00214876">
              <w:rPr>
                <w:rFonts w:cs="Calibri"/>
                <w:noProof/>
                <w:color w:val="000000"/>
              </w:rPr>
              <w:t>Contributions from other countries and entities</w:t>
            </w:r>
          </w:p>
        </w:tc>
        <w:tc>
          <w:tcPr>
            <w:tcW w:w="2610" w:type="dxa"/>
            <w:vAlign w:val="bottom"/>
          </w:tcPr>
          <w:p w14:paraId="2B9B3B92" w14:textId="77777777" w:rsidR="00BE3903" w:rsidRPr="00214876" w:rsidRDefault="00BE3903"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Pr>
                <w:rFonts w:cs="Calibri"/>
                <w:noProof/>
                <w:color w:val="000000"/>
              </w:rPr>
              <w:t>0.7</w:t>
            </w:r>
          </w:p>
        </w:tc>
      </w:tr>
      <w:tr w:rsidR="00BE3903" w:rsidRPr="00214876" w14:paraId="056B7679"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2F2F2" w:themeFill="background1" w:themeFillShade="F2"/>
            <w:vAlign w:val="bottom"/>
          </w:tcPr>
          <w:p w14:paraId="76800075" w14:textId="77777777" w:rsidR="00BE3903" w:rsidRPr="00214876" w:rsidRDefault="00BE3903" w:rsidP="0083214A">
            <w:pPr>
              <w:spacing w:before="120" w:after="120"/>
              <w:rPr>
                <w:noProof/>
              </w:rPr>
            </w:pPr>
            <w:r>
              <w:rPr>
                <w:rFonts w:cs="Calibri"/>
                <w:noProof/>
                <w:color w:val="000000"/>
              </w:rPr>
              <w:t>T</w:t>
            </w:r>
            <w:r w:rsidRPr="00214876">
              <w:rPr>
                <w:rFonts w:cs="Calibri"/>
                <w:noProof/>
                <w:color w:val="000000"/>
              </w:rPr>
              <w:t xml:space="preserve">otal budget </w:t>
            </w:r>
            <w:r>
              <w:rPr>
                <w:rFonts w:cs="Calibri"/>
                <w:noProof/>
                <w:color w:val="000000"/>
              </w:rPr>
              <w:t xml:space="preserve">for </w:t>
            </w:r>
            <w:r w:rsidRPr="00214876">
              <w:rPr>
                <w:rFonts w:cs="Calibri"/>
                <w:noProof/>
                <w:color w:val="000000"/>
              </w:rPr>
              <w:t>2021-2027</w:t>
            </w:r>
          </w:p>
        </w:tc>
        <w:tc>
          <w:tcPr>
            <w:tcW w:w="2610" w:type="dxa"/>
            <w:shd w:val="clear" w:color="auto" w:fill="F2F2F2" w:themeFill="background1" w:themeFillShade="F2"/>
            <w:vAlign w:val="bottom"/>
          </w:tcPr>
          <w:p w14:paraId="279E77ED" w14:textId="77777777" w:rsidR="00BE3903" w:rsidRPr="00214876" w:rsidRDefault="00BE3903" w:rsidP="0083214A">
            <w:pPr>
              <w:spacing w:before="120" w:after="120"/>
              <w:jc w:val="center"/>
              <w:cnfStyle w:val="000000000000" w:firstRow="0" w:lastRow="0" w:firstColumn="0" w:lastColumn="0" w:oddVBand="0" w:evenVBand="0" w:oddHBand="0" w:evenHBand="0" w:firstRowFirstColumn="0" w:firstRowLastColumn="0" w:lastRowFirstColumn="0" w:lastRowLastColumn="0"/>
              <w:rPr>
                <w:b/>
                <w:noProof/>
              </w:rPr>
            </w:pPr>
            <w:r>
              <w:rPr>
                <w:rFonts w:cs="Calibri"/>
                <w:b/>
                <w:noProof/>
                <w:color w:val="000000"/>
              </w:rPr>
              <w:t>2</w:t>
            </w:r>
            <w:r>
              <w:rPr>
                <w:rFonts w:ascii="Calibri" w:hAnsi="Calibri" w:cs="Calibri"/>
                <w:b/>
                <w:noProof/>
                <w:color w:val="000000"/>
              </w:rPr>
              <w:t> </w:t>
            </w:r>
            <w:r>
              <w:rPr>
                <w:rFonts w:cs="Calibri"/>
                <w:b/>
                <w:noProof/>
                <w:color w:val="000000"/>
              </w:rPr>
              <w:t>679.7</w:t>
            </w:r>
          </w:p>
        </w:tc>
      </w:tr>
    </w:tbl>
    <w:p w14:paraId="06ACBC5A" w14:textId="77777777" w:rsidR="00BE3903" w:rsidRPr="0044380A" w:rsidRDefault="00BE3903" w:rsidP="00BE3903">
      <w:pPr>
        <w:tabs>
          <w:tab w:val="left" w:pos="6793"/>
        </w:tabs>
        <w:rPr>
          <w:noProof/>
          <w:sz w:val="18"/>
          <w:szCs w:val="18"/>
          <w:lang w:val="en-IE"/>
        </w:rPr>
      </w:pPr>
      <w:r w:rsidRPr="0044380A">
        <w:rPr>
          <w:noProof/>
          <w:sz w:val="18"/>
          <w:szCs w:val="18"/>
          <w:lang w:val="en-IE"/>
        </w:rPr>
        <w:t>(*) Only Articl</w:t>
      </w:r>
      <w:r w:rsidRPr="0044380A">
        <w:rPr>
          <w:rFonts w:ascii="Calibri" w:hAnsi="Calibri" w:cs="Calibri"/>
          <w:noProof/>
          <w:sz w:val="18"/>
          <w:szCs w:val="18"/>
          <w:lang w:val="en-IE"/>
        </w:rPr>
        <w:t>e </w:t>
      </w:r>
      <w:r w:rsidRPr="0044380A">
        <w:rPr>
          <w:noProof/>
          <w:sz w:val="18"/>
          <w:szCs w:val="18"/>
          <w:lang w:val="en-IE"/>
        </w:rPr>
        <w:t>15(3) of the financial regulation.</w:t>
      </w:r>
    </w:p>
    <w:p w14:paraId="2BC28B9C" w14:textId="77777777" w:rsidR="00BE3903" w:rsidRPr="00040D99" w:rsidRDefault="00BE3903" w:rsidP="00BE3903">
      <w:pPr>
        <w:pStyle w:val="ppoHeading5"/>
        <w:rPr>
          <w:noProof/>
        </w:rPr>
      </w:pPr>
      <w:r w:rsidRPr="00040D99">
        <w:rPr>
          <w:noProof/>
        </w:rPr>
        <w:t>Rationale and design of the programme</w:t>
      </w:r>
    </w:p>
    <w:p w14:paraId="61729B03" w14:textId="77777777" w:rsidR="00BE3903" w:rsidRPr="00040D99" w:rsidRDefault="00BE3903" w:rsidP="00BE3903">
      <w:pPr>
        <w:rPr>
          <w:rFonts w:eastAsiaTheme="minorEastAsia"/>
          <w:noProof/>
        </w:rPr>
      </w:pPr>
      <w:r w:rsidRPr="009D1876">
        <w:rPr>
          <w:rFonts w:eastAsiaTheme="minorEastAsia"/>
          <w:noProof/>
        </w:rPr>
        <w:t xml:space="preserve">The </w:t>
      </w:r>
      <w:r>
        <w:rPr>
          <w:rFonts w:eastAsiaTheme="minorEastAsia"/>
          <w:noProof/>
        </w:rPr>
        <w:t>c</w:t>
      </w:r>
      <w:r w:rsidRPr="009D1876">
        <w:rPr>
          <w:rFonts w:eastAsiaTheme="minorEastAsia"/>
          <w:noProof/>
        </w:rPr>
        <w:t xml:space="preserve">ommon </w:t>
      </w:r>
      <w:r>
        <w:rPr>
          <w:rFonts w:eastAsiaTheme="minorEastAsia"/>
          <w:noProof/>
        </w:rPr>
        <w:t>f</w:t>
      </w:r>
      <w:r w:rsidRPr="009D1876">
        <w:rPr>
          <w:rFonts w:eastAsiaTheme="minorEastAsia"/>
          <w:noProof/>
        </w:rPr>
        <w:t xml:space="preserve">oreign and </w:t>
      </w:r>
      <w:r>
        <w:rPr>
          <w:rFonts w:eastAsiaTheme="minorEastAsia"/>
          <w:noProof/>
        </w:rPr>
        <w:t>s</w:t>
      </w:r>
      <w:r w:rsidRPr="009D1876">
        <w:rPr>
          <w:rFonts w:eastAsiaTheme="minorEastAsia"/>
          <w:noProof/>
        </w:rPr>
        <w:t xml:space="preserve">ecurity </w:t>
      </w:r>
      <w:r>
        <w:rPr>
          <w:rFonts w:eastAsiaTheme="minorEastAsia"/>
          <w:noProof/>
        </w:rPr>
        <w:t>p</w:t>
      </w:r>
      <w:r w:rsidRPr="009D1876">
        <w:rPr>
          <w:rFonts w:eastAsiaTheme="minorEastAsia"/>
          <w:noProof/>
        </w:rPr>
        <w:t>olicy (CFSP) contributes to the EU’s objectives of preserving peace, strengthening international security, promoting international cooperation and developing and consolidating democracy, the rule of law and respect for human rights and fundamental freedoms</w:t>
      </w:r>
      <w:r>
        <w:rPr>
          <w:rFonts w:eastAsiaTheme="minorEastAsia"/>
          <w:noProof/>
        </w:rPr>
        <w:t>.</w:t>
      </w:r>
    </w:p>
    <w:p w14:paraId="04B1BCE7" w14:textId="77777777" w:rsidR="00BE3903" w:rsidRPr="00040D99" w:rsidRDefault="00BE3903" w:rsidP="00BE3903">
      <w:pPr>
        <w:pStyle w:val="ppoHeading6"/>
        <w:rPr>
          <w:noProof/>
        </w:rPr>
      </w:pPr>
      <w:r w:rsidRPr="00040D99">
        <w:rPr>
          <w:noProof/>
        </w:rPr>
        <w:t>Challenge</w:t>
      </w:r>
    </w:p>
    <w:p w14:paraId="31A8923B" w14:textId="77777777" w:rsidR="00BE3903" w:rsidRDefault="00BE3903" w:rsidP="00BE3903">
      <w:pPr>
        <w:rPr>
          <w:noProof/>
        </w:rPr>
      </w:pPr>
      <w:r>
        <w:rPr>
          <w:noProof/>
        </w:rPr>
        <w:t>The EU faces several ongoing challenges in international security and stability. Key ones include organised crime, terrorism, people smuggling, migration, the proliferation of conventional weapons and weapons of mass destruction, and security threats stemming from weak rule of law in some non-EU countries.</w:t>
      </w:r>
    </w:p>
    <w:p w14:paraId="2AFEB0A2" w14:textId="77777777" w:rsidR="00BE3903" w:rsidRDefault="00BE3903" w:rsidP="00BE3903">
      <w:pPr>
        <w:rPr>
          <w:noProof/>
        </w:rPr>
      </w:pPr>
      <w:r>
        <w:rPr>
          <w:noProof/>
        </w:rPr>
        <w:t>It is therefore essential for the EU to support non-EU countries in their security sector reform and help them establish efficient civilian security services, thereby increasing their capacities to tackle internal and external security challenges.</w:t>
      </w:r>
    </w:p>
    <w:p w14:paraId="07CB1078" w14:textId="77777777" w:rsidR="00BE3903" w:rsidRPr="00040D99" w:rsidRDefault="00BE3903" w:rsidP="00BE3903">
      <w:pPr>
        <w:rPr>
          <w:noProof/>
        </w:rPr>
      </w:pPr>
      <w:r>
        <w:rPr>
          <w:noProof/>
        </w:rPr>
        <w:t>Article</w:t>
      </w:r>
      <w:r>
        <w:rPr>
          <w:rFonts w:ascii="Calibri" w:hAnsi="Calibri" w:cs="Calibri"/>
          <w:noProof/>
        </w:rPr>
        <w:t> </w:t>
      </w:r>
      <w:r w:rsidRPr="0044380A">
        <w:rPr>
          <w:noProof/>
        </w:rPr>
        <w:t>21</w:t>
      </w:r>
      <w:r>
        <w:rPr>
          <w:rFonts w:ascii="Calibri" w:hAnsi="Calibri" w:cs="Calibri"/>
          <w:noProof/>
        </w:rPr>
        <w:t xml:space="preserve"> </w:t>
      </w:r>
      <w:r w:rsidRPr="0044380A">
        <w:rPr>
          <w:noProof/>
        </w:rPr>
        <w:t xml:space="preserve">of </w:t>
      </w:r>
      <w:r>
        <w:rPr>
          <w:noProof/>
        </w:rPr>
        <w:t>the Treaty on European Union defines the common overarching principles and objectives of the EU’s external action, which are namely to ‘preserve peace, prevent conflicts and strengthen international security’. While the individual activities of Member States clearly contribute to achieving the goals of the EU’s common foreign and security policy, the combined political weight of the EU as a whole helps to provide a critical mass to respond to global challenges. Regarding non-proliferation and disarmament activities, the EU’s support provides significant benefits for the universalisation and effective implementation of international treaties, conventions and agreements addressing the proliferation of both conventional arms and weapons of mass destruction, including their delivery mechanisms.</w:t>
      </w:r>
    </w:p>
    <w:p w14:paraId="1443885D" w14:textId="77777777" w:rsidR="00BE3903" w:rsidRPr="00040D99" w:rsidRDefault="00BE3903" w:rsidP="00BE3903">
      <w:pPr>
        <w:pStyle w:val="ppoHeading6"/>
        <w:rPr>
          <w:noProof/>
        </w:rPr>
      </w:pPr>
      <w:r w:rsidRPr="00040D99">
        <w:rPr>
          <w:noProof/>
        </w:rPr>
        <w:t>Mission</w:t>
      </w:r>
    </w:p>
    <w:p w14:paraId="7DD3172C" w14:textId="77777777" w:rsidR="00BE3903" w:rsidRPr="00040D99" w:rsidRDefault="00BE3903" w:rsidP="00BE3903">
      <w:pPr>
        <w:rPr>
          <w:noProof/>
        </w:rPr>
      </w:pPr>
      <w:r>
        <w:rPr>
          <w:noProof/>
        </w:rPr>
        <w:t>The CFSP actions aim to ensure the EU’s ability to act and intervene quickly to address civilian crises and to promote nuclear non-proliferation and disarmament through support for multilateral action. Interventions in both areas help the EU ‘preserve peace, prevent conflict and strengthen international security’, as envisaged under Article</w:t>
      </w:r>
      <w:r>
        <w:rPr>
          <w:rFonts w:ascii="Calibri" w:hAnsi="Calibri" w:cs="Calibri"/>
          <w:noProof/>
        </w:rPr>
        <w:t> </w:t>
      </w:r>
      <w:r>
        <w:rPr>
          <w:noProof/>
        </w:rPr>
        <w:t>21 of the Treaty on European Union.</w:t>
      </w:r>
    </w:p>
    <w:p w14:paraId="262CE673" w14:textId="77777777" w:rsidR="00BE3903" w:rsidRPr="00040D99" w:rsidRDefault="00BE3903" w:rsidP="00BE3903">
      <w:pPr>
        <w:pStyle w:val="ppoHeading6"/>
        <w:rPr>
          <w:noProof/>
        </w:rPr>
      </w:pPr>
      <w:r w:rsidRPr="00040D99">
        <w:rPr>
          <w:noProof/>
        </w:rPr>
        <w:t>Objectives</w:t>
      </w:r>
    </w:p>
    <w:p w14:paraId="2391A02C" w14:textId="77777777" w:rsidR="00BE3903" w:rsidRDefault="00BE3903" w:rsidP="00BE3903">
      <w:pPr>
        <w:rPr>
          <w:noProof/>
        </w:rPr>
      </w:pPr>
      <w:r>
        <w:rPr>
          <w:noProof/>
        </w:rPr>
        <w:t>The CFSP pursues two specific objectives:</w:t>
      </w:r>
    </w:p>
    <w:p w14:paraId="24BA7C05" w14:textId="77777777" w:rsidR="00BE3903" w:rsidRDefault="00BE3903" w:rsidP="006F409B">
      <w:pPr>
        <w:pStyle w:val="ppoListArabic1aiii-L1"/>
        <w:numPr>
          <w:ilvl w:val="0"/>
          <w:numId w:val="129"/>
        </w:numPr>
        <w:rPr>
          <w:noProof/>
        </w:rPr>
      </w:pPr>
      <w:r>
        <w:rPr>
          <w:noProof/>
        </w:rPr>
        <w:t>to promote international cooperation in the field of security sector reform, to develop and consolidate democracy and rule of law, and promote human rights and fundamental freedoms;</w:t>
      </w:r>
    </w:p>
    <w:p w14:paraId="2134A2F6" w14:textId="77777777" w:rsidR="00BE3903" w:rsidRDefault="00BE3903" w:rsidP="006F409B">
      <w:pPr>
        <w:pStyle w:val="ppoListArabic1aiii-L1"/>
        <w:numPr>
          <w:ilvl w:val="0"/>
          <w:numId w:val="129"/>
        </w:numPr>
        <w:rPr>
          <w:noProof/>
        </w:rPr>
      </w:pPr>
      <w:r>
        <w:rPr>
          <w:noProof/>
        </w:rPr>
        <w:t>to promote strategic cooperation with international partners on the non-proliferation of weapons of mass destruction and on combatting the illicit accumulation of small arms and light weapons and other conventional weapons, and to support the EU policy on conventional arms exports.</w:t>
      </w:r>
    </w:p>
    <w:p w14:paraId="7B5C745B" w14:textId="77777777" w:rsidR="00BE3903" w:rsidRDefault="00BE3903" w:rsidP="00BE3903">
      <w:pPr>
        <w:pStyle w:val="ppoHeading6"/>
        <w:rPr>
          <w:noProof/>
        </w:rPr>
      </w:pPr>
      <w:r w:rsidRPr="00040D99">
        <w:rPr>
          <w:noProof/>
        </w:rPr>
        <w:t>Actions</w:t>
      </w:r>
    </w:p>
    <w:p w14:paraId="24E8C1B8" w14:textId="77777777" w:rsidR="00BE3903" w:rsidRPr="00AE674B" w:rsidRDefault="00BE3903" w:rsidP="00BE3903">
      <w:pPr>
        <w:rPr>
          <w:noProof/>
        </w:rPr>
      </w:pPr>
      <w:r>
        <w:rPr>
          <w:noProof/>
        </w:rPr>
        <w:t>The CFSP pursues its objectives by the following means:</w:t>
      </w:r>
    </w:p>
    <w:p w14:paraId="105C70A9" w14:textId="251D8910" w:rsidR="00BE3903" w:rsidRDefault="00BE3903" w:rsidP="00BE3903">
      <w:pPr>
        <w:pStyle w:val="ppoListHyphened-L1"/>
        <w:rPr>
          <w:noProof/>
        </w:rPr>
      </w:pPr>
      <w:r>
        <w:rPr>
          <w:noProof/>
        </w:rPr>
        <w:t>Different types of civilian common security and defence policy missions, depending on the Council of the European Union’s mandate, for example advisory missions counselling host countries on drafting legislation in the security sector, or capacity-building missions providing hands-on operational activities.</w:t>
      </w:r>
    </w:p>
    <w:p w14:paraId="455ABB71" w14:textId="77777777" w:rsidR="00BE3903" w:rsidRDefault="00BE3903" w:rsidP="00BE3903">
      <w:pPr>
        <w:pStyle w:val="ppoListHyphened-L1"/>
        <w:rPr>
          <w:noProof/>
        </w:rPr>
      </w:pPr>
      <w:r w:rsidRPr="00E96353">
        <w:rPr>
          <w:noProof/>
        </w:rPr>
        <w:t xml:space="preserve">Different types of mandates of EU </w:t>
      </w:r>
      <w:r>
        <w:rPr>
          <w:noProof/>
        </w:rPr>
        <w:t>s</w:t>
      </w:r>
      <w:r w:rsidRPr="00E96353">
        <w:rPr>
          <w:noProof/>
        </w:rPr>
        <w:t xml:space="preserve">pecial </w:t>
      </w:r>
      <w:r>
        <w:rPr>
          <w:noProof/>
        </w:rPr>
        <w:t>r</w:t>
      </w:r>
      <w:r w:rsidRPr="00E96353">
        <w:rPr>
          <w:noProof/>
        </w:rPr>
        <w:t>epresentatives promoting EU policies all around the world</w:t>
      </w:r>
      <w:r>
        <w:rPr>
          <w:noProof/>
        </w:rPr>
        <w:t>.</w:t>
      </w:r>
    </w:p>
    <w:p w14:paraId="44D5B2CB" w14:textId="77777777" w:rsidR="00BE3903" w:rsidRPr="00040D99" w:rsidRDefault="00BE3903" w:rsidP="00BE3903">
      <w:pPr>
        <w:pStyle w:val="ppoListHyphened-L1"/>
        <w:rPr>
          <w:noProof/>
        </w:rPr>
      </w:pPr>
      <w:r>
        <w:rPr>
          <w:noProof/>
        </w:rPr>
        <w:t>Actions related to non-proliferation and disarmament. These are implemented through agreements with international organisations, notably within the United Nations family, and for specific purposes with other select organisations in the field of non-proliferation and disarmament.</w:t>
      </w:r>
    </w:p>
    <w:p w14:paraId="5539004B" w14:textId="77777777" w:rsidR="00BE3903" w:rsidRPr="00040D99" w:rsidRDefault="00BE3903" w:rsidP="00BE3903">
      <w:pPr>
        <w:pStyle w:val="ppoHeading6"/>
        <w:rPr>
          <w:noProof/>
        </w:rPr>
      </w:pPr>
      <w:r w:rsidRPr="00040D99">
        <w:rPr>
          <w:noProof/>
        </w:rPr>
        <w:t>Delivery mode</w:t>
      </w:r>
    </w:p>
    <w:p w14:paraId="06CD2254" w14:textId="77777777" w:rsidR="00BE3903" w:rsidRDefault="00BE3903" w:rsidP="00BE3903">
      <w:pPr>
        <w:rPr>
          <w:noProof/>
        </w:rPr>
      </w:pPr>
      <w:r>
        <w:rPr>
          <w:noProof/>
        </w:rPr>
        <w:t xml:space="preserve">The programme is implemented primarily through indirect management for civilian common security and defence policy missions and non-proliferation and disarmament actions, and to a lesser extent through direct management. The lead service for the programming of CFSP actions is the </w:t>
      </w:r>
      <w:r w:rsidRPr="00B90083">
        <w:rPr>
          <w:noProof/>
        </w:rPr>
        <w:t>European External Action Service</w:t>
      </w:r>
      <w:r>
        <w:rPr>
          <w:noProof/>
        </w:rPr>
        <w:t>, while the Service for Foreign Policy Instruments is responsible for ensuring the sound financial management of the funds.</w:t>
      </w:r>
    </w:p>
    <w:p w14:paraId="06AAA545" w14:textId="77777777" w:rsidR="00BE3903" w:rsidRPr="00040D99" w:rsidRDefault="00BE3903" w:rsidP="00BE3903">
      <w:pPr>
        <w:rPr>
          <w:noProof/>
        </w:rPr>
      </w:pPr>
      <w:r>
        <w:rPr>
          <w:noProof/>
        </w:rPr>
        <w:t>The CFSP is implemented on the basis of individual decisions adopted by the Council. Under Articles</w:t>
      </w:r>
      <w:r>
        <w:rPr>
          <w:rFonts w:ascii="Calibri" w:hAnsi="Calibri" w:cs="Calibri"/>
          <w:noProof/>
        </w:rPr>
        <w:t> </w:t>
      </w:r>
      <w:r>
        <w:rPr>
          <w:noProof/>
        </w:rPr>
        <w:t>42(4) and 43(2) of the Treaty on European Union, the Council adopts the legal framework for civilian common security and defence policy</w:t>
      </w:r>
      <w:r w:rsidDel="00564690">
        <w:rPr>
          <w:noProof/>
        </w:rPr>
        <w:t xml:space="preserve"> </w:t>
      </w:r>
      <w:r>
        <w:rPr>
          <w:noProof/>
        </w:rPr>
        <w:t>missions. On the basis of Article</w:t>
      </w:r>
      <w:r>
        <w:rPr>
          <w:rFonts w:ascii="Calibri" w:hAnsi="Calibri" w:cs="Calibri"/>
          <w:noProof/>
        </w:rPr>
        <w:t> </w:t>
      </w:r>
      <w:r>
        <w:rPr>
          <w:noProof/>
        </w:rPr>
        <w:t>28</w:t>
      </w:r>
      <w:r>
        <w:rPr>
          <w:rFonts w:ascii="Calibri" w:hAnsi="Calibri" w:cs="Calibri"/>
          <w:noProof/>
        </w:rPr>
        <w:t> </w:t>
      </w:r>
      <w:r>
        <w:rPr>
          <w:noProof/>
        </w:rPr>
        <w:t>TEU, Member States may decide to launch operational actions, for example stabilisation actions. As regards actions in the field of non-proliferation and disarmament, the Council adopts decisions on the basis of Articles</w:t>
      </w:r>
      <w:r>
        <w:rPr>
          <w:rFonts w:ascii="Calibri" w:hAnsi="Calibri" w:cs="Calibri"/>
          <w:noProof/>
        </w:rPr>
        <w:t> </w:t>
      </w:r>
      <w:r>
        <w:rPr>
          <w:noProof/>
        </w:rPr>
        <w:t>28(1) and 31(1) of the Treaty on European Union.</w:t>
      </w:r>
    </w:p>
    <w:p w14:paraId="5B92F6BF" w14:textId="77777777" w:rsidR="00BE3903" w:rsidRPr="00040D99" w:rsidRDefault="00BE3903" w:rsidP="00BE3903">
      <w:pPr>
        <w:pStyle w:val="ppoHeading6"/>
        <w:rPr>
          <w:noProof/>
        </w:rPr>
      </w:pPr>
      <w:r>
        <w:rPr>
          <w:noProof/>
        </w:rPr>
        <w:t>LINK TO THE 2014-2020 multiannual financial framework</w:t>
      </w:r>
    </w:p>
    <w:p w14:paraId="3010DD72" w14:textId="77777777" w:rsidR="00BE3903" w:rsidRDefault="00BE3903" w:rsidP="00BE3903">
      <w:pPr>
        <w:rPr>
          <w:noProof/>
        </w:rPr>
      </w:pPr>
      <w:r>
        <w:rPr>
          <w:noProof/>
        </w:rPr>
        <w:t>Under the 2021-2027 multiannual financial framework, the CFSP remains a separate tool, but complementary with other conflict and crisis response instruments, for example the rapid response pillar of the Neighbourhood, Development and International Cooperation Instrument. It is expected to provide continued strong support for the non-proliferation of weapons of mass</w:t>
      </w:r>
      <w:r>
        <w:rPr>
          <w:rFonts w:ascii="Calibri" w:hAnsi="Calibri" w:cs="Calibri"/>
          <w:noProof/>
        </w:rPr>
        <w:t xml:space="preserve"> </w:t>
      </w:r>
      <w:r>
        <w:rPr>
          <w:noProof/>
        </w:rPr>
        <w:t>destruction and disarmament, with increased levels of support to match Member States’ ambitions.</w:t>
      </w:r>
    </w:p>
    <w:p w14:paraId="120C3303" w14:textId="77777777" w:rsidR="00BE3903" w:rsidRPr="00040D99" w:rsidRDefault="00BE3903" w:rsidP="00BE3903">
      <w:pPr>
        <w:pStyle w:val="ppoHeading6"/>
        <w:rPr>
          <w:noProof/>
        </w:rPr>
      </w:pPr>
      <w:r w:rsidRPr="00040D99">
        <w:rPr>
          <w:noProof/>
        </w:rPr>
        <w:t>Impact assessment</w:t>
      </w:r>
    </w:p>
    <w:p w14:paraId="790DB056" w14:textId="77777777" w:rsidR="00BE3903" w:rsidRDefault="00BE3903" w:rsidP="00BE3903">
      <w:pPr>
        <w:rPr>
          <w:noProof/>
        </w:rPr>
      </w:pPr>
      <w:r>
        <w:rPr>
          <w:noProof/>
        </w:rPr>
        <w:t>Reports on the implementation of the CFSP are produced annually.</w:t>
      </w:r>
    </w:p>
    <w:p w14:paraId="1D32C091" w14:textId="77777777" w:rsidR="00BE3903" w:rsidRDefault="00BE3903" w:rsidP="00BE3903">
      <w:pPr>
        <w:rPr>
          <w:noProof/>
        </w:rPr>
      </w:pPr>
      <w:r>
        <w:rPr>
          <w:noProof/>
        </w:rPr>
        <w:t xml:space="preserve">For further information, please consult the </w:t>
      </w:r>
      <w:hyperlink r:id="rId567" w:history="1">
        <w:r w:rsidRPr="00122F75">
          <w:rPr>
            <w:rStyle w:val="Hyperlink"/>
            <w:noProof/>
          </w:rPr>
          <w:t xml:space="preserve">CFSP </w:t>
        </w:r>
        <w:r>
          <w:rPr>
            <w:rStyle w:val="Hyperlink"/>
            <w:noProof/>
          </w:rPr>
          <w:t>a</w:t>
        </w:r>
        <w:r w:rsidRPr="00122F75">
          <w:rPr>
            <w:rStyle w:val="Hyperlink"/>
            <w:noProof/>
          </w:rPr>
          <w:t xml:space="preserve">nnual </w:t>
        </w:r>
        <w:r>
          <w:rPr>
            <w:rStyle w:val="Hyperlink"/>
            <w:noProof/>
          </w:rPr>
          <w:t>r</w:t>
        </w:r>
        <w:r w:rsidRPr="00122F75">
          <w:rPr>
            <w:rStyle w:val="Hyperlink"/>
            <w:noProof/>
          </w:rPr>
          <w:t>eports</w:t>
        </w:r>
      </w:hyperlink>
      <w:r>
        <w:rPr>
          <w:noProof/>
        </w:rPr>
        <w:t>.</w:t>
      </w:r>
    </w:p>
    <w:p w14:paraId="3F122EC0" w14:textId="77777777" w:rsidR="00BE3903" w:rsidRPr="00040D99" w:rsidRDefault="00BE3903" w:rsidP="00BE3903">
      <w:pPr>
        <w:pStyle w:val="ppoHeading6"/>
        <w:rPr>
          <w:noProof/>
        </w:rPr>
      </w:pPr>
      <w:r>
        <w:rPr>
          <w:noProof/>
        </w:rPr>
        <w:t>WEBSITE FOR more information</w:t>
      </w:r>
    </w:p>
    <w:p w14:paraId="37985ECE" w14:textId="77777777" w:rsidR="00BE3903" w:rsidRDefault="00E01E9B" w:rsidP="00BE3903">
      <w:pPr>
        <w:rPr>
          <w:noProof/>
        </w:rPr>
      </w:pPr>
      <w:hyperlink r:id="rId568" w:history="1">
        <w:r w:rsidR="00BE3903" w:rsidRPr="00EF3E11">
          <w:rPr>
            <w:rStyle w:val="Hyperlink"/>
            <w:noProof/>
          </w:rPr>
          <w:t>https://ec.europa.eu/fpi/what-we-do/common-foreign-and-security-policy-preserving-peace-and-security_en</w:t>
        </w:r>
      </w:hyperlink>
    </w:p>
    <w:p w14:paraId="6B79E39E" w14:textId="77777777" w:rsidR="00BE3903" w:rsidRPr="00040D99" w:rsidRDefault="00BE3903" w:rsidP="00BE3903">
      <w:pPr>
        <w:pStyle w:val="ppoHeading5"/>
        <w:rPr>
          <w:noProof/>
        </w:rPr>
      </w:pPr>
      <w:r w:rsidRPr="00040D99">
        <w:rPr>
          <w:rFonts w:eastAsiaTheme="minorEastAsia"/>
          <w:noProof/>
        </w:rPr>
        <w:t xml:space="preserve">Legal </w:t>
      </w:r>
      <w:r>
        <w:rPr>
          <w:rFonts w:eastAsiaTheme="minorEastAsia"/>
          <w:noProof/>
        </w:rPr>
        <w:t>b</w:t>
      </w:r>
      <w:r w:rsidRPr="00040D99">
        <w:rPr>
          <w:rFonts w:eastAsiaTheme="minorEastAsia"/>
          <w:noProof/>
        </w:rPr>
        <w:t>as</w:t>
      </w:r>
      <w:r>
        <w:rPr>
          <w:rFonts w:eastAsiaTheme="minorEastAsia"/>
          <w:noProof/>
        </w:rPr>
        <w:t>is</w:t>
      </w:r>
    </w:p>
    <w:p w14:paraId="62812F2B" w14:textId="77777777" w:rsidR="00BC49BA" w:rsidRDefault="00BC49BA" w:rsidP="00BE3903">
      <w:pPr>
        <w:rPr>
          <w:noProof/>
        </w:rPr>
      </w:pPr>
      <w:r w:rsidRPr="00BC49BA">
        <w:rPr>
          <w:noProof/>
        </w:rPr>
        <w:t>Tasks are resulting from the European Commission’s prerogatives at institutional level, as provided for in Article 58(2) of Regulation (EU, Euratom) 2018/1046 of the European Parliament and of the Council of 18 July 2018 on the financial rules applicable to the general budget of the Union.</w:t>
      </w:r>
    </w:p>
    <w:p w14:paraId="2424687E" w14:textId="77777777" w:rsidR="00BE3903" w:rsidRDefault="00BE3903" w:rsidP="00BE3903">
      <w:pPr>
        <w:rPr>
          <w:rFonts w:eastAsiaTheme="majorEastAsia" w:cstheme="majorBidi"/>
          <w:noProof/>
          <w:color w:val="E72113"/>
          <w:sz w:val="48"/>
          <w:szCs w:val="32"/>
          <w:lang w:eastAsia="en-GB"/>
        </w:rPr>
      </w:pPr>
      <w:r>
        <w:rPr>
          <w:noProof/>
        </w:rPr>
        <w:br w:type="page"/>
      </w:r>
    </w:p>
    <w:p w14:paraId="23C96A5D" w14:textId="77777777" w:rsidR="00BE3903" w:rsidRPr="00040D99" w:rsidRDefault="00BE3903" w:rsidP="00BE3903">
      <w:pPr>
        <w:pStyle w:val="ppoHeading4Red"/>
        <w:rPr>
          <w:caps/>
          <w:noProof/>
        </w:rPr>
      </w:pPr>
      <w:r w:rsidRPr="00040D99">
        <w:rPr>
          <w:noProof/>
        </w:rPr>
        <w:t>Implementation and performance</w:t>
      </w:r>
    </w:p>
    <w:p w14:paraId="01023B4B" w14:textId="77777777" w:rsidR="00BE3903" w:rsidRPr="00040D99" w:rsidRDefault="00BE3903" w:rsidP="00BE3903">
      <w:pPr>
        <w:pStyle w:val="ppoHeading5"/>
        <w:rPr>
          <w:noProof/>
        </w:rPr>
      </w:pPr>
      <w:r w:rsidRPr="00040D99">
        <w:rPr>
          <w:noProof/>
        </w:rPr>
        <w:t>Budget</w:t>
      </w:r>
    </w:p>
    <w:p w14:paraId="4DA966FD" w14:textId="77777777" w:rsidR="00BE3903" w:rsidRPr="00040D99" w:rsidRDefault="00BE3903" w:rsidP="00BE3903">
      <w:pPr>
        <w:pStyle w:val="ppoTableTabletitle"/>
        <w:rPr>
          <w:noProof/>
        </w:rPr>
      </w:pPr>
      <w:r w:rsidRPr="00807AC3">
        <w:rPr>
          <w:noProof/>
        </w:rPr>
        <w:t>Budget programming</w:t>
      </w:r>
      <w:r>
        <w:rPr>
          <w:noProof/>
        </w:rPr>
        <w:t xml:space="preserve"> (million</w:t>
      </w:r>
      <w:r w:rsidRPr="0057029A">
        <w:rPr>
          <w:noProof/>
        </w:rPr>
        <w:t xml:space="preserve"> </w:t>
      </w:r>
      <w:r>
        <w:rPr>
          <w:noProof/>
        </w:rPr>
        <w:t>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BE3903" w:rsidRPr="00040D99" w14:paraId="3F7B6D26" w14:textId="77777777" w:rsidTr="0083214A">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76E0E155" w14:textId="77777777" w:rsidR="00BE3903" w:rsidRPr="00807AC3" w:rsidRDefault="00BE3903" w:rsidP="0083214A">
            <w:pPr>
              <w:rPr>
                <w:noProof/>
              </w:rPr>
            </w:pPr>
          </w:p>
        </w:tc>
        <w:tc>
          <w:tcPr>
            <w:tcW w:w="943" w:type="dxa"/>
            <w:noWrap/>
            <w:hideMark/>
          </w:tcPr>
          <w:p w14:paraId="2C3174FD" w14:textId="77777777" w:rsidR="00BE3903" w:rsidRPr="00807AC3" w:rsidRDefault="00BE3903" w:rsidP="0083214A">
            <w:pPr>
              <w:rPr>
                <w:noProof/>
              </w:rPr>
            </w:pPr>
            <w:r w:rsidRPr="00807AC3">
              <w:rPr>
                <w:noProof/>
              </w:rPr>
              <w:t>2021</w:t>
            </w:r>
          </w:p>
        </w:tc>
        <w:tc>
          <w:tcPr>
            <w:tcW w:w="944" w:type="dxa"/>
            <w:noWrap/>
            <w:hideMark/>
          </w:tcPr>
          <w:p w14:paraId="0061D22D" w14:textId="77777777" w:rsidR="00BE3903" w:rsidRPr="00807AC3" w:rsidRDefault="00BE3903" w:rsidP="0083214A">
            <w:pPr>
              <w:rPr>
                <w:noProof/>
              </w:rPr>
            </w:pPr>
            <w:r w:rsidRPr="00807AC3">
              <w:rPr>
                <w:noProof/>
              </w:rPr>
              <w:t>2022</w:t>
            </w:r>
          </w:p>
        </w:tc>
        <w:tc>
          <w:tcPr>
            <w:tcW w:w="943" w:type="dxa"/>
            <w:noWrap/>
            <w:hideMark/>
          </w:tcPr>
          <w:p w14:paraId="43C8A7AB" w14:textId="77777777" w:rsidR="00BE3903" w:rsidRPr="00807AC3" w:rsidRDefault="00BE3903" w:rsidP="0083214A">
            <w:pPr>
              <w:rPr>
                <w:noProof/>
              </w:rPr>
            </w:pPr>
            <w:r w:rsidRPr="00807AC3">
              <w:rPr>
                <w:noProof/>
              </w:rPr>
              <w:t>2023</w:t>
            </w:r>
          </w:p>
        </w:tc>
        <w:tc>
          <w:tcPr>
            <w:tcW w:w="944" w:type="dxa"/>
            <w:noWrap/>
            <w:hideMark/>
          </w:tcPr>
          <w:p w14:paraId="03D5221E" w14:textId="77777777" w:rsidR="00BE3903" w:rsidRPr="00807AC3" w:rsidRDefault="00BE3903" w:rsidP="0083214A">
            <w:pPr>
              <w:rPr>
                <w:noProof/>
              </w:rPr>
            </w:pPr>
            <w:r w:rsidRPr="00807AC3">
              <w:rPr>
                <w:noProof/>
              </w:rPr>
              <w:t>2024</w:t>
            </w:r>
          </w:p>
        </w:tc>
        <w:tc>
          <w:tcPr>
            <w:tcW w:w="944" w:type="dxa"/>
            <w:noWrap/>
            <w:hideMark/>
          </w:tcPr>
          <w:p w14:paraId="228A9657" w14:textId="77777777" w:rsidR="00BE3903" w:rsidRPr="00807AC3" w:rsidRDefault="00BE3903" w:rsidP="0083214A">
            <w:pPr>
              <w:rPr>
                <w:noProof/>
              </w:rPr>
            </w:pPr>
            <w:r w:rsidRPr="00807AC3">
              <w:rPr>
                <w:noProof/>
              </w:rPr>
              <w:t>2025</w:t>
            </w:r>
          </w:p>
        </w:tc>
        <w:tc>
          <w:tcPr>
            <w:tcW w:w="943" w:type="dxa"/>
            <w:noWrap/>
            <w:hideMark/>
          </w:tcPr>
          <w:p w14:paraId="39B65F59" w14:textId="77777777" w:rsidR="00BE3903" w:rsidRPr="00807AC3" w:rsidRDefault="00BE3903" w:rsidP="0083214A">
            <w:pPr>
              <w:rPr>
                <w:noProof/>
              </w:rPr>
            </w:pPr>
            <w:r w:rsidRPr="00807AC3">
              <w:rPr>
                <w:noProof/>
              </w:rPr>
              <w:t>2026</w:t>
            </w:r>
          </w:p>
        </w:tc>
        <w:tc>
          <w:tcPr>
            <w:tcW w:w="944" w:type="dxa"/>
            <w:noWrap/>
            <w:hideMark/>
          </w:tcPr>
          <w:p w14:paraId="2474A7B6" w14:textId="77777777" w:rsidR="00BE3903" w:rsidRPr="00807AC3" w:rsidRDefault="00BE3903" w:rsidP="0083214A">
            <w:pPr>
              <w:rPr>
                <w:noProof/>
              </w:rPr>
            </w:pPr>
            <w:r w:rsidRPr="00807AC3">
              <w:rPr>
                <w:noProof/>
              </w:rPr>
              <w:t>2027</w:t>
            </w:r>
          </w:p>
        </w:tc>
        <w:tc>
          <w:tcPr>
            <w:tcW w:w="944" w:type="dxa"/>
            <w:noWrap/>
            <w:hideMark/>
          </w:tcPr>
          <w:p w14:paraId="2A52A472" w14:textId="77777777" w:rsidR="00BE3903" w:rsidRPr="00807AC3" w:rsidRDefault="00BE3903" w:rsidP="0083214A">
            <w:pPr>
              <w:rPr>
                <w:noProof/>
              </w:rPr>
            </w:pPr>
            <w:r w:rsidRPr="00807AC3">
              <w:rPr>
                <w:noProof/>
              </w:rPr>
              <w:t>Total</w:t>
            </w:r>
          </w:p>
        </w:tc>
      </w:tr>
      <w:tr w:rsidR="00BE3903" w:rsidRPr="00040D99" w14:paraId="3D823FFF"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7D172C6F" w14:textId="77777777" w:rsidR="00BE3903" w:rsidRPr="00807AC3" w:rsidRDefault="00BE3903" w:rsidP="0083214A">
            <w:pPr>
              <w:rPr>
                <w:noProof/>
              </w:rPr>
            </w:pPr>
            <w:r w:rsidRPr="00807AC3">
              <w:rPr>
                <w:noProof/>
              </w:rPr>
              <w:t>Financial programming</w:t>
            </w:r>
          </w:p>
        </w:tc>
        <w:tc>
          <w:tcPr>
            <w:tcW w:w="943" w:type="dxa"/>
            <w:noWrap/>
            <w:hideMark/>
          </w:tcPr>
          <w:p w14:paraId="7D109229" w14:textId="77777777" w:rsidR="00BE3903" w:rsidRPr="00807AC3" w:rsidRDefault="00BE3903" w:rsidP="0083214A">
            <w:pPr>
              <w:jc w:val="center"/>
              <w:rPr>
                <w:noProof/>
              </w:rPr>
            </w:pPr>
            <w:r w:rsidRPr="00872924">
              <w:rPr>
                <w:noProof/>
              </w:rPr>
              <w:t>352</w:t>
            </w:r>
            <w:r>
              <w:rPr>
                <w:noProof/>
              </w:rPr>
              <w:t>.</w:t>
            </w:r>
            <w:r w:rsidRPr="00872924">
              <w:rPr>
                <w:noProof/>
              </w:rPr>
              <w:t>2</w:t>
            </w:r>
          </w:p>
        </w:tc>
        <w:tc>
          <w:tcPr>
            <w:tcW w:w="944" w:type="dxa"/>
            <w:noWrap/>
            <w:hideMark/>
          </w:tcPr>
          <w:p w14:paraId="7FC42833" w14:textId="77777777" w:rsidR="00BE3903" w:rsidRPr="00807AC3" w:rsidRDefault="00BE3903" w:rsidP="0083214A">
            <w:pPr>
              <w:jc w:val="center"/>
              <w:rPr>
                <w:noProof/>
              </w:rPr>
            </w:pPr>
            <w:r w:rsidRPr="00872924">
              <w:rPr>
                <w:noProof/>
              </w:rPr>
              <w:t>361</w:t>
            </w:r>
            <w:r>
              <w:rPr>
                <w:noProof/>
              </w:rPr>
              <w:t>.</w:t>
            </w:r>
            <w:r w:rsidRPr="00872924">
              <w:rPr>
                <w:noProof/>
              </w:rPr>
              <w:t>7</w:t>
            </w:r>
          </w:p>
        </w:tc>
        <w:tc>
          <w:tcPr>
            <w:tcW w:w="943" w:type="dxa"/>
            <w:noWrap/>
            <w:hideMark/>
          </w:tcPr>
          <w:p w14:paraId="23472FBB" w14:textId="77777777" w:rsidR="00BE3903" w:rsidRPr="00807AC3" w:rsidRDefault="00BE3903" w:rsidP="0083214A">
            <w:pPr>
              <w:jc w:val="center"/>
              <w:rPr>
                <w:noProof/>
              </w:rPr>
            </w:pPr>
            <w:r w:rsidRPr="00872924">
              <w:rPr>
                <w:noProof/>
              </w:rPr>
              <w:t>371</w:t>
            </w:r>
            <w:r>
              <w:rPr>
                <w:noProof/>
              </w:rPr>
              <w:t>.</w:t>
            </w:r>
            <w:r w:rsidRPr="00872924">
              <w:rPr>
                <w:noProof/>
              </w:rPr>
              <w:t>8</w:t>
            </w:r>
          </w:p>
        </w:tc>
        <w:tc>
          <w:tcPr>
            <w:tcW w:w="944" w:type="dxa"/>
            <w:noWrap/>
            <w:hideMark/>
          </w:tcPr>
          <w:p w14:paraId="7CFECE81" w14:textId="77777777" w:rsidR="00BE3903" w:rsidRPr="00807AC3" w:rsidRDefault="00BE3903" w:rsidP="0083214A">
            <w:pPr>
              <w:jc w:val="center"/>
              <w:rPr>
                <w:noProof/>
              </w:rPr>
            </w:pPr>
            <w:r w:rsidRPr="00872924">
              <w:rPr>
                <w:noProof/>
              </w:rPr>
              <w:t>382</w:t>
            </w:r>
            <w:r>
              <w:rPr>
                <w:noProof/>
              </w:rPr>
              <w:t>.</w:t>
            </w:r>
            <w:r w:rsidRPr="00872924">
              <w:rPr>
                <w:noProof/>
              </w:rPr>
              <w:t>1</w:t>
            </w:r>
          </w:p>
        </w:tc>
        <w:tc>
          <w:tcPr>
            <w:tcW w:w="944" w:type="dxa"/>
            <w:noWrap/>
            <w:hideMark/>
          </w:tcPr>
          <w:p w14:paraId="56452632" w14:textId="77777777" w:rsidR="00BE3903" w:rsidRPr="00807AC3" w:rsidRDefault="00BE3903" w:rsidP="0083214A">
            <w:pPr>
              <w:jc w:val="center"/>
              <w:rPr>
                <w:noProof/>
              </w:rPr>
            </w:pPr>
            <w:r w:rsidRPr="00872924">
              <w:rPr>
                <w:noProof/>
              </w:rPr>
              <w:t>392</w:t>
            </w:r>
            <w:r>
              <w:rPr>
                <w:noProof/>
              </w:rPr>
              <w:t>.</w:t>
            </w:r>
            <w:r w:rsidRPr="00872924">
              <w:rPr>
                <w:noProof/>
              </w:rPr>
              <w:t>7</w:t>
            </w:r>
          </w:p>
        </w:tc>
        <w:tc>
          <w:tcPr>
            <w:tcW w:w="943" w:type="dxa"/>
            <w:noWrap/>
            <w:hideMark/>
          </w:tcPr>
          <w:p w14:paraId="35D72568" w14:textId="77777777" w:rsidR="00BE3903" w:rsidRPr="00807AC3" w:rsidRDefault="00BE3903" w:rsidP="0083214A">
            <w:pPr>
              <w:jc w:val="center"/>
              <w:rPr>
                <w:noProof/>
              </w:rPr>
            </w:pPr>
            <w:r w:rsidRPr="00872924">
              <w:rPr>
                <w:noProof/>
              </w:rPr>
              <w:t>403</w:t>
            </w:r>
            <w:r>
              <w:rPr>
                <w:noProof/>
              </w:rPr>
              <w:t>.</w:t>
            </w:r>
            <w:r w:rsidRPr="00872924">
              <w:rPr>
                <w:noProof/>
              </w:rPr>
              <w:t>6</w:t>
            </w:r>
          </w:p>
        </w:tc>
        <w:tc>
          <w:tcPr>
            <w:tcW w:w="944" w:type="dxa"/>
            <w:noWrap/>
            <w:hideMark/>
          </w:tcPr>
          <w:p w14:paraId="19C2C713" w14:textId="77777777" w:rsidR="00BE3903" w:rsidRPr="00807AC3" w:rsidRDefault="00BE3903" w:rsidP="0083214A">
            <w:pPr>
              <w:jc w:val="center"/>
              <w:rPr>
                <w:noProof/>
              </w:rPr>
            </w:pPr>
            <w:r w:rsidRPr="00872924">
              <w:rPr>
                <w:noProof/>
              </w:rPr>
              <w:t>414</w:t>
            </w:r>
            <w:r>
              <w:rPr>
                <w:noProof/>
              </w:rPr>
              <w:t>.</w:t>
            </w:r>
            <w:r w:rsidRPr="00872924">
              <w:rPr>
                <w:noProof/>
              </w:rPr>
              <w:t>7</w:t>
            </w:r>
          </w:p>
        </w:tc>
        <w:tc>
          <w:tcPr>
            <w:tcW w:w="944" w:type="dxa"/>
            <w:noWrap/>
            <w:hideMark/>
          </w:tcPr>
          <w:p w14:paraId="605BD188" w14:textId="77777777" w:rsidR="00BE3903" w:rsidRPr="00807AC3" w:rsidRDefault="00BE3903" w:rsidP="0083214A">
            <w:pPr>
              <w:jc w:val="center"/>
              <w:rPr>
                <w:noProof/>
              </w:rPr>
            </w:pPr>
            <w:r w:rsidRPr="00872924">
              <w:rPr>
                <w:noProof/>
              </w:rPr>
              <w:t>2</w:t>
            </w:r>
            <w:r>
              <w:rPr>
                <w:rFonts w:ascii="Calibri" w:hAnsi="Calibri" w:cs="Calibri"/>
                <w:noProof/>
              </w:rPr>
              <w:t> </w:t>
            </w:r>
            <w:r w:rsidRPr="00872924">
              <w:rPr>
                <w:noProof/>
              </w:rPr>
              <w:t>679</w:t>
            </w:r>
            <w:r>
              <w:rPr>
                <w:noProof/>
              </w:rPr>
              <w:t>.</w:t>
            </w:r>
            <w:r w:rsidRPr="00872924">
              <w:rPr>
                <w:noProof/>
              </w:rPr>
              <w:t>0</w:t>
            </w:r>
          </w:p>
        </w:tc>
      </w:tr>
      <w:tr w:rsidR="00BE3903" w:rsidRPr="00040D99" w14:paraId="7F647BC5"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48DE0190" w14:textId="77777777" w:rsidR="00BE3903" w:rsidRPr="00807AC3" w:rsidRDefault="00BE3903" w:rsidP="0083214A">
            <w:pPr>
              <w:rPr>
                <w:noProof/>
              </w:rPr>
            </w:pPr>
            <w:r w:rsidRPr="00807AC3">
              <w:rPr>
                <w:noProof/>
              </w:rPr>
              <w:t>NextGenerationEU</w:t>
            </w:r>
          </w:p>
        </w:tc>
        <w:tc>
          <w:tcPr>
            <w:tcW w:w="943" w:type="dxa"/>
            <w:noWrap/>
            <w:hideMark/>
          </w:tcPr>
          <w:p w14:paraId="07EEC8AF" w14:textId="77777777" w:rsidR="00BE3903" w:rsidRPr="00807AC3" w:rsidRDefault="00BE3903" w:rsidP="0083214A">
            <w:pPr>
              <w:jc w:val="center"/>
              <w:rPr>
                <w:noProof/>
              </w:rPr>
            </w:pPr>
          </w:p>
        </w:tc>
        <w:tc>
          <w:tcPr>
            <w:tcW w:w="944" w:type="dxa"/>
            <w:noWrap/>
            <w:hideMark/>
          </w:tcPr>
          <w:p w14:paraId="6E958D1B" w14:textId="77777777" w:rsidR="00BE3903" w:rsidRPr="00807AC3" w:rsidRDefault="00BE3903" w:rsidP="0083214A">
            <w:pPr>
              <w:jc w:val="center"/>
              <w:rPr>
                <w:noProof/>
              </w:rPr>
            </w:pPr>
          </w:p>
        </w:tc>
        <w:tc>
          <w:tcPr>
            <w:tcW w:w="943" w:type="dxa"/>
            <w:noWrap/>
            <w:hideMark/>
          </w:tcPr>
          <w:p w14:paraId="7A53331A" w14:textId="77777777" w:rsidR="00BE3903" w:rsidRPr="00807AC3" w:rsidRDefault="00BE3903" w:rsidP="0083214A">
            <w:pPr>
              <w:jc w:val="center"/>
              <w:rPr>
                <w:noProof/>
              </w:rPr>
            </w:pPr>
          </w:p>
        </w:tc>
        <w:tc>
          <w:tcPr>
            <w:tcW w:w="944" w:type="dxa"/>
            <w:noWrap/>
            <w:hideMark/>
          </w:tcPr>
          <w:p w14:paraId="64DC54AB" w14:textId="77777777" w:rsidR="00BE3903" w:rsidRPr="00807AC3" w:rsidRDefault="00BE3903" w:rsidP="0083214A">
            <w:pPr>
              <w:jc w:val="center"/>
              <w:rPr>
                <w:noProof/>
              </w:rPr>
            </w:pPr>
          </w:p>
        </w:tc>
        <w:tc>
          <w:tcPr>
            <w:tcW w:w="944" w:type="dxa"/>
            <w:noWrap/>
            <w:hideMark/>
          </w:tcPr>
          <w:p w14:paraId="73A9176F" w14:textId="77777777" w:rsidR="00BE3903" w:rsidRPr="00807AC3" w:rsidRDefault="00BE3903" w:rsidP="0083214A">
            <w:pPr>
              <w:jc w:val="center"/>
              <w:rPr>
                <w:noProof/>
              </w:rPr>
            </w:pPr>
          </w:p>
        </w:tc>
        <w:tc>
          <w:tcPr>
            <w:tcW w:w="943" w:type="dxa"/>
            <w:noWrap/>
            <w:hideMark/>
          </w:tcPr>
          <w:p w14:paraId="38F4EC12" w14:textId="77777777" w:rsidR="00BE3903" w:rsidRPr="00807AC3" w:rsidRDefault="00BE3903" w:rsidP="0083214A">
            <w:pPr>
              <w:jc w:val="center"/>
              <w:rPr>
                <w:noProof/>
              </w:rPr>
            </w:pPr>
          </w:p>
        </w:tc>
        <w:tc>
          <w:tcPr>
            <w:tcW w:w="944" w:type="dxa"/>
            <w:noWrap/>
            <w:hideMark/>
          </w:tcPr>
          <w:p w14:paraId="27113400" w14:textId="77777777" w:rsidR="00BE3903" w:rsidRPr="00807AC3" w:rsidRDefault="00BE3903" w:rsidP="0083214A">
            <w:pPr>
              <w:jc w:val="center"/>
              <w:rPr>
                <w:noProof/>
              </w:rPr>
            </w:pPr>
          </w:p>
        </w:tc>
        <w:tc>
          <w:tcPr>
            <w:tcW w:w="944" w:type="dxa"/>
            <w:noWrap/>
            <w:hideMark/>
          </w:tcPr>
          <w:p w14:paraId="5A04A616" w14:textId="77777777" w:rsidR="00BE3903" w:rsidRPr="00807AC3" w:rsidRDefault="00BE3903" w:rsidP="0083214A">
            <w:pPr>
              <w:jc w:val="center"/>
              <w:rPr>
                <w:noProof/>
              </w:rPr>
            </w:pPr>
          </w:p>
        </w:tc>
      </w:tr>
      <w:tr w:rsidR="00BE3903" w:rsidRPr="00040D99" w14:paraId="3B84D6DA"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4CED3657" w14:textId="77777777" w:rsidR="00BE3903" w:rsidRPr="00807AC3" w:rsidRDefault="00BE3903" w:rsidP="0083214A">
            <w:pPr>
              <w:rPr>
                <w:noProof/>
              </w:rPr>
            </w:pPr>
            <w:r w:rsidRPr="00807AC3">
              <w:rPr>
                <w:noProof/>
              </w:rPr>
              <w:t>Decommitments made available again</w:t>
            </w:r>
            <w:r>
              <w:rPr>
                <w:rFonts w:ascii="Calibri" w:hAnsi="Calibri" w:cs="Calibri"/>
                <w:noProof/>
              </w:rPr>
              <w:t> (</w:t>
            </w:r>
            <w:r w:rsidRPr="00807AC3">
              <w:rPr>
                <w:noProof/>
              </w:rPr>
              <w:t>*</w:t>
            </w:r>
            <w:r>
              <w:rPr>
                <w:noProof/>
              </w:rPr>
              <w:t>)</w:t>
            </w:r>
          </w:p>
        </w:tc>
        <w:tc>
          <w:tcPr>
            <w:tcW w:w="943" w:type="dxa"/>
            <w:noWrap/>
            <w:hideMark/>
          </w:tcPr>
          <w:p w14:paraId="434A9886" w14:textId="77777777" w:rsidR="00BE3903" w:rsidRPr="00807AC3" w:rsidRDefault="00BE3903" w:rsidP="0083214A">
            <w:pPr>
              <w:jc w:val="center"/>
              <w:rPr>
                <w:noProof/>
              </w:rPr>
            </w:pPr>
            <w:r>
              <w:rPr>
                <w:noProof/>
              </w:rPr>
              <w:t>N/A</w:t>
            </w:r>
          </w:p>
        </w:tc>
        <w:tc>
          <w:tcPr>
            <w:tcW w:w="944" w:type="dxa"/>
            <w:noWrap/>
            <w:hideMark/>
          </w:tcPr>
          <w:p w14:paraId="1FCA1C41" w14:textId="77777777" w:rsidR="00BE3903" w:rsidRPr="00807AC3" w:rsidRDefault="00BE3903" w:rsidP="0083214A">
            <w:pPr>
              <w:jc w:val="center"/>
              <w:rPr>
                <w:noProof/>
              </w:rPr>
            </w:pPr>
          </w:p>
        </w:tc>
        <w:tc>
          <w:tcPr>
            <w:tcW w:w="943" w:type="dxa"/>
            <w:noWrap/>
            <w:hideMark/>
          </w:tcPr>
          <w:p w14:paraId="27AABFB5" w14:textId="77777777" w:rsidR="00BE3903" w:rsidRPr="00807AC3" w:rsidRDefault="00BE3903" w:rsidP="0083214A">
            <w:pPr>
              <w:jc w:val="center"/>
              <w:rPr>
                <w:noProof/>
              </w:rPr>
            </w:pPr>
          </w:p>
        </w:tc>
        <w:tc>
          <w:tcPr>
            <w:tcW w:w="944" w:type="dxa"/>
            <w:noWrap/>
            <w:hideMark/>
          </w:tcPr>
          <w:p w14:paraId="5C895147" w14:textId="77777777" w:rsidR="00BE3903" w:rsidRPr="00807AC3" w:rsidRDefault="00BE3903" w:rsidP="0083214A">
            <w:pPr>
              <w:jc w:val="center"/>
              <w:rPr>
                <w:noProof/>
              </w:rPr>
            </w:pPr>
          </w:p>
        </w:tc>
        <w:tc>
          <w:tcPr>
            <w:tcW w:w="944" w:type="dxa"/>
            <w:noWrap/>
            <w:hideMark/>
          </w:tcPr>
          <w:p w14:paraId="1AFFF86C" w14:textId="77777777" w:rsidR="00BE3903" w:rsidRPr="00807AC3" w:rsidRDefault="00BE3903" w:rsidP="0083214A">
            <w:pPr>
              <w:jc w:val="center"/>
              <w:rPr>
                <w:noProof/>
              </w:rPr>
            </w:pPr>
          </w:p>
        </w:tc>
        <w:tc>
          <w:tcPr>
            <w:tcW w:w="943" w:type="dxa"/>
            <w:noWrap/>
            <w:hideMark/>
          </w:tcPr>
          <w:p w14:paraId="68EA02BA" w14:textId="77777777" w:rsidR="00BE3903" w:rsidRPr="00807AC3" w:rsidRDefault="00BE3903" w:rsidP="0083214A">
            <w:pPr>
              <w:jc w:val="center"/>
              <w:rPr>
                <w:noProof/>
              </w:rPr>
            </w:pPr>
          </w:p>
        </w:tc>
        <w:tc>
          <w:tcPr>
            <w:tcW w:w="944" w:type="dxa"/>
            <w:noWrap/>
            <w:hideMark/>
          </w:tcPr>
          <w:p w14:paraId="74777BF3" w14:textId="77777777" w:rsidR="00BE3903" w:rsidRPr="00807AC3" w:rsidRDefault="00BE3903" w:rsidP="0083214A">
            <w:pPr>
              <w:jc w:val="center"/>
              <w:rPr>
                <w:noProof/>
              </w:rPr>
            </w:pPr>
          </w:p>
        </w:tc>
        <w:tc>
          <w:tcPr>
            <w:tcW w:w="944" w:type="dxa"/>
            <w:noWrap/>
            <w:hideMark/>
          </w:tcPr>
          <w:p w14:paraId="26DB0613" w14:textId="77777777" w:rsidR="00BE3903" w:rsidRPr="00807AC3" w:rsidRDefault="00BE3903" w:rsidP="0083214A">
            <w:pPr>
              <w:jc w:val="center"/>
              <w:rPr>
                <w:noProof/>
              </w:rPr>
            </w:pPr>
            <w:r>
              <w:rPr>
                <w:noProof/>
              </w:rPr>
              <w:t>N/A</w:t>
            </w:r>
          </w:p>
        </w:tc>
      </w:tr>
      <w:tr w:rsidR="00BE3903" w:rsidRPr="00040D99" w14:paraId="3EDD9AE1"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72333BC3" w14:textId="77777777" w:rsidR="00BE3903" w:rsidRPr="00807AC3" w:rsidRDefault="00BE3903" w:rsidP="0083214A">
            <w:pPr>
              <w:rPr>
                <w:noProof/>
              </w:rPr>
            </w:pPr>
            <w:r w:rsidRPr="00807AC3">
              <w:rPr>
                <w:noProof/>
              </w:rPr>
              <w:t>Contributions from other countries and entities</w:t>
            </w:r>
          </w:p>
        </w:tc>
        <w:tc>
          <w:tcPr>
            <w:tcW w:w="943" w:type="dxa"/>
            <w:noWrap/>
            <w:hideMark/>
          </w:tcPr>
          <w:p w14:paraId="3288AE7D" w14:textId="77777777" w:rsidR="00BE3903" w:rsidRPr="00807AC3" w:rsidRDefault="00BE3903" w:rsidP="0083214A">
            <w:pPr>
              <w:jc w:val="center"/>
              <w:rPr>
                <w:noProof/>
              </w:rPr>
            </w:pPr>
            <w:r>
              <w:rPr>
                <w:noProof/>
              </w:rPr>
              <w:t>0.7</w:t>
            </w:r>
          </w:p>
        </w:tc>
        <w:tc>
          <w:tcPr>
            <w:tcW w:w="944" w:type="dxa"/>
            <w:noWrap/>
            <w:hideMark/>
          </w:tcPr>
          <w:p w14:paraId="409AB49F" w14:textId="77777777" w:rsidR="00BE3903" w:rsidRPr="00807AC3" w:rsidRDefault="00BE3903" w:rsidP="0083214A">
            <w:pPr>
              <w:jc w:val="center"/>
              <w:rPr>
                <w:noProof/>
              </w:rPr>
            </w:pPr>
            <w:r>
              <w:rPr>
                <w:noProof/>
              </w:rPr>
              <w:t>p.m.</w:t>
            </w:r>
          </w:p>
        </w:tc>
        <w:tc>
          <w:tcPr>
            <w:tcW w:w="943" w:type="dxa"/>
            <w:noWrap/>
            <w:hideMark/>
          </w:tcPr>
          <w:p w14:paraId="0A100EFB" w14:textId="77777777" w:rsidR="00BE3903" w:rsidRPr="00807AC3" w:rsidRDefault="00BE3903" w:rsidP="0083214A">
            <w:pPr>
              <w:jc w:val="center"/>
              <w:rPr>
                <w:noProof/>
              </w:rPr>
            </w:pPr>
            <w:r>
              <w:rPr>
                <w:noProof/>
              </w:rPr>
              <w:t>p.m.</w:t>
            </w:r>
          </w:p>
        </w:tc>
        <w:tc>
          <w:tcPr>
            <w:tcW w:w="944" w:type="dxa"/>
            <w:noWrap/>
            <w:hideMark/>
          </w:tcPr>
          <w:p w14:paraId="251B7725" w14:textId="77777777" w:rsidR="00BE3903" w:rsidRPr="00807AC3" w:rsidRDefault="00BE3903" w:rsidP="0083214A">
            <w:pPr>
              <w:jc w:val="center"/>
              <w:rPr>
                <w:noProof/>
              </w:rPr>
            </w:pPr>
            <w:r>
              <w:rPr>
                <w:noProof/>
              </w:rPr>
              <w:t>p.m.</w:t>
            </w:r>
          </w:p>
        </w:tc>
        <w:tc>
          <w:tcPr>
            <w:tcW w:w="944" w:type="dxa"/>
            <w:noWrap/>
            <w:hideMark/>
          </w:tcPr>
          <w:p w14:paraId="29B6969E" w14:textId="77777777" w:rsidR="00BE3903" w:rsidRPr="00807AC3" w:rsidRDefault="00BE3903" w:rsidP="0083214A">
            <w:pPr>
              <w:jc w:val="center"/>
              <w:rPr>
                <w:noProof/>
              </w:rPr>
            </w:pPr>
            <w:r>
              <w:rPr>
                <w:noProof/>
              </w:rPr>
              <w:t>p.m.</w:t>
            </w:r>
          </w:p>
        </w:tc>
        <w:tc>
          <w:tcPr>
            <w:tcW w:w="943" w:type="dxa"/>
            <w:noWrap/>
            <w:hideMark/>
          </w:tcPr>
          <w:p w14:paraId="5CBCEC82" w14:textId="77777777" w:rsidR="00BE3903" w:rsidRPr="00807AC3" w:rsidRDefault="00BE3903" w:rsidP="0083214A">
            <w:pPr>
              <w:jc w:val="center"/>
              <w:rPr>
                <w:noProof/>
              </w:rPr>
            </w:pPr>
            <w:r>
              <w:rPr>
                <w:noProof/>
              </w:rPr>
              <w:t>p.m.</w:t>
            </w:r>
          </w:p>
        </w:tc>
        <w:tc>
          <w:tcPr>
            <w:tcW w:w="944" w:type="dxa"/>
            <w:noWrap/>
            <w:hideMark/>
          </w:tcPr>
          <w:p w14:paraId="56CA3182" w14:textId="77777777" w:rsidR="00BE3903" w:rsidRPr="00807AC3" w:rsidRDefault="00BE3903" w:rsidP="0083214A">
            <w:pPr>
              <w:jc w:val="center"/>
              <w:rPr>
                <w:noProof/>
              </w:rPr>
            </w:pPr>
            <w:r>
              <w:rPr>
                <w:noProof/>
              </w:rPr>
              <w:t>p.m.</w:t>
            </w:r>
          </w:p>
        </w:tc>
        <w:tc>
          <w:tcPr>
            <w:tcW w:w="944" w:type="dxa"/>
            <w:noWrap/>
            <w:hideMark/>
          </w:tcPr>
          <w:p w14:paraId="25DA32DA" w14:textId="77777777" w:rsidR="00BE3903" w:rsidRPr="00807AC3" w:rsidRDefault="00BE3903" w:rsidP="0083214A">
            <w:pPr>
              <w:jc w:val="center"/>
              <w:rPr>
                <w:noProof/>
              </w:rPr>
            </w:pPr>
            <w:r>
              <w:rPr>
                <w:noProof/>
              </w:rPr>
              <w:t>0.7</w:t>
            </w:r>
          </w:p>
        </w:tc>
      </w:tr>
      <w:tr w:rsidR="00BE3903" w:rsidRPr="00040D99" w14:paraId="5586770F" w14:textId="77777777" w:rsidTr="00304A2B">
        <w:trPr>
          <w:cnfStyle w:val="000000100000" w:firstRow="0" w:lastRow="0" w:firstColumn="0" w:lastColumn="0" w:oddVBand="0" w:evenVBand="0" w:oddHBand="1" w:evenHBand="0" w:firstRowFirstColumn="0" w:firstRowLastColumn="0" w:lastRowFirstColumn="0" w:lastRowLastColumn="0"/>
          <w:trHeight w:val="290"/>
        </w:trPr>
        <w:tc>
          <w:tcPr>
            <w:tcW w:w="2090" w:type="dxa"/>
            <w:noWrap/>
            <w:vAlign w:val="bottom"/>
          </w:tcPr>
          <w:p w14:paraId="568B80BB" w14:textId="77777777" w:rsidR="00BE3903" w:rsidRPr="00807AC3" w:rsidRDefault="00BE3903" w:rsidP="0083214A">
            <w:pPr>
              <w:rPr>
                <w:noProof/>
              </w:rPr>
            </w:pPr>
            <w:r>
              <w:rPr>
                <w:rFonts w:ascii="Calibri" w:hAnsi="Calibri" w:cs="Calibri"/>
                <w:b/>
                <w:bCs/>
                <w:noProof/>
                <w:color w:val="000000"/>
              </w:rPr>
              <w:t>Total</w:t>
            </w:r>
          </w:p>
        </w:tc>
        <w:tc>
          <w:tcPr>
            <w:tcW w:w="943" w:type="dxa"/>
            <w:noWrap/>
            <w:vAlign w:val="bottom"/>
          </w:tcPr>
          <w:p w14:paraId="40D65B5A" w14:textId="77777777" w:rsidR="00BE3903" w:rsidRDefault="00BE3903" w:rsidP="0083214A">
            <w:pPr>
              <w:jc w:val="center"/>
              <w:rPr>
                <w:noProof/>
              </w:rPr>
            </w:pPr>
            <w:r>
              <w:rPr>
                <w:rFonts w:ascii="Calibri" w:hAnsi="Calibri" w:cs="Calibri"/>
                <w:b/>
                <w:bCs/>
                <w:noProof/>
                <w:color w:val="000000"/>
              </w:rPr>
              <w:t>352.9</w:t>
            </w:r>
          </w:p>
        </w:tc>
        <w:tc>
          <w:tcPr>
            <w:tcW w:w="944" w:type="dxa"/>
            <w:noWrap/>
            <w:vAlign w:val="bottom"/>
          </w:tcPr>
          <w:p w14:paraId="7A7B683A" w14:textId="77777777" w:rsidR="00BE3903" w:rsidRPr="00807AC3" w:rsidRDefault="00BE3903" w:rsidP="0083214A">
            <w:pPr>
              <w:jc w:val="center"/>
              <w:rPr>
                <w:noProof/>
              </w:rPr>
            </w:pPr>
            <w:r>
              <w:rPr>
                <w:rFonts w:ascii="Calibri" w:hAnsi="Calibri" w:cs="Calibri"/>
                <w:b/>
                <w:bCs/>
                <w:noProof/>
                <w:color w:val="000000"/>
              </w:rPr>
              <w:t>361.7</w:t>
            </w:r>
          </w:p>
        </w:tc>
        <w:tc>
          <w:tcPr>
            <w:tcW w:w="943" w:type="dxa"/>
            <w:noWrap/>
            <w:vAlign w:val="bottom"/>
          </w:tcPr>
          <w:p w14:paraId="6B5A85C9" w14:textId="77777777" w:rsidR="00BE3903" w:rsidRPr="00807AC3" w:rsidRDefault="00BE3903" w:rsidP="0083214A">
            <w:pPr>
              <w:jc w:val="center"/>
              <w:rPr>
                <w:noProof/>
              </w:rPr>
            </w:pPr>
            <w:r>
              <w:rPr>
                <w:rFonts w:ascii="Calibri" w:hAnsi="Calibri" w:cs="Calibri"/>
                <w:b/>
                <w:bCs/>
                <w:noProof/>
                <w:color w:val="000000"/>
              </w:rPr>
              <w:t>371.8</w:t>
            </w:r>
          </w:p>
        </w:tc>
        <w:tc>
          <w:tcPr>
            <w:tcW w:w="944" w:type="dxa"/>
            <w:noWrap/>
            <w:vAlign w:val="bottom"/>
          </w:tcPr>
          <w:p w14:paraId="0ACB4EA8" w14:textId="77777777" w:rsidR="00BE3903" w:rsidRPr="00807AC3" w:rsidRDefault="00BE3903" w:rsidP="0083214A">
            <w:pPr>
              <w:jc w:val="center"/>
              <w:rPr>
                <w:noProof/>
              </w:rPr>
            </w:pPr>
            <w:r>
              <w:rPr>
                <w:rFonts w:ascii="Calibri" w:hAnsi="Calibri" w:cs="Calibri"/>
                <w:b/>
                <w:bCs/>
                <w:noProof/>
                <w:color w:val="000000"/>
              </w:rPr>
              <w:t>382.1</w:t>
            </w:r>
          </w:p>
        </w:tc>
        <w:tc>
          <w:tcPr>
            <w:tcW w:w="944" w:type="dxa"/>
            <w:noWrap/>
            <w:vAlign w:val="bottom"/>
          </w:tcPr>
          <w:p w14:paraId="34954665" w14:textId="77777777" w:rsidR="00BE3903" w:rsidRPr="00807AC3" w:rsidRDefault="00BE3903" w:rsidP="0083214A">
            <w:pPr>
              <w:jc w:val="center"/>
              <w:rPr>
                <w:noProof/>
              </w:rPr>
            </w:pPr>
            <w:r>
              <w:rPr>
                <w:rFonts w:ascii="Calibri" w:hAnsi="Calibri" w:cs="Calibri"/>
                <w:b/>
                <w:bCs/>
                <w:noProof/>
                <w:color w:val="000000"/>
              </w:rPr>
              <w:t>392.7</w:t>
            </w:r>
          </w:p>
        </w:tc>
        <w:tc>
          <w:tcPr>
            <w:tcW w:w="943" w:type="dxa"/>
            <w:noWrap/>
            <w:vAlign w:val="bottom"/>
          </w:tcPr>
          <w:p w14:paraId="5DBA4F7B" w14:textId="77777777" w:rsidR="00BE3903" w:rsidRPr="00807AC3" w:rsidRDefault="00BE3903" w:rsidP="0083214A">
            <w:pPr>
              <w:jc w:val="center"/>
              <w:rPr>
                <w:noProof/>
              </w:rPr>
            </w:pPr>
            <w:r>
              <w:rPr>
                <w:rFonts w:ascii="Calibri" w:hAnsi="Calibri" w:cs="Calibri"/>
                <w:b/>
                <w:bCs/>
                <w:noProof/>
                <w:color w:val="000000"/>
              </w:rPr>
              <w:t>403.6</w:t>
            </w:r>
          </w:p>
        </w:tc>
        <w:tc>
          <w:tcPr>
            <w:tcW w:w="944" w:type="dxa"/>
            <w:noWrap/>
            <w:vAlign w:val="bottom"/>
          </w:tcPr>
          <w:p w14:paraId="4F8803C4" w14:textId="77777777" w:rsidR="00BE3903" w:rsidRPr="00807AC3" w:rsidRDefault="00BE3903" w:rsidP="0083214A">
            <w:pPr>
              <w:jc w:val="center"/>
              <w:rPr>
                <w:noProof/>
              </w:rPr>
            </w:pPr>
            <w:r>
              <w:rPr>
                <w:rFonts w:ascii="Calibri" w:hAnsi="Calibri" w:cs="Calibri"/>
                <w:b/>
                <w:bCs/>
                <w:noProof/>
                <w:color w:val="000000"/>
              </w:rPr>
              <w:t>414.7</w:t>
            </w:r>
          </w:p>
        </w:tc>
        <w:tc>
          <w:tcPr>
            <w:tcW w:w="944" w:type="dxa"/>
            <w:noWrap/>
            <w:vAlign w:val="bottom"/>
          </w:tcPr>
          <w:p w14:paraId="30054721" w14:textId="77777777" w:rsidR="00BE3903" w:rsidRDefault="00BE3903" w:rsidP="0083214A">
            <w:pPr>
              <w:jc w:val="center"/>
              <w:rPr>
                <w:noProof/>
              </w:rPr>
            </w:pPr>
            <w:r>
              <w:rPr>
                <w:rFonts w:ascii="Calibri" w:hAnsi="Calibri" w:cs="Calibri"/>
                <w:b/>
                <w:bCs/>
                <w:noProof/>
                <w:color w:val="000000"/>
              </w:rPr>
              <w:t>2 679.7</w:t>
            </w:r>
          </w:p>
        </w:tc>
      </w:tr>
    </w:tbl>
    <w:p w14:paraId="22924B86" w14:textId="77777777" w:rsidR="00BE3903" w:rsidRPr="00B90083" w:rsidRDefault="00BE3903" w:rsidP="00BE3903">
      <w:pPr>
        <w:tabs>
          <w:tab w:val="left" w:pos="6793"/>
        </w:tabs>
        <w:rPr>
          <w:noProof/>
          <w:sz w:val="18"/>
          <w:szCs w:val="18"/>
          <w:lang w:val="en-IE"/>
        </w:rPr>
      </w:pPr>
      <w:r w:rsidRPr="0214D0BA">
        <w:rPr>
          <w:noProof/>
          <w:sz w:val="18"/>
          <w:szCs w:val="18"/>
          <w:lang w:val="en-IE"/>
        </w:rPr>
        <w:t>(*) Only Article</w:t>
      </w:r>
      <w:r w:rsidRPr="0214D0BA">
        <w:rPr>
          <w:rFonts w:ascii="Calibri" w:hAnsi="Calibri" w:cs="Calibri"/>
          <w:noProof/>
          <w:sz w:val="18"/>
          <w:szCs w:val="18"/>
          <w:lang w:val="en-IE"/>
        </w:rPr>
        <w:t> </w:t>
      </w:r>
      <w:r w:rsidRPr="0214D0BA">
        <w:rPr>
          <w:noProof/>
          <w:sz w:val="18"/>
          <w:szCs w:val="18"/>
          <w:lang w:val="en-IE"/>
        </w:rPr>
        <w:t>15(3) of the financial regulation.</w:t>
      </w:r>
    </w:p>
    <w:p w14:paraId="61681BAF" w14:textId="5B3739A9" w:rsidR="00BE3903" w:rsidRDefault="00FE148C" w:rsidP="00304A2B">
      <w:pPr>
        <w:pStyle w:val="ppoTableTabletitle"/>
        <w:jc w:val="center"/>
        <w:rPr>
          <w:noProof/>
          <w:lang w:val="en-IE"/>
        </w:rPr>
      </w:pPr>
      <w:r w:rsidRPr="00CF7385">
        <w:rPr>
          <w:noProof/>
          <w:lang w:val="en-IE"/>
        </w:rPr>
        <w:t>Financial progr</w:t>
      </w:r>
      <w:r>
        <w:rPr>
          <w:noProof/>
          <w:lang w:val="en-IE"/>
        </w:rPr>
        <w:t>a</w:t>
      </w:r>
      <w:r w:rsidRPr="00CF7385">
        <w:rPr>
          <w:noProof/>
          <w:lang w:val="en-IE"/>
        </w:rPr>
        <w:t>ming:</w:t>
      </w:r>
      <w:r>
        <w:rPr>
          <w:noProof/>
          <w:color w:val="028F1A" w:themeColor="accent1"/>
          <w:sz w:val="44"/>
          <w:szCs w:val="44"/>
          <w:lang w:val="en-IE"/>
        </w:rPr>
        <w:t xml:space="preserve"> </w:t>
      </w:r>
      <w:r w:rsidR="00BE3903" w:rsidRPr="0214D0BA">
        <w:rPr>
          <w:rStyle w:val="ppocharRedtext24pt"/>
          <w:noProof/>
        </w:rPr>
        <w:t>+</w:t>
      </w:r>
      <w:r w:rsidR="00BE3903" w:rsidRPr="0214D0BA">
        <w:rPr>
          <w:rStyle w:val="ppocharRedtext24pt"/>
          <w:rFonts w:ascii="Calibri" w:hAnsi="Calibri" w:cs="Calibri"/>
          <w:noProof/>
        </w:rPr>
        <w:t> </w:t>
      </w:r>
      <w:r w:rsidR="00BE3903" w:rsidRPr="0214D0BA">
        <w:rPr>
          <w:rStyle w:val="ppocharRedtext24pt"/>
          <w:noProof/>
        </w:rPr>
        <w:t>EUR</w:t>
      </w:r>
      <w:r w:rsidR="00BE3903" w:rsidRPr="007C3D07">
        <w:rPr>
          <w:rStyle w:val="ppocharRedtext24pt"/>
          <w:rFonts w:ascii="Calibri" w:hAnsi="Calibri" w:cs="Calibri"/>
          <w:noProof/>
        </w:rPr>
        <w:t> </w:t>
      </w:r>
      <w:r w:rsidR="00BE3903" w:rsidRPr="007C3D07">
        <w:rPr>
          <w:rStyle w:val="ppocharRedtext24pt"/>
          <w:noProof/>
        </w:rPr>
        <w:t>3</w:t>
      </w:r>
      <w:r w:rsidR="00BE3903" w:rsidRPr="0214D0BA">
        <w:rPr>
          <w:rStyle w:val="ppocharRedtext24pt"/>
          <w:noProof/>
        </w:rPr>
        <w:t>.3</w:t>
      </w:r>
      <w:r w:rsidR="00BE3903" w:rsidRPr="007C3D07">
        <w:rPr>
          <w:rStyle w:val="ppocharRedtext24pt"/>
          <w:rFonts w:ascii="Calibri" w:hAnsi="Calibri" w:cs="Calibri"/>
          <w:noProof/>
        </w:rPr>
        <w:t> </w:t>
      </w:r>
      <w:r w:rsidR="00BE3903" w:rsidRPr="0214D0BA">
        <w:rPr>
          <w:rStyle w:val="ppocharRedtext24pt"/>
          <w:noProof/>
        </w:rPr>
        <w:t xml:space="preserve">million (+0%) </w:t>
      </w:r>
      <w:r w:rsidR="00BE3903" w:rsidRPr="0214D0BA">
        <w:rPr>
          <w:noProof/>
          <w:lang w:val="en-IE"/>
        </w:rPr>
        <w:t>compared to the legal basis.</w:t>
      </w:r>
    </w:p>
    <w:p w14:paraId="4A1DA454" w14:textId="77777777" w:rsidR="00BE3903" w:rsidRPr="00040D99" w:rsidRDefault="00BE3903" w:rsidP="00BE3903">
      <w:pPr>
        <w:pStyle w:val="ppoTableTabletitle"/>
        <w:rPr>
          <w:noProof/>
        </w:rPr>
      </w:pPr>
      <w:r w:rsidRPr="00040D99">
        <w:rPr>
          <w:noProof/>
        </w:rPr>
        <w:t>Voted budget implementation in 2021</w:t>
      </w:r>
      <w:r>
        <w:rPr>
          <w:noProof/>
        </w:rPr>
        <w:t xml:space="preserve"> (million</w:t>
      </w:r>
      <w:r w:rsidRPr="0057029A">
        <w:rPr>
          <w:noProof/>
        </w:rPr>
        <w:t xml:space="preserve"> </w:t>
      </w:r>
      <w:r>
        <w:rPr>
          <w:noProof/>
        </w:rPr>
        <w:t>EUR):</w:t>
      </w:r>
    </w:p>
    <w:tbl>
      <w:tblPr>
        <w:tblStyle w:val="PPO2021"/>
        <w:tblW w:w="3683" w:type="pct"/>
        <w:tblInd w:w="79" w:type="dxa"/>
        <w:tblLook w:val="04A0" w:firstRow="1" w:lastRow="0" w:firstColumn="1" w:lastColumn="0" w:noHBand="0" w:noVBand="1"/>
      </w:tblPr>
      <w:tblGrid>
        <w:gridCol w:w="2419"/>
        <w:gridCol w:w="2419"/>
        <w:gridCol w:w="2420"/>
      </w:tblGrid>
      <w:tr w:rsidR="00BE3903" w:rsidRPr="00040D99" w14:paraId="57ACB693" w14:textId="77777777" w:rsidTr="008321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6E35F78A" w14:textId="77777777" w:rsidR="00BE3903" w:rsidRPr="0017374C" w:rsidRDefault="00BE3903" w:rsidP="0083214A">
            <w:pPr>
              <w:rPr>
                <w:noProof/>
              </w:rPr>
            </w:pPr>
          </w:p>
        </w:tc>
        <w:tc>
          <w:tcPr>
            <w:tcW w:w="2419" w:type="dxa"/>
          </w:tcPr>
          <w:p w14:paraId="27665ED9" w14:textId="77777777" w:rsidR="00BE3903" w:rsidRPr="0017374C" w:rsidRDefault="00BE3903" w:rsidP="0083214A">
            <w:pPr>
              <w:cnfStyle w:val="100000000000" w:firstRow="1" w:lastRow="0" w:firstColumn="0" w:lastColumn="0" w:oddVBand="0" w:evenVBand="0" w:oddHBand="0" w:evenHBand="0" w:firstRowFirstColumn="0" w:firstRowLastColumn="0" w:lastRowFirstColumn="0" w:lastRowLastColumn="0"/>
              <w:rPr>
                <w:noProof/>
              </w:rPr>
            </w:pPr>
            <w:r w:rsidRPr="0017374C">
              <w:rPr>
                <w:noProof/>
              </w:rPr>
              <w:t>Voted budget implementation</w:t>
            </w:r>
          </w:p>
        </w:tc>
        <w:tc>
          <w:tcPr>
            <w:tcW w:w="2420" w:type="dxa"/>
          </w:tcPr>
          <w:p w14:paraId="1D516C19" w14:textId="77777777" w:rsidR="00BE3903" w:rsidRPr="0017374C" w:rsidRDefault="00BE3903" w:rsidP="0083214A">
            <w:pPr>
              <w:cnfStyle w:val="100000000000" w:firstRow="1" w:lastRow="0" w:firstColumn="0" w:lastColumn="0" w:oddVBand="0" w:evenVBand="0" w:oddHBand="0" w:evenHBand="0" w:firstRowFirstColumn="0" w:firstRowLastColumn="0" w:lastRowFirstColumn="0" w:lastRowLastColumn="0"/>
              <w:rPr>
                <w:noProof/>
              </w:rPr>
            </w:pPr>
            <w:r w:rsidRPr="0017374C">
              <w:rPr>
                <w:noProof/>
              </w:rPr>
              <w:t>Initial voted budget</w:t>
            </w:r>
          </w:p>
        </w:tc>
      </w:tr>
      <w:tr w:rsidR="00BE3903" w:rsidRPr="00040D99" w14:paraId="75245EEC" w14:textId="77777777" w:rsidTr="0083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17E507C9" w14:textId="77777777" w:rsidR="00BE3903" w:rsidRPr="0017374C" w:rsidRDefault="00BE3903" w:rsidP="0083214A">
            <w:pPr>
              <w:jc w:val="center"/>
              <w:rPr>
                <w:noProof/>
              </w:rPr>
            </w:pPr>
            <w:r w:rsidRPr="0017374C">
              <w:rPr>
                <w:noProof/>
              </w:rPr>
              <w:t>Commitments</w:t>
            </w:r>
          </w:p>
        </w:tc>
        <w:tc>
          <w:tcPr>
            <w:tcW w:w="2419" w:type="dxa"/>
          </w:tcPr>
          <w:p w14:paraId="48687074" w14:textId="77777777" w:rsidR="00BE3903" w:rsidRPr="0017374C" w:rsidRDefault="00BE3903" w:rsidP="0083214A">
            <w:pPr>
              <w:jc w:val="center"/>
              <w:cnfStyle w:val="000000100000" w:firstRow="0" w:lastRow="0" w:firstColumn="0" w:lastColumn="0" w:oddVBand="0" w:evenVBand="0" w:oddHBand="1" w:evenHBand="0" w:firstRowFirstColumn="0" w:firstRowLastColumn="0" w:lastRowFirstColumn="0" w:lastRowLastColumn="0"/>
              <w:rPr>
                <w:noProof/>
              </w:rPr>
            </w:pPr>
            <w:r w:rsidRPr="004D3144">
              <w:rPr>
                <w:noProof/>
              </w:rPr>
              <w:t>352</w:t>
            </w:r>
            <w:r>
              <w:rPr>
                <w:noProof/>
              </w:rPr>
              <w:t>.</w:t>
            </w:r>
            <w:r w:rsidRPr="004D3144">
              <w:rPr>
                <w:noProof/>
              </w:rPr>
              <w:t>0</w:t>
            </w:r>
          </w:p>
        </w:tc>
        <w:tc>
          <w:tcPr>
            <w:tcW w:w="2420" w:type="dxa"/>
          </w:tcPr>
          <w:p w14:paraId="69AEE216" w14:textId="77777777" w:rsidR="00BE3903" w:rsidRPr="0017374C" w:rsidRDefault="00BE3903" w:rsidP="0083214A">
            <w:pPr>
              <w:jc w:val="center"/>
              <w:cnfStyle w:val="000000100000" w:firstRow="0" w:lastRow="0" w:firstColumn="0" w:lastColumn="0" w:oddVBand="0" w:evenVBand="0" w:oddHBand="1" w:evenHBand="0" w:firstRowFirstColumn="0" w:firstRowLastColumn="0" w:lastRowFirstColumn="0" w:lastRowLastColumn="0"/>
              <w:rPr>
                <w:noProof/>
              </w:rPr>
            </w:pPr>
            <w:r w:rsidRPr="004D3144">
              <w:rPr>
                <w:noProof/>
              </w:rPr>
              <w:t>351</w:t>
            </w:r>
            <w:r>
              <w:rPr>
                <w:noProof/>
              </w:rPr>
              <w:t>.</w:t>
            </w:r>
            <w:r w:rsidRPr="004D3144">
              <w:rPr>
                <w:noProof/>
              </w:rPr>
              <w:t>9</w:t>
            </w:r>
          </w:p>
        </w:tc>
      </w:tr>
      <w:tr w:rsidR="00BE3903" w:rsidRPr="00040D99" w14:paraId="62BEAA9D" w14:textId="77777777" w:rsidTr="00832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0F5A8A62" w14:textId="77777777" w:rsidR="00BE3903" w:rsidRPr="0017374C" w:rsidRDefault="00BE3903" w:rsidP="0083214A">
            <w:pPr>
              <w:jc w:val="center"/>
              <w:rPr>
                <w:noProof/>
              </w:rPr>
            </w:pPr>
            <w:r w:rsidRPr="0017374C">
              <w:rPr>
                <w:noProof/>
              </w:rPr>
              <w:t>Payments</w:t>
            </w:r>
          </w:p>
        </w:tc>
        <w:tc>
          <w:tcPr>
            <w:tcW w:w="2419" w:type="dxa"/>
          </w:tcPr>
          <w:p w14:paraId="1F7B94D1" w14:textId="77777777" w:rsidR="00BE3903" w:rsidRPr="0017374C" w:rsidRDefault="00BE3903" w:rsidP="0083214A">
            <w:pPr>
              <w:jc w:val="center"/>
              <w:cnfStyle w:val="000000010000" w:firstRow="0" w:lastRow="0" w:firstColumn="0" w:lastColumn="0" w:oddVBand="0" w:evenVBand="0" w:oddHBand="0" w:evenHBand="1" w:firstRowFirstColumn="0" w:firstRowLastColumn="0" w:lastRowFirstColumn="0" w:lastRowLastColumn="0"/>
              <w:rPr>
                <w:noProof/>
              </w:rPr>
            </w:pPr>
            <w:r w:rsidRPr="0054509B">
              <w:rPr>
                <w:noProof/>
              </w:rPr>
              <w:t>345</w:t>
            </w:r>
            <w:r>
              <w:rPr>
                <w:noProof/>
              </w:rPr>
              <w:t>.</w:t>
            </w:r>
            <w:r w:rsidRPr="0054509B">
              <w:rPr>
                <w:noProof/>
              </w:rPr>
              <w:t>9</w:t>
            </w:r>
          </w:p>
        </w:tc>
        <w:tc>
          <w:tcPr>
            <w:tcW w:w="2420" w:type="dxa"/>
          </w:tcPr>
          <w:p w14:paraId="6308C6C7" w14:textId="77777777" w:rsidR="00BE3903" w:rsidRPr="0017374C" w:rsidRDefault="00BE3903" w:rsidP="0083214A">
            <w:pPr>
              <w:jc w:val="center"/>
              <w:cnfStyle w:val="000000010000" w:firstRow="0" w:lastRow="0" w:firstColumn="0" w:lastColumn="0" w:oddVBand="0" w:evenVBand="0" w:oddHBand="0" w:evenHBand="1" w:firstRowFirstColumn="0" w:firstRowLastColumn="0" w:lastRowFirstColumn="0" w:lastRowLastColumn="0"/>
              <w:rPr>
                <w:noProof/>
              </w:rPr>
            </w:pPr>
            <w:r w:rsidRPr="0054509B">
              <w:rPr>
                <w:noProof/>
              </w:rPr>
              <w:t>328</w:t>
            </w:r>
            <w:r>
              <w:rPr>
                <w:noProof/>
              </w:rPr>
              <w:t>.</w:t>
            </w:r>
            <w:r w:rsidRPr="0054509B">
              <w:rPr>
                <w:noProof/>
              </w:rPr>
              <w:t>7</w:t>
            </w:r>
          </w:p>
        </w:tc>
      </w:tr>
    </w:tbl>
    <w:p w14:paraId="47A43F92" w14:textId="77777777" w:rsidR="00BE3903" w:rsidRPr="00040D99" w:rsidRDefault="00BE3903" w:rsidP="00BE3903">
      <w:pPr>
        <w:pStyle w:val="ppoListHyphened-L1"/>
        <w:spacing w:before="360"/>
        <w:rPr>
          <w:noProof/>
        </w:rPr>
      </w:pPr>
      <w:r w:rsidRPr="001A2E02">
        <w:rPr>
          <w:noProof/>
        </w:rPr>
        <w:t xml:space="preserve">CFSP </w:t>
      </w:r>
      <w:r>
        <w:rPr>
          <w:noProof/>
        </w:rPr>
        <w:t>a</w:t>
      </w:r>
      <w:r w:rsidRPr="001A2E02">
        <w:rPr>
          <w:noProof/>
        </w:rPr>
        <w:t xml:space="preserve">ctions funded under </w:t>
      </w:r>
      <w:r>
        <w:rPr>
          <w:noProof/>
        </w:rPr>
        <w:t xml:space="preserve">the </w:t>
      </w:r>
      <w:r w:rsidRPr="001A2E02">
        <w:rPr>
          <w:noProof/>
        </w:rPr>
        <w:t xml:space="preserve">2014-2020 </w:t>
      </w:r>
      <w:r>
        <w:rPr>
          <w:noProof/>
        </w:rPr>
        <w:t>multiannual financial framework</w:t>
      </w:r>
      <w:r w:rsidRPr="001A2E02">
        <w:rPr>
          <w:noProof/>
        </w:rPr>
        <w:t xml:space="preserve"> are still being implemented</w:t>
      </w:r>
      <w:r>
        <w:rPr>
          <w:noProof/>
        </w:rPr>
        <w:t>,</w:t>
      </w:r>
      <w:r w:rsidRPr="001A2E02">
        <w:rPr>
          <w:noProof/>
        </w:rPr>
        <w:t xml:space="preserve"> and there is </w:t>
      </w:r>
      <w:r>
        <w:rPr>
          <w:noProof/>
        </w:rPr>
        <w:t xml:space="preserve">a </w:t>
      </w:r>
      <w:r w:rsidRPr="001A2E02">
        <w:rPr>
          <w:noProof/>
        </w:rPr>
        <w:t xml:space="preserve">direct and strong link between the CFSP actions implemented under </w:t>
      </w:r>
      <w:r>
        <w:rPr>
          <w:noProof/>
        </w:rPr>
        <w:t xml:space="preserve">the </w:t>
      </w:r>
      <w:r w:rsidRPr="001A2E02">
        <w:rPr>
          <w:noProof/>
        </w:rPr>
        <w:t xml:space="preserve">2014-2020 </w:t>
      </w:r>
      <w:r>
        <w:rPr>
          <w:noProof/>
        </w:rPr>
        <w:t>multiannual financial framework</w:t>
      </w:r>
      <w:r w:rsidRPr="001A2E02">
        <w:rPr>
          <w:noProof/>
        </w:rPr>
        <w:t xml:space="preserve"> and the new 2021-2027 </w:t>
      </w:r>
      <w:r>
        <w:rPr>
          <w:noProof/>
        </w:rPr>
        <w:t>multiannual financial framework</w:t>
      </w:r>
      <w:r w:rsidRPr="00040D99">
        <w:rPr>
          <w:noProof/>
        </w:rPr>
        <w:t>.</w:t>
      </w:r>
    </w:p>
    <w:p w14:paraId="0327AB85" w14:textId="77777777" w:rsidR="00BE3903" w:rsidRDefault="00BE3903" w:rsidP="00BE3903">
      <w:pPr>
        <w:pStyle w:val="ppoListHyphened-L1"/>
        <w:rPr>
          <w:noProof/>
        </w:rPr>
      </w:pPr>
      <w:bookmarkStart w:id="258" w:name="_Hlk101532132"/>
      <w:r>
        <w:rPr>
          <w:noProof/>
        </w:rPr>
        <w:t>I</w:t>
      </w:r>
      <w:r w:rsidRPr="001A2E02">
        <w:rPr>
          <w:noProof/>
        </w:rPr>
        <w:t xml:space="preserve">n 2021, </w:t>
      </w:r>
      <w:r>
        <w:rPr>
          <w:noProof/>
        </w:rPr>
        <w:t>thanks to a</w:t>
      </w:r>
      <w:r w:rsidRPr="00E72EE8">
        <w:rPr>
          <w:noProof/>
        </w:rPr>
        <w:t xml:space="preserve"> flexible handling of the CFSP budget</w:t>
      </w:r>
      <w:r>
        <w:rPr>
          <w:noProof/>
        </w:rPr>
        <w:t>, the Service for Foreign Policy Instruments</w:t>
      </w:r>
      <w:r w:rsidRPr="001A2E02">
        <w:rPr>
          <w:noProof/>
        </w:rPr>
        <w:t xml:space="preserve"> </w:t>
      </w:r>
      <w:r>
        <w:rPr>
          <w:noProof/>
        </w:rPr>
        <w:t xml:space="preserve">committed </w:t>
      </w:r>
      <w:r w:rsidRPr="001A2E02">
        <w:rPr>
          <w:noProof/>
        </w:rPr>
        <w:t xml:space="preserve">100% of the available appropriations to cover CFSP entities mainly operating </w:t>
      </w:r>
      <w:r>
        <w:rPr>
          <w:noProof/>
        </w:rPr>
        <w:t>through</w:t>
      </w:r>
      <w:r w:rsidRPr="001A2E02">
        <w:rPr>
          <w:noProof/>
        </w:rPr>
        <w:t xml:space="preserve"> indirect management, as </w:t>
      </w:r>
      <w:r>
        <w:rPr>
          <w:noProof/>
        </w:rPr>
        <w:t xml:space="preserve">nominated </w:t>
      </w:r>
      <w:r w:rsidRPr="001A2E02">
        <w:rPr>
          <w:noProof/>
        </w:rPr>
        <w:t>by Member States in the corresponding Counci</w:t>
      </w:r>
      <w:r>
        <w:rPr>
          <w:noProof/>
        </w:rPr>
        <w:t xml:space="preserve">l decisions. </w:t>
      </w:r>
      <w:bookmarkStart w:id="259" w:name="_Hlk101532279"/>
      <w:r>
        <w:rPr>
          <w:noProof/>
        </w:rPr>
        <w:t xml:space="preserve">It managed to do this despite the </w:t>
      </w:r>
      <w:r w:rsidRPr="001A2E02">
        <w:rPr>
          <w:noProof/>
        </w:rPr>
        <w:t>COVID</w:t>
      </w:r>
      <w:r>
        <w:rPr>
          <w:noProof/>
        </w:rPr>
        <w:noBreakHyphen/>
      </w:r>
      <w:r w:rsidRPr="001A2E02">
        <w:rPr>
          <w:noProof/>
        </w:rPr>
        <w:t>19 pandemic</w:t>
      </w:r>
      <w:r>
        <w:rPr>
          <w:noProof/>
        </w:rPr>
        <w:t>, which</w:t>
      </w:r>
      <w:r w:rsidRPr="001A2E02">
        <w:rPr>
          <w:noProof/>
        </w:rPr>
        <w:t xml:space="preserve"> affected </w:t>
      </w:r>
      <w:r>
        <w:rPr>
          <w:noProof/>
        </w:rPr>
        <w:t xml:space="preserve">the </w:t>
      </w:r>
      <w:r w:rsidRPr="001A2E02">
        <w:rPr>
          <w:noProof/>
        </w:rPr>
        <w:t xml:space="preserve">planning, decision-making and implementation of the mandates of civilian </w:t>
      </w:r>
      <w:r>
        <w:rPr>
          <w:noProof/>
        </w:rPr>
        <w:t>common security and defence policy</w:t>
      </w:r>
      <w:r w:rsidRPr="001A2E02">
        <w:rPr>
          <w:noProof/>
        </w:rPr>
        <w:t xml:space="preserve"> </w:t>
      </w:r>
      <w:r>
        <w:rPr>
          <w:noProof/>
        </w:rPr>
        <w:t>m</w:t>
      </w:r>
      <w:r w:rsidRPr="001A2E02">
        <w:rPr>
          <w:noProof/>
        </w:rPr>
        <w:t>issions</w:t>
      </w:r>
      <w:bookmarkEnd w:id="258"/>
      <w:r w:rsidRPr="00040D99">
        <w:rPr>
          <w:noProof/>
        </w:rPr>
        <w:t>.</w:t>
      </w:r>
      <w:bookmarkEnd w:id="259"/>
    </w:p>
    <w:p w14:paraId="23EBBAE0" w14:textId="77777777" w:rsidR="00BE3903" w:rsidRPr="00040D99" w:rsidRDefault="00BE3903" w:rsidP="00BE3903">
      <w:pPr>
        <w:pStyle w:val="ppoListHyphened-L1"/>
        <w:rPr>
          <w:noProof/>
        </w:rPr>
      </w:pPr>
      <w:r>
        <w:rPr>
          <w:noProof/>
        </w:rPr>
        <w:t xml:space="preserve">However, the Commission had to implement mitigating measures due to the mismatch of political ambitions of Member States and the availability of CFSP funds. </w:t>
      </w:r>
      <w:bookmarkStart w:id="260" w:name="_Hlk101530014"/>
      <w:r>
        <w:rPr>
          <w:noProof/>
        </w:rPr>
        <w:t xml:space="preserve">This involved splitting commitments for the first year of the mandates of the missions in Kosovo and Libya and of the </w:t>
      </w:r>
      <w:r w:rsidRPr="0068128E">
        <w:rPr>
          <w:noProof/>
        </w:rPr>
        <w:t xml:space="preserve">Kosovo </w:t>
      </w:r>
      <w:r>
        <w:rPr>
          <w:noProof/>
        </w:rPr>
        <w:t xml:space="preserve">Specialist </w:t>
      </w:r>
      <w:r w:rsidRPr="0068128E">
        <w:rPr>
          <w:noProof/>
        </w:rPr>
        <w:t>Chambers</w:t>
      </w:r>
      <w:r>
        <w:rPr>
          <w:noProof/>
        </w:rPr>
        <w:t xml:space="preserve"> between the 2021 and 2022 budget years</w:t>
      </w:r>
      <w:bookmarkEnd w:id="260"/>
      <w:r>
        <w:rPr>
          <w:noProof/>
        </w:rPr>
        <w:t>.</w:t>
      </w:r>
    </w:p>
    <w:p w14:paraId="256CE7A4" w14:textId="77777777" w:rsidR="00BE3903" w:rsidRPr="00040D99" w:rsidRDefault="00BE3903" w:rsidP="00BE3903">
      <w:pPr>
        <w:pStyle w:val="ppoListHyphened-L1"/>
        <w:rPr>
          <w:noProof/>
        </w:rPr>
      </w:pPr>
      <w:r w:rsidRPr="00447D4A">
        <w:rPr>
          <w:noProof/>
        </w:rPr>
        <w:t xml:space="preserve">Despite the significant challenges, all </w:t>
      </w:r>
      <w:r>
        <w:rPr>
          <w:noProof/>
        </w:rPr>
        <w:t>m</w:t>
      </w:r>
      <w:r w:rsidRPr="00447D4A">
        <w:rPr>
          <w:noProof/>
        </w:rPr>
        <w:t>issions have remained operational throughout the pandemic</w:t>
      </w:r>
      <w:r>
        <w:rPr>
          <w:noProof/>
        </w:rPr>
        <w:t>. However,</w:t>
      </w:r>
      <w:r w:rsidRPr="00447D4A">
        <w:rPr>
          <w:noProof/>
        </w:rPr>
        <w:t xml:space="preserve"> </w:t>
      </w:r>
      <w:r>
        <w:rPr>
          <w:noProof/>
        </w:rPr>
        <w:t>t</w:t>
      </w:r>
      <w:r w:rsidRPr="00447D4A">
        <w:rPr>
          <w:noProof/>
        </w:rPr>
        <w:t>he</w:t>
      </w:r>
      <w:r>
        <w:rPr>
          <w:noProof/>
        </w:rPr>
        <w:t>re is a</w:t>
      </w:r>
      <w:r w:rsidRPr="00447D4A">
        <w:rPr>
          <w:noProof/>
        </w:rPr>
        <w:t xml:space="preserve"> systematic trend of budget under-consumption</w:t>
      </w:r>
      <w:r w:rsidRPr="006C6B8D">
        <w:rPr>
          <w:noProof/>
        </w:rPr>
        <w:t xml:space="preserve"> </w:t>
      </w:r>
      <w:r w:rsidRPr="00447D4A">
        <w:rPr>
          <w:noProof/>
        </w:rPr>
        <w:t xml:space="preserve">by the civilian </w:t>
      </w:r>
      <w:r>
        <w:rPr>
          <w:noProof/>
        </w:rPr>
        <w:t>common security and defence policy</w:t>
      </w:r>
      <w:r w:rsidDel="00564690">
        <w:rPr>
          <w:noProof/>
        </w:rPr>
        <w:t xml:space="preserve"> </w:t>
      </w:r>
      <w:r>
        <w:rPr>
          <w:noProof/>
        </w:rPr>
        <w:t>m</w:t>
      </w:r>
      <w:r w:rsidRPr="00447D4A">
        <w:rPr>
          <w:noProof/>
        </w:rPr>
        <w:t>issions</w:t>
      </w:r>
      <w:r>
        <w:rPr>
          <w:noProof/>
        </w:rPr>
        <w:t xml:space="preserve"> due </w:t>
      </w:r>
      <w:r w:rsidRPr="00447D4A">
        <w:rPr>
          <w:noProof/>
        </w:rPr>
        <w:t>to a lack of absorption capacity and realistic budget planning</w:t>
      </w:r>
      <w:r>
        <w:rPr>
          <w:noProof/>
        </w:rPr>
        <w:t>. This gap could</w:t>
      </w:r>
      <w:r w:rsidRPr="00447D4A">
        <w:rPr>
          <w:noProof/>
        </w:rPr>
        <w:t xml:space="preserve"> </w:t>
      </w:r>
      <w:r>
        <w:rPr>
          <w:noProof/>
        </w:rPr>
        <w:t xml:space="preserve">further </w:t>
      </w:r>
      <w:r w:rsidRPr="00447D4A">
        <w:rPr>
          <w:noProof/>
        </w:rPr>
        <w:t xml:space="preserve">increase </w:t>
      </w:r>
      <w:r>
        <w:rPr>
          <w:noProof/>
        </w:rPr>
        <w:t>as the pandemic continues</w:t>
      </w:r>
      <w:r w:rsidRPr="001A2E02">
        <w:rPr>
          <w:noProof/>
        </w:rPr>
        <w:t>.</w:t>
      </w:r>
    </w:p>
    <w:p w14:paraId="5DFF34E6" w14:textId="77777777" w:rsidR="00BE3903" w:rsidRPr="00040D99" w:rsidRDefault="00BE3903" w:rsidP="00BE3903">
      <w:pPr>
        <w:pStyle w:val="ppoHeading5"/>
        <w:rPr>
          <w:noProof/>
        </w:rPr>
      </w:pPr>
      <w:r w:rsidRPr="00040D99">
        <w:rPr>
          <w:noProof/>
        </w:rPr>
        <w:t>Contribution to horizontal priorities</w:t>
      </w:r>
    </w:p>
    <w:p w14:paraId="229D4FD8" w14:textId="77777777" w:rsidR="00BE3903" w:rsidRPr="00040D99" w:rsidRDefault="00BE3903" w:rsidP="00BE3903">
      <w:pPr>
        <w:pStyle w:val="ppoTableTabletitle"/>
        <w:rPr>
          <w:noProof/>
        </w:rPr>
      </w:pPr>
      <w:r w:rsidRPr="00040D99">
        <w:rPr>
          <w:noProof/>
        </w:rPr>
        <w:t>EU budget contribution in 2021</w:t>
      </w:r>
      <w:r>
        <w:rPr>
          <w:noProof/>
        </w:rPr>
        <w:t xml:space="preserve"> (EUR million):</w:t>
      </w:r>
    </w:p>
    <w:tbl>
      <w:tblPr>
        <w:tblStyle w:val="PPO2021"/>
        <w:tblW w:w="9639" w:type="dxa"/>
        <w:tblInd w:w="0" w:type="dxa"/>
        <w:tblLook w:val="0420" w:firstRow="1" w:lastRow="0" w:firstColumn="0" w:lastColumn="0" w:noHBand="0" w:noVBand="1"/>
      </w:tblPr>
      <w:tblGrid>
        <w:gridCol w:w="3213"/>
        <w:gridCol w:w="3213"/>
        <w:gridCol w:w="3213"/>
      </w:tblGrid>
      <w:tr w:rsidR="00BE3903" w:rsidRPr="00040D99" w14:paraId="1E11827D" w14:textId="77777777" w:rsidTr="0083214A">
        <w:trPr>
          <w:cnfStyle w:val="100000000000" w:firstRow="1" w:lastRow="0" w:firstColumn="0" w:lastColumn="0" w:oddVBand="0" w:evenVBand="0" w:oddHBand="0" w:evenHBand="0" w:firstRowFirstColumn="0" w:firstRowLastColumn="0" w:lastRowFirstColumn="0" w:lastRowLastColumn="0"/>
          <w:tblHeader/>
        </w:trPr>
        <w:tc>
          <w:tcPr>
            <w:tcW w:w="3213" w:type="dxa"/>
          </w:tcPr>
          <w:p w14:paraId="080CE7B7" w14:textId="77777777" w:rsidR="00BE3903" w:rsidRPr="00BD731A" w:rsidRDefault="00BE3903" w:rsidP="0083214A">
            <w:pPr>
              <w:rPr>
                <w:noProof/>
              </w:rPr>
            </w:pPr>
            <w:r w:rsidRPr="00BD731A">
              <w:rPr>
                <w:noProof/>
              </w:rPr>
              <w:t>Climate</w:t>
            </w:r>
          </w:p>
        </w:tc>
        <w:tc>
          <w:tcPr>
            <w:tcW w:w="3213" w:type="dxa"/>
          </w:tcPr>
          <w:p w14:paraId="72220D93" w14:textId="77777777" w:rsidR="00BE3903" w:rsidRPr="00BD731A" w:rsidRDefault="00BE3903" w:rsidP="0083214A">
            <w:pPr>
              <w:rPr>
                <w:noProof/>
              </w:rPr>
            </w:pPr>
            <w:r w:rsidRPr="00BD731A">
              <w:rPr>
                <w:noProof/>
              </w:rPr>
              <w:t>Biodiversity</w:t>
            </w:r>
          </w:p>
        </w:tc>
        <w:tc>
          <w:tcPr>
            <w:tcW w:w="3213" w:type="dxa"/>
          </w:tcPr>
          <w:p w14:paraId="1F6FC627" w14:textId="77777777" w:rsidR="00BE3903" w:rsidRPr="00BD731A" w:rsidRDefault="00BE3903" w:rsidP="0083214A">
            <w:pPr>
              <w:rPr>
                <w:noProof/>
              </w:rPr>
            </w:pPr>
            <w:r w:rsidRPr="00BD731A">
              <w:rPr>
                <w:noProof/>
              </w:rPr>
              <w:t>Gender equality</w:t>
            </w:r>
            <w:r>
              <w:rPr>
                <w:rFonts w:ascii="Calibri" w:hAnsi="Calibri" w:cs="Calibri"/>
                <w:noProof/>
              </w:rPr>
              <w:t> </w:t>
            </w:r>
            <w:r>
              <w:rPr>
                <w:noProof/>
              </w:rPr>
              <w:t>(*)</w:t>
            </w:r>
          </w:p>
        </w:tc>
      </w:tr>
      <w:tr w:rsidR="00BE3903" w:rsidRPr="00040D99" w14:paraId="38A78B96" w14:textId="77777777" w:rsidTr="0083214A">
        <w:trPr>
          <w:cnfStyle w:val="000000100000" w:firstRow="0" w:lastRow="0" w:firstColumn="0" w:lastColumn="0" w:oddVBand="0" w:evenVBand="0" w:oddHBand="1" w:evenHBand="0" w:firstRowFirstColumn="0" w:firstRowLastColumn="0" w:lastRowFirstColumn="0" w:lastRowLastColumn="0"/>
        </w:trPr>
        <w:tc>
          <w:tcPr>
            <w:tcW w:w="3213" w:type="dxa"/>
          </w:tcPr>
          <w:p w14:paraId="20C7B15B" w14:textId="77777777" w:rsidR="00BE3903" w:rsidRPr="00BD731A" w:rsidRDefault="00BE3903" w:rsidP="0083214A">
            <w:pPr>
              <w:jc w:val="center"/>
              <w:rPr>
                <w:noProof/>
              </w:rPr>
            </w:pPr>
            <w:r>
              <w:rPr>
                <w:noProof/>
              </w:rPr>
              <w:t>0</w:t>
            </w:r>
          </w:p>
        </w:tc>
        <w:tc>
          <w:tcPr>
            <w:tcW w:w="3213" w:type="dxa"/>
          </w:tcPr>
          <w:p w14:paraId="27EBAF86" w14:textId="77777777" w:rsidR="00BE3903" w:rsidRPr="00BD731A" w:rsidRDefault="00BE3903" w:rsidP="0083214A">
            <w:pPr>
              <w:jc w:val="center"/>
              <w:rPr>
                <w:noProof/>
              </w:rPr>
            </w:pPr>
            <w:r>
              <w:rPr>
                <w:noProof/>
              </w:rPr>
              <w:t>0</w:t>
            </w:r>
          </w:p>
        </w:tc>
        <w:tc>
          <w:tcPr>
            <w:tcW w:w="3213" w:type="dxa"/>
          </w:tcPr>
          <w:p w14:paraId="17B97BC1" w14:textId="77777777" w:rsidR="00BE3903" w:rsidRDefault="00BE3903" w:rsidP="0083214A">
            <w:pPr>
              <w:jc w:val="center"/>
              <w:rPr>
                <w:noProof/>
              </w:rPr>
            </w:pPr>
            <w:r>
              <w:rPr>
                <w:noProof/>
              </w:rPr>
              <w:t>Score</w:t>
            </w:r>
            <w:r>
              <w:rPr>
                <w:rFonts w:ascii="Calibri" w:hAnsi="Calibri" w:cs="Calibri"/>
                <w:noProof/>
              </w:rPr>
              <w:t> </w:t>
            </w:r>
            <w:r>
              <w:rPr>
                <w:noProof/>
              </w:rPr>
              <w:t>2: 15</w:t>
            </w:r>
          </w:p>
          <w:p w14:paraId="41CD46F2" w14:textId="77777777" w:rsidR="00BE3903" w:rsidRDefault="00BE3903" w:rsidP="0083214A">
            <w:pPr>
              <w:jc w:val="center"/>
              <w:rPr>
                <w:noProof/>
              </w:rPr>
            </w:pPr>
            <w:r>
              <w:rPr>
                <w:noProof/>
              </w:rPr>
              <w:t>Score</w:t>
            </w:r>
            <w:r>
              <w:rPr>
                <w:rFonts w:ascii="Calibri" w:hAnsi="Calibri" w:cs="Calibri"/>
                <w:noProof/>
              </w:rPr>
              <w:t> </w:t>
            </w:r>
            <w:r>
              <w:rPr>
                <w:noProof/>
              </w:rPr>
              <w:t>1: 284</w:t>
            </w:r>
          </w:p>
          <w:p w14:paraId="7B2795B7" w14:textId="77777777" w:rsidR="00BE3903" w:rsidRPr="00BD731A" w:rsidRDefault="00BE3903" w:rsidP="0083214A">
            <w:pPr>
              <w:jc w:val="center"/>
              <w:rPr>
                <w:noProof/>
              </w:rPr>
            </w:pPr>
            <w:r w:rsidRPr="00163231">
              <w:rPr>
                <w:noProof/>
              </w:rPr>
              <w:t>Score</w:t>
            </w:r>
            <w:r>
              <w:rPr>
                <w:rFonts w:ascii="Calibri" w:hAnsi="Calibri" w:cs="Calibri"/>
                <w:noProof/>
              </w:rPr>
              <w:t> </w:t>
            </w:r>
            <w:r w:rsidRPr="00163231">
              <w:rPr>
                <w:noProof/>
              </w:rPr>
              <w:t>0: 53</w:t>
            </w:r>
          </w:p>
        </w:tc>
      </w:tr>
    </w:tbl>
    <w:p w14:paraId="0EA2C7F2" w14:textId="77777777" w:rsidR="00BE3903" w:rsidRPr="00982726" w:rsidRDefault="00BE3903" w:rsidP="00BE3903">
      <w:pPr>
        <w:pStyle w:val="FootnoteText"/>
        <w:rPr>
          <w:noProof/>
        </w:rPr>
      </w:pPr>
      <w:r>
        <w:rPr>
          <w:noProof/>
        </w:rPr>
        <w:t>(*)</w:t>
      </w:r>
      <w:r>
        <w:rPr>
          <w:noProof/>
        </w:rPr>
        <w:tab/>
      </w:r>
      <w:r w:rsidRPr="00982726">
        <w:rPr>
          <w:noProof/>
        </w:rPr>
        <w:t xml:space="preserve">Based on the </w:t>
      </w:r>
      <w:r>
        <w:rPr>
          <w:noProof/>
        </w:rPr>
        <w:t xml:space="preserve">applied gender contribution </w:t>
      </w:r>
      <w:r w:rsidRPr="00982726">
        <w:rPr>
          <w:noProof/>
        </w:rPr>
        <w:t>methodology</w:t>
      </w:r>
      <w:r>
        <w:rPr>
          <w:noProof/>
        </w:rPr>
        <w:t>,</w:t>
      </w:r>
      <w:r w:rsidRPr="00982726">
        <w:rPr>
          <w:noProof/>
        </w:rPr>
        <w:t xml:space="preserve"> the following scores are attributed at the most granular level of intervention possible:</w:t>
      </w:r>
    </w:p>
    <w:p w14:paraId="15DD4936" w14:textId="77777777" w:rsidR="00BE3903" w:rsidRPr="00982726" w:rsidRDefault="00BE3903" w:rsidP="00BE3903">
      <w:pPr>
        <w:pStyle w:val="FootnoteText"/>
        <w:numPr>
          <w:ilvl w:val="0"/>
          <w:numId w:val="38"/>
        </w:numPr>
        <w:spacing w:after="60" w:line="264" w:lineRule="auto"/>
        <w:jc w:val="left"/>
        <w:rPr>
          <w:noProof/>
        </w:rPr>
      </w:pPr>
      <w:r>
        <w:rPr>
          <w:noProof/>
        </w:rPr>
        <w:t>2:</w:t>
      </w:r>
      <w:r w:rsidRPr="00982726">
        <w:rPr>
          <w:noProof/>
        </w:rPr>
        <w:t xml:space="preserve"> </w:t>
      </w:r>
      <w:r>
        <w:rPr>
          <w:noProof/>
        </w:rPr>
        <w:t>i</w:t>
      </w:r>
      <w:r w:rsidRPr="00982726">
        <w:rPr>
          <w:noProof/>
        </w:rPr>
        <w:t xml:space="preserve">nterventions </w:t>
      </w:r>
      <w:r>
        <w:rPr>
          <w:noProof/>
        </w:rPr>
        <w:t>the</w:t>
      </w:r>
      <w:r w:rsidRPr="00982726">
        <w:rPr>
          <w:noProof/>
        </w:rPr>
        <w:t xml:space="preserve"> principal objective </w:t>
      </w:r>
      <w:r>
        <w:rPr>
          <w:noProof/>
        </w:rPr>
        <w:t xml:space="preserve">of which </w:t>
      </w:r>
      <w:r w:rsidRPr="00982726">
        <w:rPr>
          <w:noProof/>
        </w:rPr>
        <w:t>is to improve gender equality;</w:t>
      </w:r>
    </w:p>
    <w:p w14:paraId="654E5C3B" w14:textId="77777777" w:rsidR="00BE3903" w:rsidRPr="00982726" w:rsidRDefault="00BE3903" w:rsidP="00BE3903">
      <w:pPr>
        <w:pStyle w:val="FootnoteText"/>
        <w:numPr>
          <w:ilvl w:val="0"/>
          <w:numId w:val="38"/>
        </w:numPr>
        <w:spacing w:after="60" w:line="264" w:lineRule="auto"/>
        <w:jc w:val="left"/>
        <w:rPr>
          <w:noProof/>
        </w:rPr>
      </w:pPr>
      <w:r>
        <w:rPr>
          <w:noProof/>
        </w:rPr>
        <w:t>1:</w:t>
      </w:r>
      <w:r w:rsidRPr="00982726">
        <w:rPr>
          <w:noProof/>
        </w:rPr>
        <w:t xml:space="preserve"> </w:t>
      </w:r>
      <w:r>
        <w:rPr>
          <w:noProof/>
        </w:rPr>
        <w:t>i</w:t>
      </w:r>
      <w:r w:rsidRPr="00982726">
        <w:rPr>
          <w:noProof/>
        </w:rPr>
        <w:t xml:space="preserve">nterventions </w:t>
      </w:r>
      <w:r>
        <w:rPr>
          <w:noProof/>
        </w:rPr>
        <w:t>that have</w:t>
      </w:r>
      <w:r w:rsidRPr="00982726">
        <w:rPr>
          <w:noProof/>
        </w:rPr>
        <w:t xml:space="preserve"> gender equality as an important and deliberate objective but not as the main reason for the intervention;</w:t>
      </w:r>
    </w:p>
    <w:p w14:paraId="0A352572" w14:textId="77777777" w:rsidR="00BE3903" w:rsidRPr="00982726" w:rsidRDefault="00BE3903" w:rsidP="00BE3903">
      <w:pPr>
        <w:pStyle w:val="FootnoteText"/>
        <w:numPr>
          <w:ilvl w:val="0"/>
          <w:numId w:val="38"/>
        </w:numPr>
        <w:spacing w:after="60" w:line="264" w:lineRule="auto"/>
        <w:jc w:val="left"/>
        <w:rPr>
          <w:noProof/>
        </w:rPr>
      </w:pPr>
      <w:r>
        <w:rPr>
          <w:noProof/>
        </w:rPr>
        <w:t>0:</w:t>
      </w:r>
      <w:r w:rsidRPr="00982726">
        <w:rPr>
          <w:noProof/>
        </w:rPr>
        <w:t xml:space="preserve"> </w:t>
      </w:r>
      <w:r>
        <w:rPr>
          <w:noProof/>
        </w:rPr>
        <w:t>n</w:t>
      </w:r>
      <w:r w:rsidRPr="00982726">
        <w:rPr>
          <w:noProof/>
        </w:rPr>
        <w:t>o</w:t>
      </w:r>
      <w:r>
        <w:rPr>
          <w:noProof/>
        </w:rPr>
        <w:t>n-</w:t>
      </w:r>
      <w:r w:rsidRPr="00982726">
        <w:rPr>
          <w:noProof/>
        </w:rPr>
        <w:t>targeted interventions</w:t>
      </w:r>
      <w:r>
        <w:rPr>
          <w:noProof/>
        </w:rPr>
        <w:t>;</w:t>
      </w:r>
    </w:p>
    <w:p w14:paraId="33EA2A02" w14:textId="77777777" w:rsidR="00BE3903" w:rsidRPr="00982726" w:rsidRDefault="00BE3903" w:rsidP="00BE3903">
      <w:pPr>
        <w:pStyle w:val="FootnoteText"/>
        <w:numPr>
          <w:ilvl w:val="0"/>
          <w:numId w:val="38"/>
        </w:numPr>
        <w:spacing w:after="60" w:line="264" w:lineRule="auto"/>
        <w:jc w:val="left"/>
        <w:rPr>
          <w:noProof/>
        </w:rPr>
      </w:pPr>
      <w:r>
        <w:rPr>
          <w:noProof/>
        </w:rPr>
        <w:t>0*:</w:t>
      </w:r>
      <w:r w:rsidRPr="00982726">
        <w:rPr>
          <w:noProof/>
        </w:rPr>
        <w:t xml:space="preserve"> </w:t>
      </w:r>
      <w:r>
        <w:rPr>
          <w:noProof/>
        </w:rPr>
        <w:t>s</w:t>
      </w:r>
      <w:r w:rsidRPr="00982726">
        <w:rPr>
          <w:noProof/>
        </w:rPr>
        <w:t xml:space="preserve">core to be assigned to interventions with </w:t>
      </w:r>
      <w:r>
        <w:rPr>
          <w:noProof/>
        </w:rPr>
        <w:t xml:space="preserve">a </w:t>
      </w:r>
      <w:r w:rsidRPr="00982726">
        <w:rPr>
          <w:noProof/>
        </w:rPr>
        <w:t>likely but not yet clear positive impact on gender equality.</w:t>
      </w:r>
    </w:p>
    <w:p w14:paraId="395A4CEB" w14:textId="77777777" w:rsidR="00BE3903" w:rsidRDefault="00BE3903" w:rsidP="00BE3903">
      <w:pPr>
        <w:pStyle w:val="ppoHeading5"/>
        <w:rPr>
          <w:noProof/>
        </w:rPr>
      </w:pPr>
      <w:r w:rsidRPr="00040D99">
        <w:rPr>
          <w:noProof/>
        </w:rPr>
        <w:t>Performance assessment</w:t>
      </w:r>
    </w:p>
    <w:p w14:paraId="5845A411" w14:textId="77777777" w:rsidR="00BE3903" w:rsidRPr="00040D99" w:rsidRDefault="00BE3903" w:rsidP="00BE3903">
      <w:pPr>
        <w:pStyle w:val="ppoHeading6"/>
        <w:rPr>
          <w:noProof/>
        </w:rPr>
      </w:pPr>
      <w:r w:rsidRPr="00040D99">
        <w:rPr>
          <w:noProof/>
        </w:rPr>
        <w:t>Key performance indicators</w:t>
      </w:r>
    </w:p>
    <w:tbl>
      <w:tblPr>
        <w:tblStyle w:val="PPO2021"/>
        <w:tblW w:w="9645" w:type="dxa"/>
        <w:tblInd w:w="0" w:type="dxa"/>
        <w:tblLook w:val="0420" w:firstRow="1" w:lastRow="0" w:firstColumn="0" w:lastColumn="0" w:noHBand="0" w:noVBand="1"/>
      </w:tblPr>
      <w:tblGrid>
        <w:gridCol w:w="2330"/>
        <w:gridCol w:w="1100"/>
        <w:gridCol w:w="1532"/>
        <w:gridCol w:w="1532"/>
        <w:gridCol w:w="1572"/>
        <w:gridCol w:w="1579"/>
      </w:tblGrid>
      <w:tr w:rsidR="00BE3903" w:rsidRPr="00AC11E4" w14:paraId="0826D278" w14:textId="77777777" w:rsidTr="0083214A">
        <w:trPr>
          <w:cnfStyle w:val="100000000000" w:firstRow="1" w:lastRow="0" w:firstColumn="0" w:lastColumn="0" w:oddVBand="0" w:evenVBand="0" w:oddHBand="0" w:evenHBand="0" w:firstRowFirstColumn="0" w:firstRowLastColumn="0" w:lastRowFirstColumn="0" w:lastRowLastColumn="0"/>
        </w:trPr>
        <w:tc>
          <w:tcPr>
            <w:tcW w:w="2330" w:type="dxa"/>
          </w:tcPr>
          <w:p w14:paraId="02B41212" w14:textId="77777777" w:rsidR="00BE3903" w:rsidRPr="00884C9A" w:rsidRDefault="00BE3903" w:rsidP="0083214A">
            <w:pPr>
              <w:rPr>
                <w:noProof/>
              </w:rPr>
            </w:pPr>
          </w:p>
        </w:tc>
        <w:tc>
          <w:tcPr>
            <w:tcW w:w="1100" w:type="dxa"/>
          </w:tcPr>
          <w:p w14:paraId="5125F39C" w14:textId="77777777" w:rsidR="00BE3903" w:rsidRPr="00884C9A" w:rsidRDefault="00BE3903" w:rsidP="0083214A">
            <w:pPr>
              <w:rPr>
                <w:noProof/>
              </w:rPr>
            </w:pPr>
            <w:r w:rsidRPr="00884C9A">
              <w:rPr>
                <w:noProof/>
              </w:rPr>
              <w:t>Baseline</w:t>
            </w:r>
          </w:p>
        </w:tc>
        <w:tc>
          <w:tcPr>
            <w:tcW w:w="1532" w:type="dxa"/>
          </w:tcPr>
          <w:p w14:paraId="37FF94EC" w14:textId="77777777" w:rsidR="00BE3903" w:rsidRDefault="00BE3903" w:rsidP="0083214A">
            <w:pPr>
              <w:rPr>
                <w:noProof/>
              </w:rPr>
            </w:pPr>
            <w:r w:rsidRPr="00884C9A">
              <w:rPr>
                <w:noProof/>
              </w:rPr>
              <w:t>Progress</w:t>
            </w:r>
            <w:r>
              <w:rPr>
                <w:noProof/>
              </w:rPr>
              <w:t xml:space="preserve"> (*)</w:t>
            </w:r>
          </w:p>
        </w:tc>
        <w:tc>
          <w:tcPr>
            <w:tcW w:w="1532" w:type="dxa"/>
          </w:tcPr>
          <w:p w14:paraId="6300E5C4" w14:textId="77777777" w:rsidR="00BE3903" w:rsidRPr="00884C9A" w:rsidRDefault="00BE3903" w:rsidP="0083214A">
            <w:pPr>
              <w:rPr>
                <w:noProof/>
              </w:rPr>
            </w:pPr>
            <w:r w:rsidRPr="00884C9A">
              <w:rPr>
                <w:noProof/>
              </w:rPr>
              <w:t>Target</w:t>
            </w:r>
          </w:p>
        </w:tc>
        <w:tc>
          <w:tcPr>
            <w:tcW w:w="1572" w:type="dxa"/>
          </w:tcPr>
          <w:p w14:paraId="347B8DB6" w14:textId="77777777" w:rsidR="00BE3903" w:rsidRPr="00884C9A" w:rsidRDefault="00BE3903" w:rsidP="0083214A">
            <w:pPr>
              <w:rPr>
                <w:noProof/>
              </w:rPr>
            </w:pPr>
            <w:r w:rsidRPr="00884C9A">
              <w:rPr>
                <w:noProof/>
              </w:rPr>
              <w:t>Results</w:t>
            </w:r>
          </w:p>
        </w:tc>
        <w:tc>
          <w:tcPr>
            <w:tcW w:w="1579" w:type="dxa"/>
          </w:tcPr>
          <w:p w14:paraId="02F83C1D" w14:textId="77777777" w:rsidR="00BE3903" w:rsidRPr="00884C9A" w:rsidRDefault="00BE3903" w:rsidP="0083214A">
            <w:pPr>
              <w:rPr>
                <w:noProof/>
              </w:rPr>
            </w:pPr>
            <w:r w:rsidRPr="00884C9A">
              <w:rPr>
                <w:noProof/>
              </w:rPr>
              <w:t>Assessment</w:t>
            </w:r>
          </w:p>
        </w:tc>
      </w:tr>
      <w:tr w:rsidR="00BE3903" w:rsidRPr="00AC11E4" w14:paraId="52DCD95D"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54650655" w14:textId="77777777" w:rsidR="00BE3903" w:rsidRPr="00884C9A" w:rsidRDefault="00BE3903" w:rsidP="0083214A">
            <w:pPr>
              <w:rPr>
                <w:noProof/>
              </w:rPr>
            </w:pPr>
            <w:r>
              <w:rPr>
                <w:noProof/>
              </w:rPr>
              <w:t>Percentage of contribution agreements with EU special representatives and common security and defence policy</w:t>
            </w:r>
            <w:r w:rsidDel="00564690">
              <w:rPr>
                <w:noProof/>
              </w:rPr>
              <w:t xml:space="preserve"> </w:t>
            </w:r>
            <w:r>
              <w:rPr>
                <w:noProof/>
              </w:rPr>
              <w:t>missions signed within 4</w:t>
            </w:r>
            <w:r>
              <w:rPr>
                <w:rFonts w:ascii="Calibri" w:hAnsi="Calibri" w:cs="Calibri"/>
                <w:noProof/>
              </w:rPr>
              <w:t> </w:t>
            </w:r>
            <w:r>
              <w:rPr>
                <w:noProof/>
              </w:rPr>
              <w:t>weeks after the adoption of the Council decision</w:t>
            </w:r>
          </w:p>
        </w:tc>
        <w:tc>
          <w:tcPr>
            <w:tcW w:w="1100" w:type="dxa"/>
          </w:tcPr>
          <w:p w14:paraId="42B0D950" w14:textId="77777777" w:rsidR="00BE3903" w:rsidRPr="00884C9A" w:rsidRDefault="00BE3903" w:rsidP="0083214A">
            <w:pPr>
              <w:jc w:val="center"/>
              <w:rPr>
                <w:noProof/>
              </w:rPr>
            </w:pPr>
            <w:r>
              <w:rPr>
                <w:noProof/>
              </w:rPr>
              <w:t>0</w:t>
            </w:r>
          </w:p>
        </w:tc>
        <w:tc>
          <w:tcPr>
            <w:tcW w:w="1532" w:type="dxa"/>
          </w:tcPr>
          <w:p w14:paraId="158DB8F1" w14:textId="77777777" w:rsidR="00BE3903" w:rsidRPr="008723F8" w:rsidRDefault="00BE3903" w:rsidP="0083214A">
            <w:pPr>
              <w:jc w:val="center"/>
              <w:rPr>
                <w:b/>
                <w:noProof/>
              </w:rPr>
            </w:pPr>
            <w:r w:rsidRPr="008723F8">
              <w:rPr>
                <w:b/>
                <w:noProof/>
              </w:rPr>
              <w:t>0%</w:t>
            </w:r>
          </w:p>
        </w:tc>
        <w:tc>
          <w:tcPr>
            <w:tcW w:w="1532" w:type="dxa"/>
          </w:tcPr>
          <w:p w14:paraId="78FCB815" w14:textId="77777777" w:rsidR="00BE3903" w:rsidRPr="002619B4" w:rsidRDefault="00BE3903" w:rsidP="0083214A">
            <w:pPr>
              <w:jc w:val="center"/>
              <w:rPr>
                <w:noProof/>
              </w:rPr>
            </w:pPr>
            <w:r w:rsidRPr="002619B4">
              <w:rPr>
                <w:noProof/>
              </w:rPr>
              <w:t xml:space="preserve">95% annually from 2025 </w:t>
            </w:r>
          </w:p>
        </w:tc>
        <w:tc>
          <w:tcPr>
            <w:tcW w:w="1572" w:type="dxa"/>
          </w:tcPr>
          <w:p w14:paraId="122F0939" w14:textId="77777777" w:rsidR="00BE3903" w:rsidRPr="002619B4" w:rsidRDefault="00BE3903" w:rsidP="0083214A">
            <w:pPr>
              <w:jc w:val="center"/>
              <w:rPr>
                <w:noProof/>
              </w:rPr>
            </w:pPr>
            <w:r>
              <w:rPr>
                <w:noProof/>
              </w:rPr>
              <w:t>Milestone not achieved in 2021. 81.3% compared to a milestone of 88.0%.</w:t>
            </w:r>
          </w:p>
        </w:tc>
        <w:tc>
          <w:tcPr>
            <w:tcW w:w="1579" w:type="dxa"/>
          </w:tcPr>
          <w:p w14:paraId="31819278" w14:textId="77777777" w:rsidR="00BE3903" w:rsidRPr="00884C9A" w:rsidRDefault="00BE3903" w:rsidP="0083214A">
            <w:pPr>
              <w:jc w:val="center"/>
              <w:rPr>
                <w:noProof/>
              </w:rPr>
            </w:pPr>
            <w:r>
              <w:rPr>
                <w:noProof/>
              </w:rPr>
              <w:t>Moderate progress</w:t>
            </w:r>
          </w:p>
        </w:tc>
      </w:tr>
      <w:tr w:rsidR="00BE3903" w:rsidRPr="00AC11E4" w14:paraId="10D85C05"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7D8BA178" w14:textId="77777777" w:rsidR="00BE3903" w:rsidRPr="00884C9A" w:rsidRDefault="00BE3903" w:rsidP="0083214A">
            <w:pPr>
              <w:rPr>
                <w:noProof/>
              </w:rPr>
            </w:pPr>
            <w:r>
              <w:rPr>
                <w:noProof/>
              </w:rPr>
              <w:t>Percentage of civilian common security and defence policy</w:t>
            </w:r>
            <w:r w:rsidDel="00564690">
              <w:rPr>
                <w:noProof/>
              </w:rPr>
              <w:t xml:space="preserve"> </w:t>
            </w:r>
            <w:r>
              <w:rPr>
                <w:noProof/>
              </w:rPr>
              <w:t>missions coordinating with interventions financed under other EU instruments</w:t>
            </w:r>
          </w:p>
        </w:tc>
        <w:tc>
          <w:tcPr>
            <w:tcW w:w="1100" w:type="dxa"/>
          </w:tcPr>
          <w:p w14:paraId="70BE6CE1" w14:textId="77777777" w:rsidR="00BE3903" w:rsidRPr="00884C9A" w:rsidRDefault="00BE3903" w:rsidP="0083214A">
            <w:pPr>
              <w:jc w:val="center"/>
              <w:rPr>
                <w:noProof/>
              </w:rPr>
            </w:pPr>
            <w:r>
              <w:rPr>
                <w:noProof/>
              </w:rPr>
              <w:t>0</w:t>
            </w:r>
          </w:p>
        </w:tc>
        <w:tc>
          <w:tcPr>
            <w:tcW w:w="1532" w:type="dxa"/>
          </w:tcPr>
          <w:p w14:paraId="5463F058" w14:textId="77777777" w:rsidR="00BE3903" w:rsidRPr="008723F8" w:rsidRDefault="00BE3903" w:rsidP="0083214A">
            <w:pPr>
              <w:jc w:val="center"/>
              <w:rPr>
                <w:b/>
                <w:noProof/>
              </w:rPr>
            </w:pPr>
            <w:r w:rsidRPr="008723F8">
              <w:rPr>
                <w:b/>
                <w:noProof/>
              </w:rPr>
              <w:t>14%</w:t>
            </w:r>
          </w:p>
        </w:tc>
        <w:tc>
          <w:tcPr>
            <w:tcW w:w="1532" w:type="dxa"/>
          </w:tcPr>
          <w:p w14:paraId="19083C82" w14:textId="77777777" w:rsidR="00BE3903" w:rsidRPr="00884C9A" w:rsidRDefault="00BE3903" w:rsidP="0083214A">
            <w:pPr>
              <w:jc w:val="center"/>
              <w:rPr>
                <w:noProof/>
              </w:rPr>
            </w:pPr>
            <w:r>
              <w:rPr>
                <w:noProof/>
              </w:rPr>
              <w:t>100% annually</w:t>
            </w:r>
          </w:p>
        </w:tc>
        <w:tc>
          <w:tcPr>
            <w:tcW w:w="1572" w:type="dxa"/>
          </w:tcPr>
          <w:p w14:paraId="6C060737" w14:textId="77777777" w:rsidR="00BE3903" w:rsidRPr="00884C9A" w:rsidRDefault="00BE3903" w:rsidP="0083214A">
            <w:pPr>
              <w:jc w:val="center"/>
              <w:rPr>
                <w:noProof/>
              </w:rPr>
            </w:pPr>
            <w:r>
              <w:rPr>
                <w:noProof/>
              </w:rPr>
              <w:t>Target achieved in 2021. 100% compared to a target of 100%.</w:t>
            </w:r>
          </w:p>
        </w:tc>
        <w:tc>
          <w:tcPr>
            <w:tcW w:w="1579" w:type="dxa"/>
          </w:tcPr>
          <w:p w14:paraId="3E4FA777" w14:textId="77777777" w:rsidR="00BE3903" w:rsidRPr="00884C9A" w:rsidRDefault="00BE3903" w:rsidP="0083214A">
            <w:pPr>
              <w:jc w:val="center"/>
              <w:rPr>
                <w:noProof/>
              </w:rPr>
            </w:pPr>
            <w:r>
              <w:rPr>
                <w:noProof/>
              </w:rPr>
              <w:t>On track</w:t>
            </w:r>
          </w:p>
        </w:tc>
      </w:tr>
      <w:tr w:rsidR="00BE3903" w:rsidRPr="00AC11E4" w14:paraId="0A12AEF6"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574EF2D9" w14:textId="77777777" w:rsidR="00BE3903" w:rsidRPr="00884C9A" w:rsidRDefault="00BE3903" w:rsidP="0083214A">
            <w:pPr>
              <w:rPr>
                <w:noProof/>
              </w:rPr>
            </w:pPr>
            <w:r>
              <w:rPr>
                <w:noProof/>
              </w:rPr>
              <w:t>Percentage of common security and defence policy</w:t>
            </w:r>
            <w:r w:rsidDel="00564690">
              <w:rPr>
                <w:noProof/>
              </w:rPr>
              <w:t xml:space="preserve"> </w:t>
            </w:r>
            <w:r>
              <w:rPr>
                <w:noProof/>
              </w:rPr>
              <w:t>missions that do not require supervisory measures</w:t>
            </w:r>
          </w:p>
        </w:tc>
        <w:tc>
          <w:tcPr>
            <w:tcW w:w="1100" w:type="dxa"/>
          </w:tcPr>
          <w:p w14:paraId="0AC7502B" w14:textId="77777777" w:rsidR="00BE3903" w:rsidRPr="00884C9A" w:rsidRDefault="00BE3903" w:rsidP="0083214A">
            <w:pPr>
              <w:jc w:val="center"/>
              <w:rPr>
                <w:noProof/>
              </w:rPr>
            </w:pPr>
            <w:r>
              <w:rPr>
                <w:noProof/>
              </w:rPr>
              <w:t>0</w:t>
            </w:r>
          </w:p>
        </w:tc>
        <w:tc>
          <w:tcPr>
            <w:tcW w:w="1532" w:type="dxa"/>
          </w:tcPr>
          <w:p w14:paraId="1B5B333A" w14:textId="77777777" w:rsidR="00BE3903" w:rsidRPr="008723F8" w:rsidRDefault="00BE3903" w:rsidP="0083214A">
            <w:pPr>
              <w:jc w:val="center"/>
              <w:rPr>
                <w:b/>
                <w:noProof/>
              </w:rPr>
            </w:pPr>
            <w:r w:rsidRPr="008723F8">
              <w:rPr>
                <w:b/>
                <w:noProof/>
              </w:rPr>
              <w:t>14%</w:t>
            </w:r>
          </w:p>
        </w:tc>
        <w:tc>
          <w:tcPr>
            <w:tcW w:w="1532" w:type="dxa"/>
          </w:tcPr>
          <w:p w14:paraId="14C8F4FD" w14:textId="77777777" w:rsidR="00BE3903" w:rsidRPr="00884C9A" w:rsidRDefault="00BE3903" w:rsidP="0083214A">
            <w:pPr>
              <w:jc w:val="center"/>
              <w:rPr>
                <w:noProof/>
              </w:rPr>
            </w:pPr>
            <w:r>
              <w:rPr>
                <w:noProof/>
              </w:rPr>
              <w:t>100% annually from 2024</w:t>
            </w:r>
          </w:p>
        </w:tc>
        <w:tc>
          <w:tcPr>
            <w:tcW w:w="1572" w:type="dxa"/>
          </w:tcPr>
          <w:p w14:paraId="7C6B5B3C" w14:textId="77777777" w:rsidR="00BE3903" w:rsidRPr="00884C9A" w:rsidRDefault="00BE3903" w:rsidP="0083214A">
            <w:pPr>
              <w:jc w:val="center"/>
              <w:rPr>
                <w:noProof/>
              </w:rPr>
            </w:pPr>
            <w:r>
              <w:rPr>
                <w:noProof/>
              </w:rPr>
              <w:t>Milestone achieved in 2021. 91% compared to a milestone of 90%.</w:t>
            </w:r>
          </w:p>
        </w:tc>
        <w:tc>
          <w:tcPr>
            <w:tcW w:w="1579" w:type="dxa"/>
          </w:tcPr>
          <w:p w14:paraId="3D97F805" w14:textId="77777777" w:rsidR="00BE3903" w:rsidRPr="00884C9A" w:rsidRDefault="00BE3903" w:rsidP="0083214A">
            <w:pPr>
              <w:jc w:val="center"/>
              <w:rPr>
                <w:noProof/>
              </w:rPr>
            </w:pPr>
            <w:r>
              <w:rPr>
                <w:noProof/>
              </w:rPr>
              <w:t>On track</w:t>
            </w:r>
          </w:p>
        </w:tc>
      </w:tr>
      <w:tr w:rsidR="00BE3903" w:rsidRPr="00AC11E4" w14:paraId="0E5DB0D9"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09CED05D" w14:textId="77777777" w:rsidR="00BE3903" w:rsidRPr="00724FDD" w:rsidRDefault="00BE3903" w:rsidP="0083214A">
            <w:pPr>
              <w:rPr>
                <w:noProof/>
              </w:rPr>
            </w:pPr>
            <w:r>
              <w:rPr>
                <w:noProof/>
              </w:rPr>
              <w:t xml:space="preserve">Percentage of relevant non-proliferation and disarmament actions that are complementary to actions funded under the Peace, stability and conflict prevention programme of the </w:t>
            </w:r>
            <w:r w:rsidRPr="00AD62A7">
              <w:rPr>
                <w:noProof/>
              </w:rPr>
              <w:t>Neighbourhood, Development and International Cooperation Instrument</w:t>
            </w:r>
            <w:r>
              <w:rPr>
                <w:noProof/>
              </w:rPr>
              <w:t xml:space="preserve"> (Global Europe)</w:t>
            </w:r>
          </w:p>
        </w:tc>
        <w:tc>
          <w:tcPr>
            <w:tcW w:w="1100" w:type="dxa"/>
          </w:tcPr>
          <w:p w14:paraId="5E1C2DB7" w14:textId="77777777" w:rsidR="00BE3903" w:rsidRPr="00884C9A" w:rsidRDefault="00BE3903" w:rsidP="0083214A">
            <w:pPr>
              <w:jc w:val="center"/>
              <w:rPr>
                <w:noProof/>
              </w:rPr>
            </w:pPr>
            <w:r>
              <w:rPr>
                <w:noProof/>
              </w:rPr>
              <w:t>0</w:t>
            </w:r>
          </w:p>
        </w:tc>
        <w:tc>
          <w:tcPr>
            <w:tcW w:w="1532" w:type="dxa"/>
          </w:tcPr>
          <w:p w14:paraId="7A12AC94" w14:textId="77777777" w:rsidR="00BE3903" w:rsidRPr="008723F8" w:rsidRDefault="00BE3903" w:rsidP="0083214A">
            <w:pPr>
              <w:jc w:val="center"/>
              <w:rPr>
                <w:b/>
                <w:noProof/>
              </w:rPr>
            </w:pPr>
            <w:r w:rsidRPr="008723F8">
              <w:rPr>
                <w:b/>
                <w:noProof/>
              </w:rPr>
              <w:t>14%</w:t>
            </w:r>
          </w:p>
        </w:tc>
        <w:tc>
          <w:tcPr>
            <w:tcW w:w="1532" w:type="dxa"/>
          </w:tcPr>
          <w:p w14:paraId="3973A792" w14:textId="77777777" w:rsidR="00BE3903" w:rsidRPr="00884C9A" w:rsidRDefault="00BE3903" w:rsidP="0083214A">
            <w:pPr>
              <w:jc w:val="center"/>
              <w:rPr>
                <w:noProof/>
              </w:rPr>
            </w:pPr>
            <w:r>
              <w:rPr>
                <w:noProof/>
              </w:rPr>
              <w:t>100% annually</w:t>
            </w:r>
          </w:p>
        </w:tc>
        <w:tc>
          <w:tcPr>
            <w:tcW w:w="1572" w:type="dxa"/>
          </w:tcPr>
          <w:p w14:paraId="24F064FB" w14:textId="77777777" w:rsidR="00BE3903" w:rsidRPr="00884C9A" w:rsidRDefault="00BE3903" w:rsidP="0083214A">
            <w:pPr>
              <w:jc w:val="center"/>
              <w:rPr>
                <w:noProof/>
              </w:rPr>
            </w:pPr>
            <w:r>
              <w:rPr>
                <w:noProof/>
              </w:rPr>
              <w:t>Target achieved in 2021. 100% compared to a target of 100%.</w:t>
            </w:r>
          </w:p>
        </w:tc>
        <w:tc>
          <w:tcPr>
            <w:tcW w:w="1579" w:type="dxa"/>
          </w:tcPr>
          <w:p w14:paraId="355EBBF7" w14:textId="77777777" w:rsidR="00BE3903" w:rsidRPr="00884C9A" w:rsidRDefault="00BE3903" w:rsidP="0083214A">
            <w:pPr>
              <w:jc w:val="center"/>
              <w:rPr>
                <w:noProof/>
              </w:rPr>
            </w:pPr>
            <w:r>
              <w:rPr>
                <w:noProof/>
              </w:rPr>
              <w:t>On track</w:t>
            </w:r>
          </w:p>
        </w:tc>
      </w:tr>
    </w:tbl>
    <w:p w14:paraId="3B563E90" w14:textId="77777777" w:rsidR="00BE3903" w:rsidRDefault="00BE3903" w:rsidP="00BE3903">
      <w:pPr>
        <w:pStyle w:val="FootnoteText"/>
        <w:rPr>
          <w:noProof/>
        </w:rPr>
      </w:pPr>
    </w:p>
    <w:p w14:paraId="76AAE9F5" w14:textId="13A400EF" w:rsidR="00BE3903" w:rsidRDefault="00BE3903" w:rsidP="00BE3903">
      <w:pPr>
        <w:rPr>
          <w:noProof/>
          <w:sz w:val="18"/>
        </w:rPr>
      </w:pPr>
      <w:r>
        <w:rPr>
          <w:noProof/>
          <w:sz w:val="18"/>
        </w:rPr>
        <w:t xml:space="preserve">(*) </w:t>
      </w:r>
      <w:r w:rsidRPr="002F0833">
        <w:rPr>
          <w:noProof/>
          <w:sz w:val="18"/>
        </w:rPr>
        <w:t xml:space="preserve">% of years for which the milestones or target </w:t>
      </w:r>
      <w:r w:rsidR="00AA5CAB">
        <w:rPr>
          <w:noProof/>
          <w:sz w:val="18"/>
        </w:rPr>
        <w:t>have</w:t>
      </w:r>
      <w:r w:rsidR="00AA5CAB" w:rsidRPr="002F0833">
        <w:rPr>
          <w:noProof/>
          <w:sz w:val="18"/>
        </w:rPr>
        <w:t xml:space="preserve"> </w:t>
      </w:r>
      <w:r w:rsidRPr="002F0833">
        <w:rPr>
          <w:noProof/>
          <w:sz w:val="18"/>
        </w:rPr>
        <w:t>been achieved during the 2021-2027 period.</w:t>
      </w:r>
    </w:p>
    <w:p w14:paraId="15DE5F6E" w14:textId="77777777" w:rsidR="00BE3903" w:rsidRPr="001E7AFE" w:rsidRDefault="00BE3903" w:rsidP="00BE3903">
      <w:pPr>
        <w:pStyle w:val="ppoListHyphened-L1"/>
        <w:rPr>
          <w:noProof/>
        </w:rPr>
      </w:pPr>
      <w:r>
        <w:rPr>
          <w:noProof/>
        </w:rPr>
        <w:t xml:space="preserve">The </w:t>
      </w:r>
      <w:r w:rsidRPr="001E7AFE">
        <w:rPr>
          <w:noProof/>
        </w:rPr>
        <w:t>EU has significantly enhanced its operational capacity and footprin</w:t>
      </w:r>
      <w:r>
        <w:rPr>
          <w:noProof/>
        </w:rPr>
        <w:t>t in recent years thanks to</w:t>
      </w:r>
      <w:r w:rsidRPr="001E7AFE">
        <w:rPr>
          <w:noProof/>
        </w:rPr>
        <w:t xml:space="preserve"> the key contribution</w:t>
      </w:r>
      <w:r>
        <w:rPr>
          <w:noProof/>
        </w:rPr>
        <w:t xml:space="preserve">s </w:t>
      </w:r>
      <w:r w:rsidRPr="001E7AFE">
        <w:rPr>
          <w:noProof/>
        </w:rPr>
        <w:t xml:space="preserve">to global peace and security of the 11 civilian </w:t>
      </w:r>
      <w:r>
        <w:rPr>
          <w:noProof/>
        </w:rPr>
        <w:t>common security and defence policy</w:t>
      </w:r>
      <w:r w:rsidDel="00564690">
        <w:rPr>
          <w:noProof/>
        </w:rPr>
        <w:t xml:space="preserve"> </w:t>
      </w:r>
      <w:r>
        <w:rPr>
          <w:noProof/>
        </w:rPr>
        <w:t>m</w:t>
      </w:r>
      <w:r w:rsidRPr="001E7AFE">
        <w:rPr>
          <w:noProof/>
        </w:rPr>
        <w:t xml:space="preserve">issions and </w:t>
      </w:r>
      <w:r>
        <w:rPr>
          <w:noProof/>
        </w:rPr>
        <w:t>o</w:t>
      </w:r>
      <w:r w:rsidRPr="001E7AFE">
        <w:rPr>
          <w:noProof/>
        </w:rPr>
        <w:t>perations in the framework of the EU</w:t>
      </w:r>
      <w:r>
        <w:rPr>
          <w:noProof/>
        </w:rPr>
        <w:t>’</w:t>
      </w:r>
      <w:r w:rsidRPr="001E7AFE">
        <w:rPr>
          <w:noProof/>
        </w:rPr>
        <w:t xml:space="preserve">s </w:t>
      </w:r>
      <w:r>
        <w:rPr>
          <w:noProof/>
        </w:rPr>
        <w:t>i</w:t>
      </w:r>
      <w:r w:rsidRPr="001E7AFE">
        <w:rPr>
          <w:noProof/>
        </w:rPr>
        <w:t xml:space="preserve">ntegrated </w:t>
      </w:r>
      <w:r>
        <w:rPr>
          <w:noProof/>
        </w:rPr>
        <w:t>a</w:t>
      </w:r>
      <w:r w:rsidRPr="001E7AFE">
        <w:rPr>
          <w:noProof/>
        </w:rPr>
        <w:t>pproach to external conflicts and crises</w:t>
      </w:r>
      <w:r>
        <w:rPr>
          <w:noProof/>
        </w:rPr>
        <w:t>. This enhances</w:t>
      </w:r>
      <w:r w:rsidRPr="001E7AFE">
        <w:rPr>
          <w:noProof/>
        </w:rPr>
        <w:t xml:space="preserve"> the security of the </w:t>
      </w:r>
      <w:r>
        <w:rPr>
          <w:noProof/>
        </w:rPr>
        <w:t>EU</w:t>
      </w:r>
      <w:r w:rsidRPr="001E7AFE">
        <w:rPr>
          <w:noProof/>
        </w:rPr>
        <w:t xml:space="preserve"> and its citizens</w:t>
      </w:r>
      <w:r>
        <w:rPr>
          <w:noProof/>
        </w:rPr>
        <w:t>.</w:t>
      </w:r>
    </w:p>
    <w:p w14:paraId="0EFFC985" w14:textId="77777777" w:rsidR="00BE3903" w:rsidRPr="00040D99" w:rsidRDefault="00BE3903" w:rsidP="00BE3903">
      <w:pPr>
        <w:pStyle w:val="ppoListHyphened-L1"/>
        <w:rPr>
          <w:noProof/>
        </w:rPr>
      </w:pPr>
      <w:r>
        <w:rPr>
          <w:noProof/>
        </w:rPr>
        <w:t>The European Commission provided the necessary funds in a timely manner through contribution agreements, which ensured the missions’ operational capacity. The funds allowed the recruitment and training of staff by the missions and the provision of the logistical support to carry out the operations. Nevertheless, civilian missions operating in sometimes insecure environments are facing continuous difficulties in recruiting the required number of staff with the necessary skills to carry out the relevant job functions.</w:t>
      </w:r>
    </w:p>
    <w:p w14:paraId="05E29C88" w14:textId="77777777" w:rsidR="00BE3903" w:rsidRDefault="00BE3903" w:rsidP="00BE3903">
      <w:pPr>
        <w:pStyle w:val="ppoListHyphened-L1"/>
        <w:rPr>
          <w:noProof/>
        </w:rPr>
      </w:pPr>
      <w:bookmarkStart w:id="261" w:name="_Hlk101529422"/>
      <w:r>
        <w:rPr>
          <w:noProof/>
        </w:rPr>
        <w:t>C</w:t>
      </w:r>
      <w:r w:rsidRPr="009D5DA2">
        <w:rPr>
          <w:noProof/>
        </w:rPr>
        <w:t xml:space="preserve">onsiderable progress in the area of finance and procurement </w:t>
      </w:r>
      <w:r>
        <w:rPr>
          <w:noProof/>
        </w:rPr>
        <w:t xml:space="preserve">could be achieved through </w:t>
      </w:r>
      <w:r w:rsidRPr="009D5DA2">
        <w:rPr>
          <w:noProof/>
        </w:rPr>
        <w:t>the streamlining of administrative and operati</w:t>
      </w:r>
      <w:r>
        <w:rPr>
          <w:noProof/>
        </w:rPr>
        <w:t>onal</w:t>
      </w:r>
      <w:r w:rsidRPr="009D5DA2">
        <w:rPr>
          <w:noProof/>
        </w:rPr>
        <w:t xml:space="preserve"> pro</w:t>
      </w:r>
      <w:r>
        <w:rPr>
          <w:noProof/>
        </w:rPr>
        <w:t>cedures in common security and defence policy</w:t>
      </w:r>
      <w:r w:rsidDel="00564690">
        <w:rPr>
          <w:noProof/>
        </w:rPr>
        <w:t xml:space="preserve"> </w:t>
      </w:r>
      <w:r>
        <w:rPr>
          <w:noProof/>
        </w:rPr>
        <w:t xml:space="preserve">missions </w:t>
      </w:r>
      <w:bookmarkStart w:id="262" w:name="_Hlk101529398"/>
      <w:bookmarkEnd w:id="261"/>
      <w:r>
        <w:rPr>
          <w:noProof/>
        </w:rPr>
        <w:t>and thanks to the expertise of</w:t>
      </w:r>
      <w:r w:rsidRPr="009D5DA2">
        <w:rPr>
          <w:noProof/>
        </w:rPr>
        <w:t xml:space="preserve"> the </w:t>
      </w:r>
      <w:r>
        <w:rPr>
          <w:noProof/>
        </w:rPr>
        <w:t>m</w:t>
      </w:r>
      <w:r w:rsidRPr="009D5DA2">
        <w:rPr>
          <w:noProof/>
        </w:rPr>
        <w:t>ission</w:t>
      </w:r>
      <w:r>
        <w:rPr>
          <w:noProof/>
        </w:rPr>
        <w:t xml:space="preserve"> support platform’s staff</w:t>
      </w:r>
      <w:bookmarkEnd w:id="262"/>
      <w:r w:rsidRPr="009D5DA2">
        <w:rPr>
          <w:noProof/>
        </w:rPr>
        <w:t>.</w:t>
      </w:r>
    </w:p>
    <w:p w14:paraId="619BBD22" w14:textId="77777777" w:rsidR="00BE3903" w:rsidRDefault="00BE3903" w:rsidP="00BE3903">
      <w:pPr>
        <w:pStyle w:val="ppoListHyphened-L1"/>
        <w:rPr>
          <w:noProof/>
        </w:rPr>
      </w:pPr>
      <w:r w:rsidRPr="009D5DA2">
        <w:rPr>
          <w:noProof/>
        </w:rPr>
        <w:t xml:space="preserve">Furthermore, since its creation, the </w:t>
      </w:r>
      <w:r>
        <w:rPr>
          <w:noProof/>
        </w:rPr>
        <w:t>mission support platform</w:t>
      </w:r>
      <w:r w:rsidRPr="009D5DA2">
        <w:rPr>
          <w:noProof/>
        </w:rPr>
        <w:t xml:space="preserve"> acted as a knowledge centre on procurement and finance and developed specific tools for the </w:t>
      </w:r>
      <w:r>
        <w:rPr>
          <w:noProof/>
        </w:rPr>
        <w:t>m</w:t>
      </w:r>
      <w:r w:rsidRPr="009D5DA2">
        <w:rPr>
          <w:noProof/>
        </w:rPr>
        <w:t>issions</w:t>
      </w:r>
      <w:r>
        <w:rPr>
          <w:noProof/>
        </w:rPr>
        <w:t xml:space="preserve"> to use</w:t>
      </w:r>
      <w:r w:rsidRPr="009D5DA2">
        <w:rPr>
          <w:noProof/>
        </w:rPr>
        <w:t xml:space="preserve"> to achieve a higher level of harmonisation of procedures and thus enhance the civilian </w:t>
      </w:r>
      <w:r>
        <w:rPr>
          <w:noProof/>
        </w:rPr>
        <w:t>m</w:t>
      </w:r>
      <w:r w:rsidRPr="009D5DA2">
        <w:rPr>
          <w:noProof/>
        </w:rPr>
        <w:t>issions’ responsiveness.</w:t>
      </w:r>
      <w:r>
        <w:rPr>
          <w:noProof/>
        </w:rPr>
        <w:t xml:space="preserve"> However, public local tendering procedures in difficult theatres of operation remain challenging, with a potential negative impact on the performance of the missions and the achievements of their mandates, including with respect to budget absorption.</w:t>
      </w:r>
    </w:p>
    <w:p w14:paraId="2EB3B63E" w14:textId="77777777" w:rsidR="00BE3903" w:rsidRPr="006C6637" w:rsidRDefault="00BE3903" w:rsidP="00BE3903">
      <w:pPr>
        <w:pStyle w:val="ppoListHyphened-L1"/>
        <w:rPr>
          <w:noProof/>
        </w:rPr>
      </w:pPr>
      <w:r w:rsidRPr="00902931">
        <w:rPr>
          <w:noProof/>
        </w:rPr>
        <w:t xml:space="preserve">In 2021, the Commission continued to support </w:t>
      </w:r>
      <w:r>
        <w:rPr>
          <w:noProof/>
        </w:rPr>
        <w:t>efforts to curb</w:t>
      </w:r>
      <w:r w:rsidRPr="00902931">
        <w:rPr>
          <w:noProof/>
        </w:rPr>
        <w:t xml:space="preserve"> the proliferation of weapons of mass destruction and the illicit accumulation and trafficking of small arms</w:t>
      </w:r>
      <w:r>
        <w:rPr>
          <w:noProof/>
        </w:rPr>
        <w:t>,</w:t>
      </w:r>
      <w:r w:rsidRPr="00902931">
        <w:rPr>
          <w:noProof/>
        </w:rPr>
        <w:t xml:space="preserve"> light weapons and other conventional weapons by launching </w:t>
      </w:r>
      <w:r>
        <w:rPr>
          <w:noProof/>
        </w:rPr>
        <w:t>eight</w:t>
      </w:r>
      <w:r w:rsidRPr="00902931">
        <w:rPr>
          <w:noProof/>
        </w:rPr>
        <w:t xml:space="preserve"> new non-proliferation and disarmament actions. </w:t>
      </w:r>
      <w:r>
        <w:rPr>
          <w:noProof/>
        </w:rPr>
        <w:t>These</w:t>
      </w:r>
      <w:r w:rsidRPr="00902931">
        <w:rPr>
          <w:noProof/>
        </w:rPr>
        <w:t xml:space="preserve"> actions started in most cases in the fourth quarter of 2021 and in some cases only in December 2021.</w:t>
      </w:r>
    </w:p>
    <w:p w14:paraId="3F6329C9" w14:textId="77777777" w:rsidR="00BE3903" w:rsidRPr="00DC66A9" w:rsidRDefault="00BE3903" w:rsidP="00BE3903">
      <w:pPr>
        <w:pStyle w:val="ppoListHyphened-L1"/>
        <w:rPr>
          <w:rFonts w:eastAsiaTheme="majorEastAsia" w:cstheme="majorBidi"/>
          <w:noProof/>
        </w:rPr>
      </w:pPr>
      <w:r>
        <w:rPr>
          <w:noProof/>
        </w:rPr>
        <w:t>In addition</w:t>
      </w:r>
      <w:r w:rsidRPr="00902931">
        <w:rPr>
          <w:noProof/>
        </w:rPr>
        <w:t>, the implementation of 29 non-proliferation and disarmament actions launched</w:t>
      </w:r>
      <w:r>
        <w:rPr>
          <w:noProof/>
        </w:rPr>
        <w:t xml:space="preserve"> during </w:t>
      </w:r>
      <w:r w:rsidRPr="00902931">
        <w:rPr>
          <w:noProof/>
        </w:rPr>
        <w:t>the 2016-2020 period continued throughout 2021. The main challenge for these 29 actions continued to be the COVID</w:t>
      </w:r>
      <w:r>
        <w:rPr>
          <w:noProof/>
        </w:rPr>
        <w:noBreakHyphen/>
      </w:r>
      <w:r w:rsidRPr="00902931">
        <w:rPr>
          <w:noProof/>
        </w:rPr>
        <w:t>19 pandemic and the related travel restrictions</w:t>
      </w:r>
      <w:r>
        <w:rPr>
          <w:noProof/>
        </w:rPr>
        <w:t>, as i</w:t>
      </w:r>
      <w:r w:rsidRPr="00902931">
        <w:rPr>
          <w:noProof/>
        </w:rPr>
        <w:t>n</w:t>
      </w:r>
      <w:r>
        <w:rPr>
          <w:noProof/>
        </w:rPr>
        <w:noBreakHyphen/>
      </w:r>
      <w:r w:rsidRPr="00902931">
        <w:rPr>
          <w:noProof/>
        </w:rPr>
        <w:t xml:space="preserve">person workshops, expert missions, trainings and conferences supporting the universalisation and effective implementation of various non-proliferation legal instruments </w:t>
      </w:r>
      <w:r>
        <w:rPr>
          <w:noProof/>
        </w:rPr>
        <w:t xml:space="preserve">had to be postponed or replaced </w:t>
      </w:r>
      <w:r w:rsidRPr="00902931">
        <w:rPr>
          <w:noProof/>
        </w:rPr>
        <w:t>by virtual or hybrid events. In response, the Commission approved</w:t>
      </w:r>
      <w:r>
        <w:rPr>
          <w:noProof/>
        </w:rPr>
        <w:t xml:space="preserve"> </w:t>
      </w:r>
      <w:r w:rsidRPr="00902931">
        <w:rPr>
          <w:noProof/>
        </w:rPr>
        <w:t>the extension of 13 actions</w:t>
      </w:r>
      <w:r w:rsidRPr="00F00BC0">
        <w:rPr>
          <w:noProof/>
        </w:rPr>
        <w:t xml:space="preserve"> </w:t>
      </w:r>
      <w:r>
        <w:rPr>
          <w:noProof/>
        </w:rPr>
        <w:t>in 2021,</w:t>
      </w:r>
      <w:r w:rsidRPr="00902931">
        <w:rPr>
          <w:noProof/>
        </w:rPr>
        <w:t xml:space="preserve"> thus providing additional time to complete all activities.</w:t>
      </w:r>
    </w:p>
    <w:p w14:paraId="3EBCBC67" w14:textId="77777777" w:rsidR="00CA208E" w:rsidRDefault="00CA208E" w:rsidP="005348AD">
      <w:pPr>
        <w:pStyle w:val="ppoListHyphened-L1"/>
        <w:numPr>
          <w:ilvl w:val="0"/>
          <w:numId w:val="0"/>
        </w:numPr>
        <w:ind w:left="357" w:hanging="357"/>
        <w:rPr>
          <w:b/>
          <w:noProof/>
        </w:rPr>
        <w:sectPr w:rsidR="00CA208E" w:rsidSect="0083214A">
          <w:headerReference w:type="even" r:id="rId569"/>
          <w:headerReference w:type="default" r:id="rId570"/>
          <w:footerReference w:type="even" r:id="rId571"/>
          <w:footerReference w:type="default" r:id="rId572"/>
          <w:headerReference w:type="first" r:id="rId573"/>
          <w:footerReference w:type="first" r:id="rId574"/>
          <w:type w:val="continuous"/>
          <w:pgSz w:w="11906" w:h="16838" w:code="9"/>
          <w:pgMar w:top="1134" w:right="1134" w:bottom="964" w:left="1134" w:header="431" w:footer="431" w:gutter="0"/>
          <w:cols w:space="720"/>
          <w:titlePg/>
          <w:docGrid w:linePitch="360"/>
        </w:sectPr>
      </w:pPr>
    </w:p>
    <w:p w14:paraId="7B3A5935" w14:textId="77777777" w:rsidR="00CA208E" w:rsidRPr="00AA0126" w:rsidRDefault="00CA208E" w:rsidP="00CA208E">
      <w:pPr>
        <w:pStyle w:val="StyleppoHeading3WhiteLeft0cm"/>
        <w:rPr>
          <w:noProof/>
          <w:color w:val="auto"/>
          <w:sz w:val="40"/>
          <w:szCs w:val="40"/>
        </w:rPr>
      </w:pPr>
    </w:p>
    <w:p w14:paraId="087D341A" w14:textId="77777777" w:rsidR="00CA208E" w:rsidRPr="00AA0126" w:rsidRDefault="00CA208E" w:rsidP="00CA208E">
      <w:pPr>
        <w:pStyle w:val="StyleppoHeading3WhiteLeft0cm"/>
        <w:rPr>
          <w:noProof/>
          <w:color w:val="auto"/>
          <w:sz w:val="60"/>
          <w:szCs w:val="60"/>
        </w:rPr>
      </w:pPr>
      <w:bookmarkStart w:id="263" w:name="_Toc102086371"/>
      <w:r w:rsidRPr="00AA0126">
        <w:rPr>
          <w:noProof/>
          <w:sz w:val="60"/>
          <w:szCs w:val="60"/>
        </w:rPr>
        <w:t>DOAG</w:t>
      </w:r>
      <w:bookmarkEnd w:id="263"/>
    </w:p>
    <w:p w14:paraId="46448803" w14:textId="77777777" w:rsidR="00CA208E" w:rsidRPr="00AA0126" w:rsidRDefault="00CA208E" w:rsidP="00CA208E">
      <w:pPr>
        <w:pStyle w:val="StyleppoProgrammenameWhiteLeft01cm"/>
        <w:ind w:left="0"/>
        <w:rPr>
          <w:noProof/>
        </w:rPr>
      </w:pPr>
      <w:r w:rsidRPr="00AA0126">
        <w:rPr>
          <w:noProof/>
        </w:rPr>
        <w:t>DECISION ON THE OVERSEAS ASSOCIATION, INCLUDING GREENLAND</w:t>
      </w:r>
    </w:p>
    <w:p w14:paraId="4E22A844" w14:textId="77777777" w:rsidR="00CA208E" w:rsidRPr="00AA0126" w:rsidRDefault="00CA208E" w:rsidP="00CA208E">
      <w:pPr>
        <w:spacing w:after="480"/>
        <w:rPr>
          <w:rFonts w:eastAsiaTheme="minorEastAsia"/>
          <w:noProof/>
          <w:color w:val="FFFFFF" w:themeColor="background1"/>
          <w:sz w:val="32"/>
        </w:rPr>
        <w:sectPr w:rsidR="00CA208E" w:rsidRPr="00AA0126" w:rsidSect="0083214A">
          <w:headerReference w:type="even" r:id="rId575"/>
          <w:headerReference w:type="default" r:id="rId576"/>
          <w:footerReference w:type="even" r:id="rId577"/>
          <w:footerReference w:type="default" r:id="rId578"/>
          <w:headerReference w:type="first" r:id="rId579"/>
          <w:footerReference w:type="first" r:id="rId580"/>
          <w:pgSz w:w="11906" w:h="16838" w:code="9"/>
          <w:pgMar w:top="1134" w:right="1134" w:bottom="964" w:left="1134" w:header="431" w:footer="431" w:gutter="0"/>
          <w:cols w:space="720"/>
          <w:docGrid w:linePitch="360"/>
        </w:sectPr>
      </w:pPr>
    </w:p>
    <w:p w14:paraId="229E15FE" w14:textId="77777777" w:rsidR="00CA208E" w:rsidRPr="00AA0126" w:rsidRDefault="00CA208E" w:rsidP="00CA208E">
      <w:pPr>
        <w:pStyle w:val="ppoHeading4Red"/>
        <w:rPr>
          <w:noProof/>
        </w:rPr>
      </w:pPr>
      <w:r w:rsidRPr="00AA0126">
        <w:rPr>
          <w:noProof/>
        </w:rPr>
        <w:t>Programme in a nutshell</w:t>
      </w:r>
    </w:p>
    <w:p w14:paraId="25BE6A39" w14:textId="77777777" w:rsidR="00CA208E" w:rsidRPr="00AA0126" w:rsidRDefault="00CA208E" w:rsidP="00CA208E">
      <w:pPr>
        <w:pStyle w:val="ppoHeading5"/>
        <w:rPr>
          <w:noProof/>
        </w:rPr>
      </w:pPr>
      <w:r w:rsidRPr="00AA0126">
        <w:rPr>
          <w:noProof/>
        </w:rPr>
        <w:t>Concrete examples of achievements</w:t>
      </w:r>
      <w:r w:rsidRPr="00AA0126">
        <w:rPr>
          <w:rFonts w:ascii="Calibri" w:hAnsi="Calibri" w:cs="Calibri"/>
          <w:noProof/>
        </w:rPr>
        <w:t> </w:t>
      </w:r>
      <w:r w:rsidRPr="00AA0126">
        <w:rPr>
          <w:noProof/>
        </w:rPr>
        <w:t>(*)</w:t>
      </w:r>
    </w:p>
    <w:tbl>
      <w:tblPr>
        <w:tblStyle w:val="PPO2021"/>
        <w:tblW w:w="7229" w:type="dxa"/>
        <w:tblInd w:w="0" w:type="dxa"/>
        <w:tblLook w:val="0200" w:firstRow="0" w:lastRow="0" w:firstColumn="0" w:lastColumn="0" w:noHBand="1" w:noVBand="0"/>
      </w:tblPr>
      <w:tblGrid>
        <w:gridCol w:w="2410"/>
        <w:gridCol w:w="2409"/>
        <w:gridCol w:w="2410"/>
      </w:tblGrid>
      <w:tr w:rsidR="00CA208E" w:rsidRPr="00AA0126" w14:paraId="3B1E008B" w14:textId="77777777" w:rsidTr="0083214A">
        <w:tc>
          <w:tcPr>
            <w:tcW w:w="2410" w:type="dxa"/>
          </w:tcPr>
          <w:p w14:paraId="14FDC1FC" w14:textId="77777777" w:rsidR="00CA208E" w:rsidRPr="00AA0126" w:rsidRDefault="00CA208E" w:rsidP="0083214A">
            <w:pPr>
              <w:pStyle w:val="ppoTableacheivementvalue"/>
              <w:rPr>
                <w:noProof/>
                <w:sz w:val="24"/>
              </w:rPr>
            </w:pPr>
            <w:r w:rsidRPr="00AA0126">
              <w:rPr>
                <w:noProof/>
                <w:sz w:val="24"/>
              </w:rPr>
              <w:t>6</w:t>
            </w:r>
          </w:p>
          <w:p w14:paraId="660799A4" w14:textId="77777777" w:rsidR="00CA208E" w:rsidRPr="00AA0126" w:rsidRDefault="00CA208E" w:rsidP="00377734">
            <w:pPr>
              <w:jc w:val="left"/>
              <w:rPr>
                <w:noProof/>
              </w:rPr>
            </w:pPr>
            <w:r>
              <w:rPr>
                <w:noProof/>
              </w:rPr>
              <w:t>childcare organisations in Bonaire created an inclusive pilot initiative for children with special needs to ensure no child is left behind.</w:t>
            </w:r>
          </w:p>
        </w:tc>
        <w:tc>
          <w:tcPr>
            <w:cnfStyle w:val="000001000000" w:firstRow="0" w:lastRow="0" w:firstColumn="0" w:lastColumn="0" w:oddVBand="0" w:evenVBand="1" w:oddHBand="0" w:evenHBand="0" w:firstRowFirstColumn="0" w:firstRowLastColumn="0" w:lastRowFirstColumn="0" w:lastRowLastColumn="0"/>
            <w:tcW w:w="2409" w:type="dxa"/>
          </w:tcPr>
          <w:p w14:paraId="4C9E1227" w14:textId="77777777" w:rsidR="00CA208E" w:rsidRPr="00AA0126" w:rsidRDefault="00CA208E" w:rsidP="0083214A">
            <w:pPr>
              <w:pStyle w:val="ppoTableacheivementvalue"/>
              <w:rPr>
                <w:noProof/>
                <w:sz w:val="24"/>
              </w:rPr>
            </w:pPr>
            <w:r w:rsidRPr="00AA0126">
              <w:rPr>
                <w:noProof/>
                <w:sz w:val="24"/>
              </w:rPr>
              <w:t>75%</w:t>
            </w:r>
          </w:p>
          <w:p w14:paraId="672B3962" w14:textId="70ABE454" w:rsidR="00CA208E" w:rsidRPr="00AA0126" w:rsidRDefault="00CA208E" w:rsidP="00377734">
            <w:pPr>
              <w:jc w:val="left"/>
              <w:rPr>
                <w:noProof/>
              </w:rPr>
            </w:pPr>
            <w:r w:rsidRPr="00AA0126">
              <w:rPr>
                <w:noProof/>
              </w:rPr>
              <w:t>of Greenland’s children attend preschool, which is 6</w:t>
            </w:r>
            <w:r w:rsidRPr="00AA0126">
              <w:rPr>
                <w:rFonts w:ascii="Calibri" w:hAnsi="Calibri" w:cs="Calibri"/>
                <w:noProof/>
              </w:rPr>
              <w:t> </w:t>
            </w:r>
            <w:r w:rsidRPr="00AA0126">
              <w:rPr>
                <w:noProof/>
              </w:rPr>
              <w:t>percentage points higher than 7</w:t>
            </w:r>
            <w:r w:rsidRPr="00AA0126">
              <w:rPr>
                <w:rFonts w:ascii="Calibri" w:hAnsi="Calibri" w:cs="Calibri"/>
                <w:noProof/>
              </w:rPr>
              <w:t> </w:t>
            </w:r>
            <w:r w:rsidRPr="00AA0126">
              <w:rPr>
                <w:noProof/>
              </w:rPr>
              <w:t>years ago.</w:t>
            </w:r>
          </w:p>
        </w:tc>
        <w:tc>
          <w:tcPr>
            <w:tcW w:w="2410" w:type="dxa"/>
            <w:tcBorders>
              <w:bottom w:val="single" w:sz="4" w:space="0" w:color="8C8C8C"/>
            </w:tcBorders>
          </w:tcPr>
          <w:p w14:paraId="00454EEE" w14:textId="77777777" w:rsidR="00CA208E" w:rsidRPr="00AA0126" w:rsidRDefault="00CA208E" w:rsidP="0083214A">
            <w:pPr>
              <w:keepNext/>
              <w:spacing w:after="0"/>
              <w:jc w:val="center"/>
              <w:cnfStyle w:val="000000000000" w:firstRow="0" w:lastRow="0" w:firstColumn="0" w:lastColumn="0" w:oddVBand="0" w:evenVBand="0" w:oddHBand="0" w:evenHBand="0" w:firstRowFirstColumn="0" w:firstRowLastColumn="0" w:lastRowFirstColumn="0" w:lastRowLastColumn="0"/>
              <w:rPr>
                <w:noProof/>
                <w:sz w:val="24"/>
                <w:szCs w:val="24"/>
              </w:rPr>
            </w:pPr>
            <w:bookmarkStart w:id="264" w:name="_Hlk101866439"/>
            <w:r w:rsidRPr="406E9459">
              <w:rPr>
                <w:noProof/>
                <w:sz w:val="24"/>
                <w:szCs w:val="24"/>
              </w:rPr>
              <w:t>&gt; 300</w:t>
            </w:r>
          </w:p>
          <w:p w14:paraId="7DF1AA44" w14:textId="77777777" w:rsidR="00CA208E" w:rsidRPr="00AA0126" w:rsidRDefault="00CA208E" w:rsidP="00377734">
            <w:pPr>
              <w:keepNext/>
              <w:spacing w:after="0"/>
              <w:jc w:val="left"/>
              <w:cnfStyle w:val="000000000000" w:firstRow="0" w:lastRow="0" w:firstColumn="0" w:lastColumn="0" w:oddVBand="0" w:evenVBand="0" w:oddHBand="0" w:evenHBand="0" w:firstRowFirstColumn="0" w:firstRowLastColumn="0" w:lastRowFirstColumn="0" w:lastRowLastColumn="0"/>
              <w:rPr>
                <w:noProof/>
                <w:sz w:val="24"/>
                <w:szCs w:val="24"/>
                <w:u w:val="single"/>
              </w:rPr>
            </w:pPr>
            <w:r>
              <w:rPr>
                <w:noProof/>
              </w:rPr>
              <w:br/>
              <w:t xml:space="preserve">remote medical consultations </w:t>
            </w:r>
            <w:bookmarkEnd w:id="264"/>
            <w:r>
              <w:rPr>
                <w:noProof/>
              </w:rPr>
              <w:t xml:space="preserve">have been possible since 2019 thanks to the EU’s support for an improved internet connection to the remote islands of Wallis and Futuna, </w:t>
            </w:r>
            <w:bookmarkStart w:id="265" w:name="_Hlk101866468"/>
            <w:r>
              <w:rPr>
                <w:noProof/>
              </w:rPr>
              <w:t>enabling the territory’s health agency to develop telemedicine</w:t>
            </w:r>
            <w:bookmarkEnd w:id="265"/>
            <w:r>
              <w:rPr>
                <w:noProof/>
              </w:rPr>
              <w:t>.</w:t>
            </w:r>
          </w:p>
        </w:tc>
      </w:tr>
    </w:tbl>
    <w:p w14:paraId="0907B6E1" w14:textId="77777777" w:rsidR="00CA208E" w:rsidRPr="00AA0126" w:rsidRDefault="00CA208E" w:rsidP="00CA208E">
      <w:pPr>
        <w:pStyle w:val="FootnoteText"/>
        <w:rPr>
          <w:rFonts w:eastAsiaTheme="minorEastAsia"/>
          <w:noProof/>
        </w:rPr>
      </w:pPr>
      <w:r w:rsidRPr="00AA0126">
        <w:rPr>
          <w:rFonts w:eastAsiaTheme="minorEastAsia"/>
          <w:noProof/>
        </w:rPr>
        <w:t>(*)</w:t>
      </w:r>
      <w:r w:rsidRPr="00AA0126">
        <w:rPr>
          <w:rFonts w:eastAsiaTheme="minorEastAsia"/>
          <w:noProof/>
        </w:rPr>
        <w:tab/>
        <w:t>Key achievements in the table state which period they relate to. Many come from the implementation of the predecessor programmes under the 2014-2020 multiannual financial framework. This is expected and is due to the multiannual life cycle of EU programmes and the projects they finance, where results often follow only after completion of the programmes.</w:t>
      </w:r>
    </w:p>
    <w:p w14:paraId="07FF9C2D" w14:textId="77777777" w:rsidR="00CA208E" w:rsidRPr="00AA0126" w:rsidRDefault="00CA208E" w:rsidP="00CA208E">
      <w:pPr>
        <w:pStyle w:val="ppoHeading5"/>
        <w:rPr>
          <w:noProof/>
        </w:rPr>
      </w:pPr>
      <w:r w:rsidRPr="00AA0126">
        <w:rPr>
          <w:noProof/>
        </w:rPr>
        <w:t>Budget for 2021-2027</w:t>
      </w:r>
    </w:p>
    <w:p w14:paraId="741713EE" w14:textId="77777777" w:rsidR="00CA208E" w:rsidRPr="00AA0126" w:rsidRDefault="00CA208E" w:rsidP="00CA208E">
      <w:pPr>
        <w:pStyle w:val="ppoTableTabletitle"/>
        <w:ind w:left="284"/>
        <w:rPr>
          <w:noProof/>
        </w:rPr>
      </w:pPr>
      <w:r w:rsidRPr="00AA0126">
        <w:rPr>
          <w:noProof/>
        </w:rPr>
        <w:t>(million EUR)</w:t>
      </w:r>
    </w:p>
    <w:tbl>
      <w:tblPr>
        <w:tblStyle w:val="PlainTable2"/>
        <w:tblW w:w="0" w:type="auto"/>
        <w:tblInd w:w="288" w:type="dxa"/>
        <w:tblLook w:val="04A0" w:firstRow="1" w:lastRow="0" w:firstColumn="1" w:lastColumn="0" w:noHBand="0" w:noVBand="1"/>
      </w:tblPr>
      <w:tblGrid>
        <w:gridCol w:w="4788"/>
        <w:gridCol w:w="2610"/>
      </w:tblGrid>
      <w:tr w:rsidR="00CA208E" w:rsidRPr="00AA0126" w14:paraId="6F830DB2" w14:textId="77777777" w:rsidTr="0083214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34648A65" w14:textId="77777777" w:rsidR="00CA208E" w:rsidRPr="00AA0126" w:rsidRDefault="00CA208E" w:rsidP="0083214A">
            <w:pPr>
              <w:spacing w:before="120" w:after="120"/>
              <w:rPr>
                <w:noProof/>
              </w:rPr>
            </w:pPr>
            <w:r w:rsidRPr="00AA0126">
              <w:rPr>
                <w:rFonts w:cs="Calibri"/>
                <w:noProof/>
                <w:color w:val="000000"/>
              </w:rPr>
              <w:t>Financial programming</w:t>
            </w:r>
          </w:p>
        </w:tc>
        <w:tc>
          <w:tcPr>
            <w:tcW w:w="2610" w:type="dxa"/>
            <w:shd w:val="clear" w:color="auto" w:fill="auto"/>
            <w:vAlign w:val="bottom"/>
          </w:tcPr>
          <w:p w14:paraId="101E2521" w14:textId="77777777" w:rsidR="00CA208E" w:rsidRPr="00AA0126" w:rsidRDefault="00CA208E" w:rsidP="0083214A">
            <w:pPr>
              <w:spacing w:before="120" w:after="120"/>
              <w:jc w:val="center"/>
              <w:cnfStyle w:val="100000000000" w:firstRow="1" w:lastRow="0" w:firstColumn="0" w:lastColumn="0" w:oddVBand="0" w:evenVBand="0" w:oddHBand="0" w:evenHBand="0" w:firstRowFirstColumn="0" w:firstRowLastColumn="0" w:lastRowFirstColumn="0" w:lastRowLastColumn="0"/>
              <w:rPr>
                <w:b w:val="0"/>
                <w:noProof/>
              </w:rPr>
            </w:pPr>
            <w:r w:rsidRPr="00AA0126">
              <w:rPr>
                <w:rFonts w:cs="Calibri"/>
                <w:b w:val="0"/>
                <w:noProof/>
                <w:color w:val="000000"/>
              </w:rPr>
              <w:t>500.0</w:t>
            </w:r>
          </w:p>
        </w:tc>
      </w:tr>
      <w:tr w:rsidR="00CA208E" w:rsidRPr="00AA0126" w14:paraId="0380DC13"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11B15409" w14:textId="77777777" w:rsidR="00CA208E" w:rsidRPr="00AA0126" w:rsidRDefault="00CA208E" w:rsidP="0083214A">
            <w:pPr>
              <w:spacing w:before="120" w:after="120"/>
              <w:rPr>
                <w:b w:val="0"/>
                <w:noProof/>
              </w:rPr>
            </w:pPr>
            <w:r w:rsidRPr="00AA0126">
              <w:rPr>
                <w:rFonts w:cs="Calibri"/>
                <w:noProof/>
                <w:color w:val="000000"/>
              </w:rPr>
              <w:t>NextGenerationEU</w:t>
            </w:r>
          </w:p>
        </w:tc>
        <w:tc>
          <w:tcPr>
            <w:tcW w:w="2610" w:type="dxa"/>
            <w:vAlign w:val="bottom"/>
          </w:tcPr>
          <w:p w14:paraId="5AF1A62C" w14:textId="77777777" w:rsidR="00CA208E" w:rsidRPr="00AA0126" w:rsidRDefault="00CA208E"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Pr>
                <w:noProof/>
              </w:rPr>
              <w:t>0</w:t>
            </w:r>
          </w:p>
        </w:tc>
      </w:tr>
      <w:tr w:rsidR="00CA208E" w:rsidRPr="00AA0126" w14:paraId="57D8EF2A"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01878293" w14:textId="605287CB" w:rsidR="00CA208E" w:rsidRPr="00AA0126" w:rsidRDefault="00CA208E" w:rsidP="0083214A">
            <w:pPr>
              <w:spacing w:before="120" w:after="120"/>
              <w:rPr>
                <w:b w:val="0"/>
                <w:bCs w:val="0"/>
                <w:noProof/>
              </w:rPr>
            </w:pPr>
            <w:r>
              <w:rPr>
                <w:noProof/>
              </w:rPr>
              <w:t>Decommitments made available again</w:t>
            </w:r>
            <w:r w:rsidRPr="406E9459">
              <w:rPr>
                <w:rFonts w:ascii="Calibri" w:hAnsi="Calibri" w:cs="Calibri"/>
                <w:noProof/>
              </w:rPr>
              <w:t> </w:t>
            </w:r>
            <w:r w:rsidRPr="406E9459">
              <w:rPr>
                <w:rFonts w:cs="Calibri"/>
                <w:noProof/>
              </w:rPr>
              <w:t>(</w:t>
            </w:r>
            <w:r>
              <w:rPr>
                <w:noProof/>
              </w:rPr>
              <w:t>*)</w:t>
            </w:r>
          </w:p>
        </w:tc>
        <w:tc>
          <w:tcPr>
            <w:tcW w:w="2610" w:type="dxa"/>
            <w:vAlign w:val="bottom"/>
          </w:tcPr>
          <w:p w14:paraId="46A8E152" w14:textId="77777777" w:rsidR="00CA208E" w:rsidRPr="00AA0126" w:rsidRDefault="00CA208E" w:rsidP="0083214A">
            <w:pPr>
              <w:spacing w:before="120" w:after="120"/>
              <w:jc w:val="center"/>
              <w:cnfStyle w:val="000000000000" w:firstRow="0" w:lastRow="0" w:firstColumn="0" w:lastColumn="0" w:oddVBand="0" w:evenVBand="0" w:oddHBand="0" w:evenHBand="0" w:firstRowFirstColumn="0" w:firstRowLastColumn="0" w:lastRowFirstColumn="0" w:lastRowLastColumn="0"/>
              <w:rPr>
                <w:noProof/>
              </w:rPr>
            </w:pPr>
            <w:r>
              <w:rPr>
                <w:noProof/>
              </w:rPr>
              <w:t>N/A</w:t>
            </w:r>
          </w:p>
        </w:tc>
      </w:tr>
      <w:tr w:rsidR="00CA208E" w:rsidRPr="00AA0126" w14:paraId="1584775B"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385C0489" w14:textId="77777777" w:rsidR="00CA208E" w:rsidRPr="00AA0126" w:rsidRDefault="00CA208E" w:rsidP="0083214A">
            <w:pPr>
              <w:spacing w:before="120" w:after="120"/>
              <w:rPr>
                <w:noProof/>
              </w:rPr>
            </w:pPr>
            <w:r w:rsidRPr="00AA0126">
              <w:rPr>
                <w:rFonts w:cs="Calibri"/>
                <w:noProof/>
                <w:color w:val="000000"/>
              </w:rPr>
              <w:t>Contributions from other countries and entities</w:t>
            </w:r>
          </w:p>
        </w:tc>
        <w:tc>
          <w:tcPr>
            <w:tcW w:w="2610" w:type="dxa"/>
            <w:vAlign w:val="bottom"/>
          </w:tcPr>
          <w:p w14:paraId="3D26D349" w14:textId="59306869" w:rsidR="00CA208E" w:rsidRPr="00AA0126" w:rsidRDefault="00CA208E"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Pr>
                <w:noProof/>
              </w:rPr>
              <w:t>0</w:t>
            </w:r>
          </w:p>
        </w:tc>
      </w:tr>
      <w:tr w:rsidR="00CA208E" w:rsidRPr="00AA0126" w14:paraId="0100629F"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CFCFC" w:themeFill="background2" w:themeFillTint="33"/>
            <w:vAlign w:val="bottom"/>
          </w:tcPr>
          <w:p w14:paraId="15E39DC0" w14:textId="77777777" w:rsidR="00CA208E" w:rsidRPr="00AA0126" w:rsidRDefault="00CA208E" w:rsidP="0083214A">
            <w:pPr>
              <w:spacing w:before="120" w:after="120"/>
              <w:rPr>
                <w:noProof/>
              </w:rPr>
            </w:pPr>
            <w:r w:rsidRPr="00AA0126">
              <w:rPr>
                <w:rFonts w:cs="Calibri"/>
                <w:noProof/>
                <w:color w:val="000000"/>
              </w:rPr>
              <w:t>Total budget for 2021-2027</w:t>
            </w:r>
          </w:p>
        </w:tc>
        <w:tc>
          <w:tcPr>
            <w:tcW w:w="2610" w:type="dxa"/>
            <w:shd w:val="clear" w:color="auto" w:fill="FCFCFC" w:themeFill="background2" w:themeFillTint="33"/>
            <w:vAlign w:val="bottom"/>
          </w:tcPr>
          <w:p w14:paraId="5827915C" w14:textId="77777777" w:rsidR="00CA208E" w:rsidRPr="00AA0126" w:rsidRDefault="00CA208E" w:rsidP="0083214A">
            <w:pPr>
              <w:spacing w:before="120" w:after="120"/>
              <w:jc w:val="center"/>
              <w:cnfStyle w:val="000000000000" w:firstRow="0" w:lastRow="0" w:firstColumn="0" w:lastColumn="0" w:oddVBand="0" w:evenVBand="0" w:oddHBand="0" w:evenHBand="0" w:firstRowFirstColumn="0" w:firstRowLastColumn="0" w:lastRowFirstColumn="0" w:lastRowLastColumn="0"/>
              <w:rPr>
                <w:b/>
                <w:noProof/>
              </w:rPr>
            </w:pPr>
            <w:r w:rsidRPr="00AA0126">
              <w:rPr>
                <w:rFonts w:cs="Calibri"/>
                <w:b/>
                <w:noProof/>
                <w:color w:val="000000"/>
              </w:rPr>
              <w:t>500.0</w:t>
            </w:r>
          </w:p>
        </w:tc>
      </w:tr>
    </w:tbl>
    <w:p w14:paraId="06D42C55" w14:textId="77777777" w:rsidR="00CA208E" w:rsidRPr="00AA0126" w:rsidRDefault="00CA208E" w:rsidP="00CA208E">
      <w:pPr>
        <w:tabs>
          <w:tab w:val="left" w:pos="6793"/>
        </w:tabs>
        <w:rPr>
          <w:noProof/>
          <w:sz w:val="18"/>
          <w:szCs w:val="18"/>
        </w:rPr>
      </w:pPr>
      <w:r w:rsidRPr="00AA0126">
        <w:rPr>
          <w:noProof/>
          <w:sz w:val="18"/>
          <w:szCs w:val="18"/>
        </w:rPr>
        <w:t>(*) Only Article</w:t>
      </w:r>
      <w:r w:rsidRPr="00AA0126">
        <w:rPr>
          <w:rFonts w:ascii="Calibri" w:hAnsi="Calibri" w:cs="Calibri"/>
          <w:noProof/>
          <w:sz w:val="18"/>
          <w:szCs w:val="18"/>
        </w:rPr>
        <w:t> </w:t>
      </w:r>
      <w:r w:rsidRPr="00AA0126">
        <w:rPr>
          <w:noProof/>
          <w:sz w:val="18"/>
          <w:szCs w:val="18"/>
        </w:rPr>
        <w:t>15(3) of the financial regulation.</w:t>
      </w:r>
    </w:p>
    <w:p w14:paraId="14B55FB2" w14:textId="77777777" w:rsidR="00CA208E" w:rsidRPr="00AA0126" w:rsidRDefault="00CA208E" w:rsidP="00CA208E">
      <w:pPr>
        <w:pStyle w:val="ppoHeading5"/>
        <w:rPr>
          <w:noProof/>
        </w:rPr>
      </w:pPr>
      <w:r w:rsidRPr="00AA0126">
        <w:rPr>
          <w:noProof/>
        </w:rPr>
        <w:t>Rationale and design of the programme</w:t>
      </w:r>
    </w:p>
    <w:p w14:paraId="0D24F217" w14:textId="77777777" w:rsidR="00CA208E" w:rsidRPr="00AA0126" w:rsidRDefault="00CA208E" w:rsidP="00CA208E">
      <w:pPr>
        <w:rPr>
          <w:noProof/>
        </w:rPr>
      </w:pPr>
      <w:r w:rsidRPr="406E9459">
        <w:rPr>
          <w:rFonts w:eastAsiaTheme="minorEastAsia"/>
          <w:noProof/>
        </w:rPr>
        <w:t>The new decision on the</w:t>
      </w:r>
      <w:r>
        <w:rPr>
          <w:noProof/>
        </w:rPr>
        <w:t xml:space="preserve"> </w:t>
      </w:r>
      <w:r w:rsidRPr="406E9459">
        <w:rPr>
          <w:rFonts w:eastAsiaTheme="minorEastAsia"/>
          <w:noProof/>
        </w:rPr>
        <w:t xml:space="preserve">association of the overseas countries and territories (OCTs), including Greenland, with the EU (DOAG) provides an updated legal framework for supporting action by the 13 OCTs in tackling the challenges they face and ensuring their economic and social development. For the first time, the DOAG also incorporates Greenland, placing all OCTs firmly within the same instrument and under the same source of funding: the EU budget. </w:t>
      </w:r>
      <w:r>
        <w:rPr>
          <w:noProof/>
        </w:rPr>
        <w:t>(OCTs other than Greenland previously benefited from the European Development Fund).</w:t>
      </w:r>
    </w:p>
    <w:p w14:paraId="5D6823F3" w14:textId="77777777" w:rsidR="00CA208E" w:rsidRPr="00AA0126" w:rsidRDefault="00CA208E" w:rsidP="00CA208E">
      <w:pPr>
        <w:rPr>
          <w:rFonts w:eastAsiaTheme="minorEastAsia"/>
          <w:noProof/>
        </w:rPr>
      </w:pPr>
      <w:r>
        <w:rPr>
          <w:noProof/>
        </w:rPr>
        <w:t>The 13 OCTs are not sovereign countries. They are part of the territory of three EU Member States (Denmark, France and the Netherlands), but not of the EU, though they have been associated with the EU since the Treaties of Rome. Except for Wallis and Futuna, OCTs are not eligible for development aid under Organisation for Economic Co-operation and Development criteria.</w:t>
      </w:r>
    </w:p>
    <w:p w14:paraId="7F37FD53" w14:textId="77777777" w:rsidR="00CA208E" w:rsidRPr="00AA0126" w:rsidRDefault="00CA208E" w:rsidP="00CA208E">
      <w:pPr>
        <w:pStyle w:val="ppoListHyphened-L1"/>
        <w:numPr>
          <w:ilvl w:val="0"/>
          <w:numId w:val="0"/>
        </w:numPr>
        <w:ind w:left="357"/>
        <w:rPr>
          <w:rFonts w:eastAsiaTheme="majorEastAsia" w:cstheme="majorBidi"/>
          <w:caps/>
          <w:noProof/>
          <w:sz w:val="32"/>
          <w:szCs w:val="24"/>
          <w:lang w:eastAsia="en-GB"/>
        </w:rPr>
      </w:pPr>
      <w:r w:rsidRPr="00AA0126">
        <w:rPr>
          <w:rFonts w:eastAsiaTheme="majorEastAsia" w:cstheme="majorBidi"/>
          <w:caps/>
          <w:noProof/>
          <w:sz w:val="32"/>
          <w:szCs w:val="24"/>
          <w:lang w:eastAsia="en-GB"/>
        </w:rPr>
        <w:t>Challenge</w:t>
      </w:r>
    </w:p>
    <w:p w14:paraId="21FE4BCB" w14:textId="77777777" w:rsidR="00CA208E" w:rsidRPr="00AA0126" w:rsidRDefault="00CA208E" w:rsidP="00CA208E">
      <w:pPr>
        <w:rPr>
          <w:noProof/>
        </w:rPr>
      </w:pPr>
      <w:r>
        <w:rPr>
          <w:noProof/>
        </w:rPr>
        <w:t>OCTs are especially vulnerable to climate change and environmental degradation due to their geography (all are islands). At the same time, almost all are located in global biodiversity hotspots and</w:t>
      </w:r>
      <w:r w:rsidRPr="406E9459">
        <w:rPr>
          <w:rFonts w:ascii="Calibri" w:hAnsi="Calibri" w:cs="Calibri"/>
          <w:noProof/>
        </w:rPr>
        <w:t> </w:t>
      </w:r>
      <w:r>
        <w:rPr>
          <w:noProof/>
        </w:rPr>
        <w:t>– together with the outermost regions</w:t>
      </w:r>
      <w:r w:rsidRPr="406E9459">
        <w:rPr>
          <w:rFonts w:ascii="Calibri" w:hAnsi="Calibri" w:cs="Calibri"/>
          <w:noProof/>
        </w:rPr>
        <w:t> </w:t>
      </w:r>
      <w:r>
        <w:rPr>
          <w:noProof/>
        </w:rPr>
        <w:t>– they account for the vast majority of EU biodiversity. They face major challenges in terms of ensuring economic diversification (including moving away from an overreliance on potentially volatile tourism revenues), competitiveness, digital transformation and connectivity (several of the OCT islands are remote and isolated). Finally, the OCTs in the Caribbean also face migratory pressures due to the crisis in Venezuela.</w:t>
      </w:r>
    </w:p>
    <w:p w14:paraId="33AE814A" w14:textId="77777777" w:rsidR="00CA208E" w:rsidRPr="00AA0126" w:rsidRDefault="00CA208E" w:rsidP="00CA208E">
      <w:pPr>
        <w:rPr>
          <w:noProof/>
        </w:rPr>
      </w:pPr>
      <w:r>
        <w:rPr>
          <w:noProof/>
        </w:rPr>
        <w:t>The new DOAG provides an updated legal framework for supporting OCTs’ actions in tackling these challenges and ensuring their economic and social development.</w:t>
      </w:r>
    </w:p>
    <w:p w14:paraId="48A2C5DB" w14:textId="77777777" w:rsidR="00CA208E" w:rsidRPr="00AA0126" w:rsidRDefault="00CA208E" w:rsidP="00CA208E">
      <w:pPr>
        <w:rPr>
          <w:noProof/>
        </w:rPr>
      </w:pPr>
      <w:r>
        <w:rPr>
          <w:noProof/>
        </w:rPr>
        <w:t>The EU has an interest in supporting the OCTs’ economic and social development, as they share EU values and policy priorities and are important EU ambassadors in their regions. The OCTs can benefit from the EU’s significant expertise in sustainable development.</w:t>
      </w:r>
    </w:p>
    <w:p w14:paraId="278D3176" w14:textId="77777777" w:rsidR="00CA208E" w:rsidRPr="00AA0126" w:rsidRDefault="00CA208E" w:rsidP="00CA208E">
      <w:pPr>
        <w:pStyle w:val="ppoHeading6"/>
        <w:rPr>
          <w:noProof/>
        </w:rPr>
      </w:pPr>
      <w:r w:rsidRPr="00AA0126">
        <w:rPr>
          <w:noProof/>
        </w:rPr>
        <w:t>Mission</w:t>
      </w:r>
    </w:p>
    <w:p w14:paraId="6EAF399B" w14:textId="77777777" w:rsidR="00CA208E" w:rsidRPr="00AA0126" w:rsidRDefault="00CA208E" w:rsidP="00CA208E">
      <w:pPr>
        <w:rPr>
          <w:noProof/>
        </w:rPr>
      </w:pPr>
      <w:r>
        <w:rPr>
          <w:noProof/>
        </w:rPr>
        <w:t>The general objective of the DOAG is to promote the economic and social development of the OCTs and to establish close economic relations between them and the EU as a whole. The DOAG will pursue this general objective by enhancing their competitiveness, strengthening their resilience, reducing their economic and environmental vulnerability and promoting cooperation between them and other partners, including the EU as a whole.</w:t>
      </w:r>
    </w:p>
    <w:p w14:paraId="5341E2EC" w14:textId="77777777" w:rsidR="00CA208E" w:rsidRPr="00AA0126" w:rsidRDefault="00CA208E" w:rsidP="00CA208E">
      <w:pPr>
        <w:pStyle w:val="ppoHeading6"/>
        <w:jc w:val="both"/>
        <w:rPr>
          <w:noProof/>
        </w:rPr>
      </w:pPr>
      <w:r w:rsidRPr="00AA0126">
        <w:rPr>
          <w:noProof/>
        </w:rPr>
        <w:t>Objectives</w:t>
      </w:r>
    </w:p>
    <w:p w14:paraId="21AB5C11" w14:textId="77777777" w:rsidR="00CA208E" w:rsidRPr="00AA0126" w:rsidRDefault="00CA208E" w:rsidP="00CA208E">
      <w:pPr>
        <w:rPr>
          <w:noProof/>
        </w:rPr>
      </w:pPr>
      <w:r>
        <w:rPr>
          <w:noProof/>
        </w:rPr>
        <w:t>The association between the EU and the OCTs is based on the pillars of political, trade and cooperation. The specific objectives of the DOAG are:</w:t>
      </w:r>
    </w:p>
    <w:p w14:paraId="45F7B3F8" w14:textId="77777777" w:rsidR="00CA208E" w:rsidRPr="00AA0126" w:rsidRDefault="00CA208E" w:rsidP="006F409B">
      <w:pPr>
        <w:pStyle w:val="ppoListArabic1aiii-L1"/>
        <w:numPr>
          <w:ilvl w:val="0"/>
          <w:numId w:val="129"/>
        </w:numPr>
        <w:jc w:val="both"/>
        <w:rPr>
          <w:noProof/>
        </w:rPr>
      </w:pPr>
      <w:r>
        <w:rPr>
          <w:noProof/>
        </w:rPr>
        <w:t>to foster and support cooperation with OCTs, including addressing their major challenges and reaching the United Nations’ sustainable development goals;</w:t>
      </w:r>
    </w:p>
    <w:p w14:paraId="4AC008FC" w14:textId="77777777" w:rsidR="00CA208E" w:rsidRPr="00AA0126" w:rsidRDefault="00CA208E" w:rsidP="006F409B">
      <w:pPr>
        <w:pStyle w:val="ppoListArabic1aiii-L1"/>
        <w:numPr>
          <w:ilvl w:val="0"/>
          <w:numId w:val="129"/>
        </w:numPr>
        <w:jc w:val="both"/>
        <w:rPr>
          <w:noProof/>
        </w:rPr>
      </w:pPr>
      <w:r w:rsidRPr="00AA0126">
        <w:rPr>
          <w:noProof/>
        </w:rPr>
        <w:t>to support and to cooperate with Greenland in addressing its major challenges, such as raising the education level, and to contribute to the capacity of its administration to formulate and implement national policies.</w:t>
      </w:r>
    </w:p>
    <w:p w14:paraId="442587DC" w14:textId="77777777" w:rsidR="00CA208E" w:rsidRPr="00AA0126" w:rsidRDefault="00CA208E" w:rsidP="00CA208E">
      <w:pPr>
        <w:pStyle w:val="ppoHeading6"/>
        <w:rPr>
          <w:noProof/>
        </w:rPr>
      </w:pPr>
      <w:r w:rsidRPr="00AA0126">
        <w:rPr>
          <w:noProof/>
        </w:rPr>
        <w:t>Actions</w:t>
      </w:r>
    </w:p>
    <w:p w14:paraId="6ED9D45E" w14:textId="77777777" w:rsidR="00CA208E" w:rsidRPr="00AA0126" w:rsidRDefault="00CA208E" w:rsidP="00CA208E">
      <w:pPr>
        <w:rPr>
          <w:noProof/>
        </w:rPr>
      </w:pPr>
      <w:bookmarkStart w:id="266" w:name="_Hlk101864567"/>
      <w:r>
        <w:rPr>
          <w:noProof/>
        </w:rPr>
        <w:t>Cooperation through the DOAG takes place via the following main types of action</w:t>
      </w:r>
      <w:bookmarkEnd w:id="266"/>
      <w:r>
        <w:rPr>
          <w:noProof/>
        </w:rPr>
        <w:t>:</w:t>
      </w:r>
    </w:p>
    <w:p w14:paraId="35B504FF" w14:textId="77777777" w:rsidR="00CA208E" w:rsidRPr="00AA0126" w:rsidRDefault="00CA208E" w:rsidP="00CA208E">
      <w:pPr>
        <w:pStyle w:val="ppoListHyphened-L1"/>
        <w:numPr>
          <w:ilvl w:val="0"/>
          <w:numId w:val="111"/>
        </w:numPr>
        <w:jc w:val="both"/>
        <w:rPr>
          <w:noProof/>
        </w:rPr>
      </w:pPr>
      <w:r>
        <w:rPr>
          <w:noProof/>
        </w:rPr>
        <w:t>geographic/bilateral cooperation with individual OCTs;</w:t>
      </w:r>
    </w:p>
    <w:p w14:paraId="7C8D855F" w14:textId="77777777" w:rsidR="00CA208E" w:rsidRPr="00AA0126" w:rsidRDefault="00CA208E" w:rsidP="00CA208E">
      <w:pPr>
        <w:pStyle w:val="ppoListHyphened-L1"/>
        <w:numPr>
          <w:ilvl w:val="0"/>
          <w:numId w:val="111"/>
        </w:numPr>
        <w:jc w:val="both"/>
        <w:rPr>
          <w:noProof/>
        </w:rPr>
      </w:pPr>
      <w:r>
        <w:rPr>
          <w:noProof/>
        </w:rPr>
        <w:t>regional programmes benefiting OCTs in the Caribbean, Pacific and Indian Ocean regions, based on shared needs;</w:t>
      </w:r>
    </w:p>
    <w:p w14:paraId="5C428C70" w14:textId="77777777" w:rsidR="00CA208E" w:rsidRPr="00AA0126" w:rsidRDefault="00CA208E" w:rsidP="00CA208E">
      <w:pPr>
        <w:pStyle w:val="ppoListHyphened-L1"/>
        <w:numPr>
          <w:ilvl w:val="0"/>
          <w:numId w:val="111"/>
        </w:numPr>
        <w:jc w:val="both"/>
        <w:rPr>
          <w:noProof/>
        </w:rPr>
      </w:pPr>
      <w:r>
        <w:rPr>
          <w:noProof/>
        </w:rPr>
        <w:t>intraregional programmes for cooperation between one or a group of OCTs and one or more non-OCT neighbours, who would participate with their own funds;</w:t>
      </w:r>
    </w:p>
    <w:p w14:paraId="00129981" w14:textId="77777777" w:rsidR="00CA208E" w:rsidRPr="00AA0126" w:rsidRDefault="00CA208E" w:rsidP="00CA208E">
      <w:pPr>
        <w:pStyle w:val="ppoListHyphened-L1"/>
        <w:numPr>
          <w:ilvl w:val="0"/>
          <w:numId w:val="111"/>
        </w:numPr>
        <w:jc w:val="both"/>
        <w:rPr>
          <w:noProof/>
        </w:rPr>
      </w:pPr>
      <w:r>
        <w:rPr>
          <w:noProof/>
        </w:rPr>
        <w:t>technical assistance and institutional support;</w:t>
      </w:r>
    </w:p>
    <w:p w14:paraId="6497A428" w14:textId="77777777" w:rsidR="00CA208E" w:rsidRPr="00AA0126" w:rsidRDefault="00CA208E" w:rsidP="00CA208E">
      <w:pPr>
        <w:pStyle w:val="ppoListHyphened-L1"/>
        <w:numPr>
          <w:ilvl w:val="0"/>
          <w:numId w:val="111"/>
        </w:numPr>
        <w:jc w:val="both"/>
        <w:rPr>
          <w:noProof/>
        </w:rPr>
      </w:pPr>
      <w:r>
        <w:rPr>
          <w:noProof/>
        </w:rPr>
        <w:t>additionally, the DOAG sets aside a ‘reserve’ to help OCTs respond to unexpected circumstances, emerging challenges (e.g. migratory pressures) and new international priorities.</w:t>
      </w:r>
    </w:p>
    <w:p w14:paraId="28817883" w14:textId="77777777" w:rsidR="00CA208E" w:rsidRPr="00AA0126" w:rsidRDefault="00CA208E" w:rsidP="00CA208E">
      <w:pPr>
        <w:pStyle w:val="ppoHeading6"/>
        <w:jc w:val="both"/>
        <w:rPr>
          <w:noProof/>
        </w:rPr>
      </w:pPr>
      <w:r w:rsidRPr="00AA0126">
        <w:rPr>
          <w:noProof/>
        </w:rPr>
        <w:t>Delivery mode</w:t>
      </w:r>
    </w:p>
    <w:p w14:paraId="09F902E0" w14:textId="77777777" w:rsidR="00CA208E" w:rsidRPr="00AA0126" w:rsidRDefault="00CA208E" w:rsidP="00CA208E">
      <w:pPr>
        <w:rPr>
          <w:noProof/>
        </w:rPr>
      </w:pPr>
      <w:r>
        <w:rPr>
          <w:noProof/>
        </w:rPr>
        <w:t>The programme is implemented under direct management by the Commission from its headquarters and/or through the EU delegations, and under indirect management by entities such as Member State agencies or international organisations that ensure a level of protection of the EU’s financial interests equivalent to that under direct management. Indirect management may also be entrusted to partner countries or the bodies they designate.</w:t>
      </w:r>
    </w:p>
    <w:p w14:paraId="30EFF137" w14:textId="77777777" w:rsidR="00CA208E" w:rsidRPr="00AA0126" w:rsidRDefault="00CA208E" w:rsidP="00CA208E">
      <w:pPr>
        <w:rPr>
          <w:noProof/>
        </w:rPr>
      </w:pPr>
      <w:r>
        <w:rPr>
          <w:noProof/>
        </w:rPr>
        <w:t>The lead directorate-general is DG International Partnerships, in cooperation with DG Regional and Urban Policy, DG Trade and other line DGs</w:t>
      </w:r>
      <w:r w:rsidRPr="406E9459">
        <w:rPr>
          <w:rFonts w:ascii="Calibri" w:hAnsi="Calibri" w:cs="Calibri"/>
          <w:noProof/>
        </w:rPr>
        <w:t> </w:t>
      </w:r>
      <w:r>
        <w:rPr>
          <w:noProof/>
        </w:rPr>
        <w:t>– especially on the external dimensions of internal policies such as climate, environment, energy, health and digital.</w:t>
      </w:r>
    </w:p>
    <w:p w14:paraId="00059A69" w14:textId="77777777" w:rsidR="00CA208E" w:rsidRPr="00AA0126" w:rsidRDefault="00CA208E" w:rsidP="00CA208E">
      <w:pPr>
        <w:pStyle w:val="ppoHeading6"/>
        <w:jc w:val="both"/>
        <w:rPr>
          <w:noProof/>
        </w:rPr>
      </w:pPr>
      <w:r>
        <w:rPr>
          <w:noProof/>
        </w:rPr>
        <w:t>LINK TO THE 2014-2020 multiannual financial framework</w:t>
      </w:r>
    </w:p>
    <w:p w14:paraId="72014FEF" w14:textId="77777777" w:rsidR="00CA208E" w:rsidRPr="00AA0126" w:rsidRDefault="00CA208E" w:rsidP="00CA208E">
      <w:pPr>
        <w:rPr>
          <w:noProof/>
        </w:rPr>
      </w:pPr>
      <w:r>
        <w:rPr>
          <w:noProof/>
        </w:rPr>
        <w:t>Under the 2014-2020 multiannual financial framework, cooperation with OCTs was carried out under both the overseas association decision (which also applied to Greenland) and the additional Greenland decision. For simplification purposes, and taking into account the 2017 midterm evaluation of external financing instruments, the overseas association decision and the Greenland decision were merged into a single new DOAG under the 2021-2027 multiannual financial framework.</w:t>
      </w:r>
    </w:p>
    <w:p w14:paraId="376480F5" w14:textId="77777777" w:rsidR="00CA208E" w:rsidRPr="00AA0126" w:rsidRDefault="00CA208E" w:rsidP="00CA208E">
      <w:pPr>
        <w:rPr>
          <w:noProof/>
        </w:rPr>
      </w:pPr>
      <w:r>
        <w:rPr>
          <w:noProof/>
        </w:rPr>
        <w:t xml:space="preserve">With the ‘budgetisation’ of the European Development Fund under the 2021-2027 multiannual financial framework, the EU budget became the unified source of financing for all OCTs. For the first time, the new DOAG envisages an earmarked envelope for strengthened cooperation with non-OCT neighbours and two horizontal spending targets: </w:t>
      </w:r>
      <w:bookmarkStart w:id="267" w:name="_Hlk101867891"/>
      <w:r>
        <w:rPr>
          <w:noProof/>
        </w:rPr>
        <w:t xml:space="preserve">25% of the overall DOAG envelope for climate-change objectives; and 7.5% of annual spending for biodiversity objectives </w:t>
      </w:r>
      <w:bookmarkEnd w:id="267"/>
      <w:r>
        <w:rPr>
          <w:noProof/>
        </w:rPr>
        <w:t>in 2024 and 10% in 2026 and 2027.</w:t>
      </w:r>
    </w:p>
    <w:p w14:paraId="25B40575" w14:textId="77777777" w:rsidR="00CA208E" w:rsidRPr="00AA0126" w:rsidRDefault="00CA208E" w:rsidP="00CA208E">
      <w:pPr>
        <w:rPr>
          <w:noProof/>
        </w:rPr>
      </w:pPr>
      <w:r>
        <w:rPr>
          <w:noProof/>
        </w:rPr>
        <w:t>With the new external financing architecture, OCTs will be eligible for investment financing from InvestEU, as the DOAG no longer provides for a dedicated OCT investment facility.</w:t>
      </w:r>
    </w:p>
    <w:p w14:paraId="064213CD" w14:textId="77777777" w:rsidR="00CA208E" w:rsidRPr="00AA0126" w:rsidRDefault="00CA208E" w:rsidP="00CA208E">
      <w:pPr>
        <w:rPr>
          <w:noProof/>
        </w:rPr>
      </w:pPr>
      <w:r>
        <w:rPr>
          <w:noProof/>
        </w:rPr>
        <w:t>OCTs are also eligible for the thematic and rapid response actions of the Neighbourhood, Development and International Cooperation Instrument</w:t>
      </w:r>
      <w:r w:rsidRPr="406E9459">
        <w:rPr>
          <w:rFonts w:ascii="Calibri" w:hAnsi="Calibri" w:cs="Calibri"/>
          <w:noProof/>
        </w:rPr>
        <w:t> </w:t>
      </w:r>
      <w:r>
        <w:rPr>
          <w:noProof/>
        </w:rPr>
        <w:t>– Global Europe, and as a matter of principle they are eligible for EU horizontal programmes.</w:t>
      </w:r>
    </w:p>
    <w:p w14:paraId="2FFE5F17" w14:textId="77777777" w:rsidR="00CA208E" w:rsidRPr="00AA0126" w:rsidRDefault="00CA208E" w:rsidP="00CA208E">
      <w:pPr>
        <w:pStyle w:val="ppoHeading6"/>
        <w:jc w:val="both"/>
        <w:rPr>
          <w:noProof/>
        </w:rPr>
      </w:pPr>
      <w:r w:rsidRPr="00AA0126">
        <w:rPr>
          <w:noProof/>
        </w:rPr>
        <w:t>Impact assessment</w:t>
      </w:r>
    </w:p>
    <w:p w14:paraId="4C92B0FF" w14:textId="77777777" w:rsidR="00CA208E" w:rsidRPr="00AA0126" w:rsidRDefault="00CA208E" w:rsidP="00CA208E">
      <w:pPr>
        <w:rPr>
          <w:noProof/>
        </w:rPr>
      </w:pPr>
      <w:r>
        <w:rPr>
          <w:noProof/>
        </w:rPr>
        <w:t>The impact assessment of the association of the OCTs with the EU was carried out in 2018.</w:t>
      </w:r>
    </w:p>
    <w:p w14:paraId="329D16F5" w14:textId="77777777" w:rsidR="00CA208E" w:rsidRPr="00AA0126" w:rsidRDefault="00CA208E" w:rsidP="00CA208E">
      <w:pPr>
        <w:rPr>
          <w:noProof/>
        </w:rPr>
      </w:pPr>
      <w:r w:rsidRPr="00AA0126">
        <w:rPr>
          <w:noProof/>
        </w:rPr>
        <w:t xml:space="preserve">For further information please consult: </w:t>
      </w:r>
      <w:hyperlink r:id="rId581" w:history="1">
        <w:r w:rsidRPr="00AA0126">
          <w:rPr>
            <w:rStyle w:val="Hyperlink"/>
            <w:noProof/>
          </w:rPr>
          <w:t>https://europa.eu/!gh96VH</w:t>
        </w:r>
      </w:hyperlink>
    </w:p>
    <w:p w14:paraId="4F867332" w14:textId="77777777" w:rsidR="00CA208E" w:rsidRPr="00AA0126" w:rsidRDefault="00CA208E" w:rsidP="00CA208E">
      <w:pPr>
        <w:pStyle w:val="ppoHeading6"/>
        <w:jc w:val="both"/>
        <w:rPr>
          <w:noProof/>
        </w:rPr>
      </w:pPr>
      <w:r w:rsidRPr="00AA0126">
        <w:rPr>
          <w:noProof/>
        </w:rPr>
        <w:t>WEBSITE FOR more information</w:t>
      </w:r>
    </w:p>
    <w:p w14:paraId="73FE15DC" w14:textId="77777777" w:rsidR="00CA208E" w:rsidRPr="00AA0126" w:rsidRDefault="00E01E9B" w:rsidP="00CA208E">
      <w:pPr>
        <w:rPr>
          <w:noProof/>
        </w:rPr>
      </w:pPr>
      <w:hyperlink r:id="rId582" w:history="1">
        <w:r w:rsidR="00CA208E" w:rsidRPr="00AA0126">
          <w:rPr>
            <w:rStyle w:val="Hyperlink"/>
            <w:noProof/>
          </w:rPr>
          <w:t>https://europa.eu/!JF97ku</w:t>
        </w:r>
      </w:hyperlink>
    </w:p>
    <w:p w14:paraId="75998ACF" w14:textId="77777777" w:rsidR="00CA208E" w:rsidRPr="00AA0126" w:rsidRDefault="00CA208E" w:rsidP="00CA208E">
      <w:pPr>
        <w:pStyle w:val="ppoHeading5"/>
        <w:rPr>
          <w:noProof/>
        </w:rPr>
      </w:pPr>
      <w:r w:rsidRPr="406E9459">
        <w:rPr>
          <w:rFonts w:eastAsiaTheme="minorEastAsia"/>
          <w:noProof/>
        </w:rPr>
        <w:t>Legal basis</w:t>
      </w:r>
    </w:p>
    <w:p w14:paraId="1E6F2B00" w14:textId="77777777" w:rsidR="00CA208E" w:rsidRPr="00AA0126" w:rsidRDefault="00CA208E" w:rsidP="00CA208E">
      <w:pPr>
        <w:rPr>
          <w:noProof/>
        </w:rPr>
      </w:pPr>
      <w:r>
        <w:rPr>
          <w:noProof/>
        </w:rPr>
        <w:t>Council Decision EU 2021/1764.</w:t>
      </w:r>
    </w:p>
    <w:p w14:paraId="29D165F5" w14:textId="77777777" w:rsidR="00CA208E" w:rsidRPr="00AA0126" w:rsidRDefault="00CA208E" w:rsidP="00CA208E">
      <w:pPr>
        <w:pStyle w:val="ppoHeading4Red"/>
        <w:rPr>
          <w:caps/>
          <w:noProof/>
        </w:rPr>
      </w:pPr>
      <w:r w:rsidRPr="00AA0126">
        <w:rPr>
          <w:noProof/>
        </w:rPr>
        <w:t>Implementation and performance</w:t>
      </w:r>
    </w:p>
    <w:p w14:paraId="6141425E" w14:textId="77777777" w:rsidR="00CA208E" w:rsidRPr="00AA0126" w:rsidRDefault="00CA208E" w:rsidP="00CA208E">
      <w:pPr>
        <w:pStyle w:val="ppoHeading5"/>
        <w:rPr>
          <w:noProof/>
        </w:rPr>
      </w:pPr>
      <w:r w:rsidRPr="00AA0126">
        <w:rPr>
          <w:noProof/>
        </w:rPr>
        <w:t>Budget</w:t>
      </w:r>
    </w:p>
    <w:p w14:paraId="1F9BEC3D" w14:textId="77777777" w:rsidR="00CA208E" w:rsidRPr="00AA0126" w:rsidRDefault="00CA208E" w:rsidP="00CA208E">
      <w:pPr>
        <w:pStyle w:val="ppoTableTabletitle"/>
        <w:rPr>
          <w:noProof/>
        </w:rPr>
      </w:pPr>
      <w:r w:rsidRPr="00AA0126">
        <w:rPr>
          <w:noProof/>
        </w:rPr>
        <w:t>Budget programming (million 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CA208E" w:rsidRPr="00AA0126" w14:paraId="33EDD8CB" w14:textId="77777777" w:rsidTr="0083214A">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3BC29CB4" w14:textId="77777777" w:rsidR="00CA208E" w:rsidRPr="00AA0126" w:rsidRDefault="00CA208E" w:rsidP="0083214A">
            <w:pPr>
              <w:rPr>
                <w:noProof/>
              </w:rPr>
            </w:pPr>
          </w:p>
        </w:tc>
        <w:tc>
          <w:tcPr>
            <w:tcW w:w="943" w:type="dxa"/>
            <w:noWrap/>
            <w:hideMark/>
          </w:tcPr>
          <w:p w14:paraId="3402763D" w14:textId="77777777" w:rsidR="00CA208E" w:rsidRPr="00AA0126" w:rsidRDefault="00CA208E" w:rsidP="0083214A">
            <w:pPr>
              <w:rPr>
                <w:noProof/>
              </w:rPr>
            </w:pPr>
            <w:r w:rsidRPr="00AA0126">
              <w:rPr>
                <w:noProof/>
              </w:rPr>
              <w:t>2021</w:t>
            </w:r>
          </w:p>
        </w:tc>
        <w:tc>
          <w:tcPr>
            <w:tcW w:w="944" w:type="dxa"/>
            <w:noWrap/>
            <w:hideMark/>
          </w:tcPr>
          <w:p w14:paraId="5D7EDBA0" w14:textId="77777777" w:rsidR="00CA208E" w:rsidRPr="00AA0126" w:rsidRDefault="00CA208E" w:rsidP="0083214A">
            <w:pPr>
              <w:rPr>
                <w:noProof/>
              </w:rPr>
            </w:pPr>
            <w:r w:rsidRPr="00AA0126">
              <w:rPr>
                <w:noProof/>
              </w:rPr>
              <w:t>2022</w:t>
            </w:r>
          </w:p>
        </w:tc>
        <w:tc>
          <w:tcPr>
            <w:tcW w:w="943" w:type="dxa"/>
            <w:noWrap/>
            <w:hideMark/>
          </w:tcPr>
          <w:p w14:paraId="66BC5E51" w14:textId="77777777" w:rsidR="00CA208E" w:rsidRPr="00AA0126" w:rsidRDefault="00CA208E" w:rsidP="0083214A">
            <w:pPr>
              <w:rPr>
                <w:noProof/>
              </w:rPr>
            </w:pPr>
            <w:r w:rsidRPr="00AA0126">
              <w:rPr>
                <w:noProof/>
              </w:rPr>
              <w:t>2023</w:t>
            </w:r>
          </w:p>
        </w:tc>
        <w:tc>
          <w:tcPr>
            <w:tcW w:w="944" w:type="dxa"/>
            <w:noWrap/>
            <w:hideMark/>
          </w:tcPr>
          <w:p w14:paraId="637B376B" w14:textId="77777777" w:rsidR="00CA208E" w:rsidRPr="00AA0126" w:rsidRDefault="00CA208E" w:rsidP="0083214A">
            <w:pPr>
              <w:rPr>
                <w:noProof/>
              </w:rPr>
            </w:pPr>
            <w:r w:rsidRPr="00AA0126">
              <w:rPr>
                <w:noProof/>
              </w:rPr>
              <w:t>2024</w:t>
            </w:r>
          </w:p>
        </w:tc>
        <w:tc>
          <w:tcPr>
            <w:tcW w:w="944" w:type="dxa"/>
            <w:noWrap/>
            <w:hideMark/>
          </w:tcPr>
          <w:p w14:paraId="0909F697" w14:textId="77777777" w:rsidR="00CA208E" w:rsidRPr="00AA0126" w:rsidRDefault="00CA208E" w:rsidP="0083214A">
            <w:pPr>
              <w:rPr>
                <w:noProof/>
              </w:rPr>
            </w:pPr>
            <w:r w:rsidRPr="00AA0126">
              <w:rPr>
                <w:noProof/>
              </w:rPr>
              <w:t>2025</w:t>
            </w:r>
          </w:p>
        </w:tc>
        <w:tc>
          <w:tcPr>
            <w:tcW w:w="943" w:type="dxa"/>
            <w:noWrap/>
            <w:hideMark/>
          </w:tcPr>
          <w:p w14:paraId="5E45B5DA" w14:textId="77777777" w:rsidR="00CA208E" w:rsidRPr="00AA0126" w:rsidRDefault="00CA208E" w:rsidP="0083214A">
            <w:pPr>
              <w:rPr>
                <w:noProof/>
              </w:rPr>
            </w:pPr>
            <w:r w:rsidRPr="00AA0126">
              <w:rPr>
                <w:noProof/>
              </w:rPr>
              <w:t>2026</w:t>
            </w:r>
          </w:p>
        </w:tc>
        <w:tc>
          <w:tcPr>
            <w:tcW w:w="944" w:type="dxa"/>
            <w:noWrap/>
            <w:hideMark/>
          </w:tcPr>
          <w:p w14:paraId="335E5279" w14:textId="77777777" w:rsidR="00CA208E" w:rsidRPr="00AA0126" w:rsidRDefault="00CA208E" w:rsidP="0083214A">
            <w:pPr>
              <w:rPr>
                <w:noProof/>
              </w:rPr>
            </w:pPr>
            <w:r w:rsidRPr="00AA0126">
              <w:rPr>
                <w:noProof/>
              </w:rPr>
              <w:t>2027</w:t>
            </w:r>
          </w:p>
        </w:tc>
        <w:tc>
          <w:tcPr>
            <w:tcW w:w="944" w:type="dxa"/>
            <w:noWrap/>
            <w:hideMark/>
          </w:tcPr>
          <w:p w14:paraId="448EC379" w14:textId="77777777" w:rsidR="00CA208E" w:rsidRPr="00AA0126" w:rsidRDefault="00CA208E" w:rsidP="0083214A">
            <w:pPr>
              <w:rPr>
                <w:noProof/>
              </w:rPr>
            </w:pPr>
            <w:r w:rsidRPr="00AA0126">
              <w:rPr>
                <w:noProof/>
              </w:rPr>
              <w:t>Total</w:t>
            </w:r>
          </w:p>
        </w:tc>
      </w:tr>
      <w:tr w:rsidR="00CA208E" w:rsidRPr="00AA0126" w14:paraId="6DD877E7"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46A2A36F" w14:textId="77777777" w:rsidR="00CA208E" w:rsidRPr="00AA0126" w:rsidRDefault="00CA208E" w:rsidP="0083214A">
            <w:pPr>
              <w:rPr>
                <w:noProof/>
              </w:rPr>
            </w:pPr>
            <w:r w:rsidRPr="00AA0126">
              <w:rPr>
                <w:noProof/>
              </w:rPr>
              <w:t>Financial programming</w:t>
            </w:r>
          </w:p>
        </w:tc>
        <w:tc>
          <w:tcPr>
            <w:tcW w:w="943" w:type="dxa"/>
            <w:noWrap/>
            <w:hideMark/>
          </w:tcPr>
          <w:p w14:paraId="6864C24C" w14:textId="77777777" w:rsidR="00CA208E" w:rsidRPr="00AA0126" w:rsidRDefault="00CA208E" w:rsidP="0083214A">
            <w:pPr>
              <w:jc w:val="center"/>
              <w:rPr>
                <w:noProof/>
              </w:rPr>
            </w:pPr>
            <w:r w:rsidRPr="00AA0126">
              <w:rPr>
                <w:noProof/>
              </w:rPr>
              <w:t>67.0</w:t>
            </w:r>
          </w:p>
        </w:tc>
        <w:tc>
          <w:tcPr>
            <w:tcW w:w="944" w:type="dxa"/>
            <w:noWrap/>
            <w:hideMark/>
          </w:tcPr>
          <w:p w14:paraId="7C7EC9CD" w14:textId="77777777" w:rsidR="00CA208E" w:rsidRPr="00AA0126" w:rsidRDefault="00CA208E" w:rsidP="0083214A">
            <w:pPr>
              <w:jc w:val="center"/>
              <w:rPr>
                <w:noProof/>
              </w:rPr>
            </w:pPr>
            <w:r w:rsidRPr="00AA0126">
              <w:rPr>
                <w:noProof/>
              </w:rPr>
              <w:t>69.0</w:t>
            </w:r>
          </w:p>
        </w:tc>
        <w:tc>
          <w:tcPr>
            <w:tcW w:w="943" w:type="dxa"/>
            <w:noWrap/>
            <w:hideMark/>
          </w:tcPr>
          <w:p w14:paraId="2710C8C4" w14:textId="77777777" w:rsidR="00CA208E" w:rsidRPr="00AA0126" w:rsidRDefault="00CA208E" w:rsidP="0083214A">
            <w:pPr>
              <w:jc w:val="center"/>
              <w:rPr>
                <w:noProof/>
              </w:rPr>
            </w:pPr>
            <w:r w:rsidRPr="00AA0126">
              <w:rPr>
                <w:noProof/>
              </w:rPr>
              <w:t>70.0</w:t>
            </w:r>
          </w:p>
        </w:tc>
        <w:tc>
          <w:tcPr>
            <w:tcW w:w="944" w:type="dxa"/>
            <w:noWrap/>
            <w:hideMark/>
          </w:tcPr>
          <w:p w14:paraId="49F2D474" w14:textId="77777777" w:rsidR="00CA208E" w:rsidRPr="00AA0126" w:rsidRDefault="00CA208E" w:rsidP="0083214A">
            <w:pPr>
              <w:jc w:val="center"/>
              <w:rPr>
                <w:noProof/>
              </w:rPr>
            </w:pPr>
            <w:r w:rsidRPr="00AA0126">
              <w:rPr>
                <w:noProof/>
              </w:rPr>
              <w:t>71.4</w:t>
            </w:r>
          </w:p>
        </w:tc>
        <w:tc>
          <w:tcPr>
            <w:tcW w:w="944" w:type="dxa"/>
            <w:noWrap/>
            <w:hideMark/>
          </w:tcPr>
          <w:p w14:paraId="03CD4A66" w14:textId="77777777" w:rsidR="00CA208E" w:rsidRPr="00AA0126" w:rsidRDefault="00CA208E" w:rsidP="0083214A">
            <w:pPr>
              <w:jc w:val="center"/>
              <w:rPr>
                <w:noProof/>
              </w:rPr>
            </w:pPr>
            <w:r w:rsidRPr="00AA0126">
              <w:rPr>
                <w:noProof/>
              </w:rPr>
              <w:t>72.9</w:t>
            </w:r>
          </w:p>
        </w:tc>
        <w:tc>
          <w:tcPr>
            <w:tcW w:w="943" w:type="dxa"/>
            <w:noWrap/>
            <w:hideMark/>
          </w:tcPr>
          <w:p w14:paraId="75ABDFE0" w14:textId="77777777" w:rsidR="00CA208E" w:rsidRPr="00AA0126" w:rsidRDefault="00CA208E" w:rsidP="0083214A">
            <w:pPr>
              <w:jc w:val="center"/>
              <w:rPr>
                <w:noProof/>
              </w:rPr>
            </w:pPr>
            <w:r w:rsidRPr="00AA0126">
              <w:rPr>
                <w:noProof/>
              </w:rPr>
              <w:t>74.3</w:t>
            </w:r>
          </w:p>
        </w:tc>
        <w:tc>
          <w:tcPr>
            <w:tcW w:w="944" w:type="dxa"/>
            <w:noWrap/>
            <w:hideMark/>
          </w:tcPr>
          <w:p w14:paraId="5DB896C0" w14:textId="77777777" w:rsidR="00CA208E" w:rsidRPr="00AA0126" w:rsidRDefault="00CA208E" w:rsidP="0083214A">
            <w:pPr>
              <w:jc w:val="center"/>
              <w:rPr>
                <w:noProof/>
              </w:rPr>
            </w:pPr>
            <w:r w:rsidRPr="00AA0126">
              <w:rPr>
                <w:noProof/>
              </w:rPr>
              <w:t>75.4</w:t>
            </w:r>
          </w:p>
        </w:tc>
        <w:tc>
          <w:tcPr>
            <w:tcW w:w="944" w:type="dxa"/>
            <w:noWrap/>
            <w:hideMark/>
          </w:tcPr>
          <w:p w14:paraId="0D7C1FB1" w14:textId="77777777" w:rsidR="00CA208E" w:rsidRPr="00AA0126" w:rsidRDefault="00CA208E" w:rsidP="0083214A">
            <w:pPr>
              <w:jc w:val="center"/>
              <w:rPr>
                <w:noProof/>
              </w:rPr>
            </w:pPr>
            <w:r w:rsidRPr="00AA0126">
              <w:rPr>
                <w:noProof/>
              </w:rPr>
              <w:t>500.0</w:t>
            </w:r>
          </w:p>
        </w:tc>
      </w:tr>
      <w:tr w:rsidR="00CA208E" w:rsidRPr="00AA0126" w14:paraId="6B31E958"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247CD85F" w14:textId="77777777" w:rsidR="00CA208E" w:rsidRPr="00AA0126" w:rsidRDefault="00CA208E" w:rsidP="0083214A">
            <w:pPr>
              <w:rPr>
                <w:noProof/>
              </w:rPr>
            </w:pPr>
            <w:r w:rsidRPr="00AA0126">
              <w:rPr>
                <w:noProof/>
              </w:rPr>
              <w:t>NextGenerationEU</w:t>
            </w:r>
          </w:p>
        </w:tc>
        <w:tc>
          <w:tcPr>
            <w:tcW w:w="943" w:type="dxa"/>
            <w:noWrap/>
          </w:tcPr>
          <w:p w14:paraId="64858D4D" w14:textId="77777777" w:rsidR="00CA208E" w:rsidRPr="00AA0126" w:rsidRDefault="00CA208E" w:rsidP="0083214A">
            <w:pPr>
              <w:jc w:val="center"/>
              <w:rPr>
                <w:noProof/>
              </w:rPr>
            </w:pPr>
          </w:p>
        </w:tc>
        <w:tc>
          <w:tcPr>
            <w:tcW w:w="944" w:type="dxa"/>
            <w:noWrap/>
          </w:tcPr>
          <w:p w14:paraId="728AA62D" w14:textId="77777777" w:rsidR="00CA208E" w:rsidRPr="00AA0126" w:rsidRDefault="00CA208E" w:rsidP="0083214A">
            <w:pPr>
              <w:jc w:val="center"/>
              <w:rPr>
                <w:noProof/>
              </w:rPr>
            </w:pPr>
          </w:p>
        </w:tc>
        <w:tc>
          <w:tcPr>
            <w:tcW w:w="943" w:type="dxa"/>
            <w:noWrap/>
          </w:tcPr>
          <w:p w14:paraId="4C15F911" w14:textId="77777777" w:rsidR="00CA208E" w:rsidRPr="00AA0126" w:rsidRDefault="00CA208E" w:rsidP="0083214A">
            <w:pPr>
              <w:jc w:val="center"/>
              <w:rPr>
                <w:noProof/>
              </w:rPr>
            </w:pPr>
          </w:p>
        </w:tc>
        <w:tc>
          <w:tcPr>
            <w:tcW w:w="944" w:type="dxa"/>
            <w:noWrap/>
          </w:tcPr>
          <w:p w14:paraId="0200F099" w14:textId="77777777" w:rsidR="00CA208E" w:rsidRPr="00AA0126" w:rsidRDefault="00CA208E" w:rsidP="0083214A">
            <w:pPr>
              <w:jc w:val="center"/>
              <w:rPr>
                <w:noProof/>
              </w:rPr>
            </w:pPr>
          </w:p>
        </w:tc>
        <w:tc>
          <w:tcPr>
            <w:tcW w:w="944" w:type="dxa"/>
            <w:noWrap/>
          </w:tcPr>
          <w:p w14:paraId="791AD4E0" w14:textId="77777777" w:rsidR="00CA208E" w:rsidRPr="00AA0126" w:rsidRDefault="00CA208E" w:rsidP="0083214A">
            <w:pPr>
              <w:jc w:val="center"/>
              <w:rPr>
                <w:noProof/>
              </w:rPr>
            </w:pPr>
          </w:p>
        </w:tc>
        <w:tc>
          <w:tcPr>
            <w:tcW w:w="943" w:type="dxa"/>
            <w:noWrap/>
          </w:tcPr>
          <w:p w14:paraId="15659788" w14:textId="77777777" w:rsidR="00CA208E" w:rsidRPr="00AA0126" w:rsidRDefault="00CA208E" w:rsidP="0083214A">
            <w:pPr>
              <w:jc w:val="center"/>
              <w:rPr>
                <w:noProof/>
              </w:rPr>
            </w:pPr>
          </w:p>
        </w:tc>
        <w:tc>
          <w:tcPr>
            <w:tcW w:w="944" w:type="dxa"/>
            <w:noWrap/>
          </w:tcPr>
          <w:p w14:paraId="7572F413" w14:textId="77777777" w:rsidR="00CA208E" w:rsidRPr="00AA0126" w:rsidRDefault="00CA208E" w:rsidP="0083214A">
            <w:pPr>
              <w:jc w:val="center"/>
              <w:rPr>
                <w:noProof/>
              </w:rPr>
            </w:pPr>
          </w:p>
        </w:tc>
        <w:tc>
          <w:tcPr>
            <w:tcW w:w="944" w:type="dxa"/>
            <w:noWrap/>
          </w:tcPr>
          <w:p w14:paraId="560A7B88" w14:textId="77777777" w:rsidR="00CA208E" w:rsidRPr="00AA0126" w:rsidRDefault="00CA208E" w:rsidP="0083214A">
            <w:pPr>
              <w:jc w:val="center"/>
              <w:rPr>
                <w:noProof/>
              </w:rPr>
            </w:pPr>
          </w:p>
        </w:tc>
      </w:tr>
      <w:tr w:rsidR="00CA208E" w:rsidRPr="00AA0126" w14:paraId="793F781E"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74D1C61C" w14:textId="77777777" w:rsidR="00CA208E" w:rsidRPr="00AA0126" w:rsidRDefault="00CA208E" w:rsidP="0083214A">
            <w:pPr>
              <w:rPr>
                <w:noProof/>
              </w:rPr>
            </w:pPr>
            <w:r>
              <w:rPr>
                <w:noProof/>
              </w:rPr>
              <w:t>Decommitments made available again</w:t>
            </w:r>
            <w:r w:rsidRPr="406E9459">
              <w:rPr>
                <w:rFonts w:ascii="Calibri" w:hAnsi="Calibri" w:cs="Calibri"/>
                <w:noProof/>
              </w:rPr>
              <w:t> </w:t>
            </w:r>
            <w:r w:rsidRPr="406E9459">
              <w:rPr>
                <w:rFonts w:cs="Calibri"/>
                <w:noProof/>
              </w:rPr>
              <w:t>(</w:t>
            </w:r>
            <w:r>
              <w:rPr>
                <w:noProof/>
              </w:rPr>
              <w:t>*)</w:t>
            </w:r>
          </w:p>
        </w:tc>
        <w:tc>
          <w:tcPr>
            <w:tcW w:w="943" w:type="dxa"/>
            <w:noWrap/>
          </w:tcPr>
          <w:p w14:paraId="2EAA04CD" w14:textId="77777777" w:rsidR="00CA208E" w:rsidRPr="00AA0126" w:rsidRDefault="00CA208E" w:rsidP="0083214A">
            <w:pPr>
              <w:jc w:val="center"/>
              <w:rPr>
                <w:noProof/>
              </w:rPr>
            </w:pPr>
            <w:r>
              <w:rPr>
                <w:noProof/>
              </w:rPr>
              <w:t>N/A</w:t>
            </w:r>
          </w:p>
        </w:tc>
        <w:tc>
          <w:tcPr>
            <w:tcW w:w="944" w:type="dxa"/>
            <w:noWrap/>
          </w:tcPr>
          <w:p w14:paraId="4B870437" w14:textId="77777777" w:rsidR="00CA208E" w:rsidRPr="00AA0126" w:rsidRDefault="00CA208E" w:rsidP="0083214A">
            <w:pPr>
              <w:jc w:val="center"/>
              <w:rPr>
                <w:noProof/>
              </w:rPr>
            </w:pPr>
          </w:p>
        </w:tc>
        <w:tc>
          <w:tcPr>
            <w:tcW w:w="943" w:type="dxa"/>
            <w:noWrap/>
          </w:tcPr>
          <w:p w14:paraId="15B9805C" w14:textId="77777777" w:rsidR="00CA208E" w:rsidRPr="00AA0126" w:rsidRDefault="00CA208E" w:rsidP="0083214A">
            <w:pPr>
              <w:jc w:val="center"/>
              <w:rPr>
                <w:noProof/>
              </w:rPr>
            </w:pPr>
          </w:p>
        </w:tc>
        <w:tc>
          <w:tcPr>
            <w:tcW w:w="944" w:type="dxa"/>
            <w:noWrap/>
          </w:tcPr>
          <w:p w14:paraId="087DFCC0" w14:textId="77777777" w:rsidR="00CA208E" w:rsidRPr="00AA0126" w:rsidRDefault="00CA208E" w:rsidP="0083214A">
            <w:pPr>
              <w:jc w:val="center"/>
              <w:rPr>
                <w:noProof/>
              </w:rPr>
            </w:pPr>
          </w:p>
        </w:tc>
        <w:tc>
          <w:tcPr>
            <w:tcW w:w="944" w:type="dxa"/>
            <w:noWrap/>
          </w:tcPr>
          <w:p w14:paraId="6456157C" w14:textId="77777777" w:rsidR="00CA208E" w:rsidRPr="00AA0126" w:rsidRDefault="00CA208E" w:rsidP="0083214A">
            <w:pPr>
              <w:jc w:val="center"/>
              <w:rPr>
                <w:noProof/>
              </w:rPr>
            </w:pPr>
          </w:p>
        </w:tc>
        <w:tc>
          <w:tcPr>
            <w:tcW w:w="943" w:type="dxa"/>
            <w:noWrap/>
          </w:tcPr>
          <w:p w14:paraId="558317AD" w14:textId="77777777" w:rsidR="00CA208E" w:rsidRPr="00AA0126" w:rsidRDefault="00CA208E" w:rsidP="0083214A">
            <w:pPr>
              <w:jc w:val="center"/>
              <w:rPr>
                <w:noProof/>
              </w:rPr>
            </w:pPr>
          </w:p>
        </w:tc>
        <w:tc>
          <w:tcPr>
            <w:tcW w:w="944" w:type="dxa"/>
            <w:noWrap/>
          </w:tcPr>
          <w:p w14:paraId="21303BB0" w14:textId="77777777" w:rsidR="00CA208E" w:rsidRPr="00AA0126" w:rsidRDefault="00CA208E" w:rsidP="0083214A">
            <w:pPr>
              <w:jc w:val="center"/>
              <w:rPr>
                <w:noProof/>
              </w:rPr>
            </w:pPr>
          </w:p>
        </w:tc>
        <w:tc>
          <w:tcPr>
            <w:tcW w:w="944" w:type="dxa"/>
            <w:noWrap/>
          </w:tcPr>
          <w:p w14:paraId="526EA1BC" w14:textId="77777777" w:rsidR="00CA208E" w:rsidRPr="00AA0126" w:rsidRDefault="00CA208E" w:rsidP="0083214A">
            <w:pPr>
              <w:jc w:val="center"/>
              <w:rPr>
                <w:noProof/>
              </w:rPr>
            </w:pPr>
            <w:r>
              <w:rPr>
                <w:noProof/>
              </w:rPr>
              <w:t>N/A</w:t>
            </w:r>
          </w:p>
        </w:tc>
      </w:tr>
      <w:tr w:rsidR="00CA208E" w:rsidRPr="00AA0126" w14:paraId="355FEADF"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12F01A67" w14:textId="77777777" w:rsidR="00CA208E" w:rsidRPr="00AA0126" w:rsidRDefault="00CA208E" w:rsidP="0083214A">
            <w:pPr>
              <w:rPr>
                <w:noProof/>
              </w:rPr>
            </w:pPr>
            <w:r w:rsidRPr="00AA0126">
              <w:rPr>
                <w:noProof/>
              </w:rPr>
              <w:t>Contributions from other countries and entities</w:t>
            </w:r>
          </w:p>
        </w:tc>
        <w:tc>
          <w:tcPr>
            <w:tcW w:w="943" w:type="dxa"/>
            <w:noWrap/>
          </w:tcPr>
          <w:p w14:paraId="20318C81" w14:textId="77777777" w:rsidR="00CA208E" w:rsidRPr="00AA0126" w:rsidRDefault="00CA208E" w:rsidP="0083214A">
            <w:pPr>
              <w:jc w:val="center"/>
              <w:rPr>
                <w:noProof/>
              </w:rPr>
            </w:pPr>
            <w:r>
              <w:rPr>
                <w:noProof/>
              </w:rPr>
              <w:t>0.0</w:t>
            </w:r>
          </w:p>
        </w:tc>
        <w:tc>
          <w:tcPr>
            <w:tcW w:w="944" w:type="dxa"/>
            <w:noWrap/>
          </w:tcPr>
          <w:p w14:paraId="27E7F559" w14:textId="77777777" w:rsidR="00CA208E" w:rsidRPr="00AA0126" w:rsidRDefault="00CA208E" w:rsidP="0083214A">
            <w:pPr>
              <w:jc w:val="center"/>
              <w:rPr>
                <w:noProof/>
              </w:rPr>
            </w:pPr>
            <w:r>
              <w:rPr>
                <w:noProof/>
              </w:rPr>
              <w:t>p.m.</w:t>
            </w:r>
          </w:p>
        </w:tc>
        <w:tc>
          <w:tcPr>
            <w:tcW w:w="943" w:type="dxa"/>
            <w:noWrap/>
          </w:tcPr>
          <w:p w14:paraId="08BC31ED" w14:textId="77777777" w:rsidR="00CA208E" w:rsidRPr="00AA0126" w:rsidRDefault="00CA208E" w:rsidP="0083214A">
            <w:pPr>
              <w:jc w:val="center"/>
              <w:rPr>
                <w:noProof/>
              </w:rPr>
            </w:pPr>
            <w:r>
              <w:rPr>
                <w:noProof/>
              </w:rPr>
              <w:t>p.m.</w:t>
            </w:r>
          </w:p>
        </w:tc>
        <w:tc>
          <w:tcPr>
            <w:tcW w:w="944" w:type="dxa"/>
            <w:noWrap/>
          </w:tcPr>
          <w:p w14:paraId="36D3F55D" w14:textId="77777777" w:rsidR="00CA208E" w:rsidRPr="00AA0126" w:rsidRDefault="00CA208E" w:rsidP="0083214A">
            <w:pPr>
              <w:jc w:val="center"/>
              <w:rPr>
                <w:noProof/>
              </w:rPr>
            </w:pPr>
            <w:r>
              <w:rPr>
                <w:noProof/>
              </w:rPr>
              <w:t>p.m.</w:t>
            </w:r>
          </w:p>
        </w:tc>
        <w:tc>
          <w:tcPr>
            <w:tcW w:w="944" w:type="dxa"/>
            <w:noWrap/>
          </w:tcPr>
          <w:p w14:paraId="7C78C753" w14:textId="77777777" w:rsidR="00CA208E" w:rsidRPr="00AA0126" w:rsidRDefault="00CA208E" w:rsidP="0083214A">
            <w:pPr>
              <w:jc w:val="center"/>
              <w:rPr>
                <w:noProof/>
              </w:rPr>
            </w:pPr>
            <w:r>
              <w:rPr>
                <w:noProof/>
              </w:rPr>
              <w:t>p.m.</w:t>
            </w:r>
          </w:p>
        </w:tc>
        <w:tc>
          <w:tcPr>
            <w:tcW w:w="943" w:type="dxa"/>
            <w:noWrap/>
          </w:tcPr>
          <w:p w14:paraId="4083B37D" w14:textId="77777777" w:rsidR="00CA208E" w:rsidRPr="00AA0126" w:rsidRDefault="00CA208E" w:rsidP="0083214A">
            <w:pPr>
              <w:jc w:val="center"/>
              <w:rPr>
                <w:noProof/>
              </w:rPr>
            </w:pPr>
            <w:r>
              <w:rPr>
                <w:noProof/>
              </w:rPr>
              <w:t>p.m.</w:t>
            </w:r>
          </w:p>
        </w:tc>
        <w:tc>
          <w:tcPr>
            <w:tcW w:w="944" w:type="dxa"/>
            <w:noWrap/>
          </w:tcPr>
          <w:p w14:paraId="17899176" w14:textId="77777777" w:rsidR="00CA208E" w:rsidRPr="00AA0126" w:rsidRDefault="00CA208E" w:rsidP="0083214A">
            <w:pPr>
              <w:jc w:val="center"/>
              <w:rPr>
                <w:noProof/>
              </w:rPr>
            </w:pPr>
            <w:r>
              <w:rPr>
                <w:noProof/>
              </w:rPr>
              <w:t>p.m.</w:t>
            </w:r>
          </w:p>
        </w:tc>
        <w:tc>
          <w:tcPr>
            <w:tcW w:w="944" w:type="dxa"/>
            <w:noWrap/>
          </w:tcPr>
          <w:p w14:paraId="139E278C" w14:textId="77777777" w:rsidR="00CA208E" w:rsidRPr="00AA0126" w:rsidRDefault="00CA208E" w:rsidP="0083214A">
            <w:pPr>
              <w:jc w:val="center"/>
              <w:rPr>
                <w:noProof/>
              </w:rPr>
            </w:pPr>
            <w:r>
              <w:rPr>
                <w:noProof/>
              </w:rPr>
              <w:t>0.0</w:t>
            </w:r>
          </w:p>
        </w:tc>
      </w:tr>
    </w:tbl>
    <w:p w14:paraId="3BC22BA7" w14:textId="77777777" w:rsidR="00CA208E" w:rsidRPr="00AA0126" w:rsidRDefault="00CA208E" w:rsidP="00CA208E">
      <w:pPr>
        <w:tabs>
          <w:tab w:val="left" w:pos="6793"/>
        </w:tabs>
        <w:rPr>
          <w:noProof/>
          <w:sz w:val="18"/>
          <w:szCs w:val="18"/>
        </w:rPr>
      </w:pPr>
      <w:r w:rsidRPr="4E0D375F">
        <w:rPr>
          <w:noProof/>
          <w:sz w:val="18"/>
          <w:szCs w:val="18"/>
        </w:rPr>
        <w:t>(*) Only Article</w:t>
      </w:r>
      <w:r w:rsidRPr="4E0D375F">
        <w:rPr>
          <w:rFonts w:ascii="Calibri" w:hAnsi="Calibri" w:cs="Calibri"/>
          <w:noProof/>
          <w:sz w:val="18"/>
          <w:szCs w:val="18"/>
        </w:rPr>
        <w:t> </w:t>
      </w:r>
      <w:r w:rsidRPr="4E0D375F">
        <w:rPr>
          <w:noProof/>
          <w:sz w:val="18"/>
          <w:szCs w:val="18"/>
        </w:rPr>
        <w:t>15(3) of the financial regulation.</w:t>
      </w:r>
    </w:p>
    <w:p w14:paraId="231179D1" w14:textId="0ABDFA81" w:rsidR="00CA208E" w:rsidRPr="00AA0126" w:rsidRDefault="00FE148C" w:rsidP="00304A2B">
      <w:pPr>
        <w:pStyle w:val="ppoTableTabletitle"/>
        <w:jc w:val="center"/>
        <w:rPr>
          <w:noProof/>
        </w:rPr>
      </w:pPr>
      <w:r w:rsidRPr="00CF7385">
        <w:rPr>
          <w:noProof/>
          <w:lang w:val="en-IE"/>
        </w:rPr>
        <w:t>Financial progr</w:t>
      </w:r>
      <w:r>
        <w:rPr>
          <w:noProof/>
          <w:lang w:val="en-IE"/>
        </w:rPr>
        <w:t>a</w:t>
      </w:r>
      <w:r w:rsidRPr="00CF7385">
        <w:rPr>
          <w:noProof/>
          <w:lang w:val="en-IE"/>
        </w:rPr>
        <w:t>ming:</w:t>
      </w:r>
      <w:r>
        <w:rPr>
          <w:noProof/>
          <w:color w:val="028F1A" w:themeColor="accent1"/>
          <w:sz w:val="44"/>
          <w:szCs w:val="44"/>
          <w:lang w:val="en-IE"/>
        </w:rPr>
        <w:t xml:space="preserve"> </w:t>
      </w:r>
      <w:r w:rsidR="00CA208E" w:rsidRPr="406E9459">
        <w:rPr>
          <w:rStyle w:val="ppocharRedtext24pt"/>
          <w:noProof/>
        </w:rPr>
        <w:t>+</w:t>
      </w:r>
      <w:r w:rsidR="00CA208E" w:rsidRPr="406E9459">
        <w:rPr>
          <w:rStyle w:val="ppocharRedtext24pt"/>
          <w:rFonts w:ascii="Calibri" w:hAnsi="Calibri" w:cs="Calibri"/>
          <w:noProof/>
        </w:rPr>
        <w:t> </w:t>
      </w:r>
      <w:r w:rsidR="00CA208E" w:rsidRPr="406E9459">
        <w:rPr>
          <w:rStyle w:val="ppocharRedtext24pt"/>
          <w:noProof/>
        </w:rPr>
        <w:t>EUR</w:t>
      </w:r>
      <w:r w:rsidR="00CA208E" w:rsidRPr="406E9459">
        <w:rPr>
          <w:rStyle w:val="ppocharRedtext24pt"/>
          <w:rFonts w:ascii="Calibri" w:hAnsi="Calibri" w:cs="Calibri"/>
          <w:noProof/>
        </w:rPr>
        <w:t> </w:t>
      </w:r>
      <w:r w:rsidR="00CA208E" w:rsidRPr="406E9459">
        <w:rPr>
          <w:rStyle w:val="ppocharRedtext24pt"/>
          <w:noProof/>
        </w:rPr>
        <w:t>0.0</w:t>
      </w:r>
      <w:r w:rsidR="00CA208E" w:rsidRPr="406E9459">
        <w:rPr>
          <w:rStyle w:val="ppocharRedtext24pt"/>
          <w:rFonts w:ascii="Calibri" w:hAnsi="Calibri" w:cs="Calibri"/>
          <w:noProof/>
        </w:rPr>
        <w:t> </w:t>
      </w:r>
      <w:r w:rsidR="00CA208E" w:rsidRPr="406E9459">
        <w:rPr>
          <w:rStyle w:val="ppocharRedtext24pt"/>
          <w:noProof/>
        </w:rPr>
        <w:t>million (+</w:t>
      </w:r>
      <w:r w:rsidR="00CA208E" w:rsidRPr="406E9459">
        <w:rPr>
          <w:rStyle w:val="ppocharRedtext24pt"/>
          <w:rFonts w:ascii="Calibri" w:hAnsi="Calibri" w:cs="Calibri"/>
          <w:noProof/>
        </w:rPr>
        <w:t> </w:t>
      </w:r>
      <w:r w:rsidR="00CA208E" w:rsidRPr="406E9459">
        <w:rPr>
          <w:rStyle w:val="ppocharRedtext24pt"/>
          <w:noProof/>
        </w:rPr>
        <w:t xml:space="preserve">0%) </w:t>
      </w:r>
      <w:r w:rsidR="00CA208E">
        <w:rPr>
          <w:noProof/>
        </w:rPr>
        <w:t>compared to the legal basis.</w:t>
      </w:r>
    </w:p>
    <w:p w14:paraId="707AF9B9" w14:textId="77777777" w:rsidR="00CA208E" w:rsidRPr="00AA0126" w:rsidRDefault="00CA208E" w:rsidP="00CA208E">
      <w:pPr>
        <w:pStyle w:val="ppoTableTabletitle"/>
        <w:rPr>
          <w:noProof/>
        </w:rPr>
      </w:pPr>
      <w:r w:rsidRPr="00AA0126">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CA208E" w:rsidRPr="00AA0126" w14:paraId="1FCF6068" w14:textId="77777777" w:rsidTr="0083214A">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38CB3441" w14:textId="77777777" w:rsidR="00CA208E" w:rsidRPr="00AA0126" w:rsidRDefault="00CA208E" w:rsidP="0083214A">
            <w:pPr>
              <w:rPr>
                <w:noProof/>
              </w:rPr>
            </w:pPr>
          </w:p>
        </w:tc>
        <w:tc>
          <w:tcPr>
            <w:tcW w:w="2410" w:type="dxa"/>
          </w:tcPr>
          <w:p w14:paraId="66A079CD" w14:textId="77777777" w:rsidR="00CA208E" w:rsidRPr="00AA0126" w:rsidRDefault="00CA208E" w:rsidP="0083214A">
            <w:pPr>
              <w:cnfStyle w:val="100000000000" w:firstRow="1" w:lastRow="0" w:firstColumn="0" w:lastColumn="0" w:oddVBand="0" w:evenVBand="0" w:oddHBand="0" w:evenHBand="0" w:firstRowFirstColumn="0" w:firstRowLastColumn="0" w:lastRowFirstColumn="0" w:lastRowLastColumn="0"/>
              <w:rPr>
                <w:noProof/>
              </w:rPr>
            </w:pPr>
            <w:r w:rsidRPr="00AA0126">
              <w:rPr>
                <w:noProof/>
              </w:rPr>
              <w:t>Implementation</w:t>
            </w:r>
          </w:p>
        </w:tc>
        <w:tc>
          <w:tcPr>
            <w:tcW w:w="2410" w:type="dxa"/>
          </w:tcPr>
          <w:p w14:paraId="356DA5A9" w14:textId="4622EE2C" w:rsidR="00CA208E" w:rsidRPr="00AA0126" w:rsidRDefault="003821C6" w:rsidP="0083214A">
            <w:pPr>
              <w:cnfStyle w:val="100000000000" w:firstRow="1" w:lastRow="0" w:firstColumn="0" w:lastColumn="0" w:oddVBand="0" w:evenVBand="0" w:oddHBand="0" w:evenHBand="0" w:firstRowFirstColumn="0" w:firstRowLastColumn="0" w:lastRowFirstColumn="0" w:lastRowLastColumn="0"/>
              <w:rPr>
                <w:noProof/>
              </w:rPr>
            </w:pPr>
            <w:r>
              <w:rPr>
                <w:noProof/>
              </w:rPr>
              <w:t xml:space="preserve">2021-2027 </w:t>
            </w:r>
            <w:r w:rsidR="00CA208E" w:rsidRPr="00AA0126">
              <w:rPr>
                <w:noProof/>
              </w:rPr>
              <w:t>Budget</w:t>
            </w:r>
          </w:p>
        </w:tc>
        <w:tc>
          <w:tcPr>
            <w:tcW w:w="2410" w:type="dxa"/>
          </w:tcPr>
          <w:p w14:paraId="4A79055B" w14:textId="77777777" w:rsidR="00CA208E" w:rsidRPr="00AA0126" w:rsidRDefault="00CA208E" w:rsidP="0083214A">
            <w:pPr>
              <w:cnfStyle w:val="100000000000" w:firstRow="1" w:lastRow="0" w:firstColumn="0" w:lastColumn="0" w:oddVBand="0" w:evenVBand="0" w:oddHBand="0" w:evenHBand="0" w:firstRowFirstColumn="0" w:firstRowLastColumn="0" w:lastRowFirstColumn="0" w:lastRowLastColumn="0"/>
              <w:rPr>
                <w:noProof/>
              </w:rPr>
            </w:pPr>
            <w:r w:rsidRPr="00AA0126">
              <w:rPr>
                <w:noProof/>
              </w:rPr>
              <w:t>Implementation rate</w:t>
            </w:r>
          </w:p>
        </w:tc>
      </w:tr>
      <w:tr w:rsidR="00CA208E" w:rsidRPr="00AA0126" w14:paraId="6E0DFCF5"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71B24248" w14:textId="77777777" w:rsidR="00CA208E" w:rsidRPr="00AA0126" w:rsidRDefault="00CA208E" w:rsidP="0083214A">
            <w:pPr>
              <w:jc w:val="center"/>
              <w:rPr>
                <w:noProof/>
              </w:rPr>
            </w:pPr>
            <w:r w:rsidRPr="00AA0126">
              <w:rPr>
                <w:noProof/>
              </w:rPr>
              <w:t>Commitments</w:t>
            </w:r>
          </w:p>
        </w:tc>
        <w:tc>
          <w:tcPr>
            <w:tcW w:w="2410" w:type="dxa"/>
          </w:tcPr>
          <w:tbl>
            <w:tblPr>
              <w:tblStyle w:val="TableGrid"/>
              <w:tblW w:w="0" w:type="auto"/>
              <w:tblLook w:val="06A0" w:firstRow="1" w:lastRow="0" w:firstColumn="1" w:lastColumn="0" w:noHBand="1" w:noVBand="1"/>
            </w:tblPr>
            <w:tblGrid>
              <w:gridCol w:w="2194"/>
            </w:tblGrid>
            <w:tr w:rsidR="00CA208E" w:rsidRPr="00AA0126" w14:paraId="1548D32E" w14:textId="77777777" w:rsidTr="0083214A">
              <w:trPr>
                <w:trHeight w:val="285"/>
              </w:trPr>
              <w:tc>
                <w:tcPr>
                  <w:tcW w:w="2290" w:type="dxa"/>
                  <w:tcBorders>
                    <w:top w:val="nil"/>
                    <w:left w:val="nil"/>
                    <w:bottom w:val="nil"/>
                    <w:right w:val="nil"/>
                  </w:tcBorders>
                  <w:vAlign w:val="bottom"/>
                </w:tcPr>
                <w:p w14:paraId="5EA5AF74" w14:textId="77777777" w:rsidR="00CA208E" w:rsidRPr="00AA0126" w:rsidRDefault="00CA208E" w:rsidP="0083214A">
                  <w:pPr>
                    <w:spacing w:before="100" w:after="100"/>
                    <w:jc w:val="center"/>
                    <w:rPr>
                      <w:noProof/>
                    </w:rPr>
                  </w:pPr>
                  <w:r w:rsidRPr="00AA0126">
                    <w:rPr>
                      <w:noProof/>
                    </w:rPr>
                    <w:t>63.3</w:t>
                  </w:r>
                </w:p>
              </w:tc>
            </w:tr>
          </w:tbl>
          <w:p w14:paraId="25DA3D9D" w14:textId="77777777" w:rsidR="00CA208E" w:rsidRPr="00AA0126" w:rsidRDefault="00CA208E"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CA208E" w:rsidRPr="00AA0126" w14:paraId="37DFE9DC" w14:textId="77777777" w:rsidTr="0083214A">
              <w:trPr>
                <w:trHeight w:val="285"/>
              </w:trPr>
              <w:tc>
                <w:tcPr>
                  <w:tcW w:w="2290" w:type="dxa"/>
                  <w:tcBorders>
                    <w:top w:val="nil"/>
                    <w:left w:val="nil"/>
                    <w:bottom w:val="nil"/>
                    <w:right w:val="nil"/>
                  </w:tcBorders>
                  <w:vAlign w:val="bottom"/>
                </w:tcPr>
                <w:p w14:paraId="407A88D3" w14:textId="77777777" w:rsidR="00CA208E" w:rsidRPr="00AA0126" w:rsidRDefault="00CA208E" w:rsidP="0083214A">
                  <w:pPr>
                    <w:spacing w:before="100" w:after="100"/>
                    <w:jc w:val="center"/>
                    <w:rPr>
                      <w:noProof/>
                    </w:rPr>
                  </w:pPr>
                  <w:r w:rsidRPr="00AA0126">
                    <w:rPr>
                      <w:noProof/>
                    </w:rPr>
                    <w:t>500.0</w:t>
                  </w:r>
                </w:p>
              </w:tc>
            </w:tr>
          </w:tbl>
          <w:p w14:paraId="241B6348" w14:textId="77777777" w:rsidR="00CA208E" w:rsidRPr="00AA0126" w:rsidRDefault="00CA208E"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CA208E" w:rsidRPr="00AA0126" w14:paraId="610C3768" w14:textId="77777777" w:rsidTr="0083214A">
              <w:trPr>
                <w:trHeight w:val="285"/>
              </w:trPr>
              <w:tc>
                <w:tcPr>
                  <w:tcW w:w="2290" w:type="dxa"/>
                  <w:tcBorders>
                    <w:top w:val="nil"/>
                    <w:left w:val="nil"/>
                    <w:bottom w:val="nil"/>
                    <w:right w:val="nil"/>
                  </w:tcBorders>
                  <w:vAlign w:val="bottom"/>
                </w:tcPr>
                <w:p w14:paraId="49BC8A23" w14:textId="77777777" w:rsidR="00CA208E" w:rsidRPr="00AA0126" w:rsidRDefault="00CA208E" w:rsidP="0083214A">
                  <w:pPr>
                    <w:spacing w:before="100" w:after="100"/>
                    <w:jc w:val="center"/>
                    <w:rPr>
                      <w:noProof/>
                    </w:rPr>
                  </w:pPr>
                  <w:r w:rsidRPr="00AA0126">
                    <w:rPr>
                      <w:noProof/>
                    </w:rPr>
                    <w:t>13%</w:t>
                  </w:r>
                </w:p>
              </w:tc>
            </w:tr>
          </w:tbl>
          <w:p w14:paraId="2CB670B1" w14:textId="77777777" w:rsidR="00CA208E" w:rsidRPr="00AA0126" w:rsidRDefault="00CA208E" w:rsidP="0083214A">
            <w:pPr>
              <w:jc w:val="center"/>
              <w:cnfStyle w:val="000000000000" w:firstRow="0" w:lastRow="0" w:firstColumn="0" w:lastColumn="0" w:oddVBand="0" w:evenVBand="0" w:oddHBand="0" w:evenHBand="0" w:firstRowFirstColumn="0" w:firstRowLastColumn="0" w:lastRowFirstColumn="0" w:lastRowLastColumn="0"/>
              <w:rPr>
                <w:noProof/>
              </w:rPr>
            </w:pPr>
          </w:p>
        </w:tc>
      </w:tr>
      <w:tr w:rsidR="00CA208E" w:rsidRPr="00AA0126" w14:paraId="4F707665"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29AE27DC" w14:textId="77777777" w:rsidR="00CA208E" w:rsidRPr="00AA0126" w:rsidRDefault="00CA208E" w:rsidP="0083214A">
            <w:pPr>
              <w:jc w:val="center"/>
              <w:rPr>
                <w:noProof/>
              </w:rPr>
            </w:pPr>
            <w:r w:rsidRPr="00AA0126">
              <w:rPr>
                <w:noProof/>
              </w:rPr>
              <w:t>Payments</w:t>
            </w:r>
          </w:p>
        </w:tc>
        <w:tc>
          <w:tcPr>
            <w:tcW w:w="2410" w:type="dxa"/>
          </w:tcPr>
          <w:tbl>
            <w:tblPr>
              <w:tblStyle w:val="TableGrid"/>
              <w:tblW w:w="0" w:type="auto"/>
              <w:tblLook w:val="06A0" w:firstRow="1" w:lastRow="0" w:firstColumn="1" w:lastColumn="0" w:noHBand="1" w:noVBand="1"/>
            </w:tblPr>
            <w:tblGrid>
              <w:gridCol w:w="2194"/>
            </w:tblGrid>
            <w:tr w:rsidR="00CA208E" w:rsidRPr="00AA0126" w14:paraId="2A713823" w14:textId="77777777" w:rsidTr="0083214A">
              <w:trPr>
                <w:trHeight w:val="285"/>
              </w:trPr>
              <w:tc>
                <w:tcPr>
                  <w:tcW w:w="2290" w:type="dxa"/>
                  <w:tcBorders>
                    <w:top w:val="nil"/>
                    <w:left w:val="nil"/>
                    <w:bottom w:val="nil"/>
                    <w:right w:val="nil"/>
                  </w:tcBorders>
                  <w:vAlign w:val="bottom"/>
                </w:tcPr>
                <w:p w14:paraId="193BE948" w14:textId="77777777" w:rsidR="00CA208E" w:rsidRPr="00AA0126" w:rsidRDefault="00CA208E" w:rsidP="0083214A">
                  <w:pPr>
                    <w:spacing w:before="100" w:after="100"/>
                    <w:jc w:val="center"/>
                    <w:rPr>
                      <w:noProof/>
                    </w:rPr>
                  </w:pPr>
                  <w:r w:rsidRPr="00AA0126">
                    <w:rPr>
                      <w:noProof/>
                    </w:rPr>
                    <w:t>0.7</w:t>
                  </w:r>
                </w:p>
              </w:tc>
            </w:tr>
          </w:tbl>
          <w:p w14:paraId="54836D68" w14:textId="77777777" w:rsidR="00CA208E" w:rsidRPr="00AA0126" w:rsidRDefault="00CA208E"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51090EB0" w14:textId="77777777" w:rsidR="00CA208E" w:rsidRPr="00AA0126" w:rsidRDefault="00CA208E"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1740"/>
            </w:tblGrid>
            <w:tr w:rsidR="00CA208E" w:rsidRPr="00AA0126" w14:paraId="0F3235DC" w14:textId="77777777" w:rsidTr="0083214A">
              <w:trPr>
                <w:trHeight w:val="285"/>
              </w:trPr>
              <w:tc>
                <w:tcPr>
                  <w:tcW w:w="1740" w:type="dxa"/>
                  <w:tcBorders>
                    <w:top w:val="nil"/>
                    <w:left w:val="nil"/>
                    <w:bottom w:val="nil"/>
                    <w:right w:val="nil"/>
                  </w:tcBorders>
                  <w:vAlign w:val="bottom"/>
                </w:tcPr>
                <w:p w14:paraId="638562F5" w14:textId="77777777" w:rsidR="00CA208E" w:rsidRPr="00AA0126" w:rsidRDefault="00CA208E" w:rsidP="0083214A">
                  <w:pPr>
                    <w:spacing w:before="100" w:after="100"/>
                    <w:jc w:val="center"/>
                    <w:rPr>
                      <w:noProof/>
                    </w:rPr>
                  </w:pPr>
                  <w:r w:rsidRPr="00AA0126">
                    <w:rPr>
                      <w:noProof/>
                    </w:rPr>
                    <w:t>0%</w:t>
                  </w:r>
                </w:p>
              </w:tc>
            </w:tr>
          </w:tbl>
          <w:p w14:paraId="1448FF22" w14:textId="77777777" w:rsidR="00CA208E" w:rsidRPr="00AA0126" w:rsidRDefault="00CA208E" w:rsidP="0083214A">
            <w:pPr>
              <w:jc w:val="center"/>
              <w:cnfStyle w:val="000000000000" w:firstRow="0" w:lastRow="0" w:firstColumn="0" w:lastColumn="0" w:oddVBand="0" w:evenVBand="0" w:oddHBand="0" w:evenHBand="0" w:firstRowFirstColumn="0" w:firstRowLastColumn="0" w:lastRowFirstColumn="0" w:lastRowLastColumn="0"/>
              <w:rPr>
                <w:noProof/>
              </w:rPr>
            </w:pPr>
          </w:p>
        </w:tc>
      </w:tr>
    </w:tbl>
    <w:p w14:paraId="287ADFA1" w14:textId="77777777" w:rsidR="00CA208E" w:rsidRPr="00AA0126" w:rsidRDefault="00CA208E" w:rsidP="00CA208E">
      <w:pPr>
        <w:pStyle w:val="ppoTableTabletitle"/>
        <w:rPr>
          <w:noProof/>
        </w:rPr>
      </w:pPr>
      <w:r w:rsidRPr="00AA0126">
        <w:rPr>
          <w:noProof/>
        </w:rPr>
        <w:t>Voted budget implementation in 2021 (million EUR):</w:t>
      </w:r>
    </w:p>
    <w:tbl>
      <w:tblPr>
        <w:tblStyle w:val="PPO2021"/>
        <w:tblW w:w="3683" w:type="pct"/>
        <w:tblInd w:w="79" w:type="dxa"/>
        <w:tblLook w:val="04A0" w:firstRow="1" w:lastRow="0" w:firstColumn="1" w:lastColumn="0" w:noHBand="0" w:noVBand="1"/>
      </w:tblPr>
      <w:tblGrid>
        <w:gridCol w:w="2419"/>
        <w:gridCol w:w="2419"/>
        <w:gridCol w:w="2420"/>
      </w:tblGrid>
      <w:tr w:rsidR="00CA208E" w:rsidRPr="00AA0126" w14:paraId="3246A4D2" w14:textId="77777777" w:rsidTr="008321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0CE1DC4A" w14:textId="77777777" w:rsidR="00CA208E" w:rsidRPr="00AA0126" w:rsidRDefault="00CA208E" w:rsidP="0083214A">
            <w:pPr>
              <w:rPr>
                <w:noProof/>
              </w:rPr>
            </w:pPr>
          </w:p>
        </w:tc>
        <w:tc>
          <w:tcPr>
            <w:tcW w:w="2419" w:type="dxa"/>
          </w:tcPr>
          <w:p w14:paraId="4FCCAA38" w14:textId="77777777" w:rsidR="00CA208E" w:rsidRPr="00AA0126" w:rsidRDefault="00CA208E" w:rsidP="0083214A">
            <w:pPr>
              <w:cnfStyle w:val="100000000000" w:firstRow="1" w:lastRow="0" w:firstColumn="0" w:lastColumn="0" w:oddVBand="0" w:evenVBand="0" w:oddHBand="0" w:evenHBand="0" w:firstRowFirstColumn="0" w:firstRowLastColumn="0" w:lastRowFirstColumn="0" w:lastRowLastColumn="0"/>
              <w:rPr>
                <w:noProof/>
              </w:rPr>
            </w:pPr>
            <w:r w:rsidRPr="00AA0126">
              <w:rPr>
                <w:noProof/>
              </w:rPr>
              <w:t>Voted budget implementation</w:t>
            </w:r>
          </w:p>
        </w:tc>
        <w:tc>
          <w:tcPr>
            <w:tcW w:w="2420" w:type="dxa"/>
          </w:tcPr>
          <w:p w14:paraId="79AB0E0B" w14:textId="77777777" w:rsidR="00CA208E" w:rsidRPr="00AA0126" w:rsidRDefault="00CA208E" w:rsidP="0083214A">
            <w:pPr>
              <w:cnfStyle w:val="100000000000" w:firstRow="1" w:lastRow="0" w:firstColumn="0" w:lastColumn="0" w:oddVBand="0" w:evenVBand="0" w:oddHBand="0" w:evenHBand="0" w:firstRowFirstColumn="0" w:firstRowLastColumn="0" w:lastRowFirstColumn="0" w:lastRowLastColumn="0"/>
              <w:rPr>
                <w:noProof/>
              </w:rPr>
            </w:pPr>
            <w:r w:rsidRPr="00AA0126">
              <w:rPr>
                <w:noProof/>
              </w:rPr>
              <w:t>Initial voted budget</w:t>
            </w:r>
          </w:p>
        </w:tc>
      </w:tr>
      <w:tr w:rsidR="00CA208E" w:rsidRPr="00AA0126" w14:paraId="78F24E68" w14:textId="77777777" w:rsidTr="0083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5B2DEA9F" w14:textId="77777777" w:rsidR="00CA208E" w:rsidRPr="00AA0126" w:rsidRDefault="00CA208E" w:rsidP="0083214A">
            <w:pPr>
              <w:jc w:val="center"/>
              <w:rPr>
                <w:noProof/>
              </w:rPr>
            </w:pPr>
            <w:r w:rsidRPr="00AA0126">
              <w:rPr>
                <w:noProof/>
              </w:rPr>
              <w:t>Commitments</w:t>
            </w:r>
          </w:p>
        </w:tc>
        <w:tc>
          <w:tcPr>
            <w:tcW w:w="2419" w:type="dxa"/>
          </w:tcPr>
          <w:p w14:paraId="0B8EC9E7" w14:textId="353FD41F" w:rsidR="00CA208E" w:rsidRPr="00AA0126" w:rsidRDefault="00CA208E" w:rsidP="0083214A">
            <w:pPr>
              <w:jc w:val="center"/>
              <w:cnfStyle w:val="000000100000" w:firstRow="0" w:lastRow="0" w:firstColumn="0" w:lastColumn="0" w:oddVBand="0" w:evenVBand="0" w:oddHBand="1" w:evenHBand="0" w:firstRowFirstColumn="0" w:firstRowLastColumn="0" w:lastRowFirstColumn="0" w:lastRowLastColumn="0"/>
              <w:rPr>
                <w:noProof/>
              </w:rPr>
            </w:pPr>
            <w:r w:rsidRPr="00AA0126">
              <w:rPr>
                <w:noProof/>
              </w:rPr>
              <w:t>63.3</w:t>
            </w:r>
            <w:r w:rsidRPr="00AA0126">
              <w:rPr>
                <w:rFonts w:ascii="Calibri" w:hAnsi="Calibri" w:cs="Calibri"/>
                <w:noProof/>
              </w:rPr>
              <w:t> </w:t>
            </w:r>
            <w:r w:rsidRPr="00AA0126">
              <w:rPr>
                <w:noProof/>
              </w:rPr>
              <w:t>(*)</w:t>
            </w:r>
          </w:p>
        </w:tc>
        <w:tc>
          <w:tcPr>
            <w:tcW w:w="2420" w:type="dxa"/>
          </w:tcPr>
          <w:p w14:paraId="7FE46B38" w14:textId="77777777" w:rsidR="00CA208E" w:rsidRPr="00AA0126" w:rsidRDefault="00CA208E" w:rsidP="0083214A">
            <w:pPr>
              <w:jc w:val="center"/>
              <w:cnfStyle w:val="000000100000" w:firstRow="0" w:lastRow="0" w:firstColumn="0" w:lastColumn="0" w:oddVBand="0" w:evenVBand="0" w:oddHBand="1" w:evenHBand="0" w:firstRowFirstColumn="0" w:firstRowLastColumn="0" w:lastRowFirstColumn="0" w:lastRowLastColumn="0"/>
              <w:rPr>
                <w:noProof/>
              </w:rPr>
            </w:pPr>
            <w:r w:rsidRPr="00AA0126">
              <w:rPr>
                <w:noProof/>
              </w:rPr>
              <w:t>67.0</w:t>
            </w:r>
          </w:p>
        </w:tc>
      </w:tr>
      <w:tr w:rsidR="00CA208E" w:rsidRPr="00AA0126" w14:paraId="5E2B4564" w14:textId="77777777" w:rsidTr="00832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02B6F0C8" w14:textId="77777777" w:rsidR="00CA208E" w:rsidRPr="00AA0126" w:rsidRDefault="00CA208E" w:rsidP="0083214A">
            <w:pPr>
              <w:jc w:val="center"/>
              <w:rPr>
                <w:noProof/>
              </w:rPr>
            </w:pPr>
            <w:r w:rsidRPr="00AA0126">
              <w:rPr>
                <w:noProof/>
              </w:rPr>
              <w:t>Payments</w:t>
            </w:r>
          </w:p>
        </w:tc>
        <w:tc>
          <w:tcPr>
            <w:tcW w:w="2419" w:type="dxa"/>
          </w:tcPr>
          <w:p w14:paraId="3F3FEC04" w14:textId="77777777" w:rsidR="00CA208E" w:rsidRPr="00AA0126" w:rsidRDefault="00CA208E" w:rsidP="0083214A">
            <w:pPr>
              <w:jc w:val="center"/>
              <w:cnfStyle w:val="000000010000" w:firstRow="0" w:lastRow="0" w:firstColumn="0" w:lastColumn="0" w:oddVBand="0" w:evenVBand="0" w:oddHBand="0" w:evenHBand="1" w:firstRowFirstColumn="0" w:firstRowLastColumn="0" w:lastRowFirstColumn="0" w:lastRowLastColumn="0"/>
              <w:rPr>
                <w:noProof/>
              </w:rPr>
            </w:pPr>
            <w:r w:rsidRPr="00AA0126">
              <w:rPr>
                <w:noProof/>
              </w:rPr>
              <w:t>0.7</w:t>
            </w:r>
          </w:p>
        </w:tc>
        <w:tc>
          <w:tcPr>
            <w:tcW w:w="2420" w:type="dxa"/>
          </w:tcPr>
          <w:p w14:paraId="124E3A9D" w14:textId="77777777" w:rsidR="00CA208E" w:rsidRPr="00AA0126" w:rsidRDefault="00CA208E" w:rsidP="0083214A">
            <w:pPr>
              <w:jc w:val="center"/>
              <w:cnfStyle w:val="000000010000" w:firstRow="0" w:lastRow="0" w:firstColumn="0" w:lastColumn="0" w:oddVBand="0" w:evenVBand="0" w:oddHBand="0" w:evenHBand="1" w:firstRowFirstColumn="0" w:firstRowLastColumn="0" w:lastRowFirstColumn="0" w:lastRowLastColumn="0"/>
              <w:rPr>
                <w:noProof/>
              </w:rPr>
            </w:pPr>
            <w:r w:rsidRPr="00AA0126">
              <w:rPr>
                <w:noProof/>
              </w:rPr>
              <w:t>25.5</w:t>
            </w:r>
          </w:p>
        </w:tc>
      </w:tr>
    </w:tbl>
    <w:p w14:paraId="3D11FB8C" w14:textId="77777777" w:rsidR="00CA208E" w:rsidRPr="00AA0126" w:rsidRDefault="00CA208E" w:rsidP="00CA208E">
      <w:pPr>
        <w:tabs>
          <w:tab w:val="left" w:pos="6793"/>
        </w:tabs>
        <w:ind w:left="284" w:hanging="284"/>
        <w:rPr>
          <w:noProof/>
          <w:sz w:val="18"/>
          <w:szCs w:val="18"/>
        </w:rPr>
      </w:pPr>
      <w:r w:rsidRPr="406E9459">
        <w:rPr>
          <w:noProof/>
          <w:sz w:val="18"/>
          <w:szCs w:val="18"/>
        </w:rPr>
        <w:t>(*)</w:t>
      </w:r>
      <w:r>
        <w:rPr>
          <w:noProof/>
        </w:rPr>
        <w:tab/>
      </w:r>
      <w:r w:rsidRPr="406E9459">
        <w:rPr>
          <w:noProof/>
          <w:sz w:val="18"/>
          <w:szCs w:val="18"/>
        </w:rPr>
        <w:t>The remaining EUR</w:t>
      </w:r>
      <w:r w:rsidRPr="406E9459">
        <w:rPr>
          <w:rFonts w:ascii="Calibri" w:hAnsi="Calibri" w:cs="Calibri"/>
          <w:noProof/>
          <w:sz w:val="18"/>
          <w:szCs w:val="18"/>
        </w:rPr>
        <w:t> </w:t>
      </w:r>
      <w:r w:rsidRPr="406E9459">
        <w:rPr>
          <w:noProof/>
          <w:sz w:val="18"/>
          <w:szCs w:val="18"/>
        </w:rPr>
        <w:t>3.7</w:t>
      </w:r>
      <w:r w:rsidRPr="406E9459">
        <w:rPr>
          <w:rFonts w:ascii="Calibri" w:hAnsi="Calibri" w:cs="Calibri"/>
          <w:noProof/>
          <w:sz w:val="18"/>
          <w:szCs w:val="18"/>
        </w:rPr>
        <w:t> </w:t>
      </w:r>
      <w:r w:rsidRPr="406E9459">
        <w:rPr>
          <w:noProof/>
          <w:sz w:val="18"/>
          <w:szCs w:val="18"/>
        </w:rPr>
        <w:t>million of the initial voted budget has been automatically carried over to 2022 and will be implemented during 2022.</w:t>
      </w:r>
    </w:p>
    <w:p w14:paraId="75EC0B1D" w14:textId="77777777" w:rsidR="00CA208E" w:rsidRPr="00AA0126" w:rsidRDefault="00CA208E" w:rsidP="00CA208E">
      <w:pPr>
        <w:pStyle w:val="ppoListHyphened-L1"/>
        <w:numPr>
          <w:ilvl w:val="0"/>
          <w:numId w:val="108"/>
        </w:numPr>
        <w:spacing w:before="360"/>
        <w:jc w:val="both"/>
        <w:rPr>
          <w:noProof/>
        </w:rPr>
      </w:pPr>
      <w:r>
        <w:rPr>
          <w:noProof/>
        </w:rPr>
        <w:t>Despite the late adoption of the DOAG (in October 2021), 11 out of the 15 programming documents for OCT cooperation (called multiannual indicative programmes) were adopted. The remaining four are scheduled for 2022. The implementation of the financial assistance also led to the adoption of three Commission decisions in December 2021: on Greenland (EUR</w:t>
      </w:r>
      <w:r w:rsidRPr="406E9459">
        <w:rPr>
          <w:rFonts w:ascii="Calibri" w:hAnsi="Calibri" w:cs="Calibri"/>
          <w:noProof/>
        </w:rPr>
        <w:t> </w:t>
      </w:r>
      <w:r>
        <w:rPr>
          <w:noProof/>
        </w:rPr>
        <w:t>60</w:t>
      </w:r>
      <w:r w:rsidRPr="406E9459">
        <w:rPr>
          <w:rFonts w:ascii="Calibri" w:hAnsi="Calibri" w:cs="Calibri"/>
          <w:noProof/>
        </w:rPr>
        <w:t> </w:t>
      </w:r>
      <w:r>
        <w:rPr>
          <w:noProof/>
        </w:rPr>
        <w:t>million for education), support measures (Technical Cooperation Facility, EUR</w:t>
      </w:r>
      <w:r w:rsidRPr="406E9459">
        <w:rPr>
          <w:rFonts w:ascii="Calibri" w:hAnsi="Calibri" w:cs="Calibri"/>
          <w:noProof/>
        </w:rPr>
        <w:t> </w:t>
      </w:r>
      <w:r>
        <w:rPr>
          <w:noProof/>
        </w:rPr>
        <w:t>1.5</w:t>
      </w:r>
      <w:r w:rsidRPr="406E9459">
        <w:rPr>
          <w:rFonts w:ascii="Calibri" w:hAnsi="Calibri" w:cs="Calibri"/>
          <w:noProof/>
        </w:rPr>
        <w:t> </w:t>
      </w:r>
      <w:r>
        <w:rPr>
          <w:noProof/>
        </w:rPr>
        <w:t>million) and support for the OCT association (EUR</w:t>
      </w:r>
      <w:r w:rsidRPr="406E9459">
        <w:rPr>
          <w:rFonts w:ascii="Calibri" w:hAnsi="Calibri" w:cs="Calibri"/>
          <w:noProof/>
        </w:rPr>
        <w:t> </w:t>
      </w:r>
      <w:r>
        <w:rPr>
          <w:noProof/>
        </w:rPr>
        <w:t>1</w:t>
      </w:r>
      <w:r w:rsidRPr="406E9459">
        <w:rPr>
          <w:rFonts w:ascii="Calibri" w:hAnsi="Calibri" w:cs="Calibri"/>
          <w:noProof/>
        </w:rPr>
        <w:t> </w:t>
      </w:r>
      <w:r>
        <w:rPr>
          <w:noProof/>
        </w:rPr>
        <w:t>million).</w:t>
      </w:r>
    </w:p>
    <w:p w14:paraId="7B734EE5" w14:textId="77777777" w:rsidR="00CA208E" w:rsidRPr="00AA0126" w:rsidRDefault="00CA208E" w:rsidP="00CA208E">
      <w:pPr>
        <w:pStyle w:val="ppoListHyphened-L1"/>
        <w:numPr>
          <w:ilvl w:val="0"/>
          <w:numId w:val="108"/>
        </w:numPr>
        <w:spacing w:before="360"/>
        <w:jc w:val="both"/>
        <w:rPr>
          <w:noProof/>
        </w:rPr>
      </w:pPr>
      <w:r>
        <w:rPr>
          <w:noProof/>
        </w:rPr>
        <w:t>In 2022, in relation to the EUR</w:t>
      </w:r>
      <w:r w:rsidRPr="406E9459">
        <w:rPr>
          <w:rFonts w:ascii="Calibri" w:hAnsi="Calibri" w:cs="Calibri"/>
          <w:noProof/>
        </w:rPr>
        <w:t> </w:t>
      </w:r>
      <w:r>
        <w:rPr>
          <w:noProof/>
        </w:rPr>
        <w:t>98.5</w:t>
      </w:r>
      <w:r w:rsidRPr="406E9459">
        <w:rPr>
          <w:rFonts w:ascii="Calibri" w:hAnsi="Calibri" w:cs="Calibri"/>
          <w:noProof/>
        </w:rPr>
        <w:t> </w:t>
      </w:r>
      <w:r>
        <w:rPr>
          <w:noProof/>
        </w:rPr>
        <w:t>million in commitments, six annual action plans for OCTs are ongoing, in French Polynesia (EUR</w:t>
      </w:r>
      <w:r w:rsidRPr="406E9459">
        <w:rPr>
          <w:rFonts w:ascii="Calibri" w:hAnsi="Calibri" w:cs="Calibri"/>
          <w:noProof/>
        </w:rPr>
        <w:t> </w:t>
      </w:r>
      <w:r>
        <w:rPr>
          <w:noProof/>
        </w:rPr>
        <w:t>31.1</w:t>
      </w:r>
      <w:r w:rsidRPr="406E9459">
        <w:rPr>
          <w:rFonts w:ascii="Calibri" w:hAnsi="Calibri" w:cs="Calibri"/>
          <w:noProof/>
        </w:rPr>
        <w:t> </w:t>
      </w:r>
      <w:r>
        <w:rPr>
          <w:noProof/>
        </w:rPr>
        <w:t>million), New Caledonia (EUR</w:t>
      </w:r>
      <w:r w:rsidRPr="406E9459">
        <w:rPr>
          <w:rFonts w:ascii="Calibri" w:hAnsi="Calibri" w:cs="Calibri"/>
          <w:noProof/>
        </w:rPr>
        <w:t> </w:t>
      </w:r>
      <w:r>
        <w:rPr>
          <w:noProof/>
        </w:rPr>
        <w:t>30.9</w:t>
      </w:r>
      <w:r w:rsidRPr="406E9459">
        <w:rPr>
          <w:rFonts w:ascii="Calibri" w:hAnsi="Calibri" w:cs="Calibri"/>
          <w:noProof/>
        </w:rPr>
        <w:t> </w:t>
      </w:r>
      <w:r>
        <w:rPr>
          <w:noProof/>
        </w:rPr>
        <w:t>million), Saba (EUR</w:t>
      </w:r>
      <w:r w:rsidRPr="406E9459">
        <w:rPr>
          <w:rFonts w:ascii="Calibri" w:hAnsi="Calibri" w:cs="Calibri"/>
          <w:noProof/>
        </w:rPr>
        <w:t> </w:t>
      </w:r>
      <w:r>
        <w:rPr>
          <w:noProof/>
        </w:rPr>
        <w:t>4.1</w:t>
      </w:r>
      <w:r w:rsidRPr="406E9459">
        <w:rPr>
          <w:rFonts w:ascii="Calibri" w:hAnsi="Calibri" w:cs="Calibri"/>
          <w:noProof/>
        </w:rPr>
        <w:t> </w:t>
      </w:r>
      <w:r>
        <w:rPr>
          <w:noProof/>
        </w:rPr>
        <w:t>million), Saint Barthélemy (EUR</w:t>
      </w:r>
      <w:r w:rsidRPr="406E9459">
        <w:rPr>
          <w:rFonts w:ascii="Calibri" w:hAnsi="Calibri" w:cs="Calibri"/>
          <w:noProof/>
        </w:rPr>
        <w:t> </w:t>
      </w:r>
      <w:r>
        <w:rPr>
          <w:noProof/>
        </w:rPr>
        <w:t>2.5</w:t>
      </w:r>
      <w:r w:rsidRPr="406E9459">
        <w:rPr>
          <w:rFonts w:ascii="Calibri" w:hAnsi="Calibri" w:cs="Calibri"/>
          <w:noProof/>
        </w:rPr>
        <w:t> </w:t>
      </w:r>
      <w:r>
        <w:rPr>
          <w:noProof/>
        </w:rPr>
        <w:t>million), Saint Pierre and Miquelon (EUR</w:t>
      </w:r>
      <w:r w:rsidRPr="406E9459">
        <w:rPr>
          <w:rFonts w:ascii="Calibri" w:hAnsi="Calibri" w:cs="Calibri"/>
          <w:noProof/>
        </w:rPr>
        <w:t> </w:t>
      </w:r>
      <w:r>
        <w:rPr>
          <w:noProof/>
        </w:rPr>
        <w:t>27</w:t>
      </w:r>
      <w:r w:rsidRPr="406E9459">
        <w:rPr>
          <w:rFonts w:ascii="Calibri" w:hAnsi="Calibri" w:cs="Calibri"/>
          <w:noProof/>
        </w:rPr>
        <w:t> </w:t>
      </w:r>
      <w:r>
        <w:rPr>
          <w:noProof/>
        </w:rPr>
        <w:t>million) and St Eustatius (EUR</w:t>
      </w:r>
      <w:r w:rsidRPr="406E9459">
        <w:rPr>
          <w:rFonts w:ascii="Calibri" w:hAnsi="Calibri" w:cs="Calibri"/>
          <w:noProof/>
        </w:rPr>
        <w:t> </w:t>
      </w:r>
      <w:r>
        <w:rPr>
          <w:noProof/>
        </w:rPr>
        <w:t>2.9</w:t>
      </w:r>
      <w:r w:rsidRPr="406E9459">
        <w:rPr>
          <w:rFonts w:ascii="Calibri" w:hAnsi="Calibri" w:cs="Calibri"/>
          <w:noProof/>
        </w:rPr>
        <w:t> </w:t>
      </w:r>
      <w:r>
        <w:rPr>
          <w:noProof/>
        </w:rPr>
        <w:t>million).</w:t>
      </w:r>
    </w:p>
    <w:p w14:paraId="11A68EAC" w14:textId="77777777" w:rsidR="00CA208E" w:rsidRPr="00AA0126" w:rsidRDefault="00CA208E" w:rsidP="00CA208E">
      <w:pPr>
        <w:pStyle w:val="ppoListHyphened-L1"/>
        <w:numPr>
          <w:ilvl w:val="0"/>
          <w:numId w:val="108"/>
        </w:numPr>
        <w:spacing w:before="360"/>
        <w:jc w:val="both"/>
        <w:rPr>
          <w:noProof/>
        </w:rPr>
      </w:pPr>
      <w:r>
        <w:rPr>
          <w:noProof/>
        </w:rPr>
        <w:t>For 2023, nine new annual action plans are envisaged with up to EUR</w:t>
      </w:r>
      <w:r w:rsidRPr="406E9459">
        <w:rPr>
          <w:rFonts w:ascii="Calibri" w:hAnsi="Calibri" w:cs="Calibri"/>
          <w:noProof/>
        </w:rPr>
        <w:t> </w:t>
      </w:r>
      <w:r>
        <w:rPr>
          <w:noProof/>
        </w:rPr>
        <w:t>96.2</w:t>
      </w:r>
      <w:r w:rsidRPr="406E9459">
        <w:rPr>
          <w:rFonts w:ascii="Calibri" w:hAnsi="Calibri" w:cs="Calibri"/>
          <w:noProof/>
        </w:rPr>
        <w:t> </w:t>
      </w:r>
      <w:r>
        <w:rPr>
          <w:noProof/>
        </w:rPr>
        <w:t>million in commitments, consisting of four action plans for bilateral programmes in OCTs, three for regional cooperation and two for support measures. Of these nine action plans, two are already under formulation in 2022 with a view to early adoption in 2023: a regional programme for the French southern and Antarctic lands (biodiversity, EUR</w:t>
      </w:r>
      <w:r w:rsidRPr="406E9459">
        <w:rPr>
          <w:rFonts w:ascii="Calibri" w:hAnsi="Calibri" w:cs="Calibri"/>
          <w:noProof/>
        </w:rPr>
        <w:t> </w:t>
      </w:r>
      <w:r>
        <w:rPr>
          <w:noProof/>
        </w:rPr>
        <w:t>4</w:t>
      </w:r>
      <w:r w:rsidRPr="406E9459">
        <w:rPr>
          <w:rFonts w:ascii="Calibri" w:hAnsi="Calibri" w:cs="Calibri"/>
          <w:noProof/>
        </w:rPr>
        <w:t> </w:t>
      </w:r>
      <w:r>
        <w:rPr>
          <w:noProof/>
        </w:rPr>
        <w:t>million); and a programme for support measures (EUR</w:t>
      </w:r>
      <w:r w:rsidRPr="406E9459">
        <w:rPr>
          <w:rFonts w:ascii="Calibri" w:hAnsi="Calibri" w:cs="Calibri"/>
          <w:noProof/>
        </w:rPr>
        <w:t> </w:t>
      </w:r>
      <w:r>
        <w:rPr>
          <w:noProof/>
        </w:rPr>
        <w:t>1.5</w:t>
      </w:r>
      <w:r w:rsidRPr="406E9459">
        <w:rPr>
          <w:rFonts w:ascii="Calibri" w:hAnsi="Calibri" w:cs="Calibri"/>
          <w:noProof/>
        </w:rPr>
        <w:t> </w:t>
      </w:r>
      <w:r>
        <w:rPr>
          <w:noProof/>
        </w:rPr>
        <w:t>million).</w:t>
      </w:r>
    </w:p>
    <w:p w14:paraId="3DBC0A1E" w14:textId="77777777" w:rsidR="00CA208E" w:rsidRPr="00AA0126" w:rsidRDefault="00CA208E" w:rsidP="00CA208E">
      <w:pPr>
        <w:pStyle w:val="ppoHeading5"/>
        <w:rPr>
          <w:noProof/>
        </w:rPr>
      </w:pPr>
      <w:r w:rsidRPr="00AA0126">
        <w:rPr>
          <w:noProof/>
        </w:rPr>
        <w:t>Contribution to horizontal priorities</w:t>
      </w:r>
    </w:p>
    <w:p w14:paraId="71DCEC20" w14:textId="77777777" w:rsidR="00CA208E" w:rsidRPr="00AA0126" w:rsidRDefault="00CA208E" w:rsidP="00CA208E">
      <w:pPr>
        <w:pStyle w:val="ppoTableTabletitle"/>
        <w:rPr>
          <w:noProof/>
        </w:rPr>
      </w:pPr>
      <w:r w:rsidRPr="00AA0126">
        <w:rPr>
          <w:noProof/>
        </w:rPr>
        <w:t>EU budget contribution in 2021 (million EUR):</w:t>
      </w:r>
    </w:p>
    <w:tbl>
      <w:tblPr>
        <w:tblStyle w:val="PPO2021"/>
        <w:tblW w:w="9639" w:type="dxa"/>
        <w:tblInd w:w="0" w:type="dxa"/>
        <w:tblLook w:val="0420" w:firstRow="1" w:lastRow="0" w:firstColumn="0" w:lastColumn="0" w:noHBand="0" w:noVBand="1"/>
      </w:tblPr>
      <w:tblGrid>
        <w:gridCol w:w="3213"/>
        <w:gridCol w:w="3213"/>
        <w:gridCol w:w="3213"/>
      </w:tblGrid>
      <w:tr w:rsidR="00CA208E" w:rsidRPr="00AA0126" w14:paraId="4E816AEF" w14:textId="77777777" w:rsidTr="0083214A">
        <w:trPr>
          <w:cnfStyle w:val="100000000000" w:firstRow="1" w:lastRow="0" w:firstColumn="0" w:lastColumn="0" w:oddVBand="0" w:evenVBand="0" w:oddHBand="0" w:evenHBand="0" w:firstRowFirstColumn="0" w:firstRowLastColumn="0" w:lastRowFirstColumn="0" w:lastRowLastColumn="0"/>
          <w:tblHeader/>
        </w:trPr>
        <w:tc>
          <w:tcPr>
            <w:tcW w:w="3213" w:type="dxa"/>
          </w:tcPr>
          <w:p w14:paraId="435B6F8D" w14:textId="77777777" w:rsidR="00CA208E" w:rsidRPr="00AA0126" w:rsidRDefault="00CA208E" w:rsidP="0083214A">
            <w:pPr>
              <w:rPr>
                <w:noProof/>
              </w:rPr>
            </w:pPr>
            <w:r w:rsidRPr="00AA0126">
              <w:rPr>
                <w:noProof/>
              </w:rPr>
              <w:t>Climate</w:t>
            </w:r>
          </w:p>
        </w:tc>
        <w:tc>
          <w:tcPr>
            <w:tcW w:w="3213" w:type="dxa"/>
          </w:tcPr>
          <w:p w14:paraId="25D34BAA" w14:textId="77777777" w:rsidR="00CA208E" w:rsidRPr="00AA0126" w:rsidRDefault="00CA208E" w:rsidP="0083214A">
            <w:pPr>
              <w:rPr>
                <w:noProof/>
              </w:rPr>
            </w:pPr>
            <w:r w:rsidRPr="00AA0126">
              <w:rPr>
                <w:noProof/>
              </w:rPr>
              <w:t>Biodiversity</w:t>
            </w:r>
          </w:p>
        </w:tc>
        <w:tc>
          <w:tcPr>
            <w:tcW w:w="3213" w:type="dxa"/>
          </w:tcPr>
          <w:p w14:paraId="360A91A0" w14:textId="77777777" w:rsidR="00CA208E" w:rsidRPr="00AA0126" w:rsidRDefault="00CA208E" w:rsidP="0083214A">
            <w:pPr>
              <w:rPr>
                <w:noProof/>
              </w:rPr>
            </w:pPr>
            <w:r>
              <w:rPr>
                <w:noProof/>
              </w:rPr>
              <w:t>Gender equality</w:t>
            </w:r>
            <w:r w:rsidRPr="406E9459">
              <w:rPr>
                <w:rFonts w:ascii="Calibri" w:hAnsi="Calibri" w:cs="Calibri"/>
                <w:noProof/>
              </w:rPr>
              <w:t> </w:t>
            </w:r>
            <w:r>
              <w:rPr>
                <w:noProof/>
              </w:rPr>
              <w:t>(*)</w:t>
            </w:r>
          </w:p>
        </w:tc>
      </w:tr>
      <w:tr w:rsidR="00CA208E" w:rsidRPr="00AA0126" w14:paraId="664C76E3" w14:textId="77777777" w:rsidTr="0083214A">
        <w:trPr>
          <w:cnfStyle w:val="000000100000" w:firstRow="0" w:lastRow="0" w:firstColumn="0" w:lastColumn="0" w:oddVBand="0" w:evenVBand="0" w:oddHBand="1" w:evenHBand="0" w:firstRowFirstColumn="0" w:firstRowLastColumn="0" w:lastRowFirstColumn="0" w:lastRowLastColumn="0"/>
        </w:trPr>
        <w:tc>
          <w:tcPr>
            <w:tcW w:w="3213" w:type="dxa"/>
          </w:tcPr>
          <w:p w14:paraId="55F03B6C" w14:textId="77777777" w:rsidR="00CA208E" w:rsidRPr="00AA0126" w:rsidRDefault="00CA208E" w:rsidP="0083214A">
            <w:pPr>
              <w:jc w:val="center"/>
              <w:rPr>
                <w:noProof/>
              </w:rPr>
            </w:pPr>
            <w:r w:rsidRPr="00AA0126">
              <w:rPr>
                <w:noProof/>
              </w:rPr>
              <w:t>0</w:t>
            </w:r>
          </w:p>
        </w:tc>
        <w:tc>
          <w:tcPr>
            <w:tcW w:w="3213" w:type="dxa"/>
          </w:tcPr>
          <w:p w14:paraId="7C248DF3" w14:textId="77777777" w:rsidR="00CA208E" w:rsidRPr="00AA0126" w:rsidRDefault="00CA208E" w:rsidP="0083214A">
            <w:pPr>
              <w:jc w:val="center"/>
              <w:rPr>
                <w:noProof/>
              </w:rPr>
            </w:pPr>
            <w:r w:rsidRPr="00AA0126">
              <w:rPr>
                <w:noProof/>
              </w:rPr>
              <w:t>5</w:t>
            </w:r>
          </w:p>
        </w:tc>
        <w:tc>
          <w:tcPr>
            <w:tcW w:w="3213" w:type="dxa"/>
          </w:tcPr>
          <w:p w14:paraId="789AA303" w14:textId="323C0B4E" w:rsidR="00CA208E" w:rsidRPr="00AA0126" w:rsidRDefault="00CA208E" w:rsidP="0083214A">
            <w:pPr>
              <w:jc w:val="center"/>
              <w:rPr>
                <w:noProof/>
              </w:rPr>
            </w:pPr>
            <w:r w:rsidRPr="00AA0126">
              <w:rPr>
                <w:noProof/>
              </w:rPr>
              <w:t xml:space="preserve">Score 1: </w:t>
            </w:r>
            <w:r w:rsidR="004E3991">
              <w:rPr>
                <w:noProof/>
              </w:rPr>
              <w:t>60.0</w:t>
            </w:r>
          </w:p>
          <w:p w14:paraId="5F6CA6EB" w14:textId="448A819B" w:rsidR="00CA208E" w:rsidRPr="00AA0126" w:rsidRDefault="00CA208E" w:rsidP="0083214A">
            <w:pPr>
              <w:jc w:val="center"/>
              <w:rPr>
                <w:noProof/>
              </w:rPr>
            </w:pPr>
            <w:r w:rsidRPr="00AA0126">
              <w:rPr>
                <w:noProof/>
              </w:rPr>
              <w:t xml:space="preserve">Score 0: </w:t>
            </w:r>
            <w:r w:rsidR="004E3991">
              <w:rPr>
                <w:noProof/>
              </w:rPr>
              <w:t>3.3</w:t>
            </w:r>
          </w:p>
        </w:tc>
      </w:tr>
    </w:tbl>
    <w:p w14:paraId="1E79C36D" w14:textId="77777777" w:rsidR="00CA208E" w:rsidRPr="00AA0126" w:rsidRDefault="00CA208E" w:rsidP="00CA208E">
      <w:pPr>
        <w:pStyle w:val="FootnoteText"/>
        <w:rPr>
          <w:noProof/>
        </w:rPr>
      </w:pPr>
      <w:r>
        <w:rPr>
          <w:noProof/>
        </w:rPr>
        <w:t>(*)</w:t>
      </w:r>
      <w:r>
        <w:rPr>
          <w:noProof/>
        </w:rPr>
        <w:tab/>
        <w:t>Based on the applied gender contribution methodology, the following scores are attributed at the most granular level of intervention possible:</w:t>
      </w:r>
    </w:p>
    <w:p w14:paraId="404AE1B9" w14:textId="77777777" w:rsidR="00CA208E" w:rsidRPr="00AA0126" w:rsidRDefault="00CA208E" w:rsidP="00CA208E">
      <w:pPr>
        <w:pStyle w:val="FootnoteText"/>
        <w:numPr>
          <w:ilvl w:val="0"/>
          <w:numId w:val="38"/>
        </w:numPr>
        <w:spacing w:after="60" w:line="264" w:lineRule="auto"/>
        <w:jc w:val="left"/>
        <w:rPr>
          <w:noProof/>
        </w:rPr>
      </w:pPr>
      <w:r w:rsidRPr="00AA0126">
        <w:rPr>
          <w:noProof/>
        </w:rPr>
        <w:t>2: interventions the principal objective of which is to improve gender equality;</w:t>
      </w:r>
    </w:p>
    <w:p w14:paraId="13C247BB" w14:textId="77777777" w:rsidR="00CA208E" w:rsidRPr="00AA0126" w:rsidRDefault="00CA208E" w:rsidP="00CA208E">
      <w:pPr>
        <w:pStyle w:val="FootnoteText"/>
        <w:numPr>
          <w:ilvl w:val="0"/>
          <w:numId w:val="38"/>
        </w:numPr>
        <w:spacing w:after="60" w:line="264" w:lineRule="auto"/>
        <w:jc w:val="left"/>
        <w:rPr>
          <w:noProof/>
        </w:rPr>
      </w:pPr>
      <w:r w:rsidRPr="00AA0126">
        <w:rPr>
          <w:noProof/>
        </w:rPr>
        <w:t>1: interventions that have gender equality as an important and deliberate objective but not as the main reason for the intervention;</w:t>
      </w:r>
    </w:p>
    <w:p w14:paraId="1F469C64" w14:textId="77777777" w:rsidR="00CA208E" w:rsidRPr="00AA0126" w:rsidRDefault="00CA208E" w:rsidP="00CA208E">
      <w:pPr>
        <w:pStyle w:val="FootnoteText"/>
        <w:numPr>
          <w:ilvl w:val="0"/>
          <w:numId w:val="38"/>
        </w:numPr>
        <w:spacing w:after="60" w:line="264" w:lineRule="auto"/>
        <w:jc w:val="left"/>
        <w:rPr>
          <w:noProof/>
        </w:rPr>
      </w:pPr>
      <w:r w:rsidRPr="00AA0126">
        <w:rPr>
          <w:noProof/>
        </w:rPr>
        <w:t>0: non-targeted interventions;</w:t>
      </w:r>
    </w:p>
    <w:p w14:paraId="72EA586E" w14:textId="77777777" w:rsidR="00CA208E" w:rsidRPr="00AA0126" w:rsidRDefault="00CA208E" w:rsidP="00CA208E">
      <w:pPr>
        <w:pStyle w:val="FootnoteText"/>
        <w:numPr>
          <w:ilvl w:val="0"/>
          <w:numId w:val="38"/>
        </w:numPr>
        <w:spacing w:after="60" w:line="264" w:lineRule="auto"/>
        <w:jc w:val="left"/>
        <w:rPr>
          <w:noProof/>
        </w:rPr>
      </w:pPr>
      <w:r w:rsidRPr="00AA0126">
        <w:rPr>
          <w:noProof/>
        </w:rPr>
        <w:t>0*: score to be assigned to interventions with a likely but not yet clear positive impact on gender equality.</w:t>
      </w:r>
    </w:p>
    <w:p w14:paraId="234F6554" w14:textId="77777777" w:rsidR="00CA208E" w:rsidRPr="00AA0126" w:rsidRDefault="00CA208E" w:rsidP="00CA208E">
      <w:pPr>
        <w:pStyle w:val="ppoHeading5"/>
        <w:rPr>
          <w:noProof/>
        </w:rPr>
      </w:pPr>
      <w:r w:rsidRPr="00AA0126">
        <w:rPr>
          <w:noProof/>
        </w:rPr>
        <w:t>Performance assessment</w:t>
      </w:r>
    </w:p>
    <w:p w14:paraId="37EF1A9D" w14:textId="77777777" w:rsidR="00CA208E" w:rsidRPr="00AA0126" w:rsidRDefault="00CA208E" w:rsidP="00CA208E">
      <w:pPr>
        <w:pStyle w:val="ppoHeading6"/>
        <w:rPr>
          <w:noProof/>
        </w:rPr>
      </w:pPr>
      <w:r w:rsidRPr="00AA0126">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CA208E" w:rsidRPr="00AA0126" w14:paraId="1F770B2A" w14:textId="77777777" w:rsidTr="0083214A">
        <w:trPr>
          <w:cnfStyle w:val="100000000000" w:firstRow="1" w:lastRow="0" w:firstColumn="0" w:lastColumn="0" w:oddVBand="0" w:evenVBand="0" w:oddHBand="0" w:evenHBand="0" w:firstRowFirstColumn="0" w:firstRowLastColumn="0" w:lastRowFirstColumn="0" w:lastRowLastColumn="0"/>
        </w:trPr>
        <w:tc>
          <w:tcPr>
            <w:tcW w:w="2330" w:type="dxa"/>
          </w:tcPr>
          <w:p w14:paraId="6ADCBD5E" w14:textId="77777777" w:rsidR="00CA208E" w:rsidRPr="00AA0126" w:rsidRDefault="00CA208E" w:rsidP="0083214A">
            <w:pPr>
              <w:rPr>
                <w:noProof/>
              </w:rPr>
            </w:pPr>
          </w:p>
        </w:tc>
        <w:tc>
          <w:tcPr>
            <w:tcW w:w="1100" w:type="dxa"/>
          </w:tcPr>
          <w:p w14:paraId="3159B22A" w14:textId="77777777" w:rsidR="00CA208E" w:rsidRPr="00AA0126" w:rsidRDefault="00CA208E" w:rsidP="0083214A">
            <w:pPr>
              <w:rPr>
                <w:noProof/>
              </w:rPr>
            </w:pPr>
            <w:r w:rsidRPr="00AA0126">
              <w:rPr>
                <w:noProof/>
              </w:rPr>
              <w:t>Baseline</w:t>
            </w:r>
          </w:p>
        </w:tc>
        <w:tc>
          <w:tcPr>
            <w:tcW w:w="1526" w:type="dxa"/>
          </w:tcPr>
          <w:p w14:paraId="5914C834" w14:textId="77777777" w:rsidR="00CA208E" w:rsidRPr="00AA0126" w:rsidRDefault="00CA208E" w:rsidP="0083214A">
            <w:pPr>
              <w:rPr>
                <w:noProof/>
              </w:rPr>
            </w:pPr>
            <w:r w:rsidRPr="00AA0126">
              <w:rPr>
                <w:noProof/>
              </w:rPr>
              <w:t>Progress (*)</w:t>
            </w:r>
          </w:p>
        </w:tc>
        <w:tc>
          <w:tcPr>
            <w:tcW w:w="1532" w:type="dxa"/>
          </w:tcPr>
          <w:p w14:paraId="0D514FA8" w14:textId="77777777" w:rsidR="00CA208E" w:rsidRPr="00AA0126" w:rsidRDefault="00CA208E" w:rsidP="0083214A">
            <w:pPr>
              <w:rPr>
                <w:noProof/>
              </w:rPr>
            </w:pPr>
            <w:r w:rsidRPr="00AA0126">
              <w:rPr>
                <w:noProof/>
              </w:rPr>
              <w:t>Target</w:t>
            </w:r>
          </w:p>
        </w:tc>
        <w:tc>
          <w:tcPr>
            <w:tcW w:w="1572" w:type="dxa"/>
          </w:tcPr>
          <w:p w14:paraId="03698E91" w14:textId="77777777" w:rsidR="00CA208E" w:rsidRPr="00AA0126" w:rsidRDefault="00CA208E" w:rsidP="0083214A">
            <w:pPr>
              <w:rPr>
                <w:noProof/>
              </w:rPr>
            </w:pPr>
            <w:r w:rsidRPr="00AA0126">
              <w:rPr>
                <w:noProof/>
              </w:rPr>
              <w:t>Results</w:t>
            </w:r>
          </w:p>
        </w:tc>
        <w:tc>
          <w:tcPr>
            <w:tcW w:w="1579" w:type="dxa"/>
          </w:tcPr>
          <w:p w14:paraId="038EFC70" w14:textId="77777777" w:rsidR="00CA208E" w:rsidRPr="00AA0126" w:rsidRDefault="00CA208E" w:rsidP="0083214A">
            <w:pPr>
              <w:rPr>
                <w:noProof/>
              </w:rPr>
            </w:pPr>
            <w:r w:rsidRPr="00AA0126">
              <w:rPr>
                <w:noProof/>
              </w:rPr>
              <w:t>Assessment</w:t>
            </w:r>
          </w:p>
        </w:tc>
      </w:tr>
      <w:tr w:rsidR="00CA208E" w:rsidRPr="00AA0126" w14:paraId="33ABD3DA"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34F3FFC2" w14:textId="4AB90957" w:rsidR="00CA208E" w:rsidRPr="00AA0126" w:rsidRDefault="00CA208E" w:rsidP="0083214A">
            <w:pPr>
              <w:rPr>
                <w:noProof/>
              </w:rPr>
            </w:pPr>
            <w:r>
              <w:rPr>
                <w:noProof/>
              </w:rPr>
              <w:t>For OCTs except Greenland, exports of goods and services as a percentage of gross domestic product</w:t>
            </w:r>
          </w:p>
        </w:tc>
        <w:tc>
          <w:tcPr>
            <w:tcW w:w="1100" w:type="dxa"/>
          </w:tcPr>
          <w:p w14:paraId="0FA7837B" w14:textId="739A96E4" w:rsidR="00CA208E" w:rsidRPr="00AA0126" w:rsidRDefault="00CA208E" w:rsidP="0083214A">
            <w:pPr>
              <w:jc w:val="center"/>
              <w:rPr>
                <w:noProof/>
              </w:rPr>
            </w:pPr>
            <w:r w:rsidRPr="00AA0126">
              <w:rPr>
                <w:noProof/>
              </w:rPr>
              <w:t>19.2%</w:t>
            </w:r>
          </w:p>
        </w:tc>
        <w:tc>
          <w:tcPr>
            <w:tcW w:w="1526" w:type="dxa"/>
          </w:tcPr>
          <w:p w14:paraId="286BBC88" w14:textId="18CAA757" w:rsidR="00CA208E" w:rsidRPr="00AA0126" w:rsidRDefault="00CA208E" w:rsidP="0083214A">
            <w:pPr>
              <w:jc w:val="center"/>
              <w:rPr>
                <w:b/>
                <w:noProof/>
              </w:rPr>
            </w:pPr>
          </w:p>
        </w:tc>
        <w:tc>
          <w:tcPr>
            <w:tcW w:w="1532" w:type="dxa"/>
          </w:tcPr>
          <w:p w14:paraId="482C85BF" w14:textId="612D0FF9" w:rsidR="00CA208E" w:rsidRPr="00AA0126" w:rsidRDefault="00CA208E" w:rsidP="0083214A">
            <w:pPr>
              <w:jc w:val="center"/>
              <w:rPr>
                <w:noProof/>
              </w:rPr>
            </w:pPr>
          </w:p>
        </w:tc>
        <w:tc>
          <w:tcPr>
            <w:tcW w:w="1572" w:type="dxa"/>
          </w:tcPr>
          <w:p w14:paraId="6F13D024" w14:textId="6640DB61" w:rsidR="00CA208E" w:rsidRPr="00AA0126" w:rsidRDefault="00244B68" w:rsidP="0083214A">
            <w:pPr>
              <w:jc w:val="center"/>
              <w:rPr>
                <w:noProof/>
              </w:rPr>
            </w:pPr>
            <w:r>
              <w:rPr>
                <w:noProof/>
              </w:rPr>
              <w:t>No results</w:t>
            </w:r>
          </w:p>
        </w:tc>
        <w:tc>
          <w:tcPr>
            <w:tcW w:w="1579" w:type="dxa"/>
          </w:tcPr>
          <w:p w14:paraId="6624FA86" w14:textId="3D9DB54B" w:rsidR="00CA208E" w:rsidRPr="00AA0126" w:rsidRDefault="00CA208E" w:rsidP="0083214A">
            <w:pPr>
              <w:jc w:val="center"/>
              <w:rPr>
                <w:noProof/>
              </w:rPr>
            </w:pPr>
            <w:r w:rsidRPr="00AA0126">
              <w:rPr>
                <w:noProof/>
              </w:rPr>
              <w:t>No data</w:t>
            </w:r>
          </w:p>
        </w:tc>
      </w:tr>
      <w:tr w:rsidR="00244B68" w:rsidRPr="00AA0126" w14:paraId="4CBC498D"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61EB1E9F" w14:textId="24342806" w:rsidR="00244B68" w:rsidRPr="00AA0126" w:rsidRDefault="00244B68" w:rsidP="00244B68">
            <w:pPr>
              <w:rPr>
                <w:noProof/>
              </w:rPr>
            </w:pPr>
            <w:r>
              <w:rPr>
                <w:noProof/>
              </w:rPr>
              <w:t>For OCTs except Greenland, total Government revenue as a percentage of gross domestic product</w:t>
            </w:r>
          </w:p>
        </w:tc>
        <w:tc>
          <w:tcPr>
            <w:tcW w:w="1100" w:type="dxa"/>
          </w:tcPr>
          <w:p w14:paraId="14029E18" w14:textId="42BE3540" w:rsidR="00244B68" w:rsidRPr="00AA0126" w:rsidRDefault="00244B68" w:rsidP="00244B68">
            <w:pPr>
              <w:jc w:val="center"/>
              <w:rPr>
                <w:noProof/>
              </w:rPr>
            </w:pPr>
            <w:r w:rsidRPr="00AA0126">
              <w:rPr>
                <w:noProof/>
              </w:rPr>
              <w:t>26.9%</w:t>
            </w:r>
          </w:p>
        </w:tc>
        <w:tc>
          <w:tcPr>
            <w:tcW w:w="1526" w:type="dxa"/>
          </w:tcPr>
          <w:p w14:paraId="4377BA83" w14:textId="7331C842" w:rsidR="00244B68" w:rsidRPr="00AA0126" w:rsidRDefault="00244B68" w:rsidP="00244B68">
            <w:pPr>
              <w:jc w:val="center"/>
              <w:rPr>
                <w:b/>
                <w:noProof/>
              </w:rPr>
            </w:pPr>
          </w:p>
        </w:tc>
        <w:tc>
          <w:tcPr>
            <w:tcW w:w="1532" w:type="dxa"/>
          </w:tcPr>
          <w:p w14:paraId="633B0B7B" w14:textId="60713CAE" w:rsidR="00244B68" w:rsidRPr="00AA0126" w:rsidRDefault="00244B68" w:rsidP="00244B68">
            <w:pPr>
              <w:jc w:val="center"/>
              <w:rPr>
                <w:noProof/>
              </w:rPr>
            </w:pPr>
          </w:p>
        </w:tc>
        <w:tc>
          <w:tcPr>
            <w:tcW w:w="1572" w:type="dxa"/>
          </w:tcPr>
          <w:p w14:paraId="6B3449FE" w14:textId="223DE142" w:rsidR="00244B68" w:rsidRPr="00AA0126" w:rsidRDefault="00244B68" w:rsidP="00244B68">
            <w:pPr>
              <w:jc w:val="center"/>
              <w:rPr>
                <w:noProof/>
              </w:rPr>
            </w:pPr>
            <w:r w:rsidRPr="00CB63A5">
              <w:rPr>
                <w:noProof/>
              </w:rPr>
              <w:t>No results</w:t>
            </w:r>
          </w:p>
        </w:tc>
        <w:tc>
          <w:tcPr>
            <w:tcW w:w="1579" w:type="dxa"/>
          </w:tcPr>
          <w:p w14:paraId="50078D15" w14:textId="017AD605" w:rsidR="00244B68" w:rsidRPr="00AA0126" w:rsidRDefault="00244B68" w:rsidP="00244B68">
            <w:pPr>
              <w:jc w:val="center"/>
              <w:rPr>
                <w:noProof/>
              </w:rPr>
            </w:pPr>
            <w:r w:rsidRPr="00AA0126">
              <w:rPr>
                <w:noProof/>
              </w:rPr>
              <w:t>No data</w:t>
            </w:r>
          </w:p>
        </w:tc>
      </w:tr>
      <w:tr w:rsidR="00244B68" w:rsidRPr="00AA0126" w14:paraId="0F6790F6"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6E5E87C7" w14:textId="7DACD957" w:rsidR="00244B68" w:rsidRPr="00AA0126" w:rsidRDefault="00244B68" w:rsidP="00244B68">
            <w:pPr>
              <w:rPr>
                <w:noProof/>
              </w:rPr>
            </w:pPr>
            <w:r>
              <w:rPr>
                <w:noProof/>
              </w:rPr>
              <w:t>For Greenland, exports of goods and services as a percentage of gross domestic product</w:t>
            </w:r>
          </w:p>
        </w:tc>
        <w:tc>
          <w:tcPr>
            <w:tcW w:w="1100" w:type="dxa"/>
          </w:tcPr>
          <w:p w14:paraId="3B8BCA2A" w14:textId="18CDB4CA" w:rsidR="00244B68" w:rsidRPr="00AA0126" w:rsidRDefault="00244B68" w:rsidP="00244B68">
            <w:pPr>
              <w:jc w:val="center"/>
              <w:rPr>
                <w:noProof/>
              </w:rPr>
            </w:pPr>
            <w:r w:rsidRPr="00AA0126">
              <w:rPr>
                <w:noProof/>
              </w:rPr>
              <w:t>26.4%</w:t>
            </w:r>
          </w:p>
        </w:tc>
        <w:tc>
          <w:tcPr>
            <w:tcW w:w="1526" w:type="dxa"/>
          </w:tcPr>
          <w:p w14:paraId="7CD7843F" w14:textId="06384954" w:rsidR="00244B68" w:rsidRPr="00AA0126" w:rsidRDefault="00244B68" w:rsidP="00244B68">
            <w:pPr>
              <w:jc w:val="center"/>
              <w:rPr>
                <w:b/>
                <w:noProof/>
              </w:rPr>
            </w:pPr>
          </w:p>
        </w:tc>
        <w:tc>
          <w:tcPr>
            <w:tcW w:w="1532" w:type="dxa"/>
          </w:tcPr>
          <w:p w14:paraId="72F960AA" w14:textId="171E7341" w:rsidR="00244B68" w:rsidRPr="00AA0126" w:rsidRDefault="00244B68" w:rsidP="00244B68">
            <w:pPr>
              <w:jc w:val="center"/>
              <w:rPr>
                <w:noProof/>
              </w:rPr>
            </w:pPr>
          </w:p>
        </w:tc>
        <w:tc>
          <w:tcPr>
            <w:tcW w:w="1572" w:type="dxa"/>
          </w:tcPr>
          <w:p w14:paraId="63FE5CA8" w14:textId="3AF7769F" w:rsidR="00244B68" w:rsidRPr="00AA0126" w:rsidRDefault="00244B68" w:rsidP="00244B68">
            <w:pPr>
              <w:jc w:val="center"/>
              <w:rPr>
                <w:noProof/>
              </w:rPr>
            </w:pPr>
            <w:r w:rsidRPr="00CB63A5">
              <w:rPr>
                <w:noProof/>
              </w:rPr>
              <w:t>No results</w:t>
            </w:r>
          </w:p>
        </w:tc>
        <w:tc>
          <w:tcPr>
            <w:tcW w:w="1579" w:type="dxa"/>
          </w:tcPr>
          <w:p w14:paraId="30357F76" w14:textId="5F1A82F2" w:rsidR="00244B68" w:rsidRPr="00AA0126" w:rsidRDefault="00244B68" w:rsidP="00244B68">
            <w:pPr>
              <w:jc w:val="center"/>
              <w:rPr>
                <w:noProof/>
              </w:rPr>
            </w:pPr>
            <w:r w:rsidRPr="00AA0126">
              <w:rPr>
                <w:noProof/>
              </w:rPr>
              <w:t>No data</w:t>
            </w:r>
          </w:p>
        </w:tc>
      </w:tr>
      <w:tr w:rsidR="00244B68" w:rsidRPr="00AA0126" w14:paraId="4614D8A7"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1330DE99" w14:textId="749268A9" w:rsidR="00244B68" w:rsidRPr="00AA0126" w:rsidRDefault="00244B68" w:rsidP="00244B68">
            <w:pPr>
              <w:rPr>
                <w:noProof/>
              </w:rPr>
            </w:pPr>
            <w:r>
              <w:rPr>
                <w:noProof/>
              </w:rPr>
              <w:t>For Greenland, the percentage of the fisheries sector in total exports</w:t>
            </w:r>
          </w:p>
        </w:tc>
        <w:tc>
          <w:tcPr>
            <w:tcW w:w="1100" w:type="dxa"/>
          </w:tcPr>
          <w:p w14:paraId="54D85405" w14:textId="0D5E61B6" w:rsidR="00244B68" w:rsidRPr="00AA0126" w:rsidRDefault="00244B68" w:rsidP="00244B68">
            <w:pPr>
              <w:jc w:val="center"/>
              <w:rPr>
                <w:noProof/>
              </w:rPr>
            </w:pPr>
            <w:r w:rsidRPr="00AA0126">
              <w:rPr>
                <w:noProof/>
              </w:rPr>
              <w:t>91.4%</w:t>
            </w:r>
          </w:p>
        </w:tc>
        <w:tc>
          <w:tcPr>
            <w:tcW w:w="1526" w:type="dxa"/>
          </w:tcPr>
          <w:p w14:paraId="0A1C25C0" w14:textId="40096411" w:rsidR="00244B68" w:rsidRPr="00AA0126" w:rsidRDefault="00244B68" w:rsidP="00244B68">
            <w:pPr>
              <w:jc w:val="center"/>
              <w:rPr>
                <w:b/>
                <w:noProof/>
              </w:rPr>
            </w:pPr>
          </w:p>
        </w:tc>
        <w:tc>
          <w:tcPr>
            <w:tcW w:w="1532" w:type="dxa"/>
          </w:tcPr>
          <w:p w14:paraId="74E0F9BC" w14:textId="4B95772A" w:rsidR="00244B68" w:rsidRPr="00AA0126" w:rsidRDefault="00244B68" w:rsidP="00244B68">
            <w:pPr>
              <w:jc w:val="center"/>
              <w:rPr>
                <w:noProof/>
              </w:rPr>
            </w:pPr>
          </w:p>
        </w:tc>
        <w:tc>
          <w:tcPr>
            <w:tcW w:w="1572" w:type="dxa"/>
          </w:tcPr>
          <w:p w14:paraId="75D989F8" w14:textId="428E7CD7" w:rsidR="00244B68" w:rsidRPr="00AA0126" w:rsidRDefault="00244B68" w:rsidP="00244B68">
            <w:pPr>
              <w:jc w:val="center"/>
              <w:rPr>
                <w:noProof/>
              </w:rPr>
            </w:pPr>
            <w:r w:rsidRPr="00CB63A5">
              <w:rPr>
                <w:noProof/>
              </w:rPr>
              <w:t>No results</w:t>
            </w:r>
          </w:p>
        </w:tc>
        <w:tc>
          <w:tcPr>
            <w:tcW w:w="1579" w:type="dxa"/>
          </w:tcPr>
          <w:p w14:paraId="358EE5DB" w14:textId="520CAEA9" w:rsidR="00244B68" w:rsidRPr="00AA0126" w:rsidRDefault="00244B68" w:rsidP="00244B68">
            <w:pPr>
              <w:jc w:val="center"/>
              <w:rPr>
                <w:noProof/>
              </w:rPr>
            </w:pPr>
            <w:r w:rsidRPr="00AA0126">
              <w:rPr>
                <w:noProof/>
              </w:rPr>
              <w:t>No data</w:t>
            </w:r>
          </w:p>
        </w:tc>
      </w:tr>
    </w:tbl>
    <w:p w14:paraId="28C84D32" w14:textId="77777777" w:rsidR="00CA208E" w:rsidRPr="00AA0126" w:rsidRDefault="00CA208E" w:rsidP="00CA208E">
      <w:pPr>
        <w:pStyle w:val="FootnoteText"/>
        <w:spacing w:before="120"/>
        <w:rPr>
          <w:noProof/>
        </w:rPr>
      </w:pPr>
      <w:r w:rsidRPr="00AA0126">
        <w:rPr>
          <w:noProof/>
        </w:rPr>
        <w:t>(*) % of target achieved by the end of 2021.</w:t>
      </w:r>
    </w:p>
    <w:p w14:paraId="2746386E" w14:textId="77777777" w:rsidR="00CA208E" w:rsidRPr="00AA0126" w:rsidRDefault="00CA208E" w:rsidP="00CA208E">
      <w:pPr>
        <w:pStyle w:val="ppoListHyphened-L1"/>
        <w:numPr>
          <w:ilvl w:val="0"/>
          <w:numId w:val="0"/>
        </w:numPr>
        <w:jc w:val="both"/>
        <w:rPr>
          <w:noProof/>
        </w:rPr>
      </w:pPr>
      <w:r w:rsidRPr="00AA0126">
        <w:rPr>
          <w:noProof/>
        </w:rPr>
        <w:t>Implementation has started. However, it is still too early to report on the performance assessment of these programmes.</w:t>
      </w:r>
    </w:p>
    <w:p w14:paraId="10D336D1" w14:textId="77777777" w:rsidR="00D07F66" w:rsidRDefault="00D07F66" w:rsidP="005348AD">
      <w:pPr>
        <w:pStyle w:val="ppoListHyphened-L1"/>
        <w:numPr>
          <w:ilvl w:val="0"/>
          <w:numId w:val="0"/>
        </w:numPr>
        <w:ind w:left="357" w:hanging="357"/>
        <w:rPr>
          <w:b/>
          <w:noProof/>
        </w:rPr>
        <w:sectPr w:rsidR="00D07F66" w:rsidSect="0083214A">
          <w:headerReference w:type="even" r:id="rId583"/>
          <w:headerReference w:type="default" r:id="rId584"/>
          <w:footerReference w:type="even" r:id="rId585"/>
          <w:footerReference w:type="default" r:id="rId586"/>
          <w:headerReference w:type="first" r:id="rId587"/>
          <w:footerReference w:type="first" r:id="rId588"/>
          <w:type w:val="continuous"/>
          <w:pgSz w:w="11906" w:h="16838" w:code="9"/>
          <w:pgMar w:top="1134" w:right="1134" w:bottom="964" w:left="1134" w:header="431" w:footer="431" w:gutter="0"/>
          <w:cols w:space="720"/>
          <w:titlePg/>
          <w:docGrid w:linePitch="360"/>
        </w:sectPr>
      </w:pPr>
    </w:p>
    <w:p w14:paraId="567A45C8" w14:textId="77777777" w:rsidR="00D07F66" w:rsidRPr="001F400D" w:rsidRDefault="00D07F66" w:rsidP="00D07F66">
      <w:pPr>
        <w:pStyle w:val="StyleppoHeading3WhiteLeft0cm"/>
        <w:rPr>
          <w:noProof/>
          <w:sz w:val="40"/>
          <w:szCs w:val="40"/>
        </w:rPr>
      </w:pPr>
    </w:p>
    <w:p w14:paraId="2BD3E1A0" w14:textId="77777777" w:rsidR="00D07F66" w:rsidRPr="001F400D" w:rsidRDefault="00D07F66" w:rsidP="00D07F66">
      <w:pPr>
        <w:pStyle w:val="StyleppoHeading3WhiteLeft0cm"/>
        <w:rPr>
          <w:noProof/>
          <w:sz w:val="60"/>
          <w:szCs w:val="60"/>
        </w:rPr>
      </w:pPr>
      <w:bookmarkStart w:id="268" w:name="_Toc102086372"/>
      <w:r w:rsidRPr="001F400D">
        <w:rPr>
          <w:noProof/>
          <w:sz w:val="60"/>
          <w:szCs w:val="60"/>
        </w:rPr>
        <w:t>MFA</w:t>
      </w:r>
      <w:bookmarkEnd w:id="268"/>
    </w:p>
    <w:p w14:paraId="7A83740A" w14:textId="22875E54" w:rsidR="00D07F66" w:rsidRPr="001F400D" w:rsidRDefault="00D07F66" w:rsidP="00D07F66">
      <w:pPr>
        <w:pStyle w:val="StyleppoProgrammenameWhiteLeft01cm"/>
        <w:rPr>
          <w:noProof/>
        </w:rPr>
      </w:pPr>
      <w:r w:rsidRPr="001F400D">
        <w:rPr>
          <w:noProof/>
        </w:rPr>
        <w:t xml:space="preserve">FINANCIAL STATEMENT FOR MACROFINANCIAL ASSISTANCE </w:t>
      </w:r>
    </w:p>
    <w:p w14:paraId="20079753" w14:textId="77777777" w:rsidR="00D07F66" w:rsidRPr="001F400D" w:rsidRDefault="00D07F66" w:rsidP="00D07F66">
      <w:pPr>
        <w:pStyle w:val="ppoHeading4Red"/>
        <w:jc w:val="both"/>
        <w:rPr>
          <w:noProof/>
        </w:rPr>
      </w:pPr>
      <w:r w:rsidRPr="001F400D">
        <w:rPr>
          <w:noProof/>
        </w:rPr>
        <w:t>Programme in a nutshell</w:t>
      </w:r>
    </w:p>
    <w:p w14:paraId="5E451003" w14:textId="77777777" w:rsidR="00D07F66" w:rsidRPr="001F400D" w:rsidRDefault="00D07F66" w:rsidP="00D07F66">
      <w:pPr>
        <w:spacing w:after="480"/>
        <w:rPr>
          <w:rFonts w:eastAsiaTheme="minorEastAsia"/>
          <w:noProof/>
          <w:color w:val="FFFFFF" w:themeColor="background1"/>
          <w:sz w:val="32"/>
        </w:rPr>
        <w:sectPr w:rsidR="00D07F66" w:rsidRPr="001F400D" w:rsidSect="0083214A">
          <w:headerReference w:type="even" r:id="rId589"/>
          <w:headerReference w:type="default" r:id="rId590"/>
          <w:footerReference w:type="even" r:id="rId591"/>
          <w:footerReference w:type="default" r:id="rId592"/>
          <w:headerReference w:type="first" r:id="rId593"/>
          <w:footerReference w:type="first" r:id="rId594"/>
          <w:pgSz w:w="11906" w:h="16838" w:code="9"/>
          <w:pgMar w:top="1134" w:right="1134" w:bottom="964" w:left="1134" w:header="431" w:footer="431" w:gutter="0"/>
          <w:cols w:space="720"/>
          <w:docGrid w:linePitch="360"/>
        </w:sectPr>
      </w:pPr>
    </w:p>
    <w:p w14:paraId="1A841A29" w14:textId="3E3A8DAA" w:rsidR="00D07F66" w:rsidRPr="001F400D" w:rsidRDefault="00D07F66" w:rsidP="00D07F66">
      <w:pPr>
        <w:pStyle w:val="ppoHeading5"/>
        <w:jc w:val="both"/>
        <w:rPr>
          <w:noProof/>
        </w:rPr>
      </w:pPr>
      <w:r w:rsidRPr="001F400D">
        <w:rPr>
          <w:noProof/>
        </w:rPr>
        <w:t>Concrete examples of achievements</w:t>
      </w:r>
      <w:r>
        <w:rPr>
          <w:rFonts w:ascii="Calibri" w:hAnsi="Calibri" w:cs="Calibri"/>
          <w:noProof/>
        </w:rPr>
        <w:t> </w:t>
      </w:r>
      <w:r w:rsidRPr="001F400D">
        <w:rPr>
          <w:noProof/>
        </w:rPr>
        <w:t>(*)</w:t>
      </w:r>
    </w:p>
    <w:tbl>
      <w:tblPr>
        <w:tblStyle w:val="PPO2021"/>
        <w:tblW w:w="9639" w:type="dxa"/>
        <w:tblInd w:w="0" w:type="dxa"/>
        <w:tblLook w:val="0200" w:firstRow="0" w:lastRow="0" w:firstColumn="0" w:lastColumn="0" w:noHBand="1" w:noVBand="0"/>
      </w:tblPr>
      <w:tblGrid>
        <w:gridCol w:w="2227"/>
        <w:gridCol w:w="2678"/>
        <w:gridCol w:w="2055"/>
        <w:gridCol w:w="2679"/>
      </w:tblGrid>
      <w:tr w:rsidR="00D07F66" w:rsidRPr="001F400D" w14:paraId="1A297A35" w14:textId="77777777" w:rsidTr="00304A2B">
        <w:tc>
          <w:tcPr>
            <w:tcW w:w="0" w:type="dxa"/>
          </w:tcPr>
          <w:p w14:paraId="58EC4CEB" w14:textId="6FD2CE01" w:rsidR="00D07F66" w:rsidRPr="001F400D" w:rsidRDefault="00D07F66" w:rsidP="00377734">
            <w:pPr>
              <w:pStyle w:val="ppoTableacheivementvalue"/>
              <w:rPr>
                <w:noProof/>
              </w:rPr>
            </w:pPr>
            <w:r w:rsidRPr="001F400D">
              <w:rPr>
                <w:noProof/>
              </w:rPr>
              <w:t>EUR</w:t>
            </w:r>
            <w:r>
              <w:rPr>
                <w:rFonts w:ascii="Calibri" w:hAnsi="Calibri" w:cs="Calibri"/>
                <w:noProof/>
              </w:rPr>
              <w:t> </w:t>
            </w:r>
            <w:r w:rsidRPr="001F400D">
              <w:rPr>
                <w:noProof/>
              </w:rPr>
              <w:t>1.7</w:t>
            </w:r>
            <w:r>
              <w:rPr>
                <w:rFonts w:ascii="Calibri" w:hAnsi="Calibri" w:cs="Calibri"/>
                <w:noProof/>
              </w:rPr>
              <w:t> </w:t>
            </w:r>
            <w:r w:rsidRPr="001F400D">
              <w:rPr>
                <w:noProof/>
              </w:rPr>
              <w:t>billion</w:t>
            </w:r>
          </w:p>
          <w:p w14:paraId="7C4FABC8" w14:textId="0535EBDC" w:rsidR="00D07F66" w:rsidRPr="001F400D" w:rsidRDefault="00D07F66" w:rsidP="00377734">
            <w:pPr>
              <w:jc w:val="left"/>
              <w:rPr>
                <w:noProof/>
              </w:rPr>
            </w:pPr>
            <w:r w:rsidRPr="001F400D">
              <w:rPr>
                <w:noProof/>
              </w:rPr>
              <w:t xml:space="preserve">was disbursed in 2021 to support the financial stability of EU partner countries, </w:t>
            </w:r>
            <w:r>
              <w:rPr>
                <w:noProof/>
              </w:rPr>
              <w:t>including</w:t>
            </w:r>
            <w:r w:rsidRPr="001F400D">
              <w:rPr>
                <w:noProof/>
              </w:rPr>
              <w:t xml:space="preserve"> in the context of the COVID-19 crisis.</w:t>
            </w:r>
          </w:p>
        </w:tc>
        <w:tc>
          <w:tcPr>
            <w:cnfStyle w:val="000001000000" w:firstRow="0" w:lastRow="0" w:firstColumn="0" w:lastColumn="0" w:oddVBand="0" w:evenVBand="1" w:oddHBand="0" w:evenHBand="0" w:firstRowFirstColumn="0" w:firstRowLastColumn="0" w:lastRowFirstColumn="0" w:lastRowLastColumn="0"/>
            <w:tcW w:w="2409" w:type="dxa"/>
          </w:tcPr>
          <w:p w14:paraId="177E24C0" w14:textId="00A61531" w:rsidR="00D07F66" w:rsidRPr="001F400D" w:rsidRDefault="00D07F66" w:rsidP="00377734">
            <w:pPr>
              <w:pStyle w:val="ppoTableacheivementvalue"/>
              <w:rPr>
                <w:noProof/>
              </w:rPr>
            </w:pPr>
            <w:r w:rsidRPr="001F400D">
              <w:rPr>
                <w:noProof/>
              </w:rPr>
              <w:t>10</w:t>
            </w:r>
          </w:p>
          <w:p w14:paraId="5D548E6C" w14:textId="77777777" w:rsidR="00D07F66" w:rsidRPr="001F400D" w:rsidRDefault="00D07F66" w:rsidP="00377734">
            <w:pPr>
              <w:jc w:val="left"/>
              <w:rPr>
                <w:noProof/>
              </w:rPr>
            </w:pPr>
            <w:r w:rsidRPr="001F400D">
              <w:rPr>
                <w:noProof/>
              </w:rPr>
              <w:t>MFA operations received disbursements in 2021.</w:t>
            </w:r>
          </w:p>
        </w:tc>
        <w:tc>
          <w:tcPr>
            <w:tcW w:w="0" w:type="dxa"/>
            <w:tcBorders>
              <w:bottom w:val="single" w:sz="4" w:space="0" w:color="8C8C8C"/>
            </w:tcBorders>
          </w:tcPr>
          <w:p w14:paraId="0FE8B9AD" w14:textId="35959538" w:rsidR="00D07F66" w:rsidRPr="001F400D" w:rsidRDefault="00D07F66" w:rsidP="00377734">
            <w:pPr>
              <w:jc w:val="center"/>
              <w:cnfStyle w:val="000000000000" w:firstRow="0" w:lastRow="0" w:firstColumn="0" w:lastColumn="0" w:oddVBand="0" w:evenVBand="0" w:oddHBand="0" w:evenHBand="0" w:firstRowFirstColumn="0" w:firstRowLastColumn="0" w:lastRowFirstColumn="0" w:lastRowLastColumn="0"/>
              <w:rPr>
                <w:noProof/>
                <w:sz w:val="28"/>
                <w:szCs w:val="28"/>
              </w:rPr>
            </w:pPr>
            <w:r w:rsidRPr="001F400D">
              <w:rPr>
                <w:noProof/>
                <w:sz w:val="28"/>
                <w:szCs w:val="28"/>
              </w:rPr>
              <w:t>EUR</w:t>
            </w:r>
            <w:r>
              <w:rPr>
                <w:rFonts w:ascii="Calibri" w:hAnsi="Calibri" w:cs="Calibri"/>
                <w:noProof/>
                <w:sz w:val="28"/>
                <w:szCs w:val="28"/>
              </w:rPr>
              <w:t> </w:t>
            </w:r>
            <w:r w:rsidRPr="001F400D">
              <w:rPr>
                <w:noProof/>
                <w:sz w:val="28"/>
                <w:szCs w:val="28"/>
              </w:rPr>
              <w:t>6.2</w:t>
            </w:r>
            <w:r>
              <w:rPr>
                <w:rFonts w:ascii="Calibri" w:hAnsi="Calibri" w:cs="Calibri"/>
                <w:noProof/>
                <w:sz w:val="28"/>
                <w:szCs w:val="28"/>
              </w:rPr>
              <w:t> </w:t>
            </w:r>
            <w:r w:rsidRPr="001F400D">
              <w:rPr>
                <w:noProof/>
                <w:sz w:val="28"/>
                <w:szCs w:val="28"/>
              </w:rPr>
              <w:t>billion</w:t>
            </w:r>
          </w:p>
          <w:p w14:paraId="6E27DFA9" w14:textId="468A4868" w:rsidR="00D07F66" w:rsidRPr="001F400D" w:rsidRDefault="00D07F66" w:rsidP="00377734">
            <w:pPr>
              <w:jc w:val="left"/>
              <w:cnfStyle w:val="000000000000" w:firstRow="0" w:lastRow="0" w:firstColumn="0" w:lastColumn="0" w:oddVBand="0" w:evenVBand="0" w:oddHBand="0" w:evenHBand="0" w:firstRowFirstColumn="0" w:firstRowLastColumn="0" w:lastRowFirstColumn="0" w:lastRowLastColumn="0"/>
              <w:rPr>
                <w:noProof/>
              </w:rPr>
            </w:pPr>
            <w:r w:rsidRPr="001F400D">
              <w:rPr>
                <w:noProof/>
              </w:rPr>
              <w:t xml:space="preserve">in loans </w:t>
            </w:r>
            <w:r>
              <w:rPr>
                <w:noProof/>
              </w:rPr>
              <w:t>has been</w:t>
            </w:r>
            <w:r w:rsidRPr="001F400D">
              <w:rPr>
                <w:noProof/>
              </w:rPr>
              <w:t xml:space="preserve"> disbursed to Ukraine under three regular MFA operations since 2014, and two emergency operations in 2020 and 2022.</w:t>
            </w:r>
          </w:p>
        </w:tc>
        <w:tc>
          <w:tcPr>
            <w:cnfStyle w:val="000001000000" w:firstRow="0" w:lastRow="0" w:firstColumn="0" w:lastColumn="0" w:oddVBand="0" w:evenVBand="1" w:oddHBand="0" w:evenHBand="0" w:firstRowFirstColumn="0" w:firstRowLastColumn="0" w:lastRowFirstColumn="0" w:lastRowLastColumn="0"/>
            <w:tcW w:w="2410" w:type="dxa"/>
          </w:tcPr>
          <w:p w14:paraId="0ABC50FB" w14:textId="4A3E10FE" w:rsidR="00D07F66" w:rsidRPr="001F400D" w:rsidRDefault="00D07F66" w:rsidP="00377734">
            <w:pPr>
              <w:pStyle w:val="ppoTableacheivementvalue"/>
              <w:rPr>
                <w:noProof/>
              </w:rPr>
            </w:pPr>
            <w:r w:rsidRPr="001F400D">
              <w:rPr>
                <w:noProof/>
              </w:rPr>
              <w:t>EUR</w:t>
            </w:r>
            <w:r>
              <w:rPr>
                <w:rFonts w:ascii="Calibri" w:hAnsi="Calibri" w:cs="Calibri"/>
                <w:noProof/>
              </w:rPr>
              <w:t> </w:t>
            </w:r>
            <w:r w:rsidR="0002620F">
              <w:rPr>
                <w:noProof/>
              </w:rPr>
              <w:t>1</w:t>
            </w:r>
            <w:r w:rsidRPr="001F400D">
              <w:rPr>
                <w:noProof/>
              </w:rPr>
              <w:t>.</w:t>
            </w:r>
            <w:r w:rsidR="0002620F">
              <w:rPr>
                <w:noProof/>
              </w:rPr>
              <w:t>4</w:t>
            </w:r>
            <w:r>
              <w:rPr>
                <w:rFonts w:ascii="Calibri" w:hAnsi="Calibri" w:cs="Calibri"/>
                <w:noProof/>
              </w:rPr>
              <w:t> </w:t>
            </w:r>
            <w:r w:rsidRPr="001F400D">
              <w:rPr>
                <w:noProof/>
              </w:rPr>
              <w:t>billion</w:t>
            </w:r>
          </w:p>
          <w:p w14:paraId="757B66F3" w14:textId="3B7354E2" w:rsidR="00D07F66" w:rsidRPr="001F400D" w:rsidRDefault="00D07F66" w:rsidP="00377734">
            <w:pPr>
              <w:jc w:val="left"/>
              <w:rPr>
                <w:noProof/>
              </w:rPr>
            </w:pPr>
            <w:r w:rsidRPr="001F400D">
              <w:rPr>
                <w:noProof/>
              </w:rPr>
              <w:t xml:space="preserve">in loans </w:t>
            </w:r>
            <w:r>
              <w:rPr>
                <w:noProof/>
              </w:rPr>
              <w:t>was</w:t>
            </w:r>
            <w:r w:rsidRPr="001F400D">
              <w:rPr>
                <w:noProof/>
              </w:rPr>
              <w:t xml:space="preserve"> made available to Tunisia between 2014 and 2021, to support the country in responding to the economic downturn following the 2011 revolution, the economic and political transition process and the post</w:t>
            </w:r>
            <w:r>
              <w:rPr>
                <w:noProof/>
              </w:rPr>
              <w:t>-</w:t>
            </w:r>
            <w:r w:rsidRPr="001F400D">
              <w:rPr>
                <w:noProof/>
              </w:rPr>
              <w:t>COVID-19</w:t>
            </w:r>
            <w:r>
              <w:rPr>
                <w:noProof/>
              </w:rPr>
              <w:t xml:space="preserve"> </w:t>
            </w:r>
            <w:r w:rsidRPr="001F400D">
              <w:rPr>
                <w:noProof/>
              </w:rPr>
              <w:t>economic recovery.</w:t>
            </w:r>
          </w:p>
        </w:tc>
      </w:tr>
      <w:tr w:rsidR="00D07F66" w:rsidRPr="001F400D" w14:paraId="275485A0" w14:textId="77777777" w:rsidTr="00304A2B">
        <w:tc>
          <w:tcPr>
            <w:tcW w:w="0" w:type="dxa"/>
          </w:tcPr>
          <w:p w14:paraId="4441F588" w14:textId="3B4E3BD7" w:rsidR="00D07F66" w:rsidRPr="001F400D" w:rsidRDefault="00D07F66" w:rsidP="00377734">
            <w:pPr>
              <w:pStyle w:val="ppoTableacheivementvalue"/>
              <w:rPr>
                <w:noProof/>
              </w:rPr>
            </w:pPr>
            <w:r w:rsidRPr="001F400D">
              <w:rPr>
                <w:noProof/>
              </w:rPr>
              <w:t>EUR</w:t>
            </w:r>
            <w:r>
              <w:rPr>
                <w:rFonts w:ascii="Calibri" w:hAnsi="Calibri" w:cs="Calibri"/>
                <w:noProof/>
              </w:rPr>
              <w:t> </w:t>
            </w:r>
            <w:r w:rsidR="0002620F">
              <w:rPr>
                <w:noProof/>
              </w:rPr>
              <w:t>1.08</w:t>
            </w:r>
            <w:r w:rsidR="0002620F">
              <w:rPr>
                <w:rFonts w:ascii="Calibri" w:hAnsi="Calibri" w:cs="Calibri"/>
                <w:noProof/>
              </w:rPr>
              <w:t> </w:t>
            </w:r>
            <w:r w:rsidR="0002620F">
              <w:rPr>
                <w:noProof/>
              </w:rPr>
              <w:t>b</w:t>
            </w:r>
            <w:r w:rsidRPr="001F400D">
              <w:rPr>
                <w:noProof/>
              </w:rPr>
              <w:t>illion</w:t>
            </w:r>
          </w:p>
          <w:p w14:paraId="317537AD" w14:textId="435A690B" w:rsidR="00D07F66" w:rsidRPr="001F400D" w:rsidRDefault="00D07F66" w:rsidP="00377734">
            <w:pPr>
              <w:jc w:val="left"/>
              <w:rPr>
                <w:noProof/>
              </w:rPr>
            </w:pPr>
            <w:r w:rsidRPr="001F400D">
              <w:rPr>
                <w:noProof/>
              </w:rPr>
              <w:t>in loans was made available to Jordan between 201</w:t>
            </w:r>
            <w:r w:rsidR="0002620F">
              <w:rPr>
                <w:noProof/>
              </w:rPr>
              <w:t>3</w:t>
            </w:r>
            <w:r w:rsidRPr="001F400D">
              <w:rPr>
                <w:noProof/>
              </w:rPr>
              <w:t xml:space="preserve"> and 2021, to support the country after pressing regional conflicts and the COVID-19 pandemic.</w:t>
            </w:r>
          </w:p>
        </w:tc>
        <w:tc>
          <w:tcPr>
            <w:cnfStyle w:val="000001000000" w:firstRow="0" w:lastRow="0" w:firstColumn="0" w:lastColumn="0" w:oddVBand="0" w:evenVBand="1" w:oddHBand="0" w:evenHBand="0" w:firstRowFirstColumn="0" w:firstRowLastColumn="0" w:lastRowFirstColumn="0" w:lastRowLastColumn="0"/>
            <w:tcW w:w="0" w:type="dxa"/>
            <w:tcBorders>
              <w:bottom w:val="nil"/>
            </w:tcBorders>
            <w:shd w:val="clear" w:color="auto" w:fill="FFFFFF" w:themeFill="background1"/>
          </w:tcPr>
          <w:p w14:paraId="78E5B672" w14:textId="77777777" w:rsidR="00D07F66" w:rsidRPr="001F400D" w:rsidRDefault="00D07F66" w:rsidP="0083214A">
            <w:pPr>
              <w:rPr>
                <w:noProof/>
              </w:rPr>
            </w:pPr>
          </w:p>
        </w:tc>
        <w:tc>
          <w:tcPr>
            <w:tcW w:w="0" w:type="dxa"/>
            <w:tcBorders>
              <w:bottom w:val="nil"/>
            </w:tcBorders>
            <w:shd w:val="clear" w:color="auto" w:fill="FFFFFF" w:themeFill="background1"/>
          </w:tcPr>
          <w:p w14:paraId="1F952203" w14:textId="77777777" w:rsidR="00D07F66" w:rsidRPr="001F400D" w:rsidRDefault="00D07F66" w:rsidP="0083214A">
            <w:pPr>
              <w:cnfStyle w:val="000000000000" w:firstRow="0" w:lastRow="0" w:firstColumn="0" w:lastColumn="0" w:oddVBand="0" w:evenVBand="0" w:oddHBand="0" w:evenHBand="0" w:firstRowFirstColumn="0" w:firstRowLastColumn="0" w:lastRowFirstColumn="0" w:lastRowLastColumn="0"/>
              <w:rPr>
                <w:noProof/>
              </w:rPr>
            </w:pPr>
          </w:p>
        </w:tc>
        <w:tc>
          <w:tcPr>
            <w:cnfStyle w:val="000001000000" w:firstRow="0" w:lastRow="0" w:firstColumn="0" w:lastColumn="0" w:oddVBand="0" w:evenVBand="1" w:oddHBand="0" w:evenHBand="0" w:firstRowFirstColumn="0" w:firstRowLastColumn="0" w:lastRowFirstColumn="0" w:lastRowLastColumn="0"/>
            <w:tcW w:w="0" w:type="dxa"/>
            <w:tcBorders>
              <w:bottom w:val="nil"/>
            </w:tcBorders>
            <w:shd w:val="clear" w:color="auto" w:fill="FFFFFF" w:themeFill="background1"/>
          </w:tcPr>
          <w:p w14:paraId="37468476" w14:textId="77777777" w:rsidR="00D07F66" w:rsidRPr="001F400D" w:rsidRDefault="00D07F66" w:rsidP="0083214A">
            <w:pPr>
              <w:rPr>
                <w:noProof/>
              </w:rPr>
            </w:pPr>
          </w:p>
        </w:tc>
      </w:tr>
    </w:tbl>
    <w:p w14:paraId="70970E09" w14:textId="082D6A20" w:rsidR="00D07F66" w:rsidRPr="00304A2B" w:rsidRDefault="00D07F66" w:rsidP="00D07F66">
      <w:pPr>
        <w:pStyle w:val="FootnoteText"/>
        <w:rPr>
          <w:rFonts w:eastAsiaTheme="minorEastAsia"/>
          <w:noProof/>
        </w:rPr>
      </w:pPr>
      <w:r w:rsidRPr="2F3B1534">
        <w:rPr>
          <w:rFonts w:eastAsiaTheme="minorEastAsia"/>
          <w:noProof/>
        </w:rPr>
        <w:t>(*)</w:t>
      </w:r>
      <w:r w:rsidRPr="001F400D">
        <w:rPr>
          <w:rFonts w:eastAsiaTheme="minorEastAsia"/>
          <w:noProof/>
        </w:rPr>
        <w:tab/>
      </w:r>
      <w:r w:rsidRPr="2F3B1534">
        <w:rPr>
          <w:rFonts w:eastAsiaTheme="minorEastAsia"/>
          <w:noProof/>
        </w:rPr>
        <w:t>Key achievements in the table state which period they relate to. Many come from the implementation of the predecessor programmes under the 2014-2020 multiannual financial framework. This is expected and is due to the multiannual life cycle of EU programmes and the projects they finance, where results often follow only after completion of the programmes.</w:t>
      </w:r>
    </w:p>
    <w:p w14:paraId="6E0250F9" w14:textId="77777777" w:rsidR="00D07F66" w:rsidRPr="001F400D" w:rsidRDefault="00D07F66" w:rsidP="00D07F66">
      <w:pPr>
        <w:pStyle w:val="ppoHeading5"/>
        <w:jc w:val="both"/>
        <w:rPr>
          <w:noProof/>
        </w:rPr>
      </w:pPr>
      <w:r w:rsidRPr="001F400D">
        <w:rPr>
          <w:noProof/>
        </w:rPr>
        <w:t>Budget for 2021-2027</w:t>
      </w:r>
    </w:p>
    <w:p w14:paraId="69E95B43" w14:textId="514D02E6" w:rsidR="00D07F66" w:rsidRPr="001F400D" w:rsidRDefault="00D07F66" w:rsidP="00D07F66">
      <w:pPr>
        <w:pStyle w:val="ppoTableTabletitle"/>
        <w:ind w:left="284"/>
        <w:rPr>
          <w:noProof/>
        </w:rPr>
      </w:pPr>
      <w:r w:rsidRPr="001F400D">
        <w:rPr>
          <w:noProof/>
        </w:rPr>
        <w:t>(</w:t>
      </w:r>
      <w:r>
        <w:rPr>
          <w:noProof/>
        </w:rPr>
        <w:t>million EUR</w:t>
      </w:r>
      <w:r w:rsidRPr="001F400D">
        <w:rPr>
          <w:noProof/>
        </w:rPr>
        <w:t>)</w:t>
      </w:r>
    </w:p>
    <w:tbl>
      <w:tblPr>
        <w:tblStyle w:val="PlainTable2"/>
        <w:tblW w:w="0" w:type="auto"/>
        <w:tblInd w:w="288" w:type="dxa"/>
        <w:tblLook w:val="04A0" w:firstRow="1" w:lastRow="0" w:firstColumn="1" w:lastColumn="0" w:noHBand="0" w:noVBand="1"/>
      </w:tblPr>
      <w:tblGrid>
        <w:gridCol w:w="4788"/>
        <w:gridCol w:w="2610"/>
      </w:tblGrid>
      <w:tr w:rsidR="00D07F66" w:rsidRPr="001F400D" w14:paraId="656FF54E" w14:textId="77777777" w:rsidTr="0083214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385F0E74" w14:textId="77777777" w:rsidR="00D07F66" w:rsidRPr="001F400D" w:rsidRDefault="00D07F66" w:rsidP="0083214A">
            <w:pPr>
              <w:spacing w:before="120" w:after="120"/>
              <w:rPr>
                <w:noProof/>
              </w:rPr>
            </w:pPr>
            <w:r w:rsidRPr="001F400D">
              <w:rPr>
                <w:rFonts w:cs="Calibri"/>
                <w:noProof/>
                <w:color w:val="000000"/>
              </w:rPr>
              <w:t>Financial programming</w:t>
            </w:r>
          </w:p>
        </w:tc>
        <w:tc>
          <w:tcPr>
            <w:tcW w:w="2610" w:type="dxa"/>
            <w:shd w:val="clear" w:color="auto" w:fill="auto"/>
            <w:vAlign w:val="bottom"/>
          </w:tcPr>
          <w:p w14:paraId="738F0CEF" w14:textId="77777777" w:rsidR="003847C0" w:rsidRDefault="003847C0" w:rsidP="003847C0">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349.6</w:t>
            </w:r>
          </w:p>
          <w:p w14:paraId="535B0231" w14:textId="12751104" w:rsidR="00D07F66" w:rsidRPr="001F400D" w:rsidRDefault="00D07F66" w:rsidP="0083214A">
            <w:pPr>
              <w:spacing w:before="120" w:after="120"/>
              <w:cnfStyle w:val="100000000000" w:firstRow="1" w:lastRow="0" w:firstColumn="0" w:lastColumn="0" w:oddVBand="0" w:evenVBand="0" w:oddHBand="0" w:evenHBand="0" w:firstRowFirstColumn="0" w:firstRowLastColumn="0" w:lastRowFirstColumn="0" w:lastRowLastColumn="0"/>
              <w:rPr>
                <w:b w:val="0"/>
                <w:noProof/>
              </w:rPr>
            </w:pPr>
          </w:p>
        </w:tc>
      </w:tr>
      <w:tr w:rsidR="00D07F66" w:rsidRPr="001F400D" w14:paraId="53155FF6"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13229392" w14:textId="77777777" w:rsidR="00D07F66" w:rsidRPr="001F400D" w:rsidRDefault="00D07F66" w:rsidP="0083214A">
            <w:pPr>
              <w:spacing w:before="120" w:after="120"/>
              <w:rPr>
                <w:b w:val="0"/>
                <w:noProof/>
              </w:rPr>
            </w:pPr>
            <w:r w:rsidRPr="001F400D">
              <w:rPr>
                <w:rFonts w:cs="Calibri"/>
                <w:noProof/>
                <w:color w:val="000000"/>
              </w:rPr>
              <w:t>NextGenerationEU</w:t>
            </w:r>
          </w:p>
        </w:tc>
        <w:tc>
          <w:tcPr>
            <w:tcW w:w="2610" w:type="dxa"/>
            <w:vAlign w:val="bottom"/>
          </w:tcPr>
          <w:p w14:paraId="30840089" w14:textId="77777777" w:rsidR="00D07F66" w:rsidRPr="001F400D" w:rsidRDefault="00D07F66" w:rsidP="0083214A">
            <w:pPr>
              <w:spacing w:before="120" w:after="120"/>
              <w:cnfStyle w:val="000000100000" w:firstRow="0" w:lastRow="0" w:firstColumn="0" w:lastColumn="0" w:oddVBand="0" w:evenVBand="0" w:oddHBand="1" w:evenHBand="0" w:firstRowFirstColumn="0" w:firstRowLastColumn="0" w:lastRowFirstColumn="0" w:lastRowLastColumn="0"/>
              <w:rPr>
                <w:noProof/>
              </w:rPr>
            </w:pPr>
            <w:r w:rsidRPr="001F400D">
              <w:rPr>
                <w:rFonts w:cs="Calibri"/>
                <w:noProof/>
                <w:color w:val="000000"/>
              </w:rPr>
              <w:t>0</w:t>
            </w:r>
          </w:p>
        </w:tc>
      </w:tr>
      <w:tr w:rsidR="00D07F66" w:rsidRPr="001F400D" w14:paraId="24DF1F43"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760F3230" w14:textId="01B1477F" w:rsidR="00D07F66" w:rsidRPr="001F400D" w:rsidRDefault="00D07F66" w:rsidP="0083214A">
            <w:pPr>
              <w:spacing w:before="120" w:after="120"/>
              <w:rPr>
                <w:b w:val="0"/>
                <w:noProof/>
              </w:rPr>
            </w:pPr>
            <w:r w:rsidRPr="001F400D">
              <w:rPr>
                <w:noProof/>
              </w:rPr>
              <w:t>Decommitments made available again</w:t>
            </w:r>
            <w:r>
              <w:rPr>
                <w:rFonts w:ascii="Calibri" w:hAnsi="Calibri" w:cs="Calibri"/>
                <w:noProof/>
              </w:rPr>
              <w:t> (</w:t>
            </w:r>
            <w:r w:rsidRPr="001F400D">
              <w:rPr>
                <w:noProof/>
              </w:rPr>
              <w:t>*</w:t>
            </w:r>
            <w:r>
              <w:rPr>
                <w:noProof/>
              </w:rPr>
              <w:t>)</w:t>
            </w:r>
          </w:p>
        </w:tc>
        <w:tc>
          <w:tcPr>
            <w:tcW w:w="2610" w:type="dxa"/>
            <w:vAlign w:val="bottom"/>
          </w:tcPr>
          <w:p w14:paraId="400542C4" w14:textId="091080B2" w:rsidR="00D07F66" w:rsidRPr="001F400D" w:rsidRDefault="00D07F66" w:rsidP="0083214A">
            <w:pPr>
              <w:spacing w:before="120" w:after="120"/>
              <w:cnfStyle w:val="000000000000" w:firstRow="0" w:lastRow="0" w:firstColumn="0" w:lastColumn="0" w:oddVBand="0" w:evenVBand="0" w:oddHBand="0" w:evenHBand="0" w:firstRowFirstColumn="0" w:firstRowLastColumn="0" w:lastRowFirstColumn="0" w:lastRowLastColumn="0"/>
              <w:rPr>
                <w:noProof/>
              </w:rPr>
            </w:pPr>
            <w:r>
              <w:rPr>
                <w:rFonts w:cs="Calibri"/>
                <w:noProof/>
                <w:color w:val="000000"/>
              </w:rPr>
              <w:t>N/A</w:t>
            </w:r>
          </w:p>
        </w:tc>
      </w:tr>
      <w:tr w:rsidR="00D07F66" w:rsidRPr="001F400D" w14:paraId="1DC81D49"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1EBF20D0" w14:textId="77777777" w:rsidR="00D07F66" w:rsidRPr="001F400D" w:rsidRDefault="00D07F66" w:rsidP="0083214A">
            <w:pPr>
              <w:spacing w:before="120" w:after="120"/>
              <w:rPr>
                <w:noProof/>
              </w:rPr>
            </w:pPr>
            <w:r w:rsidRPr="001F400D">
              <w:rPr>
                <w:rFonts w:cs="Calibri"/>
                <w:noProof/>
                <w:color w:val="000000"/>
              </w:rPr>
              <w:t>Contributions from other countries and entities</w:t>
            </w:r>
          </w:p>
        </w:tc>
        <w:tc>
          <w:tcPr>
            <w:tcW w:w="2610" w:type="dxa"/>
            <w:vAlign w:val="bottom"/>
          </w:tcPr>
          <w:p w14:paraId="255A8C61" w14:textId="77777777" w:rsidR="00D07F66" w:rsidRPr="001F400D" w:rsidRDefault="00D07F66" w:rsidP="0083214A">
            <w:pPr>
              <w:spacing w:before="120" w:after="120"/>
              <w:cnfStyle w:val="000000100000" w:firstRow="0" w:lastRow="0" w:firstColumn="0" w:lastColumn="0" w:oddVBand="0" w:evenVBand="0" w:oddHBand="1" w:evenHBand="0" w:firstRowFirstColumn="0" w:firstRowLastColumn="0" w:lastRowFirstColumn="0" w:lastRowLastColumn="0"/>
              <w:rPr>
                <w:noProof/>
              </w:rPr>
            </w:pPr>
            <w:r w:rsidRPr="001F400D">
              <w:rPr>
                <w:noProof/>
              </w:rPr>
              <w:t>0</w:t>
            </w:r>
          </w:p>
        </w:tc>
      </w:tr>
      <w:tr w:rsidR="00D07F66" w:rsidRPr="001F400D" w14:paraId="21556E9C"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2F2F2" w:themeFill="background1" w:themeFillShade="F2"/>
            <w:vAlign w:val="bottom"/>
          </w:tcPr>
          <w:p w14:paraId="21184E44" w14:textId="5925F0ED" w:rsidR="00D07F66" w:rsidRPr="001F400D" w:rsidRDefault="00D07F66" w:rsidP="0083214A">
            <w:pPr>
              <w:spacing w:before="120" w:after="120"/>
              <w:rPr>
                <w:noProof/>
              </w:rPr>
            </w:pPr>
            <w:r w:rsidRPr="001F400D">
              <w:rPr>
                <w:rFonts w:cs="Calibri"/>
                <w:noProof/>
                <w:color w:val="000000"/>
              </w:rPr>
              <w:t>Total budget for 2021-2027</w:t>
            </w:r>
          </w:p>
        </w:tc>
        <w:tc>
          <w:tcPr>
            <w:tcW w:w="2610" w:type="dxa"/>
            <w:shd w:val="clear" w:color="auto" w:fill="F2F2F2" w:themeFill="background1" w:themeFillShade="F2"/>
            <w:vAlign w:val="bottom"/>
          </w:tcPr>
          <w:p w14:paraId="61DE1B25" w14:textId="77777777" w:rsidR="003847C0" w:rsidRDefault="003847C0" w:rsidP="003847C0">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349.6</w:t>
            </w:r>
          </w:p>
          <w:p w14:paraId="7A68CB8A" w14:textId="1F9890C7" w:rsidR="00D07F66" w:rsidRPr="001F400D" w:rsidRDefault="00D07F66" w:rsidP="0083214A">
            <w:pPr>
              <w:spacing w:before="120" w:after="120"/>
              <w:cnfStyle w:val="000000000000" w:firstRow="0" w:lastRow="0" w:firstColumn="0" w:lastColumn="0" w:oddVBand="0" w:evenVBand="0" w:oddHBand="0" w:evenHBand="0" w:firstRowFirstColumn="0" w:firstRowLastColumn="0" w:lastRowFirstColumn="0" w:lastRowLastColumn="0"/>
              <w:rPr>
                <w:b/>
                <w:noProof/>
              </w:rPr>
            </w:pPr>
          </w:p>
        </w:tc>
      </w:tr>
    </w:tbl>
    <w:p w14:paraId="65812BB7" w14:textId="77777777" w:rsidR="00D07F66" w:rsidRPr="001F400D" w:rsidRDefault="00D07F66" w:rsidP="00D07F66">
      <w:pPr>
        <w:rPr>
          <w:rFonts w:eastAsiaTheme="minorEastAsia"/>
          <w:noProof/>
        </w:rPr>
      </w:pPr>
    </w:p>
    <w:p w14:paraId="2776EB8A" w14:textId="2CCAFEA9" w:rsidR="00D07F66" w:rsidRPr="001F400D" w:rsidRDefault="00D07F66" w:rsidP="00D07F66">
      <w:pPr>
        <w:tabs>
          <w:tab w:val="left" w:pos="6793"/>
        </w:tabs>
        <w:rPr>
          <w:noProof/>
          <w:sz w:val="18"/>
          <w:szCs w:val="18"/>
        </w:rPr>
      </w:pPr>
      <w:r w:rsidRPr="001F400D">
        <w:rPr>
          <w:noProof/>
          <w:sz w:val="18"/>
          <w:szCs w:val="18"/>
        </w:rPr>
        <w:t>(*) Only Article 15(3) of the financial regulation.</w:t>
      </w:r>
    </w:p>
    <w:p w14:paraId="1836E1BB" w14:textId="77777777" w:rsidR="00D07F66" w:rsidRPr="001F400D" w:rsidRDefault="00D07F66" w:rsidP="00D07F66">
      <w:pPr>
        <w:pStyle w:val="FootnoteText"/>
        <w:rPr>
          <w:rFonts w:eastAsiaTheme="minorEastAsia"/>
          <w:noProof/>
        </w:rPr>
      </w:pPr>
    </w:p>
    <w:p w14:paraId="0C7E792F" w14:textId="77777777" w:rsidR="00D07F66" w:rsidRPr="001F400D" w:rsidRDefault="00D07F66" w:rsidP="00D07F66">
      <w:pPr>
        <w:pStyle w:val="ppoHeading5"/>
        <w:jc w:val="both"/>
        <w:rPr>
          <w:noProof/>
        </w:rPr>
      </w:pPr>
      <w:r w:rsidRPr="001F400D">
        <w:rPr>
          <w:noProof/>
        </w:rPr>
        <w:t>Rationale and design of the programme</w:t>
      </w:r>
    </w:p>
    <w:p w14:paraId="6AFBC707" w14:textId="2A0ACF81" w:rsidR="00D07F66" w:rsidRPr="001F400D" w:rsidRDefault="00D07F66" w:rsidP="00D07F66">
      <w:pPr>
        <w:rPr>
          <w:rFonts w:eastAsiaTheme="minorEastAsia"/>
          <w:noProof/>
        </w:rPr>
      </w:pPr>
      <w:r w:rsidRPr="001F400D">
        <w:rPr>
          <w:rFonts w:eastAsiaTheme="minorEastAsia"/>
          <w:noProof/>
        </w:rPr>
        <w:t>Macrofinancial assistance (MFA) is a form of financial aid extended by the EU to partner countries experiencing a balance-of-payments crisis.</w:t>
      </w:r>
    </w:p>
    <w:p w14:paraId="580F5845" w14:textId="77777777" w:rsidR="00D07F66" w:rsidRPr="001F400D" w:rsidRDefault="00D07F66" w:rsidP="00D07F66">
      <w:pPr>
        <w:pStyle w:val="ppoHeading6"/>
        <w:jc w:val="both"/>
        <w:rPr>
          <w:noProof/>
        </w:rPr>
      </w:pPr>
      <w:r w:rsidRPr="001F400D">
        <w:rPr>
          <w:noProof/>
        </w:rPr>
        <w:t>Challenge</w:t>
      </w:r>
    </w:p>
    <w:p w14:paraId="5FBA2B4D" w14:textId="78C14C44" w:rsidR="00D07F66" w:rsidRPr="001F400D" w:rsidRDefault="00D07F66" w:rsidP="00D07F66">
      <w:pPr>
        <w:rPr>
          <w:noProof/>
        </w:rPr>
      </w:pPr>
      <w:r w:rsidRPr="001F400D">
        <w:rPr>
          <w:noProof/>
        </w:rPr>
        <w:t xml:space="preserve">The economic stability and prosperity of its neighbourhood are of key geostrategic importance for the EU. In particular, all EU Member States have a strong interest </w:t>
      </w:r>
      <w:r>
        <w:rPr>
          <w:noProof/>
        </w:rPr>
        <w:t>in</w:t>
      </w:r>
      <w:r w:rsidRPr="001F400D">
        <w:rPr>
          <w:noProof/>
        </w:rPr>
        <w:t xml:space="preserve"> support</w:t>
      </w:r>
      <w:r>
        <w:rPr>
          <w:noProof/>
        </w:rPr>
        <w:t>ing</w:t>
      </w:r>
      <w:r w:rsidRPr="001F400D">
        <w:rPr>
          <w:noProof/>
        </w:rPr>
        <w:t xml:space="preserve"> neighbouring countries experiencing a balance-of-payments crisis or an unprecedented economic shock (such as the COVID-19 pandemic), to minimi</w:t>
      </w:r>
      <w:r>
        <w:rPr>
          <w:noProof/>
        </w:rPr>
        <w:t>s</w:t>
      </w:r>
      <w:r w:rsidRPr="001F400D">
        <w:rPr>
          <w:noProof/>
        </w:rPr>
        <w:t>e adverse macroeconomic and social spillover. EU-level action is thereby justified</w:t>
      </w:r>
      <w:r>
        <w:rPr>
          <w:noProof/>
        </w:rPr>
        <w:t>,</w:t>
      </w:r>
      <w:r w:rsidRPr="001F400D">
        <w:rPr>
          <w:noProof/>
        </w:rPr>
        <w:t xml:space="preserve"> as the benefits of prosperity, stability and security in the EU’s neighbourhood flow to all EU Member States.</w:t>
      </w:r>
    </w:p>
    <w:p w14:paraId="041C19D2" w14:textId="77777777" w:rsidR="00D07F66" w:rsidRPr="001F400D" w:rsidRDefault="00D07F66" w:rsidP="00D07F66">
      <w:pPr>
        <w:pStyle w:val="ppoHeading6"/>
        <w:jc w:val="both"/>
        <w:rPr>
          <w:noProof/>
        </w:rPr>
      </w:pPr>
      <w:r w:rsidRPr="001F400D">
        <w:rPr>
          <w:noProof/>
        </w:rPr>
        <w:t>Mission</w:t>
      </w:r>
    </w:p>
    <w:p w14:paraId="45172F88" w14:textId="2A97C44A" w:rsidR="00D07F66" w:rsidRPr="001F400D" w:rsidRDefault="00D07F66" w:rsidP="00D07F66">
      <w:pPr>
        <w:rPr>
          <w:noProof/>
        </w:rPr>
      </w:pPr>
      <w:r w:rsidRPr="001F400D">
        <w:rPr>
          <w:noProof/>
        </w:rPr>
        <w:t>MFA is an EU financial instrument extended to partner countries in the enlargement and European Neighbourhood Policy regions that are experiencing a balance-of-payments crisis. Its primary objective is to help countries overcome acute economic crises and restore their economy on a sustainable growth path, which is to be achieved through economic adjustments and structural reforms that are included in the policy conditionality of the instrument. MFA is provided in conjunction to International Monetary Fund financing.</w:t>
      </w:r>
    </w:p>
    <w:p w14:paraId="25874E9F" w14:textId="0B2974D1" w:rsidR="00D07F66" w:rsidRPr="001F400D" w:rsidRDefault="00D07F66" w:rsidP="00D07F66">
      <w:pPr>
        <w:rPr>
          <w:noProof/>
        </w:rPr>
      </w:pPr>
      <w:r w:rsidRPr="001F400D">
        <w:rPr>
          <w:noProof/>
        </w:rPr>
        <w:t xml:space="preserve">MFA is part of the EU’s toolkit for macroeconomic stabilisation, which also includes the </w:t>
      </w:r>
      <w:r>
        <w:rPr>
          <w:noProof/>
        </w:rPr>
        <w:t>b</w:t>
      </w:r>
      <w:r w:rsidRPr="001F400D">
        <w:rPr>
          <w:noProof/>
        </w:rPr>
        <w:t>alance-of-</w:t>
      </w:r>
      <w:r>
        <w:rPr>
          <w:noProof/>
        </w:rPr>
        <w:t>p</w:t>
      </w:r>
      <w:r w:rsidRPr="001F400D">
        <w:rPr>
          <w:noProof/>
        </w:rPr>
        <w:t>ayment</w:t>
      </w:r>
      <w:r>
        <w:rPr>
          <w:noProof/>
        </w:rPr>
        <w:t>s</w:t>
      </w:r>
      <w:r w:rsidRPr="001F400D">
        <w:rPr>
          <w:noProof/>
        </w:rPr>
        <w:t xml:space="preserve"> assistance mechanism for Member States outside the euro area, and the rescue mechanisms for the euro area created in response to the global financial crisis.</w:t>
      </w:r>
    </w:p>
    <w:p w14:paraId="52DFF7E9" w14:textId="77777777" w:rsidR="00D07F66" w:rsidRPr="001F400D" w:rsidRDefault="00D07F66" w:rsidP="00D07F66">
      <w:pPr>
        <w:pStyle w:val="ppoHeading6"/>
        <w:jc w:val="both"/>
        <w:rPr>
          <w:noProof/>
        </w:rPr>
      </w:pPr>
      <w:r w:rsidRPr="001F400D">
        <w:rPr>
          <w:noProof/>
        </w:rPr>
        <w:t>Objectives</w:t>
      </w:r>
    </w:p>
    <w:p w14:paraId="753690CA" w14:textId="507330AB" w:rsidR="00D07F66" w:rsidRPr="001F400D" w:rsidRDefault="00D07F66" w:rsidP="00D07F66">
      <w:pPr>
        <w:rPr>
          <w:noProof/>
        </w:rPr>
      </w:pPr>
      <w:r w:rsidRPr="001F400D">
        <w:rPr>
          <w:noProof/>
        </w:rPr>
        <w:t>MFA has the following specific objectives</w:t>
      </w:r>
      <w:r>
        <w:rPr>
          <w:noProof/>
        </w:rPr>
        <w:t>.</w:t>
      </w:r>
    </w:p>
    <w:p w14:paraId="495D8BD8" w14:textId="35583924" w:rsidR="00D07F66" w:rsidRPr="001F400D" w:rsidRDefault="00D07F66" w:rsidP="006F409B">
      <w:pPr>
        <w:pStyle w:val="ppoListArabic1aiii-L1"/>
        <w:numPr>
          <w:ilvl w:val="0"/>
          <w:numId w:val="129"/>
        </w:numPr>
        <w:jc w:val="both"/>
        <w:rPr>
          <w:noProof/>
        </w:rPr>
      </w:pPr>
      <w:r w:rsidRPr="001F400D">
        <w:rPr>
          <w:noProof/>
        </w:rPr>
        <w:t>MFA fulfils a fundamental macroeconomic stabilisation function by addressing exceptional external financing needs faced by neighbouring countries and restoring their economy to a sustainable path.</w:t>
      </w:r>
    </w:p>
    <w:p w14:paraId="24CABE0E" w14:textId="1494E66F" w:rsidR="00D07F66" w:rsidRPr="001F400D" w:rsidRDefault="00D07F66" w:rsidP="006F409B">
      <w:pPr>
        <w:pStyle w:val="ppoListArabic1aiii-L1"/>
        <w:numPr>
          <w:ilvl w:val="0"/>
          <w:numId w:val="129"/>
        </w:numPr>
        <w:jc w:val="both"/>
        <w:rPr>
          <w:noProof/>
        </w:rPr>
      </w:pPr>
      <w:r w:rsidRPr="001F400D">
        <w:rPr>
          <w:noProof/>
        </w:rPr>
        <w:t>MFA provides a strong incentive for macroeconomic adjustment and policy reform by means of strict conditionality, and supports the EU</w:t>
      </w:r>
      <w:r>
        <w:rPr>
          <w:noProof/>
        </w:rPr>
        <w:t>’</w:t>
      </w:r>
      <w:r w:rsidRPr="001F400D">
        <w:rPr>
          <w:noProof/>
        </w:rPr>
        <w:t>s accession, pre-accession and association agendas in the beneficiary countries.</w:t>
      </w:r>
    </w:p>
    <w:p w14:paraId="10E9D7BC" w14:textId="58AE32B1" w:rsidR="00D07F66" w:rsidRPr="001F400D" w:rsidRDefault="00D07F66" w:rsidP="006F409B">
      <w:pPr>
        <w:pStyle w:val="ppoListArabic1aiii-L1"/>
        <w:numPr>
          <w:ilvl w:val="0"/>
          <w:numId w:val="129"/>
        </w:numPr>
        <w:jc w:val="both"/>
        <w:rPr>
          <w:noProof/>
        </w:rPr>
      </w:pPr>
      <w:r w:rsidRPr="001F400D">
        <w:rPr>
          <w:noProof/>
        </w:rPr>
        <w:t>MFA complements the other EU external instruments</w:t>
      </w:r>
      <w:r>
        <w:rPr>
          <w:noProof/>
        </w:rPr>
        <w:t>,</w:t>
      </w:r>
      <w:r w:rsidRPr="001F400D">
        <w:rPr>
          <w:noProof/>
        </w:rPr>
        <w:t xml:space="preserve"> as well as resources made available by international financial institutions and other donors, by helping to ensure that beneficiary countries put in place appropriate macroeconomic frameworks and sound economic policies</w:t>
      </w:r>
      <w:r>
        <w:rPr>
          <w:rFonts w:ascii="Calibri" w:hAnsi="Calibri" w:cs="Calibri"/>
          <w:noProof/>
        </w:rPr>
        <w:t> </w:t>
      </w:r>
      <w:r w:rsidRPr="001F400D">
        <w:rPr>
          <w:noProof/>
        </w:rPr>
        <w:t>– which are preconditions for the success of other projects by the EU and the donor community aiming at sustainable socioeconomic development.</w:t>
      </w:r>
    </w:p>
    <w:p w14:paraId="7606070F" w14:textId="77777777" w:rsidR="00D07F66" w:rsidRPr="001F400D" w:rsidRDefault="00D07F66" w:rsidP="00D07F66">
      <w:pPr>
        <w:pStyle w:val="ppoHeading6"/>
        <w:jc w:val="both"/>
        <w:rPr>
          <w:noProof/>
        </w:rPr>
      </w:pPr>
      <w:r w:rsidRPr="001F400D">
        <w:rPr>
          <w:noProof/>
        </w:rPr>
        <w:t>Actions</w:t>
      </w:r>
    </w:p>
    <w:p w14:paraId="6049BA64" w14:textId="2683CEA2" w:rsidR="00D07F66" w:rsidRPr="001F400D" w:rsidRDefault="00D07F66" w:rsidP="00D07F66">
      <w:pPr>
        <w:rPr>
          <w:noProof/>
        </w:rPr>
      </w:pPr>
      <w:r w:rsidRPr="001F400D">
        <w:rPr>
          <w:noProof/>
        </w:rPr>
        <w:t>MFA provides financial support to partner countries facing a balance</w:t>
      </w:r>
      <w:r>
        <w:rPr>
          <w:noProof/>
        </w:rPr>
        <w:t>-</w:t>
      </w:r>
      <w:r w:rsidRPr="001F400D">
        <w:rPr>
          <w:noProof/>
        </w:rPr>
        <w:t>of</w:t>
      </w:r>
      <w:r>
        <w:rPr>
          <w:noProof/>
        </w:rPr>
        <w:t>-</w:t>
      </w:r>
      <w:r w:rsidRPr="001F400D">
        <w:rPr>
          <w:noProof/>
        </w:rPr>
        <w:t xml:space="preserve">payments crisis. The amount of MFA provided is calculated on the basis of the residual financing needs under an </w:t>
      </w:r>
      <w:r w:rsidRPr="001F400D">
        <w:rPr>
          <w:noProof/>
          <w:color w:val="000000"/>
        </w:rPr>
        <w:t xml:space="preserve">International Monetary Fund </w:t>
      </w:r>
      <w:r w:rsidRPr="001F400D">
        <w:rPr>
          <w:noProof/>
        </w:rPr>
        <w:t>programme. MFA is predominantly provided in loans, or a mix of loans and grants (the precise mix in any specific assistance depends on criteria such as the receiving country’s level of development and its debt sustainability/creditworthiness). For the loans, the EU passes on to the beneficiary country its own funding costs (namely the interest rate it has to pay to raise funds by issuing bonds). This allows the countries receiving assistance to benefit from the low rates available to the EU as a top-rated borrower. The Commission typically disburses MFA assistance in instalments strictly tied to the beneficiary country’s progress with respect to:</w:t>
      </w:r>
    </w:p>
    <w:p w14:paraId="0780768F" w14:textId="77777777" w:rsidR="00D07F66" w:rsidRPr="001F400D" w:rsidRDefault="00D07F66" w:rsidP="00D07F66">
      <w:pPr>
        <w:pStyle w:val="ppoListHyphened-L1"/>
        <w:jc w:val="both"/>
        <w:rPr>
          <w:noProof/>
        </w:rPr>
      </w:pPr>
      <w:r w:rsidRPr="001F400D">
        <w:rPr>
          <w:noProof/>
        </w:rPr>
        <w:t>macroeconomic and financial stabilisation and economic recovery;</w:t>
      </w:r>
    </w:p>
    <w:p w14:paraId="6650F276" w14:textId="36E07FD7" w:rsidR="00D07F66" w:rsidRPr="001F400D" w:rsidRDefault="00D07F66" w:rsidP="00D07F66">
      <w:pPr>
        <w:pStyle w:val="ppoListHyphened-L1"/>
        <w:jc w:val="both"/>
        <w:rPr>
          <w:noProof/>
        </w:rPr>
      </w:pPr>
      <w:r w:rsidRPr="001F400D">
        <w:rPr>
          <w:noProof/>
        </w:rPr>
        <w:t xml:space="preserve">implementation of the agreed policy reforms, as outlined in the </w:t>
      </w:r>
      <w:r>
        <w:rPr>
          <w:noProof/>
        </w:rPr>
        <w:t>m</w:t>
      </w:r>
      <w:r w:rsidRPr="001F400D">
        <w:rPr>
          <w:noProof/>
        </w:rPr>
        <w:t xml:space="preserve">emorandum of </w:t>
      </w:r>
      <w:r>
        <w:rPr>
          <w:noProof/>
        </w:rPr>
        <w:t>u</w:t>
      </w:r>
      <w:r w:rsidRPr="001F400D">
        <w:rPr>
          <w:noProof/>
        </w:rPr>
        <w:t>nderstanding</w:t>
      </w:r>
      <w:r>
        <w:rPr>
          <w:noProof/>
        </w:rPr>
        <w:t>;</w:t>
      </w:r>
    </w:p>
    <w:p w14:paraId="4A7280A4" w14:textId="7F9824D4" w:rsidR="00D07F66" w:rsidRPr="001F400D" w:rsidRDefault="00D07F66" w:rsidP="00D07F66">
      <w:pPr>
        <w:pStyle w:val="ppoListHyphened-L1"/>
        <w:jc w:val="both"/>
        <w:rPr>
          <w:noProof/>
        </w:rPr>
      </w:pPr>
      <w:r w:rsidRPr="001F400D">
        <w:rPr>
          <w:noProof/>
        </w:rPr>
        <w:t xml:space="preserve">sound progress with the </w:t>
      </w:r>
      <w:r w:rsidRPr="001F400D">
        <w:rPr>
          <w:noProof/>
          <w:color w:val="000000"/>
        </w:rPr>
        <w:t xml:space="preserve">International Monetary Fund </w:t>
      </w:r>
      <w:r w:rsidRPr="001F400D">
        <w:rPr>
          <w:noProof/>
        </w:rPr>
        <w:t xml:space="preserve">programme, and adherence to the respect for human rights, </w:t>
      </w:r>
      <w:r>
        <w:rPr>
          <w:noProof/>
        </w:rPr>
        <w:t xml:space="preserve">the </w:t>
      </w:r>
      <w:r w:rsidRPr="001F400D">
        <w:rPr>
          <w:noProof/>
        </w:rPr>
        <w:t>rule of law and effective democratic mechanisms (the ‘political pre-condition’).</w:t>
      </w:r>
    </w:p>
    <w:p w14:paraId="25BE0360" w14:textId="77777777" w:rsidR="00D07F66" w:rsidRPr="001F400D" w:rsidRDefault="00D07F66" w:rsidP="00D07F66">
      <w:pPr>
        <w:pStyle w:val="ppoHeading6"/>
        <w:jc w:val="both"/>
        <w:rPr>
          <w:noProof/>
        </w:rPr>
      </w:pPr>
      <w:r w:rsidRPr="001F400D">
        <w:rPr>
          <w:noProof/>
        </w:rPr>
        <w:t>Delivery mode</w:t>
      </w:r>
    </w:p>
    <w:p w14:paraId="05942DA8" w14:textId="7B8557C3" w:rsidR="00D07F66" w:rsidRPr="001F400D" w:rsidRDefault="00D07F66" w:rsidP="00D07F66">
      <w:pPr>
        <w:rPr>
          <w:noProof/>
        </w:rPr>
      </w:pPr>
      <w:r w:rsidRPr="001F400D">
        <w:rPr>
          <w:noProof/>
        </w:rPr>
        <w:t xml:space="preserve">MFA is implemented in direct management by the Commission, under the lead of DG </w:t>
      </w:r>
      <w:r>
        <w:rPr>
          <w:noProof/>
        </w:rPr>
        <w:t>Economic and Financial Affairs</w:t>
      </w:r>
      <w:r w:rsidRPr="001F400D" w:rsidDel="00713BBA">
        <w:rPr>
          <w:noProof/>
        </w:rPr>
        <w:t xml:space="preserve"> </w:t>
      </w:r>
      <w:r w:rsidRPr="001F400D">
        <w:rPr>
          <w:noProof/>
        </w:rPr>
        <w:t xml:space="preserve">and with the participation of other Commission services and the </w:t>
      </w:r>
      <w:r w:rsidRPr="00713BBA">
        <w:rPr>
          <w:noProof/>
        </w:rPr>
        <w:t>European External Action Service</w:t>
      </w:r>
      <w:r w:rsidRPr="001F400D">
        <w:rPr>
          <w:noProof/>
        </w:rPr>
        <w:t>.</w:t>
      </w:r>
    </w:p>
    <w:p w14:paraId="20A826DA" w14:textId="4584C86E" w:rsidR="00D07F66" w:rsidRPr="001F400D" w:rsidRDefault="00D07F66" w:rsidP="00D07F66">
      <w:pPr>
        <w:pStyle w:val="ppoHeading6"/>
        <w:jc w:val="both"/>
        <w:rPr>
          <w:noProof/>
        </w:rPr>
      </w:pPr>
      <w:r w:rsidRPr="001F400D">
        <w:rPr>
          <w:noProof/>
        </w:rPr>
        <w:t xml:space="preserve">LINK TO THE 2014-2020 </w:t>
      </w:r>
      <w:r>
        <w:rPr>
          <w:noProof/>
        </w:rPr>
        <w:t>multiannual financial framework</w:t>
      </w:r>
    </w:p>
    <w:p w14:paraId="6DE74219" w14:textId="6A7281AB" w:rsidR="00D07F66" w:rsidRPr="001F400D" w:rsidRDefault="00D07F66" w:rsidP="00D07F66">
      <w:pPr>
        <w:rPr>
          <w:noProof/>
        </w:rPr>
      </w:pPr>
      <w:r w:rsidRPr="001F400D">
        <w:rPr>
          <w:noProof/>
        </w:rPr>
        <w:t xml:space="preserve">In the 2021-2027 </w:t>
      </w:r>
      <w:r>
        <w:rPr>
          <w:noProof/>
        </w:rPr>
        <w:t>multiannual financial framework</w:t>
      </w:r>
      <w:r w:rsidRPr="001F400D">
        <w:rPr>
          <w:noProof/>
        </w:rPr>
        <w:t xml:space="preserve">, MFA will maintain its current legal status, with assistance being granted on the basis of case-by-case </w:t>
      </w:r>
      <w:r>
        <w:rPr>
          <w:noProof/>
        </w:rPr>
        <w:t>d</w:t>
      </w:r>
      <w:r w:rsidRPr="001F400D">
        <w:rPr>
          <w:noProof/>
        </w:rPr>
        <w:t xml:space="preserve">ecisions adopted by </w:t>
      </w:r>
      <w:r w:rsidR="004B37B2">
        <w:rPr>
          <w:noProof/>
        </w:rPr>
        <w:t xml:space="preserve">ordinary </w:t>
      </w:r>
      <w:r>
        <w:rPr>
          <w:noProof/>
        </w:rPr>
        <w:t>l</w:t>
      </w:r>
      <w:r w:rsidRPr="001F400D">
        <w:rPr>
          <w:noProof/>
        </w:rPr>
        <w:t xml:space="preserve">egislative </w:t>
      </w:r>
      <w:r>
        <w:rPr>
          <w:noProof/>
        </w:rPr>
        <w:t>p</w:t>
      </w:r>
      <w:r w:rsidRPr="001F400D">
        <w:rPr>
          <w:noProof/>
        </w:rPr>
        <w:t>rocedure under Article</w:t>
      </w:r>
      <w:r>
        <w:rPr>
          <w:rFonts w:ascii="Calibri" w:hAnsi="Calibri" w:cs="Calibri"/>
          <w:noProof/>
        </w:rPr>
        <w:t> </w:t>
      </w:r>
      <w:r w:rsidRPr="001F400D">
        <w:rPr>
          <w:noProof/>
        </w:rPr>
        <w:t xml:space="preserve">209, 212 or 213 of the Treaty on the Functioning of the European Union.  MFA loans will be guaranteed by the new External Action Guarantee, which </w:t>
      </w:r>
      <w:r w:rsidR="0002620F">
        <w:rPr>
          <w:noProof/>
        </w:rPr>
        <w:t xml:space="preserve">is backed by the </w:t>
      </w:r>
      <w:r w:rsidR="004B37B2">
        <w:rPr>
          <w:noProof/>
        </w:rPr>
        <w:t xml:space="preserve">new </w:t>
      </w:r>
      <w:r w:rsidR="0002620F">
        <w:rPr>
          <w:noProof/>
        </w:rPr>
        <w:t>Common Provisioning Fund</w:t>
      </w:r>
      <w:r w:rsidRPr="001F400D">
        <w:rPr>
          <w:noProof/>
        </w:rPr>
        <w:t>.</w:t>
      </w:r>
    </w:p>
    <w:p w14:paraId="5BDFAF2B" w14:textId="77777777" w:rsidR="00D07F66" w:rsidRPr="001F400D" w:rsidRDefault="00D07F66" w:rsidP="00D07F66">
      <w:pPr>
        <w:pStyle w:val="ppoHeading6"/>
        <w:jc w:val="both"/>
        <w:rPr>
          <w:noProof/>
        </w:rPr>
      </w:pPr>
      <w:r w:rsidRPr="001F400D">
        <w:rPr>
          <w:noProof/>
        </w:rPr>
        <w:t>Impact assessment</w:t>
      </w:r>
    </w:p>
    <w:p w14:paraId="2F4FE8A7" w14:textId="77777777" w:rsidR="00D07F66" w:rsidRPr="001F400D" w:rsidRDefault="00D07F66" w:rsidP="00D07F66">
      <w:pPr>
        <w:rPr>
          <w:noProof/>
        </w:rPr>
      </w:pPr>
      <w:r w:rsidRPr="001F400D">
        <w:rPr>
          <w:noProof/>
        </w:rPr>
        <w:t xml:space="preserve">All final reports of completed </w:t>
      </w:r>
      <w:r w:rsidRPr="00304A2B">
        <w:rPr>
          <w:i/>
          <w:iCs/>
          <w:noProof/>
        </w:rPr>
        <w:t>ex post</w:t>
      </w:r>
      <w:r w:rsidRPr="001F400D">
        <w:rPr>
          <w:noProof/>
        </w:rPr>
        <w:t xml:space="preserve"> evaluations of MFA operations are published at: </w:t>
      </w:r>
      <w:hyperlink r:id="rId595" w:history="1">
        <w:r w:rsidRPr="001F400D">
          <w:rPr>
            <w:rStyle w:val="Hyperlink"/>
            <w:noProof/>
          </w:rPr>
          <w:t>https://europa.eu/!pP67Jx</w:t>
        </w:r>
      </w:hyperlink>
    </w:p>
    <w:p w14:paraId="279D14F4" w14:textId="77777777" w:rsidR="00D07F66" w:rsidRPr="001F400D" w:rsidRDefault="00D07F66" w:rsidP="00D07F66">
      <w:pPr>
        <w:pStyle w:val="ppoHeading6"/>
        <w:jc w:val="both"/>
        <w:rPr>
          <w:noProof/>
        </w:rPr>
      </w:pPr>
      <w:r w:rsidRPr="001F400D">
        <w:rPr>
          <w:noProof/>
        </w:rPr>
        <w:t>WEBSITE FOR more information</w:t>
      </w:r>
    </w:p>
    <w:p w14:paraId="503996A7" w14:textId="77777777" w:rsidR="00D07F66" w:rsidRPr="001F400D" w:rsidRDefault="00E01E9B" w:rsidP="00D07F66">
      <w:pPr>
        <w:rPr>
          <w:noProof/>
        </w:rPr>
      </w:pPr>
      <w:hyperlink r:id="rId596" w:history="1">
        <w:r w:rsidR="00D07F66" w:rsidRPr="001F400D">
          <w:rPr>
            <w:rStyle w:val="Hyperlink"/>
            <w:noProof/>
          </w:rPr>
          <w:t>http://europa.eu/!Uy76Wq</w:t>
        </w:r>
      </w:hyperlink>
    </w:p>
    <w:p w14:paraId="4C555F7B" w14:textId="5F84985B" w:rsidR="00D07F66" w:rsidRPr="001F400D" w:rsidRDefault="00D07F66" w:rsidP="00D07F66">
      <w:pPr>
        <w:pStyle w:val="ppoHeading5"/>
        <w:jc w:val="both"/>
        <w:rPr>
          <w:noProof/>
        </w:rPr>
      </w:pPr>
      <w:r w:rsidRPr="001F400D">
        <w:rPr>
          <w:rFonts w:eastAsiaTheme="minorEastAsia"/>
          <w:noProof/>
        </w:rPr>
        <w:t xml:space="preserve">Legal </w:t>
      </w:r>
      <w:r>
        <w:rPr>
          <w:rFonts w:eastAsiaTheme="minorEastAsia"/>
          <w:noProof/>
        </w:rPr>
        <w:t>basis</w:t>
      </w:r>
    </w:p>
    <w:p w14:paraId="023CD139" w14:textId="7CD5D065" w:rsidR="00D07F66" w:rsidRPr="001F400D" w:rsidRDefault="00D07F66" w:rsidP="00D07F66">
      <w:pPr>
        <w:rPr>
          <w:noProof/>
        </w:rPr>
      </w:pPr>
      <w:r w:rsidRPr="001F400D">
        <w:rPr>
          <w:noProof/>
        </w:rPr>
        <w:t>Ad hoc decisions under Articles</w:t>
      </w:r>
      <w:r>
        <w:rPr>
          <w:rFonts w:ascii="Calibri" w:hAnsi="Calibri" w:cs="Calibri"/>
          <w:noProof/>
        </w:rPr>
        <w:t> </w:t>
      </w:r>
      <w:r w:rsidRPr="001F400D">
        <w:rPr>
          <w:noProof/>
        </w:rPr>
        <w:t>209, 212 and 213 of the Treaty on the Functioning of the European Union.</w:t>
      </w:r>
    </w:p>
    <w:p w14:paraId="72331B85" w14:textId="77777777" w:rsidR="00D07F66" w:rsidRPr="001F400D" w:rsidRDefault="00D07F66" w:rsidP="00D07F66">
      <w:pPr>
        <w:pStyle w:val="ppoHeading4Red"/>
        <w:jc w:val="both"/>
        <w:rPr>
          <w:caps/>
          <w:noProof/>
        </w:rPr>
      </w:pPr>
      <w:r w:rsidRPr="001F400D">
        <w:rPr>
          <w:noProof/>
        </w:rPr>
        <w:t>Implementation and performance</w:t>
      </w:r>
    </w:p>
    <w:p w14:paraId="2DB3B6C7" w14:textId="77777777" w:rsidR="00D07F66" w:rsidRPr="001F400D" w:rsidRDefault="00D07F66" w:rsidP="00D07F66">
      <w:pPr>
        <w:pStyle w:val="ppoHeading5"/>
        <w:jc w:val="both"/>
        <w:rPr>
          <w:noProof/>
        </w:rPr>
      </w:pPr>
      <w:r w:rsidRPr="001F400D">
        <w:rPr>
          <w:noProof/>
        </w:rPr>
        <w:t>Budget</w:t>
      </w:r>
    </w:p>
    <w:p w14:paraId="6277CBA1" w14:textId="31A89DC4" w:rsidR="00D07F66" w:rsidRPr="001F400D" w:rsidRDefault="00D07F66" w:rsidP="00D07F66">
      <w:pPr>
        <w:pStyle w:val="ppoTableTabletitle"/>
        <w:jc w:val="both"/>
        <w:rPr>
          <w:noProof/>
        </w:rPr>
      </w:pPr>
      <w:r w:rsidRPr="001F400D">
        <w:rPr>
          <w:noProof/>
        </w:rPr>
        <w:t>Budget programming (</w:t>
      </w:r>
      <w:r>
        <w:rPr>
          <w:noProof/>
        </w:rPr>
        <w:t>million EUR</w:t>
      </w:r>
      <w:r w:rsidRPr="001F400D">
        <w:rPr>
          <w:noProof/>
        </w:rPr>
        <w:t>):</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D07F66" w:rsidRPr="001F400D" w14:paraId="56D66CE7" w14:textId="77777777" w:rsidTr="0083214A">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28CBC970" w14:textId="77777777" w:rsidR="00D07F66" w:rsidRPr="001F400D" w:rsidRDefault="00D07F66" w:rsidP="0083214A">
            <w:pPr>
              <w:rPr>
                <w:noProof/>
              </w:rPr>
            </w:pPr>
          </w:p>
        </w:tc>
        <w:tc>
          <w:tcPr>
            <w:tcW w:w="943" w:type="dxa"/>
            <w:noWrap/>
            <w:hideMark/>
          </w:tcPr>
          <w:p w14:paraId="2CFBA162" w14:textId="77777777" w:rsidR="00D07F66" w:rsidRPr="001F400D" w:rsidRDefault="00D07F66" w:rsidP="0083214A">
            <w:pPr>
              <w:rPr>
                <w:noProof/>
              </w:rPr>
            </w:pPr>
            <w:r w:rsidRPr="001F400D">
              <w:rPr>
                <w:noProof/>
              </w:rPr>
              <w:t>2021</w:t>
            </w:r>
          </w:p>
        </w:tc>
        <w:tc>
          <w:tcPr>
            <w:tcW w:w="944" w:type="dxa"/>
            <w:noWrap/>
            <w:hideMark/>
          </w:tcPr>
          <w:p w14:paraId="4C6B0252" w14:textId="77777777" w:rsidR="00D07F66" w:rsidRPr="001F400D" w:rsidRDefault="00D07F66" w:rsidP="0083214A">
            <w:pPr>
              <w:rPr>
                <w:noProof/>
              </w:rPr>
            </w:pPr>
            <w:r w:rsidRPr="001F400D">
              <w:rPr>
                <w:noProof/>
              </w:rPr>
              <w:t>2022</w:t>
            </w:r>
          </w:p>
        </w:tc>
        <w:tc>
          <w:tcPr>
            <w:tcW w:w="943" w:type="dxa"/>
            <w:noWrap/>
            <w:hideMark/>
          </w:tcPr>
          <w:p w14:paraId="4044D5D6" w14:textId="77777777" w:rsidR="00D07F66" w:rsidRPr="001F400D" w:rsidRDefault="00D07F66" w:rsidP="0083214A">
            <w:pPr>
              <w:rPr>
                <w:noProof/>
              </w:rPr>
            </w:pPr>
            <w:r w:rsidRPr="001F400D">
              <w:rPr>
                <w:noProof/>
              </w:rPr>
              <w:t>2023</w:t>
            </w:r>
          </w:p>
        </w:tc>
        <w:tc>
          <w:tcPr>
            <w:tcW w:w="944" w:type="dxa"/>
            <w:noWrap/>
            <w:hideMark/>
          </w:tcPr>
          <w:p w14:paraId="2BCC489D" w14:textId="77777777" w:rsidR="00D07F66" w:rsidRPr="001F400D" w:rsidRDefault="00D07F66" w:rsidP="0083214A">
            <w:pPr>
              <w:rPr>
                <w:noProof/>
              </w:rPr>
            </w:pPr>
            <w:r w:rsidRPr="001F400D">
              <w:rPr>
                <w:noProof/>
              </w:rPr>
              <w:t>2024</w:t>
            </w:r>
          </w:p>
        </w:tc>
        <w:tc>
          <w:tcPr>
            <w:tcW w:w="944" w:type="dxa"/>
            <w:noWrap/>
            <w:hideMark/>
          </w:tcPr>
          <w:p w14:paraId="570A68A7" w14:textId="77777777" w:rsidR="00D07F66" w:rsidRPr="001F400D" w:rsidRDefault="00D07F66" w:rsidP="0083214A">
            <w:pPr>
              <w:rPr>
                <w:noProof/>
              </w:rPr>
            </w:pPr>
            <w:r w:rsidRPr="001F400D">
              <w:rPr>
                <w:noProof/>
              </w:rPr>
              <w:t>2025</w:t>
            </w:r>
          </w:p>
        </w:tc>
        <w:tc>
          <w:tcPr>
            <w:tcW w:w="943" w:type="dxa"/>
            <w:noWrap/>
            <w:hideMark/>
          </w:tcPr>
          <w:p w14:paraId="455DC2A8" w14:textId="77777777" w:rsidR="00D07F66" w:rsidRPr="001F400D" w:rsidRDefault="00D07F66" w:rsidP="0083214A">
            <w:pPr>
              <w:rPr>
                <w:noProof/>
              </w:rPr>
            </w:pPr>
            <w:r w:rsidRPr="001F400D">
              <w:rPr>
                <w:noProof/>
              </w:rPr>
              <w:t>2026</w:t>
            </w:r>
          </w:p>
        </w:tc>
        <w:tc>
          <w:tcPr>
            <w:tcW w:w="944" w:type="dxa"/>
            <w:noWrap/>
            <w:hideMark/>
          </w:tcPr>
          <w:p w14:paraId="390187C4" w14:textId="77777777" w:rsidR="00D07F66" w:rsidRPr="001F400D" w:rsidRDefault="00D07F66" w:rsidP="0083214A">
            <w:pPr>
              <w:rPr>
                <w:noProof/>
              </w:rPr>
            </w:pPr>
            <w:r w:rsidRPr="001F400D">
              <w:rPr>
                <w:noProof/>
              </w:rPr>
              <w:t>2027</w:t>
            </w:r>
          </w:p>
        </w:tc>
        <w:tc>
          <w:tcPr>
            <w:tcW w:w="944" w:type="dxa"/>
            <w:noWrap/>
            <w:hideMark/>
          </w:tcPr>
          <w:p w14:paraId="0AC230CA" w14:textId="77777777" w:rsidR="00D07F66" w:rsidRPr="001F400D" w:rsidRDefault="00D07F66" w:rsidP="0083214A">
            <w:pPr>
              <w:rPr>
                <w:noProof/>
              </w:rPr>
            </w:pPr>
            <w:r w:rsidRPr="001F400D">
              <w:rPr>
                <w:noProof/>
              </w:rPr>
              <w:t>Total</w:t>
            </w:r>
          </w:p>
        </w:tc>
      </w:tr>
      <w:tr w:rsidR="003847C0" w:rsidRPr="001F400D" w14:paraId="276E1A37" w14:textId="77777777" w:rsidTr="00304A2B">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7B1CCA9B" w14:textId="77777777" w:rsidR="003847C0" w:rsidRPr="001F400D" w:rsidRDefault="003847C0" w:rsidP="003847C0">
            <w:pPr>
              <w:rPr>
                <w:noProof/>
              </w:rPr>
            </w:pPr>
            <w:r w:rsidRPr="001F400D">
              <w:rPr>
                <w:noProof/>
              </w:rPr>
              <w:t>Financial programming</w:t>
            </w:r>
          </w:p>
        </w:tc>
        <w:tc>
          <w:tcPr>
            <w:tcW w:w="943" w:type="dxa"/>
            <w:noWrap/>
            <w:vAlign w:val="bottom"/>
            <w:hideMark/>
          </w:tcPr>
          <w:p w14:paraId="1A95A3B5" w14:textId="2CB93169" w:rsidR="003847C0" w:rsidRPr="001F400D" w:rsidRDefault="003847C0" w:rsidP="003847C0">
            <w:pPr>
              <w:rPr>
                <w:noProof/>
              </w:rPr>
            </w:pPr>
            <w:r>
              <w:rPr>
                <w:rFonts w:ascii="Calibri" w:hAnsi="Calibri" w:cs="Calibri"/>
                <w:noProof/>
                <w:color w:val="000000"/>
              </w:rPr>
              <w:t>0.2</w:t>
            </w:r>
          </w:p>
        </w:tc>
        <w:tc>
          <w:tcPr>
            <w:tcW w:w="944" w:type="dxa"/>
            <w:noWrap/>
            <w:vAlign w:val="bottom"/>
            <w:hideMark/>
          </w:tcPr>
          <w:p w14:paraId="79B612EB" w14:textId="57A94E61" w:rsidR="003847C0" w:rsidRPr="001F400D" w:rsidRDefault="003847C0" w:rsidP="003847C0">
            <w:pPr>
              <w:rPr>
                <w:noProof/>
              </w:rPr>
            </w:pPr>
            <w:r>
              <w:rPr>
                <w:rFonts w:ascii="Calibri" w:hAnsi="Calibri" w:cs="Calibri"/>
                <w:noProof/>
                <w:color w:val="000000"/>
              </w:rPr>
              <w:t>50.0</w:t>
            </w:r>
          </w:p>
        </w:tc>
        <w:tc>
          <w:tcPr>
            <w:tcW w:w="943" w:type="dxa"/>
            <w:noWrap/>
            <w:vAlign w:val="bottom"/>
            <w:hideMark/>
          </w:tcPr>
          <w:p w14:paraId="5900BC1A" w14:textId="45E56F03" w:rsidR="003847C0" w:rsidRPr="001F400D" w:rsidRDefault="003847C0" w:rsidP="003847C0">
            <w:pPr>
              <w:rPr>
                <w:noProof/>
              </w:rPr>
            </w:pPr>
            <w:r>
              <w:rPr>
                <w:rFonts w:ascii="Calibri" w:hAnsi="Calibri" w:cs="Calibri"/>
                <w:noProof/>
                <w:color w:val="000000"/>
              </w:rPr>
              <w:t>56.7</w:t>
            </w:r>
          </w:p>
        </w:tc>
        <w:tc>
          <w:tcPr>
            <w:tcW w:w="944" w:type="dxa"/>
            <w:noWrap/>
            <w:vAlign w:val="bottom"/>
            <w:hideMark/>
          </w:tcPr>
          <w:p w14:paraId="0C3D1FAB" w14:textId="0DE0A387" w:rsidR="003847C0" w:rsidRPr="001F400D" w:rsidRDefault="003847C0" w:rsidP="003847C0">
            <w:pPr>
              <w:rPr>
                <w:noProof/>
              </w:rPr>
            </w:pPr>
            <w:r>
              <w:rPr>
                <w:rFonts w:ascii="Calibri" w:hAnsi="Calibri" w:cs="Calibri"/>
                <w:noProof/>
                <w:color w:val="000000"/>
              </w:rPr>
              <w:t>57.4</w:t>
            </w:r>
          </w:p>
        </w:tc>
        <w:tc>
          <w:tcPr>
            <w:tcW w:w="944" w:type="dxa"/>
            <w:noWrap/>
            <w:vAlign w:val="bottom"/>
            <w:hideMark/>
          </w:tcPr>
          <w:p w14:paraId="1FF49E04" w14:textId="7DEE38EC" w:rsidR="003847C0" w:rsidRPr="001F400D" w:rsidRDefault="003847C0" w:rsidP="003847C0">
            <w:pPr>
              <w:rPr>
                <w:noProof/>
              </w:rPr>
            </w:pPr>
            <w:r>
              <w:rPr>
                <w:rFonts w:ascii="Calibri" w:hAnsi="Calibri" w:cs="Calibri"/>
                <w:noProof/>
                <w:color w:val="000000"/>
              </w:rPr>
              <w:t>59.3</w:t>
            </w:r>
          </w:p>
        </w:tc>
        <w:tc>
          <w:tcPr>
            <w:tcW w:w="943" w:type="dxa"/>
            <w:noWrap/>
            <w:vAlign w:val="bottom"/>
            <w:hideMark/>
          </w:tcPr>
          <w:p w14:paraId="065ED074" w14:textId="370AAF7E" w:rsidR="003847C0" w:rsidRPr="001F400D" w:rsidRDefault="003847C0" w:rsidP="003847C0">
            <w:pPr>
              <w:rPr>
                <w:noProof/>
              </w:rPr>
            </w:pPr>
            <w:r>
              <w:rPr>
                <w:rFonts w:ascii="Calibri" w:hAnsi="Calibri" w:cs="Calibri"/>
                <w:noProof/>
                <w:color w:val="000000"/>
              </w:rPr>
              <w:t>61.5</w:t>
            </w:r>
          </w:p>
        </w:tc>
        <w:tc>
          <w:tcPr>
            <w:tcW w:w="944" w:type="dxa"/>
            <w:noWrap/>
            <w:vAlign w:val="bottom"/>
            <w:hideMark/>
          </w:tcPr>
          <w:p w14:paraId="7E6FB32D" w14:textId="2FFB550F" w:rsidR="003847C0" w:rsidRPr="001F400D" w:rsidRDefault="003847C0" w:rsidP="003847C0">
            <w:pPr>
              <w:rPr>
                <w:noProof/>
              </w:rPr>
            </w:pPr>
            <w:r>
              <w:rPr>
                <w:rFonts w:ascii="Calibri" w:hAnsi="Calibri" w:cs="Calibri"/>
                <w:noProof/>
                <w:color w:val="000000"/>
              </w:rPr>
              <w:t>64.5</w:t>
            </w:r>
          </w:p>
        </w:tc>
        <w:tc>
          <w:tcPr>
            <w:tcW w:w="944" w:type="dxa"/>
            <w:noWrap/>
            <w:vAlign w:val="bottom"/>
            <w:hideMark/>
          </w:tcPr>
          <w:p w14:paraId="1E39B8AA" w14:textId="57FAE395" w:rsidR="003847C0" w:rsidRPr="001F400D" w:rsidRDefault="003847C0" w:rsidP="003847C0">
            <w:pPr>
              <w:rPr>
                <w:noProof/>
              </w:rPr>
            </w:pPr>
            <w:r>
              <w:rPr>
                <w:rFonts w:ascii="Calibri" w:hAnsi="Calibri" w:cs="Calibri"/>
                <w:noProof/>
                <w:color w:val="000000"/>
              </w:rPr>
              <w:t>349.6</w:t>
            </w:r>
          </w:p>
        </w:tc>
      </w:tr>
      <w:tr w:rsidR="00D07F66" w:rsidRPr="001F400D" w14:paraId="5784BE2A"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45F07C42" w14:textId="77777777" w:rsidR="00D07F66" w:rsidRPr="001F400D" w:rsidRDefault="00D07F66" w:rsidP="0083214A">
            <w:pPr>
              <w:rPr>
                <w:noProof/>
              </w:rPr>
            </w:pPr>
            <w:r w:rsidRPr="001F400D">
              <w:rPr>
                <w:noProof/>
              </w:rPr>
              <w:t>NextGenerationEU</w:t>
            </w:r>
          </w:p>
        </w:tc>
        <w:tc>
          <w:tcPr>
            <w:tcW w:w="943" w:type="dxa"/>
            <w:noWrap/>
            <w:hideMark/>
          </w:tcPr>
          <w:p w14:paraId="35DBC65F" w14:textId="77777777" w:rsidR="00D07F66" w:rsidRPr="001F400D" w:rsidRDefault="00D07F66" w:rsidP="0083214A">
            <w:pPr>
              <w:rPr>
                <w:noProof/>
              </w:rPr>
            </w:pPr>
          </w:p>
        </w:tc>
        <w:tc>
          <w:tcPr>
            <w:tcW w:w="944" w:type="dxa"/>
            <w:noWrap/>
            <w:hideMark/>
          </w:tcPr>
          <w:p w14:paraId="4B55EE8C" w14:textId="77777777" w:rsidR="00D07F66" w:rsidRPr="001F400D" w:rsidRDefault="00D07F66" w:rsidP="0083214A">
            <w:pPr>
              <w:rPr>
                <w:noProof/>
              </w:rPr>
            </w:pPr>
          </w:p>
        </w:tc>
        <w:tc>
          <w:tcPr>
            <w:tcW w:w="943" w:type="dxa"/>
            <w:noWrap/>
            <w:hideMark/>
          </w:tcPr>
          <w:p w14:paraId="3AAD4800" w14:textId="77777777" w:rsidR="00D07F66" w:rsidRPr="001F400D" w:rsidRDefault="00D07F66" w:rsidP="0083214A">
            <w:pPr>
              <w:rPr>
                <w:noProof/>
              </w:rPr>
            </w:pPr>
          </w:p>
        </w:tc>
        <w:tc>
          <w:tcPr>
            <w:tcW w:w="944" w:type="dxa"/>
            <w:noWrap/>
            <w:hideMark/>
          </w:tcPr>
          <w:p w14:paraId="24B00B5B" w14:textId="77777777" w:rsidR="00D07F66" w:rsidRPr="001F400D" w:rsidRDefault="00D07F66" w:rsidP="0083214A">
            <w:pPr>
              <w:rPr>
                <w:noProof/>
              </w:rPr>
            </w:pPr>
          </w:p>
        </w:tc>
        <w:tc>
          <w:tcPr>
            <w:tcW w:w="944" w:type="dxa"/>
            <w:noWrap/>
            <w:hideMark/>
          </w:tcPr>
          <w:p w14:paraId="10B0765B" w14:textId="77777777" w:rsidR="00D07F66" w:rsidRPr="001F400D" w:rsidRDefault="00D07F66" w:rsidP="0083214A">
            <w:pPr>
              <w:rPr>
                <w:noProof/>
              </w:rPr>
            </w:pPr>
          </w:p>
        </w:tc>
        <w:tc>
          <w:tcPr>
            <w:tcW w:w="943" w:type="dxa"/>
            <w:noWrap/>
            <w:hideMark/>
          </w:tcPr>
          <w:p w14:paraId="5CB941CC" w14:textId="77777777" w:rsidR="00D07F66" w:rsidRPr="001F400D" w:rsidRDefault="00D07F66" w:rsidP="0083214A">
            <w:pPr>
              <w:rPr>
                <w:noProof/>
              </w:rPr>
            </w:pPr>
          </w:p>
        </w:tc>
        <w:tc>
          <w:tcPr>
            <w:tcW w:w="944" w:type="dxa"/>
            <w:noWrap/>
            <w:hideMark/>
          </w:tcPr>
          <w:p w14:paraId="4A1E068D" w14:textId="77777777" w:rsidR="00D07F66" w:rsidRPr="001F400D" w:rsidRDefault="00D07F66" w:rsidP="0083214A">
            <w:pPr>
              <w:rPr>
                <w:noProof/>
              </w:rPr>
            </w:pPr>
          </w:p>
        </w:tc>
        <w:tc>
          <w:tcPr>
            <w:tcW w:w="944" w:type="dxa"/>
            <w:noWrap/>
            <w:hideMark/>
          </w:tcPr>
          <w:p w14:paraId="7CEE2816" w14:textId="77777777" w:rsidR="00D07F66" w:rsidRPr="001F400D" w:rsidRDefault="00D07F66" w:rsidP="0083214A">
            <w:pPr>
              <w:rPr>
                <w:noProof/>
              </w:rPr>
            </w:pPr>
          </w:p>
        </w:tc>
      </w:tr>
      <w:tr w:rsidR="00D07F66" w:rsidRPr="001F400D" w14:paraId="321D5E04"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1A8039EF" w14:textId="77777777" w:rsidR="00D07F66" w:rsidRPr="001F400D" w:rsidRDefault="00D07F66" w:rsidP="0083214A">
            <w:pPr>
              <w:rPr>
                <w:noProof/>
              </w:rPr>
            </w:pPr>
            <w:r w:rsidRPr="001F400D">
              <w:rPr>
                <w:noProof/>
              </w:rPr>
              <w:t>Decommitments made available again</w:t>
            </w:r>
            <w:r>
              <w:rPr>
                <w:rFonts w:ascii="Calibri" w:hAnsi="Calibri" w:cs="Calibri"/>
                <w:noProof/>
              </w:rPr>
              <w:t> (</w:t>
            </w:r>
            <w:r w:rsidRPr="001F400D">
              <w:rPr>
                <w:noProof/>
              </w:rPr>
              <w:t>*</w:t>
            </w:r>
            <w:r>
              <w:rPr>
                <w:noProof/>
              </w:rPr>
              <w:t>)</w:t>
            </w:r>
          </w:p>
        </w:tc>
        <w:tc>
          <w:tcPr>
            <w:tcW w:w="943" w:type="dxa"/>
            <w:noWrap/>
            <w:hideMark/>
          </w:tcPr>
          <w:p w14:paraId="443B5626" w14:textId="77777777" w:rsidR="00D07F66" w:rsidRPr="001F400D" w:rsidRDefault="00D07F66" w:rsidP="0083214A">
            <w:pPr>
              <w:rPr>
                <w:noProof/>
              </w:rPr>
            </w:pPr>
            <w:r>
              <w:rPr>
                <w:noProof/>
              </w:rPr>
              <w:t>N/A</w:t>
            </w:r>
          </w:p>
        </w:tc>
        <w:tc>
          <w:tcPr>
            <w:tcW w:w="944" w:type="dxa"/>
            <w:noWrap/>
            <w:hideMark/>
          </w:tcPr>
          <w:p w14:paraId="3364BEDB" w14:textId="77777777" w:rsidR="00D07F66" w:rsidRPr="001F400D" w:rsidRDefault="00D07F66" w:rsidP="0083214A">
            <w:pPr>
              <w:rPr>
                <w:noProof/>
              </w:rPr>
            </w:pPr>
          </w:p>
        </w:tc>
        <w:tc>
          <w:tcPr>
            <w:tcW w:w="943" w:type="dxa"/>
            <w:noWrap/>
            <w:hideMark/>
          </w:tcPr>
          <w:p w14:paraId="3AFAA33D" w14:textId="77777777" w:rsidR="00D07F66" w:rsidRPr="001F400D" w:rsidRDefault="00D07F66" w:rsidP="0083214A">
            <w:pPr>
              <w:rPr>
                <w:noProof/>
              </w:rPr>
            </w:pPr>
          </w:p>
        </w:tc>
        <w:tc>
          <w:tcPr>
            <w:tcW w:w="944" w:type="dxa"/>
            <w:noWrap/>
            <w:hideMark/>
          </w:tcPr>
          <w:p w14:paraId="3C55202B" w14:textId="77777777" w:rsidR="00D07F66" w:rsidRPr="001F400D" w:rsidRDefault="00D07F66" w:rsidP="0083214A">
            <w:pPr>
              <w:rPr>
                <w:noProof/>
              </w:rPr>
            </w:pPr>
          </w:p>
        </w:tc>
        <w:tc>
          <w:tcPr>
            <w:tcW w:w="944" w:type="dxa"/>
            <w:noWrap/>
            <w:hideMark/>
          </w:tcPr>
          <w:p w14:paraId="28BFF6A0" w14:textId="77777777" w:rsidR="00D07F66" w:rsidRPr="001F400D" w:rsidRDefault="00D07F66" w:rsidP="0083214A">
            <w:pPr>
              <w:rPr>
                <w:noProof/>
              </w:rPr>
            </w:pPr>
          </w:p>
        </w:tc>
        <w:tc>
          <w:tcPr>
            <w:tcW w:w="943" w:type="dxa"/>
            <w:noWrap/>
            <w:hideMark/>
          </w:tcPr>
          <w:p w14:paraId="67652C44" w14:textId="77777777" w:rsidR="00D07F66" w:rsidRPr="001F400D" w:rsidRDefault="00D07F66" w:rsidP="0083214A">
            <w:pPr>
              <w:rPr>
                <w:noProof/>
              </w:rPr>
            </w:pPr>
          </w:p>
        </w:tc>
        <w:tc>
          <w:tcPr>
            <w:tcW w:w="944" w:type="dxa"/>
            <w:noWrap/>
            <w:hideMark/>
          </w:tcPr>
          <w:p w14:paraId="2F602C3B" w14:textId="77777777" w:rsidR="00D07F66" w:rsidRPr="001F400D" w:rsidRDefault="00D07F66" w:rsidP="0083214A">
            <w:pPr>
              <w:rPr>
                <w:noProof/>
              </w:rPr>
            </w:pPr>
          </w:p>
        </w:tc>
        <w:tc>
          <w:tcPr>
            <w:tcW w:w="944" w:type="dxa"/>
            <w:noWrap/>
            <w:hideMark/>
          </w:tcPr>
          <w:p w14:paraId="178DB31F" w14:textId="77777777" w:rsidR="00D07F66" w:rsidRPr="001F400D" w:rsidRDefault="00D07F66" w:rsidP="0083214A">
            <w:pPr>
              <w:rPr>
                <w:noProof/>
              </w:rPr>
            </w:pPr>
            <w:r>
              <w:rPr>
                <w:noProof/>
              </w:rPr>
              <w:t>N/A</w:t>
            </w:r>
          </w:p>
        </w:tc>
      </w:tr>
      <w:tr w:rsidR="00D07F66" w:rsidRPr="001F400D" w14:paraId="3A2AF737"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2BAC8A4F" w14:textId="77777777" w:rsidR="00D07F66" w:rsidRPr="001F400D" w:rsidRDefault="00D07F66" w:rsidP="0083214A">
            <w:pPr>
              <w:rPr>
                <w:noProof/>
              </w:rPr>
            </w:pPr>
            <w:r w:rsidRPr="001F400D">
              <w:rPr>
                <w:noProof/>
              </w:rPr>
              <w:t>Contributions from other countries and entities</w:t>
            </w:r>
          </w:p>
        </w:tc>
        <w:tc>
          <w:tcPr>
            <w:tcW w:w="943" w:type="dxa"/>
            <w:noWrap/>
            <w:hideMark/>
          </w:tcPr>
          <w:p w14:paraId="1542BDC9" w14:textId="77777777" w:rsidR="00D07F66" w:rsidRPr="001F400D" w:rsidRDefault="00D07F66" w:rsidP="0083214A">
            <w:pPr>
              <w:rPr>
                <w:noProof/>
              </w:rPr>
            </w:pPr>
          </w:p>
        </w:tc>
        <w:tc>
          <w:tcPr>
            <w:tcW w:w="944" w:type="dxa"/>
            <w:noWrap/>
            <w:hideMark/>
          </w:tcPr>
          <w:p w14:paraId="3C778DA1" w14:textId="77777777" w:rsidR="00D07F66" w:rsidRPr="001F400D" w:rsidRDefault="00D07F66" w:rsidP="0083214A">
            <w:pPr>
              <w:rPr>
                <w:noProof/>
              </w:rPr>
            </w:pPr>
          </w:p>
        </w:tc>
        <w:tc>
          <w:tcPr>
            <w:tcW w:w="943" w:type="dxa"/>
            <w:noWrap/>
            <w:hideMark/>
          </w:tcPr>
          <w:p w14:paraId="51812983" w14:textId="77777777" w:rsidR="00D07F66" w:rsidRPr="001F400D" w:rsidRDefault="00D07F66" w:rsidP="0083214A">
            <w:pPr>
              <w:rPr>
                <w:noProof/>
              </w:rPr>
            </w:pPr>
          </w:p>
        </w:tc>
        <w:tc>
          <w:tcPr>
            <w:tcW w:w="944" w:type="dxa"/>
            <w:noWrap/>
            <w:hideMark/>
          </w:tcPr>
          <w:p w14:paraId="63226021" w14:textId="77777777" w:rsidR="00D07F66" w:rsidRPr="001F400D" w:rsidRDefault="00D07F66" w:rsidP="0083214A">
            <w:pPr>
              <w:rPr>
                <w:noProof/>
              </w:rPr>
            </w:pPr>
          </w:p>
        </w:tc>
        <w:tc>
          <w:tcPr>
            <w:tcW w:w="944" w:type="dxa"/>
            <w:noWrap/>
            <w:hideMark/>
          </w:tcPr>
          <w:p w14:paraId="38CEAE27" w14:textId="77777777" w:rsidR="00D07F66" w:rsidRPr="001F400D" w:rsidRDefault="00D07F66" w:rsidP="0083214A">
            <w:pPr>
              <w:rPr>
                <w:noProof/>
              </w:rPr>
            </w:pPr>
          </w:p>
        </w:tc>
        <w:tc>
          <w:tcPr>
            <w:tcW w:w="943" w:type="dxa"/>
            <w:noWrap/>
            <w:hideMark/>
          </w:tcPr>
          <w:p w14:paraId="6BFBD1AD" w14:textId="77777777" w:rsidR="00D07F66" w:rsidRPr="001F400D" w:rsidRDefault="00D07F66" w:rsidP="0083214A">
            <w:pPr>
              <w:rPr>
                <w:noProof/>
              </w:rPr>
            </w:pPr>
          </w:p>
        </w:tc>
        <w:tc>
          <w:tcPr>
            <w:tcW w:w="944" w:type="dxa"/>
            <w:noWrap/>
            <w:hideMark/>
          </w:tcPr>
          <w:p w14:paraId="36A7CCF0" w14:textId="77777777" w:rsidR="00D07F66" w:rsidRPr="001F400D" w:rsidRDefault="00D07F66" w:rsidP="0083214A">
            <w:pPr>
              <w:rPr>
                <w:noProof/>
              </w:rPr>
            </w:pPr>
          </w:p>
        </w:tc>
        <w:tc>
          <w:tcPr>
            <w:tcW w:w="944" w:type="dxa"/>
            <w:noWrap/>
            <w:hideMark/>
          </w:tcPr>
          <w:p w14:paraId="5E6DED06" w14:textId="77777777" w:rsidR="00D07F66" w:rsidRPr="001F400D" w:rsidRDefault="00D07F66" w:rsidP="0083214A">
            <w:pPr>
              <w:rPr>
                <w:noProof/>
              </w:rPr>
            </w:pPr>
          </w:p>
        </w:tc>
      </w:tr>
    </w:tbl>
    <w:p w14:paraId="1D5AD25F" w14:textId="67897B81" w:rsidR="00D07F66" w:rsidRPr="001F400D" w:rsidRDefault="00D07F66" w:rsidP="00D07F66">
      <w:pPr>
        <w:tabs>
          <w:tab w:val="left" w:pos="6793"/>
        </w:tabs>
        <w:rPr>
          <w:noProof/>
          <w:sz w:val="18"/>
          <w:szCs w:val="18"/>
        </w:rPr>
      </w:pPr>
      <w:r>
        <w:rPr>
          <w:noProof/>
          <w:sz w:val="18"/>
          <w:szCs w:val="18"/>
        </w:rPr>
        <w:t>(</w:t>
      </w:r>
      <w:r w:rsidRPr="001F400D">
        <w:rPr>
          <w:noProof/>
          <w:sz w:val="18"/>
          <w:szCs w:val="18"/>
        </w:rPr>
        <w:t>*</w:t>
      </w:r>
      <w:r>
        <w:rPr>
          <w:noProof/>
          <w:sz w:val="18"/>
          <w:szCs w:val="18"/>
        </w:rPr>
        <w:t>)</w:t>
      </w:r>
      <w:r w:rsidRPr="001F400D">
        <w:rPr>
          <w:noProof/>
          <w:sz w:val="18"/>
          <w:szCs w:val="18"/>
        </w:rPr>
        <w:t xml:space="preserve"> Only Art</w:t>
      </w:r>
      <w:r>
        <w:rPr>
          <w:noProof/>
          <w:sz w:val="18"/>
          <w:szCs w:val="18"/>
        </w:rPr>
        <w:t>icle</w:t>
      </w:r>
      <w:r w:rsidRPr="001F400D">
        <w:rPr>
          <w:noProof/>
          <w:sz w:val="18"/>
          <w:szCs w:val="18"/>
        </w:rPr>
        <w:t xml:space="preserve"> 15</w:t>
      </w:r>
      <w:r>
        <w:rPr>
          <w:noProof/>
          <w:sz w:val="18"/>
          <w:szCs w:val="18"/>
        </w:rPr>
        <w:t>(</w:t>
      </w:r>
      <w:r w:rsidRPr="001F400D">
        <w:rPr>
          <w:noProof/>
          <w:sz w:val="18"/>
          <w:szCs w:val="18"/>
        </w:rPr>
        <w:t>3</w:t>
      </w:r>
      <w:r>
        <w:rPr>
          <w:noProof/>
          <w:sz w:val="18"/>
          <w:szCs w:val="18"/>
        </w:rPr>
        <w:t>) of the</w:t>
      </w:r>
      <w:r w:rsidRPr="001F400D">
        <w:rPr>
          <w:noProof/>
          <w:sz w:val="18"/>
          <w:szCs w:val="18"/>
        </w:rPr>
        <w:t xml:space="preserve"> </w:t>
      </w:r>
      <w:r>
        <w:rPr>
          <w:noProof/>
          <w:sz w:val="18"/>
          <w:szCs w:val="18"/>
        </w:rPr>
        <w:t>f</w:t>
      </w:r>
      <w:r w:rsidRPr="001F400D">
        <w:rPr>
          <w:noProof/>
          <w:sz w:val="18"/>
          <w:szCs w:val="18"/>
        </w:rPr>
        <w:t xml:space="preserve">inancial </w:t>
      </w:r>
      <w:r>
        <w:rPr>
          <w:noProof/>
          <w:sz w:val="18"/>
          <w:szCs w:val="18"/>
        </w:rPr>
        <w:t>r</w:t>
      </w:r>
      <w:r w:rsidRPr="001F400D">
        <w:rPr>
          <w:noProof/>
          <w:sz w:val="18"/>
          <w:szCs w:val="18"/>
        </w:rPr>
        <w:t>egulation</w:t>
      </w:r>
      <w:r>
        <w:rPr>
          <w:noProof/>
          <w:sz w:val="18"/>
          <w:szCs w:val="18"/>
        </w:rPr>
        <w:t>.</w:t>
      </w:r>
    </w:p>
    <w:p w14:paraId="404554BD" w14:textId="77777777" w:rsidR="00D07F66" w:rsidRPr="001F400D" w:rsidRDefault="00D07F66" w:rsidP="00D07F66">
      <w:pPr>
        <w:rPr>
          <w:noProof/>
        </w:rPr>
      </w:pPr>
    </w:p>
    <w:p w14:paraId="3ED0A26A" w14:textId="2053FB87" w:rsidR="00D07F66" w:rsidRPr="001F400D" w:rsidRDefault="00D07F66" w:rsidP="00D07F66">
      <w:pPr>
        <w:pStyle w:val="ppoTableTabletitle"/>
        <w:jc w:val="both"/>
        <w:rPr>
          <w:b/>
          <w:noProof/>
        </w:rPr>
      </w:pPr>
      <w:r w:rsidRPr="001F400D">
        <w:rPr>
          <w:noProof/>
        </w:rPr>
        <w:t>Cumulative implementation rate at the end of 2021 (</w:t>
      </w:r>
      <w:r>
        <w:rPr>
          <w:noProof/>
        </w:rPr>
        <w:t>million EUR</w:t>
      </w:r>
      <w:r w:rsidRPr="001F400D">
        <w:rPr>
          <w:noProof/>
        </w:rPr>
        <w:t>):</w:t>
      </w:r>
    </w:p>
    <w:tbl>
      <w:tblPr>
        <w:tblStyle w:val="PPO2021"/>
        <w:tblW w:w="9639" w:type="dxa"/>
        <w:tblInd w:w="0" w:type="dxa"/>
        <w:tblLook w:val="06A0" w:firstRow="1" w:lastRow="0" w:firstColumn="1" w:lastColumn="0" w:noHBand="1" w:noVBand="1"/>
      </w:tblPr>
      <w:tblGrid>
        <w:gridCol w:w="2409"/>
        <w:gridCol w:w="2410"/>
        <w:gridCol w:w="2410"/>
        <w:gridCol w:w="2410"/>
      </w:tblGrid>
      <w:tr w:rsidR="00D07F66" w:rsidRPr="001F400D" w14:paraId="12143919" w14:textId="77777777" w:rsidTr="0083214A">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64F3887C" w14:textId="77777777" w:rsidR="00D07F66" w:rsidRPr="001F400D" w:rsidRDefault="00D07F66" w:rsidP="0083214A">
            <w:pPr>
              <w:rPr>
                <w:noProof/>
              </w:rPr>
            </w:pPr>
          </w:p>
        </w:tc>
        <w:tc>
          <w:tcPr>
            <w:tcW w:w="2410" w:type="dxa"/>
          </w:tcPr>
          <w:p w14:paraId="6DC7DDED" w14:textId="77777777" w:rsidR="00D07F66" w:rsidRPr="001F400D" w:rsidRDefault="00D07F66" w:rsidP="0083214A">
            <w:pPr>
              <w:cnfStyle w:val="100000000000" w:firstRow="1" w:lastRow="0" w:firstColumn="0" w:lastColumn="0" w:oddVBand="0" w:evenVBand="0" w:oddHBand="0" w:evenHBand="0" w:firstRowFirstColumn="0" w:firstRowLastColumn="0" w:lastRowFirstColumn="0" w:lastRowLastColumn="0"/>
              <w:rPr>
                <w:noProof/>
              </w:rPr>
            </w:pPr>
            <w:r w:rsidRPr="001F400D">
              <w:rPr>
                <w:noProof/>
              </w:rPr>
              <w:t>Implementation</w:t>
            </w:r>
          </w:p>
        </w:tc>
        <w:tc>
          <w:tcPr>
            <w:tcW w:w="2410" w:type="dxa"/>
          </w:tcPr>
          <w:p w14:paraId="2799C7FB" w14:textId="03CBCD57" w:rsidR="00D07F66" w:rsidRPr="001F400D" w:rsidRDefault="003821C6" w:rsidP="0083214A">
            <w:pPr>
              <w:cnfStyle w:val="100000000000" w:firstRow="1" w:lastRow="0" w:firstColumn="0" w:lastColumn="0" w:oddVBand="0" w:evenVBand="0" w:oddHBand="0" w:evenHBand="0" w:firstRowFirstColumn="0" w:firstRowLastColumn="0" w:lastRowFirstColumn="0" w:lastRowLastColumn="0"/>
              <w:rPr>
                <w:noProof/>
              </w:rPr>
            </w:pPr>
            <w:r>
              <w:rPr>
                <w:noProof/>
              </w:rPr>
              <w:t xml:space="preserve">2021-2027 </w:t>
            </w:r>
            <w:r w:rsidR="00D07F66" w:rsidRPr="001F400D">
              <w:rPr>
                <w:noProof/>
              </w:rPr>
              <w:t>Budget</w:t>
            </w:r>
          </w:p>
        </w:tc>
        <w:tc>
          <w:tcPr>
            <w:tcW w:w="2410" w:type="dxa"/>
          </w:tcPr>
          <w:p w14:paraId="5199BDD3" w14:textId="77777777" w:rsidR="00D07F66" w:rsidRPr="001F400D" w:rsidRDefault="00D07F66" w:rsidP="0083214A">
            <w:pPr>
              <w:cnfStyle w:val="100000000000" w:firstRow="1" w:lastRow="0" w:firstColumn="0" w:lastColumn="0" w:oddVBand="0" w:evenVBand="0" w:oddHBand="0" w:evenHBand="0" w:firstRowFirstColumn="0" w:firstRowLastColumn="0" w:lastRowFirstColumn="0" w:lastRowLastColumn="0"/>
              <w:rPr>
                <w:noProof/>
              </w:rPr>
            </w:pPr>
            <w:r w:rsidRPr="001F400D">
              <w:rPr>
                <w:noProof/>
              </w:rPr>
              <w:t>Implementation rate</w:t>
            </w:r>
          </w:p>
        </w:tc>
      </w:tr>
      <w:tr w:rsidR="00D07F66" w:rsidRPr="001F400D" w14:paraId="112F73D0"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2CDF27B6" w14:textId="77777777" w:rsidR="00D07F66" w:rsidRPr="001F400D" w:rsidRDefault="00D07F66" w:rsidP="0083214A">
            <w:pPr>
              <w:rPr>
                <w:noProof/>
              </w:rPr>
            </w:pPr>
            <w:r w:rsidRPr="001F400D">
              <w:rPr>
                <w:noProof/>
              </w:rPr>
              <w:t>Commitments (</w:t>
            </w:r>
            <w:r w:rsidRPr="001F400D">
              <w:rPr>
                <w:noProof/>
                <w:vertAlign w:val="superscript"/>
              </w:rPr>
              <w:t>1</w:t>
            </w:r>
            <w:r w:rsidRPr="001F400D">
              <w:rPr>
                <w:noProof/>
              </w:rPr>
              <w:t>)</w:t>
            </w:r>
          </w:p>
        </w:tc>
        <w:tc>
          <w:tcPr>
            <w:tcW w:w="2410" w:type="dxa"/>
          </w:tcPr>
          <w:tbl>
            <w:tblPr>
              <w:tblStyle w:val="TableGrid"/>
              <w:tblW w:w="0" w:type="auto"/>
              <w:tblLook w:val="06A0" w:firstRow="1" w:lastRow="0" w:firstColumn="1" w:lastColumn="0" w:noHBand="1" w:noVBand="1"/>
            </w:tblPr>
            <w:tblGrid>
              <w:gridCol w:w="2194"/>
            </w:tblGrid>
            <w:tr w:rsidR="00D07F66" w:rsidRPr="001F400D" w14:paraId="7C7D02EE" w14:textId="77777777" w:rsidTr="0083214A">
              <w:trPr>
                <w:trHeight w:val="285"/>
              </w:trPr>
              <w:tc>
                <w:tcPr>
                  <w:tcW w:w="2290" w:type="dxa"/>
                  <w:tcBorders>
                    <w:top w:val="nil"/>
                    <w:left w:val="nil"/>
                    <w:bottom w:val="nil"/>
                    <w:right w:val="nil"/>
                  </w:tcBorders>
                  <w:vAlign w:val="bottom"/>
                </w:tcPr>
                <w:p w14:paraId="08032A5E" w14:textId="77777777" w:rsidR="00D07F66" w:rsidRPr="001F400D" w:rsidRDefault="00D07F66" w:rsidP="0083214A">
                  <w:pPr>
                    <w:rPr>
                      <w:noProof/>
                    </w:rPr>
                  </w:pPr>
                  <w:r w:rsidRPr="001F400D">
                    <w:rPr>
                      <w:rFonts w:ascii="Calibri" w:hAnsi="Calibri" w:cs="Calibri"/>
                      <w:noProof/>
                      <w:color w:val="000000"/>
                    </w:rPr>
                    <w:t>0.2</w:t>
                  </w:r>
                </w:p>
              </w:tc>
            </w:tr>
          </w:tbl>
          <w:p w14:paraId="62E659CC" w14:textId="77777777" w:rsidR="00D07F66" w:rsidRPr="001F400D" w:rsidRDefault="00D07F66" w:rsidP="0083214A">
            <w:pP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D07F66" w:rsidRPr="001F400D" w14:paraId="0C04DDF3" w14:textId="77777777" w:rsidTr="0083214A">
              <w:trPr>
                <w:trHeight w:val="285"/>
              </w:trPr>
              <w:tc>
                <w:tcPr>
                  <w:tcW w:w="2290" w:type="dxa"/>
                  <w:tcBorders>
                    <w:top w:val="nil"/>
                    <w:left w:val="nil"/>
                    <w:bottom w:val="nil"/>
                    <w:right w:val="nil"/>
                  </w:tcBorders>
                  <w:vAlign w:val="bottom"/>
                </w:tcPr>
                <w:p w14:paraId="3A0FD255" w14:textId="4EF9C1BD" w:rsidR="00D07F66" w:rsidRPr="001F400D" w:rsidRDefault="003847C0" w:rsidP="0083214A">
                  <w:pPr>
                    <w:rPr>
                      <w:rFonts w:ascii="Calibri" w:hAnsi="Calibri" w:cs="Calibri"/>
                      <w:noProof/>
                      <w:color w:val="000000"/>
                    </w:rPr>
                  </w:pPr>
                  <w:r>
                    <w:rPr>
                      <w:rFonts w:ascii="Calibri" w:hAnsi="Calibri" w:cs="Calibri"/>
                      <w:noProof/>
                      <w:color w:val="000000"/>
                      <w:sz w:val="22"/>
                      <w:szCs w:val="22"/>
                    </w:rPr>
                    <w:t>349.6</w:t>
                  </w:r>
                </w:p>
              </w:tc>
            </w:tr>
          </w:tbl>
          <w:p w14:paraId="31C3694D" w14:textId="77777777" w:rsidR="00D07F66" w:rsidRPr="001F400D" w:rsidRDefault="00D07F66" w:rsidP="0083214A">
            <w:pP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D07F66" w:rsidRPr="001F400D" w14:paraId="3F75C7B1" w14:textId="77777777" w:rsidTr="0083214A">
              <w:trPr>
                <w:trHeight w:val="285"/>
              </w:trPr>
              <w:tc>
                <w:tcPr>
                  <w:tcW w:w="2290" w:type="dxa"/>
                  <w:tcBorders>
                    <w:top w:val="nil"/>
                    <w:left w:val="nil"/>
                    <w:bottom w:val="nil"/>
                    <w:right w:val="nil"/>
                  </w:tcBorders>
                  <w:vAlign w:val="bottom"/>
                </w:tcPr>
                <w:p w14:paraId="30AB8764" w14:textId="77777777" w:rsidR="00D07F66" w:rsidRPr="001F400D" w:rsidRDefault="00D07F66" w:rsidP="0083214A">
                  <w:pPr>
                    <w:rPr>
                      <w:noProof/>
                    </w:rPr>
                  </w:pPr>
                  <w:r w:rsidRPr="001F400D">
                    <w:rPr>
                      <w:rFonts w:ascii="Calibri" w:hAnsi="Calibri" w:cs="Calibri"/>
                      <w:noProof/>
                      <w:color w:val="000000"/>
                    </w:rPr>
                    <w:t>0%</w:t>
                  </w:r>
                </w:p>
              </w:tc>
            </w:tr>
          </w:tbl>
          <w:p w14:paraId="247AAC44" w14:textId="77777777" w:rsidR="00D07F66" w:rsidRPr="001F400D" w:rsidRDefault="00D07F66" w:rsidP="0083214A">
            <w:pPr>
              <w:cnfStyle w:val="000000000000" w:firstRow="0" w:lastRow="0" w:firstColumn="0" w:lastColumn="0" w:oddVBand="0" w:evenVBand="0" w:oddHBand="0" w:evenHBand="0" w:firstRowFirstColumn="0" w:firstRowLastColumn="0" w:lastRowFirstColumn="0" w:lastRowLastColumn="0"/>
              <w:rPr>
                <w:noProof/>
              </w:rPr>
            </w:pPr>
          </w:p>
        </w:tc>
      </w:tr>
      <w:tr w:rsidR="00D07F66" w:rsidRPr="001F400D" w14:paraId="72B60743"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647AB47F" w14:textId="77777777" w:rsidR="00D07F66" w:rsidRPr="001F400D" w:rsidRDefault="00D07F66" w:rsidP="0083214A">
            <w:pPr>
              <w:rPr>
                <w:noProof/>
              </w:rPr>
            </w:pPr>
            <w:r w:rsidRPr="001F400D">
              <w:rPr>
                <w:noProof/>
              </w:rPr>
              <w:t>Payments (</w:t>
            </w:r>
            <w:r w:rsidRPr="001F400D">
              <w:rPr>
                <w:noProof/>
                <w:vertAlign w:val="superscript"/>
              </w:rPr>
              <w:t>1</w:t>
            </w:r>
            <w:r w:rsidRPr="001F400D">
              <w:rPr>
                <w:noProof/>
              </w:rPr>
              <w:t>)</w:t>
            </w:r>
          </w:p>
        </w:tc>
        <w:tc>
          <w:tcPr>
            <w:tcW w:w="2410" w:type="dxa"/>
          </w:tcPr>
          <w:tbl>
            <w:tblPr>
              <w:tblStyle w:val="TableGrid"/>
              <w:tblW w:w="0" w:type="auto"/>
              <w:tblLook w:val="06A0" w:firstRow="1" w:lastRow="0" w:firstColumn="1" w:lastColumn="0" w:noHBand="1" w:noVBand="1"/>
            </w:tblPr>
            <w:tblGrid>
              <w:gridCol w:w="2194"/>
            </w:tblGrid>
            <w:tr w:rsidR="00D07F66" w:rsidRPr="001F400D" w14:paraId="7D42219F" w14:textId="77777777" w:rsidTr="0083214A">
              <w:trPr>
                <w:trHeight w:val="285"/>
              </w:trPr>
              <w:tc>
                <w:tcPr>
                  <w:tcW w:w="2290" w:type="dxa"/>
                  <w:tcBorders>
                    <w:top w:val="nil"/>
                    <w:left w:val="nil"/>
                    <w:bottom w:val="nil"/>
                    <w:right w:val="nil"/>
                  </w:tcBorders>
                  <w:vAlign w:val="bottom"/>
                </w:tcPr>
                <w:p w14:paraId="526B6658" w14:textId="77777777" w:rsidR="00D07F66" w:rsidRPr="001F400D" w:rsidRDefault="00D07F66" w:rsidP="0083214A">
                  <w:pPr>
                    <w:rPr>
                      <w:noProof/>
                    </w:rPr>
                  </w:pPr>
                  <w:r w:rsidRPr="001F400D">
                    <w:rPr>
                      <w:rFonts w:ascii="Calibri" w:hAnsi="Calibri" w:cs="Calibri"/>
                      <w:noProof/>
                      <w:color w:val="000000"/>
                    </w:rPr>
                    <w:t>0.4</w:t>
                  </w:r>
                </w:p>
              </w:tc>
            </w:tr>
          </w:tbl>
          <w:p w14:paraId="6D10C0ED" w14:textId="77777777" w:rsidR="00D07F66" w:rsidRPr="001F400D" w:rsidRDefault="00D07F66" w:rsidP="0083214A">
            <w:pP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36C64127" w14:textId="77777777" w:rsidR="00D07F66" w:rsidRPr="001F400D" w:rsidRDefault="00D07F66" w:rsidP="0083214A">
            <w:pP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D07F66" w:rsidRPr="001F400D" w14:paraId="16D586CC" w14:textId="77777777" w:rsidTr="0083214A">
              <w:trPr>
                <w:trHeight w:val="285"/>
              </w:trPr>
              <w:tc>
                <w:tcPr>
                  <w:tcW w:w="2235" w:type="dxa"/>
                  <w:tcBorders>
                    <w:top w:val="nil"/>
                    <w:left w:val="nil"/>
                    <w:bottom w:val="nil"/>
                    <w:right w:val="nil"/>
                  </w:tcBorders>
                  <w:vAlign w:val="bottom"/>
                </w:tcPr>
                <w:p w14:paraId="6EBE5526" w14:textId="77777777" w:rsidR="00D07F66" w:rsidRPr="001F400D" w:rsidRDefault="00D07F66" w:rsidP="0083214A">
                  <w:pPr>
                    <w:rPr>
                      <w:noProof/>
                    </w:rPr>
                  </w:pPr>
                  <w:r w:rsidRPr="001F400D">
                    <w:rPr>
                      <w:rFonts w:ascii="Calibri" w:hAnsi="Calibri" w:cs="Calibri"/>
                      <w:noProof/>
                      <w:color w:val="000000"/>
                    </w:rPr>
                    <w:t>0%</w:t>
                  </w:r>
                </w:p>
              </w:tc>
            </w:tr>
          </w:tbl>
          <w:p w14:paraId="18A0FA7B" w14:textId="77777777" w:rsidR="00D07F66" w:rsidRPr="001F400D" w:rsidRDefault="00D07F66" w:rsidP="0083214A">
            <w:pPr>
              <w:cnfStyle w:val="000000000000" w:firstRow="0" w:lastRow="0" w:firstColumn="0" w:lastColumn="0" w:oddVBand="0" w:evenVBand="0" w:oddHBand="0" w:evenHBand="0" w:firstRowFirstColumn="0" w:firstRowLastColumn="0" w:lastRowFirstColumn="0" w:lastRowLastColumn="0"/>
              <w:rPr>
                <w:noProof/>
              </w:rPr>
            </w:pPr>
          </w:p>
        </w:tc>
      </w:tr>
    </w:tbl>
    <w:p w14:paraId="4C419996" w14:textId="77777777" w:rsidR="00D07F66" w:rsidRPr="001F400D" w:rsidRDefault="00D07F66" w:rsidP="00D07F66">
      <w:pPr>
        <w:pStyle w:val="CommentText"/>
        <w:jc w:val="both"/>
        <w:rPr>
          <w:noProof/>
        </w:rPr>
      </w:pPr>
    </w:p>
    <w:p w14:paraId="0BAE0043" w14:textId="2AB0154E" w:rsidR="00D07F66" w:rsidRPr="001F400D" w:rsidRDefault="00D07F66" w:rsidP="00D07F66">
      <w:pPr>
        <w:rPr>
          <w:noProof/>
        </w:rPr>
      </w:pPr>
      <w:r w:rsidRPr="001F400D">
        <w:rPr>
          <w:noProof/>
        </w:rPr>
        <w:t>(</w:t>
      </w:r>
      <w:r w:rsidRPr="00304A2B">
        <w:rPr>
          <w:noProof/>
          <w:vertAlign w:val="superscript"/>
        </w:rPr>
        <w:t>1</w:t>
      </w:r>
      <w:r w:rsidRPr="001F400D">
        <w:rPr>
          <w:noProof/>
        </w:rPr>
        <w:t>) MFA is predominantly provided in the form of loans, underpinned by guarantees from the EU budget. The budget implementation figures listed in this fiche refer only to the small proportion of MFA implemented in the form of grants from the EU budget. In 2021</w:t>
      </w:r>
      <w:r>
        <w:rPr>
          <w:noProof/>
        </w:rPr>
        <w:t>,</w:t>
      </w:r>
      <w:r w:rsidRPr="001F400D">
        <w:rPr>
          <w:noProof/>
        </w:rPr>
        <w:t xml:space="preserve"> EUR</w:t>
      </w:r>
      <w:r>
        <w:rPr>
          <w:rFonts w:ascii="Calibri" w:hAnsi="Calibri" w:cs="Calibri"/>
          <w:noProof/>
        </w:rPr>
        <w:t> </w:t>
      </w:r>
      <w:r w:rsidRPr="001F400D">
        <w:rPr>
          <w:noProof/>
        </w:rPr>
        <w:t>1</w:t>
      </w:r>
      <w:r>
        <w:rPr>
          <w:rFonts w:ascii="Calibri" w:hAnsi="Calibri" w:cs="Calibri"/>
          <w:noProof/>
        </w:rPr>
        <w:t> </w:t>
      </w:r>
      <w:r w:rsidRPr="001F400D">
        <w:rPr>
          <w:noProof/>
        </w:rPr>
        <w:t>665</w:t>
      </w:r>
      <w:r>
        <w:rPr>
          <w:rFonts w:ascii="Calibri" w:hAnsi="Calibri" w:cs="Calibri"/>
          <w:noProof/>
        </w:rPr>
        <w:t> </w:t>
      </w:r>
      <w:r w:rsidRPr="001F400D">
        <w:rPr>
          <w:noProof/>
        </w:rPr>
        <w:t xml:space="preserve">million </w:t>
      </w:r>
      <w:r>
        <w:rPr>
          <w:noProof/>
        </w:rPr>
        <w:t xml:space="preserve">in </w:t>
      </w:r>
      <w:r w:rsidRPr="001F400D">
        <w:rPr>
          <w:noProof/>
        </w:rPr>
        <w:t xml:space="preserve">MFA funds </w:t>
      </w:r>
      <w:r>
        <w:rPr>
          <w:noProof/>
        </w:rPr>
        <w:t>was</w:t>
      </w:r>
      <w:r w:rsidRPr="001F400D">
        <w:rPr>
          <w:noProof/>
        </w:rPr>
        <w:t xml:space="preserve"> disbursed in loans, while no grants were disburse</w:t>
      </w:r>
      <w:r>
        <w:rPr>
          <w:noProof/>
        </w:rPr>
        <w:t>d</w:t>
      </w:r>
      <w:r w:rsidRPr="001F400D">
        <w:rPr>
          <w:noProof/>
        </w:rPr>
        <w:t xml:space="preserve"> in 2021. The budget lines for commitments related to provisioning of MFA loans in 2021 amounted to EUR</w:t>
      </w:r>
      <w:r>
        <w:rPr>
          <w:rFonts w:ascii="Calibri" w:hAnsi="Calibri" w:cs="Calibri"/>
          <w:noProof/>
        </w:rPr>
        <w:t> </w:t>
      </w:r>
      <w:r w:rsidRPr="001F400D">
        <w:rPr>
          <w:noProof/>
        </w:rPr>
        <w:t>146.1</w:t>
      </w:r>
      <w:r>
        <w:rPr>
          <w:rFonts w:ascii="Calibri" w:hAnsi="Calibri" w:cs="Calibri"/>
          <w:noProof/>
        </w:rPr>
        <w:t> </w:t>
      </w:r>
      <w:r w:rsidRPr="001F400D">
        <w:rPr>
          <w:noProof/>
        </w:rPr>
        <w:t>million</w:t>
      </w:r>
      <w:r>
        <w:rPr>
          <w:noProof/>
        </w:rPr>
        <w:t>.</w:t>
      </w:r>
    </w:p>
    <w:p w14:paraId="2D4CCBFA" w14:textId="402E1166" w:rsidR="00D07F66" w:rsidRPr="001F400D" w:rsidRDefault="00D07F66" w:rsidP="00D07F66">
      <w:pPr>
        <w:pStyle w:val="ppoTableTabletitle"/>
        <w:jc w:val="both"/>
        <w:rPr>
          <w:b/>
          <w:noProof/>
        </w:rPr>
      </w:pPr>
      <w:r w:rsidRPr="001F400D">
        <w:rPr>
          <w:noProof/>
        </w:rPr>
        <w:t>Voted budget implementation in 2021 (</w:t>
      </w:r>
      <w:r>
        <w:rPr>
          <w:noProof/>
        </w:rPr>
        <w:t>million EUR</w:t>
      </w:r>
      <w:r w:rsidRPr="001F400D">
        <w:rPr>
          <w:noProof/>
        </w:rPr>
        <w:t>):</w:t>
      </w:r>
    </w:p>
    <w:tbl>
      <w:tblPr>
        <w:tblStyle w:val="PPO2021"/>
        <w:tblW w:w="3683" w:type="pct"/>
        <w:tblInd w:w="79" w:type="dxa"/>
        <w:tblLook w:val="04A0" w:firstRow="1" w:lastRow="0" w:firstColumn="1" w:lastColumn="0" w:noHBand="0" w:noVBand="1"/>
      </w:tblPr>
      <w:tblGrid>
        <w:gridCol w:w="2419"/>
        <w:gridCol w:w="2419"/>
        <w:gridCol w:w="2420"/>
      </w:tblGrid>
      <w:tr w:rsidR="00D07F66" w:rsidRPr="001F400D" w14:paraId="1BBF1DD0" w14:textId="77777777" w:rsidTr="008321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763A1427" w14:textId="77777777" w:rsidR="00D07F66" w:rsidRPr="001F400D" w:rsidRDefault="00D07F66" w:rsidP="0083214A">
            <w:pPr>
              <w:rPr>
                <w:noProof/>
              </w:rPr>
            </w:pPr>
          </w:p>
        </w:tc>
        <w:tc>
          <w:tcPr>
            <w:tcW w:w="2419" w:type="dxa"/>
          </w:tcPr>
          <w:p w14:paraId="2D24104F" w14:textId="77777777" w:rsidR="00D07F66" w:rsidRPr="001F400D" w:rsidRDefault="00D07F66" w:rsidP="0083214A">
            <w:pPr>
              <w:cnfStyle w:val="100000000000" w:firstRow="1" w:lastRow="0" w:firstColumn="0" w:lastColumn="0" w:oddVBand="0" w:evenVBand="0" w:oddHBand="0" w:evenHBand="0" w:firstRowFirstColumn="0" w:firstRowLastColumn="0" w:lastRowFirstColumn="0" w:lastRowLastColumn="0"/>
              <w:rPr>
                <w:noProof/>
              </w:rPr>
            </w:pPr>
            <w:r w:rsidRPr="001F400D">
              <w:rPr>
                <w:noProof/>
              </w:rPr>
              <w:t>Voted budget implementation</w:t>
            </w:r>
          </w:p>
        </w:tc>
        <w:tc>
          <w:tcPr>
            <w:tcW w:w="2420" w:type="dxa"/>
          </w:tcPr>
          <w:p w14:paraId="5B926F27" w14:textId="77777777" w:rsidR="00D07F66" w:rsidRPr="001F400D" w:rsidRDefault="00D07F66" w:rsidP="0083214A">
            <w:pPr>
              <w:cnfStyle w:val="100000000000" w:firstRow="1" w:lastRow="0" w:firstColumn="0" w:lastColumn="0" w:oddVBand="0" w:evenVBand="0" w:oddHBand="0" w:evenHBand="0" w:firstRowFirstColumn="0" w:firstRowLastColumn="0" w:lastRowFirstColumn="0" w:lastRowLastColumn="0"/>
              <w:rPr>
                <w:noProof/>
              </w:rPr>
            </w:pPr>
            <w:r w:rsidRPr="001F400D">
              <w:rPr>
                <w:noProof/>
              </w:rPr>
              <w:t>Initial voted budget</w:t>
            </w:r>
          </w:p>
        </w:tc>
      </w:tr>
      <w:tr w:rsidR="00D07F66" w:rsidRPr="001F400D" w14:paraId="0581AA79" w14:textId="77777777" w:rsidTr="0083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0DE76498" w14:textId="77777777" w:rsidR="00D07F66" w:rsidRPr="001F400D" w:rsidRDefault="00D07F66" w:rsidP="0083214A">
            <w:pPr>
              <w:rPr>
                <w:noProof/>
              </w:rPr>
            </w:pPr>
            <w:r w:rsidRPr="001F400D">
              <w:rPr>
                <w:noProof/>
              </w:rPr>
              <w:t>Commitments</w:t>
            </w:r>
          </w:p>
        </w:tc>
        <w:tc>
          <w:tcPr>
            <w:tcW w:w="2419" w:type="dxa"/>
          </w:tcPr>
          <w:p w14:paraId="010ADF42" w14:textId="77777777" w:rsidR="00D07F66" w:rsidRPr="001F400D" w:rsidRDefault="00D07F66" w:rsidP="0083214A">
            <w:pPr>
              <w:cnfStyle w:val="000000100000" w:firstRow="0" w:lastRow="0" w:firstColumn="0" w:lastColumn="0" w:oddVBand="0" w:evenVBand="0" w:oddHBand="1" w:evenHBand="0" w:firstRowFirstColumn="0" w:firstRowLastColumn="0" w:lastRowFirstColumn="0" w:lastRowLastColumn="0"/>
              <w:rPr>
                <w:noProof/>
              </w:rPr>
            </w:pPr>
            <w:r w:rsidRPr="001F400D">
              <w:rPr>
                <w:noProof/>
              </w:rPr>
              <w:t>0.2</w:t>
            </w:r>
          </w:p>
        </w:tc>
        <w:tc>
          <w:tcPr>
            <w:tcW w:w="2420" w:type="dxa"/>
          </w:tcPr>
          <w:p w14:paraId="192397C2" w14:textId="77777777" w:rsidR="00D07F66" w:rsidRPr="001F400D" w:rsidRDefault="00D07F66" w:rsidP="0083214A">
            <w:pPr>
              <w:cnfStyle w:val="000000100000" w:firstRow="0" w:lastRow="0" w:firstColumn="0" w:lastColumn="0" w:oddVBand="0" w:evenVBand="0" w:oddHBand="1" w:evenHBand="0" w:firstRowFirstColumn="0" w:firstRowLastColumn="0" w:lastRowFirstColumn="0" w:lastRowLastColumn="0"/>
              <w:rPr>
                <w:noProof/>
              </w:rPr>
            </w:pPr>
            <w:r w:rsidRPr="001F400D">
              <w:rPr>
                <w:noProof/>
              </w:rPr>
              <w:t>56.4</w:t>
            </w:r>
          </w:p>
        </w:tc>
      </w:tr>
      <w:tr w:rsidR="00D07F66" w:rsidRPr="001F400D" w14:paraId="437660F4" w14:textId="77777777" w:rsidTr="00832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5A759D63" w14:textId="77777777" w:rsidR="00D07F66" w:rsidRPr="001F400D" w:rsidRDefault="00D07F66" w:rsidP="0083214A">
            <w:pPr>
              <w:rPr>
                <w:noProof/>
              </w:rPr>
            </w:pPr>
            <w:r w:rsidRPr="001F400D">
              <w:rPr>
                <w:noProof/>
              </w:rPr>
              <w:t>Payments</w:t>
            </w:r>
          </w:p>
        </w:tc>
        <w:tc>
          <w:tcPr>
            <w:tcW w:w="2419" w:type="dxa"/>
          </w:tcPr>
          <w:p w14:paraId="6D23D4B6" w14:textId="77777777" w:rsidR="00D07F66" w:rsidRPr="001F400D" w:rsidRDefault="00D07F66" w:rsidP="0083214A">
            <w:pPr>
              <w:cnfStyle w:val="000000010000" w:firstRow="0" w:lastRow="0" w:firstColumn="0" w:lastColumn="0" w:oddVBand="0" w:evenVBand="0" w:oddHBand="0" w:evenHBand="1" w:firstRowFirstColumn="0" w:firstRowLastColumn="0" w:lastRowFirstColumn="0" w:lastRowLastColumn="0"/>
              <w:rPr>
                <w:noProof/>
              </w:rPr>
            </w:pPr>
            <w:r w:rsidRPr="001F400D">
              <w:rPr>
                <w:noProof/>
              </w:rPr>
              <w:t>0.4</w:t>
            </w:r>
          </w:p>
        </w:tc>
        <w:tc>
          <w:tcPr>
            <w:tcW w:w="2420" w:type="dxa"/>
          </w:tcPr>
          <w:p w14:paraId="12A4484D" w14:textId="77777777" w:rsidR="00D07F66" w:rsidRPr="001F400D" w:rsidRDefault="00D07F66" w:rsidP="0083214A">
            <w:pPr>
              <w:cnfStyle w:val="000000010000" w:firstRow="0" w:lastRow="0" w:firstColumn="0" w:lastColumn="0" w:oddVBand="0" w:evenVBand="0" w:oddHBand="0" w:evenHBand="1" w:firstRowFirstColumn="0" w:firstRowLastColumn="0" w:lastRowFirstColumn="0" w:lastRowLastColumn="0"/>
              <w:rPr>
                <w:noProof/>
              </w:rPr>
            </w:pPr>
            <w:r w:rsidRPr="001F400D">
              <w:rPr>
                <w:noProof/>
              </w:rPr>
              <w:t>26.0</w:t>
            </w:r>
          </w:p>
        </w:tc>
      </w:tr>
    </w:tbl>
    <w:p w14:paraId="2F724636" w14:textId="77777777" w:rsidR="00D07F66" w:rsidRPr="001F400D" w:rsidRDefault="00D07F66" w:rsidP="00D07F66">
      <w:pPr>
        <w:pStyle w:val="ppoListHyphened-L1"/>
        <w:numPr>
          <w:ilvl w:val="0"/>
          <w:numId w:val="0"/>
        </w:numPr>
        <w:ind w:left="357"/>
        <w:jc w:val="both"/>
        <w:rPr>
          <w:noProof/>
        </w:rPr>
      </w:pPr>
    </w:p>
    <w:p w14:paraId="4DFC49BA" w14:textId="6C5A75BA" w:rsidR="00D07F66" w:rsidRPr="001F400D" w:rsidRDefault="00D07F66" w:rsidP="00D07F66">
      <w:pPr>
        <w:pStyle w:val="ppoListHyphened-L1"/>
        <w:jc w:val="both"/>
        <w:rPr>
          <w:noProof/>
        </w:rPr>
      </w:pPr>
      <w:r w:rsidRPr="001F400D">
        <w:rPr>
          <w:noProof/>
        </w:rPr>
        <w:t>As part of the EU</w:t>
      </w:r>
      <w:r>
        <w:rPr>
          <w:noProof/>
        </w:rPr>
        <w:t>’</w:t>
      </w:r>
      <w:r w:rsidRPr="001F400D">
        <w:rPr>
          <w:noProof/>
        </w:rPr>
        <w:t>s global response to the COVID-19 pandemic, in 2020 the EU approved a EUR</w:t>
      </w:r>
      <w:r>
        <w:rPr>
          <w:rFonts w:ascii="Calibri" w:hAnsi="Calibri" w:cs="Calibri"/>
          <w:noProof/>
        </w:rPr>
        <w:t> </w:t>
      </w:r>
      <w:r w:rsidRPr="001F400D">
        <w:rPr>
          <w:noProof/>
        </w:rPr>
        <w:t>3.0</w:t>
      </w:r>
      <w:r>
        <w:rPr>
          <w:rFonts w:ascii="Calibri" w:hAnsi="Calibri" w:cs="Calibri"/>
          <w:noProof/>
        </w:rPr>
        <w:t> </w:t>
      </w:r>
      <w:r w:rsidRPr="001F400D">
        <w:rPr>
          <w:noProof/>
        </w:rPr>
        <w:t>billion MFA package for 10 enlargement and neighbourhood partners</w:t>
      </w:r>
      <w:r>
        <w:rPr>
          <w:noProof/>
        </w:rPr>
        <w:t>,</w:t>
      </w:r>
      <w:r w:rsidRPr="001F400D">
        <w:rPr>
          <w:noProof/>
        </w:rPr>
        <w:t xml:space="preserve"> to help them cope with the economic fallout. </w:t>
      </w:r>
    </w:p>
    <w:p w14:paraId="62A542AE" w14:textId="7B9E6979" w:rsidR="00D07F66" w:rsidRPr="001F400D" w:rsidRDefault="00D07F66" w:rsidP="00D07F66">
      <w:pPr>
        <w:pStyle w:val="ppoListHyphened-L1"/>
        <w:jc w:val="both"/>
        <w:rPr>
          <w:noProof/>
        </w:rPr>
      </w:pPr>
      <w:r w:rsidRPr="001F400D">
        <w:rPr>
          <w:noProof/>
        </w:rPr>
        <w:t xml:space="preserve">This package was further implemented during 2021. </w:t>
      </w:r>
      <w:r w:rsidRPr="001F400D">
        <w:rPr>
          <w:noProof/>
          <w:szCs w:val="24"/>
        </w:rPr>
        <w:t>By the end of 2021, eight of the planned operations ha</w:t>
      </w:r>
      <w:r>
        <w:rPr>
          <w:noProof/>
          <w:szCs w:val="24"/>
        </w:rPr>
        <w:t>d</w:t>
      </w:r>
      <w:r w:rsidRPr="001F400D">
        <w:rPr>
          <w:noProof/>
          <w:szCs w:val="24"/>
        </w:rPr>
        <w:t xml:space="preserve"> been concluded, with a total disbursement of EUR</w:t>
      </w:r>
      <w:r>
        <w:rPr>
          <w:rFonts w:ascii="Calibri" w:hAnsi="Calibri" w:cs="Calibri"/>
          <w:noProof/>
          <w:szCs w:val="24"/>
        </w:rPr>
        <w:t> </w:t>
      </w:r>
      <w:r w:rsidRPr="001F400D">
        <w:rPr>
          <w:noProof/>
          <w:szCs w:val="24"/>
        </w:rPr>
        <w:t>2.5</w:t>
      </w:r>
      <w:r>
        <w:rPr>
          <w:rFonts w:ascii="Calibri" w:hAnsi="Calibri" w:cs="Calibri"/>
          <w:noProof/>
          <w:szCs w:val="24"/>
        </w:rPr>
        <w:t> </w:t>
      </w:r>
      <w:r w:rsidRPr="001F400D">
        <w:rPr>
          <w:noProof/>
          <w:szCs w:val="24"/>
        </w:rPr>
        <w:t>billion in loans</w:t>
      </w:r>
      <w:r w:rsidRPr="001F400D">
        <w:rPr>
          <w:noProof/>
        </w:rPr>
        <w:t xml:space="preserve">. Two remaining programmes are currently under implementation, with the disbursement of the final tranche </w:t>
      </w:r>
      <w:r>
        <w:rPr>
          <w:noProof/>
        </w:rPr>
        <w:t>planned</w:t>
      </w:r>
      <w:r w:rsidRPr="001F400D">
        <w:rPr>
          <w:noProof/>
        </w:rPr>
        <w:t xml:space="preserve"> for 2022. </w:t>
      </w:r>
    </w:p>
    <w:p w14:paraId="78FBEC71" w14:textId="5E8A5E1A" w:rsidR="00D07F66" w:rsidRPr="001F400D" w:rsidRDefault="00D07F66" w:rsidP="00D07F66">
      <w:pPr>
        <w:pStyle w:val="ppoListHyphened-L1"/>
        <w:jc w:val="both"/>
        <w:rPr>
          <w:noProof/>
        </w:rPr>
      </w:pPr>
      <w:r w:rsidRPr="001F400D">
        <w:rPr>
          <w:noProof/>
        </w:rPr>
        <w:t xml:space="preserve">In </w:t>
      </w:r>
      <w:r>
        <w:rPr>
          <w:noProof/>
        </w:rPr>
        <w:t xml:space="preserve">the </w:t>
      </w:r>
      <w:r w:rsidRPr="001F400D">
        <w:rPr>
          <w:noProof/>
        </w:rPr>
        <w:t>light of Russia</w:t>
      </w:r>
      <w:r>
        <w:rPr>
          <w:noProof/>
        </w:rPr>
        <w:t>’</w:t>
      </w:r>
      <w:r w:rsidRPr="001F400D">
        <w:rPr>
          <w:noProof/>
        </w:rPr>
        <w:t>s current invasion of Ukraine, on 24</w:t>
      </w:r>
      <w:r>
        <w:rPr>
          <w:rFonts w:ascii="Calibri" w:hAnsi="Calibri" w:cs="Calibri"/>
          <w:noProof/>
        </w:rPr>
        <w:t> </w:t>
      </w:r>
      <w:r w:rsidRPr="001F400D">
        <w:rPr>
          <w:noProof/>
        </w:rPr>
        <w:t xml:space="preserve">February 2022 the European Parliament and the Council adopted a </w:t>
      </w:r>
      <w:r>
        <w:rPr>
          <w:noProof/>
        </w:rPr>
        <w:t>d</w:t>
      </w:r>
      <w:r w:rsidRPr="001F400D">
        <w:rPr>
          <w:noProof/>
        </w:rPr>
        <w:t xml:space="preserve">ecision to provide emergency </w:t>
      </w:r>
      <w:r>
        <w:rPr>
          <w:noProof/>
        </w:rPr>
        <w:t>MFA</w:t>
      </w:r>
      <w:r w:rsidRPr="001F400D">
        <w:rPr>
          <w:noProof/>
        </w:rPr>
        <w:t xml:space="preserve"> to Ukraine, in the form of EUR</w:t>
      </w:r>
      <w:r>
        <w:rPr>
          <w:rFonts w:ascii="Calibri" w:hAnsi="Calibri" w:cs="Calibri"/>
          <w:noProof/>
        </w:rPr>
        <w:t> </w:t>
      </w:r>
      <w:r w:rsidRPr="001F400D">
        <w:rPr>
          <w:noProof/>
        </w:rPr>
        <w:t>1.2</w:t>
      </w:r>
      <w:r>
        <w:rPr>
          <w:rFonts w:ascii="Calibri" w:hAnsi="Calibri" w:cs="Calibri"/>
          <w:noProof/>
        </w:rPr>
        <w:t> </w:t>
      </w:r>
      <w:r w:rsidRPr="001F400D">
        <w:rPr>
          <w:noProof/>
        </w:rPr>
        <w:t xml:space="preserve">billion </w:t>
      </w:r>
      <w:r>
        <w:rPr>
          <w:noProof/>
        </w:rPr>
        <w:t>in</w:t>
      </w:r>
      <w:r w:rsidRPr="001F400D">
        <w:rPr>
          <w:noProof/>
        </w:rPr>
        <w:t xml:space="preserve"> loans. The release of the first instalment of EUR</w:t>
      </w:r>
      <w:r>
        <w:rPr>
          <w:rFonts w:ascii="Calibri" w:hAnsi="Calibri" w:cs="Calibri"/>
          <w:noProof/>
        </w:rPr>
        <w:t> </w:t>
      </w:r>
      <w:r w:rsidRPr="001F400D">
        <w:rPr>
          <w:noProof/>
        </w:rPr>
        <w:t>600</w:t>
      </w:r>
      <w:r>
        <w:rPr>
          <w:rFonts w:ascii="Calibri" w:hAnsi="Calibri" w:cs="Calibri"/>
          <w:noProof/>
        </w:rPr>
        <w:t> </w:t>
      </w:r>
      <w:r w:rsidRPr="001F400D">
        <w:rPr>
          <w:noProof/>
        </w:rPr>
        <w:t>million took place in March 2022</w:t>
      </w:r>
      <w:r w:rsidR="0002620F">
        <w:rPr>
          <w:noProof/>
        </w:rPr>
        <w:t>, and the second in May 2022.</w:t>
      </w:r>
    </w:p>
    <w:p w14:paraId="73AAA615" w14:textId="1B58FD62" w:rsidR="00D07F66" w:rsidRPr="001F400D" w:rsidRDefault="00D07F66" w:rsidP="00D07F66">
      <w:pPr>
        <w:pStyle w:val="ppoListHyphened-L1"/>
        <w:jc w:val="both"/>
        <w:rPr>
          <w:noProof/>
        </w:rPr>
      </w:pPr>
      <w:r w:rsidRPr="001F400D">
        <w:rPr>
          <w:noProof/>
        </w:rPr>
        <w:t>The Commission</w:t>
      </w:r>
      <w:r>
        <w:rPr>
          <w:noProof/>
        </w:rPr>
        <w:t>’</w:t>
      </w:r>
      <w:r w:rsidRPr="001F400D">
        <w:rPr>
          <w:noProof/>
        </w:rPr>
        <w:t>s proposal for additional MFA to Moldova of EUR</w:t>
      </w:r>
      <w:r>
        <w:rPr>
          <w:rFonts w:ascii="Calibri" w:hAnsi="Calibri" w:cs="Calibri"/>
          <w:noProof/>
        </w:rPr>
        <w:t> </w:t>
      </w:r>
      <w:r w:rsidRPr="001F400D">
        <w:rPr>
          <w:noProof/>
        </w:rPr>
        <w:t>150</w:t>
      </w:r>
      <w:r>
        <w:rPr>
          <w:rFonts w:ascii="Calibri" w:hAnsi="Calibri" w:cs="Calibri"/>
          <w:noProof/>
        </w:rPr>
        <w:t> </w:t>
      </w:r>
      <w:r w:rsidRPr="001F400D">
        <w:rPr>
          <w:noProof/>
        </w:rPr>
        <w:t xml:space="preserve">million is currently awaiting endorsement by the European Parliament and the Council, with a view to </w:t>
      </w:r>
      <w:r>
        <w:rPr>
          <w:noProof/>
        </w:rPr>
        <w:t>the</w:t>
      </w:r>
      <w:r w:rsidRPr="001F400D">
        <w:rPr>
          <w:noProof/>
        </w:rPr>
        <w:t xml:space="preserve"> first disbursement </w:t>
      </w:r>
      <w:r>
        <w:rPr>
          <w:noProof/>
        </w:rPr>
        <w:t xml:space="preserve">occurring </w:t>
      </w:r>
      <w:r w:rsidRPr="001F400D">
        <w:rPr>
          <w:noProof/>
        </w:rPr>
        <w:t xml:space="preserve">by June 2022. </w:t>
      </w:r>
    </w:p>
    <w:p w14:paraId="74B2575B" w14:textId="7D49019B" w:rsidR="00D07F66" w:rsidRPr="001F400D" w:rsidRDefault="00D07F66" w:rsidP="00D07F66">
      <w:pPr>
        <w:pStyle w:val="ppoListHyphened-L1"/>
        <w:jc w:val="both"/>
        <w:rPr>
          <w:noProof/>
        </w:rPr>
      </w:pPr>
      <w:r w:rsidRPr="001F400D">
        <w:rPr>
          <w:noProof/>
        </w:rPr>
        <w:t xml:space="preserve">Besides the financial assistance </w:t>
      </w:r>
      <w:r>
        <w:rPr>
          <w:noProof/>
        </w:rPr>
        <w:t>provided for</w:t>
      </w:r>
      <w:r w:rsidRPr="001F400D">
        <w:rPr>
          <w:noProof/>
        </w:rPr>
        <w:t xml:space="preserve"> in </w:t>
      </w:r>
      <w:r>
        <w:rPr>
          <w:noProof/>
        </w:rPr>
        <w:t xml:space="preserve">the </w:t>
      </w:r>
      <w:r w:rsidRPr="001F400D">
        <w:rPr>
          <w:noProof/>
        </w:rPr>
        <w:t xml:space="preserve">context of the COVID-19 pandemic, </w:t>
      </w:r>
      <w:r w:rsidRPr="00A8007F">
        <w:rPr>
          <w:noProof/>
        </w:rPr>
        <w:t>the implementation of a third regular MFA programme for Jordan was also taken forward, with the release of the second tranche on 20</w:t>
      </w:r>
      <w:r w:rsidRPr="00A8007F">
        <w:rPr>
          <w:rFonts w:ascii="Calibri" w:hAnsi="Calibri" w:cs="Calibri"/>
          <w:noProof/>
        </w:rPr>
        <w:t> </w:t>
      </w:r>
      <w:r w:rsidRPr="00A8007F">
        <w:rPr>
          <w:noProof/>
        </w:rPr>
        <w:t>July 2021. This third MFA programme for Jordan is expected to be finalised</w:t>
      </w:r>
      <w:r>
        <w:rPr>
          <w:noProof/>
        </w:rPr>
        <w:t xml:space="preserve"> in 202</w:t>
      </w:r>
      <w:r w:rsidR="0002620F">
        <w:rPr>
          <w:noProof/>
        </w:rPr>
        <w:t>3</w:t>
      </w:r>
      <w:r w:rsidRPr="00A8007F">
        <w:rPr>
          <w:noProof/>
        </w:rPr>
        <w:t>.</w:t>
      </w:r>
    </w:p>
    <w:p w14:paraId="78CE3544" w14:textId="77777777" w:rsidR="00D07F66" w:rsidRPr="001F400D" w:rsidRDefault="00D07F66" w:rsidP="00D07F66">
      <w:pPr>
        <w:pStyle w:val="ppoHeading5"/>
        <w:jc w:val="both"/>
        <w:rPr>
          <w:noProof/>
        </w:rPr>
      </w:pPr>
      <w:r w:rsidRPr="001F400D">
        <w:rPr>
          <w:noProof/>
        </w:rPr>
        <w:t>Contribution to horizontal priorities</w:t>
      </w:r>
    </w:p>
    <w:p w14:paraId="19DE719C" w14:textId="6A97740D" w:rsidR="00D07F66" w:rsidRPr="001F400D" w:rsidRDefault="00D07F66" w:rsidP="00D07F66">
      <w:pPr>
        <w:pStyle w:val="ppoTableTabletitle"/>
        <w:jc w:val="both"/>
        <w:rPr>
          <w:noProof/>
        </w:rPr>
      </w:pPr>
      <w:r w:rsidRPr="001F400D">
        <w:rPr>
          <w:noProof/>
        </w:rPr>
        <w:t>EU budget contribution in 2021 (</w:t>
      </w:r>
      <w:r>
        <w:rPr>
          <w:noProof/>
        </w:rPr>
        <w:t>million EUR</w:t>
      </w:r>
      <w:r w:rsidRPr="001F400D">
        <w:rPr>
          <w:noProof/>
        </w:rPr>
        <w:t>):</w:t>
      </w:r>
    </w:p>
    <w:tbl>
      <w:tblPr>
        <w:tblStyle w:val="PPO2021"/>
        <w:tblW w:w="9639" w:type="dxa"/>
        <w:tblInd w:w="0" w:type="dxa"/>
        <w:tblLook w:val="0420" w:firstRow="1" w:lastRow="0" w:firstColumn="0" w:lastColumn="0" w:noHBand="0" w:noVBand="1"/>
      </w:tblPr>
      <w:tblGrid>
        <w:gridCol w:w="3213"/>
        <w:gridCol w:w="3213"/>
        <w:gridCol w:w="3213"/>
      </w:tblGrid>
      <w:tr w:rsidR="00D07F66" w:rsidRPr="001F400D" w14:paraId="188C97D5" w14:textId="77777777" w:rsidTr="0083214A">
        <w:trPr>
          <w:cnfStyle w:val="100000000000" w:firstRow="1" w:lastRow="0" w:firstColumn="0" w:lastColumn="0" w:oddVBand="0" w:evenVBand="0" w:oddHBand="0" w:evenHBand="0" w:firstRowFirstColumn="0" w:firstRowLastColumn="0" w:lastRowFirstColumn="0" w:lastRowLastColumn="0"/>
          <w:tblHeader/>
        </w:trPr>
        <w:tc>
          <w:tcPr>
            <w:tcW w:w="3213" w:type="dxa"/>
          </w:tcPr>
          <w:p w14:paraId="05B9238D" w14:textId="77777777" w:rsidR="00D07F66" w:rsidRPr="001F400D" w:rsidRDefault="00D07F66" w:rsidP="0083214A">
            <w:pPr>
              <w:rPr>
                <w:noProof/>
              </w:rPr>
            </w:pPr>
            <w:r w:rsidRPr="001F400D">
              <w:rPr>
                <w:noProof/>
              </w:rPr>
              <w:t>Climate</w:t>
            </w:r>
          </w:p>
        </w:tc>
        <w:tc>
          <w:tcPr>
            <w:tcW w:w="3213" w:type="dxa"/>
          </w:tcPr>
          <w:p w14:paraId="2A957C57" w14:textId="77777777" w:rsidR="00D07F66" w:rsidRPr="001F400D" w:rsidRDefault="00D07F66" w:rsidP="0083214A">
            <w:pPr>
              <w:rPr>
                <w:noProof/>
              </w:rPr>
            </w:pPr>
            <w:r w:rsidRPr="001F400D">
              <w:rPr>
                <w:noProof/>
              </w:rPr>
              <w:t>Biodiversity</w:t>
            </w:r>
          </w:p>
        </w:tc>
        <w:tc>
          <w:tcPr>
            <w:tcW w:w="3213" w:type="dxa"/>
          </w:tcPr>
          <w:p w14:paraId="43CFDE36" w14:textId="77777777" w:rsidR="00D07F66" w:rsidRPr="001F400D" w:rsidRDefault="00D07F66" w:rsidP="0083214A">
            <w:pPr>
              <w:rPr>
                <w:noProof/>
              </w:rPr>
            </w:pPr>
            <w:r w:rsidRPr="001F400D">
              <w:rPr>
                <w:noProof/>
              </w:rPr>
              <w:t xml:space="preserve">Gender equality </w:t>
            </w:r>
            <w:r>
              <w:rPr>
                <w:noProof/>
              </w:rPr>
              <w:t>(</w:t>
            </w:r>
            <w:r w:rsidRPr="001F400D">
              <w:rPr>
                <w:noProof/>
              </w:rPr>
              <w:t>*</w:t>
            </w:r>
            <w:r>
              <w:rPr>
                <w:noProof/>
              </w:rPr>
              <w:t>)</w:t>
            </w:r>
          </w:p>
        </w:tc>
      </w:tr>
      <w:tr w:rsidR="00D07F66" w:rsidRPr="001F400D" w14:paraId="7E503D0F" w14:textId="77777777" w:rsidTr="0083214A">
        <w:trPr>
          <w:cnfStyle w:val="000000100000" w:firstRow="0" w:lastRow="0" w:firstColumn="0" w:lastColumn="0" w:oddVBand="0" w:evenVBand="0" w:oddHBand="1" w:evenHBand="0" w:firstRowFirstColumn="0" w:firstRowLastColumn="0" w:lastRowFirstColumn="0" w:lastRowLastColumn="0"/>
        </w:trPr>
        <w:tc>
          <w:tcPr>
            <w:tcW w:w="3213" w:type="dxa"/>
          </w:tcPr>
          <w:p w14:paraId="64A99487" w14:textId="77777777" w:rsidR="00D07F66" w:rsidRPr="001F400D" w:rsidRDefault="00D07F66" w:rsidP="0083214A">
            <w:pPr>
              <w:rPr>
                <w:noProof/>
              </w:rPr>
            </w:pPr>
            <w:r w:rsidRPr="001F400D">
              <w:rPr>
                <w:noProof/>
              </w:rPr>
              <w:t>0</w:t>
            </w:r>
          </w:p>
        </w:tc>
        <w:tc>
          <w:tcPr>
            <w:tcW w:w="3213" w:type="dxa"/>
          </w:tcPr>
          <w:p w14:paraId="58B3EA30" w14:textId="77777777" w:rsidR="00D07F66" w:rsidRPr="001F400D" w:rsidRDefault="00D07F66" w:rsidP="0083214A">
            <w:pPr>
              <w:rPr>
                <w:noProof/>
              </w:rPr>
            </w:pPr>
            <w:r w:rsidRPr="001F400D">
              <w:rPr>
                <w:noProof/>
              </w:rPr>
              <w:t>0</w:t>
            </w:r>
          </w:p>
        </w:tc>
        <w:tc>
          <w:tcPr>
            <w:tcW w:w="3213" w:type="dxa"/>
          </w:tcPr>
          <w:p w14:paraId="092C29E7" w14:textId="77777777" w:rsidR="00D07F66" w:rsidRPr="001F400D" w:rsidRDefault="00D07F66" w:rsidP="0083214A">
            <w:pPr>
              <w:rPr>
                <w:noProof/>
              </w:rPr>
            </w:pPr>
            <w:r w:rsidRPr="001F400D">
              <w:rPr>
                <w:noProof/>
              </w:rPr>
              <w:t>Score 0*: 0.2</w:t>
            </w:r>
          </w:p>
        </w:tc>
      </w:tr>
    </w:tbl>
    <w:p w14:paraId="674366DA" w14:textId="33D66241" w:rsidR="00D07F66" w:rsidRPr="001F400D" w:rsidRDefault="00D07F66" w:rsidP="00D07F66">
      <w:pPr>
        <w:pStyle w:val="FootnoteText"/>
        <w:rPr>
          <w:noProof/>
        </w:rPr>
      </w:pPr>
      <w:r>
        <w:rPr>
          <w:noProof/>
        </w:rPr>
        <w:t>(</w:t>
      </w:r>
      <w:r w:rsidRPr="001F400D">
        <w:rPr>
          <w:noProof/>
        </w:rPr>
        <w:t>*</w:t>
      </w:r>
      <w:r>
        <w:rPr>
          <w:noProof/>
        </w:rPr>
        <w:t>)</w:t>
      </w:r>
      <w:r>
        <w:rPr>
          <w:noProof/>
        </w:rPr>
        <w:tab/>
      </w:r>
      <w:r w:rsidRPr="001F400D">
        <w:rPr>
          <w:noProof/>
        </w:rPr>
        <w:t>Based on the applied gender contribution methodology, the following scores are attributed at the most granular level of intervention possible:</w:t>
      </w:r>
    </w:p>
    <w:p w14:paraId="1FCDA385" w14:textId="6486BF84" w:rsidR="00D07F66" w:rsidRPr="001F400D" w:rsidRDefault="00D07F66" w:rsidP="00D07F66">
      <w:pPr>
        <w:pStyle w:val="FootnoteText"/>
        <w:numPr>
          <w:ilvl w:val="0"/>
          <w:numId w:val="38"/>
        </w:numPr>
        <w:spacing w:after="60" w:line="264" w:lineRule="auto"/>
        <w:jc w:val="left"/>
        <w:rPr>
          <w:noProof/>
        </w:rPr>
      </w:pPr>
      <w:r w:rsidRPr="001F400D">
        <w:rPr>
          <w:noProof/>
        </w:rPr>
        <w:t xml:space="preserve">2: </w:t>
      </w:r>
      <w:r>
        <w:rPr>
          <w:noProof/>
        </w:rPr>
        <w:t>i</w:t>
      </w:r>
      <w:r w:rsidRPr="001F400D">
        <w:rPr>
          <w:noProof/>
        </w:rPr>
        <w:t xml:space="preserve">nterventions </w:t>
      </w:r>
      <w:r>
        <w:rPr>
          <w:noProof/>
        </w:rPr>
        <w:t xml:space="preserve">the </w:t>
      </w:r>
      <w:r w:rsidRPr="001F400D">
        <w:rPr>
          <w:noProof/>
        </w:rPr>
        <w:t xml:space="preserve">principal objective </w:t>
      </w:r>
      <w:r>
        <w:rPr>
          <w:noProof/>
        </w:rPr>
        <w:t xml:space="preserve">of which </w:t>
      </w:r>
      <w:r w:rsidRPr="001F400D">
        <w:rPr>
          <w:noProof/>
        </w:rPr>
        <w:t>is to improve gender equality;</w:t>
      </w:r>
    </w:p>
    <w:p w14:paraId="2F06F57E" w14:textId="3CFBF4E5" w:rsidR="00D07F66" w:rsidRPr="001F400D" w:rsidRDefault="00D07F66" w:rsidP="00D07F66">
      <w:pPr>
        <w:pStyle w:val="FootnoteText"/>
        <w:numPr>
          <w:ilvl w:val="0"/>
          <w:numId w:val="38"/>
        </w:numPr>
        <w:spacing w:after="60" w:line="264" w:lineRule="auto"/>
        <w:jc w:val="left"/>
        <w:rPr>
          <w:noProof/>
        </w:rPr>
      </w:pPr>
      <w:r w:rsidRPr="001F400D">
        <w:rPr>
          <w:noProof/>
        </w:rPr>
        <w:t xml:space="preserve">1: </w:t>
      </w:r>
      <w:r>
        <w:rPr>
          <w:noProof/>
        </w:rPr>
        <w:t>i</w:t>
      </w:r>
      <w:r w:rsidRPr="001F400D">
        <w:rPr>
          <w:noProof/>
        </w:rPr>
        <w:t xml:space="preserve">nterventions </w:t>
      </w:r>
      <w:r>
        <w:rPr>
          <w:noProof/>
        </w:rPr>
        <w:t>that have</w:t>
      </w:r>
      <w:r w:rsidRPr="001F400D">
        <w:rPr>
          <w:noProof/>
        </w:rPr>
        <w:t xml:space="preserve"> gender equality as an important and deliberate objective but not as the main reason for the intervention;</w:t>
      </w:r>
    </w:p>
    <w:p w14:paraId="3904A3E3" w14:textId="56A7C93A" w:rsidR="00D07F66" w:rsidRPr="001F400D" w:rsidRDefault="00D07F66" w:rsidP="00D07F66">
      <w:pPr>
        <w:pStyle w:val="FootnoteText"/>
        <w:numPr>
          <w:ilvl w:val="0"/>
          <w:numId w:val="38"/>
        </w:numPr>
        <w:spacing w:after="60" w:line="264" w:lineRule="auto"/>
        <w:jc w:val="left"/>
        <w:rPr>
          <w:noProof/>
        </w:rPr>
      </w:pPr>
      <w:r w:rsidRPr="001F400D">
        <w:rPr>
          <w:noProof/>
        </w:rPr>
        <w:t xml:space="preserve">0: </w:t>
      </w:r>
      <w:r>
        <w:rPr>
          <w:noProof/>
        </w:rPr>
        <w:t>n</w:t>
      </w:r>
      <w:r w:rsidRPr="001F400D">
        <w:rPr>
          <w:noProof/>
        </w:rPr>
        <w:t>o</w:t>
      </w:r>
      <w:r>
        <w:rPr>
          <w:noProof/>
        </w:rPr>
        <w:t>n-</w:t>
      </w:r>
      <w:r w:rsidRPr="001F400D">
        <w:rPr>
          <w:noProof/>
        </w:rPr>
        <w:t>targeted interventions</w:t>
      </w:r>
      <w:r>
        <w:rPr>
          <w:noProof/>
        </w:rPr>
        <w:t>;</w:t>
      </w:r>
    </w:p>
    <w:p w14:paraId="02100F63" w14:textId="7DDF983A" w:rsidR="00D07F66" w:rsidRPr="001F400D" w:rsidRDefault="00D07F66" w:rsidP="00D07F66">
      <w:pPr>
        <w:pStyle w:val="FootnoteText"/>
        <w:numPr>
          <w:ilvl w:val="0"/>
          <w:numId w:val="38"/>
        </w:numPr>
        <w:spacing w:after="60" w:line="264" w:lineRule="auto"/>
        <w:jc w:val="left"/>
        <w:rPr>
          <w:noProof/>
        </w:rPr>
      </w:pPr>
      <w:r w:rsidRPr="001F400D">
        <w:rPr>
          <w:noProof/>
        </w:rPr>
        <w:t xml:space="preserve">0*: </w:t>
      </w:r>
      <w:bookmarkStart w:id="269" w:name="_Hlk100570490"/>
      <w:r>
        <w:rPr>
          <w:noProof/>
        </w:rPr>
        <w:t>s</w:t>
      </w:r>
      <w:r w:rsidRPr="001F400D">
        <w:rPr>
          <w:noProof/>
        </w:rPr>
        <w:t>core to be assigned to interventions with likely</w:t>
      </w:r>
      <w:bookmarkEnd w:id="269"/>
      <w:r w:rsidRPr="001F400D">
        <w:rPr>
          <w:noProof/>
        </w:rPr>
        <w:t xml:space="preserve"> but not yet clear positive impact on gender equality.</w:t>
      </w:r>
    </w:p>
    <w:p w14:paraId="3D2B0D3A" w14:textId="77777777" w:rsidR="00D07F66" w:rsidRPr="001F400D" w:rsidRDefault="00D07F66" w:rsidP="00D07F66">
      <w:pPr>
        <w:pStyle w:val="ppoHeading5"/>
        <w:jc w:val="both"/>
        <w:rPr>
          <w:noProof/>
        </w:rPr>
      </w:pPr>
      <w:r w:rsidRPr="001F400D">
        <w:rPr>
          <w:noProof/>
        </w:rPr>
        <w:t>Performance assessment</w:t>
      </w:r>
    </w:p>
    <w:p w14:paraId="37A72FC2" w14:textId="3EF37C1A" w:rsidR="00D07F66" w:rsidRPr="001F400D" w:rsidRDefault="00D07F66" w:rsidP="00D07F66">
      <w:pPr>
        <w:pStyle w:val="ppoListHyphened-L1"/>
        <w:jc w:val="both"/>
        <w:rPr>
          <w:noProof/>
        </w:rPr>
      </w:pPr>
      <w:r w:rsidRPr="001F400D">
        <w:rPr>
          <w:noProof/>
        </w:rPr>
        <w:t>By the end of 2021, a total of EUR</w:t>
      </w:r>
      <w:r>
        <w:rPr>
          <w:rFonts w:ascii="Calibri" w:hAnsi="Calibri" w:cs="Calibri"/>
          <w:noProof/>
        </w:rPr>
        <w:t> </w:t>
      </w:r>
      <w:r w:rsidRPr="001F400D">
        <w:rPr>
          <w:noProof/>
        </w:rPr>
        <w:t>2.5</w:t>
      </w:r>
      <w:r>
        <w:rPr>
          <w:rFonts w:ascii="Calibri" w:hAnsi="Calibri" w:cs="Calibri"/>
          <w:noProof/>
        </w:rPr>
        <w:t> </w:t>
      </w:r>
      <w:r w:rsidRPr="001F400D">
        <w:rPr>
          <w:noProof/>
        </w:rPr>
        <w:t xml:space="preserve">billion in loans </w:t>
      </w:r>
      <w:r>
        <w:rPr>
          <w:noProof/>
        </w:rPr>
        <w:t>had been</w:t>
      </w:r>
      <w:r w:rsidRPr="001F400D">
        <w:rPr>
          <w:noProof/>
        </w:rPr>
        <w:t xml:space="preserve"> disbursed to provide assistance in the context of the COVID-19 pandemic.</w:t>
      </w:r>
    </w:p>
    <w:p w14:paraId="23DFED1C" w14:textId="10039FC5" w:rsidR="00D07F66" w:rsidRPr="00A8007F" w:rsidRDefault="00D07F66" w:rsidP="00D07F66">
      <w:pPr>
        <w:pStyle w:val="ppoListHyphened-L1"/>
        <w:jc w:val="both"/>
        <w:rPr>
          <w:noProof/>
        </w:rPr>
      </w:pPr>
      <w:bookmarkStart w:id="270" w:name="_Hlk100571157"/>
      <w:r w:rsidRPr="00A8007F">
        <w:rPr>
          <w:noProof/>
        </w:rPr>
        <w:t>Seven of the 10 approved operations have been fully completed: Albania (EUR</w:t>
      </w:r>
      <w:r w:rsidRPr="00A8007F">
        <w:rPr>
          <w:rFonts w:ascii="Calibri" w:hAnsi="Calibri" w:cs="Calibri"/>
          <w:noProof/>
        </w:rPr>
        <w:t> </w:t>
      </w:r>
      <w:r w:rsidRPr="00A8007F">
        <w:rPr>
          <w:noProof/>
        </w:rPr>
        <w:t>180</w:t>
      </w:r>
      <w:r w:rsidRPr="00A8007F">
        <w:rPr>
          <w:rFonts w:ascii="Calibri" w:hAnsi="Calibri" w:cs="Calibri"/>
          <w:noProof/>
        </w:rPr>
        <w:t> </w:t>
      </w:r>
      <w:r w:rsidRPr="00A8007F">
        <w:rPr>
          <w:noProof/>
        </w:rPr>
        <w:t>million)</w:t>
      </w:r>
      <w:r>
        <w:rPr>
          <w:noProof/>
        </w:rPr>
        <w:t xml:space="preserve">, </w:t>
      </w:r>
      <w:r w:rsidRPr="00A8007F">
        <w:rPr>
          <w:noProof/>
        </w:rPr>
        <w:t>Jordan (EUR</w:t>
      </w:r>
      <w:r w:rsidRPr="00A8007F">
        <w:rPr>
          <w:rFonts w:ascii="Calibri" w:hAnsi="Calibri" w:cs="Calibri"/>
          <w:noProof/>
        </w:rPr>
        <w:t> </w:t>
      </w:r>
      <w:r w:rsidRPr="00A8007F">
        <w:rPr>
          <w:noProof/>
        </w:rPr>
        <w:t>200</w:t>
      </w:r>
      <w:r w:rsidRPr="00A8007F">
        <w:rPr>
          <w:rFonts w:ascii="Calibri" w:hAnsi="Calibri" w:cs="Calibri"/>
          <w:noProof/>
        </w:rPr>
        <w:t> </w:t>
      </w:r>
      <w:r w:rsidRPr="00A8007F">
        <w:rPr>
          <w:noProof/>
        </w:rPr>
        <w:t>million), Kosovo</w:t>
      </w:r>
      <w:r w:rsidRPr="00A8007F">
        <w:rPr>
          <w:rFonts w:ascii="Calibri" w:hAnsi="Calibri" w:cs="Calibri"/>
          <w:noProof/>
        </w:rPr>
        <w:t> (</w:t>
      </w:r>
      <w:r w:rsidRPr="00A8007F">
        <w:rPr>
          <w:rStyle w:val="FootnoteReference"/>
          <w:rFonts w:ascii="Calibri" w:hAnsi="Calibri" w:cs="Calibri"/>
          <w:noProof/>
        </w:rPr>
        <w:footnoteReference w:id="13"/>
      </w:r>
      <w:r w:rsidRPr="00A8007F">
        <w:rPr>
          <w:rFonts w:ascii="Calibri" w:hAnsi="Calibri" w:cs="Calibri"/>
          <w:noProof/>
        </w:rPr>
        <w:t>)</w:t>
      </w:r>
      <w:r w:rsidRPr="00A8007F">
        <w:rPr>
          <w:noProof/>
        </w:rPr>
        <w:t xml:space="preserve"> (EUR</w:t>
      </w:r>
      <w:r w:rsidRPr="00A8007F">
        <w:rPr>
          <w:rFonts w:ascii="Calibri" w:hAnsi="Calibri" w:cs="Calibri"/>
          <w:noProof/>
        </w:rPr>
        <w:t> </w:t>
      </w:r>
      <w:r w:rsidRPr="00A8007F">
        <w:rPr>
          <w:noProof/>
        </w:rPr>
        <w:t>100</w:t>
      </w:r>
      <w:r w:rsidRPr="00A8007F">
        <w:rPr>
          <w:rFonts w:ascii="Calibri" w:hAnsi="Calibri" w:cs="Calibri"/>
          <w:noProof/>
        </w:rPr>
        <w:t> </w:t>
      </w:r>
      <w:r w:rsidRPr="00A8007F">
        <w:rPr>
          <w:noProof/>
        </w:rPr>
        <w:t>million), Moldova (EUR</w:t>
      </w:r>
      <w:r w:rsidRPr="00A8007F">
        <w:rPr>
          <w:rFonts w:ascii="Calibri" w:hAnsi="Calibri" w:cs="Calibri"/>
          <w:noProof/>
        </w:rPr>
        <w:t> </w:t>
      </w:r>
      <w:r w:rsidRPr="00A8007F">
        <w:rPr>
          <w:noProof/>
        </w:rPr>
        <w:t>100</w:t>
      </w:r>
      <w:r w:rsidRPr="00A8007F">
        <w:rPr>
          <w:rFonts w:ascii="Calibri" w:hAnsi="Calibri" w:cs="Calibri"/>
          <w:noProof/>
        </w:rPr>
        <w:t> </w:t>
      </w:r>
      <w:r w:rsidRPr="00A8007F">
        <w:rPr>
          <w:noProof/>
        </w:rPr>
        <w:t>million), Montenegro (EUR</w:t>
      </w:r>
      <w:r w:rsidRPr="00A8007F">
        <w:rPr>
          <w:rFonts w:ascii="Calibri" w:hAnsi="Calibri" w:cs="Calibri"/>
          <w:noProof/>
        </w:rPr>
        <w:t> </w:t>
      </w:r>
      <w:r w:rsidRPr="00A8007F">
        <w:rPr>
          <w:noProof/>
        </w:rPr>
        <w:t>60</w:t>
      </w:r>
      <w:r w:rsidRPr="00A8007F">
        <w:rPr>
          <w:rFonts w:ascii="Calibri" w:hAnsi="Calibri" w:cs="Calibri"/>
          <w:noProof/>
        </w:rPr>
        <w:t> </w:t>
      </w:r>
      <w:r w:rsidRPr="00A8007F">
        <w:rPr>
          <w:noProof/>
        </w:rPr>
        <w:t>million), North Macedonia (EUR</w:t>
      </w:r>
      <w:r w:rsidRPr="00A8007F">
        <w:rPr>
          <w:rFonts w:ascii="Calibri" w:hAnsi="Calibri" w:cs="Calibri"/>
          <w:noProof/>
        </w:rPr>
        <w:t> </w:t>
      </w:r>
      <w:r w:rsidRPr="00A8007F">
        <w:rPr>
          <w:noProof/>
        </w:rPr>
        <w:t>160</w:t>
      </w:r>
      <w:r w:rsidRPr="00A8007F">
        <w:rPr>
          <w:rFonts w:ascii="Calibri" w:hAnsi="Calibri" w:cs="Calibri"/>
          <w:noProof/>
        </w:rPr>
        <w:t> </w:t>
      </w:r>
      <w:r w:rsidRPr="00A8007F">
        <w:rPr>
          <w:noProof/>
        </w:rPr>
        <w:t xml:space="preserve">million) </w:t>
      </w:r>
      <w:bookmarkEnd w:id="270"/>
      <w:r w:rsidRPr="00A8007F">
        <w:rPr>
          <w:noProof/>
        </w:rPr>
        <w:t>and Ukraine (EUR</w:t>
      </w:r>
      <w:r w:rsidRPr="00A8007F">
        <w:rPr>
          <w:rFonts w:ascii="Calibri" w:hAnsi="Calibri" w:cs="Calibri"/>
          <w:noProof/>
        </w:rPr>
        <w:t> </w:t>
      </w:r>
      <w:r w:rsidRPr="00A8007F">
        <w:rPr>
          <w:noProof/>
        </w:rPr>
        <w:t>1</w:t>
      </w:r>
      <w:r w:rsidRPr="00A8007F">
        <w:rPr>
          <w:rFonts w:ascii="Calibri" w:hAnsi="Calibri" w:cs="Calibri"/>
          <w:noProof/>
        </w:rPr>
        <w:t> </w:t>
      </w:r>
      <w:r w:rsidRPr="00A8007F">
        <w:rPr>
          <w:noProof/>
        </w:rPr>
        <w:t>200</w:t>
      </w:r>
      <w:r w:rsidRPr="00A8007F">
        <w:rPr>
          <w:rFonts w:ascii="Calibri" w:hAnsi="Calibri" w:cs="Calibri"/>
          <w:noProof/>
        </w:rPr>
        <w:t> </w:t>
      </w:r>
      <w:r w:rsidRPr="00A8007F">
        <w:rPr>
          <w:noProof/>
        </w:rPr>
        <w:t>million).</w:t>
      </w:r>
    </w:p>
    <w:p w14:paraId="60981786" w14:textId="4766700B" w:rsidR="00D07F66" w:rsidRPr="001F400D" w:rsidRDefault="00D07F66" w:rsidP="00D07F66">
      <w:pPr>
        <w:pStyle w:val="ppoListHyphened-L1"/>
        <w:jc w:val="both"/>
        <w:rPr>
          <w:noProof/>
        </w:rPr>
      </w:pPr>
      <w:r w:rsidRPr="001F400D">
        <w:rPr>
          <w:noProof/>
        </w:rPr>
        <w:t xml:space="preserve">The MFA operation to Georgia </w:t>
      </w:r>
      <w:r>
        <w:rPr>
          <w:noProof/>
        </w:rPr>
        <w:t>h</w:t>
      </w:r>
      <w:r w:rsidRPr="001F400D">
        <w:rPr>
          <w:noProof/>
        </w:rPr>
        <w:t xml:space="preserve">as only partially </w:t>
      </w:r>
      <w:r>
        <w:rPr>
          <w:noProof/>
        </w:rPr>
        <w:t xml:space="preserve">been </w:t>
      </w:r>
      <w:r w:rsidRPr="001F400D">
        <w:rPr>
          <w:noProof/>
        </w:rPr>
        <w:t>completed. The first disbursement of EUR</w:t>
      </w:r>
      <w:r>
        <w:rPr>
          <w:rFonts w:ascii="Calibri" w:hAnsi="Calibri" w:cs="Calibri"/>
          <w:noProof/>
        </w:rPr>
        <w:t> </w:t>
      </w:r>
      <w:r w:rsidRPr="001F400D">
        <w:rPr>
          <w:noProof/>
        </w:rPr>
        <w:t>75</w:t>
      </w:r>
      <w:r>
        <w:rPr>
          <w:rFonts w:ascii="Calibri" w:hAnsi="Calibri" w:cs="Calibri"/>
          <w:noProof/>
        </w:rPr>
        <w:t> </w:t>
      </w:r>
      <w:r w:rsidRPr="001F400D">
        <w:rPr>
          <w:noProof/>
        </w:rPr>
        <w:t>million took place in November 2020. The second instalment was cancelled in view of the non-fulfilment of an important policy condition related to the judicial system.</w:t>
      </w:r>
    </w:p>
    <w:p w14:paraId="45CB4D0A" w14:textId="17F35B8A" w:rsidR="00D07F66" w:rsidRPr="001F400D" w:rsidRDefault="00D07F66" w:rsidP="00D07F66">
      <w:pPr>
        <w:pStyle w:val="ppoListHyphened-L1"/>
        <w:jc w:val="both"/>
        <w:rPr>
          <w:noProof/>
        </w:rPr>
      </w:pPr>
      <w:r w:rsidRPr="001F400D">
        <w:rPr>
          <w:noProof/>
        </w:rPr>
        <w:t>The two remaining programmes for Bosnia and Herzegovina (EUR</w:t>
      </w:r>
      <w:r>
        <w:rPr>
          <w:rFonts w:ascii="Calibri" w:hAnsi="Calibri" w:cs="Calibri"/>
          <w:noProof/>
        </w:rPr>
        <w:t> </w:t>
      </w:r>
      <w:r w:rsidRPr="001F400D">
        <w:rPr>
          <w:noProof/>
        </w:rPr>
        <w:t>250</w:t>
      </w:r>
      <w:r>
        <w:rPr>
          <w:rFonts w:ascii="Calibri" w:hAnsi="Calibri" w:cs="Calibri"/>
          <w:noProof/>
        </w:rPr>
        <w:t> </w:t>
      </w:r>
      <w:r w:rsidRPr="001F400D">
        <w:rPr>
          <w:noProof/>
        </w:rPr>
        <w:t>million in total) and Tunisia (EUR</w:t>
      </w:r>
      <w:r>
        <w:rPr>
          <w:rFonts w:ascii="Calibri" w:hAnsi="Calibri" w:cs="Calibri"/>
          <w:noProof/>
        </w:rPr>
        <w:t> </w:t>
      </w:r>
      <w:r w:rsidRPr="001F400D">
        <w:rPr>
          <w:noProof/>
        </w:rPr>
        <w:t>600</w:t>
      </w:r>
      <w:r>
        <w:rPr>
          <w:rFonts w:ascii="Calibri" w:hAnsi="Calibri" w:cs="Calibri"/>
          <w:noProof/>
        </w:rPr>
        <w:t> </w:t>
      </w:r>
      <w:r w:rsidRPr="001F400D">
        <w:rPr>
          <w:noProof/>
        </w:rPr>
        <w:t>million in total) have already received the</w:t>
      </w:r>
      <w:r>
        <w:rPr>
          <w:noProof/>
        </w:rPr>
        <w:t>ir</w:t>
      </w:r>
      <w:r w:rsidRPr="001F400D">
        <w:rPr>
          <w:noProof/>
        </w:rPr>
        <w:t xml:space="preserve"> first disbursements.</w:t>
      </w:r>
    </w:p>
    <w:p w14:paraId="23575EE9" w14:textId="313EA0C0" w:rsidR="00D07F66" w:rsidRPr="001F400D" w:rsidRDefault="00D07F66" w:rsidP="00D07F66">
      <w:pPr>
        <w:pStyle w:val="ppoListHyphened-L1"/>
        <w:jc w:val="both"/>
        <w:rPr>
          <w:noProof/>
        </w:rPr>
      </w:pPr>
      <w:bookmarkStart w:id="271" w:name="_Hlk100571567"/>
      <w:r w:rsidRPr="001F400D">
        <w:rPr>
          <w:noProof/>
        </w:rPr>
        <w:t xml:space="preserve">Besides the financial assistance </w:t>
      </w:r>
      <w:r>
        <w:rPr>
          <w:noProof/>
        </w:rPr>
        <w:t>provided for</w:t>
      </w:r>
      <w:r w:rsidRPr="001F400D">
        <w:rPr>
          <w:noProof/>
        </w:rPr>
        <w:t xml:space="preserve"> in </w:t>
      </w:r>
      <w:r>
        <w:rPr>
          <w:noProof/>
        </w:rPr>
        <w:t xml:space="preserve">the </w:t>
      </w:r>
      <w:r w:rsidRPr="001F400D">
        <w:rPr>
          <w:noProof/>
        </w:rPr>
        <w:t>context of the COVID-19 pandemic, the implementation of a third regular MFA programme for Jordan (EUR</w:t>
      </w:r>
      <w:r>
        <w:rPr>
          <w:rFonts w:ascii="Calibri" w:hAnsi="Calibri" w:cs="Calibri"/>
          <w:noProof/>
        </w:rPr>
        <w:t> </w:t>
      </w:r>
      <w:r w:rsidRPr="001F400D">
        <w:rPr>
          <w:noProof/>
        </w:rPr>
        <w:t>500</w:t>
      </w:r>
      <w:r>
        <w:rPr>
          <w:rFonts w:ascii="Calibri" w:hAnsi="Calibri" w:cs="Calibri"/>
          <w:noProof/>
        </w:rPr>
        <w:t> </w:t>
      </w:r>
      <w:r w:rsidRPr="001F400D">
        <w:rPr>
          <w:noProof/>
        </w:rPr>
        <w:t>million in total) was also taken forward, with the release of the second tranche on 20</w:t>
      </w:r>
      <w:r>
        <w:rPr>
          <w:rFonts w:ascii="Calibri" w:hAnsi="Calibri" w:cs="Calibri"/>
          <w:noProof/>
        </w:rPr>
        <w:t> </w:t>
      </w:r>
      <w:r w:rsidRPr="001F400D">
        <w:rPr>
          <w:noProof/>
        </w:rPr>
        <w:t>July 2021.</w:t>
      </w:r>
      <w:bookmarkEnd w:id="271"/>
    </w:p>
    <w:p w14:paraId="69E0E829" w14:textId="77777777" w:rsidR="00D07F66" w:rsidRPr="001F400D" w:rsidRDefault="00D07F66" w:rsidP="00D07F66">
      <w:pPr>
        <w:pStyle w:val="ppoListHyphened-L1"/>
        <w:jc w:val="both"/>
        <w:rPr>
          <w:noProof/>
        </w:rPr>
      </w:pPr>
      <w:r w:rsidRPr="001F400D">
        <w:rPr>
          <w:noProof/>
        </w:rPr>
        <w:t>The evaluations carried out so far have concluded that MFA operations do contribute, albeit sometimes modestly and indirectly, to improving external sustainability and macroeconomic stability and achieving structural reforms through conditionality in the recipient country.</w:t>
      </w:r>
    </w:p>
    <w:p w14:paraId="74374CBA" w14:textId="77777777" w:rsidR="00D07F66" w:rsidRPr="001F400D" w:rsidRDefault="00D07F66" w:rsidP="00D07F66">
      <w:pPr>
        <w:pStyle w:val="ppoListHyphened-L1"/>
        <w:jc w:val="both"/>
        <w:rPr>
          <w:noProof/>
        </w:rPr>
      </w:pPr>
      <w:r w:rsidRPr="001F400D">
        <w:rPr>
          <w:noProof/>
        </w:rPr>
        <w:t>In most cases, MFA operations had a positive effect on the balance of payments of the beneficiary country, and contributed to relaxing their budgetary constraints. They also helped maintain or regain market access and led to slightly higher economic growth.</w:t>
      </w:r>
    </w:p>
    <w:p w14:paraId="088761A0" w14:textId="77777777" w:rsidR="00D07F66" w:rsidRPr="001F400D" w:rsidRDefault="00D07F66" w:rsidP="00D07F66">
      <w:pPr>
        <w:pStyle w:val="ppoListHyphened-L1"/>
        <w:jc w:val="both"/>
        <w:rPr>
          <w:noProof/>
        </w:rPr>
      </w:pPr>
      <w:r w:rsidRPr="001F400D">
        <w:rPr>
          <w:noProof/>
        </w:rPr>
        <w:t>An important attribute of the EU’s MFA versus alternative sources of financing is its highly concessional terms, i.e. relatively low interest rates, long maturity and a long grace period. This generates fiscal space and contributes to public debt sustainability in the beneficiary countries.</w:t>
      </w:r>
    </w:p>
    <w:p w14:paraId="4CB8F9E3" w14:textId="77777777" w:rsidR="00D07F66" w:rsidRPr="001F400D" w:rsidRDefault="00D07F66" w:rsidP="00D07F66">
      <w:pPr>
        <w:pStyle w:val="ppoListHyphened-L1"/>
        <w:jc w:val="both"/>
        <w:rPr>
          <w:noProof/>
        </w:rPr>
      </w:pPr>
      <w:r w:rsidRPr="001F400D">
        <w:rPr>
          <w:noProof/>
        </w:rPr>
        <w:t xml:space="preserve">The </w:t>
      </w:r>
      <w:r w:rsidRPr="00304A2B">
        <w:rPr>
          <w:i/>
          <w:iCs/>
          <w:noProof/>
        </w:rPr>
        <w:t>ex post</w:t>
      </w:r>
      <w:r w:rsidRPr="001F400D">
        <w:rPr>
          <w:noProof/>
        </w:rPr>
        <w:t xml:space="preserve"> evaluations also confirm that previous MFA programmes were implemented efficiently, and were well coordinated with other EU programmes and with the programmes of other donors (notably the International Monetary Fund and the World Bank). MFA policy conditionality is separate from International Monetary Fund conditionality, but is complementary and/or reinforcing.</w:t>
      </w:r>
    </w:p>
    <w:p w14:paraId="6F574D3B" w14:textId="77777777" w:rsidR="00D07F66" w:rsidRPr="001F400D" w:rsidRDefault="00D07F66" w:rsidP="00D07F66">
      <w:pPr>
        <w:pStyle w:val="ppoListHyphened-L1"/>
        <w:jc w:val="both"/>
        <w:rPr>
          <w:noProof/>
        </w:rPr>
      </w:pPr>
      <w:r w:rsidRPr="001F400D">
        <w:rPr>
          <w:noProof/>
        </w:rPr>
        <w:t>However, given its specificities, MFA cannot be linked directly to identifiable outputs, and its concrete achievements are therefore difficult to assess, as effects on macroeconomic variables over time cannot solely be attributed to MFA operations.</w:t>
      </w:r>
    </w:p>
    <w:p w14:paraId="033AD37D" w14:textId="6D109447" w:rsidR="00D07F66" w:rsidRPr="001F400D" w:rsidRDefault="00D07F66" w:rsidP="00D07F66">
      <w:pPr>
        <w:pStyle w:val="ppoListHyphened-L1"/>
        <w:jc w:val="both"/>
        <w:rPr>
          <w:noProof/>
        </w:rPr>
      </w:pPr>
      <w:r w:rsidRPr="001F400D">
        <w:rPr>
          <w:noProof/>
        </w:rPr>
        <w:t>MFA disbursements are sometimes delayed compared to initial expectations. External factors that might impact programme timelines include: the beneficiary country not fulfilling the political preconditions; the International Monetary Fund programme being off track or having expired; the slow implementation of agreed reforms; and changes of government resulting in shifting policy priorities.</w:t>
      </w:r>
    </w:p>
    <w:p w14:paraId="02D00A0D" w14:textId="74CF824E" w:rsidR="00D07F66" w:rsidRPr="001F400D" w:rsidRDefault="00D07F66" w:rsidP="00D07F66">
      <w:pPr>
        <w:pStyle w:val="ppoListHyphened-L1"/>
        <w:jc w:val="both"/>
        <w:rPr>
          <w:noProof/>
        </w:rPr>
      </w:pPr>
      <w:r w:rsidRPr="001F400D">
        <w:rPr>
          <w:noProof/>
        </w:rPr>
        <w:t>The COVID-19 pandemic has severely challenged the already</w:t>
      </w:r>
      <w:r>
        <w:rPr>
          <w:noProof/>
        </w:rPr>
        <w:t xml:space="preserve"> </w:t>
      </w:r>
      <w:r w:rsidRPr="001F400D">
        <w:rPr>
          <w:noProof/>
        </w:rPr>
        <w:t xml:space="preserve">struggling economies of partners in the southern and eastern neighbourhoods that benefit from MFA. As a consequence, some of the </w:t>
      </w:r>
      <w:r w:rsidR="0002620F" w:rsidRPr="001F400D">
        <w:rPr>
          <w:noProof/>
        </w:rPr>
        <w:t>macroeconomic indicators from these countries (e.g. external debt for Jordan and Tunisia)</w:t>
      </w:r>
      <w:r w:rsidR="0002620F">
        <w:rPr>
          <w:noProof/>
        </w:rPr>
        <w:t xml:space="preserve"> deteriorated in 2020 but most of</w:t>
      </w:r>
      <w:r w:rsidR="0002620F" w:rsidRPr="001F400D">
        <w:rPr>
          <w:noProof/>
        </w:rPr>
        <w:t xml:space="preserve"> </w:t>
      </w:r>
      <w:r w:rsidR="0002620F" w:rsidRPr="00353FA6">
        <w:rPr>
          <w:noProof/>
        </w:rPr>
        <w:t>the enlargement and neighbourhood economies recovered in</w:t>
      </w:r>
      <w:r w:rsidR="0002620F">
        <w:rPr>
          <w:noProof/>
        </w:rPr>
        <w:t xml:space="preserve"> the course of</w:t>
      </w:r>
      <w:r w:rsidR="0002620F" w:rsidRPr="00353FA6">
        <w:rPr>
          <w:noProof/>
        </w:rPr>
        <w:t xml:space="preserve"> 2021</w:t>
      </w:r>
      <w:r w:rsidRPr="001F400D">
        <w:rPr>
          <w:noProof/>
        </w:rPr>
        <w:t>.</w:t>
      </w:r>
    </w:p>
    <w:p w14:paraId="021E4B94" w14:textId="1B434A3A" w:rsidR="00D07F66" w:rsidRPr="001F400D" w:rsidRDefault="00D07F66" w:rsidP="00D07F66">
      <w:pPr>
        <w:pStyle w:val="ppoListHyphened-L1"/>
        <w:jc w:val="both"/>
        <w:rPr>
          <w:noProof/>
        </w:rPr>
      </w:pPr>
      <w:r w:rsidRPr="001F400D">
        <w:rPr>
          <w:noProof/>
        </w:rPr>
        <w:t>The most common shortcomings noted in the evaluations are the operation’s lack of visibility and, in some cases, the lengthy legislative approval process for a crisis instrument. The experience with the COVID-19 MFA package and the new emergency MFA to Ukraine shows that the current set</w:t>
      </w:r>
      <w:r>
        <w:rPr>
          <w:noProof/>
        </w:rPr>
        <w:t>-</w:t>
      </w:r>
      <w:r w:rsidRPr="001F400D">
        <w:rPr>
          <w:noProof/>
        </w:rPr>
        <w:t xml:space="preserve">up of MFA can allow for the flexibility necessary for a swift adoption. The Commission worked with the Parliament and the Council to agree on the use of existing urgency procedures </w:t>
      </w:r>
      <w:r>
        <w:rPr>
          <w:noProof/>
        </w:rPr>
        <w:t xml:space="preserve">that </w:t>
      </w:r>
      <w:r w:rsidRPr="001F400D">
        <w:rPr>
          <w:noProof/>
        </w:rPr>
        <w:t xml:space="preserve">allowed the assistance to be adopted within </w:t>
      </w:r>
      <w:r>
        <w:rPr>
          <w:noProof/>
        </w:rPr>
        <w:t>1</w:t>
      </w:r>
      <w:r>
        <w:rPr>
          <w:rFonts w:ascii="Calibri" w:hAnsi="Calibri" w:cs="Calibri"/>
          <w:noProof/>
        </w:rPr>
        <w:t> </w:t>
      </w:r>
      <w:r w:rsidRPr="001F400D">
        <w:rPr>
          <w:noProof/>
        </w:rPr>
        <w:t>month of the Commission’s proposal.</w:t>
      </w:r>
    </w:p>
    <w:p w14:paraId="1FCBFD77" w14:textId="77777777" w:rsidR="0067184C" w:rsidRDefault="0067184C" w:rsidP="005348AD">
      <w:pPr>
        <w:pStyle w:val="ppoListHyphened-L1"/>
        <w:numPr>
          <w:ilvl w:val="0"/>
          <w:numId w:val="0"/>
        </w:numPr>
        <w:ind w:left="357" w:hanging="357"/>
        <w:rPr>
          <w:b/>
          <w:noProof/>
        </w:rPr>
        <w:sectPr w:rsidR="0067184C" w:rsidSect="0083214A">
          <w:headerReference w:type="even" r:id="rId597"/>
          <w:headerReference w:type="default" r:id="rId598"/>
          <w:footerReference w:type="even" r:id="rId599"/>
          <w:footerReference w:type="default" r:id="rId600"/>
          <w:headerReference w:type="first" r:id="rId601"/>
          <w:footerReference w:type="first" r:id="rId602"/>
          <w:type w:val="continuous"/>
          <w:pgSz w:w="11906" w:h="16838" w:code="9"/>
          <w:pgMar w:top="1134" w:right="1134" w:bottom="964" w:left="1134" w:header="431" w:footer="431" w:gutter="0"/>
          <w:cols w:space="720"/>
          <w:titlePg/>
          <w:docGrid w:linePitch="360"/>
        </w:sectPr>
      </w:pPr>
    </w:p>
    <w:p w14:paraId="2EFE2D18" w14:textId="77777777" w:rsidR="0067184C" w:rsidRDefault="0067184C" w:rsidP="0067184C">
      <w:pPr>
        <w:pStyle w:val="StyleppoHeading3WhiteLeft0cm"/>
        <w:rPr>
          <w:noProof/>
          <w:sz w:val="40"/>
          <w:szCs w:val="40"/>
        </w:rPr>
      </w:pPr>
      <w:bookmarkStart w:id="272" w:name="_Int_YwhQ80O9"/>
    </w:p>
    <w:p w14:paraId="6814C94F" w14:textId="77777777" w:rsidR="0067184C" w:rsidRPr="00055AC0" w:rsidRDefault="0067184C" w:rsidP="0067184C">
      <w:pPr>
        <w:pStyle w:val="StyleppoHeading3WhiteLeft0cm"/>
        <w:rPr>
          <w:noProof/>
          <w:sz w:val="60"/>
          <w:szCs w:val="60"/>
        </w:rPr>
      </w:pPr>
      <w:bookmarkStart w:id="273" w:name="_Toc102086373"/>
      <w:r w:rsidRPr="00055AC0">
        <w:rPr>
          <w:noProof/>
          <w:sz w:val="60"/>
          <w:szCs w:val="60"/>
        </w:rPr>
        <w:t>IPA III</w:t>
      </w:r>
      <w:bookmarkEnd w:id="272"/>
      <w:bookmarkEnd w:id="273"/>
    </w:p>
    <w:p w14:paraId="007BC281" w14:textId="77777777" w:rsidR="0067184C" w:rsidRPr="00040D99" w:rsidRDefault="0067184C" w:rsidP="0067184C">
      <w:pPr>
        <w:pStyle w:val="StyleppoProgrammenameWhiteLeft01cm"/>
        <w:rPr>
          <w:noProof/>
        </w:rPr>
      </w:pPr>
      <w:r>
        <w:rPr>
          <w:noProof/>
        </w:rPr>
        <w:t>INSTRUMENT FOR PRE-ACCESSION ASSISTANCE</w:t>
      </w:r>
    </w:p>
    <w:p w14:paraId="26E18A6F" w14:textId="77777777" w:rsidR="0067184C" w:rsidRPr="00351CB7" w:rsidRDefault="0067184C" w:rsidP="0067184C">
      <w:pPr>
        <w:pStyle w:val="ppoHeading4Red"/>
        <w:rPr>
          <w:noProof/>
        </w:rPr>
      </w:pPr>
      <w:r w:rsidRPr="00351CB7">
        <w:rPr>
          <w:noProof/>
        </w:rPr>
        <w:t>Programme in a nutshell</w:t>
      </w:r>
    </w:p>
    <w:p w14:paraId="35888750" w14:textId="77777777" w:rsidR="0067184C" w:rsidRPr="00040D99" w:rsidRDefault="0067184C" w:rsidP="0067184C">
      <w:pPr>
        <w:spacing w:after="480"/>
        <w:rPr>
          <w:rFonts w:eastAsiaTheme="minorEastAsia"/>
          <w:noProof/>
          <w:color w:val="FFFFFF" w:themeColor="background1"/>
          <w:sz w:val="32"/>
        </w:rPr>
        <w:sectPr w:rsidR="0067184C" w:rsidRPr="00040D99" w:rsidSect="0083214A">
          <w:headerReference w:type="even" r:id="rId603"/>
          <w:headerReference w:type="default" r:id="rId604"/>
          <w:footerReference w:type="even" r:id="rId605"/>
          <w:footerReference w:type="default" r:id="rId606"/>
          <w:headerReference w:type="first" r:id="rId607"/>
          <w:footerReference w:type="first" r:id="rId608"/>
          <w:pgSz w:w="11906" w:h="16838" w:code="9"/>
          <w:pgMar w:top="1134" w:right="1134" w:bottom="964" w:left="1134" w:header="431" w:footer="431" w:gutter="0"/>
          <w:cols w:space="720"/>
          <w:docGrid w:linePitch="360"/>
        </w:sectPr>
      </w:pPr>
    </w:p>
    <w:p w14:paraId="51BBD5E0" w14:textId="77777777" w:rsidR="0067184C" w:rsidRPr="00040D99" w:rsidRDefault="0067184C" w:rsidP="0067184C">
      <w:pPr>
        <w:pStyle w:val="ppoHeading5"/>
        <w:rPr>
          <w:noProof/>
        </w:rPr>
      </w:pPr>
      <w:r>
        <w:rPr>
          <w:noProof/>
        </w:rPr>
        <w:t>Concrete examples of achievements</w:t>
      </w:r>
      <w:r w:rsidRPr="67DC3EDF">
        <w:rPr>
          <w:rFonts w:ascii="Calibri" w:hAnsi="Calibri" w:cs="Calibri"/>
          <w:noProof/>
        </w:rPr>
        <w:t> </w:t>
      </w:r>
      <w:r>
        <w:rPr>
          <w:noProof/>
        </w:rPr>
        <w:t>(*)</w:t>
      </w:r>
    </w:p>
    <w:tbl>
      <w:tblPr>
        <w:tblStyle w:val="PPO2021"/>
        <w:tblW w:w="9639" w:type="dxa"/>
        <w:tblInd w:w="0" w:type="dxa"/>
        <w:tblLook w:val="0200" w:firstRow="0" w:lastRow="0" w:firstColumn="0" w:lastColumn="0" w:noHBand="1" w:noVBand="0"/>
      </w:tblPr>
      <w:tblGrid>
        <w:gridCol w:w="2410"/>
        <w:gridCol w:w="2409"/>
        <w:gridCol w:w="2410"/>
        <w:gridCol w:w="2410"/>
      </w:tblGrid>
      <w:tr w:rsidR="0067184C" w:rsidRPr="00040D99" w14:paraId="070A8B11" w14:textId="77777777" w:rsidTr="00377734">
        <w:tc>
          <w:tcPr>
            <w:tcW w:w="2410" w:type="dxa"/>
            <w:tcBorders>
              <w:bottom w:val="single" w:sz="4" w:space="0" w:color="8C8C8C"/>
            </w:tcBorders>
          </w:tcPr>
          <w:p w14:paraId="2E08D163" w14:textId="77777777" w:rsidR="0067184C" w:rsidRPr="0076270C" w:rsidRDefault="0067184C" w:rsidP="0083214A">
            <w:pPr>
              <w:pStyle w:val="ppoTableacheivementvalue"/>
              <w:rPr>
                <w:noProof/>
              </w:rPr>
            </w:pPr>
            <w:r>
              <w:rPr>
                <w:noProof/>
              </w:rPr>
              <w:t>5</w:t>
            </w:r>
            <w:r w:rsidRPr="67DC3EDF">
              <w:rPr>
                <w:rFonts w:ascii="Calibri" w:hAnsi="Calibri" w:cs="Calibri"/>
                <w:noProof/>
              </w:rPr>
              <w:t> </w:t>
            </w:r>
            <w:r>
              <w:rPr>
                <w:noProof/>
              </w:rPr>
              <w:t>500</w:t>
            </w:r>
            <w:r w:rsidRPr="67DC3EDF">
              <w:rPr>
                <w:rFonts w:ascii="Calibri" w:hAnsi="Calibri" w:cs="Calibri"/>
                <w:noProof/>
              </w:rPr>
              <w:t> </w:t>
            </w:r>
            <w:r>
              <w:rPr>
                <w:noProof/>
              </w:rPr>
              <w:t>000</w:t>
            </w:r>
          </w:p>
          <w:p w14:paraId="235582BB" w14:textId="77777777" w:rsidR="0067184C" w:rsidRPr="0076270C" w:rsidRDefault="0067184C" w:rsidP="00377734">
            <w:pPr>
              <w:jc w:val="left"/>
              <w:rPr>
                <w:noProof/>
              </w:rPr>
            </w:pPr>
            <w:r>
              <w:rPr>
                <w:noProof/>
              </w:rPr>
              <w:t>vaccination doses were provided to refugee infants in Turkey by the end of 2021 under the Facility for Refugees in Turkey.</w:t>
            </w:r>
          </w:p>
        </w:tc>
        <w:tc>
          <w:tcPr>
            <w:cnfStyle w:val="000001000000" w:firstRow="0" w:lastRow="0" w:firstColumn="0" w:lastColumn="0" w:oddVBand="0" w:evenVBand="1" w:oddHBand="0" w:evenHBand="0" w:firstRowFirstColumn="0" w:firstRowLastColumn="0" w:lastRowFirstColumn="0" w:lastRowLastColumn="0"/>
            <w:tcW w:w="2409" w:type="dxa"/>
          </w:tcPr>
          <w:p w14:paraId="22850984" w14:textId="77777777" w:rsidR="0067184C" w:rsidRPr="0076270C" w:rsidRDefault="0067184C" w:rsidP="0083214A">
            <w:pPr>
              <w:pStyle w:val="ppoTableacheivementvalue"/>
              <w:rPr>
                <w:noProof/>
              </w:rPr>
            </w:pPr>
            <w:r>
              <w:rPr>
                <w:noProof/>
              </w:rPr>
              <w:t>8</w:t>
            </w:r>
            <w:r w:rsidRPr="67DC3EDF">
              <w:rPr>
                <w:rFonts w:ascii="Calibri" w:hAnsi="Calibri" w:cs="Calibri"/>
                <w:noProof/>
              </w:rPr>
              <w:t> </w:t>
            </w:r>
            <w:r>
              <w:rPr>
                <w:noProof/>
              </w:rPr>
              <w:t>826</w:t>
            </w:r>
          </w:p>
          <w:p w14:paraId="64CACEAA" w14:textId="77777777" w:rsidR="0067184C" w:rsidRPr="0076270C" w:rsidRDefault="0067184C" w:rsidP="00377734">
            <w:pPr>
              <w:jc w:val="left"/>
              <w:rPr>
                <w:noProof/>
              </w:rPr>
            </w:pPr>
            <w:r>
              <w:rPr>
                <w:noProof/>
              </w:rPr>
              <w:t>housing units were built under the regional housing programme by the end of 2021.</w:t>
            </w:r>
          </w:p>
        </w:tc>
        <w:tc>
          <w:tcPr>
            <w:tcW w:w="2410" w:type="dxa"/>
            <w:tcBorders>
              <w:bottom w:val="single" w:sz="4" w:space="0" w:color="8C8C8C"/>
            </w:tcBorders>
          </w:tcPr>
          <w:p w14:paraId="5367350F" w14:textId="77777777" w:rsidR="0067184C" w:rsidRPr="0076270C" w:rsidRDefault="0067184C" w:rsidP="0083214A">
            <w:pPr>
              <w:pStyle w:val="ppoTableacheivementvalue"/>
              <w:cnfStyle w:val="000000000000" w:firstRow="0" w:lastRow="0" w:firstColumn="0" w:lastColumn="0" w:oddVBand="0" w:evenVBand="0" w:oddHBand="0" w:evenHBand="0" w:firstRowFirstColumn="0" w:firstRowLastColumn="0" w:lastRowFirstColumn="0" w:lastRowLastColumn="0"/>
              <w:rPr>
                <w:noProof/>
              </w:rPr>
            </w:pPr>
            <w:r>
              <w:rPr>
                <w:noProof/>
              </w:rPr>
              <w:t>100</w:t>
            </w:r>
            <w:r w:rsidRPr="67DC3EDF">
              <w:rPr>
                <w:rFonts w:ascii="Calibri" w:hAnsi="Calibri" w:cs="Calibri"/>
                <w:noProof/>
              </w:rPr>
              <w:t> </w:t>
            </w:r>
            <w:r>
              <w:rPr>
                <w:noProof/>
              </w:rPr>
              <w:t>000</w:t>
            </w:r>
          </w:p>
          <w:p w14:paraId="396B7078" w14:textId="77777777" w:rsidR="0067184C" w:rsidRPr="0076270C" w:rsidRDefault="0067184C" w:rsidP="00377734">
            <w:pPr>
              <w:jc w:val="left"/>
              <w:cnfStyle w:val="000000000000" w:firstRow="0" w:lastRow="0" w:firstColumn="0" w:lastColumn="0" w:oddVBand="0" w:evenVBand="0" w:oddHBand="0" w:evenHBand="0" w:firstRowFirstColumn="0" w:firstRowLastColumn="0" w:lastRowFirstColumn="0" w:lastRowLastColumn="0"/>
              <w:rPr>
                <w:noProof/>
              </w:rPr>
            </w:pPr>
            <w:r>
              <w:rPr>
                <w:noProof/>
              </w:rPr>
              <w:t>students, researchers, staff and others participated in the Erasmus+ activities involving Western Balkans partners in 2014-2020.</w:t>
            </w:r>
          </w:p>
        </w:tc>
        <w:tc>
          <w:tcPr>
            <w:cnfStyle w:val="000001000000" w:firstRow="0" w:lastRow="0" w:firstColumn="0" w:lastColumn="0" w:oddVBand="0" w:evenVBand="1" w:oddHBand="0" w:evenHBand="0" w:firstRowFirstColumn="0" w:firstRowLastColumn="0" w:lastRowFirstColumn="0" w:lastRowLastColumn="0"/>
            <w:tcW w:w="2410" w:type="dxa"/>
          </w:tcPr>
          <w:p w14:paraId="69C67446" w14:textId="77777777" w:rsidR="0067184C" w:rsidRPr="0076270C" w:rsidRDefault="0067184C" w:rsidP="0083214A">
            <w:pPr>
              <w:pStyle w:val="ppoTableacheivementvalue"/>
              <w:rPr>
                <w:noProof/>
              </w:rPr>
            </w:pPr>
            <w:r>
              <w:rPr>
                <w:noProof/>
              </w:rPr>
              <w:t>75</w:t>
            </w:r>
          </w:p>
          <w:p w14:paraId="7D67829C" w14:textId="77777777" w:rsidR="0067184C" w:rsidRPr="0076270C" w:rsidRDefault="0067184C" w:rsidP="00377734">
            <w:pPr>
              <w:jc w:val="left"/>
              <w:rPr>
                <w:noProof/>
              </w:rPr>
            </w:pPr>
            <w:bookmarkStart w:id="274" w:name="_Hlk101886527"/>
            <w:r>
              <w:rPr>
                <w:noProof/>
              </w:rPr>
              <w:t>monitoring stations were established in Montenegro in 2019-2020 with the support of the fund, in order to monitor water and underground water levels, quantity and quality in line with the EU water framework directive.</w:t>
            </w:r>
            <w:bookmarkEnd w:id="274"/>
          </w:p>
        </w:tc>
      </w:tr>
      <w:tr w:rsidR="0067184C" w:rsidRPr="00040D99" w14:paraId="0F097BB0" w14:textId="77777777" w:rsidTr="00377734">
        <w:tc>
          <w:tcPr>
            <w:tcW w:w="2410" w:type="dxa"/>
            <w:tcBorders>
              <w:bottom w:val="single" w:sz="4" w:space="0" w:color="8C8C8C"/>
            </w:tcBorders>
          </w:tcPr>
          <w:p w14:paraId="3A85D056" w14:textId="77777777" w:rsidR="0067184C" w:rsidRPr="0076270C" w:rsidRDefault="0067184C" w:rsidP="0083214A">
            <w:pPr>
              <w:pStyle w:val="ppoTableacheivementvalue"/>
              <w:rPr>
                <w:noProof/>
              </w:rPr>
            </w:pPr>
            <w:r>
              <w:rPr>
                <w:noProof/>
              </w:rPr>
              <w:t>75</w:t>
            </w:r>
            <w:r w:rsidRPr="67DC3EDF">
              <w:rPr>
                <w:rFonts w:ascii="Calibri" w:hAnsi="Calibri" w:cs="Calibri"/>
                <w:noProof/>
              </w:rPr>
              <w:t> </w:t>
            </w:r>
            <w:r>
              <w:rPr>
                <w:noProof/>
              </w:rPr>
              <w:t>000</w:t>
            </w:r>
          </w:p>
          <w:p w14:paraId="3A963FD2" w14:textId="77777777" w:rsidR="0067184C" w:rsidRPr="0076270C" w:rsidRDefault="0067184C" w:rsidP="00377734">
            <w:pPr>
              <w:jc w:val="left"/>
              <w:rPr>
                <w:noProof/>
              </w:rPr>
            </w:pPr>
            <w:r>
              <w:rPr>
                <w:noProof/>
              </w:rPr>
              <w:t>people in Kosovo</w:t>
            </w:r>
            <w:r w:rsidRPr="67DC3EDF">
              <w:rPr>
                <w:rFonts w:ascii="Calibri" w:hAnsi="Calibri" w:cs="Calibri"/>
                <w:noProof/>
              </w:rPr>
              <w:t xml:space="preserve"> (**) </w:t>
            </w:r>
            <w:r>
              <w:rPr>
                <w:noProof/>
              </w:rPr>
              <w:t>were connected to district heating in Pristina and Gjakova in 2014-2020, reducing air pollution and increasing energy efficiency.</w:t>
            </w:r>
          </w:p>
        </w:tc>
        <w:tc>
          <w:tcPr>
            <w:cnfStyle w:val="000001000000" w:firstRow="0" w:lastRow="0" w:firstColumn="0" w:lastColumn="0" w:oddVBand="0" w:evenVBand="1" w:oddHBand="0" w:evenHBand="0" w:firstRowFirstColumn="0" w:firstRowLastColumn="0" w:lastRowFirstColumn="0" w:lastRowLastColumn="0"/>
            <w:tcW w:w="2409" w:type="dxa"/>
            <w:shd w:val="clear" w:color="auto" w:fill="F2F2F2"/>
          </w:tcPr>
          <w:p w14:paraId="311B2731" w14:textId="77777777" w:rsidR="0067184C" w:rsidRPr="0076270C" w:rsidRDefault="0067184C" w:rsidP="0083214A">
            <w:pPr>
              <w:pStyle w:val="ppoTableacheivementvalue"/>
              <w:rPr>
                <w:noProof/>
              </w:rPr>
            </w:pPr>
            <w:r>
              <w:rPr>
                <w:noProof/>
              </w:rPr>
              <w:t>400</w:t>
            </w:r>
          </w:p>
          <w:p w14:paraId="79BB5CB6" w14:textId="77777777" w:rsidR="0067184C" w:rsidRPr="0076270C" w:rsidRDefault="0067184C" w:rsidP="00377734">
            <w:pPr>
              <w:jc w:val="left"/>
              <w:rPr>
                <w:noProof/>
              </w:rPr>
            </w:pPr>
            <w:r>
              <w:rPr>
                <w:noProof/>
              </w:rPr>
              <w:t>organisations working on preventing and tackling violence against women in the Western Balkans and Turkey received regional support under the Civil Society Facility in 2014-2020.</w:t>
            </w:r>
          </w:p>
        </w:tc>
        <w:tc>
          <w:tcPr>
            <w:tcW w:w="2410" w:type="dxa"/>
            <w:tcBorders>
              <w:bottom w:val="single" w:sz="4" w:space="0" w:color="8C8C8C"/>
            </w:tcBorders>
            <w:shd w:val="clear" w:color="auto" w:fill="FFFFFF" w:themeFill="background1"/>
          </w:tcPr>
          <w:p w14:paraId="23E0B11F" w14:textId="77777777" w:rsidR="0067184C" w:rsidRPr="0076270C" w:rsidRDefault="0067184C" w:rsidP="0083214A">
            <w:pPr>
              <w:pStyle w:val="ppoTableacheivementvalue"/>
              <w:cnfStyle w:val="000000000000" w:firstRow="0" w:lastRow="0" w:firstColumn="0" w:lastColumn="0" w:oddVBand="0" w:evenVBand="0" w:oddHBand="0" w:evenHBand="0" w:firstRowFirstColumn="0" w:firstRowLastColumn="0" w:lastRowFirstColumn="0" w:lastRowLastColumn="0"/>
              <w:rPr>
                <w:noProof/>
              </w:rPr>
            </w:pPr>
            <w:r>
              <w:rPr>
                <w:noProof/>
              </w:rPr>
              <w:t>7</w:t>
            </w:r>
            <w:r w:rsidRPr="67DC3EDF">
              <w:rPr>
                <w:rFonts w:ascii="Calibri" w:hAnsi="Calibri" w:cs="Calibri"/>
                <w:noProof/>
              </w:rPr>
              <w:t> </w:t>
            </w:r>
            <w:r>
              <w:rPr>
                <w:noProof/>
              </w:rPr>
              <w:t>800</w:t>
            </w:r>
          </w:p>
          <w:p w14:paraId="7DF7C79A" w14:textId="77777777" w:rsidR="0067184C" w:rsidRPr="0076270C" w:rsidRDefault="0067184C" w:rsidP="00377734">
            <w:pPr>
              <w:jc w:val="left"/>
              <w:cnfStyle w:val="000000000000" w:firstRow="0" w:lastRow="0" w:firstColumn="0" w:lastColumn="0" w:oddVBand="0" w:evenVBand="0" w:oddHBand="0" w:evenHBand="0" w:firstRowFirstColumn="0" w:firstRowLastColumn="0" w:lastRowFirstColumn="0" w:lastRowLastColumn="0"/>
              <w:rPr>
                <w:noProof/>
              </w:rPr>
            </w:pPr>
            <w:r>
              <w:rPr>
                <w:noProof/>
              </w:rPr>
              <w:t>young people benefited from support under the youth guarantee scheme in North Macedonia in 2014-2021.</w:t>
            </w:r>
          </w:p>
        </w:tc>
        <w:tc>
          <w:tcPr>
            <w:cnfStyle w:val="000001000000" w:firstRow="0" w:lastRow="0" w:firstColumn="0" w:lastColumn="0" w:oddVBand="0" w:evenVBand="1" w:oddHBand="0" w:evenHBand="0" w:firstRowFirstColumn="0" w:firstRowLastColumn="0" w:lastRowFirstColumn="0" w:lastRowLastColumn="0"/>
            <w:tcW w:w="2410" w:type="dxa"/>
            <w:shd w:val="clear" w:color="auto" w:fill="F2F2F2"/>
          </w:tcPr>
          <w:p w14:paraId="25B15AE1" w14:textId="77777777" w:rsidR="0067184C" w:rsidRPr="0076270C" w:rsidRDefault="0067184C" w:rsidP="0083214A">
            <w:pPr>
              <w:pStyle w:val="ppoTableacheivementvalue"/>
              <w:rPr>
                <w:noProof/>
              </w:rPr>
            </w:pPr>
            <w:r>
              <w:rPr>
                <w:noProof/>
              </w:rPr>
              <w:t>12</w:t>
            </w:r>
            <w:r w:rsidRPr="67DC3EDF">
              <w:rPr>
                <w:rFonts w:ascii="Calibri" w:hAnsi="Calibri" w:cs="Calibri"/>
                <w:noProof/>
              </w:rPr>
              <w:t> </w:t>
            </w:r>
            <w:r>
              <w:rPr>
                <w:noProof/>
              </w:rPr>
              <w:t>000</w:t>
            </w:r>
          </w:p>
          <w:p w14:paraId="1FF82E00" w14:textId="77777777" w:rsidR="0067184C" w:rsidRPr="0076270C" w:rsidRDefault="0067184C" w:rsidP="00377734">
            <w:pPr>
              <w:jc w:val="left"/>
              <w:rPr>
                <w:noProof/>
              </w:rPr>
            </w:pPr>
            <w:r>
              <w:rPr>
                <w:noProof/>
              </w:rPr>
              <w:t>educational facilities in Turkey were upgraded by 2021 under the Facility for Refugees in Turkey.</w:t>
            </w:r>
          </w:p>
        </w:tc>
      </w:tr>
    </w:tbl>
    <w:p w14:paraId="79DABF90" w14:textId="77777777" w:rsidR="0067184C" w:rsidRDefault="0067184C" w:rsidP="0067184C">
      <w:pPr>
        <w:pStyle w:val="FootnoteText"/>
        <w:rPr>
          <w:rFonts w:eastAsiaTheme="minorEastAsia"/>
          <w:noProof/>
          <w:lang w:val="en-IE"/>
        </w:rPr>
      </w:pPr>
      <w:r w:rsidRPr="67DC3EDF">
        <w:rPr>
          <w:rFonts w:eastAsiaTheme="minorEastAsia"/>
          <w:noProof/>
          <w:lang w:val="en-IE"/>
        </w:rPr>
        <w:t>(*)</w:t>
      </w:r>
      <w:r>
        <w:rPr>
          <w:noProof/>
        </w:rPr>
        <w:tab/>
      </w:r>
      <w:r w:rsidRPr="67DC3EDF">
        <w:rPr>
          <w:rFonts w:eastAsiaTheme="minorEastAsia"/>
          <w:noProof/>
          <w:lang w:val="en-IE"/>
        </w:rPr>
        <w:t>Key achievements in the table state which period they relate to. Many come from the implementation of the predecessor programmes under the 2014-2020 multiannual financial framework. This is expected and is due to the multiannual life cycle of EU programmes and the projects they finance, where results often follow only after completion of the programmes.</w:t>
      </w:r>
    </w:p>
    <w:p w14:paraId="57F3F318" w14:textId="77777777" w:rsidR="0067184C" w:rsidRPr="00045449" w:rsidRDefault="0067184C" w:rsidP="0067184C">
      <w:pPr>
        <w:pStyle w:val="FootnoteText"/>
        <w:rPr>
          <w:rFonts w:eastAsiaTheme="minorEastAsia"/>
          <w:noProof/>
          <w:lang w:val="en-IE"/>
        </w:rPr>
      </w:pPr>
      <w:r w:rsidRPr="67DC3EDF">
        <w:rPr>
          <w:rFonts w:eastAsiaTheme="minorEastAsia"/>
          <w:noProof/>
          <w:lang w:val="en-IE"/>
        </w:rPr>
        <w:t>(**)</w:t>
      </w:r>
      <w:r>
        <w:rPr>
          <w:noProof/>
        </w:rPr>
        <w:tab/>
      </w:r>
      <w:r w:rsidRPr="67DC3EDF">
        <w:rPr>
          <w:rFonts w:eastAsiaTheme="minorEastAsia"/>
          <w:noProof/>
          <w:lang w:val="en-IE"/>
        </w:rPr>
        <w:t>This designation is without prejudice to positions on status, and is in line with UNSCR</w:t>
      </w:r>
      <w:r w:rsidRPr="67DC3EDF">
        <w:rPr>
          <w:rFonts w:ascii="Calibri" w:eastAsiaTheme="minorEastAsia" w:hAnsi="Calibri" w:cs="Calibri"/>
          <w:noProof/>
          <w:lang w:val="en-IE"/>
        </w:rPr>
        <w:t> </w:t>
      </w:r>
      <w:r w:rsidRPr="67DC3EDF">
        <w:rPr>
          <w:rFonts w:eastAsiaTheme="minorEastAsia"/>
          <w:noProof/>
          <w:lang w:val="en-IE"/>
        </w:rPr>
        <w:t>1244/1999 and the ICJ Opinion on the Kosovo declaration of independence.</w:t>
      </w:r>
    </w:p>
    <w:p w14:paraId="44C1BC41" w14:textId="77777777" w:rsidR="0067184C" w:rsidRDefault="0067184C" w:rsidP="0067184C">
      <w:pPr>
        <w:pStyle w:val="ppoHeading5"/>
        <w:rPr>
          <w:noProof/>
        </w:rPr>
      </w:pPr>
      <w:r w:rsidRPr="00040D99">
        <w:rPr>
          <w:noProof/>
        </w:rPr>
        <w:t xml:space="preserve">Budget </w:t>
      </w:r>
      <w:r>
        <w:rPr>
          <w:noProof/>
        </w:rPr>
        <w:t xml:space="preserve">for </w:t>
      </w:r>
      <w:r w:rsidRPr="00040D99">
        <w:rPr>
          <w:noProof/>
        </w:rPr>
        <w:t>2021-2027</w:t>
      </w:r>
    </w:p>
    <w:p w14:paraId="575FEFF7" w14:textId="77777777" w:rsidR="0067184C" w:rsidRPr="00045449" w:rsidRDefault="0067184C" w:rsidP="0067184C">
      <w:pPr>
        <w:pStyle w:val="ppoTableTabletitle"/>
        <w:ind w:left="284"/>
        <w:rPr>
          <w:noProof/>
          <w:lang w:val="en-IE"/>
        </w:rPr>
      </w:pPr>
      <w:r w:rsidRPr="00045449">
        <w:rPr>
          <w:noProof/>
          <w:lang w:val="en-IE"/>
        </w:rPr>
        <w:t>(million EUR)</w:t>
      </w:r>
    </w:p>
    <w:tbl>
      <w:tblPr>
        <w:tblStyle w:val="PlainTable2"/>
        <w:tblW w:w="0" w:type="auto"/>
        <w:tblInd w:w="288" w:type="dxa"/>
        <w:tblLook w:val="04A0" w:firstRow="1" w:lastRow="0" w:firstColumn="1" w:lastColumn="0" w:noHBand="0" w:noVBand="1"/>
      </w:tblPr>
      <w:tblGrid>
        <w:gridCol w:w="4788"/>
        <w:gridCol w:w="2610"/>
      </w:tblGrid>
      <w:tr w:rsidR="0067184C" w:rsidRPr="00214876" w14:paraId="658D2B05" w14:textId="77777777" w:rsidTr="0083214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1685B538" w14:textId="77777777" w:rsidR="0067184C" w:rsidRPr="00214876" w:rsidRDefault="0067184C" w:rsidP="0083214A">
            <w:pPr>
              <w:spacing w:before="120" w:after="120"/>
              <w:rPr>
                <w:noProof/>
              </w:rPr>
            </w:pPr>
            <w:r w:rsidRPr="00214876">
              <w:rPr>
                <w:rFonts w:cs="Calibri"/>
                <w:noProof/>
                <w:color w:val="000000"/>
              </w:rPr>
              <w:t>Financial programming</w:t>
            </w:r>
          </w:p>
        </w:tc>
        <w:tc>
          <w:tcPr>
            <w:tcW w:w="2610" w:type="dxa"/>
            <w:shd w:val="clear" w:color="auto" w:fill="auto"/>
            <w:vAlign w:val="bottom"/>
          </w:tcPr>
          <w:p w14:paraId="2285DAB2" w14:textId="77777777" w:rsidR="0067184C" w:rsidRDefault="0067184C" w:rsidP="0083214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color w:val="000000"/>
              </w:rPr>
            </w:pPr>
            <w:r>
              <w:rPr>
                <w:rFonts w:ascii="Calibri" w:hAnsi="Calibri" w:cs="Calibri"/>
                <w:noProof/>
                <w:color w:val="000000"/>
              </w:rPr>
              <w:t>14 748.7</w:t>
            </w:r>
          </w:p>
          <w:p w14:paraId="04239EBB" w14:textId="628C2303" w:rsidR="0067184C" w:rsidRPr="00214876" w:rsidRDefault="0067184C" w:rsidP="0083214A">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noProof/>
              </w:rPr>
            </w:pPr>
          </w:p>
        </w:tc>
      </w:tr>
      <w:tr w:rsidR="0067184C" w:rsidRPr="00214876" w14:paraId="61387014"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73B85CC5" w14:textId="77777777" w:rsidR="0067184C" w:rsidRPr="00214876" w:rsidRDefault="0067184C" w:rsidP="0083214A">
            <w:pPr>
              <w:spacing w:before="120" w:after="120"/>
              <w:rPr>
                <w:b w:val="0"/>
                <w:noProof/>
              </w:rPr>
            </w:pPr>
            <w:r w:rsidRPr="00214876">
              <w:rPr>
                <w:rFonts w:cs="Calibri"/>
                <w:noProof/>
                <w:color w:val="000000"/>
              </w:rPr>
              <w:t>NextGenerationEU</w:t>
            </w:r>
          </w:p>
        </w:tc>
        <w:tc>
          <w:tcPr>
            <w:tcW w:w="2610" w:type="dxa"/>
            <w:vAlign w:val="bottom"/>
          </w:tcPr>
          <w:p w14:paraId="02CBD85F" w14:textId="77777777" w:rsidR="0067184C" w:rsidRPr="00214876" w:rsidRDefault="0067184C"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Pr>
                <w:rFonts w:cs="Calibri"/>
                <w:noProof/>
                <w:color w:val="000000"/>
              </w:rPr>
              <w:t>0</w:t>
            </w:r>
          </w:p>
        </w:tc>
      </w:tr>
      <w:tr w:rsidR="0067184C" w:rsidRPr="00214876" w14:paraId="46B039BD"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4D30989E" w14:textId="77777777" w:rsidR="0067184C" w:rsidRPr="00214876" w:rsidRDefault="0067184C" w:rsidP="0083214A">
            <w:pPr>
              <w:spacing w:before="120" w:after="120"/>
              <w:rPr>
                <w:b w:val="0"/>
                <w:bCs w:val="0"/>
                <w:noProof/>
              </w:rPr>
            </w:pPr>
            <w:r>
              <w:rPr>
                <w:noProof/>
              </w:rPr>
              <w:t>Decommitments made available again</w:t>
            </w:r>
            <w:r w:rsidRPr="67DC3EDF">
              <w:rPr>
                <w:rFonts w:ascii="Calibri" w:hAnsi="Calibri" w:cs="Calibri"/>
                <w:noProof/>
              </w:rPr>
              <w:t> (</w:t>
            </w:r>
            <w:r>
              <w:rPr>
                <w:noProof/>
              </w:rPr>
              <w:t>*)</w:t>
            </w:r>
          </w:p>
        </w:tc>
        <w:tc>
          <w:tcPr>
            <w:tcW w:w="2610" w:type="dxa"/>
            <w:vAlign w:val="bottom"/>
          </w:tcPr>
          <w:p w14:paraId="5C5BBEB6" w14:textId="35281D68" w:rsidR="0067184C" w:rsidRPr="00214876" w:rsidRDefault="0067184C" w:rsidP="0083214A">
            <w:pPr>
              <w:spacing w:before="120" w:after="120"/>
              <w:jc w:val="center"/>
              <w:cnfStyle w:val="000000000000" w:firstRow="0" w:lastRow="0" w:firstColumn="0" w:lastColumn="0" w:oddVBand="0" w:evenVBand="0" w:oddHBand="0" w:evenHBand="0" w:firstRowFirstColumn="0" w:firstRowLastColumn="0" w:lastRowFirstColumn="0" w:lastRowLastColumn="0"/>
              <w:rPr>
                <w:noProof/>
              </w:rPr>
            </w:pPr>
            <w:r>
              <w:rPr>
                <w:rFonts w:cs="Calibri"/>
                <w:noProof/>
                <w:color w:val="000000"/>
              </w:rPr>
              <w:t>N/A</w:t>
            </w:r>
          </w:p>
        </w:tc>
      </w:tr>
      <w:tr w:rsidR="0067184C" w:rsidRPr="00214876" w14:paraId="00E716FF"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71A3D788" w14:textId="77777777" w:rsidR="0067184C" w:rsidRPr="00214876" w:rsidRDefault="0067184C" w:rsidP="0083214A">
            <w:pPr>
              <w:spacing w:before="120" w:after="120"/>
              <w:rPr>
                <w:noProof/>
              </w:rPr>
            </w:pPr>
            <w:r w:rsidRPr="00214876">
              <w:rPr>
                <w:rFonts w:cs="Calibri"/>
                <w:noProof/>
                <w:color w:val="000000"/>
              </w:rPr>
              <w:t>Contributions from other countries and entities</w:t>
            </w:r>
          </w:p>
        </w:tc>
        <w:tc>
          <w:tcPr>
            <w:tcW w:w="2610" w:type="dxa"/>
            <w:vAlign w:val="bottom"/>
          </w:tcPr>
          <w:p w14:paraId="35906E60" w14:textId="77777777" w:rsidR="0067184C" w:rsidRPr="00214876" w:rsidRDefault="0067184C"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Pr>
                <w:rFonts w:cs="Calibri"/>
                <w:noProof/>
                <w:color w:val="000000"/>
              </w:rPr>
              <w:t>31.3</w:t>
            </w:r>
          </w:p>
        </w:tc>
      </w:tr>
      <w:tr w:rsidR="0067184C" w:rsidRPr="00214876" w14:paraId="304EE250"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CFCFC" w:themeFill="background2" w:themeFillTint="33"/>
            <w:vAlign w:val="bottom"/>
          </w:tcPr>
          <w:p w14:paraId="3C69D801" w14:textId="77777777" w:rsidR="0067184C" w:rsidRDefault="0067184C" w:rsidP="0083214A">
            <w:pPr>
              <w:spacing w:before="120" w:after="120"/>
              <w:rPr>
                <w:rFonts w:cs="Calibri"/>
                <w:b w:val="0"/>
                <w:bCs w:val="0"/>
                <w:noProof/>
                <w:color w:val="000000"/>
              </w:rPr>
            </w:pPr>
          </w:p>
          <w:p w14:paraId="43906E03" w14:textId="77777777" w:rsidR="0067184C" w:rsidRPr="00214876" w:rsidRDefault="0067184C" w:rsidP="0083214A">
            <w:pPr>
              <w:spacing w:before="120" w:after="120"/>
              <w:rPr>
                <w:noProof/>
              </w:rPr>
            </w:pPr>
            <w:r w:rsidRPr="67DC3EDF">
              <w:rPr>
                <w:rFonts w:cs="Calibri"/>
                <w:noProof/>
                <w:color w:val="000000"/>
              </w:rPr>
              <w:t>Total budget for 2021-2027</w:t>
            </w:r>
          </w:p>
        </w:tc>
        <w:tc>
          <w:tcPr>
            <w:tcW w:w="2610" w:type="dxa"/>
            <w:shd w:val="clear" w:color="auto" w:fill="FCFCFC" w:themeFill="background2" w:themeFillTint="33"/>
            <w:vAlign w:val="bottom"/>
          </w:tcPr>
          <w:p w14:paraId="16D9519E" w14:textId="77777777" w:rsidR="0067184C" w:rsidRDefault="0067184C" w:rsidP="00832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noProof/>
                <w:color w:val="000000"/>
              </w:rPr>
            </w:pPr>
            <w:r>
              <w:rPr>
                <w:rFonts w:ascii="Calibri" w:hAnsi="Calibri" w:cs="Calibri"/>
                <w:b/>
                <w:bCs/>
                <w:noProof/>
                <w:color w:val="000000"/>
              </w:rPr>
              <w:t>14 780.0</w:t>
            </w:r>
          </w:p>
          <w:p w14:paraId="2A1CDCC9" w14:textId="698BC430" w:rsidR="0067184C" w:rsidRPr="00214876" w:rsidRDefault="0067184C" w:rsidP="0083214A">
            <w:pPr>
              <w:spacing w:before="120" w:after="120"/>
              <w:jc w:val="center"/>
              <w:cnfStyle w:val="000000000000" w:firstRow="0" w:lastRow="0" w:firstColumn="0" w:lastColumn="0" w:oddVBand="0" w:evenVBand="0" w:oddHBand="0" w:evenHBand="0" w:firstRowFirstColumn="0" w:firstRowLastColumn="0" w:lastRowFirstColumn="0" w:lastRowLastColumn="0"/>
              <w:rPr>
                <w:b/>
                <w:bCs/>
                <w:noProof/>
              </w:rPr>
            </w:pPr>
          </w:p>
        </w:tc>
      </w:tr>
    </w:tbl>
    <w:p w14:paraId="5D4CE1FD" w14:textId="77777777" w:rsidR="0067184C" w:rsidRPr="002A4508" w:rsidRDefault="0067184C" w:rsidP="0067184C">
      <w:pPr>
        <w:tabs>
          <w:tab w:val="left" w:pos="6793"/>
        </w:tabs>
        <w:rPr>
          <w:noProof/>
          <w:sz w:val="18"/>
          <w:szCs w:val="18"/>
          <w:lang w:val="en-IE"/>
        </w:rPr>
      </w:pPr>
      <w:r>
        <w:rPr>
          <w:noProof/>
          <w:sz w:val="18"/>
          <w:szCs w:val="18"/>
          <w:lang w:val="en-IE"/>
        </w:rPr>
        <w:t>(</w:t>
      </w:r>
      <w:r w:rsidRPr="002A4508">
        <w:rPr>
          <w:noProof/>
          <w:sz w:val="18"/>
          <w:szCs w:val="18"/>
          <w:lang w:val="en-IE"/>
        </w:rPr>
        <w:t>*</w:t>
      </w:r>
      <w:r>
        <w:rPr>
          <w:noProof/>
          <w:sz w:val="18"/>
          <w:szCs w:val="18"/>
          <w:lang w:val="en-IE"/>
        </w:rPr>
        <w:t>)</w:t>
      </w:r>
      <w:r w:rsidRPr="002A4508">
        <w:rPr>
          <w:noProof/>
          <w:sz w:val="18"/>
          <w:szCs w:val="18"/>
          <w:lang w:val="en-IE"/>
        </w:rPr>
        <w:t xml:space="preserve"> Only Article</w:t>
      </w:r>
      <w:r w:rsidRPr="002A4508">
        <w:rPr>
          <w:rFonts w:ascii="Calibri" w:hAnsi="Calibri" w:cs="Calibri"/>
          <w:noProof/>
          <w:sz w:val="18"/>
          <w:szCs w:val="18"/>
          <w:lang w:val="en-IE"/>
        </w:rPr>
        <w:t> </w:t>
      </w:r>
      <w:r w:rsidRPr="002A4508">
        <w:rPr>
          <w:noProof/>
          <w:sz w:val="18"/>
          <w:szCs w:val="18"/>
          <w:lang w:val="en-IE"/>
        </w:rPr>
        <w:t xml:space="preserve">15(3) of the financial </w:t>
      </w:r>
      <w:r w:rsidRPr="00045449">
        <w:rPr>
          <w:noProof/>
          <w:sz w:val="18"/>
          <w:szCs w:val="18"/>
          <w:lang w:val="en-IE"/>
        </w:rPr>
        <w:t>r</w:t>
      </w:r>
      <w:r w:rsidRPr="002A4508">
        <w:rPr>
          <w:noProof/>
          <w:sz w:val="18"/>
          <w:szCs w:val="18"/>
          <w:lang w:val="en-IE"/>
        </w:rPr>
        <w:t>egulation</w:t>
      </w:r>
      <w:r w:rsidRPr="00045449">
        <w:rPr>
          <w:noProof/>
          <w:sz w:val="18"/>
          <w:szCs w:val="18"/>
          <w:lang w:val="en-IE"/>
        </w:rPr>
        <w:t>.</w:t>
      </w:r>
    </w:p>
    <w:p w14:paraId="69869953" w14:textId="77777777" w:rsidR="0067184C" w:rsidRPr="00040D99" w:rsidRDefault="0067184C" w:rsidP="0067184C">
      <w:pPr>
        <w:pStyle w:val="ppoHeading5"/>
        <w:rPr>
          <w:noProof/>
        </w:rPr>
      </w:pPr>
      <w:r w:rsidRPr="00040D99">
        <w:rPr>
          <w:noProof/>
        </w:rPr>
        <w:t>Rationale and design of the programme</w:t>
      </w:r>
    </w:p>
    <w:p w14:paraId="6BB4ED00" w14:textId="77777777" w:rsidR="0067184C" w:rsidRPr="00040D99" w:rsidRDefault="0067184C" w:rsidP="0067184C">
      <w:pPr>
        <w:rPr>
          <w:rFonts w:eastAsiaTheme="minorEastAsia"/>
          <w:noProof/>
        </w:rPr>
      </w:pPr>
      <w:r w:rsidRPr="00202A45">
        <w:rPr>
          <w:rFonts w:eastAsiaTheme="minorEastAsia"/>
          <w:noProof/>
        </w:rPr>
        <w:t>The Instrument for Pre-accession Assistance (IPA) is the means by which the EU has been supporting reforms in the enlargement region with financial and technical assistance since 2007.</w:t>
      </w:r>
    </w:p>
    <w:p w14:paraId="16F50FC4" w14:textId="77777777" w:rsidR="0067184C" w:rsidRPr="00B45608" w:rsidRDefault="0067184C" w:rsidP="0067184C">
      <w:pPr>
        <w:pStyle w:val="ppoListHyphened-L1"/>
        <w:numPr>
          <w:ilvl w:val="0"/>
          <w:numId w:val="0"/>
        </w:numPr>
        <w:ind w:left="357"/>
        <w:jc w:val="both"/>
        <w:rPr>
          <w:rFonts w:eastAsiaTheme="majorEastAsia" w:cstheme="majorBidi"/>
          <w:caps/>
          <w:noProof/>
          <w:sz w:val="32"/>
          <w:szCs w:val="24"/>
          <w:lang w:eastAsia="en-GB"/>
        </w:rPr>
      </w:pPr>
      <w:r w:rsidRPr="00B45608">
        <w:rPr>
          <w:rFonts w:eastAsiaTheme="majorEastAsia" w:cstheme="majorBidi"/>
          <w:caps/>
          <w:noProof/>
          <w:sz w:val="32"/>
          <w:szCs w:val="24"/>
          <w:lang w:eastAsia="en-GB"/>
        </w:rPr>
        <w:t>Challenge</w:t>
      </w:r>
    </w:p>
    <w:p w14:paraId="526A81EF" w14:textId="77777777" w:rsidR="0067184C" w:rsidRDefault="0067184C" w:rsidP="0067184C">
      <w:pPr>
        <w:rPr>
          <w:noProof/>
        </w:rPr>
      </w:pPr>
      <w:r w:rsidRPr="00AD474B">
        <w:rPr>
          <w:noProof/>
        </w:rPr>
        <w:t>For candidate countries and potential candidates, the path towards accession to the EU is a process of gradual and steady convergence with membership criteria and the values and principles of the European Union. This requires ambitious political and economic reforms.</w:t>
      </w:r>
    </w:p>
    <w:p w14:paraId="5B077C59" w14:textId="77777777" w:rsidR="0067184C" w:rsidRDefault="0067184C" w:rsidP="0067184C">
      <w:pPr>
        <w:rPr>
          <w:noProof/>
        </w:rPr>
      </w:pPr>
      <w:r>
        <w:rPr>
          <w:noProof/>
        </w:rPr>
        <w:t xml:space="preserve">Ensuring progress on the fundamentals (rule of law, fundamental rights, functioning democratic institutions and a market economy) remains a key challenge that IPA will continue to pursue. </w:t>
      </w:r>
      <w:r w:rsidRPr="005F2F26">
        <w:rPr>
          <w:noProof/>
        </w:rPr>
        <w:t>Address</w:t>
      </w:r>
      <w:r>
        <w:rPr>
          <w:noProof/>
        </w:rPr>
        <w:t>ing</w:t>
      </w:r>
      <w:r w:rsidRPr="005F2F26">
        <w:rPr>
          <w:noProof/>
        </w:rPr>
        <w:t xml:space="preserve"> the socio-economic divide between t</w:t>
      </w:r>
      <w:r>
        <w:rPr>
          <w:noProof/>
        </w:rPr>
        <w:t xml:space="preserve">he IPA beneficiaries and the EU, </w:t>
      </w:r>
      <w:r w:rsidRPr="00E2563E">
        <w:rPr>
          <w:noProof/>
        </w:rPr>
        <w:t xml:space="preserve">linked to </w:t>
      </w:r>
      <w:r>
        <w:rPr>
          <w:noProof/>
        </w:rPr>
        <w:t xml:space="preserve">their </w:t>
      </w:r>
      <w:r w:rsidRPr="00E2563E">
        <w:rPr>
          <w:noProof/>
        </w:rPr>
        <w:t>weak competitiveness, high unemployment and significant brain drain</w:t>
      </w:r>
      <w:r>
        <w:rPr>
          <w:rFonts w:ascii="Calibri" w:hAnsi="Calibri" w:cs="Calibri"/>
          <w:noProof/>
        </w:rPr>
        <w:t> </w:t>
      </w:r>
      <w:r>
        <w:rPr>
          <w:noProof/>
        </w:rPr>
        <w:t>–</w:t>
      </w:r>
      <w:r w:rsidRPr="00E2563E">
        <w:rPr>
          <w:noProof/>
        </w:rPr>
        <w:t xml:space="preserve"> all challenges </w:t>
      </w:r>
      <w:r>
        <w:rPr>
          <w:noProof/>
        </w:rPr>
        <w:t xml:space="preserve">that are </w:t>
      </w:r>
      <w:r w:rsidRPr="00E2563E">
        <w:rPr>
          <w:noProof/>
        </w:rPr>
        <w:t>compounded by the COVID</w:t>
      </w:r>
      <w:r>
        <w:rPr>
          <w:noProof/>
        </w:rPr>
        <w:noBreakHyphen/>
      </w:r>
      <w:r w:rsidRPr="00E2563E">
        <w:rPr>
          <w:noProof/>
        </w:rPr>
        <w:t>19 pandemic</w:t>
      </w:r>
      <w:r>
        <w:rPr>
          <w:rFonts w:ascii="Calibri" w:hAnsi="Calibri" w:cs="Calibri"/>
          <w:noProof/>
        </w:rPr>
        <w:t> </w:t>
      </w:r>
      <w:r>
        <w:rPr>
          <w:noProof/>
        </w:rPr>
        <w:t xml:space="preserve">– </w:t>
      </w:r>
      <w:r w:rsidRPr="000D2849">
        <w:rPr>
          <w:noProof/>
        </w:rPr>
        <w:t>will be of utmost importance</w:t>
      </w:r>
      <w:r>
        <w:rPr>
          <w:noProof/>
        </w:rPr>
        <w:t>. R</w:t>
      </w:r>
      <w:r w:rsidRPr="0073575E">
        <w:rPr>
          <w:noProof/>
        </w:rPr>
        <w:t>egional cooperation, good neighbourly relations and reconciliation</w:t>
      </w:r>
      <w:r>
        <w:rPr>
          <w:noProof/>
        </w:rPr>
        <w:t xml:space="preserve"> efforts to overcome open bilateral issues</w:t>
      </w:r>
      <w:r w:rsidRPr="0073575E">
        <w:rPr>
          <w:noProof/>
        </w:rPr>
        <w:t xml:space="preserve"> and the legacy of the past</w:t>
      </w:r>
      <w:r>
        <w:rPr>
          <w:noProof/>
        </w:rPr>
        <w:t xml:space="preserve"> will continue to be a priority. These challenges will have to be addressed in a wider context where transition to a sustainable, socially just, resilient and climate neutral economy needs to be achieved as a global imperative and where digital transformation will continue to shape economies and societies, including those of the IPA beneficiaries.</w:t>
      </w:r>
    </w:p>
    <w:p w14:paraId="493A49F5" w14:textId="1E7D4083" w:rsidR="0067184C" w:rsidRPr="00040D99" w:rsidRDefault="0067184C" w:rsidP="0067184C">
      <w:pPr>
        <w:rPr>
          <w:noProof/>
        </w:rPr>
      </w:pPr>
      <w:r w:rsidRPr="00AD474B">
        <w:rPr>
          <w:noProof/>
        </w:rPr>
        <w:t xml:space="preserve">In light of the evolution of bilateral relations, IPA III assistance will further strengthen the links between the political framework of our relations with Turkey. Hence, EU financial support will prioritise key areas, notably civil society, people to people contact, climate change and proper functioning of the Customs Union. </w:t>
      </w:r>
      <w:r>
        <w:rPr>
          <w:noProof/>
        </w:rPr>
        <w:t>In addition, following the European Council conclusions of June 2021, the Commission put forward a proposal for an additional EUR</w:t>
      </w:r>
      <w:r w:rsidRPr="67DC3EDF">
        <w:rPr>
          <w:rFonts w:ascii="Calibri" w:hAnsi="Calibri" w:cs="Calibri"/>
          <w:noProof/>
        </w:rPr>
        <w:t> </w:t>
      </w:r>
      <w:r>
        <w:rPr>
          <w:noProof/>
        </w:rPr>
        <w:t>3</w:t>
      </w:r>
      <w:r w:rsidR="0057144F">
        <w:rPr>
          <w:noProof/>
        </w:rPr>
        <w:t>.5</w:t>
      </w:r>
      <w:r w:rsidRPr="67DC3EDF">
        <w:rPr>
          <w:rFonts w:ascii="Calibri" w:hAnsi="Calibri" w:cs="Calibri"/>
          <w:noProof/>
        </w:rPr>
        <w:t> </w:t>
      </w:r>
      <w:r>
        <w:rPr>
          <w:noProof/>
        </w:rPr>
        <w:t>billion funded exclusively from the EU budget to continue providing support to refugees and host communities. Due to the protracted nature of the refugee crisis, the assistance will continue the shift from humanitarian to development aid, with the double objective of ensuring continuity of support while transitioning to the national structures.</w:t>
      </w:r>
    </w:p>
    <w:p w14:paraId="5C341DDC" w14:textId="77777777" w:rsidR="0067184C" w:rsidRPr="00040D99" w:rsidRDefault="0067184C" w:rsidP="0067184C">
      <w:pPr>
        <w:pStyle w:val="ppoHeading6"/>
        <w:jc w:val="both"/>
        <w:rPr>
          <w:noProof/>
        </w:rPr>
      </w:pPr>
      <w:r w:rsidRPr="00040D99">
        <w:rPr>
          <w:noProof/>
        </w:rPr>
        <w:t>Mission</w:t>
      </w:r>
    </w:p>
    <w:p w14:paraId="566A634D" w14:textId="77777777" w:rsidR="0067184C" w:rsidRPr="00040D99" w:rsidRDefault="0067184C" w:rsidP="0067184C">
      <w:pPr>
        <w:rPr>
          <w:noProof/>
        </w:rPr>
      </w:pPr>
      <w:r>
        <w:rPr>
          <w:noProof/>
        </w:rPr>
        <w:t>IPA</w:t>
      </w:r>
      <w:r w:rsidRPr="67DC3EDF">
        <w:rPr>
          <w:rFonts w:ascii="Calibri" w:hAnsi="Calibri" w:cs="Calibri"/>
          <w:noProof/>
        </w:rPr>
        <w:t> </w:t>
      </w:r>
      <w:r>
        <w:rPr>
          <w:noProof/>
        </w:rPr>
        <w:t>III will support beneficiaries in adopting and implementing the political, institutional, legal, administrative, social and economic reforms required to comply with EU values and to progressively align with EU rules, standards, policies and practices, with a view to future EU membership, thereby contributing to mutual stability, security, peace and prosperity.</w:t>
      </w:r>
    </w:p>
    <w:p w14:paraId="4A706DC5" w14:textId="77777777" w:rsidR="0067184C" w:rsidRPr="00040D99" w:rsidRDefault="0067184C" w:rsidP="0067184C">
      <w:pPr>
        <w:pStyle w:val="ppoHeading6"/>
        <w:jc w:val="both"/>
        <w:rPr>
          <w:noProof/>
        </w:rPr>
      </w:pPr>
      <w:r w:rsidRPr="00040D99">
        <w:rPr>
          <w:noProof/>
        </w:rPr>
        <w:t>Objectives</w:t>
      </w:r>
    </w:p>
    <w:p w14:paraId="562FEE84" w14:textId="77777777" w:rsidR="0067184C" w:rsidRDefault="0067184C" w:rsidP="0067184C">
      <w:pPr>
        <w:pStyle w:val="ppoListArabic1aiii-L1"/>
        <w:numPr>
          <w:ilvl w:val="0"/>
          <w:numId w:val="0"/>
        </w:numPr>
        <w:ind w:left="357" w:hanging="357"/>
        <w:jc w:val="both"/>
        <w:rPr>
          <w:noProof/>
        </w:rPr>
      </w:pPr>
      <w:r>
        <w:rPr>
          <w:noProof/>
        </w:rPr>
        <w:t>IPA</w:t>
      </w:r>
      <w:r w:rsidRPr="67DC3EDF">
        <w:rPr>
          <w:rFonts w:ascii="Calibri" w:hAnsi="Calibri" w:cs="Calibri"/>
          <w:noProof/>
        </w:rPr>
        <w:t> </w:t>
      </w:r>
      <w:r>
        <w:rPr>
          <w:noProof/>
        </w:rPr>
        <w:t>III has the following specific objectives:</w:t>
      </w:r>
    </w:p>
    <w:p w14:paraId="07DE1087" w14:textId="77777777" w:rsidR="0067184C" w:rsidRDefault="0067184C" w:rsidP="006F409B">
      <w:pPr>
        <w:pStyle w:val="ppoListArabic1aiii-L1"/>
        <w:numPr>
          <w:ilvl w:val="0"/>
          <w:numId w:val="134"/>
        </w:numPr>
        <w:jc w:val="both"/>
        <w:rPr>
          <w:noProof/>
        </w:rPr>
      </w:pPr>
      <w:bookmarkStart w:id="275" w:name="_Hlk101877219"/>
      <w:r>
        <w:rPr>
          <w:noProof/>
        </w:rPr>
        <w:t xml:space="preserve">to strengthen the rule of law, democracy, the respect of human rights and fundamental freedoms, including through the promotion of an independent judiciary, reinforced security and the fight against corruption and organised crime, compliance with international law, freedom of media, academic freedom and an enabling environment for civil society; </w:t>
      </w:r>
    </w:p>
    <w:p w14:paraId="6D2CC4F6" w14:textId="77777777" w:rsidR="0067184C" w:rsidRDefault="0067184C" w:rsidP="006F409B">
      <w:pPr>
        <w:pStyle w:val="ppoListArabic1aiii-L1"/>
        <w:numPr>
          <w:ilvl w:val="0"/>
          <w:numId w:val="134"/>
        </w:numPr>
        <w:jc w:val="both"/>
        <w:rPr>
          <w:noProof/>
        </w:rPr>
      </w:pPr>
      <w:r>
        <w:rPr>
          <w:noProof/>
        </w:rPr>
        <w:t>to promote non-discrimination and tolerance, ensure respect for the rights of persons belonging to minorities, promote gender equality and improve migration management, namely by managing borders, tackling irregular migration and addressing forced displacement;</w:t>
      </w:r>
    </w:p>
    <w:bookmarkEnd w:id="275"/>
    <w:p w14:paraId="698CFADD" w14:textId="77777777" w:rsidR="0067184C" w:rsidRDefault="0067184C" w:rsidP="006F409B">
      <w:pPr>
        <w:pStyle w:val="ppoListArabic1aiii-L1"/>
        <w:numPr>
          <w:ilvl w:val="0"/>
          <w:numId w:val="134"/>
        </w:numPr>
        <w:jc w:val="both"/>
        <w:rPr>
          <w:noProof/>
        </w:rPr>
      </w:pPr>
      <w:r>
        <w:rPr>
          <w:noProof/>
        </w:rPr>
        <w:t>to reinforce the effectiveness of public administration and to support transparency, structural reforms and good governance at all levels, including in the areas of public procurement and State aid;</w:t>
      </w:r>
    </w:p>
    <w:p w14:paraId="6080E6E5" w14:textId="6088693F" w:rsidR="0067184C" w:rsidRDefault="0067184C" w:rsidP="006F409B">
      <w:pPr>
        <w:pStyle w:val="ppoListArabic1aiii-L1"/>
        <w:numPr>
          <w:ilvl w:val="0"/>
          <w:numId w:val="134"/>
        </w:numPr>
        <w:jc w:val="both"/>
        <w:rPr>
          <w:noProof/>
        </w:rPr>
      </w:pPr>
      <w:r>
        <w:rPr>
          <w:noProof/>
        </w:rPr>
        <w:t>to shape the rules, standards, policies and practices of the IPA</w:t>
      </w:r>
      <w:r w:rsidRPr="67DC3EDF">
        <w:rPr>
          <w:rFonts w:ascii="Calibri" w:hAnsi="Calibri" w:cs="Calibri"/>
          <w:noProof/>
        </w:rPr>
        <w:t> </w:t>
      </w:r>
      <w:r>
        <w:rPr>
          <w:noProof/>
        </w:rPr>
        <w:t xml:space="preserve">III beneficiaries in alignment with those of the EU and to reinforce regional cooperation, reconciliation, good neighbourly relations and people-to-people contacts and </w:t>
      </w:r>
      <w:r w:rsidR="0057144F">
        <w:rPr>
          <w:noProof/>
        </w:rPr>
        <w:t xml:space="preserve">strategic </w:t>
      </w:r>
      <w:r>
        <w:rPr>
          <w:noProof/>
        </w:rPr>
        <w:t>communication;</w:t>
      </w:r>
    </w:p>
    <w:p w14:paraId="4C26CDA3" w14:textId="77777777" w:rsidR="0067184C" w:rsidRDefault="0067184C" w:rsidP="006F409B">
      <w:pPr>
        <w:pStyle w:val="ppoListArabic1aiii-L1"/>
        <w:numPr>
          <w:ilvl w:val="0"/>
          <w:numId w:val="134"/>
        </w:numPr>
        <w:jc w:val="both"/>
        <w:rPr>
          <w:noProof/>
        </w:rPr>
      </w:pPr>
      <w:r>
        <w:rPr>
          <w:noProof/>
        </w:rPr>
        <w:t>to strengthen economic and social development and cohesion, with particular attention to youth, including through quality education and employment policies, by supporting investment and private sector development, with a focus on small and medium-sized enterprises and on agriculture and rural development;</w:t>
      </w:r>
    </w:p>
    <w:p w14:paraId="07ABB604" w14:textId="77777777" w:rsidR="0067184C" w:rsidRDefault="0067184C" w:rsidP="006F409B">
      <w:pPr>
        <w:pStyle w:val="ppoListArabic1aiii-L1"/>
        <w:numPr>
          <w:ilvl w:val="0"/>
          <w:numId w:val="134"/>
        </w:numPr>
        <w:jc w:val="both"/>
        <w:rPr>
          <w:noProof/>
        </w:rPr>
      </w:pPr>
      <w:r>
        <w:rPr>
          <w:noProof/>
        </w:rPr>
        <w:t>to reinforce environmental protection, increase resilience to climate change, accelerate the shift towards a low-carbon economy, develop the digital economy and society and strengthen sustainable connectivity in all its dimensions;</w:t>
      </w:r>
    </w:p>
    <w:p w14:paraId="61727C16" w14:textId="77777777" w:rsidR="0067184C" w:rsidRPr="00B45608" w:rsidRDefault="0067184C" w:rsidP="006F409B">
      <w:pPr>
        <w:pStyle w:val="ppoListArabic1aiii-L1"/>
        <w:numPr>
          <w:ilvl w:val="0"/>
          <w:numId w:val="134"/>
        </w:numPr>
        <w:jc w:val="both"/>
        <w:rPr>
          <w:noProof/>
        </w:rPr>
      </w:pPr>
      <w:r>
        <w:rPr>
          <w:noProof/>
        </w:rPr>
        <w:t>to support territorial cohesion and cross-border cooperation across land and maritime borders, including transnational and interregional cooperation.</w:t>
      </w:r>
    </w:p>
    <w:p w14:paraId="000F4085" w14:textId="77777777" w:rsidR="0067184C" w:rsidRPr="00040D99" w:rsidRDefault="0067184C" w:rsidP="0067184C">
      <w:pPr>
        <w:pStyle w:val="ppoHeading6"/>
        <w:jc w:val="both"/>
        <w:rPr>
          <w:noProof/>
        </w:rPr>
      </w:pPr>
      <w:r w:rsidRPr="00040D99">
        <w:rPr>
          <w:noProof/>
        </w:rPr>
        <w:t>Actions</w:t>
      </w:r>
    </w:p>
    <w:p w14:paraId="642AF0B3" w14:textId="77777777" w:rsidR="0067184C" w:rsidRDefault="0067184C" w:rsidP="0067184C">
      <w:pPr>
        <w:pStyle w:val="ppoListHyphened-L1"/>
        <w:numPr>
          <w:ilvl w:val="0"/>
          <w:numId w:val="0"/>
        </w:numPr>
        <w:jc w:val="both"/>
        <w:rPr>
          <w:noProof/>
        </w:rPr>
      </w:pPr>
      <w:r>
        <w:rPr>
          <w:noProof/>
        </w:rPr>
        <w:t>Actions are based on the IPA</w:t>
      </w:r>
      <w:r w:rsidRPr="67DC3EDF">
        <w:rPr>
          <w:rFonts w:ascii="Calibri" w:hAnsi="Calibri" w:cs="Calibri"/>
          <w:noProof/>
        </w:rPr>
        <w:t> </w:t>
      </w:r>
      <w:r>
        <w:rPr>
          <w:noProof/>
        </w:rPr>
        <w:t>III programming framework (Article</w:t>
      </w:r>
      <w:r w:rsidRPr="67DC3EDF">
        <w:rPr>
          <w:rFonts w:ascii="Calibri" w:hAnsi="Calibri" w:cs="Calibri"/>
          <w:noProof/>
        </w:rPr>
        <w:t> </w:t>
      </w:r>
      <w:r>
        <w:rPr>
          <w:noProof/>
        </w:rPr>
        <w:t>7 of Regulation (EU) 2021/1529 of the European Parliament and of the Council establishing the Instrument for Pre-accession Assistance (IPA)</w:t>
      </w:r>
      <w:r w:rsidRPr="67DC3EDF">
        <w:rPr>
          <w:rFonts w:ascii="Calibri" w:hAnsi="Calibri" w:cs="Calibri"/>
          <w:noProof/>
        </w:rPr>
        <w:t> </w:t>
      </w:r>
      <w:r>
        <w:rPr>
          <w:noProof/>
        </w:rPr>
        <w:t>III; C(2021) 8914 final). It reflects the specific objectives of the IPA</w:t>
      </w:r>
      <w:r w:rsidRPr="67DC3EDF">
        <w:rPr>
          <w:rFonts w:ascii="Calibri" w:hAnsi="Calibri" w:cs="Calibri"/>
          <w:noProof/>
        </w:rPr>
        <w:t> </w:t>
      </w:r>
      <w:r>
        <w:rPr>
          <w:noProof/>
        </w:rPr>
        <w:t>III regulation and is focused on the priorities of the enlargement process, articulated through five thematic windows:</w:t>
      </w:r>
    </w:p>
    <w:p w14:paraId="5E6100AF" w14:textId="77777777" w:rsidR="0067184C" w:rsidRDefault="0067184C" w:rsidP="0067184C">
      <w:pPr>
        <w:pStyle w:val="ppoListHyphened-L1"/>
        <w:jc w:val="both"/>
        <w:rPr>
          <w:noProof/>
        </w:rPr>
      </w:pPr>
      <w:r>
        <w:rPr>
          <w:noProof/>
        </w:rPr>
        <w:t>window 1: rule of law, fundamental rights and democracy;</w:t>
      </w:r>
    </w:p>
    <w:p w14:paraId="4A641224" w14:textId="77777777" w:rsidR="0067184C" w:rsidRDefault="0067184C" w:rsidP="0067184C">
      <w:pPr>
        <w:pStyle w:val="ppoListHyphened-L1"/>
        <w:jc w:val="both"/>
        <w:rPr>
          <w:noProof/>
        </w:rPr>
      </w:pPr>
      <w:r>
        <w:rPr>
          <w:noProof/>
        </w:rPr>
        <w:t xml:space="preserve">window 2: good governance, EU </w:t>
      </w:r>
      <w:r w:rsidRPr="67DC3EDF">
        <w:rPr>
          <w:i/>
          <w:iCs/>
          <w:noProof/>
        </w:rPr>
        <w:t>acquis</w:t>
      </w:r>
      <w:r>
        <w:rPr>
          <w:noProof/>
        </w:rPr>
        <w:t xml:space="preserve"> alignment, good neighbourly relations and strategic communication;</w:t>
      </w:r>
    </w:p>
    <w:p w14:paraId="7C18BD60" w14:textId="77777777" w:rsidR="0067184C" w:rsidRDefault="0067184C" w:rsidP="0067184C">
      <w:pPr>
        <w:pStyle w:val="ppoListHyphened-L1"/>
        <w:jc w:val="both"/>
        <w:rPr>
          <w:noProof/>
        </w:rPr>
      </w:pPr>
      <w:r>
        <w:rPr>
          <w:noProof/>
        </w:rPr>
        <w:t>window 3: the green agenda and sustainable connectivity;</w:t>
      </w:r>
    </w:p>
    <w:p w14:paraId="5C2604F5" w14:textId="77777777" w:rsidR="0067184C" w:rsidRDefault="0067184C" w:rsidP="0067184C">
      <w:pPr>
        <w:pStyle w:val="ppoListHyphened-L1"/>
        <w:jc w:val="both"/>
        <w:rPr>
          <w:noProof/>
        </w:rPr>
      </w:pPr>
      <w:r>
        <w:rPr>
          <w:noProof/>
        </w:rPr>
        <w:t>window 4: competitiveness and inclusive growth;</w:t>
      </w:r>
    </w:p>
    <w:p w14:paraId="39991939" w14:textId="77777777" w:rsidR="0067184C" w:rsidRDefault="0067184C" w:rsidP="0067184C">
      <w:pPr>
        <w:pStyle w:val="ppoListHyphened-L1"/>
        <w:jc w:val="both"/>
        <w:rPr>
          <w:noProof/>
        </w:rPr>
      </w:pPr>
      <w:r>
        <w:rPr>
          <w:noProof/>
        </w:rPr>
        <w:t>window 5: territorial and cross-border cooperation.</w:t>
      </w:r>
    </w:p>
    <w:p w14:paraId="416980F7" w14:textId="77777777" w:rsidR="0067184C" w:rsidRPr="00040D99" w:rsidRDefault="0067184C" w:rsidP="0067184C">
      <w:pPr>
        <w:pStyle w:val="ppoListHyphened-L1"/>
        <w:numPr>
          <w:ilvl w:val="0"/>
          <w:numId w:val="0"/>
        </w:numPr>
        <w:jc w:val="both"/>
        <w:rPr>
          <w:noProof/>
        </w:rPr>
      </w:pPr>
      <w:r>
        <w:rPr>
          <w:noProof/>
        </w:rPr>
        <w:t>Actions are deployed, to the benefit of beneficiaries, through annual or multiannual action plans at national or regional level, or through horizontal initiatives targeting specific types of partners (e.g. civil society) or cross-cutting issues. In addition, a number of cross-cutting themes, such as climate change, environmental protection, civil society, gender equality, rights-based approach, is mainstreamed and therefore can be implemented under the five windows.</w:t>
      </w:r>
    </w:p>
    <w:p w14:paraId="078554BB" w14:textId="77777777" w:rsidR="0067184C" w:rsidRPr="00040D99" w:rsidRDefault="0067184C" w:rsidP="0067184C">
      <w:pPr>
        <w:pStyle w:val="ppoHeading6"/>
        <w:jc w:val="both"/>
        <w:rPr>
          <w:noProof/>
        </w:rPr>
      </w:pPr>
      <w:r w:rsidRPr="00040D99">
        <w:rPr>
          <w:noProof/>
        </w:rPr>
        <w:t>Delivery mode</w:t>
      </w:r>
    </w:p>
    <w:p w14:paraId="21104AF9" w14:textId="31F24F76" w:rsidR="0067184C" w:rsidRDefault="0067184C" w:rsidP="0067184C">
      <w:pPr>
        <w:rPr>
          <w:noProof/>
        </w:rPr>
      </w:pPr>
      <w:r>
        <w:rPr>
          <w:noProof/>
        </w:rPr>
        <w:t>IPA</w:t>
      </w:r>
      <w:r>
        <w:rPr>
          <w:rFonts w:ascii="Calibri" w:hAnsi="Calibri" w:cs="Calibri"/>
          <w:noProof/>
        </w:rPr>
        <w:t> </w:t>
      </w:r>
      <w:r>
        <w:rPr>
          <w:noProof/>
        </w:rPr>
        <w:t>III is implemented through direct, indirect and shared management. The Directorate-General for Neighbourhood and Enlargement Negotiations is the leading service. The Directorate-General for Agriculture and Rural Development is responsible for rural development programmes and the Directorate-General for Regional and Urban Policy for cross-border cooperation programmes between IPA beneficiaries and EU Member States.</w:t>
      </w:r>
    </w:p>
    <w:p w14:paraId="0918FF69" w14:textId="77777777" w:rsidR="0067184C" w:rsidRPr="00040D99" w:rsidRDefault="0067184C" w:rsidP="0067184C">
      <w:pPr>
        <w:pStyle w:val="ppoHeading6"/>
        <w:jc w:val="both"/>
        <w:rPr>
          <w:noProof/>
        </w:rPr>
      </w:pPr>
      <w:r>
        <w:rPr>
          <w:noProof/>
        </w:rPr>
        <w:t>LINK TO THE 2014-2020 multiannual financial framework</w:t>
      </w:r>
    </w:p>
    <w:p w14:paraId="1F0B2787" w14:textId="77777777" w:rsidR="0067184C" w:rsidRDefault="0067184C" w:rsidP="0067184C">
      <w:pPr>
        <w:rPr>
          <w:noProof/>
        </w:rPr>
      </w:pPr>
      <w:r>
        <w:rPr>
          <w:noProof/>
        </w:rPr>
        <w:t>IPA</w:t>
      </w:r>
      <w:r w:rsidRPr="67DC3EDF">
        <w:rPr>
          <w:rFonts w:ascii="Calibri" w:hAnsi="Calibri" w:cs="Calibri"/>
          <w:noProof/>
        </w:rPr>
        <w:t> </w:t>
      </w:r>
      <w:r>
        <w:rPr>
          <w:noProof/>
        </w:rPr>
        <w:t>II had been the catalyst for important reforms. IPA</w:t>
      </w:r>
      <w:r w:rsidRPr="67DC3EDF">
        <w:rPr>
          <w:rFonts w:ascii="Calibri" w:hAnsi="Calibri" w:cs="Calibri"/>
          <w:noProof/>
        </w:rPr>
        <w:t> </w:t>
      </w:r>
      <w:r>
        <w:rPr>
          <w:noProof/>
        </w:rPr>
        <w:t>III builds on these achievements and ensures their continuation in terms of objectives and priorities. It further improves the alignment of assistance with the enlargement strategy.</w:t>
      </w:r>
    </w:p>
    <w:p w14:paraId="09F82B5B" w14:textId="77777777" w:rsidR="0067184C" w:rsidRDefault="0067184C" w:rsidP="0067184C">
      <w:pPr>
        <w:rPr>
          <w:noProof/>
        </w:rPr>
      </w:pPr>
      <w:r>
        <w:rPr>
          <w:noProof/>
        </w:rPr>
        <w:t>The programming of IPA</w:t>
      </w:r>
      <w:r w:rsidRPr="67DC3EDF">
        <w:rPr>
          <w:rFonts w:ascii="Calibri" w:hAnsi="Calibri" w:cs="Calibri"/>
          <w:noProof/>
        </w:rPr>
        <w:t> </w:t>
      </w:r>
      <w:r>
        <w:rPr>
          <w:noProof/>
        </w:rPr>
        <w:t>III will ensure a stronger performance-based approach while at the same time guaranteeing the principle of fair share. There will also be a stronger focus on relevance and maturity at the Commission selection stage, with the aim of ensuring stronger linkage with the reform agenda, accelerating implementation and reducing backlog.</w:t>
      </w:r>
    </w:p>
    <w:p w14:paraId="10A3F636" w14:textId="77777777" w:rsidR="0067184C" w:rsidRPr="00040D99" w:rsidRDefault="0067184C" w:rsidP="0067184C">
      <w:pPr>
        <w:pStyle w:val="ppoHeading6"/>
        <w:jc w:val="both"/>
        <w:rPr>
          <w:noProof/>
        </w:rPr>
      </w:pPr>
      <w:r w:rsidRPr="00040D99">
        <w:rPr>
          <w:noProof/>
        </w:rPr>
        <w:t>Impact assessment</w:t>
      </w:r>
    </w:p>
    <w:p w14:paraId="7D293946" w14:textId="77777777" w:rsidR="0067184C" w:rsidRDefault="0067184C" w:rsidP="0067184C">
      <w:pPr>
        <w:rPr>
          <w:noProof/>
        </w:rPr>
      </w:pPr>
      <w:r>
        <w:rPr>
          <w:noProof/>
        </w:rPr>
        <w:t>The impact assessment of the IPA</w:t>
      </w:r>
      <w:r w:rsidRPr="67DC3EDF">
        <w:rPr>
          <w:rFonts w:ascii="Calibri" w:hAnsi="Calibri" w:cs="Calibri"/>
          <w:noProof/>
        </w:rPr>
        <w:t> </w:t>
      </w:r>
      <w:r>
        <w:rPr>
          <w:noProof/>
        </w:rPr>
        <w:t>III was carried out in 2018.</w:t>
      </w:r>
    </w:p>
    <w:p w14:paraId="31873375" w14:textId="77777777" w:rsidR="0067184C" w:rsidRDefault="0067184C" w:rsidP="0067184C">
      <w:pPr>
        <w:rPr>
          <w:noProof/>
        </w:rPr>
      </w:pPr>
      <w:r>
        <w:rPr>
          <w:noProof/>
        </w:rPr>
        <w:t xml:space="preserve">For further information, please consult: </w:t>
      </w:r>
      <w:hyperlink r:id="rId609">
        <w:r w:rsidRPr="67DC3EDF">
          <w:rPr>
            <w:rStyle w:val="Hyperlink"/>
            <w:noProof/>
          </w:rPr>
          <w:t>https://europa.eu/!KK86Tv</w:t>
        </w:r>
      </w:hyperlink>
      <w:r w:rsidRPr="67DC3EDF">
        <w:rPr>
          <w:rStyle w:val="Hyperlink"/>
          <w:noProof/>
        </w:rPr>
        <w:t>.</w:t>
      </w:r>
    </w:p>
    <w:p w14:paraId="2ACDE141" w14:textId="77777777" w:rsidR="0067184C" w:rsidRPr="00040D99" w:rsidRDefault="0067184C" w:rsidP="0067184C">
      <w:pPr>
        <w:pStyle w:val="ppoHeading6"/>
        <w:jc w:val="both"/>
        <w:rPr>
          <w:noProof/>
        </w:rPr>
      </w:pPr>
      <w:r>
        <w:rPr>
          <w:noProof/>
        </w:rPr>
        <w:t>WEBSITE FOR more information</w:t>
      </w:r>
    </w:p>
    <w:p w14:paraId="3747349C" w14:textId="77777777" w:rsidR="0067184C" w:rsidRPr="00040D99" w:rsidRDefault="00E01E9B" w:rsidP="0067184C">
      <w:pPr>
        <w:rPr>
          <w:noProof/>
        </w:rPr>
      </w:pPr>
      <w:hyperlink r:id="rId610" w:history="1">
        <w:r w:rsidR="0067184C" w:rsidRPr="00DD0A76">
          <w:rPr>
            <w:rStyle w:val="Hyperlink"/>
            <w:noProof/>
          </w:rPr>
          <w:t>https://europa.eu/!Yq39bt</w:t>
        </w:r>
      </w:hyperlink>
    </w:p>
    <w:p w14:paraId="41BA0EC7" w14:textId="77777777" w:rsidR="0067184C" w:rsidRPr="00040D99" w:rsidRDefault="0067184C" w:rsidP="0067184C">
      <w:pPr>
        <w:pStyle w:val="ppoHeading5"/>
        <w:jc w:val="both"/>
        <w:rPr>
          <w:rFonts w:eastAsiaTheme="minorEastAsia"/>
          <w:noProof/>
        </w:rPr>
      </w:pPr>
      <w:r w:rsidRPr="67DC3EDF">
        <w:rPr>
          <w:rFonts w:eastAsiaTheme="minorEastAsia"/>
          <w:noProof/>
        </w:rPr>
        <w:t>Legal basis</w:t>
      </w:r>
    </w:p>
    <w:p w14:paraId="19D5B46C" w14:textId="77777777" w:rsidR="0067184C" w:rsidRPr="00040D99" w:rsidRDefault="0067184C" w:rsidP="0067184C">
      <w:pPr>
        <w:rPr>
          <w:noProof/>
        </w:rPr>
      </w:pPr>
      <w:r>
        <w:rPr>
          <w:noProof/>
        </w:rPr>
        <w:t>Regulation (EU) 2021/1529 of the European Parliament and of the Council.</w:t>
      </w:r>
    </w:p>
    <w:p w14:paraId="36775BB1" w14:textId="77777777" w:rsidR="0067184C" w:rsidRPr="00040D99" w:rsidRDefault="0067184C" w:rsidP="0067184C">
      <w:pPr>
        <w:pStyle w:val="ppoHeading4Red"/>
        <w:rPr>
          <w:noProof/>
        </w:rPr>
      </w:pPr>
      <w:r>
        <w:rPr>
          <w:noProof/>
        </w:rPr>
        <w:t>Implementation and performance</w:t>
      </w:r>
    </w:p>
    <w:p w14:paraId="1C056195" w14:textId="77777777" w:rsidR="0067184C" w:rsidRPr="00040D99" w:rsidRDefault="0067184C" w:rsidP="0067184C">
      <w:pPr>
        <w:pStyle w:val="ppoHeading5"/>
        <w:rPr>
          <w:noProof/>
        </w:rPr>
      </w:pPr>
      <w:r>
        <w:rPr>
          <w:noProof/>
        </w:rPr>
        <w:t>Budget</w:t>
      </w:r>
    </w:p>
    <w:p w14:paraId="157D4129" w14:textId="77777777" w:rsidR="0067184C" w:rsidRPr="00040D99" w:rsidRDefault="0067184C" w:rsidP="0067184C">
      <w:pPr>
        <w:pStyle w:val="ppoTableTabletitle"/>
        <w:rPr>
          <w:noProof/>
        </w:rPr>
      </w:pPr>
      <w:r w:rsidRPr="00807AC3">
        <w:rPr>
          <w:noProof/>
        </w:rPr>
        <w:t>Budget programming</w:t>
      </w:r>
      <w:r>
        <w:rPr>
          <w:noProof/>
        </w:rPr>
        <w:t xml:space="preserve"> </w:t>
      </w:r>
      <w:r w:rsidRPr="00045449">
        <w:rPr>
          <w:noProof/>
          <w:lang w:val="en-IE"/>
        </w:rPr>
        <w:t>(million EUR):</w:t>
      </w:r>
    </w:p>
    <w:tbl>
      <w:tblPr>
        <w:tblStyle w:val="PPO2021"/>
        <w:tblW w:w="9782"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1087"/>
      </w:tblGrid>
      <w:tr w:rsidR="0067184C" w:rsidRPr="00040D99" w14:paraId="0415EA4B" w14:textId="77777777" w:rsidTr="0083214A">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013985EF" w14:textId="77777777" w:rsidR="0067184C" w:rsidRPr="00807AC3" w:rsidRDefault="0067184C" w:rsidP="0083214A">
            <w:pPr>
              <w:rPr>
                <w:noProof/>
              </w:rPr>
            </w:pPr>
          </w:p>
        </w:tc>
        <w:tc>
          <w:tcPr>
            <w:tcW w:w="943" w:type="dxa"/>
            <w:noWrap/>
            <w:hideMark/>
          </w:tcPr>
          <w:p w14:paraId="16D3D29B" w14:textId="77777777" w:rsidR="0067184C" w:rsidRPr="00807AC3" w:rsidRDefault="0067184C" w:rsidP="0083214A">
            <w:pPr>
              <w:rPr>
                <w:noProof/>
              </w:rPr>
            </w:pPr>
            <w:r w:rsidRPr="00807AC3">
              <w:rPr>
                <w:noProof/>
              </w:rPr>
              <w:t>2021</w:t>
            </w:r>
          </w:p>
        </w:tc>
        <w:tc>
          <w:tcPr>
            <w:tcW w:w="944" w:type="dxa"/>
            <w:noWrap/>
            <w:hideMark/>
          </w:tcPr>
          <w:p w14:paraId="5743414D" w14:textId="77777777" w:rsidR="0067184C" w:rsidRPr="00807AC3" w:rsidRDefault="0067184C" w:rsidP="0083214A">
            <w:pPr>
              <w:rPr>
                <w:noProof/>
              </w:rPr>
            </w:pPr>
            <w:r w:rsidRPr="00807AC3">
              <w:rPr>
                <w:noProof/>
              </w:rPr>
              <w:t>2022</w:t>
            </w:r>
          </w:p>
        </w:tc>
        <w:tc>
          <w:tcPr>
            <w:tcW w:w="943" w:type="dxa"/>
            <w:noWrap/>
            <w:hideMark/>
          </w:tcPr>
          <w:p w14:paraId="4A2D06C5" w14:textId="77777777" w:rsidR="0067184C" w:rsidRPr="00807AC3" w:rsidRDefault="0067184C" w:rsidP="0083214A">
            <w:pPr>
              <w:rPr>
                <w:noProof/>
              </w:rPr>
            </w:pPr>
            <w:r w:rsidRPr="00807AC3">
              <w:rPr>
                <w:noProof/>
              </w:rPr>
              <w:t>2023</w:t>
            </w:r>
          </w:p>
        </w:tc>
        <w:tc>
          <w:tcPr>
            <w:tcW w:w="944" w:type="dxa"/>
            <w:noWrap/>
            <w:hideMark/>
          </w:tcPr>
          <w:p w14:paraId="3C6982FE" w14:textId="77777777" w:rsidR="0067184C" w:rsidRPr="00807AC3" w:rsidRDefault="0067184C" w:rsidP="0083214A">
            <w:pPr>
              <w:rPr>
                <w:noProof/>
              </w:rPr>
            </w:pPr>
            <w:r w:rsidRPr="00807AC3">
              <w:rPr>
                <w:noProof/>
              </w:rPr>
              <w:t>2024</w:t>
            </w:r>
          </w:p>
        </w:tc>
        <w:tc>
          <w:tcPr>
            <w:tcW w:w="944" w:type="dxa"/>
            <w:noWrap/>
            <w:hideMark/>
          </w:tcPr>
          <w:p w14:paraId="36D3126E" w14:textId="77777777" w:rsidR="0067184C" w:rsidRPr="00807AC3" w:rsidRDefault="0067184C" w:rsidP="0083214A">
            <w:pPr>
              <w:rPr>
                <w:noProof/>
              </w:rPr>
            </w:pPr>
            <w:r w:rsidRPr="00807AC3">
              <w:rPr>
                <w:noProof/>
              </w:rPr>
              <w:t>2025</w:t>
            </w:r>
          </w:p>
        </w:tc>
        <w:tc>
          <w:tcPr>
            <w:tcW w:w="943" w:type="dxa"/>
            <w:noWrap/>
            <w:hideMark/>
          </w:tcPr>
          <w:p w14:paraId="5A76DCBA" w14:textId="77777777" w:rsidR="0067184C" w:rsidRPr="00807AC3" w:rsidRDefault="0067184C" w:rsidP="0083214A">
            <w:pPr>
              <w:rPr>
                <w:noProof/>
              </w:rPr>
            </w:pPr>
            <w:r w:rsidRPr="00807AC3">
              <w:rPr>
                <w:noProof/>
              </w:rPr>
              <w:t>2026</w:t>
            </w:r>
          </w:p>
        </w:tc>
        <w:tc>
          <w:tcPr>
            <w:tcW w:w="944" w:type="dxa"/>
            <w:noWrap/>
            <w:hideMark/>
          </w:tcPr>
          <w:p w14:paraId="1CFEB273" w14:textId="77777777" w:rsidR="0067184C" w:rsidRPr="00807AC3" w:rsidRDefault="0067184C" w:rsidP="0083214A">
            <w:pPr>
              <w:rPr>
                <w:noProof/>
              </w:rPr>
            </w:pPr>
            <w:r w:rsidRPr="00807AC3">
              <w:rPr>
                <w:noProof/>
              </w:rPr>
              <w:t>2027</w:t>
            </w:r>
          </w:p>
        </w:tc>
        <w:tc>
          <w:tcPr>
            <w:tcW w:w="1087" w:type="dxa"/>
            <w:noWrap/>
            <w:hideMark/>
          </w:tcPr>
          <w:p w14:paraId="7210A850" w14:textId="77777777" w:rsidR="0067184C" w:rsidRPr="00807AC3" w:rsidRDefault="0067184C" w:rsidP="0083214A">
            <w:pPr>
              <w:rPr>
                <w:noProof/>
              </w:rPr>
            </w:pPr>
            <w:r w:rsidRPr="00807AC3">
              <w:rPr>
                <w:noProof/>
              </w:rPr>
              <w:t>Total</w:t>
            </w:r>
          </w:p>
        </w:tc>
      </w:tr>
      <w:tr w:rsidR="0067184C" w:rsidRPr="00040D99" w14:paraId="742CA50D" w14:textId="77777777" w:rsidTr="00304A2B">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57CA0202" w14:textId="77777777" w:rsidR="0067184C" w:rsidRPr="00807AC3" w:rsidRDefault="0067184C" w:rsidP="0083214A">
            <w:pPr>
              <w:rPr>
                <w:noProof/>
              </w:rPr>
            </w:pPr>
            <w:r w:rsidRPr="00807AC3">
              <w:rPr>
                <w:noProof/>
              </w:rPr>
              <w:t>Financial programming</w:t>
            </w:r>
          </w:p>
        </w:tc>
        <w:tc>
          <w:tcPr>
            <w:tcW w:w="943" w:type="dxa"/>
            <w:noWrap/>
            <w:hideMark/>
          </w:tcPr>
          <w:p w14:paraId="7BBBDA7E" w14:textId="77777777" w:rsidR="0067184C" w:rsidRPr="00807AC3" w:rsidRDefault="0067184C" w:rsidP="0083214A">
            <w:pPr>
              <w:jc w:val="center"/>
              <w:rPr>
                <w:noProof/>
              </w:rPr>
            </w:pPr>
            <w:r>
              <w:rPr>
                <w:noProof/>
              </w:rPr>
              <w:t>1</w:t>
            </w:r>
            <w:r w:rsidRPr="67DC3EDF">
              <w:rPr>
                <w:rFonts w:ascii="Calibri" w:hAnsi="Calibri" w:cs="Calibri"/>
                <w:noProof/>
              </w:rPr>
              <w:t> </w:t>
            </w:r>
            <w:r>
              <w:rPr>
                <w:noProof/>
              </w:rPr>
              <w:t>883.8</w:t>
            </w:r>
          </w:p>
        </w:tc>
        <w:tc>
          <w:tcPr>
            <w:tcW w:w="944" w:type="dxa"/>
            <w:noWrap/>
            <w:hideMark/>
          </w:tcPr>
          <w:p w14:paraId="70BA16D2" w14:textId="77777777" w:rsidR="0067184C" w:rsidRPr="00807AC3" w:rsidRDefault="0067184C" w:rsidP="0083214A">
            <w:pPr>
              <w:jc w:val="center"/>
              <w:rPr>
                <w:noProof/>
              </w:rPr>
            </w:pPr>
            <w:r>
              <w:rPr>
                <w:noProof/>
              </w:rPr>
              <w:t>2</w:t>
            </w:r>
            <w:r w:rsidRPr="67DC3EDF">
              <w:rPr>
                <w:rFonts w:ascii="Calibri" w:hAnsi="Calibri" w:cs="Calibri"/>
                <w:noProof/>
              </w:rPr>
              <w:t> </w:t>
            </w:r>
            <w:r>
              <w:rPr>
                <w:noProof/>
              </w:rPr>
              <w:t>011.5</w:t>
            </w:r>
          </w:p>
        </w:tc>
        <w:tc>
          <w:tcPr>
            <w:tcW w:w="943" w:type="dxa"/>
            <w:noWrap/>
            <w:vAlign w:val="bottom"/>
            <w:hideMark/>
          </w:tcPr>
          <w:p w14:paraId="2E0A6AA7" w14:textId="55409BC9" w:rsidR="0067184C" w:rsidRPr="00807AC3" w:rsidRDefault="0067184C" w:rsidP="0083214A">
            <w:pPr>
              <w:jc w:val="center"/>
              <w:rPr>
                <w:noProof/>
              </w:rPr>
            </w:pPr>
            <w:r>
              <w:rPr>
                <w:rFonts w:ascii="Calibri" w:hAnsi="Calibri" w:cs="Calibri"/>
                <w:noProof/>
                <w:color w:val="000000"/>
              </w:rPr>
              <w:t>2 531.1</w:t>
            </w:r>
          </w:p>
        </w:tc>
        <w:tc>
          <w:tcPr>
            <w:tcW w:w="944" w:type="dxa"/>
            <w:noWrap/>
            <w:vAlign w:val="bottom"/>
            <w:hideMark/>
          </w:tcPr>
          <w:p w14:paraId="60AA65F4" w14:textId="2D4A078B" w:rsidR="0067184C" w:rsidRPr="00807AC3" w:rsidRDefault="0067184C" w:rsidP="0083214A">
            <w:pPr>
              <w:jc w:val="center"/>
              <w:rPr>
                <w:noProof/>
              </w:rPr>
            </w:pPr>
            <w:r>
              <w:rPr>
                <w:rFonts w:ascii="Calibri" w:hAnsi="Calibri" w:cs="Calibri"/>
                <w:noProof/>
                <w:color w:val="000000"/>
              </w:rPr>
              <w:t>2 016.4</w:t>
            </w:r>
          </w:p>
        </w:tc>
        <w:tc>
          <w:tcPr>
            <w:tcW w:w="944" w:type="dxa"/>
            <w:noWrap/>
            <w:vAlign w:val="bottom"/>
            <w:hideMark/>
          </w:tcPr>
          <w:p w14:paraId="041620F4" w14:textId="24BAE909" w:rsidR="0067184C" w:rsidRPr="00807AC3" w:rsidRDefault="0067184C" w:rsidP="0083214A">
            <w:pPr>
              <w:jc w:val="center"/>
              <w:rPr>
                <w:noProof/>
              </w:rPr>
            </w:pPr>
            <w:r>
              <w:rPr>
                <w:rFonts w:ascii="Calibri" w:hAnsi="Calibri" w:cs="Calibri"/>
                <w:noProof/>
                <w:color w:val="000000"/>
              </w:rPr>
              <w:t>2 059.7</w:t>
            </w:r>
          </w:p>
        </w:tc>
        <w:tc>
          <w:tcPr>
            <w:tcW w:w="943" w:type="dxa"/>
            <w:noWrap/>
            <w:vAlign w:val="bottom"/>
            <w:hideMark/>
          </w:tcPr>
          <w:p w14:paraId="5FFAE5EA" w14:textId="4FD0D200" w:rsidR="0067184C" w:rsidRPr="00807AC3" w:rsidRDefault="0067184C" w:rsidP="0083214A">
            <w:pPr>
              <w:jc w:val="center"/>
              <w:rPr>
                <w:noProof/>
              </w:rPr>
            </w:pPr>
            <w:r>
              <w:rPr>
                <w:rFonts w:ascii="Calibri" w:hAnsi="Calibri" w:cs="Calibri"/>
                <w:noProof/>
                <w:color w:val="000000"/>
              </w:rPr>
              <w:t>2 101.7</w:t>
            </w:r>
          </w:p>
        </w:tc>
        <w:tc>
          <w:tcPr>
            <w:tcW w:w="944" w:type="dxa"/>
            <w:noWrap/>
            <w:vAlign w:val="bottom"/>
            <w:hideMark/>
          </w:tcPr>
          <w:p w14:paraId="37532178" w14:textId="71A1066B" w:rsidR="0067184C" w:rsidRPr="00807AC3" w:rsidRDefault="0067184C" w:rsidP="0083214A">
            <w:pPr>
              <w:jc w:val="center"/>
              <w:rPr>
                <w:noProof/>
              </w:rPr>
            </w:pPr>
            <w:r>
              <w:rPr>
                <w:rFonts w:ascii="Calibri" w:hAnsi="Calibri" w:cs="Calibri"/>
                <w:noProof/>
                <w:color w:val="000000"/>
              </w:rPr>
              <w:t>2 144.6</w:t>
            </w:r>
          </w:p>
        </w:tc>
        <w:tc>
          <w:tcPr>
            <w:tcW w:w="1087" w:type="dxa"/>
            <w:noWrap/>
            <w:vAlign w:val="bottom"/>
            <w:hideMark/>
          </w:tcPr>
          <w:p w14:paraId="0B37BBCF" w14:textId="3089D248" w:rsidR="0067184C" w:rsidRPr="00807AC3" w:rsidRDefault="0067184C" w:rsidP="0083214A">
            <w:pPr>
              <w:jc w:val="center"/>
              <w:rPr>
                <w:noProof/>
              </w:rPr>
            </w:pPr>
            <w:r>
              <w:rPr>
                <w:rFonts w:ascii="Calibri" w:hAnsi="Calibri" w:cs="Calibri"/>
                <w:noProof/>
                <w:color w:val="000000"/>
              </w:rPr>
              <w:t>14 748.7</w:t>
            </w:r>
          </w:p>
        </w:tc>
      </w:tr>
      <w:tr w:rsidR="0067184C" w:rsidRPr="00040D99" w14:paraId="2F931E31"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6FC4CE0B" w14:textId="77777777" w:rsidR="0067184C" w:rsidRPr="00807AC3" w:rsidRDefault="0067184C" w:rsidP="0083214A">
            <w:pPr>
              <w:rPr>
                <w:noProof/>
              </w:rPr>
            </w:pPr>
            <w:r w:rsidRPr="00807AC3">
              <w:rPr>
                <w:noProof/>
              </w:rPr>
              <w:t>NextGenerationEU</w:t>
            </w:r>
          </w:p>
        </w:tc>
        <w:tc>
          <w:tcPr>
            <w:tcW w:w="943" w:type="dxa"/>
            <w:noWrap/>
            <w:hideMark/>
          </w:tcPr>
          <w:p w14:paraId="6C21729B" w14:textId="77777777" w:rsidR="0067184C" w:rsidRPr="00807AC3" w:rsidRDefault="0067184C" w:rsidP="0083214A">
            <w:pPr>
              <w:jc w:val="center"/>
              <w:rPr>
                <w:noProof/>
              </w:rPr>
            </w:pPr>
          </w:p>
        </w:tc>
        <w:tc>
          <w:tcPr>
            <w:tcW w:w="944" w:type="dxa"/>
            <w:noWrap/>
            <w:hideMark/>
          </w:tcPr>
          <w:p w14:paraId="5A3692D4" w14:textId="77777777" w:rsidR="0067184C" w:rsidRPr="00807AC3" w:rsidRDefault="0067184C" w:rsidP="0083214A">
            <w:pPr>
              <w:jc w:val="center"/>
              <w:rPr>
                <w:noProof/>
              </w:rPr>
            </w:pPr>
          </w:p>
        </w:tc>
        <w:tc>
          <w:tcPr>
            <w:tcW w:w="943" w:type="dxa"/>
            <w:noWrap/>
            <w:hideMark/>
          </w:tcPr>
          <w:p w14:paraId="7AABA5DB" w14:textId="77777777" w:rsidR="0067184C" w:rsidRPr="00807AC3" w:rsidRDefault="0067184C" w:rsidP="0083214A">
            <w:pPr>
              <w:jc w:val="center"/>
              <w:rPr>
                <w:noProof/>
              </w:rPr>
            </w:pPr>
          </w:p>
        </w:tc>
        <w:tc>
          <w:tcPr>
            <w:tcW w:w="944" w:type="dxa"/>
            <w:noWrap/>
            <w:hideMark/>
          </w:tcPr>
          <w:p w14:paraId="2606B068" w14:textId="77777777" w:rsidR="0067184C" w:rsidRPr="00807AC3" w:rsidRDefault="0067184C" w:rsidP="0083214A">
            <w:pPr>
              <w:jc w:val="center"/>
              <w:rPr>
                <w:noProof/>
              </w:rPr>
            </w:pPr>
          </w:p>
        </w:tc>
        <w:tc>
          <w:tcPr>
            <w:tcW w:w="944" w:type="dxa"/>
            <w:noWrap/>
            <w:hideMark/>
          </w:tcPr>
          <w:p w14:paraId="69AA4458" w14:textId="77777777" w:rsidR="0067184C" w:rsidRPr="00807AC3" w:rsidRDefault="0067184C" w:rsidP="0083214A">
            <w:pPr>
              <w:jc w:val="center"/>
              <w:rPr>
                <w:noProof/>
              </w:rPr>
            </w:pPr>
          </w:p>
        </w:tc>
        <w:tc>
          <w:tcPr>
            <w:tcW w:w="943" w:type="dxa"/>
            <w:noWrap/>
            <w:hideMark/>
          </w:tcPr>
          <w:p w14:paraId="440CD782" w14:textId="77777777" w:rsidR="0067184C" w:rsidRPr="00807AC3" w:rsidRDefault="0067184C" w:rsidP="0083214A">
            <w:pPr>
              <w:jc w:val="center"/>
              <w:rPr>
                <w:noProof/>
              </w:rPr>
            </w:pPr>
          </w:p>
        </w:tc>
        <w:tc>
          <w:tcPr>
            <w:tcW w:w="944" w:type="dxa"/>
            <w:noWrap/>
            <w:hideMark/>
          </w:tcPr>
          <w:p w14:paraId="3BB47383" w14:textId="77777777" w:rsidR="0067184C" w:rsidRPr="00807AC3" w:rsidRDefault="0067184C" w:rsidP="0083214A">
            <w:pPr>
              <w:jc w:val="center"/>
              <w:rPr>
                <w:noProof/>
              </w:rPr>
            </w:pPr>
          </w:p>
        </w:tc>
        <w:tc>
          <w:tcPr>
            <w:tcW w:w="1087" w:type="dxa"/>
            <w:noWrap/>
            <w:hideMark/>
          </w:tcPr>
          <w:p w14:paraId="14C047E7" w14:textId="77777777" w:rsidR="0067184C" w:rsidRPr="00807AC3" w:rsidRDefault="0067184C" w:rsidP="0083214A">
            <w:pPr>
              <w:jc w:val="center"/>
              <w:rPr>
                <w:noProof/>
              </w:rPr>
            </w:pPr>
          </w:p>
        </w:tc>
      </w:tr>
      <w:tr w:rsidR="0067184C" w:rsidRPr="00040D99" w14:paraId="4CF7D626"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39FA1D43" w14:textId="77777777" w:rsidR="0067184C" w:rsidRPr="00807AC3" w:rsidRDefault="0067184C" w:rsidP="0083214A">
            <w:pPr>
              <w:rPr>
                <w:noProof/>
              </w:rPr>
            </w:pPr>
            <w:r>
              <w:rPr>
                <w:noProof/>
              </w:rPr>
              <w:t>Decommitments made available again</w:t>
            </w:r>
            <w:r w:rsidRPr="67DC3EDF">
              <w:rPr>
                <w:rFonts w:ascii="Calibri" w:hAnsi="Calibri" w:cs="Calibri"/>
                <w:noProof/>
              </w:rPr>
              <w:t> (</w:t>
            </w:r>
            <w:r>
              <w:rPr>
                <w:noProof/>
              </w:rPr>
              <w:t>*)</w:t>
            </w:r>
          </w:p>
        </w:tc>
        <w:tc>
          <w:tcPr>
            <w:tcW w:w="943" w:type="dxa"/>
            <w:noWrap/>
            <w:hideMark/>
          </w:tcPr>
          <w:p w14:paraId="4B41568D" w14:textId="77777777" w:rsidR="0067184C" w:rsidRPr="00807AC3" w:rsidRDefault="0067184C" w:rsidP="0083214A">
            <w:pPr>
              <w:jc w:val="center"/>
              <w:rPr>
                <w:noProof/>
              </w:rPr>
            </w:pPr>
            <w:r>
              <w:rPr>
                <w:noProof/>
              </w:rPr>
              <w:t>N/A</w:t>
            </w:r>
          </w:p>
        </w:tc>
        <w:tc>
          <w:tcPr>
            <w:tcW w:w="944" w:type="dxa"/>
            <w:noWrap/>
            <w:hideMark/>
          </w:tcPr>
          <w:p w14:paraId="24A23671" w14:textId="77777777" w:rsidR="0067184C" w:rsidRPr="00807AC3" w:rsidRDefault="0067184C" w:rsidP="0083214A">
            <w:pPr>
              <w:jc w:val="center"/>
              <w:rPr>
                <w:noProof/>
              </w:rPr>
            </w:pPr>
          </w:p>
        </w:tc>
        <w:tc>
          <w:tcPr>
            <w:tcW w:w="943" w:type="dxa"/>
            <w:noWrap/>
            <w:hideMark/>
          </w:tcPr>
          <w:p w14:paraId="7E0F5102" w14:textId="77777777" w:rsidR="0067184C" w:rsidRPr="00807AC3" w:rsidRDefault="0067184C" w:rsidP="0083214A">
            <w:pPr>
              <w:jc w:val="center"/>
              <w:rPr>
                <w:noProof/>
              </w:rPr>
            </w:pPr>
          </w:p>
        </w:tc>
        <w:tc>
          <w:tcPr>
            <w:tcW w:w="944" w:type="dxa"/>
            <w:noWrap/>
            <w:hideMark/>
          </w:tcPr>
          <w:p w14:paraId="2CA3B044" w14:textId="77777777" w:rsidR="0067184C" w:rsidRPr="00807AC3" w:rsidRDefault="0067184C" w:rsidP="0083214A">
            <w:pPr>
              <w:jc w:val="center"/>
              <w:rPr>
                <w:noProof/>
              </w:rPr>
            </w:pPr>
          </w:p>
        </w:tc>
        <w:tc>
          <w:tcPr>
            <w:tcW w:w="944" w:type="dxa"/>
            <w:noWrap/>
            <w:hideMark/>
          </w:tcPr>
          <w:p w14:paraId="1EADE1F8" w14:textId="77777777" w:rsidR="0067184C" w:rsidRPr="00807AC3" w:rsidRDefault="0067184C" w:rsidP="0083214A">
            <w:pPr>
              <w:jc w:val="center"/>
              <w:rPr>
                <w:noProof/>
              </w:rPr>
            </w:pPr>
          </w:p>
        </w:tc>
        <w:tc>
          <w:tcPr>
            <w:tcW w:w="943" w:type="dxa"/>
            <w:noWrap/>
            <w:hideMark/>
          </w:tcPr>
          <w:p w14:paraId="0FC2A297" w14:textId="77777777" w:rsidR="0067184C" w:rsidRPr="00807AC3" w:rsidRDefault="0067184C" w:rsidP="0083214A">
            <w:pPr>
              <w:jc w:val="center"/>
              <w:rPr>
                <w:noProof/>
              </w:rPr>
            </w:pPr>
          </w:p>
        </w:tc>
        <w:tc>
          <w:tcPr>
            <w:tcW w:w="944" w:type="dxa"/>
            <w:noWrap/>
            <w:hideMark/>
          </w:tcPr>
          <w:p w14:paraId="38E436E0" w14:textId="77777777" w:rsidR="0067184C" w:rsidRPr="00807AC3" w:rsidRDefault="0067184C" w:rsidP="0083214A">
            <w:pPr>
              <w:jc w:val="center"/>
              <w:rPr>
                <w:noProof/>
              </w:rPr>
            </w:pPr>
          </w:p>
        </w:tc>
        <w:tc>
          <w:tcPr>
            <w:tcW w:w="1087" w:type="dxa"/>
            <w:noWrap/>
            <w:hideMark/>
          </w:tcPr>
          <w:p w14:paraId="2619F5CF" w14:textId="77777777" w:rsidR="0067184C" w:rsidRPr="00807AC3" w:rsidRDefault="0067184C" w:rsidP="0083214A">
            <w:pPr>
              <w:jc w:val="center"/>
              <w:rPr>
                <w:noProof/>
              </w:rPr>
            </w:pPr>
            <w:r>
              <w:rPr>
                <w:noProof/>
              </w:rPr>
              <w:t>N/A</w:t>
            </w:r>
          </w:p>
        </w:tc>
      </w:tr>
      <w:tr w:rsidR="0067184C" w:rsidRPr="00040D99" w14:paraId="641A806D"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5ADF4260" w14:textId="77777777" w:rsidR="0067184C" w:rsidRPr="00807AC3" w:rsidRDefault="0067184C" w:rsidP="0083214A">
            <w:pPr>
              <w:rPr>
                <w:noProof/>
              </w:rPr>
            </w:pPr>
            <w:r w:rsidRPr="00807AC3">
              <w:rPr>
                <w:noProof/>
              </w:rPr>
              <w:t>Contributions from other countries and entities</w:t>
            </w:r>
          </w:p>
        </w:tc>
        <w:tc>
          <w:tcPr>
            <w:tcW w:w="943" w:type="dxa"/>
            <w:noWrap/>
            <w:hideMark/>
          </w:tcPr>
          <w:p w14:paraId="42023D28" w14:textId="77777777" w:rsidR="0067184C" w:rsidRPr="00807AC3" w:rsidRDefault="0067184C" w:rsidP="0083214A">
            <w:pPr>
              <w:jc w:val="center"/>
              <w:rPr>
                <w:noProof/>
              </w:rPr>
            </w:pPr>
            <w:r>
              <w:rPr>
                <w:noProof/>
              </w:rPr>
              <w:t>31.3</w:t>
            </w:r>
          </w:p>
        </w:tc>
        <w:tc>
          <w:tcPr>
            <w:tcW w:w="944" w:type="dxa"/>
            <w:noWrap/>
            <w:hideMark/>
          </w:tcPr>
          <w:p w14:paraId="6AF11107" w14:textId="77777777" w:rsidR="0067184C" w:rsidRPr="00807AC3" w:rsidRDefault="0067184C" w:rsidP="0083214A">
            <w:pPr>
              <w:jc w:val="center"/>
              <w:rPr>
                <w:noProof/>
              </w:rPr>
            </w:pPr>
            <w:r>
              <w:rPr>
                <w:noProof/>
              </w:rPr>
              <w:t>p.m.</w:t>
            </w:r>
          </w:p>
        </w:tc>
        <w:tc>
          <w:tcPr>
            <w:tcW w:w="943" w:type="dxa"/>
            <w:noWrap/>
            <w:hideMark/>
          </w:tcPr>
          <w:p w14:paraId="3D273028" w14:textId="77777777" w:rsidR="0067184C" w:rsidRPr="00807AC3" w:rsidRDefault="0067184C" w:rsidP="0083214A">
            <w:pPr>
              <w:jc w:val="center"/>
              <w:rPr>
                <w:noProof/>
              </w:rPr>
            </w:pPr>
            <w:r>
              <w:rPr>
                <w:noProof/>
              </w:rPr>
              <w:t>p.m.</w:t>
            </w:r>
          </w:p>
        </w:tc>
        <w:tc>
          <w:tcPr>
            <w:tcW w:w="944" w:type="dxa"/>
            <w:noWrap/>
            <w:hideMark/>
          </w:tcPr>
          <w:p w14:paraId="236F36B0" w14:textId="77777777" w:rsidR="0067184C" w:rsidRPr="00807AC3" w:rsidRDefault="0067184C" w:rsidP="0083214A">
            <w:pPr>
              <w:jc w:val="center"/>
              <w:rPr>
                <w:noProof/>
              </w:rPr>
            </w:pPr>
            <w:r>
              <w:rPr>
                <w:noProof/>
              </w:rPr>
              <w:t>p.m.</w:t>
            </w:r>
          </w:p>
        </w:tc>
        <w:tc>
          <w:tcPr>
            <w:tcW w:w="944" w:type="dxa"/>
            <w:noWrap/>
            <w:hideMark/>
          </w:tcPr>
          <w:p w14:paraId="7C91D4B3" w14:textId="77777777" w:rsidR="0067184C" w:rsidRPr="00807AC3" w:rsidRDefault="0067184C" w:rsidP="0083214A">
            <w:pPr>
              <w:jc w:val="center"/>
              <w:rPr>
                <w:noProof/>
              </w:rPr>
            </w:pPr>
            <w:r>
              <w:rPr>
                <w:noProof/>
              </w:rPr>
              <w:t>p.m.</w:t>
            </w:r>
          </w:p>
        </w:tc>
        <w:tc>
          <w:tcPr>
            <w:tcW w:w="943" w:type="dxa"/>
            <w:noWrap/>
            <w:hideMark/>
          </w:tcPr>
          <w:p w14:paraId="0199E445" w14:textId="77777777" w:rsidR="0067184C" w:rsidRPr="00807AC3" w:rsidRDefault="0067184C" w:rsidP="0083214A">
            <w:pPr>
              <w:jc w:val="center"/>
              <w:rPr>
                <w:noProof/>
              </w:rPr>
            </w:pPr>
            <w:r>
              <w:rPr>
                <w:noProof/>
              </w:rPr>
              <w:t>p.m.</w:t>
            </w:r>
          </w:p>
        </w:tc>
        <w:tc>
          <w:tcPr>
            <w:tcW w:w="944" w:type="dxa"/>
            <w:noWrap/>
            <w:hideMark/>
          </w:tcPr>
          <w:p w14:paraId="07D6EDAE" w14:textId="77777777" w:rsidR="0067184C" w:rsidRPr="00807AC3" w:rsidRDefault="0067184C" w:rsidP="0083214A">
            <w:pPr>
              <w:jc w:val="center"/>
              <w:rPr>
                <w:noProof/>
              </w:rPr>
            </w:pPr>
            <w:r>
              <w:rPr>
                <w:noProof/>
              </w:rPr>
              <w:t>p.m.</w:t>
            </w:r>
          </w:p>
        </w:tc>
        <w:tc>
          <w:tcPr>
            <w:tcW w:w="1087" w:type="dxa"/>
            <w:noWrap/>
            <w:hideMark/>
          </w:tcPr>
          <w:p w14:paraId="5B68F20B" w14:textId="77777777" w:rsidR="0067184C" w:rsidRPr="00807AC3" w:rsidRDefault="0067184C" w:rsidP="0083214A">
            <w:pPr>
              <w:jc w:val="center"/>
              <w:rPr>
                <w:noProof/>
              </w:rPr>
            </w:pPr>
            <w:r>
              <w:rPr>
                <w:noProof/>
              </w:rPr>
              <w:t>31.3</w:t>
            </w:r>
          </w:p>
        </w:tc>
      </w:tr>
      <w:tr w:rsidR="0067184C" w:rsidRPr="00807AC3" w14:paraId="4F325F7A" w14:textId="77777777" w:rsidTr="00304A2B">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67BDB175" w14:textId="77777777" w:rsidR="0067184C" w:rsidRPr="00807AC3" w:rsidRDefault="0067184C" w:rsidP="0083214A">
            <w:pPr>
              <w:rPr>
                <w:noProof/>
              </w:rPr>
            </w:pPr>
            <w:r>
              <w:rPr>
                <w:noProof/>
              </w:rPr>
              <w:t>Total</w:t>
            </w:r>
          </w:p>
        </w:tc>
        <w:tc>
          <w:tcPr>
            <w:tcW w:w="943" w:type="dxa"/>
            <w:noWrap/>
            <w:hideMark/>
          </w:tcPr>
          <w:p w14:paraId="734DC9DD" w14:textId="77777777" w:rsidR="0067184C" w:rsidRPr="00807AC3" w:rsidRDefault="0067184C" w:rsidP="0083214A">
            <w:pPr>
              <w:jc w:val="center"/>
              <w:rPr>
                <w:noProof/>
              </w:rPr>
            </w:pPr>
            <w:r>
              <w:rPr>
                <w:noProof/>
              </w:rPr>
              <w:t>1</w:t>
            </w:r>
            <w:r w:rsidRPr="67DC3EDF">
              <w:rPr>
                <w:rFonts w:ascii="Calibri" w:hAnsi="Calibri" w:cs="Calibri"/>
                <w:noProof/>
              </w:rPr>
              <w:t> </w:t>
            </w:r>
            <w:r>
              <w:rPr>
                <w:noProof/>
              </w:rPr>
              <w:t>915.1</w:t>
            </w:r>
          </w:p>
        </w:tc>
        <w:tc>
          <w:tcPr>
            <w:tcW w:w="944" w:type="dxa"/>
            <w:noWrap/>
            <w:hideMark/>
          </w:tcPr>
          <w:p w14:paraId="0A4626DD" w14:textId="77777777" w:rsidR="0067184C" w:rsidRPr="00807AC3" w:rsidRDefault="0067184C" w:rsidP="0083214A">
            <w:pPr>
              <w:jc w:val="center"/>
              <w:rPr>
                <w:noProof/>
              </w:rPr>
            </w:pPr>
            <w:r>
              <w:rPr>
                <w:noProof/>
              </w:rPr>
              <w:t>2</w:t>
            </w:r>
            <w:r w:rsidRPr="67DC3EDF">
              <w:rPr>
                <w:rFonts w:ascii="Calibri" w:hAnsi="Calibri" w:cs="Calibri"/>
                <w:noProof/>
              </w:rPr>
              <w:t> </w:t>
            </w:r>
            <w:r>
              <w:rPr>
                <w:noProof/>
              </w:rPr>
              <w:t>011.5</w:t>
            </w:r>
          </w:p>
        </w:tc>
        <w:tc>
          <w:tcPr>
            <w:tcW w:w="943" w:type="dxa"/>
            <w:noWrap/>
            <w:vAlign w:val="bottom"/>
            <w:hideMark/>
          </w:tcPr>
          <w:p w14:paraId="404D9E43" w14:textId="5D54032F" w:rsidR="0067184C" w:rsidRPr="00807AC3" w:rsidRDefault="0067184C" w:rsidP="0083214A">
            <w:pPr>
              <w:jc w:val="center"/>
              <w:rPr>
                <w:noProof/>
              </w:rPr>
            </w:pPr>
            <w:r>
              <w:rPr>
                <w:rFonts w:ascii="Calibri" w:hAnsi="Calibri" w:cs="Calibri"/>
                <w:b/>
                <w:bCs/>
                <w:noProof/>
                <w:color w:val="000000"/>
              </w:rPr>
              <w:t>2 531.1</w:t>
            </w:r>
          </w:p>
        </w:tc>
        <w:tc>
          <w:tcPr>
            <w:tcW w:w="944" w:type="dxa"/>
            <w:noWrap/>
            <w:vAlign w:val="bottom"/>
            <w:hideMark/>
          </w:tcPr>
          <w:p w14:paraId="7CBD5018" w14:textId="0AEE1512" w:rsidR="0067184C" w:rsidRPr="00807AC3" w:rsidRDefault="0067184C" w:rsidP="0083214A">
            <w:pPr>
              <w:jc w:val="center"/>
              <w:rPr>
                <w:noProof/>
              </w:rPr>
            </w:pPr>
            <w:r>
              <w:rPr>
                <w:rFonts w:ascii="Calibri" w:hAnsi="Calibri" w:cs="Calibri"/>
                <w:b/>
                <w:bCs/>
                <w:noProof/>
                <w:color w:val="000000"/>
              </w:rPr>
              <w:t>2 016.4</w:t>
            </w:r>
          </w:p>
        </w:tc>
        <w:tc>
          <w:tcPr>
            <w:tcW w:w="944" w:type="dxa"/>
            <w:noWrap/>
            <w:vAlign w:val="bottom"/>
            <w:hideMark/>
          </w:tcPr>
          <w:p w14:paraId="05B6AE2C" w14:textId="3DC86015" w:rsidR="0067184C" w:rsidRPr="00807AC3" w:rsidRDefault="0067184C" w:rsidP="0083214A">
            <w:pPr>
              <w:jc w:val="center"/>
              <w:rPr>
                <w:noProof/>
              </w:rPr>
            </w:pPr>
            <w:r>
              <w:rPr>
                <w:rFonts w:ascii="Calibri" w:hAnsi="Calibri" w:cs="Calibri"/>
                <w:b/>
                <w:bCs/>
                <w:noProof/>
                <w:color w:val="000000"/>
              </w:rPr>
              <w:t>2 059.7</w:t>
            </w:r>
          </w:p>
        </w:tc>
        <w:tc>
          <w:tcPr>
            <w:tcW w:w="943" w:type="dxa"/>
            <w:noWrap/>
            <w:vAlign w:val="bottom"/>
            <w:hideMark/>
          </w:tcPr>
          <w:p w14:paraId="4C446E6E" w14:textId="4782865A" w:rsidR="0067184C" w:rsidRPr="00807AC3" w:rsidRDefault="0067184C" w:rsidP="0083214A">
            <w:pPr>
              <w:jc w:val="center"/>
              <w:rPr>
                <w:noProof/>
              </w:rPr>
            </w:pPr>
            <w:r>
              <w:rPr>
                <w:rFonts w:ascii="Calibri" w:hAnsi="Calibri" w:cs="Calibri"/>
                <w:b/>
                <w:bCs/>
                <w:noProof/>
                <w:color w:val="000000"/>
              </w:rPr>
              <w:t>2 101.7</w:t>
            </w:r>
          </w:p>
        </w:tc>
        <w:tc>
          <w:tcPr>
            <w:tcW w:w="944" w:type="dxa"/>
            <w:noWrap/>
            <w:vAlign w:val="bottom"/>
            <w:hideMark/>
          </w:tcPr>
          <w:p w14:paraId="784D3E62" w14:textId="423351B9" w:rsidR="0067184C" w:rsidRPr="00807AC3" w:rsidRDefault="0067184C" w:rsidP="0083214A">
            <w:pPr>
              <w:jc w:val="center"/>
              <w:rPr>
                <w:noProof/>
              </w:rPr>
            </w:pPr>
            <w:r>
              <w:rPr>
                <w:rFonts w:ascii="Calibri" w:hAnsi="Calibri" w:cs="Calibri"/>
                <w:b/>
                <w:bCs/>
                <w:noProof/>
                <w:color w:val="000000"/>
              </w:rPr>
              <w:t>2 144.6</w:t>
            </w:r>
          </w:p>
        </w:tc>
        <w:tc>
          <w:tcPr>
            <w:tcW w:w="1087" w:type="dxa"/>
            <w:noWrap/>
            <w:vAlign w:val="bottom"/>
            <w:hideMark/>
          </w:tcPr>
          <w:p w14:paraId="465F404B" w14:textId="2A9CA6A8" w:rsidR="0067184C" w:rsidRPr="00807AC3" w:rsidRDefault="0067184C" w:rsidP="0083214A">
            <w:pPr>
              <w:jc w:val="center"/>
              <w:rPr>
                <w:noProof/>
              </w:rPr>
            </w:pPr>
            <w:r>
              <w:rPr>
                <w:rFonts w:ascii="Calibri" w:hAnsi="Calibri" w:cs="Calibri"/>
                <w:b/>
                <w:bCs/>
                <w:noProof/>
                <w:color w:val="000000"/>
              </w:rPr>
              <w:t>14 780.0</w:t>
            </w:r>
          </w:p>
        </w:tc>
      </w:tr>
    </w:tbl>
    <w:p w14:paraId="5A85AA2E" w14:textId="77777777" w:rsidR="0067184C" w:rsidRPr="00355036" w:rsidRDefault="0067184C" w:rsidP="0067184C">
      <w:pPr>
        <w:tabs>
          <w:tab w:val="left" w:pos="6793"/>
        </w:tabs>
        <w:rPr>
          <w:noProof/>
          <w:sz w:val="18"/>
          <w:szCs w:val="18"/>
          <w:lang w:val="en-IE"/>
        </w:rPr>
      </w:pPr>
      <w:r w:rsidRPr="67DC3EDF">
        <w:rPr>
          <w:noProof/>
          <w:sz w:val="18"/>
          <w:szCs w:val="18"/>
          <w:lang w:val="en-IE"/>
        </w:rPr>
        <w:t>(*) Only Article</w:t>
      </w:r>
      <w:r w:rsidRPr="67DC3EDF">
        <w:rPr>
          <w:rFonts w:ascii="Calibri" w:hAnsi="Calibri" w:cs="Calibri"/>
          <w:noProof/>
          <w:sz w:val="18"/>
          <w:szCs w:val="18"/>
          <w:lang w:val="en-IE"/>
        </w:rPr>
        <w:t> </w:t>
      </w:r>
      <w:r w:rsidRPr="67DC3EDF">
        <w:rPr>
          <w:noProof/>
          <w:sz w:val="18"/>
          <w:szCs w:val="18"/>
          <w:lang w:val="en-IE"/>
        </w:rPr>
        <w:t>15(3) of the financial regulation.</w:t>
      </w:r>
    </w:p>
    <w:p w14:paraId="54DE7EE7" w14:textId="1188CB08" w:rsidR="0067184C" w:rsidRDefault="0067184C" w:rsidP="0067184C">
      <w:pPr>
        <w:pStyle w:val="ppoTableTabletitle"/>
        <w:jc w:val="center"/>
        <w:rPr>
          <w:noProof/>
          <w:lang w:val="en-IE"/>
        </w:rPr>
      </w:pPr>
      <w:r w:rsidRPr="00304A2B">
        <w:rPr>
          <w:rStyle w:val="ppocharRedtext24pt"/>
          <w:noProof/>
          <w:color w:val="auto"/>
          <w:sz w:val="22"/>
          <w:szCs w:val="22"/>
        </w:rPr>
        <w:t>Financial programming</w:t>
      </w:r>
      <w:r w:rsidRPr="6F170149">
        <w:rPr>
          <w:rStyle w:val="ppocharRedtext24pt"/>
          <w:noProof/>
        </w:rPr>
        <w:t xml:space="preserve"> +</w:t>
      </w:r>
      <w:r w:rsidRPr="6F170149">
        <w:rPr>
          <w:rStyle w:val="ppocharRedtext24pt"/>
          <w:rFonts w:ascii="Calibri" w:hAnsi="Calibri" w:cs="Calibri"/>
          <w:noProof/>
        </w:rPr>
        <w:t> </w:t>
      </w:r>
      <w:r w:rsidRPr="6F170149">
        <w:rPr>
          <w:rStyle w:val="ppocharRedtext24pt"/>
          <w:noProof/>
        </w:rPr>
        <w:t>EUR</w:t>
      </w:r>
      <w:r w:rsidRPr="6F170149">
        <w:rPr>
          <w:rStyle w:val="ppocharRedtext24pt"/>
          <w:rFonts w:ascii="Calibri" w:hAnsi="Calibri" w:cs="Calibri"/>
          <w:noProof/>
        </w:rPr>
        <w:t> 587.2 </w:t>
      </w:r>
      <w:r w:rsidRPr="6F170149">
        <w:rPr>
          <w:rStyle w:val="ppocharRedtext24pt"/>
          <w:noProof/>
        </w:rPr>
        <w:t xml:space="preserve">million (+4%) </w:t>
      </w:r>
      <w:r w:rsidRPr="6F170149">
        <w:rPr>
          <w:noProof/>
          <w:lang w:val="en-IE"/>
        </w:rPr>
        <w:t>compared to the legal basis.</w:t>
      </w:r>
    </w:p>
    <w:p w14:paraId="76B735BD" w14:textId="77777777" w:rsidR="0067184C" w:rsidRPr="00040D99" w:rsidRDefault="0067184C" w:rsidP="0067184C">
      <w:pPr>
        <w:pStyle w:val="ppoTableTabletitle"/>
        <w:keepNext/>
        <w:rPr>
          <w:b/>
          <w:noProof/>
        </w:rPr>
      </w:pPr>
      <w:r w:rsidRPr="00040D99">
        <w:rPr>
          <w:noProof/>
        </w:rPr>
        <w:t>Cumulative implementation rate at the end of 2021</w:t>
      </w:r>
      <w:r>
        <w:rPr>
          <w:noProof/>
        </w:rPr>
        <w:t xml:space="preserve"> </w:t>
      </w:r>
      <w:r w:rsidRPr="00045449">
        <w:rPr>
          <w:noProof/>
          <w:lang w:val="en-IE"/>
        </w:rPr>
        <w:t>(million EUR)</w:t>
      </w:r>
      <w:r w:rsidRPr="00040D99">
        <w:rPr>
          <w:noProof/>
        </w:rPr>
        <w:t>:</w:t>
      </w:r>
    </w:p>
    <w:tbl>
      <w:tblPr>
        <w:tblStyle w:val="PPO2021"/>
        <w:tblW w:w="9639" w:type="dxa"/>
        <w:tblInd w:w="0" w:type="dxa"/>
        <w:tblLook w:val="06A0" w:firstRow="1" w:lastRow="0" w:firstColumn="1" w:lastColumn="0" w:noHBand="1" w:noVBand="1"/>
      </w:tblPr>
      <w:tblGrid>
        <w:gridCol w:w="2409"/>
        <w:gridCol w:w="2410"/>
        <w:gridCol w:w="2410"/>
        <w:gridCol w:w="2410"/>
      </w:tblGrid>
      <w:tr w:rsidR="0067184C" w:rsidRPr="00040D99" w14:paraId="410B5CDC" w14:textId="77777777" w:rsidTr="0083214A">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6D957AFC" w14:textId="77777777" w:rsidR="0067184C" w:rsidRPr="00807AC3" w:rsidRDefault="0067184C" w:rsidP="0083214A">
            <w:pPr>
              <w:rPr>
                <w:noProof/>
              </w:rPr>
            </w:pPr>
          </w:p>
        </w:tc>
        <w:tc>
          <w:tcPr>
            <w:tcW w:w="2410" w:type="dxa"/>
          </w:tcPr>
          <w:p w14:paraId="1A9C01F9" w14:textId="77777777" w:rsidR="0067184C" w:rsidRPr="00807AC3" w:rsidRDefault="0067184C" w:rsidP="0083214A">
            <w:pPr>
              <w:cnfStyle w:val="100000000000" w:firstRow="1" w:lastRow="0" w:firstColumn="0" w:lastColumn="0" w:oddVBand="0" w:evenVBand="0" w:oddHBand="0" w:evenHBand="0" w:firstRowFirstColumn="0" w:firstRowLastColumn="0" w:lastRowFirstColumn="0" w:lastRowLastColumn="0"/>
              <w:rPr>
                <w:noProof/>
              </w:rPr>
            </w:pPr>
            <w:r w:rsidRPr="00807AC3">
              <w:rPr>
                <w:noProof/>
              </w:rPr>
              <w:t>Implementation</w:t>
            </w:r>
          </w:p>
        </w:tc>
        <w:tc>
          <w:tcPr>
            <w:tcW w:w="2410" w:type="dxa"/>
          </w:tcPr>
          <w:p w14:paraId="6E045AA3" w14:textId="20DC3C46" w:rsidR="0067184C" w:rsidRPr="00807AC3" w:rsidRDefault="003821C6" w:rsidP="0083214A">
            <w:pPr>
              <w:cnfStyle w:val="100000000000" w:firstRow="1" w:lastRow="0" w:firstColumn="0" w:lastColumn="0" w:oddVBand="0" w:evenVBand="0" w:oddHBand="0" w:evenHBand="0" w:firstRowFirstColumn="0" w:firstRowLastColumn="0" w:lastRowFirstColumn="0" w:lastRowLastColumn="0"/>
              <w:rPr>
                <w:noProof/>
              </w:rPr>
            </w:pPr>
            <w:r>
              <w:rPr>
                <w:noProof/>
              </w:rPr>
              <w:t xml:space="preserve">2021-2027 </w:t>
            </w:r>
            <w:r w:rsidR="0067184C" w:rsidRPr="00807AC3">
              <w:rPr>
                <w:noProof/>
              </w:rPr>
              <w:t>Budget</w:t>
            </w:r>
          </w:p>
        </w:tc>
        <w:tc>
          <w:tcPr>
            <w:tcW w:w="2410" w:type="dxa"/>
          </w:tcPr>
          <w:p w14:paraId="38160D5C" w14:textId="77777777" w:rsidR="0067184C" w:rsidRPr="00807AC3" w:rsidRDefault="0067184C" w:rsidP="0083214A">
            <w:pPr>
              <w:cnfStyle w:val="100000000000" w:firstRow="1" w:lastRow="0" w:firstColumn="0" w:lastColumn="0" w:oddVBand="0" w:evenVBand="0" w:oddHBand="0" w:evenHBand="0" w:firstRowFirstColumn="0" w:firstRowLastColumn="0" w:lastRowFirstColumn="0" w:lastRowLastColumn="0"/>
              <w:rPr>
                <w:noProof/>
              </w:rPr>
            </w:pPr>
            <w:r w:rsidRPr="00807AC3">
              <w:rPr>
                <w:noProof/>
              </w:rPr>
              <w:t>Implementation rate</w:t>
            </w:r>
          </w:p>
        </w:tc>
      </w:tr>
      <w:tr w:rsidR="0067184C" w:rsidRPr="00040D99" w14:paraId="1D58AF93"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6BF646FA" w14:textId="77777777" w:rsidR="0067184C" w:rsidRPr="00807AC3" w:rsidRDefault="0067184C" w:rsidP="0083214A">
            <w:pPr>
              <w:jc w:val="center"/>
              <w:rPr>
                <w:noProof/>
              </w:rPr>
            </w:pPr>
            <w:r w:rsidRPr="00807AC3">
              <w:rPr>
                <w:noProof/>
              </w:rPr>
              <w:t>Commitment</w:t>
            </w:r>
            <w:r>
              <w:rPr>
                <w:noProof/>
              </w:rPr>
              <w:t>s</w:t>
            </w:r>
          </w:p>
        </w:tc>
        <w:tc>
          <w:tcPr>
            <w:tcW w:w="2410" w:type="dxa"/>
          </w:tcPr>
          <w:tbl>
            <w:tblPr>
              <w:tblStyle w:val="TableGrid"/>
              <w:tblW w:w="0" w:type="auto"/>
              <w:tblLook w:val="06A0" w:firstRow="1" w:lastRow="0" w:firstColumn="1" w:lastColumn="0" w:noHBand="1" w:noVBand="1"/>
            </w:tblPr>
            <w:tblGrid>
              <w:gridCol w:w="2194"/>
            </w:tblGrid>
            <w:tr w:rsidR="0067184C" w14:paraId="4515E29B" w14:textId="77777777" w:rsidTr="0083214A">
              <w:trPr>
                <w:trHeight w:val="285"/>
              </w:trPr>
              <w:tc>
                <w:tcPr>
                  <w:tcW w:w="2290" w:type="dxa"/>
                  <w:tcBorders>
                    <w:top w:val="nil"/>
                    <w:left w:val="nil"/>
                    <w:bottom w:val="nil"/>
                    <w:right w:val="nil"/>
                  </w:tcBorders>
                  <w:vAlign w:val="bottom"/>
                </w:tcPr>
                <w:p w14:paraId="620DC39A" w14:textId="47E1BBB6" w:rsidR="0067184C" w:rsidRDefault="0067184C" w:rsidP="0083214A">
                  <w:pPr>
                    <w:jc w:val="right"/>
                    <w:rPr>
                      <w:noProof/>
                    </w:rPr>
                  </w:pPr>
                  <w:r w:rsidRPr="3280569A">
                    <w:rPr>
                      <w:rFonts w:ascii="Calibri" w:hAnsi="Calibri" w:cs="Calibri"/>
                      <w:noProof/>
                      <w:color w:val="000000"/>
                    </w:rPr>
                    <w:t>1</w:t>
                  </w:r>
                  <w:r>
                    <w:rPr>
                      <w:rFonts w:ascii="Calibri" w:hAnsi="Calibri" w:cs="Calibri"/>
                      <w:noProof/>
                      <w:color w:val="000000"/>
                    </w:rPr>
                    <w:t> </w:t>
                  </w:r>
                  <w:r w:rsidRPr="3280569A">
                    <w:rPr>
                      <w:rFonts w:ascii="Calibri" w:hAnsi="Calibri" w:cs="Calibri"/>
                      <w:noProof/>
                      <w:color w:val="000000"/>
                    </w:rPr>
                    <w:t>571</w:t>
                  </w:r>
                  <w:r>
                    <w:rPr>
                      <w:rFonts w:ascii="Calibri" w:hAnsi="Calibri" w:cs="Calibri"/>
                      <w:noProof/>
                      <w:color w:val="000000"/>
                    </w:rPr>
                    <w:t>.5</w:t>
                  </w:r>
                </w:p>
              </w:tc>
            </w:tr>
          </w:tbl>
          <w:p w14:paraId="73A33138" w14:textId="77777777" w:rsidR="0067184C" w:rsidRPr="00807AC3" w:rsidRDefault="0067184C"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67184C" w14:paraId="6FA6CC4D" w14:textId="77777777" w:rsidTr="0083214A">
              <w:trPr>
                <w:trHeight w:val="285"/>
              </w:trPr>
              <w:tc>
                <w:tcPr>
                  <w:tcW w:w="2290" w:type="dxa"/>
                  <w:tcBorders>
                    <w:top w:val="nil"/>
                    <w:left w:val="nil"/>
                    <w:bottom w:val="nil"/>
                    <w:right w:val="nil"/>
                  </w:tcBorders>
                  <w:vAlign w:val="bottom"/>
                </w:tcPr>
                <w:p w14:paraId="56A4142C" w14:textId="092E043E" w:rsidR="0067184C" w:rsidRDefault="0067184C" w:rsidP="0067184C">
                  <w:pPr>
                    <w:jc w:val="right"/>
                    <w:rPr>
                      <w:rFonts w:ascii="Calibri" w:hAnsi="Calibri" w:cs="Calibri"/>
                      <w:noProof/>
                      <w:color w:val="000000"/>
                    </w:rPr>
                  </w:pPr>
                  <w:r w:rsidRPr="5FF95C70">
                    <w:rPr>
                      <w:rFonts w:ascii="Calibri" w:hAnsi="Calibri" w:cs="Calibri"/>
                      <w:noProof/>
                      <w:color w:val="000000"/>
                    </w:rPr>
                    <w:t>14  780.0</w:t>
                  </w:r>
                </w:p>
              </w:tc>
            </w:tr>
          </w:tbl>
          <w:p w14:paraId="6CF88A86" w14:textId="77777777" w:rsidR="0067184C" w:rsidRPr="00807AC3" w:rsidRDefault="0067184C"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67184C" w14:paraId="60D85D5E" w14:textId="77777777" w:rsidTr="0083214A">
              <w:trPr>
                <w:trHeight w:val="285"/>
              </w:trPr>
              <w:tc>
                <w:tcPr>
                  <w:tcW w:w="2290" w:type="dxa"/>
                  <w:tcBorders>
                    <w:top w:val="nil"/>
                    <w:left w:val="nil"/>
                    <w:bottom w:val="nil"/>
                    <w:right w:val="nil"/>
                  </w:tcBorders>
                  <w:vAlign w:val="bottom"/>
                </w:tcPr>
                <w:p w14:paraId="15E72DE5" w14:textId="77777777" w:rsidR="0067184C" w:rsidRDefault="0067184C" w:rsidP="0083214A">
                  <w:pPr>
                    <w:jc w:val="right"/>
                    <w:rPr>
                      <w:noProof/>
                    </w:rPr>
                  </w:pPr>
                  <w:r>
                    <w:rPr>
                      <w:rFonts w:ascii="Calibri" w:hAnsi="Calibri" w:cs="Calibri"/>
                      <w:noProof/>
                      <w:color w:val="000000"/>
                    </w:rPr>
                    <w:t>11</w:t>
                  </w:r>
                  <w:r w:rsidRPr="3280569A">
                    <w:rPr>
                      <w:rFonts w:ascii="Calibri" w:hAnsi="Calibri" w:cs="Calibri"/>
                      <w:noProof/>
                      <w:color w:val="000000"/>
                    </w:rPr>
                    <w:t>%</w:t>
                  </w:r>
                </w:p>
              </w:tc>
            </w:tr>
          </w:tbl>
          <w:p w14:paraId="6782BB4F" w14:textId="77777777" w:rsidR="0067184C" w:rsidRPr="00807AC3" w:rsidRDefault="0067184C" w:rsidP="0083214A">
            <w:pPr>
              <w:jc w:val="center"/>
              <w:cnfStyle w:val="000000000000" w:firstRow="0" w:lastRow="0" w:firstColumn="0" w:lastColumn="0" w:oddVBand="0" w:evenVBand="0" w:oddHBand="0" w:evenHBand="0" w:firstRowFirstColumn="0" w:firstRowLastColumn="0" w:lastRowFirstColumn="0" w:lastRowLastColumn="0"/>
              <w:rPr>
                <w:noProof/>
              </w:rPr>
            </w:pPr>
          </w:p>
        </w:tc>
      </w:tr>
      <w:tr w:rsidR="0067184C" w:rsidRPr="00040D99" w14:paraId="55AA2927"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6E546720" w14:textId="77777777" w:rsidR="0067184C" w:rsidRPr="00807AC3" w:rsidRDefault="0067184C" w:rsidP="0083214A">
            <w:pPr>
              <w:jc w:val="center"/>
              <w:rPr>
                <w:noProof/>
              </w:rPr>
            </w:pPr>
            <w:r w:rsidRPr="00807AC3">
              <w:rPr>
                <w:noProof/>
              </w:rPr>
              <w:t>Payments</w:t>
            </w:r>
          </w:p>
        </w:tc>
        <w:tc>
          <w:tcPr>
            <w:tcW w:w="2410" w:type="dxa"/>
          </w:tcPr>
          <w:tbl>
            <w:tblPr>
              <w:tblStyle w:val="TableGrid"/>
              <w:tblW w:w="0" w:type="auto"/>
              <w:tblLook w:val="06A0" w:firstRow="1" w:lastRow="0" w:firstColumn="1" w:lastColumn="0" w:noHBand="1" w:noVBand="1"/>
            </w:tblPr>
            <w:tblGrid>
              <w:gridCol w:w="2194"/>
            </w:tblGrid>
            <w:tr w:rsidR="0067184C" w14:paraId="5E1534C3" w14:textId="77777777" w:rsidTr="0083214A">
              <w:trPr>
                <w:trHeight w:val="285"/>
              </w:trPr>
              <w:tc>
                <w:tcPr>
                  <w:tcW w:w="2290" w:type="dxa"/>
                  <w:tcBorders>
                    <w:top w:val="nil"/>
                    <w:left w:val="nil"/>
                    <w:bottom w:val="nil"/>
                    <w:right w:val="nil"/>
                  </w:tcBorders>
                  <w:vAlign w:val="bottom"/>
                </w:tcPr>
                <w:p w14:paraId="370536D4" w14:textId="77777777" w:rsidR="0067184C" w:rsidRDefault="0067184C" w:rsidP="0083214A">
                  <w:pPr>
                    <w:jc w:val="right"/>
                    <w:rPr>
                      <w:noProof/>
                    </w:rPr>
                  </w:pPr>
                  <w:r w:rsidRPr="3280569A">
                    <w:rPr>
                      <w:rFonts w:ascii="Calibri" w:hAnsi="Calibri" w:cs="Calibri"/>
                      <w:noProof/>
                      <w:color w:val="000000"/>
                    </w:rPr>
                    <w:t>40</w:t>
                  </w:r>
                  <w:r>
                    <w:rPr>
                      <w:rFonts w:ascii="Calibri" w:hAnsi="Calibri" w:cs="Calibri"/>
                      <w:noProof/>
                      <w:color w:val="000000"/>
                    </w:rPr>
                    <w:t>.1</w:t>
                  </w:r>
                </w:p>
              </w:tc>
            </w:tr>
          </w:tbl>
          <w:p w14:paraId="6E95FD32" w14:textId="77777777" w:rsidR="0067184C" w:rsidRPr="00807AC3" w:rsidRDefault="0067184C"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0B1F57A3" w14:textId="77777777" w:rsidR="0067184C" w:rsidRPr="00807AC3" w:rsidRDefault="0067184C"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67184C" w14:paraId="402F1E83" w14:textId="77777777" w:rsidTr="0083214A">
              <w:trPr>
                <w:trHeight w:val="285"/>
              </w:trPr>
              <w:tc>
                <w:tcPr>
                  <w:tcW w:w="2235" w:type="dxa"/>
                  <w:tcBorders>
                    <w:top w:val="nil"/>
                    <w:left w:val="nil"/>
                    <w:bottom w:val="nil"/>
                    <w:right w:val="nil"/>
                  </w:tcBorders>
                  <w:vAlign w:val="bottom"/>
                </w:tcPr>
                <w:p w14:paraId="4C71AE0E" w14:textId="77777777" w:rsidR="0067184C" w:rsidRDefault="0067184C" w:rsidP="0083214A">
                  <w:pPr>
                    <w:jc w:val="right"/>
                    <w:rPr>
                      <w:noProof/>
                    </w:rPr>
                  </w:pPr>
                  <w:r>
                    <w:rPr>
                      <w:rFonts w:ascii="Calibri" w:hAnsi="Calibri" w:cs="Calibri"/>
                      <w:noProof/>
                      <w:color w:val="000000"/>
                    </w:rPr>
                    <w:t>0</w:t>
                  </w:r>
                  <w:r w:rsidRPr="3280569A">
                    <w:rPr>
                      <w:rFonts w:ascii="Calibri" w:hAnsi="Calibri" w:cs="Calibri"/>
                      <w:noProof/>
                      <w:color w:val="000000"/>
                    </w:rPr>
                    <w:t>%</w:t>
                  </w:r>
                </w:p>
              </w:tc>
            </w:tr>
          </w:tbl>
          <w:p w14:paraId="6AB24FBE" w14:textId="77777777" w:rsidR="0067184C" w:rsidRPr="00807AC3" w:rsidRDefault="0067184C" w:rsidP="0083214A">
            <w:pPr>
              <w:jc w:val="center"/>
              <w:cnfStyle w:val="000000000000" w:firstRow="0" w:lastRow="0" w:firstColumn="0" w:lastColumn="0" w:oddVBand="0" w:evenVBand="0" w:oddHBand="0" w:evenHBand="0" w:firstRowFirstColumn="0" w:firstRowLastColumn="0" w:lastRowFirstColumn="0" w:lastRowLastColumn="0"/>
              <w:rPr>
                <w:b/>
                <w:bCs/>
                <w:noProof/>
              </w:rPr>
            </w:pPr>
          </w:p>
        </w:tc>
      </w:tr>
    </w:tbl>
    <w:p w14:paraId="7BF9A40B" w14:textId="77777777" w:rsidR="0067184C" w:rsidRPr="00040D99" w:rsidRDefault="0067184C" w:rsidP="0067184C">
      <w:pPr>
        <w:pStyle w:val="ppoTableTabletitle"/>
        <w:rPr>
          <w:b/>
          <w:noProof/>
        </w:rPr>
      </w:pPr>
      <w:r w:rsidRPr="00040D99">
        <w:rPr>
          <w:noProof/>
        </w:rPr>
        <w:t>Voted budget implementation in 2021</w:t>
      </w:r>
      <w:r>
        <w:rPr>
          <w:noProof/>
        </w:rPr>
        <w:t xml:space="preserve"> </w:t>
      </w:r>
      <w:r w:rsidRPr="00045449">
        <w:rPr>
          <w:noProof/>
          <w:lang w:val="en-IE"/>
        </w:rPr>
        <w:t>(million EUR):</w:t>
      </w:r>
    </w:p>
    <w:tbl>
      <w:tblPr>
        <w:tblStyle w:val="PPO2021"/>
        <w:tblW w:w="3683" w:type="pct"/>
        <w:tblInd w:w="79" w:type="dxa"/>
        <w:tblLook w:val="04A0" w:firstRow="1" w:lastRow="0" w:firstColumn="1" w:lastColumn="0" w:noHBand="0" w:noVBand="1"/>
      </w:tblPr>
      <w:tblGrid>
        <w:gridCol w:w="2419"/>
        <w:gridCol w:w="2419"/>
        <w:gridCol w:w="2420"/>
      </w:tblGrid>
      <w:tr w:rsidR="0067184C" w:rsidRPr="00040D99" w14:paraId="556CC789" w14:textId="77777777" w:rsidTr="008321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331722E6" w14:textId="77777777" w:rsidR="0067184C" w:rsidRPr="0017374C" w:rsidRDefault="0067184C" w:rsidP="0083214A">
            <w:pPr>
              <w:rPr>
                <w:noProof/>
              </w:rPr>
            </w:pPr>
          </w:p>
        </w:tc>
        <w:tc>
          <w:tcPr>
            <w:tcW w:w="2419" w:type="dxa"/>
          </w:tcPr>
          <w:p w14:paraId="19A2906C" w14:textId="77777777" w:rsidR="0067184C" w:rsidRPr="0017374C" w:rsidRDefault="0067184C" w:rsidP="0083214A">
            <w:pPr>
              <w:cnfStyle w:val="100000000000" w:firstRow="1" w:lastRow="0" w:firstColumn="0" w:lastColumn="0" w:oddVBand="0" w:evenVBand="0" w:oddHBand="0" w:evenHBand="0" w:firstRowFirstColumn="0" w:firstRowLastColumn="0" w:lastRowFirstColumn="0" w:lastRowLastColumn="0"/>
              <w:rPr>
                <w:noProof/>
              </w:rPr>
            </w:pPr>
            <w:r w:rsidRPr="0017374C">
              <w:rPr>
                <w:noProof/>
              </w:rPr>
              <w:t>Voted budget implementation</w:t>
            </w:r>
          </w:p>
        </w:tc>
        <w:tc>
          <w:tcPr>
            <w:tcW w:w="2420" w:type="dxa"/>
          </w:tcPr>
          <w:p w14:paraId="0C8B41ED" w14:textId="77777777" w:rsidR="0067184C" w:rsidRPr="0017374C" w:rsidRDefault="0067184C" w:rsidP="0083214A">
            <w:pPr>
              <w:cnfStyle w:val="100000000000" w:firstRow="1" w:lastRow="0" w:firstColumn="0" w:lastColumn="0" w:oddVBand="0" w:evenVBand="0" w:oddHBand="0" w:evenHBand="0" w:firstRowFirstColumn="0" w:firstRowLastColumn="0" w:lastRowFirstColumn="0" w:lastRowLastColumn="0"/>
              <w:rPr>
                <w:noProof/>
              </w:rPr>
            </w:pPr>
            <w:r w:rsidRPr="0017374C">
              <w:rPr>
                <w:noProof/>
              </w:rPr>
              <w:t>Initial voted budget</w:t>
            </w:r>
          </w:p>
        </w:tc>
      </w:tr>
      <w:tr w:rsidR="0067184C" w:rsidRPr="00040D99" w14:paraId="4A429D81" w14:textId="77777777" w:rsidTr="0083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492FB394" w14:textId="77777777" w:rsidR="0067184C" w:rsidRPr="0017374C" w:rsidRDefault="0067184C" w:rsidP="0083214A">
            <w:pPr>
              <w:jc w:val="center"/>
              <w:rPr>
                <w:noProof/>
              </w:rPr>
            </w:pPr>
            <w:r w:rsidRPr="0017374C">
              <w:rPr>
                <w:noProof/>
              </w:rPr>
              <w:t>Commitments</w:t>
            </w:r>
          </w:p>
        </w:tc>
        <w:tc>
          <w:tcPr>
            <w:tcW w:w="2419" w:type="dxa"/>
          </w:tcPr>
          <w:p w14:paraId="46090251" w14:textId="77777777" w:rsidR="0067184C" w:rsidRPr="0017374C" w:rsidRDefault="0067184C" w:rsidP="0083214A">
            <w:pPr>
              <w:jc w:val="center"/>
              <w:cnfStyle w:val="000000100000" w:firstRow="0" w:lastRow="0" w:firstColumn="0" w:lastColumn="0" w:oddVBand="0" w:evenVBand="0" w:oddHBand="1" w:evenHBand="0" w:firstRowFirstColumn="0" w:firstRowLastColumn="0" w:lastRowFirstColumn="0" w:lastRowLastColumn="0"/>
              <w:rPr>
                <w:noProof/>
              </w:rPr>
            </w:pPr>
            <w:r>
              <w:rPr>
                <w:noProof/>
              </w:rPr>
              <w:t>1</w:t>
            </w:r>
            <w:r w:rsidRPr="67DC3EDF">
              <w:rPr>
                <w:rFonts w:ascii="Calibri" w:hAnsi="Calibri" w:cs="Calibri"/>
                <w:noProof/>
              </w:rPr>
              <w:t> </w:t>
            </w:r>
            <w:r>
              <w:rPr>
                <w:noProof/>
              </w:rPr>
              <w:t>566.3</w:t>
            </w:r>
          </w:p>
        </w:tc>
        <w:tc>
          <w:tcPr>
            <w:tcW w:w="2420" w:type="dxa"/>
          </w:tcPr>
          <w:p w14:paraId="62AAB730" w14:textId="456562F0" w:rsidR="0067184C" w:rsidRPr="0017374C" w:rsidRDefault="0067184C" w:rsidP="0083214A">
            <w:pPr>
              <w:jc w:val="center"/>
              <w:cnfStyle w:val="000000100000" w:firstRow="0" w:lastRow="0" w:firstColumn="0" w:lastColumn="0" w:oddVBand="0" w:evenVBand="0" w:oddHBand="1" w:evenHBand="0" w:firstRowFirstColumn="0" w:firstRowLastColumn="0" w:lastRowFirstColumn="0" w:lastRowLastColumn="0"/>
              <w:rPr>
                <w:noProof/>
              </w:rPr>
            </w:pPr>
            <w:r w:rsidRPr="000F45E4">
              <w:rPr>
                <w:noProof/>
              </w:rPr>
              <w:t>1</w:t>
            </w:r>
            <w:r>
              <w:rPr>
                <w:rFonts w:ascii="Calibri" w:hAnsi="Calibri" w:cs="Calibri"/>
                <w:noProof/>
              </w:rPr>
              <w:t> </w:t>
            </w:r>
            <w:r w:rsidRPr="000F45E4">
              <w:rPr>
                <w:noProof/>
              </w:rPr>
              <w:t>901</w:t>
            </w:r>
            <w:r>
              <w:rPr>
                <w:noProof/>
              </w:rPr>
              <w:t>.</w:t>
            </w:r>
            <w:r w:rsidRPr="000F45E4">
              <w:rPr>
                <w:noProof/>
              </w:rPr>
              <w:t>4</w:t>
            </w:r>
          </w:p>
        </w:tc>
      </w:tr>
      <w:tr w:rsidR="0067184C" w:rsidRPr="00040D99" w14:paraId="1FD22BED" w14:textId="77777777" w:rsidTr="00832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78A13B5F" w14:textId="77777777" w:rsidR="0067184C" w:rsidRPr="0017374C" w:rsidRDefault="0067184C" w:rsidP="0083214A">
            <w:pPr>
              <w:jc w:val="center"/>
              <w:rPr>
                <w:noProof/>
              </w:rPr>
            </w:pPr>
            <w:r w:rsidRPr="0017374C">
              <w:rPr>
                <w:noProof/>
              </w:rPr>
              <w:t>Payments</w:t>
            </w:r>
          </w:p>
        </w:tc>
        <w:tc>
          <w:tcPr>
            <w:tcW w:w="2419" w:type="dxa"/>
          </w:tcPr>
          <w:p w14:paraId="5C6F9FB9" w14:textId="77777777" w:rsidR="0067184C" w:rsidRPr="0017374C" w:rsidRDefault="0067184C" w:rsidP="0083214A">
            <w:pPr>
              <w:jc w:val="center"/>
              <w:cnfStyle w:val="000000010000" w:firstRow="0" w:lastRow="0" w:firstColumn="0" w:lastColumn="0" w:oddVBand="0" w:evenVBand="0" w:oddHBand="0" w:evenHBand="1" w:firstRowFirstColumn="0" w:firstRowLastColumn="0" w:lastRowFirstColumn="0" w:lastRowLastColumn="0"/>
              <w:rPr>
                <w:noProof/>
              </w:rPr>
            </w:pPr>
            <w:r w:rsidRPr="00E04398">
              <w:rPr>
                <w:noProof/>
              </w:rPr>
              <w:t>35</w:t>
            </w:r>
            <w:r>
              <w:rPr>
                <w:noProof/>
              </w:rPr>
              <w:t>.4</w:t>
            </w:r>
          </w:p>
        </w:tc>
        <w:tc>
          <w:tcPr>
            <w:tcW w:w="2420" w:type="dxa"/>
          </w:tcPr>
          <w:p w14:paraId="414F71EB" w14:textId="77777777" w:rsidR="0067184C" w:rsidRPr="0017374C" w:rsidRDefault="0067184C" w:rsidP="0083214A">
            <w:pPr>
              <w:jc w:val="center"/>
              <w:cnfStyle w:val="000000010000" w:firstRow="0" w:lastRow="0" w:firstColumn="0" w:lastColumn="0" w:oddVBand="0" w:evenVBand="0" w:oddHBand="0" w:evenHBand="1" w:firstRowFirstColumn="0" w:firstRowLastColumn="0" w:lastRowFirstColumn="0" w:lastRowLastColumn="0"/>
              <w:rPr>
                <w:noProof/>
              </w:rPr>
            </w:pPr>
            <w:r>
              <w:rPr>
                <w:noProof/>
              </w:rPr>
              <w:t xml:space="preserve">65.3 </w:t>
            </w:r>
          </w:p>
        </w:tc>
      </w:tr>
    </w:tbl>
    <w:p w14:paraId="5CEBD79F" w14:textId="77777777" w:rsidR="0067184C" w:rsidRPr="003317B4" w:rsidRDefault="0067184C" w:rsidP="0067184C">
      <w:pPr>
        <w:pStyle w:val="ppoListHyphened-L1"/>
        <w:jc w:val="both"/>
        <w:rPr>
          <w:noProof/>
        </w:rPr>
      </w:pPr>
      <w:r>
        <w:rPr>
          <w:noProof/>
        </w:rPr>
        <w:t>2021 was the year of the programming of the funds, in close coordination with the beneficiary countries. Despite the adoption of the legal basis in June 2021, the Commission implemented 84% of the available 2021 IPA</w:t>
      </w:r>
      <w:r w:rsidRPr="67DC3EDF">
        <w:rPr>
          <w:rFonts w:ascii="Calibri" w:hAnsi="Calibri" w:cs="Calibri"/>
          <w:noProof/>
        </w:rPr>
        <w:t> </w:t>
      </w:r>
      <w:r>
        <w:rPr>
          <w:noProof/>
        </w:rPr>
        <w:t>III commitment appropriations by the end of the year. The remaining appropriations were carried over to 2022.</w:t>
      </w:r>
    </w:p>
    <w:p w14:paraId="5EBBD543" w14:textId="77777777" w:rsidR="0067184C" w:rsidRPr="003317B4" w:rsidRDefault="0067184C" w:rsidP="0067184C">
      <w:pPr>
        <w:pStyle w:val="ppoListHyphened-L1"/>
        <w:jc w:val="both"/>
        <w:rPr>
          <w:noProof/>
        </w:rPr>
      </w:pPr>
      <w:r>
        <w:rPr>
          <w:noProof/>
        </w:rPr>
        <w:t>In 2021, EUR</w:t>
      </w:r>
      <w:r w:rsidRPr="67DC3EDF">
        <w:rPr>
          <w:rFonts w:ascii="Calibri" w:hAnsi="Calibri" w:cs="Calibri"/>
          <w:noProof/>
        </w:rPr>
        <w:t> </w:t>
      </w:r>
      <w:r>
        <w:rPr>
          <w:noProof/>
        </w:rPr>
        <w:t>1.5</w:t>
      </w:r>
      <w:r w:rsidRPr="67DC3EDF">
        <w:rPr>
          <w:rFonts w:ascii="Calibri" w:hAnsi="Calibri" w:cs="Calibri"/>
          <w:noProof/>
        </w:rPr>
        <w:t> </w:t>
      </w:r>
      <w:r>
        <w:rPr>
          <w:noProof/>
        </w:rPr>
        <w:t>billion was committed, including EUR</w:t>
      </w:r>
      <w:r w:rsidRPr="67DC3EDF">
        <w:rPr>
          <w:rFonts w:ascii="Calibri" w:hAnsi="Calibri" w:cs="Calibri"/>
          <w:noProof/>
        </w:rPr>
        <w:t> </w:t>
      </w:r>
      <w:r>
        <w:rPr>
          <w:noProof/>
        </w:rPr>
        <w:t>446.9</w:t>
      </w:r>
      <w:r w:rsidRPr="67DC3EDF">
        <w:rPr>
          <w:rFonts w:ascii="Calibri" w:hAnsi="Calibri" w:cs="Calibri"/>
          <w:noProof/>
        </w:rPr>
        <w:t> </w:t>
      </w:r>
      <w:r>
        <w:rPr>
          <w:noProof/>
        </w:rPr>
        <w:t>million through bilateral actions for Western Balkans beneficiary countries, EUR</w:t>
      </w:r>
      <w:r w:rsidRPr="67DC3EDF">
        <w:rPr>
          <w:rFonts w:ascii="Calibri" w:hAnsi="Calibri" w:cs="Calibri"/>
          <w:noProof/>
        </w:rPr>
        <w:t> </w:t>
      </w:r>
      <w:r>
        <w:rPr>
          <w:noProof/>
        </w:rPr>
        <w:t>165.3</w:t>
      </w:r>
      <w:r w:rsidRPr="67DC3EDF">
        <w:rPr>
          <w:rFonts w:ascii="Calibri" w:hAnsi="Calibri" w:cs="Calibri"/>
          <w:noProof/>
        </w:rPr>
        <w:t> </w:t>
      </w:r>
      <w:r>
        <w:rPr>
          <w:noProof/>
        </w:rPr>
        <w:t>million for Turkey and EUR</w:t>
      </w:r>
      <w:r w:rsidRPr="67DC3EDF">
        <w:rPr>
          <w:rFonts w:ascii="Calibri" w:hAnsi="Calibri" w:cs="Calibri"/>
          <w:noProof/>
        </w:rPr>
        <w:t> </w:t>
      </w:r>
      <w:r>
        <w:rPr>
          <w:noProof/>
        </w:rPr>
        <w:t>919</w:t>
      </w:r>
      <w:r w:rsidRPr="67DC3EDF">
        <w:rPr>
          <w:rFonts w:ascii="Calibri" w:hAnsi="Calibri" w:cs="Calibri"/>
          <w:noProof/>
        </w:rPr>
        <w:t> </w:t>
      </w:r>
      <w:r>
        <w:rPr>
          <w:noProof/>
        </w:rPr>
        <w:t>million through multi-country actions in the annual action plan.</w:t>
      </w:r>
    </w:p>
    <w:p w14:paraId="66F157C2" w14:textId="77777777" w:rsidR="0067184C" w:rsidRPr="003317B4" w:rsidRDefault="0067184C" w:rsidP="0067184C">
      <w:pPr>
        <w:pStyle w:val="ppoListHyphened-L1"/>
        <w:jc w:val="both"/>
        <w:rPr>
          <w:noProof/>
        </w:rPr>
      </w:pPr>
      <w:r>
        <w:rPr>
          <w:noProof/>
        </w:rPr>
        <w:t>Multiannual action plans at multi-country level were also adopted in 2021.</w:t>
      </w:r>
    </w:p>
    <w:p w14:paraId="53C0A74F" w14:textId="77777777" w:rsidR="0067184C" w:rsidRPr="003317B4" w:rsidRDefault="0067184C" w:rsidP="0067184C">
      <w:pPr>
        <w:pStyle w:val="ppoListHyphened-L1"/>
        <w:jc w:val="both"/>
        <w:rPr>
          <w:noProof/>
        </w:rPr>
      </w:pPr>
      <w:r>
        <w:rPr>
          <w:noProof/>
        </w:rPr>
        <w:t>The amounts carried over from 2021 (EUR</w:t>
      </w:r>
      <w:r w:rsidRPr="67DC3EDF">
        <w:rPr>
          <w:rFonts w:ascii="Calibri" w:hAnsi="Calibri" w:cs="Calibri"/>
          <w:noProof/>
        </w:rPr>
        <w:t> </w:t>
      </w:r>
      <w:r>
        <w:rPr>
          <w:noProof/>
        </w:rPr>
        <w:t>318</w:t>
      </w:r>
      <w:r w:rsidRPr="67DC3EDF">
        <w:rPr>
          <w:rFonts w:ascii="Calibri" w:hAnsi="Calibri" w:cs="Calibri"/>
          <w:noProof/>
        </w:rPr>
        <w:t> </w:t>
      </w:r>
      <w:r>
        <w:rPr>
          <w:noProof/>
        </w:rPr>
        <w:t>million) will be used in 2022 to support migration management in the Western Balkans, the refugees and host communities in Turkey, and rural development and cross-border cooperation programmes.</w:t>
      </w:r>
    </w:p>
    <w:p w14:paraId="20DF68E1" w14:textId="77777777" w:rsidR="0067184C" w:rsidRDefault="0067184C" w:rsidP="0067184C">
      <w:pPr>
        <w:pStyle w:val="ppoListHyphened-L1"/>
        <w:jc w:val="both"/>
        <w:rPr>
          <w:noProof/>
        </w:rPr>
      </w:pPr>
      <w:r>
        <w:rPr>
          <w:noProof/>
        </w:rPr>
        <w:t>In 2021, the programming followed the key criteria of the IPA</w:t>
      </w:r>
      <w:r w:rsidRPr="67DC3EDF">
        <w:rPr>
          <w:rFonts w:ascii="Calibri" w:hAnsi="Calibri" w:cs="Calibri"/>
          <w:noProof/>
        </w:rPr>
        <w:t> </w:t>
      </w:r>
      <w:r>
        <w:rPr>
          <w:noProof/>
        </w:rPr>
        <w:t>III programming framework: the policy-driven approach, the relevance of proposed IPA interventions, the maturity of the proposals and the progress of the beneficiaries on their enlargement agenda. The programming took into account the performance of each beneficiary and the fair share principle, by targeting and adjusting assistance to the specific situation of each beneficiary.</w:t>
      </w:r>
    </w:p>
    <w:p w14:paraId="35C737C9" w14:textId="77777777" w:rsidR="0067184C" w:rsidRDefault="0067184C" w:rsidP="0067184C">
      <w:pPr>
        <w:pStyle w:val="ppoListHyphened-L1"/>
        <w:jc w:val="both"/>
        <w:rPr>
          <w:noProof/>
        </w:rPr>
      </w:pPr>
      <w:r>
        <w:rPr>
          <w:noProof/>
        </w:rPr>
        <w:t>For the Western Balkans, the assistance reflects the priorities of the economic and investment plan and of the green agenda for the Western Balkans.</w:t>
      </w:r>
    </w:p>
    <w:p w14:paraId="36B3EEC4" w14:textId="77777777" w:rsidR="0067184C" w:rsidRDefault="0067184C" w:rsidP="0067184C">
      <w:pPr>
        <w:pStyle w:val="ppoListHyphened-L1"/>
        <w:jc w:val="both"/>
        <w:rPr>
          <w:noProof/>
        </w:rPr>
      </w:pPr>
      <w:r>
        <w:rPr>
          <w:noProof/>
        </w:rPr>
        <w:t>For Turkey, the assistance reflects developments in the EU’s relations with the country and the European Council’s offer of a possible positive agenda and Turkey’s desire to adopt the European Green Deal.</w:t>
      </w:r>
    </w:p>
    <w:p w14:paraId="2FDB9964" w14:textId="77777777" w:rsidR="0067184C" w:rsidRPr="00040D99" w:rsidRDefault="0067184C" w:rsidP="0067184C">
      <w:pPr>
        <w:pStyle w:val="ppoHeading5"/>
        <w:rPr>
          <w:noProof/>
        </w:rPr>
      </w:pPr>
      <w:r w:rsidRPr="00040D99">
        <w:rPr>
          <w:noProof/>
        </w:rPr>
        <w:t>Contribution to horizontal priorities</w:t>
      </w:r>
    </w:p>
    <w:p w14:paraId="1698500C" w14:textId="77777777" w:rsidR="0067184C" w:rsidRPr="00040D99" w:rsidRDefault="0067184C" w:rsidP="0067184C">
      <w:pPr>
        <w:pStyle w:val="ppoTableTabletitle"/>
        <w:rPr>
          <w:noProof/>
        </w:rPr>
      </w:pPr>
      <w:r w:rsidRPr="00040D99">
        <w:rPr>
          <w:noProof/>
        </w:rPr>
        <w:t>EU budget contribution in 2021</w:t>
      </w:r>
      <w:r>
        <w:rPr>
          <w:noProof/>
        </w:rPr>
        <w:t xml:space="preserve"> </w:t>
      </w:r>
      <w:r w:rsidRPr="00045449">
        <w:rPr>
          <w:noProof/>
          <w:lang w:val="en-IE"/>
        </w:rPr>
        <w:t>(million EUR):</w:t>
      </w:r>
    </w:p>
    <w:tbl>
      <w:tblPr>
        <w:tblStyle w:val="PPO2021"/>
        <w:tblW w:w="9639" w:type="dxa"/>
        <w:tblInd w:w="0" w:type="dxa"/>
        <w:tblLook w:val="0420" w:firstRow="1" w:lastRow="0" w:firstColumn="0" w:lastColumn="0" w:noHBand="0" w:noVBand="1"/>
      </w:tblPr>
      <w:tblGrid>
        <w:gridCol w:w="3213"/>
        <w:gridCol w:w="3213"/>
        <w:gridCol w:w="3213"/>
      </w:tblGrid>
      <w:tr w:rsidR="0067184C" w:rsidRPr="00040D99" w14:paraId="09546E2D" w14:textId="77777777" w:rsidTr="0083214A">
        <w:trPr>
          <w:cnfStyle w:val="100000000000" w:firstRow="1" w:lastRow="0" w:firstColumn="0" w:lastColumn="0" w:oddVBand="0" w:evenVBand="0" w:oddHBand="0" w:evenHBand="0" w:firstRowFirstColumn="0" w:firstRowLastColumn="0" w:lastRowFirstColumn="0" w:lastRowLastColumn="0"/>
          <w:tblHeader/>
        </w:trPr>
        <w:tc>
          <w:tcPr>
            <w:tcW w:w="3213" w:type="dxa"/>
          </w:tcPr>
          <w:p w14:paraId="6C43911B" w14:textId="77777777" w:rsidR="0067184C" w:rsidRPr="00BD731A" w:rsidRDefault="0067184C" w:rsidP="0083214A">
            <w:pPr>
              <w:rPr>
                <w:noProof/>
              </w:rPr>
            </w:pPr>
            <w:r w:rsidRPr="00BD731A">
              <w:rPr>
                <w:noProof/>
              </w:rPr>
              <w:t>Climate</w:t>
            </w:r>
          </w:p>
        </w:tc>
        <w:tc>
          <w:tcPr>
            <w:tcW w:w="3213" w:type="dxa"/>
          </w:tcPr>
          <w:p w14:paraId="7722B436" w14:textId="77777777" w:rsidR="0067184C" w:rsidRPr="00BD731A" w:rsidRDefault="0067184C" w:rsidP="0083214A">
            <w:pPr>
              <w:rPr>
                <w:noProof/>
              </w:rPr>
            </w:pPr>
            <w:r w:rsidRPr="00BD731A">
              <w:rPr>
                <w:noProof/>
              </w:rPr>
              <w:t>Biodiversity</w:t>
            </w:r>
          </w:p>
        </w:tc>
        <w:tc>
          <w:tcPr>
            <w:tcW w:w="3213" w:type="dxa"/>
          </w:tcPr>
          <w:p w14:paraId="0968821E" w14:textId="77777777" w:rsidR="0067184C" w:rsidRPr="00BD731A" w:rsidRDefault="0067184C" w:rsidP="0083214A">
            <w:pPr>
              <w:rPr>
                <w:noProof/>
              </w:rPr>
            </w:pPr>
            <w:r>
              <w:rPr>
                <w:noProof/>
              </w:rPr>
              <w:t>Gender equality</w:t>
            </w:r>
            <w:r w:rsidRPr="67DC3EDF">
              <w:rPr>
                <w:rFonts w:ascii="Calibri" w:hAnsi="Calibri" w:cs="Calibri"/>
                <w:noProof/>
              </w:rPr>
              <w:t> </w:t>
            </w:r>
            <w:r>
              <w:rPr>
                <w:noProof/>
              </w:rPr>
              <w:t>(*)</w:t>
            </w:r>
          </w:p>
        </w:tc>
      </w:tr>
      <w:tr w:rsidR="0067184C" w:rsidRPr="00040D99" w14:paraId="1DA977F3" w14:textId="77777777" w:rsidTr="0083214A">
        <w:trPr>
          <w:cnfStyle w:val="000000100000" w:firstRow="0" w:lastRow="0" w:firstColumn="0" w:lastColumn="0" w:oddVBand="0" w:evenVBand="0" w:oddHBand="1" w:evenHBand="0" w:firstRowFirstColumn="0" w:firstRowLastColumn="0" w:lastRowFirstColumn="0" w:lastRowLastColumn="0"/>
        </w:trPr>
        <w:tc>
          <w:tcPr>
            <w:tcW w:w="3213" w:type="dxa"/>
          </w:tcPr>
          <w:tbl>
            <w:tblPr>
              <w:tblStyle w:val="TableGrid"/>
              <w:tblW w:w="0" w:type="auto"/>
              <w:tblLook w:val="06A0" w:firstRow="1" w:lastRow="0" w:firstColumn="1" w:lastColumn="0" w:noHBand="1" w:noVBand="1"/>
            </w:tblPr>
            <w:tblGrid>
              <w:gridCol w:w="1935"/>
            </w:tblGrid>
            <w:tr w:rsidR="0067184C" w:rsidRPr="003317B4" w14:paraId="0F5A71A1" w14:textId="77777777" w:rsidTr="0083214A">
              <w:trPr>
                <w:trHeight w:val="285"/>
              </w:trPr>
              <w:tc>
                <w:tcPr>
                  <w:tcW w:w="1935" w:type="dxa"/>
                  <w:tcBorders>
                    <w:top w:val="nil"/>
                    <w:left w:val="nil"/>
                    <w:bottom w:val="nil"/>
                    <w:right w:val="nil"/>
                  </w:tcBorders>
                  <w:vAlign w:val="bottom"/>
                </w:tcPr>
                <w:p w14:paraId="07136D72" w14:textId="109B0216" w:rsidR="0067184C" w:rsidRPr="003317B4" w:rsidRDefault="0067184C" w:rsidP="0083214A">
                  <w:pPr>
                    <w:jc w:val="right"/>
                    <w:rPr>
                      <w:noProof/>
                    </w:rPr>
                  </w:pPr>
                  <w:r>
                    <w:rPr>
                      <w:rFonts w:ascii="Calibri" w:hAnsi="Calibri" w:cs="Calibri"/>
                      <w:noProof/>
                      <w:color w:val="000000"/>
                    </w:rPr>
                    <w:t>50</w:t>
                  </w:r>
                  <w:r w:rsidR="00943AD6">
                    <w:rPr>
                      <w:rFonts w:ascii="Calibri" w:hAnsi="Calibri" w:cs="Calibri"/>
                      <w:noProof/>
                      <w:color w:val="000000"/>
                    </w:rPr>
                    <w:t>9.3</w:t>
                  </w:r>
                </w:p>
              </w:tc>
            </w:tr>
          </w:tbl>
          <w:p w14:paraId="1BC5DE58" w14:textId="77777777" w:rsidR="0067184C" w:rsidRPr="003317B4" w:rsidRDefault="0067184C" w:rsidP="0083214A">
            <w:pPr>
              <w:jc w:val="center"/>
              <w:rPr>
                <w:noProof/>
              </w:rPr>
            </w:pPr>
          </w:p>
        </w:tc>
        <w:tc>
          <w:tcPr>
            <w:tcW w:w="3213" w:type="dxa"/>
          </w:tcPr>
          <w:p w14:paraId="10EF99EF" w14:textId="25ABB340" w:rsidR="0067184C" w:rsidRPr="003317B4" w:rsidRDefault="0067184C" w:rsidP="0083214A">
            <w:pPr>
              <w:jc w:val="center"/>
              <w:rPr>
                <w:noProof/>
              </w:rPr>
            </w:pPr>
            <w:r w:rsidRPr="003317B4">
              <w:rPr>
                <w:noProof/>
              </w:rPr>
              <w:t>3</w:t>
            </w:r>
            <w:r w:rsidR="00ED5A29">
              <w:rPr>
                <w:noProof/>
              </w:rPr>
              <w:t>3</w:t>
            </w:r>
          </w:p>
        </w:tc>
        <w:tc>
          <w:tcPr>
            <w:tcW w:w="3213" w:type="dxa"/>
          </w:tcPr>
          <w:p w14:paraId="52F10FA2" w14:textId="454953B2" w:rsidR="0067184C" w:rsidRDefault="0067184C" w:rsidP="0083214A">
            <w:pPr>
              <w:jc w:val="center"/>
              <w:rPr>
                <w:noProof/>
              </w:rPr>
            </w:pPr>
            <w:r>
              <w:rPr>
                <w:noProof/>
              </w:rPr>
              <w:t>Score</w:t>
            </w:r>
            <w:r w:rsidRPr="67DC3EDF">
              <w:rPr>
                <w:rFonts w:ascii="Calibri" w:hAnsi="Calibri" w:cs="Calibri"/>
                <w:noProof/>
              </w:rPr>
              <w:t> </w:t>
            </w:r>
            <w:r>
              <w:rPr>
                <w:noProof/>
              </w:rPr>
              <w:t>2: 4</w:t>
            </w:r>
            <w:r w:rsidR="00283F23">
              <w:rPr>
                <w:noProof/>
              </w:rPr>
              <w:t>2.8</w:t>
            </w:r>
          </w:p>
          <w:p w14:paraId="04F1A155" w14:textId="694E4FD3" w:rsidR="0067184C" w:rsidRDefault="0067184C" w:rsidP="0083214A">
            <w:pPr>
              <w:jc w:val="center"/>
              <w:rPr>
                <w:noProof/>
              </w:rPr>
            </w:pPr>
            <w:r>
              <w:rPr>
                <w:noProof/>
              </w:rPr>
              <w:t>Score</w:t>
            </w:r>
            <w:r w:rsidRPr="67DC3EDF">
              <w:rPr>
                <w:rFonts w:ascii="Calibri" w:hAnsi="Calibri" w:cs="Calibri"/>
                <w:noProof/>
              </w:rPr>
              <w:t> </w:t>
            </w:r>
            <w:r>
              <w:rPr>
                <w:noProof/>
              </w:rPr>
              <w:t xml:space="preserve">1: </w:t>
            </w:r>
            <w:r w:rsidR="00283F23">
              <w:rPr>
                <w:noProof/>
              </w:rPr>
              <w:t>498.4</w:t>
            </w:r>
          </w:p>
          <w:p w14:paraId="44C6E76F" w14:textId="06A3B2E5" w:rsidR="0067184C" w:rsidRPr="00BD731A" w:rsidRDefault="0067184C" w:rsidP="0083214A">
            <w:pPr>
              <w:jc w:val="center"/>
              <w:rPr>
                <w:noProof/>
              </w:rPr>
            </w:pPr>
            <w:r>
              <w:rPr>
                <w:noProof/>
              </w:rPr>
              <w:t>Score</w:t>
            </w:r>
            <w:r w:rsidRPr="67DC3EDF">
              <w:rPr>
                <w:rFonts w:ascii="Calibri" w:hAnsi="Calibri" w:cs="Calibri"/>
                <w:noProof/>
              </w:rPr>
              <w:t> </w:t>
            </w:r>
            <w:r>
              <w:rPr>
                <w:noProof/>
              </w:rPr>
              <w:t xml:space="preserve">0: </w:t>
            </w:r>
            <w:r w:rsidR="00283F23">
              <w:rPr>
                <w:noProof/>
              </w:rPr>
              <w:t>1 025.1</w:t>
            </w:r>
          </w:p>
        </w:tc>
      </w:tr>
    </w:tbl>
    <w:p w14:paraId="096B6AF7" w14:textId="77777777" w:rsidR="0067184C" w:rsidRPr="00045449" w:rsidRDefault="0067184C" w:rsidP="0067184C">
      <w:pPr>
        <w:pStyle w:val="FootnoteText"/>
        <w:rPr>
          <w:noProof/>
          <w:lang w:val="en-IE"/>
        </w:rPr>
      </w:pPr>
      <w:r w:rsidRPr="67DC3EDF">
        <w:rPr>
          <w:noProof/>
          <w:lang w:val="en-IE"/>
        </w:rPr>
        <w:t>(*)</w:t>
      </w:r>
      <w:r>
        <w:rPr>
          <w:noProof/>
        </w:rPr>
        <w:tab/>
      </w:r>
      <w:r w:rsidRPr="67DC3EDF">
        <w:rPr>
          <w:noProof/>
          <w:lang w:val="en-IE"/>
        </w:rPr>
        <w:t>Based on the applied gender contribution methodology, the following scores are attributed at the most granular level of intervention possible:</w:t>
      </w:r>
    </w:p>
    <w:p w14:paraId="78F3365B" w14:textId="77777777" w:rsidR="0067184C" w:rsidRPr="00045449" w:rsidRDefault="0067184C" w:rsidP="0067184C">
      <w:pPr>
        <w:pStyle w:val="FootnoteText"/>
        <w:numPr>
          <w:ilvl w:val="0"/>
          <w:numId w:val="38"/>
        </w:numPr>
        <w:spacing w:after="60" w:line="264" w:lineRule="auto"/>
        <w:jc w:val="left"/>
        <w:rPr>
          <w:noProof/>
          <w:lang w:val="en-IE"/>
        </w:rPr>
      </w:pPr>
      <w:r w:rsidRPr="00045449">
        <w:rPr>
          <w:noProof/>
          <w:lang w:val="en-IE"/>
        </w:rPr>
        <w:t>2: interventions the principal objective of which is to improve gender equality;</w:t>
      </w:r>
    </w:p>
    <w:p w14:paraId="25793CD8" w14:textId="77777777" w:rsidR="0067184C" w:rsidRPr="00045449" w:rsidRDefault="0067184C" w:rsidP="0067184C">
      <w:pPr>
        <w:pStyle w:val="FootnoteText"/>
        <w:numPr>
          <w:ilvl w:val="0"/>
          <w:numId w:val="38"/>
        </w:numPr>
        <w:spacing w:after="60" w:line="264" w:lineRule="auto"/>
        <w:jc w:val="left"/>
        <w:rPr>
          <w:noProof/>
          <w:lang w:val="en-IE"/>
        </w:rPr>
      </w:pPr>
      <w:r w:rsidRPr="00045449">
        <w:rPr>
          <w:noProof/>
          <w:lang w:val="en-IE"/>
        </w:rPr>
        <w:t>1: interventions that have gender equality as an important and deliberate objective but not as the main reason for the intervention;</w:t>
      </w:r>
    </w:p>
    <w:p w14:paraId="371FE0A5" w14:textId="77777777" w:rsidR="0067184C" w:rsidRPr="00045449" w:rsidRDefault="0067184C" w:rsidP="0067184C">
      <w:pPr>
        <w:pStyle w:val="FootnoteText"/>
        <w:numPr>
          <w:ilvl w:val="0"/>
          <w:numId w:val="38"/>
        </w:numPr>
        <w:spacing w:after="60" w:line="264" w:lineRule="auto"/>
        <w:jc w:val="left"/>
        <w:rPr>
          <w:noProof/>
          <w:lang w:val="en-IE"/>
        </w:rPr>
      </w:pPr>
      <w:r w:rsidRPr="67DC3EDF">
        <w:rPr>
          <w:noProof/>
          <w:lang w:val="en-IE"/>
        </w:rPr>
        <w:t>0: non-targeted interventions;</w:t>
      </w:r>
    </w:p>
    <w:p w14:paraId="5CF9D9EE" w14:textId="77777777" w:rsidR="0067184C" w:rsidRPr="00045449" w:rsidRDefault="0067184C" w:rsidP="0067184C">
      <w:pPr>
        <w:pStyle w:val="FootnoteText"/>
        <w:numPr>
          <w:ilvl w:val="0"/>
          <w:numId w:val="38"/>
        </w:numPr>
        <w:spacing w:after="60" w:line="264" w:lineRule="auto"/>
        <w:jc w:val="left"/>
        <w:rPr>
          <w:noProof/>
          <w:lang w:val="en-IE"/>
        </w:rPr>
      </w:pPr>
      <w:r w:rsidRPr="00045449">
        <w:rPr>
          <w:noProof/>
          <w:lang w:val="en-IE"/>
        </w:rPr>
        <w:t>0*: score to be assigned to interventions with a likely but not yet clear positive impact on gender equality.</w:t>
      </w:r>
    </w:p>
    <w:p w14:paraId="782A5DF1" w14:textId="77777777" w:rsidR="0067184C" w:rsidRPr="00040D99" w:rsidRDefault="0067184C" w:rsidP="0067184C">
      <w:pPr>
        <w:pStyle w:val="ppoHeading5"/>
        <w:rPr>
          <w:noProof/>
        </w:rPr>
      </w:pPr>
      <w:r w:rsidRPr="00040D99">
        <w:rPr>
          <w:noProof/>
        </w:rPr>
        <w:t>Performance assessment</w:t>
      </w:r>
    </w:p>
    <w:p w14:paraId="0C62E8A1" w14:textId="77777777" w:rsidR="0067184C" w:rsidRPr="00040D99" w:rsidRDefault="0067184C" w:rsidP="0067184C">
      <w:pPr>
        <w:pStyle w:val="ppoHeading6"/>
        <w:rPr>
          <w:noProof/>
        </w:rPr>
      </w:pPr>
      <w:r w:rsidRPr="00040D99">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67184C" w:rsidRPr="00AC11E4" w14:paraId="014D6D31" w14:textId="77777777" w:rsidTr="0083214A">
        <w:trPr>
          <w:cnfStyle w:val="100000000000" w:firstRow="1" w:lastRow="0" w:firstColumn="0" w:lastColumn="0" w:oddVBand="0" w:evenVBand="0" w:oddHBand="0" w:evenHBand="0" w:firstRowFirstColumn="0" w:firstRowLastColumn="0" w:lastRowFirstColumn="0" w:lastRowLastColumn="0"/>
        </w:trPr>
        <w:tc>
          <w:tcPr>
            <w:tcW w:w="2330" w:type="dxa"/>
          </w:tcPr>
          <w:p w14:paraId="4983288D" w14:textId="77777777" w:rsidR="0067184C" w:rsidRPr="00884C9A" w:rsidRDefault="0067184C" w:rsidP="0083214A">
            <w:pPr>
              <w:rPr>
                <w:noProof/>
              </w:rPr>
            </w:pPr>
          </w:p>
        </w:tc>
        <w:tc>
          <w:tcPr>
            <w:tcW w:w="1100" w:type="dxa"/>
          </w:tcPr>
          <w:p w14:paraId="47B78EAD" w14:textId="77777777" w:rsidR="0067184C" w:rsidRPr="00884C9A" w:rsidRDefault="0067184C" w:rsidP="0083214A">
            <w:pPr>
              <w:rPr>
                <w:noProof/>
              </w:rPr>
            </w:pPr>
            <w:r w:rsidRPr="00884C9A">
              <w:rPr>
                <w:noProof/>
              </w:rPr>
              <w:t>Baseline</w:t>
            </w:r>
          </w:p>
        </w:tc>
        <w:tc>
          <w:tcPr>
            <w:tcW w:w="1526" w:type="dxa"/>
          </w:tcPr>
          <w:p w14:paraId="67E95A70" w14:textId="77777777" w:rsidR="0067184C" w:rsidRPr="00884C9A" w:rsidRDefault="0067184C" w:rsidP="0083214A">
            <w:pPr>
              <w:rPr>
                <w:noProof/>
              </w:rPr>
            </w:pPr>
            <w:r w:rsidRPr="00884C9A">
              <w:rPr>
                <w:noProof/>
              </w:rPr>
              <w:t>Progress</w:t>
            </w:r>
            <w:r>
              <w:rPr>
                <w:noProof/>
              </w:rPr>
              <w:t xml:space="preserve"> (*)</w:t>
            </w:r>
          </w:p>
        </w:tc>
        <w:tc>
          <w:tcPr>
            <w:tcW w:w="1532" w:type="dxa"/>
          </w:tcPr>
          <w:p w14:paraId="7E3F617C" w14:textId="77777777" w:rsidR="0067184C" w:rsidRPr="00884C9A" w:rsidRDefault="0067184C" w:rsidP="0083214A">
            <w:pPr>
              <w:rPr>
                <w:noProof/>
              </w:rPr>
            </w:pPr>
            <w:r w:rsidRPr="00884C9A">
              <w:rPr>
                <w:noProof/>
              </w:rPr>
              <w:t>Target</w:t>
            </w:r>
          </w:p>
        </w:tc>
        <w:tc>
          <w:tcPr>
            <w:tcW w:w="1572" w:type="dxa"/>
          </w:tcPr>
          <w:p w14:paraId="608BDA57" w14:textId="77777777" w:rsidR="0067184C" w:rsidRPr="00884C9A" w:rsidRDefault="0067184C" w:rsidP="0083214A">
            <w:pPr>
              <w:rPr>
                <w:noProof/>
              </w:rPr>
            </w:pPr>
            <w:r w:rsidRPr="00884C9A">
              <w:rPr>
                <w:noProof/>
              </w:rPr>
              <w:t>Results</w:t>
            </w:r>
          </w:p>
        </w:tc>
        <w:tc>
          <w:tcPr>
            <w:tcW w:w="1579" w:type="dxa"/>
          </w:tcPr>
          <w:p w14:paraId="70442507" w14:textId="77777777" w:rsidR="0067184C" w:rsidRPr="00884C9A" w:rsidRDefault="0067184C" w:rsidP="0083214A">
            <w:pPr>
              <w:rPr>
                <w:noProof/>
              </w:rPr>
            </w:pPr>
            <w:r w:rsidRPr="00884C9A">
              <w:rPr>
                <w:noProof/>
              </w:rPr>
              <w:t>Assessment</w:t>
            </w:r>
          </w:p>
        </w:tc>
      </w:tr>
      <w:tr w:rsidR="0067184C" w:rsidRPr="00AC11E4" w14:paraId="4110BB1E"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126296CB" w14:textId="77777777" w:rsidR="0067184C" w:rsidRPr="00884C9A" w:rsidRDefault="0067184C" w:rsidP="0083214A">
            <w:pPr>
              <w:rPr>
                <w:noProof/>
              </w:rPr>
            </w:pPr>
            <w:r>
              <w:rPr>
                <w:noProof/>
              </w:rPr>
              <w:t>Composite indicator on political criteria</w:t>
            </w:r>
            <w:r w:rsidRPr="67DC3EDF">
              <w:rPr>
                <w:rFonts w:ascii="Calibri" w:hAnsi="Calibri" w:cs="Calibri"/>
                <w:noProof/>
              </w:rPr>
              <w:t> </w:t>
            </w:r>
            <w:r>
              <w:rPr>
                <w:noProof/>
              </w:rPr>
              <w:t>- Western Balkans</w:t>
            </w:r>
          </w:p>
        </w:tc>
        <w:tc>
          <w:tcPr>
            <w:tcW w:w="1100" w:type="dxa"/>
          </w:tcPr>
          <w:p w14:paraId="6B3FA0BE" w14:textId="77777777" w:rsidR="0067184C" w:rsidRPr="00884C9A" w:rsidRDefault="0067184C" w:rsidP="0083214A">
            <w:pPr>
              <w:jc w:val="center"/>
              <w:rPr>
                <w:noProof/>
              </w:rPr>
            </w:pPr>
            <w:r>
              <w:rPr>
                <w:noProof/>
              </w:rPr>
              <w:t>2.1</w:t>
            </w:r>
          </w:p>
        </w:tc>
        <w:tc>
          <w:tcPr>
            <w:tcW w:w="1526" w:type="dxa"/>
          </w:tcPr>
          <w:p w14:paraId="03068ACE" w14:textId="77777777" w:rsidR="0067184C" w:rsidRPr="00724FDD" w:rsidRDefault="0067184C" w:rsidP="0083214A">
            <w:pPr>
              <w:jc w:val="center"/>
              <w:rPr>
                <w:b/>
                <w:noProof/>
              </w:rPr>
            </w:pPr>
            <w:r>
              <w:rPr>
                <w:noProof/>
              </w:rPr>
              <w:t>0%</w:t>
            </w:r>
          </w:p>
        </w:tc>
        <w:tc>
          <w:tcPr>
            <w:tcW w:w="1532" w:type="dxa"/>
          </w:tcPr>
          <w:p w14:paraId="2D07C0C0" w14:textId="77777777" w:rsidR="0067184C" w:rsidRPr="00884C9A" w:rsidRDefault="0067184C" w:rsidP="0083214A">
            <w:pPr>
              <w:jc w:val="center"/>
              <w:rPr>
                <w:noProof/>
              </w:rPr>
            </w:pPr>
            <w:r>
              <w:rPr>
                <w:noProof/>
              </w:rPr>
              <w:t>2.8 in 2027</w:t>
            </w:r>
          </w:p>
        </w:tc>
        <w:tc>
          <w:tcPr>
            <w:tcW w:w="1572" w:type="dxa"/>
          </w:tcPr>
          <w:p w14:paraId="1D7A5D45" w14:textId="77777777" w:rsidR="0067184C" w:rsidRPr="00884C9A" w:rsidRDefault="0067184C" w:rsidP="0083214A">
            <w:pPr>
              <w:jc w:val="center"/>
              <w:rPr>
                <w:noProof/>
              </w:rPr>
            </w:pPr>
            <w:r>
              <w:rPr>
                <w:noProof/>
              </w:rPr>
              <w:t>2.1 compared to a target of 2.8</w:t>
            </w:r>
          </w:p>
        </w:tc>
        <w:tc>
          <w:tcPr>
            <w:tcW w:w="1579" w:type="dxa"/>
          </w:tcPr>
          <w:p w14:paraId="7A58F089" w14:textId="77777777" w:rsidR="0067184C" w:rsidRPr="00884C9A" w:rsidRDefault="0067184C" w:rsidP="0083214A">
            <w:pPr>
              <w:jc w:val="center"/>
              <w:rPr>
                <w:noProof/>
              </w:rPr>
            </w:pPr>
            <w:r>
              <w:rPr>
                <w:noProof/>
              </w:rPr>
              <w:t>On track</w:t>
            </w:r>
          </w:p>
        </w:tc>
      </w:tr>
      <w:tr w:rsidR="0067184C" w:rsidRPr="00AC11E4" w14:paraId="73CEF4D9"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39E757C6" w14:textId="77777777" w:rsidR="0067184C" w:rsidRPr="00884C9A" w:rsidRDefault="0067184C" w:rsidP="0083214A">
            <w:pPr>
              <w:rPr>
                <w:noProof/>
              </w:rPr>
            </w:pPr>
            <w:r>
              <w:rPr>
                <w:noProof/>
              </w:rPr>
              <w:t>Composite indicator on political criteria</w:t>
            </w:r>
            <w:r w:rsidRPr="67DC3EDF">
              <w:rPr>
                <w:rFonts w:ascii="Calibri" w:hAnsi="Calibri" w:cs="Calibri"/>
                <w:noProof/>
              </w:rPr>
              <w:t> </w:t>
            </w:r>
            <w:r>
              <w:rPr>
                <w:noProof/>
              </w:rPr>
              <w:t>- Turkey</w:t>
            </w:r>
          </w:p>
        </w:tc>
        <w:tc>
          <w:tcPr>
            <w:tcW w:w="1100" w:type="dxa"/>
          </w:tcPr>
          <w:p w14:paraId="7B1F13A7" w14:textId="77777777" w:rsidR="0067184C" w:rsidRPr="00884C9A" w:rsidRDefault="0067184C" w:rsidP="0083214A">
            <w:pPr>
              <w:jc w:val="center"/>
              <w:rPr>
                <w:noProof/>
              </w:rPr>
            </w:pPr>
            <w:r>
              <w:rPr>
                <w:noProof/>
              </w:rPr>
              <w:t>1.8</w:t>
            </w:r>
          </w:p>
        </w:tc>
        <w:tc>
          <w:tcPr>
            <w:tcW w:w="1526" w:type="dxa"/>
          </w:tcPr>
          <w:p w14:paraId="7241EDDE" w14:textId="77777777" w:rsidR="0067184C" w:rsidRPr="00724FDD" w:rsidRDefault="0067184C" w:rsidP="0083214A">
            <w:pPr>
              <w:jc w:val="center"/>
              <w:rPr>
                <w:b/>
                <w:bCs/>
                <w:noProof/>
              </w:rPr>
            </w:pPr>
            <w:r>
              <w:rPr>
                <w:noProof/>
              </w:rPr>
              <w:t>&lt;</w:t>
            </w:r>
            <w:r w:rsidRPr="67DC3EDF">
              <w:rPr>
                <w:rFonts w:ascii="Calibri" w:hAnsi="Calibri" w:cs="Calibri"/>
                <w:noProof/>
              </w:rPr>
              <w:t> </w:t>
            </w:r>
            <w:r>
              <w:rPr>
                <w:noProof/>
              </w:rPr>
              <w:t>0%</w:t>
            </w:r>
          </w:p>
        </w:tc>
        <w:tc>
          <w:tcPr>
            <w:tcW w:w="1532" w:type="dxa"/>
          </w:tcPr>
          <w:p w14:paraId="664F55C2" w14:textId="305BEADA" w:rsidR="0067184C" w:rsidRPr="00884C9A" w:rsidRDefault="0067184C" w:rsidP="0083214A">
            <w:pPr>
              <w:jc w:val="center"/>
              <w:rPr>
                <w:noProof/>
              </w:rPr>
            </w:pPr>
            <w:r>
              <w:rPr>
                <w:noProof/>
              </w:rPr>
              <w:t>2.0 in 2027</w:t>
            </w:r>
          </w:p>
        </w:tc>
        <w:tc>
          <w:tcPr>
            <w:tcW w:w="1572" w:type="dxa"/>
          </w:tcPr>
          <w:p w14:paraId="0C99D3EA" w14:textId="77777777" w:rsidR="0067184C" w:rsidRPr="00884C9A" w:rsidRDefault="0067184C" w:rsidP="0083214A">
            <w:pPr>
              <w:jc w:val="center"/>
              <w:rPr>
                <w:noProof/>
              </w:rPr>
            </w:pPr>
            <w:r>
              <w:rPr>
                <w:noProof/>
              </w:rPr>
              <w:t>1.5 compared to a target of 2.0</w:t>
            </w:r>
          </w:p>
        </w:tc>
        <w:tc>
          <w:tcPr>
            <w:tcW w:w="1579" w:type="dxa"/>
          </w:tcPr>
          <w:p w14:paraId="046362B9" w14:textId="77777777" w:rsidR="0067184C" w:rsidRPr="00884C9A" w:rsidRDefault="0067184C" w:rsidP="0083214A">
            <w:pPr>
              <w:jc w:val="center"/>
              <w:rPr>
                <w:noProof/>
              </w:rPr>
            </w:pPr>
            <w:r>
              <w:rPr>
                <w:noProof/>
              </w:rPr>
              <w:t>Deserves attention</w:t>
            </w:r>
          </w:p>
        </w:tc>
      </w:tr>
      <w:tr w:rsidR="0067184C" w:rsidRPr="00AC11E4" w14:paraId="47C8015C"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65941806" w14:textId="0EB47406" w:rsidR="0067184C" w:rsidRPr="00884C9A" w:rsidRDefault="0067184C" w:rsidP="0083214A">
            <w:pPr>
              <w:rPr>
                <w:noProof/>
              </w:rPr>
            </w:pPr>
            <w:bookmarkStart w:id="276" w:name="_Hlk101881514"/>
            <w:r>
              <w:rPr>
                <w:noProof/>
              </w:rPr>
              <w:t>Readiness of enlargement countries on public administration reform</w:t>
            </w:r>
            <w:r>
              <w:rPr>
                <w:rFonts w:ascii="Calibri" w:hAnsi="Calibri" w:cs="Calibri"/>
                <w:noProof/>
              </w:rPr>
              <w:t> </w:t>
            </w:r>
            <w:r>
              <w:rPr>
                <w:noProof/>
              </w:rPr>
              <w:t xml:space="preserve"> - Western Balkans</w:t>
            </w:r>
            <w:bookmarkEnd w:id="276"/>
          </w:p>
        </w:tc>
        <w:tc>
          <w:tcPr>
            <w:tcW w:w="1100" w:type="dxa"/>
          </w:tcPr>
          <w:p w14:paraId="7D6A8D4B" w14:textId="77777777" w:rsidR="0067184C" w:rsidRPr="00884C9A" w:rsidRDefault="0067184C" w:rsidP="0083214A">
            <w:pPr>
              <w:jc w:val="center"/>
              <w:rPr>
                <w:noProof/>
              </w:rPr>
            </w:pPr>
            <w:r>
              <w:rPr>
                <w:noProof/>
              </w:rPr>
              <w:t>2.5</w:t>
            </w:r>
          </w:p>
        </w:tc>
        <w:tc>
          <w:tcPr>
            <w:tcW w:w="1526" w:type="dxa"/>
          </w:tcPr>
          <w:p w14:paraId="7BBB84C2" w14:textId="77777777" w:rsidR="0067184C" w:rsidRPr="00724FDD" w:rsidRDefault="0067184C" w:rsidP="0083214A">
            <w:pPr>
              <w:jc w:val="center"/>
              <w:rPr>
                <w:b/>
                <w:noProof/>
              </w:rPr>
            </w:pPr>
            <w:r>
              <w:rPr>
                <w:noProof/>
              </w:rPr>
              <w:t>0%</w:t>
            </w:r>
          </w:p>
        </w:tc>
        <w:tc>
          <w:tcPr>
            <w:tcW w:w="1532" w:type="dxa"/>
          </w:tcPr>
          <w:p w14:paraId="63E0F2E5" w14:textId="206F1245" w:rsidR="0067184C" w:rsidRPr="00884C9A" w:rsidRDefault="0067184C" w:rsidP="0083214A">
            <w:pPr>
              <w:jc w:val="center"/>
              <w:rPr>
                <w:noProof/>
              </w:rPr>
            </w:pPr>
            <w:r>
              <w:rPr>
                <w:noProof/>
              </w:rPr>
              <w:t>2.7 in 2027</w:t>
            </w:r>
          </w:p>
        </w:tc>
        <w:tc>
          <w:tcPr>
            <w:tcW w:w="1572" w:type="dxa"/>
          </w:tcPr>
          <w:p w14:paraId="47D33519" w14:textId="77777777" w:rsidR="0067184C" w:rsidRPr="00884C9A" w:rsidRDefault="0067184C" w:rsidP="0083214A">
            <w:pPr>
              <w:jc w:val="center"/>
              <w:rPr>
                <w:noProof/>
              </w:rPr>
            </w:pPr>
            <w:r>
              <w:rPr>
                <w:noProof/>
              </w:rPr>
              <w:t>2.5 compared to a target of 2.7</w:t>
            </w:r>
          </w:p>
        </w:tc>
        <w:tc>
          <w:tcPr>
            <w:tcW w:w="1579" w:type="dxa"/>
          </w:tcPr>
          <w:p w14:paraId="0CA8EE3B" w14:textId="77777777" w:rsidR="0067184C" w:rsidRPr="00884C9A" w:rsidRDefault="0067184C" w:rsidP="0083214A">
            <w:pPr>
              <w:jc w:val="center"/>
              <w:rPr>
                <w:noProof/>
              </w:rPr>
            </w:pPr>
            <w:r>
              <w:rPr>
                <w:noProof/>
              </w:rPr>
              <w:t>On track</w:t>
            </w:r>
          </w:p>
        </w:tc>
      </w:tr>
      <w:tr w:rsidR="0067184C" w:rsidRPr="00AC11E4" w14:paraId="7D7E350E"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5EE8FB8A" w14:textId="601CAF37" w:rsidR="0067184C" w:rsidRPr="00884C9A" w:rsidRDefault="0067184C" w:rsidP="0083214A">
            <w:pPr>
              <w:rPr>
                <w:noProof/>
              </w:rPr>
            </w:pPr>
            <w:r>
              <w:rPr>
                <w:noProof/>
              </w:rPr>
              <w:t>Readiness of enlargement countries on public administration reform</w:t>
            </w:r>
            <w:r>
              <w:rPr>
                <w:rFonts w:ascii="Calibri" w:hAnsi="Calibri" w:cs="Calibri"/>
                <w:noProof/>
              </w:rPr>
              <w:t> </w:t>
            </w:r>
            <w:r>
              <w:rPr>
                <w:noProof/>
              </w:rPr>
              <w:t>- Turkey</w:t>
            </w:r>
          </w:p>
        </w:tc>
        <w:tc>
          <w:tcPr>
            <w:tcW w:w="1100" w:type="dxa"/>
          </w:tcPr>
          <w:p w14:paraId="2B06C429" w14:textId="77777777" w:rsidR="0067184C" w:rsidRPr="00884C9A" w:rsidRDefault="0067184C" w:rsidP="0083214A">
            <w:pPr>
              <w:jc w:val="center"/>
              <w:rPr>
                <w:noProof/>
              </w:rPr>
            </w:pPr>
            <w:r>
              <w:rPr>
                <w:noProof/>
              </w:rPr>
              <w:t>3.0</w:t>
            </w:r>
          </w:p>
        </w:tc>
        <w:tc>
          <w:tcPr>
            <w:tcW w:w="1526" w:type="dxa"/>
          </w:tcPr>
          <w:p w14:paraId="3DA0295E" w14:textId="477ABC21" w:rsidR="0067184C" w:rsidRPr="00724FDD" w:rsidRDefault="0067184C" w:rsidP="0083214A">
            <w:pPr>
              <w:jc w:val="center"/>
              <w:rPr>
                <w:b/>
                <w:noProof/>
              </w:rPr>
            </w:pPr>
            <w:r>
              <w:rPr>
                <w:noProof/>
              </w:rPr>
              <w:t>&lt;</w:t>
            </w:r>
            <w:r>
              <w:rPr>
                <w:rFonts w:ascii="Calibri" w:hAnsi="Calibri" w:cs="Calibri"/>
                <w:noProof/>
              </w:rPr>
              <w:t> </w:t>
            </w:r>
            <w:r>
              <w:rPr>
                <w:noProof/>
              </w:rPr>
              <w:t>0%</w:t>
            </w:r>
          </w:p>
        </w:tc>
        <w:tc>
          <w:tcPr>
            <w:tcW w:w="1532" w:type="dxa"/>
          </w:tcPr>
          <w:p w14:paraId="445FD822" w14:textId="13794281" w:rsidR="0067184C" w:rsidRPr="00884C9A" w:rsidRDefault="0067184C" w:rsidP="0083214A">
            <w:pPr>
              <w:jc w:val="center"/>
              <w:rPr>
                <w:noProof/>
              </w:rPr>
            </w:pPr>
            <w:r>
              <w:rPr>
                <w:noProof/>
              </w:rPr>
              <w:t>3.2 in 2027</w:t>
            </w:r>
          </w:p>
        </w:tc>
        <w:tc>
          <w:tcPr>
            <w:tcW w:w="1572" w:type="dxa"/>
          </w:tcPr>
          <w:p w14:paraId="2BF37A27" w14:textId="77777777" w:rsidR="0067184C" w:rsidRPr="00884C9A" w:rsidRDefault="0067184C" w:rsidP="0083214A">
            <w:pPr>
              <w:jc w:val="center"/>
              <w:rPr>
                <w:noProof/>
              </w:rPr>
            </w:pPr>
            <w:r>
              <w:rPr>
                <w:noProof/>
              </w:rPr>
              <w:t>2.5 compared to a target of 3.2</w:t>
            </w:r>
          </w:p>
        </w:tc>
        <w:tc>
          <w:tcPr>
            <w:tcW w:w="1579" w:type="dxa"/>
          </w:tcPr>
          <w:p w14:paraId="36A1EFED" w14:textId="5112A646" w:rsidR="0067184C" w:rsidRPr="00884C9A" w:rsidRDefault="0057144F" w:rsidP="0083214A">
            <w:pPr>
              <w:jc w:val="center"/>
              <w:rPr>
                <w:noProof/>
              </w:rPr>
            </w:pPr>
            <w:r>
              <w:rPr>
                <w:noProof/>
              </w:rPr>
              <w:t>Deserves attention</w:t>
            </w:r>
          </w:p>
        </w:tc>
      </w:tr>
      <w:tr w:rsidR="0067184C" w:rsidRPr="00AC11E4" w14:paraId="6D3344AB"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6DC651BE" w14:textId="2DF9008B" w:rsidR="0067184C" w:rsidRPr="00884C9A" w:rsidRDefault="0067184C" w:rsidP="0083214A">
            <w:pPr>
              <w:rPr>
                <w:noProof/>
              </w:rPr>
            </w:pPr>
            <w:r>
              <w:rPr>
                <w:noProof/>
              </w:rPr>
              <w:t xml:space="preserve">Composite indicator on Union </w:t>
            </w:r>
            <w:r w:rsidRPr="00304A2B">
              <w:rPr>
                <w:i/>
                <w:iCs/>
                <w:noProof/>
              </w:rPr>
              <w:t>acquis</w:t>
            </w:r>
            <w:r>
              <w:rPr>
                <w:noProof/>
              </w:rPr>
              <w:t xml:space="preserve"> alignment</w:t>
            </w:r>
            <w:r>
              <w:rPr>
                <w:rFonts w:ascii="Calibri" w:hAnsi="Calibri" w:cs="Calibri"/>
                <w:noProof/>
              </w:rPr>
              <w:t> </w:t>
            </w:r>
            <w:r>
              <w:rPr>
                <w:noProof/>
              </w:rPr>
              <w:t>- Western Balkans</w:t>
            </w:r>
          </w:p>
        </w:tc>
        <w:tc>
          <w:tcPr>
            <w:tcW w:w="1100" w:type="dxa"/>
          </w:tcPr>
          <w:p w14:paraId="6C3AE95F" w14:textId="77777777" w:rsidR="0067184C" w:rsidRPr="00884C9A" w:rsidRDefault="0067184C" w:rsidP="0083214A">
            <w:pPr>
              <w:jc w:val="center"/>
              <w:rPr>
                <w:noProof/>
              </w:rPr>
            </w:pPr>
            <w:r>
              <w:rPr>
                <w:noProof/>
              </w:rPr>
              <w:t>2.5</w:t>
            </w:r>
          </w:p>
        </w:tc>
        <w:tc>
          <w:tcPr>
            <w:tcW w:w="1526" w:type="dxa"/>
          </w:tcPr>
          <w:p w14:paraId="2B17CB63" w14:textId="77777777" w:rsidR="0067184C" w:rsidRPr="00724FDD" w:rsidRDefault="0067184C" w:rsidP="0083214A">
            <w:pPr>
              <w:jc w:val="center"/>
              <w:rPr>
                <w:b/>
                <w:noProof/>
              </w:rPr>
            </w:pPr>
            <w:r>
              <w:rPr>
                <w:noProof/>
              </w:rPr>
              <w:t>0%</w:t>
            </w:r>
          </w:p>
        </w:tc>
        <w:tc>
          <w:tcPr>
            <w:tcW w:w="1532" w:type="dxa"/>
          </w:tcPr>
          <w:p w14:paraId="4AE261C4" w14:textId="6060B0CE" w:rsidR="0067184C" w:rsidRPr="00884C9A" w:rsidRDefault="0067184C" w:rsidP="0083214A">
            <w:pPr>
              <w:jc w:val="center"/>
              <w:rPr>
                <w:noProof/>
              </w:rPr>
            </w:pPr>
            <w:r>
              <w:rPr>
                <w:noProof/>
              </w:rPr>
              <w:t>2.7 in 2027</w:t>
            </w:r>
          </w:p>
        </w:tc>
        <w:tc>
          <w:tcPr>
            <w:tcW w:w="1572" w:type="dxa"/>
          </w:tcPr>
          <w:p w14:paraId="69CD7D02" w14:textId="77777777" w:rsidR="0067184C" w:rsidRPr="00884C9A" w:rsidRDefault="0067184C" w:rsidP="0083214A">
            <w:pPr>
              <w:jc w:val="center"/>
              <w:rPr>
                <w:noProof/>
              </w:rPr>
            </w:pPr>
            <w:r>
              <w:rPr>
                <w:noProof/>
              </w:rPr>
              <w:t>2.5 compared to a target of 2.7</w:t>
            </w:r>
          </w:p>
        </w:tc>
        <w:tc>
          <w:tcPr>
            <w:tcW w:w="1579" w:type="dxa"/>
          </w:tcPr>
          <w:p w14:paraId="0B41A9A5" w14:textId="77777777" w:rsidR="0067184C" w:rsidRDefault="0067184C" w:rsidP="0083214A">
            <w:pPr>
              <w:jc w:val="center"/>
              <w:rPr>
                <w:noProof/>
              </w:rPr>
            </w:pPr>
            <w:r>
              <w:rPr>
                <w:noProof/>
              </w:rPr>
              <w:t>On track</w:t>
            </w:r>
          </w:p>
          <w:p w14:paraId="7115D257" w14:textId="77777777" w:rsidR="0067184C" w:rsidRPr="003C011E" w:rsidRDefault="0067184C" w:rsidP="0083214A">
            <w:pPr>
              <w:jc w:val="center"/>
              <w:rPr>
                <w:noProof/>
              </w:rPr>
            </w:pPr>
          </w:p>
        </w:tc>
      </w:tr>
      <w:tr w:rsidR="0067184C" w:rsidRPr="00AC11E4" w14:paraId="3DA53EB9"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62DE5811" w14:textId="77777777" w:rsidR="0067184C" w:rsidRPr="00386B2D" w:rsidRDefault="0067184C" w:rsidP="0083214A">
            <w:pPr>
              <w:rPr>
                <w:noProof/>
                <w:lang w:val="fr-BE"/>
              </w:rPr>
            </w:pPr>
            <w:r w:rsidRPr="00304A2B">
              <w:rPr>
                <w:noProof/>
                <w:lang w:val="fr-BE"/>
              </w:rPr>
              <w:t xml:space="preserve">Composite indicator on EU </w:t>
            </w:r>
            <w:r w:rsidRPr="67DC3EDF">
              <w:rPr>
                <w:i/>
                <w:iCs/>
                <w:noProof/>
                <w:lang w:val="fr-BE"/>
              </w:rPr>
              <w:t>acquis</w:t>
            </w:r>
            <w:r w:rsidRPr="67DC3EDF">
              <w:rPr>
                <w:noProof/>
                <w:lang w:val="fr-BE"/>
              </w:rPr>
              <w:t xml:space="preserve"> alignment</w:t>
            </w:r>
            <w:r w:rsidRPr="67DC3EDF">
              <w:rPr>
                <w:rFonts w:ascii="Calibri" w:hAnsi="Calibri" w:cs="Calibri"/>
                <w:noProof/>
                <w:lang w:val="fr-BE"/>
              </w:rPr>
              <w:t> </w:t>
            </w:r>
            <w:r w:rsidRPr="67DC3EDF">
              <w:rPr>
                <w:noProof/>
                <w:lang w:val="fr-BE"/>
              </w:rPr>
              <w:t>- Turkey</w:t>
            </w:r>
          </w:p>
        </w:tc>
        <w:tc>
          <w:tcPr>
            <w:tcW w:w="1100" w:type="dxa"/>
          </w:tcPr>
          <w:p w14:paraId="06E57F70" w14:textId="77777777" w:rsidR="0067184C" w:rsidRPr="00884C9A" w:rsidRDefault="0067184C" w:rsidP="0083214A">
            <w:pPr>
              <w:jc w:val="center"/>
              <w:rPr>
                <w:noProof/>
              </w:rPr>
            </w:pPr>
            <w:r>
              <w:rPr>
                <w:noProof/>
              </w:rPr>
              <w:t>2.9</w:t>
            </w:r>
          </w:p>
        </w:tc>
        <w:tc>
          <w:tcPr>
            <w:tcW w:w="1526" w:type="dxa"/>
          </w:tcPr>
          <w:p w14:paraId="2D569772" w14:textId="77777777" w:rsidR="0067184C" w:rsidRPr="00724FDD" w:rsidRDefault="0067184C" w:rsidP="0083214A">
            <w:pPr>
              <w:jc w:val="center"/>
              <w:rPr>
                <w:b/>
                <w:noProof/>
              </w:rPr>
            </w:pPr>
            <w:r>
              <w:rPr>
                <w:noProof/>
              </w:rPr>
              <w:t>0%</w:t>
            </w:r>
          </w:p>
        </w:tc>
        <w:tc>
          <w:tcPr>
            <w:tcW w:w="1532" w:type="dxa"/>
          </w:tcPr>
          <w:p w14:paraId="6DFCCD3F" w14:textId="77777777" w:rsidR="0067184C" w:rsidRPr="00884C9A" w:rsidRDefault="0067184C" w:rsidP="0083214A">
            <w:pPr>
              <w:jc w:val="center"/>
              <w:rPr>
                <w:noProof/>
              </w:rPr>
            </w:pPr>
            <w:r>
              <w:rPr>
                <w:noProof/>
              </w:rPr>
              <w:t>3.1 in 2027</w:t>
            </w:r>
          </w:p>
        </w:tc>
        <w:tc>
          <w:tcPr>
            <w:tcW w:w="1572" w:type="dxa"/>
          </w:tcPr>
          <w:p w14:paraId="165AEC1D" w14:textId="77777777" w:rsidR="0067184C" w:rsidRPr="00884C9A" w:rsidRDefault="0067184C" w:rsidP="0083214A">
            <w:pPr>
              <w:jc w:val="center"/>
              <w:rPr>
                <w:noProof/>
              </w:rPr>
            </w:pPr>
            <w:r>
              <w:rPr>
                <w:noProof/>
              </w:rPr>
              <w:t>2.9 compared to a target of 3.1</w:t>
            </w:r>
          </w:p>
        </w:tc>
        <w:tc>
          <w:tcPr>
            <w:tcW w:w="1579" w:type="dxa"/>
          </w:tcPr>
          <w:p w14:paraId="3920E2B0" w14:textId="77777777" w:rsidR="0067184C" w:rsidRPr="00884C9A" w:rsidRDefault="0067184C" w:rsidP="0083214A">
            <w:pPr>
              <w:jc w:val="center"/>
              <w:rPr>
                <w:noProof/>
              </w:rPr>
            </w:pPr>
            <w:r>
              <w:rPr>
                <w:noProof/>
              </w:rPr>
              <w:t>On track</w:t>
            </w:r>
          </w:p>
        </w:tc>
      </w:tr>
      <w:tr w:rsidR="0067184C" w:rsidRPr="00AC11E4" w14:paraId="28327A1F"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07640F4F" w14:textId="77777777" w:rsidR="0067184C" w:rsidRPr="00884C9A" w:rsidRDefault="0067184C" w:rsidP="0083214A">
            <w:pPr>
              <w:rPr>
                <w:noProof/>
              </w:rPr>
            </w:pPr>
            <w:r>
              <w:rPr>
                <w:noProof/>
              </w:rPr>
              <w:t>Composite indicator on economic criteria</w:t>
            </w:r>
            <w:r w:rsidRPr="67DC3EDF">
              <w:rPr>
                <w:rFonts w:ascii="Calibri" w:hAnsi="Calibri" w:cs="Calibri"/>
                <w:noProof/>
              </w:rPr>
              <w:t> </w:t>
            </w:r>
            <w:r>
              <w:rPr>
                <w:noProof/>
              </w:rPr>
              <w:t>- Western Balkans</w:t>
            </w:r>
          </w:p>
        </w:tc>
        <w:tc>
          <w:tcPr>
            <w:tcW w:w="1100" w:type="dxa"/>
          </w:tcPr>
          <w:p w14:paraId="24AC03D8" w14:textId="77777777" w:rsidR="0067184C" w:rsidRPr="00884C9A" w:rsidRDefault="0067184C" w:rsidP="0083214A">
            <w:pPr>
              <w:jc w:val="center"/>
              <w:rPr>
                <w:noProof/>
              </w:rPr>
            </w:pPr>
            <w:r>
              <w:rPr>
                <w:noProof/>
              </w:rPr>
              <w:t>2.3</w:t>
            </w:r>
          </w:p>
        </w:tc>
        <w:tc>
          <w:tcPr>
            <w:tcW w:w="1526" w:type="dxa"/>
          </w:tcPr>
          <w:p w14:paraId="761C4D82" w14:textId="77777777" w:rsidR="0067184C" w:rsidRPr="00724FDD" w:rsidRDefault="0067184C" w:rsidP="0083214A">
            <w:pPr>
              <w:jc w:val="center"/>
              <w:rPr>
                <w:b/>
                <w:noProof/>
              </w:rPr>
            </w:pPr>
            <w:r>
              <w:rPr>
                <w:noProof/>
              </w:rPr>
              <w:t>50%</w:t>
            </w:r>
          </w:p>
        </w:tc>
        <w:tc>
          <w:tcPr>
            <w:tcW w:w="1532" w:type="dxa"/>
          </w:tcPr>
          <w:p w14:paraId="36D65E7A" w14:textId="77777777" w:rsidR="0067184C" w:rsidRPr="00884C9A" w:rsidRDefault="0067184C" w:rsidP="0083214A">
            <w:pPr>
              <w:jc w:val="center"/>
              <w:rPr>
                <w:noProof/>
              </w:rPr>
            </w:pPr>
            <w:r>
              <w:rPr>
                <w:noProof/>
              </w:rPr>
              <w:t>2.5 in 2027</w:t>
            </w:r>
          </w:p>
        </w:tc>
        <w:tc>
          <w:tcPr>
            <w:tcW w:w="1572" w:type="dxa"/>
          </w:tcPr>
          <w:p w14:paraId="58F337AD" w14:textId="77777777" w:rsidR="0067184C" w:rsidRPr="00884C9A" w:rsidRDefault="0067184C" w:rsidP="0083214A">
            <w:pPr>
              <w:jc w:val="center"/>
              <w:rPr>
                <w:noProof/>
              </w:rPr>
            </w:pPr>
            <w:r>
              <w:rPr>
                <w:noProof/>
              </w:rPr>
              <w:t>2.4 compared to a target of 2.5</w:t>
            </w:r>
          </w:p>
        </w:tc>
        <w:tc>
          <w:tcPr>
            <w:tcW w:w="1579" w:type="dxa"/>
          </w:tcPr>
          <w:p w14:paraId="05ABBB06" w14:textId="77777777" w:rsidR="0067184C" w:rsidRPr="00884C9A" w:rsidRDefault="0067184C" w:rsidP="0083214A">
            <w:pPr>
              <w:jc w:val="center"/>
              <w:rPr>
                <w:noProof/>
              </w:rPr>
            </w:pPr>
            <w:r>
              <w:rPr>
                <w:noProof/>
              </w:rPr>
              <w:t>On track</w:t>
            </w:r>
          </w:p>
        </w:tc>
      </w:tr>
      <w:tr w:rsidR="0067184C" w:rsidRPr="00AC11E4" w14:paraId="1860301C"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3383BFCB" w14:textId="77777777" w:rsidR="0067184C" w:rsidRPr="00884C9A" w:rsidRDefault="0067184C" w:rsidP="0083214A">
            <w:pPr>
              <w:rPr>
                <w:noProof/>
              </w:rPr>
            </w:pPr>
            <w:r>
              <w:rPr>
                <w:noProof/>
              </w:rPr>
              <w:t>Composite indicator on economic criteria</w:t>
            </w:r>
            <w:r w:rsidRPr="67DC3EDF">
              <w:rPr>
                <w:rFonts w:ascii="Calibri" w:hAnsi="Calibri" w:cs="Calibri"/>
                <w:noProof/>
              </w:rPr>
              <w:t> </w:t>
            </w:r>
            <w:r>
              <w:rPr>
                <w:noProof/>
              </w:rPr>
              <w:t>- Turkey</w:t>
            </w:r>
          </w:p>
        </w:tc>
        <w:tc>
          <w:tcPr>
            <w:tcW w:w="1100" w:type="dxa"/>
          </w:tcPr>
          <w:p w14:paraId="6061A1FD" w14:textId="77777777" w:rsidR="0067184C" w:rsidRPr="00884C9A" w:rsidRDefault="0067184C" w:rsidP="0083214A">
            <w:pPr>
              <w:jc w:val="center"/>
              <w:rPr>
                <w:noProof/>
              </w:rPr>
            </w:pPr>
            <w:r>
              <w:rPr>
                <w:noProof/>
              </w:rPr>
              <w:t>4.5</w:t>
            </w:r>
          </w:p>
        </w:tc>
        <w:tc>
          <w:tcPr>
            <w:tcW w:w="1526" w:type="dxa"/>
          </w:tcPr>
          <w:p w14:paraId="1C905F8C" w14:textId="77777777" w:rsidR="0067184C" w:rsidRPr="00724FDD" w:rsidRDefault="0067184C" w:rsidP="0083214A">
            <w:pPr>
              <w:jc w:val="center"/>
              <w:rPr>
                <w:b/>
                <w:noProof/>
              </w:rPr>
            </w:pPr>
            <w:r>
              <w:rPr>
                <w:noProof/>
              </w:rPr>
              <w:t>0%</w:t>
            </w:r>
          </w:p>
        </w:tc>
        <w:tc>
          <w:tcPr>
            <w:tcW w:w="1532" w:type="dxa"/>
          </w:tcPr>
          <w:p w14:paraId="69AE4244" w14:textId="77777777" w:rsidR="0067184C" w:rsidRPr="00884C9A" w:rsidRDefault="0067184C" w:rsidP="0083214A">
            <w:pPr>
              <w:jc w:val="center"/>
              <w:rPr>
                <w:noProof/>
              </w:rPr>
            </w:pPr>
            <w:r>
              <w:rPr>
                <w:noProof/>
              </w:rPr>
              <w:t>4.7 in 2027</w:t>
            </w:r>
          </w:p>
        </w:tc>
        <w:tc>
          <w:tcPr>
            <w:tcW w:w="1572" w:type="dxa"/>
          </w:tcPr>
          <w:p w14:paraId="5D3124AF" w14:textId="77777777" w:rsidR="0067184C" w:rsidRPr="00884C9A" w:rsidRDefault="0067184C" w:rsidP="0083214A">
            <w:pPr>
              <w:jc w:val="center"/>
              <w:rPr>
                <w:noProof/>
              </w:rPr>
            </w:pPr>
            <w:r>
              <w:rPr>
                <w:noProof/>
              </w:rPr>
              <w:t>4.5 compared to a target of 4.7</w:t>
            </w:r>
          </w:p>
        </w:tc>
        <w:tc>
          <w:tcPr>
            <w:tcW w:w="1579" w:type="dxa"/>
          </w:tcPr>
          <w:p w14:paraId="415942B0" w14:textId="77777777" w:rsidR="0067184C" w:rsidRPr="00884C9A" w:rsidRDefault="0067184C" w:rsidP="0083214A">
            <w:pPr>
              <w:jc w:val="center"/>
              <w:rPr>
                <w:noProof/>
              </w:rPr>
            </w:pPr>
            <w:r>
              <w:rPr>
                <w:noProof/>
              </w:rPr>
              <w:t>On track</w:t>
            </w:r>
          </w:p>
        </w:tc>
      </w:tr>
      <w:tr w:rsidR="0067184C" w:rsidRPr="00AC11E4" w14:paraId="6E519C71"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3D22514D" w14:textId="77777777" w:rsidR="0067184C" w:rsidRPr="00884C9A" w:rsidRDefault="0067184C" w:rsidP="0083214A">
            <w:pPr>
              <w:tabs>
                <w:tab w:val="center" w:pos="1057"/>
              </w:tabs>
              <w:rPr>
                <w:noProof/>
              </w:rPr>
            </w:pPr>
            <w:r>
              <w:rPr>
                <w:noProof/>
              </w:rPr>
              <w:t>Number of cross-border partnerships established, formalised and implemented</w:t>
            </w:r>
          </w:p>
        </w:tc>
        <w:tc>
          <w:tcPr>
            <w:tcW w:w="1100" w:type="dxa"/>
          </w:tcPr>
          <w:p w14:paraId="6895DA7A" w14:textId="77777777" w:rsidR="0067184C" w:rsidRPr="00884C9A" w:rsidRDefault="0067184C" w:rsidP="0083214A">
            <w:pPr>
              <w:jc w:val="center"/>
              <w:rPr>
                <w:noProof/>
              </w:rPr>
            </w:pPr>
            <w:r>
              <w:rPr>
                <w:noProof/>
              </w:rPr>
              <w:t>1</w:t>
            </w:r>
            <w:r w:rsidRPr="67DC3EDF">
              <w:rPr>
                <w:rFonts w:ascii="Calibri" w:hAnsi="Calibri" w:cs="Calibri"/>
                <w:noProof/>
              </w:rPr>
              <w:t> </w:t>
            </w:r>
            <w:r>
              <w:rPr>
                <w:noProof/>
              </w:rPr>
              <w:t>085</w:t>
            </w:r>
          </w:p>
        </w:tc>
        <w:tc>
          <w:tcPr>
            <w:tcW w:w="1526" w:type="dxa"/>
          </w:tcPr>
          <w:p w14:paraId="57EB5C8D" w14:textId="77777777" w:rsidR="0067184C" w:rsidRPr="00724FDD" w:rsidRDefault="0067184C" w:rsidP="0083214A">
            <w:pPr>
              <w:jc w:val="center"/>
              <w:rPr>
                <w:b/>
                <w:noProof/>
              </w:rPr>
            </w:pPr>
          </w:p>
        </w:tc>
        <w:tc>
          <w:tcPr>
            <w:tcW w:w="1532" w:type="dxa"/>
          </w:tcPr>
          <w:p w14:paraId="7B4A6C14" w14:textId="77777777" w:rsidR="0067184C" w:rsidRPr="00884C9A" w:rsidRDefault="0067184C" w:rsidP="0083214A">
            <w:pPr>
              <w:jc w:val="center"/>
              <w:rPr>
                <w:noProof/>
              </w:rPr>
            </w:pPr>
            <w:r>
              <w:rPr>
                <w:noProof/>
              </w:rPr>
              <w:t>1</w:t>
            </w:r>
            <w:r w:rsidRPr="67DC3EDF">
              <w:rPr>
                <w:rFonts w:ascii="Calibri" w:hAnsi="Calibri" w:cs="Calibri"/>
                <w:noProof/>
              </w:rPr>
              <w:t> </w:t>
            </w:r>
            <w:r>
              <w:rPr>
                <w:noProof/>
              </w:rPr>
              <w:t>508 in 2027</w:t>
            </w:r>
          </w:p>
        </w:tc>
        <w:tc>
          <w:tcPr>
            <w:tcW w:w="1572" w:type="dxa"/>
          </w:tcPr>
          <w:p w14:paraId="712139D1" w14:textId="77777777" w:rsidR="0067184C" w:rsidRPr="00884C9A" w:rsidRDefault="0067184C" w:rsidP="0083214A">
            <w:pPr>
              <w:jc w:val="center"/>
              <w:rPr>
                <w:noProof/>
              </w:rPr>
            </w:pPr>
          </w:p>
        </w:tc>
        <w:tc>
          <w:tcPr>
            <w:tcW w:w="1579" w:type="dxa"/>
          </w:tcPr>
          <w:p w14:paraId="22B3FF30" w14:textId="77777777" w:rsidR="0067184C" w:rsidRPr="00884C9A" w:rsidRDefault="0067184C" w:rsidP="0083214A">
            <w:pPr>
              <w:jc w:val="center"/>
              <w:rPr>
                <w:noProof/>
              </w:rPr>
            </w:pPr>
            <w:r>
              <w:rPr>
                <w:noProof/>
              </w:rPr>
              <w:t>No data</w:t>
            </w:r>
          </w:p>
        </w:tc>
      </w:tr>
    </w:tbl>
    <w:p w14:paraId="4BEB8A3E" w14:textId="77777777" w:rsidR="0067184C" w:rsidRPr="00040D99" w:rsidRDefault="0067184C" w:rsidP="0067184C">
      <w:pPr>
        <w:pStyle w:val="FootnoteText"/>
        <w:spacing w:before="120"/>
        <w:rPr>
          <w:noProof/>
        </w:rPr>
      </w:pPr>
      <w:r>
        <w:rPr>
          <w:noProof/>
        </w:rPr>
        <w:t>(*) % of target achieved by the end of 2021.</w:t>
      </w:r>
    </w:p>
    <w:p w14:paraId="26235BA5" w14:textId="77777777" w:rsidR="0067184C" w:rsidRPr="00040D99" w:rsidRDefault="0067184C" w:rsidP="0067184C">
      <w:pPr>
        <w:pStyle w:val="FootnoteText"/>
        <w:ind w:left="0" w:firstLine="0"/>
        <w:rPr>
          <w:noProof/>
          <w:color w:val="BBB931"/>
        </w:rPr>
      </w:pPr>
    </w:p>
    <w:p w14:paraId="357F8ABB" w14:textId="77777777" w:rsidR="0067184C" w:rsidRPr="00040D99" w:rsidRDefault="0067184C" w:rsidP="0067184C">
      <w:pPr>
        <w:pStyle w:val="ppoListHyphened-L1"/>
        <w:rPr>
          <w:noProof/>
        </w:rPr>
      </w:pPr>
      <w:r>
        <w:rPr>
          <w:noProof/>
        </w:rPr>
        <w:t>No project was finalised in 2021 due to the legal basis having only been adopted in June 2021.</w:t>
      </w:r>
    </w:p>
    <w:p w14:paraId="78F9EDD7" w14:textId="77777777" w:rsidR="0067184C" w:rsidRPr="00040D99" w:rsidRDefault="0067184C" w:rsidP="0067184C">
      <w:pPr>
        <w:spacing w:after="160" w:line="259" w:lineRule="auto"/>
        <w:rPr>
          <w:rFonts w:eastAsiaTheme="majorEastAsia" w:cstheme="majorBidi"/>
          <w:noProof/>
          <w:color w:val="016A13" w:themeColor="accent1" w:themeShade="BF"/>
          <w:sz w:val="48"/>
          <w:szCs w:val="32"/>
        </w:rPr>
      </w:pPr>
      <w:r w:rsidRPr="00040D99">
        <w:rPr>
          <w:noProof/>
        </w:rPr>
        <w:br w:type="page"/>
      </w:r>
    </w:p>
    <w:p w14:paraId="27263D01" w14:textId="77777777" w:rsidR="0067184C" w:rsidRPr="00040D99" w:rsidRDefault="0067184C" w:rsidP="0067184C">
      <w:pPr>
        <w:pStyle w:val="ppoHeading4Red"/>
        <w:rPr>
          <w:noProof/>
        </w:rPr>
      </w:pPr>
      <w:r>
        <w:rPr>
          <w:noProof/>
        </w:rPr>
        <w:t>2014-2020 MULTIANNUAL FINANCIAL FRAMEWORK</w:t>
      </w:r>
      <w:r w:rsidRPr="67DC3EDF">
        <w:rPr>
          <w:rFonts w:ascii="Calibri" w:hAnsi="Calibri" w:cs="Calibri"/>
          <w:noProof/>
        </w:rPr>
        <w:t> </w:t>
      </w:r>
      <w:r>
        <w:rPr>
          <w:noProof/>
        </w:rPr>
        <w:t>– IPA</w:t>
      </w:r>
      <w:r w:rsidRPr="67DC3EDF">
        <w:rPr>
          <w:rFonts w:ascii="Calibri" w:hAnsi="Calibri" w:cs="Calibri"/>
          <w:noProof/>
        </w:rPr>
        <w:t> </w:t>
      </w:r>
      <w:r>
        <w:rPr>
          <w:noProof/>
        </w:rPr>
        <w:t>II</w:t>
      </w:r>
    </w:p>
    <w:p w14:paraId="00FF186C" w14:textId="77777777" w:rsidR="0067184C" w:rsidRDefault="0067184C" w:rsidP="0067184C">
      <w:pPr>
        <w:rPr>
          <w:rFonts w:eastAsiaTheme="minorEastAsia"/>
          <w:noProof/>
        </w:rPr>
      </w:pPr>
      <w:r w:rsidRPr="67DC3EDF">
        <w:rPr>
          <w:rFonts w:eastAsiaTheme="minorEastAsia"/>
          <w:noProof/>
        </w:rPr>
        <w:t>Prepared in partnership with the beneficiaries, IPA</w:t>
      </w:r>
      <w:r w:rsidRPr="67DC3EDF">
        <w:rPr>
          <w:rFonts w:ascii="Calibri" w:eastAsiaTheme="minorEastAsia" w:hAnsi="Calibri" w:cs="Calibri"/>
          <w:noProof/>
        </w:rPr>
        <w:t> </w:t>
      </w:r>
      <w:r w:rsidRPr="67DC3EDF">
        <w:rPr>
          <w:rFonts w:eastAsiaTheme="minorEastAsia"/>
          <w:noProof/>
        </w:rPr>
        <w:t>II set a new framework for providing pre-accession assistance for the 2014-2020 period.</w:t>
      </w:r>
    </w:p>
    <w:p w14:paraId="55589E88" w14:textId="77777777" w:rsidR="0067184C" w:rsidRDefault="0067184C" w:rsidP="0067184C">
      <w:pPr>
        <w:pStyle w:val="ppoListHyphened-L1"/>
        <w:numPr>
          <w:ilvl w:val="0"/>
          <w:numId w:val="0"/>
        </w:numPr>
        <w:jc w:val="both"/>
        <w:rPr>
          <w:noProof/>
        </w:rPr>
      </w:pPr>
      <w:r>
        <w:rPr>
          <w:noProof/>
        </w:rPr>
        <w:t>IPA is a unique programme that supports IPA beneficiaries in their ambitious political and economic reforms and in their progressive alignment with the European Union’s rules, standards, policies and practices on their path towards EU membership. It fosters reforms in candidate and potential candidate countries through a combination of financial assistance and policy dialogue, preparing them for the rights and obligations that come with EU membership.</w:t>
      </w:r>
    </w:p>
    <w:p w14:paraId="43C6A332" w14:textId="77777777" w:rsidR="0067184C" w:rsidRPr="00040D99" w:rsidRDefault="0067184C" w:rsidP="0067184C">
      <w:pPr>
        <w:rPr>
          <w:rFonts w:eastAsiaTheme="minorEastAsia"/>
          <w:noProof/>
        </w:rPr>
      </w:pPr>
    </w:p>
    <w:p w14:paraId="366F87A9" w14:textId="77777777" w:rsidR="0067184C" w:rsidRPr="00040D99" w:rsidRDefault="0067184C" w:rsidP="0067184C">
      <w:pPr>
        <w:pStyle w:val="ppoHeading5"/>
        <w:rPr>
          <w:noProof/>
        </w:rPr>
      </w:pPr>
      <w:r>
        <w:rPr>
          <w:noProof/>
        </w:rPr>
        <w:t>Budget</w:t>
      </w:r>
    </w:p>
    <w:p w14:paraId="6FB437B5" w14:textId="77777777" w:rsidR="0067184C" w:rsidRPr="00040D99" w:rsidRDefault="0067184C" w:rsidP="0067184C">
      <w:pPr>
        <w:pStyle w:val="ppoTableTabletitle"/>
        <w:rPr>
          <w:noProof/>
        </w:rPr>
      </w:pPr>
      <w:r w:rsidRPr="00040D99">
        <w:rPr>
          <w:noProof/>
        </w:rPr>
        <w:t>Cumulative implementation rate at the end of 2021</w:t>
      </w:r>
      <w:r>
        <w:rPr>
          <w:noProof/>
        </w:rPr>
        <w:t xml:space="preserve"> </w:t>
      </w:r>
      <w:r w:rsidRPr="00045449">
        <w:rPr>
          <w:noProof/>
          <w:lang w:val="en-IE"/>
        </w:rPr>
        <w:t>(million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67184C" w:rsidRPr="00040D99" w14:paraId="0C0EFA4E" w14:textId="77777777" w:rsidTr="008321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6FCA085F" w14:textId="77777777" w:rsidR="0067184C" w:rsidRPr="00724FDD" w:rsidRDefault="0067184C" w:rsidP="0083214A">
            <w:pPr>
              <w:rPr>
                <w:noProof/>
              </w:rPr>
            </w:pPr>
          </w:p>
        </w:tc>
        <w:tc>
          <w:tcPr>
            <w:tcW w:w="2410" w:type="dxa"/>
          </w:tcPr>
          <w:p w14:paraId="34B01AD3" w14:textId="77777777" w:rsidR="0067184C" w:rsidRPr="00724FDD" w:rsidRDefault="0067184C" w:rsidP="0083214A">
            <w:pPr>
              <w:cnfStyle w:val="100000000000" w:firstRow="1" w:lastRow="0" w:firstColumn="0" w:lastColumn="0" w:oddVBand="0" w:evenVBand="0" w:oddHBand="0" w:evenHBand="0" w:firstRowFirstColumn="0" w:firstRowLastColumn="0" w:lastRowFirstColumn="0" w:lastRowLastColumn="0"/>
              <w:rPr>
                <w:noProof/>
              </w:rPr>
            </w:pPr>
            <w:r w:rsidRPr="00724FDD">
              <w:rPr>
                <w:noProof/>
              </w:rPr>
              <w:t>Implementation</w:t>
            </w:r>
          </w:p>
        </w:tc>
        <w:tc>
          <w:tcPr>
            <w:tcW w:w="2410" w:type="dxa"/>
          </w:tcPr>
          <w:p w14:paraId="6301E34C" w14:textId="50AB9E47" w:rsidR="0067184C" w:rsidRPr="00724FDD" w:rsidRDefault="003821C6" w:rsidP="0083214A">
            <w:pPr>
              <w:cnfStyle w:val="100000000000" w:firstRow="1" w:lastRow="0" w:firstColumn="0" w:lastColumn="0" w:oddVBand="0" w:evenVBand="0" w:oddHBand="0" w:evenHBand="0" w:firstRowFirstColumn="0" w:firstRowLastColumn="0" w:lastRowFirstColumn="0" w:lastRowLastColumn="0"/>
              <w:rPr>
                <w:noProof/>
              </w:rPr>
            </w:pPr>
            <w:r>
              <w:rPr>
                <w:noProof/>
              </w:rPr>
              <w:t xml:space="preserve">2014-2020 </w:t>
            </w:r>
            <w:r w:rsidR="0067184C" w:rsidRPr="00724FDD">
              <w:rPr>
                <w:noProof/>
              </w:rPr>
              <w:t>Budget</w:t>
            </w:r>
          </w:p>
        </w:tc>
        <w:tc>
          <w:tcPr>
            <w:tcW w:w="2410" w:type="dxa"/>
          </w:tcPr>
          <w:p w14:paraId="5A79C1DC" w14:textId="77777777" w:rsidR="0067184C" w:rsidRPr="00724FDD" w:rsidRDefault="0067184C" w:rsidP="0083214A">
            <w:pPr>
              <w:cnfStyle w:val="100000000000" w:firstRow="1" w:lastRow="0" w:firstColumn="0" w:lastColumn="0" w:oddVBand="0" w:evenVBand="0" w:oddHBand="0" w:evenHBand="0" w:firstRowFirstColumn="0" w:firstRowLastColumn="0" w:lastRowFirstColumn="0" w:lastRowLastColumn="0"/>
              <w:rPr>
                <w:noProof/>
              </w:rPr>
            </w:pPr>
            <w:r w:rsidRPr="00724FDD">
              <w:rPr>
                <w:noProof/>
              </w:rPr>
              <w:t>Implementation rate</w:t>
            </w:r>
          </w:p>
        </w:tc>
      </w:tr>
      <w:tr w:rsidR="0067184C" w:rsidRPr="00040D99" w14:paraId="03E7A9CE"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35A52C99" w14:textId="77777777" w:rsidR="0067184C" w:rsidRPr="00724FDD" w:rsidRDefault="0067184C" w:rsidP="0083214A">
            <w:pPr>
              <w:jc w:val="center"/>
              <w:rPr>
                <w:noProof/>
              </w:rPr>
            </w:pPr>
            <w:r w:rsidRPr="00724FDD">
              <w:rPr>
                <w:noProof/>
              </w:rPr>
              <w:t>Commitment</w:t>
            </w:r>
            <w:r>
              <w:rPr>
                <w:noProof/>
              </w:rPr>
              <w:t>s</w:t>
            </w:r>
          </w:p>
        </w:tc>
        <w:tc>
          <w:tcPr>
            <w:tcW w:w="2410" w:type="dxa"/>
          </w:tcPr>
          <w:tbl>
            <w:tblPr>
              <w:tblStyle w:val="TableGrid"/>
              <w:tblW w:w="0" w:type="auto"/>
              <w:tblLook w:val="06A0" w:firstRow="1" w:lastRow="0" w:firstColumn="1" w:lastColumn="0" w:noHBand="1" w:noVBand="1"/>
            </w:tblPr>
            <w:tblGrid>
              <w:gridCol w:w="2194"/>
            </w:tblGrid>
            <w:tr w:rsidR="0067184C" w14:paraId="27A17CA3" w14:textId="77777777" w:rsidTr="0083214A">
              <w:trPr>
                <w:trHeight w:val="285"/>
              </w:trPr>
              <w:tc>
                <w:tcPr>
                  <w:tcW w:w="2290" w:type="dxa"/>
                  <w:tcBorders>
                    <w:top w:val="nil"/>
                    <w:left w:val="nil"/>
                    <w:bottom w:val="nil"/>
                    <w:right w:val="nil"/>
                  </w:tcBorders>
                  <w:vAlign w:val="bottom"/>
                </w:tcPr>
                <w:p w14:paraId="1CACAE25" w14:textId="77777777" w:rsidR="0067184C" w:rsidRDefault="0067184C" w:rsidP="0083214A">
                  <w:pPr>
                    <w:jc w:val="right"/>
                    <w:rPr>
                      <w:noProof/>
                    </w:rPr>
                  </w:pPr>
                  <w:r w:rsidRPr="67DC3EDF">
                    <w:rPr>
                      <w:rFonts w:ascii="Calibri" w:hAnsi="Calibri" w:cs="Calibri"/>
                      <w:noProof/>
                      <w:color w:val="000000"/>
                    </w:rPr>
                    <w:t>12 813.1</w:t>
                  </w:r>
                </w:p>
              </w:tc>
            </w:tr>
          </w:tbl>
          <w:p w14:paraId="79373FB8" w14:textId="77777777" w:rsidR="0067184C" w:rsidRPr="00724FDD" w:rsidRDefault="0067184C"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67184C" w14:paraId="75116112" w14:textId="77777777" w:rsidTr="0083214A">
              <w:trPr>
                <w:trHeight w:val="285"/>
              </w:trPr>
              <w:tc>
                <w:tcPr>
                  <w:tcW w:w="2290" w:type="dxa"/>
                  <w:tcBorders>
                    <w:top w:val="nil"/>
                    <w:left w:val="nil"/>
                    <w:bottom w:val="nil"/>
                    <w:right w:val="nil"/>
                  </w:tcBorders>
                  <w:vAlign w:val="bottom"/>
                </w:tcPr>
                <w:p w14:paraId="5794731F" w14:textId="77777777" w:rsidR="0067184C" w:rsidRDefault="0067184C" w:rsidP="0083214A">
                  <w:pPr>
                    <w:jc w:val="right"/>
                    <w:rPr>
                      <w:noProof/>
                    </w:rPr>
                  </w:pPr>
                  <w:r w:rsidRPr="67DC3EDF">
                    <w:rPr>
                      <w:rFonts w:ascii="Calibri" w:hAnsi="Calibri" w:cs="Calibri"/>
                      <w:noProof/>
                      <w:color w:val="000000"/>
                    </w:rPr>
                    <w:t>12 893.6</w:t>
                  </w:r>
                </w:p>
              </w:tc>
            </w:tr>
          </w:tbl>
          <w:p w14:paraId="36C5F690" w14:textId="77777777" w:rsidR="0067184C" w:rsidRPr="00724FDD" w:rsidRDefault="0067184C"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67184C" w14:paraId="410C72D8" w14:textId="77777777" w:rsidTr="0083214A">
              <w:trPr>
                <w:trHeight w:val="285"/>
              </w:trPr>
              <w:tc>
                <w:tcPr>
                  <w:tcW w:w="2290" w:type="dxa"/>
                  <w:tcBorders>
                    <w:top w:val="nil"/>
                    <w:left w:val="nil"/>
                    <w:bottom w:val="nil"/>
                    <w:right w:val="nil"/>
                  </w:tcBorders>
                  <w:vAlign w:val="bottom"/>
                </w:tcPr>
                <w:p w14:paraId="6390B213" w14:textId="77777777" w:rsidR="0067184C" w:rsidRDefault="0067184C" w:rsidP="0083214A">
                  <w:pPr>
                    <w:jc w:val="right"/>
                    <w:rPr>
                      <w:noProof/>
                    </w:rPr>
                  </w:pPr>
                  <w:r w:rsidRPr="3280569A">
                    <w:rPr>
                      <w:rFonts w:ascii="Calibri" w:hAnsi="Calibri" w:cs="Calibri"/>
                      <w:noProof/>
                      <w:color w:val="000000"/>
                    </w:rPr>
                    <w:t>99%</w:t>
                  </w:r>
                </w:p>
              </w:tc>
            </w:tr>
          </w:tbl>
          <w:p w14:paraId="159EB08C" w14:textId="77777777" w:rsidR="0067184C" w:rsidRPr="00724FDD" w:rsidRDefault="0067184C" w:rsidP="0083214A">
            <w:pPr>
              <w:jc w:val="center"/>
              <w:cnfStyle w:val="000000000000" w:firstRow="0" w:lastRow="0" w:firstColumn="0" w:lastColumn="0" w:oddVBand="0" w:evenVBand="0" w:oddHBand="0" w:evenHBand="0" w:firstRowFirstColumn="0" w:firstRowLastColumn="0" w:lastRowFirstColumn="0" w:lastRowLastColumn="0"/>
              <w:rPr>
                <w:noProof/>
              </w:rPr>
            </w:pPr>
          </w:p>
        </w:tc>
      </w:tr>
      <w:tr w:rsidR="0067184C" w:rsidRPr="00040D99" w14:paraId="421539AF"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6969E720" w14:textId="77777777" w:rsidR="0067184C" w:rsidRPr="00724FDD" w:rsidRDefault="0067184C" w:rsidP="0083214A">
            <w:pPr>
              <w:jc w:val="center"/>
              <w:rPr>
                <w:noProof/>
              </w:rPr>
            </w:pPr>
            <w:r w:rsidRPr="00724FDD">
              <w:rPr>
                <w:noProof/>
              </w:rPr>
              <w:t>Payments</w:t>
            </w:r>
          </w:p>
        </w:tc>
        <w:tc>
          <w:tcPr>
            <w:tcW w:w="2410" w:type="dxa"/>
          </w:tcPr>
          <w:tbl>
            <w:tblPr>
              <w:tblStyle w:val="TableGrid"/>
              <w:tblW w:w="0" w:type="auto"/>
              <w:tblLook w:val="06A0" w:firstRow="1" w:lastRow="0" w:firstColumn="1" w:lastColumn="0" w:noHBand="1" w:noVBand="1"/>
            </w:tblPr>
            <w:tblGrid>
              <w:gridCol w:w="2194"/>
            </w:tblGrid>
            <w:tr w:rsidR="0067184C" w14:paraId="5EE4724D" w14:textId="77777777" w:rsidTr="0083214A">
              <w:trPr>
                <w:trHeight w:val="285"/>
              </w:trPr>
              <w:tc>
                <w:tcPr>
                  <w:tcW w:w="2290" w:type="dxa"/>
                  <w:tcBorders>
                    <w:top w:val="nil"/>
                    <w:left w:val="nil"/>
                    <w:bottom w:val="nil"/>
                    <w:right w:val="nil"/>
                  </w:tcBorders>
                  <w:vAlign w:val="bottom"/>
                </w:tcPr>
                <w:p w14:paraId="1ED4A5AC" w14:textId="77777777" w:rsidR="0067184C" w:rsidRDefault="0067184C" w:rsidP="0083214A">
                  <w:pPr>
                    <w:jc w:val="right"/>
                    <w:rPr>
                      <w:noProof/>
                    </w:rPr>
                  </w:pPr>
                  <w:r w:rsidRPr="67DC3EDF">
                    <w:rPr>
                      <w:rFonts w:ascii="Calibri" w:hAnsi="Calibri" w:cs="Calibri"/>
                      <w:noProof/>
                      <w:color w:val="000000"/>
                    </w:rPr>
                    <w:t>7 527.6</w:t>
                  </w:r>
                </w:p>
              </w:tc>
            </w:tr>
          </w:tbl>
          <w:p w14:paraId="7D01E45D" w14:textId="77777777" w:rsidR="0067184C" w:rsidRPr="00724FDD" w:rsidRDefault="0067184C"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4CA2AF4F" w14:textId="77777777" w:rsidR="0067184C" w:rsidRPr="00724FDD" w:rsidRDefault="0067184C"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67184C" w14:paraId="732DED90" w14:textId="77777777" w:rsidTr="0083214A">
              <w:trPr>
                <w:trHeight w:val="285"/>
              </w:trPr>
              <w:tc>
                <w:tcPr>
                  <w:tcW w:w="2235" w:type="dxa"/>
                  <w:tcBorders>
                    <w:top w:val="nil"/>
                    <w:left w:val="nil"/>
                    <w:bottom w:val="nil"/>
                    <w:right w:val="nil"/>
                  </w:tcBorders>
                  <w:vAlign w:val="bottom"/>
                </w:tcPr>
                <w:p w14:paraId="182C365B" w14:textId="77777777" w:rsidR="0067184C" w:rsidRDefault="0067184C" w:rsidP="0083214A">
                  <w:pPr>
                    <w:jc w:val="right"/>
                    <w:rPr>
                      <w:noProof/>
                    </w:rPr>
                  </w:pPr>
                  <w:r w:rsidRPr="007B2D4C">
                    <w:rPr>
                      <w:rFonts w:ascii="Calibri" w:hAnsi="Calibri" w:cs="Calibri"/>
                      <w:noProof/>
                      <w:color w:val="000000"/>
                    </w:rPr>
                    <w:t>58%</w:t>
                  </w:r>
                </w:p>
              </w:tc>
            </w:tr>
          </w:tbl>
          <w:p w14:paraId="43FFA978" w14:textId="77777777" w:rsidR="0067184C" w:rsidRPr="00724FDD" w:rsidRDefault="0067184C" w:rsidP="0083214A">
            <w:pPr>
              <w:jc w:val="center"/>
              <w:cnfStyle w:val="000000000000" w:firstRow="0" w:lastRow="0" w:firstColumn="0" w:lastColumn="0" w:oddVBand="0" w:evenVBand="0" w:oddHBand="0" w:evenHBand="0" w:firstRowFirstColumn="0" w:firstRowLastColumn="0" w:lastRowFirstColumn="0" w:lastRowLastColumn="0"/>
              <w:rPr>
                <w:noProof/>
              </w:rPr>
            </w:pPr>
          </w:p>
        </w:tc>
      </w:tr>
    </w:tbl>
    <w:p w14:paraId="4352C74A" w14:textId="77777777" w:rsidR="0067184C" w:rsidRDefault="0067184C" w:rsidP="0067184C">
      <w:pPr>
        <w:pStyle w:val="ppoListHyphened-L1"/>
        <w:jc w:val="both"/>
        <w:rPr>
          <w:noProof/>
        </w:rPr>
      </w:pPr>
      <w:r>
        <w:rPr>
          <w:noProof/>
        </w:rPr>
        <w:t>The payment rate is the result of IPA</w:t>
      </w:r>
      <w:r w:rsidRPr="67DC3EDF">
        <w:rPr>
          <w:rFonts w:ascii="Calibri" w:hAnsi="Calibri" w:cs="Calibri"/>
          <w:noProof/>
        </w:rPr>
        <w:t> </w:t>
      </w:r>
      <w:r>
        <w:rPr>
          <w:noProof/>
        </w:rPr>
        <w:t>II being first and foremost an investment budget that finances projects that run over a long period of time.</w:t>
      </w:r>
    </w:p>
    <w:p w14:paraId="59B43E1E" w14:textId="77777777" w:rsidR="0067184C" w:rsidRDefault="0067184C" w:rsidP="0067184C">
      <w:pPr>
        <w:pStyle w:val="ppoListHyphened-L1"/>
        <w:jc w:val="both"/>
        <w:rPr>
          <w:noProof/>
        </w:rPr>
      </w:pPr>
      <w:bookmarkStart w:id="277" w:name="_Hlk101886469"/>
      <w:r>
        <w:rPr>
          <w:noProof/>
        </w:rPr>
        <w:t xml:space="preserve">In addition, a true partnership with the beneficiary countries is crucial for the performance of the fund. Most of the fund is thus implemented </w:t>
      </w:r>
      <w:bookmarkEnd w:id="277"/>
      <w:r>
        <w:rPr>
          <w:noProof/>
        </w:rPr>
        <w:t>based on an agreement signed with the beneficiary countries, which needs to occur within 1</w:t>
      </w:r>
      <w:r w:rsidRPr="67DC3EDF">
        <w:rPr>
          <w:rFonts w:ascii="Calibri" w:hAnsi="Calibri" w:cs="Calibri"/>
          <w:noProof/>
        </w:rPr>
        <w:t> </w:t>
      </w:r>
      <w:r>
        <w:rPr>
          <w:noProof/>
        </w:rPr>
        <w:t>year after appropriations are committed. Afterwards, it is recommended that the countries themselves identify the projects relevant for the support, to ensure true ownership. To this aim, the actual contracts can be signed within 3</w:t>
      </w:r>
      <w:r w:rsidRPr="67DC3EDF">
        <w:rPr>
          <w:rFonts w:ascii="Calibri" w:hAnsi="Calibri" w:cs="Calibri"/>
          <w:noProof/>
        </w:rPr>
        <w:t> </w:t>
      </w:r>
      <w:r>
        <w:rPr>
          <w:noProof/>
        </w:rPr>
        <w:t>years after the signature of the agreement, to ensure sufficient time for the careful selection of projects.</w:t>
      </w:r>
    </w:p>
    <w:p w14:paraId="72BFF5BD" w14:textId="77777777" w:rsidR="0067184C" w:rsidRDefault="0067184C" w:rsidP="0067184C">
      <w:pPr>
        <w:pStyle w:val="ppoListHyphened-L1"/>
        <w:jc w:val="both"/>
        <w:rPr>
          <w:noProof/>
        </w:rPr>
      </w:pPr>
      <w:bookmarkStart w:id="278" w:name="_Hlk101885795"/>
      <w:r>
        <w:rPr>
          <w:noProof/>
        </w:rPr>
        <w:t xml:space="preserve">There are also actions that are implemented in cooperation with international financial institutions (such as blending and guarantees), which have a long implementation period </w:t>
      </w:r>
      <w:bookmarkEnd w:id="278"/>
      <w:r>
        <w:rPr>
          <w:noProof/>
        </w:rPr>
        <w:t>(on average 7-8 and 10</w:t>
      </w:r>
      <w:r w:rsidRPr="67DC3EDF">
        <w:rPr>
          <w:rFonts w:ascii="Calibri" w:hAnsi="Calibri" w:cs="Calibri"/>
          <w:noProof/>
        </w:rPr>
        <w:t> </w:t>
      </w:r>
      <w:r>
        <w:rPr>
          <w:noProof/>
        </w:rPr>
        <w:t>years, respectively).</w:t>
      </w:r>
    </w:p>
    <w:p w14:paraId="494342A1" w14:textId="77777777" w:rsidR="0067184C" w:rsidRDefault="0067184C" w:rsidP="0067184C">
      <w:pPr>
        <w:pStyle w:val="ppoListHyphened-L1"/>
        <w:jc w:val="both"/>
        <w:rPr>
          <w:noProof/>
        </w:rPr>
      </w:pPr>
      <w:r>
        <w:rPr>
          <w:noProof/>
        </w:rPr>
        <w:t>On average 3.6</w:t>
      </w:r>
      <w:r w:rsidRPr="67DC3EDF">
        <w:rPr>
          <w:rFonts w:ascii="Calibri" w:hAnsi="Calibri" w:cs="Calibri"/>
          <w:noProof/>
        </w:rPr>
        <w:t> </w:t>
      </w:r>
      <w:r>
        <w:rPr>
          <w:noProof/>
        </w:rPr>
        <w:t>years are needed to pay the total costs of legal commitments, less than the internal Commission target of 4</w:t>
      </w:r>
      <w:r w:rsidRPr="67DC3EDF">
        <w:rPr>
          <w:rFonts w:ascii="Calibri" w:hAnsi="Calibri" w:cs="Calibri"/>
          <w:noProof/>
        </w:rPr>
        <w:t> </w:t>
      </w:r>
      <w:r>
        <w:rPr>
          <w:noProof/>
        </w:rPr>
        <w:t>years for external action programmes. Indeed, in recent years, the Commission accelerated the implementation of the pre-accession assistance, in line with the programme’s life cycle under the 2014-2020 multiannual financial framework.</w:t>
      </w:r>
    </w:p>
    <w:p w14:paraId="345FF4C7" w14:textId="77777777" w:rsidR="0067184C" w:rsidRPr="00546ECA" w:rsidRDefault="0067184C" w:rsidP="0067184C">
      <w:pPr>
        <w:pStyle w:val="ppoListHyphened-L1"/>
        <w:jc w:val="both"/>
        <w:rPr>
          <w:noProof/>
        </w:rPr>
      </w:pPr>
      <w:r>
        <w:rPr>
          <w:noProof/>
        </w:rPr>
        <w:t>In 2021, 47% of IPA</w:t>
      </w:r>
      <w:r w:rsidRPr="67DC3EDF">
        <w:rPr>
          <w:rFonts w:ascii="Calibri" w:hAnsi="Calibri" w:cs="Calibri"/>
          <w:noProof/>
        </w:rPr>
        <w:t> </w:t>
      </w:r>
      <w:r>
        <w:rPr>
          <w:noProof/>
        </w:rPr>
        <w:t>II payments were dedicated to actions in social infrastructure and services (which include support to governments and civil society), 24% to multisector actions, 17% to economic infrastructure and services, and 12% to production sectors. 63.7% were implemented through indirect management, 33.2% through direct management and 3% through shared management.</w:t>
      </w:r>
    </w:p>
    <w:p w14:paraId="603E4B69" w14:textId="77777777" w:rsidR="0067184C" w:rsidRPr="00546ECA" w:rsidRDefault="0067184C" w:rsidP="0067184C">
      <w:pPr>
        <w:pStyle w:val="ppoListHyphened-L1"/>
        <w:jc w:val="both"/>
        <w:rPr>
          <w:noProof/>
        </w:rPr>
      </w:pPr>
      <w:r>
        <w:rPr>
          <w:noProof/>
        </w:rPr>
        <w:t>In the 2021 payments, the implementation of the Facility for Refugees in Turkey</w:t>
      </w:r>
      <w:r w:rsidRPr="67DC3EDF">
        <w:rPr>
          <w:rFonts w:ascii="Calibri" w:hAnsi="Calibri" w:cs="Calibri"/>
          <w:noProof/>
        </w:rPr>
        <w:t> </w:t>
      </w:r>
      <w:r>
        <w:rPr>
          <w:noProof/>
        </w:rPr>
        <w:t>– a coordination mechanism covering several financing instruments, including IPA</w:t>
      </w:r>
      <w:r w:rsidRPr="67DC3EDF">
        <w:rPr>
          <w:rFonts w:ascii="Calibri" w:hAnsi="Calibri" w:cs="Calibri"/>
          <w:noProof/>
        </w:rPr>
        <w:t> </w:t>
      </w:r>
      <w:r>
        <w:rPr>
          <w:noProof/>
        </w:rPr>
        <w:t>II</w:t>
      </w:r>
      <w:r w:rsidRPr="67DC3EDF">
        <w:rPr>
          <w:rFonts w:ascii="Calibri" w:hAnsi="Calibri" w:cs="Calibri"/>
          <w:noProof/>
        </w:rPr>
        <w:t> </w:t>
      </w:r>
      <w:r>
        <w:rPr>
          <w:noProof/>
        </w:rPr>
        <w:t>– continued with EUR</w:t>
      </w:r>
      <w:r w:rsidRPr="67DC3EDF">
        <w:rPr>
          <w:rFonts w:ascii="Calibri" w:hAnsi="Calibri" w:cs="Calibri"/>
          <w:noProof/>
        </w:rPr>
        <w:t> </w:t>
      </w:r>
      <w:r>
        <w:rPr>
          <w:noProof/>
        </w:rPr>
        <w:t>245</w:t>
      </w:r>
      <w:r w:rsidRPr="67DC3EDF">
        <w:rPr>
          <w:rFonts w:ascii="Calibri" w:hAnsi="Calibri" w:cs="Calibri"/>
          <w:noProof/>
        </w:rPr>
        <w:t> </w:t>
      </w:r>
      <w:r>
        <w:rPr>
          <w:noProof/>
        </w:rPr>
        <w:t>million as a direct grant to the Turkish authorities financed by IPA</w:t>
      </w:r>
      <w:r w:rsidRPr="67DC3EDF">
        <w:rPr>
          <w:rFonts w:ascii="Calibri" w:hAnsi="Calibri" w:cs="Calibri"/>
          <w:noProof/>
        </w:rPr>
        <w:t> </w:t>
      </w:r>
      <w:r>
        <w:rPr>
          <w:noProof/>
        </w:rPr>
        <w:t>II to support vulnerable refugees via direct cash support.</w:t>
      </w:r>
    </w:p>
    <w:p w14:paraId="50DFE22C" w14:textId="77777777" w:rsidR="0067184C" w:rsidRPr="00040D99" w:rsidRDefault="0067184C" w:rsidP="0067184C">
      <w:pPr>
        <w:pStyle w:val="ppoHeading5"/>
        <w:rPr>
          <w:noProof/>
        </w:rPr>
      </w:pPr>
      <w:r w:rsidRPr="00040D99">
        <w:rPr>
          <w:noProof/>
        </w:rPr>
        <w:t>Performance assessment</w:t>
      </w:r>
    </w:p>
    <w:p w14:paraId="37F48275" w14:textId="77777777" w:rsidR="0067184C" w:rsidRPr="00040D99" w:rsidRDefault="0067184C" w:rsidP="0067184C">
      <w:pPr>
        <w:pStyle w:val="ppoHeading6"/>
        <w:rPr>
          <w:noProof/>
        </w:rPr>
      </w:pPr>
      <w:r w:rsidRPr="00040D99">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67184C" w:rsidRPr="00040D99" w14:paraId="7970CB9F" w14:textId="77777777" w:rsidTr="0083214A">
        <w:trPr>
          <w:cnfStyle w:val="100000000000" w:firstRow="1" w:lastRow="0" w:firstColumn="0" w:lastColumn="0" w:oddVBand="0" w:evenVBand="0" w:oddHBand="0" w:evenHBand="0" w:firstRowFirstColumn="0" w:firstRowLastColumn="0" w:lastRowFirstColumn="0" w:lastRowLastColumn="0"/>
        </w:trPr>
        <w:tc>
          <w:tcPr>
            <w:tcW w:w="2330" w:type="dxa"/>
          </w:tcPr>
          <w:p w14:paraId="3A3D9F7E" w14:textId="77777777" w:rsidR="0067184C" w:rsidRPr="00724FDD" w:rsidRDefault="0067184C" w:rsidP="0083214A">
            <w:pPr>
              <w:keepNext/>
              <w:keepLines/>
              <w:rPr>
                <w:noProof/>
              </w:rPr>
            </w:pPr>
          </w:p>
        </w:tc>
        <w:tc>
          <w:tcPr>
            <w:tcW w:w="1100" w:type="dxa"/>
          </w:tcPr>
          <w:p w14:paraId="691C6835" w14:textId="77777777" w:rsidR="0067184C" w:rsidRPr="00724FDD" w:rsidRDefault="0067184C" w:rsidP="0083214A">
            <w:pPr>
              <w:keepNext/>
              <w:keepLines/>
              <w:rPr>
                <w:noProof/>
              </w:rPr>
            </w:pPr>
            <w:r w:rsidRPr="00724FDD">
              <w:rPr>
                <w:noProof/>
              </w:rPr>
              <w:t>Baseline</w:t>
            </w:r>
          </w:p>
        </w:tc>
        <w:tc>
          <w:tcPr>
            <w:tcW w:w="1526" w:type="dxa"/>
          </w:tcPr>
          <w:p w14:paraId="01D6A561" w14:textId="77777777" w:rsidR="0067184C" w:rsidRPr="00724FDD" w:rsidRDefault="0067184C" w:rsidP="0083214A">
            <w:pPr>
              <w:keepNext/>
              <w:keepLines/>
              <w:rPr>
                <w:noProof/>
              </w:rPr>
            </w:pPr>
            <w:r w:rsidRPr="00724FDD">
              <w:rPr>
                <w:noProof/>
              </w:rPr>
              <w:t>Progress</w:t>
            </w:r>
            <w:r>
              <w:rPr>
                <w:noProof/>
              </w:rPr>
              <w:t xml:space="preserve"> (*)</w:t>
            </w:r>
          </w:p>
        </w:tc>
        <w:tc>
          <w:tcPr>
            <w:tcW w:w="1532" w:type="dxa"/>
          </w:tcPr>
          <w:p w14:paraId="229331D6" w14:textId="77777777" w:rsidR="0067184C" w:rsidRPr="00724FDD" w:rsidRDefault="0067184C" w:rsidP="0083214A">
            <w:pPr>
              <w:keepNext/>
              <w:keepLines/>
              <w:rPr>
                <w:noProof/>
              </w:rPr>
            </w:pPr>
            <w:r w:rsidRPr="00724FDD">
              <w:rPr>
                <w:noProof/>
              </w:rPr>
              <w:t>Target</w:t>
            </w:r>
          </w:p>
        </w:tc>
        <w:tc>
          <w:tcPr>
            <w:tcW w:w="1572" w:type="dxa"/>
          </w:tcPr>
          <w:p w14:paraId="03EBB00C" w14:textId="77777777" w:rsidR="0067184C" w:rsidRPr="00724FDD" w:rsidRDefault="0067184C" w:rsidP="0083214A">
            <w:pPr>
              <w:keepNext/>
              <w:keepLines/>
              <w:rPr>
                <w:noProof/>
              </w:rPr>
            </w:pPr>
            <w:r w:rsidRPr="00724FDD">
              <w:rPr>
                <w:noProof/>
              </w:rPr>
              <w:t>Results</w:t>
            </w:r>
          </w:p>
        </w:tc>
        <w:tc>
          <w:tcPr>
            <w:tcW w:w="1579" w:type="dxa"/>
          </w:tcPr>
          <w:p w14:paraId="03CD638D" w14:textId="77777777" w:rsidR="0067184C" w:rsidRPr="00724FDD" w:rsidRDefault="0067184C" w:rsidP="0083214A">
            <w:pPr>
              <w:keepNext/>
              <w:keepLines/>
              <w:rPr>
                <w:noProof/>
              </w:rPr>
            </w:pPr>
            <w:r w:rsidRPr="00724FDD">
              <w:rPr>
                <w:noProof/>
              </w:rPr>
              <w:t>Assessment</w:t>
            </w:r>
          </w:p>
        </w:tc>
      </w:tr>
      <w:tr w:rsidR="0067184C" w:rsidRPr="00040D99" w14:paraId="46BD0BA9"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774083D3" w14:textId="77777777" w:rsidR="0067184C" w:rsidRPr="00724FDD" w:rsidRDefault="0067184C" w:rsidP="0083214A">
            <w:pPr>
              <w:rPr>
                <w:noProof/>
              </w:rPr>
            </w:pPr>
            <w:r>
              <w:rPr>
                <w:noProof/>
              </w:rPr>
              <w:t>Cross-border cooperation programmes concluded (IPA–IPA)</w:t>
            </w:r>
          </w:p>
        </w:tc>
        <w:tc>
          <w:tcPr>
            <w:tcW w:w="1100" w:type="dxa"/>
          </w:tcPr>
          <w:p w14:paraId="010E399B" w14:textId="77777777" w:rsidR="0067184C" w:rsidRPr="00724FDD" w:rsidRDefault="0067184C" w:rsidP="0083214A">
            <w:pPr>
              <w:jc w:val="center"/>
              <w:rPr>
                <w:noProof/>
              </w:rPr>
            </w:pPr>
            <w:r>
              <w:rPr>
                <w:noProof/>
              </w:rPr>
              <w:t>8</w:t>
            </w:r>
          </w:p>
        </w:tc>
        <w:tc>
          <w:tcPr>
            <w:tcW w:w="1526" w:type="dxa"/>
          </w:tcPr>
          <w:p w14:paraId="19C49DD7" w14:textId="786BBA6E" w:rsidR="0067184C" w:rsidRPr="00724FDD" w:rsidRDefault="00D65FD8" w:rsidP="0083214A">
            <w:pPr>
              <w:jc w:val="center"/>
              <w:rPr>
                <w:b/>
                <w:noProof/>
              </w:rPr>
            </w:pPr>
            <w:r>
              <w:rPr>
                <w:noProof/>
              </w:rPr>
              <w:t>5</w:t>
            </w:r>
            <w:r w:rsidR="0067184C">
              <w:rPr>
                <w:noProof/>
              </w:rPr>
              <w:t>0%</w:t>
            </w:r>
          </w:p>
        </w:tc>
        <w:tc>
          <w:tcPr>
            <w:tcW w:w="1532" w:type="dxa"/>
          </w:tcPr>
          <w:p w14:paraId="26E8133B" w14:textId="57DC07DE" w:rsidR="0067184C" w:rsidRPr="00724FDD" w:rsidRDefault="00D65FD8" w:rsidP="0083214A">
            <w:pPr>
              <w:jc w:val="center"/>
              <w:rPr>
                <w:noProof/>
              </w:rPr>
            </w:pPr>
            <w:r>
              <w:rPr>
                <w:noProof/>
              </w:rPr>
              <w:t>10 in 2023</w:t>
            </w:r>
          </w:p>
        </w:tc>
        <w:tc>
          <w:tcPr>
            <w:tcW w:w="1572" w:type="dxa"/>
          </w:tcPr>
          <w:p w14:paraId="30368069" w14:textId="77777777" w:rsidR="0067184C" w:rsidRPr="00724FDD" w:rsidRDefault="0067184C" w:rsidP="0083214A">
            <w:pPr>
              <w:jc w:val="center"/>
              <w:rPr>
                <w:noProof/>
              </w:rPr>
            </w:pPr>
            <w:r>
              <w:rPr>
                <w:noProof/>
              </w:rPr>
              <w:t>9 out of 10 programmes</w:t>
            </w:r>
          </w:p>
        </w:tc>
        <w:tc>
          <w:tcPr>
            <w:tcW w:w="1579" w:type="dxa"/>
          </w:tcPr>
          <w:p w14:paraId="35E9004B" w14:textId="6CEC81BE" w:rsidR="0067184C" w:rsidRPr="00724FDD" w:rsidRDefault="00D65FD8" w:rsidP="0083214A">
            <w:pPr>
              <w:jc w:val="center"/>
              <w:rPr>
                <w:noProof/>
              </w:rPr>
            </w:pPr>
            <w:r>
              <w:rPr>
                <w:noProof/>
              </w:rPr>
              <w:t>Moderate progress</w:t>
            </w:r>
          </w:p>
        </w:tc>
      </w:tr>
      <w:tr w:rsidR="0067184C" w:rsidRPr="00040D99" w14:paraId="61972622"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5D751C6C" w14:textId="77777777" w:rsidR="0067184C" w:rsidRPr="00724FDD" w:rsidRDefault="0067184C" w:rsidP="0083214A">
            <w:pPr>
              <w:rPr>
                <w:noProof/>
              </w:rPr>
            </w:pPr>
            <w:r>
              <w:rPr>
                <w:noProof/>
              </w:rPr>
              <w:t>Cross-border cooperation programmes concluded (IPA–EU Member States)</w:t>
            </w:r>
          </w:p>
        </w:tc>
        <w:tc>
          <w:tcPr>
            <w:tcW w:w="1100" w:type="dxa"/>
          </w:tcPr>
          <w:p w14:paraId="70D046C1" w14:textId="77777777" w:rsidR="0067184C" w:rsidRPr="00724FDD" w:rsidRDefault="0067184C" w:rsidP="0083214A">
            <w:pPr>
              <w:jc w:val="center"/>
              <w:rPr>
                <w:noProof/>
              </w:rPr>
            </w:pPr>
            <w:r>
              <w:rPr>
                <w:noProof/>
              </w:rPr>
              <w:t>12</w:t>
            </w:r>
          </w:p>
        </w:tc>
        <w:tc>
          <w:tcPr>
            <w:tcW w:w="1526" w:type="dxa"/>
          </w:tcPr>
          <w:p w14:paraId="01374D0F" w14:textId="77777777" w:rsidR="0067184C" w:rsidRPr="00724FDD" w:rsidRDefault="0067184C" w:rsidP="0083214A">
            <w:pPr>
              <w:jc w:val="center"/>
              <w:rPr>
                <w:b/>
                <w:noProof/>
              </w:rPr>
            </w:pPr>
            <w:r>
              <w:rPr>
                <w:noProof/>
              </w:rPr>
              <w:t>100%</w:t>
            </w:r>
          </w:p>
        </w:tc>
        <w:tc>
          <w:tcPr>
            <w:tcW w:w="1532" w:type="dxa"/>
          </w:tcPr>
          <w:p w14:paraId="4193DE23" w14:textId="0E9B8262" w:rsidR="0067184C" w:rsidRPr="00724FDD" w:rsidRDefault="0067184C" w:rsidP="0083214A">
            <w:pPr>
              <w:jc w:val="center"/>
              <w:rPr>
                <w:noProof/>
              </w:rPr>
            </w:pPr>
            <w:r>
              <w:rPr>
                <w:noProof/>
              </w:rPr>
              <w:t>10</w:t>
            </w:r>
            <w:r w:rsidR="00D65FD8">
              <w:rPr>
                <w:noProof/>
              </w:rPr>
              <w:t xml:space="preserve"> in 2023</w:t>
            </w:r>
          </w:p>
        </w:tc>
        <w:tc>
          <w:tcPr>
            <w:tcW w:w="1572" w:type="dxa"/>
          </w:tcPr>
          <w:p w14:paraId="60BDCC91" w14:textId="77777777" w:rsidR="0067184C" w:rsidRPr="00724FDD" w:rsidRDefault="0067184C" w:rsidP="0083214A">
            <w:pPr>
              <w:jc w:val="center"/>
              <w:rPr>
                <w:noProof/>
              </w:rPr>
            </w:pPr>
            <w:r>
              <w:rPr>
                <w:noProof/>
              </w:rPr>
              <w:t>10 out of 10 programmes</w:t>
            </w:r>
          </w:p>
        </w:tc>
        <w:tc>
          <w:tcPr>
            <w:tcW w:w="1579" w:type="dxa"/>
          </w:tcPr>
          <w:p w14:paraId="6C5DB289" w14:textId="02E86D84" w:rsidR="0067184C" w:rsidRPr="00724FDD" w:rsidRDefault="00D65FD8" w:rsidP="0083214A">
            <w:pPr>
              <w:jc w:val="center"/>
              <w:rPr>
                <w:noProof/>
              </w:rPr>
            </w:pPr>
            <w:r>
              <w:rPr>
                <w:noProof/>
              </w:rPr>
              <w:t>Moderate progress</w:t>
            </w:r>
          </w:p>
        </w:tc>
      </w:tr>
    </w:tbl>
    <w:p w14:paraId="7E9EC3A2" w14:textId="77777777" w:rsidR="0067184C" w:rsidRPr="00040D99" w:rsidRDefault="0067184C" w:rsidP="0067184C">
      <w:pPr>
        <w:pStyle w:val="FootnoteText"/>
        <w:rPr>
          <w:noProof/>
        </w:rPr>
      </w:pPr>
      <w:r>
        <w:rPr>
          <w:noProof/>
        </w:rPr>
        <w:t>(*) % of target achieved by the end of 2021.</w:t>
      </w:r>
    </w:p>
    <w:p w14:paraId="2BC42386" w14:textId="77777777" w:rsidR="0067184C" w:rsidRDefault="0067184C" w:rsidP="0067184C">
      <w:pPr>
        <w:pStyle w:val="ppoListHyphened-L1"/>
        <w:jc w:val="both"/>
        <w:rPr>
          <w:noProof/>
        </w:rPr>
      </w:pPr>
      <w:r w:rsidRPr="00FC32C8">
        <w:rPr>
          <w:noProof/>
        </w:rPr>
        <w:t>Candidate countries and potential candidates need to implement difficult and time-</w:t>
      </w:r>
      <w:r>
        <w:rPr>
          <w:noProof/>
        </w:rPr>
        <w:t>consuming</w:t>
      </w:r>
      <w:r w:rsidRPr="00FC32C8">
        <w:rPr>
          <w:noProof/>
        </w:rPr>
        <w:t xml:space="preserve"> structural reforms to make progress in the fundamental areas of the political accession criteria, including sustainable and far-reaching political and societal transformation. Advancing in the fundamental area of the economic criteria, which are interlinked with the political criteria, is also challenging.</w:t>
      </w:r>
    </w:p>
    <w:p w14:paraId="1E93A752" w14:textId="77777777" w:rsidR="0067184C" w:rsidRDefault="0067184C" w:rsidP="0067184C">
      <w:pPr>
        <w:pStyle w:val="ppoListHyphened-L1"/>
        <w:jc w:val="both"/>
        <w:rPr>
          <w:noProof/>
        </w:rPr>
      </w:pPr>
      <w:r>
        <w:rPr>
          <w:noProof/>
        </w:rPr>
        <w:t>The programme is making progress towards achieving its overall objectives despite the large influence of external factors. For enlargement to become a reality, a firm commitment to the principle of ‘fundamentals first’, including political will, remains particularly essential.</w:t>
      </w:r>
    </w:p>
    <w:p w14:paraId="2186ADE3" w14:textId="77777777" w:rsidR="0067184C" w:rsidRDefault="0067184C" w:rsidP="0067184C">
      <w:pPr>
        <w:pStyle w:val="ppoListHyphened-L1"/>
        <w:jc w:val="both"/>
        <w:rPr>
          <w:noProof/>
        </w:rPr>
      </w:pPr>
      <w:r>
        <w:rPr>
          <w:noProof/>
        </w:rPr>
        <w:t>Regarding political reforms, there are some examples of good progress. IPA has notably supported the training of 4 000 judges and the development or revision of 100 policies to reinforce the effectiveness of public administration and good governance. One key example of good progress supported by IPA is the justice reform. On the other hand, Turkey is experiencing very serious reform reversals regarding the functioning of the judiciary and freedom of expression. Turkey’s continued backsliding in areas linked to political criteria, combined with a low absorption capacity, led to a significant cut in pre-accession support following the 2017 Council decision.</w:t>
      </w:r>
    </w:p>
    <w:p w14:paraId="46C9A0AD" w14:textId="77777777" w:rsidR="0067184C" w:rsidRDefault="0067184C" w:rsidP="0067184C">
      <w:pPr>
        <w:pStyle w:val="ppoListHyphened-L1"/>
        <w:jc w:val="both"/>
        <w:rPr>
          <w:noProof/>
        </w:rPr>
      </w:pPr>
      <w:r>
        <w:rPr>
          <w:noProof/>
        </w:rPr>
        <w:t>Candidate countries and potential candidates from the Western Balkans made limited progress on meeting the economic criteria, according to the 2021 enlargement reports. Turkey, on the other hand, is considered to be well advanced in the area of the functioning market economy (with a ‘good level’ as far as competitive pressure is concerned), with no negative impact following the funds being cut. The role of IPA is thus limited in the 2014-2020 period.</w:t>
      </w:r>
    </w:p>
    <w:p w14:paraId="4025E411" w14:textId="77777777" w:rsidR="0067184C" w:rsidRDefault="0067184C" w:rsidP="0067184C">
      <w:pPr>
        <w:pStyle w:val="ppoListHyphened-L1"/>
        <w:jc w:val="both"/>
        <w:rPr>
          <w:noProof/>
        </w:rPr>
      </w:pPr>
      <w:r>
        <w:rPr>
          <w:noProof/>
        </w:rPr>
        <w:t xml:space="preserve">With respect to the alignment with the EU </w:t>
      </w:r>
      <w:r w:rsidRPr="67DC3EDF">
        <w:rPr>
          <w:i/>
          <w:iCs/>
          <w:noProof/>
        </w:rPr>
        <w:t>acquis</w:t>
      </w:r>
      <w:r>
        <w:rPr>
          <w:noProof/>
        </w:rPr>
        <w:t xml:space="preserve">, while Turkey experienced some reversal, the Western Balkans partners have generally improved their preparations. One of the key tools supported via IPA is the Technical Assistance and Information Exchange Instrument, notably used intensively by Montenegro, which has greatly improved its preparedness during the period. This tool allows to share EU best practices and support the alignment of legislation in all sectors of the </w:t>
      </w:r>
      <w:r w:rsidRPr="67DC3EDF">
        <w:rPr>
          <w:i/>
          <w:iCs/>
          <w:noProof/>
        </w:rPr>
        <w:t>acquis</w:t>
      </w:r>
      <w:r>
        <w:rPr>
          <w:noProof/>
        </w:rPr>
        <w:t>.</w:t>
      </w:r>
    </w:p>
    <w:p w14:paraId="08AB2424" w14:textId="77777777" w:rsidR="0067184C" w:rsidRDefault="0067184C" w:rsidP="0067184C">
      <w:pPr>
        <w:pStyle w:val="ppoListHyphened-L1"/>
        <w:jc w:val="both"/>
        <w:rPr>
          <w:noProof/>
        </w:rPr>
      </w:pPr>
      <w:r>
        <w:rPr>
          <w:noProof/>
        </w:rPr>
        <w:t>The rural development programmes are very successful: all our partners are making good progress in aligning with EU standards in the agri-food sector. Progressively upgrading towards these standards is both a political and economic priority.</w:t>
      </w:r>
    </w:p>
    <w:p w14:paraId="289622E4" w14:textId="77777777" w:rsidR="0067184C" w:rsidRDefault="0067184C" w:rsidP="0067184C">
      <w:pPr>
        <w:pStyle w:val="ppoListHyphened-L1"/>
        <w:jc w:val="both"/>
        <w:rPr>
          <w:noProof/>
        </w:rPr>
      </w:pPr>
      <w:r>
        <w:rPr>
          <w:noProof/>
        </w:rPr>
        <w:t xml:space="preserve">A very important aspect of IPA is the cooperation between the Member States and IPA countries. </w:t>
      </w:r>
      <w:r w:rsidRPr="00BE73DF">
        <w:rPr>
          <w:noProof/>
        </w:rPr>
        <w:t xml:space="preserve">In particular recently, </w:t>
      </w:r>
      <w:r>
        <w:rPr>
          <w:noProof/>
        </w:rPr>
        <w:t xml:space="preserve">as the </w:t>
      </w:r>
      <w:r w:rsidRPr="00BE73DF">
        <w:rPr>
          <w:noProof/>
        </w:rPr>
        <w:t>IPA supported several packages to tackle the challenge</w:t>
      </w:r>
      <w:r>
        <w:rPr>
          <w:noProof/>
        </w:rPr>
        <w:t>s</w:t>
      </w:r>
      <w:r w:rsidRPr="00BE73DF">
        <w:rPr>
          <w:noProof/>
        </w:rPr>
        <w:t xml:space="preserve"> posed by the COVID</w:t>
      </w:r>
      <w:r>
        <w:rPr>
          <w:noProof/>
        </w:rPr>
        <w:noBreakHyphen/>
      </w:r>
      <w:r w:rsidRPr="00BE73DF">
        <w:rPr>
          <w:noProof/>
        </w:rPr>
        <w:t>19 crisis in the Western Balkans.</w:t>
      </w:r>
      <w:r>
        <w:rPr>
          <w:noProof/>
        </w:rPr>
        <w:t xml:space="preserve"> By the end of 2021, respectively 89% and 61% of the IPA-related COVID</w:t>
      </w:r>
      <w:r>
        <w:rPr>
          <w:noProof/>
        </w:rPr>
        <w:noBreakHyphen/>
        <w:t>19 financial assistance package had been achieved.</w:t>
      </w:r>
    </w:p>
    <w:p w14:paraId="22C545F1" w14:textId="77777777" w:rsidR="0067184C" w:rsidRDefault="0067184C" w:rsidP="0067184C">
      <w:pPr>
        <w:pStyle w:val="ppoListHyphened-L1"/>
        <w:jc w:val="both"/>
        <w:rPr>
          <w:rFonts w:eastAsia="EC Square Sans Pro" w:cs="EC Square Sans Pro"/>
          <w:noProof/>
        </w:rPr>
      </w:pPr>
      <w:r>
        <w:rPr>
          <w:noProof/>
        </w:rPr>
        <w:t>In terms of fostering greater regional integration within the Western Balkans, IPA has focused its support on civil society and the cultural and creative sectors as key drivers of reconciliation in the region. In 2021 still, three new projects were signed focusing on regional cooperation between civil society organisations and a programme in support of the economic sustainability of media business in the region. The regional technical assistance for civil society organisations programme organised more than 60 trainings, consultations and people-to-people events in 2021 for more than 2</w:t>
      </w:r>
      <w:r w:rsidRPr="67DC3EDF">
        <w:rPr>
          <w:rFonts w:ascii="Calibri" w:hAnsi="Calibri" w:cs="Calibri"/>
          <w:noProof/>
        </w:rPr>
        <w:t> </w:t>
      </w:r>
      <w:r>
        <w:rPr>
          <w:noProof/>
        </w:rPr>
        <w:t>000 participants.</w:t>
      </w:r>
    </w:p>
    <w:p w14:paraId="7834A13B" w14:textId="77777777" w:rsidR="0067184C" w:rsidRDefault="0067184C" w:rsidP="005348AD">
      <w:pPr>
        <w:pStyle w:val="ppoListHyphened-L1"/>
        <w:numPr>
          <w:ilvl w:val="0"/>
          <w:numId w:val="0"/>
        </w:numPr>
        <w:ind w:left="357" w:hanging="357"/>
        <w:rPr>
          <w:b/>
          <w:noProof/>
        </w:rPr>
        <w:sectPr w:rsidR="0067184C" w:rsidSect="0083214A">
          <w:headerReference w:type="even" r:id="rId611"/>
          <w:headerReference w:type="default" r:id="rId612"/>
          <w:footerReference w:type="even" r:id="rId613"/>
          <w:footerReference w:type="default" r:id="rId614"/>
          <w:headerReference w:type="first" r:id="rId615"/>
          <w:footerReference w:type="first" r:id="rId616"/>
          <w:type w:val="continuous"/>
          <w:pgSz w:w="11906" w:h="16838" w:code="9"/>
          <w:pgMar w:top="1134" w:right="1134" w:bottom="964" w:left="1134" w:header="431" w:footer="431" w:gutter="0"/>
          <w:cols w:space="720"/>
          <w:titlePg/>
          <w:docGrid w:linePitch="360"/>
        </w:sectPr>
      </w:pPr>
    </w:p>
    <w:p w14:paraId="32C3FF92" w14:textId="77777777" w:rsidR="0067184C" w:rsidRPr="0067184C" w:rsidRDefault="0067184C" w:rsidP="0067184C">
      <w:pPr>
        <w:pStyle w:val="StyleppoHeading3WhiteLeft0cm"/>
        <w:rPr>
          <w:noProof/>
          <w:sz w:val="20"/>
        </w:rPr>
      </w:pPr>
    </w:p>
    <w:p w14:paraId="243057BC" w14:textId="77777777" w:rsidR="0067184C" w:rsidRPr="00ED0B1B" w:rsidRDefault="0067184C" w:rsidP="0067184C">
      <w:pPr>
        <w:pStyle w:val="StyleppoHeading3WhiteLeft0cm"/>
        <w:rPr>
          <w:noProof/>
          <w:sz w:val="60"/>
          <w:szCs w:val="60"/>
        </w:rPr>
      </w:pPr>
      <w:bookmarkStart w:id="279" w:name="_Toc102086374"/>
      <w:r w:rsidRPr="00ED0B1B">
        <w:rPr>
          <w:noProof/>
          <w:sz w:val="60"/>
          <w:szCs w:val="60"/>
        </w:rPr>
        <w:t>EGF</w:t>
      </w:r>
      <w:bookmarkEnd w:id="279"/>
    </w:p>
    <w:p w14:paraId="6DA29D03" w14:textId="77777777" w:rsidR="0067184C" w:rsidRPr="00ED0B1B" w:rsidRDefault="0067184C" w:rsidP="0067184C">
      <w:pPr>
        <w:pStyle w:val="StyleppoProgrammenameWhiteLeft01cm"/>
        <w:rPr>
          <w:noProof/>
        </w:rPr>
      </w:pPr>
      <w:r w:rsidRPr="00ED0B1B">
        <w:rPr>
          <w:noProof/>
        </w:rPr>
        <w:t>EUROPEAN GLOBALISATION ADJUSTMENT FUND FOR DISPLACED WORKERS</w:t>
      </w:r>
    </w:p>
    <w:p w14:paraId="126E7481" w14:textId="77777777" w:rsidR="0067184C" w:rsidRPr="00ED0B1B" w:rsidRDefault="0067184C" w:rsidP="0067184C">
      <w:pPr>
        <w:pStyle w:val="ppoHeading4Turquoise"/>
        <w:rPr>
          <w:noProof/>
        </w:rPr>
      </w:pPr>
      <w:r w:rsidRPr="00ED0B1B">
        <w:rPr>
          <w:noProof/>
        </w:rPr>
        <w:t>Programme in a nutshell</w:t>
      </w:r>
    </w:p>
    <w:p w14:paraId="32782872" w14:textId="77777777" w:rsidR="0067184C" w:rsidRPr="00ED0B1B" w:rsidRDefault="0067184C" w:rsidP="0067184C">
      <w:pPr>
        <w:spacing w:after="480"/>
        <w:rPr>
          <w:rFonts w:eastAsiaTheme="minorEastAsia"/>
          <w:noProof/>
          <w:color w:val="FFFFFF" w:themeColor="background1"/>
          <w:sz w:val="32"/>
        </w:rPr>
        <w:sectPr w:rsidR="0067184C" w:rsidRPr="00ED0B1B" w:rsidSect="0083214A">
          <w:headerReference w:type="even" r:id="rId617"/>
          <w:headerReference w:type="default" r:id="rId618"/>
          <w:footerReference w:type="even" r:id="rId619"/>
          <w:footerReference w:type="default" r:id="rId620"/>
          <w:headerReference w:type="first" r:id="rId621"/>
          <w:footerReference w:type="first" r:id="rId622"/>
          <w:pgSz w:w="11906" w:h="16838" w:code="9"/>
          <w:pgMar w:top="1134" w:right="1134" w:bottom="964" w:left="1134" w:header="431" w:footer="431" w:gutter="0"/>
          <w:cols w:space="720"/>
          <w:docGrid w:linePitch="360"/>
        </w:sectPr>
      </w:pPr>
    </w:p>
    <w:p w14:paraId="46B45E01" w14:textId="77777777" w:rsidR="0067184C" w:rsidRPr="00ED0B1B" w:rsidRDefault="0067184C" w:rsidP="0067184C">
      <w:pPr>
        <w:pStyle w:val="ppoHeading5"/>
        <w:rPr>
          <w:noProof/>
        </w:rPr>
      </w:pPr>
      <w:r w:rsidRPr="00ED0B1B">
        <w:rPr>
          <w:noProof/>
        </w:rPr>
        <w:t>Concrete examples of achievements (*)</w:t>
      </w:r>
    </w:p>
    <w:tbl>
      <w:tblPr>
        <w:tblStyle w:val="PPO2021"/>
        <w:tblW w:w="9639" w:type="dxa"/>
        <w:tblInd w:w="0" w:type="dxa"/>
        <w:tblLook w:val="0200" w:firstRow="0" w:lastRow="0" w:firstColumn="0" w:lastColumn="0" w:noHBand="1" w:noVBand="0"/>
      </w:tblPr>
      <w:tblGrid>
        <w:gridCol w:w="2410"/>
        <w:gridCol w:w="2409"/>
        <w:gridCol w:w="2410"/>
        <w:gridCol w:w="2410"/>
      </w:tblGrid>
      <w:tr w:rsidR="0067184C" w:rsidRPr="00ED0B1B" w14:paraId="3040DB13" w14:textId="77777777" w:rsidTr="0083214A">
        <w:tc>
          <w:tcPr>
            <w:tcW w:w="2410" w:type="dxa"/>
          </w:tcPr>
          <w:p w14:paraId="108715DF" w14:textId="77777777" w:rsidR="0067184C" w:rsidRPr="00ED0B1B" w:rsidRDefault="0067184C" w:rsidP="0083214A">
            <w:pPr>
              <w:pStyle w:val="ppoTableacheivementvalue"/>
              <w:rPr>
                <w:noProof/>
              </w:rPr>
            </w:pPr>
            <w:r w:rsidRPr="00ED0B1B">
              <w:rPr>
                <w:noProof/>
              </w:rPr>
              <w:t>55</w:t>
            </w:r>
          </w:p>
          <w:p w14:paraId="295EC6C2" w14:textId="77777777" w:rsidR="0067184C" w:rsidRPr="00ED0B1B" w:rsidRDefault="0067184C" w:rsidP="00377734">
            <w:pPr>
              <w:jc w:val="left"/>
              <w:rPr>
                <w:noProof/>
              </w:rPr>
            </w:pPr>
            <w:r w:rsidRPr="00ED0B1B">
              <w:rPr>
                <w:noProof/>
              </w:rPr>
              <w:t>applications were received between 2014 and 2020, including six applications received in 2020, excluding those withdrawn or rejected.</w:t>
            </w:r>
          </w:p>
        </w:tc>
        <w:tc>
          <w:tcPr>
            <w:cnfStyle w:val="000001000000" w:firstRow="0" w:lastRow="0" w:firstColumn="0" w:lastColumn="0" w:oddVBand="0" w:evenVBand="1" w:oddHBand="0" w:evenHBand="0" w:firstRowFirstColumn="0" w:firstRowLastColumn="0" w:lastRowFirstColumn="0" w:lastRowLastColumn="0"/>
            <w:tcW w:w="2409" w:type="dxa"/>
          </w:tcPr>
          <w:p w14:paraId="33FBC38A" w14:textId="77777777" w:rsidR="0067184C" w:rsidRPr="00ED0B1B" w:rsidRDefault="0067184C" w:rsidP="0083214A">
            <w:pPr>
              <w:pStyle w:val="ppoTableacheivementvalue"/>
              <w:rPr>
                <w:noProof/>
              </w:rPr>
            </w:pPr>
            <w:r w:rsidRPr="00ED0B1B">
              <w:rPr>
                <w:noProof/>
              </w:rPr>
              <w:t>55</w:t>
            </w:r>
            <w:r w:rsidRPr="00ED0B1B">
              <w:rPr>
                <w:rFonts w:ascii="Calibri" w:hAnsi="Calibri" w:cs="Calibri"/>
                <w:noProof/>
              </w:rPr>
              <w:t> </w:t>
            </w:r>
            <w:r w:rsidRPr="00ED0B1B">
              <w:rPr>
                <w:noProof/>
              </w:rPr>
              <w:t>168</w:t>
            </w:r>
          </w:p>
          <w:p w14:paraId="5C894E69" w14:textId="77777777" w:rsidR="0067184C" w:rsidRPr="00ED0B1B" w:rsidRDefault="0067184C" w:rsidP="00377734">
            <w:pPr>
              <w:jc w:val="left"/>
              <w:rPr>
                <w:noProof/>
              </w:rPr>
            </w:pPr>
            <w:r w:rsidRPr="00ED0B1B">
              <w:rPr>
                <w:noProof/>
              </w:rPr>
              <w:t>workers were targeted between 2014 and 2020, including 9</w:t>
            </w:r>
            <w:r w:rsidRPr="00ED0B1B">
              <w:rPr>
                <w:rFonts w:ascii="Calibri" w:hAnsi="Calibri" w:cs="Calibri"/>
                <w:noProof/>
              </w:rPr>
              <w:t> </w:t>
            </w:r>
            <w:r w:rsidRPr="00ED0B1B">
              <w:rPr>
                <w:noProof/>
              </w:rPr>
              <w:t>205 workers targeted in mobilised applications received in 2020.</w:t>
            </w:r>
          </w:p>
        </w:tc>
        <w:tc>
          <w:tcPr>
            <w:tcW w:w="2410" w:type="dxa"/>
            <w:tcBorders>
              <w:bottom w:val="single" w:sz="4" w:space="0" w:color="8C8C8C"/>
            </w:tcBorders>
          </w:tcPr>
          <w:p w14:paraId="1A9204B6" w14:textId="77777777" w:rsidR="0067184C" w:rsidRPr="00ED0B1B" w:rsidRDefault="0067184C" w:rsidP="0083214A">
            <w:pPr>
              <w:pStyle w:val="ppoTableacheivementvalue"/>
              <w:cnfStyle w:val="000000000000" w:firstRow="0" w:lastRow="0" w:firstColumn="0" w:lastColumn="0" w:oddVBand="0" w:evenVBand="0" w:oddHBand="0" w:evenHBand="0" w:firstRowFirstColumn="0" w:firstRowLastColumn="0" w:lastRowFirstColumn="0" w:lastRowLastColumn="0"/>
              <w:rPr>
                <w:noProof/>
              </w:rPr>
            </w:pPr>
            <w:r w:rsidRPr="00ED0B1B">
              <w:rPr>
                <w:noProof/>
              </w:rPr>
              <w:t>4</w:t>
            </w:r>
            <w:r w:rsidRPr="00ED0B1B">
              <w:rPr>
                <w:rFonts w:ascii="Calibri" w:hAnsi="Calibri" w:cs="Calibri"/>
                <w:noProof/>
              </w:rPr>
              <w:t> </w:t>
            </w:r>
            <w:r w:rsidRPr="00ED0B1B">
              <w:rPr>
                <w:noProof/>
              </w:rPr>
              <w:t>099</w:t>
            </w:r>
          </w:p>
          <w:p w14:paraId="6ECB898A" w14:textId="77777777" w:rsidR="0067184C" w:rsidRPr="00ED0B1B" w:rsidRDefault="0067184C" w:rsidP="00377734">
            <w:pPr>
              <w:jc w:val="left"/>
              <w:cnfStyle w:val="000000000000" w:firstRow="0" w:lastRow="0" w:firstColumn="0" w:lastColumn="0" w:oddVBand="0" w:evenVBand="0" w:oddHBand="0" w:evenHBand="0" w:firstRowFirstColumn="0" w:firstRowLastColumn="0" w:lastRowFirstColumn="0" w:lastRowLastColumn="0"/>
              <w:rPr>
                <w:noProof/>
              </w:rPr>
            </w:pPr>
            <w:r w:rsidRPr="00ED0B1B">
              <w:rPr>
                <w:noProof/>
              </w:rPr>
              <w:t>young people not in employment, education or training were targeted between 2014 and 2020.</w:t>
            </w:r>
          </w:p>
        </w:tc>
        <w:tc>
          <w:tcPr>
            <w:cnfStyle w:val="000001000000" w:firstRow="0" w:lastRow="0" w:firstColumn="0" w:lastColumn="0" w:oddVBand="0" w:evenVBand="1" w:oddHBand="0" w:evenHBand="0" w:firstRowFirstColumn="0" w:firstRowLastColumn="0" w:lastRowFirstColumn="0" w:lastRowLastColumn="0"/>
            <w:tcW w:w="2410" w:type="dxa"/>
          </w:tcPr>
          <w:p w14:paraId="116861A8" w14:textId="77777777" w:rsidR="0067184C" w:rsidRPr="00ED0B1B" w:rsidRDefault="0067184C" w:rsidP="0083214A">
            <w:pPr>
              <w:pStyle w:val="ppoTableacheivementvalue"/>
              <w:rPr>
                <w:noProof/>
              </w:rPr>
            </w:pPr>
            <w:r w:rsidRPr="00ED0B1B">
              <w:rPr>
                <w:noProof/>
              </w:rPr>
              <w:t>EUR</w:t>
            </w:r>
            <w:r w:rsidRPr="00ED0B1B">
              <w:rPr>
                <w:rFonts w:ascii="Calibri" w:hAnsi="Calibri" w:cs="Calibri"/>
                <w:noProof/>
              </w:rPr>
              <w:t> </w:t>
            </w:r>
            <w:r w:rsidRPr="00ED0B1B">
              <w:rPr>
                <w:noProof/>
              </w:rPr>
              <w:t>175</w:t>
            </w:r>
            <w:r w:rsidRPr="00ED0B1B">
              <w:rPr>
                <w:rFonts w:ascii="Calibri" w:hAnsi="Calibri" w:cs="Calibri"/>
                <w:noProof/>
              </w:rPr>
              <w:t> </w:t>
            </w:r>
            <w:r w:rsidRPr="00ED0B1B">
              <w:rPr>
                <w:noProof/>
              </w:rPr>
              <w:t>220</w:t>
            </w:r>
            <w:r w:rsidRPr="00ED0B1B">
              <w:rPr>
                <w:rFonts w:ascii="Calibri" w:hAnsi="Calibri" w:cs="Calibri"/>
                <w:noProof/>
              </w:rPr>
              <w:t> </w:t>
            </w:r>
            <w:r w:rsidRPr="00ED0B1B">
              <w:rPr>
                <w:noProof/>
              </w:rPr>
              <w:t>016</w:t>
            </w:r>
          </w:p>
          <w:p w14:paraId="6C771A82" w14:textId="77777777" w:rsidR="0067184C" w:rsidRPr="00ED0B1B" w:rsidRDefault="0067184C" w:rsidP="00377734">
            <w:pPr>
              <w:jc w:val="left"/>
              <w:rPr>
                <w:noProof/>
              </w:rPr>
            </w:pPr>
            <w:r>
              <w:rPr>
                <w:noProof/>
              </w:rPr>
              <w:t>in</w:t>
            </w:r>
            <w:r w:rsidRPr="00ED0B1B">
              <w:rPr>
                <w:noProof/>
              </w:rPr>
              <w:t xml:space="preserve"> contributions from the EGF was requested by 12 Member States between 2014 and 2020, including about EUR</w:t>
            </w:r>
            <w:r w:rsidRPr="00ED0B1B">
              <w:rPr>
                <w:rFonts w:ascii="Calibri" w:hAnsi="Calibri" w:cs="Calibri"/>
                <w:noProof/>
              </w:rPr>
              <w:t> </w:t>
            </w:r>
            <w:r w:rsidRPr="00ED0B1B">
              <w:rPr>
                <w:noProof/>
              </w:rPr>
              <w:t>18</w:t>
            </w:r>
            <w:r w:rsidRPr="00ED0B1B">
              <w:rPr>
                <w:rFonts w:ascii="Calibri" w:hAnsi="Calibri" w:cs="Calibri"/>
                <w:noProof/>
              </w:rPr>
              <w:t> </w:t>
            </w:r>
            <w:r w:rsidRPr="00ED0B1B">
              <w:rPr>
                <w:noProof/>
              </w:rPr>
              <w:t>million requested through the 2020 applications.</w:t>
            </w:r>
          </w:p>
        </w:tc>
      </w:tr>
      <w:tr w:rsidR="0067184C" w:rsidRPr="00ED0B1B" w14:paraId="0F1DE0DB" w14:textId="77777777" w:rsidTr="0083214A">
        <w:trPr>
          <w:gridAfter w:val="3"/>
          <w:wAfter w:w="7229" w:type="dxa"/>
        </w:trPr>
        <w:tc>
          <w:tcPr>
            <w:tcW w:w="2410" w:type="dxa"/>
          </w:tcPr>
          <w:p w14:paraId="43212678" w14:textId="77777777" w:rsidR="0067184C" w:rsidRPr="00ED0B1B" w:rsidRDefault="0067184C" w:rsidP="0083214A">
            <w:pPr>
              <w:pStyle w:val="ppoTableacheivementvalue"/>
              <w:rPr>
                <w:noProof/>
              </w:rPr>
            </w:pPr>
            <w:r w:rsidRPr="00ED0B1B">
              <w:rPr>
                <w:noProof/>
              </w:rPr>
              <w:t>60%</w:t>
            </w:r>
          </w:p>
          <w:p w14:paraId="69CD96C5" w14:textId="77777777" w:rsidR="0067184C" w:rsidRPr="00ED0B1B" w:rsidRDefault="0067184C" w:rsidP="00377734">
            <w:pPr>
              <w:jc w:val="left"/>
              <w:rPr>
                <w:noProof/>
              </w:rPr>
            </w:pPr>
            <w:r w:rsidRPr="00ED0B1B">
              <w:rPr>
                <w:noProof/>
              </w:rPr>
              <w:t>is the average rate of beneficiaries who found employment following an EGF intervention between 2014 and 2020.</w:t>
            </w:r>
          </w:p>
        </w:tc>
      </w:tr>
    </w:tbl>
    <w:p w14:paraId="0847EA82" w14:textId="77777777" w:rsidR="0067184C" w:rsidRPr="00ED0B1B" w:rsidRDefault="0067184C" w:rsidP="0067184C">
      <w:pPr>
        <w:pStyle w:val="FootnoteText"/>
        <w:rPr>
          <w:rFonts w:eastAsiaTheme="minorEastAsia"/>
          <w:noProof/>
        </w:rPr>
      </w:pPr>
      <w:r w:rsidRPr="00ED0B1B">
        <w:rPr>
          <w:rFonts w:eastAsiaTheme="minorEastAsia"/>
          <w:noProof/>
        </w:rPr>
        <w:t>(*)</w:t>
      </w:r>
      <w:r w:rsidRPr="00ED0B1B">
        <w:rPr>
          <w:rFonts w:eastAsiaTheme="minorEastAsia"/>
          <w:noProof/>
        </w:rPr>
        <w:tab/>
        <w:t>Key achievements in the table state which period they relate to. Many come from the implementation of the predecessor programmes under the 2014-2020 multiannual financial framework. This is expected and is due to the multiannual life cycle of EU programmes and the projects they finance, where results often follow only after completion of the programmes.</w:t>
      </w:r>
    </w:p>
    <w:p w14:paraId="49FC3280" w14:textId="77777777" w:rsidR="0067184C" w:rsidRPr="00ED0B1B" w:rsidRDefault="0067184C" w:rsidP="0067184C">
      <w:pPr>
        <w:pStyle w:val="ppoHeading5"/>
        <w:rPr>
          <w:noProof/>
        </w:rPr>
      </w:pPr>
      <w:r w:rsidRPr="00ED0B1B">
        <w:rPr>
          <w:noProof/>
        </w:rPr>
        <w:t>Budget for 2021-2027</w:t>
      </w:r>
    </w:p>
    <w:p w14:paraId="6B2A37F5" w14:textId="77777777" w:rsidR="0067184C" w:rsidRPr="00ED0B1B" w:rsidRDefault="0067184C" w:rsidP="0067184C">
      <w:pPr>
        <w:pStyle w:val="ppoTableTabletitle"/>
        <w:ind w:left="284"/>
        <w:rPr>
          <w:noProof/>
        </w:rPr>
      </w:pPr>
      <w:r w:rsidRPr="00ED0B1B">
        <w:rPr>
          <w:noProof/>
        </w:rPr>
        <w:t>(million EUR)</w:t>
      </w:r>
    </w:p>
    <w:tbl>
      <w:tblPr>
        <w:tblStyle w:val="PlainTable2"/>
        <w:tblW w:w="0" w:type="auto"/>
        <w:tblInd w:w="288" w:type="dxa"/>
        <w:tblLook w:val="04A0" w:firstRow="1" w:lastRow="0" w:firstColumn="1" w:lastColumn="0" w:noHBand="0" w:noVBand="1"/>
      </w:tblPr>
      <w:tblGrid>
        <w:gridCol w:w="4788"/>
        <w:gridCol w:w="2610"/>
      </w:tblGrid>
      <w:tr w:rsidR="0067184C" w:rsidRPr="00ED0B1B" w14:paraId="6E678E60" w14:textId="77777777" w:rsidTr="0083214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4DB19B94" w14:textId="77777777" w:rsidR="0067184C" w:rsidRPr="00ED0B1B" w:rsidRDefault="0067184C" w:rsidP="0083214A">
            <w:pPr>
              <w:spacing w:before="120" w:after="120"/>
              <w:rPr>
                <w:noProof/>
              </w:rPr>
            </w:pPr>
            <w:r w:rsidRPr="00ED0B1B">
              <w:rPr>
                <w:rFonts w:cs="Calibri"/>
                <w:noProof/>
                <w:color w:val="000000"/>
              </w:rPr>
              <w:t>Financial programming</w:t>
            </w:r>
          </w:p>
        </w:tc>
        <w:tc>
          <w:tcPr>
            <w:tcW w:w="2610" w:type="dxa"/>
            <w:shd w:val="clear" w:color="auto" w:fill="auto"/>
            <w:vAlign w:val="bottom"/>
          </w:tcPr>
          <w:p w14:paraId="31AA540F" w14:textId="77777777" w:rsidR="0067184C" w:rsidRPr="00ED0B1B" w:rsidRDefault="0067184C" w:rsidP="0083214A">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noProof/>
              </w:rPr>
            </w:pPr>
            <w:bookmarkStart w:id="280" w:name="_Hlk100763838"/>
            <w:r w:rsidRPr="00ED0B1B">
              <w:rPr>
                <w:rFonts w:cs="Calibri"/>
                <w:b w:val="0"/>
                <w:bCs w:val="0"/>
                <w:noProof/>
                <w:color w:val="000000"/>
              </w:rPr>
              <w:t>1 451.4</w:t>
            </w:r>
            <w:r w:rsidRPr="00ED0B1B">
              <w:rPr>
                <w:rFonts w:ascii="Calibri" w:hAnsi="Calibri" w:cs="Calibri"/>
                <w:b w:val="0"/>
                <w:bCs w:val="0"/>
                <w:noProof/>
                <w:color w:val="000000"/>
              </w:rPr>
              <w:t> (</w:t>
            </w:r>
            <w:r w:rsidRPr="00ED0B1B">
              <w:rPr>
                <w:rFonts w:cs="Calibri"/>
                <w:b w:val="0"/>
                <w:bCs w:val="0"/>
                <w:noProof/>
                <w:color w:val="000000"/>
              </w:rPr>
              <w:t>*</w:t>
            </w:r>
            <w:r>
              <w:rPr>
                <w:rFonts w:cs="Calibri"/>
                <w:b w:val="0"/>
                <w:bCs w:val="0"/>
                <w:noProof/>
                <w:color w:val="000000"/>
              </w:rPr>
              <w:t>*</w:t>
            </w:r>
            <w:r w:rsidRPr="00ED0B1B">
              <w:rPr>
                <w:rFonts w:cs="Calibri"/>
                <w:b w:val="0"/>
                <w:bCs w:val="0"/>
                <w:noProof/>
                <w:color w:val="000000"/>
              </w:rPr>
              <w:t>)</w:t>
            </w:r>
            <w:bookmarkEnd w:id="280"/>
          </w:p>
        </w:tc>
      </w:tr>
      <w:tr w:rsidR="0067184C" w:rsidRPr="00ED0B1B" w14:paraId="7CC3A590"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15CDEB4B" w14:textId="77777777" w:rsidR="0067184C" w:rsidRPr="00ED0B1B" w:rsidRDefault="0067184C" w:rsidP="0083214A">
            <w:pPr>
              <w:spacing w:before="120" w:after="120"/>
              <w:rPr>
                <w:b w:val="0"/>
                <w:noProof/>
              </w:rPr>
            </w:pPr>
            <w:r w:rsidRPr="00ED0B1B">
              <w:rPr>
                <w:rFonts w:cs="Calibri"/>
                <w:noProof/>
                <w:color w:val="000000"/>
              </w:rPr>
              <w:t>NextGenerationEU</w:t>
            </w:r>
          </w:p>
        </w:tc>
        <w:tc>
          <w:tcPr>
            <w:tcW w:w="2610" w:type="dxa"/>
            <w:vAlign w:val="bottom"/>
          </w:tcPr>
          <w:p w14:paraId="17C85DD0" w14:textId="77777777" w:rsidR="0067184C" w:rsidRPr="00ED0B1B" w:rsidRDefault="0067184C"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ED0B1B">
              <w:rPr>
                <w:rFonts w:cs="Calibri"/>
                <w:noProof/>
                <w:color w:val="000000"/>
              </w:rPr>
              <w:t>0</w:t>
            </w:r>
          </w:p>
        </w:tc>
      </w:tr>
      <w:tr w:rsidR="0067184C" w:rsidRPr="00ED0B1B" w14:paraId="2CB1DD0D"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78B37D92" w14:textId="77777777" w:rsidR="0067184C" w:rsidRPr="00ED0B1B" w:rsidRDefault="0067184C" w:rsidP="0083214A">
            <w:pPr>
              <w:spacing w:before="120" w:after="120"/>
              <w:rPr>
                <w:b w:val="0"/>
                <w:noProof/>
              </w:rPr>
            </w:pPr>
            <w:r w:rsidRPr="00ED0B1B">
              <w:rPr>
                <w:noProof/>
              </w:rPr>
              <w:t>Decommitments made available again</w:t>
            </w:r>
            <w:r w:rsidRPr="00ED0B1B" w:rsidDel="0043335C">
              <w:rPr>
                <w:rFonts w:cs="Calibri"/>
                <w:noProof/>
                <w:color w:val="000000"/>
              </w:rPr>
              <w:t xml:space="preserve"> </w:t>
            </w:r>
            <w:r w:rsidRPr="00ED0B1B">
              <w:rPr>
                <w:rFonts w:cs="Calibri"/>
                <w:noProof/>
                <w:color w:val="000000"/>
              </w:rPr>
              <w:t>(*)</w:t>
            </w:r>
          </w:p>
        </w:tc>
        <w:tc>
          <w:tcPr>
            <w:tcW w:w="2610" w:type="dxa"/>
            <w:vAlign w:val="bottom"/>
          </w:tcPr>
          <w:p w14:paraId="18E53869" w14:textId="2F26BDDF" w:rsidR="0067184C" w:rsidRPr="00ED0B1B" w:rsidRDefault="0067184C" w:rsidP="0083214A">
            <w:pPr>
              <w:spacing w:before="120" w:after="120"/>
              <w:jc w:val="center"/>
              <w:cnfStyle w:val="000000000000" w:firstRow="0" w:lastRow="0" w:firstColumn="0" w:lastColumn="0" w:oddVBand="0" w:evenVBand="0" w:oddHBand="0" w:evenHBand="0" w:firstRowFirstColumn="0" w:firstRowLastColumn="0" w:lastRowFirstColumn="0" w:lastRowLastColumn="0"/>
              <w:rPr>
                <w:noProof/>
              </w:rPr>
            </w:pPr>
            <w:r>
              <w:rPr>
                <w:rFonts w:cs="Calibri"/>
                <w:noProof/>
                <w:color w:val="000000"/>
              </w:rPr>
              <w:t>N/A</w:t>
            </w:r>
          </w:p>
        </w:tc>
      </w:tr>
      <w:tr w:rsidR="0067184C" w:rsidRPr="00ED0B1B" w14:paraId="44E8F3B2"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3E7A0B72" w14:textId="77777777" w:rsidR="0067184C" w:rsidRPr="00ED0B1B" w:rsidRDefault="0067184C" w:rsidP="0083214A">
            <w:pPr>
              <w:spacing w:before="120" w:after="120"/>
              <w:rPr>
                <w:noProof/>
              </w:rPr>
            </w:pPr>
            <w:r w:rsidRPr="00ED0B1B">
              <w:rPr>
                <w:rFonts w:cs="Calibri"/>
                <w:noProof/>
                <w:color w:val="000000"/>
              </w:rPr>
              <w:t>Contributions from other countries and entities</w:t>
            </w:r>
          </w:p>
        </w:tc>
        <w:tc>
          <w:tcPr>
            <w:tcW w:w="2610" w:type="dxa"/>
            <w:vAlign w:val="bottom"/>
          </w:tcPr>
          <w:p w14:paraId="6B15F871" w14:textId="77777777" w:rsidR="0067184C" w:rsidRPr="00ED0B1B" w:rsidRDefault="0067184C"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sidRPr="00ED0B1B">
              <w:rPr>
                <w:rFonts w:cs="Calibri"/>
                <w:noProof/>
                <w:color w:val="000000"/>
              </w:rPr>
              <w:t>0</w:t>
            </w:r>
          </w:p>
        </w:tc>
      </w:tr>
      <w:tr w:rsidR="0067184C" w:rsidRPr="00ED0B1B" w14:paraId="42B736BB"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CFCFC" w:themeFill="background2" w:themeFillTint="33"/>
            <w:vAlign w:val="bottom"/>
          </w:tcPr>
          <w:p w14:paraId="37D9DC31" w14:textId="77777777" w:rsidR="0067184C" w:rsidRPr="00ED0B1B" w:rsidRDefault="0067184C" w:rsidP="0083214A">
            <w:pPr>
              <w:spacing w:before="120" w:after="120"/>
              <w:rPr>
                <w:noProof/>
              </w:rPr>
            </w:pPr>
            <w:r w:rsidRPr="00ED0B1B">
              <w:rPr>
                <w:rFonts w:cs="Calibri"/>
                <w:noProof/>
                <w:color w:val="000000"/>
              </w:rPr>
              <w:t>Total budget for 2021-2027</w:t>
            </w:r>
          </w:p>
        </w:tc>
        <w:tc>
          <w:tcPr>
            <w:tcW w:w="2610" w:type="dxa"/>
            <w:shd w:val="clear" w:color="auto" w:fill="FCFCFC" w:themeFill="background2" w:themeFillTint="33"/>
            <w:vAlign w:val="bottom"/>
          </w:tcPr>
          <w:p w14:paraId="3BE10630" w14:textId="77777777" w:rsidR="0067184C" w:rsidRPr="00ED0B1B" w:rsidRDefault="0067184C" w:rsidP="0083214A">
            <w:pPr>
              <w:spacing w:before="120" w:after="120"/>
              <w:jc w:val="center"/>
              <w:cnfStyle w:val="000000000000" w:firstRow="0" w:lastRow="0" w:firstColumn="0" w:lastColumn="0" w:oddVBand="0" w:evenVBand="0" w:oddHBand="0" w:evenHBand="0" w:firstRowFirstColumn="0" w:firstRowLastColumn="0" w:lastRowFirstColumn="0" w:lastRowLastColumn="0"/>
              <w:rPr>
                <w:b/>
                <w:bCs/>
                <w:noProof/>
              </w:rPr>
            </w:pPr>
            <w:r w:rsidRPr="00ED0B1B">
              <w:rPr>
                <w:rFonts w:cs="Calibri"/>
                <w:b/>
                <w:bCs/>
                <w:noProof/>
                <w:color w:val="000000"/>
              </w:rPr>
              <w:t>1 451.4</w:t>
            </w:r>
          </w:p>
        </w:tc>
      </w:tr>
    </w:tbl>
    <w:p w14:paraId="09BB6EDE" w14:textId="77777777" w:rsidR="0067184C" w:rsidRPr="00ED0B1B" w:rsidRDefault="0067184C" w:rsidP="0067184C">
      <w:pPr>
        <w:pStyle w:val="FootnoteText"/>
        <w:rPr>
          <w:noProof/>
          <w:szCs w:val="18"/>
        </w:rPr>
      </w:pPr>
      <w:r w:rsidRPr="00ED0B1B">
        <w:rPr>
          <w:noProof/>
          <w:szCs w:val="18"/>
        </w:rPr>
        <w:t>(*)</w:t>
      </w:r>
      <w:r w:rsidRPr="00ED0B1B">
        <w:rPr>
          <w:noProof/>
          <w:szCs w:val="18"/>
        </w:rPr>
        <w:tab/>
        <w:t>Only Article</w:t>
      </w:r>
      <w:r w:rsidRPr="00ED0B1B">
        <w:rPr>
          <w:rFonts w:ascii="Calibri" w:hAnsi="Calibri" w:cs="Calibri"/>
          <w:noProof/>
          <w:szCs w:val="18"/>
        </w:rPr>
        <w:t> </w:t>
      </w:r>
      <w:r w:rsidRPr="00ED0B1B">
        <w:rPr>
          <w:noProof/>
          <w:szCs w:val="18"/>
        </w:rPr>
        <w:t>15(3) of the financial regulation.</w:t>
      </w:r>
    </w:p>
    <w:p w14:paraId="7698E056" w14:textId="77777777" w:rsidR="0067184C" w:rsidRPr="00ED0B1B" w:rsidRDefault="0067184C" w:rsidP="0067184C">
      <w:pPr>
        <w:pStyle w:val="FootnoteText"/>
        <w:rPr>
          <w:rFonts w:eastAsiaTheme="minorEastAsia"/>
          <w:noProof/>
        </w:rPr>
      </w:pPr>
      <w:bookmarkStart w:id="281" w:name="_Hlk100763862"/>
      <w:r>
        <w:rPr>
          <w:noProof/>
        </w:rPr>
        <w:t>(**)</w:t>
      </w:r>
      <w:r>
        <w:rPr>
          <w:noProof/>
        </w:rPr>
        <w:tab/>
      </w:r>
      <w:r w:rsidRPr="00ED0B1B">
        <w:rPr>
          <w:noProof/>
        </w:rPr>
        <w:t xml:space="preserve">In addition, an amount of EUR 16.04 million was used in 2021 </w:t>
      </w:r>
      <w:bookmarkEnd w:id="281"/>
      <w:r w:rsidRPr="00ED0B1B">
        <w:rPr>
          <w:noProof/>
        </w:rPr>
        <w:t>from the 2014-2020 programming period to cover EGF cases that were submitted by the Member States at the end of 2020 but paid from the 2021 budget.</w:t>
      </w:r>
    </w:p>
    <w:p w14:paraId="61E32B17" w14:textId="77777777" w:rsidR="0067184C" w:rsidRPr="00ED0B1B" w:rsidRDefault="0067184C" w:rsidP="0067184C">
      <w:pPr>
        <w:pStyle w:val="ppoHeading5"/>
        <w:rPr>
          <w:noProof/>
        </w:rPr>
      </w:pPr>
      <w:r w:rsidRPr="00ED0B1B">
        <w:rPr>
          <w:noProof/>
        </w:rPr>
        <w:t>Rationale and design of the programme</w:t>
      </w:r>
    </w:p>
    <w:p w14:paraId="62F90844" w14:textId="77777777" w:rsidR="0067184C" w:rsidRPr="00ED0B1B" w:rsidRDefault="0067184C" w:rsidP="0067184C">
      <w:pPr>
        <w:rPr>
          <w:noProof/>
        </w:rPr>
      </w:pPr>
      <w:r w:rsidRPr="00ED0B1B">
        <w:rPr>
          <w:noProof/>
        </w:rPr>
        <w:t>With a view to achieving economic, social and territorial cohesion in the EU, it is necessary to develop a coordinated strategy for employment. This strategy should particularly focus on the promotion of a skilled, trained and adaptable workforce as well as on labour markets’ responsiveness to economic change. To this end, the Union shall contribute to a high level of employment by supporting and, if necessary, complementing Member State’s action through the mobilisation of the European Globalisation Adjustment Fund for Displaced Workers (EGF) to co-finance measures to support redundant workers in case of major restructuring events. These events, by their scale and effects, cause a significant impact and can test the limits of what regular national labour market programmes are able to provide to assist displaced workers.</w:t>
      </w:r>
    </w:p>
    <w:p w14:paraId="06BEFCA9" w14:textId="77777777" w:rsidR="0067184C" w:rsidRPr="00ED0B1B" w:rsidRDefault="0067184C" w:rsidP="0067184C">
      <w:pPr>
        <w:pStyle w:val="ppoHeading6"/>
        <w:rPr>
          <w:caps w:val="0"/>
          <w:noProof/>
        </w:rPr>
      </w:pPr>
      <w:r w:rsidRPr="00ED0B1B">
        <w:rPr>
          <w:caps w:val="0"/>
          <w:noProof/>
        </w:rPr>
        <w:t>Challenge</w:t>
      </w:r>
    </w:p>
    <w:p w14:paraId="67EF9EB5" w14:textId="77777777" w:rsidR="0067184C" w:rsidRPr="00ED0B1B" w:rsidRDefault="0067184C" w:rsidP="0067184C">
      <w:pPr>
        <w:rPr>
          <w:noProof/>
        </w:rPr>
      </w:pPr>
      <w:r w:rsidRPr="00ED0B1B">
        <w:rPr>
          <w:noProof/>
        </w:rPr>
        <w:t>Globalisation and technological change are likely to increase further the interconnectedness and interdependence of world economies. Labour reallocation is an integral and inevitable part of such economic change. These trends risk further tilting the already unequal distribution of the benefits from globalisation, causing a significant impact on the people and regions adversely affected.</w:t>
      </w:r>
    </w:p>
    <w:p w14:paraId="6EA8723F" w14:textId="77777777" w:rsidR="0067184C" w:rsidRPr="00ED0B1B" w:rsidRDefault="0067184C" w:rsidP="0067184C">
      <w:pPr>
        <w:rPr>
          <w:noProof/>
        </w:rPr>
      </w:pPr>
      <w:r w:rsidRPr="00ED0B1B">
        <w:rPr>
          <w:noProof/>
        </w:rPr>
        <w:t>Ensuring a fair distribution of the benefits of change calls for offering assistance to displaced workers. When the number of displaced workers is particularly large, providing assistance may go beyond the means of the individual Member State, requiring EU-level action. In particular, EU intervention through the EGF generates European added value by increasing the number, variety and intensity of services offered to even more dismissed workers and for a longer period of time than would be possible without EGF funding.</w:t>
      </w:r>
    </w:p>
    <w:p w14:paraId="4F33DBB0" w14:textId="77777777" w:rsidR="0067184C" w:rsidRPr="00ED0B1B" w:rsidRDefault="0067184C" w:rsidP="0067184C">
      <w:pPr>
        <w:pStyle w:val="ppoHeading6"/>
        <w:rPr>
          <w:noProof/>
        </w:rPr>
      </w:pPr>
      <w:r w:rsidRPr="00ED0B1B">
        <w:rPr>
          <w:noProof/>
        </w:rPr>
        <w:t>Mission</w:t>
      </w:r>
    </w:p>
    <w:p w14:paraId="137FD212" w14:textId="77777777" w:rsidR="0067184C" w:rsidRPr="00ED0B1B" w:rsidRDefault="0067184C" w:rsidP="0067184C">
      <w:pPr>
        <w:rPr>
          <w:noProof/>
        </w:rPr>
      </w:pPr>
      <w:r w:rsidRPr="00ED0B1B">
        <w:rPr>
          <w:noProof/>
        </w:rPr>
        <w:t>The EGF aims at supporting socioeconomic transformations that are the result of globalisation and of technological advance as well as of environmental changes by helping displaced workers and self</w:t>
      </w:r>
      <w:r w:rsidRPr="00ED0B1B">
        <w:rPr>
          <w:noProof/>
        </w:rPr>
        <w:noBreakHyphen/>
        <w:t>employed persons whose activity has ceased to adapt to structural change.</w:t>
      </w:r>
    </w:p>
    <w:p w14:paraId="29AABBEE" w14:textId="77777777" w:rsidR="0067184C" w:rsidRPr="00ED0B1B" w:rsidRDefault="0067184C" w:rsidP="0067184C">
      <w:pPr>
        <w:rPr>
          <w:noProof/>
        </w:rPr>
      </w:pPr>
      <w:r w:rsidRPr="00ED0B1B">
        <w:rPr>
          <w:noProof/>
        </w:rPr>
        <w:t>The EGF is an emergency fund that operates reactively to assist displaced workers affected by major restructuring events. It is guided by—and helps implement—the principles defined under the European Pillar of Social Rights (including equal opportunities and access to the labour market, fair working conditions, and social protection and inclusion) and enhances social and economic cohesion among regions and Member States. It adds to existing mainstream restructuring assistance programmes and services for labour market actors, without replacing existing resources.</w:t>
      </w:r>
    </w:p>
    <w:p w14:paraId="15F86691" w14:textId="77777777" w:rsidR="0067184C" w:rsidRPr="00ED0B1B" w:rsidRDefault="0067184C" w:rsidP="0067184C">
      <w:pPr>
        <w:pStyle w:val="ppoHeading6"/>
        <w:rPr>
          <w:noProof/>
        </w:rPr>
      </w:pPr>
      <w:r w:rsidRPr="00ED0B1B">
        <w:rPr>
          <w:noProof/>
        </w:rPr>
        <w:t>Objectives</w:t>
      </w:r>
    </w:p>
    <w:p w14:paraId="758378A0" w14:textId="77777777" w:rsidR="0067184C" w:rsidRPr="00ED0B1B" w:rsidRDefault="0067184C" w:rsidP="0067184C">
      <w:pPr>
        <w:rPr>
          <w:noProof/>
        </w:rPr>
      </w:pPr>
      <w:r w:rsidRPr="00ED0B1B">
        <w:rPr>
          <w:noProof/>
        </w:rPr>
        <w:t>The EGF’s objectives are to demonstrate solidarity and promote decent and sustainable employment by offering assistance in the case of major restructuring events.</w:t>
      </w:r>
    </w:p>
    <w:p w14:paraId="4FB79BEB" w14:textId="77777777" w:rsidR="0067184C" w:rsidRPr="00ED0B1B" w:rsidRDefault="0067184C" w:rsidP="0067184C">
      <w:pPr>
        <w:pStyle w:val="ppoHeading6"/>
        <w:rPr>
          <w:noProof/>
        </w:rPr>
      </w:pPr>
      <w:r w:rsidRPr="00ED0B1B">
        <w:rPr>
          <w:noProof/>
        </w:rPr>
        <w:t>Actions</w:t>
      </w:r>
    </w:p>
    <w:p w14:paraId="51E561B5" w14:textId="77777777" w:rsidR="0067184C" w:rsidRPr="00ED0B1B" w:rsidRDefault="0067184C" w:rsidP="0067184C">
      <w:pPr>
        <w:rPr>
          <w:noProof/>
        </w:rPr>
      </w:pPr>
      <w:r w:rsidRPr="00ED0B1B">
        <w:rPr>
          <w:noProof/>
        </w:rPr>
        <w:t>The EGF co-finances coordinated packages of personalised services designed to facilitate the re-integration of the targeted beneficiaries, in particular the most disadvantaged among them, into employment or self-employment. Its main focus is on active labour market measures (e.g. training and retraining, job-search assistance, outplacement assistance, aid for self-employment or business start</w:t>
      </w:r>
      <w:r w:rsidRPr="00ED0B1B">
        <w:rPr>
          <w:noProof/>
        </w:rPr>
        <w:noBreakHyphen/>
        <w:t>ups). Assistance is granted for a limited period.</w:t>
      </w:r>
    </w:p>
    <w:p w14:paraId="67E246B3" w14:textId="77777777" w:rsidR="0067184C" w:rsidRPr="00ED0B1B" w:rsidRDefault="0067184C" w:rsidP="0067184C">
      <w:pPr>
        <w:pStyle w:val="ppoHeading6"/>
        <w:rPr>
          <w:noProof/>
        </w:rPr>
      </w:pPr>
      <w:r w:rsidRPr="00ED0B1B">
        <w:rPr>
          <w:noProof/>
        </w:rPr>
        <w:t>Delivery mode</w:t>
      </w:r>
    </w:p>
    <w:p w14:paraId="6EBF3B15" w14:textId="77777777" w:rsidR="0067184C" w:rsidRPr="00ED0B1B" w:rsidRDefault="0067184C" w:rsidP="0067184C">
      <w:pPr>
        <w:rPr>
          <w:noProof/>
        </w:rPr>
      </w:pPr>
      <w:r w:rsidRPr="00ED0B1B">
        <w:rPr>
          <w:noProof/>
        </w:rPr>
        <w:t>EGF is implemented under shared management. DG EMPL is in the lead for the Commission.</w:t>
      </w:r>
    </w:p>
    <w:p w14:paraId="394A90B6" w14:textId="77777777" w:rsidR="0067184C" w:rsidRPr="00ED0B1B" w:rsidRDefault="0067184C" w:rsidP="0067184C">
      <w:pPr>
        <w:pStyle w:val="ppoHeading6"/>
        <w:rPr>
          <w:noProof/>
        </w:rPr>
      </w:pPr>
      <w:r w:rsidRPr="00ED0B1B">
        <w:rPr>
          <w:noProof/>
        </w:rPr>
        <w:t>LINK TO THE 2014-2020 multiannual financial framework</w:t>
      </w:r>
    </w:p>
    <w:p w14:paraId="7C9E6829" w14:textId="77777777" w:rsidR="0067184C" w:rsidRPr="00ED0B1B" w:rsidRDefault="0067184C" w:rsidP="0067184C">
      <w:pPr>
        <w:rPr>
          <w:noProof/>
        </w:rPr>
      </w:pPr>
      <w:r w:rsidRPr="00ED0B1B">
        <w:rPr>
          <w:noProof/>
        </w:rPr>
        <w:t xml:space="preserve">The EGF builds on its predecessor under the 2014-2020 multiannual financial framework. In particular, it remains outside the budgetary ceiling of the </w:t>
      </w:r>
      <w:r w:rsidRPr="00ED0B1B">
        <w:rPr>
          <w:rFonts w:eastAsiaTheme="minorEastAsia"/>
          <w:noProof/>
        </w:rPr>
        <w:t xml:space="preserve">multiannual financial framework </w:t>
      </w:r>
      <w:r w:rsidRPr="00ED0B1B">
        <w:rPr>
          <w:noProof/>
        </w:rPr>
        <w:t>given the non-programmable nature of its mandate. The maximum amount for the period 2021–2027 is set at almost EUR 1.467 billion in current prices.</w:t>
      </w:r>
    </w:p>
    <w:p w14:paraId="640EE920" w14:textId="77777777" w:rsidR="0067184C" w:rsidRPr="00ED0B1B" w:rsidRDefault="0067184C" w:rsidP="0067184C">
      <w:pPr>
        <w:rPr>
          <w:noProof/>
        </w:rPr>
      </w:pPr>
      <w:r w:rsidRPr="00ED0B1B">
        <w:rPr>
          <w:noProof/>
        </w:rPr>
        <w:t>For the 2021-2027 multiannual financial framework, the EGF was redesigned to ensure greater inclusiveness and flexibility to better respond to current and future economic challenges, such as automation and digitalisation, the transition to low</w:t>
      </w:r>
      <w:r w:rsidRPr="00ED0B1B">
        <w:rPr>
          <w:strike/>
          <w:noProof/>
        </w:rPr>
        <w:noBreakHyphen/>
      </w:r>
      <w:r w:rsidRPr="00ED0B1B">
        <w:rPr>
          <w:noProof/>
        </w:rPr>
        <w:t>carbon economy, etc. Therefore, its scope has been broadened to any type of significant restructuring event regardless of the cause, and the eligibility threshold has been lowered from 500 to 200 displaced workers.</w:t>
      </w:r>
      <w:r w:rsidRPr="00ED0B1B">
        <w:rPr>
          <w:rFonts w:ascii="Times New Roman" w:hAnsi="Times New Roman"/>
          <w:noProof/>
          <w:color w:val="000000" w:themeColor="text1"/>
          <w:sz w:val="20"/>
          <w:lang w:eastAsia="en-GB"/>
        </w:rPr>
        <w:t xml:space="preserve"> </w:t>
      </w:r>
      <w:r w:rsidRPr="00ED0B1B">
        <w:rPr>
          <w:noProof/>
        </w:rPr>
        <w:t>Moreover, the EGF co-financing rate has been aligned with the highest ESF+ co</w:t>
      </w:r>
      <w:r w:rsidRPr="00ED0B1B">
        <w:rPr>
          <w:noProof/>
        </w:rPr>
        <w:noBreakHyphen/>
        <w:t>financing rate in the respective Member State.</w:t>
      </w:r>
    </w:p>
    <w:p w14:paraId="2B1250C2" w14:textId="77777777" w:rsidR="0067184C" w:rsidRPr="00ED0B1B" w:rsidRDefault="0067184C" w:rsidP="0067184C">
      <w:pPr>
        <w:pStyle w:val="ppoHeading6"/>
        <w:rPr>
          <w:noProof/>
        </w:rPr>
      </w:pPr>
      <w:r w:rsidRPr="00ED0B1B">
        <w:rPr>
          <w:noProof/>
        </w:rPr>
        <w:t>Impact assessment</w:t>
      </w:r>
    </w:p>
    <w:p w14:paraId="78B0FE09" w14:textId="77777777" w:rsidR="0067184C" w:rsidRPr="00ED0B1B" w:rsidRDefault="0067184C" w:rsidP="0067184C">
      <w:pPr>
        <w:rPr>
          <w:noProof/>
        </w:rPr>
      </w:pPr>
      <w:r w:rsidRPr="00ED0B1B">
        <w:rPr>
          <w:noProof/>
        </w:rPr>
        <w:t>The impact assessment of the EGF was carried out in 2018</w:t>
      </w:r>
      <w:r w:rsidRPr="00ED0B1B">
        <w:rPr>
          <w:rFonts w:ascii="Calibri" w:hAnsi="Calibri" w:cs="Calibri"/>
          <w:noProof/>
        </w:rPr>
        <w:t>.</w:t>
      </w:r>
    </w:p>
    <w:p w14:paraId="390E9E20" w14:textId="77777777" w:rsidR="0067184C" w:rsidRPr="00ED0B1B" w:rsidRDefault="0067184C" w:rsidP="0067184C">
      <w:pPr>
        <w:rPr>
          <w:noProof/>
        </w:rPr>
      </w:pPr>
      <w:r w:rsidRPr="00ED0B1B">
        <w:rPr>
          <w:noProof/>
        </w:rPr>
        <w:t>For further information please consult SWD(2018)</w:t>
      </w:r>
      <w:r w:rsidRPr="00ED0B1B">
        <w:rPr>
          <w:rFonts w:ascii="Calibri" w:hAnsi="Calibri" w:cs="Calibri"/>
          <w:noProof/>
        </w:rPr>
        <w:t> </w:t>
      </w:r>
      <w:r w:rsidRPr="00ED0B1B">
        <w:rPr>
          <w:noProof/>
        </w:rPr>
        <w:t>289 final.</w:t>
      </w:r>
    </w:p>
    <w:p w14:paraId="00D4F909" w14:textId="77777777" w:rsidR="0067184C" w:rsidRPr="00ED0B1B" w:rsidRDefault="0067184C" w:rsidP="0067184C">
      <w:pPr>
        <w:pStyle w:val="ppoHeading6"/>
        <w:rPr>
          <w:noProof/>
        </w:rPr>
      </w:pPr>
      <w:r w:rsidRPr="00ED0B1B">
        <w:rPr>
          <w:noProof/>
        </w:rPr>
        <w:t>WEBSITE FOR more information</w:t>
      </w:r>
    </w:p>
    <w:p w14:paraId="056285B8" w14:textId="77777777" w:rsidR="0067184C" w:rsidRPr="009D6C1B" w:rsidRDefault="00E01E9B" w:rsidP="0067184C">
      <w:pPr>
        <w:pStyle w:val="PSNormal"/>
        <w:spacing w:before="240" w:after="120"/>
        <w:rPr>
          <w:rFonts w:ascii="EC Square Sans Pro" w:hAnsi="EC Square Sans Pro"/>
          <w:noProof/>
          <w:sz w:val="22"/>
          <w:szCs w:val="22"/>
        </w:rPr>
      </w:pPr>
      <w:hyperlink r:id="rId623" w:history="1">
        <w:r w:rsidR="0067184C" w:rsidRPr="009D6C1B">
          <w:rPr>
            <w:rFonts w:ascii="EC Square Sans Pro" w:hAnsi="EC Square Sans Pro"/>
            <w:noProof/>
            <w:color w:val="0000FF"/>
            <w:sz w:val="22"/>
            <w:szCs w:val="22"/>
          </w:rPr>
          <w:t>https://ec.europa.eu/social/main.jsp?catId=326&amp;langId=en</w:t>
        </w:r>
      </w:hyperlink>
      <w:r w:rsidR="0067184C" w:rsidRPr="009D6C1B">
        <w:rPr>
          <w:rFonts w:ascii="EC Square Sans Pro" w:hAnsi="EC Square Sans Pro"/>
          <w:noProof/>
          <w:sz w:val="22"/>
          <w:szCs w:val="22"/>
        </w:rPr>
        <w:t xml:space="preserve"> </w:t>
      </w:r>
    </w:p>
    <w:p w14:paraId="2FB0A735" w14:textId="77777777" w:rsidR="0067184C" w:rsidRPr="00ED0B1B" w:rsidRDefault="0067184C" w:rsidP="0067184C">
      <w:pPr>
        <w:pStyle w:val="ppoHeading5"/>
        <w:rPr>
          <w:noProof/>
        </w:rPr>
      </w:pPr>
      <w:r w:rsidRPr="00ED0B1B">
        <w:rPr>
          <w:rFonts w:eastAsiaTheme="minorEastAsia"/>
          <w:noProof/>
        </w:rPr>
        <w:t>Legal basis</w:t>
      </w:r>
    </w:p>
    <w:p w14:paraId="270B668B" w14:textId="77777777" w:rsidR="0067184C" w:rsidRPr="00ED0B1B" w:rsidRDefault="0067184C" w:rsidP="0067184C">
      <w:pPr>
        <w:rPr>
          <w:noProof/>
        </w:rPr>
      </w:pPr>
      <w:r w:rsidRPr="00ED0B1B">
        <w:rPr>
          <w:noProof/>
        </w:rPr>
        <w:t>Regulation (EU) 2021/691 of the European Parliament and of the Council.</w:t>
      </w:r>
    </w:p>
    <w:p w14:paraId="7B69A537" w14:textId="77777777" w:rsidR="0067184C" w:rsidRPr="00ED0B1B" w:rsidRDefault="0067184C" w:rsidP="0067184C">
      <w:pPr>
        <w:pStyle w:val="ppoHeading4Turquoise"/>
        <w:rPr>
          <w:caps/>
          <w:noProof/>
        </w:rPr>
      </w:pPr>
      <w:r w:rsidRPr="00ED0B1B">
        <w:rPr>
          <w:noProof/>
        </w:rPr>
        <w:t>Implementation and performance</w:t>
      </w:r>
    </w:p>
    <w:p w14:paraId="1EF438D0" w14:textId="77777777" w:rsidR="0067184C" w:rsidRPr="00ED0B1B" w:rsidRDefault="0067184C" w:rsidP="0067184C">
      <w:pPr>
        <w:pStyle w:val="ppoHeading5"/>
        <w:rPr>
          <w:noProof/>
        </w:rPr>
      </w:pPr>
      <w:r w:rsidRPr="00ED0B1B">
        <w:rPr>
          <w:noProof/>
        </w:rPr>
        <w:t>Budget</w:t>
      </w:r>
    </w:p>
    <w:p w14:paraId="1A344F2B" w14:textId="77777777" w:rsidR="0067184C" w:rsidRPr="00ED0B1B" w:rsidRDefault="0067184C" w:rsidP="0067184C">
      <w:pPr>
        <w:pStyle w:val="ppoTableTabletitle"/>
        <w:rPr>
          <w:noProof/>
        </w:rPr>
      </w:pPr>
      <w:r w:rsidRPr="00ED0B1B">
        <w:rPr>
          <w:noProof/>
        </w:rPr>
        <w:t>Budget programming (million 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67184C" w:rsidRPr="00ED0B1B" w14:paraId="4848206E" w14:textId="77777777" w:rsidTr="0083214A">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63CDE2A9" w14:textId="77777777" w:rsidR="0067184C" w:rsidRPr="00ED0B1B" w:rsidRDefault="0067184C" w:rsidP="0083214A">
            <w:pPr>
              <w:rPr>
                <w:noProof/>
              </w:rPr>
            </w:pPr>
          </w:p>
        </w:tc>
        <w:tc>
          <w:tcPr>
            <w:tcW w:w="943" w:type="dxa"/>
            <w:noWrap/>
            <w:hideMark/>
          </w:tcPr>
          <w:p w14:paraId="6C7D5684" w14:textId="77777777" w:rsidR="0067184C" w:rsidRPr="00ED0B1B" w:rsidRDefault="0067184C" w:rsidP="0083214A">
            <w:pPr>
              <w:rPr>
                <w:noProof/>
              </w:rPr>
            </w:pPr>
            <w:r w:rsidRPr="00ED0B1B">
              <w:rPr>
                <w:noProof/>
              </w:rPr>
              <w:t>2021</w:t>
            </w:r>
          </w:p>
        </w:tc>
        <w:tc>
          <w:tcPr>
            <w:tcW w:w="944" w:type="dxa"/>
            <w:noWrap/>
            <w:hideMark/>
          </w:tcPr>
          <w:p w14:paraId="1F6D0017" w14:textId="77777777" w:rsidR="0067184C" w:rsidRPr="00ED0B1B" w:rsidRDefault="0067184C" w:rsidP="0083214A">
            <w:pPr>
              <w:rPr>
                <w:noProof/>
              </w:rPr>
            </w:pPr>
            <w:r w:rsidRPr="00ED0B1B">
              <w:rPr>
                <w:noProof/>
              </w:rPr>
              <w:t>2022</w:t>
            </w:r>
          </w:p>
        </w:tc>
        <w:tc>
          <w:tcPr>
            <w:tcW w:w="943" w:type="dxa"/>
            <w:noWrap/>
            <w:hideMark/>
          </w:tcPr>
          <w:p w14:paraId="33A928D4" w14:textId="77777777" w:rsidR="0067184C" w:rsidRPr="00ED0B1B" w:rsidRDefault="0067184C" w:rsidP="0083214A">
            <w:pPr>
              <w:rPr>
                <w:noProof/>
              </w:rPr>
            </w:pPr>
            <w:r w:rsidRPr="00ED0B1B">
              <w:rPr>
                <w:noProof/>
              </w:rPr>
              <w:t>2023</w:t>
            </w:r>
          </w:p>
        </w:tc>
        <w:tc>
          <w:tcPr>
            <w:tcW w:w="944" w:type="dxa"/>
            <w:noWrap/>
            <w:hideMark/>
          </w:tcPr>
          <w:p w14:paraId="7B9028E0" w14:textId="77777777" w:rsidR="0067184C" w:rsidRPr="00ED0B1B" w:rsidRDefault="0067184C" w:rsidP="0083214A">
            <w:pPr>
              <w:rPr>
                <w:noProof/>
              </w:rPr>
            </w:pPr>
            <w:r w:rsidRPr="00ED0B1B">
              <w:rPr>
                <w:noProof/>
              </w:rPr>
              <w:t>2024</w:t>
            </w:r>
          </w:p>
        </w:tc>
        <w:tc>
          <w:tcPr>
            <w:tcW w:w="944" w:type="dxa"/>
            <w:noWrap/>
            <w:hideMark/>
          </w:tcPr>
          <w:p w14:paraId="647D0DBD" w14:textId="77777777" w:rsidR="0067184C" w:rsidRPr="00ED0B1B" w:rsidRDefault="0067184C" w:rsidP="0083214A">
            <w:pPr>
              <w:rPr>
                <w:noProof/>
              </w:rPr>
            </w:pPr>
            <w:r w:rsidRPr="00ED0B1B">
              <w:rPr>
                <w:noProof/>
              </w:rPr>
              <w:t>2025</w:t>
            </w:r>
          </w:p>
        </w:tc>
        <w:tc>
          <w:tcPr>
            <w:tcW w:w="943" w:type="dxa"/>
            <w:noWrap/>
            <w:hideMark/>
          </w:tcPr>
          <w:p w14:paraId="2C84E8F3" w14:textId="77777777" w:rsidR="0067184C" w:rsidRPr="00ED0B1B" w:rsidRDefault="0067184C" w:rsidP="0083214A">
            <w:pPr>
              <w:rPr>
                <w:noProof/>
              </w:rPr>
            </w:pPr>
            <w:r w:rsidRPr="00ED0B1B">
              <w:rPr>
                <w:noProof/>
              </w:rPr>
              <w:t>2026</w:t>
            </w:r>
          </w:p>
        </w:tc>
        <w:tc>
          <w:tcPr>
            <w:tcW w:w="944" w:type="dxa"/>
            <w:noWrap/>
            <w:hideMark/>
          </w:tcPr>
          <w:p w14:paraId="01E96B3A" w14:textId="77777777" w:rsidR="0067184C" w:rsidRPr="00ED0B1B" w:rsidRDefault="0067184C" w:rsidP="0083214A">
            <w:pPr>
              <w:rPr>
                <w:noProof/>
              </w:rPr>
            </w:pPr>
            <w:r w:rsidRPr="00ED0B1B">
              <w:rPr>
                <w:noProof/>
              </w:rPr>
              <w:t>2027</w:t>
            </w:r>
          </w:p>
        </w:tc>
        <w:tc>
          <w:tcPr>
            <w:tcW w:w="944" w:type="dxa"/>
            <w:noWrap/>
            <w:hideMark/>
          </w:tcPr>
          <w:p w14:paraId="72C34557" w14:textId="77777777" w:rsidR="0067184C" w:rsidRPr="00ED0B1B" w:rsidRDefault="0067184C" w:rsidP="0083214A">
            <w:pPr>
              <w:rPr>
                <w:noProof/>
              </w:rPr>
            </w:pPr>
            <w:r w:rsidRPr="00ED0B1B">
              <w:rPr>
                <w:noProof/>
              </w:rPr>
              <w:t>Total</w:t>
            </w:r>
          </w:p>
        </w:tc>
      </w:tr>
      <w:tr w:rsidR="0067184C" w:rsidRPr="00ED0B1B" w14:paraId="780DDC9F"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1210F641" w14:textId="77777777" w:rsidR="0067184C" w:rsidRPr="00ED0B1B" w:rsidRDefault="0067184C" w:rsidP="0083214A">
            <w:pPr>
              <w:rPr>
                <w:noProof/>
              </w:rPr>
            </w:pPr>
            <w:r w:rsidRPr="00ED0B1B">
              <w:rPr>
                <w:noProof/>
              </w:rPr>
              <w:t>Financial programming</w:t>
            </w:r>
          </w:p>
        </w:tc>
        <w:tc>
          <w:tcPr>
            <w:tcW w:w="943" w:type="dxa"/>
            <w:noWrap/>
            <w:hideMark/>
          </w:tcPr>
          <w:p w14:paraId="2FC3CA5F" w14:textId="77777777" w:rsidR="0067184C" w:rsidRPr="00ED0B1B" w:rsidRDefault="0067184C" w:rsidP="0083214A">
            <w:pPr>
              <w:jc w:val="center"/>
              <w:rPr>
                <w:noProof/>
              </w:rPr>
            </w:pPr>
            <w:r w:rsidRPr="00ED0B1B">
              <w:rPr>
                <w:noProof/>
              </w:rPr>
              <w:t>181.3</w:t>
            </w:r>
            <w:r>
              <w:rPr>
                <w:noProof/>
              </w:rPr>
              <w:t xml:space="preserve"> (</w:t>
            </w:r>
            <w:r w:rsidRPr="00ED0B1B">
              <w:rPr>
                <w:noProof/>
              </w:rPr>
              <w:t>*</w:t>
            </w:r>
            <w:r>
              <w:rPr>
                <w:noProof/>
              </w:rPr>
              <w:t>*)</w:t>
            </w:r>
          </w:p>
        </w:tc>
        <w:tc>
          <w:tcPr>
            <w:tcW w:w="944" w:type="dxa"/>
            <w:noWrap/>
            <w:hideMark/>
          </w:tcPr>
          <w:p w14:paraId="05375F2E" w14:textId="77777777" w:rsidR="0067184C" w:rsidRPr="00ED0B1B" w:rsidRDefault="0067184C" w:rsidP="0083214A">
            <w:pPr>
              <w:jc w:val="center"/>
              <w:rPr>
                <w:noProof/>
              </w:rPr>
            </w:pPr>
            <w:r w:rsidRPr="00ED0B1B">
              <w:rPr>
                <w:noProof/>
              </w:rPr>
              <w:t>201.3</w:t>
            </w:r>
          </w:p>
        </w:tc>
        <w:tc>
          <w:tcPr>
            <w:tcW w:w="943" w:type="dxa"/>
            <w:noWrap/>
            <w:hideMark/>
          </w:tcPr>
          <w:p w14:paraId="384B11D2" w14:textId="77777777" w:rsidR="0067184C" w:rsidRPr="00ED0B1B" w:rsidRDefault="0067184C" w:rsidP="0083214A">
            <w:pPr>
              <w:jc w:val="center"/>
              <w:rPr>
                <w:noProof/>
              </w:rPr>
            </w:pPr>
            <w:r w:rsidRPr="00ED0B1B">
              <w:rPr>
                <w:noProof/>
              </w:rPr>
              <w:t>205.4</w:t>
            </w:r>
          </w:p>
        </w:tc>
        <w:tc>
          <w:tcPr>
            <w:tcW w:w="944" w:type="dxa"/>
            <w:noWrap/>
            <w:hideMark/>
          </w:tcPr>
          <w:p w14:paraId="32F78247" w14:textId="77777777" w:rsidR="0067184C" w:rsidRPr="00ED0B1B" w:rsidRDefault="0067184C" w:rsidP="0083214A">
            <w:pPr>
              <w:jc w:val="center"/>
              <w:rPr>
                <w:noProof/>
              </w:rPr>
            </w:pPr>
            <w:r w:rsidRPr="00ED0B1B">
              <w:rPr>
                <w:noProof/>
              </w:rPr>
              <w:t>209.5</w:t>
            </w:r>
          </w:p>
        </w:tc>
        <w:tc>
          <w:tcPr>
            <w:tcW w:w="944" w:type="dxa"/>
            <w:noWrap/>
            <w:hideMark/>
          </w:tcPr>
          <w:p w14:paraId="5C4DA13A" w14:textId="77777777" w:rsidR="0067184C" w:rsidRPr="00ED0B1B" w:rsidRDefault="0067184C" w:rsidP="0083214A">
            <w:pPr>
              <w:jc w:val="center"/>
              <w:rPr>
                <w:noProof/>
              </w:rPr>
            </w:pPr>
            <w:r w:rsidRPr="00ED0B1B">
              <w:rPr>
                <w:noProof/>
              </w:rPr>
              <w:t>213.7</w:t>
            </w:r>
          </w:p>
        </w:tc>
        <w:tc>
          <w:tcPr>
            <w:tcW w:w="943" w:type="dxa"/>
            <w:noWrap/>
            <w:hideMark/>
          </w:tcPr>
          <w:p w14:paraId="292F1A32" w14:textId="77777777" w:rsidR="0067184C" w:rsidRPr="00ED0B1B" w:rsidRDefault="0067184C" w:rsidP="0083214A">
            <w:pPr>
              <w:jc w:val="center"/>
              <w:rPr>
                <w:noProof/>
              </w:rPr>
            </w:pPr>
            <w:r w:rsidRPr="00ED0B1B">
              <w:rPr>
                <w:noProof/>
              </w:rPr>
              <w:t>217.9</w:t>
            </w:r>
          </w:p>
        </w:tc>
        <w:tc>
          <w:tcPr>
            <w:tcW w:w="944" w:type="dxa"/>
            <w:noWrap/>
            <w:hideMark/>
          </w:tcPr>
          <w:p w14:paraId="0F0CA7C4" w14:textId="77777777" w:rsidR="0067184C" w:rsidRPr="00ED0B1B" w:rsidRDefault="0067184C" w:rsidP="0083214A">
            <w:pPr>
              <w:jc w:val="center"/>
              <w:rPr>
                <w:noProof/>
              </w:rPr>
            </w:pPr>
            <w:r w:rsidRPr="00ED0B1B">
              <w:rPr>
                <w:noProof/>
              </w:rPr>
              <w:t>222.3</w:t>
            </w:r>
          </w:p>
        </w:tc>
        <w:tc>
          <w:tcPr>
            <w:tcW w:w="944" w:type="dxa"/>
            <w:noWrap/>
            <w:hideMark/>
          </w:tcPr>
          <w:p w14:paraId="738CB522" w14:textId="77777777" w:rsidR="0067184C" w:rsidRPr="00ED0B1B" w:rsidRDefault="0067184C" w:rsidP="0083214A">
            <w:pPr>
              <w:jc w:val="center"/>
              <w:rPr>
                <w:noProof/>
              </w:rPr>
            </w:pPr>
            <w:r w:rsidRPr="00ED0B1B">
              <w:rPr>
                <w:noProof/>
              </w:rPr>
              <w:t>1 451.4</w:t>
            </w:r>
          </w:p>
        </w:tc>
      </w:tr>
      <w:tr w:rsidR="0067184C" w:rsidRPr="00ED0B1B" w14:paraId="1CC09168"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46D5C8F5" w14:textId="77777777" w:rsidR="0067184C" w:rsidRPr="00ED0B1B" w:rsidRDefault="0067184C" w:rsidP="0083214A">
            <w:pPr>
              <w:rPr>
                <w:noProof/>
              </w:rPr>
            </w:pPr>
            <w:r w:rsidRPr="00ED0B1B">
              <w:rPr>
                <w:noProof/>
              </w:rPr>
              <w:t>NextGenerationEU</w:t>
            </w:r>
          </w:p>
        </w:tc>
        <w:tc>
          <w:tcPr>
            <w:tcW w:w="943" w:type="dxa"/>
            <w:noWrap/>
            <w:hideMark/>
          </w:tcPr>
          <w:p w14:paraId="128B28F6" w14:textId="77777777" w:rsidR="0067184C" w:rsidRPr="00ED0B1B" w:rsidRDefault="0067184C" w:rsidP="0083214A">
            <w:pPr>
              <w:jc w:val="center"/>
              <w:rPr>
                <w:noProof/>
              </w:rPr>
            </w:pPr>
          </w:p>
        </w:tc>
        <w:tc>
          <w:tcPr>
            <w:tcW w:w="944" w:type="dxa"/>
            <w:noWrap/>
            <w:hideMark/>
          </w:tcPr>
          <w:p w14:paraId="7FAF238E" w14:textId="77777777" w:rsidR="0067184C" w:rsidRPr="00ED0B1B" w:rsidRDefault="0067184C" w:rsidP="0083214A">
            <w:pPr>
              <w:jc w:val="center"/>
              <w:rPr>
                <w:noProof/>
              </w:rPr>
            </w:pPr>
          </w:p>
        </w:tc>
        <w:tc>
          <w:tcPr>
            <w:tcW w:w="943" w:type="dxa"/>
            <w:noWrap/>
            <w:hideMark/>
          </w:tcPr>
          <w:p w14:paraId="7CF3F5A5" w14:textId="77777777" w:rsidR="0067184C" w:rsidRPr="00ED0B1B" w:rsidRDefault="0067184C" w:rsidP="0083214A">
            <w:pPr>
              <w:jc w:val="center"/>
              <w:rPr>
                <w:noProof/>
              </w:rPr>
            </w:pPr>
          </w:p>
        </w:tc>
        <w:tc>
          <w:tcPr>
            <w:tcW w:w="944" w:type="dxa"/>
            <w:noWrap/>
            <w:hideMark/>
          </w:tcPr>
          <w:p w14:paraId="3623ACE9" w14:textId="77777777" w:rsidR="0067184C" w:rsidRPr="00ED0B1B" w:rsidRDefault="0067184C" w:rsidP="0083214A">
            <w:pPr>
              <w:jc w:val="center"/>
              <w:rPr>
                <w:noProof/>
              </w:rPr>
            </w:pPr>
          </w:p>
        </w:tc>
        <w:tc>
          <w:tcPr>
            <w:tcW w:w="944" w:type="dxa"/>
            <w:noWrap/>
            <w:hideMark/>
          </w:tcPr>
          <w:p w14:paraId="11AD24C3" w14:textId="77777777" w:rsidR="0067184C" w:rsidRPr="00ED0B1B" w:rsidRDefault="0067184C" w:rsidP="0083214A">
            <w:pPr>
              <w:jc w:val="center"/>
              <w:rPr>
                <w:noProof/>
              </w:rPr>
            </w:pPr>
          </w:p>
        </w:tc>
        <w:tc>
          <w:tcPr>
            <w:tcW w:w="943" w:type="dxa"/>
            <w:noWrap/>
            <w:hideMark/>
          </w:tcPr>
          <w:p w14:paraId="3A681692" w14:textId="77777777" w:rsidR="0067184C" w:rsidRPr="00ED0B1B" w:rsidRDefault="0067184C" w:rsidP="0083214A">
            <w:pPr>
              <w:jc w:val="center"/>
              <w:rPr>
                <w:noProof/>
              </w:rPr>
            </w:pPr>
          </w:p>
        </w:tc>
        <w:tc>
          <w:tcPr>
            <w:tcW w:w="944" w:type="dxa"/>
            <w:noWrap/>
            <w:hideMark/>
          </w:tcPr>
          <w:p w14:paraId="4636AEB0" w14:textId="77777777" w:rsidR="0067184C" w:rsidRPr="00ED0B1B" w:rsidRDefault="0067184C" w:rsidP="0083214A">
            <w:pPr>
              <w:jc w:val="center"/>
              <w:rPr>
                <w:noProof/>
              </w:rPr>
            </w:pPr>
          </w:p>
        </w:tc>
        <w:tc>
          <w:tcPr>
            <w:tcW w:w="944" w:type="dxa"/>
            <w:noWrap/>
            <w:hideMark/>
          </w:tcPr>
          <w:p w14:paraId="3AD87300" w14:textId="77777777" w:rsidR="0067184C" w:rsidRPr="00ED0B1B" w:rsidRDefault="0067184C" w:rsidP="0083214A">
            <w:pPr>
              <w:jc w:val="center"/>
              <w:rPr>
                <w:noProof/>
              </w:rPr>
            </w:pPr>
          </w:p>
        </w:tc>
      </w:tr>
      <w:tr w:rsidR="0067184C" w:rsidRPr="00ED0B1B" w14:paraId="25A7B8C2"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2297046C" w14:textId="77777777" w:rsidR="0067184C" w:rsidRPr="00ED0B1B" w:rsidRDefault="0067184C" w:rsidP="0083214A">
            <w:pPr>
              <w:rPr>
                <w:noProof/>
              </w:rPr>
            </w:pPr>
            <w:r w:rsidRPr="00ED0B1B">
              <w:rPr>
                <w:noProof/>
              </w:rPr>
              <w:t>Decommitments made available again</w:t>
            </w:r>
            <w:r w:rsidRPr="00ED0B1B">
              <w:rPr>
                <w:rFonts w:ascii="Calibri" w:hAnsi="Calibri" w:cs="Calibri"/>
                <w:noProof/>
              </w:rPr>
              <w:t> (</w:t>
            </w:r>
            <w:r w:rsidRPr="00ED0B1B">
              <w:rPr>
                <w:noProof/>
              </w:rPr>
              <w:t>*)</w:t>
            </w:r>
          </w:p>
        </w:tc>
        <w:tc>
          <w:tcPr>
            <w:tcW w:w="943" w:type="dxa"/>
            <w:noWrap/>
            <w:hideMark/>
          </w:tcPr>
          <w:p w14:paraId="16915B35" w14:textId="77777777" w:rsidR="0067184C" w:rsidRPr="00ED0B1B" w:rsidRDefault="0067184C" w:rsidP="0083214A">
            <w:pPr>
              <w:jc w:val="center"/>
              <w:rPr>
                <w:noProof/>
              </w:rPr>
            </w:pPr>
            <w:r>
              <w:rPr>
                <w:noProof/>
              </w:rPr>
              <w:t>N/A</w:t>
            </w:r>
          </w:p>
        </w:tc>
        <w:tc>
          <w:tcPr>
            <w:tcW w:w="944" w:type="dxa"/>
            <w:noWrap/>
            <w:hideMark/>
          </w:tcPr>
          <w:p w14:paraId="6164CE07" w14:textId="77777777" w:rsidR="0067184C" w:rsidRPr="00ED0B1B" w:rsidRDefault="0067184C" w:rsidP="0083214A">
            <w:pPr>
              <w:jc w:val="center"/>
              <w:rPr>
                <w:noProof/>
              </w:rPr>
            </w:pPr>
          </w:p>
        </w:tc>
        <w:tc>
          <w:tcPr>
            <w:tcW w:w="943" w:type="dxa"/>
            <w:noWrap/>
            <w:hideMark/>
          </w:tcPr>
          <w:p w14:paraId="7340D136" w14:textId="77777777" w:rsidR="0067184C" w:rsidRPr="00ED0B1B" w:rsidRDefault="0067184C" w:rsidP="0083214A">
            <w:pPr>
              <w:jc w:val="center"/>
              <w:rPr>
                <w:noProof/>
              </w:rPr>
            </w:pPr>
          </w:p>
        </w:tc>
        <w:tc>
          <w:tcPr>
            <w:tcW w:w="944" w:type="dxa"/>
            <w:noWrap/>
            <w:hideMark/>
          </w:tcPr>
          <w:p w14:paraId="18A6E953" w14:textId="77777777" w:rsidR="0067184C" w:rsidRPr="00ED0B1B" w:rsidRDefault="0067184C" w:rsidP="0083214A">
            <w:pPr>
              <w:jc w:val="center"/>
              <w:rPr>
                <w:noProof/>
              </w:rPr>
            </w:pPr>
          </w:p>
        </w:tc>
        <w:tc>
          <w:tcPr>
            <w:tcW w:w="944" w:type="dxa"/>
            <w:noWrap/>
            <w:hideMark/>
          </w:tcPr>
          <w:p w14:paraId="5651CD6C" w14:textId="77777777" w:rsidR="0067184C" w:rsidRPr="00ED0B1B" w:rsidRDefault="0067184C" w:rsidP="0083214A">
            <w:pPr>
              <w:jc w:val="center"/>
              <w:rPr>
                <w:noProof/>
              </w:rPr>
            </w:pPr>
          </w:p>
        </w:tc>
        <w:tc>
          <w:tcPr>
            <w:tcW w:w="943" w:type="dxa"/>
            <w:noWrap/>
            <w:hideMark/>
          </w:tcPr>
          <w:p w14:paraId="1B4291E3" w14:textId="77777777" w:rsidR="0067184C" w:rsidRPr="00ED0B1B" w:rsidRDefault="0067184C" w:rsidP="0083214A">
            <w:pPr>
              <w:jc w:val="center"/>
              <w:rPr>
                <w:noProof/>
              </w:rPr>
            </w:pPr>
          </w:p>
        </w:tc>
        <w:tc>
          <w:tcPr>
            <w:tcW w:w="944" w:type="dxa"/>
            <w:noWrap/>
            <w:hideMark/>
          </w:tcPr>
          <w:p w14:paraId="63E36949" w14:textId="77777777" w:rsidR="0067184C" w:rsidRPr="00ED0B1B" w:rsidRDefault="0067184C" w:rsidP="0083214A">
            <w:pPr>
              <w:jc w:val="center"/>
              <w:rPr>
                <w:noProof/>
              </w:rPr>
            </w:pPr>
          </w:p>
        </w:tc>
        <w:tc>
          <w:tcPr>
            <w:tcW w:w="944" w:type="dxa"/>
            <w:noWrap/>
            <w:hideMark/>
          </w:tcPr>
          <w:p w14:paraId="264AFBB9" w14:textId="77777777" w:rsidR="0067184C" w:rsidRPr="00ED0B1B" w:rsidRDefault="0067184C" w:rsidP="0083214A">
            <w:pPr>
              <w:jc w:val="center"/>
              <w:rPr>
                <w:noProof/>
              </w:rPr>
            </w:pPr>
            <w:r>
              <w:rPr>
                <w:noProof/>
              </w:rPr>
              <w:t>N/A</w:t>
            </w:r>
          </w:p>
        </w:tc>
      </w:tr>
      <w:tr w:rsidR="0067184C" w:rsidRPr="00ED0B1B" w14:paraId="59E428FF"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2E67A812" w14:textId="77777777" w:rsidR="0067184C" w:rsidRPr="00ED0B1B" w:rsidRDefault="0067184C" w:rsidP="0083214A">
            <w:pPr>
              <w:rPr>
                <w:noProof/>
              </w:rPr>
            </w:pPr>
            <w:r w:rsidRPr="00ED0B1B">
              <w:rPr>
                <w:noProof/>
              </w:rPr>
              <w:t>Contributions from other countries and entities</w:t>
            </w:r>
          </w:p>
        </w:tc>
        <w:tc>
          <w:tcPr>
            <w:tcW w:w="943" w:type="dxa"/>
            <w:noWrap/>
            <w:hideMark/>
          </w:tcPr>
          <w:p w14:paraId="59A779DA" w14:textId="77777777" w:rsidR="0067184C" w:rsidRPr="00ED0B1B" w:rsidRDefault="0067184C" w:rsidP="0083214A">
            <w:pPr>
              <w:jc w:val="center"/>
              <w:rPr>
                <w:noProof/>
              </w:rPr>
            </w:pPr>
          </w:p>
        </w:tc>
        <w:tc>
          <w:tcPr>
            <w:tcW w:w="944" w:type="dxa"/>
            <w:noWrap/>
            <w:hideMark/>
          </w:tcPr>
          <w:p w14:paraId="08FA8CB2" w14:textId="77777777" w:rsidR="0067184C" w:rsidRPr="00ED0B1B" w:rsidRDefault="0067184C" w:rsidP="0083214A">
            <w:pPr>
              <w:jc w:val="center"/>
              <w:rPr>
                <w:noProof/>
              </w:rPr>
            </w:pPr>
          </w:p>
        </w:tc>
        <w:tc>
          <w:tcPr>
            <w:tcW w:w="943" w:type="dxa"/>
            <w:noWrap/>
            <w:hideMark/>
          </w:tcPr>
          <w:p w14:paraId="0EF43CBE" w14:textId="77777777" w:rsidR="0067184C" w:rsidRPr="00ED0B1B" w:rsidRDefault="0067184C" w:rsidP="0083214A">
            <w:pPr>
              <w:jc w:val="center"/>
              <w:rPr>
                <w:noProof/>
              </w:rPr>
            </w:pPr>
          </w:p>
        </w:tc>
        <w:tc>
          <w:tcPr>
            <w:tcW w:w="944" w:type="dxa"/>
            <w:noWrap/>
            <w:hideMark/>
          </w:tcPr>
          <w:p w14:paraId="4ACB01B7" w14:textId="77777777" w:rsidR="0067184C" w:rsidRPr="00ED0B1B" w:rsidRDefault="0067184C" w:rsidP="0083214A">
            <w:pPr>
              <w:jc w:val="center"/>
              <w:rPr>
                <w:noProof/>
              </w:rPr>
            </w:pPr>
          </w:p>
        </w:tc>
        <w:tc>
          <w:tcPr>
            <w:tcW w:w="944" w:type="dxa"/>
            <w:noWrap/>
            <w:hideMark/>
          </w:tcPr>
          <w:p w14:paraId="690DA843" w14:textId="77777777" w:rsidR="0067184C" w:rsidRPr="00ED0B1B" w:rsidRDefault="0067184C" w:rsidP="0083214A">
            <w:pPr>
              <w:jc w:val="center"/>
              <w:rPr>
                <w:noProof/>
              </w:rPr>
            </w:pPr>
          </w:p>
        </w:tc>
        <w:tc>
          <w:tcPr>
            <w:tcW w:w="943" w:type="dxa"/>
            <w:noWrap/>
            <w:hideMark/>
          </w:tcPr>
          <w:p w14:paraId="4BFD09ED" w14:textId="77777777" w:rsidR="0067184C" w:rsidRPr="00ED0B1B" w:rsidRDefault="0067184C" w:rsidP="0083214A">
            <w:pPr>
              <w:jc w:val="center"/>
              <w:rPr>
                <w:noProof/>
              </w:rPr>
            </w:pPr>
          </w:p>
        </w:tc>
        <w:tc>
          <w:tcPr>
            <w:tcW w:w="944" w:type="dxa"/>
            <w:noWrap/>
            <w:hideMark/>
          </w:tcPr>
          <w:p w14:paraId="45729F0A" w14:textId="77777777" w:rsidR="0067184C" w:rsidRPr="00ED0B1B" w:rsidRDefault="0067184C" w:rsidP="0083214A">
            <w:pPr>
              <w:jc w:val="center"/>
              <w:rPr>
                <w:noProof/>
              </w:rPr>
            </w:pPr>
          </w:p>
        </w:tc>
        <w:tc>
          <w:tcPr>
            <w:tcW w:w="944" w:type="dxa"/>
            <w:noWrap/>
            <w:hideMark/>
          </w:tcPr>
          <w:p w14:paraId="594C2995" w14:textId="77777777" w:rsidR="0067184C" w:rsidRPr="00ED0B1B" w:rsidRDefault="0067184C" w:rsidP="0083214A">
            <w:pPr>
              <w:jc w:val="center"/>
              <w:rPr>
                <w:noProof/>
              </w:rPr>
            </w:pPr>
          </w:p>
        </w:tc>
      </w:tr>
      <w:tr w:rsidR="0067184C" w:rsidRPr="00ED0B1B" w14:paraId="6FCE2572"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9639" w:type="dxa"/>
            <w:gridSpan w:val="9"/>
            <w:noWrap/>
          </w:tcPr>
          <w:p w14:paraId="21059FBF" w14:textId="77777777" w:rsidR="0067184C" w:rsidRPr="009D6C1B" w:rsidRDefault="0067184C" w:rsidP="0083214A">
            <w:pPr>
              <w:rPr>
                <w:iCs/>
                <w:noProof/>
              </w:rPr>
            </w:pPr>
            <w:r w:rsidRPr="009D6C1B">
              <w:rPr>
                <w:iCs/>
                <w:noProof/>
              </w:rPr>
              <w:t>N</w:t>
            </w:r>
            <w:r w:rsidRPr="00ED0B1B">
              <w:rPr>
                <w:iCs/>
                <w:noProof/>
              </w:rPr>
              <w:t>B</w:t>
            </w:r>
            <w:r w:rsidRPr="009D6C1B">
              <w:rPr>
                <w:iCs/>
                <w:noProof/>
              </w:rPr>
              <w:t xml:space="preserve">: The EGF uses annual ceilings instead of financial programming. The annual ceiling does not include the transfer of </w:t>
            </w:r>
            <w:r w:rsidRPr="00ED0B1B">
              <w:rPr>
                <w:iCs/>
                <w:noProof/>
              </w:rPr>
              <w:t>EUR</w:t>
            </w:r>
            <w:r w:rsidRPr="00ED0B1B">
              <w:rPr>
                <w:rFonts w:ascii="Calibri" w:hAnsi="Calibri" w:cs="Calibri"/>
                <w:iCs/>
                <w:noProof/>
              </w:rPr>
              <w:t> </w:t>
            </w:r>
            <w:r w:rsidRPr="009D6C1B">
              <w:rPr>
                <w:iCs/>
                <w:noProof/>
              </w:rPr>
              <w:t>16.05</w:t>
            </w:r>
            <w:r w:rsidRPr="00ED0B1B">
              <w:rPr>
                <w:rFonts w:ascii="Calibri" w:hAnsi="Calibri" w:cs="Calibri"/>
                <w:iCs/>
                <w:noProof/>
              </w:rPr>
              <w:t> </w:t>
            </w:r>
            <w:r w:rsidRPr="009D6C1B">
              <w:rPr>
                <w:iCs/>
                <w:noProof/>
              </w:rPr>
              <w:t xml:space="preserve">million from the </w:t>
            </w:r>
            <w:r w:rsidRPr="00ED0B1B">
              <w:rPr>
                <w:iCs/>
                <w:noProof/>
              </w:rPr>
              <w:t>r</w:t>
            </w:r>
            <w:r w:rsidRPr="009D6C1B">
              <w:rPr>
                <w:iCs/>
                <w:noProof/>
              </w:rPr>
              <w:t>eserve to the completion line of the 2014-</w:t>
            </w:r>
            <w:r w:rsidRPr="00ED0B1B">
              <w:rPr>
                <w:iCs/>
                <w:noProof/>
              </w:rPr>
              <w:t>20</w:t>
            </w:r>
            <w:r w:rsidRPr="009D6C1B">
              <w:rPr>
                <w:iCs/>
                <w:noProof/>
              </w:rPr>
              <w:t>20 EGF programme in 2021.</w:t>
            </w:r>
          </w:p>
        </w:tc>
      </w:tr>
    </w:tbl>
    <w:p w14:paraId="527F760E" w14:textId="77777777" w:rsidR="0067184C" w:rsidRPr="006F7077" w:rsidRDefault="0067184C" w:rsidP="0067184C">
      <w:pPr>
        <w:tabs>
          <w:tab w:val="left" w:pos="6793"/>
        </w:tabs>
        <w:rPr>
          <w:noProof/>
          <w:sz w:val="18"/>
          <w:szCs w:val="18"/>
          <w:lang w:val="en-IE"/>
        </w:rPr>
      </w:pPr>
      <w:r w:rsidRPr="006F7077">
        <w:rPr>
          <w:noProof/>
          <w:sz w:val="18"/>
          <w:szCs w:val="18"/>
          <w:lang w:val="en-IE"/>
        </w:rPr>
        <w:t>(*) Only Article</w:t>
      </w:r>
      <w:r w:rsidRPr="006F7077">
        <w:rPr>
          <w:rFonts w:ascii="Calibri" w:hAnsi="Calibri" w:cs="Calibri"/>
          <w:noProof/>
          <w:sz w:val="18"/>
          <w:szCs w:val="18"/>
          <w:lang w:val="en-IE"/>
        </w:rPr>
        <w:t> </w:t>
      </w:r>
      <w:r w:rsidRPr="006F7077">
        <w:rPr>
          <w:noProof/>
          <w:sz w:val="18"/>
          <w:szCs w:val="18"/>
          <w:lang w:val="en-IE"/>
        </w:rPr>
        <w:t>15(3) of the financial regulation.</w:t>
      </w:r>
    </w:p>
    <w:p w14:paraId="7EE0E9CC" w14:textId="77777777" w:rsidR="0067184C" w:rsidRPr="00ED0B1B" w:rsidRDefault="0067184C" w:rsidP="0067184C">
      <w:pPr>
        <w:pStyle w:val="FootnoteText"/>
        <w:rPr>
          <w:rFonts w:eastAsiaTheme="minorEastAsia"/>
          <w:noProof/>
        </w:rPr>
      </w:pPr>
      <w:r w:rsidRPr="00ED0B1B">
        <w:rPr>
          <w:rFonts w:eastAsiaTheme="minorEastAsia"/>
          <w:noProof/>
        </w:rPr>
        <w:t>(*</w:t>
      </w:r>
      <w:r>
        <w:rPr>
          <w:rFonts w:eastAsiaTheme="minorEastAsia"/>
          <w:noProof/>
        </w:rPr>
        <w:t>*</w:t>
      </w:r>
      <w:r w:rsidRPr="00ED0B1B">
        <w:rPr>
          <w:rFonts w:eastAsiaTheme="minorEastAsia"/>
          <w:noProof/>
        </w:rPr>
        <w:t>)</w:t>
      </w:r>
      <w:r w:rsidRPr="00ED0B1B">
        <w:rPr>
          <w:rFonts w:eastAsiaTheme="minorEastAsia"/>
          <w:noProof/>
        </w:rPr>
        <w:tab/>
      </w:r>
      <w:r w:rsidRPr="00ED0B1B">
        <w:rPr>
          <w:noProof/>
        </w:rPr>
        <w:t>In addition, an amount of EUR</w:t>
      </w:r>
      <w:r w:rsidRPr="00ED0B1B">
        <w:rPr>
          <w:rFonts w:ascii="Calibri" w:hAnsi="Calibri" w:cs="Calibri"/>
          <w:noProof/>
        </w:rPr>
        <w:t> </w:t>
      </w:r>
      <w:r w:rsidRPr="00ED0B1B">
        <w:rPr>
          <w:noProof/>
        </w:rPr>
        <w:t>16.04</w:t>
      </w:r>
      <w:r w:rsidRPr="00ED0B1B">
        <w:rPr>
          <w:rFonts w:ascii="Calibri" w:hAnsi="Calibri" w:cs="Calibri"/>
          <w:noProof/>
        </w:rPr>
        <w:t> </w:t>
      </w:r>
      <w:r w:rsidRPr="00ED0B1B">
        <w:rPr>
          <w:noProof/>
        </w:rPr>
        <w:t>million was used in 2021 from the 2014-2020 programming period to cover EGF cases that were submitted by the Member States at the end of 2020 but paid from the 2021 budget.</w:t>
      </w:r>
    </w:p>
    <w:p w14:paraId="15763AD6" w14:textId="77777777" w:rsidR="0067184C" w:rsidRPr="00ED0B1B" w:rsidRDefault="0067184C" w:rsidP="0067184C">
      <w:pPr>
        <w:pStyle w:val="ppoTableTabletitle"/>
        <w:rPr>
          <w:b/>
          <w:noProof/>
        </w:rPr>
      </w:pPr>
      <w:r w:rsidRPr="00ED0B1B">
        <w:rPr>
          <w:noProof/>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67184C" w:rsidRPr="00ED0B1B" w14:paraId="2960B557" w14:textId="77777777" w:rsidTr="0083214A">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73BBE3CE" w14:textId="77777777" w:rsidR="0067184C" w:rsidRPr="00ED0B1B" w:rsidRDefault="0067184C" w:rsidP="0083214A">
            <w:pPr>
              <w:rPr>
                <w:noProof/>
              </w:rPr>
            </w:pPr>
          </w:p>
        </w:tc>
        <w:tc>
          <w:tcPr>
            <w:tcW w:w="2410" w:type="dxa"/>
          </w:tcPr>
          <w:p w14:paraId="0A1F3B4B" w14:textId="77777777" w:rsidR="0067184C" w:rsidRPr="00ED0B1B" w:rsidRDefault="0067184C" w:rsidP="0083214A">
            <w:pPr>
              <w:cnfStyle w:val="100000000000" w:firstRow="1" w:lastRow="0" w:firstColumn="0" w:lastColumn="0" w:oddVBand="0" w:evenVBand="0" w:oddHBand="0" w:evenHBand="0" w:firstRowFirstColumn="0" w:firstRowLastColumn="0" w:lastRowFirstColumn="0" w:lastRowLastColumn="0"/>
              <w:rPr>
                <w:noProof/>
              </w:rPr>
            </w:pPr>
            <w:r w:rsidRPr="00ED0B1B">
              <w:rPr>
                <w:noProof/>
              </w:rPr>
              <w:t>Implementation</w:t>
            </w:r>
          </w:p>
        </w:tc>
        <w:tc>
          <w:tcPr>
            <w:tcW w:w="2410" w:type="dxa"/>
          </w:tcPr>
          <w:p w14:paraId="6B325D9F" w14:textId="4856AB2F" w:rsidR="0067184C" w:rsidRPr="00ED0B1B" w:rsidRDefault="003821C6" w:rsidP="00304A2B">
            <w:pPr>
              <w:jc w:val="center"/>
              <w:cnfStyle w:val="100000000000" w:firstRow="1" w:lastRow="0" w:firstColumn="0" w:lastColumn="0" w:oddVBand="0" w:evenVBand="0" w:oddHBand="0" w:evenHBand="0" w:firstRowFirstColumn="0" w:firstRowLastColumn="0" w:lastRowFirstColumn="0" w:lastRowLastColumn="0"/>
              <w:rPr>
                <w:noProof/>
              </w:rPr>
            </w:pPr>
            <w:r>
              <w:rPr>
                <w:noProof/>
              </w:rPr>
              <w:t xml:space="preserve">2021-2027 </w:t>
            </w:r>
            <w:r w:rsidR="0067184C" w:rsidRPr="00ED0B1B">
              <w:rPr>
                <w:noProof/>
              </w:rPr>
              <w:t>Total financial programming</w:t>
            </w:r>
          </w:p>
        </w:tc>
        <w:tc>
          <w:tcPr>
            <w:tcW w:w="2410" w:type="dxa"/>
          </w:tcPr>
          <w:p w14:paraId="063E9181" w14:textId="77777777" w:rsidR="0067184C" w:rsidRPr="00ED0B1B" w:rsidRDefault="0067184C" w:rsidP="0083214A">
            <w:pPr>
              <w:cnfStyle w:val="100000000000" w:firstRow="1" w:lastRow="0" w:firstColumn="0" w:lastColumn="0" w:oddVBand="0" w:evenVBand="0" w:oddHBand="0" w:evenHBand="0" w:firstRowFirstColumn="0" w:firstRowLastColumn="0" w:lastRowFirstColumn="0" w:lastRowLastColumn="0"/>
              <w:rPr>
                <w:noProof/>
              </w:rPr>
            </w:pPr>
            <w:r w:rsidRPr="00ED0B1B">
              <w:rPr>
                <w:noProof/>
              </w:rPr>
              <w:t>Implementation rate</w:t>
            </w:r>
          </w:p>
        </w:tc>
      </w:tr>
      <w:tr w:rsidR="0067184C" w:rsidRPr="00ED0B1B" w14:paraId="02B1A277"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7E199C46" w14:textId="77777777" w:rsidR="0067184C" w:rsidRPr="00ED0B1B" w:rsidRDefault="0067184C" w:rsidP="0083214A">
            <w:pPr>
              <w:jc w:val="center"/>
              <w:rPr>
                <w:noProof/>
              </w:rPr>
            </w:pPr>
            <w:r w:rsidRPr="00ED0B1B">
              <w:rPr>
                <w:noProof/>
              </w:rPr>
              <w:t>Commitments</w:t>
            </w:r>
          </w:p>
        </w:tc>
        <w:tc>
          <w:tcPr>
            <w:tcW w:w="2410" w:type="dxa"/>
          </w:tcPr>
          <w:tbl>
            <w:tblPr>
              <w:tblStyle w:val="TableGrid"/>
              <w:tblW w:w="0" w:type="auto"/>
              <w:tblLook w:val="06A0" w:firstRow="1" w:lastRow="0" w:firstColumn="1" w:lastColumn="0" w:noHBand="1" w:noVBand="1"/>
            </w:tblPr>
            <w:tblGrid>
              <w:gridCol w:w="2194"/>
            </w:tblGrid>
            <w:tr w:rsidR="0067184C" w:rsidRPr="00ED0B1B" w14:paraId="3D71BE60" w14:textId="77777777" w:rsidTr="0083214A">
              <w:trPr>
                <w:trHeight w:val="285"/>
              </w:trPr>
              <w:tc>
                <w:tcPr>
                  <w:tcW w:w="2290" w:type="dxa"/>
                  <w:tcBorders>
                    <w:top w:val="nil"/>
                    <w:left w:val="nil"/>
                    <w:bottom w:val="nil"/>
                    <w:right w:val="nil"/>
                  </w:tcBorders>
                  <w:vAlign w:val="bottom"/>
                </w:tcPr>
                <w:p w14:paraId="378D292F" w14:textId="77777777" w:rsidR="0067184C" w:rsidRPr="00ED0B1B" w:rsidRDefault="0067184C" w:rsidP="0083214A">
                  <w:pPr>
                    <w:jc w:val="center"/>
                    <w:rPr>
                      <w:noProof/>
                    </w:rPr>
                  </w:pPr>
                  <w:r w:rsidRPr="00ED0B1B">
                    <w:rPr>
                      <w:rFonts w:ascii="Calibri" w:hAnsi="Calibri" w:cs="Calibri"/>
                      <w:noProof/>
                      <w:color w:val="000000"/>
                    </w:rPr>
                    <w:t>8.0</w:t>
                  </w:r>
                </w:p>
              </w:tc>
            </w:tr>
          </w:tbl>
          <w:p w14:paraId="4FA13B98" w14:textId="77777777" w:rsidR="0067184C" w:rsidRPr="00ED0B1B" w:rsidRDefault="0067184C"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67184C" w:rsidRPr="00ED0B1B" w14:paraId="571ABDF1" w14:textId="77777777" w:rsidTr="0083214A">
              <w:trPr>
                <w:trHeight w:val="285"/>
              </w:trPr>
              <w:tc>
                <w:tcPr>
                  <w:tcW w:w="2290" w:type="dxa"/>
                  <w:tcBorders>
                    <w:top w:val="nil"/>
                    <w:left w:val="nil"/>
                    <w:bottom w:val="nil"/>
                    <w:right w:val="nil"/>
                  </w:tcBorders>
                  <w:vAlign w:val="bottom"/>
                </w:tcPr>
                <w:p w14:paraId="7778246F" w14:textId="77777777" w:rsidR="0067184C" w:rsidRPr="00ED0B1B" w:rsidRDefault="0067184C" w:rsidP="0083214A">
                  <w:pPr>
                    <w:jc w:val="center"/>
                    <w:rPr>
                      <w:noProof/>
                    </w:rPr>
                  </w:pPr>
                  <w:r w:rsidRPr="00ED0B1B">
                    <w:rPr>
                      <w:rFonts w:ascii="Calibri" w:hAnsi="Calibri" w:cs="Calibri"/>
                      <w:noProof/>
                      <w:color w:val="000000"/>
                    </w:rPr>
                    <w:t>1 451.4</w:t>
                  </w:r>
                </w:p>
              </w:tc>
            </w:tr>
          </w:tbl>
          <w:p w14:paraId="37F5BE10" w14:textId="77777777" w:rsidR="0067184C" w:rsidRPr="00ED0B1B" w:rsidRDefault="0067184C"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67184C" w:rsidRPr="00ED0B1B" w14:paraId="50A11C17" w14:textId="77777777" w:rsidTr="0083214A">
              <w:trPr>
                <w:trHeight w:val="285"/>
              </w:trPr>
              <w:tc>
                <w:tcPr>
                  <w:tcW w:w="2290" w:type="dxa"/>
                  <w:tcBorders>
                    <w:top w:val="nil"/>
                    <w:left w:val="nil"/>
                    <w:bottom w:val="nil"/>
                    <w:right w:val="nil"/>
                  </w:tcBorders>
                  <w:vAlign w:val="bottom"/>
                </w:tcPr>
                <w:p w14:paraId="69893AC9" w14:textId="77777777" w:rsidR="0067184C" w:rsidRPr="00ED0B1B" w:rsidRDefault="0067184C" w:rsidP="0083214A">
                  <w:pPr>
                    <w:jc w:val="center"/>
                    <w:rPr>
                      <w:noProof/>
                    </w:rPr>
                  </w:pPr>
                  <w:r w:rsidRPr="00ED0B1B">
                    <w:rPr>
                      <w:rFonts w:ascii="Calibri" w:hAnsi="Calibri" w:cs="Calibri"/>
                      <w:noProof/>
                      <w:color w:val="000000"/>
                    </w:rPr>
                    <w:t>1%</w:t>
                  </w:r>
                </w:p>
              </w:tc>
            </w:tr>
          </w:tbl>
          <w:p w14:paraId="4FBF8DD9" w14:textId="77777777" w:rsidR="0067184C" w:rsidRPr="00ED0B1B" w:rsidRDefault="0067184C" w:rsidP="0083214A">
            <w:pPr>
              <w:jc w:val="center"/>
              <w:cnfStyle w:val="000000000000" w:firstRow="0" w:lastRow="0" w:firstColumn="0" w:lastColumn="0" w:oddVBand="0" w:evenVBand="0" w:oddHBand="0" w:evenHBand="0" w:firstRowFirstColumn="0" w:firstRowLastColumn="0" w:lastRowFirstColumn="0" w:lastRowLastColumn="0"/>
              <w:rPr>
                <w:noProof/>
              </w:rPr>
            </w:pPr>
          </w:p>
        </w:tc>
      </w:tr>
      <w:tr w:rsidR="0067184C" w:rsidRPr="00ED0B1B" w14:paraId="4E8BC030"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73B26088" w14:textId="77777777" w:rsidR="0067184C" w:rsidRPr="00ED0B1B" w:rsidRDefault="0067184C" w:rsidP="0083214A">
            <w:pPr>
              <w:jc w:val="center"/>
              <w:rPr>
                <w:noProof/>
              </w:rPr>
            </w:pPr>
            <w:r w:rsidRPr="00ED0B1B">
              <w:rPr>
                <w:noProof/>
              </w:rPr>
              <w:t>Payments</w:t>
            </w:r>
          </w:p>
        </w:tc>
        <w:tc>
          <w:tcPr>
            <w:tcW w:w="2410" w:type="dxa"/>
          </w:tcPr>
          <w:tbl>
            <w:tblPr>
              <w:tblStyle w:val="TableGrid"/>
              <w:tblW w:w="0" w:type="auto"/>
              <w:tblLook w:val="06A0" w:firstRow="1" w:lastRow="0" w:firstColumn="1" w:lastColumn="0" w:noHBand="1" w:noVBand="1"/>
            </w:tblPr>
            <w:tblGrid>
              <w:gridCol w:w="2194"/>
            </w:tblGrid>
            <w:tr w:rsidR="0067184C" w:rsidRPr="00ED0B1B" w14:paraId="0FD4C62A" w14:textId="77777777" w:rsidTr="0083214A">
              <w:trPr>
                <w:trHeight w:val="285"/>
              </w:trPr>
              <w:tc>
                <w:tcPr>
                  <w:tcW w:w="2290" w:type="dxa"/>
                  <w:tcBorders>
                    <w:top w:val="nil"/>
                    <w:left w:val="nil"/>
                    <w:bottom w:val="nil"/>
                    <w:right w:val="nil"/>
                  </w:tcBorders>
                  <w:vAlign w:val="bottom"/>
                </w:tcPr>
                <w:p w14:paraId="1D2E2F2E" w14:textId="77777777" w:rsidR="0067184C" w:rsidRPr="00ED0B1B" w:rsidRDefault="0067184C" w:rsidP="0083214A">
                  <w:pPr>
                    <w:jc w:val="center"/>
                    <w:rPr>
                      <w:noProof/>
                    </w:rPr>
                  </w:pPr>
                  <w:r w:rsidRPr="00ED0B1B">
                    <w:rPr>
                      <w:rFonts w:ascii="Calibri" w:hAnsi="Calibri" w:cs="Calibri"/>
                      <w:noProof/>
                      <w:color w:val="000000"/>
                    </w:rPr>
                    <w:t>6.6</w:t>
                  </w:r>
                </w:p>
              </w:tc>
            </w:tr>
          </w:tbl>
          <w:p w14:paraId="70C2F38D" w14:textId="77777777" w:rsidR="0067184C" w:rsidRPr="00ED0B1B" w:rsidRDefault="0067184C"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02064E34" w14:textId="77777777" w:rsidR="0067184C" w:rsidRPr="00ED0B1B" w:rsidRDefault="0067184C" w:rsidP="0083214A">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67184C" w:rsidRPr="00ED0B1B" w14:paraId="6E061D98" w14:textId="77777777" w:rsidTr="0083214A">
              <w:trPr>
                <w:trHeight w:val="285"/>
              </w:trPr>
              <w:tc>
                <w:tcPr>
                  <w:tcW w:w="2235" w:type="dxa"/>
                  <w:tcBorders>
                    <w:top w:val="nil"/>
                    <w:left w:val="nil"/>
                    <w:bottom w:val="nil"/>
                    <w:right w:val="nil"/>
                  </w:tcBorders>
                  <w:vAlign w:val="bottom"/>
                </w:tcPr>
                <w:p w14:paraId="46F2DC9C" w14:textId="77777777" w:rsidR="0067184C" w:rsidRPr="00ED0B1B" w:rsidRDefault="0067184C" w:rsidP="0083214A">
                  <w:pPr>
                    <w:jc w:val="center"/>
                    <w:rPr>
                      <w:noProof/>
                    </w:rPr>
                  </w:pPr>
                  <w:r w:rsidRPr="00ED0B1B">
                    <w:rPr>
                      <w:rFonts w:ascii="Calibri" w:hAnsi="Calibri" w:cs="Calibri"/>
                      <w:noProof/>
                      <w:color w:val="000000"/>
                    </w:rPr>
                    <w:t>0%</w:t>
                  </w:r>
                </w:p>
              </w:tc>
            </w:tr>
          </w:tbl>
          <w:p w14:paraId="7BAA47A7" w14:textId="77777777" w:rsidR="0067184C" w:rsidRPr="00ED0B1B" w:rsidRDefault="0067184C" w:rsidP="0083214A">
            <w:pPr>
              <w:jc w:val="center"/>
              <w:cnfStyle w:val="000000000000" w:firstRow="0" w:lastRow="0" w:firstColumn="0" w:lastColumn="0" w:oddVBand="0" w:evenVBand="0" w:oddHBand="0" w:evenHBand="0" w:firstRowFirstColumn="0" w:firstRowLastColumn="0" w:lastRowFirstColumn="0" w:lastRowLastColumn="0"/>
              <w:rPr>
                <w:noProof/>
              </w:rPr>
            </w:pPr>
          </w:p>
        </w:tc>
      </w:tr>
    </w:tbl>
    <w:p w14:paraId="6258C847" w14:textId="77777777" w:rsidR="0067184C" w:rsidRPr="00ED0B1B" w:rsidRDefault="0067184C" w:rsidP="0067184C">
      <w:pPr>
        <w:pStyle w:val="ppoTableTabletitle"/>
        <w:rPr>
          <w:b/>
          <w:noProof/>
        </w:rPr>
      </w:pPr>
      <w:r w:rsidRPr="00ED0B1B">
        <w:rPr>
          <w:noProof/>
        </w:rPr>
        <w:t>Voted budget implementation in 2021 (million EUR):</w:t>
      </w:r>
    </w:p>
    <w:tbl>
      <w:tblPr>
        <w:tblStyle w:val="PPO2021"/>
        <w:tblW w:w="3683" w:type="pct"/>
        <w:tblInd w:w="79" w:type="dxa"/>
        <w:tblLook w:val="04A0" w:firstRow="1" w:lastRow="0" w:firstColumn="1" w:lastColumn="0" w:noHBand="0" w:noVBand="1"/>
      </w:tblPr>
      <w:tblGrid>
        <w:gridCol w:w="2419"/>
        <w:gridCol w:w="2419"/>
        <w:gridCol w:w="2420"/>
      </w:tblGrid>
      <w:tr w:rsidR="0067184C" w:rsidRPr="00ED0B1B" w14:paraId="4FDA44FB" w14:textId="77777777" w:rsidTr="008321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030839A4" w14:textId="77777777" w:rsidR="0067184C" w:rsidRPr="00ED0B1B" w:rsidRDefault="0067184C" w:rsidP="0083214A">
            <w:pPr>
              <w:rPr>
                <w:noProof/>
              </w:rPr>
            </w:pPr>
          </w:p>
        </w:tc>
        <w:tc>
          <w:tcPr>
            <w:tcW w:w="2419" w:type="dxa"/>
          </w:tcPr>
          <w:p w14:paraId="6D9806FE" w14:textId="77777777" w:rsidR="0067184C" w:rsidRPr="00ED0B1B" w:rsidRDefault="0067184C" w:rsidP="0083214A">
            <w:pPr>
              <w:cnfStyle w:val="100000000000" w:firstRow="1" w:lastRow="0" w:firstColumn="0" w:lastColumn="0" w:oddVBand="0" w:evenVBand="0" w:oddHBand="0" w:evenHBand="0" w:firstRowFirstColumn="0" w:firstRowLastColumn="0" w:lastRowFirstColumn="0" w:lastRowLastColumn="0"/>
              <w:rPr>
                <w:noProof/>
              </w:rPr>
            </w:pPr>
            <w:r w:rsidRPr="00ED0B1B">
              <w:rPr>
                <w:noProof/>
              </w:rPr>
              <w:t>Voted budget implementation</w:t>
            </w:r>
          </w:p>
        </w:tc>
        <w:tc>
          <w:tcPr>
            <w:tcW w:w="2420" w:type="dxa"/>
          </w:tcPr>
          <w:p w14:paraId="7C5123E0" w14:textId="77777777" w:rsidR="0067184C" w:rsidRPr="00ED0B1B" w:rsidRDefault="0067184C" w:rsidP="0083214A">
            <w:pPr>
              <w:cnfStyle w:val="100000000000" w:firstRow="1" w:lastRow="0" w:firstColumn="0" w:lastColumn="0" w:oddVBand="0" w:evenVBand="0" w:oddHBand="0" w:evenHBand="0" w:firstRowFirstColumn="0" w:firstRowLastColumn="0" w:lastRowFirstColumn="0" w:lastRowLastColumn="0"/>
              <w:rPr>
                <w:noProof/>
              </w:rPr>
            </w:pPr>
            <w:r w:rsidRPr="00ED0B1B">
              <w:rPr>
                <w:noProof/>
              </w:rPr>
              <w:t>Annual ceiling/voted budget</w:t>
            </w:r>
          </w:p>
        </w:tc>
      </w:tr>
      <w:tr w:rsidR="0067184C" w:rsidRPr="00ED0B1B" w14:paraId="26610A05" w14:textId="77777777" w:rsidTr="0083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03952DB9" w14:textId="77777777" w:rsidR="0067184C" w:rsidRPr="00ED0B1B" w:rsidRDefault="0067184C" w:rsidP="0083214A">
            <w:pPr>
              <w:jc w:val="center"/>
              <w:rPr>
                <w:noProof/>
              </w:rPr>
            </w:pPr>
            <w:r w:rsidRPr="00ED0B1B">
              <w:rPr>
                <w:noProof/>
              </w:rPr>
              <w:t>Commitments</w:t>
            </w:r>
          </w:p>
        </w:tc>
        <w:tc>
          <w:tcPr>
            <w:tcW w:w="2419" w:type="dxa"/>
          </w:tcPr>
          <w:p w14:paraId="0D07D233" w14:textId="77777777" w:rsidR="0067184C" w:rsidRPr="00ED0B1B" w:rsidRDefault="0067184C" w:rsidP="0083214A">
            <w:pPr>
              <w:jc w:val="center"/>
              <w:cnfStyle w:val="000000100000" w:firstRow="0" w:lastRow="0" w:firstColumn="0" w:lastColumn="0" w:oddVBand="0" w:evenVBand="0" w:oddHBand="1" w:evenHBand="0" w:firstRowFirstColumn="0" w:firstRowLastColumn="0" w:lastRowFirstColumn="0" w:lastRowLastColumn="0"/>
              <w:rPr>
                <w:noProof/>
              </w:rPr>
            </w:pPr>
            <w:r w:rsidRPr="00ED0B1B">
              <w:rPr>
                <w:noProof/>
              </w:rPr>
              <w:t>8.0</w:t>
            </w:r>
          </w:p>
        </w:tc>
        <w:tc>
          <w:tcPr>
            <w:tcW w:w="2420" w:type="dxa"/>
          </w:tcPr>
          <w:p w14:paraId="0017A6A7" w14:textId="5381B647" w:rsidR="0067184C" w:rsidRPr="00304A2B" w:rsidRDefault="00000CE6" w:rsidP="0067184C">
            <w:pPr>
              <w:jc w:val="center"/>
              <w:cnfStyle w:val="000000100000" w:firstRow="0" w:lastRow="0" w:firstColumn="0" w:lastColumn="0" w:oddVBand="0" w:evenVBand="0" w:oddHBand="1" w:evenHBand="0" w:firstRowFirstColumn="0" w:firstRowLastColumn="0" w:lastRowFirstColumn="0" w:lastRowLastColumn="0"/>
              <w:rPr>
                <w:noProof/>
              </w:rPr>
            </w:pPr>
            <w:r>
              <w:rPr>
                <w:noProof/>
              </w:rPr>
              <w:t>181.3</w:t>
            </w:r>
          </w:p>
        </w:tc>
      </w:tr>
      <w:tr w:rsidR="0067184C" w:rsidRPr="00ED0B1B" w14:paraId="1AB7283C" w14:textId="77777777" w:rsidTr="00832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73CA21E1" w14:textId="77777777" w:rsidR="0067184C" w:rsidRPr="00ED0B1B" w:rsidRDefault="0067184C" w:rsidP="0083214A">
            <w:pPr>
              <w:jc w:val="center"/>
              <w:rPr>
                <w:noProof/>
              </w:rPr>
            </w:pPr>
            <w:r w:rsidRPr="00ED0B1B">
              <w:rPr>
                <w:noProof/>
              </w:rPr>
              <w:t>Payments</w:t>
            </w:r>
          </w:p>
        </w:tc>
        <w:tc>
          <w:tcPr>
            <w:tcW w:w="2419" w:type="dxa"/>
          </w:tcPr>
          <w:p w14:paraId="2C82A7D4" w14:textId="77777777" w:rsidR="0067184C" w:rsidRPr="00ED0B1B" w:rsidRDefault="0067184C" w:rsidP="0083214A">
            <w:pPr>
              <w:jc w:val="center"/>
              <w:cnfStyle w:val="000000010000" w:firstRow="0" w:lastRow="0" w:firstColumn="0" w:lastColumn="0" w:oddVBand="0" w:evenVBand="0" w:oddHBand="0" w:evenHBand="1" w:firstRowFirstColumn="0" w:firstRowLastColumn="0" w:lastRowFirstColumn="0" w:lastRowLastColumn="0"/>
              <w:rPr>
                <w:noProof/>
              </w:rPr>
            </w:pPr>
            <w:r w:rsidRPr="00ED0B1B">
              <w:rPr>
                <w:noProof/>
              </w:rPr>
              <w:t>6.6</w:t>
            </w:r>
          </w:p>
        </w:tc>
        <w:tc>
          <w:tcPr>
            <w:tcW w:w="2420" w:type="dxa"/>
          </w:tcPr>
          <w:p w14:paraId="2B6D49DB" w14:textId="77777777" w:rsidR="0067184C" w:rsidRPr="00ED0B1B" w:rsidRDefault="0067184C" w:rsidP="0067184C">
            <w:pPr>
              <w:jc w:val="center"/>
              <w:cnfStyle w:val="000000010000" w:firstRow="0" w:lastRow="0" w:firstColumn="0" w:lastColumn="0" w:oddVBand="0" w:evenVBand="0" w:oddHBand="0" w:evenHBand="1" w:firstRowFirstColumn="0" w:firstRowLastColumn="0" w:lastRowFirstColumn="0" w:lastRowLastColumn="0"/>
              <w:rPr>
                <w:noProof/>
              </w:rPr>
            </w:pPr>
            <w:r>
              <w:rPr>
                <w:noProof/>
              </w:rPr>
              <w:t>20.0</w:t>
            </w:r>
          </w:p>
        </w:tc>
      </w:tr>
      <w:tr w:rsidR="0067184C" w:rsidRPr="00ED0B1B" w14:paraId="3483C4E1" w14:textId="77777777" w:rsidTr="0083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8" w:type="dxa"/>
            <w:gridSpan w:val="3"/>
          </w:tcPr>
          <w:p w14:paraId="7F8F38D2" w14:textId="77777777" w:rsidR="0067184C" w:rsidRPr="009D6C1B" w:rsidRDefault="0067184C" w:rsidP="0083214A">
            <w:pPr>
              <w:tabs>
                <w:tab w:val="left" w:pos="614"/>
                <w:tab w:val="center" w:pos="3521"/>
              </w:tabs>
              <w:rPr>
                <w:b w:val="0"/>
                <w:bCs/>
                <w:iCs/>
                <w:noProof/>
              </w:rPr>
            </w:pPr>
            <w:r w:rsidRPr="009D6C1B">
              <w:rPr>
                <w:b w:val="0"/>
                <w:bCs/>
                <w:iCs/>
                <w:noProof/>
              </w:rPr>
              <w:t>NB: The EGF uses annual ceilings instead of financial programming for commitment appropriations. Voted budget is only applicable to payment appropriations. The annual ceiling does not include the transfer of EUR</w:t>
            </w:r>
            <w:r w:rsidRPr="009D6C1B">
              <w:rPr>
                <w:rFonts w:ascii="Calibri" w:hAnsi="Calibri" w:cs="Calibri"/>
                <w:b w:val="0"/>
                <w:bCs/>
                <w:iCs/>
                <w:noProof/>
              </w:rPr>
              <w:t> </w:t>
            </w:r>
            <w:r w:rsidRPr="009D6C1B">
              <w:rPr>
                <w:b w:val="0"/>
                <w:bCs/>
                <w:iCs/>
                <w:noProof/>
              </w:rPr>
              <w:t>16.05</w:t>
            </w:r>
            <w:r w:rsidRPr="009D6C1B">
              <w:rPr>
                <w:rFonts w:ascii="Calibri" w:hAnsi="Calibri" w:cs="Calibri"/>
                <w:b w:val="0"/>
                <w:bCs/>
                <w:iCs/>
                <w:noProof/>
              </w:rPr>
              <w:t> </w:t>
            </w:r>
            <w:r w:rsidRPr="009D6C1B">
              <w:rPr>
                <w:b w:val="0"/>
                <w:bCs/>
                <w:iCs/>
                <w:noProof/>
              </w:rPr>
              <w:t>million from the reserve to the completion line of the 2014-2020 EGF programme in 2021.</w:t>
            </w:r>
          </w:p>
        </w:tc>
      </w:tr>
    </w:tbl>
    <w:p w14:paraId="3E24B77E" w14:textId="77777777" w:rsidR="0067184C" w:rsidRPr="00ED0B1B" w:rsidRDefault="0067184C" w:rsidP="0067184C">
      <w:pPr>
        <w:pStyle w:val="ppoListHyphened-L1"/>
        <w:rPr>
          <w:noProof/>
        </w:rPr>
      </w:pPr>
      <w:r w:rsidRPr="00ED0B1B">
        <w:rPr>
          <w:noProof/>
        </w:rPr>
        <w:t>In 2021, five applications, submitted at the end of 2020 by five Member States, were adopted. As a result, they were paid out partly from assigned revenues from the 2014-2020 period and partly from the budget allocated for 2021-2027. Four of these applications were submitted in relation to the repercussions of the COVID-19 crisis, and one application was linked to a trade-related restructuring event.</w:t>
      </w:r>
    </w:p>
    <w:p w14:paraId="21A028C1" w14:textId="77777777" w:rsidR="0067184C" w:rsidRPr="00ED0B1B" w:rsidRDefault="0067184C" w:rsidP="0067184C">
      <w:pPr>
        <w:pStyle w:val="ppoListHyphened-L1"/>
        <w:rPr>
          <w:noProof/>
        </w:rPr>
      </w:pPr>
      <w:bookmarkStart w:id="282" w:name="_Hlk100764456"/>
      <w:r w:rsidRPr="00ED0B1B">
        <w:rPr>
          <w:noProof/>
        </w:rPr>
        <w:t>T</w:t>
      </w:r>
      <w:bookmarkStart w:id="283" w:name="_Hlk100764489"/>
      <w:r w:rsidRPr="00ED0B1B">
        <w:rPr>
          <w:noProof/>
        </w:rPr>
        <w:t xml:space="preserve">he new EGF regulation for 2021-2027 only entered into force in May 2021 </w:t>
      </w:r>
      <w:r w:rsidRPr="00F917EA">
        <w:rPr>
          <w:noProof/>
        </w:rPr>
        <w:t>but has applied retroactively since 1</w:t>
      </w:r>
      <w:r>
        <w:rPr>
          <w:rFonts w:ascii="Calibri" w:hAnsi="Calibri" w:cs="Calibri"/>
          <w:noProof/>
        </w:rPr>
        <w:t> </w:t>
      </w:r>
      <w:r w:rsidRPr="00F917EA">
        <w:rPr>
          <w:noProof/>
        </w:rPr>
        <w:t>January of that year</w:t>
      </w:r>
      <w:bookmarkEnd w:id="283"/>
      <w:r w:rsidRPr="00ED0B1B">
        <w:rPr>
          <w:noProof/>
        </w:rPr>
        <w:t>.</w:t>
      </w:r>
      <w:bookmarkEnd w:id="282"/>
      <w:r w:rsidRPr="00ED0B1B">
        <w:rPr>
          <w:noProof/>
        </w:rPr>
        <w:t xml:space="preserve"> A derogation clause was therefore introduced to ensure that funding gaps would be avoided. In 2021, eight applications were submitted by four Member States, requesting a total of EUR</w:t>
      </w:r>
      <w:r w:rsidRPr="00ED0B1B">
        <w:rPr>
          <w:rFonts w:ascii="Calibri" w:hAnsi="Calibri" w:cs="Calibri"/>
          <w:noProof/>
        </w:rPr>
        <w:t> </w:t>
      </w:r>
      <w:r w:rsidRPr="00ED0B1B">
        <w:rPr>
          <w:noProof/>
        </w:rPr>
        <w:t>20.5</w:t>
      </w:r>
      <w:r w:rsidRPr="00ED0B1B">
        <w:rPr>
          <w:rFonts w:ascii="Calibri" w:hAnsi="Calibri" w:cs="Calibri"/>
          <w:noProof/>
        </w:rPr>
        <w:t> </w:t>
      </w:r>
      <w:r w:rsidRPr="00ED0B1B">
        <w:rPr>
          <w:noProof/>
        </w:rPr>
        <w:t>million to assist 3</w:t>
      </w:r>
      <w:r w:rsidRPr="00ED0B1B">
        <w:rPr>
          <w:rFonts w:ascii="Calibri" w:hAnsi="Calibri" w:cs="Calibri"/>
          <w:noProof/>
        </w:rPr>
        <w:t> </w:t>
      </w:r>
      <w:r w:rsidRPr="00ED0B1B">
        <w:rPr>
          <w:noProof/>
        </w:rPr>
        <w:t>500 dismissed workers. In five cases, the COVID-19 pandemic was the main factor that led to the dismissals. The remaining three cases had a trade-related background. The EGF was mobilised in 2021 in four cases while the rest, received in the second half of 2021, will benefit from EGF support in the first half of 2022.</w:t>
      </w:r>
    </w:p>
    <w:p w14:paraId="18482EA3" w14:textId="77777777" w:rsidR="0067184C" w:rsidRPr="00ED0B1B" w:rsidRDefault="0067184C" w:rsidP="0067184C">
      <w:pPr>
        <w:pStyle w:val="ppoListHyphened-L1"/>
        <w:rPr>
          <w:noProof/>
        </w:rPr>
      </w:pPr>
      <w:r w:rsidRPr="00ED0B1B">
        <w:rPr>
          <w:noProof/>
        </w:rPr>
        <w:t>Despite the economic recovery, uncertainty remains, in particular in relation to (1) potential further COVID-19 mutations that could hamper economic recovery, (2) rising inflation, (3) the persistence of supply chain bottlenecks, (4) a possible economic shock due to the Russian invasion of Ukraine and (5) the economic consequences of the EU sanctions against Russia over Ukraine. As an emergency response tool, the EGF will be ready to react to these challenges and to offer assistance in possible further major restructuring events in 2022 and 2023, if needed. As concerns the implementation of ongoing cases,</w:t>
      </w:r>
      <w:r w:rsidRPr="00ED0B1B">
        <w:rPr>
          <w:rFonts w:ascii="Times New Roman" w:eastAsia="Times New Roman" w:hAnsi="Times New Roman" w:cs="Times New Roman"/>
          <w:noProof/>
          <w:color w:val="000000" w:themeColor="text1"/>
          <w:sz w:val="20"/>
          <w:szCs w:val="20"/>
          <w:lang w:eastAsia="en-GB"/>
        </w:rPr>
        <w:t xml:space="preserve"> </w:t>
      </w:r>
      <w:r w:rsidRPr="00ED0B1B">
        <w:rPr>
          <w:noProof/>
        </w:rPr>
        <w:t>but also possible future applications, the development of the pandemic will have an impact on the implementation of measures. This might also prevent Member States from applying for support, if it is unclear whether measures could be implemented at all.</w:t>
      </w:r>
    </w:p>
    <w:p w14:paraId="2431D15F" w14:textId="77777777" w:rsidR="0067184C" w:rsidRPr="00ED0B1B" w:rsidRDefault="0067184C" w:rsidP="0067184C">
      <w:pPr>
        <w:pStyle w:val="ppoHeading5"/>
        <w:rPr>
          <w:noProof/>
        </w:rPr>
      </w:pPr>
      <w:r w:rsidRPr="00ED0B1B">
        <w:rPr>
          <w:noProof/>
        </w:rPr>
        <w:t>Contribution to horizontal priorities</w:t>
      </w:r>
    </w:p>
    <w:p w14:paraId="2639FF28" w14:textId="77777777" w:rsidR="0067184C" w:rsidRPr="00ED0B1B" w:rsidRDefault="0067184C" w:rsidP="0067184C">
      <w:pPr>
        <w:pStyle w:val="ppoTableTabletitle"/>
        <w:rPr>
          <w:noProof/>
        </w:rPr>
      </w:pPr>
      <w:r w:rsidRPr="00ED0B1B">
        <w:rPr>
          <w:noProof/>
        </w:rPr>
        <w:t>EU budget contribution in 2021 (million EUR):</w:t>
      </w:r>
    </w:p>
    <w:tbl>
      <w:tblPr>
        <w:tblStyle w:val="PPO2021"/>
        <w:tblW w:w="9639" w:type="dxa"/>
        <w:tblInd w:w="0" w:type="dxa"/>
        <w:tblLook w:val="0420" w:firstRow="1" w:lastRow="0" w:firstColumn="0" w:lastColumn="0" w:noHBand="0" w:noVBand="1"/>
      </w:tblPr>
      <w:tblGrid>
        <w:gridCol w:w="3213"/>
        <w:gridCol w:w="3213"/>
        <w:gridCol w:w="3213"/>
      </w:tblGrid>
      <w:tr w:rsidR="0067184C" w:rsidRPr="00ED0B1B" w14:paraId="421B2483" w14:textId="77777777" w:rsidTr="0083214A">
        <w:trPr>
          <w:cnfStyle w:val="100000000000" w:firstRow="1" w:lastRow="0" w:firstColumn="0" w:lastColumn="0" w:oddVBand="0" w:evenVBand="0" w:oddHBand="0" w:evenHBand="0" w:firstRowFirstColumn="0" w:firstRowLastColumn="0" w:lastRowFirstColumn="0" w:lastRowLastColumn="0"/>
          <w:tblHeader/>
        </w:trPr>
        <w:tc>
          <w:tcPr>
            <w:tcW w:w="3213" w:type="dxa"/>
          </w:tcPr>
          <w:p w14:paraId="19FE6C9D" w14:textId="77777777" w:rsidR="0067184C" w:rsidRPr="00ED0B1B" w:rsidRDefault="0067184C" w:rsidP="0083214A">
            <w:pPr>
              <w:rPr>
                <w:noProof/>
              </w:rPr>
            </w:pPr>
            <w:r w:rsidRPr="00ED0B1B">
              <w:rPr>
                <w:noProof/>
              </w:rPr>
              <w:t>Climate</w:t>
            </w:r>
          </w:p>
        </w:tc>
        <w:tc>
          <w:tcPr>
            <w:tcW w:w="3213" w:type="dxa"/>
          </w:tcPr>
          <w:p w14:paraId="509976A9" w14:textId="77777777" w:rsidR="0067184C" w:rsidRPr="00ED0B1B" w:rsidRDefault="0067184C" w:rsidP="0083214A">
            <w:pPr>
              <w:rPr>
                <w:noProof/>
              </w:rPr>
            </w:pPr>
            <w:r w:rsidRPr="00ED0B1B">
              <w:rPr>
                <w:noProof/>
              </w:rPr>
              <w:t>Biodiversity</w:t>
            </w:r>
          </w:p>
        </w:tc>
        <w:tc>
          <w:tcPr>
            <w:tcW w:w="3213" w:type="dxa"/>
          </w:tcPr>
          <w:p w14:paraId="2A6A1101" w14:textId="77777777" w:rsidR="0067184C" w:rsidRPr="00ED0B1B" w:rsidRDefault="0067184C" w:rsidP="0083214A">
            <w:pPr>
              <w:rPr>
                <w:noProof/>
              </w:rPr>
            </w:pPr>
            <w:r w:rsidRPr="00ED0B1B">
              <w:rPr>
                <w:noProof/>
              </w:rPr>
              <w:t>Gender equality (*)</w:t>
            </w:r>
          </w:p>
        </w:tc>
      </w:tr>
      <w:tr w:rsidR="0067184C" w:rsidRPr="00ED0B1B" w14:paraId="27528B59" w14:textId="77777777" w:rsidTr="0083214A">
        <w:trPr>
          <w:cnfStyle w:val="000000100000" w:firstRow="0" w:lastRow="0" w:firstColumn="0" w:lastColumn="0" w:oddVBand="0" w:evenVBand="0" w:oddHBand="1" w:evenHBand="0" w:firstRowFirstColumn="0" w:firstRowLastColumn="0" w:lastRowFirstColumn="0" w:lastRowLastColumn="0"/>
        </w:trPr>
        <w:tc>
          <w:tcPr>
            <w:tcW w:w="3213" w:type="dxa"/>
          </w:tcPr>
          <w:p w14:paraId="26548491" w14:textId="77777777" w:rsidR="0067184C" w:rsidRPr="00ED0B1B" w:rsidRDefault="0067184C" w:rsidP="0083214A">
            <w:pPr>
              <w:jc w:val="center"/>
              <w:rPr>
                <w:noProof/>
              </w:rPr>
            </w:pPr>
            <w:r w:rsidRPr="00ED0B1B">
              <w:rPr>
                <w:noProof/>
              </w:rPr>
              <w:t>Not applicable</w:t>
            </w:r>
          </w:p>
        </w:tc>
        <w:tc>
          <w:tcPr>
            <w:tcW w:w="3213" w:type="dxa"/>
          </w:tcPr>
          <w:p w14:paraId="136E7363" w14:textId="77777777" w:rsidR="0067184C" w:rsidRPr="00ED0B1B" w:rsidRDefault="0067184C" w:rsidP="0083214A">
            <w:pPr>
              <w:jc w:val="center"/>
              <w:rPr>
                <w:noProof/>
              </w:rPr>
            </w:pPr>
            <w:r w:rsidRPr="00ED0B1B">
              <w:rPr>
                <w:noProof/>
              </w:rPr>
              <w:t>Not applicable</w:t>
            </w:r>
          </w:p>
        </w:tc>
        <w:tc>
          <w:tcPr>
            <w:tcW w:w="3213" w:type="dxa"/>
          </w:tcPr>
          <w:p w14:paraId="0F4D6619" w14:textId="76646B47" w:rsidR="0067184C" w:rsidRPr="00ED0B1B" w:rsidRDefault="0067184C">
            <w:pPr>
              <w:jc w:val="center"/>
              <w:rPr>
                <w:noProof/>
              </w:rPr>
            </w:pPr>
            <w:r w:rsidRPr="00ED0B1B">
              <w:rPr>
                <w:noProof/>
              </w:rPr>
              <w:t xml:space="preserve">Score 0*: </w:t>
            </w:r>
            <w:r w:rsidR="000F4D5F">
              <w:rPr>
                <w:noProof/>
              </w:rPr>
              <w:t>8.0</w:t>
            </w:r>
          </w:p>
        </w:tc>
      </w:tr>
    </w:tbl>
    <w:p w14:paraId="24B8AD00" w14:textId="77777777" w:rsidR="0067184C" w:rsidRPr="00ED0B1B" w:rsidRDefault="0067184C" w:rsidP="0067184C">
      <w:pPr>
        <w:pStyle w:val="FootnoteText"/>
        <w:rPr>
          <w:noProof/>
        </w:rPr>
      </w:pPr>
      <w:r w:rsidRPr="00ED0B1B">
        <w:rPr>
          <w:noProof/>
        </w:rPr>
        <w:t>(*)</w:t>
      </w:r>
      <w:r w:rsidRPr="00ED0B1B">
        <w:rPr>
          <w:noProof/>
        </w:rPr>
        <w:tab/>
        <w:t>Based on the applied gender contribution methodology, the following scores are attributed at the most granular level of intervention possible:</w:t>
      </w:r>
    </w:p>
    <w:p w14:paraId="5BD1A068" w14:textId="77777777" w:rsidR="0067184C" w:rsidRPr="00ED0B1B" w:rsidRDefault="0067184C" w:rsidP="0067184C">
      <w:pPr>
        <w:pStyle w:val="FootnoteText"/>
        <w:numPr>
          <w:ilvl w:val="0"/>
          <w:numId w:val="38"/>
        </w:numPr>
        <w:spacing w:after="60" w:line="264" w:lineRule="auto"/>
        <w:jc w:val="left"/>
        <w:rPr>
          <w:noProof/>
        </w:rPr>
      </w:pPr>
      <w:r w:rsidRPr="00ED0B1B">
        <w:rPr>
          <w:noProof/>
        </w:rPr>
        <w:t>2: interventions the principal objective of which is to improve gender equality;</w:t>
      </w:r>
    </w:p>
    <w:p w14:paraId="14039398" w14:textId="77777777" w:rsidR="0067184C" w:rsidRPr="00ED0B1B" w:rsidRDefault="0067184C" w:rsidP="0067184C">
      <w:pPr>
        <w:pStyle w:val="FootnoteText"/>
        <w:numPr>
          <w:ilvl w:val="0"/>
          <w:numId w:val="38"/>
        </w:numPr>
        <w:spacing w:after="60" w:line="264" w:lineRule="auto"/>
        <w:jc w:val="left"/>
        <w:rPr>
          <w:noProof/>
        </w:rPr>
      </w:pPr>
      <w:r w:rsidRPr="00ED0B1B">
        <w:rPr>
          <w:noProof/>
        </w:rPr>
        <w:t>1: interventions that have gender equality as an important and deliberate objective but not as the main reason for the intervention;</w:t>
      </w:r>
    </w:p>
    <w:p w14:paraId="6841F194" w14:textId="77777777" w:rsidR="0067184C" w:rsidRPr="00ED0B1B" w:rsidRDefault="0067184C" w:rsidP="0067184C">
      <w:pPr>
        <w:pStyle w:val="FootnoteText"/>
        <w:numPr>
          <w:ilvl w:val="0"/>
          <w:numId w:val="38"/>
        </w:numPr>
        <w:spacing w:after="60" w:line="264" w:lineRule="auto"/>
        <w:jc w:val="left"/>
        <w:rPr>
          <w:noProof/>
        </w:rPr>
      </w:pPr>
      <w:r w:rsidRPr="00ED0B1B">
        <w:rPr>
          <w:noProof/>
        </w:rPr>
        <w:t>0: non-targeted interventions;</w:t>
      </w:r>
    </w:p>
    <w:p w14:paraId="44DD9FEB" w14:textId="77777777" w:rsidR="0067184C" w:rsidRPr="00ED0B1B" w:rsidRDefault="0067184C" w:rsidP="0067184C">
      <w:pPr>
        <w:pStyle w:val="FootnoteText"/>
        <w:numPr>
          <w:ilvl w:val="0"/>
          <w:numId w:val="38"/>
        </w:numPr>
        <w:spacing w:after="60" w:line="264" w:lineRule="auto"/>
        <w:jc w:val="left"/>
        <w:rPr>
          <w:noProof/>
        </w:rPr>
      </w:pPr>
      <w:r w:rsidRPr="00ED0B1B">
        <w:rPr>
          <w:noProof/>
        </w:rPr>
        <w:t>0*: score to be assigned to interventions with a likely but not yet clear positive impact on gender equality.</w:t>
      </w:r>
    </w:p>
    <w:p w14:paraId="054CDC75" w14:textId="77777777" w:rsidR="0067184C" w:rsidRPr="00ED0B1B" w:rsidRDefault="0067184C" w:rsidP="0067184C">
      <w:pPr>
        <w:pStyle w:val="ppoHeading5"/>
        <w:rPr>
          <w:noProof/>
        </w:rPr>
      </w:pPr>
      <w:r w:rsidRPr="00ED0B1B">
        <w:rPr>
          <w:noProof/>
        </w:rPr>
        <w:t>Performance assessment</w:t>
      </w:r>
    </w:p>
    <w:p w14:paraId="70B21F0F" w14:textId="77777777" w:rsidR="0067184C" w:rsidRPr="00ED0B1B" w:rsidRDefault="0067184C" w:rsidP="0067184C">
      <w:pPr>
        <w:pStyle w:val="ppoHeading6"/>
        <w:rPr>
          <w:noProof/>
        </w:rPr>
      </w:pPr>
      <w:r w:rsidRPr="00ED0B1B">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67184C" w:rsidRPr="00ED0B1B" w14:paraId="2E21A26C" w14:textId="77777777" w:rsidTr="0083214A">
        <w:trPr>
          <w:cnfStyle w:val="100000000000" w:firstRow="1" w:lastRow="0" w:firstColumn="0" w:lastColumn="0" w:oddVBand="0" w:evenVBand="0" w:oddHBand="0" w:evenHBand="0" w:firstRowFirstColumn="0" w:firstRowLastColumn="0" w:lastRowFirstColumn="0" w:lastRowLastColumn="0"/>
        </w:trPr>
        <w:tc>
          <w:tcPr>
            <w:tcW w:w="2330" w:type="dxa"/>
          </w:tcPr>
          <w:p w14:paraId="7C5E893E" w14:textId="77777777" w:rsidR="0067184C" w:rsidRPr="00ED0B1B" w:rsidRDefault="0067184C" w:rsidP="0083214A">
            <w:pPr>
              <w:rPr>
                <w:noProof/>
              </w:rPr>
            </w:pPr>
          </w:p>
        </w:tc>
        <w:tc>
          <w:tcPr>
            <w:tcW w:w="1100" w:type="dxa"/>
          </w:tcPr>
          <w:p w14:paraId="51C40709" w14:textId="77777777" w:rsidR="0067184C" w:rsidRPr="00ED0B1B" w:rsidRDefault="0067184C" w:rsidP="0083214A">
            <w:pPr>
              <w:rPr>
                <w:noProof/>
              </w:rPr>
            </w:pPr>
            <w:r w:rsidRPr="00ED0B1B">
              <w:rPr>
                <w:noProof/>
              </w:rPr>
              <w:t>Baseline</w:t>
            </w:r>
          </w:p>
        </w:tc>
        <w:tc>
          <w:tcPr>
            <w:tcW w:w="1526" w:type="dxa"/>
          </w:tcPr>
          <w:p w14:paraId="684EB351" w14:textId="77777777" w:rsidR="0067184C" w:rsidRPr="00ED0B1B" w:rsidRDefault="0067184C" w:rsidP="0083214A">
            <w:pPr>
              <w:rPr>
                <w:noProof/>
              </w:rPr>
            </w:pPr>
            <w:r w:rsidRPr="00ED0B1B">
              <w:rPr>
                <w:noProof/>
              </w:rPr>
              <w:t>Progress (*)</w:t>
            </w:r>
          </w:p>
        </w:tc>
        <w:tc>
          <w:tcPr>
            <w:tcW w:w="1532" w:type="dxa"/>
          </w:tcPr>
          <w:p w14:paraId="2E421C78" w14:textId="77777777" w:rsidR="0067184C" w:rsidRPr="00ED0B1B" w:rsidRDefault="0067184C" w:rsidP="0083214A">
            <w:pPr>
              <w:rPr>
                <w:noProof/>
              </w:rPr>
            </w:pPr>
            <w:r w:rsidRPr="00ED0B1B">
              <w:rPr>
                <w:noProof/>
              </w:rPr>
              <w:t>Target</w:t>
            </w:r>
          </w:p>
        </w:tc>
        <w:tc>
          <w:tcPr>
            <w:tcW w:w="1572" w:type="dxa"/>
          </w:tcPr>
          <w:p w14:paraId="394AEC9A" w14:textId="77777777" w:rsidR="0067184C" w:rsidRPr="00ED0B1B" w:rsidRDefault="0067184C" w:rsidP="0083214A">
            <w:pPr>
              <w:rPr>
                <w:noProof/>
              </w:rPr>
            </w:pPr>
            <w:r w:rsidRPr="00ED0B1B">
              <w:rPr>
                <w:noProof/>
              </w:rPr>
              <w:t>Results</w:t>
            </w:r>
          </w:p>
        </w:tc>
        <w:tc>
          <w:tcPr>
            <w:tcW w:w="1579" w:type="dxa"/>
          </w:tcPr>
          <w:p w14:paraId="0A63B4F4" w14:textId="77777777" w:rsidR="0067184C" w:rsidRPr="00ED0B1B" w:rsidRDefault="0067184C" w:rsidP="0083214A">
            <w:pPr>
              <w:rPr>
                <w:noProof/>
              </w:rPr>
            </w:pPr>
            <w:r w:rsidRPr="00ED0B1B">
              <w:rPr>
                <w:noProof/>
              </w:rPr>
              <w:t>Assessment</w:t>
            </w:r>
          </w:p>
        </w:tc>
      </w:tr>
      <w:tr w:rsidR="0067184C" w:rsidRPr="00ED0B1B" w14:paraId="19ECE3B7"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5B60E266" w14:textId="77777777" w:rsidR="0067184C" w:rsidRPr="00ED0B1B" w:rsidRDefault="0067184C" w:rsidP="0083214A">
            <w:pPr>
              <w:rPr>
                <w:noProof/>
              </w:rPr>
            </w:pPr>
            <w:r w:rsidRPr="00ED0B1B">
              <w:rPr>
                <w:noProof/>
              </w:rPr>
              <w:t>Total EGF beneficiaries in a given case</w:t>
            </w:r>
          </w:p>
        </w:tc>
        <w:tc>
          <w:tcPr>
            <w:tcW w:w="1100" w:type="dxa"/>
          </w:tcPr>
          <w:p w14:paraId="2EDA42BD" w14:textId="77777777" w:rsidR="0067184C" w:rsidRPr="00ED0B1B" w:rsidRDefault="0067184C" w:rsidP="0083214A">
            <w:pPr>
              <w:jc w:val="center"/>
              <w:rPr>
                <w:noProof/>
              </w:rPr>
            </w:pPr>
          </w:p>
        </w:tc>
        <w:tc>
          <w:tcPr>
            <w:tcW w:w="1526" w:type="dxa"/>
          </w:tcPr>
          <w:p w14:paraId="063F24C8" w14:textId="77777777" w:rsidR="0067184C" w:rsidRPr="00ED0B1B" w:rsidRDefault="0067184C" w:rsidP="0083214A">
            <w:pPr>
              <w:jc w:val="center"/>
              <w:rPr>
                <w:b/>
                <w:noProof/>
              </w:rPr>
            </w:pPr>
          </w:p>
        </w:tc>
        <w:tc>
          <w:tcPr>
            <w:tcW w:w="1532" w:type="dxa"/>
          </w:tcPr>
          <w:p w14:paraId="3F72B126" w14:textId="77777777" w:rsidR="0067184C" w:rsidRPr="00ED0B1B" w:rsidRDefault="0067184C" w:rsidP="0083214A">
            <w:pPr>
              <w:jc w:val="center"/>
              <w:rPr>
                <w:noProof/>
              </w:rPr>
            </w:pPr>
          </w:p>
        </w:tc>
        <w:tc>
          <w:tcPr>
            <w:tcW w:w="1572" w:type="dxa"/>
          </w:tcPr>
          <w:p w14:paraId="2E02C3E4" w14:textId="58A6FBE1" w:rsidR="0067184C" w:rsidRPr="00ED0B1B" w:rsidRDefault="00244B68" w:rsidP="0083214A">
            <w:pPr>
              <w:jc w:val="center"/>
              <w:rPr>
                <w:noProof/>
              </w:rPr>
            </w:pPr>
            <w:r>
              <w:rPr>
                <w:noProof/>
              </w:rPr>
              <w:t>No results</w:t>
            </w:r>
          </w:p>
        </w:tc>
        <w:tc>
          <w:tcPr>
            <w:tcW w:w="1579" w:type="dxa"/>
          </w:tcPr>
          <w:p w14:paraId="3B21C770" w14:textId="0E868617" w:rsidR="0067184C" w:rsidRPr="00ED0B1B" w:rsidRDefault="00244B68" w:rsidP="0083214A">
            <w:pPr>
              <w:jc w:val="center"/>
              <w:rPr>
                <w:noProof/>
              </w:rPr>
            </w:pPr>
            <w:r>
              <w:rPr>
                <w:noProof/>
              </w:rPr>
              <w:t>No data</w:t>
            </w:r>
          </w:p>
        </w:tc>
      </w:tr>
      <w:tr w:rsidR="00244B68" w:rsidRPr="00ED0B1B" w14:paraId="1126D58F"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2FE896A8" w14:textId="77777777" w:rsidR="00244B68" w:rsidRPr="00ED0B1B" w:rsidRDefault="00244B68" w:rsidP="00244B68">
            <w:pPr>
              <w:rPr>
                <w:noProof/>
              </w:rPr>
            </w:pPr>
            <w:r w:rsidRPr="00ED0B1B">
              <w:rPr>
                <w:noProof/>
              </w:rPr>
              <w:t>Percentage of EGF beneficiaries who gained a qualification</w:t>
            </w:r>
          </w:p>
        </w:tc>
        <w:tc>
          <w:tcPr>
            <w:tcW w:w="1100" w:type="dxa"/>
          </w:tcPr>
          <w:p w14:paraId="08E88732" w14:textId="77777777" w:rsidR="00244B68" w:rsidRPr="00ED0B1B" w:rsidRDefault="00244B68" w:rsidP="00244B68">
            <w:pPr>
              <w:jc w:val="center"/>
              <w:rPr>
                <w:noProof/>
              </w:rPr>
            </w:pPr>
          </w:p>
        </w:tc>
        <w:tc>
          <w:tcPr>
            <w:tcW w:w="1526" w:type="dxa"/>
          </w:tcPr>
          <w:p w14:paraId="5B974CAC" w14:textId="77777777" w:rsidR="00244B68" w:rsidRPr="00ED0B1B" w:rsidRDefault="00244B68" w:rsidP="00244B68">
            <w:pPr>
              <w:jc w:val="center"/>
              <w:rPr>
                <w:b/>
                <w:noProof/>
              </w:rPr>
            </w:pPr>
          </w:p>
        </w:tc>
        <w:tc>
          <w:tcPr>
            <w:tcW w:w="1532" w:type="dxa"/>
          </w:tcPr>
          <w:p w14:paraId="56655593" w14:textId="77777777" w:rsidR="00244B68" w:rsidRPr="00ED0B1B" w:rsidRDefault="00244B68" w:rsidP="00244B68">
            <w:pPr>
              <w:jc w:val="center"/>
              <w:rPr>
                <w:noProof/>
              </w:rPr>
            </w:pPr>
          </w:p>
        </w:tc>
        <w:tc>
          <w:tcPr>
            <w:tcW w:w="1572" w:type="dxa"/>
          </w:tcPr>
          <w:p w14:paraId="0890C23F" w14:textId="4894D90C" w:rsidR="00244B68" w:rsidRPr="00ED0B1B" w:rsidRDefault="00244B68" w:rsidP="00244B68">
            <w:pPr>
              <w:jc w:val="center"/>
              <w:rPr>
                <w:noProof/>
              </w:rPr>
            </w:pPr>
            <w:r>
              <w:rPr>
                <w:noProof/>
              </w:rPr>
              <w:t>No results</w:t>
            </w:r>
          </w:p>
        </w:tc>
        <w:tc>
          <w:tcPr>
            <w:tcW w:w="1579" w:type="dxa"/>
          </w:tcPr>
          <w:p w14:paraId="34789632" w14:textId="11577C40" w:rsidR="00244B68" w:rsidRPr="00ED0B1B" w:rsidRDefault="00244B68" w:rsidP="00244B68">
            <w:pPr>
              <w:jc w:val="center"/>
              <w:rPr>
                <w:noProof/>
              </w:rPr>
            </w:pPr>
            <w:r>
              <w:rPr>
                <w:noProof/>
              </w:rPr>
              <w:t>No data</w:t>
            </w:r>
          </w:p>
        </w:tc>
      </w:tr>
      <w:tr w:rsidR="00244B68" w:rsidRPr="00ED0B1B" w14:paraId="254BFCF4"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19DB76D0" w14:textId="77777777" w:rsidR="00244B68" w:rsidRPr="00ED0B1B" w:rsidRDefault="00244B68" w:rsidP="00244B68">
            <w:pPr>
              <w:rPr>
                <w:noProof/>
              </w:rPr>
            </w:pPr>
            <w:r w:rsidRPr="00ED0B1B">
              <w:rPr>
                <w:noProof/>
              </w:rPr>
              <w:t>Percentage of EGF beneficiaries in education or training</w:t>
            </w:r>
          </w:p>
        </w:tc>
        <w:tc>
          <w:tcPr>
            <w:tcW w:w="1100" w:type="dxa"/>
          </w:tcPr>
          <w:p w14:paraId="1369D551" w14:textId="77777777" w:rsidR="00244B68" w:rsidRPr="00ED0B1B" w:rsidRDefault="00244B68" w:rsidP="00244B68">
            <w:pPr>
              <w:jc w:val="center"/>
              <w:rPr>
                <w:noProof/>
              </w:rPr>
            </w:pPr>
          </w:p>
        </w:tc>
        <w:tc>
          <w:tcPr>
            <w:tcW w:w="1526" w:type="dxa"/>
          </w:tcPr>
          <w:p w14:paraId="5E295067" w14:textId="77777777" w:rsidR="00244B68" w:rsidRPr="00ED0B1B" w:rsidRDefault="00244B68" w:rsidP="00244B68">
            <w:pPr>
              <w:jc w:val="center"/>
              <w:rPr>
                <w:b/>
                <w:noProof/>
              </w:rPr>
            </w:pPr>
          </w:p>
        </w:tc>
        <w:tc>
          <w:tcPr>
            <w:tcW w:w="1532" w:type="dxa"/>
          </w:tcPr>
          <w:p w14:paraId="71FE604C" w14:textId="77777777" w:rsidR="00244B68" w:rsidRPr="00ED0B1B" w:rsidRDefault="00244B68" w:rsidP="00244B68">
            <w:pPr>
              <w:jc w:val="center"/>
              <w:rPr>
                <w:noProof/>
              </w:rPr>
            </w:pPr>
          </w:p>
        </w:tc>
        <w:tc>
          <w:tcPr>
            <w:tcW w:w="1572" w:type="dxa"/>
          </w:tcPr>
          <w:p w14:paraId="46C13E7E" w14:textId="64466363" w:rsidR="00244B68" w:rsidRPr="00ED0B1B" w:rsidRDefault="00244B68" w:rsidP="00244B68">
            <w:pPr>
              <w:jc w:val="center"/>
              <w:rPr>
                <w:noProof/>
              </w:rPr>
            </w:pPr>
            <w:r>
              <w:rPr>
                <w:noProof/>
              </w:rPr>
              <w:t>No results</w:t>
            </w:r>
          </w:p>
        </w:tc>
        <w:tc>
          <w:tcPr>
            <w:tcW w:w="1579" w:type="dxa"/>
          </w:tcPr>
          <w:p w14:paraId="7E873D6A" w14:textId="7B5FB962" w:rsidR="00244B68" w:rsidRPr="00ED0B1B" w:rsidRDefault="00244B68" w:rsidP="00244B68">
            <w:pPr>
              <w:jc w:val="center"/>
              <w:rPr>
                <w:noProof/>
              </w:rPr>
            </w:pPr>
            <w:r>
              <w:rPr>
                <w:noProof/>
              </w:rPr>
              <w:t>No data</w:t>
            </w:r>
          </w:p>
        </w:tc>
      </w:tr>
      <w:tr w:rsidR="00244B68" w:rsidRPr="00ED0B1B" w14:paraId="7EB51E2E"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6F33D06A" w14:textId="77777777" w:rsidR="00244B68" w:rsidRPr="00ED0B1B" w:rsidRDefault="00244B68" w:rsidP="00244B68">
            <w:pPr>
              <w:tabs>
                <w:tab w:val="center" w:pos="1057"/>
              </w:tabs>
              <w:rPr>
                <w:noProof/>
              </w:rPr>
            </w:pPr>
            <w:r w:rsidRPr="00ED0B1B">
              <w:rPr>
                <w:noProof/>
              </w:rPr>
              <w:t>Percentage of EGF beneficiaries in employment (dependent/self-employed)</w:t>
            </w:r>
          </w:p>
        </w:tc>
        <w:tc>
          <w:tcPr>
            <w:tcW w:w="1100" w:type="dxa"/>
          </w:tcPr>
          <w:p w14:paraId="31CF600E" w14:textId="77777777" w:rsidR="00244B68" w:rsidRPr="00ED0B1B" w:rsidRDefault="00244B68" w:rsidP="00244B68">
            <w:pPr>
              <w:jc w:val="center"/>
              <w:rPr>
                <w:noProof/>
              </w:rPr>
            </w:pPr>
          </w:p>
        </w:tc>
        <w:tc>
          <w:tcPr>
            <w:tcW w:w="1526" w:type="dxa"/>
          </w:tcPr>
          <w:p w14:paraId="7BA4C223" w14:textId="77777777" w:rsidR="00244B68" w:rsidRPr="00ED0B1B" w:rsidRDefault="00244B68" w:rsidP="00244B68">
            <w:pPr>
              <w:jc w:val="center"/>
              <w:rPr>
                <w:b/>
                <w:noProof/>
              </w:rPr>
            </w:pPr>
          </w:p>
        </w:tc>
        <w:tc>
          <w:tcPr>
            <w:tcW w:w="1532" w:type="dxa"/>
          </w:tcPr>
          <w:p w14:paraId="7AB8BCBC" w14:textId="77777777" w:rsidR="00244B68" w:rsidRPr="00ED0B1B" w:rsidRDefault="00244B68" w:rsidP="00244B68">
            <w:pPr>
              <w:jc w:val="center"/>
              <w:rPr>
                <w:noProof/>
              </w:rPr>
            </w:pPr>
          </w:p>
        </w:tc>
        <w:tc>
          <w:tcPr>
            <w:tcW w:w="1572" w:type="dxa"/>
          </w:tcPr>
          <w:p w14:paraId="1C2D7A9A" w14:textId="2257DE70" w:rsidR="00244B68" w:rsidRPr="00ED0B1B" w:rsidRDefault="00244B68" w:rsidP="00244B68">
            <w:pPr>
              <w:jc w:val="center"/>
              <w:rPr>
                <w:noProof/>
              </w:rPr>
            </w:pPr>
            <w:r>
              <w:rPr>
                <w:noProof/>
              </w:rPr>
              <w:t>No results</w:t>
            </w:r>
          </w:p>
        </w:tc>
        <w:tc>
          <w:tcPr>
            <w:tcW w:w="1579" w:type="dxa"/>
          </w:tcPr>
          <w:p w14:paraId="17C514A1" w14:textId="1FFD2FA7" w:rsidR="00244B68" w:rsidRPr="00ED0B1B" w:rsidRDefault="00244B68" w:rsidP="00244B68">
            <w:pPr>
              <w:jc w:val="center"/>
              <w:rPr>
                <w:noProof/>
              </w:rPr>
            </w:pPr>
            <w:r>
              <w:rPr>
                <w:noProof/>
              </w:rPr>
              <w:t>No data</w:t>
            </w:r>
          </w:p>
        </w:tc>
      </w:tr>
    </w:tbl>
    <w:p w14:paraId="0553C5AC" w14:textId="77777777" w:rsidR="0067184C" w:rsidRPr="00ED0B1B" w:rsidRDefault="0067184C" w:rsidP="0067184C">
      <w:pPr>
        <w:pStyle w:val="FootnoteText"/>
        <w:spacing w:before="120"/>
        <w:rPr>
          <w:noProof/>
        </w:rPr>
      </w:pPr>
      <w:r w:rsidRPr="00ED0B1B">
        <w:rPr>
          <w:noProof/>
        </w:rPr>
        <w:t>(*) % of target achieved by the end of 2021.</w:t>
      </w:r>
    </w:p>
    <w:p w14:paraId="79D30DCE" w14:textId="77777777" w:rsidR="0067184C" w:rsidRPr="00ED0B1B" w:rsidRDefault="0067184C" w:rsidP="0067184C">
      <w:pPr>
        <w:pStyle w:val="FootnoteText"/>
        <w:spacing w:before="120"/>
        <w:rPr>
          <w:noProof/>
        </w:rPr>
      </w:pPr>
    </w:p>
    <w:p w14:paraId="30C58C20" w14:textId="77777777" w:rsidR="0067184C" w:rsidRPr="00ED0B1B" w:rsidRDefault="0067184C" w:rsidP="0067184C">
      <w:pPr>
        <w:pStyle w:val="ppoListHyphened-L1"/>
        <w:rPr>
          <w:noProof/>
        </w:rPr>
      </w:pPr>
      <w:r w:rsidRPr="00ED0B1B">
        <w:rPr>
          <w:noProof/>
        </w:rPr>
        <w:t>The main sources of information on EGF’ s results are (1) the final reports submitted by the Member States, 7</w:t>
      </w:r>
      <w:r w:rsidRPr="00ED0B1B">
        <w:rPr>
          <w:rFonts w:ascii="Calibri" w:hAnsi="Calibri" w:cs="Calibri"/>
          <w:noProof/>
        </w:rPr>
        <w:t> </w:t>
      </w:r>
      <w:r w:rsidRPr="00ED0B1B">
        <w:rPr>
          <w:noProof/>
        </w:rPr>
        <w:t>months after the end of the implementation, and (2) the beneficiary surveys, which are conducted 6</w:t>
      </w:r>
      <w:r w:rsidRPr="00ED0B1B">
        <w:rPr>
          <w:rFonts w:ascii="Calibri" w:hAnsi="Calibri" w:cs="Calibri"/>
          <w:noProof/>
        </w:rPr>
        <w:t> </w:t>
      </w:r>
      <w:r w:rsidRPr="00ED0B1B">
        <w:rPr>
          <w:noProof/>
        </w:rPr>
        <w:t>months after the implementation of the case.</w:t>
      </w:r>
    </w:p>
    <w:p w14:paraId="259D7DDF" w14:textId="77777777" w:rsidR="0067184C" w:rsidRPr="00ED0B1B" w:rsidRDefault="0067184C" w:rsidP="0067184C">
      <w:pPr>
        <w:pStyle w:val="ppoListHyphened-L1"/>
        <w:rPr>
          <w:noProof/>
        </w:rPr>
      </w:pPr>
      <w:r w:rsidRPr="00ED0B1B">
        <w:rPr>
          <w:noProof/>
        </w:rPr>
        <w:t>Even though the EGF’s main aim is sustainable reintegration into quality employment, the mere comparison of reintegration rates is not sufficient to measure the performance of the EGF. This is due, among other reasons, to differences in the characteristics of the beneficiaries targeted and in the socioeconomic situations of the regions affected. Therefore, beneficiary surveys were introduced as a new tool in the 2021-2027 period. Beneficiary surveys will help assess the extent to which the assistance offered had an impact on the perceived change in the employability of beneficiaries or, for those who have already found employment, on the quality of the employment found (e.g. in terms of changes in working hours). Such information will be broken down by gender, age group, education level and level of professional experience. Furthermore, by broadening the scope of the EGF and by making the application procedure easier and faster in the current programming period, the fund is expected to be more inclusive and to reach more displaced workers in need of assistance.</w:t>
      </w:r>
    </w:p>
    <w:p w14:paraId="25F28A1D" w14:textId="77777777" w:rsidR="0067184C" w:rsidRPr="00ED0B1B" w:rsidRDefault="0067184C" w:rsidP="0067184C">
      <w:pPr>
        <w:pStyle w:val="ppoListHyphened-L1"/>
        <w:rPr>
          <w:noProof/>
        </w:rPr>
      </w:pPr>
      <w:r w:rsidRPr="00ED0B1B">
        <w:rPr>
          <w:noProof/>
        </w:rPr>
        <w:t>Considering the delayed start of the 2021-2027 programming period, and taking into account that the implementation of an EGF case takes 24</w:t>
      </w:r>
      <w:r w:rsidRPr="00ED0B1B">
        <w:rPr>
          <w:rFonts w:ascii="Calibri" w:hAnsi="Calibri" w:cs="Calibri"/>
          <w:noProof/>
        </w:rPr>
        <w:t> </w:t>
      </w:r>
      <w:r w:rsidRPr="00ED0B1B">
        <w:rPr>
          <w:noProof/>
        </w:rPr>
        <w:t>months, the aforementioned information, which is necessary to assess the EGF’s performance, is only expected by mid 2024.</w:t>
      </w:r>
    </w:p>
    <w:p w14:paraId="63ECEEB8" w14:textId="77777777" w:rsidR="0067184C" w:rsidRDefault="0067184C" w:rsidP="005348AD">
      <w:pPr>
        <w:pStyle w:val="ppoListHyphened-L1"/>
        <w:numPr>
          <w:ilvl w:val="0"/>
          <w:numId w:val="0"/>
        </w:numPr>
        <w:ind w:left="357" w:hanging="357"/>
        <w:rPr>
          <w:b/>
          <w:noProof/>
        </w:rPr>
        <w:sectPr w:rsidR="0067184C" w:rsidSect="0083214A">
          <w:headerReference w:type="even" r:id="rId624"/>
          <w:headerReference w:type="default" r:id="rId625"/>
          <w:footerReference w:type="even" r:id="rId626"/>
          <w:footerReference w:type="default" r:id="rId627"/>
          <w:headerReference w:type="first" r:id="rId628"/>
          <w:footerReference w:type="first" r:id="rId629"/>
          <w:type w:val="continuous"/>
          <w:pgSz w:w="11906" w:h="16838" w:code="9"/>
          <w:pgMar w:top="1134" w:right="1134" w:bottom="964" w:left="1134" w:header="431" w:footer="431" w:gutter="0"/>
          <w:cols w:space="720"/>
          <w:titlePg/>
          <w:docGrid w:linePitch="360"/>
        </w:sectPr>
      </w:pPr>
    </w:p>
    <w:p w14:paraId="497DE302" w14:textId="77777777" w:rsidR="00E33F26" w:rsidRPr="007A54CD" w:rsidRDefault="00E33F26" w:rsidP="00E33F26">
      <w:pPr>
        <w:pStyle w:val="StyleppoHeading3WhiteLeft0cm"/>
        <w:rPr>
          <w:noProof/>
          <w:sz w:val="40"/>
          <w:szCs w:val="40"/>
        </w:rPr>
      </w:pPr>
    </w:p>
    <w:p w14:paraId="7D7A9180" w14:textId="77777777" w:rsidR="00E33F26" w:rsidRPr="007A54CD" w:rsidRDefault="00E33F26" w:rsidP="00E33F26">
      <w:pPr>
        <w:pStyle w:val="StyleppoHeading3WhiteLeft0cm"/>
        <w:rPr>
          <w:noProof/>
          <w:sz w:val="60"/>
          <w:szCs w:val="60"/>
        </w:rPr>
      </w:pPr>
      <w:bookmarkStart w:id="284" w:name="_Toc102086375"/>
      <w:r w:rsidRPr="007A54CD">
        <w:rPr>
          <w:noProof/>
          <w:sz w:val="60"/>
          <w:szCs w:val="60"/>
        </w:rPr>
        <w:t>EUSF</w:t>
      </w:r>
      <w:bookmarkEnd w:id="284"/>
    </w:p>
    <w:p w14:paraId="622CCA2B" w14:textId="77777777" w:rsidR="00E33F26" w:rsidRPr="00040D99" w:rsidRDefault="00E33F26" w:rsidP="00E33F26">
      <w:pPr>
        <w:pStyle w:val="StyleppoProgrammenameWhiteLeft01cm"/>
        <w:rPr>
          <w:noProof/>
        </w:rPr>
      </w:pPr>
      <w:r>
        <w:rPr>
          <w:noProof/>
        </w:rPr>
        <w:t>EUROPEAN UNION SOLIDARITY FUND</w:t>
      </w:r>
    </w:p>
    <w:p w14:paraId="6B54B866" w14:textId="77777777" w:rsidR="00E33F26" w:rsidRPr="00351CB7" w:rsidRDefault="00E33F26" w:rsidP="00E33F26">
      <w:pPr>
        <w:pStyle w:val="ppoHeading4Turquoise"/>
        <w:rPr>
          <w:noProof/>
        </w:rPr>
      </w:pPr>
      <w:r w:rsidRPr="00351CB7">
        <w:rPr>
          <w:noProof/>
        </w:rPr>
        <w:t>Programme in a nutshell</w:t>
      </w:r>
    </w:p>
    <w:p w14:paraId="2C3306A9" w14:textId="77777777" w:rsidR="00E33F26" w:rsidRPr="00040D99" w:rsidRDefault="00E33F26" w:rsidP="00E33F26">
      <w:pPr>
        <w:spacing w:after="480"/>
        <w:rPr>
          <w:rFonts w:eastAsiaTheme="minorEastAsia"/>
          <w:noProof/>
          <w:color w:val="FFFFFF" w:themeColor="background1"/>
          <w:sz w:val="32"/>
        </w:rPr>
        <w:sectPr w:rsidR="00E33F26" w:rsidRPr="00040D99" w:rsidSect="0083214A">
          <w:headerReference w:type="even" r:id="rId630"/>
          <w:headerReference w:type="default" r:id="rId631"/>
          <w:footerReference w:type="even" r:id="rId632"/>
          <w:footerReference w:type="default" r:id="rId633"/>
          <w:headerReference w:type="first" r:id="rId634"/>
          <w:footerReference w:type="first" r:id="rId635"/>
          <w:pgSz w:w="11906" w:h="16838" w:code="9"/>
          <w:pgMar w:top="1134" w:right="1134" w:bottom="964" w:left="1134" w:header="431" w:footer="431" w:gutter="0"/>
          <w:cols w:space="720"/>
          <w:docGrid w:linePitch="360"/>
        </w:sectPr>
      </w:pPr>
    </w:p>
    <w:p w14:paraId="3C93408F" w14:textId="77777777" w:rsidR="00E33F26" w:rsidRPr="00040D99" w:rsidRDefault="00E33F26" w:rsidP="00E33F26">
      <w:pPr>
        <w:pStyle w:val="ppoHeading5"/>
        <w:rPr>
          <w:noProof/>
        </w:rPr>
      </w:pPr>
      <w:r w:rsidRPr="00040D99">
        <w:rPr>
          <w:noProof/>
        </w:rPr>
        <w:t>Concrete examples of achievements</w:t>
      </w:r>
      <w:r>
        <w:rPr>
          <w:rFonts w:ascii="Calibri" w:hAnsi="Calibri" w:cs="Calibri"/>
          <w:noProof/>
        </w:rPr>
        <w:t> </w:t>
      </w:r>
      <w:r>
        <w:rPr>
          <w:noProof/>
        </w:rPr>
        <w:t>(*)</w:t>
      </w:r>
    </w:p>
    <w:tbl>
      <w:tblPr>
        <w:tblStyle w:val="PPO2021"/>
        <w:tblW w:w="7229" w:type="dxa"/>
        <w:tblInd w:w="0" w:type="dxa"/>
        <w:tblLook w:val="0200" w:firstRow="0" w:lastRow="0" w:firstColumn="0" w:lastColumn="0" w:noHBand="1" w:noVBand="0"/>
      </w:tblPr>
      <w:tblGrid>
        <w:gridCol w:w="2410"/>
        <w:gridCol w:w="2409"/>
        <w:gridCol w:w="2410"/>
      </w:tblGrid>
      <w:tr w:rsidR="00E33F26" w:rsidRPr="00040D99" w14:paraId="123DE7E2" w14:textId="77777777" w:rsidTr="0083214A">
        <w:tc>
          <w:tcPr>
            <w:tcW w:w="2410" w:type="dxa"/>
          </w:tcPr>
          <w:p w14:paraId="78208C81" w14:textId="77777777" w:rsidR="00E33F26" w:rsidRPr="0076270C" w:rsidRDefault="00E33F26" w:rsidP="0083214A">
            <w:pPr>
              <w:pStyle w:val="ppoTableacheivementvalue"/>
              <w:rPr>
                <w:noProof/>
              </w:rPr>
            </w:pPr>
            <w:r>
              <w:rPr>
                <w:noProof/>
              </w:rPr>
              <w:t>EUR</w:t>
            </w:r>
            <w:r>
              <w:rPr>
                <w:rFonts w:ascii="Calibri" w:hAnsi="Calibri" w:cs="Calibri"/>
                <w:noProof/>
              </w:rPr>
              <w:t> </w:t>
            </w:r>
            <w:r>
              <w:rPr>
                <w:noProof/>
              </w:rPr>
              <w:t>935 million</w:t>
            </w:r>
          </w:p>
          <w:p w14:paraId="13BB39E9" w14:textId="77777777" w:rsidR="00E33F26" w:rsidRPr="0076270C" w:rsidRDefault="00E33F26" w:rsidP="00377734">
            <w:pPr>
              <w:jc w:val="left"/>
              <w:rPr>
                <w:noProof/>
              </w:rPr>
            </w:pPr>
            <w:r>
              <w:rPr>
                <w:noProof/>
              </w:rPr>
              <w:t>in total was awarded to assist with disasters that occurred in 2020 and 2021.</w:t>
            </w:r>
          </w:p>
        </w:tc>
        <w:tc>
          <w:tcPr>
            <w:cnfStyle w:val="000001000000" w:firstRow="0" w:lastRow="0" w:firstColumn="0" w:lastColumn="0" w:oddVBand="0" w:evenVBand="1" w:oddHBand="0" w:evenHBand="0" w:firstRowFirstColumn="0" w:firstRowLastColumn="0" w:lastRowFirstColumn="0" w:lastRowLastColumn="0"/>
            <w:tcW w:w="2409" w:type="dxa"/>
          </w:tcPr>
          <w:p w14:paraId="10A95BAA" w14:textId="77777777" w:rsidR="00E33F26" w:rsidRPr="0076270C" w:rsidRDefault="00E33F26" w:rsidP="0083214A">
            <w:pPr>
              <w:pStyle w:val="ppoTableacheivementvalue"/>
              <w:rPr>
                <w:noProof/>
              </w:rPr>
            </w:pPr>
            <w:r w:rsidRPr="0076270C">
              <w:rPr>
                <w:noProof/>
              </w:rPr>
              <w:t>1</w:t>
            </w:r>
            <w:r>
              <w:rPr>
                <w:noProof/>
              </w:rPr>
              <w:t>0</w:t>
            </w:r>
          </w:p>
          <w:p w14:paraId="4C2E4F31" w14:textId="77777777" w:rsidR="00E33F26" w:rsidRPr="0076270C" w:rsidRDefault="00E33F26" w:rsidP="00377734">
            <w:pPr>
              <w:jc w:val="left"/>
              <w:rPr>
                <w:noProof/>
              </w:rPr>
            </w:pPr>
            <w:r>
              <w:rPr>
                <w:noProof/>
              </w:rPr>
              <w:t>n</w:t>
            </w:r>
            <w:r w:rsidRPr="00054C36">
              <w:rPr>
                <w:noProof/>
              </w:rPr>
              <w:t>ew EUSF application</w:t>
            </w:r>
            <w:r>
              <w:rPr>
                <w:noProof/>
              </w:rPr>
              <w:t>s</w:t>
            </w:r>
            <w:r w:rsidRPr="00054C36">
              <w:rPr>
                <w:noProof/>
              </w:rPr>
              <w:t xml:space="preserve"> </w:t>
            </w:r>
            <w:r>
              <w:rPr>
                <w:noProof/>
              </w:rPr>
              <w:t xml:space="preserve">were </w:t>
            </w:r>
            <w:r w:rsidRPr="00054C36">
              <w:rPr>
                <w:noProof/>
              </w:rPr>
              <w:t xml:space="preserve">received </w:t>
            </w:r>
            <w:r>
              <w:rPr>
                <w:noProof/>
              </w:rPr>
              <w:t xml:space="preserve">(for natural disasters) </w:t>
            </w:r>
            <w:r w:rsidRPr="0064325D">
              <w:rPr>
                <w:noProof/>
              </w:rPr>
              <w:t>and assessment</w:t>
            </w:r>
            <w:r w:rsidRPr="00DE6779">
              <w:rPr>
                <w:noProof/>
              </w:rPr>
              <w:t>s</w:t>
            </w:r>
            <w:r w:rsidRPr="0064325D">
              <w:rPr>
                <w:noProof/>
              </w:rPr>
              <w:t xml:space="preserve"> </w:t>
            </w:r>
            <w:r w:rsidRPr="00DE6779">
              <w:rPr>
                <w:noProof/>
              </w:rPr>
              <w:t xml:space="preserve">were </w:t>
            </w:r>
            <w:r w:rsidRPr="0064325D">
              <w:rPr>
                <w:noProof/>
              </w:rPr>
              <w:t>commenced</w:t>
            </w:r>
            <w:r>
              <w:rPr>
                <w:noProof/>
              </w:rPr>
              <w:t xml:space="preserve"> </w:t>
            </w:r>
            <w:r w:rsidRPr="00054C36">
              <w:rPr>
                <w:noProof/>
              </w:rPr>
              <w:t>in 2021</w:t>
            </w:r>
            <w:r>
              <w:rPr>
                <w:noProof/>
              </w:rPr>
              <w:t>.</w:t>
            </w:r>
          </w:p>
        </w:tc>
        <w:tc>
          <w:tcPr>
            <w:tcW w:w="2410" w:type="dxa"/>
            <w:tcBorders>
              <w:bottom w:val="single" w:sz="4" w:space="0" w:color="8C8C8C"/>
            </w:tcBorders>
          </w:tcPr>
          <w:p w14:paraId="27A0DAC0" w14:textId="77777777" w:rsidR="00E33F26" w:rsidRPr="0076270C" w:rsidRDefault="00E33F26" w:rsidP="0083214A">
            <w:pPr>
              <w:pStyle w:val="ppoTableacheivementvalue"/>
              <w:cnfStyle w:val="000000000000" w:firstRow="0" w:lastRow="0" w:firstColumn="0" w:lastColumn="0" w:oddVBand="0" w:evenVBand="0" w:oddHBand="0" w:evenHBand="0" w:firstRowFirstColumn="0" w:firstRowLastColumn="0" w:lastRowFirstColumn="0" w:lastRowLastColumn="0"/>
              <w:rPr>
                <w:noProof/>
              </w:rPr>
            </w:pPr>
            <w:bookmarkStart w:id="285" w:name="_Hlk100759064"/>
            <w:r>
              <w:rPr>
                <w:noProof/>
              </w:rPr>
              <w:t>28</w:t>
            </w:r>
          </w:p>
          <w:p w14:paraId="60F4CA52" w14:textId="77777777" w:rsidR="00E33F26" w:rsidRDefault="00E33F26" w:rsidP="00377734">
            <w:pPr>
              <w:jc w:val="left"/>
              <w:cnfStyle w:val="000000000000" w:firstRow="0" w:lastRow="0" w:firstColumn="0" w:lastColumn="0" w:oddVBand="0" w:evenVBand="0" w:oddHBand="0" w:evenHBand="0" w:firstRowFirstColumn="0" w:firstRowLastColumn="0" w:lastRowFirstColumn="0" w:lastRowLastColumn="0"/>
              <w:rPr>
                <w:noProof/>
              </w:rPr>
            </w:pPr>
            <w:r>
              <w:rPr>
                <w:noProof/>
              </w:rPr>
              <w:t>a</w:t>
            </w:r>
            <w:r w:rsidRPr="00054C36">
              <w:rPr>
                <w:noProof/>
              </w:rPr>
              <w:t>ssessment</w:t>
            </w:r>
            <w:r>
              <w:rPr>
                <w:noProof/>
              </w:rPr>
              <w:t>s</w:t>
            </w:r>
            <w:r w:rsidRPr="00054C36">
              <w:rPr>
                <w:noProof/>
              </w:rPr>
              <w:t xml:space="preserve"> of EUSF applications completed</w:t>
            </w:r>
            <w:bookmarkEnd w:id="285"/>
            <w:r>
              <w:rPr>
                <w:noProof/>
              </w:rPr>
              <w:t xml:space="preserve"> in 2021:</w:t>
            </w:r>
          </w:p>
          <w:p w14:paraId="2A028C13" w14:textId="77777777" w:rsidR="00E33F26" w:rsidRDefault="00E33F26" w:rsidP="00E33F26">
            <w:pPr>
              <w:pStyle w:val="ListParagraph"/>
              <w:numPr>
                <w:ilvl w:val="0"/>
                <w:numId w:val="116"/>
              </w:numPr>
              <w:spacing w:after="100"/>
              <w:ind w:left="179" w:hanging="141"/>
              <w:cnfStyle w:val="000000000000" w:firstRow="0" w:lastRow="0" w:firstColumn="0" w:lastColumn="0" w:oddVBand="0" w:evenVBand="0" w:oddHBand="0" w:evenHBand="0" w:firstRowFirstColumn="0" w:firstRowLastColumn="0" w:lastRowFirstColumn="0" w:lastRowLastColumn="0"/>
              <w:rPr>
                <w:noProof/>
              </w:rPr>
            </w:pPr>
            <w:r>
              <w:rPr>
                <w:noProof/>
              </w:rPr>
              <w:t>6 natural disaster applications;</w:t>
            </w:r>
          </w:p>
          <w:p w14:paraId="3EC4780A" w14:textId="77777777" w:rsidR="00E33F26" w:rsidRPr="0076270C" w:rsidRDefault="00E33F26" w:rsidP="00E33F26">
            <w:pPr>
              <w:pStyle w:val="ListParagraph"/>
              <w:numPr>
                <w:ilvl w:val="0"/>
                <w:numId w:val="116"/>
              </w:numPr>
              <w:spacing w:after="100"/>
              <w:ind w:left="179" w:hanging="141"/>
              <w:cnfStyle w:val="000000000000" w:firstRow="0" w:lastRow="0" w:firstColumn="0" w:lastColumn="0" w:oddVBand="0" w:evenVBand="0" w:oddHBand="0" w:evenHBand="0" w:firstRowFirstColumn="0" w:firstRowLastColumn="0" w:lastRowFirstColumn="0" w:lastRowLastColumn="0"/>
              <w:rPr>
                <w:noProof/>
              </w:rPr>
            </w:pPr>
            <w:r>
              <w:rPr>
                <w:noProof/>
              </w:rPr>
              <w:t>22 health emergency applications.</w:t>
            </w:r>
          </w:p>
        </w:tc>
      </w:tr>
    </w:tbl>
    <w:p w14:paraId="6BF5912E" w14:textId="252A4F70" w:rsidR="00E33F26" w:rsidRPr="00040D99" w:rsidRDefault="00E33F26" w:rsidP="00E33F26">
      <w:pPr>
        <w:pStyle w:val="FootnoteText"/>
        <w:rPr>
          <w:rFonts w:eastAsiaTheme="minorEastAsia"/>
          <w:noProof/>
        </w:rPr>
      </w:pPr>
      <w:r>
        <w:rPr>
          <w:rFonts w:eastAsiaTheme="minorEastAsia"/>
          <w:noProof/>
        </w:rPr>
        <w:t>(*)</w:t>
      </w:r>
      <w:r>
        <w:rPr>
          <w:rFonts w:eastAsiaTheme="minorEastAsia"/>
          <w:noProof/>
        </w:rPr>
        <w:tab/>
      </w:r>
      <w:r w:rsidRPr="00CA5FD3">
        <w:rPr>
          <w:rFonts w:eastAsiaTheme="minorEastAsia"/>
          <w:noProof/>
        </w:rPr>
        <w:t xml:space="preserve">Key achievements in the table state which period they relate to. </w:t>
      </w:r>
    </w:p>
    <w:p w14:paraId="46CF87DF" w14:textId="77777777" w:rsidR="00E33F26" w:rsidRDefault="00E33F26" w:rsidP="00E33F26">
      <w:pPr>
        <w:pStyle w:val="ppoHeading5"/>
        <w:rPr>
          <w:noProof/>
        </w:rPr>
      </w:pPr>
      <w:r w:rsidRPr="00040D99">
        <w:rPr>
          <w:noProof/>
        </w:rPr>
        <w:t xml:space="preserve">Budget </w:t>
      </w:r>
      <w:r>
        <w:rPr>
          <w:noProof/>
        </w:rPr>
        <w:t xml:space="preserve">for </w:t>
      </w:r>
      <w:r w:rsidRPr="00040D99">
        <w:rPr>
          <w:noProof/>
        </w:rPr>
        <w:t>2021-2027</w:t>
      </w:r>
    </w:p>
    <w:p w14:paraId="229C6116" w14:textId="77777777" w:rsidR="00E33F26" w:rsidRPr="009359FF" w:rsidRDefault="00E33F26" w:rsidP="00E33F26">
      <w:pPr>
        <w:pStyle w:val="ppoTableTabletitle"/>
        <w:ind w:left="284"/>
        <w:rPr>
          <w:noProof/>
        </w:rPr>
      </w:pPr>
      <w:r>
        <w:rPr>
          <w:noProof/>
        </w:rPr>
        <w:t>(EUR million)</w:t>
      </w:r>
    </w:p>
    <w:tbl>
      <w:tblPr>
        <w:tblStyle w:val="PlainTable2"/>
        <w:tblW w:w="0" w:type="auto"/>
        <w:tblInd w:w="288" w:type="dxa"/>
        <w:tblLook w:val="04A0" w:firstRow="1" w:lastRow="0" w:firstColumn="1" w:lastColumn="0" w:noHBand="0" w:noVBand="1"/>
      </w:tblPr>
      <w:tblGrid>
        <w:gridCol w:w="4788"/>
        <w:gridCol w:w="2610"/>
      </w:tblGrid>
      <w:tr w:rsidR="00E33F26" w:rsidRPr="00214876" w14:paraId="12D3B48C" w14:textId="77777777" w:rsidTr="0083214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6445521F" w14:textId="77777777" w:rsidR="00E33F26" w:rsidRPr="00214876" w:rsidRDefault="00E33F26" w:rsidP="0083214A">
            <w:pPr>
              <w:spacing w:before="120" w:after="120"/>
              <w:rPr>
                <w:noProof/>
              </w:rPr>
            </w:pPr>
            <w:r w:rsidRPr="00214876">
              <w:rPr>
                <w:rFonts w:cs="Calibri"/>
                <w:noProof/>
                <w:color w:val="000000"/>
              </w:rPr>
              <w:t>Financial programming</w:t>
            </w:r>
          </w:p>
        </w:tc>
        <w:tc>
          <w:tcPr>
            <w:tcW w:w="2610" w:type="dxa"/>
            <w:shd w:val="clear" w:color="auto" w:fill="auto"/>
            <w:vAlign w:val="bottom"/>
          </w:tcPr>
          <w:p w14:paraId="20DB297F" w14:textId="33263420" w:rsidR="00E33F26" w:rsidRPr="00214876" w:rsidRDefault="006976DB" w:rsidP="0083214A">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noProof/>
              </w:rPr>
            </w:pPr>
            <w:r>
              <w:rPr>
                <w:rFonts w:cs="Calibri"/>
                <w:b w:val="0"/>
                <w:bCs w:val="0"/>
                <w:noProof/>
                <w:color w:val="000000"/>
              </w:rPr>
              <w:t>3 876.0</w:t>
            </w:r>
          </w:p>
        </w:tc>
      </w:tr>
      <w:tr w:rsidR="00E33F26" w:rsidRPr="00214876" w14:paraId="347C5C9A"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5EC2164E" w14:textId="77777777" w:rsidR="00E33F26" w:rsidRPr="00214876" w:rsidRDefault="00E33F26" w:rsidP="0083214A">
            <w:pPr>
              <w:spacing w:before="120" w:after="120"/>
              <w:rPr>
                <w:b w:val="0"/>
                <w:noProof/>
              </w:rPr>
            </w:pPr>
            <w:r w:rsidRPr="00214876">
              <w:rPr>
                <w:rFonts w:cs="Calibri"/>
                <w:noProof/>
                <w:color w:val="000000"/>
              </w:rPr>
              <w:t>NextGenerationEU</w:t>
            </w:r>
          </w:p>
        </w:tc>
        <w:tc>
          <w:tcPr>
            <w:tcW w:w="2610" w:type="dxa"/>
            <w:vAlign w:val="bottom"/>
          </w:tcPr>
          <w:p w14:paraId="56DE980F" w14:textId="77777777" w:rsidR="00E33F26" w:rsidRPr="00214876" w:rsidRDefault="00E33F26"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Pr>
                <w:rFonts w:cs="Calibri"/>
                <w:noProof/>
                <w:color w:val="000000"/>
              </w:rPr>
              <w:t>0</w:t>
            </w:r>
          </w:p>
        </w:tc>
      </w:tr>
      <w:tr w:rsidR="00E33F26" w:rsidRPr="00214876" w14:paraId="661DF0A9"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21F96207" w14:textId="77777777" w:rsidR="00E33F26" w:rsidRPr="00214876" w:rsidRDefault="00E33F26" w:rsidP="0083214A">
            <w:pPr>
              <w:spacing w:before="120" w:after="120"/>
              <w:rPr>
                <w:b w:val="0"/>
                <w:noProof/>
              </w:rPr>
            </w:pPr>
            <w:r w:rsidRPr="00807AC3">
              <w:rPr>
                <w:noProof/>
              </w:rPr>
              <w:t>Decommitments made available again</w:t>
            </w:r>
            <w:r>
              <w:rPr>
                <w:rFonts w:ascii="Calibri" w:hAnsi="Calibri" w:cs="Calibri"/>
                <w:noProof/>
                <w:color w:val="000000"/>
              </w:rPr>
              <w:t> </w:t>
            </w:r>
            <w:r>
              <w:rPr>
                <w:rFonts w:cs="Calibri"/>
                <w:noProof/>
                <w:color w:val="000000"/>
              </w:rPr>
              <w:t>(</w:t>
            </w:r>
            <w:r w:rsidRPr="00214876">
              <w:rPr>
                <w:rFonts w:cs="Calibri"/>
                <w:noProof/>
                <w:color w:val="000000"/>
              </w:rPr>
              <w:t>*</w:t>
            </w:r>
            <w:r>
              <w:rPr>
                <w:rFonts w:cs="Calibri"/>
                <w:noProof/>
                <w:color w:val="000000"/>
              </w:rPr>
              <w:t>)</w:t>
            </w:r>
          </w:p>
        </w:tc>
        <w:tc>
          <w:tcPr>
            <w:tcW w:w="2610" w:type="dxa"/>
            <w:vAlign w:val="bottom"/>
          </w:tcPr>
          <w:p w14:paraId="77327776" w14:textId="11DF0990" w:rsidR="00E33F26" w:rsidRPr="00214876" w:rsidRDefault="00E33F26" w:rsidP="0083214A">
            <w:pPr>
              <w:spacing w:before="120" w:after="120"/>
              <w:jc w:val="center"/>
              <w:cnfStyle w:val="000000000000" w:firstRow="0" w:lastRow="0" w:firstColumn="0" w:lastColumn="0" w:oddVBand="0" w:evenVBand="0" w:oddHBand="0" w:evenHBand="0" w:firstRowFirstColumn="0" w:firstRowLastColumn="0" w:lastRowFirstColumn="0" w:lastRowLastColumn="0"/>
              <w:rPr>
                <w:noProof/>
              </w:rPr>
            </w:pPr>
            <w:r>
              <w:rPr>
                <w:rFonts w:cs="Calibri"/>
                <w:noProof/>
                <w:color w:val="000000"/>
              </w:rPr>
              <w:t>N/A</w:t>
            </w:r>
          </w:p>
        </w:tc>
      </w:tr>
      <w:tr w:rsidR="00E33F26" w:rsidRPr="00214876" w14:paraId="08F8D9B1" w14:textId="77777777" w:rsidTr="00832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25A67AE8" w14:textId="77777777" w:rsidR="00E33F26" w:rsidRPr="00214876" w:rsidRDefault="00E33F26" w:rsidP="0083214A">
            <w:pPr>
              <w:spacing w:before="120" w:after="120"/>
              <w:rPr>
                <w:noProof/>
              </w:rPr>
            </w:pPr>
            <w:r w:rsidRPr="00214876">
              <w:rPr>
                <w:rFonts w:cs="Calibri"/>
                <w:noProof/>
                <w:color w:val="000000"/>
              </w:rPr>
              <w:t>Contributions from other countries and entities</w:t>
            </w:r>
          </w:p>
        </w:tc>
        <w:tc>
          <w:tcPr>
            <w:tcW w:w="2610" w:type="dxa"/>
            <w:vAlign w:val="bottom"/>
          </w:tcPr>
          <w:p w14:paraId="7EC5E541" w14:textId="77777777" w:rsidR="00E33F26" w:rsidRPr="00214876" w:rsidRDefault="00E33F26" w:rsidP="0083214A">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Pr>
                <w:rFonts w:cs="Calibri"/>
                <w:noProof/>
                <w:color w:val="000000"/>
              </w:rPr>
              <w:t>0</w:t>
            </w:r>
          </w:p>
        </w:tc>
      </w:tr>
      <w:tr w:rsidR="00E33F26" w:rsidRPr="00214876" w14:paraId="2C64708D" w14:textId="77777777" w:rsidTr="0083214A">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CFCFC" w:themeFill="background2" w:themeFillTint="33"/>
            <w:vAlign w:val="bottom"/>
          </w:tcPr>
          <w:p w14:paraId="4DC3FE24" w14:textId="77777777" w:rsidR="00E33F26" w:rsidRPr="00214876" w:rsidRDefault="00E33F26" w:rsidP="0083214A">
            <w:pPr>
              <w:spacing w:before="120" w:after="120"/>
              <w:rPr>
                <w:noProof/>
              </w:rPr>
            </w:pPr>
            <w:r>
              <w:rPr>
                <w:rFonts w:cs="Calibri"/>
                <w:noProof/>
                <w:color w:val="000000"/>
              </w:rPr>
              <w:t>T</w:t>
            </w:r>
            <w:r w:rsidRPr="00214876">
              <w:rPr>
                <w:rFonts w:cs="Calibri"/>
                <w:noProof/>
                <w:color w:val="000000"/>
              </w:rPr>
              <w:t xml:space="preserve">otal budget </w:t>
            </w:r>
            <w:r>
              <w:rPr>
                <w:rFonts w:cs="Calibri"/>
                <w:noProof/>
                <w:color w:val="000000"/>
              </w:rPr>
              <w:t xml:space="preserve">for </w:t>
            </w:r>
            <w:r w:rsidRPr="00214876">
              <w:rPr>
                <w:rFonts w:cs="Calibri"/>
                <w:noProof/>
                <w:color w:val="000000"/>
              </w:rPr>
              <w:t>2021-2027</w:t>
            </w:r>
          </w:p>
        </w:tc>
        <w:tc>
          <w:tcPr>
            <w:tcW w:w="2610" w:type="dxa"/>
            <w:shd w:val="clear" w:color="auto" w:fill="FCFCFC" w:themeFill="background2" w:themeFillTint="33"/>
            <w:vAlign w:val="bottom"/>
          </w:tcPr>
          <w:p w14:paraId="6C163E64" w14:textId="37CA5304" w:rsidR="00E33F26" w:rsidRPr="00214876" w:rsidRDefault="006976DB" w:rsidP="0083214A">
            <w:pPr>
              <w:spacing w:before="120" w:after="120"/>
              <w:jc w:val="center"/>
              <w:cnfStyle w:val="000000000000" w:firstRow="0" w:lastRow="0" w:firstColumn="0" w:lastColumn="0" w:oddVBand="0" w:evenVBand="0" w:oddHBand="0" w:evenHBand="0" w:firstRowFirstColumn="0" w:firstRowLastColumn="0" w:lastRowFirstColumn="0" w:lastRowLastColumn="0"/>
              <w:rPr>
                <w:b/>
                <w:noProof/>
              </w:rPr>
            </w:pPr>
            <w:r>
              <w:rPr>
                <w:rFonts w:cs="Calibri"/>
                <w:noProof/>
                <w:color w:val="000000"/>
              </w:rPr>
              <w:t>3 876</w:t>
            </w:r>
            <w:r>
              <w:rPr>
                <w:rFonts w:cs="Calibri"/>
                <w:b/>
                <w:bCs/>
                <w:noProof/>
                <w:color w:val="000000"/>
              </w:rPr>
              <w:t>.0</w:t>
            </w:r>
          </w:p>
        </w:tc>
      </w:tr>
    </w:tbl>
    <w:p w14:paraId="243E8C31" w14:textId="77777777" w:rsidR="00E33F26" w:rsidRPr="00DE6779" w:rsidRDefault="00E33F26" w:rsidP="00E33F26">
      <w:pPr>
        <w:tabs>
          <w:tab w:val="left" w:pos="6793"/>
        </w:tabs>
        <w:rPr>
          <w:noProof/>
          <w:sz w:val="18"/>
          <w:szCs w:val="18"/>
          <w:lang w:val="en-IE"/>
        </w:rPr>
      </w:pPr>
      <w:r w:rsidRPr="00DE6779">
        <w:rPr>
          <w:noProof/>
          <w:sz w:val="18"/>
          <w:szCs w:val="18"/>
          <w:lang w:val="en-IE"/>
        </w:rPr>
        <w:t>(*) Only Article</w:t>
      </w:r>
      <w:r w:rsidRPr="00DE6779">
        <w:rPr>
          <w:rFonts w:ascii="Calibri" w:hAnsi="Calibri" w:cs="Calibri"/>
          <w:noProof/>
          <w:sz w:val="18"/>
          <w:szCs w:val="18"/>
          <w:lang w:val="en-IE"/>
        </w:rPr>
        <w:t> </w:t>
      </w:r>
      <w:r w:rsidRPr="00DE6779">
        <w:rPr>
          <w:noProof/>
          <w:sz w:val="18"/>
          <w:szCs w:val="18"/>
          <w:lang w:val="en-IE"/>
        </w:rPr>
        <w:t>15(3) of the financial regulation</w:t>
      </w:r>
      <w:r>
        <w:rPr>
          <w:noProof/>
          <w:sz w:val="18"/>
          <w:szCs w:val="18"/>
          <w:lang w:val="en-IE"/>
        </w:rPr>
        <w:t>.</w:t>
      </w:r>
    </w:p>
    <w:p w14:paraId="0E950BC5" w14:textId="77777777" w:rsidR="00E33F26" w:rsidRDefault="00E33F26" w:rsidP="00E33F26">
      <w:pPr>
        <w:rPr>
          <w:noProof/>
        </w:rPr>
      </w:pPr>
    </w:p>
    <w:p w14:paraId="06F1417D" w14:textId="6057DEF1" w:rsidR="00E33F26" w:rsidRDefault="00E33F26" w:rsidP="00E33F26">
      <w:pPr>
        <w:rPr>
          <w:noProof/>
        </w:rPr>
      </w:pPr>
      <w:r w:rsidRPr="00F115BB">
        <w:rPr>
          <w:noProof/>
        </w:rPr>
        <w:t xml:space="preserve">The European Union Solidarity Fund (EUSF), created in 2002, is activated upon request of an eligible </w:t>
      </w:r>
      <w:r>
        <w:rPr>
          <w:noProof/>
        </w:rPr>
        <w:t>s</w:t>
      </w:r>
      <w:r w:rsidRPr="00F115BB">
        <w:rPr>
          <w:noProof/>
        </w:rPr>
        <w:t xml:space="preserve">tate when </w:t>
      </w:r>
      <w:r w:rsidR="0070748A">
        <w:rPr>
          <w:noProof/>
        </w:rPr>
        <w:t xml:space="preserve">a </w:t>
      </w:r>
      <w:r w:rsidRPr="00F115BB">
        <w:rPr>
          <w:noProof/>
        </w:rPr>
        <w:t xml:space="preserve">major </w:t>
      </w:r>
      <w:r>
        <w:rPr>
          <w:noProof/>
        </w:rPr>
        <w:t xml:space="preserve">national </w:t>
      </w:r>
      <w:r w:rsidRPr="00F115BB">
        <w:rPr>
          <w:noProof/>
        </w:rPr>
        <w:t>or regional natural disasters occur</w:t>
      </w:r>
      <w:r>
        <w:rPr>
          <w:noProof/>
        </w:rPr>
        <w:t xml:space="preserve"> (</w:t>
      </w:r>
      <w:r w:rsidRPr="00F115BB">
        <w:rPr>
          <w:noProof/>
        </w:rPr>
        <w:t>such as earthquakes, floods, droughts, forest fires, storms</w:t>
      </w:r>
      <w:r>
        <w:rPr>
          <w:noProof/>
        </w:rPr>
        <w:t xml:space="preserve">) or in the case of </w:t>
      </w:r>
      <w:r w:rsidR="0070748A">
        <w:rPr>
          <w:noProof/>
        </w:rPr>
        <w:t xml:space="preserve">a </w:t>
      </w:r>
      <w:r>
        <w:rPr>
          <w:noProof/>
        </w:rPr>
        <w:t>major public</w:t>
      </w:r>
      <w:r w:rsidRPr="00F115BB">
        <w:rPr>
          <w:noProof/>
        </w:rPr>
        <w:t xml:space="preserve"> </w:t>
      </w:r>
      <w:r>
        <w:rPr>
          <w:noProof/>
        </w:rPr>
        <w:t>health emergency.</w:t>
      </w:r>
    </w:p>
    <w:p w14:paraId="7069FF5F" w14:textId="77777777" w:rsidR="00E33F26" w:rsidRDefault="00E33F26" w:rsidP="00E33F26">
      <w:pPr>
        <w:rPr>
          <w:noProof/>
        </w:rPr>
      </w:pPr>
      <w:r>
        <w:rPr>
          <w:noProof/>
        </w:rPr>
        <w:t xml:space="preserve">The EUSF brings EU added value to Member States and accession countries, notably because of its readiness to intervene with additional financial resources. Its financial contribution to post-disaster efforts for assisting the affected population and for reconstruction is highly valued. </w:t>
      </w:r>
      <w:r w:rsidRPr="00DF7A11">
        <w:rPr>
          <w:noProof/>
        </w:rPr>
        <w:t xml:space="preserve">Despite its limited size, the </w:t>
      </w:r>
      <w:r>
        <w:rPr>
          <w:noProof/>
        </w:rPr>
        <w:t>f</w:t>
      </w:r>
      <w:r w:rsidRPr="00DF7A11">
        <w:rPr>
          <w:noProof/>
        </w:rPr>
        <w:t>und is widely recognised as a particularly tangible expression of EU solidarity and support; it is</w:t>
      </w:r>
      <w:r>
        <w:rPr>
          <w:noProof/>
        </w:rPr>
        <w:t xml:space="preserve"> </w:t>
      </w:r>
      <w:r w:rsidRPr="00DF7A11">
        <w:rPr>
          <w:noProof/>
        </w:rPr>
        <w:t>also very visible and raises a lot of interest among politicians and media.</w:t>
      </w:r>
    </w:p>
    <w:p w14:paraId="2D76CABC" w14:textId="77777777" w:rsidR="00E33F26" w:rsidRPr="00040D99" w:rsidRDefault="00E33F26" w:rsidP="00E33F26">
      <w:pPr>
        <w:pStyle w:val="ppoHeading6"/>
        <w:rPr>
          <w:noProof/>
        </w:rPr>
      </w:pPr>
      <w:r w:rsidRPr="00040D99">
        <w:rPr>
          <w:noProof/>
        </w:rPr>
        <w:t>Challenge</w:t>
      </w:r>
    </w:p>
    <w:p w14:paraId="414C6570" w14:textId="0796A7C7" w:rsidR="00E33F26" w:rsidRDefault="00E33F26" w:rsidP="00E33F26">
      <w:pPr>
        <w:rPr>
          <w:noProof/>
        </w:rPr>
      </w:pPr>
      <w:r>
        <w:rPr>
          <w:noProof/>
        </w:rPr>
        <w:t xml:space="preserve">Solidarity is one of the fundamental values of the EU and a guiding principle of the European integration process. The EUSF is based on this very principle, in that this mechanism turns solidarity into tangible aid for Member States or countries negotiating their accession to the EU, if they are affected by major or regional natural disaster or </w:t>
      </w:r>
      <w:r w:rsidR="0070748A">
        <w:rPr>
          <w:noProof/>
        </w:rPr>
        <w:t xml:space="preserve">a </w:t>
      </w:r>
      <w:r>
        <w:rPr>
          <w:noProof/>
        </w:rPr>
        <w:t>major public</w:t>
      </w:r>
      <w:r w:rsidRPr="00F115BB">
        <w:rPr>
          <w:noProof/>
        </w:rPr>
        <w:t xml:space="preserve"> </w:t>
      </w:r>
      <w:r>
        <w:rPr>
          <w:noProof/>
        </w:rPr>
        <w:t>health emergenc</w:t>
      </w:r>
      <w:r w:rsidR="0070748A">
        <w:rPr>
          <w:noProof/>
        </w:rPr>
        <w:t>y</w:t>
      </w:r>
      <w:r>
        <w:rPr>
          <w:noProof/>
        </w:rPr>
        <w:t>.</w:t>
      </w:r>
    </w:p>
    <w:p w14:paraId="2ADC5D0B" w14:textId="77777777" w:rsidR="00E33F26" w:rsidRPr="00040D99" w:rsidRDefault="00E33F26" w:rsidP="00E33F26">
      <w:pPr>
        <w:pStyle w:val="ppoHeading6"/>
        <w:rPr>
          <w:noProof/>
        </w:rPr>
      </w:pPr>
      <w:r w:rsidRPr="00040D99">
        <w:rPr>
          <w:noProof/>
        </w:rPr>
        <w:t>Mission</w:t>
      </w:r>
    </w:p>
    <w:p w14:paraId="62EA434A" w14:textId="77777777" w:rsidR="00E33F26" w:rsidRDefault="00E33F26" w:rsidP="00E33F26">
      <w:pPr>
        <w:rPr>
          <w:noProof/>
        </w:rPr>
      </w:pPr>
      <w:r>
        <w:rPr>
          <w:noProof/>
        </w:rPr>
        <w:t>The EUSF is designed to contribute to post-disaster relief in Member States and countries negotiating their accession to the EU (</w:t>
      </w:r>
      <w:r w:rsidRPr="0039431C">
        <w:rPr>
          <w:noProof/>
        </w:rPr>
        <w:t xml:space="preserve">henceforth </w:t>
      </w:r>
      <w:r w:rsidRPr="00DE6779">
        <w:rPr>
          <w:noProof/>
        </w:rPr>
        <w:t>‘</w:t>
      </w:r>
      <w:r w:rsidRPr="0039431C">
        <w:rPr>
          <w:noProof/>
        </w:rPr>
        <w:t>eligible beneficiaries’</w:t>
      </w:r>
      <w:r>
        <w:rPr>
          <w:noProof/>
        </w:rPr>
        <w:t>) confronted with devastating natural disasters or major public health emergencies.</w:t>
      </w:r>
    </w:p>
    <w:p w14:paraId="502454FC" w14:textId="77777777" w:rsidR="00E33F26" w:rsidRPr="00040D99" w:rsidRDefault="00E33F26" w:rsidP="00E33F26">
      <w:pPr>
        <w:pStyle w:val="ppoHeading6"/>
        <w:rPr>
          <w:noProof/>
        </w:rPr>
      </w:pPr>
      <w:r w:rsidRPr="00040D99">
        <w:rPr>
          <w:noProof/>
        </w:rPr>
        <w:t>Objectives</w:t>
      </w:r>
    </w:p>
    <w:p w14:paraId="1CDD1EFE" w14:textId="77777777" w:rsidR="00E33F26" w:rsidRDefault="00E33F26" w:rsidP="00E33F26">
      <w:pPr>
        <w:rPr>
          <w:noProof/>
        </w:rPr>
      </w:pPr>
      <w:r>
        <w:rPr>
          <w:noProof/>
        </w:rPr>
        <w:t xml:space="preserve">The EUSF’s objective is to grant financial assistance to eligible beneficiaries in the event of a major </w:t>
      </w:r>
      <w:r w:rsidRPr="003001D8">
        <w:rPr>
          <w:noProof/>
        </w:rPr>
        <w:t xml:space="preserve">or regional </w:t>
      </w:r>
      <w:r>
        <w:rPr>
          <w:noProof/>
        </w:rPr>
        <w:t>natural disaster or a major public health emergency with serious repercussions on living conditions, the natural environment or the economy. The fund’s resources can be used for the financing of emergency and recovery operations undertaken by public authorities in support of the affected population.</w:t>
      </w:r>
    </w:p>
    <w:p w14:paraId="69FAA8C6" w14:textId="77777777" w:rsidR="00E33F26" w:rsidRDefault="00E33F26" w:rsidP="00E33F26">
      <w:pPr>
        <w:rPr>
          <w:noProof/>
        </w:rPr>
      </w:pPr>
      <w:r>
        <w:rPr>
          <w:noProof/>
        </w:rPr>
        <w:t>The support from the fund is used to cover part of the public expenditure incurred in response to the disaster. The fund is designed in such a way that the amount of support is related to the size of the disaster. It also takes into account the country’s capacity to cope on its own with the financial burden triggered by the disaster.</w:t>
      </w:r>
    </w:p>
    <w:p w14:paraId="50299E1A" w14:textId="77777777" w:rsidR="00E33F26" w:rsidRPr="00040D99" w:rsidRDefault="00E33F26" w:rsidP="00E33F26">
      <w:pPr>
        <w:pStyle w:val="ppoHeading6"/>
        <w:rPr>
          <w:noProof/>
        </w:rPr>
      </w:pPr>
      <w:r w:rsidRPr="00040D99">
        <w:rPr>
          <w:noProof/>
        </w:rPr>
        <w:t>Actions</w:t>
      </w:r>
    </w:p>
    <w:p w14:paraId="67A3340B" w14:textId="7E290D80" w:rsidR="00E33F26" w:rsidRDefault="00E33F26" w:rsidP="00E33F26">
      <w:pPr>
        <w:rPr>
          <w:noProof/>
        </w:rPr>
      </w:pPr>
      <w:r>
        <w:rPr>
          <w:noProof/>
        </w:rPr>
        <w:t xml:space="preserve">The EUSF can (re-)finance public emergency and recovery operations from the very onset of the disaster or health emergency. In case of a natural disaster, it can provide </w:t>
      </w:r>
      <w:r w:rsidRPr="00FD3E1A">
        <w:rPr>
          <w:noProof/>
        </w:rPr>
        <w:t>financ</w:t>
      </w:r>
      <w:r w:rsidRPr="00DE6779">
        <w:rPr>
          <w:noProof/>
        </w:rPr>
        <w:t xml:space="preserve">ing </w:t>
      </w:r>
      <w:r w:rsidR="0070748A">
        <w:rPr>
          <w:noProof/>
        </w:rPr>
        <w:t>for</w:t>
      </w:r>
      <w:r w:rsidR="0070748A" w:rsidRPr="00FD3E1A">
        <w:rPr>
          <w:noProof/>
        </w:rPr>
        <w:t xml:space="preserve"> </w:t>
      </w:r>
      <w:r w:rsidRPr="00FD3E1A">
        <w:rPr>
          <w:noProof/>
        </w:rPr>
        <w:t>restor</w:t>
      </w:r>
      <w:r w:rsidR="0070748A">
        <w:rPr>
          <w:noProof/>
        </w:rPr>
        <w:t>ing</w:t>
      </w:r>
      <w:r w:rsidRPr="00FD3E1A">
        <w:rPr>
          <w:noProof/>
        </w:rPr>
        <w:t xml:space="preserve"> </w:t>
      </w:r>
      <w:r w:rsidR="0070748A" w:rsidRPr="00E84E83">
        <w:rPr>
          <w:noProof/>
        </w:rPr>
        <w:t>the working order of</w:t>
      </w:r>
      <w:r w:rsidR="0070748A" w:rsidRPr="00E84E83" w:rsidDel="00E84E83">
        <w:rPr>
          <w:noProof/>
        </w:rPr>
        <w:t xml:space="preserve"> </w:t>
      </w:r>
      <w:r w:rsidR="0070748A" w:rsidRPr="00FD3E1A">
        <w:rPr>
          <w:noProof/>
        </w:rPr>
        <w:t xml:space="preserve">infrastructure </w:t>
      </w:r>
      <w:r w:rsidR="0070748A" w:rsidRPr="00E84E83">
        <w:rPr>
          <w:noProof/>
        </w:rPr>
        <w:t>and plant in the fields of energy, water and waste water, telecommunications, transport, health and educatio</w:t>
      </w:r>
      <w:r w:rsidR="0070748A">
        <w:rPr>
          <w:noProof/>
        </w:rPr>
        <w:t xml:space="preserve">n, </w:t>
      </w:r>
      <w:r>
        <w:rPr>
          <w:noProof/>
        </w:rPr>
        <w:t xml:space="preserve">provide temporary accommodation, fund rescue services to help the population affected and secure preventive infrastructure and cleaning-up operations. In case of a health emergency, it can </w:t>
      </w:r>
      <w:r w:rsidRPr="003001D8">
        <w:rPr>
          <w:noProof/>
        </w:rPr>
        <w:t>finance</w:t>
      </w:r>
      <w:r>
        <w:rPr>
          <w:noProof/>
        </w:rPr>
        <w:t xml:space="preserve"> rapid assistance, including medical aid to the population, and </w:t>
      </w:r>
      <w:r w:rsidRPr="003001D8">
        <w:rPr>
          <w:noProof/>
        </w:rPr>
        <w:t>protect</w:t>
      </w:r>
      <w:r>
        <w:rPr>
          <w:noProof/>
        </w:rPr>
        <w:t xml:space="preserve"> </w:t>
      </w:r>
      <w:r w:rsidRPr="003001D8">
        <w:rPr>
          <w:noProof/>
        </w:rPr>
        <w:t>the population from the risk of being affected, including</w:t>
      </w:r>
      <w:r>
        <w:rPr>
          <w:noProof/>
        </w:rPr>
        <w:t xml:space="preserve"> by</w:t>
      </w:r>
      <w:r w:rsidRPr="003001D8">
        <w:rPr>
          <w:noProof/>
        </w:rPr>
        <w:t xml:space="preserve"> preventi</w:t>
      </w:r>
      <w:r>
        <w:rPr>
          <w:noProof/>
        </w:rPr>
        <w:t>ng</w:t>
      </w:r>
      <w:r w:rsidRPr="003001D8">
        <w:rPr>
          <w:noProof/>
        </w:rPr>
        <w:t xml:space="preserve">, monitoring </w:t>
      </w:r>
      <w:r>
        <w:rPr>
          <w:noProof/>
        </w:rPr>
        <w:t>and</w:t>
      </w:r>
      <w:r w:rsidRPr="003001D8">
        <w:rPr>
          <w:noProof/>
        </w:rPr>
        <w:t xml:space="preserve"> control</w:t>
      </w:r>
      <w:r>
        <w:rPr>
          <w:noProof/>
        </w:rPr>
        <w:t>ling</w:t>
      </w:r>
      <w:r w:rsidRPr="003001D8">
        <w:rPr>
          <w:noProof/>
        </w:rPr>
        <w:t xml:space="preserve"> the spread of diseases, combating severe risks to public health or mitigating their impact on public health.</w:t>
      </w:r>
    </w:p>
    <w:p w14:paraId="7B1079B6" w14:textId="77777777" w:rsidR="00E33F26" w:rsidRPr="00040D99" w:rsidRDefault="00E33F26" w:rsidP="00E33F26">
      <w:pPr>
        <w:pStyle w:val="ppoHeading6"/>
        <w:rPr>
          <w:noProof/>
        </w:rPr>
      </w:pPr>
      <w:r w:rsidRPr="00040D99">
        <w:rPr>
          <w:noProof/>
        </w:rPr>
        <w:t>Delivery mode</w:t>
      </w:r>
    </w:p>
    <w:p w14:paraId="421A34A7" w14:textId="77777777" w:rsidR="00E33F26" w:rsidRDefault="00E33F26" w:rsidP="00E33F26">
      <w:pPr>
        <w:rPr>
          <w:noProof/>
        </w:rPr>
      </w:pPr>
      <w:r>
        <w:rPr>
          <w:noProof/>
        </w:rPr>
        <w:t xml:space="preserve">Eligibility is determined by total direct non-insurable (public) loss and/or damage, which must exceed a threshold specific to each eligible beneficiary. It is set at national level </w:t>
      </w:r>
      <w:r w:rsidRPr="0039431C">
        <w:rPr>
          <w:noProof/>
        </w:rPr>
        <w:t>(major disasters</w:t>
      </w:r>
      <w:r>
        <w:rPr>
          <w:noProof/>
        </w:rPr>
        <w:t>) or at regional level (regional disasters). The number and size of eligible disasters determine the amount of aid in a given year.</w:t>
      </w:r>
    </w:p>
    <w:p w14:paraId="0262B620" w14:textId="77777777" w:rsidR="00E33F26" w:rsidRDefault="00E33F26" w:rsidP="00E33F26">
      <w:pPr>
        <w:rPr>
          <w:noProof/>
        </w:rPr>
      </w:pPr>
      <w:r>
        <w:rPr>
          <w:noProof/>
        </w:rPr>
        <w:t>The total annual budgetary allocation to the fund laid down in the multiannual financial framework is a ceiling rather than a spending target. Disbursements from the fund are therefore not programmable, as they entirely depend on the unpredictable occurrence, nature and magnitude of these disasters.</w:t>
      </w:r>
    </w:p>
    <w:p w14:paraId="1FF199BB" w14:textId="77777777" w:rsidR="00E33F26" w:rsidRDefault="00E33F26" w:rsidP="00E33F26">
      <w:pPr>
        <w:rPr>
          <w:noProof/>
        </w:rPr>
      </w:pPr>
      <w:r>
        <w:rPr>
          <w:noProof/>
        </w:rPr>
        <w:t>The European Commission may not activate the EUSF upon its own initiative. Financial assistance from the EUSF is mobilised from appropriations raised by the European Parliament and the European Council over and above the normal EU budget appropriations. This ensures that in each case the aid comes as an expression of solidarity with the full backing of Member States and the Parliament, not just as an administrative act by the Commission.</w:t>
      </w:r>
    </w:p>
    <w:p w14:paraId="12A365F1" w14:textId="77777777" w:rsidR="00E33F26" w:rsidRDefault="00E33F26" w:rsidP="00E33F26">
      <w:pPr>
        <w:rPr>
          <w:noProof/>
        </w:rPr>
      </w:pPr>
      <w:r>
        <w:rPr>
          <w:noProof/>
        </w:rPr>
        <w:t>Once the appropriations become available in the EU budget, the Commission adopts a decision awarding the aid to the affected state, which receives it immediately and in a single instalment. After the aid is paid out, the affected state is responsible for the implementation including the selection of operations and their audit and control. Emergency measures may be financed retroactively from day one of the disaster.</w:t>
      </w:r>
    </w:p>
    <w:p w14:paraId="218A9237" w14:textId="77777777" w:rsidR="00E33F26" w:rsidRDefault="00E33F26" w:rsidP="00E33F26">
      <w:pPr>
        <w:rPr>
          <w:noProof/>
        </w:rPr>
      </w:pPr>
      <w:r>
        <w:rPr>
          <w:noProof/>
        </w:rPr>
        <w:t>The Directorate-General for Regional and Urban Policy is the lead DG for EUSF implementation. EUSF assistance is implemented through shared management (indirect management for countries negotiating their accession to the EU). However, in order to minimise the administrative burden on countries struggling with a serious disaster and to maximise the budgetary effect, there are no programming or national co-financing requirements.</w:t>
      </w:r>
    </w:p>
    <w:p w14:paraId="5C17FC47" w14:textId="77777777" w:rsidR="00E33F26" w:rsidRPr="00040D99" w:rsidRDefault="00E33F26" w:rsidP="00E33F26">
      <w:pPr>
        <w:pStyle w:val="ppoHeading6"/>
        <w:rPr>
          <w:noProof/>
        </w:rPr>
      </w:pPr>
      <w:r>
        <w:rPr>
          <w:noProof/>
        </w:rPr>
        <w:t>LINK TO THE 2014-2020 Multiannual financial framework</w:t>
      </w:r>
    </w:p>
    <w:p w14:paraId="1F3627C1" w14:textId="77777777" w:rsidR="00E33F26" w:rsidRDefault="00E33F26" w:rsidP="00E33F26">
      <w:pPr>
        <w:rPr>
          <w:noProof/>
        </w:rPr>
      </w:pPr>
      <w:r>
        <w:rPr>
          <w:noProof/>
        </w:rPr>
        <w:t xml:space="preserve">The EUSF is a special instrument outside the normal EU budget. Its mobilisation requires the approval of the European Parliament and the Council. In the 2021-2027 multiannual financial framework, the EUSF will be financed through the Solidarity and Emergency Aid Reserve. </w:t>
      </w:r>
      <w:r w:rsidRPr="0039431C">
        <w:rPr>
          <w:noProof/>
        </w:rPr>
        <w:t xml:space="preserve">The maximum annual amount of </w:t>
      </w:r>
      <w:r>
        <w:rPr>
          <w:noProof/>
        </w:rPr>
        <w:t xml:space="preserve">the reserve </w:t>
      </w:r>
      <w:r w:rsidRPr="0039431C">
        <w:rPr>
          <w:noProof/>
        </w:rPr>
        <w:t>is EUR</w:t>
      </w:r>
      <w:r w:rsidRPr="0039431C">
        <w:rPr>
          <w:rFonts w:ascii="Calibri" w:hAnsi="Calibri" w:cs="Calibri"/>
          <w:noProof/>
        </w:rPr>
        <w:t> </w:t>
      </w:r>
      <w:r w:rsidRPr="0039431C">
        <w:rPr>
          <w:noProof/>
        </w:rPr>
        <w:t>1.2 billion</w:t>
      </w:r>
      <w:r>
        <w:rPr>
          <w:noProof/>
        </w:rPr>
        <w:t xml:space="preserve"> (in 2018 prices). Until 1</w:t>
      </w:r>
      <w:r>
        <w:rPr>
          <w:rFonts w:ascii="Calibri" w:hAnsi="Calibri" w:cs="Calibri"/>
          <w:noProof/>
        </w:rPr>
        <w:t> </w:t>
      </w:r>
      <w:r>
        <w:rPr>
          <w:noProof/>
        </w:rPr>
        <w:t>September of each year, 75% of the Solidarity and Emergency Aid Reserve annual allocation is released in equal parts to the EUSF and the Emergency Aid Reserve. After 1</w:t>
      </w:r>
      <w:r>
        <w:rPr>
          <w:rFonts w:ascii="Calibri" w:hAnsi="Calibri" w:cs="Calibri"/>
          <w:noProof/>
        </w:rPr>
        <w:t> </w:t>
      </w:r>
      <w:r>
        <w:rPr>
          <w:noProof/>
        </w:rPr>
        <w:t>September, the unspent amounts from the first period and, after 1</w:t>
      </w:r>
      <w:r>
        <w:rPr>
          <w:rFonts w:ascii="Calibri" w:hAnsi="Calibri" w:cs="Calibri"/>
          <w:noProof/>
        </w:rPr>
        <w:t> </w:t>
      </w:r>
      <w:r>
        <w:rPr>
          <w:noProof/>
        </w:rPr>
        <w:t>October, the retained 25% can be used by any of the Solidarity and Emergency Aid Reserve components.</w:t>
      </w:r>
    </w:p>
    <w:p w14:paraId="7B9FE988" w14:textId="77777777" w:rsidR="00E33F26" w:rsidRPr="00040D99" w:rsidRDefault="00E33F26" w:rsidP="00E33F26">
      <w:pPr>
        <w:pStyle w:val="ppoHeading6"/>
        <w:rPr>
          <w:noProof/>
        </w:rPr>
      </w:pPr>
      <w:r w:rsidRPr="00040D99">
        <w:rPr>
          <w:noProof/>
        </w:rPr>
        <w:t>Impact assessment</w:t>
      </w:r>
    </w:p>
    <w:p w14:paraId="40CEFF1E" w14:textId="77777777" w:rsidR="00E33F26" w:rsidRDefault="00E33F26" w:rsidP="00E33F26">
      <w:pPr>
        <w:rPr>
          <w:noProof/>
        </w:rPr>
      </w:pPr>
      <w:r>
        <w:rPr>
          <w:noProof/>
        </w:rPr>
        <w:t>No impact assessment was carried out for the EUSF. An evaluation was completed in 2019.</w:t>
      </w:r>
    </w:p>
    <w:p w14:paraId="601DED59" w14:textId="77777777" w:rsidR="00E33F26" w:rsidRDefault="00E33F26" w:rsidP="00E33F26">
      <w:pPr>
        <w:rPr>
          <w:noProof/>
        </w:rPr>
      </w:pPr>
      <w:r>
        <w:rPr>
          <w:noProof/>
        </w:rPr>
        <w:t xml:space="preserve">For further information on the evaluation, please consult: </w:t>
      </w:r>
      <w:hyperlink r:id="rId636" w:history="1">
        <w:r w:rsidRPr="0039732A">
          <w:rPr>
            <w:rStyle w:val="Hyperlink"/>
            <w:noProof/>
          </w:rPr>
          <w:t>https://europa.eu/!yj89yD</w:t>
        </w:r>
      </w:hyperlink>
      <w:r w:rsidRPr="00DE6779">
        <w:rPr>
          <w:rStyle w:val="Hyperlink"/>
          <w:noProof/>
          <w:color w:val="auto"/>
        </w:rPr>
        <w:t>.</w:t>
      </w:r>
    </w:p>
    <w:p w14:paraId="77276C29" w14:textId="77777777" w:rsidR="00E33F26" w:rsidRPr="00040D99" w:rsidRDefault="00E33F26" w:rsidP="00E33F26">
      <w:pPr>
        <w:pStyle w:val="ppoHeading6"/>
        <w:rPr>
          <w:noProof/>
        </w:rPr>
      </w:pPr>
      <w:r>
        <w:rPr>
          <w:noProof/>
        </w:rPr>
        <w:t>WEBSITE FOR more information</w:t>
      </w:r>
    </w:p>
    <w:p w14:paraId="3E6D5243" w14:textId="77777777" w:rsidR="00E33F26" w:rsidRPr="00040D99" w:rsidRDefault="00E01E9B" w:rsidP="00E33F26">
      <w:pPr>
        <w:rPr>
          <w:noProof/>
        </w:rPr>
      </w:pPr>
      <w:hyperlink r:id="rId637" w:history="1">
        <w:r w:rsidR="00E33F26" w:rsidRPr="0039732A">
          <w:rPr>
            <w:rStyle w:val="Hyperlink"/>
            <w:noProof/>
          </w:rPr>
          <w:t>https://europa.eu/!mu93qX</w:t>
        </w:r>
      </w:hyperlink>
    </w:p>
    <w:p w14:paraId="02F9A770" w14:textId="77777777" w:rsidR="00E33F26" w:rsidRPr="00040D99" w:rsidRDefault="00E33F26" w:rsidP="00E33F26">
      <w:pPr>
        <w:pStyle w:val="ppoHeading5"/>
        <w:rPr>
          <w:noProof/>
        </w:rPr>
      </w:pPr>
      <w:r w:rsidRPr="00040D99">
        <w:rPr>
          <w:rFonts w:eastAsiaTheme="minorEastAsia"/>
          <w:noProof/>
        </w:rPr>
        <w:t xml:space="preserve">Legal </w:t>
      </w:r>
      <w:r w:rsidRPr="39A0AA42">
        <w:rPr>
          <w:rFonts w:eastAsiaTheme="minorEastAsia"/>
          <w:noProof/>
        </w:rPr>
        <w:t>b</w:t>
      </w:r>
      <w:r w:rsidRPr="00040D99">
        <w:rPr>
          <w:rFonts w:eastAsiaTheme="minorEastAsia"/>
          <w:noProof/>
        </w:rPr>
        <w:t>as</w:t>
      </w:r>
      <w:r>
        <w:rPr>
          <w:rFonts w:eastAsiaTheme="minorEastAsia"/>
          <w:noProof/>
        </w:rPr>
        <w:t>is</w:t>
      </w:r>
    </w:p>
    <w:p w14:paraId="3E993806" w14:textId="77777777" w:rsidR="00E33F26" w:rsidRPr="00040D99" w:rsidRDefault="00E33F26" w:rsidP="00E33F26">
      <w:pPr>
        <w:rPr>
          <w:noProof/>
        </w:rPr>
      </w:pPr>
      <w:r>
        <w:rPr>
          <w:noProof/>
        </w:rPr>
        <w:t xml:space="preserve">Council </w:t>
      </w:r>
      <w:r w:rsidRPr="00040D99">
        <w:rPr>
          <w:noProof/>
        </w:rPr>
        <w:t>R</w:t>
      </w:r>
      <w:r>
        <w:rPr>
          <w:noProof/>
        </w:rPr>
        <w:t>egulation (EC</w:t>
      </w:r>
      <w:r w:rsidRPr="00040D99">
        <w:rPr>
          <w:noProof/>
        </w:rPr>
        <w:t>) No</w:t>
      </w:r>
      <w:r>
        <w:rPr>
          <w:rFonts w:ascii="Calibri" w:hAnsi="Calibri" w:cs="Calibri"/>
          <w:noProof/>
        </w:rPr>
        <w:t> </w:t>
      </w:r>
      <w:r>
        <w:rPr>
          <w:noProof/>
        </w:rPr>
        <w:t>2012/2002.</w:t>
      </w:r>
    </w:p>
    <w:p w14:paraId="17070AD6" w14:textId="77777777" w:rsidR="00E33F26" w:rsidRPr="00040D99" w:rsidRDefault="00E33F26" w:rsidP="00E33F26">
      <w:pPr>
        <w:pStyle w:val="ppoHeading4Turquoise"/>
        <w:rPr>
          <w:caps/>
          <w:noProof/>
        </w:rPr>
      </w:pPr>
      <w:r w:rsidRPr="00040D99">
        <w:rPr>
          <w:noProof/>
        </w:rPr>
        <w:t>Implementation and performance</w:t>
      </w:r>
    </w:p>
    <w:p w14:paraId="04377742" w14:textId="77777777" w:rsidR="00E33F26" w:rsidRPr="00040D99" w:rsidRDefault="00E33F26" w:rsidP="00E33F26">
      <w:pPr>
        <w:pStyle w:val="ppoHeading5"/>
        <w:rPr>
          <w:noProof/>
        </w:rPr>
      </w:pPr>
      <w:r w:rsidRPr="00040D99">
        <w:rPr>
          <w:noProof/>
        </w:rPr>
        <w:t>Budget</w:t>
      </w:r>
    </w:p>
    <w:p w14:paraId="5EE6C557" w14:textId="77777777" w:rsidR="00E33F26" w:rsidRPr="00040D99" w:rsidRDefault="00E33F26" w:rsidP="00E33F26">
      <w:pPr>
        <w:pStyle w:val="ppoTableTabletitle"/>
        <w:rPr>
          <w:noProof/>
        </w:rPr>
      </w:pPr>
      <w:r w:rsidRPr="00807AC3">
        <w:rPr>
          <w:noProof/>
        </w:rPr>
        <w:t>Budget programming</w:t>
      </w:r>
      <w:r>
        <w:rPr>
          <w:noProof/>
        </w:rPr>
        <w:t xml:space="preserve"> (million 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E33F26" w:rsidRPr="00040D99" w14:paraId="77D9E069" w14:textId="77777777" w:rsidTr="0083214A">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562D7472" w14:textId="77777777" w:rsidR="00E33F26" w:rsidRPr="00807AC3" w:rsidRDefault="00E33F26" w:rsidP="0083214A">
            <w:pPr>
              <w:rPr>
                <w:noProof/>
              </w:rPr>
            </w:pPr>
          </w:p>
        </w:tc>
        <w:tc>
          <w:tcPr>
            <w:tcW w:w="943" w:type="dxa"/>
            <w:noWrap/>
            <w:hideMark/>
          </w:tcPr>
          <w:p w14:paraId="28D90B16" w14:textId="77777777" w:rsidR="00E33F26" w:rsidRPr="00807AC3" w:rsidRDefault="00E33F26" w:rsidP="0083214A">
            <w:pPr>
              <w:rPr>
                <w:noProof/>
              </w:rPr>
            </w:pPr>
            <w:r w:rsidRPr="00807AC3">
              <w:rPr>
                <w:noProof/>
              </w:rPr>
              <w:t>2021</w:t>
            </w:r>
          </w:p>
        </w:tc>
        <w:tc>
          <w:tcPr>
            <w:tcW w:w="944" w:type="dxa"/>
            <w:noWrap/>
            <w:hideMark/>
          </w:tcPr>
          <w:p w14:paraId="298B2462" w14:textId="77777777" w:rsidR="00E33F26" w:rsidRPr="00807AC3" w:rsidRDefault="00E33F26" w:rsidP="0083214A">
            <w:pPr>
              <w:rPr>
                <w:noProof/>
              </w:rPr>
            </w:pPr>
            <w:r w:rsidRPr="00807AC3">
              <w:rPr>
                <w:noProof/>
              </w:rPr>
              <w:t>2022</w:t>
            </w:r>
          </w:p>
        </w:tc>
        <w:tc>
          <w:tcPr>
            <w:tcW w:w="943" w:type="dxa"/>
            <w:noWrap/>
            <w:hideMark/>
          </w:tcPr>
          <w:p w14:paraId="59FF91D3" w14:textId="77777777" w:rsidR="00E33F26" w:rsidRPr="00807AC3" w:rsidRDefault="00E33F26" w:rsidP="0083214A">
            <w:pPr>
              <w:rPr>
                <w:noProof/>
              </w:rPr>
            </w:pPr>
            <w:r w:rsidRPr="00807AC3">
              <w:rPr>
                <w:noProof/>
              </w:rPr>
              <w:t>2023</w:t>
            </w:r>
          </w:p>
        </w:tc>
        <w:tc>
          <w:tcPr>
            <w:tcW w:w="944" w:type="dxa"/>
            <w:noWrap/>
            <w:hideMark/>
          </w:tcPr>
          <w:p w14:paraId="3C8A3DC5" w14:textId="77777777" w:rsidR="00E33F26" w:rsidRPr="00807AC3" w:rsidRDefault="00E33F26" w:rsidP="0083214A">
            <w:pPr>
              <w:rPr>
                <w:noProof/>
              </w:rPr>
            </w:pPr>
            <w:r w:rsidRPr="00807AC3">
              <w:rPr>
                <w:noProof/>
              </w:rPr>
              <w:t>2024</w:t>
            </w:r>
          </w:p>
        </w:tc>
        <w:tc>
          <w:tcPr>
            <w:tcW w:w="944" w:type="dxa"/>
            <w:noWrap/>
            <w:hideMark/>
          </w:tcPr>
          <w:p w14:paraId="1E707A8C" w14:textId="77777777" w:rsidR="00E33F26" w:rsidRPr="00807AC3" w:rsidRDefault="00E33F26" w:rsidP="0083214A">
            <w:pPr>
              <w:rPr>
                <w:noProof/>
              </w:rPr>
            </w:pPr>
            <w:r w:rsidRPr="00807AC3">
              <w:rPr>
                <w:noProof/>
              </w:rPr>
              <w:t>2025</w:t>
            </w:r>
          </w:p>
        </w:tc>
        <w:tc>
          <w:tcPr>
            <w:tcW w:w="943" w:type="dxa"/>
            <w:noWrap/>
            <w:hideMark/>
          </w:tcPr>
          <w:p w14:paraId="5C1A0761" w14:textId="77777777" w:rsidR="00E33F26" w:rsidRPr="00807AC3" w:rsidRDefault="00E33F26" w:rsidP="0083214A">
            <w:pPr>
              <w:rPr>
                <w:noProof/>
              </w:rPr>
            </w:pPr>
            <w:r w:rsidRPr="00807AC3">
              <w:rPr>
                <w:noProof/>
              </w:rPr>
              <w:t>2026</w:t>
            </w:r>
          </w:p>
        </w:tc>
        <w:tc>
          <w:tcPr>
            <w:tcW w:w="944" w:type="dxa"/>
            <w:noWrap/>
            <w:hideMark/>
          </w:tcPr>
          <w:p w14:paraId="6D99E8C1" w14:textId="77777777" w:rsidR="00E33F26" w:rsidRPr="00807AC3" w:rsidRDefault="00E33F26" w:rsidP="0083214A">
            <w:pPr>
              <w:rPr>
                <w:noProof/>
              </w:rPr>
            </w:pPr>
            <w:r w:rsidRPr="00807AC3">
              <w:rPr>
                <w:noProof/>
              </w:rPr>
              <w:t>2027</w:t>
            </w:r>
          </w:p>
        </w:tc>
        <w:tc>
          <w:tcPr>
            <w:tcW w:w="944" w:type="dxa"/>
            <w:noWrap/>
            <w:hideMark/>
          </w:tcPr>
          <w:p w14:paraId="4483301F" w14:textId="77777777" w:rsidR="00E33F26" w:rsidRPr="00807AC3" w:rsidRDefault="00E33F26" w:rsidP="0083214A">
            <w:pPr>
              <w:rPr>
                <w:noProof/>
              </w:rPr>
            </w:pPr>
            <w:r w:rsidRPr="00807AC3">
              <w:rPr>
                <w:noProof/>
              </w:rPr>
              <w:t>Total</w:t>
            </w:r>
          </w:p>
        </w:tc>
      </w:tr>
      <w:tr w:rsidR="00E33F26" w:rsidRPr="00040D99" w14:paraId="27565A40"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7C832376" w14:textId="77777777" w:rsidR="00E33F26" w:rsidRPr="00807AC3" w:rsidRDefault="00E33F26" w:rsidP="0083214A">
            <w:pPr>
              <w:rPr>
                <w:noProof/>
              </w:rPr>
            </w:pPr>
            <w:r w:rsidRPr="00807AC3">
              <w:rPr>
                <w:noProof/>
              </w:rPr>
              <w:t>Financial programming</w:t>
            </w:r>
          </w:p>
        </w:tc>
        <w:tc>
          <w:tcPr>
            <w:tcW w:w="943" w:type="dxa"/>
            <w:noWrap/>
            <w:hideMark/>
          </w:tcPr>
          <w:p w14:paraId="4DF467DE" w14:textId="59590E83" w:rsidR="00E33F26" w:rsidRPr="00807AC3" w:rsidRDefault="006976DB" w:rsidP="0083214A">
            <w:pPr>
              <w:jc w:val="center"/>
              <w:rPr>
                <w:noProof/>
              </w:rPr>
            </w:pPr>
            <w:r>
              <w:rPr>
                <w:noProof/>
              </w:rPr>
              <w:t>803.4</w:t>
            </w:r>
          </w:p>
        </w:tc>
        <w:tc>
          <w:tcPr>
            <w:tcW w:w="944" w:type="dxa"/>
            <w:noWrap/>
            <w:hideMark/>
          </w:tcPr>
          <w:p w14:paraId="34418F2F" w14:textId="7AF62C66" w:rsidR="00E33F26" w:rsidRPr="00807AC3" w:rsidRDefault="006976DB" w:rsidP="0083214A">
            <w:pPr>
              <w:jc w:val="center"/>
              <w:rPr>
                <w:noProof/>
              </w:rPr>
            </w:pPr>
            <w:r>
              <w:rPr>
                <w:noProof/>
              </w:rPr>
              <w:t>487.1</w:t>
            </w:r>
          </w:p>
        </w:tc>
        <w:tc>
          <w:tcPr>
            <w:tcW w:w="943" w:type="dxa"/>
            <w:noWrap/>
            <w:hideMark/>
          </w:tcPr>
          <w:p w14:paraId="521EC841" w14:textId="0B9E78FE" w:rsidR="00E33F26" w:rsidRPr="00807AC3" w:rsidRDefault="006976DB" w:rsidP="0083214A">
            <w:pPr>
              <w:jc w:val="center"/>
              <w:rPr>
                <w:noProof/>
              </w:rPr>
            </w:pPr>
            <w:r>
              <w:rPr>
                <w:noProof/>
              </w:rPr>
              <w:t>496.8</w:t>
            </w:r>
          </w:p>
        </w:tc>
        <w:tc>
          <w:tcPr>
            <w:tcW w:w="944" w:type="dxa"/>
            <w:noWrap/>
            <w:hideMark/>
          </w:tcPr>
          <w:p w14:paraId="01F538B6" w14:textId="54EFE89C" w:rsidR="00E33F26" w:rsidRPr="00807AC3" w:rsidRDefault="006976DB" w:rsidP="0083214A">
            <w:pPr>
              <w:jc w:val="center"/>
              <w:rPr>
                <w:noProof/>
              </w:rPr>
            </w:pPr>
            <w:r>
              <w:rPr>
                <w:noProof/>
              </w:rPr>
              <w:t>506.8</w:t>
            </w:r>
          </w:p>
        </w:tc>
        <w:tc>
          <w:tcPr>
            <w:tcW w:w="944" w:type="dxa"/>
            <w:noWrap/>
            <w:hideMark/>
          </w:tcPr>
          <w:p w14:paraId="378D6274" w14:textId="3D6D6804" w:rsidR="00E33F26" w:rsidRPr="00807AC3" w:rsidRDefault="006976DB" w:rsidP="0083214A">
            <w:pPr>
              <w:jc w:val="center"/>
              <w:rPr>
                <w:noProof/>
              </w:rPr>
            </w:pPr>
            <w:r>
              <w:rPr>
                <w:noProof/>
              </w:rPr>
              <w:t>516.9</w:t>
            </w:r>
          </w:p>
        </w:tc>
        <w:tc>
          <w:tcPr>
            <w:tcW w:w="943" w:type="dxa"/>
            <w:noWrap/>
            <w:hideMark/>
          </w:tcPr>
          <w:p w14:paraId="4606C8CB" w14:textId="75E7A31D" w:rsidR="00E33F26" w:rsidRPr="00807AC3" w:rsidRDefault="006976DB" w:rsidP="0083214A">
            <w:pPr>
              <w:jc w:val="center"/>
              <w:rPr>
                <w:noProof/>
              </w:rPr>
            </w:pPr>
            <w:r>
              <w:rPr>
                <w:noProof/>
              </w:rPr>
              <w:t>527.2</w:t>
            </w:r>
          </w:p>
        </w:tc>
        <w:tc>
          <w:tcPr>
            <w:tcW w:w="944" w:type="dxa"/>
            <w:noWrap/>
            <w:hideMark/>
          </w:tcPr>
          <w:p w14:paraId="0D51FDA0" w14:textId="39E20F4D" w:rsidR="00E33F26" w:rsidRPr="00807AC3" w:rsidRDefault="006976DB" w:rsidP="0083214A">
            <w:pPr>
              <w:jc w:val="center"/>
              <w:rPr>
                <w:noProof/>
              </w:rPr>
            </w:pPr>
            <w:r>
              <w:rPr>
                <w:noProof/>
              </w:rPr>
              <w:t>537.8</w:t>
            </w:r>
          </w:p>
        </w:tc>
        <w:tc>
          <w:tcPr>
            <w:tcW w:w="944" w:type="dxa"/>
            <w:noWrap/>
            <w:hideMark/>
          </w:tcPr>
          <w:p w14:paraId="4134C9AE" w14:textId="77777777" w:rsidR="006976DB" w:rsidRDefault="006976DB" w:rsidP="0083214A">
            <w:pPr>
              <w:jc w:val="center"/>
              <w:rPr>
                <w:rFonts w:cs="Calibri"/>
                <w:b/>
                <w:bCs/>
                <w:noProof/>
                <w:color w:val="000000"/>
              </w:rPr>
            </w:pPr>
            <w:r>
              <w:rPr>
                <w:rFonts w:cs="Calibri"/>
                <w:noProof/>
                <w:color w:val="000000"/>
              </w:rPr>
              <w:t xml:space="preserve">3 </w:t>
            </w:r>
            <w:r w:rsidRPr="006976DB">
              <w:rPr>
                <w:rFonts w:cs="Calibri"/>
                <w:noProof/>
                <w:color w:val="000000"/>
              </w:rPr>
              <w:t>876</w:t>
            </w:r>
            <w:r w:rsidRPr="006F409B">
              <w:rPr>
                <w:rFonts w:cs="Calibri"/>
                <w:bCs/>
                <w:noProof/>
                <w:color w:val="000000"/>
              </w:rPr>
              <w:t>.0</w:t>
            </w:r>
          </w:p>
          <w:p w14:paraId="1D7B897E" w14:textId="197E25AE" w:rsidR="00E33F26" w:rsidRPr="00807AC3" w:rsidRDefault="00E33F26" w:rsidP="0083214A">
            <w:pPr>
              <w:jc w:val="center"/>
              <w:rPr>
                <w:noProof/>
              </w:rPr>
            </w:pPr>
          </w:p>
        </w:tc>
      </w:tr>
      <w:tr w:rsidR="00E33F26" w:rsidRPr="00040D99" w14:paraId="151F51FF"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36D11AEC" w14:textId="77777777" w:rsidR="00E33F26" w:rsidRPr="00807AC3" w:rsidRDefault="00E33F26" w:rsidP="0083214A">
            <w:pPr>
              <w:rPr>
                <w:noProof/>
              </w:rPr>
            </w:pPr>
            <w:r w:rsidRPr="00807AC3">
              <w:rPr>
                <w:noProof/>
              </w:rPr>
              <w:t>NextGenerationEU</w:t>
            </w:r>
          </w:p>
        </w:tc>
        <w:tc>
          <w:tcPr>
            <w:tcW w:w="943" w:type="dxa"/>
            <w:noWrap/>
            <w:hideMark/>
          </w:tcPr>
          <w:p w14:paraId="0F02A921" w14:textId="77777777" w:rsidR="00E33F26" w:rsidRPr="00807AC3" w:rsidRDefault="00E33F26" w:rsidP="0083214A">
            <w:pPr>
              <w:jc w:val="center"/>
              <w:rPr>
                <w:noProof/>
              </w:rPr>
            </w:pPr>
          </w:p>
        </w:tc>
        <w:tc>
          <w:tcPr>
            <w:tcW w:w="944" w:type="dxa"/>
            <w:noWrap/>
            <w:hideMark/>
          </w:tcPr>
          <w:p w14:paraId="741EFED9" w14:textId="77777777" w:rsidR="00E33F26" w:rsidRPr="00807AC3" w:rsidRDefault="00E33F26" w:rsidP="0083214A">
            <w:pPr>
              <w:jc w:val="center"/>
              <w:rPr>
                <w:noProof/>
              </w:rPr>
            </w:pPr>
          </w:p>
        </w:tc>
        <w:tc>
          <w:tcPr>
            <w:tcW w:w="943" w:type="dxa"/>
            <w:noWrap/>
            <w:hideMark/>
          </w:tcPr>
          <w:p w14:paraId="6423BCF2" w14:textId="77777777" w:rsidR="00E33F26" w:rsidRPr="00807AC3" w:rsidRDefault="00E33F26" w:rsidP="0083214A">
            <w:pPr>
              <w:jc w:val="center"/>
              <w:rPr>
                <w:noProof/>
              </w:rPr>
            </w:pPr>
          </w:p>
        </w:tc>
        <w:tc>
          <w:tcPr>
            <w:tcW w:w="944" w:type="dxa"/>
            <w:noWrap/>
            <w:hideMark/>
          </w:tcPr>
          <w:p w14:paraId="4A148254" w14:textId="77777777" w:rsidR="00E33F26" w:rsidRPr="00807AC3" w:rsidRDefault="00E33F26" w:rsidP="0083214A">
            <w:pPr>
              <w:jc w:val="center"/>
              <w:rPr>
                <w:noProof/>
              </w:rPr>
            </w:pPr>
          </w:p>
        </w:tc>
        <w:tc>
          <w:tcPr>
            <w:tcW w:w="944" w:type="dxa"/>
            <w:noWrap/>
            <w:hideMark/>
          </w:tcPr>
          <w:p w14:paraId="0FD8B85F" w14:textId="77777777" w:rsidR="00E33F26" w:rsidRPr="00807AC3" w:rsidRDefault="00E33F26" w:rsidP="0083214A">
            <w:pPr>
              <w:jc w:val="center"/>
              <w:rPr>
                <w:noProof/>
              </w:rPr>
            </w:pPr>
          </w:p>
        </w:tc>
        <w:tc>
          <w:tcPr>
            <w:tcW w:w="943" w:type="dxa"/>
            <w:noWrap/>
            <w:hideMark/>
          </w:tcPr>
          <w:p w14:paraId="0825BE8D" w14:textId="77777777" w:rsidR="00E33F26" w:rsidRPr="00807AC3" w:rsidRDefault="00E33F26" w:rsidP="0083214A">
            <w:pPr>
              <w:jc w:val="center"/>
              <w:rPr>
                <w:noProof/>
              </w:rPr>
            </w:pPr>
          </w:p>
        </w:tc>
        <w:tc>
          <w:tcPr>
            <w:tcW w:w="944" w:type="dxa"/>
            <w:noWrap/>
            <w:hideMark/>
          </w:tcPr>
          <w:p w14:paraId="2B0BD6E1" w14:textId="77777777" w:rsidR="00E33F26" w:rsidRPr="00807AC3" w:rsidRDefault="00E33F26" w:rsidP="0083214A">
            <w:pPr>
              <w:jc w:val="center"/>
              <w:rPr>
                <w:noProof/>
              </w:rPr>
            </w:pPr>
          </w:p>
        </w:tc>
        <w:tc>
          <w:tcPr>
            <w:tcW w:w="944" w:type="dxa"/>
            <w:noWrap/>
            <w:hideMark/>
          </w:tcPr>
          <w:p w14:paraId="003F3D4D" w14:textId="77777777" w:rsidR="00E33F26" w:rsidRPr="00807AC3" w:rsidRDefault="00E33F26" w:rsidP="0083214A">
            <w:pPr>
              <w:jc w:val="center"/>
              <w:rPr>
                <w:noProof/>
              </w:rPr>
            </w:pPr>
          </w:p>
        </w:tc>
      </w:tr>
      <w:tr w:rsidR="00E33F26" w:rsidRPr="00040D99" w14:paraId="544AE69F"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6D995EC1" w14:textId="77777777" w:rsidR="00E33F26" w:rsidRPr="00807AC3" w:rsidRDefault="00E33F26" w:rsidP="0083214A">
            <w:pPr>
              <w:rPr>
                <w:noProof/>
              </w:rPr>
            </w:pPr>
            <w:r w:rsidRPr="00807AC3">
              <w:rPr>
                <w:noProof/>
              </w:rPr>
              <w:t>Decommitments made available again</w:t>
            </w:r>
            <w:r>
              <w:rPr>
                <w:rFonts w:ascii="Calibri" w:hAnsi="Calibri" w:cs="Calibri"/>
                <w:noProof/>
              </w:rPr>
              <w:t> (</w:t>
            </w:r>
            <w:r w:rsidRPr="00807AC3">
              <w:rPr>
                <w:noProof/>
              </w:rPr>
              <w:t>*</w:t>
            </w:r>
            <w:r>
              <w:rPr>
                <w:noProof/>
              </w:rPr>
              <w:t>)</w:t>
            </w:r>
          </w:p>
        </w:tc>
        <w:tc>
          <w:tcPr>
            <w:tcW w:w="943" w:type="dxa"/>
            <w:noWrap/>
            <w:hideMark/>
          </w:tcPr>
          <w:p w14:paraId="2FD50662" w14:textId="77777777" w:rsidR="00E33F26" w:rsidRPr="00807AC3" w:rsidRDefault="00E33F26" w:rsidP="0083214A">
            <w:pPr>
              <w:jc w:val="center"/>
              <w:rPr>
                <w:noProof/>
              </w:rPr>
            </w:pPr>
            <w:r>
              <w:rPr>
                <w:noProof/>
              </w:rPr>
              <w:t>N/A</w:t>
            </w:r>
          </w:p>
        </w:tc>
        <w:tc>
          <w:tcPr>
            <w:tcW w:w="944" w:type="dxa"/>
            <w:noWrap/>
            <w:hideMark/>
          </w:tcPr>
          <w:p w14:paraId="1A62BBCA" w14:textId="77777777" w:rsidR="00E33F26" w:rsidRPr="00807AC3" w:rsidRDefault="00E33F26" w:rsidP="0083214A">
            <w:pPr>
              <w:jc w:val="center"/>
              <w:rPr>
                <w:noProof/>
              </w:rPr>
            </w:pPr>
          </w:p>
        </w:tc>
        <w:tc>
          <w:tcPr>
            <w:tcW w:w="943" w:type="dxa"/>
            <w:noWrap/>
            <w:hideMark/>
          </w:tcPr>
          <w:p w14:paraId="58CAF438" w14:textId="77777777" w:rsidR="00E33F26" w:rsidRPr="00807AC3" w:rsidRDefault="00E33F26" w:rsidP="0083214A">
            <w:pPr>
              <w:jc w:val="center"/>
              <w:rPr>
                <w:noProof/>
              </w:rPr>
            </w:pPr>
          </w:p>
        </w:tc>
        <w:tc>
          <w:tcPr>
            <w:tcW w:w="944" w:type="dxa"/>
            <w:noWrap/>
            <w:hideMark/>
          </w:tcPr>
          <w:p w14:paraId="7D07FF40" w14:textId="77777777" w:rsidR="00E33F26" w:rsidRPr="00807AC3" w:rsidRDefault="00E33F26" w:rsidP="0083214A">
            <w:pPr>
              <w:jc w:val="center"/>
              <w:rPr>
                <w:noProof/>
              </w:rPr>
            </w:pPr>
          </w:p>
        </w:tc>
        <w:tc>
          <w:tcPr>
            <w:tcW w:w="944" w:type="dxa"/>
            <w:noWrap/>
            <w:hideMark/>
          </w:tcPr>
          <w:p w14:paraId="36D84492" w14:textId="77777777" w:rsidR="00E33F26" w:rsidRPr="00807AC3" w:rsidRDefault="00E33F26" w:rsidP="0083214A">
            <w:pPr>
              <w:jc w:val="center"/>
              <w:rPr>
                <w:noProof/>
              </w:rPr>
            </w:pPr>
          </w:p>
        </w:tc>
        <w:tc>
          <w:tcPr>
            <w:tcW w:w="943" w:type="dxa"/>
            <w:noWrap/>
            <w:hideMark/>
          </w:tcPr>
          <w:p w14:paraId="21CB5481" w14:textId="77777777" w:rsidR="00E33F26" w:rsidRPr="00807AC3" w:rsidRDefault="00E33F26" w:rsidP="0083214A">
            <w:pPr>
              <w:jc w:val="center"/>
              <w:rPr>
                <w:noProof/>
              </w:rPr>
            </w:pPr>
          </w:p>
        </w:tc>
        <w:tc>
          <w:tcPr>
            <w:tcW w:w="944" w:type="dxa"/>
            <w:noWrap/>
            <w:hideMark/>
          </w:tcPr>
          <w:p w14:paraId="1075ACF0" w14:textId="77777777" w:rsidR="00E33F26" w:rsidRPr="00807AC3" w:rsidRDefault="00E33F26" w:rsidP="0083214A">
            <w:pPr>
              <w:jc w:val="center"/>
              <w:rPr>
                <w:noProof/>
              </w:rPr>
            </w:pPr>
          </w:p>
        </w:tc>
        <w:tc>
          <w:tcPr>
            <w:tcW w:w="944" w:type="dxa"/>
            <w:noWrap/>
            <w:hideMark/>
          </w:tcPr>
          <w:p w14:paraId="0D781F06" w14:textId="77777777" w:rsidR="00E33F26" w:rsidRPr="00807AC3" w:rsidRDefault="00E33F26" w:rsidP="0083214A">
            <w:pPr>
              <w:jc w:val="center"/>
              <w:rPr>
                <w:noProof/>
              </w:rPr>
            </w:pPr>
            <w:r>
              <w:rPr>
                <w:noProof/>
              </w:rPr>
              <w:t>N/A</w:t>
            </w:r>
          </w:p>
        </w:tc>
      </w:tr>
      <w:tr w:rsidR="00E33F26" w:rsidRPr="00040D99" w14:paraId="3BB3849F" w14:textId="77777777" w:rsidTr="0083214A">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587E3980" w14:textId="77777777" w:rsidR="00E33F26" w:rsidRPr="00807AC3" w:rsidRDefault="00E33F26" w:rsidP="0083214A">
            <w:pPr>
              <w:rPr>
                <w:noProof/>
              </w:rPr>
            </w:pPr>
            <w:r w:rsidRPr="00807AC3">
              <w:rPr>
                <w:noProof/>
              </w:rPr>
              <w:t>Contributions from other countries and entities</w:t>
            </w:r>
          </w:p>
        </w:tc>
        <w:tc>
          <w:tcPr>
            <w:tcW w:w="943" w:type="dxa"/>
            <w:noWrap/>
            <w:hideMark/>
          </w:tcPr>
          <w:p w14:paraId="7D70D83C" w14:textId="77777777" w:rsidR="00E33F26" w:rsidRPr="00807AC3" w:rsidRDefault="00E33F26" w:rsidP="0083214A">
            <w:pPr>
              <w:jc w:val="center"/>
              <w:rPr>
                <w:noProof/>
              </w:rPr>
            </w:pPr>
          </w:p>
        </w:tc>
        <w:tc>
          <w:tcPr>
            <w:tcW w:w="944" w:type="dxa"/>
            <w:noWrap/>
            <w:hideMark/>
          </w:tcPr>
          <w:p w14:paraId="6D2475D9" w14:textId="77777777" w:rsidR="00E33F26" w:rsidRPr="00807AC3" w:rsidRDefault="00E33F26" w:rsidP="0083214A">
            <w:pPr>
              <w:jc w:val="center"/>
              <w:rPr>
                <w:noProof/>
              </w:rPr>
            </w:pPr>
          </w:p>
        </w:tc>
        <w:tc>
          <w:tcPr>
            <w:tcW w:w="943" w:type="dxa"/>
            <w:noWrap/>
            <w:hideMark/>
          </w:tcPr>
          <w:p w14:paraId="2AC9F002" w14:textId="77777777" w:rsidR="00E33F26" w:rsidRPr="00807AC3" w:rsidRDefault="00E33F26" w:rsidP="0083214A">
            <w:pPr>
              <w:jc w:val="center"/>
              <w:rPr>
                <w:noProof/>
              </w:rPr>
            </w:pPr>
          </w:p>
        </w:tc>
        <w:tc>
          <w:tcPr>
            <w:tcW w:w="944" w:type="dxa"/>
            <w:noWrap/>
            <w:hideMark/>
          </w:tcPr>
          <w:p w14:paraId="20093F0A" w14:textId="77777777" w:rsidR="00E33F26" w:rsidRPr="00807AC3" w:rsidRDefault="00E33F26" w:rsidP="0083214A">
            <w:pPr>
              <w:jc w:val="center"/>
              <w:rPr>
                <w:noProof/>
              </w:rPr>
            </w:pPr>
          </w:p>
        </w:tc>
        <w:tc>
          <w:tcPr>
            <w:tcW w:w="944" w:type="dxa"/>
            <w:noWrap/>
            <w:hideMark/>
          </w:tcPr>
          <w:p w14:paraId="1DC432F5" w14:textId="77777777" w:rsidR="00E33F26" w:rsidRPr="00807AC3" w:rsidRDefault="00E33F26" w:rsidP="0083214A">
            <w:pPr>
              <w:jc w:val="center"/>
              <w:rPr>
                <w:noProof/>
              </w:rPr>
            </w:pPr>
          </w:p>
        </w:tc>
        <w:tc>
          <w:tcPr>
            <w:tcW w:w="943" w:type="dxa"/>
            <w:noWrap/>
            <w:hideMark/>
          </w:tcPr>
          <w:p w14:paraId="0AE3B00F" w14:textId="77777777" w:rsidR="00E33F26" w:rsidRPr="00807AC3" w:rsidRDefault="00E33F26" w:rsidP="0083214A">
            <w:pPr>
              <w:jc w:val="center"/>
              <w:rPr>
                <w:noProof/>
              </w:rPr>
            </w:pPr>
          </w:p>
        </w:tc>
        <w:tc>
          <w:tcPr>
            <w:tcW w:w="944" w:type="dxa"/>
            <w:noWrap/>
            <w:hideMark/>
          </w:tcPr>
          <w:p w14:paraId="5BE5D4C3" w14:textId="77777777" w:rsidR="00E33F26" w:rsidRPr="00807AC3" w:rsidRDefault="00E33F26" w:rsidP="0083214A">
            <w:pPr>
              <w:jc w:val="center"/>
              <w:rPr>
                <w:noProof/>
              </w:rPr>
            </w:pPr>
          </w:p>
        </w:tc>
        <w:tc>
          <w:tcPr>
            <w:tcW w:w="944" w:type="dxa"/>
            <w:noWrap/>
            <w:hideMark/>
          </w:tcPr>
          <w:p w14:paraId="1B202837" w14:textId="77777777" w:rsidR="00E33F26" w:rsidRPr="00807AC3" w:rsidRDefault="00E33F26" w:rsidP="0083214A">
            <w:pPr>
              <w:jc w:val="center"/>
              <w:rPr>
                <w:noProof/>
              </w:rPr>
            </w:pPr>
          </w:p>
        </w:tc>
      </w:tr>
    </w:tbl>
    <w:p w14:paraId="70F39BE7" w14:textId="77777777" w:rsidR="00E33F26" w:rsidRPr="000E7574" w:rsidRDefault="00E33F26" w:rsidP="00E33F26">
      <w:pPr>
        <w:tabs>
          <w:tab w:val="left" w:pos="6793"/>
        </w:tabs>
        <w:rPr>
          <w:noProof/>
          <w:sz w:val="18"/>
          <w:szCs w:val="18"/>
          <w:lang w:val="en-IE"/>
        </w:rPr>
      </w:pPr>
      <w:r>
        <w:rPr>
          <w:noProof/>
          <w:sz w:val="18"/>
          <w:szCs w:val="18"/>
          <w:lang w:val="en-IE"/>
        </w:rPr>
        <w:t>(</w:t>
      </w:r>
      <w:r w:rsidRPr="000E7574">
        <w:rPr>
          <w:noProof/>
          <w:sz w:val="18"/>
          <w:szCs w:val="18"/>
          <w:lang w:val="en-IE"/>
        </w:rPr>
        <w:t>*</w:t>
      </w:r>
      <w:r>
        <w:rPr>
          <w:noProof/>
          <w:sz w:val="18"/>
          <w:szCs w:val="18"/>
          <w:lang w:val="en-IE"/>
        </w:rPr>
        <w:t>)</w:t>
      </w:r>
      <w:r w:rsidRPr="000E7574">
        <w:rPr>
          <w:noProof/>
          <w:sz w:val="18"/>
          <w:szCs w:val="18"/>
          <w:lang w:val="en-IE"/>
        </w:rPr>
        <w:t xml:space="preserve"> Only Art</w:t>
      </w:r>
      <w:r>
        <w:rPr>
          <w:noProof/>
          <w:sz w:val="18"/>
          <w:szCs w:val="18"/>
          <w:lang w:val="en-IE"/>
        </w:rPr>
        <w:t>icle</w:t>
      </w:r>
      <w:r>
        <w:rPr>
          <w:rFonts w:ascii="Calibri" w:hAnsi="Calibri" w:cs="Calibri"/>
          <w:noProof/>
          <w:sz w:val="18"/>
          <w:szCs w:val="18"/>
          <w:lang w:val="en-IE"/>
        </w:rPr>
        <w:t> </w:t>
      </w:r>
      <w:r w:rsidRPr="000E7574">
        <w:rPr>
          <w:noProof/>
          <w:sz w:val="18"/>
          <w:szCs w:val="18"/>
          <w:lang w:val="en-IE"/>
        </w:rPr>
        <w:t>15</w:t>
      </w:r>
      <w:r>
        <w:rPr>
          <w:noProof/>
          <w:sz w:val="18"/>
          <w:szCs w:val="18"/>
          <w:lang w:val="en-IE"/>
        </w:rPr>
        <w:t>(</w:t>
      </w:r>
      <w:r w:rsidRPr="000E7574">
        <w:rPr>
          <w:noProof/>
          <w:sz w:val="18"/>
          <w:szCs w:val="18"/>
          <w:lang w:val="en-IE"/>
        </w:rPr>
        <w:t>3</w:t>
      </w:r>
      <w:r>
        <w:rPr>
          <w:noProof/>
          <w:sz w:val="18"/>
          <w:szCs w:val="18"/>
          <w:lang w:val="en-IE"/>
        </w:rPr>
        <w:t>) of the</w:t>
      </w:r>
      <w:r w:rsidRPr="000E7574">
        <w:rPr>
          <w:noProof/>
          <w:sz w:val="18"/>
          <w:szCs w:val="18"/>
          <w:lang w:val="en-IE"/>
        </w:rPr>
        <w:t xml:space="preserve"> </w:t>
      </w:r>
      <w:r>
        <w:rPr>
          <w:noProof/>
          <w:sz w:val="18"/>
          <w:szCs w:val="18"/>
          <w:lang w:val="en-IE"/>
        </w:rPr>
        <w:t>f</w:t>
      </w:r>
      <w:r w:rsidRPr="000E7574">
        <w:rPr>
          <w:noProof/>
          <w:sz w:val="18"/>
          <w:szCs w:val="18"/>
          <w:lang w:val="en-IE"/>
        </w:rPr>
        <w:t xml:space="preserve">inancial </w:t>
      </w:r>
      <w:r>
        <w:rPr>
          <w:noProof/>
          <w:sz w:val="18"/>
          <w:szCs w:val="18"/>
          <w:lang w:val="en-IE"/>
        </w:rPr>
        <w:t>r</w:t>
      </w:r>
      <w:r w:rsidRPr="000E7574">
        <w:rPr>
          <w:noProof/>
          <w:sz w:val="18"/>
          <w:szCs w:val="18"/>
          <w:lang w:val="en-IE"/>
        </w:rPr>
        <w:t>egulation</w:t>
      </w:r>
      <w:r>
        <w:rPr>
          <w:noProof/>
          <w:sz w:val="18"/>
          <w:szCs w:val="18"/>
          <w:lang w:val="en-IE"/>
        </w:rPr>
        <w:t>.</w:t>
      </w:r>
    </w:p>
    <w:p w14:paraId="4CB0EC72" w14:textId="77777777" w:rsidR="00E33F26" w:rsidRPr="00040D99" w:rsidRDefault="00E33F26" w:rsidP="00E33F26">
      <w:pPr>
        <w:rPr>
          <w:noProof/>
        </w:rPr>
      </w:pPr>
    </w:p>
    <w:p w14:paraId="582A3820" w14:textId="77777777" w:rsidR="00E33F26" w:rsidRPr="00040D99" w:rsidRDefault="00E33F26" w:rsidP="00E33F26">
      <w:pPr>
        <w:pStyle w:val="ppoTableTabletitle"/>
        <w:rPr>
          <w:noProof/>
        </w:rPr>
      </w:pPr>
      <w:r w:rsidRPr="00040D99">
        <w:rPr>
          <w:noProof/>
        </w:rPr>
        <w:t>Voted budget implementation in 2021</w:t>
      </w:r>
      <w:r>
        <w:rPr>
          <w:noProof/>
        </w:rPr>
        <w:t xml:space="preserve"> (million</w:t>
      </w:r>
      <w:r w:rsidRPr="000E7574">
        <w:rPr>
          <w:noProof/>
        </w:rPr>
        <w:t xml:space="preserve"> </w:t>
      </w:r>
      <w:r>
        <w:rPr>
          <w:noProof/>
        </w:rPr>
        <w:t>EUR):</w:t>
      </w:r>
    </w:p>
    <w:tbl>
      <w:tblPr>
        <w:tblStyle w:val="PPO2021"/>
        <w:tblW w:w="3683" w:type="pct"/>
        <w:tblInd w:w="79" w:type="dxa"/>
        <w:tblLook w:val="04A0" w:firstRow="1" w:lastRow="0" w:firstColumn="1" w:lastColumn="0" w:noHBand="0" w:noVBand="1"/>
      </w:tblPr>
      <w:tblGrid>
        <w:gridCol w:w="2419"/>
        <w:gridCol w:w="2419"/>
        <w:gridCol w:w="2420"/>
      </w:tblGrid>
      <w:tr w:rsidR="00E33F26" w:rsidRPr="00040D99" w14:paraId="7A5D4D06" w14:textId="77777777" w:rsidTr="008321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66B805A1" w14:textId="77777777" w:rsidR="00E33F26" w:rsidRPr="0017374C" w:rsidRDefault="00E33F26" w:rsidP="0083214A">
            <w:pPr>
              <w:rPr>
                <w:noProof/>
              </w:rPr>
            </w:pPr>
          </w:p>
        </w:tc>
        <w:tc>
          <w:tcPr>
            <w:tcW w:w="2419" w:type="dxa"/>
          </w:tcPr>
          <w:p w14:paraId="3CBCE1CE" w14:textId="77777777" w:rsidR="00E33F26" w:rsidRPr="0017374C" w:rsidRDefault="00E33F26" w:rsidP="0083214A">
            <w:pPr>
              <w:cnfStyle w:val="100000000000" w:firstRow="1" w:lastRow="0" w:firstColumn="0" w:lastColumn="0" w:oddVBand="0" w:evenVBand="0" w:oddHBand="0" w:evenHBand="0" w:firstRowFirstColumn="0" w:firstRowLastColumn="0" w:lastRowFirstColumn="0" w:lastRowLastColumn="0"/>
              <w:rPr>
                <w:noProof/>
              </w:rPr>
            </w:pPr>
            <w:r w:rsidRPr="0017374C">
              <w:rPr>
                <w:noProof/>
              </w:rPr>
              <w:t>Voted budget implementation</w:t>
            </w:r>
          </w:p>
        </w:tc>
        <w:tc>
          <w:tcPr>
            <w:tcW w:w="2420" w:type="dxa"/>
          </w:tcPr>
          <w:p w14:paraId="352F8064" w14:textId="77777777" w:rsidR="00E33F26" w:rsidRPr="0017374C" w:rsidRDefault="00E33F26" w:rsidP="0083214A">
            <w:pPr>
              <w:cnfStyle w:val="100000000000" w:firstRow="1" w:lastRow="0" w:firstColumn="0" w:lastColumn="0" w:oddVBand="0" w:evenVBand="0" w:oddHBand="0" w:evenHBand="0" w:firstRowFirstColumn="0" w:firstRowLastColumn="0" w:lastRowFirstColumn="0" w:lastRowLastColumn="0"/>
              <w:rPr>
                <w:noProof/>
              </w:rPr>
            </w:pPr>
            <w:r w:rsidRPr="0017374C">
              <w:rPr>
                <w:noProof/>
              </w:rPr>
              <w:t>Initial voted budget</w:t>
            </w:r>
          </w:p>
        </w:tc>
      </w:tr>
      <w:tr w:rsidR="00E33F26" w:rsidRPr="00040D99" w14:paraId="4E6C51C9" w14:textId="77777777" w:rsidTr="0083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6860D112" w14:textId="77777777" w:rsidR="00E33F26" w:rsidRPr="0017374C" w:rsidRDefault="00E33F26" w:rsidP="0083214A">
            <w:pPr>
              <w:jc w:val="center"/>
              <w:rPr>
                <w:noProof/>
              </w:rPr>
            </w:pPr>
            <w:r w:rsidRPr="0017374C">
              <w:rPr>
                <w:noProof/>
              </w:rPr>
              <w:t>Commitments</w:t>
            </w:r>
          </w:p>
        </w:tc>
        <w:tc>
          <w:tcPr>
            <w:tcW w:w="2419" w:type="dxa"/>
          </w:tcPr>
          <w:p w14:paraId="65417CF9" w14:textId="77777777" w:rsidR="00E33F26" w:rsidRPr="0017374C" w:rsidRDefault="00E33F26" w:rsidP="0083214A">
            <w:pPr>
              <w:jc w:val="center"/>
              <w:cnfStyle w:val="000000100000" w:firstRow="0" w:lastRow="0" w:firstColumn="0" w:lastColumn="0" w:oddVBand="0" w:evenVBand="0" w:oddHBand="1" w:evenHBand="0" w:firstRowFirstColumn="0" w:firstRowLastColumn="0" w:lastRowFirstColumn="0" w:lastRowLastColumn="0"/>
              <w:rPr>
                <w:noProof/>
              </w:rPr>
            </w:pPr>
            <w:r w:rsidRPr="00AB5796">
              <w:rPr>
                <w:noProof/>
              </w:rPr>
              <w:t>791</w:t>
            </w:r>
            <w:r>
              <w:rPr>
                <w:noProof/>
              </w:rPr>
              <w:t>.</w:t>
            </w:r>
            <w:r w:rsidRPr="00AB5796">
              <w:rPr>
                <w:noProof/>
              </w:rPr>
              <w:t>4</w:t>
            </w:r>
          </w:p>
        </w:tc>
        <w:tc>
          <w:tcPr>
            <w:tcW w:w="2420" w:type="dxa"/>
          </w:tcPr>
          <w:p w14:paraId="1C6449B4" w14:textId="2AC19198" w:rsidR="00E33F26" w:rsidRPr="0017374C" w:rsidRDefault="006976DB" w:rsidP="0083214A">
            <w:pPr>
              <w:jc w:val="center"/>
              <w:cnfStyle w:val="000000100000" w:firstRow="0" w:lastRow="0" w:firstColumn="0" w:lastColumn="0" w:oddVBand="0" w:evenVBand="0" w:oddHBand="1" w:evenHBand="0" w:firstRowFirstColumn="0" w:firstRowLastColumn="0" w:lastRowFirstColumn="0" w:lastRowLastColumn="0"/>
              <w:rPr>
                <w:noProof/>
              </w:rPr>
            </w:pPr>
            <w:r>
              <w:rPr>
                <w:noProof/>
              </w:rPr>
              <w:t xml:space="preserve">964.6 </w:t>
            </w:r>
          </w:p>
        </w:tc>
      </w:tr>
      <w:tr w:rsidR="00E33F26" w:rsidRPr="00040D99" w14:paraId="311FBA22" w14:textId="77777777" w:rsidTr="00832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2C8A6C3B" w14:textId="77777777" w:rsidR="00E33F26" w:rsidRPr="0017374C" w:rsidRDefault="00E33F26" w:rsidP="0083214A">
            <w:pPr>
              <w:jc w:val="center"/>
              <w:rPr>
                <w:noProof/>
              </w:rPr>
            </w:pPr>
            <w:r w:rsidRPr="0017374C">
              <w:rPr>
                <w:noProof/>
              </w:rPr>
              <w:t>Payments</w:t>
            </w:r>
          </w:p>
        </w:tc>
        <w:tc>
          <w:tcPr>
            <w:tcW w:w="2419" w:type="dxa"/>
          </w:tcPr>
          <w:p w14:paraId="5566CF9A" w14:textId="77777777" w:rsidR="00E33F26" w:rsidRPr="0017374C" w:rsidRDefault="00E33F26" w:rsidP="0083214A">
            <w:pPr>
              <w:jc w:val="center"/>
              <w:cnfStyle w:val="000000010000" w:firstRow="0" w:lastRow="0" w:firstColumn="0" w:lastColumn="0" w:oddVBand="0" w:evenVBand="0" w:oddHBand="0" w:evenHBand="1" w:firstRowFirstColumn="0" w:firstRowLastColumn="0" w:lastRowFirstColumn="0" w:lastRowLastColumn="0"/>
              <w:rPr>
                <w:noProof/>
              </w:rPr>
            </w:pPr>
            <w:r w:rsidRPr="00ED0AAB">
              <w:rPr>
                <w:noProof/>
              </w:rPr>
              <w:t>791</w:t>
            </w:r>
            <w:r>
              <w:rPr>
                <w:noProof/>
              </w:rPr>
              <w:t>.</w:t>
            </w:r>
            <w:r w:rsidRPr="00ED0AAB">
              <w:rPr>
                <w:noProof/>
              </w:rPr>
              <w:t>4</w:t>
            </w:r>
          </w:p>
        </w:tc>
        <w:tc>
          <w:tcPr>
            <w:tcW w:w="2420" w:type="dxa"/>
          </w:tcPr>
          <w:p w14:paraId="64371B50" w14:textId="76675BBC" w:rsidR="00E33F26" w:rsidRPr="0017374C" w:rsidRDefault="006976DB" w:rsidP="0083214A">
            <w:pPr>
              <w:jc w:val="center"/>
              <w:cnfStyle w:val="000000010000" w:firstRow="0" w:lastRow="0" w:firstColumn="0" w:lastColumn="0" w:oddVBand="0" w:evenVBand="0" w:oddHBand="0" w:evenHBand="1" w:firstRowFirstColumn="0" w:firstRowLastColumn="0" w:lastRowFirstColumn="0" w:lastRowLastColumn="0"/>
              <w:rPr>
                <w:noProof/>
              </w:rPr>
            </w:pPr>
            <w:r>
              <w:rPr>
                <w:noProof/>
              </w:rPr>
              <w:t>964.6</w:t>
            </w:r>
          </w:p>
        </w:tc>
      </w:tr>
    </w:tbl>
    <w:p w14:paraId="29347DAC" w14:textId="77777777" w:rsidR="00E33F26" w:rsidRPr="00040D99" w:rsidRDefault="00E33F26" w:rsidP="00E33F26">
      <w:pPr>
        <w:pStyle w:val="ppoListHyphened-L1"/>
        <w:rPr>
          <w:noProof/>
        </w:rPr>
      </w:pPr>
      <w:r w:rsidRPr="00090C25">
        <w:rPr>
          <w:noProof/>
        </w:rPr>
        <w:t xml:space="preserve">In 2021, the Commission completed its assessment </w:t>
      </w:r>
      <w:r>
        <w:rPr>
          <w:noProof/>
        </w:rPr>
        <w:t>of six</w:t>
      </w:r>
      <w:r w:rsidRPr="00090C25">
        <w:rPr>
          <w:noProof/>
        </w:rPr>
        <w:t xml:space="preserve"> natural disaster applications </w:t>
      </w:r>
      <w:r>
        <w:rPr>
          <w:noProof/>
        </w:rPr>
        <w:t>and 22 health emergency applications and mobilised assistance from the fund</w:t>
      </w:r>
      <w:r w:rsidRPr="00090C25">
        <w:rPr>
          <w:noProof/>
        </w:rPr>
        <w:t xml:space="preserve">. In addition, in 2021, the Commission received </w:t>
      </w:r>
      <w:r>
        <w:rPr>
          <w:noProof/>
        </w:rPr>
        <w:t>10</w:t>
      </w:r>
      <w:r w:rsidRPr="00090C25">
        <w:rPr>
          <w:noProof/>
        </w:rPr>
        <w:t xml:space="preserve"> new natural disaster applications. Out of these, the assessment</w:t>
      </w:r>
      <w:r>
        <w:rPr>
          <w:noProof/>
        </w:rPr>
        <w:t>s</w:t>
      </w:r>
      <w:r w:rsidRPr="00090C25">
        <w:rPr>
          <w:noProof/>
        </w:rPr>
        <w:t xml:space="preserve"> of five flood</w:t>
      </w:r>
      <w:r>
        <w:rPr>
          <w:noProof/>
        </w:rPr>
        <w:t>-</w:t>
      </w:r>
      <w:r w:rsidRPr="00090C25">
        <w:rPr>
          <w:noProof/>
        </w:rPr>
        <w:t xml:space="preserve">related applications and the applications from Greece </w:t>
      </w:r>
      <w:r>
        <w:rPr>
          <w:noProof/>
        </w:rPr>
        <w:t xml:space="preserve">and Spain </w:t>
      </w:r>
      <w:r w:rsidRPr="00090C25">
        <w:rPr>
          <w:noProof/>
        </w:rPr>
        <w:t>w</w:t>
      </w:r>
      <w:r>
        <w:rPr>
          <w:noProof/>
        </w:rPr>
        <w:t>ere</w:t>
      </w:r>
      <w:r w:rsidRPr="00090C25">
        <w:rPr>
          <w:noProof/>
        </w:rPr>
        <w:t xml:space="preserve"> </w:t>
      </w:r>
      <w:r>
        <w:rPr>
          <w:noProof/>
        </w:rPr>
        <w:t>started</w:t>
      </w:r>
      <w:r w:rsidRPr="00090C25">
        <w:rPr>
          <w:noProof/>
        </w:rPr>
        <w:t xml:space="preserve"> in 2021</w:t>
      </w:r>
      <w:r>
        <w:rPr>
          <w:noProof/>
        </w:rPr>
        <w:t xml:space="preserve">, with </w:t>
      </w:r>
      <w:r w:rsidRPr="00090C25">
        <w:rPr>
          <w:noProof/>
        </w:rPr>
        <w:t xml:space="preserve">the decisions and mobilisation of the EUSF assistance </w:t>
      </w:r>
      <w:r>
        <w:rPr>
          <w:noProof/>
        </w:rPr>
        <w:t xml:space="preserve">expected to occur </w:t>
      </w:r>
      <w:r w:rsidRPr="00090C25">
        <w:rPr>
          <w:noProof/>
        </w:rPr>
        <w:t>in 2022.</w:t>
      </w:r>
    </w:p>
    <w:p w14:paraId="5DC608B9" w14:textId="77777777" w:rsidR="00E33F26" w:rsidRPr="00040D99" w:rsidRDefault="00E33F26" w:rsidP="00E33F26">
      <w:pPr>
        <w:pStyle w:val="ppoHeading5"/>
        <w:rPr>
          <w:noProof/>
        </w:rPr>
      </w:pPr>
      <w:r w:rsidRPr="00040D99">
        <w:rPr>
          <w:noProof/>
        </w:rPr>
        <w:t>Contribution to horizontal priorities</w:t>
      </w:r>
    </w:p>
    <w:p w14:paraId="114987DD" w14:textId="77777777" w:rsidR="00E33F26" w:rsidRPr="00040D99" w:rsidRDefault="00E33F26" w:rsidP="00E33F26">
      <w:pPr>
        <w:pStyle w:val="ppoTableTabletitle"/>
        <w:rPr>
          <w:noProof/>
        </w:rPr>
      </w:pPr>
      <w:r w:rsidRPr="00040D99">
        <w:rPr>
          <w:noProof/>
        </w:rPr>
        <w:t>EU budget contribution in 2021</w:t>
      </w:r>
      <w:r>
        <w:rPr>
          <w:noProof/>
        </w:rPr>
        <w:t xml:space="preserve"> (million</w:t>
      </w:r>
      <w:r w:rsidRPr="000E7574">
        <w:rPr>
          <w:noProof/>
        </w:rPr>
        <w:t xml:space="preserve"> </w:t>
      </w:r>
      <w:r>
        <w:rPr>
          <w:noProof/>
        </w:rPr>
        <w:t>EUR):</w:t>
      </w:r>
    </w:p>
    <w:tbl>
      <w:tblPr>
        <w:tblStyle w:val="PPO2021"/>
        <w:tblW w:w="9639" w:type="dxa"/>
        <w:tblInd w:w="0" w:type="dxa"/>
        <w:tblLook w:val="0420" w:firstRow="1" w:lastRow="0" w:firstColumn="0" w:lastColumn="0" w:noHBand="0" w:noVBand="1"/>
      </w:tblPr>
      <w:tblGrid>
        <w:gridCol w:w="3213"/>
        <w:gridCol w:w="3213"/>
        <w:gridCol w:w="3213"/>
      </w:tblGrid>
      <w:tr w:rsidR="00E33F26" w:rsidRPr="00040D99" w14:paraId="42C37398" w14:textId="77777777" w:rsidTr="0083214A">
        <w:trPr>
          <w:cnfStyle w:val="100000000000" w:firstRow="1" w:lastRow="0" w:firstColumn="0" w:lastColumn="0" w:oddVBand="0" w:evenVBand="0" w:oddHBand="0" w:evenHBand="0" w:firstRowFirstColumn="0" w:firstRowLastColumn="0" w:lastRowFirstColumn="0" w:lastRowLastColumn="0"/>
          <w:tblHeader/>
        </w:trPr>
        <w:tc>
          <w:tcPr>
            <w:tcW w:w="3213" w:type="dxa"/>
          </w:tcPr>
          <w:p w14:paraId="4CEDD6EB" w14:textId="77777777" w:rsidR="00E33F26" w:rsidRPr="00BD731A" w:rsidRDefault="00E33F26" w:rsidP="0083214A">
            <w:pPr>
              <w:rPr>
                <w:noProof/>
              </w:rPr>
            </w:pPr>
            <w:r w:rsidRPr="00BD731A">
              <w:rPr>
                <w:noProof/>
              </w:rPr>
              <w:t>Climate</w:t>
            </w:r>
          </w:p>
        </w:tc>
        <w:tc>
          <w:tcPr>
            <w:tcW w:w="3213" w:type="dxa"/>
          </w:tcPr>
          <w:p w14:paraId="5B5AC099" w14:textId="77777777" w:rsidR="00E33F26" w:rsidRPr="00BD731A" w:rsidRDefault="00E33F26" w:rsidP="0083214A">
            <w:pPr>
              <w:rPr>
                <w:noProof/>
              </w:rPr>
            </w:pPr>
            <w:r w:rsidRPr="00BD731A">
              <w:rPr>
                <w:noProof/>
              </w:rPr>
              <w:t>Biodiversity</w:t>
            </w:r>
          </w:p>
        </w:tc>
        <w:tc>
          <w:tcPr>
            <w:tcW w:w="3213" w:type="dxa"/>
          </w:tcPr>
          <w:p w14:paraId="439B9582" w14:textId="77777777" w:rsidR="00E33F26" w:rsidRPr="00BD731A" w:rsidRDefault="00E33F26" w:rsidP="0083214A">
            <w:pPr>
              <w:rPr>
                <w:noProof/>
              </w:rPr>
            </w:pPr>
            <w:r w:rsidRPr="00BD731A">
              <w:rPr>
                <w:noProof/>
              </w:rPr>
              <w:t>Gender equality</w:t>
            </w:r>
            <w:r>
              <w:rPr>
                <w:rFonts w:ascii="Calibri" w:hAnsi="Calibri" w:cs="Calibri"/>
                <w:noProof/>
              </w:rPr>
              <w:t> </w:t>
            </w:r>
            <w:r>
              <w:rPr>
                <w:noProof/>
              </w:rPr>
              <w:t>(*)</w:t>
            </w:r>
          </w:p>
        </w:tc>
      </w:tr>
      <w:tr w:rsidR="00E33F26" w:rsidRPr="00040D99" w14:paraId="05FF9AD0" w14:textId="77777777" w:rsidTr="0083214A">
        <w:trPr>
          <w:cnfStyle w:val="000000100000" w:firstRow="0" w:lastRow="0" w:firstColumn="0" w:lastColumn="0" w:oddVBand="0" w:evenVBand="0" w:oddHBand="1" w:evenHBand="0" w:firstRowFirstColumn="0" w:firstRowLastColumn="0" w:lastRowFirstColumn="0" w:lastRowLastColumn="0"/>
        </w:trPr>
        <w:tc>
          <w:tcPr>
            <w:tcW w:w="3213" w:type="dxa"/>
          </w:tcPr>
          <w:tbl>
            <w:tblPr>
              <w:tblStyle w:val="TableGrid"/>
              <w:tblW w:w="0" w:type="auto"/>
              <w:tblLook w:val="06A0" w:firstRow="1" w:lastRow="0" w:firstColumn="1" w:lastColumn="0" w:noHBand="1" w:noVBand="1"/>
            </w:tblPr>
            <w:tblGrid>
              <w:gridCol w:w="1935"/>
            </w:tblGrid>
            <w:tr w:rsidR="00E33F26" w14:paraId="441226D4" w14:textId="77777777" w:rsidTr="0083214A">
              <w:trPr>
                <w:trHeight w:val="285"/>
              </w:trPr>
              <w:tc>
                <w:tcPr>
                  <w:tcW w:w="1935" w:type="dxa"/>
                  <w:tcBorders>
                    <w:top w:val="nil"/>
                    <w:left w:val="nil"/>
                    <w:bottom w:val="nil"/>
                    <w:right w:val="nil"/>
                  </w:tcBorders>
                  <w:vAlign w:val="bottom"/>
                </w:tcPr>
                <w:p w14:paraId="5F36601D" w14:textId="77777777" w:rsidR="00E33F26" w:rsidRDefault="00E33F26" w:rsidP="0083214A">
                  <w:pPr>
                    <w:jc w:val="right"/>
                    <w:rPr>
                      <w:noProof/>
                    </w:rPr>
                  </w:pPr>
                  <w:r>
                    <w:rPr>
                      <w:rFonts w:ascii="Calibri" w:hAnsi="Calibri" w:cs="Calibri"/>
                      <w:noProof/>
                      <w:color w:val="000000"/>
                    </w:rPr>
                    <w:t>0.1</w:t>
                  </w:r>
                </w:p>
              </w:tc>
            </w:tr>
          </w:tbl>
          <w:p w14:paraId="07687B3F" w14:textId="77777777" w:rsidR="00E33F26" w:rsidRPr="00BD731A" w:rsidRDefault="00E33F26" w:rsidP="0083214A">
            <w:pPr>
              <w:jc w:val="center"/>
              <w:rPr>
                <w:noProof/>
              </w:rPr>
            </w:pPr>
          </w:p>
        </w:tc>
        <w:tc>
          <w:tcPr>
            <w:tcW w:w="3213" w:type="dxa"/>
          </w:tcPr>
          <w:p w14:paraId="4E4CC666" w14:textId="77777777" w:rsidR="00E33F26" w:rsidRPr="00BD731A" w:rsidRDefault="00E33F26" w:rsidP="0083214A">
            <w:pPr>
              <w:jc w:val="center"/>
              <w:rPr>
                <w:noProof/>
              </w:rPr>
            </w:pPr>
            <w:r>
              <w:rPr>
                <w:noProof/>
              </w:rPr>
              <w:t>0</w:t>
            </w:r>
          </w:p>
        </w:tc>
        <w:tc>
          <w:tcPr>
            <w:tcW w:w="3213" w:type="dxa"/>
          </w:tcPr>
          <w:p w14:paraId="72641ED4" w14:textId="77777777" w:rsidR="00E33F26" w:rsidRPr="00BD731A" w:rsidRDefault="00E33F26" w:rsidP="0083214A">
            <w:pPr>
              <w:jc w:val="center"/>
              <w:rPr>
                <w:noProof/>
              </w:rPr>
            </w:pPr>
            <w:r>
              <w:rPr>
                <w:noProof/>
              </w:rPr>
              <w:t>Score 0: 791.4</w:t>
            </w:r>
          </w:p>
        </w:tc>
      </w:tr>
    </w:tbl>
    <w:p w14:paraId="39E2D157" w14:textId="77777777" w:rsidR="00E33F26" w:rsidRPr="00982726" w:rsidRDefault="00E33F26" w:rsidP="00E33F26">
      <w:pPr>
        <w:pStyle w:val="FootnoteText"/>
        <w:rPr>
          <w:noProof/>
        </w:rPr>
      </w:pPr>
      <w:r>
        <w:rPr>
          <w:noProof/>
        </w:rPr>
        <w:t>(*)</w:t>
      </w:r>
      <w:r>
        <w:rPr>
          <w:noProof/>
        </w:rPr>
        <w:tab/>
      </w:r>
      <w:r w:rsidRPr="00982726">
        <w:rPr>
          <w:noProof/>
        </w:rPr>
        <w:t xml:space="preserve">Based on the </w:t>
      </w:r>
      <w:r>
        <w:rPr>
          <w:noProof/>
        </w:rPr>
        <w:t xml:space="preserve">applied gender contribution </w:t>
      </w:r>
      <w:r w:rsidRPr="00982726">
        <w:rPr>
          <w:noProof/>
        </w:rPr>
        <w:t>methodology</w:t>
      </w:r>
      <w:r>
        <w:rPr>
          <w:noProof/>
        </w:rPr>
        <w:t>,</w:t>
      </w:r>
      <w:r w:rsidRPr="00982726">
        <w:rPr>
          <w:noProof/>
        </w:rPr>
        <w:t xml:space="preserve"> the following scores are attributed at the most granular level of intervention possible:</w:t>
      </w:r>
    </w:p>
    <w:p w14:paraId="4D85BDC9" w14:textId="77777777" w:rsidR="00E33F26" w:rsidRPr="00982726" w:rsidRDefault="00E33F26" w:rsidP="00E33F26">
      <w:pPr>
        <w:pStyle w:val="FootnoteText"/>
        <w:numPr>
          <w:ilvl w:val="0"/>
          <w:numId w:val="38"/>
        </w:numPr>
        <w:spacing w:after="60" w:line="264" w:lineRule="auto"/>
        <w:jc w:val="left"/>
        <w:rPr>
          <w:noProof/>
        </w:rPr>
      </w:pPr>
      <w:r>
        <w:rPr>
          <w:noProof/>
        </w:rPr>
        <w:t>2:</w:t>
      </w:r>
      <w:r w:rsidRPr="00982726">
        <w:rPr>
          <w:noProof/>
        </w:rPr>
        <w:t xml:space="preserve"> </w:t>
      </w:r>
      <w:r>
        <w:rPr>
          <w:noProof/>
        </w:rPr>
        <w:t>i</w:t>
      </w:r>
      <w:r w:rsidRPr="00982726">
        <w:rPr>
          <w:noProof/>
        </w:rPr>
        <w:t xml:space="preserve">nterventions </w:t>
      </w:r>
      <w:r>
        <w:rPr>
          <w:noProof/>
        </w:rPr>
        <w:t>the</w:t>
      </w:r>
      <w:r w:rsidRPr="00982726">
        <w:rPr>
          <w:noProof/>
        </w:rPr>
        <w:t xml:space="preserve"> principal objective </w:t>
      </w:r>
      <w:r>
        <w:rPr>
          <w:noProof/>
        </w:rPr>
        <w:t xml:space="preserve">of which </w:t>
      </w:r>
      <w:r w:rsidRPr="00982726">
        <w:rPr>
          <w:noProof/>
        </w:rPr>
        <w:t>is to improve gender equality;</w:t>
      </w:r>
    </w:p>
    <w:p w14:paraId="1ECEB74A" w14:textId="77777777" w:rsidR="00E33F26" w:rsidRPr="00982726" w:rsidRDefault="00E33F26" w:rsidP="00E33F26">
      <w:pPr>
        <w:pStyle w:val="FootnoteText"/>
        <w:numPr>
          <w:ilvl w:val="0"/>
          <w:numId w:val="38"/>
        </w:numPr>
        <w:spacing w:after="60" w:line="264" w:lineRule="auto"/>
        <w:jc w:val="left"/>
        <w:rPr>
          <w:noProof/>
        </w:rPr>
      </w:pPr>
      <w:r>
        <w:rPr>
          <w:noProof/>
        </w:rPr>
        <w:t>1:</w:t>
      </w:r>
      <w:r w:rsidRPr="00982726">
        <w:rPr>
          <w:noProof/>
        </w:rPr>
        <w:t xml:space="preserve"> </w:t>
      </w:r>
      <w:r>
        <w:rPr>
          <w:noProof/>
        </w:rPr>
        <w:t>i</w:t>
      </w:r>
      <w:r w:rsidRPr="00982726">
        <w:rPr>
          <w:noProof/>
        </w:rPr>
        <w:t xml:space="preserve">nterventions </w:t>
      </w:r>
      <w:r>
        <w:rPr>
          <w:noProof/>
        </w:rPr>
        <w:t>that have</w:t>
      </w:r>
      <w:r w:rsidRPr="00982726">
        <w:rPr>
          <w:noProof/>
        </w:rPr>
        <w:t xml:space="preserve"> gender equality as an important and deliberate objective but not as the main reason for the intervention;</w:t>
      </w:r>
    </w:p>
    <w:p w14:paraId="7B5A619A" w14:textId="77777777" w:rsidR="00E33F26" w:rsidRPr="00982726" w:rsidRDefault="00E33F26" w:rsidP="00E33F26">
      <w:pPr>
        <w:pStyle w:val="FootnoteText"/>
        <w:numPr>
          <w:ilvl w:val="0"/>
          <w:numId w:val="38"/>
        </w:numPr>
        <w:spacing w:after="60" w:line="264" w:lineRule="auto"/>
        <w:jc w:val="left"/>
        <w:rPr>
          <w:noProof/>
        </w:rPr>
      </w:pPr>
      <w:r>
        <w:rPr>
          <w:noProof/>
        </w:rPr>
        <w:t>0:</w:t>
      </w:r>
      <w:r w:rsidRPr="00982726">
        <w:rPr>
          <w:noProof/>
        </w:rPr>
        <w:t xml:space="preserve"> </w:t>
      </w:r>
      <w:r>
        <w:rPr>
          <w:noProof/>
        </w:rPr>
        <w:t>n</w:t>
      </w:r>
      <w:r w:rsidRPr="00982726">
        <w:rPr>
          <w:noProof/>
        </w:rPr>
        <w:t>o</w:t>
      </w:r>
      <w:r>
        <w:rPr>
          <w:noProof/>
        </w:rPr>
        <w:t>n-</w:t>
      </w:r>
      <w:r w:rsidRPr="00982726">
        <w:rPr>
          <w:noProof/>
        </w:rPr>
        <w:t>targeted interventions</w:t>
      </w:r>
      <w:r>
        <w:rPr>
          <w:noProof/>
        </w:rPr>
        <w:t>;</w:t>
      </w:r>
    </w:p>
    <w:p w14:paraId="555F5B56" w14:textId="77777777" w:rsidR="00E33F26" w:rsidRPr="00982726" w:rsidRDefault="00E33F26" w:rsidP="00E33F26">
      <w:pPr>
        <w:pStyle w:val="FootnoteText"/>
        <w:numPr>
          <w:ilvl w:val="0"/>
          <w:numId w:val="38"/>
        </w:numPr>
        <w:spacing w:after="60" w:line="264" w:lineRule="auto"/>
        <w:jc w:val="left"/>
        <w:rPr>
          <w:noProof/>
        </w:rPr>
      </w:pPr>
      <w:r>
        <w:rPr>
          <w:noProof/>
        </w:rPr>
        <w:t>0*:</w:t>
      </w:r>
      <w:r w:rsidRPr="00982726">
        <w:rPr>
          <w:noProof/>
        </w:rPr>
        <w:t xml:space="preserve"> </w:t>
      </w:r>
      <w:r>
        <w:rPr>
          <w:noProof/>
        </w:rPr>
        <w:t>s</w:t>
      </w:r>
      <w:r w:rsidRPr="00982726">
        <w:rPr>
          <w:noProof/>
        </w:rPr>
        <w:t xml:space="preserve">core to be assigned to interventions with </w:t>
      </w:r>
      <w:r>
        <w:rPr>
          <w:noProof/>
        </w:rPr>
        <w:t xml:space="preserve">a </w:t>
      </w:r>
      <w:r w:rsidRPr="00982726">
        <w:rPr>
          <w:noProof/>
        </w:rPr>
        <w:t>likely but not yet clear positive impact on gender equality.</w:t>
      </w:r>
    </w:p>
    <w:p w14:paraId="463FDEF7" w14:textId="77777777" w:rsidR="00E33F26" w:rsidRPr="00040D99" w:rsidRDefault="00E33F26" w:rsidP="00E33F26">
      <w:pPr>
        <w:pStyle w:val="ppoHeading5"/>
        <w:rPr>
          <w:noProof/>
        </w:rPr>
      </w:pPr>
      <w:r w:rsidRPr="00040D99">
        <w:rPr>
          <w:noProof/>
        </w:rPr>
        <w:t>Performance assessment</w:t>
      </w:r>
    </w:p>
    <w:p w14:paraId="1B5972B7" w14:textId="77777777" w:rsidR="00E33F26" w:rsidRPr="00040D99" w:rsidRDefault="00E33F26" w:rsidP="00E33F26">
      <w:pPr>
        <w:pStyle w:val="ppoHeading6"/>
        <w:rPr>
          <w:noProof/>
        </w:rPr>
      </w:pPr>
      <w:r w:rsidRPr="00040D99">
        <w:rPr>
          <w:noProof/>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E33F26" w:rsidRPr="00AC11E4" w14:paraId="6D675AE2" w14:textId="77777777" w:rsidTr="0083214A">
        <w:trPr>
          <w:cnfStyle w:val="100000000000" w:firstRow="1" w:lastRow="0" w:firstColumn="0" w:lastColumn="0" w:oddVBand="0" w:evenVBand="0" w:oddHBand="0" w:evenHBand="0" w:firstRowFirstColumn="0" w:firstRowLastColumn="0" w:lastRowFirstColumn="0" w:lastRowLastColumn="0"/>
        </w:trPr>
        <w:tc>
          <w:tcPr>
            <w:tcW w:w="2330" w:type="dxa"/>
          </w:tcPr>
          <w:p w14:paraId="519286CF" w14:textId="77777777" w:rsidR="00E33F26" w:rsidRPr="00884C9A" w:rsidRDefault="00E33F26" w:rsidP="0083214A">
            <w:pPr>
              <w:rPr>
                <w:noProof/>
              </w:rPr>
            </w:pPr>
          </w:p>
        </w:tc>
        <w:tc>
          <w:tcPr>
            <w:tcW w:w="1100" w:type="dxa"/>
          </w:tcPr>
          <w:p w14:paraId="7D4A931B" w14:textId="77777777" w:rsidR="00E33F26" w:rsidRPr="00884C9A" w:rsidRDefault="00E33F26" w:rsidP="0083214A">
            <w:pPr>
              <w:rPr>
                <w:noProof/>
              </w:rPr>
            </w:pPr>
            <w:r w:rsidRPr="00884C9A">
              <w:rPr>
                <w:noProof/>
              </w:rPr>
              <w:t>Baseline</w:t>
            </w:r>
          </w:p>
        </w:tc>
        <w:tc>
          <w:tcPr>
            <w:tcW w:w="1526" w:type="dxa"/>
          </w:tcPr>
          <w:p w14:paraId="30FA5FD5" w14:textId="77777777" w:rsidR="00E33F26" w:rsidRPr="00DE6779" w:rsidRDefault="00E33F26" w:rsidP="0083214A">
            <w:pPr>
              <w:rPr>
                <w:rFonts w:ascii="Calibri" w:hAnsi="Calibri" w:cs="Calibri"/>
                <w:noProof/>
              </w:rPr>
            </w:pPr>
            <w:r w:rsidRPr="00884C9A">
              <w:rPr>
                <w:noProof/>
              </w:rPr>
              <w:t>Progress</w:t>
            </w:r>
            <w:r>
              <w:rPr>
                <w:rFonts w:ascii="Calibri" w:hAnsi="Calibri" w:cs="Calibri"/>
                <w:noProof/>
              </w:rPr>
              <w:t> (*)</w:t>
            </w:r>
          </w:p>
        </w:tc>
        <w:tc>
          <w:tcPr>
            <w:tcW w:w="1532" w:type="dxa"/>
          </w:tcPr>
          <w:p w14:paraId="103B2CF3" w14:textId="77777777" w:rsidR="00E33F26" w:rsidRPr="00884C9A" w:rsidRDefault="00E33F26" w:rsidP="0083214A">
            <w:pPr>
              <w:rPr>
                <w:noProof/>
              </w:rPr>
            </w:pPr>
            <w:r w:rsidRPr="00884C9A">
              <w:rPr>
                <w:noProof/>
              </w:rPr>
              <w:t>Target</w:t>
            </w:r>
          </w:p>
        </w:tc>
        <w:tc>
          <w:tcPr>
            <w:tcW w:w="1572" w:type="dxa"/>
          </w:tcPr>
          <w:p w14:paraId="49380D17" w14:textId="77777777" w:rsidR="00E33F26" w:rsidRPr="00884C9A" w:rsidRDefault="00E33F26" w:rsidP="0083214A">
            <w:pPr>
              <w:rPr>
                <w:noProof/>
              </w:rPr>
            </w:pPr>
            <w:r w:rsidRPr="00884C9A">
              <w:rPr>
                <w:noProof/>
              </w:rPr>
              <w:t>Results</w:t>
            </w:r>
          </w:p>
        </w:tc>
        <w:tc>
          <w:tcPr>
            <w:tcW w:w="1579" w:type="dxa"/>
          </w:tcPr>
          <w:p w14:paraId="065B08A5" w14:textId="77777777" w:rsidR="00E33F26" w:rsidRPr="00884C9A" w:rsidRDefault="00E33F26" w:rsidP="0083214A">
            <w:pPr>
              <w:rPr>
                <w:noProof/>
              </w:rPr>
            </w:pPr>
            <w:r w:rsidRPr="00884C9A">
              <w:rPr>
                <w:noProof/>
              </w:rPr>
              <w:t>Assessment</w:t>
            </w:r>
          </w:p>
        </w:tc>
      </w:tr>
      <w:tr w:rsidR="00E33F26" w:rsidRPr="00AC11E4" w14:paraId="3F24C68D" w14:textId="77777777" w:rsidTr="0083214A">
        <w:trPr>
          <w:cnfStyle w:val="000000100000" w:firstRow="0" w:lastRow="0" w:firstColumn="0" w:lastColumn="0" w:oddVBand="0" w:evenVBand="0" w:oddHBand="1" w:evenHBand="0" w:firstRowFirstColumn="0" w:firstRowLastColumn="0" w:lastRowFirstColumn="0" w:lastRowLastColumn="0"/>
        </w:trPr>
        <w:tc>
          <w:tcPr>
            <w:tcW w:w="2330" w:type="dxa"/>
          </w:tcPr>
          <w:p w14:paraId="3116921A" w14:textId="77777777" w:rsidR="00E33F26" w:rsidRPr="00884C9A" w:rsidRDefault="00E33F26" w:rsidP="0083214A">
            <w:pPr>
              <w:rPr>
                <w:noProof/>
              </w:rPr>
            </w:pPr>
            <w:r>
              <w:rPr>
                <w:noProof/>
              </w:rPr>
              <w:t>Population of the EUSF supported countries and regions</w:t>
            </w:r>
          </w:p>
        </w:tc>
        <w:tc>
          <w:tcPr>
            <w:tcW w:w="1100" w:type="dxa"/>
          </w:tcPr>
          <w:p w14:paraId="49EFCEFB" w14:textId="77777777" w:rsidR="00E33F26" w:rsidRPr="00884C9A" w:rsidRDefault="00E33F26" w:rsidP="0083214A">
            <w:pPr>
              <w:jc w:val="center"/>
              <w:rPr>
                <w:noProof/>
              </w:rPr>
            </w:pPr>
            <w:r>
              <w:rPr>
                <w:noProof/>
              </w:rPr>
              <w:t>0</w:t>
            </w:r>
          </w:p>
        </w:tc>
        <w:tc>
          <w:tcPr>
            <w:tcW w:w="1526" w:type="dxa"/>
          </w:tcPr>
          <w:p w14:paraId="0FE43D5E" w14:textId="77777777" w:rsidR="00E33F26" w:rsidRPr="00165E42" w:rsidRDefault="00E33F26" w:rsidP="0083214A">
            <w:pPr>
              <w:jc w:val="center"/>
              <w:rPr>
                <w:noProof/>
              </w:rPr>
            </w:pPr>
            <w:r w:rsidRPr="00165E42">
              <w:rPr>
                <w:noProof/>
              </w:rPr>
              <w:t>N/A</w:t>
            </w:r>
          </w:p>
        </w:tc>
        <w:tc>
          <w:tcPr>
            <w:tcW w:w="1532" w:type="dxa"/>
          </w:tcPr>
          <w:p w14:paraId="4212EBE1" w14:textId="77777777" w:rsidR="00E33F26" w:rsidRPr="00884C9A" w:rsidRDefault="00E33F26" w:rsidP="0083214A">
            <w:pPr>
              <w:jc w:val="center"/>
              <w:rPr>
                <w:noProof/>
              </w:rPr>
            </w:pPr>
            <w:r>
              <w:rPr>
                <w:noProof/>
              </w:rPr>
              <w:t>No targets (demand driven)</w:t>
            </w:r>
          </w:p>
        </w:tc>
        <w:tc>
          <w:tcPr>
            <w:tcW w:w="1572" w:type="dxa"/>
          </w:tcPr>
          <w:p w14:paraId="6AF0016F" w14:textId="77777777" w:rsidR="00E33F26" w:rsidRPr="00884C9A" w:rsidRDefault="00E33F26" w:rsidP="0083214A">
            <w:pPr>
              <w:jc w:val="center"/>
              <w:rPr>
                <w:noProof/>
              </w:rPr>
            </w:pPr>
            <w:r>
              <w:rPr>
                <w:noProof/>
              </w:rPr>
              <w:t>361</w:t>
            </w:r>
            <w:r>
              <w:rPr>
                <w:rFonts w:ascii="Calibri" w:hAnsi="Calibri" w:cs="Calibri"/>
                <w:noProof/>
              </w:rPr>
              <w:t> </w:t>
            </w:r>
            <w:r>
              <w:rPr>
                <w:noProof/>
              </w:rPr>
              <w:t>million</w:t>
            </w:r>
          </w:p>
        </w:tc>
        <w:tc>
          <w:tcPr>
            <w:tcW w:w="1579" w:type="dxa"/>
          </w:tcPr>
          <w:p w14:paraId="1473F258" w14:textId="47086D00" w:rsidR="00E33F26" w:rsidRPr="00884C9A" w:rsidRDefault="00B13542">
            <w:pPr>
              <w:jc w:val="center"/>
              <w:rPr>
                <w:noProof/>
              </w:rPr>
            </w:pPr>
            <w:r>
              <w:rPr>
                <w:noProof/>
              </w:rPr>
              <w:t>N/A</w:t>
            </w:r>
          </w:p>
        </w:tc>
      </w:tr>
      <w:tr w:rsidR="00E33F26" w:rsidRPr="00AC11E4" w14:paraId="60A15022" w14:textId="77777777" w:rsidTr="0083214A">
        <w:trPr>
          <w:cnfStyle w:val="000000010000" w:firstRow="0" w:lastRow="0" w:firstColumn="0" w:lastColumn="0" w:oddVBand="0" w:evenVBand="0" w:oddHBand="0" w:evenHBand="1" w:firstRowFirstColumn="0" w:firstRowLastColumn="0" w:lastRowFirstColumn="0" w:lastRowLastColumn="0"/>
        </w:trPr>
        <w:tc>
          <w:tcPr>
            <w:tcW w:w="2330" w:type="dxa"/>
          </w:tcPr>
          <w:p w14:paraId="00E1EBFD" w14:textId="77777777" w:rsidR="00E33F26" w:rsidRPr="00884C9A" w:rsidRDefault="00E33F26" w:rsidP="0083214A">
            <w:pPr>
              <w:rPr>
                <w:noProof/>
              </w:rPr>
            </w:pPr>
            <w:r>
              <w:rPr>
                <w:noProof/>
              </w:rPr>
              <w:t>Number of countries supported by EUSF</w:t>
            </w:r>
          </w:p>
        </w:tc>
        <w:tc>
          <w:tcPr>
            <w:tcW w:w="1100" w:type="dxa"/>
          </w:tcPr>
          <w:p w14:paraId="7626F770" w14:textId="77777777" w:rsidR="00E33F26" w:rsidRPr="00884C9A" w:rsidRDefault="00E33F26" w:rsidP="0083214A">
            <w:pPr>
              <w:jc w:val="center"/>
              <w:rPr>
                <w:noProof/>
              </w:rPr>
            </w:pPr>
            <w:r>
              <w:rPr>
                <w:noProof/>
              </w:rPr>
              <w:t>0</w:t>
            </w:r>
          </w:p>
        </w:tc>
        <w:tc>
          <w:tcPr>
            <w:tcW w:w="1526" w:type="dxa"/>
          </w:tcPr>
          <w:p w14:paraId="4FEF7C2C" w14:textId="77777777" w:rsidR="00E33F26" w:rsidRPr="00724FDD" w:rsidRDefault="00E33F26" w:rsidP="0083214A">
            <w:pPr>
              <w:jc w:val="center"/>
              <w:rPr>
                <w:b/>
                <w:noProof/>
              </w:rPr>
            </w:pPr>
            <w:r w:rsidRPr="00651D41">
              <w:rPr>
                <w:noProof/>
              </w:rPr>
              <w:t>N/A</w:t>
            </w:r>
          </w:p>
        </w:tc>
        <w:tc>
          <w:tcPr>
            <w:tcW w:w="1532" w:type="dxa"/>
          </w:tcPr>
          <w:p w14:paraId="317B8C5C" w14:textId="77777777" w:rsidR="00E33F26" w:rsidRPr="00884C9A" w:rsidRDefault="00E33F26" w:rsidP="0083214A">
            <w:pPr>
              <w:jc w:val="center"/>
              <w:rPr>
                <w:noProof/>
              </w:rPr>
            </w:pPr>
            <w:r>
              <w:rPr>
                <w:noProof/>
              </w:rPr>
              <w:t>No targets (demand driven)</w:t>
            </w:r>
          </w:p>
        </w:tc>
        <w:tc>
          <w:tcPr>
            <w:tcW w:w="1572" w:type="dxa"/>
          </w:tcPr>
          <w:p w14:paraId="6BC4803C" w14:textId="77777777" w:rsidR="00E33F26" w:rsidRPr="00884C9A" w:rsidRDefault="00E33F26" w:rsidP="0083214A">
            <w:pPr>
              <w:jc w:val="center"/>
              <w:rPr>
                <w:noProof/>
              </w:rPr>
            </w:pPr>
            <w:r>
              <w:rPr>
                <w:noProof/>
              </w:rPr>
              <w:t>25</w:t>
            </w:r>
          </w:p>
        </w:tc>
        <w:tc>
          <w:tcPr>
            <w:tcW w:w="1579" w:type="dxa"/>
          </w:tcPr>
          <w:p w14:paraId="6C785D54" w14:textId="79CEC26F" w:rsidR="00E33F26" w:rsidRPr="00884C9A" w:rsidRDefault="00B13542" w:rsidP="0083214A">
            <w:pPr>
              <w:jc w:val="center"/>
              <w:rPr>
                <w:noProof/>
              </w:rPr>
            </w:pPr>
            <w:r>
              <w:rPr>
                <w:noProof/>
              </w:rPr>
              <w:t>N/A</w:t>
            </w:r>
          </w:p>
        </w:tc>
      </w:tr>
    </w:tbl>
    <w:p w14:paraId="278C027E" w14:textId="77777777" w:rsidR="00E33F26" w:rsidRPr="00040D99" w:rsidRDefault="00E33F26" w:rsidP="00E33F26">
      <w:pPr>
        <w:pStyle w:val="FootnoteText"/>
        <w:spacing w:before="120"/>
        <w:rPr>
          <w:noProof/>
        </w:rPr>
      </w:pPr>
      <w:r w:rsidRPr="00DE6779">
        <w:rPr>
          <w:noProof/>
        </w:rPr>
        <w:t xml:space="preserve">(*) </w:t>
      </w:r>
      <w:r w:rsidRPr="000A4EA1">
        <w:rPr>
          <w:noProof/>
        </w:rPr>
        <w:t>% of target achieved by the end of 2021.</w:t>
      </w:r>
    </w:p>
    <w:p w14:paraId="414862F5" w14:textId="77777777" w:rsidR="00E33F26" w:rsidRPr="00040D99" w:rsidRDefault="00E33F26" w:rsidP="00E33F26">
      <w:pPr>
        <w:pStyle w:val="FootnoteText"/>
        <w:rPr>
          <w:noProof/>
          <w:color w:val="BBB931"/>
        </w:rPr>
      </w:pPr>
    </w:p>
    <w:p w14:paraId="110919EA" w14:textId="77777777" w:rsidR="00E33F26" w:rsidRPr="00F75CD8" w:rsidRDefault="00E33F26" w:rsidP="00E33F26">
      <w:pPr>
        <w:pStyle w:val="ppoListHyphened-L1"/>
        <w:rPr>
          <w:noProof/>
        </w:rPr>
      </w:pPr>
      <w:r w:rsidRPr="00F75CD8">
        <w:rPr>
          <w:noProof/>
        </w:rPr>
        <w:t>In 2021, the Commission completed its assessment and mobilised assistance for the natural disaster applications received at the end of 2020</w:t>
      </w:r>
      <w:r>
        <w:rPr>
          <w:noProof/>
        </w:rPr>
        <w:t>.</w:t>
      </w:r>
    </w:p>
    <w:p w14:paraId="2533CF5F" w14:textId="77777777" w:rsidR="00E33F26" w:rsidRPr="00F75CD8" w:rsidRDefault="00E33F26" w:rsidP="00E33F26">
      <w:pPr>
        <w:pStyle w:val="ppoListHyphened-L2"/>
        <w:ind w:left="851" w:hanging="425"/>
        <w:rPr>
          <w:noProof/>
        </w:rPr>
      </w:pPr>
      <w:r w:rsidRPr="00F75CD8">
        <w:rPr>
          <w:noProof/>
        </w:rPr>
        <w:t xml:space="preserve">The application from Greece submitted in October 2020 </w:t>
      </w:r>
      <w:r>
        <w:rPr>
          <w:noProof/>
        </w:rPr>
        <w:t>concerned</w:t>
      </w:r>
      <w:r w:rsidRPr="00F75CD8">
        <w:rPr>
          <w:noProof/>
        </w:rPr>
        <w:t xml:space="preserve"> the </w:t>
      </w:r>
      <w:r>
        <w:rPr>
          <w:noProof/>
        </w:rPr>
        <w:t xml:space="preserve">August 2020 </w:t>
      </w:r>
      <w:r w:rsidRPr="00F75CD8">
        <w:rPr>
          <w:noProof/>
        </w:rPr>
        <w:t>floods in the region of Sterea Ellada</w:t>
      </w:r>
      <w:r>
        <w:rPr>
          <w:noProof/>
        </w:rPr>
        <w:t>. Greece</w:t>
      </w:r>
      <w:r w:rsidRPr="00F75CD8">
        <w:rPr>
          <w:noProof/>
        </w:rPr>
        <w:t xml:space="preserve"> received </w:t>
      </w:r>
      <w:r>
        <w:rPr>
          <w:noProof/>
        </w:rPr>
        <w:t>an</w:t>
      </w:r>
      <w:r w:rsidRPr="00F75CD8">
        <w:rPr>
          <w:noProof/>
        </w:rPr>
        <w:t xml:space="preserve"> advance payment of the EUSF financial contribution amounting to </w:t>
      </w:r>
      <w:r>
        <w:rPr>
          <w:noProof/>
        </w:rPr>
        <w:t>EUR</w:t>
      </w:r>
      <w:r>
        <w:rPr>
          <w:rFonts w:ascii="Calibri" w:hAnsi="Calibri" w:cs="Calibri"/>
          <w:noProof/>
        </w:rPr>
        <w:t> </w:t>
      </w:r>
      <w:r w:rsidRPr="00F75CD8">
        <w:rPr>
          <w:noProof/>
        </w:rPr>
        <w:t>330</w:t>
      </w:r>
      <w:r>
        <w:rPr>
          <w:rFonts w:ascii="Calibri" w:hAnsi="Calibri" w:cs="Calibri"/>
          <w:noProof/>
        </w:rPr>
        <w:t> </w:t>
      </w:r>
      <w:r w:rsidRPr="00F75CD8">
        <w:rPr>
          <w:noProof/>
        </w:rPr>
        <w:t xml:space="preserve">thousand in March 2021 and </w:t>
      </w:r>
      <w:r>
        <w:rPr>
          <w:noProof/>
        </w:rPr>
        <w:t>a</w:t>
      </w:r>
      <w:r w:rsidRPr="00F75CD8">
        <w:rPr>
          <w:noProof/>
        </w:rPr>
        <w:t xml:space="preserve"> balance payment amounting to nearly </w:t>
      </w:r>
      <w:r>
        <w:rPr>
          <w:noProof/>
        </w:rPr>
        <w:t>EUR</w:t>
      </w:r>
      <w:r>
        <w:rPr>
          <w:rFonts w:ascii="Calibri" w:hAnsi="Calibri" w:cs="Calibri"/>
          <w:noProof/>
        </w:rPr>
        <w:t> </w:t>
      </w:r>
      <w:r w:rsidRPr="00F75CD8">
        <w:rPr>
          <w:noProof/>
        </w:rPr>
        <w:t>3</w:t>
      </w:r>
      <w:r>
        <w:rPr>
          <w:rFonts w:ascii="Calibri" w:hAnsi="Calibri" w:cs="Calibri"/>
          <w:noProof/>
        </w:rPr>
        <w:t> </w:t>
      </w:r>
      <w:r w:rsidRPr="00F75CD8">
        <w:rPr>
          <w:noProof/>
        </w:rPr>
        <w:t>million in July 2021.</w:t>
      </w:r>
    </w:p>
    <w:p w14:paraId="4FA72D2D" w14:textId="77777777" w:rsidR="00E33F26" w:rsidRPr="00F75CD8" w:rsidRDefault="00E33F26" w:rsidP="00E33F26">
      <w:pPr>
        <w:pStyle w:val="ppoListHyphened-L2"/>
        <w:ind w:left="851" w:hanging="425"/>
        <w:rPr>
          <w:noProof/>
        </w:rPr>
      </w:pPr>
      <w:r w:rsidRPr="00F75CD8">
        <w:rPr>
          <w:noProof/>
        </w:rPr>
        <w:t xml:space="preserve">The application from Greece submitted in December 2020 </w:t>
      </w:r>
      <w:r>
        <w:rPr>
          <w:noProof/>
        </w:rPr>
        <w:t>concerned</w:t>
      </w:r>
      <w:r w:rsidRPr="00F75CD8">
        <w:rPr>
          <w:noProof/>
        </w:rPr>
        <w:t xml:space="preserve"> the damages caused by the</w:t>
      </w:r>
      <w:r>
        <w:rPr>
          <w:noProof/>
        </w:rPr>
        <w:t xml:space="preserve"> </w:t>
      </w:r>
      <w:r w:rsidRPr="00F75CD8">
        <w:rPr>
          <w:noProof/>
        </w:rPr>
        <w:t xml:space="preserve">Mediterranean Cyclone Ianos </w:t>
      </w:r>
      <w:r>
        <w:rPr>
          <w:noProof/>
        </w:rPr>
        <w:t xml:space="preserve">in September 2020. Greece </w:t>
      </w:r>
      <w:r w:rsidRPr="00F75CD8">
        <w:rPr>
          <w:noProof/>
        </w:rPr>
        <w:t xml:space="preserve">received </w:t>
      </w:r>
      <w:r>
        <w:rPr>
          <w:noProof/>
        </w:rPr>
        <w:t>an</w:t>
      </w:r>
      <w:r w:rsidRPr="00F75CD8">
        <w:rPr>
          <w:noProof/>
        </w:rPr>
        <w:t xml:space="preserve"> advance payment of the EUSF financial contribution amounting to over </w:t>
      </w:r>
      <w:r>
        <w:rPr>
          <w:noProof/>
        </w:rPr>
        <w:t>EUR</w:t>
      </w:r>
      <w:r>
        <w:rPr>
          <w:rFonts w:ascii="Calibri" w:hAnsi="Calibri" w:cs="Calibri"/>
          <w:noProof/>
        </w:rPr>
        <w:t> </w:t>
      </w:r>
      <w:r w:rsidRPr="00F75CD8">
        <w:rPr>
          <w:noProof/>
        </w:rPr>
        <w:t>2</w:t>
      </w:r>
      <w:r>
        <w:rPr>
          <w:rFonts w:ascii="Calibri" w:hAnsi="Calibri" w:cs="Calibri"/>
          <w:noProof/>
        </w:rPr>
        <w:t> </w:t>
      </w:r>
      <w:r w:rsidRPr="00F75CD8">
        <w:rPr>
          <w:noProof/>
        </w:rPr>
        <w:t xml:space="preserve">million in March 2021 and </w:t>
      </w:r>
      <w:r>
        <w:rPr>
          <w:noProof/>
        </w:rPr>
        <w:t>a</w:t>
      </w:r>
      <w:r w:rsidRPr="00F75CD8">
        <w:rPr>
          <w:noProof/>
        </w:rPr>
        <w:t xml:space="preserve"> balance payment amounting to over </w:t>
      </w:r>
      <w:r>
        <w:rPr>
          <w:noProof/>
        </w:rPr>
        <w:t>EUR</w:t>
      </w:r>
      <w:r>
        <w:rPr>
          <w:rFonts w:ascii="Calibri" w:hAnsi="Calibri" w:cs="Calibri"/>
          <w:noProof/>
        </w:rPr>
        <w:t> </w:t>
      </w:r>
      <w:r w:rsidRPr="00F75CD8">
        <w:rPr>
          <w:noProof/>
        </w:rPr>
        <w:t>19</w:t>
      </w:r>
      <w:r>
        <w:rPr>
          <w:rFonts w:ascii="Calibri" w:hAnsi="Calibri" w:cs="Calibri"/>
          <w:noProof/>
        </w:rPr>
        <w:t> </w:t>
      </w:r>
      <w:r w:rsidRPr="00F75CD8">
        <w:rPr>
          <w:noProof/>
        </w:rPr>
        <w:t>million in July 2021.</w:t>
      </w:r>
    </w:p>
    <w:p w14:paraId="5B7D03FE" w14:textId="77777777" w:rsidR="00E33F26" w:rsidRPr="00F75CD8" w:rsidRDefault="00E33F26" w:rsidP="00E33F26">
      <w:pPr>
        <w:pStyle w:val="ppoListHyphened-L2"/>
        <w:ind w:left="851" w:hanging="425"/>
        <w:rPr>
          <w:noProof/>
        </w:rPr>
      </w:pPr>
      <w:r w:rsidRPr="00F75CD8">
        <w:rPr>
          <w:noProof/>
        </w:rPr>
        <w:t xml:space="preserve">The application from France submitted in December 2020 </w:t>
      </w:r>
      <w:r>
        <w:rPr>
          <w:noProof/>
        </w:rPr>
        <w:t>concerned</w:t>
      </w:r>
      <w:r w:rsidRPr="00F75CD8">
        <w:rPr>
          <w:noProof/>
        </w:rPr>
        <w:t xml:space="preserve"> the damages caused by </w:t>
      </w:r>
      <w:r>
        <w:rPr>
          <w:noProof/>
        </w:rPr>
        <w:t>S</w:t>
      </w:r>
      <w:r w:rsidRPr="00F75CD8">
        <w:rPr>
          <w:noProof/>
        </w:rPr>
        <w:t>torm Alex</w:t>
      </w:r>
      <w:r>
        <w:rPr>
          <w:noProof/>
        </w:rPr>
        <w:t xml:space="preserve"> in</w:t>
      </w:r>
      <w:r w:rsidRPr="00805441">
        <w:rPr>
          <w:noProof/>
        </w:rPr>
        <w:t xml:space="preserve"> </w:t>
      </w:r>
      <w:r>
        <w:rPr>
          <w:noProof/>
        </w:rPr>
        <w:t>October 2020. France</w:t>
      </w:r>
      <w:r w:rsidRPr="00F75CD8">
        <w:rPr>
          <w:noProof/>
        </w:rPr>
        <w:t xml:space="preserve"> received </w:t>
      </w:r>
      <w:r>
        <w:rPr>
          <w:noProof/>
        </w:rPr>
        <w:t>an</w:t>
      </w:r>
      <w:r w:rsidRPr="00F75CD8">
        <w:rPr>
          <w:noProof/>
        </w:rPr>
        <w:t xml:space="preserve"> advance payment of the EUSF financial contribution amounting to nearly </w:t>
      </w:r>
      <w:r>
        <w:rPr>
          <w:noProof/>
        </w:rPr>
        <w:t>EUR</w:t>
      </w:r>
      <w:r>
        <w:rPr>
          <w:rFonts w:ascii="Calibri" w:hAnsi="Calibri" w:cs="Calibri"/>
          <w:noProof/>
        </w:rPr>
        <w:t> </w:t>
      </w:r>
      <w:r w:rsidRPr="00F75CD8">
        <w:rPr>
          <w:noProof/>
        </w:rPr>
        <w:t>6</w:t>
      </w:r>
      <w:r>
        <w:rPr>
          <w:rFonts w:ascii="Calibri" w:hAnsi="Calibri" w:cs="Calibri"/>
          <w:noProof/>
        </w:rPr>
        <w:t> </w:t>
      </w:r>
      <w:r w:rsidRPr="00F75CD8">
        <w:rPr>
          <w:noProof/>
        </w:rPr>
        <w:t xml:space="preserve">million in March 2021 and </w:t>
      </w:r>
      <w:r>
        <w:rPr>
          <w:noProof/>
        </w:rPr>
        <w:t>a</w:t>
      </w:r>
      <w:r w:rsidRPr="00F75CD8">
        <w:rPr>
          <w:noProof/>
        </w:rPr>
        <w:t xml:space="preserve"> balance payment amounting to over </w:t>
      </w:r>
      <w:r>
        <w:rPr>
          <w:noProof/>
        </w:rPr>
        <w:t>EUR</w:t>
      </w:r>
      <w:r>
        <w:rPr>
          <w:rFonts w:ascii="Calibri" w:hAnsi="Calibri" w:cs="Calibri"/>
          <w:noProof/>
        </w:rPr>
        <w:t> </w:t>
      </w:r>
      <w:r w:rsidRPr="00F75CD8">
        <w:rPr>
          <w:noProof/>
        </w:rPr>
        <w:t>53</w:t>
      </w:r>
      <w:r>
        <w:rPr>
          <w:rFonts w:ascii="Calibri" w:hAnsi="Calibri" w:cs="Calibri"/>
          <w:noProof/>
        </w:rPr>
        <w:t> </w:t>
      </w:r>
      <w:r w:rsidRPr="00F75CD8">
        <w:rPr>
          <w:noProof/>
        </w:rPr>
        <w:t>million in July 2021.</w:t>
      </w:r>
    </w:p>
    <w:p w14:paraId="660F0FA6" w14:textId="77777777" w:rsidR="00E33F26" w:rsidRPr="00F75CD8" w:rsidRDefault="00E33F26" w:rsidP="00E33F26">
      <w:pPr>
        <w:pStyle w:val="ppoListHyphened-L1"/>
        <w:rPr>
          <w:noProof/>
        </w:rPr>
      </w:pPr>
      <w:r w:rsidRPr="00F75CD8">
        <w:rPr>
          <w:noProof/>
        </w:rPr>
        <w:t xml:space="preserve">In 2021, the Commission received </w:t>
      </w:r>
      <w:r>
        <w:rPr>
          <w:noProof/>
        </w:rPr>
        <w:t>10</w:t>
      </w:r>
      <w:r w:rsidRPr="00F75CD8">
        <w:rPr>
          <w:noProof/>
        </w:rPr>
        <w:t xml:space="preserve"> new natural disaster applications</w:t>
      </w:r>
      <w:r>
        <w:rPr>
          <w:noProof/>
        </w:rPr>
        <w:t>.</w:t>
      </w:r>
    </w:p>
    <w:p w14:paraId="6AD82E1E" w14:textId="77777777" w:rsidR="00E33F26" w:rsidRPr="00F75CD8" w:rsidRDefault="00E33F26" w:rsidP="00E33F26">
      <w:pPr>
        <w:pStyle w:val="ppoListHyphened-L2"/>
        <w:ind w:left="851" w:hanging="425"/>
        <w:rPr>
          <w:noProof/>
        </w:rPr>
      </w:pPr>
      <w:r w:rsidRPr="00F75CD8">
        <w:rPr>
          <w:noProof/>
        </w:rPr>
        <w:t xml:space="preserve">The application from Greece submitted in January 2021 </w:t>
      </w:r>
      <w:r>
        <w:rPr>
          <w:noProof/>
        </w:rPr>
        <w:t>concerned</w:t>
      </w:r>
      <w:r w:rsidRPr="00F75CD8">
        <w:rPr>
          <w:noProof/>
        </w:rPr>
        <w:t xml:space="preserve"> the earthquake </w:t>
      </w:r>
      <w:r>
        <w:rPr>
          <w:noProof/>
        </w:rPr>
        <w:t>o</w:t>
      </w:r>
      <w:r w:rsidRPr="00F75CD8">
        <w:rPr>
          <w:noProof/>
        </w:rPr>
        <w:t xml:space="preserve">n </w:t>
      </w:r>
      <w:r>
        <w:rPr>
          <w:noProof/>
        </w:rPr>
        <w:t xml:space="preserve">the </w:t>
      </w:r>
      <w:r w:rsidRPr="00F75CD8">
        <w:rPr>
          <w:noProof/>
        </w:rPr>
        <w:t>islands of Chios</w:t>
      </w:r>
      <w:r>
        <w:rPr>
          <w:noProof/>
        </w:rPr>
        <w:t>, Ikaria and Samos</w:t>
      </w:r>
      <w:r w:rsidRPr="00F75CD8">
        <w:rPr>
          <w:noProof/>
        </w:rPr>
        <w:t xml:space="preserve">. Greece received </w:t>
      </w:r>
      <w:r>
        <w:rPr>
          <w:noProof/>
        </w:rPr>
        <w:t>an</w:t>
      </w:r>
      <w:r w:rsidRPr="00F75CD8">
        <w:rPr>
          <w:noProof/>
        </w:rPr>
        <w:t xml:space="preserve"> advance payment of the EUSF financial contribution amounting to </w:t>
      </w:r>
      <w:r>
        <w:rPr>
          <w:noProof/>
        </w:rPr>
        <w:t>EUR</w:t>
      </w:r>
      <w:r>
        <w:rPr>
          <w:rFonts w:ascii="Calibri" w:hAnsi="Calibri" w:cs="Calibri"/>
          <w:noProof/>
        </w:rPr>
        <w:t> </w:t>
      </w:r>
      <w:r w:rsidRPr="00F75CD8">
        <w:rPr>
          <w:noProof/>
        </w:rPr>
        <w:t>253</w:t>
      </w:r>
      <w:r>
        <w:rPr>
          <w:rFonts w:ascii="Calibri" w:hAnsi="Calibri" w:cs="Calibri"/>
          <w:noProof/>
        </w:rPr>
        <w:t> </w:t>
      </w:r>
      <w:r w:rsidRPr="00F75CD8">
        <w:rPr>
          <w:noProof/>
        </w:rPr>
        <w:t xml:space="preserve">thousand in March 2021 and </w:t>
      </w:r>
      <w:r>
        <w:rPr>
          <w:noProof/>
        </w:rPr>
        <w:t>a</w:t>
      </w:r>
      <w:r w:rsidRPr="00F75CD8">
        <w:rPr>
          <w:noProof/>
        </w:rPr>
        <w:t xml:space="preserve"> balance payment amounting to over </w:t>
      </w:r>
      <w:r>
        <w:rPr>
          <w:noProof/>
        </w:rPr>
        <w:t>EUR</w:t>
      </w:r>
      <w:r>
        <w:rPr>
          <w:rFonts w:ascii="Calibri" w:hAnsi="Calibri" w:cs="Calibri"/>
          <w:noProof/>
        </w:rPr>
        <w:t> </w:t>
      </w:r>
      <w:r w:rsidRPr="00F75CD8">
        <w:rPr>
          <w:noProof/>
        </w:rPr>
        <w:t>3</w:t>
      </w:r>
      <w:r>
        <w:rPr>
          <w:rFonts w:ascii="Calibri" w:hAnsi="Calibri" w:cs="Calibri"/>
          <w:noProof/>
        </w:rPr>
        <w:t> </w:t>
      </w:r>
      <w:r w:rsidRPr="00F75CD8">
        <w:rPr>
          <w:noProof/>
        </w:rPr>
        <w:t>million</w:t>
      </w:r>
      <w:r w:rsidRPr="008459F6">
        <w:rPr>
          <w:noProof/>
        </w:rPr>
        <w:t xml:space="preserve"> </w:t>
      </w:r>
      <w:r w:rsidRPr="00F75CD8">
        <w:rPr>
          <w:noProof/>
        </w:rPr>
        <w:t>in July 2021.</w:t>
      </w:r>
    </w:p>
    <w:p w14:paraId="026E1470" w14:textId="77777777" w:rsidR="00E33F26" w:rsidRPr="00F75CD8" w:rsidRDefault="00E33F26" w:rsidP="00E33F26">
      <w:pPr>
        <w:pStyle w:val="ppoListHyphened-L2"/>
        <w:ind w:left="851" w:hanging="425"/>
        <w:rPr>
          <w:noProof/>
        </w:rPr>
      </w:pPr>
      <w:r w:rsidRPr="00F75CD8">
        <w:rPr>
          <w:noProof/>
        </w:rPr>
        <w:t xml:space="preserve">The application from Croatia submitted in March 2021 </w:t>
      </w:r>
      <w:r>
        <w:rPr>
          <w:noProof/>
        </w:rPr>
        <w:t>concerned</w:t>
      </w:r>
      <w:r w:rsidRPr="00F75CD8">
        <w:rPr>
          <w:noProof/>
        </w:rPr>
        <w:t xml:space="preserve"> the series of earthquakes starting from December 2020. Croatia received </w:t>
      </w:r>
      <w:r>
        <w:rPr>
          <w:noProof/>
        </w:rPr>
        <w:t>an</w:t>
      </w:r>
      <w:r w:rsidRPr="00F75CD8">
        <w:rPr>
          <w:noProof/>
        </w:rPr>
        <w:t xml:space="preserve"> advance payment of the EUSF financial contribution amounting to over</w:t>
      </w:r>
      <w:r>
        <w:rPr>
          <w:noProof/>
        </w:rPr>
        <w:t xml:space="preserve"> EUR</w:t>
      </w:r>
      <w:r>
        <w:rPr>
          <w:rFonts w:ascii="Calibri" w:hAnsi="Calibri" w:cs="Calibri"/>
          <w:noProof/>
        </w:rPr>
        <w:t> </w:t>
      </w:r>
      <w:r w:rsidRPr="00F75CD8">
        <w:rPr>
          <w:noProof/>
        </w:rPr>
        <w:t>41</w:t>
      </w:r>
      <w:r>
        <w:rPr>
          <w:rFonts w:ascii="Calibri" w:hAnsi="Calibri" w:cs="Calibri"/>
          <w:noProof/>
        </w:rPr>
        <w:t> </w:t>
      </w:r>
      <w:r w:rsidRPr="00F75CD8">
        <w:rPr>
          <w:noProof/>
        </w:rPr>
        <w:t>million</w:t>
      </w:r>
      <w:r w:rsidRPr="008459F6">
        <w:rPr>
          <w:noProof/>
        </w:rPr>
        <w:t xml:space="preserve"> </w:t>
      </w:r>
      <w:r w:rsidRPr="00F75CD8">
        <w:rPr>
          <w:noProof/>
        </w:rPr>
        <w:t xml:space="preserve">in August 2021 and </w:t>
      </w:r>
      <w:r>
        <w:rPr>
          <w:noProof/>
        </w:rPr>
        <w:t>a</w:t>
      </w:r>
      <w:r w:rsidRPr="00F75CD8">
        <w:rPr>
          <w:noProof/>
        </w:rPr>
        <w:t xml:space="preserve"> balance payment amounting to </w:t>
      </w:r>
      <w:r>
        <w:rPr>
          <w:noProof/>
        </w:rPr>
        <w:t>EUR</w:t>
      </w:r>
      <w:r>
        <w:rPr>
          <w:rFonts w:ascii="Calibri" w:hAnsi="Calibri" w:cs="Calibri"/>
          <w:noProof/>
        </w:rPr>
        <w:t> </w:t>
      </w:r>
      <w:r w:rsidRPr="00F75CD8">
        <w:rPr>
          <w:noProof/>
        </w:rPr>
        <w:t>278</w:t>
      </w:r>
      <w:r>
        <w:rPr>
          <w:rFonts w:ascii="Calibri" w:hAnsi="Calibri" w:cs="Calibri"/>
          <w:noProof/>
        </w:rPr>
        <w:t> </w:t>
      </w:r>
      <w:r w:rsidRPr="00F75CD8">
        <w:rPr>
          <w:noProof/>
        </w:rPr>
        <w:t>million in December 2021.</w:t>
      </w:r>
    </w:p>
    <w:p w14:paraId="5412B094" w14:textId="77777777" w:rsidR="00E33F26" w:rsidRPr="00F75CD8" w:rsidRDefault="00E33F26" w:rsidP="00E33F26">
      <w:pPr>
        <w:pStyle w:val="ppoListHyphened-L2"/>
        <w:ind w:left="851" w:hanging="425"/>
        <w:rPr>
          <w:noProof/>
        </w:rPr>
      </w:pPr>
      <w:r>
        <w:rPr>
          <w:noProof/>
        </w:rPr>
        <w:t xml:space="preserve">In </w:t>
      </w:r>
      <w:r w:rsidRPr="00F75CD8">
        <w:rPr>
          <w:noProof/>
        </w:rPr>
        <w:t xml:space="preserve">October 2021, </w:t>
      </w:r>
      <w:r w:rsidRPr="00AB36CE">
        <w:rPr>
          <w:noProof/>
        </w:rPr>
        <w:t xml:space="preserve">Belgium, </w:t>
      </w:r>
      <w:r w:rsidRPr="00DE6779">
        <w:rPr>
          <w:noProof/>
        </w:rPr>
        <w:t xml:space="preserve">Germany, </w:t>
      </w:r>
      <w:r w:rsidRPr="00AB36CE">
        <w:rPr>
          <w:noProof/>
        </w:rPr>
        <w:t>Luxemb</w:t>
      </w:r>
      <w:r w:rsidRPr="00DE6779">
        <w:rPr>
          <w:noProof/>
        </w:rPr>
        <w:t>o</w:t>
      </w:r>
      <w:r w:rsidRPr="00AB36CE">
        <w:rPr>
          <w:noProof/>
        </w:rPr>
        <w:t>urg</w:t>
      </w:r>
      <w:r w:rsidRPr="00DE6779">
        <w:rPr>
          <w:noProof/>
        </w:rPr>
        <w:t>,</w:t>
      </w:r>
      <w:r w:rsidRPr="00AB36CE">
        <w:rPr>
          <w:noProof/>
        </w:rPr>
        <w:t xml:space="preserve"> the Netherlands and </w:t>
      </w:r>
      <w:r w:rsidRPr="00DE6779">
        <w:rPr>
          <w:noProof/>
        </w:rPr>
        <w:t>Austria</w:t>
      </w:r>
      <w:r w:rsidRPr="00F75CD8">
        <w:rPr>
          <w:noProof/>
        </w:rPr>
        <w:t xml:space="preserve"> submitted their applications regarding the </w:t>
      </w:r>
      <w:r>
        <w:rPr>
          <w:noProof/>
        </w:rPr>
        <w:t xml:space="preserve">July 2021 </w:t>
      </w:r>
      <w:r w:rsidRPr="00F75CD8">
        <w:rPr>
          <w:noProof/>
        </w:rPr>
        <w:t>floods.</w:t>
      </w:r>
    </w:p>
    <w:p w14:paraId="6C0CF7D4" w14:textId="77777777" w:rsidR="00E33F26" w:rsidRPr="00F75CD8" w:rsidRDefault="00E33F26" w:rsidP="00E33F26">
      <w:pPr>
        <w:pStyle w:val="ppoListHyphened-L2"/>
        <w:ind w:left="851" w:hanging="425"/>
        <w:rPr>
          <w:noProof/>
        </w:rPr>
      </w:pPr>
      <w:r w:rsidRPr="00F75CD8">
        <w:rPr>
          <w:noProof/>
        </w:rPr>
        <w:t>In December 2021, Spain submitted an application in relation to the volcanic eruption in La Palma, Canary Islands.</w:t>
      </w:r>
    </w:p>
    <w:p w14:paraId="488C7D98" w14:textId="77777777" w:rsidR="00E33F26" w:rsidRDefault="00E33F26" w:rsidP="00E33F26">
      <w:pPr>
        <w:pStyle w:val="ppoListHyphened-L2"/>
        <w:ind w:left="851" w:hanging="425"/>
        <w:rPr>
          <w:noProof/>
        </w:rPr>
      </w:pPr>
      <w:r w:rsidRPr="00F75CD8">
        <w:rPr>
          <w:noProof/>
        </w:rPr>
        <w:t xml:space="preserve">In December 2021, Greece submitted an application in relation to the </w:t>
      </w:r>
      <w:r>
        <w:rPr>
          <w:noProof/>
        </w:rPr>
        <w:t xml:space="preserve">September 2021 </w:t>
      </w:r>
      <w:r w:rsidRPr="00F75CD8">
        <w:rPr>
          <w:noProof/>
        </w:rPr>
        <w:t>earthqua</w:t>
      </w:r>
      <w:r>
        <w:rPr>
          <w:noProof/>
        </w:rPr>
        <w:t>ke in Crete.</w:t>
      </w:r>
    </w:p>
    <w:p w14:paraId="50BB1A8B" w14:textId="77777777" w:rsidR="00E33F26" w:rsidRPr="00FC6E05" w:rsidRDefault="00E33F26" w:rsidP="00E33F26">
      <w:pPr>
        <w:pStyle w:val="ppoListHyphened-L1"/>
        <w:rPr>
          <w:noProof/>
        </w:rPr>
      </w:pPr>
      <w:r w:rsidRPr="00FC6E05">
        <w:rPr>
          <w:noProof/>
        </w:rPr>
        <w:t xml:space="preserve">Since April 2020, Member States and accession countries can </w:t>
      </w:r>
      <w:r>
        <w:rPr>
          <w:noProof/>
        </w:rPr>
        <w:t xml:space="preserve">also </w:t>
      </w:r>
      <w:r w:rsidRPr="00FC6E05">
        <w:rPr>
          <w:noProof/>
        </w:rPr>
        <w:t>apply for support from the EU Solidarity Fund for public health emergency reasons.</w:t>
      </w:r>
    </w:p>
    <w:p w14:paraId="34F616AC" w14:textId="77777777" w:rsidR="00E33F26" w:rsidRPr="00FC6E05" w:rsidRDefault="00E33F26" w:rsidP="00E33F26">
      <w:pPr>
        <w:pStyle w:val="ppoListHyphened-L2"/>
        <w:ind w:left="851" w:hanging="425"/>
        <w:rPr>
          <w:noProof/>
        </w:rPr>
      </w:pPr>
      <w:r w:rsidRPr="00FC6E05">
        <w:rPr>
          <w:noProof/>
        </w:rPr>
        <w:t>By June 2020</w:t>
      </w:r>
      <w:r>
        <w:rPr>
          <w:noProof/>
        </w:rPr>
        <w:t>,</w:t>
      </w:r>
      <w:r w:rsidRPr="00FC6E05">
        <w:rPr>
          <w:noProof/>
        </w:rPr>
        <w:t xml:space="preserve"> the Commission </w:t>
      </w:r>
      <w:r>
        <w:rPr>
          <w:noProof/>
        </w:rPr>
        <w:t xml:space="preserve">had </w:t>
      </w:r>
      <w:r w:rsidRPr="00FC6E05">
        <w:rPr>
          <w:noProof/>
        </w:rPr>
        <w:t>received 22 applications for a financial contribution from the EUSF. Overall, 19 Member States (</w:t>
      </w:r>
      <w:r w:rsidRPr="00AB36CE">
        <w:rPr>
          <w:noProof/>
        </w:rPr>
        <w:t xml:space="preserve">Belgium, Czechia, </w:t>
      </w:r>
      <w:r w:rsidRPr="00DE6779">
        <w:rPr>
          <w:noProof/>
        </w:rPr>
        <w:t xml:space="preserve">Germany, </w:t>
      </w:r>
      <w:r w:rsidRPr="00AB36CE">
        <w:rPr>
          <w:noProof/>
        </w:rPr>
        <w:t xml:space="preserve">Estonia, </w:t>
      </w:r>
      <w:r w:rsidRPr="00DE6779">
        <w:rPr>
          <w:noProof/>
        </w:rPr>
        <w:t xml:space="preserve">Ireland, </w:t>
      </w:r>
      <w:r w:rsidRPr="00AB36CE">
        <w:rPr>
          <w:noProof/>
        </w:rPr>
        <w:t xml:space="preserve">Greece, </w:t>
      </w:r>
      <w:r w:rsidRPr="00DE6779">
        <w:rPr>
          <w:noProof/>
        </w:rPr>
        <w:t xml:space="preserve">Spain, France, Croatia, </w:t>
      </w:r>
      <w:r w:rsidRPr="00AB36CE">
        <w:rPr>
          <w:noProof/>
        </w:rPr>
        <w:t xml:space="preserve">Italy, Latvia, Lithuania, Luxembourg, </w:t>
      </w:r>
      <w:r w:rsidRPr="00DE6779">
        <w:rPr>
          <w:noProof/>
        </w:rPr>
        <w:t xml:space="preserve">Hungary, Austria, </w:t>
      </w:r>
      <w:r w:rsidRPr="00AB36CE">
        <w:rPr>
          <w:noProof/>
        </w:rPr>
        <w:t>Poland, Portugal, Romania</w:t>
      </w:r>
      <w:r>
        <w:rPr>
          <w:noProof/>
        </w:rPr>
        <w:t xml:space="preserve"> and </w:t>
      </w:r>
      <w:r w:rsidRPr="00AB36CE">
        <w:rPr>
          <w:noProof/>
        </w:rPr>
        <w:t>Slovenia) and three accession countries (Albania, Montenegro and Serbia</w:t>
      </w:r>
      <w:r w:rsidRPr="00FC6E05">
        <w:rPr>
          <w:noProof/>
        </w:rPr>
        <w:t>) requested assistance in response to the major public health emergency caused by COVID</w:t>
      </w:r>
      <w:r>
        <w:rPr>
          <w:noProof/>
        </w:rPr>
        <w:noBreakHyphen/>
      </w:r>
      <w:r w:rsidRPr="00FC6E05">
        <w:rPr>
          <w:noProof/>
        </w:rPr>
        <w:t>19. All applications were assessed in a single package to ensure consistent and equitable treatment.</w:t>
      </w:r>
    </w:p>
    <w:p w14:paraId="5FD08598" w14:textId="77777777" w:rsidR="00E33F26" w:rsidRPr="00FC6E05" w:rsidRDefault="00E33F26" w:rsidP="00E33F26">
      <w:pPr>
        <w:pStyle w:val="ppoListHyphened-L2"/>
        <w:ind w:left="851" w:hanging="425"/>
        <w:rPr>
          <w:noProof/>
        </w:rPr>
      </w:pPr>
      <w:r w:rsidRPr="00FC6E05">
        <w:rPr>
          <w:noProof/>
        </w:rPr>
        <w:t xml:space="preserve">In 2020, based on its preliminary assessment, the Commission </w:t>
      </w:r>
      <w:r>
        <w:rPr>
          <w:noProof/>
        </w:rPr>
        <w:t>disbursed</w:t>
      </w:r>
      <w:r w:rsidRPr="00FC6E05">
        <w:rPr>
          <w:noProof/>
        </w:rPr>
        <w:t xml:space="preserve"> </w:t>
      </w:r>
      <w:r>
        <w:rPr>
          <w:noProof/>
        </w:rPr>
        <w:t>a</w:t>
      </w:r>
      <w:r w:rsidRPr="00FC6E05">
        <w:rPr>
          <w:noProof/>
        </w:rPr>
        <w:t xml:space="preserve"> total </w:t>
      </w:r>
      <w:r>
        <w:rPr>
          <w:noProof/>
        </w:rPr>
        <w:t>of EUR</w:t>
      </w:r>
      <w:r>
        <w:rPr>
          <w:rFonts w:ascii="Calibri" w:hAnsi="Calibri" w:cs="Calibri"/>
          <w:noProof/>
        </w:rPr>
        <w:t> </w:t>
      </w:r>
      <w:r w:rsidRPr="00FC6E05">
        <w:rPr>
          <w:noProof/>
        </w:rPr>
        <w:t>133</w:t>
      </w:r>
      <w:r>
        <w:rPr>
          <w:rFonts w:ascii="Calibri" w:hAnsi="Calibri" w:cs="Calibri"/>
          <w:noProof/>
        </w:rPr>
        <w:t> </w:t>
      </w:r>
      <w:r w:rsidRPr="00FC6E05">
        <w:rPr>
          <w:noProof/>
        </w:rPr>
        <w:t xml:space="preserve">million in advance payments to </w:t>
      </w:r>
      <w:r w:rsidRPr="00AB36CE">
        <w:rPr>
          <w:noProof/>
        </w:rPr>
        <w:t>Germany, Ireland, Greece, Spain, Croatia, Hungary and Portugal</w:t>
      </w:r>
      <w:r w:rsidRPr="00FC6E05">
        <w:rPr>
          <w:noProof/>
        </w:rPr>
        <w:t>.</w:t>
      </w:r>
    </w:p>
    <w:p w14:paraId="5DA21280" w14:textId="77777777" w:rsidR="00E33F26" w:rsidRPr="00FC6E05" w:rsidRDefault="00E33F26" w:rsidP="00E33F26">
      <w:pPr>
        <w:pStyle w:val="ppoListHyphened-L2"/>
        <w:ind w:left="851" w:hanging="425"/>
        <w:rPr>
          <w:noProof/>
        </w:rPr>
      </w:pPr>
      <w:r w:rsidRPr="00FC6E05">
        <w:rPr>
          <w:noProof/>
        </w:rPr>
        <w:t xml:space="preserve">In May 2021, the budget authority approved </w:t>
      </w:r>
      <w:r>
        <w:rPr>
          <w:noProof/>
        </w:rPr>
        <w:t xml:space="preserve">the </w:t>
      </w:r>
      <w:r w:rsidRPr="00FC6E05">
        <w:rPr>
          <w:noProof/>
        </w:rPr>
        <w:t xml:space="preserve">mobilisation of the EUSF for a financial contribution </w:t>
      </w:r>
      <w:r>
        <w:rPr>
          <w:noProof/>
        </w:rPr>
        <w:t>amounting to over EUR</w:t>
      </w:r>
      <w:r>
        <w:rPr>
          <w:rFonts w:ascii="Calibri" w:hAnsi="Calibri" w:cs="Calibri"/>
          <w:noProof/>
        </w:rPr>
        <w:t> </w:t>
      </w:r>
      <w:r w:rsidRPr="00DE6779">
        <w:rPr>
          <w:noProof/>
        </w:rPr>
        <w:t>529</w:t>
      </w:r>
      <w:r w:rsidRPr="00C10872">
        <w:rPr>
          <w:rFonts w:ascii="Calibri" w:hAnsi="Calibri" w:cs="Calibri"/>
          <w:noProof/>
        </w:rPr>
        <w:t> </w:t>
      </w:r>
      <w:r w:rsidRPr="00DE6779">
        <w:rPr>
          <w:noProof/>
        </w:rPr>
        <w:t xml:space="preserve">million </w:t>
      </w:r>
      <w:r>
        <w:rPr>
          <w:noProof/>
        </w:rPr>
        <w:t>requested</w:t>
      </w:r>
      <w:r w:rsidRPr="00FC6E05">
        <w:rPr>
          <w:noProof/>
        </w:rPr>
        <w:t xml:space="preserve"> by </w:t>
      </w:r>
      <w:r>
        <w:rPr>
          <w:noProof/>
        </w:rPr>
        <w:t>20</w:t>
      </w:r>
      <w:r w:rsidRPr="00FC6E05">
        <w:rPr>
          <w:noProof/>
        </w:rPr>
        <w:t xml:space="preserve"> applicant countries in relation to the major public health</w:t>
      </w:r>
      <w:r>
        <w:rPr>
          <w:noProof/>
        </w:rPr>
        <w:t xml:space="preserve"> crisis</w:t>
      </w:r>
      <w:r w:rsidRPr="00FC6E05">
        <w:rPr>
          <w:noProof/>
        </w:rPr>
        <w:t>.</w:t>
      </w:r>
    </w:p>
    <w:p w14:paraId="2DACA320" w14:textId="77777777" w:rsidR="00E33F26" w:rsidRPr="00FC6E05" w:rsidRDefault="00E33F26" w:rsidP="00E33F26">
      <w:pPr>
        <w:pStyle w:val="ppoListHyphened-L2"/>
        <w:ind w:left="851" w:hanging="425"/>
        <w:rPr>
          <w:noProof/>
        </w:rPr>
      </w:pPr>
      <w:r w:rsidRPr="00FC6E05">
        <w:rPr>
          <w:noProof/>
        </w:rPr>
        <w:t>In total, in the period from September to the end of December 2021, the Commission made 1</w:t>
      </w:r>
      <w:r>
        <w:rPr>
          <w:noProof/>
        </w:rPr>
        <w:t>9</w:t>
      </w:r>
      <w:r w:rsidRPr="00FC6E05">
        <w:rPr>
          <w:noProof/>
        </w:rPr>
        <w:t xml:space="preserve"> payments amount</w:t>
      </w:r>
      <w:r>
        <w:rPr>
          <w:noProof/>
        </w:rPr>
        <w:t>ing in total</w:t>
      </w:r>
      <w:r w:rsidRPr="00FC6E05">
        <w:rPr>
          <w:noProof/>
        </w:rPr>
        <w:t xml:space="preserve"> </w:t>
      </w:r>
      <w:r>
        <w:rPr>
          <w:noProof/>
        </w:rPr>
        <w:t>to EUR</w:t>
      </w:r>
      <w:r>
        <w:rPr>
          <w:rFonts w:ascii="Calibri" w:hAnsi="Calibri" w:cs="Calibri"/>
          <w:noProof/>
        </w:rPr>
        <w:t> </w:t>
      </w:r>
      <w:r w:rsidRPr="00FC6E05">
        <w:rPr>
          <w:noProof/>
        </w:rPr>
        <w:t>385 million.</w:t>
      </w:r>
    </w:p>
    <w:p w14:paraId="52FAC84F" w14:textId="77777777" w:rsidR="00E33F26" w:rsidRPr="00FC6E05" w:rsidRDefault="00E33F26" w:rsidP="00E33F26">
      <w:pPr>
        <w:pStyle w:val="ppoListHyphened-L2"/>
        <w:ind w:left="851" w:hanging="425"/>
        <w:rPr>
          <w:noProof/>
        </w:rPr>
      </w:pPr>
      <w:r w:rsidRPr="00FC6E05">
        <w:rPr>
          <w:noProof/>
        </w:rPr>
        <w:t xml:space="preserve">The only remaining payment left to execute is the payment to Serbia. The respective payment credit has been carried over to 2022. The signature of the </w:t>
      </w:r>
      <w:r>
        <w:rPr>
          <w:noProof/>
        </w:rPr>
        <w:t>d</w:t>
      </w:r>
      <w:r w:rsidRPr="00FC6E05">
        <w:rPr>
          <w:noProof/>
        </w:rPr>
        <w:t xml:space="preserve">elegation </w:t>
      </w:r>
      <w:r>
        <w:rPr>
          <w:noProof/>
        </w:rPr>
        <w:t>a</w:t>
      </w:r>
      <w:r w:rsidRPr="00FC6E05">
        <w:rPr>
          <w:noProof/>
        </w:rPr>
        <w:t xml:space="preserve">greement with Serbia is ongoing and the assistance is expected to be </w:t>
      </w:r>
      <w:r>
        <w:rPr>
          <w:noProof/>
        </w:rPr>
        <w:t>carried</w:t>
      </w:r>
      <w:r w:rsidRPr="00FC6E05">
        <w:rPr>
          <w:noProof/>
        </w:rPr>
        <w:t xml:space="preserve"> out after completion of the </w:t>
      </w:r>
      <w:r>
        <w:rPr>
          <w:noProof/>
        </w:rPr>
        <w:t>a</w:t>
      </w:r>
      <w:r w:rsidRPr="00FC6E05">
        <w:rPr>
          <w:noProof/>
        </w:rPr>
        <w:t>greement.</w:t>
      </w:r>
    </w:p>
    <w:p w14:paraId="026C29E8" w14:textId="77777777" w:rsidR="00434A92" w:rsidRDefault="00434A92" w:rsidP="005348AD">
      <w:pPr>
        <w:pStyle w:val="ppoListHyphened-L1"/>
        <w:numPr>
          <w:ilvl w:val="0"/>
          <w:numId w:val="0"/>
        </w:numPr>
        <w:ind w:left="357" w:hanging="357"/>
        <w:rPr>
          <w:b/>
          <w:noProof/>
        </w:rPr>
        <w:sectPr w:rsidR="00434A92" w:rsidSect="0083214A">
          <w:headerReference w:type="even" r:id="rId638"/>
          <w:headerReference w:type="default" r:id="rId639"/>
          <w:footerReference w:type="even" r:id="rId640"/>
          <w:footerReference w:type="default" r:id="rId641"/>
          <w:headerReference w:type="first" r:id="rId642"/>
          <w:footerReference w:type="first" r:id="rId643"/>
          <w:type w:val="continuous"/>
          <w:pgSz w:w="11906" w:h="16838" w:code="9"/>
          <w:pgMar w:top="1134" w:right="1134" w:bottom="964" w:left="1134" w:header="431" w:footer="431" w:gutter="0"/>
          <w:cols w:space="720"/>
          <w:titlePg/>
          <w:docGrid w:linePitch="360"/>
        </w:sectPr>
      </w:pPr>
    </w:p>
    <w:p w14:paraId="1FF8F457" w14:textId="77777777" w:rsidR="00434A92" w:rsidRPr="00FF1E2D" w:rsidRDefault="00434A92" w:rsidP="00434A92">
      <w:pPr>
        <w:pStyle w:val="StyleppoHeading3WhiteLeft0cm"/>
        <w:rPr>
          <w:noProof/>
          <w:sz w:val="40"/>
          <w:szCs w:val="40"/>
          <w:lang w:val="en-IE"/>
        </w:rPr>
      </w:pPr>
    </w:p>
    <w:p w14:paraId="2CC2765D" w14:textId="77777777" w:rsidR="00434A92" w:rsidRPr="00FF1E2D" w:rsidRDefault="00434A92" w:rsidP="00434A92">
      <w:pPr>
        <w:pStyle w:val="StyleppoHeading3WhiteLeft0cm"/>
        <w:rPr>
          <w:noProof/>
          <w:sz w:val="60"/>
          <w:szCs w:val="60"/>
          <w:lang w:val="en-IE"/>
        </w:rPr>
      </w:pPr>
      <w:bookmarkStart w:id="286" w:name="_Toc102086376"/>
      <w:r w:rsidRPr="00FF1E2D">
        <w:rPr>
          <w:noProof/>
          <w:sz w:val="60"/>
          <w:szCs w:val="60"/>
          <w:lang w:val="en-IE"/>
        </w:rPr>
        <w:t>I</w:t>
      </w:r>
      <w:r>
        <w:rPr>
          <w:noProof/>
          <w:sz w:val="60"/>
          <w:szCs w:val="60"/>
          <w:lang w:val="en-IE"/>
        </w:rPr>
        <w:t>NNOVATION FUND</w:t>
      </w:r>
      <w:bookmarkEnd w:id="286"/>
    </w:p>
    <w:p w14:paraId="3B438F93" w14:textId="77777777" w:rsidR="00434A92" w:rsidRPr="00FF1E2D" w:rsidRDefault="00434A92" w:rsidP="00434A92">
      <w:pPr>
        <w:pStyle w:val="StyleppoProgrammenameWhiteLeft01cm"/>
        <w:rPr>
          <w:noProof/>
          <w:lang w:val="en-IE"/>
        </w:rPr>
      </w:pPr>
      <w:r w:rsidRPr="00FF1E2D">
        <w:rPr>
          <w:noProof/>
          <w:lang w:val="en-IE"/>
        </w:rPr>
        <w:t>I</w:t>
      </w:r>
      <w:r>
        <w:rPr>
          <w:noProof/>
          <w:lang w:val="en-IE"/>
        </w:rPr>
        <w:t>NNOVATION FUND</w:t>
      </w:r>
    </w:p>
    <w:p w14:paraId="29E7C050" w14:textId="77777777" w:rsidR="00434A92" w:rsidRPr="00FF1E2D" w:rsidRDefault="00434A92" w:rsidP="00434A92">
      <w:pPr>
        <w:pStyle w:val="ppoHeading4Turquoise"/>
        <w:rPr>
          <w:noProof/>
          <w:lang w:val="en-IE"/>
        </w:rPr>
      </w:pPr>
      <w:r w:rsidRPr="00FF1E2D">
        <w:rPr>
          <w:noProof/>
          <w:lang w:val="en-IE"/>
        </w:rPr>
        <w:t>Programme in a nutshell</w:t>
      </w:r>
    </w:p>
    <w:p w14:paraId="3AC98299" w14:textId="77777777" w:rsidR="00434A92" w:rsidRPr="00FF1E2D" w:rsidRDefault="00434A92" w:rsidP="00434A92">
      <w:pPr>
        <w:spacing w:after="480"/>
        <w:rPr>
          <w:rFonts w:eastAsiaTheme="minorEastAsia"/>
          <w:noProof/>
          <w:color w:val="FFFFFF" w:themeColor="background1"/>
          <w:sz w:val="32"/>
          <w:lang w:val="en-IE"/>
        </w:rPr>
        <w:sectPr w:rsidR="00434A92" w:rsidRPr="00FF1E2D" w:rsidSect="0083214A">
          <w:headerReference w:type="even" r:id="rId644"/>
          <w:headerReference w:type="default" r:id="rId645"/>
          <w:footerReference w:type="even" r:id="rId646"/>
          <w:footerReference w:type="default" r:id="rId647"/>
          <w:headerReference w:type="first" r:id="rId648"/>
          <w:footerReference w:type="first" r:id="rId649"/>
          <w:pgSz w:w="11906" w:h="16838" w:code="9"/>
          <w:pgMar w:top="1134" w:right="1134" w:bottom="964" w:left="1134" w:header="431" w:footer="431" w:gutter="0"/>
          <w:cols w:space="720"/>
          <w:docGrid w:linePitch="360"/>
        </w:sectPr>
      </w:pPr>
    </w:p>
    <w:p w14:paraId="5FA3F0A3" w14:textId="77777777" w:rsidR="00434A92" w:rsidRPr="00FF1E2D" w:rsidRDefault="00434A92" w:rsidP="00434A92">
      <w:pPr>
        <w:pStyle w:val="ppoHeading5"/>
        <w:rPr>
          <w:noProof/>
          <w:lang w:val="en-IE"/>
        </w:rPr>
      </w:pPr>
      <w:r w:rsidRPr="00FF1E2D">
        <w:rPr>
          <w:noProof/>
          <w:lang w:val="en-IE"/>
        </w:rPr>
        <w:t xml:space="preserve">Concrete examples of achievements </w:t>
      </w:r>
    </w:p>
    <w:tbl>
      <w:tblPr>
        <w:tblStyle w:val="PPO2021"/>
        <w:tblW w:w="8529" w:type="dxa"/>
        <w:tblInd w:w="0" w:type="dxa"/>
        <w:tblLook w:val="0200" w:firstRow="0" w:lastRow="0" w:firstColumn="0" w:lastColumn="0" w:noHBand="1" w:noVBand="0"/>
      </w:tblPr>
      <w:tblGrid>
        <w:gridCol w:w="1498"/>
        <w:gridCol w:w="1718"/>
        <w:gridCol w:w="1598"/>
        <w:gridCol w:w="1702"/>
        <w:gridCol w:w="2013"/>
      </w:tblGrid>
      <w:tr w:rsidR="00434A92" w:rsidRPr="00FF1E2D" w14:paraId="5EF2C931" w14:textId="77777777" w:rsidTr="00377734">
        <w:tc>
          <w:tcPr>
            <w:tcW w:w="1498" w:type="dxa"/>
            <w:tcBorders>
              <w:bottom w:val="nil"/>
            </w:tcBorders>
            <w:vAlign w:val="center"/>
          </w:tcPr>
          <w:p w14:paraId="2F537AE0" w14:textId="77777777" w:rsidR="00434A92" w:rsidRPr="00FF1E2D" w:rsidRDefault="00434A92" w:rsidP="0083214A">
            <w:pPr>
              <w:jc w:val="center"/>
              <w:rPr>
                <w:noProof/>
                <w:lang w:val="en-IE"/>
              </w:rPr>
            </w:pPr>
            <w:r w:rsidRPr="00FF1E2D">
              <w:rPr>
                <w:b/>
                <w:bCs/>
                <w:iCs/>
                <w:noProof/>
                <w:lang w:val="en-IE"/>
              </w:rPr>
              <w:t>543</w:t>
            </w:r>
          </w:p>
        </w:tc>
        <w:tc>
          <w:tcPr>
            <w:cnfStyle w:val="000001000000" w:firstRow="0" w:lastRow="0" w:firstColumn="0" w:lastColumn="0" w:oddVBand="0" w:evenVBand="1" w:oddHBand="0" w:evenHBand="0" w:firstRowFirstColumn="0" w:firstRowLastColumn="0" w:lastRowFirstColumn="0" w:lastRowLastColumn="0"/>
            <w:tcW w:w="1718" w:type="dxa"/>
            <w:tcBorders>
              <w:bottom w:val="nil"/>
            </w:tcBorders>
            <w:vAlign w:val="center"/>
          </w:tcPr>
          <w:p w14:paraId="309DBF2A" w14:textId="77777777" w:rsidR="00434A92" w:rsidRPr="00FF1E2D" w:rsidRDefault="00434A92" w:rsidP="0083214A">
            <w:pPr>
              <w:jc w:val="center"/>
              <w:rPr>
                <w:noProof/>
                <w:lang w:val="en-IE"/>
              </w:rPr>
            </w:pPr>
            <w:r w:rsidRPr="00FF1E2D">
              <w:rPr>
                <w:b/>
                <w:bCs/>
                <w:iCs/>
                <w:noProof/>
                <w:lang w:val="en-IE"/>
              </w:rPr>
              <w:t>39</w:t>
            </w:r>
          </w:p>
        </w:tc>
        <w:tc>
          <w:tcPr>
            <w:tcW w:w="1598" w:type="dxa"/>
            <w:tcBorders>
              <w:bottom w:val="nil"/>
            </w:tcBorders>
            <w:vAlign w:val="center"/>
          </w:tcPr>
          <w:p w14:paraId="2EBB754B" w14:textId="77777777" w:rsidR="00434A92" w:rsidRPr="00FF1E2D" w:rsidRDefault="00434A92"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r w:rsidRPr="00FF1E2D">
              <w:rPr>
                <w:b/>
                <w:bCs/>
                <w:iCs/>
                <w:noProof/>
                <w:lang w:val="en-IE"/>
              </w:rPr>
              <w:t>30</w:t>
            </w:r>
          </w:p>
        </w:tc>
        <w:tc>
          <w:tcPr>
            <w:cnfStyle w:val="000001000000" w:firstRow="0" w:lastRow="0" w:firstColumn="0" w:lastColumn="0" w:oddVBand="0" w:evenVBand="1" w:oddHBand="0" w:evenHBand="0" w:firstRowFirstColumn="0" w:firstRowLastColumn="0" w:lastRowFirstColumn="0" w:lastRowLastColumn="0"/>
            <w:tcW w:w="1702" w:type="dxa"/>
            <w:tcBorders>
              <w:bottom w:val="nil"/>
            </w:tcBorders>
          </w:tcPr>
          <w:p w14:paraId="688F7936" w14:textId="77777777" w:rsidR="00434A92" w:rsidRPr="00FF1E2D" w:rsidRDefault="00434A92" w:rsidP="0083214A">
            <w:pPr>
              <w:jc w:val="center"/>
              <w:rPr>
                <w:noProof/>
                <w:lang w:val="en-IE"/>
              </w:rPr>
            </w:pPr>
            <w:r w:rsidRPr="00FF1E2D">
              <w:rPr>
                <w:b/>
                <w:bCs/>
                <w:iCs/>
                <w:noProof/>
                <w:lang w:val="en-IE"/>
              </w:rPr>
              <w:t>25</w:t>
            </w:r>
          </w:p>
        </w:tc>
        <w:tc>
          <w:tcPr>
            <w:tcW w:w="2013" w:type="dxa"/>
            <w:tcBorders>
              <w:bottom w:val="nil"/>
            </w:tcBorders>
            <w:vAlign w:val="center"/>
          </w:tcPr>
          <w:p w14:paraId="632A0AF2" w14:textId="77777777" w:rsidR="00434A92" w:rsidRPr="00FF1E2D" w:rsidRDefault="00434A92" w:rsidP="0083214A">
            <w:pPr>
              <w:jc w:val="center"/>
              <w:cnfStyle w:val="000000000000" w:firstRow="0" w:lastRow="0" w:firstColumn="0" w:lastColumn="0" w:oddVBand="0" w:evenVBand="0" w:oddHBand="0" w:evenHBand="0" w:firstRowFirstColumn="0" w:firstRowLastColumn="0" w:lastRowFirstColumn="0" w:lastRowLastColumn="0"/>
              <w:rPr>
                <w:b/>
                <w:bCs/>
                <w:iCs/>
                <w:noProof/>
                <w:lang w:val="en-IE"/>
              </w:rPr>
            </w:pPr>
            <w:r w:rsidRPr="00FF1E2D">
              <w:rPr>
                <w:b/>
                <w:bCs/>
                <w:iCs/>
                <w:noProof/>
                <w:lang w:val="en-IE"/>
              </w:rPr>
              <w:t>4</w:t>
            </w:r>
            <w:r w:rsidRPr="00FF1E2D">
              <w:rPr>
                <w:rFonts w:ascii="Calibri" w:hAnsi="Calibri" w:cs="Calibri"/>
                <w:b/>
                <w:bCs/>
                <w:iCs/>
                <w:noProof/>
                <w:lang w:val="en-IE"/>
              </w:rPr>
              <w:t> </w:t>
            </w:r>
            <w:r w:rsidRPr="00FF1E2D">
              <w:rPr>
                <w:b/>
                <w:bCs/>
                <w:iCs/>
                <w:noProof/>
                <w:lang w:val="en-IE"/>
              </w:rPr>
              <w:t>800</w:t>
            </w:r>
          </w:p>
        </w:tc>
      </w:tr>
      <w:tr w:rsidR="00434A92" w:rsidRPr="00FF1E2D" w14:paraId="2CD0258E" w14:textId="77777777" w:rsidTr="00377734">
        <w:tc>
          <w:tcPr>
            <w:tcW w:w="1498" w:type="dxa"/>
            <w:tcBorders>
              <w:top w:val="nil"/>
              <w:bottom w:val="single" w:sz="4" w:space="0" w:color="8C8C8C"/>
            </w:tcBorders>
            <w:vAlign w:val="center"/>
          </w:tcPr>
          <w:p w14:paraId="231D507E" w14:textId="77777777" w:rsidR="00434A92" w:rsidRPr="00FF1E2D" w:rsidRDefault="00434A92" w:rsidP="00377734">
            <w:pPr>
              <w:jc w:val="left"/>
              <w:rPr>
                <w:noProof/>
                <w:lang w:val="en-IE"/>
              </w:rPr>
            </w:pPr>
            <w:r>
              <w:rPr>
                <w:iCs/>
                <w:noProof/>
                <w:lang w:val="en-IE"/>
              </w:rPr>
              <w:t>p</w:t>
            </w:r>
            <w:r w:rsidRPr="00FF1E2D">
              <w:rPr>
                <w:iCs/>
                <w:noProof/>
                <w:lang w:val="en-IE"/>
              </w:rPr>
              <w:t xml:space="preserve">roposals </w:t>
            </w:r>
            <w:r>
              <w:rPr>
                <w:iCs/>
                <w:noProof/>
                <w:lang w:val="en-IE"/>
              </w:rPr>
              <w:t xml:space="preserve">were </w:t>
            </w:r>
            <w:r w:rsidRPr="00FF1E2D">
              <w:rPr>
                <w:iCs/>
                <w:noProof/>
                <w:lang w:val="en-IE"/>
              </w:rPr>
              <w:t>received in the first two Innovation Fund calls</w:t>
            </w:r>
            <w:r>
              <w:rPr>
                <w:iCs/>
                <w:noProof/>
                <w:lang w:val="en-IE"/>
              </w:rPr>
              <w:t>.</w:t>
            </w:r>
          </w:p>
        </w:tc>
        <w:tc>
          <w:tcPr>
            <w:cnfStyle w:val="000001000000" w:firstRow="0" w:lastRow="0" w:firstColumn="0" w:lastColumn="0" w:oddVBand="0" w:evenVBand="1" w:oddHBand="0" w:evenHBand="0" w:firstRowFirstColumn="0" w:firstRowLastColumn="0" w:lastRowFirstColumn="0" w:lastRowLastColumn="0"/>
            <w:tcW w:w="1718" w:type="dxa"/>
            <w:tcBorders>
              <w:top w:val="nil"/>
            </w:tcBorders>
            <w:shd w:val="clear" w:color="auto" w:fill="F2F2F2"/>
            <w:vAlign w:val="center"/>
          </w:tcPr>
          <w:p w14:paraId="36A5B6A2" w14:textId="77777777" w:rsidR="00434A92" w:rsidRPr="00FF1E2D" w:rsidRDefault="00434A92" w:rsidP="00377734">
            <w:pPr>
              <w:jc w:val="left"/>
              <w:rPr>
                <w:noProof/>
                <w:lang w:val="en-IE"/>
              </w:rPr>
            </w:pPr>
            <w:r>
              <w:rPr>
                <w:iCs/>
                <w:noProof/>
                <w:lang w:val="en-IE"/>
              </w:rPr>
              <w:t>p</w:t>
            </w:r>
            <w:r w:rsidRPr="00FF1E2D">
              <w:rPr>
                <w:iCs/>
                <w:noProof/>
                <w:lang w:val="en-IE"/>
              </w:rPr>
              <w:t xml:space="preserve">roposals </w:t>
            </w:r>
            <w:r>
              <w:rPr>
                <w:iCs/>
                <w:noProof/>
                <w:lang w:val="en-IE"/>
              </w:rPr>
              <w:t xml:space="preserve">were </w:t>
            </w:r>
            <w:r w:rsidRPr="00FF1E2D">
              <w:rPr>
                <w:iCs/>
                <w:noProof/>
                <w:lang w:val="en-IE"/>
              </w:rPr>
              <w:t>invited for grant agreement preparation</w:t>
            </w:r>
            <w:r>
              <w:rPr>
                <w:iCs/>
                <w:noProof/>
                <w:lang w:val="en-IE"/>
              </w:rPr>
              <w:t>.</w:t>
            </w:r>
          </w:p>
        </w:tc>
        <w:tc>
          <w:tcPr>
            <w:tcW w:w="1598" w:type="dxa"/>
            <w:tcBorders>
              <w:top w:val="nil"/>
              <w:bottom w:val="single" w:sz="4" w:space="0" w:color="8C8C8C"/>
            </w:tcBorders>
            <w:shd w:val="clear" w:color="auto" w:fill="FFFFFF" w:themeFill="background1"/>
            <w:vAlign w:val="center"/>
          </w:tcPr>
          <w:p w14:paraId="0E5C3BEC" w14:textId="77777777" w:rsidR="00434A92" w:rsidRPr="00FF1E2D" w:rsidRDefault="00434A92" w:rsidP="00377734">
            <w:pPr>
              <w:jc w:val="left"/>
              <w:cnfStyle w:val="000000000000" w:firstRow="0" w:lastRow="0" w:firstColumn="0" w:lastColumn="0" w:oddVBand="0" w:evenVBand="0" w:oddHBand="0" w:evenHBand="0" w:firstRowFirstColumn="0" w:firstRowLastColumn="0" w:lastRowFirstColumn="0" w:lastRowLastColumn="0"/>
              <w:rPr>
                <w:noProof/>
                <w:lang w:val="en-IE"/>
              </w:rPr>
            </w:pPr>
            <w:r>
              <w:rPr>
                <w:iCs/>
                <w:noProof/>
                <w:lang w:val="en-IE"/>
              </w:rPr>
              <w:t>p</w:t>
            </w:r>
            <w:r w:rsidRPr="00FF1E2D">
              <w:rPr>
                <w:iCs/>
                <w:noProof/>
                <w:lang w:val="en-IE"/>
              </w:rPr>
              <w:t>rojects signed the grant agreement</w:t>
            </w:r>
            <w:r>
              <w:rPr>
                <w:iCs/>
                <w:noProof/>
                <w:lang w:val="en-IE"/>
              </w:rPr>
              <w:t>.</w:t>
            </w:r>
          </w:p>
        </w:tc>
        <w:tc>
          <w:tcPr>
            <w:cnfStyle w:val="000001000000" w:firstRow="0" w:lastRow="0" w:firstColumn="0" w:lastColumn="0" w:oddVBand="0" w:evenVBand="1" w:oddHBand="0" w:evenHBand="0" w:firstRowFirstColumn="0" w:firstRowLastColumn="0" w:lastRowFirstColumn="0" w:lastRowLastColumn="0"/>
            <w:tcW w:w="1702" w:type="dxa"/>
            <w:tcBorders>
              <w:top w:val="nil"/>
            </w:tcBorders>
            <w:shd w:val="clear" w:color="auto" w:fill="F2F2F2"/>
            <w:vAlign w:val="center"/>
          </w:tcPr>
          <w:p w14:paraId="037382C3" w14:textId="77777777" w:rsidR="00434A92" w:rsidRPr="00FF1E2D" w:rsidRDefault="00434A92" w:rsidP="00377734">
            <w:pPr>
              <w:jc w:val="left"/>
              <w:rPr>
                <w:noProof/>
                <w:lang w:val="en-IE"/>
              </w:rPr>
            </w:pPr>
            <w:r>
              <w:rPr>
                <w:iCs/>
                <w:noProof/>
                <w:lang w:val="en-IE"/>
              </w:rPr>
              <w:t>p</w:t>
            </w:r>
            <w:r w:rsidRPr="00FF1E2D">
              <w:rPr>
                <w:iCs/>
                <w:noProof/>
                <w:lang w:val="en-IE"/>
              </w:rPr>
              <w:t xml:space="preserve">roposals </w:t>
            </w:r>
            <w:r>
              <w:rPr>
                <w:iCs/>
                <w:noProof/>
                <w:lang w:val="en-IE"/>
              </w:rPr>
              <w:t xml:space="preserve">were </w:t>
            </w:r>
            <w:r w:rsidRPr="00FF1E2D">
              <w:rPr>
                <w:iCs/>
                <w:noProof/>
                <w:lang w:val="en-IE"/>
              </w:rPr>
              <w:t>awarded project development assistance by the European Investment Bank</w:t>
            </w:r>
            <w:r>
              <w:rPr>
                <w:iCs/>
                <w:noProof/>
                <w:lang w:val="en-IE"/>
              </w:rPr>
              <w:t>.</w:t>
            </w:r>
          </w:p>
        </w:tc>
        <w:tc>
          <w:tcPr>
            <w:tcW w:w="2013" w:type="dxa"/>
            <w:tcBorders>
              <w:top w:val="nil"/>
              <w:bottom w:val="single" w:sz="4" w:space="0" w:color="8C8C8C"/>
            </w:tcBorders>
            <w:shd w:val="clear" w:color="auto" w:fill="FFFFFF" w:themeFill="background1"/>
            <w:vAlign w:val="center"/>
          </w:tcPr>
          <w:p w14:paraId="016C24E5" w14:textId="77777777" w:rsidR="00434A92" w:rsidRPr="00FF1E2D" w:rsidRDefault="00434A92" w:rsidP="00377734">
            <w:pPr>
              <w:widowControl w:val="0"/>
              <w:adjustRightInd w:val="0"/>
              <w:spacing w:before="240"/>
              <w:jc w:val="left"/>
              <w:textAlignment w:val="baseline"/>
              <w:cnfStyle w:val="000000000000" w:firstRow="0" w:lastRow="0" w:firstColumn="0" w:lastColumn="0" w:oddVBand="0" w:evenVBand="0" w:oddHBand="0" w:evenHBand="0" w:firstRowFirstColumn="0" w:firstRowLastColumn="0" w:lastRowFirstColumn="0" w:lastRowLastColumn="0"/>
              <w:rPr>
                <w:iCs/>
                <w:noProof/>
                <w:lang w:val="en-IE"/>
              </w:rPr>
            </w:pPr>
            <w:r>
              <w:rPr>
                <w:iCs/>
                <w:noProof/>
                <w:lang w:val="en-IE"/>
              </w:rPr>
              <w:t>people (a</w:t>
            </w:r>
            <w:r w:rsidRPr="00FF1E2D">
              <w:rPr>
                <w:iCs/>
                <w:noProof/>
                <w:lang w:val="en-IE"/>
              </w:rPr>
              <w:t>pproximate</w:t>
            </w:r>
            <w:r>
              <w:rPr>
                <w:iCs/>
                <w:noProof/>
                <w:lang w:val="en-IE"/>
              </w:rPr>
              <w:t>ly)</w:t>
            </w:r>
            <w:r w:rsidRPr="00FF1E2D">
              <w:rPr>
                <w:iCs/>
                <w:noProof/>
                <w:lang w:val="en-IE"/>
              </w:rPr>
              <w:t xml:space="preserve"> participat</w:t>
            </w:r>
            <w:r>
              <w:rPr>
                <w:iCs/>
                <w:noProof/>
                <w:lang w:val="en-IE"/>
              </w:rPr>
              <w:t>ed in</w:t>
            </w:r>
            <w:r w:rsidRPr="00FF1E2D">
              <w:rPr>
                <w:iCs/>
                <w:noProof/>
                <w:lang w:val="en-IE"/>
              </w:rPr>
              <w:t>/viewe</w:t>
            </w:r>
            <w:r>
              <w:rPr>
                <w:iCs/>
                <w:noProof/>
                <w:lang w:val="en-IE"/>
              </w:rPr>
              <w:t>d</w:t>
            </w:r>
            <w:r w:rsidRPr="00FF1E2D">
              <w:rPr>
                <w:iCs/>
                <w:noProof/>
                <w:lang w:val="en-IE"/>
              </w:rPr>
              <w:t xml:space="preserve"> the events organised</w:t>
            </w:r>
            <w:r>
              <w:rPr>
                <w:iCs/>
                <w:noProof/>
                <w:lang w:val="en-IE"/>
              </w:rPr>
              <w:t>.</w:t>
            </w:r>
          </w:p>
        </w:tc>
      </w:tr>
    </w:tbl>
    <w:p w14:paraId="483D938D" w14:textId="77777777" w:rsidR="00434A92" w:rsidRPr="00FF1E2D" w:rsidRDefault="00434A92" w:rsidP="00434A92">
      <w:pPr>
        <w:pStyle w:val="ppoHeading5"/>
        <w:rPr>
          <w:noProof/>
          <w:lang w:val="en-IE"/>
        </w:rPr>
      </w:pPr>
      <w:r w:rsidRPr="00FF1E2D">
        <w:rPr>
          <w:noProof/>
          <w:lang w:val="en-IE"/>
        </w:rPr>
        <w:t xml:space="preserve">Budget </w:t>
      </w:r>
      <w:r>
        <w:rPr>
          <w:noProof/>
          <w:lang w:val="en-IE"/>
        </w:rPr>
        <w:t xml:space="preserve">for </w:t>
      </w:r>
      <w:r w:rsidRPr="00FF1E2D">
        <w:rPr>
          <w:noProof/>
          <w:lang w:val="en-IE"/>
        </w:rPr>
        <w:t>2020-2030</w:t>
      </w:r>
    </w:p>
    <w:p w14:paraId="7D525AD4" w14:textId="77777777" w:rsidR="00434A92" w:rsidRPr="00FF1E2D" w:rsidRDefault="00434A92" w:rsidP="00434A92">
      <w:pPr>
        <w:spacing w:before="120" w:after="120"/>
        <w:rPr>
          <w:noProof/>
          <w:lang w:val="en-IE"/>
        </w:rPr>
      </w:pPr>
      <w:r w:rsidRPr="00FF1E2D">
        <w:rPr>
          <w:noProof/>
          <w:lang w:val="en-IE"/>
        </w:rPr>
        <w:t xml:space="preserve">The revised </w:t>
      </w:r>
      <w:bookmarkStart w:id="287" w:name="_Hlk100571815"/>
      <w:r w:rsidRPr="00FF1E2D">
        <w:rPr>
          <w:noProof/>
          <w:lang w:val="en-IE"/>
        </w:rPr>
        <w:t xml:space="preserve">EU </w:t>
      </w:r>
      <w:r>
        <w:rPr>
          <w:noProof/>
          <w:lang w:val="en-IE"/>
        </w:rPr>
        <w:t>e</w:t>
      </w:r>
      <w:r w:rsidRPr="00FF1E2D">
        <w:rPr>
          <w:noProof/>
          <w:lang w:val="en-IE"/>
        </w:rPr>
        <w:t xml:space="preserve">missions </w:t>
      </w:r>
      <w:r>
        <w:rPr>
          <w:noProof/>
          <w:lang w:val="en-IE"/>
        </w:rPr>
        <w:t>t</w:t>
      </w:r>
      <w:r w:rsidRPr="00FF1E2D">
        <w:rPr>
          <w:noProof/>
          <w:lang w:val="en-IE"/>
        </w:rPr>
        <w:t xml:space="preserve">rading </w:t>
      </w:r>
      <w:r>
        <w:rPr>
          <w:noProof/>
          <w:lang w:val="en-IE"/>
        </w:rPr>
        <w:t>s</w:t>
      </w:r>
      <w:r w:rsidRPr="00FF1E2D">
        <w:rPr>
          <w:noProof/>
          <w:lang w:val="en-IE"/>
        </w:rPr>
        <w:t xml:space="preserve">ystem </w:t>
      </w:r>
      <w:r>
        <w:rPr>
          <w:noProof/>
          <w:lang w:val="en-IE"/>
        </w:rPr>
        <w:t>d</w:t>
      </w:r>
      <w:r w:rsidRPr="00FF1E2D">
        <w:rPr>
          <w:noProof/>
          <w:lang w:val="en-IE"/>
        </w:rPr>
        <w:t>irective</w:t>
      </w:r>
      <w:bookmarkEnd w:id="287"/>
      <w:r w:rsidRPr="00FF1E2D">
        <w:rPr>
          <w:noProof/>
          <w:lang w:val="en-IE"/>
        </w:rPr>
        <w:t xml:space="preserve"> defines the basic elements of the Innovation Fund, such as its size, scope, maximum funding rate (i.e. the maximum support that can be given to a project) and disbursement rules. It stipulates that the Innovation Fund will be endowed with the revenues from the auctioning of at least 450</w:t>
      </w:r>
      <w:r w:rsidRPr="00FF1E2D">
        <w:rPr>
          <w:rFonts w:ascii="Calibri" w:hAnsi="Calibri" w:cs="Calibri"/>
          <w:noProof/>
          <w:lang w:val="en-IE"/>
        </w:rPr>
        <w:t> </w:t>
      </w:r>
      <w:r w:rsidRPr="00FF1E2D">
        <w:rPr>
          <w:noProof/>
          <w:lang w:val="en-IE"/>
        </w:rPr>
        <w:t>million allowances from 2020 to 2030 and any unspent revenues from the second call of the predecessor programme, the NER</w:t>
      </w:r>
      <w:r w:rsidRPr="00FF1E2D">
        <w:rPr>
          <w:rFonts w:ascii="Calibri" w:hAnsi="Calibri" w:cs="Calibri"/>
          <w:noProof/>
          <w:lang w:val="en-IE"/>
        </w:rPr>
        <w:t> </w:t>
      </w:r>
      <w:r w:rsidRPr="00FF1E2D">
        <w:rPr>
          <w:noProof/>
          <w:lang w:val="en-IE"/>
        </w:rPr>
        <w:t>300, which translates into around EUR</w:t>
      </w:r>
      <w:r w:rsidRPr="00FF1E2D">
        <w:rPr>
          <w:rFonts w:ascii="Calibri" w:hAnsi="Calibri" w:cs="Calibri"/>
          <w:noProof/>
          <w:lang w:val="en-IE"/>
        </w:rPr>
        <w:t> </w:t>
      </w:r>
      <w:r w:rsidRPr="00FF1E2D">
        <w:rPr>
          <w:noProof/>
          <w:lang w:val="en-IE"/>
        </w:rPr>
        <w:t>25</w:t>
      </w:r>
      <w:r w:rsidRPr="00FF1E2D">
        <w:rPr>
          <w:rFonts w:ascii="Calibri" w:hAnsi="Calibri" w:cs="Calibri"/>
          <w:noProof/>
          <w:lang w:val="en-IE"/>
        </w:rPr>
        <w:t> </w:t>
      </w:r>
      <w:r w:rsidRPr="00FF1E2D">
        <w:rPr>
          <w:noProof/>
          <w:lang w:val="en-IE"/>
        </w:rPr>
        <w:t>billion (at a carbon price of EUR</w:t>
      </w:r>
      <w:r w:rsidRPr="00FF1E2D">
        <w:rPr>
          <w:rFonts w:ascii="Calibri" w:hAnsi="Calibri" w:cs="Calibri"/>
          <w:noProof/>
          <w:lang w:val="en-IE"/>
        </w:rPr>
        <w:t> </w:t>
      </w:r>
      <w:r w:rsidRPr="00FF1E2D">
        <w:rPr>
          <w:noProof/>
          <w:lang w:val="en-IE"/>
        </w:rPr>
        <w:t>50/tCO</w:t>
      </w:r>
      <w:r w:rsidRPr="00142329">
        <w:rPr>
          <w:noProof/>
          <w:vertAlign w:val="subscript"/>
          <w:lang w:val="en-IE"/>
        </w:rPr>
        <w:t>2</w:t>
      </w:r>
      <w:r w:rsidRPr="00FF1E2D">
        <w:rPr>
          <w:noProof/>
          <w:lang w:val="en-IE"/>
        </w:rPr>
        <w:t xml:space="preserve">). </w:t>
      </w:r>
    </w:p>
    <w:p w14:paraId="5B736E00" w14:textId="77777777" w:rsidR="00434A92" w:rsidRPr="00FF1E2D" w:rsidRDefault="00434A92" w:rsidP="00434A92">
      <w:pPr>
        <w:rPr>
          <w:noProof/>
          <w:lang w:val="en-IE" w:eastAsia="en-GB"/>
        </w:rPr>
      </w:pPr>
    </w:p>
    <w:p w14:paraId="764FE0EB" w14:textId="77777777" w:rsidR="00434A92" w:rsidRPr="00FF1E2D" w:rsidRDefault="00434A92" w:rsidP="00434A92">
      <w:pPr>
        <w:pStyle w:val="ppoHeading5"/>
        <w:rPr>
          <w:noProof/>
          <w:lang w:val="en-IE"/>
        </w:rPr>
      </w:pPr>
      <w:r w:rsidRPr="00FF1E2D">
        <w:rPr>
          <w:noProof/>
          <w:lang w:val="en-IE"/>
        </w:rPr>
        <w:t>Rationale and design of the programme</w:t>
      </w:r>
    </w:p>
    <w:p w14:paraId="71749F4A" w14:textId="77777777" w:rsidR="00434A92" w:rsidRPr="00FF1E2D" w:rsidRDefault="00434A92" w:rsidP="00434A92">
      <w:pPr>
        <w:rPr>
          <w:noProof/>
          <w:lang w:val="en-IE"/>
        </w:rPr>
      </w:pPr>
      <w:r w:rsidRPr="00FF1E2D">
        <w:rPr>
          <w:noProof/>
          <w:lang w:val="en-IE"/>
        </w:rPr>
        <w:t>The Innovation Fund aims at catalysing funding for highly innovative technologies and flagship projects in all Member States that can yield significant emission reductions.</w:t>
      </w:r>
    </w:p>
    <w:p w14:paraId="220FC6E8" w14:textId="77777777" w:rsidR="00434A92" w:rsidRPr="00FF1E2D" w:rsidRDefault="00434A92" w:rsidP="00434A92">
      <w:pPr>
        <w:pStyle w:val="ppoHeading6"/>
        <w:rPr>
          <w:noProof/>
          <w:lang w:val="en-IE"/>
        </w:rPr>
      </w:pPr>
      <w:r w:rsidRPr="00FF1E2D">
        <w:rPr>
          <w:noProof/>
          <w:lang w:val="en-IE"/>
        </w:rPr>
        <w:t xml:space="preserve"> Challenge</w:t>
      </w:r>
    </w:p>
    <w:p w14:paraId="524E70D8" w14:textId="77777777" w:rsidR="00434A92" w:rsidRPr="00FF1E2D" w:rsidRDefault="00434A92" w:rsidP="00434A92">
      <w:pPr>
        <w:rPr>
          <w:noProof/>
          <w:lang w:val="en-IE"/>
        </w:rPr>
      </w:pPr>
      <w:r w:rsidRPr="00FF1E2D">
        <w:rPr>
          <w:noProof/>
          <w:lang w:val="en-IE"/>
        </w:rPr>
        <w:t>To meet the objective of a climate-neutral EU by 2050 and the EU target of a net domestic reduction in greenhouse gas emissions of at least 55% by 2030 compared to 1990, there is a need to support and incentivise innovative and low-carbon technologies. The challenge is to enable EU companies to take the lead in developing, deploying and commercialising low-carbon solutions. Low-carbon technology demonstration projects are inherently high-risk endeavours and struggle to attract the required capital. However, they have potentially vast positive beneficial effects, well beyond the individual company or Member State that finances them or carries them out, which warrants public support at the EU level.</w:t>
      </w:r>
    </w:p>
    <w:p w14:paraId="264C0203" w14:textId="77777777" w:rsidR="00434A92" w:rsidRPr="00FF1E2D" w:rsidRDefault="00434A92" w:rsidP="00434A92">
      <w:pPr>
        <w:pStyle w:val="ppoHeading6"/>
        <w:rPr>
          <w:noProof/>
          <w:lang w:val="en-IE"/>
        </w:rPr>
      </w:pPr>
      <w:r w:rsidRPr="00FF1E2D">
        <w:rPr>
          <w:noProof/>
          <w:lang w:val="en-IE"/>
        </w:rPr>
        <w:t>Mission</w:t>
      </w:r>
    </w:p>
    <w:p w14:paraId="4CF5E403" w14:textId="77777777" w:rsidR="00434A92" w:rsidRPr="00FF1E2D" w:rsidRDefault="00434A92" w:rsidP="00434A92">
      <w:pPr>
        <w:rPr>
          <w:noProof/>
          <w:lang w:val="en-IE"/>
        </w:rPr>
      </w:pPr>
      <w:r w:rsidRPr="00FF1E2D">
        <w:rPr>
          <w:noProof/>
          <w:lang w:val="en-IE"/>
        </w:rPr>
        <w:t>The Innovation Fund aims at catalysing funding for highly innovative technologies and flagship projects in all Member States that can yield significant emission reductions by:</w:t>
      </w:r>
    </w:p>
    <w:p w14:paraId="10392667" w14:textId="77777777" w:rsidR="00434A92" w:rsidRPr="00FF1E2D" w:rsidRDefault="00434A92" w:rsidP="00434A92">
      <w:pPr>
        <w:pStyle w:val="ppoListHyphened-L1"/>
        <w:rPr>
          <w:noProof/>
          <w:lang w:val="en-IE"/>
        </w:rPr>
      </w:pPr>
      <w:r w:rsidRPr="00FF1E2D">
        <w:rPr>
          <w:noProof/>
          <w:lang w:val="en-IE"/>
        </w:rPr>
        <w:t xml:space="preserve">creating the right financial incentives to invest now in the next generation of technologies needed for the EU’s low-carbon transition; and </w:t>
      </w:r>
    </w:p>
    <w:p w14:paraId="7B82F2B0" w14:textId="77777777" w:rsidR="00434A92" w:rsidRPr="00FF1E2D" w:rsidRDefault="00434A92" w:rsidP="00434A92">
      <w:pPr>
        <w:pStyle w:val="ppoListHyphened-L1"/>
        <w:rPr>
          <w:noProof/>
          <w:lang w:val="en-IE"/>
        </w:rPr>
      </w:pPr>
      <w:r w:rsidRPr="00FF1E2D">
        <w:rPr>
          <w:noProof/>
          <w:lang w:val="en-IE"/>
        </w:rPr>
        <w:t xml:space="preserve">boosting growth and competitiveness by empowering EU companies with a first-mover advantage to become global technology leaders. </w:t>
      </w:r>
    </w:p>
    <w:p w14:paraId="69A54FC2" w14:textId="77777777" w:rsidR="00434A92" w:rsidRPr="00FF1E2D" w:rsidRDefault="00434A92" w:rsidP="00434A92">
      <w:pPr>
        <w:rPr>
          <w:noProof/>
          <w:lang w:val="en-IE"/>
        </w:rPr>
      </w:pPr>
      <w:r w:rsidRPr="00FF1E2D">
        <w:rPr>
          <w:noProof/>
          <w:lang w:val="en-IE"/>
        </w:rPr>
        <w:t>The ultimate goal is to help businesses and industry invest in clean technologies, thus boosting economic growth, creating local future-proof jobs and reinforcing Europe’s technological leadership on a global scale.</w:t>
      </w:r>
    </w:p>
    <w:p w14:paraId="05F1AF34" w14:textId="77777777" w:rsidR="00434A92" w:rsidRPr="00FF1E2D" w:rsidRDefault="00434A92" w:rsidP="00434A92">
      <w:pPr>
        <w:pStyle w:val="ppoHeading6"/>
        <w:rPr>
          <w:noProof/>
          <w:lang w:val="en-IE"/>
        </w:rPr>
      </w:pPr>
      <w:r w:rsidRPr="00FF1E2D">
        <w:rPr>
          <w:noProof/>
          <w:lang w:val="en-IE"/>
        </w:rPr>
        <w:t>Objectives</w:t>
      </w:r>
    </w:p>
    <w:p w14:paraId="23DB1CAF" w14:textId="77777777" w:rsidR="00434A92" w:rsidRPr="00FF1E2D" w:rsidRDefault="00434A92" w:rsidP="00434A92">
      <w:pPr>
        <w:rPr>
          <w:noProof/>
          <w:lang w:val="en-IE"/>
        </w:rPr>
      </w:pPr>
      <w:bookmarkStart w:id="288" w:name="_Hlk100646012"/>
      <w:r w:rsidRPr="00FF1E2D">
        <w:rPr>
          <w:noProof/>
          <w:lang w:val="en-IE"/>
        </w:rPr>
        <w:t>The Innovation Fund</w:t>
      </w:r>
      <w:r>
        <w:rPr>
          <w:noProof/>
          <w:lang w:val="en-IE"/>
        </w:rPr>
        <w:t>’s</w:t>
      </w:r>
      <w:r w:rsidRPr="00FF1E2D">
        <w:rPr>
          <w:noProof/>
          <w:lang w:val="en-IE"/>
        </w:rPr>
        <w:t xml:space="preserve"> specific objectives are shown below.</w:t>
      </w:r>
    </w:p>
    <w:p w14:paraId="27E8214B" w14:textId="77777777" w:rsidR="00434A92" w:rsidRPr="00FF1E2D" w:rsidRDefault="00434A92" w:rsidP="006F409B">
      <w:pPr>
        <w:pStyle w:val="ppoListArabic1aiii-L1"/>
        <w:numPr>
          <w:ilvl w:val="0"/>
          <w:numId w:val="134"/>
        </w:numPr>
        <w:rPr>
          <w:noProof/>
          <w:lang w:val="en-IE"/>
        </w:rPr>
      </w:pPr>
      <w:r w:rsidRPr="00FF1E2D">
        <w:rPr>
          <w:noProof/>
          <w:lang w:val="en-IE"/>
        </w:rPr>
        <w:t xml:space="preserve">Support projects with highly innovative technologies, processes or products, that are sufficiently mature and have a significant potential to reduce greenhouse gas emissions. </w:t>
      </w:r>
    </w:p>
    <w:p w14:paraId="0F520B2C" w14:textId="77777777" w:rsidR="00434A92" w:rsidRPr="00FF1E2D" w:rsidRDefault="00434A92" w:rsidP="006F409B">
      <w:pPr>
        <w:pStyle w:val="ppoListArabic1aiii-L1"/>
        <w:numPr>
          <w:ilvl w:val="0"/>
          <w:numId w:val="134"/>
        </w:numPr>
        <w:rPr>
          <w:noProof/>
          <w:lang w:val="en-IE"/>
        </w:rPr>
      </w:pPr>
      <w:r w:rsidRPr="00FF1E2D">
        <w:rPr>
          <w:noProof/>
          <w:lang w:val="en-IE"/>
        </w:rPr>
        <w:t xml:space="preserve">Offer financial support tailored to market needs and risk profiles of eligible projects, while attracting additional public and private resources. </w:t>
      </w:r>
    </w:p>
    <w:p w14:paraId="5983510D" w14:textId="77777777" w:rsidR="00434A92" w:rsidRPr="00FF1E2D" w:rsidRDefault="00434A92" w:rsidP="006F409B">
      <w:pPr>
        <w:pStyle w:val="ppoListArabic1aiii-L1"/>
        <w:numPr>
          <w:ilvl w:val="0"/>
          <w:numId w:val="134"/>
        </w:numPr>
        <w:rPr>
          <w:noProof/>
          <w:lang w:val="en-IE"/>
        </w:rPr>
      </w:pPr>
      <w:r w:rsidRPr="00FF1E2D">
        <w:rPr>
          <w:noProof/>
          <w:lang w:val="en-IE"/>
        </w:rPr>
        <w:t xml:space="preserve">Ensure that the Innovation Fund’s revenues are managed in accordance with the objectives of the EU </w:t>
      </w:r>
      <w:r>
        <w:rPr>
          <w:noProof/>
          <w:lang w:val="en-IE"/>
        </w:rPr>
        <w:t>e</w:t>
      </w:r>
      <w:r w:rsidRPr="00FF1E2D">
        <w:rPr>
          <w:noProof/>
          <w:lang w:val="en-IE"/>
        </w:rPr>
        <w:t>mission</w:t>
      </w:r>
      <w:r>
        <w:rPr>
          <w:noProof/>
          <w:lang w:val="en-IE"/>
        </w:rPr>
        <w:t>s</w:t>
      </w:r>
      <w:r w:rsidRPr="00FF1E2D">
        <w:rPr>
          <w:noProof/>
          <w:lang w:val="en-IE"/>
        </w:rPr>
        <w:t xml:space="preserve"> </w:t>
      </w:r>
      <w:r>
        <w:rPr>
          <w:noProof/>
          <w:lang w:val="en-IE"/>
        </w:rPr>
        <w:t>t</w:t>
      </w:r>
      <w:r w:rsidRPr="00FF1E2D">
        <w:rPr>
          <w:noProof/>
          <w:lang w:val="en-IE"/>
        </w:rPr>
        <w:t xml:space="preserve">rading </w:t>
      </w:r>
      <w:r>
        <w:rPr>
          <w:noProof/>
          <w:lang w:val="en-IE"/>
        </w:rPr>
        <w:t>s</w:t>
      </w:r>
      <w:r w:rsidRPr="00FF1E2D">
        <w:rPr>
          <w:noProof/>
          <w:lang w:val="en-IE"/>
        </w:rPr>
        <w:t>ystem.</w:t>
      </w:r>
    </w:p>
    <w:bookmarkEnd w:id="288"/>
    <w:p w14:paraId="1DC95729" w14:textId="77777777" w:rsidR="00434A92" w:rsidRPr="00FF1E2D" w:rsidRDefault="00434A92" w:rsidP="00434A92">
      <w:pPr>
        <w:pStyle w:val="ppoHeading6"/>
        <w:rPr>
          <w:noProof/>
          <w:lang w:val="en-IE"/>
        </w:rPr>
      </w:pPr>
      <w:r w:rsidRPr="00FF1E2D">
        <w:rPr>
          <w:noProof/>
          <w:lang w:val="en-IE"/>
        </w:rPr>
        <w:t>Actions</w:t>
      </w:r>
    </w:p>
    <w:p w14:paraId="502187E6" w14:textId="77777777" w:rsidR="00434A92" w:rsidRPr="00FF1E2D" w:rsidRDefault="00434A92" w:rsidP="00434A92">
      <w:pPr>
        <w:rPr>
          <w:noProof/>
          <w:lang w:val="en-IE"/>
        </w:rPr>
      </w:pPr>
      <w:r w:rsidRPr="00FF1E2D">
        <w:rPr>
          <w:noProof/>
          <w:lang w:val="en-IE"/>
        </w:rPr>
        <w:t>The Innovation Fund supports highly innovative technologies by sharing their risk with project promoters via:</w:t>
      </w:r>
    </w:p>
    <w:p w14:paraId="316771C0" w14:textId="77777777" w:rsidR="00434A92" w:rsidRPr="00FF1E2D" w:rsidRDefault="00434A92" w:rsidP="00434A92">
      <w:pPr>
        <w:pStyle w:val="ppoListHyphened-L1"/>
        <w:rPr>
          <w:noProof/>
          <w:lang w:val="en-IE"/>
        </w:rPr>
      </w:pPr>
      <w:r>
        <w:rPr>
          <w:noProof/>
          <w:lang w:val="en-IE"/>
        </w:rPr>
        <w:t>g</w:t>
      </w:r>
      <w:r w:rsidRPr="00FF1E2D">
        <w:rPr>
          <w:noProof/>
          <w:lang w:val="en-IE"/>
        </w:rPr>
        <w:t>rants through calls for large- and small-scale projects focusing on:</w:t>
      </w:r>
    </w:p>
    <w:p w14:paraId="68839B81" w14:textId="77777777" w:rsidR="00434A92" w:rsidRPr="00FF1E2D" w:rsidRDefault="00434A92" w:rsidP="00434A92">
      <w:pPr>
        <w:pStyle w:val="ppoListHyphened-L2"/>
        <w:rPr>
          <w:noProof/>
          <w:lang w:val="en-IE"/>
        </w:rPr>
      </w:pPr>
      <w:r w:rsidRPr="00FF1E2D">
        <w:rPr>
          <w:noProof/>
          <w:lang w:val="en-IE"/>
        </w:rPr>
        <w:t>innovative low-carbon technologies and processes in energy-intensive industries, including products substituting carbon-intensive ones</w:t>
      </w:r>
      <w:r>
        <w:rPr>
          <w:noProof/>
          <w:lang w:val="en-IE"/>
        </w:rPr>
        <w:t>,</w:t>
      </w:r>
      <w:r w:rsidRPr="00FF1E2D">
        <w:rPr>
          <w:noProof/>
          <w:lang w:val="en-IE"/>
        </w:rPr>
        <w:t xml:space="preserve"> </w:t>
      </w:r>
    </w:p>
    <w:p w14:paraId="1BF18C04" w14:textId="77777777" w:rsidR="00434A92" w:rsidRPr="00FF1E2D" w:rsidRDefault="00434A92" w:rsidP="00434A92">
      <w:pPr>
        <w:pStyle w:val="ppoListHyphened-L2"/>
        <w:rPr>
          <w:noProof/>
          <w:lang w:val="en-IE"/>
        </w:rPr>
      </w:pPr>
      <w:r w:rsidRPr="00FF1E2D">
        <w:rPr>
          <w:noProof/>
          <w:lang w:val="en-IE"/>
        </w:rPr>
        <w:t>carbon capture and utilisation</w:t>
      </w:r>
      <w:r>
        <w:rPr>
          <w:noProof/>
          <w:lang w:val="en-IE"/>
        </w:rPr>
        <w:t>,</w:t>
      </w:r>
      <w:r w:rsidRPr="00FF1E2D">
        <w:rPr>
          <w:noProof/>
          <w:lang w:val="en-IE"/>
        </w:rPr>
        <w:t xml:space="preserve"> </w:t>
      </w:r>
    </w:p>
    <w:p w14:paraId="1C953B5D" w14:textId="77777777" w:rsidR="00434A92" w:rsidRPr="00FF1E2D" w:rsidRDefault="00434A92" w:rsidP="00434A92">
      <w:pPr>
        <w:pStyle w:val="ppoListHyphened-L2"/>
        <w:rPr>
          <w:noProof/>
          <w:lang w:val="en-IE"/>
        </w:rPr>
      </w:pPr>
      <w:r w:rsidRPr="00FF1E2D">
        <w:rPr>
          <w:noProof/>
          <w:lang w:val="en-IE"/>
        </w:rPr>
        <w:t>construction and operation of carbon capture and storage</w:t>
      </w:r>
      <w:r>
        <w:rPr>
          <w:noProof/>
          <w:lang w:val="en-IE"/>
        </w:rPr>
        <w:t>,</w:t>
      </w:r>
      <w:r w:rsidRPr="00FF1E2D">
        <w:rPr>
          <w:noProof/>
          <w:lang w:val="en-IE"/>
        </w:rPr>
        <w:t xml:space="preserve"> </w:t>
      </w:r>
    </w:p>
    <w:p w14:paraId="24132452" w14:textId="77777777" w:rsidR="00434A92" w:rsidRPr="00FF1E2D" w:rsidRDefault="00434A92" w:rsidP="00434A92">
      <w:pPr>
        <w:pStyle w:val="ppoListHyphened-L2"/>
        <w:rPr>
          <w:noProof/>
          <w:lang w:val="en-IE"/>
        </w:rPr>
      </w:pPr>
      <w:r w:rsidRPr="00FF1E2D">
        <w:rPr>
          <w:noProof/>
          <w:lang w:val="en-IE"/>
        </w:rPr>
        <w:t>innovative renewable energy generation</w:t>
      </w:r>
      <w:r>
        <w:rPr>
          <w:noProof/>
          <w:lang w:val="en-IE"/>
        </w:rPr>
        <w:t>,</w:t>
      </w:r>
      <w:r w:rsidRPr="00FF1E2D">
        <w:rPr>
          <w:noProof/>
          <w:lang w:val="en-IE"/>
        </w:rPr>
        <w:t xml:space="preserve"> </w:t>
      </w:r>
    </w:p>
    <w:p w14:paraId="0D6526D9" w14:textId="77777777" w:rsidR="00434A92" w:rsidRPr="00FF1E2D" w:rsidRDefault="00434A92" w:rsidP="00434A92">
      <w:pPr>
        <w:pStyle w:val="ppoListHyphened-L2"/>
        <w:rPr>
          <w:noProof/>
          <w:lang w:val="en-IE"/>
        </w:rPr>
      </w:pPr>
      <w:r w:rsidRPr="00FF1E2D">
        <w:rPr>
          <w:noProof/>
          <w:lang w:val="en-IE"/>
        </w:rPr>
        <w:t>energy storage</w:t>
      </w:r>
      <w:r>
        <w:rPr>
          <w:noProof/>
          <w:lang w:val="en-IE"/>
        </w:rPr>
        <w:t>;</w:t>
      </w:r>
    </w:p>
    <w:p w14:paraId="7C900A20" w14:textId="77777777" w:rsidR="00434A92" w:rsidRPr="00FF1E2D" w:rsidRDefault="00434A92" w:rsidP="00434A92">
      <w:pPr>
        <w:pStyle w:val="ppoListHyphened-L1"/>
        <w:rPr>
          <w:noProof/>
          <w:lang w:val="en-IE"/>
        </w:rPr>
      </w:pPr>
      <w:r>
        <w:rPr>
          <w:noProof/>
          <w:lang w:val="en-IE"/>
        </w:rPr>
        <w:t>c</w:t>
      </w:r>
      <w:r w:rsidRPr="00FF1E2D">
        <w:rPr>
          <w:noProof/>
          <w:lang w:val="en-IE"/>
        </w:rPr>
        <w:t xml:space="preserve">ontributions to blending operations under the EU investment support instrument; and </w:t>
      </w:r>
    </w:p>
    <w:p w14:paraId="3CE16FC7" w14:textId="77777777" w:rsidR="00434A92" w:rsidRPr="00FF1E2D" w:rsidRDefault="00434A92" w:rsidP="00434A92">
      <w:pPr>
        <w:pStyle w:val="ppoListHyphened-L1"/>
        <w:rPr>
          <w:noProof/>
          <w:lang w:val="en-IE"/>
        </w:rPr>
      </w:pPr>
      <w:r>
        <w:rPr>
          <w:noProof/>
          <w:lang w:val="en-IE"/>
        </w:rPr>
        <w:t>p</w:t>
      </w:r>
      <w:r w:rsidRPr="00FF1E2D">
        <w:rPr>
          <w:noProof/>
          <w:lang w:val="en-IE"/>
        </w:rPr>
        <w:t>rizes and procurement.</w:t>
      </w:r>
    </w:p>
    <w:p w14:paraId="2F89EC67" w14:textId="77777777" w:rsidR="00434A92" w:rsidRPr="00FF1E2D" w:rsidRDefault="00434A92" w:rsidP="00434A92">
      <w:pPr>
        <w:rPr>
          <w:noProof/>
          <w:lang w:val="en-IE"/>
        </w:rPr>
      </w:pPr>
      <w:r w:rsidRPr="00FF1E2D">
        <w:rPr>
          <w:noProof/>
          <w:lang w:val="en-IE"/>
        </w:rPr>
        <w:t>The Innovation Fund resources may contribute to InvestEU financial instruments, to provide debt or equity financing to</w:t>
      </w:r>
      <w:r>
        <w:rPr>
          <w:noProof/>
          <w:lang w:val="en-IE"/>
        </w:rPr>
        <w:t xml:space="preserve"> innovative</w:t>
      </w:r>
      <w:r w:rsidRPr="00FF1E2D">
        <w:rPr>
          <w:noProof/>
          <w:lang w:val="en-IE"/>
        </w:rPr>
        <w:t xml:space="preserve"> clean-tech projects. </w:t>
      </w:r>
    </w:p>
    <w:p w14:paraId="593EED5B" w14:textId="77777777" w:rsidR="00434A92" w:rsidRPr="00FF1E2D" w:rsidRDefault="00434A92" w:rsidP="00434A92">
      <w:pPr>
        <w:pStyle w:val="ppoHeading6"/>
        <w:rPr>
          <w:noProof/>
          <w:lang w:val="en-IE"/>
        </w:rPr>
      </w:pPr>
      <w:r w:rsidRPr="00FF1E2D">
        <w:rPr>
          <w:noProof/>
          <w:lang w:val="en-IE"/>
        </w:rPr>
        <w:t>Delivery mode</w:t>
      </w:r>
    </w:p>
    <w:p w14:paraId="5E248FE7" w14:textId="77777777" w:rsidR="00434A92" w:rsidRPr="00FF1E2D" w:rsidRDefault="00434A92" w:rsidP="00434A92">
      <w:pPr>
        <w:rPr>
          <w:noProof/>
          <w:lang w:val="en-IE"/>
        </w:rPr>
      </w:pPr>
      <w:r w:rsidRPr="00FF1E2D">
        <w:rPr>
          <w:noProof/>
          <w:lang w:val="en-IE"/>
        </w:rPr>
        <w:t>The Innovation Fund is implemented in direct management by the Commission (DG Climate Action) with the assistance of the European Climate, Infrastructure and Environment Executive Agency, to wh</w:t>
      </w:r>
      <w:r>
        <w:rPr>
          <w:noProof/>
          <w:lang w:val="en-IE"/>
        </w:rPr>
        <w:t>ich</w:t>
      </w:r>
      <w:r w:rsidRPr="00FF1E2D">
        <w:rPr>
          <w:noProof/>
          <w:lang w:val="en-IE"/>
        </w:rPr>
        <w:t xml:space="preserve"> the implementation of the grant component of the programme is delegated. Some activities are implemented in indirect management, through the European Investment Bank, for the management of the project development assistance support, and the channelling of Innovation Fund resources via financial instruments. The monetisation of the Innovation Fund allowances and the management of the Innovation Fund revenues have also been delegated to the European Investment Bank.</w:t>
      </w:r>
    </w:p>
    <w:p w14:paraId="3BB17493" w14:textId="77777777" w:rsidR="00434A92" w:rsidRPr="00FF1E2D" w:rsidRDefault="00434A92" w:rsidP="00434A92">
      <w:pPr>
        <w:pStyle w:val="ppoHeading6"/>
        <w:rPr>
          <w:noProof/>
          <w:lang w:val="en-IE"/>
        </w:rPr>
      </w:pPr>
      <w:r w:rsidRPr="00FF1E2D">
        <w:rPr>
          <w:noProof/>
          <w:lang w:val="en-IE"/>
        </w:rPr>
        <w:t>LINK TO THE 2014-2020 MulTiannual Financial Framework</w:t>
      </w:r>
    </w:p>
    <w:p w14:paraId="21D1F535" w14:textId="77777777" w:rsidR="00434A92" w:rsidRPr="00FF1E2D" w:rsidRDefault="00434A92" w:rsidP="00434A92">
      <w:pPr>
        <w:rPr>
          <w:noProof/>
          <w:lang w:val="en-IE"/>
        </w:rPr>
      </w:pPr>
      <w:r w:rsidRPr="00FF1E2D">
        <w:rPr>
          <w:noProof/>
          <w:lang w:val="en-IE"/>
        </w:rPr>
        <w:t>The Innovation Fund builds on its predecessor, the NER</w:t>
      </w:r>
      <w:r w:rsidRPr="00FF1E2D">
        <w:rPr>
          <w:rFonts w:ascii="Calibri" w:hAnsi="Calibri" w:cs="Calibri"/>
          <w:noProof/>
          <w:lang w:val="en-IE"/>
        </w:rPr>
        <w:t> </w:t>
      </w:r>
      <w:r w:rsidRPr="00FF1E2D">
        <w:rPr>
          <w:noProof/>
          <w:lang w:val="en-IE"/>
        </w:rPr>
        <w:t>300 programme (which was an off-budget fund, thus not part of the 2014-2020 multiannual financial framework), but it is open also to projects from energy-intensive industries, has a larger grant coverage, provides support in more flexible ways, and</w:t>
      </w:r>
      <w:r w:rsidRPr="00FF1E2D">
        <w:rPr>
          <w:rFonts w:ascii="Calibri" w:hAnsi="Calibri" w:cs="Calibri"/>
          <w:noProof/>
          <w:lang w:val="en-IE"/>
        </w:rPr>
        <w:t xml:space="preserve"> – </w:t>
      </w:r>
      <w:r w:rsidRPr="00FF1E2D">
        <w:rPr>
          <w:noProof/>
          <w:lang w:val="en-IE"/>
        </w:rPr>
        <w:t>following recommendations from the European Court of Auditors</w:t>
      </w:r>
      <w:r w:rsidRPr="00FF1E2D">
        <w:rPr>
          <w:rFonts w:ascii="Calibri" w:hAnsi="Calibri" w:cs="Calibri"/>
          <w:noProof/>
          <w:lang w:val="en-IE"/>
        </w:rPr>
        <w:t xml:space="preserve"> – </w:t>
      </w:r>
      <w:r w:rsidRPr="00FF1E2D">
        <w:rPr>
          <w:noProof/>
          <w:lang w:val="en-IE"/>
        </w:rPr>
        <w:t>has a streamlined governance and simplified decision-making.</w:t>
      </w:r>
    </w:p>
    <w:p w14:paraId="0EB8C8E0" w14:textId="77777777" w:rsidR="00434A92" w:rsidRPr="00FF1E2D" w:rsidRDefault="00434A92" w:rsidP="00434A92">
      <w:pPr>
        <w:pStyle w:val="ppoHeading6"/>
        <w:rPr>
          <w:noProof/>
          <w:lang w:val="en-IE"/>
        </w:rPr>
      </w:pPr>
      <w:r w:rsidRPr="00FF1E2D">
        <w:rPr>
          <w:noProof/>
          <w:lang w:val="en-IE"/>
        </w:rPr>
        <w:t>Impact assessment</w:t>
      </w:r>
    </w:p>
    <w:p w14:paraId="61FEEBF3" w14:textId="77777777" w:rsidR="00434A92" w:rsidRPr="00FF1E2D" w:rsidRDefault="00434A92" w:rsidP="00434A92">
      <w:pPr>
        <w:rPr>
          <w:noProof/>
          <w:lang w:val="en-IE"/>
        </w:rPr>
      </w:pPr>
      <w:r w:rsidRPr="00FF1E2D">
        <w:rPr>
          <w:noProof/>
          <w:lang w:val="en-IE"/>
        </w:rPr>
        <w:t xml:space="preserve">The </w:t>
      </w:r>
      <w:hyperlink r:id="rId650" w:history="1">
        <w:r w:rsidRPr="00FF1E2D">
          <w:rPr>
            <w:rStyle w:val="Hyperlink"/>
            <w:noProof/>
            <w:lang w:val="en-IE"/>
          </w:rPr>
          <w:t>impact assessment</w:t>
        </w:r>
      </w:hyperlink>
      <w:r w:rsidRPr="00FF1E2D">
        <w:rPr>
          <w:noProof/>
          <w:lang w:val="en-IE"/>
        </w:rPr>
        <w:t xml:space="preserve"> of the Innovation Fund was carried out in 2019. </w:t>
      </w:r>
    </w:p>
    <w:p w14:paraId="0BAEBA6C" w14:textId="77777777" w:rsidR="00434A92" w:rsidRPr="00FF1E2D" w:rsidRDefault="00434A92" w:rsidP="00434A92">
      <w:pPr>
        <w:pStyle w:val="ppoHeading6"/>
        <w:rPr>
          <w:noProof/>
          <w:lang w:val="en-IE"/>
        </w:rPr>
      </w:pPr>
      <w:r w:rsidRPr="00FF1E2D">
        <w:rPr>
          <w:noProof/>
          <w:lang w:val="en-IE"/>
        </w:rPr>
        <w:t>WEBSITE FOR more information</w:t>
      </w:r>
    </w:p>
    <w:p w14:paraId="49327F5A" w14:textId="77777777" w:rsidR="00434A92" w:rsidRPr="00FF1E2D" w:rsidRDefault="00E01E9B" w:rsidP="00434A92">
      <w:pPr>
        <w:widowControl w:val="0"/>
        <w:adjustRightInd w:val="0"/>
        <w:spacing w:before="240" w:line="360" w:lineRule="atLeast"/>
        <w:textAlignment w:val="baseline"/>
        <w:rPr>
          <w:i/>
          <w:noProof/>
          <w:lang w:val="en-IE"/>
        </w:rPr>
      </w:pPr>
      <w:hyperlink r:id="rId651" w:history="1">
        <w:r w:rsidR="00434A92" w:rsidRPr="00FF1E2D">
          <w:rPr>
            <w:rStyle w:val="Hyperlink"/>
            <w:noProof/>
            <w:lang w:val="en-IE"/>
          </w:rPr>
          <w:t>Innovation Fund website</w:t>
        </w:r>
      </w:hyperlink>
      <w:r w:rsidR="00434A92" w:rsidRPr="00FF1E2D">
        <w:rPr>
          <w:noProof/>
          <w:lang w:val="en-IE"/>
        </w:rPr>
        <w:t xml:space="preserve"> </w:t>
      </w:r>
    </w:p>
    <w:p w14:paraId="314C696D" w14:textId="77777777" w:rsidR="00434A92" w:rsidRPr="00FF1E2D" w:rsidRDefault="00E01E9B" w:rsidP="00434A92">
      <w:pPr>
        <w:widowControl w:val="0"/>
        <w:adjustRightInd w:val="0"/>
        <w:spacing w:before="240" w:line="360" w:lineRule="atLeast"/>
        <w:textAlignment w:val="baseline"/>
        <w:rPr>
          <w:noProof/>
          <w:lang w:val="en-IE"/>
        </w:rPr>
      </w:pPr>
      <w:hyperlink r:id="rId652" w:history="1">
        <w:r w:rsidR="00434A92" w:rsidRPr="00FF1E2D">
          <w:rPr>
            <w:rStyle w:val="Hyperlink"/>
            <w:noProof/>
            <w:lang w:val="en-IE"/>
          </w:rPr>
          <w:t>European Climate, Infrastructure and Environment Executive Agency website related to the Innovation Fund</w:t>
        </w:r>
      </w:hyperlink>
    </w:p>
    <w:p w14:paraId="5B754A3F" w14:textId="77777777" w:rsidR="00434A92" w:rsidRPr="00FF1E2D" w:rsidRDefault="00E01E9B" w:rsidP="00434A92">
      <w:pPr>
        <w:widowControl w:val="0"/>
        <w:adjustRightInd w:val="0"/>
        <w:spacing w:before="240" w:line="360" w:lineRule="atLeast"/>
        <w:textAlignment w:val="baseline"/>
        <w:rPr>
          <w:noProof/>
          <w:lang w:val="en-IE"/>
        </w:rPr>
      </w:pPr>
      <w:hyperlink r:id="rId653" w:history="1">
        <w:r w:rsidR="00434A92" w:rsidRPr="00FF1E2D">
          <w:rPr>
            <w:rStyle w:val="Hyperlink"/>
            <w:noProof/>
            <w:lang w:val="en-IE"/>
          </w:rPr>
          <w:t>Funding and tender portal</w:t>
        </w:r>
      </w:hyperlink>
      <w:r w:rsidR="00434A92" w:rsidRPr="00FF1E2D">
        <w:rPr>
          <w:noProof/>
          <w:lang w:val="en-IE"/>
        </w:rPr>
        <w:t xml:space="preserve"> </w:t>
      </w:r>
    </w:p>
    <w:p w14:paraId="3DAE2FF3" w14:textId="77777777" w:rsidR="00434A92" w:rsidRPr="00FF1E2D" w:rsidRDefault="00434A92" w:rsidP="00434A92">
      <w:pPr>
        <w:pStyle w:val="ppoHeading5"/>
        <w:rPr>
          <w:noProof/>
          <w:lang w:val="en-IE"/>
        </w:rPr>
      </w:pPr>
      <w:r w:rsidRPr="00FF1E2D">
        <w:rPr>
          <w:rFonts w:eastAsiaTheme="minorEastAsia"/>
          <w:noProof/>
          <w:lang w:val="en-IE"/>
        </w:rPr>
        <w:t>Legal basis</w:t>
      </w:r>
    </w:p>
    <w:p w14:paraId="5E7247AE" w14:textId="77777777" w:rsidR="00434A92" w:rsidRPr="00FF1E2D" w:rsidRDefault="00434A92" w:rsidP="00434A92">
      <w:pPr>
        <w:rPr>
          <w:noProof/>
          <w:lang w:val="en-IE"/>
        </w:rPr>
      </w:pPr>
      <w:bookmarkStart w:id="289" w:name="_Hlk100647740"/>
      <w:r>
        <w:rPr>
          <w:noProof/>
        </w:rPr>
        <w:t>Commission Delegated Regulation (EU) 2019/856.</w:t>
      </w:r>
      <w:bookmarkEnd w:id="289"/>
    </w:p>
    <w:p w14:paraId="6134C636" w14:textId="77777777" w:rsidR="00434A92" w:rsidRPr="00FF1E2D" w:rsidRDefault="00434A92" w:rsidP="00434A92">
      <w:pPr>
        <w:pStyle w:val="ppoHeading4Turquoise"/>
        <w:rPr>
          <w:caps/>
          <w:noProof/>
          <w:lang w:val="en-IE"/>
        </w:rPr>
      </w:pPr>
      <w:r w:rsidRPr="00FF1E2D">
        <w:rPr>
          <w:noProof/>
          <w:lang w:val="en-IE"/>
        </w:rPr>
        <w:t xml:space="preserve">Implementation and performance </w:t>
      </w:r>
    </w:p>
    <w:p w14:paraId="40A4E3F4" w14:textId="77777777" w:rsidR="00434A92" w:rsidRPr="00FF1E2D" w:rsidRDefault="00434A92" w:rsidP="00434A92">
      <w:pPr>
        <w:pStyle w:val="ppoHeading5"/>
        <w:rPr>
          <w:noProof/>
          <w:lang w:val="en-IE"/>
        </w:rPr>
      </w:pPr>
      <w:r w:rsidRPr="00FF1E2D">
        <w:rPr>
          <w:noProof/>
          <w:lang w:val="en-IE"/>
        </w:rPr>
        <w:t xml:space="preserve">Budget </w:t>
      </w:r>
    </w:p>
    <w:p w14:paraId="10C9D56B" w14:textId="77777777" w:rsidR="00434A92" w:rsidRPr="00FF1E2D" w:rsidRDefault="00434A92" w:rsidP="00434A92">
      <w:pPr>
        <w:pStyle w:val="ppoTableTabletitle"/>
        <w:rPr>
          <w:noProof/>
          <w:lang w:val="en-IE"/>
        </w:rPr>
      </w:pPr>
      <w:r w:rsidRPr="00FF1E2D">
        <w:rPr>
          <w:noProof/>
          <w:lang w:val="en-IE"/>
        </w:rPr>
        <w:t>Budget (million 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434A92" w:rsidRPr="00FF1E2D" w14:paraId="1802131D" w14:textId="77777777" w:rsidTr="0083214A">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2A0D322E" w14:textId="77777777" w:rsidR="00434A92" w:rsidRPr="00FF1E2D" w:rsidRDefault="00434A92" w:rsidP="0083214A">
            <w:pPr>
              <w:rPr>
                <w:noProof/>
                <w:lang w:val="en-IE"/>
              </w:rPr>
            </w:pPr>
          </w:p>
        </w:tc>
        <w:tc>
          <w:tcPr>
            <w:tcW w:w="943" w:type="dxa"/>
            <w:noWrap/>
            <w:hideMark/>
          </w:tcPr>
          <w:p w14:paraId="574ACD0D" w14:textId="77777777" w:rsidR="00434A92" w:rsidRPr="00FF1E2D" w:rsidRDefault="00434A92" w:rsidP="0083214A">
            <w:pPr>
              <w:rPr>
                <w:noProof/>
                <w:lang w:val="en-IE"/>
              </w:rPr>
            </w:pPr>
            <w:r w:rsidRPr="00FF1E2D">
              <w:rPr>
                <w:noProof/>
                <w:lang w:val="en-IE"/>
              </w:rPr>
              <w:t>2021</w:t>
            </w:r>
          </w:p>
        </w:tc>
        <w:tc>
          <w:tcPr>
            <w:tcW w:w="944" w:type="dxa"/>
            <w:noWrap/>
            <w:hideMark/>
          </w:tcPr>
          <w:p w14:paraId="6BA94A5B" w14:textId="77777777" w:rsidR="00434A92" w:rsidRPr="00FF1E2D" w:rsidRDefault="00434A92" w:rsidP="0083214A">
            <w:pPr>
              <w:rPr>
                <w:noProof/>
                <w:lang w:val="en-IE"/>
              </w:rPr>
            </w:pPr>
            <w:r w:rsidRPr="00FF1E2D">
              <w:rPr>
                <w:noProof/>
                <w:lang w:val="en-IE"/>
              </w:rPr>
              <w:t>2022</w:t>
            </w:r>
          </w:p>
        </w:tc>
        <w:tc>
          <w:tcPr>
            <w:tcW w:w="943" w:type="dxa"/>
            <w:noWrap/>
            <w:hideMark/>
          </w:tcPr>
          <w:p w14:paraId="58966EB5" w14:textId="77777777" w:rsidR="00434A92" w:rsidRPr="00FF1E2D" w:rsidRDefault="00434A92" w:rsidP="0083214A">
            <w:pPr>
              <w:rPr>
                <w:noProof/>
                <w:lang w:val="en-IE"/>
              </w:rPr>
            </w:pPr>
            <w:r w:rsidRPr="00FF1E2D">
              <w:rPr>
                <w:noProof/>
                <w:lang w:val="en-IE"/>
              </w:rPr>
              <w:t>2023</w:t>
            </w:r>
          </w:p>
        </w:tc>
        <w:tc>
          <w:tcPr>
            <w:tcW w:w="944" w:type="dxa"/>
            <w:noWrap/>
            <w:hideMark/>
          </w:tcPr>
          <w:p w14:paraId="1E21F417" w14:textId="77777777" w:rsidR="00434A92" w:rsidRPr="00FF1E2D" w:rsidRDefault="00434A92" w:rsidP="0083214A">
            <w:pPr>
              <w:rPr>
                <w:noProof/>
                <w:lang w:val="en-IE"/>
              </w:rPr>
            </w:pPr>
            <w:r w:rsidRPr="00FF1E2D">
              <w:rPr>
                <w:noProof/>
                <w:lang w:val="en-IE"/>
              </w:rPr>
              <w:t>2024</w:t>
            </w:r>
          </w:p>
        </w:tc>
        <w:tc>
          <w:tcPr>
            <w:tcW w:w="944" w:type="dxa"/>
            <w:noWrap/>
            <w:hideMark/>
          </w:tcPr>
          <w:p w14:paraId="179DE422" w14:textId="77777777" w:rsidR="00434A92" w:rsidRPr="00FF1E2D" w:rsidRDefault="00434A92" w:rsidP="0083214A">
            <w:pPr>
              <w:rPr>
                <w:noProof/>
                <w:lang w:val="en-IE"/>
              </w:rPr>
            </w:pPr>
            <w:r w:rsidRPr="00FF1E2D">
              <w:rPr>
                <w:noProof/>
                <w:lang w:val="en-IE"/>
              </w:rPr>
              <w:t>2025</w:t>
            </w:r>
          </w:p>
        </w:tc>
        <w:tc>
          <w:tcPr>
            <w:tcW w:w="943" w:type="dxa"/>
            <w:noWrap/>
            <w:hideMark/>
          </w:tcPr>
          <w:p w14:paraId="1F45B4A9" w14:textId="77777777" w:rsidR="00434A92" w:rsidRPr="00FF1E2D" w:rsidRDefault="00434A92" w:rsidP="0083214A">
            <w:pPr>
              <w:rPr>
                <w:noProof/>
                <w:lang w:val="en-IE"/>
              </w:rPr>
            </w:pPr>
            <w:r w:rsidRPr="00FF1E2D">
              <w:rPr>
                <w:noProof/>
                <w:lang w:val="en-IE"/>
              </w:rPr>
              <w:t>2026</w:t>
            </w:r>
          </w:p>
        </w:tc>
        <w:tc>
          <w:tcPr>
            <w:tcW w:w="944" w:type="dxa"/>
            <w:noWrap/>
            <w:hideMark/>
          </w:tcPr>
          <w:p w14:paraId="503075BC" w14:textId="77777777" w:rsidR="00434A92" w:rsidRPr="00FF1E2D" w:rsidRDefault="00434A92" w:rsidP="0083214A">
            <w:pPr>
              <w:rPr>
                <w:noProof/>
                <w:lang w:val="en-IE"/>
              </w:rPr>
            </w:pPr>
            <w:r w:rsidRPr="00FF1E2D">
              <w:rPr>
                <w:noProof/>
                <w:lang w:val="en-IE"/>
              </w:rPr>
              <w:t>2027</w:t>
            </w:r>
          </w:p>
        </w:tc>
        <w:tc>
          <w:tcPr>
            <w:tcW w:w="944" w:type="dxa"/>
            <w:noWrap/>
            <w:hideMark/>
          </w:tcPr>
          <w:p w14:paraId="6E218BEE" w14:textId="77777777" w:rsidR="00434A92" w:rsidRPr="00FF1E2D" w:rsidRDefault="00434A92" w:rsidP="0083214A">
            <w:pPr>
              <w:rPr>
                <w:noProof/>
                <w:lang w:val="en-IE"/>
              </w:rPr>
            </w:pPr>
            <w:r w:rsidRPr="00FF1E2D">
              <w:rPr>
                <w:noProof/>
                <w:lang w:val="en-IE"/>
              </w:rPr>
              <w:t>Total</w:t>
            </w:r>
          </w:p>
        </w:tc>
      </w:tr>
      <w:tr w:rsidR="00434A92" w:rsidRPr="00FF1E2D" w14:paraId="365AB1AB" w14:textId="77777777" w:rsidTr="0083214A">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22A3F782" w14:textId="77777777" w:rsidR="00434A92" w:rsidRPr="00FF1E2D" w:rsidRDefault="00434A92" w:rsidP="0083214A">
            <w:pPr>
              <w:rPr>
                <w:noProof/>
                <w:lang w:val="en-IE"/>
              </w:rPr>
            </w:pPr>
            <w:r w:rsidRPr="00FF1E2D">
              <w:rPr>
                <w:noProof/>
                <w:lang w:val="en-IE"/>
              </w:rPr>
              <w:t>Revenues from auctions</w:t>
            </w:r>
          </w:p>
        </w:tc>
        <w:tc>
          <w:tcPr>
            <w:tcW w:w="943" w:type="dxa"/>
            <w:noWrap/>
            <w:hideMark/>
          </w:tcPr>
          <w:p w14:paraId="075B0402" w14:textId="47C1A562" w:rsidR="00434A92" w:rsidRPr="00FF1E2D" w:rsidRDefault="00434A92" w:rsidP="0083214A">
            <w:pPr>
              <w:jc w:val="center"/>
              <w:rPr>
                <w:noProof/>
                <w:lang w:val="en-IE"/>
              </w:rPr>
            </w:pPr>
            <w:r w:rsidRPr="00FF1E2D">
              <w:rPr>
                <w:noProof/>
                <w:lang w:val="en-IE"/>
              </w:rPr>
              <w:t>3</w:t>
            </w:r>
            <w:r w:rsidRPr="00FF1E2D">
              <w:rPr>
                <w:rFonts w:ascii="Calibri" w:hAnsi="Calibri" w:cs="Calibri"/>
                <w:noProof/>
                <w:lang w:val="en-IE"/>
              </w:rPr>
              <w:t> </w:t>
            </w:r>
            <w:r w:rsidRPr="00FF1E2D">
              <w:rPr>
                <w:noProof/>
                <w:lang w:val="en-IE"/>
              </w:rPr>
              <w:t>816.2</w:t>
            </w:r>
          </w:p>
        </w:tc>
        <w:tc>
          <w:tcPr>
            <w:tcW w:w="944" w:type="dxa"/>
            <w:noWrap/>
            <w:hideMark/>
          </w:tcPr>
          <w:p w14:paraId="49B562AB" w14:textId="77777777" w:rsidR="00434A92" w:rsidRPr="00FF1E2D" w:rsidRDefault="00434A92" w:rsidP="0083214A">
            <w:pPr>
              <w:jc w:val="center"/>
              <w:rPr>
                <w:noProof/>
                <w:lang w:val="en-IE"/>
              </w:rPr>
            </w:pPr>
          </w:p>
        </w:tc>
        <w:tc>
          <w:tcPr>
            <w:tcW w:w="943" w:type="dxa"/>
            <w:noWrap/>
            <w:hideMark/>
          </w:tcPr>
          <w:p w14:paraId="4E971ED3" w14:textId="77777777" w:rsidR="00434A92" w:rsidRPr="00FF1E2D" w:rsidRDefault="00434A92" w:rsidP="0083214A">
            <w:pPr>
              <w:jc w:val="center"/>
              <w:rPr>
                <w:noProof/>
                <w:lang w:val="en-IE"/>
              </w:rPr>
            </w:pPr>
          </w:p>
        </w:tc>
        <w:tc>
          <w:tcPr>
            <w:tcW w:w="944" w:type="dxa"/>
            <w:noWrap/>
            <w:hideMark/>
          </w:tcPr>
          <w:p w14:paraId="1686634A" w14:textId="77777777" w:rsidR="00434A92" w:rsidRPr="00FF1E2D" w:rsidRDefault="00434A92" w:rsidP="0083214A">
            <w:pPr>
              <w:jc w:val="center"/>
              <w:rPr>
                <w:noProof/>
                <w:lang w:val="en-IE"/>
              </w:rPr>
            </w:pPr>
          </w:p>
        </w:tc>
        <w:tc>
          <w:tcPr>
            <w:tcW w:w="944" w:type="dxa"/>
            <w:noWrap/>
            <w:hideMark/>
          </w:tcPr>
          <w:p w14:paraId="3C9BD12B" w14:textId="77777777" w:rsidR="00434A92" w:rsidRPr="00FF1E2D" w:rsidRDefault="00434A92" w:rsidP="0083214A">
            <w:pPr>
              <w:jc w:val="center"/>
              <w:rPr>
                <w:noProof/>
                <w:lang w:val="en-IE"/>
              </w:rPr>
            </w:pPr>
          </w:p>
        </w:tc>
        <w:tc>
          <w:tcPr>
            <w:tcW w:w="943" w:type="dxa"/>
            <w:noWrap/>
            <w:hideMark/>
          </w:tcPr>
          <w:p w14:paraId="40B43CCE" w14:textId="77777777" w:rsidR="00434A92" w:rsidRPr="00FF1E2D" w:rsidRDefault="00434A92" w:rsidP="0083214A">
            <w:pPr>
              <w:jc w:val="center"/>
              <w:rPr>
                <w:noProof/>
                <w:lang w:val="en-IE"/>
              </w:rPr>
            </w:pPr>
          </w:p>
        </w:tc>
        <w:tc>
          <w:tcPr>
            <w:tcW w:w="944" w:type="dxa"/>
            <w:noWrap/>
            <w:hideMark/>
          </w:tcPr>
          <w:p w14:paraId="5D8D9109" w14:textId="77777777" w:rsidR="00434A92" w:rsidRPr="00FF1E2D" w:rsidRDefault="00434A92" w:rsidP="0083214A">
            <w:pPr>
              <w:jc w:val="center"/>
              <w:rPr>
                <w:noProof/>
                <w:lang w:val="en-IE"/>
              </w:rPr>
            </w:pPr>
          </w:p>
        </w:tc>
        <w:tc>
          <w:tcPr>
            <w:tcW w:w="944" w:type="dxa"/>
            <w:noWrap/>
            <w:hideMark/>
          </w:tcPr>
          <w:p w14:paraId="1B01FD2F" w14:textId="7B212600" w:rsidR="00434A92" w:rsidRPr="00FF1E2D" w:rsidRDefault="00434A92" w:rsidP="0083214A">
            <w:pPr>
              <w:jc w:val="center"/>
              <w:rPr>
                <w:noProof/>
                <w:lang w:val="en-IE"/>
              </w:rPr>
            </w:pPr>
            <w:r w:rsidRPr="00FF1E2D">
              <w:rPr>
                <w:noProof/>
                <w:lang w:val="en-IE"/>
              </w:rPr>
              <w:t>3</w:t>
            </w:r>
            <w:r w:rsidRPr="00FF1E2D">
              <w:rPr>
                <w:rFonts w:ascii="Calibri" w:hAnsi="Calibri" w:cs="Calibri"/>
                <w:noProof/>
                <w:lang w:val="en-IE"/>
              </w:rPr>
              <w:t> </w:t>
            </w:r>
            <w:r w:rsidRPr="00FF1E2D">
              <w:rPr>
                <w:noProof/>
                <w:lang w:val="en-IE"/>
              </w:rPr>
              <w:t>816.2</w:t>
            </w:r>
          </w:p>
        </w:tc>
      </w:tr>
    </w:tbl>
    <w:p w14:paraId="505EAC6F" w14:textId="77777777" w:rsidR="00434A92" w:rsidRPr="00FF1E2D" w:rsidRDefault="00434A92" w:rsidP="00434A92">
      <w:pPr>
        <w:pStyle w:val="FootnoteText"/>
        <w:rPr>
          <w:rFonts w:eastAsiaTheme="minorEastAsia"/>
          <w:noProof/>
          <w:lang w:val="en-IE"/>
        </w:rPr>
      </w:pPr>
    </w:p>
    <w:p w14:paraId="5B0A0AD2" w14:textId="77777777" w:rsidR="00434A92" w:rsidRPr="00FF1E2D" w:rsidRDefault="00434A92" w:rsidP="00434A92">
      <w:pPr>
        <w:pStyle w:val="FootnoteText"/>
        <w:rPr>
          <w:noProof/>
          <w:lang w:val="en-IE"/>
        </w:rPr>
      </w:pPr>
    </w:p>
    <w:p w14:paraId="2B4DF4BB" w14:textId="77777777" w:rsidR="00434A92" w:rsidRPr="00FF1E2D" w:rsidRDefault="00434A92" w:rsidP="00434A92">
      <w:pPr>
        <w:rPr>
          <w:noProof/>
          <w:lang w:val="en-IE"/>
        </w:rPr>
      </w:pPr>
    </w:p>
    <w:p w14:paraId="68B266A0" w14:textId="77777777" w:rsidR="00434A92" w:rsidRPr="00FF1E2D" w:rsidRDefault="00434A92" w:rsidP="00434A92">
      <w:pPr>
        <w:pStyle w:val="ppoTableTabletitle"/>
        <w:rPr>
          <w:b/>
          <w:noProof/>
          <w:lang w:val="en-IE"/>
        </w:rPr>
      </w:pPr>
      <w:r w:rsidRPr="00FF1E2D">
        <w:rPr>
          <w:noProof/>
          <w:lang w:val="en-IE"/>
        </w:rPr>
        <w:t>Cumulative implementation rate at the end of 2021 (million EUR):</w:t>
      </w:r>
    </w:p>
    <w:tbl>
      <w:tblPr>
        <w:tblStyle w:val="PPO2021"/>
        <w:tblW w:w="9639" w:type="dxa"/>
        <w:tblInd w:w="0" w:type="dxa"/>
        <w:tblLook w:val="06A0" w:firstRow="1" w:lastRow="0" w:firstColumn="1" w:lastColumn="0" w:noHBand="1" w:noVBand="1"/>
      </w:tblPr>
      <w:tblGrid>
        <w:gridCol w:w="2409"/>
        <w:gridCol w:w="2410"/>
        <w:gridCol w:w="2410"/>
        <w:gridCol w:w="2410"/>
      </w:tblGrid>
      <w:tr w:rsidR="00434A92" w:rsidRPr="00FF1E2D" w14:paraId="36989093" w14:textId="77777777" w:rsidTr="0083214A">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1F17E6E9" w14:textId="77777777" w:rsidR="00434A92" w:rsidRPr="00FF1E2D" w:rsidRDefault="00434A92" w:rsidP="0083214A">
            <w:pPr>
              <w:rPr>
                <w:noProof/>
                <w:lang w:val="en-IE"/>
              </w:rPr>
            </w:pPr>
          </w:p>
        </w:tc>
        <w:tc>
          <w:tcPr>
            <w:tcW w:w="2410" w:type="dxa"/>
          </w:tcPr>
          <w:p w14:paraId="730249DD" w14:textId="77777777" w:rsidR="00434A92" w:rsidRPr="00FF1E2D" w:rsidRDefault="00434A92" w:rsidP="0083214A">
            <w:pPr>
              <w:cnfStyle w:val="100000000000" w:firstRow="1" w:lastRow="0" w:firstColumn="0" w:lastColumn="0" w:oddVBand="0" w:evenVBand="0" w:oddHBand="0" w:evenHBand="0" w:firstRowFirstColumn="0" w:firstRowLastColumn="0" w:lastRowFirstColumn="0" w:lastRowLastColumn="0"/>
              <w:rPr>
                <w:noProof/>
                <w:lang w:val="en-IE"/>
              </w:rPr>
            </w:pPr>
            <w:r w:rsidRPr="00FF1E2D">
              <w:rPr>
                <w:noProof/>
                <w:lang w:val="en-IE"/>
              </w:rPr>
              <w:t>Implementation</w:t>
            </w:r>
          </w:p>
        </w:tc>
        <w:tc>
          <w:tcPr>
            <w:tcW w:w="2410" w:type="dxa"/>
          </w:tcPr>
          <w:p w14:paraId="39D89F98" w14:textId="4DFA81DF" w:rsidR="00434A92" w:rsidRPr="00FF1E2D" w:rsidRDefault="003821C6" w:rsidP="0083214A">
            <w:pPr>
              <w:cnfStyle w:val="100000000000" w:firstRow="1" w:lastRow="0" w:firstColumn="0" w:lastColumn="0" w:oddVBand="0" w:evenVBand="0" w:oddHBand="0" w:evenHBand="0" w:firstRowFirstColumn="0" w:firstRowLastColumn="0" w:lastRowFirstColumn="0" w:lastRowLastColumn="0"/>
              <w:rPr>
                <w:noProof/>
                <w:lang w:val="en-IE"/>
              </w:rPr>
            </w:pPr>
            <w:r>
              <w:rPr>
                <w:noProof/>
                <w:lang w:val="en-IE"/>
              </w:rPr>
              <w:t xml:space="preserve">2021-2027 </w:t>
            </w:r>
            <w:r w:rsidR="00434A92" w:rsidRPr="00FF1E2D">
              <w:rPr>
                <w:noProof/>
                <w:lang w:val="en-IE"/>
              </w:rPr>
              <w:t>Budget</w:t>
            </w:r>
          </w:p>
        </w:tc>
        <w:tc>
          <w:tcPr>
            <w:tcW w:w="2410" w:type="dxa"/>
          </w:tcPr>
          <w:p w14:paraId="466F4AE2" w14:textId="77777777" w:rsidR="00434A92" w:rsidRPr="00FF1E2D" w:rsidRDefault="00434A92" w:rsidP="0083214A">
            <w:pPr>
              <w:cnfStyle w:val="100000000000" w:firstRow="1" w:lastRow="0" w:firstColumn="0" w:lastColumn="0" w:oddVBand="0" w:evenVBand="0" w:oddHBand="0" w:evenHBand="0" w:firstRowFirstColumn="0" w:firstRowLastColumn="0" w:lastRowFirstColumn="0" w:lastRowLastColumn="0"/>
              <w:rPr>
                <w:noProof/>
                <w:lang w:val="en-IE"/>
              </w:rPr>
            </w:pPr>
            <w:r w:rsidRPr="00FF1E2D">
              <w:rPr>
                <w:noProof/>
                <w:lang w:val="en-IE"/>
              </w:rPr>
              <w:t>Implementation rate</w:t>
            </w:r>
          </w:p>
        </w:tc>
      </w:tr>
      <w:tr w:rsidR="00434A92" w:rsidRPr="00FF1E2D" w14:paraId="680541BA"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15EF3464" w14:textId="77777777" w:rsidR="00434A92" w:rsidRPr="00FF1E2D" w:rsidRDefault="00434A92" w:rsidP="0083214A">
            <w:pPr>
              <w:jc w:val="center"/>
              <w:rPr>
                <w:noProof/>
                <w:lang w:val="en-IE"/>
              </w:rPr>
            </w:pPr>
            <w:r w:rsidRPr="00FF1E2D">
              <w:rPr>
                <w:noProof/>
                <w:lang w:val="en-IE"/>
              </w:rPr>
              <w:t>Commitments</w:t>
            </w:r>
          </w:p>
        </w:tc>
        <w:tc>
          <w:tcPr>
            <w:tcW w:w="2410" w:type="dxa"/>
          </w:tcPr>
          <w:tbl>
            <w:tblPr>
              <w:tblStyle w:val="TableGrid"/>
              <w:tblW w:w="0" w:type="auto"/>
              <w:jc w:val="right"/>
              <w:tblLook w:val="06A0" w:firstRow="1" w:lastRow="0" w:firstColumn="1" w:lastColumn="0" w:noHBand="1" w:noVBand="1"/>
            </w:tblPr>
            <w:tblGrid>
              <w:gridCol w:w="2194"/>
            </w:tblGrid>
            <w:tr w:rsidR="00434A92" w:rsidRPr="00FF1E2D" w14:paraId="30CC5BF6" w14:textId="77777777" w:rsidTr="0083214A">
              <w:trPr>
                <w:trHeight w:val="285"/>
                <w:jc w:val="right"/>
              </w:trPr>
              <w:tc>
                <w:tcPr>
                  <w:tcW w:w="2290" w:type="dxa"/>
                  <w:tcBorders>
                    <w:top w:val="nil"/>
                    <w:left w:val="nil"/>
                    <w:bottom w:val="nil"/>
                    <w:right w:val="nil"/>
                  </w:tcBorders>
                  <w:vAlign w:val="bottom"/>
                </w:tcPr>
                <w:p w14:paraId="14B9A3C4" w14:textId="77777777" w:rsidR="00434A92" w:rsidRPr="00FF1E2D" w:rsidRDefault="00434A92" w:rsidP="0083214A">
                  <w:pPr>
                    <w:spacing w:before="100" w:after="100"/>
                    <w:jc w:val="center"/>
                    <w:rPr>
                      <w:noProof/>
                      <w:lang w:val="en-IE"/>
                    </w:rPr>
                  </w:pPr>
                  <w:r w:rsidRPr="00FF1E2D">
                    <w:rPr>
                      <w:noProof/>
                      <w:lang w:val="en-IE"/>
                    </w:rPr>
                    <w:t>146.6</w:t>
                  </w:r>
                </w:p>
              </w:tc>
            </w:tr>
          </w:tbl>
          <w:p w14:paraId="2AF0CA54" w14:textId="77777777" w:rsidR="00434A92" w:rsidRPr="00FF1E2D" w:rsidRDefault="00434A92"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jc w:val="right"/>
              <w:tblLook w:val="06A0" w:firstRow="1" w:lastRow="0" w:firstColumn="1" w:lastColumn="0" w:noHBand="1" w:noVBand="1"/>
            </w:tblPr>
            <w:tblGrid>
              <w:gridCol w:w="2194"/>
            </w:tblGrid>
            <w:tr w:rsidR="00434A92" w:rsidRPr="00FF1E2D" w14:paraId="6AE10D79" w14:textId="77777777" w:rsidTr="0083214A">
              <w:trPr>
                <w:trHeight w:val="285"/>
                <w:jc w:val="right"/>
              </w:trPr>
              <w:tc>
                <w:tcPr>
                  <w:tcW w:w="2290" w:type="dxa"/>
                  <w:tcBorders>
                    <w:top w:val="nil"/>
                    <w:left w:val="nil"/>
                    <w:bottom w:val="nil"/>
                    <w:right w:val="nil"/>
                  </w:tcBorders>
                  <w:vAlign w:val="bottom"/>
                </w:tcPr>
                <w:p w14:paraId="728EC9CF" w14:textId="77777777" w:rsidR="00434A92" w:rsidRPr="00FF1E2D" w:rsidRDefault="00434A92" w:rsidP="0083214A">
                  <w:pPr>
                    <w:spacing w:before="100" w:after="100"/>
                    <w:jc w:val="center"/>
                    <w:rPr>
                      <w:noProof/>
                      <w:lang w:val="en-IE"/>
                    </w:rPr>
                  </w:pPr>
                  <w:r w:rsidRPr="00FF1E2D">
                    <w:rPr>
                      <w:noProof/>
                      <w:lang w:val="en-IE"/>
                    </w:rPr>
                    <w:t>3</w:t>
                  </w:r>
                  <w:r w:rsidRPr="00FF1E2D">
                    <w:rPr>
                      <w:rFonts w:ascii="Calibri" w:hAnsi="Calibri" w:cs="Calibri"/>
                      <w:noProof/>
                      <w:lang w:val="en-IE"/>
                    </w:rPr>
                    <w:t> </w:t>
                  </w:r>
                  <w:r w:rsidRPr="00FF1E2D">
                    <w:rPr>
                      <w:noProof/>
                      <w:lang w:val="en-IE"/>
                    </w:rPr>
                    <w:t>816.2</w:t>
                  </w:r>
                </w:p>
              </w:tc>
            </w:tr>
          </w:tbl>
          <w:p w14:paraId="56CEBDC9" w14:textId="77777777" w:rsidR="00434A92" w:rsidRPr="00FF1E2D" w:rsidRDefault="00434A92"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jc w:val="right"/>
              <w:tblLook w:val="06A0" w:firstRow="1" w:lastRow="0" w:firstColumn="1" w:lastColumn="0" w:noHBand="1" w:noVBand="1"/>
            </w:tblPr>
            <w:tblGrid>
              <w:gridCol w:w="2194"/>
            </w:tblGrid>
            <w:tr w:rsidR="00434A92" w:rsidRPr="00FF1E2D" w14:paraId="2AD39FCC" w14:textId="77777777" w:rsidTr="0083214A">
              <w:trPr>
                <w:trHeight w:val="285"/>
                <w:jc w:val="right"/>
              </w:trPr>
              <w:tc>
                <w:tcPr>
                  <w:tcW w:w="2194" w:type="dxa"/>
                  <w:tcBorders>
                    <w:top w:val="nil"/>
                    <w:left w:val="nil"/>
                    <w:bottom w:val="nil"/>
                    <w:right w:val="nil"/>
                  </w:tcBorders>
                  <w:vAlign w:val="bottom"/>
                </w:tcPr>
                <w:p w14:paraId="5453B856" w14:textId="77777777" w:rsidR="00434A92" w:rsidRPr="00FF1E2D" w:rsidRDefault="00434A92" w:rsidP="0083214A">
                  <w:pPr>
                    <w:spacing w:before="100" w:after="100"/>
                    <w:ind w:left="380"/>
                    <w:jc w:val="center"/>
                    <w:rPr>
                      <w:noProof/>
                      <w:lang w:val="en-IE"/>
                    </w:rPr>
                  </w:pPr>
                  <w:r w:rsidRPr="00FF1E2D">
                    <w:rPr>
                      <w:noProof/>
                      <w:lang w:val="en-IE"/>
                    </w:rPr>
                    <w:t>4%</w:t>
                  </w:r>
                </w:p>
              </w:tc>
            </w:tr>
          </w:tbl>
          <w:p w14:paraId="13A625CF" w14:textId="77777777" w:rsidR="00434A92" w:rsidRPr="00FF1E2D" w:rsidRDefault="00434A92"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r>
      <w:tr w:rsidR="00434A92" w:rsidRPr="00FF1E2D" w14:paraId="6DB99E89" w14:textId="77777777" w:rsidTr="0083214A">
        <w:tc>
          <w:tcPr>
            <w:cnfStyle w:val="001000000000" w:firstRow="0" w:lastRow="0" w:firstColumn="1" w:lastColumn="0" w:oddVBand="0" w:evenVBand="0" w:oddHBand="0" w:evenHBand="0" w:firstRowFirstColumn="0" w:firstRowLastColumn="0" w:lastRowFirstColumn="0" w:lastRowLastColumn="0"/>
            <w:tcW w:w="2409" w:type="dxa"/>
          </w:tcPr>
          <w:p w14:paraId="2CB75A02" w14:textId="77777777" w:rsidR="00434A92" w:rsidRPr="00FF1E2D" w:rsidRDefault="00434A92" w:rsidP="0083214A">
            <w:pPr>
              <w:jc w:val="center"/>
              <w:rPr>
                <w:noProof/>
                <w:lang w:val="en-IE"/>
              </w:rPr>
            </w:pPr>
            <w:r w:rsidRPr="00FF1E2D">
              <w:rPr>
                <w:noProof/>
                <w:lang w:val="en-IE"/>
              </w:rPr>
              <w:t>Payments</w:t>
            </w:r>
          </w:p>
        </w:tc>
        <w:tc>
          <w:tcPr>
            <w:tcW w:w="2410" w:type="dxa"/>
          </w:tcPr>
          <w:tbl>
            <w:tblPr>
              <w:tblStyle w:val="TableGrid"/>
              <w:tblW w:w="0" w:type="auto"/>
              <w:jc w:val="right"/>
              <w:tblLook w:val="06A0" w:firstRow="1" w:lastRow="0" w:firstColumn="1" w:lastColumn="0" w:noHBand="1" w:noVBand="1"/>
            </w:tblPr>
            <w:tblGrid>
              <w:gridCol w:w="2194"/>
            </w:tblGrid>
            <w:tr w:rsidR="00434A92" w:rsidRPr="00FF1E2D" w14:paraId="7F1DC510" w14:textId="77777777" w:rsidTr="0083214A">
              <w:trPr>
                <w:trHeight w:val="285"/>
                <w:jc w:val="right"/>
              </w:trPr>
              <w:tc>
                <w:tcPr>
                  <w:tcW w:w="2290" w:type="dxa"/>
                  <w:tcBorders>
                    <w:top w:val="nil"/>
                    <w:left w:val="nil"/>
                    <w:bottom w:val="nil"/>
                    <w:right w:val="nil"/>
                  </w:tcBorders>
                  <w:vAlign w:val="bottom"/>
                </w:tcPr>
                <w:p w14:paraId="1104C59D" w14:textId="77777777" w:rsidR="00434A92" w:rsidRPr="00FF1E2D" w:rsidRDefault="00434A92" w:rsidP="0083214A">
                  <w:pPr>
                    <w:spacing w:before="100" w:after="100"/>
                    <w:jc w:val="center"/>
                    <w:rPr>
                      <w:noProof/>
                      <w:lang w:val="en-IE"/>
                    </w:rPr>
                  </w:pPr>
                  <w:r w:rsidRPr="00FF1E2D">
                    <w:rPr>
                      <w:noProof/>
                      <w:lang w:val="en-IE"/>
                    </w:rPr>
                    <w:t>11.2</w:t>
                  </w:r>
                </w:p>
              </w:tc>
            </w:tr>
          </w:tbl>
          <w:p w14:paraId="341DFD62" w14:textId="77777777" w:rsidR="00434A92" w:rsidRPr="00FF1E2D" w:rsidRDefault="00434A92"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p w14:paraId="7D8E7B21" w14:textId="77777777" w:rsidR="00434A92" w:rsidRPr="00FF1E2D" w:rsidRDefault="00434A92"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c>
          <w:tcPr>
            <w:tcW w:w="2410" w:type="dxa"/>
          </w:tcPr>
          <w:tbl>
            <w:tblPr>
              <w:tblStyle w:val="TableGrid"/>
              <w:tblW w:w="0" w:type="auto"/>
              <w:jc w:val="right"/>
              <w:tblLook w:val="06A0" w:firstRow="1" w:lastRow="0" w:firstColumn="1" w:lastColumn="0" w:noHBand="1" w:noVBand="1"/>
            </w:tblPr>
            <w:tblGrid>
              <w:gridCol w:w="1740"/>
            </w:tblGrid>
            <w:tr w:rsidR="00434A92" w:rsidRPr="00FF1E2D" w14:paraId="2460D011" w14:textId="77777777" w:rsidTr="0083214A">
              <w:trPr>
                <w:trHeight w:val="285"/>
                <w:jc w:val="right"/>
              </w:trPr>
              <w:tc>
                <w:tcPr>
                  <w:tcW w:w="1740" w:type="dxa"/>
                  <w:tcBorders>
                    <w:top w:val="nil"/>
                    <w:left w:val="nil"/>
                    <w:bottom w:val="nil"/>
                    <w:right w:val="nil"/>
                  </w:tcBorders>
                  <w:vAlign w:val="bottom"/>
                </w:tcPr>
                <w:p w14:paraId="5E169BB8" w14:textId="77777777" w:rsidR="00434A92" w:rsidRPr="00FF1E2D" w:rsidRDefault="00434A92" w:rsidP="0083214A">
                  <w:pPr>
                    <w:spacing w:before="100" w:after="100"/>
                    <w:jc w:val="center"/>
                    <w:rPr>
                      <w:noProof/>
                      <w:lang w:val="en-IE"/>
                    </w:rPr>
                  </w:pPr>
                  <w:r w:rsidRPr="00FF1E2D">
                    <w:rPr>
                      <w:noProof/>
                      <w:lang w:val="en-IE"/>
                    </w:rPr>
                    <w:t>0%</w:t>
                  </w:r>
                </w:p>
              </w:tc>
            </w:tr>
          </w:tbl>
          <w:p w14:paraId="311AD712" w14:textId="77777777" w:rsidR="00434A92" w:rsidRPr="00FF1E2D" w:rsidRDefault="00434A92" w:rsidP="0083214A">
            <w:pPr>
              <w:jc w:val="center"/>
              <w:cnfStyle w:val="000000000000" w:firstRow="0" w:lastRow="0" w:firstColumn="0" w:lastColumn="0" w:oddVBand="0" w:evenVBand="0" w:oddHBand="0" w:evenHBand="0" w:firstRowFirstColumn="0" w:firstRowLastColumn="0" w:lastRowFirstColumn="0" w:lastRowLastColumn="0"/>
              <w:rPr>
                <w:noProof/>
                <w:lang w:val="en-IE"/>
              </w:rPr>
            </w:pPr>
          </w:p>
        </w:tc>
      </w:tr>
    </w:tbl>
    <w:p w14:paraId="0503D52D" w14:textId="77777777" w:rsidR="00434A92" w:rsidRPr="00FF1E2D" w:rsidRDefault="00434A92" w:rsidP="00434A92">
      <w:pPr>
        <w:pStyle w:val="ListParagraph"/>
        <w:spacing w:after="120" w:line="240" w:lineRule="auto"/>
        <w:ind w:firstLine="0"/>
        <w:jc w:val="both"/>
        <w:rPr>
          <w:b/>
          <w:noProof/>
          <w:lang w:val="en-IE"/>
        </w:rPr>
      </w:pPr>
    </w:p>
    <w:p w14:paraId="7F15C5EF" w14:textId="77777777" w:rsidR="00434A92" w:rsidRPr="00FF1E2D" w:rsidRDefault="00434A92" w:rsidP="00434A92">
      <w:pPr>
        <w:pStyle w:val="ListParagraph"/>
        <w:numPr>
          <w:ilvl w:val="0"/>
          <w:numId w:val="117"/>
        </w:numPr>
        <w:spacing w:after="120" w:line="240" w:lineRule="auto"/>
        <w:jc w:val="both"/>
        <w:rPr>
          <w:b/>
          <w:noProof/>
          <w:lang w:val="en-IE"/>
        </w:rPr>
      </w:pPr>
      <w:r w:rsidRPr="00FF1E2D">
        <w:rPr>
          <w:b/>
          <w:noProof/>
          <w:lang w:val="en-IE"/>
        </w:rPr>
        <w:t>First call for large</w:t>
      </w:r>
      <w:r>
        <w:rPr>
          <w:b/>
          <w:noProof/>
          <w:lang w:val="en-IE"/>
        </w:rPr>
        <w:t>-</w:t>
      </w:r>
      <w:r w:rsidRPr="00FF1E2D">
        <w:rPr>
          <w:b/>
          <w:noProof/>
          <w:lang w:val="en-IE"/>
        </w:rPr>
        <w:t>scale projects</w:t>
      </w:r>
    </w:p>
    <w:p w14:paraId="01575093" w14:textId="77777777" w:rsidR="00434A92" w:rsidRPr="00FF1E2D" w:rsidRDefault="00434A92" w:rsidP="00434A92">
      <w:pPr>
        <w:spacing w:after="120"/>
        <w:rPr>
          <w:rStyle w:val="m9121636196355305711gmail-s2"/>
          <w:noProof/>
          <w:lang w:val="en-IE"/>
        </w:rPr>
      </w:pPr>
      <w:r w:rsidRPr="00FF1E2D">
        <w:rPr>
          <w:noProof/>
          <w:lang w:val="en-IE"/>
        </w:rPr>
        <w:t>A first call for proposals was launched in July 2020, amounting to EUR</w:t>
      </w:r>
      <w:r w:rsidRPr="00FF1E2D">
        <w:rPr>
          <w:rFonts w:ascii="Calibri" w:hAnsi="Calibri" w:cs="Calibri"/>
          <w:noProof/>
          <w:lang w:val="en-IE"/>
        </w:rPr>
        <w:t> </w:t>
      </w:r>
      <w:r w:rsidRPr="00FF1E2D">
        <w:rPr>
          <w:noProof/>
          <w:lang w:val="en-IE"/>
        </w:rPr>
        <w:t>1</w:t>
      </w:r>
      <w:r w:rsidRPr="00FF1E2D">
        <w:rPr>
          <w:rFonts w:ascii="Arial" w:hAnsi="Arial" w:cs="Arial"/>
          <w:noProof/>
          <w:rtl/>
          <w:lang w:val="en-IE"/>
        </w:rPr>
        <w:t> </w:t>
      </w:r>
      <w:r w:rsidRPr="00FF1E2D">
        <w:rPr>
          <w:noProof/>
          <w:lang w:val="en-IE"/>
        </w:rPr>
        <w:t xml:space="preserve">billion and addressing large-scale projects. </w:t>
      </w:r>
      <w:r w:rsidRPr="00FF1E2D">
        <w:rPr>
          <w:rStyle w:val="m9121636196355305711gmail-s2"/>
          <w:noProof/>
          <w:lang w:val="en-IE"/>
        </w:rPr>
        <w:t>It registered very high interest, receiving as many as 311 project proposals. Following the first</w:t>
      </w:r>
      <w:r>
        <w:rPr>
          <w:rStyle w:val="m9121636196355305711gmail-s2"/>
          <w:noProof/>
          <w:lang w:val="en-IE"/>
        </w:rPr>
        <w:t>-</w:t>
      </w:r>
      <w:r w:rsidRPr="00FF1E2D">
        <w:rPr>
          <w:rStyle w:val="m9121636196355305711gmail-s2"/>
          <w:noProof/>
          <w:lang w:val="en-IE"/>
        </w:rPr>
        <w:t>stage evaluation, on 23</w:t>
      </w:r>
      <w:r w:rsidRPr="00FF1E2D">
        <w:rPr>
          <w:rStyle w:val="m9121636196355305711gmail-s2"/>
          <w:rFonts w:ascii="Calibri" w:hAnsi="Calibri" w:cs="Calibri"/>
          <w:noProof/>
          <w:lang w:val="en-IE"/>
        </w:rPr>
        <w:t> </w:t>
      </w:r>
      <w:r w:rsidRPr="00FF1E2D">
        <w:rPr>
          <w:rStyle w:val="m9121636196355305711gmail-s2"/>
          <w:noProof/>
          <w:lang w:val="en-IE"/>
        </w:rPr>
        <w:t xml:space="preserve">March 2021 the </w:t>
      </w:r>
      <w:r w:rsidRPr="00FF1E2D">
        <w:rPr>
          <w:noProof/>
          <w:lang w:val="en-IE"/>
        </w:rPr>
        <w:t>European Climate, Infrastructure and Environment Executive Agency</w:t>
      </w:r>
      <w:r w:rsidRPr="00FF1E2D">
        <w:rPr>
          <w:rStyle w:val="m9121636196355305711gmail-s2"/>
          <w:noProof/>
          <w:lang w:val="en-IE"/>
        </w:rPr>
        <w:t xml:space="preserve"> invited 70 proposals to submit a full application in the second stage of the call. In total, 66 proposals were received by the 23</w:t>
      </w:r>
      <w:r w:rsidRPr="00FF1E2D">
        <w:rPr>
          <w:rStyle w:val="m9121636196355305711gmail-s2"/>
          <w:rFonts w:ascii="Calibri" w:hAnsi="Calibri" w:cs="Calibri"/>
          <w:noProof/>
          <w:lang w:val="en-IE"/>
        </w:rPr>
        <w:t> </w:t>
      </w:r>
      <w:r w:rsidRPr="00FF1E2D">
        <w:rPr>
          <w:rStyle w:val="m9121636196355305711gmail-s2"/>
          <w:noProof/>
          <w:lang w:val="en-IE"/>
        </w:rPr>
        <w:t>June 2021 deadline and the evaluation was carried out in the second half of 2021. The result of the call was seven projects invited for grant agreement, requesting in total more than EUR</w:t>
      </w:r>
      <w:r w:rsidRPr="00FF1E2D">
        <w:rPr>
          <w:rStyle w:val="m9121636196355305711gmail-s2"/>
          <w:rFonts w:ascii="Calibri" w:hAnsi="Calibri" w:cs="Calibri"/>
          <w:noProof/>
          <w:lang w:val="en-IE"/>
        </w:rPr>
        <w:t> 1 billion</w:t>
      </w:r>
      <w:r w:rsidRPr="00FF1E2D">
        <w:rPr>
          <w:rStyle w:val="m9121636196355305711gmail-s2"/>
          <w:noProof/>
          <w:lang w:val="en-IE"/>
        </w:rPr>
        <w:t xml:space="preserve"> in grants. The grant agreement signatures are expected to take place in the first quarter of 2022.</w:t>
      </w:r>
    </w:p>
    <w:p w14:paraId="0DBAB680" w14:textId="77777777" w:rsidR="00434A92" w:rsidRPr="00FF1E2D" w:rsidRDefault="00434A92" w:rsidP="00434A92">
      <w:pPr>
        <w:pStyle w:val="ListParagraph"/>
        <w:numPr>
          <w:ilvl w:val="0"/>
          <w:numId w:val="117"/>
        </w:numPr>
        <w:spacing w:after="120" w:line="240" w:lineRule="auto"/>
        <w:jc w:val="both"/>
        <w:rPr>
          <w:rStyle w:val="m9121636196355305711gmail-s2"/>
          <w:b/>
          <w:noProof/>
          <w:lang w:val="en-IE"/>
        </w:rPr>
      </w:pPr>
      <w:r w:rsidRPr="00FF1E2D">
        <w:rPr>
          <w:b/>
          <w:noProof/>
          <w:lang w:val="en-IE"/>
        </w:rPr>
        <w:t>First call for small-scale projects</w:t>
      </w:r>
    </w:p>
    <w:p w14:paraId="4EF80E96" w14:textId="77777777" w:rsidR="00434A92" w:rsidRPr="00FF1E2D" w:rsidRDefault="00434A92" w:rsidP="00434A92">
      <w:pPr>
        <w:spacing w:after="120"/>
        <w:rPr>
          <w:noProof/>
          <w:lang w:val="en-IE"/>
        </w:rPr>
      </w:pPr>
      <w:r w:rsidRPr="00FF1E2D">
        <w:rPr>
          <w:noProof/>
          <w:lang w:val="en-IE"/>
        </w:rPr>
        <w:t>The call for proposals launched in December 2020, amounting to EUR</w:t>
      </w:r>
      <w:r w:rsidRPr="00FF1E2D">
        <w:rPr>
          <w:rFonts w:ascii="Calibri" w:hAnsi="Calibri" w:cs="Calibri"/>
          <w:noProof/>
          <w:lang w:val="en-IE"/>
        </w:rPr>
        <w:t> </w:t>
      </w:r>
      <w:r w:rsidRPr="00FF1E2D">
        <w:rPr>
          <w:noProof/>
          <w:lang w:val="en-IE"/>
        </w:rPr>
        <w:t>100</w:t>
      </w:r>
      <w:r w:rsidRPr="00FF1E2D">
        <w:rPr>
          <w:rFonts w:ascii="Calibri" w:hAnsi="Calibri" w:cs="Calibri"/>
          <w:noProof/>
          <w:lang w:val="en-IE"/>
        </w:rPr>
        <w:t> </w:t>
      </w:r>
      <w:r w:rsidRPr="00FF1E2D">
        <w:rPr>
          <w:noProof/>
          <w:lang w:val="en-IE"/>
        </w:rPr>
        <w:t>million and addressing small-scale projects, had a deadline</w:t>
      </w:r>
      <w:r w:rsidRPr="00FF1E2D">
        <w:rPr>
          <w:rStyle w:val="m9121636196355305711gmail-s2"/>
          <w:noProof/>
          <w:lang w:val="en-IE"/>
        </w:rPr>
        <w:t xml:space="preserve"> of 10</w:t>
      </w:r>
      <w:r w:rsidRPr="00FF1E2D">
        <w:rPr>
          <w:rStyle w:val="m9121636196355305711gmail-s2"/>
          <w:rFonts w:ascii="Calibri" w:hAnsi="Calibri" w:cs="Calibri"/>
          <w:noProof/>
          <w:lang w:val="en-IE"/>
        </w:rPr>
        <w:t> </w:t>
      </w:r>
      <w:r w:rsidRPr="00FF1E2D">
        <w:rPr>
          <w:rStyle w:val="m9121636196355305711gmail-s2"/>
          <w:noProof/>
          <w:lang w:val="en-IE"/>
        </w:rPr>
        <w:t xml:space="preserve">March 2021. </w:t>
      </w:r>
      <w:r w:rsidRPr="00FF1E2D">
        <w:rPr>
          <w:noProof/>
          <w:lang w:val="en-IE"/>
        </w:rPr>
        <w:t>The results were published in mid</w:t>
      </w:r>
      <w:r>
        <w:rPr>
          <w:noProof/>
          <w:lang w:val="en-IE"/>
        </w:rPr>
        <w:t xml:space="preserve"> </w:t>
      </w:r>
      <w:r w:rsidRPr="00FF1E2D">
        <w:rPr>
          <w:noProof/>
          <w:lang w:val="en-IE"/>
        </w:rPr>
        <w:t>July and</w:t>
      </w:r>
      <w:r>
        <w:rPr>
          <w:noProof/>
          <w:lang w:val="en-IE"/>
        </w:rPr>
        <w:t>,</w:t>
      </w:r>
      <w:r w:rsidRPr="00FF1E2D">
        <w:rPr>
          <w:noProof/>
          <w:lang w:val="en-IE"/>
        </w:rPr>
        <w:t xml:space="preserve"> at the end of the evaluation process, the 32 top-ranked proposals within the available budget were invited for grant preparation. By 10</w:t>
      </w:r>
      <w:r w:rsidRPr="00FF1E2D">
        <w:rPr>
          <w:rFonts w:ascii="Calibri" w:hAnsi="Calibri" w:cs="Calibri"/>
          <w:noProof/>
          <w:lang w:val="en-IE"/>
        </w:rPr>
        <w:t> </w:t>
      </w:r>
      <w:r w:rsidRPr="00FF1E2D">
        <w:rPr>
          <w:noProof/>
          <w:lang w:val="en-IE"/>
        </w:rPr>
        <w:t>December 2021, 30 of the preselected proposals for funding signed grant agreements with the European Climate, Infrastructure and Environment Executive Agency, representing an assigned budget of more than EUR</w:t>
      </w:r>
      <w:r w:rsidRPr="00FF1E2D">
        <w:rPr>
          <w:rFonts w:ascii="Calibri" w:hAnsi="Calibri" w:cs="Calibri"/>
          <w:noProof/>
          <w:lang w:val="en-IE"/>
        </w:rPr>
        <w:t> </w:t>
      </w:r>
      <w:r w:rsidRPr="00FF1E2D">
        <w:rPr>
          <w:noProof/>
          <w:lang w:val="en-IE"/>
        </w:rPr>
        <w:t>100</w:t>
      </w:r>
      <w:r w:rsidRPr="00FF1E2D">
        <w:rPr>
          <w:rFonts w:ascii="Calibri" w:hAnsi="Calibri" w:cs="Calibri"/>
          <w:noProof/>
          <w:lang w:val="en-IE"/>
        </w:rPr>
        <w:t> </w:t>
      </w:r>
      <w:r w:rsidRPr="00FF1E2D">
        <w:rPr>
          <w:noProof/>
          <w:lang w:val="en-IE"/>
        </w:rPr>
        <w:t xml:space="preserve">million. </w:t>
      </w:r>
    </w:p>
    <w:p w14:paraId="1D547DC7" w14:textId="77777777" w:rsidR="00434A92" w:rsidRPr="00FF1E2D" w:rsidRDefault="00434A92" w:rsidP="00434A92">
      <w:pPr>
        <w:pStyle w:val="ListParagraph"/>
        <w:numPr>
          <w:ilvl w:val="0"/>
          <w:numId w:val="117"/>
        </w:numPr>
        <w:spacing w:after="120" w:line="240" w:lineRule="auto"/>
        <w:jc w:val="both"/>
        <w:rPr>
          <w:b/>
          <w:noProof/>
          <w:lang w:val="en-IE"/>
        </w:rPr>
      </w:pPr>
      <w:r w:rsidRPr="00FF1E2D">
        <w:rPr>
          <w:b/>
          <w:noProof/>
          <w:lang w:val="en-IE"/>
        </w:rPr>
        <w:t xml:space="preserve">Project development assistance </w:t>
      </w:r>
    </w:p>
    <w:p w14:paraId="4D69FF07" w14:textId="77777777" w:rsidR="00434A92" w:rsidRPr="00FF1E2D" w:rsidRDefault="00434A92" w:rsidP="00434A92">
      <w:pPr>
        <w:rPr>
          <w:noProof/>
          <w:lang w:val="en-IE"/>
        </w:rPr>
      </w:pPr>
      <w:r w:rsidRPr="00FF1E2D">
        <w:rPr>
          <w:noProof/>
          <w:lang w:val="en-IE"/>
        </w:rPr>
        <w:t>Project development assistance under the Innovation Fund aims to accelerate the bankability and general maturity of projects, so that they are ready to reapply to the fund.</w:t>
      </w:r>
    </w:p>
    <w:p w14:paraId="7669912C" w14:textId="77777777" w:rsidR="00434A92" w:rsidRPr="00FF1E2D" w:rsidRDefault="00434A92" w:rsidP="00434A92">
      <w:pPr>
        <w:spacing w:after="120"/>
        <w:rPr>
          <w:rStyle w:val="m9121636196355305711gmail-s2"/>
          <w:noProof/>
          <w:lang w:val="en-IE"/>
        </w:rPr>
      </w:pPr>
      <w:r w:rsidRPr="00FF1E2D">
        <w:rPr>
          <w:noProof/>
          <w:lang w:val="en-IE"/>
        </w:rPr>
        <w:t xml:space="preserve">A </w:t>
      </w:r>
      <w:bookmarkStart w:id="290" w:name="_Hlk100571968"/>
      <w:r w:rsidRPr="00FF1E2D">
        <w:rPr>
          <w:noProof/>
          <w:lang w:val="en-IE"/>
        </w:rPr>
        <w:t>contribution agreement</w:t>
      </w:r>
      <w:bookmarkEnd w:id="290"/>
      <w:r w:rsidRPr="00FF1E2D">
        <w:rPr>
          <w:noProof/>
          <w:lang w:val="en-IE"/>
        </w:rPr>
        <w:t xml:space="preserve"> on project development assistance was signed with the European Investment Bank in April 2021 and is already being implemented. From those proposals not invited to the second stage of the first large-scale call, 15 proposals were invited</w:t>
      </w:r>
      <w:r w:rsidRPr="00FF1E2D">
        <w:rPr>
          <w:rFonts w:ascii="Calibri" w:hAnsi="Calibri" w:cs="Calibri"/>
          <w:noProof/>
          <w:lang w:val="en-IE"/>
        </w:rPr>
        <w:t> (</w:t>
      </w:r>
      <w:r w:rsidRPr="00142329">
        <w:rPr>
          <w:rStyle w:val="FootnoteReference"/>
          <w:noProof/>
          <w:lang w:val="en-IE"/>
        </w:rPr>
        <w:footnoteReference w:id="14"/>
      </w:r>
      <w:r w:rsidRPr="00FF1E2D">
        <w:rPr>
          <w:rFonts w:ascii="Calibri" w:hAnsi="Calibri" w:cs="Calibri"/>
          <w:noProof/>
          <w:lang w:val="en-IE"/>
        </w:rPr>
        <w:t>)</w:t>
      </w:r>
      <w:r w:rsidRPr="00FF1E2D">
        <w:rPr>
          <w:noProof/>
          <w:lang w:val="en-IE"/>
        </w:rPr>
        <w:t xml:space="preserve"> to access important project development assistance </w:t>
      </w:r>
      <w:r w:rsidRPr="00FF1E2D">
        <w:rPr>
          <w:bCs/>
          <w:noProof/>
          <w:lang w:val="en-IE"/>
        </w:rPr>
        <w:t>,</w:t>
      </w:r>
      <w:r w:rsidRPr="00FF1E2D">
        <w:rPr>
          <w:noProof/>
          <w:lang w:val="en-IE"/>
        </w:rPr>
        <w:t xml:space="preserve"> delivered by the European Investment Bank</w:t>
      </w:r>
      <w:r w:rsidRPr="00FF1E2D">
        <w:rPr>
          <w:rFonts w:ascii="Calibri" w:hAnsi="Calibri" w:cs="Calibri"/>
          <w:noProof/>
          <w:lang w:val="en-IE"/>
        </w:rPr>
        <w:t> (</w:t>
      </w:r>
      <w:r w:rsidRPr="00142329">
        <w:rPr>
          <w:rStyle w:val="FootnoteReference"/>
          <w:noProof/>
          <w:lang w:val="en-IE"/>
        </w:rPr>
        <w:footnoteReference w:id="15"/>
      </w:r>
      <w:r w:rsidRPr="00FF1E2D">
        <w:rPr>
          <w:rFonts w:ascii="Calibri" w:hAnsi="Calibri" w:cs="Calibri"/>
          <w:noProof/>
          <w:lang w:val="en-IE"/>
        </w:rPr>
        <w:t>)</w:t>
      </w:r>
      <w:r w:rsidRPr="00FF1E2D">
        <w:rPr>
          <w:noProof/>
          <w:lang w:val="en-IE"/>
        </w:rPr>
        <w:t>, worth EUR</w:t>
      </w:r>
      <w:r w:rsidRPr="00FF1E2D">
        <w:rPr>
          <w:rFonts w:ascii="Calibri" w:hAnsi="Calibri" w:cs="Calibri"/>
          <w:noProof/>
          <w:lang w:val="en-IE"/>
        </w:rPr>
        <w:t> </w:t>
      </w:r>
      <w:r w:rsidRPr="00FF1E2D">
        <w:rPr>
          <w:noProof/>
          <w:lang w:val="en-IE"/>
        </w:rPr>
        <w:t>4.4</w:t>
      </w:r>
      <w:r w:rsidRPr="00FF1E2D">
        <w:rPr>
          <w:rFonts w:ascii="Calibri" w:hAnsi="Calibri" w:cs="Calibri"/>
          <w:noProof/>
          <w:lang w:val="en-IE"/>
        </w:rPr>
        <w:t> </w:t>
      </w:r>
      <w:r w:rsidRPr="00FF1E2D">
        <w:rPr>
          <w:noProof/>
          <w:lang w:val="en-IE"/>
        </w:rPr>
        <w:t>million. Additionally, 10 small-scale projects were awarded project development assistance worth EUR</w:t>
      </w:r>
      <w:r w:rsidRPr="00FF1E2D">
        <w:rPr>
          <w:rFonts w:ascii="Calibri" w:hAnsi="Calibri" w:cs="Calibri"/>
          <w:noProof/>
          <w:lang w:val="en-IE"/>
        </w:rPr>
        <w:t> </w:t>
      </w:r>
      <w:r w:rsidRPr="00FF1E2D">
        <w:rPr>
          <w:noProof/>
          <w:lang w:val="en-IE"/>
        </w:rPr>
        <w:t>1.7</w:t>
      </w:r>
      <w:r w:rsidRPr="00FF1E2D">
        <w:rPr>
          <w:rFonts w:ascii="Calibri" w:hAnsi="Calibri" w:cs="Calibri"/>
          <w:noProof/>
          <w:lang w:val="en-IE"/>
        </w:rPr>
        <w:t> </w:t>
      </w:r>
      <w:r w:rsidRPr="00FF1E2D">
        <w:rPr>
          <w:noProof/>
          <w:lang w:val="en-IE"/>
        </w:rPr>
        <w:t xml:space="preserve">million. </w:t>
      </w:r>
    </w:p>
    <w:p w14:paraId="4AF338D3" w14:textId="77777777" w:rsidR="00434A92" w:rsidRPr="00FF1E2D" w:rsidRDefault="00434A92" w:rsidP="00434A92">
      <w:pPr>
        <w:pStyle w:val="ListParagraph"/>
        <w:widowControl w:val="0"/>
        <w:numPr>
          <w:ilvl w:val="0"/>
          <w:numId w:val="117"/>
        </w:numPr>
        <w:adjustRightInd w:val="0"/>
        <w:spacing w:after="200" w:line="276" w:lineRule="auto"/>
        <w:jc w:val="both"/>
        <w:textAlignment w:val="baseline"/>
        <w:rPr>
          <w:noProof/>
          <w:lang w:val="en-IE"/>
        </w:rPr>
      </w:pPr>
      <w:r w:rsidRPr="00FF1E2D">
        <w:rPr>
          <w:b/>
          <w:noProof/>
          <w:lang w:val="en-IE"/>
        </w:rPr>
        <w:t>InvestEU financial instruments</w:t>
      </w:r>
    </w:p>
    <w:p w14:paraId="6FD7C998" w14:textId="77777777" w:rsidR="00434A92" w:rsidRPr="00142329" w:rsidRDefault="00434A92" w:rsidP="00434A92">
      <w:pPr>
        <w:widowControl w:val="0"/>
        <w:adjustRightInd w:val="0"/>
        <w:spacing w:after="200"/>
        <w:textAlignment w:val="baseline"/>
        <w:rPr>
          <w:rFonts w:ascii="Calibri" w:hAnsi="Calibri" w:cs="Calibri"/>
          <w:noProof/>
          <w:lang w:val="en-IE"/>
        </w:rPr>
      </w:pPr>
      <w:r w:rsidRPr="00FF1E2D">
        <w:rPr>
          <w:noProof/>
          <w:lang w:val="en-IE"/>
        </w:rPr>
        <w:t>In 2021, EUR</w:t>
      </w:r>
      <w:r w:rsidRPr="00FF1E2D">
        <w:rPr>
          <w:rFonts w:ascii="Calibri" w:hAnsi="Calibri" w:cs="Calibri"/>
          <w:noProof/>
          <w:lang w:val="en-IE"/>
        </w:rPr>
        <w:t> </w:t>
      </w:r>
      <w:r w:rsidRPr="00FF1E2D">
        <w:rPr>
          <w:noProof/>
          <w:lang w:val="en-IE"/>
        </w:rPr>
        <w:t>100</w:t>
      </w:r>
      <w:r w:rsidRPr="00FF1E2D">
        <w:rPr>
          <w:rFonts w:ascii="Calibri" w:hAnsi="Calibri" w:cs="Calibri"/>
          <w:noProof/>
          <w:lang w:val="en-IE"/>
        </w:rPr>
        <w:t> </w:t>
      </w:r>
      <w:r w:rsidRPr="00FF1E2D">
        <w:rPr>
          <w:noProof/>
          <w:lang w:val="en-IE"/>
        </w:rPr>
        <w:t>million from the Innovation Fund w</w:t>
      </w:r>
      <w:r>
        <w:rPr>
          <w:noProof/>
          <w:lang w:val="en-IE"/>
        </w:rPr>
        <w:t>as</w:t>
      </w:r>
      <w:r w:rsidRPr="00FF1E2D">
        <w:rPr>
          <w:noProof/>
          <w:lang w:val="en-IE"/>
        </w:rPr>
        <w:t xml:space="preserve"> allocated to InvestEU through </w:t>
      </w:r>
      <w:bookmarkStart w:id="291" w:name="_Hlk100648069"/>
      <w:r>
        <w:rPr>
          <w:noProof/>
        </w:rPr>
        <w:fldChar w:fldCharType="begin"/>
      </w:r>
      <w:r>
        <w:rPr>
          <w:noProof/>
        </w:rPr>
        <w:instrText xml:space="preserve"> HYPERLINK "https://ec.europa.eu/clima/document/download/7570672e-0cbe-4c4d-a928-3732ff5a6b41_en" </w:instrText>
      </w:r>
      <w:r>
        <w:rPr>
          <w:noProof/>
        </w:rPr>
        <w:fldChar w:fldCharType="separate"/>
      </w:r>
      <w:r w:rsidRPr="00FF1E2D">
        <w:rPr>
          <w:rStyle w:val="Hyperlink"/>
          <w:noProof/>
          <w:lang w:val="en-IE"/>
        </w:rPr>
        <w:t>Commission Decision C(2021)</w:t>
      </w:r>
      <w:r>
        <w:rPr>
          <w:rStyle w:val="Hyperlink"/>
          <w:rFonts w:ascii="Calibri" w:hAnsi="Calibri" w:cs="Calibri"/>
          <w:noProof/>
          <w:lang w:val="en-IE"/>
        </w:rPr>
        <w:t> </w:t>
      </w:r>
      <w:r w:rsidRPr="00FF1E2D">
        <w:rPr>
          <w:rStyle w:val="Hyperlink"/>
          <w:noProof/>
          <w:lang w:val="en-IE"/>
        </w:rPr>
        <w:t>7404</w:t>
      </w:r>
      <w:r>
        <w:rPr>
          <w:rStyle w:val="Hyperlink"/>
          <w:noProof/>
          <w:lang w:val="en-IE"/>
        </w:rPr>
        <w:fldChar w:fldCharType="end"/>
      </w:r>
      <w:bookmarkEnd w:id="291"/>
      <w:r w:rsidRPr="00FF1E2D">
        <w:rPr>
          <w:noProof/>
          <w:lang w:val="en-IE"/>
        </w:rPr>
        <w:t xml:space="preserve"> of 19.10.2021 and its </w:t>
      </w:r>
      <w:hyperlink r:id="rId654" w:history="1">
        <w:r w:rsidRPr="00FF1E2D">
          <w:rPr>
            <w:rStyle w:val="Hyperlink"/>
            <w:noProof/>
            <w:lang w:val="en-IE"/>
          </w:rPr>
          <w:t>Annex</w:t>
        </w:r>
      </w:hyperlink>
      <w:r w:rsidRPr="00FF1E2D">
        <w:rPr>
          <w:noProof/>
          <w:lang w:val="en-IE"/>
        </w:rPr>
        <w:t xml:space="preserve"> on the activities related to the Innovation Fund, serving as the financing decision for 2021 and as a decision launching the second calls for proposals. The guarantee agreement(s) with the implementing partner(s) are not yet finalised, so the operations have not started. The guarantee agreement with the European Investment Bank </w:t>
      </w:r>
      <w:r>
        <w:rPr>
          <w:noProof/>
          <w:lang w:val="en-IE"/>
        </w:rPr>
        <w:t>will be</w:t>
      </w:r>
      <w:r w:rsidRPr="00FF1E2D">
        <w:rPr>
          <w:noProof/>
          <w:lang w:val="en-IE"/>
        </w:rPr>
        <w:t xml:space="preserve"> the first to be signed</w:t>
      </w:r>
      <w:r w:rsidRPr="00FF1E2D">
        <w:rPr>
          <w:rFonts w:ascii="Calibri" w:hAnsi="Calibri" w:cs="Calibri"/>
          <w:noProof/>
          <w:lang w:val="en-IE"/>
        </w:rPr>
        <w:t> </w:t>
      </w:r>
      <w:r w:rsidRPr="00FF1E2D">
        <w:rPr>
          <w:noProof/>
          <w:lang w:val="en-IE"/>
        </w:rPr>
        <w:t>– this is planned for 2022.</w:t>
      </w:r>
    </w:p>
    <w:p w14:paraId="445DCF58" w14:textId="77777777" w:rsidR="00434A92" w:rsidRPr="00FF1E2D" w:rsidRDefault="00434A92" w:rsidP="00434A92">
      <w:pPr>
        <w:rPr>
          <w:noProof/>
          <w:lang w:val="en-IE"/>
        </w:rPr>
      </w:pPr>
      <w:r w:rsidRPr="00FF1E2D">
        <w:rPr>
          <w:noProof/>
          <w:lang w:val="en-IE"/>
        </w:rPr>
        <w:t xml:space="preserve">On the revenue side, the implementation is progressing well. A contribution agreement was signed in January 2021 between the EU and the European Investment Bank, ensuring that the monetisation of the allowances set aside for the Innovation Fund is carried out in accordance with the </w:t>
      </w:r>
      <w:bookmarkStart w:id="292" w:name="_Hlk100576043"/>
      <w:r>
        <w:rPr>
          <w:noProof/>
          <w:lang w:val="en-IE"/>
        </w:rPr>
        <w:t>a</w:t>
      </w:r>
      <w:r w:rsidRPr="00FF1E2D">
        <w:rPr>
          <w:noProof/>
          <w:lang w:val="en-IE"/>
        </w:rPr>
        <w:t xml:space="preserve">uctioning </w:t>
      </w:r>
      <w:r>
        <w:rPr>
          <w:noProof/>
          <w:lang w:val="en-IE"/>
        </w:rPr>
        <w:t>r</w:t>
      </w:r>
      <w:r w:rsidRPr="00FF1E2D">
        <w:rPr>
          <w:noProof/>
          <w:lang w:val="en-IE"/>
        </w:rPr>
        <w:t xml:space="preserve">egulation </w:t>
      </w:r>
      <w:bookmarkEnd w:id="292"/>
      <w:r w:rsidRPr="00FF1E2D">
        <w:rPr>
          <w:noProof/>
          <w:lang w:val="en-IE"/>
        </w:rPr>
        <w:t xml:space="preserve">and the revenues of the Innovation Fund are managed in accordance with the objectives of the EU </w:t>
      </w:r>
      <w:r>
        <w:rPr>
          <w:noProof/>
          <w:lang w:val="en-IE"/>
        </w:rPr>
        <w:t>e</w:t>
      </w:r>
      <w:r w:rsidRPr="00FF1E2D">
        <w:rPr>
          <w:noProof/>
          <w:lang w:val="en-IE"/>
        </w:rPr>
        <w:t xml:space="preserve">missions </w:t>
      </w:r>
      <w:r>
        <w:rPr>
          <w:noProof/>
          <w:lang w:val="en-IE"/>
        </w:rPr>
        <w:t>t</w:t>
      </w:r>
      <w:r w:rsidRPr="00FF1E2D">
        <w:rPr>
          <w:noProof/>
          <w:lang w:val="en-IE"/>
        </w:rPr>
        <w:t xml:space="preserve">rading </w:t>
      </w:r>
      <w:r>
        <w:rPr>
          <w:noProof/>
          <w:lang w:val="en-IE"/>
        </w:rPr>
        <w:t>s</w:t>
      </w:r>
      <w:r w:rsidRPr="00FF1E2D">
        <w:rPr>
          <w:noProof/>
          <w:lang w:val="en-IE"/>
        </w:rPr>
        <w:t xml:space="preserve">ystem </w:t>
      </w:r>
      <w:r>
        <w:rPr>
          <w:noProof/>
          <w:lang w:val="en-IE"/>
        </w:rPr>
        <w:t>d</w:t>
      </w:r>
      <w:r w:rsidRPr="00FF1E2D">
        <w:rPr>
          <w:noProof/>
          <w:lang w:val="en-IE"/>
        </w:rPr>
        <w:t>irective.</w:t>
      </w:r>
    </w:p>
    <w:p w14:paraId="5DE83803" w14:textId="77777777" w:rsidR="00434A92" w:rsidRPr="00FF1E2D" w:rsidRDefault="00434A92" w:rsidP="00434A92">
      <w:pPr>
        <w:pStyle w:val="ppoListHyphened-L1"/>
        <w:numPr>
          <w:ilvl w:val="0"/>
          <w:numId w:val="0"/>
        </w:numPr>
        <w:ind w:left="357" w:hanging="357"/>
        <w:rPr>
          <w:noProof/>
          <w:lang w:val="en-IE"/>
        </w:rPr>
      </w:pPr>
    </w:p>
    <w:p w14:paraId="30B9AB26" w14:textId="77777777" w:rsidR="00434A92" w:rsidRPr="00FF1E2D" w:rsidRDefault="00434A92" w:rsidP="00434A92">
      <w:pPr>
        <w:pStyle w:val="ppoHeading5"/>
        <w:rPr>
          <w:noProof/>
          <w:lang w:val="en-IE"/>
        </w:rPr>
      </w:pPr>
      <w:r w:rsidRPr="00FF1E2D">
        <w:rPr>
          <w:noProof/>
          <w:lang w:val="en-IE"/>
        </w:rPr>
        <w:t>Contribution to horizontal priorities</w:t>
      </w:r>
    </w:p>
    <w:p w14:paraId="5DE7A566" w14:textId="77777777" w:rsidR="00434A92" w:rsidRPr="00FF1E2D" w:rsidRDefault="00434A92" w:rsidP="00434A92">
      <w:pPr>
        <w:pStyle w:val="ppoTableTabletitle"/>
        <w:rPr>
          <w:noProof/>
          <w:lang w:val="en-IE"/>
        </w:rPr>
      </w:pPr>
      <w:r w:rsidRPr="00FF1E2D">
        <w:rPr>
          <w:noProof/>
          <w:lang w:val="en-IE"/>
        </w:rPr>
        <w:t>EU budget contribution in 2021 (million EUR):</w:t>
      </w:r>
    </w:p>
    <w:tbl>
      <w:tblPr>
        <w:tblStyle w:val="PPO2021"/>
        <w:tblW w:w="9639" w:type="dxa"/>
        <w:tblInd w:w="0" w:type="dxa"/>
        <w:tblLook w:val="0420" w:firstRow="1" w:lastRow="0" w:firstColumn="0" w:lastColumn="0" w:noHBand="0" w:noVBand="1"/>
      </w:tblPr>
      <w:tblGrid>
        <w:gridCol w:w="3213"/>
        <w:gridCol w:w="3213"/>
        <w:gridCol w:w="3213"/>
      </w:tblGrid>
      <w:tr w:rsidR="00434A92" w:rsidRPr="00FF1E2D" w14:paraId="4F441EB9" w14:textId="77777777" w:rsidTr="0083214A">
        <w:trPr>
          <w:cnfStyle w:val="100000000000" w:firstRow="1" w:lastRow="0" w:firstColumn="0" w:lastColumn="0" w:oddVBand="0" w:evenVBand="0" w:oddHBand="0" w:evenHBand="0" w:firstRowFirstColumn="0" w:firstRowLastColumn="0" w:lastRowFirstColumn="0" w:lastRowLastColumn="0"/>
          <w:tblHeader/>
        </w:trPr>
        <w:tc>
          <w:tcPr>
            <w:tcW w:w="3213" w:type="dxa"/>
          </w:tcPr>
          <w:p w14:paraId="1AC116AB" w14:textId="77777777" w:rsidR="00434A92" w:rsidRPr="00FF1E2D" w:rsidRDefault="00434A92" w:rsidP="0083214A">
            <w:pPr>
              <w:rPr>
                <w:noProof/>
                <w:lang w:val="en-IE"/>
              </w:rPr>
            </w:pPr>
            <w:r w:rsidRPr="00FF1E2D">
              <w:rPr>
                <w:noProof/>
                <w:lang w:val="en-IE"/>
              </w:rPr>
              <w:t>Climate</w:t>
            </w:r>
            <w:r>
              <w:rPr>
                <w:noProof/>
                <w:lang w:val="en-IE"/>
              </w:rPr>
              <w:t>(*)</w:t>
            </w:r>
          </w:p>
        </w:tc>
        <w:tc>
          <w:tcPr>
            <w:tcW w:w="3213" w:type="dxa"/>
          </w:tcPr>
          <w:p w14:paraId="7C8F6513" w14:textId="77777777" w:rsidR="00434A92" w:rsidRPr="00FF1E2D" w:rsidRDefault="00434A92" w:rsidP="0083214A">
            <w:pPr>
              <w:rPr>
                <w:noProof/>
                <w:lang w:val="en-IE"/>
              </w:rPr>
            </w:pPr>
            <w:r w:rsidRPr="00FF1E2D">
              <w:rPr>
                <w:noProof/>
                <w:lang w:val="en-IE"/>
              </w:rPr>
              <w:t>Biodiversity</w:t>
            </w:r>
          </w:p>
        </w:tc>
        <w:tc>
          <w:tcPr>
            <w:tcW w:w="3213" w:type="dxa"/>
          </w:tcPr>
          <w:p w14:paraId="24258AA2" w14:textId="77777777" w:rsidR="00434A92" w:rsidRPr="00FF1E2D" w:rsidRDefault="00434A92" w:rsidP="0083214A">
            <w:pPr>
              <w:rPr>
                <w:noProof/>
                <w:lang w:val="en-IE"/>
              </w:rPr>
            </w:pPr>
            <w:r w:rsidRPr="00FF1E2D">
              <w:rPr>
                <w:noProof/>
                <w:lang w:val="en-IE"/>
              </w:rPr>
              <w:t>Gender equality</w:t>
            </w:r>
            <w:r>
              <w:rPr>
                <w:rFonts w:ascii="Calibri" w:hAnsi="Calibri" w:cs="Calibri"/>
                <w:noProof/>
                <w:lang w:val="en-IE"/>
              </w:rPr>
              <w:t> (*</w:t>
            </w:r>
            <w:r w:rsidRPr="004D3EA2">
              <w:rPr>
                <w:noProof/>
                <w:lang w:val="en-IE"/>
              </w:rPr>
              <w:t>*</w:t>
            </w:r>
            <w:r>
              <w:rPr>
                <w:noProof/>
                <w:lang w:val="en-IE"/>
              </w:rPr>
              <w:t>)</w:t>
            </w:r>
          </w:p>
        </w:tc>
      </w:tr>
      <w:tr w:rsidR="00434A92" w:rsidRPr="00FF1E2D" w14:paraId="26F02716" w14:textId="77777777" w:rsidTr="0083214A">
        <w:trPr>
          <w:cnfStyle w:val="000000100000" w:firstRow="0" w:lastRow="0" w:firstColumn="0" w:lastColumn="0" w:oddVBand="0" w:evenVBand="0" w:oddHBand="1" w:evenHBand="0" w:firstRowFirstColumn="0" w:firstRowLastColumn="0" w:lastRowFirstColumn="0" w:lastRowLastColumn="0"/>
        </w:trPr>
        <w:tc>
          <w:tcPr>
            <w:tcW w:w="3213" w:type="dxa"/>
          </w:tcPr>
          <w:p w14:paraId="035B900E" w14:textId="77777777" w:rsidR="00434A92" w:rsidRPr="00FF1E2D" w:rsidRDefault="00434A92" w:rsidP="0083214A">
            <w:pPr>
              <w:jc w:val="center"/>
              <w:rPr>
                <w:noProof/>
                <w:lang w:val="en-IE"/>
              </w:rPr>
            </w:pPr>
            <w:r>
              <w:rPr>
                <w:noProof/>
                <w:lang w:val="en-IE"/>
              </w:rPr>
              <w:t>146.6</w:t>
            </w:r>
          </w:p>
        </w:tc>
        <w:tc>
          <w:tcPr>
            <w:tcW w:w="3213" w:type="dxa"/>
          </w:tcPr>
          <w:p w14:paraId="6AB20B53" w14:textId="77777777" w:rsidR="00434A92" w:rsidRPr="00FF1E2D" w:rsidRDefault="00434A92" w:rsidP="0083214A">
            <w:pPr>
              <w:jc w:val="center"/>
              <w:rPr>
                <w:noProof/>
                <w:lang w:val="en-IE"/>
              </w:rPr>
            </w:pPr>
            <w:r w:rsidRPr="00FF1E2D">
              <w:rPr>
                <w:noProof/>
                <w:lang w:val="en-IE"/>
              </w:rPr>
              <w:t>NA</w:t>
            </w:r>
          </w:p>
        </w:tc>
        <w:tc>
          <w:tcPr>
            <w:tcW w:w="3213" w:type="dxa"/>
          </w:tcPr>
          <w:p w14:paraId="4B696FBB" w14:textId="77777777" w:rsidR="00434A92" w:rsidRPr="00FF1E2D" w:rsidRDefault="00434A92" w:rsidP="0083214A">
            <w:pPr>
              <w:jc w:val="center"/>
              <w:rPr>
                <w:noProof/>
                <w:lang w:val="en-IE"/>
              </w:rPr>
            </w:pPr>
            <w:r>
              <w:rPr>
                <w:noProof/>
                <w:lang w:val="en-IE"/>
              </w:rPr>
              <w:t>146.6</w:t>
            </w:r>
          </w:p>
        </w:tc>
      </w:tr>
    </w:tbl>
    <w:p w14:paraId="66183BC6" w14:textId="77777777" w:rsidR="00434A92" w:rsidRDefault="00434A92" w:rsidP="00434A92">
      <w:pPr>
        <w:pStyle w:val="FootnoteText"/>
        <w:rPr>
          <w:noProof/>
          <w:lang w:val="en-IE"/>
        </w:rPr>
      </w:pPr>
      <w:bookmarkStart w:id="293" w:name="_Hlk100650240"/>
      <w:r>
        <w:rPr>
          <w:noProof/>
          <w:lang w:val="en-IE"/>
        </w:rPr>
        <w:t>(*)The Innovation Fund is not part of the Multiannual Financial framework and its expenditures do not count for the achievement of the 30% climate target</w:t>
      </w:r>
    </w:p>
    <w:bookmarkEnd w:id="293"/>
    <w:p w14:paraId="4ABA1164" w14:textId="77777777" w:rsidR="00434A92" w:rsidRPr="00FF1E2D" w:rsidRDefault="00434A92" w:rsidP="00434A92">
      <w:pPr>
        <w:pStyle w:val="FootnoteText"/>
        <w:rPr>
          <w:noProof/>
          <w:lang w:val="en-IE"/>
        </w:rPr>
      </w:pPr>
      <w:r>
        <w:rPr>
          <w:noProof/>
          <w:lang w:val="en-IE"/>
        </w:rPr>
        <w:t>(</w:t>
      </w:r>
      <w:r w:rsidRPr="00FF1E2D">
        <w:rPr>
          <w:noProof/>
          <w:lang w:val="en-IE"/>
        </w:rPr>
        <w:t>*</w:t>
      </w:r>
      <w:r>
        <w:rPr>
          <w:noProof/>
          <w:lang w:val="en-IE"/>
        </w:rPr>
        <w:t>*)</w:t>
      </w:r>
      <w:r w:rsidRPr="00FF1E2D">
        <w:rPr>
          <w:noProof/>
          <w:lang w:val="en-IE"/>
        </w:rPr>
        <w:t xml:space="preserve"> </w:t>
      </w:r>
      <w:r w:rsidRPr="00FF1E2D">
        <w:rPr>
          <w:noProof/>
          <w:lang w:val="en-IE"/>
        </w:rPr>
        <w:tab/>
        <w:t xml:space="preserve">Based on the applied gender contribution methodology, the following scores are attributed at the most granular level of intervention possible: </w:t>
      </w:r>
    </w:p>
    <w:p w14:paraId="5F3A09D6" w14:textId="77777777" w:rsidR="00434A92" w:rsidRPr="00FF1E2D" w:rsidRDefault="00434A92" w:rsidP="00434A92">
      <w:pPr>
        <w:pStyle w:val="FootnoteText"/>
        <w:numPr>
          <w:ilvl w:val="0"/>
          <w:numId w:val="38"/>
        </w:numPr>
        <w:spacing w:after="60" w:line="264" w:lineRule="auto"/>
        <w:jc w:val="left"/>
        <w:rPr>
          <w:noProof/>
          <w:lang w:val="en-IE"/>
        </w:rPr>
      </w:pPr>
      <w:r w:rsidRPr="00FF1E2D">
        <w:rPr>
          <w:noProof/>
          <w:lang w:val="en-IE"/>
        </w:rPr>
        <w:t xml:space="preserve">2: </w:t>
      </w:r>
      <w:r>
        <w:rPr>
          <w:noProof/>
          <w:lang w:val="en-IE"/>
        </w:rPr>
        <w:t>i</w:t>
      </w:r>
      <w:r w:rsidRPr="00FF1E2D">
        <w:rPr>
          <w:noProof/>
          <w:lang w:val="en-IE"/>
        </w:rPr>
        <w:t xml:space="preserve">nterventions </w:t>
      </w:r>
      <w:r>
        <w:rPr>
          <w:noProof/>
          <w:lang w:val="en-IE"/>
        </w:rPr>
        <w:t xml:space="preserve">the </w:t>
      </w:r>
      <w:r w:rsidRPr="00FF1E2D">
        <w:rPr>
          <w:noProof/>
          <w:lang w:val="en-IE"/>
        </w:rPr>
        <w:t xml:space="preserve">principal objective </w:t>
      </w:r>
      <w:r>
        <w:rPr>
          <w:noProof/>
          <w:lang w:val="en-IE"/>
        </w:rPr>
        <w:t xml:space="preserve">of which </w:t>
      </w:r>
      <w:r w:rsidRPr="00FF1E2D">
        <w:rPr>
          <w:noProof/>
          <w:lang w:val="en-IE"/>
        </w:rPr>
        <w:t>is to improve gender equality;</w:t>
      </w:r>
    </w:p>
    <w:p w14:paraId="50982EC8" w14:textId="77777777" w:rsidR="00434A92" w:rsidRPr="00FF1E2D" w:rsidRDefault="00434A92" w:rsidP="00434A92">
      <w:pPr>
        <w:pStyle w:val="FootnoteText"/>
        <w:numPr>
          <w:ilvl w:val="0"/>
          <w:numId w:val="38"/>
        </w:numPr>
        <w:spacing w:after="60" w:line="264" w:lineRule="auto"/>
        <w:jc w:val="left"/>
        <w:rPr>
          <w:noProof/>
          <w:lang w:val="en-IE"/>
        </w:rPr>
      </w:pPr>
      <w:r w:rsidRPr="00FF1E2D">
        <w:rPr>
          <w:noProof/>
          <w:lang w:val="en-IE"/>
        </w:rPr>
        <w:t xml:space="preserve">1: </w:t>
      </w:r>
      <w:r>
        <w:rPr>
          <w:noProof/>
          <w:lang w:val="en-IE"/>
        </w:rPr>
        <w:t>i</w:t>
      </w:r>
      <w:r w:rsidRPr="00FF1E2D">
        <w:rPr>
          <w:noProof/>
          <w:lang w:val="en-IE"/>
        </w:rPr>
        <w:t>nterventions that have gender equality as an important and deliberate objective but not as the main reason for the intervention;</w:t>
      </w:r>
    </w:p>
    <w:p w14:paraId="794798E7" w14:textId="77777777" w:rsidR="00434A92" w:rsidRPr="00FF1E2D" w:rsidRDefault="00434A92" w:rsidP="00434A92">
      <w:pPr>
        <w:pStyle w:val="FootnoteText"/>
        <w:numPr>
          <w:ilvl w:val="0"/>
          <w:numId w:val="38"/>
        </w:numPr>
        <w:spacing w:after="60" w:line="264" w:lineRule="auto"/>
        <w:jc w:val="left"/>
        <w:rPr>
          <w:noProof/>
          <w:lang w:val="en-IE"/>
        </w:rPr>
      </w:pPr>
      <w:r w:rsidRPr="00FF1E2D">
        <w:rPr>
          <w:noProof/>
          <w:lang w:val="en-IE"/>
        </w:rPr>
        <w:t xml:space="preserve">0: </w:t>
      </w:r>
      <w:r>
        <w:rPr>
          <w:noProof/>
          <w:lang w:val="en-IE"/>
        </w:rPr>
        <w:t>n</w:t>
      </w:r>
      <w:r w:rsidRPr="00FF1E2D">
        <w:rPr>
          <w:noProof/>
          <w:lang w:val="en-IE"/>
        </w:rPr>
        <w:t>on-targeted interventions</w:t>
      </w:r>
      <w:r>
        <w:rPr>
          <w:noProof/>
          <w:lang w:val="en-IE"/>
        </w:rPr>
        <w:t>;</w:t>
      </w:r>
      <w:r w:rsidRPr="00FF1E2D">
        <w:rPr>
          <w:noProof/>
          <w:lang w:val="en-IE"/>
        </w:rPr>
        <w:t xml:space="preserve"> </w:t>
      </w:r>
    </w:p>
    <w:p w14:paraId="4AC1C57C" w14:textId="77777777" w:rsidR="00434A92" w:rsidRPr="00FF1E2D" w:rsidRDefault="00434A92" w:rsidP="00434A92">
      <w:pPr>
        <w:pStyle w:val="FootnoteText"/>
        <w:numPr>
          <w:ilvl w:val="0"/>
          <w:numId w:val="38"/>
        </w:numPr>
        <w:spacing w:after="60" w:line="264" w:lineRule="auto"/>
        <w:jc w:val="left"/>
        <w:rPr>
          <w:noProof/>
          <w:lang w:val="en-IE"/>
        </w:rPr>
      </w:pPr>
      <w:r w:rsidRPr="00FF1E2D">
        <w:rPr>
          <w:noProof/>
          <w:lang w:val="en-IE"/>
        </w:rPr>
        <w:t>0*: Score to be assigned to interventions with a likely but not yet clear positive impact on gender equality.</w:t>
      </w:r>
    </w:p>
    <w:p w14:paraId="06C211B9" w14:textId="77777777" w:rsidR="00434A92" w:rsidRPr="00FF1E2D" w:rsidRDefault="00434A92" w:rsidP="00434A92">
      <w:pPr>
        <w:pStyle w:val="ppoHeading5"/>
        <w:rPr>
          <w:noProof/>
          <w:lang w:val="en-IE"/>
        </w:rPr>
      </w:pPr>
      <w:r w:rsidRPr="00FF1E2D">
        <w:rPr>
          <w:noProof/>
          <w:lang w:val="en-IE"/>
        </w:rPr>
        <w:t>Performance assessment</w:t>
      </w:r>
    </w:p>
    <w:p w14:paraId="5E2E9A5B" w14:textId="77777777" w:rsidR="00434A92" w:rsidRPr="00FF1E2D" w:rsidRDefault="00434A92" w:rsidP="00434A92">
      <w:pPr>
        <w:pStyle w:val="ppoHeading6"/>
        <w:rPr>
          <w:noProof/>
          <w:lang w:val="en-IE"/>
        </w:rPr>
      </w:pPr>
      <w:r w:rsidRPr="00FF1E2D">
        <w:rPr>
          <w:noProof/>
          <w:lang w:val="en-IE"/>
        </w:rPr>
        <w:t>Key performance indicators</w:t>
      </w:r>
    </w:p>
    <w:tbl>
      <w:tblPr>
        <w:tblStyle w:val="PPO2021"/>
        <w:tblW w:w="9639" w:type="dxa"/>
        <w:tblInd w:w="0" w:type="dxa"/>
        <w:tblLook w:val="0420" w:firstRow="1" w:lastRow="0" w:firstColumn="0" w:lastColumn="0" w:noHBand="0" w:noVBand="1"/>
      </w:tblPr>
      <w:tblGrid>
        <w:gridCol w:w="2330"/>
        <w:gridCol w:w="1100"/>
        <w:gridCol w:w="1526"/>
        <w:gridCol w:w="1532"/>
        <w:gridCol w:w="1572"/>
        <w:gridCol w:w="1579"/>
      </w:tblGrid>
      <w:tr w:rsidR="00434A92" w:rsidRPr="00FF1E2D" w14:paraId="773FBDF0" w14:textId="77777777" w:rsidTr="003E23AC">
        <w:trPr>
          <w:cnfStyle w:val="100000000000" w:firstRow="1" w:lastRow="0" w:firstColumn="0" w:lastColumn="0" w:oddVBand="0" w:evenVBand="0" w:oddHBand="0" w:evenHBand="0" w:firstRowFirstColumn="0" w:firstRowLastColumn="0" w:lastRowFirstColumn="0" w:lastRowLastColumn="0"/>
        </w:trPr>
        <w:tc>
          <w:tcPr>
            <w:tcW w:w="2330" w:type="dxa"/>
          </w:tcPr>
          <w:p w14:paraId="3CE47F15" w14:textId="77777777" w:rsidR="00434A92" w:rsidRPr="00FF1E2D" w:rsidRDefault="00434A92" w:rsidP="0083214A">
            <w:pPr>
              <w:rPr>
                <w:noProof/>
                <w:lang w:val="en-IE"/>
              </w:rPr>
            </w:pPr>
          </w:p>
        </w:tc>
        <w:tc>
          <w:tcPr>
            <w:tcW w:w="1100" w:type="dxa"/>
          </w:tcPr>
          <w:p w14:paraId="24EC234B" w14:textId="77777777" w:rsidR="00434A92" w:rsidRPr="00FF1E2D" w:rsidRDefault="00434A92" w:rsidP="0083214A">
            <w:pPr>
              <w:rPr>
                <w:noProof/>
                <w:lang w:val="en-IE"/>
              </w:rPr>
            </w:pPr>
            <w:r w:rsidRPr="00FF1E2D">
              <w:rPr>
                <w:noProof/>
                <w:lang w:val="en-IE"/>
              </w:rPr>
              <w:t>Baseline</w:t>
            </w:r>
          </w:p>
        </w:tc>
        <w:tc>
          <w:tcPr>
            <w:tcW w:w="1526" w:type="dxa"/>
          </w:tcPr>
          <w:p w14:paraId="1212C5D9" w14:textId="3DF22834" w:rsidR="00434A92" w:rsidRPr="00FF1E2D" w:rsidRDefault="00434A92" w:rsidP="0083214A">
            <w:pPr>
              <w:rPr>
                <w:noProof/>
                <w:lang w:val="en-IE"/>
              </w:rPr>
            </w:pPr>
            <w:r w:rsidRPr="00FF1E2D">
              <w:rPr>
                <w:noProof/>
                <w:lang w:val="en-IE"/>
              </w:rPr>
              <w:t>Progress</w:t>
            </w:r>
            <w:r w:rsidR="00FD6362">
              <w:rPr>
                <w:noProof/>
                <w:lang w:val="en-IE"/>
              </w:rPr>
              <w:t xml:space="preserve"> (*)</w:t>
            </w:r>
          </w:p>
        </w:tc>
        <w:tc>
          <w:tcPr>
            <w:tcW w:w="1532" w:type="dxa"/>
          </w:tcPr>
          <w:p w14:paraId="753CC1E3" w14:textId="77777777" w:rsidR="00434A92" w:rsidRPr="00FF1E2D" w:rsidRDefault="00434A92" w:rsidP="0083214A">
            <w:pPr>
              <w:rPr>
                <w:noProof/>
                <w:lang w:val="en-IE"/>
              </w:rPr>
            </w:pPr>
            <w:r w:rsidRPr="00FF1E2D">
              <w:rPr>
                <w:noProof/>
                <w:lang w:val="en-IE"/>
              </w:rPr>
              <w:t>Target</w:t>
            </w:r>
          </w:p>
        </w:tc>
        <w:tc>
          <w:tcPr>
            <w:tcW w:w="1572" w:type="dxa"/>
          </w:tcPr>
          <w:p w14:paraId="36E71A2D" w14:textId="77777777" w:rsidR="00434A92" w:rsidRPr="00FF1E2D" w:rsidRDefault="00434A92" w:rsidP="0083214A">
            <w:pPr>
              <w:rPr>
                <w:noProof/>
                <w:lang w:val="en-IE"/>
              </w:rPr>
            </w:pPr>
            <w:r w:rsidRPr="00FF1E2D">
              <w:rPr>
                <w:noProof/>
                <w:lang w:val="en-IE"/>
              </w:rPr>
              <w:t>Results</w:t>
            </w:r>
          </w:p>
        </w:tc>
        <w:tc>
          <w:tcPr>
            <w:tcW w:w="1579" w:type="dxa"/>
          </w:tcPr>
          <w:p w14:paraId="5AE3FBCD" w14:textId="77777777" w:rsidR="00434A92" w:rsidRPr="00FF1E2D" w:rsidRDefault="00434A92" w:rsidP="0083214A">
            <w:pPr>
              <w:rPr>
                <w:noProof/>
                <w:lang w:val="en-IE"/>
              </w:rPr>
            </w:pPr>
            <w:r w:rsidRPr="00FF1E2D">
              <w:rPr>
                <w:noProof/>
                <w:lang w:val="en-IE"/>
              </w:rPr>
              <w:t>Assessment</w:t>
            </w:r>
          </w:p>
        </w:tc>
      </w:tr>
      <w:tr w:rsidR="00434A92" w:rsidRPr="00FF1E2D" w14:paraId="4BBE003A" w14:textId="77777777" w:rsidTr="003E23AC">
        <w:trPr>
          <w:cnfStyle w:val="000000100000" w:firstRow="0" w:lastRow="0" w:firstColumn="0" w:lastColumn="0" w:oddVBand="0" w:evenVBand="0" w:oddHBand="1" w:evenHBand="0" w:firstRowFirstColumn="0" w:firstRowLastColumn="0" w:lastRowFirstColumn="0" w:lastRowLastColumn="0"/>
        </w:trPr>
        <w:tc>
          <w:tcPr>
            <w:tcW w:w="2330" w:type="dxa"/>
          </w:tcPr>
          <w:p w14:paraId="6366918D" w14:textId="77777777" w:rsidR="00434A92" w:rsidRPr="00FF1E2D" w:rsidRDefault="00434A92" w:rsidP="0083214A">
            <w:pPr>
              <w:rPr>
                <w:noProof/>
                <w:lang w:val="en-IE"/>
              </w:rPr>
            </w:pPr>
            <w:r w:rsidRPr="00FF1E2D">
              <w:rPr>
                <w:noProof/>
                <w:lang w:val="en-IE"/>
              </w:rPr>
              <w:t>Absolute greenhouse gas emissions avoidance planned/achieved</w:t>
            </w:r>
          </w:p>
        </w:tc>
        <w:tc>
          <w:tcPr>
            <w:tcW w:w="1100" w:type="dxa"/>
          </w:tcPr>
          <w:p w14:paraId="70EAC7AE" w14:textId="67762044" w:rsidR="00434A92" w:rsidRPr="00FF1E2D" w:rsidRDefault="003E23AC" w:rsidP="0083214A">
            <w:pPr>
              <w:jc w:val="center"/>
              <w:rPr>
                <w:noProof/>
                <w:lang w:val="en-IE"/>
              </w:rPr>
            </w:pPr>
            <w:r>
              <w:rPr>
                <w:noProof/>
                <w:lang w:val="en-IE"/>
              </w:rPr>
              <w:t>0</w:t>
            </w:r>
          </w:p>
        </w:tc>
        <w:tc>
          <w:tcPr>
            <w:tcW w:w="1526" w:type="dxa"/>
          </w:tcPr>
          <w:p w14:paraId="79FB48E8" w14:textId="2075F46C" w:rsidR="00434A92" w:rsidRPr="00FD6362" w:rsidRDefault="00434A92" w:rsidP="0083214A">
            <w:pPr>
              <w:jc w:val="center"/>
              <w:rPr>
                <w:b/>
                <w:noProof/>
                <w:lang w:val="en-IE"/>
              </w:rPr>
            </w:pPr>
          </w:p>
        </w:tc>
        <w:tc>
          <w:tcPr>
            <w:tcW w:w="1532" w:type="dxa"/>
          </w:tcPr>
          <w:p w14:paraId="3828DF4C" w14:textId="6DF84898" w:rsidR="00434A92" w:rsidRPr="00FF1E2D" w:rsidRDefault="00434A92" w:rsidP="0083214A">
            <w:pPr>
              <w:jc w:val="center"/>
              <w:rPr>
                <w:noProof/>
                <w:lang w:val="en-IE"/>
              </w:rPr>
            </w:pPr>
          </w:p>
        </w:tc>
        <w:tc>
          <w:tcPr>
            <w:tcW w:w="1572" w:type="dxa"/>
          </w:tcPr>
          <w:p w14:paraId="130B398F" w14:textId="546E74B4" w:rsidR="00434A92" w:rsidRPr="00FF1E2D" w:rsidRDefault="003E23AC" w:rsidP="0083214A">
            <w:pPr>
              <w:jc w:val="center"/>
              <w:rPr>
                <w:noProof/>
                <w:lang w:val="en-IE"/>
              </w:rPr>
            </w:pPr>
            <w:r>
              <w:rPr>
                <w:noProof/>
                <w:lang w:val="en-IE"/>
              </w:rPr>
              <w:t>No results</w:t>
            </w:r>
          </w:p>
        </w:tc>
        <w:tc>
          <w:tcPr>
            <w:tcW w:w="1579" w:type="dxa"/>
          </w:tcPr>
          <w:p w14:paraId="30ABD959" w14:textId="6E999F89" w:rsidR="00434A92" w:rsidRPr="00FF1E2D" w:rsidRDefault="002A1BC4" w:rsidP="0083214A">
            <w:pPr>
              <w:jc w:val="center"/>
              <w:rPr>
                <w:noProof/>
                <w:lang w:val="en-IE"/>
              </w:rPr>
            </w:pPr>
            <w:r>
              <w:rPr>
                <w:noProof/>
                <w:lang w:val="en-IE"/>
              </w:rPr>
              <w:t>No data</w:t>
            </w:r>
          </w:p>
        </w:tc>
      </w:tr>
      <w:tr w:rsidR="002A1BC4" w:rsidRPr="00FF1E2D" w14:paraId="7C149916" w14:textId="77777777" w:rsidTr="003E23AC">
        <w:trPr>
          <w:cnfStyle w:val="000000010000" w:firstRow="0" w:lastRow="0" w:firstColumn="0" w:lastColumn="0" w:oddVBand="0" w:evenVBand="0" w:oddHBand="0" w:evenHBand="1" w:firstRowFirstColumn="0" w:firstRowLastColumn="0" w:lastRowFirstColumn="0" w:lastRowLastColumn="0"/>
        </w:trPr>
        <w:tc>
          <w:tcPr>
            <w:tcW w:w="2330" w:type="dxa"/>
          </w:tcPr>
          <w:p w14:paraId="531B8331" w14:textId="77777777" w:rsidR="002A1BC4" w:rsidRPr="00FF1E2D" w:rsidRDefault="002A1BC4" w:rsidP="002A1BC4">
            <w:pPr>
              <w:rPr>
                <w:noProof/>
                <w:lang w:val="en-IE"/>
              </w:rPr>
            </w:pPr>
            <w:r w:rsidRPr="00FF1E2D">
              <w:rPr>
                <w:noProof/>
                <w:lang w:val="en-IE"/>
              </w:rPr>
              <w:t xml:space="preserve">Participants </w:t>
            </w:r>
            <w:r>
              <w:rPr>
                <w:noProof/>
                <w:lang w:val="en-IE"/>
              </w:rPr>
              <w:t>in</w:t>
            </w:r>
            <w:r w:rsidRPr="00FF1E2D">
              <w:rPr>
                <w:noProof/>
                <w:lang w:val="en-IE"/>
              </w:rPr>
              <w:t xml:space="preserve"> knowledge events on the clean</w:t>
            </w:r>
            <w:r>
              <w:rPr>
                <w:noProof/>
                <w:lang w:val="en-IE"/>
              </w:rPr>
              <w:t>-</w:t>
            </w:r>
            <w:r w:rsidRPr="00FF1E2D">
              <w:rPr>
                <w:noProof/>
                <w:lang w:val="en-IE"/>
              </w:rPr>
              <w:t>tech solutions</w:t>
            </w:r>
          </w:p>
        </w:tc>
        <w:tc>
          <w:tcPr>
            <w:tcW w:w="1100" w:type="dxa"/>
          </w:tcPr>
          <w:p w14:paraId="6184CBA3" w14:textId="2103EA17" w:rsidR="002A1BC4" w:rsidRPr="00FF1E2D" w:rsidRDefault="002A1BC4" w:rsidP="002A1BC4">
            <w:pPr>
              <w:jc w:val="center"/>
              <w:rPr>
                <w:noProof/>
                <w:lang w:val="en-IE"/>
              </w:rPr>
            </w:pPr>
            <w:r>
              <w:rPr>
                <w:noProof/>
                <w:lang w:val="en-IE"/>
              </w:rPr>
              <w:t>0</w:t>
            </w:r>
          </w:p>
        </w:tc>
        <w:tc>
          <w:tcPr>
            <w:tcW w:w="1526" w:type="dxa"/>
          </w:tcPr>
          <w:p w14:paraId="3E850814" w14:textId="48A30C94" w:rsidR="002A1BC4" w:rsidRPr="00FD6362" w:rsidRDefault="00AA5CAB" w:rsidP="002A1BC4">
            <w:pPr>
              <w:jc w:val="center"/>
              <w:rPr>
                <w:b/>
                <w:noProof/>
                <w:lang w:val="en-IE"/>
              </w:rPr>
            </w:pPr>
            <w:r>
              <w:rPr>
                <w:b/>
                <w:noProof/>
                <w:lang w:val="en-IE"/>
              </w:rPr>
              <w:t>14% (**)</w:t>
            </w:r>
          </w:p>
        </w:tc>
        <w:tc>
          <w:tcPr>
            <w:tcW w:w="1532" w:type="dxa"/>
          </w:tcPr>
          <w:p w14:paraId="1093B545" w14:textId="2AB70018" w:rsidR="002A1BC4" w:rsidRPr="00FF1E2D" w:rsidRDefault="00C91561" w:rsidP="002A1BC4">
            <w:pPr>
              <w:jc w:val="center"/>
              <w:rPr>
                <w:noProof/>
                <w:lang w:val="en-IE"/>
              </w:rPr>
            </w:pPr>
            <w:r>
              <w:rPr>
                <w:noProof/>
                <w:lang w:val="en-IE"/>
              </w:rPr>
              <w:t>150</w:t>
            </w:r>
          </w:p>
        </w:tc>
        <w:tc>
          <w:tcPr>
            <w:tcW w:w="1572" w:type="dxa"/>
          </w:tcPr>
          <w:p w14:paraId="0D9DCEEB" w14:textId="294A6F2B" w:rsidR="002A1BC4" w:rsidRPr="00FF1E2D" w:rsidRDefault="00AA5CAB">
            <w:pPr>
              <w:jc w:val="center"/>
              <w:rPr>
                <w:noProof/>
                <w:lang w:val="en-IE"/>
              </w:rPr>
            </w:pPr>
            <w:r>
              <w:rPr>
                <w:noProof/>
                <w:lang w:val="en-IE"/>
              </w:rPr>
              <w:t xml:space="preserve">Target achieved in 2021. </w:t>
            </w:r>
            <w:r w:rsidR="002A1BC4">
              <w:rPr>
                <w:noProof/>
                <w:lang w:val="en-IE"/>
              </w:rPr>
              <w:t>670</w:t>
            </w:r>
            <w:r w:rsidR="00C91561">
              <w:rPr>
                <w:noProof/>
                <w:lang w:val="en-IE"/>
              </w:rPr>
              <w:t xml:space="preserve"> compared to a targe</w:t>
            </w:r>
            <w:r w:rsidR="005B4914">
              <w:rPr>
                <w:noProof/>
                <w:lang w:val="en-IE"/>
              </w:rPr>
              <w:t>t of 150</w:t>
            </w:r>
          </w:p>
        </w:tc>
        <w:tc>
          <w:tcPr>
            <w:tcW w:w="1579" w:type="dxa"/>
          </w:tcPr>
          <w:p w14:paraId="7A17BF58" w14:textId="4C61635F" w:rsidR="002A1BC4" w:rsidRPr="00FF1E2D" w:rsidRDefault="002A1BC4" w:rsidP="002A1BC4">
            <w:pPr>
              <w:jc w:val="center"/>
              <w:rPr>
                <w:noProof/>
                <w:lang w:val="en-IE"/>
              </w:rPr>
            </w:pPr>
            <w:r w:rsidRPr="00BA5091">
              <w:rPr>
                <w:noProof/>
                <w:lang w:val="en-IE"/>
              </w:rPr>
              <w:t>No data</w:t>
            </w:r>
          </w:p>
        </w:tc>
      </w:tr>
      <w:tr w:rsidR="002A1BC4" w:rsidRPr="00FF1E2D" w14:paraId="6B70F43A" w14:textId="77777777" w:rsidTr="003E23AC">
        <w:trPr>
          <w:cnfStyle w:val="000000100000" w:firstRow="0" w:lastRow="0" w:firstColumn="0" w:lastColumn="0" w:oddVBand="0" w:evenVBand="0" w:oddHBand="1" w:evenHBand="0" w:firstRowFirstColumn="0" w:firstRowLastColumn="0" w:lastRowFirstColumn="0" w:lastRowLastColumn="0"/>
        </w:trPr>
        <w:tc>
          <w:tcPr>
            <w:tcW w:w="2330" w:type="dxa"/>
          </w:tcPr>
          <w:p w14:paraId="3D41E697" w14:textId="77777777" w:rsidR="002A1BC4" w:rsidRPr="00FF1E2D" w:rsidRDefault="002A1BC4" w:rsidP="002A1BC4">
            <w:pPr>
              <w:rPr>
                <w:noProof/>
                <w:lang w:val="en-IE"/>
              </w:rPr>
            </w:pPr>
            <w:r w:rsidRPr="00FF1E2D">
              <w:rPr>
                <w:noProof/>
                <w:lang w:val="en-IE"/>
              </w:rPr>
              <w:t>Number of projects supported through grants</w:t>
            </w:r>
          </w:p>
        </w:tc>
        <w:tc>
          <w:tcPr>
            <w:tcW w:w="1100" w:type="dxa"/>
          </w:tcPr>
          <w:p w14:paraId="2438039A" w14:textId="467FCAEB" w:rsidR="002A1BC4" w:rsidRPr="00FF1E2D" w:rsidRDefault="002A1BC4" w:rsidP="002A1BC4">
            <w:pPr>
              <w:jc w:val="center"/>
              <w:rPr>
                <w:noProof/>
                <w:lang w:val="en-IE"/>
              </w:rPr>
            </w:pPr>
            <w:r>
              <w:rPr>
                <w:noProof/>
                <w:lang w:val="en-IE"/>
              </w:rPr>
              <w:t>0</w:t>
            </w:r>
          </w:p>
        </w:tc>
        <w:tc>
          <w:tcPr>
            <w:tcW w:w="1526" w:type="dxa"/>
          </w:tcPr>
          <w:p w14:paraId="13EEEF22" w14:textId="02761CB0" w:rsidR="002A1BC4" w:rsidRPr="00FD6362" w:rsidRDefault="002A1BC4" w:rsidP="002A1BC4">
            <w:pPr>
              <w:jc w:val="center"/>
              <w:rPr>
                <w:b/>
                <w:noProof/>
                <w:lang w:val="en-IE"/>
              </w:rPr>
            </w:pPr>
          </w:p>
        </w:tc>
        <w:tc>
          <w:tcPr>
            <w:tcW w:w="1532" w:type="dxa"/>
          </w:tcPr>
          <w:p w14:paraId="5058AA11" w14:textId="0F700308" w:rsidR="002A1BC4" w:rsidRPr="00FF1E2D" w:rsidRDefault="002A1BC4" w:rsidP="002A1BC4">
            <w:pPr>
              <w:jc w:val="center"/>
              <w:rPr>
                <w:noProof/>
                <w:lang w:val="en-IE"/>
              </w:rPr>
            </w:pPr>
          </w:p>
        </w:tc>
        <w:tc>
          <w:tcPr>
            <w:tcW w:w="1572" w:type="dxa"/>
          </w:tcPr>
          <w:p w14:paraId="74812949" w14:textId="6A789BB0" w:rsidR="002A1BC4" w:rsidRPr="00FF1E2D" w:rsidRDefault="002A1BC4" w:rsidP="002A1BC4">
            <w:pPr>
              <w:jc w:val="center"/>
              <w:rPr>
                <w:noProof/>
                <w:lang w:val="en-IE"/>
              </w:rPr>
            </w:pPr>
            <w:r>
              <w:rPr>
                <w:noProof/>
                <w:lang w:val="en-IE"/>
              </w:rPr>
              <w:t>30</w:t>
            </w:r>
          </w:p>
        </w:tc>
        <w:tc>
          <w:tcPr>
            <w:tcW w:w="1579" w:type="dxa"/>
          </w:tcPr>
          <w:p w14:paraId="1A19D0EE" w14:textId="4909291F" w:rsidR="002A1BC4" w:rsidRPr="00FF1E2D" w:rsidRDefault="002A1BC4" w:rsidP="002A1BC4">
            <w:pPr>
              <w:jc w:val="center"/>
              <w:rPr>
                <w:noProof/>
                <w:lang w:val="en-IE"/>
              </w:rPr>
            </w:pPr>
            <w:r w:rsidRPr="00BA5091">
              <w:rPr>
                <w:noProof/>
                <w:lang w:val="en-IE"/>
              </w:rPr>
              <w:t>No data</w:t>
            </w:r>
          </w:p>
        </w:tc>
      </w:tr>
      <w:tr w:rsidR="002A1BC4" w:rsidRPr="00FF1E2D" w14:paraId="242AA5DB" w14:textId="77777777" w:rsidTr="003E23AC">
        <w:trPr>
          <w:cnfStyle w:val="000000010000" w:firstRow="0" w:lastRow="0" w:firstColumn="0" w:lastColumn="0" w:oddVBand="0" w:evenVBand="0" w:oddHBand="0" w:evenHBand="1" w:firstRowFirstColumn="0" w:firstRowLastColumn="0" w:lastRowFirstColumn="0" w:lastRowLastColumn="0"/>
        </w:trPr>
        <w:tc>
          <w:tcPr>
            <w:tcW w:w="2330" w:type="dxa"/>
          </w:tcPr>
          <w:p w14:paraId="675656FE" w14:textId="77777777" w:rsidR="002A1BC4" w:rsidRPr="00FF1E2D" w:rsidRDefault="002A1BC4" w:rsidP="002A1BC4">
            <w:pPr>
              <w:rPr>
                <w:noProof/>
                <w:lang w:val="en-IE"/>
              </w:rPr>
            </w:pPr>
            <w:r w:rsidRPr="00FF1E2D">
              <w:rPr>
                <w:noProof/>
                <w:lang w:val="en-IE"/>
              </w:rPr>
              <w:t>Investments mobilised by the Innovation Fund grants</w:t>
            </w:r>
          </w:p>
        </w:tc>
        <w:tc>
          <w:tcPr>
            <w:tcW w:w="1100" w:type="dxa"/>
          </w:tcPr>
          <w:p w14:paraId="76544D46" w14:textId="403D938B" w:rsidR="002A1BC4" w:rsidRPr="00FF1E2D" w:rsidRDefault="002A1BC4" w:rsidP="002A1BC4">
            <w:pPr>
              <w:jc w:val="center"/>
              <w:rPr>
                <w:noProof/>
                <w:lang w:val="en-IE"/>
              </w:rPr>
            </w:pPr>
            <w:r>
              <w:rPr>
                <w:noProof/>
                <w:lang w:val="en-IE"/>
              </w:rPr>
              <w:t>0</w:t>
            </w:r>
          </w:p>
        </w:tc>
        <w:tc>
          <w:tcPr>
            <w:tcW w:w="1526" w:type="dxa"/>
          </w:tcPr>
          <w:p w14:paraId="1B257210" w14:textId="5633129D" w:rsidR="002A1BC4" w:rsidRPr="00FF1E2D" w:rsidRDefault="002A1BC4" w:rsidP="002A1BC4">
            <w:pPr>
              <w:jc w:val="center"/>
              <w:rPr>
                <w:b/>
                <w:noProof/>
                <w:lang w:val="en-IE"/>
              </w:rPr>
            </w:pPr>
          </w:p>
        </w:tc>
        <w:tc>
          <w:tcPr>
            <w:tcW w:w="1532" w:type="dxa"/>
          </w:tcPr>
          <w:p w14:paraId="06959E91" w14:textId="746D862B" w:rsidR="002A1BC4" w:rsidRPr="00FF1E2D" w:rsidRDefault="002A1BC4" w:rsidP="002A1BC4">
            <w:pPr>
              <w:jc w:val="center"/>
              <w:rPr>
                <w:noProof/>
                <w:lang w:val="en-IE"/>
              </w:rPr>
            </w:pPr>
          </w:p>
        </w:tc>
        <w:tc>
          <w:tcPr>
            <w:tcW w:w="1572" w:type="dxa"/>
          </w:tcPr>
          <w:p w14:paraId="34F0D07B" w14:textId="2D3E3695" w:rsidR="002A1BC4" w:rsidRPr="00FF1E2D" w:rsidRDefault="002A1BC4" w:rsidP="002A1BC4">
            <w:pPr>
              <w:jc w:val="center"/>
              <w:rPr>
                <w:noProof/>
                <w:lang w:val="en-IE"/>
              </w:rPr>
            </w:pPr>
            <w:r>
              <w:rPr>
                <w:noProof/>
                <w:lang w:val="en-IE"/>
              </w:rPr>
              <w:t>No results</w:t>
            </w:r>
          </w:p>
        </w:tc>
        <w:tc>
          <w:tcPr>
            <w:tcW w:w="1579" w:type="dxa"/>
          </w:tcPr>
          <w:p w14:paraId="157AD42E" w14:textId="70A08A92" w:rsidR="002A1BC4" w:rsidRPr="00FF1E2D" w:rsidRDefault="002A1BC4" w:rsidP="002A1BC4">
            <w:pPr>
              <w:jc w:val="center"/>
              <w:rPr>
                <w:noProof/>
                <w:lang w:val="en-IE"/>
              </w:rPr>
            </w:pPr>
            <w:r w:rsidRPr="00BA5091">
              <w:rPr>
                <w:noProof/>
                <w:lang w:val="en-IE"/>
              </w:rPr>
              <w:t>No data</w:t>
            </w:r>
          </w:p>
        </w:tc>
      </w:tr>
      <w:tr w:rsidR="002A1BC4" w:rsidRPr="00FF1E2D" w14:paraId="1287F094" w14:textId="77777777" w:rsidTr="003E23AC">
        <w:trPr>
          <w:cnfStyle w:val="000000100000" w:firstRow="0" w:lastRow="0" w:firstColumn="0" w:lastColumn="0" w:oddVBand="0" w:evenVBand="0" w:oddHBand="1" w:evenHBand="0" w:firstRowFirstColumn="0" w:firstRowLastColumn="0" w:lastRowFirstColumn="0" w:lastRowLastColumn="0"/>
        </w:trPr>
        <w:tc>
          <w:tcPr>
            <w:tcW w:w="2330" w:type="dxa"/>
          </w:tcPr>
          <w:p w14:paraId="13297E6E" w14:textId="77777777" w:rsidR="002A1BC4" w:rsidRPr="00FF1E2D" w:rsidRDefault="002A1BC4" w:rsidP="002A1BC4">
            <w:pPr>
              <w:rPr>
                <w:noProof/>
                <w:lang w:val="en-IE"/>
              </w:rPr>
            </w:pPr>
            <w:r w:rsidRPr="00FF1E2D">
              <w:rPr>
                <w:noProof/>
                <w:lang w:val="en-IE"/>
              </w:rPr>
              <w:t>Investments mobilised</w:t>
            </w:r>
          </w:p>
        </w:tc>
        <w:tc>
          <w:tcPr>
            <w:tcW w:w="1100" w:type="dxa"/>
          </w:tcPr>
          <w:p w14:paraId="39E3FA75" w14:textId="2A6306C8" w:rsidR="002A1BC4" w:rsidRPr="00FF1E2D" w:rsidRDefault="002A1BC4" w:rsidP="002A1BC4">
            <w:pPr>
              <w:jc w:val="center"/>
              <w:rPr>
                <w:noProof/>
                <w:lang w:val="en-IE"/>
              </w:rPr>
            </w:pPr>
            <w:r>
              <w:rPr>
                <w:noProof/>
                <w:lang w:val="en-IE"/>
              </w:rPr>
              <w:t>0</w:t>
            </w:r>
          </w:p>
        </w:tc>
        <w:tc>
          <w:tcPr>
            <w:tcW w:w="1526" w:type="dxa"/>
          </w:tcPr>
          <w:p w14:paraId="7A0C32B1" w14:textId="77777777" w:rsidR="002A1BC4" w:rsidRPr="00FF1E2D" w:rsidRDefault="002A1BC4" w:rsidP="002A1BC4">
            <w:pPr>
              <w:jc w:val="center"/>
              <w:rPr>
                <w:b/>
                <w:noProof/>
                <w:lang w:val="en-IE"/>
              </w:rPr>
            </w:pPr>
          </w:p>
        </w:tc>
        <w:tc>
          <w:tcPr>
            <w:tcW w:w="1532" w:type="dxa"/>
          </w:tcPr>
          <w:p w14:paraId="4101A87C" w14:textId="77777777" w:rsidR="002A1BC4" w:rsidRPr="00FF1E2D" w:rsidRDefault="002A1BC4" w:rsidP="002A1BC4">
            <w:pPr>
              <w:jc w:val="center"/>
              <w:rPr>
                <w:noProof/>
                <w:lang w:val="en-IE"/>
              </w:rPr>
            </w:pPr>
          </w:p>
        </w:tc>
        <w:tc>
          <w:tcPr>
            <w:tcW w:w="1572" w:type="dxa"/>
          </w:tcPr>
          <w:p w14:paraId="77A9845F" w14:textId="5F36CAF3" w:rsidR="002A1BC4" w:rsidRPr="00FF1E2D" w:rsidRDefault="002A1BC4" w:rsidP="002A1BC4">
            <w:pPr>
              <w:jc w:val="center"/>
              <w:rPr>
                <w:noProof/>
                <w:lang w:val="en-IE"/>
              </w:rPr>
            </w:pPr>
            <w:r>
              <w:rPr>
                <w:noProof/>
                <w:lang w:val="en-IE"/>
              </w:rPr>
              <w:t>No results</w:t>
            </w:r>
          </w:p>
        </w:tc>
        <w:tc>
          <w:tcPr>
            <w:tcW w:w="1579" w:type="dxa"/>
          </w:tcPr>
          <w:p w14:paraId="3D481CDC" w14:textId="53DA1885" w:rsidR="002A1BC4" w:rsidRPr="00FF1E2D" w:rsidRDefault="002A1BC4" w:rsidP="002A1BC4">
            <w:pPr>
              <w:jc w:val="center"/>
              <w:rPr>
                <w:noProof/>
                <w:lang w:val="en-IE"/>
              </w:rPr>
            </w:pPr>
            <w:r w:rsidRPr="00BA5091">
              <w:rPr>
                <w:noProof/>
                <w:lang w:val="en-IE"/>
              </w:rPr>
              <w:t>No data</w:t>
            </w:r>
          </w:p>
        </w:tc>
      </w:tr>
      <w:tr w:rsidR="002A1BC4" w:rsidRPr="00FF1E2D" w14:paraId="4666B2D4" w14:textId="77777777" w:rsidTr="003E23AC">
        <w:trPr>
          <w:cnfStyle w:val="000000010000" w:firstRow="0" w:lastRow="0" w:firstColumn="0" w:lastColumn="0" w:oddVBand="0" w:evenVBand="0" w:oddHBand="0" w:evenHBand="1" w:firstRowFirstColumn="0" w:firstRowLastColumn="0" w:lastRowFirstColumn="0" w:lastRowLastColumn="0"/>
        </w:trPr>
        <w:tc>
          <w:tcPr>
            <w:tcW w:w="2330" w:type="dxa"/>
          </w:tcPr>
          <w:p w14:paraId="04250A47" w14:textId="77777777" w:rsidR="002A1BC4" w:rsidRPr="00FF1E2D" w:rsidRDefault="002A1BC4" w:rsidP="002A1BC4">
            <w:pPr>
              <w:rPr>
                <w:noProof/>
                <w:lang w:val="en-IE"/>
              </w:rPr>
            </w:pPr>
            <w:r w:rsidRPr="00FF1E2D">
              <w:rPr>
                <w:noProof/>
                <w:lang w:val="en-IE"/>
              </w:rPr>
              <w:t>Technology sectors covered</w:t>
            </w:r>
          </w:p>
        </w:tc>
        <w:tc>
          <w:tcPr>
            <w:tcW w:w="1100" w:type="dxa"/>
          </w:tcPr>
          <w:p w14:paraId="1C07F53A" w14:textId="13D83AEB" w:rsidR="002A1BC4" w:rsidRPr="00FF1E2D" w:rsidRDefault="002A1BC4" w:rsidP="002A1BC4">
            <w:pPr>
              <w:jc w:val="center"/>
              <w:rPr>
                <w:noProof/>
                <w:lang w:val="en-IE"/>
              </w:rPr>
            </w:pPr>
            <w:r>
              <w:rPr>
                <w:noProof/>
                <w:lang w:val="en-IE"/>
              </w:rPr>
              <w:t>0</w:t>
            </w:r>
          </w:p>
        </w:tc>
        <w:tc>
          <w:tcPr>
            <w:tcW w:w="1526" w:type="dxa"/>
          </w:tcPr>
          <w:p w14:paraId="785764B8" w14:textId="542D6B95" w:rsidR="002A1BC4" w:rsidRPr="00FF1E2D" w:rsidRDefault="00C91561" w:rsidP="002A1BC4">
            <w:pPr>
              <w:jc w:val="center"/>
              <w:rPr>
                <w:b/>
                <w:noProof/>
                <w:lang w:val="en-IE"/>
              </w:rPr>
            </w:pPr>
            <w:r>
              <w:rPr>
                <w:b/>
                <w:noProof/>
                <w:lang w:val="en-IE"/>
              </w:rPr>
              <w:t>48%</w:t>
            </w:r>
          </w:p>
        </w:tc>
        <w:tc>
          <w:tcPr>
            <w:tcW w:w="1532" w:type="dxa"/>
          </w:tcPr>
          <w:p w14:paraId="4BBFDEF4" w14:textId="2218F77D" w:rsidR="002A1BC4" w:rsidRPr="00FF1E2D" w:rsidRDefault="00C91561" w:rsidP="002A1BC4">
            <w:pPr>
              <w:jc w:val="center"/>
              <w:rPr>
                <w:noProof/>
                <w:lang w:val="en-IE"/>
              </w:rPr>
            </w:pPr>
            <w:r>
              <w:rPr>
                <w:noProof/>
                <w:lang w:val="en-IE"/>
              </w:rPr>
              <w:t>18</w:t>
            </w:r>
          </w:p>
        </w:tc>
        <w:tc>
          <w:tcPr>
            <w:tcW w:w="1572" w:type="dxa"/>
          </w:tcPr>
          <w:p w14:paraId="1AD91713" w14:textId="4B52D81A" w:rsidR="002A1BC4" w:rsidRPr="00FF1E2D" w:rsidRDefault="002A1BC4">
            <w:pPr>
              <w:jc w:val="center"/>
              <w:rPr>
                <w:noProof/>
                <w:lang w:val="en-IE"/>
              </w:rPr>
            </w:pPr>
            <w:r>
              <w:rPr>
                <w:noProof/>
                <w:lang w:val="en-IE"/>
              </w:rPr>
              <w:t>14</w:t>
            </w:r>
            <w:r w:rsidR="00C91561">
              <w:rPr>
                <w:noProof/>
                <w:lang w:val="en-IE"/>
              </w:rPr>
              <w:t xml:space="preserve"> compared to a target of 18</w:t>
            </w:r>
            <w:r>
              <w:rPr>
                <w:noProof/>
                <w:lang w:val="en-IE"/>
              </w:rPr>
              <w:t xml:space="preserve"> </w:t>
            </w:r>
          </w:p>
        </w:tc>
        <w:tc>
          <w:tcPr>
            <w:tcW w:w="1579" w:type="dxa"/>
          </w:tcPr>
          <w:p w14:paraId="155704FA" w14:textId="27979A1E" w:rsidR="002A1BC4" w:rsidRPr="00FF1E2D" w:rsidRDefault="00C91561" w:rsidP="002A1BC4">
            <w:pPr>
              <w:jc w:val="center"/>
              <w:rPr>
                <w:noProof/>
                <w:lang w:val="en-IE"/>
              </w:rPr>
            </w:pPr>
            <w:r>
              <w:rPr>
                <w:noProof/>
                <w:lang w:val="en-IE"/>
              </w:rPr>
              <w:t>On track</w:t>
            </w:r>
          </w:p>
        </w:tc>
      </w:tr>
      <w:tr w:rsidR="002A1BC4" w:rsidRPr="00FF1E2D" w14:paraId="6C2F4408" w14:textId="77777777" w:rsidTr="003E23AC">
        <w:trPr>
          <w:cnfStyle w:val="000000100000" w:firstRow="0" w:lastRow="0" w:firstColumn="0" w:lastColumn="0" w:oddVBand="0" w:evenVBand="0" w:oddHBand="1" w:evenHBand="0" w:firstRowFirstColumn="0" w:firstRowLastColumn="0" w:lastRowFirstColumn="0" w:lastRowLastColumn="0"/>
        </w:trPr>
        <w:tc>
          <w:tcPr>
            <w:tcW w:w="2330" w:type="dxa"/>
          </w:tcPr>
          <w:p w14:paraId="6CE737D8" w14:textId="77777777" w:rsidR="002A1BC4" w:rsidRPr="00FF1E2D" w:rsidRDefault="002A1BC4" w:rsidP="002A1BC4">
            <w:pPr>
              <w:rPr>
                <w:noProof/>
                <w:lang w:val="en-IE"/>
              </w:rPr>
            </w:pPr>
            <w:r w:rsidRPr="00FF1E2D">
              <w:rPr>
                <w:noProof/>
                <w:lang w:val="en-IE"/>
              </w:rPr>
              <w:t>Geographically balanced locations</w:t>
            </w:r>
          </w:p>
        </w:tc>
        <w:tc>
          <w:tcPr>
            <w:tcW w:w="1100" w:type="dxa"/>
          </w:tcPr>
          <w:p w14:paraId="7D564896" w14:textId="19DF014D" w:rsidR="002A1BC4" w:rsidRPr="00FF1E2D" w:rsidRDefault="002A1BC4" w:rsidP="002A1BC4">
            <w:pPr>
              <w:jc w:val="center"/>
              <w:rPr>
                <w:noProof/>
                <w:lang w:val="en-IE"/>
              </w:rPr>
            </w:pPr>
            <w:r>
              <w:rPr>
                <w:noProof/>
                <w:lang w:val="en-IE"/>
              </w:rPr>
              <w:t>0</w:t>
            </w:r>
          </w:p>
        </w:tc>
        <w:tc>
          <w:tcPr>
            <w:tcW w:w="1526" w:type="dxa"/>
          </w:tcPr>
          <w:p w14:paraId="722B8AB7" w14:textId="0EA31BCE" w:rsidR="002A1BC4" w:rsidRPr="00FF1E2D" w:rsidRDefault="00C91561" w:rsidP="002A1BC4">
            <w:pPr>
              <w:jc w:val="center"/>
              <w:rPr>
                <w:b/>
                <w:noProof/>
                <w:lang w:val="en-IE"/>
              </w:rPr>
            </w:pPr>
            <w:r>
              <w:rPr>
                <w:b/>
                <w:noProof/>
                <w:lang w:val="en-IE"/>
              </w:rPr>
              <w:t>45%</w:t>
            </w:r>
          </w:p>
        </w:tc>
        <w:tc>
          <w:tcPr>
            <w:tcW w:w="1532" w:type="dxa"/>
          </w:tcPr>
          <w:p w14:paraId="0B7581CC" w14:textId="7B438EFB" w:rsidR="002A1BC4" w:rsidRPr="00FF1E2D" w:rsidRDefault="00C91561" w:rsidP="002A1BC4">
            <w:pPr>
              <w:jc w:val="center"/>
              <w:rPr>
                <w:noProof/>
                <w:lang w:val="en-IE"/>
              </w:rPr>
            </w:pPr>
            <w:r>
              <w:rPr>
                <w:noProof/>
                <w:lang w:val="en-IE"/>
              </w:rPr>
              <w:t>29</w:t>
            </w:r>
          </w:p>
        </w:tc>
        <w:tc>
          <w:tcPr>
            <w:tcW w:w="1572" w:type="dxa"/>
          </w:tcPr>
          <w:p w14:paraId="36013791" w14:textId="1BEA545B" w:rsidR="002A1BC4" w:rsidRPr="00FF1E2D" w:rsidRDefault="002A1BC4">
            <w:pPr>
              <w:jc w:val="center"/>
              <w:rPr>
                <w:noProof/>
                <w:lang w:val="en-IE"/>
              </w:rPr>
            </w:pPr>
            <w:r>
              <w:rPr>
                <w:noProof/>
                <w:lang w:val="en-IE"/>
              </w:rPr>
              <w:t xml:space="preserve">13 </w:t>
            </w:r>
            <w:r w:rsidR="00C91561">
              <w:rPr>
                <w:noProof/>
                <w:lang w:val="en-IE"/>
              </w:rPr>
              <w:t>compared to a target of 29</w:t>
            </w:r>
          </w:p>
        </w:tc>
        <w:tc>
          <w:tcPr>
            <w:tcW w:w="1579" w:type="dxa"/>
          </w:tcPr>
          <w:p w14:paraId="67BD81F3" w14:textId="2B6D625A" w:rsidR="002A1BC4" w:rsidRPr="00FF1E2D" w:rsidRDefault="002A1BC4" w:rsidP="002A1BC4">
            <w:pPr>
              <w:jc w:val="center"/>
              <w:rPr>
                <w:noProof/>
                <w:lang w:val="en-IE"/>
              </w:rPr>
            </w:pPr>
            <w:r w:rsidRPr="00BA5091">
              <w:rPr>
                <w:noProof/>
                <w:lang w:val="en-IE"/>
              </w:rPr>
              <w:t>No data</w:t>
            </w:r>
          </w:p>
        </w:tc>
      </w:tr>
    </w:tbl>
    <w:p w14:paraId="6C51D14D" w14:textId="6667F027" w:rsidR="00434A92" w:rsidRDefault="00FD6362" w:rsidP="00434A92">
      <w:pPr>
        <w:pStyle w:val="FootnoteText"/>
        <w:rPr>
          <w:noProof/>
          <w:lang w:val="en-IE"/>
        </w:rPr>
      </w:pPr>
      <w:r>
        <w:rPr>
          <w:noProof/>
          <w:lang w:val="en-IE"/>
        </w:rPr>
        <w:t xml:space="preserve">(*) </w:t>
      </w:r>
      <w:r w:rsidR="00434A92" w:rsidRPr="00FF1E2D">
        <w:rPr>
          <w:noProof/>
          <w:lang w:val="en-IE"/>
        </w:rPr>
        <w:t>% of target achieved by the end of 2021</w:t>
      </w:r>
      <w:r w:rsidR="00434A92">
        <w:rPr>
          <w:noProof/>
          <w:lang w:val="en-IE"/>
        </w:rPr>
        <w:t>.</w:t>
      </w:r>
    </w:p>
    <w:p w14:paraId="4812A28A" w14:textId="15673086" w:rsidR="00AA5CAB" w:rsidRDefault="00AA5CAB" w:rsidP="00AA5CAB">
      <w:pPr>
        <w:pStyle w:val="FootnoteText"/>
        <w:spacing w:before="120"/>
        <w:rPr>
          <w:noProof/>
          <w:lang w:val="en-IE"/>
        </w:rPr>
      </w:pPr>
      <w:r>
        <w:rPr>
          <w:noProof/>
          <w:lang w:val="en-IE"/>
        </w:rPr>
        <w:t xml:space="preserve">(**) </w:t>
      </w:r>
      <w:r w:rsidRPr="00950178">
        <w:rPr>
          <w:noProof/>
          <w:lang w:val="en-IE"/>
        </w:rPr>
        <w:t xml:space="preserve">% of years for which the milestones or target </w:t>
      </w:r>
      <w:r>
        <w:rPr>
          <w:noProof/>
          <w:lang w:val="en-IE"/>
        </w:rPr>
        <w:t>have</w:t>
      </w:r>
      <w:r w:rsidRPr="00950178">
        <w:rPr>
          <w:noProof/>
          <w:lang w:val="en-IE"/>
        </w:rPr>
        <w:t xml:space="preserve"> been achieved during the 2021-2027 period.</w:t>
      </w:r>
    </w:p>
    <w:p w14:paraId="15B49A09" w14:textId="604D4A94" w:rsidR="00FD6362" w:rsidRPr="00FF1E2D" w:rsidRDefault="00FD6362" w:rsidP="00434A92">
      <w:pPr>
        <w:pStyle w:val="FootnoteText"/>
        <w:rPr>
          <w:noProof/>
          <w:color w:val="BBB931"/>
          <w:lang w:val="en-IE"/>
        </w:rPr>
      </w:pPr>
    </w:p>
    <w:p w14:paraId="19D7747B" w14:textId="77777777" w:rsidR="00434A92" w:rsidRPr="00FF1E2D" w:rsidRDefault="00434A92" w:rsidP="00434A92">
      <w:pPr>
        <w:pStyle w:val="ppoListHyphened-L1"/>
        <w:rPr>
          <w:noProof/>
          <w:lang w:val="en-IE"/>
        </w:rPr>
      </w:pPr>
      <w:r w:rsidRPr="00FF1E2D">
        <w:rPr>
          <w:noProof/>
          <w:lang w:val="en-IE"/>
        </w:rPr>
        <w:t xml:space="preserve">The first two Innovation Fund calls launched in 2020 were closed in the reporting period, the proposals were evaluated and the results communicated. The significant oversubscription in the first two calls shows that the Innovation Fund was needed and expected by the market and that, in line with its rationale, it does address a gap in available funding for clean technologies. </w:t>
      </w:r>
    </w:p>
    <w:p w14:paraId="799C4FBF" w14:textId="77777777" w:rsidR="00434A92" w:rsidRPr="00FF1E2D" w:rsidRDefault="00434A92" w:rsidP="00434A92">
      <w:pPr>
        <w:pStyle w:val="ppoListHyphened-L1"/>
        <w:rPr>
          <w:noProof/>
          <w:lang w:val="en-IE"/>
        </w:rPr>
      </w:pPr>
      <w:r w:rsidRPr="00FF1E2D">
        <w:rPr>
          <w:noProof/>
          <w:lang w:val="en-IE"/>
        </w:rPr>
        <w:t xml:space="preserve">The lessons learned from the application process led to Delegated Regulation 2019/856 </w:t>
      </w:r>
      <w:r>
        <w:rPr>
          <w:noProof/>
          <w:lang w:val="en-IE"/>
        </w:rPr>
        <w:t xml:space="preserve">being amended </w:t>
      </w:r>
      <w:r w:rsidRPr="00FF1E2D">
        <w:rPr>
          <w:noProof/>
          <w:lang w:val="en-IE"/>
        </w:rPr>
        <w:t xml:space="preserve">to allow for a one-step application process also for large-scale projects, which in turn should lead to </w:t>
      </w:r>
      <w:r>
        <w:rPr>
          <w:noProof/>
          <w:lang w:val="en-IE"/>
        </w:rPr>
        <w:t xml:space="preserve">a </w:t>
      </w:r>
      <w:r w:rsidRPr="00FF1E2D">
        <w:rPr>
          <w:noProof/>
          <w:lang w:val="en-IE"/>
        </w:rPr>
        <w:t xml:space="preserve">shortening </w:t>
      </w:r>
      <w:r>
        <w:rPr>
          <w:noProof/>
          <w:lang w:val="en-IE"/>
        </w:rPr>
        <w:t xml:space="preserve">of </w:t>
      </w:r>
      <w:r w:rsidRPr="00FF1E2D">
        <w:rPr>
          <w:noProof/>
          <w:lang w:val="en-IE"/>
        </w:rPr>
        <w:t xml:space="preserve">the time to grant. The evaluation results also showed a very good project pipeline among the projects rejected due to insufficient budget </w:t>
      </w:r>
      <w:r>
        <w:rPr>
          <w:noProof/>
          <w:lang w:val="en-IE"/>
        </w:rPr>
        <w:t xml:space="preserve">being </w:t>
      </w:r>
      <w:r w:rsidRPr="00FF1E2D">
        <w:rPr>
          <w:noProof/>
          <w:lang w:val="en-IE"/>
        </w:rPr>
        <w:t>available.</w:t>
      </w:r>
    </w:p>
    <w:p w14:paraId="7CAC5402" w14:textId="77777777" w:rsidR="00434A92" w:rsidRPr="00FF1E2D" w:rsidRDefault="00434A92" w:rsidP="00434A92">
      <w:pPr>
        <w:pStyle w:val="ppoListHyphened-L1"/>
        <w:rPr>
          <w:noProof/>
          <w:lang w:val="en-IE"/>
        </w:rPr>
      </w:pPr>
      <w:r w:rsidRPr="00FF1E2D">
        <w:rPr>
          <w:noProof/>
          <w:lang w:val="en-IE"/>
        </w:rPr>
        <w:t>In this context, a second call for large-scale projects was launched in October 2021 with a budgetary increase of 50% (total of EUR</w:t>
      </w:r>
      <w:r w:rsidRPr="00FF1E2D">
        <w:rPr>
          <w:rFonts w:ascii="Calibri" w:hAnsi="Calibri" w:cs="Calibri"/>
          <w:noProof/>
          <w:lang w:val="en-IE"/>
        </w:rPr>
        <w:t> </w:t>
      </w:r>
      <w:r w:rsidRPr="00FF1E2D">
        <w:rPr>
          <w:noProof/>
          <w:lang w:val="en-IE"/>
        </w:rPr>
        <w:t>1.5</w:t>
      </w:r>
      <w:r w:rsidRPr="00FF1E2D">
        <w:rPr>
          <w:rFonts w:ascii="Calibri" w:hAnsi="Calibri" w:cs="Calibri"/>
          <w:noProof/>
          <w:lang w:val="en-IE"/>
        </w:rPr>
        <w:t> </w:t>
      </w:r>
      <w:r w:rsidRPr="00FF1E2D">
        <w:rPr>
          <w:noProof/>
          <w:lang w:val="en-IE"/>
        </w:rPr>
        <w:t>billion) and a one-step application procedure. The call will be concluded and the results communicated in 2022.</w:t>
      </w:r>
    </w:p>
    <w:p w14:paraId="7A1FDA37" w14:textId="77777777" w:rsidR="00434A92" w:rsidRPr="00FF1E2D" w:rsidRDefault="00434A92" w:rsidP="00434A92">
      <w:pPr>
        <w:spacing w:after="160" w:line="259" w:lineRule="auto"/>
        <w:rPr>
          <w:rFonts w:eastAsiaTheme="majorEastAsia" w:cstheme="majorBidi"/>
          <w:noProof/>
          <w:color w:val="016A13" w:themeColor="accent1" w:themeShade="BF"/>
          <w:sz w:val="48"/>
          <w:szCs w:val="32"/>
          <w:lang w:val="en-IE"/>
        </w:rPr>
      </w:pPr>
    </w:p>
    <w:p w14:paraId="49805EAF" w14:textId="77777777" w:rsidR="009F2266" w:rsidRDefault="009F2266" w:rsidP="005348AD">
      <w:pPr>
        <w:pStyle w:val="ppoListHyphened-L1"/>
        <w:numPr>
          <w:ilvl w:val="0"/>
          <w:numId w:val="0"/>
        </w:numPr>
        <w:ind w:left="357" w:hanging="357"/>
        <w:rPr>
          <w:b/>
          <w:noProof/>
          <w:lang w:val="en-IE"/>
        </w:rPr>
        <w:sectPr w:rsidR="009F2266" w:rsidSect="0083214A">
          <w:headerReference w:type="even" r:id="rId655"/>
          <w:headerReference w:type="default" r:id="rId656"/>
          <w:footerReference w:type="even" r:id="rId657"/>
          <w:footerReference w:type="default" r:id="rId658"/>
          <w:headerReference w:type="first" r:id="rId659"/>
          <w:footerReference w:type="first" r:id="rId660"/>
          <w:type w:val="continuous"/>
          <w:pgSz w:w="11906" w:h="16838" w:code="9"/>
          <w:pgMar w:top="1134" w:right="1134" w:bottom="964" w:left="1134" w:header="431" w:footer="431" w:gutter="0"/>
          <w:cols w:space="720"/>
          <w:titlePg/>
          <w:docGrid w:linePitch="360"/>
        </w:sectPr>
      </w:pPr>
    </w:p>
    <w:p w14:paraId="126C03B1" w14:textId="77777777" w:rsidR="009F2266" w:rsidRPr="005E7AAC" w:rsidRDefault="009F2266" w:rsidP="009F2266">
      <w:pPr>
        <w:pStyle w:val="StyleppoHeading3WhiteLeft0cm"/>
        <w:rPr>
          <w:noProof/>
          <w:sz w:val="40"/>
          <w:szCs w:val="40"/>
        </w:rPr>
      </w:pPr>
    </w:p>
    <w:p w14:paraId="54D64FE0" w14:textId="77777777" w:rsidR="009F2266" w:rsidRPr="005E7AAC" w:rsidRDefault="009F2266" w:rsidP="009F2266">
      <w:pPr>
        <w:pStyle w:val="StyleppoHeading3WhiteLeft0cm"/>
        <w:rPr>
          <w:noProof/>
          <w:sz w:val="60"/>
          <w:szCs w:val="60"/>
        </w:rPr>
      </w:pPr>
      <w:bookmarkStart w:id="294" w:name="_Toc102086377"/>
      <w:r w:rsidRPr="005E7AAC">
        <w:rPr>
          <w:noProof/>
          <w:sz w:val="60"/>
          <w:szCs w:val="60"/>
        </w:rPr>
        <w:t>BAR</w:t>
      </w:r>
      <w:bookmarkEnd w:id="294"/>
    </w:p>
    <w:p w14:paraId="3CC33584" w14:textId="77777777" w:rsidR="009F2266" w:rsidRPr="00040D99" w:rsidRDefault="009F2266" w:rsidP="009F2266">
      <w:pPr>
        <w:pStyle w:val="StyleppoProgrammenameWhiteLeft01cm"/>
        <w:rPr>
          <w:noProof/>
        </w:rPr>
      </w:pPr>
      <w:r>
        <w:rPr>
          <w:noProof/>
        </w:rPr>
        <w:t>BREXIT ADJUSTMENT RESERVE</w:t>
      </w:r>
    </w:p>
    <w:p w14:paraId="27E8ED6F" w14:textId="77777777" w:rsidR="009F2266" w:rsidRPr="00351CB7" w:rsidRDefault="009F2266" w:rsidP="009F2266">
      <w:pPr>
        <w:pStyle w:val="ppoHeading4Turquoise"/>
        <w:rPr>
          <w:noProof/>
        </w:rPr>
      </w:pPr>
      <w:r w:rsidRPr="00351CB7">
        <w:rPr>
          <w:noProof/>
        </w:rPr>
        <w:t>Programme in a nutshell</w:t>
      </w:r>
    </w:p>
    <w:p w14:paraId="2DE9850E" w14:textId="77777777" w:rsidR="009F2266" w:rsidRPr="00040D99" w:rsidRDefault="009F2266" w:rsidP="009F2266">
      <w:pPr>
        <w:spacing w:after="480"/>
        <w:rPr>
          <w:rFonts w:eastAsiaTheme="minorEastAsia"/>
          <w:noProof/>
          <w:color w:val="FFFFFF" w:themeColor="background1"/>
          <w:sz w:val="32"/>
        </w:rPr>
        <w:sectPr w:rsidR="009F2266" w:rsidRPr="00040D99" w:rsidSect="005D691E">
          <w:headerReference w:type="even" r:id="rId661"/>
          <w:headerReference w:type="default" r:id="rId662"/>
          <w:footerReference w:type="even" r:id="rId663"/>
          <w:footerReference w:type="default" r:id="rId664"/>
          <w:headerReference w:type="first" r:id="rId665"/>
          <w:footerReference w:type="first" r:id="rId666"/>
          <w:pgSz w:w="11906" w:h="16838" w:code="9"/>
          <w:pgMar w:top="1134" w:right="1134" w:bottom="964" w:left="1134" w:header="431" w:footer="431" w:gutter="0"/>
          <w:cols w:space="720"/>
          <w:docGrid w:linePitch="360"/>
        </w:sectPr>
      </w:pPr>
    </w:p>
    <w:p w14:paraId="72A239BB" w14:textId="77777777" w:rsidR="009F2266" w:rsidRDefault="009F2266" w:rsidP="009F2266">
      <w:pPr>
        <w:pStyle w:val="ppoHeading5"/>
        <w:rPr>
          <w:noProof/>
        </w:rPr>
      </w:pPr>
      <w:r w:rsidRPr="00040D99">
        <w:rPr>
          <w:noProof/>
        </w:rPr>
        <w:t xml:space="preserve">Budget </w:t>
      </w:r>
      <w:r>
        <w:rPr>
          <w:noProof/>
        </w:rPr>
        <w:t xml:space="preserve">for </w:t>
      </w:r>
      <w:r w:rsidRPr="00040D99">
        <w:rPr>
          <w:noProof/>
        </w:rPr>
        <w:t>2021-2027</w:t>
      </w:r>
    </w:p>
    <w:p w14:paraId="548DBE5B" w14:textId="77777777" w:rsidR="009F2266" w:rsidRPr="009359FF" w:rsidRDefault="009F2266" w:rsidP="009F2266">
      <w:pPr>
        <w:pStyle w:val="ppoTableTabletitle"/>
        <w:ind w:left="284"/>
        <w:rPr>
          <w:noProof/>
        </w:rPr>
      </w:pPr>
      <w:r>
        <w:rPr>
          <w:noProof/>
        </w:rPr>
        <w:t>(million</w:t>
      </w:r>
      <w:r w:rsidRPr="00312866">
        <w:rPr>
          <w:noProof/>
        </w:rPr>
        <w:t xml:space="preserve"> </w:t>
      </w:r>
      <w:r>
        <w:rPr>
          <w:noProof/>
        </w:rPr>
        <w:t>EUR)</w:t>
      </w:r>
    </w:p>
    <w:tbl>
      <w:tblPr>
        <w:tblStyle w:val="PlainTable2"/>
        <w:tblW w:w="0" w:type="auto"/>
        <w:tblInd w:w="288" w:type="dxa"/>
        <w:tblLook w:val="04A0" w:firstRow="1" w:lastRow="0" w:firstColumn="1" w:lastColumn="0" w:noHBand="0" w:noVBand="1"/>
      </w:tblPr>
      <w:tblGrid>
        <w:gridCol w:w="4788"/>
        <w:gridCol w:w="2610"/>
      </w:tblGrid>
      <w:tr w:rsidR="009F2266" w:rsidRPr="00214876" w14:paraId="035C87CA" w14:textId="77777777" w:rsidTr="005D691E">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auto"/>
            <w:vAlign w:val="bottom"/>
          </w:tcPr>
          <w:p w14:paraId="5CCC99F9" w14:textId="77777777" w:rsidR="009F2266" w:rsidRPr="00214876" w:rsidRDefault="009F2266" w:rsidP="005D691E">
            <w:pPr>
              <w:spacing w:before="120" w:after="120"/>
              <w:rPr>
                <w:noProof/>
              </w:rPr>
            </w:pPr>
            <w:r w:rsidRPr="00214876">
              <w:rPr>
                <w:rFonts w:cs="Calibri"/>
                <w:noProof/>
                <w:color w:val="000000"/>
              </w:rPr>
              <w:t>Financial programming</w:t>
            </w:r>
          </w:p>
        </w:tc>
        <w:tc>
          <w:tcPr>
            <w:tcW w:w="2610" w:type="dxa"/>
            <w:shd w:val="clear" w:color="auto" w:fill="auto"/>
            <w:vAlign w:val="bottom"/>
          </w:tcPr>
          <w:p w14:paraId="303BDB65" w14:textId="77777777" w:rsidR="009F2266" w:rsidRPr="00214876" w:rsidRDefault="009F2266" w:rsidP="005D691E">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noProof/>
              </w:rPr>
            </w:pPr>
            <w:r>
              <w:rPr>
                <w:rFonts w:cs="Calibri"/>
                <w:b w:val="0"/>
                <w:bCs w:val="0"/>
                <w:noProof/>
                <w:color w:val="000000"/>
              </w:rPr>
              <w:t>5</w:t>
            </w:r>
            <w:r>
              <w:rPr>
                <w:rFonts w:ascii="Calibri" w:hAnsi="Calibri" w:cs="Calibri"/>
                <w:b w:val="0"/>
                <w:bCs w:val="0"/>
                <w:noProof/>
                <w:color w:val="000000"/>
              </w:rPr>
              <w:t> </w:t>
            </w:r>
            <w:r>
              <w:rPr>
                <w:rFonts w:cs="Calibri"/>
                <w:b w:val="0"/>
                <w:bCs w:val="0"/>
                <w:noProof/>
                <w:color w:val="000000"/>
              </w:rPr>
              <w:t>470.4</w:t>
            </w:r>
          </w:p>
        </w:tc>
      </w:tr>
      <w:tr w:rsidR="009F2266" w:rsidRPr="00214876" w14:paraId="702E8B1E" w14:textId="77777777" w:rsidTr="005D691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0FD1F88C" w14:textId="77777777" w:rsidR="009F2266" w:rsidRPr="00214876" w:rsidRDefault="009F2266" w:rsidP="005D691E">
            <w:pPr>
              <w:spacing w:before="120" w:after="120"/>
              <w:rPr>
                <w:b w:val="0"/>
                <w:bCs w:val="0"/>
                <w:noProof/>
              </w:rPr>
            </w:pPr>
            <w:r w:rsidRPr="00214876">
              <w:rPr>
                <w:rFonts w:cs="Calibri"/>
                <w:noProof/>
                <w:color w:val="000000"/>
              </w:rPr>
              <w:t>NextGenerationEU</w:t>
            </w:r>
          </w:p>
        </w:tc>
        <w:tc>
          <w:tcPr>
            <w:tcW w:w="2610" w:type="dxa"/>
            <w:vAlign w:val="bottom"/>
          </w:tcPr>
          <w:p w14:paraId="0538D420" w14:textId="77777777" w:rsidR="009F2266" w:rsidRPr="00214876" w:rsidRDefault="009F2266" w:rsidP="005D691E">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Pr>
                <w:rFonts w:cs="Calibri"/>
                <w:noProof/>
                <w:color w:val="000000"/>
              </w:rPr>
              <w:t>0</w:t>
            </w:r>
          </w:p>
        </w:tc>
      </w:tr>
      <w:tr w:rsidR="009F2266" w:rsidRPr="00214876" w14:paraId="04D880AE" w14:textId="77777777" w:rsidTr="005D691E">
        <w:trPr>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449BE048" w14:textId="77777777" w:rsidR="009F2266" w:rsidRPr="00214876" w:rsidRDefault="009F2266" w:rsidP="005D691E">
            <w:pPr>
              <w:spacing w:before="120" w:after="120"/>
              <w:rPr>
                <w:b w:val="0"/>
                <w:bCs w:val="0"/>
                <w:noProof/>
              </w:rPr>
            </w:pPr>
            <w:r w:rsidRPr="00A805C4">
              <w:rPr>
                <w:noProof/>
              </w:rPr>
              <w:t>Decommitments made available again</w:t>
            </w:r>
            <w:r>
              <w:rPr>
                <w:rFonts w:ascii="Calibri" w:hAnsi="Calibri" w:cs="Calibri"/>
                <w:noProof/>
              </w:rPr>
              <w:t> (</w:t>
            </w:r>
            <w:r w:rsidRPr="3CA8A110">
              <w:rPr>
                <w:noProof/>
              </w:rPr>
              <w:t>*</w:t>
            </w:r>
            <w:r>
              <w:rPr>
                <w:noProof/>
              </w:rPr>
              <w:t>)</w:t>
            </w:r>
          </w:p>
        </w:tc>
        <w:tc>
          <w:tcPr>
            <w:tcW w:w="2610" w:type="dxa"/>
            <w:vAlign w:val="bottom"/>
          </w:tcPr>
          <w:p w14:paraId="2AF7F0AA" w14:textId="41BBD1CD" w:rsidR="009F2266" w:rsidRPr="00214876" w:rsidRDefault="009F2266" w:rsidP="005D691E">
            <w:pPr>
              <w:spacing w:before="120" w:after="120"/>
              <w:jc w:val="center"/>
              <w:cnfStyle w:val="000000000000" w:firstRow="0" w:lastRow="0" w:firstColumn="0" w:lastColumn="0" w:oddVBand="0" w:evenVBand="0" w:oddHBand="0" w:evenHBand="0" w:firstRowFirstColumn="0" w:firstRowLastColumn="0" w:lastRowFirstColumn="0" w:lastRowLastColumn="0"/>
              <w:rPr>
                <w:noProof/>
              </w:rPr>
            </w:pPr>
            <w:r>
              <w:rPr>
                <w:rFonts w:cs="Calibri"/>
                <w:noProof/>
                <w:color w:val="000000"/>
              </w:rPr>
              <w:t>N/A</w:t>
            </w:r>
          </w:p>
        </w:tc>
      </w:tr>
      <w:tr w:rsidR="009F2266" w:rsidRPr="00214876" w14:paraId="37B21DAF" w14:textId="77777777" w:rsidTr="005D691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vAlign w:val="bottom"/>
          </w:tcPr>
          <w:p w14:paraId="00CD3B4D" w14:textId="77777777" w:rsidR="009F2266" w:rsidRPr="00214876" w:rsidRDefault="009F2266" w:rsidP="005D691E">
            <w:pPr>
              <w:spacing w:before="120" w:after="120"/>
              <w:rPr>
                <w:noProof/>
              </w:rPr>
            </w:pPr>
            <w:r w:rsidRPr="00214876">
              <w:rPr>
                <w:rFonts w:cs="Calibri"/>
                <w:noProof/>
                <w:color w:val="000000"/>
              </w:rPr>
              <w:t>Contributions from other countries and entities</w:t>
            </w:r>
          </w:p>
        </w:tc>
        <w:tc>
          <w:tcPr>
            <w:tcW w:w="2610" w:type="dxa"/>
            <w:vAlign w:val="bottom"/>
          </w:tcPr>
          <w:p w14:paraId="5C68B344" w14:textId="77777777" w:rsidR="009F2266" w:rsidRPr="00214876" w:rsidRDefault="009F2266" w:rsidP="005D691E">
            <w:pPr>
              <w:spacing w:before="120" w:after="120"/>
              <w:jc w:val="center"/>
              <w:cnfStyle w:val="000000100000" w:firstRow="0" w:lastRow="0" w:firstColumn="0" w:lastColumn="0" w:oddVBand="0" w:evenVBand="0" w:oddHBand="1" w:evenHBand="0" w:firstRowFirstColumn="0" w:firstRowLastColumn="0" w:lastRowFirstColumn="0" w:lastRowLastColumn="0"/>
              <w:rPr>
                <w:noProof/>
              </w:rPr>
            </w:pPr>
            <w:r>
              <w:rPr>
                <w:rFonts w:cs="Calibri"/>
                <w:noProof/>
                <w:color w:val="000000"/>
              </w:rPr>
              <w:t>0</w:t>
            </w:r>
          </w:p>
        </w:tc>
      </w:tr>
      <w:tr w:rsidR="009F2266" w:rsidRPr="00214876" w14:paraId="024D3570" w14:textId="77777777" w:rsidTr="005D691E">
        <w:trPr>
          <w:cantSplit/>
        </w:trPr>
        <w:tc>
          <w:tcPr>
            <w:cnfStyle w:val="001000000000" w:firstRow="0" w:lastRow="0" w:firstColumn="1" w:lastColumn="0" w:oddVBand="0" w:evenVBand="0" w:oddHBand="0" w:evenHBand="0" w:firstRowFirstColumn="0" w:firstRowLastColumn="0" w:lastRowFirstColumn="0" w:lastRowLastColumn="0"/>
            <w:tcW w:w="4788" w:type="dxa"/>
            <w:shd w:val="clear" w:color="auto" w:fill="FCFCFC" w:themeFill="background2" w:themeFillTint="33"/>
            <w:vAlign w:val="bottom"/>
          </w:tcPr>
          <w:p w14:paraId="472989AE" w14:textId="77777777" w:rsidR="009F2266" w:rsidRPr="00214876" w:rsidRDefault="009F2266" w:rsidP="005D691E">
            <w:pPr>
              <w:spacing w:before="120" w:after="120"/>
              <w:rPr>
                <w:noProof/>
              </w:rPr>
            </w:pPr>
            <w:r>
              <w:rPr>
                <w:rFonts w:cs="Calibri"/>
                <w:noProof/>
                <w:color w:val="000000"/>
              </w:rPr>
              <w:t>T</w:t>
            </w:r>
            <w:r w:rsidRPr="00214876">
              <w:rPr>
                <w:rFonts w:cs="Calibri"/>
                <w:noProof/>
                <w:color w:val="000000"/>
              </w:rPr>
              <w:t xml:space="preserve">otal budget </w:t>
            </w:r>
            <w:r>
              <w:rPr>
                <w:rFonts w:cs="Calibri"/>
                <w:noProof/>
                <w:color w:val="000000"/>
              </w:rPr>
              <w:t xml:space="preserve">for </w:t>
            </w:r>
            <w:r w:rsidRPr="00214876">
              <w:rPr>
                <w:rFonts w:cs="Calibri"/>
                <w:noProof/>
                <w:color w:val="000000"/>
              </w:rPr>
              <w:t>2021-2027</w:t>
            </w:r>
          </w:p>
        </w:tc>
        <w:tc>
          <w:tcPr>
            <w:tcW w:w="2610" w:type="dxa"/>
            <w:shd w:val="clear" w:color="auto" w:fill="FCFCFC" w:themeFill="background2" w:themeFillTint="33"/>
            <w:vAlign w:val="bottom"/>
          </w:tcPr>
          <w:p w14:paraId="1F93C083" w14:textId="77777777" w:rsidR="009F2266" w:rsidRPr="001B255C" w:rsidRDefault="009F2266" w:rsidP="005D691E">
            <w:pPr>
              <w:spacing w:before="120" w:after="120"/>
              <w:jc w:val="center"/>
              <w:cnfStyle w:val="000000000000" w:firstRow="0" w:lastRow="0" w:firstColumn="0" w:lastColumn="0" w:oddVBand="0" w:evenVBand="0" w:oddHBand="0" w:evenHBand="0" w:firstRowFirstColumn="0" w:firstRowLastColumn="0" w:lastRowFirstColumn="0" w:lastRowLastColumn="0"/>
              <w:rPr>
                <w:b/>
                <w:bCs/>
                <w:noProof/>
              </w:rPr>
            </w:pPr>
            <w:r w:rsidRPr="00E11242">
              <w:rPr>
                <w:rFonts w:cs="Calibri"/>
                <w:b/>
                <w:bCs/>
                <w:noProof/>
                <w:color w:val="000000"/>
              </w:rPr>
              <w:t>5</w:t>
            </w:r>
            <w:r>
              <w:rPr>
                <w:rFonts w:ascii="Calibri" w:hAnsi="Calibri" w:cs="Calibri"/>
                <w:b/>
                <w:bCs/>
                <w:noProof/>
                <w:color w:val="000000"/>
              </w:rPr>
              <w:t> </w:t>
            </w:r>
            <w:r w:rsidRPr="00E11242">
              <w:rPr>
                <w:rFonts w:cs="Calibri"/>
                <w:b/>
                <w:bCs/>
                <w:noProof/>
                <w:color w:val="000000"/>
              </w:rPr>
              <w:t>470.4</w:t>
            </w:r>
          </w:p>
        </w:tc>
      </w:tr>
    </w:tbl>
    <w:p w14:paraId="6707C6FA" w14:textId="77777777" w:rsidR="009F2266" w:rsidRPr="00040D99" w:rsidRDefault="009F2266" w:rsidP="009F2266">
      <w:pPr>
        <w:jc w:val="center"/>
        <w:rPr>
          <w:rFonts w:eastAsiaTheme="minorEastAsia"/>
          <w:noProof/>
        </w:rPr>
      </w:pPr>
    </w:p>
    <w:p w14:paraId="306954FE" w14:textId="77777777" w:rsidR="009F2266" w:rsidRPr="001F1CAD" w:rsidRDefault="009F2266" w:rsidP="009F2266">
      <w:pPr>
        <w:tabs>
          <w:tab w:val="left" w:pos="6793"/>
        </w:tabs>
        <w:rPr>
          <w:noProof/>
          <w:sz w:val="18"/>
          <w:szCs w:val="18"/>
          <w:lang w:val="en-IE"/>
        </w:rPr>
      </w:pPr>
      <w:r>
        <w:rPr>
          <w:noProof/>
          <w:sz w:val="18"/>
          <w:szCs w:val="18"/>
          <w:lang w:val="en-IE"/>
        </w:rPr>
        <w:t>(</w:t>
      </w:r>
      <w:r w:rsidRPr="001F1CAD">
        <w:rPr>
          <w:noProof/>
          <w:sz w:val="18"/>
          <w:szCs w:val="18"/>
          <w:lang w:val="en-IE"/>
        </w:rPr>
        <w:t>*</w:t>
      </w:r>
      <w:r>
        <w:rPr>
          <w:noProof/>
          <w:sz w:val="18"/>
          <w:szCs w:val="18"/>
          <w:lang w:val="en-IE"/>
        </w:rPr>
        <w:t>)</w:t>
      </w:r>
      <w:r w:rsidRPr="001F1CAD">
        <w:rPr>
          <w:noProof/>
          <w:sz w:val="18"/>
          <w:szCs w:val="18"/>
          <w:lang w:val="en-IE"/>
        </w:rPr>
        <w:t xml:space="preserve"> Only Art</w:t>
      </w:r>
      <w:r>
        <w:rPr>
          <w:noProof/>
          <w:sz w:val="18"/>
          <w:szCs w:val="18"/>
          <w:lang w:val="en-IE"/>
        </w:rPr>
        <w:t>icle</w:t>
      </w:r>
      <w:r w:rsidRPr="001F1CAD">
        <w:rPr>
          <w:noProof/>
          <w:sz w:val="18"/>
          <w:szCs w:val="18"/>
          <w:lang w:val="en-IE"/>
        </w:rPr>
        <w:t xml:space="preserve"> 15(3) of</w:t>
      </w:r>
      <w:r>
        <w:rPr>
          <w:noProof/>
          <w:sz w:val="18"/>
          <w:szCs w:val="18"/>
          <w:lang w:val="en-IE"/>
        </w:rPr>
        <w:t xml:space="preserve"> the</w:t>
      </w:r>
      <w:r w:rsidRPr="001F1CAD">
        <w:rPr>
          <w:noProof/>
          <w:sz w:val="18"/>
          <w:szCs w:val="18"/>
          <w:lang w:val="en-IE"/>
        </w:rPr>
        <w:t xml:space="preserve"> financial regulation</w:t>
      </w:r>
      <w:r>
        <w:rPr>
          <w:noProof/>
          <w:sz w:val="18"/>
          <w:szCs w:val="18"/>
          <w:lang w:val="en-IE"/>
        </w:rPr>
        <w:t>.</w:t>
      </w:r>
    </w:p>
    <w:p w14:paraId="53EE5B88" w14:textId="77777777" w:rsidR="009F2266" w:rsidRPr="00040D99" w:rsidRDefault="009F2266" w:rsidP="009F2266">
      <w:pPr>
        <w:pStyle w:val="ppoHeading5"/>
        <w:rPr>
          <w:noProof/>
        </w:rPr>
      </w:pPr>
      <w:r w:rsidRPr="00040D99">
        <w:rPr>
          <w:noProof/>
        </w:rPr>
        <w:t>Rationale and design of the programme</w:t>
      </w:r>
    </w:p>
    <w:p w14:paraId="7A3A4047" w14:textId="77777777" w:rsidR="009F2266" w:rsidRDefault="009F2266" w:rsidP="009F2266">
      <w:pPr>
        <w:rPr>
          <w:noProof/>
        </w:rPr>
      </w:pPr>
      <w:r>
        <w:rPr>
          <w:noProof/>
        </w:rPr>
        <w:t>The withdrawal of a Member State from the EU is an unprecedented situation both for the EU as a whole and for its Member States. The overarching logic behind the Brexit Adjustment Reserve (BAR) instrument is to provide support to the economies of Member States to master the transition from the United Kingdom being an EU Member State to it being a non-EU country.</w:t>
      </w:r>
    </w:p>
    <w:p w14:paraId="27C0D5C3" w14:textId="77777777" w:rsidR="009F2266" w:rsidRDefault="009F2266" w:rsidP="009F2266">
      <w:pPr>
        <w:rPr>
          <w:noProof/>
        </w:rPr>
      </w:pPr>
      <w:r>
        <w:rPr>
          <w:noProof/>
        </w:rPr>
        <w:t>In that regard, the reserve should support those regions, areas and, where relevant, local communities most adversely affected by the United Kingdom’s withdrawal (e.g. loss of market share, employment, trade volumes, turnover), and thus mitigate the related negative impact on economic, social and territorial cohesion.</w:t>
      </w:r>
    </w:p>
    <w:p w14:paraId="2BD557F5" w14:textId="77777777" w:rsidR="009F2266" w:rsidRPr="00040D99" w:rsidRDefault="009F2266" w:rsidP="009F2266">
      <w:pPr>
        <w:pStyle w:val="ppoHeading6"/>
        <w:rPr>
          <w:noProof/>
        </w:rPr>
      </w:pPr>
      <w:r w:rsidRPr="00040D99">
        <w:rPr>
          <w:noProof/>
        </w:rPr>
        <w:t>Challenge</w:t>
      </w:r>
    </w:p>
    <w:p w14:paraId="329C1BBC" w14:textId="1807C5A6" w:rsidR="009F2266" w:rsidRDefault="009F2266" w:rsidP="009F2266">
      <w:pPr>
        <w:rPr>
          <w:noProof/>
        </w:rPr>
      </w:pPr>
      <w:r>
        <w:rPr>
          <w:noProof/>
        </w:rPr>
        <w:t>Since 1</w:t>
      </w:r>
      <w:r>
        <w:rPr>
          <w:rFonts w:ascii="Calibri" w:hAnsi="Calibri" w:cs="Calibri"/>
          <w:noProof/>
        </w:rPr>
        <w:t> </w:t>
      </w:r>
      <w:r>
        <w:rPr>
          <w:noProof/>
        </w:rPr>
        <w:t>February 2020, the United Kingdom is no longer a Member State of the EU. The</w:t>
      </w:r>
      <w:r w:rsidRPr="1DB07FD7">
        <w:rPr>
          <w:noProof/>
        </w:rPr>
        <w:t xml:space="preserve"> </w:t>
      </w:r>
      <w:r>
        <w:rPr>
          <w:noProof/>
        </w:rPr>
        <w:t>challenge is to counter the worst unforeseen and adverse consequences of Brexit on Member States and specific regions.</w:t>
      </w:r>
      <w:r w:rsidRPr="1DB07FD7">
        <w:rPr>
          <w:noProof/>
        </w:rPr>
        <w:t xml:space="preserve"> </w:t>
      </w:r>
      <w:r>
        <w:rPr>
          <w:noProof/>
        </w:rPr>
        <w:t xml:space="preserve">To this end, in July 2020 the European Council agreed to establish a new special </w:t>
      </w:r>
      <w:r w:rsidR="0070748A">
        <w:rPr>
          <w:noProof/>
        </w:rPr>
        <w:t xml:space="preserve">instrument </w:t>
      </w:r>
      <w:r>
        <w:rPr>
          <w:noProof/>
        </w:rPr>
        <w:t>with an allocation of EUR</w:t>
      </w:r>
      <w:r>
        <w:rPr>
          <w:rFonts w:ascii="Calibri" w:hAnsi="Calibri" w:cs="Calibri"/>
          <w:noProof/>
        </w:rPr>
        <w:t> </w:t>
      </w:r>
      <w:r>
        <w:rPr>
          <w:noProof/>
        </w:rPr>
        <w:t>5.47</w:t>
      </w:r>
      <w:r>
        <w:rPr>
          <w:rFonts w:ascii="Calibri" w:hAnsi="Calibri" w:cs="Calibri"/>
          <w:noProof/>
        </w:rPr>
        <w:t> </w:t>
      </w:r>
      <w:r>
        <w:rPr>
          <w:noProof/>
        </w:rPr>
        <w:t>billion (in current prices). The regulation establishing the BAR was proposed by the European Commission on 25</w:t>
      </w:r>
      <w:r>
        <w:rPr>
          <w:rFonts w:ascii="Calibri" w:hAnsi="Calibri" w:cs="Calibri"/>
          <w:noProof/>
        </w:rPr>
        <w:t> </w:t>
      </w:r>
      <w:r>
        <w:rPr>
          <w:noProof/>
        </w:rPr>
        <w:t>December 2020 and adopted on 6</w:t>
      </w:r>
      <w:r>
        <w:rPr>
          <w:rFonts w:ascii="Calibri" w:hAnsi="Calibri" w:cs="Calibri"/>
          <w:noProof/>
        </w:rPr>
        <w:t> </w:t>
      </w:r>
      <w:r>
        <w:rPr>
          <w:noProof/>
        </w:rPr>
        <w:t>October 2021</w:t>
      </w:r>
      <w:r w:rsidRPr="1DB07FD7">
        <w:rPr>
          <w:noProof/>
        </w:rPr>
        <w:t>.</w:t>
      </w:r>
    </w:p>
    <w:p w14:paraId="29E0CAF3" w14:textId="77777777" w:rsidR="009F2266" w:rsidRPr="00040D99" w:rsidRDefault="009F2266" w:rsidP="009F2266">
      <w:pPr>
        <w:pStyle w:val="ppoHeading6"/>
        <w:rPr>
          <w:noProof/>
        </w:rPr>
      </w:pPr>
      <w:r w:rsidRPr="00040D99">
        <w:rPr>
          <w:noProof/>
        </w:rPr>
        <w:t>Mission</w:t>
      </w:r>
    </w:p>
    <w:p w14:paraId="2FD682FA" w14:textId="77777777" w:rsidR="009F2266" w:rsidRDefault="009F2266" w:rsidP="009F2266">
      <w:pPr>
        <w:rPr>
          <w:noProof/>
          <w:shd w:val="clear" w:color="auto" w:fill="FFFFFF"/>
        </w:rPr>
      </w:pPr>
      <w:r>
        <w:rPr>
          <w:noProof/>
        </w:rPr>
        <w:t>The BAR is a temporary targeted instrument, and it aims to provide swift support to Member States tailored to their specific Brexit-related challenges while minimising administrative burden. For this reason</w:t>
      </w:r>
      <w:r>
        <w:rPr>
          <w:noProof/>
          <w:shd w:val="clear" w:color="auto" w:fill="FFFFFF"/>
        </w:rPr>
        <w:t>, no advance programming or planning of measures is envisaged. Member States will have to react quickly and in a targeted way in view of a specific impact. The support from the reserve can be used for national measures specifically taken between 1</w:t>
      </w:r>
      <w:r>
        <w:rPr>
          <w:rFonts w:ascii="Calibri" w:hAnsi="Calibri" w:cs="Calibri"/>
          <w:noProof/>
          <w:shd w:val="clear" w:color="auto" w:fill="FFFFFF"/>
        </w:rPr>
        <w:t> </w:t>
      </w:r>
      <w:r>
        <w:rPr>
          <w:noProof/>
          <w:shd w:val="clear" w:color="auto" w:fill="FFFFFF"/>
        </w:rPr>
        <w:t>January 2020 and 31</w:t>
      </w:r>
      <w:r>
        <w:rPr>
          <w:rFonts w:ascii="Calibri" w:hAnsi="Calibri" w:cs="Calibri"/>
          <w:noProof/>
          <w:shd w:val="clear" w:color="auto" w:fill="FFFFFF"/>
        </w:rPr>
        <w:t> </w:t>
      </w:r>
      <w:r>
        <w:rPr>
          <w:noProof/>
          <w:shd w:val="clear" w:color="auto" w:fill="FFFFFF"/>
        </w:rPr>
        <w:t>December 2023.</w:t>
      </w:r>
    </w:p>
    <w:p w14:paraId="536B7B39" w14:textId="77777777" w:rsidR="009F2266" w:rsidRPr="00040D99" w:rsidRDefault="009F2266" w:rsidP="009F2266">
      <w:pPr>
        <w:pStyle w:val="ppoHeading6"/>
        <w:rPr>
          <w:noProof/>
        </w:rPr>
      </w:pPr>
      <w:r w:rsidRPr="00040D99">
        <w:rPr>
          <w:noProof/>
        </w:rPr>
        <w:t>Objectives</w:t>
      </w:r>
    </w:p>
    <w:p w14:paraId="5D6321B5" w14:textId="77777777" w:rsidR="009F2266" w:rsidRDefault="009F2266" w:rsidP="009F2266">
      <w:pPr>
        <w:rPr>
          <w:noProof/>
        </w:rPr>
      </w:pPr>
      <w:r>
        <w:rPr>
          <w:noProof/>
        </w:rPr>
        <w:t>The design of the BAR acknowledges the particular circumstances Member States face as a result of Brexit: it does not ask for advance programming or planning of measures and provides for flexibility in the implementation and in line with the subsidiarity principle.</w:t>
      </w:r>
    </w:p>
    <w:p w14:paraId="3F10FB17" w14:textId="77777777" w:rsidR="009F2266" w:rsidRPr="00040D99" w:rsidRDefault="009F2266" w:rsidP="009F2266">
      <w:pPr>
        <w:pStyle w:val="ppoHeading6"/>
        <w:rPr>
          <w:noProof/>
        </w:rPr>
      </w:pPr>
      <w:r w:rsidRPr="00040D99">
        <w:rPr>
          <w:noProof/>
        </w:rPr>
        <w:t>Actions</w:t>
      </w:r>
    </w:p>
    <w:p w14:paraId="097D6F22" w14:textId="77777777" w:rsidR="009F2266" w:rsidRDefault="009F2266" w:rsidP="009F2266">
      <w:pPr>
        <w:rPr>
          <w:noProof/>
          <w:color w:val="050505"/>
          <w:shd w:val="clear" w:color="auto" w:fill="FFFFFF"/>
        </w:rPr>
      </w:pPr>
      <w:r>
        <w:rPr>
          <w:noProof/>
        </w:rPr>
        <w:t xml:space="preserve">The regulation leaves it to Member States to decide which sectors, regions or communities are worst affected and require support. </w:t>
      </w:r>
      <w:r>
        <w:rPr>
          <w:noProof/>
          <w:color w:val="050505"/>
          <w:shd w:val="clear" w:color="auto" w:fill="FFFFFF"/>
        </w:rPr>
        <w:t>The regulation provides for a list of indicative measures to counter the adverse consequences of the United Kingdom’s withdrawal. This list is non-exhaustive to allow for a flexible use of funds according to the specific situation of the sectors, regions and local communities in Member States.</w:t>
      </w:r>
    </w:p>
    <w:p w14:paraId="2C1D33A9" w14:textId="77777777" w:rsidR="009F2266" w:rsidRDefault="009F2266" w:rsidP="009F2266">
      <w:pPr>
        <w:rPr>
          <w:noProof/>
        </w:rPr>
      </w:pPr>
      <w:r>
        <w:rPr>
          <w:noProof/>
        </w:rPr>
        <w:t>To be eligible, each Member State needs to demonstrate: (1) the adverse consequences of Brexit; (2) the direct link between the measures carried out and the negative consequences of Brexit; (3) the fulfilment of the eligibility criteria set out by the regulation.</w:t>
      </w:r>
    </w:p>
    <w:p w14:paraId="775398BB" w14:textId="77777777" w:rsidR="009F2266" w:rsidRPr="00040D99" w:rsidRDefault="009F2266" w:rsidP="009F2266">
      <w:pPr>
        <w:pStyle w:val="ppoHeading6"/>
        <w:rPr>
          <w:noProof/>
        </w:rPr>
      </w:pPr>
      <w:r w:rsidRPr="00040D99">
        <w:rPr>
          <w:noProof/>
        </w:rPr>
        <w:t>Delivery mode</w:t>
      </w:r>
    </w:p>
    <w:p w14:paraId="5D1742EE" w14:textId="77777777" w:rsidR="009F2266" w:rsidRDefault="009F2266" w:rsidP="009F2266">
      <w:pPr>
        <w:rPr>
          <w:noProof/>
        </w:rPr>
      </w:pPr>
      <w:r>
        <w:rPr>
          <w:noProof/>
        </w:rPr>
        <w:t>The BAR is implemented through shared management. In order to minimise the administrative burden, there are neither programming nor national co-financing requirements.</w:t>
      </w:r>
    </w:p>
    <w:p w14:paraId="606F8E2F" w14:textId="77777777" w:rsidR="009F2266" w:rsidRDefault="009F2266" w:rsidP="009F2266">
      <w:pPr>
        <w:rPr>
          <w:noProof/>
        </w:rPr>
      </w:pPr>
      <w:r w:rsidRPr="00D23FFC">
        <w:rPr>
          <w:noProof/>
        </w:rPr>
        <w:t>80% of the total BAR allocation will be paid in three tranches of pre-financing in 2021, 2022 and 2023, subject to having received complete notification by the Commission o</w:t>
      </w:r>
      <w:r w:rsidRPr="001F1CAD">
        <w:rPr>
          <w:noProof/>
        </w:rPr>
        <w:t>f</w:t>
      </w:r>
      <w:r w:rsidRPr="00D23FFC">
        <w:rPr>
          <w:noProof/>
        </w:rPr>
        <w:t xml:space="preserve"> the designated body or bodies</w:t>
      </w:r>
      <w:r>
        <w:rPr>
          <w:noProof/>
        </w:rPr>
        <w:t xml:space="preserve"> </w:t>
      </w:r>
      <w:r w:rsidRPr="00D23FFC">
        <w:rPr>
          <w:noProof/>
        </w:rPr>
        <w:t xml:space="preserve">to which the pre-financing shall be paid and confirmation </w:t>
      </w:r>
      <w:r w:rsidRPr="001F1CAD">
        <w:rPr>
          <w:noProof/>
        </w:rPr>
        <w:t>that</w:t>
      </w:r>
      <w:r w:rsidRPr="00D23FFC">
        <w:rPr>
          <w:noProof/>
        </w:rPr>
        <w:t xml:space="preserve"> the descriptions of the management and control systems have been drawn up.</w:t>
      </w:r>
      <w:r w:rsidRPr="6DAF0F58">
        <w:rPr>
          <w:noProof/>
        </w:rPr>
        <w:t xml:space="preserve"> </w:t>
      </w:r>
      <w:r>
        <w:rPr>
          <w:noProof/>
        </w:rPr>
        <w:t>The remaining amount will be paid in 2025 against the assessment of sufficient eligible expenditure.</w:t>
      </w:r>
    </w:p>
    <w:p w14:paraId="32AE863B" w14:textId="77777777" w:rsidR="009F2266" w:rsidRDefault="009F2266" w:rsidP="009F2266">
      <w:pPr>
        <w:rPr>
          <w:noProof/>
        </w:rPr>
      </w:pPr>
      <w:r>
        <w:rPr>
          <w:noProof/>
        </w:rPr>
        <w:t>The EU’s contribution shall take the form of reimbursement of eligible costs actually incurred and paid by public authorities in Member States, including payments to public or private entities, for measures carried out and for the benefit of the Member State concerned.</w:t>
      </w:r>
    </w:p>
    <w:p w14:paraId="6C604126" w14:textId="77777777" w:rsidR="009F2266" w:rsidRDefault="009F2266" w:rsidP="009F2266">
      <w:pPr>
        <w:rPr>
          <w:noProof/>
        </w:rPr>
      </w:pPr>
      <w:r>
        <w:rPr>
          <w:noProof/>
        </w:rPr>
        <w:t>Each Member State shall submit to the Commission an application for a financial contribution from the reserve by 30</w:t>
      </w:r>
      <w:r>
        <w:rPr>
          <w:rFonts w:ascii="Calibri" w:hAnsi="Calibri" w:cs="Calibri"/>
          <w:noProof/>
        </w:rPr>
        <w:t> </w:t>
      </w:r>
      <w:r>
        <w:rPr>
          <w:noProof/>
        </w:rPr>
        <w:t xml:space="preserve">September 2024. In this application, the Member States will, </w:t>
      </w:r>
      <w:r w:rsidRPr="00D23FFC">
        <w:rPr>
          <w:noProof/>
        </w:rPr>
        <w:t>inter alia</w:t>
      </w:r>
      <w:r>
        <w:rPr>
          <w:noProof/>
        </w:rPr>
        <w:t xml:space="preserve">, document their expenditure stemming from measures carried out with BAR support. </w:t>
      </w:r>
      <w:r w:rsidRPr="00EF758A">
        <w:rPr>
          <w:noProof/>
        </w:rPr>
        <w:t xml:space="preserve">Against this background, the Commission will assess and determine eligibility for </w:t>
      </w:r>
      <w:r w:rsidRPr="001F1CAD">
        <w:rPr>
          <w:noProof/>
        </w:rPr>
        <w:t xml:space="preserve">BAR funds, </w:t>
      </w:r>
      <w:r>
        <w:rPr>
          <w:noProof/>
        </w:rPr>
        <w:t xml:space="preserve">and </w:t>
      </w:r>
      <w:r w:rsidRPr="001F1CAD">
        <w:rPr>
          <w:noProof/>
        </w:rPr>
        <w:t xml:space="preserve">whether </w:t>
      </w:r>
      <w:r w:rsidRPr="00EF758A">
        <w:rPr>
          <w:noProof/>
        </w:rPr>
        <w:t xml:space="preserve">additional payments </w:t>
      </w:r>
      <w:r w:rsidRPr="001F1CAD">
        <w:rPr>
          <w:noProof/>
        </w:rPr>
        <w:t>need to be made or whether funds need to be recovered.</w:t>
      </w:r>
    </w:p>
    <w:p w14:paraId="43B04617" w14:textId="77777777" w:rsidR="009F2266" w:rsidRDefault="009F2266" w:rsidP="009F2266">
      <w:pPr>
        <w:rPr>
          <w:noProof/>
          <w:szCs w:val="24"/>
          <w:lang w:val="en-IE" w:eastAsia="en-IE"/>
        </w:rPr>
      </w:pPr>
      <w:r>
        <w:rPr>
          <w:noProof/>
        </w:rPr>
        <w:t>The Directorate-General for Regional and Urban Policy is the lead DG for the BAR implementation.</w:t>
      </w:r>
    </w:p>
    <w:p w14:paraId="5C7DC0C9" w14:textId="77777777" w:rsidR="009F2266" w:rsidRPr="00040D99" w:rsidRDefault="009F2266" w:rsidP="009F2266">
      <w:pPr>
        <w:pStyle w:val="ppoHeading6"/>
        <w:rPr>
          <w:noProof/>
        </w:rPr>
      </w:pPr>
      <w:r>
        <w:rPr>
          <w:noProof/>
        </w:rPr>
        <w:t>LINK TO THE 2014-2020 mULTIANNUAL FINANCIAL FRAMEWORK</w:t>
      </w:r>
    </w:p>
    <w:p w14:paraId="5F59D674" w14:textId="77777777" w:rsidR="009F2266" w:rsidRDefault="009F2266" w:rsidP="009F2266">
      <w:pPr>
        <w:rPr>
          <w:noProof/>
        </w:rPr>
      </w:pPr>
      <w:r>
        <w:rPr>
          <w:noProof/>
        </w:rPr>
        <w:t>The BAR is a new programme under the 2021-2027 multiannual financial framework. It addresses new types of challenges arising from Brexit.</w:t>
      </w:r>
    </w:p>
    <w:p w14:paraId="14850E83" w14:textId="77777777" w:rsidR="009F2266" w:rsidRPr="00040D99" w:rsidRDefault="009F2266" w:rsidP="009F2266">
      <w:pPr>
        <w:pStyle w:val="ppoHeading6"/>
        <w:rPr>
          <w:noProof/>
        </w:rPr>
      </w:pPr>
      <w:r w:rsidRPr="00040D99">
        <w:rPr>
          <w:noProof/>
        </w:rPr>
        <w:t>Impact assessment</w:t>
      </w:r>
    </w:p>
    <w:p w14:paraId="4F8A806B" w14:textId="77777777" w:rsidR="009F2266" w:rsidRDefault="009F2266" w:rsidP="009F2266">
      <w:pPr>
        <w:rPr>
          <w:noProof/>
        </w:rPr>
      </w:pPr>
      <w:r>
        <w:rPr>
          <w:noProof/>
        </w:rPr>
        <w:t>No impact assessment was carried out for the BAR.</w:t>
      </w:r>
    </w:p>
    <w:p w14:paraId="0F6D77FE" w14:textId="77777777" w:rsidR="009F2266" w:rsidRPr="00040D99" w:rsidRDefault="009F2266" w:rsidP="009F2266">
      <w:pPr>
        <w:pStyle w:val="ppoHeading6"/>
        <w:rPr>
          <w:noProof/>
        </w:rPr>
      </w:pPr>
      <w:r>
        <w:rPr>
          <w:noProof/>
        </w:rPr>
        <w:t>WEBSITE FOR more information</w:t>
      </w:r>
    </w:p>
    <w:p w14:paraId="75A10D0F" w14:textId="77777777" w:rsidR="009F2266" w:rsidRPr="00040D99" w:rsidRDefault="00E01E9B" w:rsidP="009F2266">
      <w:pPr>
        <w:rPr>
          <w:noProof/>
        </w:rPr>
      </w:pPr>
      <w:hyperlink r:id="rId667" w:history="1">
        <w:r w:rsidR="009F2266" w:rsidRPr="00452518">
          <w:rPr>
            <w:rStyle w:val="Hyperlink"/>
            <w:rFonts w:ascii="Calibri" w:hAnsi="Calibri" w:cs="Calibri"/>
            <w:noProof/>
          </w:rPr>
          <w:t>https://ec.europa.eu/regional_policy/en/funding/brexit-adjustment-reserve/</w:t>
        </w:r>
      </w:hyperlink>
    </w:p>
    <w:p w14:paraId="3E7EE4B9" w14:textId="77777777" w:rsidR="009F2266" w:rsidRPr="00040D99" w:rsidRDefault="009F2266" w:rsidP="009F2266">
      <w:pPr>
        <w:pStyle w:val="ppoHeading5"/>
        <w:rPr>
          <w:noProof/>
        </w:rPr>
      </w:pPr>
      <w:r w:rsidRPr="031503E5">
        <w:rPr>
          <w:rFonts w:eastAsiaTheme="minorEastAsia"/>
          <w:noProof/>
        </w:rPr>
        <w:t xml:space="preserve">Legal </w:t>
      </w:r>
      <w:r>
        <w:rPr>
          <w:rFonts w:eastAsiaTheme="minorEastAsia"/>
          <w:noProof/>
        </w:rPr>
        <w:t>b</w:t>
      </w:r>
      <w:r w:rsidRPr="031503E5">
        <w:rPr>
          <w:rFonts w:eastAsiaTheme="minorEastAsia"/>
          <w:noProof/>
        </w:rPr>
        <w:t>as</w:t>
      </w:r>
      <w:r>
        <w:rPr>
          <w:rFonts w:eastAsiaTheme="minorEastAsia"/>
          <w:noProof/>
        </w:rPr>
        <w:t>is</w:t>
      </w:r>
    </w:p>
    <w:p w14:paraId="251952D1" w14:textId="77777777" w:rsidR="009F2266" w:rsidRPr="00040D99" w:rsidRDefault="009F2266" w:rsidP="009F2266">
      <w:pPr>
        <w:rPr>
          <w:noProof/>
        </w:rPr>
      </w:pPr>
      <w:r w:rsidRPr="00040D99">
        <w:rPr>
          <w:noProof/>
        </w:rPr>
        <w:t>R</w:t>
      </w:r>
      <w:r>
        <w:rPr>
          <w:noProof/>
        </w:rPr>
        <w:t>egulation (EC</w:t>
      </w:r>
      <w:r w:rsidRPr="00040D99">
        <w:rPr>
          <w:noProof/>
        </w:rPr>
        <w:t>) No</w:t>
      </w:r>
      <w:r>
        <w:rPr>
          <w:rFonts w:ascii="Calibri" w:hAnsi="Calibri" w:cs="Calibri"/>
          <w:noProof/>
        </w:rPr>
        <w:t> </w:t>
      </w:r>
      <w:r>
        <w:rPr>
          <w:noProof/>
        </w:rPr>
        <w:t>2021/1755</w:t>
      </w:r>
      <w:r w:rsidRPr="00040D99">
        <w:rPr>
          <w:noProof/>
        </w:rPr>
        <w:t xml:space="preserve"> of the Council</w:t>
      </w:r>
      <w:r>
        <w:rPr>
          <w:noProof/>
        </w:rPr>
        <w:t>.</w:t>
      </w:r>
    </w:p>
    <w:p w14:paraId="578AEBF3" w14:textId="77777777" w:rsidR="009F2266" w:rsidRPr="00040D99" w:rsidRDefault="009F2266" w:rsidP="009F2266">
      <w:pPr>
        <w:pStyle w:val="ppoHeading4Turquoise"/>
        <w:rPr>
          <w:caps/>
          <w:noProof/>
        </w:rPr>
      </w:pPr>
      <w:r w:rsidRPr="00040D99">
        <w:rPr>
          <w:noProof/>
        </w:rPr>
        <w:t>Implementation and performance</w:t>
      </w:r>
    </w:p>
    <w:p w14:paraId="078AA2D2" w14:textId="77777777" w:rsidR="009F2266" w:rsidRPr="00040D99" w:rsidRDefault="009F2266" w:rsidP="009F2266">
      <w:pPr>
        <w:pStyle w:val="ppoHeading5"/>
        <w:rPr>
          <w:noProof/>
        </w:rPr>
      </w:pPr>
      <w:r w:rsidRPr="00040D99">
        <w:rPr>
          <w:noProof/>
        </w:rPr>
        <w:t>Budget</w:t>
      </w:r>
    </w:p>
    <w:p w14:paraId="6C950816" w14:textId="77777777" w:rsidR="009F2266" w:rsidRPr="00040D99" w:rsidRDefault="009F2266" w:rsidP="009F2266">
      <w:pPr>
        <w:pStyle w:val="ppoTableTabletitle"/>
        <w:rPr>
          <w:noProof/>
        </w:rPr>
      </w:pPr>
      <w:r w:rsidRPr="00807AC3">
        <w:rPr>
          <w:noProof/>
        </w:rPr>
        <w:t>Budget programming</w:t>
      </w:r>
      <w:r>
        <w:rPr>
          <w:noProof/>
        </w:rPr>
        <w:t xml:space="preserve"> (million</w:t>
      </w:r>
      <w:r w:rsidRPr="00312866">
        <w:rPr>
          <w:noProof/>
        </w:rPr>
        <w:t xml:space="preserve"> </w:t>
      </w:r>
      <w:r>
        <w:rPr>
          <w:noProof/>
        </w:rPr>
        <w:t>EUR):</w:t>
      </w:r>
    </w:p>
    <w:tbl>
      <w:tblPr>
        <w:tblStyle w:val="PPO2021"/>
        <w:tblW w:w="9639" w:type="dxa"/>
        <w:tblInd w:w="0" w:type="dxa"/>
        <w:tblLayout w:type="fixed"/>
        <w:tblLook w:val="0420" w:firstRow="1" w:lastRow="0" w:firstColumn="0" w:lastColumn="0" w:noHBand="0" w:noVBand="1"/>
      </w:tblPr>
      <w:tblGrid>
        <w:gridCol w:w="2090"/>
        <w:gridCol w:w="943"/>
        <w:gridCol w:w="944"/>
        <w:gridCol w:w="943"/>
        <w:gridCol w:w="944"/>
        <w:gridCol w:w="944"/>
        <w:gridCol w:w="943"/>
        <w:gridCol w:w="944"/>
        <w:gridCol w:w="944"/>
      </w:tblGrid>
      <w:tr w:rsidR="009F2266" w:rsidRPr="00040D99" w14:paraId="23FEE3E3" w14:textId="77777777" w:rsidTr="005D691E">
        <w:trPr>
          <w:cnfStyle w:val="100000000000" w:firstRow="1" w:lastRow="0" w:firstColumn="0" w:lastColumn="0" w:oddVBand="0" w:evenVBand="0" w:oddHBand="0" w:evenHBand="0" w:firstRowFirstColumn="0" w:firstRowLastColumn="0" w:lastRowFirstColumn="0" w:lastRowLastColumn="0"/>
          <w:trHeight w:val="290"/>
          <w:tblHeader/>
        </w:trPr>
        <w:tc>
          <w:tcPr>
            <w:tcW w:w="2090" w:type="dxa"/>
            <w:noWrap/>
            <w:hideMark/>
          </w:tcPr>
          <w:p w14:paraId="2C641DDE" w14:textId="77777777" w:rsidR="009F2266" w:rsidRPr="00807AC3" w:rsidRDefault="009F2266" w:rsidP="005D691E">
            <w:pPr>
              <w:rPr>
                <w:noProof/>
              </w:rPr>
            </w:pPr>
          </w:p>
        </w:tc>
        <w:tc>
          <w:tcPr>
            <w:tcW w:w="943" w:type="dxa"/>
            <w:noWrap/>
            <w:hideMark/>
          </w:tcPr>
          <w:p w14:paraId="17DA9A74" w14:textId="77777777" w:rsidR="009F2266" w:rsidRPr="00807AC3" w:rsidRDefault="009F2266" w:rsidP="005D691E">
            <w:pPr>
              <w:rPr>
                <w:noProof/>
              </w:rPr>
            </w:pPr>
            <w:r w:rsidRPr="00807AC3">
              <w:rPr>
                <w:noProof/>
              </w:rPr>
              <w:t>2021</w:t>
            </w:r>
          </w:p>
        </w:tc>
        <w:tc>
          <w:tcPr>
            <w:tcW w:w="944" w:type="dxa"/>
            <w:noWrap/>
            <w:hideMark/>
          </w:tcPr>
          <w:p w14:paraId="38640E96" w14:textId="77777777" w:rsidR="009F2266" w:rsidRPr="00807AC3" w:rsidRDefault="009F2266" w:rsidP="005D691E">
            <w:pPr>
              <w:rPr>
                <w:noProof/>
              </w:rPr>
            </w:pPr>
            <w:r w:rsidRPr="00807AC3">
              <w:rPr>
                <w:noProof/>
              </w:rPr>
              <w:t>2022</w:t>
            </w:r>
          </w:p>
        </w:tc>
        <w:tc>
          <w:tcPr>
            <w:tcW w:w="943" w:type="dxa"/>
            <w:noWrap/>
            <w:hideMark/>
          </w:tcPr>
          <w:p w14:paraId="71905E0A" w14:textId="77777777" w:rsidR="009F2266" w:rsidRPr="00807AC3" w:rsidRDefault="009F2266" w:rsidP="005D691E">
            <w:pPr>
              <w:rPr>
                <w:noProof/>
              </w:rPr>
            </w:pPr>
            <w:r w:rsidRPr="00807AC3">
              <w:rPr>
                <w:noProof/>
              </w:rPr>
              <w:t>2023</w:t>
            </w:r>
          </w:p>
        </w:tc>
        <w:tc>
          <w:tcPr>
            <w:tcW w:w="944" w:type="dxa"/>
            <w:noWrap/>
            <w:hideMark/>
          </w:tcPr>
          <w:p w14:paraId="4A74A5C3" w14:textId="77777777" w:rsidR="009F2266" w:rsidRPr="00807AC3" w:rsidRDefault="009F2266" w:rsidP="005D691E">
            <w:pPr>
              <w:rPr>
                <w:noProof/>
              </w:rPr>
            </w:pPr>
            <w:r w:rsidRPr="00807AC3">
              <w:rPr>
                <w:noProof/>
              </w:rPr>
              <w:t>2024</w:t>
            </w:r>
          </w:p>
        </w:tc>
        <w:tc>
          <w:tcPr>
            <w:tcW w:w="944" w:type="dxa"/>
            <w:noWrap/>
            <w:hideMark/>
          </w:tcPr>
          <w:p w14:paraId="7807F4B1" w14:textId="77777777" w:rsidR="009F2266" w:rsidRPr="00807AC3" w:rsidRDefault="009F2266" w:rsidP="005D691E">
            <w:pPr>
              <w:rPr>
                <w:noProof/>
              </w:rPr>
            </w:pPr>
            <w:r w:rsidRPr="00807AC3">
              <w:rPr>
                <w:noProof/>
              </w:rPr>
              <w:t>2025</w:t>
            </w:r>
          </w:p>
        </w:tc>
        <w:tc>
          <w:tcPr>
            <w:tcW w:w="943" w:type="dxa"/>
            <w:noWrap/>
            <w:hideMark/>
          </w:tcPr>
          <w:p w14:paraId="644315BF" w14:textId="77777777" w:rsidR="009F2266" w:rsidRPr="00807AC3" w:rsidRDefault="009F2266" w:rsidP="005D691E">
            <w:pPr>
              <w:rPr>
                <w:noProof/>
              </w:rPr>
            </w:pPr>
            <w:r w:rsidRPr="00807AC3">
              <w:rPr>
                <w:noProof/>
              </w:rPr>
              <w:t>2026</w:t>
            </w:r>
          </w:p>
        </w:tc>
        <w:tc>
          <w:tcPr>
            <w:tcW w:w="944" w:type="dxa"/>
            <w:noWrap/>
            <w:hideMark/>
          </w:tcPr>
          <w:p w14:paraId="7CA62C81" w14:textId="77777777" w:rsidR="009F2266" w:rsidRPr="00807AC3" w:rsidRDefault="009F2266" w:rsidP="005D691E">
            <w:pPr>
              <w:rPr>
                <w:noProof/>
              </w:rPr>
            </w:pPr>
            <w:r w:rsidRPr="00807AC3">
              <w:rPr>
                <w:noProof/>
              </w:rPr>
              <w:t>2027</w:t>
            </w:r>
          </w:p>
        </w:tc>
        <w:tc>
          <w:tcPr>
            <w:tcW w:w="944" w:type="dxa"/>
            <w:noWrap/>
            <w:hideMark/>
          </w:tcPr>
          <w:p w14:paraId="0E065531" w14:textId="77777777" w:rsidR="009F2266" w:rsidRPr="00807AC3" w:rsidRDefault="009F2266" w:rsidP="005D691E">
            <w:pPr>
              <w:rPr>
                <w:noProof/>
              </w:rPr>
            </w:pPr>
            <w:r w:rsidRPr="00807AC3">
              <w:rPr>
                <w:noProof/>
              </w:rPr>
              <w:t>Total</w:t>
            </w:r>
          </w:p>
        </w:tc>
      </w:tr>
      <w:tr w:rsidR="009F2266" w:rsidRPr="00040D99" w14:paraId="1568815D" w14:textId="77777777" w:rsidTr="005D691E">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04793FF4" w14:textId="77777777" w:rsidR="009F2266" w:rsidRPr="00807AC3" w:rsidRDefault="009F2266" w:rsidP="005D691E">
            <w:pPr>
              <w:rPr>
                <w:noProof/>
              </w:rPr>
            </w:pPr>
            <w:r>
              <w:rPr>
                <w:noProof/>
              </w:rPr>
              <w:t>Financial programming</w:t>
            </w:r>
          </w:p>
        </w:tc>
        <w:tc>
          <w:tcPr>
            <w:tcW w:w="943" w:type="dxa"/>
            <w:noWrap/>
            <w:hideMark/>
          </w:tcPr>
          <w:p w14:paraId="3A9727DE" w14:textId="77777777" w:rsidR="009F2266" w:rsidRPr="00807AC3" w:rsidRDefault="009F2266" w:rsidP="005D691E">
            <w:pPr>
              <w:jc w:val="center"/>
              <w:rPr>
                <w:noProof/>
              </w:rPr>
            </w:pPr>
            <w:r w:rsidRPr="00726F60">
              <w:rPr>
                <w:noProof/>
              </w:rPr>
              <w:t>1</w:t>
            </w:r>
            <w:r>
              <w:rPr>
                <w:rFonts w:ascii="Calibri" w:hAnsi="Calibri" w:cs="Calibri"/>
                <w:noProof/>
              </w:rPr>
              <w:t> </w:t>
            </w:r>
            <w:r w:rsidRPr="00726F60">
              <w:rPr>
                <w:noProof/>
              </w:rPr>
              <w:t>697</w:t>
            </w:r>
            <w:r w:rsidRPr="3CA8A110">
              <w:rPr>
                <w:noProof/>
              </w:rPr>
              <w:t>.</w:t>
            </w:r>
            <w:r w:rsidRPr="00726F60">
              <w:rPr>
                <w:noProof/>
              </w:rPr>
              <w:t>9</w:t>
            </w:r>
          </w:p>
        </w:tc>
        <w:tc>
          <w:tcPr>
            <w:tcW w:w="944" w:type="dxa"/>
            <w:noWrap/>
            <w:hideMark/>
          </w:tcPr>
          <w:p w14:paraId="53E13A47" w14:textId="77777777" w:rsidR="009F2266" w:rsidRPr="00807AC3" w:rsidRDefault="009F2266" w:rsidP="005D691E">
            <w:pPr>
              <w:jc w:val="center"/>
              <w:rPr>
                <w:noProof/>
              </w:rPr>
            </w:pPr>
            <w:r w:rsidRPr="00726F60">
              <w:rPr>
                <w:noProof/>
              </w:rPr>
              <w:t>1</w:t>
            </w:r>
            <w:r>
              <w:rPr>
                <w:rFonts w:ascii="Calibri" w:hAnsi="Calibri" w:cs="Calibri"/>
                <w:noProof/>
              </w:rPr>
              <w:t> </w:t>
            </w:r>
            <w:r w:rsidRPr="00726F60">
              <w:rPr>
                <w:noProof/>
              </w:rPr>
              <w:t>298</w:t>
            </w:r>
            <w:r w:rsidRPr="3CA8A110">
              <w:rPr>
                <w:noProof/>
              </w:rPr>
              <w:t>.</w:t>
            </w:r>
            <w:r w:rsidRPr="00726F60">
              <w:rPr>
                <w:noProof/>
              </w:rPr>
              <w:t>9</w:t>
            </w:r>
          </w:p>
        </w:tc>
        <w:tc>
          <w:tcPr>
            <w:tcW w:w="943" w:type="dxa"/>
            <w:noWrap/>
            <w:hideMark/>
          </w:tcPr>
          <w:p w14:paraId="02858C57" w14:textId="77777777" w:rsidR="009F2266" w:rsidRPr="00807AC3" w:rsidRDefault="009F2266" w:rsidP="005D691E">
            <w:pPr>
              <w:jc w:val="center"/>
              <w:rPr>
                <w:noProof/>
              </w:rPr>
            </w:pPr>
            <w:r w:rsidRPr="00726F60">
              <w:rPr>
                <w:noProof/>
              </w:rPr>
              <w:t>1</w:t>
            </w:r>
            <w:r>
              <w:rPr>
                <w:rFonts w:ascii="Calibri" w:hAnsi="Calibri" w:cs="Calibri"/>
                <w:noProof/>
              </w:rPr>
              <w:t> </w:t>
            </w:r>
            <w:r w:rsidRPr="00726F60">
              <w:rPr>
                <w:noProof/>
              </w:rPr>
              <w:t>324</w:t>
            </w:r>
            <w:r w:rsidRPr="3CA8A110">
              <w:rPr>
                <w:noProof/>
              </w:rPr>
              <w:t>.</w:t>
            </w:r>
            <w:r w:rsidRPr="00726F60">
              <w:rPr>
                <w:noProof/>
              </w:rPr>
              <w:t>9</w:t>
            </w:r>
          </w:p>
        </w:tc>
        <w:tc>
          <w:tcPr>
            <w:tcW w:w="944" w:type="dxa"/>
            <w:noWrap/>
            <w:hideMark/>
          </w:tcPr>
          <w:p w14:paraId="58659136" w14:textId="77777777" w:rsidR="009F2266" w:rsidRPr="00807AC3" w:rsidRDefault="009F2266" w:rsidP="005D691E">
            <w:pPr>
              <w:jc w:val="center"/>
              <w:rPr>
                <w:noProof/>
              </w:rPr>
            </w:pPr>
            <w:r>
              <w:rPr>
                <w:noProof/>
              </w:rPr>
              <w:t>0.0</w:t>
            </w:r>
          </w:p>
        </w:tc>
        <w:tc>
          <w:tcPr>
            <w:tcW w:w="944" w:type="dxa"/>
            <w:noWrap/>
            <w:hideMark/>
          </w:tcPr>
          <w:p w14:paraId="4B80B9E2" w14:textId="77777777" w:rsidR="009F2266" w:rsidRPr="00807AC3" w:rsidRDefault="009F2266" w:rsidP="005D691E">
            <w:pPr>
              <w:jc w:val="center"/>
              <w:rPr>
                <w:noProof/>
              </w:rPr>
            </w:pPr>
            <w:r w:rsidRPr="001B255C">
              <w:rPr>
                <w:rFonts w:eastAsia="EC Square Sans Pro" w:cs="EC Square Sans Pro"/>
                <w:noProof/>
                <w:color w:val="000000" w:themeColor="text1" w:themeShade="7F"/>
              </w:rPr>
              <w:t>1</w:t>
            </w:r>
            <w:r>
              <w:rPr>
                <w:rFonts w:ascii="Calibri" w:eastAsia="EC Square Sans Pro" w:hAnsi="Calibri" w:cs="Calibri"/>
                <w:noProof/>
                <w:color w:val="000000" w:themeColor="text1" w:themeShade="7F"/>
              </w:rPr>
              <w:t> </w:t>
            </w:r>
            <w:r w:rsidRPr="001B255C">
              <w:rPr>
                <w:rFonts w:eastAsia="EC Square Sans Pro" w:cs="EC Square Sans Pro"/>
                <w:noProof/>
                <w:color w:val="000000" w:themeColor="text1" w:themeShade="7F"/>
              </w:rPr>
              <w:t>148.7</w:t>
            </w:r>
          </w:p>
          <w:p w14:paraId="2467E7D9" w14:textId="77777777" w:rsidR="009F2266" w:rsidRPr="00807AC3" w:rsidRDefault="009F2266" w:rsidP="005D691E">
            <w:pPr>
              <w:jc w:val="center"/>
              <w:rPr>
                <w:noProof/>
              </w:rPr>
            </w:pPr>
          </w:p>
        </w:tc>
        <w:tc>
          <w:tcPr>
            <w:tcW w:w="943" w:type="dxa"/>
            <w:noWrap/>
            <w:hideMark/>
          </w:tcPr>
          <w:p w14:paraId="41363404" w14:textId="77777777" w:rsidR="009F2266" w:rsidRPr="00807AC3" w:rsidRDefault="009F2266" w:rsidP="005D691E">
            <w:pPr>
              <w:jc w:val="center"/>
              <w:rPr>
                <w:noProof/>
              </w:rPr>
            </w:pPr>
          </w:p>
        </w:tc>
        <w:tc>
          <w:tcPr>
            <w:tcW w:w="944" w:type="dxa"/>
            <w:noWrap/>
            <w:hideMark/>
          </w:tcPr>
          <w:p w14:paraId="57766288" w14:textId="77777777" w:rsidR="009F2266" w:rsidRPr="00807AC3" w:rsidRDefault="009F2266" w:rsidP="005D691E">
            <w:pPr>
              <w:jc w:val="center"/>
              <w:rPr>
                <w:noProof/>
              </w:rPr>
            </w:pPr>
          </w:p>
        </w:tc>
        <w:tc>
          <w:tcPr>
            <w:tcW w:w="944" w:type="dxa"/>
            <w:noWrap/>
            <w:hideMark/>
          </w:tcPr>
          <w:p w14:paraId="73AED684" w14:textId="77777777" w:rsidR="009F2266" w:rsidRPr="00807AC3" w:rsidRDefault="009F2266" w:rsidP="005D691E">
            <w:pPr>
              <w:jc w:val="center"/>
              <w:rPr>
                <w:noProof/>
              </w:rPr>
            </w:pPr>
            <w:r>
              <w:rPr>
                <w:noProof/>
              </w:rPr>
              <w:t>5</w:t>
            </w:r>
            <w:r>
              <w:rPr>
                <w:rFonts w:ascii="Calibri" w:hAnsi="Calibri" w:cs="Calibri"/>
                <w:noProof/>
              </w:rPr>
              <w:t> </w:t>
            </w:r>
            <w:r>
              <w:rPr>
                <w:noProof/>
              </w:rPr>
              <w:t>470.4</w:t>
            </w:r>
          </w:p>
        </w:tc>
      </w:tr>
      <w:tr w:rsidR="009F2266" w:rsidRPr="00040D99" w14:paraId="729FD553" w14:textId="77777777" w:rsidTr="005D691E">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6537868E" w14:textId="77777777" w:rsidR="009F2266" w:rsidRPr="00807AC3" w:rsidRDefault="009F2266" w:rsidP="005D691E">
            <w:pPr>
              <w:rPr>
                <w:noProof/>
              </w:rPr>
            </w:pPr>
            <w:r w:rsidRPr="00807AC3">
              <w:rPr>
                <w:noProof/>
              </w:rPr>
              <w:t>NextGenerationEU</w:t>
            </w:r>
          </w:p>
        </w:tc>
        <w:tc>
          <w:tcPr>
            <w:tcW w:w="943" w:type="dxa"/>
            <w:noWrap/>
            <w:hideMark/>
          </w:tcPr>
          <w:p w14:paraId="1E31D127" w14:textId="77777777" w:rsidR="009F2266" w:rsidRPr="00807AC3" w:rsidRDefault="009F2266" w:rsidP="005D691E">
            <w:pPr>
              <w:jc w:val="center"/>
              <w:rPr>
                <w:noProof/>
              </w:rPr>
            </w:pPr>
          </w:p>
        </w:tc>
        <w:tc>
          <w:tcPr>
            <w:tcW w:w="944" w:type="dxa"/>
            <w:noWrap/>
            <w:hideMark/>
          </w:tcPr>
          <w:p w14:paraId="7831774B" w14:textId="77777777" w:rsidR="009F2266" w:rsidRPr="00807AC3" w:rsidRDefault="009F2266" w:rsidP="005D691E">
            <w:pPr>
              <w:jc w:val="center"/>
              <w:rPr>
                <w:noProof/>
              </w:rPr>
            </w:pPr>
          </w:p>
        </w:tc>
        <w:tc>
          <w:tcPr>
            <w:tcW w:w="943" w:type="dxa"/>
            <w:noWrap/>
            <w:hideMark/>
          </w:tcPr>
          <w:p w14:paraId="1CBA65F2" w14:textId="77777777" w:rsidR="009F2266" w:rsidRPr="00807AC3" w:rsidRDefault="009F2266" w:rsidP="005D691E">
            <w:pPr>
              <w:jc w:val="center"/>
              <w:rPr>
                <w:noProof/>
              </w:rPr>
            </w:pPr>
          </w:p>
        </w:tc>
        <w:tc>
          <w:tcPr>
            <w:tcW w:w="944" w:type="dxa"/>
            <w:noWrap/>
            <w:hideMark/>
          </w:tcPr>
          <w:p w14:paraId="35E5A565" w14:textId="77777777" w:rsidR="009F2266" w:rsidRPr="00807AC3" w:rsidRDefault="009F2266" w:rsidP="005D691E">
            <w:pPr>
              <w:jc w:val="center"/>
              <w:rPr>
                <w:noProof/>
              </w:rPr>
            </w:pPr>
          </w:p>
        </w:tc>
        <w:tc>
          <w:tcPr>
            <w:tcW w:w="944" w:type="dxa"/>
            <w:noWrap/>
            <w:hideMark/>
          </w:tcPr>
          <w:p w14:paraId="4606DB2C" w14:textId="77777777" w:rsidR="009F2266" w:rsidRPr="00807AC3" w:rsidRDefault="009F2266" w:rsidP="005D691E">
            <w:pPr>
              <w:jc w:val="center"/>
              <w:rPr>
                <w:noProof/>
              </w:rPr>
            </w:pPr>
          </w:p>
        </w:tc>
        <w:tc>
          <w:tcPr>
            <w:tcW w:w="943" w:type="dxa"/>
            <w:noWrap/>
            <w:hideMark/>
          </w:tcPr>
          <w:p w14:paraId="10130BC4" w14:textId="77777777" w:rsidR="009F2266" w:rsidRPr="00807AC3" w:rsidRDefault="009F2266" w:rsidP="005D691E">
            <w:pPr>
              <w:jc w:val="center"/>
              <w:rPr>
                <w:noProof/>
              </w:rPr>
            </w:pPr>
          </w:p>
        </w:tc>
        <w:tc>
          <w:tcPr>
            <w:tcW w:w="944" w:type="dxa"/>
            <w:noWrap/>
            <w:hideMark/>
          </w:tcPr>
          <w:p w14:paraId="45B71D71" w14:textId="77777777" w:rsidR="009F2266" w:rsidRPr="00807AC3" w:rsidRDefault="009F2266" w:rsidP="005D691E">
            <w:pPr>
              <w:jc w:val="center"/>
              <w:rPr>
                <w:noProof/>
              </w:rPr>
            </w:pPr>
          </w:p>
        </w:tc>
        <w:tc>
          <w:tcPr>
            <w:tcW w:w="944" w:type="dxa"/>
            <w:noWrap/>
            <w:hideMark/>
          </w:tcPr>
          <w:p w14:paraId="1CF15D95" w14:textId="77777777" w:rsidR="009F2266" w:rsidRPr="00807AC3" w:rsidRDefault="009F2266" w:rsidP="005D691E">
            <w:pPr>
              <w:jc w:val="center"/>
              <w:rPr>
                <w:noProof/>
              </w:rPr>
            </w:pPr>
          </w:p>
        </w:tc>
      </w:tr>
      <w:tr w:rsidR="009F2266" w:rsidRPr="00040D99" w14:paraId="287B008B" w14:textId="77777777" w:rsidTr="005D691E">
        <w:trPr>
          <w:cnfStyle w:val="000000100000" w:firstRow="0" w:lastRow="0" w:firstColumn="0" w:lastColumn="0" w:oddVBand="0" w:evenVBand="0" w:oddHBand="1" w:evenHBand="0" w:firstRowFirstColumn="0" w:firstRowLastColumn="0" w:lastRowFirstColumn="0" w:lastRowLastColumn="0"/>
          <w:trHeight w:val="290"/>
        </w:trPr>
        <w:tc>
          <w:tcPr>
            <w:tcW w:w="2090" w:type="dxa"/>
            <w:noWrap/>
            <w:hideMark/>
          </w:tcPr>
          <w:p w14:paraId="78C7B3D4" w14:textId="77777777" w:rsidR="009F2266" w:rsidRPr="00807AC3" w:rsidRDefault="009F2266" w:rsidP="005D691E">
            <w:pPr>
              <w:rPr>
                <w:noProof/>
              </w:rPr>
            </w:pPr>
            <w:r w:rsidRPr="00807AC3">
              <w:rPr>
                <w:noProof/>
              </w:rPr>
              <w:t>Decommitments made available again</w:t>
            </w:r>
            <w:r>
              <w:rPr>
                <w:rFonts w:ascii="Calibri" w:hAnsi="Calibri" w:cs="Calibri"/>
                <w:noProof/>
              </w:rPr>
              <w:t> (</w:t>
            </w:r>
            <w:r w:rsidRPr="3CA8A110">
              <w:rPr>
                <w:noProof/>
              </w:rPr>
              <w:t>*</w:t>
            </w:r>
            <w:r>
              <w:rPr>
                <w:noProof/>
              </w:rPr>
              <w:t>)</w:t>
            </w:r>
          </w:p>
        </w:tc>
        <w:tc>
          <w:tcPr>
            <w:tcW w:w="943" w:type="dxa"/>
            <w:noWrap/>
            <w:hideMark/>
          </w:tcPr>
          <w:p w14:paraId="204AD4C3" w14:textId="77777777" w:rsidR="009F2266" w:rsidRPr="00807AC3" w:rsidRDefault="009F2266" w:rsidP="005D691E">
            <w:pPr>
              <w:jc w:val="center"/>
              <w:rPr>
                <w:noProof/>
              </w:rPr>
            </w:pPr>
            <w:r>
              <w:rPr>
                <w:noProof/>
              </w:rPr>
              <w:t>N/A</w:t>
            </w:r>
          </w:p>
        </w:tc>
        <w:tc>
          <w:tcPr>
            <w:tcW w:w="944" w:type="dxa"/>
            <w:noWrap/>
            <w:hideMark/>
          </w:tcPr>
          <w:p w14:paraId="71D10358" w14:textId="77777777" w:rsidR="009F2266" w:rsidRPr="00807AC3" w:rsidRDefault="009F2266" w:rsidP="005D691E">
            <w:pPr>
              <w:jc w:val="center"/>
              <w:rPr>
                <w:noProof/>
              </w:rPr>
            </w:pPr>
          </w:p>
        </w:tc>
        <w:tc>
          <w:tcPr>
            <w:tcW w:w="943" w:type="dxa"/>
            <w:noWrap/>
            <w:hideMark/>
          </w:tcPr>
          <w:p w14:paraId="7A7A443F" w14:textId="77777777" w:rsidR="009F2266" w:rsidRPr="00807AC3" w:rsidRDefault="009F2266" w:rsidP="005D691E">
            <w:pPr>
              <w:jc w:val="center"/>
              <w:rPr>
                <w:noProof/>
              </w:rPr>
            </w:pPr>
          </w:p>
        </w:tc>
        <w:tc>
          <w:tcPr>
            <w:tcW w:w="944" w:type="dxa"/>
            <w:noWrap/>
            <w:hideMark/>
          </w:tcPr>
          <w:p w14:paraId="3F9919B3" w14:textId="77777777" w:rsidR="009F2266" w:rsidRPr="00807AC3" w:rsidRDefault="009F2266" w:rsidP="005D691E">
            <w:pPr>
              <w:jc w:val="center"/>
              <w:rPr>
                <w:noProof/>
              </w:rPr>
            </w:pPr>
          </w:p>
        </w:tc>
        <w:tc>
          <w:tcPr>
            <w:tcW w:w="944" w:type="dxa"/>
            <w:noWrap/>
            <w:hideMark/>
          </w:tcPr>
          <w:p w14:paraId="6F7BC8C2" w14:textId="77777777" w:rsidR="009F2266" w:rsidRPr="00807AC3" w:rsidRDefault="009F2266" w:rsidP="005D691E">
            <w:pPr>
              <w:jc w:val="center"/>
              <w:rPr>
                <w:noProof/>
              </w:rPr>
            </w:pPr>
          </w:p>
        </w:tc>
        <w:tc>
          <w:tcPr>
            <w:tcW w:w="943" w:type="dxa"/>
            <w:noWrap/>
            <w:hideMark/>
          </w:tcPr>
          <w:p w14:paraId="7AD1A76B" w14:textId="77777777" w:rsidR="009F2266" w:rsidRPr="00807AC3" w:rsidRDefault="009F2266" w:rsidP="005D691E">
            <w:pPr>
              <w:jc w:val="center"/>
              <w:rPr>
                <w:noProof/>
              </w:rPr>
            </w:pPr>
          </w:p>
        </w:tc>
        <w:tc>
          <w:tcPr>
            <w:tcW w:w="944" w:type="dxa"/>
            <w:noWrap/>
            <w:hideMark/>
          </w:tcPr>
          <w:p w14:paraId="5810B845" w14:textId="77777777" w:rsidR="009F2266" w:rsidRPr="00807AC3" w:rsidRDefault="009F2266" w:rsidP="005D691E">
            <w:pPr>
              <w:jc w:val="center"/>
              <w:rPr>
                <w:noProof/>
              </w:rPr>
            </w:pPr>
          </w:p>
        </w:tc>
        <w:tc>
          <w:tcPr>
            <w:tcW w:w="944" w:type="dxa"/>
            <w:noWrap/>
            <w:hideMark/>
          </w:tcPr>
          <w:p w14:paraId="147A0769" w14:textId="77777777" w:rsidR="009F2266" w:rsidRPr="00807AC3" w:rsidRDefault="009F2266" w:rsidP="005D691E">
            <w:pPr>
              <w:jc w:val="center"/>
              <w:rPr>
                <w:noProof/>
              </w:rPr>
            </w:pPr>
            <w:r>
              <w:rPr>
                <w:noProof/>
              </w:rPr>
              <w:t>N/A</w:t>
            </w:r>
          </w:p>
        </w:tc>
      </w:tr>
      <w:tr w:rsidR="009F2266" w:rsidRPr="00040D99" w14:paraId="317FE46E" w14:textId="77777777" w:rsidTr="005D691E">
        <w:trPr>
          <w:cnfStyle w:val="000000010000" w:firstRow="0" w:lastRow="0" w:firstColumn="0" w:lastColumn="0" w:oddVBand="0" w:evenVBand="0" w:oddHBand="0" w:evenHBand="1" w:firstRowFirstColumn="0" w:firstRowLastColumn="0" w:lastRowFirstColumn="0" w:lastRowLastColumn="0"/>
          <w:trHeight w:val="290"/>
        </w:trPr>
        <w:tc>
          <w:tcPr>
            <w:tcW w:w="2090" w:type="dxa"/>
            <w:noWrap/>
            <w:hideMark/>
          </w:tcPr>
          <w:p w14:paraId="11D08D38" w14:textId="77777777" w:rsidR="009F2266" w:rsidRPr="00807AC3" w:rsidRDefault="009F2266" w:rsidP="005D691E">
            <w:pPr>
              <w:rPr>
                <w:noProof/>
              </w:rPr>
            </w:pPr>
            <w:r w:rsidRPr="00807AC3">
              <w:rPr>
                <w:noProof/>
              </w:rPr>
              <w:t>Contributions from other countries and entities</w:t>
            </w:r>
          </w:p>
        </w:tc>
        <w:tc>
          <w:tcPr>
            <w:tcW w:w="943" w:type="dxa"/>
            <w:noWrap/>
            <w:hideMark/>
          </w:tcPr>
          <w:p w14:paraId="08C66414" w14:textId="77777777" w:rsidR="009F2266" w:rsidRPr="00807AC3" w:rsidRDefault="009F2266" w:rsidP="005D691E">
            <w:pPr>
              <w:jc w:val="center"/>
              <w:rPr>
                <w:noProof/>
              </w:rPr>
            </w:pPr>
          </w:p>
        </w:tc>
        <w:tc>
          <w:tcPr>
            <w:tcW w:w="944" w:type="dxa"/>
            <w:noWrap/>
            <w:hideMark/>
          </w:tcPr>
          <w:p w14:paraId="3DFA18B9" w14:textId="77777777" w:rsidR="009F2266" w:rsidRPr="00807AC3" w:rsidRDefault="009F2266" w:rsidP="005D691E">
            <w:pPr>
              <w:jc w:val="center"/>
              <w:rPr>
                <w:noProof/>
              </w:rPr>
            </w:pPr>
          </w:p>
        </w:tc>
        <w:tc>
          <w:tcPr>
            <w:tcW w:w="943" w:type="dxa"/>
            <w:noWrap/>
            <w:hideMark/>
          </w:tcPr>
          <w:p w14:paraId="3E9359A8" w14:textId="77777777" w:rsidR="009F2266" w:rsidRPr="00807AC3" w:rsidRDefault="009F2266" w:rsidP="005D691E">
            <w:pPr>
              <w:jc w:val="center"/>
              <w:rPr>
                <w:noProof/>
              </w:rPr>
            </w:pPr>
          </w:p>
        </w:tc>
        <w:tc>
          <w:tcPr>
            <w:tcW w:w="944" w:type="dxa"/>
            <w:noWrap/>
            <w:hideMark/>
          </w:tcPr>
          <w:p w14:paraId="35E363D0" w14:textId="77777777" w:rsidR="009F2266" w:rsidRPr="00807AC3" w:rsidRDefault="009F2266" w:rsidP="005D691E">
            <w:pPr>
              <w:jc w:val="center"/>
              <w:rPr>
                <w:noProof/>
              </w:rPr>
            </w:pPr>
          </w:p>
        </w:tc>
        <w:tc>
          <w:tcPr>
            <w:tcW w:w="944" w:type="dxa"/>
            <w:noWrap/>
            <w:hideMark/>
          </w:tcPr>
          <w:p w14:paraId="6F78FDF9" w14:textId="77777777" w:rsidR="009F2266" w:rsidRPr="00807AC3" w:rsidRDefault="009F2266" w:rsidP="005D691E">
            <w:pPr>
              <w:jc w:val="center"/>
              <w:rPr>
                <w:noProof/>
              </w:rPr>
            </w:pPr>
          </w:p>
        </w:tc>
        <w:tc>
          <w:tcPr>
            <w:tcW w:w="943" w:type="dxa"/>
            <w:noWrap/>
            <w:hideMark/>
          </w:tcPr>
          <w:p w14:paraId="0FB42A61" w14:textId="77777777" w:rsidR="009F2266" w:rsidRPr="00807AC3" w:rsidRDefault="009F2266" w:rsidP="005D691E">
            <w:pPr>
              <w:jc w:val="center"/>
              <w:rPr>
                <w:noProof/>
              </w:rPr>
            </w:pPr>
          </w:p>
        </w:tc>
        <w:tc>
          <w:tcPr>
            <w:tcW w:w="944" w:type="dxa"/>
            <w:noWrap/>
            <w:hideMark/>
          </w:tcPr>
          <w:p w14:paraId="0DCA7487" w14:textId="77777777" w:rsidR="009F2266" w:rsidRPr="00807AC3" w:rsidRDefault="009F2266" w:rsidP="005D691E">
            <w:pPr>
              <w:jc w:val="center"/>
              <w:rPr>
                <w:noProof/>
              </w:rPr>
            </w:pPr>
          </w:p>
        </w:tc>
        <w:tc>
          <w:tcPr>
            <w:tcW w:w="944" w:type="dxa"/>
            <w:noWrap/>
            <w:hideMark/>
          </w:tcPr>
          <w:p w14:paraId="2AE515BE" w14:textId="77777777" w:rsidR="009F2266" w:rsidRPr="00807AC3" w:rsidRDefault="009F2266" w:rsidP="005D691E">
            <w:pPr>
              <w:jc w:val="center"/>
              <w:rPr>
                <w:noProof/>
              </w:rPr>
            </w:pPr>
          </w:p>
        </w:tc>
      </w:tr>
    </w:tbl>
    <w:p w14:paraId="126B119A" w14:textId="77777777" w:rsidR="009F2266" w:rsidRPr="004E198F" w:rsidRDefault="009F2266" w:rsidP="009F2266">
      <w:pPr>
        <w:tabs>
          <w:tab w:val="left" w:pos="6793"/>
        </w:tabs>
        <w:rPr>
          <w:noProof/>
          <w:sz w:val="18"/>
          <w:szCs w:val="18"/>
          <w:lang w:val="en-IE"/>
        </w:rPr>
      </w:pPr>
      <w:r>
        <w:rPr>
          <w:noProof/>
          <w:sz w:val="18"/>
          <w:szCs w:val="18"/>
          <w:lang w:val="en-IE"/>
        </w:rPr>
        <w:t>(</w:t>
      </w:r>
      <w:r w:rsidRPr="004E198F">
        <w:rPr>
          <w:noProof/>
          <w:sz w:val="18"/>
          <w:szCs w:val="18"/>
          <w:lang w:val="en-IE"/>
        </w:rPr>
        <w:t>*</w:t>
      </w:r>
      <w:r>
        <w:rPr>
          <w:noProof/>
          <w:sz w:val="18"/>
          <w:szCs w:val="18"/>
          <w:lang w:val="en-IE"/>
        </w:rPr>
        <w:t>)</w:t>
      </w:r>
      <w:r w:rsidRPr="004E198F">
        <w:rPr>
          <w:noProof/>
          <w:sz w:val="18"/>
          <w:szCs w:val="18"/>
          <w:lang w:val="en-IE"/>
        </w:rPr>
        <w:t xml:space="preserve"> Only Art</w:t>
      </w:r>
      <w:r>
        <w:rPr>
          <w:noProof/>
          <w:sz w:val="18"/>
          <w:szCs w:val="18"/>
          <w:lang w:val="en-IE"/>
        </w:rPr>
        <w:t>icle</w:t>
      </w:r>
      <w:r>
        <w:rPr>
          <w:rFonts w:ascii="Calibri" w:hAnsi="Calibri" w:cs="Calibri"/>
          <w:noProof/>
          <w:sz w:val="18"/>
          <w:szCs w:val="18"/>
          <w:lang w:val="en-IE"/>
        </w:rPr>
        <w:t> </w:t>
      </w:r>
      <w:r w:rsidRPr="004E198F">
        <w:rPr>
          <w:noProof/>
          <w:sz w:val="18"/>
          <w:szCs w:val="18"/>
          <w:lang w:val="en-IE"/>
        </w:rPr>
        <w:t>15</w:t>
      </w:r>
      <w:r>
        <w:rPr>
          <w:noProof/>
          <w:sz w:val="18"/>
          <w:szCs w:val="18"/>
          <w:lang w:val="en-IE"/>
        </w:rPr>
        <w:t>(</w:t>
      </w:r>
      <w:r w:rsidRPr="004E198F">
        <w:rPr>
          <w:noProof/>
          <w:sz w:val="18"/>
          <w:szCs w:val="18"/>
          <w:lang w:val="en-IE"/>
        </w:rPr>
        <w:t>3</w:t>
      </w:r>
      <w:r>
        <w:rPr>
          <w:noProof/>
          <w:sz w:val="18"/>
          <w:szCs w:val="18"/>
          <w:lang w:val="en-IE"/>
        </w:rPr>
        <w:t>)</w:t>
      </w:r>
      <w:r w:rsidRPr="004E198F">
        <w:rPr>
          <w:noProof/>
          <w:sz w:val="18"/>
          <w:szCs w:val="18"/>
          <w:lang w:val="en-IE"/>
        </w:rPr>
        <w:t xml:space="preserve"> </w:t>
      </w:r>
      <w:r>
        <w:rPr>
          <w:noProof/>
          <w:sz w:val="18"/>
          <w:szCs w:val="18"/>
          <w:lang w:val="en-IE"/>
        </w:rPr>
        <w:t>of the f</w:t>
      </w:r>
      <w:r w:rsidRPr="004E198F">
        <w:rPr>
          <w:noProof/>
          <w:sz w:val="18"/>
          <w:szCs w:val="18"/>
          <w:lang w:val="en-IE"/>
        </w:rPr>
        <w:t xml:space="preserve">inancial </w:t>
      </w:r>
      <w:r>
        <w:rPr>
          <w:noProof/>
          <w:sz w:val="18"/>
          <w:szCs w:val="18"/>
          <w:lang w:val="en-IE"/>
        </w:rPr>
        <w:t>r</w:t>
      </w:r>
      <w:r w:rsidRPr="004E198F">
        <w:rPr>
          <w:noProof/>
          <w:sz w:val="18"/>
          <w:szCs w:val="18"/>
          <w:lang w:val="en-IE"/>
        </w:rPr>
        <w:t>egulation</w:t>
      </w:r>
      <w:r>
        <w:rPr>
          <w:noProof/>
          <w:sz w:val="18"/>
          <w:szCs w:val="18"/>
          <w:lang w:val="en-IE"/>
        </w:rPr>
        <w:t>.</w:t>
      </w:r>
    </w:p>
    <w:p w14:paraId="308EF8EB" w14:textId="77777777" w:rsidR="009F2266" w:rsidRPr="00040D99" w:rsidRDefault="009F2266" w:rsidP="009F2266">
      <w:pPr>
        <w:rPr>
          <w:noProof/>
        </w:rPr>
      </w:pPr>
    </w:p>
    <w:p w14:paraId="77F01D25" w14:textId="77777777" w:rsidR="009F2266" w:rsidRPr="001B255C" w:rsidRDefault="009F2266" w:rsidP="009F2266">
      <w:pPr>
        <w:pStyle w:val="ppoTableTabletitle"/>
        <w:rPr>
          <w:b/>
          <w:bCs/>
          <w:noProof/>
        </w:rPr>
      </w:pPr>
      <w:r w:rsidRPr="00040D99">
        <w:rPr>
          <w:noProof/>
        </w:rPr>
        <w:t>Cumulative implementation rate at</w:t>
      </w:r>
      <w:r>
        <w:rPr>
          <w:noProof/>
        </w:rPr>
        <w:t xml:space="preserve"> the end of 2021 (million</w:t>
      </w:r>
      <w:r w:rsidRPr="00312866">
        <w:rPr>
          <w:noProof/>
        </w:rPr>
        <w:t xml:space="preserve"> </w:t>
      </w:r>
      <w:r>
        <w:rPr>
          <w:noProof/>
        </w:rPr>
        <w:t>EUR):</w:t>
      </w:r>
    </w:p>
    <w:tbl>
      <w:tblPr>
        <w:tblStyle w:val="PPO2021"/>
        <w:tblW w:w="9639" w:type="dxa"/>
        <w:tblInd w:w="0" w:type="dxa"/>
        <w:tblLook w:val="06A0" w:firstRow="1" w:lastRow="0" w:firstColumn="1" w:lastColumn="0" w:noHBand="1" w:noVBand="1"/>
      </w:tblPr>
      <w:tblGrid>
        <w:gridCol w:w="2409"/>
        <w:gridCol w:w="2410"/>
        <w:gridCol w:w="2410"/>
        <w:gridCol w:w="2410"/>
      </w:tblGrid>
      <w:tr w:rsidR="009F2266" w:rsidRPr="00040D99" w14:paraId="78A60042" w14:textId="77777777" w:rsidTr="005D691E">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9" w:type="dxa"/>
          </w:tcPr>
          <w:p w14:paraId="519B031C" w14:textId="77777777" w:rsidR="009F2266" w:rsidRPr="00807AC3" w:rsidRDefault="009F2266" w:rsidP="005D691E">
            <w:pPr>
              <w:rPr>
                <w:noProof/>
              </w:rPr>
            </w:pPr>
          </w:p>
        </w:tc>
        <w:tc>
          <w:tcPr>
            <w:tcW w:w="2410" w:type="dxa"/>
          </w:tcPr>
          <w:p w14:paraId="42D32DF3" w14:textId="77777777" w:rsidR="009F2266" w:rsidRPr="00807AC3" w:rsidRDefault="009F2266" w:rsidP="005D691E">
            <w:pPr>
              <w:cnfStyle w:val="100000000000" w:firstRow="1" w:lastRow="0" w:firstColumn="0" w:lastColumn="0" w:oddVBand="0" w:evenVBand="0" w:oddHBand="0" w:evenHBand="0" w:firstRowFirstColumn="0" w:firstRowLastColumn="0" w:lastRowFirstColumn="0" w:lastRowLastColumn="0"/>
              <w:rPr>
                <w:noProof/>
              </w:rPr>
            </w:pPr>
            <w:r w:rsidRPr="00807AC3">
              <w:rPr>
                <w:noProof/>
              </w:rPr>
              <w:t>Implementation</w:t>
            </w:r>
          </w:p>
        </w:tc>
        <w:tc>
          <w:tcPr>
            <w:tcW w:w="2410" w:type="dxa"/>
          </w:tcPr>
          <w:p w14:paraId="3A96A8E1" w14:textId="287D5ECB" w:rsidR="009F2266" w:rsidRPr="00807AC3" w:rsidRDefault="003821C6" w:rsidP="005D691E">
            <w:pPr>
              <w:cnfStyle w:val="100000000000" w:firstRow="1" w:lastRow="0" w:firstColumn="0" w:lastColumn="0" w:oddVBand="0" w:evenVBand="0" w:oddHBand="0" w:evenHBand="0" w:firstRowFirstColumn="0" w:firstRowLastColumn="0" w:lastRowFirstColumn="0" w:lastRowLastColumn="0"/>
              <w:rPr>
                <w:noProof/>
              </w:rPr>
            </w:pPr>
            <w:r>
              <w:rPr>
                <w:noProof/>
              </w:rPr>
              <w:t xml:space="preserve">2021-2027 </w:t>
            </w:r>
            <w:r w:rsidR="009F2266" w:rsidRPr="00807AC3">
              <w:rPr>
                <w:noProof/>
              </w:rPr>
              <w:t>Budget</w:t>
            </w:r>
          </w:p>
        </w:tc>
        <w:tc>
          <w:tcPr>
            <w:tcW w:w="2410" w:type="dxa"/>
          </w:tcPr>
          <w:p w14:paraId="40D9A544" w14:textId="77777777" w:rsidR="009F2266" w:rsidRPr="00807AC3" w:rsidRDefault="009F2266" w:rsidP="005D691E">
            <w:pPr>
              <w:cnfStyle w:val="100000000000" w:firstRow="1" w:lastRow="0" w:firstColumn="0" w:lastColumn="0" w:oddVBand="0" w:evenVBand="0" w:oddHBand="0" w:evenHBand="0" w:firstRowFirstColumn="0" w:firstRowLastColumn="0" w:lastRowFirstColumn="0" w:lastRowLastColumn="0"/>
              <w:rPr>
                <w:noProof/>
              </w:rPr>
            </w:pPr>
            <w:r w:rsidRPr="00807AC3">
              <w:rPr>
                <w:noProof/>
              </w:rPr>
              <w:t>Implementation rate</w:t>
            </w:r>
          </w:p>
        </w:tc>
      </w:tr>
      <w:tr w:rsidR="009F2266" w:rsidRPr="00040D99" w14:paraId="28735EE8" w14:textId="77777777" w:rsidTr="005D691E">
        <w:tc>
          <w:tcPr>
            <w:cnfStyle w:val="001000000000" w:firstRow="0" w:lastRow="0" w:firstColumn="1" w:lastColumn="0" w:oddVBand="0" w:evenVBand="0" w:oddHBand="0" w:evenHBand="0" w:firstRowFirstColumn="0" w:firstRowLastColumn="0" w:lastRowFirstColumn="0" w:lastRowLastColumn="0"/>
            <w:tcW w:w="2409" w:type="dxa"/>
          </w:tcPr>
          <w:p w14:paraId="1364ED06" w14:textId="77777777" w:rsidR="009F2266" w:rsidRPr="00807AC3" w:rsidRDefault="009F2266" w:rsidP="005D691E">
            <w:pPr>
              <w:jc w:val="center"/>
              <w:rPr>
                <w:noProof/>
              </w:rPr>
            </w:pPr>
            <w:r>
              <w:rPr>
                <w:noProof/>
              </w:rPr>
              <w:t>Commitments</w:t>
            </w:r>
          </w:p>
        </w:tc>
        <w:tc>
          <w:tcPr>
            <w:tcW w:w="2410" w:type="dxa"/>
          </w:tcPr>
          <w:tbl>
            <w:tblPr>
              <w:tblStyle w:val="TableGrid"/>
              <w:tblW w:w="0" w:type="auto"/>
              <w:tblLook w:val="06A0" w:firstRow="1" w:lastRow="0" w:firstColumn="1" w:lastColumn="0" w:noHBand="1" w:noVBand="1"/>
            </w:tblPr>
            <w:tblGrid>
              <w:gridCol w:w="2194"/>
            </w:tblGrid>
            <w:tr w:rsidR="009F2266" w14:paraId="054B59F7" w14:textId="77777777" w:rsidTr="005D691E">
              <w:trPr>
                <w:trHeight w:val="285"/>
              </w:trPr>
              <w:tc>
                <w:tcPr>
                  <w:tcW w:w="2290" w:type="dxa"/>
                  <w:tcBorders>
                    <w:top w:val="nil"/>
                    <w:left w:val="nil"/>
                    <w:bottom w:val="nil"/>
                    <w:right w:val="nil"/>
                  </w:tcBorders>
                  <w:vAlign w:val="bottom"/>
                </w:tcPr>
                <w:p w14:paraId="21E5BB33" w14:textId="77777777" w:rsidR="009F2266" w:rsidRDefault="009F2266" w:rsidP="005D691E">
                  <w:pPr>
                    <w:jc w:val="right"/>
                    <w:rPr>
                      <w:noProof/>
                    </w:rPr>
                  </w:pPr>
                  <w:r w:rsidRPr="70915441">
                    <w:rPr>
                      <w:rFonts w:ascii="Calibri" w:hAnsi="Calibri" w:cs="Calibri"/>
                      <w:noProof/>
                      <w:color w:val="000000"/>
                    </w:rPr>
                    <w:t>407</w:t>
                  </w:r>
                  <w:r>
                    <w:rPr>
                      <w:rFonts w:ascii="Calibri" w:hAnsi="Calibri" w:cs="Calibri"/>
                      <w:noProof/>
                      <w:color w:val="000000"/>
                    </w:rPr>
                    <w:t>.2</w:t>
                  </w:r>
                </w:p>
              </w:tc>
            </w:tr>
          </w:tbl>
          <w:p w14:paraId="36C70251" w14:textId="77777777" w:rsidR="009F2266" w:rsidRPr="00807AC3" w:rsidRDefault="009F2266" w:rsidP="005D691E">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9F2266" w14:paraId="145CA9EC" w14:textId="77777777" w:rsidTr="005D691E">
              <w:trPr>
                <w:trHeight w:val="285"/>
              </w:trPr>
              <w:tc>
                <w:tcPr>
                  <w:tcW w:w="2290" w:type="dxa"/>
                  <w:tcBorders>
                    <w:top w:val="nil"/>
                    <w:left w:val="nil"/>
                    <w:bottom w:val="nil"/>
                    <w:right w:val="nil"/>
                  </w:tcBorders>
                  <w:vAlign w:val="bottom"/>
                </w:tcPr>
                <w:p w14:paraId="0BB0B000" w14:textId="77777777" w:rsidR="009F2266" w:rsidRDefault="009F2266" w:rsidP="005D691E">
                  <w:pPr>
                    <w:jc w:val="right"/>
                    <w:rPr>
                      <w:noProof/>
                    </w:rPr>
                  </w:pPr>
                  <w:r w:rsidRPr="70915441">
                    <w:rPr>
                      <w:rFonts w:ascii="Calibri" w:hAnsi="Calibri" w:cs="Calibri"/>
                      <w:noProof/>
                      <w:color w:val="000000"/>
                    </w:rPr>
                    <w:t>5</w:t>
                  </w:r>
                  <w:r>
                    <w:rPr>
                      <w:rFonts w:ascii="Calibri" w:hAnsi="Calibri" w:cs="Calibri"/>
                      <w:noProof/>
                      <w:color w:val="000000"/>
                    </w:rPr>
                    <w:t> </w:t>
                  </w:r>
                  <w:r w:rsidRPr="70915441">
                    <w:rPr>
                      <w:rFonts w:ascii="Calibri" w:hAnsi="Calibri" w:cs="Calibri"/>
                      <w:noProof/>
                      <w:color w:val="000000"/>
                    </w:rPr>
                    <w:t>470</w:t>
                  </w:r>
                  <w:r>
                    <w:rPr>
                      <w:rFonts w:ascii="Calibri" w:hAnsi="Calibri" w:cs="Calibri"/>
                      <w:noProof/>
                      <w:color w:val="000000"/>
                    </w:rPr>
                    <w:t>.4</w:t>
                  </w:r>
                </w:p>
              </w:tc>
            </w:tr>
          </w:tbl>
          <w:p w14:paraId="41EF85DF" w14:textId="77777777" w:rsidR="009F2266" w:rsidRPr="00807AC3" w:rsidRDefault="009F2266" w:rsidP="005D691E">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9F2266" w14:paraId="2CE4AE6C" w14:textId="77777777" w:rsidTr="005D691E">
              <w:trPr>
                <w:trHeight w:val="285"/>
              </w:trPr>
              <w:tc>
                <w:tcPr>
                  <w:tcW w:w="2290" w:type="dxa"/>
                  <w:tcBorders>
                    <w:top w:val="nil"/>
                    <w:left w:val="nil"/>
                    <w:bottom w:val="nil"/>
                    <w:right w:val="nil"/>
                  </w:tcBorders>
                  <w:vAlign w:val="bottom"/>
                </w:tcPr>
                <w:p w14:paraId="1CEF8C43" w14:textId="77777777" w:rsidR="009F2266" w:rsidRDefault="009F2266" w:rsidP="005D691E">
                  <w:pPr>
                    <w:jc w:val="right"/>
                    <w:rPr>
                      <w:noProof/>
                    </w:rPr>
                  </w:pPr>
                  <w:r>
                    <w:rPr>
                      <w:rFonts w:ascii="Calibri" w:hAnsi="Calibri" w:cs="Calibri"/>
                      <w:noProof/>
                      <w:color w:val="000000"/>
                    </w:rPr>
                    <w:t>7</w:t>
                  </w:r>
                  <w:r w:rsidRPr="70915441">
                    <w:rPr>
                      <w:rFonts w:ascii="Calibri" w:hAnsi="Calibri" w:cs="Calibri"/>
                      <w:noProof/>
                      <w:color w:val="000000"/>
                    </w:rPr>
                    <w:t>%</w:t>
                  </w:r>
                </w:p>
              </w:tc>
            </w:tr>
          </w:tbl>
          <w:p w14:paraId="5C043508" w14:textId="77777777" w:rsidR="009F2266" w:rsidRPr="00807AC3" w:rsidRDefault="009F2266" w:rsidP="005D691E">
            <w:pPr>
              <w:jc w:val="center"/>
              <w:cnfStyle w:val="000000000000" w:firstRow="0" w:lastRow="0" w:firstColumn="0" w:lastColumn="0" w:oddVBand="0" w:evenVBand="0" w:oddHBand="0" w:evenHBand="0" w:firstRowFirstColumn="0" w:firstRowLastColumn="0" w:lastRowFirstColumn="0" w:lastRowLastColumn="0"/>
              <w:rPr>
                <w:noProof/>
              </w:rPr>
            </w:pPr>
          </w:p>
        </w:tc>
      </w:tr>
      <w:tr w:rsidR="009F2266" w:rsidRPr="00040D99" w14:paraId="0D63D636" w14:textId="77777777" w:rsidTr="005D691E">
        <w:tc>
          <w:tcPr>
            <w:cnfStyle w:val="001000000000" w:firstRow="0" w:lastRow="0" w:firstColumn="1" w:lastColumn="0" w:oddVBand="0" w:evenVBand="0" w:oddHBand="0" w:evenHBand="0" w:firstRowFirstColumn="0" w:firstRowLastColumn="0" w:lastRowFirstColumn="0" w:lastRowLastColumn="0"/>
            <w:tcW w:w="2409" w:type="dxa"/>
          </w:tcPr>
          <w:p w14:paraId="6D0CAC71" w14:textId="77777777" w:rsidR="009F2266" w:rsidRPr="00807AC3" w:rsidRDefault="009F2266" w:rsidP="005D691E">
            <w:pPr>
              <w:jc w:val="center"/>
              <w:rPr>
                <w:noProof/>
              </w:rPr>
            </w:pPr>
            <w:r w:rsidRPr="00807AC3">
              <w:rPr>
                <w:noProof/>
              </w:rPr>
              <w:t>Payments</w:t>
            </w:r>
          </w:p>
        </w:tc>
        <w:tc>
          <w:tcPr>
            <w:tcW w:w="2410" w:type="dxa"/>
          </w:tcPr>
          <w:tbl>
            <w:tblPr>
              <w:tblStyle w:val="TableGrid"/>
              <w:tblW w:w="0" w:type="auto"/>
              <w:tblLook w:val="06A0" w:firstRow="1" w:lastRow="0" w:firstColumn="1" w:lastColumn="0" w:noHBand="1" w:noVBand="1"/>
            </w:tblPr>
            <w:tblGrid>
              <w:gridCol w:w="2194"/>
            </w:tblGrid>
            <w:tr w:rsidR="009F2266" w14:paraId="30DBB6EA" w14:textId="77777777" w:rsidTr="005D691E">
              <w:trPr>
                <w:trHeight w:val="285"/>
              </w:trPr>
              <w:tc>
                <w:tcPr>
                  <w:tcW w:w="2290" w:type="dxa"/>
                  <w:tcBorders>
                    <w:top w:val="nil"/>
                    <w:left w:val="nil"/>
                    <w:bottom w:val="nil"/>
                    <w:right w:val="nil"/>
                  </w:tcBorders>
                  <w:vAlign w:val="bottom"/>
                </w:tcPr>
                <w:p w14:paraId="1A4053CE" w14:textId="77777777" w:rsidR="009F2266" w:rsidRDefault="009F2266" w:rsidP="005D691E">
                  <w:pPr>
                    <w:jc w:val="right"/>
                    <w:rPr>
                      <w:noProof/>
                    </w:rPr>
                  </w:pPr>
                  <w:r w:rsidRPr="70915441">
                    <w:rPr>
                      <w:rFonts w:ascii="Calibri" w:hAnsi="Calibri" w:cs="Calibri"/>
                      <w:noProof/>
                      <w:color w:val="000000"/>
                    </w:rPr>
                    <w:t>407</w:t>
                  </w:r>
                  <w:r>
                    <w:rPr>
                      <w:rFonts w:ascii="Calibri" w:hAnsi="Calibri" w:cs="Calibri"/>
                      <w:noProof/>
                      <w:color w:val="000000"/>
                    </w:rPr>
                    <w:t>.2</w:t>
                  </w:r>
                </w:p>
              </w:tc>
            </w:tr>
          </w:tbl>
          <w:p w14:paraId="780507DF" w14:textId="77777777" w:rsidR="009F2266" w:rsidRPr="00807AC3" w:rsidRDefault="009F2266" w:rsidP="005D691E">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p w14:paraId="740BE02F" w14:textId="77777777" w:rsidR="009F2266" w:rsidRPr="00807AC3" w:rsidRDefault="009F2266" w:rsidP="005D691E">
            <w:pPr>
              <w:jc w:val="center"/>
              <w:cnfStyle w:val="000000000000" w:firstRow="0" w:lastRow="0" w:firstColumn="0" w:lastColumn="0" w:oddVBand="0" w:evenVBand="0" w:oddHBand="0" w:evenHBand="0" w:firstRowFirstColumn="0" w:firstRowLastColumn="0" w:lastRowFirstColumn="0" w:lastRowLastColumn="0"/>
              <w:rPr>
                <w:noProof/>
              </w:rPr>
            </w:pPr>
          </w:p>
        </w:tc>
        <w:tc>
          <w:tcPr>
            <w:tcW w:w="2410" w:type="dxa"/>
          </w:tcPr>
          <w:tbl>
            <w:tblPr>
              <w:tblStyle w:val="TableGrid"/>
              <w:tblW w:w="0" w:type="auto"/>
              <w:tblLook w:val="06A0" w:firstRow="1" w:lastRow="0" w:firstColumn="1" w:lastColumn="0" w:noHBand="1" w:noVBand="1"/>
            </w:tblPr>
            <w:tblGrid>
              <w:gridCol w:w="2194"/>
            </w:tblGrid>
            <w:tr w:rsidR="009F2266" w14:paraId="692DBD25" w14:textId="77777777" w:rsidTr="005D691E">
              <w:trPr>
                <w:trHeight w:val="285"/>
              </w:trPr>
              <w:tc>
                <w:tcPr>
                  <w:tcW w:w="2235" w:type="dxa"/>
                  <w:tcBorders>
                    <w:top w:val="nil"/>
                    <w:left w:val="nil"/>
                    <w:bottom w:val="nil"/>
                    <w:right w:val="nil"/>
                  </w:tcBorders>
                  <w:vAlign w:val="bottom"/>
                </w:tcPr>
                <w:p w14:paraId="06A453C1" w14:textId="77777777" w:rsidR="009F2266" w:rsidRDefault="009F2266" w:rsidP="005D691E">
                  <w:pPr>
                    <w:jc w:val="right"/>
                    <w:rPr>
                      <w:noProof/>
                    </w:rPr>
                  </w:pPr>
                  <w:r>
                    <w:rPr>
                      <w:rFonts w:ascii="Calibri" w:hAnsi="Calibri" w:cs="Calibri"/>
                      <w:noProof/>
                      <w:color w:val="000000"/>
                    </w:rPr>
                    <w:t>7</w:t>
                  </w:r>
                  <w:r w:rsidRPr="70915441">
                    <w:rPr>
                      <w:rFonts w:ascii="Calibri" w:hAnsi="Calibri" w:cs="Calibri"/>
                      <w:noProof/>
                      <w:color w:val="000000"/>
                    </w:rPr>
                    <w:t>%</w:t>
                  </w:r>
                </w:p>
              </w:tc>
            </w:tr>
          </w:tbl>
          <w:p w14:paraId="1ABE30D3" w14:textId="77777777" w:rsidR="009F2266" w:rsidRPr="00807AC3" w:rsidRDefault="009F2266" w:rsidP="005D691E">
            <w:pPr>
              <w:jc w:val="center"/>
              <w:cnfStyle w:val="000000000000" w:firstRow="0" w:lastRow="0" w:firstColumn="0" w:lastColumn="0" w:oddVBand="0" w:evenVBand="0" w:oddHBand="0" w:evenHBand="0" w:firstRowFirstColumn="0" w:firstRowLastColumn="0" w:lastRowFirstColumn="0" w:lastRowLastColumn="0"/>
              <w:rPr>
                <w:noProof/>
              </w:rPr>
            </w:pPr>
          </w:p>
        </w:tc>
      </w:tr>
    </w:tbl>
    <w:p w14:paraId="4A1D9B00" w14:textId="77777777" w:rsidR="009F2266" w:rsidRPr="001B255C" w:rsidRDefault="009F2266" w:rsidP="009F2266">
      <w:pPr>
        <w:pStyle w:val="ppoTableTabletitle"/>
        <w:rPr>
          <w:b/>
          <w:bCs/>
          <w:noProof/>
        </w:rPr>
      </w:pPr>
      <w:r w:rsidRPr="00040D99">
        <w:rPr>
          <w:noProof/>
        </w:rPr>
        <w:t>Voted budget implementation in 2021</w:t>
      </w:r>
      <w:r>
        <w:rPr>
          <w:noProof/>
        </w:rPr>
        <w:t xml:space="preserve"> (million</w:t>
      </w:r>
      <w:r w:rsidRPr="00312866">
        <w:rPr>
          <w:noProof/>
        </w:rPr>
        <w:t xml:space="preserve"> </w:t>
      </w:r>
      <w:r>
        <w:rPr>
          <w:noProof/>
        </w:rPr>
        <w:t>EUR):</w:t>
      </w:r>
    </w:p>
    <w:tbl>
      <w:tblPr>
        <w:tblStyle w:val="PPO2021"/>
        <w:tblW w:w="3683" w:type="pct"/>
        <w:tblInd w:w="79" w:type="dxa"/>
        <w:tblLook w:val="04A0" w:firstRow="1" w:lastRow="0" w:firstColumn="1" w:lastColumn="0" w:noHBand="0" w:noVBand="1"/>
      </w:tblPr>
      <w:tblGrid>
        <w:gridCol w:w="2419"/>
        <w:gridCol w:w="2419"/>
        <w:gridCol w:w="2420"/>
      </w:tblGrid>
      <w:tr w:rsidR="009F2266" w:rsidRPr="00040D99" w14:paraId="23C2F47C" w14:textId="77777777" w:rsidTr="005D69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9" w:type="dxa"/>
          </w:tcPr>
          <w:p w14:paraId="6CD0307B" w14:textId="77777777" w:rsidR="009F2266" w:rsidRPr="0017374C" w:rsidRDefault="009F2266" w:rsidP="005D691E">
            <w:pPr>
              <w:rPr>
                <w:noProof/>
              </w:rPr>
            </w:pPr>
          </w:p>
        </w:tc>
        <w:tc>
          <w:tcPr>
            <w:tcW w:w="2419" w:type="dxa"/>
          </w:tcPr>
          <w:p w14:paraId="09E0C497" w14:textId="77777777" w:rsidR="009F2266" w:rsidRPr="0017374C" w:rsidRDefault="009F2266" w:rsidP="005D691E">
            <w:pPr>
              <w:cnfStyle w:val="100000000000" w:firstRow="1" w:lastRow="0" w:firstColumn="0" w:lastColumn="0" w:oddVBand="0" w:evenVBand="0" w:oddHBand="0" w:evenHBand="0" w:firstRowFirstColumn="0" w:firstRowLastColumn="0" w:lastRowFirstColumn="0" w:lastRowLastColumn="0"/>
              <w:rPr>
                <w:noProof/>
              </w:rPr>
            </w:pPr>
            <w:r w:rsidRPr="0017374C">
              <w:rPr>
                <w:noProof/>
              </w:rPr>
              <w:t>Voted budget implementation</w:t>
            </w:r>
          </w:p>
        </w:tc>
        <w:tc>
          <w:tcPr>
            <w:tcW w:w="2420" w:type="dxa"/>
          </w:tcPr>
          <w:p w14:paraId="0EE28989" w14:textId="77777777" w:rsidR="009F2266" w:rsidRPr="0017374C" w:rsidRDefault="009F2266" w:rsidP="005D691E">
            <w:pPr>
              <w:cnfStyle w:val="100000000000" w:firstRow="1" w:lastRow="0" w:firstColumn="0" w:lastColumn="0" w:oddVBand="0" w:evenVBand="0" w:oddHBand="0" w:evenHBand="0" w:firstRowFirstColumn="0" w:firstRowLastColumn="0" w:lastRowFirstColumn="0" w:lastRowLastColumn="0"/>
              <w:rPr>
                <w:noProof/>
              </w:rPr>
            </w:pPr>
            <w:r w:rsidRPr="0017374C">
              <w:rPr>
                <w:noProof/>
              </w:rPr>
              <w:t>Initial voted budget</w:t>
            </w:r>
          </w:p>
        </w:tc>
      </w:tr>
      <w:tr w:rsidR="009F2266" w:rsidRPr="00040D99" w14:paraId="465CC633" w14:textId="77777777" w:rsidTr="005D6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0929F6DE" w14:textId="77777777" w:rsidR="009F2266" w:rsidRPr="0017374C" w:rsidRDefault="009F2266" w:rsidP="005D691E">
            <w:pPr>
              <w:jc w:val="center"/>
              <w:rPr>
                <w:noProof/>
              </w:rPr>
            </w:pPr>
            <w:r w:rsidRPr="0017374C">
              <w:rPr>
                <w:noProof/>
              </w:rPr>
              <w:t>Commitments</w:t>
            </w:r>
          </w:p>
        </w:tc>
        <w:tc>
          <w:tcPr>
            <w:tcW w:w="2419" w:type="dxa"/>
          </w:tcPr>
          <w:p w14:paraId="29F05082" w14:textId="77777777" w:rsidR="009F2266" w:rsidRPr="0017374C" w:rsidRDefault="009F2266" w:rsidP="005D691E">
            <w:pPr>
              <w:jc w:val="center"/>
              <w:cnfStyle w:val="000000100000" w:firstRow="0" w:lastRow="0" w:firstColumn="0" w:lastColumn="0" w:oddVBand="0" w:evenVBand="0" w:oddHBand="1" w:evenHBand="0" w:firstRowFirstColumn="0" w:firstRowLastColumn="0" w:lastRowFirstColumn="0" w:lastRowLastColumn="0"/>
              <w:rPr>
                <w:noProof/>
              </w:rPr>
            </w:pPr>
            <w:r w:rsidRPr="00D154CA">
              <w:rPr>
                <w:noProof/>
              </w:rPr>
              <w:t>407</w:t>
            </w:r>
            <w:r w:rsidRPr="3CA8A110">
              <w:rPr>
                <w:noProof/>
              </w:rPr>
              <w:t>.</w:t>
            </w:r>
            <w:r w:rsidRPr="00D154CA">
              <w:rPr>
                <w:noProof/>
              </w:rPr>
              <w:t>2</w:t>
            </w:r>
          </w:p>
        </w:tc>
        <w:tc>
          <w:tcPr>
            <w:tcW w:w="2420" w:type="dxa"/>
          </w:tcPr>
          <w:p w14:paraId="034D4500" w14:textId="77777777" w:rsidR="009F2266" w:rsidRPr="0017374C" w:rsidRDefault="009F2266" w:rsidP="005D691E">
            <w:pPr>
              <w:jc w:val="center"/>
              <w:cnfStyle w:val="000000100000" w:firstRow="0" w:lastRow="0" w:firstColumn="0" w:lastColumn="0" w:oddVBand="0" w:evenVBand="0" w:oddHBand="1" w:evenHBand="0" w:firstRowFirstColumn="0" w:firstRowLastColumn="0" w:lastRowFirstColumn="0" w:lastRowLastColumn="0"/>
              <w:rPr>
                <w:noProof/>
              </w:rPr>
            </w:pPr>
            <w:r w:rsidRPr="00D154CA">
              <w:rPr>
                <w:noProof/>
              </w:rPr>
              <w:t>0</w:t>
            </w:r>
            <w:r w:rsidRPr="3CA8A110">
              <w:rPr>
                <w:noProof/>
              </w:rPr>
              <w:t>.</w:t>
            </w:r>
            <w:r w:rsidRPr="00D154CA">
              <w:rPr>
                <w:noProof/>
              </w:rPr>
              <w:t>0</w:t>
            </w:r>
          </w:p>
        </w:tc>
      </w:tr>
      <w:tr w:rsidR="009F2266" w:rsidRPr="00040D99" w14:paraId="7845022A" w14:textId="77777777" w:rsidTr="005D69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702C6B04" w14:textId="77777777" w:rsidR="009F2266" w:rsidRPr="0017374C" w:rsidRDefault="009F2266" w:rsidP="005D691E">
            <w:pPr>
              <w:jc w:val="center"/>
              <w:rPr>
                <w:noProof/>
              </w:rPr>
            </w:pPr>
            <w:r w:rsidRPr="0017374C">
              <w:rPr>
                <w:noProof/>
              </w:rPr>
              <w:t>Payments</w:t>
            </w:r>
          </w:p>
        </w:tc>
        <w:tc>
          <w:tcPr>
            <w:tcW w:w="2419" w:type="dxa"/>
            <w:vAlign w:val="bottom"/>
          </w:tcPr>
          <w:p w14:paraId="73127D26" w14:textId="77777777" w:rsidR="009F2266" w:rsidRPr="0017374C" w:rsidRDefault="009F2266" w:rsidP="005D691E">
            <w:pPr>
              <w:jc w:val="center"/>
              <w:cnfStyle w:val="000000010000" w:firstRow="0" w:lastRow="0" w:firstColumn="0" w:lastColumn="0" w:oddVBand="0" w:evenVBand="0" w:oddHBand="0" w:evenHBand="1" w:firstRowFirstColumn="0" w:firstRowLastColumn="0" w:lastRowFirstColumn="0" w:lastRowLastColumn="0"/>
              <w:rPr>
                <w:noProof/>
              </w:rPr>
            </w:pPr>
            <w:r>
              <w:rPr>
                <w:rFonts w:ascii="Calibri" w:hAnsi="Calibri"/>
                <w:noProof/>
                <w:color w:val="000000"/>
              </w:rPr>
              <w:t>407.2</w:t>
            </w:r>
          </w:p>
        </w:tc>
        <w:tc>
          <w:tcPr>
            <w:tcW w:w="2420" w:type="dxa"/>
            <w:vAlign w:val="bottom"/>
          </w:tcPr>
          <w:p w14:paraId="27580F05" w14:textId="77777777" w:rsidR="009F2266" w:rsidRPr="0017374C" w:rsidRDefault="009F2266" w:rsidP="005D691E">
            <w:pPr>
              <w:jc w:val="center"/>
              <w:cnfStyle w:val="000000010000" w:firstRow="0" w:lastRow="0" w:firstColumn="0" w:lastColumn="0" w:oddVBand="0" w:evenVBand="0" w:oddHBand="0" w:evenHBand="1" w:firstRowFirstColumn="0" w:firstRowLastColumn="0" w:lastRowFirstColumn="0" w:lastRowLastColumn="0"/>
              <w:rPr>
                <w:noProof/>
              </w:rPr>
            </w:pPr>
            <w:r>
              <w:rPr>
                <w:rFonts w:ascii="Calibri" w:hAnsi="Calibri"/>
                <w:noProof/>
                <w:color w:val="000000"/>
              </w:rPr>
              <w:t>0.0</w:t>
            </w:r>
          </w:p>
        </w:tc>
      </w:tr>
    </w:tbl>
    <w:p w14:paraId="0A70ECD0" w14:textId="16FDCD8F" w:rsidR="009F2266" w:rsidRDefault="009F2266" w:rsidP="0070748A">
      <w:pPr>
        <w:pStyle w:val="ppoListHyphened-L1"/>
        <w:rPr>
          <w:noProof/>
        </w:rPr>
      </w:pPr>
      <w:r>
        <w:rPr>
          <w:noProof/>
        </w:rPr>
        <w:t>Member States</w:t>
      </w:r>
      <w:r w:rsidRPr="00ED71D2">
        <w:rPr>
          <w:noProof/>
        </w:rPr>
        <w:t xml:space="preserve"> </w:t>
      </w:r>
      <w:r>
        <w:rPr>
          <w:noProof/>
        </w:rPr>
        <w:t xml:space="preserve">will </w:t>
      </w:r>
      <w:r w:rsidRPr="00ED71D2">
        <w:rPr>
          <w:noProof/>
        </w:rPr>
        <w:t xml:space="preserve">receive their </w:t>
      </w:r>
      <w:r>
        <w:rPr>
          <w:noProof/>
        </w:rPr>
        <w:t>first</w:t>
      </w:r>
      <w:r w:rsidRPr="3CA8A110">
        <w:rPr>
          <w:noProof/>
        </w:rPr>
        <w:t xml:space="preserve"> </w:t>
      </w:r>
      <w:r w:rsidRPr="00ED71D2">
        <w:rPr>
          <w:noProof/>
        </w:rPr>
        <w:t xml:space="preserve">pre-financing </w:t>
      </w:r>
      <w:r>
        <w:rPr>
          <w:noProof/>
        </w:rPr>
        <w:t xml:space="preserve">instalment </w:t>
      </w:r>
      <w:r w:rsidRPr="00ED71D2">
        <w:rPr>
          <w:noProof/>
        </w:rPr>
        <w:t>as soon as they submit the complete notification</w:t>
      </w:r>
      <w:r>
        <w:rPr>
          <w:noProof/>
        </w:rPr>
        <w:t xml:space="preserve"> to the Commission</w:t>
      </w:r>
      <w:r w:rsidRPr="00ED71D2">
        <w:rPr>
          <w:noProof/>
        </w:rPr>
        <w:t xml:space="preserve">. </w:t>
      </w:r>
      <w:r w:rsidR="0070748A" w:rsidRPr="0070748A">
        <w:rPr>
          <w:noProof/>
        </w:rPr>
        <w:t xml:space="preserve">The two Member States that notified the Commission in 2021 (Ireland and Italy) received the first pre-financing instalment before the year end (EUR 407 million). This represents 24% of the total allocation for the first instalment. As of end of April 2022, 22 Member States had notified the Commission, of which 14 received the 2021 and 2022 instalment of the pre-financing (the final amount is expected to increase in the months to come as the remaining 5 Member State will provide their notifications). </w:t>
      </w:r>
    </w:p>
    <w:p w14:paraId="29399C3D" w14:textId="77777777" w:rsidR="009F2266" w:rsidRPr="00040D99" w:rsidRDefault="009F2266" w:rsidP="009F2266">
      <w:pPr>
        <w:pStyle w:val="ppoListHyphened-L1"/>
        <w:rPr>
          <w:noProof/>
        </w:rPr>
      </w:pPr>
      <w:r w:rsidRPr="00ED71D2">
        <w:rPr>
          <w:noProof/>
        </w:rPr>
        <w:t xml:space="preserve">The regulation does not envisage any penalisation in case of </w:t>
      </w:r>
      <w:r>
        <w:rPr>
          <w:noProof/>
        </w:rPr>
        <w:t>delayed</w:t>
      </w:r>
      <w:r w:rsidRPr="00ED71D2">
        <w:rPr>
          <w:noProof/>
        </w:rPr>
        <w:t xml:space="preserve"> notifications.</w:t>
      </w:r>
    </w:p>
    <w:p w14:paraId="222B9E3D" w14:textId="77777777" w:rsidR="009F2266" w:rsidRPr="00040D99" w:rsidRDefault="009F2266" w:rsidP="009F2266">
      <w:pPr>
        <w:pStyle w:val="ppoHeading5"/>
        <w:rPr>
          <w:noProof/>
        </w:rPr>
      </w:pPr>
      <w:r w:rsidRPr="00040D99">
        <w:rPr>
          <w:noProof/>
        </w:rPr>
        <w:t>Contribution to horizontal priorities</w:t>
      </w:r>
    </w:p>
    <w:p w14:paraId="7E6247F9" w14:textId="77777777" w:rsidR="009F2266" w:rsidRPr="00040D99" w:rsidRDefault="009F2266" w:rsidP="009F2266">
      <w:pPr>
        <w:pStyle w:val="ppoTableTabletitle"/>
        <w:rPr>
          <w:noProof/>
        </w:rPr>
      </w:pPr>
      <w:r w:rsidRPr="00040D99">
        <w:rPr>
          <w:noProof/>
        </w:rPr>
        <w:t>EU budget contribution in 2021</w:t>
      </w:r>
      <w:r>
        <w:rPr>
          <w:noProof/>
        </w:rPr>
        <w:t xml:space="preserve"> (million</w:t>
      </w:r>
      <w:r w:rsidRPr="00312866">
        <w:rPr>
          <w:noProof/>
        </w:rPr>
        <w:t xml:space="preserve"> </w:t>
      </w:r>
      <w:r>
        <w:rPr>
          <w:noProof/>
        </w:rPr>
        <w:t>EUR):</w:t>
      </w:r>
    </w:p>
    <w:tbl>
      <w:tblPr>
        <w:tblStyle w:val="PPO2021"/>
        <w:tblW w:w="9639" w:type="dxa"/>
        <w:tblInd w:w="0" w:type="dxa"/>
        <w:tblLook w:val="0420" w:firstRow="1" w:lastRow="0" w:firstColumn="0" w:lastColumn="0" w:noHBand="0" w:noVBand="1"/>
      </w:tblPr>
      <w:tblGrid>
        <w:gridCol w:w="3213"/>
        <w:gridCol w:w="3213"/>
        <w:gridCol w:w="3213"/>
      </w:tblGrid>
      <w:tr w:rsidR="009F2266" w:rsidRPr="00040D99" w14:paraId="35E94EB2" w14:textId="77777777" w:rsidTr="005D691E">
        <w:trPr>
          <w:cnfStyle w:val="100000000000" w:firstRow="1" w:lastRow="0" w:firstColumn="0" w:lastColumn="0" w:oddVBand="0" w:evenVBand="0" w:oddHBand="0" w:evenHBand="0" w:firstRowFirstColumn="0" w:firstRowLastColumn="0" w:lastRowFirstColumn="0" w:lastRowLastColumn="0"/>
          <w:tblHeader/>
        </w:trPr>
        <w:tc>
          <w:tcPr>
            <w:tcW w:w="3213" w:type="dxa"/>
          </w:tcPr>
          <w:p w14:paraId="1B70160B" w14:textId="77777777" w:rsidR="009F2266" w:rsidRPr="00BD731A" w:rsidRDefault="009F2266" w:rsidP="005D691E">
            <w:pPr>
              <w:rPr>
                <w:noProof/>
              </w:rPr>
            </w:pPr>
            <w:r w:rsidRPr="00BD731A">
              <w:rPr>
                <w:noProof/>
              </w:rPr>
              <w:t>Climate</w:t>
            </w:r>
          </w:p>
        </w:tc>
        <w:tc>
          <w:tcPr>
            <w:tcW w:w="3213" w:type="dxa"/>
          </w:tcPr>
          <w:p w14:paraId="360A5DC4" w14:textId="77777777" w:rsidR="009F2266" w:rsidRPr="00BD731A" w:rsidRDefault="009F2266" w:rsidP="005D691E">
            <w:pPr>
              <w:rPr>
                <w:noProof/>
              </w:rPr>
            </w:pPr>
            <w:r w:rsidRPr="00BD731A">
              <w:rPr>
                <w:noProof/>
              </w:rPr>
              <w:t>Biodiversity</w:t>
            </w:r>
          </w:p>
        </w:tc>
        <w:tc>
          <w:tcPr>
            <w:tcW w:w="3213" w:type="dxa"/>
          </w:tcPr>
          <w:p w14:paraId="46BC03C4" w14:textId="77777777" w:rsidR="009F2266" w:rsidRPr="00BD731A" w:rsidRDefault="009F2266" w:rsidP="005D691E">
            <w:pPr>
              <w:rPr>
                <w:noProof/>
              </w:rPr>
            </w:pPr>
            <w:r w:rsidRPr="00BD731A">
              <w:rPr>
                <w:noProof/>
              </w:rPr>
              <w:t>Gender equality</w:t>
            </w:r>
            <w:r>
              <w:rPr>
                <w:noProof/>
              </w:rPr>
              <w:t xml:space="preserve"> (*)</w:t>
            </w:r>
          </w:p>
        </w:tc>
      </w:tr>
      <w:tr w:rsidR="009F2266" w:rsidRPr="00040D99" w14:paraId="1A93F00A" w14:textId="77777777" w:rsidTr="005D691E">
        <w:trPr>
          <w:cnfStyle w:val="000000100000" w:firstRow="0" w:lastRow="0" w:firstColumn="0" w:lastColumn="0" w:oddVBand="0" w:evenVBand="0" w:oddHBand="1" w:evenHBand="0" w:firstRowFirstColumn="0" w:firstRowLastColumn="0" w:lastRowFirstColumn="0" w:lastRowLastColumn="0"/>
        </w:trPr>
        <w:tc>
          <w:tcPr>
            <w:tcW w:w="3213" w:type="dxa"/>
          </w:tcPr>
          <w:p w14:paraId="527CC9FF" w14:textId="77777777" w:rsidR="009F2266" w:rsidRPr="00BD731A" w:rsidRDefault="009F2266" w:rsidP="005D691E">
            <w:pPr>
              <w:jc w:val="center"/>
              <w:rPr>
                <w:noProof/>
              </w:rPr>
            </w:pPr>
            <w:r>
              <w:rPr>
                <w:noProof/>
              </w:rPr>
              <w:t>0</w:t>
            </w:r>
          </w:p>
        </w:tc>
        <w:tc>
          <w:tcPr>
            <w:tcW w:w="3213" w:type="dxa"/>
          </w:tcPr>
          <w:p w14:paraId="185E127B" w14:textId="77777777" w:rsidR="009F2266" w:rsidRPr="00BD731A" w:rsidRDefault="009F2266" w:rsidP="005D691E">
            <w:pPr>
              <w:jc w:val="center"/>
              <w:rPr>
                <w:noProof/>
              </w:rPr>
            </w:pPr>
            <w:r>
              <w:rPr>
                <w:noProof/>
              </w:rPr>
              <w:t>0</w:t>
            </w:r>
          </w:p>
        </w:tc>
        <w:tc>
          <w:tcPr>
            <w:tcW w:w="3213" w:type="dxa"/>
          </w:tcPr>
          <w:p w14:paraId="6BF7C02A" w14:textId="77777777" w:rsidR="009F2266" w:rsidRPr="00BD731A" w:rsidRDefault="009F2266" w:rsidP="005D691E">
            <w:pPr>
              <w:jc w:val="center"/>
              <w:rPr>
                <w:noProof/>
              </w:rPr>
            </w:pPr>
            <w:r>
              <w:rPr>
                <w:noProof/>
              </w:rPr>
              <w:t>Score 0*: 407.2</w:t>
            </w:r>
          </w:p>
        </w:tc>
      </w:tr>
    </w:tbl>
    <w:p w14:paraId="386C6EF3" w14:textId="77777777" w:rsidR="009F2266" w:rsidRPr="00982726" w:rsidRDefault="009F2266" w:rsidP="009F2266">
      <w:pPr>
        <w:pStyle w:val="FootnoteText"/>
        <w:rPr>
          <w:noProof/>
        </w:rPr>
      </w:pPr>
      <w:r>
        <w:rPr>
          <w:noProof/>
        </w:rPr>
        <w:t>(*)</w:t>
      </w:r>
      <w:r>
        <w:rPr>
          <w:noProof/>
        </w:rPr>
        <w:tab/>
      </w:r>
      <w:r w:rsidRPr="00982726">
        <w:rPr>
          <w:noProof/>
        </w:rPr>
        <w:t xml:space="preserve">Based on the </w:t>
      </w:r>
      <w:r>
        <w:rPr>
          <w:noProof/>
        </w:rPr>
        <w:t xml:space="preserve">applied gender contribution </w:t>
      </w:r>
      <w:r w:rsidRPr="00982726">
        <w:rPr>
          <w:noProof/>
        </w:rPr>
        <w:t>methodology</w:t>
      </w:r>
      <w:r>
        <w:rPr>
          <w:noProof/>
        </w:rPr>
        <w:t>,</w:t>
      </w:r>
      <w:r w:rsidRPr="00982726">
        <w:rPr>
          <w:noProof/>
        </w:rPr>
        <w:t xml:space="preserve"> the following scores are attributed at the most granular level of intervention possible</w:t>
      </w:r>
      <w:r>
        <w:rPr>
          <w:noProof/>
        </w:rPr>
        <w:t>:</w:t>
      </w:r>
    </w:p>
    <w:p w14:paraId="32E92669" w14:textId="77777777" w:rsidR="009F2266" w:rsidRPr="00982726" w:rsidRDefault="009F2266" w:rsidP="009F2266">
      <w:pPr>
        <w:pStyle w:val="FootnoteText"/>
        <w:numPr>
          <w:ilvl w:val="0"/>
          <w:numId w:val="38"/>
        </w:numPr>
        <w:spacing w:after="60" w:line="264" w:lineRule="auto"/>
        <w:jc w:val="left"/>
        <w:rPr>
          <w:noProof/>
        </w:rPr>
      </w:pPr>
      <w:r>
        <w:rPr>
          <w:noProof/>
        </w:rPr>
        <w:t>2:</w:t>
      </w:r>
      <w:r w:rsidRPr="00982726">
        <w:rPr>
          <w:noProof/>
        </w:rPr>
        <w:t xml:space="preserve"> </w:t>
      </w:r>
      <w:r>
        <w:rPr>
          <w:noProof/>
        </w:rPr>
        <w:t>i</w:t>
      </w:r>
      <w:r w:rsidRPr="00982726">
        <w:rPr>
          <w:noProof/>
        </w:rPr>
        <w:t xml:space="preserve">nterventions </w:t>
      </w:r>
      <w:r>
        <w:rPr>
          <w:noProof/>
        </w:rPr>
        <w:t>the</w:t>
      </w:r>
      <w:r w:rsidRPr="00982726">
        <w:rPr>
          <w:noProof/>
        </w:rPr>
        <w:t xml:space="preserve"> principal objective </w:t>
      </w:r>
      <w:r>
        <w:rPr>
          <w:noProof/>
        </w:rPr>
        <w:t xml:space="preserve">of which </w:t>
      </w:r>
      <w:r w:rsidRPr="00982726">
        <w:rPr>
          <w:noProof/>
        </w:rPr>
        <w:t>is to improve gender equality;</w:t>
      </w:r>
    </w:p>
    <w:p w14:paraId="35736495" w14:textId="77777777" w:rsidR="009F2266" w:rsidRPr="00982726" w:rsidRDefault="009F2266" w:rsidP="009F2266">
      <w:pPr>
        <w:pStyle w:val="FootnoteText"/>
        <w:numPr>
          <w:ilvl w:val="0"/>
          <w:numId w:val="38"/>
        </w:numPr>
        <w:spacing w:after="60" w:line="264" w:lineRule="auto"/>
        <w:jc w:val="left"/>
        <w:rPr>
          <w:noProof/>
        </w:rPr>
      </w:pPr>
      <w:r>
        <w:rPr>
          <w:noProof/>
        </w:rPr>
        <w:t>1:</w:t>
      </w:r>
      <w:r w:rsidRPr="00982726">
        <w:rPr>
          <w:noProof/>
        </w:rPr>
        <w:t xml:space="preserve"> </w:t>
      </w:r>
      <w:r>
        <w:rPr>
          <w:noProof/>
        </w:rPr>
        <w:t>i</w:t>
      </w:r>
      <w:r w:rsidRPr="00982726">
        <w:rPr>
          <w:noProof/>
        </w:rPr>
        <w:t xml:space="preserve">nterventions </w:t>
      </w:r>
      <w:r>
        <w:rPr>
          <w:noProof/>
        </w:rPr>
        <w:t>that have</w:t>
      </w:r>
      <w:r w:rsidRPr="00982726">
        <w:rPr>
          <w:noProof/>
        </w:rPr>
        <w:t xml:space="preserve"> gender equality as an important and deliberate objective but not as the main reason for the intervention;</w:t>
      </w:r>
    </w:p>
    <w:p w14:paraId="26E68B30" w14:textId="77777777" w:rsidR="009F2266" w:rsidRPr="00982726" w:rsidRDefault="009F2266" w:rsidP="009F2266">
      <w:pPr>
        <w:pStyle w:val="FootnoteText"/>
        <w:numPr>
          <w:ilvl w:val="0"/>
          <w:numId w:val="38"/>
        </w:numPr>
        <w:spacing w:after="60" w:line="264" w:lineRule="auto"/>
        <w:jc w:val="left"/>
        <w:rPr>
          <w:noProof/>
        </w:rPr>
      </w:pPr>
      <w:r>
        <w:rPr>
          <w:noProof/>
        </w:rPr>
        <w:t>0:</w:t>
      </w:r>
      <w:r w:rsidRPr="00982726">
        <w:rPr>
          <w:noProof/>
        </w:rPr>
        <w:t xml:space="preserve"> </w:t>
      </w:r>
      <w:r>
        <w:rPr>
          <w:noProof/>
        </w:rPr>
        <w:t>n</w:t>
      </w:r>
      <w:r w:rsidRPr="00982726">
        <w:rPr>
          <w:noProof/>
        </w:rPr>
        <w:t>o</w:t>
      </w:r>
      <w:r>
        <w:rPr>
          <w:noProof/>
        </w:rPr>
        <w:t>n-</w:t>
      </w:r>
      <w:r w:rsidRPr="00982726">
        <w:rPr>
          <w:noProof/>
        </w:rPr>
        <w:t>targeted interventions</w:t>
      </w:r>
      <w:r>
        <w:rPr>
          <w:noProof/>
        </w:rPr>
        <w:t>;</w:t>
      </w:r>
    </w:p>
    <w:p w14:paraId="757668DB" w14:textId="77777777" w:rsidR="009F2266" w:rsidRPr="00982726" w:rsidRDefault="009F2266" w:rsidP="009F2266">
      <w:pPr>
        <w:pStyle w:val="FootnoteText"/>
        <w:numPr>
          <w:ilvl w:val="0"/>
          <w:numId w:val="38"/>
        </w:numPr>
        <w:spacing w:after="60" w:line="264" w:lineRule="auto"/>
        <w:jc w:val="left"/>
        <w:rPr>
          <w:noProof/>
        </w:rPr>
      </w:pPr>
      <w:r>
        <w:rPr>
          <w:noProof/>
        </w:rPr>
        <w:t>0*:</w:t>
      </w:r>
      <w:r w:rsidRPr="00982726">
        <w:rPr>
          <w:noProof/>
        </w:rPr>
        <w:t xml:space="preserve"> </w:t>
      </w:r>
      <w:r>
        <w:rPr>
          <w:noProof/>
        </w:rPr>
        <w:t>s</w:t>
      </w:r>
      <w:r w:rsidRPr="00982726">
        <w:rPr>
          <w:noProof/>
        </w:rPr>
        <w:t xml:space="preserve">core to be assigned to interventions with </w:t>
      </w:r>
      <w:r>
        <w:rPr>
          <w:noProof/>
        </w:rPr>
        <w:t xml:space="preserve">a </w:t>
      </w:r>
      <w:r w:rsidRPr="00982726">
        <w:rPr>
          <w:noProof/>
        </w:rPr>
        <w:t>likely but not yet clear positive impact on gender equality.</w:t>
      </w:r>
    </w:p>
    <w:p w14:paraId="5AA19125" w14:textId="77777777" w:rsidR="009F2266" w:rsidRPr="00040D99" w:rsidRDefault="009F2266" w:rsidP="009F2266">
      <w:pPr>
        <w:pStyle w:val="ppoHeading5"/>
        <w:rPr>
          <w:noProof/>
        </w:rPr>
      </w:pPr>
      <w:r w:rsidRPr="00040D99">
        <w:rPr>
          <w:noProof/>
        </w:rPr>
        <w:t>Performance assessment</w:t>
      </w:r>
    </w:p>
    <w:p w14:paraId="034A0E63" w14:textId="77777777" w:rsidR="009F2266" w:rsidRDefault="009F2266" w:rsidP="009F2266">
      <w:pPr>
        <w:pStyle w:val="ppoListHyphened-L1"/>
        <w:rPr>
          <w:noProof/>
        </w:rPr>
      </w:pPr>
      <w:r w:rsidRPr="00775DBC">
        <w:rPr>
          <w:noProof/>
        </w:rPr>
        <w:t xml:space="preserve">The performance </w:t>
      </w:r>
      <w:r>
        <w:rPr>
          <w:noProof/>
        </w:rPr>
        <w:t xml:space="preserve">of the BAR </w:t>
      </w:r>
      <w:r w:rsidRPr="00775DBC">
        <w:rPr>
          <w:noProof/>
        </w:rPr>
        <w:t xml:space="preserve">will be assessed on the basis of the data and information collected from the implementation reports of the Member States (to be submitted by </w:t>
      </w:r>
      <w:r>
        <w:rPr>
          <w:noProof/>
        </w:rPr>
        <w:t>30</w:t>
      </w:r>
      <w:r>
        <w:rPr>
          <w:rFonts w:ascii="Calibri" w:hAnsi="Calibri" w:cs="Calibri"/>
          <w:noProof/>
        </w:rPr>
        <w:t> </w:t>
      </w:r>
      <w:r w:rsidRPr="00775DBC">
        <w:rPr>
          <w:noProof/>
        </w:rPr>
        <w:t xml:space="preserve">September 2024). These reports will include </w:t>
      </w:r>
      <w:r>
        <w:rPr>
          <w:noProof/>
        </w:rPr>
        <w:t>a</w:t>
      </w:r>
      <w:r w:rsidRPr="00775DBC">
        <w:rPr>
          <w:noProof/>
        </w:rPr>
        <w:t xml:space="preserve"> description of the overall impact of the withdrawal</w:t>
      </w:r>
      <w:r>
        <w:rPr>
          <w:noProof/>
        </w:rPr>
        <w:t>, an</w:t>
      </w:r>
      <w:r w:rsidRPr="00775DBC">
        <w:rPr>
          <w:noProof/>
        </w:rPr>
        <w:t xml:space="preserve"> identification of the regions, areas and sectors most affected</w:t>
      </w:r>
      <w:r>
        <w:rPr>
          <w:noProof/>
        </w:rPr>
        <w:t xml:space="preserve"> and</w:t>
      </w:r>
      <w:r w:rsidRPr="00775DBC">
        <w:rPr>
          <w:noProof/>
        </w:rPr>
        <w:t xml:space="preserve"> </w:t>
      </w:r>
      <w:r>
        <w:rPr>
          <w:noProof/>
        </w:rPr>
        <w:t>a</w:t>
      </w:r>
      <w:r w:rsidRPr="00775DBC">
        <w:rPr>
          <w:noProof/>
        </w:rPr>
        <w:t xml:space="preserve"> description of the measures and the way</w:t>
      </w:r>
      <w:r>
        <w:rPr>
          <w:noProof/>
        </w:rPr>
        <w:t>s</w:t>
      </w:r>
      <w:r w:rsidRPr="00775DBC">
        <w:rPr>
          <w:noProof/>
        </w:rPr>
        <w:t xml:space="preserve"> in which those measures have contributed to alleviating this impact.</w:t>
      </w:r>
    </w:p>
    <w:p w14:paraId="4B16AC8D" w14:textId="77777777" w:rsidR="009F2266" w:rsidRPr="00775DBC" w:rsidRDefault="009F2266" w:rsidP="009F2266">
      <w:pPr>
        <w:pStyle w:val="ppoListHyphened-L1"/>
        <w:rPr>
          <w:noProof/>
        </w:rPr>
      </w:pPr>
      <w:r>
        <w:rPr>
          <w:noProof/>
        </w:rPr>
        <w:t>Indicators to measure performance will become available as output indicators through the reports.</w:t>
      </w:r>
    </w:p>
    <w:p w14:paraId="3FE68D18" w14:textId="77777777" w:rsidR="009F2266" w:rsidRPr="00775DBC" w:rsidRDefault="009F2266" w:rsidP="009F2266">
      <w:pPr>
        <w:pStyle w:val="ppoListHyphened-L1"/>
        <w:rPr>
          <w:noProof/>
        </w:rPr>
      </w:pPr>
      <w:r w:rsidRPr="00775DBC">
        <w:rPr>
          <w:noProof/>
        </w:rPr>
        <w:t xml:space="preserve">The Commission has </w:t>
      </w:r>
      <w:r>
        <w:rPr>
          <w:noProof/>
        </w:rPr>
        <w:t xml:space="preserve">provided </w:t>
      </w:r>
      <w:r w:rsidRPr="00775DBC">
        <w:rPr>
          <w:noProof/>
        </w:rPr>
        <w:t>and continues to provide support to Member State authorities through bilateral meetings, written replies, an information website and a seminar (</w:t>
      </w:r>
      <w:r>
        <w:rPr>
          <w:noProof/>
        </w:rPr>
        <w:t xml:space="preserve">held in </w:t>
      </w:r>
      <w:r w:rsidRPr="00775DBC">
        <w:rPr>
          <w:noProof/>
        </w:rPr>
        <w:t xml:space="preserve">July 2021) on the clarification of practicalities behind the BAR </w:t>
      </w:r>
      <w:r>
        <w:rPr>
          <w:noProof/>
        </w:rPr>
        <w:t>r</w:t>
      </w:r>
      <w:r w:rsidRPr="00775DBC">
        <w:rPr>
          <w:noProof/>
        </w:rPr>
        <w:t xml:space="preserve">egulation and </w:t>
      </w:r>
      <w:r>
        <w:rPr>
          <w:noProof/>
        </w:rPr>
        <w:t xml:space="preserve">the </w:t>
      </w:r>
      <w:r w:rsidRPr="00775DBC">
        <w:rPr>
          <w:noProof/>
        </w:rPr>
        <w:t>preparation of their potential measures.</w:t>
      </w:r>
    </w:p>
    <w:p w14:paraId="0ABFA378" w14:textId="77777777" w:rsidR="009F2266" w:rsidRPr="00775DBC" w:rsidRDefault="009F2266" w:rsidP="009F2266">
      <w:pPr>
        <w:pStyle w:val="ppoListHyphened-L1"/>
        <w:rPr>
          <w:noProof/>
        </w:rPr>
      </w:pPr>
      <w:r w:rsidRPr="00775DBC">
        <w:rPr>
          <w:noProof/>
        </w:rPr>
        <w:t xml:space="preserve">The Commission will then carry out an evaluation of the </w:t>
      </w:r>
      <w:r>
        <w:rPr>
          <w:noProof/>
        </w:rPr>
        <w:t>r</w:t>
      </w:r>
      <w:r w:rsidRPr="00775DBC">
        <w:rPr>
          <w:noProof/>
        </w:rPr>
        <w:t>eserve in 2027 and will submit a report to the Parli</w:t>
      </w:r>
      <w:r>
        <w:rPr>
          <w:noProof/>
        </w:rPr>
        <w:t>ament and the Council in 2028.</w:t>
      </w:r>
    </w:p>
    <w:p w14:paraId="4E947B67" w14:textId="31634CA7" w:rsidR="00E73D04" w:rsidRPr="009F2266" w:rsidRDefault="00E73D04" w:rsidP="005348AD">
      <w:pPr>
        <w:pStyle w:val="ppoListHyphened-L1"/>
        <w:numPr>
          <w:ilvl w:val="0"/>
          <w:numId w:val="0"/>
        </w:numPr>
        <w:ind w:left="357" w:hanging="357"/>
        <w:rPr>
          <w:b/>
          <w:noProof/>
        </w:rPr>
      </w:pPr>
    </w:p>
    <w:sectPr w:rsidR="00E73D04" w:rsidRPr="009F2266" w:rsidSect="005D691E">
      <w:headerReference w:type="even" r:id="rId668"/>
      <w:headerReference w:type="default" r:id="rId669"/>
      <w:footerReference w:type="even" r:id="rId670"/>
      <w:footerReference w:type="default" r:id="rId671"/>
      <w:headerReference w:type="first" r:id="rId672"/>
      <w:footerReference w:type="first" r:id="rId673"/>
      <w:type w:val="continuous"/>
      <w:pgSz w:w="11906" w:h="16838" w:code="9"/>
      <w:pgMar w:top="1134" w:right="1134" w:bottom="964" w:left="1134" w:header="431" w:footer="4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B65C6B" w14:textId="77777777" w:rsidR="005E2670" w:rsidRDefault="005E2670">
      <w:pPr>
        <w:spacing w:after="0"/>
      </w:pPr>
      <w:r>
        <w:separator/>
      </w:r>
    </w:p>
  </w:endnote>
  <w:endnote w:type="continuationSeparator" w:id="0">
    <w:p w14:paraId="0D727A27" w14:textId="77777777" w:rsidR="005E2670" w:rsidRDefault="005E2670">
      <w:pPr>
        <w:spacing w:after="0"/>
      </w:pPr>
      <w:r>
        <w:continuationSeparator/>
      </w:r>
    </w:p>
  </w:endnote>
  <w:endnote w:type="continuationNotice" w:id="1">
    <w:p w14:paraId="49837F9B" w14:textId="77777777" w:rsidR="005E2670" w:rsidRDefault="005E267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 Square Sans Pro">
    <w:altName w:val="Bahnschrift Light"/>
    <w:charset w:val="00"/>
    <w:family w:val="swiss"/>
    <w:pitch w:val="variable"/>
    <w:sig w:usb0="00000001"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roxima Nova">
    <w:altName w:val="EC Square Sans Pro Light"/>
    <w:charset w:val="00"/>
    <w:family w:val="auto"/>
    <w:pitch w:val="variable"/>
    <w:sig w:usb0="A00002EF" w:usb1="5000E0FB" w:usb2="00000000" w:usb3="00000000" w:csb0="0000019F" w:csb1="00000000"/>
  </w:font>
  <w:font w:name="Calibri">
    <w:panose1 w:val="020F0502020204030204"/>
    <w:charset w:val="00"/>
    <w:family w:val="swiss"/>
    <w:pitch w:val="variable"/>
    <w:sig w:usb0="E0002EFF" w:usb1="C000247B" w:usb2="00000009" w:usb3="00000000" w:csb0="000001FF" w:csb1="00000000"/>
  </w:font>
  <w:font w:name="EC Square Sans Cond Pro">
    <w:altName w:val="Bahnschrift Light"/>
    <w:charset w:val="00"/>
    <w:family w:val="swiss"/>
    <w:pitch w:val="variable"/>
    <w:sig w:usb0="00000001" w:usb1="500000DB" w:usb2="00000000" w:usb3="00000000" w:csb0="0000019F" w:csb1="00000000"/>
  </w:font>
  <w:font w:name="Times New Roman Bold">
    <w:panose1 w:val="02020803070505020304"/>
    <w:charset w:val="00"/>
    <w:family w:val="roman"/>
    <w:notTrueType/>
    <w:pitch w:val="default"/>
  </w:font>
  <w:font w:name="EC Square Sans Cond Pro Medium">
    <w:altName w:val="Arial"/>
    <w:charset w:val="00"/>
    <w:family w:val="swiss"/>
    <w:pitch w:val="variable"/>
    <w:sig w:usb0="00000001" w:usb1="500000DB" w:usb2="00000000" w:usb3="00000000" w:csb0="0000019F" w:csb1="00000000"/>
  </w:font>
  <w:font w:name="EC Square Sans Pro Medium">
    <w:altName w:val="Corbel"/>
    <w:charset w:val="00"/>
    <w:family w:val="swiss"/>
    <w:pitch w:val="variable"/>
    <w:sig w:usb0="00000001"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00000000"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43852" w14:textId="77777777" w:rsidR="00E01E9B" w:rsidRPr="00E01E9B" w:rsidRDefault="00E01E9B" w:rsidP="00E01E9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00338" w14:textId="77777777" w:rsidR="005E2670" w:rsidRPr="00040D99" w:rsidRDefault="005E2670" w:rsidP="00D26688">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7963F"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1616848"/>
      <w:docPartObj>
        <w:docPartGallery w:val="Page Numbers (Bottom of Page)"/>
        <w:docPartUnique/>
      </w:docPartObj>
    </w:sdtPr>
    <w:sdtEndPr>
      <w:rPr>
        <w:noProof/>
      </w:rPr>
    </w:sdtEndPr>
    <w:sdtContent>
      <w:p w14:paraId="7523348F" w14:textId="4B709E56"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287</w:t>
        </w:r>
        <w:r w:rsidRPr="00040D99">
          <w:rPr>
            <w:noProof/>
          </w:rPr>
          <w:fldChar w:fldCharType="end"/>
        </w:r>
      </w:p>
    </w:sdtContent>
  </w:sdt>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EF5AF" w14:textId="77777777" w:rsidR="005E2670" w:rsidRDefault="005E2670">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7F33D"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2390364"/>
      <w:docPartObj>
        <w:docPartGallery w:val="Page Numbers (Bottom of Page)"/>
        <w:docPartUnique/>
      </w:docPartObj>
    </w:sdtPr>
    <w:sdtEndPr>
      <w:rPr>
        <w:noProof/>
      </w:rPr>
    </w:sdtEndPr>
    <w:sdtContent>
      <w:p w14:paraId="303101B6" w14:textId="576380B8"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290</w:t>
        </w:r>
        <w:r w:rsidRPr="00040D99">
          <w:rPr>
            <w:noProof/>
          </w:rPr>
          <w:fldChar w:fldCharType="end"/>
        </w:r>
      </w:p>
    </w:sdtContent>
  </w:sdt>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81C76" w14:textId="77777777" w:rsidR="005E2670" w:rsidRDefault="005E2670">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7FC87"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8763146"/>
      <w:docPartObj>
        <w:docPartGallery w:val="Page Numbers (Bottom of Page)"/>
        <w:docPartUnique/>
      </w:docPartObj>
    </w:sdtPr>
    <w:sdtEndPr>
      <w:rPr>
        <w:noProof/>
      </w:rPr>
    </w:sdtEndPr>
    <w:sdtContent>
      <w:p w14:paraId="066DB47F" w14:textId="68760C12"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300</w:t>
        </w:r>
        <w:r w:rsidRPr="00040D99">
          <w:rPr>
            <w:noProof/>
          </w:rPr>
          <w:fldChar w:fldCharType="end"/>
        </w:r>
      </w:p>
    </w:sdtContent>
  </w:sdt>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8CF10" w14:textId="77777777" w:rsidR="005E2670" w:rsidRDefault="005E2670">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41FDA"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4823510"/>
      <w:docPartObj>
        <w:docPartGallery w:val="Page Numbers (Bottom of Page)"/>
        <w:docPartUnique/>
      </w:docPartObj>
    </w:sdtPr>
    <w:sdtEndPr>
      <w:rPr>
        <w:noProof/>
      </w:rPr>
    </w:sdtEndPr>
    <w:sdtContent>
      <w:p w14:paraId="4249715C" w14:textId="06E00535" w:rsidR="005E2670" w:rsidRPr="00040D99" w:rsidRDefault="005E2670" w:rsidP="00D26688">
        <w:pPr>
          <w:pStyle w:val="Footer-OddPage"/>
        </w:pPr>
        <w:r w:rsidRPr="00040D99">
          <w:fldChar w:fldCharType="begin"/>
        </w:r>
        <w:r w:rsidRPr="00040D99">
          <w:instrText xml:space="preserve"> PAGE   \* MERGEFORMAT </w:instrText>
        </w:r>
        <w:r w:rsidRPr="00040D99">
          <w:fldChar w:fldCharType="separate"/>
        </w:r>
        <w:r w:rsidR="00D539B7">
          <w:rPr>
            <w:noProof/>
          </w:rPr>
          <w:t>19</w:t>
        </w:r>
        <w:r w:rsidRPr="00040D99">
          <w:rPr>
            <w:noProof/>
          </w:rPr>
          <w:fldChar w:fldCharType="end"/>
        </w:r>
      </w:p>
    </w:sdtContent>
  </w:sdt>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763229"/>
      <w:docPartObj>
        <w:docPartGallery w:val="Page Numbers (Bottom of Page)"/>
        <w:docPartUnique/>
      </w:docPartObj>
    </w:sdtPr>
    <w:sdtEndPr>
      <w:rPr>
        <w:noProof/>
      </w:rPr>
    </w:sdtEndPr>
    <w:sdtContent>
      <w:p w14:paraId="12F2A11D" w14:textId="62E8AB4C"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301</w:t>
        </w:r>
        <w:r w:rsidRPr="00040D99">
          <w:rPr>
            <w:noProof/>
          </w:rPr>
          <w:fldChar w:fldCharType="end"/>
        </w:r>
      </w:p>
    </w:sdtContent>
  </w:sdt>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C7F3E" w14:textId="77777777" w:rsidR="005E2670" w:rsidRDefault="005E2670">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D7A19"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8223953"/>
      <w:docPartObj>
        <w:docPartGallery w:val="Page Numbers (Bottom of Page)"/>
        <w:docPartUnique/>
      </w:docPartObj>
    </w:sdtPr>
    <w:sdtEndPr>
      <w:rPr>
        <w:noProof/>
      </w:rPr>
    </w:sdtEndPr>
    <w:sdtContent>
      <w:p w14:paraId="217F756F" w14:textId="1DFC170B"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307</w:t>
        </w:r>
        <w:r w:rsidRPr="00040D99">
          <w:rPr>
            <w:noProof/>
          </w:rPr>
          <w:fldChar w:fldCharType="end"/>
        </w:r>
      </w:p>
    </w:sdtContent>
  </w:sdt>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A5E37" w14:textId="77777777" w:rsidR="005E2670" w:rsidRDefault="005E2670">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5A9E2"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2686991"/>
      <w:docPartObj>
        <w:docPartGallery w:val="Page Numbers (Bottom of Page)"/>
        <w:docPartUnique/>
      </w:docPartObj>
    </w:sdtPr>
    <w:sdtEndPr>
      <w:rPr>
        <w:noProof/>
      </w:rPr>
    </w:sdtEndPr>
    <w:sdtContent>
      <w:p w14:paraId="3154C74F" w14:textId="5DB73A5E"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308</w:t>
        </w:r>
        <w:r w:rsidRPr="00040D99">
          <w:rPr>
            <w:noProof/>
          </w:rPr>
          <w:fldChar w:fldCharType="end"/>
        </w:r>
      </w:p>
    </w:sdtContent>
  </w:sdt>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0FBB6" w14:textId="77777777" w:rsidR="005E2670" w:rsidRDefault="005E2670">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AAC89"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7289819"/>
      <w:docPartObj>
        <w:docPartGallery w:val="Page Numbers (Bottom of Page)"/>
        <w:docPartUnique/>
      </w:docPartObj>
    </w:sdtPr>
    <w:sdtEndPr>
      <w:rPr>
        <w:noProof/>
      </w:rPr>
    </w:sdtEndPr>
    <w:sdtContent>
      <w:p w14:paraId="05B2575B" w14:textId="49D889BE"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317</w:t>
        </w:r>
        <w:r w:rsidRPr="00040D99">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2BBEC" w14:textId="77777777" w:rsidR="005E2670" w:rsidRDefault="005E2670">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C558B" w14:textId="77777777" w:rsidR="005E2670" w:rsidRDefault="005E2670">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0A81D"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3479663"/>
      <w:docPartObj>
        <w:docPartGallery w:val="Page Numbers (Bottom of Page)"/>
        <w:docPartUnique/>
      </w:docPartObj>
    </w:sdtPr>
    <w:sdtEndPr>
      <w:rPr>
        <w:noProof/>
      </w:rPr>
    </w:sdtEndPr>
    <w:sdtContent>
      <w:p w14:paraId="4627DCAE" w14:textId="2CF7EEC4"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318</w:t>
        </w:r>
        <w:r w:rsidRPr="00040D99">
          <w:rPr>
            <w:noProof/>
          </w:rPr>
          <w:fldChar w:fldCharType="end"/>
        </w:r>
      </w:p>
    </w:sdtContent>
  </w:sdt>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C8731" w14:textId="77777777" w:rsidR="005E2670" w:rsidRDefault="005E2670">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4C072"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805207"/>
      <w:docPartObj>
        <w:docPartGallery w:val="Page Numbers (Bottom of Page)"/>
        <w:docPartUnique/>
      </w:docPartObj>
    </w:sdtPr>
    <w:sdtEndPr>
      <w:rPr>
        <w:noProof/>
      </w:rPr>
    </w:sdtEndPr>
    <w:sdtContent>
      <w:p w14:paraId="3FA0FF58" w14:textId="470C32CC"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328</w:t>
        </w:r>
        <w:r w:rsidRPr="00040D99">
          <w:rPr>
            <w:noProof/>
          </w:rPr>
          <w:fldChar w:fldCharType="end"/>
        </w:r>
      </w:p>
    </w:sdtContent>
  </w:sdt>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4BCAB" w14:textId="77777777" w:rsidR="005E2670" w:rsidRDefault="005E2670">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6B16D"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0118824"/>
      <w:docPartObj>
        <w:docPartGallery w:val="Page Numbers (Bottom of Page)"/>
        <w:docPartUnique/>
      </w:docPartObj>
    </w:sdtPr>
    <w:sdtEndPr>
      <w:rPr>
        <w:noProof/>
      </w:rPr>
    </w:sdtEndPr>
    <w:sdtContent>
      <w:p w14:paraId="281EC269" w14:textId="26A35F49"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329</w:t>
        </w:r>
        <w:r w:rsidRPr="00040D99">
          <w:rPr>
            <w:noProof/>
          </w:rPr>
          <w:fldChar w:fldCharType="end"/>
        </w:r>
      </w:p>
    </w:sdtContent>
  </w:sdt>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B10AF" w14:textId="77777777" w:rsidR="005E2670" w:rsidRDefault="005E267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7ED8D" w14:textId="77777777" w:rsidR="005E2670" w:rsidRPr="00040D99" w:rsidRDefault="005E2670" w:rsidP="00813D25">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00327"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4411493"/>
      <w:docPartObj>
        <w:docPartGallery w:val="Page Numbers (Bottom of Page)"/>
        <w:docPartUnique/>
      </w:docPartObj>
    </w:sdtPr>
    <w:sdtEndPr>
      <w:rPr>
        <w:noProof/>
      </w:rPr>
    </w:sdtEndPr>
    <w:sdtContent>
      <w:p w14:paraId="42887907" w14:textId="70669A3A"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335</w:t>
        </w:r>
        <w:r w:rsidRPr="00040D99">
          <w:rPr>
            <w:noProof/>
          </w:rPr>
          <w:fldChar w:fldCharType="end"/>
        </w:r>
      </w:p>
    </w:sdtContent>
  </w:sdt>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0BB75" w14:textId="77777777" w:rsidR="005E2670" w:rsidRDefault="005E2670">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1A89B"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9742153"/>
      <w:docPartObj>
        <w:docPartGallery w:val="Page Numbers (Bottom of Page)"/>
        <w:docPartUnique/>
      </w:docPartObj>
    </w:sdtPr>
    <w:sdtEndPr>
      <w:rPr>
        <w:noProof/>
      </w:rPr>
    </w:sdtEndPr>
    <w:sdtContent>
      <w:p w14:paraId="1EE12BEA" w14:textId="0EADDB21"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336</w:t>
        </w:r>
        <w:r w:rsidRPr="00040D99">
          <w:rPr>
            <w:noProof/>
          </w:rPr>
          <w:fldChar w:fldCharType="end"/>
        </w:r>
      </w:p>
    </w:sdtContent>
  </w:sdt>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5CB75" w14:textId="77777777" w:rsidR="005E2670" w:rsidRDefault="005E2670">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80951"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4459641"/>
      <w:docPartObj>
        <w:docPartGallery w:val="Page Numbers (Bottom of Page)"/>
        <w:docPartUnique/>
      </w:docPartObj>
    </w:sdtPr>
    <w:sdtEndPr>
      <w:rPr>
        <w:noProof/>
      </w:rPr>
    </w:sdtEndPr>
    <w:sdtContent>
      <w:p w14:paraId="37EE9C74" w14:textId="010E6C91"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345</w:t>
        </w:r>
        <w:r w:rsidRPr="00040D99">
          <w:rPr>
            <w:noProof/>
          </w:rPr>
          <w:fldChar w:fldCharType="end"/>
        </w:r>
      </w:p>
    </w:sdtContent>
  </w:sdt>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FDB03" w14:textId="77777777" w:rsidR="005E2670" w:rsidRDefault="005E2670">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DBD9A"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587580"/>
      <w:docPartObj>
        <w:docPartGallery w:val="Page Numbers (Bottom of Page)"/>
        <w:docPartUnique/>
      </w:docPartObj>
    </w:sdtPr>
    <w:sdtEndPr>
      <w:rPr>
        <w:noProof/>
      </w:rPr>
    </w:sdtEndPr>
    <w:sdtContent>
      <w:p w14:paraId="3A47EDB9" w14:textId="71E74633" w:rsidR="005E2670" w:rsidRPr="00040D99" w:rsidRDefault="005E2670" w:rsidP="00813D25">
        <w:pPr>
          <w:pStyle w:val="Footer-OddPage"/>
        </w:pPr>
        <w:r w:rsidRPr="00040D99">
          <w:fldChar w:fldCharType="begin"/>
        </w:r>
        <w:r w:rsidRPr="00040D99">
          <w:instrText xml:space="preserve"> PAGE   \* MERGEFORMAT </w:instrText>
        </w:r>
        <w:r w:rsidRPr="00040D99">
          <w:fldChar w:fldCharType="separate"/>
        </w:r>
        <w:r w:rsidR="00654C7E">
          <w:rPr>
            <w:noProof/>
          </w:rPr>
          <w:t>28</w:t>
        </w:r>
        <w:r w:rsidRPr="00040D99">
          <w:rPr>
            <w:noProof/>
          </w:rPr>
          <w:fldChar w:fldCharType="end"/>
        </w:r>
      </w:p>
    </w:sdtContent>
  </w:sdt>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9923878"/>
      <w:docPartObj>
        <w:docPartGallery w:val="Page Numbers (Bottom of Page)"/>
        <w:docPartUnique/>
      </w:docPartObj>
    </w:sdtPr>
    <w:sdtEndPr>
      <w:rPr>
        <w:noProof/>
      </w:rPr>
    </w:sdtEndPr>
    <w:sdtContent>
      <w:p w14:paraId="6DD0FDBF" w14:textId="20E06CE1"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346</w:t>
        </w:r>
        <w:r w:rsidRPr="00040D99">
          <w:rPr>
            <w:noProof/>
          </w:rPr>
          <w:fldChar w:fldCharType="end"/>
        </w:r>
      </w:p>
    </w:sdtContent>
  </w:sdt>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865FB" w14:textId="77777777" w:rsidR="005E2670" w:rsidRDefault="005E2670">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A1117"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918858"/>
      <w:docPartObj>
        <w:docPartGallery w:val="Page Numbers (Bottom of Page)"/>
        <w:docPartUnique/>
      </w:docPartObj>
    </w:sdtPr>
    <w:sdtEndPr>
      <w:rPr>
        <w:noProof/>
      </w:rPr>
    </w:sdtEndPr>
    <w:sdtContent>
      <w:p w14:paraId="34D4F1F1" w14:textId="64AB48B4"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351</w:t>
        </w:r>
        <w:r w:rsidRPr="00040D99">
          <w:rPr>
            <w:noProof/>
          </w:rPr>
          <w:fldChar w:fldCharType="end"/>
        </w:r>
      </w:p>
    </w:sdtContent>
  </w:sdt>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EE3D6" w14:textId="77777777" w:rsidR="005E2670" w:rsidRDefault="005E2670">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F9331"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318596"/>
      <w:docPartObj>
        <w:docPartGallery w:val="Page Numbers (Bottom of Page)"/>
        <w:docPartUnique/>
      </w:docPartObj>
    </w:sdtPr>
    <w:sdtEndPr>
      <w:rPr>
        <w:noProof/>
      </w:rPr>
    </w:sdtEndPr>
    <w:sdtContent>
      <w:p w14:paraId="52C39A55" w14:textId="191DB51D"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352</w:t>
        </w:r>
        <w:r w:rsidRPr="00040D99">
          <w:rPr>
            <w:noProof/>
          </w:rPr>
          <w:fldChar w:fldCharType="end"/>
        </w:r>
      </w:p>
    </w:sdtContent>
  </w:sdt>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BEDBD" w14:textId="77777777" w:rsidR="005E2670" w:rsidRDefault="005E2670">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DE5A9"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0391183"/>
      <w:docPartObj>
        <w:docPartGallery w:val="Page Numbers (Bottom of Page)"/>
        <w:docPartUnique/>
      </w:docPartObj>
    </w:sdtPr>
    <w:sdtEndPr>
      <w:rPr>
        <w:noProof/>
      </w:rPr>
    </w:sdtEndPr>
    <w:sdtContent>
      <w:p w14:paraId="162FD629" w14:textId="52DEB578"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362</w:t>
        </w:r>
        <w:r w:rsidRPr="00040D99">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A9E36" w14:textId="77777777" w:rsidR="005E2670" w:rsidRDefault="005E2670">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45B06" w14:textId="77777777" w:rsidR="005E2670" w:rsidRDefault="005E2670">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88695"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4919734"/>
      <w:docPartObj>
        <w:docPartGallery w:val="Page Numbers (Bottom of Page)"/>
        <w:docPartUnique/>
      </w:docPartObj>
    </w:sdtPr>
    <w:sdtEndPr>
      <w:rPr>
        <w:noProof/>
      </w:rPr>
    </w:sdtEndPr>
    <w:sdtContent>
      <w:p w14:paraId="604CF498" w14:textId="1012D602"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363</w:t>
        </w:r>
        <w:r w:rsidRPr="00040D99">
          <w:rPr>
            <w:noProof/>
          </w:rPr>
          <w:fldChar w:fldCharType="end"/>
        </w:r>
      </w:p>
    </w:sdtContent>
  </w:sdt>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A60A8" w14:textId="77777777" w:rsidR="005E2670" w:rsidRDefault="005E2670">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8E563"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2595747"/>
      <w:docPartObj>
        <w:docPartGallery w:val="Page Numbers (Bottom of Page)"/>
        <w:docPartUnique/>
      </w:docPartObj>
    </w:sdtPr>
    <w:sdtEndPr>
      <w:rPr>
        <w:noProof/>
      </w:rPr>
    </w:sdtEndPr>
    <w:sdtContent>
      <w:p w14:paraId="7CDEA7A2" w14:textId="30DFC2BF"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373</w:t>
        </w:r>
        <w:r w:rsidRPr="00040D99">
          <w:rPr>
            <w:noProof/>
          </w:rPr>
          <w:fldChar w:fldCharType="end"/>
        </w:r>
      </w:p>
    </w:sdtContent>
  </w:sdt>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1E365" w14:textId="77777777" w:rsidR="005E2670" w:rsidRDefault="005E2670">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22EF5"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1068556"/>
      <w:docPartObj>
        <w:docPartGallery w:val="Page Numbers (Bottom of Page)"/>
        <w:docPartUnique/>
      </w:docPartObj>
    </w:sdtPr>
    <w:sdtEndPr>
      <w:rPr>
        <w:noProof/>
      </w:rPr>
    </w:sdtEndPr>
    <w:sdtContent>
      <w:p w14:paraId="3113DB3D" w14:textId="6DFDACA8"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374</w:t>
        </w:r>
        <w:r w:rsidRPr="00040D99">
          <w:rPr>
            <w:noProof/>
          </w:rPr>
          <w:fldChar w:fldCharType="end"/>
        </w:r>
      </w:p>
    </w:sdtContent>
  </w:sdt>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35D06" w14:textId="77777777" w:rsidR="005E2670" w:rsidRDefault="005E267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62FF8" w14:textId="77777777" w:rsidR="005E2670" w:rsidRPr="00040D99" w:rsidRDefault="005E2670" w:rsidP="00BB20EB">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4542"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5862114"/>
      <w:docPartObj>
        <w:docPartGallery w:val="Page Numbers (Bottom of Page)"/>
        <w:docPartUnique/>
      </w:docPartObj>
    </w:sdtPr>
    <w:sdtEndPr>
      <w:rPr>
        <w:noProof/>
      </w:rPr>
    </w:sdtEndPr>
    <w:sdtContent>
      <w:p w14:paraId="0B593C47" w14:textId="60754CD4"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382</w:t>
        </w:r>
        <w:r w:rsidRPr="00040D99">
          <w:rPr>
            <w:noProof/>
          </w:rPr>
          <w:fldChar w:fldCharType="end"/>
        </w:r>
      </w:p>
    </w:sdtContent>
  </w:sdt>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E9CF0" w14:textId="77777777" w:rsidR="005E2670" w:rsidRDefault="005E2670">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3C2FE"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2868408"/>
      <w:docPartObj>
        <w:docPartGallery w:val="Page Numbers (Bottom of Page)"/>
        <w:docPartUnique/>
      </w:docPartObj>
    </w:sdtPr>
    <w:sdtEndPr>
      <w:rPr>
        <w:noProof/>
      </w:rPr>
    </w:sdtEndPr>
    <w:sdtContent>
      <w:p w14:paraId="4F820D44" w14:textId="04D20DA5"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383</w:t>
        </w:r>
        <w:r w:rsidRPr="00040D99">
          <w:rPr>
            <w:noProof/>
          </w:rPr>
          <w:fldChar w:fldCharType="end"/>
        </w:r>
      </w:p>
    </w:sdtContent>
  </w:sdt>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07CCC" w14:textId="77777777" w:rsidR="005E2670" w:rsidRDefault="005E2670">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8EB21"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3781141"/>
      <w:docPartObj>
        <w:docPartGallery w:val="Page Numbers (Bottom of Page)"/>
        <w:docPartUnique/>
      </w:docPartObj>
    </w:sdtPr>
    <w:sdtEndPr>
      <w:rPr>
        <w:noProof/>
      </w:rPr>
    </w:sdtEndPr>
    <w:sdtContent>
      <w:p w14:paraId="7CC6E0C8" w14:textId="359AF2AF"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391</w:t>
        </w:r>
        <w:r w:rsidRPr="00040D99">
          <w:rPr>
            <w:noProof/>
          </w:rPr>
          <w:fldChar w:fldCharType="end"/>
        </w:r>
      </w:p>
    </w:sdtContent>
  </w:sdt>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287E1" w14:textId="77777777" w:rsidR="005E2670" w:rsidRDefault="005E2670">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80A47"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9441685"/>
      <w:docPartObj>
        <w:docPartGallery w:val="Page Numbers (Bottom of Page)"/>
        <w:docPartUnique/>
      </w:docPartObj>
    </w:sdtPr>
    <w:sdtEndPr>
      <w:rPr>
        <w:noProof/>
      </w:rPr>
    </w:sdtEndPr>
    <w:sdtContent>
      <w:p w14:paraId="25445C21" w14:textId="651431FE" w:rsidR="005E2670" w:rsidRPr="00040D99" w:rsidRDefault="005E2670" w:rsidP="00BB20EB">
        <w:pPr>
          <w:pStyle w:val="Footer-OddPage"/>
        </w:pPr>
        <w:r w:rsidRPr="00040D99">
          <w:fldChar w:fldCharType="begin"/>
        </w:r>
        <w:r w:rsidRPr="00040D99">
          <w:instrText xml:space="preserve"> PAGE   \* MERGEFORMAT </w:instrText>
        </w:r>
        <w:r w:rsidRPr="00040D99">
          <w:fldChar w:fldCharType="separate"/>
        </w:r>
        <w:r w:rsidR="00654C7E">
          <w:rPr>
            <w:noProof/>
          </w:rPr>
          <w:t>45</w:t>
        </w:r>
        <w:r w:rsidRPr="00040D99">
          <w:rPr>
            <w:noProof/>
          </w:rPr>
          <w:fldChar w:fldCharType="end"/>
        </w:r>
      </w:p>
    </w:sdtContent>
  </w:sdt>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3782436"/>
      <w:docPartObj>
        <w:docPartGallery w:val="Page Numbers (Bottom of Page)"/>
        <w:docPartUnique/>
      </w:docPartObj>
    </w:sdtPr>
    <w:sdtEndPr>
      <w:rPr>
        <w:noProof/>
      </w:rPr>
    </w:sdtEndPr>
    <w:sdtContent>
      <w:p w14:paraId="3BB95763" w14:textId="220C3DD3"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392</w:t>
        </w:r>
        <w:r w:rsidRPr="00040D99">
          <w:rPr>
            <w:noProof/>
          </w:rPr>
          <w:fldChar w:fldCharType="end"/>
        </w:r>
      </w:p>
    </w:sdtContent>
  </w:sdt>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B92FD" w14:textId="77777777" w:rsidR="005E2670" w:rsidRDefault="005E2670">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6A293"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3480979"/>
      <w:docPartObj>
        <w:docPartGallery w:val="Page Numbers (Bottom of Page)"/>
        <w:docPartUnique/>
      </w:docPartObj>
    </w:sdtPr>
    <w:sdtEndPr>
      <w:rPr>
        <w:noProof/>
      </w:rPr>
    </w:sdtEndPr>
    <w:sdtContent>
      <w:p w14:paraId="4637109F" w14:textId="5BEC2CCD"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402</w:t>
        </w:r>
        <w:r w:rsidRPr="00040D99">
          <w:rPr>
            <w:noProof/>
          </w:rPr>
          <w:fldChar w:fldCharType="end"/>
        </w:r>
      </w:p>
    </w:sdtContent>
  </w:sdt>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983E6" w14:textId="77777777" w:rsidR="005E2670" w:rsidRDefault="005E2670">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F601B"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0907209"/>
      <w:docPartObj>
        <w:docPartGallery w:val="Page Numbers (Bottom of Page)"/>
        <w:docPartUnique/>
      </w:docPartObj>
    </w:sdtPr>
    <w:sdtEndPr>
      <w:rPr>
        <w:noProof/>
      </w:rPr>
    </w:sdtEndPr>
    <w:sdtContent>
      <w:p w14:paraId="32C0122E" w14:textId="52465969"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403</w:t>
        </w:r>
        <w:r w:rsidRPr="00040D99">
          <w:rPr>
            <w:noProof/>
          </w:rPr>
          <w:fldChar w:fldCharType="end"/>
        </w:r>
      </w:p>
    </w:sdtContent>
  </w:sdt>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9C31D" w14:textId="77777777" w:rsidR="005E2670" w:rsidRDefault="005E2670">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F6F40"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446295"/>
      <w:docPartObj>
        <w:docPartGallery w:val="Page Numbers (Bottom of Page)"/>
        <w:docPartUnique/>
      </w:docPartObj>
    </w:sdtPr>
    <w:sdtEndPr>
      <w:rPr>
        <w:noProof/>
      </w:rPr>
    </w:sdtEndPr>
    <w:sdtContent>
      <w:p w14:paraId="19F1A80E" w14:textId="21676F3D"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413</w:t>
        </w:r>
        <w:r w:rsidRPr="00040D99">
          <w:rPr>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BC07E" w14:textId="77777777" w:rsidR="005E2670" w:rsidRDefault="005E2670">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BB431" w14:textId="77777777" w:rsidR="005E2670" w:rsidRDefault="005E2670">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1FE8A"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7912488"/>
      <w:docPartObj>
        <w:docPartGallery w:val="Page Numbers (Bottom of Page)"/>
        <w:docPartUnique/>
      </w:docPartObj>
    </w:sdtPr>
    <w:sdtEndPr>
      <w:rPr>
        <w:noProof/>
      </w:rPr>
    </w:sdtEndPr>
    <w:sdtContent>
      <w:p w14:paraId="52A039B5" w14:textId="1860FE4E"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414</w:t>
        </w:r>
        <w:r w:rsidRPr="00040D99">
          <w:rPr>
            <w:noProof/>
          </w:rPr>
          <w:fldChar w:fldCharType="end"/>
        </w:r>
      </w:p>
    </w:sdtContent>
  </w:sdt>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6607F" w14:textId="77777777" w:rsidR="005E2670" w:rsidRDefault="005E2670">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C74DA"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6085917"/>
      <w:docPartObj>
        <w:docPartGallery w:val="Page Numbers (Bottom of Page)"/>
        <w:docPartUnique/>
      </w:docPartObj>
    </w:sdtPr>
    <w:sdtEndPr>
      <w:rPr>
        <w:noProof/>
      </w:rPr>
    </w:sdtEndPr>
    <w:sdtContent>
      <w:p w14:paraId="12A4AC81" w14:textId="0F68D216"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435</w:t>
        </w:r>
        <w:r w:rsidRPr="00040D99">
          <w:rPr>
            <w:noProof/>
          </w:rPr>
          <w:fldChar w:fldCharType="end"/>
        </w:r>
      </w:p>
    </w:sdtContent>
  </w:sdt>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F68D6" w14:textId="77777777" w:rsidR="005E2670" w:rsidRDefault="005E2670">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DB9D5"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p w14:paraId="125F0B4E" w14:textId="77777777" w:rsidR="005E2670" w:rsidRDefault="005E2670"/>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4873413"/>
      <w:docPartObj>
        <w:docPartGallery w:val="Page Numbers (Bottom of Page)"/>
        <w:docPartUnique/>
      </w:docPartObj>
    </w:sdtPr>
    <w:sdtEndPr>
      <w:rPr>
        <w:noProof/>
      </w:rPr>
    </w:sdtEndPr>
    <w:sdtContent>
      <w:p w14:paraId="5FA389C8" w14:textId="0F21A22D"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436</w:t>
        </w:r>
        <w:r w:rsidRPr="00040D99">
          <w:rPr>
            <w:noProof/>
          </w:rPr>
          <w:fldChar w:fldCharType="end"/>
        </w:r>
      </w:p>
    </w:sdtContent>
  </w:sdt>
  <w:p w14:paraId="1FE9B6D1" w14:textId="77777777" w:rsidR="005E2670" w:rsidRDefault="005E2670"/>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CBEC6" w14:textId="77777777" w:rsidR="005E2670" w:rsidRDefault="005E267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DE935" w14:textId="77777777" w:rsidR="005E2670" w:rsidRPr="00040D99" w:rsidRDefault="005E2670" w:rsidP="00BB20EB">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7AFA4"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p w14:paraId="0819D5C9" w14:textId="77777777" w:rsidR="005E2670" w:rsidRDefault="005E2670"/>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5735465"/>
      <w:docPartObj>
        <w:docPartGallery w:val="Page Numbers (Bottom of Page)"/>
        <w:docPartUnique/>
      </w:docPartObj>
    </w:sdtPr>
    <w:sdtEndPr>
      <w:rPr>
        <w:noProof/>
      </w:rPr>
    </w:sdtEndPr>
    <w:sdtContent>
      <w:p w14:paraId="2798E127" w14:textId="1C111F27"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444</w:t>
        </w:r>
        <w:r w:rsidRPr="00040D99">
          <w:rPr>
            <w:noProof/>
          </w:rPr>
          <w:fldChar w:fldCharType="end"/>
        </w:r>
      </w:p>
    </w:sdtContent>
  </w:sdt>
  <w:p w14:paraId="2F02523C" w14:textId="77777777" w:rsidR="005E2670" w:rsidRDefault="005E2670"/>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DA578" w14:textId="77777777" w:rsidR="005E2670" w:rsidRDefault="005E2670">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205F1"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1221587"/>
      <w:docPartObj>
        <w:docPartGallery w:val="Page Numbers (Bottom of Page)"/>
        <w:docPartUnique/>
      </w:docPartObj>
    </w:sdtPr>
    <w:sdtEndPr>
      <w:rPr>
        <w:noProof/>
      </w:rPr>
    </w:sdtEndPr>
    <w:sdtContent>
      <w:p w14:paraId="0835CE1D" w14:textId="011A5322"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445</w:t>
        </w:r>
        <w:r w:rsidRPr="00040D99">
          <w:rPr>
            <w:noProof/>
          </w:rPr>
          <w:fldChar w:fldCharType="end"/>
        </w:r>
      </w:p>
    </w:sdtContent>
  </w:sdt>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32B14" w14:textId="77777777" w:rsidR="005E2670" w:rsidRDefault="005E2670">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FC804"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7461285"/>
      <w:docPartObj>
        <w:docPartGallery w:val="Page Numbers (Bottom of Page)"/>
        <w:docPartUnique/>
      </w:docPartObj>
    </w:sdtPr>
    <w:sdtEndPr>
      <w:rPr>
        <w:noProof/>
      </w:rPr>
    </w:sdtEndPr>
    <w:sdtContent>
      <w:p w14:paraId="1C661472" w14:textId="5F88D5E4"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452</w:t>
        </w:r>
        <w:r w:rsidRPr="00040D99">
          <w:rPr>
            <w:noProof/>
          </w:rPr>
          <w:fldChar w:fldCharType="end"/>
        </w:r>
      </w:p>
    </w:sdtContent>
  </w:sdt>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BEAD0" w14:textId="77777777" w:rsidR="005E2670" w:rsidRDefault="005E2670">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02D27"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A4E0C" w14:textId="42A448CF" w:rsidR="00654C7E" w:rsidRPr="00E01E9B" w:rsidRDefault="00E01E9B" w:rsidP="00E01E9B">
    <w:pPr>
      <w:pStyle w:val="FooterCoverPage"/>
      <w:rPr>
        <w:rFonts w:ascii="Arial" w:hAnsi="Arial" w:cs="Arial"/>
        <w:b/>
        <w:sz w:val="48"/>
      </w:rPr>
    </w:pPr>
    <w:r w:rsidRPr="00E01E9B">
      <w:rPr>
        <w:rFonts w:ascii="Arial" w:hAnsi="Arial" w:cs="Arial"/>
        <w:b/>
        <w:sz w:val="48"/>
      </w:rPr>
      <w:t>EN</w:t>
    </w:r>
    <w:r w:rsidRPr="00E01E9B">
      <w:rPr>
        <w:rFonts w:ascii="Arial" w:hAnsi="Arial" w:cs="Arial"/>
        <w:b/>
        <w:sz w:val="48"/>
      </w:rPr>
      <w:tab/>
    </w:r>
    <w:r w:rsidRPr="00E01E9B">
      <w:rPr>
        <w:rFonts w:ascii="Arial" w:hAnsi="Arial" w:cs="Arial"/>
        <w:b/>
        <w:sz w:val="48"/>
      </w:rPr>
      <w:tab/>
    </w:r>
    <w:r w:rsidRPr="00E01E9B">
      <w:tab/>
    </w:r>
    <w:r w:rsidRPr="00E01E9B">
      <w:rPr>
        <w:rFonts w:ascii="Arial" w:hAnsi="Arial" w:cs="Arial"/>
        <w:b/>
        <w:sz w:val="48"/>
      </w:rPr>
      <w: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7893660"/>
      <w:docPartObj>
        <w:docPartGallery w:val="Page Numbers (Bottom of Page)"/>
        <w:docPartUnique/>
      </w:docPartObj>
    </w:sdtPr>
    <w:sdtEndPr>
      <w:rPr>
        <w:noProof/>
      </w:rPr>
    </w:sdtEndPr>
    <w:sdtContent>
      <w:p w14:paraId="124FC189" w14:textId="61BDA966" w:rsidR="005E2670" w:rsidRPr="00040D99" w:rsidRDefault="005E2670" w:rsidP="00BB20EB">
        <w:pPr>
          <w:pStyle w:val="Footer-OddPage"/>
        </w:pPr>
        <w:r w:rsidRPr="00040D99">
          <w:fldChar w:fldCharType="begin"/>
        </w:r>
        <w:r w:rsidRPr="00040D99">
          <w:instrText xml:space="preserve"> PAGE   \* MERGEFORMAT </w:instrText>
        </w:r>
        <w:r w:rsidRPr="00040D99">
          <w:fldChar w:fldCharType="separate"/>
        </w:r>
        <w:r w:rsidR="00654C7E">
          <w:rPr>
            <w:noProof/>
          </w:rPr>
          <w:t>46</w:t>
        </w:r>
        <w:r w:rsidRPr="00040D99">
          <w:rPr>
            <w:noProof/>
          </w:rPr>
          <w:fldChar w:fldCharType="end"/>
        </w:r>
      </w:p>
    </w:sdtContent>
  </w:sdt>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5772070"/>
      <w:docPartObj>
        <w:docPartGallery w:val="Page Numbers (Bottom of Page)"/>
        <w:docPartUnique/>
      </w:docPartObj>
    </w:sdtPr>
    <w:sdtEndPr>
      <w:rPr>
        <w:noProof/>
      </w:rPr>
    </w:sdtEndPr>
    <w:sdtContent>
      <w:p w14:paraId="7ABECF84" w14:textId="6B886000"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453</w:t>
        </w:r>
        <w:r w:rsidRPr="00040D99">
          <w:rPr>
            <w:noProof/>
          </w:rPr>
          <w:fldChar w:fldCharType="end"/>
        </w:r>
      </w:p>
    </w:sdtContent>
  </w:sdt>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97C0C" w14:textId="77777777" w:rsidR="005E2670" w:rsidRDefault="005E2670">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215AA"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6318056"/>
      <w:docPartObj>
        <w:docPartGallery w:val="Page Numbers (Bottom of Page)"/>
        <w:docPartUnique/>
      </w:docPartObj>
    </w:sdtPr>
    <w:sdtEndPr>
      <w:rPr>
        <w:noProof/>
      </w:rPr>
    </w:sdtEndPr>
    <w:sdtContent>
      <w:p w14:paraId="7D114CDC" w14:textId="0B0CB717"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460</w:t>
        </w:r>
        <w:r w:rsidRPr="00040D99">
          <w:rPr>
            <w:noProof/>
          </w:rPr>
          <w:fldChar w:fldCharType="end"/>
        </w:r>
      </w:p>
    </w:sdtContent>
  </w:sdt>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9242B" w14:textId="77777777" w:rsidR="005E2670" w:rsidRDefault="005E2670">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E92B6"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7025731"/>
      <w:docPartObj>
        <w:docPartGallery w:val="Page Numbers (Bottom of Page)"/>
        <w:docPartUnique/>
      </w:docPartObj>
    </w:sdtPr>
    <w:sdtEndPr>
      <w:rPr>
        <w:noProof/>
      </w:rPr>
    </w:sdtEndPr>
    <w:sdtContent>
      <w:p w14:paraId="1EB97E3B" w14:textId="6DDE45B7"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461</w:t>
        </w:r>
        <w:r w:rsidRPr="00040D99">
          <w:rPr>
            <w:noProof/>
          </w:rPr>
          <w:fldChar w:fldCharType="end"/>
        </w:r>
      </w:p>
    </w:sdtContent>
  </w:sdt>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A44CB" w14:textId="77777777" w:rsidR="005E2670" w:rsidRDefault="005E2670">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D6B90"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2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7934901"/>
      <w:docPartObj>
        <w:docPartGallery w:val="Page Numbers (Bottom of Page)"/>
        <w:docPartUnique/>
      </w:docPartObj>
    </w:sdtPr>
    <w:sdtEndPr>
      <w:rPr>
        <w:noProof/>
      </w:rPr>
    </w:sdtEndPr>
    <w:sdtContent>
      <w:p w14:paraId="20D13B28" w14:textId="3B01BDAF"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467</w:t>
        </w:r>
        <w:r w:rsidRPr="00040D99">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43DDE" w14:textId="2AC32031" w:rsidR="005E2670" w:rsidRDefault="005E2670">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A7AC7" w14:textId="77777777" w:rsidR="005E2670" w:rsidRDefault="005E2670">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17CFE"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2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9388760"/>
      <w:docPartObj>
        <w:docPartGallery w:val="Page Numbers (Bottom of Page)"/>
        <w:docPartUnique/>
      </w:docPartObj>
    </w:sdtPr>
    <w:sdtEndPr>
      <w:rPr>
        <w:noProof/>
      </w:rPr>
    </w:sdtEndPr>
    <w:sdtContent>
      <w:p w14:paraId="1233F2F2" w14:textId="62779DAA"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468</w:t>
        </w:r>
        <w:r w:rsidRPr="00040D99">
          <w:rPr>
            <w:noProof/>
          </w:rPr>
          <w:fldChar w:fldCharType="end"/>
        </w:r>
      </w:p>
    </w:sdtContent>
  </w:sdt>
</w:ftr>
</file>

<file path=word/footer2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24891" w14:textId="77777777" w:rsidR="005E2670" w:rsidRDefault="005E2670">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B73D9"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2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0039152"/>
      <w:docPartObj>
        <w:docPartGallery w:val="Page Numbers (Bottom of Page)"/>
        <w:docPartUnique/>
      </w:docPartObj>
    </w:sdtPr>
    <w:sdtEndPr>
      <w:rPr>
        <w:noProof/>
      </w:rPr>
    </w:sdtEndPr>
    <w:sdtContent>
      <w:p w14:paraId="061FFEE8" w14:textId="4CCE8A4F"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474</w:t>
        </w:r>
        <w:r w:rsidRPr="00040D99">
          <w:rPr>
            <w:noProof/>
          </w:rPr>
          <w:fldChar w:fldCharType="end"/>
        </w:r>
      </w:p>
    </w:sdtContent>
  </w:sdt>
</w:ftr>
</file>

<file path=word/footer2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A2794" w14:textId="77777777" w:rsidR="005E2670" w:rsidRDefault="005E2670">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C0A13"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2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005696"/>
      <w:docPartObj>
        <w:docPartGallery w:val="Page Numbers (Bottom of Page)"/>
        <w:docPartUnique/>
      </w:docPartObj>
    </w:sdtPr>
    <w:sdtEndPr>
      <w:rPr>
        <w:noProof/>
      </w:rPr>
    </w:sdtEndPr>
    <w:sdtContent>
      <w:p w14:paraId="23A23740" w14:textId="5F0ED53E"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475</w:t>
        </w:r>
        <w:r w:rsidRPr="00040D99">
          <w:rPr>
            <w:noProof/>
          </w:rPr>
          <w:fldChar w:fldCharType="end"/>
        </w:r>
      </w:p>
    </w:sdtContent>
  </w:sdt>
</w:ftr>
</file>

<file path=word/footer2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05263" w14:textId="77777777" w:rsidR="005E2670" w:rsidRDefault="005E2670">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7D233" w14:textId="77777777" w:rsidR="005E2670" w:rsidRPr="00040D99" w:rsidRDefault="005E2670" w:rsidP="00BB20EB">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2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B799E"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2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2025374"/>
      <w:docPartObj>
        <w:docPartGallery w:val="Page Numbers (Bottom of Page)"/>
        <w:docPartUnique/>
      </w:docPartObj>
    </w:sdtPr>
    <w:sdtEndPr>
      <w:rPr>
        <w:noProof/>
      </w:rPr>
    </w:sdtEndPr>
    <w:sdtContent>
      <w:p w14:paraId="69EF5175" w14:textId="03CBE5DD"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485</w:t>
        </w:r>
        <w:r w:rsidRPr="00040D99">
          <w:rPr>
            <w:noProof/>
          </w:rPr>
          <w:fldChar w:fldCharType="end"/>
        </w:r>
      </w:p>
    </w:sdtContent>
  </w:sdt>
</w:ftr>
</file>

<file path=word/footer2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32E2C" w14:textId="77777777" w:rsidR="005E2670" w:rsidRDefault="005E2670">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C61D7"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2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7400490"/>
      <w:docPartObj>
        <w:docPartGallery w:val="Page Numbers (Bottom of Page)"/>
        <w:docPartUnique/>
      </w:docPartObj>
    </w:sdtPr>
    <w:sdtEndPr>
      <w:rPr>
        <w:noProof/>
      </w:rPr>
    </w:sdtEndPr>
    <w:sdtContent>
      <w:p w14:paraId="6574F98D" w14:textId="2669FF99"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486</w:t>
        </w:r>
        <w:r w:rsidRPr="00040D99">
          <w:rPr>
            <w:noProof/>
          </w:rPr>
          <w:fldChar w:fldCharType="end"/>
        </w:r>
      </w:p>
    </w:sdtContent>
  </w:sdt>
</w:ftr>
</file>

<file path=word/footer2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9298F" w14:textId="77777777" w:rsidR="005E2670" w:rsidRDefault="005E2670">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EF1DB"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2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5002674"/>
      <w:docPartObj>
        <w:docPartGallery w:val="Page Numbers (Bottom of Page)"/>
        <w:docPartUnique/>
      </w:docPartObj>
    </w:sdtPr>
    <w:sdtEndPr>
      <w:rPr>
        <w:noProof/>
      </w:rPr>
    </w:sdtEndPr>
    <w:sdtContent>
      <w:p w14:paraId="0CC589CC" w14:textId="6C1539CD"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492</w:t>
        </w:r>
        <w:r w:rsidRPr="00040D99">
          <w:rPr>
            <w:noProof/>
          </w:rPr>
          <w:fldChar w:fldCharType="end"/>
        </w:r>
      </w:p>
    </w:sdtContent>
  </w:sdt>
</w:ftr>
</file>

<file path=word/footer2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F9CFE" w14:textId="77777777" w:rsidR="005E2670" w:rsidRDefault="005E2670">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447D9"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03753"/>
      <w:docPartObj>
        <w:docPartGallery w:val="Page Numbers (Bottom of Page)"/>
        <w:docPartUnique/>
      </w:docPartObj>
    </w:sdtPr>
    <w:sdtEndPr>
      <w:rPr>
        <w:noProof/>
      </w:rPr>
    </w:sdtEndPr>
    <w:sdtContent>
      <w:p w14:paraId="39F5935E" w14:textId="0143D2C4" w:rsidR="005E2670" w:rsidRPr="00040D99" w:rsidRDefault="005E2670" w:rsidP="00BB20EB">
        <w:pPr>
          <w:pStyle w:val="Footer-OddPage"/>
        </w:pPr>
        <w:r w:rsidRPr="00040D99">
          <w:fldChar w:fldCharType="begin"/>
        </w:r>
        <w:r w:rsidRPr="00040D99">
          <w:instrText xml:space="preserve"> PAGE   \* MERGEFORMAT </w:instrText>
        </w:r>
        <w:r w:rsidRPr="00040D99">
          <w:fldChar w:fldCharType="separate"/>
        </w:r>
        <w:r w:rsidR="00654C7E">
          <w:rPr>
            <w:noProof/>
          </w:rPr>
          <w:t>51</w:t>
        </w:r>
        <w:r w:rsidRPr="00040D99">
          <w:rPr>
            <w:noProof/>
          </w:rPr>
          <w:fldChar w:fldCharType="end"/>
        </w:r>
      </w:p>
    </w:sdtContent>
  </w:sdt>
</w:ftr>
</file>

<file path=word/footer2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176138"/>
      <w:docPartObj>
        <w:docPartGallery w:val="Page Numbers (Bottom of Page)"/>
        <w:docPartUnique/>
      </w:docPartObj>
    </w:sdtPr>
    <w:sdtEndPr>
      <w:rPr>
        <w:noProof/>
      </w:rPr>
    </w:sdtEndPr>
    <w:sdtContent>
      <w:p w14:paraId="48E9C70C" w14:textId="05B87BF1"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493</w:t>
        </w:r>
        <w:r w:rsidRPr="00040D99">
          <w:rPr>
            <w:noProof/>
          </w:rPr>
          <w:fldChar w:fldCharType="end"/>
        </w:r>
      </w:p>
    </w:sdtContent>
  </w:sdt>
</w:ftr>
</file>

<file path=word/footer2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7DA93" w14:textId="77777777" w:rsidR="005E2670" w:rsidRDefault="005E2670">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2518A"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2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3509896"/>
      <w:docPartObj>
        <w:docPartGallery w:val="Page Numbers (Bottom of Page)"/>
        <w:docPartUnique/>
      </w:docPartObj>
    </w:sdtPr>
    <w:sdtEndPr>
      <w:rPr>
        <w:noProof/>
      </w:rPr>
    </w:sdtEndPr>
    <w:sdtContent>
      <w:p w14:paraId="4647E629" w14:textId="2CCB42B0"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499</w:t>
        </w:r>
        <w:r w:rsidRPr="00040D99">
          <w:rPr>
            <w:noProof/>
          </w:rPr>
          <w:fldChar w:fldCharType="end"/>
        </w:r>
      </w:p>
    </w:sdtContent>
  </w:sdt>
</w:ftr>
</file>

<file path=word/footer2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F4668" w14:textId="77777777" w:rsidR="005E2670" w:rsidRDefault="005E2670">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918BA"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2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7101991"/>
      <w:docPartObj>
        <w:docPartGallery w:val="Page Numbers (Bottom of Page)"/>
        <w:docPartUnique/>
      </w:docPartObj>
    </w:sdtPr>
    <w:sdtEndPr>
      <w:rPr>
        <w:noProof/>
      </w:rPr>
    </w:sdtEndPr>
    <w:sdtContent>
      <w:p w14:paraId="11ED3D89" w14:textId="44848737"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500</w:t>
        </w:r>
        <w:r w:rsidRPr="00040D99">
          <w:rPr>
            <w:noProof/>
          </w:rPr>
          <w:fldChar w:fldCharType="end"/>
        </w:r>
      </w:p>
    </w:sdtContent>
  </w:sdt>
</w:ftr>
</file>

<file path=word/footer2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6922D" w14:textId="77777777" w:rsidR="005E2670" w:rsidRDefault="005E2670">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D0D93"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2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193137"/>
      <w:docPartObj>
        <w:docPartGallery w:val="Page Numbers (Bottom of Page)"/>
        <w:docPartUnique/>
      </w:docPartObj>
    </w:sdtPr>
    <w:sdtEndPr>
      <w:rPr>
        <w:noProof/>
      </w:rPr>
    </w:sdtEndPr>
    <w:sdtContent>
      <w:p w14:paraId="6050E8E1" w14:textId="5258A3D4"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506</w:t>
        </w:r>
        <w:r w:rsidRPr="00040D99">
          <w:rPr>
            <w:noProof/>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34C19" w14:textId="77777777" w:rsidR="005E2670" w:rsidRDefault="005E2670">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6DE32" w14:textId="77777777" w:rsidR="005E2670" w:rsidRDefault="005E2670">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61105" w14:textId="77777777" w:rsidR="005E2670" w:rsidRPr="00040D99" w:rsidRDefault="005E2670" w:rsidP="005D691E">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2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1451410"/>
      <w:docPartObj>
        <w:docPartGallery w:val="Page Numbers (Bottom of Page)"/>
        <w:docPartUnique/>
      </w:docPartObj>
    </w:sdtPr>
    <w:sdtEndPr>
      <w:rPr>
        <w:noProof/>
      </w:rPr>
    </w:sdtEndPr>
    <w:sdtContent>
      <w:p w14:paraId="6FED6D68" w14:textId="51C2A1D4" w:rsidR="005E2670" w:rsidRPr="00040D99" w:rsidRDefault="005E2670" w:rsidP="005D691E">
        <w:pPr>
          <w:pStyle w:val="Footer-OddPage"/>
        </w:pPr>
        <w:r w:rsidRPr="00040D99">
          <w:fldChar w:fldCharType="begin"/>
        </w:r>
        <w:r w:rsidRPr="00040D99">
          <w:instrText xml:space="preserve"> PAGE   \* MERGEFORMAT </w:instrText>
        </w:r>
        <w:r w:rsidRPr="00040D99">
          <w:fldChar w:fldCharType="separate"/>
        </w:r>
        <w:r w:rsidR="003D550B">
          <w:rPr>
            <w:noProof/>
          </w:rPr>
          <w:t>507</w:t>
        </w:r>
        <w:r w:rsidRPr="00040D99">
          <w:rPr>
            <w:noProof/>
          </w:rPr>
          <w:fldChar w:fldCharType="end"/>
        </w:r>
      </w:p>
    </w:sdtContent>
  </w:sdt>
</w:ftr>
</file>

<file path=word/footer2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F3D11" w14:textId="77777777" w:rsidR="005E2670" w:rsidRDefault="005E2670">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C52E8" w14:textId="77777777" w:rsidR="005E2670" w:rsidRPr="00040D99" w:rsidRDefault="005E2670" w:rsidP="005D691E">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2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8176994"/>
      <w:docPartObj>
        <w:docPartGallery w:val="Page Numbers (Bottom of Page)"/>
        <w:docPartUnique/>
      </w:docPartObj>
    </w:sdtPr>
    <w:sdtEndPr>
      <w:rPr>
        <w:noProof/>
      </w:rPr>
    </w:sdtEndPr>
    <w:sdtContent>
      <w:p w14:paraId="2B5659FD" w14:textId="01126555" w:rsidR="005E2670" w:rsidRPr="00040D99" w:rsidRDefault="005E2670" w:rsidP="005D691E">
        <w:pPr>
          <w:pStyle w:val="Footer-OddPage"/>
        </w:pPr>
        <w:r w:rsidRPr="00040D99">
          <w:fldChar w:fldCharType="begin"/>
        </w:r>
        <w:r w:rsidRPr="00040D99">
          <w:instrText xml:space="preserve"> PAGE   \* MERGEFORMAT </w:instrText>
        </w:r>
        <w:r w:rsidRPr="00040D99">
          <w:fldChar w:fldCharType="separate"/>
        </w:r>
        <w:r w:rsidR="003D550B">
          <w:rPr>
            <w:noProof/>
          </w:rPr>
          <w:t>511</w:t>
        </w:r>
        <w:r w:rsidRPr="00040D99">
          <w:rPr>
            <w:noProof/>
          </w:rPr>
          <w:fldChar w:fldCharType="end"/>
        </w:r>
      </w:p>
    </w:sdtContent>
  </w:sdt>
</w:ftr>
</file>

<file path=word/footer2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58C80" w14:textId="77777777" w:rsidR="005E2670" w:rsidRDefault="005E2670">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E46C2" w14:textId="77777777" w:rsidR="005E2670" w:rsidRPr="00040D99" w:rsidRDefault="005E2670" w:rsidP="00BB20EB">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6008742"/>
      <w:docPartObj>
        <w:docPartGallery w:val="Page Numbers (Bottom of Page)"/>
        <w:docPartUnique/>
      </w:docPartObj>
    </w:sdtPr>
    <w:sdtEndPr>
      <w:rPr>
        <w:noProof/>
      </w:rPr>
    </w:sdtEndPr>
    <w:sdtContent>
      <w:p w14:paraId="50F9744A" w14:textId="75CCF7BC" w:rsidR="005E2670" w:rsidRPr="00040D99" w:rsidRDefault="005E2670" w:rsidP="00BB20EB">
        <w:pPr>
          <w:pStyle w:val="Footer-OddPage"/>
        </w:pPr>
        <w:r w:rsidRPr="00040D99">
          <w:fldChar w:fldCharType="begin"/>
        </w:r>
        <w:r w:rsidRPr="00040D99">
          <w:instrText xml:space="preserve"> PAGE   \* MERGEFORMAT </w:instrText>
        </w:r>
        <w:r w:rsidRPr="00040D99">
          <w:fldChar w:fldCharType="separate"/>
        </w:r>
        <w:r w:rsidR="00654C7E">
          <w:rPr>
            <w:noProof/>
          </w:rPr>
          <w:t>63</w:t>
        </w:r>
        <w:r w:rsidRPr="00040D99">
          <w:rPr>
            <w:noProof/>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B6589" w14:textId="77777777" w:rsidR="005E2670" w:rsidRDefault="005E2670">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BEFE7" w14:textId="77777777" w:rsidR="005E2670" w:rsidRPr="00040D99" w:rsidRDefault="005E2670" w:rsidP="00BB20EB">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7566638"/>
      <w:docPartObj>
        <w:docPartGallery w:val="Page Numbers (Bottom of Page)"/>
        <w:docPartUnique/>
      </w:docPartObj>
    </w:sdtPr>
    <w:sdtEndPr>
      <w:rPr>
        <w:noProof/>
      </w:rPr>
    </w:sdtEndPr>
    <w:sdtContent>
      <w:p w14:paraId="42760A6F" w14:textId="2ECA9C70" w:rsidR="005E2670" w:rsidRPr="00040D99" w:rsidRDefault="005E2670" w:rsidP="00BB20EB">
        <w:pPr>
          <w:pStyle w:val="Footer-OddPage"/>
        </w:pPr>
        <w:r w:rsidRPr="00040D99">
          <w:fldChar w:fldCharType="begin"/>
        </w:r>
        <w:r w:rsidRPr="00040D99">
          <w:instrText xml:space="preserve"> PAGE   \* MERGEFORMAT </w:instrText>
        </w:r>
        <w:r w:rsidRPr="00040D99">
          <w:fldChar w:fldCharType="separate"/>
        </w:r>
        <w:r w:rsidR="00654C7E">
          <w:rPr>
            <w:noProof/>
          </w:rPr>
          <w:t>72</w:t>
        </w:r>
        <w:r w:rsidRPr="00040D99">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186FE" w14:textId="77777777" w:rsidR="00E01E9B" w:rsidRPr="00E01E9B" w:rsidRDefault="00E01E9B" w:rsidP="00E01E9B">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CA401" w14:textId="77777777" w:rsidR="005E2670" w:rsidRDefault="005E2670">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9E705" w14:textId="77777777" w:rsidR="005E2670" w:rsidRPr="00040D99" w:rsidRDefault="005E2670" w:rsidP="00BB20EB">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7460"/>
      <w:docPartObj>
        <w:docPartGallery w:val="Page Numbers (Bottom of Page)"/>
        <w:docPartUnique/>
      </w:docPartObj>
    </w:sdtPr>
    <w:sdtEndPr>
      <w:rPr>
        <w:noProof/>
      </w:rPr>
    </w:sdtEndPr>
    <w:sdtContent>
      <w:p w14:paraId="57780773" w14:textId="11C3FC1F" w:rsidR="005E2670" w:rsidRPr="00040D99" w:rsidRDefault="005E2670" w:rsidP="00BB20EB">
        <w:pPr>
          <w:pStyle w:val="Footer-OddPage"/>
        </w:pPr>
        <w:r w:rsidRPr="00040D99">
          <w:fldChar w:fldCharType="begin"/>
        </w:r>
        <w:r w:rsidRPr="00040D99">
          <w:instrText xml:space="preserve"> PAGE   \* MERGEFORMAT </w:instrText>
        </w:r>
        <w:r w:rsidRPr="00040D99">
          <w:fldChar w:fldCharType="separate"/>
        </w:r>
        <w:r w:rsidR="00654C7E">
          <w:rPr>
            <w:noProof/>
          </w:rPr>
          <w:t>103</w:t>
        </w:r>
        <w:r w:rsidRPr="00040D99">
          <w:rPr>
            <w:noProof/>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2E18B" w14:textId="77777777" w:rsidR="005E2670" w:rsidRDefault="005E2670">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E9003" w14:textId="77777777" w:rsidR="005E2670" w:rsidRPr="00040D99" w:rsidRDefault="005E2670" w:rsidP="00BB20EB">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78635"/>
      <w:docPartObj>
        <w:docPartGallery w:val="Page Numbers (Bottom of Page)"/>
        <w:docPartUnique/>
      </w:docPartObj>
    </w:sdtPr>
    <w:sdtEndPr>
      <w:rPr>
        <w:noProof/>
      </w:rPr>
    </w:sdtEndPr>
    <w:sdtContent>
      <w:p w14:paraId="74E10269" w14:textId="29F71A8D" w:rsidR="005E2670" w:rsidRPr="00040D99" w:rsidRDefault="005E2670" w:rsidP="00BB20EB">
        <w:pPr>
          <w:pStyle w:val="Footer-OddPage"/>
        </w:pPr>
        <w:r w:rsidRPr="00040D99">
          <w:fldChar w:fldCharType="begin"/>
        </w:r>
        <w:r w:rsidRPr="00040D99">
          <w:instrText xml:space="preserve"> PAGE   \* MERGEFORMAT </w:instrText>
        </w:r>
        <w:r w:rsidRPr="00040D99">
          <w:fldChar w:fldCharType="separate"/>
        </w:r>
        <w:r w:rsidR="003D550B">
          <w:rPr>
            <w:noProof/>
          </w:rPr>
          <w:t>114</w:t>
        </w:r>
        <w:r w:rsidRPr="00040D99">
          <w:rPr>
            <w:noProof/>
          </w:rP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CDB5A" w14:textId="77777777" w:rsidR="005E2670" w:rsidRDefault="005E2670">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1C201" w14:textId="77777777" w:rsidR="005E2670" w:rsidRPr="00040D99" w:rsidRDefault="005E2670" w:rsidP="00AF1C52">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2790071"/>
      <w:docPartObj>
        <w:docPartGallery w:val="Page Numbers (Bottom of Page)"/>
        <w:docPartUnique/>
      </w:docPartObj>
    </w:sdtPr>
    <w:sdtEndPr>
      <w:rPr>
        <w:noProof/>
      </w:rPr>
    </w:sdtEndPr>
    <w:sdtContent>
      <w:p w14:paraId="5F0D541F" w14:textId="46B9C92F" w:rsidR="005E2670" w:rsidRPr="00040D99" w:rsidRDefault="005E2670" w:rsidP="00AF1C52">
        <w:pPr>
          <w:pStyle w:val="Footer-OddPage"/>
        </w:pPr>
        <w:r w:rsidRPr="00040D99">
          <w:fldChar w:fldCharType="begin"/>
        </w:r>
        <w:r w:rsidRPr="00040D99">
          <w:instrText xml:space="preserve"> PAGE   \* MERGEFORMAT </w:instrText>
        </w:r>
        <w:r w:rsidRPr="00040D99">
          <w:fldChar w:fldCharType="separate"/>
        </w:r>
        <w:r w:rsidR="003D550B">
          <w:rPr>
            <w:noProof/>
          </w:rPr>
          <w:t>115</w:t>
        </w:r>
        <w:r w:rsidRPr="00040D99">
          <w:rPr>
            <w:noProof/>
          </w:rP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1752D" w14:textId="77777777" w:rsidR="005E2670" w:rsidRDefault="005E26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4926C" w14:textId="77777777" w:rsidR="005E2670" w:rsidRPr="00040D99" w:rsidRDefault="005E2670" w:rsidP="00D26688">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A544E" w14:textId="77777777" w:rsidR="005E2670" w:rsidRPr="00040D99" w:rsidRDefault="005E2670" w:rsidP="00AF1C52">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677229"/>
      <w:docPartObj>
        <w:docPartGallery w:val="Page Numbers (Bottom of Page)"/>
        <w:docPartUnique/>
      </w:docPartObj>
    </w:sdtPr>
    <w:sdtEndPr>
      <w:rPr>
        <w:noProof/>
      </w:rPr>
    </w:sdtEndPr>
    <w:sdtContent>
      <w:p w14:paraId="6C2471E7" w14:textId="6F3510A4" w:rsidR="005E2670" w:rsidRPr="00040D99" w:rsidRDefault="005E2670" w:rsidP="00AF1C52">
        <w:pPr>
          <w:pStyle w:val="Footer-OddPage"/>
        </w:pPr>
        <w:r w:rsidRPr="00040D99">
          <w:fldChar w:fldCharType="begin"/>
        </w:r>
        <w:r w:rsidRPr="00040D99">
          <w:instrText xml:space="preserve"> PAGE   \* MERGEFORMAT </w:instrText>
        </w:r>
        <w:r w:rsidRPr="00040D99">
          <w:fldChar w:fldCharType="separate"/>
        </w:r>
        <w:r w:rsidR="003D550B">
          <w:rPr>
            <w:noProof/>
          </w:rPr>
          <w:t>123</w:t>
        </w:r>
        <w:r w:rsidRPr="00040D99">
          <w:rPr>
            <w:noProof/>
          </w:rPr>
          <w:fldChar w:fldCharType="end"/>
        </w:r>
      </w:p>
    </w:sdtContent>
  </w:sdt>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A64F5" w14:textId="77777777" w:rsidR="005E2670" w:rsidRDefault="005E2670">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8DFB2" w14:textId="77777777" w:rsidR="005E2670" w:rsidRPr="00040D99" w:rsidRDefault="005E2670" w:rsidP="00AF1C52">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9885936"/>
      <w:docPartObj>
        <w:docPartGallery w:val="Page Numbers (Bottom of Page)"/>
        <w:docPartUnique/>
      </w:docPartObj>
    </w:sdtPr>
    <w:sdtEndPr>
      <w:rPr>
        <w:noProof/>
      </w:rPr>
    </w:sdtEndPr>
    <w:sdtContent>
      <w:p w14:paraId="7CAD26AD" w14:textId="7739DB92" w:rsidR="005E2670" w:rsidRPr="00040D99" w:rsidRDefault="005E2670" w:rsidP="00AF1C52">
        <w:pPr>
          <w:pStyle w:val="Footer-OddPage"/>
        </w:pPr>
        <w:r w:rsidRPr="00040D99">
          <w:fldChar w:fldCharType="begin"/>
        </w:r>
        <w:r w:rsidRPr="00040D99">
          <w:instrText xml:space="preserve"> PAGE   \* MERGEFORMAT </w:instrText>
        </w:r>
        <w:r w:rsidRPr="00040D99">
          <w:fldChar w:fldCharType="separate"/>
        </w:r>
        <w:r w:rsidR="003D550B">
          <w:rPr>
            <w:noProof/>
          </w:rPr>
          <w:t>133</w:t>
        </w:r>
        <w:r w:rsidRPr="00040D99">
          <w:rPr>
            <w:noProof/>
          </w:rPr>
          <w:fldChar w:fldCharType="end"/>
        </w:r>
      </w:p>
    </w:sdtContent>
  </w:sdt>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133DC" w14:textId="77777777" w:rsidR="005E2670" w:rsidRDefault="005E2670">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1C274" w14:textId="77777777" w:rsidR="005E2670" w:rsidRPr="00040D99" w:rsidRDefault="005E2670" w:rsidP="00AF1C52">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0736331"/>
      <w:docPartObj>
        <w:docPartGallery w:val="Page Numbers (Bottom of Page)"/>
        <w:docPartUnique/>
      </w:docPartObj>
    </w:sdtPr>
    <w:sdtEndPr>
      <w:rPr>
        <w:noProof/>
      </w:rPr>
    </w:sdtEndPr>
    <w:sdtContent>
      <w:p w14:paraId="535782BC" w14:textId="591930BD" w:rsidR="005E2670" w:rsidRPr="00040D99" w:rsidRDefault="005E2670" w:rsidP="00AF1C52">
        <w:pPr>
          <w:pStyle w:val="Footer-OddPage"/>
        </w:pPr>
        <w:r w:rsidRPr="00040D99">
          <w:fldChar w:fldCharType="begin"/>
        </w:r>
        <w:r w:rsidRPr="00040D99">
          <w:instrText xml:space="preserve"> PAGE   \* MERGEFORMAT </w:instrText>
        </w:r>
        <w:r w:rsidRPr="00040D99">
          <w:fldChar w:fldCharType="separate"/>
        </w:r>
        <w:r w:rsidR="003D550B">
          <w:rPr>
            <w:noProof/>
          </w:rPr>
          <w:t>134</w:t>
        </w:r>
        <w:r w:rsidRPr="00040D99">
          <w:rPr>
            <w:noProof/>
          </w:rPr>
          <w:fldChar w:fldCharType="end"/>
        </w:r>
      </w:p>
    </w:sdtContent>
  </w:sdt>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99A0A" w14:textId="77777777" w:rsidR="005E2670" w:rsidRDefault="005E2670">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BC6AC" w14:textId="77777777" w:rsidR="005E2670" w:rsidRPr="00040D99" w:rsidRDefault="005E2670" w:rsidP="00AF1C52">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0962001"/>
      <w:docPartObj>
        <w:docPartGallery w:val="Page Numbers (Bottom of Page)"/>
        <w:docPartUnique/>
      </w:docPartObj>
    </w:sdtPr>
    <w:sdtEndPr>
      <w:rPr>
        <w:noProof/>
      </w:rPr>
    </w:sdtEndPr>
    <w:sdtContent>
      <w:p w14:paraId="7E7C6C28" w14:textId="7F609F55" w:rsidR="005E2670" w:rsidRPr="00040D99" w:rsidRDefault="005E2670" w:rsidP="00D26688">
        <w:pPr>
          <w:pStyle w:val="Footer-OddPage"/>
        </w:pPr>
        <w:r w:rsidRPr="00040D99">
          <w:fldChar w:fldCharType="begin"/>
        </w:r>
        <w:r w:rsidRPr="00040D99">
          <w:instrText xml:space="preserve"> PAGE   \* MERGEFORMAT </w:instrText>
        </w:r>
        <w:r w:rsidRPr="00040D99">
          <w:fldChar w:fldCharType="separate"/>
        </w:r>
        <w:r w:rsidR="00E01E9B">
          <w:rPr>
            <w:noProof/>
          </w:rPr>
          <w:t>5</w:t>
        </w:r>
        <w:r w:rsidRPr="00040D99">
          <w:rPr>
            <w:noProof/>
          </w:rPr>
          <w:fldChar w:fldCharType="end"/>
        </w:r>
      </w:p>
    </w:sdtContent>
  </w:sdt>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46270"/>
      <w:docPartObj>
        <w:docPartGallery w:val="Page Numbers (Bottom of Page)"/>
        <w:docPartUnique/>
      </w:docPartObj>
    </w:sdtPr>
    <w:sdtEndPr>
      <w:rPr>
        <w:noProof/>
      </w:rPr>
    </w:sdtEndPr>
    <w:sdtContent>
      <w:p w14:paraId="76CC4F99" w14:textId="3645F8F0" w:rsidR="005E2670" w:rsidRPr="00040D99" w:rsidRDefault="005E2670" w:rsidP="00AF1C52">
        <w:pPr>
          <w:pStyle w:val="Footer-OddPage"/>
        </w:pPr>
        <w:r w:rsidRPr="00040D99">
          <w:fldChar w:fldCharType="begin"/>
        </w:r>
        <w:r w:rsidRPr="00040D99">
          <w:instrText xml:space="preserve"> PAGE   \* MERGEFORMAT </w:instrText>
        </w:r>
        <w:r w:rsidRPr="00040D99">
          <w:fldChar w:fldCharType="separate"/>
        </w:r>
        <w:r w:rsidR="003D550B">
          <w:rPr>
            <w:noProof/>
          </w:rPr>
          <w:t>146</w:t>
        </w:r>
        <w:r w:rsidRPr="00040D99">
          <w:rPr>
            <w:noProof/>
          </w:rPr>
          <w:fldChar w:fldCharType="end"/>
        </w:r>
      </w:p>
    </w:sdtContent>
  </w:sdt>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B4BF9" w14:textId="77777777" w:rsidR="005E2670" w:rsidRDefault="005E2670">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F90F0" w14:textId="77777777" w:rsidR="005E2670" w:rsidRPr="00040D99" w:rsidRDefault="005E2670" w:rsidP="00AF1C52">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2972557"/>
      <w:docPartObj>
        <w:docPartGallery w:val="Page Numbers (Bottom of Page)"/>
        <w:docPartUnique/>
      </w:docPartObj>
    </w:sdtPr>
    <w:sdtEndPr>
      <w:rPr>
        <w:noProof/>
      </w:rPr>
    </w:sdtEndPr>
    <w:sdtContent>
      <w:p w14:paraId="64B0E6A6" w14:textId="7BD8A7AC" w:rsidR="005E2670" w:rsidRPr="00040D99" w:rsidRDefault="005E2670" w:rsidP="00AF1C52">
        <w:pPr>
          <w:pStyle w:val="Footer-OddPage"/>
        </w:pPr>
        <w:r w:rsidRPr="00040D99">
          <w:fldChar w:fldCharType="begin"/>
        </w:r>
        <w:r w:rsidRPr="00040D99">
          <w:instrText xml:space="preserve"> PAGE   \* MERGEFORMAT </w:instrText>
        </w:r>
        <w:r w:rsidRPr="00040D99">
          <w:fldChar w:fldCharType="separate"/>
        </w:r>
        <w:r w:rsidR="003D550B">
          <w:rPr>
            <w:noProof/>
          </w:rPr>
          <w:t>159</w:t>
        </w:r>
        <w:r w:rsidRPr="00040D99">
          <w:rPr>
            <w:noProof/>
          </w:rPr>
          <w:fldChar w:fldCharType="end"/>
        </w:r>
      </w:p>
    </w:sdtContent>
  </w:sdt>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C1A7B" w14:textId="77777777" w:rsidR="005E2670" w:rsidRDefault="005E2670">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7D120" w14:textId="77777777" w:rsidR="005E2670" w:rsidRPr="00040D99" w:rsidRDefault="005E2670" w:rsidP="00AF1C52">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20028"/>
      <w:docPartObj>
        <w:docPartGallery w:val="Page Numbers (Bottom of Page)"/>
        <w:docPartUnique/>
      </w:docPartObj>
    </w:sdtPr>
    <w:sdtEndPr>
      <w:rPr>
        <w:noProof/>
      </w:rPr>
    </w:sdtEndPr>
    <w:sdtContent>
      <w:p w14:paraId="7FBBC7A9" w14:textId="5F5821CE" w:rsidR="005E2670" w:rsidRPr="00040D99" w:rsidRDefault="005E2670" w:rsidP="00AF1C52">
        <w:pPr>
          <w:pStyle w:val="Footer-OddPage"/>
        </w:pPr>
        <w:r w:rsidRPr="00040D99">
          <w:fldChar w:fldCharType="begin"/>
        </w:r>
        <w:r w:rsidRPr="00040D99">
          <w:instrText xml:space="preserve"> PAGE   \* MERGEFORMAT </w:instrText>
        </w:r>
        <w:r w:rsidRPr="00040D99">
          <w:fldChar w:fldCharType="separate"/>
        </w:r>
        <w:r w:rsidR="003D550B">
          <w:rPr>
            <w:noProof/>
          </w:rPr>
          <w:t>169</w:t>
        </w:r>
        <w:r w:rsidRPr="00040D99">
          <w:rPr>
            <w:noProof/>
          </w:rPr>
          <w:fldChar w:fldCharType="end"/>
        </w:r>
      </w:p>
    </w:sdtContent>
  </w:sdt>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35B87" w14:textId="77777777" w:rsidR="005E2670" w:rsidRDefault="005E2670">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7C06E" w14:textId="77777777" w:rsidR="005E2670" w:rsidRPr="00040D99" w:rsidRDefault="005E2670" w:rsidP="00AF1C52">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080480"/>
      <w:docPartObj>
        <w:docPartGallery w:val="Page Numbers (Bottom of Page)"/>
        <w:docPartUnique/>
      </w:docPartObj>
    </w:sdtPr>
    <w:sdtEndPr>
      <w:rPr>
        <w:noProof/>
      </w:rPr>
    </w:sdtEndPr>
    <w:sdtContent>
      <w:p w14:paraId="0CBA6C71" w14:textId="6F7AF6A2" w:rsidR="005E2670" w:rsidRPr="00040D99" w:rsidRDefault="005E2670" w:rsidP="00AF1C52">
        <w:pPr>
          <w:pStyle w:val="Footer-OddPage"/>
        </w:pPr>
        <w:r w:rsidRPr="00040D99">
          <w:fldChar w:fldCharType="begin"/>
        </w:r>
        <w:r w:rsidRPr="00040D99">
          <w:instrText xml:space="preserve"> PAGE   \* MERGEFORMAT </w:instrText>
        </w:r>
        <w:r w:rsidRPr="00040D99">
          <w:fldChar w:fldCharType="separate"/>
        </w:r>
        <w:r w:rsidR="003D550B">
          <w:rPr>
            <w:noProof/>
          </w:rPr>
          <w:t>176</w:t>
        </w:r>
        <w:r w:rsidRPr="00040D99">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2017679"/>
      <w:docPartObj>
        <w:docPartGallery w:val="Page Numbers (Bottom of Page)"/>
        <w:docPartUnique/>
      </w:docPartObj>
    </w:sdtPr>
    <w:sdtEndPr>
      <w:rPr>
        <w:noProof/>
      </w:rPr>
    </w:sdtEndPr>
    <w:sdtContent>
      <w:p w14:paraId="613F1B2B" w14:textId="39B24522" w:rsidR="005E2670" w:rsidRPr="00040D99" w:rsidRDefault="005E2670" w:rsidP="000C10CD">
        <w:pPr>
          <w:pStyle w:val="Footer-OddPage"/>
        </w:pPr>
        <w:r w:rsidRPr="00040D99">
          <w:fldChar w:fldCharType="begin"/>
        </w:r>
        <w:r w:rsidRPr="00040D99">
          <w:instrText xml:space="preserve"> PAGE   \* MERGEFORMAT </w:instrText>
        </w:r>
        <w:r w:rsidRPr="00040D99">
          <w:fldChar w:fldCharType="separate"/>
        </w:r>
        <w:r w:rsidR="00E01E9B">
          <w:rPr>
            <w:noProof/>
          </w:rPr>
          <w:t>1</w:t>
        </w:r>
        <w:r w:rsidRPr="00040D99">
          <w:rPr>
            <w:noProof/>
          </w:rPr>
          <w:fldChar w:fldCharType="end"/>
        </w:r>
      </w:p>
    </w:sdtContent>
  </w:sdt>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012BA" w14:textId="77777777" w:rsidR="005E2670" w:rsidRDefault="005E2670">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C92C3" w14:textId="77777777" w:rsidR="005E2670" w:rsidRPr="00040D99" w:rsidRDefault="005E2670" w:rsidP="00AF1C52">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726201"/>
      <w:docPartObj>
        <w:docPartGallery w:val="Page Numbers (Bottom of Page)"/>
        <w:docPartUnique/>
      </w:docPartObj>
    </w:sdtPr>
    <w:sdtEndPr>
      <w:rPr>
        <w:noProof/>
      </w:rPr>
    </w:sdtEndPr>
    <w:sdtContent>
      <w:p w14:paraId="26A7927E" w14:textId="0D7E6149" w:rsidR="005E2670" w:rsidRPr="00040D99" w:rsidRDefault="005E2670" w:rsidP="00AF1C52">
        <w:pPr>
          <w:pStyle w:val="Footer-OddPage"/>
        </w:pPr>
        <w:r w:rsidRPr="00040D99">
          <w:fldChar w:fldCharType="begin"/>
        </w:r>
        <w:r w:rsidRPr="00040D99">
          <w:instrText xml:space="preserve"> PAGE   \* MERGEFORMAT </w:instrText>
        </w:r>
        <w:r w:rsidRPr="00040D99">
          <w:fldChar w:fldCharType="separate"/>
        </w:r>
        <w:r w:rsidR="003D550B">
          <w:rPr>
            <w:noProof/>
          </w:rPr>
          <w:t>184</w:t>
        </w:r>
        <w:r w:rsidRPr="00040D99">
          <w:rPr>
            <w:noProof/>
          </w:rPr>
          <w:fldChar w:fldCharType="end"/>
        </w:r>
      </w:p>
    </w:sdtContent>
  </w:sdt>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4B51B" w14:textId="77777777" w:rsidR="005E2670" w:rsidRDefault="005E2670">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07097" w14:textId="77777777" w:rsidR="005E2670" w:rsidRPr="00040D99" w:rsidRDefault="005E2670" w:rsidP="00AF1C52">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0906624"/>
      <w:docPartObj>
        <w:docPartGallery w:val="Page Numbers (Bottom of Page)"/>
        <w:docPartUnique/>
      </w:docPartObj>
    </w:sdtPr>
    <w:sdtEndPr>
      <w:rPr>
        <w:noProof/>
      </w:rPr>
    </w:sdtEndPr>
    <w:sdtContent>
      <w:p w14:paraId="5894DB59" w14:textId="134431AC" w:rsidR="005E2670" w:rsidRPr="00040D99" w:rsidRDefault="005E2670" w:rsidP="00AF1C52">
        <w:pPr>
          <w:pStyle w:val="Footer-OddPage"/>
        </w:pPr>
        <w:r w:rsidRPr="00040D99">
          <w:fldChar w:fldCharType="begin"/>
        </w:r>
        <w:r w:rsidRPr="00040D99">
          <w:instrText xml:space="preserve"> PAGE   \* MERGEFORMAT </w:instrText>
        </w:r>
        <w:r w:rsidRPr="00040D99">
          <w:fldChar w:fldCharType="separate"/>
        </w:r>
        <w:r w:rsidR="003D550B">
          <w:rPr>
            <w:noProof/>
          </w:rPr>
          <w:t>192</w:t>
        </w:r>
        <w:r w:rsidRPr="00040D99">
          <w:rPr>
            <w:noProof/>
          </w:rPr>
          <w:fldChar w:fldCharType="end"/>
        </w:r>
      </w:p>
    </w:sdtContent>
  </w:sdt>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4F309" w14:textId="77777777" w:rsidR="005E2670" w:rsidRDefault="005E2670">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F998C" w14:textId="77777777" w:rsidR="005E2670" w:rsidRPr="00040D99" w:rsidRDefault="005E2670" w:rsidP="00B202C2">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3945576"/>
      <w:docPartObj>
        <w:docPartGallery w:val="Page Numbers (Bottom of Page)"/>
        <w:docPartUnique/>
      </w:docPartObj>
    </w:sdtPr>
    <w:sdtEndPr>
      <w:rPr>
        <w:noProof/>
      </w:rPr>
    </w:sdtEndPr>
    <w:sdtContent>
      <w:p w14:paraId="487F3A96" w14:textId="34AB4A9F" w:rsidR="005E2670" w:rsidRPr="00040D99" w:rsidRDefault="005E2670" w:rsidP="00B202C2">
        <w:pPr>
          <w:pStyle w:val="Footer-OddPage"/>
        </w:pPr>
        <w:r w:rsidRPr="00040D99">
          <w:fldChar w:fldCharType="begin"/>
        </w:r>
        <w:r w:rsidRPr="00040D99">
          <w:instrText xml:space="preserve"> PAGE   \* MERGEFORMAT </w:instrText>
        </w:r>
        <w:r w:rsidRPr="00040D99">
          <w:fldChar w:fldCharType="separate"/>
        </w:r>
        <w:r w:rsidR="003D550B">
          <w:rPr>
            <w:noProof/>
          </w:rPr>
          <w:t>194</w:t>
        </w:r>
        <w:r w:rsidRPr="00040D99">
          <w:rPr>
            <w:noProof/>
          </w:rPr>
          <w:fldChar w:fldCharType="end"/>
        </w:r>
      </w:p>
    </w:sdtContent>
  </w:sdt>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27915" w14:textId="77777777" w:rsidR="005E2670" w:rsidRDefault="005E267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99365" w14:textId="77777777" w:rsidR="005E2670" w:rsidRPr="00040D99" w:rsidRDefault="005E2670" w:rsidP="00D26688">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2166C" w14:textId="77777777" w:rsidR="005E2670" w:rsidRPr="00040D99" w:rsidRDefault="005E2670" w:rsidP="00B202C2">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2930610"/>
      <w:docPartObj>
        <w:docPartGallery w:val="Page Numbers (Bottom of Page)"/>
        <w:docPartUnique/>
      </w:docPartObj>
    </w:sdtPr>
    <w:sdtEndPr>
      <w:rPr>
        <w:noProof/>
      </w:rPr>
    </w:sdtEndPr>
    <w:sdtContent>
      <w:p w14:paraId="79E101D7" w14:textId="301BFCC7" w:rsidR="005E2670" w:rsidRPr="00040D99" w:rsidRDefault="005E2670" w:rsidP="00B202C2">
        <w:pPr>
          <w:pStyle w:val="Footer-OddPage"/>
        </w:pPr>
        <w:r w:rsidRPr="00040D99">
          <w:fldChar w:fldCharType="begin"/>
        </w:r>
        <w:r w:rsidRPr="00040D99">
          <w:instrText xml:space="preserve"> PAGE   \* MERGEFORMAT </w:instrText>
        </w:r>
        <w:r w:rsidRPr="00040D99">
          <w:fldChar w:fldCharType="separate"/>
        </w:r>
        <w:r w:rsidR="003D550B">
          <w:rPr>
            <w:noProof/>
          </w:rPr>
          <w:t>215</w:t>
        </w:r>
        <w:r w:rsidRPr="00040D99">
          <w:rPr>
            <w:noProof/>
          </w:rPr>
          <w:fldChar w:fldCharType="end"/>
        </w:r>
      </w:p>
    </w:sdtContent>
  </w:sdt>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46A11" w14:textId="77777777" w:rsidR="005E2670" w:rsidRDefault="005E2670">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65BD3" w14:textId="77777777" w:rsidR="005E2670" w:rsidRPr="00040D99" w:rsidRDefault="005E2670" w:rsidP="00B202C2">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4581461"/>
      <w:docPartObj>
        <w:docPartGallery w:val="Page Numbers (Bottom of Page)"/>
        <w:docPartUnique/>
      </w:docPartObj>
    </w:sdtPr>
    <w:sdtEndPr>
      <w:rPr>
        <w:noProof/>
      </w:rPr>
    </w:sdtEndPr>
    <w:sdtContent>
      <w:p w14:paraId="1AA47D0B" w14:textId="4A8C5A42" w:rsidR="005E2670" w:rsidRPr="00040D99" w:rsidRDefault="005E2670" w:rsidP="00B202C2">
        <w:pPr>
          <w:pStyle w:val="Footer-OddPage"/>
        </w:pPr>
        <w:r w:rsidRPr="00040D99">
          <w:fldChar w:fldCharType="begin"/>
        </w:r>
        <w:r w:rsidRPr="00040D99">
          <w:instrText xml:space="preserve"> PAGE   \* MERGEFORMAT </w:instrText>
        </w:r>
        <w:r w:rsidRPr="00040D99">
          <w:fldChar w:fldCharType="separate"/>
        </w:r>
        <w:r w:rsidR="003D550B">
          <w:rPr>
            <w:noProof/>
          </w:rPr>
          <w:t>223</w:t>
        </w:r>
        <w:r w:rsidRPr="00040D99">
          <w:rPr>
            <w:noProof/>
          </w:rPr>
          <w:fldChar w:fldCharType="end"/>
        </w:r>
      </w:p>
    </w:sdtContent>
  </w:sdt>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06DEF" w14:textId="77777777" w:rsidR="005E2670" w:rsidRDefault="005E2670">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1288A" w14:textId="77777777" w:rsidR="005E2670" w:rsidRPr="00040D99" w:rsidRDefault="005E2670" w:rsidP="00B202C2">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9039939"/>
      <w:docPartObj>
        <w:docPartGallery w:val="Page Numbers (Bottom of Page)"/>
        <w:docPartUnique/>
      </w:docPartObj>
    </w:sdtPr>
    <w:sdtEndPr>
      <w:rPr>
        <w:noProof/>
      </w:rPr>
    </w:sdtEndPr>
    <w:sdtContent>
      <w:p w14:paraId="0C7117B8" w14:textId="58759678" w:rsidR="005E2670" w:rsidRPr="00040D99" w:rsidRDefault="005E2670" w:rsidP="00B202C2">
        <w:pPr>
          <w:pStyle w:val="Footer-OddPage"/>
        </w:pPr>
        <w:r w:rsidRPr="00040D99">
          <w:fldChar w:fldCharType="begin"/>
        </w:r>
        <w:r w:rsidRPr="00040D99">
          <w:instrText xml:space="preserve"> PAGE   \* MERGEFORMAT </w:instrText>
        </w:r>
        <w:r w:rsidRPr="00040D99">
          <w:fldChar w:fldCharType="separate"/>
        </w:r>
        <w:r w:rsidR="003D550B">
          <w:rPr>
            <w:noProof/>
          </w:rPr>
          <w:t>244</w:t>
        </w:r>
        <w:r w:rsidRPr="00040D99">
          <w:rPr>
            <w:noProof/>
          </w:rPr>
          <w:fldChar w:fldCharType="end"/>
        </w:r>
      </w:p>
    </w:sdtContent>
  </w:sdt>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F6066" w14:textId="77777777" w:rsidR="005E2670" w:rsidRDefault="005E2670">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78210" w14:textId="77777777" w:rsidR="005E2670" w:rsidRPr="00040D99" w:rsidRDefault="005E2670" w:rsidP="00B202C2">
    <w:pPr>
      <w:pStyle w:val="Footer-EvenPage"/>
    </w:pPr>
    <w:r w:rsidRPr="00040D99">
      <w:rPr>
        <w:color w:val="2B579A"/>
        <w:shd w:val="clear" w:color="auto" w:fill="E6E6E6"/>
      </w:rPr>
      <w:fldChar w:fldCharType="begin"/>
    </w:r>
    <w:r w:rsidRPr="00040D99">
      <w:instrText xml:space="preserve"> PAGE   \* MERGEFORMAT </w:instrText>
    </w:r>
    <w:r w:rsidRPr="00040D99">
      <w:rPr>
        <w:color w:val="2B579A"/>
        <w:shd w:val="clear" w:color="auto" w:fill="E6E6E6"/>
      </w:rPr>
      <w:fldChar w:fldCharType="separate"/>
    </w:r>
    <w:r>
      <w:rPr>
        <w:noProof/>
      </w:rPr>
      <w:t>10</w:t>
    </w:r>
    <w:r w:rsidRPr="00040D99">
      <w:rPr>
        <w:noProof/>
        <w:color w:val="2B579A"/>
        <w:shd w:val="clear" w:color="auto" w:fill="E6E6E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8594834"/>
      <w:docPartObj>
        <w:docPartGallery w:val="Page Numbers (Bottom of Page)"/>
        <w:docPartUnique/>
      </w:docPartObj>
    </w:sdtPr>
    <w:sdtEndPr>
      <w:rPr>
        <w:noProof/>
      </w:rPr>
    </w:sdtEndPr>
    <w:sdtContent>
      <w:p w14:paraId="14D24D58" w14:textId="23C000CB" w:rsidR="005E2670" w:rsidRPr="00040D99" w:rsidRDefault="005E2670" w:rsidP="00D26688">
        <w:pPr>
          <w:pStyle w:val="Footer-OddPage"/>
        </w:pPr>
        <w:r w:rsidRPr="00040D99">
          <w:fldChar w:fldCharType="begin"/>
        </w:r>
        <w:r w:rsidRPr="00040D99">
          <w:instrText xml:space="preserve"> PAGE   \* MERGEFORMAT </w:instrText>
        </w:r>
        <w:r w:rsidRPr="00040D99">
          <w:fldChar w:fldCharType="separate"/>
        </w:r>
        <w:r w:rsidR="00D539B7">
          <w:rPr>
            <w:noProof/>
          </w:rPr>
          <w:t>13</w:t>
        </w:r>
        <w:r w:rsidRPr="00040D99">
          <w:rPr>
            <w:noProof/>
          </w:rPr>
          <w:fldChar w:fldCharType="end"/>
        </w:r>
      </w:p>
    </w:sdtContent>
  </w:sdt>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0932782"/>
      <w:docPartObj>
        <w:docPartGallery w:val="Page Numbers (Bottom of Page)"/>
        <w:docPartUnique/>
      </w:docPartObj>
    </w:sdtPr>
    <w:sdtEndPr>
      <w:rPr>
        <w:noProof/>
      </w:rPr>
    </w:sdtEndPr>
    <w:sdtContent>
      <w:p w14:paraId="26030959" w14:textId="38A627FC" w:rsidR="005E2670" w:rsidRPr="00040D99" w:rsidRDefault="005E2670" w:rsidP="00B202C2">
        <w:pPr>
          <w:pStyle w:val="Footer-OddPage"/>
        </w:pPr>
        <w:r w:rsidRPr="00040D99">
          <w:rPr>
            <w:color w:val="2B579A"/>
            <w:shd w:val="clear" w:color="auto" w:fill="E6E6E6"/>
          </w:rPr>
          <w:fldChar w:fldCharType="begin"/>
        </w:r>
        <w:r w:rsidRPr="00040D99">
          <w:instrText xml:space="preserve"> PAGE   \* MERGEFORMAT </w:instrText>
        </w:r>
        <w:r w:rsidRPr="00040D99">
          <w:rPr>
            <w:color w:val="2B579A"/>
            <w:shd w:val="clear" w:color="auto" w:fill="E6E6E6"/>
          </w:rPr>
          <w:fldChar w:fldCharType="separate"/>
        </w:r>
        <w:r w:rsidR="003D550B">
          <w:rPr>
            <w:noProof/>
          </w:rPr>
          <w:t>245</w:t>
        </w:r>
        <w:r w:rsidRPr="00040D99">
          <w:rPr>
            <w:color w:val="2B579A"/>
            <w:shd w:val="clear" w:color="auto" w:fill="E6E6E6"/>
          </w:rPr>
          <w:fldChar w:fldCharType="end"/>
        </w:r>
      </w:p>
    </w:sdtContent>
  </w:sdt>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CF405" w14:textId="77777777" w:rsidR="005E2670" w:rsidRDefault="005E2670">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88B81" w14:textId="77777777" w:rsidR="005E2670" w:rsidRPr="00040D99" w:rsidRDefault="005E2670" w:rsidP="00B202C2">
    <w:pPr>
      <w:pStyle w:val="Footer-EvenPage"/>
    </w:pPr>
    <w:r w:rsidRPr="00040D99">
      <w:rPr>
        <w:color w:val="2B579A"/>
        <w:shd w:val="clear" w:color="auto" w:fill="E6E6E6"/>
      </w:rPr>
      <w:fldChar w:fldCharType="begin"/>
    </w:r>
    <w:r w:rsidRPr="00040D99">
      <w:instrText xml:space="preserve"> PAGE   \* MERGEFORMAT </w:instrText>
    </w:r>
    <w:r w:rsidRPr="00040D99">
      <w:rPr>
        <w:color w:val="2B579A"/>
        <w:shd w:val="clear" w:color="auto" w:fill="E6E6E6"/>
      </w:rPr>
      <w:fldChar w:fldCharType="separate"/>
    </w:r>
    <w:r>
      <w:rPr>
        <w:noProof/>
      </w:rPr>
      <w:t>10</w:t>
    </w:r>
    <w:r w:rsidRPr="00040D99">
      <w:rPr>
        <w:noProof/>
        <w:color w:val="2B579A"/>
        <w:shd w:val="clear" w:color="auto" w:fill="E6E6E6"/>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464764"/>
      <w:docPartObj>
        <w:docPartGallery w:val="Page Numbers (Bottom of Page)"/>
        <w:docPartUnique/>
      </w:docPartObj>
    </w:sdtPr>
    <w:sdtEndPr>
      <w:rPr>
        <w:noProof/>
      </w:rPr>
    </w:sdtEndPr>
    <w:sdtContent>
      <w:p w14:paraId="43C6FD0D" w14:textId="0FF1B2FC" w:rsidR="005E2670" w:rsidRPr="00040D99" w:rsidRDefault="005E2670" w:rsidP="00B202C2">
        <w:pPr>
          <w:pStyle w:val="Footer-OddPage"/>
        </w:pPr>
        <w:r w:rsidRPr="00040D99">
          <w:rPr>
            <w:color w:val="2B579A"/>
            <w:shd w:val="clear" w:color="auto" w:fill="E6E6E6"/>
          </w:rPr>
          <w:fldChar w:fldCharType="begin"/>
        </w:r>
        <w:r w:rsidRPr="00040D99">
          <w:instrText xml:space="preserve"> PAGE   \* MERGEFORMAT </w:instrText>
        </w:r>
        <w:r w:rsidRPr="00040D99">
          <w:rPr>
            <w:color w:val="2B579A"/>
            <w:shd w:val="clear" w:color="auto" w:fill="E6E6E6"/>
          </w:rPr>
          <w:fldChar w:fldCharType="separate"/>
        </w:r>
        <w:r w:rsidR="003D550B">
          <w:rPr>
            <w:noProof/>
          </w:rPr>
          <w:t>255</w:t>
        </w:r>
        <w:r w:rsidRPr="00040D99">
          <w:rPr>
            <w:color w:val="2B579A"/>
            <w:shd w:val="clear" w:color="auto" w:fill="E6E6E6"/>
          </w:rPr>
          <w:fldChar w:fldCharType="end"/>
        </w:r>
      </w:p>
    </w:sdtContent>
  </w:sdt>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DFFD1" w14:textId="77777777" w:rsidR="005E2670" w:rsidRDefault="005E2670">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96631" w14:textId="77777777" w:rsidR="005E2670" w:rsidRPr="00040D99" w:rsidRDefault="005E2670" w:rsidP="00B202C2">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8064422"/>
      <w:docPartObj>
        <w:docPartGallery w:val="Page Numbers (Bottom of Page)"/>
        <w:docPartUnique/>
      </w:docPartObj>
    </w:sdtPr>
    <w:sdtEndPr>
      <w:rPr>
        <w:noProof/>
      </w:rPr>
    </w:sdtEndPr>
    <w:sdtContent>
      <w:p w14:paraId="64212A4D" w14:textId="40B9ACA2" w:rsidR="005E2670" w:rsidRPr="00040D99" w:rsidRDefault="005E2670" w:rsidP="00B202C2">
        <w:pPr>
          <w:pStyle w:val="Footer-OddPage"/>
        </w:pPr>
        <w:r w:rsidRPr="00040D99">
          <w:fldChar w:fldCharType="begin"/>
        </w:r>
        <w:r w:rsidRPr="00040D99">
          <w:instrText xml:space="preserve"> PAGE   \* MERGEFORMAT </w:instrText>
        </w:r>
        <w:r w:rsidRPr="00040D99">
          <w:fldChar w:fldCharType="separate"/>
        </w:r>
        <w:r w:rsidR="003D550B">
          <w:rPr>
            <w:noProof/>
          </w:rPr>
          <w:t>256</w:t>
        </w:r>
        <w:r w:rsidRPr="00040D99">
          <w:rPr>
            <w:noProof/>
          </w:rPr>
          <w:fldChar w:fldCharType="end"/>
        </w:r>
      </w:p>
    </w:sdtContent>
  </w:sdt>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8D038" w14:textId="77777777" w:rsidR="005E2670" w:rsidRDefault="005E2670">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90FA8" w14:textId="77777777" w:rsidR="005E2670" w:rsidRPr="00040D99" w:rsidRDefault="005E2670" w:rsidP="00B202C2">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78442"/>
      <w:docPartObj>
        <w:docPartGallery w:val="Page Numbers (Bottom of Page)"/>
        <w:docPartUnique/>
      </w:docPartObj>
    </w:sdtPr>
    <w:sdtEndPr>
      <w:rPr>
        <w:noProof/>
      </w:rPr>
    </w:sdtEndPr>
    <w:sdtContent>
      <w:p w14:paraId="19F1B4A9" w14:textId="4013695B" w:rsidR="005E2670" w:rsidRPr="00040D99" w:rsidRDefault="005E2670" w:rsidP="00B202C2">
        <w:pPr>
          <w:pStyle w:val="Footer-OddPage"/>
        </w:pPr>
        <w:r w:rsidRPr="00040D99">
          <w:fldChar w:fldCharType="begin"/>
        </w:r>
        <w:r w:rsidRPr="00040D99">
          <w:instrText xml:space="preserve"> PAGE   \* MERGEFORMAT </w:instrText>
        </w:r>
        <w:r w:rsidRPr="00040D99">
          <w:fldChar w:fldCharType="separate"/>
        </w:r>
        <w:r w:rsidR="003D550B">
          <w:rPr>
            <w:noProof/>
          </w:rPr>
          <w:t>267</w:t>
        </w:r>
        <w:r w:rsidRPr="00040D99">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B2E29" w14:textId="77777777" w:rsidR="005E2670" w:rsidRDefault="005E2670">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17E3D" w14:textId="77777777" w:rsidR="005E2670" w:rsidRDefault="005E2670">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66239" w14:textId="77777777" w:rsidR="005E2670" w:rsidRPr="00040D99" w:rsidRDefault="005E2670" w:rsidP="00B202C2">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0712122"/>
      <w:docPartObj>
        <w:docPartGallery w:val="Page Numbers (Bottom of Page)"/>
        <w:docPartUnique/>
      </w:docPartObj>
    </w:sdtPr>
    <w:sdtEndPr>
      <w:rPr>
        <w:noProof/>
      </w:rPr>
    </w:sdtEndPr>
    <w:sdtContent>
      <w:p w14:paraId="59CCFF0F" w14:textId="5B77978E" w:rsidR="005E2670" w:rsidRPr="00040D99" w:rsidRDefault="005E2670" w:rsidP="00B202C2">
        <w:pPr>
          <w:pStyle w:val="Footer-OddPage"/>
        </w:pPr>
        <w:r w:rsidRPr="00040D99">
          <w:fldChar w:fldCharType="begin"/>
        </w:r>
        <w:r w:rsidRPr="00040D99">
          <w:instrText xml:space="preserve"> PAGE   \* MERGEFORMAT </w:instrText>
        </w:r>
        <w:r w:rsidRPr="00040D99">
          <w:fldChar w:fldCharType="separate"/>
        </w:r>
        <w:r w:rsidR="003D550B">
          <w:rPr>
            <w:noProof/>
          </w:rPr>
          <w:t>268</w:t>
        </w:r>
        <w:r w:rsidRPr="00040D99">
          <w:rPr>
            <w:noProof/>
          </w:rPr>
          <w:fldChar w:fldCharType="end"/>
        </w:r>
      </w:p>
    </w:sdtContent>
  </w:sdt>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6198B" w14:textId="77777777" w:rsidR="005E2670" w:rsidRDefault="005E2670">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8B731" w14:textId="77777777" w:rsidR="005E2670" w:rsidRPr="00040D99" w:rsidRDefault="005E2670" w:rsidP="00B202C2">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1156707"/>
      <w:docPartObj>
        <w:docPartGallery w:val="Page Numbers (Bottom of Page)"/>
        <w:docPartUnique/>
      </w:docPartObj>
    </w:sdtPr>
    <w:sdtEndPr>
      <w:rPr>
        <w:noProof/>
      </w:rPr>
    </w:sdtEndPr>
    <w:sdtContent>
      <w:p w14:paraId="4991C93B" w14:textId="5CE168A9" w:rsidR="005E2670" w:rsidRPr="00040D99" w:rsidRDefault="005E2670" w:rsidP="00B202C2">
        <w:pPr>
          <w:pStyle w:val="Footer-OddPage"/>
        </w:pPr>
        <w:r w:rsidRPr="00040D99">
          <w:fldChar w:fldCharType="begin"/>
        </w:r>
        <w:r w:rsidRPr="00040D99">
          <w:instrText xml:space="preserve"> PAGE   \* MERGEFORMAT </w:instrText>
        </w:r>
        <w:r w:rsidRPr="00040D99">
          <w:fldChar w:fldCharType="separate"/>
        </w:r>
        <w:r w:rsidR="003D550B">
          <w:rPr>
            <w:noProof/>
          </w:rPr>
          <w:t>277</w:t>
        </w:r>
        <w:r w:rsidRPr="00040D99">
          <w:rPr>
            <w:noProof/>
          </w:rPr>
          <w:fldChar w:fldCharType="end"/>
        </w:r>
      </w:p>
    </w:sdtContent>
  </w:sdt>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4BC2C" w14:textId="77777777" w:rsidR="005E2670" w:rsidRDefault="005E2670">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3745D" w14:textId="77777777" w:rsidR="005E2670" w:rsidRPr="00040D99" w:rsidRDefault="005E2670" w:rsidP="0083214A">
    <w:pPr>
      <w:pStyle w:val="Footer-EvenPage"/>
    </w:pPr>
    <w:r w:rsidRPr="00040D99">
      <w:fldChar w:fldCharType="begin"/>
    </w:r>
    <w:r w:rsidRPr="00040D99">
      <w:instrText xml:space="preserve"> PAGE   \* MERGEFORMAT </w:instrText>
    </w:r>
    <w:r w:rsidRPr="00040D99">
      <w:fldChar w:fldCharType="separate"/>
    </w:r>
    <w:r>
      <w:rPr>
        <w:noProof/>
      </w:rPr>
      <w:t>10</w:t>
    </w:r>
    <w:r w:rsidRPr="00040D99">
      <w:rPr>
        <w:noProof/>
      </w:rP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0519765"/>
      <w:docPartObj>
        <w:docPartGallery w:val="Page Numbers (Bottom of Page)"/>
        <w:docPartUnique/>
      </w:docPartObj>
    </w:sdtPr>
    <w:sdtEndPr>
      <w:rPr>
        <w:noProof/>
      </w:rPr>
    </w:sdtEndPr>
    <w:sdtContent>
      <w:p w14:paraId="69573AC8" w14:textId="13B4F5D5" w:rsidR="005E2670" w:rsidRPr="00040D99" w:rsidRDefault="005E2670" w:rsidP="0083214A">
        <w:pPr>
          <w:pStyle w:val="Footer-OddPage"/>
        </w:pPr>
        <w:r w:rsidRPr="00040D99">
          <w:fldChar w:fldCharType="begin"/>
        </w:r>
        <w:r w:rsidRPr="00040D99">
          <w:instrText xml:space="preserve"> PAGE   \* MERGEFORMAT </w:instrText>
        </w:r>
        <w:r w:rsidRPr="00040D99">
          <w:fldChar w:fldCharType="separate"/>
        </w:r>
        <w:r w:rsidR="003D550B">
          <w:rPr>
            <w:noProof/>
          </w:rPr>
          <w:t>278</w:t>
        </w:r>
        <w:r w:rsidRPr="00040D99">
          <w:rPr>
            <w:noProof/>
          </w:rPr>
          <w:fldChar w:fldCharType="end"/>
        </w:r>
      </w:p>
    </w:sdtContent>
  </w:sdt>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80409" w14:textId="77777777" w:rsidR="005E2670" w:rsidRDefault="005E26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6A2802" w14:textId="77777777" w:rsidR="005E2670" w:rsidRDefault="005E2670">
      <w:pPr>
        <w:spacing w:after="0"/>
      </w:pPr>
      <w:r>
        <w:separator/>
      </w:r>
    </w:p>
  </w:footnote>
  <w:footnote w:type="continuationSeparator" w:id="0">
    <w:p w14:paraId="2F1C1424" w14:textId="77777777" w:rsidR="005E2670" w:rsidRDefault="005E2670">
      <w:pPr>
        <w:spacing w:after="0"/>
      </w:pPr>
      <w:r>
        <w:continuationSeparator/>
      </w:r>
    </w:p>
  </w:footnote>
  <w:footnote w:type="continuationNotice" w:id="1">
    <w:p w14:paraId="461159DE" w14:textId="77777777" w:rsidR="005E2670" w:rsidRDefault="005E2670">
      <w:pPr>
        <w:spacing w:after="0"/>
      </w:pPr>
    </w:p>
  </w:footnote>
  <w:footnote w:id="2">
    <w:p w14:paraId="10ED2596" w14:textId="77777777" w:rsidR="005E2670" w:rsidRDefault="005E2670" w:rsidP="00D26688">
      <w:pPr>
        <w:pStyle w:val="FootnoteText"/>
      </w:pPr>
      <w:r>
        <w:t>(</w:t>
      </w:r>
      <w:r w:rsidRPr="005051BA">
        <w:rPr>
          <w:rStyle w:val="FootnoteReference"/>
        </w:rPr>
        <w:footnoteRef/>
      </w:r>
      <w:r>
        <w:t>)</w:t>
      </w:r>
      <w:r>
        <w:tab/>
      </w:r>
      <w:r w:rsidRPr="002E7668">
        <w:t>Regulation (EU, Euratom) 2018/1046 of the European Parliament and of the Council of 18</w:t>
      </w:r>
      <w:r>
        <w:rPr>
          <w:rFonts w:ascii="Calibri" w:hAnsi="Calibri" w:cs="Calibri"/>
        </w:rPr>
        <w:t> </w:t>
      </w:r>
      <w:r w:rsidRPr="002E7668">
        <w:t>July 2018 on the financial rules applicable to the general budget of the Union (OJ L</w:t>
      </w:r>
      <w:r>
        <w:rPr>
          <w:rFonts w:ascii="Calibri" w:hAnsi="Calibri" w:cs="Calibri"/>
        </w:rPr>
        <w:t> </w:t>
      </w:r>
      <w:r w:rsidRPr="002E7668">
        <w:t>193, 30.7.2018, p.</w:t>
      </w:r>
      <w:r>
        <w:rPr>
          <w:rFonts w:ascii="Calibri" w:hAnsi="Calibri" w:cs="Calibri"/>
        </w:rPr>
        <w:t> </w:t>
      </w:r>
      <w:r w:rsidRPr="002E7668">
        <w:t>1).</w:t>
      </w:r>
    </w:p>
  </w:footnote>
  <w:footnote w:id="3">
    <w:p w14:paraId="65C6160C" w14:textId="77777777" w:rsidR="005E2670" w:rsidRPr="001F2164" w:rsidRDefault="005E2670" w:rsidP="00C016C5">
      <w:pPr>
        <w:pStyle w:val="FootnoteText"/>
      </w:pPr>
      <w:r w:rsidRPr="001F2164">
        <w:t>(</w:t>
      </w:r>
      <w:r w:rsidRPr="008F05B0">
        <w:rPr>
          <w:rStyle w:val="FootnoteReference"/>
        </w:rPr>
        <w:footnoteRef/>
      </w:r>
      <w:r w:rsidRPr="001F2164">
        <w:t>)</w:t>
      </w:r>
      <w:r w:rsidRPr="001F2164">
        <w:tab/>
      </w:r>
      <w:r w:rsidRPr="001F2164">
        <w:rPr>
          <w:iCs/>
        </w:rPr>
        <w:t>This designation is without prejudice to positions on status, and is in line with UNSC 1244 and the ICJ Opinion on the Kosovo declaration of independence.</w:t>
      </w:r>
    </w:p>
  </w:footnote>
  <w:footnote w:id="4">
    <w:p w14:paraId="7B48C4DD" w14:textId="77777777" w:rsidR="005E2670" w:rsidRPr="001F2164" w:rsidRDefault="005E2670" w:rsidP="00C016C5">
      <w:pPr>
        <w:pStyle w:val="FootnoteText"/>
        <w:rPr>
          <w:iCs/>
        </w:rPr>
      </w:pPr>
      <w:r w:rsidRPr="00C02949">
        <w:t>(</w:t>
      </w:r>
      <w:r w:rsidRPr="00C02949">
        <w:rPr>
          <w:rStyle w:val="FootnoteReference"/>
        </w:rPr>
        <w:footnoteRef/>
      </w:r>
      <w:r w:rsidRPr="00C02949">
        <w:t>)</w:t>
      </w:r>
      <w:r w:rsidRPr="00C02949">
        <w:tab/>
      </w:r>
      <w:hyperlink r:id="rId1" w:history="1">
        <w:r w:rsidRPr="00C02949">
          <w:rPr>
            <w:rStyle w:val="Hyperlink"/>
            <w:color w:val="auto"/>
            <w:szCs w:val="18"/>
          </w:rPr>
          <w:t>Communication from the Commission to the European Parliament, the Council, the European Economic and Social Committee and the Committee of the Regions on European missions, COM(2021) 609</w:t>
        </w:r>
        <w:r w:rsidRPr="00C02949">
          <w:rPr>
            <w:iCs/>
          </w:rPr>
          <w:t>.</w:t>
        </w:r>
      </w:hyperlink>
    </w:p>
  </w:footnote>
  <w:footnote w:id="5">
    <w:p w14:paraId="099C8658" w14:textId="77777777" w:rsidR="005E2670" w:rsidRPr="00710BE9" w:rsidRDefault="005E2670" w:rsidP="001A33B7">
      <w:pPr>
        <w:pStyle w:val="FootnoteText"/>
      </w:pPr>
      <w:r>
        <w:rPr>
          <w:rStyle w:val="FootnoteReference"/>
        </w:rPr>
        <w:footnoteRef/>
      </w:r>
      <w:r>
        <w:t xml:space="preserve"> </w:t>
      </w:r>
      <w:r>
        <w:tab/>
      </w:r>
      <w:r>
        <w:rPr>
          <w:szCs w:val="16"/>
        </w:rPr>
        <w:t>Europeana, e-identification, e-signature, e-delivery, e-invoicing, e-archiving, public open data, automated translation, cybersecurity, eProcurement, business registers interconnection system, eHealth, electronic exchange of social security information, the European e-Justice portal, European digital media observatory, European platform on digital skills and jobs, online dispute resolution, safer internet, EU student e-card and blockchain.</w:t>
      </w:r>
    </w:p>
  </w:footnote>
  <w:footnote w:id="6">
    <w:p w14:paraId="4C309C89" w14:textId="77777777" w:rsidR="005E2670" w:rsidRDefault="005E2670" w:rsidP="00FE47FC">
      <w:pPr>
        <w:pStyle w:val="FootnoteText"/>
      </w:pPr>
      <w:r>
        <w:t>(</w:t>
      </w:r>
      <w:r w:rsidRPr="00604528">
        <w:rPr>
          <w:rStyle w:val="FootnoteReference"/>
        </w:rPr>
        <w:footnoteRef/>
      </w:r>
      <w:r>
        <w:t>)</w:t>
      </w:r>
      <w:r>
        <w:tab/>
      </w:r>
      <w:r w:rsidRPr="00FF3F0D">
        <w:t>This designation is without prejudice to positions on status, and is in line with UNSCR 1244/1999 and the ICJ Opinion on the Kosovo declaration of independence.</w:t>
      </w:r>
    </w:p>
  </w:footnote>
  <w:footnote w:id="7">
    <w:p w14:paraId="27DB0174" w14:textId="1EB268C6" w:rsidR="005E2670" w:rsidRPr="003F7A66" w:rsidRDefault="005E2670" w:rsidP="005C4C84">
      <w:pPr>
        <w:pStyle w:val="FootnoteText"/>
        <w:rPr>
          <w:lang w:val="en-IE"/>
        </w:rPr>
      </w:pPr>
      <w:r>
        <w:rPr>
          <w:rStyle w:val="FootnoteReference"/>
        </w:rPr>
        <w:footnoteRef/>
      </w:r>
      <w:r>
        <w:t xml:space="preserve"> APV-I: Approach procedure with vertical guidance, category 1</w:t>
      </w:r>
    </w:p>
  </w:footnote>
  <w:footnote w:id="8">
    <w:p w14:paraId="17D38E6B" w14:textId="27FFF860" w:rsidR="005E2670" w:rsidRPr="009604E8" w:rsidRDefault="005E2670" w:rsidP="005C4C84">
      <w:pPr>
        <w:pStyle w:val="FootnoteText"/>
      </w:pPr>
      <w:r>
        <w:rPr>
          <w:rStyle w:val="FootnoteReference"/>
        </w:rPr>
        <w:footnoteRef/>
      </w:r>
      <w:r>
        <w:t xml:space="preserve"> LPV-200: Localizer Performance with Vertical guidance to a decision altitude of 200 ft</w:t>
      </w:r>
    </w:p>
  </w:footnote>
  <w:footnote w:id="9">
    <w:p w14:paraId="144D54F0" w14:textId="77777777" w:rsidR="005E2670" w:rsidRPr="0073413A" w:rsidRDefault="005E2670" w:rsidP="00647AA9">
      <w:pPr>
        <w:pStyle w:val="FootnoteText"/>
        <w:rPr>
          <w:lang w:val="en-IE"/>
        </w:rPr>
      </w:pPr>
      <w:r>
        <w:t>(</w:t>
      </w:r>
      <w:r>
        <w:rPr>
          <w:rStyle w:val="FootnoteReference"/>
        </w:rPr>
        <w:footnoteRef/>
      </w:r>
      <w:r>
        <w:t xml:space="preserve">) </w:t>
      </w:r>
      <w:r>
        <w:tab/>
      </w:r>
      <w:r w:rsidRPr="0073413A">
        <w:rPr>
          <w:color w:val="000000"/>
          <w:szCs w:val="18"/>
        </w:rPr>
        <w:t>This designation is without prejudice to positions on status, and is in line with UNSCR 1244/1999 and the ICJ Opinion on the Kosovo declaration of independence.</w:t>
      </w:r>
    </w:p>
  </w:footnote>
  <w:footnote w:id="10">
    <w:p w14:paraId="69279FA1" w14:textId="77777777" w:rsidR="005E2670" w:rsidRPr="00DA4CAD" w:rsidRDefault="005E2670" w:rsidP="004E54EB">
      <w:pPr>
        <w:pStyle w:val="FootnoteText"/>
      </w:pPr>
      <w:r w:rsidRPr="1EFE75B2">
        <w:rPr>
          <w:rFonts w:eastAsiaTheme="minorEastAsia"/>
        </w:rPr>
        <w:t>(</w:t>
      </w:r>
      <w:r w:rsidRPr="1EFE75B2">
        <w:rPr>
          <w:rStyle w:val="FootnoteReference"/>
          <w:rFonts w:eastAsiaTheme="minorEastAsia"/>
        </w:rPr>
        <w:footnoteRef/>
      </w:r>
      <w:r w:rsidRPr="1EFE75B2">
        <w:rPr>
          <w:rFonts w:eastAsiaTheme="minorEastAsia"/>
        </w:rPr>
        <w:t>)</w:t>
      </w:r>
      <w:r>
        <w:tab/>
      </w:r>
      <w:r w:rsidRPr="1EFE75B2">
        <w:t>COM(2021)</w:t>
      </w:r>
      <w:r w:rsidRPr="1EFE75B2">
        <w:rPr>
          <w:rFonts w:ascii="Calibri" w:hAnsi="Calibri" w:cs="Calibri"/>
        </w:rPr>
        <w:t> </w:t>
      </w:r>
      <w:r w:rsidRPr="1EFE75B2">
        <w:t>120 final of 27.4.2021.</w:t>
      </w:r>
    </w:p>
  </w:footnote>
  <w:footnote w:id="11">
    <w:p w14:paraId="22C9DD0D" w14:textId="77777777" w:rsidR="005E2670" w:rsidRPr="00B16266" w:rsidRDefault="005E2670" w:rsidP="00881F76">
      <w:pPr>
        <w:pStyle w:val="FootnoteText"/>
        <w:rPr>
          <w:lang w:val="en-IE"/>
        </w:rPr>
      </w:pPr>
      <w:r>
        <w:rPr>
          <w:rStyle w:val="FootnoteReference"/>
        </w:rPr>
        <w:footnoteRef/>
      </w:r>
      <w:r>
        <w:t xml:space="preserve"> </w:t>
      </w:r>
      <w:r>
        <w:tab/>
      </w:r>
      <w:bookmarkStart w:id="203" w:name="_Hlk101961418"/>
      <w:r w:rsidRPr="00670393">
        <w:rPr>
          <w:rFonts w:ascii="EC Square Sans Cond Pro" w:hAnsi="EC Square Sans Cond Pro"/>
          <w:szCs w:val="18"/>
          <w:lang w:eastAsia="en-IE"/>
        </w:rPr>
        <w:t>Increases in migrants</w:t>
      </w:r>
      <w:r w:rsidRPr="00755E8A">
        <w:rPr>
          <w:rFonts w:ascii="EC Square Sans Cond Pro" w:hAnsi="EC Square Sans Cond Pro"/>
          <w:szCs w:val="18"/>
          <w:lang w:eastAsia="en-IE"/>
        </w:rPr>
        <w:t xml:space="preserve"> apprehended </w:t>
      </w:r>
      <w:r w:rsidRPr="00755E8A">
        <w:rPr>
          <w:rFonts w:ascii="EC Square Sans Cond Pro" w:hAnsi="EC Square Sans Cond Pro"/>
          <w:szCs w:val="18"/>
          <w:lang w:val="en-IE" w:eastAsia="en-GB"/>
        </w:rPr>
        <w:t xml:space="preserve">who </w:t>
      </w:r>
      <w:r>
        <w:rPr>
          <w:rFonts w:ascii="EC Square Sans Cond Pro" w:hAnsi="EC Square Sans Cond Pro"/>
          <w:szCs w:val="18"/>
          <w:lang w:val="en-IE" w:eastAsia="en-GB"/>
        </w:rPr>
        <w:t xml:space="preserve">also </w:t>
      </w:r>
      <w:r w:rsidRPr="00755E8A">
        <w:rPr>
          <w:rFonts w:ascii="EC Square Sans Cond Pro" w:hAnsi="EC Square Sans Cond Pro"/>
          <w:szCs w:val="18"/>
          <w:lang w:val="en-IE" w:eastAsia="en-GB"/>
        </w:rPr>
        <w:t xml:space="preserve">participated in pre-departure measures </w:t>
      </w:r>
      <w:r>
        <w:rPr>
          <w:rFonts w:ascii="EC Square Sans Cond Pro" w:hAnsi="EC Square Sans Cond Pro"/>
          <w:szCs w:val="18"/>
          <w:lang w:eastAsia="en-IE"/>
        </w:rPr>
        <w:t xml:space="preserve">are </w:t>
      </w:r>
      <w:r w:rsidRPr="00755E8A">
        <w:rPr>
          <w:rFonts w:ascii="EC Square Sans Cond Pro" w:hAnsi="EC Square Sans Cond Pro"/>
          <w:szCs w:val="18"/>
          <w:lang w:eastAsia="en-IE"/>
        </w:rPr>
        <w:t xml:space="preserve">also </w:t>
      </w:r>
      <w:r>
        <w:rPr>
          <w:rFonts w:ascii="EC Square Sans Cond Pro" w:hAnsi="EC Square Sans Cond Pro"/>
          <w:szCs w:val="18"/>
          <w:lang w:eastAsia="en-IE"/>
        </w:rPr>
        <w:t xml:space="preserve">due to the </w:t>
      </w:r>
      <w:r w:rsidRPr="00755E8A">
        <w:rPr>
          <w:rFonts w:ascii="EC Square Sans Cond Pro" w:hAnsi="EC Square Sans Cond Pro"/>
          <w:szCs w:val="18"/>
          <w:lang w:eastAsia="en-IE"/>
        </w:rPr>
        <w:t>improved operational capacity of</w:t>
      </w:r>
      <w:r>
        <w:rPr>
          <w:rFonts w:ascii="EC Square Sans Cond Pro" w:hAnsi="EC Square Sans Cond Pro"/>
          <w:szCs w:val="18"/>
          <w:lang w:eastAsia="en-IE"/>
        </w:rPr>
        <w:t xml:space="preserve"> the </w:t>
      </w:r>
      <w:r w:rsidRPr="000F253B">
        <w:rPr>
          <w:rFonts w:ascii="EC Square Sans Cond Pro" w:hAnsi="EC Square Sans Cond Pro"/>
          <w:szCs w:val="18"/>
          <w:lang w:eastAsia="en-IE"/>
        </w:rPr>
        <w:t>European Border and Coast Guard Agency s</w:t>
      </w:r>
      <w:r>
        <w:rPr>
          <w:rFonts w:ascii="EC Square Sans Cond Pro" w:hAnsi="EC Square Sans Cond Pro"/>
          <w:szCs w:val="18"/>
          <w:lang w:eastAsia="en-IE"/>
        </w:rPr>
        <w:t>ervices and</w:t>
      </w:r>
      <w:r w:rsidRPr="00755E8A">
        <w:rPr>
          <w:rFonts w:ascii="EC Square Sans Cond Pro" w:hAnsi="EC Square Sans Cond Pro"/>
          <w:szCs w:val="18"/>
          <w:lang w:eastAsia="en-IE"/>
        </w:rPr>
        <w:t xml:space="preserve"> increases in the push-pull factors at the global level.</w:t>
      </w:r>
      <w:bookmarkEnd w:id="203"/>
    </w:p>
  </w:footnote>
  <w:footnote w:id="12">
    <w:p w14:paraId="5DA19845" w14:textId="77777777" w:rsidR="005E2670" w:rsidRPr="009120F6" w:rsidRDefault="005E2670" w:rsidP="0018222F">
      <w:pPr>
        <w:pStyle w:val="FootnoteText"/>
      </w:pPr>
      <w:r>
        <w:t>(</w:t>
      </w:r>
      <w:r w:rsidRPr="00B301FE">
        <w:rPr>
          <w:rStyle w:val="FootnoteReference"/>
        </w:rPr>
        <w:footnoteRef/>
      </w:r>
      <w:r>
        <w:t>)</w:t>
      </w:r>
      <w:r>
        <w:tab/>
      </w:r>
      <w:r w:rsidRPr="009120F6">
        <w:t>This designation shall not be construed as recognition of a State of Palestine and is without prejudice to the individual positions of the Member States on this issue.</w:t>
      </w:r>
    </w:p>
  </w:footnote>
  <w:footnote w:id="13">
    <w:p w14:paraId="5F460F60" w14:textId="77777777" w:rsidR="005E2670" w:rsidRDefault="005E2670" w:rsidP="00D07F66">
      <w:pPr>
        <w:pStyle w:val="FootnoteText"/>
      </w:pPr>
      <w:r>
        <w:t>(</w:t>
      </w:r>
      <w:r>
        <w:rPr>
          <w:rStyle w:val="FootnoteReference"/>
        </w:rPr>
        <w:footnoteRef/>
      </w:r>
      <w:r>
        <w:t>)</w:t>
      </w:r>
      <w:r>
        <w:tab/>
      </w:r>
      <w:r w:rsidRPr="001A5581">
        <w:t>This designation is without prejudice to positions on status, and is in line with UNSCR 1244/1999 and the ICJ Opinion on the Kosovo declaration of independence.</w:t>
      </w:r>
    </w:p>
  </w:footnote>
  <w:footnote w:id="14">
    <w:p w14:paraId="33037C2C" w14:textId="77777777" w:rsidR="005E2670" w:rsidRPr="00074664" w:rsidRDefault="005E2670" w:rsidP="00434A92">
      <w:pPr>
        <w:pStyle w:val="FootnoteText"/>
        <w:rPr>
          <w:szCs w:val="16"/>
        </w:rPr>
      </w:pPr>
      <w:r>
        <w:t>(</w:t>
      </w:r>
      <w:r>
        <w:rPr>
          <w:rStyle w:val="FootnoteReference"/>
        </w:rPr>
        <w:footnoteRef/>
      </w:r>
      <w:r>
        <w:t xml:space="preserve">) </w:t>
      </w:r>
      <w:r>
        <w:tab/>
      </w:r>
      <w:r w:rsidRPr="003869C0">
        <w:rPr>
          <w:szCs w:val="16"/>
        </w:rPr>
        <w:t xml:space="preserve">At the time of finalising this report, </w:t>
      </w:r>
      <w:r>
        <w:rPr>
          <w:szCs w:val="16"/>
        </w:rPr>
        <w:t xml:space="preserve">only </w:t>
      </w:r>
      <w:r w:rsidRPr="00074664">
        <w:rPr>
          <w:szCs w:val="16"/>
        </w:rPr>
        <w:t xml:space="preserve">14 </w:t>
      </w:r>
      <w:r>
        <w:rPr>
          <w:szCs w:val="16"/>
        </w:rPr>
        <w:t>l</w:t>
      </w:r>
      <w:r w:rsidRPr="00074664">
        <w:rPr>
          <w:szCs w:val="16"/>
        </w:rPr>
        <w:t>arge-</w:t>
      </w:r>
      <w:r>
        <w:rPr>
          <w:szCs w:val="16"/>
        </w:rPr>
        <w:t>s</w:t>
      </w:r>
      <w:r w:rsidRPr="00074664">
        <w:rPr>
          <w:szCs w:val="16"/>
        </w:rPr>
        <w:t xml:space="preserve">cale proposals </w:t>
      </w:r>
      <w:r>
        <w:rPr>
          <w:szCs w:val="16"/>
        </w:rPr>
        <w:t xml:space="preserve">had </w:t>
      </w:r>
      <w:r w:rsidRPr="00074664">
        <w:rPr>
          <w:szCs w:val="16"/>
        </w:rPr>
        <w:t xml:space="preserve">signed a </w:t>
      </w:r>
      <w:r>
        <w:rPr>
          <w:szCs w:val="16"/>
        </w:rPr>
        <w:t>project development assistance</w:t>
      </w:r>
      <w:r w:rsidRPr="00074664">
        <w:rPr>
          <w:szCs w:val="16"/>
        </w:rPr>
        <w:t xml:space="preserve"> support agreement with the E</w:t>
      </w:r>
      <w:r>
        <w:rPr>
          <w:szCs w:val="16"/>
        </w:rPr>
        <w:t xml:space="preserve">uropean </w:t>
      </w:r>
      <w:r w:rsidRPr="00074664">
        <w:rPr>
          <w:szCs w:val="16"/>
        </w:rPr>
        <w:t>I</w:t>
      </w:r>
      <w:r>
        <w:rPr>
          <w:szCs w:val="16"/>
        </w:rPr>
        <w:t xml:space="preserve">nvestment </w:t>
      </w:r>
      <w:r w:rsidRPr="00074664">
        <w:rPr>
          <w:szCs w:val="16"/>
        </w:rPr>
        <w:t>B</w:t>
      </w:r>
      <w:r>
        <w:rPr>
          <w:szCs w:val="16"/>
        </w:rPr>
        <w:t xml:space="preserve">ank, as one project withdrew from the process. </w:t>
      </w:r>
    </w:p>
  </w:footnote>
  <w:footnote w:id="15">
    <w:p w14:paraId="27BF7821" w14:textId="77777777" w:rsidR="005E2670" w:rsidRPr="00142329" w:rsidRDefault="005E2670" w:rsidP="00434A92">
      <w:pPr>
        <w:pStyle w:val="FootnoteText"/>
        <w:rPr>
          <w:szCs w:val="16"/>
          <w:u w:val="single"/>
        </w:rPr>
      </w:pPr>
      <w:r>
        <w:rPr>
          <w:szCs w:val="16"/>
        </w:rPr>
        <w:t>(</w:t>
      </w:r>
      <w:r w:rsidRPr="00021F68">
        <w:rPr>
          <w:rStyle w:val="FootnoteReference"/>
        </w:rPr>
        <w:footnoteRef/>
      </w:r>
      <w:r>
        <w:rPr>
          <w:szCs w:val="16"/>
        </w:rPr>
        <w:t>)</w:t>
      </w:r>
      <w:r w:rsidRPr="00021F68">
        <w:rPr>
          <w:szCs w:val="16"/>
        </w:rPr>
        <w:t xml:space="preserve"> </w:t>
      </w:r>
      <w:r>
        <w:rPr>
          <w:szCs w:val="16"/>
        </w:rPr>
        <w:tab/>
        <w:t xml:space="preserve">The </w:t>
      </w:r>
      <w:r w:rsidRPr="00021F68">
        <w:rPr>
          <w:szCs w:val="16"/>
        </w:rPr>
        <w:t>E</w:t>
      </w:r>
      <w:r>
        <w:rPr>
          <w:szCs w:val="16"/>
        </w:rPr>
        <w:t xml:space="preserve">uropean </w:t>
      </w:r>
      <w:r w:rsidRPr="00021F68">
        <w:rPr>
          <w:szCs w:val="16"/>
        </w:rPr>
        <w:t>I</w:t>
      </w:r>
      <w:r>
        <w:rPr>
          <w:szCs w:val="16"/>
        </w:rPr>
        <w:t>nvestment Bank</w:t>
      </w:r>
      <w:r w:rsidRPr="00021F68">
        <w:rPr>
          <w:szCs w:val="16"/>
        </w:rPr>
        <w:t xml:space="preserve"> also offers NER</w:t>
      </w:r>
      <w:r>
        <w:rPr>
          <w:rFonts w:ascii="Calibri" w:hAnsi="Calibri" w:cs="Calibri"/>
          <w:szCs w:val="16"/>
        </w:rPr>
        <w:t> </w:t>
      </w:r>
      <w:r w:rsidRPr="00021F68">
        <w:rPr>
          <w:szCs w:val="16"/>
        </w:rPr>
        <w:t xml:space="preserve">300 </w:t>
      </w:r>
      <w:r>
        <w:rPr>
          <w:szCs w:val="16"/>
        </w:rPr>
        <w:t>f</w:t>
      </w:r>
      <w:r w:rsidRPr="00021F68">
        <w:rPr>
          <w:szCs w:val="16"/>
        </w:rPr>
        <w:t xml:space="preserve">inancial </w:t>
      </w:r>
      <w:r>
        <w:rPr>
          <w:szCs w:val="16"/>
        </w:rPr>
        <w:t>a</w:t>
      </w:r>
      <w:r w:rsidRPr="00021F68">
        <w:rPr>
          <w:szCs w:val="16"/>
        </w:rPr>
        <w:t xml:space="preserve">dvisory </w:t>
      </w:r>
      <w:r>
        <w:rPr>
          <w:szCs w:val="16"/>
        </w:rPr>
        <w:t>s</w:t>
      </w:r>
      <w:r w:rsidRPr="00021F68">
        <w:rPr>
          <w:szCs w:val="16"/>
        </w:rPr>
        <w:t>upport</w:t>
      </w:r>
      <w:r>
        <w:rPr>
          <w:rFonts w:ascii="Calibri" w:hAnsi="Calibri" w:cs="Calibri"/>
          <w:szCs w:val="16"/>
        </w:rPr>
        <w:t> </w:t>
      </w:r>
      <w:r w:rsidRPr="00021F68">
        <w:rPr>
          <w:szCs w:val="16"/>
        </w:rPr>
        <w:t xml:space="preserve">– see </w:t>
      </w:r>
      <w:r>
        <w:rPr>
          <w:szCs w:val="16"/>
        </w:rPr>
        <w:t xml:space="preserve">the </w:t>
      </w:r>
      <w:r w:rsidRPr="00021F68">
        <w:rPr>
          <w:szCs w:val="16"/>
        </w:rPr>
        <w:t xml:space="preserve">presentation </w:t>
      </w:r>
      <w:r>
        <w:rPr>
          <w:szCs w:val="16"/>
        </w:rPr>
        <w:t>of 6</w:t>
      </w:r>
      <w:r>
        <w:rPr>
          <w:rFonts w:ascii="Calibri" w:hAnsi="Calibri" w:cs="Calibri"/>
          <w:szCs w:val="16"/>
        </w:rPr>
        <w:t xml:space="preserve"> July 2021 </w:t>
      </w:r>
      <w:r w:rsidRPr="00021F68">
        <w:rPr>
          <w:szCs w:val="16"/>
        </w:rPr>
        <w:t xml:space="preserve">to the </w:t>
      </w:r>
      <w:r>
        <w:rPr>
          <w:szCs w:val="16"/>
        </w:rPr>
        <w:t>eighth</w:t>
      </w:r>
      <w:r w:rsidRPr="00021F68">
        <w:rPr>
          <w:szCs w:val="16"/>
        </w:rPr>
        <w:t xml:space="preserve"> Meeting of the I</w:t>
      </w:r>
      <w:r>
        <w:rPr>
          <w:szCs w:val="16"/>
        </w:rPr>
        <w:t xml:space="preserve">nnovation </w:t>
      </w:r>
      <w:r w:rsidRPr="00021F68">
        <w:rPr>
          <w:szCs w:val="16"/>
        </w:rPr>
        <w:t>F</w:t>
      </w:r>
      <w:r>
        <w:rPr>
          <w:szCs w:val="16"/>
        </w:rPr>
        <w:t xml:space="preserve">und </w:t>
      </w:r>
      <w:r w:rsidRPr="00021F68">
        <w:rPr>
          <w:szCs w:val="16"/>
        </w:rPr>
        <w:t>E</w:t>
      </w:r>
      <w:r>
        <w:rPr>
          <w:szCs w:val="16"/>
        </w:rPr>
        <w:t xml:space="preserve">xpert </w:t>
      </w:r>
      <w:r w:rsidRPr="00021F68">
        <w:rPr>
          <w:szCs w:val="16"/>
        </w:rPr>
        <w:t>G</w:t>
      </w:r>
      <w:r>
        <w:rPr>
          <w:szCs w:val="16"/>
        </w:rPr>
        <w:t>roup</w:t>
      </w:r>
      <w:r w:rsidRPr="00021F68">
        <w:rPr>
          <w:szCs w:val="16"/>
        </w:rPr>
        <w:t xml:space="preserve">. Available at: </w:t>
      </w:r>
      <w:hyperlink r:id="rId2" w:history="1">
        <w:r w:rsidRPr="00FF1E2D">
          <w:rPr>
            <w:rStyle w:val="Hyperlink"/>
          </w:rPr>
          <w:t>https://ec.europa.eu/clima/system/files/2021-07/20210706_ifeg_2_en.pdf</w:t>
        </w:r>
      </w:hyperlink>
      <w:r w:rsidRPr="00142329">
        <w:rPr>
          <w:szCs w:val="16"/>
          <w:u w:val="singl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8436F" w14:textId="77777777" w:rsidR="00E01E9B" w:rsidRPr="00E01E9B" w:rsidRDefault="00E01E9B" w:rsidP="00E01E9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8431A" w14:textId="77777777" w:rsidR="005E2670" w:rsidRPr="00040D99" w:rsidRDefault="005E2670" w:rsidP="00D26688">
    <w:pPr>
      <w:pStyle w:val="Header-EvenPage"/>
    </w:pPr>
    <w:r w:rsidRPr="00040D99">
      <w:rPr>
        <w:noProof/>
        <w:lang w:eastAsia="en-GB"/>
      </w:rPr>
      <w:drawing>
        <wp:anchor distT="0" distB="0" distL="114300" distR="114300" simplePos="0" relativeHeight="251658334" behindDoc="1" locked="1" layoutInCell="1" allowOverlap="1" wp14:anchorId="546325DE" wp14:editId="7AB0A54A">
          <wp:simplePos x="0" y="0"/>
          <wp:positionH relativeFrom="page">
            <wp:posOffset>-45720</wp:posOffset>
          </wp:positionH>
          <wp:positionV relativeFrom="page">
            <wp:posOffset>-7620</wp:posOffset>
          </wp:positionV>
          <wp:extent cx="7589520" cy="2921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28B9D" w14:textId="77777777" w:rsidR="005E2670" w:rsidRPr="00102B8C" w:rsidRDefault="005E2670" w:rsidP="0083214A">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4695C" w14:textId="77777777" w:rsidR="005E2670" w:rsidRPr="00DA010E" w:rsidRDefault="005E2670" w:rsidP="0083214A">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9955F" w14:textId="77777777" w:rsidR="005E2670" w:rsidRDefault="005E2670">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349E1" w14:textId="77777777" w:rsidR="005E2670" w:rsidRPr="00040D99" w:rsidRDefault="005E2670" w:rsidP="0083214A">
    <w:pPr>
      <w:pStyle w:val="Header-EvenPage"/>
    </w:pPr>
    <w:r w:rsidRPr="00040D99">
      <w:rPr>
        <w:noProof/>
        <w:lang w:eastAsia="en-GB"/>
      </w:rPr>
      <w:drawing>
        <wp:anchor distT="0" distB="0" distL="114300" distR="114300" simplePos="0" relativeHeight="251658290" behindDoc="1" locked="1" layoutInCell="1" allowOverlap="1" wp14:anchorId="11F5B8DD" wp14:editId="515D5D92">
          <wp:simplePos x="0" y="0"/>
          <wp:positionH relativeFrom="page">
            <wp:posOffset>-45720</wp:posOffset>
          </wp:positionH>
          <wp:positionV relativeFrom="page">
            <wp:posOffset>-7620</wp:posOffset>
          </wp:positionV>
          <wp:extent cx="7589520" cy="2921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60AC7" w14:textId="77777777" w:rsidR="005E2670" w:rsidRPr="00040D99" w:rsidRDefault="005E2670" w:rsidP="0083214A">
    <w:pPr>
      <w:pStyle w:val="Header-PPOprogrammeinanutshellpage"/>
      <w:rPr>
        <w:noProof/>
      </w:rPr>
    </w:pPr>
    <w:r w:rsidRPr="00040D99">
      <w:rPr>
        <w:noProof/>
        <w:lang w:eastAsia="en-GB"/>
      </w:rPr>
      <w:drawing>
        <wp:anchor distT="0" distB="0" distL="114300" distR="114300" simplePos="0" relativeHeight="251658284" behindDoc="1" locked="1" layoutInCell="1" allowOverlap="1" wp14:anchorId="15075395" wp14:editId="05DB9830">
          <wp:simplePos x="0" y="0"/>
          <wp:positionH relativeFrom="page">
            <wp:posOffset>-7620</wp:posOffset>
          </wp:positionH>
          <wp:positionV relativeFrom="page">
            <wp:posOffset>-301625</wp:posOffset>
          </wp:positionV>
          <wp:extent cx="7598410" cy="2423160"/>
          <wp:effectExtent l="0" t="0" r="254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813" r="419" b="-62"/>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rPr>
        <w:noProof/>
      </w:rPr>
      <w:t xml:space="preserve">Programme </w:t>
    </w:r>
    <w:r w:rsidRPr="00040D99">
      <w:t>performance</w:t>
    </w:r>
    <w:r w:rsidRPr="00040D99">
      <w:rPr>
        <w:noProof/>
      </w:rPr>
      <w:t xml:space="preserve"> overview 2022</w: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263F0" w14:textId="77777777" w:rsidR="005E2670" w:rsidRDefault="005E2670">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29036" w14:textId="77777777" w:rsidR="005E2670" w:rsidRPr="00102B8C" w:rsidRDefault="005E2670" w:rsidP="0083214A">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3C653" w14:textId="77777777" w:rsidR="005E2670" w:rsidRPr="00DA010E" w:rsidRDefault="005E2670" w:rsidP="0083214A">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330B5" w14:textId="77777777" w:rsidR="005E2670" w:rsidRDefault="005E2670">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85141" w14:textId="77777777" w:rsidR="005E2670" w:rsidRPr="00040D99" w:rsidRDefault="005E2670" w:rsidP="0083214A">
    <w:pPr>
      <w:pStyle w:val="Header-EvenPage"/>
    </w:pPr>
    <w:r w:rsidRPr="00040D99">
      <w:rPr>
        <w:noProof/>
        <w:lang w:eastAsia="en-GB"/>
      </w:rPr>
      <w:drawing>
        <wp:anchor distT="0" distB="0" distL="114300" distR="114300" simplePos="0" relativeHeight="251658298" behindDoc="1" locked="1" layoutInCell="1" allowOverlap="1" wp14:anchorId="0BD725C0" wp14:editId="546A1D5D">
          <wp:simplePos x="0" y="0"/>
          <wp:positionH relativeFrom="page">
            <wp:posOffset>-45720</wp:posOffset>
          </wp:positionH>
          <wp:positionV relativeFrom="page">
            <wp:posOffset>-7620</wp:posOffset>
          </wp:positionV>
          <wp:extent cx="7589520" cy="2921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7A8AD" w14:textId="77777777" w:rsidR="005E2670" w:rsidRPr="001130BD" w:rsidRDefault="005E2670" w:rsidP="001130BD">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150DF" w14:textId="77777777" w:rsidR="005E2670" w:rsidRPr="00040D99" w:rsidRDefault="005E2670" w:rsidP="0083214A">
    <w:pPr>
      <w:pStyle w:val="Header-PPOprogrammeinanutshellpage"/>
      <w:rPr>
        <w:noProof/>
      </w:rPr>
    </w:pPr>
    <w:r w:rsidRPr="00040D99">
      <w:rPr>
        <w:noProof/>
        <w:lang w:eastAsia="en-GB"/>
      </w:rPr>
      <w:drawing>
        <wp:anchor distT="0" distB="0" distL="114300" distR="114300" simplePos="0" relativeHeight="251658293" behindDoc="1" locked="1" layoutInCell="1" allowOverlap="1" wp14:anchorId="61A99595" wp14:editId="05F54DE8">
          <wp:simplePos x="0" y="0"/>
          <wp:positionH relativeFrom="page">
            <wp:posOffset>-7620</wp:posOffset>
          </wp:positionH>
          <wp:positionV relativeFrom="page">
            <wp:posOffset>-301625</wp:posOffset>
          </wp:positionV>
          <wp:extent cx="7598410" cy="2423160"/>
          <wp:effectExtent l="0" t="0" r="254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813" r="419" b="-62"/>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rPr>
        <w:noProof/>
      </w:rPr>
      <w:t xml:space="preserve">Programme </w:t>
    </w:r>
    <w:r w:rsidRPr="00040D99">
      <w:t>performance</w:t>
    </w:r>
    <w:r w:rsidRPr="00040D99">
      <w:rPr>
        <w:noProof/>
      </w:rPr>
      <w:t xml:space="preserve"> overview 2022</w:t>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55364" w14:textId="77777777" w:rsidR="005E2670" w:rsidRDefault="005E2670">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FA5CC" w14:textId="77777777" w:rsidR="005E2670" w:rsidRPr="00102B8C" w:rsidRDefault="005E2670" w:rsidP="0083214A">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F0B62" w14:textId="77777777" w:rsidR="005E2670" w:rsidRPr="00DA010E" w:rsidRDefault="005E2670" w:rsidP="0083214A">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5986A" w14:textId="77777777" w:rsidR="005E2670" w:rsidRDefault="005E2670">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A92A9" w14:textId="77777777" w:rsidR="005E2670" w:rsidRPr="00040D99" w:rsidRDefault="005E2670" w:rsidP="0083214A">
    <w:pPr>
      <w:pStyle w:val="Header-EvenPage"/>
    </w:pPr>
    <w:r w:rsidRPr="00040D99">
      <w:rPr>
        <w:noProof/>
        <w:lang w:eastAsia="en-GB"/>
      </w:rPr>
      <w:drawing>
        <wp:anchor distT="0" distB="0" distL="114300" distR="114300" simplePos="0" relativeHeight="251658304" behindDoc="1" locked="1" layoutInCell="1" allowOverlap="1" wp14:anchorId="612DF255" wp14:editId="2EBA7DF2">
          <wp:simplePos x="0" y="0"/>
          <wp:positionH relativeFrom="page">
            <wp:posOffset>-45720</wp:posOffset>
          </wp:positionH>
          <wp:positionV relativeFrom="page">
            <wp:posOffset>-7620</wp:posOffset>
          </wp:positionV>
          <wp:extent cx="7589520" cy="2921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EC032" w14:textId="77777777" w:rsidR="005E2670" w:rsidRPr="00040D99" w:rsidRDefault="005E2670" w:rsidP="0083214A">
    <w:pPr>
      <w:pStyle w:val="Header-PPOprogrammeinanutshellpage"/>
      <w:rPr>
        <w:noProof/>
      </w:rPr>
    </w:pPr>
    <w:r w:rsidRPr="00040D99">
      <w:rPr>
        <w:noProof/>
        <w:lang w:eastAsia="en-GB"/>
      </w:rPr>
      <w:drawing>
        <wp:anchor distT="0" distB="0" distL="114300" distR="114300" simplePos="0" relativeHeight="251658300" behindDoc="1" locked="1" layoutInCell="1" allowOverlap="1" wp14:anchorId="08468F92" wp14:editId="437E7D63">
          <wp:simplePos x="0" y="0"/>
          <wp:positionH relativeFrom="page">
            <wp:posOffset>-7620</wp:posOffset>
          </wp:positionH>
          <wp:positionV relativeFrom="page">
            <wp:posOffset>-301625</wp:posOffset>
          </wp:positionV>
          <wp:extent cx="7598410" cy="2423160"/>
          <wp:effectExtent l="0" t="0" r="254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583" r="419" b="166"/>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rPr>
        <w:noProof/>
      </w:rPr>
      <w:t xml:space="preserve">Programme </w:t>
    </w:r>
    <w:r w:rsidRPr="00040D99">
      <w:t>performance</w:t>
    </w:r>
    <w:r w:rsidRPr="00040D99">
      <w:rPr>
        <w:noProof/>
      </w:rPr>
      <w:t xml:space="preserve"> overview 2022</w:t>
    </w: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45388" w14:textId="77777777" w:rsidR="005E2670" w:rsidRDefault="005E2670">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0400A" w14:textId="77777777" w:rsidR="005E2670" w:rsidRPr="00102B8C" w:rsidRDefault="005E2670" w:rsidP="0083214A">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E9631" w14:textId="77777777" w:rsidR="005E2670" w:rsidRPr="00DA010E" w:rsidRDefault="005E2670" w:rsidP="0083214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DDECB" w14:textId="43C4EC34" w:rsidR="005E2670" w:rsidRDefault="005E2670" w:rsidP="005D691E">
    <w:pPr>
      <w:pStyle w:val="Header"/>
      <w:jc w:val="right"/>
    </w:pPr>
    <w:r w:rsidRPr="00040D99">
      <w:rPr>
        <w:noProof/>
        <w:lang w:eastAsia="en-GB"/>
      </w:rPr>
      <w:drawing>
        <wp:anchor distT="0" distB="0" distL="114300" distR="114300" simplePos="0" relativeHeight="251658240" behindDoc="1" locked="1" layoutInCell="1" allowOverlap="1" wp14:anchorId="29E3940A" wp14:editId="11D20DA5">
          <wp:simplePos x="0" y="0"/>
          <wp:positionH relativeFrom="page">
            <wp:posOffset>0</wp:posOffset>
          </wp:positionH>
          <wp:positionV relativeFrom="page">
            <wp:posOffset>-10160</wp:posOffset>
          </wp:positionV>
          <wp:extent cx="7598410" cy="2178050"/>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8410" cy="2178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691E">
      <w:rPr>
        <w:noProof/>
        <w:color w:val="FFFFFF" w:themeColor="background1"/>
      </w:rPr>
      <w:t xml:space="preserve"> Programme </w:t>
    </w:r>
    <w:r w:rsidRPr="005D691E">
      <w:rPr>
        <w:color w:val="FFFFFF" w:themeColor="background1"/>
      </w:rPr>
      <w:t>performance</w:t>
    </w:r>
    <w:r w:rsidRPr="005D691E">
      <w:rPr>
        <w:noProof/>
        <w:color w:val="FFFFFF" w:themeColor="background1"/>
      </w:rPr>
      <w:t xml:space="preserve"> overview 2022</w:t>
    </w: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8A161" w14:textId="77777777" w:rsidR="005E2670" w:rsidRDefault="005E2670">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187DC" w14:textId="77777777" w:rsidR="005E2670" w:rsidRPr="00040D99" w:rsidRDefault="005E2670" w:rsidP="0083214A">
    <w:pPr>
      <w:pStyle w:val="Header-EvenPage"/>
    </w:pPr>
    <w:r w:rsidRPr="00040D99">
      <w:rPr>
        <w:noProof/>
        <w:lang w:eastAsia="en-GB"/>
      </w:rPr>
      <w:drawing>
        <wp:anchor distT="0" distB="0" distL="114300" distR="114300" simplePos="0" relativeHeight="251658306" behindDoc="1" locked="1" layoutInCell="1" allowOverlap="1" wp14:anchorId="698A94DF" wp14:editId="669D1BF3">
          <wp:simplePos x="0" y="0"/>
          <wp:positionH relativeFrom="page">
            <wp:posOffset>-45720</wp:posOffset>
          </wp:positionH>
          <wp:positionV relativeFrom="page">
            <wp:posOffset>-7620</wp:posOffset>
          </wp:positionV>
          <wp:extent cx="7589520" cy="2921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C2F5B" w14:textId="77777777" w:rsidR="005E2670" w:rsidRPr="00040D99" w:rsidRDefault="005E2670" w:rsidP="0083214A">
    <w:pPr>
      <w:pStyle w:val="Header-PPOprogrammeinanutshellpage"/>
      <w:rPr>
        <w:noProof/>
      </w:rPr>
    </w:pPr>
    <w:r w:rsidRPr="00040D99">
      <w:rPr>
        <w:noProof/>
        <w:lang w:eastAsia="en-GB"/>
      </w:rPr>
      <w:drawing>
        <wp:anchor distT="0" distB="0" distL="114300" distR="114300" simplePos="0" relativeHeight="251658305" behindDoc="1" locked="1" layoutInCell="1" allowOverlap="1" wp14:anchorId="753CE14D" wp14:editId="34462314">
          <wp:simplePos x="0" y="0"/>
          <wp:positionH relativeFrom="page">
            <wp:posOffset>-7620</wp:posOffset>
          </wp:positionH>
          <wp:positionV relativeFrom="page">
            <wp:posOffset>-301625</wp:posOffset>
          </wp:positionV>
          <wp:extent cx="7598410" cy="2423160"/>
          <wp:effectExtent l="0" t="0" r="254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583" r="419" b="166"/>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rPr>
        <w:noProof/>
      </w:rPr>
      <w:t xml:space="preserve">Programme </w:t>
    </w:r>
    <w:r w:rsidRPr="00040D99">
      <w:t>performance</w:t>
    </w:r>
    <w:r w:rsidRPr="00040D99">
      <w:rPr>
        <w:noProof/>
      </w:rPr>
      <w:t xml:space="preserve"> overview 2022</w:t>
    </w: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6B86E" w14:textId="77777777" w:rsidR="005E2670" w:rsidRDefault="005E2670">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5DF9E" w14:textId="77777777" w:rsidR="005E2670" w:rsidRPr="00102B8C" w:rsidRDefault="005E2670" w:rsidP="0083214A">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01E3F" w14:textId="77777777" w:rsidR="005E2670" w:rsidRPr="00DA010E" w:rsidRDefault="005E2670" w:rsidP="0083214A">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549C9" w14:textId="77777777" w:rsidR="005E2670" w:rsidRDefault="005E2670">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3249A" w14:textId="77777777" w:rsidR="005E2670" w:rsidRPr="00040D99" w:rsidRDefault="005E2670" w:rsidP="0083214A">
    <w:pPr>
      <w:pStyle w:val="Header-EvenPage"/>
    </w:pPr>
    <w:r w:rsidRPr="00040D99">
      <w:rPr>
        <w:noProof/>
        <w:lang w:eastAsia="en-GB"/>
      </w:rPr>
      <w:drawing>
        <wp:anchor distT="0" distB="0" distL="114300" distR="114300" simplePos="0" relativeHeight="251658309" behindDoc="1" locked="1" layoutInCell="1" allowOverlap="1" wp14:anchorId="61EBBB37" wp14:editId="01BC7C07">
          <wp:simplePos x="0" y="0"/>
          <wp:positionH relativeFrom="page">
            <wp:posOffset>-45720</wp:posOffset>
          </wp:positionH>
          <wp:positionV relativeFrom="page">
            <wp:posOffset>-7620</wp:posOffset>
          </wp:positionV>
          <wp:extent cx="7589520" cy="2921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987A2" w14:textId="77777777" w:rsidR="005E2670" w:rsidRPr="00040D99" w:rsidRDefault="005E2670" w:rsidP="0083214A">
    <w:pPr>
      <w:pStyle w:val="Header-PPOprogrammeinanutshellpage"/>
      <w:rPr>
        <w:noProof/>
      </w:rPr>
    </w:pPr>
    <w:r w:rsidRPr="00040D99">
      <w:rPr>
        <w:noProof/>
        <w:lang w:eastAsia="en-GB"/>
      </w:rPr>
      <w:drawing>
        <wp:anchor distT="0" distB="0" distL="114300" distR="114300" simplePos="0" relativeHeight="251658308" behindDoc="1" locked="1" layoutInCell="1" allowOverlap="1" wp14:anchorId="052AA388" wp14:editId="36EED024">
          <wp:simplePos x="0" y="0"/>
          <wp:positionH relativeFrom="page">
            <wp:posOffset>-7620</wp:posOffset>
          </wp:positionH>
          <wp:positionV relativeFrom="page">
            <wp:posOffset>-301625</wp:posOffset>
          </wp:positionV>
          <wp:extent cx="7598410" cy="2423160"/>
          <wp:effectExtent l="0" t="0" r="254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583" r="419" b="166"/>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rPr>
        <w:noProof/>
      </w:rPr>
      <w:t xml:space="preserve">Programme </w:t>
    </w:r>
    <w:r w:rsidRPr="00040D99">
      <w:t>performance</w:t>
    </w:r>
    <w:r w:rsidRPr="00040D99">
      <w:rPr>
        <w:noProof/>
      </w:rPr>
      <w:t xml:space="preserve"> overview 2022</w:t>
    </w: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B4229" w14:textId="77777777" w:rsidR="005E2670" w:rsidRDefault="005E267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3E15C" w14:textId="77777777" w:rsidR="005E2670" w:rsidRPr="00040D99" w:rsidRDefault="005E2670" w:rsidP="00813D25">
    <w:pPr>
      <w:pStyle w:val="Header-EvenPage"/>
    </w:pPr>
    <w:r w:rsidRPr="00040D99">
      <w:rPr>
        <w:noProof/>
        <w:lang w:eastAsia="en-GB"/>
      </w:rPr>
      <w:drawing>
        <wp:anchor distT="0" distB="0" distL="114300" distR="114300" simplePos="0" relativeHeight="251658250" behindDoc="1" locked="1" layoutInCell="1" allowOverlap="1" wp14:anchorId="764A5EEE" wp14:editId="42622D3C">
          <wp:simplePos x="0" y="0"/>
          <wp:positionH relativeFrom="page">
            <wp:posOffset>-45720</wp:posOffset>
          </wp:positionH>
          <wp:positionV relativeFrom="page">
            <wp:posOffset>-7620</wp:posOffset>
          </wp:positionV>
          <wp:extent cx="7589520" cy="292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2EDBE" w14:textId="77777777" w:rsidR="005E2670" w:rsidRPr="00102B8C" w:rsidRDefault="005E2670" w:rsidP="0083214A">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FC8A3" w14:textId="77777777" w:rsidR="005E2670" w:rsidRPr="00DA010E" w:rsidRDefault="005E2670" w:rsidP="0083214A">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128F9" w14:textId="77777777" w:rsidR="005E2670" w:rsidRDefault="005E2670">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1985A" w14:textId="77777777" w:rsidR="005E2670" w:rsidRPr="00040D99" w:rsidRDefault="005E2670" w:rsidP="0083214A">
    <w:pPr>
      <w:pStyle w:val="Header-EvenPage"/>
    </w:pPr>
    <w:r w:rsidRPr="00040D99">
      <w:rPr>
        <w:noProof/>
        <w:lang w:eastAsia="en-GB"/>
      </w:rPr>
      <w:drawing>
        <wp:anchor distT="0" distB="0" distL="114300" distR="114300" simplePos="0" relativeHeight="251658312" behindDoc="1" locked="1" layoutInCell="1" allowOverlap="1" wp14:anchorId="368EF861" wp14:editId="02B3C662">
          <wp:simplePos x="0" y="0"/>
          <wp:positionH relativeFrom="page">
            <wp:posOffset>-45720</wp:posOffset>
          </wp:positionH>
          <wp:positionV relativeFrom="page">
            <wp:posOffset>-7620</wp:posOffset>
          </wp:positionV>
          <wp:extent cx="7589520" cy="2921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81BFD" w14:textId="77777777" w:rsidR="005E2670" w:rsidRPr="00040D99" w:rsidRDefault="005E2670" w:rsidP="0083214A">
    <w:pPr>
      <w:pStyle w:val="Header-PPOprogrammeinanutshellpage"/>
      <w:rPr>
        <w:noProof/>
      </w:rPr>
    </w:pPr>
    <w:r w:rsidRPr="00040D99">
      <w:rPr>
        <w:noProof/>
        <w:lang w:eastAsia="en-GB"/>
      </w:rPr>
      <w:drawing>
        <wp:anchor distT="0" distB="0" distL="114300" distR="114300" simplePos="0" relativeHeight="251658311" behindDoc="1" locked="1" layoutInCell="1" allowOverlap="1" wp14:anchorId="6C6749F7" wp14:editId="45CE44CA">
          <wp:simplePos x="0" y="0"/>
          <wp:positionH relativeFrom="page">
            <wp:posOffset>-7620</wp:posOffset>
          </wp:positionH>
          <wp:positionV relativeFrom="page">
            <wp:posOffset>-301625</wp:posOffset>
          </wp:positionV>
          <wp:extent cx="7598410" cy="2423160"/>
          <wp:effectExtent l="0" t="0" r="254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583" r="419" b="166"/>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rPr>
        <w:noProof/>
      </w:rPr>
      <w:t xml:space="preserve">Programme </w:t>
    </w:r>
    <w:r w:rsidRPr="00040D99">
      <w:t>performance</w:t>
    </w:r>
    <w:r w:rsidRPr="00040D99">
      <w:rPr>
        <w:noProof/>
      </w:rPr>
      <w:t xml:space="preserve"> overview 2022</w:t>
    </w: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A01B" w14:textId="77777777" w:rsidR="005E2670" w:rsidRDefault="005E2670">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87118" w14:textId="77777777" w:rsidR="005E2670" w:rsidRPr="00102B8C" w:rsidRDefault="005E2670" w:rsidP="0083214A">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4A5ED" w14:textId="77777777" w:rsidR="005E2670" w:rsidRPr="00DA010E" w:rsidRDefault="005E2670" w:rsidP="0083214A">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E755B" w14:textId="77777777" w:rsidR="005E2670" w:rsidRDefault="005E2670">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A5D53" w14:textId="77777777" w:rsidR="005E2670" w:rsidRPr="00040D99" w:rsidRDefault="005E2670" w:rsidP="0083214A">
    <w:pPr>
      <w:pStyle w:val="Header-EvenPage"/>
    </w:pPr>
    <w:r w:rsidRPr="00040D99">
      <w:rPr>
        <w:noProof/>
        <w:lang w:eastAsia="en-GB"/>
      </w:rPr>
      <w:drawing>
        <wp:anchor distT="0" distB="0" distL="114300" distR="114300" simplePos="0" relativeHeight="251658314" behindDoc="1" locked="1" layoutInCell="1" allowOverlap="1" wp14:anchorId="0F11E39B" wp14:editId="1531D327">
          <wp:simplePos x="0" y="0"/>
          <wp:positionH relativeFrom="page">
            <wp:posOffset>-45720</wp:posOffset>
          </wp:positionH>
          <wp:positionV relativeFrom="page">
            <wp:posOffset>-7620</wp:posOffset>
          </wp:positionV>
          <wp:extent cx="7589520" cy="2921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DFF51" w14:textId="3F9BB219" w:rsidR="005E2670" w:rsidRPr="00040D99" w:rsidRDefault="005E2670" w:rsidP="00813D25">
    <w:pPr>
      <w:pStyle w:val="Header-PPOprogrammeinanutshellpage"/>
      <w:rPr>
        <w:noProof/>
      </w:rPr>
    </w:pPr>
    <w:r w:rsidRPr="00040D99">
      <w:rPr>
        <w:noProof/>
      </w:rPr>
      <w:t xml:space="preserve">Programme </w:t>
    </w:r>
    <w:r w:rsidRPr="00040D99">
      <w:t>performance</w:t>
    </w:r>
    <w:r w:rsidRPr="00040D99">
      <w:rPr>
        <w:noProof/>
      </w:rPr>
      <w:t xml:space="preserve"> overview 2022</w:t>
    </w: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F8A02" w14:textId="77777777" w:rsidR="005E2670" w:rsidRPr="00040D99" w:rsidRDefault="005E2670" w:rsidP="0083214A">
    <w:pPr>
      <w:pStyle w:val="Header-PPOprogrammeinanutshellpage"/>
      <w:rPr>
        <w:noProof/>
      </w:rPr>
    </w:pPr>
    <w:r w:rsidRPr="00040D99">
      <w:rPr>
        <w:noProof/>
        <w:lang w:eastAsia="en-GB"/>
      </w:rPr>
      <w:drawing>
        <wp:anchor distT="0" distB="0" distL="114300" distR="114300" simplePos="0" relativeHeight="251658313" behindDoc="1" locked="1" layoutInCell="1" allowOverlap="1" wp14:anchorId="33A37DB5" wp14:editId="337E3A83">
          <wp:simplePos x="0" y="0"/>
          <wp:positionH relativeFrom="page">
            <wp:posOffset>-7620</wp:posOffset>
          </wp:positionH>
          <wp:positionV relativeFrom="page">
            <wp:posOffset>-301625</wp:posOffset>
          </wp:positionV>
          <wp:extent cx="7598410" cy="2423160"/>
          <wp:effectExtent l="0" t="0" r="254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583" r="419" b="166"/>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rPr>
        <w:noProof/>
      </w:rPr>
      <w:t xml:space="preserve">Programme </w:t>
    </w:r>
    <w:r w:rsidRPr="00040D99">
      <w:t>performance</w:t>
    </w:r>
    <w:r w:rsidRPr="00040D99">
      <w:rPr>
        <w:noProof/>
      </w:rPr>
      <w:t xml:space="preserve"> overview 2022</w:t>
    </w: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04016" w14:textId="77777777" w:rsidR="005E2670" w:rsidRDefault="005E2670">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92679" w14:textId="77777777" w:rsidR="005E2670" w:rsidRPr="00102B8C" w:rsidRDefault="005E2670" w:rsidP="0083214A">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DFC09" w14:textId="77777777" w:rsidR="005E2670" w:rsidRPr="00DA010E" w:rsidRDefault="005E2670" w:rsidP="0083214A">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06A14" w14:textId="77777777" w:rsidR="005E2670" w:rsidRDefault="005E2670">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20819" w14:textId="77777777" w:rsidR="005E2670" w:rsidRPr="00040D99" w:rsidRDefault="005E2670" w:rsidP="0083214A">
    <w:pPr>
      <w:pStyle w:val="Header-EvenPage"/>
    </w:pPr>
    <w:r w:rsidRPr="00040D99">
      <w:rPr>
        <w:noProof/>
        <w:lang w:eastAsia="en-GB"/>
      </w:rPr>
      <w:drawing>
        <wp:anchor distT="0" distB="0" distL="114300" distR="114300" simplePos="0" relativeHeight="251658316" behindDoc="1" locked="1" layoutInCell="1" allowOverlap="1" wp14:anchorId="7F79F52D" wp14:editId="0C97880A">
          <wp:simplePos x="0" y="0"/>
          <wp:positionH relativeFrom="page">
            <wp:posOffset>-45720</wp:posOffset>
          </wp:positionH>
          <wp:positionV relativeFrom="page">
            <wp:posOffset>-7620</wp:posOffset>
          </wp:positionV>
          <wp:extent cx="7589520" cy="29210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98C1E" w14:textId="77777777" w:rsidR="005E2670" w:rsidRPr="00040D99" w:rsidRDefault="005E2670" w:rsidP="0083214A">
    <w:pPr>
      <w:pStyle w:val="Header-PPOprogrammeinanutshellpage"/>
      <w:rPr>
        <w:noProof/>
      </w:rPr>
    </w:pPr>
    <w:r w:rsidRPr="00040D99">
      <w:rPr>
        <w:noProof/>
        <w:lang w:eastAsia="en-GB"/>
      </w:rPr>
      <w:drawing>
        <wp:anchor distT="0" distB="0" distL="114300" distR="114300" simplePos="0" relativeHeight="251658315" behindDoc="1" locked="1" layoutInCell="1" allowOverlap="1" wp14:anchorId="4CF8E0F7" wp14:editId="2C4A8FF2">
          <wp:simplePos x="0" y="0"/>
          <wp:positionH relativeFrom="page">
            <wp:posOffset>-7620</wp:posOffset>
          </wp:positionH>
          <wp:positionV relativeFrom="page">
            <wp:posOffset>-301625</wp:posOffset>
          </wp:positionV>
          <wp:extent cx="7598410" cy="2423160"/>
          <wp:effectExtent l="0" t="0" r="254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686" r="419" b="63"/>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rPr>
        <w:noProof/>
      </w:rPr>
      <w:t xml:space="preserve">Programme </w:t>
    </w:r>
    <w:r w:rsidRPr="00040D99">
      <w:t>performance</w:t>
    </w:r>
    <w:r w:rsidRPr="00040D99">
      <w:rPr>
        <w:noProof/>
      </w:rPr>
      <w:t xml:space="preserve"> overview 2022</w:t>
    </w: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309BB" w14:textId="77777777" w:rsidR="005E2670" w:rsidRDefault="005E2670">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D0630" w14:textId="77777777" w:rsidR="005E2670" w:rsidRPr="00102B8C" w:rsidRDefault="005E2670" w:rsidP="0083214A">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03608" w14:textId="77777777" w:rsidR="005E2670" w:rsidRPr="00DA010E" w:rsidRDefault="005E2670" w:rsidP="0083214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F2BAD" w14:textId="78B2EB7E" w:rsidR="005E2670" w:rsidRDefault="005E2670" w:rsidP="005D691E">
    <w:pPr>
      <w:pStyle w:val="Header"/>
      <w:tabs>
        <w:tab w:val="clear" w:pos="4150"/>
        <w:tab w:val="clear" w:pos="8306"/>
        <w:tab w:val="left" w:pos="2216"/>
      </w:tabs>
      <w:jc w:val="right"/>
    </w:pPr>
    <w:r w:rsidRPr="00040D99">
      <w:rPr>
        <w:noProof/>
        <w:lang w:eastAsia="en-GB"/>
      </w:rPr>
      <w:drawing>
        <wp:anchor distT="0" distB="0" distL="114300" distR="114300" simplePos="0" relativeHeight="251658320" behindDoc="1" locked="1" layoutInCell="1" allowOverlap="1" wp14:anchorId="6B0F4D6C" wp14:editId="4B6E3CC6">
          <wp:simplePos x="0" y="0"/>
          <wp:positionH relativeFrom="page">
            <wp:posOffset>-8890</wp:posOffset>
          </wp:positionH>
          <wp:positionV relativeFrom="page">
            <wp:posOffset>15875</wp:posOffset>
          </wp:positionV>
          <wp:extent cx="7598410" cy="242316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583" r="419" b="166"/>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rsidRPr="005D691E">
      <w:rPr>
        <w:noProof/>
        <w:color w:val="FFFFFF" w:themeColor="background1"/>
      </w:rPr>
      <w:t xml:space="preserve">Programme </w:t>
    </w:r>
    <w:r w:rsidRPr="005D691E">
      <w:rPr>
        <w:color w:val="FFFFFF" w:themeColor="background1"/>
      </w:rPr>
      <w:t>performance</w:t>
    </w:r>
    <w:r w:rsidRPr="005D691E">
      <w:rPr>
        <w:noProof/>
        <w:color w:val="FFFFFF" w:themeColor="background1"/>
      </w:rPr>
      <w:t xml:space="preserve"> overview 2022</w:t>
    </w: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3FE98" w14:textId="77777777" w:rsidR="005E2670" w:rsidRDefault="005E2670">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9DB46" w14:textId="77777777" w:rsidR="005E2670" w:rsidRPr="00040D99" w:rsidRDefault="005E2670" w:rsidP="0083214A">
    <w:pPr>
      <w:pStyle w:val="Header-EvenPage"/>
    </w:pPr>
    <w:r w:rsidRPr="00040D99">
      <w:rPr>
        <w:noProof/>
        <w:lang w:eastAsia="en-GB"/>
      </w:rPr>
      <w:drawing>
        <wp:anchor distT="0" distB="0" distL="114300" distR="114300" simplePos="0" relativeHeight="251658319" behindDoc="1" locked="1" layoutInCell="1" allowOverlap="1" wp14:anchorId="58A1B5D2" wp14:editId="4381061D">
          <wp:simplePos x="0" y="0"/>
          <wp:positionH relativeFrom="page">
            <wp:posOffset>-45720</wp:posOffset>
          </wp:positionH>
          <wp:positionV relativeFrom="page">
            <wp:posOffset>-7620</wp:posOffset>
          </wp:positionV>
          <wp:extent cx="7589520" cy="29210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85EA0" w14:textId="77777777" w:rsidR="005E2670" w:rsidRPr="00040D99" w:rsidRDefault="005E2670" w:rsidP="0083214A">
    <w:pPr>
      <w:pStyle w:val="Header-PPOprogrammeinanutshellpage"/>
      <w:rPr>
        <w:noProof/>
      </w:rPr>
    </w:pPr>
    <w:r w:rsidRPr="00040D99">
      <w:rPr>
        <w:noProof/>
        <w:lang w:eastAsia="en-GB"/>
      </w:rPr>
      <w:drawing>
        <wp:anchor distT="0" distB="0" distL="114300" distR="114300" simplePos="0" relativeHeight="251658318" behindDoc="1" locked="1" layoutInCell="1" allowOverlap="1" wp14:anchorId="153CF027" wp14:editId="47D46026">
          <wp:simplePos x="0" y="0"/>
          <wp:positionH relativeFrom="page">
            <wp:posOffset>-7620</wp:posOffset>
          </wp:positionH>
          <wp:positionV relativeFrom="page">
            <wp:posOffset>-301625</wp:posOffset>
          </wp:positionV>
          <wp:extent cx="7598410" cy="2423160"/>
          <wp:effectExtent l="0" t="0" r="254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686" r="419" b="63"/>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rPr>
        <w:noProof/>
      </w:rPr>
      <w:t xml:space="preserve">Programme </w:t>
    </w:r>
    <w:r w:rsidRPr="00040D99">
      <w:t>performance</w:t>
    </w:r>
    <w:r w:rsidRPr="00040D99">
      <w:rPr>
        <w:noProof/>
      </w:rPr>
      <w:t xml:space="preserve"> overview 2022</w:t>
    </w: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82431" w14:textId="77777777" w:rsidR="005E2670" w:rsidRDefault="005E2670">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B9CCF" w14:textId="77777777" w:rsidR="005E2670" w:rsidRPr="00102B8C" w:rsidRDefault="005E2670" w:rsidP="0083214A">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07A60" w14:textId="77777777" w:rsidR="005E2670" w:rsidRPr="00DA010E" w:rsidRDefault="005E2670" w:rsidP="0083214A">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6E2DC" w14:textId="77777777" w:rsidR="005E2670" w:rsidRDefault="005E2670">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85995" w14:textId="77777777" w:rsidR="005E2670" w:rsidRPr="00040D99" w:rsidRDefault="005E2670" w:rsidP="0083214A">
    <w:pPr>
      <w:pStyle w:val="Header-EvenPage"/>
    </w:pPr>
    <w:r w:rsidRPr="00040D99">
      <w:rPr>
        <w:noProof/>
        <w:lang w:eastAsia="en-GB"/>
      </w:rPr>
      <w:drawing>
        <wp:anchor distT="0" distB="0" distL="114300" distR="114300" simplePos="0" relativeHeight="251658322" behindDoc="1" locked="1" layoutInCell="1" allowOverlap="1" wp14:anchorId="577BA96D" wp14:editId="397974EF">
          <wp:simplePos x="0" y="0"/>
          <wp:positionH relativeFrom="page">
            <wp:posOffset>-45720</wp:posOffset>
          </wp:positionH>
          <wp:positionV relativeFrom="page">
            <wp:posOffset>-7620</wp:posOffset>
          </wp:positionV>
          <wp:extent cx="7589520" cy="2921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267BA" w14:textId="77777777" w:rsidR="005E2670" w:rsidRPr="00040D99" w:rsidRDefault="005E2670" w:rsidP="0083214A">
    <w:pPr>
      <w:pStyle w:val="Header-PPOprogrammeinanutshellpage"/>
      <w:rPr>
        <w:noProof/>
      </w:rPr>
    </w:pPr>
    <w:r w:rsidRPr="00040D99">
      <w:rPr>
        <w:noProof/>
        <w:lang w:eastAsia="en-GB"/>
      </w:rPr>
      <w:drawing>
        <wp:anchor distT="0" distB="0" distL="114300" distR="114300" simplePos="0" relativeHeight="251658321" behindDoc="1" locked="1" layoutInCell="1" allowOverlap="1" wp14:anchorId="5D5A752D" wp14:editId="0387DA95">
          <wp:simplePos x="0" y="0"/>
          <wp:positionH relativeFrom="page">
            <wp:posOffset>-7620</wp:posOffset>
          </wp:positionH>
          <wp:positionV relativeFrom="page">
            <wp:posOffset>-301625</wp:posOffset>
          </wp:positionV>
          <wp:extent cx="7598410" cy="2423160"/>
          <wp:effectExtent l="0" t="0" r="254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300" t="583" r="538" b="166"/>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rPr>
        <w:noProof/>
      </w:rPr>
      <w:t xml:space="preserve">Programme </w:t>
    </w:r>
    <w:r w:rsidRPr="00040D99">
      <w:t>performance</w:t>
    </w:r>
    <w:r w:rsidRPr="00040D99">
      <w:rPr>
        <w:noProof/>
      </w:rPr>
      <w:t xml:space="preserve"> overview 2022</w:t>
    </w: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CE032" w14:textId="77777777" w:rsidR="005E2670" w:rsidRDefault="005E267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B1AEA" w14:textId="77777777" w:rsidR="005E2670" w:rsidRPr="00040D99" w:rsidRDefault="005E2670" w:rsidP="00BB20EB">
    <w:pPr>
      <w:pStyle w:val="Header-EvenPage"/>
    </w:pPr>
    <w:r w:rsidRPr="00040D99">
      <w:rPr>
        <w:noProof/>
        <w:lang w:eastAsia="en-GB"/>
      </w:rPr>
      <w:drawing>
        <wp:anchor distT="0" distB="0" distL="114300" distR="114300" simplePos="0" relativeHeight="251658241" behindDoc="1" locked="1" layoutInCell="1" allowOverlap="1" wp14:anchorId="7322A225" wp14:editId="5F1E59EF">
          <wp:simplePos x="0" y="0"/>
          <wp:positionH relativeFrom="page">
            <wp:posOffset>-45720</wp:posOffset>
          </wp:positionH>
          <wp:positionV relativeFrom="page">
            <wp:posOffset>-7620</wp:posOffset>
          </wp:positionV>
          <wp:extent cx="7589520" cy="292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CE02F" w14:textId="77777777" w:rsidR="005E2670" w:rsidRPr="00102B8C" w:rsidRDefault="005E2670" w:rsidP="0083214A">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A0EEB" w14:textId="77777777" w:rsidR="005E2670" w:rsidRPr="00DA010E" w:rsidRDefault="005E2670" w:rsidP="0083214A">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00B22" w14:textId="77777777" w:rsidR="005E2670" w:rsidRDefault="005E2670">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20977" w14:textId="77777777" w:rsidR="005E2670" w:rsidRPr="00040D99" w:rsidRDefault="005E2670" w:rsidP="0083214A">
    <w:pPr>
      <w:pStyle w:val="Header-EvenPage"/>
    </w:pPr>
    <w:r w:rsidRPr="00040D99">
      <w:rPr>
        <w:noProof/>
        <w:lang w:eastAsia="en-GB"/>
      </w:rPr>
      <w:drawing>
        <wp:anchor distT="0" distB="0" distL="114300" distR="114300" simplePos="0" relativeHeight="251658324" behindDoc="1" locked="1" layoutInCell="1" allowOverlap="1" wp14:anchorId="231FC2B4" wp14:editId="0DD92CDF">
          <wp:simplePos x="0" y="0"/>
          <wp:positionH relativeFrom="page">
            <wp:posOffset>-45720</wp:posOffset>
          </wp:positionH>
          <wp:positionV relativeFrom="page">
            <wp:posOffset>-7620</wp:posOffset>
          </wp:positionV>
          <wp:extent cx="7589520" cy="2921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84645" w14:textId="77777777" w:rsidR="005E2670" w:rsidRPr="00040D99" w:rsidRDefault="005E2670" w:rsidP="0083214A">
    <w:pPr>
      <w:pStyle w:val="Header-PPOprogrammeinanutshellpage"/>
      <w:rPr>
        <w:noProof/>
      </w:rPr>
    </w:pPr>
    <w:r w:rsidRPr="00040D99">
      <w:rPr>
        <w:noProof/>
        <w:lang w:eastAsia="en-GB"/>
      </w:rPr>
      <w:drawing>
        <wp:anchor distT="0" distB="0" distL="114300" distR="114300" simplePos="0" relativeHeight="251658323" behindDoc="1" locked="1" layoutInCell="1" allowOverlap="1" wp14:anchorId="23B2BD02" wp14:editId="5F9B16F7">
          <wp:simplePos x="0" y="0"/>
          <wp:positionH relativeFrom="page">
            <wp:posOffset>-7620</wp:posOffset>
          </wp:positionH>
          <wp:positionV relativeFrom="page">
            <wp:posOffset>-301625</wp:posOffset>
          </wp:positionV>
          <wp:extent cx="7598410" cy="2423160"/>
          <wp:effectExtent l="0" t="0" r="254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300" t="583" r="538" b="166"/>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rPr>
        <w:noProof/>
      </w:rPr>
      <w:t xml:space="preserve">Programme </w:t>
    </w:r>
    <w:r w:rsidRPr="00040D99">
      <w:t>performance</w:t>
    </w:r>
    <w:r w:rsidRPr="00040D99">
      <w:rPr>
        <w:noProof/>
      </w:rPr>
      <w:t xml:space="preserve"> overview 2022</w:t>
    </w: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8C29B" w14:textId="77777777" w:rsidR="005E2670" w:rsidRDefault="005E2670">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5AB93" w14:textId="77777777" w:rsidR="005E2670" w:rsidRPr="00102B8C" w:rsidRDefault="005E2670" w:rsidP="0083214A">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76C17" w14:textId="77777777" w:rsidR="005E2670" w:rsidRPr="00DA010E" w:rsidRDefault="005E2670" w:rsidP="0083214A">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6FF5D" w14:textId="77777777" w:rsidR="005E2670" w:rsidRDefault="005E2670">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99FEC" w14:textId="77777777" w:rsidR="005E2670" w:rsidRPr="00040D99" w:rsidRDefault="005E2670" w:rsidP="0083214A">
    <w:pPr>
      <w:pStyle w:val="Header-EvenPage"/>
    </w:pPr>
    <w:r w:rsidRPr="00040D99">
      <w:rPr>
        <w:noProof/>
        <w:lang w:eastAsia="en-GB"/>
      </w:rPr>
      <w:drawing>
        <wp:anchor distT="0" distB="0" distL="114300" distR="114300" simplePos="0" relativeHeight="251658326" behindDoc="1" locked="1" layoutInCell="1" allowOverlap="1" wp14:anchorId="2A06613C" wp14:editId="5BCCE529">
          <wp:simplePos x="0" y="0"/>
          <wp:positionH relativeFrom="page">
            <wp:posOffset>-45720</wp:posOffset>
          </wp:positionH>
          <wp:positionV relativeFrom="page">
            <wp:posOffset>-7620</wp:posOffset>
          </wp:positionV>
          <wp:extent cx="7589520" cy="29210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0D943" w14:textId="7EEBCE12" w:rsidR="005E2670" w:rsidRPr="00040D99" w:rsidRDefault="005E2670" w:rsidP="00BB20EB">
    <w:pPr>
      <w:pStyle w:val="Header-PPOprogrammeinanutshellpage"/>
      <w:rPr>
        <w:noProof/>
      </w:rPr>
    </w:pPr>
    <w:r w:rsidRPr="00040D99">
      <w:rPr>
        <w:noProof/>
      </w:rPr>
      <w:t xml:space="preserve">Programme </w:t>
    </w:r>
    <w:r w:rsidRPr="00040D99">
      <w:t>performance</w:t>
    </w:r>
    <w:r w:rsidRPr="00040D99">
      <w:rPr>
        <w:noProof/>
      </w:rPr>
      <w:t xml:space="preserve"> overview 2022</w:t>
    </w: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87421" w14:textId="77777777" w:rsidR="005E2670" w:rsidRPr="00040D99" w:rsidRDefault="005E2670" w:rsidP="0083214A">
    <w:pPr>
      <w:pStyle w:val="Header-PPOprogrammeinanutshellpage"/>
      <w:rPr>
        <w:noProof/>
      </w:rPr>
    </w:pPr>
    <w:r w:rsidRPr="00040D99">
      <w:rPr>
        <w:noProof/>
        <w:lang w:eastAsia="en-GB"/>
      </w:rPr>
      <w:drawing>
        <wp:anchor distT="0" distB="0" distL="114300" distR="114300" simplePos="0" relativeHeight="251658325" behindDoc="1" locked="1" layoutInCell="1" allowOverlap="1" wp14:anchorId="435885FE" wp14:editId="5E803128">
          <wp:simplePos x="0" y="0"/>
          <wp:positionH relativeFrom="page">
            <wp:posOffset>-7620</wp:posOffset>
          </wp:positionH>
          <wp:positionV relativeFrom="page">
            <wp:posOffset>-301625</wp:posOffset>
          </wp:positionV>
          <wp:extent cx="7598410" cy="2423160"/>
          <wp:effectExtent l="0" t="0" r="254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300" t="583" r="538" b="166"/>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rPr>
        <w:noProof/>
      </w:rPr>
      <w:t xml:space="preserve">Programme </w:t>
    </w:r>
    <w:r w:rsidRPr="00040D99">
      <w:t>performance</w:t>
    </w:r>
    <w:r w:rsidRPr="00040D99">
      <w:rPr>
        <w:noProof/>
      </w:rPr>
      <w:t xml:space="preserve"> overview 2022</w:t>
    </w: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F7041" w14:textId="77777777" w:rsidR="005E2670" w:rsidRDefault="005E2670">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F75EA" w14:textId="77777777" w:rsidR="005E2670" w:rsidRPr="00102B8C" w:rsidRDefault="005E2670" w:rsidP="0083214A">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37E3A" w14:textId="77777777" w:rsidR="005E2670" w:rsidRPr="00DA010E" w:rsidRDefault="005E2670" w:rsidP="0083214A">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27F5D" w14:textId="77777777" w:rsidR="005E2670" w:rsidRDefault="005E2670">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EF17A" w14:textId="77777777" w:rsidR="005E2670" w:rsidRPr="00040D99" w:rsidRDefault="005E2670" w:rsidP="0083214A">
    <w:pPr>
      <w:pStyle w:val="Header-EvenPage"/>
    </w:pPr>
    <w:r w:rsidRPr="00040D99">
      <w:rPr>
        <w:noProof/>
        <w:lang w:eastAsia="en-GB"/>
      </w:rPr>
      <w:drawing>
        <wp:anchor distT="0" distB="0" distL="114300" distR="114300" simplePos="0" relativeHeight="251658328" behindDoc="1" locked="1" layoutInCell="1" allowOverlap="1" wp14:anchorId="63CFBDE3" wp14:editId="76EAAE82">
          <wp:simplePos x="0" y="0"/>
          <wp:positionH relativeFrom="page">
            <wp:posOffset>-45720</wp:posOffset>
          </wp:positionH>
          <wp:positionV relativeFrom="page">
            <wp:posOffset>-7620</wp:posOffset>
          </wp:positionV>
          <wp:extent cx="7589520" cy="29210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23EF5" w14:textId="77777777" w:rsidR="005E2670" w:rsidRPr="00040D99" w:rsidRDefault="005E2670" w:rsidP="0083214A">
    <w:pPr>
      <w:pStyle w:val="Header-PPOprogrammeinanutshellpage"/>
      <w:rPr>
        <w:noProof/>
      </w:rPr>
    </w:pPr>
    <w:r w:rsidRPr="00040D99">
      <w:rPr>
        <w:noProof/>
        <w:lang w:eastAsia="en-GB"/>
      </w:rPr>
      <w:drawing>
        <wp:anchor distT="0" distB="0" distL="114300" distR="114300" simplePos="0" relativeHeight="251658327" behindDoc="1" locked="1" layoutInCell="1" allowOverlap="1" wp14:anchorId="30B76180" wp14:editId="2435AF68">
          <wp:simplePos x="0" y="0"/>
          <wp:positionH relativeFrom="page">
            <wp:posOffset>-7620</wp:posOffset>
          </wp:positionH>
          <wp:positionV relativeFrom="page">
            <wp:posOffset>-301625</wp:posOffset>
          </wp:positionV>
          <wp:extent cx="7598410" cy="2423160"/>
          <wp:effectExtent l="0" t="0" r="254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300" t="583" r="538" b="166"/>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rPr>
        <w:noProof/>
      </w:rPr>
      <w:t xml:space="preserve">Programme </w:t>
    </w:r>
    <w:r w:rsidRPr="00040D99">
      <w:t>performance</w:t>
    </w:r>
    <w:r w:rsidRPr="00040D99">
      <w:rPr>
        <w:noProof/>
      </w:rPr>
      <w:t xml:space="preserve"> overview 2022</w:t>
    </w: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F4DB3" w14:textId="77777777" w:rsidR="005E2670" w:rsidRDefault="005E2670">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AB22C" w14:textId="77777777" w:rsidR="005E2670" w:rsidRPr="00102B8C" w:rsidRDefault="005E2670" w:rsidP="0083214A">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BC2E4" w14:textId="77777777" w:rsidR="005E2670" w:rsidRPr="00DA010E" w:rsidRDefault="005E2670" w:rsidP="0083214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E8631" w14:textId="71B6194F" w:rsidR="005E2670" w:rsidRPr="005D691E" w:rsidRDefault="005E2670" w:rsidP="005D691E">
    <w:pPr>
      <w:pStyle w:val="Header"/>
      <w:tabs>
        <w:tab w:val="clear" w:pos="4150"/>
        <w:tab w:val="clear" w:pos="8306"/>
        <w:tab w:val="left" w:pos="2342"/>
      </w:tabs>
      <w:jc w:val="right"/>
      <w:rPr>
        <w:color w:val="FFFFFF" w:themeColor="background1"/>
      </w:rPr>
    </w:pPr>
    <w:r w:rsidRPr="005D691E">
      <w:rPr>
        <w:noProof/>
        <w:color w:val="FFFFFF" w:themeColor="background1"/>
      </w:rPr>
      <w:t xml:space="preserve">Programme </w:t>
    </w:r>
    <w:r w:rsidRPr="005D691E">
      <w:rPr>
        <w:color w:val="FFFFFF" w:themeColor="background1"/>
      </w:rPr>
      <w:t>performance</w:t>
    </w:r>
    <w:r w:rsidRPr="005D691E">
      <w:rPr>
        <w:noProof/>
        <w:color w:val="FFFFFF" w:themeColor="background1"/>
      </w:rPr>
      <w:t xml:space="preserve"> overview 2022</w:t>
    </w:r>
    <w:r w:rsidRPr="005D691E">
      <w:rPr>
        <w:noProof/>
        <w:color w:val="FFFFFF" w:themeColor="background1"/>
        <w:lang w:eastAsia="en-GB"/>
      </w:rPr>
      <w:drawing>
        <wp:anchor distT="0" distB="0" distL="114300" distR="114300" simplePos="0" relativeHeight="251658317" behindDoc="1" locked="1" layoutInCell="1" allowOverlap="1" wp14:anchorId="18CDE792" wp14:editId="2A6D1625">
          <wp:simplePos x="0" y="0"/>
          <wp:positionH relativeFrom="page">
            <wp:posOffset>6350</wp:posOffset>
          </wp:positionH>
          <wp:positionV relativeFrom="page">
            <wp:posOffset>0</wp:posOffset>
          </wp:positionV>
          <wp:extent cx="7598410" cy="242316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583" r="419" b="166"/>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84E7D" w14:textId="77777777" w:rsidR="005E2670" w:rsidRDefault="005E2670">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0034C" w14:textId="77777777" w:rsidR="005E2670" w:rsidRPr="00040D99" w:rsidRDefault="005E2670" w:rsidP="0083214A">
    <w:pPr>
      <w:pStyle w:val="Header-EvenPage"/>
    </w:pPr>
    <w:r w:rsidRPr="00040D99">
      <w:rPr>
        <w:noProof/>
        <w:lang w:eastAsia="en-GB"/>
      </w:rPr>
      <w:drawing>
        <wp:anchor distT="0" distB="0" distL="114300" distR="114300" simplePos="0" relativeHeight="251658330" behindDoc="1" locked="1" layoutInCell="1" allowOverlap="1" wp14:anchorId="776637DA" wp14:editId="3A96FE20">
          <wp:simplePos x="0" y="0"/>
          <wp:positionH relativeFrom="page">
            <wp:posOffset>-45720</wp:posOffset>
          </wp:positionH>
          <wp:positionV relativeFrom="page">
            <wp:posOffset>-7620</wp:posOffset>
          </wp:positionV>
          <wp:extent cx="7589520" cy="29210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52C05" w14:textId="77777777" w:rsidR="005E2670" w:rsidRPr="00040D99" w:rsidRDefault="005E2670" w:rsidP="0083214A">
    <w:pPr>
      <w:pStyle w:val="Header-PPOprogrammeinanutshellpage"/>
      <w:rPr>
        <w:noProof/>
      </w:rPr>
    </w:pPr>
    <w:r w:rsidRPr="00040D99">
      <w:rPr>
        <w:noProof/>
        <w:lang w:eastAsia="en-GB"/>
      </w:rPr>
      <w:drawing>
        <wp:anchor distT="0" distB="0" distL="114300" distR="114300" simplePos="0" relativeHeight="251658329" behindDoc="1" locked="1" layoutInCell="1" allowOverlap="1" wp14:anchorId="0255D8C5" wp14:editId="4D9FE731">
          <wp:simplePos x="0" y="0"/>
          <wp:positionH relativeFrom="page">
            <wp:posOffset>-7620</wp:posOffset>
          </wp:positionH>
          <wp:positionV relativeFrom="page">
            <wp:posOffset>-301625</wp:posOffset>
          </wp:positionV>
          <wp:extent cx="7598410" cy="2423160"/>
          <wp:effectExtent l="0" t="0" r="254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686" r="419" b="63"/>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rPr>
        <w:noProof/>
      </w:rPr>
      <w:t xml:space="preserve">Programme </w:t>
    </w:r>
    <w:r w:rsidRPr="00040D99">
      <w:t>performance</w:t>
    </w:r>
    <w:r w:rsidRPr="00040D99">
      <w:rPr>
        <w:noProof/>
      </w:rPr>
      <w:t xml:space="preserve"> overview 2022</w:t>
    </w: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43BB2" w14:textId="77777777" w:rsidR="005E2670" w:rsidRDefault="005E2670">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C6EA2" w14:textId="77777777" w:rsidR="005E2670" w:rsidRPr="00102B8C" w:rsidRDefault="005E2670" w:rsidP="0083214A">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DA17F" w14:textId="77777777" w:rsidR="005E2670" w:rsidRPr="00DA010E" w:rsidRDefault="005E2670" w:rsidP="0083214A">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2BA57" w14:textId="77777777" w:rsidR="005E2670" w:rsidRDefault="005E2670">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12F38" w14:textId="77777777" w:rsidR="005E2670" w:rsidRPr="00040D99" w:rsidRDefault="005E2670" w:rsidP="0083214A">
    <w:pPr>
      <w:pStyle w:val="Header-EvenPage"/>
    </w:pPr>
    <w:r w:rsidRPr="00040D99">
      <w:rPr>
        <w:noProof/>
        <w:lang w:eastAsia="en-GB"/>
      </w:rPr>
      <w:drawing>
        <wp:anchor distT="0" distB="0" distL="114300" distR="114300" simplePos="0" relativeHeight="251658277" behindDoc="1" locked="1" layoutInCell="1" allowOverlap="1" wp14:anchorId="522397FE" wp14:editId="0A752D47">
          <wp:simplePos x="0" y="0"/>
          <wp:positionH relativeFrom="page">
            <wp:posOffset>-45720</wp:posOffset>
          </wp:positionH>
          <wp:positionV relativeFrom="page">
            <wp:posOffset>-7620</wp:posOffset>
          </wp:positionV>
          <wp:extent cx="7589520" cy="2921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p w14:paraId="148D2FFE" w14:textId="77777777" w:rsidR="005E2670" w:rsidRDefault="005E2670"/>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0C036" w14:textId="77777777" w:rsidR="005E2670" w:rsidRPr="00040D99" w:rsidRDefault="005E2670" w:rsidP="0083214A">
    <w:pPr>
      <w:pStyle w:val="Header-PPOprogrammeinanutshellpage"/>
      <w:rPr>
        <w:noProof/>
      </w:rPr>
    </w:pPr>
    <w:r w:rsidRPr="00040D99">
      <w:rPr>
        <w:noProof/>
        <w:lang w:eastAsia="en-GB"/>
      </w:rPr>
      <w:drawing>
        <wp:anchor distT="0" distB="0" distL="114300" distR="114300" simplePos="0" relativeHeight="251658276" behindDoc="1" locked="1" layoutInCell="1" allowOverlap="1" wp14:anchorId="78DE1986" wp14:editId="4C56B48A">
          <wp:simplePos x="0" y="0"/>
          <wp:positionH relativeFrom="page">
            <wp:posOffset>-7620</wp:posOffset>
          </wp:positionH>
          <wp:positionV relativeFrom="page">
            <wp:posOffset>-301625</wp:posOffset>
          </wp:positionV>
          <wp:extent cx="7598410" cy="2423160"/>
          <wp:effectExtent l="0" t="0" r="254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686" r="419" b="63"/>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rPr>
        <w:noProof/>
      </w:rPr>
      <w:t xml:space="preserve">Programme </w:t>
    </w:r>
    <w:r w:rsidRPr="00040D99">
      <w:t>performance</w:t>
    </w:r>
    <w:r w:rsidRPr="00040D99">
      <w:rPr>
        <w:noProof/>
      </w:rPr>
      <w:t xml:space="preserve"> overview 2022</w:t>
    </w:r>
  </w:p>
  <w:p w14:paraId="0D0ABFB2" w14:textId="77777777" w:rsidR="005E2670" w:rsidRDefault="005E2670"/>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F28E2" w14:textId="77777777" w:rsidR="005E2670" w:rsidRDefault="005E267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B5491" w14:textId="77777777" w:rsidR="005E2670" w:rsidRPr="00040D99" w:rsidRDefault="005E2670" w:rsidP="00BB20EB">
    <w:pPr>
      <w:pStyle w:val="Header-EvenPage"/>
    </w:pPr>
    <w:r w:rsidRPr="00040D99">
      <w:rPr>
        <w:noProof/>
        <w:lang w:eastAsia="en-GB"/>
      </w:rPr>
      <w:drawing>
        <wp:anchor distT="0" distB="0" distL="114300" distR="114300" simplePos="0" relativeHeight="251658244" behindDoc="1" locked="1" layoutInCell="1" allowOverlap="1" wp14:anchorId="2332D6B2" wp14:editId="35F747A2">
          <wp:simplePos x="0" y="0"/>
          <wp:positionH relativeFrom="page">
            <wp:posOffset>-45720</wp:posOffset>
          </wp:positionH>
          <wp:positionV relativeFrom="page">
            <wp:posOffset>-7620</wp:posOffset>
          </wp:positionV>
          <wp:extent cx="7589520" cy="2921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8CFF3" w14:textId="77777777" w:rsidR="005E2670" w:rsidRPr="00102B8C" w:rsidRDefault="005E2670" w:rsidP="0083214A">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CD649" w14:textId="77777777" w:rsidR="005E2670" w:rsidRPr="00DA010E" w:rsidRDefault="005E2670" w:rsidP="0083214A">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C6C40" w14:textId="77777777" w:rsidR="005E2670" w:rsidRDefault="005E2670">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D6702" w14:textId="77777777" w:rsidR="005E2670" w:rsidRPr="00040D99" w:rsidRDefault="005E2670" w:rsidP="0083214A">
    <w:pPr>
      <w:pStyle w:val="Header-EvenPage"/>
    </w:pPr>
    <w:r w:rsidRPr="00040D99">
      <w:rPr>
        <w:noProof/>
        <w:lang w:eastAsia="en-GB"/>
      </w:rPr>
      <w:drawing>
        <wp:anchor distT="0" distB="0" distL="114300" distR="114300" simplePos="0" relativeHeight="251658280" behindDoc="1" locked="1" layoutInCell="1" allowOverlap="1" wp14:anchorId="421BF0D3" wp14:editId="3558F15E">
          <wp:simplePos x="0" y="0"/>
          <wp:positionH relativeFrom="page">
            <wp:posOffset>-45720</wp:posOffset>
          </wp:positionH>
          <wp:positionV relativeFrom="page">
            <wp:posOffset>-7620</wp:posOffset>
          </wp:positionV>
          <wp:extent cx="7589520" cy="29210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340CD" w14:textId="77777777" w:rsidR="005E2670" w:rsidRPr="00040D99" w:rsidRDefault="005E2670" w:rsidP="0083214A">
    <w:pPr>
      <w:pStyle w:val="Header-PPOprogrammeinanutshellpage"/>
      <w:rPr>
        <w:noProof/>
      </w:rPr>
    </w:pPr>
    <w:r w:rsidRPr="00040D99">
      <w:rPr>
        <w:noProof/>
        <w:lang w:eastAsia="en-GB"/>
      </w:rPr>
      <w:drawing>
        <wp:anchor distT="0" distB="0" distL="114300" distR="114300" simplePos="0" relativeHeight="251658279" behindDoc="1" locked="1" layoutInCell="1" allowOverlap="1" wp14:anchorId="2CE8F36E" wp14:editId="303077D2">
          <wp:simplePos x="0" y="0"/>
          <wp:positionH relativeFrom="page">
            <wp:posOffset>-7620</wp:posOffset>
          </wp:positionH>
          <wp:positionV relativeFrom="page">
            <wp:posOffset>-301625</wp:posOffset>
          </wp:positionV>
          <wp:extent cx="7598410" cy="2423160"/>
          <wp:effectExtent l="0" t="0" r="254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686" r="419" b="63"/>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rPr>
        <w:noProof/>
      </w:rPr>
      <w:t xml:space="preserve">Programme </w:t>
    </w:r>
    <w:r w:rsidRPr="00040D99">
      <w:t>performance</w:t>
    </w:r>
    <w:r w:rsidRPr="00040D99">
      <w:rPr>
        <w:noProof/>
      </w:rPr>
      <w:t xml:space="preserve"> overview 2022</w:t>
    </w: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F41CB" w14:textId="77777777" w:rsidR="005E2670" w:rsidRDefault="005E2670">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262A2" w14:textId="77777777" w:rsidR="005E2670" w:rsidRPr="00102B8C" w:rsidRDefault="005E2670" w:rsidP="0083214A">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C6D97" w14:textId="77777777" w:rsidR="005E2670" w:rsidRPr="00DA010E" w:rsidRDefault="005E2670" w:rsidP="0083214A">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59251" w14:textId="77777777" w:rsidR="005E2670" w:rsidRDefault="005E2670">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66CE8" w14:textId="77777777" w:rsidR="005E2670" w:rsidRPr="00040D99" w:rsidRDefault="005E2670" w:rsidP="0083214A">
    <w:pPr>
      <w:pStyle w:val="Header-EvenPage"/>
    </w:pPr>
    <w:r w:rsidRPr="00040D99">
      <w:rPr>
        <w:noProof/>
        <w:lang w:eastAsia="en-GB"/>
      </w:rPr>
      <w:drawing>
        <wp:anchor distT="0" distB="0" distL="114300" distR="114300" simplePos="0" relativeHeight="251658283" behindDoc="1" locked="1" layoutInCell="1" allowOverlap="1" wp14:anchorId="7F1B7322" wp14:editId="4E717081">
          <wp:simplePos x="0" y="0"/>
          <wp:positionH relativeFrom="page">
            <wp:posOffset>-45720</wp:posOffset>
          </wp:positionH>
          <wp:positionV relativeFrom="page">
            <wp:posOffset>-7620</wp:posOffset>
          </wp:positionV>
          <wp:extent cx="7589520" cy="29210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06485" w14:textId="77777777" w:rsidR="00E01E9B" w:rsidRPr="00E01E9B" w:rsidRDefault="00E01E9B" w:rsidP="00E01E9B">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1A5DD" w14:textId="77777777" w:rsidR="005E2670" w:rsidRPr="00040D99" w:rsidRDefault="005E2670" w:rsidP="00BB20EB">
    <w:pPr>
      <w:pStyle w:val="Header-PPOprogrammeinanutshellpage"/>
      <w:rPr>
        <w:noProof/>
      </w:rPr>
    </w:pPr>
    <w:r w:rsidRPr="00040D99">
      <w:rPr>
        <w:noProof/>
        <w:lang w:eastAsia="en-GB"/>
      </w:rPr>
      <w:drawing>
        <wp:anchor distT="0" distB="0" distL="114300" distR="114300" simplePos="0" relativeHeight="251658242" behindDoc="1" locked="1" layoutInCell="1" allowOverlap="1" wp14:anchorId="26C44E87" wp14:editId="6A83E28C">
          <wp:simplePos x="0" y="0"/>
          <wp:positionH relativeFrom="page">
            <wp:posOffset>-7620</wp:posOffset>
          </wp:positionH>
          <wp:positionV relativeFrom="page">
            <wp:posOffset>-301625</wp:posOffset>
          </wp:positionV>
          <wp:extent cx="7598410" cy="242316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583" r="419" b="166"/>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rPr>
        <w:noProof/>
      </w:rPr>
      <w:t xml:space="preserve">Programme </w:t>
    </w:r>
    <w:r w:rsidRPr="00040D99">
      <w:t>performance</w:t>
    </w:r>
    <w:r w:rsidRPr="00040D99">
      <w:rPr>
        <w:noProof/>
      </w:rPr>
      <w:t xml:space="preserve"> overview 2022</w:t>
    </w: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CF7DD" w14:textId="77777777" w:rsidR="005E2670" w:rsidRPr="00040D99" w:rsidRDefault="005E2670" w:rsidP="0083214A">
    <w:pPr>
      <w:pStyle w:val="Header-PPOprogrammeinanutshellpage"/>
      <w:rPr>
        <w:noProof/>
      </w:rPr>
    </w:pPr>
    <w:r w:rsidRPr="00040D99">
      <w:rPr>
        <w:noProof/>
        <w:lang w:eastAsia="en-GB"/>
      </w:rPr>
      <w:drawing>
        <wp:anchor distT="0" distB="0" distL="114300" distR="114300" simplePos="0" relativeHeight="251658282" behindDoc="1" locked="1" layoutInCell="1" allowOverlap="1" wp14:anchorId="7E881305" wp14:editId="70F5EE0F">
          <wp:simplePos x="0" y="0"/>
          <wp:positionH relativeFrom="page">
            <wp:posOffset>-7620</wp:posOffset>
          </wp:positionH>
          <wp:positionV relativeFrom="page">
            <wp:posOffset>-301625</wp:posOffset>
          </wp:positionV>
          <wp:extent cx="7598410" cy="2423160"/>
          <wp:effectExtent l="0" t="0" r="254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686" r="419" b="63"/>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rPr>
        <w:noProof/>
      </w:rPr>
      <w:t xml:space="preserve">Programme </w:t>
    </w:r>
    <w:r w:rsidRPr="00040D99">
      <w:t>performance</w:t>
    </w:r>
    <w:r w:rsidRPr="00040D99">
      <w:rPr>
        <w:noProof/>
      </w:rPr>
      <w:t xml:space="preserve"> overview 2022</w:t>
    </w: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71209" w14:textId="77777777" w:rsidR="005E2670" w:rsidRDefault="005E2670">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B8203" w14:textId="77777777" w:rsidR="005E2670" w:rsidRPr="00102B8C" w:rsidRDefault="005E2670" w:rsidP="0083214A">
    <w:pPr>
      <w:pStyle w:val="Header"/>
    </w:pP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7B008" w14:textId="77777777" w:rsidR="005E2670" w:rsidRPr="00DA010E" w:rsidRDefault="005E2670" w:rsidP="0083214A">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F8F3D" w14:textId="77777777" w:rsidR="005E2670" w:rsidRDefault="005E2670">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1D61D" w14:textId="77777777" w:rsidR="005E2670" w:rsidRPr="00040D99" w:rsidRDefault="005E2670" w:rsidP="0083214A">
    <w:pPr>
      <w:pStyle w:val="Header-EvenPage"/>
    </w:pPr>
    <w:r w:rsidRPr="00040D99">
      <w:rPr>
        <w:noProof/>
        <w:lang w:eastAsia="en-GB"/>
      </w:rPr>
      <w:drawing>
        <wp:anchor distT="0" distB="0" distL="114300" distR="114300" simplePos="0" relativeHeight="251658286" behindDoc="1" locked="1" layoutInCell="1" allowOverlap="1" wp14:anchorId="692AC36B" wp14:editId="25BAB68D">
          <wp:simplePos x="0" y="0"/>
          <wp:positionH relativeFrom="page">
            <wp:posOffset>-45720</wp:posOffset>
          </wp:positionH>
          <wp:positionV relativeFrom="page">
            <wp:posOffset>-7620</wp:posOffset>
          </wp:positionV>
          <wp:extent cx="7589520" cy="29210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9F59E" w14:textId="77777777" w:rsidR="005E2670" w:rsidRPr="00040D99" w:rsidRDefault="005E2670" w:rsidP="0083214A">
    <w:pPr>
      <w:pStyle w:val="Header-PPOprogrammeinanutshellpage"/>
      <w:rPr>
        <w:noProof/>
      </w:rPr>
    </w:pPr>
    <w:r w:rsidRPr="00040D99">
      <w:rPr>
        <w:noProof/>
        <w:lang w:eastAsia="en-GB"/>
      </w:rPr>
      <w:drawing>
        <wp:anchor distT="0" distB="0" distL="114300" distR="114300" simplePos="0" relativeHeight="251658285" behindDoc="1" locked="1" layoutInCell="1" allowOverlap="1" wp14:anchorId="64767657" wp14:editId="06FA17DE">
          <wp:simplePos x="0" y="0"/>
          <wp:positionH relativeFrom="page">
            <wp:posOffset>-7620</wp:posOffset>
          </wp:positionH>
          <wp:positionV relativeFrom="page">
            <wp:posOffset>-301625</wp:posOffset>
          </wp:positionV>
          <wp:extent cx="7598410" cy="2423160"/>
          <wp:effectExtent l="0" t="0" r="254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686" r="419" b="63"/>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rPr>
        <w:noProof/>
      </w:rPr>
      <w:t xml:space="preserve">Programme </w:t>
    </w:r>
    <w:r w:rsidRPr="00040D99">
      <w:t>performance</w:t>
    </w:r>
    <w:r w:rsidRPr="00040D99">
      <w:rPr>
        <w:noProof/>
      </w:rPr>
      <w:t xml:space="preserve"> overview 2022</w:t>
    </w: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75B6F" w14:textId="77777777" w:rsidR="005E2670" w:rsidRDefault="005E2670">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BF185" w14:textId="77777777" w:rsidR="005E2670" w:rsidRPr="00102B8C" w:rsidRDefault="005E2670" w:rsidP="0083214A">
    <w:pPr>
      <w:pStyle w:val="Header"/>
    </w:pP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4921B" w14:textId="77777777" w:rsidR="005E2670" w:rsidRPr="00DA010E" w:rsidRDefault="005E2670" w:rsidP="0083214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E4D3D" w14:textId="1A2FDAC0" w:rsidR="005E2670" w:rsidRDefault="005E2670">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81086" w14:textId="77777777" w:rsidR="005E2670" w:rsidRDefault="005E2670">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04088" w14:textId="77777777" w:rsidR="005E2670" w:rsidRPr="00040D99" w:rsidRDefault="005E2670" w:rsidP="0083214A">
    <w:pPr>
      <w:pStyle w:val="Header-EvenPage"/>
    </w:pPr>
    <w:r w:rsidRPr="00040D99">
      <w:rPr>
        <w:noProof/>
        <w:lang w:eastAsia="en-GB"/>
      </w:rPr>
      <w:drawing>
        <wp:anchor distT="0" distB="0" distL="114300" distR="114300" simplePos="0" relativeHeight="251658289" behindDoc="1" locked="1" layoutInCell="1" allowOverlap="1" wp14:anchorId="5508FA42" wp14:editId="43724E8E">
          <wp:simplePos x="0" y="0"/>
          <wp:positionH relativeFrom="page">
            <wp:posOffset>-45720</wp:posOffset>
          </wp:positionH>
          <wp:positionV relativeFrom="page">
            <wp:posOffset>-7620</wp:posOffset>
          </wp:positionV>
          <wp:extent cx="7589520" cy="29210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4EF6E" w14:textId="77777777" w:rsidR="005E2670" w:rsidRPr="00040D99" w:rsidRDefault="005E2670" w:rsidP="0083214A">
    <w:pPr>
      <w:pStyle w:val="Header-PPOprogrammeinanutshellpage"/>
      <w:rPr>
        <w:noProof/>
      </w:rPr>
    </w:pPr>
    <w:r w:rsidRPr="00040D99">
      <w:rPr>
        <w:noProof/>
        <w:lang w:eastAsia="en-GB"/>
      </w:rPr>
      <w:drawing>
        <wp:anchor distT="0" distB="0" distL="114300" distR="114300" simplePos="0" relativeHeight="251658288" behindDoc="1" locked="1" layoutInCell="1" allowOverlap="1" wp14:anchorId="412E87A7" wp14:editId="133C6C30">
          <wp:simplePos x="0" y="0"/>
          <wp:positionH relativeFrom="page">
            <wp:posOffset>-7620</wp:posOffset>
          </wp:positionH>
          <wp:positionV relativeFrom="page">
            <wp:posOffset>-301625</wp:posOffset>
          </wp:positionV>
          <wp:extent cx="7598410" cy="2423160"/>
          <wp:effectExtent l="0" t="0" r="254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686" r="419" b="63"/>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rPr>
        <w:noProof/>
      </w:rPr>
      <w:t xml:space="preserve">Programme </w:t>
    </w:r>
    <w:r w:rsidRPr="00040D99">
      <w:t>performance</w:t>
    </w:r>
    <w:r w:rsidRPr="00040D99">
      <w:rPr>
        <w:noProof/>
      </w:rPr>
      <w:t xml:space="preserve"> overview 2022</w:t>
    </w: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5B156" w14:textId="77777777" w:rsidR="005E2670" w:rsidRDefault="005E2670">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D0C49" w14:textId="77777777" w:rsidR="005E2670" w:rsidRPr="00102B8C" w:rsidRDefault="005E2670" w:rsidP="0083214A">
    <w:pPr>
      <w:pStyle w:val="Header"/>
    </w:pPr>
  </w:p>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E7488" w14:textId="77777777" w:rsidR="005E2670" w:rsidRPr="00DA010E" w:rsidRDefault="005E2670" w:rsidP="0083214A">
    <w:pPr>
      <w:pStyle w:val="Header"/>
    </w:pPr>
  </w:p>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BA127" w14:textId="77777777" w:rsidR="005E2670" w:rsidRDefault="005E2670">
    <w:pPr>
      <w:pStyle w:val="Header"/>
    </w:pPr>
  </w:p>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F4A08" w14:textId="77777777" w:rsidR="005E2670" w:rsidRPr="00040D99" w:rsidRDefault="005E2670" w:rsidP="0083214A">
    <w:pPr>
      <w:pStyle w:val="Header-EvenPage"/>
    </w:pPr>
    <w:r w:rsidRPr="00040D99">
      <w:rPr>
        <w:noProof/>
        <w:lang w:eastAsia="en-GB"/>
      </w:rPr>
      <w:drawing>
        <wp:anchor distT="0" distB="0" distL="114300" distR="114300" simplePos="0" relativeHeight="251658292" behindDoc="1" locked="1" layoutInCell="1" allowOverlap="1" wp14:anchorId="2A5AD122" wp14:editId="100F35AC">
          <wp:simplePos x="0" y="0"/>
          <wp:positionH relativeFrom="page">
            <wp:posOffset>-45720</wp:posOffset>
          </wp:positionH>
          <wp:positionV relativeFrom="page">
            <wp:posOffset>-7620</wp:posOffset>
          </wp:positionV>
          <wp:extent cx="7589520" cy="29210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1EE30" w14:textId="77777777" w:rsidR="005E2670" w:rsidRPr="00040D99" w:rsidRDefault="005E2670" w:rsidP="0083214A">
    <w:pPr>
      <w:pStyle w:val="Header-PPOprogrammeinanutshellpage"/>
      <w:rPr>
        <w:noProof/>
      </w:rPr>
    </w:pPr>
    <w:r w:rsidRPr="00040D99">
      <w:rPr>
        <w:noProof/>
        <w:lang w:eastAsia="en-GB"/>
      </w:rPr>
      <w:drawing>
        <wp:anchor distT="0" distB="0" distL="114300" distR="114300" simplePos="0" relativeHeight="251658291" behindDoc="1" locked="1" layoutInCell="1" allowOverlap="1" wp14:anchorId="54266EBE" wp14:editId="328ABEDC">
          <wp:simplePos x="0" y="0"/>
          <wp:positionH relativeFrom="page">
            <wp:posOffset>-7620</wp:posOffset>
          </wp:positionH>
          <wp:positionV relativeFrom="page">
            <wp:posOffset>-301625</wp:posOffset>
          </wp:positionV>
          <wp:extent cx="7598410" cy="2423160"/>
          <wp:effectExtent l="0" t="0" r="254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686" r="419" b="63"/>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rPr>
        <w:noProof/>
      </w:rPr>
      <w:t xml:space="preserve">Programme </w:t>
    </w:r>
    <w:r w:rsidRPr="00040D99">
      <w:t>performance</w:t>
    </w:r>
    <w:r w:rsidRPr="00040D99">
      <w:rPr>
        <w:noProof/>
      </w:rPr>
      <w:t xml:space="preserve"> overview 2022</w:t>
    </w: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89190" w14:textId="77777777" w:rsidR="005E2670" w:rsidRDefault="005E267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CF0AD" w14:textId="77777777" w:rsidR="005E2670" w:rsidRPr="00102B8C" w:rsidRDefault="005E2670" w:rsidP="00BB20EB">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FB9B2" w14:textId="77777777" w:rsidR="005E2670" w:rsidRPr="00102B8C" w:rsidRDefault="005E2670" w:rsidP="0083214A">
    <w:pPr>
      <w:pStyle w:val="Header"/>
    </w:pPr>
  </w:p>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29F5D" w14:textId="77777777" w:rsidR="005E2670" w:rsidRPr="00DA010E" w:rsidRDefault="005E2670" w:rsidP="0083214A">
    <w:pPr>
      <w:pStyle w:val="Header"/>
    </w:pPr>
  </w:p>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DE9FE" w14:textId="77777777" w:rsidR="005E2670" w:rsidRDefault="005E2670">
    <w:pPr>
      <w:pStyle w:val="Header"/>
    </w:pPr>
  </w:p>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98024" w14:textId="77777777" w:rsidR="005E2670" w:rsidRPr="00040D99" w:rsidRDefault="005E2670" w:rsidP="0083214A">
    <w:pPr>
      <w:pStyle w:val="Header-EvenPage"/>
    </w:pPr>
    <w:r w:rsidRPr="00040D99">
      <w:rPr>
        <w:noProof/>
        <w:lang w:eastAsia="en-GB"/>
      </w:rPr>
      <w:drawing>
        <wp:anchor distT="0" distB="0" distL="114300" distR="114300" simplePos="0" relativeHeight="251658296" behindDoc="1" locked="1" layoutInCell="1" allowOverlap="1" wp14:anchorId="6E3CE75F" wp14:editId="0FC8BA51">
          <wp:simplePos x="0" y="0"/>
          <wp:positionH relativeFrom="page">
            <wp:posOffset>-45720</wp:posOffset>
          </wp:positionH>
          <wp:positionV relativeFrom="page">
            <wp:posOffset>-7620</wp:posOffset>
          </wp:positionV>
          <wp:extent cx="7589520" cy="29210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45574" w14:textId="77777777" w:rsidR="005E2670" w:rsidRPr="00040D99" w:rsidRDefault="005E2670" w:rsidP="0083214A">
    <w:pPr>
      <w:pStyle w:val="Header-PPOprogrammeinanutshellpage"/>
      <w:rPr>
        <w:noProof/>
      </w:rPr>
    </w:pPr>
    <w:r w:rsidRPr="00040D99">
      <w:rPr>
        <w:noProof/>
        <w:lang w:eastAsia="en-GB"/>
      </w:rPr>
      <w:drawing>
        <wp:anchor distT="0" distB="0" distL="114300" distR="114300" simplePos="0" relativeHeight="251658294" behindDoc="1" locked="1" layoutInCell="1" allowOverlap="1" wp14:anchorId="5C79A76A" wp14:editId="22A07857">
          <wp:simplePos x="0" y="0"/>
          <wp:positionH relativeFrom="page">
            <wp:posOffset>-7620</wp:posOffset>
          </wp:positionH>
          <wp:positionV relativeFrom="page">
            <wp:posOffset>-301625</wp:posOffset>
          </wp:positionV>
          <wp:extent cx="7598410" cy="2423160"/>
          <wp:effectExtent l="0" t="0" r="254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583" r="419" b="166"/>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rPr>
        <w:noProof/>
      </w:rPr>
      <w:t xml:space="preserve">Programme </w:t>
    </w:r>
    <w:r w:rsidRPr="00040D99">
      <w:t>performance</w:t>
    </w:r>
    <w:r w:rsidRPr="00040D99">
      <w:rPr>
        <w:noProof/>
      </w:rPr>
      <w:t xml:space="preserve"> overview 2022</w:t>
    </w:r>
  </w:p>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FC02B" w14:textId="77777777" w:rsidR="005E2670" w:rsidRDefault="005E2670">
    <w:pPr>
      <w:pStyle w:val="Header"/>
    </w:pPr>
  </w:p>
</w:hdr>
</file>

<file path=word/header2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5C6E7" w14:textId="77777777" w:rsidR="005E2670" w:rsidRPr="00102B8C" w:rsidRDefault="005E2670" w:rsidP="0083214A">
    <w:pPr>
      <w:pStyle w:val="Header"/>
    </w:pPr>
  </w:p>
</w:hdr>
</file>

<file path=word/header2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69D7B" w14:textId="77777777" w:rsidR="005E2670" w:rsidRPr="00DA010E" w:rsidRDefault="005E2670" w:rsidP="0083214A">
    <w:pPr>
      <w:pStyle w:val="Header"/>
    </w:pPr>
  </w:p>
</w:hdr>
</file>

<file path=word/header2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A3FF1" w14:textId="77777777" w:rsidR="005E2670" w:rsidRDefault="005E2670">
    <w:pPr>
      <w:pStyle w:val="Header"/>
    </w:pPr>
  </w:p>
</w:hdr>
</file>

<file path=word/header2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53B61" w14:textId="77777777" w:rsidR="005E2670" w:rsidRPr="00040D99" w:rsidRDefault="005E2670" w:rsidP="0083214A">
    <w:pPr>
      <w:pStyle w:val="Header-EvenPage"/>
    </w:pPr>
    <w:r w:rsidRPr="00040D99">
      <w:rPr>
        <w:noProof/>
        <w:lang w:eastAsia="en-GB"/>
      </w:rPr>
      <w:drawing>
        <wp:anchor distT="0" distB="0" distL="114300" distR="114300" simplePos="0" relativeHeight="251658299" behindDoc="1" locked="1" layoutInCell="1" allowOverlap="1" wp14:anchorId="4409B889" wp14:editId="01355CF4">
          <wp:simplePos x="0" y="0"/>
          <wp:positionH relativeFrom="page">
            <wp:posOffset>-45720</wp:posOffset>
          </wp:positionH>
          <wp:positionV relativeFrom="page">
            <wp:posOffset>-7620</wp:posOffset>
          </wp:positionV>
          <wp:extent cx="7589520" cy="292100"/>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CCAC0" w14:textId="77777777" w:rsidR="005E2670" w:rsidRPr="00DA010E" w:rsidRDefault="005E2670" w:rsidP="00BB20EB">
    <w:pPr>
      <w:pStyle w:val="Header"/>
    </w:pPr>
  </w:p>
</w:hdr>
</file>

<file path=word/header2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F2557" w14:textId="77777777" w:rsidR="005E2670" w:rsidRPr="00040D99" w:rsidRDefault="005E2670" w:rsidP="0083214A">
    <w:pPr>
      <w:pStyle w:val="Header-PPOprogrammeinanutshellpage"/>
      <w:rPr>
        <w:noProof/>
      </w:rPr>
    </w:pPr>
    <w:r w:rsidRPr="00040D99">
      <w:rPr>
        <w:noProof/>
        <w:lang w:eastAsia="en-GB"/>
      </w:rPr>
      <w:drawing>
        <wp:anchor distT="0" distB="0" distL="114300" distR="114300" simplePos="0" relativeHeight="251658297" behindDoc="1" locked="1" layoutInCell="1" allowOverlap="1" wp14:anchorId="497D5A5B" wp14:editId="773BAAB8">
          <wp:simplePos x="0" y="0"/>
          <wp:positionH relativeFrom="page">
            <wp:posOffset>-7620</wp:posOffset>
          </wp:positionH>
          <wp:positionV relativeFrom="page">
            <wp:posOffset>-301625</wp:posOffset>
          </wp:positionV>
          <wp:extent cx="7598410" cy="2423160"/>
          <wp:effectExtent l="0" t="0" r="254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583" r="419" b="166"/>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rPr>
        <w:noProof/>
      </w:rPr>
      <w:t xml:space="preserve">Programme </w:t>
    </w:r>
    <w:r w:rsidRPr="00040D99">
      <w:t>performance</w:t>
    </w:r>
    <w:r w:rsidRPr="00040D99">
      <w:rPr>
        <w:noProof/>
      </w:rPr>
      <w:t xml:space="preserve"> overview 2022</w:t>
    </w:r>
  </w:p>
</w:hdr>
</file>

<file path=word/header2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B36FC" w14:textId="77777777" w:rsidR="005E2670" w:rsidRDefault="005E2670">
    <w:pPr>
      <w:pStyle w:val="Header"/>
    </w:pPr>
  </w:p>
</w:hdr>
</file>

<file path=word/header2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F2DD7" w14:textId="77777777" w:rsidR="005E2670" w:rsidRPr="00102B8C" w:rsidRDefault="005E2670" w:rsidP="0083214A">
    <w:pPr>
      <w:pStyle w:val="Header"/>
    </w:pPr>
  </w:p>
</w:hdr>
</file>

<file path=word/header2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46F2F" w14:textId="77777777" w:rsidR="005E2670" w:rsidRPr="00DA010E" w:rsidRDefault="005E2670" w:rsidP="0083214A">
    <w:pPr>
      <w:pStyle w:val="Header"/>
    </w:pPr>
  </w:p>
</w:hdr>
</file>

<file path=word/header2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1A59A" w14:textId="77777777" w:rsidR="005E2670" w:rsidRDefault="005E2670">
    <w:pPr>
      <w:pStyle w:val="Header"/>
    </w:pPr>
  </w:p>
</w:hdr>
</file>

<file path=word/header2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EF258" w14:textId="77777777" w:rsidR="005E2670" w:rsidRPr="00040D99" w:rsidRDefault="005E2670" w:rsidP="0083214A">
    <w:pPr>
      <w:pStyle w:val="Header-EvenPage"/>
    </w:pPr>
    <w:r w:rsidRPr="00040D99">
      <w:rPr>
        <w:noProof/>
        <w:lang w:eastAsia="en-GB"/>
      </w:rPr>
      <w:drawing>
        <wp:anchor distT="0" distB="0" distL="114300" distR="114300" simplePos="0" relativeHeight="251658303" behindDoc="1" locked="1" layoutInCell="1" allowOverlap="1" wp14:anchorId="33209295" wp14:editId="471149E2">
          <wp:simplePos x="0" y="0"/>
          <wp:positionH relativeFrom="page">
            <wp:posOffset>-45720</wp:posOffset>
          </wp:positionH>
          <wp:positionV relativeFrom="page">
            <wp:posOffset>-7620</wp:posOffset>
          </wp:positionV>
          <wp:extent cx="7589520" cy="292100"/>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2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31DEE" w14:textId="77777777" w:rsidR="005E2670" w:rsidRPr="00040D99" w:rsidRDefault="005E2670" w:rsidP="0083214A">
    <w:pPr>
      <w:pStyle w:val="Header-PPOprogrammeinanutshellpage"/>
      <w:rPr>
        <w:noProof/>
      </w:rPr>
    </w:pPr>
    <w:r w:rsidRPr="00040D99">
      <w:rPr>
        <w:noProof/>
        <w:lang w:eastAsia="en-GB"/>
      </w:rPr>
      <w:drawing>
        <wp:anchor distT="0" distB="0" distL="114300" distR="114300" simplePos="0" relativeHeight="251658301" behindDoc="1" locked="1" layoutInCell="1" allowOverlap="1" wp14:anchorId="4A58010E" wp14:editId="7D4C3DD6">
          <wp:simplePos x="0" y="0"/>
          <wp:positionH relativeFrom="page">
            <wp:posOffset>-7620</wp:posOffset>
          </wp:positionH>
          <wp:positionV relativeFrom="page">
            <wp:posOffset>-301625</wp:posOffset>
          </wp:positionV>
          <wp:extent cx="7598410" cy="2423160"/>
          <wp:effectExtent l="0" t="0" r="254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583" r="419" b="166"/>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rPr>
        <w:noProof/>
      </w:rPr>
      <w:t xml:space="preserve">Programme </w:t>
    </w:r>
    <w:r w:rsidRPr="00040D99">
      <w:t>performance</w:t>
    </w:r>
    <w:r w:rsidRPr="00040D99">
      <w:rPr>
        <w:noProof/>
      </w:rPr>
      <w:t xml:space="preserve"> overview 2022</w:t>
    </w:r>
  </w:p>
</w:hdr>
</file>

<file path=word/header2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FE665" w14:textId="77777777" w:rsidR="005E2670" w:rsidRDefault="005E2670">
    <w:pPr>
      <w:pStyle w:val="Header"/>
    </w:pPr>
  </w:p>
</w:hdr>
</file>

<file path=word/header2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9A124" w14:textId="77777777" w:rsidR="005E2670" w:rsidRPr="00102B8C" w:rsidRDefault="005E2670" w:rsidP="0083214A">
    <w:pPr>
      <w:pStyle w:val="Header"/>
    </w:pPr>
  </w:p>
</w:hdr>
</file>

<file path=word/header2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E6F31" w14:textId="77777777" w:rsidR="005E2670" w:rsidRPr="00DA010E" w:rsidRDefault="005E2670" w:rsidP="0083214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0F4E0" w14:textId="77777777" w:rsidR="005E2670" w:rsidRDefault="005E2670">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089A5" w14:textId="77777777" w:rsidR="005E2670" w:rsidRDefault="005E2670">
    <w:pPr>
      <w:pStyle w:val="Header"/>
    </w:pPr>
  </w:p>
</w:hdr>
</file>

<file path=word/header2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E7793" w14:textId="77777777" w:rsidR="005E2670" w:rsidRPr="00040D99" w:rsidRDefault="005E2670" w:rsidP="005D691E">
    <w:pPr>
      <w:pStyle w:val="Header-EvenPage"/>
    </w:pPr>
    <w:r w:rsidRPr="00040D99">
      <w:rPr>
        <w:noProof/>
        <w:lang w:eastAsia="en-GB"/>
      </w:rPr>
      <w:drawing>
        <wp:anchor distT="0" distB="0" distL="114300" distR="114300" simplePos="0" relativeHeight="251658332" behindDoc="1" locked="1" layoutInCell="1" allowOverlap="1" wp14:anchorId="00F80A1A" wp14:editId="4C650D17">
          <wp:simplePos x="0" y="0"/>
          <wp:positionH relativeFrom="page">
            <wp:posOffset>-45720</wp:posOffset>
          </wp:positionH>
          <wp:positionV relativeFrom="page">
            <wp:posOffset>-7620</wp:posOffset>
          </wp:positionV>
          <wp:extent cx="7589520" cy="29210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2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EFC63" w14:textId="77777777" w:rsidR="005E2670" w:rsidRPr="00040D99" w:rsidRDefault="005E2670" w:rsidP="005D691E">
    <w:pPr>
      <w:pStyle w:val="Header-PPOprogrammeinanutshellpage"/>
      <w:rPr>
        <w:noProof/>
      </w:rPr>
    </w:pPr>
    <w:r w:rsidRPr="00040D99">
      <w:rPr>
        <w:noProof/>
        <w:lang w:eastAsia="en-GB"/>
      </w:rPr>
      <w:drawing>
        <wp:anchor distT="0" distB="0" distL="114300" distR="114300" simplePos="0" relativeHeight="251658331" behindDoc="1" locked="1" layoutInCell="1" allowOverlap="1" wp14:anchorId="3C1AA1BD" wp14:editId="5BB40498">
          <wp:simplePos x="0" y="0"/>
          <wp:positionH relativeFrom="page">
            <wp:posOffset>-7620</wp:posOffset>
          </wp:positionH>
          <wp:positionV relativeFrom="page">
            <wp:posOffset>-301625</wp:posOffset>
          </wp:positionV>
          <wp:extent cx="7598410" cy="2423160"/>
          <wp:effectExtent l="0" t="0" r="254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583" r="419" b="166"/>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rPr>
        <w:noProof/>
      </w:rPr>
      <w:t xml:space="preserve">Programme </w:t>
    </w:r>
    <w:r w:rsidRPr="00040D99">
      <w:t>performance</w:t>
    </w:r>
    <w:r w:rsidRPr="00040D99">
      <w:rPr>
        <w:noProof/>
      </w:rPr>
      <w:t xml:space="preserve"> overview 2022</w:t>
    </w:r>
  </w:p>
</w:hdr>
</file>

<file path=word/header2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74A21" w14:textId="77777777" w:rsidR="005E2670" w:rsidRDefault="005E2670">
    <w:pPr>
      <w:pStyle w:val="Header"/>
    </w:pPr>
  </w:p>
</w:hdr>
</file>

<file path=word/header2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43BBC" w14:textId="77777777" w:rsidR="005E2670" w:rsidRPr="00102B8C" w:rsidRDefault="005E2670" w:rsidP="005D691E">
    <w:pPr>
      <w:pStyle w:val="Header"/>
    </w:pPr>
  </w:p>
</w:hdr>
</file>

<file path=word/header2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669E8" w14:textId="77777777" w:rsidR="005E2670" w:rsidRPr="00DA010E" w:rsidRDefault="005E2670" w:rsidP="005D691E">
    <w:pPr>
      <w:pStyle w:val="Header"/>
    </w:pPr>
  </w:p>
</w:hdr>
</file>

<file path=word/header2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2FE11" w14:textId="77777777" w:rsidR="005E2670" w:rsidRDefault="005E267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5289D" w14:textId="77777777" w:rsidR="005E2670" w:rsidRPr="00040D99" w:rsidRDefault="005E2670" w:rsidP="00BB20EB">
    <w:pPr>
      <w:pStyle w:val="Header-EvenPage"/>
    </w:pPr>
    <w:r w:rsidRPr="00040D99">
      <w:rPr>
        <w:noProof/>
        <w:lang w:eastAsia="en-GB"/>
      </w:rPr>
      <w:drawing>
        <wp:anchor distT="0" distB="0" distL="114300" distR="114300" simplePos="0" relativeHeight="251658247" behindDoc="1" locked="1" layoutInCell="1" allowOverlap="1" wp14:anchorId="0D78C5E6" wp14:editId="609706C0">
          <wp:simplePos x="0" y="0"/>
          <wp:positionH relativeFrom="page">
            <wp:posOffset>-45720</wp:posOffset>
          </wp:positionH>
          <wp:positionV relativeFrom="page">
            <wp:posOffset>-7620</wp:posOffset>
          </wp:positionV>
          <wp:extent cx="7589520" cy="2921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57D4D" w14:textId="078E7E83" w:rsidR="005E2670" w:rsidRPr="00040D99" w:rsidRDefault="005E2670" w:rsidP="00BB20EB">
    <w:pPr>
      <w:pStyle w:val="Header-PPOprogrammeinanutshellpage"/>
      <w:rPr>
        <w:noProof/>
      </w:rPr>
    </w:pPr>
    <w:r w:rsidRPr="00040D99">
      <w:rPr>
        <w:noProof/>
      </w:rPr>
      <w:t xml:space="preserve">Programme </w:t>
    </w:r>
    <w:r w:rsidRPr="00040D99">
      <w:t>performance</w:t>
    </w:r>
    <w:r w:rsidRPr="00040D99">
      <w:rPr>
        <w:noProof/>
      </w:rPr>
      <w:t xml:space="preserve"> overview 2022</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A5280" w14:textId="14AAD062" w:rsidR="005E2670" w:rsidRDefault="005E2670" w:rsidP="00ED7CA4">
    <w:pPr>
      <w:pStyle w:val="Header"/>
      <w:jc w:val="right"/>
    </w:pPr>
    <w:r w:rsidRPr="005D691E">
      <w:rPr>
        <w:noProof/>
        <w:color w:val="FFFFFF" w:themeColor="background1"/>
      </w:rPr>
      <w:t xml:space="preserve">Programme </w:t>
    </w:r>
    <w:r w:rsidRPr="005D691E">
      <w:rPr>
        <w:color w:val="FFFFFF" w:themeColor="background1"/>
      </w:rPr>
      <w:t>performance</w:t>
    </w:r>
    <w:r w:rsidRPr="005D691E">
      <w:rPr>
        <w:noProof/>
        <w:color w:val="FFFFFF" w:themeColor="background1"/>
      </w:rPr>
      <w:t xml:space="preserve"> overview 2022</w:t>
    </w:r>
    <w:r w:rsidRPr="00040D99">
      <w:rPr>
        <w:noProof/>
        <w:lang w:eastAsia="en-GB"/>
      </w:rPr>
      <w:drawing>
        <wp:anchor distT="0" distB="0" distL="114300" distR="114300" simplePos="0" relativeHeight="251658270" behindDoc="1" locked="1" layoutInCell="1" allowOverlap="1" wp14:anchorId="23B58499" wp14:editId="1CEAD130">
          <wp:simplePos x="0" y="0"/>
          <wp:positionH relativeFrom="page">
            <wp:posOffset>8890</wp:posOffset>
          </wp:positionH>
          <wp:positionV relativeFrom="page">
            <wp:posOffset>635</wp:posOffset>
          </wp:positionV>
          <wp:extent cx="7598410" cy="242316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583" r="419" b="166"/>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492BF" w14:textId="77777777" w:rsidR="005E2670" w:rsidRPr="00040D99" w:rsidRDefault="005E2670" w:rsidP="00BB20EB">
    <w:pPr>
      <w:pStyle w:val="Header-EvenPage"/>
    </w:pPr>
    <w:r w:rsidRPr="00040D99">
      <w:rPr>
        <w:noProof/>
        <w:lang w:eastAsia="en-GB"/>
      </w:rPr>
      <w:drawing>
        <wp:anchor distT="0" distB="0" distL="114300" distR="114300" simplePos="0" relativeHeight="251658243" behindDoc="1" locked="1" layoutInCell="1" allowOverlap="1" wp14:anchorId="592445A9" wp14:editId="7767E551">
          <wp:simplePos x="0" y="0"/>
          <wp:positionH relativeFrom="page">
            <wp:posOffset>-45720</wp:posOffset>
          </wp:positionH>
          <wp:positionV relativeFrom="page">
            <wp:posOffset>-7620</wp:posOffset>
          </wp:positionV>
          <wp:extent cx="7589520" cy="2921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A0A1C" w14:textId="00C8232D" w:rsidR="005E2670" w:rsidRPr="00040D99" w:rsidRDefault="005E2670" w:rsidP="00BB20EB">
    <w:pPr>
      <w:pStyle w:val="Header-PPOprogrammeinanutshellpage"/>
      <w:rPr>
        <w:noProof/>
      </w:rPr>
    </w:pPr>
    <w:r w:rsidRPr="00040D99">
      <w:rPr>
        <w:noProof/>
      </w:rPr>
      <w:t xml:space="preserve">Programme </w:t>
    </w:r>
    <w:r w:rsidRPr="00040D99">
      <w:t>performance</w:t>
    </w:r>
    <w:r w:rsidRPr="00040D99">
      <w:rPr>
        <w:noProof/>
      </w:rPr>
      <w:t xml:space="preserve"> overview 2022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76E8B" w14:textId="77777777" w:rsidR="00E01E9B" w:rsidRPr="00E01E9B" w:rsidRDefault="00E01E9B" w:rsidP="00E01E9B">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1D655" w14:textId="61805842" w:rsidR="005E2670" w:rsidRDefault="005E2670" w:rsidP="00ED7CA4">
    <w:pPr>
      <w:pStyle w:val="Header"/>
      <w:ind w:firstLine="720"/>
      <w:jc w:val="right"/>
    </w:pPr>
    <w:r w:rsidRPr="005D691E">
      <w:rPr>
        <w:noProof/>
        <w:color w:val="FFFFFF" w:themeColor="background1"/>
      </w:rPr>
      <w:t xml:space="preserve">Programme </w:t>
    </w:r>
    <w:r w:rsidRPr="005D691E">
      <w:rPr>
        <w:color w:val="FFFFFF" w:themeColor="background1"/>
      </w:rPr>
      <w:t>performance</w:t>
    </w:r>
    <w:r w:rsidRPr="005D691E">
      <w:rPr>
        <w:noProof/>
        <w:color w:val="FFFFFF" w:themeColor="background1"/>
      </w:rPr>
      <w:t xml:space="preserve"> overview 2022</w:t>
    </w:r>
    <w:r w:rsidRPr="00040D99">
      <w:rPr>
        <w:noProof/>
        <w:lang w:eastAsia="en-GB"/>
      </w:rPr>
      <w:drawing>
        <wp:anchor distT="0" distB="0" distL="114300" distR="114300" simplePos="0" relativeHeight="251658259" behindDoc="1" locked="1" layoutInCell="1" allowOverlap="1" wp14:anchorId="62FC7920" wp14:editId="67D54E2F">
          <wp:simplePos x="0" y="0"/>
          <wp:positionH relativeFrom="page">
            <wp:posOffset>6350</wp:posOffset>
          </wp:positionH>
          <wp:positionV relativeFrom="page">
            <wp:posOffset>8890</wp:posOffset>
          </wp:positionV>
          <wp:extent cx="7598410" cy="2423160"/>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583" r="419" b="166"/>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3DCD4" w14:textId="77777777" w:rsidR="005E2670" w:rsidRPr="00040D99" w:rsidRDefault="005E2670" w:rsidP="00BB20EB">
    <w:pPr>
      <w:pStyle w:val="Header-EvenPage"/>
    </w:pPr>
    <w:r w:rsidRPr="00040D99">
      <w:rPr>
        <w:noProof/>
        <w:lang w:eastAsia="en-GB"/>
      </w:rPr>
      <w:drawing>
        <wp:anchor distT="0" distB="0" distL="114300" distR="114300" simplePos="0" relativeHeight="251658249" behindDoc="1" locked="1" layoutInCell="1" allowOverlap="1" wp14:anchorId="7ADB7F46" wp14:editId="7D25415B">
          <wp:simplePos x="0" y="0"/>
          <wp:positionH relativeFrom="page">
            <wp:posOffset>-45720</wp:posOffset>
          </wp:positionH>
          <wp:positionV relativeFrom="page">
            <wp:posOffset>-7620</wp:posOffset>
          </wp:positionV>
          <wp:extent cx="7589520" cy="2921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F7143" w14:textId="4A4D6C99" w:rsidR="005E2670" w:rsidRPr="00040D99" w:rsidRDefault="005E2670" w:rsidP="00BB20EB">
    <w:pPr>
      <w:pStyle w:val="Header-PPOprogrammeinanutshellpage"/>
      <w:rPr>
        <w:noProof/>
      </w:rPr>
    </w:pPr>
    <w:r w:rsidRPr="00040D99">
      <w:rPr>
        <w:noProof/>
      </w:rPr>
      <w:t xml:space="preserve">Programme </w:t>
    </w:r>
    <w:r w:rsidRPr="00040D99">
      <w:t>performance</w:t>
    </w:r>
    <w:r w:rsidRPr="00040D99">
      <w:rPr>
        <w:noProof/>
      </w:rPr>
      <w:t xml:space="preserve"> overview 2022</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A5485" w14:textId="3CB06E12" w:rsidR="005E2670" w:rsidRDefault="005E2670" w:rsidP="00ED7CA4">
    <w:pPr>
      <w:pStyle w:val="Header"/>
      <w:jc w:val="right"/>
    </w:pPr>
    <w:r w:rsidRPr="005D691E">
      <w:rPr>
        <w:noProof/>
        <w:color w:val="FFFFFF" w:themeColor="background1"/>
      </w:rPr>
      <w:t xml:space="preserve">Programme </w:t>
    </w:r>
    <w:r w:rsidRPr="005D691E">
      <w:rPr>
        <w:color w:val="FFFFFF" w:themeColor="background1"/>
      </w:rPr>
      <w:t>performance</w:t>
    </w:r>
    <w:r w:rsidRPr="005D691E">
      <w:rPr>
        <w:noProof/>
        <w:color w:val="FFFFFF" w:themeColor="background1"/>
      </w:rPr>
      <w:t xml:space="preserve"> overview 2022</w:t>
    </w:r>
    <w:r w:rsidRPr="00040D99">
      <w:rPr>
        <w:noProof/>
        <w:lang w:eastAsia="en-GB"/>
      </w:rPr>
      <w:drawing>
        <wp:anchor distT="0" distB="0" distL="114300" distR="114300" simplePos="0" relativeHeight="251658264" behindDoc="1" locked="1" layoutInCell="1" allowOverlap="1" wp14:anchorId="0D4C4D78" wp14:editId="1949298F">
          <wp:simplePos x="0" y="0"/>
          <wp:positionH relativeFrom="page">
            <wp:posOffset>-29845</wp:posOffset>
          </wp:positionH>
          <wp:positionV relativeFrom="page">
            <wp:posOffset>-27305</wp:posOffset>
          </wp:positionV>
          <wp:extent cx="7598410" cy="2423160"/>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583" r="419" b="166"/>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43EB7" w14:textId="77777777" w:rsidR="005E2670" w:rsidRPr="00102B8C" w:rsidRDefault="005E2670" w:rsidP="00AF1C52">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8EAD9" w14:textId="77777777" w:rsidR="005E2670" w:rsidRPr="00DA010E" w:rsidRDefault="005E2670" w:rsidP="00AF1C52">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3E017" w14:textId="77777777" w:rsidR="005E2670" w:rsidRDefault="005E2670" w:rsidP="00ED7CA4">
    <w:pPr>
      <w:pStyle w:val="Header"/>
      <w:jc w:val="right"/>
    </w:pPr>
    <w:r w:rsidRPr="005D691E">
      <w:rPr>
        <w:noProof/>
        <w:color w:val="FFFFFF" w:themeColor="background1"/>
      </w:rPr>
      <w:t xml:space="preserve">Programme </w:t>
    </w:r>
    <w:r w:rsidRPr="005D691E">
      <w:rPr>
        <w:color w:val="FFFFFF" w:themeColor="background1"/>
      </w:rPr>
      <w:t>performance</w:t>
    </w:r>
    <w:r w:rsidRPr="005D691E">
      <w:rPr>
        <w:noProof/>
        <w:color w:val="FFFFFF" w:themeColor="background1"/>
      </w:rPr>
      <w:t xml:space="preserve"> overview 2022</w:t>
    </w:r>
    <w:r w:rsidRPr="00040D99">
      <w:rPr>
        <w:noProof/>
        <w:lang w:eastAsia="en-GB"/>
      </w:rPr>
      <w:drawing>
        <wp:anchor distT="0" distB="0" distL="114300" distR="114300" simplePos="0" relativeHeight="251658335" behindDoc="1" locked="1" layoutInCell="1" allowOverlap="1" wp14:anchorId="6B28890D" wp14:editId="0D1EA87E">
          <wp:simplePos x="0" y="0"/>
          <wp:positionH relativeFrom="page">
            <wp:posOffset>-29845</wp:posOffset>
          </wp:positionH>
          <wp:positionV relativeFrom="page">
            <wp:posOffset>-27305</wp:posOffset>
          </wp:positionV>
          <wp:extent cx="7598410" cy="2423160"/>
          <wp:effectExtent l="0" t="0" r="254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583" r="419" b="166"/>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6BA83" w14:textId="77777777" w:rsidR="005E2670" w:rsidRPr="00040D99" w:rsidRDefault="005E2670" w:rsidP="00AF1C52">
    <w:pPr>
      <w:pStyle w:val="Header-EvenPage"/>
    </w:pPr>
    <w:r w:rsidRPr="00040D99">
      <w:rPr>
        <w:noProof/>
        <w:lang w:eastAsia="en-GB"/>
      </w:rPr>
      <w:drawing>
        <wp:anchor distT="0" distB="0" distL="114300" distR="114300" simplePos="0" relativeHeight="251658248" behindDoc="1" locked="1" layoutInCell="1" allowOverlap="1" wp14:anchorId="70FBBAD3" wp14:editId="26CC2333">
          <wp:simplePos x="0" y="0"/>
          <wp:positionH relativeFrom="page">
            <wp:posOffset>-45720</wp:posOffset>
          </wp:positionH>
          <wp:positionV relativeFrom="page">
            <wp:posOffset>-7620</wp:posOffset>
          </wp:positionV>
          <wp:extent cx="7589520" cy="2921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06C53" w14:textId="77777777" w:rsidR="005E2670" w:rsidRPr="00040D99" w:rsidRDefault="005E2670" w:rsidP="00AF1C52">
    <w:pPr>
      <w:pStyle w:val="Header-PPOprogrammeinanutshellpage"/>
      <w:rPr>
        <w:noProof/>
      </w:rPr>
    </w:pPr>
    <w:r w:rsidRPr="00040D99">
      <w:rPr>
        <w:noProof/>
        <w:lang w:eastAsia="en-GB"/>
      </w:rPr>
      <w:drawing>
        <wp:anchor distT="0" distB="0" distL="114300" distR="114300" simplePos="0" relativeHeight="251658246" behindDoc="1" locked="1" layoutInCell="1" allowOverlap="1" wp14:anchorId="6975A547" wp14:editId="006F239D">
          <wp:simplePos x="0" y="0"/>
          <wp:positionH relativeFrom="page">
            <wp:posOffset>-7620</wp:posOffset>
          </wp:positionH>
          <wp:positionV relativeFrom="page">
            <wp:posOffset>-301625</wp:posOffset>
          </wp:positionV>
          <wp:extent cx="7598410" cy="2423160"/>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583" r="419" b="166"/>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rPr>
        <w:noProof/>
      </w:rPr>
      <w:t xml:space="preserve">Programme </w:t>
    </w:r>
    <w:r w:rsidRPr="00040D99">
      <w:t>performance</w:t>
    </w:r>
    <w:r w:rsidRPr="00040D99">
      <w:rPr>
        <w:noProof/>
      </w:rPr>
      <w:t xml:space="preserve"> overview 2022</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ED449" w14:textId="77777777" w:rsidR="005E2670" w:rsidRDefault="005E26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FA207" w14:textId="77777777" w:rsidR="005E2670" w:rsidRPr="00040D99" w:rsidRDefault="005E2670" w:rsidP="00D26688">
    <w:pPr>
      <w:pStyle w:val="Header-EvenPage"/>
    </w:pPr>
    <w:r w:rsidRPr="00040D99">
      <w:rPr>
        <w:noProof/>
        <w:lang w:eastAsia="en-GB"/>
      </w:rPr>
      <w:drawing>
        <wp:anchor distT="0" distB="0" distL="114300" distR="114300" simplePos="0" relativeHeight="251675136" behindDoc="1" locked="1" layoutInCell="1" allowOverlap="1" wp14:anchorId="3295D80D" wp14:editId="0276C571">
          <wp:simplePos x="0" y="0"/>
          <wp:positionH relativeFrom="page">
            <wp:posOffset>-45720</wp:posOffset>
          </wp:positionH>
          <wp:positionV relativeFrom="page">
            <wp:posOffset>-7620</wp:posOffset>
          </wp:positionV>
          <wp:extent cx="7589520" cy="2921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40968" w14:textId="77777777" w:rsidR="005E2670" w:rsidRPr="00102B8C" w:rsidRDefault="005E2670" w:rsidP="00AF1C52">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BDEF6" w14:textId="77777777" w:rsidR="005E2670" w:rsidRPr="00DA010E" w:rsidRDefault="005E2670" w:rsidP="00AF1C52">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1A01B" w14:textId="77777777" w:rsidR="005E2670" w:rsidRDefault="005E2670">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B7B57" w14:textId="77777777" w:rsidR="005E2670" w:rsidRPr="00040D99" w:rsidRDefault="005E2670" w:rsidP="00AF1C52">
    <w:pPr>
      <w:pStyle w:val="Header-EvenPage"/>
    </w:pPr>
    <w:r w:rsidRPr="00040D99">
      <w:rPr>
        <w:noProof/>
        <w:lang w:eastAsia="en-GB"/>
      </w:rPr>
      <w:drawing>
        <wp:anchor distT="0" distB="0" distL="114300" distR="114300" simplePos="0" relativeHeight="251658245" behindDoc="1" locked="1" layoutInCell="1" allowOverlap="1" wp14:anchorId="22E6E15A" wp14:editId="42B5E778">
          <wp:simplePos x="0" y="0"/>
          <wp:positionH relativeFrom="page">
            <wp:posOffset>-45720</wp:posOffset>
          </wp:positionH>
          <wp:positionV relativeFrom="page">
            <wp:posOffset>-7620</wp:posOffset>
          </wp:positionV>
          <wp:extent cx="7589520" cy="2921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3E07A" w14:textId="149DFAED" w:rsidR="005E2670" w:rsidRPr="00040D99" w:rsidRDefault="005E2670" w:rsidP="00AF1C52">
    <w:pPr>
      <w:pStyle w:val="Header-PPOprogrammeinanutshellpage"/>
      <w:rPr>
        <w:noProof/>
      </w:rPr>
    </w:pPr>
    <w:r w:rsidRPr="00040D99">
      <w:rPr>
        <w:noProof/>
      </w:rPr>
      <w:t xml:space="preserve">Programme </w:t>
    </w:r>
    <w:r w:rsidRPr="00040D99">
      <w:t>performance</w:t>
    </w:r>
    <w:r w:rsidRPr="00040D99">
      <w:rPr>
        <w:noProof/>
      </w:rPr>
      <w:t xml:space="preserve"> overview 2022</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9DCDA" w14:textId="4B78C839" w:rsidR="005E2670" w:rsidRDefault="005E2670" w:rsidP="00ED7CA4">
    <w:pPr>
      <w:pStyle w:val="Header"/>
      <w:jc w:val="right"/>
    </w:pPr>
    <w:r w:rsidRPr="005D691E">
      <w:rPr>
        <w:noProof/>
        <w:color w:val="FFFFFF" w:themeColor="background1"/>
      </w:rPr>
      <w:t xml:space="preserve">Programme </w:t>
    </w:r>
    <w:r w:rsidRPr="005D691E">
      <w:rPr>
        <w:color w:val="FFFFFF" w:themeColor="background1"/>
      </w:rPr>
      <w:t>performance</w:t>
    </w:r>
    <w:r w:rsidRPr="005D691E">
      <w:rPr>
        <w:noProof/>
        <w:color w:val="FFFFFF" w:themeColor="background1"/>
      </w:rPr>
      <w:t xml:space="preserve"> overview 2022</w:t>
    </w:r>
    <w:r w:rsidRPr="00040D99">
      <w:rPr>
        <w:noProof/>
        <w:lang w:eastAsia="en-GB"/>
      </w:rPr>
      <w:drawing>
        <wp:anchor distT="0" distB="0" distL="114300" distR="114300" simplePos="0" relativeHeight="251658261" behindDoc="1" locked="1" layoutInCell="1" allowOverlap="1" wp14:anchorId="7E28A9C7" wp14:editId="577DD197">
          <wp:simplePos x="0" y="0"/>
          <wp:positionH relativeFrom="page">
            <wp:posOffset>-19685</wp:posOffset>
          </wp:positionH>
          <wp:positionV relativeFrom="page">
            <wp:posOffset>8890</wp:posOffset>
          </wp:positionV>
          <wp:extent cx="7598410" cy="2423160"/>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583" r="419" b="166"/>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9F9A1" w14:textId="4A1621F6" w:rsidR="005E2670" w:rsidRPr="00040D99" w:rsidRDefault="005E2670" w:rsidP="00AF1C52">
    <w:pPr>
      <w:pStyle w:val="Header-EvenPage"/>
    </w:pPr>
    <w:r w:rsidRPr="00040D99">
      <w:rPr>
        <w:noProof/>
        <w:lang w:eastAsia="en-GB"/>
      </w:rPr>
      <w:drawing>
        <wp:anchor distT="0" distB="0" distL="114300" distR="114300" simplePos="0" relativeHeight="251658252" behindDoc="1" locked="1" layoutInCell="1" allowOverlap="1" wp14:anchorId="25F78D79" wp14:editId="10DE81D9">
          <wp:simplePos x="0" y="0"/>
          <wp:positionH relativeFrom="page">
            <wp:posOffset>-45720</wp:posOffset>
          </wp:positionH>
          <wp:positionV relativeFrom="page">
            <wp:posOffset>-7620</wp:posOffset>
          </wp:positionV>
          <wp:extent cx="7589520" cy="2921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ABC1C" w14:textId="410B2128" w:rsidR="005E2670" w:rsidRPr="00040D99" w:rsidRDefault="005E2670" w:rsidP="00AF1C52">
    <w:pPr>
      <w:pStyle w:val="Header-PPOprogrammeinanutshellpage"/>
      <w:rPr>
        <w:noProof/>
      </w:rPr>
    </w:pPr>
    <w:r w:rsidRPr="00040D99">
      <w:rPr>
        <w:noProof/>
        <w:lang w:eastAsia="en-GB"/>
      </w:rPr>
      <w:drawing>
        <wp:anchor distT="0" distB="0" distL="114300" distR="114300" simplePos="0" relativeHeight="251658251" behindDoc="1" locked="1" layoutInCell="1" allowOverlap="1" wp14:anchorId="540E48D1" wp14:editId="43281C34">
          <wp:simplePos x="0" y="0"/>
          <wp:positionH relativeFrom="page">
            <wp:posOffset>-7620</wp:posOffset>
          </wp:positionH>
          <wp:positionV relativeFrom="page">
            <wp:posOffset>-301625</wp:posOffset>
          </wp:positionV>
          <wp:extent cx="7598410" cy="2423160"/>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583" r="419" b="166"/>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rPr>
        <w:noProof/>
      </w:rPr>
      <w:t xml:space="preserve">Programme </w:t>
    </w:r>
    <w:r w:rsidRPr="00040D99">
      <w:t>performance</w:t>
    </w:r>
    <w:r w:rsidRPr="00040D99">
      <w:rPr>
        <w:noProof/>
      </w:rPr>
      <w:t xml:space="preserve"> overview 2022</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923E7" w14:textId="59B85298" w:rsidR="005E2670" w:rsidRDefault="005E2670">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1C24B" w14:textId="77777777" w:rsidR="005E2670" w:rsidRPr="00102B8C" w:rsidRDefault="005E2670" w:rsidP="00AF1C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B129A" w14:textId="77777777" w:rsidR="005E2670" w:rsidRPr="001130BD" w:rsidRDefault="005E2670" w:rsidP="001130BD">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6EEEF" w14:textId="77777777" w:rsidR="005E2670" w:rsidRPr="00DA010E" w:rsidRDefault="005E2670" w:rsidP="00AF1C52">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E9101" w14:textId="77777777" w:rsidR="005E2670" w:rsidRDefault="005E2670">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8444A" w14:textId="77777777" w:rsidR="005E2670" w:rsidRPr="00040D99" w:rsidRDefault="005E2670" w:rsidP="00AF1C52">
    <w:pPr>
      <w:pStyle w:val="Header-EvenPage"/>
    </w:pPr>
    <w:r w:rsidRPr="00040D99">
      <w:rPr>
        <w:noProof/>
        <w:lang w:eastAsia="en-GB"/>
      </w:rPr>
      <w:drawing>
        <wp:anchor distT="0" distB="0" distL="114300" distR="114300" simplePos="0" relativeHeight="251658253" behindDoc="1" locked="1" layoutInCell="1" allowOverlap="1" wp14:anchorId="3154C2F5" wp14:editId="74CEBD78">
          <wp:simplePos x="0" y="0"/>
          <wp:positionH relativeFrom="page">
            <wp:posOffset>-45720</wp:posOffset>
          </wp:positionH>
          <wp:positionV relativeFrom="page">
            <wp:posOffset>-7620</wp:posOffset>
          </wp:positionV>
          <wp:extent cx="7589520" cy="2921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F2E97" w14:textId="68350B6C" w:rsidR="005E2670" w:rsidRPr="00040D99" w:rsidRDefault="005E2670" w:rsidP="00AF1C52">
    <w:pPr>
      <w:pStyle w:val="Header-PPOprogrammeinanutshellpage"/>
      <w:rPr>
        <w:noProof/>
      </w:rPr>
    </w:pPr>
    <w:r w:rsidRPr="00040D99">
      <w:rPr>
        <w:noProof/>
      </w:rPr>
      <w:t xml:space="preserve">Programme </w:t>
    </w:r>
    <w:r w:rsidRPr="00040D99">
      <w:t>performance</w:t>
    </w:r>
    <w:r w:rsidRPr="00040D99">
      <w:rPr>
        <w:noProof/>
      </w:rPr>
      <w:t xml:space="preserve"> overview 2022</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E28FA" w14:textId="437CBE78" w:rsidR="005E2670" w:rsidRDefault="005E2670" w:rsidP="00ED7CA4">
    <w:pPr>
      <w:pStyle w:val="Header"/>
      <w:jc w:val="right"/>
    </w:pPr>
    <w:r w:rsidRPr="005D691E">
      <w:rPr>
        <w:noProof/>
        <w:color w:val="FFFFFF" w:themeColor="background1"/>
      </w:rPr>
      <w:t xml:space="preserve">Programme </w:t>
    </w:r>
    <w:r w:rsidRPr="005D691E">
      <w:rPr>
        <w:color w:val="FFFFFF" w:themeColor="background1"/>
      </w:rPr>
      <w:t>performance</w:t>
    </w:r>
    <w:r w:rsidRPr="005D691E">
      <w:rPr>
        <w:noProof/>
        <w:color w:val="FFFFFF" w:themeColor="background1"/>
      </w:rPr>
      <w:t xml:space="preserve"> overview 2022</w:t>
    </w:r>
    <w:r w:rsidRPr="00040D99">
      <w:rPr>
        <w:noProof/>
        <w:lang w:eastAsia="en-GB"/>
      </w:rPr>
      <w:drawing>
        <wp:anchor distT="0" distB="0" distL="114300" distR="114300" simplePos="0" relativeHeight="251658267" behindDoc="1" locked="1" layoutInCell="1" allowOverlap="1" wp14:anchorId="2291E8AE" wp14:editId="3A47A8D8">
          <wp:simplePos x="0" y="0"/>
          <wp:positionH relativeFrom="page">
            <wp:posOffset>635</wp:posOffset>
          </wp:positionH>
          <wp:positionV relativeFrom="page">
            <wp:posOffset>-635</wp:posOffset>
          </wp:positionV>
          <wp:extent cx="7598410" cy="2423160"/>
          <wp:effectExtent l="0" t="0" r="254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813" r="419" b="-62"/>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C02CA" w14:textId="77777777" w:rsidR="005E2670" w:rsidRPr="00040D99" w:rsidRDefault="005E2670" w:rsidP="00AF1C52">
    <w:pPr>
      <w:pStyle w:val="Header-EvenPage"/>
    </w:pPr>
    <w:r w:rsidRPr="00040D99">
      <w:rPr>
        <w:noProof/>
        <w:lang w:eastAsia="en-GB"/>
      </w:rPr>
      <w:drawing>
        <wp:anchor distT="0" distB="0" distL="114300" distR="114300" simplePos="0" relativeHeight="251658254" behindDoc="1" locked="1" layoutInCell="1" allowOverlap="1" wp14:anchorId="7F4EDF11" wp14:editId="6A2530DF">
          <wp:simplePos x="0" y="0"/>
          <wp:positionH relativeFrom="page">
            <wp:posOffset>-45720</wp:posOffset>
          </wp:positionH>
          <wp:positionV relativeFrom="page">
            <wp:posOffset>-7620</wp:posOffset>
          </wp:positionV>
          <wp:extent cx="7589520" cy="2921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BA78C" w14:textId="6445B297" w:rsidR="005E2670" w:rsidRPr="00040D99" w:rsidRDefault="005E2670" w:rsidP="00AF1C52">
    <w:pPr>
      <w:pStyle w:val="Header-PPOprogrammeinanutshellpage"/>
      <w:rPr>
        <w:noProof/>
      </w:rPr>
    </w:pPr>
    <w:r w:rsidRPr="00040D99">
      <w:rPr>
        <w:noProof/>
      </w:rPr>
      <w:t xml:space="preserve">Programme </w:t>
    </w:r>
    <w:r w:rsidRPr="00040D99">
      <w:t>performance</w:t>
    </w:r>
    <w:r w:rsidRPr="00040D99">
      <w:rPr>
        <w:noProof/>
      </w:rPr>
      <w:t xml:space="preserve"> overview 2022</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0EC51" w14:textId="753C5A73" w:rsidR="005E2670" w:rsidRDefault="005E2670" w:rsidP="00ED7CA4">
    <w:pPr>
      <w:pStyle w:val="Header"/>
      <w:jc w:val="right"/>
    </w:pPr>
    <w:r w:rsidRPr="005D691E">
      <w:rPr>
        <w:noProof/>
        <w:color w:val="FFFFFF" w:themeColor="background1"/>
      </w:rPr>
      <w:t xml:space="preserve">Programme </w:t>
    </w:r>
    <w:r w:rsidRPr="005D691E">
      <w:rPr>
        <w:color w:val="FFFFFF" w:themeColor="background1"/>
      </w:rPr>
      <w:t>performance</w:t>
    </w:r>
    <w:r w:rsidRPr="005D691E">
      <w:rPr>
        <w:noProof/>
        <w:color w:val="FFFFFF" w:themeColor="background1"/>
      </w:rPr>
      <w:t xml:space="preserve"> overview 2022</w:t>
    </w:r>
    <w:r w:rsidRPr="00040D99">
      <w:rPr>
        <w:noProof/>
        <w:lang w:eastAsia="en-GB"/>
      </w:rPr>
      <w:drawing>
        <wp:anchor distT="0" distB="0" distL="114300" distR="114300" simplePos="0" relativeHeight="251658272" behindDoc="1" locked="1" layoutInCell="1" allowOverlap="1" wp14:anchorId="5AA57FD3" wp14:editId="2FD0C303">
          <wp:simplePos x="0" y="0"/>
          <wp:positionH relativeFrom="page">
            <wp:posOffset>635</wp:posOffset>
          </wp:positionH>
          <wp:positionV relativeFrom="page">
            <wp:posOffset>3810</wp:posOffset>
          </wp:positionV>
          <wp:extent cx="7598410" cy="2423160"/>
          <wp:effectExtent l="0" t="0" r="254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813" r="419" b="-62"/>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7771E" w14:textId="77777777" w:rsidR="005E2670" w:rsidRPr="00040D99" w:rsidRDefault="005E2670" w:rsidP="00AF1C52">
    <w:pPr>
      <w:pStyle w:val="Header-EvenPage"/>
    </w:pPr>
    <w:r w:rsidRPr="00040D99">
      <w:rPr>
        <w:noProof/>
        <w:lang w:eastAsia="en-GB"/>
      </w:rPr>
      <w:drawing>
        <wp:anchor distT="0" distB="0" distL="114300" distR="114300" simplePos="0" relativeHeight="251658255" behindDoc="1" locked="1" layoutInCell="1" allowOverlap="1" wp14:anchorId="58A578FD" wp14:editId="76D6286C">
          <wp:simplePos x="0" y="0"/>
          <wp:positionH relativeFrom="page">
            <wp:posOffset>-45720</wp:posOffset>
          </wp:positionH>
          <wp:positionV relativeFrom="page">
            <wp:posOffset>-7620</wp:posOffset>
          </wp:positionV>
          <wp:extent cx="7589520" cy="2921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96617" w14:textId="19BF8AC7" w:rsidR="005E2670" w:rsidRPr="00040D99" w:rsidRDefault="005E2670" w:rsidP="00AF1C52">
    <w:pPr>
      <w:pStyle w:val="Header-PPOprogrammeinanutshellpage"/>
      <w:rPr>
        <w:noProof/>
      </w:rPr>
    </w:pPr>
    <w:r w:rsidRPr="00040D99">
      <w:rPr>
        <w:noProof/>
      </w:rPr>
      <w:t xml:space="preserve">Programme </w:t>
    </w:r>
    <w:r w:rsidRPr="00040D99">
      <w:t>performance</w:t>
    </w:r>
    <w:r w:rsidRPr="00040D99">
      <w:rPr>
        <w:noProof/>
      </w:rPr>
      <w:t xml:space="preserve"> overview 2022</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D871F" w14:textId="77777777" w:rsidR="005E2670" w:rsidRDefault="005E2670" w:rsidP="004B627A">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7AE94" w14:textId="378DC3CC" w:rsidR="005E2670" w:rsidRDefault="005E2670" w:rsidP="00ED7CA4">
    <w:pPr>
      <w:pStyle w:val="Header"/>
      <w:jc w:val="right"/>
    </w:pPr>
    <w:r w:rsidRPr="005D691E">
      <w:rPr>
        <w:noProof/>
        <w:color w:val="FFFFFF" w:themeColor="background1"/>
      </w:rPr>
      <w:t xml:space="preserve">Programme </w:t>
    </w:r>
    <w:r w:rsidRPr="005D691E">
      <w:rPr>
        <w:color w:val="FFFFFF" w:themeColor="background1"/>
      </w:rPr>
      <w:t>performance</w:t>
    </w:r>
    <w:r w:rsidRPr="005D691E">
      <w:rPr>
        <w:noProof/>
        <w:color w:val="FFFFFF" w:themeColor="background1"/>
      </w:rPr>
      <w:t xml:space="preserve"> overview 2022</w:t>
    </w:r>
    <w:r w:rsidRPr="00040D99">
      <w:rPr>
        <w:noProof/>
        <w:lang w:eastAsia="en-GB"/>
      </w:rPr>
      <w:drawing>
        <wp:anchor distT="0" distB="0" distL="114300" distR="114300" simplePos="0" relativeHeight="251658273" behindDoc="1" locked="1" layoutInCell="1" allowOverlap="1" wp14:anchorId="58EC9FBE" wp14:editId="10D9AB60">
          <wp:simplePos x="0" y="0"/>
          <wp:positionH relativeFrom="page">
            <wp:posOffset>635</wp:posOffset>
          </wp:positionH>
          <wp:positionV relativeFrom="page">
            <wp:posOffset>3810</wp:posOffset>
          </wp:positionV>
          <wp:extent cx="7598410" cy="2423160"/>
          <wp:effectExtent l="0" t="0" r="254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813" r="419" b="-62"/>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8DEBA" w14:textId="77777777" w:rsidR="005E2670" w:rsidRPr="00040D99" w:rsidRDefault="005E2670" w:rsidP="00AF1C52">
    <w:pPr>
      <w:pStyle w:val="Header-EvenPage"/>
    </w:pPr>
    <w:r w:rsidRPr="00040D99">
      <w:rPr>
        <w:noProof/>
        <w:lang w:eastAsia="en-GB"/>
      </w:rPr>
      <w:drawing>
        <wp:anchor distT="0" distB="0" distL="114300" distR="114300" simplePos="0" relativeHeight="251658256" behindDoc="1" locked="1" layoutInCell="1" allowOverlap="1" wp14:anchorId="63E2F69B" wp14:editId="09904A56">
          <wp:simplePos x="0" y="0"/>
          <wp:positionH relativeFrom="page">
            <wp:posOffset>-45720</wp:posOffset>
          </wp:positionH>
          <wp:positionV relativeFrom="page">
            <wp:posOffset>-7620</wp:posOffset>
          </wp:positionV>
          <wp:extent cx="7589520" cy="2921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F8E6C" w14:textId="76FD39F0" w:rsidR="005E2670" w:rsidRPr="00040D99" w:rsidRDefault="005E2670" w:rsidP="00AF1C52">
    <w:pPr>
      <w:pStyle w:val="Header-PPOprogrammeinanutshellpage"/>
      <w:rPr>
        <w:noProof/>
      </w:rPr>
    </w:pPr>
    <w:r w:rsidRPr="00040D99">
      <w:rPr>
        <w:noProof/>
      </w:rPr>
      <w:t xml:space="preserve">Programme </w:t>
    </w:r>
    <w:r w:rsidRPr="00040D99">
      <w:t>performance</w:t>
    </w:r>
    <w:r w:rsidRPr="00040D99">
      <w:rPr>
        <w:noProof/>
      </w:rPr>
      <w:t xml:space="preserve"> overview 2022</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05AA7" w14:textId="42A70ACD" w:rsidR="005E2670" w:rsidRDefault="005E2670" w:rsidP="00ED7CA4">
    <w:pPr>
      <w:pStyle w:val="Header"/>
      <w:tabs>
        <w:tab w:val="clear" w:pos="4150"/>
        <w:tab w:val="clear" w:pos="8306"/>
        <w:tab w:val="left" w:pos="1815"/>
      </w:tabs>
      <w:jc w:val="right"/>
    </w:pPr>
    <w:r w:rsidRPr="005D691E">
      <w:rPr>
        <w:noProof/>
        <w:color w:val="FFFFFF" w:themeColor="background1"/>
      </w:rPr>
      <w:t xml:space="preserve">Programme </w:t>
    </w:r>
    <w:r w:rsidRPr="005D691E">
      <w:rPr>
        <w:color w:val="FFFFFF" w:themeColor="background1"/>
      </w:rPr>
      <w:t>performance</w:t>
    </w:r>
    <w:r w:rsidRPr="005D691E">
      <w:rPr>
        <w:noProof/>
        <w:color w:val="FFFFFF" w:themeColor="background1"/>
      </w:rPr>
      <w:t xml:space="preserve"> overview 2022</w:t>
    </w:r>
    <w:r w:rsidRPr="00040D99">
      <w:rPr>
        <w:noProof/>
        <w:lang w:eastAsia="en-GB"/>
      </w:rPr>
      <w:drawing>
        <wp:anchor distT="0" distB="0" distL="114300" distR="114300" simplePos="0" relativeHeight="251658278" behindDoc="1" locked="1" layoutInCell="1" allowOverlap="1" wp14:anchorId="78B24801" wp14:editId="7F806B27">
          <wp:simplePos x="0" y="0"/>
          <wp:positionH relativeFrom="page">
            <wp:posOffset>-2540</wp:posOffset>
          </wp:positionH>
          <wp:positionV relativeFrom="page">
            <wp:posOffset>3810</wp:posOffset>
          </wp:positionV>
          <wp:extent cx="7598410" cy="2423160"/>
          <wp:effectExtent l="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813" r="419" b="-62"/>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62DD4" w14:textId="77777777" w:rsidR="005E2670" w:rsidRPr="00040D99" w:rsidRDefault="005E2670" w:rsidP="00AF1C52">
    <w:pPr>
      <w:pStyle w:val="Header-EvenPage"/>
    </w:pPr>
    <w:r w:rsidRPr="00040D99">
      <w:rPr>
        <w:noProof/>
        <w:lang w:eastAsia="en-GB"/>
      </w:rPr>
      <w:drawing>
        <wp:anchor distT="0" distB="0" distL="114300" distR="114300" simplePos="0" relativeHeight="251658257" behindDoc="1" locked="1" layoutInCell="1" allowOverlap="1" wp14:anchorId="6FAFCC16" wp14:editId="7C9BB3EC">
          <wp:simplePos x="0" y="0"/>
          <wp:positionH relativeFrom="page">
            <wp:posOffset>-45720</wp:posOffset>
          </wp:positionH>
          <wp:positionV relativeFrom="page">
            <wp:posOffset>-7620</wp:posOffset>
          </wp:positionV>
          <wp:extent cx="7589520" cy="2921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0062E" w14:textId="6B42FB32" w:rsidR="005E2670" w:rsidRPr="00040D99" w:rsidRDefault="005E2670" w:rsidP="00AF1C52">
    <w:pPr>
      <w:pStyle w:val="Header-PPOprogrammeinanutshellpage"/>
      <w:rPr>
        <w:noProof/>
      </w:rPr>
    </w:pPr>
    <w:r w:rsidRPr="00040D99">
      <w:rPr>
        <w:noProof/>
      </w:rPr>
      <w:t xml:space="preserve">Programme </w:t>
    </w:r>
    <w:r w:rsidRPr="00040D99">
      <w:t>performance</w:t>
    </w:r>
    <w:r w:rsidRPr="00040D99">
      <w:rPr>
        <w:noProof/>
      </w:rPr>
      <w:t xml:space="preserve"> overview 2022</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CBB12" w14:textId="45C75855" w:rsidR="005E2670" w:rsidRDefault="005E2670" w:rsidP="00ED7CA4">
    <w:pPr>
      <w:pStyle w:val="Header"/>
      <w:jc w:val="right"/>
    </w:pPr>
    <w:r w:rsidRPr="005D691E">
      <w:rPr>
        <w:noProof/>
        <w:color w:val="FFFFFF" w:themeColor="background1"/>
      </w:rPr>
      <w:t xml:space="preserve">Programme </w:t>
    </w:r>
    <w:r w:rsidRPr="005D691E">
      <w:rPr>
        <w:color w:val="FFFFFF" w:themeColor="background1"/>
      </w:rPr>
      <w:t>performance</w:t>
    </w:r>
    <w:r w:rsidRPr="005D691E">
      <w:rPr>
        <w:noProof/>
        <w:color w:val="FFFFFF" w:themeColor="background1"/>
      </w:rPr>
      <w:t xml:space="preserve"> overview 2022</w:t>
    </w:r>
    <w:r w:rsidRPr="00040D99">
      <w:rPr>
        <w:noProof/>
        <w:lang w:eastAsia="en-GB"/>
      </w:rPr>
      <w:drawing>
        <wp:anchor distT="0" distB="0" distL="114300" distR="114300" simplePos="0" relativeHeight="251658287" behindDoc="1" locked="1" layoutInCell="1" allowOverlap="1" wp14:anchorId="745FB1EA" wp14:editId="7C524F34">
          <wp:simplePos x="0" y="0"/>
          <wp:positionH relativeFrom="page">
            <wp:posOffset>11430</wp:posOffset>
          </wp:positionH>
          <wp:positionV relativeFrom="page">
            <wp:posOffset>3810</wp:posOffset>
          </wp:positionV>
          <wp:extent cx="7598410" cy="2423160"/>
          <wp:effectExtent l="0" t="0" r="254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813" r="419" b="-62"/>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DAEF9" w14:textId="77777777" w:rsidR="005E2670" w:rsidRPr="00040D99" w:rsidRDefault="005E2670" w:rsidP="00B202C2">
    <w:pPr>
      <w:pStyle w:val="Header-EvenPage"/>
    </w:pPr>
    <w:r w:rsidRPr="00040D99">
      <w:rPr>
        <w:noProof/>
        <w:lang w:eastAsia="en-GB"/>
      </w:rPr>
      <w:drawing>
        <wp:anchor distT="0" distB="0" distL="114300" distR="114300" simplePos="0" relativeHeight="251658258" behindDoc="1" locked="1" layoutInCell="1" allowOverlap="1" wp14:anchorId="183BC129" wp14:editId="7CB5826F">
          <wp:simplePos x="0" y="0"/>
          <wp:positionH relativeFrom="page">
            <wp:posOffset>-45720</wp:posOffset>
          </wp:positionH>
          <wp:positionV relativeFrom="page">
            <wp:posOffset>-7620</wp:posOffset>
          </wp:positionV>
          <wp:extent cx="7589520" cy="2921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7534D" w14:textId="6F27A6E1" w:rsidR="005E2670" w:rsidRPr="00040D99" w:rsidRDefault="005E2670" w:rsidP="00B202C2">
    <w:pPr>
      <w:pStyle w:val="Header-PPOprogrammeinanutshellpage"/>
      <w:rPr>
        <w:noProof/>
      </w:rPr>
    </w:pPr>
    <w:r w:rsidRPr="00040D99">
      <w:rPr>
        <w:noProof/>
      </w:rPr>
      <w:t xml:space="preserve">Programme </w:t>
    </w:r>
    <w:r w:rsidRPr="00040D99">
      <w:t>performance</w:t>
    </w:r>
    <w:r w:rsidRPr="00040D99">
      <w:rPr>
        <w:noProof/>
      </w:rPr>
      <w:t xml:space="preserve"> overview 2022</w: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7B773" w14:textId="02FE0DF2" w:rsidR="005E2670" w:rsidRDefault="005E2670" w:rsidP="00ED7CA4">
    <w:pPr>
      <w:pStyle w:val="Header"/>
      <w:jc w:val="right"/>
    </w:pPr>
    <w:r w:rsidRPr="005D691E">
      <w:rPr>
        <w:noProof/>
        <w:color w:val="FFFFFF" w:themeColor="background1"/>
      </w:rPr>
      <w:t xml:space="preserve">Programme </w:t>
    </w:r>
    <w:r w:rsidRPr="005D691E">
      <w:rPr>
        <w:color w:val="FFFFFF" w:themeColor="background1"/>
      </w:rPr>
      <w:t>performance</w:t>
    </w:r>
    <w:r w:rsidRPr="005D691E">
      <w:rPr>
        <w:noProof/>
        <w:color w:val="FFFFFF" w:themeColor="background1"/>
      </w:rPr>
      <w:t xml:space="preserve"> overview 2022</w:t>
    </w:r>
    <w:r w:rsidRPr="00040D99">
      <w:rPr>
        <w:noProof/>
        <w:lang w:eastAsia="en-GB"/>
      </w:rPr>
      <w:drawing>
        <wp:anchor distT="0" distB="0" distL="114300" distR="114300" simplePos="0" relativeHeight="251658295" behindDoc="1" locked="1" layoutInCell="1" allowOverlap="1" wp14:anchorId="631855B4" wp14:editId="5A59E8F7">
          <wp:simplePos x="0" y="0"/>
          <wp:positionH relativeFrom="page">
            <wp:posOffset>-13970</wp:posOffset>
          </wp:positionH>
          <wp:positionV relativeFrom="page">
            <wp:posOffset>-11430</wp:posOffset>
          </wp:positionV>
          <wp:extent cx="7598410" cy="2423160"/>
          <wp:effectExtent l="0" t="0" r="254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813" r="419" b="-62"/>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E0F10" w14:textId="77777777" w:rsidR="005E2670" w:rsidRPr="00040D99" w:rsidRDefault="005E2670" w:rsidP="00D26688">
    <w:pPr>
      <w:pStyle w:val="Header-EvenPage"/>
    </w:pPr>
    <w:r w:rsidRPr="00040D99">
      <w:rPr>
        <w:noProof/>
        <w:lang w:eastAsia="en-GB"/>
      </w:rPr>
      <w:drawing>
        <wp:anchor distT="0" distB="0" distL="114300" distR="114300" simplePos="0" relativeHeight="251658333" behindDoc="1" locked="1" layoutInCell="1" allowOverlap="1" wp14:anchorId="34B4C250" wp14:editId="158F4750">
          <wp:simplePos x="0" y="0"/>
          <wp:positionH relativeFrom="page">
            <wp:posOffset>-45720</wp:posOffset>
          </wp:positionH>
          <wp:positionV relativeFrom="page">
            <wp:posOffset>-7620</wp:posOffset>
          </wp:positionV>
          <wp:extent cx="7589520" cy="2921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80DAE" w14:textId="77777777" w:rsidR="005E2670" w:rsidRPr="00040D99" w:rsidRDefault="005E2670" w:rsidP="00B202C2">
    <w:pPr>
      <w:pStyle w:val="Header-EvenPage"/>
    </w:pPr>
    <w:r w:rsidRPr="00040D99">
      <w:rPr>
        <w:noProof/>
        <w:lang w:eastAsia="en-GB"/>
      </w:rPr>
      <w:drawing>
        <wp:anchor distT="0" distB="0" distL="114300" distR="114300" simplePos="0" relativeHeight="251658260" behindDoc="1" locked="1" layoutInCell="1" allowOverlap="1" wp14:anchorId="27ADA794" wp14:editId="464B2352">
          <wp:simplePos x="0" y="0"/>
          <wp:positionH relativeFrom="page">
            <wp:posOffset>-45720</wp:posOffset>
          </wp:positionH>
          <wp:positionV relativeFrom="page">
            <wp:posOffset>-7620</wp:posOffset>
          </wp:positionV>
          <wp:extent cx="7589520" cy="2921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EC282" w14:textId="6213C2AE" w:rsidR="005E2670" w:rsidRPr="00040D99" w:rsidRDefault="005E2670" w:rsidP="00B202C2">
    <w:pPr>
      <w:pStyle w:val="Header-PPOprogrammeinanutshellpage"/>
      <w:rPr>
        <w:noProof/>
      </w:rPr>
    </w:pPr>
    <w:r w:rsidRPr="00040D99">
      <w:rPr>
        <w:noProof/>
      </w:rPr>
      <w:t xml:space="preserve">Programme </w:t>
    </w:r>
    <w:r w:rsidRPr="00040D99">
      <w:t>performance</w:t>
    </w:r>
    <w:r w:rsidRPr="00040D99">
      <w:rPr>
        <w:noProof/>
      </w:rPr>
      <w:t xml:space="preserve"> overview 2022</w: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98827" w14:textId="633DCEBA" w:rsidR="005E2670" w:rsidRDefault="005E2670" w:rsidP="00ED7CA4">
    <w:pPr>
      <w:pStyle w:val="Header"/>
      <w:jc w:val="right"/>
    </w:pPr>
    <w:r w:rsidRPr="005D691E">
      <w:rPr>
        <w:noProof/>
        <w:color w:val="FFFFFF" w:themeColor="background1"/>
      </w:rPr>
      <w:t xml:space="preserve">Programme </w:t>
    </w:r>
    <w:r w:rsidRPr="005D691E">
      <w:rPr>
        <w:color w:val="FFFFFF" w:themeColor="background1"/>
      </w:rPr>
      <w:t>performance</w:t>
    </w:r>
    <w:r w:rsidRPr="005D691E">
      <w:rPr>
        <w:noProof/>
        <w:color w:val="FFFFFF" w:themeColor="background1"/>
      </w:rPr>
      <w:t xml:space="preserve"> overview 2022</w:t>
    </w:r>
    <w:r w:rsidRPr="00040D99">
      <w:rPr>
        <w:noProof/>
        <w:lang w:eastAsia="en-GB"/>
      </w:rPr>
      <w:drawing>
        <wp:anchor distT="0" distB="0" distL="114300" distR="114300" simplePos="0" relativeHeight="251658302" behindDoc="1" locked="1" layoutInCell="1" allowOverlap="1" wp14:anchorId="15BB560A" wp14:editId="4B96E797">
          <wp:simplePos x="0" y="0"/>
          <wp:positionH relativeFrom="page">
            <wp:posOffset>-19685</wp:posOffset>
          </wp:positionH>
          <wp:positionV relativeFrom="page">
            <wp:posOffset>8890</wp:posOffset>
          </wp:positionV>
          <wp:extent cx="7598410" cy="2423160"/>
          <wp:effectExtent l="0" t="0" r="254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813" r="419" b="-62"/>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9C09D" w14:textId="77777777" w:rsidR="005E2670" w:rsidRPr="00040D99" w:rsidRDefault="005E2670" w:rsidP="00B202C2">
    <w:pPr>
      <w:pStyle w:val="Header-EvenPage"/>
    </w:pPr>
    <w:r w:rsidRPr="00040D99">
      <w:rPr>
        <w:noProof/>
        <w:lang w:eastAsia="en-GB"/>
      </w:rPr>
      <w:drawing>
        <wp:anchor distT="0" distB="0" distL="114300" distR="114300" simplePos="0" relativeHeight="251658262" behindDoc="1" locked="1" layoutInCell="1" allowOverlap="1" wp14:anchorId="59393E09" wp14:editId="773F6DC9">
          <wp:simplePos x="0" y="0"/>
          <wp:positionH relativeFrom="page">
            <wp:posOffset>-45720</wp:posOffset>
          </wp:positionH>
          <wp:positionV relativeFrom="page">
            <wp:posOffset>-7620</wp:posOffset>
          </wp:positionV>
          <wp:extent cx="7589520" cy="2921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C7A71" w14:textId="475A32DB" w:rsidR="005E2670" w:rsidRPr="00040D99" w:rsidRDefault="005E2670" w:rsidP="00B202C2">
    <w:pPr>
      <w:pStyle w:val="Header-PPOprogrammeinanutshellpage"/>
      <w:rPr>
        <w:noProof/>
      </w:rPr>
    </w:pPr>
    <w:r w:rsidRPr="00040D99">
      <w:rPr>
        <w:noProof/>
      </w:rPr>
      <w:t xml:space="preserve">Programme </w:t>
    </w:r>
    <w:r w:rsidRPr="00040D99">
      <w:t>performance</w:t>
    </w:r>
    <w:r w:rsidRPr="00040D99">
      <w:rPr>
        <w:noProof/>
      </w:rPr>
      <w:t xml:space="preserve"> overview 2022</w: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DAEEC" w14:textId="1EFD96EF" w:rsidR="005E2670" w:rsidRDefault="005E2670" w:rsidP="00ED7CA4">
    <w:pPr>
      <w:pStyle w:val="Header"/>
      <w:tabs>
        <w:tab w:val="clear" w:pos="4150"/>
        <w:tab w:val="clear" w:pos="8306"/>
        <w:tab w:val="left" w:pos="1898"/>
      </w:tabs>
      <w:jc w:val="right"/>
    </w:pPr>
    <w:r w:rsidRPr="005D691E">
      <w:rPr>
        <w:noProof/>
        <w:color w:val="FFFFFF" w:themeColor="background1"/>
      </w:rPr>
      <w:t xml:space="preserve">Programme </w:t>
    </w:r>
    <w:r w:rsidRPr="005D691E">
      <w:rPr>
        <w:color w:val="FFFFFF" w:themeColor="background1"/>
      </w:rPr>
      <w:t>performance</w:t>
    </w:r>
    <w:r w:rsidRPr="005D691E">
      <w:rPr>
        <w:noProof/>
        <w:color w:val="FFFFFF" w:themeColor="background1"/>
      </w:rPr>
      <w:t xml:space="preserve"> overview 2022</w:t>
    </w:r>
    <w:r w:rsidRPr="00040D99">
      <w:rPr>
        <w:noProof/>
        <w:lang w:eastAsia="en-GB"/>
      </w:rPr>
      <w:drawing>
        <wp:anchor distT="0" distB="0" distL="114300" distR="114300" simplePos="0" relativeHeight="251658307" behindDoc="1" locked="1" layoutInCell="1" allowOverlap="1" wp14:anchorId="7242B3A2" wp14:editId="5763A15E">
          <wp:simplePos x="0" y="0"/>
          <wp:positionH relativeFrom="page">
            <wp:posOffset>6350</wp:posOffset>
          </wp:positionH>
          <wp:positionV relativeFrom="page">
            <wp:posOffset>-48260</wp:posOffset>
          </wp:positionV>
          <wp:extent cx="7598410" cy="2423160"/>
          <wp:effectExtent l="0" t="0" r="254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813" r="419" b="-62"/>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7BD5B" w14:textId="77777777" w:rsidR="005E2670" w:rsidRPr="00040D99" w:rsidRDefault="005E2670" w:rsidP="00B202C2">
    <w:pPr>
      <w:pStyle w:val="Header-EvenPage"/>
    </w:pPr>
    <w:r w:rsidRPr="00040D99">
      <w:rPr>
        <w:noProof/>
        <w:lang w:eastAsia="en-GB"/>
      </w:rPr>
      <w:drawing>
        <wp:anchor distT="0" distB="0" distL="114300" distR="114300" simplePos="0" relativeHeight="251658263" behindDoc="1" locked="1" layoutInCell="1" allowOverlap="1" wp14:anchorId="0BB6D160" wp14:editId="24327BFA">
          <wp:simplePos x="0" y="0"/>
          <wp:positionH relativeFrom="page">
            <wp:posOffset>-45720</wp:posOffset>
          </wp:positionH>
          <wp:positionV relativeFrom="page">
            <wp:posOffset>-7620</wp:posOffset>
          </wp:positionV>
          <wp:extent cx="7589520" cy="2921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9E4B4" w14:textId="78FC2AB5" w:rsidR="005E2670" w:rsidRPr="00040D99" w:rsidRDefault="005E2670" w:rsidP="00B202C2">
    <w:pPr>
      <w:pStyle w:val="Header-PPOprogrammeinanutshellpage"/>
      <w:rPr>
        <w:noProof/>
      </w:rPr>
    </w:pPr>
    <w:r w:rsidRPr="00040D99">
      <w:rPr>
        <w:noProof/>
      </w:rPr>
      <w:t xml:space="preserve">Programme </w:t>
    </w:r>
    <w:r w:rsidRPr="00040D99">
      <w:t>performance</w:t>
    </w:r>
    <w:r w:rsidRPr="00040D99">
      <w:rPr>
        <w:noProof/>
      </w:rPr>
      <w:t xml:space="preserve"> overview 2022</w: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DCF68" w14:textId="10109039" w:rsidR="005E2670" w:rsidRDefault="005E2670" w:rsidP="00ED7CA4">
    <w:pPr>
      <w:pStyle w:val="Header"/>
      <w:jc w:val="right"/>
    </w:pPr>
    <w:r w:rsidRPr="005D691E">
      <w:rPr>
        <w:noProof/>
        <w:color w:val="FFFFFF" w:themeColor="background1"/>
      </w:rPr>
      <w:t xml:space="preserve">Programme </w:t>
    </w:r>
    <w:r w:rsidRPr="005D691E">
      <w:rPr>
        <w:color w:val="FFFFFF" w:themeColor="background1"/>
      </w:rPr>
      <w:t>performance</w:t>
    </w:r>
    <w:r w:rsidRPr="005D691E">
      <w:rPr>
        <w:noProof/>
        <w:color w:val="FFFFFF" w:themeColor="background1"/>
      </w:rPr>
      <w:t xml:space="preserve"> overview 2022</w:t>
    </w:r>
    <w:r w:rsidRPr="00040D99">
      <w:rPr>
        <w:noProof/>
        <w:lang w:eastAsia="en-GB"/>
      </w:rPr>
      <w:drawing>
        <wp:anchor distT="0" distB="0" distL="114300" distR="114300" simplePos="0" relativeHeight="251658310" behindDoc="1" locked="1" layoutInCell="1" allowOverlap="1" wp14:anchorId="2BEDD557" wp14:editId="3FCADDB8">
          <wp:simplePos x="0" y="0"/>
          <wp:positionH relativeFrom="page">
            <wp:posOffset>635</wp:posOffset>
          </wp:positionH>
          <wp:positionV relativeFrom="page">
            <wp:posOffset>3810</wp:posOffset>
          </wp:positionV>
          <wp:extent cx="7598410" cy="2423160"/>
          <wp:effectExtent l="0" t="0" r="254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813" r="419" b="-62"/>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6F30E" w14:textId="77777777" w:rsidR="005E2670" w:rsidRPr="00040D99" w:rsidRDefault="005E2670" w:rsidP="00B202C2">
    <w:pPr>
      <w:pStyle w:val="Header-EvenPage"/>
    </w:pPr>
    <w:r w:rsidRPr="00040D99">
      <w:rPr>
        <w:noProof/>
        <w:color w:val="2B579A"/>
        <w:shd w:val="clear" w:color="auto" w:fill="E6E6E6"/>
        <w:lang w:eastAsia="en-GB"/>
      </w:rPr>
      <w:drawing>
        <wp:anchor distT="0" distB="0" distL="114300" distR="114300" simplePos="0" relativeHeight="251658266" behindDoc="1" locked="1" layoutInCell="1" allowOverlap="1" wp14:anchorId="222444CA" wp14:editId="64A8A2A6">
          <wp:simplePos x="0" y="0"/>
          <wp:positionH relativeFrom="page">
            <wp:posOffset>-45720</wp:posOffset>
          </wp:positionH>
          <wp:positionV relativeFrom="page">
            <wp:posOffset>-7620</wp:posOffset>
          </wp:positionV>
          <wp:extent cx="7589520" cy="2921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64C32" w14:textId="77777777" w:rsidR="005E2670" w:rsidRPr="001130BD" w:rsidRDefault="005E2670" w:rsidP="001130BD">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463F9" w14:textId="77777777" w:rsidR="005E2670" w:rsidRPr="00040D99" w:rsidRDefault="005E2670" w:rsidP="00B202C2">
    <w:pPr>
      <w:pStyle w:val="Header-PPOprogrammeinanutshellpage"/>
      <w:rPr>
        <w:noProof/>
      </w:rPr>
    </w:pPr>
    <w:r w:rsidRPr="00040D99">
      <w:rPr>
        <w:noProof/>
        <w:color w:val="2B579A"/>
        <w:shd w:val="clear" w:color="auto" w:fill="E6E6E6"/>
        <w:lang w:eastAsia="en-GB"/>
      </w:rPr>
      <w:drawing>
        <wp:anchor distT="0" distB="0" distL="114300" distR="114300" simplePos="0" relativeHeight="251658265" behindDoc="1" locked="1" layoutInCell="1" allowOverlap="1" wp14:anchorId="2B3046A1" wp14:editId="3474AD19">
          <wp:simplePos x="0" y="0"/>
          <wp:positionH relativeFrom="page">
            <wp:posOffset>-7620</wp:posOffset>
          </wp:positionH>
          <wp:positionV relativeFrom="page">
            <wp:posOffset>-301625</wp:posOffset>
          </wp:positionV>
          <wp:extent cx="7598410" cy="2423160"/>
          <wp:effectExtent l="0" t="0" r="254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813" r="419" b="-62"/>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rPr>
        <w:noProof/>
      </w:rPr>
      <w:t xml:space="preserve">Programme </w:t>
    </w:r>
    <w:r w:rsidRPr="00040D99">
      <w:t>performance</w:t>
    </w:r>
    <w:r w:rsidRPr="00040D99">
      <w:rPr>
        <w:noProof/>
      </w:rPr>
      <w:t xml:space="preserve"> overview 2022</w: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6B5C8" w14:textId="77777777" w:rsidR="005E2670" w:rsidRDefault="005E2670">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8FA47" w14:textId="77777777" w:rsidR="005E2670" w:rsidRPr="00102B8C" w:rsidRDefault="005E2670" w:rsidP="00B202C2">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6756C" w14:textId="77777777" w:rsidR="005E2670" w:rsidRPr="00DA010E" w:rsidRDefault="005E2670" w:rsidP="00B202C2">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6232" w14:textId="77777777" w:rsidR="005E2670" w:rsidRDefault="005E2670">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D6E9B" w14:textId="77777777" w:rsidR="005E2670" w:rsidRPr="00040D99" w:rsidRDefault="005E2670" w:rsidP="00B202C2">
    <w:pPr>
      <w:pStyle w:val="Header-EvenPage"/>
    </w:pPr>
    <w:r w:rsidRPr="00040D99">
      <w:rPr>
        <w:noProof/>
        <w:lang w:eastAsia="en-GB"/>
      </w:rPr>
      <w:drawing>
        <wp:anchor distT="0" distB="0" distL="114300" distR="114300" simplePos="0" relativeHeight="251658269" behindDoc="1" locked="1" layoutInCell="1" allowOverlap="1" wp14:anchorId="0C6DD2EF" wp14:editId="7B21560B">
          <wp:simplePos x="0" y="0"/>
          <wp:positionH relativeFrom="page">
            <wp:posOffset>-45720</wp:posOffset>
          </wp:positionH>
          <wp:positionV relativeFrom="page">
            <wp:posOffset>-7620</wp:posOffset>
          </wp:positionV>
          <wp:extent cx="7589520" cy="2921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DC92B" w14:textId="77777777" w:rsidR="005E2670" w:rsidRPr="00040D99" w:rsidRDefault="005E2670" w:rsidP="00B202C2">
    <w:pPr>
      <w:pStyle w:val="Header-PPOprogrammeinanutshellpage"/>
      <w:rPr>
        <w:noProof/>
      </w:rPr>
    </w:pPr>
    <w:r w:rsidRPr="00040D99">
      <w:rPr>
        <w:noProof/>
        <w:lang w:eastAsia="en-GB"/>
      </w:rPr>
      <w:drawing>
        <wp:anchor distT="0" distB="0" distL="114300" distR="114300" simplePos="0" relativeHeight="251658268" behindDoc="1" locked="1" layoutInCell="1" allowOverlap="1" wp14:anchorId="36D00C66" wp14:editId="48EEEC84">
          <wp:simplePos x="0" y="0"/>
          <wp:positionH relativeFrom="page">
            <wp:posOffset>-7620</wp:posOffset>
          </wp:positionH>
          <wp:positionV relativeFrom="page">
            <wp:posOffset>-301625</wp:posOffset>
          </wp:positionV>
          <wp:extent cx="7598410" cy="2423160"/>
          <wp:effectExtent l="0" t="0" r="254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813" r="419" b="-62"/>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rPr>
        <w:noProof/>
      </w:rPr>
      <w:t xml:space="preserve">Programme </w:t>
    </w:r>
    <w:r w:rsidRPr="00040D99">
      <w:t>performance</w:t>
    </w:r>
    <w:r w:rsidRPr="00040D99">
      <w:rPr>
        <w:noProof/>
      </w:rPr>
      <w:t xml:space="preserve"> overview 2022</w: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98ACE" w14:textId="77777777" w:rsidR="005E2670" w:rsidRDefault="005E2670">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9653E" w14:textId="77777777" w:rsidR="005E2670" w:rsidRPr="00102B8C" w:rsidRDefault="005E2670" w:rsidP="00B202C2">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263C1" w14:textId="77777777" w:rsidR="005E2670" w:rsidRPr="00DA010E" w:rsidRDefault="005E2670" w:rsidP="00B202C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46DD8" w14:textId="77777777" w:rsidR="005E2670" w:rsidRDefault="005E2670" w:rsidP="004B627A">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190F4" w14:textId="77777777" w:rsidR="005E2670" w:rsidRDefault="005E2670">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98344" w14:textId="77777777" w:rsidR="005E2670" w:rsidRPr="00040D99" w:rsidRDefault="005E2670" w:rsidP="00B202C2">
    <w:pPr>
      <w:pStyle w:val="Header-EvenPage"/>
    </w:pPr>
    <w:r w:rsidRPr="00040D99">
      <w:rPr>
        <w:noProof/>
        <w:lang w:eastAsia="en-GB"/>
      </w:rPr>
      <w:drawing>
        <wp:anchor distT="0" distB="0" distL="114300" distR="114300" simplePos="0" relativeHeight="251658274" behindDoc="1" locked="1" layoutInCell="1" allowOverlap="1" wp14:anchorId="10FF5F5F" wp14:editId="10F45BFF">
          <wp:simplePos x="0" y="0"/>
          <wp:positionH relativeFrom="page">
            <wp:posOffset>-45720</wp:posOffset>
          </wp:positionH>
          <wp:positionV relativeFrom="page">
            <wp:posOffset>-7620</wp:posOffset>
          </wp:positionV>
          <wp:extent cx="7589520" cy="2921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FF48E" w14:textId="77777777" w:rsidR="005E2670" w:rsidRPr="00040D99" w:rsidRDefault="005E2670" w:rsidP="00B202C2">
    <w:pPr>
      <w:pStyle w:val="Header-PPOprogrammeinanutshellpage"/>
      <w:rPr>
        <w:noProof/>
      </w:rPr>
    </w:pPr>
    <w:r w:rsidRPr="00040D99">
      <w:rPr>
        <w:noProof/>
        <w:lang w:eastAsia="en-GB"/>
      </w:rPr>
      <w:drawing>
        <wp:anchor distT="0" distB="0" distL="114300" distR="114300" simplePos="0" relativeHeight="251658271" behindDoc="1" locked="1" layoutInCell="1" allowOverlap="1" wp14:anchorId="395E9FF3" wp14:editId="097A0987">
          <wp:simplePos x="0" y="0"/>
          <wp:positionH relativeFrom="page">
            <wp:posOffset>-7620</wp:posOffset>
          </wp:positionH>
          <wp:positionV relativeFrom="page">
            <wp:posOffset>-301625</wp:posOffset>
          </wp:positionV>
          <wp:extent cx="7598410" cy="2423160"/>
          <wp:effectExtent l="0" t="0" r="254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813" r="419" b="-62"/>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rPr>
        <w:noProof/>
      </w:rPr>
      <w:t xml:space="preserve">Programme </w:t>
    </w:r>
    <w:r w:rsidRPr="00040D99">
      <w:t>performance</w:t>
    </w:r>
    <w:r w:rsidRPr="00040D99">
      <w:rPr>
        <w:noProof/>
      </w:rPr>
      <w:t xml:space="preserve"> overview 2022</w: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66136" w14:textId="77777777" w:rsidR="005E2670" w:rsidRDefault="005E2670">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D4D8C" w14:textId="77777777" w:rsidR="005E2670" w:rsidRPr="00102B8C" w:rsidRDefault="005E2670" w:rsidP="00B202C2">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122DF" w14:textId="77777777" w:rsidR="005E2670" w:rsidRPr="00DA010E" w:rsidRDefault="005E2670" w:rsidP="00B202C2">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3CC56" w14:textId="77777777" w:rsidR="005E2670" w:rsidRDefault="005E2670">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6986B" w14:textId="77777777" w:rsidR="005E2670" w:rsidRPr="00040D99" w:rsidRDefault="005E2670" w:rsidP="0083214A">
    <w:pPr>
      <w:pStyle w:val="Header-EvenPage"/>
    </w:pPr>
    <w:r w:rsidRPr="00040D99">
      <w:rPr>
        <w:noProof/>
        <w:lang w:eastAsia="en-GB"/>
      </w:rPr>
      <w:drawing>
        <wp:anchor distT="0" distB="0" distL="114300" distR="114300" simplePos="0" relativeHeight="251658281" behindDoc="1" locked="1" layoutInCell="1" allowOverlap="1" wp14:anchorId="45AE369A" wp14:editId="29CC22E3">
          <wp:simplePos x="0" y="0"/>
          <wp:positionH relativeFrom="page">
            <wp:posOffset>-45720</wp:posOffset>
          </wp:positionH>
          <wp:positionV relativeFrom="page">
            <wp:posOffset>-7620</wp:posOffset>
          </wp:positionV>
          <wp:extent cx="7589520" cy="2921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over-02-01.png"/>
                  <pic:cNvPicPr/>
                </pic:nvPicPr>
                <pic:blipFill rotWithShape="1">
                  <a:blip r:embed="rId1">
                    <a:extLst>
                      <a:ext uri="{28A0092B-C50C-407E-A947-70E740481C1C}">
                        <a14:useLocalDpi xmlns:a14="http://schemas.microsoft.com/office/drawing/2010/main" val="0"/>
                      </a:ext>
                    </a:extLst>
                  </a:blip>
                  <a:srcRect l="3667" t="3023" r="4621" b="3023"/>
                  <a:stretch/>
                </pic:blipFill>
                <pic:spPr bwMode="auto">
                  <a:xfrm>
                    <a:off x="0" y="0"/>
                    <a:ext cx="758952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t xml:space="preserve">Annual Management and Performance Report for the EU Budget – Financial year </w:t>
    </w:r>
    <w:r w:rsidRPr="00715889">
      <w:t>2021</w:t>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F5C27" w14:textId="77777777" w:rsidR="005E2670" w:rsidRPr="00040D99" w:rsidRDefault="005E2670" w:rsidP="0083214A">
    <w:pPr>
      <w:pStyle w:val="Header-PPOprogrammeinanutshellpage"/>
      <w:rPr>
        <w:noProof/>
      </w:rPr>
    </w:pPr>
    <w:r w:rsidRPr="00040D99">
      <w:rPr>
        <w:noProof/>
        <w:lang w:eastAsia="en-GB"/>
      </w:rPr>
      <w:drawing>
        <wp:anchor distT="0" distB="0" distL="114300" distR="114300" simplePos="0" relativeHeight="251658275" behindDoc="1" locked="1" layoutInCell="1" allowOverlap="1" wp14:anchorId="6C8A92FB" wp14:editId="176323B4">
          <wp:simplePos x="0" y="0"/>
          <wp:positionH relativeFrom="page">
            <wp:posOffset>-7620</wp:posOffset>
          </wp:positionH>
          <wp:positionV relativeFrom="page">
            <wp:posOffset>-301625</wp:posOffset>
          </wp:positionV>
          <wp:extent cx="7598410" cy="2423160"/>
          <wp:effectExtent l="0" t="0" r="254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ver-01.jpg"/>
                  <pic:cNvPicPr/>
                </pic:nvPicPr>
                <pic:blipFill rotWithShape="1">
                  <a:blip r:embed="rId1">
                    <a:extLst>
                      <a:ext uri="{28A0092B-C50C-407E-A947-70E740481C1C}">
                        <a14:useLocalDpi xmlns:a14="http://schemas.microsoft.com/office/drawing/2010/main" val="0"/>
                      </a:ext>
                    </a:extLst>
                  </a:blip>
                  <a:srcRect l="419" t="813" r="419" b="-62"/>
                  <a:stretch/>
                </pic:blipFill>
                <pic:spPr bwMode="auto">
                  <a:xfrm>
                    <a:off x="0" y="0"/>
                    <a:ext cx="759841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D99">
      <w:rPr>
        <w:noProof/>
      </w:rPr>
      <w:t xml:space="preserve">Programme </w:t>
    </w:r>
    <w:r w:rsidRPr="00040D99">
      <w:t>performance</w:t>
    </w:r>
    <w:r w:rsidRPr="00040D99">
      <w:rPr>
        <w:noProof/>
      </w:rPr>
      <w:t xml:space="preserve"> overview 2022</w: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89D41" w14:textId="77777777" w:rsidR="005E2670" w:rsidRDefault="005E26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E06578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9723D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8862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C08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CD4799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94B5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583A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DA54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D4F1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8871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D3A41"/>
    <w:multiLevelType w:val="hybridMultilevel"/>
    <w:tmpl w:val="098C8D9A"/>
    <w:lvl w:ilvl="0" w:tplc="FD44B028">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014C5C1B"/>
    <w:multiLevelType w:val="hybridMultilevel"/>
    <w:tmpl w:val="750A5F3E"/>
    <w:lvl w:ilvl="0" w:tplc="9760E22C">
      <w:start w:val="2"/>
      <w:numFmt w:val="bullet"/>
      <w:lvlText w:val="-"/>
      <w:lvlJc w:val="left"/>
      <w:pPr>
        <w:ind w:left="720" w:hanging="360"/>
      </w:pPr>
      <w:rPr>
        <w:rFonts w:ascii="EC Square Sans Pro" w:eastAsiaTheme="minorHAnsi" w:hAnsi="EC Square Sans Pro"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0249579D"/>
    <w:multiLevelType w:val="multilevel"/>
    <w:tmpl w:val="A08C8E34"/>
    <w:styleLink w:val="amprLIST-Ordered"/>
    <w:lvl w:ilvl="0">
      <w:start w:val="1"/>
      <w:numFmt w:val="decimal"/>
      <w:pStyle w:val="amprLISTOrdered-L1"/>
      <w:lvlText w:val="%1."/>
      <w:lvlJc w:val="left"/>
      <w:pPr>
        <w:ind w:left="714" w:hanging="357"/>
      </w:pPr>
      <w:rPr>
        <w:rFonts w:hint="default"/>
      </w:rPr>
    </w:lvl>
    <w:lvl w:ilvl="1">
      <w:start w:val="1"/>
      <w:numFmt w:val="decimal"/>
      <w:pStyle w:val="amprLISTOrdered-L2"/>
      <w:lvlText w:val="%1.%2."/>
      <w:lvlJc w:val="left"/>
      <w:pPr>
        <w:ind w:left="1185" w:hanging="471"/>
      </w:pPr>
      <w:rPr>
        <w:rFonts w:hint="default"/>
      </w:rPr>
    </w:lvl>
    <w:lvl w:ilvl="2">
      <w:start w:val="1"/>
      <w:numFmt w:val="decimal"/>
      <w:pStyle w:val="amprLISTOrdered-L3"/>
      <w:lvlText w:val="%1.%2.%3."/>
      <w:lvlJc w:val="left"/>
      <w:pPr>
        <w:ind w:left="1769" w:hanging="584"/>
      </w:pPr>
      <w:rPr>
        <w:rFonts w:hint="default"/>
      </w:rPr>
    </w:lvl>
    <w:lvl w:ilvl="3">
      <w:start w:val="1"/>
      <w:numFmt w:val="decimal"/>
      <w:pStyle w:val="amprLISTOrdered-L4"/>
      <w:lvlText w:val="%1.%2.%3.%4."/>
      <w:lvlJc w:val="left"/>
      <w:pPr>
        <w:ind w:left="2466" w:hanging="6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2535EBA"/>
    <w:multiLevelType w:val="hybridMultilevel"/>
    <w:tmpl w:val="D6202240"/>
    <w:lvl w:ilvl="0" w:tplc="46DCB706">
      <w:start w:val="361"/>
      <w:numFmt w:val="bullet"/>
      <w:lvlText w:val="-"/>
      <w:lvlJc w:val="left"/>
      <w:pPr>
        <w:ind w:left="720" w:hanging="360"/>
      </w:pPr>
      <w:rPr>
        <w:rFonts w:ascii="EC Square Sans Pro" w:eastAsiaTheme="minorHAnsi" w:hAnsi="EC Square Sans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DD15DF"/>
    <w:multiLevelType w:val="hybridMultilevel"/>
    <w:tmpl w:val="64CEA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62269C3"/>
    <w:multiLevelType w:val="hybridMultilevel"/>
    <w:tmpl w:val="FF364990"/>
    <w:lvl w:ilvl="0" w:tplc="FC76D83C">
      <w:start w:val="2"/>
      <w:numFmt w:val="bullet"/>
      <w:lvlText w:val="-"/>
      <w:lvlJc w:val="left"/>
      <w:pPr>
        <w:ind w:left="720" w:hanging="360"/>
      </w:pPr>
      <w:rPr>
        <w:rFonts w:ascii="EC Square Sans Pro" w:eastAsiaTheme="minorHAnsi" w:hAnsi="EC Square Sans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520E30"/>
    <w:multiLevelType w:val="hybridMultilevel"/>
    <w:tmpl w:val="2A3EE114"/>
    <w:lvl w:ilvl="0" w:tplc="C0ACFD04">
      <w:numFmt w:val="bullet"/>
      <w:lvlText w:val="-"/>
      <w:lvlJc w:val="left"/>
      <w:pPr>
        <w:ind w:left="720" w:hanging="360"/>
      </w:pPr>
      <w:rPr>
        <w:rFonts w:ascii="EC Square Sans Pro" w:eastAsiaTheme="minorHAnsi" w:hAnsi="EC Square Sans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7F6103A"/>
    <w:multiLevelType w:val="hybridMultilevel"/>
    <w:tmpl w:val="CBAC02BA"/>
    <w:lvl w:ilvl="0" w:tplc="B73AAE72">
      <w:start w:val="147"/>
      <w:numFmt w:val="bullet"/>
      <w:lvlText w:val="-"/>
      <w:lvlJc w:val="left"/>
      <w:pPr>
        <w:ind w:left="720" w:hanging="360"/>
      </w:pPr>
      <w:rPr>
        <w:rFonts w:ascii="EC Square Sans Pro" w:eastAsiaTheme="minorHAnsi" w:hAnsi="EC Square Sans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0C3126"/>
    <w:multiLevelType w:val="multilevel"/>
    <w:tmpl w:val="B80C5162"/>
    <w:lvl w:ilvl="0">
      <w:start w:val="1"/>
      <w:numFmt w:val="decimal"/>
      <w:lvlText w:val="%1."/>
      <w:lvlJc w:val="left"/>
      <w:pPr>
        <w:ind w:left="357" w:hanging="357"/>
      </w:pPr>
      <w:rPr>
        <w:rFonts w:hint="default"/>
      </w:rPr>
    </w:lvl>
    <w:lvl w:ilvl="1">
      <w:start w:val="1"/>
      <w:numFmt w:val="lowerLetter"/>
      <w:lvlText w:val="%2."/>
      <w:lvlJc w:val="left"/>
      <w:pPr>
        <w:ind w:left="1435" w:hanging="355"/>
      </w:pPr>
      <w:rPr>
        <w:rFonts w:hint="default"/>
      </w:rPr>
    </w:lvl>
    <w:lvl w:ilvl="2">
      <w:start w:val="1"/>
      <w:numFmt w:val="lowerRoman"/>
      <w:lvlText w:val="(%3)"/>
      <w:lvlJc w:val="left"/>
      <w:pPr>
        <w:ind w:left="2512"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0A2900F7"/>
    <w:multiLevelType w:val="multilevel"/>
    <w:tmpl w:val="7982D97C"/>
    <w:name w:val="ListDash4Numbering"/>
    <w:lvl w:ilvl="0">
      <w:start w:val="1"/>
      <w:numFmt w:val="bullet"/>
      <w:pStyle w:val="ListDash4"/>
      <w:lvlText w:val="–"/>
      <w:lvlJc w:val="left"/>
      <w:pPr>
        <w:tabs>
          <w:tab w:val="num" w:pos="3163"/>
        </w:tabs>
        <w:ind w:left="3163" w:hanging="283"/>
      </w:pPr>
      <w:rPr>
        <w:rFonts w:ascii="Times New Roman" w:hAnsi="Times New Roman"/>
      </w:rPr>
    </w:lvl>
    <w:lvl w:ilvl="1">
      <w:start w:val="1"/>
      <w:numFmt w:val="bullet"/>
      <w:pStyle w:val="ListDash4Level2"/>
      <w:lvlText w:val="–"/>
      <w:lvlJc w:val="left"/>
      <w:pPr>
        <w:tabs>
          <w:tab w:val="num" w:pos="3447"/>
        </w:tabs>
        <w:ind w:left="3447" w:hanging="284"/>
      </w:pPr>
      <w:rPr>
        <w:rFonts w:ascii="Times New Roman" w:hAnsi="Times New Roman"/>
      </w:rPr>
    </w:lvl>
    <w:lvl w:ilvl="2">
      <w:start w:val="1"/>
      <w:numFmt w:val="bullet"/>
      <w:pStyle w:val="ListDash4Level3"/>
      <w:lvlText w:val="–"/>
      <w:lvlJc w:val="left"/>
      <w:pPr>
        <w:tabs>
          <w:tab w:val="num" w:pos="3730"/>
        </w:tabs>
        <w:ind w:left="3730" w:hanging="283"/>
      </w:pPr>
      <w:rPr>
        <w:rFonts w:ascii="Times New Roman" w:hAnsi="Times New Roman"/>
      </w:rPr>
    </w:lvl>
    <w:lvl w:ilvl="3">
      <w:start w:val="1"/>
      <w:numFmt w:val="bullet"/>
      <w:pStyle w:val="ListDash4Level4"/>
      <w:lvlText w:val="–"/>
      <w:lvlJc w:val="left"/>
      <w:pPr>
        <w:tabs>
          <w:tab w:val="num" w:pos="4014"/>
        </w:tabs>
        <w:ind w:left="401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15:restartNumberingAfterBreak="0">
    <w:nsid w:val="0AC7177A"/>
    <w:multiLevelType w:val="hybridMultilevel"/>
    <w:tmpl w:val="872642C8"/>
    <w:lvl w:ilvl="0" w:tplc="7FFE956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BBE37F0"/>
    <w:multiLevelType w:val="hybridMultilevel"/>
    <w:tmpl w:val="C9E88162"/>
    <w:lvl w:ilvl="0" w:tplc="7C16F42C">
      <w:start w:val="25"/>
      <w:numFmt w:val="bullet"/>
      <w:lvlText w:val="-"/>
      <w:lvlJc w:val="left"/>
      <w:pPr>
        <w:ind w:left="720" w:hanging="360"/>
      </w:pPr>
      <w:rPr>
        <w:rFonts w:ascii="EC Square Sans Pro" w:eastAsiaTheme="minorHAnsi" w:hAnsi="EC Square Sans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BC4029B"/>
    <w:multiLevelType w:val="multilevel"/>
    <w:tmpl w:val="B80C5162"/>
    <w:lvl w:ilvl="0">
      <w:start w:val="1"/>
      <w:numFmt w:val="decimal"/>
      <w:lvlText w:val="%1."/>
      <w:lvlJc w:val="left"/>
      <w:pPr>
        <w:ind w:left="357" w:hanging="357"/>
      </w:pPr>
      <w:rPr>
        <w:rFonts w:hint="default"/>
      </w:rPr>
    </w:lvl>
    <w:lvl w:ilvl="1">
      <w:start w:val="1"/>
      <w:numFmt w:val="lowerLetter"/>
      <w:lvlText w:val="%2."/>
      <w:lvlJc w:val="left"/>
      <w:pPr>
        <w:ind w:left="1435" w:hanging="355"/>
      </w:pPr>
      <w:rPr>
        <w:rFonts w:hint="default"/>
      </w:rPr>
    </w:lvl>
    <w:lvl w:ilvl="2">
      <w:start w:val="1"/>
      <w:numFmt w:val="lowerRoman"/>
      <w:lvlText w:val="(%3)"/>
      <w:lvlJc w:val="left"/>
      <w:pPr>
        <w:ind w:left="2512"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0EFB7115"/>
    <w:multiLevelType w:val="multilevel"/>
    <w:tmpl w:val="9D80B8F0"/>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4" w15:restartNumberingAfterBreak="0">
    <w:nsid w:val="0EFD32B3"/>
    <w:multiLevelType w:val="hybridMultilevel"/>
    <w:tmpl w:val="55367432"/>
    <w:lvl w:ilvl="0" w:tplc="8264D7DC">
      <w:start w:val="1"/>
      <w:numFmt w:val="bullet"/>
      <w:pStyle w:val="agbullets"/>
      <w:lvlText w:val=""/>
      <w:lvlJc w:val="left"/>
      <w:pPr>
        <w:ind w:left="720" w:hanging="360"/>
      </w:pPr>
      <w:rPr>
        <w:rFonts w:ascii="Symbol" w:hAnsi="Symbol" w:hint="default"/>
      </w:rPr>
    </w:lvl>
    <w:lvl w:ilvl="1" w:tplc="4D063740">
      <w:numFmt w:val="decimal"/>
      <w:lvlText w:val=""/>
      <w:lvlJc w:val="left"/>
    </w:lvl>
    <w:lvl w:ilvl="2" w:tplc="01FC58D8">
      <w:numFmt w:val="decimal"/>
      <w:lvlText w:val=""/>
      <w:lvlJc w:val="left"/>
    </w:lvl>
    <w:lvl w:ilvl="3" w:tplc="AAF28C8C">
      <w:numFmt w:val="decimal"/>
      <w:lvlText w:val=""/>
      <w:lvlJc w:val="left"/>
    </w:lvl>
    <w:lvl w:ilvl="4" w:tplc="7A627376">
      <w:numFmt w:val="decimal"/>
      <w:lvlText w:val=""/>
      <w:lvlJc w:val="left"/>
    </w:lvl>
    <w:lvl w:ilvl="5" w:tplc="DA3CC0B6">
      <w:numFmt w:val="decimal"/>
      <w:lvlText w:val=""/>
      <w:lvlJc w:val="left"/>
    </w:lvl>
    <w:lvl w:ilvl="6" w:tplc="B70267CC">
      <w:numFmt w:val="decimal"/>
      <w:lvlText w:val=""/>
      <w:lvlJc w:val="left"/>
    </w:lvl>
    <w:lvl w:ilvl="7" w:tplc="6D908BAA">
      <w:numFmt w:val="decimal"/>
      <w:lvlText w:val=""/>
      <w:lvlJc w:val="left"/>
    </w:lvl>
    <w:lvl w:ilvl="8" w:tplc="7B724268">
      <w:numFmt w:val="decimal"/>
      <w:lvlText w:val=""/>
      <w:lvlJc w:val="left"/>
    </w:lvl>
  </w:abstractNum>
  <w:abstractNum w:abstractNumId="25" w15:restartNumberingAfterBreak="0">
    <w:nsid w:val="10803F0F"/>
    <w:multiLevelType w:val="multilevel"/>
    <w:tmpl w:val="B80C5162"/>
    <w:lvl w:ilvl="0">
      <w:start w:val="1"/>
      <w:numFmt w:val="decimal"/>
      <w:lvlText w:val="%1."/>
      <w:lvlJc w:val="left"/>
      <w:pPr>
        <w:ind w:left="357" w:hanging="357"/>
      </w:pPr>
      <w:rPr>
        <w:rFonts w:hint="default"/>
      </w:rPr>
    </w:lvl>
    <w:lvl w:ilvl="1">
      <w:start w:val="1"/>
      <w:numFmt w:val="lowerLetter"/>
      <w:lvlText w:val="%2."/>
      <w:lvlJc w:val="left"/>
      <w:pPr>
        <w:ind w:left="1435" w:hanging="355"/>
      </w:pPr>
      <w:rPr>
        <w:rFonts w:hint="default"/>
      </w:rPr>
    </w:lvl>
    <w:lvl w:ilvl="2">
      <w:start w:val="1"/>
      <w:numFmt w:val="lowerRoman"/>
      <w:lvlText w:val="(%3)"/>
      <w:lvlJc w:val="left"/>
      <w:pPr>
        <w:ind w:left="2512"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10B531F1"/>
    <w:multiLevelType w:val="hybridMultilevel"/>
    <w:tmpl w:val="512674EA"/>
    <w:lvl w:ilvl="0" w:tplc="CF5A2578">
      <w:start w:val="1"/>
      <w:numFmt w:val="lowerLetter"/>
      <w:lvlText w:val="%1."/>
      <w:lvlJc w:val="left"/>
      <w:pPr>
        <w:ind w:left="720" w:hanging="360"/>
      </w:pPr>
    </w:lvl>
    <w:lvl w:ilvl="1" w:tplc="EA626EFA">
      <w:start w:val="1"/>
      <w:numFmt w:val="lowerLetter"/>
      <w:lvlText w:val="%2."/>
      <w:lvlJc w:val="left"/>
      <w:pPr>
        <w:ind w:left="1440" w:hanging="360"/>
      </w:pPr>
    </w:lvl>
    <w:lvl w:ilvl="2" w:tplc="CFEE7C62">
      <w:start w:val="1"/>
      <w:numFmt w:val="lowerRoman"/>
      <w:lvlText w:val="%3."/>
      <w:lvlJc w:val="right"/>
      <w:pPr>
        <w:ind w:left="2160" w:hanging="180"/>
      </w:pPr>
    </w:lvl>
    <w:lvl w:ilvl="3" w:tplc="551C885E">
      <w:start w:val="1"/>
      <w:numFmt w:val="decimal"/>
      <w:lvlText w:val="%4."/>
      <w:lvlJc w:val="left"/>
      <w:pPr>
        <w:ind w:left="2880" w:hanging="360"/>
      </w:pPr>
    </w:lvl>
    <w:lvl w:ilvl="4" w:tplc="F7AE90E8">
      <w:start w:val="1"/>
      <w:numFmt w:val="lowerLetter"/>
      <w:lvlText w:val="%5."/>
      <w:lvlJc w:val="left"/>
      <w:pPr>
        <w:ind w:left="3600" w:hanging="360"/>
      </w:pPr>
    </w:lvl>
    <w:lvl w:ilvl="5" w:tplc="B498A190">
      <w:start w:val="1"/>
      <w:numFmt w:val="lowerRoman"/>
      <w:lvlText w:val="%6."/>
      <w:lvlJc w:val="right"/>
      <w:pPr>
        <w:ind w:left="4320" w:hanging="180"/>
      </w:pPr>
    </w:lvl>
    <w:lvl w:ilvl="6" w:tplc="81D2B6B0">
      <w:start w:val="1"/>
      <w:numFmt w:val="decimal"/>
      <w:lvlText w:val="%7."/>
      <w:lvlJc w:val="left"/>
      <w:pPr>
        <w:ind w:left="5040" w:hanging="360"/>
      </w:pPr>
    </w:lvl>
    <w:lvl w:ilvl="7" w:tplc="1B70032A">
      <w:start w:val="1"/>
      <w:numFmt w:val="lowerLetter"/>
      <w:lvlText w:val="%8."/>
      <w:lvlJc w:val="left"/>
      <w:pPr>
        <w:ind w:left="5760" w:hanging="360"/>
      </w:pPr>
    </w:lvl>
    <w:lvl w:ilvl="8" w:tplc="DAA481AE">
      <w:start w:val="1"/>
      <w:numFmt w:val="lowerRoman"/>
      <w:lvlText w:val="%9."/>
      <w:lvlJc w:val="right"/>
      <w:pPr>
        <w:ind w:left="6480" w:hanging="180"/>
      </w:pPr>
    </w:lvl>
  </w:abstractNum>
  <w:abstractNum w:abstractNumId="27" w15:restartNumberingAfterBreak="0">
    <w:nsid w:val="11F9397F"/>
    <w:multiLevelType w:val="multilevel"/>
    <w:tmpl w:val="B96E5C80"/>
    <w:numStyleLink w:val="PPOLISTBlackBULLETS"/>
  </w:abstractNum>
  <w:abstractNum w:abstractNumId="28" w15:restartNumberingAfterBreak="0">
    <w:nsid w:val="120B7201"/>
    <w:multiLevelType w:val="multilevel"/>
    <w:tmpl w:val="0E02D1E8"/>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9" w15:restartNumberingAfterBreak="0">
    <w:nsid w:val="120B8345"/>
    <w:multiLevelType w:val="multilevel"/>
    <w:tmpl w:val="EEF271CA"/>
    <w:name w:val="TableListNumberNumbering"/>
    <w:lvl w:ilvl="0">
      <w:start w:val="1"/>
      <w:numFmt w:val="decimal"/>
      <w:pStyle w:val="TableListNumber"/>
      <w:lvlText w:val="(%1)"/>
      <w:lvlJc w:val="left"/>
      <w:pPr>
        <w:tabs>
          <w:tab w:val="num" w:pos="454"/>
        </w:tabs>
        <w:ind w:left="454" w:hanging="454"/>
      </w:pPr>
    </w:lvl>
    <w:lvl w:ilvl="1">
      <w:start w:val="1"/>
      <w:numFmt w:val="lowerLetter"/>
      <w:pStyle w:val="TableListNumberLevel2"/>
      <w:lvlText w:val="(%2)"/>
      <w:lvlJc w:val="left"/>
      <w:pPr>
        <w:tabs>
          <w:tab w:val="num" w:pos="907"/>
        </w:tabs>
        <w:ind w:left="907" w:hanging="453"/>
      </w:pPr>
    </w:lvl>
    <w:lvl w:ilvl="2">
      <w:start w:val="1"/>
      <w:numFmt w:val="bullet"/>
      <w:pStyle w:val="TableListNumberLevel3"/>
      <w:lvlText w:val="–"/>
      <w:lvlJc w:val="left"/>
      <w:pPr>
        <w:tabs>
          <w:tab w:val="num" w:pos="1361"/>
        </w:tabs>
        <w:ind w:left="1361" w:hanging="454"/>
      </w:pPr>
      <w:rPr>
        <w:rFonts w:ascii="Times New Roman" w:hAnsi="Times New Roman"/>
      </w:rPr>
    </w:lvl>
    <w:lvl w:ilvl="3">
      <w:start w:val="1"/>
      <w:numFmt w:val="bullet"/>
      <w:pStyle w:val="TableListNumberLevel4"/>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0" w15:restartNumberingAfterBreak="0">
    <w:nsid w:val="1262685D"/>
    <w:multiLevelType w:val="multilevel"/>
    <w:tmpl w:val="8BC0AB74"/>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1" w15:restartNumberingAfterBreak="0">
    <w:nsid w:val="12AF0196"/>
    <w:multiLevelType w:val="multilevel"/>
    <w:tmpl w:val="D6C29086"/>
    <w:styleLink w:val="amprHLISTNumberedheadings"/>
    <w:lvl w:ilvl="0">
      <w:start w:val="1"/>
      <w:numFmt w:val="decimal"/>
      <w:pStyle w:val="amprH2TITLE1-Numbered-1"/>
      <w:lvlText w:val="%1."/>
      <w:lvlJc w:val="left"/>
      <w:pPr>
        <w:ind w:left="578" w:hanging="578"/>
      </w:pPr>
      <w:rPr>
        <w:rFonts w:hint="default"/>
      </w:rPr>
    </w:lvl>
    <w:lvl w:ilvl="1">
      <w:start w:val="1"/>
      <w:numFmt w:val="decimal"/>
      <w:pStyle w:val="amprH3Title2-Numbered-11"/>
      <w:lvlText w:val="%1.%2."/>
      <w:lvlJc w:val="left"/>
      <w:pPr>
        <w:ind w:left="578" w:hanging="578"/>
      </w:pPr>
      <w:rPr>
        <w:rFonts w:hint="default"/>
      </w:rPr>
    </w:lvl>
    <w:lvl w:ilvl="2">
      <w:start w:val="1"/>
      <w:numFmt w:val="decimal"/>
      <w:pStyle w:val="amprH4Subhead1-Numbered-111"/>
      <w:lvlText w:val="%1.%2.%3."/>
      <w:lvlJc w:val="left"/>
      <w:pPr>
        <w:ind w:left="578" w:hanging="578"/>
      </w:pPr>
      <w:rPr>
        <w:rFonts w:hint="default"/>
      </w:rPr>
    </w:lvl>
    <w:lvl w:ilvl="3">
      <w:start w:val="1"/>
      <w:numFmt w:val="decimal"/>
      <w:pStyle w:val="amprH5Subhead2-Numbered-1111"/>
      <w:lvlText w:val="%1.%2.%3.%4."/>
      <w:lvlJc w:val="left"/>
      <w:pPr>
        <w:ind w:left="578" w:hanging="578"/>
      </w:pPr>
      <w:rPr>
        <w:rFonts w:hint="default"/>
      </w:rPr>
    </w:lvl>
    <w:lvl w:ilvl="4">
      <w:start w:val="1"/>
      <w:numFmt w:val="lowerLetter"/>
      <w:lvlText w:val="(%5)"/>
      <w:lvlJc w:val="left"/>
      <w:pPr>
        <w:ind w:left="578" w:hanging="578"/>
      </w:pPr>
      <w:rPr>
        <w:rFonts w:hint="default"/>
      </w:rPr>
    </w:lvl>
    <w:lvl w:ilvl="5">
      <w:start w:val="1"/>
      <w:numFmt w:val="lowerRoman"/>
      <w:lvlText w:val="(%6)"/>
      <w:lvlJc w:val="left"/>
      <w:pPr>
        <w:ind w:left="578" w:hanging="578"/>
      </w:pPr>
      <w:rPr>
        <w:rFonts w:hint="default"/>
      </w:rPr>
    </w:lvl>
    <w:lvl w:ilvl="6">
      <w:start w:val="1"/>
      <w:numFmt w:val="decimal"/>
      <w:lvlText w:val="%7."/>
      <w:lvlJc w:val="left"/>
      <w:pPr>
        <w:ind w:left="578" w:hanging="578"/>
      </w:pPr>
      <w:rPr>
        <w:rFonts w:hint="default"/>
      </w:rPr>
    </w:lvl>
    <w:lvl w:ilvl="7">
      <w:start w:val="1"/>
      <w:numFmt w:val="lowerLetter"/>
      <w:lvlText w:val="%8."/>
      <w:lvlJc w:val="left"/>
      <w:pPr>
        <w:ind w:left="578" w:hanging="578"/>
      </w:pPr>
      <w:rPr>
        <w:rFonts w:hint="default"/>
      </w:rPr>
    </w:lvl>
    <w:lvl w:ilvl="8">
      <w:start w:val="1"/>
      <w:numFmt w:val="lowerRoman"/>
      <w:lvlText w:val="%9."/>
      <w:lvlJc w:val="left"/>
      <w:pPr>
        <w:ind w:left="578" w:hanging="578"/>
      </w:pPr>
      <w:rPr>
        <w:rFonts w:hint="default"/>
      </w:rPr>
    </w:lvl>
  </w:abstractNum>
  <w:abstractNum w:abstractNumId="32" w15:restartNumberingAfterBreak="0">
    <w:nsid w:val="1358494D"/>
    <w:multiLevelType w:val="hybridMultilevel"/>
    <w:tmpl w:val="8CC2606A"/>
    <w:lvl w:ilvl="0" w:tplc="33C222F4">
      <w:start w:val="1"/>
      <w:numFmt w:val="bullet"/>
      <w:lvlText w:val="­"/>
      <w:lvlJc w:val="left"/>
      <w:pPr>
        <w:ind w:left="648" w:hanging="360"/>
      </w:pPr>
      <w:rPr>
        <w:rFonts w:ascii="Courier New" w:hAnsi="Courier New" w:cs="Times New Roman" w:hint="default"/>
      </w:rPr>
    </w:lvl>
    <w:lvl w:ilvl="1" w:tplc="08090003">
      <w:start w:val="1"/>
      <w:numFmt w:val="bullet"/>
      <w:lvlText w:val="o"/>
      <w:lvlJc w:val="left"/>
      <w:pPr>
        <w:ind w:left="1368" w:hanging="360"/>
      </w:pPr>
      <w:rPr>
        <w:rFonts w:ascii="Courier New" w:hAnsi="Courier New" w:cs="Courier New" w:hint="default"/>
      </w:rPr>
    </w:lvl>
    <w:lvl w:ilvl="2" w:tplc="08090005">
      <w:start w:val="1"/>
      <w:numFmt w:val="bullet"/>
      <w:lvlText w:val=""/>
      <w:lvlJc w:val="left"/>
      <w:pPr>
        <w:ind w:left="2088" w:hanging="360"/>
      </w:pPr>
      <w:rPr>
        <w:rFonts w:ascii="Wingdings" w:hAnsi="Wingdings" w:hint="default"/>
      </w:rPr>
    </w:lvl>
    <w:lvl w:ilvl="3" w:tplc="08090001">
      <w:start w:val="1"/>
      <w:numFmt w:val="bullet"/>
      <w:lvlText w:val=""/>
      <w:lvlJc w:val="left"/>
      <w:pPr>
        <w:ind w:left="2808" w:hanging="360"/>
      </w:pPr>
      <w:rPr>
        <w:rFonts w:ascii="Symbol" w:hAnsi="Symbol" w:hint="default"/>
      </w:rPr>
    </w:lvl>
    <w:lvl w:ilvl="4" w:tplc="08090003">
      <w:start w:val="1"/>
      <w:numFmt w:val="bullet"/>
      <w:lvlText w:val="o"/>
      <w:lvlJc w:val="left"/>
      <w:pPr>
        <w:ind w:left="3528" w:hanging="360"/>
      </w:pPr>
      <w:rPr>
        <w:rFonts w:ascii="Courier New" w:hAnsi="Courier New" w:cs="Courier New" w:hint="default"/>
      </w:rPr>
    </w:lvl>
    <w:lvl w:ilvl="5" w:tplc="08090005">
      <w:start w:val="1"/>
      <w:numFmt w:val="bullet"/>
      <w:lvlText w:val=""/>
      <w:lvlJc w:val="left"/>
      <w:pPr>
        <w:ind w:left="4248" w:hanging="360"/>
      </w:pPr>
      <w:rPr>
        <w:rFonts w:ascii="Wingdings" w:hAnsi="Wingdings" w:hint="default"/>
      </w:rPr>
    </w:lvl>
    <w:lvl w:ilvl="6" w:tplc="08090001">
      <w:start w:val="1"/>
      <w:numFmt w:val="bullet"/>
      <w:lvlText w:val=""/>
      <w:lvlJc w:val="left"/>
      <w:pPr>
        <w:ind w:left="4968" w:hanging="360"/>
      </w:pPr>
      <w:rPr>
        <w:rFonts w:ascii="Symbol" w:hAnsi="Symbol" w:hint="default"/>
      </w:rPr>
    </w:lvl>
    <w:lvl w:ilvl="7" w:tplc="08090003">
      <w:start w:val="1"/>
      <w:numFmt w:val="bullet"/>
      <w:lvlText w:val="o"/>
      <w:lvlJc w:val="left"/>
      <w:pPr>
        <w:ind w:left="5688" w:hanging="360"/>
      </w:pPr>
      <w:rPr>
        <w:rFonts w:ascii="Courier New" w:hAnsi="Courier New" w:cs="Courier New" w:hint="default"/>
      </w:rPr>
    </w:lvl>
    <w:lvl w:ilvl="8" w:tplc="08090005">
      <w:start w:val="1"/>
      <w:numFmt w:val="bullet"/>
      <w:lvlText w:val=""/>
      <w:lvlJc w:val="left"/>
      <w:pPr>
        <w:ind w:left="6408" w:hanging="360"/>
      </w:pPr>
      <w:rPr>
        <w:rFonts w:ascii="Wingdings" w:hAnsi="Wingdings" w:hint="default"/>
      </w:rPr>
    </w:lvl>
  </w:abstractNum>
  <w:abstractNum w:abstractNumId="33" w15:restartNumberingAfterBreak="0">
    <w:nsid w:val="13F85310"/>
    <w:multiLevelType w:val="hybridMultilevel"/>
    <w:tmpl w:val="99469E38"/>
    <w:lvl w:ilvl="0" w:tplc="08090017">
      <w:start w:val="1"/>
      <w:numFmt w:val="lowerLetter"/>
      <w:lvlText w:val="%1)"/>
      <w:lvlJc w:val="left"/>
      <w:pPr>
        <w:ind w:left="717" w:hanging="360"/>
      </w:pPr>
    </w:lvl>
    <w:lvl w:ilvl="1" w:tplc="08090019">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34" w15:restartNumberingAfterBreak="0">
    <w:nsid w:val="143D0A16"/>
    <w:multiLevelType w:val="multilevel"/>
    <w:tmpl w:val="A0D454E0"/>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5" w15:restartNumberingAfterBreak="0">
    <w:nsid w:val="171D71AD"/>
    <w:multiLevelType w:val="hybridMultilevel"/>
    <w:tmpl w:val="8F5C1F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172F0AC5"/>
    <w:multiLevelType w:val="multilevel"/>
    <w:tmpl w:val="745C48D6"/>
    <w:name w:val="ListNumber2Numbering"/>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7" w15:restartNumberingAfterBreak="0">
    <w:nsid w:val="192C5690"/>
    <w:multiLevelType w:val="hybridMultilevel"/>
    <w:tmpl w:val="378E8DF2"/>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193E20DB"/>
    <w:multiLevelType w:val="hybridMultilevel"/>
    <w:tmpl w:val="2EBC3EB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A27790F"/>
    <w:multiLevelType w:val="multilevel"/>
    <w:tmpl w:val="4876269E"/>
    <w:numStyleLink w:val="PPOLISTArabic1aiii"/>
  </w:abstractNum>
  <w:abstractNum w:abstractNumId="40" w15:restartNumberingAfterBreak="0">
    <w:nsid w:val="1A560CA1"/>
    <w:multiLevelType w:val="hybridMultilevel"/>
    <w:tmpl w:val="39F00888"/>
    <w:lvl w:ilvl="0" w:tplc="B896C866">
      <w:start w:val="1"/>
      <w:numFmt w:val="bullet"/>
      <w:lvlText w:val="·"/>
      <w:lvlJc w:val="left"/>
      <w:pPr>
        <w:ind w:left="720" w:hanging="360"/>
      </w:pPr>
      <w:rPr>
        <w:rFonts w:ascii="Symbol" w:hAnsi="Symbol" w:hint="default"/>
      </w:rPr>
    </w:lvl>
    <w:lvl w:ilvl="1" w:tplc="6E8EB148">
      <w:start w:val="1"/>
      <w:numFmt w:val="bullet"/>
      <w:lvlText w:val="o"/>
      <w:lvlJc w:val="left"/>
      <w:pPr>
        <w:ind w:left="1440" w:hanging="360"/>
      </w:pPr>
      <w:rPr>
        <w:rFonts w:ascii="Courier New" w:hAnsi="Courier New" w:cs="Times New Roman" w:hint="default"/>
      </w:rPr>
    </w:lvl>
    <w:lvl w:ilvl="2" w:tplc="98847CD8">
      <w:start w:val="1"/>
      <w:numFmt w:val="bullet"/>
      <w:lvlText w:val=""/>
      <w:lvlJc w:val="left"/>
      <w:pPr>
        <w:ind w:left="2160" w:hanging="360"/>
      </w:pPr>
      <w:rPr>
        <w:rFonts w:ascii="Wingdings" w:hAnsi="Wingdings" w:hint="default"/>
      </w:rPr>
    </w:lvl>
    <w:lvl w:ilvl="3" w:tplc="E444A218">
      <w:start w:val="1"/>
      <w:numFmt w:val="bullet"/>
      <w:lvlText w:val=""/>
      <w:lvlJc w:val="left"/>
      <w:pPr>
        <w:ind w:left="2880" w:hanging="360"/>
      </w:pPr>
      <w:rPr>
        <w:rFonts w:ascii="Symbol" w:hAnsi="Symbol" w:hint="default"/>
      </w:rPr>
    </w:lvl>
    <w:lvl w:ilvl="4" w:tplc="DBD2A38E">
      <w:start w:val="1"/>
      <w:numFmt w:val="bullet"/>
      <w:lvlText w:val="o"/>
      <w:lvlJc w:val="left"/>
      <w:pPr>
        <w:ind w:left="3600" w:hanging="360"/>
      </w:pPr>
      <w:rPr>
        <w:rFonts w:ascii="Courier New" w:hAnsi="Courier New" w:cs="Times New Roman" w:hint="default"/>
      </w:rPr>
    </w:lvl>
    <w:lvl w:ilvl="5" w:tplc="EF88F660">
      <w:start w:val="1"/>
      <w:numFmt w:val="bullet"/>
      <w:lvlText w:val=""/>
      <w:lvlJc w:val="left"/>
      <w:pPr>
        <w:ind w:left="4320" w:hanging="360"/>
      </w:pPr>
      <w:rPr>
        <w:rFonts w:ascii="Wingdings" w:hAnsi="Wingdings" w:hint="default"/>
      </w:rPr>
    </w:lvl>
    <w:lvl w:ilvl="6" w:tplc="7EBC83B6">
      <w:start w:val="1"/>
      <w:numFmt w:val="bullet"/>
      <w:lvlText w:val=""/>
      <w:lvlJc w:val="left"/>
      <w:pPr>
        <w:ind w:left="5040" w:hanging="360"/>
      </w:pPr>
      <w:rPr>
        <w:rFonts w:ascii="Symbol" w:hAnsi="Symbol" w:hint="default"/>
      </w:rPr>
    </w:lvl>
    <w:lvl w:ilvl="7" w:tplc="5B346154">
      <w:start w:val="1"/>
      <w:numFmt w:val="bullet"/>
      <w:lvlText w:val="o"/>
      <w:lvlJc w:val="left"/>
      <w:pPr>
        <w:ind w:left="5760" w:hanging="360"/>
      </w:pPr>
      <w:rPr>
        <w:rFonts w:ascii="Courier New" w:hAnsi="Courier New" w:cs="Times New Roman" w:hint="default"/>
      </w:rPr>
    </w:lvl>
    <w:lvl w:ilvl="8" w:tplc="36ACC1DE">
      <w:start w:val="1"/>
      <w:numFmt w:val="bullet"/>
      <w:lvlText w:val=""/>
      <w:lvlJc w:val="left"/>
      <w:pPr>
        <w:ind w:left="6480" w:hanging="360"/>
      </w:pPr>
      <w:rPr>
        <w:rFonts w:ascii="Wingdings" w:hAnsi="Wingdings" w:hint="default"/>
      </w:rPr>
    </w:lvl>
  </w:abstractNum>
  <w:abstractNum w:abstractNumId="41" w15:restartNumberingAfterBreak="0">
    <w:nsid w:val="1A990A5A"/>
    <w:multiLevelType w:val="hybridMultilevel"/>
    <w:tmpl w:val="AC90B184"/>
    <w:lvl w:ilvl="0" w:tplc="EF763354">
      <w:numFmt w:val="bullet"/>
      <w:lvlText w:val="-"/>
      <w:lvlJc w:val="left"/>
      <w:pPr>
        <w:ind w:left="1080" w:hanging="720"/>
      </w:pPr>
      <w:rPr>
        <w:rFonts w:ascii="EC Square Sans Pro" w:eastAsiaTheme="minorHAnsi" w:hAnsi="EC Square Sans Pro"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1AB26571"/>
    <w:multiLevelType w:val="hybridMultilevel"/>
    <w:tmpl w:val="FAA675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1C47181D"/>
    <w:multiLevelType w:val="multilevel"/>
    <w:tmpl w:val="2A9AD0EE"/>
    <w:styleLink w:val="amprLISTblackbullets"/>
    <w:lvl w:ilvl="0">
      <w:start w:val="1"/>
      <w:numFmt w:val="bullet"/>
      <w:pStyle w:val="amprLISTblackbullets-L1"/>
      <w:lvlText w:val=""/>
      <w:lvlJc w:val="left"/>
      <w:pPr>
        <w:ind w:left="714" w:hanging="357"/>
      </w:pPr>
      <w:rPr>
        <w:rFonts w:ascii="Symbol" w:hAnsi="Symbol" w:hint="default"/>
      </w:rPr>
    </w:lvl>
    <w:lvl w:ilvl="1">
      <w:start w:val="1"/>
      <w:numFmt w:val="bullet"/>
      <w:pStyle w:val="amprLISTblackbullets-L2"/>
      <w:lvlText w:val="—"/>
      <w:lvlJc w:val="left"/>
      <w:pPr>
        <w:ind w:left="1435" w:hanging="358"/>
      </w:pPr>
      <w:rPr>
        <w:rFonts w:ascii="EC Square Sans Pro" w:hAnsi="EC Square Sans Pro" w:hint="default"/>
      </w:rPr>
    </w:lvl>
    <w:lvl w:ilvl="2">
      <w:start w:val="1"/>
      <w:numFmt w:val="bullet"/>
      <w:lvlText w:val=""/>
      <w:lvlJc w:val="left"/>
      <w:pPr>
        <w:ind w:left="2155" w:hanging="355"/>
      </w:pPr>
      <w:rPr>
        <w:rFonts w:ascii="Wingdings" w:hAnsi="Wingdings" w:hint="default"/>
      </w:rPr>
    </w:lvl>
    <w:lvl w:ilvl="3">
      <w:start w:val="1"/>
      <w:numFmt w:val="bullet"/>
      <w:lvlText w:val=""/>
      <w:lvlJc w:val="left"/>
      <w:pPr>
        <w:ind w:left="2875" w:hanging="355"/>
      </w:pPr>
      <w:rPr>
        <w:rFonts w:ascii="Symbol" w:hAnsi="Symbol" w:hint="default"/>
      </w:rPr>
    </w:lvl>
    <w:lvl w:ilvl="4">
      <w:start w:val="1"/>
      <w:numFmt w:val="bullet"/>
      <w:lvlText w:val="o"/>
      <w:lvlJc w:val="left"/>
      <w:pPr>
        <w:ind w:left="3595" w:hanging="355"/>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C7B624F"/>
    <w:multiLevelType w:val="multilevel"/>
    <w:tmpl w:val="8F261078"/>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5" w15:restartNumberingAfterBreak="0">
    <w:nsid w:val="1CE544B3"/>
    <w:multiLevelType w:val="hybridMultilevel"/>
    <w:tmpl w:val="3590501C"/>
    <w:lvl w:ilvl="0" w:tplc="1CE86020">
      <w:start w:val="7"/>
      <w:numFmt w:val="bullet"/>
      <w:lvlText w:val="-"/>
      <w:lvlJc w:val="left"/>
      <w:pPr>
        <w:ind w:left="720" w:hanging="360"/>
      </w:pPr>
      <w:rPr>
        <w:rFonts w:ascii="EC Square Sans Pro" w:eastAsiaTheme="minorHAnsi" w:hAnsi="EC Square Sans Pro" w:cstheme="minorBidi" w:hint="default"/>
        <w:color w:val="C7841A"/>
        <w:sz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E27697D"/>
    <w:multiLevelType w:val="multilevel"/>
    <w:tmpl w:val="50368A80"/>
    <w:lvl w:ilvl="0">
      <w:start w:val="1"/>
      <w:numFmt w:val="bullet"/>
      <w:lvlText w:val=""/>
      <w:lvlJc w:val="left"/>
      <w:pPr>
        <w:ind w:left="1208" w:hanging="357"/>
      </w:pPr>
      <w:rPr>
        <w:rFonts w:ascii="Symbol" w:hAnsi="Symbol" w:hint="default"/>
      </w:rPr>
    </w:lvl>
    <w:lvl w:ilvl="1">
      <w:numFmt w:val="bullet"/>
      <w:lvlText w:val=""/>
      <w:lvlJc w:val="left"/>
      <w:pPr>
        <w:ind w:left="2286" w:hanging="358"/>
      </w:pPr>
      <w:rPr>
        <w:rFonts w:ascii="Wingdings" w:hAnsi="Wingdings" w:hint="default"/>
      </w:rPr>
    </w:lvl>
    <w:lvl w:ilvl="2">
      <w:start w:val="1"/>
      <w:numFmt w:val="bullet"/>
      <w:lvlText w:val="◊"/>
      <w:lvlJc w:val="left"/>
      <w:pPr>
        <w:ind w:left="3363" w:hanging="357"/>
      </w:pPr>
      <w:rPr>
        <w:rFonts w:ascii="EC Square Sans Pro" w:hAnsi="EC Square Sans Pro"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47" w15:restartNumberingAfterBreak="0">
    <w:nsid w:val="1E66570C"/>
    <w:multiLevelType w:val="hybridMultilevel"/>
    <w:tmpl w:val="7D9426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1E6E10C4"/>
    <w:multiLevelType w:val="multilevel"/>
    <w:tmpl w:val="E06C2F6E"/>
    <w:lvl w:ilvl="0">
      <w:start w:val="1"/>
      <w:numFmt w:val="bullet"/>
      <w:lvlText w:val="–"/>
      <w:lvlJc w:val="left"/>
      <w:pPr>
        <w:ind w:left="357" w:hanging="357"/>
      </w:pPr>
      <w:rPr>
        <w:rFonts w:ascii="Arial" w:hAnsi="Arial" w:hint="default"/>
      </w:rPr>
    </w:lvl>
    <w:lvl w:ilvl="1">
      <w:numFmt w:val="bullet"/>
      <w:lvlText w:val=""/>
      <w:lvlJc w:val="left"/>
      <w:pPr>
        <w:ind w:left="1435" w:hanging="358"/>
      </w:pPr>
      <w:rPr>
        <w:rFonts w:ascii="Wingdings" w:hAnsi="Wingdings" w:hint="default"/>
      </w:rPr>
    </w:lvl>
    <w:lvl w:ilvl="2">
      <w:start w:val="1"/>
      <w:numFmt w:val="bullet"/>
      <w:lvlText w:val="◊"/>
      <w:lvlJc w:val="left"/>
      <w:pPr>
        <w:ind w:left="2512" w:hanging="357"/>
      </w:pPr>
      <w:rPr>
        <w:rFonts w:ascii="Verdana" w:hAnsi="Verdana"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1404DE2"/>
    <w:multiLevelType w:val="hybridMultilevel"/>
    <w:tmpl w:val="3522D0D4"/>
    <w:lvl w:ilvl="0" w:tplc="FD44B028">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15:restartNumberingAfterBreak="0">
    <w:nsid w:val="22AA1DB8"/>
    <w:multiLevelType w:val="hybridMultilevel"/>
    <w:tmpl w:val="B20E30C2"/>
    <w:lvl w:ilvl="0" w:tplc="FAFC178A">
      <w:start w:val="1"/>
      <w:numFmt w:val="decimal"/>
      <w:lvlText w:val="%1."/>
      <w:lvlJc w:val="left"/>
      <w:pPr>
        <w:ind w:left="720" w:hanging="360"/>
      </w:pPr>
    </w:lvl>
    <w:lvl w:ilvl="1" w:tplc="87C2B66A">
      <w:start w:val="1"/>
      <w:numFmt w:val="lowerLetter"/>
      <w:lvlText w:val="%2."/>
      <w:lvlJc w:val="left"/>
      <w:pPr>
        <w:ind w:left="1440" w:hanging="360"/>
      </w:pPr>
    </w:lvl>
    <w:lvl w:ilvl="2" w:tplc="A7C02396">
      <w:start w:val="1"/>
      <w:numFmt w:val="lowerRoman"/>
      <w:lvlText w:val="%3."/>
      <w:lvlJc w:val="right"/>
      <w:pPr>
        <w:ind w:left="2160" w:hanging="180"/>
      </w:pPr>
    </w:lvl>
    <w:lvl w:ilvl="3" w:tplc="7660BD18">
      <w:start w:val="1"/>
      <w:numFmt w:val="decimal"/>
      <w:lvlText w:val="%4."/>
      <w:lvlJc w:val="left"/>
      <w:pPr>
        <w:ind w:left="2880" w:hanging="360"/>
      </w:pPr>
    </w:lvl>
    <w:lvl w:ilvl="4" w:tplc="E73C65BE">
      <w:start w:val="1"/>
      <w:numFmt w:val="lowerLetter"/>
      <w:lvlText w:val="%5."/>
      <w:lvlJc w:val="left"/>
      <w:pPr>
        <w:ind w:left="3600" w:hanging="360"/>
      </w:pPr>
    </w:lvl>
    <w:lvl w:ilvl="5" w:tplc="C7AEFA8C">
      <w:start w:val="1"/>
      <w:numFmt w:val="lowerRoman"/>
      <w:lvlText w:val="%6."/>
      <w:lvlJc w:val="right"/>
      <w:pPr>
        <w:ind w:left="4320" w:hanging="180"/>
      </w:pPr>
    </w:lvl>
    <w:lvl w:ilvl="6" w:tplc="88D4CACE">
      <w:start w:val="1"/>
      <w:numFmt w:val="decimal"/>
      <w:lvlText w:val="%7."/>
      <w:lvlJc w:val="left"/>
      <w:pPr>
        <w:ind w:left="5040" w:hanging="360"/>
      </w:pPr>
    </w:lvl>
    <w:lvl w:ilvl="7" w:tplc="F1BE9772">
      <w:start w:val="1"/>
      <w:numFmt w:val="lowerLetter"/>
      <w:lvlText w:val="%8."/>
      <w:lvlJc w:val="left"/>
      <w:pPr>
        <w:ind w:left="5760" w:hanging="360"/>
      </w:pPr>
    </w:lvl>
    <w:lvl w:ilvl="8" w:tplc="743CB460">
      <w:start w:val="1"/>
      <w:numFmt w:val="lowerRoman"/>
      <w:lvlText w:val="%9."/>
      <w:lvlJc w:val="right"/>
      <w:pPr>
        <w:ind w:left="6480" w:hanging="180"/>
      </w:pPr>
    </w:lvl>
  </w:abstractNum>
  <w:abstractNum w:abstractNumId="51" w15:restartNumberingAfterBreak="0">
    <w:nsid w:val="24271A20"/>
    <w:multiLevelType w:val="hybridMultilevel"/>
    <w:tmpl w:val="31D04558"/>
    <w:lvl w:ilvl="0" w:tplc="4216B9F8">
      <w:start w:val="1"/>
      <w:numFmt w:val="decimal"/>
      <w:lvlText w:val="%1."/>
      <w:lvlJc w:val="left"/>
      <w:pPr>
        <w:ind w:left="1077" w:hanging="360"/>
      </w:pPr>
      <w:rPr>
        <w:sz w:val="22"/>
        <w:szCs w:val="18"/>
      </w:rPr>
    </w:lvl>
    <w:lvl w:ilvl="1" w:tplc="CCC670C0">
      <w:start w:val="1"/>
      <w:numFmt w:val="lowerLetter"/>
      <w:lvlText w:val="%2)"/>
      <w:lvlJc w:val="left"/>
      <w:pPr>
        <w:ind w:left="2157" w:hanging="720"/>
      </w:pPr>
      <w:rPr>
        <w:rFonts w:hint="default"/>
      </w:rPr>
    </w:lvl>
    <w:lvl w:ilvl="2" w:tplc="1809001B" w:tentative="1">
      <w:start w:val="1"/>
      <w:numFmt w:val="lowerRoman"/>
      <w:lvlText w:val="%3."/>
      <w:lvlJc w:val="right"/>
      <w:pPr>
        <w:ind w:left="2517" w:hanging="180"/>
      </w:pPr>
    </w:lvl>
    <w:lvl w:ilvl="3" w:tplc="1809000F" w:tentative="1">
      <w:start w:val="1"/>
      <w:numFmt w:val="decimal"/>
      <w:lvlText w:val="%4."/>
      <w:lvlJc w:val="left"/>
      <w:pPr>
        <w:ind w:left="3237" w:hanging="360"/>
      </w:pPr>
    </w:lvl>
    <w:lvl w:ilvl="4" w:tplc="18090019" w:tentative="1">
      <w:start w:val="1"/>
      <w:numFmt w:val="lowerLetter"/>
      <w:lvlText w:val="%5."/>
      <w:lvlJc w:val="left"/>
      <w:pPr>
        <w:ind w:left="3957" w:hanging="360"/>
      </w:pPr>
    </w:lvl>
    <w:lvl w:ilvl="5" w:tplc="1809001B" w:tentative="1">
      <w:start w:val="1"/>
      <w:numFmt w:val="lowerRoman"/>
      <w:lvlText w:val="%6."/>
      <w:lvlJc w:val="right"/>
      <w:pPr>
        <w:ind w:left="4677" w:hanging="180"/>
      </w:pPr>
    </w:lvl>
    <w:lvl w:ilvl="6" w:tplc="1809000F" w:tentative="1">
      <w:start w:val="1"/>
      <w:numFmt w:val="decimal"/>
      <w:lvlText w:val="%7."/>
      <w:lvlJc w:val="left"/>
      <w:pPr>
        <w:ind w:left="5397" w:hanging="360"/>
      </w:pPr>
    </w:lvl>
    <w:lvl w:ilvl="7" w:tplc="18090019" w:tentative="1">
      <w:start w:val="1"/>
      <w:numFmt w:val="lowerLetter"/>
      <w:lvlText w:val="%8."/>
      <w:lvlJc w:val="left"/>
      <w:pPr>
        <w:ind w:left="6117" w:hanging="360"/>
      </w:pPr>
    </w:lvl>
    <w:lvl w:ilvl="8" w:tplc="1809001B" w:tentative="1">
      <w:start w:val="1"/>
      <w:numFmt w:val="lowerRoman"/>
      <w:lvlText w:val="%9."/>
      <w:lvlJc w:val="right"/>
      <w:pPr>
        <w:ind w:left="6837" w:hanging="180"/>
      </w:pPr>
    </w:lvl>
  </w:abstractNum>
  <w:abstractNum w:abstractNumId="52" w15:restartNumberingAfterBreak="0">
    <w:nsid w:val="24A92EAC"/>
    <w:multiLevelType w:val="hybridMultilevel"/>
    <w:tmpl w:val="ECBEB8A0"/>
    <w:lvl w:ilvl="0" w:tplc="615EB44A">
      <w:start w:val="2"/>
      <w:numFmt w:val="bullet"/>
      <w:lvlText w:val="-"/>
      <w:lvlJc w:val="left"/>
      <w:pPr>
        <w:ind w:left="720" w:hanging="360"/>
      </w:pPr>
      <w:rPr>
        <w:rFonts w:ascii="EC Square Sans Pro" w:eastAsiaTheme="minorHAnsi" w:hAnsi="EC Square Sans Pro"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252A6EA0"/>
    <w:multiLevelType w:val="hybridMultilevel"/>
    <w:tmpl w:val="6C903CAE"/>
    <w:lvl w:ilvl="0" w:tplc="6E400476">
      <w:start w:val="1"/>
      <w:numFmt w:val="bullet"/>
      <w:lvlText w:val="-"/>
      <w:lvlJc w:val="left"/>
      <w:pPr>
        <w:ind w:left="720" w:hanging="360"/>
      </w:pPr>
      <w:rPr>
        <w:rFonts w:ascii="Symbol" w:hAnsi="Symbol" w:hint="default"/>
      </w:rPr>
    </w:lvl>
    <w:lvl w:ilvl="1" w:tplc="5C3A93F6">
      <w:start w:val="1"/>
      <w:numFmt w:val="bullet"/>
      <w:lvlText w:val="o"/>
      <w:lvlJc w:val="left"/>
      <w:pPr>
        <w:ind w:left="1440" w:hanging="360"/>
      </w:pPr>
      <w:rPr>
        <w:rFonts w:ascii="Courier New" w:hAnsi="Courier New" w:hint="default"/>
      </w:rPr>
    </w:lvl>
    <w:lvl w:ilvl="2" w:tplc="B718A2CA">
      <w:start w:val="1"/>
      <w:numFmt w:val="bullet"/>
      <w:lvlText w:val=""/>
      <w:lvlJc w:val="left"/>
      <w:pPr>
        <w:ind w:left="2160" w:hanging="360"/>
      </w:pPr>
      <w:rPr>
        <w:rFonts w:ascii="Wingdings" w:hAnsi="Wingdings" w:hint="default"/>
      </w:rPr>
    </w:lvl>
    <w:lvl w:ilvl="3" w:tplc="8668D9F8">
      <w:start w:val="1"/>
      <w:numFmt w:val="bullet"/>
      <w:lvlText w:val=""/>
      <w:lvlJc w:val="left"/>
      <w:pPr>
        <w:ind w:left="2880" w:hanging="360"/>
      </w:pPr>
      <w:rPr>
        <w:rFonts w:ascii="Symbol" w:hAnsi="Symbol" w:hint="default"/>
      </w:rPr>
    </w:lvl>
    <w:lvl w:ilvl="4" w:tplc="BCDE46D2">
      <w:start w:val="1"/>
      <w:numFmt w:val="bullet"/>
      <w:lvlText w:val="o"/>
      <w:lvlJc w:val="left"/>
      <w:pPr>
        <w:ind w:left="3600" w:hanging="360"/>
      </w:pPr>
      <w:rPr>
        <w:rFonts w:ascii="Courier New" w:hAnsi="Courier New" w:hint="default"/>
      </w:rPr>
    </w:lvl>
    <w:lvl w:ilvl="5" w:tplc="370C2580">
      <w:start w:val="1"/>
      <w:numFmt w:val="bullet"/>
      <w:lvlText w:val=""/>
      <w:lvlJc w:val="left"/>
      <w:pPr>
        <w:ind w:left="4320" w:hanging="360"/>
      </w:pPr>
      <w:rPr>
        <w:rFonts w:ascii="Wingdings" w:hAnsi="Wingdings" w:hint="default"/>
      </w:rPr>
    </w:lvl>
    <w:lvl w:ilvl="6" w:tplc="21A2ADD8">
      <w:start w:val="1"/>
      <w:numFmt w:val="bullet"/>
      <w:lvlText w:val=""/>
      <w:lvlJc w:val="left"/>
      <w:pPr>
        <w:ind w:left="5040" w:hanging="360"/>
      </w:pPr>
      <w:rPr>
        <w:rFonts w:ascii="Symbol" w:hAnsi="Symbol" w:hint="default"/>
      </w:rPr>
    </w:lvl>
    <w:lvl w:ilvl="7" w:tplc="C866AE12">
      <w:start w:val="1"/>
      <w:numFmt w:val="bullet"/>
      <w:lvlText w:val="o"/>
      <w:lvlJc w:val="left"/>
      <w:pPr>
        <w:ind w:left="5760" w:hanging="360"/>
      </w:pPr>
      <w:rPr>
        <w:rFonts w:ascii="Courier New" w:hAnsi="Courier New" w:hint="default"/>
      </w:rPr>
    </w:lvl>
    <w:lvl w:ilvl="8" w:tplc="6DC21122">
      <w:start w:val="1"/>
      <w:numFmt w:val="bullet"/>
      <w:lvlText w:val=""/>
      <w:lvlJc w:val="left"/>
      <w:pPr>
        <w:ind w:left="6480" w:hanging="360"/>
      </w:pPr>
      <w:rPr>
        <w:rFonts w:ascii="Wingdings" w:hAnsi="Wingdings" w:hint="default"/>
      </w:rPr>
    </w:lvl>
  </w:abstractNum>
  <w:abstractNum w:abstractNumId="54" w15:restartNumberingAfterBreak="0">
    <w:nsid w:val="263F66C5"/>
    <w:multiLevelType w:val="hybridMultilevel"/>
    <w:tmpl w:val="BE009CB0"/>
    <w:lvl w:ilvl="0" w:tplc="3398D736">
      <w:start w:val="4"/>
      <w:numFmt w:val="bullet"/>
      <w:lvlText w:val="-"/>
      <w:lvlJc w:val="left"/>
      <w:pPr>
        <w:ind w:left="360" w:hanging="360"/>
      </w:pPr>
      <w:rPr>
        <w:rFonts w:ascii="Times New Roman" w:eastAsia="Times New Roman" w:hAnsi="Times New Roman"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5" w15:restartNumberingAfterBreak="0">
    <w:nsid w:val="2AB22A4D"/>
    <w:multiLevelType w:val="multilevel"/>
    <w:tmpl w:val="78248A56"/>
    <w:numStyleLink w:val="amprLISTgreenbullets"/>
  </w:abstractNum>
  <w:abstractNum w:abstractNumId="56" w15:restartNumberingAfterBreak="0">
    <w:nsid w:val="2AC74405"/>
    <w:multiLevelType w:val="hybridMultilevel"/>
    <w:tmpl w:val="5CE66644"/>
    <w:lvl w:ilvl="0" w:tplc="33C222F4">
      <w:start w:val="1"/>
      <w:numFmt w:val="bullet"/>
      <w:lvlText w:val="­"/>
      <w:lvlJc w:val="left"/>
      <w:pPr>
        <w:ind w:left="1077" w:hanging="360"/>
      </w:pPr>
      <w:rPr>
        <w:rFonts w:ascii="Courier New" w:hAnsi="Courier New" w:hint="default"/>
      </w:rPr>
    </w:lvl>
    <w:lvl w:ilvl="1" w:tplc="18090003" w:tentative="1">
      <w:start w:val="1"/>
      <w:numFmt w:val="bullet"/>
      <w:lvlText w:val="o"/>
      <w:lvlJc w:val="left"/>
      <w:pPr>
        <w:ind w:left="1797" w:hanging="360"/>
      </w:pPr>
      <w:rPr>
        <w:rFonts w:ascii="Courier New" w:hAnsi="Courier New" w:cs="Courier New" w:hint="default"/>
      </w:rPr>
    </w:lvl>
    <w:lvl w:ilvl="2" w:tplc="18090005" w:tentative="1">
      <w:start w:val="1"/>
      <w:numFmt w:val="bullet"/>
      <w:lvlText w:val=""/>
      <w:lvlJc w:val="left"/>
      <w:pPr>
        <w:ind w:left="2517" w:hanging="360"/>
      </w:pPr>
      <w:rPr>
        <w:rFonts w:ascii="Wingdings" w:hAnsi="Wingdings" w:hint="default"/>
      </w:rPr>
    </w:lvl>
    <w:lvl w:ilvl="3" w:tplc="18090001" w:tentative="1">
      <w:start w:val="1"/>
      <w:numFmt w:val="bullet"/>
      <w:lvlText w:val=""/>
      <w:lvlJc w:val="left"/>
      <w:pPr>
        <w:ind w:left="3237" w:hanging="360"/>
      </w:pPr>
      <w:rPr>
        <w:rFonts w:ascii="Symbol" w:hAnsi="Symbol" w:hint="default"/>
      </w:rPr>
    </w:lvl>
    <w:lvl w:ilvl="4" w:tplc="18090003" w:tentative="1">
      <w:start w:val="1"/>
      <w:numFmt w:val="bullet"/>
      <w:lvlText w:val="o"/>
      <w:lvlJc w:val="left"/>
      <w:pPr>
        <w:ind w:left="3957" w:hanging="360"/>
      </w:pPr>
      <w:rPr>
        <w:rFonts w:ascii="Courier New" w:hAnsi="Courier New" w:cs="Courier New" w:hint="default"/>
      </w:rPr>
    </w:lvl>
    <w:lvl w:ilvl="5" w:tplc="18090005" w:tentative="1">
      <w:start w:val="1"/>
      <w:numFmt w:val="bullet"/>
      <w:lvlText w:val=""/>
      <w:lvlJc w:val="left"/>
      <w:pPr>
        <w:ind w:left="4677" w:hanging="360"/>
      </w:pPr>
      <w:rPr>
        <w:rFonts w:ascii="Wingdings" w:hAnsi="Wingdings" w:hint="default"/>
      </w:rPr>
    </w:lvl>
    <w:lvl w:ilvl="6" w:tplc="18090001" w:tentative="1">
      <w:start w:val="1"/>
      <w:numFmt w:val="bullet"/>
      <w:lvlText w:val=""/>
      <w:lvlJc w:val="left"/>
      <w:pPr>
        <w:ind w:left="5397" w:hanging="360"/>
      </w:pPr>
      <w:rPr>
        <w:rFonts w:ascii="Symbol" w:hAnsi="Symbol" w:hint="default"/>
      </w:rPr>
    </w:lvl>
    <w:lvl w:ilvl="7" w:tplc="18090003" w:tentative="1">
      <w:start w:val="1"/>
      <w:numFmt w:val="bullet"/>
      <w:lvlText w:val="o"/>
      <w:lvlJc w:val="left"/>
      <w:pPr>
        <w:ind w:left="6117" w:hanging="360"/>
      </w:pPr>
      <w:rPr>
        <w:rFonts w:ascii="Courier New" w:hAnsi="Courier New" w:cs="Courier New" w:hint="default"/>
      </w:rPr>
    </w:lvl>
    <w:lvl w:ilvl="8" w:tplc="18090005" w:tentative="1">
      <w:start w:val="1"/>
      <w:numFmt w:val="bullet"/>
      <w:lvlText w:val=""/>
      <w:lvlJc w:val="left"/>
      <w:pPr>
        <w:ind w:left="6837" w:hanging="360"/>
      </w:pPr>
      <w:rPr>
        <w:rFonts w:ascii="Wingdings" w:hAnsi="Wingdings" w:hint="default"/>
      </w:rPr>
    </w:lvl>
  </w:abstractNum>
  <w:abstractNum w:abstractNumId="57" w15:restartNumberingAfterBreak="0">
    <w:nsid w:val="2C127BBC"/>
    <w:multiLevelType w:val="multilevel"/>
    <w:tmpl w:val="8E667F62"/>
    <w:numStyleLink w:val="PPOLISTHyphened"/>
  </w:abstractNum>
  <w:abstractNum w:abstractNumId="58" w15:restartNumberingAfterBreak="0">
    <w:nsid w:val="2C8DFDF8"/>
    <w:multiLevelType w:val="multilevel"/>
    <w:tmpl w:val="74627810"/>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9" w15:restartNumberingAfterBreak="0">
    <w:nsid w:val="2D1B1409"/>
    <w:multiLevelType w:val="hybridMultilevel"/>
    <w:tmpl w:val="4AEEF572"/>
    <w:lvl w:ilvl="0" w:tplc="DAD829EA">
      <w:numFmt w:val="bullet"/>
      <w:lvlText w:val="-"/>
      <w:lvlJc w:val="left"/>
      <w:pPr>
        <w:ind w:left="720" w:hanging="360"/>
      </w:pPr>
      <w:rPr>
        <w:rFonts w:ascii="EC Square Sans Pro" w:eastAsiaTheme="minorHAnsi" w:hAnsi="EC Square Sans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D293CE3"/>
    <w:multiLevelType w:val="multilevel"/>
    <w:tmpl w:val="ADA87994"/>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1" w15:restartNumberingAfterBreak="0">
    <w:nsid w:val="2D293CF4"/>
    <w:multiLevelType w:val="multilevel"/>
    <w:tmpl w:val="117625C8"/>
    <w:name w:val="ContNumNumbering"/>
    <w:lvl w:ilvl="0">
      <w:start w:val="1"/>
      <w:numFmt w:val="decimal"/>
      <w:pStyle w:val="ContNum"/>
      <w:lvlText w:val="%1."/>
      <w:lvlJc w:val="left"/>
      <w:pPr>
        <w:tabs>
          <w:tab w:val="num" w:pos="476"/>
        </w:tabs>
        <w:ind w:left="476" w:hanging="476"/>
      </w:pPr>
      <w:rPr>
        <w:rFonts w:hint="default"/>
      </w:r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2" w15:restartNumberingAfterBreak="0">
    <w:nsid w:val="2E750894"/>
    <w:multiLevelType w:val="hybridMultilevel"/>
    <w:tmpl w:val="757EE64E"/>
    <w:lvl w:ilvl="0" w:tplc="8264D7DC">
      <w:start w:val="1"/>
      <w:numFmt w:val="bullet"/>
      <w:lvlText w:val=""/>
      <w:lvlJc w:val="left"/>
      <w:pPr>
        <w:ind w:left="720" w:hanging="360"/>
      </w:pPr>
      <w:rPr>
        <w:rFonts w:ascii="Symbol" w:hAnsi="Symbol" w:hint="default"/>
      </w:rPr>
    </w:lvl>
    <w:lvl w:ilvl="1" w:tplc="01C43484">
      <w:numFmt w:val="decimal"/>
      <w:lvlText w:val=""/>
      <w:lvlJc w:val="left"/>
    </w:lvl>
    <w:lvl w:ilvl="2" w:tplc="F3FA85A0">
      <w:numFmt w:val="decimal"/>
      <w:lvlText w:val=""/>
      <w:lvlJc w:val="left"/>
    </w:lvl>
    <w:lvl w:ilvl="3" w:tplc="D37266A0">
      <w:numFmt w:val="decimal"/>
      <w:lvlText w:val=""/>
      <w:lvlJc w:val="left"/>
    </w:lvl>
    <w:lvl w:ilvl="4" w:tplc="81703A6A">
      <w:numFmt w:val="decimal"/>
      <w:lvlText w:val=""/>
      <w:lvlJc w:val="left"/>
    </w:lvl>
    <w:lvl w:ilvl="5" w:tplc="63E0F3BC">
      <w:numFmt w:val="decimal"/>
      <w:lvlText w:val=""/>
      <w:lvlJc w:val="left"/>
    </w:lvl>
    <w:lvl w:ilvl="6" w:tplc="259A0E30">
      <w:numFmt w:val="decimal"/>
      <w:lvlText w:val=""/>
      <w:lvlJc w:val="left"/>
    </w:lvl>
    <w:lvl w:ilvl="7" w:tplc="99DE575A">
      <w:numFmt w:val="decimal"/>
      <w:lvlText w:val=""/>
      <w:lvlJc w:val="left"/>
    </w:lvl>
    <w:lvl w:ilvl="8" w:tplc="A766A4E8">
      <w:numFmt w:val="decimal"/>
      <w:lvlText w:val=""/>
      <w:lvlJc w:val="left"/>
    </w:lvl>
  </w:abstractNum>
  <w:abstractNum w:abstractNumId="63" w15:restartNumberingAfterBreak="0">
    <w:nsid w:val="309C18B6"/>
    <w:multiLevelType w:val="multilevel"/>
    <w:tmpl w:val="6110FEBA"/>
    <w:name w:val="ListNumberNonindentedNumbering65"/>
    <w:styleLink w:val="amprLIST-Mixed"/>
    <w:lvl w:ilvl="0">
      <w:start w:val="1"/>
      <w:numFmt w:val="decimal"/>
      <w:pStyle w:val="amprLISTMixed-L1"/>
      <w:lvlText w:val="%1."/>
      <w:lvlJc w:val="left"/>
      <w:pPr>
        <w:ind w:left="714" w:hanging="357"/>
      </w:pPr>
      <w:rPr>
        <w:rFonts w:hint="default"/>
      </w:rPr>
    </w:lvl>
    <w:lvl w:ilvl="1">
      <w:start w:val="1"/>
      <w:numFmt w:val="lowerLetter"/>
      <w:pStyle w:val="amprLISTMixed-L2"/>
      <w:lvlText w:val="(%2)"/>
      <w:lvlJc w:val="left"/>
      <w:pPr>
        <w:ind w:left="1071" w:hanging="357"/>
      </w:pPr>
      <w:rPr>
        <w:rFonts w:hint="default"/>
      </w:rPr>
    </w:lvl>
    <w:lvl w:ilvl="2">
      <w:start w:val="1"/>
      <w:numFmt w:val="bullet"/>
      <w:pStyle w:val="amprLISTMixed-L3"/>
      <w:lvlText w:val="—"/>
      <w:lvlJc w:val="left"/>
      <w:pPr>
        <w:ind w:left="1428" w:hanging="357"/>
      </w:pPr>
      <w:rPr>
        <w:rFonts w:ascii="Proxima Nova" w:hAnsi="Proxima Nova" w:hint="default"/>
        <w:color w:val="auto"/>
      </w:rPr>
    </w:lvl>
    <w:lvl w:ilvl="3">
      <w:start w:val="1"/>
      <w:numFmt w:val="decimal"/>
      <w:lvlText w:val="(%4)"/>
      <w:lvlJc w:val="left"/>
      <w:pPr>
        <w:ind w:left="1785" w:hanging="357"/>
      </w:pPr>
      <w:rPr>
        <w:rFonts w:hint="default"/>
      </w:rPr>
    </w:lvl>
    <w:lvl w:ilvl="4">
      <w:start w:val="1"/>
      <w:numFmt w:val="lowerLetter"/>
      <w:lvlText w:val="(%5)"/>
      <w:lvlJc w:val="left"/>
      <w:pPr>
        <w:ind w:left="2142" w:hanging="357"/>
      </w:pPr>
      <w:rPr>
        <w:rFonts w:hint="default"/>
      </w:rPr>
    </w:lvl>
    <w:lvl w:ilvl="5">
      <w:start w:val="1"/>
      <w:numFmt w:val="lowerRoman"/>
      <w:lvlText w:val="(%6)"/>
      <w:lvlJc w:val="left"/>
      <w:pPr>
        <w:ind w:left="2499" w:hanging="357"/>
      </w:pPr>
      <w:rPr>
        <w:rFonts w:hint="default"/>
      </w:rPr>
    </w:lvl>
    <w:lvl w:ilvl="6">
      <w:start w:val="1"/>
      <w:numFmt w:val="decimal"/>
      <w:lvlText w:val="%7."/>
      <w:lvlJc w:val="left"/>
      <w:pPr>
        <w:ind w:left="2856" w:hanging="357"/>
      </w:pPr>
      <w:rPr>
        <w:rFonts w:hint="default"/>
      </w:rPr>
    </w:lvl>
    <w:lvl w:ilvl="7">
      <w:start w:val="1"/>
      <w:numFmt w:val="lowerLetter"/>
      <w:lvlText w:val="%8."/>
      <w:lvlJc w:val="left"/>
      <w:pPr>
        <w:ind w:left="3213" w:hanging="357"/>
      </w:pPr>
      <w:rPr>
        <w:rFonts w:hint="default"/>
      </w:rPr>
    </w:lvl>
    <w:lvl w:ilvl="8">
      <w:start w:val="1"/>
      <w:numFmt w:val="lowerRoman"/>
      <w:lvlText w:val="%9."/>
      <w:lvlJc w:val="left"/>
      <w:pPr>
        <w:ind w:left="3570" w:hanging="357"/>
      </w:pPr>
      <w:rPr>
        <w:rFonts w:hint="default"/>
      </w:rPr>
    </w:lvl>
  </w:abstractNum>
  <w:abstractNum w:abstractNumId="64" w15:restartNumberingAfterBreak="0">
    <w:nsid w:val="32CE3C72"/>
    <w:multiLevelType w:val="hybridMultilevel"/>
    <w:tmpl w:val="39E0BB52"/>
    <w:lvl w:ilvl="0" w:tplc="CA606920">
      <w:start w:val="1"/>
      <w:numFmt w:val="bullet"/>
      <w:pStyle w:val="amprboxBLUEdashed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39803C9"/>
    <w:multiLevelType w:val="multilevel"/>
    <w:tmpl w:val="B96E5C80"/>
    <w:styleLink w:val="PPOLISTBlackBULLETS"/>
    <w:lvl w:ilvl="0">
      <w:start w:val="1"/>
      <w:numFmt w:val="bullet"/>
      <w:pStyle w:val="PPOBlackBULLETS-L1"/>
      <w:lvlText w:val=""/>
      <w:lvlJc w:val="left"/>
      <w:pPr>
        <w:ind w:left="499" w:hanging="357"/>
      </w:pPr>
      <w:rPr>
        <w:rFonts w:ascii="Symbol" w:hAnsi="Symbol" w:cs="Times New Roman" w:hint="default"/>
      </w:rPr>
    </w:lvl>
    <w:lvl w:ilvl="1">
      <w:start w:val="1"/>
      <w:numFmt w:val="bullet"/>
      <w:pStyle w:val="PPOBlackBULLETS-L2"/>
      <w:lvlText w:val="o"/>
      <w:lvlJc w:val="left"/>
      <w:pPr>
        <w:ind w:left="1077" w:hanging="357"/>
      </w:pPr>
      <w:rPr>
        <w:rFonts w:ascii="Courier New" w:hAnsi="Courier New" w:cs="Courier New" w:hint="default"/>
      </w:rPr>
    </w:lvl>
    <w:lvl w:ilvl="2">
      <w:start w:val="1"/>
      <w:numFmt w:val="bullet"/>
      <w:lvlText w:val=""/>
      <w:lvlJc w:val="left"/>
      <w:pPr>
        <w:ind w:left="1656" w:hanging="358"/>
      </w:pPr>
      <w:rPr>
        <w:rFonts w:ascii="Wingdings" w:hAnsi="Wingdings" w:cs="Times New Roman" w:hint="default"/>
      </w:rPr>
    </w:lvl>
    <w:lvl w:ilvl="3">
      <w:start w:val="1"/>
      <w:numFmt w:val="bullet"/>
      <w:lvlText w:val=""/>
      <w:lvlJc w:val="left"/>
      <w:pPr>
        <w:ind w:left="2234" w:hanging="357"/>
      </w:pPr>
      <w:rPr>
        <w:rFonts w:ascii="Symbol" w:hAnsi="Symbol" w:cs="Times New Roman" w:hint="default"/>
      </w:rPr>
    </w:lvl>
    <w:lvl w:ilvl="4">
      <w:start w:val="1"/>
      <w:numFmt w:val="bullet"/>
      <w:lvlText w:val="o"/>
      <w:lvlJc w:val="left"/>
      <w:pPr>
        <w:ind w:left="2812" w:hanging="357"/>
      </w:pPr>
      <w:rPr>
        <w:rFonts w:ascii="Courier New" w:hAnsi="Courier New" w:cs="Courier New" w:hint="default"/>
      </w:rPr>
    </w:lvl>
    <w:lvl w:ilvl="5">
      <w:start w:val="1"/>
      <w:numFmt w:val="bullet"/>
      <w:lvlText w:val=""/>
      <w:lvlJc w:val="left"/>
      <w:pPr>
        <w:ind w:left="3391" w:hanging="358"/>
      </w:pPr>
      <w:rPr>
        <w:rFonts w:ascii="Wingdings" w:hAnsi="Wingdings" w:cs="Times New Roman" w:hint="default"/>
      </w:rPr>
    </w:lvl>
    <w:lvl w:ilvl="6">
      <w:start w:val="1"/>
      <w:numFmt w:val="bullet"/>
      <w:lvlText w:val=""/>
      <w:lvlJc w:val="left"/>
      <w:pPr>
        <w:ind w:left="5182" w:hanging="360"/>
      </w:pPr>
      <w:rPr>
        <w:rFonts w:ascii="Symbol" w:hAnsi="Symbol" w:cs="Times New Roman"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Times New Roman" w:hint="default"/>
      </w:rPr>
    </w:lvl>
  </w:abstractNum>
  <w:abstractNum w:abstractNumId="66" w15:restartNumberingAfterBreak="0">
    <w:nsid w:val="349D1C11"/>
    <w:multiLevelType w:val="multilevel"/>
    <w:tmpl w:val="E98E9036"/>
    <w:lvl w:ilvl="0">
      <w:start w:val="1"/>
      <w:numFmt w:val="bullet"/>
      <w:lvlText w:val="­"/>
      <w:lvlJc w:val="left"/>
      <w:pPr>
        <w:ind w:left="357" w:hanging="357"/>
      </w:pPr>
      <w:rPr>
        <w:rFonts w:ascii="Courier New" w:hAnsi="Courier New" w:hint="default"/>
      </w:rPr>
    </w:lvl>
    <w:lvl w:ilvl="1">
      <w:start w:val="1"/>
      <w:numFmt w:val="lowerLetter"/>
      <w:lvlText w:val="%2."/>
      <w:lvlJc w:val="left"/>
      <w:pPr>
        <w:ind w:left="1435" w:hanging="355"/>
      </w:pPr>
    </w:lvl>
    <w:lvl w:ilvl="2">
      <w:start w:val="1"/>
      <w:numFmt w:val="lowerRoman"/>
      <w:lvlText w:val="(%3)"/>
      <w:lvlJc w:val="left"/>
      <w:pPr>
        <w:ind w:left="2512" w:hanging="357"/>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36324F1E"/>
    <w:multiLevelType w:val="multilevel"/>
    <w:tmpl w:val="0CAA40F6"/>
    <w:name w:val="ListDash3Numbering"/>
    <w:lvl w:ilvl="0">
      <w:start w:val="1"/>
      <w:numFmt w:val="bullet"/>
      <w:pStyle w:val="ListDash3"/>
      <w:lvlText w:val="–"/>
      <w:lvlJc w:val="left"/>
      <w:pPr>
        <w:tabs>
          <w:tab w:val="num" w:pos="2200"/>
        </w:tabs>
        <w:ind w:left="2200" w:hanging="284"/>
      </w:pPr>
      <w:rPr>
        <w:rFonts w:ascii="Times New Roman" w:hAnsi="Times New Roman"/>
      </w:rPr>
    </w:lvl>
    <w:lvl w:ilvl="1">
      <w:start w:val="1"/>
      <w:numFmt w:val="bullet"/>
      <w:pStyle w:val="ListDash3Level2"/>
      <w:lvlText w:val="–"/>
      <w:lvlJc w:val="left"/>
      <w:pPr>
        <w:tabs>
          <w:tab w:val="num" w:pos="2483"/>
        </w:tabs>
        <w:ind w:left="2483" w:hanging="283"/>
      </w:pPr>
      <w:rPr>
        <w:rFonts w:ascii="Times New Roman" w:hAnsi="Times New Roman"/>
      </w:rPr>
    </w:lvl>
    <w:lvl w:ilvl="2">
      <w:start w:val="1"/>
      <w:numFmt w:val="bullet"/>
      <w:pStyle w:val="ListDash3Level3"/>
      <w:lvlText w:val="–"/>
      <w:lvlJc w:val="left"/>
      <w:pPr>
        <w:tabs>
          <w:tab w:val="num" w:pos="2767"/>
        </w:tabs>
        <w:ind w:left="2767" w:hanging="284"/>
      </w:pPr>
      <w:rPr>
        <w:rFonts w:ascii="Times New Roman" w:hAnsi="Times New Roman"/>
      </w:rPr>
    </w:lvl>
    <w:lvl w:ilvl="3">
      <w:start w:val="1"/>
      <w:numFmt w:val="bullet"/>
      <w:pStyle w:val="ListDash3Level4"/>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8" w15:restartNumberingAfterBreak="0">
    <w:nsid w:val="37CB1E1C"/>
    <w:multiLevelType w:val="multilevel"/>
    <w:tmpl w:val="3CC6F264"/>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9" w15:restartNumberingAfterBreak="0">
    <w:nsid w:val="38C9392B"/>
    <w:multiLevelType w:val="hybridMultilevel"/>
    <w:tmpl w:val="D3A878E8"/>
    <w:lvl w:ilvl="0" w:tplc="33C222F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9037A16"/>
    <w:multiLevelType w:val="multilevel"/>
    <w:tmpl w:val="B80C5162"/>
    <w:lvl w:ilvl="0">
      <w:start w:val="1"/>
      <w:numFmt w:val="decimal"/>
      <w:lvlText w:val="%1."/>
      <w:lvlJc w:val="left"/>
      <w:pPr>
        <w:ind w:left="357" w:hanging="357"/>
      </w:pPr>
      <w:rPr>
        <w:rFonts w:hint="default"/>
      </w:rPr>
    </w:lvl>
    <w:lvl w:ilvl="1">
      <w:start w:val="1"/>
      <w:numFmt w:val="lowerLetter"/>
      <w:lvlText w:val="%2."/>
      <w:lvlJc w:val="left"/>
      <w:pPr>
        <w:ind w:left="1435" w:hanging="355"/>
      </w:pPr>
      <w:rPr>
        <w:rFonts w:hint="default"/>
      </w:rPr>
    </w:lvl>
    <w:lvl w:ilvl="2">
      <w:start w:val="1"/>
      <w:numFmt w:val="lowerRoman"/>
      <w:lvlText w:val="(%3)"/>
      <w:lvlJc w:val="left"/>
      <w:pPr>
        <w:ind w:left="2512"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15:restartNumberingAfterBreak="0">
    <w:nsid w:val="39DF6073"/>
    <w:multiLevelType w:val="hybridMultilevel"/>
    <w:tmpl w:val="468E39C4"/>
    <w:lvl w:ilvl="0" w:tplc="6CA455BA">
      <w:start w:val="10"/>
      <w:numFmt w:val="bullet"/>
      <w:lvlText w:val="-"/>
      <w:lvlJc w:val="left"/>
      <w:pPr>
        <w:ind w:left="720" w:hanging="360"/>
      </w:pPr>
      <w:rPr>
        <w:rFonts w:ascii="EC Square Sans Pro" w:eastAsiaTheme="minorHAnsi" w:hAnsi="EC Square Sans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7730C4"/>
    <w:multiLevelType w:val="multilevel"/>
    <w:tmpl w:val="9600E84E"/>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3" w15:restartNumberingAfterBreak="0">
    <w:nsid w:val="3B1A17B2"/>
    <w:multiLevelType w:val="multilevel"/>
    <w:tmpl w:val="6110FEBA"/>
    <w:numStyleLink w:val="amprLIST-Mixed"/>
  </w:abstractNum>
  <w:abstractNum w:abstractNumId="74" w15:restartNumberingAfterBreak="0">
    <w:nsid w:val="3CCE5A7A"/>
    <w:multiLevelType w:val="hybridMultilevel"/>
    <w:tmpl w:val="7042F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E4E69CD"/>
    <w:multiLevelType w:val="multilevel"/>
    <w:tmpl w:val="5A32A1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3F100E9D"/>
    <w:multiLevelType w:val="hybridMultilevel"/>
    <w:tmpl w:val="88BE652C"/>
    <w:lvl w:ilvl="0" w:tplc="F6A6F02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1D7518"/>
    <w:multiLevelType w:val="multilevel"/>
    <w:tmpl w:val="4876269E"/>
    <w:styleLink w:val="PPOLISTArabic1aiii"/>
    <w:lvl w:ilvl="0">
      <w:start w:val="1"/>
      <w:numFmt w:val="decimal"/>
      <w:pStyle w:val="ppoListArabic1aiii-L1"/>
      <w:lvlText w:val="%1."/>
      <w:lvlJc w:val="left"/>
      <w:pPr>
        <w:ind w:left="357" w:hanging="357"/>
      </w:pPr>
    </w:lvl>
    <w:lvl w:ilvl="1">
      <w:start w:val="1"/>
      <w:numFmt w:val="lowerLetter"/>
      <w:pStyle w:val="ppoListArabic1aiii-L2"/>
      <w:lvlText w:val="%2."/>
      <w:lvlJc w:val="left"/>
      <w:pPr>
        <w:ind w:left="1435" w:hanging="355"/>
      </w:pPr>
    </w:lvl>
    <w:lvl w:ilvl="2">
      <w:start w:val="1"/>
      <w:numFmt w:val="lowerRoman"/>
      <w:pStyle w:val="ppoListArabic1aiii-L3"/>
      <w:lvlText w:val="(%3)"/>
      <w:lvlJc w:val="left"/>
      <w:pPr>
        <w:ind w:left="2512" w:hanging="357"/>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428415E7"/>
    <w:multiLevelType w:val="multilevel"/>
    <w:tmpl w:val="92100ADA"/>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9" w15:restartNumberingAfterBreak="0">
    <w:nsid w:val="429E662A"/>
    <w:multiLevelType w:val="multilevel"/>
    <w:tmpl w:val="5E462B5A"/>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0" w15:restartNumberingAfterBreak="0">
    <w:nsid w:val="43850A2D"/>
    <w:multiLevelType w:val="hybridMultilevel"/>
    <w:tmpl w:val="0C9AAF50"/>
    <w:lvl w:ilvl="0" w:tplc="325C4726">
      <w:numFmt w:val="bullet"/>
      <w:lvlText w:val="-"/>
      <w:lvlJc w:val="left"/>
      <w:pPr>
        <w:ind w:left="648" w:hanging="360"/>
      </w:pPr>
      <w:rPr>
        <w:rFonts w:ascii="EC Square Sans Pro" w:eastAsiaTheme="minorHAnsi" w:hAnsi="EC Square Sans Pro" w:cstheme="minorBidi" w:hint="default"/>
      </w:rPr>
    </w:lvl>
    <w:lvl w:ilvl="1" w:tplc="08090003" w:tentative="1">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abstractNum w:abstractNumId="81" w15:restartNumberingAfterBreak="0">
    <w:nsid w:val="44360235"/>
    <w:multiLevelType w:val="hybridMultilevel"/>
    <w:tmpl w:val="CC80CCF0"/>
    <w:lvl w:ilvl="0" w:tplc="332ECC3C">
      <w:start w:val="7"/>
      <w:numFmt w:val="bullet"/>
      <w:lvlText w:val="-"/>
      <w:lvlJc w:val="left"/>
      <w:pPr>
        <w:ind w:left="717" w:hanging="360"/>
      </w:pPr>
      <w:rPr>
        <w:rFonts w:ascii="EC Square Sans Pro" w:eastAsiaTheme="minorHAnsi" w:hAnsi="EC Square Sans Pro" w:cstheme="minorBidi"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82" w15:restartNumberingAfterBreak="0">
    <w:nsid w:val="46DB0196"/>
    <w:multiLevelType w:val="hybridMultilevel"/>
    <w:tmpl w:val="AD40E13C"/>
    <w:lvl w:ilvl="0" w:tplc="64462F86">
      <w:start w:val="12"/>
      <w:numFmt w:val="bullet"/>
      <w:lvlText w:val="-"/>
      <w:lvlJc w:val="left"/>
      <w:pPr>
        <w:ind w:left="720" w:hanging="360"/>
      </w:pPr>
      <w:rPr>
        <w:rFonts w:ascii="EC Square Sans Pro" w:eastAsiaTheme="minorHAnsi" w:hAnsi="EC Square Sans Pro" w:cstheme="minorBidi" w:hint="default"/>
        <w:color w:val="797720"/>
        <w:sz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73A30E8"/>
    <w:multiLevelType w:val="hybridMultilevel"/>
    <w:tmpl w:val="644081C0"/>
    <w:lvl w:ilvl="0" w:tplc="8182EEE4">
      <w:start w:val="22"/>
      <w:numFmt w:val="bullet"/>
      <w:lvlText w:val="-"/>
      <w:lvlJc w:val="left"/>
      <w:pPr>
        <w:ind w:left="539" w:hanging="360"/>
      </w:pPr>
      <w:rPr>
        <w:rFonts w:ascii="EC Square Sans Pro" w:eastAsiaTheme="minorHAnsi" w:hAnsi="EC Square Sans Pro" w:cstheme="minorBidi" w:hint="default"/>
      </w:rPr>
    </w:lvl>
    <w:lvl w:ilvl="1" w:tplc="08090003" w:tentative="1">
      <w:start w:val="1"/>
      <w:numFmt w:val="bullet"/>
      <w:lvlText w:val="o"/>
      <w:lvlJc w:val="left"/>
      <w:pPr>
        <w:ind w:left="1259" w:hanging="360"/>
      </w:pPr>
      <w:rPr>
        <w:rFonts w:ascii="Courier New" w:hAnsi="Courier New" w:cs="Courier New" w:hint="default"/>
      </w:rPr>
    </w:lvl>
    <w:lvl w:ilvl="2" w:tplc="08090005" w:tentative="1">
      <w:start w:val="1"/>
      <w:numFmt w:val="bullet"/>
      <w:lvlText w:val=""/>
      <w:lvlJc w:val="left"/>
      <w:pPr>
        <w:ind w:left="1979" w:hanging="360"/>
      </w:pPr>
      <w:rPr>
        <w:rFonts w:ascii="Wingdings" w:hAnsi="Wingdings" w:hint="default"/>
      </w:rPr>
    </w:lvl>
    <w:lvl w:ilvl="3" w:tplc="08090001" w:tentative="1">
      <w:start w:val="1"/>
      <w:numFmt w:val="bullet"/>
      <w:lvlText w:val=""/>
      <w:lvlJc w:val="left"/>
      <w:pPr>
        <w:ind w:left="2699" w:hanging="360"/>
      </w:pPr>
      <w:rPr>
        <w:rFonts w:ascii="Symbol" w:hAnsi="Symbol" w:hint="default"/>
      </w:rPr>
    </w:lvl>
    <w:lvl w:ilvl="4" w:tplc="08090003" w:tentative="1">
      <w:start w:val="1"/>
      <w:numFmt w:val="bullet"/>
      <w:lvlText w:val="o"/>
      <w:lvlJc w:val="left"/>
      <w:pPr>
        <w:ind w:left="3419" w:hanging="360"/>
      </w:pPr>
      <w:rPr>
        <w:rFonts w:ascii="Courier New" w:hAnsi="Courier New" w:cs="Courier New" w:hint="default"/>
      </w:rPr>
    </w:lvl>
    <w:lvl w:ilvl="5" w:tplc="08090005" w:tentative="1">
      <w:start w:val="1"/>
      <w:numFmt w:val="bullet"/>
      <w:lvlText w:val=""/>
      <w:lvlJc w:val="left"/>
      <w:pPr>
        <w:ind w:left="4139" w:hanging="360"/>
      </w:pPr>
      <w:rPr>
        <w:rFonts w:ascii="Wingdings" w:hAnsi="Wingdings" w:hint="default"/>
      </w:rPr>
    </w:lvl>
    <w:lvl w:ilvl="6" w:tplc="08090001" w:tentative="1">
      <w:start w:val="1"/>
      <w:numFmt w:val="bullet"/>
      <w:lvlText w:val=""/>
      <w:lvlJc w:val="left"/>
      <w:pPr>
        <w:ind w:left="4859" w:hanging="360"/>
      </w:pPr>
      <w:rPr>
        <w:rFonts w:ascii="Symbol" w:hAnsi="Symbol" w:hint="default"/>
      </w:rPr>
    </w:lvl>
    <w:lvl w:ilvl="7" w:tplc="08090003" w:tentative="1">
      <w:start w:val="1"/>
      <w:numFmt w:val="bullet"/>
      <w:lvlText w:val="o"/>
      <w:lvlJc w:val="left"/>
      <w:pPr>
        <w:ind w:left="5579" w:hanging="360"/>
      </w:pPr>
      <w:rPr>
        <w:rFonts w:ascii="Courier New" w:hAnsi="Courier New" w:cs="Courier New" w:hint="default"/>
      </w:rPr>
    </w:lvl>
    <w:lvl w:ilvl="8" w:tplc="08090005" w:tentative="1">
      <w:start w:val="1"/>
      <w:numFmt w:val="bullet"/>
      <w:lvlText w:val=""/>
      <w:lvlJc w:val="left"/>
      <w:pPr>
        <w:ind w:left="6299" w:hanging="360"/>
      </w:pPr>
      <w:rPr>
        <w:rFonts w:ascii="Wingdings" w:hAnsi="Wingdings" w:hint="default"/>
      </w:rPr>
    </w:lvl>
  </w:abstractNum>
  <w:abstractNum w:abstractNumId="84" w15:restartNumberingAfterBreak="0">
    <w:nsid w:val="47890B29"/>
    <w:multiLevelType w:val="multilevel"/>
    <w:tmpl w:val="B498D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4935428A"/>
    <w:multiLevelType w:val="hybridMultilevel"/>
    <w:tmpl w:val="F44A5966"/>
    <w:lvl w:ilvl="0" w:tplc="3AEA72A0">
      <w:start w:val="2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A590682"/>
    <w:multiLevelType w:val="multilevel"/>
    <w:tmpl w:val="BBF432C6"/>
    <w:lvl w:ilvl="0">
      <w:start w:val="1"/>
      <w:numFmt w:val="lowerLetter"/>
      <w:lvlText w:val="%1)"/>
      <w:lvlJc w:val="left"/>
      <w:pPr>
        <w:ind w:left="357" w:hanging="357"/>
      </w:pPr>
      <w:rPr>
        <w:rFonts w:hint="default"/>
      </w:rPr>
    </w:lvl>
    <w:lvl w:ilvl="1">
      <w:start w:val="1"/>
      <w:numFmt w:val="lowerLetter"/>
      <w:lvlText w:val="%2."/>
      <w:lvlJc w:val="left"/>
      <w:pPr>
        <w:ind w:left="1435" w:hanging="355"/>
      </w:pPr>
      <w:rPr>
        <w:rFonts w:hint="default"/>
      </w:rPr>
    </w:lvl>
    <w:lvl w:ilvl="2">
      <w:start w:val="1"/>
      <w:numFmt w:val="lowerRoman"/>
      <w:lvlText w:val="(%3)"/>
      <w:lvlJc w:val="left"/>
      <w:pPr>
        <w:ind w:left="2512"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7" w15:restartNumberingAfterBreak="0">
    <w:nsid w:val="4AEC77D0"/>
    <w:multiLevelType w:val="hybridMultilevel"/>
    <w:tmpl w:val="F2E85A3C"/>
    <w:lvl w:ilvl="0" w:tplc="B6DED918">
      <w:start w:val="6"/>
      <w:numFmt w:val="bullet"/>
      <w:lvlText w:val="-"/>
      <w:lvlJc w:val="left"/>
      <w:pPr>
        <w:ind w:left="720" w:hanging="360"/>
      </w:pPr>
      <w:rPr>
        <w:rFonts w:ascii="EC Square Sans Pro" w:eastAsiaTheme="minorHAnsi" w:hAnsi="EC Square Sans Pro" w:cstheme="minorBidi" w:hint="default"/>
        <w:color w:val="027CBB"/>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790EE9"/>
    <w:multiLevelType w:val="hybridMultilevel"/>
    <w:tmpl w:val="49F233A6"/>
    <w:lvl w:ilvl="0" w:tplc="33C222F4">
      <w:start w:val="1"/>
      <w:numFmt w:val="bullet"/>
      <w:lvlText w:val="­"/>
      <w:lvlJc w:val="left"/>
      <w:pPr>
        <w:ind w:left="1077" w:hanging="360"/>
      </w:pPr>
      <w:rPr>
        <w:rFonts w:ascii="Courier New" w:hAnsi="Courier New" w:hint="default"/>
      </w:rPr>
    </w:lvl>
    <w:lvl w:ilvl="1" w:tplc="18090003" w:tentative="1">
      <w:start w:val="1"/>
      <w:numFmt w:val="bullet"/>
      <w:lvlText w:val="o"/>
      <w:lvlJc w:val="left"/>
      <w:pPr>
        <w:ind w:left="1797" w:hanging="360"/>
      </w:pPr>
      <w:rPr>
        <w:rFonts w:ascii="Courier New" w:hAnsi="Courier New" w:cs="Courier New" w:hint="default"/>
      </w:rPr>
    </w:lvl>
    <w:lvl w:ilvl="2" w:tplc="18090005" w:tentative="1">
      <w:start w:val="1"/>
      <w:numFmt w:val="bullet"/>
      <w:lvlText w:val=""/>
      <w:lvlJc w:val="left"/>
      <w:pPr>
        <w:ind w:left="2517" w:hanging="360"/>
      </w:pPr>
      <w:rPr>
        <w:rFonts w:ascii="Wingdings" w:hAnsi="Wingdings" w:hint="default"/>
      </w:rPr>
    </w:lvl>
    <w:lvl w:ilvl="3" w:tplc="18090001" w:tentative="1">
      <w:start w:val="1"/>
      <w:numFmt w:val="bullet"/>
      <w:lvlText w:val=""/>
      <w:lvlJc w:val="left"/>
      <w:pPr>
        <w:ind w:left="3237" w:hanging="360"/>
      </w:pPr>
      <w:rPr>
        <w:rFonts w:ascii="Symbol" w:hAnsi="Symbol" w:hint="default"/>
      </w:rPr>
    </w:lvl>
    <w:lvl w:ilvl="4" w:tplc="18090003" w:tentative="1">
      <w:start w:val="1"/>
      <w:numFmt w:val="bullet"/>
      <w:lvlText w:val="o"/>
      <w:lvlJc w:val="left"/>
      <w:pPr>
        <w:ind w:left="3957" w:hanging="360"/>
      </w:pPr>
      <w:rPr>
        <w:rFonts w:ascii="Courier New" w:hAnsi="Courier New" w:cs="Courier New" w:hint="default"/>
      </w:rPr>
    </w:lvl>
    <w:lvl w:ilvl="5" w:tplc="18090005" w:tentative="1">
      <w:start w:val="1"/>
      <w:numFmt w:val="bullet"/>
      <w:lvlText w:val=""/>
      <w:lvlJc w:val="left"/>
      <w:pPr>
        <w:ind w:left="4677" w:hanging="360"/>
      </w:pPr>
      <w:rPr>
        <w:rFonts w:ascii="Wingdings" w:hAnsi="Wingdings" w:hint="default"/>
      </w:rPr>
    </w:lvl>
    <w:lvl w:ilvl="6" w:tplc="18090001" w:tentative="1">
      <w:start w:val="1"/>
      <w:numFmt w:val="bullet"/>
      <w:lvlText w:val=""/>
      <w:lvlJc w:val="left"/>
      <w:pPr>
        <w:ind w:left="5397" w:hanging="360"/>
      </w:pPr>
      <w:rPr>
        <w:rFonts w:ascii="Symbol" w:hAnsi="Symbol" w:hint="default"/>
      </w:rPr>
    </w:lvl>
    <w:lvl w:ilvl="7" w:tplc="18090003" w:tentative="1">
      <w:start w:val="1"/>
      <w:numFmt w:val="bullet"/>
      <w:lvlText w:val="o"/>
      <w:lvlJc w:val="left"/>
      <w:pPr>
        <w:ind w:left="6117" w:hanging="360"/>
      </w:pPr>
      <w:rPr>
        <w:rFonts w:ascii="Courier New" w:hAnsi="Courier New" w:cs="Courier New" w:hint="default"/>
      </w:rPr>
    </w:lvl>
    <w:lvl w:ilvl="8" w:tplc="18090005" w:tentative="1">
      <w:start w:val="1"/>
      <w:numFmt w:val="bullet"/>
      <w:lvlText w:val=""/>
      <w:lvlJc w:val="left"/>
      <w:pPr>
        <w:ind w:left="6837" w:hanging="360"/>
      </w:pPr>
      <w:rPr>
        <w:rFonts w:ascii="Wingdings" w:hAnsi="Wingdings" w:hint="default"/>
      </w:rPr>
    </w:lvl>
  </w:abstractNum>
  <w:abstractNum w:abstractNumId="89" w15:restartNumberingAfterBreak="0">
    <w:nsid w:val="4DD23466"/>
    <w:multiLevelType w:val="hybridMultilevel"/>
    <w:tmpl w:val="EB56C39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0" w15:restartNumberingAfterBreak="0">
    <w:nsid w:val="4E1A63DF"/>
    <w:multiLevelType w:val="multilevel"/>
    <w:tmpl w:val="5AC46DEE"/>
    <w:name w:val="TableListBulletNumbering"/>
    <w:lvl w:ilvl="0">
      <w:start w:val="1"/>
      <w:numFmt w:val="bullet"/>
      <w:pStyle w:val="TableListBullet"/>
      <w:lvlText w:val=""/>
      <w:lvlJc w:val="left"/>
      <w:pPr>
        <w:tabs>
          <w:tab w:val="num" w:pos="283"/>
        </w:tabs>
        <w:ind w:left="283" w:hanging="283"/>
      </w:pPr>
      <w:rPr>
        <w:rFonts w:ascii="Symbol" w:hAnsi="Symbol"/>
      </w:rPr>
    </w:lvl>
    <w:lvl w:ilvl="1">
      <w:start w:val="1"/>
      <w:numFmt w:val="bullet"/>
      <w:pStyle w:val="TableListBulletLevel2"/>
      <w:lvlText w:val=""/>
      <w:lvlJc w:val="left"/>
      <w:pPr>
        <w:tabs>
          <w:tab w:val="num" w:pos="567"/>
        </w:tabs>
        <w:ind w:left="567" w:hanging="284"/>
      </w:pPr>
      <w:rPr>
        <w:rFonts w:ascii="Symbol" w:hAnsi="Symbol"/>
      </w:rPr>
    </w:lvl>
    <w:lvl w:ilvl="2">
      <w:start w:val="1"/>
      <w:numFmt w:val="bullet"/>
      <w:pStyle w:val="TableListBulletLevel3"/>
      <w:lvlText w:val=""/>
      <w:lvlJc w:val="left"/>
      <w:pPr>
        <w:tabs>
          <w:tab w:val="num" w:pos="850"/>
        </w:tabs>
        <w:ind w:left="850" w:hanging="283"/>
      </w:pPr>
      <w:rPr>
        <w:rFonts w:ascii="Symbol" w:hAnsi="Symbol"/>
      </w:rPr>
    </w:lvl>
    <w:lvl w:ilvl="3">
      <w:start w:val="1"/>
      <w:numFmt w:val="bullet"/>
      <w:pStyle w:val="Table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1" w15:restartNumberingAfterBreak="0">
    <w:nsid w:val="4E1A982C"/>
    <w:multiLevelType w:val="multilevel"/>
    <w:tmpl w:val="2E70E270"/>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2" w15:restartNumberingAfterBreak="0">
    <w:nsid w:val="4EB000F4"/>
    <w:multiLevelType w:val="multilevel"/>
    <w:tmpl w:val="8E667F62"/>
    <w:styleLink w:val="PPOLISTHyphened"/>
    <w:lvl w:ilvl="0">
      <w:start w:val="1"/>
      <w:numFmt w:val="bullet"/>
      <w:pStyle w:val="ppoListHyphened-L1"/>
      <w:lvlText w:val="–"/>
      <w:lvlJc w:val="left"/>
      <w:pPr>
        <w:ind w:left="357" w:hanging="357"/>
      </w:pPr>
      <w:rPr>
        <w:rFonts w:ascii="Arial" w:hAnsi="Arial" w:hint="default"/>
      </w:rPr>
    </w:lvl>
    <w:lvl w:ilvl="1">
      <w:numFmt w:val="bullet"/>
      <w:pStyle w:val="ppoListHyphened-L2"/>
      <w:lvlText w:val=""/>
      <w:lvlJc w:val="left"/>
      <w:pPr>
        <w:ind w:left="1435" w:hanging="358"/>
      </w:pPr>
      <w:rPr>
        <w:rFonts w:ascii="Wingdings" w:hAnsi="Wingdings" w:hint="default"/>
      </w:rPr>
    </w:lvl>
    <w:lvl w:ilvl="2">
      <w:start w:val="1"/>
      <w:numFmt w:val="bullet"/>
      <w:pStyle w:val="ppoListHyphened-L3"/>
      <w:lvlText w:val="◊"/>
      <w:lvlJc w:val="left"/>
      <w:pPr>
        <w:ind w:left="2512" w:hanging="357"/>
      </w:pPr>
      <w:rPr>
        <w:rFonts w:ascii="EC Square Sans Pro" w:hAnsi="EC Square Sans Pro"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FFB22B0"/>
    <w:multiLevelType w:val="hybridMultilevel"/>
    <w:tmpl w:val="D6A89E0A"/>
    <w:lvl w:ilvl="0" w:tplc="6942613C">
      <w:numFmt w:val="bullet"/>
      <w:lvlText w:val="-"/>
      <w:lvlJc w:val="left"/>
      <w:pPr>
        <w:ind w:left="720" w:hanging="360"/>
      </w:pPr>
      <w:rPr>
        <w:rFonts w:ascii="EC Square Sans Cond Pro" w:eastAsiaTheme="minorHAnsi" w:hAnsi="EC Square Sans Cond Pro"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4" w15:restartNumberingAfterBreak="0">
    <w:nsid w:val="5072619B"/>
    <w:multiLevelType w:val="multilevel"/>
    <w:tmpl w:val="E2CE89A6"/>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5" w15:restartNumberingAfterBreak="0">
    <w:nsid w:val="50729B52"/>
    <w:multiLevelType w:val="multilevel"/>
    <w:tmpl w:val="E9F854C4"/>
    <w:name w:val="TableListDashNumbering"/>
    <w:lvl w:ilvl="0">
      <w:start w:val="1"/>
      <w:numFmt w:val="bullet"/>
      <w:pStyle w:val="TableListDash"/>
      <w:lvlText w:val="–"/>
      <w:lvlJc w:val="left"/>
      <w:pPr>
        <w:tabs>
          <w:tab w:val="num" w:pos="283"/>
        </w:tabs>
        <w:ind w:left="283" w:hanging="283"/>
      </w:pPr>
      <w:rPr>
        <w:rFonts w:ascii="Times New Roman" w:hAnsi="Times New Roman"/>
      </w:rPr>
    </w:lvl>
    <w:lvl w:ilvl="1">
      <w:start w:val="1"/>
      <w:numFmt w:val="bullet"/>
      <w:pStyle w:val="TableListDashLevel2"/>
      <w:lvlText w:val="–"/>
      <w:lvlJc w:val="left"/>
      <w:pPr>
        <w:tabs>
          <w:tab w:val="num" w:pos="567"/>
        </w:tabs>
        <w:ind w:left="567" w:hanging="284"/>
      </w:pPr>
      <w:rPr>
        <w:rFonts w:ascii="Times New Roman" w:hAnsi="Times New Roman"/>
      </w:rPr>
    </w:lvl>
    <w:lvl w:ilvl="2">
      <w:start w:val="1"/>
      <w:numFmt w:val="bullet"/>
      <w:pStyle w:val="TableListDashLevel3"/>
      <w:lvlText w:val="–"/>
      <w:lvlJc w:val="left"/>
      <w:pPr>
        <w:tabs>
          <w:tab w:val="num" w:pos="850"/>
        </w:tabs>
        <w:ind w:left="850" w:hanging="283"/>
      </w:pPr>
      <w:rPr>
        <w:rFonts w:ascii="Times New Roman" w:hAnsi="Times New Roman"/>
      </w:rPr>
    </w:lvl>
    <w:lvl w:ilvl="3">
      <w:start w:val="1"/>
      <w:numFmt w:val="bullet"/>
      <w:pStyle w:val="Table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6" w15:restartNumberingAfterBreak="0">
    <w:nsid w:val="51A45885"/>
    <w:multiLevelType w:val="hybridMultilevel"/>
    <w:tmpl w:val="02721C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2B23671"/>
    <w:multiLevelType w:val="multilevel"/>
    <w:tmpl w:val="3E4EA4C8"/>
    <w:lvl w:ilvl="0">
      <w:start w:val="1"/>
      <w:numFmt w:val="bullet"/>
      <w:pStyle w:val="amprboxGREENdashedbulletlis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63F6EB1"/>
    <w:multiLevelType w:val="hybridMultilevel"/>
    <w:tmpl w:val="8FD2FA9E"/>
    <w:lvl w:ilvl="0" w:tplc="7C16F42C">
      <w:start w:val="25"/>
      <w:numFmt w:val="bullet"/>
      <w:lvlText w:val="-"/>
      <w:lvlJc w:val="left"/>
      <w:pPr>
        <w:ind w:left="720" w:hanging="360"/>
      </w:pPr>
      <w:rPr>
        <w:rFonts w:ascii="EC Square Sans Pro" w:eastAsiaTheme="minorHAnsi" w:hAnsi="EC Square Sans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9A0199B"/>
    <w:multiLevelType w:val="multilevel"/>
    <w:tmpl w:val="10F87AC8"/>
    <w:lvl w:ilvl="0">
      <w:start w:val="1"/>
      <w:numFmt w:val="bullet"/>
      <w:lvlText w:val="­"/>
      <w:lvlJc w:val="left"/>
      <w:pPr>
        <w:ind w:left="357" w:hanging="357"/>
      </w:pPr>
      <w:rPr>
        <w:rFonts w:ascii="Courier New" w:hAnsi="Courier New" w:hint="default"/>
      </w:rPr>
    </w:lvl>
    <w:lvl w:ilvl="1">
      <w:start w:val="1"/>
      <w:numFmt w:val="lowerLetter"/>
      <w:lvlText w:val="%2."/>
      <w:lvlJc w:val="left"/>
      <w:pPr>
        <w:ind w:left="1435" w:hanging="355"/>
      </w:pPr>
    </w:lvl>
    <w:lvl w:ilvl="2">
      <w:start w:val="1"/>
      <w:numFmt w:val="lowerRoman"/>
      <w:lvlText w:val="(%3)"/>
      <w:lvlJc w:val="left"/>
      <w:pPr>
        <w:ind w:left="2512" w:hanging="357"/>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59BB2205"/>
    <w:multiLevelType w:val="multilevel"/>
    <w:tmpl w:val="78248A56"/>
    <w:styleLink w:val="amprLISTgreenbullets"/>
    <w:lvl w:ilvl="0">
      <w:start w:val="1"/>
      <w:numFmt w:val="bullet"/>
      <w:pStyle w:val="amprLISTgreenbullets-L1"/>
      <w:lvlText w:val=""/>
      <w:lvlJc w:val="left"/>
      <w:pPr>
        <w:ind w:left="714" w:hanging="357"/>
      </w:pPr>
      <w:rPr>
        <w:rFonts w:ascii="Symbol" w:hAnsi="Symbol" w:hint="default"/>
        <w:color w:val="028F1A" w:themeColor="accent1"/>
      </w:rPr>
    </w:lvl>
    <w:lvl w:ilvl="1">
      <w:start w:val="1"/>
      <w:numFmt w:val="bullet"/>
      <w:pStyle w:val="amprLISTgreenbullets-L2"/>
      <w:lvlText w:val="—"/>
      <w:lvlJc w:val="left"/>
      <w:pPr>
        <w:ind w:left="1435" w:hanging="358"/>
      </w:pPr>
      <w:rPr>
        <w:rFonts w:ascii="EC Square Sans Pro" w:hAnsi="EC Square Sans Pro" w:hint="default"/>
        <w:color w:val="028F1A" w:themeColor="accent1"/>
      </w:rPr>
    </w:lvl>
    <w:lvl w:ilvl="2">
      <w:start w:val="1"/>
      <w:numFmt w:val="bullet"/>
      <w:lvlText w:val=""/>
      <w:lvlJc w:val="left"/>
      <w:pPr>
        <w:ind w:left="2155" w:hanging="358"/>
      </w:pPr>
      <w:rPr>
        <w:rFonts w:ascii="Wingdings" w:hAnsi="Wingdings" w:hint="default"/>
      </w:rPr>
    </w:lvl>
    <w:lvl w:ilvl="3">
      <w:start w:val="1"/>
      <w:numFmt w:val="bullet"/>
      <w:lvlText w:val=""/>
      <w:lvlJc w:val="left"/>
      <w:pPr>
        <w:ind w:left="2875" w:hanging="358"/>
      </w:pPr>
      <w:rPr>
        <w:rFonts w:ascii="Symbol" w:hAnsi="Symbol" w:hint="default"/>
      </w:rPr>
    </w:lvl>
    <w:lvl w:ilvl="4">
      <w:start w:val="1"/>
      <w:numFmt w:val="bullet"/>
      <w:lvlText w:val="o"/>
      <w:lvlJc w:val="left"/>
      <w:pPr>
        <w:ind w:left="3595" w:hanging="357"/>
      </w:pPr>
      <w:rPr>
        <w:rFonts w:ascii="Courier New" w:hAnsi="Courier New" w:hint="default"/>
      </w:rPr>
    </w:lvl>
    <w:lvl w:ilvl="5">
      <w:start w:val="1"/>
      <w:numFmt w:val="bullet"/>
      <w:lvlText w:val=""/>
      <w:lvlJc w:val="left"/>
      <w:pPr>
        <w:ind w:left="4093" w:hanging="360"/>
      </w:pPr>
      <w:rPr>
        <w:rFonts w:ascii="Wingdings" w:hAnsi="Wingdings" w:hint="default"/>
      </w:rPr>
    </w:lvl>
    <w:lvl w:ilvl="6">
      <w:start w:val="1"/>
      <w:numFmt w:val="bullet"/>
      <w:lvlText w:val=""/>
      <w:lvlJc w:val="left"/>
      <w:pPr>
        <w:ind w:left="4813" w:hanging="360"/>
      </w:pPr>
      <w:rPr>
        <w:rFonts w:ascii="Symbol" w:hAnsi="Symbol" w:hint="default"/>
      </w:rPr>
    </w:lvl>
    <w:lvl w:ilvl="7">
      <w:start w:val="1"/>
      <w:numFmt w:val="bullet"/>
      <w:lvlText w:val="o"/>
      <w:lvlJc w:val="left"/>
      <w:pPr>
        <w:ind w:left="5533" w:hanging="360"/>
      </w:pPr>
      <w:rPr>
        <w:rFonts w:ascii="Courier New" w:hAnsi="Courier New" w:cs="Courier New" w:hint="default"/>
      </w:rPr>
    </w:lvl>
    <w:lvl w:ilvl="8">
      <w:start w:val="1"/>
      <w:numFmt w:val="bullet"/>
      <w:lvlText w:val=""/>
      <w:lvlJc w:val="left"/>
      <w:pPr>
        <w:ind w:left="6253" w:hanging="360"/>
      </w:pPr>
      <w:rPr>
        <w:rFonts w:ascii="Wingdings" w:hAnsi="Wingdings" w:hint="default"/>
      </w:rPr>
    </w:lvl>
  </w:abstractNum>
  <w:abstractNum w:abstractNumId="101" w15:restartNumberingAfterBreak="0">
    <w:nsid w:val="5C476AAD"/>
    <w:multiLevelType w:val="hybridMultilevel"/>
    <w:tmpl w:val="5AF4C262"/>
    <w:lvl w:ilvl="0" w:tplc="ACE66E2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EA810B0"/>
    <w:multiLevelType w:val="multilevel"/>
    <w:tmpl w:val="D6C29086"/>
    <w:numStyleLink w:val="amprHLISTNumberedheadings"/>
  </w:abstractNum>
  <w:abstractNum w:abstractNumId="103" w15:restartNumberingAfterBreak="0">
    <w:nsid w:val="61CD4DF5"/>
    <w:multiLevelType w:val="hybridMultilevel"/>
    <w:tmpl w:val="0BE4984E"/>
    <w:lvl w:ilvl="0" w:tplc="7498781C">
      <w:start w:val="1"/>
      <w:numFmt w:val="decimal"/>
      <w:pStyle w:val="numbering"/>
      <w:lvlText w:val="%1."/>
      <w:lvlJc w:val="left"/>
      <w:pPr>
        <w:ind w:left="1080" w:hanging="360"/>
      </w:pPr>
      <w:rPr>
        <w:rFonts w:hint="default"/>
        <w:b w:val="0"/>
        <w:i w:val="0"/>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4" w15:restartNumberingAfterBreak="0">
    <w:nsid w:val="6227387F"/>
    <w:multiLevelType w:val="multilevel"/>
    <w:tmpl w:val="2A9AD0EE"/>
    <w:numStyleLink w:val="amprLISTblackbullets"/>
  </w:abstractNum>
  <w:abstractNum w:abstractNumId="105" w15:restartNumberingAfterBreak="0">
    <w:nsid w:val="62D73046"/>
    <w:multiLevelType w:val="hybridMultilevel"/>
    <w:tmpl w:val="48A8E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63004735"/>
    <w:multiLevelType w:val="hybridMultilevel"/>
    <w:tmpl w:val="D588783C"/>
    <w:lvl w:ilvl="0" w:tplc="ABF68042">
      <w:numFmt w:val="bullet"/>
      <w:lvlText w:val="-"/>
      <w:lvlJc w:val="left"/>
      <w:pPr>
        <w:ind w:left="720" w:hanging="360"/>
      </w:pPr>
      <w:rPr>
        <w:rFonts w:ascii="EC Square Sans Pro" w:eastAsiaTheme="minorHAnsi" w:hAnsi="EC Square Sans Pro" w:cstheme="minorBidi"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32675EE"/>
    <w:multiLevelType w:val="hybridMultilevel"/>
    <w:tmpl w:val="DE9815EC"/>
    <w:lvl w:ilvl="0" w:tplc="8264D7DC">
      <w:start w:val="1"/>
      <w:numFmt w:val="bullet"/>
      <w:lvlText w:val=""/>
      <w:lvlJc w:val="left"/>
      <w:pPr>
        <w:ind w:left="720" w:hanging="360"/>
      </w:pPr>
      <w:rPr>
        <w:rFonts w:ascii="Symbol" w:hAnsi="Symbol" w:hint="default"/>
      </w:rPr>
    </w:lvl>
    <w:lvl w:ilvl="1" w:tplc="85408B3A">
      <w:numFmt w:val="decimal"/>
      <w:lvlText w:val=""/>
      <w:lvlJc w:val="left"/>
    </w:lvl>
    <w:lvl w:ilvl="2" w:tplc="A6A47CB2">
      <w:numFmt w:val="decimal"/>
      <w:lvlText w:val=""/>
      <w:lvlJc w:val="left"/>
    </w:lvl>
    <w:lvl w:ilvl="3" w:tplc="49106122">
      <w:numFmt w:val="decimal"/>
      <w:lvlText w:val=""/>
      <w:lvlJc w:val="left"/>
    </w:lvl>
    <w:lvl w:ilvl="4" w:tplc="BA94424A">
      <w:numFmt w:val="decimal"/>
      <w:lvlText w:val=""/>
      <w:lvlJc w:val="left"/>
    </w:lvl>
    <w:lvl w:ilvl="5" w:tplc="8F16CF96">
      <w:numFmt w:val="decimal"/>
      <w:lvlText w:val=""/>
      <w:lvlJc w:val="left"/>
    </w:lvl>
    <w:lvl w:ilvl="6" w:tplc="4C6AE878">
      <w:numFmt w:val="decimal"/>
      <w:lvlText w:val=""/>
      <w:lvlJc w:val="left"/>
    </w:lvl>
    <w:lvl w:ilvl="7" w:tplc="EE12BBB0">
      <w:numFmt w:val="decimal"/>
      <w:lvlText w:val=""/>
      <w:lvlJc w:val="left"/>
    </w:lvl>
    <w:lvl w:ilvl="8" w:tplc="FF4C9D44">
      <w:numFmt w:val="decimal"/>
      <w:lvlText w:val=""/>
      <w:lvlJc w:val="left"/>
    </w:lvl>
  </w:abstractNum>
  <w:abstractNum w:abstractNumId="108" w15:restartNumberingAfterBreak="0">
    <w:nsid w:val="633E1A90"/>
    <w:multiLevelType w:val="hybridMultilevel"/>
    <w:tmpl w:val="88F0C1F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9" w15:restartNumberingAfterBreak="0">
    <w:nsid w:val="65670022"/>
    <w:multiLevelType w:val="hybridMultilevel"/>
    <w:tmpl w:val="5C86FD74"/>
    <w:lvl w:ilvl="0" w:tplc="E9E0CE98">
      <w:start w:val="12"/>
      <w:numFmt w:val="bullet"/>
      <w:lvlText w:val="-"/>
      <w:lvlJc w:val="left"/>
      <w:pPr>
        <w:ind w:left="360" w:hanging="360"/>
      </w:pPr>
      <w:rPr>
        <w:rFonts w:ascii="EC Square Sans Pro" w:eastAsiaTheme="minorHAnsi" w:hAnsi="EC Square Sans Pro"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65B942D1"/>
    <w:multiLevelType w:val="hybridMultilevel"/>
    <w:tmpl w:val="FFA29F4C"/>
    <w:lvl w:ilvl="0" w:tplc="08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1" w15:restartNumberingAfterBreak="0">
    <w:nsid w:val="68F018ED"/>
    <w:multiLevelType w:val="hybridMultilevel"/>
    <w:tmpl w:val="EA240630"/>
    <w:lvl w:ilvl="0" w:tplc="B7D62D0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977472E"/>
    <w:multiLevelType w:val="multilevel"/>
    <w:tmpl w:val="7E3ADCB0"/>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3" w15:restartNumberingAfterBreak="0">
    <w:nsid w:val="6EFC1077"/>
    <w:multiLevelType w:val="hybridMultilevel"/>
    <w:tmpl w:val="DB1A06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5DD0307"/>
    <w:multiLevelType w:val="hybridMultilevel"/>
    <w:tmpl w:val="C3705AF6"/>
    <w:lvl w:ilvl="0" w:tplc="B7D62D06">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5" w15:restartNumberingAfterBreak="0">
    <w:nsid w:val="76394AF3"/>
    <w:multiLevelType w:val="hybridMultilevel"/>
    <w:tmpl w:val="773CB2E2"/>
    <w:lvl w:ilvl="0" w:tplc="F6247552">
      <w:start w:val="1"/>
      <w:numFmt w:val="bullet"/>
      <w:pStyle w:val="BulletsOrange"/>
      <w:lvlText w:val=""/>
      <w:lvlJc w:val="left"/>
      <w:pPr>
        <w:ind w:left="720" w:hanging="360"/>
      </w:pPr>
      <w:rPr>
        <w:rFonts w:ascii="Symbol" w:hAnsi="Symbol" w:hint="default"/>
        <w:color w:val="29A8C4"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88853A0"/>
    <w:multiLevelType w:val="hybridMultilevel"/>
    <w:tmpl w:val="B62897DE"/>
    <w:lvl w:ilvl="0" w:tplc="9F1EC9D8">
      <w:start w:val="1"/>
      <w:numFmt w:val="bullet"/>
      <w:lvlText w:val=""/>
      <w:lvlJc w:val="left"/>
      <w:pPr>
        <w:ind w:left="720" w:hanging="360"/>
      </w:pPr>
      <w:rPr>
        <w:rFonts w:ascii="Symbol" w:hAnsi="Symbol" w:hint="default"/>
      </w:rPr>
    </w:lvl>
    <w:lvl w:ilvl="1" w:tplc="E26CD192">
      <w:start w:val="1"/>
      <w:numFmt w:val="bullet"/>
      <w:lvlText w:val="o"/>
      <w:lvlJc w:val="left"/>
      <w:pPr>
        <w:ind w:left="1440" w:hanging="360"/>
      </w:pPr>
      <w:rPr>
        <w:rFonts w:ascii="Courier New" w:hAnsi="Courier New" w:hint="default"/>
      </w:rPr>
    </w:lvl>
    <w:lvl w:ilvl="2" w:tplc="7F62733C">
      <w:start w:val="1"/>
      <w:numFmt w:val="bullet"/>
      <w:lvlText w:val=""/>
      <w:lvlJc w:val="left"/>
      <w:pPr>
        <w:ind w:left="2160" w:hanging="360"/>
      </w:pPr>
      <w:rPr>
        <w:rFonts w:ascii="Wingdings" w:hAnsi="Wingdings" w:hint="default"/>
      </w:rPr>
    </w:lvl>
    <w:lvl w:ilvl="3" w:tplc="525E6A7C">
      <w:start w:val="1"/>
      <w:numFmt w:val="bullet"/>
      <w:lvlText w:val=""/>
      <w:lvlJc w:val="left"/>
      <w:pPr>
        <w:ind w:left="2880" w:hanging="360"/>
      </w:pPr>
      <w:rPr>
        <w:rFonts w:ascii="Symbol" w:hAnsi="Symbol" w:hint="default"/>
      </w:rPr>
    </w:lvl>
    <w:lvl w:ilvl="4" w:tplc="84B8E79C">
      <w:start w:val="1"/>
      <w:numFmt w:val="bullet"/>
      <w:lvlText w:val="o"/>
      <w:lvlJc w:val="left"/>
      <w:pPr>
        <w:ind w:left="3600" w:hanging="360"/>
      </w:pPr>
      <w:rPr>
        <w:rFonts w:ascii="Courier New" w:hAnsi="Courier New" w:hint="default"/>
      </w:rPr>
    </w:lvl>
    <w:lvl w:ilvl="5" w:tplc="003A1F64">
      <w:start w:val="1"/>
      <w:numFmt w:val="bullet"/>
      <w:lvlText w:val=""/>
      <w:lvlJc w:val="left"/>
      <w:pPr>
        <w:ind w:left="4320" w:hanging="360"/>
      </w:pPr>
      <w:rPr>
        <w:rFonts w:ascii="Wingdings" w:hAnsi="Wingdings" w:hint="default"/>
      </w:rPr>
    </w:lvl>
    <w:lvl w:ilvl="6" w:tplc="8008517E">
      <w:start w:val="1"/>
      <w:numFmt w:val="bullet"/>
      <w:lvlText w:val=""/>
      <w:lvlJc w:val="left"/>
      <w:pPr>
        <w:ind w:left="5040" w:hanging="360"/>
      </w:pPr>
      <w:rPr>
        <w:rFonts w:ascii="Symbol" w:hAnsi="Symbol" w:hint="default"/>
      </w:rPr>
    </w:lvl>
    <w:lvl w:ilvl="7" w:tplc="D2F49158">
      <w:start w:val="1"/>
      <w:numFmt w:val="bullet"/>
      <w:lvlText w:val="o"/>
      <w:lvlJc w:val="left"/>
      <w:pPr>
        <w:ind w:left="5760" w:hanging="360"/>
      </w:pPr>
      <w:rPr>
        <w:rFonts w:ascii="Courier New" w:hAnsi="Courier New" w:hint="default"/>
      </w:rPr>
    </w:lvl>
    <w:lvl w:ilvl="8" w:tplc="42D692BA">
      <w:start w:val="1"/>
      <w:numFmt w:val="bullet"/>
      <w:lvlText w:val=""/>
      <w:lvlJc w:val="left"/>
      <w:pPr>
        <w:ind w:left="6480" w:hanging="360"/>
      </w:pPr>
      <w:rPr>
        <w:rFonts w:ascii="Wingdings" w:hAnsi="Wingdings" w:hint="default"/>
      </w:rPr>
    </w:lvl>
  </w:abstractNum>
  <w:abstractNum w:abstractNumId="117" w15:restartNumberingAfterBreak="0">
    <w:nsid w:val="7A8E7735"/>
    <w:multiLevelType w:val="hybridMultilevel"/>
    <w:tmpl w:val="2068A8F0"/>
    <w:lvl w:ilvl="0" w:tplc="841CC32E">
      <w:start w:val="1"/>
      <w:numFmt w:val="bullet"/>
      <w:lvlText w:val="-"/>
      <w:lvlJc w:val="left"/>
      <w:pPr>
        <w:ind w:left="720" w:hanging="360"/>
      </w:pPr>
      <w:rPr>
        <w:rFonts w:ascii="Calibri" w:hAnsi="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8" w15:restartNumberingAfterBreak="0">
    <w:nsid w:val="7ACB1EE1"/>
    <w:multiLevelType w:val="hybridMultilevel"/>
    <w:tmpl w:val="C6A89D3A"/>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19" w15:restartNumberingAfterBreak="0">
    <w:nsid w:val="7B5C5244"/>
    <w:multiLevelType w:val="hybridMultilevel"/>
    <w:tmpl w:val="85E404C6"/>
    <w:lvl w:ilvl="0" w:tplc="0409000F">
      <w:start w:val="1"/>
      <w:numFmt w:val="decimal"/>
      <w:lvlText w:val="%1."/>
      <w:lvlJc w:val="left"/>
      <w:pPr>
        <w:ind w:left="9225" w:hanging="360"/>
      </w:pPr>
    </w:lvl>
    <w:lvl w:ilvl="1" w:tplc="04090019" w:tentative="1">
      <w:start w:val="1"/>
      <w:numFmt w:val="lowerLetter"/>
      <w:lvlText w:val="%2."/>
      <w:lvlJc w:val="left"/>
      <w:pPr>
        <w:ind w:left="9945" w:hanging="360"/>
      </w:pPr>
    </w:lvl>
    <w:lvl w:ilvl="2" w:tplc="0409001B" w:tentative="1">
      <w:start w:val="1"/>
      <w:numFmt w:val="lowerRoman"/>
      <w:lvlText w:val="%3."/>
      <w:lvlJc w:val="right"/>
      <w:pPr>
        <w:ind w:left="10665" w:hanging="180"/>
      </w:pPr>
    </w:lvl>
    <w:lvl w:ilvl="3" w:tplc="0409000F" w:tentative="1">
      <w:start w:val="1"/>
      <w:numFmt w:val="decimal"/>
      <w:lvlText w:val="%4."/>
      <w:lvlJc w:val="left"/>
      <w:pPr>
        <w:ind w:left="11385" w:hanging="360"/>
      </w:pPr>
    </w:lvl>
    <w:lvl w:ilvl="4" w:tplc="04090019" w:tentative="1">
      <w:start w:val="1"/>
      <w:numFmt w:val="lowerLetter"/>
      <w:lvlText w:val="%5."/>
      <w:lvlJc w:val="left"/>
      <w:pPr>
        <w:ind w:left="12105" w:hanging="360"/>
      </w:pPr>
    </w:lvl>
    <w:lvl w:ilvl="5" w:tplc="0409001B" w:tentative="1">
      <w:start w:val="1"/>
      <w:numFmt w:val="lowerRoman"/>
      <w:lvlText w:val="%6."/>
      <w:lvlJc w:val="right"/>
      <w:pPr>
        <w:ind w:left="12825" w:hanging="180"/>
      </w:pPr>
    </w:lvl>
    <w:lvl w:ilvl="6" w:tplc="0409000F" w:tentative="1">
      <w:start w:val="1"/>
      <w:numFmt w:val="decimal"/>
      <w:lvlText w:val="%7."/>
      <w:lvlJc w:val="left"/>
      <w:pPr>
        <w:ind w:left="13545" w:hanging="360"/>
      </w:pPr>
    </w:lvl>
    <w:lvl w:ilvl="7" w:tplc="04090019" w:tentative="1">
      <w:start w:val="1"/>
      <w:numFmt w:val="lowerLetter"/>
      <w:lvlText w:val="%8."/>
      <w:lvlJc w:val="left"/>
      <w:pPr>
        <w:ind w:left="14265" w:hanging="360"/>
      </w:pPr>
    </w:lvl>
    <w:lvl w:ilvl="8" w:tplc="0409001B" w:tentative="1">
      <w:start w:val="1"/>
      <w:numFmt w:val="lowerRoman"/>
      <w:lvlText w:val="%9."/>
      <w:lvlJc w:val="right"/>
      <w:pPr>
        <w:ind w:left="14985" w:hanging="180"/>
      </w:pPr>
    </w:lvl>
  </w:abstractNum>
  <w:abstractNum w:abstractNumId="120" w15:restartNumberingAfterBreak="0">
    <w:nsid w:val="7BB6507A"/>
    <w:multiLevelType w:val="hybridMultilevel"/>
    <w:tmpl w:val="19508A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7BC509AA"/>
    <w:multiLevelType w:val="multilevel"/>
    <w:tmpl w:val="DBAE4EF8"/>
    <w:lvl w:ilvl="0">
      <w:start w:val="1"/>
      <w:numFmt w:val="bullet"/>
      <w:lvlText w:val="­"/>
      <w:lvlJc w:val="left"/>
      <w:pPr>
        <w:ind w:left="357" w:hanging="357"/>
      </w:pPr>
      <w:rPr>
        <w:rFonts w:ascii="Courier New" w:hAnsi="Courier New" w:hint="default"/>
      </w:rPr>
    </w:lvl>
    <w:lvl w:ilvl="1">
      <w:start w:val="1"/>
      <w:numFmt w:val="lowerLetter"/>
      <w:lvlText w:val="%2."/>
      <w:lvlJc w:val="left"/>
      <w:pPr>
        <w:ind w:left="1435" w:hanging="355"/>
      </w:pPr>
    </w:lvl>
    <w:lvl w:ilvl="2">
      <w:start w:val="1"/>
      <w:numFmt w:val="lowerRoman"/>
      <w:lvlText w:val="(%3)"/>
      <w:lvlJc w:val="left"/>
      <w:pPr>
        <w:ind w:left="2512" w:hanging="357"/>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7C2F5966"/>
    <w:multiLevelType w:val="hybridMultilevel"/>
    <w:tmpl w:val="D198453E"/>
    <w:lvl w:ilvl="0" w:tplc="33C222F4">
      <w:start w:val="1"/>
      <w:numFmt w:val="bullet"/>
      <w:lvlText w:val="­"/>
      <w:lvlJc w:val="left"/>
      <w:pPr>
        <w:ind w:left="1077" w:hanging="360"/>
      </w:pPr>
      <w:rPr>
        <w:rFonts w:ascii="Courier New" w:hAnsi="Courier New" w:hint="default"/>
      </w:rPr>
    </w:lvl>
    <w:lvl w:ilvl="1" w:tplc="18090003" w:tentative="1">
      <w:start w:val="1"/>
      <w:numFmt w:val="bullet"/>
      <w:lvlText w:val="o"/>
      <w:lvlJc w:val="left"/>
      <w:pPr>
        <w:ind w:left="1797" w:hanging="360"/>
      </w:pPr>
      <w:rPr>
        <w:rFonts w:ascii="Courier New" w:hAnsi="Courier New" w:cs="Courier New" w:hint="default"/>
      </w:rPr>
    </w:lvl>
    <w:lvl w:ilvl="2" w:tplc="18090005" w:tentative="1">
      <w:start w:val="1"/>
      <w:numFmt w:val="bullet"/>
      <w:lvlText w:val=""/>
      <w:lvlJc w:val="left"/>
      <w:pPr>
        <w:ind w:left="2517" w:hanging="360"/>
      </w:pPr>
      <w:rPr>
        <w:rFonts w:ascii="Wingdings" w:hAnsi="Wingdings" w:hint="default"/>
      </w:rPr>
    </w:lvl>
    <w:lvl w:ilvl="3" w:tplc="18090001" w:tentative="1">
      <w:start w:val="1"/>
      <w:numFmt w:val="bullet"/>
      <w:lvlText w:val=""/>
      <w:lvlJc w:val="left"/>
      <w:pPr>
        <w:ind w:left="3237" w:hanging="360"/>
      </w:pPr>
      <w:rPr>
        <w:rFonts w:ascii="Symbol" w:hAnsi="Symbol" w:hint="default"/>
      </w:rPr>
    </w:lvl>
    <w:lvl w:ilvl="4" w:tplc="18090003" w:tentative="1">
      <w:start w:val="1"/>
      <w:numFmt w:val="bullet"/>
      <w:lvlText w:val="o"/>
      <w:lvlJc w:val="left"/>
      <w:pPr>
        <w:ind w:left="3957" w:hanging="360"/>
      </w:pPr>
      <w:rPr>
        <w:rFonts w:ascii="Courier New" w:hAnsi="Courier New" w:cs="Courier New" w:hint="default"/>
      </w:rPr>
    </w:lvl>
    <w:lvl w:ilvl="5" w:tplc="18090005" w:tentative="1">
      <w:start w:val="1"/>
      <w:numFmt w:val="bullet"/>
      <w:lvlText w:val=""/>
      <w:lvlJc w:val="left"/>
      <w:pPr>
        <w:ind w:left="4677" w:hanging="360"/>
      </w:pPr>
      <w:rPr>
        <w:rFonts w:ascii="Wingdings" w:hAnsi="Wingdings" w:hint="default"/>
      </w:rPr>
    </w:lvl>
    <w:lvl w:ilvl="6" w:tplc="18090001" w:tentative="1">
      <w:start w:val="1"/>
      <w:numFmt w:val="bullet"/>
      <w:lvlText w:val=""/>
      <w:lvlJc w:val="left"/>
      <w:pPr>
        <w:ind w:left="5397" w:hanging="360"/>
      </w:pPr>
      <w:rPr>
        <w:rFonts w:ascii="Symbol" w:hAnsi="Symbol" w:hint="default"/>
      </w:rPr>
    </w:lvl>
    <w:lvl w:ilvl="7" w:tplc="18090003" w:tentative="1">
      <w:start w:val="1"/>
      <w:numFmt w:val="bullet"/>
      <w:lvlText w:val="o"/>
      <w:lvlJc w:val="left"/>
      <w:pPr>
        <w:ind w:left="6117" w:hanging="360"/>
      </w:pPr>
      <w:rPr>
        <w:rFonts w:ascii="Courier New" w:hAnsi="Courier New" w:cs="Courier New" w:hint="default"/>
      </w:rPr>
    </w:lvl>
    <w:lvl w:ilvl="8" w:tplc="18090005" w:tentative="1">
      <w:start w:val="1"/>
      <w:numFmt w:val="bullet"/>
      <w:lvlText w:val=""/>
      <w:lvlJc w:val="left"/>
      <w:pPr>
        <w:ind w:left="6837" w:hanging="360"/>
      </w:pPr>
      <w:rPr>
        <w:rFonts w:ascii="Wingdings" w:hAnsi="Wingdings" w:hint="default"/>
      </w:rPr>
    </w:lvl>
  </w:abstractNum>
  <w:abstractNum w:abstractNumId="123" w15:restartNumberingAfterBreak="0">
    <w:nsid w:val="7C65145E"/>
    <w:multiLevelType w:val="multilevel"/>
    <w:tmpl w:val="C6F092DA"/>
    <w:name w:val="EurolookHeading"/>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077"/>
        </w:tabs>
        <w:ind w:left="1077" w:hanging="595"/>
      </w:pPr>
    </w:lvl>
    <w:lvl w:ilvl="2">
      <w:start w:val="1"/>
      <w:numFmt w:val="decimal"/>
      <w:pStyle w:val="Heading3"/>
      <w:lvlText w:val="%1.%2.%3."/>
      <w:lvlJc w:val="left"/>
      <w:pPr>
        <w:tabs>
          <w:tab w:val="num" w:pos="1922"/>
        </w:tabs>
        <w:ind w:left="1922" w:hanging="845"/>
      </w:pPr>
    </w:lvl>
    <w:lvl w:ilvl="3">
      <w:start w:val="1"/>
      <w:numFmt w:val="decimal"/>
      <w:pStyle w:val="Heading4"/>
      <w:lvlText w:val="%1.%2.%3.%4."/>
      <w:lvlJc w:val="left"/>
      <w:pPr>
        <w:tabs>
          <w:tab w:val="num" w:pos="2880"/>
        </w:tabs>
        <w:ind w:left="2880" w:hanging="958"/>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124" w15:restartNumberingAfterBreak="0">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abstractNum w:abstractNumId="125" w15:restartNumberingAfterBreak="0">
    <w:nsid w:val="7D2B2651"/>
    <w:multiLevelType w:val="multilevel"/>
    <w:tmpl w:val="3780A14A"/>
    <w:lvl w:ilvl="0">
      <w:start w:val="1"/>
      <w:numFmt w:val="bullet"/>
      <w:lvlText w:val="o"/>
      <w:lvlJc w:val="left"/>
      <w:pPr>
        <w:ind w:left="714" w:hanging="357"/>
      </w:pPr>
      <w:rPr>
        <w:rFonts w:ascii="Courier New" w:hAnsi="Courier New" w:cs="Courier New" w:hint="default"/>
      </w:rPr>
    </w:lvl>
    <w:lvl w:ilvl="1">
      <w:numFmt w:val="bullet"/>
      <w:lvlText w:val=""/>
      <w:lvlJc w:val="left"/>
      <w:pPr>
        <w:ind w:left="1792" w:hanging="358"/>
      </w:pPr>
      <w:rPr>
        <w:rFonts w:ascii="Wingdings" w:hAnsi="Wingdings" w:hint="default"/>
      </w:rPr>
    </w:lvl>
    <w:lvl w:ilvl="2">
      <w:start w:val="1"/>
      <w:numFmt w:val="bullet"/>
      <w:lvlText w:val="◊"/>
      <w:lvlJc w:val="left"/>
      <w:pPr>
        <w:ind w:left="2869" w:hanging="357"/>
      </w:pPr>
      <w:rPr>
        <w:rFonts w:ascii="EC Square Sans Pro" w:hAnsi="EC Square Sans Pro"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26" w15:restartNumberingAfterBreak="0">
    <w:nsid w:val="7DAC7154"/>
    <w:multiLevelType w:val="multilevel"/>
    <w:tmpl w:val="F00A5A14"/>
    <w:lvl w:ilvl="0">
      <w:start w:val="1"/>
      <w:numFmt w:val="decimal"/>
      <w:pStyle w:val="BB-Heading1"/>
      <w:lvlText w:val="%1."/>
      <w:lvlJc w:val="left"/>
      <w:pPr>
        <w:tabs>
          <w:tab w:val="num" w:pos="57"/>
        </w:tabs>
        <w:ind w:left="0" w:firstLine="0"/>
      </w:pPr>
      <w:rPr>
        <w:rFonts w:hint="default"/>
      </w:rPr>
    </w:lvl>
    <w:lvl w:ilvl="1">
      <w:start w:val="1"/>
      <w:numFmt w:val="decimal"/>
      <w:pStyle w:val="BB-Heading2"/>
      <w:lvlText w:val="%1.%2."/>
      <w:lvlJc w:val="left"/>
      <w:pPr>
        <w:tabs>
          <w:tab w:val="num" w:pos="57"/>
        </w:tabs>
        <w:ind w:left="0" w:firstLine="0"/>
      </w:pPr>
      <w:rPr>
        <w:rFonts w:hint="default"/>
      </w:rPr>
    </w:lvl>
    <w:lvl w:ilvl="2">
      <w:start w:val="1"/>
      <w:numFmt w:val="decimal"/>
      <w:pStyle w:val="BB-Heading3"/>
      <w:lvlText w:val="%1.%2.%3"/>
      <w:lvlJc w:val="left"/>
      <w:pPr>
        <w:tabs>
          <w:tab w:val="num" w:pos="57"/>
        </w:tabs>
        <w:ind w:left="284" w:hanging="57"/>
      </w:pPr>
      <w:rPr>
        <w:rFonts w:hint="default"/>
      </w:rPr>
    </w:lvl>
    <w:lvl w:ilvl="3">
      <w:start w:val="1"/>
      <w:numFmt w:val="decimal"/>
      <w:pStyle w:val="BB-Heading4"/>
      <w:lvlText w:val="%1.%2.%3.%4"/>
      <w:lvlJc w:val="left"/>
      <w:pPr>
        <w:tabs>
          <w:tab w:val="num" w:pos="57"/>
        </w:tabs>
        <w:ind w:left="284" w:hanging="57"/>
      </w:pPr>
      <w:rPr>
        <w:rFonts w:hint="default"/>
      </w:rPr>
    </w:lvl>
    <w:lvl w:ilvl="4">
      <w:start w:val="1"/>
      <w:numFmt w:val="decimal"/>
      <w:pStyle w:val="BB-Heading5"/>
      <w:lvlText w:val="%1.%2.%3.%4.%5"/>
      <w:lvlJc w:val="left"/>
      <w:pPr>
        <w:tabs>
          <w:tab w:val="num" w:pos="57"/>
        </w:tabs>
        <w:ind w:left="284" w:hanging="57"/>
      </w:pPr>
      <w:rPr>
        <w:rFonts w:hint="default"/>
      </w:rPr>
    </w:lvl>
    <w:lvl w:ilvl="5">
      <w:start w:val="1"/>
      <w:numFmt w:val="decimal"/>
      <w:pStyle w:val="BB-Heading6"/>
      <w:lvlText w:val="%1.%2.%3.%4.%5.%6"/>
      <w:lvlJc w:val="left"/>
      <w:pPr>
        <w:tabs>
          <w:tab w:val="num" w:pos="57"/>
        </w:tabs>
        <w:ind w:left="284" w:hanging="57"/>
      </w:pPr>
      <w:rPr>
        <w:rFonts w:hint="default"/>
      </w:rPr>
    </w:lvl>
    <w:lvl w:ilvl="6">
      <w:start w:val="1"/>
      <w:numFmt w:val="decimal"/>
      <w:pStyle w:val="BB-Heading7"/>
      <w:lvlText w:val="%1.%2.%3.%4.%5.%6"/>
      <w:lvlJc w:val="left"/>
      <w:pPr>
        <w:tabs>
          <w:tab w:val="num" w:pos="57"/>
        </w:tabs>
        <w:ind w:left="284" w:hanging="57"/>
      </w:pPr>
      <w:rPr>
        <w:rFonts w:hint="default"/>
      </w:rPr>
    </w:lvl>
    <w:lvl w:ilvl="7">
      <w:numFmt w:val="decimal"/>
      <w:lvlText w:val=""/>
      <w:lvlJc w:val="left"/>
    </w:lvl>
    <w:lvl w:ilvl="8">
      <w:numFmt w:val="decimal"/>
      <w:lvlText w:val=""/>
      <w:lvlJc w:val="left"/>
    </w:lvl>
  </w:abstractNum>
  <w:num w:numId="1">
    <w:abstractNumId w:val="29"/>
  </w:num>
  <w:num w:numId="2">
    <w:abstractNumId w:val="95"/>
  </w:num>
  <w:num w:numId="3">
    <w:abstractNumId w:val="90"/>
  </w:num>
  <w:num w:numId="4">
    <w:abstractNumId w:val="124"/>
  </w:num>
  <w:num w:numId="5">
    <w:abstractNumId w:val="61"/>
  </w:num>
  <w:num w:numId="6">
    <w:abstractNumId w:val="60"/>
  </w:num>
  <w:num w:numId="7">
    <w:abstractNumId w:val="123"/>
  </w:num>
  <w:num w:numId="8">
    <w:abstractNumId w:val="91"/>
  </w:num>
  <w:num w:numId="9">
    <w:abstractNumId w:val="72"/>
  </w:num>
  <w:num w:numId="10">
    <w:abstractNumId w:val="58"/>
  </w:num>
  <w:num w:numId="11">
    <w:abstractNumId w:val="34"/>
  </w:num>
  <w:num w:numId="12">
    <w:abstractNumId w:val="30"/>
  </w:num>
  <w:num w:numId="13">
    <w:abstractNumId w:val="28"/>
  </w:num>
  <w:num w:numId="14">
    <w:abstractNumId w:val="79"/>
  </w:num>
  <w:num w:numId="15">
    <w:abstractNumId w:val="36"/>
  </w:num>
  <w:num w:numId="16">
    <w:abstractNumId w:val="23"/>
  </w:num>
  <w:num w:numId="17">
    <w:abstractNumId w:val="112"/>
  </w:num>
  <w:num w:numId="18">
    <w:abstractNumId w:val="94"/>
  </w:num>
  <w:num w:numId="19">
    <w:abstractNumId w:val="68"/>
  </w:num>
  <w:num w:numId="20">
    <w:abstractNumId w:val="44"/>
  </w:num>
  <w:num w:numId="21">
    <w:abstractNumId w:val="67"/>
  </w:num>
  <w:num w:numId="22">
    <w:abstractNumId w:val="19"/>
  </w:num>
  <w:num w:numId="23">
    <w:abstractNumId w:val="43"/>
  </w:num>
  <w:num w:numId="24">
    <w:abstractNumId w:val="104"/>
  </w:num>
  <w:num w:numId="25">
    <w:abstractNumId w:val="100"/>
  </w:num>
  <w:num w:numId="26">
    <w:abstractNumId w:val="97"/>
  </w:num>
  <w:num w:numId="27">
    <w:abstractNumId w:val="55"/>
  </w:num>
  <w:num w:numId="28">
    <w:abstractNumId w:val="31"/>
  </w:num>
  <w:num w:numId="29">
    <w:abstractNumId w:val="102"/>
  </w:num>
  <w:num w:numId="30">
    <w:abstractNumId w:val="64"/>
  </w:num>
  <w:num w:numId="31">
    <w:abstractNumId w:val="12"/>
  </w:num>
  <w:num w:numId="32">
    <w:abstractNumId w:val="63"/>
  </w:num>
  <w:num w:numId="33">
    <w:abstractNumId w:val="73"/>
  </w:num>
  <w:num w:numId="34">
    <w:abstractNumId w:val="92"/>
  </w:num>
  <w:num w:numId="35">
    <w:abstractNumId w:val="57"/>
  </w:num>
  <w:num w:numId="36">
    <w:abstractNumId w:val="115"/>
  </w:num>
  <w:num w:numId="37">
    <w:abstractNumId w:val="103"/>
  </w:num>
  <w:num w:numId="38">
    <w:abstractNumId w:val="32"/>
  </w:num>
  <w:num w:numId="39">
    <w:abstractNumId w:val="77"/>
  </w:num>
  <w:num w:numId="40">
    <w:abstractNumId w:val="39"/>
  </w:num>
  <w:num w:numId="41">
    <w:abstractNumId w:val="4"/>
  </w:num>
  <w:num w:numId="42">
    <w:abstractNumId w:val="0"/>
  </w:num>
  <w:num w:numId="43">
    <w:abstractNumId w:val="20"/>
  </w:num>
  <w:num w:numId="44">
    <w:abstractNumId w:val="9"/>
  </w:num>
  <w:num w:numId="45">
    <w:abstractNumId w:val="7"/>
  </w:num>
  <w:num w:numId="46">
    <w:abstractNumId w:val="6"/>
  </w:num>
  <w:num w:numId="47">
    <w:abstractNumId w:val="5"/>
  </w:num>
  <w:num w:numId="48">
    <w:abstractNumId w:val="8"/>
  </w:num>
  <w:num w:numId="49">
    <w:abstractNumId w:val="3"/>
  </w:num>
  <w:num w:numId="50">
    <w:abstractNumId w:val="2"/>
  </w:num>
  <w:num w:numId="51">
    <w:abstractNumId w:val="1"/>
  </w:num>
  <w:num w:numId="52">
    <w:abstractNumId w:val="48"/>
  </w:num>
  <w:num w:numId="53">
    <w:abstractNumId w:val="54"/>
  </w:num>
  <w:num w:numId="54">
    <w:abstractNumId w:val="38"/>
  </w:num>
  <w:num w:numId="55">
    <w:abstractNumId w:val="74"/>
  </w:num>
  <w:num w:numId="56">
    <w:abstractNumId w:val="59"/>
  </w:num>
  <w:num w:numId="57">
    <w:abstractNumId w:val="96"/>
  </w:num>
  <w:num w:numId="58">
    <w:abstractNumId w:val="62"/>
  </w:num>
  <w:num w:numId="59">
    <w:abstractNumId w:val="78"/>
  </w:num>
  <w:num w:numId="60">
    <w:abstractNumId w:val="106"/>
  </w:num>
  <w:num w:numId="61">
    <w:abstractNumId w:val="47"/>
  </w:num>
  <w:num w:numId="62">
    <w:abstractNumId w:val="50"/>
  </w:num>
  <w:num w:numId="63">
    <w:abstractNumId w:val="53"/>
  </w:num>
  <w:num w:numId="64">
    <w:abstractNumId w:val="75"/>
  </w:num>
  <w:num w:numId="65">
    <w:abstractNumId w:val="40"/>
  </w:num>
  <w:num w:numId="66">
    <w:abstractNumId w:val="17"/>
  </w:num>
  <w:num w:numId="67">
    <w:abstractNumId w:val="81"/>
  </w:num>
  <w:num w:numId="68">
    <w:abstractNumId w:val="45"/>
  </w:num>
  <w:num w:numId="69">
    <w:abstractNumId w:val="93"/>
  </w:num>
  <w:num w:numId="70">
    <w:abstractNumId w:val="105"/>
  </w:num>
  <w:num w:numId="71">
    <w:abstractNumId w:val="76"/>
  </w:num>
  <w:num w:numId="72">
    <w:abstractNumId w:val="120"/>
  </w:num>
  <w:num w:numId="73">
    <w:abstractNumId w:val="108"/>
  </w:num>
  <w:num w:numId="74">
    <w:abstractNumId w:val="122"/>
  </w:num>
  <w:num w:numId="75">
    <w:abstractNumId w:val="56"/>
  </w:num>
  <w:num w:numId="76">
    <w:abstractNumId w:val="88"/>
  </w:num>
  <w:num w:numId="77">
    <w:abstractNumId w:val="116"/>
  </w:num>
  <w:num w:numId="78">
    <w:abstractNumId w:val="89"/>
  </w:num>
  <w:num w:numId="79">
    <w:abstractNumId w:val="26"/>
  </w:num>
  <w:num w:numId="80">
    <w:abstractNumId w:val="125"/>
  </w:num>
  <w:num w:numId="81">
    <w:abstractNumId w:val="24"/>
  </w:num>
  <w:num w:numId="82">
    <w:abstractNumId w:val="42"/>
  </w:num>
  <w:num w:numId="83">
    <w:abstractNumId w:val="101"/>
  </w:num>
  <w:num w:numId="84">
    <w:abstractNumId w:val="15"/>
  </w:num>
  <w:num w:numId="85">
    <w:abstractNumId w:val="84"/>
  </w:num>
  <w:num w:numId="86">
    <w:abstractNumId w:val="11"/>
  </w:num>
  <w:num w:numId="87">
    <w:abstractNumId w:val="52"/>
  </w:num>
  <w:num w:numId="88">
    <w:abstractNumId w:val="118"/>
  </w:num>
  <w:num w:numId="89">
    <w:abstractNumId w:val="107"/>
  </w:num>
  <w:num w:numId="90">
    <w:abstractNumId w:val="111"/>
  </w:num>
  <w:num w:numId="91">
    <w:abstractNumId w:val="114"/>
  </w:num>
  <w:num w:numId="92">
    <w:abstractNumId w:val="71"/>
  </w:num>
  <w:num w:numId="93">
    <w:abstractNumId w:val="37"/>
  </w:num>
  <w:num w:numId="94">
    <w:abstractNumId w:val="117"/>
  </w:num>
  <w:num w:numId="95">
    <w:abstractNumId w:val="41"/>
  </w:num>
  <w:num w:numId="9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5"/>
  </w:num>
  <w:num w:numId="98">
    <w:abstractNumId w:val="110"/>
  </w:num>
  <w:num w:numId="99">
    <w:abstractNumId w:val="51"/>
  </w:num>
  <w:num w:numId="100">
    <w:abstractNumId w:val="82"/>
  </w:num>
  <w:num w:numId="101">
    <w:abstractNumId w:val="13"/>
  </w:num>
  <w:num w:numId="102">
    <w:abstractNumId w:val="87"/>
  </w:num>
  <w:num w:numId="103">
    <w:abstractNumId w:val="49"/>
  </w:num>
  <w:num w:numId="104">
    <w:abstractNumId w:val="10"/>
  </w:num>
  <w:num w:numId="105">
    <w:abstractNumId w:val="109"/>
  </w:num>
  <w:num w:numId="106">
    <w:abstractNumId w:val="46"/>
  </w:num>
  <w:num w:numId="107">
    <w:abstractNumId w:val="21"/>
  </w:num>
  <w:num w:numId="108">
    <w:abstractNumId w:val="98"/>
  </w:num>
  <w:num w:numId="109">
    <w:abstractNumId w:val="119"/>
  </w:num>
  <w:num w:numId="110">
    <w:abstractNumId w:val="85"/>
  </w:num>
  <w:num w:numId="111">
    <w:abstractNumId w:val="16"/>
  </w:num>
  <w:num w:numId="112">
    <w:abstractNumId w:val="126"/>
  </w:num>
  <w:num w:numId="113">
    <w:abstractNumId w:val="65"/>
  </w:num>
  <w:num w:numId="114">
    <w:abstractNumId w:val="27"/>
  </w:num>
  <w:num w:numId="115">
    <w:abstractNumId w:val="113"/>
  </w:num>
  <w:num w:numId="116">
    <w:abstractNumId w:val="83"/>
  </w:num>
  <w:num w:numId="117">
    <w:abstractNumId w:val="14"/>
  </w:num>
  <w:num w:numId="118">
    <w:abstractNumId w:val="69"/>
  </w:num>
  <w:num w:numId="119">
    <w:abstractNumId w:val="80"/>
  </w:num>
  <w:num w:numId="120">
    <w:abstractNumId w:val="70"/>
  </w:num>
  <w:num w:numId="1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2"/>
  </w:num>
  <w:num w:numId="130">
    <w:abstractNumId w:val="77"/>
  </w:num>
  <w:num w:numId="131">
    <w:abstractNumId w:val="33"/>
  </w:num>
  <w:num w:numId="132">
    <w:abstractNumId w:val="77"/>
  </w:num>
  <w:num w:numId="133">
    <w:abstractNumId w:val="86"/>
  </w:num>
  <w:num w:numId="134">
    <w:abstractNumId w:val="18"/>
  </w:num>
  <w:num w:numId="135">
    <w:abstractNumId w:val="25"/>
  </w:num>
  <w:num w:numId="1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99"/>
  </w:num>
  <w:num w:numId="139">
    <w:abstractNumId w:val="66"/>
  </w:num>
  <w:num w:numId="140">
    <w:abstractNumId w:val="121"/>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fr-BE" w:vendorID="64" w:dllVersion="6" w:nlCheck="1" w:checkStyle="0"/>
  <w:activeWritingStyle w:appName="MSWord" w:lang="en-GB" w:vendorID="64" w:dllVersion="6" w:nlCheck="1" w:checkStyle="1"/>
  <w:activeWritingStyle w:appName="MSWord" w:lang="es-ES" w:vendorID="64" w:dllVersion="6" w:nlCheck="1" w:checkStyle="0"/>
  <w:activeWritingStyle w:appName="MSWord" w:lang="en-IE" w:vendorID="64" w:dllVersion="6" w:nlCheck="1" w:checkStyle="1"/>
  <w:activeWritingStyle w:appName="MSWord" w:lang="en-US" w:vendorID="64" w:dllVersion="6" w:nlCheck="1" w:checkStyle="1"/>
  <w:activeWritingStyle w:appName="MSWord" w:lang="it-IT" w:vendorID="64" w:dllVersion="6" w:nlCheck="1" w:checkStyle="0"/>
  <w:activeWritingStyle w:appName="MSWord" w:lang="fr-FR" w:vendorID="64" w:dllVersion="6" w:nlCheck="1" w:checkStyle="0"/>
  <w:activeWritingStyle w:appName="MSWord" w:lang="en-GB" w:vendorID="64" w:dllVersion="131078" w:nlCheck="1" w:checkStyle="1"/>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it-IT"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to the "/>
    <w:docVar w:name="LW_ANNEX_NBR_FIRST" w:val="4"/>
    <w:docVar w:name="LW_ANNEX_NBR_LAST" w:val="4"/>
    <w:docVar w:name="LW_ANNEX_UNIQUE" w:val="0"/>
    <w:docVar w:name="LW_CORRIGENDUM" w:val="&lt;UNUSED&gt;"/>
    <w:docVar w:name="LW_COVERPAGE_EXISTS" w:val="True"/>
    <w:docVar w:name="LW_COVERPAGE_GUID" w:val="5512F467-F16F-4A15-8A0F-89C3287A4E6B"/>
    <w:docVar w:name="LW_COVERPAGE_TYPE" w:val="1"/>
    <w:docVar w:name="LW_CROSSREFERENCE" w:val="&lt;UNUSED&gt;"/>
    <w:docVar w:name="LW_DocType" w:val="C58D744355E5491E9D88DC6CFE29A6F8"/>
    <w:docVar w:name="LW_EMISSION" w:val="7.6.2022"/>
    <w:docVar w:name="LW_EMISSION_ISODATE" w:val="2022-06-07"/>
    <w:docVar w:name="LW_EMISSION_LOCATION" w:val="STR"/>
    <w:docVar w:name="LW_EMISSION_PREFIX" w:val="Strasbourg, "/>
    <w:docVar w:name="LW_EMISSION_SUFFIX" w:val=" "/>
    <w:docVar w:name="LW_ID_DOCTYPE_NONLW" w:val="CP-039"/>
    <w:docVar w:name="LW_LANGUE" w:val="EN"/>
    <w:docVar w:name="LW_LEVEL_OF_SENSITIVITY" w:val="Standard treatment"/>
    <w:docVar w:name="LW_NOM.INST" w:val="EUROPEAN COMMISSION"/>
    <w:docVar w:name="LW_NOM.INST_JOINTDOC" w:val="&lt;EMPTY&gt;"/>
    <w:docVar w:name="LW_OBJETACTEPRINCIPAL.CP" w:val="Annual Management and Performance Report for the EU Budget - Financial Year 2021"/>
    <w:docVar w:name="LW_PART_NBR" w:val="1"/>
    <w:docVar w:name="LW_PART_NBR_TOTAL" w:val="1"/>
    <w:docVar w:name="LW_REF.INST.NEW" w:val="COM"/>
    <w:docVar w:name="LW_REF.INST.NEW_ADOPTED" w:val="final"/>
    <w:docVar w:name="LW_REF.INST.NEW_TEXT" w:val="(2022) 40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ANNEX_x000b_"/>
    <w:docVar w:name="LW_TYPEACTEPRINCIPAL.CP" w:val="REPORT FROM THE COMMISSION _x000b__x000b_TO THE EUROPEAN PARLIAMENT, THE COUNCIL AND THE COURT OF AUDITORS"/>
    <w:docVar w:name="LwApiVersions" w:val="LW4CoDe 1.23.2.0; LW 8.0, Build 20211117"/>
  </w:docVars>
  <w:rsids>
    <w:rsidRoot w:val="00083F74"/>
    <w:rsid w:val="00000CE6"/>
    <w:rsid w:val="000120A1"/>
    <w:rsid w:val="00015E84"/>
    <w:rsid w:val="00017070"/>
    <w:rsid w:val="00022301"/>
    <w:rsid w:val="000238F2"/>
    <w:rsid w:val="0002620F"/>
    <w:rsid w:val="00031A02"/>
    <w:rsid w:val="00036966"/>
    <w:rsid w:val="000417F4"/>
    <w:rsid w:val="00042126"/>
    <w:rsid w:val="000651D5"/>
    <w:rsid w:val="0007157F"/>
    <w:rsid w:val="00072D04"/>
    <w:rsid w:val="0007761D"/>
    <w:rsid w:val="000777F6"/>
    <w:rsid w:val="00083F74"/>
    <w:rsid w:val="000860C3"/>
    <w:rsid w:val="000C10CD"/>
    <w:rsid w:val="000D1F56"/>
    <w:rsid w:val="000E1EB8"/>
    <w:rsid w:val="000F0888"/>
    <w:rsid w:val="000F4A02"/>
    <w:rsid w:val="000F4D5F"/>
    <w:rsid w:val="000F75A3"/>
    <w:rsid w:val="00102ED0"/>
    <w:rsid w:val="001130BD"/>
    <w:rsid w:val="001201B4"/>
    <w:rsid w:val="00120565"/>
    <w:rsid w:val="001223CC"/>
    <w:rsid w:val="00144600"/>
    <w:rsid w:val="001462EF"/>
    <w:rsid w:val="00152A25"/>
    <w:rsid w:val="00154917"/>
    <w:rsid w:val="0016086D"/>
    <w:rsid w:val="0016201A"/>
    <w:rsid w:val="00165122"/>
    <w:rsid w:val="0017337B"/>
    <w:rsid w:val="0017533F"/>
    <w:rsid w:val="0018222F"/>
    <w:rsid w:val="00186A20"/>
    <w:rsid w:val="00186D8D"/>
    <w:rsid w:val="00194625"/>
    <w:rsid w:val="00194AD0"/>
    <w:rsid w:val="001956B8"/>
    <w:rsid w:val="00195759"/>
    <w:rsid w:val="001A33B7"/>
    <w:rsid w:val="001A57A0"/>
    <w:rsid w:val="001A6387"/>
    <w:rsid w:val="001C075E"/>
    <w:rsid w:val="001C09F6"/>
    <w:rsid w:val="001C5535"/>
    <w:rsid w:val="001C739A"/>
    <w:rsid w:val="001D0AB7"/>
    <w:rsid w:val="001E2BEF"/>
    <w:rsid w:val="001E7756"/>
    <w:rsid w:val="001F341A"/>
    <w:rsid w:val="001F4CBC"/>
    <w:rsid w:val="00202796"/>
    <w:rsid w:val="002206CB"/>
    <w:rsid w:val="0022213D"/>
    <w:rsid w:val="002302CF"/>
    <w:rsid w:val="002314B0"/>
    <w:rsid w:val="002370FF"/>
    <w:rsid w:val="00244B68"/>
    <w:rsid w:val="0025392F"/>
    <w:rsid w:val="002769F8"/>
    <w:rsid w:val="00276EA4"/>
    <w:rsid w:val="00283F23"/>
    <w:rsid w:val="00285394"/>
    <w:rsid w:val="00293811"/>
    <w:rsid w:val="00294522"/>
    <w:rsid w:val="00294D3C"/>
    <w:rsid w:val="002A1BC4"/>
    <w:rsid w:val="002A764B"/>
    <w:rsid w:val="002B0F2E"/>
    <w:rsid w:val="002B2615"/>
    <w:rsid w:val="002B4E37"/>
    <w:rsid w:val="002B7756"/>
    <w:rsid w:val="002C2914"/>
    <w:rsid w:val="002D0AB8"/>
    <w:rsid w:val="002E00B6"/>
    <w:rsid w:val="002E22C9"/>
    <w:rsid w:val="002F23B0"/>
    <w:rsid w:val="002F6945"/>
    <w:rsid w:val="00304A2B"/>
    <w:rsid w:val="00305969"/>
    <w:rsid w:val="00305C4D"/>
    <w:rsid w:val="00305EE8"/>
    <w:rsid w:val="003179ED"/>
    <w:rsid w:val="003221C9"/>
    <w:rsid w:val="00325171"/>
    <w:rsid w:val="003316A3"/>
    <w:rsid w:val="00331C96"/>
    <w:rsid w:val="00333CB9"/>
    <w:rsid w:val="00333F6C"/>
    <w:rsid w:val="0033722F"/>
    <w:rsid w:val="00350117"/>
    <w:rsid w:val="003635EB"/>
    <w:rsid w:val="00365608"/>
    <w:rsid w:val="00377734"/>
    <w:rsid w:val="00377A85"/>
    <w:rsid w:val="003821C6"/>
    <w:rsid w:val="003847C0"/>
    <w:rsid w:val="00385199"/>
    <w:rsid w:val="003935DB"/>
    <w:rsid w:val="00394C29"/>
    <w:rsid w:val="003A37E0"/>
    <w:rsid w:val="003A6E41"/>
    <w:rsid w:val="003B5013"/>
    <w:rsid w:val="003C2685"/>
    <w:rsid w:val="003D2531"/>
    <w:rsid w:val="003D550B"/>
    <w:rsid w:val="003E23AC"/>
    <w:rsid w:val="003F7A53"/>
    <w:rsid w:val="00412CEF"/>
    <w:rsid w:val="004174AD"/>
    <w:rsid w:val="0042690B"/>
    <w:rsid w:val="00427FAC"/>
    <w:rsid w:val="00434A92"/>
    <w:rsid w:val="00434EFD"/>
    <w:rsid w:val="00450CD9"/>
    <w:rsid w:val="00462089"/>
    <w:rsid w:val="0047174A"/>
    <w:rsid w:val="0047363C"/>
    <w:rsid w:val="00476903"/>
    <w:rsid w:val="00482C5A"/>
    <w:rsid w:val="00491604"/>
    <w:rsid w:val="00492B87"/>
    <w:rsid w:val="004A4A12"/>
    <w:rsid w:val="004B37B2"/>
    <w:rsid w:val="004B627A"/>
    <w:rsid w:val="004C3C15"/>
    <w:rsid w:val="004C3C26"/>
    <w:rsid w:val="004C4764"/>
    <w:rsid w:val="004D26CD"/>
    <w:rsid w:val="004D27B7"/>
    <w:rsid w:val="004D5A82"/>
    <w:rsid w:val="004E3991"/>
    <w:rsid w:val="004E54EB"/>
    <w:rsid w:val="00510677"/>
    <w:rsid w:val="0051217E"/>
    <w:rsid w:val="005139F3"/>
    <w:rsid w:val="00516C70"/>
    <w:rsid w:val="00524A9C"/>
    <w:rsid w:val="005276E7"/>
    <w:rsid w:val="00533AC3"/>
    <w:rsid w:val="005348AD"/>
    <w:rsid w:val="00535412"/>
    <w:rsid w:val="00536D4D"/>
    <w:rsid w:val="00544179"/>
    <w:rsid w:val="00550531"/>
    <w:rsid w:val="00556089"/>
    <w:rsid w:val="005612B2"/>
    <w:rsid w:val="00563191"/>
    <w:rsid w:val="00564501"/>
    <w:rsid w:val="0057144F"/>
    <w:rsid w:val="00581D88"/>
    <w:rsid w:val="005861BC"/>
    <w:rsid w:val="005911F1"/>
    <w:rsid w:val="00592734"/>
    <w:rsid w:val="005948A6"/>
    <w:rsid w:val="00594E29"/>
    <w:rsid w:val="005B4914"/>
    <w:rsid w:val="005C4C84"/>
    <w:rsid w:val="005D14ED"/>
    <w:rsid w:val="005D691E"/>
    <w:rsid w:val="005E2670"/>
    <w:rsid w:val="005E2D1C"/>
    <w:rsid w:val="005E2EA3"/>
    <w:rsid w:val="005E33DC"/>
    <w:rsid w:val="005E6965"/>
    <w:rsid w:val="005F7F67"/>
    <w:rsid w:val="00611E49"/>
    <w:rsid w:val="00612236"/>
    <w:rsid w:val="006257CF"/>
    <w:rsid w:val="00625F49"/>
    <w:rsid w:val="00644D03"/>
    <w:rsid w:val="00647AA9"/>
    <w:rsid w:val="00647CE7"/>
    <w:rsid w:val="00653BB2"/>
    <w:rsid w:val="00654C7E"/>
    <w:rsid w:val="00667F62"/>
    <w:rsid w:val="00670CA8"/>
    <w:rsid w:val="0067184C"/>
    <w:rsid w:val="0067341E"/>
    <w:rsid w:val="00675859"/>
    <w:rsid w:val="006961C0"/>
    <w:rsid w:val="00696376"/>
    <w:rsid w:val="006976DB"/>
    <w:rsid w:val="00697B5E"/>
    <w:rsid w:val="006A09DC"/>
    <w:rsid w:val="006B58B3"/>
    <w:rsid w:val="006C11AD"/>
    <w:rsid w:val="006C7D00"/>
    <w:rsid w:val="006F409B"/>
    <w:rsid w:val="00703728"/>
    <w:rsid w:val="0070748A"/>
    <w:rsid w:val="0071202C"/>
    <w:rsid w:val="00714C2A"/>
    <w:rsid w:val="00717772"/>
    <w:rsid w:val="00725837"/>
    <w:rsid w:val="007432E1"/>
    <w:rsid w:val="00747DA1"/>
    <w:rsid w:val="00753FBA"/>
    <w:rsid w:val="0075432A"/>
    <w:rsid w:val="00755628"/>
    <w:rsid w:val="007601F9"/>
    <w:rsid w:val="007716C9"/>
    <w:rsid w:val="0078526D"/>
    <w:rsid w:val="0078591A"/>
    <w:rsid w:val="00786652"/>
    <w:rsid w:val="0079461A"/>
    <w:rsid w:val="00797032"/>
    <w:rsid w:val="007C3D07"/>
    <w:rsid w:val="007D63F3"/>
    <w:rsid w:val="007F2C98"/>
    <w:rsid w:val="007F4F1B"/>
    <w:rsid w:val="007F5F0A"/>
    <w:rsid w:val="008073D4"/>
    <w:rsid w:val="008124CC"/>
    <w:rsid w:val="00813D25"/>
    <w:rsid w:val="00825D34"/>
    <w:rsid w:val="0083214A"/>
    <w:rsid w:val="0083342B"/>
    <w:rsid w:val="00840DCB"/>
    <w:rsid w:val="00846C56"/>
    <w:rsid w:val="00852646"/>
    <w:rsid w:val="00861FF0"/>
    <w:rsid w:val="008653D6"/>
    <w:rsid w:val="00867C40"/>
    <w:rsid w:val="00873C81"/>
    <w:rsid w:val="00876BA8"/>
    <w:rsid w:val="00881F76"/>
    <w:rsid w:val="008820FD"/>
    <w:rsid w:val="00894ADF"/>
    <w:rsid w:val="008A10FB"/>
    <w:rsid w:val="008B554D"/>
    <w:rsid w:val="008C2F31"/>
    <w:rsid w:val="008C407A"/>
    <w:rsid w:val="008C44D2"/>
    <w:rsid w:val="008D7CB5"/>
    <w:rsid w:val="008E2ABF"/>
    <w:rsid w:val="00901F8B"/>
    <w:rsid w:val="009027AF"/>
    <w:rsid w:val="009065E5"/>
    <w:rsid w:val="009347C9"/>
    <w:rsid w:val="00935866"/>
    <w:rsid w:val="00935B5E"/>
    <w:rsid w:val="00943AD6"/>
    <w:rsid w:val="00952476"/>
    <w:rsid w:val="009539A0"/>
    <w:rsid w:val="00953EFF"/>
    <w:rsid w:val="009604E8"/>
    <w:rsid w:val="009625F9"/>
    <w:rsid w:val="00962E3C"/>
    <w:rsid w:val="00963B87"/>
    <w:rsid w:val="00966580"/>
    <w:rsid w:val="009710CC"/>
    <w:rsid w:val="00972E8C"/>
    <w:rsid w:val="009746F6"/>
    <w:rsid w:val="00975B51"/>
    <w:rsid w:val="00980CAC"/>
    <w:rsid w:val="00982066"/>
    <w:rsid w:val="00995A3C"/>
    <w:rsid w:val="009A4405"/>
    <w:rsid w:val="009A624D"/>
    <w:rsid w:val="009A67A1"/>
    <w:rsid w:val="009B3221"/>
    <w:rsid w:val="009B62E0"/>
    <w:rsid w:val="009D2938"/>
    <w:rsid w:val="009E0E94"/>
    <w:rsid w:val="009F2266"/>
    <w:rsid w:val="00A349ED"/>
    <w:rsid w:val="00A4351B"/>
    <w:rsid w:val="00A505F5"/>
    <w:rsid w:val="00A53B8C"/>
    <w:rsid w:val="00A54B7D"/>
    <w:rsid w:val="00A55483"/>
    <w:rsid w:val="00A564DC"/>
    <w:rsid w:val="00A63481"/>
    <w:rsid w:val="00A66CCA"/>
    <w:rsid w:val="00A84801"/>
    <w:rsid w:val="00AA5CAB"/>
    <w:rsid w:val="00AC48DF"/>
    <w:rsid w:val="00AC7378"/>
    <w:rsid w:val="00AD621F"/>
    <w:rsid w:val="00AD7F08"/>
    <w:rsid w:val="00AF1C52"/>
    <w:rsid w:val="00B10054"/>
    <w:rsid w:val="00B1146B"/>
    <w:rsid w:val="00B13542"/>
    <w:rsid w:val="00B16B87"/>
    <w:rsid w:val="00B202C2"/>
    <w:rsid w:val="00B23E89"/>
    <w:rsid w:val="00B251BF"/>
    <w:rsid w:val="00B40193"/>
    <w:rsid w:val="00B450EC"/>
    <w:rsid w:val="00B45278"/>
    <w:rsid w:val="00B65DF8"/>
    <w:rsid w:val="00B76EFA"/>
    <w:rsid w:val="00BA1CB5"/>
    <w:rsid w:val="00BA5DAF"/>
    <w:rsid w:val="00BB20EB"/>
    <w:rsid w:val="00BC09F9"/>
    <w:rsid w:val="00BC49BA"/>
    <w:rsid w:val="00BC790D"/>
    <w:rsid w:val="00BD6673"/>
    <w:rsid w:val="00BD7E0E"/>
    <w:rsid w:val="00BE3903"/>
    <w:rsid w:val="00BE4982"/>
    <w:rsid w:val="00BE5B70"/>
    <w:rsid w:val="00BE6F39"/>
    <w:rsid w:val="00BF1737"/>
    <w:rsid w:val="00BF3925"/>
    <w:rsid w:val="00BF74B0"/>
    <w:rsid w:val="00C0081A"/>
    <w:rsid w:val="00C016C5"/>
    <w:rsid w:val="00C04EEB"/>
    <w:rsid w:val="00C10E7E"/>
    <w:rsid w:val="00C1134D"/>
    <w:rsid w:val="00C1546E"/>
    <w:rsid w:val="00C20E72"/>
    <w:rsid w:val="00C23767"/>
    <w:rsid w:val="00C27365"/>
    <w:rsid w:val="00C30F94"/>
    <w:rsid w:val="00C3793E"/>
    <w:rsid w:val="00C43E5B"/>
    <w:rsid w:val="00C46CC7"/>
    <w:rsid w:val="00C6057C"/>
    <w:rsid w:val="00C66F79"/>
    <w:rsid w:val="00C71B67"/>
    <w:rsid w:val="00C8386A"/>
    <w:rsid w:val="00C843A6"/>
    <w:rsid w:val="00C91561"/>
    <w:rsid w:val="00C91C2E"/>
    <w:rsid w:val="00CA00DD"/>
    <w:rsid w:val="00CA208E"/>
    <w:rsid w:val="00CA3371"/>
    <w:rsid w:val="00CB77B1"/>
    <w:rsid w:val="00CC3F32"/>
    <w:rsid w:val="00CC6C43"/>
    <w:rsid w:val="00CE2F8F"/>
    <w:rsid w:val="00CE3841"/>
    <w:rsid w:val="00CF0D18"/>
    <w:rsid w:val="00CF2823"/>
    <w:rsid w:val="00CF3CAF"/>
    <w:rsid w:val="00CF73AC"/>
    <w:rsid w:val="00D07F66"/>
    <w:rsid w:val="00D13965"/>
    <w:rsid w:val="00D250AE"/>
    <w:rsid w:val="00D25518"/>
    <w:rsid w:val="00D26688"/>
    <w:rsid w:val="00D3390B"/>
    <w:rsid w:val="00D40083"/>
    <w:rsid w:val="00D42DD9"/>
    <w:rsid w:val="00D539B7"/>
    <w:rsid w:val="00D561BE"/>
    <w:rsid w:val="00D56A7C"/>
    <w:rsid w:val="00D6086C"/>
    <w:rsid w:val="00D61B34"/>
    <w:rsid w:val="00D633CD"/>
    <w:rsid w:val="00D642EB"/>
    <w:rsid w:val="00D65FD8"/>
    <w:rsid w:val="00D71B83"/>
    <w:rsid w:val="00D81B39"/>
    <w:rsid w:val="00D9604A"/>
    <w:rsid w:val="00DB4953"/>
    <w:rsid w:val="00DB5CB4"/>
    <w:rsid w:val="00DB613D"/>
    <w:rsid w:val="00DB61AC"/>
    <w:rsid w:val="00DC6073"/>
    <w:rsid w:val="00DD2984"/>
    <w:rsid w:val="00DD555A"/>
    <w:rsid w:val="00DD5E66"/>
    <w:rsid w:val="00DD669D"/>
    <w:rsid w:val="00DD737B"/>
    <w:rsid w:val="00E01E9B"/>
    <w:rsid w:val="00E02B38"/>
    <w:rsid w:val="00E06866"/>
    <w:rsid w:val="00E10D77"/>
    <w:rsid w:val="00E112AC"/>
    <w:rsid w:val="00E16B15"/>
    <w:rsid w:val="00E24077"/>
    <w:rsid w:val="00E3181B"/>
    <w:rsid w:val="00E33F26"/>
    <w:rsid w:val="00E3761D"/>
    <w:rsid w:val="00E427E5"/>
    <w:rsid w:val="00E45638"/>
    <w:rsid w:val="00E456C4"/>
    <w:rsid w:val="00E4712D"/>
    <w:rsid w:val="00E52B72"/>
    <w:rsid w:val="00E707DF"/>
    <w:rsid w:val="00E73D04"/>
    <w:rsid w:val="00E8366D"/>
    <w:rsid w:val="00E8423D"/>
    <w:rsid w:val="00E94931"/>
    <w:rsid w:val="00E96180"/>
    <w:rsid w:val="00E96362"/>
    <w:rsid w:val="00EB0337"/>
    <w:rsid w:val="00EC146F"/>
    <w:rsid w:val="00EC47B9"/>
    <w:rsid w:val="00ED5A29"/>
    <w:rsid w:val="00ED7CA4"/>
    <w:rsid w:val="00EE6F30"/>
    <w:rsid w:val="00F015BB"/>
    <w:rsid w:val="00F02D2A"/>
    <w:rsid w:val="00F03930"/>
    <w:rsid w:val="00F12819"/>
    <w:rsid w:val="00F12E9D"/>
    <w:rsid w:val="00F14921"/>
    <w:rsid w:val="00F273D9"/>
    <w:rsid w:val="00F30137"/>
    <w:rsid w:val="00F332E4"/>
    <w:rsid w:val="00F345F3"/>
    <w:rsid w:val="00F4328E"/>
    <w:rsid w:val="00F47289"/>
    <w:rsid w:val="00F54F6C"/>
    <w:rsid w:val="00F576B0"/>
    <w:rsid w:val="00F65E4B"/>
    <w:rsid w:val="00F70009"/>
    <w:rsid w:val="00F76F92"/>
    <w:rsid w:val="00F84EA1"/>
    <w:rsid w:val="00F862D8"/>
    <w:rsid w:val="00F92240"/>
    <w:rsid w:val="00F95175"/>
    <w:rsid w:val="00FA0E96"/>
    <w:rsid w:val="00FB2994"/>
    <w:rsid w:val="00FB65DA"/>
    <w:rsid w:val="00FC1F14"/>
    <w:rsid w:val="00FC4332"/>
    <w:rsid w:val="00FD3458"/>
    <w:rsid w:val="00FD4DED"/>
    <w:rsid w:val="00FD6362"/>
    <w:rsid w:val="00FE148C"/>
    <w:rsid w:val="00FE47FC"/>
    <w:rsid w:val="00FE7927"/>
    <w:rsid w:val="00FF59F7"/>
    <w:rsid w:val="08DF02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8527EA9"/>
  <w15:docId w15:val="{0FC1AA0B-5C2B-417F-9FFC-723435D17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0" w:defUnhideWhenUsed="0" w:defQFormat="0" w:count="371">
    <w:lsdException w:name="Normal" w:uiPriority="1"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iPriority="99"/>
    <w:lsdException w:name="index 2" w:semiHidden="1" w:uiPriority="99"/>
    <w:lsdException w:name="index 3" w:semiHidden="1" w:uiPriority="99"/>
    <w:lsdException w:name="index 4" w:semiHidden="1" w:uiPriority="99"/>
    <w:lsdException w:name="index 5" w:semiHidden="1" w:uiPriority="99"/>
    <w:lsdException w:name="index 6" w:semiHidden="1" w:uiPriority="99"/>
    <w:lsdException w:name="index 7" w:semiHidden="1" w:uiPriority="99"/>
    <w:lsdException w:name="index 8" w:semiHidden="1" w:uiPriority="99"/>
    <w:lsdException w:name="index 9" w:semiHidden="1" w:uiPriority="99"/>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iPriority="99"/>
    <w:lsdException w:name="footnote text" w:uiPriority="99" w:unhideWhenUsed="1" w:qFormat="1"/>
    <w:lsdException w:name="annotation text" w:semiHidden="1" w:uiPriority="99"/>
    <w:lsdException w:name="header" w:uiPriority="99"/>
    <w:lsdException w:name="footer" w:uiPriority="99"/>
    <w:lsdException w:name="index heading" w:semiHidden="1" w:uiPriority="99"/>
    <w:lsdException w:name="caption" w:semiHidden="1" w:uiPriority="35" w:qFormat="1"/>
    <w:lsdException w:name="table of figures" w:semiHidden="1" w:uiPriority="99"/>
    <w:lsdException w:name="envelope address" w:semiHidden="1" w:uiPriority="99"/>
    <w:lsdException w:name="envelope return" w:semiHidden="1" w:uiPriority="99"/>
    <w:lsdException w:name="footnote reference" w:semiHidden="1" w:uiPriority="99" w:qFormat="1"/>
    <w:lsdException w:name="annotation reference" w:semiHidden="1" w:uiPriority="99"/>
    <w:lsdException w:name="line number" w:semiHidden="1" w:uiPriority="99"/>
    <w:lsdException w:name="page number" w:semiHidden="1" w:uiPriority="99"/>
    <w:lsdException w:name="endnote reference" w:semiHidden="1" w:uiPriority="99"/>
    <w:lsdException w:name="endnote text" w:uiPriority="99" w:unhideWhenUsed="1"/>
    <w:lsdException w:name="table of authorities" w:semiHidden="1" w:uiPriority="99"/>
    <w:lsdException w:name="macro" w:semiHidden="1" w:uiPriority="99" w:qFormat="1"/>
    <w:lsdException w:name="toa heading" w:semiHidden="1" w:uiPriority="99"/>
    <w:lsdException w:name="List" w:semiHidden="1" w:uiPriority="99"/>
    <w:lsdException w:name="List Bullet" w:uiPriority="99"/>
    <w:lsdException w:name="List Number" w:uiPriority="99"/>
    <w:lsdException w:name="List 2" w:semiHidden="1" w:uiPriority="99"/>
    <w:lsdException w:name="List 3" w:semiHidden="1" w:uiPriority="99"/>
    <w:lsdException w:name="List 4" w:semiHidden="1" w:uiPriority="99"/>
    <w:lsdException w:name="List 5" w:semiHidden="1" w:uiPriority="99"/>
    <w:lsdException w:name="List Bullet 2" w:uiPriority="99"/>
    <w:lsdException w:name="List Bullet 3" w:uiPriority="99"/>
    <w:lsdException w:name="List Bullet 4" w:uiPriority="99"/>
    <w:lsdException w:name="List Bullet 5" w:semiHidden="1" w:uiPriority="99"/>
    <w:lsdException w:name="List Number 2" w:uiPriority="99"/>
    <w:lsdException w:name="List Number 3" w:uiPriority="99"/>
    <w:lsdException w:name="List Number 4" w:uiPriority="99"/>
    <w:lsdException w:name="List Number 5" w:semiHidden="1" w:uiPriority="99"/>
    <w:lsdException w:name="Title" w:uiPriority="10" w:qFormat="1"/>
    <w:lsdException w:name="Closing" w:uiPriority="99"/>
    <w:lsdException w:name="Signature" w:uiPriority="99"/>
    <w:lsdException w:name="Default Paragraph Font" w:semiHidden="1" w:uiPriority="1"/>
    <w:lsdException w:name="Body Text" w:semiHidden="1" w:uiPriority="99"/>
    <w:lsdException w:name="Body Text Indent" w:semiHidden="1" w:uiPriority="99"/>
    <w:lsdException w:name="List Continue" w:semiHidden="1" w:uiPriority="99"/>
    <w:lsdException w:name="List Continue 2" w:semiHidden="1" w:uiPriority="99"/>
    <w:lsdException w:name="List Continue 3" w:semiHidden="1" w:uiPriority="99"/>
    <w:lsdException w:name="List Continue 4" w:semiHidden="1" w:uiPriority="99"/>
    <w:lsdException w:name="List Continue 5" w:semiHidden="1" w:uiPriority="99"/>
    <w:lsdException w:name="Message Header" w:semiHidden="1" w:uiPriority="99"/>
    <w:lsdException w:name="Subtitle" w:semiHidden="1" w:uiPriority="11" w:qFormat="1"/>
    <w:lsdException w:name="Salutation" w:semiHidden="1" w:uiPriority="99"/>
    <w:lsdException w:name="Date" w:uiPriority="99"/>
    <w:lsdException w:name="Body Text First Indent" w:semiHidden="1" w:uiPriority="99"/>
    <w:lsdException w:name="Body Text First Indent 2" w:semiHidden="1" w:uiPriority="99"/>
    <w:lsdException w:name="Note Heading" w:semiHidden="1" w:uiPriority="99"/>
    <w:lsdException w:name="Body Text 2" w:semiHidden="1" w:uiPriority="99"/>
    <w:lsdException w:name="Body Text 3" w:semiHidden="1" w:uiPriority="99"/>
    <w:lsdException w:name="Body Text Indent 2" w:semiHidden="1" w:uiPriority="99"/>
    <w:lsdException w:name="Body Text Indent 3" w:semiHidden="1" w:uiPriority="99"/>
    <w:lsdException w:name="Block Text" w:semiHidden="1" w:uiPriority="99"/>
    <w:lsdException w:name="Hyperlink" w:semiHidden="1" w:uiPriority="99"/>
    <w:lsdException w:name="FollowedHyperlink" w:semiHidden="1" w:uiPriority="99"/>
    <w:lsdException w:name="Strong" w:semiHidden="1" w:uiPriority="22" w:qFormat="1"/>
    <w:lsdException w:name="Emphasis" w:semiHidden="1" w:uiPriority="20" w:qFormat="1"/>
    <w:lsdException w:name="Document Map" w:semiHidden="1" w:uiPriority="99"/>
    <w:lsdException w:name="Plain Text" w:semiHidden="1" w:uiPriority="99"/>
    <w:lsdException w:name="E-mail Signature" w:semiHidden="1" w:uiPriority="99"/>
    <w:lsdException w:name="HTML Top of Form" w:semiHidden="1"/>
    <w:lsdException w:name="HTML Bottom of Form" w:semiHidden="1"/>
    <w:lsdException w:name="Normal (Web)" w:semiHidden="1" w:uiPriority="99"/>
    <w:lsdException w:name="HTML Acronym" w:semiHidden="1" w:uiPriority="99"/>
    <w:lsdException w:name="HTML Address" w:semiHidden="1" w:uiPriority="99"/>
    <w:lsdException w:name="HTML Cite" w:semiHidden="1" w:uiPriority="99"/>
    <w:lsdException w:name="HTML Code" w:semiHidden="1" w:uiPriority="99"/>
    <w:lsdException w:name="HTML Definition" w:semiHidden="1" w:uiPriority="99"/>
    <w:lsdException w:name="HTML Keyboard" w:semiHidden="1" w:uiPriority="99" w:unhideWhenUsed="1"/>
    <w:lsdException w:name="HTML Preformatted" w:semiHidden="1" w:uiPriority="99"/>
    <w:lsdException w:name="HTML Sample" w:semiHidden="1" w:uiPriority="99"/>
    <w:lsdException w:name="HTML Typewriter" w:semiHidden="1" w:uiPriority="99"/>
    <w:lsdException w:name="HTML Variable" w:semiHidden="1" w:uiPriority="99"/>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2" w:uiPriority="42"/>
  </w:latentStyles>
  <w:style w:type="paragraph" w:default="1" w:styleId="Normal">
    <w:name w:val="Normal"/>
    <w:uiPriority w:val="1"/>
    <w:qFormat/>
    <w:rsid w:val="001130BD"/>
    <w:pPr>
      <w:spacing w:after="240"/>
      <w:jc w:val="both"/>
    </w:pPr>
    <w:rPr>
      <w:rFonts w:ascii="EC Square Sans Pro" w:hAnsi="EC Square Sans Pro"/>
    </w:rPr>
  </w:style>
  <w:style w:type="paragraph" w:styleId="Heading1">
    <w:name w:val="heading 1"/>
    <w:basedOn w:val="Normal"/>
    <w:next w:val="Text1"/>
    <w:link w:val="Heading1Char"/>
    <w:uiPriority w:val="9"/>
    <w:qFormat/>
    <w:pPr>
      <w:keepNext/>
      <w:numPr>
        <w:numId w:val="7"/>
      </w:numPr>
      <w:spacing w:before="240"/>
      <w:outlineLvl w:val="0"/>
    </w:pPr>
    <w:rPr>
      <w:b/>
      <w:smallCaps/>
    </w:rPr>
  </w:style>
  <w:style w:type="paragraph" w:styleId="Heading2">
    <w:name w:val="heading 2"/>
    <w:basedOn w:val="Normal"/>
    <w:next w:val="Text2"/>
    <w:link w:val="Heading2Char"/>
    <w:uiPriority w:val="9"/>
    <w:qFormat/>
    <w:pPr>
      <w:keepNext/>
      <w:numPr>
        <w:ilvl w:val="1"/>
        <w:numId w:val="7"/>
      </w:numPr>
      <w:outlineLvl w:val="1"/>
    </w:pPr>
    <w:rPr>
      <w:b/>
    </w:rPr>
  </w:style>
  <w:style w:type="paragraph" w:styleId="Heading3">
    <w:name w:val="heading 3"/>
    <w:basedOn w:val="Normal"/>
    <w:next w:val="Text3"/>
    <w:link w:val="Heading3Char"/>
    <w:uiPriority w:val="9"/>
    <w:qFormat/>
    <w:pPr>
      <w:keepNext/>
      <w:numPr>
        <w:ilvl w:val="2"/>
        <w:numId w:val="7"/>
      </w:numPr>
      <w:outlineLvl w:val="2"/>
    </w:pPr>
    <w:rPr>
      <w:i/>
    </w:rPr>
  </w:style>
  <w:style w:type="paragraph" w:styleId="Heading4">
    <w:name w:val="heading 4"/>
    <w:basedOn w:val="Normal"/>
    <w:next w:val="Text4"/>
    <w:link w:val="Heading4Char"/>
    <w:uiPriority w:val="9"/>
    <w:qFormat/>
    <w:pPr>
      <w:keepNext/>
      <w:numPr>
        <w:ilvl w:val="3"/>
        <w:numId w:val="7"/>
      </w:numPr>
      <w:outlineLvl w:val="3"/>
    </w:pPr>
  </w:style>
  <w:style w:type="paragraph" w:styleId="Heading5">
    <w:name w:val="heading 5"/>
    <w:basedOn w:val="Normal"/>
    <w:next w:val="Normal"/>
    <w:link w:val="Heading5Char"/>
    <w:uiPriority w:val="9"/>
    <w:semiHidden/>
    <w:qFormat/>
    <w:pPr>
      <w:keepNext/>
      <w:numPr>
        <w:ilvl w:val="4"/>
        <w:numId w:val="7"/>
      </w:numPr>
      <w:outlineLvl w:val="4"/>
    </w:pPr>
  </w:style>
  <w:style w:type="paragraph" w:styleId="Heading6">
    <w:name w:val="heading 6"/>
    <w:basedOn w:val="Normal"/>
    <w:next w:val="Normal"/>
    <w:link w:val="Heading6Char"/>
    <w:uiPriority w:val="9"/>
    <w:semiHidden/>
    <w:qFormat/>
    <w:pPr>
      <w:keepNext/>
      <w:numPr>
        <w:ilvl w:val="5"/>
        <w:numId w:val="7"/>
      </w:numPr>
      <w:outlineLvl w:val="5"/>
    </w:pPr>
  </w:style>
  <w:style w:type="paragraph" w:styleId="Heading7">
    <w:name w:val="heading 7"/>
    <w:basedOn w:val="Normal"/>
    <w:next w:val="Normal"/>
    <w:link w:val="Heading7Char"/>
    <w:uiPriority w:val="9"/>
    <w:semiHidden/>
    <w:qFormat/>
    <w:pPr>
      <w:keepNext/>
      <w:numPr>
        <w:ilvl w:val="6"/>
        <w:numId w:val="7"/>
      </w:numPr>
      <w:outlineLvl w:val="6"/>
    </w:pPr>
  </w:style>
  <w:style w:type="paragraph" w:styleId="Heading8">
    <w:name w:val="heading 8"/>
    <w:basedOn w:val="Normal"/>
    <w:next w:val="Normal"/>
    <w:link w:val="Heading8Char"/>
    <w:uiPriority w:val="9"/>
    <w:semiHidden/>
    <w:qFormat/>
    <w:pPr>
      <w:keepNext/>
      <w:numPr>
        <w:ilvl w:val="7"/>
        <w:numId w:val="7"/>
      </w:numPr>
      <w:outlineLvl w:val="7"/>
    </w:pPr>
  </w:style>
  <w:style w:type="paragraph" w:styleId="Heading9">
    <w:name w:val="heading 9"/>
    <w:basedOn w:val="Normal"/>
    <w:next w:val="Normal"/>
    <w:link w:val="Heading9Char"/>
    <w:uiPriority w:val="9"/>
    <w:semiHidden/>
    <w:qFormat/>
    <w:pPr>
      <w:keepNext/>
      <w:numPr>
        <w:ilvl w:val="8"/>
        <w:numId w:val="7"/>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2"/>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uiPriority w:val="1"/>
    <w:rPr>
      <w:color w:val="CB3535"/>
    </w:rPr>
  </w:style>
  <w:style w:type="character" w:customStyle="1" w:styleId="InstructionBlue">
    <w:name w:val="InstructionBlue"/>
    <w:uiPriority w:val="1"/>
    <w:rPr>
      <w:i/>
      <w:color w:val="3366CC"/>
    </w:rPr>
  </w:style>
  <w:style w:type="character" w:customStyle="1" w:styleId="InstructionRed">
    <w:name w:val="InstructionRed"/>
    <w:uiPriority w:val="1"/>
    <w:rPr>
      <w:i/>
      <w:color w:val="CB3535"/>
    </w:rPr>
  </w:style>
  <w:style w:type="character" w:customStyle="1" w:styleId="BodyPlaceholderText">
    <w:name w:val="BodyPlaceholderText"/>
    <w:basedOn w:val="PlaceholderText"/>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2"/>
    <w:pPr>
      <w:tabs>
        <w:tab w:val="left" w:pos="5669"/>
      </w:tabs>
      <w:spacing w:before="480" w:after="0"/>
      <w:ind w:left="1531" w:hanging="1531"/>
      <w:contextualSpacing/>
      <w:jc w:val="left"/>
    </w:pPr>
  </w:style>
  <w:style w:type="paragraph" w:customStyle="1" w:styleId="Participants">
    <w:name w:val="Participants"/>
    <w:basedOn w:val="Normal"/>
    <w:uiPriority w:val="2"/>
    <w:pPr>
      <w:tabs>
        <w:tab w:val="left" w:pos="2551"/>
        <w:tab w:val="left" w:pos="2835"/>
        <w:tab w:val="left" w:pos="5669"/>
        <w:tab w:val="left" w:pos="6378"/>
        <w:tab w:val="left" w:pos="6803"/>
      </w:tabs>
      <w:spacing w:before="480" w:after="0"/>
      <w:ind w:left="1531" w:hanging="1531"/>
      <w:contextualSpacing/>
      <w:jc w:val="left"/>
    </w:pPr>
  </w:style>
  <w:style w:type="paragraph" w:customStyle="1" w:styleId="Enclosures">
    <w:name w:val="Enclosures"/>
    <w:basedOn w:val="Normal"/>
    <w:uiPriority w:val="2"/>
    <w:pPr>
      <w:keepNext/>
      <w:keepLines/>
      <w:tabs>
        <w:tab w:val="left" w:pos="5669"/>
      </w:tabs>
      <w:spacing w:before="480" w:after="0"/>
      <w:ind w:left="1531" w:hanging="1531"/>
      <w:contextualSpacing/>
      <w:jc w:val="left"/>
    </w:pPr>
  </w:style>
  <w:style w:type="paragraph" w:customStyle="1" w:styleId="DoubSign">
    <w:name w:val="DoubSign"/>
    <w:basedOn w:val="Normal"/>
    <w:uiPriority w:val="2"/>
    <w:pPr>
      <w:spacing w:before="1200" w:after="0"/>
      <w:jc w:val="left"/>
    </w:pPr>
  </w:style>
  <w:style w:type="paragraph" w:customStyle="1" w:styleId="SignatureL">
    <w:name w:val="SignatureL"/>
    <w:basedOn w:val="Normal"/>
    <w:uiPriority w:val="2"/>
    <w:pPr>
      <w:spacing w:before="1200" w:after="0"/>
      <w:jc w:val="left"/>
    </w:pPr>
  </w:style>
  <w:style w:type="paragraph" w:styleId="Signature">
    <w:name w:val="Signature"/>
    <w:basedOn w:val="Normal"/>
    <w:link w:val="SignatureChar"/>
    <w:uiPriority w:val="99"/>
    <w:pPr>
      <w:spacing w:before="1200" w:after="0"/>
      <w:ind w:left="5102"/>
      <w:jc w:val="center"/>
    </w:pPr>
  </w:style>
  <w:style w:type="paragraph" w:customStyle="1" w:styleId="ClosingL">
    <w:name w:val="ClosingL"/>
    <w:basedOn w:val="Normal"/>
    <w:next w:val="Signature"/>
    <w:uiPriority w:val="2"/>
    <w:pPr>
      <w:spacing w:before="240"/>
      <w:jc w:val="left"/>
    </w:pPr>
  </w:style>
  <w:style w:type="paragraph" w:styleId="Closing">
    <w:name w:val="Closing"/>
    <w:basedOn w:val="Normal"/>
    <w:next w:val="Signature"/>
    <w:link w:val="ClosingChar"/>
    <w:uiPriority w:val="99"/>
    <w:pPr>
      <w:tabs>
        <w:tab w:val="left" w:pos="5102"/>
      </w:tabs>
      <w:spacing w:before="240"/>
      <w:ind w:left="5102"/>
      <w:jc w:val="left"/>
    </w:pPr>
  </w:style>
  <w:style w:type="paragraph" w:customStyle="1" w:styleId="YReferences">
    <w:name w:val="YReferences"/>
    <w:basedOn w:val="Normal"/>
    <w:uiPriority w:val="2"/>
    <w:pPr>
      <w:spacing w:after="480"/>
      <w:ind w:left="1191" w:hanging="1191"/>
      <w:contextualSpacing/>
    </w:pPr>
  </w:style>
  <w:style w:type="paragraph" w:customStyle="1" w:styleId="Subject">
    <w:name w:val="Subject"/>
    <w:basedOn w:val="Normal"/>
    <w:uiPriority w:val="2"/>
    <w:pPr>
      <w:spacing w:after="480"/>
      <w:ind w:left="1191" w:hanging="1191"/>
      <w:contextualSpacing/>
      <w:jc w:val="left"/>
    </w:pPr>
    <w:rPr>
      <w:b/>
    </w:rPr>
  </w:style>
  <w:style w:type="paragraph" w:customStyle="1" w:styleId="NoteColumn">
    <w:name w:val="NoteColumn"/>
    <w:basedOn w:val="Normal"/>
    <w:uiPriority w:val="2"/>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uiPriority w:val="2"/>
    <w:pPr>
      <w:tabs>
        <w:tab w:val="left" w:pos="5822"/>
      </w:tabs>
      <w:spacing w:before="720" w:after="720"/>
      <w:ind w:left="5102" w:hanging="3118"/>
      <w:contextualSpacing/>
      <w:jc w:val="left"/>
    </w:pPr>
    <w:rPr>
      <w:b/>
      <w:smallCaps/>
    </w:rPr>
  </w:style>
  <w:style w:type="paragraph" w:customStyle="1" w:styleId="NoteAddressee">
    <w:name w:val="NoteAddressee"/>
    <w:basedOn w:val="Normal"/>
    <w:uiPriority w:val="2"/>
    <w:pPr>
      <w:spacing w:after="720"/>
      <w:contextualSpacing/>
      <w:jc w:val="center"/>
    </w:pPr>
    <w:rPr>
      <w:b/>
      <w:smallCaps/>
    </w:rPr>
  </w:style>
  <w:style w:type="paragraph" w:customStyle="1" w:styleId="NoteTitle">
    <w:name w:val="NoteTitle"/>
    <w:basedOn w:val="Normal"/>
    <w:uiPriority w:val="2"/>
    <w:pPr>
      <w:spacing w:before="720" w:after="360"/>
      <w:contextualSpacing/>
      <w:jc w:val="center"/>
    </w:pPr>
    <w:rPr>
      <w:b/>
      <w:smallCaps/>
    </w:rPr>
  </w:style>
  <w:style w:type="paragraph" w:customStyle="1" w:styleId="NoteHead">
    <w:name w:val="NoteHead"/>
    <w:basedOn w:val="Normal"/>
    <w:uiPriority w:val="2"/>
    <w:pPr>
      <w:spacing w:before="720" w:after="720"/>
      <w:contextualSpacing/>
      <w:jc w:val="center"/>
    </w:pPr>
    <w:rPr>
      <w:b/>
      <w:smallCaps/>
    </w:rPr>
  </w:style>
  <w:style w:type="paragraph" w:customStyle="1" w:styleId="ContNumLevel3">
    <w:name w:val="ContNum (Level 3)"/>
    <w:basedOn w:val="Normal"/>
    <w:uiPriority w:val="1"/>
    <w:pPr>
      <w:numPr>
        <w:ilvl w:val="2"/>
        <w:numId w:val="5"/>
      </w:numPr>
    </w:pPr>
  </w:style>
  <w:style w:type="paragraph" w:customStyle="1" w:styleId="ContNumLevel2">
    <w:name w:val="ContNum (Level 2)"/>
    <w:basedOn w:val="Normal"/>
    <w:uiPriority w:val="1"/>
    <w:pPr>
      <w:numPr>
        <w:ilvl w:val="1"/>
        <w:numId w:val="5"/>
      </w:numPr>
    </w:pPr>
  </w:style>
  <w:style w:type="paragraph" w:customStyle="1" w:styleId="ContNum">
    <w:name w:val="ContNum"/>
    <w:basedOn w:val="Normal"/>
    <w:uiPriority w:val="1"/>
    <w:qFormat/>
    <w:pPr>
      <w:numPr>
        <w:numId w:val="5"/>
      </w:numPr>
    </w:pPr>
  </w:style>
  <w:style w:type="paragraph" w:customStyle="1" w:styleId="LegalNumPar3">
    <w:name w:val="LegalNumPar3"/>
    <w:basedOn w:val="Normal"/>
    <w:uiPriority w:val="1"/>
    <w:pPr>
      <w:numPr>
        <w:ilvl w:val="2"/>
        <w:numId w:val="6"/>
      </w:numPr>
      <w:spacing w:line="360" w:lineRule="auto"/>
    </w:pPr>
  </w:style>
  <w:style w:type="paragraph" w:customStyle="1" w:styleId="LegalNumPar2">
    <w:name w:val="LegalNumPar2"/>
    <w:basedOn w:val="Normal"/>
    <w:uiPriority w:val="1"/>
    <w:pPr>
      <w:numPr>
        <w:ilvl w:val="1"/>
        <w:numId w:val="6"/>
      </w:numPr>
      <w:spacing w:line="360" w:lineRule="auto"/>
    </w:pPr>
  </w:style>
  <w:style w:type="paragraph" w:customStyle="1" w:styleId="LegalNumPar">
    <w:name w:val="LegalNumPar"/>
    <w:basedOn w:val="Normal"/>
    <w:uiPriority w:val="1"/>
    <w:qFormat/>
    <w:pPr>
      <w:numPr>
        <w:numId w:val="6"/>
      </w:numPr>
      <w:spacing w:line="360" w:lineRule="auto"/>
    </w:pPr>
  </w:style>
  <w:style w:type="paragraph" w:customStyle="1" w:styleId="Marking">
    <w:name w:val="Marking"/>
    <w:basedOn w:val="Normal"/>
    <w:semiHidden/>
    <w:pPr>
      <w:ind w:left="5102" w:right="-567"/>
      <w:contextualSpacing/>
      <w:jc w:val="left"/>
    </w:pPr>
    <w:rPr>
      <w:sz w:val="28"/>
    </w:rPr>
  </w:style>
  <w:style w:type="paragraph" w:customStyle="1" w:styleId="TableListNumberLevel4">
    <w:name w:val="Table List Number (Level 4)"/>
    <w:basedOn w:val="TableText"/>
    <w:uiPriority w:val="1"/>
    <w:semiHidden/>
    <w:unhideWhenUsed/>
    <w:pPr>
      <w:numPr>
        <w:ilvl w:val="3"/>
        <w:numId w:val="1"/>
      </w:numPr>
    </w:pPr>
  </w:style>
  <w:style w:type="paragraph" w:customStyle="1" w:styleId="TableListNumberLevel3">
    <w:name w:val="Table List Number (Level 3)"/>
    <w:basedOn w:val="TableText"/>
    <w:uiPriority w:val="1"/>
    <w:semiHidden/>
    <w:unhideWhenUsed/>
    <w:pPr>
      <w:numPr>
        <w:ilvl w:val="2"/>
        <w:numId w:val="1"/>
      </w:numPr>
    </w:pPr>
  </w:style>
  <w:style w:type="paragraph" w:customStyle="1" w:styleId="TableListNumberLevel2">
    <w:name w:val="Table List Number (Level 2)"/>
    <w:basedOn w:val="TableText"/>
    <w:uiPriority w:val="1"/>
    <w:pPr>
      <w:numPr>
        <w:ilvl w:val="1"/>
        <w:numId w:val="1"/>
      </w:numPr>
    </w:pPr>
  </w:style>
  <w:style w:type="paragraph" w:customStyle="1" w:styleId="TableListNumber">
    <w:name w:val="Table List Number"/>
    <w:basedOn w:val="TableText"/>
    <w:uiPriority w:val="1"/>
    <w:pPr>
      <w:numPr>
        <w:numId w:val="1"/>
      </w:numPr>
    </w:pPr>
  </w:style>
  <w:style w:type="paragraph" w:customStyle="1" w:styleId="ListNumber4Level4">
    <w:name w:val="List Number 4 (Level 4)"/>
    <w:basedOn w:val="Text4"/>
    <w:uiPriority w:val="1"/>
    <w:semiHidden/>
    <w:unhideWhenUsed/>
    <w:pPr>
      <w:numPr>
        <w:ilvl w:val="3"/>
        <w:numId w:val="17"/>
      </w:numPr>
    </w:pPr>
  </w:style>
  <w:style w:type="paragraph" w:customStyle="1" w:styleId="ListNumber4Level3">
    <w:name w:val="List Number 4 (Level 3)"/>
    <w:basedOn w:val="Text4"/>
    <w:uiPriority w:val="1"/>
    <w:semiHidden/>
    <w:unhideWhenUsed/>
    <w:pPr>
      <w:numPr>
        <w:ilvl w:val="2"/>
        <w:numId w:val="17"/>
      </w:numPr>
    </w:pPr>
  </w:style>
  <w:style w:type="paragraph" w:customStyle="1" w:styleId="ListNumber4Level2">
    <w:name w:val="List Number 4 (Level 2)"/>
    <w:basedOn w:val="Text4"/>
    <w:uiPriority w:val="1"/>
    <w:pPr>
      <w:numPr>
        <w:ilvl w:val="1"/>
        <w:numId w:val="17"/>
      </w:numPr>
    </w:pPr>
  </w:style>
  <w:style w:type="paragraph" w:styleId="ListNumber4">
    <w:name w:val="List Number 4"/>
    <w:basedOn w:val="Text4"/>
    <w:uiPriority w:val="99"/>
    <w:pPr>
      <w:numPr>
        <w:numId w:val="17"/>
      </w:numPr>
    </w:pPr>
  </w:style>
  <w:style w:type="paragraph" w:customStyle="1" w:styleId="ListNumber3Level4">
    <w:name w:val="List Number 3 (Level 4)"/>
    <w:basedOn w:val="Text3"/>
    <w:uiPriority w:val="1"/>
    <w:semiHidden/>
    <w:unhideWhenUsed/>
    <w:pPr>
      <w:numPr>
        <w:ilvl w:val="3"/>
        <w:numId w:val="16"/>
      </w:numPr>
    </w:pPr>
  </w:style>
  <w:style w:type="paragraph" w:customStyle="1" w:styleId="ListNumber3Level3">
    <w:name w:val="List Number 3 (Level 3)"/>
    <w:basedOn w:val="Text3"/>
    <w:uiPriority w:val="1"/>
    <w:semiHidden/>
    <w:unhideWhenUsed/>
    <w:pPr>
      <w:numPr>
        <w:ilvl w:val="2"/>
        <w:numId w:val="16"/>
      </w:numPr>
    </w:pPr>
  </w:style>
  <w:style w:type="paragraph" w:customStyle="1" w:styleId="ListNumber3Level2">
    <w:name w:val="List Number 3 (Level 2)"/>
    <w:basedOn w:val="Text3"/>
    <w:uiPriority w:val="1"/>
    <w:pPr>
      <w:numPr>
        <w:ilvl w:val="1"/>
        <w:numId w:val="16"/>
      </w:numPr>
    </w:pPr>
  </w:style>
  <w:style w:type="paragraph" w:styleId="ListNumber3">
    <w:name w:val="List Number 3"/>
    <w:basedOn w:val="Text3"/>
    <w:uiPriority w:val="99"/>
    <w:pPr>
      <w:numPr>
        <w:numId w:val="16"/>
      </w:numPr>
    </w:pPr>
  </w:style>
  <w:style w:type="paragraph" w:customStyle="1" w:styleId="ListNumber2Level4">
    <w:name w:val="List Number 2 (Level 4)"/>
    <w:basedOn w:val="Text2"/>
    <w:uiPriority w:val="1"/>
    <w:semiHidden/>
    <w:unhideWhenUsed/>
    <w:pPr>
      <w:numPr>
        <w:ilvl w:val="3"/>
        <w:numId w:val="15"/>
      </w:numPr>
    </w:pPr>
  </w:style>
  <w:style w:type="paragraph" w:customStyle="1" w:styleId="ListNumber2Level3">
    <w:name w:val="List Number 2 (Level 3)"/>
    <w:basedOn w:val="Text2"/>
    <w:uiPriority w:val="1"/>
    <w:semiHidden/>
    <w:unhideWhenUsed/>
    <w:pPr>
      <w:numPr>
        <w:ilvl w:val="2"/>
        <w:numId w:val="15"/>
      </w:numPr>
    </w:pPr>
  </w:style>
  <w:style w:type="paragraph" w:customStyle="1" w:styleId="ListNumber2Level2">
    <w:name w:val="List Number 2 (Level 2)"/>
    <w:basedOn w:val="Text2"/>
    <w:uiPriority w:val="1"/>
    <w:pPr>
      <w:numPr>
        <w:ilvl w:val="1"/>
        <w:numId w:val="15"/>
      </w:numPr>
    </w:pPr>
  </w:style>
  <w:style w:type="paragraph" w:styleId="ListNumber2">
    <w:name w:val="List Number 2"/>
    <w:basedOn w:val="Text2"/>
    <w:uiPriority w:val="99"/>
    <w:pPr>
      <w:numPr>
        <w:numId w:val="15"/>
      </w:numPr>
    </w:pPr>
  </w:style>
  <w:style w:type="paragraph" w:customStyle="1" w:styleId="ListNumber1Level4">
    <w:name w:val="List Number 1 (Level 4)"/>
    <w:basedOn w:val="Text1"/>
    <w:uiPriority w:val="1"/>
    <w:semiHidden/>
    <w:unhideWhenUsed/>
    <w:pPr>
      <w:numPr>
        <w:ilvl w:val="3"/>
        <w:numId w:val="14"/>
      </w:numPr>
    </w:pPr>
  </w:style>
  <w:style w:type="paragraph" w:customStyle="1" w:styleId="ListNumber1Level3">
    <w:name w:val="List Number 1 (Level 3)"/>
    <w:basedOn w:val="Text1"/>
    <w:uiPriority w:val="1"/>
    <w:semiHidden/>
    <w:unhideWhenUsed/>
    <w:pPr>
      <w:numPr>
        <w:ilvl w:val="2"/>
        <w:numId w:val="14"/>
      </w:numPr>
    </w:pPr>
  </w:style>
  <w:style w:type="paragraph" w:customStyle="1" w:styleId="ListNumber1Level2">
    <w:name w:val="List Number 1 (Level 2)"/>
    <w:basedOn w:val="Text1"/>
    <w:uiPriority w:val="1"/>
    <w:pPr>
      <w:numPr>
        <w:ilvl w:val="1"/>
        <w:numId w:val="14"/>
      </w:numPr>
    </w:pPr>
  </w:style>
  <w:style w:type="paragraph" w:customStyle="1" w:styleId="ListNumber1">
    <w:name w:val="List Number 1"/>
    <w:basedOn w:val="Text1"/>
    <w:uiPriority w:val="1"/>
    <w:pPr>
      <w:numPr>
        <w:numId w:val="14"/>
      </w:numPr>
    </w:pPr>
  </w:style>
  <w:style w:type="paragraph" w:customStyle="1" w:styleId="ListNumberLevel4">
    <w:name w:val="List Number (Level 4)"/>
    <w:basedOn w:val="Normal"/>
    <w:uiPriority w:val="1"/>
    <w:semiHidden/>
    <w:unhideWhenUsed/>
    <w:pPr>
      <w:numPr>
        <w:ilvl w:val="3"/>
        <w:numId w:val="13"/>
      </w:numPr>
    </w:pPr>
  </w:style>
  <w:style w:type="paragraph" w:customStyle="1" w:styleId="ListNumberLevel3">
    <w:name w:val="List Number (Level 3)"/>
    <w:basedOn w:val="Normal"/>
    <w:unhideWhenUsed/>
    <w:pPr>
      <w:numPr>
        <w:ilvl w:val="2"/>
        <w:numId w:val="13"/>
      </w:numPr>
    </w:pPr>
  </w:style>
  <w:style w:type="paragraph" w:customStyle="1" w:styleId="ListNumberLevel2">
    <w:name w:val="List Number (Level 2)"/>
    <w:basedOn w:val="Normal"/>
    <w:pPr>
      <w:numPr>
        <w:ilvl w:val="1"/>
        <w:numId w:val="13"/>
      </w:numPr>
    </w:pPr>
  </w:style>
  <w:style w:type="paragraph" w:styleId="ListNumber">
    <w:name w:val="List Number"/>
    <w:basedOn w:val="Normal"/>
    <w:uiPriority w:val="99"/>
    <w:pPr>
      <w:numPr>
        <w:numId w:val="13"/>
      </w:numPr>
    </w:pPr>
  </w:style>
  <w:style w:type="paragraph" w:customStyle="1" w:styleId="TableListDashLevel4">
    <w:name w:val="Table List Dash (Level 4)"/>
    <w:basedOn w:val="TableText"/>
    <w:uiPriority w:val="1"/>
    <w:semiHidden/>
    <w:unhideWhenUsed/>
    <w:pPr>
      <w:numPr>
        <w:ilvl w:val="3"/>
        <w:numId w:val="2"/>
      </w:numPr>
    </w:pPr>
  </w:style>
  <w:style w:type="paragraph" w:customStyle="1" w:styleId="TableListDashLevel3">
    <w:name w:val="Table List Dash (Level 3)"/>
    <w:basedOn w:val="TableText"/>
    <w:uiPriority w:val="1"/>
    <w:semiHidden/>
    <w:unhideWhenUsed/>
    <w:pPr>
      <w:numPr>
        <w:ilvl w:val="2"/>
        <w:numId w:val="2"/>
      </w:numPr>
    </w:pPr>
  </w:style>
  <w:style w:type="paragraph" w:customStyle="1" w:styleId="TableListDashLevel2">
    <w:name w:val="Table List Dash (Level 2)"/>
    <w:basedOn w:val="TableText"/>
    <w:uiPriority w:val="1"/>
    <w:pPr>
      <w:numPr>
        <w:ilvl w:val="1"/>
        <w:numId w:val="2"/>
      </w:numPr>
    </w:pPr>
  </w:style>
  <w:style w:type="paragraph" w:customStyle="1" w:styleId="TableListDash">
    <w:name w:val="Table List Dash"/>
    <w:basedOn w:val="TableText"/>
    <w:uiPriority w:val="1"/>
    <w:pPr>
      <w:numPr>
        <w:numId w:val="2"/>
      </w:numPr>
    </w:pPr>
  </w:style>
  <w:style w:type="paragraph" w:customStyle="1" w:styleId="ListDash4Level4">
    <w:name w:val="List Dash 4 (Level 4)"/>
    <w:basedOn w:val="Text4"/>
    <w:uiPriority w:val="1"/>
    <w:semiHidden/>
    <w:unhideWhenUsed/>
    <w:pPr>
      <w:numPr>
        <w:ilvl w:val="3"/>
        <w:numId w:val="22"/>
      </w:numPr>
    </w:pPr>
  </w:style>
  <w:style w:type="paragraph" w:customStyle="1" w:styleId="ListDash4Level3">
    <w:name w:val="List Dash 4 (Level 3)"/>
    <w:basedOn w:val="Text4"/>
    <w:uiPriority w:val="1"/>
    <w:semiHidden/>
    <w:unhideWhenUsed/>
    <w:pPr>
      <w:numPr>
        <w:ilvl w:val="2"/>
        <w:numId w:val="22"/>
      </w:numPr>
    </w:pPr>
  </w:style>
  <w:style w:type="paragraph" w:customStyle="1" w:styleId="ListDash4Level2">
    <w:name w:val="List Dash 4 (Level 2)"/>
    <w:basedOn w:val="Text4"/>
    <w:uiPriority w:val="1"/>
    <w:pPr>
      <w:numPr>
        <w:ilvl w:val="1"/>
        <w:numId w:val="22"/>
      </w:numPr>
    </w:pPr>
  </w:style>
  <w:style w:type="paragraph" w:customStyle="1" w:styleId="ListDash4">
    <w:name w:val="List Dash 4"/>
    <w:basedOn w:val="Text4"/>
    <w:uiPriority w:val="1"/>
    <w:pPr>
      <w:numPr>
        <w:numId w:val="22"/>
      </w:numPr>
    </w:pPr>
  </w:style>
  <w:style w:type="paragraph" w:customStyle="1" w:styleId="ListDash3Level4">
    <w:name w:val="List Dash 3 (Level 4)"/>
    <w:basedOn w:val="Text3"/>
    <w:uiPriority w:val="1"/>
    <w:semiHidden/>
    <w:unhideWhenUsed/>
    <w:pPr>
      <w:numPr>
        <w:ilvl w:val="3"/>
        <w:numId w:val="21"/>
      </w:numPr>
    </w:pPr>
  </w:style>
  <w:style w:type="paragraph" w:customStyle="1" w:styleId="ListDash3Level3">
    <w:name w:val="List Dash 3 (Level 3)"/>
    <w:basedOn w:val="Text3"/>
    <w:uiPriority w:val="1"/>
    <w:semiHidden/>
    <w:unhideWhenUsed/>
    <w:pPr>
      <w:numPr>
        <w:ilvl w:val="2"/>
        <w:numId w:val="21"/>
      </w:numPr>
    </w:pPr>
  </w:style>
  <w:style w:type="paragraph" w:customStyle="1" w:styleId="ListDash3Level2">
    <w:name w:val="List Dash 3 (Level 2)"/>
    <w:basedOn w:val="Text3"/>
    <w:uiPriority w:val="1"/>
    <w:pPr>
      <w:numPr>
        <w:ilvl w:val="1"/>
        <w:numId w:val="21"/>
      </w:numPr>
    </w:pPr>
  </w:style>
  <w:style w:type="paragraph" w:customStyle="1" w:styleId="ListDash3">
    <w:name w:val="List Dash 3"/>
    <w:basedOn w:val="Text3"/>
    <w:uiPriority w:val="1"/>
    <w:pPr>
      <w:numPr>
        <w:numId w:val="21"/>
      </w:numPr>
    </w:pPr>
  </w:style>
  <w:style w:type="paragraph" w:customStyle="1" w:styleId="ListDash2Level4">
    <w:name w:val="List Dash 2 (Level 4)"/>
    <w:basedOn w:val="Text2"/>
    <w:uiPriority w:val="1"/>
    <w:semiHidden/>
    <w:unhideWhenUsed/>
    <w:pPr>
      <w:numPr>
        <w:ilvl w:val="3"/>
        <w:numId w:val="20"/>
      </w:numPr>
    </w:pPr>
  </w:style>
  <w:style w:type="paragraph" w:customStyle="1" w:styleId="ListDash2Level3">
    <w:name w:val="List Dash 2 (Level 3)"/>
    <w:basedOn w:val="Text2"/>
    <w:uiPriority w:val="1"/>
    <w:semiHidden/>
    <w:unhideWhenUsed/>
    <w:pPr>
      <w:numPr>
        <w:ilvl w:val="2"/>
        <w:numId w:val="20"/>
      </w:numPr>
    </w:pPr>
  </w:style>
  <w:style w:type="paragraph" w:customStyle="1" w:styleId="ListDash2Level2">
    <w:name w:val="List Dash 2 (Level 2)"/>
    <w:basedOn w:val="Text2"/>
    <w:uiPriority w:val="1"/>
    <w:pPr>
      <w:numPr>
        <w:ilvl w:val="1"/>
        <w:numId w:val="20"/>
      </w:numPr>
    </w:pPr>
  </w:style>
  <w:style w:type="paragraph" w:customStyle="1" w:styleId="ListDash2">
    <w:name w:val="List Dash 2"/>
    <w:basedOn w:val="Text2"/>
    <w:uiPriority w:val="1"/>
    <w:pPr>
      <w:numPr>
        <w:numId w:val="20"/>
      </w:numPr>
    </w:pPr>
  </w:style>
  <w:style w:type="paragraph" w:customStyle="1" w:styleId="ListDash1Level4">
    <w:name w:val="List Dash 1 (Level 4)"/>
    <w:basedOn w:val="Text1"/>
    <w:uiPriority w:val="1"/>
    <w:semiHidden/>
    <w:unhideWhenUsed/>
    <w:pPr>
      <w:numPr>
        <w:ilvl w:val="3"/>
        <w:numId w:val="19"/>
      </w:numPr>
    </w:pPr>
  </w:style>
  <w:style w:type="paragraph" w:customStyle="1" w:styleId="ListDash1Level3">
    <w:name w:val="List Dash 1 (Level 3)"/>
    <w:basedOn w:val="Text1"/>
    <w:uiPriority w:val="1"/>
    <w:semiHidden/>
    <w:unhideWhenUsed/>
    <w:pPr>
      <w:numPr>
        <w:ilvl w:val="2"/>
        <w:numId w:val="19"/>
      </w:numPr>
    </w:pPr>
  </w:style>
  <w:style w:type="paragraph" w:customStyle="1" w:styleId="ListDash1Level2">
    <w:name w:val="List Dash 1 (Level 2)"/>
    <w:basedOn w:val="Text1"/>
    <w:uiPriority w:val="1"/>
    <w:pPr>
      <w:numPr>
        <w:ilvl w:val="1"/>
        <w:numId w:val="19"/>
      </w:numPr>
    </w:pPr>
  </w:style>
  <w:style w:type="paragraph" w:customStyle="1" w:styleId="ListDash1">
    <w:name w:val="List Dash 1"/>
    <w:basedOn w:val="Text1"/>
    <w:uiPriority w:val="1"/>
    <w:pPr>
      <w:numPr>
        <w:numId w:val="19"/>
      </w:numPr>
    </w:pPr>
  </w:style>
  <w:style w:type="paragraph" w:customStyle="1" w:styleId="ListDashLevel4">
    <w:name w:val="List Dash (Level 4)"/>
    <w:basedOn w:val="Normal"/>
    <w:uiPriority w:val="1"/>
    <w:semiHidden/>
    <w:unhideWhenUsed/>
    <w:pPr>
      <w:numPr>
        <w:ilvl w:val="3"/>
        <w:numId w:val="18"/>
      </w:numPr>
    </w:pPr>
  </w:style>
  <w:style w:type="paragraph" w:customStyle="1" w:styleId="ListDashLevel3">
    <w:name w:val="List Dash (Level 3)"/>
    <w:basedOn w:val="Normal"/>
    <w:uiPriority w:val="1"/>
    <w:semiHidden/>
    <w:unhideWhenUsed/>
    <w:pPr>
      <w:numPr>
        <w:ilvl w:val="2"/>
        <w:numId w:val="18"/>
      </w:numPr>
    </w:pPr>
  </w:style>
  <w:style w:type="paragraph" w:customStyle="1" w:styleId="ListDashLevel2">
    <w:name w:val="List Dash (Level 2)"/>
    <w:basedOn w:val="Normal"/>
    <w:uiPriority w:val="1"/>
    <w:pPr>
      <w:numPr>
        <w:ilvl w:val="1"/>
        <w:numId w:val="18"/>
      </w:numPr>
    </w:pPr>
  </w:style>
  <w:style w:type="paragraph" w:customStyle="1" w:styleId="ListDash">
    <w:name w:val="List Dash"/>
    <w:basedOn w:val="Normal"/>
    <w:uiPriority w:val="1"/>
    <w:pPr>
      <w:numPr>
        <w:numId w:val="18"/>
      </w:numPr>
    </w:pPr>
  </w:style>
  <w:style w:type="paragraph" w:customStyle="1" w:styleId="TableListBulletLevel4">
    <w:name w:val="Table List Bullet (Level 4)"/>
    <w:basedOn w:val="TableText"/>
    <w:uiPriority w:val="1"/>
    <w:semiHidden/>
    <w:unhideWhenUsed/>
    <w:pPr>
      <w:numPr>
        <w:ilvl w:val="3"/>
        <w:numId w:val="3"/>
      </w:numPr>
    </w:pPr>
  </w:style>
  <w:style w:type="paragraph" w:customStyle="1" w:styleId="TableListBulletLevel3">
    <w:name w:val="Table List Bullet (Level 3)"/>
    <w:basedOn w:val="TableText"/>
    <w:uiPriority w:val="1"/>
    <w:semiHidden/>
    <w:unhideWhenUsed/>
    <w:pPr>
      <w:numPr>
        <w:ilvl w:val="2"/>
        <w:numId w:val="3"/>
      </w:numPr>
    </w:pPr>
  </w:style>
  <w:style w:type="paragraph" w:customStyle="1" w:styleId="TableListBulletLevel2">
    <w:name w:val="Table List Bullet (Level 2)"/>
    <w:basedOn w:val="TableText"/>
    <w:uiPriority w:val="1"/>
    <w:pPr>
      <w:numPr>
        <w:ilvl w:val="1"/>
        <w:numId w:val="3"/>
      </w:numPr>
    </w:pPr>
  </w:style>
  <w:style w:type="paragraph" w:customStyle="1" w:styleId="TableListBullet">
    <w:name w:val="Table List Bullet"/>
    <w:basedOn w:val="TableText"/>
    <w:uiPriority w:val="1"/>
    <w:pPr>
      <w:numPr>
        <w:numId w:val="3"/>
      </w:numPr>
    </w:pPr>
  </w:style>
  <w:style w:type="paragraph" w:customStyle="1" w:styleId="ListBullet4Level4">
    <w:name w:val="List Bullet 4 (Level 4)"/>
    <w:basedOn w:val="Text4"/>
    <w:uiPriority w:val="1"/>
    <w:semiHidden/>
    <w:unhideWhenUsed/>
    <w:pPr>
      <w:numPr>
        <w:ilvl w:val="3"/>
        <w:numId w:val="12"/>
      </w:numPr>
    </w:pPr>
  </w:style>
  <w:style w:type="paragraph" w:customStyle="1" w:styleId="ListBullet4Level3">
    <w:name w:val="List Bullet 4 (Level 3)"/>
    <w:basedOn w:val="Text4"/>
    <w:uiPriority w:val="1"/>
    <w:semiHidden/>
    <w:unhideWhenUsed/>
    <w:pPr>
      <w:numPr>
        <w:ilvl w:val="2"/>
        <w:numId w:val="12"/>
      </w:numPr>
    </w:pPr>
  </w:style>
  <w:style w:type="paragraph" w:customStyle="1" w:styleId="ListBullet4Level2">
    <w:name w:val="List Bullet 4 (Level 2)"/>
    <w:basedOn w:val="Text4"/>
    <w:uiPriority w:val="1"/>
    <w:pPr>
      <w:numPr>
        <w:ilvl w:val="1"/>
        <w:numId w:val="12"/>
      </w:numPr>
    </w:pPr>
  </w:style>
  <w:style w:type="paragraph" w:styleId="ListBullet4">
    <w:name w:val="List Bullet 4"/>
    <w:basedOn w:val="Text4"/>
    <w:uiPriority w:val="99"/>
    <w:pPr>
      <w:numPr>
        <w:numId w:val="12"/>
      </w:numPr>
    </w:pPr>
  </w:style>
  <w:style w:type="paragraph" w:customStyle="1" w:styleId="ListBullet3Level4">
    <w:name w:val="List Bullet 3 (Level 4)"/>
    <w:basedOn w:val="Text3"/>
    <w:uiPriority w:val="1"/>
    <w:semiHidden/>
    <w:unhideWhenUsed/>
    <w:pPr>
      <w:numPr>
        <w:ilvl w:val="3"/>
        <w:numId w:val="11"/>
      </w:numPr>
    </w:pPr>
  </w:style>
  <w:style w:type="paragraph" w:customStyle="1" w:styleId="ListBullet3Level3">
    <w:name w:val="List Bullet 3 (Level 3)"/>
    <w:basedOn w:val="Text3"/>
    <w:uiPriority w:val="1"/>
    <w:semiHidden/>
    <w:unhideWhenUsed/>
    <w:pPr>
      <w:numPr>
        <w:ilvl w:val="2"/>
        <w:numId w:val="11"/>
      </w:numPr>
    </w:pPr>
  </w:style>
  <w:style w:type="paragraph" w:customStyle="1" w:styleId="ListBullet3Level2">
    <w:name w:val="List Bullet 3 (Level 2)"/>
    <w:basedOn w:val="Text3"/>
    <w:uiPriority w:val="1"/>
    <w:pPr>
      <w:numPr>
        <w:ilvl w:val="1"/>
        <w:numId w:val="11"/>
      </w:numPr>
    </w:pPr>
  </w:style>
  <w:style w:type="paragraph" w:styleId="ListBullet3">
    <w:name w:val="List Bullet 3"/>
    <w:basedOn w:val="Text3"/>
    <w:uiPriority w:val="99"/>
    <w:pPr>
      <w:numPr>
        <w:numId w:val="11"/>
      </w:numPr>
    </w:pPr>
  </w:style>
  <w:style w:type="paragraph" w:customStyle="1" w:styleId="ListBullet2Level4">
    <w:name w:val="List Bullet 2 (Level 4)"/>
    <w:basedOn w:val="Text2"/>
    <w:uiPriority w:val="1"/>
    <w:semiHidden/>
    <w:unhideWhenUsed/>
    <w:pPr>
      <w:numPr>
        <w:ilvl w:val="3"/>
        <w:numId w:val="10"/>
      </w:numPr>
    </w:pPr>
  </w:style>
  <w:style w:type="paragraph" w:customStyle="1" w:styleId="ListBullet2Level3">
    <w:name w:val="List Bullet 2 (Level 3)"/>
    <w:basedOn w:val="Text2"/>
    <w:uiPriority w:val="1"/>
    <w:semiHidden/>
    <w:unhideWhenUsed/>
    <w:pPr>
      <w:numPr>
        <w:ilvl w:val="2"/>
        <w:numId w:val="10"/>
      </w:numPr>
    </w:pPr>
  </w:style>
  <w:style w:type="paragraph" w:customStyle="1" w:styleId="ListBullet2Level2">
    <w:name w:val="List Bullet 2 (Level 2)"/>
    <w:basedOn w:val="Text2"/>
    <w:uiPriority w:val="1"/>
    <w:pPr>
      <w:numPr>
        <w:ilvl w:val="1"/>
        <w:numId w:val="10"/>
      </w:numPr>
    </w:pPr>
  </w:style>
  <w:style w:type="paragraph" w:styleId="ListBullet2">
    <w:name w:val="List Bullet 2"/>
    <w:basedOn w:val="Text2"/>
    <w:uiPriority w:val="99"/>
    <w:pPr>
      <w:numPr>
        <w:numId w:val="10"/>
      </w:numPr>
    </w:pPr>
  </w:style>
  <w:style w:type="paragraph" w:customStyle="1" w:styleId="ListBullet1Level4">
    <w:name w:val="List Bullet 1 (Level 4)"/>
    <w:basedOn w:val="Text1"/>
    <w:uiPriority w:val="1"/>
    <w:semiHidden/>
    <w:unhideWhenUsed/>
    <w:pPr>
      <w:numPr>
        <w:ilvl w:val="3"/>
        <w:numId w:val="9"/>
      </w:numPr>
    </w:pPr>
  </w:style>
  <w:style w:type="paragraph" w:customStyle="1" w:styleId="ListBullet1Level3">
    <w:name w:val="List Bullet 1 (Level 3)"/>
    <w:basedOn w:val="Text1"/>
    <w:uiPriority w:val="1"/>
    <w:semiHidden/>
    <w:unhideWhenUsed/>
    <w:pPr>
      <w:numPr>
        <w:ilvl w:val="2"/>
        <w:numId w:val="9"/>
      </w:numPr>
    </w:pPr>
  </w:style>
  <w:style w:type="paragraph" w:customStyle="1" w:styleId="ListBullet1Level2">
    <w:name w:val="List Bullet 1 (Level 2)"/>
    <w:basedOn w:val="Text1"/>
    <w:uiPriority w:val="1"/>
    <w:pPr>
      <w:numPr>
        <w:ilvl w:val="1"/>
        <w:numId w:val="9"/>
      </w:numPr>
    </w:pPr>
  </w:style>
  <w:style w:type="paragraph" w:customStyle="1" w:styleId="ListBullet1">
    <w:name w:val="List Bullet 1"/>
    <w:basedOn w:val="Text1"/>
    <w:uiPriority w:val="1"/>
    <w:pPr>
      <w:numPr>
        <w:numId w:val="9"/>
      </w:numPr>
    </w:pPr>
  </w:style>
  <w:style w:type="paragraph" w:customStyle="1" w:styleId="ListBulletLevel4">
    <w:name w:val="List Bullet (Level 4)"/>
    <w:basedOn w:val="Normal"/>
    <w:uiPriority w:val="1"/>
    <w:semiHidden/>
    <w:unhideWhenUsed/>
    <w:pPr>
      <w:numPr>
        <w:ilvl w:val="3"/>
        <w:numId w:val="8"/>
      </w:numPr>
    </w:pPr>
  </w:style>
  <w:style w:type="paragraph" w:customStyle="1" w:styleId="ListBulletLevel3">
    <w:name w:val="List Bullet (Level 3)"/>
    <w:basedOn w:val="Normal"/>
    <w:uiPriority w:val="1"/>
    <w:semiHidden/>
    <w:unhideWhenUsed/>
    <w:pPr>
      <w:numPr>
        <w:ilvl w:val="2"/>
        <w:numId w:val="8"/>
      </w:numPr>
    </w:pPr>
  </w:style>
  <w:style w:type="paragraph" w:customStyle="1" w:styleId="ListBulletLevel2">
    <w:name w:val="List Bullet (Level 2)"/>
    <w:basedOn w:val="Normal"/>
    <w:uiPriority w:val="1"/>
    <w:pPr>
      <w:numPr>
        <w:ilvl w:val="1"/>
        <w:numId w:val="8"/>
      </w:numPr>
    </w:pPr>
  </w:style>
  <w:style w:type="paragraph" w:styleId="ListBullet">
    <w:name w:val="List Bullet"/>
    <w:basedOn w:val="Normal"/>
    <w:uiPriority w:val="99"/>
    <w:pPr>
      <w:numPr>
        <w:numId w:val="8"/>
      </w:numPr>
    </w:pPr>
  </w:style>
  <w:style w:type="paragraph" w:styleId="TOC9">
    <w:name w:val="toc 9"/>
    <w:basedOn w:val="Normal"/>
    <w:next w:val="Normal"/>
    <w:uiPriority w:val="39"/>
    <w:semiHidden/>
    <w:pPr>
      <w:tabs>
        <w:tab w:val="right" w:leader="dot" w:pos="8640"/>
      </w:tabs>
    </w:pPr>
  </w:style>
  <w:style w:type="paragraph" w:styleId="TOC8">
    <w:name w:val="toc 8"/>
    <w:basedOn w:val="Normal"/>
    <w:next w:val="Normal"/>
    <w:uiPriority w:val="39"/>
    <w:semiHidden/>
    <w:pPr>
      <w:tabs>
        <w:tab w:val="right" w:leader="dot" w:pos="8640"/>
      </w:tabs>
    </w:pPr>
  </w:style>
  <w:style w:type="paragraph" w:styleId="TOC6">
    <w:name w:val="toc 6"/>
    <w:basedOn w:val="Normal"/>
    <w:next w:val="Normal"/>
    <w:uiPriority w:val="39"/>
    <w:semiHidden/>
    <w:rPr>
      <w:caps/>
    </w:rPr>
  </w:style>
  <w:style w:type="paragraph" w:styleId="TOC5">
    <w:name w:val="toc 5"/>
    <w:basedOn w:val="Normal"/>
    <w:next w:val="Normal"/>
    <w:uiPriority w:val="39"/>
    <w:semiHidden/>
    <w:pPr>
      <w:tabs>
        <w:tab w:val="right" w:leader="dot" w:pos="8640"/>
      </w:tabs>
      <w:spacing w:before="240" w:after="120"/>
      <w:ind w:right="720"/>
    </w:pPr>
    <w:rPr>
      <w:caps/>
    </w:rPr>
  </w:style>
  <w:style w:type="paragraph" w:styleId="TOC4">
    <w:name w:val="toc 4"/>
    <w:basedOn w:val="Normal"/>
    <w:next w:val="Normal"/>
    <w:uiPriority w:val="39"/>
    <w:semiHidden/>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1"/>
    <w:qFormat/>
    <w:pPr>
      <w:pageBreakBefore/>
      <w:numPr>
        <w:numId w:val="4"/>
      </w:numPr>
      <w:spacing w:after="480"/>
      <w:outlineLvl w:val="0"/>
    </w:pPr>
    <w:rPr>
      <w:b/>
      <w:sz w:val="32"/>
    </w:rPr>
  </w:style>
  <w:style w:type="paragraph" w:styleId="Title">
    <w:name w:val="Title"/>
    <w:aliases w:val="Title box"/>
    <w:basedOn w:val="Normal"/>
    <w:next w:val="Normal"/>
    <w:link w:val="TitleChar"/>
    <w:uiPriority w:val="10"/>
    <w:qFormat/>
    <w:pPr>
      <w:spacing w:after="480"/>
      <w:jc w:val="center"/>
    </w:pPr>
    <w:rPr>
      <w:b/>
      <w:kern w:val="28"/>
      <w:sz w:val="48"/>
    </w:rPr>
  </w:style>
  <w:style w:type="paragraph" w:customStyle="1" w:styleId="NumPar4">
    <w:name w:val="NumPar 4"/>
    <w:basedOn w:val="Heading4"/>
    <w:uiPriority w:val="1"/>
    <w:qFormat/>
    <w:pPr>
      <w:keepNext w:val="0"/>
      <w:outlineLvl w:val="9"/>
    </w:pPr>
  </w:style>
  <w:style w:type="paragraph" w:customStyle="1" w:styleId="NumPar3">
    <w:name w:val="NumPar 3"/>
    <w:basedOn w:val="Heading3"/>
    <w:uiPriority w:val="1"/>
    <w:qFormat/>
    <w:pPr>
      <w:keepNext w:val="0"/>
      <w:outlineLvl w:val="9"/>
    </w:pPr>
    <w:rPr>
      <w:i w:val="0"/>
    </w:rPr>
  </w:style>
  <w:style w:type="paragraph" w:customStyle="1" w:styleId="NumPar2">
    <w:name w:val="NumPar 2"/>
    <w:basedOn w:val="Heading2"/>
    <w:uiPriority w:val="1"/>
    <w:qFormat/>
    <w:pPr>
      <w:keepNext w:val="0"/>
      <w:outlineLvl w:val="9"/>
    </w:pPr>
    <w:rPr>
      <w:b w:val="0"/>
    </w:rPr>
  </w:style>
  <w:style w:type="paragraph" w:customStyle="1" w:styleId="NumPar1">
    <w:name w:val="NumPar 1"/>
    <w:basedOn w:val="Heading1"/>
    <w:uiPriority w:val="1"/>
    <w:qFormat/>
    <w:pPr>
      <w:keepNext w:val="0"/>
      <w:spacing w:before="0"/>
      <w:outlineLvl w:val="9"/>
    </w:pPr>
    <w:rPr>
      <w:b w:val="0"/>
      <w:smallCaps w:val="0"/>
    </w:rPr>
  </w:style>
  <w:style w:type="paragraph" w:styleId="MacroText">
    <w:name w:val="macro"/>
    <w:basedOn w:val="Normal"/>
    <w:link w:val="MacroTextChar"/>
    <w:uiPriority w:val="99"/>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ootnote Text Char Char,Footnote Text Char3 Char Char,Footnote Text Char2 Char Char Char,Footnote Text Char1 Char Char Char Char,Footnote Text Char Char Char Char Char Char,Fußnote,fn,single space,o,Char,f,Fußnot,EMPL6"/>
    <w:basedOn w:val="Normal"/>
    <w:link w:val="FootnoteTextChar"/>
    <w:uiPriority w:val="99"/>
    <w:unhideWhenUsed/>
    <w:qFormat/>
    <w:pPr>
      <w:spacing w:after="120"/>
      <w:ind w:left="357" w:hanging="357"/>
    </w:pPr>
    <w:rPr>
      <w:sz w:val="20"/>
    </w:rPr>
  </w:style>
  <w:style w:type="paragraph" w:customStyle="1" w:styleId="FooterLine">
    <w:name w:val="Footer Line"/>
    <w:basedOn w:val="Footer"/>
    <w:next w:val="Footer"/>
    <w:uiPriority w:val="2"/>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link w:val="EndnoteTextChar"/>
    <w:uiPriority w:val="99"/>
    <w:semiHidden/>
    <w:unhideWhenUsed/>
    <w:rPr>
      <w:sz w:val="20"/>
    </w:rPr>
  </w:style>
  <w:style w:type="paragraph" w:customStyle="1" w:styleId="TrsSecretUE">
    <w:name w:val="Très Secret UE"/>
    <w:basedOn w:val="Normal"/>
    <w:semiHidden/>
    <w:pPr>
      <w:spacing w:after="0"/>
      <w:jc w:val="center"/>
    </w:pPr>
    <w:rPr>
      <w:b/>
      <w:caps/>
      <w:color w:val="FF0000"/>
      <w:sz w:val="32"/>
      <w:bdr w:val="single" w:sz="18" w:space="0" w:color="FF0000"/>
    </w:rPr>
  </w:style>
  <w:style w:type="paragraph" w:customStyle="1" w:styleId="SecretUE">
    <w:name w:val="Secret UE"/>
    <w:basedOn w:val="Normal"/>
    <w:semiHidden/>
    <w:pPr>
      <w:spacing w:after="0"/>
      <w:jc w:val="center"/>
    </w:pPr>
    <w:rPr>
      <w:b/>
      <w:caps/>
      <w:color w:val="FF0000"/>
      <w:sz w:val="32"/>
      <w:bdr w:val="single" w:sz="18" w:space="0" w:color="FF0000"/>
    </w:rPr>
  </w:style>
  <w:style w:type="paragraph" w:customStyle="1" w:styleId="ConfidentialUE">
    <w:name w:val="Confidential UE"/>
    <w:basedOn w:val="Normal"/>
    <w:semiHidden/>
    <w:pPr>
      <w:spacing w:after="0"/>
      <w:jc w:val="center"/>
    </w:pPr>
    <w:rPr>
      <w:b/>
      <w:caps/>
      <w:sz w:val="32"/>
      <w:bdr w:val="single" w:sz="18" w:space="0" w:color="auto"/>
    </w:rPr>
  </w:style>
  <w:style w:type="paragraph" w:customStyle="1" w:styleId="RUE">
    <w:name w:val="RUE"/>
    <w:basedOn w:val="Normal"/>
    <w:semiHidden/>
    <w:pPr>
      <w:spacing w:after="0"/>
      <w:jc w:val="center"/>
    </w:pPr>
    <w:rPr>
      <w:b/>
      <w:caps/>
      <w:sz w:val="32"/>
      <w:bdr w:val="single" w:sz="18" w:space="0" w:color="auto"/>
    </w:rPr>
  </w:style>
  <w:style w:type="paragraph" w:customStyle="1" w:styleId="Releasable">
    <w:name w:val="Releasable"/>
    <w:basedOn w:val="Normal"/>
    <w:semiHidden/>
    <w:pPr>
      <w:spacing w:after="0"/>
      <w:jc w:val="center"/>
    </w:pPr>
    <w:rPr>
      <w:b/>
      <w:caps/>
      <w:sz w:val="32"/>
    </w:rPr>
  </w:style>
  <w:style w:type="paragraph" w:customStyle="1" w:styleId="Designator">
    <w:name w:val="Designator"/>
    <w:basedOn w:val="Normal"/>
    <w:semiHidden/>
    <w:pPr>
      <w:spacing w:after="0"/>
      <w:jc w:val="center"/>
    </w:pPr>
    <w:rPr>
      <w:b/>
      <w:caps/>
      <w:sz w:val="32"/>
    </w:rPr>
  </w:style>
  <w:style w:type="paragraph" w:customStyle="1" w:styleId="References">
    <w:name w:val="References"/>
    <w:basedOn w:val="Normal"/>
    <w:uiPriority w:val="1"/>
    <w:pPr>
      <w:ind w:left="5102" w:right="-567"/>
      <w:contextualSpacing/>
      <w:jc w:val="left"/>
    </w:pPr>
    <w:rPr>
      <w:sz w:val="20"/>
    </w:rPr>
  </w:style>
  <w:style w:type="paragraph" w:styleId="Date">
    <w:name w:val="Date"/>
    <w:basedOn w:val="Normal"/>
    <w:next w:val="References"/>
    <w:link w:val="DateChar"/>
    <w:uiPriority w:val="99"/>
    <w:pPr>
      <w:spacing w:after="0"/>
      <w:ind w:left="5102" w:right="-567"/>
      <w:jc w:val="left"/>
    </w:pPr>
  </w:style>
  <w:style w:type="paragraph" w:customStyle="1" w:styleId="Contact">
    <w:name w:val="Contact"/>
    <w:basedOn w:val="Normal"/>
    <w:uiPriority w:val="1"/>
    <w:pPr>
      <w:spacing w:before="480" w:after="0"/>
      <w:ind w:left="567" w:hanging="567"/>
      <w:contextualSpacing/>
      <w:jc w:val="left"/>
    </w:pPr>
  </w:style>
  <w:style w:type="paragraph" w:customStyle="1" w:styleId="AfterTable">
    <w:name w:val="After Table"/>
    <w:semiHidden/>
    <w:rPr>
      <w:sz w:val="4"/>
    </w:rPr>
  </w:style>
  <w:style w:type="paragraph" w:customStyle="1" w:styleId="TableText">
    <w:name w:val="Table Text"/>
    <w:basedOn w:val="Normal"/>
    <w:uiPriority w:val="1"/>
    <w:qFormat/>
    <w:pPr>
      <w:spacing w:before="60" w:after="60"/>
      <w:jc w:val="left"/>
    </w:pPr>
  </w:style>
  <w:style w:type="paragraph" w:customStyle="1" w:styleId="TableSource4">
    <w:name w:val="Table Source 4"/>
    <w:basedOn w:val="Text4"/>
    <w:next w:val="Text4"/>
    <w:semiHidden/>
    <w:unhideWhenUsed/>
    <w:rPr>
      <w:sz w:val="20"/>
    </w:rPr>
  </w:style>
  <w:style w:type="paragraph" w:customStyle="1" w:styleId="TableSource3">
    <w:name w:val="Table Source 3"/>
    <w:basedOn w:val="Text3"/>
    <w:next w:val="Text3"/>
    <w:semiHidden/>
    <w:unhideWhenUsed/>
    <w:rPr>
      <w:sz w:val="20"/>
    </w:rPr>
  </w:style>
  <w:style w:type="paragraph" w:customStyle="1" w:styleId="TableSource2">
    <w:name w:val="Table Source 2"/>
    <w:basedOn w:val="Text2"/>
    <w:next w:val="Text2"/>
    <w:semiHidden/>
    <w:unhideWhenUsed/>
    <w:rPr>
      <w:sz w:val="20"/>
    </w:rPr>
  </w:style>
  <w:style w:type="paragraph" w:customStyle="1" w:styleId="TableSource1">
    <w:name w:val="Table Source 1"/>
    <w:basedOn w:val="Text1"/>
    <w:next w:val="Text1"/>
    <w:semiHidden/>
    <w:unhideWhenUsed/>
    <w:rPr>
      <w:sz w:val="20"/>
    </w:rPr>
  </w:style>
  <w:style w:type="paragraph" w:customStyle="1" w:styleId="TableSource">
    <w:name w:val="Table Source"/>
    <w:basedOn w:val="Normal"/>
    <w:next w:val="Normal"/>
    <w:semiHidden/>
    <w:unhideWhenUsed/>
    <w:rPr>
      <w:sz w:val="20"/>
    </w:rPr>
  </w:style>
  <w:style w:type="paragraph" w:customStyle="1" w:styleId="TableTitle4">
    <w:name w:val="Table Title 4"/>
    <w:basedOn w:val="Text4"/>
    <w:uiPriority w:val="1"/>
    <w:semiHidden/>
    <w:unhideWhenUsed/>
    <w:pPr>
      <w:keepNext/>
      <w:spacing w:after="120"/>
    </w:pPr>
    <w:rPr>
      <w:b/>
      <w:i/>
    </w:rPr>
  </w:style>
  <w:style w:type="paragraph" w:customStyle="1" w:styleId="TableTitle3">
    <w:name w:val="Table Title 3"/>
    <w:basedOn w:val="Text3"/>
    <w:uiPriority w:val="1"/>
    <w:semiHidden/>
    <w:unhideWhenUsed/>
    <w:pPr>
      <w:keepNext/>
      <w:spacing w:after="120"/>
    </w:pPr>
    <w:rPr>
      <w:b/>
      <w:i/>
    </w:rPr>
  </w:style>
  <w:style w:type="paragraph" w:customStyle="1" w:styleId="TableTitle2">
    <w:name w:val="Table Title 2"/>
    <w:basedOn w:val="Text2"/>
    <w:uiPriority w:val="1"/>
    <w:semiHidden/>
    <w:unhideWhenUsed/>
    <w:pPr>
      <w:keepNext/>
      <w:spacing w:after="120"/>
    </w:pPr>
    <w:rPr>
      <w:b/>
      <w:i/>
    </w:rPr>
  </w:style>
  <w:style w:type="paragraph" w:customStyle="1" w:styleId="TableTitle1">
    <w:name w:val="Table Title 1"/>
    <w:basedOn w:val="Text1"/>
    <w:uiPriority w:val="1"/>
    <w:semiHidden/>
    <w:unhideWhenUsed/>
    <w:pPr>
      <w:keepNext/>
      <w:spacing w:after="120"/>
    </w:pPr>
    <w:rPr>
      <w:b/>
      <w:i/>
    </w:rPr>
  </w:style>
  <w:style w:type="paragraph" w:customStyle="1" w:styleId="TableTitle">
    <w:name w:val="Table Title"/>
    <w:basedOn w:val="Normal"/>
    <w:uiPriority w:val="1"/>
    <w:semiHidden/>
    <w:unhideWhenUsed/>
    <w:pPr>
      <w:keepNext/>
      <w:spacing w:after="120"/>
    </w:pPr>
    <w:rPr>
      <w:b/>
      <w:i/>
    </w:rPr>
  </w:style>
  <w:style w:type="paragraph" w:customStyle="1" w:styleId="FigureSource4">
    <w:name w:val="Figure Source 4"/>
    <w:basedOn w:val="Text4"/>
    <w:next w:val="Text4"/>
    <w:uiPriority w:val="2"/>
    <w:rPr>
      <w:sz w:val="20"/>
    </w:rPr>
  </w:style>
  <w:style w:type="paragraph" w:customStyle="1" w:styleId="FigureSource3">
    <w:name w:val="Figure Source 3"/>
    <w:basedOn w:val="Text3"/>
    <w:next w:val="Text3"/>
    <w:uiPriority w:val="2"/>
    <w:rPr>
      <w:sz w:val="20"/>
    </w:rPr>
  </w:style>
  <w:style w:type="paragraph" w:customStyle="1" w:styleId="FigureSource2">
    <w:name w:val="Figure Source 2"/>
    <w:basedOn w:val="Text2"/>
    <w:next w:val="Text2"/>
    <w:uiPriority w:val="2"/>
    <w:rPr>
      <w:sz w:val="20"/>
    </w:rPr>
  </w:style>
  <w:style w:type="paragraph" w:customStyle="1" w:styleId="FigureSource1">
    <w:name w:val="Figure Source 1"/>
    <w:basedOn w:val="Text1"/>
    <w:next w:val="Text1"/>
    <w:uiPriority w:val="2"/>
    <w:rPr>
      <w:sz w:val="20"/>
    </w:rPr>
  </w:style>
  <w:style w:type="paragraph" w:customStyle="1" w:styleId="FigureSource">
    <w:name w:val="Figure Source"/>
    <w:basedOn w:val="Normal"/>
    <w:next w:val="Normal"/>
    <w:uiPriority w:val="2"/>
    <w:rPr>
      <w:sz w:val="20"/>
    </w:rPr>
  </w:style>
  <w:style w:type="paragraph" w:customStyle="1" w:styleId="FigureBody4">
    <w:name w:val="Figure Body 4"/>
    <w:basedOn w:val="Text4"/>
    <w:next w:val="FigureSource4"/>
    <w:uiPriority w:val="2"/>
    <w:pPr>
      <w:keepNext/>
      <w:spacing w:after="40"/>
    </w:pPr>
  </w:style>
  <w:style w:type="paragraph" w:customStyle="1" w:styleId="FigureBody3">
    <w:name w:val="Figure Body 3"/>
    <w:basedOn w:val="Text3"/>
    <w:next w:val="FigureSource3"/>
    <w:uiPriority w:val="2"/>
    <w:pPr>
      <w:keepNext/>
      <w:spacing w:after="40"/>
    </w:pPr>
  </w:style>
  <w:style w:type="paragraph" w:customStyle="1" w:styleId="FigureBody2">
    <w:name w:val="Figure Body 2"/>
    <w:basedOn w:val="Text2"/>
    <w:next w:val="FigureSource2"/>
    <w:uiPriority w:val="2"/>
    <w:pPr>
      <w:keepNext/>
      <w:spacing w:after="40"/>
    </w:pPr>
  </w:style>
  <w:style w:type="paragraph" w:customStyle="1" w:styleId="FigureBody1">
    <w:name w:val="Figure Body 1"/>
    <w:basedOn w:val="Text1"/>
    <w:next w:val="FigureSource1"/>
    <w:uiPriority w:val="2"/>
    <w:pPr>
      <w:keepNext/>
      <w:spacing w:after="40"/>
    </w:pPr>
  </w:style>
  <w:style w:type="paragraph" w:customStyle="1" w:styleId="FigureBody">
    <w:name w:val="Figure Body"/>
    <w:basedOn w:val="Normal"/>
    <w:next w:val="FigureSource"/>
    <w:uiPriority w:val="2"/>
    <w:pPr>
      <w:keepNext/>
      <w:spacing w:after="40"/>
    </w:pPr>
  </w:style>
  <w:style w:type="paragraph" w:customStyle="1" w:styleId="FigureTitle4">
    <w:name w:val="Figure Title 4"/>
    <w:basedOn w:val="Text4"/>
    <w:next w:val="FigureBody4"/>
    <w:uiPriority w:val="2"/>
    <w:pPr>
      <w:keepNext/>
      <w:spacing w:after="120"/>
    </w:pPr>
    <w:rPr>
      <w:b/>
      <w:i/>
    </w:rPr>
  </w:style>
  <w:style w:type="paragraph" w:customStyle="1" w:styleId="FigureTitle3">
    <w:name w:val="Figure Title 3"/>
    <w:basedOn w:val="Text3"/>
    <w:next w:val="FigureBody3"/>
    <w:uiPriority w:val="2"/>
    <w:pPr>
      <w:keepNext/>
      <w:spacing w:after="120"/>
    </w:pPr>
    <w:rPr>
      <w:b/>
      <w:i/>
    </w:rPr>
  </w:style>
  <w:style w:type="paragraph" w:customStyle="1" w:styleId="FigureTitle2">
    <w:name w:val="Figure Title 2"/>
    <w:basedOn w:val="Text2"/>
    <w:next w:val="FigureBody2"/>
    <w:uiPriority w:val="2"/>
    <w:pPr>
      <w:keepNext/>
      <w:spacing w:after="120"/>
    </w:pPr>
    <w:rPr>
      <w:b/>
      <w:i/>
    </w:rPr>
  </w:style>
  <w:style w:type="paragraph" w:customStyle="1" w:styleId="FigureTitle1">
    <w:name w:val="Figure Title 1"/>
    <w:basedOn w:val="Text1"/>
    <w:next w:val="FigureBody1"/>
    <w:uiPriority w:val="2"/>
    <w:pPr>
      <w:keepNext/>
      <w:spacing w:after="120"/>
    </w:pPr>
    <w:rPr>
      <w:b/>
      <w:i/>
    </w:rPr>
  </w:style>
  <w:style w:type="paragraph" w:customStyle="1" w:styleId="FigureTitle">
    <w:name w:val="Figure Title"/>
    <w:basedOn w:val="Normal"/>
    <w:next w:val="FigureBody"/>
    <w:uiPriority w:val="2"/>
    <w:pPr>
      <w:keepNext/>
      <w:spacing w:after="120"/>
    </w:pPr>
    <w:rPr>
      <w:b/>
      <w:i/>
    </w:rPr>
  </w:style>
  <w:style w:type="paragraph" w:styleId="Caption">
    <w:name w:val="caption"/>
    <w:basedOn w:val="Normal"/>
    <w:next w:val="Normal"/>
    <w:uiPriority w:val="35"/>
    <w:semiHidden/>
    <w:qFormat/>
    <w:pPr>
      <w:spacing w:before="160"/>
    </w:pPr>
    <w:rPr>
      <w:i/>
      <w:sz w:val="22"/>
    </w:rPr>
  </w:style>
  <w:style w:type="paragraph" w:customStyle="1" w:styleId="ZDGName">
    <w:name w:val="Z_DGName"/>
    <w:basedOn w:val="Normal"/>
    <w:uiPriority w:val="2"/>
    <w:pPr>
      <w:widowControl w:val="0"/>
      <w:spacing w:after="0"/>
      <w:ind w:right="85"/>
      <w:jc w:val="left"/>
    </w:pPr>
    <w:rPr>
      <w:sz w:val="16"/>
    </w:rPr>
  </w:style>
  <w:style w:type="paragraph" w:customStyle="1" w:styleId="ZCom">
    <w:name w:val="Z_Com"/>
    <w:basedOn w:val="Normal"/>
    <w:next w:val="Normal"/>
    <w:uiPriority w:val="2"/>
    <w:pPr>
      <w:widowControl w:val="0"/>
      <w:spacing w:before="90" w:after="0"/>
      <w:ind w:right="85"/>
      <w:jc w:val="left"/>
    </w:pPr>
  </w:style>
  <w:style w:type="paragraph" w:customStyle="1" w:styleId="ZFlag">
    <w:name w:val="Z_Flag"/>
    <w:basedOn w:val="Normal"/>
    <w:next w:val="Normal"/>
    <w:uiPriority w:val="2"/>
    <w:pPr>
      <w:widowControl w:val="0"/>
      <w:spacing w:after="0"/>
      <w:ind w:right="85"/>
    </w:pPr>
  </w:style>
  <w:style w:type="paragraph" w:customStyle="1" w:styleId="EmptyParagraph">
    <w:name w:val="Empty Paragraph"/>
    <w:basedOn w:val="Normal"/>
    <w:next w:val="Normal"/>
    <w:semiHidden/>
    <w:pPr>
      <w:spacing w:before="240"/>
    </w:pPr>
  </w:style>
  <w:style w:type="paragraph" w:styleId="TOC7">
    <w:name w:val="toc 7"/>
    <w:basedOn w:val="Normal"/>
    <w:next w:val="Normal"/>
    <w:uiPriority w:val="39"/>
    <w:semiHidden/>
    <w:pPr>
      <w:tabs>
        <w:tab w:val="left" w:pos="3685"/>
      </w:tabs>
      <w:spacing w:after="0"/>
      <w:ind w:left="3401" w:hanging="1417"/>
    </w:pPr>
  </w:style>
  <w:style w:type="paragraph" w:customStyle="1" w:styleId="Text1">
    <w:name w:val="Text 1"/>
    <w:basedOn w:val="Normal"/>
    <w:uiPriority w:val="1"/>
    <w:qFormat/>
    <w:pPr>
      <w:ind w:left="482"/>
    </w:pPr>
  </w:style>
  <w:style w:type="paragraph" w:customStyle="1" w:styleId="Text2">
    <w:name w:val="Text 2"/>
    <w:basedOn w:val="Normal"/>
    <w:uiPriority w:val="1"/>
    <w:qFormat/>
    <w:pPr>
      <w:ind w:left="1077"/>
    </w:pPr>
  </w:style>
  <w:style w:type="paragraph" w:customStyle="1" w:styleId="Text3">
    <w:name w:val="Text 3"/>
    <w:basedOn w:val="Normal"/>
    <w:uiPriority w:val="1"/>
    <w:qFormat/>
    <w:pPr>
      <w:ind w:left="1916"/>
    </w:pPr>
  </w:style>
  <w:style w:type="paragraph" w:customStyle="1" w:styleId="Text4">
    <w:name w:val="Text 4"/>
    <w:basedOn w:val="Normal"/>
    <w:uiPriority w:val="1"/>
    <w:qFormat/>
    <w:pPr>
      <w:ind w:left="2880"/>
    </w:pPr>
  </w:style>
  <w:style w:type="paragraph" w:styleId="Header">
    <w:name w:val="header"/>
    <w:basedOn w:val="Normal"/>
    <w:link w:val="HeaderChar"/>
    <w:uiPriority w:val="99"/>
    <w:pPr>
      <w:tabs>
        <w:tab w:val="center" w:pos="4150"/>
        <w:tab w:val="right" w:pos="8306"/>
      </w:tabs>
      <w:spacing w:after="0"/>
    </w:pPr>
  </w:style>
  <w:style w:type="character" w:customStyle="1" w:styleId="HeaderChar">
    <w:name w:val="Header Char"/>
    <w:basedOn w:val="DefaultParagraphFont"/>
    <w:link w:val="Header"/>
    <w:uiPriority w:val="99"/>
    <w:rPr>
      <w:sz w:val="24"/>
    </w:rPr>
  </w:style>
  <w:style w:type="table" w:customStyle="1" w:styleId="SignatureTable">
    <w:name w:val="Signature Table"/>
    <w:basedOn w:val="HelperTableBase"/>
    <w:semiHidden/>
    <w:tblPr>
      <w:tblCellMar>
        <w:left w:w="567" w:type="dxa"/>
      </w:tblCellMar>
    </w:tblPr>
  </w:style>
  <w:style w:type="table" w:customStyle="1" w:styleId="NoteTable">
    <w:name w:val="Note Table"/>
    <w:basedOn w:val="HelperTableBase"/>
    <w:semiHidden/>
    <w:tblPr>
      <w:tblCellMar>
        <w:left w:w="108" w:type="dxa"/>
        <w:right w:w="108" w:type="dxa"/>
      </w:tblCellMar>
    </w:tblPr>
  </w:style>
  <w:style w:type="table" w:customStyle="1" w:styleId="EurolookLightOlive4">
    <w:name w:val="Eurolook Light Olive 4"/>
    <w:basedOn w:val="EurolookClassicBlue"/>
    <w:semiHidden/>
    <w:unhideWhenUsed/>
    <w:tblPr>
      <w:tblInd w:w="2880" w:type="dxa"/>
      <w:tblBorders>
        <w:top w:val="nil"/>
        <w:left w:val="nil"/>
        <w:bottom w:val="nil"/>
        <w:right w:val="nil"/>
        <w:insideH w:val="none" w:sz="0" w:space="0" w:color="auto"/>
        <w:insideV w:val="none" w:sz="0" w:space="0" w:color="auto"/>
      </w:tblBorders>
    </w:tblPr>
    <w:tcPr>
      <w:shd w:val="clear" w:color="auto" w:fill="auto"/>
    </w:tcPr>
    <w:tblStylePr w:type="firstRow">
      <w:rPr>
        <w:b w:val="0"/>
        <w:smallCaps/>
        <w:color w:val="4E7849"/>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Olive3">
    <w:name w:val="Eurolook Light Olive 3"/>
    <w:basedOn w:val="EurolookClassicBlue"/>
    <w:semiHidden/>
    <w:unhideWhenUsed/>
    <w:tblPr>
      <w:tblInd w:w="1916" w:type="dxa"/>
      <w:tblBorders>
        <w:top w:val="nil"/>
        <w:left w:val="nil"/>
        <w:bottom w:val="nil"/>
        <w:right w:val="nil"/>
        <w:insideH w:val="none" w:sz="0" w:space="0" w:color="auto"/>
        <w:insideV w:val="none" w:sz="0" w:space="0" w:color="auto"/>
      </w:tblBorders>
    </w:tblPr>
    <w:tcPr>
      <w:shd w:val="clear" w:color="auto" w:fill="auto"/>
    </w:tcPr>
    <w:tblStylePr w:type="firstRow">
      <w:rPr>
        <w:b w:val="0"/>
        <w:smallCaps/>
        <w:color w:val="4E7849"/>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Olive2">
    <w:name w:val="Eurolook Light Olive 2"/>
    <w:basedOn w:val="EurolookClassicBlue"/>
    <w:semiHidden/>
    <w:unhideWhenUsed/>
    <w:tblPr>
      <w:tblInd w:w="1077" w:type="dxa"/>
      <w:tblBorders>
        <w:top w:val="nil"/>
        <w:left w:val="nil"/>
        <w:bottom w:val="nil"/>
        <w:right w:val="nil"/>
        <w:insideH w:val="none" w:sz="0" w:space="0" w:color="auto"/>
        <w:insideV w:val="none" w:sz="0" w:space="0" w:color="auto"/>
      </w:tblBorders>
    </w:tblPr>
    <w:tcPr>
      <w:shd w:val="clear" w:color="auto" w:fill="auto"/>
    </w:tcPr>
    <w:tblStylePr w:type="firstRow">
      <w:rPr>
        <w:b w:val="0"/>
        <w:smallCaps/>
        <w:color w:val="4E7849"/>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Olive1">
    <w:name w:val="Eurolook Light Olive 1"/>
    <w:basedOn w:val="EurolookClassicBlue"/>
    <w:semiHidden/>
    <w:unhideWhenUsed/>
    <w:tblPr>
      <w:tblInd w:w="482" w:type="dxa"/>
      <w:tblBorders>
        <w:top w:val="nil"/>
        <w:left w:val="nil"/>
        <w:bottom w:val="nil"/>
        <w:right w:val="nil"/>
        <w:insideH w:val="none" w:sz="0" w:space="0" w:color="auto"/>
        <w:insideV w:val="none" w:sz="0" w:space="0" w:color="auto"/>
      </w:tblBorders>
    </w:tblPr>
    <w:tcPr>
      <w:shd w:val="clear" w:color="auto" w:fill="auto"/>
    </w:tcPr>
    <w:tblStylePr w:type="firstRow">
      <w:rPr>
        <w:b w:val="0"/>
        <w:smallCaps/>
        <w:color w:val="4E7849"/>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Rust4">
    <w:name w:val="Eurolook Light Rust 4"/>
    <w:basedOn w:val="EurolookClassicBlue"/>
    <w:semiHidden/>
    <w:unhideWhenUsed/>
    <w:tblPr>
      <w:tblInd w:w="2880" w:type="dxa"/>
      <w:tblBorders>
        <w:top w:val="nil"/>
        <w:left w:val="nil"/>
        <w:bottom w:val="nil"/>
        <w:right w:val="nil"/>
        <w:insideH w:val="none" w:sz="0" w:space="0" w:color="auto"/>
        <w:insideV w:val="none" w:sz="0" w:space="0" w:color="auto"/>
      </w:tblBorders>
    </w:tblPr>
    <w:tcPr>
      <w:shd w:val="clear" w:color="auto" w:fill="auto"/>
    </w:tcPr>
    <w:tblStylePr w:type="firstRow">
      <w:rPr>
        <w:b w:val="0"/>
        <w:smallCaps/>
        <w:color w:val="BF4B36"/>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Rust3">
    <w:name w:val="Eurolook Light Rust 3"/>
    <w:basedOn w:val="EurolookClassicBlue"/>
    <w:semiHidden/>
    <w:unhideWhenUsed/>
    <w:tblPr>
      <w:tblInd w:w="1916" w:type="dxa"/>
      <w:tblBorders>
        <w:top w:val="nil"/>
        <w:left w:val="nil"/>
        <w:bottom w:val="nil"/>
        <w:right w:val="nil"/>
        <w:insideH w:val="none" w:sz="0" w:space="0" w:color="auto"/>
        <w:insideV w:val="none" w:sz="0" w:space="0" w:color="auto"/>
      </w:tblBorders>
    </w:tblPr>
    <w:tcPr>
      <w:shd w:val="clear" w:color="auto" w:fill="auto"/>
    </w:tcPr>
    <w:tblStylePr w:type="firstRow">
      <w:rPr>
        <w:b w:val="0"/>
        <w:smallCaps/>
        <w:color w:val="BF4B36"/>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Rust2">
    <w:name w:val="Eurolook Light Rust 2"/>
    <w:basedOn w:val="EurolookClassicBlue"/>
    <w:semiHidden/>
    <w:unhideWhenUsed/>
    <w:tblPr>
      <w:tblInd w:w="1077" w:type="dxa"/>
      <w:tblBorders>
        <w:top w:val="nil"/>
        <w:left w:val="nil"/>
        <w:bottom w:val="nil"/>
        <w:right w:val="nil"/>
        <w:insideH w:val="none" w:sz="0" w:space="0" w:color="auto"/>
        <w:insideV w:val="none" w:sz="0" w:space="0" w:color="auto"/>
      </w:tblBorders>
    </w:tblPr>
    <w:tcPr>
      <w:shd w:val="clear" w:color="auto" w:fill="auto"/>
    </w:tcPr>
    <w:tblStylePr w:type="firstRow">
      <w:rPr>
        <w:b w:val="0"/>
        <w:smallCaps/>
        <w:color w:val="BF4B36"/>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Rust1">
    <w:name w:val="Eurolook Light Rust 1"/>
    <w:basedOn w:val="EurolookClassicBlue"/>
    <w:semiHidden/>
    <w:unhideWhenUsed/>
    <w:tblPr>
      <w:tblInd w:w="482" w:type="dxa"/>
      <w:tblBorders>
        <w:top w:val="nil"/>
        <w:left w:val="nil"/>
        <w:bottom w:val="nil"/>
        <w:right w:val="nil"/>
        <w:insideH w:val="none" w:sz="0" w:space="0" w:color="auto"/>
        <w:insideV w:val="none" w:sz="0" w:space="0" w:color="auto"/>
      </w:tblBorders>
    </w:tblPr>
    <w:tcPr>
      <w:shd w:val="clear" w:color="auto" w:fill="auto"/>
    </w:tcPr>
    <w:tblStylePr w:type="firstRow">
      <w:rPr>
        <w:b w:val="0"/>
        <w:smallCaps/>
        <w:color w:val="BF4B36"/>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etrol4">
    <w:name w:val="Eurolook Light Petrol 4"/>
    <w:basedOn w:val="EurolookClassicBlue"/>
    <w:semiHidden/>
    <w:unhideWhenUsed/>
    <w:tblPr>
      <w:tblInd w:w="2880" w:type="dxa"/>
      <w:tblBorders>
        <w:top w:val="nil"/>
        <w:left w:val="nil"/>
        <w:bottom w:val="nil"/>
        <w:right w:val="nil"/>
        <w:insideH w:val="none" w:sz="0" w:space="0" w:color="auto"/>
        <w:insideV w:val="none" w:sz="0" w:space="0" w:color="auto"/>
      </w:tblBorders>
    </w:tblPr>
    <w:tcPr>
      <w:shd w:val="clear" w:color="auto" w:fill="auto"/>
    </w:tcPr>
    <w:tblStylePr w:type="firstRow">
      <w:rPr>
        <w:b w:val="0"/>
        <w:smallCaps/>
        <w:color w:val="007D98"/>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etrol3">
    <w:name w:val="Eurolook Light Petrol 3"/>
    <w:basedOn w:val="EurolookClassicBlue"/>
    <w:semiHidden/>
    <w:unhideWhenUsed/>
    <w:tblPr>
      <w:tblInd w:w="1916" w:type="dxa"/>
      <w:tblBorders>
        <w:top w:val="nil"/>
        <w:left w:val="nil"/>
        <w:bottom w:val="nil"/>
        <w:right w:val="nil"/>
        <w:insideH w:val="none" w:sz="0" w:space="0" w:color="auto"/>
        <w:insideV w:val="none" w:sz="0" w:space="0" w:color="auto"/>
      </w:tblBorders>
    </w:tblPr>
    <w:tcPr>
      <w:shd w:val="clear" w:color="auto" w:fill="auto"/>
    </w:tcPr>
    <w:tblStylePr w:type="firstRow">
      <w:rPr>
        <w:b w:val="0"/>
        <w:smallCaps/>
        <w:color w:val="007D98"/>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etrol2">
    <w:name w:val="Eurolook Light Petrol 2"/>
    <w:basedOn w:val="EurolookClassicBlue"/>
    <w:semiHidden/>
    <w:unhideWhenUsed/>
    <w:tblPr>
      <w:tblInd w:w="1077" w:type="dxa"/>
      <w:tblBorders>
        <w:top w:val="nil"/>
        <w:left w:val="nil"/>
        <w:bottom w:val="nil"/>
        <w:right w:val="nil"/>
        <w:insideH w:val="none" w:sz="0" w:space="0" w:color="auto"/>
        <w:insideV w:val="none" w:sz="0" w:space="0" w:color="auto"/>
      </w:tblBorders>
    </w:tblPr>
    <w:tcPr>
      <w:shd w:val="clear" w:color="auto" w:fill="auto"/>
    </w:tcPr>
    <w:tblStylePr w:type="firstRow">
      <w:rPr>
        <w:b w:val="0"/>
        <w:smallCaps/>
        <w:color w:val="007D98"/>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etrol1">
    <w:name w:val="Eurolook Light Petrol 1"/>
    <w:basedOn w:val="EurolookClassicBlue"/>
    <w:semiHidden/>
    <w:unhideWhenUsed/>
    <w:tblPr>
      <w:tblInd w:w="482" w:type="dxa"/>
      <w:tblBorders>
        <w:top w:val="nil"/>
        <w:left w:val="nil"/>
        <w:bottom w:val="nil"/>
        <w:right w:val="nil"/>
        <w:insideH w:val="none" w:sz="0" w:space="0" w:color="auto"/>
        <w:insideV w:val="none" w:sz="0" w:space="0" w:color="auto"/>
      </w:tblBorders>
    </w:tblPr>
    <w:tcPr>
      <w:shd w:val="clear" w:color="auto" w:fill="auto"/>
    </w:tcPr>
    <w:tblStylePr w:type="firstRow">
      <w:rPr>
        <w:b w:val="0"/>
        <w:smallCaps/>
        <w:color w:val="007D98"/>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urple4">
    <w:name w:val="Eurolook Light Purple 4"/>
    <w:basedOn w:val="EurolookClassicBlue"/>
    <w:semiHidden/>
    <w:unhideWhenUsed/>
    <w:tblPr>
      <w:tblInd w:w="2880" w:type="dxa"/>
      <w:tblBorders>
        <w:top w:val="nil"/>
        <w:left w:val="nil"/>
        <w:bottom w:val="nil"/>
        <w:right w:val="nil"/>
        <w:insideH w:val="none" w:sz="0" w:space="0" w:color="auto"/>
        <w:insideV w:val="none" w:sz="0" w:space="0" w:color="auto"/>
      </w:tblBorders>
    </w:tblPr>
    <w:tcPr>
      <w:shd w:val="clear" w:color="auto" w:fill="auto"/>
    </w:tcPr>
    <w:tblStylePr w:type="firstRow">
      <w:rPr>
        <w:b w:val="0"/>
        <w:smallCaps/>
        <w:color w:val="771D7B"/>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urple3">
    <w:name w:val="Eurolook Light Purple 3"/>
    <w:basedOn w:val="EurolookClassicBlue"/>
    <w:semiHidden/>
    <w:unhideWhenUsed/>
    <w:tblPr>
      <w:tblInd w:w="1916" w:type="dxa"/>
      <w:tblBorders>
        <w:top w:val="nil"/>
        <w:left w:val="nil"/>
        <w:bottom w:val="nil"/>
        <w:right w:val="nil"/>
        <w:insideH w:val="none" w:sz="0" w:space="0" w:color="auto"/>
        <w:insideV w:val="none" w:sz="0" w:space="0" w:color="auto"/>
      </w:tblBorders>
    </w:tblPr>
    <w:tcPr>
      <w:shd w:val="clear" w:color="auto" w:fill="auto"/>
    </w:tcPr>
    <w:tblStylePr w:type="firstRow">
      <w:rPr>
        <w:b w:val="0"/>
        <w:smallCaps/>
        <w:color w:val="771D7B"/>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urple2">
    <w:name w:val="Eurolook Light Purple 2"/>
    <w:basedOn w:val="EurolookClassicBlue"/>
    <w:semiHidden/>
    <w:unhideWhenUsed/>
    <w:tblPr>
      <w:tblInd w:w="1077" w:type="dxa"/>
      <w:tblBorders>
        <w:top w:val="nil"/>
        <w:left w:val="nil"/>
        <w:bottom w:val="nil"/>
        <w:right w:val="nil"/>
        <w:insideH w:val="none" w:sz="0" w:space="0" w:color="auto"/>
        <w:insideV w:val="none" w:sz="0" w:space="0" w:color="auto"/>
      </w:tblBorders>
    </w:tblPr>
    <w:tcPr>
      <w:shd w:val="clear" w:color="auto" w:fill="auto"/>
    </w:tcPr>
    <w:tblStylePr w:type="firstRow">
      <w:rPr>
        <w:b w:val="0"/>
        <w:smallCaps/>
        <w:color w:val="771D7B"/>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urple1">
    <w:name w:val="Eurolook Light Purple 1"/>
    <w:basedOn w:val="EurolookClassicBlue"/>
    <w:semiHidden/>
    <w:unhideWhenUsed/>
    <w:tblPr>
      <w:tblInd w:w="482" w:type="dxa"/>
      <w:tblBorders>
        <w:top w:val="nil"/>
        <w:left w:val="nil"/>
        <w:bottom w:val="nil"/>
        <w:right w:val="nil"/>
        <w:insideH w:val="none" w:sz="0" w:space="0" w:color="auto"/>
        <w:insideV w:val="none" w:sz="0" w:space="0" w:color="auto"/>
      </w:tblBorders>
    </w:tblPr>
    <w:tcPr>
      <w:shd w:val="clear" w:color="auto" w:fill="auto"/>
    </w:tcPr>
    <w:tblStylePr w:type="firstRow">
      <w:rPr>
        <w:b w:val="0"/>
        <w:smallCaps/>
        <w:color w:val="771D7B"/>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Grey4">
    <w:name w:val="Eurolook Light Grey 4"/>
    <w:basedOn w:val="EurolookClassicBlue"/>
    <w:semiHidden/>
    <w:unhideWhenUsed/>
    <w:tblPr>
      <w:tblInd w:w="2880" w:type="dxa"/>
      <w:tblBorders>
        <w:top w:val="nil"/>
        <w:left w:val="nil"/>
        <w:bottom w:val="nil"/>
        <w:right w:val="nil"/>
        <w:insideH w:val="none" w:sz="0" w:space="0" w:color="auto"/>
        <w:insideV w:val="none" w:sz="0" w:space="0" w:color="auto"/>
      </w:tblBorders>
    </w:tblPr>
    <w:tcPr>
      <w:shd w:val="clear" w:color="auto" w:fill="auto"/>
    </w:tcPr>
    <w:tblStylePr w:type="firstRow">
      <w:rPr>
        <w:b w:val="0"/>
        <w:smallCaps/>
        <w:color w:val="646567"/>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Grey3">
    <w:name w:val="Eurolook Light Grey 3"/>
    <w:basedOn w:val="EurolookClassicBlue"/>
    <w:semiHidden/>
    <w:unhideWhenUsed/>
    <w:tblPr>
      <w:tblInd w:w="1916" w:type="dxa"/>
      <w:tblBorders>
        <w:top w:val="nil"/>
        <w:left w:val="nil"/>
        <w:bottom w:val="nil"/>
        <w:right w:val="nil"/>
        <w:insideH w:val="none" w:sz="0" w:space="0" w:color="auto"/>
        <w:insideV w:val="none" w:sz="0" w:space="0" w:color="auto"/>
      </w:tblBorders>
    </w:tblPr>
    <w:tcPr>
      <w:shd w:val="clear" w:color="auto" w:fill="auto"/>
    </w:tcPr>
    <w:tblStylePr w:type="firstRow">
      <w:rPr>
        <w:b w:val="0"/>
        <w:smallCaps/>
        <w:color w:val="646567"/>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Grey2">
    <w:name w:val="Eurolook Light Grey 2"/>
    <w:basedOn w:val="EurolookClassicBlue"/>
    <w:semiHidden/>
    <w:unhideWhenUsed/>
    <w:tblPr>
      <w:tblInd w:w="1077" w:type="dxa"/>
      <w:tblBorders>
        <w:top w:val="nil"/>
        <w:left w:val="nil"/>
        <w:bottom w:val="nil"/>
        <w:right w:val="nil"/>
        <w:insideH w:val="none" w:sz="0" w:space="0" w:color="auto"/>
        <w:insideV w:val="none" w:sz="0" w:space="0" w:color="auto"/>
      </w:tblBorders>
    </w:tblPr>
    <w:tcPr>
      <w:shd w:val="clear" w:color="auto" w:fill="auto"/>
    </w:tcPr>
    <w:tblStylePr w:type="firstRow">
      <w:rPr>
        <w:b w:val="0"/>
        <w:smallCaps/>
        <w:color w:val="646567"/>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Grey1">
    <w:name w:val="Eurolook Light Grey 1"/>
    <w:basedOn w:val="EurolookClassicBlue"/>
    <w:semiHidden/>
    <w:unhideWhenUsed/>
    <w:tblPr>
      <w:tblInd w:w="482" w:type="dxa"/>
      <w:tblBorders>
        <w:top w:val="nil"/>
        <w:left w:val="nil"/>
        <w:bottom w:val="nil"/>
        <w:right w:val="nil"/>
        <w:insideH w:val="none" w:sz="0" w:space="0" w:color="auto"/>
        <w:insideV w:val="none" w:sz="0" w:space="0" w:color="auto"/>
      </w:tblBorders>
    </w:tblPr>
    <w:tcPr>
      <w:shd w:val="clear" w:color="auto" w:fill="auto"/>
    </w:tcPr>
    <w:tblStylePr w:type="firstRow">
      <w:rPr>
        <w:b w:val="0"/>
        <w:smallCaps/>
        <w:color w:val="646567"/>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Blue4">
    <w:name w:val="Eurolook Light Blue 4"/>
    <w:basedOn w:val="EurolookClassicBlue"/>
    <w:semiHidden/>
    <w:unhideWhenUsed/>
    <w:tblPr>
      <w:tblInd w:w="2880" w:type="dxa"/>
      <w:tblBorders>
        <w:top w:val="nil"/>
        <w:left w:val="nil"/>
        <w:bottom w:val="nil"/>
        <w:right w:val="nil"/>
        <w:insideH w:val="none" w:sz="0" w:space="0" w:color="auto"/>
        <w:insideV w:val="none" w:sz="0" w:space="0" w:color="auto"/>
      </w:tblBorders>
    </w:tblPr>
    <w:tcPr>
      <w:shd w:val="clear" w:color="auto" w:fill="auto"/>
    </w:tcPr>
    <w:tblStylePr w:type="firstRow">
      <w:rPr>
        <w:b w:val="0"/>
        <w:smallCaps/>
        <w:color w:val="004494"/>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b w:val="0"/>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Blue3">
    <w:name w:val="Eurolook Light Blue 3"/>
    <w:basedOn w:val="EurolookClassicBlue"/>
    <w:semiHidden/>
    <w:unhideWhenUsed/>
    <w:tblPr>
      <w:tblInd w:w="1916" w:type="dxa"/>
      <w:tblBorders>
        <w:top w:val="nil"/>
        <w:left w:val="nil"/>
        <w:bottom w:val="nil"/>
        <w:right w:val="nil"/>
        <w:insideH w:val="none" w:sz="0" w:space="0" w:color="auto"/>
        <w:insideV w:val="none" w:sz="0" w:space="0" w:color="auto"/>
      </w:tblBorders>
    </w:tblPr>
    <w:tcPr>
      <w:shd w:val="clear" w:color="auto" w:fill="auto"/>
    </w:tcPr>
    <w:tblStylePr w:type="firstRow">
      <w:rPr>
        <w:b w:val="0"/>
        <w:smallCaps/>
        <w:color w:val="004494"/>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b w:val="0"/>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Blue2">
    <w:name w:val="Eurolook Light Blue 2"/>
    <w:basedOn w:val="EurolookClassicBlue"/>
    <w:semiHidden/>
    <w:unhideWhenUsed/>
    <w:tblPr>
      <w:tblInd w:w="1077" w:type="dxa"/>
      <w:tblBorders>
        <w:top w:val="nil"/>
        <w:left w:val="nil"/>
        <w:bottom w:val="nil"/>
        <w:right w:val="nil"/>
        <w:insideH w:val="none" w:sz="0" w:space="0" w:color="auto"/>
        <w:insideV w:val="none" w:sz="0" w:space="0" w:color="auto"/>
      </w:tblBorders>
    </w:tblPr>
    <w:tcPr>
      <w:shd w:val="clear" w:color="auto" w:fill="auto"/>
    </w:tcPr>
    <w:tblStylePr w:type="firstRow">
      <w:rPr>
        <w:b w:val="0"/>
        <w:smallCaps/>
        <w:color w:val="004494"/>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b w:val="0"/>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Blue1">
    <w:name w:val="Eurolook Light Blue 1"/>
    <w:basedOn w:val="EurolookClassicBlue"/>
    <w:semiHidden/>
    <w:unhideWhenUsed/>
    <w:tblPr>
      <w:tblInd w:w="482" w:type="dxa"/>
      <w:tblBorders>
        <w:top w:val="nil"/>
        <w:left w:val="nil"/>
        <w:bottom w:val="nil"/>
        <w:right w:val="nil"/>
        <w:insideH w:val="none" w:sz="0" w:space="0" w:color="auto"/>
        <w:insideV w:val="none" w:sz="0" w:space="0" w:color="auto"/>
      </w:tblBorders>
    </w:tblPr>
    <w:tcPr>
      <w:shd w:val="clear" w:color="auto" w:fill="auto"/>
    </w:tcPr>
    <w:tblStylePr w:type="firstRow">
      <w:rPr>
        <w:b w:val="0"/>
        <w:smallCaps/>
        <w:color w:val="004494"/>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b w:val="0"/>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ClassicPetrol4">
    <w:name w:val="Eurolook Classic Petrol 4"/>
    <w:basedOn w:val="EurolookClassicBlue"/>
    <w:semiHidden/>
    <w:unhideWhenUsed/>
    <w:tblPr>
      <w:tblInd w:w="2880" w:type="dxa"/>
    </w:tblPr>
    <w:tblStylePr w:type="firstRow">
      <w:rPr>
        <w:color w:val="FFFFFF"/>
      </w:rPr>
      <w:tblPr/>
      <w:tcPr>
        <w:shd w:val="clear" w:color="auto" w:fill="007D98"/>
      </w:tcPr>
    </w:tblStylePr>
    <w:tblStylePr w:type="lastRow">
      <w:tblPr/>
      <w:tcPr>
        <w:shd w:val="clear" w:color="auto" w:fill="DADADA"/>
      </w:tcPr>
    </w:tblStylePr>
    <w:tblStylePr w:type="firstCol">
      <w:rPr>
        <w:color w:val="007D98"/>
      </w:rPr>
    </w:tblStylePr>
    <w:tblStylePr w:type="band2Horz">
      <w:tblPr/>
      <w:tcPr>
        <w:shd w:val="clear" w:color="auto" w:fill="EBECED"/>
      </w:tcPr>
    </w:tblStylePr>
  </w:style>
  <w:style w:type="table" w:customStyle="1" w:styleId="EurolookClassicPetrol3">
    <w:name w:val="Eurolook Classic Petrol 3"/>
    <w:basedOn w:val="EurolookClassicBlue"/>
    <w:semiHidden/>
    <w:unhideWhenUsed/>
    <w:tblPr>
      <w:tblInd w:w="1916" w:type="dxa"/>
    </w:tblPr>
    <w:tblStylePr w:type="firstRow">
      <w:rPr>
        <w:color w:val="FFFFFF"/>
      </w:rPr>
      <w:tblPr/>
      <w:tcPr>
        <w:shd w:val="clear" w:color="auto" w:fill="007D98"/>
      </w:tcPr>
    </w:tblStylePr>
    <w:tblStylePr w:type="lastRow">
      <w:tblPr/>
      <w:tcPr>
        <w:shd w:val="clear" w:color="auto" w:fill="DADADA"/>
      </w:tcPr>
    </w:tblStylePr>
    <w:tblStylePr w:type="firstCol">
      <w:rPr>
        <w:color w:val="007D98"/>
      </w:rPr>
    </w:tblStylePr>
    <w:tblStylePr w:type="band2Horz">
      <w:tblPr/>
      <w:tcPr>
        <w:shd w:val="clear" w:color="auto" w:fill="EBECED"/>
      </w:tcPr>
    </w:tblStylePr>
  </w:style>
  <w:style w:type="table" w:customStyle="1" w:styleId="EurolookClassicPetrol2">
    <w:name w:val="Eurolook Classic Petrol 2"/>
    <w:basedOn w:val="EurolookClassicBlue"/>
    <w:semiHidden/>
    <w:unhideWhenUsed/>
    <w:tblPr>
      <w:tblInd w:w="1077" w:type="dxa"/>
    </w:tblPr>
    <w:tblStylePr w:type="firstRow">
      <w:rPr>
        <w:color w:val="FFFFFF"/>
      </w:rPr>
      <w:tblPr/>
      <w:tcPr>
        <w:shd w:val="clear" w:color="auto" w:fill="007D98"/>
      </w:tcPr>
    </w:tblStylePr>
    <w:tblStylePr w:type="lastRow">
      <w:tblPr/>
      <w:tcPr>
        <w:shd w:val="clear" w:color="auto" w:fill="DADADA"/>
      </w:tcPr>
    </w:tblStylePr>
    <w:tblStylePr w:type="firstCol">
      <w:rPr>
        <w:color w:val="007D98"/>
      </w:rPr>
    </w:tblStylePr>
    <w:tblStylePr w:type="band2Horz">
      <w:tblPr/>
      <w:tcPr>
        <w:shd w:val="clear" w:color="auto" w:fill="EBECED"/>
      </w:tcPr>
    </w:tblStylePr>
  </w:style>
  <w:style w:type="table" w:customStyle="1" w:styleId="EurolookClassicPetrol1">
    <w:name w:val="Eurolook Classic Petrol 1"/>
    <w:basedOn w:val="EurolookClassicBlue"/>
    <w:semiHidden/>
    <w:unhideWhenUsed/>
    <w:tblPr>
      <w:tblInd w:w="482" w:type="dxa"/>
    </w:tblPr>
    <w:tblStylePr w:type="firstRow">
      <w:rPr>
        <w:color w:val="FFFFFF"/>
      </w:rPr>
      <w:tblPr/>
      <w:tcPr>
        <w:shd w:val="clear" w:color="auto" w:fill="007D98"/>
      </w:tcPr>
    </w:tblStylePr>
    <w:tblStylePr w:type="lastRow">
      <w:tblPr/>
      <w:tcPr>
        <w:shd w:val="clear" w:color="auto" w:fill="DADADA"/>
      </w:tcPr>
    </w:tblStylePr>
    <w:tblStylePr w:type="firstCol">
      <w:rPr>
        <w:color w:val="007D98"/>
      </w:rPr>
    </w:tblStylePr>
    <w:tblStylePr w:type="band2Horz">
      <w:tblPr/>
      <w:tcPr>
        <w:shd w:val="clear" w:color="auto" w:fill="EBECED"/>
      </w:tcPr>
    </w:tblStylePr>
  </w:style>
  <w:style w:type="table" w:customStyle="1" w:styleId="EurolookClassicPurple4">
    <w:name w:val="Eurolook Classic Purple 4"/>
    <w:basedOn w:val="EurolookClassicBlue"/>
    <w:semiHidden/>
    <w:unhideWhenUsed/>
    <w:tblPr>
      <w:tblInd w:w="2880" w:type="dxa"/>
    </w:tblPr>
    <w:tblStylePr w:type="firstRow">
      <w:rPr>
        <w:color w:val="FFFFFF"/>
      </w:rPr>
      <w:tblPr/>
      <w:tcPr>
        <w:shd w:val="clear" w:color="auto" w:fill="771D7B"/>
      </w:tcPr>
    </w:tblStylePr>
    <w:tblStylePr w:type="lastRow">
      <w:tblPr/>
      <w:tcPr>
        <w:shd w:val="clear" w:color="auto" w:fill="DADADA"/>
      </w:tcPr>
    </w:tblStylePr>
    <w:tblStylePr w:type="firstCol">
      <w:rPr>
        <w:color w:val="771D7B"/>
      </w:rPr>
    </w:tblStylePr>
    <w:tblStylePr w:type="band2Horz">
      <w:tblPr/>
      <w:tcPr>
        <w:shd w:val="clear" w:color="auto" w:fill="EBECED"/>
      </w:tcPr>
    </w:tblStylePr>
  </w:style>
  <w:style w:type="table" w:customStyle="1" w:styleId="EurolookClassicPurple3">
    <w:name w:val="Eurolook Classic Purple 3"/>
    <w:basedOn w:val="EurolookClassicBlue"/>
    <w:semiHidden/>
    <w:unhideWhenUsed/>
    <w:tblPr>
      <w:tblInd w:w="1916" w:type="dxa"/>
    </w:tblPr>
    <w:tblStylePr w:type="firstRow">
      <w:rPr>
        <w:color w:val="FFFFFF"/>
      </w:rPr>
      <w:tblPr/>
      <w:tcPr>
        <w:shd w:val="clear" w:color="auto" w:fill="771D7B"/>
      </w:tcPr>
    </w:tblStylePr>
    <w:tblStylePr w:type="lastRow">
      <w:tblPr/>
      <w:tcPr>
        <w:shd w:val="clear" w:color="auto" w:fill="DADADA"/>
      </w:tcPr>
    </w:tblStylePr>
    <w:tblStylePr w:type="firstCol">
      <w:rPr>
        <w:color w:val="771D7B"/>
      </w:rPr>
    </w:tblStylePr>
    <w:tblStylePr w:type="band2Horz">
      <w:tblPr/>
      <w:tcPr>
        <w:shd w:val="clear" w:color="auto" w:fill="EBECED"/>
      </w:tcPr>
    </w:tblStylePr>
  </w:style>
  <w:style w:type="table" w:customStyle="1" w:styleId="EurolookClassicPurple2">
    <w:name w:val="Eurolook Classic Purple 2"/>
    <w:basedOn w:val="EurolookClassicBlue"/>
    <w:semiHidden/>
    <w:unhideWhenUsed/>
    <w:tblPr>
      <w:tblInd w:w="1077" w:type="dxa"/>
    </w:tblPr>
    <w:tblStylePr w:type="firstRow">
      <w:rPr>
        <w:color w:val="FFFFFF"/>
      </w:rPr>
      <w:tblPr/>
      <w:tcPr>
        <w:shd w:val="clear" w:color="auto" w:fill="771D7B"/>
      </w:tcPr>
    </w:tblStylePr>
    <w:tblStylePr w:type="lastRow">
      <w:tblPr/>
      <w:tcPr>
        <w:shd w:val="clear" w:color="auto" w:fill="DADADA"/>
      </w:tcPr>
    </w:tblStylePr>
    <w:tblStylePr w:type="firstCol">
      <w:rPr>
        <w:color w:val="771D7B"/>
      </w:rPr>
    </w:tblStylePr>
    <w:tblStylePr w:type="band2Horz">
      <w:tblPr/>
      <w:tcPr>
        <w:shd w:val="clear" w:color="auto" w:fill="EBECED"/>
      </w:tcPr>
    </w:tblStylePr>
  </w:style>
  <w:style w:type="table" w:customStyle="1" w:styleId="EurolookClassicPurple1">
    <w:name w:val="Eurolook Classic Purple 1"/>
    <w:basedOn w:val="EurolookClassicBlue"/>
    <w:semiHidden/>
    <w:unhideWhenUsed/>
    <w:tblPr>
      <w:tblInd w:w="482" w:type="dxa"/>
    </w:tblPr>
    <w:tblStylePr w:type="firstRow">
      <w:rPr>
        <w:color w:val="FFFFFF"/>
      </w:rPr>
      <w:tblPr/>
      <w:tcPr>
        <w:shd w:val="clear" w:color="auto" w:fill="771D7B"/>
      </w:tcPr>
    </w:tblStylePr>
    <w:tblStylePr w:type="lastRow">
      <w:tblPr/>
      <w:tcPr>
        <w:shd w:val="clear" w:color="auto" w:fill="DADADA"/>
      </w:tcPr>
    </w:tblStylePr>
    <w:tblStylePr w:type="firstCol">
      <w:rPr>
        <w:color w:val="771D7B"/>
      </w:rPr>
    </w:tblStylePr>
    <w:tblStylePr w:type="band2Horz">
      <w:tblPr/>
      <w:tcPr>
        <w:shd w:val="clear" w:color="auto" w:fill="EBECED"/>
      </w:tcPr>
    </w:tblStylePr>
  </w:style>
  <w:style w:type="table" w:customStyle="1" w:styleId="EurolookClassicRust4">
    <w:name w:val="Eurolook Classic Rust 4"/>
    <w:basedOn w:val="EurolookClassicBlue"/>
    <w:semiHidden/>
    <w:unhideWhenUsed/>
    <w:tblPr>
      <w:tblInd w:w="2880" w:type="dxa"/>
    </w:tblPr>
    <w:tblStylePr w:type="firstRow">
      <w:rPr>
        <w:color w:val="FFFFFF"/>
      </w:rPr>
      <w:tblPr/>
      <w:tcPr>
        <w:shd w:val="clear" w:color="auto" w:fill="BF4B36"/>
      </w:tcPr>
    </w:tblStylePr>
    <w:tblStylePr w:type="lastRow">
      <w:tblPr/>
      <w:tcPr>
        <w:shd w:val="clear" w:color="auto" w:fill="DADADA"/>
      </w:tcPr>
    </w:tblStylePr>
    <w:tblStylePr w:type="firstCol">
      <w:rPr>
        <w:color w:val="BF4B36"/>
      </w:rPr>
    </w:tblStylePr>
    <w:tblStylePr w:type="band2Horz">
      <w:tblPr/>
      <w:tcPr>
        <w:shd w:val="clear" w:color="auto" w:fill="EBECED"/>
      </w:tcPr>
    </w:tblStylePr>
  </w:style>
  <w:style w:type="table" w:customStyle="1" w:styleId="EurolookClassicRust3">
    <w:name w:val="Eurolook Classic Rust 3"/>
    <w:basedOn w:val="EurolookClassicBlue"/>
    <w:semiHidden/>
    <w:unhideWhenUsed/>
    <w:tblPr>
      <w:tblInd w:w="1916" w:type="dxa"/>
    </w:tblPr>
    <w:tblStylePr w:type="firstRow">
      <w:rPr>
        <w:color w:val="FFFFFF"/>
      </w:rPr>
      <w:tblPr/>
      <w:tcPr>
        <w:shd w:val="clear" w:color="auto" w:fill="BF4B36"/>
      </w:tcPr>
    </w:tblStylePr>
    <w:tblStylePr w:type="lastRow">
      <w:tblPr/>
      <w:tcPr>
        <w:shd w:val="clear" w:color="auto" w:fill="DADADA"/>
      </w:tcPr>
    </w:tblStylePr>
    <w:tblStylePr w:type="firstCol">
      <w:rPr>
        <w:color w:val="BF4B36"/>
      </w:rPr>
    </w:tblStylePr>
    <w:tblStylePr w:type="band2Horz">
      <w:tblPr/>
      <w:tcPr>
        <w:shd w:val="clear" w:color="auto" w:fill="EBECED"/>
      </w:tcPr>
    </w:tblStylePr>
  </w:style>
  <w:style w:type="table" w:customStyle="1" w:styleId="EurolookClassicRust2">
    <w:name w:val="Eurolook Classic Rust 2"/>
    <w:basedOn w:val="EurolookClassicBlue"/>
    <w:semiHidden/>
    <w:unhideWhenUsed/>
    <w:tblPr>
      <w:tblInd w:w="1077" w:type="dxa"/>
    </w:tblPr>
    <w:tblStylePr w:type="firstRow">
      <w:rPr>
        <w:color w:val="FFFFFF"/>
      </w:rPr>
      <w:tblPr/>
      <w:tcPr>
        <w:shd w:val="clear" w:color="auto" w:fill="BF4B36"/>
      </w:tcPr>
    </w:tblStylePr>
    <w:tblStylePr w:type="lastRow">
      <w:tblPr/>
      <w:tcPr>
        <w:shd w:val="clear" w:color="auto" w:fill="DADADA"/>
      </w:tcPr>
    </w:tblStylePr>
    <w:tblStylePr w:type="firstCol">
      <w:rPr>
        <w:color w:val="BF4B36"/>
      </w:rPr>
    </w:tblStylePr>
    <w:tblStylePr w:type="band2Horz">
      <w:tblPr/>
      <w:tcPr>
        <w:shd w:val="clear" w:color="auto" w:fill="EBECED"/>
      </w:tcPr>
    </w:tblStylePr>
  </w:style>
  <w:style w:type="table" w:customStyle="1" w:styleId="EurolookClassicRust1">
    <w:name w:val="Eurolook Classic Rust 1"/>
    <w:basedOn w:val="EurolookClassicBlue"/>
    <w:semiHidden/>
    <w:unhideWhenUsed/>
    <w:tblPr>
      <w:tblInd w:w="482" w:type="dxa"/>
    </w:tblPr>
    <w:tblStylePr w:type="firstRow">
      <w:rPr>
        <w:color w:val="FFFFFF"/>
      </w:rPr>
      <w:tblPr/>
      <w:tcPr>
        <w:shd w:val="clear" w:color="auto" w:fill="BF4B36"/>
      </w:tcPr>
    </w:tblStylePr>
    <w:tblStylePr w:type="lastRow">
      <w:tblPr/>
      <w:tcPr>
        <w:shd w:val="clear" w:color="auto" w:fill="DADADA"/>
      </w:tcPr>
    </w:tblStylePr>
    <w:tblStylePr w:type="firstCol">
      <w:rPr>
        <w:color w:val="BF4B36"/>
      </w:rPr>
    </w:tblStylePr>
    <w:tblStylePr w:type="band2Horz">
      <w:tblPr/>
      <w:tcPr>
        <w:shd w:val="clear" w:color="auto" w:fill="EBECED"/>
      </w:tcPr>
    </w:tblStylePr>
  </w:style>
  <w:style w:type="table" w:customStyle="1" w:styleId="EurolookClassicOlive4">
    <w:name w:val="Eurolook Classic Olive 4"/>
    <w:basedOn w:val="EurolookClassicBlue"/>
    <w:semiHidden/>
    <w:unhideWhenUsed/>
    <w:tblPr>
      <w:tblInd w:w="2880" w:type="dxa"/>
    </w:tblPr>
    <w:tblStylePr w:type="firstRow">
      <w:rPr>
        <w:color w:val="FFFFFF"/>
      </w:rPr>
      <w:tblPr/>
      <w:tcPr>
        <w:shd w:val="clear" w:color="auto" w:fill="4E7849"/>
      </w:tcPr>
    </w:tblStylePr>
    <w:tblStylePr w:type="lastRow">
      <w:tblPr/>
      <w:tcPr>
        <w:shd w:val="clear" w:color="auto" w:fill="DADADA"/>
      </w:tcPr>
    </w:tblStylePr>
    <w:tblStylePr w:type="firstCol">
      <w:rPr>
        <w:color w:val="4E7849"/>
      </w:rPr>
    </w:tblStylePr>
    <w:tblStylePr w:type="band2Horz">
      <w:tblPr/>
      <w:tcPr>
        <w:shd w:val="clear" w:color="auto" w:fill="EBECED"/>
      </w:tcPr>
    </w:tblStylePr>
  </w:style>
  <w:style w:type="table" w:customStyle="1" w:styleId="EurolookClassicOlive3">
    <w:name w:val="Eurolook Classic Olive 3"/>
    <w:basedOn w:val="EurolookClassicBlue"/>
    <w:semiHidden/>
    <w:unhideWhenUsed/>
    <w:tblPr>
      <w:tblInd w:w="1916" w:type="dxa"/>
    </w:tblPr>
    <w:tblStylePr w:type="firstRow">
      <w:rPr>
        <w:color w:val="FFFFFF"/>
      </w:rPr>
      <w:tblPr/>
      <w:tcPr>
        <w:shd w:val="clear" w:color="auto" w:fill="4E7849"/>
      </w:tcPr>
    </w:tblStylePr>
    <w:tblStylePr w:type="lastRow">
      <w:tblPr/>
      <w:tcPr>
        <w:shd w:val="clear" w:color="auto" w:fill="DADADA"/>
      </w:tcPr>
    </w:tblStylePr>
    <w:tblStylePr w:type="firstCol">
      <w:rPr>
        <w:color w:val="4E7849"/>
      </w:rPr>
    </w:tblStylePr>
    <w:tblStylePr w:type="band2Horz">
      <w:tblPr/>
      <w:tcPr>
        <w:shd w:val="clear" w:color="auto" w:fill="EBECED"/>
      </w:tcPr>
    </w:tblStylePr>
  </w:style>
  <w:style w:type="table" w:customStyle="1" w:styleId="EurolookClassicOlive2">
    <w:name w:val="Eurolook Classic Olive 2"/>
    <w:basedOn w:val="EurolookClassicBlue"/>
    <w:semiHidden/>
    <w:unhideWhenUsed/>
    <w:tblPr>
      <w:tblInd w:w="1077" w:type="dxa"/>
    </w:tblPr>
    <w:tblStylePr w:type="firstRow">
      <w:rPr>
        <w:color w:val="FFFFFF"/>
      </w:rPr>
      <w:tblPr/>
      <w:tcPr>
        <w:shd w:val="clear" w:color="auto" w:fill="4E7849"/>
      </w:tcPr>
    </w:tblStylePr>
    <w:tblStylePr w:type="lastRow">
      <w:tblPr/>
      <w:tcPr>
        <w:shd w:val="clear" w:color="auto" w:fill="DADADA"/>
      </w:tcPr>
    </w:tblStylePr>
    <w:tblStylePr w:type="firstCol">
      <w:rPr>
        <w:color w:val="4E7849"/>
      </w:rPr>
    </w:tblStylePr>
    <w:tblStylePr w:type="band2Horz">
      <w:tblPr/>
      <w:tcPr>
        <w:shd w:val="clear" w:color="auto" w:fill="EBECED"/>
      </w:tcPr>
    </w:tblStylePr>
  </w:style>
  <w:style w:type="table" w:customStyle="1" w:styleId="EurolookClassicOlive1">
    <w:name w:val="Eurolook Classic Olive 1"/>
    <w:basedOn w:val="EurolookClassicBlue"/>
    <w:semiHidden/>
    <w:unhideWhenUsed/>
    <w:tblPr>
      <w:tblInd w:w="482" w:type="dxa"/>
    </w:tblPr>
    <w:tblStylePr w:type="firstRow">
      <w:rPr>
        <w:color w:val="FFFFFF"/>
      </w:rPr>
      <w:tblPr/>
      <w:tcPr>
        <w:shd w:val="clear" w:color="auto" w:fill="4E7849"/>
      </w:tcPr>
    </w:tblStylePr>
    <w:tblStylePr w:type="lastRow">
      <w:tblPr/>
      <w:tcPr>
        <w:shd w:val="clear" w:color="auto" w:fill="DADADA"/>
      </w:tcPr>
    </w:tblStylePr>
    <w:tblStylePr w:type="firstCol">
      <w:rPr>
        <w:color w:val="4E7849"/>
      </w:rPr>
    </w:tblStylePr>
    <w:tblStylePr w:type="band2Horz">
      <w:tblPr/>
      <w:tcPr>
        <w:shd w:val="clear" w:color="auto" w:fill="EBECED"/>
      </w:tcPr>
    </w:tblStylePr>
  </w:style>
  <w:style w:type="table" w:customStyle="1" w:styleId="EurolookClassicGrey4">
    <w:name w:val="Eurolook Classic Grey 4"/>
    <w:basedOn w:val="EurolookClassicBlue"/>
    <w:semiHidden/>
    <w:unhideWhenUsed/>
    <w:tblPr>
      <w:tblInd w:w="2880" w:type="dxa"/>
    </w:tblPr>
    <w:tblStylePr w:type="firstRow">
      <w:rPr>
        <w:color w:val="FFFFFF"/>
      </w:rPr>
      <w:tblPr/>
      <w:tcPr>
        <w:shd w:val="clear" w:color="auto" w:fill="646567"/>
      </w:tcPr>
    </w:tblStylePr>
    <w:tblStylePr w:type="lastRow">
      <w:tblPr/>
      <w:tcPr>
        <w:shd w:val="clear" w:color="auto" w:fill="DADADA"/>
      </w:tcPr>
    </w:tblStylePr>
    <w:tblStylePr w:type="firstCol">
      <w:rPr>
        <w:color w:val="646567"/>
      </w:rPr>
    </w:tblStylePr>
    <w:tblStylePr w:type="band2Horz">
      <w:tblPr/>
      <w:tcPr>
        <w:shd w:val="clear" w:color="auto" w:fill="EBECED"/>
      </w:tcPr>
    </w:tblStylePr>
  </w:style>
  <w:style w:type="table" w:customStyle="1" w:styleId="EurolookClassicGrey3">
    <w:name w:val="Eurolook Classic Grey 3"/>
    <w:basedOn w:val="EurolookClassicBlue"/>
    <w:semiHidden/>
    <w:unhideWhenUsed/>
    <w:tblPr>
      <w:tblInd w:w="1916" w:type="dxa"/>
    </w:tblPr>
    <w:tblStylePr w:type="firstRow">
      <w:rPr>
        <w:color w:val="FFFFFF"/>
      </w:rPr>
      <w:tblPr/>
      <w:tcPr>
        <w:shd w:val="clear" w:color="auto" w:fill="646567"/>
      </w:tcPr>
    </w:tblStylePr>
    <w:tblStylePr w:type="lastRow">
      <w:tblPr/>
      <w:tcPr>
        <w:shd w:val="clear" w:color="auto" w:fill="DADADA"/>
      </w:tcPr>
    </w:tblStylePr>
    <w:tblStylePr w:type="firstCol">
      <w:rPr>
        <w:color w:val="646567"/>
      </w:rPr>
    </w:tblStylePr>
    <w:tblStylePr w:type="band2Horz">
      <w:tblPr/>
      <w:tcPr>
        <w:shd w:val="clear" w:color="auto" w:fill="EBECED"/>
      </w:tcPr>
    </w:tblStylePr>
  </w:style>
  <w:style w:type="table" w:customStyle="1" w:styleId="EurolookClassicGrey2">
    <w:name w:val="Eurolook Classic Grey 2"/>
    <w:basedOn w:val="EurolookClassicBlue"/>
    <w:semiHidden/>
    <w:unhideWhenUsed/>
    <w:tblPr>
      <w:tblInd w:w="1077" w:type="dxa"/>
    </w:tblPr>
    <w:tblStylePr w:type="firstRow">
      <w:rPr>
        <w:color w:val="FFFFFF"/>
      </w:rPr>
      <w:tblPr/>
      <w:tcPr>
        <w:shd w:val="clear" w:color="auto" w:fill="646567"/>
      </w:tcPr>
    </w:tblStylePr>
    <w:tblStylePr w:type="lastRow">
      <w:tblPr/>
      <w:tcPr>
        <w:shd w:val="clear" w:color="auto" w:fill="DADADA"/>
      </w:tcPr>
    </w:tblStylePr>
    <w:tblStylePr w:type="firstCol">
      <w:rPr>
        <w:color w:val="646567"/>
      </w:rPr>
    </w:tblStylePr>
    <w:tblStylePr w:type="band2Horz">
      <w:tblPr/>
      <w:tcPr>
        <w:shd w:val="clear" w:color="auto" w:fill="EBECED"/>
      </w:tcPr>
    </w:tblStylePr>
  </w:style>
  <w:style w:type="table" w:customStyle="1" w:styleId="EurolookClassicGrey1">
    <w:name w:val="Eurolook Classic Grey 1"/>
    <w:basedOn w:val="EurolookClassicBlue"/>
    <w:semiHidden/>
    <w:unhideWhenUsed/>
    <w:tblPr>
      <w:tblInd w:w="482" w:type="dxa"/>
    </w:tblPr>
    <w:tblStylePr w:type="firstRow">
      <w:rPr>
        <w:color w:val="FFFFFF"/>
      </w:rPr>
      <w:tblPr/>
      <w:tcPr>
        <w:shd w:val="clear" w:color="auto" w:fill="646567"/>
      </w:tcPr>
    </w:tblStylePr>
    <w:tblStylePr w:type="lastRow">
      <w:tblPr/>
      <w:tcPr>
        <w:shd w:val="clear" w:color="auto" w:fill="DADADA"/>
      </w:tcPr>
    </w:tblStylePr>
    <w:tblStylePr w:type="firstCol">
      <w:rPr>
        <w:color w:val="646567"/>
      </w:rPr>
    </w:tblStylePr>
    <w:tblStylePr w:type="band2Horz">
      <w:tblPr/>
      <w:tcPr>
        <w:shd w:val="clear" w:color="auto" w:fill="EBECED"/>
      </w:tcPr>
    </w:tblStylePr>
  </w:style>
  <w:style w:type="table" w:customStyle="1" w:styleId="EurolookClassicBlue4">
    <w:name w:val="Eurolook Classic Blue 4"/>
    <w:basedOn w:val="TableNormal"/>
    <w:semiHidden/>
    <w:unhideWhenUsed/>
    <w:pPr>
      <w:spacing w:after="240"/>
    </w:pPr>
    <w:tblPr>
      <w:tblStyleRowBandSize w:val="1"/>
      <w:tblStyleColBandSize w:val="1"/>
      <w:tblInd w:w="2880" w:type="dxa"/>
      <w:tblBorders>
        <w:top w:val="single" w:sz="4" w:space="0" w:color="C5C7C8"/>
        <w:left w:val="single" w:sz="4" w:space="0" w:color="C5C7C8"/>
        <w:bottom w:val="single" w:sz="4" w:space="0" w:color="C5C7C8"/>
        <w:right w:val="single" w:sz="4" w:space="0" w:color="C5C7C8"/>
        <w:insideH w:val="single" w:sz="4" w:space="0" w:color="C5C7C8"/>
        <w:insideV w:val="single" w:sz="4" w:space="0" w:color="C5C7C8"/>
      </w:tblBorders>
    </w:tblPr>
    <w:tblStylePr w:type="firstRow">
      <w:rPr>
        <w:color w:val="FFFFFF"/>
      </w:rPr>
      <w:tblPr/>
      <w:tcPr>
        <w:shd w:val="clear" w:color="auto" w:fill="004494"/>
      </w:tcPr>
    </w:tblStylePr>
    <w:tblStylePr w:type="lastRow">
      <w:tblPr/>
      <w:tcPr>
        <w:shd w:val="clear" w:color="auto" w:fill="DADADA"/>
      </w:tcPr>
    </w:tblStylePr>
    <w:tblStylePr w:type="firstCol">
      <w:rPr>
        <w:color w:val="004494"/>
      </w:rPr>
    </w:tblStylePr>
    <w:tblStylePr w:type="band2Horz">
      <w:tblPr/>
      <w:tcPr>
        <w:shd w:val="clear" w:color="auto" w:fill="EBECED"/>
      </w:tcPr>
    </w:tblStylePr>
  </w:style>
  <w:style w:type="table" w:customStyle="1" w:styleId="EurolookClassicBlue3">
    <w:name w:val="Eurolook Classic Blue 3"/>
    <w:basedOn w:val="TableNormal"/>
    <w:semiHidden/>
    <w:unhideWhenUsed/>
    <w:pPr>
      <w:spacing w:after="240"/>
    </w:pPr>
    <w:tblPr>
      <w:tblStyleRowBandSize w:val="1"/>
      <w:tblStyleColBandSize w:val="1"/>
      <w:tblInd w:w="1916" w:type="dxa"/>
      <w:tblBorders>
        <w:top w:val="single" w:sz="4" w:space="0" w:color="C5C7C8"/>
        <w:left w:val="single" w:sz="4" w:space="0" w:color="C5C7C8"/>
        <w:bottom w:val="single" w:sz="4" w:space="0" w:color="C5C7C8"/>
        <w:right w:val="single" w:sz="4" w:space="0" w:color="C5C7C8"/>
        <w:insideH w:val="single" w:sz="4" w:space="0" w:color="C5C7C8"/>
        <w:insideV w:val="single" w:sz="4" w:space="0" w:color="C5C7C8"/>
      </w:tblBorders>
    </w:tblPr>
    <w:tblStylePr w:type="firstRow">
      <w:rPr>
        <w:color w:val="FFFFFF"/>
      </w:rPr>
      <w:tblPr/>
      <w:tcPr>
        <w:shd w:val="clear" w:color="auto" w:fill="004494"/>
      </w:tcPr>
    </w:tblStylePr>
    <w:tblStylePr w:type="lastRow">
      <w:tblPr/>
      <w:tcPr>
        <w:shd w:val="clear" w:color="auto" w:fill="DADADA"/>
      </w:tcPr>
    </w:tblStylePr>
    <w:tblStylePr w:type="firstCol">
      <w:rPr>
        <w:color w:val="004494"/>
      </w:rPr>
    </w:tblStylePr>
    <w:tblStylePr w:type="band2Horz">
      <w:tblPr/>
      <w:tcPr>
        <w:shd w:val="clear" w:color="auto" w:fill="EBECED"/>
      </w:tcPr>
    </w:tblStylePr>
  </w:style>
  <w:style w:type="table" w:customStyle="1" w:styleId="EurolookClassicBlue2">
    <w:name w:val="Eurolook Classic Blue 2"/>
    <w:basedOn w:val="TableNormal"/>
    <w:semiHidden/>
    <w:unhideWhenUsed/>
    <w:pPr>
      <w:spacing w:after="240"/>
    </w:pPr>
    <w:tblPr>
      <w:tblStyleRowBandSize w:val="1"/>
      <w:tblStyleColBandSize w:val="1"/>
      <w:tblInd w:w="1077" w:type="dxa"/>
      <w:tblBorders>
        <w:top w:val="single" w:sz="4" w:space="0" w:color="C5C7C8"/>
        <w:left w:val="single" w:sz="4" w:space="0" w:color="C5C7C8"/>
        <w:bottom w:val="single" w:sz="4" w:space="0" w:color="C5C7C8"/>
        <w:right w:val="single" w:sz="4" w:space="0" w:color="C5C7C8"/>
        <w:insideH w:val="single" w:sz="4" w:space="0" w:color="C5C7C8"/>
        <w:insideV w:val="single" w:sz="4" w:space="0" w:color="C5C7C8"/>
      </w:tblBorders>
    </w:tblPr>
    <w:tblStylePr w:type="firstRow">
      <w:rPr>
        <w:color w:val="FFFFFF"/>
      </w:rPr>
      <w:tblPr/>
      <w:tcPr>
        <w:shd w:val="clear" w:color="auto" w:fill="004494"/>
      </w:tcPr>
    </w:tblStylePr>
    <w:tblStylePr w:type="lastRow">
      <w:tblPr/>
      <w:tcPr>
        <w:shd w:val="clear" w:color="auto" w:fill="DADADA"/>
      </w:tcPr>
    </w:tblStylePr>
    <w:tblStylePr w:type="firstCol">
      <w:rPr>
        <w:color w:val="004494"/>
      </w:rPr>
    </w:tblStylePr>
    <w:tblStylePr w:type="band2Horz">
      <w:tblPr/>
      <w:tcPr>
        <w:shd w:val="clear" w:color="auto" w:fill="EBECED"/>
      </w:tcPr>
    </w:tblStylePr>
  </w:style>
  <w:style w:type="table" w:customStyle="1" w:styleId="EurolookClassicBlue1">
    <w:name w:val="Eurolook Classic Blue 1"/>
    <w:basedOn w:val="TableNormal"/>
    <w:semiHidden/>
    <w:unhideWhenUsed/>
    <w:pPr>
      <w:spacing w:after="240"/>
    </w:pPr>
    <w:tblPr>
      <w:tblStyleRowBandSize w:val="1"/>
      <w:tblStyleColBandSize w:val="1"/>
      <w:tblInd w:w="482" w:type="dxa"/>
      <w:tblBorders>
        <w:top w:val="single" w:sz="4" w:space="0" w:color="C5C7C8"/>
        <w:left w:val="single" w:sz="4" w:space="0" w:color="C5C7C8"/>
        <w:bottom w:val="single" w:sz="4" w:space="0" w:color="C5C7C8"/>
        <w:right w:val="single" w:sz="4" w:space="0" w:color="C5C7C8"/>
        <w:insideH w:val="single" w:sz="4" w:space="0" w:color="C5C7C8"/>
        <w:insideV w:val="single" w:sz="4" w:space="0" w:color="C5C7C8"/>
      </w:tblBorders>
    </w:tblPr>
    <w:tblStylePr w:type="firstRow">
      <w:rPr>
        <w:color w:val="FFFFFF"/>
      </w:rPr>
      <w:tblPr/>
      <w:tcPr>
        <w:shd w:val="clear" w:color="auto" w:fill="004494"/>
      </w:tcPr>
    </w:tblStylePr>
    <w:tblStylePr w:type="lastRow">
      <w:tblPr/>
      <w:tcPr>
        <w:shd w:val="clear" w:color="auto" w:fill="DADADA"/>
      </w:tcPr>
    </w:tblStylePr>
    <w:tblStylePr w:type="firstCol">
      <w:rPr>
        <w:color w:val="004494"/>
      </w:rPr>
    </w:tblStylePr>
    <w:tblStylePr w:type="band2Horz">
      <w:tblPr/>
      <w:tcPr>
        <w:shd w:val="clear" w:color="auto" w:fill="EBECED"/>
      </w:tcPr>
    </w:tblStylePr>
  </w:style>
  <w:style w:type="table" w:customStyle="1" w:styleId="TableLetterhead">
    <w:name w:val="Table Letterhead"/>
    <w:basedOn w:val="TableNormal"/>
    <w:semiHidden/>
    <w:tblPr>
      <w:tblCellMar>
        <w:left w:w="0" w:type="dxa"/>
        <w:bottom w:w="340" w:type="dxa"/>
        <w:right w:w="0" w:type="dxa"/>
      </w:tblCellMar>
    </w:tblPr>
  </w:style>
  <w:style w:type="table" w:customStyle="1" w:styleId="HelperTableBase">
    <w:name w:val="Helper Table Base"/>
    <w:semiHidden/>
    <w:tblPr>
      <w:tblInd w:w="0" w:type="dxa"/>
      <w:tblCellMar>
        <w:top w:w="0" w:type="dxa"/>
        <w:left w:w="0" w:type="dxa"/>
        <w:bottom w:w="0" w:type="dxa"/>
        <w:right w:w="0" w:type="dxa"/>
      </w:tblCellMar>
    </w:tblPr>
  </w:style>
  <w:style w:type="table" w:customStyle="1" w:styleId="EurolookTable">
    <w:name w:val="Eurolook Table"/>
    <w:semiHidden/>
    <w:unhideWhenUs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style>
  <w:style w:type="table" w:customStyle="1" w:styleId="EurolookClassicBlue">
    <w:name w:val="Eurolook Classic Blue"/>
    <w:basedOn w:val="TableNormal"/>
    <w:pPr>
      <w:spacing w:after="240"/>
    </w:pPr>
    <w:tblPr>
      <w:tblStyleRowBandSize w:val="1"/>
      <w:tblStyleColBandSize w:val="1"/>
      <w:tblBorders>
        <w:top w:val="single" w:sz="4" w:space="0" w:color="C5C7C8"/>
        <w:left w:val="single" w:sz="4" w:space="0" w:color="C5C7C8"/>
        <w:bottom w:val="single" w:sz="4" w:space="0" w:color="C5C7C8"/>
        <w:right w:val="single" w:sz="4" w:space="0" w:color="C5C7C8"/>
        <w:insideH w:val="single" w:sz="4" w:space="0" w:color="C5C7C8"/>
        <w:insideV w:val="single" w:sz="4" w:space="0" w:color="C5C7C8"/>
      </w:tblBorders>
    </w:tblPr>
    <w:tblStylePr w:type="firstRow">
      <w:rPr>
        <w:color w:val="FFFFFF"/>
      </w:rPr>
      <w:tblPr/>
      <w:tcPr>
        <w:shd w:val="clear" w:color="auto" w:fill="004494"/>
      </w:tcPr>
    </w:tblStylePr>
    <w:tblStylePr w:type="lastRow">
      <w:tblPr/>
      <w:tcPr>
        <w:shd w:val="clear" w:color="auto" w:fill="DADADA"/>
      </w:tcPr>
    </w:tblStylePr>
    <w:tblStylePr w:type="firstCol">
      <w:rPr>
        <w:color w:val="004494"/>
      </w:rPr>
    </w:tblStylePr>
    <w:tblStylePr w:type="band2Horz">
      <w:tblPr/>
      <w:tcPr>
        <w:shd w:val="clear" w:color="auto" w:fill="EBECED"/>
      </w:tcPr>
    </w:tblStylePr>
  </w:style>
  <w:style w:type="table" w:customStyle="1" w:styleId="EurolookClassicGrey">
    <w:name w:val="Eurolook Classic Grey"/>
    <w:basedOn w:val="EurolookClassicBlue"/>
    <w:tblPr/>
    <w:tblStylePr w:type="firstRow">
      <w:rPr>
        <w:color w:val="FFFFFF"/>
      </w:rPr>
      <w:tblPr/>
      <w:tcPr>
        <w:shd w:val="clear" w:color="auto" w:fill="646567"/>
      </w:tcPr>
    </w:tblStylePr>
    <w:tblStylePr w:type="lastRow">
      <w:tblPr/>
      <w:tcPr>
        <w:shd w:val="clear" w:color="auto" w:fill="DADADA"/>
      </w:tcPr>
    </w:tblStylePr>
    <w:tblStylePr w:type="firstCol">
      <w:rPr>
        <w:color w:val="646567"/>
      </w:rPr>
    </w:tblStylePr>
    <w:tblStylePr w:type="band2Horz">
      <w:tblPr/>
      <w:tcPr>
        <w:shd w:val="clear" w:color="auto" w:fill="EBECED"/>
      </w:tcPr>
    </w:tblStylePr>
  </w:style>
  <w:style w:type="table" w:customStyle="1" w:styleId="EurolookClassicOlive">
    <w:name w:val="Eurolook Classic Olive"/>
    <w:basedOn w:val="EurolookClassicBlue"/>
    <w:tblPr/>
    <w:tblStylePr w:type="firstRow">
      <w:rPr>
        <w:color w:val="FFFFFF"/>
      </w:rPr>
      <w:tblPr/>
      <w:tcPr>
        <w:shd w:val="clear" w:color="auto" w:fill="4E7849"/>
      </w:tcPr>
    </w:tblStylePr>
    <w:tblStylePr w:type="lastRow">
      <w:tblPr/>
      <w:tcPr>
        <w:shd w:val="clear" w:color="auto" w:fill="DADADA"/>
      </w:tcPr>
    </w:tblStylePr>
    <w:tblStylePr w:type="firstCol">
      <w:rPr>
        <w:color w:val="4E7849"/>
      </w:rPr>
    </w:tblStylePr>
    <w:tblStylePr w:type="band2Horz">
      <w:tblPr/>
      <w:tcPr>
        <w:shd w:val="clear" w:color="auto" w:fill="EBECED"/>
      </w:tcPr>
    </w:tblStylePr>
  </w:style>
  <w:style w:type="table" w:customStyle="1" w:styleId="EurolookClassicRust">
    <w:name w:val="Eurolook Classic Rust"/>
    <w:basedOn w:val="EurolookClassicBlue"/>
    <w:tblPr/>
    <w:tblStylePr w:type="firstRow">
      <w:rPr>
        <w:color w:val="FFFFFF"/>
      </w:rPr>
      <w:tblPr/>
      <w:tcPr>
        <w:shd w:val="clear" w:color="auto" w:fill="BF4B36"/>
      </w:tcPr>
    </w:tblStylePr>
    <w:tblStylePr w:type="lastRow">
      <w:tblPr/>
      <w:tcPr>
        <w:shd w:val="clear" w:color="auto" w:fill="DADADA"/>
      </w:tcPr>
    </w:tblStylePr>
    <w:tblStylePr w:type="firstCol">
      <w:rPr>
        <w:color w:val="BF4B36"/>
      </w:rPr>
    </w:tblStylePr>
    <w:tblStylePr w:type="band2Horz">
      <w:tblPr/>
      <w:tcPr>
        <w:shd w:val="clear" w:color="auto" w:fill="EBECED"/>
      </w:tcPr>
    </w:tblStylePr>
  </w:style>
  <w:style w:type="table" w:customStyle="1" w:styleId="EurolookClassicPurple">
    <w:name w:val="Eurolook Classic Purple"/>
    <w:basedOn w:val="EurolookClassicBlue"/>
    <w:tblPr/>
    <w:tblStylePr w:type="firstRow">
      <w:rPr>
        <w:color w:val="FFFFFF"/>
      </w:rPr>
      <w:tblPr/>
      <w:tcPr>
        <w:shd w:val="clear" w:color="auto" w:fill="771D7B"/>
      </w:tcPr>
    </w:tblStylePr>
    <w:tblStylePr w:type="lastRow">
      <w:tblPr/>
      <w:tcPr>
        <w:shd w:val="clear" w:color="auto" w:fill="DADADA"/>
      </w:tcPr>
    </w:tblStylePr>
    <w:tblStylePr w:type="firstCol">
      <w:rPr>
        <w:color w:val="771D7B"/>
      </w:rPr>
    </w:tblStylePr>
    <w:tblStylePr w:type="band2Horz">
      <w:tblPr/>
      <w:tcPr>
        <w:shd w:val="clear" w:color="auto" w:fill="EBECED"/>
      </w:tcPr>
    </w:tblStylePr>
  </w:style>
  <w:style w:type="table" w:customStyle="1" w:styleId="EurolookClassicPetrol">
    <w:name w:val="Eurolook Classic Petrol"/>
    <w:basedOn w:val="EurolookClassicBlue"/>
    <w:tblPr/>
    <w:tblStylePr w:type="firstRow">
      <w:rPr>
        <w:color w:val="FFFFFF"/>
      </w:rPr>
      <w:tblPr/>
      <w:tcPr>
        <w:shd w:val="clear" w:color="auto" w:fill="007D98"/>
      </w:tcPr>
    </w:tblStylePr>
    <w:tblStylePr w:type="lastRow">
      <w:tblPr/>
      <w:tcPr>
        <w:shd w:val="clear" w:color="auto" w:fill="DADADA"/>
      </w:tcPr>
    </w:tblStylePr>
    <w:tblStylePr w:type="firstCol">
      <w:rPr>
        <w:color w:val="007D98"/>
      </w:rPr>
    </w:tblStylePr>
    <w:tblStylePr w:type="band2Horz">
      <w:tblPr/>
      <w:tcPr>
        <w:shd w:val="clear" w:color="auto" w:fill="EBECED"/>
      </w:tcPr>
    </w:tblStylePr>
  </w:style>
  <w:style w:type="table" w:customStyle="1" w:styleId="EurolookLightBlue">
    <w:name w:val="Eurolook Light Blue"/>
    <w:basedOn w:val="EurolookClassicBlue"/>
    <w:tblPr>
      <w:tblBorders>
        <w:top w:val="nil"/>
        <w:left w:val="nil"/>
        <w:bottom w:val="nil"/>
        <w:right w:val="nil"/>
        <w:insideH w:val="none" w:sz="0" w:space="0" w:color="auto"/>
        <w:insideV w:val="none" w:sz="0" w:space="0" w:color="auto"/>
      </w:tblBorders>
    </w:tblPr>
    <w:tcPr>
      <w:shd w:val="clear" w:color="auto" w:fill="auto"/>
    </w:tcPr>
    <w:tblStylePr w:type="firstRow">
      <w:rPr>
        <w:b w:val="0"/>
        <w:smallCaps/>
        <w:color w:val="004494"/>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b w:val="0"/>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Grey">
    <w:name w:val="Eurolook Light Grey"/>
    <w:basedOn w:val="EurolookClassicBlue"/>
    <w:tblPr>
      <w:tblBorders>
        <w:top w:val="nil"/>
        <w:left w:val="nil"/>
        <w:bottom w:val="nil"/>
        <w:right w:val="nil"/>
        <w:insideH w:val="none" w:sz="0" w:space="0" w:color="auto"/>
        <w:insideV w:val="none" w:sz="0" w:space="0" w:color="auto"/>
      </w:tblBorders>
    </w:tblPr>
    <w:tcPr>
      <w:shd w:val="clear" w:color="auto" w:fill="auto"/>
    </w:tcPr>
    <w:tblStylePr w:type="firstRow">
      <w:rPr>
        <w:b w:val="0"/>
        <w:smallCaps/>
        <w:color w:val="646567"/>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urple">
    <w:name w:val="Eurolook Light Purple"/>
    <w:basedOn w:val="EurolookClassicBlue"/>
    <w:tblPr>
      <w:tblBorders>
        <w:top w:val="nil"/>
        <w:left w:val="nil"/>
        <w:bottom w:val="nil"/>
        <w:right w:val="nil"/>
        <w:insideH w:val="none" w:sz="0" w:space="0" w:color="auto"/>
        <w:insideV w:val="none" w:sz="0" w:space="0" w:color="auto"/>
      </w:tblBorders>
    </w:tblPr>
    <w:tcPr>
      <w:shd w:val="clear" w:color="auto" w:fill="auto"/>
    </w:tcPr>
    <w:tblStylePr w:type="firstRow">
      <w:rPr>
        <w:b w:val="0"/>
        <w:smallCaps/>
        <w:color w:val="771D7B"/>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etrol">
    <w:name w:val="Eurolook Light Petrol"/>
    <w:basedOn w:val="EurolookClassicBlue"/>
    <w:tblPr>
      <w:tblBorders>
        <w:top w:val="nil"/>
        <w:left w:val="nil"/>
        <w:bottom w:val="nil"/>
        <w:right w:val="nil"/>
        <w:insideH w:val="none" w:sz="0" w:space="0" w:color="auto"/>
        <w:insideV w:val="none" w:sz="0" w:space="0" w:color="auto"/>
      </w:tblBorders>
    </w:tblPr>
    <w:tcPr>
      <w:shd w:val="clear" w:color="auto" w:fill="auto"/>
    </w:tcPr>
    <w:tblStylePr w:type="firstRow">
      <w:rPr>
        <w:b w:val="0"/>
        <w:smallCaps/>
        <w:color w:val="007D98"/>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Rust">
    <w:name w:val="Eurolook Light Rust"/>
    <w:basedOn w:val="EurolookClassicBlue"/>
    <w:tblPr>
      <w:tblBorders>
        <w:top w:val="nil"/>
        <w:left w:val="nil"/>
        <w:bottom w:val="nil"/>
        <w:right w:val="nil"/>
        <w:insideH w:val="none" w:sz="0" w:space="0" w:color="auto"/>
        <w:insideV w:val="none" w:sz="0" w:space="0" w:color="auto"/>
      </w:tblBorders>
    </w:tblPr>
    <w:tcPr>
      <w:shd w:val="clear" w:color="auto" w:fill="auto"/>
    </w:tcPr>
    <w:tblStylePr w:type="firstRow">
      <w:rPr>
        <w:b w:val="0"/>
        <w:smallCaps/>
        <w:color w:val="BF4B36"/>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Olive">
    <w:name w:val="Eurolook Light Olive"/>
    <w:basedOn w:val="EurolookClassicBlue"/>
    <w:tblPr>
      <w:tblBorders>
        <w:top w:val="nil"/>
        <w:left w:val="nil"/>
        <w:bottom w:val="nil"/>
        <w:right w:val="nil"/>
        <w:insideH w:val="none" w:sz="0" w:space="0" w:color="auto"/>
        <w:insideV w:val="none" w:sz="0" w:space="0" w:color="auto"/>
      </w:tblBorders>
    </w:tblPr>
    <w:tcPr>
      <w:shd w:val="clear" w:color="auto" w:fill="auto"/>
    </w:tcPr>
    <w:tblStylePr w:type="firstRow">
      <w:rPr>
        <w:b w:val="0"/>
        <w:smallCaps/>
        <w:color w:val="4E7849"/>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Table1">
    <w:name w:val="Eurolook Table 1"/>
    <w:basedOn w:val="EurolookTable"/>
    <w:semiHidden/>
    <w:unhideWhenUsed/>
    <w:tblPr>
      <w:tblInd w:w="482" w:type="dxa"/>
    </w:tblPr>
    <w:tblStylePr w:type="firstRow">
      <w:rPr>
        <w:b/>
      </w:rPr>
    </w:tblStylePr>
  </w:style>
  <w:style w:type="table" w:customStyle="1" w:styleId="EurolookTable2">
    <w:name w:val="Eurolook Table 2"/>
    <w:basedOn w:val="EurolookTable"/>
    <w:semiHidden/>
    <w:unhideWhenUsed/>
    <w:tblPr>
      <w:tblInd w:w="1077" w:type="dxa"/>
    </w:tblPr>
    <w:tblStylePr w:type="firstRow">
      <w:rPr>
        <w:b/>
      </w:rPr>
    </w:tblStylePr>
  </w:style>
  <w:style w:type="table" w:customStyle="1" w:styleId="EurolookTable3">
    <w:name w:val="Eurolook Table 3"/>
    <w:basedOn w:val="EurolookTable"/>
    <w:semiHidden/>
    <w:unhideWhenUsed/>
    <w:tblPr>
      <w:tblInd w:w="1916" w:type="dxa"/>
    </w:tblPr>
    <w:tblStylePr w:type="firstRow">
      <w:rPr>
        <w:b/>
      </w:rPr>
    </w:tblStylePr>
  </w:style>
  <w:style w:type="table" w:customStyle="1" w:styleId="EurolookTable4">
    <w:name w:val="Eurolook Table 4"/>
    <w:basedOn w:val="EurolookTable"/>
    <w:semiHidden/>
    <w:unhideWhenUsed/>
    <w:tblPr>
      <w:tblInd w:w="2880" w:type="dxa"/>
    </w:tblPr>
    <w:tblStylePr w:type="firstRow">
      <w:rPr>
        <w:b/>
      </w:rPr>
    </w:tblStylePr>
  </w:style>
  <w:style w:type="character" w:customStyle="1" w:styleId="FooterChar">
    <w:name w:val="Footer Char"/>
    <w:basedOn w:val="DefaultParagraphFont"/>
    <w:link w:val="Footer"/>
    <w:uiPriority w:val="99"/>
    <w:rsid w:val="00083F74"/>
    <w:rPr>
      <w:sz w:val="16"/>
    </w:rPr>
  </w:style>
  <w:style w:type="character" w:customStyle="1" w:styleId="Marker">
    <w:name w:val="Marker"/>
    <w:basedOn w:val="DefaultParagraphFont"/>
    <w:rsid w:val="00E52B72"/>
    <w:rPr>
      <w:color w:val="0000FF"/>
      <w:shd w:val="clear" w:color="auto" w:fill="auto"/>
    </w:rPr>
  </w:style>
  <w:style w:type="paragraph" w:customStyle="1" w:styleId="Pagedecouverture">
    <w:name w:val="Page de couverture"/>
    <w:basedOn w:val="Normal"/>
    <w:next w:val="Normal"/>
    <w:rsid w:val="00E52B72"/>
    <w:pPr>
      <w:spacing w:after="0"/>
    </w:pPr>
    <w:rPr>
      <w:rFonts w:eastAsiaTheme="minorHAnsi"/>
      <w:szCs w:val="22"/>
      <w:lang w:eastAsia="en-US"/>
    </w:rPr>
  </w:style>
  <w:style w:type="paragraph" w:customStyle="1" w:styleId="FooterCoverPage">
    <w:name w:val="Footer Cover Page"/>
    <w:basedOn w:val="Normal"/>
    <w:link w:val="FooterCoverPageChar"/>
    <w:rsid w:val="00E52B72"/>
    <w:pPr>
      <w:tabs>
        <w:tab w:val="center" w:pos="4535"/>
        <w:tab w:val="right" w:pos="9071"/>
        <w:tab w:val="right" w:pos="9921"/>
      </w:tabs>
      <w:spacing w:before="360" w:after="0"/>
      <w:ind w:left="-850" w:right="-850"/>
      <w:jc w:val="left"/>
    </w:pPr>
    <w:rPr>
      <w:rFonts w:ascii="Times New Roman" w:hAnsi="Times New Roman"/>
    </w:rPr>
  </w:style>
  <w:style w:type="character" w:customStyle="1" w:styleId="FooterCoverPageChar">
    <w:name w:val="Footer Cover Page Char"/>
    <w:basedOn w:val="DefaultParagraphFont"/>
    <w:link w:val="FooterCoverPage"/>
    <w:rsid w:val="00E52B72"/>
  </w:style>
  <w:style w:type="paragraph" w:customStyle="1" w:styleId="FooterSensitivity">
    <w:name w:val="Footer Sensitivity"/>
    <w:basedOn w:val="Normal"/>
    <w:link w:val="FooterSensitivityChar"/>
    <w:rsid w:val="00E52B72"/>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b/>
      <w:sz w:val="32"/>
    </w:rPr>
  </w:style>
  <w:style w:type="character" w:customStyle="1" w:styleId="FooterSensitivityChar">
    <w:name w:val="Footer Sensitivity Char"/>
    <w:basedOn w:val="DefaultParagraphFont"/>
    <w:link w:val="FooterSensitivity"/>
    <w:rsid w:val="00E52B72"/>
    <w:rPr>
      <w:b/>
      <w:sz w:val="32"/>
    </w:rPr>
  </w:style>
  <w:style w:type="paragraph" w:customStyle="1" w:styleId="HeaderCoverPage">
    <w:name w:val="Header Cover Page"/>
    <w:basedOn w:val="Normal"/>
    <w:link w:val="HeaderCoverPageChar"/>
    <w:rsid w:val="00E52B72"/>
    <w:pPr>
      <w:tabs>
        <w:tab w:val="center" w:pos="4535"/>
        <w:tab w:val="right" w:pos="9071"/>
      </w:tabs>
      <w:spacing w:after="120"/>
    </w:pPr>
    <w:rPr>
      <w:rFonts w:ascii="Times New Roman" w:hAnsi="Times New Roman"/>
    </w:rPr>
  </w:style>
  <w:style w:type="character" w:customStyle="1" w:styleId="HeaderCoverPageChar">
    <w:name w:val="Header Cover Page Char"/>
    <w:basedOn w:val="DefaultParagraphFont"/>
    <w:link w:val="HeaderCoverPage"/>
    <w:rsid w:val="00E52B72"/>
  </w:style>
  <w:style w:type="paragraph" w:customStyle="1" w:styleId="HeaderSensitivity">
    <w:name w:val="Header Sensitivity"/>
    <w:basedOn w:val="Normal"/>
    <w:link w:val="HeaderSensitivityChar"/>
    <w:rsid w:val="00E52B72"/>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b/>
      <w:sz w:val="32"/>
    </w:rPr>
  </w:style>
  <w:style w:type="character" w:customStyle="1" w:styleId="HeaderSensitivityChar">
    <w:name w:val="Header Sensitivity Char"/>
    <w:basedOn w:val="DefaultParagraphFont"/>
    <w:link w:val="HeaderSensitivity"/>
    <w:rsid w:val="00E52B72"/>
    <w:rPr>
      <w:b/>
      <w:sz w:val="32"/>
    </w:rPr>
  </w:style>
  <w:style w:type="paragraph" w:customStyle="1" w:styleId="HeaderSensitivityRight">
    <w:name w:val="Header Sensitivity Right"/>
    <w:basedOn w:val="Normal"/>
    <w:link w:val="HeaderSensitivityRightChar"/>
    <w:rsid w:val="00E52B72"/>
    <w:pPr>
      <w:spacing w:after="120"/>
      <w:jc w:val="right"/>
    </w:pPr>
    <w:rPr>
      <w:rFonts w:ascii="Times New Roman" w:hAnsi="Times New Roman"/>
      <w:sz w:val="28"/>
    </w:rPr>
  </w:style>
  <w:style w:type="character" w:customStyle="1" w:styleId="HeaderSensitivityRightChar">
    <w:name w:val="Header Sensitivity Right Char"/>
    <w:basedOn w:val="DefaultParagraphFont"/>
    <w:link w:val="HeaderSensitivityRight"/>
    <w:rsid w:val="00E52B72"/>
    <w:rPr>
      <w:sz w:val="28"/>
    </w:rPr>
  </w:style>
  <w:style w:type="table" w:styleId="TableGrid">
    <w:name w:val="Table Grid"/>
    <w:aliases w:val="Document Table,CV1,Standard table format,Simple table"/>
    <w:basedOn w:val="TableNormal"/>
    <w:uiPriority w:val="39"/>
    <w:locked/>
    <w:rsid w:val="007F5F0A"/>
    <w:pPr>
      <w:spacing w:before="240" w:after="240" w:line="264" w:lineRule="auto"/>
    </w:pPr>
    <w:rPr>
      <w:rFonts w:ascii="Calibri" w:eastAsia="Calibri" w:hAnsi="Calibri"/>
      <w:sz w:val="20"/>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Reference_LVL6,Footnote Reference_LVL61,Footnote Reference_LVL62,Footnote Reference_LVL63,Footnote Reference_LVL64,Footnote Reference Number,Footnote Reference Superscript,BVI fnr, BVI fnr,Footnote symbol,Times 10 Point,fr"/>
    <w:basedOn w:val="DefaultParagraphFont"/>
    <w:link w:val="FootnoteReferenceCharCarCharCharCarCharCarCharCarCharCarCharCharCarCarCharCharCharCharCharCarCharCarCharCharCarCharCar"/>
    <w:uiPriority w:val="99"/>
    <w:qFormat/>
    <w:locked/>
    <w:rsid w:val="007F5F0A"/>
    <w:rPr>
      <w:vertAlign w:val="superscript"/>
    </w:rPr>
  </w:style>
  <w:style w:type="character" w:styleId="Hyperlink">
    <w:name w:val="Hyperlink"/>
    <w:basedOn w:val="DefaultParagraphFont"/>
    <w:uiPriority w:val="99"/>
    <w:unhideWhenUsed/>
    <w:locked/>
    <w:rsid w:val="007F5F0A"/>
    <w:rPr>
      <w:rFonts w:ascii="EC Square Sans Pro" w:hAnsi="EC Square Sans Pro"/>
      <w:strike w:val="0"/>
      <w:dstrike w:val="0"/>
      <w:color w:val="007ACC"/>
      <w:u w:val="single" w:color="65BBC8"/>
      <w:effect w:val="none"/>
      <w:shd w:val="clear" w:color="auto" w:fill="auto"/>
      <w:lang w:val="en-GB"/>
    </w:rPr>
  </w:style>
  <w:style w:type="character" w:customStyle="1" w:styleId="BOLDBLUE">
    <w:name w:val="BOLD BLUE"/>
    <w:basedOn w:val="DefaultParagraphFont"/>
    <w:uiPriority w:val="40"/>
    <w:semiHidden/>
    <w:qFormat/>
    <w:rsid w:val="007F5F0A"/>
    <w:rPr>
      <w:rFonts w:eastAsia="EC Square Sans Pro" w:cs="Times New Roman"/>
      <w:b/>
      <w:color w:val="215E94" w:themeColor="text2"/>
      <w:szCs w:val="21"/>
      <w:lang w:val="en-GB" w:eastAsia="fr-BE"/>
    </w:rPr>
  </w:style>
  <w:style w:type="character" w:customStyle="1" w:styleId="FootnoteTextChar">
    <w:name w:val="Footnote Text Char"/>
    <w:aliases w:val="Footnote Text Char Char Char1,Footnote Text Char3 Char Char Char1,Footnote Text Char2 Char Char Char Char1,Footnote Text Char1 Char Char Char Char Char1,Footnote Text Char Char Char Char Char Char Char1,Fußnote Char1,fn Char1,o Char1"/>
    <w:basedOn w:val="DefaultParagraphFont"/>
    <w:link w:val="FootnoteText"/>
    <w:uiPriority w:val="99"/>
    <w:qFormat/>
    <w:rsid w:val="007F5F0A"/>
    <w:rPr>
      <w:sz w:val="20"/>
    </w:rPr>
  </w:style>
  <w:style w:type="paragraph" w:customStyle="1" w:styleId="amprTable-ChartSOURCEandPhotoCAPTION">
    <w:name w:val="[ampr] Table-Chart SOURCE and Photo CAPTION"/>
    <w:next w:val="amprBodyText"/>
    <w:uiPriority w:val="2"/>
    <w:qFormat/>
    <w:rsid w:val="007F5F0A"/>
    <w:pPr>
      <w:spacing w:before="40" w:after="240" w:line="264" w:lineRule="auto"/>
      <w:contextualSpacing/>
    </w:pPr>
    <w:rPr>
      <w:rFonts w:ascii="EC Square Sans Pro" w:eastAsia="Calibri" w:hAnsi="EC Square Sans Pro" w:cstheme="minorBidi"/>
      <w:iCs/>
      <w:noProof/>
      <w:sz w:val="16"/>
      <w:szCs w:val="16"/>
    </w:rPr>
  </w:style>
  <w:style w:type="table" w:customStyle="1" w:styleId="AMPR2021">
    <w:name w:val="AMPR_2021"/>
    <w:basedOn w:val="TableNormal"/>
    <w:uiPriority w:val="99"/>
    <w:rsid w:val="007F5F0A"/>
    <w:pPr>
      <w:spacing w:before="100" w:after="100" w:line="264" w:lineRule="auto"/>
    </w:pPr>
    <w:rPr>
      <w:rFonts w:ascii="EC Square Sans Pro" w:eastAsiaTheme="minorHAnsi" w:hAnsi="EC Square Sans Pro" w:cstheme="minorBidi"/>
      <w:sz w:val="20"/>
      <w:lang w:eastAsia="en-US"/>
    </w:rPr>
    <w:tblPr>
      <w:tblStyleRowBandSize w:val="1"/>
      <w:tblStyleColBandSize w:val="1"/>
      <w:tblBorders>
        <w:top w:val="single" w:sz="4" w:space="0" w:color="8C8C8C"/>
        <w:bottom w:val="single" w:sz="4" w:space="0" w:color="8C8C8C"/>
        <w:insideH w:val="single" w:sz="4" w:space="0" w:color="8C8C8C"/>
      </w:tblBorders>
    </w:tblPr>
    <w:trPr>
      <w:cantSplit/>
    </w:trPr>
    <w:tblStylePr w:type="firstRow">
      <w:pPr>
        <w:wordWrap/>
        <w:jc w:val="center"/>
      </w:pPr>
      <w:rPr>
        <w:b/>
        <w:color w:val="FFFFFF" w:themeColor="background1"/>
      </w:rPr>
      <w:tblPr/>
      <w:tcPr>
        <w:tcBorders>
          <w:top w:val="nil"/>
          <w:left w:val="nil"/>
          <w:bottom w:val="nil"/>
          <w:right w:val="nil"/>
          <w:insideH w:val="nil"/>
          <w:insideV w:val="nil"/>
          <w:tl2br w:val="nil"/>
          <w:tr2bl w:val="nil"/>
        </w:tcBorders>
        <w:shd w:val="clear" w:color="auto" w:fill="215E94" w:themeFill="text2"/>
      </w:tcPr>
    </w:tblStylePr>
    <w:tblStylePr w:type="lastRow">
      <w:rPr>
        <w:b/>
        <w:color w:val="215E94" w:themeColor="text2"/>
      </w:rPr>
      <w:tblPr/>
      <w:tcPr>
        <w:tcBorders>
          <w:bottom w:val="nil"/>
        </w:tcBorders>
        <w:shd w:val="clear" w:color="auto" w:fill="FFFFFF" w:themeFill="background1"/>
      </w:tcPr>
    </w:tblStylePr>
    <w:tblStylePr w:type="firstCol">
      <w:pPr>
        <w:wordWrap/>
        <w:spacing w:beforeLines="0" w:before="100" w:beforeAutospacing="0" w:afterLines="0" w:after="100" w:afterAutospacing="0" w:line="22" w:lineRule="atLeast"/>
        <w:contextualSpacing w:val="0"/>
        <w:jc w:val="left"/>
      </w:pPr>
      <w:rPr>
        <w:b/>
        <w:i w:val="0"/>
        <w:color w:val="028F1A" w:themeColor="accent1"/>
      </w:rPr>
    </w:tblStylePr>
    <w:tblStylePr w:type="lastCol">
      <w:rPr>
        <w:b/>
      </w:rPr>
    </w:tblStylePr>
    <w:tblStylePr w:type="band2Vert">
      <w:rPr>
        <w:b w:val="0"/>
      </w:rPr>
      <w:tblPr/>
      <w:tcPr>
        <w:tcBorders>
          <w:top w:val="single" w:sz="4" w:space="0" w:color="8C8C8C"/>
          <w:left w:val="nil"/>
          <w:bottom w:val="single" w:sz="4" w:space="0" w:color="8C8C8C"/>
          <w:right w:val="nil"/>
          <w:insideH w:val="single" w:sz="4" w:space="0" w:color="8C8C8C"/>
          <w:insideV w:val="nil"/>
          <w:tl2br w:val="nil"/>
          <w:tr2bl w:val="nil"/>
        </w:tcBorders>
        <w:shd w:val="clear" w:color="auto" w:fill="F2F2F2" w:themeFill="background1" w:themeFillShade="F2"/>
      </w:tcPr>
    </w:tblStylePr>
    <w:tblStylePr w:type="band1Horz">
      <w:rPr>
        <w:b w:val="0"/>
      </w:rPr>
      <w:tblPr/>
      <w:tcPr>
        <w:tcBorders>
          <w:top w:val="single" w:sz="4" w:space="0" w:color="8C8C8C"/>
          <w:left w:val="nil"/>
          <w:bottom w:val="single" w:sz="4" w:space="0" w:color="8C8C8C"/>
          <w:right w:val="nil"/>
          <w:insideH w:val="nil"/>
          <w:insideV w:val="nil"/>
          <w:tl2br w:val="nil"/>
          <w:tr2bl w:val="nil"/>
        </w:tcBorders>
      </w:tcPr>
    </w:tblStylePr>
    <w:tblStylePr w:type="band2Horz">
      <w:rPr>
        <w:b w:val="0"/>
      </w:rPr>
      <w:tblPr/>
      <w:tcPr>
        <w:tcBorders>
          <w:top w:val="single" w:sz="4" w:space="0" w:color="8C8C8C"/>
          <w:left w:val="nil"/>
          <w:bottom w:val="single" w:sz="4" w:space="0" w:color="8C8C8C"/>
          <w:right w:val="nil"/>
          <w:insideH w:val="nil"/>
          <w:insideV w:val="nil"/>
          <w:tl2br w:val="nil"/>
          <w:tr2bl w:val="nil"/>
        </w:tcBorders>
        <w:shd w:val="clear" w:color="auto" w:fill="F2F2F2" w:themeFill="background1" w:themeFillShade="F2"/>
      </w:tcPr>
    </w:tblStylePr>
  </w:style>
  <w:style w:type="paragraph" w:customStyle="1" w:styleId="amprboxBLUEtext">
    <w:name w:val="[ampr box BLUE] text"/>
    <w:basedOn w:val="Normal"/>
    <w:uiPriority w:val="5"/>
    <w:qFormat/>
    <w:rsid w:val="007F5F0A"/>
    <w:pPr>
      <w:pBdr>
        <w:top w:val="single" w:sz="12" w:space="8" w:color="215E94" w:themeColor="text2"/>
        <w:left w:val="single" w:sz="12" w:space="8" w:color="215E94" w:themeColor="text2"/>
        <w:bottom w:val="single" w:sz="12" w:space="8" w:color="215E94" w:themeColor="text2"/>
        <w:right w:val="single" w:sz="12" w:space="8" w:color="215E94" w:themeColor="text2"/>
      </w:pBdr>
      <w:shd w:val="clear" w:color="auto" w:fill="215E94" w:themeFill="text2"/>
      <w:spacing w:before="240" w:line="264" w:lineRule="auto"/>
    </w:pPr>
    <w:rPr>
      <w:rFonts w:eastAsia="EC Square Sans Pro"/>
      <w:color w:val="FFFFFF" w:themeColor="background1"/>
      <w:sz w:val="20"/>
      <w:szCs w:val="21"/>
    </w:rPr>
  </w:style>
  <w:style w:type="paragraph" w:customStyle="1" w:styleId="amprboxGREENdashedbulletlist">
    <w:name w:val="[ampr box GREEN dashed] bullet list"/>
    <w:basedOn w:val="amprboxGREENdashedtext"/>
    <w:uiPriority w:val="5"/>
    <w:qFormat/>
    <w:rsid w:val="007F5F0A"/>
    <w:pPr>
      <w:numPr>
        <w:numId w:val="26"/>
      </w:numPr>
      <w:spacing w:before="60" w:after="60"/>
      <w:ind w:left="357" w:hanging="357"/>
    </w:pPr>
  </w:style>
  <w:style w:type="paragraph" w:customStyle="1" w:styleId="amprboxGREENdashedheading">
    <w:name w:val="[ampr box GREEN dashed] heading"/>
    <w:basedOn w:val="amprboxGREENdashedtext"/>
    <w:next w:val="Normal"/>
    <w:uiPriority w:val="5"/>
    <w:qFormat/>
    <w:rsid w:val="007F5F0A"/>
    <w:pPr>
      <w:keepNext/>
    </w:pPr>
    <w:rPr>
      <w:b/>
      <w:color w:val="028F1A" w:themeColor="accent1"/>
    </w:rPr>
  </w:style>
  <w:style w:type="paragraph" w:customStyle="1" w:styleId="amprboxGREENdashedtext">
    <w:name w:val="[ampr box GREEN dashed] text"/>
    <w:basedOn w:val="Normal"/>
    <w:uiPriority w:val="5"/>
    <w:qFormat/>
    <w:rsid w:val="007F5F0A"/>
    <w:pPr>
      <w:keepLines/>
      <w:pBdr>
        <w:top w:val="dashSmallGap" w:sz="12" w:space="8" w:color="028F1A" w:themeColor="accent1"/>
        <w:left w:val="dashSmallGap" w:sz="12" w:space="8" w:color="028F1A" w:themeColor="accent1"/>
        <w:bottom w:val="dashSmallGap" w:sz="12" w:space="8" w:color="028F1A" w:themeColor="accent1"/>
        <w:right w:val="dashSmallGap" w:sz="12" w:space="8" w:color="028F1A" w:themeColor="accent1"/>
      </w:pBdr>
      <w:spacing w:before="240" w:line="264" w:lineRule="auto"/>
    </w:pPr>
    <w:rPr>
      <w:rFonts w:eastAsia="EC Square Sans Pro"/>
      <w:color w:val="000000" w:themeColor="text1"/>
      <w:sz w:val="20"/>
      <w:szCs w:val="21"/>
    </w:rPr>
  </w:style>
  <w:style w:type="character" w:customStyle="1" w:styleId="amprcharBoldBlue">
    <w:name w:val="[ampr char] Bold Blue"/>
    <w:qFormat/>
    <w:rsid w:val="007F5F0A"/>
    <w:rPr>
      <w:b/>
      <w:color w:val="215E94" w:themeColor="text2"/>
      <w:spacing w:val="1"/>
      <w:bdr w:val="none" w:sz="0" w:space="0" w:color="auto"/>
      <w:shd w:val="clear" w:color="auto" w:fill="auto"/>
      <w:lang w:val="en-GB"/>
    </w:rPr>
  </w:style>
  <w:style w:type="numbering" w:customStyle="1" w:styleId="amprLISTblackbullets">
    <w:name w:val="[ampr LIST black]  bullets"/>
    <w:uiPriority w:val="99"/>
    <w:rsid w:val="007F5F0A"/>
    <w:pPr>
      <w:numPr>
        <w:numId w:val="23"/>
      </w:numPr>
    </w:pPr>
  </w:style>
  <w:style w:type="paragraph" w:customStyle="1" w:styleId="amprLISTblackbullets-L1">
    <w:name w:val="[ampr LIST black] bullets - L1"/>
    <w:basedOn w:val="Normal"/>
    <w:uiPriority w:val="5"/>
    <w:qFormat/>
    <w:rsid w:val="007F5F0A"/>
    <w:pPr>
      <w:numPr>
        <w:numId w:val="24"/>
      </w:numPr>
      <w:spacing w:before="60" w:after="60" w:line="264" w:lineRule="auto"/>
    </w:pPr>
    <w:rPr>
      <w:rFonts w:eastAsia="EC Square Sans Pro"/>
      <w:color w:val="000000" w:themeColor="text1"/>
      <w:sz w:val="20"/>
      <w:szCs w:val="21"/>
    </w:rPr>
  </w:style>
  <w:style w:type="paragraph" w:customStyle="1" w:styleId="amprLISTblackbullets-L2">
    <w:name w:val="[ampr LIST black] bullets - L2"/>
    <w:basedOn w:val="Normal"/>
    <w:uiPriority w:val="5"/>
    <w:qFormat/>
    <w:rsid w:val="007F5F0A"/>
    <w:pPr>
      <w:numPr>
        <w:ilvl w:val="1"/>
        <w:numId w:val="24"/>
      </w:numPr>
      <w:spacing w:before="60" w:after="60" w:line="264" w:lineRule="auto"/>
      <w:ind w:left="1434" w:hanging="357"/>
    </w:pPr>
    <w:rPr>
      <w:rFonts w:eastAsia="EC Square Sans Pro"/>
      <w:color w:val="000000" w:themeColor="text1"/>
      <w:sz w:val="20"/>
      <w:szCs w:val="21"/>
    </w:rPr>
  </w:style>
  <w:style w:type="numbering" w:customStyle="1" w:styleId="amprLISTgreenbullets">
    <w:name w:val="[ampr LIST green] bullets"/>
    <w:uiPriority w:val="99"/>
    <w:rsid w:val="007F5F0A"/>
    <w:pPr>
      <w:numPr>
        <w:numId w:val="25"/>
      </w:numPr>
    </w:pPr>
  </w:style>
  <w:style w:type="paragraph" w:customStyle="1" w:styleId="amprLISTgreenbullets-L1">
    <w:name w:val="[ampr LIST green] bullets - L1"/>
    <w:basedOn w:val="Normal"/>
    <w:uiPriority w:val="5"/>
    <w:qFormat/>
    <w:rsid w:val="007F5F0A"/>
    <w:pPr>
      <w:numPr>
        <w:numId w:val="27"/>
      </w:numPr>
      <w:spacing w:before="60" w:after="60" w:line="264" w:lineRule="auto"/>
    </w:pPr>
    <w:rPr>
      <w:rFonts w:eastAsia="EC Square Sans Pro"/>
      <w:color w:val="000000" w:themeColor="text1"/>
      <w:sz w:val="20"/>
      <w:szCs w:val="21"/>
    </w:rPr>
  </w:style>
  <w:style w:type="paragraph" w:customStyle="1" w:styleId="amprLISTgreenbullets-L1consecutiveparagraph">
    <w:name w:val="[ampr LIST green] bullets - L1 (consecutive paragraph)"/>
    <w:basedOn w:val="amprLISTgreenbullets-L1"/>
    <w:uiPriority w:val="5"/>
    <w:qFormat/>
    <w:rsid w:val="007F5F0A"/>
    <w:pPr>
      <w:numPr>
        <w:numId w:val="0"/>
      </w:numPr>
      <w:ind w:left="720"/>
    </w:pPr>
  </w:style>
  <w:style w:type="paragraph" w:customStyle="1" w:styleId="amprLISTgreenbullets-L2">
    <w:name w:val="[ampr LIST green] bullets - L2"/>
    <w:basedOn w:val="Normal"/>
    <w:uiPriority w:val="5"/>
    <w:qFormat/>
    <w:rsid w:val="007F5F0A"/>
    <w:pPr>
      <w:numPr>
        <w:ilvl w:val="1"/>
        <w:numId w:val="27"/>
      </w:numPr>
      <w:spacing w:before="60" w:after="60" w:line="264" w:lineRule="auto"/>
      <w:ind w:left="1434" w:hanging="357"/>
    </w:pPr>
    <w:rPr>
      <w:rFonts w:eastAsia="EC Square Sans Pro"/>
      <w:color w:val="000000" w:themeColor="text1"/>
      <w:sz w:val="20"/>
      <w:szCs w:val="21"/>
    </w:rPr>
  </w:style>
  <w:style w:type="paragraph" w:customStyle="1" w:styleId="amprBodyText">
    <w:name w:val="[ampr] Body Text"/>
    <w:basedOn w:val="Normal"/>
    <w:uiPriority w:val="1"/>
    <w:qFormat/>
    <w:rsid w:val="007F5F0A"/>
    <w:pPr>
      <w:spacing w:before="240" w:line="264" w:lineRule="auto"/>
      <w:jc w:val="left"/>
    </w:pPr>
    <w:rPr>
      <w:rFonts w:eastAsia="EC Square Sans Pro"/>
      <w:sz w:val="20"/>
      <w:szCs w:val="21"/>
      <w:lang w:eastAsia="zh-CN"/>
    </w:rPr>
  </w:style>
  <w:style w:type="paragraph" w:customStyle="1" w:styleId="amprTable-ChartTITLE">
    <w:name w:val="[ampr] Table-Chart TITLE"/>
    <w:basedOn w:val="Normal"/>
    <w:next w:val="amprTable-ChartSOURCEandPhotoCAPTION"/>
    <w:uiPriority w:val="2"/>
    <w:qFormat/>
    <w:rsid w:val="007F5F0A"/>
    <w:pPr>
      <w:spacing w:before="40" w:after="0"/>
      <w:jc w:val="left"/>
    </w:pPr>
    <w:rPr>
      <w:rFonts w:ascii="EC Square Sans Cond Pro Medium" w:eastAsia="Calibri" w:hAnsi="EC Square Sans Cond Pro Medium"/>
      <w:sz w:val="16"/>
      <w:szCs w:val="16"/>
    </w:rPr>
  </w:style>
  <w:style w:type="paragraph" w:customStyle="1" w:styleId="amprImageplaceholder">
    <w:name w:val="[ampr] Image placeholder"/>
    <w:next w:val="amprBodyText"/>
    <w:uiPriority w:val="2"/>
    <w:qFormat/>
    <w:rsid w:val="007F5F0A"/>
    <w:pPr>
      <w:spacing w:before="240" w:after="40"/>
      <w:jc w:val="center"/>
    </w:pPr>
    <w:rPr>
      <w:rFonts w:ascii="EC Square Sans Pro" w:eastAsia="EC Square Sans Pro" w:hAnsi="EC Square Sans Pro"/>
      <w:sz w:val="20"/>
      <w:szCs w:val="21"/>
      <w:lang w:eastAsia="zh-CN"/>
    </w:rPr>
  </w:style>
  <w:style w:type="paragraph" w:customStyle="1" w:styleId="amprH4Subhead1">
    <w:name w:val="[ampr H4] Subhead 1"/>
    <w:basedOn w:val="Normal"/>
    <w:next w:val="amprBodyText"/>
    <w:uiPriority w:val="9"/>
    <w:qFormat/>
    <w:rsid w:val="007F5F0A"/>
    <w:pPr>
      <w:keepNext/>
      <w:keepLines/>
      <w:suppressAutoHyphens/>
      <w:spacing w:before="480" w:line="264" w:lineRule="auto"/>
      <w:jc w:val="left"/>
      <w:outlineLvl w:val="3"/>
    </w:pPr>
    <w:rPr>
      <w:rFonts w:eastAsia="EC Square Sans Pro"/>
      <w:color w:val="215E94" w:themeColor="text2"/>
      <w:sz w:val="28"/>
      <w:szCs w:val="21"/>
      <w:lang w:eastAsia="zh-CN"/>
    </w:rPr>
  </w:style>
  <w:style w:type="paragraph" w:customStyle="1" w:styleId="amprH5Subhead2">
    <w:name w:val="[ampr H5] Subhead 2"/>
    <w:basedOn w:val="Normal"/>
    <w:next w:val="amprBodyText"/>
    <w:uiPriority w:val="9"/>
    <w:qFormat/>
    <w:rsid w:val="007F5F0A"/>
    <w:pPr>
      <w:keepNext/>
      <w:keepLines/>
      <w:suppressAutoHyphens/>
      <w:spacing w:before="480" w:line="264" w:lineRule="auto"/>
      <w:jc w:val="left"/>
      <w:outlineLvl w:val="4"/>
    </w:pPr>
    <w:rPr>
      <w:rFonts w:eastAsia="EC Square Sans Pro"/>
      <w:b/>
      <w:color w:val="215E94" w:themeColor="text2"/>
      <w:szCs w:val="21"/>
      <w:lang w:eastAsia="zh-CN"/>
    </w:rPr>
  </w:style>
  <w:style w:type="paragraph" w:customStyle="1" w:styleId="amprH6Subhead3">
    <w:name w:val="[ampr H6] Subhead 3"/>
    <w:basedOn w:val="Normal"/>
    <w:next w:val="amprBodyText"/>
    <w:uiPriority w:val="9"/>
    <w:qFormat/>
    <w:rsid w:val="007F5F0A"/>
    <w:pPr>
      <w:keepNext/>
      <w:keepLines/>
      <w:suppressAutoHyphens/>
      <w:spacing w:before="240" w:line="264" w:lineRule="auto"/>
      <w:ind w:left="340"/>
      <w:jc w:val="left"/>
      <w:outlineLvl w:val="5"/>
    </w:pPr>
    <w:rPr>
      <w:rFonts w:eastAsia="EC Square Sans Pro"/>
      <w:b/>
      <w:color w:val="028F1A" w:themeColor="accent1"/>
      <w:szCs w:val="21"/>
      <w:lang w:eastAsia="zh-CN"/>
      <w14:textOutline w14:w="9525" w14:cap="rnd" w14:cmpd="sng" w14:algn="ctr">
        <w14:noFill/>
        <w14:prstDash w14:val="solid"/>
        <w14:bevel/>
      </w14:textOutline>
    </w:rPr>
  </w:style>
  <w:style w:type="paragraph" w:customStyle="1" w:styleId="amprH4Subhead1-Numbered-111">
    <w:name w:val="[ampr H4] Subhead 1 - Numbered - 1.1.1."/>
    <w:basedOn w:val="amprH4Subhead1"/>
    <w:next w:val="amprBodyText"/>
    <w:uiPriority w:val="9"/>
    <w:qFormat/>
    <w:rsid w:val="007F5F0A"/>
    <w:pPr>
      <w:numPr>
        <w:ilvl w:val="2"/>
        <w:numId w:val="29"/>
      </w:numPr>
    </w:pPr>
  </w:style>
  <w:style w:type="paragraph" w:customStyle="1" w:styleId="amprH2TITLE1-Numbered-1">
    <w:name w:val="[ampr H2] TITLE 1 - Numbered - 1."/>
    <w:basedOn w:val="Normal"/>
    <w:next w:val="amprBodyText"/>
    <w:uiPriority w:val="9"/>
    <w:qFormat/>
    <w:rsid w:val="007F5F0A"/>
    <w:pPr>
      <w:keepNext/>
      <w:keepLines/>
      <w:pageBreakBefore/>
      <w:numPr>
        <w:numId w:val="29"/>
      </w:numPr>
      <w:suppressAutoHyphens/>
      <w:spacing w:after="720" w:line="264" w:lineRule="auto"/>
      <w:jc w:val="left"/>
      <w:outlineLvl w:val="1"/>
    </w:pPr>
    <w:rPr>
      <w:rFonts w:eastAsia="EC Square Sans Pro"/>
      <w:color w:val="215E94" w:themeColor="text2"/>
      <w:sz w:val="48"/>
      <w:szCs w:val="21"/>
      <w:lang w:eastAsia="zh-CN"/>
    </w:rPr>
  </w:style>
  <w:style w:type="paragraph" w:customStyle="1" w:styleId="amprH3Title2-Numbered-11">
    <w:name w:val="[ampr H3] Title 2 - Numbered - 1.1."/>
    <w:basedOn w:val="Normal"/>
    <w:next w:val="amprBodyText"/>
    <w:uiPriority w:val="9"/>
    <w:qFormat/>
    <w:rsid w:val="007F5F0A"/>
    <w:pPr>
      <w:keepNext/>
      <w:keepLines/>
      <w:numPr>
        <w:ilvl w:val="1"/>
        <w:numId w:val="29"/>
      </w:numPr>
      <w:pBdr>
        <w:bottom w:val="single" w:sz="6" w:space="1" w:color="92D050"/>
      </w:pBdr>
      <w:suppressAutoHyphens/>
      <w:spacing w:before="480" w:line="264" w:lineRule="auto"/>
      <w:jc w:val="left"/>
      <w:outlineLvl w:val="2"/>
    </w:pPr>
    <w:rPr>
      <w:rFonts w:eastAsia="EC Square Sans Pro"/>
      <w:b/>
      <w:color w:val="215E94" w:themeColor="text2"/>
      <w:sz w:val="28"/>
      <w:szCs w:val="21"/>
      <w:lang w:eastAsia="zh-CN"/>
    </w:rPr>
  </w:style>
  <w:style w:type="paragraph" w:customStyle="1" w:styleId="amprH5Subhead2-Numbered-1111">
    <w:name w:val="[ampr H5] Subhead 2 - Numbered - 1.1.1.1."/>
    <w:basedOn w:val="amprH5Subhead2"/>
    <w:next w:val="amprBodyText"/>
    <w:uiPriority w:val="9"/>
    <w:qFormat/>
    <w:rsid w:val="007F5F0A"/>
    <w:pPr>
      <w:numPr>
        <w:ilvl w:val="3"/>
        <w:numId w:val="29"/>
      </w:numPr>
    </w:pPr>
  </w:style>
  <w:style w:type="table" w:customStyle="1" w:styleId="amprbox1">
    <w:name w:val="[ampr] box 1"/>
    <w:basedOn w:val="TableNormal"/>
    <w:uiPriority w:val="99"/>
    <w:rsid w:val="007F5F0A"/>
    <w:pPr>
      <w:keepLines/>
      <w:spacing w:before="240" w:after="240" w:line="264" w:lineRule="auto"/>
    </w:pPr>
    <w:rPr>
      <w:rFonts w:ascii="EC Square Sans Pro" w:eastAsiaTheme="minorHAnsi" w:hAnsi="EC Square Sans Pro" w:cstheme="minorBidi"/>
      <w:sz w:val="20"/>
      <w:lang w:val="fr-BE" w:eastAsia="en-US"/>
    </w:rPr>
    <w:tblPr>
      <w:jc w:val="center"/>
      <w:tbl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blBorders>
      <w:tblCellMar>
        <w:left w:w="198" w:type="dxa"/>
        <w:right w:w="198" w:type="dxa"/>
      </w:tblCellMar>
    </w:tblPr>
    <w:trPr>
      <w:jc w:val="center"/>
    </w:trPr>
    <w:tcPr>
      <w:shd w:val="clear" w:color="auto" w:fill="F2F2F2" w:themeFill="background1" w:themeFillShade="F2"/>
    </w:tcPr>
  </w:style>
  <w:style w:type="paragraph" w:customStyle="1" w:styleId="amprboxGREYtext">
    <w:name w:val="[ampr box GREY] text"/>
    <w:basedOn w:val="Normal"/>
    <w:uiPriority w:val="5"/>
    <w:qFormat/>
    <w:rsid w:val="007F5F0A"/>
    <w:pPr>
      <w:pBdr>
        <w:top w:val="single" w:sz="12" w:space="8" w:color="F2F2F2" w:themeColor="background1" w:themeShade="F2"/>
        <w:left w:val="single" w:sz="12" w:space="8" w:color="F2F2F2" w:themeColor="background1" w:themeShade="F2"/>
        <w:bottom w:val="single" w:sz="12" w:space="8" w:color="F2F2F2" w:themeColor="background1" w:themeShade="F2"/>
        <w:right w:val="single" w:sz="12" w:space="8" w:color="F2F2F2" w:themeColor="background1" w:themeShade="F2"/>
      </w:pBdr>
      <w:shd w:val="clear" w:color="auto" w:fill="F2F2F2" w:themeFill="background1" w:themeFillShade="F2"/>
      <w:spacing w:before="240" w:line="264" w:lineRule="auto"/>
    </w:pPr>
    <w:rPr>
      <w:rFonts w:eastAsia="EC Square Sans Pro"/>
      <w:sz w:val="20"/>
      <w:szCs w:val="21"/>
    </w:rPr>
  </w:style>
  <w:style w:type="paragraph" w:customStyle="1" w:styleId="amprLISTblackbullets-L1consecutiveparagraph">
    <w:name w:val="[ampr LIST black] bullets - L1 (consecutive paragraph)"/>
    <w:basedOn w:val="amprLISTblackbullets-L1"/>
    <w:uiPriority w:val="5"/>
    <w:qFormat/>
    <w:rsid w:val="007F5F0A"/>
    <w:pPr>
      <w:numPr>
        <w:numId w:val="0"/>
      </w:numPr>
      <w:ind w:left="720"/>
    </w:pPr>
  </w:style>
  <w:style w:type="paragraph" w:customStyle="1" w:styleId="amprLISTblackbullets-L2consecutiveparagraph">
    <w:name w:val="[ampr LIST black] bullets - L2 (consecutive paragraph)"/>
    <w:basedOn w:val="amprLISTblackbullets-L2"/>
    <w:uiPriority w:val="5"/>
    <w:qFormat/>
    <w:rsid w:val="007F5F0A"/>
    <w:pPr>
      <w:numPr>
        <w:ilvl w:val="0"/>
        <w:numId w:val="0"/>
      </w:numPr>
      <w:ind w:left="1435"/>
    </w:pPr>
  </w:style>
  <w:style w:type="paragraph" w:customStyle="1" w:styleId="amprLISTgreenbullets-L2consecutiveparagraph">
    <w:name w:val="[ampr LIST green] bullets - L2 (consecutive paragraph)"/>
    <w:basedOn w:val="amprLISTgreenbullets-L2"/>
    <w:uiPriority w:val="5"/>
    <w:qFormat/>
    <w:rsid w:val="007F5F0A"/>
    <w:pPr>
      <w:numPr>
        <w:ilvl w:val="0"/>
        <w:numId w:val="0"/>
      </w:numPr>
      <w:ind w:left="1435"/>
    </w:pPr>
  </w:style>
  <w:style w:type="numbering" w:customStyle="1" w:styleId="amprHLISTNumberedheadings">
    <w:name w:val="[ampr H LIST] Numbered headings"/>
    <w:uiPriority w:val="99"/>
    <w:rsid w:val="007F5F0A"/>
    <w:pPr>
      <w:numPr>
        <w:numId w:val="28"/>
      </w:numPr>
    </w:pPr>
  </w:style>
  <w:style w:type="table" w:customStyle="1" w:styleId="amprbox2">
    <w:name w:val="[ampr] box 2"/>
    <w:basedOn w:val="TableNormal"/>
    <w:uiPriority w:val="99"/>
    <w:rsid w:val="007F5F0A"/>
    <w:pPr>
      <w:keepLines/>
      <w:spacing w:before="240" w:after="240" w:line="264" w:lineRule="auto"/>
    </w:pPr>
    <w:rPr>
      <w:rFonts w:ascii="EC Square Sans Pro" w:eastAsiaTheme="minorHAnsi" w:hAnsi="EC Square Sans Pro" w:cstheme="minorBidi"/>
      <w:color w:val="FFFFFF" w:themeColor="background1"/>
      <w:sz w:val="20"/>
      <w:lang w:val="fr-BE" w:eastAsia="en-US"/>
    </w:rPr>
    <w:tblPr>
      <w:jc w:val="center"/>
      <w:tblBorders>
        <w:top w:val="single" w:sz="12" w:space="0" w:color="215E94" w:themeColor="text2"/>
        <w:left w:val="single" w:sz="12" w:space="0" w:color="215E94" w:themeColor="text2"/>
        <w:bottom w:val="single" w:sz="12" w:space="0" w:color="215E94" w:themeColor="text2"/>
        <w:right w:val="single" w:sz="12" w:space="0" w:color="215E94" w:themeColor="text2"/>
        <w:insideH w:val="single" w:sz="12" w:space="0" w:color="215E94" w:themeColor="text2"/>
        <w:insideV w:val="single" w:sz="12" w:space="0" w:color="215E94" w:themeColor="text2"/>
      </w:tblBorders>
      <w:tblCellMar>
        <w:left w:w="198" w:type="dxa"/>
        <w:right w:w="198" w:type="dxa"/>
      </w:tblCellMar>
    </w:tblPr>
    <w:trPr>
      <w:jc w:val="center"/>
    </w:trPr>
    <w:tcPr>
      <w:shd w:val="clear" w:color="auto" w:fill="215E94" w:themeFill="text2"/>
    </w:tcPr>
  </w:style>
  <w:style w:type="table" w:customStyle="1" w:styleId="amprbox3">
    <w:name w:val="[ampr] box 3"/>
    <w:basedOn w:val="TableNormal"/>
    <w:uiPriority w:val="99"/>
    <w:rsid w:val="007F5F0A"/>
    <w:pPr>
      <w:keepLines/>
      <w:spacing w:before="240" w:after="240" w:line="264" w:lineRule="auto"/>
    </w:pPr>
    <w:rPr>
      <w:rFonts w:ascii="EC Square Sans Pro" w:eastAsiaTheme="minorHAnsi" w:hAnsi="EC Square Sans Pro" w:cstheme="minorBidi"/>
      <w:sz w:val="20"/>
      <w:lang w:val="fr-BE" w:eastAsia="en-US"/>
    </w:rPr>
    <w:tblPr>
      <w:jc w:val="center"/>
      <w:tblBorders>
        <w:top w:val="dashSmallGap" w:sz="12" w:space="0" w:color="028F1A" w:themeColor="accent1"/>
        <w:left w:val="dashSmallGap" w:sz="12" w:space="0" w:color="028F1A" w:themeColor="accent1"/>
        <w:bottom w:val="dashSmallGap" w:sz="12" w:space="0" w:color="028F1A" w:themeColor="accent1"/>
        <w:right w:val="dashSmallGap" w:sz="12" w:space="0" w:color="028F1A" w:themeColor="accent1"/>
      </w:tblBorders>
      <w:tblCellMar>
        <w:left w:w="198" w:type="dxa"/>
        <w:right w:w="198" w:type="dxa"/>
      </w:tblCellMar>
    </w:tblPr>
    <w:trPr>
      <w:jc w:val="center"/>
    </w:trPr>
    <w:tcPr>
      <w:shd w:val="clear" w:color="auto" w:fill="auto"/>
    </w:tcPr>
  </w:style>
  <w:style w:type="paragraph" w:customStyle="1" w:styleId="amprboxBLUEdashedtext">
    <w:name w:val="[ampr box BLUE dashed] text"/>
    <w:basedOn w:val="Normal"/>
    <w:uiPriority w:val="5"/>
    <w:qFormat/>
    <w:rsid w:val="007F5F0A"/>
    <w:pPr>
      <w:keepLines/>
      <w:pBdr>
        <w:top w:val="dashSmallGap" w:sz="12" w:space="8" w:color="215E94" w:themeColor="text2"/>
        <w:left w:val="dashSmallGap" w:sz="12" w:space="8" w:color="215E94" w:themeColor="text2"/>
        <w:bottom w:val="dashSmallGap" w:sz="12" w:space="8" w:color="215E94" w:themeColor="text2"/>
        <w:right w:val="dashSmallGap" w:sz="12" w:space="8" w:color="215E94" w:themeColor="text2"/>
      </w:pBdr>
      <w:spacing w:before="240" w:line="264" w:lineRule="auto"/>
    </w:pPr>
    <w:rPr>
      <w:rFonts w:eastAsia="EC Square Sans Pro"/>
      <w:color w:val="000000" w:themeColor="text1"/>
      <w:sz w:val="20"/>
      <w:szCs w:val="21"/>
    </w:rPr>
  </w:style>
  <w:style w:type="paragraph" w:customStyle="1" w:styleId="amprboxBLUEdashedheading">
    <w:name w:val="[ampr box BLUE dashed] heading"/>
    <w:basedOn w:val="amprboxBLUEdashedtext"/>
    <w:next w:val="amprboxBLUEdashedtext"/>
    <w:uiPriority w:val="5"/>
    <w:qFormat/>
    <w:rsid w:val="007F5F0A"/>
    <w:pPr>
      <w:keepNext/>
    </w:pPr>
    <w:rPr>
      <w:b/>
      <w:color w:val="215E94" w:themeColor="text2"/>
    </w:rPr>
  </w:style>
  <w:style w:type="paragraph" w:customStyle="1" w:styleId="amprboxBLUEdashedbulletlist">
    <w:name w:val="[ampr box BLUE dashed] bullet list"/>
    <w:basedOn w:val="amprboxBLUEdashedtext"/>
    <w:next w:val="amprboxBLUEdashedtext"/>
    <w:uiPriority w:val="5"/>
    <w:qFormat/>
    <w:rsid w:val="007F5F0A"/>
    <w:pPr>
      <w:numPr>
        <w:numId w:val="30"/>
      </w:numPr>
      <w:spacing w:before="60" w:after="60"/>
      <w:ind w:left="357" w:hanging="357"/>
    </w:pPr>
  </w:style>
  <w:style w:type="paragraph" w:customStyle="1" w:styleId="amprLISTOrdered-L1">
    <w:name w:val="[ampr LIST Ordered] - L1"/>
    <w:basedOn w:val="Normal"/>
    <w:uiPriority w:val="5"/>
    <w:qFormat/>
    <w:rsid w:val="007F5F0A"/>
    <w:pPr>
      <w:numPr>
        <w:numId w:val="31"/>
      </w:numPr>
      <w:spacing w:before="80" w:after="80" w:line="264" w:lineRule="auto"/>
    </w:pPr>
    <w:rPr>
      <w:rFonts w:ascii="Proxima Nova" w:eastAsia="EC Square Sans Pro" w:hAnsi="Proxima Nova"/>
      <w:color w:val="000000" w:themeColor="text1"/>
      <w:sz w:val="18"/>
      <w:szCs w:val="22"/>
      <w:lang w:eastAsia="zh-CN"/>
    </w:rPr>
  </w:style>
  <w:style w:type="paragraph" w:customStyle="1" w:styleId="amprLISTOrdered-L2">
    <w:name w:val="[ampr LIST Ordered] - L2"/>
    <w:basedOn w:val="amprLISTOrdered-L1"/>
    <w:uiPriority w:val="5"/>
    <w:qFormat/>
    <w:rsid w:val="007F5F0A"/>
    <w:pPr>
      <w:numPr>
        <w:ilvl w:val="1"/>
      </w:numPr>
    </w:pPr>
  </w:style>
  <w:style w:type="paragraph" w:customStyle="1" w:styleId="amprLISTOrdered-L3">
    <w:name w:val="[ampr LIST Ordered] - L3"/>
    <w:basedOn w:val="amprLISTOrdered-L2"/>
    <w:uiPriority w:val="5"/>
    <w:qFormat/>
    <w:rsid w:val="007F5F0A"/>
    <w:pPr>
      <w:numPr>
        <w:ilvl w:val="2"/>
      </w:numPr>
    </w:pPr>
  </w:style>
  <w:style w:type="paragraph" w:customStyle="1" w:styleId="amprLISTOrdered-L1consecutiveparagraph">
    <w:name w:val="[ampr LIST Ordered] - L1 (consecutive paragraph)"/>
    <w:basedOn w:val="amprLISTOrdered-L1"/>
    <w:uiPriority w:val="5"/>
    <w:qFormat/>
    <w:rsid w:val="007F5F0A"/>
    <w:pPr>
      <w:numPr>
        <w:numId w:val="0"/>
      </w:numPr>
      <w:ind w:left="714"/>
    </w:pPr>
  </w:style>
  <w:style w:type="paragraph" w:customStyle="1" w:styleId="amprLISTOrdered-L2consecutiveparagraph">
    <w:name w:val="[ampr LIST Ordered] - L2 (consecutive paragraph)"/>
    <w:basedOn w:val="amprLISTOrdered-L2"/>
    <w:uiPriority w:val="5"/>
    <w:qFormat/>
    <w:rsid w:val="007F5F0A"/>
    <w:pPr>
      <w:numPr>
        <w:ilvl w:val="0"/>
        <w:numId w:val="0"/>
      </w:numPr>
      <w:ind w:left="1185"/>
    </w:pPr>
  </w:style>
  <w:style w:type="paragraph" w:customStyle="1" w:styleId="amprLISTOrdered-L3consecutiveparagraph">
    <w:name w:val="[ampr LIST Ordered] - L3 (consecutive paragraph)"/>
    <w:basedOn w:val="amprLISTOrdered-L3"/>
    <w:uiPriority w:val="5"/>
    <w:qFormat/>
    <w:rsid w:val="007F5F0A"/>
    <w:pPr>
      <w:numPr>
        <w:ilvl w:val="0"/>
        <w:numId w:val="0"/>
      </w:numPr>
      <w:ind w:left="1769"/>
    </w:pPr>
  </w:style>
  <w:style w:type="numbering" w:customStyle="1" w:styleId="amprLIST-Ordered">
    <w:name w:val="[ampr LIST]-Ordered"/>
    <w:uiPriority w:val="99"/>
    <w:rsid w:val="007F5F0A"/>
    <w:pPr>
      <w:numPr>
        <w:numId w:val="31"/>
      </w:numPr>
    </w:pPr>
  </w:style>
  <w:style w:type="paragraph" w:customStyle="1" w:styleId="amprLISTOrdered-L4">
    <w:name w:val="[ampr LIST Ordered] - L4"/>
    <w:basedOn w:val="amprLISTOrdered-L3"/>
    <w:uiPriority w:val="5"/>
    <w:qFormat/>
    <w:rsid w:val="007F5F0A"/>
    <w:pPr>
      <w:numPr>
        <w:ilvl w:val="3"/>
      </w:numPr>
    </w:pPr>
  </w:style>
  <w:style w:type="paragraph" w:customStyle="1" w:styleId="amprLISTOrdered-L4consecutiveparagraph">
    <w:name w:val="[ampr LIST Ordered] - L4 (consecutive paragraph)"/>
    <w:basedOn w:val="amprLISTOrdered-L4"/>
    <w:uiPriority w:val="5"/>
    <w:qFormat/>
    <w:rsid w:val="007F5F0A"/>
    <w:pPr>
      <w:numPr>
        <w:ilvl w:val="0"/>
        <w:numId w:val="0"/>
      </w:numPr>
      <w:ind w:left="2466"/>
    </w:pPr>
  </w:style>
  <w:style w:type="paragraph" w:customStyle="1" w:styleId="amprLISTMixed-L1">
    <w:name w:val="[ampr LIST Mixed] - L1"/>
    <w:basedOn w:val="Normal"/>
    <w:uiPriority w:val="5"/>
    <w:qFormat/>
    <w:rsid w:val="007F5F0A"/>
    <w:pPr>
      <w:numPr>
        <w:numId w:val="33"/>
      </w:numPr>
      <w:spacing w:before="80" w:after="80" w:line="264" w:lineRule="auto"/>
    </w:pPr>
    <w:rPr>
      <w:rFonts w:eastAsia="EC Square Sans Pro"/>
      <w:color w:val="000000" w:themeColor="text1"/>
      <w:sz w:val="18"/>
      <w:szCs w:val="22"/>
      <w:lang w:eastAsia="zh-CN"/>
    </w:rPr>
  </w:style>
  <w:style w:type="paragraph" w:customStyle="1" w:styleId="amprLISTMixed-L2">
    <w:name w:val="[ampr LIST Mixed] - L2"/>
    <w:basedOn w:val="amprLISTMixed-L1"/>
    <w:uiPriority w:val="5"/>
    <w:qFormat/>
    <w:rsid w:val="007F5F0A"/>
    <w:pPr>
      <w:numPr>
        <w:ilvl w:val="1"/>
      </w:numPr>
    </w:pPr>
  </w:style>
  <w:style w:type="paragraph" w:customStyle="1" w:styleId="amprLISTMixed-L3">
    <w:name w:val="[ampr LIST Mixed] - L3"/>
    <w:basedOn w:val="amprLISTMixed-L2"/>
    <w:uiPriority w:val="5"/>
    <w:qFormat/>
    <w:rsid w:val="007F5F0A"/>
    <w:pPr>
      <w:numPr>
        <w:ilvl w:val="2"/>
      </w:numPr>
    </w:pPr>
  </w:style>
  <w:style w:type="paragraph" w:customStyle="1" w:styleId="amprLISTMixed-L1consecutiveparagraph">
    <w:name w:val="[ampr LIST Mixed] - L1 (consecutive paragraph)"/>
    <w:basedOn w:val="amprLISTMixed-L1"/>
    <w:uiPriority w:val="5"/>
    <w:qFormat/>
    <w:rsid w:val="007F5F0A"/>
    <w:pPr>
      <w:numPr>
        <w:numId w:val="0"/>
      </w:numPr>
      <w:ind w:left="714"/>
    </w:pPr>
  </w:style>
  <w:style w:type="paragraph" w:customStyle="1" w:styleId="amprLISTMixed-L2consecutiveparagraph">
    <w:name w:val="[ampr LIST Mixed] - L2 (consecutive paragraph)"/>
    <w:basedOn w:val="amprLISTMixed-L2"/>
    <w:uiPriority w:val="5"/>
    <w:qFormat/>
    <w:rsid w:val="007F5F0A"/>
    <w:pPr>
      <w:numPr>
        <w:ilvl w:val="0"/>
        <w:numId w:val="0"/>
      </w:numPr>
      <w:ind w:left="1072"/>
    </w:pPr>
  </w:style>
  <w:style w:type="paragraph" w:customStyle="1" w:styleId="amprLISTMixed-L3consecutiveparagraph">
    <w:name w:val="[ampr LIST Mixed] - L3 (consecutive paragraph)"/>
    <w:basedOn w:val="amprLISTMixed-L3"/>
    <w:uiPriority w:val="5"/>
    <w:qFormat/>
    <w:rsid w:val="007F5F0A"/>
    <w:pPr>
      <w:numPr>
        <w:ilvl w:val="0"/>
        <w:numId w:val="0"/>
      </w:numPr>
      <w:ind w:left="1429"/>
    </w:pPr>
  </w:style>
  <w:style w:type="numbering" w:customStyle="1" w:styleId="amprLIST-Mixed">
    <w:name w:val="[ampr LIST]-Mixed"/>
    <w:uiPriority w:val="99"/>
    <w:rsid w:val="007F5F0A"/>
    <w:pPr>
      <w:numPr>
        <w:numId w:val="32"/>
      </w:numPr>
    </w:pPr>
  </w:style>
  <w:style w:type="table" w:customStyle="1" w:styleId="AMPR20212">
    <w:name w:val="AMPR_2021_2"/>
    <w:basedOn w:val="TableNormal"/>
    <w:uiPriority w:val="99"/>
    <w:rsid w:val="007F5F0A"/>
    <w:pPr>
      <w:spacing w:before="60" w:after="60"/>
    </w:pPr>
    <w:rPr>
      <w:rFonts w:ascii="EC Square Sans Pro" w:eastAsiaTheme="minorHAnsi" w:hAnsi="EC Square Sans Pro" w:cstheme="minorBidi"/>
      <w:sz w:val="20"/>
      <w:lang w:val="fr-BE" w:eastAsia="en-US"/>
    </w:rPr>
    <w:tblPr>
      <w:jc w:val="center"/>
      <w:tblBorders>
        <w:top w:val="single" w:sz="4" w:space="0" w:color="8C8C8C"/>
        <w:left w:val="single" w:sz="4" w:space="0" w:color="8C8C8C"/>
        <w:bottom w:val="single" w:sz="4" w:space="0" w:color="8C8C8C"/>
        <w:right w:val="single" w:sz="4" w:space="0" w:color="8C8C8C"/>
        <w:insideH w:val="single" w:sz="4" w:space="0" w:color="8C8C8C"/>
        <w:insideV w:val="single" w:sz="4" w:space="0" w:color="8C8C8C"/>
      </w:tblBorders>
    </w:tblPr>
    <w:trPr>
      <w:jc w:val="center"/>
    </w:trPr>
    <w:tcPr>
      <w:shd w:val="clear" w:color="auto" w:fill="F2F2F2" w:themeFill="background1" w:themeFillShade="F2"/>
    </w:tcPr>
    <w:tblStylePr w:type="firstRow">
      <w:pPr>
        <w:wordWrap/>
        <w:spacing w:beforeLines="0" w:before="100" w:beforeAutospacing="0" w:afterLines="0" w:after="100" w:afterAutospacing="0" w:line="240" w:lineRule="auto"/>
        <w:contextualSpacing w:val="0"/>
      </w:pPr>
      <w:rPr>
        <w:b/>
        <w:color w:val="FFFFFF" w:themeColor="background1"/>
      </w:rPr>
      <w:tblPr/>
      <w:tcPr>
        <w:tcBorders>
          <w:top w:val="single" w:sz="4" w:space="0" w:color="215E94" w:themeColor="text2"/>
          <w:left w:val="single" w:sz="4" w:space="0" w:color="215E94" w:themeColor="text2"/>
          <w:bottom w:val="single" w:sz="4" w:space="0" w:color="215E94" w:themeColor="text2"/>
          <w:right w:val="single" w:sz="4" w:space="0" w:color="215E94" w:themeColor="text2"/>
          <w:insideH w:val="nil"/>
          <w:insideV w:val="single" w:sz="4" w:space="0" w:color="FFFFFF" w:themeColor="background1"/>
          <w:tl2br w:val="nil"/>
          <w:tr2bl w:val="nil"/>
        </w:tcBorders>
        <w:shd w:val="clear" w:color="auto" w:fill="215E94" w:themeFill="text2"/>
      </w:tcPr>
    </w:tblStylePr>
    <w:tblStylePr w:type="firstCol">
      <w:rPr>
        <w:b/>
        <w:i w:val="0"/>
        <w:color w:val="028F1A" w:themeColor="accent1"/>
      </w:rPr>
    </w:tblStylePr>
  </w:style>
  <w:style w:type="character" w:customStyle="1" w:styleId="FootnoteTextChar1">
    <w:name w:val="Footnote Text Char1"/>
    <w:aliases w:val="Footnote Text Char Char Char,Footnote Text Char3 Char Char Char,Footnote Text Char2 Char Char Char Char,Footnote Text Char1 Char Char Char Char Char,Footnote Text Char Char Char Char Char Char Char,Fußnote Char,fn Char,o Char,f Char"/>
    <w:uiPriority w:val="99"/>
    <w:unhideWhenUsed/>
    <w:rsid w:val="00D26688"/>
    <w:rPr>
      <w:rFonts w:ascii="EC Square Sans Pro" w:eastAsia="Times New Roman" w:hAnsi="EC Square Sans Pro" w:cs="Times New Roman"/>
      <w:sz w:val="18"/>
      <w:szCs w:val="20"/>
      <w:lang w:eastAsia="en-GB"/>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rsid w:val="00D26688"/>
    <w:pPr>
      <w:spacing w:after="160" w:line="240" w:lineRule="exact"/>
      <w:jc w:val="left"/>
    </w:pPr>
    <w:rPr>
      <w:vertAlign w:val="superscript"/>
    </w:rPr>
  </w:style>
  <w:style w:type="paragraph" w:styleId="ListParagraph">
    <w:name w:val="List Paragraph"/>
    <w:aliases w:val="OBC Bullet,List Paragraph11,F5 List Paragraph,Bullet Points,Dot pt,List Paragraph1,Colorful List - Accent 11,No Spacing1,List Paragraph Char Char Char,Indicator Text,Numbered Para 1,List Paragraph2,MAIN CONTENT,List Paragraph12,Task Body"/>
    <w:basedOn w:val="Normal"/>
    <w:link w:val="ListParagraphChar"/>
    <w:uiPriority w:val="34"/>
    <w:qFormat/>
    <w:locked/>
    <w:rsid w:val="00D26688"/>
    <w:pPr>
      <w:spacing w:line="264" w:lineRule="auto"/>
      <w:ind w:left="720" w:hanging="360"/>
      <w:contextualSpacing/>
      <w:jc w:val="left"/>
    </w:pPr>
    <w:rPr>
      <w:rFonts w:eastAsiaTheme="minorHAnsi" w:cstheme="minorBidi"/>
      <w:sz w:val="22"/>
      <w:szCs w:val="22"/>
      <w:lang w:eastAsia="en-US"/>
    </w:rPr>
  </w:style>
  <w:style w:type="character" w:customStyle="1" w:styleId="ListParagraphChar">
    <w:name w:val="List Paragraph Char"/>
    <w:aliases w:val="OBC Bullet Char,List Paragraph11 Char,F5 List Paragraph Char,Bullet Points Char,Dot pt Char,List Paragraph1 Char,Colorful List - Accent 11 Char,No Spacing1 Char,List Paragraph Char Char Char Char,Indicator Text Char,MAIN CONTENT Char"/>
    <w:link w:val="ListParagraph"/>
    <w:uiPriority w:val="34"/>
    <w:qFormat/>
    <w:rsid w:val="00D26688"/>
    <w:rPr>
      <w:rFonts w:ascii="EC Square Sans Pro" w:eastAsiaTheme="minorHAnsi" w:hAnsi="EC Square Sans Pro" w:cstheme="minorBidi"/>
      <w:sz w:val="22"/>
      <w:szCs w:val="22"/>
      <w:lang w:eastAsia="en-US"/>
    </w:rPr>
  </w:style>
  <w:style w:type="paragraph" w:customStyle="1" w:styleId="Header-EvenPage">
    <w:name w:val="Header - Even Page"/>
    <w:basedOn w:val="Header"/>
    <w:qFormat/>
    <w:rsid w:val="00D26688"/>
    <w:pPr>
      <w:tabs>
        <w:tab w:val="clear" w:pos="4150"/>
        <w:tab w:val="clear" w:pos="8306"/>
        <w:tab w:val="center" w:pos="4513"/>
        <w:tab w:val="right" w:pos="9026"/>
      </w:tabs>
      <w:spacing w:before="180" w:line="264" w:lineRule="auto"/>
      <w:jc w:val="left"/>
    </w:pPr>
    <w:rPr>
      <w:rFonts w:eastAsiaTheme="minorHAnsi" w:cstheme="minorBidi"/>
      <w:sz w:val="22"/>
      <w:szCs w:val="22"/>
      <w:lang w:eastAsia="en-US"/>
    </w:rPr>
  </w:style>
  <w:style w:type="paragraph" w:customStyle="1" w:styleId="Footer-OddPage">
    <w:name w:val="Footer - Odd Page"/>
    <w:basedOn w:val="Footer"/>
    <w:qFormat/>
    <w:rsid w:val="00D26688"/>
    <w:pPr>
      <w:tabs>
        <w:tab w:val="center" w:pos="4513"/>
        <w:tab w:val="right" w:pos="9026"/>
      </w:tabs>
      <w:spacing w:line="264" w:lineRule="auto"/>
      <w:ind w:right="0"/>
      <w:jc w:val="right"/>
    </w:pPr>
    <w:rPr>
      <w:rFonts w:eastAsiaTheme="minorHAnsi" w:cstheme="minorBidi"/>
      <w:sz w:val="22"/>
      <w:szCs w:val="22"/>
      <w:lang w:eastAsia="en-US"/>
    </w:rPr>
  </w:style>
  <w:style w:type="paragraph" w:customStyle="1" w:styleId="Footer-EvenPage">
    <w:name w:val="Footer - Even Page"/>
    <w:basedOn w:val="Footer"/>
    <w:qFormat/>
    <w:rsid w:val="00D26688"/>
    <w:pPr>
      <w:tabs>
        <w:tab w:val="center" w:pos="4513"/>
        <w:tab w:val="right" w:pos="9026"/>
      </w:tabs>
      <w:spacing w:line="264" w:lineRule="auto"/>
      <w:ind w:right="0"/>
    </w:pPr>
    <w:rPr>
      <w:rFonts w:eastAsiaTheme="minorHAnsi" w:cstheme="minorBidi"/>
      <w:sz w:val="22"/>
      <w:szCs w:val="22"/>
      <w:lang w:eastAsia="en-US"/>
    </w:rPr>
  </w:style>
  <w:style w:type="paragraph" w:customStyle="1" w:styleId="Header-PPOprogrammeinanutshellpage">
    <w:name w:val="Header - PPO programme in a nutshell page"/>
    <w:basedOn w:val="Header"/>
    <w:qFormat/>
    <w:rsid w:val="00D26688"/>
    <w:pPr>
      <w:tabs>
        <w:tab w:val="clear" w:pos="4150"/>
        <w:tab w:val="clear" w:pos="8306"/>
        <w:tab w:val="center" w:pos="4513"/>
        <w:tab w:val="right" w:pos="9026"/>
      </w:tabs>
      <w:spacing w:before="180" w:line="264" w:lineRule="auto"/>
      <w:jc w:val="right"/>
    </w:pPr>
    <w:rPr>
      <w:rFonts w:eastAsiaTheme="minorHAnsi" w:cstheme="minorBidi"/>
      <w:color w:val="FFFFFF" w:themeColor="background1"/>
      <w:sz w:val="22"/>
      <w:szCs w:val="22"/>
      <w:lang w:eastAsia="en-US"/>
    </w:rPr>
  </w:style>
  <w:style w:type="paragraph" w:customStyle="1" w:styleId="ppoHeading6">
    <w:name w:val="[ppo] Heading 6"/>
    <w:basedOn w:val="Normal"/>
    <w:next w:val="Normal"/>
    <w:qFormat/>
    <w:rsid w:val="00D26688"/>
    <w:pPr>
      <w:keepNext/>
      <w:keepLines/>
      <w:spacing w:before="240"/>
      <w:ind w:left="357"/>
      <w:jc w:val="left"/>
      <w:outlineLvl w:val="5"/>
    </w:pPr>
    <w:rPr>
      <w:rFonts w:eastAsiaTheme="majorEastAsia" w:cstheme="majorBidi"/>
      <w:caps/>
      <w:sz w:val="32"/>
      <w:szCs w:val="24"/>
      <w:lang w:eastAsia="en-GB"/>
    </w:rPr>
  </w:style>
  <w:style w:type="paragraph" w:customStyle="1" w:styleId="ppoHeading4Orange">
    <w:name w:val="[ppo] Heading 4 (Orange)"/>
    <w:basedOn w:val="Normal"/>
    <w:next w:val="Normal"/>
    <w:qFormat/>
    <w:rsid w:val="00D26688"/>
    <w:pPr>
      <w:keepNext/>
      <w:keepLines/>
      <w:spacing w:before="720"/>
      <w:jc w:val="left"/>
      <w:outlineLvl w:val="3"/>
    </w:pPr>
    <w:rPr>
      <w:rFonts w:eastAsiaTheme="majorEastAsia" w:cstheme="majorBidi"/>
      <w:color w:val="C7841A"/>
      <w:sz w:val="48"/>
      <w:szCs w:val="32"/>
      <w:lang w:eastAsia="en-GB"/>
    </w:rPr>
  </w:style>
  <w:style w:type="paragraph" w:customStyle="1" w:styleId="ppoListHyphened-L1">
    <w:name w:val="[ppo_List] Hyphened [ – ][ * ][ ◊ ] - L1"/>
    <w:basedOn w:val="Normal"/>
    <w:qFormat/>
    <w:rsid w:val="00D26688"/>
    <w:pPr>
      <w:numPr>
        <w:numId w:val="35"/>
      </w:numPr>
      <w:spacing w:before="120" w:after="120" w:line="264" w:lineRule="auto"/>
      <w:jc w:val="left"/>
    </w:pPr>
    <w:rPr>
      <w:rFonts w:eastAsiaTheme="minorHAnsi" w:cstheme="minorBidi"/>
      <w:sz w:val="22"/>
      <w:szCs w:val="22"/>
      <w:lang w:eastAsia="en-US"/>
    </w:rPr>
  </w:style>
  <w:style w:type="paragraph" w:customStyle="1" w:styleId="ppoListHyphened-L2">
    <w:name w:val="[ppo_List] Hyphened [ – ][ * ][ ◊ ] - L2"/>
    <w:basedOn w:val="Normal"/>
    <w:qFormat/>
    <w:rsid w:val="00D26688"/>
    <w:pPr>
      <w:numPr>
        <w:ilvl w:val="1"/>
        <w:numId w:val="35"/>
      </w:numPr>
      <w:spacing w:before="120" w:after="120" w:line="264" w:lineRule="auto"/>
      <w:jc w:val="left"/>
    </w:pPr>
    <w:rPr>
      <w:rFonts w:eastAsiaTheme="minorHAnsi" w:cstheme="minorBidi"/>
      <w:sz w:val="22"/>
      <w:szCs w:val="22"/>
      <w:lang w:eastAsia="en-US"/>
    </w:rPr>
  </w:style>
  <w:style w:type="paragraph" w:customStyle="1" w:styleId="ppoListHyphened-L3">
    <w:name w:val="[ppo_List] Hyphened [ – ][ * ][ ◊ ] - L3"/>
    <w:basedOn w:val="Normal"/>
    <w:qFormat/>
    <w:rsid w:val="00D26688"/>
    <w:pPr>
      <w:numPr>
        <w:ilvl w:val="2"/>
        <w:numId w:val="35"/>
      </w:numPr>
      <w:spacing w:before="120" w:after="120" w:line="264" w:lineRule="auto"/>
      <w:jc w:val="left"/>
    </w:pPr>
    <w:rPr>
      <w:rFonts w:eastAsiaTheme="minorHAnsi" w:cstheme="minorBidi"/>
      <w:sz w:val="22"/>
      <w:szCs w:val="22"/>
      <w:lang w:eastAsia="en-US"/>
    </w:rPr>
  </w:style>
  <w:style w:type="numbering" w:customStyle="1" w:styleId="PPOLISTHyphened">
    <w:name w:val="[PPO_LIST] Hyphened [ – ][ * ][ ◊ ]"/>
    <w:uiPriority w:val="99"/>
    <w:rsid w:val="00D26688"/>
    <w:pPr>
      <w:numPr>
        <w:numId w:val="34"/>
      </w:numPr>
    </w:pPr>
  </w:style>
  <w:style w:type="paragraph" w:customStyle="1" w:styleId="StyleppoHeading3WhiteLeft0cm">
    <w:name w:val="Style [ppo] Heading 3 (White) + Left:  0 cm"/>
    <w:basedOn w:val="Normal"/>
    <w:rsid w:val="00D26688"/>
    <w:pPr>
      <w:keepNext/>
      <w:keepLines/>
      <w:spacing w:after="120"/>
      <w:jc w:val="left"/>
      <w:outlineLvl w:val="2"/>
    </w:pPr>
    <w:rPr>
      <w:b/>
      <w:bCs/>
      <w:color w:val="FFFFFF" w:themeColor="background1"/>
      <w:sz w:val="96"/>
      <w:lang w:eastAsia="en-GB"/>
    </w:rPr>
  </w:style>
  <w:style w:type="paragraph" w:customStyle="1" w:styleId="StyleppoProgrammenameWhiteLeft01cm">
    <w:name w:val="Style [ppo] Programme name (White) + Left:  0.1 cm"/>
    <w:basedOn w:val="Normal"/>
    <w:rsid w:val="00D26688"/>
    <w:pPr>
      <w:spacing w:after="480"/>
      <w:ind w:left="57"/>
    </w:pPr>
    <w:rPr>
      <w:color w:val="FFFFFF" w:themeColor="background1"/>
      <w:sz w:val="32"/>
      <w:lang w:eastAsia="en-GB"/>
    </w:rPr>
  </w:style>
  <w:style w:type="paragraph" w:customStyle="1" w:styleId="BulletsOrange">
    <w:name w:val="Bullets Orange"/>
    <w:basedOn w:val="BodyText"/>
    <w:rsid w:val="00D26688"/>
    <w:pPr>
      <w:numPr>
        <w:numId w:val="36"/>
      </w:numPr>
      <w:tabs>
        <w:tab w:val="num" w:pos="2200"/>
      </w:tabs>
      <w:spacing w:before="120"/>
      <w:ind w:left="714" w:hanging="357"/>
    </w:pPr>
    <w:rPr>
      <w:rFonts w:eastAsiaTheme="minorHAnsi"/>
      <w:color w:val="000000" w:themeColor="text1"/>
      <w:sz w:val="20"/>
      <w:szCs w:val="22"/>
      <w:lang w:eastAsia="en-US"/>
    </w:rPr>
  </w:style>
  <w:style w:type="paragraph" w:customStyle="1" w:styleId="numbering">
    <w:name w:val="numbering"/>
    <w:basedOn w:val="Normal"/>
    <w:rsid w:val="00D26688"/>
    <w:pPr>
      <w:numPr>
        <w:numId w:val="37"/>
      </w:numPr>
      <w:spacing w:line="264" w:lineRule="auto"/>
      <w:jc w:val="left"/>
    </w:pPr>
    <w:rPr>
      <w:rFonts w:eastAsiaTheme="minorHAnsi" w:cstheme="minorBidi"/>
      <w:sz w:val="22"/>
      <w:szCs w:val="22"/>
      <w:lang w:eastAsia="en-US"/>
    </w:rPr>
  </w:style>
  <w:style w:type="paragraph" w:customStyle="1" w:styleId="BodyText1spaceafter">
    <w:name w:val="Body Text 1 (space after)"/>
    <w:basedOn w:val="Normal"/>
    <w:next w:val="Normal"/>
    <w:rsid w:val="00D26688"/>
    <w:pPr>
      <w:spacing w:before="120" w:after="120"/>
    </w:pPr>
    <w:rPr>
      <w:rFonts w:eastAsia="Calibri"/>
      <w:noProof/>
      <w:color w:val="000000" w:themeColor="text1"/>
      <w:sz w:val="20"/>
      <w:szCs w:val="22"/>
    </w:rPr>
  </w:style>
  <w:style w:type="paragraph" w:styleId="BodyText">
    <w:name w:val="Body Text"/>
    <w:basedOn w:val="Normal"/>
    <w:link w:val="BodyTextChar"/>
    <w:uiPriority w:val="99"/>
    <w:semiHidden/>
    <w:locked/>
    <w:rsid w:val="00D26688"/>
    <w:pPr>
      <w:spacing w:after="120"/>
    </w:pPr>
  </w:style>
  <w:style w:type="character" w:customStyle="1" w:styleId="BodyTextChar">
    <w:name w:val="Body Text Char"/>
    <w:basedOn w:val="DefaultParagraphFont"/>
    <w:link w:val="BodyText"/>
    <w:uiPriority w:val="99"/>
    <w:semiHidden/>
    <w:rsid w:val="00D26688"/>
  </w:style>
  <w:style w:type="paragraph" w:customStyle="1" w:styleId="ppoHeading5">
    <w:name w:val="[ppo] Heading 5"/>
    <w:basedOn w:val="Normal"/>
    <w:next w:val="Normal"/>
    <w:qFormat/>
    <w:rsid w:val="006A09DC"/>
    <w:pPr>
      <w:keepNext/>
      <w:keepLines/>
      <w:spacing w:before="600"/>
      <w:ind w:left="357"/>
      <w:jc w:val="left"/>
      <w:outlineLvl w:val="4"/>
    </w:pPr>
    <w:rPr>
      <w:rFonts w:ascii="EC Square Sans Pro Medium" w:eastAsiaTheme="majorEastAsia" w:hAnsi="EC Square Sans Pro Medium" w:cstheme="majorBidi"/>
      <w:sz w:val="40"/>
      <w:szCs w:val="26"/>
      <w:lang w:eastAsia="en-GB"/>
    </w:rPr>
  </w:style>
  <w:style w:type="paragraph" w:customStyle="1" w:styleId="ppoHeading4NaturalGreen">
    <w:name w:val="[ppo] Heading 4 (NaturalGreen)"/>
    <w:basedOn w:val="Normal"/>
    <w:next w:val="Normal"/>
    <w:qFormat/>
    <w:rsid w:val="006A09DC"/>
    <w:pPr>
      <w:keepNext/>
      <w:keepLines/>
      <w:spacing w:before="720"/>
      <w:jc w:val="left"/>
      <w:outlineLvl w:val="3"/>
    </w:pPr>
    <w:rPr>
      <w:rFonts w:eastAsiaTheme="majorEastAsia" w:cstheme="majorBidi"/>
      <w:color w:val="797720"/>
      <w:sz w:val="48"/>
      <w:szCs w:val="32"/>
      <w:lang w:eastAsia="en-GB"/>
    </w:rPr>
  </w:style>
  <w:style w:type="paragraph" w:customStyle="1" w:styleId="ppoListArabic1aiii-L2">
    <w:name w:val="[ppo_List] Arabic [ 1. ][ a. ][ (iii) ] - L2"/>
    <w:basedOn w:val="Normal"/>
    <w:qFormat/>
    <w:rsid w:val="006A09DC"/>
    <w:pPr>
      <w:numPr>
        <w:ilvl w:val="1"/>
        <w:numId w:val="39"/>
      </w:numPr>
      <w:spacing w:before="120" w:after="120" w:line="264" w:lineRule="auto"/>
      <w:jc w:val="left"/>
    </w:pPr>
    <w:rPr>
      <w:rFonts w:eastAsiaTheme="minorHAnsi" w:cstheme="minorBidi"/>
      <w:sz w:val="22"/>
      <w:szCs w:val="22"/>
      <w:lang w:eastAsia="en-US"/>
    </w:rPr>
  </w:style>
  <w:style w:type="paragraph" w:customStyle="1" w:styleId="ppoListArabic1aiii-L3">
    <w:name w:val="[ppo_List] Arabic [ 1. ][ a. ][ (iii) ] - L3"/>
    <w:basedOn w:val="Normal"/>
    <w:qFormat/>
    <w:rsid w:val="006A09DC"/>
    <w:pPr>
      <w:numPr>
        <w:ilvl w:val="2"/>
        <w:numId w:val="39"/>
      </w:numPr>
      <w:spacing w:before="120" w:after="120" w:line="264" w:lineRule="auto"/>
      <w:jc w:val="left"/>
    </w:pPr>
    <w:rPr>
      <w:rFonts w:eastAsiaTheme="minorHAnsi" w:cstheme="minorBidi"/>
      <w:sz w:val="22"/>
      <w:szCs w:val="22"/>
      <w:lang w:eastAsia="en-US"/>
    </w:rPr>
  </w:style>
  <w:style w:type="paragraph" w:customStyle="1" w:styleId="ppoListArabic1aiii-L1">
    <w:name w:val="[ppo_List] Arabic [ 1. ][ a. ][ (iii) ] - L1"/>
    <w:basedOn w:val="Normal"/>
    <w:qFormat/>
    <w:rsid w:val="006A09DC"/>
    <w:pPr>
      <w:numPr>
        <w:numId w:val="39"/>
      </w:numPr>
      <w:spacing w:before="120" w:after="120" w:line="264" w:lineRule="auto"/>
      <w:jc w:val="left"/>
    </w:pPr>
    <w:rPr>
      <w:rFonts w:eastAsiaTheme="minorHAnsi" w:cstheme="minorBidi"/>
      <w:sz w:val="22"/>
      <w:szCs w:val="22"/>
      <w:lang w:eastAsia="en-US"/>
    </w:rPr>
  </w:style>
  <w:style w:type="paragraph" w:customStyle="1" w:styleId="ppoTableTabletitle">
    <w:name w:val="[ppo_Table] Table title"/>
    <w:basedOn w:val="Normal"/>
    <w:next w:val="Normal"/>
    <w:qFormat/>
    <w:rsid w:val="006A09DC"/>
    <w:pPr>
      <w:spacing w:before="480" w:after="120" w:line="264" w:lineRule="auto"/>
      <w:jc w:val="left"/>
    </w:pPr>
    <w:rPr>
      <w:rFonts w:eastAsiaTheme="minorHAnsi" w:cstheme="minorBidi"/>
      <w:sz w:val="22"/>
      <w:szCs w:val="22"/>
      <w:lang w:eastAsia="en-US"/>
    </w:rPr>
  </w:style>
  <w:style w:type="character" w:customStyle="1" w:styleId="ppocharNaturalGreentext24pt">
    <w:name w:val="[ppo_char] NaturalGreen text 24pt"/>
    <w:uiPriority w:val="1"/>
    <w:qFormat/>
    <w:rsid w:val="007C3D07"/>
    <w:rPr>
      <w:color w:val="797720"/>
      <w:sz w:val="36"/>
      <w:szCs w:val="36"/>
    </w:rPr>
  </w:style>
  <w:style w:type="character" w:customStyle="1" w:styleId="ppocharNaturalGreenemphasis">
    <w:name w:val="[ppo_char] NaturalGreen emphasis"/>
    <w:uiPriority w:val="1"/>
    <w:qFormat/>
    <w:rsid w:val="006A09DC"/>
    <w:rPr>
      <w:b/>
      <w:bCs w:val="0"/>
      <w:color w:val="797720"/>
    </w:rPr>
  </w:style>
  <w:style w:type="table" w:styleId="PlainTable2">
    <w:name w:val="Plain Table 2"/>
    <w:basedOn w:val="TableNormal"/>
    <w:uiPriority w:val="42"/>
    <w:locked/>
    <w:rsid w:val="006A09DC"/>
    <w:rPr>
      <w:rFonts w:ascii="EC Square Sans Pro" w:eastAsiaTheme="minorHAnsi" w:hAnsi="EC Square Sans Pro" w:cstheme="minorBidi"/>
      <w:sz w:val="22"/>
      <w:szCs w:val="22"/>
      <w:lang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PO2021">
    <w:name w:val="PPO_2021"/>
    <w:basedOn w:val="TableNormal"/>
    <w:uiPriority w:val="99"/>
    <w:rsid w:val="006A09DC"/>
    <w:pPr>
      <w:spacing w:before="100" w:after="100" w:line="264" w:lineRule="auto"/>
    </w:pPr>
    <w:rPr>
      <w:rFonts w:ascii="EC Square Sans Pro" w:eastAsiaTheme="minorHAnsi" w:hAnsi="EC Square Sans Pro" w:cstheme="minorBidi"/>
      <w:sz w:val="22"/>
      <w:szCs w:val="22"/>
      <w:lang w:eastAsia="en-US"/>
    </w:rPr>
    <w:tblPr>
      <w:tblStyleRowBandSize w:val="1"/>
      <w:tblStyleColBandSize w:val="1"/>
      <w:tblInd w:w="0" w:type="nil"/>
      <w:tblBorders>
        <w:top w:val="single" w:sz="4" w:space="0" w:color="8C8C8C"/>
        <w:bottom w:val="single" w:sz="4" w:space="0" w:color="8C8C8C"/>
        <w:insideH w:val="single" w:sz="4" w:space="0" w:color="8C8C8C"/>
      </w:tblBorders>
    </w:tblPr>
    <w:tblStylePr w:type="firstRow">
      <w:pPr>
        <w:wordWrap/>
        <w:jc w:val="center"/>
      </w:pPr>
      <w:rPr>
        <w:b/>
        <w:color w:val="auto"/>
      </w:rPr>
      <w:tblPr/>
      <w:tcPr>
        <w:tcBorders>
          <w:top w:val="single" w:sz="4" w:space="0" w:color="8C8C8C"/>
          <w:left w:val="nil"/>
          <w:bottom w:val="single" w:sz="4" w:space="0" w:color="8C8C8C"/>
          <w:right w:val="nil"/>
          <w:insideH w:val="nil"/>
          <w:insideV w:val="nil"/>
          <w:tl2br w:val="nil"/>
          <w:tr2bl w:val="nil"/>
        </w:tcBorders>
        <w:shd w:val="clear" w:color="auto" w:fill="F2F2F2" w:themeFill="background1" w:themeFillShade="F2"/>
      </w:tcPr>
    </w:tblStylePr>
    <w:tblStylePr w:type="lastRow">
      <w:rPr>
        <w:b/>
        <w:color w:val="auto"/>
      </w:rPr>
      <w:tblPr/>
      <w:tcPr>
        <w:tcBorders>
          <w:top w:val="double" w:sz="4" w:space="0" w:color="8C8C8C"/>
          <w:left w:val="nil"/>
          <w:bottom w:val="single" w:sz="4" w:space="0" w:color="8C8C8C"/>
          <w:right w:val="nil"/>
          <w:insideH w:val="nil"/>
          <w:insideV w:val="nil"/>
          <w:tl2br w:val="nil"/>
          <w:tr2bl w:val="nil"/>
        </w:tcBorders>
        <w:shd w:val="clear" w:color="auto" w:fill="F2F2F2" w:themeFill="background1" w:themeFillShade="F2"/>
      </w:tcPr>
    </w:tblStylePr>
    <w:tblStylePr w:type="firstCol">
      <w:pPr>
        <w:wordWrap/>
        <w:spacing w:beforeLines="0" w:before="100" w:beforeAutospacing="1" w:afterLines="0" w:after="100" w:afterAutospacing="1" w:line="22" w:lineRule="atLeast"/>
        <w:jc w:val="left"/>
      </w:pPr>
      <w:rPr>
        <w:b/>
        <w:i w:val="0"/>
        <w:color w:val="auto"/>
      </w:rPr>
    </w:tblStylePr>
    <w:tblStylePr w:type="lastCol">
      <w:rPr>
        <w:b/>
      </w:rPr>
    </w:tblStylePr>
    <w:tblStylePr w:type="band2Vert">
      <w:rPr>
        <w:b w:val="0"/>
      </w:rPr>
      <w:tblPr/>
      <w:tcPr>
        <w:tcBorders>
          <w:top w:val="single" w:sz="4" w:space="0" w:color="8C8C8C"/>
          <w:left w:val="nil"/>
          <w:bottom w:val="single" w:sz="4" w:space="0" w:color="8C8C8C"/>
          <w:right w:val="nil"/>
          <w:insideH w:val="single" w:sz="4" w:space="0" w:color="8C8C8C"/>
          <w:insideV w:val="nil"/>
          <w:tl2br w:val="nil"/>
          <w:tr2bl w:val="nil"/>
        </w:tcBorders>
        <w:shd w:val="clear" w:color="auto" w:fill="F2F2F2" w:themeFill="background1" w:themeFillShade="F2"/>
      </w:tcPr>
    </w:tblStylePr>
    <w:tblStylePr w:type="band1Horz">
      <w:rPr>
        <w:b w:val="0"/>
      </w:rPr>
      <w:tblPr/>
      <w:tcPr>
        <w:tcBorders>
          <w:top w:val="single" w:sz="4" w:space="0" w:color="8C8C8C"/>
          <w:left w:val="nil"/>
          <w:bottom w:val="single" w:sz="4" w:space="0" w:color="8C8C8C"/>
          <w:right w:val="nil"/>
          <w:insideH w:val="nil"/>
          <w:insideV w:val="nil"/>
          <w:tl2br w:val="nil"/>
          <w:tr2bl w:val="nil"/>
        </w:tcBorders>
      </w:tcPr>
    </w:tblStylePr>
    <w:tblStylePr w:type="band2Horz">
      <w:rPr>
        <w:b w:val="0"/>
      </w:rPr>
      <w:tblPr/>
      <w:tcPr>
        <w:tcBorders>
          <w:top w:val="single" w:sz="4" w:space="0" w:color="8C8C8C"/>
          <w:left w:val="nil"/>
          <w:bottom w:val="single" w:sz="4" w:space="0" w:color="8C8C8C"/>
          <w:right w:val="nil"/>
          <w:insideH w:val="nil"/>
          <w:insideV w:val="nil"/>
          <w:tl2br w:val="nil"/>
          <w:tr2bl w:val="nil"/>
        </w:tcBorders>
        <w:shd w:val="clear" w:color="auto" w:fill="F2F2F2" w:themeFill="background1" w:themeFillShade="F2"/>
      </w:tcPr>
    </w:tblStylePr>
  </w:style>
  <w:style w:type="numbering" w:customStyle="1" w:styleId="PPOLISTArabic1aiii">
    <w:name w:val="[PPO_LIST] Arabic [ 1. ][ a. ][ (iii) ]"/>
    <w:uiPriority w:val="99"/>
    <w:rsid w:val="006A09DC"/>
    <w:pPr>
      <w:numPr>
        <w:numId w:val="39"/>
      </w:numPr>
    </w:pPr>
  </w:style>
  <w:style w:type="paragraph" w:customStyle="1" w:styleId="ppoHeading4Blue">
    <w:name w:val="[ppo] Heading 4 (Blue)"/>
    <w:basedOn w:val="Normal"/>
    <w:next w:val="Normal"/>
    <w:qFormat/>
    <w:rsid w:val="004B627A"/>
    <w:pPr>
      <w:keepNext/>
      <w:keepLines/>
      <w:spacing w:before="720"/>
      <w:jc w:val="left"/>
      <w:outlineLvl w:val="3"/>
    </w:pPr>
    <w:rPr>
      <w:rFonts w:eastAsiaTheme="majorEastAsia" w:cstheme="majorBidi"/>
      <w:color w:val="027CBB"/>
      <w:sz w:val="48"/>
      <w:szCs w:val="32"/>
      <w:lang w:eastAsia="en-GB"/>
    </w:rPr>
  </w:style>
  <w:style w:type="paragraph" w:customStyle="1" w:styleId="ppoTableacheivementvalue">
    <w:name w:val="[ppo_Table] acheivement value"/>
    <w:basedOn w:val="Normal"/>
    <w:next w:val="Normal"/>
    <w:qFormat/>
    <w:rsid w:val="004B627A"/>
    <w:pPr>
      <w:spacing w:before="120" w:after="120" w:line="264" w:lineRule="auto"/>
      <w:jc w:val="center"/>
    </w:pPr>
    <w:rPr>
      <w:rFonts w:eastAsiaTheme="minorHAnsi" w:cstheme="minorBidi"/>
      <w:sz w:val="28"/>
      <w:szCs w:val="28"/>
      <w:lang w:eastAsia="en-US"/>
    </w:rPr>
  </w:style>
  <w:style w:type="table" w:styleId="TableGridLight">
    <w:name w:val="Grid Table Light"/>
    <w:basedOn w:val="TableNormal"/>
    <w:locked/>
    <w:rsid w:val="00C016C5"/>
    <w:rPr>
      <w:rFonts w:ascii="Calibri" w:hAnsi="Calibri"/>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locked/>
    <w:rsid w:val="00C016C5"/>
    <w:rPr>
      <w:rFonts w:ascii="EC Square Sans Pro" w:hAnsi="EC Square Sans Pro"/>
      <w:b/>
      <w:bCs/>
      <w:i w:val="0"/>
      <w:caps w:val="0"/>
      <w:smallCaps/>
      <w:color w:val="auto"/>
      <w:sz w:val="28"/>
      <w:bdr w:val="none" w:sz="0" w:space="0" w:color="auto"/>
      <w:shd w:val="clear" w:color="auto" w:fill="auto"/>
      <w:lang w:val="en-GB"/>
    </w:rPr>
  </w:style>
  <w:style w:type="paragraph" w:styleId="CommentText">
    <w:name w:val="annotation text"/>
    <w:basedOn w:val="Normal"/>
    <w:link w:val="CommentTextChar"/>
    <w:uiPriority w:val="99"/>
    <w:locked/>
    <w:rsid w:val="00C016C5"/>
    <w:pPr>
      <w:spacing w:line="264" w:lineRule="auto"/>
      <w:jc w:val="left"/>
    </w:pPr>
    <w:rPr>
      <w:rFonts w:eastAsiaTheme="minorHAnsi" w:cstheme="minorBidi"/>
      <w:sz w:val="20"/>
      <w:szCs w:val="22"/>
      <w:lang w:eastAsia="en-US"/>
    </w:rPr>
  </w:style>
  <w:style w:type="character" w:customStyle="1" w:styleId="CommentTextChar">
    <w:name w:val="Comment Text Char"/>
    <w:basedOn w:val="DefaultParagraphFont"/>
    <w:link w:val="CommentText"/>
    <w:uiPriority w:val="99"/>
    <w:rsid w:val="00C016C5"/>
    <w:rPr>
      <w:rFonts w:ascii="EC Square Sans Pro" w:eastAsiaTheme="minorHAnsi" w:hAnsi="EC Square Sans Pro" w:cstheme="minorBidi"/>
      <w:sz w:val="20"/>
      <w:szCs w:val="22"/>
      <w:lang w:eastAsia="en-US"/>
    </w:rPr>
  </w:style>
  <w:style w:type="character" w:customStyle="1" w:styleId="Heading1Char">
    <w:name w:val="Heading 1 Char"/>
    <w:basedOn w:val="DefaultParagraphFont"/>
    <w:link w:val="Heading1"/>
    <w:uiPriority w:val="9"/>
    <w:rsid w:val="00C016C5"/>
    <w:rPr>
      <w:rFonts w:ascii="EC Square Sans Pro" w:hAnsi="EC Square Sans Pro"/>
      <w:b/>
      <w:smallCaps/>
    </w:rPr>
  </w:style>
  <w:style w:type="character" w:customStyle="1" w:styleId="Heading2Char">
    <w:name w:val="Heading 2 Char"/>
    <w:basedOn w:val="DefaultParagraphFont"/>
    <w:link w:val="Heading2"/>
    <w:uiPriority w:val="9"/>
    <w:rsid w:val="00C016C5"/>
    <w:rPr>
      <w:rFonts w:ascii="EC Square Sans Pro" w:hAnsi="EC Square Sans Pro"/>
      <w:b/>
    </w:rPr>
  </w:style>
  <w:style w:type="paragraph" w:styleId="BalloonText">
    <w:name w:val="Balloon Text"/>
    <w:basedOn w:val="Normal"/>
    <w:link w:val="BalloonTextChar"/>
    <w:uiPriority w:val="99"/>
    <w:semiHidden/>
    <w:unhideWhenUsed/>
    <w:locked/>
    <w:rsid w:val="00C016C5"/>
    <w:pPr>
      <w:spacing w:after="0" w:line="264" w:lineRule="auto"/>
      <w:jc w:val="left"/>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C016C5"/>
    <w:rPr>
      <w:rFonts w:ascii="Segoe UI" w:eastAsiaTheme="minorHAnsi" w:hAnsi="Segoe UI" w:cs="Segoe UI"/>
      <w:sz w:val="18"/>
      <w:szCs w:val="18"/>
      <w:lang w:eastAsia="en-US"/>
    </w:rPr>
  </w:style>
  <w:style w:type="character" w:styleId="IntenseReference">
    <w:name w:val="Intense Reference"/>
    <w:basedOn w:val="DefaultParagraphFont"/>
    <w:uiPriority w:val="32"/>
    <w:qFormat/>
    <w:locked/>
    <w:rsid w:val="00C016C5"/>
    <w:rPr>
      <w:b/>
      <w:bCs/>
      <w:smallCaps/>
      <w:color w:val="auto"/>
      <w:spacing w:val="5"/>
      <w:lang w:val="en-GB"/>
    </w:rPr>
  </w:style>
  <w:style w:type="paragraph" w:styleId="IntenseQuote">
    <w:name w:val="Intense Quote"/>
    <w:basedOn w:val="Normal"/>
    <w:next w:val="Normal"/>
    <w:link w:val="IntenseQuoteChar"/>
    <w:uiPriority w:val="30"/>
    <w:qFormat/>
    <w:locked/>
    <w:rsid w:val="00C016C5"/>
    <w:pPr>
      <w:pBdr>
        <w:top w:val="single" w:sz="4" w:space="10" w:color="auto"/>
        <w:bottom w:val="single" w:sz="4" w:space="10" w:color="auto"/>
      </w:pBdr>
      <w:spacing w:before="360" w:after="360" w:line="264" w:lineRule="auto"/>
      <w:ind w:left="864" w:right="864"/>
      <w:jc w:val="center"/>
    </w:pPr>
    <w:rPr>
      <w:rFonts w:eastAsiaTheme="minorHAnsi" w:cstheme="minorBidi"/>
      <w:i/>
      <w:iCs/>
      <w:sz w:val="22"/>
      <w:szCs w:val="22"/>
      <w:lang w:eastAsia="en-US"/>
    </w:rPr>
  </w:style>
  <w:style w:type="character" w:customStyle="1" w:styleId="IntenseQuoteChar">
    <w:name w:val="Intense Quote Char"/>
    <w:basedOn w:val="DefaultParagraphFont"/>
    <w:link w:val="IntenseQuote"/>
    <w:uiPriority w:val="30"/>
    <w:rsid w:val="00C016C5"/>
    <w:rPr>
      <w:rFonts w:ascii="EC Square Sans Pro" w:eastAsiaTheme="minorHAnsi" w:hAnsi="EC Square Sans Pro" w:cstheme="minorBidi"/>
      <w:i/>
      <w:iCs/>
      <w:sz w:val="22"/>
      <w:szCs w:val="22"/>
      <w:lang w:eastAsia="en-US"/>
    </w:rPr>
  </w:style>
  <w:style w:type="character" w:customStyle="1" w:styleId="Heading3Char">
    <w:name w:val="Heading 3 Char"/>
    <w:basedOn w:val="DefaultParagraphFont"/>
    <w:link w:val="Heading3"/>
    <w:uiPriority w:val="9"/>
    <w:rsid w:val="00C016C5"/>
    <w:rPr>
      <w:rFonts w:ascii="EC Square Sans Pro" w:hAnsi="EC Square Sans Pro"/>
      <w:i/>
    </w:rPr>
  </w:style>
  <w:style w:type="character" w:customStyle="1" w:styleId="TitleChar">
    <w:name w:val="Title Char"/>
    <w:aliases w:val="Title box Char"/>
    <w:basedOn w:val="DefaultParagraphFont"/>
    <w:link w:val="Title"/>
    <w:uiPriority w:val="10"/>
    <w:rsid w:val="00C016C5"/>
    <w:rPr>
      <w:rFonts w:ascii="EC Square Sans Pro" w:hAnsi="EC Square Sans Pro"/>
      <w:b/>
      <w:kern w:val="28"/>
      <w:sz w:val="48"/>
    </w:rPr>
  </w:style>
  <w:style w:type="paragraph" w:styleId="Subtitle">
    <w:name w:val="Subtitle"/>
    <w:basedOn w:val="Normal"/>
    <w:next w:val="Normal"/>
    <w:link w:val="SubtitleChar"/>
    <w:uiPriority w:val="11"/>
    <w:qFormat/>
    <w:locked/>
    <w:rsid w:val="00C016C5"/>
    <w:pPr>
      <w:numPr>
        <w:ilvl w:val="1"/>
      </w:numPr>
      <w:spacing w:after="160" w:line="264" w:lineRule="auto"/>
      <w:jc w:val="left"/>
    </w:pPr>
    <w:rPr>
      <w:rFonts w:eastAsiaTheme="minorEastAsia" w:cstheme="minorBidi"/>
      <w:spacing w:val="15"/>
      <w:sz w:val="22"/>
      <w:szCs w:val="22"/>
      <w:lang w:eastAsia="en-US"/>
    </w:rPr>
  </w:style>
  <w:style w:type="character" w:customStyle="1" w:styleId="SubtitleChar">
    <w:name w:val="Subtitle Char"/>
    <w:basedOn w:val="DefaultParagraphFont"/>
    <w:link w:val="Subtitle"/>
    <w:uiPriority w:val="11"/>
    <w:rsid w:val="00C016C5"/>
    <w:rPr>
      <w:rFonts w:ascii="EC Square Sans Pro" w:eastAsiaTheme="minorEastAsia" w:hAnsi="EC Square Sans Pro" w:cstheme="minorBidi"/>
      <w:spacing w:val="15"/>
      <w:sz w:val="22"/>
      <w:szCs w:val="22"/>
      <w:lang w:eastAsia="en-US"/>
    </w:rPr>
  </w:style>
  <w:style w:type="paragraph" w:customStyle="1" w:styleId="textBOX">
    <w:name w:val="text BOX"/>
    <w:uiPriority w:val="1"/>
    <w:qFormat/>
    <w:rsid w:val="00C016C5"/>
    <w:pPr>
      <w:pBdr>
        <w:left w:val="single" w:sz="36" w:space="4" w:color="auto"/>
      </w:pBdr>
      <w:shd w:val="clear" w:color="auto" w:fill="F2F2F2" w:themeFill="background1" w:themeFillShade="F2"/>
      <w:spacing w:before="120" w:after="240" w:line="264" w:lineRule="auto"/>
      <w:ind w:left="144"/>
    </w:pPr>
    <w:rPr>
      <w:rFonts w:ascii="EC Square Sans Pro" w:eastAsiaTheme="minorEastAsia" w:hAnsi="EC Square Sans Pro" w:cstheme="minorBidi"/>
      <w:sz w:val="22"/>
      <w:szCs w:val="22"/>
      <w:lang w:eastAsia="en-GB"/>
    </w:rPr>
  </w:style>
  <w:style w:type="paragraph" w:styleId="NoSpacing">
    <w:name w:val="No Spacing"/>
    <w:uiPriority w:val="1"/>
    <w:qFormat/>
    <w:locked/>
    <w:rsid w:val="00C016C5"/>
    <w:pPr>
      <w:jc w:val="both"/>
    </w:pPr>
    <w:rPr>
      <w:rFonts w:ascii="EC Square Sans Pro" w:hAnsi="EC Square Sans Pro"/>
      <w:sz w:val="22"/>
      <w:lang w:eastAsia="en-GB"/>
    </w:rPr>
  </w:style>
  <w:style w:type="character" w:styleId="Emphasis">
    <w:name w:val="Emphasis"/>
    <w:basedOn w:val="DefaultParagraphFont"/>
    <w:uiPriority w:val="20"/>
    <w:qFormat/>
    <w:locked/>
    <w:rsid w:val="00C016C5"/>
    <w:rPr>
      <w:rFonts w:ascii="EC Square Sans Pro" w:hAnsi="EC Square Sans Pro"/>
      <w:b/>
      <w:i/>
      <w:iCs/>
      <w:lang w:val="en-GB"/>
    </w:rPr>
  </w:style>
  <w:style w:type="character" w:styleId="SubtleEmphasis">
    <w:name w:val="Subtle Emphasis"/>
    <w:basedOn w:val="DefaultParagraphFont"/>
    <w:uiPriority w:val="19"/>
    <w:qFormat/>
    <w:locked/>
    <w:rsid w:val="00C016C5"/>
    <w:rPr>
      <w:rFonts w:ascii="EC Square Sans Pro" w:hAnsi="EC Square Sans Pro"/>
      <w:b/>
      <w:i/>
      <w:iCs/>
      <w:color w:val="404040" w:themeColor="text1" w:themeTint="BF"/>
      <w:sz w:val="22"/>
      <w:lang w:val="en-GB"/>
    </w:rPr>
  </w:style>
  <w:style w:type="paragraph" w:styleId="NormalWeb">
    <w:name w:val="Normal (Web)"/>
    <w:basedOn w:val="Normal"/>
    <w:uiPriority w:val="99"/>
    <w:unhideWhenUsed/>
    <w:locked/>
    <w:rsid w:val="00C016C5"/>
    <w:pPr>
      <w:spacing w:before="100" w:beforeAutospacing="1" w:after="100" w:afterAutospacing="1" w:line="264" w:lineRule="auto"/>
      <w:jc w:val="left"/>
    </w:pPr>
    <w:rPr>
      <w:rFonts w:ascii="Times New Roman" w:eastAsiaTheme="minorHAnsi" w:hAnsi="Times New Roman" w:cstheme="minorBidi"/>
      <w:szCs w:val="24"/>
      <w:lang w:eastAsia="en-US"/>
    </w:rPr>
  </w:style>
  <w:style w:type="character" w:customStyle="1" w:styleId="outreachitemheading">
    <w:name w:val="outreach__item__heading"/>
    <w:basedOn w:val="DefaultParagraphFont"/>
    <w:rsid w:val="00C016C5"/>
    <w:rPr>
      <w:lang w:val="en-GB"/>
    </w:rPr>
  </w:style>
  <w:style w:type="character" w:customStyle="1" w:styleId="outreachitemdesc">
    <w:name w:val="outreach__item__desc"/>
    <w:basedOn w:val="DefaultParagraphFont"/>
    <w:rsid w:val="00C016C5"/>
    <w:rPr>
      <w:lang w:val="en-GB"/>
    </w:rPr>
  </w:style>
  <w:style w:type="character" w:customStyle="1" w:styleId="Heading4Char">
    <w:name w:val="Heading 4 Char"/>
    <w:basedOn w:val="DefaultParagraphFont"/>
    <w:link w:val="Heading4"/>
    <w:uiPriority w:val="9"/>
    <w:rsid w:val="00C016C5"/>
    <w:rPr>
      <w:rFonts w:ascii="EC Square Sans Pro" w:hAnsi="EC Square Sans Pro"/>
    </w:rPr>
  </w:style>
  <w:style w:type="character" w:styleId="IntenseEmphasis">
    <w:name w:val="Intense Emphasis"/>
    <w:basedOn w:val="DefaultParagraphFont"/>
    <w:uiPriority w:val="21"/>
    <w:qFormat/>
    <w:locked/>
    <w:rsid w:val="00C016C5"/>
    <w:rPr>
      <w:i/>
      <w:iCs/>
      <w:color w:val="auto"/>
      <w:lang w:val="en-GB"/>
    </w:rPr>
  </w:style>
  <w:style w:type="character" w:customStyle="1" w:styleId="Heading5Char">
    <w:name w:val="Heading 5 Char"/>
    <w:basedOn w:val="DefaultParagraphFont"/>
    <w:link w:val="Heading5"/>
    <w:uiPriority w:val="9"/>
    <w:semiHidden/>
    <w:rsid w:val="00C016C5"/>
    <w:rPr>
      <w:rFonts w:ascii="EC Square Sans Pro" w:hAnsi="EC Square Sans Pro"/>
    </w:rPr>
  </w:style>
  <w:style w:type="character" w:styleId="CommentReference">
    <w:name w:val="annotation reference"/>
    <w:basedOn w:val="DefaultParagraphFont"/>
    <w:uiPriority w:val="99"/>
    <w:unhideWhenUsed/>
    <w:locked/>
    <w:rsid w:val="00C016C5"/>
    <w:rPr>
      <w:sz w:val="16"/>
      <w:szCs w:val="16"/>
      <w:lang w:val="en-GB"/>
    </w:rPr>
  </w:style>
  <w:style w:type="paragraph" w:styleId="CommentSubject">
    <w:name w:val="annotation subject"/>
    <w:basedOn w:val="CommentText"/>
    <w:next w:val="CommentText"/>
    <w:link w:val="CommentSubjectChar"/>
    <w:uiPriority w:val="99"/>
    <w:semiHidden/>
    <w:unhideWhenUsed/>
    <w:locked/>
    <w:rsid w:val="00C016C5"/>
    <w:rPr>
      <w:b/>
      <w:bCs/>
    </w:rPr>
  </w:style>
  <w:style w:type="character" w:customStyle="1" w:styleId="CommentSubjectChar">
    <w:name w:val="Comment Subject Char"/>
    <w:basedOn w:val="CommentTextChar"/>
    <w:link w:val="CommentSubject"/>
    <w:uiPriority w:val="99"/>
    <w:semiHidden/>
    <w:rsid w:val="00C016C5"/>
    <w:rPr>
      <w:rFonts w:ascii="EC Square Sans Pro" w:eastAsiaTheme="minorHAnsi" w:hAnsi="EC Square Sans Pro" w:cstheme="minorBidi"/>
      <w:b/>
      <w:bCs/>
      <w:sz w:val="20"/>
      <w:szCs w:val="22"/>
      <w:lang w:eastAsia="en-US"/>
    </w:rPr>
  </w:style>
  <w:style w:type="paragraph" w:customStyle="1" w:styleId="Header-OddPage">
    <w:name w:val="Header - Odd Page"/>
    <w:basedOn w:val="Header"/>
    <w:qFormat/>
    <w:rsid w:val="00C016C5"/>
    <w:pPr>
      <w:tabs>
        <w:tab w:val="clear" w:pos="4150"/>
        <w:tab w:val="clear" w:pos="8306"/>
        <w:tab w:val="left" w:pos="1471"/>
      </w:tabs>
      <w:spacing w:before="180" w:line="264" w:lineRule="auto"/>
      <w:jc w:val="right"/>
    </w:pPr>
    <w:rPr>
      <w:rFonts w:eastAsiaTheme="minorHAnsi" w:cstheme="minorBidi"/>
      <w:sz w:val="22"/>
      <w:szCs w:val="22"/>
      <w:lang w:eastAsia="en-US"/>
    </w:rPr>
  </w:style>
  <w:style w:type="paragraph" w:customStyle="1" w:styleId="BASE-STYLE-TEXT">
    <w:name w:val="_BASE-STYLE-TEXT"/>
    <w:next w:val="Normal"/>
    <w:rsid w:val="00C016C5"/>
    <w:pPr>
      <w:spacing w:after="200" w:line="264" w:lineRule="auto"/>
      <w:jc w:val="both"/>
    </w:pPr>
    <w:rPr>
      <w:rFonts w:ascii="EC Square Sans Pro" w:eastAsiaTheme="majorEastAsia" w:hAnsi="EC Square Sans Pro" w:cstheme="majorBidi"/>
      <w:color w:val="000000"/>
      <w:sz w:val="18"/>
      <w:szCs w:val="72"/>
      <w:lang w:eastAsia="en-GB"/>
    </w:rPr>
  </w:style>
  <w:style w:type="paragraph" w:customStyle="1" w:styleId="BASE-STYLE-HEADINGS">
    <w:name w:val="_BASE-STYLE-HEADINGS"/>
    <w:basedOn w:val="BASE-STYLE-TEXT"/>
    <w:next w:val="Normal"/>
    <w:rsid w:val="00C016C5"/>
  </w:style>
  <w:style w:type="paragraph" w:customStyle="1" w:styleId="ppoHeading3White">
    <w:name w:val="[ppo] Heading 3 (White)"/>
    <w:basedOn w:val="BASE-STYLE-HEADINGS"/>
    <w:qFormat/>
    <w:rsid w:val="00C016C5"/>
    <w:pPr>
      <w:keepNext/>
      <w:keepLines/>
      <w:spacing w:after="120" w:line="240" w:lineRule="auto"/>
      <w:ind w:left="-272"/>
      <w:outlineLvl w:val="2"/>
    </w:pPr>
    <w:rPr>
      <w:b/>
      <w:color w:val="FFFFFF" w:themeColor="background1"/>
      <w:sz w:val="96"/>
    </w:rPr>
  </w:style>
  <w:style w:type="paragraph" w:customStyle="1" w:styleId="ppoProgrammenameWhite">
    <w:name w:val="[ppo] Programme name (White)"/>
    <w:basedOn w:val="BASE-STYLE-TEXT"/>
    <w:next w:val="Normal"/>
    <w:qFormat/>
    <w:rsid w:val="00C016C5"/>
    <w:pPr>
      <w:spacing w:after="480" w:line="240" w:lineRule="auto"/>
      <w:ind w:left="-270"/>
    </w:pPr>
    <w:rPr>
      <w:rFonts w:eastAsiaTheme="minorEastAsia" w:cs="Times New Roman"/>
      <w:color w:val="FFFFFF" w:themeColor="background1"/>
      <w:sz w:val="32"/>
      <w:szCs w:val="20"/>
    </w:rPr>
  </w:style>
  <w:style w:type="paragraph" w:styleId="Bibliography">
    <w:name w:val="Bibliography"/>
    <w:basedOn w:val="Normal"/>
    <w:next w:val="Normal"/>
    <w:uiPriority w:val="37"/>
    <w:semiHidden/>
    <w:unhideWhenUsed/>
    <w:locked/>
    <w:rsid w:val="00C016C5"/>
    <w:pPr>
      <w:spacing w:line="264" w:lineRule="auto"/>
      <w:jc w:val="left"/>
    </w:pPr>
    <w:rPr>
      <w:rFonts w:eastAsiaTheme="minorHAnsi" w:cstheme="minorBidi"/>
      <w:sz w:val="22"/>
      <w:szCs w:val="22"/>
      <w:lang w:eastAsia="en-US"/>
    </w:rPr>
  </w:style>
  <w:style w:type="paragraph" w:styleId="BlockText">
    <w:name w:val="Block Text"/>
    <w:basedOn w:val="Normal"/>
    <w:uiPriority w:val="99"/>
    <w:semiHidden/>
    <w:unhideWhenUsed/>
    <w:locked/>
    <w:rsid w:val="00C016C5"/>
    <w:pPr>
      <w:pBdr>
        <w:top w:val="single" w:sz="2" w:space="10" w:color="028F1A" w:themeColor="accent1" w:frame="1"/>
        <w:left w:val="single" w:sz="2" w:space="10" w:color="028F1A" w:themeColor="accent1" w:frame="1"/>
        <w:bottom w:val="single" w:sz="2" w:space="10" w:color="028F1A" w:themeColor="accent1" w:frame="1"/>
        <w:right w:val="single" w:sz="2" w:space="10" w:color="028F1A" w:themeColor="accent1" w:frame="1"/>
      </w:pBdr>
      <w:spacing w:line="264" w:lineRule="auto"/>
      <w:ind w:left="1152" w:right="1152"/>
      <w:jc w:val="left"/>
    </w:pPr>
    <w:rPr>
      <w:rFonts w:asciiTheme="minorHAnsi" w:eastAsiaTheme="minorEastAsia" w:hAnsiTheme="minorHAnsi" w:cstheme="minorBidi"/>
      <w:i/>
      <w:iCs/>
      <w:color w:val="028F1A" w:themeColor="accent1"/>
      <w:sz w:val="22"/>
      <w:szCs w:val="22"/>
      <w:lang w:eastAsia="en-US"/>
    </w:rPr>
  </w:style>
  <w:style w:type="paragraph" w:styleId="BodyText2">
    <w:name w:val="Body Text 2"/>
    <w:basedOn w:val="Normal"/>
    <w:link w:val="BodyText2Char"/>
    <w:uiPriority w:val="99"/>
    <w:semiHidden/>
    <w:unhideWhenUsed/>
    <w:locked/>
    <w:rsid w:val="00C016C5"/>
    <w:pPr>
      <w:spacing w:after="120" w:line="480" w:lineRule="auto"/>
      <w:jc w:val="left"/>
    </w:pPr>
    <w:rPr>
      <w:rFonts w:eastAsiaTheme="minorHAnsi" w:cstheme="minorBidi"/>
      <w:sz w:val="22"/>
      <w:szCs w:val="22"/>
      <w:lang w:eastAsia="en-US"/>
    </w:rPr>
  </w:style>
  <w:style w:type="character" w:customStyle="1" w:styleId="BodyText2Char">
    <w:name w:val="Body Text 2 Char"/>
    <w:basedOn w:val="DefaultParagraphFont"/>
    <w:link w:val="BodyText2"/>
    <w:uiPriority w:val="99"/>
    <w:semiHidden/>
    <w:rsid w:val="00C016C5"/>
    <w:rPr>
      <w:rFonts w:ascii="EC Square Sans Pro" w:eastAsiaTheme="minorHAnsi" w:hAnsi="EC Square Sans Pro" w:cstheme="minorBidi"/>
      <w:sz w:val="22"/>
      <w:szCs w:val="22"/>
      <w:lang w:eastAsia="en-US"/>
    </w:rPr>
  </w:style>
  <w:style w:type="paragraph" w:styleId="BodyText3">
    <w:name w:val="Body Text 3"/>
    <w:basedOn w:val="Normal"/>
    <w:link w:val="BodyText3Char"/>
    <w:uiPriority w:val="99"/>
    <w:semiHidden/>
    <w:unhideWhenUsed/>
    <w:locked/>
    <w:rsid w:val="00C016C5"/>
    <w:pPr>
      <w:spacing w:after="120" w:line="264" w:lineRule="auto"/>
      <w:jc w:val="left"/>
    </w:pPr>
    <w:rPr>
      <w:rFonts w:eastAsiaTheme="minorHAnsi" w:cstheme="minorBidi"/>
      <w:sz w:val="16"/>
      <w:szCs w:val="16"/>
      <w:lang w:eastAsia="en-US"/>
    </w:rPr>
  </w:style>
  <w:style w:type="character" w:customStyle="1" w:styleId="BodyText3Char">
    <w:name w:val="Body Text 3 Char"/>
    <w:basedOn w:val="DefaultParagraphFont"/>
    <w:link w:val="BodyText3"/>
    <w:uiPriority w:val="99"/>
    <w:semiHidden/>
    <w:rsid w:val="00C016C5"/>
    <w:rPr>
      <w:rFonts w:ascii="EC Square Sans Pro" w:eastAsiaTheme="minorHAnsi" w:hAnsi="EC Square Sans Pro" w:cstheme="minorBidi"/>
      <w:sz w:val="16"/>
      <w:szCs w:val="16"/>
      <w:lang w:eastAsia="en-US"/>
    </w:rPr>
  </w:style>
  <w:style w:type="paragraph" w:styleId="BodyTextFirstIndent">
    <w:name w:val="Body Text First Indent"/>
    <w:basedOn w:val="BodyText"/>
    <w:link w:val="BodyTextFirstIndentChar"/>
    <w:uiPriority w:val="99"/>
    <w:semiHidden/>
    <w:unhideWhenUsed/>
    <w:locked/>
    <w:rsid w:val="00C016C5"/>
    <w:pPr>
      <w:spacing w:after="240" w:line="264" w:lineRule="auto"/>
      <w:ind w:firstLine="360"/>
      <w:jc w:val="left"/>
    </w:pPr>
    <w:rPr>
      <w:rFonts w:eastAsiaTheme="minorHAnsi" w:cstheme="minorBidi"/>
      <w:sz w:val="22"/>
      <w:szCs w:val="22"/>
      <w:lang w:eastAsia="en-US"/>
    </w:rPr>
  </w:style>
  <w:style w:type="character" w:customStyle="1" w:styleId="BodyTextFirstIndentChar">
    <w:name w:val="Body Text First Indent Char"/>
    <w:basedOn w:val="BodyTextChar"/>
    <w:link w:val="BodyTextFirstIndent"/>
    <w:uiPriority w:val="99"/>
    <w:semiHidden/>
    <w:rsid w:val="00C016C5"/>
    <w:rPr>
      <w:rFonts w:ascii="EC Square Sans Pro" w:eastAsiaTheme="minorHAnsi" w:hAnsi="EC Square Sans Pro" w:cstheme="minorBidi"/>
      <w:sz w:val="22"/>
      <w:szCs w:val="22"/>
      <w:lang w:eastAsia="en-US"/>
    </w:rPr>
  </w:style>
  <w:style w:type="paragraph" w:styleId="BodyTextIndent">
    <w:name w:val="Body Text Indent"/>
    <w:basedOn w:val="Normal"/>
    <w:link w:val="BodyTextIndentChar"/>
    <w:uiPriority w:val="99"/>
    <w:semiHidden/>
    <w:unhideWhenUsed/>
    <w:locked/>
    <w:rsid w:val="00C016C5"/>
    <w:pPr>
      <w:spacing w:after="120" w:line="264" w:lineRule="auto"/>
      <w:ind w:left="283"/>
      <w:jc w:val="left"/>
    </w:pPr>
    <w:rPr>
      <w:rFonts w:eastAsiaTheme="minorHAnsi" w:cstheme="minorBidi"/>
      <w:sz w:val="22"/>
      <w:szCs w:val="22"/>
      <w:lang w:eastAsia="en-US"/>
    </w:rPr>
  </w:style>
  <w:style w:type="character" w:customStyle="1" w:styleId="BodyTextIndentChar">
    <w:name w:val="Body Text Indent Char"/>
    <w:basedOn w:val="DefaultParagraphFont"/>
    <w:link w:val="BodyTextIndent"/>
    <w:uiPriority w:val="99"/>
    <w:semiHidden/>
    <w:rsid w:val="00C016C5"/>
    <w:rPr>
      <w:rFonts w:ascii="EC Square Sans Pro" w:eastAsiaTheme="minorHAnsi" w:hAnsi="EC Square Sans Pro" w:cstheme="minorBidi"/>
      <w:sz w:val="22"/>
      <w:szCs w:val="22"/>
      <w:lang w:eastAsia="en-US"/>
    </w:rPr>
  </w:style>
  <w:style w:type="paragraph" w:styleId="BodyTextFirstIndent2">
    <w:name w:val="Body Text First Indent 2"/>
    <w:basedOn w:val="BodyTextIndent"/>
    <w:link w:val="BodyTextFirstIndent2Char"/>
    <w:uiPriority w:val="99"/>
    <w:semiHidden/>
    <w:unhideWhenUsed/>
    <w:locked/>
    <w:rsid w:val="00C016C5"/>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C016C5"/>
    <w:rPr>
      <w:rFonts w:ascii="EC Square Sans Pro" w:eastAsiaTheme="minorHAnsi" w:hAnsi="EC Square Sans Pro" w:cstheme="minorBidi"/>
      <w:sz w:val="22"/>
      <w:szCs w:val="22"/>
      <w:lang w:eastAsia="en-US"/>
    </w:rPr>
  </w:style>
  <w:style w:type="paragraph" w:styleId="BodyTextIndent2">
    <w:name w:val="Body Text Indent 2"/>
    <w:basedOn w:val="Normal"/>
    <w:link w:val="BodyTextIndent2Char"/>
    <w:uiPriority w:val="99"/>
    <w:semiHidden/>
    <w:unhideWhenUsed/>
    <w:locked/>
    <w:rsid w:val="00C016C5"/>
    <w:pPr>
      <w:spacing w:after="120" w:line="480" w:lineRule="auto"/>
      <w:ind w:left="283"/>
      <w:jc w:val="left"/>
    </w:pPr>
    <w:rPr>
      <w:rFonts w:eastAsiaTheme="minorHAnsi" w:cstheme="minorBidi"/>
      <w:sz w:val="22"/>
      <w:szCs w:val="22"/>
      <w:lang w:eastAsia="en-US"/>
    </w:rPr>
  </w:style>
  <w:style w:type="character" w:customStyle="1" w:styleId="BodyTextIndent2Char">
    <w:name w:val="Body Text Indent 2 Char"/>
    <w:basedOn w:val="DefaultParagraphFont"/>
    <w:link w:val="BodyTextIndent2"/>
    <w:uiPriority w:val="99"/>
    <w:semiHidden/>
    <w:rsid w:val="00C016C5"/>
    <w:rPr>
      <w:rFonts w:ascii="EC Square Sans Pro" w:eastAsiaTheme="minorHAnsi" w:hAnsi="EC Square Sans Pro" w:cstheme="minorBidi"/>
      <w:sz w:val="22"/>
      <w:szCs w:val="22"/>
      <w:lang w:eastAsia="en-US"/>
    </w:rPr>
  </w:style>
  <w:style w:type="paragraph" w:styleId="BodyTextIndent3">
    <w:name w:val="Body Text Indent 3"/>
    <w:basedOn w:val="Normal"/>
    <w:link w:val="BodyTextIndent3Char"/>
    <w:uiPriority w:val="99"/>
    <w:semiHidden/>
    <w:unhideWhenUsed/>
    <w:locked/>
    <w:rsid w:val="00C016C5"/>
    <w:pPr>
      <w:spacing w:after="120" w:line="264" w:lineRule="auto"/>
      <w:ind w:left="283"/>
      <w:jc w:val="left"/>
    </w:pPr>
    <w:rPr>
      <w:rFonts w:eastAsiaTheme="minorHAnsi" w:cstheme="minorBidi"/>
      <w:sz w:val="16"/>
      <w:szCs w:val="16"/>
      <w:lang w:eastAsia="en-US"/>
    </w:rPr>
  </w:style>
  <w:style w:type="character" w:customStyle="1" w:styleId="BodyTextIndent3Char">
    <w:name w:val="Body Text Indent 3 Char"/>
    <w:basedOn w:val="DefaultParagraphFont"/>
    <w:link w:val="BodyTextIndent3"/>
    <w:uiPriority w:val="99"/>
    <w:semiHidden/>
    <w:rsid w:val="00C016C5"/>
    <w:rPr>
      <w:rFonts w:ascii="EC Square Sans Pro" w:eastAsiaTheme="minorHAnsi" w:hAnsi="EC Square Sans Pro" w:cstheme="minorBidi"/>
      <w:sz w:val="16"/>
      <w:szCs w:val="16"/>
      <w:lang w:eastAsia="en-US"/>
    </w:rPr>
  </w:style>
  <w:style w:type="character" w:styleId="BookTitle">
    <w:name w:val="Book Title"/>
    <w:basedOn w:val="DefaultParagraphFont"/>
    <w:uiPriority w:val="33"/>
    <w:qFormat/>
    <w:locked/>
    <w:rsid w:val="00C016C5"/>
    <w:rPr>
      <w:b/>
      <w:bCs/>
      <w:i/>
      <w:iCs/>
      <w:spacing w:val="5"/>
      <w:lang w:val="en-GB"/>
    </w:rPr>
  </w:style>
  <w:style w:type="character" w:customStyle="1" w:styleId="ClosingChar">
    <w:name w:val="Closing Char"/>
    <w:basedOn w:val="DefaultParagraphFont"/>
    <w:link w:val="Closing"/>
    <w:uiPriority w:val="99"/>
    <w:rsid w:val="00C016C5"/>
    <w:rPr>
      <w:rFonts w:ascii="EC Square Sans Pro" w:hAnsi="EC Square Sans Pro"/>
    </w:rPr>
  </w:style>
  <w:style w:type="character" w:customStyle="1" w:styleId="DateChar">
    <w:name w:val="Date Char"/>
    <w:basedOn w:val="DefaultParagraphFont"/>
    <w:link w:val="Date"/>
    <w:uiPriority w:val="99"/>
    <w:rsid w:val="00C016C5"/>
    <w:rPr>
      <w:rFonts w:ascii="EC Square Sans Pro" w:hAnsi="EC Square Sans Pro"/>
    </w:rPr>
  </w:style>
  <w:style w:type="paragraph" w:styleId="DocumentMap">
    <w:name w:val="Document Map"/>
    <w:basedOn w:val="Normal"/>
    <w:link w:val="DocumentMapChar"/>
    <w:uiPriority w:val="99"/>
    <w:semiHidden/>
    <w:unhideWhenUsed/>
    <w:locked/>
    <w:rsid w:val="00C016C5"/>
    <w:pPr>
      <w:spacing w:after="0" w:line="264" w:lineRule="auto"/>
      <w:jc w:val="left"/>
    </w:pPr>
    <w:rPr>
      <w:rFonts w:ascii="Segoe UI" w:eastAsiaTheme="minorHAnsi" w:hAnsi="Segoe UI" w:cs="Segoe UI"/>
      <w:sz w:val="16"/>
      <w:szCs w:val="16"/>
      <w:lang w:eastAsia="en-US"/>
    </w:rPr>
  </w:style>
  <w:style w:type="character" w:customStyle="1" w:styleId="DocumentMapChar">
    <w:name w:val="Document Map Char"/>
    <w:basedOn w:val="DefaultParagraphFont"/>
    <w:link w:val="DocumentMap"/>
    <w:uiPriority w:val="99"/>
    <w:semiHidden/>
    <w:rsid w:val="00C016C5"/>
    <w:rPr>
      <w:rFonts w:ascii="Segoe UI" w:eastAsiaTheme="minorHAnsi" w:hAnsi="Segoe UI" w:cs="Segoe UI"/>
      <w:sz w:val="16"/>
      <w:szCs w:val="16"/>
      <w:lang w:eastAsia="en-US"/>
    </w:rPr>
  </w:style>
  <w:style w:type="paragraph" w:styleId="E-mailSignature">
    <w:name w:val="E-mail Signature"/>
    <w:basedOn w:val="Normal"/>
    <w:link w:val="E-mailSignatureChar"/>
    <w:uiPriority w:val="99"/>
    <w:semiHidden/>
    <w:unhideWhenUsed/>
    <w:locked/>
    <w:rsid w:val="00C016C5"/>
    <w:pPr>
      <w:spacing w:after="0" w:line="264" w:lineRule="auto"/>
      <w:jc w:val="left"/>
    </w:pPr>
    <w:rPr>
      <w:rFonts w:eastAsiaTheme="minorHAnsi" w:cstheme="minorBidi"/>
      <w:sz w:val="22"/>
      <w:szCs w:val="22"/>
      <w:lang w:eastAsia="en-US"/>
    </w:rPr>
  </w:style>
  <w:style w:type="character" w:customStyle="1" w:styleId="E-mailSignatureChar">
    <w:name w:val="E-mail Signature Char"/>
    <w:basedOn w:val="DefaultParagraphFont"/>
    <w:link w:val="E-mailSignature"/>
    <w:uiPriority w:val="99"/>
    <w:semiHidden/>
    <w:rsid w:val="00C016C5"/>
    <w:rPr>
      <w:rFonts w:ascii="EC Square Sans Pro" w:eastAsiaTheme="minorHAnsi" w:hAnsi="EC Square Sans Pro" w:cstheme="minorBidi"/>
      <w:sz w:val="22"/>
      <w:szCs w:val="22"/>
      <w:lang w:eastAsia="en-US"/>
    </w:rPr>
  </w:style>
  <w:style w:type="character" w:styleId="EndnoteReference">
    <w:name w:val="endnote reference"/>
    <w:basedOn w:val="DefaultParagraphFont"/>
    <w:uiPriority w:val="99"/>
    <w:semiHidden/>
    <w:unhideWhenUsed/>
    <w:locked/>
    <w:rsid w:val="00C016C5"/>
    <w:rPr>
      <w:vertAlign w:val="superscript"/>
      <w:lang w:val="en-GB"/>
    </w:rPr>
  </w:style>
  <w:style w:type="character" w:customStyle="1" w:styleId="EndnoteTextChar">
    <w:name w:val="Endnote Text Char"/>
    <w:basedOn w:val="DefaultParagraphFont"/>
    <w:link w:val="EndnoteText"/>
    <w:uiPriority w:val="99"/>
    <w:semiHidden/>
    <w:rsid w:val="00C016C5"/>
    <w:rPr>
      <w:rFonts w:ascii="EC Square Sans Pro" w:hAnsi="EC Square Sans Pro"/>
      <w:sz w:val="20"/>
    </w:rPr>
  </w:style>
  <w:style w:type="paragraph" w:styleId="EnvelopeAddress">
    <w:name w:val="envelope address"/>
    <w:basedOn w:val="Normal"/>
    <w:uiPriority w:val="99"/>
    <w:semiHidden/>
    <w:unhideWhenUsed/>
    <w:locked/>
    <w:rsid w:val="00C016C5"/>
    <w:pPr>
      <w:framePr w:w="7920" w:h="1980" w:hRule="exact" w:hSpace="180" w:wrap="auto" w:hAnchor="page" w:xAlign="center" w:yAlign="bottom"/>
      <w:spacing w:after="0" w:line="264" w:lineRule="auto"/>
      <w:ind w:left="2880"/>
      <w:jc w:val="left"/>
    </w:pPr>
    <w:rPr>
      <w:rFonts w:asciiTheme="majorHAnsi" w:eastAsiaTheme="majorEastAsia" w:hAnsiTheme="majorHAnsi" w:cstheme="majorBidi"/>
      <w:szCs w:val="24"/>
      <w:lang w:eastAsia="en-US"/>
    </w:rPr>
  </w:style>
  <w:style w:type="paragraph" w:styleId="EnvelopeReturn">
    <w:name w:val="envelope return"/>
    <w:basedOn w:val="Normal"/>
    <w:uiPriority w:val="99"/>
    <w:semiHidden/>
    <w:unhideWhenUsed/>
    <w:locked/>
    <w:rsid w:val="00C016C5"/>
    <w:pPr>
      <w:spacing w:after="0" w:line="264" w:lineRule="auto"/>
      <w:jc w:val="left"/>
    </w:pPr>
    <w:rPr>
      <w:rFonts w:asciiTheme="majorHAnsi" w:eastAsiaTheme="majorEastAsia" w:hAnsiTheme="majorHAnsi" w:cstheme="majorBidi"/>
      <w:sz w:val="20"/>
      <w:szCs w:val="22"/>
      <w:lang w:eastAsia="en-US"/>
    </w:rPr>
  </w:style>
  <w:style w:type="character" w:styleId="FollowedHyperlink">
    <w:name w:val="FollowedHyperlink"/>
    <w:basedOn w:val="DefaultParagraphFont"/>
    <w:uiPriority w:val="99"/>
    <w:semiHidden/>
    <w:unhideWhenUsed/>
    <w:locked/>
    <w:rsid w:val="00C016C5"/>
    <w:rPr>
      <w:color w:val="800080" w:themeColor="followedHyperlink"/>
      <w:u w:val="single"/>
      <w:lang w:val="en-GB"/>
    </w:rPr>
  </w:style>
  <w:style w:type="character" w:customStyle="1" w:styleId="Heading6Char">
    <w:name w:val="Heading 6 Char"/>
    <w:basedOn w:val="DefaultParagraphFont"/>
    <w:link w:val="Heading6"/>
    <w:uiPriority w:val="9"/>
    <w:semiHidden/>
    <w:rsid w:val="00C016C5"/>
    <w:rPr>
      <w:rFonts w:ascii="EC Square Sans Pro" w:hAnsi="EC Square Sans Pro"/>
    </w:rPr>
  </w:style>
  <w:style w:type="character" w:customStyle="1" w:styleId="Heading7Char">
    <w:name w:val="Heading 7 Char"/>
    <w:basedOn w:val="DefaultParagraphFont"/>
    <w:link w:val="Heading7"/>
    <w:uiPriority w:val="9"/>
    <w:semiHidden/>
    <w:rsid w:val="00C016C5"/>
    <w:rPr>
      <w:rFonts w:ascii="EC Square Sans Pro" w:hAnsi="EC Square Sans Pro"/>
    </w:rPr>
  </w:style>
  <w:style w:type="character" w:customStyle="1" w:styleId="Heading8Char">
    <w:name w:val="Heading 8 Char"/>
    <w:basedOn w:val="DefaultParagraphFont"/>
    <w:link w:val="Heading8"/>
    <w:uiPriority w:val="9"/>
    <w:semiHidden/>
    <w:rsid w:val="00C016C5"/>
    <w:rPr>
      <w:rFonts w:ascii="EC Square Sans Pro" w:hAnsi="EC Square Sans Pro"/>
    </w:rPr>
  </w:style>
  <w:style w:type="character" w:customStyle="1" w:styleId="Heading9Char">
    <w:name w:val="Heading 9 Char"/>
    <w:basedOn w:val="DefaultParagraphFont"/>
    <w:link w:val="Heading9"/>
    <w:uiPriority w:val="9"/>
    <w:semiHidden/>
    <w:rsid w:val="00C016C5"/>
    <w:rPr>
      <w:rFonts w:ascii="EC Square Sans Pro" w:hAnsi="EC Square Sans Pro"/>
    </w:rPr>
  </w:style>
  <w:style w:type="character" w:styleId="HTMLAcronym">
    <w:name w:val="HTML Acronym"/>
    <w:basedOn w:val="DefaultParagraphFont"/>
    <w:uiPriority w:val="99"/>
    <w:semiHidden/>
    <w:unhideWhenUsed/>
    <w:locked/>
    <w:rsid w:val="00C016C5"/>
    <w:rPr>
      <w:lang w:val="en-GB"/>
    </w:rPr>
  </w:style>
  <w:style w:type="paragraph" w:styleId="HTMLAddress">
    <w:name w:val="HTML Address"/>
    <w:basedOn w:val="Normal"/>
    <w:link w:val="HTMLAddressChar"/>
    <w:uiPriority w:val="99"/>
    <w:semiHidden/>
    <w:unhideWhenUsed/>
    <w:locked/>
    <w:rsid w:val="00C016C5"/>
    <w:pPr>
      <w:spacing w:after="0" w:line="264" w:lineRule="auto"/>
      <w:jc w:val="left"/>
    </w:pPr>
    <w:rPr>
      <w:rFonts w:eastAsiaTheme="minorHAnsi" w:cstheme="minorBidi"/>
      <w:i/>
      <w:iCs/>
      <w:sz w:val="22"/>
      <w:szCs w:val="22"/>
      <w:lang w:eastAsia="en-US"/>
    </w:rPr>
  </w:style>
  <w:style w:type="character" w:customStyle="1" w:styleId="HTMLAddressChar">
    <w:name w:val="HTML Address Char"/>
    <w:basedOn w:val="DefaultParagraphFont"/>
    <w:link w:val="HTMLAddress"/>
    <w:uiPriority w:val="99"/>
    <w:semiHidden/>
    <w:rsid w:val="00C016C5"/>
    <w:rPr>
      <w:rFonts w:ascii="EC Square Sans Pro" w:eastAsiaTheme="minorHAnsi" w:hAnsi="EC Square Sans Pro" w:cstheme="minorBidi"/>
      <w:i/>
      <w:iCs/>
      <w:sz w:val="22"/>
      <w:szCs w:val="22"/>
      <w:lang w:eastAsia="en-US"/>
    </w:rPr>
  </w:style>
  <w:style w:type="character" w:styleId="HTMLCite">
    <w:name w:val="HTML Cite"/>
    <w:basedOn w:val="DefaultParagraphFont"/>
    <w:uiPriority w:val="99"/>
    <w:semiHidden/>
    <w:unhideWhenUsed/>
    <w:locked/>
    <w:rsid w:val="00C016C5"/>
    <w:rPr>
      <w:i/>
      <w:iCs/>
      <w:lang w:val="en-GB"/>
    </w:rPr>
  </w:style>
  <w:style w:type="character" w:styleId="HTMLCode">
    <w:name w:val="HTML Code"/>
    <w:basedOn w:val="DefaultParagraphFont"/>
    <w:uiPriority w:val="99"/>
    <w:semiHidden/>
    <w:unhideWhenUsed/>
    <w:locked/>
    <w:rsid w:val="00C016C5"/>
    <w:rPr>
      <w:rFonts w:ascii="Consolas" w:hAnsi="Consolas"/>
      <w:sz w:val="20"/>
      <w:szCs w:val="20"/>
      <w:lang w:val="en-GB"/>
    </w:rPr>
  </w:style>
  <w:style w:type="character" w:styleId="HTMLDefinition">
    <w:name w:val="HTML Definition"/>
    <w:basedOn w:val="DefaultParagraphFont"/>
    <w:uiPriority w:val="99"/>
    <w:semiHidden/>
    <w:unhideWhenUsed/>
    <w:locked/>
    <w:rsid w:val="00C016C5"/>
    <w:rPr>
      <w:i/>
      <w:iCs/>
      <w:lang w:val="en-GB"/>
    </w:rPr>
  </w:style>
  <w:style w:type="character" w:styleId="HTMLKeyboard">
    <w:name w:val="HTML Keyboard"/>
    <w:basedOn w:val="DefaultParagraphFont"/>
    <w:uiPriority w:val="99"/>
    <w:semiHidden/>
    <w:unhideWhenUsed/>
    <w:locked/>
    <w:rsid w:val="00C016C5"/>
    <w:rPr>
      <w:rFonts w:ascii="Consolas" w:hAnsi="Consolas"/>
      <w:sz w:val="20"/>
      <w:szCs w:val="20"/>
      <w:lang w:val="en-GB"/>
    </w:rPr>
  </w:style>
  <w:style w:type="paragraph" w:styleId="HTMLPreformatted">
    <w:name w:val="HTML Preformatted"/>
    <w:basedOn w:val="Normal"/>
    <w:link w:val="HTMLPreformattedChar"/>
    <w:uiPriority w:val="99"/>
    <w:semiHidden/>
    <w:unhideWhenUsed/>
    <w:locked/>
    <w:rsid w:val="00C016C5"/>
    <w:pPr>
      <w:spacing w:after="0" w:line="264" w:lineRule="auto"/>
      <w:jc w:val="left"/>
    </w:pPr>
    <w:rPr>
      <w:rFonts w:ascii="Consolas" w:eastAsiaTheme="minorHAnsi" w:hAnsi="Consolas" w:cstheme="minorBidi"/>
      <w:sz w:val="20"/>
      <w:szCs w:val="22"/>
      <w:lang w:eastAsia="en-US"/>
    </w:rPr>
  </w:style>
  <w:style w:type="character" w:customStyle="1" w:styleId="HTMLPreformattedChar">
    <w:name w:val="HTML Preformatted Char"/>
    <w:basedOn w:val="DefaultParagraphFont"/>
    <w:link w:val="HTMLPreformatted"/>
    <w:uiPriority w:val="99"/>
    <w:semiHidden/>
    <w:rsid w:val="00C016C5"/>
    <w:rPr>
      <w:rFonts w:ascii="Consolas" w:eastAsiaTheme="minorHAnsi" w:hAnsi="Consolas" w:cstheme="minorBidi"/>
      <w:sz w:val="20"/>
      <w:szCs w:val="22"/>
      <w:lang w:eastAsia="en-US"/>
    </w:rPr>
  </w:style>
  <w:style w:type="character" w:styleId="HTMLSample">
    <w:name w:val="HTML Sample"/>
    <w:basedOn w:val="DefaultParagraphFont"/>
    <w:uiPriority w:val="99"/>
    <w:semiHidden/>
    <w:unhideWhenUsed/>
    <w:locked/>
    <w:rsid w:val="00C016C5"/>
    <w:rPr>
      <w:rFonts w:ascii="Consolas" w:hAnsi="Consolas"/>
      <w:sz w:val="24"/>
      <w:szCs w:val="24"/>
      <w:lang w:val="en-GB"/>
    </w:rPr>
  </w:style>
  <w:style w:type="character" w:styleId="HTMLTypewriter">
    <w:name w:val="HTML Typewriter"/>
    <w:basedOn w:val="DefaultParagraphFont"/>
    <w:uiPriority w:val="99"/>
    <w:semiHidden/>
    <w:unhideWhenUsed/>
    <w:locked/>
    <w:rsid w:val="00C016C5"/>
    <w:rPr>
      <w:rFonts w:ascii="Consolas" w:hAnsi="Consolas"/>
      <w:sz w:val="20"/>
      <w:szCs w:val="20"/>
      <w:lang w:val="en-GB"/>
    </w:rPr>
  </w:style>
  <w:style w:type="character" w:styleId="HTMLVariable">
    <w:name w:val="HTML Variable"/>
    <w:basedOn w:val="DefaultParagraphFont"/>
    <w:uiPriority w:val="99"/>
    <w:semiHidden/>
    <w:unhideWhenUsed/>
    <w:locked/>
    <w:rsid w:val="00C016C5"/>
    <w:rPr>
      <w:i/>
      <w:iCs/>
      <w:lang w:val="en-GB"/>
    </w:rPr>
  </w:style>
  <w:style w:type="paragraph" w:styleId="Index1">
    <w:name w:val="index 1"/>
    <w:basedOn w:val="Normal"/>
    <w:next w:val="Normal"/>
    <w:autoRedefine/>
    <w:uiPriority w:val="99"/>
    <w:semiHidden/>
    <w:unhideWhenUsed/>
    <w:locked/>
    <w:rsid w:val="00C016C5"/>
    <w:pPr>
      <w:spacing w:after="0" w:line="264" w:lineRule="auto"/>
      <w:ind w:left="220" w:hanging="220"/>
      <w:jc w:val="left"/>
    </w:pPr>
    <w:rPr>
      <w:rFonts w:eastAsiaTheme="minorHAnsi" w:cstheme="minorBidi"/>
      <w:sz w:val="22"/>
      <w:szCs w:val="22"/>
      <w:lang w:eastAsia="en-US"/>
    </w:rPr>
  </w:style>
  <w:style w:type="paragraph" w:styleId="Index2">
    <w:name w:val="index 2"/>
    <w:basedOn w:val="Normal"/>
    <w:next w:val="Normal"/>
    <w:autoRedefine/>
    <w:uiPriority w:val="99"/>
    <w:semiHidden/>
    <w:unhideWhenUsed/>
    <w:locked/>
    <w:rsid w:val="00C016C5"/>
    <w:pPr>
      <w:spacing w:after="0" w:line="264" w:lineRule="auto"/>
      <w:ind w:left="440" w:hanging="220"/>
      <w:jc w:val="left"/>
    </w:pPr>
    <w:rPr>
      <w:rFonts w:eastAsiaTheme="minorHAnsi" w:cstheme="minorBidi"/>
      <w:sz w:val="22"/>
      <w:szCs w:val="22"/>
      <w:lang w:eastAsia="en-US"/>
    </w:rPr>
  </w:style>
  <w:style w:type="paragraph" w:styleId="Index3">
    <w:name w:val="index 3"/>
    <w:basedOn w:val="Normal"/>
    <w:next w:val="Normal"/>
    <w:autoRedefine/>
    <w:uiPriority w:val="99"/>
    <w:semiHidden/>
    <w:unhideWhenUsed/>
    <w:locked/>
    <w:rsid w:val="00C016C5"/>
    <w:pPr>
      <w:spacing w:after="0" w:line="264" w:lineRule="auto"/>
      <w:ind w:left="660" w:hanging="220"/>
      <w:jc w:val="left"/>
    </w:pPr>
    <w:rPr>
      <w:rFonts w:eastAsiaTheme="minorHAnsi" w:cstheme="minorBidi"/>
      <w:sz w:val="22"/>
      <w:szCs w:val="22"/>
      <w:lang w:eastAsia="en-US"/>
    </w:rPr>
  </w:style>
  <w:style w:type="paragraph" w:styleId="Index4">
    <w:name w:val="index 4"/>
    <w:basedOn w:val="Normal"/>
    <w:next w:val="Normal"/>
    <w:autoRedefine/>
    <w:uiPriority w:val="99"/>
    <w:semiHidden/>
    <w:unhideWhenUsed/>
    <w:locked/>
    <w:rsid w:val="00C016C5"/>
    <w:pPr>
      <w:spacing w:after="0" w:line="264" w:lineRule="auto"/>
      <w:ind w:left="880" w:hanging="220"/>
      <w:jc w:val="left"/>
    </w:pPr>
    <w:rPr>
      <w:rFonts w:eastAsiaTheme="minorHAnsi" w:cstheme="minorBidi"/>
      <w:sz w:val="22"/>
      <w:szCs w:val="22"/>
      <w:lang w:eastAsia="en-US"/>
    </w:rPr>
  </w:style>
  <w:style w:type="paragraph" w:styleId="Index5">
    <w:name w:val="index 5"/>
    <w:basedOn w:val="Normal"/>
    <w:next w:val="Normal"/>
    <w:autoRedefine/>
    <w:uiPriority w:val="99"/>
    <w:semiHidden/>
    <w:unhideWhenUsed/>
    <w:locked/>
    <w:rsid w:val="00C016C5"/>
    <w:pPr>
      <w:spacing w:after="0" w:line="264" w:lineRule="auto"/>
      <w:ind w:left="1100" w:hanging="220"/>
      <w:jc w:val="left"/>
    </w:pPr>
    <w:rPr>
      <w:rFonts w:eastAsiaTheme="minorHAnsi" w:cstheme="minorBidi"/>
      <w:sz w:val="22"/>
      <w:szCs w:val="22"/>
      <w:lang w:eastAsia="en-US"/>
    </w:rPr>
  </w:style>
  <w:style w:type="paragraph" w:styleId="Index6">
    <w:name w:val="index 6"/>
    <w:basedOn w:val="Normal"/>
    <w:next w:val="Normal"/>
    <w:autoRedefine/>
    <w:uiPriority w:val="99"/>
    <w:semiHidden/>
    <w:unhideWhenUsed/>
    <w:locked/>
    <w:rsid w:val="00C016C5"/>
    <w:pPr>
      <w:spacing w:after="0" w:line="264" w:lineRule="auto"/>
      <w:ind w:left="1320" w:hanging="220"/>
      <w:jc w:val="left"/>
    </w:pPr>
    <w:rPr>
      <w:rFonts w:eastAsiaTheme="minorHAnsi" w:cstheme="minorBidi"/>
      <w:sz w:val="22"/>
      <w:szCs w:val="22"/>
      <w:lang w:eastAsia="en-US"/>
    </w:rPr>
  </w:style>
  <w:style w:type="paragraph" w:styleId="Index7">
    <w:name w:val="index 7"/>
    <w:basedOn w:val="Normal"/>
    <w:next w:val="Normal"/>
    <w:autoRedefine/>
    <w:uiPriority w:val="99"/>
    <w:semiHidden/>
    <w:unhideWhenUsed/>
    <w:locked/>
    <w:rsid w:val="00C016C5"/>
    <w:pPr>
      <w:spacing w:after="0" w:line="264" w:lineRule="auto"/>
      <w:ind w:left="1540" w:hanging="220"/>
      <w:jc w:val="left"/>
    </w:pPr>
    <w:rPr>
      <w:rFonts w:eastAsiaTheme="minorHAnsi" w:cstheme="minorBidi"/>
      <w:sz w:val="22"/>
      <w:szCs w:val="22"/>
      <w:lang w:eastAsia="en-US"/>
    </w:rPr>
  </w:style>
  <w:style w:type="paragraph" w:styleId="Index8">
    <w:name w:val="index 8"/>
    <w:basedOn w:val="Normal"/>
    <w:next w:val="Normal"/>
    <w:autoRedefine/>
    <w:uiPriority w:val="99"/>
    <w:semiHidden/>
    <w:unhideWhenUsed/>
    <w:locked/>
    <w:rsid w:val="00C016C5"/>
    <w:pPr>
      <w:spacing w:after="0" w:line="264" w:lineRule="auto"/>
      <w:ind w:left="1760" w:hanging="220"/>
      <w:jc w:val="left"/>
    </w:pPr>
    <w:rPr>
      <w:rFonts w:eastAsiaTheme="minorHAnsi" w:cstheme="minorBidi"/>
      <w:sz w:val="22"/>
      <w:szCs w:val="22"/>
      <w:lang w:eastAsia="en-US"/>
    </w:rPr>
  </w:style>
  <w:style w:type="paragraph" w:styleId="Index9">
    <w:name w:val="index 9"/>
    <w:basedOn w:val="Normal"/>
    <w:next w:val="Normal"/>
    <w:autoRedefine/>
    <w:uiPriority w:val="99"/>
    <w:semiHidden/>
    <w:unhideWhenUsed/>
    <w:locked/>
    <w:rsid w:val="00C016C5"/>
    <w:pPr>
      <w:spacing w:after="0" w:line="264" w:lineRule="auto"/>
      <w:ind w:left="1980" w:hanging="220"/>
      <w:jc w:val="left"/>
    </w:pPr>
    <w:rPr>
      <w:rFonts w:eastAsiaTheme="minorHAnsi" w:cstheme="minorBidi"/>
      <w:sz w:val="22"/>
      <w:szCs w:val="22"/>
      <w:lang w:eastAsia="en-US"/>
    </w:rPr>
  </w:style>
  <w:style w:type="paragraph" w:styleId="IndexHeading">
    <w:name w:val="index heading"/>
    <w:basedOn w:val="Normal"/>
    <w:next w:val="Index1"/>
    <w:uiPriority w:val="99"/>
    <w:semiHidden/>
    <w:unhideWhenUsed/>
    <w:locked/>
    <w:rsid w:val="00C016C5"/>
    <w:pPr>
      <w:spacing w:line="264" w:lineRule="auto"/>
      <w:jc w:val="left"/>
    </w:pPr>
    <w:rPr>
      <w:rFonts w:asciiTheme="majorHAnsi" w:eastAsiaTheme="majorEastAsia" w:hAnsiTheme="majorHAnsi" w:cstheme="majorBidi"/>
      <w:b/>
      <w:bCs/>
      <w:sz w:val="22"/>
      <w:szCs w:val="22"/>
      <w:lang w:eastAsia="en-US"/>
    </w:rPr>
  </w:style>
  <w:style w:type="character" w:styleId="LineNumber">
    <w:name w:val="line number"/>
    <w:basedOn w:val="DefaultParagraphFont"/>
    <w:uiPriority w:val="99"/>
    <w:semiHidden/>
    <w:unhideWhenUsed/>
    <w:locked/>
    <w:rsid w:val="00C016C5"/>
    <w:rPr>
      <w:lang w:val="en-GB"/>
    </w:rPr>
  </w:style>
  <w:style w:type="paragraph" w:styleId="List">
    <w:name w:val="List"/>
    <w:basedOn w:val="Normal"/>
    <w:uiPriority w:val="99"/>
    <w:semiHidden/>
    <w:unhideWhenUsed/>
    <w:locked/>
    <w:rsid w:val="00C016C5"/>
    <w:pPr>
      <w:spacing w:line="264" w:lineRule="auto"/>
      <w:ind w:left="283" w:hanging="283"/>
      <w:contextualSpacing/>
      <w:jc w:val="left"/>
    </w:pPr>
    <w:rPr>
      <w:rFonts w:eastAsiaTheme="minorHAnsi" w:cstheme="minorBidi"/>
      <w:sz w:val="22"/>
      <w:szCs w:val="22"/>
      <w:lang w:eastAsia="en-US"/>
    </w:rPr>
  </w:style>
  <w:style w:type="paragraph" w:styleId="List2">
    <w:name w:val="List 2"/>
    <w:basedOn w:val="Normal"/>
    <w:uiPriority w:val="99"/>
    <w:semiHidden/>
    <w:unhideWhenUsed/>
    <w:locked/>
    <w:rsid w:val="00C016C5"/>
    <w:pPr>
      <w:spacing w:line="264" w:lineRule="auto"/>
      <w:ind w:left="566" w:hanging="283"/>
      <w:contextualSpacing/>
      <w:jc w:val="left"/>
    </w:pPr>
    <w:rPr>
      <w:rFonts w:eastAsiaTheme="minorHAnsi" w:cstheme="minorBidi"/>
      <w:sz w:val="22"/>
      <w:szCs w:val="22"/>
      <w:lang w:eastAsia="en-US"/>
    </w:rPr>
  </w:style>
  <w:style w:type="paragraph" w:styleId="List3">
    <w:name w:val="List 3"/>
    <w:basedOn w:val="Normal"/>
    <w:uiPriority w:val="99"/>
    <w:semiHidden/>
    <w:unhideWhenUsed/>
    <w:locked/>
    <w:rsid w:val="00C016C5"/>
    <w:pPr>
      <w:spacing w:line="264" w:lineRule="auto"/>
      <w:ind w:left="849" w:hanging="283"/>
      <w:contextualSpacing/>
      <w:jc w:val="left"/>
    </w:pPr>
    <w:rPr>
      <w:rFonts w:eastAsiaTheme="minorHAnsi" w:cstheme="minorBidi"/>
      <w:sz w:val="22"/>
      <w:szCs w:val="22"/>
      <w:lang w:eastAsia="en-US"/>
    </w:rPr>
  </w:style>
  <w:style w:type="paragraph" w:styleId="List4">
    <w:name w:val="List 4"/>
    <w:basedOn w:val="Normal"/>
    <w:uiPriority w:val="99"/>
    <w:semiHidden/>
    <w:unhideWhenUsed/>
    <w:locked/>
    <w:rsid w:val="00C016C5"/>
    <w:pPr>
      <w:spacing w:line="264" w:lineRule="auto"/>
      <w:ind w:left="1132" w:hanging="283"/>
      <w:contextualSpacing/>
      <w:jc w:val="left"/>
    </w:pPr>
    <w:rPr>
      <w:rFonts w:eastAsiaTheme="minorHAnsi" w:cstheme="minorBidi"/>
      <w:sz w:val="22"/>
      <w:szCs w:val="22"/>
      <w:lang w:eastAsia="en-US"/>
    </w:rPr>
  </w:style>
  <w:style w:type="paragraph" w:styleId="List5">
    <w:name w:val="List 5"/>
    <w:basedOn w:val="Normal"/>
    <w:uiPriority w:val="99"/>
    <w:semiHidden/>
    <w:unhideWhenUsed/>
    <w:locked/>
    <w:rsid w:val="00C016C5"/>
    <w:pPr>
      <w:spacing w:line="264" w:lineRule="auto"/>
      <w:ind w:left="1415" w:hanging="283"/>
      <w:contextualSpacing/>
      <w:jc w:val="left"/>
    </w:pPr>
    <w:rPr>
      <w:rFonts w:eastAsiaTheme="minorHAnsi" w:cstheme="minorBidi"/>
      <w:sz w:val="22"/>
      <w:szCs w:val="22"/>
      <w:lang w:eastAsia="en-US"/>
    </w:rPr>
  </w:style>
  <w:style w:type="paragraph" w:styleId="ListBullet5">
    <w:name w:val="List Bullet 5"/>
    <w:basedOn w:val="Normal"/>
    <w:uiPriority w:val="99"/>
    <w:semiHidden/>
    <w:unhideWhenUsed/>
    <w:locked/>
    <w:rsid w:val="00C016C5"/>
    <w:pPr>
      <w:numPr>
        <w:numId w:val="41"/>
      </w:numPr>
      <w:spacing w:line="264" w:lineRule="auto"/>
      <w:contextualSpacing/>
      <w:jc w:val="left"/>
    </w:pPr>
    <w:rPr>
      <w:rFonts w:eastAsiaTheme="minorHAnsi" w:cstheme="minorBidi"/>
      <w:sz w:val="22"/>
      <w:szCs w:val="22"/>
      <w:lang w:eastAsia="en-US"/>
    </w:rPr>
  </w:style>
  <w:style w:type="paragraph" w:styleId="ListContinue">
    <w:name w:val="List Continue"/>
    <w:basedOn w:val="Normal"/>
    <w:uiPriority w:val="99"/>
    <w:semiHidden/>
    <w:unhideWhenUsed/>
    <w:locked/>
    <w:rsid w:val="00C016C5"/>
    <w:pPr>
      <w:spacing w:after="120" w:line="264" w:lineRule="auto"/>
      <w:ind w:left="283"/>
      <w:contextualSpacing/>
      <w:jc w:val="left"/>
    </w:pPr>
    <w:rPr>
      <w:rFonts w:eastAsiaTheme="minorHAnsi" w:cstheme="minorBidi"/>
      <w:sz w:val="22"/>
      <w:szCs w:val="22"/>
      <w:lang w:eastAsia="en-US"/>
    </w:rPr>
  </w:style>
  <w:style w:type="paragraph" w:styleId="ListContinue2">
    <w:name w:val="List Continue 2"/>
    <w:basedOn w:val="Normal"/>
    <w:uiPriority w:val="99"/>
    <w:semiHidden/>
    <w:unhideWhenUsed/>
    <w:locked/>
    <w:rsid w:val="00C016C5"/>
    <w:pPr>
      <w:spacing w:after="120" w:line="264" w:lineRule="auto"/>
      <w:ind w:left="566"/>
      <w:contextualSpacing/>
      <w:jc w:val="left"/>
    </w:pPr>
    <w:rPr>
      <w:rFonts w:eastAsiaTheme="minorHAnsi" w:cstheme="minorBidi"/>
      <w:sz w:val="22"/>
      <w:szCs w:val="22"/>
      <w:lang w:eastAsia="en-US"/>
    </w:rPr>
  </w:style>
  <w:style w:type="paragraph" w:styleId="ListContinue3">
    <w:name w:val="List Continue 3"/>
    <w:basedOn w:val="Normal"/>
    <w:uiPriority w:val="99"/>
    <w:semiHidden/>
    <w:unhideWhenUsed/>
    <w:locked/>
    <w:rsid w:val="00C016C5"/>
    <w:pPr>
      <w:spacing w:after="120" w:line="264" w:lineRule="auto"/>
      <w:ind w:left="849"/>
      <w:contextualSpacing/>
      <w:jc w:val="left"/>
    </w:pPr>
    <w:rPr>
      <w:rFonts w:eastAsiaTheme="minorHAnsi" w:cstheme="minorBidi"/>
      <w:sz w:val="22"/>
      <w:szCs w:val="22"/>
      <w:lang w:eastAsia="en-US"/>
    </w:rPr>
  </w:style>
  <w:style w:type="paragraph" w:styleId="ListContinue4">
    <w:name w:val="List Continue 4"/>
    <w:basedOn w:val="Normal"/>
    <w:uiPriority w:val="99"/>
    <w:semiHidden/>
    <w:unhideWhenUsed/>
    <w:locked/>
    <w:rsid w:val="00C016C5"/>
    <w:pPr>
      <w:spacing w:after="120" w:line="264" w:lineRule="auto"/>
      <w:ind w:left="1132"/>
      <w:contextualSpacing/>
      <w:jc w:val="left"/>
    </w:pPr>
    <w:rPr>
      <w:rFonts w:eastAsiaTheme="minorHAnsi" w:cstheme="minorBidi"/>
      <w:sz w:val="22"/>
      <w:szCs w:val="22"/>
      <w:lang w:eastAsia="en-US"/>
    </w:rPr>
  </w:style>
  <w:style w:type="paragraph" w:styleId="ListContinue5">
    <w:name w:val="List Continue 5"/>
    <w:basedOn w:val="Normal"/>
    <w:uiPriority w:val="99"/>
    <w:semiHidden/>
    <w:unhideWhenUsed/>
    <w:locked/>
    <w:rsid w:val="00C016C5"/>
    <w:pPr>
      <w:spacing w:after="120" w:line="264" w:lineRule="auto"/>
      <w:ind w:left="1415"/>
      <w:contextualSpacing/>
      <w:jc w:val="left"/>
    </w:pPr>
    <w:rPr>
      <w:rFonts w:eastAsiaTheme="minorHAnsi" w:cstheme="minorBidi"/>
      <w:sz w:val="22"/>
      <w:szCs w:val="22"/>
      <w:lang w:eastAsia="en-US"/>
    </w:rPr>
  </w:style>
  <w:style w:type="paragraph" w:styleId="ListNumber5">
    <w:name w:val="List Number 5"/>
    <w:basedOn w:val="Normal"/>
    <w:uiPriority w:val="99"/>
    <w:semiHidden/>
    <w:unhideWhenUsed/>
    <w:locked/>
    <w:rsid w:val="00C016C5"/>
    <w:pPr>
      <w:numPr>
        <w:numId w:val="42"/>
      </w:numPr>
      <w:spacing w:line="264" w:lineRule="auto"/>
      <w:contextualSpacing/>
      <w:jc w:val="left"/>
    </w:pPr>
    <w:rPr>
      <w:rFonts w:eastAsiaTheme="minorHAnsi" w:cstheme="minorBidi"/>
      <w:sz w:val="22"/>
      <w:szCs w:val="22"/>
      <w:lang w:eastAsia="en-US"/>
    </w:rPr>
  </w:style>
  <w:style w:type="character" w:customStyle="1" w:styleId="MacroTextChar">
    <w:name w:val="Macro Text Char"/>
    <w:basedOn w:val="DefaultParagraphFont"/>
    <w:link w:val="MacroText"/>
    <w:uiPriority w:val="99"/>
    <w:rsid w:val="00C016C5"/>
    <w:rPr>
      <w:rFonts w:ascii="Courier New" w:hAnsi="Courier New"/>
      <w:sz w:val="22"/>
    </w:rPr>
  </w:style>
  <w:style w:type="paragraph" w:styleId="MessageHeader">
    <w:name w:val="Message Header"/>
    <w:basedOn w:val="Normal"/>
    <w:link w:val="MessageHeaderChar"/>
    <w:uiPriority w:val="99"/>
    <w:semiHidden/>
    <w:unhideWhenUsed/>
    <w:locked/>
    <w:rsid w:val="00C016C5"/>
    <w:pPr>
      <w:pBdr>
        <w:top w:val="single" w:sz="6" w:space="1" w:color="auto"/>
        <w:left w:val="single" w:sz="6" w:space="1" w:color="auto"/>
        <w:bottom w:val="single" w:sz="6" w:space="1" w:color="auto"/>
        <w:right w:val="single" w:sz="6" w:space="1" w:color="auto"/>
      </w:pBdr>
      <w:shd w:val="pct20" w:color="auto" w:fill="auto"/>
      <w:spacing w:after="0" w:line="264" w:lineRule="auto"/>
      <w:ind w:left="1134" w:hanging="1134"/>
      <w:jc w:val="left"/>
    </w:pPr>
    <w:rPr>
      <w:rFonts w:asciiTheme="majorHAnsi" w:eastAsiaTheme="majorEastAsia" w:hAnsiTheme="majorHAnsi" w:cstheme="majorBidi"/>
      <w:szCs w:val="24"/>
      <w:lang w:eastAsia="en-US"/>
    </w:rPr>
  </w:style>
  <w:style w:type="character" w:customStyle="1" w:styleId="MessageHeaderChar">
    <w:name w:val="Message Header Char"/>
    <w:basedOn w:val="DefaultParagraphFont"/>
    <w:link w:val="MessageHeader"/>
    <w:uiPriority w:val="99"/>
    <w:semiHidden/>
    <w:rsid w:val="00C016C5"/>
    <w:rPr>
      <w:rFonts w:asciiTheme="majorHAnsi" w:eastAsiaTheme="majorEastAsia" w:hAnsiTheme="majorHAnsi" w:cstheme="majorBidi"/>
      <w:szCs w:val="24"/>
      <w:shd w:val="pct20" w:color="auto" w:fill="auto"/>
      <w:lang w:eastAsia="en-US"/>
    </w:rPr>
  </w:style>
  <w:style w:type="paragraph" w:styleId="NormalIndent">
    <w:name w:val="Normal Indent"/>
    <w:basedOn w:val="Normal"/>
    <w:uiPriority w:val="99"/>
    <w:semiHidden/>
    <w:unhideWhenUsed/>
    <w:locked/>
    <w:rsid w:val="00C016C5"/>
    <w:pPr>
      <w:spacing w:line="264" w:lineRule="auto"/>
      <w:ind w:left="720"/>
      <w:jc w:val="left"/>
    </w:pPr>
    <w:rPr>
      <w:rFonts w:eastAsiaTheme="minorHAnsi" w:cstheme="minorBidi"/>
      <w:sz w:val="22"/>
      <w:szCs w:val="22"/>
      <w:lang w:eastAsia="en-US"/>
    </w:rPr>
  </w:style>
  <w:style w:type="paragraph" w:styleId="NoteHeading">
    <w:name w:val="Note Heading"/>
    <w:basedOn w:val="Normal"/>
    <w:next w:val="Normal"/>
    <w:link w:val="NoteHeadingChar"/>
    <w:uiPriority w:val="99"/>
    <w:semiHidden/>
    <w:unhideWhenUsed/>
    <w:locked/>
    <w:rsid w:val="00C016C5"/>
    <w:pPr>
      <w:spacing w:after="0" w:line="264" w:lineRule="auto"/>
      <w:jc w:val="left"/>
    </w:pPr>
    <w:rPr>
      <w:rFonts w:eastAsiaTheme="minorHAnsi" w:cstheme="minorBidi"/>
      <w:sz w:val="22"/>
      <w:szCs w:val="22"/>
      <w:lang w:eastAsia="en-US"/>
    </w:rPr>
  </w:style>
  <w:style w:type="character" w:customStyle="1" w:styleId="NoteHeadingChar">
    <w:name w:val="Note Heading Char"/>
    <w:basedOn w:val="DefaultParagraphFont"/>
    <w:link w:val="NoteHeading"/>
    <w:uiPriority w:val="99"/>
    <w:semiHidden/>
    <w:rsid w:val="00C016C5"/>
    <w:rPr>
      <w:rFonts w:ascii="EC Square Sans Pro" w:eastAsiaTheme="minorHAnsi" w:hAnsi="EC Square Sans Pro" w:cstheme="minorBidi"/>
      <w:sz w:val="22"/>
      <w:szCs w:val="22"/>
      <w:lang w:eastAsia="en-US"/>
    </w:rPr>
  </w:style>
  <w:style w:type="character" w:styleId="PageNumber">
    <w:name w:val="page number"/>
    <w:basedOn w:val="DefaultParagraphFont"/>
    <w:uiPriority w:val="99"/>
    <w:semiHidden/>
    <w:unhideWhenUsed/>
    <w:locked/>
    <w:rsid w:val="00C016C5"/>
    <w:rPr>
      <w:lang w:val="en-GB"/>
    </w:rPr>
  </w:style>
  <w:style w:type="paragraph" w:styleId="PlainText">
    <w:name w:val="Plain Text"/>
    <w:basedOn w:val="Normal"/>
    <w:link w:val="PlainTextChar"/>
    <w:uiPriority w:val="99"/>
    <w:semiHidden/>
    <w:unhideWhenUsed/>
    <w:locked/>
    <w:rsid w:val="00C016C5"/>
    <w:pPr>
      <w:spacing w:after="0" w:line="264" w:lineRule="auto"/>
      <w:jc w:val="left"/>
    </w:pPr>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semiHidden/>
    <w:rsid w:val="00C016C5"/>
    <w:rPr>
      <w:rFonts w:ascii="Consolas" w:eastAsiaTheme="minorHAnsi" w:hAnsi="Consolas" w:cstheme="minorBidi"/>
      <w:sz w:val="21"/>
      <w:szCs w:val="21"/>
      <w:lang w:eastAsia="en-US"/>
    </w:rPr>
  </w:style>
  <w:style w:type="paragraph" w:styleId="Quote">
    <w:name w:val="Quote"/>
    <w:basedOn w:val="Normal"/>
    <w:next w:val="Normal"/>
    <w:link w:val="QuoteChar"/>
    <w:uiPriority w:val="29"/>
    <w:qFormat/>
    <w:locked/>
    <w:rsid w:val="00C016C5"/>
    <w:pPr>
      <w:spacing w:before="200" w:after="160" w:line="264" w:lineRule="auto"/>
      <w:ind w:left="864" w:right="864"/>
      <w:jc w:val="center"/>
    </w:pPr>
    <w:rPr>
      <w:rFonts w:eastAsiaTheme="minorHAnsi" w:cstheme="minorBidi"/>
      <w:i/>
      <w:iCs/>
      <w:color w:val="404040" w:themeColor="text1" w:themeTint="BF"/>
      <w:sz w:val="22"/>
      <w:szCs w:val="22"/>
      <w:lang w:eastAsia="en-US"/>
    </w:rPr>
  </w:style>
  <w:style w:type="character" w:customStyle="1" w:styleId="QuoteChar">
    <w:name w:val="Quote Char"/>
    <w:basedOn w:val="DefaultParagraphFont"/>
    <w:link w:val="Quote"/>
    <w:uiPriority w:val="29"/>
    <w:rsid w:val="00C016C5"/>
    <w:rPr>
      <w:rFonts w:ascii="EC Square Sans Pro" w:eastAsiaTheme="minorHAnsi" w:hAnsi="EC Square Sans Pro" w:cstheme="minorBidi"/>
      <w:i/>
      <w:iCs/>
      <w:color w:val="404040" w:themeColor="text1" w:themeTint="BF"/>
      <w:sz w:val="22"/>
      <w:szCs w:val="22"/>
      <w:lang w:eastAsia="en-US"/>
    </w:rPr>
  </w:style>
  <w:style w:type="paragraph" w:styleId="Salutation">
    <w:name w:val="Salutation"/>
    <w:basedOn w:val="Normal"/>
    <w:next w:val="Normal"/>
    <w:link w:val="SalutationChar"/>
    <w:uiPriority w:val="99"/>
    <w:semiHidden/>
    <w:unhideWhenUsed/>
    <w:locked/>
    <w:rsid w:val="00C016C5"/>
    <w:pPr>
      <w:spacing w:line="264" w:lineRule="auto"/>
      <w:jc w:val="left"/>
    </w:pPr>
    <w:rPr>
      <w:rFonts w:eastAsiaTheme="minorHAnsi" w:cstheme="minorBidi"/>
      <w:sz w:val="22"/>
      <w:szCs w:val="22"/>
      <w:lang w:eastAsia="en-US"/>
    </w:rPr>
  </w:style>
  <w:style w:type="character" w:customStyle="1" w:styleId="SalutationChar">
    <w:name w:val="Salutation Char"/>
    <w:basedOn w:val="DefaultParagraphFont"/>
    <w:link w:val="Salutation"/>
    <w:uiPriority w:val="99"/>
    <w:semiHidden/>
    <w:rsid w:val="00C016C5"/>
    <w:rPr>
      <w:rFonts w:ascii="EC Square Sans Pro" w:eastAsiaTheme="minorHAnsi" w:hAnsi="EC Square Sans Pro" w:cstheme="minorBidi"/>
      <w:sz w:val="22"/>
      <w:szCs w:val="22"/>
      <w:lang w:eastAsia="en-US"/>
    </w:rPr>
  </w:style>
  <w:style w:type="character" w:customStyle="1" w:styleId="SignatureChar">
    <w:name w:val="Signature Char"/>
    <w:basedOn w:val="DefaultParagraphFont"/>
    <w:link w:val="Signature"/>
    <w:uiPriority w:val="99"/>
    <w:rsid w:val="00C016C5"/>
    <w:rPr>
      <w:rFonts w:ascii="EC Square Sans Pro" w:hAnsi="EC Square Sans Pro"/>
    </w:rPr>
  </w:style>
  <w:style w:type="character" w:styleId="SubtleReference">
    <w:name w:val="Subtle Reference"/>
    <w:basedOn w:val="DefaultParagraphFont"/>
    <w:uiPriority w:val="31"/>
    <w:qFormat/>
    <w:locked/>
    <w:rsid w:val="00C016C5"/>
    <w:rPr>
      <w:smallCaps/>
      <w:color w:val="5A5A5A" w:themeColor="text1" w:themeTint="A5"/>
      <w:lang w:val="en-GB"/>
    </w:rPr>
  </w:style>
  <w:style w:type="paragraph" w:styleId="TableofAuthorities">
    <w:name w:val="table of authorities"/>
    <w:basedOn w:val="Normal"/>
    <w:next w:val="Normal"/>
    <w:uiPriority w:val="99"/>
    <w:semiHidden/>
    <w:unhideWhenUsed/>
    <w:locked/>
    <w:rsid w:val="00C016C5"/>
    <w:pPr>
      <w:spacing w:after="0" w:line="264" w:lineRule="auto"/>
      <w:ind w:left="220" w:hanging="220"/>
      <w:jc w:val="left"/>
    </w:pPr>
    <w:rPr>
      <w:rFonts w:eastAsiaTheme="minorHAnsi" w:cstheme="minorBidi"/>
      <w:sz w:val="22"/>
      <w:szCs w:val="22"/>
      <w:lang w:eastAsia="en-US"/>
    </w:rPr>
  </w:style>
  <w:style w:type="paragraph" w:styleId="TableofFigures">
    <w:name w:val="table of figures"/>
    <w:basedOn w:val="Normal"/>
    <w:next w:val="Normal"/>
    <w:uiPriority w:val="99"/>
    <w:semiHidden/>
    <w:unhideWhenUsed/>
    <w:locked/>
    <w:rsid w:val="00C016C5"/>
    <w:pPr>
      <w:spacing w:after="0" w:line="264" w:lineRule="auto"/>
      <w:jc w:val="left"/>
    </w:pPr>
    <w:rPr>
      <w:rFonts w:eastAsiaTheme="minorHAnsi" w:cstheme="minorBidi"/>
      <w:sz w:val="22"/>
      <w:szCs w:val="22"/>
      <w:lang w:eastAsia="en-US"/>
    </w:rPr>
  </w:style>
  <w:style w:type="paragraph" w:styleId="TOAHeading">
    <w:name w:val="toa heading"/>
    <w:basedOn w:val="Normal"/>
    <w:next w:val="Normal"/>
    <w:uiPriority w:val="99"/>
    <w:semiHidden/>
    <w:unhideWhenUsed/>
    <w:locked/>
    <w:rsid w:val="00C016C5"/>
    <w:pPr>
      <w:spacing w:before="120" w:line="264" w:lineRule="auto"/>
      <w:jc w:val="left"/>
    </w:pPr>
    <w:rPr>
      <w:rFonts w:asciiTheme="majorHAnsi" w:eastAsiaTheme="majorEastAsia" w:hAnsiTheme="majorHAnsi" w:cstheme="majorBidi"/>
      <w:b/>
      <w:bCs/>
      <w:szCs w:val="24"/>
      <w:lang w:eastAsia="en-US"/>
    </w:rPr>
  </w:style>
  <w:style w:type="paragraph" w:customStyle="1" w:styleId="ppoListArabic1aiii-L3consecutiveparagraph">
    <w:name w:val="[ppo_List] Arabic [ 1. ][ a. ][ (iii) ] - L3 (consecutive paragraph)"/>
    <w:basedOn w:val="BASE-STYLE-TEXT"/>
    <w:qFormat/>
    <w:rsid w:val="00C016C5"/>
    <w:pPr>
      <w:spacing w:before="120" w:after="120"/>
      <w:ind w:left="2512"/>
      <w:jc w:val="left"/>
    </w:pPr>
    <w:rPr>
      <w:rFonts w:eastAsiaTheme="minorHAnsi" w:cstheme="minorBidi"/>
      <w:color w:val="auto"/>
      <w:sz w:val="22"/>
      <w:szCs w:val="22"/>
      <w:lang w:eastAsia="en-US"/>
    </w:rPr>
  </w:style>
  <w:style w:type="paragraph" w:customStyle="1" w:styleId="ppoListArabic1aiii-L2consecutiveparagraph">
    <w:name w:val="[ppo_List] Arabic [ 1. ][ a. ][ (iii) ] - L2 (consecutive paragraph)"/>
    <w:basedOn w:val="BASE-STYLE-TEXT"/>
    <w:qFormat/>
    <w:rsid w:val="00C016C5"/>
    <w:pPr>
      <w:spacing w:before="120" w:after="120"/>
      <w:ind w:left="1435"/>
      <w:jc w:val="left"/>
    </w:pPr>
    <w:rPr>
      <w:rFonts w:eastAsiaTheme="minorHAnsi" w:cstheme="minorBidi"/>
      <w:color w:val="auto"/>
      <w:sz w:val="22"/>
      <w:szCs w:val="22"/>
      <w:lang w:eastAsia="en-US"/>
    </w:rPr>
  </w:style>
  <w:style w:type="paragraph" w:customStyle="1" w:styleId="ppoListArabic1aiii-L1consecutiveparagraph">
    <w:name w:val="[ppo_List] Arabic [ 1. ][ a. ][ (iii) ] - L1 (consecutive paragraph)"/>
    <w:basedOn w:val="BASE-STYLE-TEXT"/>
    <w:qFormat/>
    <w:rsid w:val="00C016C5"/>
    <w:pPr>
      <w:spacing w:before="120" w:after="120"/>
      <w:ind w:left="357"/>
      <w:jc w:val="left"/>
    </w:pPr>
    <w:rPr>
      <w:rFonts w:eastAsiaTheme="minorHAnsi" w:cstheme="minorBidi"/>
      <w:color w:val="auto"/>
      <w:sz w:val="22"/>
      <w:szCs w:val="22"/>
      <w:lang w:eastAsia="en-US"/>
    </w:rPr>
  </w:style>
  <w:style w:type="paragraph" w:customStyle="1" w:styleId="ppoListHyphened-L1consecutiveparagraph">
    <w:name w:val="[ppo_List] Hyphened [ – ][ * ][ ◊ ] - L1 (consecutive paragraph)"/>
    <w:basedOn w:val="ppoListHyphened-L1"/>
    <w:qFormat/>
    <w:rsid w:val="00C016C5"/>
    <w:pPr>
      <w:numPr>
        <w:numId w:val="0"/>
      </w:numPr>
      <w:ind w:left="357"/>
    </w:pPr>
  </w:style>
  <w:style w:type="paragraph" w:customStyle="1" w:styleId="ppoListHyphened-L2consecutiveparagraph">
    <w:name w:val="[ppo_List] Hyphened [ – ][ * ][ ◊ ] - L2 (consecutive paragraph)"/>
    <w:basedOn w:val="BASE-STYLE-TEXT"/>
    <w:qFormat/>
    <w:rsid w:val="00C016C5"/>
    <w:pPr>
      <w:spacing w:before="120" w:after="120"/>
      <w:ind w:left="1435"/>
      <w:jc w:val="left"/>
    </w:pPr>
    <w:rPr>
      <w:rFonts w:eastAsiaTheme="minorHAnsi" w:cstheme="minorBidi"/>
      <w:color w:val="auto"/>
      <w:sz w:val="22"/>
      <w:szCs w:val="22"/>
      <w:lang w:eastAsia="en-US"/>
    </w:rPr>
  </w:style>
  <w:style w:type="paragraph" w:customStyle="1" w:styleId="ppoListHyphened-L3consecutiveparagraph">
    <w:name w:val="[ppo_List] Hyphened [ – ][ * ][ ◊ ] - L3 (consecutive paragraph)"/>
    <w:basedOn w:val="BASE-STYLE-TEXT"/>
    <w:qFormat/>
    <w:rsid w:val="00C016C5"/>
    <w:pPr>
      <w:spacing w:before="120" w:after="120"/>
      <w:ind w:left="2512"/>
      <w:jc w:val="left"/>
    </w:pPr>
    <w:rPr>
      <w:rFonts w:eastAsiaTheme="minorHAnsi" w:cstheme="minorBidi"/>
      <w:color w:val="auto"/>
      <w:sz w:val="22"/>
      <w:szCs w:val="22"/>
      <w:lang w:eastAsia="en-US"/>
    </w:rPr>
  </w:style>
  <w:style w:type="character" w:customStyle="1" w:styleId="ppocharOrangetext24pt">
    <w:name w:val="[ppo_char] Orange text 24pt"/>
    <w:uiPriority w:val="1"/>
    <w:qFormat/>
    <w:rsid w:val="00E45638"/>
    <w:rPr>
      <w:color w:val="C7841A"/>
      <w:sz w:val="36"/>
      <w:szCs w:val="36"/>
    </w:rPr>
  </w:style>
  <w:style w:type="character" w:customStyle="1" w:styleId="ppocharOrangeemphasis">
    <w:name w:val="[ppo_char] Orange emphasis"/>
    <w:uiPriority w:val="1"/>
    <w:qFormat/>
    <w:rsid w:val="00C016C5"/>
    <w:rPr>
      <w:b/>
      <w:color w:val="C7841A"/>
    </w:rPr>
  </w:style>
  <w:style w:type="paragraph" w:customStyle="1" w:styleId="TableTitle0">
    <w:name w:val="TableTitle"/>
    <w:uiPriority w:val="1"/>
    <w:qFormat/>
    <w:rsid w:val="00C016C5"/>
    <w:pPr>
      <w:spacing w:after="120" w:line="259" w:lineRule="auto"/>
    </w:pPr>
    <w:rPr>
      <w:rFonts w:ascii="EC Square Sans Pro" w:hAnsi="EC Square Sans Pro"/>
      <w:sz w:val="22"/>
      <w:lang w:val="en-US" w:eastAsia="en-GB"/>
    </w:rPr>
  </w:style>
  <w:style w:type="paragraph" w:customStyle="1" w:styleId="PSNormal">
    <w:name w:val="PS_Normal"/>
    <w:basedOn w:val="Normal"/>
    <w:rsid w:val="00C016C5"/>
    <w:pPr>
      <w:spacing w:after="0"/>
      <w:jc w:val="left"/>
    </w:pPr>
    <w:rPr>
      <w:rFonts w:ascii="Times New Roman" w:hAnsi="Times New Roman"/>
      <w:sz w:val="20"/>
      <w:lang w:eastAsia="en-GB"/>
    </w:rPr>
  </w:style>
  <w:style w:type="paragraph" w:customStyle="1" w:styleId="BVIfnrCarCarCarCarCharCharCharChar">
    <w:name w:val="BVI fnr Car Car Car Car Char Char Char Char"/>
    <w:basedOn w:val="Normal"/>
    <w:autoRedefine/>
    <w:uiPriority w:val="99"/>
    <w:qFormat/>
    <w:locked/>
    <w:rsid w:val="00C016C5"/>
    <w:pPr>
      <w:spacing w:after="0"/>
      <w:ind w:left="720" w:hanging="720"/>
      <w:jc w:val="left"/>
    </w:pPr>
    <w:rPr>
      <w:rFonts w:ascii="Times New Roman" w:hAnsi="Times New Roman"/>
      <w:sz w:val="20"/>
      <w:vertAlign w:val="superscript"/>
      <w:lang w:eastAsia="en-GB"/>
    </w:rPr>
  </w:style>
  <w:style w:type="table" w:customStyle="1" w:styleId="PPO20211">
    <w:name w:val="PPO_20211"/>
    <w:basedOn w:val="TableNormal"/>
    <w:uiPriority w:val="99"/>
    <w:rsid w:val="00C016C5"/>
    <w:pPr>
      <w:spacing w:before="100" w:after="100" w:line="264" w:lineRule="auto"/>
    </w:pPr>
    <w:rPr>
      <w:rFonts w:ascii="EC Square Sans Pro" w:eastAsiaTheme="minorHAnsi" w:hAnsi="EC Square Sans Pro" w:cstheme="minorBidi"/>
      <w:sz w:val="22"/>
      <w:szCs w:val="22"/>
      <w:lang w:eastAsia="en-US"/>
    </w:rPr>
    <w:tblPr>
      <w:tblStyleRowBandSize w:val="1"/>
      <w:tblStyleColBandSize w:val="1"/>
      <w:jc w:val="center"/>
      <w:tblBorders>
        <w:top w:val="single" w:sz="4" w:space="0" w:color="8C8C8C"/>
        <w:bottom w:val="single" w:sz="4" w:space="0" w:color="8C8C8C"/>
        <w:insideH w:val="single" w:sz="4" w:space="0" w:color="8C8C8C"/>
      </w:tblBorders>
    </w:tblPr>
    <w:trPr>
      <w:cantSplit/>
      <w:jc w:val="center"/>
    </w:trPr>
    <w:tblStylePr w:type="firstRow">
      <w:pPr>
        <w:wordWrap/>
        <w:jc w:val="center"/>
      </w:pPr>
      <w:rPr>
        <w:b/>
        <w:color w:val="auto"/>
      </w:rPr>
      <w:tblPr/>
      <w:tcPr>
        <w:tcBorders>
          <w:top w:val="single" w:sz="4" w:space="0" w:color="8C8C8C"/>
          <w:left w:val="nil"/>
          <w:bottom w:val="single" w:sz="4" w:space="0" w:color="8C8C8C"/>
          <w:right w:val="nil"/>
          <w:insideH w:val="nil"/>
          <w:insideV w:val="nil"/>
          <w:tl2br w:val="nil"/>
          <w:tr2bl w:val="nil"/>
        </w:tcBorders>
        <w:shd w:val="clear" w:color="auto" w:fill="F2F2F2" w:themeFill="background1" w:themeFillShade="F2"/>
      </w:tcPr>
    </w:tblStylePr>
    <w:tblStylePr w:type="lastRow">
      <w:rPr>
        <w:b/>
        <w:color w:val="auto"/>
      </w:rPr>
      <w:tblPr/>
      <w:tcPr>
        <w:tcBorders>
          <w:top w:val="double" w:sz="4" w:space="0" w:color="8C8C8C"/>
          <w:left w:val="nil"/>
          <w:bottom w:val="single" w:sz="4" w:space="0" w:color="8C8C8C"/>
          <w:right w:val="nil"/>
          <w:insideH w:val="nil"/>
          <w:insideV w:val="nil"/>
          <w:tl2br w:val="nil"/>
          <w:tr2bl w:val="nil"/>
        </w:tcBorders>
        <w:shd w:val="clear" w:color="auto" w:fill="F2F2F2" w:themeFill="background1" w:themeFillShade="F2"/>
      </w:tcPr>
    </w:tblStylePr>
    <w:tblStylePr w:type="firstCol">
      <w:pPr>
        <w:wordWrap/>
        <w:spacing w:beforeLines="0" w:before="100" w:beforeAutospacing="0" w:afterLines="0" w:after="100" w:afterAutospacing="0" w:line="22" w:lineRule="atLeast"/>
        <w:contextualSpacing w:val="0"/>
        <w:jc w:val="left"/>
      </w:pPr>
      <w:rPr>
        <w:b/>
        <w:i w:val="0"/>
        <w:color w:val="auto"/>
      </w:rPr>
    </w:tblStylePr>
    <w:tblStylePr w:type="lastCol">
      <w:rPr>
        <w:b/>
      </w:rPr>
    </w:tblStylePr>
    <w:tblStylePr w:type="band2Vert">
      <w:rPr>
        <w:b w:val="0"/>
      </w:rPr>
      <w:tblPr/>
      <w:tcPr>
        <w:tcBorders>
          <w:top w:val="single" w:sz="4" w:space="0" w:color="8C8C8C"/>
          <w:left w:val="nil"/>
          <w:bottom w:val="single" w:sz="4" w:space="0" w:color="8C8C8C"/>
          <w:right w:val="nil"/>
          <w:insideH w:val="single" w:sz="4" w:space="0" w:color="8C8C8C"/>
          <w:insideV w:val="nil"/>
          <w:tl2br w:val="nil"/>
          <w:tr2bl w:val="nil"/>
        </w:tcBorders>
        <w:shd w:val="clear" w:color="auto" w:fill="F2F2F2" w:themeFill="background1" w:themeFillShade="F2"/>
      </w:tcPr>
    </w:tblStylePr>
    <w:tblStylePr w:type="band1Horz">
      <w:rPr>
        <w:b w:val="0"/>
      </w:rPr>
      <w:tblPr/>
      <w:tcPr>
        <w:tcBorders>
          <w:top w:val="single" w:sz="4" w:space="0" w:color="8C8C8C"/>
          <w:left w:val="nil"/>
          <w:bottom w:val="single" w:sz="4" w:space="0" w:color="8C8C8C"/>
          <w:right w:val="nil"/>
          <w:insideH w:val="nil"/>
          <w:insideV w:val="nil"/>
          <w:tl2br w:val="nil"/>
          <w:tr2bl w:val="nil"/>
        </w:tcBorders>
      </w:tcPr>
    </w:tblStylePr>
    <w:tblStylePr w:type="band2Horz">
      <w:rPr>
        <w:b w:val="0"/>
      </w:rPr>
      <w:tblPr/>
      <w:tcPr>
        <w:tcBorders>
          <w:top w:val="single" w:sz="4" w:space="0" w:color="8C8C8C"/>
          <w:left w:val="nil"/>
          <w:bottom w:val="single" w:sz="4" w:space="0" w:color="8C8C8C"/>
          <w:right w:val="nil"/>
          <w:insideH w:val="nil"/>
          <w:insideV w:val="nil"/>
          <w:tl2br w:val="nil"/>
          <w:tr2bl w:val="nil"/>
        </w:tcBorders>
        <w:shd w:val="clear" w:color="auto" w:fill="F2F2F2" w:themeFill="background1" w:themeFillShade="F2"/>
      </w:tcPr>
    </w:tblStylePr>
  </w:style>
  <w:style w:type="character" w:customStyle="1" w:styleId="ms-rtethemefontface-1">
    <w:name w:val="ms-rtethemefontface-1"/>
    <w:basedOn w:val="DefaultParagraphFont"/>
    <w:rsid w:val="00C016C5"/>
  </w:style>
  <w:style w:type="paragraph" w:styleId="Revision">
    <w:name w:val="Revision"/>
    <w:hidden/>
    <w:uiPriority w:val="99"/>
    <w:semiHidden/>
    <w:locked/>
    <w:rsid w:val="00C016C5"/>
    <w:rPr>
      <w:rFonts w:ascii="EC Square Sans Pro" w:eastAsiaTheme="minorHAnsi" w:hAnsi="EC Square Sans Pro" w:cstheme="minorBidi"/>
      <w:sz w:val="22"/>
      <w:szCs w:val="22"/>
      <w:lang w:eastAsia="en-US"/>
    </w:rPr>
  </w:style>
  <w:style w:type="character" w:customStyle="1" w:styleId="Aucun">
    <w:name w:val="Aucun"/>
    <w:rsid w:val="00C016C5"/>
    <w:rPr>
      <w:lang w:val="en-US"/>
    </w:rPr>
  </w:style>
  <w:style w:type="character" w:customStyle="1" w:styleId="UnresolvedMention1">
    <w:name w:val="Unresolved Mention1"/>
    <w:basedOn w:val="DefaultParagraphFont"/>
    <w:uiPriority w:val="99"/>
    <w:semiHidden/>
    <w:unhideWhenUsed/>
    <w:rsid w:val="00592734"/>
    <w:rPr>
      <w:color w:val="605E5C"/>
      <w:shd w:val="clear" w:color="auto" w:fill="E1DFDD"/>
    </w:rPr>
  </w:style>
  <w:style w:type="character" w:customStyle="1" w:styleId="normaltextrun">
    <w:name w:val="normaltextrun"/>
    <w:basedOn w:val="DefaultParagraphFont"/>
    <w:rsid w:val="001A33B7"/>
  </w:style>
  <w:style w:type="character" w:customStyle="1" w:styleId="eop">
    <w:name w:val="eop"/>
    <w:basedOn w:val="DefaultParagraphFont"/>
    <w:rsid w:val="001A33B7"/>
  </w:style>
  <w:style w:type="character" w:customStyle="1" w:styleId="UnresolvedMention10">
    <w:name w:val="Unresolved Mention1"/>
    <w:basedOn w:val="DefaultParagraphFont"/>
    <w:uiPriority w:val="99"/>
    <w:semiHidden/>
    <w:unhideWhenUsed/>
    <w:rsid w:val="001A33B7"/>
    <w:rPr>
      <w:color w:val="605E5C"/>
      <w:shd w:val="clear" w:color="auto" w:fill="E1DFDD"/>
    </w:rPr>
  </w:style>
  <w:style w:type="paragraph" w:customStyle="1" w:styleId="paragraph">
    <w:name w:val="paragraph"/>
    <w:basedOn w:val="Normal"/>
    <w:rsid w:val="00FE47FC"/>
    <w:pPr>
      <w:spacing w:before="100" w:beforeAutospacing="1" w:after="100" w:afterAutospacing="1"/>
      <w:jc w:val="left"/>
    </w:pPr>
    <w:rPr>
      <w:rFonts w:ascii="Times New Roman" w:hAnsi="Times New Roman"/>
      <w:szCs w:val="24"/>
      <w:lang w:eastAsia="en-GB"/>
    </w:rPr>
  </w:style>
  <w:style w:type="paragraph" w:customStyle="1" w:styleId="Default">
    <w:name w:val="Default"/>
    <w:qFormat/>
    <w:locked/>
    <w:rsid w:val="00FE47FC"/>
    <w:pPr>
      <w:autoSpaceDE w:val="0"/>
      <w:autoSpaceDN w:val="0"/>
      <w:adjustRightInd w:val="0"/>
    </w:pPr>
    <w:rPr>
      <w:color w:val="000000"/>
      <w:szCs w:val="24"/>
      <w:lang w:eastAsia="en-GB"/>
    </w:rPr>
  </w:style>
  <w:style w:type="paragraph" w:customStyle="1" w:styleId="PPObodyText">
    <w:name w:val="(PPO) bodyText"/>
    <w:basedOn w:val="BASE-STYLE-TEXT"/>
    <w:qFormat/>
    <w:rsid w:val="00E73D04"/>
    <w:pPr>
      <w:spacing w:after="160" w:line="259" w:lineRule="auto"/>
    </w:pPr>
    <w:rPr>
      <w:rFonts w:ascii="EC Square Sans Cond Pro" w:eastAsiaTheme="minorEastAsia" w:hAnsi="EC Square Sans Cond Pro" w:cs="EC Square Sans Cond Pro"/>
      <w:szCs w:val="18"/>
      <w:lang w:eastAsia="en-US"/>
    </w:rPr>
  </w:style>
  <w:style w:type="character" w:customStyle="1" w:styleId="markedcontent">
    <w:name w:val="markedcontent"/>
    <w:basedOn w:val="DefaultParagraphFont"/>
    <w:rsid w:val="00E73D04"/>
  </w:style>
  <w:style w:type="paragraph" w:customStyle="1" w:styleId="PSJustificationIndicator">
    <w:name w:val="PSJustificationIndicator"/>
    <w:basedOn w:val="Normal"/>
    <w:rsid w:val="00E73D04"/>
    <w:pPr>
      <w:spacing w:after="0"/>
      <w:jc w:val="left"/>
    </w:pPr>
    <w:rPr>
      <w:rFonts w:ascii="Times New Roman" w:hAnsi="Times New Roman"/>
      <w:b/>
      <w:sz w:val="20"/>
      <w:lang w:eastAsia="en-GB"/>
    </w:rPr>
  </w:style>
  <w:style w:type="paragraph" w:customStyle="1" w:styleId="ppoHeading4Green">
    <w:name w:val="[ppo] Heading 4 (Green)"/>
    <w:basedOn w:val="BASE-STYLE-HEADINGS"/>
    <w:next w:val="Normal"/>
    <w:qFormat/>
    <w:rsid w:val="00D40083"/>
    <w:pPr>
      <w:keepNext/>
      <w:keepLines/>
      <w:spacing w:before="720" w:after="240" w:line="240" w:lineRule="auto"/>
      <w:jc w:val="left"/>
      <w:outlineLvl w:val="3"/>
    </w:pPr>
    <w:rPr>
      <w:color w:val="19854D"/>
      <w:sz w:val="48"/>
      <w:szCs w:val="32"/>
    </w:rPr>
  </w:style>
  <w:style w:type="character" w:customStyle="1" w:styleId="ppocharGreentext24pt">
    <w:name w:val="[ppo_char] Green text 24pt"/>
    <w:uiPriority w:val="1"/>
    <w:qFormat/>
    <w:rsid w:val="007C3D07"/>
    <w:rPr>
      <w:color w:val="19854D"/>
      <w:sz w:val="36"/>
      <w:szCs w:val="36"/>
    </w:rPr>
  </w:style>
  <w:style w:type="character" w:customStyle="1" w:styleId="ppocharGreenemphasis">
    <w:name w:val="[ppo_char] Green emphasis"/>
    <w:uiPriority w:val="1"/>
    <w:qFormat/>
    <w:rsid w:val="00D40083"/>
    <w:rPr>
      <w:b/>
      <w:color w:val="19854D"/>
    </w:rPr>
  </w:style>
  <w:style w:type="paragraph" w:customStyle="1" w:styleId="PSParagraphText">
    <w:name w:val="PS_Paragraph_Text"/>
    <w:basedOn w:val="Normal"/>
    <w:link w:val="PSParagraphTextChar"/>
    <w:qFormat/>
    <w:rsid w:val="008C407A"/>
    <w:pPr>
      <w:spacing w:after="120"/>
    </w:pPr>
    <w:rPr>
      <w:rFonts w:ascii="Times New Roman" w:hAnsi="Times New Roman"/>
      <w:sz w:val="20"/>
      <w:lang w:eastAsia="en-GB"/>
    </w:rPr>
  </w:style>
  <w:style w:type="character" w:customStyle="1" w:styleId="PSParagraphTextChar">
    <w:name w:val="PS_Paragraph_Text Char"/>
    <w:basedOn w:val="DefaultParagraphFont"/>
    <w:link w:val="PSParagraphText"/>
    <w:rsid w:val="008C407A"/>
    <w:rPr>
      <w:sz w:val="20"/>
      <w:lang w:eastAsia="en-GB"/>
    </w:rPr>
  </w:style>
  <w:style w:type="paragraph" w:customStyle="1" w:styleId="agbullets">
    <w:name w:val="ag_bullets"/>
    <w:basedOn w:val="Normal"/>
    <w:qFormat/>
    <w:rsid w:val="008C407A"/>
    <w:pPr>
      <w:numPr>
        <w:numId w:val="81"/>
      </w:numPr>
      <w:spacing w:after="0"/>
      <w:jc w:val="left"/>
    </w:pPr>
    <w:rPr>
      <w:rFonts w:ascii="Times New Roman" w:hAnsi="Times New Roman"/>
      <w:sz w:val="20"/>
      <w:lang w:eastAsia="en-GB"/>
    </w:rPr>
  </w:style>
  <w:style w:type="character" w:customStyle="1" w:styleId="Mention1">
    <w:name w:val="Mention1"/>
    <w:basedOn w:val="DefaultParagraphFont"/>
    <w:uiPriority w:val="99"/>
    <w:unhideWhenUsed/>
    <w:rsid w:val="00EB0337"/>
    <w:rPr>
      <w:color w:val="2B579A"/>
      <w:shd w:val="clear" w:color="auto" w:fill="E6E6E6"/>
    </w:rPr>
  </w:style>
  <w:style w:type="character" w:customStyle="1" w:styleId="findhit">
    <w:name w:val="findhit"/>
    <w:basedOn w:val="DefaultParagraphFont"/>
    <w:rsid w:val="00EB0337"/>
  </w:style>
  <w:style w:type="paragraph" w:customStyle="1" w:styleId="ppoHeading4Purple">
    <w:name w:val="[ppo] Heading 4 (Purple)"/>
    <w:basedOn w:val="BASE-STYLE-HEADINGS"/>
    <w:next w:val="Normal"/>
    <w:qFormat/>
    <w:rsid w:val="004E54EB"/>
    <w:pPr>
      <w:keepNext/>
      <w:keepLines/>
      <w:spacing w:before="720" w:after="240" w:line="240" w:lineRule="auto"/>
      <w:jc w:val="left"/>
      <w:outlineLvl w:val="3"/>
    </w:pPr>
    <w:rPr>
      <w:color w:val="74378D"/>
      <w:sz w:val="48"/>
      <w:szCs w:val="32"/>
    </w:rPr>
  </w:style>
  <w:style w:type="character" w:customStyle="1" w:styleId="ppocharPurpletext24pt">
    <w:name w:val="[ppo_char] Purple text 24pt"/>
    <w:uiPriority w:val="1"/>
    <w:qFormat/>
    <w:rsid w:val="007C3D07"/>
    <w:rPr>
      <w:color w:val="74378D"/>
      <w:sz w:val="36"/>
      <w:szCs w:val="36"/>
    </w:rPr>
  </w:style>
  <w:style w:type="character" w:customStyle="1" w:styleId="ppocharPurpleemphasis">
    <w:name w:val="[ppo_char] Purple emphasis"/>
    <w:uiPriority w:val="1"/>
    <w:qFormat/>
    <w:rsid w:val="004E54EB"/>
    <w:rPr>
      <w:b/>
      <w:color w:val="74378D"/>
    </w:rPr>
  </w:style>
  <w:style w:type="paragraph" w:customStyle="1" w:styleId="PSJustificationLevel2">
    <w:name w:val="PSJustificationLevel2"/>
    <w:basedOn w:val="Normal"/>
    <w:rsid w:val="004E54EB"/>
    <w:pPr>
      <w:spacing w:after="0"/>
      <w:jc w:val="left"/>
    </w:pPr>
    <w:rPr>
      <w:rFonts w:ascii="Times New Roman" w:hAnsi="Times New Roman"/>
      <w:b/>
      <w:lang w:eastAsia="en-GB"/>
    </w:rPr>
  </w:style>
  <w:style w:type="paragraph" w:customStyle="1" w:styleId="PSNormal12">
    <w:name w:val="PS_Normal12"/>
    <w:basedOn w:val="Normal"/>
    <w:rsid w:val="00533AC3"/>
    <w:pPr>
      <w:spacing w:after="0"/>
      <w:jc w:val="left"/>
    </w:pPr>
    <w:rPr>
      <w:rFonts w:ascii="Times New Roman" w:hAnsi="Times New Roman"/>
      <w:lang w:eastAsia="en-GB"/>
    </w:rPr>
  </w:style>
  <w:style w:type="paragraph" w:customStyle="1" w:styleId="ppoHeading4Red">
    <w:name w:val="[ppo] Heading 4 (Red)"/>
    <w:basedOn w:val="BASE-STYLE-HEADINGS"/>
    <w:next w:val="Normal"/>
    <w:qFormat/>
    <w:rsid w:val="0018222F"/>
    <w:pPr>
      <w:keepNext/>
      <w:keepLines/>
      <w:spacing w:before="720" w:after="240" w:line="240" w:lineRule="auto"/>
      <w:jc w:val="left"/>
      <w:outlineLvl w:val="3"/>
    </w:pPr>
    <w:rPr>
      <w:color w:val="E72113"/>
      <w:sz w:val="48"/>
      <w:szCs w:val="32"/>
    </w:rPr>
  </w:style>
  <w:style w:type="character" w:customStyle="1" w:styleId="ppocharRedtext24pt">
    <w:name w:val="[ppo_char] Red text 24pt"/>
    <w:uiPriority w:val="1"/>
    <w:qFormat/>
    <w:rsid w:val="007C3D07"/>
    <w:rPr>
      <w:color w:val="E72113"/>
      <w:sz w:val="36"/>
      <w:szCs w:val="36"/>
    </w:rPr>
  </w:style>
  <w:style w:type="character" w:customStyle="1" w:styleId="ppocharRedemphasis">
    <w:name w:val="[ppo_char] Red emphasis"/>
    <w:uiPriority w:val="1"/>
    <w:qFormat/>
    <w:rsid w:val="0018222F"/>
    <w:rPr>
      <w:b/>
      <w:color w:val="E72113"/>
    </w:rPr>
  </w:style>
  <w:style w:type="paragraph" w:customStyle="1" w:styleId="BB-Heading1">
    <w:name w:val="BB-Heading 1"/>
    <w:basedOn w:val="Normal"/>
    <w:next w:val="Normal"/>
    <w:rsid w:val="00D07F66"/>
    <w:pPr>
      <w:keepNext/>
      <w:numPr>
        <w:numId w:val="112"/>
      </w:numPr>
      <w:spacing w:before="240" w:after="60"/>
      <w:jc w:val="left"/>
      <w:outlineLvl w:val="0"/>
    </w:pPr>
    <w:rPr>
      <w:rFonts w:ascii="Times New Roman" w:hAnsi="Times New Roman"/>
      <w:b/>
      <w:bCs/>
      <w:kern w:val="22"/>
      <w:sz w:val="22"/>
      <w:szCs w:val="22"/>
      <w:lang w:eastAsia="en-GB"/>
    </w:rPr>
  </w:style>
  <w:style w:type="paragraph" w:customStyle="1" w:styleId="BB-Heading2">
    <w:name w:val="BB-Heading 2"/>
    <w:basedOn w:val="Normal"/>
    <w:next w:val="Normal"/>
    <w:rsid w:val="00D07F66"/>
    <w:pPr>
      <w:keepNext/>
      <w:numPr>
        <w:ilvl w:val="1"/>
        <w:numId w:val="112"/>
      </w:numPr>
      <w:spacing w:before="240" w:after="60"/>
      <w:jc w:val="left"/>
      <w:outlineLvl w:val="1"/>
    </w:pPr>
    <w:rPr>
      <w:rFonts w:ascii="Times New Roman" w:hAnsi="Times New Roman"/>
      <w:b/>
      <w:bCs/>
      <w:sz w:val="22"/>
      <w:szCs w:val="22"/>
      <w:lang w:eastAsia="en-GB"/>
    </w:rPr>
  </w:style>
  <w:style w:type="paragraph" w:customStyle="1" w:styleId="BB-Heading3">
    <w:name w:val="BB-Heading 3"/>
    <w:basedOn w:val="BB-Heading2"/>
    <w:next w:val="Normal"/>
    <w:rsid w:val="00D07F66"/>
    <w:pPr>
      <w:numPr>
        <w:ilvl w:val="2"/>
      </w:numPr>
      <w:outlineLvl w:val="2"/>
    </w:pPr>
    <w:rPr>
      <w:b w:val="0"/>
      <w:sz w:val="20"/>
      <w:szCs w:val="20"/>
    </w:rPr>
  </w:style>
  <w:style w:type="paragraph" w:customStyle="1" w:styleId="BB-Heading4">
    <w:name w:val="BB-Heading 4"/>
    <w:basedOn w:val="BB-Heading3"/>
    <w:next w:val="Normal"/>
    <w:rsid w:val="00D07F66"/>
    <w:pPr>
      <w:numPr>
        <w:ilvl w:val="3"/>
      </w:numPr>
      <w:outlineLvl w:val="3"/>
    </w:pPr>
  </w:style>
  <w:style w:type="paragraph" w:customStyle="1" w:styleId="BB-Heading5">
    <w:name w:val="BB-Heading 5"/>
    <w:basedOn w:val="BB-Heading3"/>
    <w:next w:val="Normal"/>
    <w:rsid w:val="00D07F66"/>
    <w:pPr>
      <w:numPr>
        <w:ilvl w:val="4"/>
      </w:numPr>
      <w:outlineLvl w:val="4"/>
    </w:pPr>
  </w:style>
  <w:style w:type="paragraph" w:customStyle="1" w:styleId="BB-Heading6">
    <w:name w:val="BB-Heading 6"/>
    <w:basedOn w:val="BB-Heading3"/>
    <w:next w:val="Normal"/>
    <w:rsid w:val="00D07F66"/>
    <w:pPr>
      <w:numPr>
        <w:ilvl w:val="5"/>
      </w:numPr>
      <w:outlineLvl w:val="5"/>
    </w:pPr>
  </w:style>
  <w:style w:type="paragraph" w:customStyle="1" w:styleId="BB-Heading7">
    <w:name w:val="BB-Heading 7"/>
    <w:basedOn w:val="BB-Heading3"/>
    <w:next w:val="Normal"/>
    <w:rsid w:val="00D07F66"/>
    <w:pPr>
      <w:numPr>
        <w:ilvl w:val="6"/>
      </w:numPr>
      <w:outlineLvl w:val="6"/>
    </w:pPr>
  </w:style>
  <w:style w:type="paragraph" w:customStyle="1" w:styleId="ppoHeading4Turquoise">
    <w:name w:val="[ppo] Heading 4 (Turquoise)"/>
    <w:basedOn w:val="BASE-STYLE-HEADINGS"/>
    <w:next w:val="Normal"/>
    <w:qFormat/>
    <w:rsid w:val="0067184C"/>
    <w:pPr>
      <w:keepNext/>
      <w:keepLines/>
      <w:spacing w:before="720" w:after="240" w:line="240" w:lineRule="auto"/>
      <w:jc w:val="left"/>
      <w:outlineLvl w:val="3"/>
    </w:pPr>
    <w:rPr>
      <w:color w:val="2F7D93"/>
      <w:sz w:val="48"/>
      <w:szCs w:val="32"/>
    </w:rPr>
  </w:style>
  <w:style w:type="numbering" w:customStyle="1" w:styleId="PPOLISTBlackBULLETS">
    <w:name w:val="(PPO LIST) Black BULLETS"/>
    <w:uiPriority w:val="99"/>
    <w:rsid w:val="0067184C"/>
    <w:pPr>
      <w:numPr>
        <w:numId w:val="113"/>
      </w:numPr>
    </w:pPr>
  </w:style>
  <w:style w:type="paragraph" w:customStyle="1" w:styleId="PPOBlackBULLETS-L1">
    <w:name w:val="(PPO) Black BULLETS - L1"/>
    <w:basedOn w:val="Normal"/>
    <w:qFormat/>
    <w:rsid w:val="0067184C"/>
    <w:pPr>
      <w:widowControl w:val="0"/>
      <w:numPr>
        <w:numId w:val="114"/>
      </w:numPr>
      <w:spacing w:after="60" w:line="200" w:lineRule="exact"/>
    </w:pPr>
    <w:rPr>
      <w:rFonts w:ascii="EC Square Sans Cond Pro" w:eastAsia="EC Square Sans Cond Pro Medium" w:hAnsi="EC Square Sans Cond Pro" w:cs="EC Square Sans Cond Pro Medium"/>
      <w:bCs/>
      <w:color w:val="000000" w:themeColor="text1"/>
      <w:sz w:val="18"/>
      <w:szCs w:val="17"/>
      <w:lang w:eastAsia="en-US"/>
    </w:rPr>
  </w:style>
  <w:style w:type="paragraph" w:customStyle="1" w:styleId="PPOBlackBULLETS-L2">
    <w:name w:val="(PPO) Black BULLETS - L2"/>
    <w:basedOn w:val="Normal"/>
    <w:qFormat/>
    <w:rsid w:val="0067184C"/>
    <w:pPr>
      <w:widowControl w:val="0"/>
      <w:numPr>
        <w:ilvl w:val="1"/>
        <w:numId w:val="114"/>
      </w:numPr>
      <w:spacing w:after="60" w:line="200" w:lineRule="exact"/>
    </w:pPr>
    <w:rPr>
      <w:rFonts w:ascii="EC Square Sans Cond Pro" w:eastAsia="EC Square Sans Cond Pro Medium" w:hAnsi="EC Square Sans Cond Pro" w:cs="EC Square Sans Cond Pro Medium"/>
      <w:bCs/>
      <w:color w:val="000000" w:themeColor="text1"/>
      <w:sz w:val="18"/>
      <w:szCs w:val="17"/>
      <w:lang w:eastAsia="en-US"/>
    </w:rPr>
  </w:style>
  <w:style w:type="character" w:customStyle="1" w:styleId="m9121636196355305711gmail-s2">
    <w:name w:val="m_9121636196355305711gmail-s2"/>
    <w:basedOn w:val="DefaultParagraphFont"/>
    <w:rsid w:val="00434A92"/>
  </w:style>
  <w:style w:type="paragraph" w:customStyle="1" w:styleId="Style1">
    <w:name w:val="Style1"/>
    <w:basedOn w:val="Normal"/>
    <w:link w:val="Style1Char"/>
    <w:uiPriority w:val="1"/>
    <w:qFormat/>
    <w:rsid w:val="002B7756"/>
    <w:pPr>
      <w:spacing w:before="240" w:after="120" w:line="264" w:lineRule="auto"/>
      <w:jc w:val="left"/>
    </w:pPr>
    <w:rPr>
      <w:rFonts w:eastAsia="EC Square Sans Pro" w:cs="Arial Unicode MS"/>
      <w:b/>
      <w:color w:val="215E94"/>
      <w:spacing w:val="1"/>
      <w:sz w:val="20"/>
      <w:lang w:eastAsia="en-US"/>
    </w:rPr>
  </w:style>
  <w:style w:type="character" w:customStyle="1" w:styleId="Style1Char">
    <w:name w:val="Style1 Char"/>
    <w:basedOn w:val="DefaultParagraphFont"/>
    <w:link w:val="Style1"/>
    <w:uiPriority w:val="1"/>
    <w:rsid w:val="002B7756"/>
    <w:rPr>
      <w:rFonts w:ascii="EC Square Sans Pro" w:eastAsia="EC Square Sans Pro" w:hAnsi="EC Square Sans Pro" w:cs="Arial Unicode MS"/>
      <w:b/>
      <w:color w:val="215E94"/>
      <w:spacing w:val="1"/>
      <w:sz w:val="20"/>
      <w:lang w:eastAsia="en-US"/>
    </w:rPr>
  </w:style>
  <w:style w:type="paragraph" w:customStyle="1" w:styleId="amprT-AnnexesH1TITLE1">
    <w:name w:val="[ampr T-Annexes H1] TITLE 1"/>
    <w:basedOn w:val="BASE-STYLE-HEADINGS"/>
    <w:next w:val="amprBodyText"/>
    <w:uiPriority w:val="9"/>
    <w:qFormat/>
    <w:rsid w:val="00FC1F14"/>
    <w:pPr>
      <w:keepNext/>
      <w:keepLines/>
      <w:pageBreakBefore/>
      <w:suppressAutoHyphens/>
      <w:spacing w:before="240" w:after="720"/>
      <w:jc w:val="left"/>
      <w:outlineLvl w:val="0"/>
    </w:pPr>
    <w:rPr>
      <w:rFonts w:eastAsia="EC Square Sans Pro" w:cs="Times New Roman"/>
      <w:color w:val="215E94" w:themeColor="text2"/>
      <w:sz w:val="48"/>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7522">
      <w:bodyDiv w:val="1"/>
      <w:marLeft w:val="0"/>
      <w:marRight w:val="0"/>
      <w:marTop w:val="0"/>
      <w:marBottom w:val="0"/>
      <w:divBdr>
        <w:top w:val="none" w:sz="0" w:space="0" w:color="auto"/>
        <w:left w:val="none" w:sz="0" w:space="0" w:color="auto"/>
        <w:bottom w:val="none" w:sz="0" w:space="0" w:color="auto"/>
        <w:right w:val="none" w:sz="0" w:space="0" w:color="auto"/>
      </w:divBdr>
    </w:div>
    <w:div w:id="73280150">
      <w:bodyDiv w:val="1"/>
      <w:marLeft w:val="0"/>
      <w:marRight w:val="0"/>
      <w:marTop w:val="0"/>
      <w:marBottom w:val="0"/>
      <w:divBdr>
        <w:top w:val="none" w:sz="0" w:space="0" w:color="auto"/>
        <w:left w:val="none" w:sz="0" w:space="0" w:color="auto"/>
        <w:bottom w:val="none" w:sz="0" w:space="0" w:color="auto"/>
        <w:right w:val="none" w:sz="0" w:space="0" w:color="auto"/>
      </w:divBdr>
    </w:div>
    <w:div w:id="76485322">
      <w:bodyDiv w:val="1"/>
      <w:marLeft w:val="0"/>
      <w:marRight w:val="0"/>
      <w:marTop w:val="0"/>
      <w:marBottom w:val="0"/>
      <w:divBdr>
        <w:top w:val="none" w:sz="0" w:space="0" w:color="auto"/>
        <w:left w:val="none" w:sz="0" w:space="0" w:color="auto"/>
        <w:bottom w:val="none" w:sz="0" w:space="0" w:color="auto"/>
        <w:right w:val="none" w:sz="0" w:space="0" w:color="auto"/>
      </w:divBdr>
    </w:div>
    <w:div w:id="149639726">
      <w:bodyDiv w:val="1"/>
      <w:marLeft w:val="0"/>
      <w:marRight w:val="0"/>
      <w:marTop w:val="0"/>
      <w:marBottom w:val="0"/>
      <w:divBdr>
        <w:top w:val="none" w:sz="0" w:space="0" w:color="auto"/>
        <w:left w:val="none" w:sz="0" w:space="0" w:color="auto"/>
        <w:bottom w:val="none" w:sz="0" w:space="0" w:color="auto"/>
        <w:right w:val="none" w:sz="0" w:space="0" w:color="auto"/>
      </w:divBdr>
    </w:div>
    <w:div w:id="191963961">
      <w:bodyDiv w:val="1"/>
      <w:marLeft w:val="0"/>
      <w:marRight w:val="0"/>
      <w:marTop w:val="0"/>
      <w:marBottom w:val="0"/>
      <w:divBdr>
        <w:top w:val="none" w:sz="0" w:space="0" w:color="auto"/>
        <w:left w:val="none" w:sz="0" w:space="0" w:color="auto"/>
        <w:bottom w:val="none" w:sz="0" w:space="0" w:color="auto"/>
        <w:right w:val="none" w:sz="0" w:space="0" w:color="auto"/>
      </w:divBdr>
    </w:div>
    <w:div w:id="238946640">
      <w:bodyDiv w:val="1"/>
      <w:marLeft w:val="0"/>
      <w:marRight w:val="0"/>
      <w:marTop w:val="0"/>
      <w:marBottom w:val="0"/>
      <w:divBdr>
        <w:top w:val="none" w:sz="0" w:space="0" w:color="auto"/>
        <w:left w:val="none" w:sz="0" w:space="0" w:color="auto"/>
        <w:bottom w:val="none" w:sz="0" w:space="0" w:color="auto"/>
        <w:right w:val="none" w:sz="0" w:space="0" w:color="auto"/>
      </w:divBdr>
    </w:div>
    <w:div w:id="269631134">
      <w:bodyDiv w:val="1"/>
      <w:marLeft w:val="0"/>
      <w:marRight w:val="0"/>
      <w:marTop w:val="0"/>
      <w:marBottom w:val="0"/>
      <w:divBdr>
        <w:top w:val="none" w:sz="0" w:space="0" w:color="auto"/>
        <w:left w:val="none" w:sz="0" w:space="0" w:color="auto"/>
        <w:bottom w:val="none" w:sz="0" w:space="0" w:color="auto"/>
        <w:right w:val="none" w:sz="0" w:space="0" w:color="auto"/>
      </w:divBdr>
    </w:div>
    <w:div w:id="274144450">
      <w:bodyDiv w:val="1"/>
      <w:marLeft w:val="0"/>
      <w:marRight w:val="0"/>
      <w:marTop w:val="0"/>
      <w:marBottom w:val="0"/>
      <w:divBdr>
        <w:top w:val="none" w:sz="0" w:space="0" w:color="auto"/>
        <w:left w:val="none" w:sz="0" w:space="0" w:color="auto"/>
        <w:bottom w:val="none" w:sz="0" w:space="0" w:color="auto"/>
        <w:right w:val="none" w:sz="0" w:space="0" w:color="auto"/>
      </w:divBdr>
    </w:div>
    <w:div w:id="282739007">
      <w:bodyDiv w:val="1"/>
      <w:marLeft w:val="0"/>
      <w:marRight w:val="0"/>
      <w:marTop w:val="0"/>
      <w:marBottom w:val="0"/>
      <w:divBdr>
        <w:top w:val="none" w:sz="0" w:space="0" w:color="auto"/>
        <w:left w:val="none" w:sz="0" w:space="0" w:color="auto"/>
        <w:bottom w:val="none" w:sz="0" w:space="0" w:color="auto"/>
        <w:right w:val="none" w:sz="0" w:space="0" w:color="auto"/>
      </w:divBdr>
    </w:div>
    <w:div w:id="290285201">
      <w:bodyDiv w:val="1"/>
      <w:marLeft w:val="0"/>
      <w:marRight w:val="0"/>
      <w:marTop w:val="0"/>
      <w:marBottom w:val="0"/>
      <w:divBdr>
        <w:top w:val="none" w:sz="0" w:space="0" w:color="auto"/>
        <w:left w:val="none" w:sz="0" w:space="0" w:color="auto"/>
        <w:bottom w:val="none" w:sz="0" w:space="0" w:color="auto"/>
        <w:right w:val="none" w:sz="0" w:space="0" w:color="auto"/>
      </w:divBdr>
    </w:div>
    <w:div w:id="314604401">
      <w:bodyDiv w:val="1"/>
      <w:marLeft w:val="0"/>
      <w:marRight w:val="0"/>
      <w:marTop w:val="0"/>
      <w:marBottom w:val="0"/>
      <w:divBdr>
        <w:top w:val="none" w:sz="0" w:space="0" w:color="auto"/>
        <w:left w:val="none" w:sz="0" w:space="0" w:color="auto"/>
        <w:bottom w:val="none" w:sz="0" w:space="0" w:color="auto"/>
        <w:right w:val="none" w:sz="0" w:space="0" w:color="auto"/>
      </w:divBdr>
    </w:div>
    <w:div w:id="324164105">
      <w:bodyDiv w:val="1"/>
      <w:marLeft w:val="0"/>
      <w:marRight w:val="0"/>
      <w:marTop w:val="0"/>
      <w:marBottom w:val="0"/>
      <w:divBdr>
        <w:top w:val="none" w:sz="0" w:space="0" w:color="auto"/>
        <w:left w:val="none" w:sz="0" w:space="0" w:color="auto"/>
        <w:bottom w:val="none" w:sz="0" w:space="0" w:color="auto"/>
        <w:right w:val="none" w:sz="0" w:space="0" w:color="auto"/>
      </w:divBdr>
    </w:div>
    <w:div w:id="325284420">
      <w:bodyDiv w:val="1"/>
      <w:marLeft w:val="0"/>
      <w:marRight w:val="0"/>
      <w:marTop w:val="0"/>
      <w:marBottom w:val="0"/>
      <w:divBdr>
        <w:top w:val="none" w:sz="0" w:space="0" w:color="auto"/>
        <w:left w:val="none" w:sz="0" w:space="0" w:color="auto"/>
        <w:bottom w:val="none" w:sz="0" w:space="0" w:color="auto"/>
        <w:right w:val="none" w:sz="0" w:space="0" w:color="auto"/>
      </w:divBdr>
    </w:div>
    <w:div w:id="336034934">
      <w:bodyDiv w:val="1"/>
      <w:marLeft w:val="0"/>
      <w:marRight w:val="0"/>
      <w:marTop w:val="0"/>
      <w:marBottom w:val="0"/>
      <w:divBdr>
        <w:top w:val="none" w:sz="0" w:space="0" w:color="auto"/>
        <w:left w:val="none" w:sz="0" w:space="0" w:color="auto"/>
        <w:bottom w:val="none" w:sz="0" w:space="0" w:color="auto"/>
        <w:right w:val="none" w:sz="0" w:space="0" w:color="auto"/>
      </w:divBdr>
    </w:div>
    <w:div w:id="389424517">
      <w:bodyDiv w:val="1"/>
      <w:marLeft w:val="0"/>
      <w:marRight w:val="0"/>
      <w:marTop w:val="0"/>
      <w:marBottom w:val="0"/>
      <w:divBdr>
        <w:top w:val="none" w:sz="0" w:space="0" w:color="auto"/>
        <w:left w:val="none" w:sz="0" w:space="0" w:color="auto"/>
        <w:bottom w:val="none" w:sz="0" w:space="0" w:color="auto"/>
        <w:right w:val="none" w:sz="0" w:space="0" w:color="auto"/>
      </w:divBdr>
    </w:div>
    <w:div w:id="404492636">
      <w:bodyDiv w:val="1"/>
      <w:marLeft w:val="0"/>
      <w:marRight w:val="0"/>
      <w:marTop w:val="0"/>
      <w:marBottom w:val="0"/>
      <w:divBdr>
        <w:top w:val="none" w:sz="0" w:space="0" w:color="auto"/>
        <w:left w:val="none" w:sz="0" w:space="0" w:color="auto"/>
        <w:bottom w:val="none" w:sz="0" w:space="0" w:color="auto"/>
        <w:right w:val="none" w:sz="0" w:space="0" w:color="auto"/>
      </w:divBdr>
    </w:div>
    <w:div w:id="408426607">
      <w:bodyDiv w:val="1"/>
      <w:marLeft w:val="0"/>
      <w:marRight w:val="0"/>
      <w:marTop w:val="0"/>
      <w:marBottom w:val="0"/>
      <w:divBdr>
        <w:top w:val="none" w:sz="0" w:space="0" w:color="auto"/>
        <w:left w:val="none" w:sz="0" w:space="0" w:color="auto"/>
        <w:bottom w:val="none" w:sz="0" w:space="0" w:color="auto"/>
        <w:right w:val="none" w:sz="0" w:space="0" w:color="auto"/>
      </w:divBdr>
    </w:div>
    <w:div w:id="455609857">
      <w:bodyDiv w:val="1"/>
      <w:marLeft w:val="0"/>
      <w:marRight w:val="0"/>
      <w:marTop w:val="0"/>
      <w:marBottom w:val="0"/>
      <w:divBdr>
        <w:top w:val="none" w:sz="0" w:space="0" w:color="auto"/>
        <w:left w:val="none" w:sz="0" w:space="0" w:color="auto"/>
        <w:bottom w:val="none" w:sz="0" w:space="0" w:color="auto"/>
        <w:right w:val="none" w:sz="0" w:space="0" w:color="auto"/>
      </w:divBdr>
    </w:div>
    <w:div w:id="471482150">
      <w:bodyDiv w:val="1"/>
      <w:marLeft w:val="0"/>
      <w:marRight w:val="0"/>
      <w:marTop w:val="0"/>
      <w:marBottom w:val="0"/>
      <w:divBdr>
        <w:top w:val="none" w:sz="0" w:space="0" w:color="auto"/>
        <w:left w:val="none" w:sz="0" w:space="0" w:color="auto"/>
        <w:bottom w:val="none" w:sz="0" w:space="0" w:color="auto"/>
        <w:right w:val="none" w:sz="0" w:space="0" w:color="auto"/>
      </w:divBdr>
    </w:div>
    <w:div w:id="477693000">
      <w:bodyDiv w:val="1"/>
      <w:marLeft w:val="0"/>
      <w:marRight w:val="0"/>
      <w:marTop w:val="0"/>
      <w:marBottom w:val="0"/>
      <w:divBdr>
        <w:top w:val="none" w:sz="0" w:space="0" w:color="auto"/>
        <w:left w:val="none" w:sz="0" w:space="0" w:color="auto"/>
        <w:bottom w:val="none" w:sz="0" w:space="0" w:color="auto"/>
        <w:right w:val="none" w:sz="0" w:space="0" w:color="auto"/>
      </w:divBdr>
    </w:div>
    <w:div w:id="528033535">
      <w:bodyDiv w:val="1"/>
      <w:marLeft w:val="0"/>
      <w:marRight w:val="0"/>
      <w:marTop w:val="0"/>
      <w:marBottom w:val="0"/>
      <w:divBdr>
        <w:top w:val="none" w:sz="0" w:space="0" w:color="auto"/>
        <w:left w:val="none" w:sz="0" w:space="0" w:color="auto"/>
        <w:bottom w:val="none" w:sz="0" w:space="0" w:color="auto"/>
        <w:right w:val="none" w:sz="0" w:space="0" w:color="auto"/>
      </w:divBdr>
    </w:div>
    <w:div w:id="582690698">
      <w:bodyDiv w:val="1"/>
      <w:marLeft w:val="0"/>
      <w:marRight w:val="0"/>
      <w:marTop w:val="0"/>
      <w:marBottom w:val="0"/>
      <w:divBdr>
        <w:top w:val="none" w:sz="0" w:space="0" w:color="auto"/>
        <w:left w:val="none" w:sz="0" w:space="0" w:color="auto"/>
        <w:bottom w:val="none" w:sz="0" w:space="0" w:color="auto"/>
        <w:right w:val="none" w:sz="0" w:space="0" w:color="auto"/>
      </w:divBdr>
    </w:div>
    <w:div w:id="618726940">
      <w:bodyDiv w:val="1"/>
      <w:marLeft w:val="0"/>
      <w:marRight w:val="0"/>
      <w:marTop w:val="0"/>
      <w:marBottom w:val="0"/>
      <w:divBdr>
        <w:top w:val="none" w:sz="0" w:space="0" w:color="auto"/>
        <w:left w:val="none" w:sz="0" w:space="0" w:color="auto"/>
        <w:bottom w:val="none" w:sz="0" w:space="0" w:color="auto"/>
        <w:right w:val="none" w:sz="0" w:space="0" w:color="auto"/>
      </w:divBdr>
    </w:div>
    <w:div w:id="664866064">
      <w:bodyDiv w:val="1"/>
      <w:marLeft w:val="0"/>
      <w:marRight w:val="0"/>
      <w:marTop w:val="0"/>
      <w:marBottom w:val="0"/>
      <w:divBdr>
        <w:top w:val="none" w:sz="0" w:space="0" w:color="auto"/>
        <w:left w:val="none" w:sz="0" w:space="0" w:color="auto"/>
        <w:bottom w:val="none" w:sz="0" w:space="0" w:color="auto"/>
        <w:right w:val="none" w:sz="0" w:space="0" w:color="auto"/>
      </w:divBdr>
    </w:div>
    <w:div w:id="671833662">
      <w:bodyDiv w:val="1"/>
      <w:marLeft w:val="0"/>
      <w:marRight w:val="0"/>
      <w:marTop w:val="0"/>
      <w:marBottom w:val="0"/>
      <w:divBdr>
        <w:top w:val="none" w:sz="0" w:space="0" w:color="auto"/>
        <w:left w:val="none" w:sz="0" w:space="0" w:color="auto"/>
        <w:bottom w:val="none" w:sz="0" w:space="0" w:color="auto"/>
        <w:right w:val="none" w:sz="0" w:space="0" w:color="auto"/>
      </w:divBdr>
    </w:div>
    <w:div w:id="709957540">
      <w:bodyDiv w:val="1"/>
      <w:marLeft w:val="0"/>
      <w:marRight w:val="0"/>
      <w:marTop w:val="0"/>
      <w:marBottom w:val="0"/>
      <w:divBdr>
        <w:top w:val="none" w:sz="0" w:space="0" w:color="auto"/>
        <w:left w:val="none" w:sz="0" w:space="0" w:color="auto"/>
        <w:bottom w:val="none" w:sz="0" w:space="0" w:color="auto"/>
        <w:right w:val="none" w:sz="0" w:space="0" w:color="auto"/>
      </w:divBdr>
    </w:div>
    <w:div w:id="761411558">
      <w:bodyDiv w:val="1"/>
      <w:marLeft w:val="0"/>
      <w:marRight w:val="0"/>
      <w:marTop w:val="0"/>
      <w:marBottom w:val="0"/>
      <w:divBdr>
        <w:top w:val="none" w:sz="0" w:space="0" w:color="auto"/>
        <w:left w:val="none" w:sz="0" w:space="0" w:color="auto"/>
        <w:bottom w:val="none" w:sz="0" w:space="0" w:color="auto"/>
        <w:right w:val="none" w:sz="0" w:space="0" w:color="auto"/>
      </w:divBdr>
    </w:div>
    <w:div w:id="785660449">
      <w:bodyDiv w:val="1"/>
      <w:marLeft w:val="0"/>
      <w:marRight w:val="0"/>
      <w:marTop w:val="0"/>
      <w:marBottom w:val="0"/>
      <w:divBdr>
        <w:top w:val="none" w:sz="0" w:space="0" w:color="auto"/>
        <w:left w:val="none" w:sz="0" w:space="0" w:color="auto"/>
        <w:bottom w:val="none" w:sz="0" w:space="0" w:color="auto"/>
        <w:right w:val="none" w:sz="0" w:space="0" w:color="auto"/>
      </w:divBdr>
    </w:div>
    <w:div w:id="826634820">
      <w:bodyDiv w:val="1"/>
      <w:marLeft w:val="0"/>
      <w:marRight w:val="0"/>
      <w:marTop w:val="0"/>
      <w:marBottom w:val="0"/>
      <w:divBdr>
        <w:top w:val="none" w:sz="0" w:space="0" w:color="auto"/>
        <w:left w:val="none" w:sz="0" w:space="0" w:color="auto"/>
        <w:bottom w:val="none" w:sz="0" w:space="0" w:color="auto"/>
        <w:right w:val="none" w:sz="0" w:space="0" w:color="auto"/>
      </w:divBdr>
    </w:div>
    <w:div w:id="839392153">
      <w:bodyDiv w:val="1"/>
      <w:marLeft w:val="0"/>
      <w:marRight w:val="0"/>
      <w:marTop w:val="0"/>
      <w:marBottom w:val="0"/>
      <w:divBdr>
        <w:top w:val="none" w:sz="0" w:space="0" w:color="auto"/>
        <w:left w:val="none" w:sz="0" w:space="0" w:color="auto"/>
        <w:bottom w:val="none" w:sz="0" w:space="0" w:color="auto"/>
        <w:right w:val="none" w:sz="0" w:space="0" w:color="auto"/>
      </w:divBdr>
    </w:div>
    <w:div w:id="850068934">
      <w:bodyDiv w:val="1"/>
      <w:marLeft w:val="0"/>
      <w:marRight w:val="0"/>
      <w:marTop w:val="0"/>
      <w:marBottom w:val="0"/>
      <w:divBdr>
        <w:top w:val="none" w:sz="0" w:space="0" w:color="auto"/>
        <w:left w:val="none" w:sz="0" w:space="0" w:color="auto"/>
        <w:bottom w:val="none" w:sz="0" w:space="0" w:color="auto"/>
        <w:right w:val="none" w:sz="0" w:space="0" w:color="auto"/>
      </w:divBdr>
    </w:div>
    <w:div w:id="921833811">
      <w:bodyDiv w:val="1"/>
      <w:marLeft w:val="0"/>
      <w:marRight w:val="0"/>
      <w:marTop w:val="0"/>
      <w:marBottom w:val="0"/>
      <w:divBdr>
        <w:top w:val="none" w:sz="0" w:space="0" w:color="auto"/>
        <w:left w:val="none" w:sz="0" w:space="0" w:color="auto"/>
        <w:bottom w:val="none" w:sz="0" w:space="0" w:color="auto"/>
        <w:right w:val="none" w:sz="0" w:space="0" w:color="auto"/>
      </w:divBdr>
    </w:div>
    <w:div w:id="940917140">
      <w:bodyDiv w:val="1"/>
      <w:marLeft w:val="0"/>
      <w:marRight w:val="0"/>
      <w:marTop w:val="0"/>
      <w:marBottom w:val="0"/>
      <w:divBdr>
        <w:top w:val="none" w:sz="0" w:space="0" w:color="auto"/>
        <w:left w:val="none" w:sz="0" w:space="0" w:color="auto"/>
        <w:bottom w:val="none" w:sz="0" w:space="0" w:color="auto"/>
        <w:right w:val="none" w:sz="0" w:space="0" w:color="auto"/>
      </w:divBdr>
    </w:div>
    <w:div w:id="966743025">
      <w:bodyDiv w:val="1"/>
      <w:marLeft w:val="0"/>
      <w:marRight w:val="0"/>
      <w:marTop w:val="0"/>
      <w:marBottom w:val="0"/>
      <w:divBdr>
        <w:top w:val="none" w:sz="0" w:space="0" w:color="auto"/>
        <w:left w:val="none" w:sz="0" w:space="0" w:color="auto"/>
        <w:bottom w:val="none" w:sz="0" w:space="0" w:color="auto"/>
        <w:right w:val="none" w:sz="0" w:space="0" w:color="auto"/>
      </w:divBdr>
    </w:div>
    <w:div w:id="972249377">
      <w:bodyDiv w:val="1"/>
      <w:marLeft w:val="0"/>
      <w:marRight w:val="0"/>
      <w:marTop w:val="0"/>
      <w:marBottom w:val="0"/>
      <w:divBdr>
        <w:top w:val="none" w:sz="0" w:space="0" w:color="auto"/>
        <w:left w:val="none" w:sz="0" w:space="0" w:color="auto"/>
        <w:bottom w:val="none" w:sz="0" w:space="0" w:color="auto"/>
        <w:right w:val="none" w:sz="0" w:space="0" w:color="auto"/>
      </w:divBdr>
    </w:div>
    <w:div w:id="994380447">
      <w:bodyDiv w:val="1"/>
      <w:marLeft w:val="0"/>
      <w:marRight w:val="0"/>
      <w:marTop w:val="0"/>
      <w:marBottom w:val="0"/>
      <w:divBdr>
        <w:top w:val="none" w:sz="0" w:space="0" w:color="auto"/>
        <w:left w:val="none" w:sz="0" w:space="0" w:color="auto"/>
        <w:bottom w:val="none" w:sz="0" w:space="0" w:color="auto"/>
        <w:right w:val="none" w:sz="0" w:space="0" w:color="auto"/>
      </w:divBdr>
    </w:div>
    <w:div w:id="1102143242">
      <w:bodyDiv w:val="1"/>
      <w:marLeft w:val="0"/>
      <w:marRight w:val="0"/>
      <w:marTop w:val="0"/>
      <w:marBottom w:val="0"/>
      <w:divBdr>
        <w:top w:val="none" w:sz="0" w:space="0" w:color="auto"/>
        <w:left w:val="none" w:sz="0" w:space="0" w:color="auto"/>
        <w:bottom w:val="none" w:sz="0" w:space="0" w:color="auto"/>
        <w:right w:val="none" w:sz="0" w:space="0" w:color="auto"/>
      </w:divBdr>
    </w:div>
    <w:div w:id="1108042256">
      <w:bodyDiv w:val="1"/>
      <w:marLeft w:val="0"/>
      <w:marRight w:val="0"/>
      <w:marTop w:val="0"/>
      <w:marBottom w:val="0"/>
      <w:divBdr>
        <w:top w:val="none" w:sz="0" w:space="0" w:color="auto"/>
        <w:left w:val="none" w:sz="0" w:space="0" w:color="auto"/>
        <w:bottom w:val="none" w:sz="0" w:space="0" w:color="auto"/>
        <w:right w:val="none" w:sz="0" w:space="0" w:color="auto"/>
      </w:divBdr>
    </w:div>
    <w:div w:id="1108963109">
      <w:bodyDiv w:val="1"/>
      <w:marLeft w:val="0"/>
      <w:marRight w:val="0"/>
      <w:marTop w:val="0"/>
      <w:marBottom w:val="0"/>
      <w:divBdr>
        <w:top w:val="none" w:sz="0" w:space="0" w:color="auto"/>
        <w:left w:val="none" w:sz="0" w:space="0" w:color="auto"/>
        <w:bottom w:val="none" w:sz="0" w:space="0" w:color="auto"/>
        <w:right w:val="none" w:sz="0" w:space="0" w:color="auto"/>
      </w:divBdr>
    </w:div>
    <w:div w:id="1151139990">
      <w:bodyDiv w:val="1"/>
      <w:marLeft w:val="0"/>
      <w:marRight w:val="0"/>
      <w:marTop w:val="0"/>
      <w:marBottom w:val="0"/>
      <w:divBdr>
        <w:top w:val="none" w:sz="0" w:space="0" w:color="auto"/>
        <w:left w:val="none" w:sz="0" w:space="0" w:color="auto"/>
        <w:bottom w:val="none" w:sz="0" w:space="0" w:color="auto"/>
        <w:right w:val="none" w:sz="0" w:space="0" w:color="auto"/>
      </w:divBdr>
    </w:div>
    <w:div w:id="1191410534">
      <w:bodyDiv w:val="1"/>
      <w:marLeft w:val="0"/>
      <w:marRight w:val="0"/>
      <w:marTop w:val="0"/>
      <w:marBottom w:val="0"/>
      <w:divBdr>
        <w:top w:val="none" w:sz="0" w:space="0" w:color="auto"/>
        <w:left w:val="none" w:sz="0" w:space="0" w:color="auto"/>
        <w:bottom w:val="none" w:sz="0" w:space="0" w:color="auto"/>
        <w:right w:val="none" w:sz="0" w:space="0" w:color="auto"/>
      </w:divBdr>
    </w:div>
    <w:div w:id="1207067755">
      <w:bodyDiv w:val="1"/>
      <w:marLeft w:val="0"/>
      <w:marRight w:val="0"/>
      <w:marTop w:val="0"/>
      <w:marBottom w:val="0"/>
      <w:divBdr>
        <w:top w:val="none" w:sz="0" w:space="0" w:color="auto"/>
        <w:left w:val="none" w:sz="0" w:space="0" w:color="auto"/>
        <w:bottom w:val="none" w:sz="0" w:space="0" w:color="auto"/>
        <w:right w:val="none" w:sz="0" w:space="0" w:color="auto"/>
      </w:divBdr>
    </w:div>
    <w:div w:id="1245185290">
      <w:bodyDiv w:val="1"/>
      <w:marLeft w:val="0"/>
      <w:marRight w:val="0"/>
      <w:marTop w:val="0"/>
      <w:marBottom w:val="0"/>
      <w:divBdr>
        <w:top w:val="none" w:sz="0" w:space="0" w:color="auto"/>
        <w:left w:val="none" w:sz="0" w:space="0" w:color="auto"/>
        <w:bottom w:val="none" w:sz="0" w:space="0" w:color="auto"/>
        <w:right w:val="none" w:sz="0" w:space="0" w:color="auto"/>
      </w:divBdr>
    </w:div>
    <w:div w:id="1280334362">
      <w:bodyDiv w:val="1"/>
      <w:marLeft w:val="0"/>
      <w:marRight w:val="0"/>
      <w:marTop w:val="0"/>
      <w:marBottom w:val="0"/>
      <w:divBdr>
        <w:top w:val="none" w:sz="0" w:space="0" w:color="auto"/>
        <w:left w:val="none" w:sz="0" w:space="0" w:color="auto"/>
        <w:bottom w:val="none" w:sz="0" w:space="0" w:color="auto"/>
        <w:right w:val="none" w:sz="0" w:space="0" w:color="auto"/>
      </w:divBdr>
    </w:div>
    <w:div w:id="1311708807">
      <w:bodyDiv w:val="1"/>
      <w:marLeft w:val="0"/>
      <w:marRight w:val="0"/>
      <w:marTop w:val="0"/>
      <w:marBottom w:val="0"/>
      <w:divBdr>
        <w:top w:val="none" w:sz="0" w:space="0" w:color="auto"/>
        <w:left w:val="none" w:sz="0" w:space="0" w:color="auto"/>
        <w:bottom w:val="none" w:sz="0" w:space="0" w:color="auto"/>
        <w:right w:val="none" w:sz="0" w:space="0" w:color="auto"/>
      </w:divBdr>
    </w:div>
    <w:div w:id="1328509216">
      <w:bodyDiv w:val="1"/>
      <w:marLeft w:val="0"/>
      <w:marRight w:val="0"/>
      <w:marTop w:val="0"/>
      <w:marBottom w:val="0"/>
      <w:divBdr>
        <w:top w:val="none" w:sz="0" w:space="0" w:color="auto"/>
        <w:left w:val="none" w:sz="0" w:space="0" w:color="auto"/>
        <w:bottom w:val="none" w:sz="0" w:space="0" w:color="auto"/>
        <w:right w:val="none" w:sz="0" w:space="0" w:color="auto"/>
      </w:divBdr>
    </w:div>
    <w:div w:id="1332224296">
      <w:bodyDiv w:val="1"/>
      <w:marLeft w:val="0"/>
      <w:marRight w:val="0"/>
      <w:marTop w:val="0"/>
      <w:marBottom w:val="0"/>
      <w:divBdr>
        <w:top w:val="none" w:sz="0" w:space="0" w:color="auto"/>
        <w:left w:val="none" w:sz="0" w:space="0" w:color="auto"/>
        <w:bottom w:val="none" w:sz="0" w:space="0" w:color="auto"/>
        <w:right w:val="none" w:sz="0" w:space="0" w:color="auto"/>
      </w:divBdr>
    </w:div>
    <w:div w:id="1357122085">
      <w:bodyDiv w:val="1"/>
      <w:marLeft w:val="0"/>
      <w:marRight w:val="0"/>
      <w:marTop w:val="0"/>
      <w:marBottom w:val="0"/>
      <w:divBdr>
        <w:top w:val="none" w:sz="0" w:space="0" w:color="auto"/>
        <w:left w:val="none" w:sz="0" w:space="0" w:color="auto"/>
        <w:bottom w:val="none" w:sz="0" w:space="0" w:color="auto"/>
        <w:right w:val="none" w:sz="0" w:space="0" w:color="auto"/>
      </w:divBdr>
    </w:div>
    <w:div w:id="1367752430">
      <w:bodyDiv w:val="1"/>
      <w:marLeft w:val="0"/>
      <w:marRight w:val="0"/>
      <w:marTop w:val="0"/>
      <w:marBottom w:val="0"/>
      <w:divBdr>
        <w:top w:val="none" w:sz="0" w:space="0" w:color="auto"/>
        <w:left w:val="none" w:sz="0" w:space="0" w:color="auto"/>
        <w:bottom w:val="none" w:sz="0" w:space="0" w:color="auto"/>
        <w:right w:val="none" w:sz="0" w:space="0" w:color="auto"/>
      </w:divBdr>
    </w:div>
    <w:div w:id="1382439032">
      <w:bodyDiv w:val="1"/>
      <w:marLeft w:val="0"/>
      <w:marRight w:val="0"/>
      <w:marTop w:val="0"/>
      <w:marBottom w:val="0"/>
      <w:divBdr>
        <w:top w:val="none" w:sz="0" w:space="0" w:color="auto"/>
        <w:left w:val="none" w:sz="0" w:space="0" w:color="auto"/>
        <w:bottom w:val="none" w:sz="0" w:space="0" w:color="auto"/>
        <w:right w:val="none" w:sz="0" w:space="0" w:color="auto"/>
      </w:divBdr>
    </w:div>
    <w:div w:id="1485001543">
      <w:bodyDiv w:val="1"/>
      <w:marLeft w:val="0"/>
      <w:marRight w:val="0"/>
      <w:marTop w:val="0"/>
      <w:marBottom w:val="0"/>
      <w:divBdr>
        <w:top w:val="none" w:sz="0" w:space="0" w:color="auto"/>
        <w:left w:val="none" w:sz="0" w:space="0" w:color="auto"/>
        <w:bottom w:val="none" w:sz="0" w:space="0" w:color="auto"/>
        <w:right w:val="none" w:sz="0" w:space="0" w:color="auto"/>
      </w:divBdr>
    </w:div>
    <w:div w:id="1487477645">
      <w:bodyDiv w:val="1"/>
      <w:marLeft w:val="0"/>
      <w:marRight w:val="0"/>
      <w:marTop w:val="0"/>
      <w:marBottom w:val="0"/>
      <w:divBdr>
        <w:top w:val="none" w:sz="0" w:space="0" w:color="auto"/>
        <w:left w:val="none" w:sz="0" w:space="0" w:color="auto"/>
        <w:bottom w:val="none" w:sz="0" w:space="0" w:color="auto"/>
        <w:right w:val="none" w:sz="0" w:space="0" w:color="auto"/>
      </w:divBdr>
    </w:div>
    <w:div w:id="1531798487">
      <w:bodyDiv w:val="1"/>
      <w:marLeft w:val="0"/>
      <w:marRight w:val="0"/>
      <w:marTop w:val="0"/>
      <w:marBottom w:val="0"/>
      <w:divBdr>
        <w:top w:val="none" w:sz="0" w:space="0" w:color="auto"/>
        <w:left w:val="none" w:sz="0" w:space="0" w:color="auto"/>
        <w:bottom w:val="none" w:sz="0" w:space="0" w:color="auto"/>
        <w:right w:val="none" w:sz="0" w:space="0" w:color="auto"/>
      </w:divBdr>
    </w:div>
    <w:div w:id="1571188804">
      <w:bodyDiv w:val="1"/>
      <w:marLeft w:val="0"/>
      <w:marRight w:val="0"/>
      <w:marTop w:val="0"/>
      <w:marBottom w:val="0"/>
      <w:divBdr>
        <w:top w:val="none" w:sz="0" w:space="0" w:color="auto"/>
        <w:left w:val="none" w:sz="0" w:space="0" w:color="auto"/>
        <w:bottom w:val="none" w:sz="0" w:space="0" w:color="auto"/>
        <w:right w:val="none" w:sz="0" w:space="0" w:color="auto"/>
      </w:divBdr>
    </w:div>
    <w:div w:id="1590231788">
      <w:bodyDiv w:val="1"/>
      <w:marLeft w:val="0"/>
      <w:marRight w:val="0"/>
      <w:marTop w:val="0"/>
      <w:marBottom w:val="0"/>
      <w:divBdr>
        <w:top w:val="none" w:sz="0" w:space="0" w:color="auto"/>
        <w:left w:val="none" w:sz="0" w:space="0" w:color="auto"/>
        <w:bottom w:val="none" w:sz="0" w:space="0" w:color="auto"/>
        <w:right w:val="none" w:sz="0" w:space="0" w:color="auto"/>
      </w:divBdr>
    </w:div>
    <w:div w:id="1617448023">
      <w:bodyDiv w:val="1"/>
      <w:marLeft w:val="0"/>
      <w:marRight w:val="0"/>
      <w:marTop w:val="0"/>
      <w:marBottom w:val="0"/>
      <w:divBdr>
        <w:top w:val="none" w:sz="0" w:space="0" w:color="auto"/>
        <w:left w:val="none" w:sz="0" w:space="0" w:color="auto"/>
        <w:bottom w:val="none" w:sz="0" w:space="0" w:color="auto"/>
        <w:right w:val="none" w:sz="0" w:space="0" w:color="auto"/>
      </w:divBdr>
    </w:div>
    <w:div w:id="1624268758">
      <w:bodyDiv w:val="1"/>
      <w:marLeft w:val="0"/>
      <w:marRight w:val="0"/>
      <w:marTop w:val="0"/>
      <w:marBottom w:val="0"/>
      <w:divBdr>
        <w:top w:val="none" w:sz="0" w:space="0" w:color="auto"/>
        <w:left w:val="none" w:sz="0" w:space="0" w:color="auto"/>
        <w:bottom w:val="none" w:sz="0" w:space="0" w:color="auto"/>
        <w:right w:val="none" w:sz="0" w:space="0" w:color="auto"/>
      </w:divBdr>
    </w:div>
    <w:div w:id="1629359734">
      <w:bodyDiv w:val="1"/>
      <w:marLeft w:val="0"/>
      <w:marRight w:val="0"/>
      <w:marTop w:val="0"/>
      <w:marBottom w:val="0"/>
      <w:divBdr>
        <w:top w:val="none" w:sz="0" w:space="0" w:color="auto"/>
        <w:left w:val="none" w:sz="0" w:space="0" w:color="auto"/>
        <w:bottom w:val="none" w:sz="0" w:space="0" w:color="auto"/>
        <w:right w:val="none" w:sz="0" w:space="0" w:color="auto"/>
      </w:divBdr>
    </w:div>
    <w:div w:id="1669208241">
      <w:bodyDiv w:val="1"/>
      <w:marLeft w:val="0"/>
      <w:marRight w:val="0"/>
      <w:marTop w:val="0"/>
      <w:marBottom w:val="0"/>
      <w:divBdr>
        <w:top w:val="none" w:sz="0" w:space="0" w:color="auto"/>
        <w:left w:val="none" w:sz="0" w:space="0" w:color="auto"/>
        <w:bottom w:val="none" w:sz="0" w:space="0" w:color="auto"/>
        <w:right w:val="none" w:sz="0" w:space="0" w:color="auto"/>
      </w:divBdr>
    </w:div>
    <w:div w:id="1682930784">
      <w:bodyDiv w:val="1"/>
      <w:marLeft w:val="0"/>
      <w:marRight w:val="0"/>
      <w:marTop w:val="0"/>
      <w:marBottom w:val="0"/>
      <w:divBdr>
        <w:top w:val="none" w:sz="0" w:space="0" w:color="auto"/>
        <w:left w:val="none" w:sz="0" w:space="0" w:color="auto"/>
        <w:bottom w:val="none" w:sz="0" w:space="0" w:color="auto"/>
        <w:right w:val="none" w:sz="0" w:space="0" w:color="auto"/>
      </w:divBdr>
    </w:div>
    <w:div w:id="1687904448">
      <w:bodyDiv w:val="1"/>
      <w:marLeft w:val="0"/>
      <w:marRight w:val="0"/>
      <w:marTop w:val="0"/>
      <w:marBottom w:val="0"/>
      <w:divBdr>
        <w:top w:val="none" w:sz="0" w:space="0" w:color="auto"/>
        <w:left w:val="none" w:sz="0" w:space="0" w:color="auto"/>
        <w:bottom w:val="none" w:sz="0" w:space="0" w:color="auto"/>
        <w:right w:val="none" w:sz="0" w:space="0" w:color="auto"/>
      </w:divBdr>
    </w:div>
    <w:div w:id="1716275756">
      <w:bodyDiv w:val="1"/>
      <w:marLeft w:val="0"/>
      <w:marRight w:val="0"/>
      <w:marTop w:val="0"/>
      <w:marBottom w:val="0"/>
      <w:divBdr>
        <w:top w:val="none" w:sz="0" w:space="0" w:color="auto"/>
        <w:left w:val="none" w:sz="0" w:space="0" w:color="auto"/>
        <w:bottom w:val="none" w:sz="0" w:space="0" w:color="auto"/>
        <w:right w:val="none" w:sz="0" w:space="0" w:color="auto"/>
      </w:divBdr>
    </w:div>
    <w:div w:id="1718159065">
      <w:bodyDiv w:val="1"/>
      <w:marLeft w:val="0"/>
      <w:marRight w:val="0"/>
      <w:marTop w:val="0"/>
      <w:marBottom w:val="0"/>
      <w:divBdr>
        <w:top w:val="none" w:sz="0" w:space="0" w:color="auto"/>
        <w:left w:val="none" w:sz="0" w:space="0" w:color="auto"/>
        <w:bottom w:val="none" w:sz="0" w:space="0" w:color="auto"/>
        <w:right w:val="none" w:sz="0" w:space="0" w:color="auto"/>
      </w:divBdr>
    </w:div>
    <w:div w:id="1746999857">
      <w:bodyDiv w:val="1"/>
      <w:marLeft w:val="0"/>
      <w:marRight w:val="0"/>
      <w:marTop w:val="0"/>
      <w:marBottom w:val="0"/>
      <w:divBdr>
        <w:top w:val="none" w:sz="0" w:space="0" w:color="auto"/>
        <w:left w:val="none" w:sz="0" w:space="0" w:color="auto"/>
        <w:bottom w:val="none" w:sz="0" w:space="0" w:color="auto"/>
        <w:right w:val="none" w:sz="0" w:space="0" w:color="auto"/>
      </w:divBdr>
    </w:div>
    <w:div w:id="1749423319">
      <w:bodyDiv w:val="1"/>
      <w:marLeft w:val="0"/>
      <w:marRight w:val="0"/>
      <w:marTop w:val="0"/>
      <w:marBottom w:val="0"/>
      <w:divBdr>
        <w:top w:val="none" w:sz="0" w:space="0" w:color="auto"/>
        <w:left w:val="none" w:sz="0" w:space="0" w:color="auto"/>
        <w:bottom w:val="none" w:sz="0" w:space="0" w:color="auto"/>
        <w:right w:val="none" w:sz="0" w:space="0" w:color="auto"/>
      </w:divBdr>
    </w:div>
    <w:div w:id="1757631594">
      <w:bodyDiv w:val="1"/>
      <w:marLeft w:val="0"/>
      <w:marRight w:val="0"/>
      <w:marTop w:val="0"/>
      <w:marBottom w:val="0"/>
      <w:divBdr>
        <w:top w:val="none" w:sz="0" w:space="0" w:color="auto"/>
        <w:left w:val="none" w:sz="0" w:space="0" w:color="auto"/>
        <w:bottom w:val="none" w:sz="0" w:space="0" w:color="auto"/>
        <w:right w:val="none" w:sz="0" w:space="0" w:color="auto"/>
      </w:divBdr>
    </w:div>
    <w:div w:id="1758596789">
      <w:bodyDiv w:val="1"/>
      <w:marLeft w:val="0"/>
      <w:marRight w:val="0"/>
      <w:marTop w:val="0"/>
      <w:marBottom w:val="0"/>
      <w:divBdr>
        <w:top w:val="none" w:sz="0" w:space="0" w:color="auto"/>
        <w:left w:val="none" w:sz="0" w:space="0" w:color="auto"/>
        <w:bottom w:val="none" w:sz="0" w:space="0" w:color="auto"/>
        <w:right w:val="none" w:sz="0" w:space="0" w:color="auto"/>
      </w:divBdr>
    </w:div>
    <w:div w:id="1815491692">
      <w:bodyDiv w:val="1"/>
      <w:marLeft w:val="0"/>
      <w:marRight w:val="0"/>
      <w:marTop w:val="0"/>
      <w:marBottom w:val="0"/>
      <w:divBdr>
        <w:top w:val="none" w:sz="0" w:space="0" w:color="auto"/>
        <w:left w:val="none" w:sz="0" w:space="0" w:color="auto"/>
        <w:bottom w:val="none" w:sz="0" w:space="0" w:color="auto"/>
        <w:right w:val="none" w:sz="0" w:space="0" w:color="auto"/>
      </w:divBdr>
    </w:div>
    <w:div w:id="1894533972">
      <w:bodyDiv w:val="1"/>
      <w:marLeft w:val="0"/>
      <w:marRight w:val="0"/>
      <w:marTop w:val="0"/>
      <w:marBottom w:val="0"/>
      <w:divBdr>
        <w:top w:val="none" w:sz="0" w:space="0" w:color="auto"/>
        <w:left w:val="none" w:sz="0" w:space="0" w:color="auto"/>
        <w:bottom w:val="none" w:sz="0" w:space="0" w:color="auto"/>
        <w:right w:val="none" w:sz="0" w:space="0" w:color="auto"/>
      </w:divBdr>
    </w:div>
    <w:div w:id="1952591960">
      <w:bodyDiv w:val="1"/>
      <w:marLeft w:val="0"/>
      <w:marRight w:val="0"/>
      <w:marTop w:val="0"/>
      <w:marBottom w:val="0"/>
      <w:divBdr>
        <w:top w:val="none" w:sz="0" w:space="0" w:color="auto"/>
        <w:left w:val="none" w:sz="0" w:space="0" w:color="auto"/>
        <w:bottom w:val="none" w:sz="0" w:space="0" w:color="auto"/>
        <w:right w:val="none" w:sz="0" w:space="0" w:color="auto"/>
      </w:divBdr>
    </w:div>
    <w:div w:id="1962496345">
      <w:bodyDiv w:val="1"/>
      <w:marLeft w:val="0"/>
      <w:marRight w:val="0"/>
      <w:marTop w:val="0"/>
      <w:marBottom w:val="0"/>
      <w:divBdr>
        <w:top w:val="none" w:sz="0" w:space="0" w:color="auto"/>
        <w:left w:val="none" w:sz="0" w:space="0" w:color="auto"/>
        <w:bottom w:val="none" w:sz="0" w:space="0" w:color="auto"/>
        <w:right w:val="none" w:sz="0" w:space="0" w:color="auto"/>
      </w:divBdr>
    </w:div>
    <w:div w:id="1988122781">
      <w:bodyDiv w:val="1"/>
      <w:marLeft w:val="0"/>
      <w:marRight w:val="0"/>
      <w:marTop w:val="0"/>
      <w:marBottom w:val="0"/>
      <w:divBdr>
        <w:top w:val="none" w:sz="0" w:space="0" w:color="auto"/>
        <w:left w:val="none" w:sz="0" w:space="0" w:color="auto"/>
        <w:bottom w:val="none" w:sz="0" w:space="0" w:color="auto"/>
        <w:right w:val="none" w:sz="0" w:space="0" w:color="auto"/>
      </w:divBdr>
    </w:div>
    <w:div w:id="2005694425">
      <w:bodyDiv w:val="1"/>
      <w:marLeft w:val="0"/>
      <w:marRight w:val="0"/>
      <w:marTop w:val="0"/>
      <w:marBottom w:val="0"/>
      <w:divBdr>
        <w:top w:val="none" w:sz="0" w:space="0" w:color="auto"/>
        <w:left w:val="none" w:sz="0" w:space="0" w:color="auto"/>
        <w:bottom w:val="none" w:sz="0" w:space="0" w:color="auto"/>
        <w:right w:val="none" w:sz="0" w:space="0" w:color="auto"/>
      </w:divBdr>
    </w:div>
    <w:div w:id="2015720399">
      <w:bodyDiv w:val="1"/>
      <w:marLeft w:val="0"/>
      <w:marRight w:val="0"/>
      <w:marTop w:val="0"/>
      <w:marBottom w:val="0"/>
      <w:divBdr>
        <w:top w:val="none" w:sz="0" w:space="0" w:color="auto"/>
        <w:left w:val="none" w:sz="0" w:space="0" w:color="auto"/>
        <w:bottom w:val="none" w:sz="0" w:space="0" w:color="auto"/>
        <w:right w:val="none" w:sz="0" w:space="0" w:color="auto"/>
      </w:divBdr>
    </w:div>
    <w:div w:id="2037269221">
      <w:bodyDiv w:val="1"/>
      <w:marLeft w:val="0"/>
      <w:marRight w:val="0"/>
      <w:marTop w:val="0"/>
      <w:marBottom w:val="0"/>
      <w:divBdr>
        <w:top w:val="none" w:sz="0" w:space="0" w:color="auto"/>
        <w:left w:val="none" w:sz="0" w:space="0" w:color="auto"/>
        <w:bottom w:val="none" w:sz="0" w:space="0" w:color="auto"/>
        <w:right w:val="none" w:sz="0" w:space="0" w:color="auto"/>
      </w:divBdr>
    </w:div>
    <w:div w:id="2077819451">
      <w:bodyDiv w:val="1"/>
      <w:marLeft w:val="0"/>
      <w:marRight w:val="0"/>
      <w:marTop w:val="0"/>
      <w:marBottom w:val="0"/>
      <w:divBdr>
        <w:top w:val="none" w:sz="0" w:space="0" w:color="auto"/>
        <w:left w:val="none" w:sz="0" w:space="0" w:color="auto"/>
        <w:bottom w:val="none" w:sz="0" w:space="0" w:color="auto"/>
        <w:right w:val="none" w:sz="0" w:space="0" w:color="auto"/>
      </w:divBdr>
    </w:div>
    <w:div w:id="2086873309">
      <w:bodyDiv w:val="1"/>
      <w:marLeft w:val="0"/>
      <w:marRight w:val="0"/>
      <w:marTop w:val="0"/>
      <w:marBottom w:val="0"/>
      <w:divBdr>
        <w:top w:val="none" w:sz="0" w:space="0" w:color="auto"/>
        <w:left w:val="none" w:sz="0" w:space="0" w:color="auto"/>
        <w:bottom w:val="none" w:sz="0" w:space="0" w:color="auto"/>
        <w:right w:val="none" w:sz="0" w:space="0" w:color="auto"/>
      </w:divBdr>
    </w:div>
    <w:div w:id="2105303699">
      <w:bodyDiv w:val="1"/>
      <w:marLeft w:val="0"/>
      <w:marRight w:val="0"/>
      <w:marTop w:val="0"/>
      <w:marBottom w:val="0"/>
      <w:divBdr>
        <w:top w:val="none" w:sz="0" w:space="0" w:color="auto"/>
        <w:left w:val="none" w:sz="0" w:space="0" w:color="auto"/>
        <w:bottom w:val="none" w:sz="0" w:space="0" w:color="auto"/>
        <w:right w:val="none" w:sz="0" w:space="0" w:color="auto"/>
      </w:divBdr>
    </w:div>
    <w:div w:id="2106026086">
      <w:bodyDiv w:val="1"/>
      <w:marLeft w:val="0"/>
      <w:marRight w:val="0"/>
      <w:marTop w:val="0"/>
      <w:marBottom w:val="0"/>
      <w:divBdr>
        <w:top w:val="none" w:sz="0" w:space="0" w:color="auto"/>
        <w:left w:val="none" w:sz="0" w:space="0" w:color="auto"/>
        <w:bottom w:val="none" w:sz="0" w:space="0" w:color="auto"/>
        <w:right w:val="none" w:sz="0" w:space="0" w:color="auto"/>
      </w:divBdr>
    </w:div>
    <w:div w:id="2142110256">
      <w:bodyDiv w:val="1"/>
      <w:marLeft w:val="0"/>
      <w:marRight w:val="0"/>
      <w:marTop w:val="0"/>
      <w:marBottom w:val="0"/>
      <w:divBdr>
        <w:top w:val="none" w:sz="0" w:space="0" w:color="auto"/>
        <w:left w:val="none" w:sz="0" w:space="0" w:color="auto"/>
        <w:bottom w:val="none" w:sz="0" w:space="0" w:color="auto"/>
        <w:right w:val="none" w:sz="0" w:space="0" w:color="auto"/>
      </w:divBdr>
    </w:div>
    <w:div w:id="2142990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1.xml"/><Relationship Id="rId299" Type="http://schemas.openxmlformats.org/officeDocument/2006/relationships/header" Target="header88.xml"/><Relationship Id="rId671" Type="http://schemas.openxmlformats.org/officeDocument/2006/relationships/footer" Target="footer245.xml"/><Relationship Id="rId21" Type="http://schemas.openxmlformats.org/officeDocument/2006/relationships/header" Target="header3.xml"/><Relationship Id="rId63" Type="http://schemas.openxmlformats.org/officeDocument/2006/relationships/hyperlink" Target="https://ec.europa.eu/info/strategy/eu-budget/performance-and-reporting/programmes-performance/global-europe-neighbourhood-development-and-international-cooperation-instrument-performance_en" TargetMode="External"/><Relationship Id="rId159" Type="http://schemas.openxmlformats.org/officeDocument/2006/relationships/footer" Target="footer35.xml"/><Relationship Id="rId324" Type="http://schemas.openxmlformats.org/officeDocument/2006/relationships/header" Target="header99.xml"/><Relationship Id="rId366" Type="http://schemas.openxmlformats.org/officeDocument/2006/relationships/header" Target="header117.xml"/><Relationship Id="rId531" Type="http://schemas.openxmlformats.org/officeDocument/2006/relationships/footer" Target="footer185.xml"/><Relationship Id="rId573" Type="http://schemas.openxmlformats.org/officeDocument/2006/relationships/header" Target="header204.xml"/><Relationship Id="rId629" Type="http://schemas.openxmlformats.org/officeDocument/2006/relationships/footer" Target="footer228.xml"/><Relationship Id="rId170" Type="http://schemas.openxmlformats.org/officeDocument/2006/relationships/header" Target="header41.xml"/><Relationship Id="rId226" Type="http://schemas.openxmlformats.org/officeDocument/2006/relationships/header" Target="header60.xml"/><Relationship Id="rId433" Type="http://schemas.openxmlformats.org/officeDocument/2006/relationships/header" Target="header144.xml"/><Relationship Id="rId268" Type="http://schemas.openxmlformats.org/officeDocument/2006/relationships/footer" Target="footer75.xml"/><Relationship Id="rId475" Type="http://schemas.openxmlformats.org/officeDocument/2006/relationships/header" Target="header162.xml"/><Relationship Id="rId640" Type="http://schemas.openxmlformats.org/officeDocument/2006/relationships/footer" Target="footer232.xml"/><Relationship Id="rId32" Type="http://schemas.openxmlformats.org/officeDocument/2006/relationships/hyperlink" Target="https://ec.europa.eu/info/strategy/eu-budget/performance-and-reporting/programmes-performance/eu-anti-fraud-programme-performance_en" TargetMode="External"/><Relationship Id="rId74" Type="http://schemas.openxmlformats.org/officeDocument/2006/relationships/hyperlink" Target="https://ec.europa.eu/info/files/2021-2027-indicator-metadata-set_en" TargetMode="External"/><Relationship Id="rId128" Type="http://schemas.openxmlformats.org/officeDocument/2006/relationships/hyperlink" Target="https://europa.eu/!Px98ju" TargetMode="External"/><Relationship Id="rId335" Type="http://schemas.openxmlformats.org/officeDocument/2006/relationships/header" Target="header103.xml"/><Relationship Id="rId377" Type="http://schemas.openxmlformats.org/officeDocument/2006/relationships/header" Target="header122.xml"/><Relationship Id="rId500" Type="http://schemas.openxmlformats.org/officeDocument/2006/relationships/header" Target="header172.xml"/><Relationship Id="rId542" Type="http://schemas.openxmlformats.org/officeDocument/2006/relationships/header" Target="header190.xml"/><Relationship Id="rId584" Type="http://schemas.openxmlformats.org/officeDocument/2006/relationships/header" Target="header209.xml"/><Relationship Id="rId5" Type="http://schemas.openxmlformats.org/officeDocument/2006/relationships/customXml" Target="../customXml/item5.xml"/><Relationship Id="rId181" Type="http://schemas.openxmlformats.org/officeDocument/2006/relationships/header" Target="header45.xml"/><Relationship Id="rId237" Type="http://schemas.openxmlformats.org/officeDocument/2006/relationships/footer" Target="footer63.xml"/><Relationship Id="rId402" Type="http://schemas.openxmlformats.org/officeDocument/2006/relationships/header" Target="header132.xml"/><Relationship Id="rId279" Type="http://schemas.openxmlformats.org/officeDocument/2006/relationships/footer" Target="footer79.xml"/><Relationship Id="rId444" Type="http://schemas.openxmlformats.org/officeDocument/2006/relationships/footer" Target="footer148.xml"/><Relationship Id="rId486" Type="http://schemas.openxmlformats.org/officeDocument/2006/relationships/header" Target="header167.xml"/><Relationship Id="rId651" Type="http://schemas.openxmlformats.org/officeDocument/2006/relationships/hyperlink" Target="https://ec.europa.eu/clima/eu-action/funding-climate-action/innovation-fund_en" TargetMode="External"/><Relationship Id="rId43" Type="http://schemas.openxmlformats.org/officeDocument/2006/relationships/hyperlink" Target="https://ec.europa.eu/info/strategy/eu-budget/performance-and-reporting/programmes-performance/emergency-support-within-union-performance_en" TargetMode="External"/><Relationship Id="rId139" Type="http://schemas.openxmlformats.org/officeDocument/2006/relationships/footer" Target="footer28.xml"/><Relationship Id="rId290" Type="http://schemas.openxmlformats.org/officeDocument/2006/relationships/footer" Target="footer84.xml"/><Relationship Id="rId304" Type="http://schemas.openxmlformats.org/officeDocument/2006/relationships/footer" Target="footer90.xml"/><Relationship Id="rId346" Type="http://schemas.openxmlformats.org/officeDocument/2006/relationships/footer" Target="footer107.xml"/><Relationship Id="rId388" Type="http://schemas.openxmlformats.org/officeDocument/2006/relationships/header" Target="header126.xml"/><Relationship Id="rId511" Type="http://schemas.openxmlformats.org/officeDocument/2006/relationships/footer" Target="footer177.xml"/><Relationship Id="rId553" Type="http://schemas.openxmlformats.org/officeDocument/2006/relationships/footer" Target="footer195.xml"/><Relationship Id="rId609" Type="http://schemas.openxmlformats.org/officeDocument/2006/relationships/hyperlink" Target="https://europa.eu/!KK86Tv" TargetMode="External"/><Relationship Id="rId85" Type="http://schemas.openxmlformats.org/officeDocument/2006/relationships/header" Target="header9.xml"/><Relationship Id="rId150" Type="http://schemas.openxmlformats.org/officeDocument/2006/relationships/footer" Target="footer31.xml"/><Relationship Id="rId192" Type="http://schemas.openxmlformats.org/officeDocument/2006/relationships/hyperlink" Target="http://europa.eu/!KF39Uq" TargetMode="External"/><Relationship Id="rId206" Type="http://schemas.openxmlformats.org/officeDocument/2006/relationships/header" Target="header53.xml"/><Relationship Id="rId413" Type="http://schemas.openxmlformats.org/officeDocument/2006/relationships/hyperlink" Target="https://cinea.ec.europa.eu/life/best-projects-and-life-awards_en" TargetMode="External"/><Relationship Id="rId595" Type="http://schemas.openxmlformats.org/officeDocument/2006/relationships/hyperlink" Target="https://europa.eu/!pP67Jx" TargetMode="External"/><Relationship Id="rId248" Type="http://schemas.openxmlformats.org/officeDocument/2006/relationships/header" Target="header68.xml"/><Relationship Id="rId455" Type="http://schemas.openxmlformats.org/officeDocument/2006/relationships/hyperlink" Target="https://europa.eu/!UK78xW" TargetMode="External"/><Relationship Id="rId497" Type="http://schemas.openxmlformats.org/officeDocument/2006/relationships/hyperlink" Target="https://europa.eu/!UN93UP" TargetMode="External"/><Relationship Id="rId620" Type="http://schemas.openxmlformats.org/officeDocument/2006/relationships/footer" Target="footer224.xml"/><Relationship Id="rId662" Type="http://schemas.openxmlformats.org/officeDocument/2006/relationships/header" Target="header242.xml"/><Relationship Id="rId12" Type="http://schemas.openxmlformats.org/officeDocument/2006/relationships/settings" Target="settings.xml"/><Relationship Id="rId108" Type="http://schemas.openxmlformats.org/officeDocument/2006/relationships/header" Target="header17.xml"/><Relationship Id="rId315" Type="http://schemas.openxmlformats.org/officeDocument/2006/relationships/header" Target="header95.xml"/><Relationship Id="rId357" Type="http://schemas.openxmlformats.org/officeDocument/2006/relationships/header" Target="header113.xml"/><Relationship Id="rId522" Type="http://schemas.openxmlformats.org/officeDocument/2006/relationships/footer" Target="footer181.xml"/><Relationship Id="rId54" Type="http://schemas.openxmlformats.org/officeDocument/2006/relationships/hyperlink" Target="https://ec.europa.eu/info/strategy/eu-budget/performance-and-reporting/programmes-performance/fisheries-organisations-and-agreements-performance_en" TargetMode="External"/><Relationship Id="rId96" Type="http://schemas.openxmlformats.org/officeDocument/2006/relationships/footer" Target="footer12.xml"/><Relationship Id="rId161" Type="http://schemas.openxmlformats.org/officeDocument/2006/relationships/footer" Target="footer36.xml"/><Relationship Id="rId217" Type="http://schemas.openxmlformats.org/officeDocument/2006/relationships/header" Target="header57.xml"/><Relationship Id="rId399" Type="http://schemas.openxmlformats.org/officeDocument/2006/relationships/header" Target="header131.xml"/><Relationship Id="rId564" Type="http://schemas.openxmlformats.org/officeDocument/2006/relationships/footer" Target="footer200.xml"/><Relationship Id="rId259" Type="http://schemas.openxmlformats.org/officeDocument/2006/relationships/header" Target="header72.xml"/><Relationship Id="rId424" Type="http://schemas.openxmlformats.org/officeDocument/2006/relationships/footer" Target="footer140.xml"/><Relationship Id="rId466" Type="http://schemas.openxmlformats.org/officeDocument/2006/relationships/footer" Target="footer158.xml"/><Relationship Id="rId631" Type="http://schemas.openxmlformats.org/officeDocument/2006/relationships/header" Target="header230.xml"/><Relationship Id="rId673" Type="http://schemas.openxmlformats.org/officeDocument/2006/relationships/footer" Target="footer246.xml"/><Relationship Id="rId23" Type="http://schemas.openxmlformats.org/officeDocument/2006/relationships/hyperlink" Target="https://ec.europa.eu/info/strategy/eu-budget/performance-and-reporting/programmes-performance_en" TargetMode="External"/><Relationship Id="rId119" Type="http://schemas.openxmlformats.org/officeDocument/2006/relationships/hyperlink" Target="https://europa.eu/investeu" TargetMode="External"/><Relationship Id="rId270" Type="http://schemas.openxmlformats.org/officeDocument/2006/relationships/hyperlink" Target="https://europa.eu/!djQfMd" TargetMode="External"/><Relationship Id="rId326" Type="http://schemas.openxmlformats.org/officeDocument/2006/relationships/hyperlink" Target="https://europa.eu/!RX78mN" TargetMode="External"/><Relationship Id="rId533" Type="http://schemas.openxmlformats.org/officeDocument/2006/relationships/footer" Target="footer186.xml"/><Relationship Id="rId65" Type="http://schemas.openxmlformats.org/officeDocument/2006/relationships/hyperlink" Target="https://ec.europa.eu/info/strategy/eu-budget/performance-and-reporting/programmes-performance/humanitarian-aid-performance_en" TargetMode="External"/><Relationship Id="rId130" Type="http://schemas.openxmlformats.org/officeDocument/2006/relationships/header" Target="header26.xml"/><Relationship Id="rId368" Type="http://schemas.openxmlformats.org/officeDocument/2006/relationships/hyperlink" Target="https://europa.eu/!Rd79mr" TargetMode="External"/><Relationship Id="rId575" Type="http://schemas.openxmlformats.org/officeDocument/2006/relationships/header" Target="header205.xml"/><Relationship Id="rId172" Type="http://schemas.openxmlformats.org/officeDocument/2006/relationships/footer" Target="footer41.xml"/><Relationship Id="rId228" Type="http://schemas.openxmlformats.org/officeDocument/2006/relationships/hyperlink" Target="https://europa.eu/!jH84Np" TargetMode="External"/><Relationship Id="rId435" Type="http://schemas.openxmlformats.org/officeDocument/2006/relationships/header" Target="header145.xml"/><Relationship Id="rId477" Type="http://schemas.openxmlformats.org/officeDocument/2006/relationships/header" Target="header163.xml"/><Relationship Id="rId600" Type="http://schemas.openxmlformats.org/officeDocument/2006/relationships/footer" Target="footer215.xml"/><Relationship Id="rId642" Type="http://schemas.openxmlformats.org/officeDocument/2006/relationships/header" Target="header234.xml"/><Relationship Id="rId281" Type="http://schemas.openxmlformats.org/officeDocument/2006/relationships/header" Target="header81.xml"/><Relationship Id="rId337" Type="http://schemas.openxmlformats.org/officeDocument/2006/relationships/footer" Target="footer103.xml"/><Relationship Id="rId502" Type="http://schemas.openxmlformats.org/officeDocument/2006/relationships/footer" Target="footer172.xml"/><Relationship Id="rId34" Type="http://schemas.openxmlformats.org/officeDocument/2006/relationships/hyperlink" Target="https://ec.europa.eu/info/strategy/eu-budget/performance-and-reporting/programmes-performance/cooperation-field-customs-customs-performance_en" TargetMode="External"/><Relationship Id="rId76" Type="http://schemas.openxmlformats.org/officeDocument/2006/relationships/header" Target="header5.xml"/><Relationship Id="rId141" Type="http://schemas.openxmlformats.org/officeDocument/2006/relationships/header" Target="header30.xml"/><Relationship Id="rId379" Type="http://schemas.openxmlformats.org/officeDocument/2006/relationships/footer" Target="footer122.xml"/><Relationship Id="rId544" Type="http://schemas.openxmlformats.org/officeDocument/2006/relationships/footer" Target="footer190.xml"/><Relationship Id="rId586" Type="http://schemas.openxmlformats.org/officeDocument/2006/relationships/footer" Target="footer209.xml"/><Relationship Id="rId7" Type="http://schemas.openxmlformats.org/officeDocument/2006/relationships/customXml" Target="../customXml/item7.xml"/><Relationship Id="rId183" Type="http://schemas.openxmlformats.org/officeDocument/2006/relationships/header" Target="header46.xml"/><Relationship Id="rId239" Type="http://schemas.openxmlformats.org/officeDocument/2006/relationships/hyperlink" Target="https://europa.eu/!uJ67Dg" TargetMode="External"/><Relationship Id="rId390" Type="http://schemas.openxmlformats.org/officeDocument/2006/relationships/header" Target="header127.xml"/><Relationship Id="rId404" Type="http://schemas.openxmlformats.org/officeDocument/2006/relationships/header" Target="header133.xml"/><Relationship Id="rId446" Type="http://schemas.openxmlformats.org/officeDocument/2006/relationships/header" Target="header150.xml"/><Relationship Id="rId611" Type="http://schemas.openxmlformats.org/officeDocument/2006/relationships/header" Target="header220.xml"/><Relationship Id="rId653" Type="http://schemas.openxmlformats.org/officeDocument/2006/relationships/hyperlink" Target="https://ec.europa.eu/info/funding-tenders/opportunities/portal/screen/programmes/innovfund" TargetMode="External"/><Relationship Id="rId250" Type="http://schemas.openxmlformats.org/officeDocument/2006/relationships/footer" Target="footer68.xml"/><Relationship Id="rId292" Type="http://schemas.openxmlformats.org/officeDocument/2006/relationships/header" Target="header86.xml"/><Relationship Id="rId306" Type="http://schemas.openxmlformats.org/officeDocument/2006/relationships/header" Target="header92.xml"/><Relationship Id="rId488" Type="http://schemas.openxmlformats.org/officeDocument/2006/relationships/footer" Target="footer167.xml"/><Relationship Id="rId45" Type="http://schemas.openxmlformats.org/officeDocument/2006/relationships/hyperlink" Target="https://ec.europa.eu/info/strategy/eu-budget/performance-and-reporting/programmes-performance/erasmus-performance_en" TargetMode="External"/><Relationship Id="rId87" Type="http://schemas.openxmlformats.org/officeDocument/2006/relationships/hyperlink" Target="https://europa.eu/!Px33mc" TargetMode="External"/><Relationship Id="rId110" Type="http://schemas.openxmlformats.org/officeDocument/2006/relationships/footer" Target="footer17.xml"/><Relationship Id="rId348" Type="http://schemas.openxmlformats.org/officeDocument/2006/relationships/footer" Target="footer108.xml"/><Relationship Id="rId513" Type="http://schemas.openxmlformats.org/officeDocument/2006/relationships/hyperlink" Target="https://ec.europa.eu/defence-industry-space/eu-defence-industry/european-defence-fund-edf_en" TargetMode="External"/><Relationship Id="rId555" Type="http://schemas.openxmlformats.org/officeDocument/2006/relationships/header" Target="header196.xml"/><Relationship Id="rId597" Type="http://schemas.openxmlformats.org/officeDocument/2006/relationships/header" Target="header214.xml"/><Relationship Id="rId152" Type="http://schemas.openxmlformats.org/officeDocument/2006/relationships/header" Target="header33.xml"/><Relationship Id="rId194" Type="http://schemas.openxmlformats.org/officeDocument/2006/relationships/hyperlink" Target="https://data.consilium.europa.eu/doc/document/ST-7550-2017-INIT/en/pdf%5d" TargetMode="External"/><Relationship Id="rId208" Type="http://schemas.openxmlformats.org/officeDocument/2006/relationships/footer" Target="footer53.xml"/><Relationship Id="rId415" Type="http://schemas.openxmlformats.org/officeDocument/2006/relationships/header" Target="header136.xml"/><Relationship Id="rId457" Type="http://schemas.openxmlformats.org/officeDocument/2006/relationships/header" Target="header154.xml"/><Relationship Id="rId622" Type="http://schemas.openxmlformats.org/officeDocument/2006/relationships/footer" Target="footer225.xml"/><Relationship Id="rId261" Type="http://schemas.openxmlformats.org/officeDocument/2006/relationships/hyperlink" Target="https://europa.eu/!Vq34DU" TargetMode="External"/><Relationship Id="rId499" Type="http://schemas.openxmlformats.org/officeDocument/2006/relationships/hyperlink" Target="https://joint-research-centre.ec.europa.eu/scientific-activities-z/nuclear-waste-management-and-decommissioning_en" TargetMode="External"/><Relationship Id="rId664" Type="http://schemas.openxmlformats.org/officeDocument/2006/relationships/footer" Target="footer242.xml"/><Relationship Id="rId14" Type="http://schemas.openxmlformats.org/officeDocument/2006/relationships/footnotes" Target="footnotes.xml"/><Relationship Id="rId56" Type="http://schemas.openxmlformats.org/officeDocument/2006/relationships/hyperlink" Target="https://ec.europa.eu/info/strategy/eu-budget/performance-and-reporting/programmes-performance/just-transition-mechanism-performance_en" TargetMode="External"/><Relationship Id="rId317" Type="http://schemas.openxmlformats.org/officeDocument/2006/relationships/footer" Target="footer95.xml"/><Relationship Id="rId359" Type="http://schemas.openxmlformats.org/officeDocument/2006/relationships/footer" Target="footer113.xml"/><Relationship Id="rId524" Type="http://schemas.openxmlformats.org/officeDocument/2006/relationships/header" Target="header183.xml"/><Relationship Id="rId566" Type="http://schemas.openxmlformats.org/officeDocument/2006/relationships/footer" Target="footer201.xml"/><Relationship Id="rId98" Type="http://schemas.openxmlformats.org/officeDocument/2006/relationships/hyperlink" Target="https://ec.europa.eu/programmes/horizon2020/en/h2020&#8208;section/euratom" TargetMode="External"/><Relationship Id="rId121" Type="http://schemas.openxmlformats.org/officeDocument/2006/relationships/header" Target="header23.xml"/><Relationship Id="rId163" Type="http://schemas.openxmlformats.org/officeDocument/2006/relationships/header" Target="header38.xml"/><Relationship Id="rId219" Type="http://schemas.openxmlformats.org/officeDocument/2006/relationships/hyperlink" Target="https://europa.eu/!jt78Jr" TargetMode="External"/><Relationship Id="rId370" Type="http://schemas.openxmlformats.org/officeDocument/2006/relationships/header" Target="header118.xml"/><Relationship Id="rId426" Type="http://schemas.openxmlformats.org/officeDocument/2006/relationships/footer" Target="footer141.xml"/><Relationship Id="rId633" Type="http://schemas.openxmlformats.org/officeDocument/2006/relationships/footer" Target="footer230.xml"/><Relationship Id="rId230" Type="http://schemas.openxmlformats.org/officeDocument/2006/relationships/hyperlink" Target="https://ec.europa.eu/info/overview-funding-programmes/technical-support-instrument-tsi/technical-support-instrument-annual-conference-2021_en" TargetMode="External"/><Relationship Id="rId468" Type="http://schemas.openxmlformats.org/officeDocument/2006/relationships/footer" Target="footer159.xml"/><Relationship Id="rId675" Type="http://schemas.openxmlformats.org/officeDocument/2006/relationships/theme" Target="theme/theme1.xml"/><Relationship Id="rId25" Type="http://schemas.openxmlformats.org/officeDocument/2006/relationships/hyperlink" Target="https://ec.europa.eu/info/strategy/eu-budget/performance-and-reporting/programmes-performance/horizon-europe-performance_en" TargetMode="External"/><Relationship Id="rId67" Type="http://schemas.openxmlformats.org/officeDocument/2006/relationships/hyperlink" Target="https://ec.europa.eu/info/strategy/eu-budget/performance-and-reporting/programmes-performance/overseas-countries-and-territories-performance_en" TargetMode="External"/><Relationship Id="rId272" Type="http://schemas.openxmlformats.org/officeDocument/2006/relationships/header" Target="header77.xml"/><Relationship Id="rId328" Type="http://schemas.openxmlformats.org/officeDocument/2006/relationships/hyperlink" Target="https://europa.eu/!kV86tx" TargetMode="External"/><Relationship Id="rId535" Type="http://schemas.openxmlformats.org/officeDocument/2006/relationships/header" Target="header188.xml"/><Relationship Id="rId577" Type="http://schemas.openxmlformats.org/officeDocument/2006/relationships/footer" Target="footer205.xml"/><Relationship Id="rId132" Type="http://schemas.openxmlformats.org/officeDocument/2006/relationships/footer" Target="footer26.xml"/><Relationship Id="rId174" Type="http://schemas.openxmlformats.org/officeDocument/2006/relationships/footer" Target="footer42.xml"/><Relationship Id="rId381" Type="http://schemas.openxmlformats.org/officeDocument/2006/relationships/footer" Target="footer123.xml"/><Relationship Id="rId602" Type="http://schemas.openxmlformats.org/officeDocument/2006/relationships/footer" Target="footer216.xml"/><Relationship Id="rId241" Type="http://schemas.openxmlformats.org/officeDocument/2006/relationships/header" Target="header65.xml"/><Relationship Id="rId437" Type="http://schemas.openxmlformats.org/officeDocument/2006/relationships/footer" Target="footer145.xml"/><Relationship Id="rId479" Type="http://schemas.openxmlformats.org/officeDocument/2006/relationships/footer" Target="footer163.xml"/><Relationship Id="rId644" Type="http://schemas.openxmlformats.org/officeDocument/2006/relationships/header" Target="header235.xml"/><Relationship Id="rId36" Type="http://schemas.openxmlformats.org/officeDocument/2006/relationships/hyperlink" Target="https://ec.europa.eu/info/strategy/eu-budget/performance-and-reporting/programmes-performance/regional-policy-performance_en" TargetMode="External"/><Relationship Id="rId283" Type="http://schemas.openxmlformats.org/officeDocument/2006/relationships/hyperlink" Target="https://europa.eu/!xV33fD" TargetMode="External"/><Relationship Id="rId339" Type="http://schemas.openxmlformats.org/officeDocument/2006/relationships/header" Target="header105.xml"/><Relationship Id="rId490" Type="http://schemas.openxmlformats.org/officeDocument/2006/relationships/footer" Target="footer168.xml"/><Relationship Id="rId504" Type="http://schemas.openxmlformats.org/officeDocument/2006/relationships/header" Target="header174.xml"/><Relationship Id="rId546" Type="http://schemas.openxmlformats.org/officeDocument/2006/relationships/header" Target="header192.xml"/><Relationship Id="rId78" Type="http://schemas.openxmlformats.org/officeDocument/2006/relationships/footer" Target="footer5.xml"/><Relationship Id="rId101" Type="http://schemas.openxmlformats.org/officeDocument/2006/relationships/footer" Target="footer13.xml"/><Relationship Id="rId143" Type="http://schemas.openxmlformats.org/officeDocument/2006/relationships/hyperlink" Target="https://ec.europa.eu/cefdigital/wiki/display/CEFDIGITAL/Dashboards" TargetMode="External"/><Relationship Id="rId185" Type="http://schemas.openxmlformats.org/officeDocument/2006/relationships/footer" Target="footer46.xml"/><Relationship Id="rId350" Type="http://schemas.openxmlformats.org/officeDocument/2006/relationships/header" Target="header110.xml"/><Relationship Id="rId406" Type="http://schemas.openxmlformats.org/officeDocument/2006/relationships/footer" Target="footer133.xml"/><Relationship Id="rId588" Type="http://schemas.openxmlformats.org/officeDocument/2006/relationships/footer" Target="footer210.xml"/><Relationship Id="rId9" Type="http://schemas.openxmlformats.org/officeDocument/2006/relationships/customXml" Target="../customXml/item9.xml"/><Relationship Id="rId210" Type="http://schemas.openxmlformats.org/officeDocument/2006/relationships/footer" Target="footer54.xml"/><Relationship Id="rId392" Type="http://schemas.openxmlformats.org/officeDocument/2006/relationships/footer" Target="footer127.xml"/><Relationship Id="rId448" Type="http://schemas.openxmlformats.org/officeDocument/2006/relationships/header" Target="header151.xml"/><Relationship Id="rId613" Type="http://schemas.openxmlformats.org/officeDocument/2006/relationships/footer" Target="footer220.xml"/><Relationship Id="rId655" Type="http://schemas.openxmlformats.org/officeDocument/2006/relationships/header" Target="header238.xml"/><Relationship Id="rId252" Type="http://schemas.openxmlformats.org/officeDocument/2006/relationships/footer" Target="footer69.xml"/><Relationship Id="rId294" Type="http://schemas.openxmlformats.org/officeDocument/2006/relationships/footer" Target="footer86.xml"/><Relationship Id="rId308" Type="http://schemas.openxmlformats.org/officeDocument/2006/relationships/footer" Target="footer92.xml"/><Relationship Id="rId515" Type="http://schemas.openxmlformats.org/officeDocument/2006/relationships/header" Target="header179.xml"/><Relationship Id="rId47" Type="http://schemas.openxmlformats.org/officeDocument/2006/relationships/hyperlink" Target="https://ec.europa.eu/info/strategy/eu-budget/performance-and-reporting/programmes-performance/justice-programme-performance_en" TargetMode="External"/><Relationship Id="rId89" Type="http://schemas.openxmlformats.org/officeDocument/2006/relationships/hyperlink" Target="https://ec.europa.eu/commission/presscorner/detail/en/ip_20_1749" TargetMode="External"/><Relationship Id="rId112" Type="http://schemas.openxmlformats.org/officeDocument/2006/relationships/footer" Target="footer18.xml"/><Relationship Id="rId154" Type="http://schemas.openxmlformats.org/officeDocument/2006/relationships/hyperlink" Target="https://eur-lex.europa.eu/legal-content/EN/TXT/HTML/?uri=CELEX:52018SC0294" TargetMode="External"/><Relationship Id="rId361" Type="http://schemas.openxmlformats.org/officeDocument/2006/relationships/footer" Target="footer114.xml"/><Relationship Id="rId557" Type="http://schemas.openxmlformats.org/officeDocument/2006/relationships/footer" Target="footer196.xml"/><Relationship Id="rId599" Type="http://schemas.openxmlformats.org/officeDocument/2006/relationships/footer" Target="footer214.xml"/><Relationship Id="rId196" Type="http://schemas.openxmlformats.org/officeDocument/2006/relationships/header" Target="header50.xml"/><Relationship Id="rId417" Type="http://schemas.openxmlformats.org/officeDocument/2006/relationships/footer" Target="footer136.xml"/><Relationship Id="rId459" Type="http://schemas.openxmlformats.org/officeDocument/2006/relationships/footer" Target="footer154.xml"/><Relationship Id="rId624" Type="http://schemas.openxmlformats.org/officeDocument/2006/relationships/header" Target="header226.xml"/><Relationship Id="rId666" Type="http://schemas.openxmlformats.org/officeDocument/2006/relationships/footer" Target="footer243.xml"/><Relationship Id="rId16" Type="http://schemas.openxmlformats.org/officeDocument/2006/relationships/image" Target="media/image1.emf"/><Relationship Id="rId221" Type="http://schemas.openxmlformats.org/officeDocument/2006/relationships/hyperlink" Target="https://ec.europa.eu/economy_finance/recovery-and-resilience-scoreboard/health.html" TargetMode="External"/><Relationship Id="rId263" Type="http://schemas.openxmlformats.org/officeDocument/2006/relationships/header" Target="header73.xml"/><Relationship Id="rId319" Type="http://schemas.openxmlformats.org/officeDocument/2006/relationships/footer" Target="footer96.xml"/><Relationship Id="rId470" Type="http://schemas.openxmlformats.org/officeDocument/2006/relationships/hyperlink" Target="https://ec.europa.eu/home-affairs/funding/internal-security-funds/internal-security-fund-2021-2027_en" TargetMode="External"/><Relationship Id="rId526" Type="http://schemas.openxmlformats.org/officeDocument/2006/relationships/hyperlink" Target="https://europa.eu/!gh96VH" TargetMode="External"/><Relationship Id="rId58" Type="http://schemas.openxmlformats.org/officeDocument/2006/relationships/hyperlink" Target="https://ec.europa.eu/info/strategy/eu-budget/performance-and-reporting/programmes-performance_en" TargetMode="External"/><Relationship Id="rId123" Type="http://schemas.openxmlformats.org/officeDocument/2006/relationships/footer" Target="footer23.xml"/><Relationship Id="rId330" Type="http://schemas.openxmlformats.org/officeDocument/2006/relationships/header" Target="header101.xml"/><Relationship Id="rId568" Type="http://schemas.openxmlformats.org/officeDocument/2006/relationships/hyperlink" Target="https://ec.europa.eu/fpi/what-we-do/common-foreign-and-security-policy-preserving-peace-and-security_en" TargetMode="External"/><Relationship Id="rId165" Type="http://schemas.openxmlformats.org/officeDocument/2006/relationships/footer" Target="footer38.xml"/><Relationship Id="rId372" Type="http://schemas.openxmlformats.org/officeDocument/2006/relationships/footer" Target="footer118.xml"/><Relationship Id="rId428" Type="http://schemas.openxmlformats.org/officeDocument/2006/relationships/hyperlink" Target="https://ec.europa.eu/info/strategy/priorities-2019-2024/european-green-deal/actions-being-taken-eu/just-transition-mechanism/just-transition-platform_en" TargetMode="External"/><Relationship Id="rId635" Type="http://schemas.openxmlformats.org/officeDocument/2006/relationships/footer" Target="footer231.xml"/><Relationship Id="rId232" Type="http://schemas.openxmlformats.org/officeDocument/2006/relationships/header" Target="header61.xml"/><Relationship Id="rId274" Type="http://schemas.openxmlformats.org/officeDocument/2006/relationships/footer" Target="footer77.xml"/><Relationship Id="rId481" Type="http://schemas.openxmlformats.org/officeDocument/2006/relationships/header" Target="header165.xml"/><Relationship Id="rId27" Type="http://schemas.openxmlformats.org/officeDocument/2006/relationships/hyperlink" Target="https://ec.europa.eu/info/strategy/eu-budget/performance-and-reporting/programmes-performance/iter-performance_en" TargetMode="External"/><Relationship Id="rId69" Type="http://schemas.openxmlformats.org/officeDocument/2006/relationships/hyperlink" Target="https://ec.europa.eu/info/strategy/eu-budget/performance-and-reporting/programmes-performance/pre-accession-assistance-performance_en" TargetMode="External"/><Relationship Id="rId134" Type="http://schemas.openxmlformats.org/officeDocument/2006/relationships/footer" Target="footer27.xml"/><Relationship Id="rId537" Type="http://schemas.openxmlformats.org/officeDocument/2006/relationships/footer" Target="footer188.xml"/><Relationship Id="rId579" Type="http://schemas.openxmlformats.org/officeDocument/2006/relationships/header" Target="header207.xml"/><Relationship Id="rId80" Type="http://schemas.openxmlformats.org/officeDocument/2006/relationships/footer" Target="footer6.xml"/><Relationship Id="rId176" Type="http://schemas.openxmlformats.org/officeDocument/2006/relationships/hyperlink" Target="https://europa.eu/!CU34bu" TargetMode="External"/><Relationship Id="rId341" Type="http://schemas.openxmlformats.org/officeDocument/2006/relationships/hyperlink" Target="https://europa.eu/!dQ39fJ" TargetMode="External"/><Relationship Id="rId383" Type="http://schemas.openxmlformats.org/officeDocument/2006/relationships/hyperlink" Target="https://europa.eu/!bC48kW" TargetMode="External"/><Relationship Id="rId439" Type="http://schemas.openxmlformats.org/officeDocument/2006/relationships/header" Target="header147.xml"/><Relationship Id="rId590" Type="http://schemas.openxmlformats.org/officeDocument/2006/relationships/header" Target="header212.xml"/><Relationship Id="rId604" Type="http://schemas.openxmlformats.org/officeDocument/2006/relationships/header" Target="header218.xml"/><Relationship Id="rId646" Type="http://schemas.openxmlformats.org/officeDocument/2006/relationships/footer" Target="footer235.xml"/><Relationship Id="rId201" Type="http://schemas.openxmlformats.org/officeDocument/2006/relationships/hyperlink" Target="https://europa.eu/!nG34XX" TargetMode="External"/><Relationship Id="rId243" Type="http://schemas.openxmlformats.org/officeDocument/2006/relationships/footer" Target="footer65.xml"/><Relationship Id="rId285" Type="http://schemas.openxmlformats.org/officeDocument/2006/relationships/header" Target="header82.xml"/><Relationship Id="rId450" Type="http://schemas.openxmlformats.org/officeDocument/2006/relationships/footer" Target="footer151.xml"/><Relationship Id="rId506" Type="http://schemas.openxmlformats.org/officeDocument/2006/relationships/header" Target="header175.xml"/><Relationship Id="rId38" Type="http://schemas.openxmlformats.org/officeDocument/2006/relationships/hyperlink" Target="https://ec.europa.eu/info/strategy/eu-budget/performance-and-reporting/programmes-performance/recovery-and-resilience-facility-performance_en" TargetMode="External"/><Relationship Id="rId103" Type="http://schemas.openxmlformats.org/officeDocument/2006/relationships/header" Target="header15.xml"/><Relationship Id="rId310" Type="http://schemas.openxmlformats.org/officeDocument/2006/relationships/footer" Target="footer93.xml"/><Relationship Id="rId492" Type="http://schemas.openxmlformats.org/officeDocument/2006/relationships/header" Target="header170.xml"/><Relationship Id="rId548" Type="http://schemas.openxmlformats.org/officeDocument/2006/relationships/header" Target="header193.xml"/><Relationship Id="rId91" Type="http://schemas.openxmlformats.org/officeDocument/2006/relationships/header" Target="header10.xml"/><Relationship Id="rId145" Type="http://schemas.openxmlformats.org/officeDocument/2006/relationships/hyperlink" Target="https://eismea.ec.europa.eu/programmes/single-market-programme_en" TargetMode="External"/><Relationship Id="rId187" Type="http://schemas.openxmlformats.org/officeDocument/2006/relationships/header" Target="header48.xml"/><Relationship Id="rId352" Type="http://schemas.openxmlformats.org/officeDocument/2006/relationships/footer" Target="footer110.xml"/><Relationship Id="rId394" Type="http://schemas.openxmlformats.org/officeDocument/2006/relationships/header" Target="header129.xml"/><Relationship Id="rId408" Type="http://schemas.openxmlformats.org/officeDocument/2006/relationships/header" Target="header135.xml"/><Relationship Id="rId615" Type="http://schemas.openxmlformats.org/officeDocument/2006/relationships/header" Target="header222.xml"/><Relationship Id="rId212" Type="http://schemas.openxmlformats.org/officeDocument/2006/relationships/hyperlink" Target="https://europa.eu/!WN64dq" TargetMode="External"/><Relationship Id="rId254" Type="http://schemas.openxmlformats.org/officeDocument/2006/relationships/hyperlink" Target="https://europa.eu/!RU73Pq" TargetMode="External"/><Relationship Id="rId657" Type="http://schemas.openxmlformats.org/officeDocument/2006/relationships/footer" Target="footer238.xml"/><Relationship Id="rId49" Type="http://schemas.openxmlformats.org/officeDocument/2006/relationships/hyperlink" Target="https://ec.europa.eu/info/strategy/eu-budget/performance-and-reporting/programmes-performance/creative-europe-performance_en" TargetMode="External"/><Relationship Id="rId114" Type="http://schemas.openxmlformats.org/officeDocument/2006/relationships/header" Target="header20.xml"/><Relationship Id="rId296" Type="http://schemas.openxmlformats.org/officeDocument/2006/relationships/footer" Target="footer87.xml"/><Relationship Id="rId461" Type="http://schemas.openxmlformats.org/officeDocument/2006/relationships/header" Target="header156.xml"/><Relationship Id="rId517" Type="http://schemas.openxmlformats.org/officeDocument/2006/relationships/footer" Target="footer179.xml"/><Relationship Id="rId559" Type="http://schemas.openxmlformats.org/officeDocument/2006/relationships/header" Target="header198.xml"/><Relationship Id="rId60" Type="http://schemas.openxmlformats.org/officeDocument/2006/relationships/hyperlink" Target="https://ec.europa.eu/info/strategy/eu-budget/performance-and-reporting/programmes-performance/nuclear-decommissioning-lithuania-performance_en" TargetMode="External"/><Relationship Id="rId156" Type="http://schemas.openxmlformats.org/officeDocument/2006/relationships/header" Target="header34.xml"/><Relationship Id="rId198" Type="http://schemas.openxmlformats.org/officeDocument/2006/relationships/footer" Target="footer50.xml"/><Relationship Id="rId321" Type="http://schemas.openxmlformats.org/officeDocument/2006/relationships/header" Target="header98.xml"/><Relationship Id="rId363" Type="http://schemas.openxmlformats.org/officeDocument/2006/relationships/header" Target="header116.xml"/><Relationship Id="rId419" Type="http://schemas.openxmlformats.org/officeDocument/2006/relationships/header" Target="header138.xml"/><Relationship Id="rId570" Type="http://schemas.openxmlformats.org/officeDocument/2006/relationships/header" Target="header203.xml"/><Relationship Id="rId626" Type="http://schemas.openxmlformats.org/officeDocument/2006/relationships/footer" Target="footer226.xml"/><Relationship Id="rId223" Type="http://schemas.openxmlformats.org/officeDocument/2006/relationships/header" Target="header59.xml"/><Relationship Id="rId430" Type="http://schemas.openxmlformats.org/officeDocument/2006/relationships/header" Target="header143.xml"/><Relationship Id="rId668" Type="http://schemas.openxmlformats.org/officeDocument/2006/relationships/header" Target="header244.xml"/><Relationship Id="rId18" Type="http://schemas.openxmlformats.org/officeDocument/2006/relationships/header" Target="header2.xml"/><Relationship Id="rId265" Type="http://schemas.openxmlformats.org/officeDocument/2006/relationships/footer" Target="footer73.xml"/><Relationship Id="rId472" Type="http://schemas.openxmlformats.org/officeDocument/2006/relationships/header" Target="header161.xml"/><Relationship Id="rId528" Type="http://schemas.openxmlformats.org/officeDocument/2006/relationships/header" Target="header184.xml"/><Relationship Id="rId50" Type="http://schemas.openxmlformats.org/officeDocument/2006/relationships/hyperlink" Target="https://ec.europa.eu/info/strategy/eu-budget/performance-and-reporting/programmes-performance/communication-performance_en" TargetMode="External"/><Relationship Id="rId104" Type="http://schemas.openxmlformats.org/officeDocument/2006/relationships/footer" Target="footer15.xml"/><Relationship Id="rId125" Type="http://schemas.openxmlformats.org/officeDocument/2006/relationships/footer" Target="footer24.xml"/><Relationship Id="rId146" Type="http://schemas.openxmlformats.org/officeDocument/2006/relationships/hyperlink" Target="https://www.eif.org/news_centre/publications/EIF_Working_Paper_2019_56.pdf" TargetMode="External"/><Relationship Id="rId167" Type="http://schemas.openxmlformats.org/officeDocument/2006/relationships/footer" Target="footer39.xml"/><Relationship Id="rId188" Type="http://schemas.openxmlformats.org/officeDocument/2006/relationships/footer" Target="footer48.xml"/><Relationship Id="rId311" Type="http://schemas.openxmlformats.org/officeDocument/2006/relationships/hyperlink" Target="https://europa.eu/!RX78mN" TargetMode="External"/><Relationship Id="rId332" Type="http://schemas.openxmlformats.org/officeDocument/2006/relationships/footer" Target="footer101.xml"/><Relationship Id="rId353" Type="http://schemas.openxmlformats.org/officeDocument/2006/relationships/header" Target="header111.xml"/><Relationship Id="rId374" Type="http://schemas.openxmlformats.org/officeDocument/2006/relationships/header" Target="header120.xml"/><Relationship Id="rId395" Type="http://schemas.openxmlformats.org/officeDocument/2006/relationships/footer" Target="footer129.xml"/><Relationship Id="rId409" Type="http://schemas.openxmlformats.org/officeDocument/2006/relationships/footer" Target="footer135.xml"/><Relationship Id="rId560" Type="http://schemas.openxmlformats.org/officeDocument/2006/relationships/footer" Target="footer198.xml"/><Relationship Id="rId581" Type="http://schemas.openxmlformats.org/officeDocument/2006/relationships/hyperlink" Target="https://europa.eu/!gh96VH" TargetMode="External"/><Relationship Id="rId71" Type="http://schemas.openxmlformats.org/officeDocument/2006/relationships/hyperlink" Target="https://ec.europa.eu/info/strategy/eu-budget/performance-and-reporting/programmes-performance/european-union-solidarity-fund-performance_en" TargetMode="External"/><Relationship Id="rId92" Type="http://schemas.openxmlformats.org/officeDocument/2006/relationships/header" Target="header11.xml"/><Relationship Id="rId213" Type="http://schemas.openxmlformats.org/officeDocument/2006/relationships/header" Target="header55.xml"/><Relationship Id="rId234" Type="http://schemas.openxmlformats.org/officeDocument/2006/relationships/footer" Target="footer61.xml"/><Relationship Id="rId420" Type="http://schemas.openxmlformats.org/officeDocument/2006/relationships/footer" Target="footer138.xml"/><Relationship Id="rId616" Type="http://schemas.openxmlformats.org/officeDocument/2006/relationships/footer" Target="footer222.xml"/><Relationship Id="rId637" Type="http://schemas.openxmlformats.org/officeDocument/2006/relationships/hyperlink" Target="https://europa.eu/!mu93qX" TargetMode="External"/><Relationship Id="rId658" Type="http://schemas.openxmlformats.org/officeDocument/2006/relationships/footer" Target="footer239.xml"/><Relationship Id="rId2" Type="http://schemas.openxmlformats.org/officeDocument/2006/relationships/customXml" Target="../customXml/item2.xml"/><Relationship Id="rId29" Type="http://schemas.openxmlformats.org/officeDocument/2006/relationships/hyperlink" Target="https://ec.europa.eu/info/strategy/eu-budget/performance-and-reporting/programmes-performance/connecting-europe-facility-cef-performance_en" TargetMode="External"/><Relationship Id="rId255" Type="http://schemas.openxmlformats.org/officeDocument/2006/relationships/header" Target="header70.xml"/><Relationship Id="rId276" Type="http://schemas.openxmlformats.org/officeDocument/2006/relationships/footer" Target="footer78.xml"/><Relationship Id="rId297" Type="http://schemas.openxmlformats.org/officeDocument/2006/relationships/hyperlink" Target="https://europa.eu/!ht93mJ" TargetMode="External"/><Relationship Id="rId441" Type="http://schemas.openxmlformats.org/officeDocument/2006/relationships/hyperlink" Target="https://europa.eu/!xU94BD" TargetMode="External"/><Relationship Id="rId462" Type="http://schemas.openxmlformats.org/officeDocument/2006/relationships/footer" Target="footer156.xml"/><Relationship Id="rId483" Type="http://schemas.openxmlformats.org/officeDocument/2006/relationships/hyperlink" Target="https://europa.eu/!jv63Rb" TargetMode="External"/><Relationship Id="rId518" Type="http://schemas.openxmlformats.org/officeDocument/2006/relationships/header" Target="header180.xml"/><Relationship Id="rId539" Type="http://schemas.openxmlformats.org/officeDocument/2006/relationships/footer" Target="footer189.xml"/><Relationship Id="rId40" Type="http://schemas.openxmlformats.org/officeDocument/2006/relationships/hyperlink" Target="https://ec.europa.eu/info/strategy/eu-budget/performance-and-reporting/programmes-performance/protection-euro-against-counterfeiting-pericles-iv-performance_en" TargetMode="External"/><Relationship Id="rId115" Type="http://schemas.openxmlformats.org/officeDocument/2006/relationships/footer" Target="footer19.xml"/><Relationship Id="rId136" Type="http://schemas.openxmlformats.org/officeDocument/2006/relationships/hyperlink" Target="https://ec.europa.eu/isa2/solutions_en" TargetMode="External"/><Relationship Id="rId157" Type="http://schemas.openxmlformats.org/officeDocument/2006/relationships/header" Target="header35.xml"/><Relationship Id="rId178" Type="http://schemas.openxmlformats.org/officeDocument/2006/relationships/header" Target="header44.xml"/><Relationship Id="rId301" Type="http://schemas.openxmlformats.org/officeDocument/2006/relationships/footer" Target="footer88.xml"/><Relationship Id="rId322" Type="http://schemas.openxmlformats.org/officeDocument/2006/relationships/footer" Target="footer97.xml"/><Relationship Id="rId343" Type="http://schemas.openxmlformats.org/officeDocument/2006/relationships/header" Target="header106.xml"/><Relationship Id="rId364" Type="http://schemas.openxmlformats.org/officeDocument/2006/relationships/footer" Target="footer115.xml"/><Relationship Id="rId550" Type="http://schemas.openxmlformats.org/officeDocument/2006/relationships/footer" Target="footer193.xml"/><Relationship Id="rId61" Type="http://schemas.openxmlformats.org/officeDocument/2006/relationships/hyperlink" Target="https://ec.europa.eu/info/strategy/eu-budget/performance-and-reporting/programmes-performance/nuclear-safety-and-decommissioning-performance_en" TargetMode="External"/><Relationship Id="rId82" Type="http://schemas.openxmlformats.org/officeDocument/2006/relationships/header" Target="header8.xml"/><Relationship Id="rId199" Type="http://schemas.openxmlformats.org/officeDocument/2006/relationships/header" Target="header51.xml"/><Relationship Id="rId203" Type="http://schemas.openxmlformats.org/officeDocument/2006/relationships/hyperlink" Target="https://europa.eu/!Du73NN" TargetMode="External"/><Relationship Id="rId385" Type="http://schemas.openxmlformats.org/officeDocument/2006/relationships/header" Target="header125.xml"/><Relationship Id="rId571" Type="http://schemas.openxmlformats.org/officeDocument/2006/relationships/footer" Target="footer202.xml"/><Relationship Id="rId592" Type="http://schemas.openxmlformats.org/officeDocument/2006/relationships/footer" Target="footer212.xml"/><Relationship Id="rId606" Type="http://schemas.openxmlformats.org/officeDocument/2006/relationships/footer" Target="footer218.xml"/><Relationship Id="rId627" Type="http://schemas.openxmlformats.org/officeDocument/2006/relationships/footer" Target="footer227.xml"/><Relationship Id="rId648" Type="http://schemas.openxmlformats.org/officeDocument/2006/relationships/header" Target="header237.xml"/><Relationship Id="rId669" Type="http://schemas.openxmlformats.org/officeDocument/2006/relationships/header" Target="header245.xml"/><Relationship Id="rId19" Type="http://schemas.openxmlformats.org/officeDocument/2006/relationships/footer" Target="footer1.xml"/><Relationship Id="rId224" Type="http://schemas.openxmlformats.org/officeDocument/2006/relationships/footer" Target="footer58.xml"/><Relationship Id="rId245" Type="http://schemas.openxmlformats.org/officeDocument/2006/relationships/footer" Target="footer66.xml"/><Relationship Id="rId266" Type="http://schemas.openxmlformats.org/officeDocument/2006/relationships/footer" Target="footer74.xml"/><Relationship Id="rId287" Type="http://schemas.openxmlformats.org/officeDocument/2006/relationships/footer" Target="footer82.xml"/><Relationship Id="rId410" Type="http://schemas.openxmlformats.org/officeDocument/2006/relationships/hyperlink" Target="https://europa.eu/!Jj39JN" TargetMode="External"/><Relationship Id="rId431" Type="http://schemas.openxmlformats.org/officeDocument/2006/relationships/footer" Target="footer142.xml"/><Relationship Id="rId452" Type="http://schemas.openxmlformats.org/officeDocument/2006/relationships/header" Target="header153.xml"/><Relationship Id="rId473" Type="http://schemas.openxmlformats.org/officeDocument/2006/relationships/footer" Target="footer160.xml"/><Relationship Id="rId494" Type="http://schemas.openxmlformats.org/officeDocument/2006/relationships/footer" Target="footer170.xml"/><Relationship Id="rId508" Type="http://schemas.openxmlformats.org/officeDocument/2006/relationships/footer" Target="footer175.xml"/><Relationship Id="rId529" Type="http://schemas.openxmlformats.org/officeDocument/2006/relationships/header" Target="header185.xml"/><Relationship Id="rId30" Type="http://schemas.openxmlformats.org/officeDocument/2006/relationships/hyperlink" Target="https://ec.europa.eu/info/strategy/eu-budget/performance-and-reporting/programmes-performance/digital-europe-programme-performance_en" TargetMode="External"/><Relationship Id="rId105" Type="http://schemas.openxmlformats.org/officeDocument/2006/relationships/hyperlink" Target="http://fusionforenergy.europa.eu/" TargetMode="External"/><Relationship Id="rId126" Type="http://schemas.openxmlformats.org/officeDocument/2006/relationships/hyperlink" Target="https://en.wikipedia.org/wiki/Member_state_of_the_European_Union" TargetMode="External"/><Relationship Id="rId147" Type="http://schemas.openxmlformats.org/officeDocument/2006/relationships/hyperlink" Target="https://europa.eu/!drdwmd" TargetMode="External"/><Relationship Id="rId168" Type="http://schemas.openxmlformats.org/officeDocument/2006/relationships/hyperlink" Target="https://op.europa.eu/en/publication-detail/-/publication/34849e66-e308-11e8-b690-01aa75ed71a1" TargetMode="External"/><Relationship Id="rId312" Type="http://schemas.openxmlformats.org/officeDocument/2006/relationships/hyperlink" Target="https://europa.eu/!cH64dk" TargetMode="External"/><Relationship Id="rId333" Type="http://schemas.openxmlformats.org/officeDocument/2006/relationships/header" Target="header102.xml"/><Relationship Id="rId354" Type="http://schemas.openxmlformats.org/officeDocument/2006/relationships/footer" Target="footer111.xml"/><Relationship Id="rId540" Type="http://schemas.openxmlformats.org/officeDocument/2006/relationships/hyperlink" Target="https://europa.eu/!gh96VH" TargetMode="External"/><Relationship Id="rId51" Type="http://schemas.openxmlformats.org/officeDocument/2006/relationships/hyperlink" Target="https://ec.europa.eu/info/strategy/eu-budget/performance-and-reporting/programmes-performance/bar-performance_en" TargetMode="External"/><Relationship Id="rId72" Type="http://schemas.openxmlformats.org/officeDocument/2006/relationships/hyperlink" Target="https://ec.europa.eu/info/strategy/eu-budget/performance-and-reporting/programmes-performance/innovation-fund-performance_en" TargetMode="External"/><Relationship Id="rId93" Type="http://schemas.openxmlformats.org/officeDocument/2006/relationships/footer" Target="footer10.xml"/><Relationship Id="rId189" Type="http://schemas.openxmlformats.org/officeDocument/2006/relationships/hyperlink" Target="https://europa.eu/!XF34px" TargetMode="External"/><Relationship Id="rId375" Type="http://schemas.openxmlformats.org/officeDocument/2006/relationships/footer" Target="footer120.xml"/><Relationship Id="rId396" Type="http://schemas.openxmlformats.org/officeDocument/2006/relationships/hyperlink" Target="http://europa.eu/!mH87VG" TargetMode="External"/><Relationship Id="rId561" Type="http://schemas.openxmlformats.org/officeDocument/2006/relationships/header" Target="header199.xml"/><Relationship Id="rId582" Type="http://schemas.openxmlformats.org/officeDocument/2006/relationships/hyperlink" Target="https://europa.eu/!JF97ku" TargetMode="External"/><Relationship Id="rId617" Type="http://schemas.openxmlformats.org/officeDocument/2006/relationships/header" Target="header223.xml"/><Relationship Id="rId638" Type="http://schemas.openxmlformats.org/officeDocument/2006/relationships/header" Target="header232.xml"/><Relationship Id="rId659" Type="http://schemas.openxmlformats.org/officeDocument/2006/relationships/header" Target="header240.xml"/><Relationship Id="rId3" Type="http://schemas.openxmlformats.org/officeDocument/2006/relationships/customXml" Target="../customXml/item3.xml"/><Relationship Id="rId214" Type="http://schemas.openxmlformats.org/officeDocument/2006/relationships/header" Target="header56.xml"/><Relationship Id="rId235" Type="http://schemas.openxmlformats.org/officeDocument/2006/relationships/footer" Target="footer62.xml"/><Relationship Id="rId256" Type="http://schemas.openxmlformats.org/officeDocument/2006/relationships/header" Target="header71.xml"/><Relationship Id="rId277" Type="http://schemas.openxmlformats.org/officeDocument/2006/relationships/header" Target="header79.xml"/><Relationship Id="rId298" Type="http://schemas.openxmlformats.org/officeDocument/2006/relationships/hyperlink" Target="https://europa.eu/youth/solidarity" TargetMode="External"/><Relationship Id="rId400" Type="http://schemas.openxmlformats.org/officeDocument/2006/relationships/footer" Target="footer130.xml"/><Relationship Id="rId421" Type="http://schemas.openxmlformats.org/officeDocument/2006/relationships/header" Target="header139.xml"/><Relationship Id="rId442" Type="http://schemas.openxmlformats.org/officeDocument/2006/relationships/header" Target="header148.xml"/><Relationship Id="rId463" Type="http://schemas.openxmlformats.org/officeDocument/2006/relationships/header" Target="header157.xml"/><Relationship Id="rId484" Type="http://schemas.openxmlformats.org/officeDocument/2006/relationships/hyperlink" Target="https://europa.eu/!bC66CU" TargetMode="External"/><Relationship Id="rId519" Type="http://schemas.openxmlformats.org/officeDocument/2006/relationships/footer" Target="footer180.xml"/><Relationship Id="rId670" Type="http://schemas.openxmlformats.org/officeDocument/2006/relationships/footer" Target="footer244.xml"/><Relationship Id="rId116" Type="http://schemas.openxmlformats.org/officeDocument/2006/relationships/footer" Target="footer20.xml"/><Relationship Id="rId137" Type="http://schemas.openxmlformats.org/officeDocument/2006/relationships/header" Target="header28.xml"/><Relationship Id="rId158" Type="http://schemas.openxmlformats.org/officeDocument/2006/relationships/footer" Target="footer34.xml"/><Relationship Id="rId302" Type="http://schemas.openxmlformats.org/officeDocument/2006/relationships/footer" Target="footer89.xml"/><Relationship Id="rId323" Type="http://schemas.openxmlformats.org/officeDocument/2006/relationships/footer" Target="footer98.xml"/><Relationship Id="rId344" Type="http://schemas.openxmlformats.org/officeDocument/2006/relationships/header" Target="header107.xml"/><Relationship Id="rId530" Type="http://schemas.openxmlformats.org/officeDocument/2006/relationships/footer" Target="footer184.xml"/><Relationship Id="rId20" Type="http://schemas.openxmlformats.org/officeDocument/2006/relationships/footer" Target="footer2.xml"/><Relationship Id="rId41" Type="http://schemas.openxmlformats.org/officeDocument/2006/relationships/hyperlink" Target="https://ec.europa.eu/info/strategy/eu-budget/performance-and-reporting/programmes-performance/union-civil-protection-mechanism-resceu-performance_en" TargetMode="External"/><Relationship Id="rId62" Type="http://schemas.openxmlformats.org/officeDocument/2006/relationships/hyperlink" Target="https://ec.europa.eu/info/strategy/eu-budget/performance-and-reporting/programmes-performance/european-defence-fund-performance_en" TargetMode="External"/><Relationship Id="rId83" Type="http://schemas.openxmlformats.org/officeDocument/2006/relationships/footer" Target="footer7.xml"/><Relationship Id="rId179" Type="http://schemas.openxmlformats.org/officeDocument/2006/relationships/footer" Target="footer43.xml"/><Relationship Id="rId365" Type="http://schemas.openxmlformats.org/officeDocument/2006/relationships/footer" Target="footer116.xml"/><Relationship Id="rId386" Type="http://schemas.openxmlformats.org/officeDocument/2006/relationships/footer" Target="footer124.xml"/><Relationship Id="rId551" Type="http://schemas.openxmlformats.org/officeDocument/2006/relationships/footer" Target="footer194.xml"/><Relationship Id="rId572" Type="http://schemas.openxmlformats.org/officeDocument/2006/relationships/footer" Target="footer203.xml"/><Relationship Id="rId593" Type="http://schemas.openxmlformats.org/officeDocument/2006/relationships/header" Target="header213.xml"/><Relationship Id="rId607" Type="http://schemas.openxmlformats.org/officeDocument/2006/relationships/header" Target="header219.xml"/><Relationship Id="rId628" Type="http://schemas.openxmlformats.org/officeDocument/2006/relationships/header" Target="header228.xml"/><Relationship Id="rId649" Type="http://schemas.openxmlformats.org/officeDocument/2006/relationships/footer" Target="footer237.xml"/><Relationship Id="rId190" Type="http://schemas.openxmlformats.org/officeDocument/2006/relationships/hyperlink" Target="http://europa.eu/!GJ34Xr" TargetMode="External"/><Relationship Id="rId204" Type="http://schemas.openxmlformats.org/officeDocument/2006/relationships/hyperlink" Target="https://cohesiondata.ec.europa.eu/" TargetMode="External"/><Relationship Id="rId225" Type="http://schemas.openxmlformats.org/officeDocument/2006/relationships/footer" Target="footer59.xml"/><Relationship Id="rId246" Type="http://schemas.openxmlformats.org/officeDocument/2006/relationships/hyperlink" Target="https://ec.europa.eu/echo/what/civil-protection/eu-civil-protection-mechanism_en" TargetMode="External"/><Relationship Id="rId267" Type="http://schemas.openxmlformats.org/officeDocument/2006/relationships/header" Target="header75.xml"/><Relationship Id="rId288" Type="http://schemas.openxmlformats.org/officeDocument/2006/relationships/footer" Target="footer83.xml"/><Relationship Id="rId411" Type="http://schemas.openxmlformats.org/officeDocument/2006/relationships/hyperlink" Target="https://cinea.ec.europa.eu/life_en" TargetMode="External"/><Relationship Id="rId432" Type="http://schemas.openxmlformats.org/officeDocument/2006/relationships/footer" Target="footer143.xml"/><Relationship Id="rId453" Type="http://schemas.openxmlformats.org/officeDocument/2006/relationships/footer" Target="footer153.xml"/><Relationship Id="rId474" Type="http://schemas.openxmlformats.org/officeDocument/2006/relationships/footer" Target="footer161.xml"/><Relationship Id="rId509" Type="http://schemas.openxmlformats.org/officeDocument/2006/relationships/footer" Target="footer176.xml"/><Relationship Id="rId660" Type="http://schemas.openxmlformats.org/officeDocument/2006/relationships/footer" Target="footer240.xml"/><Relationship Id="rId106" Type="http://schemas.openxmlformats.org/officeDocument/2006/relationships/hyperlink" Target="https://www.iter.org/" TargetMode="External"/><Relationship Id="rId127" Type="http://schemas.openxmlformats.org/officeDocument/2006/relationships/hyperlink" Target="https://eur-lex.europa.eu/legal-content/EN/TXT/PDF/?uri=CELEX:52018%20SC0312&amp;from=EN" TargetMode="External"/><Relationship Id="rId313" Type="http://schemas.openxmlformats.org/officeDocument/2006/relationships/hyperlink" Target="https://europa.eu/!kV86tx" TargetMode="External"/><Relationship Id="rId495" Type="http://schemas.openxmlformats.org/officeDocument/2006/relationships/header" Target="header171.xml"/><Relationship Id="rId10" Type="http://schemas.openxmlformats.org/officeDocument/2006/relationships/numbering" Target="numbering.xml"/><Relationship Id="rId31" Type="http://schemas.openxmlformats.org/officeDocument/2006/relationships/hyperlink" Target="https://ec.europa.eu/info/strategy/eu-budget/performance-and-reporting/programmes-performance/single-market-programme-performance_en" TargetMode="External"/><Relationship Id="rId52" Type="http://schemas.openxmlformats.org/officeDocument/2006/relationships/hyperlink" Target="https://ec.europa.eu/info/strategy/eu-budget/performance-and-reporting/programmes-performance/common-agricultural-policy-performance_en" TargetMode="External"/><Relationship Id="rId73" Type="http://schemas.openxmlformats.org/officeDocument/2006/relationships/hyperlink" Target="https://ec.europa.eu/info/files/2021-2027-indicator-metadata-set_en" TargetMode="External"/><Relationship Id="rId94" Type="http://schemas.openxmlformats.org/officeDocument/2006/relationships/footer" Target="footer11.xml"/><Relationship Id="rId148" Type="http://schemas.openxmlformats.org/officeDocument/2006/relationships/header" Target="header31.xml"/><Relationship Id="rId169" Type="http://schemas.openxmlformats.org/officeDocument/2006/relationships/header" Target="header40.xml"/><Relationship Id="rId334" Type="http://schemas.openxmlformats.org/officeDocument/2006/relationships/footer" Target="footer102.xml"/><Relationship Id="rId355" Type="http://schemas.openxmlformats.org/officeDocument/2006/relationships/hyperlink" Target="https://europa.eu/!mT93rB" TargetMode="External"/><Relationship Id="rId376" Type="http://schemas.openxmlformats.org/officeDocument/2006/relationships/header" Target="header121.xml"/><Relationship Id="rId397" Type="http://schemas.openxmlformats.org/officeDocument/2006/relationships/hyperlink" Target="https://europa.eu/!r4MKuN" TargetMode="External"/><Relationship Id="rId520" Type="http://schemas.openxmlformats.org/officeDocument/2006/relationships/header" Target="header181.xml"/><Relationship Id="rId541" Type="http://schemas.openxmlformats.org/officeDocument/2006/relationships/hyperlink" Target="https://europa.eu/!jH36Mv" TargetMode="External"/><Relationship Id="rId562" Type="http://schemas.openxmlformats.org/officeDocument/2006/relationships/header" Target="header200.xml"/><Relationship Id="rId583" Type="http://schemas.openxmlformats.org/officeDocument/2006/relationships/header" Target="header208.xml"/><Relationship Id="rId618" Type="http://schemas.openxmlformats.org/officeDocument/2006/relationships/header" Target="header224.xml"/><Relationship Id="rId639" Type="http://schemas.openxmlformats.org/officeDocument/2006/relationships/header" Target="header233.xml"/><Relationship Id="rId4" Type="http://schemas.openxmlformats.org/officeDocument/2006/relationships/customXml" Target="../customXml/item4.xml"/><Relationship Id="rId180" Type="http://schemas.openxmlformats.org/officeDocument/2006/relationships/footer" Target="footer44.xml"/><Relationship Id="rId215" Type="http://schemas.openxmlformats.org/officeDocument/2006/relationships/footer" Target="footer55.xml"/><Relationship Id="rId236" Type="http://schemas.openxmlformats.org/officeDocument/2006/relationships/header" Target="header63.xml"/><Relationship Id="rId257" Type="http://schemas.openxmlformats.org/officeDocument/2006/relationships/footer" Target="footer70.xml"/><Relationship Id="rId278" Type="http://schemas.openxmlformats.org/officeDocument/2006/relationships/header" Target="header80.xml"/><Relationship Id="rId401" Type="http://schemas.openxmlformats.org/officeDocument/2006/relationships/footer" Target="footer131.xml"/><Relationship Id="rId422" Type="http://schemas.openxmlformats.org/officeDocument/2006/relationships/header" Target="header140.xml"/><Relationship Id="rId443" Type="http://schemas.openxmlformats.org/officeDocument/2006/relationships/header" Target="header149.xml"/><Relationship Id="rId464" Type="http://schemas.openxmlformats.org/officeDocument/2006/relationships/header" Target="header158.xml"/><Relationship Id="rId650" Type="http://schemas.openxmlformats.org/officeDocument/2006/relationships/hyperlink" Target="https://europa.eu/!Xg96fp" TargetMode="External"/><Relationship Id="rId303" Type="http://schemas.openxmlformats.org/officeDocument/2006/relationships/header" Target="header90.xml"/><Relationship Id="rId485" Type="http://schemas.openxmlformats.org/officeDocument/2006/relationships/header" Target="header166.xml"/><Relationship Id="rId42" Type="http://schemas.openxmlformats.org/officeDocument/2006/relationships/hyperlink" Target="https://ec.europa.eu/info/strategy/eu-budget/performance-and-reporting/programmes-performance/eu4health-performance_en" TargetMode="External"/><Relationship Id="rId84" Type="http://schemas.openxmlformats.org/officeDocument/2006/relationships/footer" Target="footer8.xml"/><Relationship Id="rId138" Type="http://schemas.openxmlformats.org/officeDocument/2006/relationships/header" Target="header29.xml"/><Relationship Id="rId345" Type="http://schemas.openxmlformats.org/officeDocument/2006/relationships/footer" Target="footer106.xml"/><Relationship Id="rId387" Type="http://schemas.openxmlformats.org/officeDocument/2006/relationships/footer" Target="footer125.xml"/><Relationship Id="rId510" Type="http://schemas.openxmlformats.org/officeDocument/2006/relationships/header" Target="header177.xml"/><Relationship Id="rId552" Type="http://schemas.openxmlformats.org/officeDocument/2006/relationships/header" Target="header195.xml"/><Relationship Id="rId594" Type="http://schemas.openxmlformats.org/officeDocument/2006/relationships/footer" Target="footer213.xml"/><Relationship Id="rId608" Type="http://schemas.openxmlformats.org/officeDocument/2006/relationships/footer" Target="footer219.xml"/><Relationship Id="rId191" Type="http://schemas.openxmlformats.org/officeDocument/2006/relationships/hyperlink" Target="https://www.copernicus.eu/sites/default/files/2018-10/Copernicus-Ex-Ante-Final-Report_0_0.pdf" TargetMode="External"/><Relationship Id="rId205" Type="http://schemas.openxmlformats.org/officeDocument/2006/relationships/header" Target="header52.xml"/><Relationship Id="rId247" Type="http://schemas.openxmlformats.org/officeDocument/2006/relationships/header" Target="header67.xml"/><Relationship Id="rId412" Type="http://schemas.openxmlformats.org/officeDocument/2006/relationships/hyperlink" Target="https://webgate.ec.europa.eu/life/publicWebsite/search" TargetMode="External"/><Relationship Id="rId107" Type="http://schemas.openxmlformats.org/officeDocument/2006/relationships/header" Target="header16.xml"/><Relationship Id="rId289" Type="http://schemas.openxmlformats.org/officeDocument/2006/relationships/header" Target="header84.xml"/><Relationship Id="rId454" Type="http://schemas.openxmlformats.org/officeDocument/2006/relationships/hyperlink" Target="https://europa.eu/!xU94BD" TargetMode="External"/><Relationship Id="rId496" Type="http://schemas.openxmlformats.org/officeDocument/2006/relationships/footer" Target="footer171.xml"/><Relationship Id="rId661" Type="http://schemas.openxmlformats.org/officeDocument/2006/relationships/header" Target="header241.xml"/><Relationship Id="rId11" Type="http://schemas.openxmlformats.org/officeDocument/2006/relationships/styles" Target="styles.xml"/><Relationship Id="rId53" Type="http://schemas.openxmlformats.org/officeDocument/2006/relationships/hyperlink" Target="https://ec.europa.eu/info/strategy/eu-budget/performance-and-reporting/programmes-performance/european-maritime-fisheries-and-aquaculture-fund-performance_en" TargetMode="External"/><Relationship Id="rId149" Type="http://schemas.openxmlformats.org/officeDocument/2006/relationships/header" Target="header32.xml"/><Relationship Id="rId314" Type="http://schemas.openxmlformats.org/officeDocument/2006/relationships/header" Target="header94.xml"/><Relationship Id="rId356" Type="http://schemas.openxmlformats.org/officeDocument/2006/relationships/header" Target="header112.xml"/><Relationship Id="rId398" Type="http://schemas.openxmlformats.org/officeDocument/2006/relationships/header" Target="header130.xml"/><Relationship Id="rId521" Type="http://schemas.openxmlformats.org/officeDocument/2006/relationships/header" Target="header182.xml"/><Relationship Id="rId563" Type="http://schemas.openxmlformats.org/officeDocument/2006/relationships/footer" Target="footer199.xml"/><Relationship Id="rId619" Type="http://schemas.openxmlformats.org/officeDocument/2006/relationships/footer" Target="footer223.xml"/><Relationship Id="rId95" Type="http://schemas.openxmlformats.org/officeDocument/2006/relationships/header" Target="header12.xml"/><Relationship Id="rId160" Type="http://schemas.openxmlformats.org/officeDocument/2006/relationships/header" Target="header36.xml"/><Relationship Id="rId216" Type="http://schemas.openxmlformats.org/officeDocument/2006/relationships/footer" Target="footer56.xml"/><Relationship Id="rId423" Type="http://schemas.openxmlformats.org/officeDocument/2006/relationships/footer" Target="footer139.xml"/><Relationship Id="rId258" Type="http://schemas.openxmlformats.org/officeDocument/2006/relationships/footer" Target="footer71.xml"/><Relationship Id="rId465" Type="http://schemas.openxmlformats.org/officeDocument/2006/relationships/footer" Target="footer157.xml"/><Relationship Id="rId630" Type="http://schemas.openxmlformats.org/officeDocument/2006/relationships/header" Target="header229.xml"/><Relationship Id="rId672" Type="http://schemas.openxmlformats.org/officeDocument/2006/relationships/header" Target="header246.xml"/><Relationship Id="rId22" Type="http://schemas.openxmlformats.org/officeDocument/2006/relationships/footer" Target="footer3.xml"/><Relationship Id="rId64" Type="http://schemas.openxmlformats.org/officeDocument/2006/relationships/hyperlink" Target="https://ec.europa.eu/info/strategy/eu-budget/performance-and-reporting/programmes-performance/european-instrument-international-nuclear-safety-cooperation-performance_en" TargetMode="External"/><Relationship Id="rId118" Type="http://schemas.openxmlformats.org/officeDocument/2006/relationships/footer" Target="footer21.xml"/><Relationship Id="rId325" Type="http://schemas.openxmlformats.org/officeDocument/2006/relationships/footer" Target="footer99.xml"/><Relationship Id="rId367" Type="http://schemas.openxmlformats.org/officeDocument/2006/relationships/footer" Target="footer117.xml"/><Relationship Id="rId532" Type="http://schemas.openxmlformats.org/officeDocument/2006/relationships/header" Target="header186.xml"/><Relationship Id="rId574" Type="http://schemas.openxmlformats.org/officeDocument/2006/relationships/footer" Target="footer204.xml"/><Relationship Id="rId171" Type="http://schemas.openxmlformats.org/officeDocument/2006/relationships/footer" Target="footer40.xml"/><Relationship Id="rId227" Type="http://schemas.openxmlformats.org/officeDocument/2006/relationships/footer" Target="footer60.xml"/><Relationship Id="rId269" Type="http://schemas.openxmlformats.org/officeDocument/2006/relationships/hyperlink" Target="https://europa.eu/!uV97Jw" TargetMode="External"/><Relationship Id="rId434" Type="http://schemas.openxmlformats.org/officeDocument/2006/relationships/footer" Target="footer144.xml"/><Relationship Id="rId476" Type="http://schemas.openxmlformats.org/officeDocument/2006/relationships/footer" Target="footer162.xml"/><Relationship Id="rId641" Type="http://schemas.openxmlformats.org/officeDocument/2006/relationships/footer" Target="footer233.xml"/><Relationship Id="rId33" Type="http://schemas.openxmlformats.org/officeDocument/2006/relationships/hyperlink" Target="https://ec.europa.eu/info/strategy/eu-budget/performance-and-reporting/programmes-performance/cooperation-field-taxation-fiscalis-performance_en" TargetMode="External"/><Relationship Id="rId129" Type="http://schemas.openxmlformats.org/officeDocument/2006/relationships/header" Target="header25.xml"/><Relationship Id="rId280" Type="http://schemas.openxmlformats.org/officeDocument/2006/relationships/footer" Target="footer80.xml"/><Relationship Id="rId336" Type="http://schemas.openxmlformats.org/officeDocument/2006/relationships/header" Target="header104.xml"/><Relationship Id="rId501" Type="http://schemas.openxmlformats.org/officeDocument/2006/relationships/header" Target="header173.xml"/><Relationship Id="rId543" Type="http://schemas.openxmlformats.org/officeDocument/2006/relationships/header" Target="header191.xml"/><Relationship Id="rId75" Type="http://schemas.openxmlformats.org/officeDocument/2006/relationships/header" Target="header4.xml"/><Relationship Id="rId140" Type="http://schemas.openxmlformats.org/officeDocument/2006/relationships/footer" Target="footer29.xml"/><Relationship Id="rId182" Type="http://schemas.openxmlformats.org/officeDocument/2006/relationships/footer" Target="footer45.xml"/><Relationship Id="rId378" Type="http://schemas.openxmlformats.org/officeDocument/2006/relationships/footer" Target="footer121.xml"/><Relationship Id="rId403" Type="http://schemas.openxmlformats.org/officeDocument/2006/relationships/footer" Target="footer132.xml"/><Relationship Id="rId585" Type="http://schemas.openxmlformats.org/officeDocument/2006/relationships/footer" Target="footer208.xml"/><Relationship Id="rId6" Type="http://schemas.openxmlformats.org/officeDocument/2006/relationships/customXml" Target="../customXml/item6.xml"/><Relationship Id="rId238" Type="http://schemas.openxmlformats.org/officeDocument/2006/relationships/hyperlink" Target="https://europa.eu/!gG67BV" TargetMode="External"/><Relationship Id="rId445" Type="http://schemas.openxmlformats.org/officeDocument/2006/relationships/footer" Target="footer149.xml"/><Relationship Id="rId487" Type="http://schemas.openxmlformats.org/officeDocument/2006/relationships/footer" Target="footer166.xml"/><Relationship Id="rId610" Type="http://schemas.openxmlformats.org/officeDocument/2006/relationships/hyperlink" Target="https://europa.eu/!Yq39bt" TargetMode="External"/><Relationship Id="rId652" Type="http://schemas.openxmlformats.org/officeDocument/2006/relationships/hyperlink" Target="https://cinea.ec.europa.eu/innovation-fund_en" TargetMode="External"/><Relationship Id="rId291" Type="http://schemas.openxmlformats.org/officeDocument/2006/relationships/header" Target="header85.xml"/><Relationship Id="rId305" Type="http://schemas.openxmlformats.org/officeDocument/2006/relationships/header" Target="header91.xml"/><Relationship Id="rId347" Type="http://schemas.openxmlformats.org/officeDocument/2006/relationships/header" Target="header108.xml"/><Relationship Id="rId512" Type="http://schemas.openxmlformats.org/officeDocument/2006/relationships/hyperlink" Target="https://eur-lex.europa.eu/legal-content/EN/TXT/?uri=CELEX:52018SC0345" TargetMode="External"/><Relationship Id="rId44" Type="http://schemas.openxmlformats.org/officeDocument/2006/relationships/hyperlink" Target="https://ec.europa.eu/info/strategy/eu-budget/performance-and-reporting/programmes-performance/european-social-fund-performance_en" TargetMode="External"/><Relationship Id="rId86" Type="http://schemas.openxmlformats.org/officeDocument/2006/relationships/footer" Target="footer9.xml"/><Relationship Id="rId151" Type="http://schemas.openxmlformats.org/officeDocument/2006/relationships/footer" Target="footer32.xml"/><Relationship Id="rId389" Type="http://schemas.openxmlformats.org/officeDocument/2006/relationships/footer" Target="footer126.xml"/><Relationship Id="rId554" Type="http://schemas.openxmlformats.org/officeDocument/2006/relationships/hyperlink" Target="http://europa.eu/!br44Rp" TargetMode="External"/><Relationship Id="rId596" Type="http://schemas.openxmlformats.org/officeDocument/2006/relationships/hyperlink" Target="http://europa.eu/!Uy76Wq" TargetMode="External"/><Relationship Id="rId193" Type="http://schemas.openxmlformats.org/officeDocument/2006/relationships/hyperlink" Target="https://ec.europa.eu/defence-industry-space/eu-space-policy/eu-space-programme_en" TargetMode="External"/><Relationship Id="rId207" Type="http://schemas.openxmlformats.org/officeDocument/2006/relationships/footer" Target="footer52.xml"/><Relationship Id="rId249" Type="http://schemas.openxmlformats.org/officeDocument/2006/relationships/footer" Target="footer67.xml"/><Relationship Id="rId414" Type="http://schemas.openxmlformats.org/officeDocument/2006/relationships/hyperlink" Target="https://cinea.ec.europa.eu/life/life-publications_en" TargetMode="External"/><Relationship Id="rId456" Type="http://schemas.openxmlformats.org/officeDocument/2006/relationships/hyperlink" Target="https://ec.europa.eu/home-affairs/funding/borders-and-visa-funds/integrated-border-management-fund-border-management-and-visa-instrument-2021-27_en" TargetMode="External"/><Relationship Id="rId498" Type="http://schemas.openxmlformats.org/officeDocument/2006/relationships/hyperlink" Target="https://ec.europa.eu/energy/topics/nuclear-energy/decommissioning-nuclear-facilities_en" TargetMode="External"/><Relationship Id="rId621" Type="http://schemas.openxmlformats.org/officeDocument/2006/relationships/header" Target="header225.xml"/><Relationship Id="rId663" Type="http://schemas.openxmlformats.org/officeDocument/2006/relationships/footer" Target="footer241.xml"/><Relationship Id="rId13" Type="http://schemas.openxmlformats.org/officeDocument/2006/relationships/webSettings" Target="webSettings.xml"/><Relationship Id="rId109" Type="http://schemas.openxmlformats.org/officeDocument/2006/relationships/footer" Target="footer16.xml"/><Relationship Id="rId260" Type="http://schemas.openxmlformats.org/officeDocument/2006/relationships/footer" Target="footer72.xml"/><Relationship Id="rId316" Type="http://schemas.openxmlformats.org/officeDocument/2006/relationships/footer" Target="footer94.xml"/><Relationship Id="rId523" Type="http://schemas.openxmlformats.org/officeDocument/2006/relationships/footer" Target="footer182.xml"/><Relationship Id="rId55" Type="http://schemas.openxmlformats.org/officeDocument/2006/relationships/hyperlink" Target="https://ec.europa.eu/info/strategy/eu-budget/performance-and-reporting/programmes-performance/programme-environment-and-climate-action-life-performance_en" TargetMode="External"/><Relationship Id="rId97" Type="http://schemas.openxmlformats.org/officeDocument/2006/relationships/hyperlink" Target="https://europa.eu/!hv87Cf" TargetMode="External"/><Relationship Id="rId120" Type="http://schemas.openxmlformats.org/officeDocument/2006/relationships/header" Target="header22.xml"/><Relationship Id="rId358" Type="http://schemas.openxmlformats.org/officeDocument/2006/relationships/footer" Target="footer112.xml"/><Relationship Id="rId565" Type="http://schemas.openxmlformats.org/officeDocument/2006/relationships/header" Target="header201.xml"/><Relationship Id="rId162" Type="http://schemas.openxmlformats.org/officeDocument/2006/relationships/header" Target="header37.xml"/><Relationship Id="rId218" Type="http://schemas.openxmlformats.org/officeDocument/2006/relationships/footer" Target="footer57.xml"/><Relationship Id="rId425" Type="http://schemas.openxmlformats.org/officeDocument/2006/relationships/header" Target="header141.xml"/><Relationship Id="rId467" Type="http://schemas.openxmlformats.org/officeDocument/2006/relationships/header" Target="header159.xml"/><Relationship Id="rId632" Type="http://schemas.openxmlformats.org/officeDocument/2006/relationships/footer" Target="footer229.xml"/><Relationship Id="rId271" Type="http://schemas.openxmlformats.org/officeDocument/2006/relationships/header" Target="header76.xml"/><Relationship Id="rId674" Type="http://schemas.openxmlformats.org/officeDocument/2006/relationships/fontTable" Target="fontTable.xml"/><Relationship Id="rId24" Type="http://schemas.openxmlformats.org/officeDocument/2006/relationships/image" Target="media/image2.png"/><Relationship Id="rId66" Type="http://schemas.openxmlformats.org/officeDocument/2006/relationships/hyperlink" Target="https://ec.europa.eu/info/strategy/eu-budget/performance-and-reporting/programmes-performance/common-foreign-and-security-policy-performance_en" TargetMode="External"/><Relationship Id="rId131" Type="http://schemas.openxmlformats.org/officeDocument/2006/relationships/footer" Target="footer25.xml"/><Relationship Id="rId327" Type="http://schemas.openxmlformats.org/officeDocument/2006/relationships/hyperlink" Target="https://europa.eu/!cH64dk" TargetMode="External"/><Relationship Id="rId369" Type="http://schemas.openxmlformats.org/officeDocument/2006/relationships/hyperlink" Target="https://europa.eu/!hNKPwT" TargetMode="External"/><Relationship Id="rId534" Type="http://schemas.openxmlformats.org/officeDocument/2006/relationships/header" Target="header187.xml"/><Relationship Id="rId576" Type="http://schemas.openxmlformats.org/officeDocument/2006/relationships/header" Target="header206.xml"/><Relationship Id="rId173" Type="http://schemas.openxmlformats.org/officeDocument/2006/relationships/header" Target="header42.xml"/><Relationship Id="rId229" Type="http://schemas.openxmlformats.org/officeDocument/2006/relationships/hyperlink" Target="https://europa.eu/!DU64hd" TargetMode="External"/><Relationship Id="rId380" Type="http://schemas.openxmlformats.org/officeDocument/2006/relationships/header" Target="header123.xml"/><Relationship Id="rId436" Type="http://schemas.openxmlformats.org/officeDocument/2006/relationships/header" Target="header146.xml"/><Relationship Id="rId601" Type="http://schemas.openxmlformats.org/officeDocument/2006/relationships/header" Target="header216.xml"/><Relationship Id="rId643" Type="http://schemas.openxmlformats.org/officeDocument/2006/relationships/footer" Target="footer234.xml"/><Relationship Id="rId240" Type="http://schemas.openxmlformats.org/officeDocument/2006/relationships/header" Target="header64.xml"/><Relationship Id="rId478" Type="http://schemas.openxmlformats.org/officeDocument/2006/relationships/header" Target="header164.xml"/><Relationship Id="rId35" Type="http://schemas.openxmlformats.org/officeDocument/2006/relationships/hyperlink" Target="https://ec.europa.eu/info/strategy/eu-budget/performance-and-reporting/programmes-performance/european-space-programme-performance_en" TargetMode="External"/><Relationship Id="rId77" Type="http://schemas.openxmlformats.org/officeDocument/2006/relationships/footer" Target="footer4.xml"/><Relationship Id="rId100" Type="http://schemas.openxmlformats.org/officeDocument/2006/relationships/header" Target="header14.xml"/><Relationship Id="rId282" Type="http://schemas.openxmlformats.org/officeDocument/2006/relationships/footer" Target="footer81.xml"/><Relationship Id="rId338" Type="http://schemas.openxmlformats.org/officeDocument/2006/relationships/footer" Target="footer104.xml"/><Relationship Id="rId503" Type="http://schemas.openxmlformats.org/officeDocument/2006/relationships/footer" Target="footer173.xml"/><Relationship Id="rId545" Type="http://schemas.openxmlformats.org/officeDocument/2006/relationships/footer" Target="footer191.xml"/><Relationship Id="rId587" Type="http://schemas.openxmlformats.org/officeDocument/2006/relationships/header" Target="header210.xml"/><Relationship Id="rId8" Type="http://schemas.openxmlformats.org/officeDocument/2006/relationships/customXml" Target="../customXml/item8.xml"/><Relationship Id="rId142" Type="http://schemas.openxmlformats.org/officeDocument/2006/relationships/footer" Target="footer30.xml"/><Relationship Id="rId184" Type="http://schemas.openxmlformats.org/officeDocument/2006/relationships/header" Target="header47.xml"/><Relationship Id="rId391" Type="http://schemas.openxmlformats.org/officeDocument/2006/relationships/header" Target="header128.xml"/><Relationship Id="rId405" Type="http://schemas.openxmlformats.org/officeDocument/2006/relationships/header" Target="header134.xml"/><Relationship Id="rId447" Type="http://schemas.openxmlformats.org/officeDocument/2006/relationships/footer" Target="footer150.xml"/><Relationship Id="rId612" Type="http://schemas.openxmlformats.org/officeDocument/2006/relationships/header" Target="header221.xml"/><Relationship Id="rId251" Type="http://schemas.openxmlformats.org/officeDocument/2006/relationships/header" Target="header69.xml"/><Relationship Id="rId489" Type="http://schemas.openxmlformats.org/officeDocument/2006/relationships/header" Target="header168.xml"/><Relationship Id="rId654" Type="http://schemas.openxmlformats.org/officeDocument/2006/relationships/hyperlink" Target="https://ec.europa.eu/clima/document/download/ac4d450c-3ebd-4b0f-85ff-64edc3da1b07_en" TargetMode="External"/><Relationship Id="rId46" Type="http://schemas.openxmlformats.org/officeDocument/2006/relationships/hyperlink" Target="https://ec.europa.eu/info/strategy/eu-budget/performance-and-reporting/programmes-performance/european-solidarity-corps-performance_en" TargetMode="External"/><Relationship Id="rId293" Type="http://schemas.openxmlformats.org/officeDocument/2006/relationships/footer" Target="footer85.xml"/><Relationship Id="rId307" Type="http://schemas.openxmlformats.org/officeDocument/2006/relationships/footer" Target="footer91.xml"/><Relationship Id="rId349" Type="http://schemas.openxmlformats.org/officeDocument/2006/relationships/header" Target="header109.xml"/><Relationship Id="rId514" Type="http://schemas.openxmlformats.org/officeDocument/2006/relationships/header" Target="header178.xml"/><Relationship Id="rId556" Type="http://schemas.openxmlformats.org/officeDocument/2006/relationships/header" Target="header197.xml"/><Relationship Id="rId88" Type="http://schemas.openxmlformats.org/officeDocument/2006/relationships/hyperlink" Target="https://europa.eu/!kY78ur" TargetMode="External"/><Relationship Id="rId111" Type="http://schemas.openxmlformats.org/officeDocument/2006/relationships/header" Target="header18.xml"/><Relationship Id="rId153" Type="http://schemas.openxmlformats.org/officeDocument/2006/relationships/footer" Target="footer33.xml"/><Relationship Id="rId195" Type="http://schemas.openxmlformats.org/officeDocument/2006/relationships/header" Target="header49.xml"/><Relationship Id="rId209" Type="http://schemas.openxmlformats.org/officeDocument/2006/relationships/header" Target="header54.xml"/><Relationship Id="rId360" Type="http://schemas.openxmlformats.org/officeDocument/2006/relationships/header" Target="header114.xml"/><Relationship Id="rId416" Type="http://schemas.openxmlformats.org/officeDocument/2006/relationships/header" Target="header137.xml"/><Relationship Id="rId598" Type="http://schemas.openxmlformats.org/officeDocument/2006/relationships/header" Target="header215.xml"/><Relationship Id="rId220" Type="http://schemas.openxmlformats.org/officeDocument/2006/relationships/hyperlink" Target="https://ec.europa.eu/economy_finance/recovery-and-resilience-scoreboard/index.html" TargetMode="External"/><Relationship Id="rId458" Type="http://schemas.openxmlformats.org/officeDocument/2006/relationships/header" Target="header155.xml"/><Relationship Id="rId623" Type="http://schemas.openxmlformats.org/officeDocument/2006/relationships/hyperlink" Target="https://ec.europa.eu/social/main.jsp?catId=326&amp;langId=en" TargetMode="External"/><Relationship Id="rId665" Type="http://schemas.openxmlformats.org/officeDocument/2006/relationships/header" Target="header243.xml"/><Relationship Id="rId15" Type="http://schemas.openxmlformats.org/officeDocument/2006/relationships/endnotes" Target="endnotes.xml"/><Relationship Id="rId57" Type="http://schemas.openxmlformats.org/officeDocument/2006/relationships/hyperlink" Target="https://ec.europa.eu/info/strategy/eu-budget/performance-and-reporting/programmes-performance/asylum-migration-and-integration-fund-performance_en" TargetMode="External"/><Relationship Id="rId262" Type="http://schemas.openxmlformats.org/officeDocument/2006/relationships/hyperlink" Target="https://europa.eu/!TD74kT" TargetMode="External"/><Relationship Id="rId318" Type="http://schemas.openxmlformats.org/officeDocument/2006/relationships/header" Target="header96.xml"/><Relationship Id="rId525" Type="http://schemas.openxmlformats.org/officeDocument/2006/relationships/footer" Target="footer183.xml"/><Relationship Id="rId567" Type="http://schemas.openxmlformats.org/officeDocument/2006/relationships/hyperlink" Target="http://europa.eu/!kB37Tp" TargetMode="External"/><Relationship Id="rId99" Type="http://schemas.openxmlformats.org/officeDocument/2006/relationships/header" Target="header13.xml"/><Relationship Id="rId122" Type="http://schemas.openxmlformats.org/officeDocument/2006/relationships/footer" Target="footer22.xml"/><Relationship Id="rId164" Type="http://schemas.openxmlformats.org/officeDocument/2006/relationships/footer" Target="footer37.xml"/><Relationship Id="rId371" Type="http://schemas.openxmlformats.org/officeDocument/2006/relationships/header" Target="header119.xml"/><Relationship Id="rId427" Type="http://schemas.openxmlformats.org/officeDocument/2006/relationships/hyperlink" Target="https://ec.europa.eu/info/strategy/priorities-2019-2024/european-green-deal/actions-being-taken-eu/just-transition-mechanism/just-transition-funding-sources_en" TargetMode="External"/><Relationship Id="rId469" Type="http://schemas.openxmlformats.org/officeDocument/2006/relationships/hyperlink" Target="https://europa.eu/!xU94BD" TargetMode="External"/><Relationship Id="rId634" Type="http://schemas.openxmlformats.org/officeDocument/2006/relationships/header" Target="header231.xml"/><Relationship Id="rId26" Type="http://schemas.openxmlformats.org/officeDocument/2006/relationships/hyperlink" Target="https://ec.europa.eu/info/strategy/eu-budget/performance-and-reporting/programmes-performance/euratom-research-and-training-programme-performance_en" TargetMode="External"/><Relationship Id="rId231" Type="http://schemas.openxmlformats.org/officeDocument/2006/relationships/hyperlink" Target="https://ec.europa.eu/reform-support/index_en" TargetMode="External"/><Relationship Id="rId273" Type="http://schemas.openxmlformats.org/officeDocument/2006/relationships/footer" Target="footer76.xml"/><Relationship Id="rId329" Type="http://schemas.openxmlformats.org/officeDocument/2006/relationships/header" Target="header100.xml"/><Relationship Id="rId480" Type="http://schemas.openxmlformats.org/officeDocument/2006/relationships/footer" Target="footer164.xml"/><Relationship Id="rId536" Type="http://schemas.openxmlformats.org/officeDocument/2006/relationships/footer" Target="footer187.xml"/><Relationship Id="rId68" Type="http://schemas.openxmlformats.org/officeDocument/2006/relationships/hyperlink" Target="https://ec.europa.eu/info/strategy/eu-budget/performance-and-reporting/programmes-performance/macro-financial-assistance-mfa-performance_en" TargetMode="External"/><Relationship Id="rId133" Type="http://schemas.openxmlformats.org/officeDocument/2006/relationships/header" Target="header27.xml"/><Relationship Id="rId175" Type="http://schemas.openxmlformats.org/officeDocument/2006/relationships/hyperlink" Target="https://europa.eu/!pH79WJ" TargetMode="External"/><Relationship Id="rId340" Type="http://schemas.openxmlformats.org/officeDocument/2006/relationships/footer" Target="footer105.xml"/><Relationship Id="rId578" Type="http://schemas.openxmlformats.org/officeDocument/2006/relationships/footer" Target="footer206.xml"/><Relationship Id="rId200" Type="http://schemas.openxmlformats.org/officeDocument/2006/relationships/footer" Target="footer51.xml"/><Relationship Id="rId382" Type="http://schemas.openxmlformats.org/officeDocument/2006/relationships/hyperlink" Target="https://europa.eu/!Un66pR" TargetMode="External"/><Relationship Id="rId438" Type="http://schemas.openxmlformats.org/officeDocument/2006/relationships/footer" Target="footer146.xml"/><Relationship Id="rId603" Type="http://schemas.openxmlformats.org/officeDocument/2006/relationships/header" Target="header217.xml"/><Relationship Id="rId645" Type="http://schemas.openxmlformats.org/officeDocument/2006/relationships/header" Target="header236.xml"/><Relationship Id="rId242" Type="http://schemas.openxmlformats.org/officeDocument/2006/relationships/footer" Target="footer64.xml"/><Relationship Id="rId284" Type="http://schemas.openxmlformats.org/officeDocument/2006/relationships/hyperlink" Target="https://europa.eu/!DR46Yh" TargetMode="External"/><Relationship Id="rId491" Type="http://schemas.openxmlformats.org/officeDocument/2006/relationships/header" Target="header169.xml"/><Relationship Id="rId505" Type="http://schemas.openxmlformats.org/officeDocument/2006/relationships/footer" Target="footer174.xml"/><Relationship Id="rId37" Type="http://schemas.openxmlformats.org/officeDocument/2006/relationships/hyperlink" Target="https://ec.europa.eu/info/strategy/eu-budget/performance-and-reporting/programmes-performance/support-turkish-cypriot-community-performance_en" TargetMode="External"/><Relationship Id="rId79" Type="http://schemas.openxmlformats.org/officeDocument/2006/relationships/header" Target="header6.xml"/><Relationship Id="rId102" Type="http://schemas.openxmlformats.org/officeDocument/2006/relationships/footer" Target="footer14.xml"/><Relationship Id="rId144" Type="http://schemas.openxmlformats.org/officeDocument/2006/relationships/hyperlink" Target="https://europa.eu/!YY36cb" TargetMode="External"/><Relationship Id="rId547" Type="http://schemas.openxmlformats.org/officeDocument/2006/relationships/footer" Target="footer192.xml"/><Relationship Id="rId589" Type="http://schemas.openxmlformats.org/officeDocument/2006/relationships/header" Target="header211.xml"/><Relationship Id="rId90" Type="http://schemas.openxmlformats.org/officeDocument/2006/relationships/hyperlink" Target="https://ec.europa.eu/info/horizon-europe/european-partnerships-horizon-europe_en" TargetMode="External"/><Relationship Id="rId186" Type="http://schemas.openxmlformats.org/officeDocument/2006/relationships/footer" Target="footer47.xml"/><Relationship Id="rId351" Type="http://schemas.openxmlformats.org/officeDocument/2006/relationships/footer" Target="footer109.xml"/><Relationship Id="rId393" Type="http://schemas.openxmlformats.org/officeDocument/2006/relationships/footer" Target="footer128.xml"/><Relationship Id="rId407" Type="http://schemas.openxmlformats.org/officeDocument/2006/relationships/footer" Target="footer134.xml"/><Relationship Id="rId449" Type="http://schemas.openxmlformats.org/officeDocument/2006/relationships/header" Target="header152.xml"/><Relationship Id="rId614" Type="http://schemas.openxmlformats.org/officeDocument/2006/relationships/footer" Target="footer221.xml"/><Relationship Id="rId656" Type="http://schemas.openxmlformats.org/officeDocument/2006/relationships/header" Target="header239.xml"/><Relationship Id="rId211" Type="http://schemas.openxmlformats.org/officeDocument/2006/relationships/hyperlink" Target="https://cohesiondata.ec.europa.eu/" TargetMode="External"/><Relationship Id="rId253" Type="http://schemas.openxmlformats.org/officeDocument/2006/relationships/hyperlink" Target="https://europa.eu/!uV97Jw" TargetMode="External"/><Relationship Id="rId295" Type="http://schemas.openxmlformats.org/officeDocument/2006/relationships/header" Target="header87.xml"/><Relationship Id="rId309" Type="http://schemas.openxmlformats.org/officeDocument/2006/relationships/header" Target="header93.xml"/><Relationship Id="rId460" Type="http://schemas.openxmlformats.org/officeDocument/2006/relationships/footer" Target="footer155.xml"/><Relationship Id="rId516" Type="http://schemas.openxmlformats.org/officeDocument/2006/relationships/footer" Target="footer178.xml"/><Relationship Id="rId48" Type="http://schemas.openxmlformats.org/officeDocument/2006/relationships/hyperlink" Target="https://ec.europa.eu/info/strategy/eu-budget/performance-and-reporting/programmes-performance/citizens-equality-rights-and-values-programme-performance_en" TargetMode="External"/><Relationship Id="rId113" Type="http://schemas.openxmlformats.org/officeDocument/2006/relationships/header" Target="header19.xml"/><Relationship Id="rId320" Type="http://schemas.openxmlformats.org/officeDocument/2006/relationships/header" Target="header97.xml"/><Relationship Id="rId558" Type="http://schemas.openxmlformats.org/officeDocument/2006/relationships/footer" Target="footer197.xml"/><Relationship Id="rId155" Type="http://schemas.openxmlformats.org/officeDocument/2006/relationships/hyperlink" Target="https://ec.europa.eu/anti&#8208;fraud/" TargetMode="External"/><Relationship Id="rId197" Type="http://schemas.openxmlformats.org/officeDocument/2006/relationships/footer" Target="footer49.xml"/><Relationship Id="rId362" Type="http://schemas.openxmlformats.org/officeDocument/2006/relationships/header" Target="header115.xml"/><Relationship Id="rId418" Type="http://schemas.openxmlformats.org/officeDocument/2006/relationships/footer" Target="footer137.xml"/><Relationship Id="rId625" Type="http://schemas.openxmlformats.org/officeDocument/2006/relationships/header" Target="header227.xml"/><Relationship Id="rId222" Type="http://schemas.openxmlformats.org/officeDocument/2006/relationships/header" Target="header58.xml"/><Relationship Id="rId264" Type="http://schemas.openxmlformats.org/officeDocument/2006/relationships/header" Target="header74.xml"/><Relationship Id="rId471" Type="http://schemas.openxmlformats.org/officeDocument/2006/relationships/header" Target="header160.xml"/><Relationship Id="rId667" Type="http://schemas.openxmlformats.org/officeDocument/2006/relationships/hyperlink" Target="https://ec.europa.eu/regional_policy/en/funding/brexit-adjustment-reserve/" TargetMode="External"/><Relationship Id="rId17" Type="http://schemas.openxmlformats.org/officeDocument/2006/relationships/header" Target="header1.xml"/><Relationship Id="rId59" Type="http://schemas.openxmlformats.org/officeDocument/2006/relationships/hyperlink" Target="https://ec.europa.eu/info/strategy/eu-budget/performance-and-reporting/programmes-performance/internal-security-fund-performance_en" TargetMode="External"/><Relationship Id="rId124" Type="http://schemas.openxmlformats.org/officeDocument/2006/relationships/header" Target="header24.xml"/><Relationship Id="rId527" Type="http://schemas.openxmlformats.org/officeDocument/2006/relationships/hyperlink" Target="https://europa.eu/!Bj46Qc" TargetMode="External"/><Relationship Id="rId569" Type="http://schemas.openxmlformats.org/officeDocument/2006/relationships/header" Target="header202.xml"/><Relationship Id="rId70" Type="http://schemas.openxmlformats.org/officeDocument/2006/relationships/hyperlink" Target="https://ec.europa.eu/info/strategy/eu-budget/performance-and-reporting/programmes-performance/european-globalisation-adjustment-fund-displaced-workers-performance_en" TargetMode="External"/><Relationship Id="rId166" Type="http://schemas.openxmlformats.org/officeDocument/2006/relationships/header" Target="header39.xml"/><Relationship Id="rId331" Type="http://schemas.openxmlformats.org/officeDocument/2006/relationships/footer" Target="footer100.xml"/><Relationship Id="rId373" Type="http://schemas.openxmlformats.org/officeDocument/2006/relationships/footer" Target="footer119.xml"/><Relationship Id="rId429" Type="http://schemas.openxmlformats.org/officeDocument/2006/relationships/header" Target="header142.xml"/><Relationship Id="rId580" Type="http://schemas.openxmlformats.org/officeDocument/2006/relationships/footer" Target="footer207.xml"/><Relationship Id="rId636" Type="http://schemas.openxmlformats.org/officeDocument/2006/relationships/hyperlink" Target="https://europa.eu/!yj89yD" TargetMode="External"/><Relationship Id="rId1" Type="http://schemas.openxmlformats.org/officeDocument/2006/relationships/customXml" Target="../customXml/item1.xml"/><Relationship Id="rId233" Type="http://schemas.openxmlformats.org/officeDocument/2006/relationships/header" Target="header62.xml"/><Relationship Id="rId440" Type="http://schemas.openxmlformats.org/officeDocument/2006/relationships/footer" Target="footer147.xml"/><Relationship Id="rId28" Type="http://schemas.openxmlformats.org/officeDocument/2006/relationships/hyperlink" Target="https://ec.europa.eu/info/strategy/eu-budget/performance-and-reporting/programmes-performance/investeu-performance_en" TargetMode="External"/><Relationship Id="rId275" Type="http://schemas.openxmlformats.org/officeDocument/2006/relationships/header" Target="header78.xml"/><Relationship Id="rId300" Type="http://schemas.openxmlformats.org/officeDocument/2006/relationships/header" Target="header89.xml"/><Relationship Id="rId482" Type="http://schemas.openxmlformats.org/officeDocument/2006/relationships/footer" Target="footer165.xml"/><Relationship Id="rId538" Type="http://schemas.openxmlformats.org/officeDocument/2006/relationships/header" Target="header189.xml"/><Relationship Id="rId81" Type="http://schemas.openxmlformats.org/officeDocument/2006/relationships/header" Target="header7.xml"/><Relationship Id="rId135" Type="http://schemas.openxmlformats.org/officeDocument/2006/relationships/hyperlink" Target="https://europa.eu/!pQ93Fc" TargetMode="External"/><Relationship Id="rId177" Type="http://schemas.openxmlformats.org/officeDocument/2006/relationships/header" Target="header43.xml"/><Relationship Id="rId342" Type="http://schemas.openxmlformats.org/officeDocument/2006/relationships/hyperlink" Target="https://europa.eu/!Qr67Hk" TargetMode="External"/><Relationship Id="rId384" Type="http://schemas.openxmlformats.org/officeDocument/2006/relationships/header" Target="header124.xml"/><Relationship Id="rId591" Type="http://schemas.openxmlformats.org/officeDocument/2006/relationships/footer" Target="footer211.xml"/><Relationship Id="rId605" Type="http://schemas.openxmlformats.org/officeDocument/2006/relationships/footer" Target="footer217.xml"/><Relationship Id="rId202" Type="http://schemas.openxmlformats.org/officeDocument/2006/relationships/hyperlink" Target="https://europa.eu/!fW37RX" TargetMode="External"/><Relationship Id="rId244" Type="http://schemas.openxmlformats.org/officeDocument/2006/relationships/header" Target="header66.xml"/><Relationship Id="rId647" Type="http://schemas.openxmlformats.org/officeDocument/2006/relationships/footer" Target="footer236.xml"/><Relationship Id="rId39" Type="http://schemas.openxmlformats.org/officeDocument/2006/relationships/hyperlink" Target="https://ec.europa.eu/info/strategy/eu-budget/performance-and-reporting/programmes-performance/technical-support-instrument-performance_en" TargetMode="External"/><Relationship Id="rId286" Type="http://schemas.openxmlformats.org/officeDocument/2006/relationships/header" Target="header83.xml"/><Relationship Id="rId451" Type="http://schemas.openxmlformats.org/officeDocument/2006/relationships/footer" Target="footer152.xml"/><Relationship Id="rId493" Type="http://schemas.openxmlformats.org/officeDocument/2006/relationships/footer" Target="footer169.xml"/><Relationship Id="rId507" Type="http://schemas.openxmlformats.org/officeDocument/2006/relationships/header" Target="header176.xml"/><Relationship Id="rId549" Type="http://schemas.openxmlformats.org/officeDocument/2006/relationships/header" Target="header194.xml"/></Relationships>
</file>

<file path=word/_rels/footnotes.xml.rels><?xml version="1.0" encoding="UTF-8" standalone="yes"?>
<Relationships xmlns="http://schemas.openxmlformats.org/package/2006/relationships"><Relationship Id="rId2" Type="http://schemas.openxmlformats.org/officeDocument/2006/relationships/hyperlink" Target="https://ec.europa.eu/clima/system/files/2021-07/20210706_ifeg_2_en.pdf" TargetMode="External"/><Relationship Id="rId1" Type="http://schemas.openxmlformats.org/officeDocument/2006/relationships/hyperlink" Target="https://eur-lex.europa.eu/legal-content/EN/TXT/?uri=CELEX%3A52021DC0609&amp;qid=1644243660152"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03.xml.rels><?xml version="1.0" encoding="UTF-8" standalone="yes"?>
<Relationships xmlns="http://schemas.openxmlformats.org/package/2006/relationships"><Relationship Id="rId1" Type="http://schemas.openxmlformats.org/officeDocument/2006/relationships/image" Target="media/image3.png"/></Relationships>
</file>

<file path=word/_rels/header104.xml.rels><?xml version="1.0" encoding="UTF-8" standalone="yes"?>
<Relationships xmlns="http://schemas.openxmlformats.org/package/2006/relationships"><Relationship Id="rId1" Type="http://schemas.openxmlformats.org/officeDocument/2006/relationships/image" Target="media/image5.png"/></Relationships>
</file>

<file path=word/_rels/header109.xml.rels><?xml version="1.0" encoding="UTF-8" standalone="yes"?>
<Relationships xmlns="http://schemas.openxmlformats.org/package/2006/relationships"><Relationship Id="rId1" Type="http://schemas.openxmlformats.org/officeDocument/2006/relationships/image" Target="media/image3.png"/></Relationships>
</file>

<file path=word/_rels/header110.xml.rels><?xml version="1.0" encoding="UTF-8" standalone="yes"?>
<Relationships xmlns="http://schemas.openxmlformats.org/package/2006/relationships"><Relationship Id="rId1" Type="http://schemas.openxmlformats.org/officeDocument/2006/relationships/image" Target="media/image5.png"/></Relationships>
</file>

<file path=word/_rels/header115.xml.rels><?xml version="1.0" encoding="UTF-8" standalone="yes"?>
<Relationships xmlns="http://schemas.openxmlformats.org/package/2006/relationships"><Relationship Id="rId1" Type="http://schemas.openxmlformats.org/officeDocument/2006/relationships/image" Target="media/image3.png"/></Relationships>
</file>

<file path=word/_rels/header116.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21.xml.rels><?xml version="1.0" encoding="UTF-8" standalone="yes"?>
<Relationships xmlns="http://schemas.openxmlformats.org/package/2006/relationships"><Relationship Id="rId1" Type="http://schemas.openxmlformats.org/officeDocument/2006/relationships/image" Target="media/image3.png"/></Relationships>
</file>

<file path=word/_rels/header122.xml.rels><?xml version="1.0" encoding="UTF-8" standalone="yes"?>
<Relationships xmlns="http://schemas.openxmlformats.org/package/2006/relationships"><Relationship Id="rId1" Type="http://schemas.openxmlformats.org/officeDocument/2006/relationships/image" Target="media/image6.png"/></Relationships>
</file>

<file path=word/_rels/header127.xml.rels><?xml version="1.0" encoding="UTF-8" standalone="yes"?>
<Relationships xmlns="http://schemas.openxmlformats.org/package/2006/relationships"><Relationship Id="rId1" Type="http://schemas.openxmlformats.org/officeDocument/2006/relationships/image" Target="media/image3.png"/></Relationships>
</file>

<file path=word/_rels/header128.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33.xml.rels><?xml version="1.0" encoding="UTF-8" standalone="yes"?>
<Relationships xmlns="http://schemas.openxmlformats.org/package/2006/relationships"><Relationship Id="rId1" Type="http://schemas.openxmlformats.org/officeDocument/2006/relationships/image" Target="media/image3.png"/></Relationships>
</file>

<file path=word/_rels/header134.xml.rels><?xml version="1.0" encoding="UTF-8" standalone="yes"?>
<Relationships xmlns="http://schemas.openxmlformats.org/package/2006/relationships"><Relationship Id="rId1" Type="http://schemas.openxmlformats.org/officeDocument/2006/relationships/image" Target="media/image6.png"/></Relationships>
</file>

<file path=word/_rels/header139.xml.rels><?xml version="1.0" encoding="UTF-8" standalone="yes"?>
<Relationships xmlns="http://schemas.openxmlformats.org/package/2006/relationships"><Relationship Id="rId1" Type="http://schemas.openxmlformats.org/officeDocument/2006/relationships/image" Target="media/image3.png"/></Relationships>
</file>

<file path=word/_rels/header140.xml.rels><?xml version="1.0" encoding="UTF-8" standalone="yes"?>
<Relationships xmlns="http://schemas.openxmlformats.org/package/2006/relationships"><Relationship Id="rId1" Type="http://schemas.openxmlformats.org/officeDocument/2006/relationships/image" Target="media/image6.png"/></Relationships>
</file>

<file path=word/_rels/header145.xml.rels><?xml version="1.0" encoding="UTF-8" standalone="yes"?>
<Relationships xmlns="http://schemas.openxmlformats.org/package/2006/relationships"><Relationship Id="rId1" Type="http://schemas.openxmlformats.org/officeDocument/2006/relationships/image" Target="media/image3.png"/></Relationships>
</file>

<file path=word/_rels/header146.xml.rels><?xml version="1.0" encoding="UTF-8" standalone="yes"?>
<Relationships xmlns="http://schemas.openxmlformats.org/package/2006/relationships"><Relationship Id="rId1" Type="http://schemas.openxmlformats.org/officeDocument/2006/relationships/image" Target="media/image7.png"/></Relationships>
</file>

<file path=word/_rels/header15.xml.rels><?xml version="1.0" encoding="UTF-8" standalone="yes"?>
<Relationships xmlns="http://schemas.openxmlformats.org/package/2006/relationships"><Relationship Id="rId1" Type="http://schemas.openxmlformats.org/officeDocument/2006/relationships/image" Target="media/image4.png"/></Relationships>
</file>

<file path=word/_rels/header151.xml.rels><?xml version="1.0" encoding="UTF-8" standalone="yes"?>
<Relationships xmlns="http://schemas.openxmlformats.org/package/2006/relationships"><Relationship Id="rId1" Type="http://schemas.openxmlformats.org/officeDocument/2006/relationships/image" Target="media/image3.png"/></Relationships>
</file>

<file path=word/_rels/header152.xml.rels><?xml version="1.0" encoding="UTF-8" standalone="yes"?>
<Relationships xmlns="http://schemas.openxmlformats.org/package/2006/relationships"><Relationship Id="rId1" Type="http://schemas.openxmlformats.org/officeDocument/2006/relationships/image" Target="media/image7.png"/></Relationships>
</file>

<file path=word/_rels/header157.xml.rels><?xml version="1.0" encoding="UTF-8" standalone="yes"?>
<Relationships xmlns="http://schemas.openxmlformats.org/package/2006/relationships"><Relationship Id="rId1" Type="http://schemas.openxmlformats.org/officeDocument/2006/relationships/image" Target="media/image3.png"/></Relationships>
</file>

<file path=word/_rels/header158.xml.rels><?xml version="1.0" encoding="UTF-8" standalone="yes"?>
<Relationships xmlns="http://schemas.openxmlformats.org/package/2006/relationships"><Relationship Id="rId1" Type="http://schemas.openxmlformats.org/officeDocument/2006/relationships/image" Target="media/image8.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63.xml.rels><?xml version="1.0" encoding="UTF-8" standalone="yes"?>
<Relationships xmlns="http://schemas.openxmlformats.org/package/2006/relationships"><Relationship Id="rId1" Type="http://schemas.openxmlformats.org/officeDocument/2006/relationships/image" Target="media/image3.png"/></Relationships>
</file>

<file path=word/_rels/header164.xml.rels><?xml version="1.0" encoding="UTF-8" standalone="yes"?>
<Relationships xmlns="http://schemas.openxmlformats.org/package/2006/relationships"><Relationship Id="rId1" Type="http://schemas.openxmlformats.org/officeDocument/2006/relationships/image" Target="media/image8.png"/></Relationships>
</file>

<file path=word/_rels/header169.xml.rels><?xml version="1.0" encoding="UTF-8" standalone="yes"?>
<Relationships xmlns="http://schemas.openxmlformats.org/package/2006/relationships"><Relationship Id="rId1" Type="http://schemas.openxmlformats.org/officeDocument/2006/relationships/image" Target="media/image3.png"/></Relationships>
</file>

<file path=word/_rels/header170.xml.rels><?xml version="1.0" encoding="UTF-8" standalone="yes"?>
<Relationships xmlns="http://schemas.openxmlformats.org/package/2006/relationships"><Relationship Id="rId1" Type="http://schemas.openxmlformats.org/officeDocument/2006/relationships/image" Target="media/image8.png"/></Relationships>
</file>

<file path=word/_rels/header175.xml.rels><?xml version="1.0" encoding="UTF-8" standalone="yes"?>
<Relationships xmlns="http://schemas.openxmlformats.org/package/2006/relationships"><Relationship Id="rId1" Type="http://schemas.openxmlformats.org/officeDocument/2006/relationships/image" Target="media/image3.png"/></Relationships>
</file>

<file path=word/_rels/header176.xml.rels><?xml version="1.0" encoding="UTF-8" standalone="yes"?>
<Relationships xmlns="http://schemas.openxmlformats.org/package/2006/relationships"><Relationship Id="rId1" Type="http://schemas.openxmlformats.org/officeDocument/2006/relationships/image" Target="media/image8.png"/></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_rels/header181.xml.rels><?xml version="1.0" encoding="UTF-8" standalone="yes"?>
<Relationships xmlns="http://schemas.openxmlformats.org/package/2006/relationships"><Relationship Id="rId1" Type="http://schemas.openxmlformats.org/officeDocument/2006/relationships/image" Target="media/image3.png"/></Relationships>
</file>

<file path=word/_rels/header182.xml.rels><?xml version="1.0" encoding="UTF-8" standalone="yes"?>
<Relationships xmlns="http://schemas.openxmlformats.org/package/2006/relationships"><Relationship Id="rId1" Type="http://schemas.openxmlformats.org/officeDocument/2006/relationships/image" Target="media/image9.png"/></Relationships>
</file>

<file path=word/_rels/header187.xml.rels><?xml version="1.0" encoding="UTF-8" standalone="yes"?>
<Relationships xmlns="http://schemas.openxmlformats.org/package/2006/relationships"><Relationship Id="rId1" Type="http://schemas.openxmlformats.org/officeDocument/2006/relationships/image" Target="media/image3.png"/></Relationships>
</file>

<file path=word/_rels/header188.xml.rels><?xml version="1.0" encoding="UTF-8" standalone="yes"?>
<Relationships xmlns="http://schemas.openxmlformats.org/package/2006/relationships"><Relationship Id="rId1" Type="http://schemas.openxmlformats.org/officeDocument/2006/relationships/image" Target="media/image9.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193.xml.rels><?xml version="1.0" encoding="UTF-8" standalone="yes"?>
<Relationships xmlns="http://schemas.openxmlformats.org/package/2006/relationships"><Relationship Id="rId1" Type="http://schemas.openxmlformats.org/officeDocument/2006/relationships/image" Target="media/image3.png"/></Relationships>
</file>

<file path=word/_rels/header194.xml.rels><?xml version="1.0" encoding="UTF-8" standalone="yes"?>
<Relationships xmlns="http://schemas.openxmlformats.org/package/2006/relationships"><Relationship Id="rId1" Type="http://schemas.openxmlformats.org/officeDocument/2006/relationships/image" Target="media/image9.png"/></Relationships>
</file>

<file path=word/_rels/header199.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4.png"/></Relationships>
</file>

<file path=word/_rels/header200.xml.rels><?xml version="1.0" encoding="UTF-8" standalone="yes"?>
<Relationships xmlns="http://schemas.openxmlformats.org/package/2006/relationships"><Relationship Id="rId1" Type="http://schemas.openxmlformats.org/officeDocument/2006/relationships/image" Target="media/image9.png"/></Relationships>
</file>

<file path=word/_rels/header205.xml.rels><?xml version="1.0" encoding="UTF-8" standalone="yes"?>
<Relationships xmlns="http://schemas.openxmlformats.org/package/2006/relationships"><Relationship Id="rId1" Type="http://schemas.openxmlformats.org/officeDocument/2006/relationships/image" Target="media/image3.png"/></Relationships>
</file>

<file path=word/_rels/header206.xml.rels><?xml version="1.0" encoding="UTF-8" standalone="yes"?>
<Relationships xmlns="http://schemas.openxmlformats.org/package/2006/relationships"><Relationship Id="rId1" Type="http://schemas.openxmlformats.org/officeDocument/2006/relationships/image" Target="media/image9.png"/></Relationships>
</file>

<file path=word/_rels/header211.xml.rels><?xml version="1.0" encoding="UTF-8" standalone="yes"?>
<Relationships xmlns="http://schemas.openxmlformats.org/package/2006/relationships"><Relationship Id="rId1" Type="http://schemas.openxmlformats.org/officeDocument/2006/relationships/image" Target="media/image3.png"/></Relationships>
</file>

<file path=word/_rels/header212.xml.rels><?xml version="1.0" encoding="UTF-8" standalone="yes"?>
<Relationships xmlns="http://schemas.openxmlformats.org/package/2006/relationships"><Relationship Id="rId1" Type="http://schemas.openxmlformats.org/officeDocument/2006/relationships/image" Target="media/image9.png"/></Relationships>
</file>

<file path=word/_rels/header217.xml.rels><?xml version="1.0" encoding="UTF-8" standalone="yes"?>
<Relationships xmlns="http://schemas.openxmlformats.org/package/2006/relationships"><Relationship Id="rId1" Type="http://schemas.openxmlformats.org/officeDocument/2006/relationships/image" Target="media/image3.png"/></Relationships>
</file>

<file path=word/_rels/header218.xml.rels><?xml version="1.0" encoding="UTF-8" standalone="yes"?>
<Relationships xmlns="http://schemas.openxmlformats.org/package/2006/relationships"><Relationship Id="rId1" Type="http://schemas.openxmlformats.org/officeDocument/2006/relationships/image" Target="media/image9.png"/></Relationships>
</file>

<file path=word/_rels/header223.xml.rels><?xml version="1.0" encoding="UTF-8" standalone="yes"?>
<Relationships xmlns="http://schemas.openxmlformats.org/package/2006/relationships"><Relationship Id="rId1" Type="http://schemas.openxmlformats.org/officeDocument/2006/relationships/image" Target="media/image3.png"/></Relationships>
</file>

<file path=word/_rels/header224.xml.rels><?xml version="1.0" encoding="UTF-8" standalone="yes"?>
<Relationships xmlns="http://schemas.openxmlformats.org/package/2006/relationships"><Relationship Id="rId1" Type="http://schemas.openxmlformats.org/officeDocument/2006/relationships/image" Target="media/image10.png"/></Relationships>
</file>

<file path=word/_rels/header229.xml.rels><?xml version="1.0" encoding="UTF-8" standalone="yes"?>
<Relationships xmlns="http://schemas.openxmlformats.org/package/2006/relationships"><Relationship Id="rId1" Type="http://schemas.openxmlformats.org/officeDocument/2006/relationships/image" Target="media/image3.png"/></Relationships>
</file>

<file path=word/_rels/header230.xml.rels><?xml version="1.0" encoding="UTF-8" standalone="yes"?>
<Relationships xmlns="http://schemas.openxmlformats.org/package/2006/relationships"><Relationship Id="rId1" Type="http://schemas.openxmlformats.org/officeDocument/2006/relationships/image" Target="media/image10.png"/></Relationships>
</file>

<file path=word/_rels/header235.xml.rels><?xml version="1.0" encoding="UTF-8" standalone="yes"?>
<Relationships xmlns="http://schemas.openxmlformats.org/package/2006/relationships"><Relationship Id="rId1" Type="http://schemas.openxmlformats.org/officeDocument/2006/relationships/image" Target="media/image3.png"/></Relationships>
</file>

<file path=word/_rels/header236.xml.rels><?xml version="1.0" encoding="UTF-8" standalone="yes"?>
<Relationships xmlns="http://schemas.openxmlformats.org/package/2006/relationships"><Relationship Id="rId1" Type="http://schemas.openxmlformats.org/officeDocument/2006/relationships/image" Target="media/image10.png"/></Relationships>
</file>

<file path=word/_rels/header241.xml.rels><?xml version="1.0" encoding="UTF-8" standalone="yes"?>
<Relationships xmlns="http://schemas.openxmlformats.org/package/2006/relationships"><Relationship Id="rId1" Type="http://schemas.openxmlformats.org/officeDocument/2006/relationships/image" Target="media/image3.png"/></Relationships>
</file>

<file path=word/_rels/header242.xml.rels><?xml version="1.0" encoding="UTF-8" standalone="yes"?>
<Relationships xmlns="http://schemas.openxmlformats.org/package/2006/relationships"><Relationship Id="rId1" Type="http://schemas.openxmlformats.org/officeDocument/2006/relationships/image" Target="media/image10.png"/></Relationships>
</file>

<file path=word/_rels/header25.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4.png"/></Relationships>
</file>

<file path=word/_rels/header28.xml.rels><?xml version="1.0" encoding="UTF-8" standalone="yes"?>
<Relationships xmlns="http://schemas.openxmlformats.org/package/2006/relationships"><Relationship Id="rId1" Type="http://schemas.openxmlformats.org/officeDocument/2006/relationships/image" Target="media/image3.png"/></Relationships>
</file>

<file path=word/_rels/header30.xml.rels><?xml version="1.0" encoding="UTF-8" standalone="yes"?>
<Relationships xmlns="http://schemas.openxmlformats.org/package/2006/relationships"><Relationship Id="rId1" Type="http://schemas.openxmlformats.org/officeDocument/2006/relationships/image" Target="media/image4.png"/></Relationships>
</file>

<file path=word/_rels/header31.xml.rels><?xml version="1.0" encoding="UTF-8" standalone="yes"?>
<Relationships xmlns="http://schemas.openxmlformats.org/package/2006/relationships"><Relationship Id="rId1" Type="http://schemas.openxmlformats.org/officeDocument/2006/relationships/image" Target="media/image3.png"/></Relationships>
</file>

<file path=word/_rels/header33.xml.rels><?xml version="1.0" encoding="UTF-8" standalone="yes"?>
<Relationships xmlns="http://schemas.openxmlformats.org/package/2006/relationships"><Relationship Id="rId1" Type="http://schemas.openxmlformats.org/officeDocument/2006/relationships/image" Target="media/image4.png"/></Relationships>
</file>

<file path=word/_rels/header36.xml.rels><?xml version="1.0" encoding="UTF-8" standalone="yes"?>
<Relationships xmlns="http://schemas.openxmlformats.org/package/2006/relationships"><Relationship Id="rId1" Type="http://schemas.openxmlformats.org/officeDocument/2006/relationships/image" Target="media/image4.png"/></Relationships>
</file>

<file path=word/_rels/header37.xml.rels><?xml version="1.0" encoding="UTF-8" standalone="yes"?>
<Relationships xmlns="http://schemas.openxmlformats.org/package/2006/relationships"><Relationship Id="rId1" Type="http://schemas.openxmlformats.org/officeDocument/2006/relationships/image" Target="media/image3.png"/></Relationships>
</file>

<file path=word/_rels/header38.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43.xml.rels><?xml version="1.0" encoding="UTF-8" standalone="yes"?>
<Relationships xmlns="http://schemas.openxmlformats.org/package/2006/relationships"><Relationship Id="rId1" Type="http://schemas.openxmlformats.org/officeDocument/2006/relationships/image" Target="media/image3.png"/></Relationships>
</file>

<file path=word/_rels/header45.xml.rels><?xml version="1.0" encoding="UTF-8" standalone="yes"?>
<Relationships xmlns="http://schemas.openxmlformats.org/package/2006/relationships"><Relationship Id="rId1" Type="http://schemas.openxmlformats.org/officeDocument/2006/relationships/image" Target="media/image4.png"/></Relationships>
</file>

<file path=word/_rels/header46.xml.rels><?xml version="1.0" encoding="UTF-8" standalone="yes"?>
<Relationships xmlns="http://schemas.openxmlformats.org/package/2006/relationships"><Relationship Id="rId1" Type="http://schemas.openxmlformats.org/officeDocument/2006/relationships/image" Target="media/image3.png"/></Relationships>
</file>

<file path=word/_rels/header47.xml.rels><?xml version="1.0" encoding="UTF-8" standalone="yes"?>
<Relationships xmlns="http://schemas.openxmlformats.org/package/2006/relationships"><Relationship Id="rId1" Type="http://schemas.openxmlformats.org/officeDocument/2006/relationships/image" Target="media/image4.png"/></Relationships>
</file>

<file path=word/_rels/header52.xml.rels><?xml version="1.0" encoding="UTF-8" standalone="yes"?>
<Relationships xmlns="http://schemas.openxmlformats.org/package/2006/relationships"><Relationship Id="rId1" Type="http://schemas.openxmlformats.org/officeDocument/2006/relationships/image" Target="media/image3.png"/></Relationships>
</file>

<file path=word/_rels/header54.xml.rels><?xml version="1.0" encoding="UTF-8" standalone="yes"?>
<Relationships xmlns="http://schemas.openxmlformats.org/package/2006/relationships"><Relationship Id="rId1" Type="http://schemas.openxmlformats.org/officeDocument/2006/relationships/image" Target="media/image5.png"/></Relationships>
</file>

<file path=word/_rels/header55.xml.rels><?xml version="1.0" encoding="UTF-8" standalone="yes"?>
<Relationships xmlns="http://schemas.openxmlformats.org/package/2006/relationships"><Relationship Id="rId1" Type="http://schemas.openxmlformats.org/officeDocument/2006/relationships/image" Target="media/image3.png"/></Relationships>
</file>

<file path=word/_rels/header57.xml.rels><?xml version="1.0" encoding="UTF-8" standalone="yes"?>
<Relationships xmlns="http://schemas.openxmlformats.org/package/2006/relationships"><Relationship Id="rId1" Type="http://schemas.openxmlformats.org/officeDocument/2006/relationships/image" Target="media/image5.png"/></Relationships>
</file>

<file path=word/_rels/header58.xml.rels><?xml version="1.0" encoding="UTF-8" standalone="yes"?>
<Relationships xmlns="http://schemas.openxmlformats.org/package/2006/relationships"><Relationship Id="rId1" Type="http://schemas.openxmlformats.org/officeDocument/2006/relationships/image" Target="media/image3.png"/></Relationships>
</file>

<file path=word/_rels/header60.xml.rels><?xml version="1.0" encoding="UTF-8" standalone="yes"?>
<Relationships xmlns="http://schemas.openxmlformats.org/package/2006/relationships"><Relationship Id="rId1" Type="http://schemas.openxmlformats.org/officeDocument/2006/relationships/image" Target="media/image5.png"/></Relationships>
</file>

<file path=word/_rels/header61.xml.rels><?xml version="1.0" encoding="UTF-8" standalone="yes"?>
<Relationships xmlns="http://schemas.openxmlformats.org/package/2006/relationships"><Relationship Id="rId1" Type="http://schemas.openxmlformats.org/officeDocument/2006/relationships/image" Target="media/image3.png"/></Relationships>
</file>

<file path=word/_rels/header63.xml.rels><?xml version="1.0" encoding="UTF-8" standalone="yes"?>
<Relationships xmlns="http://schemas.openxmlformats.org/package/2006/relationships"><Relationship Id="rId1" Type="http://schemas.openxmlformats.org/officeDocument/2006/relationships/image" Target="media/image5.png"/></Relationships>
</file>

<file path=word/_rels/header64.xml.rels><?xml version="1.0" encoding="UTF-8" standalone="yes"?>
<Relationships xmlns="http://schemas.openxmlformats.org/package/2006/relationships"><Relationship Id="rId1" Type="http://schemas.openxmlformats.org/officeDocument/2006/relationships/image" Target="media/image3.png"/></Relationships>
</file>

<file path=word/_rels/header66.xml.rels><?xml version="1.0" encoding="UTF-8" standalone="yes"?>
<Relationships xmlns="http://schemas.openxmlformats.org/package/2006/relationships"><Relationship Id="rId1" Type="http://schemas.openxmlformats.org/officeDocument/2006/relationships/image" Target="media/image5.png"/></Relationships>
</file>

<file path=word/_rels/header67.xml.rels><?xml version="1.0" encoding="UTF-8" standalone="yes"?>
<Relationships xmlns="http://schemas.openxmlformats.org/package/2006/relationships"><Relationship Id="rId1" Type="http://schemas.openxmlformats.org/officeDocument/2006/relationships/image" Target="media/image3.png"/></Relationships>
</file>

<file path=word/_rels/header69.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70.xml.rels><?xml version="1.0" encoding="UTF-8" standalone="yes"?>
<Relationships xmlns="http://schemas.openxmlformats.org/package/2006/relationships"><Relationship Id="rId1" Type="http://schemas.openxmlformats.org/officeDocument/2006/relationships/image" Target="media/image3.png"/></Relationships>
</file>

<file path=word/_rels/header72.xml.rels><?xml version="1.0" encoding="UTF-8" standalone="yes"?>
<Relationships xmlns="http://schemas.openxmlformats.org/package/2006/relationships"><Relationship Id="rId1" Type="http://schemas.openxmlformats.org/officeDocument/2006/relationships/image" Target="media/image5.png"/></Relationships>
</file>

<file path=word/_rels/header73.xml.rels><?xml version="1.0" encoding="UTF-8" standalone="yes"?>
<Relationships xmlns="http://schemas.openxmlformats.org/package/2006/relationships"><Relationship Id="rId1" Type="http://schemas.openxmlformats.org/officeDocument/2006/relationships/image" Target="media/image3.png"/></Relationships>
</file>

<file path=word/_rels/header75.xml.rels><?xml version="1.0" encoding="UTF-8" standalone="yes"?>
<Relationships xmlns="http://schemas.openxmlformats.org/package/2006/relationships"><Relationship Id="rId1" Type="http://schemas.openxmlformats.org/officeDocument/2006/relationships/image" Target="media/image5.png"/></Relationships>
</file>

<file path=word/_rels/header76.xml.rels><?xml version="1.0" encoding="UTF-8" standalone="yes"?>
<Relationships xmlns="http://schemas.openxmlformats.org/package/2006/relationships"><Relationship Id="rId1" Type="http://schemas.openxmlformats.org/officeDocument/2006/relationships/image" Target="media/image3.png"/></Relationships>
</file>

<file path=word/_rels/header78.xml.rels><?xml version="1.0" encoding="UTF-8" standalone="yes"?>
<Relationships xmlns="http://schemas.openxmlformats.org/package/2006/relationships"><Relationship Id="rId1" Type="http://schemas.openxmlformats.org/officeDocument/2006/relationships/image" Target="media/image5.png"/></Relationships>
</file>

<file path=word/_rels/header79.xml.rels><?xml version="1.0" encoding="UTF-8" standalone="yes"?>
<Relationships xmlns="http://schemas.openxmlformats.org/package/2006/relationships"><Relationship Id="rId1" Type="http://schemas.openxmlformats.org/officeDocument/2006/relationships/image" Target="media/image3.png"/></Relationships>
</file>

<file path=word/_rels/header80.xml.rels><?xml version="1.0" encoding="UTF-8" standalone="yes"?>
<Relationships xmlns="http://schemas.openxmlformats.org/package/2006/relationships"><Relationship Id="rId1" Type="http://schemas.openxmlformats.org/officeDocument/2006/relationships/image" Target="media/image5.png"/></Relationships>
</file>

<file path=word/_rels/header85.xml.rels><?xml version="1.0" encoding="UTF-8" standalone="yes"?>
<Relationships xmlns="http://schemas.openxmlformats.org/package/2006/relationships"><Relationship Id="rId1" Type="http://schemas.openxmlformats.org/officeDocument/2006/relationships/image" Target="media/image3.png"/></Relationships>
</file>

<file path=word/_rels/header86.xml.rels><?xml version="1.0" encoding="UTF-8" standalone="yes"?>
<Relationships xmlns="http://schemas.openxmlformats.org/package/2006/relationships"><Relationship Id="rId1" Type="http://schemas.openxmlformats.org/officeDocument/2006/relationships/image" Target="media/image5.png"/></Relationships>
</file>

<file path=word/_rels/header91.xml.rels><?xml version="1.0" encoding="UTF-8" standalone="yes"?>
<Relationships xmlns="http://schemas.openxmlformats.org/package/2006/relationships"><Relationship Id="rId1" Type="http://schemas.openxmlformats.org/officeDocument/2006/relationships/image" Target="media/image3.png"/></Relationships>
</file>

<file path=word/_rels/header92.xml.rels><?xml version="1.0" encoding="UTF-8" standalone="yes"?>
<Relationships xmlns="http://schemas.openxmlformats.org/package/2006/relationships"><Relationship Id="rId1" Type="http://schemas.openxmlformats.org/officeDocument/2006/relationships/image" Target="media/image5.png"/></Relationships>
</file>

<file path=word/_rels/header97.xml.rels><?xml version="1.0" encoding="UTF-8" standalone="yes"?>
<Relationships xmlns="http://schemas.openxmlformats.org/package/2006/relationships"><Relationship Id="rId1" Type="http://schemas.openxmlformats.org/officeDocument/2006/relationships/image" Target="media/image3.png"/></Relationships>
</file>

<file path=word/_rels/header98.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AMPR 2021">
      <a:dk1>
        <a:sysClr val="windowText" lastClr="000000"/>
      </a:dk1>
      <a:lt1>
        <a:sysClr val="window" lastClr="FFFFFF"/>
      </a:lt1>
      <a:dk2>
        <a:srgbClr val="215E94"/>
      </a:dk2>
      <a:lt2>
        <a:srgbClr val="F2F2F2"/>
      </a:lt2>
      <a:accent1>
        <a:srgbClr val="028F1A"/>
      </a:accent1>
      <a:accent2>
        <a:srgbClr val="29A8C4"/>
      </a:accent2>
      <a:accent3>
        <a:srgbClr val="C46521"/>
      </a:accent3>
      <a:accent4>
        <a:srgbClr val="B80078"/>
      </a:accent4>
      <a:accent5>
        <a:srgbClr val="C9E7A7"/>
      </a:accent5>
      <a:accent6>
        <a:srgbClr val="FFC000"/>
      </a:accent6>
      <a:hlink>
        <a:srgbClr val="007ACC"/>
      </a:hlink>
      <a:folHlink>
        <a:srgbClr val="800080"/>
      </a:folHlink>
    </a:clrScheme>
    <a:fontScheme name="FONT EC Square">
      <a:majorFont>
        <a:latin typeface="EC Square Sans Pro"/>
        <a:ea typeface=""/>
        <a:cs typeface=""/>
      </a:majorFont>
      <a:minorFont>
        <a:latin typeface="EC Square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Author Role="Creator" AuthorRoleName="Signatory" AuthorRoleId="dd422d74-d41f-4095-8cb8-8304a90a6b0c">
  <Id>f7db4a93-f1b7-477d-ad87-2e49206c40e6</Id>
  <Names>
    <Latin>
      <FirstName>Ilze</FirstName>
      <LastName>JUHANSONE</LastName>
    </Latin>
    <Greek>
      <FirstName/>
      <LastName/>
    </Greek>
    <Cyrillic>
      <FirstName/>
      <LastName/>
    </Cyrillic>
    <DocumentScript>
      <FirstName>Ilze</FirstName>
      <LastName>JUHANSONE</LastName>
      <FullName>Ilze JUHANSONE</FullName>
    </DocumentScript>
  </Names>
  <Initials>IJ</Initials>
  <Gender>f</Gender>
  <Email>Ilze.JUHANSONE@ec.europa.eu</Email>
  <Service>SG</Service>
  <Function ADCode="33" ShowInSignature="false" ShowInHeader="true" HeaderText="The Secretary-General">Secretary-General</Function>
  <WebAddress/>
  <FunctionalMailbox/>
  <InheritedWebAddress>WebAddress</InheritedWebAddress>
  <OrgaEntity1>
    <Id>dfeba4c5-4fee-4c38-9a3a-bbd8394ad370</Id>
    <LogicalLevel>1</LogicalLevel>
    <Name>SG</Name>
    <HeadLine1>SECRETARIAT-GENERAL</HeadLine1>
    <HeadLine2/>
    <PrimaryAddressId>f03b5801-04c9-4931-aa17-c6d6c70bc579</PrimaryAddressId>
    <SecondaryAddressId/>
    <WebAddress>WebAddress</WebAddress>
    <InheritedWebAddress>WebAddress</InheritedWebAddress>
    <ShowInHeader>true</ShowInHeader>
  </OrgaEntity1>
  <OrgaEntity2/>
  <OrgaEntity3/>
  <Hierarchy>
    <OrgaEntity>
      <Id>dfeba4c5-4fee-4c38-9a3a-bbd8394ad370</Id>
      <LogicalLevel>1</LogicalLevel>
      <Name>SG</Name>
      <HeadLine1>SECRETARIAT-GENERAL</HeadLine1>
      <HeadLine2/>
      <PrimaryAddressId>f03b5801-04c9-4931-aa17-c6d6c70bc579</PrimaryAddressId>
      <SecondaryAddressId/>
      <WebAddress>WebAddress</WebAddress>
      <InheritedWebAddress>WebAddress</InheritedWebAddress>
      <ShowInHeader>true</ShowInHeader>
    </OrgaEntity>
  </Hierarchy>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+32 229-80179</Phone>
    <Office>BERL 13/210</Office>
  </MainWorkplace>
  <Workplaces>
    <Workplace IsMain="false">
      <AddressId>1264fb81-f6bb-475e-9f9d-a937d3be6ee2</AddressId>
      <Fax/>
      <Phone/>
      <Office/>
    </Workplace>
    <Workplace IsMain="true">
      <AddressId>f03b5801-04c9-4931-aa17-c6d6c70bc579</AddressId>
      <Fax/>
      <Phone>+32 229-80179</Phone>
      <Office>BERL 13/210</Office>
    </Workplace>
  </Workplaces>
</Author>
</file>

<file path=customXml/item2.xml><?xml version="1.0" encoding="utf-8"?>
<?mso-contentType ?>
<p:Policy xmlns:p="office.server.policy" id="" local="true">
  <p:Name>EC Document</p:Name>
  <p:Description/>
  <p:Statement/>
  <p:PolicyItems>
    <p:PolicyItem featureId="Microsoft.Office.RecordsManagement.PolicyFeatures.PolicyAudit" staticId="0x010100258AA79CEB83498886A3A086811232500034BF26BD23CB614EB733FA14B16F8BE1|94521222" UniqueId="3f9be746-0089-493f-a798-4607d6945507">
      <p:Name>Auditing</p:Name>
      <p:Description>Audits user actions on documents and list items to the Audit Log.</p:Description>
      <p:CustomData>
        <Audit>
          <Update/>
          <View/>
          <MoveCopy/>
          <DeleteRestore/>
        </Audit>
      </p:CustomData>
    </p:PolicyItem>
  </p:PolicyItems>
</p:Policy>
</file>

<file path=customXml/item3.xml><?xml version="1.0" encoding="utf-8"?>
<Texts>
  <SensitiveFootnoteHyperlink>{field:HYPERLINK "https://europa.eu/!db43PX" |https://europa.eu/!db43PX}</SensitiveFootnoteHyperlink>
  <SecuritySecurityMatter>Security Matter</SecuritySecurityMatter>
  <SensitiveLabel>Sensitive</SensitiveLabel>
  <SensitiveHandling>Distribution only on a 'Need to know' basis - Do not read or carry openly in public places. Must be stored securely and encrypted in storage and transmission. Destroy copies by shredding or secure deletion. Full handling instructions: </SensitiveHandling>
  <LabelFormattedTableSeqEC>Table {field: SEQ Table \* ARABIC }: </LabelFormattedTableSeqEC>
  <NoteCopy>c.c.:</NoteCopy>
  <NoteCopies>c.c.:</NoteCopies>
  <MarkingUntilText>UNTIL</MarkingUntilText>
  <OrgaRoot>EUROPEAN COMMISSION</OrgaRoot>
  <SecurityPharma>Pharma Investigations</SecurityPharma>
  <ClimaSensitive>CLIMA</ClimaSensitive>
  <SecurityEmbargo>EMBARGO UNTIL</SecurityEmbargo>
  <NoteHead>Note for the attention of</NoteHead>
  <NoteFile>Note for the File</NoteFile>
  <NoteEnclosures>Enclosures:</NoteEnclosures>
  <NoteEnclosure>Enclosure:</NoteEnclosure>
  <NoteParticipant>Participant:</NoteParticipant>
  <NoteParticipants>Participants:</NoteParticipants>
  <Contact>Contact:</Contact>
  <Contacts>Contacts:</Contacts>
  <ESigned>Electronically signed</ESigned>
  <SecurityIasOperations>IAS Operations</SecurityIasOperations>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SensitiveFootnoteHyperlinkIASOperations>Handling instructions for SENSITIVE information are given at {field: HYPERLINK "https://europa.eu/!db43PX" |https://europa.eu/!db43PX}.</SensitiveFootnoteHyperlinkIASOperations>
  <LabelTableSeqWChapter>Table { STYLEREF "Chapter Number" \s }.{ SEQ Table \* ARABIC } – </LabelTableSeqWChapter>
  <LabelSource>Source</LabelSource>
  <LabelTableSeqEC>Table {SEQ Table \* ARABIC }: </LabelTableSeqEC>
  <EmbargoUnlimited>Embargo (Unlimited)</EmbargoUnlimited>
  <SecurityCompOperations>COMP Operations</SecurityCompOperations>
  <SecurityOpinionLegalService>Opinion of the Legal Service</SecurityOpinionLegalService>
  <NoteReference>Ref.:</NoteReference>
  <FooterPhone>Tel. direct line</FooterPhone>
  <FooterFax>Fax</FooterFax>
  <FooterOffice>Office:</FooterOffice>
  <PharmaSpecialHandlingLabel>Pharma Investigations</PharmaSpecialHandlingLabel>
  <SpecialHandlingFootnote>Special handling instructions are given at </SpecialHandlingFootnote>
  <PharmaSpecialHandlingHyperlink>{field:HYPERLINK "https://myintracomm.ec.europa.eu/corp/security/EN/newDS3/SensitiveInformation/Pages/SPECIAL-HANDLING-INFORMATION-Pharma-investigations.aspx?ln=en" |https://myintracomm.ec.europa.eu/corp/security/EN/newDS3/SensitiveInformation/Pages/SPECIAL-HANDLING-INFORMATION-Pharma-investigations.aspx?ln=en}</PharmaSpecialHandlingHyperlink>
  <SpecialHandlingLabel>Special Handling</SpecialHandlingLabel>
  <TOCHeading>Table of Contents</TOCHeading>
  <NoteSubject>Subject:</NoteSubject>
  <DAC.Line2>EMPLOYMENT, SOCIAL AFFAIRS AND INCLUSION</DAC.Line2>
  <DAC.Line3>REGIONAL AND URBAN POLICY</DAC.Line3>
  <DAC.Line1>DIRECTORATES-GENERAL</DAC.Line1>
  <CLIMASpecialHandlingHyperlink>{field:HYPERLINK "https://myintracomm.ec.europa.eu/corp/security/EN/newDS3/SensitiveInformation/Pages/SPECIAL-HANDLING-INFORMATION-DG-CLIMA.aspx?ln=en" |https://myintracomm.ec.europa.eu/corp/security/EN/newDS3/SensitiveInformation/Pages/SPECIAL-HANDLING-INFORMATION-DG-CLIMA.aspx?ln=en}</CLIMASpecialHandlingHyperlink>
  <CLIMASpecialHandlingLabel>CLIMA</CLIMASpecialHandlingLabel>
  <ContactFax>fax</ContactFax>
  <ContactTextPattern>%Name%[, %Function%][, %Office%][, %Phone%][, %Fax%][, %Email%][, %Dg%][, %Directorate%][, %Unit%]</ContactTextPattern>
  <ContactTel>tel.</ContactTel>
  <ContactOffice>office</ContactOffice>
  <SecurityMedicalSecret>Medical Secret</SecurityMedicalSecret>
  <SecurityStaffMatter>Staff Matter</SecurityStaffMatter>
  <SecurityMediationServiceMatter>Mediation Service</SecurityMediationServiceMatter>
  <LabelFigureSeqEC>Figure {SEQ Figure \* ARABIC }: </LabelFigureSeqEC>
  <LabelFigureSeqWChapter>Table {field: STYLEREF "Chapter Number" \s }.{field: SEQ Table \* ARABIC } –</LabelFigureSeqWChapter>
  <SecurityReleasable>RELEASABLE TO:</SecurityReleasable>
  <LabelPictureSeq>Figure {SEQ Figure \* ARABIC }: </LabelPictureSeq>
  <Year>({field: DATE \@ "yyyy" })</Year>
  <CourtProceduralDocuments>Court Procedural Documents</CourtProceduralDocuments>
  <SecurityInvestigationsDisciplinary>Investigations and Disciplinary Matters</SecurityInvestigationsDisciplinary>
  <SecurityOlafInvestigations>OLAF Investigations</SecurityOlafInvestigations>
  <OLAFSpecialHandlingLabel>OLAF Investigations</OLAFSpecialHandlingLabel>
  <OLAFSpecialHandlingHyperlink>{field:HYPERLINK "https://myintracomm.ec.europa.eu/corp/security/EN/newDS3/SensitiveInformation/Pages/SPECIAL-HANDLING-INFORMATION-OLAF-Investigations.aspx?ln=en" |https://myintracomm.ec.europa.eu/corp/security/EN/newDS3/SensitiveInformation/Pages/SPECIAL-HANDLING-INFORMATION-OLAF-Investigations.aspx?ln=en}</OLAFSpecialHandlingHyperlink>
  <COMPSpecialHandlingLabel>COMP</COMPSpecialHandlingLabel>
  <COMPSpecialHandlingHyperlink>{field:HYPERLINK "https://myintracomm.ec.europa.eu/corp/security/EN/newDS3/SensitiveInformation/Pages/SPECIAL-HANDLING-INFORMATION-DG-COMP.aspx?ln=en" |https://myintracomm.ec.europa.eu/corp/security/EN/newDS3/SensitiveInformation/Pages/SPECIAL-HANDLING-INFORMATION-DG-COMP.aspx?ln=en}</COMPSpecialHandlingHyperlink>
  <DateFormatShort>dd/MM/yyyy</DateFormatShort>
  <DateFormatLong>d MMMM yyyy</DateFormatLong>
</Texts>
</file>

<file path=customXml/item4.xml><?xml version="1.0" encoding="utf-8"?>
<Author AuthorRoleName="Writer" AuthorRoleId="a4fbaff4-b07c-48b4-a21e-e7b9eedf3796">
  <Id>f7db4a93-f1b7-477d-ad87-2e49206c40e6</Id>
  <Names>
    <Latin>
      <FirstName>Ilze</FirstName>
      <LastName>JUHANSONE</LastName>
    </Latin>
    <Greek>
      <FirstName/>
      <LastName/>
    </Greek>
    <Cyrillic>
      <FirstName/>
      <LastName/>
    </Cyrillic>
    <DocumentScript>
      <FirstName>Ilze</FirstName>
      <LastName>JUHANSONE</LastName>
      <FullName>Ilze JUHANSONE</FullName>
    </DocumentScript>
  </Names>
  <Initials>IJ</Initials>
  <Gender>f</Gender>
  <Email>Ilze.JUHANSONE@ec.europa.eu</Email>
  <Service>SG</Service>
  <Function ADCode="33" ShowInSignature="false" ShowInHeader="true" HeaderText="The Secretary-General">Secretary-General</Function>
  <WebAddress/>
  <FunctionalMailbox/>
  <InheritedWebAddress>WebAddress</InheritedWebAddress>
  <OrgaEntity1>
    <Id>dfeba4c5-4fee-4c38-9a3a-bbd8394ad370</Id>
    <LogicalLevel>1</LogicalLevel>
    <Name>SG</Name>
    <HeadLine1>SECRETARIAT-GENERAL</HeadLine1>
    <HeadLine2/>
    <PrimaryAddressId>f03b5801-04c9-4931-aa17-c6d6c70bc579</PrimaryAddressId>
    <SecondaryAddressId/>
    <WebAddress>WebAddress</WebAddress>
    <InheritedWebAddress>WebAddress</InheritedWebAddress>
    <ShowInHeader>true</ShowInHeader>
  </OrgaEntity1>
  <OrgaEntity2/>
  <OrgaEntity3/>
  <Hierarchy>
    <OrgaEntity>
      <Id>dfeba4c5-4fee-4c38-9a3a-bbd8394ad370</Id>
      <LogicalLevel>1</LogicalLevel>
      <Name>SG</Name>
      <HeadLine1>SECRETARIAT-GENERAL</HeadLine1>
      <HeadLine2/>
      <PrimaryAddressId>f03b5801-04c9-4931-aa17-c6d6c70bc579</PrimaryAddressId>
      <SecondaryAddressId/>
      <WebAddress>WebAddress</WebAddress>
      <InheritedWebAddress>WebAddress</InheritedWebAddress>
      <ShowInHeader>true</ShowInHeader>
    </OrgaEntity>
  </Hierarchy>
  <Addresses>
    <Address>
      <Id>f03b5801-04c9-4931-aa17-c6d6c70bc579</Id>
      <Name>Brussels</Name>
      <PhoneNumberPrefix>+32 229-</PhoneNumberPrefix>
      <TranslatedName>Brussels</TranslatedName>
      <Location>Brussels,</Location>
      <Footer>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+32 229-80179</Phone>
    <Office>BERL 13/210</Office>
  </MainWorkplace>
  <Workplaces>
    <Workplace IsMain="false">
      <AddressId>1264fb81-f6bb-475e-9f9d-a937d3be6ee2</AddressId>
      <Fax/>
      <Phone/>
      <Office/>
    </Workplace>
    <Workplace IsMain="true">
      <AddressId>f03b5801-04c9-4931-aa17-c6d6c70bc579</AddressId>
      <Fax/>
      <Phone>+32 229-80179</Phone>
      <Office>BERL 13/210</Office>
    </Workplace>
  </Workplaces>
</Author>
</file>

<file path=customXml/item5.xml><?xml version="1.0" encoding="utf-8"?>
<ct:contentTypeSchema xmlns:ct="http://schemas.microsoft.com/office/2006/metadata/contentType" xmlns:ma="http://schemas.microsoft.com/office/2006/metadata/properties/metaAttributes" ct:_="" ma:_="" ma:contentTypeName="EC Document" ma:contentTypeID="0x010100258AA79CEB83498886A3A086811232500034BF26BD23CB614EB733FA14B16F8BE1" ma:contentTypeVersion="12" ma:contentTypeDescription="Create a new document in this library." ma:contentTypeScope="" ma:versionID="55124f9231b8c036f3347ddb56f6e2bc">
  <xsd:schema xmlns:xsd="http://www.w3.org/2001/XMLSchema" xmlns:xs="http://www.w3.org/2001/XMLSchema" xmlns:p="http://schemas.microsoft.com/office/2006/metadata/properties" xmlns:ns1="http://schemas.microsoft.com/sharepoint/v3" xmlns:ns3="0506a704-1628-441c-97fb-f32e33200c44" xmlns:ns4="10195160-c278-438c-98fd-76d21ba493d3" targetNamespace="http://schemas.microsoft.com/office/2006/metadata/properties" ma:root="true" ma:fieldsID="dc12f03adb42d256b018863bd5629cd0" ns1:_="" ns3:_="" ns4:_="">
    <xsd:import namespace="http://schemas.microsoft.com/sharepoint/v3"/>
    <xsd:import namespace="0506a704-1628-441c-97fb-f32e33200c44"/>
    <xsd:import namespace="10195160-c278-438c-98fd-76d21ba493d3"/>
    <xsd:element name="properties">
      <xsd:complexType>
        <xsd:sequence>
          <xsd:element name="documentManagement">
            <xsd:complexType>
              <xsd:all>
                <xsd:element ref="ns3:EC_Collab_Reference" minOccurs="0"/>
                <xsd:element ref="ns3:EC_Collab_DocumentLanguage"/>
                <xsd:element ref="ns3:EC_Collab_Status"/>
                <xsd:element ref="ns3:EC_ARES_NUMBER" minOccurs="0"/>
                <xsd:element ref="ns3:EC_ARES_DATE_TRANSFERRED" minOccurs="0"/>
                <xsd:element ref="ns3:EC_ARES_TRANSFERRED_BY" minOccurs="0"/>
                <xsd:element ref="ns4:SharedWithUsers" minOccurs="0"/>
                <xsd:element ref="ns4:SharedWithDetails"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06a704-1628-441c-97fb-f32e33200c44"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ma:readOnly="fals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EC_ARES_NUMBER" ma:index="15" nillable="true" ma:displayName="Ares Number" ma:format="Hyperlink" ma:hidden="true"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16" nillable="true" ma:displayName="Transferred to Ares" ma:format="DateTime" ma:hidden="true" ma:internalName="EC_ARES_DATE_TRANSFERRED">
      <xsd:simpleType>
        <xsd:restriction base="dms:DateTime"/>
      </xsd:simpleType>
    </xsd:element>
    <xsd:element name="EC_ARES_TRANSFERRED_BY" ma:index="17" nillable="true" ma:displayName="Transferred By" ma:hidden="true" ma:internalName="EC_ARES_TRANSFERRED_B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195160-c278-438c-98fd-76d21ba493d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EC_ARES_DATE_TRANSFERRED xmlns="0506a704-1628-441c-97fb-f32e33200c44" xsi:nil="true"/>
    <EC_ARES_TRANSFERRED_BY xmlns="0506a704-1628-441c-97fb-f32e33200c44" xsi:nil="true"/>
    <EC_Collab_DocumentLanguage xmlns="0506a704-1628-441c-97fb-f32e33200c44">EN</EC_Collab_DocumentLanguage>
    <EC_Collab_Reference xmlns="0506a704-1628-441c-97fb-f32e33200c44">VERSION SENT TO HEBDO</EC_Collab_Reference>
    <EC_ARES_NUMBER xmlns="0506a704-1628-441c-97fb-f32e33200c44">
      <Url xsi:nil="true"/>
      <Description xsi:nil="true"/>
    </EC_ARES_NUMBER>
    <EC_Collab_Status xmlns="0506a704-1628-441c-97fb-f32e33200c44">Not Started</EC_Collab_Status>
  </documentManagement>
</p:properties>
</file>

<file path=customXml/item7.xml><?xml version="1.0" encoding="utf-8"?>
<EurolookProperties>
  <ProductCustomizationId>EC</ProductCustomizationId>
  <Created>
    <Version>10.0.43105.0</Version>
    <Date>2022-04-25T19:03:53</Date>
    <Language>EN</Language>
    <Note/>
  </Created>
  <Edited>
    <Version>10.0.42447.0</Version>
    <Date>2022-06-02T10:00:56</Date>
  </Edited>
  <DocumentModel>
    <Id>0b054141-88b1-4efb-8c91-2905cb0bed6c</Id>
    <Name>Note</Name>
  </DocumentModel>
  <DocumentDate>2022-04-25T19:03:53</DocumentDate>
  <DocumentVersion>0.1</DocumentVersion>
  <CompatibilityMode>Eurolook10</CompatibilityMode>
  <DocumentMetadata>
    <EC_SecurityDateMarkingEvent MetadataSerializationType="SimpleValue"/>
    <EC_SecurityDistributionWorkingGroup MetadataSerializationType="SimpleValue"/>
    <EC_SecurityDateMarking MetadataSerializationType="SimpleValue"/>
    <EC_SecurityDistributionSpecialHandling MetadataSerializationType="SimpleValue"/>
    <EC_SecurityDistributionSensitive MetadataSerializationType="SimpleValue"/>
    <EC_SecurityDistributionDG MetadataSerializationType="SimpleValue"/>
    <EC_SecurityDateMarkingDate MetadataSerializationType="SimpleValue"/>
    <EC_SecurityReleasability MetadataSerializationType="SimpleValue"/>
    <EC_SecurityMarking MetadataSerializationType="SimpleValue"/>
  </DocumentMetadata>
</EurolookProperties>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BEC21-D28D-4FEA-B922-43B5A0DB1332}">
  <ds:schemaRefs/>
</ds:datastoreItem>
</file>

<file path=customXml/itemProps2.xml><?xml version="1.0" encoding="utf-8"?>
<ds:datastoreItem xmlns:ds="http://schemas.openxmlformats.org/officeDocument/2006/customXml" ds:itemID="{C3FB3928-A88A-4AF9-967F-2DF9E15566A4}">
  <ds:schemaRefs>
    <ds:schemaRef ds:uri="office.server.policy"/>
  </ds:schemaRefs>
</ds:datastoreItem>
</file>

<file path=customXml/itemProps3.xml><?xml version="1.0" encoding="utf-8"?>
<ds:datastoreItem xmlns:ds="http://schemas.openxmlformats.org/officeDocument/2006/customXml" ds:itemID="{4EF90DE6-88B6-4264-9629-4D8DFDFE87D2}">
  <ds:schemaRefs/>
</ds:datastoreItem>
</file>

<file path=customXml/itemProps4.xml><?xml version="1.0" encoding="utf-8"?>
<ds:datastoreItem xmlns:ds="http://schemas.openxmlformats.org/officeDocument/2006/customXml" ds:itemID="{E44AF8BF-FEEB-4345-AC88-BA9F7D719BAF}">
  <ds:schemaRefs/>
</ds:datastoreItem>
</file>

<file path=customXml/itemProps5.xml><?xml version="1.0" encoding="utf-8"?>
<ds:datastoreItem xmlns:ds="http://schemas.openxmlformats.org/officeDocument/2006/customXml" ds:itemID="{C76A7AE5-9A69-4144-B620-502B0EDBAE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06a704-1628-441c-97fb-f32e33200c44"/>
    <ds:schemaRef ds:uri="10195160-c278-438c-98fd-76d21ba493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CCEB104-A018-4D15-BA4B-632623A85B39}">
  <ds:schemaRefs>
    <ds:schemaRef ds:uri="http://schemas.microsoft.com/office/2006/metadata/properties"/>
    <ds:schemaRef ds:uri="http://schemas.microsoft.com/office/infopath/2007/PartnerControls"/>
    <ds:schemaRef ds:uri="0506a704-1628-441c-97fb-f32e33200c44"/>
  </ds:schemaRefs>
</ds:datastoreItem>
</file>

<file path=customXml/itemProps7.xml><?xml version="1.0" encoding="utf-8"?>
<ds:datastoreItem xmlns:ds="http://schemas.openxmlformats.org/officeDocument/2006/customXml" ds:itemID="{D3EA5527-7367-4268-9D83-5125C98D0ED2}">
  <ds:schemaRefs/>
</ds:datastoreItem>
</file>

<file path=customXml/itemProps8.xml><?xml version="1.0" encoding="utf-8"?>
<ds:datastoreItem xmlns:ds="http://schemas.openxmlformats.org/officeDocument/2006/customXml" ds:itemID="{64D95FFE-E23D-4452-9AA3-6776C082DC51}">
  <ds:schemaRefs>
    <ds:schemaRef ds:uri="http://schemas.microsoft.com/sharepoint/v3/contenttype/forms"/>
  </ds:schemaRefs>
</ds:datastoreItem>
</file>

<file path=customXml/itemProps9.xml><?xml version="1.0" encoding="utf-8"?>
<ds:datastoreItem xmlns:ds="http://schemas.openxmlformats.org/officeDocument/2006/customXml" ds:itemID="{13E3FDCC-A6F5-4A6B-A453-A085F3786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21</Pages>
  <Words>141730</Words>
  <Characters>807861</Characters>
  <Application>Microsoft Office Word</Application>
  <DocSecurity>0</DocSecurity>
  <PresentationFormat>Microsoft Word 14.0</PresentationFormat>
  <Lines>6732</Lines>
  <Paragraphs>1895</Paragraphs>
  <ScaleCrop>true</ScaleCrop>
  <HeadingPairs>
    <vt:vector size="2" baseType="variant">
      <vt:variant>
        <vt:lpstr>Title</vt:lpstr>
      </vt:variant>
      <vt:variant>
        <vt:i4>1</vt:i4>
      </vt:variant>
    </vt:vector>
  </HeadingPairs>
  <TitlesOfParts>
    <vt:vector size="1" baseType="lpstr">
      <vt:lpstr>VOLUME III - Annex 4 - PPO</vt:lpstr>
    </vt:vector>
  </TitlesOfParts>
  <Company/>
  <LinksUpToDate>false</LinksUpToDate>
  <CharactersWithSpaces>947696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III - Annex 4 - PPO</dc:title>
  <dc:subject>VOLUME III - Annex 4 - PPO</dc:subject>
  <dc:creator>TAVARES Ana (SG)</dc:creator>
  <cp:keywords/>
  <dc:description/>
  <cp:lastModifiedBy>EC CoDe</cp:lastModifiedBy>
  <cp:revision>14</cp:revision>
  <dcterms:created xsi:type="dcterms:W3CDTF">2022-06-02T10:17:00Z</dcterms:created>
  <dcterms:modified xsi:type="dcterms:W3CDTF">2022-06-07T05:32:00Z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_LW_INVALIDATED_EurolookVersion">
    <vt:lpwstr>10.0</vt:lpwstr>
  </property>
  <property fmtid="{D5CDD505-2E9C-101B-9397-08002B2CF9AE}" pid="4" name="_LW_INVALIDATED_ELDocType">
    <vt:lpwstr>not.dot</vt:lpwstr>
  </property>
  <property fmtid="{D5CDD505-2E9C-101B-9397-08002B2CF9AE}" pid="5" name="First annex">
    <vt:lpwstr>4</vt:lpwstr>
  </property>
  <property fmtid="{D5CDD505-2E9C-101B-9397-08002B2CF9AE}" pid="6" name="Last annex">
    <vt:lpwstr>4</vt:lpwstr>
  </property>
  <property fmtid="{D5CDD505-2E9C-101B-9397-08002B2CF9AE}" pid="7" name="Unique annex">
    <vt:lpwstr>0</vt:lpwstr>
  </property>
  <property fmtid="{D5CDD505-2E9C-101B-9397-08002B2CF9AE}" pid="8" name="Part">
    <vt:lpwstr>1</vt:lpwstr>
  </property>
  <property fmtid="{D5CDD505-2E9C-101B-9397-08002B2CF9AE}" pid="9" name="Total parts">
    <vt:lpwstr>1</vt:lpwstr>
  </property>
  <property fmtid="{D5CDD505-2E9C-101B-9397-08002B2CF9AE}" pid="10" name="DocStatus">
    <vt:lpwstr>Green</vt:lpwstr>
  </property>
  <property fmtid="{D5CDD505-2E9C-101B-9397-08002B2CF9AE}" pid="11" name="CPTemplateID">
    <vt:lpwstr>CP-039</vt:lpwstr>
  </property>
  <property fmtid="{D5CDD505-2E9C-101B-9397-08002B2CF9AE}" pid="12" name="Last edited using">
    <vt:lpwstr>LW 8.0, Build 20220128</vt:lpwstr>
  </property>
  <property fmtid="{D5CDD505-2E9C-101B-9397-08002B2CF9AE}" pid="13" name="Created using">
    <vt:lpwstr>LW 8.0, Build 20220128</vt:lpwstr>
  </property>
  <property fmtid="{D5CDD505-2E9C-101B-9397-08002B2CF9AE}" pid="14" name="ContentTypeId">
    <vt:lpwstr>0x010100258AA79CEB83498886A3A086811232500034BF26BD23CB614EB733FA14B16F8BE1</vt:lpwstr>
  </property>
  <property fmtid="{D5CDD505-2E9C-101B-9397-08002B2CF9AE}" pid="15" name="MSIP_Label_6bd9ddd1-4d20-43f6-abfa-fc3c07406f94_Enabled">
    <vt:lpwstr>true</vt:lpwstr>
  </property>
  <property fmtid="{D5CDD505-2E9C-101B-9397-08002B2CF9AE}" pid="16" name="MSIP_Label_6bd9ddd1-4d20-43f6-abfa-fc3c07406f94_SetDate">
    <vt:lpwstr>2022-06-02T10:17:09Z</vt:lpwstr>
  </property>
  <property fmtid="{D5CDD505-2E9C-101B-9397-08002B2CF9AE}" pid="17" name="MSIP_Label_6bd9ddd1-4d20-43f6-abfa-fc3c07406f94_Method">
    <vt:lpwstr>Standard</vt:lpwstr>
  </property>
  <property fmtid="{D5CDD505-2E9C-101B-9397-08002B2CF9AE}" pid="18" name="MSIP_Label_6bd9ddd1-4d20-43f6-abfa-fc3c07406f94_Name">
    <vt:lpwstr>Commission Use</vt:lpwstr>
  </property>
  <property fmtid="{D5CDD505-2E9C-101B-9397-08002B2CF9AE}" pid="19" name="MSIP_Label_6bd9ddd1-4d20-43f6-abfa-fc3c07406f94_SiteId">
    <vt:lpwstr>b24c8b06-522c-46fe-9080-70926f8dddb1</vt:lpwstr>
  </property>
  <property fmtid="{D5CDD505-2E9C-101B-9397-08002B2CF9AE}" pid="20" name="MSIP_Label_6bd9ddd1-4d20-43f6-abfa-fc3c07406f94_ActionId">
    <vt:lpwstr>ca70e0b4-34e3-43f3-916d-bd92e281f86b</vt:lpwstr>
  </property>
  <property fmtid="{D5CDD505-2E9C-101B-9397-08002B2CF9AE}" pid="21" name="MSIP_Label_6bd9ddd1-4d20-43f6-abfa-fc3c07406f94_ContentBits">
    <vt:lpwstr>0</vt:lpwstr>
  </property>
</Properties>
</file>